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D512C" w14:textId="6C5223E5" w:rsidR="00236468" w:rsidRPr="0049612B" w:rsidRDefault="005C64A0" w:rsidP="47862E06">
      <w:pPr>
        <w:spacing w:after="0" w:line="240" w:lineRule="auto"/>
        <w:jc w:val="both"/>
        <w:rPr>
          <w:rFonts w:ascii="Verdana" w:eastAsia="Calibri" w:hAnsi="Verdana" w:cs="Arial"/>
          <w:b/>
          <w:bCs/>
          <w:lang w:val="es-ES" w:eastAsia="es-ES"/>
        </w:rPr>
      </w:pPr>
      <w:bookmarkStart w:id="0" w:name="_GoBack"/>
      <w:bookmarkEnd w:id="0"/>
      <w:r w:rsidRPr="47862E06">
        <w:rPr>
          <w:rFonts w:ascii="Verdana" w:eastAsia="Calibri" w:hAnsi="Verdana" w:cs="Arial"/>
          <w:b/>
          <w:bCs/>
          <w:lang w:val="es-ES" w:eastAsia="es-ES"/>
        </w:rPr>
        <w:t xml:space="preserve">CONTRATACIÓN PÚBLICA – Principio de publicidad </w:t>
      </w:r>
      <w:r w:rsidR="00FF3CD3" w:rsidRPr="47862E06">
        <w:rPr>
          <w:rFonts w:ascii="Verdana" w:eastAsia="Calibri" w:hAnsi="Verdana" w:cs="Arial"/>
          <w:b/>
          <w:bCs/>
          <w:lang w:val="es-ES" w:eastAsia="es-ES"/>
        </w:rPr>
        <w:t>–</w:t>
      </w:r>
      <w:r w:rsidRPr="47862E06">
        <w:rPr>
          <w:rFonts w:ascii="Verdana" w:eastAsia="Calibri" w:hAnsi="Verdana" w:cs="Arial"/>
          <w:b/>
          <w:bCs/>
          <w:lang w:val="es-ES" w:eastAsia="es-ES"/>
        </w:rPr>
        <w:t xml:space="preserve"> </w:t>
      </w:r>
      <w:r w:rsidR="00B16F4E" w:rsidRPr="47862E06">
        <w:rPr>
          <w:rFonts w:ascii="Verdana" w:eastAsia="Calibri" w:hAnsi="Verdana" w:cs="Arial"/>
          <w:b/>
          <w:bCs/>
          <w:lang w:val="es-ES" w:eastAsia="es-ES"/>
        </w:rPr>
        <w:t xml:space="preserve">Principio de transparencia – Uso del </w:t>
      </w:r>
      <w:proofErr w:type="spellStart"/>
      <w:r w:rsidR="00B16F4E" w:rsidRPr="47862E06">
        <w:rPr>
          <w:rFonts w:ascii="Verdana" w:eastAsia="Calibri" w:hAnsi="Verdana" w:cs="Arial"/>
          <w:b/>
          <w:bCs/>
          <w:lang w:val="es-ES" w:eastAsia="es-ES"/>
        </w:rPr>
        <w:t>secop</w:t>
      </w:r>
      <w:proofErr w:type="spellEnd"/>
      <w:r w:rsidR="00FF3CD3" w:rsidRPr="47862E06">
        <w:rPr>
          <w:rFonts w:ascii="Verdana" w:eastAsia="Calibri" w:hAnsi="Verdana" w:cs="Arial"/>
          <w:b/>
          <w:bCs/>
          <w:lang w:val="es-ES" w:eastAsia="es-ES"/>
        </w:rPr>
        <w:t xml:space="preserve"> </w:t>
      </w:r>
    </w:p>
    <w:p w14:paraId="283BD276" w14:textId="77777777" w:rsidR="00987692" w:rsidRPr="0049612B" w:rsidRDefault="00987692" w:rsidP="00987692">
      <w:pPr>
        <w:spacing w:after="0" w:line="240" w:lineRule="auto"/>
        <w:jc w:val="both"/>
        <w:rPr>
          <w:rFonts w:ascii="Verdana" w:eastAsia="Calibri" w:hAnsi="Verdana" w:cs="Arial"/>
          <w:b/>
          <w:bCs/>
          <w:sz w:val="20"/>
          <w:szCs w:val="20"/>
          <w:lang w:val="es-ES_tradnl" w:eastAsia="es-ES_tradnl"/>
        </w:rPr>
      </w:pPr>
    </w:p>
    <w:p w14:paraId="259C9552" w14:textId="13F92FEA" w:rsidR="002C082D" w:rsidRPr="0049612B" w:rsidRDefault="002C082D" w:rsidP="008D4396">
      <w:pPr>
        <w:spacing w:after="0" w:line="240" w:lineRule="auto"/>
        <w:jc w:val="both"/>
        <w:rPr>
          <w:rFonts w:ascii="Verdana" w:eastAsia="Aptos" w:hAnsi="Verdana" w:cs="Times New Roman"/>
          <w:sz w:val="20"/>
          <w:szCs w:val="20"/>
        </w:rPr>
      </w:pPr>
      <w:r w:rsidRPr="0049612B">
        <w:rPr>
          <w:rFonts w:ascii="Verdana" w:eastAsia="Aptos" w:hAnsi="Verdana" w:cs="Times New Roman"/>
          <w:sz w:val="20"/>
          <w:szCs w:val="20"/>
        </w:rPr>
        <w:t xml:space="preserve">El principio de publicidad impone a las autoridades </w:t>
      </w:r>
      <w:proofErr w:type="spellStart"/>
      <w:r w:rsidRPr="0049612B">
        <w:rPr>
          <w:rFonts w:ascii="Verdana" w:eastAsia="Aptos" w:hAnsi="Verdana" w:cs="Times New Roman"/>
          <w:sz w:val="20"/>
          <w:szCs w:val="20"/>
        </w:rPr>
        <w:t>el</w:t>
      </w:r>
      <w:proofErr w:type="spellEnd"/>
      <w:r w:rsidRPr="0049612B">
        <w:rPr>
          <w:rFonts w:ascii="Verdana" w:eastAsia="Aptos" w:hAnsi="Verdana" w:cs="Times New Roman"/>
          <w:sz w:val="20"/>
          <w:szCs w:val="20"/>
        </w:rPr>
        <w:t xml:space="preserve"> debe de dar a conocer sus actos, contratos y decisiones, par</w:t>
      </w:r>
      <w:r w:rsidR="004A0C22" w:rsidRPr="0049612B">
        <w:rPr>
          <w:rFonts w:ascii="Verdana" w:eastAsia="Aptos" w:hAnsi="Verdana" w:cs="Times New Roman"/>
          <w:sz w:val="20"/>
          <w:szCs w:val="20"/>
        </w:rPr>
        <w:t>a</w:t>
      </w:r>
      <w:r w:rsidRPr="0049612B">
        <w:rPr>
          <w:rFonts w:ascii="Verdana" w:eastAsia="Aptos" w:hAnsi="Verdana" w:cs="Times New Roman"/>
          <w:sz w:val="20"/>
          <w:szCs w:val="20"/>
        </w:rPr>
        <w:t xml:space="preserve"> que se divulguen y, eventualmente, se controlen dichas actuaciones. Es por eso que, en materia de la contratación estatal, el literal c) del artículo 3 de la Ley 1150 de 2007 establece el Sistema Electrónico para la Contratación Pública, en adelante SECOP, como un mecanismo que “contará con la información oficial de la contratación realizada con dineros públicos, para lo cual establecerá los patrones a que haya lugar y se encargará de su difusión a través de canales electrónicos”.</w:t>
      </w:r>
    </w:p>
    <w:p w14:paraId="0322DED1" w14:textId="0E02D789" w:rsidR="00B16F4E" w:rsidRPr="0049612B" w:rsidRDefault="00B16F4E" w:rsidP="008D4396">
      <w:pPr>
        <w:spacing w:after="0" w:line="240" w:lineRule="auto"/>
        <w:jc w:val="both"/>
        <w:rPr>
          <w:rFonts w:ascii="Verdana" w:eastAsia="Aptos" w:hAnsi="Verdana" w:cs="Times New Roman"/>
          <w:sz w:val="20"/>
          <w:szCs w:val="20"/>
        </w:rPr>
      </w:pPr>
      <w:r w:rsidRPr="0049612B">
        <w:rPr>
          <w:rFonts w:ascii="Verdana" w:eastAsia="Aptos" w:hAnsi="Verdana" w:cs="Times New Roman"/>
          <w:sz w:val="20"/>
          <w:szCs w:val="20"/>
        </w:rPr>
        <w:t>[…]</w:t>
      </w:r>
    </w:p>
    <w:p w14:paraId="65CC8CF9" w14:textId="033F9009" w:rsidR="00B16F4E" w:rsidRPr="0049612B" w:rsidRDefault="00B16F4E" w:rsidP="008D4396">
      <w:pPr>
        <w:spacing w:after="0" w:line="240" w:lineRule="auto"/>
        <w:jc w:val="both"/>
        <w:rPr>
          <w:rFonts w:ascii="Verdana" w:eastAsia="Aptos" w:hAnsi="Verdana" w:cs="Times New Roman"/>
          <w:sz w:val="20"/>
          <w:szCs w:val="20"/>
        </w:rPr>
      </w:pPr>
      <w:r w:rsidRPr="0049612B">
        <w:rPr>
          <w:rFonts w:ascii="Verdana" w:eastAsia="Aptos" w:hAnsi="Verdana" w:cs="Times New Roman"/>
          <w:sz w:val="20"/>
          <w:szCs w:val="20"/>
        </w:rPr>
        <w:t>De otra parte, la Ley 1712 de 2014 “Por medio de la cual se crea la Ley de Transparencia y del Derecho de Acceso a la Información Pública Nacional y se dictan otras disposiciones”, identifica como principios que orientan el derecho de acceso a la información pública, el principio de máxima publicidad, el principio de transparencia en la información y el principio de buena fe. El principio de máxima publicidad establece que “toda información en posesión, bajo control o custodia de un sujeto obligado es pública y no podrá ser reservada o limitada sino por disposición constitucional o legal</w:t>
      </w:r>
      <w:r w:rsidR="0049612B" w:rsidRPr="0049612B">
        <w:rPr>
          <w:rFonts w:ascii="Verdana" w:eastAsia="Aptos" w:hAnsi="Verdana" w:cs="Times New Roman"/>
          <w:sz w:val="20"/>
          <w:szCs w:val="20"/>
        </w:rPr>
        <w:t>”.</w:t>
      </w:r>
      <w:r w:rsidRPr="0049612B">
        <w:rPr>
          <w:rFonts w:ascii="Verdana" w:eastAsia="Aptos" w:hAnsi="Verdana" w:cs="Times New Roman"/>
          <w:sz w:val="20"/>
          <w:szCs w:val="20"/>
        </w:rPr>
        <w:t xml:space="preserve"> El principio de transparencia en la información alude al deber de los sujetos de proporcionar y facilitar el acceso a la misma en los términos más amplios posibles, a través de los medios y procedimientos </w:t>
      </w:r>
      <w:r w:rsidR="0049612B" w:rsidRPr="0049612B">
        <w:rPr>
          <w:rFonts w:ascii="Verdana" w:eastAsia="Aptos" w:hAnsi="Verdana" w:cs="Times New Roman"/>
          <w:sz w:val="20"/>
          <w:szCs w:val="20"/>
        </w:rPr>
        <w:t>legales.</w:t>
      </w:r>
      <w:r w:rsidRPr="0049612B">
        <w:rPr>
          <w:rFonts w:ascii="Verdana" w:eastAsia="Aptos" w:hAnsi="Verdana" w:cs="Times New Roman"/>
          <w:sz w:val="20"/>
          <w:szCs w:val="20"/>
        </w:rPr>
        <w:t xml:space="preserve"> Y el principio de buena fe hace referencia al deber de todo sujeto obligado de cumplir con las obligaciones derivadas del derecho de acceso a la información pública con motivación honesta, leal y desprovista de cualquier intención dolosa o culposa</w:t>
      </w:r>
    </w:p>
    <w:p w14:paraId="1305D2DF" w14:textId="77777777" w:rsidR="00987692" w:rsidRPr="0049612B" w:rsidRDefault="00987692" w:rsidP="00987692">
      <w:pPr>
        <w:spacing w:after="0" w:line="240" w:lineRule="auto"/>
        <w:jc w:val="both"/>
        <w:rPr>
          <w:rFonts w:ascii="Verdana" w:eastAsia="Aptos" w:hAnsi="Verdana" w:cs="Times New Roman"/>
          <w:sz w:val="20"/>
          <w:szCs w:val="20"/>
        </w:rPr>
      </w:pPr>
    </w:p>
    <w:p w14:paraId="61776B09" w14:textId="22375BB4" w:rsidR="00987692" w:rsidRPr="0049612B" w:rsidRDefault="0049612B" w:rsidP="00987692">
      <w:pPr>
        <w:spacing w:after="0" w:line="240" w:lineRule="auto"/>
        <w:jc w:val="both"/>
        <w:rPr>
          <w:rFonts w:ascii="Verdana" w:eastAsia="Calibri" w:hAnsi="Verdana" w:cs="Arial"/>
          <w:b/>
          <w:bCs/>
          <w:lang w:val="es-ES" w:eastAsia="es-ES"/>
        </w:rPr>
      </w:pPr>
      <w:r w:rsidRPr="0049612B">
        <w:rPr>
          <w:rFonts w:ascii="Verdana" w:eastAsia="Calibri" w:hAnsi="Verdana" w:cs="Arial"/>
          <w:b/>
          <w:bCs/>
          <w:lang w:val="es-ES" w:eastAsia="es-ES"/>
        </w:rPr>
        <w:t xml:space="preserve">COLOMBIA COMPRA EFICIENTE – Administradora del </w:t>
      </w:r>
      <w:proofErr w:type="spellStart"/>
      <w:r w:rsidRPr="0049612B">
        <w:rPr>
          <w:rFonts w:ascii="Verdana" w:eastAsia="Calibri" w:hAnsi="Verdana" w:cs="Arial"/>
          <w:b/>
          <w:bCs/>
          <w:lang w:val="es-ES" w:eastAsia="es-ES"/>
        </w:rPr>
        <w:t>secop</w:t>
      </w:r>
      <w:proofErr w:type="spellEnd"/>
      <w:r w:rsidRPr="0049612B">
        <w:rPr>
          <w:rFonts w:ascii="Verdana" w:eastAsia="Calibri" w:hAnsi="Verdana" w:cs="Arial"/>
          <w:b/>
          <w:bCs/>
          <w:lang w:val="es-ES" w:eastAsia="es-ES"/>
        </w:rPr>
        <w:t xml:space="preserve"> – Ente rector en contratación </w:t>
      </w:r>
      <w:r w:rsidR="00593E09">
        <w:rPr>
          <w:rFonts w:ascii="Verdana" w:eastAsia="Calibri" w:hAnsi="Verdana" w:cs="Arial"/>
          <w:b/>
          <w:bCs/>
          <w:lang w:val="es-ES" w:eastAsia="es-ES"/>
        </w:rPr>
        <w:t>- Facultades</w:t>
      </w:r>
    </w:p>
    <w:p w14:paraId="3D5210AF" w14:textId="77777777" w:rsidR="00987692" w:rsidRPr="0049612B" w:rsidRDefault="00987692" w:rsidP="00987692">
      <w:pPr>
        <w:spacing w:after="0" w:line="240" w:lineRule="auto"/>
        <w:jc w:val="both"/>
        <w:rPr>
          <w:rFonts w:ascii="Verdana" w:eastAsia="Calibri" w:hAnsi="Verdana" w:cs="Arial"/>
          <w:b/>
          <w:bCs/>
          <w:sz w:val="20"/>
          <w:szCs w:val="20"/>
          <w:lang w:val="es-ES_tradnl" w:eastAsia="es-ES_tradnl"/>
        </w:rPr>
      </w:pPr>
    </w:p>
    <w:p w14:paraId="0DA2F10F" w14:textId="023571E2" w:rsidR="007E5D62" w:rsidRPr="0049612B" w:rsidRDefault="0049612B" w:rsidP="00704ECA">
      <w:pPr>
        <w:spacing w:after="0" w:line="240" w:lineRule="auto"/>
        <w:jc w:val="both"/>
        <w:rPr>
          <w:rFonts w:ascii="Verdana" w:eastAsia="Aptos" w:hAnsi="Verdana" w:cs="Times New Roman"/>
          <w:sz w:val="20"/>
          <w:szCs w:val="20"/>
        </w:rPr>
      </w:pPr>
      <w:r w:rsidRPr="0049612B">
        <w:rPr>
          <w:rFonts w:ascii="Verdana" w:eastAsia="Aptos" w:hAnsi="Verdana" w:cs="Times New Roman"/>
          <w:sz w:val="20"/>
          <w:szCs w:val="20"/>
        </w:rPr>
        <w:t>[…]</w:t>
      </w:r>
      <w:r w:rsidR="009916B0" w:rsidRPr="0049612B">
        <w:rPr>
          <w:rFonts w:ascii="Verdana" w:eastAsia="Aptos" w:hAnsi="Verdana" w:cs="Times New Roman"/>
          <w:sz w:val="20"/>
          <w:szCs w:val="20"/>
        </w:rPr>
        <w:t xml:space="preserve"> debe precisarse que, pese a que de conformidad con lo establecido en el numeral 8 del artículo 3 del Decreto Ley 4170 de 2011, la Agencia Nacional de Contratación Pública – Colombia Compra Eficiente, es la encargada de desarrollar y administrar el SECOP, el legislador no la facultó para verificar el deber de publicación de la información contractual por parte de las Entidades Estatales en dicha plataforma. Colombia Compra Eficiente, en cambio, en ejercicio de sus competencias, particularmente en la dispuesta en el numeral 5 del artículo 3 ibidem, expide directivas en materia de compras y contratación pública, actos administrativos que contienen instrucciones dirigidas a las Entidades Estatales y al público en general y son de obligatorio cumplimiento</w:t>
      </w:r>
      <w:r w:rsidRPr="0049612B">
        <w:rPr>
          <w:rFonts w:ascii="Verdana" w:eastAsia="Aptos" w:hAnsi="Verdana" w:cs="Times New Roman"/>
          <w:sz w:val="20"/>
          <w:szCs w:val="20"/>
        </w:rPr>
        <w:t>.</w:t>
      </w:r>
    </w:p>
    <w:p w14:paraId="2557824C" w14:textId="77777777" w:rsidR="00987692" w:rsidRDefault="00987692" w:rsidP="00987692">
      <w:pPr>
        <w:spacing w:after="0" w:line="240" w:lineRule="auto"/>
        <w:rPr>
          <w:rFonts w:ascii="Verdana" w:eastAsia="Aptos" w:hAnsi="Verdana" w:cs="Times New Roman"/>
          <w:sz w:val="20"/>
          <w:szCs w:val="20"/>
        </w:rPr>
      </w:pPr>
    </w:p>
    <w:p w14:paraId="09DCAEAB" w14:textId="77777777" w:rsidR="007E5D62" w:rsidRDefault="007E5D62" w:rsidP="00987692">
      <w:pPr>
        <w:spacing w:after="0" w:line="240" w:lineRule="auto"/>
        <w:rPr>
          <w:rFonts w:ascii="Verdana" w:eastAsia="Aptos" w:hAnsi="Verdana" w:cs="Times New Roman"/>
          <w:sz w:val="20"/>
          <w:szCs w:val="20"/>
        </w:rPr>
      </w:pPr>
    </w:p>
    <w:p w14:paraId="44902FD8" w14:textId="77777777" w:rsidR="0049612B" w:rsidRDefault="0049612B" w:rsidP="00987692">
      <w:pPr>
        <w:spacing w:after="0" w:line="240" w:lineRule="auto"/>
        <w:rPr>
          <w:rFonts w:ascii="Verdana" w:eastAsia="Aptos" w:hAnsi="Verdana" w:cs="Times New Roman"/>
          <w:sz w:val="20"/>
          <w:szCs w:val="20"/>
        </w:rPr>
      </w:pPr>
    </w:p>
    <w:p w14:paraId="09ACA827" w14:textId="77777777" w:rsidR="0049612B" w:rsidRDefault="0049612B" w:rsidP="00987692">
      <w:pPr>
        <w:spacing w:after="0" w:line="240" w:lineRule="auto"/>
        <w:rPr>
          <w:rFonts w:ascii="Verdana" w:eastAsia="Aptos" w:hAnsi="Verdana" w:cs="Times New Roman"/>
          <w:sz w:val="20"/>
          <w:szCs w:val="20"/>
        </w:rPr>
      </w:pPr>
    </w:p>
    <w:p w14:paraId="17FF8AEE" w14:textId="77777777" w:rsidR="0049612B" w:rsidRDefault="0049612B" w:rsidP="00987692">
      <w:pPr>
        <w:spacing w:after="0" w:line="240" w:lineRule="auto"/>
        <w:rPr>
          <w:rFonts w:ascii="Verdana" w:eastAsia="Aptos" w:hAnsi="Verdana" w:cs="Times New Roman"/>
          <w:sz w:val="20"/>
          <w:szCs w:val="20"/>
        </w:rPr>
      </w:pPr>
    </w:p>
    <w:p w14:paraId="21241FB4" w14:textId="77777777" w:rsidR="0049612B" w:rsidRDefault="0049612B" w:rsidP="00987692">
      <w:pPr>
        <w:spacing w:after="0" w:line="240" w:lineRule="auto"/>
        <w:rPr>
          <w:rFonts w:ascii="Verdana" w:eastAsia="Aptos" w:hAnsi="Verdana" w:cs="Times New Roman"/>
          <w:sz w:val="20"/>
          <w:szCs w:val="20"/>
        </w:rPr>
      </w:pPr>
    </w:p>
    <w:p w14:paraId="327DAE59" w14:textId="77777777" w:rsidR="0049612B" w:rsidRDefault="0049612B" w:rsidP="00987692">
      <w:pPr>
        <w:spacing w:after="0" w:line="240" w:lineRule="auto"/>
        <w:rPr>
          <w:rFonts w:ascii="Verdana" w:eastAsia="Aptos" w:hAnsi="Verdana" w:cs="Times New Roman"/>
          <w:sz w:val="20"/>
          <w:szCs w:val="20"/>
        </w:rPr>
      </w:pPr>
    </w:p>
    <w:p w14:paraId="16E04E67" w14:textId="77777777" w:rsidR="0049612B" w:rsidRDefault="0049612B" w:rsidP="00987692">
      <w:pPr>
        <w:spacing w:after="0" w:line="240" w:lineRule="auto"/>
        <w:rPr>
          <w:rFonts w:ascii="Verdana" w:eastAsia="Aptos" w:hAnsi="Verdana" w:cs="Times New Roman"/>
          <w:sz w:val="20"/>
          <w:szCs w:val="20"/>
        </w:rPr>
      </w:pPr>
    </w:p>
    <w:p w14:paraId="292E5F9F" w14:textId="77777777" w:rsidR="00987692" w:rsidRDefault="00987692" w:rsidP="00987692">
      <w:pPr>
        <w:spacing w:after="0" w:line="240" w:lineRule="auto"/>
        <w:rPr>
          <w:rFonts w:ascii="Verdana" w:eastAsia="Aptos" w:hAnsi="Verdana" w:cs="Times New Roman"/>
          <w:sz w:val="20"/>
          <w:szCs w:val="20"/>
        </w:rPr>
      </w:pPr>
    </w:p>
    <w:p w14:paraId="73173192" w14:textId="77777777" w:rsidR="00987692" w:rsidRDefault="00987692" w:rsidP="00987692">
      <w:pPr>
        <w:spacing w:after="0" w:line="240" w:lineRule="auto"/>
        <w:rPr>
          <w:rFonts w:ascii="Verdana" w:eastAsia="Aptos" w:hAnsi="Verdana" w:cs="Times New Roman"/>
          <w:sz w:val="20"/>
          <w:szCs w:val="20"/>
        </w:rPr>
      </w:pPr>
    </w:p>
    <w:p w14:paraId="5BD5B3EF" w14:textId="77777777" w:rsidR="00987692" w:rsidRDefault="00987692" w:rsidP="00987692">
      <w:pPr>
        <w:spacing w:after="0" w:line="240" w:lineRule="auto"/>
        <w:rPr>
          <w:rFonts w:ascii="Verdana" w:eastAsia="Aptos" w:hAnsi="Verdana" w:cs="Times New Roman"/>
          <w:sz w:val="20"/>
          <w:szCs w:val="20"/>
        </w:rPr>
      </w:pPr>
    </w:p>
    <w:p w14:paraId="3064C871" w14:textId="77777777" w:rsidR="00987692" w:rsidRPr="00FC49A2" w:rsidRDefault="00987692" w:rsidP="00987692">
      <w:pPr>
        <w:spacing w:after="0" w:line="240" w:lineRule="auto"/>
        <w:rPr>
          <w:rFonts w:ascii="Verdana" w:eastAsia="Aptos" w:hAnsi="Verdana" w:cs="Times New Roman"/>
          <w:sz w:val="20"/>
          <w:szCs w:val="20"/>
        </w:rPr>
      </w:pPr>
    </w:p>
    <w:p w14:paraId="256A711E" w14:textId="77777777" w:rsidR="00987692" w:rsidRPr="00FC49A2" w:rsidRDefault="00987692" w:rsidP="00987692">
      <w:pPr>
        <w:spacing w:after="0" w:line="240" w:lineRule="auto"/>
        <w:rPr>
          <w:rFonts w:ascii="Verdana" w:eastAsia="Aptos" w:hAnsi="Verdana" w:cs="Times New Roman"/>
          <w:sz w:val="20"/>
          <w:szCs w:val="20"/>
        </w:rPr>
      </w:pPr>
    </w:p>
    <w:p w14:paraId="7F824C1C" w14:textId="77777777" w:rsidR="00987692" w:rsidRPr="00FC49A2" w:rsidRDefault="00987692" w:rsidP="00987692">
      <w:pPr>
        <w:spacing w:after="0" w:line="240" w:lineRule="auto"/>
        <w:rPr>
          <w:rFonts w:ascii="Verdana" w:eastAsia="Geomanist Light" w:hAnsi="Verdana" w:cs="Arial"/>
          <w:lang w:val="es-MX"/>
        </w:rPr>
      </w:pPr>
      <w:r w:rsidRPr="00FC49A2">
        <w:rPr>
          <w:rFonts w:ascii="Verdana" w:eastAsia="Geomanist Light" w:hAnsi="Verdana" w:cs="Arial"/>
          <w:lang w:val="es-MX"/>
        </w:rPr>
        <w:t>Bogotá D.C., [Día] de [</w:t>
      </w:r>
      <w:proofErr w:type="spellStart"/>
      <w:r w:rsidRPr="00FC49A2">
        <w:rPr>
          <w:rFonts w:ascii="Verdana" w:eastAsia="Geomanist Light" w:hAnsi="Verdana" w:cs="Arial"/>
          <w:lang w:val="es-MX"/>
        </w:rPr>
        <w:t>Mes.NombreCapitalizado</w:t>
      </w:r>
      <w:proofErr w:type="spellEnd"/>
      <w:r w:rsidRPr="00FC49A2">
        <w:rPr>
          <w:rFonts w:ascii="Verdana" w:eastAsia="Geomanist Light" w:hAnsi="Verdana" w:cs="Arial"/>
          <w:lang w:val="es-MX"/>
        </w:rPr>
        <w:t>] de [Año]</w:t>
      </w:r>
    </w:p>
    <w:p w14:paraId="44AEC190" w14:textId="77777777" w:rsidR="00987692" w:rsidRDefault="00987692" w:rsidP="00987692">
      <w:pPr>
        <w:spacing w:after="0" w:line="240" w:lineRule="auto"/>
        <w:jc w:val="both"/>
        <w:rPr>
          <w:rFonts w:ascii="Verdana" w:eastAsia="Calibri" w:hAnsi="Verdana" w:cs="Arial"/>
          <w:lang w:val="es-ES"/>
        </w:rPr>
      </w:pPr>
    </w:p>
    <w:p w14:paraId="2ED40829" w14:textId="64A5024A" w:rsidR="00987692" w:rsidRPr="00FC49A2" w:rsidRDefault="00C464DD" w:rsidP="00C464DD">
      <w:pPr>
        <w:spacing w:after="0" w:line="240" w:lineRule="auto"/>
        <w:jc w:val="right"/>
        <w:rPr>
          <w:rFonts w:ascii="Verdana" w:eastAsia="Calibri" w:hAnsi="Verdana" w:cs="Arial"/>
          <w:lang w:val="es-ES"/>
        </w:rPr>
      </w:pPr>
      <w:r w:rsidRPr="00C464DD">
        <w:rPr>
          <w:rFonts w:ascii="Verdana" w:eastAsia="Calibri" w:hAnsi="Verdana" w:cs="Arial"/>
          <w:noProof/>
          <w:lang w:val="es-ES"/>
        </w:rPr>
        <w:drawing>
          <wp:inline distT="0" distB="0" distL="0" distR="0" wp14:anchorId="2955C7A5" wp14:editId="7E84F30C">
            <wp:extent cx="3324689" cy="971686"/>
            <wp:effectExtent l="0" t="0" r="0" b="0"/>
            <wp:docPr id="140615024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150246" name="Imagen 1" descr="Texto&#10;&#10;Descripción generada automáticamente"/>
                    <pic:cNvPicPr/>
                  </pic:nvPicPr>
                  <pic:blipFill>
                    <a:blip r:embed="rId10"/>
                    <a:stretch>
                      <a:fillRect/>
                    </a:stretch>
                  </pic:blipFill>
                  <pic:spPr>
                    <a:xfrm>
                      <a:off x="0" y="0"/>
                      <a:ext cx="3324689" cy="971686"/>
                    </a:xfrm>
                    <a:prstGeom prst="rect">
                      <a:avLst/>
                    </a:prstGeom>
                  </pic:spPr>
                </pic:pic>
              </a:graphicData>
            </a:graphic>
          </wp:inline>
        </w:drawing>
      </w:r>
    </w:p>
    <w:p w14:paraId="7F4480A8" w14:textId="00454EE7" w:rsidR="00987692" w:rsidRPr="00FC49A2" w:rsidRDefault="00987692" w:rsidP="00987692">
      <w:pPr>
        <w:spacing w:after="0" w:line="240" w:lineRule="auto"/>
        <w:jc w:val="both"/>
        <w:rPr>
          <w:rFonts w:ascii="Verdana" w:eastAsia="Calibri" w:hAnsi="Verdana" w:cs="Arial"/>
          <w:lang w:val="es-ES" w:eastAsia="es-ES"/>
        </w:rPr>
      </w:pPr>
      <w:r w:rsidRPr="00FC49A2">
        <w:rPr>
          <w:rFonts w:ascii="Verdana" w:eastAsia="Calibri" w:hAnsi="Verdana" w:cs="Arial"/>
          <w:lang w:val="es-ES" w:eastAsia="es-ES"/>
        </w:rPr>
        <w:t>Señor</w:t>
      </w:r>
    </w:p>
    <w:p w14:paraId="0208BAF3" w14:textId="7CD4D10D" w:rsidR="00987692" w:rsidRDefault="007246D3" w:rsidP="00987692">
      <w:pPr>
        <w:spacing w:after="0" w:line="240" w:lineRule="auto"/>
        <w:rPr>
          <w:rFonts w:ascii="Verdana" w:eastAsia="Calibri" w:hAnsi="Verdana" w:cs="Arial"/>
          <w:b/>
          <w:lang w:val="es-ES_tradnl" w:eastAsia="es-ES_tradnl"/>
        </w:rPr>
      </w:pPr>
      <w:r>
        <w:rPr>
          <w:rFonts w:ascii="Verdana" w:eastAsia="Calibri" w:hAnsi="Verdana" w:cs="Arial"/>
          <w:b/>
          <w:lang w:val="es-ES_tradnl" w:eastAsia="es-ES_tradnl"/>
        </w:rPr>
        <w:t>Juan Pérez</w:t>
      </w:r>
    </w:p>
    <w:p w14:paraId="3617EE0E" w14:textId="12C31F8A" w:rsidR="007246D3" w:rsidRPr="007246D3" w:rsidRDefault="003963D3" w:rsidP="00987692">
      <w:pPr>
        <w:spacing w:after="0" w:line="240" w:lineRule="auto"/>
        <w:rPr>
          <w:rFonts w:ascii="Verdana" w:eastAsia="Calibri" w:hAnsi="Verdana" w:cs="Arial"/>
          <w:bCs/>
          <w:lang w:val="es-ES_tradnl" w:eastAsia="es-ES_tradnl"/>
        </w:rPr>
      </w:pPr>
      <w:hyperlink r:id="rId11" w:history="1">
        <w:r w:rsidR="007246D3" w:rsidRPr="007246D3">
          <w:rPr>
            <w:rStyle w:val="Hipervnculo"/>
            <w:rFonts w:ascii="Verdana" w:eastAsia="Calibri" w:hAnsi="Verdana" w:cs="Arial"/>
            <w:bCs/>
            <w:lang w:eastAsia="es-ES_tradnl"/>
          </w:rPr>
          <w:t>ingciviljuanperez811@gmail.com</w:t>
        </w:r>
      </w:hyperlink>
      <w:r w:rsidR="007246D3" w:rsidRPr="007246D3">
        <w:rPr>
          <w:rFonts w:ascii="Verdana" w:eastAsia="Calibri" w:hAnsi="Verdana" w:cs="Arial"/>
          <w:bCs/>
          <w:lang w:eastAsia="es-ES_tradnl"/>
        </w:rPr>
        <w:t xml:space="preserve"> </w:t>
      </w:r>
    </w:p>
    <w:p w14:paraId="16A94EB9" w14:textId="77777777" w:rsidR="00987692" w:rsidRPr="00FC49A2" w:rsidRDefault="00987692" w:rsidP="00987692">
      <w:pPr>
        <w:spacing w:after="0" w:line="240" w:lineRule="auto"/>
        <w:rPr>
          <w:rFonts w:ascii="Verdana" w:eastAsia="Calibri" w:hAnsi="Verdana" w:cs="Arial"/>
          <w:b/>
          <w:bCs/>
          <w:lang w:val="es-ES" w:eastAsia="es-ES"/>
        </w:rPr>
      </w:pPr>
      <w:r w:rsidRPr="00FC49A2">
        <w:rPr>
          <w:rFonts w:ascii="Verdana" w:eastAsia="Calibri" w:hAnsi="Verdana" w:cs="Arial"/>
          <w:lang w:val="es-ES" w:eastAsia="es-ES"/>
        </w:rPr>
        <w:t>Ciudad</w:t>
      </w:r>
    </w:p>
    <w:p w14:paraId="783DBDA9" w14:textId="77777777" w:rsidR="00987692" w:rsidRPr="00FC49A2" w:rsidRDefault="00987692" w:rsidP="00987692">
      <w:pPr>
        <w:spacing w:after="0" w:line="240" w:lineRule="auto"/>
        <w:rPr>
          <w:rFonts w:ascii="Verdana" w:eastAsia="Calibri" w:hAnsi="Verdana" w:cs="Arial"/>
          <w:b/>
          <w:bCs/>
          <w:lang w:val="es-ES_tradnl" w:eastAsia="es-ES_tradnl"/>
        </w:rPr>
      </w:pPr>
    </w:p>
    <w:p w14:paraId="73A1EDE8" w14:textId="77777777" w:rsidR="00987692" w:rsidRPr="00FC49A2" w:rsidRDefault="00987692" w:rsidP="00987692">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987692" w:rsidRPr="00FC49A2" w14:paraId="6BA5949B" w14:textId="77777777" w:rsidTr="0057173C">
        <w:trPr>
          <w:trHeight w:val="884"/>
        </w:trPr>
        <w:tc>
          <w:tcPr>
            <w:tcW w:w="2689" w:type="dxa"/>
          </w:tcPr>
          <w:p w14:paraId="2630E4AE" w14:textId="77777777" w:rsidR="00987692" w:rsidRPr="00FC49A2" w:rsidRDefault="00987692" w:rsidP="0057173C">
            <w:pPr>
              <w:jc w:val="both"/>
              <w:rPr>
                <w:rFonts w:ascii="Verdana" w:eastAsia="Calibri" w:hAnsi="Verdana" w:cs="Arial"/>
                <w:b/>
                <w:bCs/>
                <w:lang w:val="es-ES_tradnl" w:eastAsia="es-ES_tradnl"/>
              </w:rPr>
            </w:pPr>
          </w:p>
        </w:tc>
        <w:tc>
          <w:tcPr>
            <w:tcW w:w="6100" w:type="dxa"/>
          </w:tcPr>
          <w:p w14:paraId="3CC1A361" w14:textId="1799503B" w:rsidR="00987692" w:rsidRPr="00FC49A2" w:rsidRDefault="00987692" w:rsidP="0057173C">
            <w:pPr>
              <w:jc w:val="both"/>
              <w:rPr>
                <w:rFonts w:ascii="Verdana" w:eastAsia="Calibri" w:hAnsi="Verdana" w:cs="Arial"/>
                <w:b/>
                <w:bCs/>
                <w:lang w:val="es-ES" w:eastAsia="es-ES"/>
              </w:rPr>
            </w:pPr>
            <w:r w:rsidRPr="00FC49A2">
              <w:rPr>
                <w:rFonts w:ascii="Verdana" w:eastAsia="Calibri" w:hAnsi="Verdana" w:cs="Arial"/>
                <w:b/>
                <w:bCs/>
                <w:lang w:val="es-ES" w:eastAsia="es-ES"/>
              </w:rPr>
              <w:t>Concepto C-</w:t>
            </w:r>
            <w:r w:rsidR="00390913">
              <w:rPr>
                <w:rFonts w:ascii="Verdana" w:eastAsia="Calibri" w:hAnsi="Verdana" w:cs="Arial"/>
                <w:b/>
                <w:bCs/>
                <w:lang w:val="es-ES" w:eastAsia="es-ES"/>
              </w:rPr>
              <w:t>3</w:t>
            </w:r>
            <w:r w:rsidR="00D80D31">
              <w:rPr>
                <w:rFonts w:ascii="Verdana" w:eastAsia="Calibri" w:hAnsi="Verdana" w:cs="Arial"/>
                <w:b/>
                <w:bCs/>
                <w:lang w:val="es-ES" w:eastAsia="es-ES"/>
              </w:rPr>
              <w:t>8</w:t>
            </w:r>
            <w:r w:rsidR="00390913">
              <w:rPr>
                <w:rFonts w:ascii="Verdana" w:eastAsia="Calibri" w:hAnsi="Verdana" w:cs="Arial"/>
                <w:b/>
                <w:bCs/>
                <w:lang w:val="es-ES" w:eastAsia="es-ES"/>
              </w:rPr>
              <w:t>0</w:t>
            </w:r>
            <w:r w:rsidRPr="00FC49A2">
              <w:rPr>
                <w:rFonts w:ascii="Verdana" w:eastAsia="Calibri" w:hAnsi="Verdana" w:cs="Arial"/>
                <w:b/>
                <w:bCs/>
                <w:lang w:val="es-ES" w:eastAsia="es-ES"/>
              </w:rPr>
              <w:t xml:space="preserve"> de 2024</w:t>
            </w:r>
          </w:p>
        </w:tc>
      </w:tr>
      <w:tr w:rsidR="00987692" w:rsidRPr="00FC49A2" w14:paraId="5A6E24FB" w14:textId="77777777" w:rsidTr="0057173C">
        <w:trPr>
          <w:trHeight w:val="884"/>
        </w:trPr>
        <w:tc>
          <w:tcPr>
            <w:tcW w:w="2689" w:type="dxa"/>
          </w:tcPr>
          <w:p w14:paraId="4A42EC61" w14:textId="77777777" w:rsidR="00987692" w:rsidRPr="007246D3" w:rsidRDefault="00987692" w:rsidP="0057173C">
            <w:pPr>
              <w:jc w:val="both"/>
              <w:rPr>
                <w:rFonts w:ascii="Verdana" w:eastAsia="Calibri" w:hAnsi="Verdana" w:cs="Arial"/>
                <w:highlight w:val="yellow"/>
                <w:lang w:val="es-ES_tradnl" w:eastAsia="es-ES_tradnl"/>
              </w:rPr>
            </w:pPr>
            <w:r w:rsidRPr="00593E09">
              <w:rPr>
                <w:rFonts w:ascii="Verdana" w:eastAsia="Calibri" w:hAnsi="Verdana" w:cs="Arial"/>
                <w:b/>
                <w:lang w:val="es-ES_tradnl" w:eastAsia="es-ES_tradnl"/>
              </w:rPr>
              <w:t>Temas:</w:t>
            </w:r>
            <w:r w:rsidRPr="00593E09">
              <w:rPr>
                <w:rFonts w:ascii="Verdana" w:eastAsia="Calibri" w:hAnsi="Verdana" w:cs="Arial"/>
                <w:lang w:val="es-ES_tradnl" w:eastAsia="es-ES_tradnl"/>
              </w:rPr>
              <w:t xml:space="preserve">                   </w:t>
            </w:r>
          </w:p>
        </w:tc>
        <w:tc>
          <w:tcPr>
            <w:tcW w:w="6100" w:type="dxa"/>
          </w:tcPr>
          <w:p w14:paraId="047318A3" w14:textId="2FF010EC" w:rsidR="00987692" w:rsidRPr="007246D3" w:rsidRDefault="0049612B" w:rsidP="0057173C">
            <w:pPr>
              <w:spacing w:line="276" w:lineRule="auto"/>
              <w:jc w:val="both"/>
              <w:rPr>
                <w:rFonts w:ascii="Verdana" w:eastAsia="Calibri" w:hAnsi="Verdana" w:cs="Arial"/>
                <w:highlight w:val="yellow"/>
                <w:lang w:val="es-ES" w:eastAsia="es-ES"/>
              </w:rPr>
            </w:pPr>
            <w:r w:rsidRPr="0049612B">
              <w:rPr>
                <w:rFonts w:ascii="Verdana" w:eastAsia="Calibri" w:hAnsi="Verdana" w:cs="Arial"/>
                <w:lang w:val="es-ES" w:eastAsia="es-ES"/>
              </w:rPr>
              <w:t xml:space="preserve">CONTRATACIÓN PÚBLICA – Principio de publicidad – Principio de transparencia – Uso del </w:t>
            </w:r>
            <w:proofErr w:type="spellStart"/>
            <w:r w:rsidRPr="0049612B">
              <w:rPr>
                <w:rFonts w:ascii="Verdana" w:eastAsia="Calibri" w:hAnsi="Verdana" w:cs="Arial"/>
                <w:lang w:val="es-ES" w:eastAsia="es-ES"/>
              </w:rPr>
              <w:t>secop</w:t>
            </w:r>
            <w:proofErr w:type="spellEnd"/>
            <w:r w:rsidRPr="0049612B">
              <w:rPr>
                <w:rFonts w:ascii="Verdana" w:eastAsia="Calibri" w:hAnsi="Verdana" w:cs="Arial"/>
                <w:lang w:val="es-ES" w:eastAsia="es-ES"/>
              </w:rPr>
              <w:t xml:space="preserve"> </w:t>
            </w:r>
            <w:r w:rsidR="00987692" w:rsidRPr="0049612B">
              <w:rPr>
                <w:rFonts w:ascii="Verdana" w:eastAsia="Calibri" w:hAnsi="Verdana" w:cs="Arial"/>
                <w:lang w:val="es-ES" w:eastAsia="es-ES"/>
              </w:rPr>
              <w:t xml:space="preserve">/ </w:t>
            </w:r>
            <w:r w:rsidRPr="0049612B">
              <w:rPr>
                <w:rFonts w:ascii="Verdana" w:eastAsia="Calibri" w:hAnsi="Verdana" w:cs="Arial"/>
                <w:lang w:val="es-ES" w:eastAsia="es-ES"/>
              </w:rPr>
              <w:t xml:space="preserve">COLOMBIA COMPRA EFICIENTE – Administradora del </w:t>
            </w:r>
            <w:proofErr w:type="spellStart"/>
            <w:r w:rsidRPr="0049612B">
              <w:rPr>
                <w:rFonts w:ascii="Verdana" w:eastAsia="Calibri" w:hAnsi="Verdana" w:cs="Arial"/>
                <w:lang w:val="es-ES" w:eastAsia="es-ES"/>
              </w:rPr>
              <w:t>secop</w:t>
            </w:r>
            <w:proofErr w:type="spellEnd"/>
            <w:r w:rsidRPr="0049612B">
              <w:rPr>
                <w:rFonts w:ascii="Verdana" w:eastAsia="Calibri" w:hAnsi="Verdana" w:cs="Arial"/>
                <w:lang w:val="es-ES" w:eastAsia="es-ES"/>
              </w:rPr>
              <w:t xml:space="preserve"> – Ente rector en contratación  </w:t>
            </w:r>
          </w:p>
          <w:p w14:paraId="4E84DF0F" w14:textId="77777777" w:rsidR="00987692" w:rsidRPr="007246D3" w:rsidRDefault="00987692" w:rsidP="0057173C">
            <w:pPr>
              <w:spacing w:line="276" w:lineRule="auto"/>
              <w:jc w:val="both"/>
              <w:rPr>
                <w:rFonts w:ascii="Verdana" w:eastAsia="Calibri" w:hAnsi="Verdana" w:cs="Arial"/>
                <w:highlight w:val="yellow"/>
                <w:lang w:val="es-ES" w:eastAsia="es-ES"/>
              </w:rPr>
            </w:pPr>
          </w:p>
        </w:tc>
      </w:tr>
      <w:tr w:rsidR="00987692" w:rsidRPr="00FC49A2" w14:paraId="67FFF090" w14:textId="77777777" w:rsidTr="0057173C">
        <w:tc>
          <w:tcPr>
            <w:tcW w:w="2689" w:type="dxa"/>
          </w:tcPr>
          <w:p w14:paraId="4E8D858D" w14:textId="77777777" w:rsidR="00987692" w:rsidRPr="00FC49A2" w:rsidRDefault="00987692" w:rsidP="0057173C">
            <w:pPr>
              <w:jc w:val="both"/>
              <w:rPr>
                <w:rFonts w:ascii="Verdana" w:eastAsia="Calibri" w:hAnsi="Verdana" w:cs="Arial"/>
                <w:b/>
                <w:lang w:val="es-ES_tradnl" w:eastAsia="es-ES_tradnl"/>
              </w:rPr>
            </w:pPr>
            <w:r w:rsidRPr="00FC49A2">
              <w:rPr>
                <w:rFonts w:ascii="Verdana" w:eastAsia="Calibri" w:hAnsi="Verdana" w:cs="Arial"/>
                <w:b/>
                <w:lang w:val="es-ES_tradnl" w:eastAsia="es-ES_tradnl"/>
              </w:rPr>
              <w:t>Radicación:</w:t>
            </w:r>
            <w:r w:rsidRPr="00FC49A2">
              <w:rPr>
                <w:rFonts w:ascii="Verdana" w:eastAsia="Calibri" w:hAnsi="Verdana" w:cs="Arial"/>
                <w:lang w:val="es-ES_tradnl" w:eastAsia="es-ES_tradnl"/>
              </w:rPr>
              <w:t xml:space="preserve">               </w:t>
            </w:r>
          </w:p>
        </w:tc>
        <w:tc>
          <w:tcPr>
            <w:tcW w:w="6100" w:type="dxa"/>
          </w:tcPr>
          <w:p w14:paraId="2649604B" w14:textId="11AC071A" w:rsidR="00987692" w:rsidRPr="00FC49A2" w:rsidRDefault="00987692" w:rsidP="0057173C">
            <w:pPr>
              <w:jc w:val="both"/>
              <w:rPr>
                <w:rFonts w:ascii="Verdana" w:eastAsia="Calibri" w:hAnsi="Verdana" w:cs="Arial"/>
                <w:lang w:val="es-ES_tradnl" w:eastAsia="es-ES_tradnl"/>
              </w:rPr>
            </w:pPr>
            <w:r w:rsidRPr="00FC49A2">
              <w:rPr>
                <w:rFonts w:ascii="Verdana" w:eastAsia="Calibri" w:hAnsi="Verdana" w:cs="Arial"/>
                <w:lang w:val="es-ES_tradnl" w:eastAsia="es-ES_tradnl"/>
              </w:rPr>
              <w:t xml:space="preserve">Respuesta a consulta con radicado No. </w:t>
            </w:r>
            <w:r w:rsidR="00D80D31" w:rsidRPr="00D80D31">
              <w:rPr>
                <w:rFonts w:ascii="Verdana" w:eastAsia="Calibri" w:hAnsi="Verdana" w:cs="Arial"/>
                <w:lang w:val="es-ES_tradnl" w:eastAsia="es-ES_tradnl"/>
              </w:rPr>
              <w:t>P20240724007586</w:t>
            </w:r>
            <w:r w:rsidR="00D80D31" w:rsidRPr="00D80D31">
              <w:rPr>
                <w:rFonts w:ascii="Verdana" w:eastAsia="Calibri" w:hAnsi="Verdana" w:cs="Arial"/>
                <w:lang w:val="es-ES_tradnl" w:eastAsia="es-ES_tradnl"/>
              </w:rPr>
              <w:tab/>
            </w:r>
            <w:r w:rsidRPr="00FC49A2">
              <w:rPr>
                <w:rFonts w:ascii="Verdana" w:eastAsia="Calibri" w:hAnsi="Verdana" w:cs="Arial"/>
                <w:lang w:val="es-ES_tradnl" w:eastAsia="es-ES_tradnl"/>
              </w:rPr>
              <w:tab/>
            </w:r>
          </w:p>
        </w:tc>
      </w:tr>
    </w:tbl>
    <w:p w14:paraId="60BCC3EA" w14:textId="77777777" w:rsidR="00987692" w:rsidRPr="00FC49A2" w:rsidRDefault="00987692" w:rsidP="00987692">
      <w:pPr>
        <w:spacing w:after="0" w:line="240" w:lineRule="auto"/>
        <w:jc w:val="both"/>
        <w:rPr>
          <w:rFonts w:ascii="Verdana" w:eastAsia="Calibri" w:hAnsi="Verdana" w:cs="Arial"/>
          <w:lang w:val="es-ES_tradnl" w:eastAsia="es-ES_tradnl"/>
        </w:rPr>
      </w:pPr>
    </w:p>
    <w:p w14:paraId="44B4CEA9" w14:textId="77777777" w:rsidR="00987692" w:rsidRPr="00FC49A2" w:rsidRDefault="00987692" w:rsidP="00987692">
      <w:pPr>
        <w:spacing w:after="0" w:line="240" w:lineRule="auto"/>
        <w:jc w:val="both"/>
        <w:rPr>
          <w:rFonts w:ascii="Verdana" w:eastAsia="Calibri" w:hAnsi="Verdana" w:cs="Arial"/>
          <w:lang w:val="es-ES_tradnl" w:eastAsia="es-ES_tradnl"/>
        </w:rPr>
      </w:pPr>
    </w:p>
    <w:p w14:paraId="6768FD63" w14:textId="328015A7" w:rsidR="00987692" w:rsidRPr="00FC49A2" w:rsidRDefault="00987692" w:rsidP="00987692">
      <w:pPr>
        <w:spacing w:after="0" w:line="276" w:lineRule="auto"/>
        <w:jc w:val="both"/>
        <w:rPr>
          <w:rFonts w:ascii="Verdana" w:eastAsia="Calibri" w:hAnsi="Verdana" w:cs="Arial"/>
          <w:lang w:val="es-ES" w:eastAsia="es-ES"/>
        </w:rPr>
      </w:pPr>
      <w:r w:rsidRPr="00FC49A2">
        <w:rPr>
          <w:rFonts w:ascii="Verdana" w:eastAsia="Calibri" w:hAnsi="Verdana" w:cs="Arial"/>
          <w:lang w:val="es-ES" w:eastAsia="es-ES"/>
        </w:rPr>
        <w:t>Estimad</w:t>
      </w:r>
      <w:r w:rsidR="00103835">
        <w:rPr>
          <w:rFonts w:ascii="Verdana" w:eastAsia="Calibri" w:hAnsi="Verdana" w:cs="Arial"/>
          <w:lang w:val="es-ES" w:eastAsia="es-ES"/>
        </w:rPr>
        <w:t>o</w:t>
      </w:r>
      <w:r w:rsidRPr="00FC49A2">
        <w:rPr>
          <w:rFonts w:ascii="Verdana" w:eastAsia="Calibri" w:hAnsi="Verdana" w:cs="Arial"/>
          <w:lang w:val="es-ES" w:eastAsia="es-ES"/>
        </w:rPr>
        <w:t xml:space="preserve"> señor </w:t>
      </w:r>
      <w:r w:rsidR="002871CF">
        <w:rPr>
          <w:rFonts w:ascii="Verdana" w:eastAsia="Calibri" w:hAnsi="Verdana" w:cs="Arial"/>
          <w:lang w:val="es-ES" w:eastAsia="es-ES"/>
        </w:rPr>
        <w:t>Pérez</w:t>
      </w:r>
      <w:r w:rsidRPr="00FC49A2">
        <w:rPr>
          <w:rFonts w:ascii="Verdana" w:eastAsia="Calibri" w:hAnsi="Verdana" w:cs="Arial"/>
          <w:lang w:val="es-ES" w:eastAsia="es-ES"/>
        </w:rPr>
        <w:t xml:space="preserve">: </w:t>
      </w:r>
    </w:p>
    <w:p w14:paraId="41CDB08E" w14:textId="77777777" w:rsidR="00987692" w:rsidRPr="00FC49A2" w:rsidRDefault="00987692" w:rsidP="00987692">
      <w:pPr>
        <w:tabs>
          <w:tab w:val="left" w:pos="3768"/>
        </w:tabs>
        <w:spacing w:after="0" w:line="276" w:lineRule="auto"/>
        <w:jc w:val="both"/>
        <w:rPr>
          <w:rFonts w:ascii="Verdana" w:eastAsia="Calibri" w:hAnsi="Verdana" w:cs="Arial"/>
          <w:lang w:val="es-ES" w:eastAsia="es-ES"/>
        </w:rPr>
      </w:pPr>
      <w:r w:rsidRPr="00FC49A2">
        <w:rPr>
          <w:rFonts w:ascii="Verdana" w:eastAsia="Calibri" w:hAnsi="Verdana" w:cs="Arial"/>
          <w:lang w:val="es-ES" w:eastAsia="es-ES"/>
        </w:rPr>
        <w:tab/>
      </w:r>
    </w:p>
    <w:p w14:paraId="0AFB1F84" w14:textId="557C2EFA" w:rsidR="00987692" w:rsidRPr="00FC49A2" w:rsidRDefault="00987692" w:rsidP="00987692">
      <w:pPr>
        <w:spacing w:after="0" w:line="276" w:lineRule="auto"/>
        <w:jc w:val="both"/>
        <w:rPr>
          <w:rFonts w:ascii="Verdana" w:eastAsia="Calibri" w:hAnsi="Verdana" w:cs="Arial"/>
          <w:lang w:val="es-ES" w:eastAsia="es-ES"/>
        </w:rPr>
      </w:pPr>
      <w:r w:rsidRPr="00FC49A2">
        <w:rPr>
          <w:rFonts w:ascii="Verdana" w:eastAsia="Calibri" w:hAnsi="Verdana" w:cs="Arial"/>
          <w:lang w:val="es-ES" w:eastAsia="es-ES"/>
        </w:rPr>
        <w:t>En ejercicio de la competencia otorgada por los artículos 3, numeral 5º, y 11, numeral 8º, del Decreto Ley 4170 de 2011,</w:t>
      </w:r>
      <w:r w:rsidRPr="00FC49A2">
        <w:rPr>
          <w:rFonts w:ascii="Verdana" w:eastAsia="Arial MT" w:hAnsi="Verdana" w:cs="Arial MT"/>
          <w:lang w:val="es-ES" w:eastAsia="es-ES"/>
        </w:rPr>
        <w:t xml:space="preserve"> </w:t>
      </w:r>
      <w:r w:rsidRPr="00FC49A2">
        <w:rPr>
          <w:rFonts w:ascii="Verdana" w:eastAsia="Aptos" w:hAnsi="Verdana" w:cs="Arial"/>
        </w:rPr>
        <w:t xml:space="preserve">así como lo establecido en el artículo 4 de la Resolución 1707 de 2018 expedida por esta Entidad, </w:t>
      </w:r>
      <w:r w:rsidRPr="00FC49A2">
        <w:rPr>
          <w:rFonts w:ascii="Verdana" w:eastAsia="Calibri" w:hAnsi="Verdana" w:cs="Arial"/>
          <w:lang w:val="es-ES" w:eastAsia="es-ES"/>
        </w:rPr>
        <w:t xml:space="preserve">la Agencia Nacional de Contratación Pública – Colombia Compra Eficiente– responde su solicitud de </w:t>
      </w:r>
      <w:r w:rsidR="0022730D">
        <w:rPr>
          <w:rFonts w:ascii="Verdana" w:eastAsia="Calibri" w:hAnsi="Verdana" w:cs="Arial"/>
          <w:lang w:val="es-ES" w:eastAsia="es-ES"/>
        </w:rPr>
        <w:t>petición</w:t>
      </w:r>
      <w:r w:rsidRPr="00FC49A2">
        <w:rPr>
          <w:rFonts w:ascii="Verdana" w:eastAsia="Calibri" w:hAnsi="Verdana" w:cs="Arial"/>
          <w:lang w:val="es-ES" w:eastAsia="es-ES"/>
        </w:rPr>
        <w:t xml:space="preserve"> de fecha del </w:t>
      </w:r>
      <w:r w:rsidR="00774DB6">
        <w:rPr>
          <w:rFonts w:ascii="Verdana" w:eastAsia="Calibri" w:hAnsi="Verdana" w:cs="Arial"/>
          <w:lang w:val="es-ES" w:eastAsia="es-ES"/>
        </w:rPr>
        <w:t>24</w:t>
      </w:r>
      <w:r w:rsidR="005D394F">
        <w:rPr>
          <w:rFonts w:ascii="Verdana" w:eastAsia="Calibri" w:hAnsi="Verdana" w:cs="Arial"/>
          <w:lang w:val="es-ES" w:eastAsia="es-ES"/>
        </w:rPr>
        <w:t xml:space="preserve"> de julio</w:t>
      </w:r>
      <w:r w:rsidRPr="00FC49A2">
        <w:rPr>
          <w:rFonts w:ascii="Verdana" w:eastAsia="Calibri" w:hAnsi="Verdana" w:cs="Arial"/>
          <w:lang w:val="es-ES" w:eastAsia="es-ES"/>
        </w:rPr>
        <w:t xml:space="preserve"> de 2024,</w:t>
      </w:r>
      <w:r w:rsidR="005D394F">
        <w:rPr>
          <w:rFonts w:ascii="Verdana" w:eastAsia="Calibri" w:hAnsi="Verdana" w:cs="Arial"/>
          <w:lang w:val="es-ES" w:eastAsia="es-ES"/>
        </w:rPr>
        <w:t xml:space="preserve"> </w:t>
      </w:r>
      <w:r w:rsidR="00774DB6">
        <w:rPr>
          <w:rFonts w:ascii="Verdana" w:eastAsia="Calibri" w:hAnsi="Verdana" w:cs="Arial"/>
          <w:lang w:val="es-ES" w:eastAsia="es-ES"/>
        </w:rPr>
        <w:t>en la que realiza la siguiente consulta</w:t>
      </w:r>
      <w:r w:rsidRPr="00FC49A2">
        <w:rPr>
          <w:rFonts w:ascii="Verdana" w:eastAsia="Calibri" w:hAnsi="Verdana" w:cs="Arial"/>
          <w:lang w:val="es-ES" w:eastAsia="es-ES"/>
        </w:rPr>
        <w:t xml:space="preserve">: </w:t>
      </w:r>
    </w:p>
    <w:p w14:paraId="5EF4BBF4" w14:textId="77777777" w:rsidR="00987692" w:rsidRPr="00FC49A2" w:rsidRDefault="00987692" w:rsidP="00987692">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2188D4AE" w14:textId="7BD1425E" w:rsidR="008D61D3" w:rsidRDefault="00987692" w:rsidP="008D61D3">
      <w:pPr>
        <w:tabs>
          <w:tab w:val="left" w:pos="709"/>
        </w:tabs>
        <w:spacing w:after="0" w:line="240" w:lineRule="auto"/>
        <w:ind w:left="709" w:right="709"/>
        <w:jc w:val="both"/>
        <w:rPr>
          <w:rFonts w:ascii="Verdana" w:eastAsia="Calibri" w:hAnsi="Verdana" w:cs="Arial"/>
          <w:sz w:val="20"/>
          <w:szCs w:val="20"/>
          <w:lang w:val="es-MX"/>
        </w:rPr>
      </w:pPr>
      <w:r w:rsidRPr="00FC49A2">
        <w:rPr>
          <w:rFonts w:ascii="Verdana" w:eastAsia="Calibri" w:hAnsi="Verdana" w:cs="Arial"/>
          <w:sz w:val="20"/>
          <w:szCs w:val="20"/>
          <w:lang w:val="es-MX"/>
        </w:rPr>
        <w:t>“</w:t>
      </w:r>
      <w:r w:rsidR="0022730D">
        <w:rPr>
          <w:rFonts w:ascii="Verdana" w:eastAsia="Calibri" w:hAnsi="Verdana" w:cs="Arial"/>
          <w:sz w:val="20"/>
          <w:szCs w:val="20"/>
          <w:lang w:val="es-MX"/>
        </w:rPr>
        <w:t>[…]</w:t>
      </w:r>
      <w:r w:rsidR="008D61D3">
        <w:rPr>
          <w:rFonts w:ascii="Verdana" w:eastAsia="Calibri" w:hAnsi="Verdana" w:cs="Arial"/>
          <w:sz w:val="20"/>
          <w:szCs w:val="20"/>
          <w:lang w:val="es-MX"/>
        </w:rPr>
        <w:t xml:space="preserve">estoy interesado en conocer con precisión el procedimiento de verificación de </w:t>
      </w:r>
      <w:r w:rsidR="00035A16">
        <w:rPr>
          <w:rFonts w:ascii="Verdana" w:eastAsia="Calibri" w:hAnsi="Verdana" w:cs="Arial"/>
          <w:sz w:val="20"/>
          <w:szCs w:val="20"/>
          <w:lang w:val="es-MX"/>
        </w:rPr>
        <w:t>l</w:t>
      </w:r>
      <w:r w:rsidR="008D61D3">
        <w:rPr>
          <w:rFonts w:ascii="Verdana" w:eastAsia="Calibri" w:hAnsi="Verdana" w:cs="Arial"/>
          <w:sz w:val="20"/>
          <w:szCs w:val="20"/>
          <w:lang w:val="es-MX"/>
        </w:rPr>
        <w:t>a publicación de información por parte de las entidades del Estado en el Sistema Electrónico de Contratación Pública (SECOP), de acuerdo con las normativas y lineamientos establecidos por Colombia Compra Eficiente.</w:t>
      </w:r>
    </w:p>
    <w:p w14:paraId="6DDB77E6" w14:textId="13BFC21A" w:rsidR="0054650D" w:rsidRPr="00FC49A2" w:rsidRDefault="008D61D3" w:rsidP="008D61D3">
      <w:pPr>
        <w:tabs>
          <w:tab w:val="left" w:pos="709"/>
        </w:tabs>
        <w:spacing w:before="120" w:after="0" w:line="240" w:lineRule="auto"/>
        <w:ind w:left="709" w:right="709"/>
        <w:jc w:val="both"/>
        <w:rPr>
          <w:rFonts w:ascii="Verdana" w:eastAsia="Calibri" w:hAnsi="Verdana" w:cs="Arial"/>
          <w:sz w:val="20"/>
          <w:szCs w:val="20"/>
          <w:lang w:val="es-MX"/>
        </w:rPr>
      </w:pPr>
      <w:r>
        <w:rPr>
          <w:rFonts w:ascii="Verdana" w:eastAsia="Calibri" w:hAnsi="Verdana" w:cs="Arial"/>
          <w:sz w:val="20"/>
          <w:szCs w:val="20"/>
          <w:lang w:val="es-MX"/>
        </w:rPr>
        <w:lastRenderedPageBreak/>
        <w:t xml:space="preserve">Específicamente, quisiera saber qué entidad es la encargada de llevar a cabo dicha verificación y asegurar el cumplimiento de las obligaciones de publicación de información en el </w:t>
      </w:r>
      <w:r w:rsidR="001E158E">
        <w:rPr>
          <w:rFonts w:ascii="Verdana" w:eastAsia="Calibri" w:hAnsi="Verdana" w:cs="Arial"/>
          <w:sz w:val="20"/>
          <w:szCs w:val="20"/>
          <w:lang w:val="es-MX"/>
        </w:rPr>
        <w:t>SECOP. […]”</w:t>
      </w:r>
      <w:r w:rsidR="0022730D">
        <w:rPr>
          <w:rFonts w:ascii="Verdana" w:eastAsia="Calibri" w:hAnsi="Verdana" w:cs="Arial"/>
          <w:sz w:val="20"/>
          <w:szCs w:val="20"/>
          <w:lang w:val="es-MX"/>
        </w:rPr>
        <w:t xml:space="preserve"> </w:t>
      </w:r>
    </w:p>
    <w:p w14:paraId="095E68EF" w14:textId="77777777" w:rsidR="00987692" w:rsidRPr="00FC49A2" w:rsidRDefault="00987692" w:rsidP="00987692">
      <w:pPr>
        <w:tabs>
          <w:tab w:val="left" w:pos="142"/>
          <w:tab w:val="left" w:pos="284"/>
        </w:tabs>
        <w:spacing w:line="276" w:lineRule="auto"/>
        <w:contextualSpacing/>
        <w:jc w:val="both"/>
        <w:rPr>
          <w:rFonts w:ascii="Verdana" w:eastAsia="Century Gothic" w:hAnsi="Verdana" w:cs="Century Gothic"/>
          <w:b/>
          <w:bCs/>
          <w:lang w:val="es-ES"/>
        </w:rPr>
      </w:pPr>
    </w:p>
    <w:p w14:paraId="05EC3BE5" w14:textId="77777777" w:rsidR="00987692" w:rsidRPr="00FC49A2" w:rsidRDefault="00987692" w:rsidP="00987692">
      <w:pPr>
        <w:spacing w:after="120" w:line="276" w:lineRule="auto"/>
        <w:ind w:firstLine="709"/>
        <w:jc w:val="both"/>
        <w:rPr>
          <w:rFonts w:ascii="Verdana" w:eastAsia="Calibri" w:hAnsi="Verdana" w:cs="Arial"/>
          <w:szCs w:val="24"/>
          <w:lang w:val="es-ES_tradnl" w:eastAsia="es-ES_tradnl"/>
        </w:rPr>
      </w:pPr>
      <w:r w:rsidRPr="00FC49A2">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FC49A2">
        <w:rPr>
          <w:rFonts w:ascii="Verdana" w:eastAsia="Calibri" w:hAnsi="Verdana" w:cs="Arial"/>
          <w:szCs w:val="24"/>
          <w:lang w:val="es-ES_tradnl" w:eastAsia="es-ES_tradnl"/>
        </w:rPr>
        <w:tab/>
      </w:r>
    </w:p>
    <w:p w14:paraId="52C273F7" w14:textId="77777777" w:rsidR="00987692" w:rsidRPr="00FC49A2" w:rsidRDefault="00987692" w:rsidP="00987692">
      <w:pPr>
        <w:spacing w:after="0" w:line="276" w:lineRule="auto"/>
        <w:ind w:firstLine="709"/>
        <w:jc w:val="both"/>
        <w:rPr>
          <w:rFonts w:ascii="Verdana" w:eastAsia="Calibri" w:hAnsi="Verdana" w:cs="Arial"/>
          <w:lang w:val="es-ES" w:eastAsia="es-ES"/>
        </w:rPr>
      </w:pPr>
      <w:r w:rsidRPr="00FC49A2">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08E7B848" w14:textId="77777777" w:rsidR="00987692" w:rsidRPr="00FC49A2" w:rsidRDefault="00987692" w:rsidP="00987692">
      <w:pPr>
        <w:spacing w:after="0" w:line="276" w:lineRule="auto"/>
        <w:ind w:firstLine="709"/>
        <w:jc w:val="both"/>
        <w:rPr>
          <w:rFonts w:ascii="Verdana" w:eastAsia="Calibri" w:hAnsi="Verdana" w:cs="Arial"/>
          <w:lang w:val="es-ES" w:eastAsia="es-ES"/>
        </w:rPr>
      </w:pPr>
    </w:p>
    <w:p w14:paraId="3C9544B3" w14:textId="77777777" w:rsidR="00987692" w:rsidRPr="00FC49A2" w:rsidRDefault="00987692" w:rsidP="00987692">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FC49A2">
        <w:rPr>
          <w:rFonts w:ascii="Verdana" w:eastAsia="Arial" w:hAnsi="Verdana" w:cs="Arial"/>
          <w:b/>
          <w:bCs/>
          <w:lang w:val="es-ES"/>
        </w:rPr>
        <w:t>1. Problema planteado:</w:t>
      </w:r>
    </w:p>
    <w:p w14:paraId="457956C0" w14:textId="77777777" w:rsidR="00987692" w:rsidRPr="00FC49A2" w:rsidRDefault="00987692" w:rsidP="00987692">
      <w:pPr>
        <w:tabs>
          <w:tab w:val="left" w:pos="426"/>
        </w:tabs>
        <w:spacing w:after="0" w:line="276" w:lineRule="auto"/>
        <w:jc w:val="both"/>
        <w:rPr>
          <w:rFonts w:ascii="Verdana" w:eastAsia="Century Gothic" w:hAnsi="Verdana" w:cs="Century Gothic"/>
          <w:lang w:val="es-ES"/>
        </w:rPr>
      </w:pPr>
    </w:p>
    <w:p w14:paraId="5B01E7C7" w14:textId="776F290A" w:rsidR="00987692" w:rsidRPr="005D756D" w:rsidRDefault="00987692" w:rsidP="00987692">
      <w:pPr>
        <w:spacing w:after="0" w:line="276" w:lineRule="auto"/>
        <w:jc w:val="both"/>
        <w:rPr>
          <w:rFonts w:ascii="Verdana" w:eastAsia="Century Gothic" w:hAnsi="Verdana" w:cs="Century Gothic"/>
        </w:rPr>
      </w:pPr>
      <w:r w:rsidRPr="00FC49A2">
        <w:rPr>
          <w:rFonts w:ascii="Verdana" w:eastAsia="Century Gothic" w:hAnsi="Verdana" w:cs="Century Gothic"/>
        </w:rPr>
        <w:t xml:space="preserve">De acuerdo con el contenido de su solicitud, se evidencia que la misma está relacionada </w:t>
      </w:r>
      <w:r w:rsidR="0020631F">
        <w:rPr>
          <w:rFonts w:ascii="Verdana" w:eastAsia="Century Gothic" w:hAnsi="Verdana" w:cs="Century Gothic"/>
        </w:rPr>
        <w:t>el Sistema Electrónico para la Contratación Pública - SECOP</w:t>
      </w:r>
      <w:r w:rsidRPr="00FC49A2">
        <w:rPr>
          <w:rFonts w:ascii="Verdana" w:eastAsia="Century Gothic" w:hAnsi="Verdana" w:cs="Century Gothic"/>
        </w:rPr>
        <w:t xml:space="preserve">. Por lo que, se resolverá su consulta desde </w:t>
      </w:r>
      <w:r w:rsidR="00035A16">
        <w:rPr>
          <w:rFonts w:ascii="Verdana" w:eastAsia="Century Gothic" w:hAnsi="Verdana" w:cs="Century Gothic"/>
        </w:rPr>
        <w:t>el</w:t>
      </w:r>
      <w:r w:rsidRPr="00FC49A2">
        <w:rPr>
          <w:rFonts w:ascii="Verdana" w:eastAsia="Century Gothic" w:hAnsi="Verdana" w:cs="Century Gothic"/>
        </w:rPr>
        <w:t xml:space="preserve"> siguiente problema jurídico:</w:t>
      </w:r>
      <w:bookmarkStart w:id="1" w:name="_Hlk171070029"/>
      <w:r w:rsidRPr="00FC49A2">
        <w:rPr>
          <w:rFonts w:ascii="Verdana" w:eastAsia="Century Gothic" w:hAnsi="Verdana" w:cs="Century Gothic"/>
        </w:rPr>
        <w:t xml:space="preserve"> </w:t>
      </w:r>
      <w:r w:rsidR="003204A3">
        <w:rPr>
          <w:rFonts w:ascii="Verdana" w:eastAsia="Century Gothic" w:hAnsi="Verdana" w:cs="Century Gothic"/>
        </w:rPr>
        <w:t xml:space="preserve">¿cuál es </w:t>
      </w:r>
      <w:r w:rsidR="003204A3" w:rsidRPr="003204A3">
        <w:rPr>
          <w:rFonts w:ascii="Verdana" w:eastAsia="Century Gothic" w:hAnsi="Verdana" w:cs="Century Gothic"/>
        </w:rPr>
        <w:t>el procedimiento de verificación de publicación de</w:t>
      </w:r>
      <w:r w:rsidR="002D41E4">
        <w:rPr>
          <w:rFonts w:ascii="Verdana" w:eastAsia="Century Gothic" w:hAnsi="Verdana" w:cs="Century Gothic"/>
        </w:rPr>
        <w:t xml:space="preserve"> la</w:t>
      </w:r>
      <w:r w:rsidR="003204A3" w:rsidRPr="003204A3">
        <w:rPr>
          <w:rFonts w:ascii="Verdana" w:eastAsia="Century Gothic" w:hAnsi="Verdana" w:cs="Century Gothic"/>
        </w:rPr>
        <w:t xml:space="preserve"> información por parte de las </w:t>
      </w:r>
      <w:r w:rsidR="00262B64">
        <w:rPr>
          <w:rFonts w:ascii="Verdana" w:eastAsia="Century Gothic" w:hAnsi="Verdana" w:cs="Century Gothic"/>
        </w:rPr>
        <w:t>Entidades Estatales</w:t>
      </w:r>
      <w:r w:rsidR="003204A3" w:rsidRPr="003204A3">
        <w:rPr>
          <w:rFonts w:ascii="Verdana" w:eastAsia="Century Gothic" w:hAnsi="Verdana" w:cs="Century Gothic"/>
        </w:rPr>
        <w:t xml:space="preserve"> en el </w:t>
      </w:r>
      <w:r w:rsidR="002933EA">
        <w:rPr>
          <w:rFonts w:ascii="Verdana" w:eastAsia="Century Gothic" w:hAnsi="Verdana" w:cs="Century Gothic"/>
        </w:rPr>
        <w:t>SECOP</w:t>
      </w:r>
      <w:r w:rsidR="003204A3">
        <w:rPr>
          <w:rFonts w:ascii="Verdana" w:eastAsia="Century Gothic" w:hAnsi="Verdana" w:cs="Century Gothic"/>
        </w:rPr>
        <w:t xml:space="preserve">?, y ¿cuál es la </w:t>
      </w:r>
      <w:r w:rsidR="003204A3" w:rsidRPr="003204A3">
        <w:rPr>
          <w:rFonts w:ascii="Verdana" w:eastAsia="Century Gothic" w:hAnsi="Verdana" w:cs="Century Gothic"/>
        </w:rPr>
        <w:t xml:space="preserve">entidad encargada de llevar a cabo dicha verificación y asegurar el cumplimiento de las obligaciones de publicación de </w:t>
      </w:r>
      <w:r w:rsidR="00C93405">
        <w:rPr>
          <w:rFonts w:ascii="Verdana" w:eastAsia="Century Gothic" w:hAnsi="Verdana" w:cs="Century Gothic"/>
        </w:rPr>
        <w:t xml:space="preserve">la </w:t>
      </w:r>
      <w:r w:rsidR="003204A3" w:rsidRPr="003204A3">
        <w:rPr>
          <w:rFonts w:ascii="Verdana" w:eastAsia="Century Gothic" w:hAnsi="Verdana" w:cs="Century Gothic"/>
        </w:rPr>
        <w:t>información en el SECOP</w:t>
      </w:r>
      <w:r w:rsidR="003204A3">
        <w:rPr>
          <w:rFonts w:ascii="Verdana" w:eastAsia="Century Gothic" w:hAnsi="Verdana" w:cs="Century Gothic"/>
        </w:rPr>
        <w:t>?</w:t>
      </w:r>
    </w:p>
    <w:p w14:paraId="7325A9F0" w14:textId="77777777" w:rsidR="00987692" w:rsidRPr="00FC49A2" w:rsidRDefault="00987692" w:rsidP="00987692">
      <w:pPr>
        <w:spacing w:after="0" w:line="276" w:lineRule="auto"/>
        <w:jc w:val="both"/>
        <w:rPr>
          <w:rFonts w:ascii="Verdana" w:eastAsia="Calibri" w:hAnsi="Verdana" w:cs="Arial"/>
          <w:color w:val="7030A0"/>
          <w:lang w:val="es-ES"/>
        </w:rPr>
      </w:pPr>
    </w:p>
    <w:bookmarkEnd w:id="1"/>
    <w:p w14:paraId="06F54491" w14:textId="6261D13E" w:rsidR="00987692" w:rsidRPr="00FC49A2" w:rsidRDefault="00987692" w:rsidP="00987692">
      <w:pPr>
        <w:widowControl w:val="0"/>
        <w:autoSpaceDE w:val="0"/>
        <w:autoSpaceDN w:val="0"/>
        <w:spacing w:before="1" w:after="0" w:line="240" w:lineRule="auto"/>
        <w:jc w:val="both"/>
        <w:outlineLvl w:val="0"/>
        <w:rPr>
          <w:rFonts w:ascii="Verdana" w:eastAsia="Arial" w:hAnsi="Verdana" w:cs="Arial"/>
          <w:b/>
          <w:bCs/>
          <w:lang w:val="es-ES"/>
        </w:rPr>
      </w:pPr>
      <w:r w:rsidRPr="00FC49A2">
        <w:rPr>
          <w:rFonts w:ascii="Verdana" w:eastAsia="Arial" w:hAnsi="Verdana" w:cs="Arial"/>
          <w:b/>
          <w:bCs/>
          <w:lang w:val="es-ES"/>
        </w:rPr>
        <w:t>2. Respuesta:</w:t>
      </w:r>
    </w:p>
    <w:p w14:paraId="550CF2F7" w14:textId="77777777" w:rsidR="00987692" w:rsidRPr="00FC49A2" w:rsidRDefault="00987692" w:rsidP="00987692">
      <w:pPr>
        <w:spacing w:after="0"/>
        <w:rPr>
          <w:rFonts w:ascii="Verdana" w:eastAsia="Aptos" w:hAnsi="Verdana" w:cs="Times New Roman"/>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87692" w:rsidRPr="00FC49A2" w14:paraId="45EDA8B4" w14:textId="77777777" w:rsidTr="0057173C">
        <w:tc>
          <w:tcPr>
            <w:tcW w:w="8828" w:type="dxa"/>
            <w:shd w:val="clear" w:color="auto" w:fill="auto"/>
          </w:tcPr>
          <w:p w14:paraId="6CD1C133" w14:textId="12E6D069" w:rsidR="00380A29" w:rsidRPr="00826F65" w:rsidRDefault="00C464DD" w:rsidP="001A0F69">
            <w:pPr>
              <w:spacing w:line="276" w:lineRule="auto"/>
              <w:jc w:val="both"/>
              <w:rPr>
                <w:rFonts w:ascii="Verdana" w:eastAsia="Calibri" w:hAnsi="Verdana" w:cs="Arial"/>
                <w:lang w:val="es-ES"/>
              </w:rPr>
            </w:pPr>
            <w:bookmarkStart w:id="2" w:name="_Hlk171067516"/>
            <w:r w:rsidRPr="00F20DB4">
              <w:rPr>
                <w:rFonts w:ascii="Verdana" w:eastAsia="Calibri" w:hAnsi="Verdana" w:cs="Arial"/>
                <w:lang w:val="es-ES"/>
              </w:rPr>
              <w:t xml:space="preserve">La Agencia Nacional de Contratación Pública – Colombia Compra Eficiente, de conformidad con lo establecido en el numeral 8 del artículo 3 del Decreto Ley 4170 de 2011, es la encargada de desarrollar y administrar el Sistema </w:t>
            </w:r>
            <w:r w:rsidRPr="00F20DB4">
              <w:rPr>
                <w:rFonts w:ascii="Verdana" w:eastAsia="Calibri" w:hAnsi="Verdana" w:cs="Arial"/>
                <w:lang w:val="es-ES"/>
              </w:rPr>
              <w:lastRenderedPageBreak/>
              <w:t xml:space="preserve">Electrónico para la Contratación Pública, en adelante SECOP. </w:t>
            </w:r>
            <w:bookmarkStart w:id="3" w:name="_Hlk175322683"/>
            <w:r w:rsidRPr="00F20DB4">
              <w:rPr>
                <w:rFonts w:ascii="Verdana" w:eastAsia="Calibri" w:hAnsi="Verdana" w:cs="Arial"/>
                <w:lang w:val="es-ES"/>
              </w:rPr>
              <w:t>Sin embargo, debe precisarse que esta entidad no fue facultada por el legislador para verificar el deber de publicación de la información contractual por parte de las Entidades Estatales en el SECOP</w:t>
            </w:r>
            <w:r>
              <w:rPr>
                <w:rFonts w:ascii="Verdana" w:eastAsia="Calibri" w:hAnsi="Verdana" w:cs="Arial"/>
                <w:lang w:val="es-ES"/>
              </w:rPr>
              <w:t xml:space="preserve"> ni para verificar el cumplimiento de obligaciones que son </w:t>
            </w:r>
            <w:r w:rsidRPr="004765B5">
              <w:rPr>
                <w:rFonts w:ascii="Verdana" w:eastAsia="Calibri" w:hAnsi="Verdana" w:cs="Arial"/>
                <w:i/>
                <w:iCs/>
                <w:lang w:val="es-ES"/>
              </w:rPr>
              <w:t>inter partes</w:t>
            </w:r>
            <w:r w:rsidRPr="00F20DB4">
              <w:rPr>
                <w:rFonts w:ascii="Verdana" w:eastAsia="Calibri" w:hAnsi="Verdana" w:cs="Arial"/>
                <w:lang w:val="es-ES"/>
              </w:rPr>
              <w:t>; sino que, en el marco de sus competencias, particularmente en las dispuestas en el numeral 5 del artículo 3 ibidem, solo es competente para establecer lineamientos para el uso obligatorio de dicha plataforma.</w:t>
            </w:r>
            <w:bookmarkEnd w:id="3"/>
          </w:p>
        </w:tc>
      </w:tr>
      <w:bookmarkEnd w:id="2"/>
    </w:tbl>
    <w:p w14:paraId="6176C9A3" w14:textId="77777777" w:rsidR="00B84305" w:rsidRDefault="00B84305" w:rsidP="00987692">
      <w:pPr>
        <w:widowControl w:val="0"/>
        <w:autoSpaceDE w:val="0"/>
        <w:autoSpaceDN w:val="0"/>
        <w:spacing w:before="1" w:after="0" w:line="240" w:lineRule="auto"/>
        <w:ind w:left="360" w:hanging="360"/>
        <w:outlineLvl w:val="0"/>
        <w:rPr>
          <w:rFonts w:ascii="Verdana" w:eastAsia="Arial" w:hAnsi="Verdana" w:cs="Arial"/>
          <w:b/>
          <w:bCs/>
          <w:lang w:val="es-ES"/>
        </w:rPr>
      </w:pPr>
    </w:p>
    <w:p w14:paraId="525AEA95" w14:textId="4C9659E2" w:rsidR="00987692" w:rsidRPr="00FC49A2" w:rsidRDefault="00987692" w:rsidP="00B84305">
      <w:pPr>
        <w:widowControl w:val="0"/>
        <w:autoSpaceDE w:val="0"/>
        <w:autoSpaceDN w:val="0"/>
        <w:spacing w:before="1" w:after="0" w:line="240" w:lineRule="auto"/>
        <w:ind w:left="360" w:hanging="360"/>
        <w:outlineLvl w:val="0"/>
        <w:rPr>
          <w:rFonts w:ascii="Verdana" w:eastAsia="Arial" w:hAnsi="Verdana" w:cs="Arial"/>
          <w:b/>
          <w:bCs/>
          <w:lang w:val="es-ES"/>
        </w:rPr>
      </w:pPr>
      <w:r w:rsidRPr="00FC49A2">
        <w:rPr>
          <w:rFonts w:ascii="Verdana" w:eastAsia="Arial" w:hAnsi="Verdana" w:cs="Arial"/>
          <w:b/>
          <w:bCs/>
          <w:lang w:val="es-ES"/>
        </w:rPr>
        <w:t>3.</w:t>
      </w:r>
      <w:r w:rsidR="00B84305">
        <w:rPr>
          <w:rFonts w:ascii="Verdana" w:eastAsia="Arial" w:hAnsi="Verdana" w:cs="Arial"/>
          <w:b/>
          <w:bCs/>
          <w:lang w:val="es-ES"/>
        </w:rPr>
        <w:t xml:space="preserve"> </w:t>
      </w:r>
      <w:r w:rsidRPr="00FC49A2">
        <w:rPr>
          <w:rFonts w:ascii="Verdana" w:eastAsia="Arial" w:hAnsi="Verdana" w:cs="Arial"/>
          <w:b/>
          <w:bCs/>
          <w:lang w:val="es-ES"/>
        </w:rPr>
        <w:t>Razones de la respuesta</w:t>
      </w:r>
    </w:p>
    <w:p w14:paraId="04E63F7B" w14:textId="77777777" w:rsidR="00987692" w:rsidRPr="00FC49A2" w:rsidRDefault="00987692" w:rsidP="00987692">
      <w:pPr>
        <w:spacing w:after="0" w:line="276" w:lineRule="auto"/>
        <w:jc w:val="both"/>
        <w:rPr>
          <w:rFonts w:ascii="Verdana" w:eastAsia="Calibri" w:hAnsi="Verdana" w:cs="Arial"/>
          <w:lang w:val="es-ES"/>
        </w:rPr>
      </w:pPr>
    </w:p>
    <w:p w14:paraId="101E1400" w14:textId="5485CBDE" w:rsidR="00987692" w:rsidRPr="00FC49A2" w:rsidRDefault="00987692" w:rsidP="00987692">
      <w:pPr>
        <w:spacing w:after="0" w:line="276" w:lineRule="auto"/>
        <w:jc w:val="both"/>
        <w:rPr>
          <w:rFonts w:ascii="Verdana" w:eastAsia="Calibri" w:hAnsi="Verdana" w:cs="Arial"/>
          <w:lang w:val="es-ES"/>
        </w:rPr>
      </w:pPr>
      <w:r w:rsidRPr="00FC49A2">
        <w:rPr>
          <w:rFonts w:ascii="Verdana" w:eastAsia="Calibri" w:hAnsi="Verdana" w:cs="Arial"/>
          <w:lang w:val="es-ES"/>
        </w:rPr>
        <w:t xml:space="preserve">Las respuestas anteriores se sustentan en las siguientes consideraciones: </w:t>
      </w:r>
    </w:p>
    <w:p w14:paraId="549C659F" w14:textId="77777777" w:rsidR="00987692" w:rsidRPr="00FC49A2" w:rsidRDefault="00987692" w:rsidP="00E838BD">
      <w:pPr>
        <w:spacing w:after="0" w:line="276" w:lineRule="auto"/>
        <w:contextualSpacing/>
        <w:jc w:val="both"/>
        <w:rPr>
          <w:rFonts w:ascii="Verdana" w:eastAsia="Calibri" w:hAnsi="Verdana" w:cs="Arial"/>
          <w:lang w:val="es-ES"/>
        </w:rPr>
      </w:pPr>
    </w:p>
    <w:p w14:paraId="6F779560" w14:textId="25396D6F" w:rsidR="003714A2" w:rsidRDefault="00FB0C8F" w:rsidP="005B45C6">
      <w:pPr>
        <w:numPr>
          <w:ilvl w:val="0"/>
          <w:numId w:val="3"/>
        </w:numPr>
        <w:spacing w:after="0" w:line="276" w:lineRule="auto"/>
        <w:contextualSpacing/>
        <w:jc w:val="both"/>
        <w:rPr>
          <w:rFonts w:ascii="Verdana" w:eastAsia="Calibri" w:hAnsi="Verdana" w:cs="Arial"/>
          <w:lang w:val="es-ES"/>
        </w:rPr>
      </w:pPr>
      <w:bookmarkStart w:id="4" w:name="_Hlk173311098"/>
      <w:r>
        <w:rPr>
          <w:rFonts w:ascii="Verdana" w:eastAsia="Calibri" w:hAnsi="Verdana" w:cs="Arial"/>
          <w:lang w:val="es-ES"/>
        </w:rPr>
        <w:t xml:space="preserve">Uno de los postulados más importantes de un Estado Social de </w:t>
      </w:r>
      <w:r w:rsidR="0081382F" w:rsidRPr="0081382F">
        <w:rPr>
          <w:rFonts w:ascii="Verdana" w:eastAsia="Calibri" w:hAnsi="Verdana" w:cs="Arial"/>
          <w:lang w:val="es-ES"/>
        </w:rPr>
        <w:t>y Democrático de Derecho es el principio de publicidad, pues este permite que las actuaciones de las autoridades gocen de visibilidad.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artículo 74, que consagra la garantía de acceso a los documentos públicos que no gocen de reserva –y esta, además, es excepcional, pues solo procede si existe causal constitucional o legal expresa–.</w:t>
      </w:r>
    </w:p>
    <w:p w14:paraId="0BDCDE5C" w14:textId="77777777" w:rsidR="0081382F" w:rsidRDefault="0081382F" w:rsidP="0081382F">
      <w:pPr>
        <w:spacing w:after="0" w:line="276" w:lineRule="auto"/>
        <w:ind w:left="720"/>
        <w:contextualSpacing/>
        <w:jc w:val="both"/>
        <w:rPr>
          <w:rFonts w:ascii="Verdana" w:eastAsia="Calibri" w:hAnsi="Verdana" w:cs="Arial"/>
          <w:lang w:val="es-ES"/>
        </w:rPr>
      </w:pPr>
    </w:p>
    <w:p w14:paraId="56B5EE30" w14:textId="59AFEAD0" w:rsidR="00FB0C8F" w:rsidRPr="00BB71DA" w:rsidRDefault="0081382F" w:rsidP="00BB71DA">
      <w:pPr>
        <w:numPr>
          <w:ilvl w:val="0"/>
          <w:numId w:val="3"/>
        </w:numPr>
        <w:spacing w:after="0" w:line="276" w:lineRule="auto"/>
        <w:contextualSpacing/>
        <w:jc w:val="both"/>
        <w:rPr>
          <w:rFonts w:ascii="Verdana" w:eastAsia="Calibri" w:hAnsi="Verdana" w:cs="Arial"/>
          <w:lang w:val="es-ES"/>
        </w:rPr>
      </w:pPr>
      <w:r>
        <w:rPr>
          <w:rFonts w:ascii="Verdana" w:eastAsia="Calibri" w:hAnsi="Verdana" w:cs="Arial"/>
          <w:lang w:val="es-ES"/>
        </w:rPr>
        <w:t xml:space="preserve">El principio de publicidad impone a las autoridades </w:t>
      </w:r>
      <w:proofErr w:type="spellStart"/>
      <w:r>
        <w:rPr>
          <w:rFonts w:ascii="Verdana" w:eastAsia="Calibri" w:hAnsi="Verdana" w:cs="Arial"/>
          <w:lang w:val="es-ES"/>
        </w:rPr>
        <w:t>el</w:t>
      </w:r>
      <w:proofErr w:type="spellEnd"/>
      <w:r>
        <w:rPr>
          <w:rFonts w:ascii="Verdana" w:eastAsia="Calibri" w:hAnsi="Verdana" w:cs="Arial"/>
          <w:lang w:val="es-ES"/>
        </w:rPr>
        <w:t xml:space="preserve"> debe de dar a conocer sus actos, contratos y decisiones, par</w:t>
      </w:r>
      <w:r w:rsidR="004A0C22">
        <w:rPr>
          <w:rFonts w:ascii="Verdana" w:eastAsia="Calibri" w:hAnsi="Verdana" w:cs="Arial"/>
          <w:lang w:val="es-ES"/>
        </w:rPr>
        <w:t>a</w:t>
      </w:r>
      <w:r>
        <w:rPr>
          <w:rFonts w:ascii="Verdana" w:eastAsia="Calibri" w:hAnsi="Verdana" w:cs="Arial"/>
          <w:lang w:val="es-ES"/>
        </w:rPr>
        <w:t xml:space="preserve"> que se divulguen y, eventualmente, se controlen dichas actuaciones. </w:t>
      </w:r>
      <w:r w:rsidR="005E517A" w:rsidRPr="005E517A">
        <w:rPr>
          <w:rFonts w:ascii="Verdana" w:eastAsia="Calibri" w:hAnsi="Verdana" w:cs="Arial"/>
          <w:lang w:val="es-ES"/>
        </w:rPr>
        <w:t>Es por eso que, en materia de la contratación estatal, el literal c) del artículo 3 de la Ley 1150 de 2007 establece el Sistema Electrónico para la Contratación Pública</w:t>
      </w:r>
      <w:r w:rsidR="00837624">
        <w:rPr>
          <w:rFonts w:ascii="Verdana" w:eastAsia="Calibri" w:hAnsi="Verdana" w:cs="Arial"/>
          <w:lang w:val="es-ES"/>
        </w:rPr>
        <w:t xml:space="preserve">, en adelante </w:t>
      </w:r>
      <w:r w:rsidR="005E517A" w:rsidRPr="005E517A">
        <w:rPr>
          <w:rFonts w:ascii="Verdana" w:eastAsia="Calibri" w:hAnsi="Verdana" w:cs="Arial"/>
          <w:lang w:val="es-ES"/>
        </w:rPr>
        <w:t>SECOP</w:t>
      </w:r>
      <w:r w:rsidR="00837624">
        <w:rPr>
          <w:rFonts w:ascii="Verdana" w:eastAsia="Calibri" w:hAnsi="Verdana" w:cs="Arial"/>
          <w:lang w:val="es-ES"/>
        </w:rPr>
        <w:t>,</w:t>
      </w:r>
      <w:r w:rsidR="005E517A" w:rsidRPr="005E517A">
        <w:rPr>
          <w:rFonts w:ascii="Verdana" w:eastAsia="Calibri" w:hAnsi="Verdana" w:cs="Arial"/>
          <w:lang w:val="es-ES"/>
        </w:rPr>
        <w:t xml:space="preserve"> como un mecanismo que “contará con la información oficial de la contratación realizada con dineros públicos, para lo cual establecerá los patrones a que haya lugar y se encargará de su difusión a través de canales </w:t>
      </w:r>
      <w:r w:rsidR="005E517A" w:rsidRPr="00220BB0">
        <w:rPr>
          <w:rFonts w:ascii="Verdana" w:eastAsia="Calibri" w:hAnsi="Verdana" w:cs="Arial"/>
          <w:lang w:val="es-ES"/>
        </w:rPr>
        <w:t>electrónicos”</w:t>
      </w:r>
      <w:r w:rsidR="00220BB0" w:rsidRPr="00220BB0">
        <w:rPr>
          <w:rFonts w:ascii="Verdana" w:eastAsia="Calibri" w:hAnsi="Verdana" w:cstheme="majorHAnsi"/>
          <w:bCs/>
          <w:vertAlign w:val="superscript"/>
          <w:lang w:val="es-MX"/>
        </w:rPr>
        <w:footnoteReference w:id="1"/>
      </w:r>
      <w:r w:rsidR="00220BB0" w:rsidRPr="00220BB0">
        <w:rPr>
          <w:rFonts w:ascii="Verdana" w:eastAsia="Calibri" w:hAnsi="Verdana" w:cstheme="majorHAnsi"/>
          <w:bCs/>
          <w:lang w:val="es-MX"/>
        </w:rPr>
        <w:t>.</w:t>
      </w:r>
    </w:p>
    <w:p w14:paraId="149655D6" w14:textId="77777777" w:rsidR="00BB71DA" w:rsidRDefault="00BB71DA" w:rsidP="00BB71DA">
      <w:pPr>
        <w:pStyle w:val="Prrafodelista"/>
        <w:spacing w:after="0"/>
        <w:rPr>
          <w:rFonts w:ascii="Verdana" w:eastAsia="Calibri" w:hAnsi="Verdana" w:cs="Arial"/>
          <w:lang w:val="es-ES"/>
        </w:rPr>
      </w:pPr>
    </w:p>
    <w:p w14:paraId="233A748F" w14:textId="5D222362" w:rsidR="00BB71DA" w:rsidRDefault="00960FF2" w:rsidP="005B45C6">
      <w:pPr>
        <w:numPr>
          <w:ilvl w:val="0"/>
          <w:numId w:val="3"/>
        </w:numPr>
        <w:spacing w:after="0" w:line="276" w:lineRule="auto"/>
        <w:contextualSpacing/>
        <w:jc w:val="both"/>
        <w:rPr>
          <w:rFonts w:ascii="Verdana" w:eastAsia="Calibri" w:hAnsi="Verdana" w:cs="Arial"/>
          <w:lang w:val="es-ES"/>
        </w:rPr>
      </w:pPr>
      <w:r>
        <w:rPr>
          <w:rFonts w:ascii="Verdana" w:eastAsia="Calibri" w:hAnsi="Verdana" w:cs="Arial"/>
          <w:lang w:val="es-ES"/>
        </w:rPr>
        <w:t>De otra parte, la Ley 1712 de 2014</w:t>
      </w:r>
      <w:r w:rsidR="002C082D">
        <w:rPr>
          <w:rFonts w:ascii="Verdana" w:eastAsia="Calibri" w:hAnsi="Verdana" w:cs="Arial"/>
          <w:lang w:val="es-ES"/>
        </w:rPr>
        <w:t xml:space="preserve"> </w:t>
      </w:r>
      <w:r w:rsidR="00916432" w:rsidRPr="00916432">
        <w:rPr>
          <w:rFonts w:ascii="Verdana" w:eastAsia="Calibri" w:hAnsi="Verdana" w:cs="Arial"/>
          <w:lang w:val="es-ES"/>
        </w:rPr>
        <w:t xml:space="preserve">“Por medio de la cual se crea la Ley de Transparencia y del Derecho de Acceso a la Información Pública Nacional y se dictan otras disposiciones”, identifica como principios que orientan el derecho de acceso a la información pública, el principio de máxima publicidad, el principio de transparencia en la información y el principio de buena fe. El principio de máxima publicidad establece que “toda información en posesión, bajo control o custodia de un sujeto obligado es pública y no podrá ser reservada o limitada sino por disposición constitucional o </w:t>
      </w:r>
      <w:r w:rsidR="00916432" w:rsidRPr="00E26C36">
        <w:rPr>
          <w:rFonts w:ascii="Verdana" w:eastAsia="Calibri" w:hAnsi="Verdana" w:cs="Arial"/>
          <w:lang w:val="es-ES"/>
        </w:rPr>
        <w:t>legal”</w:t>
      </w:r>
      <w:r w:rsidR="00E26C36" w:rsidRPr="00E26C36">
        <w:rPr>
          <w:rFonts w:ascii="Verdana" w:eastAsia="Calibri" w:hAnsi="Verdana" w:cstheme="majorHAnsi"/>
          <w:bCs/>
          <w:vertAlign w:val="superscript"/>
          <w:lang w:val="es-MX"/>
        </w:rPr>
        <w:footnoteReference w:id="2"/>
      </w:r>
      <w:r w:rsidR="00E26C36" w:rsidRPr="00E26C36">
        <w:rPr>
          <w:rFonts w:ascii="Verdana" w:eastAsia="Calibri" w:hAnsi="Verdana" w:cstheme="majorHAnsi"/>
          <w:bCs/>
          <w:lang w:val="es-MX"/>
        </w:rPr>
        <w:t>.</w:t>
      </w:r>
      <w:r w:rsidR="006E1668">
        <w:rPr>
          <w:rFonts w:ascii="Verdana" w:eastAsia="Calibri" w:hAnsi="Verdana" w:cstheme="majorHAnsi"/>
          <w:bCs/>
          <w:lang w:val="es-MX"/>
        </w:rPr>
        <w:t xml:space="preserve"> </w:t>
      </w:r>
      <w:r w:rsidR="006E1668" w:rsidRPr="006E1668">
        <w:rPr>
          <w:rFonts w:ascii="Verdana" w:eastAsia="Calibri" w:hAnsi="Verdana" w:cstheme="majorHAnsi"/>
          <w:bCs/>
          <w:lang w:val="es-MX"/>
        </w:rPr>
        <w:t>El principio de transparencia en la información alude al deber de los sujetos de proporcionar y facilitar el acceso a la misma en los términos más amplios posibles, a través de los medios y procedimientos legales</w:t>
      </w:r>
      <w:r w:rsidR="001F54B3" w:rsidRPr="001F54B3">
        <w:rPr>
          <w:rFonts w:ascii="Verdana" w:eastAsia="Times New Roman" w:hAnsi="Verdana" w:cstheme="majorHAnsi"/>
          <w:vertAlign w:val="superscript"/>
          <w:lang w:eastAsia="es-CO"/>
        </w:rPr>
        <w:footnoteReference w:id="3"/>
      </w:r>
      <w:r w:rsidR="001F54B3">
        <w:rPr>
          <w:rFonts w:ascii="Verdana" w:eastAsia="Calibri" w:hAnsi="Verdana" w:cstheme="majorHAnsi"/>
          <w:bCs/>
          <w:lang w:val="es-MX"/>
        </w:rPr>
        <w:t>.</w:t>
      </w:r>
      <w:r w:rsidR="00DD37CE" w:rsidRPr="00DD37CE">
        <w:t xml:space="preserve"> </w:t>
      </w:r>
      <w:r w:rsidR="00DD37CE" w:rsidRPr="00DD37CE">
        <w:rPr>
          <w:rFonts w:ascii="Verdana" w:eastAsia="Calibri" w:hAnsi="Verdana" w:cstheme="majorHAnsi"/>
          <w:bCs/>
          <w:lang w:val="es-MX"/>
        </w:rPr>
        <w:t>Y el principio de buena fe hace referencia al deber de todo sujeto obligado de cumplir con las obligaciones derivadas del derecho de acceso a la información pública con motivación honesta, leal y desprovista de cualquier intención dolosa o culposa</w:t>
      </w:r>
      <w:r w:rsidR="0094637D" w:rsidRPr="00FC368C">
        <w:rPr>
          <w:rFonts w:ascii="Century Gothic" w:eastAsia="Calibri" w:hAnsi="Century Gothic" w:cstheme="majorHAnsi"/>
          <w:bCs/>
          <w:vertAlign w:val="superscript"/>
          <w:lang w:val="es-MX"/>
        </w:rPr>
        <w:footnoteReference w:id="4"/>
      </w:r>
      <w:r w:rsidR="0094637D">
        <w:rPr>
          <w:rFonts w:ascii="Verdana" w:eastAsia="Calibri" w:hAnsi="Verdana" w:cstheme="majorHAnsi"/>
          <w:bCs/>
          <w:lang w:val="es-MX"/>
        </w:rPr>
        <w:t>.</w:t>
      </w:r>
    </w:p>
    <w:p w14:paraId="6632EFF4" w14:textId="77777777" w:rsidR="0081382F" w:rsidRDefault="0081382F" w:rsidP="0081382F">
      <w:pPr>
        <w:spacing w:after="0" w:line="276" w:lineRule="auto"/>
        <w:ind w:left="720"/>
        <w:contextualSpacing/>
        <w:jc w:val="both"/>
        <w:rPr>
          <w:rFonts w:ascii="Verdana" w:eastAsia="Calibri" w:hAnsi="Verdana" w:cs="Arial"/>
          <w:lang w:val="es-ES"/>
        </w:rPr>
      </w:pPr>
    </w:p>
    <w:p w14:paraId="734AE8C3" w14:textId="77777777" w:rsidR="00B84305" w:rsidRPr="00B84305" w:rsidRDefault="00666E4F" w:rsidP="00666E4F">
      <w:pPr>
        <w:pStyle w:val="Prrafodelista"/>
        <w:numPr>
          <w:ilvl w:val="0"/>
          <w:numId w:val="3"/>
        </w:numPr>
        <w:spacing w:after="0" w:line="276" w:lineRule="auto"/>
        <w:jc w:val="both"/>
        <w:rPr>
          <w:rFonts w:ascii="Verdana" w:eastAsia="Calibri" w:hAnsi="Verdana" w:cs="Arial"/>
          <w:lang w:val="es-ES"/>
        </w:rPr>
      </w:pPr>
      <w:r w:rsidRPr="00666E4F">
        <w:rPr>
          <w:rFonts w:ascii="Verdana" w:eastAsia="Calibri" w:hAnsi="Verdana" w:cs="Arial"/>
          <w:lang w:val="es-ES"/>
        </w:rPr>
        <w:t>La citada Ley establece, en el literal e) del artículo 9, que los sujetos obligados deben publicar la información relativa a su contratació</w:t>
      </w:r>
      <w:r w:rsidRPr="009A4FF3">
        <w:rPr>
          <w:rFonts w:ascii="Verdana" w:eastAsia="Calibri" w:hAnsi="Verdana" w:cs="Arial"/>
          <w:lang w:val="es-ES"/>
        </w:rPr>
        <w:t>n</w:t>
      </w:r>
      <w:r w:rsidR="009A4FF3" w:rsidRPr="009A4FF3">
        <w:rPr>
          <w:rFonts w:ascii="Verdana" w:eastAsia="Times New Roman" w:hAnsi="Verdana" w:cstheme="majorHAnsi"/>
          <w:vertAlign w:val="superscript"/>
          <w:lang w:eastAsia="es-CO"/>
        </w:rPr>
        <w:footnoteReference w:id="5"/>
      </w:r>
      <w:r w:rsidR="009A4FF3">
        <w:rPr>
          <w:rFonts w:ascii="Verdana" w:eastAsia="Calibri" w:hAnsi="Verdana" w:cs="Arial"/>
          <w:lang w:val="es-ES"/>
        </w:rPr>
        <w:t xml:space="preserve">. El artículo 5 </w:t>
      </w:r>
      <w:r w:rsidR="00687A91" w:rsidRPr="00687A91">
        <w:rPr>
          <w:rFonts w:ascii="Verdana" w:eastAsia="Calibri" w:hAnsi="Verdana" w:cs="Arial"/>
          <w:lang w:val="es-ES"/>
        </w:rPr>
        <w:t xml:space="preserve">ibidem, al describir qué se entiende por sujetos obligados, consagra una lista cuyo propósito es incluir a cualquier entidad, órgano, organismo, o persona natural que desempeñe funciones públicas o administre recursos públicos. Igualmente, establece que son sujetos </w:t>
      </w:r>
      <w:r w:rsidR="00687A91" w:rsidRPr="00687A91">
        <w:rPr>
          <w:rFonts w:ascii="Verdana" w:eastAsia="Calibri" w:hAnsi="Verdana" w:cs="Arial"/>
          <w:lang w:val="es-ES"/>
        </w:rPr>
        <w:lastRenderedPageBreak/>
        <w:t>obligados las empresas públicas, las empresas del Estado y las sociedades en las que el Estado tenga participación, sin que importe su mo</w:t>
      </w:r>
      <w:r w:rsidR="00687A91" w:rsidRPr="00A32EC5">
        <w:rPr>
          <w:rFonts w:ascii="Verdana" w:eastAsia="Calibri" w:hAnsi="Verdana" w:cs="Arial"/>
          <w:lang w:val="es-ES"/>
        </w:rPr>
        <w:t>nto</w:t>
      </w:r>
      <w:r w:rsidR="00A32EC5" w:rsidRPr="00A32EC5">
        <w:rPr>
          <w:rFonts w:ascii="Verdana" w:eastAsia="Times New Roman" w:hAnsi="Verdana" w:cstheme="majorHAnsi"/>
          <w:vertAlign w:val="superscript"/>
          <w:lang w:eastAsia="es-CO"/>
        </w:rPr>
        <w:footnoteReference w:id="6"/>
      </w:r>
      <w:r w:rsidR="00A32EC5" w:rsidRPr="00A32EC5">
        <w:rPr>
          <w:rFonts w:ascii="Verdana" w:eastAsia="Arial MT" w:hAnsi="Verdana" w:cstheme="majorHAnsi"/>
          <w:lang w:val="es-ES"/>
        </w:rPr>
        <w:t>.</w:t>
      </w:r>
      <w:r w:rsidR="00837624" w:rsidRPr="00837624">
        <w:t xml:space="preserve"> </w:t>
      </w:r>
    </w:p>
    <w:p w14:paraId="1BD07F06" w14:textId="77777777" w:rsidR="00B84305" w:rsidRPr="00B84305" w:rsidRDefault="00B84305" w:rsidP="00B84305">
      <w:pPr>
        <w:pStyle w:val="Prrafodelista"/>
        <w:rPr>
          <w:rFonts w:ascii="Verdana" w:eastAsia="Arial MT" w:hAnsi="Verdana" w:cstheme="majorHAnsi"/>
          <w:lang w:val="es-ES"/>
        </w:rPr>
      </w:pPr>
    </w:p>
    <w:p w14:paraId="01BFA308" w14:textId="15400197" w:rsidR="00DB2747" w:rsidRPr="00B84305" w:rsidRDefault="00837624" w:rsidP="00B84305">
      <w:pPr>
        <w:pStyle w:val="Prrafodelista"/>
        <w:numPr>
          <w:ilvl w:val="0"/>
          <w:numId w:val="3"/>
        </w:numPr>
        <w:spacing w:after="0" w:line="276" w:lineRule="auto"/>
        <w:jc w:val="both"/>
        <w:rPr>
          <w:rFonts w:ascii="Verdana" w:eastAsia="Calibri" w:hAnsi="Verdana" w:cs="Arial"/>
          <w:lang w:val="es-ES"/>
        </w:rPr>
      </w:pPr>
      <w:r w:rsidRPr="00837624">
        <w:rPr>
          <w:rFonts w:ascii="Verdana" w:eastAsia="Arial MT" w:hAnsi="Verdana" w:cstheme="majorHAnsi"/>
          <w:lang w:val="es-ES"/>
        </w:rPr>
        <w:t>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w:t>
      </w:r>
      <w:r w:rsidR="00443DA4" w:rsidRPr="00443DA4">
        <w:t xml:space="preserve"> </w:t>
      </w:r>
      <w:r w:rsidR="00443DA4" w:rsidRPr="00B84305">
        <w:rPr>
          <w:rFonts w:ascii="Verdana" w:eastAsia="Arial MT" w:hAnsi="Verdana" w:cstheme="majorHAnsi"/>
          <w:lang w:val="es-ES"/>
        </w:rPr>
        <w:t>Esta obligación fue desarrollada por el artículo 2.1.1.2.1.7. del Decreto Único Reglamentario 1081 de 2015</w:t>
      </w:r>
      <w:r w:rsidR="007A3DC9" w:rsidRPr="00FC368C">
        <w:rPr>
          <w:rFonts w:ascii="Century Gothic" w:eastAsia="Calibri" w:hAnsi="Century Gothic"/>
          <w:bCs/>
          <w:vertAlign w:val="superscript"/>
          <w:lang w:val="es-MX"/>
        </w:rPr>
        <w:footnoteReference w:id="7"/>
      </w:r>
      <w:r w:rsidR="00443DA4" w:rsidRPr="00B84305">
        <w:rPr>
          <w:rFonts w:ascii="Verdana" w:eastAsia="Arial MT" w:hAnsi="Verdana" w:cstheme="majorHAnsi"/>
          <w:lang w:val="es-ES"/>
        </w:rPr>
        <w:t>, el cual dispuso que la publicación de la información contractual de los sujetos obligados, que contratan con cargo a recursos públicos, debe hacerse en el SECOP.</w:t>
      </w:r>
    </w:p>
    <w:p w14:paraId="2BA56E03" w14:textId="77777777" w:rsidR="00666E4F" w:rsidRPr="00666E4F" w:rsidRDefault="00666E4F" w:rsidP="00666E4F">
      <w:pPr>
        <w:pStyle w:val="Prrafodelista"/>
        <w:rPr>
          <w:rFonts w:ascii="Verdana" w:eastAsia="Calibri" w:hAnsi="Verdana" w:cs="Arial"/>
          <w:lang w:val="es-ES"/>
        </w:rPr>
      </w:pPr>
    </w:p>
    <w:p w14:paraId="1403932A" w14:textId="154F3090" w:rsidR="00D66170" w:rsidRDefault="007A3DC9" w:rsidP="001F5888">
      <w:pPr>
        <w:pStyle w:val="Prrafodelista"/>
        <w:numPr>
          <w:ilvl w:val="0"/>
          <w:numId w:val="3"/>
        </w:numPr>
        <w:spacing w:after="0" w:line="276" w:lineRule="auto"/>
        <w:jc w:val="both"/>
        <w:rPr>
          <w:rFonts w:ascii="Verdana" w:eastAsia="Calibri" w:hAnsi="Verdana" w:cs="Arial"/>
          <w:lang w:val="es-ES"/>
        </w:rPr>
      </w:pPr>
      <w:r w:rsidRPr="00F0269E">
        <w:rPr>
          <w:rFonts w:ascii="Verdana" w:eastAsia="Calibri" w:hAnsi="Verdana" w:cs="Arial"/>
          <w:lang w:val="es-ES"/>
        </w:rPr>
        <w:t>En ese sentido, debe precisarse</w:t>
      </w:r>
      <w:r w:rsidR="00B15EC6" w:rsidRPr="00F0269E">
        <w:rPr>
          <w:rFonts w:ascii="Verdana" w:eastAsia="Calibri" w:hAnsi="Verdana" w:cs="Arial"/>
          <w:lang w:val="es-ES"/>
        </w:rPr>
        <w:t xml:space="preserve"> </w:t>
      </w:r>
      <w:r w:rsidR="000F6E17" w:rsidRPr="00F0269E">
        <w:rPr>
          <w:rFonts w:ascii="Verdana" w:eastAsia="Calibri" w:hAnsi="Verdana" w:cs="Arial"/>
          <w:lang w:val="es-ES"/>
        </w:rPr>
        <w:t>que</w:t>
      </w:r>
      <w:r w:rsidR="007A3D47" w:rsidRPr="00F0269E">
        <w:rPr>
          <w:rFonts w:ascii="Verdana" w:eastAsia="Calibri" w:hAnsi="Verdana" w:cs="Arial"/>
          <w:lang w:val="es-ES"/>
        </w:rPr>
        <w:t>, pese a que</w:t>
      </w:r>
      <w:r w:rsidR="000F6E17" w:rsidRPr="00F0269E">
        <w:rPr>
          <w:rFonts w:ascii="Verdana" w:eastAsia="Calibri" w:hAnsi="Verdana" w:cs="Arial"/>
          <w:lang w:val="es-ES"/>
        </w:rPr>
        <w:t xml:space="preserve"> de conformidad con lo establecido en el </w:t>
      </w:r>
      <w:r w:rsidR="00EE5110" w:rsidRPr="00F0269E">
        <w:rPr>
          <w:rFonts w:ascii="Verdana" w:eastAsia="Calibri" w:hAnsi="Verdana" w:cs="Arial"/>
          <w:lang w:val="es-ES"/>
        </w:rPr>
        <w:t>numeral 8 del artículo 3 del Decreto Ley 4170 de 2011, la Agencia Nacional de Contratación Pública</w:t>
      </w:r>
      <w:r w:rsidR="00714AFA" w:rsidRPr="00F0269E">
        <w:rPr>
          <w:rFonts w:ascii="Verdana" w:eastAsia="Calibri" w:hAnsi="Verdana" w:cs="Arial"/>
          <w:lang w:val="es-ES"/>
        </w:rPr>
        <w:t xml:space="preserve"> –</w:t>
      </w:r>
      <w:r w:rsidR="00EE5110" w:rsidRPr="00F0269E">
        <w:rPr>
          <w:rFonts w:ascii="Verdana" w:eastAsia="Calibri" w:hAnsi="Verdana" w:cs="Arial"/>
          <w:lang w:val="es-ES"/>
        </w:rPr>
        <w:t xml:space="preserve"> Colombia Compra Eficiente</w:t>
      </w:r>
      <w:r w:rsidR="00714AFA" w:rsidRPr="00F0269E">
        <w:rPr>
          <w:rFonts w:ascii="Verdana" w:eastAsia="Calibri" w:hAnsi="Verdana" w:cs="Arial"/>
          <w:lang w:val="es-ES"/>
        </w:rPr>
        <w:t>, es la encargada de desarrollar y administrar el SECOP</w:t>
      </w:r>
      <w:r w:rsidR="00655E1C" w:rsidRPr="00F0269E">
        <w:rPr>
          <w:rFonts w:ascii="Verdana" w:eastAsia="Calibri" w:hAnsi="Verdana" w:cs="Arial"/>
          <w:lang w:val="es-ES"/>
        </w:rPr>
        <w:t>, el legislador no la facultó para verificar</w:t>
      </w:r>
      <w:r w:rsidR="00F742ED" w:rsidRPr="00F0269E">
        <w:rPr>
          <w:rFonts w:ascii="Verdana" w:eastAsia="Calibri" w:hAnsi="Verdana" w:cs="Arial"/>
          <w:lang w:val="es-ES"/>
        </w:rPr>
        <w:t xml:space="preserve"> el deber de publicación de la información contractual por parte de las Entidades</w:t>
      </w:r>
      <w:r w:rsidR="003A49A4" w:rsidRPr="00F0269E">
        <w:rPr>
          <w:rFonts w:ascii="Verdana" w:eastAsia="Calibri" w:hAnsi="Verdana" w:cs="Arial"/>
          <w:lang w:val="es-ES"/>
        </w:rPr>
        <w:t xml:space="preserve"> Estatales en dicha plataforma.</w:t>
      </w:r>
      <w:r w:rsidR="001F5888" w:rsidRPr="00F0269E">
        <w:rPr>
          <w:rFonts w:ascii="Verdana" w:eastAsia="Calibri" w:hAnsi="Verdana" w:cs="Arial"/>
          <w:lang w:val="es-ES"/>
        </w:rPr>
        <w:t xml:space="preserve"> Colombia Compra Eficiente, en cambio, en ejercicio</w:t>
      </w:r>
      <w:r w:rsidR="00AD5892" w:rsidRPr="00F0269E">
        <w:rPr>
          <w:rFonts w:ascii="Verdana" w:eastAsia="Calibri" w:hAnsi="Verdana" w:cs="Arial"/>
          <w:lang w:val="es-ES"/>
        </w:rPr>
        <w:t xml:space="preserve"> de sus competencias, particularmente en la dispuesta en el numeral 5 del artículo 3 ibidem, </w:t>
      </w:r>
      <w:r w:rsidR="004812A2" w:rsidRPr="00F0269E">
        <w:rPr>
          <w:rFonts w:ascii="Verdana" w:eastAsia="Calibri" w:hAnsi="Verdana" w:cs="Arial"/>
          <w:lang w:val="es-ES"/>
        </w:rPr>
        <w:t>expide</w:t>
      </w:r>
      <w:r w:rsidR="009E49D3">
        <w:rPr>
          <w:rFonts w:ascii="Verdana" w:eastAsia="Calibri" w:hAnsi="Verdana" w:cs="Arial"/>
          <w:lang w:val="es-ES"/>
        </w:rPr>
        <w:t xml:space="preserve"> directivas en materia de compras y contratación pública, actos a</w:t>
      </w:r>
      <w:r w:rsidR="00950714">
        <w:rPr>
          <w:rFonts w:ascii="Verdana" w:eastAsia="Calibri" w:hAnsi="Verdana" w:cs="Arial"/>
          <w:lang w:val="es-ES"/>
        </w:rPr>
        <w:t>dministrativos que c</w:t>
      </w:r>
      <w:r w:rsidR="00712D0D">
        <w:rPr>
          <w:rFonts w:ascii="Verdana" w:eastAsia="Calibri" w:hAnsi="Verdana" w:cs="Arial"/>
          <w:lang w:val="es-ES"/>
        </w:rPr>
        <w:t>ontienen instrucciones dirigidas a las Entidades Estatales y a</w:t>
      </w:r>
      <w:r w:rsidR="00983667">
        <w:rPr>
          <w:rFonts w:ascii="Verdana" w:eastAsia="Calibri" w:hAnsi="Verdana" w:cs="Arial"/>
          <w:lang w:val="es-ES"/>
        </w:rPr>
        <w:t>l público en general y son de obligatorio cumplimie</w:t>
      </w:r>
      <w:r w:rsidR="002A0FD1">
        <w:rPr>
          <w:rFonts w:ascii="Verdana" w:eastAsia="Calibri" w:hAnsi="Verdana" w:cs="Arial"/>
          <w:lang w:val="es-ES"/>
        </w:rPr>
        <w:t xml:space="preserve">nto. </w:t>
      </w:r>
    </w:p>
    <w:p w14:paraId="4C02438A" w14:textId="77777777" w:rsidR="00F0269E" w:rsidRPr="00F0269E" w:rsidRDefault="00F0269E" w:rsidP="00F0269E">
      <w:pPr>
        <w:spacing w:after="0" w:line="276" w:lineRule="auto"/>
        <w:jc w:val="both"/>
        <w:rPr>
          <w:rFonts w:ascii="Verdana" w:eastAsia="Calibri" w:hAnsi="Verdana" w:cs="Arial"/>
          <w:lang w:val="es-ES"/>
        </w:rPr>
      </w:pPr>
    </w:p>
    <w:p w14:paraId="18B933C4" w14:textId="787C510D" w:rsidR="00D66170" w:rsidRDefault="0076732B" w:rsidP="00D66170">
      <w:pPr>
        <w:numPr>
          <w:ilvl w:val="0"/>
          <w:numId w:val="3"/>
        </w:numPr>
        <w:spacing w:after="0" w:line="276" w:lineRule="auto"/>
        <w:contextualSpacing/>
        <w:jc w:val="both"/>
        <w:rPr>
          <w:rFonts w:ascii="Verdana" w:eastAsia="Calibri" w:hAnsi="Verdana" w:cs="Arial"/>
          <w:lang w:val="es-ES"/>
        </w:rPr>
      </w:pPr>
      <w:r>
        <w:rPr>
          <w:rFonts w:ascii="Verdana" w:eastAsia="Calibri" w:hAnsi="Verdana" w:cs="Arial"/>
          <w:lang w:val="es-ES"/>
        </w:rPr>
        <w:t xml:space="preserve">En desarrollo de lo anterior, </w:t>
      </w:r>
      <w:r w:rsidR="001823DB">
        <w:rPr>
          <w:rFonts w:ascii="Verdana" w:eastAsia="Calibri" w:hAnsi="Verdana" w:cs="Arial"/>
          <w:lang w:val="es-ES"/>
        </w:rPr>
        <w:t xml:space="preserve">esta Agencia ha expedido </w:t>
      </w:r>
      <w:r w:rsidR="00B45CE3">
        <w:rPr>
          <w:rFonts w:ascii="Verdana" w:eastAsia="Calibri" w:hAnsi="Verdana" w:cs="Arial"/>
          <w:lang w:val="es-ES"/>
        </w:rPr>
        <w:t>los siguientes documentos</w:t>
      </w:r>
      <w:r w:rsidR="00874C24">
        <w:rPr>
          <w:rFonts w:ascii="Verdana" w:eastAsia="Calibri" w:hAnsi="Verdana" w:cs="Arial"/>
          <w:lang w:val="es-ES"/>
        </w:rPr>
        <w:t xml:space="preserve"> e</w:t>
      </w:r>
      <w:r w:rsidR="006473F5">
        <w:rPr>
          <w:rFonts w:ascii="Verdana" w:eastAsia="Calibri" w:hAnsi="Verdana" w:cs="Arial"/>
          <w:lang w:val="es-ES"/>
        </w:rPr>
        <w:t>n l</w:t>
      </w:r>
      <w:r w:rsidR="00874C24">
        <w:rPr>
          <w:rFonts w:ascii="Verdana" w:eastAsia="Calibri" w:hAnsi="Verdana" w:cs="Arial"/>
          <w:lang w:val="es-ES"/>
        </w:rPr>
        <w:t>o</w:t>
      </w:r>
      <w:r w:rsidR="006473F5">
        <w:rPr>
          <w:rFonts w:ascii="Verdana" w:eastAsia="Calibri" w:hAnsi="Verdana" w:cs="Arial"/>
          <w:lang w:val="es-ES"/>
        </w:rPr>
        <w:t xml:space="preserve">s que </w:t>
      </w:r>
      <w:r>
        <w:rPr>
          <w:rFonts w:ascii="Verdana" w:eastAsia="Calibri" w:hAnsi="Verdana" w:cs="Arial"/>
          <w:lang w:val="es-ES"/>
        </w:rPr>
        <w:t>establece</w:t>
      </w:r>
      <w:r w:rsidR="00FC67FC">
        <w:rPr>
          <w:rFonts w:ascii="Verdana" w:eastAsia="Calibri" w:hAnsi="Verdana" w:cs="Arial"/>
          <w:lang w:val="es-ES"/>
        </w:rPr>
        <w:t xml:space="preserve"> </w:t>
      </w:r>
      <w:r w:rsidR="006473F5">
        <w:rPr>
          <w:rFonts w:ascii="Verdana" w:eastAsia="Calibri" w:hAnsi="Verdana" w:cs="Arial"/>
          <w:lang w:val="es-ES"/>
        </w:rPr>
        <w:t>lineamientos para el uso obligatorio del SECOP</w:t>
      </w:r>
      <w:r w:rsidR="007807E7">
        <w:rPr>
          <w:rFonts w:ascii="Verdana" w:eastAsia="Calibri" w:hAnsi="Verdana" w:cs="Arial"/>
          <w:lang w:val="es-ES"/>
        </w:rPr>
        <w:t>. Est</w:t>
      </w:r>
      <w:r w:rsidR="00874C24">
        <w:rPr>
          <w:rFonts w:ascii="Verdana" w:eastAsia="Calibri" w:hAnsi="Verdana" w:cs="Arial"/>
          <w:lang w:val="es-ES"/>
        </w:rPr>
        <w:t>o</w:t>
      </w:r>
      <w:r w:rsidR="007807E7">
        <w:rPr>
          <w:rFonts w:ascii="Verdana" w:eastAsia="Calibri" w:hAnsi="Verdana" w:cs="Arial"/>
          <w:lang w:val="es-ES"/>
        </w:rPr>
        <w:t xml:space="preserve">s se relacionan a continuación: </w:t>
      </w:r>
    </w:p>
    <w:p w14:paraId="62A81B1F" w14:textId="77777777" w:rsidR="007807E7" w:rsidRDefault="007807E7" w:rsidP="007807E7">
      <w:pPr>
        <w:spacing w:after="0" w:line="276" w:lineRule="auto"/>
        <w:contextualSpacing/>
        <w:jc w:val="both"/>
        <w:rPr>
          <w:rFonts w:ascii="Verdana" w:eastAsia="Calibri" w:hAnsi="Verdana" w:cs="Arial"/>
          <w:lang w:val="es-ES"/>
        </w:rPr>
      </w:pPr>
    </w:p>
    <w:p w14:paraId="04522DA5" w14:textId="77777777" w:rsidR="007807E7" w:rsidRPr="00B45CE3" w:rsidRDefault="007807E7" w:rsidP="00F65EB6">
      <w:pPr>
        <w:spacing w:after="0" w:line="240" w:lineRule="auto"/>
        <w:ind w:left="1080"/>
        <w:contextualSpacing/>
        <w:rPr>
          <w:rFonts w:ascii="Verdana" w:eastAsia="Calibri" w:hAnsi="Verdana" w:cs="Arial"/>
          <w:sz w:val="21"/>
          <w:szCs w:val="21"/>
          <w:lang w:val="es-ES"/>
        </w:rPr>
      </w:pPr>
      <w:r w:rsidRPr="00B45CE3">
        <w:rPr>
          <w:rFonts w:ascii="Verdana" w:eastAsia="Calibri" w:hAnsi="Verdana" w:cs="Arial"/>
          <w:sz w:val="21"/>
          <w:szCs w:val="21"/>
          <w:lang w:val="es-ES"/>
        </w:rPr>
        <w:t>Circular Externa No. 1 del 22 de agosto de 2019:</w:t>
      </w:r>
    </w:p>
    <w:p w14:paraId="3A1663F3" w14:textId="77777777" w:rsidR="007807E7" w:rsidRPr="00B45CE3" w:rsidRDefault="003963D3" w:rsidP="00F65EB6">
      <w:pPr>
        <w:spacing w:after="0" w:line="240" w:lineRule="auto"/>
        <w:ind w:left="1080"/>
        <w:contextualSpacing/>
        <w:rPr>
          <w:rFonts w:ascii="Verdana" w:eastAsia="Calibri" w:hAnsi="Verdana" w:cs="Arial"/>
          <w:sz w:val="21"/>
          <w:szCs w:val="21"/>
          <w:lang w:val="es-ES"/>
        </w:rPr>
      </w:pPr>
      <w:hyperlink r:id="rId12" w:history="1">
        <w:r w:rsidR="007807E7" w:rsidRPr="00B45CE3">
          <w:rPr>
            <w:rStyle w:val="Hipervnculo"/>
            <w:rFonts w:ascii="Verdana" w:eastAsia="Calibri" w:hAnsi="Verdana" w:cs="Arial"/>
            <w:sz w:val="21"/>
            <w:szCs w:val="21"/>
            <w:lang w:val="es-ES"/>
          </w:rPr>
          <w:t>https://www.colombiacompra.gov.co/sites/cce_public/files/cce_circulares/circular_externa_no._1_de_2019.pdf</w:t>
        </w:r>
      </w:hyperlink>
    </w:p>
    <w:p w14:paraId="27099AE9" w14:textId="4B5936D3" w:rsidR="007807E7" w:rsidRPr="00B45CE3" w:rsidRDefault="007807E7" w:rsidP="00F65EB6">
      <w:pPr>
        <w:spacing w:after="0" w:line="240" w:lineRule="auto"/>
        <w:ind w:left="1080"/>
        <w:contextualSpacing/>
        <w:rPr>
          <w:rFonts w:ascii="Verdana" w:eastAsia="Calibri" w:hAnsi="Verdana" w:cs="Arial"/>
          <w:sz w:val="21"/>
          <w:szCs w:val="21"/>
          <w:lang w:val="es-ES"/>
        </w:rPr>
      </w:pPr>
    </w:p>
    <w:p w14:paraId="3688996A" w14:textId="3127F116" w:rsidR="007807E7" w:rsidRPr="00B45CE3" w:rsidRDefault="007807E7" w:rsidP="00F65EB6">
      <w:pPr>
        <w:spacing w:after="0" w:line="240" w:lineRule="auto"/>
        <w:ind w:left="1080"/>
        <w:contextualSpacing/>
        <w:rPr>
          <w:rFonts w:ascii="Verdana" w:eastAsia="Calibri" w:hAnsi="Verdana" w:cs="Arial"/>
          <w:sz w:val="21"/>
          <w:szCs w:val="21"/>
          <w:lang w:val="es-ES"/>
        </w:rPr>
      </w:pPr>
      <w:r w:rsidRPr="00B45CE3">
        <w:rPr>
          <w:rFonts w:ascii="Verdana" w:eastAsia="Calibri" w:hAnsi="Verdana" w:cs="Arial"/>
          <w:sz w:val="21"/>
          <w:szCs w:val="21"/>
          <w:lang w:val="es-ES"/>
        </w:rPr>
        <w:t>Circular Externa No. 2 del 23 de diciembre de 2019:</w:t>
      </w:r>
    </w:p>
    <w:p w14:paraId="05B0E2A9" w14:textId="27EE3A17" w:rsidR="007807E7" w:rsidRPr="00B45CE3" w:rsidRDefault="003963D3" w:rsidP="00F65EB6">
      <w:pPr>
        <w:spacing w:after="0" w:line="240" w:lineRule="auto"/>
        <w:ind w:left="1080"/>
        <w:contextualSpacing/>
        <w:rPr>
          <w:rFonts w:ascii="Verdana" w:eastAsia="Calibri" w:hAnsi="Verdana" w:cs="Arial"/>
          <w:sz w:val="21"/>
          <w:szCs w:val="21"/>
          <w:lang w:val="es-ES"/>
        </w:rPr>
      </w:pPr>
      <w:hyperlink r:id="rId13" w:history="1">
        <w:r w:rsidR="007807E7" w:rsidRPr="00B45CE3">
          <w:rPr>
            <w:rStyle w:val="Hipervnculo"/>
            <w:rFonts w:ascii="Verdana" w:eastAsia="Calibri" w:hAnsi="Verdana" w:cs="Arial"/>
            <w:sz w:val="21"/>
            <w:szCs w:val="21"/>
            <w:lang w:val="es-ES"/>
          </w:rPr>
          <w:t>https://www.colombiacompra.gov.co/sites/cce_public/files/cce_circulares/circular_externa_no.2_de_2019_-_0.pdf</w:t>
        </w:r>
      </w:hyperlink>
      <w:r w:rsidR="007807E7" w:rsidRPr="00B45CE3">
        <w:rPr>
          <w:rFonts w:ascii="Verdana" w:eastAsia="Calibri" w:hAnsi="Verdana" w:cs="Arial"/>
          <w:sz w:val="21"/>
          <w:szCs w:val="21"/>
          <w:lang w:val="es-ES"/>
        </w:rPr>
        <w:t xml:space="preserve"> </w:t>
      </w:r>
    </w:p>
    <w:p w14:paraId="1552AA96" w14:textId="77777777" w:rsidR="007807E7" w:rsidRPr="00B45CE3" w:rsidRDefault="007807E7" w:rsidP="00F65EB6">
      <w:pPr>
        <w:spacing w:after="0" w:line="240" w:lineRule="auto"/>
        <w:ind w:left="1080"/>
        <w:contextualSpacing/>
        <w:rPr>
          <w:rFonts w:ascii="Verdana" w:eastAsia="Calibri" w:hAnsi="Verdana" w:cs="Arial"/>
          <w:sz w:val="21"/>
          <w:szCs w:val="21"/>
          <w:lang w:val="es-ES"/>
        </w:rPr>
      </w:pPr>
    </w:p>
    <w:p w14:paraId="6DF41D59" w14:textId="28C42F95" w:rsidR="007807E7" w:rsidRPr="00B45CE3" w:rsidRDefault="007807E7" w:rsidP="00F65EB6">
      <w:pPr>
        <w:spacing w:after="0" w:line="240" w:lineRule="auto"/>
        <w:ind w:left="1080"/>
        <w:contextualSpacing/>
        <w:rPr>
          <w:rFonts w:ascii="Verdana" w:eastAsia="Calibri" w:hAnsi="Verdana" w:cs="Arial"/>
          <w:sz w:val="21"/>
          <w:szCs w:val="21"/>
          <w:lang w:val="es-ES"/>
        </w:rPr>
      </w:pPr>
      <w:r w:rsidRPr="00B45CE3">
        <w:rPr>
          <w:rFonts w:ascii="Verdana" w:eastAsia="Calibri" w:hAnsi="Verdana" w:cs="Arial"/>
          <w:sz w:val="21"/>
          <w:szCs w:val="21"/>
          <w:lang w:val="es-ES"/>
        </w:rPr>
        <w:t>Circular Externa No. 3 del 31 de marzo de 2020:</w:t>
      </w:r>
    </w:p>
    <w:p w14:paraId="2353B87B" w14:textId="77777777" w:rsidR="007807E7" w:rsidRPr="00B45CE3" w:rsidRDefault="003963D3" w:rsidP="00F65EB6">
      <w:pPr>
        <w:spacing w:after="0" w:line="240" w:lineRule="auto"/>
        <w:ind w:left="1080"/>
        <w:contextualSpacing/>
        <w:rPr>
          <w:rFonts w:ascii="Verdana" w:eastAsia="Calibri" w:hAnsi="Verdana" w:cs="Arial"/>
          <w:sz w:val="21"/>
          <w:szCs w:val="21"/>
          <w:lang w:val="es-ES"/>
        </w:rPr>
      </w:pPr>
      <w:hyperlink r:id="rId14" w:history="1">
        <w:r w:rsidR="007807E7" w:rsidRPr="00B45CE3">
          <w:rPr>
            <w:rStyle w:val="Hipervnculo"/>
            <w:rFonts w:ascii="Verdana" w:eastAsia="Calibri" w:hAnsi="Verdana" w:cs="Arial"/>
            <w:sz w:val="21"/>
            <w:szCs w:val="21"/>
            <w:lang w:val="es-ES"/>
          </w:rPr>
          <w:t>https://www.colombiacompra.gov.co/sites/cce_public/files/cce_documentos/circular_no._3_-_secop_-.pdf</w:t>
        </w:r>
      </w:hyperlink>
      <w:r w:rsidR="007807E7" w:rsidRPr="00B45CE3">
        <w:rPr>
          <w:rFonts w:ascii="Verdana" w:eastAsia="Calibri" w:hAnsi="Verdana" w:cs="Arial"/>
          <w:sz w:val="21"/>
          <w:szCs w:val="21"/>
          <w:lang w:val="es-ES"/>
        </w:rPr>
        <w:t xml:space="preserve"> </w:t>
      </w:r>
    </w:p>
    <w:p w14:paraId="65AEBE16" w14:textId="77777777" w:rsidR="007807E7" w:rsidRPr="00B45CE3" w:rsidRDefault="007807E7" w:rsidP="00F65EB6">
      <w:pPr>
        <w:spacing w:after="0" w:line="240" w:lineRule="auto"/>
        <w:ind w:left="1080"/>
        <w:contextualSpacing/>
        <w:rPr>
          <w:rFonts w:ascii="Verdana" w:eastAsia="Calibri" w:hAnsi="Verdana" w:cs="Arial"/>
          <w:sz w:val="21"/>
          <w:szCs w:val="21"/>
          <w:lang w:val="es-ES"/>
        </w:rPr>
      </w:pPr>
    </w:p>
    <w:p w14:paraId="4E8FFF8F" w14:textId="55C24586" w:rsidR="005526FC" w:rsidRPr="005526FC" w:rsidRDefault="007807E7" w:rsidP="00F65EB6">
      <w:pPr>
        <w:spacing w:after="0" w:line="240" w:lineRule="auto"/>
        <w:ind w:left="1080"/>
        <w:contextualSpacing/>
        <w:rPr>
          <w:rFonts w:ascii="Verdana" w:eastAsia="Calibri" w:hAnsi="Verdana" w:cs="Arial"/>
          <w:sz w:val="21"/>
          <w:szCs w:val="21"/>
          <w:lang w:val="es-ES"/>
        </w:rPr>
      </w:pPr>
      <w:r w:rsidRPr="00B45CE3">
        <w:rPr>
          <w:rFonts w:ascii="Verdana" w:eastAsia="Calibri" w:hAnsi="Verdana" w:cs="Arial"/>
          <w:sz w:val="21"/>
          <w:szCs w:val="21"/>
          <w:lang w:val="es-ES"/>
        </w:rPr>
        <w:t>Circular Externa No. 001 de 2021 del 10 de febrero del 2021:</w:t>
      </w:r>
      <w:r w:rsidR="005526FC" w:rsidRPr="00B45CE3">
        <w:rPr>
          <w:rFonts w:ascii="Verdana" w:eastAsia="Calibri" w:hAnsi="Verdana" w:cs="Arial"/>
          <w:sz w:val="21"/>
          <w:szCs w:val="21"/>
          <w:lang w:val="es-ES"/>
        </w:rPr>
        <w:t xml:space="preserve"> </w:t>
      </w:r>
      <w:hyperlink r:id="rId15" w:history="1">
        <w:r w:rsidR="005526FC" w:rsidRPr="005526FC">
          <w:rPr>
            <w:rStyle w:val="Hipervnculo"/>
            <w:rFonts w:ascii="Verdana" w:eastAsia="Calibri" w:hAnsi="Verdana" w:cs="Arial"/>
            <w:sz w:val="21"/>
            <w:szCs w:val="21"/>
          </w:rPr>
          <w:t>https://www.colombiacompra.gov.co/sites/cce_public/files/cce_circulare s/ciurcular_externa_001_-_2021.pdf</w:t>
        </w:r>
      </w:hyperlink>
      <w:r w:rsidR="005526FC" w:rsidRPr="00B45CE3">
        <w:rPr>
          <w:rFonts w:ascii="Verdana" w:eastAsia="Calibri" w:hAnsi="Verdana" w:cs="Arial"/>
          <w:sz w:val="21"/>
          <w:szCs w:val="21"/>
        </w:rPr>
        <w:t xml:space="preserve"> </w:t>
      </w:r>
      <w:r w:rsidR="005526FC" w:rsidRPr="005526FC">
        <w:rPr>
          <w:rFonts w:ascii="Verdana" w:eastAsia="Calibri" w:hAnsi="Verdana" w:cs="Arial"/>
          <w:sz w:val="21"/>
          <w:szCs w:val="21"/>
        </w:rPr>
        <w:t xml:space="preserve"> </w:t>
      </w:r>
      <w:r w:rsidR="005526FC" w:rsidRPr="00B45CE3">
        <w:rPr>
          <w:rFonts w:ascii="Verdana" w:eastAsia="Calibri" w:hAnsi="Verdana" w:cs="Arial"/>
          <w:sz w:val="21"/>
          <w:szCs w:val="21"/>
        </w:rPr>
        <w:t xml:space="preserve"> </w:t>
      </w:r>
    </w:p>
    <w:p w14:paraId="69716F72" w14:textId="77777777" w:rsidR="005526FC" w:rsidRPr="00B45CE3" w:rsidRDefault="005526FC" w:rsidP="00F65EB6">
      <w:pPr>
        <w:spacing w:after="0" w:line="240" w:lineRule="auto"/>
        <w:ind w:left="1080"/>
        <w:contextualSpacing/>
        <w:rPr>
          <w:rFonts w:ascii="Verdana" w:eastAsia="Calibri" w:hAnsi="Verdana" w:cs="Arial"/>
          <w:b/>
          <w:bCs/>
          <w:sz w:val="21"/>
          <w:szCs w:val="21"/>
        </w:rPr>
      </w:pPr>
    </w:p>
    <w:p w14:paraId="054BE1F3" w14:textId="3BBEE32D" w:rsidR="005526FC" w:rsidRDefault="005526FC" w:rsidP="00F65EB6">
      <w:pPr>
        <w:spacing w:after="0" w:line="240" w:lineRule="auto"/>
        <w:ind w:left="1080"/>
        <w:contextualSpacing/>
        <w:rPr>
          <w:rFonts w:ascii="Verdana" w:eastAsia="Calibri" w:hAnsi="Verdana" w:cs="Arial"/>
          <w:sz w:val="21"/>
          <w:szCs w:val="21"/>
        </w:rPr>
      </w:pPr>
      <w:r w:rsidRPr="005526FC">
        <w:rPr>
          <w:rFonts w:ascii="Verdana" w:eastAsia="Calibri" w:hAnsi="Verdana" w:cs="Arial"/>
          <w:sz w:val="21"/>
          <w:szCs w:val="21"/>
        </w:rPr>
        <w:t xml:space="preserve">Circular Externa 002 de 2022 del 17 de marzo de 2022: </w:t>
      </w:r>
      <w:hyperlink r:id="rId16" w:history="1">
        <w:r w:rsidRPr="005526FC">
          <w:rPr>
            <w:rStyle w:val="Hipervnculo"/>
            <w:rFonts w:ascii="Verdana" w:eastAsia="Calibri" w:hAnsi="Verdana" w:cs="Arial"/>
            <w:sz w:val="21"/>
            <w:szCs w:val="21"/>
          </w:rPr>
          <w:t>https://colombiacompra.gov.co/sites/cce_public/files/cce_circulares/circ ular_externa_002_2022.pdf</w:t>
        </w:r>
      </w:hyperlink>
      <w:r w:rsidRPr="00B45CE3">
        <w:rPr>
          <w:rFonts w:ascii="Verdana" w:eastAsia="Calibri" w:hAnsi="Verdana" w:cs="Arial"/>
          <w:sz w:val="21"/>
          <w:szCs w:val="21"/>
        </w:rPr>
        <w:t xml:space="preserve"> </w:t>
      </w:r>
      <w:r w:rsidRPr="005526FC">
        <w:rPr>
          <w:rFonts w:ascii="Verdana" w:eastAsia="Calibri" w:hAnsi="Verdana" w:cs="Arial"/>
          <w:sz w:val="21"/>
          <w:szCs w:val="21"/>
        </w:rPr>
        <w:t xml:space="preserve"> </w:t>
      </w:r>
    </w:p>
    <w:p w14:paraId="01BF3B37" w14:textId="77777777" w:rsidR="00BA2A34" w:rsidRPr="005526FC" w:rsidRDefault="00BA2A34" w:rsidP="00F65EB6">
      <w:pPr>
        <w:spacing w:after="0" w:line="240" w:lineRule="auto"/>
        <w:ind w:left="1080"/>
        <w:contextualSpacing/>
        <w:rPr>
          <w:rFonts w:ascii="Verdana" w:eastAsia="Calibri" w:hAnsi="Verdana" w:cs="Arial"/>
          <w:sz w:val="21"/>
          <w:szCs w:val="21"/>
        </w:rPr>
      </w:pPr>
    </w:p>
    <w:p w14:paraId="4B27E851" w14:textId="1FA480A6" w:rsidR="005526FC" w:rsidRDefault="005526FC" w:rsidP="00F65EB6">
      <w:pPr>
        <w:spacing w:after="0" w:line="240" w:lineRule="auto"/>
        <w:ind w:left="1080"/>
        <w:contextualSpacing/>
        <w:rPr>
          <w:rFonts w:ascii="Verdana" w:eastAsia="Calibri" w:hAnsi="Verdana" w:cs="Arial"/>
          <w:sz w:val="21"/>
          <w:szCs w:val="21"/>
        </w:rPr>
      </w:pPr>
      <w:r w:rsidRPr="005526FC">
        <w:rPr>
          <w:rFonts w:ascii="Verdana" w:eastAsia="Calibri" w:hAnsi="Verdana" w:cs="Arial"/>
          <w:sz w:val="21"/>
          <w:szCs w:val="21"/>
        </w:rPr>
        <w:t xml:space="preserve">Circular Externa 005 de 2022 del 14 de julio de 2022: </w:t>
      </w:r>
      <w:hyperlink r:id="rId17" w:history="1">
        <w:r w:rsidR="00874C24" w:rsidRPr="005526FC">
          <w:rPr>
            <w:rStyle w:val="Hipervnculo"/>
            <w:rFonts w:ascii="Verdana" w:eastAsia="Calibri" w:hAnsi="Verdana" w:cs="Arial"/>
            <w:sz w:val="21"/>
            <w:szCs w:val="21"/>
          </w:rPr>
          <w:t>https://www.colombiacompra.gov.co/sites/cce_public/files/cce_circulare s/circular_externa_005_de_2022.pdf</w:t>
        </w:r>
      </w:hyperlink>
      <w:r w:rsidR="00874C24" w:rsidRPr="00B45CE3">
        <w:rPr>
          <w:rFonts w:ascii="Verdana" w:eastAsia="Calibri" w:hAnsi="Verdana" w:cs="Arial"/>
          <w:sz w:val="21"/>
          <w:szCs w:val="21"/>
        </w:rPr>
        <w:t xml:space="preserve"> </w:t>
      </w:r>
    </w:p>
    <w:p w14:paraId="560F540B" w14:textId="77777777" w:rsidR="00BA2A34" w:rsidRPr="005526FC" w:rsidRDefault="00BA2A34" w:rsidP="00F65EB6">
      <w:pPr>
        <w:spacing w:after="0" w:line="240" w:lineRule="auto"/>
        <w:ind w:left="1080"/>
        <w:contextualSpacing/>
        <w:rPr>
          <w:rFonts w:ascii="Verdana" w:eastAsia="Calibri" w:hAnsi="Verdana" w:cs="Arial"/>
          <w:sz w:val="21"/>
          <w:szCs w:val="21"/>
        </w:rPr>
      </w:pPr>
    </w:p>
    <w:p w14:paraId="3767A99F" w14:textId="3ADBD142" w:rsidR="005526FC" w:rsidRPr="005526FC" w:rsidRDefault="005526FC" w:rsidP="00F65EB6">
      <w:pPr>
        <w:spacing w:after="0" w:line="240" w:lineRule="auto"/>
        <w:ind w:left="1080"/>
        <w:contextualSpacing/>
        <w:rPr>
          <w:rFonts w:ascii="Verdana" w:eastAsia="Calibri" w:hAnsi="Verdana" w:cs="Arial"/>
          <w:sz w:val="21"/>
          <w:szCs w:val="21"/>
        </w:rPr>
      </w:pPr>
      <w:r w:rsidRPr="005526FC">
        <w:rPr>
          <w:rFonts w:ascii="Verdana" w:eastAsia="Calibri" w:hAnsi="Verdana" w:cs="Arial"/>
          <w:sz w:val="21"/>
          <w:szCs w:val="21"/>
        </w:rPr>
        <w:t xml:space="preserve">Circular Externa 005 de 2023 del 31 de agosto de 2023 </w:t>
      </w:r>
      <w:hyperlink r:id="rId18" w:history="1">
        <w:r w:rsidR="00BA2A34" w:rsidRPr="005526FC">
          <w:rPr>
            <w:rStyle w:val="Hipervnculo"/>
            <w:rFonts w:ascii="Verdana" w:eastAsia="Calibri" w:hAnsi="Verdana" w:cs="Arial"/>
            <w:sz w:val="21"/>
            <w:szCs w:val="21"/>
          </w:rPr>
          <w:t>https://www.colombiacompra.gov.co/sites/cce_public/files/cce_circulares/proyecto_circular_externa_obligatoriedad_secopii_2023_rev._dg_f.pdf</w:t>
        </w:r>
      </w:hyperlink>
      <w:r w:rsidR="00BA2A34">
        <w:rPr>
          <w:rFonts w:ascii="Verdana" w:eastAsia="Calibri" w:hAnsi="Verdana" w:cs="Arial"/>
          <w:sz w:val="21"/>
          <w:szCs w:val="21"/>
        </w:rPr>
        <w:t xml:space="preserve"> </w:t>
      </w:r>
      <w:r w:rsidRPr="005526FC">
        <w:rPr>
          <w:rFonts w:ascii="Verdana" w:eastAsia="Calibri" w:hAnsi="Verdana" w:cs="Arial"/>
          <w:sz w:val="21"/>
          <w:szCs w:val="21"/>
        </w:rPr>
        <w:t xml:space="preserve"> </w:t>
      </w:r>
      <w:r w:rsidR="00874C24" w:rsidRPr="00B45CE3">
        <w:rPr>
          <w:rFonts w:ascii="Verdana" w:eastAsia="Calibri" w:hAnsi="Verdana" w:cs="Arial"/>
          <w:sz w:val="21"/>
          <w:szCs w:val="21"/>
        </w:rPr>
        <w:t xml:space="preserve"> </w:t>
      </w:r>
    </w:p>
    <w:p w14:paraId="1EE2FE13" w14:textId="77777777" w:rsidR="005526FC" w:rsidRPr="005526FC" w:rsidRDefault="005526FC" w:rsidP="00F65EB6">
      <w:pPr>
        <w:spacing w:after="0" w:line="240" w:lineRule="auto"/>
        <w:ind w:left="1080"/>
        <w:contextualSpacing/>
        <w:rPr>
          <w:rFonts w:ascii="Verdana" w:eastAsia="Calibri" w:hAnsi="Verdana" w:cs="Arial"/>
          <w:sz w:val="21"/>
          <w:szCs w:val="21"/>
        </w:rPr>
      </w:pPr>
    </w:p>
    <w:p w14:paraId="58F70A0E" w14:textId="77777777" w:rsidR="00BA2A34" w:rsidRDefault="005526FC" w:rsidP="00F65EB6">
      <w:pPr>
        <w:spacing w:after="0" w:line="240" w:lineRule="auto"/>
        <w:ind w:left="1080"/>
        <w:contextualSpacing/>
        <w:rPr>
          <w:rFonts w:ascii="Verdana" w:eastAsia="Calibri" w:hAnsi="Verdana" w:cs="Arial"/>
          <w:sz w:val="21"/>
          <w:szCs w:val="21"/>
        </w:rPr>
      </w:pPr>
      <w:r w:rsidRPr="00BA2A34">
        <w:rPr>
          <w:rFonts w:ascii="Verdana" w:eastAsia="Calibri" w:hAnsi="Verdana" w:cs="Arial"/>
          <w:sz w:val="21"/>
          <w:szCs w:val="21"/>
        </w:rPr>
        <w:t>Anexo No. 1</w:t>
      </w:r>
    </w:p>
    <w:p w14:paraId="55C5D4D6" w14:textId="5D2A7401" w:rsidR="00B45CE3" w:rsidRPr="00B45CE3" w:rsidRDefault="003963D3" w:rsidP="00F65EB6">
      <w:pPr>
        <w:spacing w:after="0" w:line="240" w:lineRule="auto"/>
        <w:ind w:left="1080"/>
        <w:contextualSpacing/>
        <w:rPr>
          <w:rFonts w:ascii="Verdana" w:eastAsia="Calibri" w:hAnsi="Verdana" w:cs="Arial"/>
          <w:sz w:val="21"/>
          <w:szCs w:val="21"/>
        </w:rPr>
      </w:pPr>
      <w:hyperlink r:id="rId19" w:history="1">
        <w:r w:rsidR="0054760C" w:rsidRPr="00B45CE3">
          <w:rPr>
            <w:rStyle w:val="Hipervnculo"/>
            <w:rFonts w:ascii="Verdana" w:eastAsia="Calibri" w:hAnsi="Verdana" w:cs="Arial"/>
            <w:sz w:val="21"/>
            <w:szCs w:val="21"/>
          </w:rPr>
          <w:t>COMUNICADO INTERNO (colombiacompra.gov.co)</w:t>
        </w:r>
      </w:hyperlink>
    </w:p>
    <w:p w14:paraId="64054E4B" w14:textId="77777777" w:rsidR="00B45CE3" w:rsidRPr="00B45CE3" w:rsidRDefault="00B45CE3" w:rsidP="00F65EB6">
      <w:pPr>
        <w:spacing w:after="0" w:line="240" w:lineRule="auto"/>
        <w:ind w:left="1080"/>
        <w:contextualSpacing/>
        <w:rPr>
          <w:rFonts w:ascii="Verdana" w:eastAsia="Calibri" w:hAnsi="Verdana" w:cs="Arial"/>
          <w:sz w:val="21"/>
          <w:szCs w:val="21"/>
        </w:rPr>
      </w:pPr>
    </w:p>
    <w:p w14:paraId="3A997900" w14:textId="1B2E3BFC" w:rsidR="00B45CE3" w:rsidRPr="00B45CE3" w:rsidRDefault="00B45CE3" w:rsidP="00F65EB6">
      <w:pPr>
        <w:spacing w:after="0" w:line="240" w:lineRule="auto"/>
        <w:ind w:left="1080"/>
        <w:contextualSpacing/>
        <w:rPr>
          <w:rFonts w:ascii="Verdana" w:eastAsia="Calibri" w:hAnsi="Verdana" w:cs="Arial"/>
          <w:sz w:val="21"/>
          <w:szCs w:val="21"/>
        </w:rPr>
      </w:pPr>
      <w:r w:rsidRPr="00B45CE3">
        <w:rPr>
          <w:rFonts w:ascii="Verdana" w:eastAsia="Calibri" w:hAnsi="Verdana" w:cs="Arial"/>
          <w:sz w:val="21"/>
          <w:szCs w:val="21"/>
        </w:rPr>
        <w:t xml:space="preserve">Circular Externa 005 de 2023 del 31 de agosto de 2023 </w:t>
      </w:r>
      <w:hyperlink r:id="rId20" w:history="1">
        <w:r w:rsidRPr="00B45CE3">
          <w:rPr>
            <w:rStyle w:val="Hipervnculo"/>
            <w:rFonts w:ascii="Verdana" w:eastAsia="Calibri" w:hAnsi="Verdana" w:cs="Arial"/>
            <w:sz w:val="21"/>
            <w:szCs w:val="21"/>
          </w:rPr>
          <w:t>https://www.colombiacompra.gov.co/sites/cce_public/files/cce_circulares/proyecto_circular_externa_obligatoriedad_secopii_2023_rev._dg_f.pdf</w:t>
        </w:r>
      </w:hyperlink>
      <w:r w:rsidRPr="00B45CE3">
        <w:rPr>
          <w:rFonts w:ascii="Verdana" w:eastAsia="Calibri" w:hAnsi="Verdana" w:cs="Arial"/>
          <w:sz w:val="21"/>
          <w:szCs w:val="21"/>
        </w:rPr>
        <w:t xml:space="preserve"> </w:t>
      </w:r>
    </w:p>
    <w:p w14:paraId="2CC3C21A" w14:textId="77777777" w:rsidR="00B45CE3" w:rsidRPr="00B45CE3" w:rsidRDefault="00B45CE3" w:rsidP="00B45CE3">
      <w:pPr>
        <w:spacing w:after="0" w:line="276" w:lineRule="auto"/>
        <w:ind w:left="1080"/>
        <w:contextualSpacing/>
        <w:jc w:val="both"/>
        <w:rPr>
          <w:rFonts w:ascii="Verdana" w:eastAsia="Calibri" w:hAnsi="Verdana" w:cs="Arial"/>
        </w:rPr>
      </w:pPr>
    </w:p>
    <w:bookmarkEnd w:id="4"/>
    <w:p w14:paraId="0A02CC93" w14:textId="78DFB328" w:rsidR="00987692" w:rsidRPr="00FC49A2" w:rsidRDefault="00987692" w:rsidP="00987692">
      <w:pPr>
        <w:numPr>
          <w:ilvl w:val="0"/>
          <w:numId w:val="1"/>
        </w:numPr>
        <w:spacing w:after="0" w:line="276" w:lineRule="auto"/>
        <w:contextualSpacing/>
        <w:jc w:val="both"/>
        <w:rPr>
          <w:rFonts w:ascii="Verdana" w:eastAsia="Calibri" w:hAnsi="Verdana" w:cs="Arial"/>
        </w:rPr>
      </w:pPr>
      <w:r w:rsidRPr="00FC49A2">
        <w:rPr>
          <w:rFonts w:ascii="Verdana" w:eastAsia="Calibri" w:hAnsi="Verdana" w:cs="Times New Roman"/>
          <w:lang w:val="es-ES"/>
        </w:rPr>
        <w:t xml:space="preserve">Finalmente, debe destacarse que la Agencia Nacional de Contratación Pública – Colombia Compra Eficiente, </w:t>
      </w:r>
      <w:r w:rsidR="007A635B">
        <w:rPr>
          <w:rFonts w:ascii="Verdana" w:eastAsia="Calibri" w:hAnsi="Verdana" w:cs="Times New Roman"/>
          <w:lang w:val="es-ES"/>
        </w:rPr>
        <w:t>por vía consultiva no puede definir un criterio universal y absoluto, sino que brinda elementos hermenéuticos de carácter general para que los partícipes del Sistema de Compras y Co</w:t>
      </w:r>
      <w:r w:rsidR="0018656F">
        <w:rPr>
          <w:rFonts w:ascii="Verdana" w:eastAsia="Calibri" w:hAnsi="Verdana" w:cs="Times New Roman"/>
          <w:lang w:val="es-ES"/>
        </w:rPr>
        <w:t>ntratación Pública adopten la decisión que corresponda, lo cual es acorde con el principio de juridicidad.</w:t>
      </w:r>
    </w:p>
    <w:p w14:paraId="286ED921" w14:textId="77777777" w:rsidR="00987692" w:rsidRPr="00FC49A2" w:rsidRDefault="00987692" w:rsidP="00987692">
      <w:pPr>
        <w:widowControl w:val="0"/>
        <w:autoSpaceDE w:val="0"/>
        <w:autoSpaceDN w:val="0"/>
        <w:spacing w:after="0" w:line="276" w:lineRule="auto"/>
        <w:contextualSpacing/>
        <w:jc w:val="both"/>
        <w:rPr>
          <w:rFonts w:ascii="Verdana" w:eastAsia="Aptos" w:hAnsi="Verdana" w:cs="Arial"/>
        </w:rPr>
      </w:pPr>
    </w:p>
    <w:p w14:paraId="3F8C8388" w14:textId="77777777" w:rsidR="00987692" w:rsidRPr="00FC49A2" w:rsidRDefault="00987692" w:rsidP="00987692">
      <w:pPr>
        <w:widowControl w:val="0"/>
        <w:autoSpaceDE w:val="0"/>
        <w:autoSpaceDN w:val="0"/>
        <w:spacing w:before="1" w:after="0" w:line="240" w:lineRule="auto"/>
        <w:outlineLvl w:val="0"/>
        <w:rPr>
          <w:rFonts w:ascii="Arial" w:eastAsia="Arial" w:hAnsi="Arial" w:cs="Arial"/>
          <w:b/>
          <w:bCs/>
          <w:lang w:val="es-ES"/>
        </w:rPr>
      </w:pPr>
      <w:r w:rsidRPr="00FC49A2">
        <w:rPr>
          <w:rFonts w:ascii="Arial" w:eastAsia="Arial" w:hAnsi="Arial" w:cs="Arial"/>
          <w:b/>
          <w:bCs/>
          <w:lang w:val="es-ES"/>
        </w:rPr>
        <w:t>4.</w:t>
      </w:r>
      <w:r w:rsidRPr="00FC49A2">
        <w:rPr>
          <w:rFonts w:ascii="Verdana" w:eastAsia="Arial" w:hAnsi="Verdana" w:cs="Arial"/>
          <w:b/>
          <w:bCs/>
          <w:lang w:val="es-ES"/>
        </w:rPr>
        <w:t>Referencias normativas, jurisprudenciales y otras fuentes:</w:t>
      </w:r>
    </w:p>
    <w:p w14:paraId="0C9EC942" w14:textId="77777777" w:rsidR="00987692" w:rsidRPr="00FC49A2" w:rsidRDefault="00987692" w:rsidP="00987692">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987692" w:rsidRPr="00FC49A2" w14:paraId="24AD808F" w14:textId="77777777" w:rsidTr="0057173C">
        <w:trPr>
          <w:trHeight w:val="870"/>
        </w:trPr>
        <w:tc>
          <w:tcPr>
            <w:tcW w:w="8647" w:type="dxa"/>
          </w:tcPr>
          <w:p w14:paraId="3074651F" w14:textId="13B98E9D" w:rsidR="00507B66" w:rsidRPr="00507B66" w:rsidRDefault="00507B66" w:rsidP="00507B66">
            <w:pPr>
              <w:widowControl w:val="0"/>
              <w:numPr>
                <w:ilvl w:val="0"/>
                <w:numId w:val="2"/>
              </w:numPr>
              <w:autoSpaceDE w:val="0"/>
              <w:autoSpaceDN w:val="0"/>
              <w:spacing w:after="120" w:line="276" w:lineRule="auto"/>
              <w:contextualSpacing/>
              <w:jc w:val="both"/>
              <w:rPr>
                <w:rFonts w:ascii="Verdana" w:eastAsia="Calibri" w:hAnsi="Verdana" w:cs="Arial"/>
                <w:lang w:val="es-ES"/>
              </w:rPr>
            </w:pPr>
            <w:r w:rsidRPr="00507B66">
              <w:rPr>
                <w:rFonts w:ascii="Verdana" w:eastAsia="Calibri" w:hAnsi="Verdana" w:cs="Arial"/>
                <w:lang w:val="es-ES"/>
              </w:rPr>
              <w:lastRenderedPageBreak/>
              <w:t>Constitución Política. Artículo</w:t>
            </w:r>
            <w:r w:rsidR="000066E4">
              <w:rPr>
                <w:rFonts w:ascii="Verdana" w:eastAsia="Calibri" w:hAnsi="Verdana" w:cs="Arial"/>
                <w:lang w:val="es-ES"/>
              </w:rPr>
              <w:t>s</w:t>
            </w:r>
            <w:r w:rsidRPr="00507B66">
              <w:rPr>
                <w:rFonts w:ascii="Verdana" w:eastAsia="Calibri" w:hAnsi="Verdana" w:cs="Arial"/>
                <w:lang w:val="es-ES"/>
              </w:rPr>
              <w:t xml:space="preserve"> 74 y 209</w:t>
            </w:r>
          </w:p>
          <w:p w14:paraId="7C5826CE" w14:textId="4205C69F" w:rsidR="00507B66" w:rsidRPr="00507B66" w:rsidRDefault="00507B66" w:rsidP="00507B66">
            <w:pPr>
              <w:widowControl w:val="0"/>
              <w:numPr>
                <w:ilvl w:val="0"/>
                <w:numId w:val="2"/>
              </w:numPr>
              <w:autoSpaceDE w:val="0"/>
              <w:autoSpaceDN w:val="0"/>
              <w:spacing w:after="120" w:line="276" w:lineRule="auto"/>
              <w:contextualSpacing/>
              <w:jc w:val="both"/>
              <w:rPr>
                <w:rFonts w:ascii="Verdana" w:eastAsia="Calibri" w:hAnsi="Verdana" w:cs="Arial"/>
                <w:lang w:val="es-ES"/>
              </w:rPr>
            </w:pPr>
            <w:r w:rsidRPr="00507B66">
              <w:rPr>
                <w:rFonts w:ascii="Verdana" w:eastAsia="Calibri" w:hAnsi="Verdana" w:cs="Arial"/>
                <w:lang w:val="es-ES"/>
              </w:rPr>
              <w:t xml:space="preserve">Ley 1150 de 2007. </w:t>
            </w:r>
            <w:r w:rsidR="000066E4">
              <w:rPr>
                <w:rFonts w:ascii="Verdana" w:eastAsia="Calibri" w:hAnsi="Verdana" w:cs="Arial"/>
                <w:lang w:val="es-ES"/>
              </w:rPr>
              <w:t>L</w:t>
            </w:r>
            <w:r w:rsidRPr="00507B66">
              <w:rPr>
                <w:rFonts w:ascii="Verdana" w:eastAsia="Calibri" w:hAnsi="Verdana" w:cs="Arial"/>
                <w:lang w:val="es-ES"/>
              </w:rPr>
              <w:t>iteral c)</w:t>
            </w:r>
            <w:r w:rsidR="000066E4">
              <w:rPr>
                <w:rFonts w:ascii="Verdana" w:eastAsia="Calibri" w:hAnsi="Verdana" w:cs="Arial"/>
                <w:lang w:val="es-ES"/>
              </w:rPr>
              <w:t>,</w:t>
            </w:r>
            <w:r w:rsidRPr="00507B66">
              <w:rPr>
                <w:rFonts w:ascii="Verdana" w:eastAsia="Calibri" w:hAnsi="Verdana" w:cs="Arial"/>
                <w:lang w:val="es-ES"/>
              </w:rPr>
              <w:t xml:space="preserve"> artículo 3</w:t>
            </w:r>
          </w:p>
          <w:p w14:paraId="5CD5B727" w14:textId="72A18977" w:rsidR="00507B66" w:rsidRPr="00507B66" w:rsidRDefault="00507B66" w:rsidP="00507B66">
            <w:pPr>
              <w:widowControl w:val="0"/>
              <w:numPr>
                <w:ilvl w:val="0"/>
                <w:numId w:val="2"/>
              </w:numPr>
              <w:autoSpaceDE w:val="0"/>
              <w:autoSpaceDN w:val="0"/>
              <w:spacing w:after="120" w:line="276" w:lineRule="auto"/>
              <w:contextualSpacing/>
              <w:jc w:val="both"/>
              <w:rPr>
                <w:rFonts w:ascii="Verdana" w:eastAsia="Calibri" w:hAnsi="Verdana" w:cs="Arial"/>
                <w:lang w:val="es-ES"/>
              </w:rPr>
            </w:pPr>
            <w:r w:rsidRPr="00507B66">
              <w:rPr>
                <w:rFonts w:ascii="Verdana" w:eastAsia="Calibri" w:hAnsi="Verdana" w:cs="Arial"/>
                <w:lang w:val="es-ES"/>
              </w:rPr>
              <w:t>Ley 1712 de 2014. Literal e)</w:t>
            </w:r>
            <w:r w:rsidR="000066E4">
              <w:rPr>
                <w:rFonts w:ascii="Verdana" w:eastAsia="Calibri" w:hAnsi="Verdana" w:cs="Arial"/>
                <w:lang w:val="es-ES"/>
              </w:rPr>
              <w:t>,</w:t>
            </w:r>
            <w:r w:rsidRPr="00507B66">
              <w:rPr>
                <w:rFonts w:ascii="Verdana" w:eastAsia="Calibri" w:hAnsi="Verdana" w:cs="Arial"/>
                <w:lang w:val="es-ES"/>
              </w:rPr>
              <w:t xml:space="preserve"> artículo 9</w:t>
            </w:r>
          </w:p>
          <w:p w14:paraId="0DE03900" w14:textId="77777777" w:rsidR="00507B66" w:rsidRPr="00507B66" w:rsidRDefault="00507B66" w:rsidP="00507B66">
            <w:pPr>
              <w:widowControl w:val="0"/>
              <w:numPr>
                <w:ilvl w:val="0"/>
                <w:numId w:val="2"/>
              </w:numPr>
              <w:autoSpaceDE w:val="0"/>
              <w:autoSpaceDN w:val="0"/>
              <w:spacing w:after="120" w:line="276" w:lineRule="auto"/>
              <w:contextualSpacing/>
              <w:jc w:val="both"/>
              <w:rPr>
                <w:rFonts w:ascii="Verdana" w:eastAsia="Calibri" w:hAnsi="Verdana" w:cs="Arial"/>
                <w:lang w:val="es-ES"/>
              </w:rPr>
            </w:pPr>
            <w:r w:rsidRPr="00507B66">
              <w:rPr>
                <w:rFonts w:ascii="Verdana" w:eastAsia="Calibri" w:hAnsi="Verdana" w:cs="Arial"/>
                <w:lang w:val="es-ES"/>
              </w:rPr>
              <w:t>Ley 1712 de 2014. Artículo 5</w:t>
            </w:r>
          </w:p>
          <w:p w14:paraId="6DF762B4" w14:textId="55A3BA1A" w:rsidR="00507B66" w:rsidRPr="00507B66" w:rsidRDefault="00507B66" w:rsidP="00507B66">
            <w:pPr>
              <w:widowControl w:val="0"/>
              <w:numPr>
                <w:ilvl w:val="0"/>
                <w:numId w:val="2"/>
              </w:numPr>
              <w:autoSpaceDE w:val="0"/>
              <w:autoSpaceDN w:val="0"/>
              <w:spacing w:after="120" w:line="276" w:lineRule="auto"/>
              <w:contextualSpacing/>
              <w:jc w:val="both"/>
              <w:rPr>
                <w:rFonts w:ascii="Verdana" w:eastAsia="Calibri" w:hAnsi="Verdana" w:cs="Arial"/>
                <w:lang w:val="es-ES"/>
              </w:rPr>
            </w:pPr>
            <w:r w:rsidRPr="00507B66">
              <w:rPr>
                <w:rFonts w:ascii="Verdana" w:eastAsia="Calibri" w:hAnsi="Verdana" w:cs="Arial"/>
                <w:lang w:val="es-ES"/>
              </w:rPr>
              <w:t xml:space="preserve">Ley 1712 de 2014. </w:t>
            </w:r>
            <w:r w:rsidR="000066E4">
              <w:rPr>
                <w:rFonts w:ascii="Verdana" w:eastAsia="Calibri" w:hAnsi="Verdana" w:cs="Arial"/>
                <w:lang w:val="es-ES"/>
              </w:rPr>
              <w:t>L</w:t>
            </w:r>
            <w:r w:rsidRPr="00507B66">
              <w:rPr>
                <w:rFonts w:ascii="Verdana" w:eastAsia="Calibri" w:hAnsi="Verdana" w:cs="Arial"/>
                <w:lang w:val="es-ES"/>
              </w:rPr>
              <w:t>iteral g)</w:t>
            </w:r>
            <w:r w:rsidR="000066E4">
              <w:rPr>
                <w:rFonts w:ascii="Verdana" w:eastAsia="Calibri" w:hAnsi="Verdana" w:cs="Arial"/>
                <w:lang w:val="es-ES"/>
              </w:rPr>
              <w:t xml:space="preserve">, </w:t>
            </w:r>
            <w:r w:rsidRPr="00507B66">
              <w:rPr>
                <w:rFonts w:ascii="Verdana" w:eastAsia="Calibri" w:hAnsi="Verdana" w:cs="Arial"/>
                <w:lang w:val="es-ES"/>
              </w:rPr>
              <w:t>artículo 11</w:t>
            </w:r>
          </w:p>
          <w:p w14:paraId="089058DB" w14:textId="532C2F3F" w:rsidR="00987692" w:rsidRPr="00FC49A2" w:rsidRDefault="00507B66" w:rsidP="00507B66">
            <w:pPr>
              <w:widowControl w:val="0"/>
              <w:numPr>
                <w:ilvl w:val="0"/>
                <w:numId w:val="2"/>
              </w:numPr>
              <w:autoSpaceDE w:val="0"/>
              <w:autoSpaceDN w:val="0"/>
              <w:spacing w:line="276" w:lineRule="auto"/>
              <w:contextualSpacing/>
              <w:jc w:val="both"/>
              <w:rPr>
                <w:rFonts w:ascii="Verdana" w:eastAsia="Aptos" w:hAnsi="Verdana" w:cs="Arial"/>
              </w:rPr>
            </w:pPr>
            <w:r w:rsidRPr="00507B66">
              <w:rPr>
                <w:rFonts w:ascii="Verdana" w:eastAsia="Calibri" w:hAnsi="Verdana" w:cs="Arial"/>
                <w:lang w:val="es-ES"/>
              </w:rPr>
              <w:t>Decreto Ley 4170 de 2011. Numerales 5 y 8, Artículo 3</w:t>
            </w:r>
          </w:p>
        </w:tc>
      </w:tr>
    </w:tbl>
    <w:p w14:paraId="2F29ADDD" w14:textId="77777777" w:rsidR="00987692" w:rsidRPr="00FC49A2" w:rsidRDefault="00987692" w:rsidP="00987692">
      <w:pPr>
        <w:widowControl w:val="0"/>
        <w:autoSpaceDE w:val="0"/>
        <w:autoSpaceDN w:val="0"/>
        <w:spacing w:after="0" w:line="276" w:lineRule="auto"/>
        <w:jc w:val="both"/>
        <w:rPr>
          <w:rFonts w:ascii="Verdana" w:eastAsia="Aptos" w:hAnsi="Verdana" w:cs="Arial"/>
        </w:rPr>
      </w:pPr>
    </w:p>
    <w:p w14:paraId="6CFFCECD" w14:textId="77777777" w:rsidR="00987692" w:rsidRPr="00FC49A2" w:rsidRDefault="00987692" w:rsidP="00987692">
      <w:pPr>
        <w:widowControl w:val="0"/>
        <w:autoSpaceDE w:val="0"/>
        <w:autoSpaceDN w:val="0"/>
        <w:spacing w:before="1" w:after="0" w:line="240" w:lineRule="auto"/>
        <w:outlineLvl w:val="0"/>
        <w:rPr>
          <w:rFonts w:ascii="Verdana" w:eastAsia="Arial" w:hAnsi="Verdana" w:cs="Arial"/>
          <w:b/>
          <w:bCs/>
          <w:lang w:val="es-ES"/>
        </w:rPr>
      </w:pPr>
      <w:r w:rsidRPr="00FC49A2">
        <w:rPr>
          <w:rFonts w:ascii="Verdana" w:eastAsia="Arial" w:hAnsi="Verdana" w:cs="Arial"/>
          <w:b/>
          <w:bCs/>
          <w:lang w:val="es-ES"/>
        </w:rPr>
        <w:t>5. Doctrina de la Agencia Nacional de Contratación Pública:</w:t>
      </w:r>
    </w:p>
    <w:p w14:paraId="2CAD6E4F" w14:textId="77777777" w:rsidR="00987692" w:rsidRPr="006E7036" w:rsidRDefault="00987692" w:rsidP="00987692">
      <w:pPr>
        <w:widowControl w:val="0"/>
        <w:autoSpaceDE w:val="0"/>
        <w:autoSpaceDN w:val="0"/>
        <w:spacing w:after="0" w:line="276" w:lineRule="auto"/>
        <w:jc w:val="both"/>
        <w:rPr>
          <w:rFonts w:ascii="Verdana" w:eastAsia="Aptos" w:hAnsi="Verdana" w:cs="Arial"/>
        </w:rPr>
      </w:pPr>
    </w:p>
    <w:p w14:paraId="672C7AB1" w14:textId="77777777" w:rsidR="00824326" w:rsidRDefault="00987692" w:rsidP="00987692">
      <w:pPr>
        <w:widowControl w:val="0"/>
        <w:autoSpaceDE w:val="0"/>
        <w:autoSpaceDN w:val="0"/>
        <w:spacing w:after="0" w:line="276" w:lineRule="auto"/>
        <w:jc w:val="both"/>
        <w:rPr>
          <w:rFonts w:ascii="Verdana" w:eastAsia="Aptos" w:hAnsi="Verdana" w:cs="Arial"/>
          <w:shd w:val="clear" w:color="auto" w:fill="FFFFFF"/>
          <w:lang w:val="es-ES"/>
        </w:rPr>
      </w:pPr>
      <w:r w:rsidRPr="006E7036">
        <w:rPr>
          <w:rFonts w:ascii="Verdana" w:eastAsia="Aptos" w:hAnsi="Verdana" w:cs="Arial"/>
          <w:shd w:val="clear" w:color="auto" w:fill="FFFFFF"/>
          <w:lang w:val="es-ES"/>
        </w:rPr>
        <w:t xml:space="preserve">Sobre </w:t>
      </w:r>
      <w:r w:rsidR="00EC638E">
        <w:rPr>
          <w:rFonts w:ascii="Verdana" w:eastAsia="Aptos" w:hAnsi="Verdana" w:cs="Arial"/>
          <w:shd w:val="clear" w:color="auto" w:fill="FFFFFF"/>
          <w:lang w:val="es-ES"/>
        </w:rPr>
        <w:t>el Sistema Electrónico para la Contratación Pública – SECOP</w:t>
      </w:r>
      <w:r w:rsidRPr="006E7036">
        <w:rPr>
          <w:rFonts w:ascii="Verdana" w:eastAsia="Aptos" w:hAnsi="Verdana" w:cs="Arial"/>
          <w:shd w:val="clear" w:color="auto" w:fill="FFFFFF"/>
          <w:lang w:val="es-ES"/>
        </w:rPr>
        <w:t>, esta Subdirección se ha referido en los Conceptos</w:t>
      </w:r>
      <w:r w:rsidR="007B3E6E" w:rsidRPr="006E7036">
        <w:rPr>
          <w:rFonts w:ascii="Verdana" w:eastAsia="Aptos" w:hAnsi="Verdana" w:cs="Arial"/>
          <w:shd w:val="clear" w:color="auto" w:fill="FFFFFF"/>
          <w:lang w:val="es-ES"/>
        </w:rPr>
        <w:t xml:space="preserve"> </w:t>
      </w:r>
      <w:r w:rsidR="004019DB" w:rsidRPr="004019DB">
        <w:rPr>
          <w:rFonts w:ascii="Verdana" w:eastAsia="Calibri" w:hAnsi="Verdana" w:cs="Arial"/>
          <w:lang w:val="es-ES_tradnl" w:eastAsia="es-MX"/>
        </w:rPr>
        <w:t>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C-472 del 6 de septiembre de 2021. De igual manera, recientemente, se pronunció sobre la interpretación del artículo 53 de la Ley 2195 de 2022, en los conceptos C-049 del 7 de marzo de 2022, C-120 del 22 de marzo de 2022, C-124 del 22 de marzo de 2022, C-132 del 28 de marzo de 2022, C-337 del 25 de mayo de 2022, C-348 del 13 de junio de 2022, C-480 del 18 de julio de 2022, C- 544 del 29 de agosto de 2022, C-555 del 6 de septiembre de 2022, C- 821 de 29 de noviembre de 2022 y C-071 del 28 de marzo de 2023</w:t>
      </w:r>
      <w:r w:rsidRPr="00FC49A2">
        <w:rPr>
          <w:rFonts w:ascii="Verdana" w:eastAsia="Aptos" w:hAnsi="Verdana" w:cs="Arial"/>
          <w:shd w:val="clear" w:color="auto" w:fill="FFFFFF"/>
          <w:lang w:val="es-ES"/>
        </w:rPr>
        <w:t xml:space="preserve">, entre otros. </w:t>
      </w:r>
      <w:r w:rsidR="00B242B3" w:rsidRPr="00B242B3">
        <w:rPr>
          <w:rFonts w:ascii="Verdana" w:eastAsia="Aptos" w:hAnsi="Verdana" w:cs="Arial"/>
          <w:shd w:val="clear" w:color="auto" w:fill="FFFFFF"/>
          <w:lang w:val="es-ES"/>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21" w:history="1">
        <w:r w:rsidR="00B242B3" w:rsidRPr="00B4257D">
          <w:rPr>
            <w:rStyle w:val="Hipervnculo"/>
            <w:rFonts w:ascii="Verdana" w:eastAsia="Aptos" w:hAnsi="Verdana" w:cs="Arial"/>
            <w:shd w:val="clear" w:color="auto" w:fill="FFFFFF"/>
            <w:lang w:val="es-ES"/>
          </w:rPr>
          <w:t>https://relatoria.colombiacompra.gov.co/</w:t>
        </w:r>
      </w:hyperlink>
      <w:r w:rsidR="00B242B3" w:rsidRPr="00B242B3">
        <w:rPr>
          <w:rFonts w:ascii="Verdana" w:eastAsia="Aptos" w:hAnsi="Verdana" w:cs="Arial"/>
          <w:shd w:val="clear" w:color="auto" w:fill="FFFFFF"/>
          <w:lang w:val="es-ES"/>
        </w:rPr>
        <w:t xml:space="preserve">. </w:t>
      </w:r>
    </w:p>
    <w:p w14:paraId="30C0082E" w14:textId="77777777" w:rsidR="00824326" w:rsidRDefault="00824326" w:rsidP="00987692">
      <w:pPr>
        <w:widowControl w:val="0"/>
        <w:autoSpaceDE w:val="0"/>
        <w:autoSpaceDN w:val="0"/>
        <w:spacing w:after="0" w:line="276" w:lineRule="auto"/>
        <w:jc w:val="both"/>
        <w:rPr>
          <w:rFonts w:ascii="Verdana" w:eastAsia="Aptos" w:hAnsi="Verdana" w:cs="Arial"/>
          <w:shd w:val="clear" w:color="auto" w:fill="FFFFFF"/>
          <w:lang w:val="es-ES"/>
        </w:rPr>
      </w:pPr>
    </w:p>
    <w:p w14:paraId="146D8C77" w14:textId="306BC061" w:rsidR="00987692" w:rsidRPr="00FC49A2" w:rsidRDefault="00B242B3" w:rsidP="00987692">
      <w:pPr>
        <w:widowControl w:val="0"/>
        <w:autoSpaceDE w:val="0"/>
        <w:autoSpaceDN w:val="0"/>
        <w:spacing w:after="0" w:line="276" w:lineRule="auto"/>
        <w:jc w:val="both"/>
        <w:rPr>
          <w:rFonts w:ascii="Verdana" w:eastAsia="Aptos" w:hAnsi="Verdana" w:cs="Arial"/>
          <w:shd w:val="clear" w:color="auto" w:fill="FFFFFF"/>
          <w:lang w:val="es-ES"/>
        </w:rPr>
      </w:pPr>
      <w:r w:rsidRPr="00B242B3">
        <w:rPr>
          <w:rFonts w:ascii="Verdana" w:eastAsia="Aptos" w:hAnsi="Verdana" w:cs="Arial"/>
          <w:shd w:val="clear" w:color="auto" w:fill="FFFFFF"/>
          <w:lang w:val="es-ES"/>
        </w:rPr>
        <w:t xml:space="preserve">Te invitamos también a revisar la tercera edición del Boletín de Relatoría de 2024 en el cual podrás consultar en detalle el marco normativo de documentos tipo: </w:t>
      </w:r>
      <w:hyperlink r:id="rId22" w:history="1">
        <w:r w:rsidRPr="00B4257D">
          <w:rPr>
            <w:rStyle w:val="Hipervnculo"/>
            <w:rFonts w:ascii="Verdana" w:eastAsia="Aptos" w:hAnsi="Verdana" w:cs="Arial"/>
            <w:shd w:val="clear" w:color="auto" w:fill="FFFFFF"/>
            <w:lang w:val="es-ES"/>
          </w:rPr>
          <w:t>https://www.colombiacompra.gov.co/sites/cce_public/files/files_2020/boletin_de_realtoria_iii.pdf</w:t>
        </w:r>
      </w:hyperlink>
      <w:r w:rsidR="00987692" w:rsidRPr="00B242B3">
        <w:rPr>
          <w:rFonts w:ascii="Verdana" w:eastAsia="Aptos" w:hAnsi="Verdana" w:cs="Arial"/>
          <w:shd w:val="clear" w:color="auto" w:fill="FFFFFF"/>
          <w:lang w:val="es-ES"/>
        </w:rPr>
        <w:t>.</w:t>
      </w:r>
      <w:r w:rsidRPr="00B242B3">
        <w:rPr>
          <w:rFonts w:ascii="Verdana" w:eastAsia="Aptos" w:hAnsi="Verdana" w:cs="Arial"/>
          <w:shd w:val="clear" w:color="auto" w:fill="FFFFFF"/>
          <w:lang w:val="es-ES"/>
        </w:rPr>
        <w:t xml:space="preserve"> </w:t>
      </w:r>
    </w:p>
    <w:p w14:paraId="49B27ACF" w14:textId="77777777" w:rsidR="00987692" w:rsidRDefault="00987692" w:rsidP="00987692">
      <w:pPr>
        <w:widowControl w:val="0"/>
        <w:autoSpaceDE w:val="0"/>
        <w:autoSpaceDN w:val="0"/>
        <w:spacing w:after="0" w:line="276" w:lineRule="auto"/>
        <w:jc w:val="both"/>
        <w:rPr>
          <w:rFonts w:ascii="Verdana" w:eastAsia="Aptos" w:hAnsi="Verdana" w:cs="Arial"/>
          <w:shd w:val="clear" w:color="auto" w:fill="FFFFFF"/>
          <w:lang w:val="es-ES"/>
        </w:rPr>
      </w:pPr>
    </w:p>
    <w:p w14:paraId="12E5DF5C" w14:textId="0C5C116B" w:rsidR="00713D52" w:rsidRDefault="00713D52" w:rsidP="00987692">
      <w:pPr>
        <w:widowControl w:val="0"/>
        <w:autoSpaceDE w:val="0"/>
        <w:autoSpaceDN w:val="0"/>
        <w:spacing w:after="0" w:line="276" w:lineRule="auto"/>
        <w:jc w:val="both"/>
        <w:rPr>
          <w:rFonts w:ascii="Verdana" w:eastAsia="Aptos" w:hAnsi="Verdana" w:cs="Arial"/>
          <w:shd w:val="clear" w:color="auto" w:fill="FFFFFF"/>
          <w:lang w:val="es-ES"/>
        </w:rPr>
      </w:pPr>
      <w:r w:rsidRPr="00713D52">
        <w:rPr>
          <w:rFonts w:ascii="Verdana" w:eastAsia="Aptos" w:hAnsi="Verdana" w:cs="Arial"/>
          <w:shd w:val="clear" w:color="auto" w:fill="FFFFFF"/>
          <w:lang w:val="es-ES"/>
        </w:rPr>
        <w:t xml:space="preserve">De otra parte, te informamos que entre el 15 al 29 de agosto de 2024 estará disponible para comentarios la Guía para Promover la Participación de las MIPYMES en los Procesos de Compra y Contratación Pública. Esta nueva versión desarrolla lineamientos para la aplicación de los incentivos regulados por normas </w:t>
      </w:r>
      <w:r w:rsidRPr="00713D52">
        <w:rPr>
          <w:rFonts w:ascii="Verdana" w:eastAsia="Aptos" w:hAnsi="Verdana" w:cs="Arial"/>
          <w:shd w:val="clear" w:color="auto" w:fill="FFFFFF"/>
          <w:lang w:val="es-ES"/>
        </w:rPr>
        <w:lastRenderedPageBreak/>
        <w:t xml:space="preserve">como la Ley 2069 de 2020 y los decretos 1860 de 2021, 142 de 2023 y el 874 de 2024. Te invitamos a participar dejando tus observaciones en los siguientes enlaces: </w:t>
      </w:r>
      <w:hyperlink r:id="rId23" w:history="1">
        <w:r w:rsidRPr="00B4257D">
          <w:rPr>
            <w:rStyle w:val="Hipervnculo"/>
            <w:rFonts w:ascii="Verdana" w:eastAsia="Aptos" w:hAnsi="Verdana" w:cs="Arial"/>
            <w:shd w:val="clear" w:color="auto" w:fill="FFFFFF"/>
            <w:lang w:val="es-ES"/>
          </w:rPr>
          <w:t>https://www.sucop.gov.co/entidades/colombiacompra/Normativa?IDNorma=17363</w:t>
        </w:r>
      </w:hyperlink>
      <w:r>
        <w:rPr>
          <w:rFonts w:ascii="Verdana" w:eastAsia="Aptos" w:hAnsi="Verdana" w:cs="Arial"/>
          <w:shd w:val="clear" w:color="auto" w:fill="FFFFFF"/>
          <w:lang w:val="es-ES"/>
        </w:rPr>
        <w:t xml:space="preserve"> </w:t>
      </w:r>
      <w:r w:rsidRPr="00713D52">
        <w:rPr>
          <w:rFonts w:ascii="Verdana" w:eastAsia="Aptos" w:hAnsi="Verdana" w:cs="Arial"/>
          <w:shd w:val="clear" w:color="auto" w:fill="FFFFFF"/>
          <w:lang w:val="es-ES"/>
        </w:rPr>
        <w:t xml:space="preserve">y </w:t>
      </w:r>
      <w:hyperlink r:id="rId24" w:history="1">
        <w:r w:rsidRPr="00B4257D">
          <w:rPr>
            <w:rStyle w:val="Hipervnculo"/>
            <w:rFonts w:ascii="Verdana" w:eastAsia="Aptos" w:hAnsi="Verdana" w:cs="Arial"/>
            <w:shd w:val="clear" w:color="auto" w:fill="FFFFFF"/>
            <w:lang w:val="es-ES"/>
          </w:rPr>
          <w:t>https://www.colombiacompra.gov.co/content/convocatorias</w:t>
        </w:r>
      </w:hyperlink>
      <w:r>
        <w:rPr>
          <w:rFonts w:ascii="Verdana" w:eastAsia="Aptos" w:hAnsi="Verdana" w:cs="Arial"/>
          <w:shd w:val="clear" w:color="auto" w:fill="FFFFFF"/>
          <w:lang w:val="es-ES"/>
        </w:rPr>
        <w:t xml:space="preserve"> </w:t>
      </w:r>
    </w:p>
    <w:p w14:paraId="266E45BC" w14:textId="77777777" w:rsidR="00987692" w:rsidRPr="00FC49A2" w:rsidRDefault="00987692" w:rsidP="00987692">
      <w:pPr>
        <w:widowControl w:val="0"/>
        <w:autoSpaceDE w:val="0"/>
        <w:autoSpaceDN w:val="0"/>
        <w:spacing w:after="0" w:line="276" w:lineRule="auto"/>
        <w:jc w:val="both"/>
        <w:rPr>
          <w:rFonts w:ascii="Verdana" w:eastAsia="Aptos" w:hAnsi="Verdana" w:cs="Arial"/>
          <w:shd w:val="clear" w:color="auto" w:fill="FFFFFF"/>
          <w:lang w:val="es-ES"/>
        </w:rPr>
      </w:pPr>
    </w:p>
    <w:p w14:paraId="6F7606F3" w14:textId="77777777" w:rsidR="00987692" w:rsidRPr="00FC49A2" w:rsidRDefault="00987692" w:rsidP="00987692">
      <w:pPr>
        <w:spacing w:after="0" w:line="240" w:lineRule="auto"/>
        <w:jc w:val="both"/>
        <w:rPr>
          <w:rFonts w:ascii="Verdana" w:eastAsia="Aptos" w:hAnsi="Verdana" w:cs="Times New Roman"/>
        </w:rPr>
      </w:pPr>
      <w:r w:rsidRPr="00FC49A2">
        <w:rPr>
          <w:rFonts w:ascii="Verdana" w:eastAsia="Aptos" w:hAnsi="Verdana" w:cs="Times New Roman"/>
        </w:rPr>
        <w:t xml:space="preserve">Por último, lo invitamos a seguirnos en las redes sociales en las cuales se difunde información institucional: </w:t>
      </w:r>
    </w:p>
    <w:p w14:paraId="1DF58753" w14:textId="77777777" w:rsidR="00987692" w:rsidRPr="00FC49A2" w:rsidRDefault="00987692" w:rsidP="00987692">
      <w:pPr>
        <w:spacing w:after="0" w:line="240" w:lineRule="auto"/>
        <w:jc w:val="both"/>
        <w:rPr>
          <w:rFonts w:ascii="Verdana" w:eastAsia="Aptos" w:hAnsi="Verdana" w:cs="Times New Roman"/>
        </w:rPr>
      </w:pPr>
    </w:p>
    <w:p w14:paraId="6F55361E" w14:textId="77777777" w:rsidR="00987692" w:rsidRPr="00FC49A2" w:rsidRDefault="00987692" w:rsidP="00987692">
      <w:pPr>
        <w:spacing w:after="0" w:line="240" w:lineRule="auto"/>
        <w:jc w:val="both"/>
        <w:rPr>
          <w:rFonts w:ascii="Verdana" w:eastAsia="Aptos" w:hAnsi="Verdana" w:cs="Times New Roman"/>
        </w:rPr>
      </w:pPr>
      <w:r w:rsidRPr="00FC49A2">
        <w:rPr>
          <w:rFonts w:ascii="Verdana" w:eastAsia="Aptos" w:hAnsi="Verdana" w:cs="Times New Roman"/>
        </w:rPr>
        <w:t xml:space="preserve">Twitter: </w:t>
      </w:r>
      <w:r w:rsidRPr="00713D52">
        <w:rPr>
          <w:rStyle w:val="Hipervnculo"/>
          <w:rFonts w:ascii="Verdana" w:hAnsi="Verdana" w:cs="Arial"/>
          <w:shd w:val="clear" w:color="auto" w:fill="FFFFFF"/>
          <w:lang w:val="es-ES"/>
        </w:rPr>
        <w:t>@</w:t>
      </w:r>
      <w:proofErr w:type="spellStart"/>
      <w:r w:rsidRPr="00713D52">
        <w:rPr>
          <w:rStyle w:val="Hipervnculo"/>
          <w:rFonts w:ascii="Verdana" w:hAnsi="Verdana" w:cs="Arial"/>
          <w:shd w:val="clear" w:color="auto" w:fill="FFFFFF"/>
          <w:lang w:val="es-ES"/>
        </w:rPr>
        <w:t>colombiacompra</w:t>
      </w:r>
      <w:proofErr w:type="spellEnd"/>
      <w:r w:rsidRPr="00FC49A2">
        <w:rPr>
          <w:rFonts w:ascii="Verdana" w:eastAsia="Aptos" w:hAnsi="Verdana" w:cs="Times New Roman"/>
          <w:color w:val="156082"/>
        </w:rPr>
        <w:t xml:space="preserve"> </w:t>
      </w:r>
    </w:p>
    <w:p w14:paraId="330A1B3B" w14:textId="77777777" w:rsidR="00987692" w:rsidRPr="00FC49A2" w:rsidRDefault="00987692" w:rsidP="00987692">
      <w:pPr>
        <w:spacing w:after="0" w:line="240" w:lineRule="auto"/>
        <w:jc w:val="both"/>
        <w:rPr>
          <w:rFonts w:ascii="Verdana" w:eastAsia="Aptos" w:hAnsi="Verdana" w:cs="Times New Roman"/>
        </w:rPr>
      </w:pPr>
      <w:r w:rsidRPr="00FC49A2">
        <w:rPr>
          <w:rFonts w:ascii="Verdana" w:eastAsia="Aptos" w:hAnsi="Verdana" w:cs="Times New Roman"/>
        </w:rPr>
        <w:t xml:space="preserve">Facebook: </w:t>
      </w:r>
      <w:proofErr w:type="spellStart"/>
      <w:r w:rsidRPr="00713D52">
        <w:rPr>
          <w:rStyle w:val="Hipervnculo"/>
          <w:rFonts w:ascii="Verdana" w:hAnsi="Verdana" w:cs="Arial"/>
          <w:shd w:val="clear" w:color="auto" w:fill="FFFFFF"/>
          <w:lang w:val="es-ES"/>
        </w:rPr>
        <w:t>ColombiaCompraEficiente</w:t>
      </w:r>
      <w:proofErr w:type="spellEnd"/>
    </w:p>
    <w:p w14:paraId="25C36381" w14:textId="77777777" w:rsidR="00987692" w:rsidRPr="00713D52" w:rsidRDefault="00987692" w:rsidP="00987692">
      <w:pPr>
        <w:spacing w:after="0" w:line="240" w:lineRule="auto"/>
        <w:jc w:val="both"/>
        <w:rPr>
          <w:rFonts w:ascii="Verdana" w:eastAsia="Aptos" w:hAnsi="Verdana" w:cs="Times New Roman"/>
        </w:rPr>
      </w:pPr>
      <w:r w:rsidRPr="00FC49A2">
        <w:rPr>
          <w:rFonts w:ascii="Verdana" w:eastAsia="Aptos" w:hAnsi="Verdana" w:cs="Times New Roman"/>
        </w:rPr>
        <w:t xml:space="preserve">LinkedIn: </w:t>
      </w:r>
      <w:r w:rsidRPr="00713D52">
        <w:rPr>
          <w:rStyle w:val="Hipervnculo"/>
          <w:rFonts w:ascii="Verdana" w:hAnsi="Verdana" w:cs="Arial"/>
          <w:shd w:val="clear" w:color="auto" w:fill="FFFFFF"/>
          <w:lang w:val="es-ES"/>
        </w:rPr>
        <w:t>Agencia Nacional de Contratación Pública - Colombia Compra Eficiente</w:t>
      </w:r>
      <w:r w:rsidRPr="00FC49A2">
        <w:rPr>
          <w:rFonts w:ascii="Verdana" w:eastAsia="Aptos" w:hAnsi="Verdana" w:cs="Times New Roman"/>
          <w:color w:val="156082"/>
        </w:rPr>
        <w:t xml:space="preserve"> </w:t>
      </w:r>
      <w:r w:rsidRPr="00FC49A2">
        <w:rPr>
          <w:rFonts w:ascii="Verdana" w:eastAsia="Aptos" w:hAnsi="Verdana" w:cs="Times New Roman"/>
        </w:rPr>
        <w:t xml:space="preserve">Instagram: </w:t>
      </w:r>
      <w:r w:rsidRPr="00713D52">
        <w:rPr>
          <w:rStyle w:val="Hipervnculo"/>
          <w:rFonts w:ascii="Verdana" w:hAnsi="Verdana" w:cs="Arial"/>
          <w:shd w:val="clear" w:color="auto" w:fill="FFFFFF"/>
          <w:lang w:val="es-ES"/>
        </w:rPr>
        <w:t>@</w:t>
      </w:r>
      <w:proofErr w:type="spellStart"/>
      <w:r w:rsidRPr="00713D52">
        <w:rPr>
          <w:rStyle w:val="Hipervnculo"/>
          <w:rFonts w:ascii="Verdana" w:hAnsi="Verdana" w:cs="Arial"/>
          <w:shd w:val="clear" w:color="auto" w:fill="FFFFFF"/>
          <w:lang w:val="es-ES"/>
        </w:rPr>
        <w:t>colombiacompraeficiente_cce</w:t>
      </w:r>
      <w:proofErr w:type="spellEnd"/>
    </w:p>
    <w:p w14:paraId="53CD00C3" w14:textId="77777777" w:rsidR="00987692" w:rsidRPr="00FC49A2" w:rsidRDefault="00987692" w:rsidP="00987692">
      <w:pPr>
        <w:widowControl w:val="0"/>
        <w:autoSpaceDE w:val="0"/>
        <w:autoSpaceDN w:val="0"/>
        <w:spacing w:after="0" w:line="276" w:lineRule="auto"/>
        <w:jc w:val="both"/>
        <w:rPr>
          <w:rFonts w:ascii="Verdana" w:eastAsia="Aptos" w:hAnsi="Verdana" w:cs="Arial"/>
        </w:rPr>
      </w:pPr>
    </w:p>
    <w:p w14:paraId="7AA31BD1" w14:textId="77777777" w:rsidR="00987692" w:rsidRPr="00FC49A2" w:rsidRDefault="00987692" w:rsidP="00987692">
      <w:pPr>
        <w:widowControl w:val="0"/>
        <w:autoSpaceDE w:val="0"/>
        <w:autoSpaceDN w:val="0"/>
        <w:spacing w:after="0" w:line="276" w:lineRule="auto"/>
        <w:jc w:val="both"/>
        <w:rPr>
          <w:rFonts w:ascii="Verdana" w:eastAsia="Aptos" w:hAnsi="Verdana" w:cs="Arial"/>
          <w:lang w:val="es-ES_tradnl"/>
        </w:rPr>
      </w:pPr>
      <w:r w:rsidRPr="00FC49A2">
        <w:rPr>
          <w:rFonts w:ascii="Verdana" w:eastAsia="Aptos" w:hAnsi="Verdana" w:cs="Arial"/>
        </w:rPr>
        <w:t xml:space="preserve">Este concepto tiene el alcance previsto en el artículo 28 del Código de Procedimiento Administrativo y de lo Contencioso Administrativo </w:t>
      </w:r>
      <w:r w:rsidRPr="00FC49A2">
        <w:rPr>
          <w:rFonts w:ascii="Verdana" w:eastAsia="Aptos" w:hAnsi="Verdana" w:cs="Arial"/>
          <w:lang w:val="es-ES_tradnl"/>
        </w:rPr>
        <w:t>y las expresiones aquí utilizadas con mayúscula inicial deben ser entendidas con el significado que les otorga el artículo 2.2.1.1.1.3.1. del Decreto 1082 de 2015.</w:t>
      </w:r>
    </w:p>
    <w:p w14:paraId="5E6F1F1A" w14:textId="77777777" w:rsidR="00987692" w:rsidRPr="00FC49A2" w:rsidRDefault="00987692" w:rsidP="00987692">
      <w:pPr>
        <w:widowControl w:val="0"/>
        <w:autoSpaceDE w:val="0"/>
        <w:autoSpaceDN w:val="0"/>
        <w:spacing w:after="0" w:line="276" w:lineRule="auto"/>
        <w:jc w:val="both"/>
        <w:rPr>
          <w:rFonts w:ascii="Verdana" w:eastAsia="Aptos" w:hAnsi="Verdana" w:cs="Arial"/>
        </w:rPr>
      </w:pPr>
    </w:p>
    <w:p w14:paraId="68092426" w14:textId="77777777" w:rsidR="00987692" w:rsidRPr="00FC49A2" w:rsidRDefault="00987692" w:rsidP="00987692">
      <w:pPr>
        <w:spacing w:after="0" w:line="240" w:lineRule="auto"/>
        <w:rPr>
          <w:rFonts w:ascii="Verdana" w:eastAsia="Aptos" w:hAnsi="Verdana" w:cs="Arial"/>
          <w:lang w:eastAsia="es-CO"/>
        </w:rPr>
      </w:pPr>
      <w:r w:rsidRPr="00FC49A2">
        <w:rPr>
          <w:rFonts w:ascii="Verdana" w:eastAsia="Times New Roman" w:hAnsi="Verdana" w:cs="Arial"/>
          <w:lang w:eastAsia="es-CO"/>
        </w:rPr>
        <w:t>Atentamente,</w:t>
      </w:r>
      <w:r w:rsidRPr="00FC49A2">
        <w:rPr>
          <w:rFonts w:ascii="Verdana" w:eastAsia="Aptos" w:hAnsi="Verdana" w:cs="Arial"/>
          <w:lang w:eastAsia="es-CO"/>
        </w:rPr>
        <w:t xml:space="preserve"> </w:t>
      </w:r>
    </w:p>
    <w:p w14:paraId="41BCC1BC" w14:textId="368B3721" w:rsidR="00987692" w:rsidRPr="00FC49A2" w:rsidRDefault="0037328B" w:rsidP="00987692">
      <w:pPr>
        <w:spacing w:line="276" w:lineRule="auto"/>
        <w:jc w:val="center"/>
        <w:rPr>
          <w:rFonts w:ascii="Verdana" w:eastAsia="Aptos" w:hAnsi="Verdana" w:cs="Arial"/>
          <w:lang w:val="es-ES_tradnl" w:eastAsia="es-CO"/>
        </w:rPr>
      </w:pPr>
      <w:r w:rsidRPr="0037328B">
        <w:rPr>
          <w:rFonts w:ascii="Verdana" w:eastAsia="Aptos" w:hAnsi="Verdana" w:cs="Arial"/>
          <w:noProof/>
          <w:lang w:eastAsia="es-CO"/>
        </w:rPr>
        <w:drawing>
          <wp:inline distT="0" distB="0" distL="0" distR="0" wp14:anchorId="58CEADC8" wp14:editId="42259328">
            <wp:extent cx="3771900" cy="1400175"/>
            <wp:effectExtent l="0" t="0" r="0" b="9525"/>
            <wp:docPr id="47481047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Pr="0037328B">
        <w:rPr>
          <w:rFonts w:ascii="Verdana" w:eastAsia="Aptos" w:hAnsi="Verdana" w:cs="Arial"/>
          <w:lang w:eastAsia="es-CO"/>
        </w:rPr>
        <w:br/>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987692" w:rsidRPr="00FC49A2" w14:paraId="368CDBCD" w14:textId="77777777" w:rsidTr="0057173C">
        <w:trPr>
          <w:trHeight w:val="286"/>
        </w:trPr>
        <w:tc>
          <w:tcPr>
            <w:tcW w:w="901" w:type="dxa"/>
            <w:vAlign w:val="center"/>
            <w:hideMark/>
          </w:tcPr>
          <w:p w14:paraId="016133C6" w14:textId="77777777" w:rsidR="00987692" w:rsidRPr="00FC49A2" w:rsidRDefault="00987692" w:rsidP="0057173C">
            <w:pPr>
              <w:rPr>
                <w:rFonts w:ascii="Verdana" w:eastAsia="Aptos" w:hAnsi="Verdana" w:cs="Arial"/>
                <w:sz w:val="14"/>
                <w:szCs w:val="14"/>
                <w:lang w:eastAsia="es-ES"/>
              </w:rPr>
            </w:pPr>
            <w:r w:rsidRPr="00FC49A2">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090BEAAE" w14:textId="77777777" w:rsidR="00987692" w:rsidRPr="00FC49A2" w:rsidRDefault="00987692" w:rsidP="0057173C">
            <w:pPr>
              <w:rPr>
                <w:rFonts w:ascii="Verdana" w:eastAsia="Aptos" w:hAnsi="Verdana" w:cs="Arial"/>
                <w:sz w:val="14"/>
                <w:szCs w:val="14"/>
                <w:lang w:eastAsia="es-ES"/>
              </w:rPr>
            </w:pPr>
            <w:proofErr w:type="spellStart"/>
            <w:r w:rsidRPr="00FC49A2">
              <w:rPr>
                <w:rFonts w:ascii="Verdana" w:eastAsia="Aptos" w:hAnsi="Verdana" w:cs="Arial"/>
                <w:sz w:val="14"/>
                <w:szCs w:val="14"/>
                <w:lang w:eastAsia="es-ES"/>
              </w:rPr>
              <w:t>Nasly</w:t>
            </w:r>
            <w:proofErr w:type="spellEnd"/>
            <w:r w:rsidRPr="00FC49A2">
              <w:rPr>
                <w:rFonts w:ascii="Verdana" w:eastAsia="Aptos" w:hAnsi="Verdana" w:cs="Arial"/>
                <w:sz w:val="14"/>
                <w:szCs w:val="14"/>
                <w:lang w:eastAsia="es-ES"/>
              </w:rPr>
              <w:t xml:space="preserve"> </w:t>
            </w:r>
            <w:proofErr w:type="spellStart"/>
            <w:r w:rsidRPr="00FC49A2">
              <w:rPr>
                <w:rFonts w:ascii="Verdana" w:eastAsia="Aptos" w:hAnsi="Verdana" w:cs="Arial"/>
                <w:sz w:val="14"/>
                <w:szCs w:val="14"/>
                <w:lang w:eastAsia="es-ES"/>
              </w:rPr>
              <w:t>Yeana</w:t>
            </w:r>
            <w:proofErr w:type="spellEnd"/>
            <w:r w:rsidRPr="00FC49A2">
              <w:rPr>
                <w:rFonts w:ascii="Verdana" w:eastAsia="Aptos" w:hAnsi="Verdana" w:cs="Arial"/>
                <w:sz w:val="14"/>
                <w:szCs w:val="14"/>
                <w:lang w:eastAsia="es-ES"/>
              </w:rPr>
              <w:t xml:space="preserve"> Mosquera Rivas</w:t>
            </w:r>
          </w:p>
          <w:p w14:paraId="2936CE16" w14:textId="77777777" w:rsidR="00987692" w:rsidRPr="00FC49A2" w:rsidRDefault="00987692" w:rsidP="0057173C">
            <w:pPr>
              <w:rPr>
                <w:rFonts w:ascii="Verdana" w:eastAsia="Aptos" w:hAnsi="Verdana" w:cs="Arial"/>
                <w:sz w:val="14"/>
                <w:szCs w:val="14"/>
                <w:lang w:eastAsia="es-ES"/>
              </w:rPr>
            </w:pPr>
            <w:r w:rsidRPr="00FC49A2">
              <w:rPr>
                <w:rFonts w:ascii="Verdana" w:eastAsia="Aptos" w:hAnsi="Verdana" w:cs="Arial"/>
                <w:sz w:val="14"/>
                <w:szCs w:val="14"/>
                <w:lang w:eastAsia="es-ES"/>
              </w:rPr>
              <w:t>Analista T2–06 de la Subdirección de Gestión Contractual</w:t>
            </w:r>
          </w:p>
        </w:tc>
      </w:tr>
      <w:tr w:rsidR="00987692" w:rsidRPr="00FC49A2" w14:paraId="656C294A" w14:textId="77777777" w:rsidTr="0057173C">
        <w:trPr>
          <w:trHeight w:val="299"/>
        </w:trPr>
        <w:tc>
          <w:tcPr>
            <w:tcW w:w="901" w:type="dxa"/>
            <w:vAlign w:val="center"/>
          </w:tcPr>
          <w:p w14:paraId="54D91356" w14:textId="77777777" w:rsidR="00987692" w:rsidRPr="00FC49A2" w:rsidRDefault="00987692" w:rsidP="0057173C">
            <w:pPr>
              <w:rPr>
                <w:rFonts w:ascii="Verdana" w:eastAsia="Aptos" w:hAnsi="Verdana" w:cs="Arial"/>
                <w:sz w:val="14"/>
                <w:szCs w:val="14"/>
                <w:lang w:eastAsia="es-ES"/>
              </w:rPr>
            </w:pPr>
            <w:r w:rsidRPr="00FC49A2">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26C7B3E5" w14:textId="1B7B6072" w:rsidR="00987692" w:rsidRPr="00FC49A2" w:rsidRDefault="004019DB" w:rsidP="0057173C">
            <w:pPr>
              <w:rPr>
                <w:rFonts w:ascii="Verdana" w:eastAsia="Aptos" w:hAnsi="Verdana" w:cs="Arial"/>
                <w:sz w:val="14"/>
                <w:szCs w:val="14"/>
                <w:lang w:eastAsia="es-ES"/>
              </w:rPr>
            </w:pPr>
            <w:r>
              <w:rPr>
                <w:rFonts w:ascii="Verdana" w:eastAsia="Aptos" w:hAnsi="Verdana" w:cs="Arial"/>
                <w:sz w:val="14"/>
                <w:szCs w:val="14"/>
                <w:lang w:eastAsia="es-ES"/>
              </w:rPr>
              <w:t xml:space="preserve">Libardo Alberto </w:t>
            </w:r>
            <w:proofErr w:type="spellStart"/>
            <w:r w:rsidR="00F77A98" w:rsidRPr="00F77A98">
              <w:rPr>
                <w:rFonts w:ascii="Verdana" w:eastAsia="Aptos" w:hAnsi="Verdana" w:cs="Arial"/>
                <w:sz w:val="14"/>
                <w:szCs w:val="14"/>
                <w:lang w:eastAsia="es-ES"/>
              </w:rPr>
              <w:t>Verjel</w:t>
            </w:r>
            <w:proofErr w:type="spellEnd"/>
            <w:r w:rsidR="00F77A98" w:rsidRPr="00F77A98">
              <w:rPr>
                <w:rFonts w:ascii="Verdana" w:eastAsia="Aptos" w:hAnsi="Verdana" w:cs="Arial"/>
                <w:sz w:val="14"/>
                <w:szCs w:val="14"/>
                <w:lang w:eastAsia="es-ES"/>
              </w:rPr>
              <w:t xml:space="preserve"> De </w:t>
            </w:r>
            <w:proofErr w:type="spellStart"/>
            <w:r w:rsidR="00F77A98" w:rsidRPr="00F77A98">
              <w:rPr>
                <w:rFonts w:ascii="Verdana" w:eastAsia="Aptos" w:hAnsi="Verdana" w:cs="Arial"/>
                <w:sz w:val="14"/>
                <w:szCs w:val="14"/>
                <w:lang w:eastAsia="es-ES"/>
              </w:rPr>
              <w:t>Filippis</w:t>
            </w:r>
            <w:proofErr w:type="spellEnd"/>
          </w:p>
          <w:p w14:paraId="564D1003" w14:textId="672FC343" w:rsidR="00987692" w:rsidRPr="00FC49A2" w:rsidRDefault="00F77A98" w:rsidP="0057173C">
            <w:pPr>
              <w:rPr>
                <w:rFonts w:ascii="Verdana" w:eastAsia="Aptos" w:hAnsi="Verdana" w:cs="Arial"/>
                <w:sz w:val="14"/>
                <w:szCs w:val="14"/>
                <w:lang w:eastAsia="es-ES"/>
              </w:rPr>
            </w:pPr>
            <w:r w:rsidRPr="00F77A98">
              <w:rPr>
                <w:rFonts w:ascii="Verdana" w:eastAsia="Aptos" w:hAnsi="Verdana" w:cs="Arial"/>
                <w:sz w:val="14"/>
                <w:szCs w:val="14"/>
                <w:lang w:eastAsia="es-ES"/>
              </w:rPr>
              <w:t>Experto G3- 08</w:t>
            </w:r>
            <w:r>
              <w:rPr>
                <w:rFonts w:ascii="Verdana" w:eastAsia="Aptos" w:hAnsi="Verdana" w:cs="Arial"/>
                <w:sz w:val="14"/>
                <w:szCs w:val="14"/>
                <w:lang w:eastAsia="es-ES"/>
              </w:rPr>
              <w:t xml:space="preserve"> </w:t>
            </w:r>
            <w:r w:rsidR="00987692" w:rsidRPr="00FC49A2">
              <w:rPr>
                <w:rFonts w:ascii="Verdana" w:eastAsia="Aptos" w:hAnsi="Verdana" w:cs="Arial"/>
                <w:sz w:val="14"/>
                <w:szCs w:val="14"/>
                <w:lang w:eastAsia="es-ES"/>
              </w:rPr>
              <w:t>de la Subdirección de Gestión Contractual</w:t>
            </w:r>
          </w:p>
        </w:tc>
      </w:tr>
      <w:tr w:rsidR="00987692" w:rsidRPr="00FC49A2" w14:paraId="17A68A64" w14:textId="77777777" w:rsidTr="0057173C">
        <w:trPr>
          <w:trHeight w:val="272"/>
        </w:trPr>
        <w:tc>
          <w:tcPr>
            <w:tcW w:w="901" w:type="dxa"/>
            <w:vAlign w:val="center"/>
            <w:hideMark/>
          </w:tcPr>
          <w:p w14:paraId="0178F2CC" w14:textId="77777777" w:rsidR="00987692" w:rsidRPr="00FC49A2" w:rsidRDefault="00987692" w:rsidP="0057173C">
            <w:pPr>
              <w:rPr>
                <w:rFonts w:ascii="Verdana" w:eastAsia="Aptos" w:hAnsi="Verdana" w:cs="Arial"/>
                <w:sz w:val="14"/>
                <w:szCs w:val="14"/>
                <w:lang w:eastAsia="es-ES"/>
              </w:rPr>
            </w:pPr>
            <w:r w:rsidRPr="00FC49A2">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180739B4" w14:textId="77777777" w:rsidR="00987692" w:rsidRPr="00FC49A2" w:rsidRDefault="00987692" w:rsidP="0057173C">
            <w:pPr>
              <w:rPr>
                <w:rFonts w:ascii="Verdana" w:eastAsia="Aptos" w:hAnsi="Verdana" w:cs="Arial"/>
                <w:sz w:val="14"/>
                <w:szCs w:val="14"/>
                <w:lang w:eastAsia="es-ES"/>
              </w:rPr>
            </w:pPr>
            <w:r w:rsidRPr="00FC49A2">
              <w:rPr>
                <w:rFonts w:ascii="Verdana" w:eastAsia="Aptos" w:hAnsi="Verdana" w:cs="Arial"/>
                <w:sz w:val="14"/>
                <w:szCs w:val="14"/>
                <w:lang w:eastAsia="es-ES"/>
              </w:rPr>
              <w:t xml:space="preserve">Carolina Quintero </w:t>
            </w:r>
            <w:proofErr w:type="spellStart"/>
            <w:r w:rsidRPr="00FC49A2">
              <w:rPr>
                <w:rFonts w:ascii="Verdana" w:eastAsia="Aptos" w:hAnsi="Verdana" w:cs="Arial"/>
                <w:sz w:val="14"/>
                <w:szCs w:val="14"/>
                <w:lang w:eastAsia="es-ES"/>
              </w:rPr>
              <w:t>Gacharná</w:t>
            </w:r>
            <w:proofErr w:type="spellEnd"/>
          </w:p>
          <w:p w14:paraId="683D6DB4" w14:textId="77777777" w:rsidR="00987692" w:rsidRPr="00FC49A2" w:rsidRDefault="00987692" w:rsidP="0057173C">
            <w:pPr>
              <w:rPr>
                <w:rFonts w:ascii="Verdana" w:eastAsia="Aptos" w:hAnsi="Verdana" w:cs="Arial"/>
                <w:sz w:val="14"/>
                <w:szCs w:val="14"/>
                <w:lang w:eastAsia="es-ES"/>
              </w:rPr>
            </w:pPr>
            <w:r w:rsidRPr="00FC49A2">
              <w:rPr>
                <w:rFonts w:ascii="Verdana" w:eastAsia="Aptos" w:hAnsi="Verdana" w:cs="Arial"/>
                <w:sz w:val="14"/>
                <w:szCs w:val="14"/>
                <w:lang w:eastAsia="es-ES"/>
              </w:rPr>
              <w:t>Subdirectora de Gestión Contractual ANCP – CCE</w:t>
            </w:r>
          </w:p>
        </w:tc>
      </w:tr>
    </w:tbl>
    <w:p w14:paraId="6B17E103" w14:textId="77777777" w:rsidR="00987692" w:rsidRPr="00FC49A2" w:rsidRDefault="00987692" w:rsidP="00987692">
      <w:pPr>
        <w:spacing w:after="0" w:line="240" w:lineRule="auto"/>
        <w:rPr>
          <w:rFonts w:ascii="Verdana" w:eastAsia="Times New Roman" w:hAnsi="Verdana" w:cs="Arial"/>
          <w:sz w:val="24"/>
          <w:szCs w:val="24"/>
          <w:lang w:eastAsia="es-ES"/>
        </w:rPr>
      </w:pPr>
    </w:p>
    <w:p w14:paraId="0E202342" w14:textId="77777777" w:rsidR="00987692" w:rsidRPr="00FC49A2" w:rsidRDefault="00987692" w:rsidP="00987692">
      <w:pPr>
        <w:rPr>
          <w:rFonts w:ascii="Aptos" w:eastAsia="Aptos" w:hAnsi="Aptos" w:cs="Times New Roman"/>
        </w:rPr>
      </w:pPr>
    </w:p>
    <w:p w14:paraId="01F55580" w14:textId="77777777" w:rsidR="00987692" w:rsidRPr="00FC49A2" w:rsidRDefault="00987692" w:rsidP="00987692">
      <w:pPr>
        <w:rPr>
          <w:rFonts w:ascii="Aptos" w:eastAsia="Aptos" w:hAnsi="Aptos" w:cs="Times New Roman"/>
        </w:rPr>
      </w:pPr>
    </w:p>
    <w:p w14:paraId="3BDDBDA8" w14:textId="77777777" w:rsidR="00987692" w:rsidRPr="00FC49A2" w:rsidRDefault="00987692" w:rsidP="00987692">
      <w:pPr>
        <w:rPr>
          <w:rFonts w:ascii="Aptos" w:eastAsia="Aptos" w:hAnsi="Aptos" w:cs="Times New Roman"/>
        </w:rPr>
      </w:pPr>
    </w:p>
    <w:p w14:paraId="44C1ABAD" w14:textId="77777777" w:rsidR="00987692" w:rsidRPr="00FC49A2" w:rsidRDefault="00987692" w:rsidP="00987692">
      <w:pPr>
        <w:rPr>
          <w:rFonts w:ascii="Aptos" w:eastAsia="Aptos" w:hAnsi="Aptos" w:cs="Times New Roman"/>
        </w:rPr>
      </w:pPr>
    </w:p>
    <w:p w14:paraId="54E3EDEE" w14:textId="77777777" w:rsidR="00987692" w:rsidRPr="00FC49A2" w:rsidRDefault="00987692" w:rsidP="00987692"/>
    <w:p w14:paraId="15142F1C" w14:textId="77777777" w:rsidR="00987692" w:rsidRDefault="00987692"/>
    <w:sectPr w:rsidR="00987692" w:rsidSect="00987692">
      <w:headerReference w:type="default" r:id="rId26"/>
      <w:footerReference w:type="default" r:id="rId2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C135F" w14:textId="77777777" w:rsidR="00F7236D" w:rsidRDefault="00F7236D" w:rsidP="00987692">
      <w:pPr>
        <w:spacing w:after="0" w:line="240" w:lineRule="auto"/>
      </w:pPr>
      <w:r>
        <w:separator/>
      </w:r>
    </w:p>
  </w:endnote>
  <w:endnote w:type="continuationSeparator" w:id="0">
    <w:p w14:paraId="7E1FEDAE" w14:textId="77777777" w:rsidR="00F7236D" w:rsidRDefault="00F7236D" w:rsidP="00987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70E8D" w14:textId="77777777" w:rsidR="00987692" w:rsidRDefault="00987692">
    <w:pPr>
      <w:pStyle w:val="Piedepgina"/>
    </w:pPr>
  </w:p>
  <w:p w14:paraId="494603A6" w14:textId="77777777" w:rsidR="00987692" w:rsidRPr="00174B77" w:rsidRDefault="00987692"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FC49A2">
      <w:rPr>
        <w:rFonts w:ascii="Verdana" w:eastAsia="Times New Roman" w:hAnsi="Verdana" w:cs="Times New Roman"/>
        <w:b/>
        <w:bCs/>
        <w:sz w:val="16"/>
        <w:szCs w:val="16"/>
        <w:lang w:val="es-ES"/>
      </w:rPr>
      <w:t xml:space="preserve">pág. </w:t>
    </w:r>
    <w:r w:rsidRPr="00FC49A2">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FC49A2">
      <w:rPr>
        <w:rFonts w:ascii="Verdana" w:eastAsia="Times New Roman" w:hAnsi="Verdana"/>
        <w:b/>
        <w:bCs/>
        <w:sz w:val="16"/>
        <w:szCs w:val="16"/>
      </w:rPr>
      <w:fldChar w:fldCharType="separate"/>
    </w:r>
    <w:r w:rsidRPr="00FC49A2">
      <w:rPr>
        <w:rFonts w:ascii="Verdana" w:eastAsia="Times New Roman" w:hAnsi="Verdana"/>
        <w:b/>
        <w:bCs/>
        <w:sz w:val="16"/>
        <w:szCs w:val="16"/>
      </w:rPr>
      <w:t>1</w:t>
    </w:r>
    <w:r w:rsidRPr="00FC49A2">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1E06DBA3" w14:textId="77777777" w:rsidR="00987692" w:rsidRDefault="00987692"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824B803" w14:textId="77777777" w:rsidR="00987692" w:rsidRPr="00E41027" w:rsidRDefault="00987692" w:rsidP="00D520D8">
    <w:pPr>
      <w:spacing w:after="0"/>
      <w:jc w:val="both"/>
      <w:rPr>
        <w:rFonts w:ascii="Verdana" w:hAnsi="Verdana"/>
        <w:sz w:val="18"/>
        <w:szCs w:val="18"/>
      </w:rPr>
    </w:pPr>
    <w:r w:rsidRPr="00E41027">
      <w:rPr>
        <w:rFonts w:ascii="Verdana" w:hAnsi="Verdana"/>
        <w:sz w:val="18"/>
        <w:szCs w:val="18"/>
      </w:rPr>
      <w:t>Mesa de servicio: (+57) 601 7456788</w:t>
    </w:r>
  </w:p>
  <w:p w14:paraId="03B3FC9F" w14:textId="77777777" w:rsidR="00987692" w:rsidRDefault="00987692"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3897F" w14:textId="77777777" w:rsidR="00F7236D" w:rsidRDefault="00F7236D" w:rsidP="00987692">
      <w:pPr>
        <w:spacing w:after="0" w:line="240" w:lineRule="auto"/>
      </w:pPr>
      <w:r>
        <w:separator/>
      </w:r>
    </w:p>
  </w:footnote>
  <w:footnote w:type="continuationSeparator" w:id="0">
    <w:p w14:paraId="6DD0A92B" w14:textId="77777777" w:rsidR="00F7236D" w:rsidRDefault="00F7236D" w:rsidP="00987692">
      <w:pPr>
        <w:spacing w:after="0" w:line="240" w:lineRule="auto"/>
      </w:pPr>
      <w:r>
        <w:continuationSeparator/>
      </w:r>
    </w:p>
  </w:footnote>
  <w:footnote w:id="1">
    <w:p w14:paraId="19C02D63" w14:textId="77777777" w:rsidR="00220BB0" w:rsidRPr="004C0A97" w:rsidRDefault="00220BB0" w:rsidP="00220BB0">
      <w:pPr>
        <w:pStyle w:val="Textonotapie"/>
        <w:ind w:firstLine="709"/>
        <w:contextualSpacing/>
        <w:jc w:val="both"/>
        <w:rPr>
          <w:rFonts w:ascii="Verdana" w:hAnsi="Verdana" w:cs="Arial"/>
          <w:color w:val="000000"/>
          <w:sz w:val="12"/>
          <w:szCs w:val="12"/>
        </w:rPr>
      </w:pPr>
      <w:r w:rsidRPr="004C0A97">
        <w:rPr>
          <w:rStyle w:val="Refdenotaalpie"/>
          <w:rFonts w:ascii="Verdana" w:hAnsi="Verdana" w:cs="Arial"/>
          <w:color w:val="000000"/>
          <w:sz w:val="12"/>
          <w:szCs w:val="12"/>
        </w:rPr>
        <w:footnoteRef/>
      </w:r>
      <w:r w:rsidRPr="004C0A97">
        <w:rPr>
          <w:rFonts w:ascii="Verdana" w:hAnsi="Verdana" w:cs="Arial"/>
          <w:color w:val="000000"/>
          <w:sz w:val="12"/>
          <w:szCs w:val="12"/>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7C99FB2A" w14:textId="77777777" w:rsidR="00220BB0" w:rsidRPr="004C0A97" w:rsidRDefault="00220BB0" w:rsidP="00220BB0">
      <w:pPr>
        <w:pStyle w:val="Textonotapie"/>
        <w:ind w:firstLine="709"/>
        <w:contextualSpacing/>
        <w:jc w:val="both"/>
        <w:rPr>
          <w:rFonts w:ascii="Verdana" w:hAnsi="Verdana" w:cs="Arial"/>
          <w:color w:val="000000"/>
          <w:sz w:val="12"/>
          <w:szCs w:val="12"/>
        </w:rPr>
      </w:pPr>
    </w:p>
    <w:p w14:paraId="3A45700C" w14:textId="77777777" w:rsidR="00220BB0" w:rsidRPr="004C0A97" w:rsidRDefault="00220BB0" w:rsidP="00220BB0">
      <w:pPr>
        <w:pStyle w:val="Textonotapie"/>
        <w:ind w:firstLine="709"/>
        <w:contextualSpacing/>
        <w:jc w:val="both"/>
        <w:rPr>
          <w:rFonts w:ascii="Verdana" w:hAnsi="Verdana" w:cs="Arial"/>
          <w:color w:val="000000"/>
          <w:sz w:val="12"/>
          <w:szCs w:val="12"/>
        </w:rPr>
      </w:pPr>
      <w:r w:rsidRPr="004C0A97">
        <w:rPr>
          <w:rFonts w:ascii="Verdana" w:hAnsi="Verdana" w:cs="Arial"/>
          <w:color w:val="000000"/>
          <w:sz w:val="12"/>
          <w:szCs w:val="12"/>
        </w:rPr>
        <w:t>Lo anterior, sin perjuicio de las publicaciones previstas en el numeral 3 del artículo 30 de la Ley 80 de 1993.</w:t>
      </w:r>
    </w:p>
    <w:p w14:paraId="14E84485" w14:textId="77777777" w:rsidR="00220BB0" w:rsidRPr="004C0A97" w:rsidRDefault="00220BB0" w:rsidP="00220BB0">
      <w:pPr>
        <w:pStyle w:val="Textonotapie"/>
        <w:ind w:firstLine="709"/>
        <w:contextualSpacing/>
        <w:jc w:val="both"/>
        <w:rPr>
          <w:rFonts w:ascii="Verdana" w:hAnsi="Verdana" w:cs="Arial"/>
          <w:color w:val="000000"/>
          <w:sz w:val="12"/>
          <w:szCs w:val="12"/>
        </w:rPr>
      </w:pPr>
      <w:r w:rsidRPr="004C0A97">
        <w:rPr>
          <w:rFonts w:ascii="Verdana" w:hAnsi="Verdana" w:cs="Arial"/>
          <w:color w:val="000000"/>
          <w:sz w:val="12"/>
          <w:szCs w:val="12"/>
        </w:rPr>
        <w:t xml:space="preserve">Con el fin de materializar los objetivos a que se refiere el inciso anterior, el Gobierno Nacional desarrollará el Sistema Electrónico para la Contratación Pública, Secop, el cual: </w:t>
      </w:r>
    </w:p>
    <w:p w14:paraId="2D9952B9" w14:textId="77777777" w:rsidR="00220BB0" w:rsidRPr="004C0A97" w:rsidRDefault="00220BB0" w:rsidP="00220BB0">
      <w:pPr>
        <w:pStyle w:val="Textonotapie"/>
        <w:ind w:firstLine="709"/>
        <w:contextualSpacing/>
        <w:jc w:val="both"/>
        <w:rPr>
          <w:rFonts w:ascii="Verdana" w:hAnsi="Verdana" w:cs="Arial"/>
          <w:color w:val="000000"/>
          <w:sz w:val="12"/>
          <w:szCs w:val="12"/>
        </w:rPr>
      </w:pPr>
      <w:r w:rsidRPr="004C0A97">
        <w:rPr>
          <w:rFonts w:ascii="Verdana" w:hAnsi="Verdana" w:cs="Arial"/>
          <w:color w:val="000000"/>
          <w:sz w:val="12"/>
          <w:szCs w:val="12"/>
        </w:rPr>
        <w:t>[…]</w:t>
      </w:r>
    </w:p>
    <w:p w14:paraId="6E0743B8" w14:textId="77777777" w:rsidR="00220BB0" w:rsidRPr="004C0A97" w:rsidRDefault="00220BB0" w:rsidP="00220BB0">
      <w:pPr>
        <w:pStyle w:val="Textonotapie"/>
        <w:ind w:firstLine="709"/>
        <w:contextualSpacing/>
        <w:jc w:val="both"/>
        <w:rPr>
          <w:rFonts w:ascii="Verdana" w:hAnsi="Verdana" w:cs="Arial"/>
          <w:color w:val="000000"/>
          <w:sz w:val="12"/>
          <w:szCs w:val="12"/>
        </w:rPr>
      </w:pPr>
      <w:r w:rsidRPr="004C0A97">
        <w:rPr>
          <w:rFonts w:ascii="Verdana" w:hAnsi="Verdana" w:cs="Arial"/>
          <w:color w:val="000000"/>
          <w:sz w:val="12"/>
          <w:szCs w:val="12"/>
        </w:rPr>
        <w:t xml:space="preserve">c) Contará con la información oficial de la contratación realizada con dineros públicos, para lo cual establecerá los patrones a que haya lugar y se encargará de su difusión a través de canales electrónico”. </w:t>
      </w:r>
    </w:p>
    <w:p w14:paraId="27BDD2BF" w14:textId="77777777" w:rsidR="00220BB0" w:rsidRPr="004C0A97" w:rsidRDefault="00220BB0" w:rsidP="00220BB0">
      <w:pPr>
        <w:pStyle w:val="Textonotapie"/>
        <w:ind w:firstLine="709"/>
        <w:contextualSpacing/>
        <w:jc w:val="both"/>
        <w:rPr>
          <w:rFonts w:ascii="Verdana" w:hAnsi="Verdana" w:cs="Arial"/>
          <w:color w:val="000000"/>
          <w:sz w:val="12"/>
          <w:szCs w:val="12"/>
        </w:rPr>
      </w:pPr>
    </w:p>
  </w:footnote>
  <w:footnote w:id="2">
    <w:p w14:paraId="7F232846" w14:textId="77777777" w:rsidR="00E26C36" w:rsidRPr="004C0A97" w:rsidRDefault="00E26C36" w:rsidP="00E26C36">
      <w:pPr>
        <w:pStyle w:val="Textonotapie"/>
        <w:ind w:firstLine="709"/>
        <w:contextualSpacing/>
        <w:jc w:val="both"/>
        <w:rPr>
          <w:rFonts w:ascii="Verdana" w:hAnsi="Verdana" w:cs="Arial"/>
          <w:color w:val="000000"/>
          <w:sz w:val="12"/>
          <w:szCs w:val="12"/>
        </w:rPr>
      </w:pPr>
      <w:r w:rsidRPr="004C0A97">
        <w:rPr>
          <w:rStyle w:val="Refdenotaalpie"/>
          <w:rFonts w:ascii="Verdana" w:hAnsi="Verdana" w:cs="Arial"/>
          <w:color w:val="000000"/>
          <w:sz w:val="12"/>
          <w:szCs w:val="12"/>
        </w:rPr>
        <w:footnoteRef/>
      </w:r>
      <w:r w:rsidRPr="004C0A97">
        <w:rPr>
          <w:rFonts w:ascii="Verdana" w:hAnsi="Verdana" w:cs="Arial"/>
          <w:color w:val="000000"/>
          <w:sz w:val="12"/>
          <w:szCs w:val="12"/>
        </w:rPr>
        <w:t xml:space="preserve"> Ley 1712 de 2014: “Artículo 2. Toda información en posesión, bajo control o custodia de un sujeto obligado es pública y no podrá ser reservada o limitada sino por disposición constitucional o legal, de conformidad con la presente ley”.</w:t>
      </w:r>
    </w:p>
  </w:footnote>
  <w:footnote w:id="3">
    <w:p w14:paraId="325ACEDD" w14:textId="77777777" w:rsidR="001F54B3" w:rsidRPr="004C0A97" w:rsidRDefault="001F54B3" w:rsidP="001F54B3">
      <w:pPr>
        <w:pStyle w:val="Textonotapie"/>
        <w:contextualSpacing/>
        <w:jc w:val="both"/>
        <w:rPr>
          <w:rFonts w:ascii="Verdana" w:hAnsi="Verdana" w:cs="Arial"/>
          <w:sz w:val="12"/>
          <w:szCs w:val="12"/>
        </w:rPr>
      </w:pPr>
    </w:p>
    <w:p w14:paraId="60BED491" w14:textId="77777777" w:rsidR="001F54B3" w:rsidRPr="004C0A97" w:rsidRDefault="001F54B3" w:rsidP="001F54B3">
      <w:pPr>
        <w:pStyle w:val="Textonotapie"/>
        <w:ind w:firstLine="707"/>
        <w:contextualSpacing/>
        <w:jc w:val="both"/>
        <w:rPr>
          <w:rFonts w:ascii="Verdana" w:hAnsi="Verdana" w:cs="Arial"/>
          <w:sz w:val="12"/>
          <w:szCs w:val="12"/>
          <w:lang w:val="es-CO"/>
        </w:rPr>
      </w:pPr>
      <w:r w:rsidRPr="004C0A97">
        <w:rPr>
          <w:rStyle w:val="Refdenotaalpie"/>
          <w:rFonts w:ascii="Verdana" w:hAnsi="Verdana" w:cs="Arial"/>
          <w:sz w:val="12"/>
          <w:szCs w:val="12"/>
        </w:rPr>
        <w:footnoteRef/>
      </w:r>
      <w:r w:rsidRPr="004C0A97">
        <w:rPr>
          <w:rFonts w:ascii="Verdana" w:hAnsi="Verdana" w:cs="Arial"/>
          <w:sz w:val="12"/>
          <w:szCs w:val="12"/>
          <w:vertAlign w:val="superscript"/>
        </w:rPr>
        <w:t xml:space="preserve"> </w:t>
      </w:r>
      <w:r w:rsidRPr="004C0A97">
        <w:rPr>
          <w:rFonts w:ascii="Verdana" w:hAnsi="Verdana" w:cs="Arial"/>
          <w:sz w:val="12"/>
          <w:szCs w:val="12"/>
        </w:rPr>
        <w:t xml:space="preserve">Ley 1712 de 2014: “Artículo 3. </w:t>
      </w:r>
      <w:bookmarkStart w:id="5" w:name="3"/>
      <w:r w:rsidRPr="004C0A97">
        <w:rPr>
          <w:rFonts w:ascii="Verdana" w:hAnsi="Verdana" w:cs="Arial"/>
          <w:sz w:val="12"/>
          <w:szCs w:val="12"/>
          <w:lang w:val="es-CO"/>
        </w:rPr>
        <w:t>Otros principios de la transparencia y acceso a la información pública.</w:t>
      </w:r>
      <w:bookmarkEnd w:id="5"/>
      <w:r w:rsidRPr="004C0A97">
        <w:rPr>
          <w:rFonts w:ascii="Verdana" w:hAnsi="Verdana" w:cs="Arial"/>
          <w:sz w:val="12"/>
          <w:szCs w:val="12"/>
          <w:lang w:val="es-CO"/>
        </w:rPr>
        <w:t> </w:t>
      </w:r>
    </w:p>
    <w:p w14:paraId="13EDA82E" w14:textId="77777777" w:rsidR="001F54B3" w:rsidRPr="004C0A97" w:rsidRDefault="001F54B3" w:rsidP="001F54B3">
      <w:pPr>
        <w:pStyle w:val="Textonotapie"/>
        <w:ind w:firstLine="707"/>
        <w:contextualSpacing/>
        <w:jc w:val="both"/>
        <w:rPr>
          <w:rFonts w:ascii="Verdana" w:hAnsi="Verdana" w:cs="Arial"/>
          <w:sz w:val="12"/>
          <w:szCs w:val="12"/>
          <w:lang w:val="es-CO"/>
        </w:rPr>
      </w:pPr>
      <w:r w:rsidRPr="004C0A97">
        <w:rPr>
          <w:rFonts w:ascii="Verdana" w:hAnsi="Verdana" w:cs="Arial"/>
          <w:sz w:val="12"/>
          <w:szCs w:val="12"/>
          <w:lang w:val="es-CO"/>
        </w:rPr>
        <w:t>[…]</w:t>
      </w:r>
    </w:p>
    <w:p w14:paraId="1F599699" w14:textId="77777777" w:rsidR="001F54B3" w:rsidRPr="004C0A97" w:rsidRDefault="001F54B3" w:rsidP="001F54B3">
      <w:pPr>
        <w:pStyle w:val="Textonotapie"/>
        <w:ind w:firstLine="707"/>
        <w:contextualSpacing/>
        <w:jc w:val="both"/>
        <w:rPr>
          <w:rFonts w:ascii="Verdana" w:hAnsi="Verdana" w:cs="Arial"/>
          <w:sz w:val="12"/>
          <w:szCs w:val="12"/>
        </w:rPr>
      </w:pPr>
      <w:r w:rsidRPr="004C0A97">
        <w:rPr>
          <w:rStyle w:val="baj"/>
          <w:rFonts w:ascii="Verdana" w:hAnsi="Verdana" w:cs="Arial"/>
          <w:sz w:val="12"/>
          <w:szCs w:val="12"/>
        </w:rPr>
        <w:t>Principio de transparencia</w:t>
      </w:r>
      <w:r w:rsidRPr="004C0A97">
        <w:rPr>
          <w:rFonts w:ascii="Verdana" w:hAnsi="Verdana" w:cs="Arial"/>
          <w:sz w:val="12"/>
          <w:szCs w:val="12"/>
        </w:rPr>
        <w:t>.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p w14:paraId="4AF333AA" w14:textId="77777777" w:rsidR="001F54B3" w:rsidRPr="004C0A97" w:rsidRDefault="001F54B3" w:rsidP="001F54B3">
      <w:pPr>
        <w:pStyle w:val="Textonotapie"/>
        <w:contextualSpacing/>
        <w:jc w:val="both"/>
        <w:rPr>
          <w:rFonts w:ascii="Verdana" w:hAnsi="Verdana" w:cs="Arial"/>
          <w:sz w:val="12"/>
          <w:szCs w:val="12"/>
          <w:lang w:val="es-CO"/>
        </w:rPr>
      </w:pPr>
    </w:p>
  </w:footnote>
  <w:footnote w:id="4">
    <w:p w14:paraId="59465EC5" w14:textId="77777777" w:rsidR="0094637D" w:rsidRPr="004C0A97" w:rsidRDefault="0094637D" w:rsidP="0094637D">
      <w:pPr>
        <w:pStyle w:val="Textonotapie"/>
        <w:ind w:firstLine="707"/>
        <w:contextualSpacing/>
        <w:jc w:val="both"/>
        <w:rPr>
          <w:rFonts w:ascii="Verdana" w:hAnsi="Verdana" w:cs="Arial"/>
          <w:sz w:val="12"/>
          <w:szCs w:val="12"/>
          <w:lang w:val="es-CO"/>
        </w:rPr>
      </w:pPr>
      <w:r w:rsidRPr="004C0A97">
        <w:rPr>
          <w:rStyle w:val="Refdenotaalpie"/>
          <w:rFonts w:ascii="Verdana" w:hAnsi="Verdana" w:cs="Arial"/>
          <w:sz w:val="12"/>
          <w:szCs w:val="12"/>
        </w:rPr>
        <w:footnoteRef/>
      </w:r>
      <w:r w:rsidRPr="004C0A97">
        <w:rPr>
          <w:rFonts w:ascii="Verdana" w:hAnsi="Verdana" w:cs="Arial"/>
          <w:sz w:val="12"/>
          <w:szCs w:val="12"/>
          <w:vertAlign w:val="superscript"/>
        </w:rPr>
        <w:t xml:space="preserve"> </w:t>
      </w:r>
      <w:r w:rsidRPr="004C0A97">
        <w:rPr>
          <w:rFonts w:ascii="Verdana" w:hAnsi="Verdana" w:cs="Arial"/>
          <w:sz w:val="12"/>
          <w:szCs w:val="12"/>
        </w:rPr>
        <w:t xml:space="preserve">Ley 1712 de 2014: “Artículo 3. </w:t>
      </w:r>
      <w:r w:rsidRPr="004C0A97">
        <w:rPr>
          <w:rFonts w:ascii="Verdana" w:hAnsi="Verdana" w:cs="Arial"/>
          <w:sz w:val="12"/>
          <w:szCs w:val="12"/>
          <w:lang w:val="es-CO"/>
        </w:rPr>
        <w:t>Otros principios de la transparencia y acceso a la información pública. </w:t>
      </w:r>
    </w:p>
    <w:p w14:paraId="7BAE986F" w14:textId="77777777" w:rsidR="0094637D" w:rsidRPr="004C0A97" w:rsidRDefault="0094637D" w:rsidP="0094637D">
      <w:pPr>
        <w:pStyle w:val="Textonotapie"/>
        <w:ind w:firstLine="707"/>
        <w:contextualSpacing/>
        <w:jc w:val="both"/>
        <w:rPr>
          <w:rFonts w:ascii="Verdana" w:hAnsi="Verdana" w:cs="Arial"/>
          <w:sz w:val="12"/>
          <w:szCs w:val="12"/>
          <w:lang w:val="es-ES"/>
        </w:rPr>
      </w:pPr>
      <w:r w:rsidRPr="004C0A97">
        <w:rPr>
          <w:rFonts w:ascii="Verdana" w:hAnsi="Verdana" w:cs="Arial"/>
          <w:sz w:val="12"/>
          <w:szCs w:val="12"/>
          <w:lang w:val="es-ES"/>
        </w:rPr>
        <w:t>[…]</w:t>
      </w:r>
    </w:p>
    <w:p w14:paraId="741AD79A" w14:textId="77777777" w:rsidR="0094637D" w:rsidRPr="004C0A97" w:rsidRDefault="0094637D" w:rsidP="0094637D">
      <w:pPr>
        <w:pStyle w:val="Textonotapie"/>
        <w:ind w:firstLine="707"/>
        <w:contextualSpacing/>
        <w:jc w:val="both"/>
        <w:rPr>
          <w:rFonts w:ascii="Verdana" w:hAnsi="Verdana" w:cs="Arial"/>
          <w:sz w:val="12"/>
          <w:szCs w:val="12"/>
          <w:lang w:val="es-ES"/>
        </w:rPr>
      </w:pPr>
      <w:r w:rsidRPr="004C0A97">
        <w:rPr>
          <w:rStyle w:val="baj"/>
          <w:rFonts w:ascii="Verdana" w:hAnsi="Verdana" w:cs="Arial"/>
          <w:b/>
          <w:bCs/>
          <w:sz w:val="12"/>
          <w:szCs w:val="12"/>
        </w:rPr>
        <w:t>Principio de buena fe</w:t>
      </w:r>
      <w:r w:rsidRPr="004C0A97">
        <w:rPr>
          <w:rFonts w:ascii="Verdana" w:hAnsi="Verdana" w:cs="Arial"/>
          <w:sz w:val="12"/>
          <w:szCs w:val="12"/>
        </w:rPr>
        <w:t>. En virtud del cual todo sujeto obligado, al cumplir con las obligaciones derivadas del derecho de acceso a la información pública, lo hará con motivación honesta, leal y desprovista de cualquier intención dolosa o culposa.</w:t>
      </w:r>
    </w:p>
  </w:footnote>
  <w:footnote w:id="5">
    <w:p w14:paraId="00818FB7" w14:textId="77777777" w:rsidR="009A4FF3" w:rsidRPr="004C0A97" w:rsidRDefault="009A4FF3" w:rsidP="009A4FF3">
      <w:pPr>
        <w:pStyle w:val="Textonotapie"/>
        <w:ind w:firstLine="707"/>
        <w:contextualSpacing/>
        <w:jc w:val="both"/>
        <w:rPr>
          <w:rFonts w:ascii="Verdana" w:hAnsi="Verdana" w:cs="Arial"/>
          <w:sz w:val="12"/>
          <w:szCs w:val="12"/>
        </w:rPr>
      </w:pPr>
    </w:p>
    <w:p w14:paraId="057318A8" w14:textId="77777777" w:rsidR="009A4FF3" w:rsidRPr="004C0A97" w:rsidRDefault="009A4FF3" w:rsidP="009A4FF3">
      <w:pPr>
        <w:pStyle w:val="Textonotapie"/>
        <w:ind w:firstLine="707"/>
        <w:contextualSpacing/>
        <w:jc w:val="both"/>
        <w:rPr>
          <w:rFonts w:ascii="Verdana" w:hAnsi="Verdana" w:cs="Arial"/>
          <w:sz w:val="12"/>
          <w:szCs w:val="12"/>
          <w:shd w:val="clear" w:color="auto" w:fill="FFFFFF"/>
        </w:rPr>
      </w:pPr>
      <w:r w:rsidRPr="004C0A97">
        <w:rPr>
          <w:rStyle w:val="Refdenotaalpie"/>
          <w:rFonts w:ascii="Verdana" w:hAnsi="Verdana" w:cs="Arial"/>
          <w:sz w:val="12"/>
          <w:szCs w:val="12"/>
        </w:rPr>
        <w:footnoteRef/>
      </w:r>
      <w:r w:rsidRPr="004C0A97">
        <w:rPr>
          <w:rFonts w:ascii="Verdana" w:hAnsi="Verdana" w:cs="Arial"/>
          <w:sz w:val="12"/>
          <w:szCs w:val="12"/>
        </w:rPr>
        <w:t xml:space="preserve"> Ley 1712 de 2014: “Artículo 9. </w:t>
      </w:r>
      <w:r w:rsidRPr="004C0A97">
        <w:rPr>
          <w:rFonts w:ascii="Verdana" w:hAnsi="Verdana" w:cs="Arial"/>
          <w:sz w:val="12"/>
          <w:szCs w:val="12"/>
          <w:shd w:val="clear" w:color="auto" w:fill="FFFFFF"/>
        </w:rPr>
        <w:t> </w:t>
      </w:r>
      <w:r w:rsidRPr="004C0A97">
        <w:rPr>
          <w:rStyle w:val="nfasis"/>
          <w:rFonts w:ascii="Verdana" w:hAnsi="Verdana" w:cs="Arial"/>
          <w:sz w:val="12"/>
          <w:szCs w:val="12"/>
          <w:shd w:val="clear" w:color="auto" w:fill="FFFFFF"/>
        </w:rPr>
        <w:t>Información mínima obligatoria respecto a la estructura del sujeto obligado. </w:t>
      </w:r>
      <w:r w:rsidRPr="004C0A97">
        <w:rPr>
          <w:rFonts w:ascii="Verdana" w:hAnsi="Verdana" w:cs="Arial"/>
          <w:sz w:val="12"/>
          <w:szCs w:val="12"/>
          <w:shd w:val="clear" w:color="auto" w:fill="FFFFFF"/>
        </w:rPr>
        <w:t>Todo sujeto obligado deberá publicar la siguiente información mínima obligatoria de manera proactiva en los sistemas de información del Estado o herramientas que lo sustituyan:</w:t>
      </w:r>
    </w:p>
    <w:p w14:paraId="2B8588DA" w14:textId="77777777" w:rsidR="009A4FF3" w:rsidRPr="004C0A97" w:rsidRDefault="009A4FF3" w:rsidP="009A4FF3">
      <w:pPr>
        <w:pStyle w:val="Textonotapie"/>
        <w:ind w:firstLine="707"/>
        <w:contextualSpacing/>
        <w:jc w:val="both"/>
        <w:rPr>
          <w:rFonts w:ascii="Verdana" w:hAnsi="Verdana" w:cs="Arial"/>
          <w:sz w:val="12"/>
          <w:szCs w:val="12"/>
          <w:shd w:val="clear" w:color="auto" w:fill="FFFFFF"/>
        </w:rPr>
      </w:pPr>
      <w:r w:rsidRPr="004C0A97">
        <w:rPr>
          <w:rFonts w:ascii="Verdana" w:hAnsi="Verdana" w:cs="Arial"/>
          <w:sz w:val="12"/>
          <w:szCs w:val="12"/>
          <w:shd w:val="clear" w:color="auto" w:fill="FFFFFF"/>
        </w:rPr>
        <w:t>[…]</w:t>
      </w:r>
    </w:p>
    <w:p w14:paraId="3CDFCB6D" w14:textId="77777777" w:rsidR="009A4FF3" w:rsidRPr="004C0A97" w:rsidRDefault="009A4FF3" w:rsidP="009A4FF3">
      <w:pPr>
        <w:pStyle w:val="Textonotapie"/>
        <w:ind w:firstLine="707"/>
        <w:contextualSpacing/>
        <w:jc w:val="both"/>
        <w:rPr>
          <w:rFonts w:ascii="Verdana" w:hAnsi="Verdana" w:cs="Arial"/>
          <w:sz w:val="12"/>
          <w:szCs w:val="12"/>
          <w:lang w:val="es-ES"/>
        </w:rPr>
      </w:pPr>
      <w:r w:rsidRPr="004C0A97">
        <w:rPr>
          <w:rFonts w:ascii="Verdana" w:hAnsi="Verdana" w:cs="Arial"/>
          <w:sz w:val="12"/>
          <w:szCs w:val="12"/>
          <w:shd w:val="clear" w:color="auto" w:fill="FFFFFF"/>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w:t>
      </w:r>
      <w:r w:rsidRPr="004C0A97">
        <w:rPr>
          <w:rFonts w:ascii="Verdana" w:hAnsi="Verdana" w:cs="Arial"/>
          <w:sz w:val="12"/>
          <w:szCs w:val="12"/>
        </w:rPr>
        <w:t xml:space="preserve"> </w:t>
      </w:r>
      <w:r w:rsidRPr="004C0A97">
        <w:rPr>
          <w:rFonts w:ascii="Verdana" w:hAnsi="Verdana" w:cs="Arial"/>
          <w:sz w:val="12"/>
          <w:szCs w:val="12"/>
          <w:shd w:val="clear" w:color="auto" w:fill="FFFFFF"/>
        </w:rPr>
        <w:t>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w:t>
      </w:r>
      <w:r w:rsidRPr="004C0A97">
        <w:rPr>
          <w:rFonts w:ascii="Verdana" w:hAnsi="Verdana" w:cs="Arial"/>
          <w:sz w:val="12"/>
          <w:szCs w:val="12"/>
        </w:rPr>
        <w:t>”.</w:t>
      </w:r>
    </w:p>
  </w:footnote>
  <w:footnote w:id="6">
    <w:p w14:paraId="4BD57FFF" w14:textId="77777777" w:rsidR="00A32EC5" w:rsidRPr="004C0A97" w:rsidRDefault="00A32EC5" w:rsidP="00A32EC5">
      <w:pPr>
        <w:spacing w:after="0" w:line="240" w:lineRule="auto"/>
        <w:ind w:firstLine="707"/>
        <w:contextualSpacing/>
        <w:jc w:val="both"/>
        <w:rPr>
          <w:rFonts w:ascii="Verdana" w:hAnsi="Verdana" w:cs="Arial"/>
          <w:sz w:val="12"/>
          <w:szCs w:val="12"/>
        </w:rPr>
      </w:pPr>
    </w:p>
    <w:p w14:paraId="589C332D" w14:textId="77777777" w:rsidR="00A32EC5" w:rsidRPr="004C0A97" w:rsidRDefault="00A32EC5" w:rsidP="00A32EC5">
      <w:pPr>
        <w:spacing w:after="0" w:line="240" w:lineRule="auto"/>
        <w:ind w:firstLine="707"/>
        <w:contextualSpacing/>
        <w:jc w:val="both"/>
        <w:rPr>
          <w:rFonts w:ascii="Verdana" w:hAnsi="Verdana" w:cs="Arial"/>
          <w:sz w:val="12"/>
          <w:szCs w:val="12"/>
        </w:rPr>
      </w:pPr>
      <w:r w:rsidRPr="004C0A97">
        <w:rPr>
          <w:rStyle w:val="Refdenotaalpie"/>
          <w:rFonts w:ascii="Verdana" w:hAnsi="Verdana" w:cs="Arial"/>
          <w:sz w:val="12"/>
          <w:szCs w:val="12"/>
        </w:rPr>
        <w:footnoteRef/>
      </w:r>
      <w:r w:rsidRPr="004C0A97">
        <w:rPr>
          <w:rFonts w:ascii="Verdana" w:hAnsi="Verdana" w:cs="Arial"/>
          <w:sz w:val="12"/>
          <w:szCs w:val="12"/>
        </w:rPr>
        <w:t xml:space="preserve"> Ley 1712 de 2014: “Artículo 5. Ámbito de aplicación. Las disposiciones de esta ley serán aplicables a las siguientes personas en calidad de sujetos obligados:</w:t>
      </w:r>
    </w:p>
    <w:p w14:paraId="7B642182" w14:textId="77777777" w:rsidR="00A32EC5" w:rsidRPr="004C0A97" w:rsidRDefault="00A32EC5" w:rsidP="00A32EC5">
      <w:pPr>
        <w:spacing w:after="0" w:line="240" w:lineRule="auto"/>
        <w:ind w:firstLine="707"/>
        <w:contextualSpacing/>
        <w:jc w:val="both"/>
        <w:rPr>
          <w:rFonts w:ascii="Verdana" w:hAnsi="Verdana" w:cs="Arial"/>
          <w:sz w:val="12"/>
          <w:szCs w:val="12"/>
        </w:rPr>
      </w:pPr>
      <w:r w:rsidRPr="004C0A97">
        <w:rPr>
          <w:rFonts w:ascii="Verdana" w:hAnsi="Verdana" w:cs="Arial"/>
          <w:sz w:val="12"/>
          <w:szCs w:val="12"/>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4B66621A" w14:textId="77777777" w:rsidR="00A32EC5" w:rsidRPr="004C0A97" w:rsidRDefault="00A32EC5" w:rsidP="00A32EC5">
      <w:pPr>
        <w:pStyle w:val="Textonotapie"/>
        <w:contextualSpacing/>
        <w:jc w:val="both"/>
        <w:rPr>
          <w:rFonts w:ascii="Verdana" w:hAnsi="Verdana" w:cs="Arial"/>
          <w:sz w:val="12"/>
          <w:szCs w:val="12"/>
        </w:rPr>
      </w:pPr>
    </w:p>
  </w:footnote>
  <w:footnote w:id="7">
    <w:p w14:paraId="6A1A41EE" w14:textId="77777777" w:rsidR="007A3DC9" w:rsidRPr="004C0A97" w:rsidRDefault="007A3DC9" w:rsidP="007A3DC9">
      <w:pPr>
        <w:pStyle w:val="Textonotapie"/>
        <w:ind w:firstLine="709"/>
        <w:contextualSpacing/>
        <w:jc w:val="both"/>
        <w:rPr>
          <w:rFonts w:ascii="Verdana" w:hAnsi="Verdana" w:cs="Arial"/>
          <w:color w:val="000000"/>
          <w:sz w:val="12"/>
          <w:szCs w:val="12"/>
        </w:rPr>
      </w:pPr>
      <w:r w:rsidRPr="004C0A97">
        <w:rPr>
          <w:rFonts w:ascii="Verdana" w:eastAsia="Times New Roman" w:hAnsi="Verdana" w:cs="Arial"/>
          <w:color w:val="000000"/>
          <w:sz w:val="12"/>
          <w:szCs w:val="12"/>
          <w:vertAlign w:val="superscript"/>
          <w:lang w:val="es-ES" w:eastAsia="es-ES"/>
        </w:rPr>
        <w:footnoteRef/>
      </w:r>
      <w:r w:rsidRPr="004C0A97">
        <w:rPr>
          <w:rFonts w:ascii="Verdana" w:eastAsia="Times New Roman" w:hAnsi="Verdana" w:cs="Arial"/>
          <w:color w:val="000000"/>
          <w:sz w:val="12"/>
          <w:szCs w:val="12"/>
          <w:vertAlign w:val="superscript"/>
          <w:lang w:val="es-ES" w:eastAsia="es-ES"/>
        </w:rPr>
        <w:t xml:space="preserve"> </w:t>
      </w:r>
      <w:r w:rsidRPr="004C0A97">
        <w:rPr>
          <w:rFonts w:ascii="Verdana" w:eastAsia="Times New Roman" w:hAnsi="Verdana" w:cs="Arial"/>
          <w:color w:val="000000"/>
          <w:sz w:val="12"/>
          <w:szCs w:val="12"/>
          <w:lang w:val="es-ES" w:eastAsia="es-ES"/>
        </w:rPr>
        <w:t>“</w:t>
      </w:r>
      <w:r w:rsidRPr="004C0A97">
        <w:rPr>
          <w:rFonts w:ascii="Verdana" w:hAnsi="Verdana" w:cs="Arial"/>
          <w:color w:val="000000"/>
          <w:sz w:val="12"/>
          <w:szCs w:val="12"/>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0C6031B6" w14:textId="77777777" w:rsidR="007A3DC9" w:rsidRPr="004C0A97" w:rsidRDefault="007A3DC9" w:rsidP="007A3DC9">
      <w:pPr>
        <w:pStyle w:val="Textonotapie"/>
        <w:ind w:firstLine="709"/>
        <w:contextualSpacing/>
        <w:jc w:val="both"/>
        <w:rPr>
          <w:rFonts w:ascii="Verdana" w:eastAsia="Times New Roman" w:hAnsi="Verdana" w:cs="Arial"/>
          <w:color w:val="000000"/>
          <w:sz w:val="12"/>
          <w:szCs w:val="12"/>
          <w:lang w:val="es-ES" w:eastAsia="es-ES"/>
        </w:rPr>
      </w:pPr>
      <w:r w:rsidRPr="004C0A97">
        <w:rPr>
          <w:rFonts w:ascii="Verdana" w:hAnsi="Verdana" w:cs="Arial"/>
          <w:color w:val="000000"/>
          <w:sz w:val="12"/>
          <w:szCs w:val="12"/>
        </w:rPr>
        <w:t>[…].</w:t>
      </w:r>
    </w:p>
    <w:p w14:paraId="615FDC52" w14:textId="77777777" w:rsidR="007A3DC9" w:rsidRPr="004C0A97" w:rsidRDefault="007A3DC9" w:rsidP="007A3DC9">
      <w:pPr>
        <w:pStyle w:val="Textonotapie"/>
        <w:ind w:firstLine="709"/>
        <w:contextualSpacing/>
        <w:jc w:val="both"/>
        <w:rPr>
          <w:rFonts w:ascii="Verdana" w:eastAsia="Times New Roman" w:hAnsi="Verdana" w:cs="Arial"/>
          <w:color w:val="000000"/>
          <w:sz w:val="12"/>
          <w:szCs w:val="12"/>
          <w:lang w:val="es-ES" w:eastAsia="es-ES"/>
        </w:rPr>
      </w:pPr>
      <w:r w:rsidRPr="004C0A97">
        <w:rPr>
          <w:rFonts w:ascii="Verdana" w:eastAsia="Times New Roman" w:hAnsi="Verdana" w:cs="Arial"/>
          <w:color w:val="000000"/>
          <w:sz w:val="12"/>
          <w:szCs w:val="12"/>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35942163" w14:textId="77777777" w:rsidR="007A3DC9" w:rsidRPr="004C0A97" w:rsidRDefault="007A3DC9" w:rsidP="007A3DC9">
      <w:pPr>
        <w:pStyle w:val="Textonotapie"/>
        <w:ind w:firstLine="709"/>
        <w:contextualSpacing/>
        <w:jc w:val="both"/>
        <w:rPr>
          <w:rFonts w:ascii="Verdana" w:eastAsia="Times New Roman" w:hAnsi="Verdana" w:cs="Arial"/>
          <w:color w:val="000000"/>
          <w:sz w:val="12"/>
          <w:szCs w:val="12"/>
          <w:lang w:val="es-ES" w:eastAsia="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64A6D" w14:textId="77777777" w:rsidR="00987692" w:rsidRDefault="00987692">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3120B891" wp14:editId="4F555729">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17FD9A7C" wp14:editId="771C51A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2320599" w14:textId="77777777" w:rsidR="00987692" w:rsidRDefault="00987692">
    <w:pPr>
      <w:pStyle w:val="Encabezado"/>
    </w:pPr>
  </w:p>
  <w:p w14:paraId="340D9BCB" w14:textId="77777777" w:rsidR="00987692" w:rsidRDefault="00987692" w:rsidP="004A305D">
    <w:pPr>
      <w:spacing w:after="0"/>
      <w:rPr>
        <w:rFonts w:ascii="Verdana" w:hAnsi="Verdana"/>
        <w:b/>
        <w:bCs/>
      </w:rPr>
    </w:pPr>
  </w:p>
  <w:p w14:paraId="091E9317" w14:textId="77777777" w:rsidR="00987692" w:rsidRPr="004A305D" w:rsidRDefault="00987692" w:rsidP="00B01B1A">
    <w:pPr>
      <w:spacing w:after="0" w:line="120" w:lineRule="auto"/>
      <w:rPr>
        <w:rFonts w:ascii="Century Gothic" w:eastAsia="Geo" w:hAnsi="Century Gothic" w:cs="Geo"/>
        <w:sz w:val="16"/>
        <w:szCs w:val="16"/>
        <w:lang w:eastAsia="es-CO"/>
      </w:rPr>
    </w:pPr>
  </w:p>
  <w:p w14:paraId="74FD92BF" w14:textId="77777777" w:rsidR="00987692" w:rsidRDefault="00987692"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E5EF0"/>
    <w:multiLevelType w:val="hybridMultilevel"/>
    <w:tmpl w:val="986027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88E5AE1"/>
    <w:multiLevelType w:val="hybridMultilevel"/>
    <w:tmpl w:val="8E806BE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E405FFE"/>
    <w:multiLevelType w:val="hybridMultilevel"/>
    <w:tmpl w:val="CD40A5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3B856AF"/>
    <w:multiLevelType w:val="hybridMultilevel"/>
    <w:tmpl w:val="894EE1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92"/>
    <w:rsid w:val="000020E1"/>
    <w:rsid w:val="00004AC7"/>
    <w:rsid w:val="00006075"/>
    <w:rsid w:val="000066BA"/>
    <w:rsid w:val="000066E4"/>
    <w:rsid w:val="00013D9B"/>
    <w:rsid w:val="00025F79"/>
    <w:rsid w:val="0002623F"/>
    <w:rsid w:val="00035786"/>
    <w:rsid w:val="00035A16"/>
    <w:rsid w:val="00040F9B"/>
    <w:rsid w:val="00044404"/>
    <w:rsid w:val="00061BF9"/>
    <w:rsid w:val="00072C12"/>
    <w:rsid w:val="00074F67"/>
    <w:rsid w:val="00090B2D"/>
    <w:rsid w:val="00090F25"/>
    <w:rsid w:val="00092737"/>
    <w:rsid w:val="0009320F"/>
    <w:rsid w:val="0009452F"/>
    <w:rsid w:val="00095DF5"/>
    <w:rsid w:val="000A5A75"/>
    <w:rsid w:val="000B0712"/>
    <w:rsid w:val="000B76B6"/>
    <w:rsid w:val="000C5E67"/>
    <w:rsid w:val="000E3395"/>
    <w:rsid w:val="000E70A0"/>
    <w:rsid w:val="000F4F11"/>
    <w:rsid w:val="000F6E17"/>
    <w:rsid w:val="001026E4"/>
    <w:rsid w:val="00103835"/>
    <w:rsid w:val="0012151D"/>
    <w:rsid w:val="001400D4"/>
    <w:rsid w:val="00146FE2"/>
    <w:rsid w:val="0014776D"/>
    <w:rsid w:val="00152463"/>
    <w:rsid w:val="00165378"/>
    <w:rsid w:val="001753F4"/>
    <w:rsid w:val="001756A4"/>
    <w:rsid w:val="00175B7E"/>
    <w:rsid w:val="001823DB"/>
    <w:rsid w:val="00183529"/>
    <w:rsid w:val="0018477A"/>
    <w:rsid w:val="00185109"/>
    <w:rsid w:val="0018656F"/>
    <w:rsid w:val="001A0F69"/>
    <w:rsid w:val="001A5A81"/>
    <w:rsid w:val="001C0D78"/>
    <w:rsid w:val="001D407D"/>
    <w:rsid w:val="001E158E"/>
    <w:rsid w:val="001F077E"/>
    <w:rsid w:val="001F5341"/>
    <w:rsid w:val="001F54B3"/>
    <w:rsid w:val="001F5888"/>
    <w:rsid w:val="001F75D8"/>
    <w:rsid w:val="00203A83"/>
    <w:rsid w:val="0020631F"/>
    <w:rsid w:val="002100CB"/>
    <w:rsid w:val="0021113E"/>
    <w:rsid w:val="00212D6D"/>
    <w:rsid w:val="00215D68"/>
    <w:rsid w:val="00220BB0"/>
    <w:rsid w:val="0022730D"/>
    <w:rsid w:val="00227E0E"/>
    <w:rsid w:val="0023550B"/>
    <w:rsid w:val="00236468"/>
    <w:rsid w:val="00236B6A"/>
    <w:rsid w:val="00236E76"/>
    <w:rsid w:val="002423C6"/>
    <w:rsid w:val="00242C3F"/>
    <w:rsid w:val="002507CA"/>
    <w:rsid w:val="0025281B"/>
    <w:rsid w:val="00255A21"/>
    <w:rsid w:val="0025747F"/>
    <w:rsid w:val="00262B64"/>
    <w:rsid w:val="00270A27"/>
    <w:rsid w:val="00275D2C"/>
    <w:rsid w:val="00281225"/>
    <w:rsid w:val="00282F08"/>
    <w:rsid w:val="002871CF"/>
    <w:rsid w:val="002933EA"/>
    <w:rsid w:val="00295D5B"/>
    <w:rsid w:val="00297784"/>
    <w:rsid w:val="002A0FD1"/>
    <w:rsid w:val="002A73EB"/>
    <w:rsid w:val="002B4506"/>
    <w:rsid w:val="002B7889"/>
    <w:rsid w:val="002C082D"/>
    <w:rsid w:val="002C37DB"/>
    <w:rsid w:val="002C3D82"/>
    <w:rsid w:val="002C4941"/>
    <w:rsid w:val="002D155F"/>
    <w:rsid w:val="002D2BD8"/>
    <w:rsid w:val="002D41E4"/>
    <w:rsid w:val="002F4E88"/>
    <w:rsid w:val="002F5188"/>
    <w:rsid w:val="003023C9"/>
    <w:rsid w:val="003204A3"/>
    <w:rsid w:val="003332DA"/>
    <w:rsid w:val="0033745C"/>
    <w:rsid w:val="00340D10"/>
    <w:rsid w:val="0034121F"/>
    <w:rsid w:val="003441CD"/>
    <w:rsid w:val="003461BF"/>
    <w:rsid w:val="00346AE8"/>
    <w:rsid w:val="00350F3F"/>
    <w:rsid w:val="0035586F"/>
    <w:rsid w:val="00364FAC"/>
    <w:rsid w:val="003714A2"/>
    <w:rsid w:val="0037328B"/>
    <w:rsid w:val="00380A29"/>
    <w:rsid w:val="003867DD"/>
    <w:rsid w:val="003877C5"/>
    <w:rsid w:val="00390913"/>
    <w:rsid w:val="00392DFB"/>
    <w:rsid w:val="003938CC"/>
    <w:rsid w:val="00393B04"/>
    <w:rsid w:val="003963D3"/>
    <w:rsid w:val="00396C4A"/>
    <w:rsid w:val="003A49A4"/>
    <w:rsid w:val="003B7123"/>
    <w:rsid w:val="003C0C68"/>
    <w:rsid w:val="003E3352"/>
    <w:rsid w:val="003F08B3"/>
    <w:rsid w:val="003F2190"/>
    <w:rsid w:val="003F4CFF"/>
    <w:rsid w:val="003F58D7"/>
    <w:rsid w:val="004019DB"/>
    <w:rsid w:val="00407B19"/>
    <w:rsid w:val="0041609D"/>
    <w:rsid w:val="0041745C"/>
    <w:rsid w:val="00420C0C"/>
    <w:rsid w:val="004234E1"/>
    <w:rsid w:val="004239FB"/>
    <w:rsid w:val="00443DA4"/>
    <w:rsid w:val="00444955"/>
    <w:rsid w:val="00445189"/>
    <w:rsid w:val="00447620"/>
    <w:rsid w:val="004509FB"/>
    <w:rsid w:val="00461BC5"/>
    <w:rsid w:val="00463377"/>
    <w:rsid w:val="004640E3"/>
    <w:rsid w:val="004670E7"/>
    <w:rsid w:val="0046764A"/>
    <w:rsid w:val="004812A2"/>
    <w:rsid w:val="00482EF1"/>
    <w:rsid w:val="00491C6C"/>
    <w:rsid w:val="00493C25"/>
    <w:rsid w:val="0049612B"/>
    <w:rsid w:val="0049662D"/>
    <w:rsid w:val="004A0C22"/>
    <w:rsid w:val="004A4328"/>
    <w:rsid w:val="004B078C"/>
    <w:rsid w:val="004B580D"/>
    <w:rsid w:val="004B58D6"/>
    <w:rsid w:val="004C0A97"/>
    <w:rsid w:val="004D67A8"/>
    <w:rsid w:val="004F0141"/>
    <w:rsid w:val="004F3B81"/>
    <w:rsid w:val="0050260E"/>
    <w:rsid w:val="00503E6D"/>
    <w:rsid w:val="005070A3"/>
    <w:rsid w:val="00507B66"/>
    <w:rsid w:val="00515289"/>
    <w:rsid w:val="005171B2"/>
    <w:rsid w:val="00520A1F"/>
    <w:rsid w:val="005259CF"/>
    <w:rsid w:val="00533B49"/>
    <w:rsid w:val="00535D1E"/>
    <w:rsid w:val="005452FA"/>
    <w:rsid w:val="00546308"/>
    <w:rsid w:val="0054650D"/>
    <w:rsid w:val="0054760C"/>
    <w:rsid w:val="0055166A"/>
    <w:rsid w:val="005526FC"/>
    <w:rsid w:val="00553520"/>
    <w:rsid w:val="00557492"/>
    <w:rsid w:val="0057321A"/>
    <w:rsid w:val="00590747"/>
    <w:rsid w:val="00592E1C"/>
    <w:rsid w:val="00593E09"/>
    <w:rsid w:val="00597A08"/>
    <w:rsid w:val="005A2CC1"/>
    <w:rsid w:val="005A58DF"/>
    <w:rsid w:val="005B45C6"/>
    <w:rsid w:val="005C08FB"/>
    <w:rsid w:val="005C5A7E"/>
    <w:rsid w:val="005C64A0"/>
    <w:rsid w:val="005D224E"/>
    <w:rsid w:val="005D2981"/>
    <w:rsid w:val="005D394F"/>
    <w:rsid w:val="005D756D"/>
    <w:rsid w:val="005E28D4"/>
    <w:rsid w:val="005E517A"/>
    <w:rsid w:val="005E6530"/>
    <w:rsid w:val="005F45C2"/>
    <w:rsid w:val="005F5B67"/>
    <w:rsid w:val="005F7E83"/>
    <w:rsid w:val="00602506"/>
    <w:rsid w:val="00604331"/>
    <w:rsid w:val="006077F9"/>
    <w:rsid w:val="0061081E"/>
    <w:rsid w:val="00612DC5"/>
    <w:rsid w:val="00613854"/>
    <w:rsid w:val="006304C8"/>
    <w:rsid w:val="00632CB6"/>
    <w:rsid w:val="006442C0"/>
    <w:rsid w:val="00645473"/>
    <w:rsid w:val="00645B83"/>
    <w:rsid w:val="00646D96"/>
    <w:rsid w:val="006473F5"/>
    <w:rsid w:val="00655E1C"/>
    <w:rsid w:val="00657188"/>
    <w:rsid w:val="00666E4F"/>
    <w:rsid w:val="00680DE1"/>
    <w:rsid w:val="00687A91"/>
    <w:rsid w:val="00691650"/>
    <w:rsid w:val="00694736"/>
    <w:rsid w:val="006A0535"/>
    <w:rsid w:val="006A3C1D"/>
    <w:rsid w:val="006B494A"/>
    <w:rsid w:val="006B49AB"/>
    <w:rsid w:val="006C0125"/>
    <w:rsid w:val="006C51A0"/>
    <w:rsid w:val="006E1668"/>
    <w:rsid w:val="006E7036"/>
    <w:rsid w:val="006F221F"/>
    <w:rsid w:val="006F2523"/>
    <w:rsid w:val="006F34E8"/>
    <w:rsid w:val="007039F8"/>
    <w:rsid w:val="00704ECA"/>
    <w:rsid w:val="00712D0D"/>
    <w:rsid w:val="00713D52"/>
    <w:rsid w:val="00714AFA"/>
    <w:rsid w:val="00715C8D"/>
    <w:rsid w:val="007246D3"/>
    <w:rsid w:val="00733E03"/>
    <w:rsid w:val="0074629B"/>
    <w:rsid w:val="007630C8"/>
    <w:rsid w:val="00763907"/>
    <w:rsid w:val="0076663D"/>
    <w:rsid w:val="0076732B"/>
    <w:rsid w:val="00772327"/>
    <w:rsid w:val="00772F99"/>
    <w:rsid w:val="00774C88"/>
    <w:rsid w:val="00774DB6"/>
    <w:rsid w:val="007762BB"/>
    <w:rsid w:val="007807E7"/>
    <w:rsid w:val="00780DDD"/>
    <w:rsid w:val="00781A7B"/>
    <w:rsid w:val="00784E08"/>
    <w:rsid w:val="00792692"/>
    <w:rsid w:val="007A3D47"/>
    <w:rsid w:val="007A3DC9"/>
    <w:rsid w:val="007A635B"/>
    <w:rsid w:val="007B3E6E"/>
    <w:rsid w:val="007C1CE7"/>
    <w:rsid w:val="007C4BBA"/>
    <w:rsid w:val="007D1CDF"/>
    <w:rsid w:val="007D272B"/>
    <w:rsid w:val="007D52BE"/>
    <w:rsid w:val="007D7952"/>
    <w:rsid w:val="007E5D62"/>
    <w:rsid w:val="007F1784"/>
    <w:rsid w:val="007F3A6E"/>
    <w:rsid w:val="007F5798"/>
    <w:rsid w:val="007F74C7"/>
    <w:rsid w:val="00802851"/>
    <w:rsid w:val="00803FE7"/>
    <w:rsid w:val="00810006"/>
    <w:rsid w:val="00810FA0"/>
    <w:rsid w:val="0081382F"/>
    <w:rsid w:val="00824326"/>
    <w:rsid w:val="00826F65"/>
    <w:rsid w:val="00837624"/>
    <w:rsid w:val="00846DD1"/>
    <w:rsid w:val="00846E0F"/>
    <w:rsid w:val="008513C0"/>
    <w:rsid w:val="00851595"/>
    <w:rsid w:val="00860D64"/>
    <w:rsid w:val="008636FC"/>
    <w:rsid w:val="00870E03"/>
    <w:rsid w:val="00874C24"/>
    <w:rsid w:val="00886A59"/>
    <w:rsid w:val="00892B89"/>
    <w:rsid w:val="0089312D"/>
    <w:rsid w:val="00894AAC"/>
    <w:rsid w:val="008A2C44"/>
    <w:rsid w:val="008A32D6"/>
    <w:rsid w:val="008A34B4"/>
    <w:rsid w:val="008A3FB5"/>
    <w:rsid w:val="008A6DFF"/>
    <w:rsid w:val="008B309E"/>
    <w:rsid w:val="008C74B7"/>
    <w:rsid w:val="008D4396"/>
    <w:rsid w:val="008D61D3"/>
    <w:rsid w:val="008F1785"/>
    <w:rsid w:val="00900FCD"/>
    <w:rsid w:val="009034C7"/>
    <w:rsid w:val="009039E0"/>
    <w:rsid w:val="00907C86"/>
    <w:rsid w:val="00913598"/>
    <w:rsid w:val="00916432"/>
    <w:rsid w:val="00921699"/>
    <w:rsid w:val="009224D2"/>
    <w:rsid w:val="00932EDA"/>
    <w:rsid w:val="00933E8F"/>
    <w:rsid w:val="00934BB9"/>
    <w:rsid w:val="00935956"/>
    <w:rsid w:val="00943966"/>
    <w:rsid w:val="0094637D"/>
    <w:rsid w:val="00950714"/>
    <w:rsid w:val="00960FF2"/>
    <w:rsid w:val="00976241"/>
    <w:rsid w:val="009771C7"/>
    <w:rsid w:val="00982794"/>
    <w:rsid w:val="00983667"/>
    <w:rsid w:val="00984047"/>
    <w:rsid w:val="00985D76"/>
    <w:rsid w:val="00987692"/>
    <w:rsid w:val="00990C1C"/>
    <w:rsid w:val="009916B0"/>
    <w:rsid w:val="009920CA"/>
    <w:rsid w:val="00993318"/>
    <w:rsid w:val="009946E2"/>
    <w:rsid w:val="009A4FF3"/>
    <w:rsid w:val="009B15B1"/>
    <w:rsid w:val="009B3DB1"/>
    <w:rsid w:val="009C1B89"/>
    <w:rsid w:val="009C3B7C"/>
    <w:rsid w:val="009C534D"/>
    <w:rsid w:val="009D360C"/>
    <w:rsid w:val="009E350D"/>
    <w:rsid w:val="009E49D3"/>
    <w:rsid w:val="00A05853"/>
    <w:rsid w:val="00A0603F"/>
    <w:rsid w:val="00A32EC5"/>
    <w:rsid w:val="00A37C00"/>
    <w:rsid w:val="00A42A6F"/>
    <w:rsid w:val="00A5499A"/>
    <w:rsid w:val="00A569B8"/>
    <w:rsid w:val="00A71D29"/>
    <w:rsid w:val="00A723E3"/>
    <w:rsid w:val="00A83FA8"/>
    <w:rsid w:val="00A84967"/>
    <w:rsid w:val="00A85421"/>
    <w:rsid w:val="00A97059"/>
    <w:rsid w:val="00AA0971"/>
    <w:rsid w:val="00AA2BB5"/>
    <w:rsid w:val="00AA559B"/>
    <w:rsid w:val="00AB53E9"/>
    <w:rsid w:val="00AB610B"/>
    <w:rsid w:val="00AC0347"/>
    <w:rsid w:val="00AD0658"/>
    <w:rsid w:val="00AD5892"/>
    <w:rsid w:val="00AE06B7"/>
    <w:rsid w:val="00AE3871"/>
    <w:rsid w:val="00AE5E22"/>
    <w:rsid w:val="00AF00EA"/>
    <w:rsid w:val="00AF3204"/>
    <w:rsid w:val="00AF79BD"/>
    <w:rsid w:val="00B12345"/>
    <w:rsid w:val="00B15EC6"/>
    <w:rsid w:val="00B16F4E"/>
    <w:rsid w:val="00B22755"/>
    <w:rsid w:val="00B242B3"/>
    <w:rsid w:val="00B43530"/>
    <w:rsid w:val="00B45CE3"/>
    <w:rsid w:val="00B4716F"/>
    <w:rsid w:val="00B53232"/>
    <w:rsid w:val="00B548BB"/>
    <w:rsid w:val="00B64B74"/>
    <w:rsid w:val="00B7056A"/>
    <w:rsid w:val="00B74BF5"/>
    <w:rsid w:val="00B84305"/>
    <w:rsid w:val="00B850E7"/>
    <w:rsid w:val="00B859AE"/>
    <w:rsid w:val="00B96EB1"/>
    <w:rsid w:val="00BA2A34"/>
    <w:rsid w:val="00BA36C3"/>
    <w:rsid w:val="00BB0D6B"/>
    <w:rsid w:val="00BB4F41"/>
    <w:rsid w:val="00BB71DA"/>
    <w:rsid w:val="00BD7BA9"/>
    <w:rsid w:val="00BE1A4B"/>
    <w:rsid w:val="00BF5188"/>
    <w:rsid w:val="00BF5A57"/>
    <w:rsid w:val="00C02751"/>
    <w:rsid w:val="00C15AEF"/>
    <w:rsid w:val="00C212C2"/>
    <w:rsid w:val="00C30FD1"/>
    <w:rsid w:val="00C319CB"/>
    <w:rsid w:val="00C42DEB"/>
    <w:rsid w:val="00C442DA"/>
    <w:rsid w:val="00C45B22"/>
    <w:rsid w:val="00C464DD"/>
    <w:rsid w:val="00C52B90"/>
    <w:rsid w:val="00C6667F"/>
    <w:rsid w:val="00C778E7"/>
    <w:rsid w:val="00C810AA"/>
    <w:rsid w:val="00C8563B"/>
    <w:rsid w:val="00C93405"/>
    <w:rsid w:val="00C974F3"/>
    <w:rsid w:val="00CA1704"/>
    <w:rsid w:val="00CA299F"/>
    <w:rsid w:val="00CA3368"/>
    <w:rsid w:val="00CC647C"/>
    <w:rsid w:val="00CD0FA6"/>
    <w:rsid w:val="00CD3246"/>
    <w:rsid w:val="00CD481D"/>
    <w:rsid w:val="00CD5468"/>
    <w:rsid w:val="00CE1D01"/>
    <w:rsid w:val="00CF4364"/>
    <w:rsid w:val="00D03066"/>
    <w:rsid w:val="00D116D9"/>
    <w:rsid w:val="00D139E4"/>
    <w:rsid w:val="00D2010E"/>
    <w:rsid w:val="00D307CC"/>
    <w:rsid w:val="00D66170"/>
    <w:rsid w:val="00D678AE"/>
    <w:rsid w:val="00D720D1"/>
    <w:rsid w:val="00D72E9A"/>
    <w:rsid w:val="00D75706"/>
    <w:rsid w:val="00D7668E"/>
    <w:rsid w:val="00D80D31"/>
    <w:rsid w:val="00D81A2B"/>
    <w:rsid w:val="00D82761"/>
    <w:rsid w:val="00D95455"/>
    <w:rsid w:val="00DB2747"/>
    <w:rsid w:val="00DB5FF0"/>
    <w:rsid w:val="00DB6838"/>
    <w:rsid w:val="00DB7066"/>
    <w:rsid w:val="00DC2113"/>
    <w:rsid w:val="00DC60B0"/>
    <w:rsid w:val="00DD1BAB"/>
    <w:rsid w:val="00DD37CE"/>
    <w:rsid w:val="00DD77FA"/>
    <w:rsid w:val="00DE6D95"/>
    <w:rsid w:val="00DF5F51"/>
    <w:rsid w:val="00DF6FEA"/>
    <w:rsid w:val="00E21533"/>
    <w:rsid w:val="00E22AB6"/>
    <w:rsid w:val="00E26C36"/>
    <w:rsid w:val="00E27101"/>
    <w:rsid w:val="00E45FF3"/>
    <w:rsid w:val="00E541FA"/>
    <w:rsid w:val="00E57A4B"/>
    <w:rsid w:val="00E62A33"/>
    <w:rsid w:val="00E70046"/>
    <w:rsid w:val="00E7262E"/>
    <w:rsid w:val="00E72BBB"/>
    <w:rsid w:val="00E732D4"/>
    <w:rsid w:val="00E7486F"/>
    <w:rsid w:val="00E838BD"/>
    <w:rsid w:val="00E93861"/>
    <w:rsid w:val="00E940DD"/>
    <w:rsid w:val="00E9751A"/>
    <w:rsid w:val="00EA1834"/>
    <w:rsid w:val="00EB2E8F"/>
    <w:rsid w:val="00EB6930"/>
    <w:rsid w:val="00EC4787"/>
    <w:rsid w:val="00EC638E"/>
    <w:rsid w:val="00ED49F5"/>
    <w:rsid w:val="00ED6938"/>
    <w:rsid w:val="00EE4D48"/>
    <w:rsid w:val="00EE5110"/>
    <w:rsid w:val="00EF6615"/>
    <w:rsid w:val="00EF7FB0"/>
    <w:rsid w:val="00F020F0"/>
    <w:rsid w:val="00F0212A"/>
    <w:rsid w:val="00F0269E"/>
    <w:rsid w:val="00F078E2"/>
    <w:rsid w:val="00F10DE0"/>
    <w:rsid w:val="00F2773D"/>
    <w:rsid w:val="00F43FDE"/>
    <w:rsid w:val="00F51EBF"/>
    <w:rsid w:val="00F56ABC"/>
    <w:rsid w:val="00F61298"/>
    <w:rsid w:val="00F65EB6"/>
    <w:rsid w:val="00F666B6"/>
    <w:rsid w:val="00F7236D"/>
    <w:rsid w:val="00F72625"/>
    <w:rsid w:val="00F742ED"/>
    <w:rsid w:val="00F76404"/>
    <w:rsid w:val="00F77A98"/>
    <w:rsid w:val="00F801C7"/>
    <w:rsid w:val="00F9254F"/>
    <w:rsid w:val="00F94F08"/>
    <w:rsid w:val="00F950C2"/>
    <w:rsid w:val="00FB0C8F"/>
    <w:rsid w:val="00FB5287"/>
    <w:rsid w:val="00FC67FC"/>
    <w:rsid w:val="00FC6F42"/>
    <w:rsid w:val="00FD1F56"/>
    <w:rsid w:val="00FD662B"/>
    <w:rsid w:val="00FE000E"/>
    <w:rsid w:val="00FF1E65"/>
    <w:rsid w:val="00FF3CD3"/>
    <w:rsid w:val="00FF71BA"/>
    <w:rsid w:val="47862E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0F65"/>
  <w15:chartTrackingRefBased/>
  <w15:docId w15:val="{351A482C-82F6-4877-A5B1-BF601C9C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692"/>
    <w:pPr>
      <w:spacing w:line="259" w:lineRule="auto"/>
    </w:pPr>
    <w:rPr>
      <w:kern w:val="0"/>
      <w:sz w:val="22"/>
      <w:szCs w:val="22"/>
      <w14:ligatures w14:val="none"/>
    </w:rPr>
  </w:style>
  <w:style w:type="paragraph" w:styleId="Ttulo1">
    <w:name w:val="heading 1"/>
    <w:basedOn w:val="Normal"/>
    <w:next w:val="Normal"/>
    <w:link w:val="Ttulo1Car"/>
    <w:uiPriority w:val="9"/>
    <w:qFormat/>
    <w:rsid w:val="00987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87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8769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8769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8769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8769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8769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8769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8769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769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8769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8769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8769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8769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8769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8769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8769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87692"/>
    <w:rPr>
      <w:rFonts w:eastAsiaTheme="majorEastAsia" w:cstheme="majorBidi"/>
      <w:color w:val="272727" w:themeColor="text1" w:themeTint="D8"/>
    </w:rPr>
  </w:style>
  <w:style w:type="paragraph" w:styleId="Ttulo">
    <w:name w:val="Title"/>
    <w:basedOn w:val="Normal"/>
    <w:next w:val="Normal"/>
    <w:link w:val="TtuloCar"/>
    <w:uiPriority w:val="10"/>
    <w:qFormat/>
    <w:rsid w:val="00987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769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8769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8769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87692"/>
    <w:pPr>
      <w:spacing w:before="160"/>
      <w:jc w:val="center"/>
    </w:pPr>
    <w:rPr>
      <w:i/>
      <w:iCs/>
      <w:color w:val="404040" w:themeColor="text1" w:themeTint="BF"/>
    </w:rPr>
  </w:style>
  <w:style w:type="character" w:customStyle="1" w:styleId="CitaCar">
    <w:name w:val="Cita Car"/>
    <w:basedOn w:val="Fuentedeprrafopredeter"/>
    <w:link w:val="Cita"/>
    <w:uiPriority w:val="29"/>
    <w:rsid w:val="00987692"/>
    <w:rPr>
      <w:i/>
      <w:iCs/>
      <w:color w:val="404040" w:themeColor="text1" w:themeTint="BF"/>
    </w:rPr>
  </w:style>
  <w:style w:type="paragraph" w:styleId="Prrafodelista">
    <w:name w:val="List Paragraph"/>
    <w:basedOn w:val="Normal"/>
    <w:uiPriority w:val="34"/>
    <w:qFormat/>
    <w:rsid w:val="00987692"/>
    <w:pPr>
      <w:ind w:left="720"/>
      <w:contextualSpacing/>
    </w:pPr>
  </w:style>
  <w:style w:type="character" w:styleId="nfasisintenso">
    <w:name w:val="Intense Emphasis"/>
    <w:basedOn w:val="Fuentedeprrafopredeter"/>
    <w:uiPriority w:val="21"/>
    <w:qFormat/>
    <w:rsid w:val="00987692"/>
    <w:rPr>
      <w:i/>
      <w:iCs/>
      <w:color w:val="0F4761" w:themeColor="accent1" w:themeShade="BF"/>
    </w:rPr>
  </w:style>
  <w:style w:type="paragraph" w:styleId="Citadestacada">
    <w:name w:val="Intense Quote"/>
    <w:basedOn w:val="Normal"/>
    <w:next w:val="Normal"/>
    <w:link w:val="CitadestacadaCar"/>
    <w:uiPriority w:val="30"/>
    <w:qFormat/>
    <w:rsid w:val="00987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87692"/>
    <w:rPr>
      <w:i/>
      <w:iCs/>
      <w:color w:val="0F4761" w:themeColor="accent1" w:themeShade="BF"/>
    </w:rPr>
  </w:style>
  <w:style w:type="character" w:styleId="Referenciaintensa">
    <w:name w:val="Intense Reference"/>
    <w:basedOn w:val="Fuentedeprrafopredeter"/>
    <w:uiPriority w:val="32"/>
    <w:qFormat/>
    <w:rsid w:val="00987692"/>
    <w:rPr>
      <w:b/>
      <w:bCs/>
      <w:smallCaps/>
      <w:color w:val="0F4761" w:themeColor="accent1" w:themeShade="BF"/>
      <w:spacing w:val="5"/>
    </w:rPr>
  </w:style>
  <w:style w:type="paragraph" w:styleId="Encabezado">
    <w:name w:val="header"/>
    <w:basedOn w:val="Normal"/>
    <w:link w:val="EncabezadoCar"/>
    <w:uiPriority w:val="99"/>
    <w:unhideWhenUsed/>
    <w:rsid w:val="009876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7692"/>
    <w:rPr>
      <w:kern w:val="0"/>
      <w:sz w:val="22"/>
      <w:szCs w:val="22"/>
      <w14:ligatures w14:val="none"/>
    </w:rPr>
  </w:style>
  <w:style w:type="paragraph" w:styleId="Piedepgina">
    <w:name w:val="footer"/>
    <w:basedOn w:val="Normal"/>
    <w:link w:val="PiedepginaCar"/>
    <w:uiPriority w:val="99"/>
    <w:unhideWhenUsed/>
    <w:rsid w:val="009876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7692"/>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8769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987692"/>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987692"/>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987692"/>
    <w:rPr>
      <w:vertAlign w:val="superscript"/>
    </w:rPr>
  </w:style>
  <w:style w:type="table" w:styleId="Tablaconcuadrcula">
    <w:name w:val="Table Grid"/>
    <w:basedOn w:val="Tablanormal"/>
    <w:uiPriority w:val="39"/>
    <w:qFormat/>
    <w:rsid w:val="0098769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987692"/>
    <w:pPr>
      <w:spacing w:line="240" w:lineRule="exact"/>
    </w:pPr>
    <w:rPr>
      <w:kern w:val="2"/>
      <w:sz w:val="24"/>
      <w:szCs w:val="24"/>
      <w:vertAlign w:val="superscript"/>
      <w14:ligatures w14:val="standardContextual"/>
    </w:rPr>
  </w:style>
  <w:style w:type="table" w:customStyle="1" w:styleId="Tablaconcuadrcula11">
    <w:name w:val="Tabla con cuadrícula11"/>
    <w:basedOn w:val="Tablanormal"/>
    <w:next w:val="Tablaconcuadrcula"/>
    <w:uiPriority w:val="59"/>
    <w:qFormat/>
    <w:rsid w:val="0098769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242B3"/>
    <w:rPr>
      <w:color w:val="467886" w:themeColor="hyperlink"/>
      <w:u w:val="single"/>
    </w:rPr>
  </w:style>
  <w:style w:type="character" w:styleId="Mencinsinresolver">
    <w:name w:val="Unresolved Mention"/>
    <w:basedOn w:val="Fuentedeprrafopredeter"/>
    <w:uiPriority w:val="99"/>
    <w:semiHidden/>
    <w:unhideWhenUsed/>
    <w:rsid w:val="00B242B3"/>
    <w:rPr>
      <w:color w:val="605E5C"/>
      <w:shd w:val="clear" w:color="auto" w:fill="E1DFDD"/>
    </w:rPr>
  </w:style>
  <w:style w:type="character" w:customStyle="1" w:styleId="baj">
    <w:name w:val="b_aj"/>
    <w:basedOn w:val="Fuentedeprrafopredeter"/>
    <w:rsid w:val="001F54B3"/>
  </w:style>
  <w:style w:type="character" w:styleId="nfasis">
    <w:name w:val="Emphasis"/>
    <w:basedOn w:val="Fuentedeprrafopredeter"/>
    <w:uiPriority w:val="20"/>
    <w:qFormat/>
    <w:rsid w:val="009A4F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ites/cce_public/files/cce_circulares/circular_externa_no.2_de_2019_-_0.pdf" TargetMode="External"/><Relationship Id="rId18" Type="http://schemas.openxmlformats.org/officeDocument/2006/relationships/hyperlink" Target="https://www.colombiacompra.gov.co/sites/cce_public/files/cce_circulares/proyecto_circular_externa_obligatoriedad_secopii_2023_rev._dg_f.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relatoria.colombiacompra.gov.co/" TargetMode="External"/><Relationship Id="rId7" Type="http://schemas.openxmlformats.org/officeDocument/2006/relationships/webSettings" Target="webSettings.xml"/><Relationship Id="rId12" Type="http://schemas.openxmlformats.org/officeDocument/2006/relationships/hyperlink" Target="https://www.colombiacompra.gov.co/sites/cce_public/files/cce_circulares/circular_externa_no._1_de_2019.pdf" TargetMode="External"/><Relationship Id="rId17" Type="http://schemas.openxmlformats.org/officeDocument/2006/relationships/hyperlink" Target="https://www.colombiacompra.gov.co/sites/cce_public/files/cce_circulare%20s/circular_externa_005_de_2022.pdf"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colombiacompra.gov.co/sites/cce_public/files/cce_circulares/circ%20ular_externa_002_2022.pdf" TargetMode="External"/><Relationship Id="rId20" Type="http://schemas.openxmlformats.org/officeDocument/2006/relationships/hyperlink" Target="https://www.colombiacompra.gov.co/sites/cce_public/files/cce_circulares/proyecto_circular_externa_obligatoriedad_secopii_2023_rev._dg_f.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gciviljuanperez811@gmail.com" TargetMode="External"/><Relationship Id="rId24" Type="http://schemas.openxmlformats.org/officeDocument/2006/relationships/hyperlink" Target="https://www.colombiacompra.gov.co/content/convocatorias" TargetMode="External"/><Relationship Id="rId5" Type="http://schemas.openxmlformats.org/officeDocument/2006/relationships/styles" Target="styles.xml"/><Relationship Id="rId15" Type="http://schemas.openxmlformats.org/officeDocument/2006/relationships/hyperlink" Target="https://www.colombiacompra.gov.co/sites/cce_public/files/cce_circulare%20s/ciurcular_externa_001_-_2021.pdf" TargetMode="External"/><Relationship Id="rId23" Type="http://schemas.openxmlformats.org/officeDocument/2006/relationships/hyperlink" Target="https://www.sucop.gov.co/entidades/colombiacompra/Normativa?IDNorma=17363"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colombiacompra.gov.co/sites/cce_public/files/cce_circulares/anexo_no._1_circular_externa_005_de_202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ites/cce_public/files/cce_documentos/circular_no._3_-_secop_-.pdf" TargetMode="External"/><Relationship Id="rId22" Type="http://schemas.openxmlformats.org/officeDocument/2006/relationships/hyperlink" Target="https://www.colombiacompra.gov.co/sites/cce_public/files/files_2020/boletin_de_realtoria_iii.pdf"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AC34CF-FF6C-4D0F-93C8-E61A608BCAF1}">
  <ds:schemaRefs>
    <ds:schemaRef ds:uri="http://schemas.microsoft.com/sharepoint/v3/contenttype/forms"/>
  </ds:schemaRefs>
</ds:datastoreItem>
</file>

<file path=customXml/itemProps2.xml><?xml version="1.0" encoding="utf-8"?>
<ds:datastoreItem xmlns:ds="http://schemas.openxmlformats.org/officeDocument/2006/customXml" ds:itemID="{0B994B2E-FB6F-4455-8144-E379FB6B3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D2D14-F6B5-440A-B8DF-379D7AAA1032}">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9d85dbaf-23eb-4e57-a637-93dcacc8b1a1"/>
    <ds:schemaRef ds:uri="http://schemas.openxmlformats.org/package/2006/metadata/core-properties"/>
    <ds:schemaRef ds:uri="a6cb9e4b-f1d1-4245-83ec-6cad768d53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2803</Words>
  <Characters>15422</Characters>
  <Application>Microsoft Office Word</Application>
  <DocSecurity>0</DocSecurity>
  <Lines>128</Lines>
  <Paragraphs>36</Paragraphs>
  <ScaleCrop>false</ScaleCrop>
  <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Sergio Andrés Rivera Cano</cp:lastModifiedBy>
  <cp:revision>2</cp:revision>
  <dcterms:created xsi:type="dcterms:W3CDTF">2024-08-29T19:34:00Z</dcterms:created>
  <dcterms:modified xsi:type="dcterms:W3CDTF">2024-08-29T19:34:00Z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