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7931" w14:textId="77777777" w:rsidR="00995E3D" w:rsidRDefault="00995E3D" w:rsidP="002C4CCE">
      <w:pPr>
        <w:spacing w:after="0" w:line="240" w:lineRule="auto"/>
        <w:rPr>
          <w:rFonts w:ascii="Verdana" w:eastAsia="Geomanist Light" w:hAnsi="Verdana" w:cs="Arial"/>
          <w:lang w:val="es-MX"/>
        </w:rPr>
      </w:pPr>
    </w:p>
    <w:p w14:paraId="7B6FDCE3" w14:textId="77777777" w:rsidR="00995E3D" w:rsidRPr="00995E3D" w:rsidRDefault="00995E3D" w:rsidP="00995E3D">
      <w:pPr>
        <w:spacing w:after="0" w:line="240" w:lineRule="auto"/>
        <w:jc w:val="both"/>
        <w:rPr>
          <w:rFonts w:ascii="Verdana" w:eastAsia="Geomanist Light" w:hAnsi="Verdana" w:cs="Arial"/>
          <w:b/>
          <w:bCs/>
          <w:lang w:val="es-ES_tradnl"/>
        </w:rPr>
      </w:pPr>
      <w:r w:rsidRPr="00995E3D">
        <w:rPr>
          <w:rFonts w:ascii="Verdana" w:eastAsia="Geomanist Light" w:hAnsi="Verdana" w:cs="Arial"/>
          <w:b/>
          <w:bCs/>
          <w:lang w:val="es-ES_tradnl"/>
        </w:rPr>
        <w:t>PUBLICACIÓN EN SECOP – Principio de publicidad – Principio de transparencia –</w:t>
      </w:r>
    </w:p>
    <w:p w14:paraId="0D79DC5D" w14:textId="77777777" w:rsidR="00995E3D" w:rsidRPr="00995E3D" w:rsidRDefault="00995E3D" w:rsidP="00995E3D">
      <w:pPr>
        <w:spacing w:after="0" w:line="240" w:lineRule="auto"/>
        <w:jc w:val="both"/>
        <w:rPr>
          <w:rFonts w:ascii="Verdana" w:eastAsia="Geomanist Light" w:hAnsi="Verdana" w:cs="Arial"/>
          <w:lang w:val="es-ES_tradnl"/>
        </w:rPr>
      </w:pPr>
    </w:p>
    <w:p w14:paraId="1707A4D8" w14:textId="77777777" w:rsidR="00995E3D" w:rsidRPr="00995E3D" w:rsidRDefault="00995E3D" w:rsidP="605AA482">
      <w:pPr>
        <w:spacing w:after="0" w:line="240" w:lineRule="auto"/>
        <w:jc w:val="both"/>
        <w:rPr>
          <w:rFonts w:ascii="Verdana" w:eastAsia="Geomanist Light" w:hAnsi="Verdana" w:cs="Arial"/>
          <w:lang w:val="es-ES"/>
        </w:rPr>
      </w:pPr>
      <w:r w:rsidRPr="605AA482">
        <w:rPr>
          <w:rFonts w:ascii="Verdana" w:eastAsia="Geomanist Light" w:hAnsi="Verdana" w:cs="Arial"/>
          <w:lang w:val="es-ES"/>
        </w:rPr>
        <w:t>El principio de publicidad impone a las autoridades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1B4BA9C5" w14:textId="77777777" w:rsidR="00995E3D" w:rsidRPr="00995E3D" w:rsidRDefault="00995E3D" w:rsidP="00995E3D">
      <w:pPr>
        <w:spacing w:after="0" w:line="240" w:lineRule="auto"/>
        <w:jc w:val="both"/>
        <w:rPr>
          <w:rFonts w:ascii="Verdana" w:eastAsia="Geomanist Light" w:hAnsi="Verdana" w:cs="Arial"/>
          <w:lang w:val="es-ES_tradnl"/>
        </w:rPr>
      </w:pPr>
      <w:r w:rsidRPr="00995E3D">
        <w:rPr>
          <w:rFonts w:ascii="Verdana" w:eastAsia="Geomanist Light" w:hAnsi="Verdana" w:cs="Arial"/>
          <w:lang w:val="es-ES_tradnl"/>
        </w:rPr>
        <w:t>[…]</w:t>
      </w:r>
    </w:p>
    <w:p w14:paraId="40BC9FFE" w14:textId="77777777" w:rsidR="00995E3D" w:rsidRDefault="00995E3D" w:rsidP="00995E3D">
      <w:pPr>
        <w:spacing w:after="0" w:line="240" w:lineRule="auto"/>
        <w:jc w:val="both"/>
        <w:rPr>
          <w:rFonts w:ascii="Verdana" w:eastAsia="Geomanist Light" w:hAnsi="Verdana" w:cs="Arial"/>
          <w:lang w:val="es-ES_tradnl"/>
        </w:rPr>
      </w:pPr>
      <w:r w:rsidRPr="00995E3D">
        <w:rPr>
          <w:rFonts w:ascii="Verdana" w:eastAsia="Geomanist Light" w:hAnsi="Verdana" w:cs="Arial"/>
          <w:lang w:val="es-ES_tradnl"/>
        </w:rPr>
        <w:t>[…]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w:t>
      </w:r>
    </w:p>
    <w:p w14:paraId="5BDA8B1C" w14:textId="77777777" w:rsidR="00995E3D" w:rsidRDefault="00995E3D" w:rsidP="00995E3D">
      <w:pPr>
        <w:spacing w:after="0" w:line="240" w:lineRule="auto"/>
        <w:jc w:val="both"/>
        <w:rPr>
          <w:rFonts w:ascii="Verdana" w:eastAsia="Geomanist Light" w:hAnsi="Verdana" w:cs="Arial"/>
          <w:lang w:val="es-ES_tradnl"/>
        </w:rPr>
      </w:pPr>
    </w:p>
    <w:p w14:paraId="3CA09A0A" w14:textId="77777777" w:rsidR="00995E3D" w:rsidRPr="00995E3D" w:rsidRDefault="00995E3D" w:rsidP="00995E3D">
      <w:pPr>
        <w:spacing w:after="0" w:line="240" w:lineRule="auto"/>
        <w:jc w:val="both"/>
        <w:rPr>
          <w:rFonts w:ascii="Verdana" w:eastAsia="Geomanist Light" w:hAnsi="Verdana" w:cs="Arial"/>
          <w:b/>
        </w:rPr>
      </w:pPr>
      <w:r w:rsidRPr="00995E3D">
        <w:rPr>
          <w:rFonts w:ascii="Verdana" w:eastAsia="Geomanist Light" w:hAnsi="Verdana" w:cs="Arial"/>
          <w:b/>
        </w:rPr>
        <w:t xml:space="preserve">ADENDAS – Modificación al cronograma </w:t>
      </w:r>
    </w:p>
    <w:p w14:paraId="784249BF" w14:textId="77777777" w:rsidR="00995E3D" w:rsidRPr="00995E3D" w:rsidRDefault="00995E3D" w:rsidP="00995E3D">
      <w:pPr>
        <w:spacing w:after="0" w:line="240" w:lineRule="auto"/>
        <w:jc w:val="both"/>
        <w:rPr>
          <w:rFonts w:ascii="Verdana" w:eastAsia="Geomanist Light" w:hAnsi="Verdana" w:cs="Arial"/>
          <w:b/>
        </w:rPr>
      </w:pPr>
    </w:p>
    <w:p w14:paraId="2214159B" w14:textId="77777777" w:rsidR="00995E3D" w:rsidRPr="00995E3D" w:rsidRDefault="00995E3D" w:rsidP="00995E3D">
      <w:pPr>
        <w:spacing w:after="0" w:line="240" w:lineRule="auto"/>
        <w:jc w:val="both"/>
        <w:rPr>
          <w:rFonts w:ascii="Verdana" w:eastAsia="Geomanist Light" w:hAnsi="Verdana" w:cs="Arial"/>
          <w:bCs/>
        </w:rPr>
      </w:pPr>
      <w:r w:rsidRPr="00995E3D">
        <w:rPr>
          <w:rFonts w:ascii="Verdana" w:eastAsia="Geomanist Light" w:hAnsi="Verdana" w:cs="Arial"/>
          <w:bCs/>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778DA077" w14:textId="77777777" w:rsidR="00995E3D" w:rsidRPr="00995E3D" w:rsidRDefault="00995E3D" w:rsidP="00995E3D">
      <w:pPr>
        <w:spacing w:after="0" w:line="240" w:lineRule="auto"/>
        <w:jc w:val="both"/>
        <w:rPr>
          <w:rFonts w:ascii="Verdana" w:eastAsia="Geomanist Light" w:hAnsi="Verdana" w:cs="Arial"/>
          <w:bCs/>
        </w:rPr>
      </w:pPr>
    </w:p>
    <w:p w14:paraId="3E474C40" w14:textId="1F03A7E8" w:rsidR="00995E3D" w:rsidRPr="00995E3D" w:rsidRDefault="00995E3D" w:rsidP="00995E3D">
      <w:pPr>
        <w:spacing w:after="0" w:line="240" w:lineRule="auto"/>
        <w:jc w:val="both"/>
        <w:rPr>
          <w:rFonts w:ascii="Verdana" w:eastAsia="Geomanist Light" w:hAnsi="Verdana" w:cs="Arial"/>
          <w:bCs/>
        </w:rPr>
      </w:pPr>
      <w:r w:rsidRPr="00995E3D">
        <w:rPr>
          <w:rFonts w:ascii="Verdana" w:eastAsia="Geomanist Light" w:hAnsi="Verdana" w:cs="Arial"/>
          <w:bC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995E3D">
        <w:rPr>
          <w:rFonts w:ascii="Verdana" w:eastAsia="Geomanist Light" w:hAnsi="Verdana" w:cs="Arial"/>
          <w:bCs/>
        </w:rPr>
        <w:t>ii</w:t>
      </w:r>
      <w:proofErr w:type="spellEnd"/>
      <w:r w:rsidRPr="00995E3D">
        <w:rPr>
          <w:rFonts w:ascii="Verdana" w:eastAsia="Geomanist Light" w:hAnsi="Verdana" w:cs="Arial"/>
          <w:bCs/>
        </w:rPr>
        <w:t>)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de selección. Por ejemplo, en la mínima cuantía el acto por medio del cual se escoge al futuro contratista es la comunicación de aceptación de la oferta.</w:t>
      </w:r>
    </w:p>
    <w:p w14:paraId="41242B8E" w14:textId="69B0CA21" w:rsidR="002C4CCE" w:rsidRPr="009322DA" w:rsidRDefault="002C4CCE" w:rsidP="002C4CCE">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23A7AE98" w14:textId="204D2802" w:rsidR="002C4CCE" w:rsidRPr="009322DA" w:rsidRDefault="002C4CCE" w:rsidP="002C4CCE">
      <w:pPr>
        <w:spacing w:after="0" w:line="240" w:lineRule="auto"/>
        <w:jc w:val="both"/>
        <w:rPr>
          <w:rFonts w:ascii="Verdana" w:eastAsia="Calibri" w:hAnsi="Verdana" w:cs="Arial"/>
          <w:lang w:val="es-ES"/>
        </w:rPr>
      </w:pPr>
    </w:p>
    <w:p w14:paraId="72E1C60C" w14:textId="4B048D13" w:rsidR="002C4CCE" w:rsidRPr="009322DA" w:rsidRDefault="00995E3D" w:rsidP="002C4CCE">
      <w:pPr>
        <w:spacing w:after="0" w:line="240" w:lineRule="auto"/>
        <w:rPr>
          <w:rFonts w:ascii="Verdana" w:eastAsia="Calibri" w:hAnsi="Verdana" w:cs="Arial"/>
          <w:lang w:val="es-MX" w:eastAsia="es-ES"/>
        </w:rPr>
      </w:pPr>
      <w:r w:rsidRPr="00995E3D">
        <w:rPr>
          <w:rFonts w:ascii="Verdana" w:eastAsia="Calibri" w:hAnsi="Verdana" w:cs="Arial"/>
          <w:noProof/>
          <w:lang w:val="es-MX" w:eastAsia="es-ES"/>
        </w:rPr>
        <w:drawing>
          <wp:anchor distT="0" distB="0" distL="114300" distR="114300" simplePos="0" relativeHeight="251658240" behindDoc="1" locked="0" layoutInCell="1" allowOverlap="1" wp14:anchorId="2BB05FB0" wp14:editId="6525047D">
            <wp:simplePos x="0" y="0"/>
            <wp:positionH relativeFrom="column">
              <wp:posOffset>2257425</wp:posOffset>
            </wp:positionH>
            <wp:positionV relativeFrom="paragraph">
              <wp:posOffset>8890</wp:posOffset>
            </wp:positionV>
            <wp:extent cx="4029637" cy="1095528"/>
            <wp:effectExtent l="0" t="0" r="0" b="9525"/>
            <wp:wrapTight wrapText="bothSides">
              <wp:wrapPolygon edited="0">
                <wp:start x="0" y="0"/>
                <wp:lineTo x="0" y="21412"/>
                <wp:lineTo x="21447" y="21412"/>
                <wp:lineTo x="21447" y="0"/>
                <wp:lineTo x="0" y="0"/>
              </wp:wrapPolygon>
            </wp:wrapTight>
            <wp:docPr id="20888347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34722"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029637" cy="1095528"/>
                    </a:xfrm>
                    <a:prstGeom prst="rect">
                      <a:avLst/>
                    </a:prstGeom>
                  </pic:spPr>
                </pic:pic>
              </a:graphicData>
            </a:graphic>
          </wp:anchor>
        </w:drawing>
      </w:r>
    </w:p>
    <w:p w14:paraId="0B6D46C8" w14:textId="77777777" w:rsidR="00730106" w:rsidRDefault="00730106" w:rsidP="002C4CCE">
      <w:pPr>
        <w:spacing w:after="0" w:line="240" w:lineRule="auto"/>
        <w:rPr>
          <w:rFonts w:ascii="Verdana" w:eastAsia="Calibri" w:hAnsi="Verdana" w:cs="Arial"/>
          <w:lang w:val="es-MX" w:eastAsia="es-ES"/>
        </w:rPr>
      </w:pPr>
    </w:p>
    <w:p w14:paraId="7CE66726" w14:textId="77777777" w:rsidR="00995E3D" w:rsidRDefault="00995E3D" w:rsidP="002C4CCE">
      <w:pPr>
        <w:spacing w:after="0" w:line="240" w:lineRule="auto"/>
        <w:rPr>
          <w:rFonts w:ascii="Verdana" w:eastAsia="Calibri" w:hAnsi="Verdana" w:cs="Arial"/>
          <w:lang w:val="es-MX" w:eastAsia="es-ES"/>
        </w:rPr>
      </w:pPr>
    </w:p>
    <w:p w14:paraId="3BF35EF0" w14:textId="77777777" w:rsidR="00995E3D" w:rsidRDefault="00995E3D" w:rsidP="002C4CCE">
      <w:pPr>
        <w:spacing w:after="0" w:line="240" w:lineRule="auto"/>
        <w:rPr>
          <w:rFonts w:ascii="Verdana" w:eastAsia="Calibri" w:hAnsi="Verdana" w:cs="Arial"/>
          <w:lang w:val="es-MX" w:eastAsia="es-ES"/>
        </w:rPr>
      </w:pPr>
    </w:p>
    <w:p w14:paraId="1BC073EA" w14:textId="77777777" w:rsidR="00995E3D" w:rsidRDefault="00995E3D" w:rsidP="002C4CCE">
      <w:pPr>
        <w:spacing w:after="0" w:line="240" w:lineRule="auto"/>
        <w:rPr>
          <w:rFonts w:ascii="Verdana" w:eastAsia="Calibri" w:hAnsi="Verdana" w:cs="Arial"/>
          <w:lang w:val="es-MX" w:eastAsia="es-ES"/>
        </w:rPr>
      </w:pPr>
    </w:p>
    <w:p w14:paraId="6063E5E7" w14:textId="77777777" w:rsidR="00995E3D" w:rsidRDefault="00995E3D" w:rsidP="002C4CCE">
      <w:pPr>
        <w:spacing w:after="0" w:line="240" w:lineRule="auto"/>
        <w:rPr>
          <w:rFonts w:ascii="Verdana" w:eastAsia="Calibri" w:hAnsi="Verdana" w:cs="Arial"/>
          <w:lang w:val="es-MX" w:eastAsia="es-ES"/>
        </w:rPr>
      </w:pPr>
    </w:p>
    <w:p w14:paraId="5274D66C" w14:textId="77777777" w:rsidR="00995E3D" w:rsidRDefault="00995E3D" w:rsidP="002C4CCE">
      <w:pPr>
        <w:spacing w:after="0" w:line="240" w:lineRule="auto"/>
        <w:rPr>
          <w:rFonts w:ascii="Verdana" w:eastAsia="Calibri" w:hAnsi="Verdana" w:cs="Arial"/>
          <w:lang w:val="es-MX" w:eastAsia="es-ES"/>
        </w:rPr>
      </w:pPr>
    </w:p>
    <w:p w14:paraId="5A77A97A" w14:textId="7377B558" w:rsidR="002C4CCE" w:rsidRPr="009322DA" w:rsidRDefault="002C4CCE" w:rsidP="002C4CCE">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3BAD958C" w14:textId="77777777" w:rsidR="002C4CCE" w:rsidRPr="009322DA" w:rsidRDefault="002C4CCE" w:rsidP="002C4CCE">
      <w:pPr>
        <w:spacing w:after="0" w:line="240" w:lineRule="auto"/>
        <w:rPr>
          <w:rFonts w:ascii="Verdana" w:eastAsia="Calibri" w:hAnsi="Verdana" w:cs="Arial"/>
          <w:b/>
          <w:bCs/>
          <w:lang w:val="es-MX" w:eastAsia="es-ES"/>
        </w:rPr>
      </w:pPr>
      <w:proofErr w:type="spellStart"/>
      <w:r>
        <w:rPr>
          <w:rFonts w:ascii="Verdana" w:eastAsia="Calibri" w:hAnsi="Verdana" w:cs="Arial"/>
          <w:b/>
          <w:bCs/>
          <w:lang w:val="es-MX" w:eastAsia="es-ES"/>
        </w:rPr>
        <w:t>Eduar</w:t>
      </w:r>
      <w:proofErr w:type="spellEnd"/>
      <w:r>
        <w:rPr>
          <w:rFonts w:ascii="Verdana" w:eastAsia="Calibri" w:hAnsi="Verdana" w:cs="Arial"/>
          <w:b/>
          <w:bCs/>
          <w:lang w:val="es-MX" w:eastAsia="es-ES"/>
        </w:rPr>
        <w:t xml:space="preserve"> Bayardo </w:t>
      </w:r>
      <w:proofErr w:type="spellStart"/>
      <w:r>
        <w:rPr>
          <w:rFonts w:ascii="Verdana" w:eastAsia="Calibri" w:hAnsi="Verdana" w:cs="Arial"/>
          <w:b/>
          <w:bCs/>
          <w:lang w:val="es-MX" w:eastAsia="es-ES"/>
        </w:rPr>
        <w:t>Ruales</w:t>
      </w:r>
      <w:proofErr w:type="spellEnd"/>
      <w:r>
        <w:rPr>
          <w:rFonts w:ascii="Verdana" w:eastAsia="Calibri" w:hAnsi="Verdana" w:cs="Arial"/>
          <w:b/>
          <w:bCs/>
          <w:lang w:val="es-MX" w:eastAsia="es-ES"/>
        </w:rPr>
        <w:t xml:space="preserve"> </w:t>
      </w:r>
      <w:proofErr w:type="spellStart"/>
      <w:r>
        <w:rPr>
          <w:rFonts w:ascii="Verdana" w:eastAsia="Calibri" w:hAnsi="Verdana" w:cs="Arial"/>
          <w:b/>
          <w:bCs/>
          <w:lang w:val="es-MX" w:eastAsia="es-ES"/>
        </w:rPr>
        <w:t>Mavisoy</w:t>
      </w:r>
      <w:proofErr w:type="spellEnd"/>
    </w:p>
    <w:p w14:paraId="0D4EE8BD" w14:textId="77777777" w:rsidR="002C4CCE" w:rsidRPr="009322DA" w:rsidRDefault="00EA5EE1" w:rsidP="002C4CCE">
      <w:pPr>
        <w:spacing w:after="0" w:line="240" w:lineRule="auto"/>
        <w:rPr>
          <w:rFonts w:ascii="Verdana" w:eastAsia="Calibri" w:hAnsi="Verdana" w:cs="Arial"/>
          <w:lang w:val="es-MX" w:eastAsia="es-ES"/>
        </w:rPr>
      </w:pPr>
      <w:hyperlink r:id="rId11" w:history="1">
        <w:r w:rsidR="002C4CCE" w:rsidRPr="0089743C">
          <w:rPr>
            <w:rStyle w:val="Hipervnculo"/>
            <w:rFonts w:ascii="Verdana" w:eastAsia="Calibri" w:hAnsi="Verdana" w:cs="Arial"/>
            <w:lang w:val="es-MX" w:eastAsia="es-ES"/>
          </w:rPr>
          <w:t>ruales320@gmail.com</w:t>
        </w:r>
      </w:hyperlink>
    </w:p>
    <w:p w14:paraId="27435C13" w14:textId="77777777" w:rsidR="002C4CCE" w:rsidRPr="009322DA" w:rsidRDefault="002C4CCE" w:rsidP="002C4CCE">
      <w:pPr>
        <w:spacing w:after="0" w:line="240" w:lineRule="auto"/>
        <w:rPr>
          <w:rFonts w:ascii="Verdana" w:eastAsia="Calibri" w:hAnsi="Verdana" w:cs="Arial"/>
          <w:b/>
          <w:bCs/>
          <w:lang w:val="es-ES" w:eastAsia="es-ES"/>
        </w:rPr>
      </w:pPr>
      <w:r>
        <w:rPr>
          <w:rFonts w:ascii="Verdana" w:eastAsia="Calibri" w:hAnsi="Verdana" w:cs="Arial"/>
          <w:lang w:val="es-MX" w:eastAsia="es-ES"/>
        </w:rPr>
        <w:t>Cali, Valle del Cauca</w:t>
      </w:r>
    </w:p>
    <w:p w14:paraId="5E300E55" w14:textId="77777777" w:rsidR="002C4CCE" w:rsidRPr="009322DA" w:rsidRDefault="002C4CCE" w:rsidP="002C4CCE">
      <w:pPr>
        <w:spacing w:after="0" w:line="240" w:lineRule="auto"/>
        <w:rPr>
          <w:rFonts w:ascii="Verdana" w:eastAsia="Calibri" w:hAnsi="Verdana" w:cs="Arial"/>
          <w:b/>
          <w:bCs/>
          <w:lang w:val="es-ES_tradnl" w:eastAsia="es-ES_tradnl"/>
        </w:rPr>
      </w:pPr>
    </w:p>
    <w:p w14:paraId="74A2AD04" w14:textId="77777777" w:rsidR="002C4CCE" w:rsidRPr="009322DA" w:rsidRDefault="002C4CCE" w:rsidP="002C4CCE">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C4CCE" w:rsidRPr="009322DA" w14:paraId="3D295BBF" w14:textId="77777777" w:rsidTr="002C4CCE">
        <w:trPr>
          <w:trHeight w:val="884"/>
        </w:trPr>
        <w:tc>
          <w:tcPr>
            <w:tcW w:w="2689" w:type="dxa"/>
          </w:tcPr>
          <w:p w14:paraId="1FD46000" w14:textId="77777777" w:rsidR="002C4CCE" w:rsidRPr="009322DA" w:rsidRDefault="002C4CCE" w:rsidP="002C4CCE">
            <w:pPr>
              <w:jc w:val="both"/>
              <w:rPr>
                <w:rFonts w:ascii="Verdana" w:hAnsi="Verdana" w:cs="Arial"/>
                <w:b/>
                <w:bCs/>
                <w:lang w:val="es-ES_tradnl" w:eastAsia="es-ES_tradnl"/>
              </w:rPr>
            </w:pPr>
          </w:p>
        </w:tc>
        <w:tc>
          <w:tcPr>
            <w:tcW w:w="6100" w:type="dxa"/>
            <w:hideMark/>
          </w:tcPr>
          <w:p w14:paraId="3173A90E" w14:textId="77777777" w:rsidR="002C4CCE" w:rsidRPr="009322DA" w:rsidRDefault="002C4CCE" w:rsidP="002C4CCE">
            <w:pPr>
              <w:jc w:val="both"/>
              <w:rPr>
                <w:rFonts w:ascii="Verdana" w:hAnsi="Verdana" w:cs="Arial"/>
                <w:b/>
                <w:bCs/>
                <w:lang w:val="es-ES" w:eastAsia="es-ES"/>
              </w:rPr>
            </w:pPr>
            <w:r w:rsidRPr="009322DA">
              <w:rPr>
                <w:rFonts w:ascii="Verdana" w:hAnsi="Verdana" w:cs="Arial"/>
                <w:b/>
                <w:bCs/>
                <w:lang w:val="es-ES" w:eastAsia="es-ES"/>
              </w:rPr>
              <w:t>Concepto C- 2</w:t>
            </w:r>
            <w:r>
              <w:rPr>
                <w:rFonts w:ascii="Verdana" w:hAnsi="Verdana" w:cs="Arial"/>
                <w:b/>
                <w:bCs/>
                <w:lang w:val="es-ES" w:eastAsia="es-ES"/>
              </w:rPr>
              <w:t>99</w:t>
            </w:r>
            <w:r w:rsidRPr="009322DA">
              <w:rPr>
                <w:rFonts w:ascii="Verdana" w:hAnsi="Verdana" w:cs="Arial"/>
                <w:b/>
                <w:bCs/>
                <w:lang w:val="es-ES" w:eastAsia="es-ES"/>
              </w:rPr>
              <w:t xml:space="preserve"> de 2024</w:t>
            </w:r>
          </w:p>
        </w:tc>
      </w:tr>
      <w:tr w:rsidR="002C4CCE" w:rsidRPr="009322DA" w14:paraId="2FA05A02" w14:textId="77777777" w:rsidTr="002C4CCE">
        <w:trPr>
          <w:trHeight w:val="884"/>
        </w:trPr>
        <w:tc>
          <w:tcPr>
            <w:tcW w:w="2689" w:type="dxa"/>
            <w:hideMark/>
          </w:tcPr>
          <w:p w14:paraId="76B18A2C" w14:textId="77777777" w:rsidR="002C4CCE" w:rsidRPr="009322DA" w:rsidRDefault="002C4CCE" w:rsidP="002C4CCE">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140EA762" w14:textId="77777777" w:rsidR="002C4CCE" w:rsidRPr="00EB3000" w:rsidRDefault="002C4CCE" w:rsidP="002C4CCE">
            <w:pPr>
              <w:jc w:val="both"/>
              <w:rPr>
                <w:rFonts w:ascii="Verdana" w:hAnsi="Verdana" w:cs="Arial"/>
                <w:bCs/>
                <w:lang w:val="es-ES" w:eastAsia="es-ES"/>
              </w:rPr>
            </w:pPr>
            <w:r w:rsidRPr="00EB3000">
              <w:rPr>
                <w:rFonts w:ascii="Verdana" w:hAnsi="Verdana" w:cs="Arial"/>
                <w:lang w:val="es-ES_tradnl" w:eastAsia="es-ES"/>
              </w:rPr>
              <w:t>PUBLICACIÓN EN SECOP - Principio de transparencia</w:t>
            </w:r>
            <w:r>
              <w:rPr>
                <w:rFonts w:ascii="Verdana" w:hAnsi="Verdana" w:cs="Arial"/>
                <w:lang w:val="es-ES_tradnl" w:eastAsia="es-ES"/>
              </w:rPr>
              <w:t xml:space="preserve"> / </w:t>
            </w:r>
            <w:r w:rsidRPr="00EB3000">
              <w:rPr>
                <w:rFonts w:ascii="Verdana" w:hAnsi="Verdana" w:cs="Arial"/>
                <w:bCs/>
                <w:lang w:val="es-ES" w:eastAsia="es-ES"/>
              </w:rPr>
              <w:t>ADENDAS – Modificación al cronograma</w:t>
            </w:r>
          </w:p>
          <w:p w14:paraId="11381593" w14:textId="77777777" w:rsidR="002C4CCE" w:rsidRPr="00EB3000" w:rsidRDefault="002C4CCE" w:rsidP="002C4CCE">
            <w:pPr>
              <w:jc w:val="both"/>
              <w:rPr>
                <w:rFonts w:ascii="Verdana" w:hAnsi="Verdana" w:cs="Arial"/>
                <w:lang w:val="es-ES_tradnl" w:eastAsia="es-ES"/>
              </w:rPr>
            </w:pPr>
          </w:p>
        </w:tc>
      </w:tr>
      <w:tr w:rsidR="002C4CCE" w:rsidRPr="009322DA" w14:paraId="0015F9EE" w14:textId="77777777" w:rsidTr="002C4CCE">
        <w:tc>
          <w:tcPr>
            <w:tcW w:w="2689" w:type="dxa"/>
            <w:hideMark/>
          </w:tcPr>
          <w:p w14:paraId="35A9BBA5" w14:textId="77777777" w:rsidR="002C4CCE" w:rsidRPr="009322DA" w:rsidRDefault="002C4CCE" w:rsidP="002C4CCE">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4B907644" w14:textId="77777777" w:rsidR="002C4CCE" w:rsidRPr="009322DA" w:rsidRDefault="002C4CCE" w:rsidP="002C4CCE">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P20240708006868</w:t>
            </w:r>
          </w:p>
        </w:tc>
      </w:tr>
    </w:tbl>
    <w:p w14:paraId="6621D02A" w14:textId="77777777" w:rsidR="002C4CCE" w:rsidRPr="009322DA" w:rsidRDefault="002C4CCE" w:rsidP="002C4CCE">
      <w:pPr>
        <w:spacing w:after="0" w:line="240" w:lineRule="auto"/>
        <w:jc w:val="both"/>
        <w:rPr>
          <w:rFonts w:ascii="Verdana" w:eastAsia="Calibri" w:hAnsi="Verdana" w:cs="Arial"/>
          <w:lang w:val="es-ES_tradnl" w:eastAsia="es-ES_tradnl"/>
        </w:rPr>
      </w:pPr>
    </w:p>
    <w:p w14:paraId="3A3BB7A5" w14:textId="77777777" w:rsidR="002C4CCE" w:rsidRPr="009322DA" w:rsidRDefault="002C4CCE" w:rsidP="002C4CCE">
      <w:pPr>
        <w:spacing w:after="0" w:line="240" w:lineRule="auto"/>
        <w:jc w:val="both"/>
        <w:rPr>
          <w:rFonts w:ascii="Verdana" w:eastAsia="Calibri" w:hAnsi="Verdana" w:cs="Arial"/>
          <w:lang w:val="es-ES_tradnl" w:eastAsia="es-ES_tradnl"/>
        </w:rPr>
      </w:pPr>
    </w:p>
    <w:p w14:paraId="20011AFF" w14:textId="77777777" w:rsidR="002C4CCE" w:rsidRPr="009322DA" w:rsidRDefault="002C4CCE" w:rsidP="002C4CC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o</w:t>
      </w:r>
      <w:r w:rsidRPr="009322DA">
        <w:rPr>
          <w:rFonts w:ascii="Verdana" w:eastAsia="Calibri" w:hAnsi="Verdana" w:cs="Arial"/>
          <w:lang w:val="es-ES" w:eastAsia="es-ES"/>
        </w:rPr>
        <w:t xml:space="preserve"> señor </w:t>
      </w:r>
      <w:proofErr w:type="spellStart"/>
      <w:r>
        <w:rPr>
          <w:rFonts w:ascii="Verdana" w:eastAsia="Calibri" w:hAnsi="Verdana" w:cs="Arial"/>
          <w:lang w:val="es-ES" w:eastAsia="es-ES"/>
        </w:rPr>
        <w:t>Ruales</w:t>
      </w:r>
      <w:proofErr w:type="spellEnd"/>
      <w:r w:rsidRPr="009322DA">
        <w:rPr>
          <w:rFonts w:ascii="Verdana" w:eastAsia="Calibri" w:hAnsi="Verdana" w:cs="Arial"/>
          <w:lang w:val="es-ES" w:eastAsia="es-ES"/>
        </w:rPr>
        <w:t xml:space="preserve">: </w:t>
      </w:r>
    </w:p>
    <w:p w14:paraId="65756B3F" w14:textId="77777777" w:rsidR="002C4CCE" w:rsidRPr="009322DA" w:rsidRDefault="002C4CCE" w:rsidP="002C4CCE">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64A03C15" w14:textId="77777777" w:rsidR="002C4CCE" w:rsidRPr="009322DA" w:rsidRDefault="002C4CCE" w:rsidP="002C4CC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8</w:t>
      </w:r>
      <w:r w:rsidRPr="009322DA">
        <w:rPr>
          <w:rFonts w:ascii="Verdana" w:eastAsia="Calibri" w:hAnsi="Verdana" w:cs="Arial"/>
          <w:lang w:val="es-ES" w:eastAsia="es-ES"/>
        </w:rPr>
        <w:t xml:space="preserve"> de ju</w:t>
      </w:r>
      <w:r>
        <w:rPr>
          <w:rFonts w:ascii="Verdana" w:eastAsia="Calibri" w:hAnsi="Verdana" w:cs="Arial"/>
          <w:lang w:val="es-ES" w:eastAsia="es-ES"/>
        </w:rPr>
        <w:t>l</w:t>
      </w:r>
      <w:r w:rsidRPr="009322DA">
        <w:rPr>
          <w:rFonts w:ascii="Verdana" w:eastAsia="Calibri" w:hAnsi="Verdana" w:cs="Arial"/>
          <w:lang w:val="es-ES" w:eastAsia="es-ES"/>
        </w:rPr>
        <w:t xml:space="preserve">io de 2024, en la cual manifiesta lo siguiente: </w:t>
      </w:r>
    </w:p>
    <w:p w14:paraId="722DD68E" w14:textId="77777777" w:rsidR="002C4CCE" w:rsidRPr="009322DA" w:rsidRDefault="002C4CCE" w:rsidP="002C4CCE">
      <w:pPr>
        <w:spacing w:after="0" w:line="240" w:lineRule="auto"/>
        <w:ind w:left="709" w:right="709"/>
        <w:jc w:val="both"/>
        <w:rPr>
          <w:rFonts w:ascii="Verdana" w:eastAsia="Century Gothic" w:hAnsi="Verdana" w:cs="Century Gothic"/>
          <w:sz w:val="20"/>
          <w:szCs w:val="20"/>
          <w:lang w:val="es-ES"/>
        </w:rPr>
      </w:pPr>
      <w:bookmarkStart w:id="0" w:name="_Hlk95313578"/>
    </w:p>
    <w:p w14:paraId="638CF920" w14:textId="77777777" w:rsidR="002C4CCE" w:rsidRPr="009322DA" w:rsidRDefault="002C4CCE" w:rsidP="002C4CCE">
      <w:pPr>
        <w:spacing w:line="240" w:lineRule="auto"/>
        <w:ind w:left="709" w:right="709"/>
        <w:jc w:val="both"/>
        <w:rPr>
          <w:rFonts w:ascii="Verdana" w:eastAsia="Calibri" w:hAnsi="Verdana" w:cs="Arial"/>
          <w:i/>
          <w:iCs/>
          <w:sz w:val="20"/>
          <w:szCs w:val="20"/>
          <w:shd w:val="clear" w:color="auto" w:fill="FFFFFF"/>
        </w:rPr>
      </w:pPr>
      <w:r w:rsidRPr="009322DA">
        <w:rPr>
          <w:rFonts w:ascii="Verdana" w:eastAsia="Century Gothic" w:hAnsi="Verdana" w:cs="Century Gothic"/>
          <w:sz w:val="20"/>
          <w:szCs w:val="20"/>
          <w:lang w:val="es-ES"/>
        </w:rPr>
        <w:t>“</w:t>
      </w:r>
      <w:r w:rsidRPr="008E1EFF">
        <w:rPr>
          <w:rFonts w:ascii="Verdana" w:eastAsia="Calibri" w:hAnsi="Verdana" w:cs="Arial"/>
          <w:i/>
          <w:iCs/>
          <w:sz w:val="20"/>
          <w:szCs w:val="20"/>
          <w:shd w:val="clear" w:color="auto" w:fill="FFFFFF"/>
        </w:rPr>
        <w:t xml:space="preserve">Soy abogado contratista de la Alcaldía de Santiago de Cali, estoy en el área jurídica de la secretaría de Bienestar Social y necesito preguntar algo: en los contratos de prestación de servicios cuando se empieza a realizarlo y justo en la etapa del proceso, se escribe en el objeto del contrato, un objeto que no corresponde al mismo, y se avanza y ya pasamos a la etapa del contrato, se cerciora que ese objeto está mal, se corrige en esa etapa (contrato), pero en el proceso quedó mal en los estudios previos y en proceso, la pregunta es: ¿se puede hacer la modificación en la etapa del contrato, y como ya se avanzó de la etapa del proceso, se puede subsanar </w:t>
      </w:r>
      <w:r w:rsidRPr="008E1EFF">
        <w:rPr>
          <w:rFonts w:ascii="Verdana" w:eastAsia="Calibri" w:hAnsi="Verdana" w:cs="Arial"/>
          <w:i/>
          <w:iCs/>
          <w:sz w:val="20"/>
          <w:szCs w:val="20"/>
          <w:shd w:val="clear" w:color="auto" w:fill="FFFFFF"/>
        </w:rPr>
        <w:lastRenderedPageBreak/>
        <w:t>ese error del objeto en el proceso, por medio de mensaje público, o necesariamente, se debe cancelar todo el contrato y volver a realizarlo</w:t>
      </w:r>
      <w:r w:rsidRPr="009322DA">
        <w:rPr>
          <w:rFonts w:ascii="Verdana" w:eastAsia="Calibri" w:hAnsi="Verdana" w:cs="Arial"/>
          <w:i/>
          <w:iCs/>
          <w:sz w:val="20"/>
          <w:szCs w:val="20"/>
          <w:shd w:val="clear" w:color="auto" w:fill="FFFFFF"/>
        </w:rPr>
        <w:t>?</w:t>
      </w:r>
      <w:r w:rsidRPr="009322DA">
        <w:rPr>
          <w:rFonts w:ascii="Verdana" w:eastAsia="Century Gothic" w:hAnsi="Verdana" w:cs="Century Gothic"/>
          <w:sz w:val="20"/>
          <w:szCs w:val="20"/>
          <w:lang w:val="es-ES"/>
        </w:rPr>
        <w:t>”</w:t>
      </w:r>
      <w:bookmarkEnd w:id="0"/>
      <w:r w:rsidRPr="009322DA">
        <w:rPr>
          <w:rFonts w:ascii="Verdana" w:eastAsia="Century Gothic" w:hAnsi="Verdana" w:cs="Century Gothic"/>
          <w:sz w:val="20"/>
          <w:szCs w:val="20"/>
          <w:lang w:val="es-ES"/>
        </w:rPr>
        <w:t>.</w:t>
      </w:r>
    </w:p>
    <w:p w14:paraId="323E1E10" w14:textId="77777777" w:rsidR="002C4CCE" w:rsidRPr="009322DA" w:rsidRDefault="002C4CCE" w:rsidP="002C4CCE">
      <w:pPr>
        <w:tabs>
          <w:tab w:val="left" w:pos="142"/>
          <w:tab w:val="left" w:pos="284"/>
        </w:tabs>
        <w:spacing w:line="276" w:lineRule="auto"/>
        <w:contextualSpacing/>
        <w:jc w:val="both"/>
        <w:rPr>
          <w:rFonts w:ascii="Verdana" w:eastAsia="Century Gothic" w:hAnsi="Verdana" w:cs="Century Gothic"/>
          <w:b/>
          <w:bCs/>
          <w:lang w:val="es-ES"/>
        </w:rPr>
      </w:pPr>
    </w:p>
    <w:p w14:paraId="141412B3" w14:textId="77777777" w:rsidR="002C4CCE" w:rsidRPr="009322DA" w:rsidRDefault="002C4CCE" w:rsidP="002C4CCE">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611E0A0F" w14:textId="77777777" w:rsidR="002C4CCE" w:rsidRPr="009322DA" w:rsidRDefault="002C4CCE" w:rsidP="002C4CC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874C1A8" w14:textId="77777777" w:rsidR="002C4CCE" w:rsidRPr="009322DA" w:rsidRDefault="002C4CCE" w:rsidP="002C4CCE">
      <w:pPr>
        <w:spacing w:after="0" w:line="276" w:lineRule="auto"/>
        <w:ind w:firstLine="709"/>
        <w:jc w:val="both"/>
        <w:rPr>
          <w:rFonts w:ascii="Verdana" w:eastAsia="Calibri" w:hAnsi="Verdana" w:cs="Arial"/>
          <w:lang w:val="es-ES" w:eastAsia="es-ES"/>
        </w:rPr>
      </w:pPr>
    </w:p>
    <w:p w14:paraId="12362C91" w14:textId="77777777" w:rsidR="002C4CCE" w:rsidRPr="009322DA" w:rsidRDefault="002C4CCE" w:rsidP="002C4CC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435864AF" w14:textId="77777777" w:rsidR="002C4CCE" w:rsidRPr="009322DA" w:rsidRDefault="002C4CCE" w:rsidP="002C4CCE">
      <w:pPr>
        <w:tabs>
          <w:tab w:val="left" w:pos="426"/>
        </w:tabs>
        <w:spacing w:after="0" w:line="276" w:lineRule="auto"/>
        <w:jc w:val="both"/>
        <w:rPr>
          <w:rFonts w:ascii="Verdana" w:eastAsia="Century Gothic" w:hAnsi="Verdana" w:cs="Century Gothic"/>
          <w:lang w:val="es-ES"/>
        </w:rPr>
      </w:pPr>
    </w:p>
    <w:p w14:paraId="311B5548" w14:textId="77777777" w:rsidR="002C4CCE" w:rsidRPr="009322DA" w:rsidRDefault="002C4CCE" w:rsidP="002C4CCE">
      <w:pPr>
        <w:spacing w:after="0" w:line="276" w:lineRule="auto"/>
        <w:jc w:val="both"/>
        <w:rPr>
          <w:rFonts w:ascii="Verdana" w:eastAsia="Century Gothic" w:hAnsi="Verdana" w:cs="Century Gothic"/>
        </w:rPr>
      </w:pPr>
      <w:r w:rsidRPr="009322DA">
        <w:rPr>
          <w:rFonts w:ascii="Verdana" w:eastAsia="Century Gothic" w:hAnsi="Verdana" w:cs="Century Gothic"/>
        </w:rPr>
        <w:t>De acuerdo con el contenido de su solicitud, esta Agencia resolverá los siguientes problemas jurídicos:</w:t>
      </w:r>
      <w:r>
        <w:rPr>
          <w:rFonts w:ascii="Verdana" w:eastAsia="Century Gothic" w:hAnsi="Verdana" w:cs="Century Gothic"/>
        </w:rPr>
        <w:t xml:space="preserve"> ¿Cuándo se crea un proceso contractual en la plataforma SECOP II, es posible subsanar el objeto del contrato que se está creando una vez se avance en esta plataforma de la etapa del proceso a la etapa de contrato</w:t>
      </w:r>
      <w:r w:rsidRPr="008E2466">
        <w:rPr>
          <w:rFonts w:ascii="Verdana" w:eastAsia="Century Gothic" w:hAnsi="Verdana" w:cs="Century Gothic"/>
        </w:rPr>
        <w:t>?</w:t>
      </w:r>
    </w:p>
    <w:p w14:paraId="00A37E7B" w14:textId="77777777" w:rsidR="002C4CCE" w:rsidRPr="009322DA" w:rsidRDefault="002C4CCE" w:rsidP="002C4CCE">
      <w:pPr>
        <w:spacing w:after="0" w:line="276" w:lineRule="auto"/>
        <w:jc w:val="both"/>
        <w:rPr>
          <w:rFonts w:ascii="Verdana" w:eastAsia="Calibri" w:hAnsi="Verdana" w:cs="Arial"/>
          <w:lang w:val="es-ES"/>
        </w:rPr>
      </w:pPr>
    </w:p>
    <w:p w14:paraId="1B37E790" w14:textId="77777777" w:rsidR="002C4CCE" w:rsidRPr="009322DA" w:rsidRDefault="002C4CCE" w:rsidP="002C4CC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C4CCE" w:rsidRPr="009322DA" w14:paraId="33348A5F" w14:textId="77777777" w:rsidTr="002C4CCE">
        <w:tc>
          <w:tcPr>
            <w:tcW w:w="8828" w:type="dxa"/>
            <w:tcBorders>
              <w:top w:val="dotted" w:sz="4" w:space="0" w:color="auto"/>
              <w:left w:val="dotted" w:sz="4" w:space="0" w:color="auto"/>
              <w:bottom w:val="dotted" w:sz="4" w:space="0" w:color="auto"/>
              <w:right w:val="dotted" w:sz="4" w:space="0" w:color="auto"/>
            </w:tcBorders>
          </w:tcPr>
          <w:p w14:paraId="4ABB3F9A" w14:textId="2EFBD75E" w:rsidR="002C4CCE" w:rsidRDefault="002C4CCE" w:rsidP="002C4CCE">
            <w:pPr>
              <w:spacing w:line="276" w:lineRule="auto"/>
              <w:jc w:val="both"/>
              <w:rPr>
                <w:rFonts w:ascii="Verdana" w:eastAsia="Calibri" w:hAnsi="Verdana" w:cs="Arial"/>
                <w:lang w:val="es-ES"/>
              </w:rPr>
            </w:pPr>
            <w:r>
              <w:rPr>
                <w:rFonts w:ascii="Verdana" w:eastAsia="Calibri" w:hAnsi="Verdana" w:cs="Arial"/>
                <w:lang w:val="es-ES"/>
              </w:rPr>
              <w:t xml:space="preserve">Técnicamente no es posible subsanar o editar la información principal del pliego por medio de una adenda una vez este publicado el proceso contractual, en estos casos lo que podría hacer la entidad al no poder modificar la descripción de este proceso, es crear un mensaje dando claridad de la descripción del proceso o en su defecto generar otro proceso de contratación y suspender el que se </w:t>
            </w:r>
            <w:r w:rsidR="00730106">
              <w:rPr>
                <w:rFonts w:ascii="Verdana" w:eastAsia="Calibri" w:hAnsi="Verdana" w:cs="Arial"/>
                <w:lang w:val="es-ES"/>
              </w:rPr>
              <w:t>venía</w:t>
            </w:r>
            <w:r>
              <w:rPr>
                <w:rFonts w:ascii="Verdana" w:eastAsia="Calibri" w:hAnsi="Verdana" w:cs="Arial"/>
                <w:lang w:val="es-ES"/>
              </w:rPr>
              <w:t xml:space="preserve"> realizando debido al error de fondo que trae consigo.</w:t>
            </w:r>
          </w:p>
          <w:p w14:paraId="0C83D672" w14:textId="77777777" w:rsidR="002C4CCE" w:rsidRDefault="002C4CCE" w:rsidP="002C4CCE">
            <w:pPr>
              <w:spacing w:line="276" w:lineRule="auto"/>
              <w:jc w:val="both"/>
              <w:rPr>
                <w:rFonts w:ascii="Verdana" w:eastAsia="Calibri" w:hAnsi="Verdana" w:cs="Arial"/>
                <w:lang w:val="es-ES"/>
              </w:rPr>
            </w:pPr>
          </w:p>
          <w:p w14:paraId="38C686F7" w14:textId="77777777" w:rsidR="002C4CCE" w:rsidRPr="009322DA" w:rsidRDefault="002C4CCE" w:rsidP="002C4CCE">
            <w:pPr>
              <w:spacing w:line="276" w:lineRule="auto"/>
              <w:jc w:val="both"/>
              <w:rPr>
                <w:rFonts w:ascii="Verdana" w:eastAsia="Calibri" w:hAnsi="Verdana" w:cs="Arial"/>
                <w:lang w:val="es-ES"/>
              </w:rPr>
            </w:pPr>
            <w:r>
              <w:rPr>
                <w:rFonts w:ascii="Verdana" w:eastAsia="Calibri" w:hAnsi="Verdana" w:cs="Arial"/>
              </w:rPr>
              <w:lastRenderedPageBreak/>
              <w:t>Esto se plantea teniendo en cuenta lo que establece e</w:t>
            </w:r>
            <w:r w:rsidRPr="001A5605">
              <w:rPr>
                <w:rFonts w:ascii="Verdana" w:eastAsia="Calibri" w:hAnsi="Verdana" w:cs="Arial"/>
              </w:rPr>
              <w:t>l artículo 2.2.1.1.2.2.1 del Decreto 1082 de 2015</w:t>
            </w:r>
            <w:r>
              <w:rPr>
                <w:rFonts w:ascii="Verdana" w:eastAsia="Calibri" w:hAnsi="Verdana" w:cs="Arial"/>
              </w:rPr>
              <w:t xml:space="preserve"> el cual plantea que las adendas que se pueden realizar, pero para la modificación del cronograma del proceso mas no para la modificación del objeto del mismo.</w:t>
            </w:r>
          </w:p>
        </w:tc>
      </w:tr>
    </w:tbl>
    <w:p w14:paraId="01AD33C9" w14:textId="77777777" w:rsidR="002C4CCE" w:rsidRPr="009322DA" w:rsidRDefault="002C4CCE" w:rsidP="002C4CCE">
      <w:pPr>
        <w:tabs>
          <w:tab w:val="left" w:pos="142"/>
          <w:tab w:val="left" w:pos="284"/>
        </w:tabs>
        <w:spacing w:after="0" w:line="276" w:lineRule="auto"/>
        <w:jc w:val="both"/>
        <w:rPr>
          <w:rFonts w:ascii="Verdana" w:eastAsia="Century Gothic" w:hAnsi="Verdana" w:cs="Century Gothic"/>
          <w:b/>
          <w:bCs/>
          <w:lang w:val="es-ES"/>
        </w:rPr>
      </w:pPr>
    </w:p>
    <w:p w14:paraId="6CA84E41" w14:textId="77777777" w:rsidR="002C4CCE" w:rsidRPr="009322DA" w:rsidRDefault="002C4CCE" w:rsidP="002C4CCE">
      <w:pPr>
        <w:tabs>
          <w:tab w:val="left" w:pos="142"/>
          <w:tab w:val="left" w:pos="284"/>
        </w:tabs>
        <w:spacing w:after="0" w:line="276" w:lineRule="auto"/>
        <w:jc w:val="both"/>
        <w:rPr>
          <w:rFonts w:ascii="Verdana" w:eastAsia="Century Gothic" w:hAnsi="Verdana" w:cs="Century Gothic"/>
          <w:b/>
          <w:bCs/>
          <w:lang w:val="es-ES"/>
        </w:rPr>
      </w:pPr>
    </w:p>
    <w:p w14:paraId="0FCF0237" w14:textId="77777777" w:rsidR="002C4CCE" w:rsidRPr="009322DA" w:rsidRDefault="002C4CCE" w:rsidP="002C4CC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1394A012" w14:textId="77777777" w:rsidR="002C4CCE" w:rsidRPr="009322DA" w:rsidRDefault="002C4CCE" w:rsidP="002C4CCE">
      <w:pPr>
        <w:spacing w:after="0" w:line="276" w:lineRule="auto"/>
        <w:jc w:val="both"/>
        <w:rPr>
          <w:rFonts w:ascii="Verdana" w:eastAsia="Calibri" w:hAnsi="Verdana" w:cs="Arial"/>
          <w:lang w:val="es-ES"/>
        </w:rPr>
      </w:pPr>
    </w:p>
    <w:p w14:paraId="47CD8CD5" w14:textId="77777777" w:rsidR="002C4CCE" w:rsidRPr="009322DA" w:rsidRDefault="002C4CCE" w:rsidP="002C4CCE">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33A0AD5B" w14:textId="77777777" w:rsidR="002C4CCE" w:rsidRPr="009322DA" w:rsidRDefault="002C4CCE" w:rsidP="002C4CCE">
      <w:pPr>
        <w:spacing w:after="0" w:line="276" w:lineRule="auto"/>
        <w:jc w:val="both"/>
        <w:rPr>
          <w:rFonts w:ascii="Verdana" w:eastAsia="Calibri" w:hAnsi="Verdana" w:cs="Arial"/>
          <w:lang w:val="es-ES"/>
        </w:rPr>
      </w:pPr>
    </w:p>
    <w:p w14:paraId="36275E11" w14:textId="77777777" w:rsidR="002C4CCE" w:rsidRPr="00F751FC" w:rsidRDefault="002C4CCE" w:rsidP="002C4CCE">
      <w:pPr>
        <w:numPr>
          <w:ilvl w:val="0"/>
          <w:numId w:val="19"/>
        </w:numPr>
        <w:contextualSpacing/>
        <w:jc w:val="both"/>
        <w:rPr>
          <w:rFonts w:ascii="Verdana" w:eastAsia="Calibri" w:hAnsi="Verdana" w:cs="Arial"/>
          <w:lang w:val="es-ES"/>
        </w:rPr>
      </w:pPr>
      <w:r w:rsidRPr="00F751FC">
        <w:rPr>
          <w:rFonts w:ascii="Verdana" w:eastAsia="Calibri" w:hAnsi="Verdana" w:cs="Arial"/>
          <w:lang w:val="es-ES"/>
        </w:rPr>
        <w:t xml:space="preserve">La Ley 1712 de 2014, por medio de la cual se regula la transparencia el derecho de acceso a la información pública nacional y se dictan otras disposiciones, identifica como principios que orientan el derecho de acceso a la información pública el de máxima publicidad y el de transparencia en la información. De acuerdo con el primero, toda información en posesión, bajo control o custodia de un sujeto 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1F507C22" w14:textId="77777777" w:rsidR="002C4CCE" w:rsidRPr="00F751FC" w:rsidRDefault="002C4CCE" w:rsidP="002C4CCE">
      <w:pPr>
        <w:ind w:left="720"/>
        <w:contextualSpacing/>
        <w:jc w:val="both"/>
        <w:rPr>
          <w:rFonts w:ascii="Verdana" w:eastAsia="Calibri" w:hAnsi="Verdana" w:cs="Arial"/>
          <w:lang w:val="es-ES"/>
        </w:rPr>
      </w:pPr>
    </w:p>
    <w:p w14:paraId="6DB6E28A" w14:textId="77777777" w:rsidR="002C4CCE" w:rsidRPr="00F751FC" w:rsidRDefault="002C4CCE" w:rsidP="002C4CCE">
      <w:pPr>
        <w:numPr>
          <w:ilvl w:val="0"/>
          <w:numId w:val="19"/>
        </w:numPr>
        <w:contextualSpacing/>
        <w:jc w:val="both"/>
        <w:rPr>
          <w:rFonts w:ascii="Verdana" w:eastAsia="Calibri" w:hAnsi="Verdana" w:cs="Arial"/>
          <w:lang w:val="es-ES"/>
        </w:rPr>
      </w:pPr>
      <w:r w:rsidRPr="00F751FC">
        <w:rPr>
          <w:rFonts w:ascii="Verdana" w:eastAsia="Calibri" w:hAnsi="Verdana" w:cs="Arial"/>
          <w:lang w:val="es-ES"/>
        </w:rPr>
        <w:t>La ley citada establece, en el literal e) del artículo 9, que los sujetos obligados, que son todas las entidades públicas, deben publicar la información relativa a su contratación</w:t>
      </w:r>
      <w:r w:rsidRPr="00F751FC">
        <w:rPr>
          <w:rFonts w:ascii="Verdana" w:eastAsia="Calibri" w:hAnsi="Verdana" w:cs="Arial"/>
          <w:vertAlign w:val="superscript"/>
          <w:lang w:val="es-ES"/>
        </w:rPr>
        <w:footnoteReference w:id="2"/>
      </w:r>
      <w:r w:rsidRPr="00F751FC">
        <w:rPr>
          <w:rFonts w:ascii="Verdana" w:eastAsia="Calibri" w:hAnsi="Verdana" w:cs="Arial"/>
          <w:lang w:val="es-ES"/>
        </w:rPr>
        <w:t>. Esta obligación fue en principio desarrollada por el Decreto 103 de 2015, hoy compilado en el Decreto Único Reglamentario 1081 de 2015, el cual dispuso que la publicación de la información contractual de los sujetos obligados, que contratan con cargo a recursos públicos, debe hacerse en el Sistema Electrónico de Contratación Pública –SECOP–</w:t>
      </w:r>
      <w:r w:rsidRPr="00F751FC">
        <w:rPr>
          <w:rFonts w:ascii="Verdana" w:eastAsia="Calibri" w:hAnsi="Verdana" w:cs="Arial"/>
          <w:vertAlign w:val="superscript"/>
          <w:lang w:val="es-ES"/>
        </w:rPr>
        <w:footnoteReference w:id="3"/>
      </w:r>
      <w:r w:rsidRPr="00F751FC">
        <w:rPr>
          <w:rFonts w:ascii="Verdana" w:eastAsia="Calibri" w:hAnsi="Verdana" w:cs="Arial"/>
          <w:lang w:val="es-ES"/>
        </w:rPr>
        <w:t>.</w:t>
      </w:r>
    </w:p>
    <w:p w14:paraId="1C1DBF32" w14:textId="77777777" w:rsidR="002C4CCE" w:rsidRPr="00F751FC" w:rsidRDefault="002C4CCE" w:rsidP="002C4CCE">
      <w:pPr>
        <w:ind w:left="720"/>
        <w:contextualSpacing/>
        <w:jc w:val="both"/>
        <w:rPr>
          <w:rFonts w:ascii="Verdana" w:eastAsia="Calibri" w:hAnsi="Verdana" w:cs="Arial"/>
          <w:lang w:val="es-MX"/>
        </w:rPr>
      </w:pPr>
    </w:p>
    <w:p w14:paraId="3C3CACC4" w14:textId="77777777" w:rsidR="002C4CCE" w:rsidRPr="00F751FC" w:rsidRDefault="002C4CCE" w:rsidP="002C4CCE">
      <w:pPr>
        <w:numPr>
          <w:ilvl w:val="0"/>
          <w:numId w:val="19"/>
        </w:numPr>
        <w:contextualSpacing/>
        <w:jc w:val="both"/>
        <w:rPr>
          <w:rFonts w:ascii="Verdana" w:eastAsia="Calibri" w:hAnsi="Verdana" w:cs="Arial"/>
          <w:lang w:val="es-MX"/>
        </w:rPr>
      </w:pPr>
      <w:r w:rsidRPr="00F751FC">
        <w:rPr>
          <w:rFonts w:ascii="Verdana" w:eastAsia="Calibri" w:hAnsi="Verdana" w:cs="Arial"/>
          <w:lang w:val="es-MX"/>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F751FC">
        <w:rPr>
          <w:rFonts w:ascii="Verdana" w:eastAsia="Calibri" w:hAnsi="Verdana" w:cs="Arial"/>
          <w:vertAlign w:val="superscript"/>
          <w:lang w:val="es-MX"/>
        </w:rPr>
        <w:footnoteReference w:id="4"/>
      </w:r>
      <w:r w:rsidRPr="00F751FC">
        <w:rPr>
          <w:rFonts w:ascii="Verdana" w:eastAsia="Calibri" w:hAnsi="Verdana" w:cs="Arial"/>
          <w:lang w:val="es-MX"/>
        </w:rPr>
        <w:t>, lo que permite controlar las actuaciones y decisiones de la Administración y el cumplimiento de los demás principios de la contratación pública. Así lo confirma el Consejo de Estado, en los siguientes términos:</w:t>
      </w:r>
    </w:p>
    <w:p w14:paraId="7EBCBF9B" w14:textId="77777777" w:rsidR="002C4CCE" w:rsidRPr="00F751FC" w:rsidRDefault="002C4CCE" w:rsidP="002C4CCE">
      <w:pPr>
        <w:ind w:left="720"/>
        <w:contextualSpacing/>
        <w:jc w:val="both"/>
        <w:rPr>
          <w:rFonts w:ascii="Verdana" w:eastAsia="Calibri" w:hAnsi="Verdana" w:cs="Arial"/>
          <w:sz w:val="20"/>
          <w:szCs w:val="20"/>
          <w:lang w:val="es-MX"/>
        </w:rPr>
      </w:pPr>
    </w:p>
    <w:p w14:paraId="2A0F866F" w14:textId="77777777" w:rsidR="002C4CCE" w:rsidRDefault="002C4CCE" w:rsidP="002C4CCE">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30A5242C" w14:textId="77777777" w:rsidR="002C4CCE" w:rsidRPr="00F751FC" w:rsidRDefault="002C4CCE" w:rsidP="002C4CCE">
      <w:pPr>
        <w:ind w:left="1416"/>
        <w:contextualSpacing/>
        <w:jc w:val="both"/>
        <w:rPr>
          <w:rFonts w:ascii="Verdana" w:eastAsia="Calibri" w:hAnsi="Verdana" w:cs="Arial"/>
          <w:sz w:val="20"/>
          <w:szCs w:val="20"/>
          <w:lang w:val="es-MX"/>
        </w:rPr>
      </w:pPr>
    </w:p>
    <w:p w14:paraId="4A696947" w14:textId="77777777" w:rsidR="002C4CCE" w:rsidRDefault="002C4CCE" w:rsidP="002C4CCE">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F751FC">
        <w:rPr>
          <w:rFonts w:ascii="Verdana" w:eastAsia="Calibri" w:hAnsi="Verdana" w:cs="Arial"/>
          <w:sz w:val="20"/>
          <w:szCs w:val="20"/>
          <w:lang w:val="es-MX"/>
        </w:rPr>
        <w:t>ibídem</w:t>
      </w:r>
      <w:proofErr w:type="spellEnd"/>
      <w:r w:rsidRPr="00F751FC">
        <w:rPr>
          <w:rFonts w:ascii="Verdana" w:eastAsia="Calibri" w:hAnsi="Verdana" w:cs="Arial"/>
          <w:sz w:val="20"/>
          <w:szCs w:val="20"/>
          <w:lang w:val="es-MX"/>
        </w:rPr>
        <w:t xml:space="preserve"> en armonía con el artículo 273 de la Constitución Política).</w:t>
      </w:r>
    </w:p>
    <w:p w14:paraId="48F89299" w14:textId="77777777" w:rsidR="002C4CCE" w:rsidRPr="00F751FC" w:rsidRDefault="002C4CCE" w:rsidP="002C4CCE">
      <w:pPr>
        <w:ind w:left="1416"/>
        <w:contextualSpacing/>
        <w:jc w:val="both"/>
        <w:rPr>
          <w:rFonts w:ascii="Verdana" w:eastAsia="Calibri" w:hAnsi="Verdana" w:cs="Arial"/>
          <w:sz w:val="20"/>
          <w:szCs w:val="20"/>
          <w:lang w:val="es-MX"/>
        </w:rPr>
      </w:pPr>
    </w:p>
    <w:p w14:paraId="031CCE34" w14:textId="77777777" w:rsidR="002C4CCE" w:rsidRDefault="002C4CCE" w:rsidP="002C4CCE">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F751FC">
        <w:rPr>
          <w:rFonts w:ascii="Verdana" w:eastAsia="Calibri" w:hAnsi="Verdana" w:cs="Arial"/>
          <w:sz w:val="20"/>
          <w:szCs w:val="20"/>
          <w:vertAlign w:val="superscript"/>
          <w:lang w:val="es-MX"/>
        </w:rPr>
        <w:footnoteReference w:id="5"/>
      </w:r>
      <w:r w:rsidRPr="00F751FC">
        <w:rPr>
          <w:rFonts w:ascii="Verdana" w:eastAsia="Calibri" w:hAnsi="Verdana" w:cs="Arial"/>
          <w:sz w:val="20"/>
          <w:szCs w:val="20"/>
          <w:lang w:val="es-MX"/>
        </w:rPr>
        <w:t>.</w:t>
      </w:r>
    </w:p>
    <w:p w14:paraId="031F5379" w14:textId="77777777" w:rsidR="002C4CCE" w:rsidRPr="00F751FC" w:rsidRDefault="002C4CCE" w:rsidP="002C4CCE">
      <w:pPr>
        <w:ind w:left="720"/>
        <w:contextualSpacing/>
        <w:jc w:val="both"/>
        <w:rPr>
          <w:rFonts w:ascii="Verdana" w:eastAsia="Calibri" w:hAnsi="Verdana" w:cs="Arial"/>
          <w:sz w:val="20"/>
          <w:szCs w:val="20"/>
          <w:lang w:val="es-MX"/>
        </w:rPr>
      </w:pPr>
    </w:p>
    <w:p w14:paraId="63D1ED5F" w14:textId="77777777" w:rsidR="002C4CCE" w:rsidRPr="00F751FC" w:rsidRDefault="002C4CCE" w:rsidP="002C4CCE">
      <w:pPr>
        <w:pStyle w:val="Prrafodelista"/>
        <w:numPr>
          <w:ilvl w:val="0"/>
          <w:numId w:val="19"/>
        </w:numPr>
        <w:jc w:val="both"/>
        <w:rPr>
          <w:rFonts w:ascii="Verdana" w:eastAsia="Calibri" w:hAnsi="Verdana" w:cs="Arial"/>
          <w:lang w:val="es-MX"/>
        </w:rPr>
      </w:pPr>
      <w:r w:rsidRPr="00F751FC">
        <w:rPr>
          <w:rFonts w:ascii="Verdana" w:eastAsia="Calibri" w:hAnsi="Verdana" w:cs="Arial"/>
          <w:lang w:val="es-MX"/>
        </w:rPr>
        <w:t>El artículo 2.2.1.1.1.7.1. del Decreto 1082 de 2015, el cual establece los documentos que se deben publicar y el SECOP como medio de publicación, lo que permite controlar las actuaciones y decisiones de la Administración y el cumplimiento de los demás principios de la contratación pública</w:t>
      </w:r>
    </w:p>
    <w:p w14:paraId="078C50FE" w14:textId="77777777" w:rsidR="002C4CCE" w:rsidRDefault="002C4CCE" w:rsidP="002C4CCE">
      <w:pPr>
        <w:numPr>
          <w:ilvl w:val="0"/>
          <w:numId w:val="18"/>
        </w:numPr>
        <w:contextualSpacing/>
        <w:jc w:val="both"/>
        <w:rPr>
          <w:rFonts w:ascii="Verdana" w:eastAsia="Calibri" w:hAnsi="Verdana" w:cs="Arial"/>
        </w:rPr>
      </w:pPr>
      <w:r>
        <w:rPr>
          <w:rFonts w:ascii="Verdana" w:eastAsia="Calibri" w:hAnsi="Verdana" w:cs="Arial"/>
        </w:rPr>
        <w:lastRenderedPageBreak/>
        <w:t>Ahora bien, con respecto a las adendas se tiene entonces que l</w:t>
      </w:r>
      <w:r w:rsidRPr="00EB3000">
        <w:rPr>
          <w:rFonts w:ascii="Verdana" w:eastAsia="Calibri" w:hAnsi="Verdana" w:cs="Arial"/>
        </w:rPr>
        <w:t>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2D0BD94C" w14:textId="77777777" w:rsidR="002C4CCE" w:rsidRDefault="002C4CCE" w:rsidP="002C4CCE">
      <w:pPr>
        <w:ind w:left="720"/>
        <w:contextualSpacing/>
        <w:jc w:val="both"/>
        <w:rPr>
          <w:rFonts w:ascii="Verdana" w:eastAsia="Calibri" w:hAnsi="Verdana" w:cs="Arial"/>
        </w:rPr>
      </w:pPr>
    </w:p>
    <w:p w14:paraId="3A9BF4DA" w14:textId="77777777" w:rsidR="002C4CCE" w:rsidRDefault="002C4CCE" w:rsidP="002C4CCE">
      <w:pPr>
        <w:numPr>
          <w:ilvl w:val="0"/>
          <w:numId w:val="18"/>
        </w:numPr>
        <w:contextualSpacing/>
        <w:jc w:val="both"/>
        <w:rPr>
          <w:rFonts w:ascii="Verdana" w:eastAsia="Calibri" w:hAnsi="Verdana" w:cs="Arial"/>
        </w:rPr>
      </w:pPr>
      <w:r w:rsidRPr="00EB3000">
        <w:rPr>
          <w:rFonts w:ascii="Verdana" w:eastAsia="Calibri" w:hAnsi="Verdana" w:cs="Arial"/>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p>
    <w:p w14:paraId="0C0D2A89" w14:textId="77777777" w:rsidR="002C4CCE" w:rsidRPr="001A5605" w:rsidRDefault="002C4CCE" w:rsidP="002C4CCE">
      <w:pPr>
        <w:pStyle w:val="Prrafodelista"/>
        <w:numPr>
          <w:ilvl w:val="0"/>
          <w:numId w:val="18"/>
        </w:numPr>
        <w:jc w:val="both"/>
        <w:rPr>
          <w:rFonts w:ascii="Verdana" w:eastAsia="Calibri" w:hAnsi="Verdana" w:cs="Arial"/>
        </w:rPr>
      </w:pPr>
      <w:r w:rsidRPr="00EB3000">
        <w:rPr>
          <w:rFonts w:ascii="Verdana" w:eastAsia="Calibri" w:hAnsi="Verdana" w:cs="Arial"/>
          <w:lang w:val="es-CO"/>
        </w:rPr>
        <w:t>La adenda o modificación, al contener la voluntad de la Administración de variar, ajustar o aclarar algún aspecto o condición de los pliegos de condiciones</w:t>
      </w:r>
      <w:r w:rsidRPr="00EB3000">
        <w:rPr>
          <w:rFonts w:ascii="Verdana" w:eastAsia="Calibri" w:hAnsi="Verdana" w:cs="Arial"/>
          <w:lang w:val="es-ES_tradnl"/>
        </w:rPr>
        <w:t xml:space="preserve"> o la invitación pública para procesos de mínima cuantía</w:t>
      </w:r>
      <w:r w:rsidRPr="00EB3000">
        <w:rPr>
          <w:rFonts w:ascii="Verdana" w:eastAsia="Calibri" w:hAnsi="Verdana" w:cs="Arial"/>
          <w:lang w:val="es-CO"/>
        </w:rPr>
        <w:t xml:space="preserve">, tiene la naturaleza de acto administrativo de contenido general, que, al ser incorporado al contenido de los pliegos de condiciones </w:t>
      </w:r>
      <w:r w:rsidRPr="00EB3000">
        <w:rPr>
          <w:rFonts w:ascii="Verdana" w:eastAsia="Calibri" w:hAnsi="Verdana" w:cs="Arial"/>
          <w:lang w:val="es-ES_tradnl"/>
        </w:rPr>
        <w:t>o a la invitación pública para procesos de mínima cuantía</w:t>
      </w:r>
      <w:r w:rsidRPr="00EB3000">
        <w:rPr>
          <w:rFonts w:ascii="Verdana" w:eastAsia="Calibri" w:hAnsi="Verdana" w:cs="Arial"/>
          <w:lang w:val="es-CO"/>
        </w:rPr>
        <w:t xml:space="preserve"> tiene, al igual que estos, la posibilidad de transformarse en parte del texto del negocio jurídico</w:t>
      </w:r>
      <w:r w:rsidRPr="00EB3000">
        <w:rPr>
          <w:rFonts w:ascii="Verdana" w:eastAsia="Calibri" w:hAnsi="Verdana" w:cs="Arial"/>
          <w:vertAlign w:val="superscript"/>
          <w:lang w:val="es-CO"/>
        </w:rPr>
        <w:footnoteReference w:id="6"/>
      </w:r>
      <w:r w:rsidRPr="00EB3000">
        <w:rPr>
          <w:rFonts w:ascii="Verdana" w:eastAsia="Calibri" w:hAnsi="Verdana" w:cs="Arial"/>
          <w:lang w:val="es-CO"/>
        </w:rPr>
        <w:t>. Por lo tanto, las adendas, al ser actos administrativos de contenido general, deben ser publicadas para que sean obligatorias, esto es para que sus efectos sean vinculantes a los interesados en el procedimiento de contratación.</w:t>
      </w:r>
    </w:p>
    <w:p w14:paraId="70258D5A" w14:textId="77777777" w:rsidR="002C4CCE" w:rsidRPr="00EB3000" w:rsidRDefault="002C4CCE" w:rsidP="002C4CCE">
      <w:pPr>
        <w:pStyle w:val="Prrafodelista"/>
        <w:jc w:val="both"/>
        <w:rPr>
          <w:rFonts w:ascii="Verdana" w:eastAsia="Calibri" w:hAnsi="Verdana" w:cs="Arial"/>
        </w:rPr>
      </w:pPr>
    </w:p>
    <w:p w14:paraId="6BACAFC0" w14:textId="77777777" w:rsidR="002C4CCE" w:rsidRPr="00EB3000" w:rsidRDefault="002C4CCE" w:rsidP="002C4CCE">
      <w:pPr>
        <w:pStyle w:val="Prrafodelista"/>
        <w:numPr>
          <w:ilvl w:val="0"/>
          <w:numId w:val="18"/>
        </w:numPr>
        <w:jc w:val="both"/>
        <w:rPr>
          <w:rFonts w:ascii="Verdana" w:eastAsia="Calibri" w:hAnsi="Verdana" w:cs="Arial"/>
        </w:rPr>
      </w:pPr>
      <w:r w:rsidRPr="00EB3000">
        <w:rPr>
          <w:rFonts w:ascii="Verdana" w:eastAsia="Calibri" w:hAnsi="Verdana" w:cs="Arial"/>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5ADF54E8" w14:textId="77777777" w:rsidR="002C4CCE" w:rsidRPr="00EB3000" w:rsidRDefault="002C4CCE" w:rsidP="002C4CCE">
      <w:pPr>
        <w:pStyle w:val="Prrafodelista"/>
        <w:jc w:val="both"/>
        <w:rPr>
          <w:rFonts w:ascii="Verdana" w:eastAsia="Calibri" w:hAnsi="Verdana" w:cs="Arial"/>
        </w:rPr>
      </w:pPr>
    </w:p>
    <w:p w14:paraId="44C9215F" w14:textId="77777777" w:rsidR="002C4CCE" w:rsidRPr="00EB3000" w:rsidRDefault="002C4CCE" w:rsidP="002C4CCE">
      <w:pPr>
        <w:pStyle w:val="Prrafodelista"/>
        <w:ind w:left="1416"/>
        <w:jc w:val="both"/>
        <w:rPr>
          <w:rFonts w:ascii="Verdana" w:eastAsia="Calibri" w:hAnsi="Verdana" w:cs="Arial"/>
          <w:sz w:val="20"/>
          <w:szCs w:val="20"/>
        </w:rPr>
      </w:pPr>
      <w:r w:rsidRPr="00EB3000">
        <w:rPr>
          <w:rFonts w:ascii="Verdana" w:eastAsia="Calibri" w:hAnsi="Verdana" w:cs="Arial"/>
          <w:sz w:val="20"/>
          <w:szCs w:val="20"/>
        </w:rPr>
        <w:lastRenderedPageBreak/>
        <w:t>“Artículo 2.2.1.1.2.2.1. Modificación de los pliegos de condiciones. La Entidad Estatal puede modificar los pliegos de condiciones a través de Adendas expedidas antes del vencimiento del plazo para presentar ofertas.</w:t>
      </w:r>
    </w:p>
    <w:p w14:paraId="73121239" w14:textId="77777777" w:rsidR="002C4CCE" w:rsidRPr="00EB3000" w:rsidRDefault="002C4CCE" w:rsidP="002C4CCE">
      <w:pPr>
        <w:pStyle w:val="Prrafodelista"/>
        <w:jc w:val="both"/>
        <w:rPr>
          <w:rFonts w:ascii="Verdana" w:eastAsia="Calibri" w:hAnsi="Verdana" w:cs="Arial"/>
          <w:sz w:val="20"/>
          <w:szCs w:val="20"/>
        </w:rPr>
      </w:pPr>
    </w:p>
    <w:p w14:paraId="1752174F" w14:textId="77777777" w:rsidR="002C4CCE" w:rsidRPr="00EB3000" w:rsidRDefault="002C4CCE" w:rsidP="002C4CCE">
      <w:pPr>
        <w:pStyle w:val="Prrafodelista"/>
        <w:ind w:left="1416"/>
        <w:jc w:val="both"/>
        <w:rPr>
          <w:rFonts w:ascii="Verdana" w:eastAsia="Calibri" w:hAnsi="Verdana" w:cs="Arial"/>
          <w:sz w:val="20"/>
          <w:szCs w:val="20"/>
        </w:rPr>
      </w:pPr>
      <w:r w:rsidRPr="00EB3000">
        <w:rPr>
          <w:rFonts w:ascii="Verdana" w:eastAsia="Calibri" w:hAnsi="Verdana" w:cs="Arial"/>
          <w:sz w:val="20"/>
          <w:szCs w:val="20"/>
        </w:rPr>
        <w:t>La Entidad Estatal puede expedir Adendas para modificar el Cronograma una vez vencido el término para la presentación de las ofertas y antes de la adjudicación del contrato.</w:t>
      </w:r>
    </w:p>
    <w:p w14:paraId="4354FC41" w14:textId="77777777" w:rsidR="002C4CCE" w:rsidRPr="00EB3000" w:rsidRDefault="002C4CCE" w:rsidP="002C4CCE">
      <w:pPr>
        <w:pStyle w:val="Prrafodelista"/>
        <w:jc w:val="both"/>
        <w:rPr>
          <w:rFonts w:ascii="Verdana" w:eastAsia="Calibri" w:hAnsi="Verdana" w:cs="Arial"/>
          <w:sz w:val="20"/>
          <w:szCs w:val="20"/>
        </w:rPr>
      </w:pPr>
    </w:p>
    <w:p w14:paraId="2E5E1930" w14:textId="77777777" w:rsidR="002C4CCE" w:rsidRPr="00EB3000" w:rsidRDefault="002C4CCE" w:rsidP="002C4CCE">
      <w:pPr>
        <w:pStyle w:val="Prrafodelista"/>
        <w:ind w:left="1416"/>
        <w:jc w:val="both"/>
        <w:rPr>
          <w:rFonts w:ascii="Verdana" w:eastAsia="Calibri" w:hAnsi="Verdana" w:cs="Arial"/>
          <w:sz w:val="20"/>
          <w:szCs w:val="20"/>
        </w:rPr>
      </w:pPr>
      <w:r w:rsidRPr="00EB3000">
        <w:rPr>
          <w:rFonts w:ascii="Verdana" w:eastAsia="Calibri" w:hAnsi="Verdana" w:cs="Arial"/>
          <w:sz w:val="20"/>
          <w:szCs w:val="20"/>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6AF91C87" w14:textId="77777777" w:rsidR="002C4CCE" w:rsidRPr="00EB3000" w:rsidRDefault="002C4CCE" w:rsidP="002C4CCE">
      <w:pPr>
        <w:pStyle w:val="Prrafodelista"/>
        <w:jc w:val="both"/>
        <w:rPr>
          <w:rFonts w:ascii="Verdana" w:eastAsia="Calibri" w:hAnsi="Verdana" w:cs="Arial"/>
        </w:rPr>
      </w:pPr>
    </w:p>
    <w:p w14:paraId="71C85BEE" w14:textId="77777777" w:rsidR="002C4CCE" w:rsidRDefault="002C4CCE" w:rsidP="002C4CCE">
      <w:pPr>
        <w:pStyle w:val="Prrafodelista"/>
        <w:numPr>
          <w:ilvl w:val="0"/>
          <w:numId w:val="18"/>
        </w:numPr>
        <w:jc w:val="both"/>
        <w:rPr>
          <w:rFonts w:ascii="Verdana" w:eastAsia="Calibri" w:hAnsi="Verdana" w:cs="Arial"/>
        </w:rPr>
      </w:pPr>
      <w:r w:rsidRPr="00EB3000">
        <w:rPr>
          <w:rFonts w:ascii="Verdana" w:eastAsia="Calibri" w:hAnsi="Verdana" w:cs="Arial"/>
        </w:rPr>
        <w:t>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2E7BA117" w14:textId="77777777" w:rsidR="002C4CCE" w:rsidRPr="00EB3000" w:rsidRDefault="002C4CCE" w:rsidP="002C4CCE">
      <w:pPr>
        <w:pStyle w:val="Prrafodelista"/>
        <w:jc w:val="both"/>
        <w:rPr>
          <w:rFonts w:ascii="Verdana" w:eastAsia="Calibri" w:hAnsi="Verdana" w:cs="Arial"/>
        </w:rPr>
      </w:pPr>
    </w:p>
    <w:p w14:paraId="57DFAAEC" w14:textId="77777777" w:rsidR="002C4CCE" w:rsidRDefault="002C4CCE" w:rsidP="002C4CCE">
      <w:pPr>
        <w:pStyle w:val="Prrafodelista"/>
        <w:numPr>
          <w:ilvl w:val="0"/>
          <w:numId w:val="18"/>
        </w:numPr>
        <w:jc w:val="both"/>
        <w:rPr>
          <w:rFonts w:ascii="Verdana" w:eastAsia="Calibri" w:hAnsi="Verdana" w:cs="Arial"/>
        </w:rPr>
      </w:pPr>
      <w:r w:rsidRPr="00EB3000">
        <w:rPr>
          <w:rFonts w:ascii="Verdana" w:eastAsia="Calibri" w:hAnsi="Verdana" w:cs="Arial"/>
        </w:rPr>
        <w:t xml:space="preserve">Así las cosas,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EB3000">
        <w:rPr>
          <w:rFonts w:ascii="Verdana" w:eastAsia="Calibri" w:hAnsi="Verdana" w:cs="Arial"/>
        </w:rPr>
        <w:t>ii</w:t>
      </w:r>
      <w:proofErr w:type="spellEnd"/>
      <w:r w:rsidRPr="00EB3000">
        <w:rPr>
          <w:rFonts w:ascii="Verdana" w:eastAsia="Calibri" w:hAnsi="Verdana" w:cs="Arial"/>
        </w:rPr>
        <w:t>)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de selección. De este modo, por ejemplo, en la mínima cuantía el acto por medio del cual se escoge al futuro contratista es la comunicación de aceptación de la oferta.</w:t>
      </w:r>
    </w:p>
    <w:p w14:paraId="3AAD0916" w14:textId="77777777" w:rsidR="002C4CCE" w:rsidRPr="001A5605" w:rsidRDefault="002C4CCE" w:rsidP="002C4CCE">
      <w:pPr>
        <w:pStyle w:val="Prrafodelista"/>
        <w:rPr>
          <w:rFonts w:ascii="Verdana" w:eastAsia="Calibri" w:hAnsi="Verdana" w:cs="Arial"/>
        </w:rPr>
      </w:pPr>
    </w:p>
    <w:p w14:paraId="1B42534E" w14:textId="77777777" w:rsidR="002C4CCE" w:rsidRPr="009322DA" w:rsidRDefault="002C4CCE" w:rsidP="002C4CCE">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2C4CCE" w:rsidRPr="009322DA" w14:paraId="1151D68D" w14:textId="77777777" w:rsidTr="002C4CCE">
        <w:trPr>
          <w:trHeight w:val="870"/>
        </w:trPr>
        <w:tc>
          <w:tcPr>
            <w:tcW w:w="8647" w:type="dxa"/>
            <w:tcBorders>
              <w:top w:val="dotted" w:sz="4" w:space="0" w:color="auto"/>
              <w:left w:val="dotted" w:sz="4" w:space="0" w:color="auto"/>
              <w:bottom w:val="dotted" w:sz="4" w:space="0" w:color="auto"/>
              <w:right w:val="dotted" w:sz="4" w:space="0" w:color="auto"/>
            </w:tcBorders>
          </w:tcPr>
          <w:p w14:paraId="5A82A7A8" w14:textId="77777777" w:rsidR="002C4CCE" w:rsidRPr="00775458" w:rsidRDefault="002C4CCE" w:rsidP="002C4CCE">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t>Ley 1150 de 2007</w:t>
            </w:r>
          </w:p>
          <w:p w14:paraId="6166CD71" w14:textId="77777777" w:rsidR="002C4CCE" w:rsidRPr="00775458" w:rsidRDefault="002C4CCE" w:rsidP="002C4CCE">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t>Decreto 1082 de 2015, artículo 2.2.1.1.1.7.1. y 2.2.1.1.2.2.1</w:t>
            </w:r>
          </w:p>
          <w:p w14:paraId="3FE45A18" w14:textId="77777777" w:rsidR="002C4CCE" w:rsidRPr="00775458" w:rsidRDefault="002C4CCE" w:rsidP="002C4CCE">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t>Circular Única Externa. Disponible en: https://www.colombiacompra.gov.co/content/circular-unica-externa</w:t>
            </w:r>
          </w:p>
          <w:p w14:paraId="36610FBB" w14:textId="77777777" w:rsidR="002C4CCE" w:rsidRPr="00775458" w:rsidRDefault="002C4CCE" w:rsidP="002C4CCE">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lastRenderedPageBreak/>
              <w:t xml:space="preserve">Jurisprudencia del Consejo de Estado. Disponible en: https://relatoria.colombiacompra.gov.co/providencias-consejo-de-estado/ </w:t>
            </w:r>
          </w:p>
          <w:p w14:paraId="44A53793" w14:textId="77777777" w:rsidR="002C4CCE" w:rsidRPr="00775458" w:rsidRDefault="002C4CCE" w:rsidP="002C4CCE">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t xml:space="preserve">Guías y manuales expedidos por la ANCP-CCE. Disponible en: https://www.colombiacompra.gov.co/manuales-guias-y-pliegos-tipo/manuales-y-guias </w:t>
            </w:r>
          </w:p>
        </w:tc>
      </w:tr>
    </w:tbl>
    <w:p w14:paraId="0BA09207" w14:textId="77777777" w:rsidR="002C4CCE" w:rsidRPr="009322DA" w:rsidRDefault="002C4CCE" w:rsidP="002C4CCE">
      <w:pPr>
        <w:tabs>
          <w:tab w:val="left" w:pos="142"/>
          <w:tab w:val="left" w:pos="284"/>
        </w:tabs>
        <w:spacing w:after="0" w:line="276" w:lineRule="auto"/>
        <w:jc w:val="both"/>
        <w:rPr>
          <w:rFonts w:ascii="Verdana" w:eastAsia="Calibri" w:hAnsi="Verdana" w:cs="Arial"/>
        </w:rPr>
      </w:pPr>
    </w:p>
    <w:p w14:paraId="2A0ECFDD" w14:textId="77777777" w:rsidR="002C4CCE" w:rsidRPr="009322DA" w:rsidRDefault="002C4CCE" w:rsidP="002C4CCE">
      <w:pPr>
        <w:tabs>
          <w:tab w:val="left" w:pos="142"/>
          <w:tab w:val="left" w:pos="284"/>
        </w:tabs>
        <w:spacing w:after="0" w:line="276" w:lineRule="auto"/>
        <w:jc w:val="both"/>
        <w:rPr>
          <w:rFonts w:ascii="Verdana" w:eastAsia="Century Gothic" w:hAnsi="Verdana" w:cs="Century Gothic"/>
          <w:b/>
          <w:bCs/>
          <w:lang w:val="es-ES"/>
        </w:rPr>
      </w:pPr>
      <w:r w:rsidRPr="009322DA">
        <w:rPr>
          <w:rFonts w:ascii="Verdana" w:eastAsia="Calibri" w:hAnsi="Verdana" w:cs="Arial"/>
        </w:rPr>
        <w:t>5.</w:t>
      </w:r>
      <w:r w:rsidRPr="009322DA">
        <w:rPr>
          <w:rFonts w:ascii="Verdana" w:eastAsia="Century Gothic" w:hAnsi="Verdana" w:cs="Century Gothic"/>
          <w:b/>
          <w:bCs/>
          <w:lang w:val="es-ES"/>
        </w:rPr>
        <w:t>Doctrina de la Agencia Nacional de Contratación Pública:</w:t>
      </w:r>
    </w:p>
    <w:p w14:paraId="15492967" w14:textId="77777777" w:rsidR="002C4CCE" w:rsidRPr="009322DA" w:rsidRDefault="002C4CCE" w:rsidP="002C4CCE">
      <w:pPr>
        <w:widowControl w:val="0"/>
        <w:autoSpaceDE w:val="0"/>
        <w:autoSpaceDN w:val="0"/>
        <w:spacing w:after="0" w:line="276" w:lineRule="auto"/>
        <w:jc w:val="both"/>
        <w:rPr>
          <w:rFonts w:ascii="Verdana" w:eastAsia="Calibri" w:hAnsi="Verdana" w:cs="Arial"/>
        </w:rPr>
      </w:pPr>
    </w:p>
    <w:p w14:paraId="32C61F46" w14:textId="77777777" w:rsidR="002C4CCE" w:rsidRPr="00C269C0" w:rsidRDefault="002C4CCE" w:rsidP="002C4CCE">
      <w:pPr>
        <w:widowControl w:val="0"/>
        <w:autoSpaceDE w:val="0"/>
        <w:autoSpaceDN w:val="0"/>
        <w:spacing w:after="0" w:line="276" w:lineRule="auto"/>
        <w:jc w:val="both"/>
        <w:rPr>
          <w:rFonts w:ascii="Verdana" w:eastAsia="Calibri" w:hAnsi="Verdana" w:cs="Arial"/>
          <w:shd w:val="clear" w:color="auto" w:fill="FFFFFF"/>
          <w:lang w:val="es-ES"/>
        </w:rPr>
      </w:pPr>
      <w:r w:rsidRPr="00C269C0">
        <w:rPr>
          <w:rFonts w:ascii="Verdana" w:eastAsia="Calibri" w:hAnsi="Verdana" w:cs="Arial"/>
          <w:shd w:val="clear" w:color="auto" w:fill="FFFFFF"/>
        </w:rPr>
        <w:t>L</w:t>
      </w:r>
      <w:r w:rsidRPr="00C269C0">
        <w:rPr>
          <w:rFonts w:ascii="Verdana" w:eastAsia="Calibri" w:hAnsi="Verdana" w:cs="Arial"/>
          <w:shd w:val="clear" w:color="auto" w:fill="FFFFFF"/>
          <w:lang w:val="es-ES"/>
        </w:rPr>
        <w:t xml:space="preserve">a Agencia Nacional de Contratación Pública – Colombia Compra Eficiente, en los conceptos  CU-003 del 15 de enero de 2020, </w:t>
      </w:r>
      <w:r w:rsidRPr="00C269C0">
        <w:rPr>
          <w:rFonts w:ascii="Verdana" w:eastAsia="Calibri" w:hAnsi="Verdana" w:cs="Arial"/>
          <w:shd w:val="clear" w:color="auto" w:fill="FFFFFF"/>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C-379 del 22 de junio de 2022 y algunos otros</w:t>
      </w:r>
      <w:r w:rsidRPr="00C269C0">
        <w:rPr>
          <w:rFonts w:ascii="Verdana" w:eastAsia="Calibri" w:hAnsi="Verdana" w:cs="Arial"/>
          <w:shd w:val="clear" w:color="auto" w:fill="FFFFFF"/>
          <w:lang w:val="es-ES"/>
        </w:rPr>
        <w:t xml:space="preserve">. De igual manera, esta Subdirección se ha referido al alcance de lo dispuesto en 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 analizó el deber de publicar la documentación contractual en las Sistema Electrónico de Contratación Pública–SECOP-. </w:t>
      </w:r>
    </w:p>
    <w:p w14:paraId="75AA8583" w14:textId="77777777" w:rsidR="002C4CCE" w:rsidRPr="009322DA" w:rsidRDefault="002C4CCE" w:rsidP="002C4CCE">
      <w:pPr>
        <w:widowControl w:val="0"/>
        <w:autoSpaceDE w:val="0"/>
        <w:autoSpaceDN w:val="0"/>
        <w:spacing w:after="0" w:line="276" w:lineRule="auto"/>
        <w:jc w:val="both"/>
        <w:rPr>
          <w:rFonts w:ascii="Verdana" w:eastAsia="Calibri" w:hAnsi="Verdana" w:cs="Arial"/>
          <w:shd w:val="clear" w:color="auto" w:fill="FFFFFF"/>
          <w:lang w:val="es-ES_tradnl"/>
        </w:rPr>
      </w:pPr>
    </w:p>
    <w:p w14:paraId="2B92A0F0" w14:textId="225690CF" w:rsidR="008328CE" w:rsidRPr="008328CE" w:rsidRDefault="008328CE" w:rsidP="008328CE">
      <w:pPr>
        <w:spacing w:after="0" w:line="240" w:lineRule="auto"/>
        <w:jc w:val="both"/>
        <w:rPr>
          <w:rFonts w:ascii="Verdana" w:eastAsia="Calibri" w:hAnsi="Verdana" w:cs="Arial"/>
          <w:color w:val="000000" w:themeColor="text1"/>
          <w:shd w:val="clear" w:color="auto" w:fill="FFFFFF"/>
        </w:rPr>
      </w:pP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sidRPr="008328CE">
        <w:rPr>
          <w:rFonts w:ascii="Verdana" w:eastAsia="Calibri" w:hAnsi="Verdana" w:cs="Arial"/>
          <w:color w:val="000000" w:themeColor="text1"/>
          <w:shd w:val="clear" w:color="auto" w:fill="FFFFFF"/>
        </w:rPr>
        <w:t xml:space="preserve"> . Te invitamos también a revisar la tercera edición del  Boletín de Relatoría de 2024 en el cual podrás consultar en detalle el marco normativo de documentos </w:t>
      </w:r>
      <w:r w:rsidRPr="008328CE">
        <w:rPr>
          <w:rFonts w:ascii="Verdana" w:eastAsia="Calibri" w:hAnsi="Verdana" w:cs="Arial"/>
          <w:color w:val="000000" w:themeColor="text1"/>
          <w:shd w:val="clear" w:color="auto" w:fill="FFFFFF"/>
        </w:rPr>
        <w:lastRenderedPageBreak/>
        <w:t>tipo: </w:t>
      </w:r>
      <w:hyperlink r:id="rId13" w:tgtFrame="_blank" w:tooltip="Dirección URL original: https://www.colombiacompra.gov.co/sites/cce_public/files/files_2020/boletin_de_realtoria_iii.pdf. Haga clic o pulse si confía en este vínculo." w:history="1">
        <w:r w:rsidRPr="008328CE">
          <w:rPr>
            <w:rStyle w:val="Hipervnculo"/>
            <w:rFonts w:ascii="Verdana" w:eastAsia="Calibri" w:hAnsi="Verdana" w:cs="Arial"/>
            <w:color w:val="000000" w:themeColor="text1"/>
            <w:shd w:val="clear" w:color="auto" w:fill="FFFFFF"/>
          </w:rPr>
          <w:t>https://www.colombiacompra.gov.co/sites/cce_public/files/files_2020/boletin_de_realtoria_iii.pdf</w:t>
        </w:r>
      </w:hyperlink>
      <w:r w:rsidRPr="008328CE">
        <w:rPr>
          <w:rFonts w:ascii="Verdana" w:eastAsia="Calibri" w:hAnsi="Verdana" w:cs="Arial"/>
          <w:color w:val="000000" w:themeColor="text1"/>
          <w:shd w:val="clear" w:color="auto" w:fill="FFFFFF"/>
        </w:rPr>
        <w:t>.  </w:t>
      </w:r>
    </w:p>
    <w:p w14:paraId="50AA9DEF" w14:textId="77777777" w:rsidR="008328CE" w:rsidRPr="008328CE" w:rsidRDefault="008328CE" w:rsidP="008328CE">
      <w:pPr>
        <w:spacing w:after="0" w:line="240" w:lineRule="auto"/>
        <w:jc w:val="both"/>
        <w:rPr>
          <w:rFonts w:ascii="Verdana" w:eastAsia="Calibri" w:hAnsi="Verdana" w:cs="Arial"/>
          <w:color w:val="000000" w:themeColor="text1"/>
          <w:shd w:val="clear" w:color="auto" w:fill="FFFFFF"/>
        </w:rPr>
      </w:pPr>
    </w:p>
    <w:p w14:paraId="3C79A98C" w14:textId="429E5E61" w:rsidR="008328CE" w:rsidRPr="008328CE" w:rsidRDefault="008328CE" w:rsidP="008328CE">
      <w:pPr>
        <w:spacing w:after="0" w:line="240" w:lineRule="auto"/>
        <w:jc w:val="both"/>
        <w:rPr>
          <w:rFonts w:ascii="Verdana" w:eastAsia="Calibri" w:hAnsi="Verdana" w:cs="Arial"/>
          <w:color w:val="000000" w:themeColor="text1"/>
          <w:shd w:val="clear" w:color="auto" w:fill="FFFFFF"/>
        </w:rPr>
      </w:pPr>
      <w:r w:rsidRPr="008328CE">
        <w:rPr>
          <w:rFonts w:ascii="Verdana" w:eastAsia="Calibri" w:hAnsi="Verdana" w:cs="Arial"/>
          <w:color w:val="000000" w:themeColor="text1"/>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4" w:tgtFrame="_blank" w:tooltip="Dirección URL original: https://www.sucop.gov.co/entidades/colombiacompra/Normativa?IDNorma=17363. Haga clic o pulse si confía en este vínculo." w:history="1">
        <w:r w:rsidRPr="008328CE">
          <w:rPr>
            <w:rStyle w:val="Hipervnculo"/>
            <w:rFonts w:ascii="Verdana" w:eastAsia="Calibri" w:hAnsi="Verdana" w:cs="Arial"/>
            <w:color w:val="000000" w:themeColor="text1"/>
            <w:shd w:val="clear" w:color="auto" w:fill="FFFFFF"/>
          </w:rPr>
          <w:t>https://www.sucop.gov.co/entidades/colombiacompra/Normativa?IDNorma=17363</w:t>
        </w:r>
      </w:hyperlink>
      <w:r w:rsidRPr="008328CE">
        <w:rPr>
          <w:rFonts w:ascii="Verdana" w:eastAsia="Calibri" w:hAnsi="Verdana" w:cs="Arial"/>
          <w:color w:val="000000" w:themeColor="text1"/>
          <w:shd w:val="clear" w:color="auto" w:fill="FFFFFF"/>
        </w:rPr>
        <w:t> y </w:t>
      </w:r>
      <w:hyperlink r:id="rId15" w:tgtFrame="_blank" w:tooltip="Dirección URL original: https://www.colombiacompra.gov.co/content/convocatorias. Haga clic o pulse si confía en este vínculo." w:history="1">
        <w:r w:rsidRPr="008328CE">
          <w:rPr>
            <w:rStyle w:val="Hipervnculo"/>
            <w:rFonts w:ascii="Verdana" w:eastAsia="Calibri" w:hAnsi="Verdana" w:cs="Arial"/>
            <w:color w:val="000000" w:themeColor="text1"/>
            <w:shd w:val="clear" w:color="auto" w:fill="FFFFFF"/>
          </w:rPr>
          <w:t>https://www.colombiacompra.gov.co/content/convocatorias</w:t>
        </w:r>
      </w:hyperlink>
      <w:r w:rsidR="00FD3A6A">
        <w:rPr>
          <w:rFonts w:ascii="Verdana" w:eastAsia="Calibri" w:hAnsi="Verdana" w:cs="Arial"/>
          <w:color w:val="000000" w:themeColor="text1"/>
          <w:shd w:val="clear" w:color="auto" w:fill="FFFFFF"/>
        </w:rPr>
        <w:t>.</w:t>
      </w:r>
      <w:r w:rsidRPr="008328CE">
        <w:rPr>
          <w:rFonts w:ascii="Verdana" w:eastAsia="Calibri" w:hAnsi="Verdana" w:cs="Arial"/>
          <w:color w:val="000000" w:themeColor="text1"/>
          <w:shd w:val="clear" w:color="auto" w:fill="FFFFFF"/>
        </w:rPr>
        <w:t> </w:t>
      </w:r>
    </w:p>
    <w:p w14:paraId="6DEF4191" w14:textId="77777777" w:rsidR="002C4CCE" w:rsidRPr="009322DA" w:rsidRDefault="002C4CCE" w:rsidP="002C4CCE">
      <w:pPr>
        <w:spacing w:after="0" w:line="240" w:lineRule="auto"/>
        <w:jc w:val="both"/>
        <w:rPr>
          <w:rFonts w:ascii="Verdana" w:eastAsia="Calibri" w:hAnsi="Verdana" w:cs="Arial"/>
          <w:color w:val="FF0000"/>
          <w:shd w:val="clear" w:color="auto" w:fill="FFFFFF"/>
        </w:rPr>
      </w:pPr>
    </w:p>
    <w:p w14:paraId="2DFF8948" w14:textId="091BC035" w:rsidR="002C4CCE" w:rsidRPr="009322DA" w:rsidRDefault="002C4CCE" w:rsidP="002C4CCE">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F42646D" w14:textId="77777777" w:rsidR="002C4CCE" w:rsidRPr="0044528D" w:rsidRDefault="002C4CCE" w:rsidP="002C4CCE">
      <w:pPr>
        <w:spacing w:after="0" w:line="240" w:lineRule="auto"/>
        <w:jc w:val="both"/>
        <w:rPr>
          <w:rFonts w:ascii="Verdana" w:hAnsi="Verdana"/>
        </w:rPr>
      </w:pPr>
    </w:p>
    <w:p w14:paraId="71137832" w14:textId="77777777" w:rsidR="002C4CCE" w:rsidRPr="0044528D" w:rsidRDefault="002C4CCE" w:rsidP="002C4CCE">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12F704C3" w14:textId="77777777" w:rsidR="002C4CCE" w:rsidRPr="0044528D" w:rsidRDefault="002C4CCE" w:rsidP="002C4CCE">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297E6437" w14:textId="77777777" w:rsidR="002C4CCE" w:rsidRPr="0044528D" w:rsidRDefault="002C4CCE" w:rsidP="002C4CCE">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70D74E5F" w14:textId="77777777" w:rsidR="002C4CCE" w:rsidRPr="0044528D" w:rsidRDefault="002C4CCE" w:rsidP="002C4CCE">
      <w:pPr>
        <w:widowControl w:val="0"/>
        <w:autoSpaceDE w:val="0"/>
        <w:autoSpaceDN w:val="0"/>
        <w:spacing w:after="0" w:line="276" w:lineRule="auto"/>
        <w:jc w:val="both"/>
        <w:rPr>
          <w:rFonts w:ascii="Verdana" w:hAnsi="Verdana"/>
        </w:rPr>
      </w:pPr>
    </w:p>
    <w:p w14:paraId="7BD603BA" w14:textId="77777777" w:rsidR="002C4CCE" w:rsidRPr="009322DA" w:rsidRDefault="002C4CCE" w:rsidP="002C4CCE">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5C59E157" w14:textId="77777777" w:rsidR="002C4CCE" w:rsidRPr="009322DA" w:rsidRDefault="002C4CCE" w:rsidP="002C4CCE">
      <w:pPr>
        <w:widowControl w:val="0"/>
        <w:autoSpaceDE w:val="0"/>
        <w:autoSpaceDN w:val="0"/>
        <w:spacing w:after="0" w:line="276" w:lineRule="auto"/>
        <w:jc w:val="both"/>
        <w:rPr>
          <w:rFonts w:ascii="Verdana" w:eastAsia="Calibri" w:hAnsi="Verdana" w:cs="Arial"/>
        </w:rPr>
      </w:pPr>
    </w:p>
    <w:p w14:paraId="7F26C0A9" w14:textId="77777777" w:rsidR="002C4CCE" w:rsidRPr="009322DA" w:rsidRDefault="002C4CCE" w:rsidP="002C4CCE">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0CBA0F7B" w14:textId="51B7A326" w:rsidR="002C4CCE" w:rsidRPr="009322DA" w:rsidRDefault="00995E3D" w:rsidP="002C4CCE">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0CFAD7DA" wp14:editId="0E37810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C4CCE" w:rsidRPr="009322DA" w14:paraId="0D329851" w14:textId="77777777" w:rsidTr="002C4CCE">
        <w:trPr>
          <w:trHeight w:val="315"/>
        </w:trPr>
        <w:tc>
          <w:tcPr>
            <w:tcW w:w="893" w:type="dxa"/>
            <w:vAlign w:val="center"/>
            <w:hideMark/>
          </w:tcPr>
          <w:p w14:paraId="58F08D5E" w14:textId="77777777" w:rsidR="002C4CCE" w:rsidRPr="009322DA" w:rsidRDefault="002C4CCE" w:rsidP="002C4CCE">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F6C2505" w14:textId="77777777" w:rsidR="002C4CCE" w:rsidRPr="009322DA" w:rsidRDefault="002C4CCE" w:rsidP="002C4CCE">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12D4EA70" w14:textId="77777777" w:rsidR="002C4CCE" w:rsidRPr="009322DA" w:rsidRDefault="002C4CCE" w:rsidP="002C4CCE">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2C4CCE" w:rsidRPr="009322DA" w14:paraId="0AD5D0C5" w14:textId="77777777" w:rsidTr="002C4CCE">
        <w:trPr>
          <w:trHeight w:val="330"/>
        </w:trPr>
        <w:tc>
          <w:tcPr>
            <w:tcW w:w="893" w:type="dxa"/>
            <w:vAlign w:val="center"/>
            <w:hideMark/>
          </w:tcPr>
          <w:p w14:paraId="690A15CB" w14:textId="77777777" w:rsidR="002C4CCE" w:rsidRPr="009322DA" w:rsidRDefault="002C4CCE" w:rsidP="002C4CCE">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2F2F9B1" w14:textId="77777777" w:rsidR="002C4CCE" w:rsidRPr="009322DA" w:rsidRDefault="002C4CCE" w:rsidP="002C4CCE">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val="es-ES" w:eastAsia="es-ES_tradnl"/>
              </w:rPr>
              <w:t>Juan David Cárdenas Cabeza</w:t>
            </w:r>
          </w:p>
          <w:p w14:paraId="7E61D92F" w14:textId="77777777" w:rsidR="002C4CCE" w:rsidRPr="009322DA" w:rsidRDefault="002C4CCE" w:rsidP="002C4CCE">
            <w:pPr>
              <w:contextualSpacing/>
              <w:textAlignment w:val="baseline"/>
              <w:rPr>
                <w:rFonts w:ascii="Verdana" w:eastAsia="Times New Roman" w:hAnsi="Verdana" w:cs="Segoe UI"/>
                <w:sz w:val="16"/>
                <w:szCs w:val="16"/>
                <w:lang w:eastAsia="es-ES_tradnl"/>
              </w:rPr>
            </w:pPr>
            <w:r w:rsidRPr="009322DA">
              <w:rPr>
                <w:rFonts w:ascii="Verdana" w:eastAsia="Times New Roman" w:hAnsi="Verdana" w:cs="Arial"/>
                <w:sz w:val="16"/>
                <w:szCs w:val="16"/>
                <w:lang w:eastAsia="es-ES_tradnl"/>
              </w:rPr>
              <w:t>Contratista de la Subdirección de Gestión Contractual</w:t>
            </w:r>
          </w:p>
        </w:tc>
      </w:tr>
      <w:tr w:rsidR="002C4CCE" w:rsidRPr="009322DA" w14:paraId="7E7ED447" w14:textId="77777777" w:rsidTr="002C4CCE">
        <w:trPr>
          <w:trHeight w:val="300"/>
        </w:trPr>
        <w:tc>
          <w:tcPr>
            <w:tcW w:w="893" w:type="dxa"/>
            <w:vAlign w:val="center"/>
            <w:hideMark/>
          </w:tcPr>
          <w:p w14:paraId="47B6D03C" w14:textId="77777777" w:rsidR="002C4CCE" w:rsidRPr="009322DA" w:rsidRDefault="002C4CCE" w:rsidP="002C4CCE">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B5F7041" w14:textId="77777777" w:rsidR="002C4CCE" w:rsidRPr="009322DA" w:rsidRDefault="002C4CCE" w:rsidP="002C4CCE">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27623B04" w14:textId="77777777" w:rsidR="002C4CCE" w:rsidRPr="009322DA" w:rsidRDefault="002C4CCE" w:rsidP="002C4CCE">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w:t>
            </w:r>
            <w:proofErr w:type="spellStart"/>
            <w:r w:rsidRPr="009322DA">
              <w:rPr>
                <w:rFonts w:ascii="Verdana" w:hAnsi="Verdana" w:cs="Arial"/>
                <w:sz w:val="16"/>
                <w:szCs w:val="16"/>
                <w:lang w:val="pt-BR" w:eastAsia="es-ES"/>
              </w:rPr>
              <w:t>Gestión</w:t>
            </w:r>
            <w:proofErr w:type="spellEnd"/>
            <w:r w:rsidRPr="009322DA">
              <w:rPr>
                <w:rFonts w:ascii="Verdana" w:hAnsi="Verdana" w:cs="Arial"/>
                <w:sz w:val="16"/>
                <w:szCs w:val="16"/>
                <w:lang w:val="pt-BR" w:eastAsia="es-ES"/>
              </w:rPr>
              <w:t xml:space="preserve">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62A2A11A" w14:textId="77777777" w:rsidR="002C4CCE" w:rsidRPr="009322DA" w:rsidRDefault="002C4CCE" w:rsidP="002C4CCE"/>
    <w:p w14:paraId="0F293BF4" w14:textId="7BBFAB11" w:rsidR="00127233" w:rsidRPr="002C4CCE" w:rsidRDefault="00127233" w:rsidP="002C4CCE"/>
    <w:sectPr w:rsidR="00127233" w:rsidRPr="002C4CCE"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4C7E" w14:textId="77777777" w:rsidR="001E425E" w:rsidRDefault="001E425E" w:rsidP="004A1847">
      <w:pPr>
        <w:spacing w:after="0" w:line="240" w:lineRule="auto"/>
      </w:pPr>
      <w:r>
        <w:separator/>
      </w:r>
    </w:p>
  </w:endnote>
  <w:endnote w:type="continuationSeparator" w:id="0">
    <w:p w14:paraId="602F85D0" w14:textId="77777777" w:rsidR="001E425E" w:rsidRDefault="001E425E" w:rsidP="004A1847">
      <w:pPr>
        <w:spacing w:after="0" w:line="240" w:lineRule="auto"/>
      </w:pPr>
      <w:r>
        <w:continuationSeparator/>
      </w:r>
    </w:p>
  </w:endnote>
  <w:endnote w:type="continuationNotice" w:id="1">
    <w:p w14:paraId="5880BD47" w14:textId="77777777" w:rsidR="001E425E" w:rsidRDefault="001E4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5533" w14:textId="77777777" w:rsidR="001E425E" w:rsidRDefault="001E425E" w:rsidP="004A1847">
      <w:pPr>
        <w:spacing w:after="0" w:line="240" w:lineRule="auto"/>
      </w:pPr>
      <w:r>
        <w:separator/>
      </w:r>
    </w:p>
  </w:footnote>
  <w:footnote w:type="continuationSeparator" w:id="0">
    <w:p w14:paraId="47B5997E" w14:textId="77777777" w:rsidR="001E425E" w:rsidRDefault="001E425E" w:rsidP="004A1847">
      <w:pPr>
        <w:spacing w:after="0" w:line="240" w:lineRule="auto"/>
      </w:pPr>
      <w:r>
        <w:continuationSeparator/>
      </w:r>
    </w:p>
  </w:footnote>
  <w:footnote w:type="continuationNotice" w:id="1">
    <w:p w14:paraId="2FA1839C" w14:textId="77777777" w:rsidR="001E425E" w:rsidRDefault="001E425E">
      <w:pPr>
        <w:spacing w:after="0" w:line="240" w:lineRule="auto"/>
      </w:pPr>
    </w:p>
  </w:footnote>
  <w:footnote w:id="2">
    <w:p w14:paraId="00A052D2" w14:textId="77777777" w:rsidR="002C4CCE" w:rsidRPr="00730106" w:rsidRDefault="002C4CCE" w:rsidP="002C4CCE">
      <w:pPr>
        <w:pStyle w:val="Textonotapie"/>
        <w:ind w:right="49" w:firstLine="709"/>
        <w:jc w:val="both"/>
        <w:rPr>
          <w:rFonts w:ascii="Verdana" w:hAnsi="Verdana" w:cs="Arial"/>
          <w:color w:val="000000" w:themeColor="text1"/>
          <w:sz w:val="16"/>
          <w:szCs w:val="16"/>
        </w:rPr>
      </w:pPr>
      <w:r w:rsidRPr="00730106">
        <w:rPr>
          <w:rStyle w:val="Refdenotaalpie"/>
          <w:rFonts w:ascii="Verdana" w:hAnsi="Verdana" w:cs="Arial"/>
          <w:color w:val="000000" w:themeColor="text1"/>
          <w:sz w:val="16"/>
          <w:szCs w:val="16"/>
        </w:rPr>
        <w:footnoteRef/>
      </w:r>
      <w:r w:rsidRPr="00730106">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195F924" w14:textId="77777777" w:rsidR="002C4CCE" w:rsidRPr="00730106" w:rsidRDefault="002C4CCE" w:rsidP="002C4CCE">
      <w:pPr>
        <w:pStyle w:val="Textonotapie"/>
        <w:ind w:right="49" w:firstLine="709"/>
        <w:jc w:val="both"/>
        <w:rPr>
          <w:rFonts w:ascii="Verdana" w:hAnsi="Verdana" w:cs="Arial"/>
          <w:color w:val="000000" w:themeColor="text1"/>
          <w:sz w:val="16"/>
          <w:szCs w:val="16"/>
        </w:rPr>
      </w:pPr>
      <w:r w:rsidRPr="00730106">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3">
    <w:p w14:paraId="11838C0F" w14:textId="77777777" w:rsidR="002C4CCE" w:rsidRPr="00730106" w:rsidRDefault="002C4CCE" w:rsidP="002C4CCE">
      <w:pPr>
        <w:pStyle w:val="Textonotapie"/>
        <w:ind w:right="49" w:firstLine="709"/>
        <w:jc w:val="both"/>
        <w:rPr>
          <w:rFonts w:ascii="Verdana" w:hAnsi="Verdana" w:cs="Arial"/>
          <w:color w:val="000000" w:themeColor="text1"/>
          <w:sz w:val="16"/>
          <w:szCs w:val="16"/>
        </w:rPr>
      </w:pPr>
      <w:r w:rsidRPr="00730106">
        <w:rPr>
          <w:rFonts w:ascii="Verdana" w:hAnsi="Verdana" w:cs="Arial"/>
          <w:color w:val="000000" w:themeColor="text1"/>
          <w:sz w:val="16"/>
          <w:szCs w:val="16"/>
          <w:vertAlign w:val="superscript"/>
          <w:lang w:val="es-ES" w:eastAsia="es-ES"/>
        </w:rPr>
        <w:footnoteRef/>
      </w:r>
      <w:r w:rsidRPr="00730106">
        <w:rPr>
          <w:rFonts w:ascii="Verdana" w:hAnsi="Verdana" w:cs="Arial"/>
          <w:color w:val="000000" w:themeColor="text1"/>
          <w:sz w:val="16"/>
          <w:szCs w:val="16"/>
          <w:vertAlign w:val="superscript"/>
          <w:lang w:val="es-ES" w:eastAsia="es-ES"/>
        </w:rPr>
        <w:t xml:space="preserve"> </w:t>
      </w:r>
      <w:r w:rsidRPr="00730106">
        <w:rPr>
          <w:rFonts w:ascii="Verdana" w:hAnsi="Verdana" w:cs="Arial"/>
          <w:color w:val="000000" w:themeColor="text1"/>
          <w:sz w:val="16"/>
          <w:szCs w:val="16"/>
          <w:lang w:val="es-ES" w:eastAsia="es-ES"/>
        </w:rPr>
        <w:t>“</w:t>
      </w:r>
      <w:r w:rsidRPr="00730106">
        <w:rPr>
          <w:rFonts w:ascii="Verdana" w:hAnsi="Verdana" w:cs="Arial"/>
          <w:color w:val="000000" w:themeColor="text1"/>
          <w:sz w:val="16"/>
          <w:szCs w:val="16"/>
        </w:rPr>
        <w:t xml:space="preserve">Artículo </w:t>
      </w:r>
      <w:bookmarkStart w:id="1" w:name="_Hlk153373407"/>
      <w:r w:rsidRPr="00730106">
        <w:rPr>
          <w:rFonts w:ascii="Verdana" w:hAnsi="Verdana" w:cs="Arial"/>
          <w:color w:val="000000" w:themeColor="text1"/>
          <w:sz w:val="16"/>
          <w:szCs w:val="16"/>
        </w:rPr>
        <w:t>2.1.1.2.1.7</w:t>
      </w:r>
      <w:bookmarkEnd w:id="1"/>
      <w:r w:rsidRPr="00730106">
        <w:rPr>
          <w:rFonts w:ascii="Verdana" w:hAnsi="Verdana" w:cs="Arial"/>
          <w:color w:val="000000" w:themeColor="text1"/>
          <w:sz w:val="16"/>
          <w:szCs w:val="16"/>
        </w:rPr>
        <w:t xml:space="preserve">.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EA0E058" w14:textId="77777777" w:rsidR="002C4CCE" w:rsidRPr="00730106" w:rsidRDefault="002C4CCE" w:rsidP="002C4CCE">
      <w:pPr>
        <w:pStyle w:val="Textonotapie"/>
        <w:ind w:right="49" w:firstLine="709"/>
        <w:jc w:val="both"/>
        <w:rPr>
          <w:rFonts w:ascii="Verdana" w:hAnsi="Verdana" w:cs="Arial"/>
          <w:color w:val="000000" w:themeColor="text1"/>
          <w:sz w:val="16"/>
          <w:szCs w:val="16"/>
          <w:lang w:val="es-ES" w:eastAsia="es-ES"/>
        </w:rPr>
      </w:pPr>
      <w:r w:rsidRPr="00730106">
        <w:rPr>
          <w:rFonts w:ascii="Verdana" w:hAnsi="Verdana" w:cs="Arial"/>
          <w:color w:val="000000" w:themeColor="text1"/>
          <w:sz w:val="16"/>
          <w:szCs w:val="16"/>
        </w:rPr>
        <w:t>[…].</w:t>
      </w:r>
    </w:p>
    <w:p w14:paraId="7CCB7DB3" w14:textId="77777777" w:rsidR="002C4CCE" w:rsidRPr="00730106" w:rsidRDefault="002C4CCE" w:rsidP="002C4CCE">
      <w:pPr>
        <w:pStyle w:val="Textonotapie"/>
        <w:ind w:right="49" w:firstLine="709"/>
        <w:jc w:val="both"/>
        <w:rPr>
          <w:rFonts w:ascii="Verdana" w:hAnsi="Verdana" w:cs="Arial"/>
          <w:color w:val="000000" w:themeColor="text1"/>
          <w:sz w:val="16"/>
          <w:szCs w:val="16"/>
          <w:lang w:val="es-ES" w:eastAsia="es-ES"/>
        </w:rPr>
      </w:pPr>
      <w:r w:rsidRPr="00730106">
        <w:rPr>
          <w:rFonts w:ascii="Verdana" w:hAnsi="Verdana" w:cs="Arial"/>
          <w:color w:val="000000" w:themeColor="text1"/>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4">
    <w:p w14:paraId="25A229A6" w14:textId="77777777" w:rsidR="002C4CCE" w:rsidRPr="00730106" w:rsidRDefault="002C4CCE" w:rsidP="002C4CCE">
      <w:pPr>
        <w:pStyle w:val="Textonotapie"/>
        <w:spacing w:after="120"/>
        <w:ind w:right="51" w:firstLine="709"/>
        <w:jc w:val="both"/>
        <w:rPr>
          <w:rFonts w:ascii="Verdana" w:hAnsi="Verdana" w:cs="Arial"/>
          <w:color w:val="000000"/>
          <w:sz w:val="16"/>
          <w:szCs w:val="16"/>
          <w:lang w:val="es-ES"/>
        </w:rPr>
      </w:pPr>
    </w:p>
  </w:footnote>
  <w:footnote w:id="5">
    <w:p w14:paraId="59249541" w14:textId="77777777" w:rsidR="002C4CCE" w:rsidRPr="00730106" w:rsidRDefault="002C4CCE" w:rsidP="002C4CCE">
      <w:pPr>
        <w:pStyle w:val="Textonotapie"/>
        <w:ind w:firstLine="708"/>
        <w:jc w:val="both"/>
        <w:rPr>
          <w:rFonts w:ascii="Verdana" w:hAnsi="Verdana" w:cs="Arial"/>
          <w:sz w:val="16"/>
          <w:szCs w:val="16"/>
          <w:lang w:val="es-ES"/>
        </w:rPr>
      </w:pPr>
    </w:p>
  </w:footnote>
  <w:footnote w:id="6">
    <w:p w14:paraId="6B7EB12F" w14:textId="77777777" w:rsidR="002C4CCE" w:rsidRPr="0073219D" w:rsidRDefault="002C4CCE" w:rsidP="002C4CCE">
      <w:pPr>
        <w:spacing w:after="0" w:line="240" w:lineRule="auto"/>
        <w:ind w:left="300" w:right="306"/>
        <w:jc w:val="both"/>
        <w:rPr>
          <w:rFonts w:ascii="Arial" w:hAnsi="Arial" w:cs="Arial"/>
          <w:sz w:val="18"/>
          <w:szCs w:val="18"/>
        </w:rPr>
      </w:pPr>
      <w:r w:rsidRPr="00730106">
        <w:rPr>
          <w:rStyle w:val="Refdenotaalpie"/>
          <w:rFonts w:ascii="Verdana" w:hAnsi="Verdana" w:cs="Arial"/>
          <w:sz w:val="18"/>
          <w:szCs w:val="18"/>
        </w:rPr>
        <w:footnoteRef/>
      </w:r>
      <w:r w:rsidRPr="00730106">
        <w:rPr>
          <w:rFonts w:ascii="Verdana" w:hAnsi="Verdana" w:cs="Arial"/>
          <w:sz w:val="18"/>
          <w:szCs w:val="18"/>
        </w:rPr>
        <w:t xml:space="preserve"> 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w:t>
      </w:r>
      <w:r w:rsidRPr="00730106">
        <w:rPr>
          <w:rFonts w:ascii="Verdana" w:hAnsi="Verdana" w:cs="Arial"/>
          <w:spacing w:val="-3"/>
          <w:sz w:val="18"/>
          <w:szCs w:val="18"/>
        </w:rPr>
        <w:t xml:space="preserve"> </w:t>
      </w:r>
      <w:r w:rsidRPr="00730106">
        <w:rPr>
          <w:rFonts w:ascii="Verdana" w:hAnsi="Verdana" w:cs="Arial"/>
          <w:sz w:val="18"/>
          <w:szCs w:val="18"/>
        </w:rPr>
        <w:t>mismo”.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489AB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D0972"/>
    <w:multiLevelType w:val="hybridMultilevel"/>
    <w:tmpl w:val="C4F21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6"/>
  </w:num>
  <w:num w:numId="8">
    <w:abstractNumId w:val="12"/>
  </w:num>
  <w:num w:numId="9">
    <w:abstractNumId w:val="8"/>
  </w:num>
  <w:num w:numId="10">
    <w:abstractNumId w:val="11"/>
  </w:num>
  <w:num w:numId="11">
    <w:abstractNumId w:val="9"/>
  </w:num>
  <w:num w:numId="12">
    <w:abstractNumId w:val="1"/>
  </w:num>
  <w:num w:numId="13">
    <w:abstractNumId w:val="4"/>
  </w:num>
  <w:num w:numId="14">
    <w:abstractNumId w:val="15"/>
  </w:num>
  <w:num w:numId="15">
    <w:abstractNumId w:val="10"/>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15EC7"/>
    <w:rsid w:val="00125105"/>
    <w:rsid w:val="0012639A"/>
    <w:rsid w:val="00127233"/>
    <w:rsid w:val="001B6283"/>
    <w:rsid w:val="001E4177"/>
    <w:rsid w:val="001E425E"/>
    <w:rsid w:val="001F7DC6"/>
    <w:rsid w:val="002421BB"/>
    <w:rsid w:val="0025796E"/>
    <w:rsid w:val="002707A2"/>
    <w:rsid w:val="002951A0"/>
    <w:rsid w:val="002962BC"/>
    <w:rsid w:val="002A093D"/>
    <w:rsid w:val="002A0DD0"/>
    <w:rsid w:val="002A120F"/>
    <w:rsid w:val="002A37AA"/>
    <w:rsid w:val="002A49AC"/>
    <w:rsid w:val="002A64FD"/>
    <w:rsid w:val="002C4CCE"/>
    <w:rsid w:val="002C7A84"/>
    <w:rsid w:val="002D2EA4"/>
    <w:rsid w:val="002E4FD9"/>
    <w:rsid w:val="00322A85"/>
    <w:rsid w:val="003238A1"/>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38DF"/>
    <w:rsid w:val="004F685F"/>
    <w:rsid w:val="005566E8"/>
    <w:rsid w:val="00562811"/>
    <w:rsid w:val="00574867"/>
    <w:rsid w:val="00591460"/>
    <w:rsid w:val="00592628"/>
    <w:rsid w:val="005C3777"/>
    <w:rsid w:val="005C5CDC"/>
    <w:rsid w:val="005D476C"/>
    <w:rsid w:val="0060028E"/>
    <w:rsid w:val="00610812"/>
    <w:rsid w:val="006166FF"/>
    <w:rsid w:val="006219F8"/>
    <w:rsid w:val="006317FF"/>
    <w:rsid w:val="00650FF7"/>
    <w:rsid w:val="00665D70"/>
    <w:rsid w:val="00671DAC"/>
    <w:rsid w:val="006900D9"/>
    <w:rsid w:val="0069144D"/>
    <w:rsid w:val="006D12F8"/>
    <w:rsid w:val="00706C16"/>
    <w:rsid w:val="00712FCB"/>
    <w:rsid w:val="00730106"/>
    <w:rsid w:val="00756841"/>
    <w:rsid w:val="007649AB"/>
    <w:rsid w:val="00771D0C"/>
    <w:rsid w:val="007833AC"/>
    <w:rsid w:val="007B268C"/>
    <w:rsid w:val="007B7171"/>
    <w:rsid w:val="007C0C0F"/>
    <w:rsid w:val="007C3DC2"/>
    <w:rsid w:val="007E2E2E"/>
    <w:rsid w:val="007E5497"/>
    <w:rsid w:val="00806F5F"/>
    <w:rsid w:val="00820278"/>
    <w:rsid w:val="008328CE"/>
    <w:rsid w:val="008843B6"/>
    <w:rsid w:val="00891928"/>
    <w:rsid w:val="008A446D"/>
    <w:rsid w:val="008D180B"/>
    <w:rsid w:val="008F0EA7"/>
    <w:rsid w:val="00923EEF"/>
    <w:rsid w:val="009419F9"/>
    <w:rsid w:val="0095685E"/>
    <w:rsid w:val="00961B09"/>
    <w:rsid w:val="00965334"/>
    <w:rsid w:val="0097093E"/>
    <w:rsid w:val="00995E3D"/>
    <w:rsid w:val="009A0DFA"/>
    <w:rsid w:val="009A2D3F"/>
    <w:rsid w:val="009B2D26"/>
    <w:rsid w:val="009C71FA"/>
    <w:rsid w:val="009C72E7"/>
    <w:rsid w:val="009D3058"/>
    <w:rsid w:val="009F3A13"/>
    <w:rsid w:val="00A122D3"/>
    <w:rsid w:val="00A17F13"/>
    <w:rsid w:val="00A20739"/>
    <w:rsid w:val="00A33C78"/>
    <w:rsid w:val="00AB0ADB"/>
    <w:rsid w:val="00B01B1A"/>
    <w:rsid w:val="00B2473D"/>
    <w:rsid w:val="00B62B3D"/>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972FF"/>
    <w:rsid w:val="00DA231B"/>
    <w:rsid w:val="00DA23A0"/>
    <w:rsid w:val="00DC39FC"/>
    <w:rsid w:val="00DC5618"/>
    <w:rsid w:val="00DF5254"/>
    <w:rsid w:val="00E16408"/>
    <w:rsid w:val="00E20894"/>
    <w:rsid w:val="00E245AB"/>
    <w:rsid w:val="00E2764C"/>
    <w:rsid w:val="00E27F2E"/>
    <w:rsid w:val="00E31463"/>
    <w:rsid w:val="00E35886"/>
    <w:rsid w:val="00E413EA"/>
    <w:rsid w:val="00E4326F"/>
    <w:rsid w:val="00E44602"/>
    <w:rsid w:val="00E50AFE"/>
    <w:rsid w:val="00E56DDA"/>
    <w:rsid w:val="00E60229"/>
    <w:rsid w:val="00E75C92"/>
    <w:rsid w:val="00E76D59"/>
    <w:rsid w:val="00E771DC"/>
    <w:rsid w:val="00E8772A"/>
    <w:rsid w:val="00E90F6B"/>
    <w:rsid w:val="00E92C27"/>
    <w:rsid w:val="00EA0E3D"/>
    <w:rsid w:val="00EA5EE1"/>
    <w:rsid w:val="00EC38A7"/>
    <w:rsid w:val="00EE1AA8"/>
    <w:rsid w:val="00F31EDC"/>
    <w:rsid w:val="00F462B3"/>
    <w:rsid w:val="00F5664F"/>
    <w:rsid w:val="00F666C4"/>
    <w:rsid w:val="00F76AFC"/>
    <w:rsid w:val="00FA47C0"/>
    <w:rsid w:val="00FB0E05"/>
    <w:rsid w:val="00FB5DD1"/>
    <w:rsid w:val="00FC2B5D"/>
    <w:rsid w:val="00FD3A6A"/>
    <w:rsid w:val="00FD577E"/>
    <w:rsid w:val="00FF1449"/>
    <w:rsid w:val="5CEADB7B"/>
    <w:rsid w:val="605AA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B9AA5F71-9109-4AEB-85AF-4EA18AE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C4CCE"/>
    <w:pPr>
      <w:spacing w:line="240" w:lineRule="exact"/>
    </w:pPr>
    <w:rPr>
      <w:vertAlign w:val="superscript"/>
    </w:rPr>
  </w:style>
  <w:style w:type="table" w:customStyle="1" w:styleId="Tablaconcuadrcula1">
    <w:name w:val="Tabla con cuadrícula1"/>
    <w:basedOn w:val="Tablanormal"/>
    <w:next w:val="Tablaconcuadrcula"/>
    <w:uiPriority w:val="39"/>
    <w:qFormat/>
    <w:rsid w:val="002C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0663488">
      <w:bodyDiv w:val="1"/>
      <w:marLeft w:val="0"/>
      <w:marRight w:val="0"/>
      <w:marTop w:val="0"/>
      <w:marBottom w:val="0"/>
      <w:divBdr>
        <w:top w:val="none" w:sz="0" w:space="0" w:color="auto"/>
        <w:left w:val="none" w:sz="0" w:space="0" w:color="auto"/>
        <w:bottom w:val="none" w:sz="0" w:space="0" w:color="auto"/>
        <w:right w:val="none" w:sz="0" w:space="0" w:color="auto"/>
      </w:divBdr>
      <w:divsChild>
        <w:div w:id="1040663240">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57927640">
      <w:bodyDiv w:val="1"/>
      <w:marLeft w:val="0"/>
      <w:marRight w:val="0"/>
      <w:marTop w:val="0"/>
      <w:marBottom w:val="0"/>
      <w:divBdr>
        <w:top w:val="none" w:sz="0" w:space="0" w:color="auto"/>
        <w:left w:val="none" w:sz="0" w:space="0" w:color="auto"/>
        <w:bottom w:val="none" w:sz="0" w:space="0" w:color="auto"/>
        <w:right w:val="none" w:sz="0" w:space="0" w:color="auto"/>
      </w:divBdr>
      <w:divsChild>
        <w:div w:id="1343632502">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ales320@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juan.avendano%40colombiacompra.gov.co%7C5aad36a736844ec87b2108dcc1fa4639%7C7b09041e245149d08cb179d5e3d8c1be%7C0%7C0%7C638598527916604462%7CUnknown%7CTWFpbGZsb3d8eyJWIjoiMC4wLjAwMDAiLCJQIjoiV2luMzIiLCJBTiI6Ik1haWwiLCJXVCI6Mn0%3D%7C0%7C%7C%7C&amp;sdata=jq1jLwonRP9llFhMUlyHK%2BS5mt6p83y32f9Zfmsp2uA%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7363&amp;data=05%7C02%7Cjuan.avendano%40colombiacompra.gov.co%7C5aad36a736844ec87b2108dcc1fa4639%7C7b09041e245149d08cb179d5e3d8c1be%7C0%7C0%7C638598527916597158%7CUnknown%7CTWFpbGZsb3d8eyJWIjoiMC4wLjAwMDAiLCJQIjoiV2luMzIiLCJBTiI6Ik1haWwiLCJXVCI6Mn0%3D%7C0%7C%7C%7C&amp;sdata=Lu4OCkvDj0HXdY25w51Ga0fTHZFMMkZee74C4d89X0Y%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C0672-83CC-4E5F-A4E6-5D40B6E5F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9d85dbaf-23eb-4e57-a637-93dcacc8b1a1"/>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3238</Words>
  <Characters>17811</Characters>
  <Application>Microsoft Office Word</Application>
  <DocSecurity>0</DocSecurity>
  <Lines>148</Lines>
  <Paragraphs>42</Paragraphs>
  <ScaleCrop>false</ScaleCrop>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2024-08-26T02:52:00Z</dcterms:created>
  <dcterms:modified xsi:type="dcterms:W3CDTF">2024-08-26T02:52:00Z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