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8608B" w14:textId="77777777" w:rsidR="006D7A39" w:rsidRDefault="006D7A39" w:rsidP="00E245AB">
      <w:pPr>
        <w:spacing w:after="0"/>
        <w:rPr>
          <w:rFonts w:ascii="Verdana" w:hAnsi="Verdana"/>
        </w:rPr>
      </w:pPr>
      <w:bookmarkStart w:id="0" w:name="_Hlk143780582"/>
    </w:p>
    <w:p w14:paraId="6F255330" w14:textId="77777777" w:rsidR="006D7A39" w:rsidRDefault="006D7A39" w:rsidP="00E245AB">
      <w:pPr>
        <w:spacing w:after="0"/>
        <w:rPr>
          <w:rFonts w:ascii="Verdana" w:hAnsi="Verdana"/>
        </w:rPr>
      </w:pPr>
    </w:p>
    <w:p w14:paraId="2F8D2661" w14:textId="77777777" w:rsidR="006D7A39" w:rsidRDefault="006D7A39" w:rsidP="00E245AB">
      <w:pPr>
        <w:spacing w:after="0"/>
        <w:rPr>
          <w:rFonts w:ascii="Verdana" w:hAnsi="Verdana"/>
        </w:rPr>
      </w:pPr>
    </w:p>
    <w:p w14:paraId="70581828" w14:textId="77777777" w:rsidR="006D7A39" w:rsidRPr="0067001B" w:rsidRDefault="006D7A39" w:rsidP="006D7A39">
      <w:pPr>
        <w:spacing w:after="0" w:line="240" w:lineRule="auto"/>
        <w:rPr>
          <w:rFonts w:ascii="Verdana" w:eastAsia="Times New Roman" w:hAnsi="Verdana" w:cs="Arial"/>
          <w:b/>
          <w:bCs/>
          <w:color w:val="000000"/>
          <w:lang w:val="es-ES" w:eastAsia="es-ES"/>
        </w:rPr>
      </w:pPr>
      <w:r w:rsidRPr="0067001B">
        <w:rPr>
          <w:rFonts w:ascii="Verdana" w:eastAsia="Times New Roman" w:hAnsi="Verdana" w:cs="Arial"/>
          <w:b/>
          <w:bCs/>
          <w:color w:val="000000"/>
          <w:lang w:val="es-ES" w:eastAsia="es-ES"/>
        </w:rPr>
        <w:t>DOCUMENTOS TIPO – Fundamento Normativo –Ley 2022 de 2020</w:t>
      </w:r>
    </w:p>
    <w:p w14:paraId="7EA396F6" w14:textId="77777777" w:rsidR="006D7A39" w:rsidRPr="0067001B" w:rsidRDefault="006D7A39" w:rsidP="006D7A39">
      <w:pPr>
        <w:spacing w:after="0" w:line="240" w:lineRule="auto"/>
        <w:rPr>
          <w:rFonts w:ascii="Verdana" w:eastAsia="Times New Roman" w:hAnsi="Verdana" w:cs="Arial"/>
          <w:b/>
          <w:bCs/>
          <w:color w:val="000000"/>
          <w:lang w:val="es-ES" w:eastAsia="es-ES"/>
        </w:rPr>
      </w:pPr>
    </w:p>
    <w:p w14:paraId="64E352E0" w14:textId="77777777" w:rsidR="006D7A39" w:rsidRDefault="006D7A39" w:rsidP="006D7A39">
      <w:pPr>
        <w:spacing w:after="0" w:line="276" w:lineRule="auto"/>
        <w:jc w:val="both"/>
        <w:rPr>
          <w:rFonts w:ascii="Verdana" w:eastAsia="Times New Roman" w:hAnsi="Verdana" w:cs="Arial"/>
          <w:color w:val="000000"/>
          <w:sz w:val="20"/>
          <w:szCs w:val="20"/>
          <w:lang w:val="es-ES"/>
        </w:rPr>
      </w:pPr>
      <w:r w:rsidRPr="0067001B">
        <w:rPr>
          <w:rFonts w:ascii="Verdana" w:eastAsia="Times New Roman" w:hAnsi="Verdana" w:cs="Arial"/>
          <w:color w:val="000000"/>
          <w:sz w:val="20"/>
          <w:szCs w:val="20"/>
          <w:lang w:val="es-ES"/>
        </w:rPr>
        <w:t>Los Documentos Tipo expedidos por esta Agencia en ejercicio de la potestad otorgada por la Ley 2022 de 2020 son de obligatoria observancia para las Entidades Estatales sometidas al Estatuto General de Contratación de la Administración Pública. Debido a esto tales entidades deben aplicar de manera forzosa los Documentos Tipo para desarrollar los Procesos de Contratación en los objetos y modalidades cobijadas por los Documentos Tipo. Para establecer si determinado objeto contractual se encuentra cobijado o no por los Documentos Tipo es necesario establecer si el mismo se enmarca en los tipos de infraestructura, modalidades de selección y tipos de obra estandarizadas en las respectivas matrices de experiencia. De esta manera solo resulta obligatoria la aplicación de un documento tipo en particular cuando se ha establecido que en el objeto contractual y la modalidad en la que debe contratarse están dentro del ámbito de aplicación de alguna de las resoluciones expedidas para la adopción de los Documentos Tipo vigentes.</w:t>
      </w:r>
    </w:p>
    <w:p w14:paraId="7FEF50C9" w14:textId="77777777" w:rsidR="006D7A39" w:rsidRDefault="006D7A39" w:rsidP="006D7A39">
      <w:pPr>
        <w:spacing w:after="0" w:line="276" w:lineRule="auto"/>
        <w:jc w:val="both"/>
        <w:rPr>
          <w:rFonts w:ascii="Verdana" w:eastAsia="Times New Roman" w:hAnsi="Verdana" w:cs="Arial"/>
          <w:color w:val="000000"/>
          <w:sz w:val="20"/>
          <w:szCs w:val="20"/>
          <w:lang w:val="es-ES"/>
        </w:rPr>
      </w:pPr>
    </w:p>
    <w:p w14:paraId="1AFB2110" w14:textId="77777777" w:rsidR="006D7A39" w:rsidRPr="002A358E" w:rsidRDefault="006D7A39" w:rsidP="006D7A39">
      <w:pPr>
        <w:spacing w:after="0" w:line="276" w:lineRule="auto"/>
        <w:jc w:val="both"/>
        <w:rPr>
          <w:rFonts w:ascii="Verdana" w:eastAsia="Times New Roman" w:hAnsi="Verdana" w:cs="Arial"/>
          <w:b/>
          <w:bCs/>
          <w:color w:val="000000"/>
          <w:sz w:val="20"/>
          <w:szCs w:val="20"/>
          <w:lang w:val="es-ES_tradnl"/>
        </w:rPr>
      </w:pPr>
      <w:r w:rsidRPr="002A358E">
        <w:rPr>
          <w:rFonts w:ascii="Verdana" w:eastAsia="Times New Roman" w:hAnsi="Verdana" w:cs="Arial"/>
          <w:b/>
          <w:bCs/>
          <w:color w:val="000000"/>
          <w:sz w:val="20"/>
          <w:szCs w:val="20"/>
          <w:lang w:val="es-ES_tradnl"/>
        </w:rPr>
        <w:t xml:space="preserve">DOCUMENTOS TIPO </w:t>
      </w:r>
      <w:r w:rsidRPr="002A358E">
        <w:rPr>
          <w:rFonts w:ascii="Verdana" w:eastAsia="Times New Roman" w:hAnsi="Verdana" w:cs="Arial"/>
          <w:b/>
          <w:color w:val="000000"/>
          <w:sz w:val="20"/>
          <w:szCs w:val="20"/>
        </w:rPr>
        <w:t>–</w:t>
      </w:r>
      <w:r w:rsidRPr="002A358E">
        <w:rPr>
          <w:rFonts w:ascii="Verdana" w:eastAsia="Times New Roman" w:hAnsi="Verdana" w:cs="Arial"/>
          <w:b/>
          <w:bCs/>
          <w:color w:val="000000"/>
          <w:sz w:val="20"/>
          <w:szCs w:val="20"/>
          <w:lang w:val="es-ES_tradnl"/>
        </w:rPr>
        <w:t xml:space="preserve"> Inalterabilidad </w:t>
      </w:r>
      <w:r w:rsidRPr="002A358E">
        <w:rPr>
          <w:rFonts w:ascii="Verdana" w:eastAsia="Times New Roman" w:hAnsi="Verdana" w:cs="Arial"/>
          <w:b/>
          <w:color w:val="000000"/>
          <w:sz w:val="20"/>
          <w:szCs w:val="20"/>
        </w:rPr>
        <w:t>–</w:t>
      </w:r>
      <w:r w:rsidRPr="002A358E">
        <w:rPr>
          <w:rFonts w:ascii="Verdana" w:eastAsia="Times New Roman" w:hAnsi="Verdana" w:cs="Arial"/>
          <w:b/>
          <w:bCs/>
          <w:color w:val="000000"/>
          <w:sz w:val="20"/>
          <w:szCs w:val="20"/>
          <w:lang w:val="es-ES_tradnl"/>
        </w:rPr>
        <w:t xml:space="preserve"> Configuración – Pliego de condiciones </w:t>
      </w:r>
      <w:r w:rsidRPr="002A358E">
        <w:rPr>
          <w:rFonts w:ascii="Verdana" w:eastAsia="Times New Roman" w:hAnsi="Verdana" w:cs="Arial"/>
          <w:b/>
          <w:color w:val="000000"/>
          <w:sz w:val="20"/>
          <w:szCs w:val="20"/>
        </w:rPr>
        <w:t>–</w:t>
      </w:r>
      <w:r w:rsidRPr="002A358E">
        <w:rPr>
          <w:rFonts w:ascii="Verdana" w:eastAsia="Times New Roman" w:hAnsi="Verdana" w:cs="Arial"/>
          <w:b/>
          <w:bCs/>
          <w:color w:val="000000"/>
          <w:sz w:val="20"/>
          <w:szCs w:val="20"/>
          <w:lang w:val="es-ES_tradnl"/>
        </w:rPr>
        <w:t xml:space="preserve"> Alcance</w:t>
      </w:r>
    </w:p>
    <w:p w14:paraId="2F3027F9" w14:textId="77777777" w:rsidR="006D7A39" w:rsidRPr="002A358E" w:rsidRDefault="006D7A39" w:rsidP="006D7A39">
      <w:pPr>
        <w:spacing w:after="0" w:line="276" w:lineRule="auto"/>
        <w:jc w:val="both"/>
        <w:rPr>
          <w:rFonts w:ascii="Verdana" w:eastAsia="Times New Roman" w:hAnsi="Verdana" w:cs="Arial"/>
          <w:b/>
          <w:bCs/>
          <w:color w:val="000000"/>
          <w:sz w:val="20"/>
          <w:szCs w:val="20"/>
          <w:lang w:val="es-ES_tradnl"/>
        </w:rPr>
      </w:pPr>
    </w:p>
    <w:p w14:paraId="657A4808" w14:textId="77777777" w:rsidR="006D7A39" w:rsidRPr="002A358E" w:rsidRDefault="006D7A39" w:rsidP="006D7A39">
      <w:pPr>
        <w:spacing w:after="0" w:line="276" w:lineRule="auto"/>
        <w:jc w:val="both"/>
        <w:rPr>
          <w:rFonts w:ascii="Verdana" w:eastAsia="Times New Roman" w:hAnsi="Verdana" w:cs="Arial"/>
          <w:color w:val="000000"/>
          <w:sz w:val="20"/>
          <w:szCs w:val="20"/>
        </w:rPr>
      </w:pPr>
      <w:r w:rsidRPr="002A358E">
        <w:rPr>
          <w:rFonts w:ascii="Verdana" w:eastAsia="Times New Roman" w:hAnsi="Verdana" w:cs="Arial"/>
          <w:color w:val="000000"/>
          <w:sz w:val="20"/>
          <w:szCs w:val="20"/>
        </w:rPr>
        <w:t xml:space="preserve">Los artículos 2.2.1.2.6.1.4 , 2.2.1.2.6.2.3  y 2.2.1.2.6.3.4  del Decreto 1082 de 2015 establecen la inalterabilidad de los documentos tipo para las modalidades de licitación pública, selección abreviada de menor cuantía y mínima cuantía,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que sean establecidas en los documentos que adopte el Gobierno Nacional, en ejercicio del mandato establecido en el artículo 4 de la Ley 1882 de 2018, modificado por la Ley 2022 de 2020, son de obligatorio cumplimiento e inalterables para las entidades sometidas al EGCAP que adelanten procesos que deban regirse por su contenido. Por tanto, no pueden variar los requisitos que en ellos sean fijados, ni establecer reglas o requisitos adicionales a los establecidos en los Documentos Tipo para la presentación de las ofertas y la acreditación de los requisitos habilitantes. </w:t>
      </w:r>
    </w:p>
    <w:p w14:paraId="1F2A4D2D" w14:textId="77777777" w:rsidR="006D7A39" w:rsidRPr="002A358E" w:rsidRDefault="006D7A39" w:rsidP="006D7A39">
      <w:pPr>
        <w:spacing w:after="0" w:line="276" w:lineRule="auto"/>
        <w:jc w:val="both"/>
        <w:rPr>
          <w:rFonts w:ascii="Verdana" w:eastAsia="Times New Roman" w:hAnsi="Verdana" w:cs="Arial"/>
          <w:color w:val="000000"/>
          <w:sz w:val="20"/>
          <w:szCs w:val="20"/>
        </w:rPr>
      </w:pPr>
      <w:r w:rsidRPr="002A358E">
        <w:rPr>
          <w:rFonts w:ascii="Verdana" w:eastAsia="Times New Roman" w:hAnsi="Verdana" w:cs="Arial"/>
          <w:color w:val="000000"/>
          <w:sz w:val="20"/>
          <w:szCs w:val="20"/>
        </w:rPr>
        <w:t xml:space="preserve">Esta prohibición la ratifica el artículo 2 de las resoluciones No.1798 de 2019, 044, 045 y 094 de 2020, por medio de las que se desarrollaron los documentos tipo para las referidas modalidades de selección, al disponer la inalterabilidad de los documentos tipo en los siguientes términos: “Las Entidades Estatales no pueden incluir condiciones o modificar las señaladas en los Documentos Tipo, a menos que expresamente se les faculte para hacerlo”. </w:t>
      </w:r>
    </w:p>
    <w:p w14:paraId="34DF6AE6" w14:textId="77777777" w:rsidR="006D7A39" w:rsidRPr="0067001B" w:rsidRDefault="006D7A39" w:rsidP="006D7A39">
      <w:pPr>
        <w:spacing w:after="0" w:line="276" w:lineRule="auto"/>
        <w:jc w:val="both"/>
        <w:rPr>
          <w:rFonts w:ascii="Verdana" w:eastAsia="Times New Roman" w:hAnsi="Verdana" w:cs="Arial"/>
          <w:color w:val="000000"/>
          <w:sz w:val="20"/>
          <w:szCs w:val="20"/>
        </w:rPr>
      </w:pPr>
    </w:p>
    <w:p w14:paraId="7A14D231" w14:textId="77777777" w:rsidR="006D7A39" w:rsidRDefault="006D7A39" w:rsidP="006D7A39">
      <w:pPr>
        <w:spacing w:after="0"/>
        <w:rPr>
          <w:rFonts w:ascii="Verdana" w:eastAsia="Calibri" w:hAnsi="Verdana" w:cs="Arial"/>
          <w:b/>
          <w:bCs/>
          <w:lang w:val="es-ES" w:eastAsia="es-ES"/>
        </w:rPr>
      </w:pPr>
    </w:p>
    <w:p w14:paraId="0BD09D70" w14:textId="67F416A7" w:rsidR="006D7A39" w:rsidRPr="002A358E" w:rsidRDefault="006D7A39" w:rsidP="006D7A39">
      <w:pPr>
        <w:spacing w:after="0"/>
        <w:jc w:val="both"/>
        <w:rPr>
          <w:rFonts w:ascii="Verdana" w:eastAsia="Times New Roman" w:hAnsi="Verdana" w:cs="Arial"/>
          <w:b/>
        </w:rPr>
      </w:pPr>
      <w:r w:rsidRPr="002A358E">
        <w:rPr>
          <w:rFonts w:ascii="Verdana" w:eastAsia="Times New Roman" w:hAnsi="Verdana" w:cs="Arial"/>
          <w:b/>
        </w:rPr>
        <w:t>DOCUMENTOS TIPO – Inalterabilidad – Información en corchetes y resaltado gris</w:t>
      </w:r>
    </w:p>
    <w:p w14:paraId="5D347A13" w14:textId="77777777" w:rsidR="006D7A39" w:rsidRPr="002A358E" w:rsidRDefault="006D7A39" w:rsidP="006D7A39">
      <w:pPr>
        <w:spacing w:after="0"/>
        <w:jc w:val="both"/>
        <w:rPr>
          <w:rFonts w:ascii="Verdana" w:eastAsia="Times New Roman" w:hAnsi="Verdana" w:cs="Arial"/>
          <w:sz w:val="20"/>
          <w:szCs w:val="20"/>
        </w:rPr>
      </w:pPr>
    </w:p>
    <w:p w14:paraId="413C0112" w14:textId="77777777" w:rsidR="006D7A39" w:rsidRPr="002A358E" w:rsidRDefault="006D7A39" w:rsidP="006D7A39">
      <w:pPr>
        <w:spacing w:after="120"/>
        <w:jc w:val="both"/>
        <w:rPr>
          <w:rFonts w:ascii="Verdana" w:eastAsia="Times New Roman" w:hAnsi="Verdana" w:cs="Arial"/>
          <w:bCs/>
          <w:sz w:val="20"/>
          <w:szCs w:val="20"/>
        </w:rPr>
      </w:pPr>
      <w:r w:rsidRPr="002A358E">
        <w:rPr>
          <w:rFonts w:ascii="Verdana" w:eastAsia="Times New Roman" w:hAnsi="Verdana" w:cs="Arial"/>
          <w:bCs/>
          <w:sz w:val="20"/>
          <w:szCs w:val="20"/>
        </w:rPr>
        <w:t>[…] la regla general frente la aplicación del “Documento Base” es su inalterabilidad, y no se podrán incluir o modificar en los documentos del proceso las condiciones habilitantes, los factores técnicos y económicos de escogencia y los sistemas de ponderación distintos a los señalados en los documentos tipo; salvo si el objeto contractual incluye bienes o servicios ajenos a la obra pública de infraestructura de transporte, caso en el que se podrá incluir experiencia adicional; y, además, cuando el pliego tipo de forma expresa lo incluya, es decir, en los aspectos incluidos en corchetes y resaltados en gris.</w:t>
      </w:r>
    </w:p>
    <w:p w14:paraId="3601E508" w14:textId="77777777" w:rsidR="006D7A39" w:rsidRPr="002A358E" w:rsidRDefault="006D7A39" w:rsidP="006D7A39">
      <w:pPr>
        <w:spacing w:after="0"/>
        <w:jc w:val="both"/>
        <w:rPr>
          <w:rFonts w:ascii="Verdana" w:eastAsia="Times New Roman" w:hAnsi="Verdana" w:cs="Arial"/>
          <w:bCs/>
          <w:sz w:val="20"/>
          <w:szCs w:val="20"/>
        </w:rPr>
      </w:pPr>
      <w:r w:rsidRPr="002A358E">
        <w:rPr>
          <w:rFonts w:ascii="Verdana" w:eastAsia="Times New Roman" w:hAnsi="Verdana" w:cs="Arial"/>
          <w:bCs/>
          <w:sz w:val="20"/>
          <w:szCs w:val="20"/>
        </w:rPr>
        <w:t xml:space="preserve">Este principio de inalterabilidad también es aplicable a los formatos y anexos implementados junto con el “Documento Base”, los cuales deben ser usados para desarrollar el procedimiento de contratación, con la finalidad de que los proponentes acrediten los diferentes requisitos establecidos para participar en el proceso de selección. Debe aclararse que los formatos y anexos, al igual que el “Documento Base”, contienen apartes entre corchetes y resaltados en gris, los cuales deben ser diligenciados por la entidad, al igual que otros aspectos relativos a información que debe ser completada por los oferentes al hacer uso de los formatos. </w:t>
      </w:r>
    </w:p>
    <w:p w14:paraId="01BC476A" w14:textId="77777777" w:rsidR="006D7A39" w:rsidRPr="002A358E" w:rsidRDefault="006D7A39" w:rsidP="006D7A39">
      <w:pPr>
        <w:spacing w:after="0"/>
        <w:rPr>
          <w:rFonts w:ascii="Verdana" w:eastAsia="Calibri" w:hAnsi="Verdana" w:cs="Arial"/>
          <w:b/>
          <w:bCs/>
          <w:lang w:eastAsia="es-ES"/>
        </w:rPr>
      </w:pPr>
    </w:p>
    <w:p w14:paraId="2F0C6960" w14:textId="77777777" w:rsidR="006D7A39" w:rsidRDefault="006D7A39" w:rsidP="006D7A39">
      <w:pPr>
        <w:spacing w:after="0"/>
        <w:rPr>
          <w:rFonts w:ascii="Verdana" w:eastAsia="Calibri" w:hAnsi="Verdana" w:cs="Arial"/>
          <w:b/>
          <w:bCs/>
          <w:lang w:val="es-ES" w:eastAsia="es-ES"/>
        </w:rPr>
      </w:pPr>
    </w:p>
    <w:p w14:paraId="0A3366BD" w14:textId="77777777" w:rsidR="006D7A39" w:rsidRDefault="006D7A39" w:rsidP="006D7A39">
      <w:pPr>
        <w:spacing w:after="0"/>
        <w:rPr>
          <w:rFonts w:ascii="Verdana" w:eastAsia="Calibri" w:hAnsi="Verdana" w:cs="Arial"/>
          <w:b/>
          <w:bCs/>
          <w:lang w:val="es-ES" w:eastAsia="es-ES"/>
        </w:rPr>
      </w:pPr>
    </w:p>
    <w:p w14:paraId="70F9297D" w14:textId="77777777" w:rsidR="006D7A39" w:rsidRDefault="006D7A39" w:rsidP="006D7A39">
      <w:pPr>
        <w:spacing w:after="0"/>
        <w:rPr>
          <w:rFonts w:ascii="Verdana" w:eastAsia="Calibri" w:hAnsi="Verdana" w:cs="Arial"/>
          <w:b/>
          <w:bCs/>
          <w:lang w:val="es-ES" w:eastAsia="es-ES"/>
        </w:rPr>
      </w:pPr>
    </w:p>
    <w:p w14:paraId="21B98F88" w14:textId="77777777" w:rsidR="006D7A39" w:rsidRDefault="006D7A39" w:rsidP="006D7A39">
      <w:pPr>
        <w:spacing w:after="0"/>
        <w:rPr>
          <w:rFonts w:ascii="Verdana" w:eastAsia="Calibri" w:hAnsi="Verdana" w:cs="Arial"/>
          <w:b/>
          <w:bCs/>
          <w:lang w:val="es-ES" w:eastAsia="es-ES"/>
        </w:rPr>
      </w:pPr>
    </w:p>
    <w:p w14:paraId="66C41644" w14:textId="77777777" w:rsidR="006D7A39" w:rsidRDefault="006D7A39" w:rsidP="006D7A39">
      <w:pPr>
        <w:spacing w:after="0"/>
        <w:rPr>
          <w:rFonts w:ascii="Verdana" w:eastAsia="Calibri" w:hAnsi="Verdana" w:cs="Arial"/>
          <w:b/>
          <w:bCs/>
          <w:lang w:val="es-ES" w:eastAsia="es-ES"/>
        </w:rPr>
      </w:pPr>
    </w:p>
    <w:p w14:paraId="0B9721F2" w14:textId="77777777" w:rsidR="006D7A39" w:rsidRDefault="006D7A39" w:rsidP="006D7A39">
      <w:pPr>
        <w:spacing w:after="0"/>
        <w:rPr>
          <w:rFonts w:ascii="Verdana" w:eastAsia="Calibri" w:hAnsi="Verdana" w:cs="Arial"/>
          <w:b/>
          <w:bCs/>
          <w:lang w:val="es-ES" w:eastAsia="es-ES"/>
        </w:rPr>
      </w:pPr>
    </w:p>
    <w:p w14:paraId="3FFE0254" w14:textId="77777777" w:rsidR="006D7A39" w:rsidRDefault="006D7A39" w:rsidP="006D7A39">
      <w:pPr>
        <w:spacing w:after="0"/>
        <w:rPr>
          <w:rFonts w:ascii="Verdana" w:eastAsia="Calibri" w:hAnsi="Verdana" w:cs="Arial"/>
          <w:b/>
          <w:bCs/>
          <w:lang w:val="es-ES" w:eastAsia="es-ES"/>
        </w:rPr>
      </w:pPr>
    </w:p>
    <w:p w14:paraId="0EAC19F3" w14:textId="77777777" w:rsidR="006D7A39" w:rsidRDefault="006D7A39" w:rsidP="006D7A39">
      <w:pPr>
        <w:spacing w:after="0"/>
        <w:rPr>
          <w:rFonts w:ascii="Verdana" w:eastAsia="Calibri" w:hAnsi="Verdana" w:cs="Arial"/>
          <w:b/>
          <w:bCs/>
          <w:lang w:val="es-ES" w:eastAsia="es-ES"/>
        </w:rPr>
      </w:pPr>
    </w:p>
    <w:p w14:paraId="7B6C330D" w14:textId="77777777" w:rsidR="006D7A39" w:rsidRDefault="006D7A39" w:rsidP="006D7A39">
      <w:pPr>
        <w:spacing w:after="0"/>
        <w:rPr>
          <w:rFonts w:ascii="Verdana" w:hAnsi="Verdana"/>
        </w:rPr>
      </w:pPr>
    </w:p>
    <w:p w14:paraId="00EF6746" w14:textId="77777777" w:rsidR="006D7A39" w:rsidRDefault="006D7A39" w:rsidP="006D7A39">
      <w:pPr>
        <w:spacing w:after="0"/>
        <w:rPr>
          <w:rFonts w:ascii="Verdana" w:hAnsi="Verdana"/>
        </w:rPr>
      </w:pPr>
    </w:p>
    <w:p w14:paraId="7B598B1E" w14:textId="77777777" w:rsidR="006D7A39" w:rsidRDefault="006D7A39" w:rsidP="006D7A39">
      <w:pPr>
        <w:spacing w:after="0"/>
        <w:rPr>
          <w:rFonts w:ascii="Verdana" w:hAnsi="Verdana"/>
        </w:rPr>
      </w:pPr>
    </w:p>
    <w:p w14:paraId="353B01ED" w14:textId="77777777" w:rsidR="006D7A39" w:rsidRDefault="006D7A39" w:rsidP="006D7A39">
      <w:pPr>
        <w:spacing w:after="0"/>
        <w:rPr>
          <w:rFonts w:ascii="Verdana" w:hAnsi="Verdana"/>
        </w:rPr>
      </w:pPr>
    </w:p>
    <w:p w14:paraId="33C5A210" w14:textId="77777777" w:rsidR="006D7A39" w:rsidRDefault="006D7A39" w:rsidP="006D7A39">
      <w:pPr>
        <w:spacing w:after="0"/>
        <w:rPr>
          <w:rFonts w:ascii="Verdana" w:hAnsi="Verdana"/>
        </w:rPr>
      </w:pPr>
    </w:p>
    <w:p w14:paraId="3FE705CC" w14:textId="77777777" w:rsidR="006D7A39" w:rsidRDefault="006D7A39" w:rsidP="006D7A39">
      <w:pPr>
        <w:spacing w:after="0"/>
        <w:rPr>
          <w:rFonts w:ascii="Verdana" w:hAnsi="Verdana"/>
        </w:rPr>
      </w:pPr>
    </w:p>
    <w:p w14:paraId="1CD62F9D" w14:textId="77777777" w:rsidR="006D7A39" w:rsidRDefault="006D7A39" w:rsidP="006D7A39">
      <w:pPr>
        <w:spacing w:after="0"/>
        <w:rPr>
          <w:rFonts w:ascii="Verdana" w:hAnsi="Verdana"/>
        </w:rPr>
      </w:pPr>
    </w:p>
    <w:p w14:paraId="5FED5EF8" w14:textId="77777777" w:rsidR="006D7A39" w:rsidRDefault="006D7A39" w:rsidP="006D7A39">
      <w:pPr>
        <w:spacing w:after="0"/>
        <w:rPr>
          <w:rFonts w:ascii="Verdana" w:hAnsi="Verdana"/>
        </w:rPr>
      </w:pPr>
    </w:p>
    <w:p w14:paraId="30612E21" w14:textId="77777777" w:rsidR="006D7A39" w:rsidRDefault="006D7A39" w:rsidP="006D7A39">
      <w:pPr>
        <w:spacing w:after="0"/>
        <w:rPr>
          <w:rFonts w:ascii="Verdana" w:hAnsi="Verdana"/>
        </w:rPr>
      </w:pPr>
    </w:p>
    <w:p w14:paraId="1B338042" w14:textId="77777777" w:rsidR="006D7A39" w:rsidRDefault="006D7A39" w:rsidP="006D7A39">
      <w:pPr>
        <w:spacing w:after="0"/>
        <w:rPr>
          <w:rFonts w:ascii="Verdana" w:hAnsi="Verdana"/>
        </w:rPr>
      </w:pPr>
    </w:p>
    <w:p w14:paraId="21CC1668" w14:textId="77777777" w:rsidR="006D7A39" w:rsidRDefault="006D7A39" w:rsidP="006D7A39">
      <w:pPr>
        <w:spacing w:after="0"/>
        <w:rPr>
          <w:rFonts w:ascii="Verdana" w:hAnsi="Verdana"/>
        </w:rPr>
      </w:pPr>
    </w:p>
    <w:p w14:paraId="2D8450A0" w14:textId="77777777" w:rsidR="006D7A39" w:rsidRDefault="006D7A39" w:rsidP="006D7A39">
      <w:pPr>
        <w:spacing w:after="0"/>
        <w:rPr>
          <w:rFonts w:ascii="Verdana" w:hAnsi="Verdana"/>
        </w:rPr>
      </w:pPr>
    </w:p>
    <w:p w14:paraId="4815D07C" w14:textId="77777777" w:rsidR="006D7A39" w:rsidRDefault="006D7A39" w:rsidP="006D7A39">
      <w:pPr>
        <w:spacing w:after="0"/>
        <w:rPr>
          <w:rFonts w:ascii="Verdana" w:hAnsi="Verdana"/>
        </w:rPr>
      </w:pPr>
    </w:p>
    <w:p w14:paraId="07EBEE08" w14:textId="77777777" w:rsidR="006D7A39" w:rsidRDefault="006D7A39" w:rsidP="006D7A39">
      <w:pPr>
        <w:spacing w:after="0"/>
        <w:rPr>
          <w:rFonts w:ascii="Verdana" w:hAnsi="Verdana"/>
        </w:rPr>
      </w:pPr>
    </w:p>
    <w:p w14:paraId="0117593D" w14:textId="77777777" w:rsidR="006D7A39" w:rsidRDefault="006D7A39" w:rsidP="006D7A39">
      <w:pPr>
        <w:spacing w:after="0"/>
        <w:rPr>
          <w:rFonts w:ascii="Verdana" w:hAnsi="Verdana"/>
        </w:rPr>
      </w:pPr>
    </w:p>
    <w:p w14:paraId="77C732B4" w14:textId="77777777" w:rsidR="006D7A39" w:rsidRDefault="006D7A39" w:rsidP="006D7A39">
      <w:pPr>
        <w:spacing w:after="0"/>
        <w:rPr>
          <w:rFonts w:ascii="Verdana" w:hAnsi="Verdana"/>
        </w:rPr>
      </w:pPr>
    </w:p>
    <w:p w14:paraId="2FF1106A" w14:textId="77777777" w:rsidR="006D7A39" w:rsidRPr="0044528D" w:rsidRDefault="006D7A39" w:rsidP="006D7A39">
      <w:pPr>
        <w:spacing w:after="0"/>
        <w:rPr>
          <w:rFonts w:ascii="Verdana" w:hAnsi="Verdana"/>
        </w:rPr>
      </w:pPr>
      <w:r w:rsidRPr="0044528D">
        <w:rPr>
          <w:rFonts w:ascii="Verdana" w:hAnsi="Verdana"/>
        </w:rPr>
        <w:t>Bogotá D.C., [Día] [</w:t>
      </w:r>
      <w:proofErr w:type="spellStart"/>
      <w:r w:rsidRPr="0044528D">
        <w:rPr>
          <w:rFonts w:ascii="Verdana" w:hAnsi="Verdana"/>
        </w:rPr>
        <w:t>Mes</w:t>
      </w:r>
      <w:r>
        <w:rPr>
          <w:rFonts w:ascii="Verdana" w:hAnsi="Verdana"/>
        </w:rPr>
        <w:t>.</w:t>
      </w:r>
      <w:r w:rsidRPr="0044528D">
        <w:rPr>
          <w:rFonts w:ascii="Verdana" w:hAnsi="Verdana"/>
        </w:rPr>
        <w:t>NombreCapitalizado</w:t>
      </w:r>
      <w:proofErr w:type="spellEnd"/>
      <w:r w:rsidRPr="0044528D">
        <w:rPr>
          <w:rFonts w:ascii="Verdana" w:hAnsi="Verdana"/>
        </w:rPr>
        <w:t>] [Año]</w:t>
      </w:r>
      <w:r w:rsidRPr="0044528D">
        <w:rPr>
          <w:rFonts w:ascii="Verdana" w:hAnsi="Verdana"/>
        </w:rPr>
        <w:tab/>
      </w:r>
    </w:p>
    <w:p w14:paraId="4E0F7C9D" w14:textId="77777777" w:rsidR="006D7A39" w:rsidRPr="0044528D" w:rsidRDefault="006D7A39" w:rsidP="006D7A39">
      <w:pPr>
        <w:spacing w:after="0"/>
        <w:rPr>
          <w:rFonts w:ascii="Verdana" w:hAnsi="Verdana"/>
        </w:rPr>
      </w:pPr>
    </w:p>
    <w:p w14:paraId="432C5F2A" w14:textId="12A6F69A" w:rsidR="006D7A39" w:rsidRDefault="001F7FB7" w:rsidP="001F7FB7">
      <w:pPr>
        <w:spacing w:after="0"/>
        <w:jc w:val="right"/>
        <w:rPr>
          <w:rFonts w:ascii="Verdana" w:hAnsi="Verdana"/>
        </w:rPr>
      </w:pPr>
      <w:r w:rsidRPr="001F7FB7">
        <w:rPr>
          <w:rFonts w:ascii="Verdana" w:hAnsi="Verdana"/>
          <w:noProof/>
        </w:rPr>
        <w:drawing>
          <wp:inline distT="0" distB="0" distL="0" distR="0" wp14:anchorId="2A4F2A4B" wp14:editId="3556FEDB">
            <wp:extent cx="3314700" cy="981075"/>
            <wp:effectExtent l="0" t="0" r="0" b="9525"/>
            <wp:docPr id="36656936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569367" name="Imagen 1" descr="Texto&#10;&#10;Descripción generada automáticamente"/>
                    <pic:cNvPicPr/>
                  </pic:nvPicPr>
                  <pic:blipFill>
                    <a:blip r:embed="rId10"/>
                    <a:stretch>
                      <a:fillRect/>
                    </a:stretch>
                  </pic:blipFill>
                  <pic:spPr>
                    <a:xfrm>
                      <a:off x="0" y="0"/>
                      <a:ext cx="3314700" cy="981075"/>
                    </a:xfrm>
                    <a:prstGeom prst="rect">
                      <a:avLst/>
                    </a:prstGeom>
                  </pic:spPr>
                </pic:pic>
              </a:graphicData>
            </a:graphic>
          </wp:inline>
        </w:drawing>
      </w:r>
    </w:p>
    <w:p w14:paraId="184B96B7" w14:textId="77777777" w:rsidR="006D7A39" w:rsidRDefault="006D7A39" w:rsidP="006D7A39">
      <w:pPr>
        <w:spacing w:after="0" w:line="240" w:lineRule="auto"/>
        <w:jc w:val="both"/>
        <w:rPr>
          <w:rFonts w:ascii="Verdana" w:eastAsia="Calibri" w:hAnsi="Verdana" w:cs="Arial"/>
          <w:color w:val="000000"/>
          <w:lang w:val="es-ES"/>
        </w:rPr>
      </w:pPr>
      <w:r>
        <w:rPr>
          <w:rFonts w:ascii="Verdana" w:eastAsia="Calibri" w:hAnsi="Verdana" w:cs="Arial"/>
          <w:color w:val="000000"/>
          <w:lang w:val="es-ES"/>
        </w:rPr>
        <w:t>Señora</w:t>
      </w:r>
    </w:p>
    <w:p w14:paraId="26E1B6C2" w14:textId="77777777" w:rsidR="006D7A39" w:rsidRDefault="006D7A39" w:rsidP="006D7A39">
      <w:pPr>
        <w:spacing w:after="0" w:line="240" w:lineRule="auto"/>
        <w:jc w:val="both"/>
        <w:rPr>
          <w:rFonts w:ascii="Verdana" w:eastAsia="Calibri" w:hAnsi="Verdana" w:cs="Arial"/>
          <w:color w:val="000000"/>
          <w:lang w:val="es-ES"/>
        </w:rPr>
      </w:pPr>
      <w:r>
        <w:rPr>
          <w:rFonts w:ascii="Verdana" w:eastAsia="Calibri" w:hAnsi="Verdana" w:cs="Arial"/>
          <w:color w:val="000000"/>
          <w:lang w:val="es-ES"/>
        </w:rPr>
        <w:t>Nelcy Patricia Navarro Duque</w:t>
      </w:r>
    </w:p>
    <w:p w14:paraId="3C2D06DF" w14:textId="77777777" w:rsidR="006D7A39" w:rsidRDefault="00364AB0" w:rsidP="006D7A39">
      <w:pPr>
        <w:spacing w:after="0" w:line="240" w:lineRule="auto"/>
        <w:jc w:val="both"/>
        <w:rPr>
          <w:rFonts w:ascii="Verdana" w:eastAsia="Calibri" w:hAnsi="Verdana" w:cs="Arial"/>
          <w:color w:val="000000"/>
          <w:lang w:val="es-ES"/>
        </w:rPr>
      </w:pPr>
      <w:hyperlink r:id="rId11" w:history="1">
        <w:r w:rsidR="006D7A39" w:rsidRPr="00254EA4">
          <w:rPr>
            <w:rStyle w:val="Hipervnculo"/>
            <w:rFonts w:ascii="Verdana" w:eastAsia="Calibri" w:hAnsi="Verdana" w:cs="Arial"/>
            <w:lang w:val="es-ES"/>
          </w:rPr>
          <w:t>pnavarro@vivacseguridad.com</w:t>
        </w:r>
      </w:hyperlink>
      <w:r w:rsidR="006D7A39">
        <w:rPr>
          <w:rFonts w:ascii="Verdana" w:eastAsia="Calibri" w:hAnsi="Verdana" w:cs="Arial"/>
          <w:color w:val="000000"/>
          <w:lang w:val="es-ES"/>
        </w:rPr>
        <w:t xml:space="preserve">  </w:t>
      </w:r>
    </w:p>
    <w:p w14:paraId="266D5D0C" w14:textId="77777777" w:rsidR="006D7A39" w:rsidRDefault="006D7A39" w:rsidP="006D7A39">
      <w:pPr>
        <w:spacing w:after="0" w:line="240" w:lineRule="auto"/>
        <w:jc w:val="both"/>
        <w:rPr>
          <w:rFonts w:ascii="Verdana" w:eastAsia="Calibri" w:hAnsi="Verdana" w:cs="Arial"/>
          <w:color w:val="000000"/>
          <w:lang w:val="es-ES"/>
        </w:rPr>
      </w:pPr>
      <w:r>
        <w:rPr>
          <w:rFonts w:ascii="Verdana" w:eastAsia="Calibri" w:hAnsi="Verdana" w:cs="Arial"/>
          <w:color w:val="000000"/>
          <w:lang w:val="es-ES"/>
        </w:rPr>
        <w:t>Santa Marta, Magdalena</w:t>
      </w:r>
    </w:p>
    <w:p w14:paraId="4C976C80" w14:textId="77777777" w:rsidR="006D7A39" w:rsidRDefault="006D7A39" w:rsidP="006D7A39">
      <w:pPr>
        <w:spacing w:after="0" w:line="240" w:lineRule="auto"/>
        <w:jc w:val="both"/>
        <w:rPr>
          <w:rFonts w:ascii="Verdana" w:eastAsia="Calibri" w:hAnsi="Verdana" w:cs="Arial"/>
          <w:color w:val="000000"/>
          <w:lang w:val="es-ES"/>
        </w:rPr>
      </w:pPr>
    </w:p>
    <w:p w14:paraId="682A4DDA" w14:textId="77777777" w:rsidR="006D7A39" w:rsidRPr="00CE448E" w:rsidRDefault="006D7A39" w:rsidP="006D7A39">
      <w:pPr>
        <w:spacing w:after="0" w:line="240" w:lineRule="auto"/>
        <w:jc w:val="both"/>
        <w:rPr>
          <w:rFonts w:ascii="Verdana" w:eastAsia="Calibri" w:hAnsi="Verdana" w:cs="Arial"/>
          <w:b/>
          <w:bCs/>
          <w:color w:val="000000"/>
          <w:lang w:val="es-ES_tradnl" w:eastAsia="es-ES_tradnl"/>
        </w:rPr>
      </w:pPr>
    </w:p>
    <w:p w14:paraId="39F99EDB" w14:textId="77777777" w:rsidR="006D7A39" w:rsidRPr="00CE448E" w:rsidRDefault="006D7A39" w:rsidP="006D7A39">
      <w:pPr>
        <w:spacing w:after="0" w:line="240" w:lineRule="auto"/>
        <w:jc w:val="both"/>
        <w:rPr>
          <w:rFonts w:ascii="Verdana" w:eastAsia="Calibri" w:hAnsi="Verdana" w:cs="Arial"/>
          <w:b/>
          <w:bCs/>
          <w:color w:val="000000"/>
          <w:lang w:val="es-ES_tradnl" w:eastAsia="es-ES_tradnl"/>
        </w:rPr>
      </w:pPr>
    </w:p>
    <w:p w14:paraId="384FF84C" w14:textId="77777777" w:rsidR="006D7A39" w:rsidRPr="00CE448E" w:rsidRDefault="006D7A39" w:rsidP="006D7A39">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6521"/>
      </w:tblGrid>
      <w:tr w:rsidR="006D7A39" w:rsidRPr="00CE448E" w14:paraId="4B8A4ED1" w14:textId="77777777" w:rsidTr="007C5C0B">
        <w:trPr>
          <w:trHeight w:val="884"/>
        </w:trPr>
        <w:tc>
          <w:tcPr>
            <w:tcW w:w="2268" w:type="dxa"/>
          </w:tcPr>
          <w:p w14:paraId="6EF5530C" w14:textId="77777777" w:rsidR="006D7A39" w:rsidRPr="00CE448E" w:rsidRDefault="006D7A39" w:rsidP="00421CA8">
            <w:pPr>
              <w:jc w:val="both"/>
              <w:rPr>
                <w:rFonts w:ascii="Verdana" w:eastAsia="Calibri" w:hAnsi="Verdana" w:cs="Arial"/>
                <w:b/>
                <w:bCs/>
                <w:color w:val="7030A0"/>
                <w:lang w:val="es-ES_tradnl" w:eastAsia="es-ES_tradnl"/>
              </w:rPr>
            </w:pPr>
          </w:p>
        </w:tc>
        <w:tc>
          <w:tcPr>
            <w:tcW w:w="6521" w:type="dxa"/>
          </w:tcPr>
          <w:p w14:paraId="547FF296" w14:textId="77777777" w:rsidR="006D7A39" w:rsidRPr="00CE448E" w:rsidRDefault="006D7A39" w:rsidP="00421CA8">
            <w:pPr>
              <w:jc w:val="both"/>
              <w:rPr>
                <w:rFonts w:ascii="Verdana" w:eastAsia="Calibri" w:hAnsi="Verdana" w:cs="Arial"/>
                <w:b/>
                <w:bCs/>
                <w:lang w:val="es-ES" w:eastAsia="es-ES"/>
              </w:rPr>
            </w:pPr>
            <w:bookmarkStart w:id="1" w:name="_Hlk174094184"/>
            <w:r w:rsidRPr="00CE448E">
              <w:rPr>
                <w:rFonts w:ascii="Verdana" w:eastAsia="Calibri" w:hAnsi="Verdana" w:cs="Arial"/>
                <w:b/>
                <w:bCs/>
                <w:lang w:val="es-ES" w:eastAsia="es-ES"/>
              </w:rPr>
              <w:t>Concepto C- 2</w:t>
            </w:r>
            <w:r>
              <w:rPr>
                <w:rFonts w:ascii="Verdana" w:eastAsia="Calibri" w:hAnsi="Verdana" w:cs="Arial"/>
                <w:b/>
                <w:bCs/>
                <w:lang w:val="es-ES" w:eastAsia="es-ES"/>
              </w:rPr>
              <w:t>19</w:t>
            </w:r>
            <w:r w:rsidRPr="00CE448E">
              <w:rPr>
                <w:rFonts w:ascii="Verdana" w:eastAsia="Calibri" w:hAnsi="Verdana" w:cs="Arial"/>
                <w:b/>
                <w:bCs/>
                <w:lang w:val="es-ES" w:eastAsia="es-ES"/>
              </w:rPr>
              <w:t xml:space="preserve"> de 2024</w:t>
            </w:r>
            <w:bookmarkEnd w:id="1"/>
          </w:p>
        </w:tc>
      </w:tr>
      <w:tr w:rsidR="006D7A39" w:rsidRPr="00CE448E" w14:paraId="42F66785" w14:textId="77777777" w:rsidTr="007C5C0B">
        <w:trPr>
          <w:trHeight w:val="884"/>
        </w:trPr>
        <w:tc>
          <w:tcPr>
            <w:tcW w:w="2268" w:type="dxa"/>
          </w:tcPr>
          <w:p w14:paraId="13FE781A" w14:textId="77777777" w:rsidR="006D7A39" w:rsidRPr="00760DAC" w:rsidRDefault="006D7A39" w:rsidP="00421CA8">
            <w:pPr>
              <w:jc w:val="both"/>
              <w:rPr>
                <w:rFonts w:ascii="Verdana" w:eastAsia="Calibri" w:hAnsi="Verdana" w:cs="Arial"/>
                <w:color w:val="000000"/>
                <w:lang w:val="es-ES_tradnl" w:eastAsia="es-ES_tradnl"/>
              </w:rPr>
            </w:pPr>
            <w:r w:rsidRPr="00760DAC">
              <w:rPr>
                <w:rFonts w:ascii="Verdana" w:eastAsia="Calibri" w:hAnsi="Verdana" w:cs="Arial"/>
                <w:b/>
                <w:color w:val="000000"/>
                <w:lang w:val="es-ES_tradnl" w:eastAsia="es-ES_tradnl"/>
              </w:rPr>
              <w:t>Temas:</w:t>
            </w:r>
            <w:r w:rsidRPr="00760DAC">
              <w:rPr>
                <w:rFonts w:ascii="Verdana" w:eastAsia="Calibri" w:hAnsi="Verdana" w:cs="Arial"/>
                <w:color w:val="000000"/>
                <w:lang w:val="es-ES_tradnl" w:eastAsia="es-ES_tradnl"/>
              </w:rPr>
              <w:t xml:space="preserve">                   </w:t>
            </w:r>
          </w:p>
        </w:tc>
        <w:tc>
          <w:tcPr>
            <w:tcW w:w="6521" w:type="dxa"/>
          </w:tcPr>
          <w:p w14:paraId="24523E8F" w14:textId="55A9A004" w:rsidR="006D7A39" w:rsidRPr="00760DAC" w:rsidRDefault="006D7A39" w:rsidP="00421CA8">
            <w:pPr>
              <w:spacing w:line="276" w:lineRule="auto"/>
              <w:jc w:val="both"/>
              <w:rPr>
                <w:rFonts w:ascii="Verdana" w:eastAsia="Calibri" w:hAnsi="Verdana" w:cs="Arial"/>
                <w:lang w:val="es-ES" w:eastAsia="es-ES"/>
              </w:rPr>
            </w:pPr>
            <w:r w:rsidRPr="00760DAC">
              <w:rPr>
                <w:rFonts w:ascii="Verdana" w:eastAsia="Calibri" w:hAnsi="Verdana" w:cs="Arial"/>
                <w:lang w:val="es-ES" w:eastAsia="es-ES"/>
              </w:rPr>
              <w:t xml:space="preserve">DOCUMENTOS TIPO – Generalidades – Competencia / LEY 1882 DE 2018 - Inalterabilidad de los documentos tipo/ LEY 1150 DE 2007 / Competencia – Agencia Nacional de Contratación </w:t>
            </w:r>
            <w:r w:rsidR="00945417" w:rsidRPr="00760DAC">
              <w:rPr>
                <w:rFonts w:ascii="Verdana" w:eastAsia="Calibri" w:hAnsi="Verdana" w:cs="Arial"/>
                <w:lang w:val="es-ES" w:eastAsia="es-ES"/>
              </w:rPr>
              <w:t>Pública</w:t>
            </w:r>
            <w:r w:rsidRPr="00760DAC">
              <w:rPr>
                <w:rFonts w:ascii="Verdana" w:eastAsia="Calibri" w:hAnsi="Verdana" w:cs="Arial"/>
                <w:lang w:val="es-ES" w:eastAsia="es-ES"/>
              </w:rPr>
              <w:t xml:space="preserve"> / LEY 2022 DE 2020 – obligatoriedad</w:t>
            </w:r>
          </w:p>
          <w:p w14:paraId="0236C7DF" w14:textId="77777777" w:rsidR="006D7A39" w:rsidRPr="00760DAC" w:rsidRDefault="006D7A39" w:rsidP="006D7A39">
            <w:pPr>
              <w:pStyle w:val="Prrafodelista"/>
              <w:numPr>
                <w:ilvl w:val="0"/>
                <w:numId w:val="21"/>
              </w:numPr>
              <w:spacing w:line="276" w:lineRule="auto"/>
              <w:jc w:val="both"/>
              <w:rPr>
                <w:rFonts w:ascii="Verdana" w:eastAsia="Calibri" w:hAnsi="Verdana" w:cs="Arial"/>
                <w:lang w:eastAsia="es-ES"/>
              </w:rPr>
            </w:pPr>
            <w:r w:rsidRPr="00760DAC">
              <w:rPr>
                <w:rFonts w:ascii="Verdana" w:eastAsia="Calibri" w:hAnsi="Verdana" w:cs="Arial"/>
                <w:lang w:eastAsia="es-ES"/>
              </w:rPr>
              <w:t>EGCAP</w:t>
            </w:r>
          </w:p>
          <w:p w14:paraId="0A9E7A46" w14:textId="77777777" w:rsidR="006D7A39" w:rsidRPr="00760DAC" w:rsidRDefault="006D7A39" w:rsidP="00421CA8">
            <w:pPr>
              <w:spacing w:line="276" w:lineRule="auto"/>
              <w:jc w:val="both"/>
              <w:rPr>
                <w:rFonts w:ascii="Verdana" w:eastAsia="Calibri" w:hAnsi="Verdana" w:cs="Arial"/>
                <w:lang w:val="es-ES" w:eastAsia="es-ES"/>
              </w:rPr>
            </w:pPr>
          </w:p>
          <w:p w14:paraId="7CC5951D" w14:textId="77777777" w:rsidR="006D7A39" w:rsidRPr="00760DAC" w:rsidRDefault="006D7A39" w:rsidP="00421CA8">
            <w:pPr>
              <w:spacing w:line="276" w:lineRule="auto"/>
              <w:jc w:val="both"/>
              <w:rPr>
                <w:rFonts w:ascii="Verdana" w:eastAsia="Calibri" w:hAnsi="Verdana" w:cs="Arial"/>
                <w:lang w:val="es-ES" w:eastAsia="es-ES"/>
              </w:rPr>
            </w:pPr>
          </w:p>
        </w:tc>
      </w:tr>
      <w:tr w:rsidR="006D7A39" w:rsidRPr="00CE448E" w14:paraId="28390512" w14:textId="77777777" w:rsidTr="007C5C0B">
        <w:tc>
          <w:tcPr>
            <w:tcW w:w="2268" w:type="dxa"/>
          </w:tcPr>
          <w:p w14:paraId="01EE3CE6" w14:textId="77777777" w:rsidR="006D7A39" w:rsidRPr="00CE448E" w:rsidRDefault="006D7A39" w:rsidP="00421CA8">
            <w:pPr>
              <w:jc w:val="both"/>
              <w:rPr>
                <w:rFonts w:ascii="Verdana" w:eastAsia="Calibri" w:hAnsi="Verdana" w:cs="Arial"/>
                <w:b/>
                <w:lang w:val="es-ES_tradnl" w:eastAsia="es-ES_tradnl"/>
              </w:rPr>
            </w:pPr>
            <w:r w:rsidRPr="00CE448E">
              <w:rPr>
                <w:rFonts w:ascii="Verdana" w:eastAsia="Calibri" w:hAnsi="Verdana" w:cs="Arial"/>
                <w:b/>
                <w:lang w:val="es-ES_tradnl" w:eastAsia="es-ES_tradnl"/>
              </w:rPr>
              <w:t>Radicación:</w:t>
            </w:r>
            <w:r w:rsidRPr="00CE448E">
              <w:rPr>
                <w:rFonts w:ascii="Verdana" w:eastAsia="Calibri" w:hAnsi="Verdana" w:cs="Arial"/>
                <w:lang w:val="es-ES_tradnl" w:eastAsia="es-ES_tradnl"/>
              </w:rPr>
              <w:t xml:space="preserve">               </w:t>
            </w:r>
          </w:p>
        </w:tc>
        <w:tc>
          <w:tcPr>
            <w:tcW w:w="6521" w:type="dxa"/>
          </w:tcPr>
          <w:p w14:paraId="2BA30664" w14:textId="77777777" w:rsidR="006D7A39" w:rsidRPr="00CE448E" w:rsidRDefault="006D7A39" w:rsidP="00421CA8">
            <w:pPr>
              <w:jc w:val="both"/>
              <w:rPr>
                <w:rFonts w:ascii="Verdana" w:eastAsia="Calibri" w:hAnsi="Verdana" w:cs="Arial"/>
                <w:lang w:val="es-ES_tradnl" w:eastAsia="es-ES_tradnl"/>
              </w:rPr>
            </w:pPr>
            <w:r w:rsidRPr="00CE448E">
              <w:rPr>
                <w:rFonts w:ascii="Verdana" w:eastAsia="Calibri" w:hAnsi="Verdana" w:cs="Arial"/>
                <w:lang w:val="es-ES_tradnl" w:eastAsia="es-ES_tradnl"/>
              </w:rPr>
              <w:t xml:space="preserve">Respuesta a consulta con radicado No. </w:t>
            </w:r>
            <w:r>
              <w:rPr>
                <w:rFonts w:ascii="Verdana" w:eastAsia="Calibri" w:hAnsi="Verdana" w:cs="Arial"/>
                <w:lang w:val="es-ES_tradnl" w:eastAsia="es-ES_tradnl"/>
              </w:rPr>
              <w:t>P20240624006424</w:t>
            </w:r>
          </w:p>
        </w:tc>
      </w:tr>
    </w:tbl>
    <w:p w14:paraId="2E844CBF" w14:textId="77777777" w:rsidR="006D7A39" w:rsidRPr="00CE448E" w:rsidRDefault="006D7A39" w:rsidP="006D7A39">
      <w:pPr>
        <w:spacing w:after="0" w:line="240" w:lineRule="auto"/>
        <w:jc w:val="both"/>
        <w:rPr>
          <w:rFonts w:ascii="Verdana" w:eastAsia="Calibri" w:hAnsi="Verdana" w:cs="Arial"/>
          <w:lang w:val="es-ES_tradnl" w:eastAsia="es-ES_tradnl"/>
        </w:rPr>
      </w:pPr>
    </w:p>
    <w:p w14:paraId="2481009F" w14:textId="77777777" w:rsidR="006D7A39" w:rsidRPr="00CE448E" w:rsidRDefault="006D7A39" w:rsidP="006D7A39">
      <w:pPr>
        <w:spacing w:after="0" w:line="240" w:lineRule="auto"/>
        <w:jc w:val="both"/>
        <w:rPr>
          <w:rFonts w:ascii="Verdana" w:eastAsia="Calibri" w:hAnsi="Verdana" w:cs="Arial"/>
          <w:lang w:val="es-ES_tradnl" w:eastAsia="es-ES_tradnl"/>
        </w:rPr>
      </w:pPr>
    </w:p>
    <w:p w14:paraId="0401A750" w14:textId="77777777" w:rsidR="006D7A39" w:rsidRPr="00CE448E" w:rsidRDefault="006D7A39" w:rsidP="006D7A39">
      <w:pPr>
        <w:spacing w:after="0" w:line="240" w:lineRule="auto"/>
        <w:jc w:val="both"/>
        <w:rPr>
          <w:rFonts w:ascii="Verdana" w:eastAsia="Calibri" w:hAnsi="Verdana" w:cs="Arial"/>
          <w:color w:val="000000"/>
          <w:lang w:val="es-ES_tradnl" w:eastAsia="es-ES_tradnl"/>
        </w:rPr>
      </w:pPr>
    </w:p>
    <w:p w14:paraId="4E7C497B" w14:textId="77777777" w:rsidR="006D7A39" w:rsidRPr="00CE448E" w:rsidRDefault="006D7A39" w:rsidP="006D7A39">
      <w:pPr>
        <w:spacing w:after="0" w:line="276" w:lineRule="auto"/>
        <w:jc w:val="both"/>
        <w:rPr>
          <w:rFonts w:ascii="Verdana" w:eastAsia="Calibri" w:hAnsi="Verdana" w:cs="Arial"/>
          <w:color w:val="000000" w:themeColor="text1"/>
          <w:lang w:val="es-ES" w:eastAsia="es-ES"/>
        </w:rPr>
      </w:pPr>
      <w:r w:rsidRPr="00CE448E">
        <w:rPr>
          <w:rFonts w:ascii="Verdana" w:eastAsia="Calibri" w:hAnsi="Verdana" w:cs="Arial"/>
          <w:color w:val="000000" w:themeColor="text1"/>
          <w:lang w:val="es-ES" w:eastAsia="es-ES"/>
        </w:rPr>
        <w:t>Estimad</w:t>
      </w:r>
      <w:r>
        <w:rPr>
          <w:rFonts w:ascii="Verdana" w:eastAsia="Calibri" w:hAnsi="Verdana" w:cs="Arial"/>
          <w:color w:val="000000" w:themeColor="text1"/>
          <w:lang w:val="es-ES" w:eastAsia="es-ES"/>
        </w:rPr>
        <w:t>a señora Navarro</w:t>
      </w:r>
      <w:r w:rsidRPr="00CE448E">
        <w:rPr>
          <w:rFonts w:ascii="Verdana" w:eastAsia="Calibri" w:hAnsi="Verdana" w:cs="Arial"/>
          <w:color w:val="000000" w:themeColor="text1"/>
          <w:lang w:val="es-ES" w:eastAsia="es-ES"/>
        </w:rPr>
        <w:t xml:space="preserve">: </w:t>
      </w:r>
    </w:p>
    <w:p w14:paraId="111BCDFA" w14:textId="77777777" w:rsidR="006D7A39" w:rsidRPr="00CE448E" w:rsidRDefault="006D7A39" w:rsidP="006D7A39">
      <w:pPr>
        <w:tabs>
          <w:tab w:val="left" w:pos="3768"/>
        </w:tabs>
        <w:spacing w:after="0" w:line="276" w:lineRule="auto"/>
        <w:jc w:val="both"/>
        <w:rPr>
          <w:rFonts w:ascii="Verdana" w:eastAsia="Calibri" w:hAnsi="Verdana" w:cs="Arial"/>
          <w:color w:val="000000" w:themeColor="text1"/>
          <w:lang w:val="es-ES" w:eastAsia="es-ES"/>
        </w:rPr>
      </w:pPr>
      <w:r w:rsidRPr="00CE448E">
        <w:rPr>
          <w:rFonts w:ascii="Verdana" w:eastAsia="Calibri" w:hAnsi="Verdana" w:cs="Arial"/>
          <w:color w:val="000000" w:themeColor="text1"/>
          <w:lang w:val="es-ES" w:eastAsia="es-ES"/>
        </w:rPr>
        <w:tab/>
      </w:r>
    </w:p>
    <w:p w14:paraId="72B99E93" w14:textId="77777777" w:rsidR="006D7A39" w:rsidRDefault="006D7A39" w:rsidP="006D7A39">
      <w:pPr>
        <w:spacing w:after="0" w:line="276" w:lineRule="auto"/>
        <w:jc w:val="both"/>
        <w:rPr>
          <w:rFonts w:ascii="Verdana" w:eastAsia="Calibri" w:hAnsi="Verdana" w:cs="Arial"/>
          <w:color w:val="000000" w:themeColor="text1"/>
          <w:lang w:val="es-ES" w:eastAsia="es-ES"/>
        </w:rPr>
      </w:pPr>
      <w:r w:rsidRPr="00CE448E">
        <w:rPr>
          <w:rFonts w:ascii="Verdana" w:eastAsia="Calibri" w:hAnsi="Verdana" w:cs="Arial"/>
          <w:color w:val="000000" w:themeColor="text1"/>
          <w:lang w:val="es-ES" w:eastAsia="es-ES"/>
        </w:rPr>
        <w:t>En ejercicio de la competencia otorgada por los artículos 3, numeral 5º, y 11, numeral 8º, del Decreto Ley 4170 de 2011,</w:t>
      </w:r>
      <w:r w:rsidRPr="00CE448E">
        <w:rPr>
          <w:rFonts w:ascii="Verdana" w:eastAsia="Arial MT" w:hAnsi="Verdana" w:cs="Arial MT"/>
          <w:lang w:val="es-ES" w:eastAsia="es-ES"/>
        </w:rPr>
        <w:t xml:space="preserve"> </w:t>
      </w:r>
      <w:r w:rsidRPr="00CE448E">
        <w:rPr>
          <w:rFonts w:ascii="Verdana" w:hAnsi="Verdana" w:cs="Arial"/>
        </w:rPr>
        <w:t xml:space="preserve">así como lo establecido en el artículo 4 de la Resolución 1707 de 2018 expedida por esta Entidad, </w:t>
      </w:r>
      <w:r w:rsidRPr="00CE448E">
        <w:rPr>
          <w:rFonts w:ascii="Verdana" w:eastAsia="Calibri" w:hAnsi="Verdana" w:cs="Arial"/>
          <w:color w:val="000000" w:themeColor="text1"/>
          <w:lang w:val="es-ES" w:eastAsia="es-ES"/>
        </w:rPr>
        <w:t xml:space="preserve">la Agencia Nacional de Contratación Pública – Colombia Compra Eficiente– responde su solicitud de consulta de fecha 20 de junio de 2024, en la cual manifiesta lo siguiente: </w:t>
      </w:r>
    </w:p>
    <w:p w14:paraId="5605546D" w14:textId="77777777" w:rsidR="006D7A39" w:rsidRDefault="006D7A39" w:rsidP="006D7A39">
      <w:pPr>
        <w:spacing w:after="0" w:line="276" w:lineRule="auto"/>
        <w:jc w:val="both"/>
        <w:rPr>
          <w:rFonts w:ascii="Verdana" w:eastAsia="Calibri" w:hAnsi="Verdana" w:cs="Arial"/>
          <w:color w:val="000000" w:themeColor="text1"/>
          <w:lang w:val="es-ES" w:eastAsia="es-ES"/>
        </w:rPr>
      </w:pPr>
    </w:p>
    <w:p w14:paraId="2584D083" w14:textId="77777777" w:rsidR="006D7A39" w:rsidRDefault="006D7A39" w:rsidP="006D7A39">
      <w:pPr>
        <w:spacing w:after="0" w:line="276" w:lineRule="auto"/>
        <w:ind w:left="709" w:right="680"/>
        <w:jc w:val="both"/>
        <w:rPr>
          <w:rFonts w:ascii="Verdana" w:eastAsia="Calibri" w:hAnsi="Verdana" w:cs="Arial"/>
          <w:color w:val="000000" w:themeColor="text1"/>
          <w:sz w:val="20"/>
          <w:szCs w:val="20"/>
          <w:lang w:val="es-ES" w:eastAsia="es-ES"/>
        </w:rPr>
      </w:pPr>
      <w:r>
        <w:rPr>
          <w:rFonts w:ascii="Verdana" w:eastAsia="Calibri" w:hAnsi="Verdana" w:cs="Arial"/>
          <w:color w:val="000000" w:themeColor="text1"/>
          <w:sz w:val="20"/>
          <w:szCs w:val="20"/>
          <w:lang w:val="es-ES" w:eastAsia="es-ES"/>
        </w:rPr>
        <w:lastRenderedPageBreak/>
        <w:t>“1. ¿Colombia Compra Eficiente en Secop II posee documentos tipo para un pliego de condiciones definitivo cuyo objeto es la contratación del servicio de vigilancia y seguridad privada?</w:t>
      </w:r>
    </w:p>
    <w:p w14:paraId="733FEF2E" w14:textId="77777777" w:rsidR="006D7A39" w:rsidRDefault="006D7A39" w:rsidP="006D7A39">
      <w:pPr>
        <w:spacing w:after="0" w:line="276" w:lineRule="auto"/>
        <w:ind w:left="709" w:right="680"/>
        <w:jc w:val="both"/>
        <w:rPr>
          <w:rFonts w:ascii="Verdana" w:eastAsia="Calibri" w:hAnsi="Verdana" w:cs="Arial"/>
          <w:color w:val="000000" w:themeColor="text1"/>
          <w:sz w:val="20"/>
          <w:szCs w:val="20"/>
          <w:lang w:val="es-ES" w:eastAsia="es-ES"/>
        </w:rPr>
      </w:pPr>
      <w:r>
        <w:rPr>
          <w:rFonts w:ascii="Verdana" w:eastAsia="Calibri" w:hAnsi="Verdana" w:cs="Arial"/>
          <w:color w:val="000000" w:themeColor="text1"/>
          <w:sz w:val="20"/>
          <w:szCs w:val="20"/>
          <w:lang w:val="es-ES" w:eastAsia="es-ES"/>
        </w:rPr>
        <w:t>2. ¿Colombia Compra Eficiente en Secop II posee una guía o documento tipo mediante el cual la entidad estatal pueda elaborar o proyectar los pliegos definitivos en proceso de vigilancia y seguridad privada?</w:t>
      </w:r>
    </w:p>
    <w:p w14:paraId="76C79D63" w14:textId="77777777" w:rsidR="006D7A39" w:rsidRDefault="006D7A39" w:rsidP="006D7A39">
      <w:pPr>
        <w:spacing w:after="0" w:line="276" w:lineRule="auto"/>
        <w:ind w:left="709" w:right="680"/>
        <w:jc w:val="both"/>
        <w:rPr>
          <w:rFonts w:ascii="Verdana" w:eastAsia="Calibri" w:hAnsi="Verdana" w:cs="Arial"/>
          <w:color w:val="000000" w:themeColor="text1"/>
          <w:sz w:val="20"/>
          <w:szCs w:val="20"/>
          <w:lang w:val="es-ES" w:eastAsia="es-ES"/>
        </w:rPr>
      </w:pPr>
      <w:r>
        <w:rPr>
          <w:rFonts w:ascii="Verdana" w:eastAsia="Calibri" w:hAnsi="Verdana" w:cs="Arial"/>
          <w:color w:val="000000" w:themeColor="text1"/>
          <w:sz w:val="20"/>
          <w:szCs w:val="20"/>
          <w:lang w:val="es-ES" w:eastAsia="es-ES"/>
        </w:rPr>
        <w:t>3. ¿Qué norma establece los requisitos mínimos para que la entidad estructure los pliegos definitivos para un proceso de vigilancia y seguridad privada?</w:t>
      </w:r>
    </w:p>
    <w:p w14:paraId="62EDCB89" w14:textId="77777777" w:rsidR="006D7A39" w:rsidRDefault="006D7A39" w:rsidP="006D7A39">
      <w:pPr>
        <w:spacing w:after="0" w:line="276" w:lineRule="auto"/>
        <w:ind w:left="709" w:right="680"/>
        <w:jc w:val="both"/>
        <w:rPr>
          <w:rFonts w:ascii="Verdana" w:eastAsia="Calibri" w:hAnsi="Verdana" w:cs="Arial"/>
          <w:color w:val="000000" w:themeColor="text1"/>
          <w:sz w:val="20"/>
          <w:szCs w:val="20"/>
          <w:lang w:val="es-ES" w:eastAsia="es-ES"/>
        </w:rPr>
      </w:pPr>
    </w:p>
    <w:p w14:paraId="57A62840" w14:textId="77777777" w:rsidR="006D7A39" w:rsidRPr="0002336C" w:rsidRDefault="006D7A39" w:rsidP="006D7A39">
      <w:pPr>
        <w:spacing w:after="0" w:line="276" w:lineRule="auto"/>
        <w:ind w:left="709" w:right="680"/>
        <w:jc w:val="both"/>
        <w:rPr>
          <w:rFonts w:ascii="Verdana" w:eastAsia="Calibri" w:hAnsi="Verdana" w:cs="Arial"/>
          <w:color w:val="000000" w:themeColor="text1"/>
          <w:sz w:val="20"/>
          <w:szCs w:val="20"/>
          <w:lang w:val="es-ES" w:eastAsia="es-ES"/>
        </w:rPr>
      </w:pPr>
    </w:p>
    <w:p w14:paraId="1C630528" w14:textId="77777777" w:rsidR="006D7A39" w:rsidRPr="00CE448E" w:rsidRDefault="006D7A39" w:rsidP="006D7A39">
      <w:pPr>
        <w:tabs>
          <w:tab w:val="left" w:pos="142"/>
          <w:tab w:val="left" w:pos="284"/>
        </w:tabs>
        <w:spacing w:line="276" w:lineRule="auto"/>
        <w:contextualSpacing/>
        <w:jc w:val="both"/>
        <w:rPr>
          <w:rFonts w:ascii="Verdana" w:eastAsia="Century Gothic" w:hAnsi="Verdana" w:cs="Century Gothic"/>
          <w:b/>
          <w:bCs/>
          <w:lang w:val="es-ES"/>
        </w:rPr>
      </w:pPr>
    </w:p>
    <w:p w14:paraId="1DC98435" w14:textId="77777777" w:rsidR="006D7A39" w:rsidRPr="00CE448E" w:rsidRDefault="006D7A39" w:rsidP="006D7A39">
      <w:pPr>
        <w:spacing w:after="120" w:line="276" w:lineRule="auto"/>
        <w:ind w:firstLine="709"/>
        <w:jc w:val="both"/>
        <w:rPr>
          <w:rFonts w:ascii="Verdana" w:eastAsia="Calibri" w:hAnsi="Verdana" w:cs="Arial"/>
          <w:color w:val="000000"/>
          <w:szCs w:val="24"/>
          <w:lang w:val="es-ES_tradnl" w:eastAsia="es-ES_tradnl"/>
        </w:rPr>
      </w:pPr>
      <w:r w:rsidRPr="00CE448E">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CE448E">
        <w:rPr>
          <w:rFonts w:ascii="Verdana" w:eastAsia="Calibri" w:hAnsi="Verdana" w:cs="Arial"/>
          <w:color w:val="000000"/>
          <w:szCs w:val="24"/>
          <w:lang w:val="es-ES_tradnl" w:eastAsia="es-ES_tradnl"/>
        </w:rPr>
        <w:tab/>
      </w:r>
    </w:p>
    <w:p w14:paraId="56E1B354" w14:textId="77777777" w:rsidR="006D7A39" w:rsidRPr="00CE448E" w:rsidRDefault="006D7A39" w:rsidP="006D7A39">
      <w:pPr>
        <w:spacing w:after="0" w:line="276" w:lineRule="auto"/>
        <w:ind w:firstLine="709"/>
        <w:jc w:val="both"/>
        <w:rPr>
          <w:rFonts w:ascii="Verdana" w:eastAsia="Calibri" w:hAnsi="Verdana" w:cs="Arial"/>
          <w:color w:val="000000"/>
          <w:lang w:val="es-ES" w:eastAsia="es-ES"/>
        </w:rPr>
      </w:pPr>
      <w:r w:rsidRPr="00CE448E">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2BA981B2" w14:textId="77777777" w:rsidR="006D7A39" w:rsidRPr="00CE448E" w:rsidRDefault="006D7A39" w:rsidP="006D7A39">
      <w:pPr>
        <w:spacing w:after="0" w:line="276" w:lineRule="auto"/>
        <w:ind w:firstLine="709"/>
        <w:jc w:val="both"/>
        <w:rPr>
          <w:rFonts w:ascii="Verdana" w:eastAsia="Calibri" w:hAnsi="Verdana" w:cs="Arial"/>
          <w:color w:val="000000"/>
          <w:lang w:val="es-ES" w:eastAsia="es-ES"/>
        </w:rPr>
      </w:pPr>
    </w:p>
    <w:p w14:paraId="20E15DE3" w14:textId="77777777" w:rsidR="006D7A39" w:rsidRPr="00CE448E" w:rsidRDefault="006D7A39" w:rsidP="006D7A39">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CE448E">
        <w:rPr>
          <w:rFonts w:ascii="Verdana" w:eastAsia="Century Gothic" w:hAnsi="Verdana" w:cs="Century Gothic"/>
          <w:b/>
          <w:bCs/>
          <w:lang w:val="es-ES"/>
        </w:rPr>
        <w:t>Problema planteado:</w:t>
      </w:r>
    </w:p>
    <w:p w14:paraId="00DB873D" w14:textId="77777777" w:rsidR="006D7A39" w:rsidRPr="00CE448E" w:rsidRDefault="006D7A39" w:rsidP="006D7A39">
      <w:pPr>
        <w:tabs>
          <w:tab w:val="left" w:pos="426"/>
        </w:tabs>
        <w:spacing w:after="0" w:line="276" w:lineRule="auto"/>
        <w:jc w:val="both"/>
        <w:rPr>
          <w:rFonts w:ascii="Verdana" w:eastAsia="Century Gothic" w:hAnsi="Verdana" w:cs="Century Gothic"/>
          <w:lang w:val="es-ES"/>
        </w:rPr>
      </w:pPr>
    </w:p>
    <w:p w14:paraId="00DFE45D" w14:textId="77777777" w:rsidR="006D7A39" w:rsidRDefault="006D7A39" w:rsidP="006D7A39">
      <w:pPr>
        <w:spacing w:after="0" w:line="276" w:lineRule="auto"/>
        <w:jc w:val="both"/>
        <w:rPr>
          <w:rFonts w:ascii="Verdana" w:eastAsia="Century Gothic" w:hAnsi="Verdana" w:cs="Century Gothic"/>
        </w:rPr>
      </w:pPr>
      <w:r w:rsidRPr="00CE448E">
        <w:rPr>
          <w:rFonts w:ascii="Verdana" w:eastAsia="Century Gothic" w:hAnsi="Verdana" w:cs="Century Gothic"/>
        </w:rPr>
        <w:t xml:space="preserve">De acuerdo con el contenido de su solicitud, esta Agencia resolverá </w:t>
      </w:r>
      <w:r>
        <w:rPr>
          <w:rFonts w:ascii="Verdana" w:eastAsia="Century Gothic" w:hAnsi="Verdana" w:cs="Century Gothic"/>
        </w:rPr>
        <w:t>los siguientes</w:t>
      </w:r>
      <w:r w:rsidRPr="00CE448E">
        <w:rPr>
          <w:rFonts w:ascii="Verdana" w:eastAsia="Century Gothic" w:hAnsi="Verdana" w:cs="Century Gothic"/>
        </w:rPr>
        <w:t xml:space="preserve"> problema</w:t>
      </w:r>
      <w:r>
        <w:rPr>
          <w:rFonts w:ascii="Verdana" w:eastAsia="Century Gothic" w:hAnsi="Verdana" w:cs="Century Gothic"/>
        </w:rPr>
        <w:t>s</w:t>
      </w:r>
      <w:r w:rsidRPr="00CE448E">
        <w:rPr>
          <w:rFonts w:ascii="Verdana" w:eastAsia="Century Gothic" w:hAnsi="Verdana" w:cs="Century Gothic"/>
        </w:rPr>
        <w:t xml:space="preserve"> jurídico</w:t>
      </w:r>
      <w:r>
        <w:rPr>
          <w:rFonts w:ascii="Verdana" w:eastAsia="Century Gothic" w:hAnsi="Verdana" w:cs="Century Gothic"/>
        </w:rPr>
        <w:t>s</w:t>
      </w:r>
      <w:r w:rsidRPr="00CE448E">
        <w:rPr>
          <w:rFonts w:ascii="Verdana" w:eastAsia="Century Gothic" w:hAnsi="Verdana" w:cs="Century Gothic"/>
        </w:rPr>
        <w:t>: ¿</w:t>
      </w:r>
      <w:r>
        <w:rPr>
          <w:rFonts w:ascii="Verdana" w:eastAsia="Century Gothic" w:hAnsi="Verdana" w:cs="Century Gothic"/>
        </w:rPr>
        <w:t xml:space="preserve">La Agencia Nacional de Contratación Pública – Colombia Compra Eficiente ha expedido documentos tipo   que estandarice los requisitos técnicos y habilitantes para la contratación del servicio de vigilancia y seguridad privada?       </w:t>
      </w:r>
    </w:p>
    <w:p w14:paraId="284875EA" w14:textId="77777777" w:rsidR="006D7A39" w:rsidRDefault="006D7A39" w:rsidP="006D7A39">
      <w:pPr>
        <w:spacing w:after="0" w:line="276" w:lineRule="auto"/>
        <w:jc w:val="both"/>
        <w:rPr>
          <w:rFonts w:ascii="Verdana" w:eastAsia="Century Gothic" w:hAnsi="Verdana" w:cs="Century Gothic"/>
        </w:rPr>
      </w:pPr>
      <w:r>
        <w:rPr>
          <w:rFonts w:ascii="Verdana" w:eastAsia="Century Gothic" w:hAnsi="Verdana" w:cs="Century Gothic"/>
        </w:rPr>
        <w:t xml:space="preserve">¿La Agencia Nacional de Contratación Pública – Colombia Compra Eficiente ha expedido alguna guía la cual permita dirigir o encaminar a las entidades estatales </w:t>
      </w:r>
      <w:r>
        <w:rPr>
          <w:rFonts w:ascii="Verdana" w:eastAsia="Century Gothic" w:hAnsi="Verdana" w:cs="Century Gothic"/>
        </w:rPr>
        <w:lastRenderedPageBreak/>
        <w:t>para que puedan elaborar o proyectar los pliegos definitivos en un proceso de vigilancia y seguridad privada?</w:t>
      </w:r>
    </w:p>
    <w:p w14:paraId="7EE064D6" w14:textId="77777777" w:rsidR="006D7A39" w:rsidRDefault="006D7A39" w:rsidP="006D7A39">
      <w:pPr>
        <w:spacing w:after="0" w:line="276" w:lineRule="auto"/>
        <w:jc w:val="both"/>
        <w:rPr>
          <w:rFonts w:ascii="Verdana" w:eastAsia="Century Gothic" w:hAnsi="Verdana" w:cs="Century Gothic"/>
        </w:rPr>
      </w:pPr>
    </w:p>
    <w:p w14:paraId="01895A99" w14:textId="77777777" w:rsidR="006D7A39" w:rsidRDefault="006D7A39" w:rsidP="006D7A39">
      <w:pPr>
        <w:spacing w:after="0" w:line="276" w:lineRule="auto"/>
        <w:jc w:val="both"/>
        <w:rPr>
          <w:rFonts w:ascii="Verdana" w:eastAsia="Century Gothic" w:hAnsi="Verdana" w:cs="Century Gothic"/>
        </w:rPr>
      </w:pPr>
    </w:p>
    <w:p w14:paraId="0D654A38" w14:textId="77777777" w:rsidR="006D7A39" w:rsidRPr="00CE448E" w:rsidRDefault="006D7A39" w:rsidP="006D7A39">
      <w:pPr>
        <w:spacing w:after="0" w:line="276" w:lineRule="auto"/>
        <w:jc w:val="both"/>
        <w:rPr>
          <w:rFonts w:ascii="Verdana" w:eastAsia="Calibri" w:hAnsi="Verdana" w:cs="Arial"/>
          <w:color w:val="7030A0"/>
          <w:lang w:val="es-ES"/>
        </w:rPr>
      </w:pPr>
    </w:p>
    <w:p w14:paraId="01DD0763" w14:textId="77777777" w:rsidR="006D7A39" w:rsidRPr="00CE448E" w:rsidRDefault="006D7A39" w:rsidP="006D7A39">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CE448E">
        <w:rPr>
          <w:rFonts w:ascii="Verdana" w:eastAsia="Century Gothic" w:hAnsi="Verdana" w:cs="Century Gothic"/>
          <w:b/>
          <w:bCs/>
          <w:lang w:val="es-ES"/>
        </w:rPr>
        <w:t>Respuesta:</w:t>
      </w:r>
    </w:p>
    <w:p w14:paraId="1771130F" w14:textId="77777777" w:rsidR="006D7A39" w:rsidRPr="00CE448E" w:rsidRDefault="006D7A39" w:rsidP="006D7A39">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6D7A39" w:rsidRPr="00CE448E" w14:paraId="67F445F7" w14:textId="77777777" w:rsidTr="00421CA8">
        <w:tc>
          <w:tcPr>
            <w:tcW w:w="8828" w:type="dxa"/>
            <w:shd w:val="clear" w:color="auto" w:fill="auto"/>
          </w:tcPr>
          <w:p w14:paraId="67F4D71E" w14:textId="77777777" w:rsidR="006D7A39" w:rsidRDefault="006D7A39" w:rsidP="00421CA8">
            <w:pPr>
              <w:spacing w:line="276" w:lineRule="auto"/>
              <w:jc w:val="both"/>
              <w:rPr>
                <w:rFonts w:ascii="Verdana" w:eastAsia="Calibri" w:hAnsi="Verdana" w:cs="Arial"/>
                <w:lang w:val="es-ES"/>
              </w:rPr>
            </w:pPr>
            <w:r w:rsidRPr="00424F2D">
              <w:rPr>
                <w:rFonts w:ascii="Verdana" w:eastAsia="Calibri" w:hAnsi="Verdana" w:cs="Arial"/>
                <w:lang w:val="es-ES"/>
              </w:rPr>
              <w:t xml:space="preserve"> </w:t>
            </w:r>
            <w:r>
              <w:rPr>
                <w:rFonts w:ascii="Verdana" w:eastAsia="Calibri" w:hAnsi="Verdana" w:cs="Arial"/>
                <w:lang w:val="es-ES"/>
              </w:rPr>
              <w:t xml:space="preserve">Esta Agencia no ha expedido documentos tipo cuyo objeto especifico sea para procesos de contratación del servicio de vigilancia y seguridad privada; en el marco de su misionalidad se han expedido  documentos tipo los cuales incluyen requisitos habilitantes, factores técnicos, económicos y otros factores de escogencia, además, buscan incrementar la pluralidad de oferentes, simplificar los trámites de contratación estatal, reducir los tiempos de preparación de ofertas y de estructuración de los procesos. </w:t>
            </w:r>
          </w:p>
          <w:p w14:paraId="36ED76A0" w14:textId="77777777" w:rsidR="006D7A39" w:rsidRDefault="006D7A39" w:rsidP="00421CA8">
            <w:pPr>
              <w:spacing w:line="276" w:lineRule="auto"/>
              <w:jc w:val="both"/>
              <w:rPr>
                <w:rFonts w:ascii="Verdana" w:eastAsia="Calibri" w:hAnsi="Verdana" w:cs="Arial"/>
                <w:lang w:val="es-ES"/>
              </w:rPr>
            </w:pPr>
          </w:p>
          <w:p w14:paraId="4EEC9651" w14:textId="77777777" w:rsidR="006D7A39" w:rsidRDefault="006D7A39" w:rsidP="00421CA8">
            <w:pPr>
              <w:spacing w:line="276" w:lineRule="auto"/>
              <w:jc w:val="both"/>
              <w:rPr>
                <w:rFonts w:ascii="Verdana" w:eastAsia="Calibri" w:hAnsi="Verdana" w:cs="Arial"/>
                <w:lang w:val="es-ES"/>
              </w:rPr>
            </w:pPr>
            <w:r>
              <w:rPr>
                <w:rFonts w:ascii="Verdana" w:eastAsia="Calibri" w:hAnsi="Verdana" w:cs="Arial"/>
                <w:lang w:val="es-ES"/>
              </w:rPr>
              <w:t xml:space="preserve">Así mismo, es importante manifestar que no se han expedido guías que ayuden a dirigir o encaminar procesos contractuales en el sector de servicio de vigilancia y seguridad privada. </w:t>
            </w:r>
          </w:p>
          <w:p w14:paraId="654F721F" w14:textId="77777777" w:rsidR="006D7A39" w:rsidRDefault="006D7A39" w:rsidP="00421CA8">
            <w:pPr>
              <w:spacing w:line="276" w:lineRule="auto"/>
              <w:jc w:val="both"/>
              <w:rPr>
                <w:rFonts w:ascii="Verdana" w:eastAsia="Calibri" w:hAnsi="Verdana" w:cs="Arial"/>
                <w:color w:val="7030A0"/>
                <w:lang w:val="es-ES"/>
              </w:rPr>
            </w:pPr>
          </w:p>
          <w:p w14:paraId="33DA0127" w14:textId="77777777" w:rsidR="006D7A39" w:rsidRDefault="006D7A39" w:rsidP="00421CA8">
            <w:pPr>
              <w:spacing w:line="276" w:lineRule="auto"/>
              <w:jc w:val="both"/>
              <w:rPr>
                <w:rFonts w:ascii="Verdana" w:eastAsia="Calibri" w:hAnsi="Verdana" w:cs="Arial"/>
              </w:rPr>
            </w:pPr>
            <w:r w:rsidRPr="00E82B6C">
              <w:rPr>
                <w:rFonts w:ascii="Verdana" w:eastAsia="Calibri" w:hAnsi="Verdana" w:cs="Arial"/>
              </w:rPr>
              <w:t>Los documentos tipos que se han adoptado y se encuentran a disposición de los interesados son:</w:t>
            </w:r>
          </w:p>
          <w:p w14:paraId="4D6B129A" w14:textId="77777777" w:rsidR="006D7A39" w:rsidRPr="002538A0" w:rsidRDefault="006D7A39" w:rsidP="00421CA8">
            <w:pPr>
              <w:spacing w:line="276" w:lineRule="auto"/>
              <w:jc w:val="both"/>
              <w:rPr>
                <w:rFonts w:ascii="Century Gothic" w:eastAsia="Times New Roman" w:hAnsi="Century Gothic" w:cs="Arial"/>
                <w:b/>
                <w:bCs/>
              </w:rPr>
            </w:pPr>
          </w:p>
          <w:p w14:paraId="1FB58B31" w14:textId="77777777" w:rsidR="006D7A39" w:rsidRPr="002538A0" w:rsidRDefault="006D7A39" w:rsidP="006D7A39">
            <w:pPr>
              <w:numPr>
                <w:ilvl w:val="0"/>
                <w:numId w:val="19"/>
              </w:numPr>
              <w:spacing w:line="276" w:lineRule="auto"/>
              <w:contextualSpacing/>
              <w:jc w:val="both"/>
              <w:rPr>
                <w:rFonts w:ascii="Century Gothic" w:eastAsia="Times New Roman" w:hAnsi="Century Gothic" w:cs="Arial"/>
                <w:lang w:val="es-ES"/>
              </w:rPr>
            </w:pPr>
            <w:r w:rsidRPr="002538A0">
              <w:rPr>
                <w:rFonts w:ascii="Century Gothic" w:eastAsia="Times New Roman" w:hAnsi="Century Gothic" w:cs="Arial"/>
                <w:lang w:val="es-ES"/>
              </w:rPr>
              <w:t>Documentos tipo infraestructura de transporte.</w:t>
            </w:r>
          </w:p>
          <w:p w14:paraId="12A9AA33" w14:textId="77777777" w:rsidR="006D7A39" w:rsidRPr="002538A0" w:rsidRDefault="006D7A39" w:rsidP="006D7A39">
            <w:pPr>
              <w:numPr>
                <w:ilvl w:val="0"/>
                <w:numId w:val="20"/>
              </w:numPr>
              <w:spacing w:line="276" w:lineRule="auto"/>
              <w:ind w:left="1494"/>
              <w:contextualSpacing/>
              <w:rPr>
                <w:rFonts w:ascii="Century Gothic" w:eastAsia="Times New Roman" w:hAnsi="Century Gothic" w:cs="Arial"/>
                <w:lang w:val="es-ES"/>
              </w:rPr>
            </w:pPr>
            <w:r w:rsidRPr="002538A0">
              <w:rPr>
                <w:rFonts w:ascii="Century Gothic" w:eastAsia="Times New Roman" w:hAnsi="Century Gothic" w:cs="Arial"/>
                <w:lang w:val="es-ES"/>
              </w:rPr>
              <w:t>Documentos tipo de licitación de obra pública de infraestructura de transporte</w:t>
            </w:r>
          </w:p>
          <w:p w14:paraId="11F32060" w14:textId="77777777" w:rsidR="006D7A39" w:rsidRPr="002538A0" w:rsidRDefault="006D7A39" w:rsidP="006D7A39">
            <w:pPr>
              <w:numPr>
                <w:ilvl w:val="0"/>
                <w:numId w:val="20"/>
              </w:numPr>
              <w:spacing w:line="276" w:lineRule="auto"/>
              <w:ind w:left="1494"/>
              <w:contextualSpacing/>
              <w:rPr>
                <w:rFonts w:ascii="Century Gothic" w:eastAsia="Times New Roman" w:hAnsi="Century Gothic" w:cs="Arial"/>
                <w:lang w:val="es-ES"/>
              </w:rPr>
            </w:pPr>
            <w:r w:rsidRPr="002538A0">
              <w:rPr>
                <w:rFonts w:ascii="Century Gothic" w:eastAsia="Times New Roman" w:hAnsi="Century Gothic" w:cs="Arial"/>
                <w:lang w:val="es-ES"/>
              </w:rPr>
              <w:t>Documentos tipo de menor cuantía infraestructura de transporte</w:t>
            </w:r>
          </w:p>
          <w:p w14:paraId="372DBF0B" w14:textId="77777777" w:rsidR="006D7A39" w:rsidRPr="002538A0" w:rsidRDefault="006D7A39" w:rsidP="006D7A39">
            <w:pPr>
              <w:numPr>
                <w:ilvl w:val="0"/>
                <w:numId w:val="20"/>
              </w:numPr>
              <w:spacing w:line="276" w:lineRule="auto"/>
              <w:ind w:left="1494"/>
              <w:contextualSpacing/>
              <w:rPr>
                <w:rFonts w:ascii="Century Gothic" w:eastAsia="Times New Roman" w:hAnsi="Century Gothic" w:cs="Arial"/>
                <w:lang w:val="es-ES"/>
              </w:rPr>
            </w:pPr>
            <w:r w:rsidRPr="002538A0">
              <w:rPr>
                <w:rFonts w:ascii="Century Gothic" w:eastAsia="Times New Roman" w:hAnsi="Century Gothic" w:cs="Arial"/>
                <w:lang w:val="es-ES"/>
              </w:rPr>
              <w:t>Documentos tipo para procesos de mínima cuantía para infraestructura de transporte</w:t>
            </w:r>
          </w:p>
          <w:p w14:paraId="7106DD5D" w14:textId="77777777" w:rsidR="006D7A39" w:rsidRPr="002538A0" w:rsidRDefault="006D7A39" w:rsidP="006D7A39">
            <w:pPr>
              <w:numPr>
                <w:ilvl w:val="0"/>
                <w:numId w:val="20"/>
              </w:numPr>
              <w:spacing w:line="276" w:lineRule="auto"/>
              <w:ind w:left="1494"/>
              <w:contextualSpacing/>
              <w:rPr>
                <w:rFonts w:ascii="Century Gothic" w:eastAsia="Times New Roman" w:hAnsi="Century Gothic" w:cs="Arial"/>
                <w:lang w:val="pt-BR"/>
              </w:rPr>
            </w:pPr>
            <w:r w:rsidRPr="002538A0">
              <w:rPr>
                <w:rFonts w:ascii="Century Gothic" w:eastAsia="Times New Roman" w:hAnsi="Century Gothic" w:cs="Arial"/>
                <w:lang w:val="pt-BR"/>
              </w:rPr>
              <w:t>Documentos tipo de interventoria de obra pública de infraestrutura de transporte</w:t>
            </w:r>
          </w:p>
          <w:p w14:paraId="2F6726DB" w14:textId="77777777" w:rsidR="006D7A39" w:rsidRPr="002538A0" w:rsidRDefault="006D7A39" w:rsidP="006D7A39">
            <w:pPr>
              <w:numPr>
                <w:ilvl w:val="0"/>
                <w:numId w:val="20"/>
              </w:numPr>
              <w:spacing w:line="276" w:lineRule="auto"/>
              <w:ind w:left="1494"/>
              <w:contextualSpacing/>
              <w:rPr>
                <w:rFonts w:ascii="Century Gothic" w:eastAsia="Times New Roman" w:hAnsi="Century Gothic" w:cs="Arial"/>
                <w:lang w:val="pt-BR"/>
              </w:rPr>
            </w:pPr>
            <w:r w:rsidRPr="002538A0">
              <w:rPr>
                <w:rFonts w:ascii="Century Gothic" w:eastAsia="Times New Roman" w:hAnsi="Century Gothic" w:cs="Arial"/>
                <w:lang w:val="pt-BR"/>
              </w:rPr>
              <w:t>Documentos tipo de consultoria de estúdios de ingeniería de infraestrutura de Transporte</w:t>
            </w:r>
          </w:p>
          <w:p w14:paraId="234A72F5" w14:textId="77777777" w:rsidR="006D7A39" w:rsidRPr="002538A0" w:rsidRDefault="006D7A39" w:rsidP="00421CA8">
            <w:pPr>
              <w:spacing w:line="276" w:lineRule="auto"/>
              <w:ind w:left="1494"/>
              <w:contextualSpacing/>
              <w:rPr>
                <w:rFonts w:ascii="Century Gothic" w:eastAsia="Times New Roman" w:hAnsi="Century Gothic" w:cs="Arial"/>
                <w:lang w:val="pt-BR"/>
              </w:rPr>
            </w:pPr>
          </w:p>
          <w:p w14:paraId="7A28DAD8" w14:textId="77777777" w:rsidR="006D7A39" w:rsidRPr="002538A0" w:rsidRDefault="006D7A39" w:rsidP="006D7A39">
            <w:pPr>
              <w:numPr>
                <w:ilvl w:val="0"/>
                <w:numId w:val="19"/>
              </w:numPr>
              <w:spacing w:line="276" w:lineRule="auto"/>
              <w:contextualSpacing/>
              <w:rPr>
                <w:rFonts w:ascii="Century Gothic" w:eastAsia="Times New Roman" w:hAnsi="Century Gothic" w:cs="Arial"/>
                <w:lang w:val="es-ES"/>
              </w:rPr>
            </w:pPr>
            <w:r w:rsidRPr="002538A0">
              <w:rPr>
                <w:rFonts w:ascii="Century Gothic" w:eastAsia="Times New Roman" w:hAnsi="Century Gothic" w:cs="Arial"/>
              </w:rPr>
              <w:t xml:space="preserve"> Documento tipo de infraestructura de agua </w:t>
            </w:r>
            <w:proofErr w:type="spellStart"/>
            <w:r w:rsidRPr="002538A0">
              <w:rPr>
                <w:rFonts w:ascii="Century Gothic" w:eastAsia="Times New Roman" w:hAnsi="Century Gothic" w:cs="Arial"/>
              </w:rPr>
              <w:t>potabl</w:t>
            </w:r>
            <w:r w:rsidRPr="002538A0">
              <w:rPr>
                <w:rFonts w:ascii="Century Gothic" w:eastAsia="Times New Roman" w:hAnsi="Century Gothic" w:cs="Arial"/>
                <w:lang w:val="es-ES"/>
              </w:rPr>
              <w:t>e</w:t>
            </w:r>
            <w:proofErr w:type="spellEnd"/>
            <w:r w:rsidRPr="002538A0">
              <w:rPr>
                <w:rFonts w:ascii="Century Gothic" w:eastAsia="Times New Roman" w:hAnsi="Century Gothic" w:cs="Arial"/>
                <w:lang w:val="es-ES"/>
              </w:rPr>
              <w:t xml:space="preserve"> y saneamiento básico. </w:t>
            </w:r>
          </w:p>
          <w:p w14:paraId="0C60995E" w14:textId="77777777" w:rsidR="006D7A39" w:rsidRPr="002538A0" w:rsidRDefault="006D7A39" w:rsidP="006D7A39">
            <w:pPr>
              <w:numPr>
                <w:ilvl w:val="0"/>
                <w:numId w:val="20"/>
              </w:numPr>
              <w:spacing w:line="276" w:lineRule="auto"/>
              <w:ind w:left="1494"/>
              <w:contextualSpacing/>
              <w:rPr>
                <w:rFonts w:ascii="Century Gothic" w:eastAsia="Times New Roman" w:hAnsi="Century Gothic" w:cs="Arial"/>
                <w:lang w:val="es-ES"/>
              </w:rPr>
            </w:pPr>
            <w:r w:rsidRPr="002538A0">
              <w:rPr>
                <w:rFonts w:ascii="Century Gothic" w:eastAsia="Times New Roman" w:hAnsi="Century Gothic" w:cs="Arial"/>
                <w:lang w:val="es-ES"/>
              </w:rPr>
              <w:t>Documentos tipo para los procesos de licitación para obras de infraestructura de agua potable y saneamiento básico</w:t>
            </w:r>
          </w:p>
          <w:p w14:paraId="70E8593A" w14:textId="77777777" w:rsidR="006D7A39" w:rsidRPr="002538A0" w:rsidRDefault="006D7A39" w:rsidP="006D7A39">
            <w:pPr>
              <w:numPr>
                <w:ilvl w:val="0"/>
                <w:numId w:val="20"/>
              </w:numPr>
              <w:spacing w:line="276" w:lineRule="auto"/>
              <w:ind w:left="1494"/>
              <w:contextualSpacing/>
              <w:rPr>
                <w:rFonts w:ascii="Century Gothic" w:eastAsia="Times New Roman" w:hAnsi="Century Gothic" w:cs="Arial"/>
                <w:lang w:val="es-ES"/>
              </w:rPr>
            </w:pPr>
            <w:r w:rsidRPr="002538A0">
              <w:rPr>
                <w:rFonts w:ascii="Century Gothic" w:eastAsia="Times New Roman" w:hAnsi="Century Gothic" w:cs="Arial"/>
                <w:lang w:val="es-ES"/>
              </w:rPr>
              <w:lastRenderedPageBreak/>
              <w:t xml:space="preserve">Documentos tipo para los procesos de licitación para obras de infraestructura de agua potable y saneamiento básico en la modalidad de llave en mano </w:t>
            </w:r>
          </w:p>
          <w:p w14:paraId="1CB3FB1C" w14:textId="77777777" w:rsidR="006D7A39" w:rsidRPr="002538A0" w:rsidRDefault="006D7A39" w:rsidP="006D7A39">
            <w:pPr>
              <w:numPr>
                <w:ilvl w:val="0"/>
                <w:numId w:val="20"/>
              </w:numPr>
              <w:spacing w:line="276" w:lineRule="auto"/>
              <w:ind w:left="1494"/>
              <w:contextualSpacing/>
              <w:rPr>
                <w:rFonts w:ascii="Century Gothic" w:eastAsia="Times New Roman" w:hAnsi="Century Gothic" w:cs="Arial"/>
                <w:lang w:val="es-ES"/>
              </w:rPr>
            </w:pPr>
            <w:r w:rsidRPr="002538A0">
              <w:rPr>
                <w:rFonts w:ascii="Century Gothic" w:eastAsia="Times New Roman" w:hAnsi="Century Gothic" w:cs="Arial"/>
                <w:lang w:val="es-ES"/>
              </w:rPr>
              <w:t>Documentos tipo de interventorías de obra pública de infraestructura de agua potable y saneamiento básico</w:t>
            </w:r>
          </w:p>
          <w:p w14:paraId="3FB53085" w14:textId="77777777" w:rsidR="006D7A39" w:rsidRPr="002538A0" w:rsidRDefault="006D7A39" w:rsidP="00421CA8">
            <w:pPr>
              <w:spacing w:line="276" w:lineRule="auto"/>
              <w:ind w:left="1494"/>
              <w:contextualSpacing/>
              <w:rPr>
                <w:rFonts w:ascii="Century Gothic" w:eastAsia="Times New Roman" w:hAnsi="Century Gothic" w:cs="Arial"/>
                <w:lang w:val="es-ES"/>
              </w:rPr>
            </w:pPr>
          </w:p>
          <w:p w14:paraId="251345DF" w14:textId="77777777" w:rsidR="006D7A39" w:rsidRPr="002538A0" w:rsidRDefault="006D7A39" w:rsidP="006D7A39">
            <w:pPr>
              <w:numPr>
                <w:ilvl w:val="0"/>
                <w:numId w:val="19"/>
              </w:numPr>
              <w:spacing w:line="276" w:lineRule="auto"/>
              <w:contextualSpacing/>
              <w:rPr>
                <w:rFonts w:ascii="Century Gothic" w:eastAsia="Times New Roman" w:hAnsi="Century Gothic" w:cs="Arial"/>
                <w:lang w:val="es-ES"/>
              </w:rPr>
            </w:pPr>
            <w:r w:rsidRPr="002538A0">
              <w:rPr>
                <w:rFonts w:ascii="Century Gothic" w:eastAsia="Times New Roman" w:hAnsi="Century Gothic" w:cs="Arial"/>
                <w:lang w:val="es-ES"/>
              </w:rPr>
              <w:t xml:space="preserve">Documentos tipo de gestión catastral con enfoque multipropósito. </w:t>
            </w:r>
          </w:p>
          <w:p w14:paraId="6F6C3089" w14:textId="77777777" w:rsidR="006D7A39" w:rsidRPr="002538A0" w:rsidRDefault="006D7A39" w:rsidP="00421CA8">
            <w:pPr>
              <w:spacing w:line="276" w:lineRule="auto"/>
              <w:ind w:left="720"/>
              <w:contextualSpacing/>
              <w:rPr>
                <w:rFonts w:ascii="Century Gothic" w:eastAsia="Times New Roman" w:hAnsi="Century Gothic" w:cs="Arial"/>
                <w:lang w:val="es-ES"/>
              </w:rPr>
            </w:pPr>
          </w:p>
          <w:p w14:paraId="248EDE46" w14:textId="77777777" w:rsidR="006D7A39" w:rsidRPr="002538A0" w:rsidRDefault="006D7A39" w:rsidP="006D7A39">
            <w:pPr>
              <w:numPr>
                <w:ilvl w:val="0"/>
                <w:numId w:val="19"/>
              </w:numPr>
              <w:spacing w:line="276" w:lineRule="auto"/>
              <w:contextualSpacing/>
              <w:rPr>
                <w:rFonts w:ascii="Century Gothic" w:eastAsia="Times New Roman" w:hAnsi="Century Gothic" w:cs="Arial"/>
                <w:lang w:val="es-ES"/>
              </w:rPr>
            </w:pPr>
            <w:r w:rsidRPr="002538A0">
              <w:rPr>
                <w:rFonts w:ascii="Century Gothic" w:eastAsia="Times New Roman" w:hAnsi="Century Gothic" w:cs="Arial"/>
                <w:lang w:val="es-ES"/>
              </w:rPr>
              <w:t>Documentos tipo de licitación de obra pública para proyectos de infraestructura social.</w:t>
            </w:r>
          </w:p>
          <w:p w14:paraId="17F1E97E" w14:textId="77777777" w:rsidR="006D7A39" w:rsidRPr="002538A0" w:rsidRDefault="006D7A39" w:rsidP="00421CA8">
            <w:pPr>
              <w:spacing w:line="276" w:lineRule="auto"/>
              <w:contextualSpacing/>
              <w:rPr>
                <w:rFonts w:ascii="Century Gothic" w:eastAsia="Times New Roman" w:hAnsi="Century Gothic" w:cs="Arial"/>
                <w:lang w:val="es-ES"/>
              </w:rPr>
            </w:pPr>
          </w:p>
          <w:p w14:paraId="369733E2" w14:textId="77777777" w:rsidR="006D7A39" w:rsidRDefault="006D7A39" w:rsidP="006D7A39">
            <w:pPr>
              <w:numPr>
                <w:ilvl w:val="0"/>
                <w:numId w:val="20"/>
              </w:numPr>
              <w:spacing w:line="276" w:lineRule="auto"/>
              <w:ind w:left="1494"/>
              <w:contextualSpacing/>
              <w:rPr>
                <w:rFonts w:ascii="Century Gothic" w:eastAsia="Times New Roman" w:hAnsi="Century Gothic" w:cs="Arial"/>
                <w:lang w:val="es-ES"/>
              </w:rPr>
            </w:pPr>
            <w:r w:rsidRPr="002538A0">
              <w:rPr>
                <w:rFonts w:ascii="Century Gothic" w:eastAsia="Times New Roman" w:hAnsi="Century Gothic" w:cs="Arial"/>
                <w:lang w:val="es-ES"/>
              </w:rPr>
              <w:t xml:space="preserve">Documentos tipo transversales de licitación de obra pública infraestructura social </w:t>
            </w:r>
          </w:p>
          <w:p w14:paraId="61AE25EA" w14:textId="77777777" w:rsidR="006D7A39" w:rsidRPr="002538A0" w:rsidRDefault="006D7A39" w:rsidP="006D7A39">
            <w:pPr>
              <w:numPr>
                <w:ilvl w:val="0"/>
                <w:numId w:val="20"/>
              </w:numPr>
              <w:spacing w:line="276" w:lineRule="auto"/>
              <w:ind w:left="1494"/>
              <w:contextualSpacing/>
              <w:rPr>
                <w:rFonts w:ascii="Century Gothic" w:eastAsia="Times New Roman" w:hAnsi="Century Gothic" w:cs="Arial"/>
                <w:lang w:val="es-ES"/>
              </w:rPr>
            </w:pPr>
            <w:r w:rsidRPr="002538A0">
              <w:rPr>
                <w:rFonts w:ascii="Century Gothic" w:eastAsia="Times New Roman" w:hAnsi="Century Gothic" w:cs="Arial"/>
                <w:lang w:val="es-ES"/>
              </w:rPr>
              <w:t>Documentos tipo adicionales – Sector Educativo</w:t>
            </w:r>
          </w:p>
          <w:p w14:paraId="70F1606A" w14:textId="77777777" w:rsidR="006D7A39" w:rsidRPr="002538A0" w:rsidRDefault="006D7A39" w:rsidP="006D7A39">
            <w:pPr>
              <w:numPr>
                <w:ilvl w:val="0"/>
                <w:numId w:val="20"/>
              </w:numPr>
              <w:spacing w:line="276" w:lineRule="auto"/>
              <w:ind w:left="1494"/>
              <w:contextualSpacing/>
              <w:rPr>
                <w:rFonts w:ascii="Century Gothic" w:eastAsia="Times New Roman" w:hAnsi="Century Gothic" w:cs="Arial"/>
                <w:lang w:val="es-ES"/>
              </w:rPr>
            </w:pPr>
            <w:r w:rsidRPr="002538A0">
              <w:rPr>
                <w:rFonts w:ascii="Century Gothic" w:eastAsia="Times New Roman" w:hAnsi="Century Gothic" w:cs="Arial"/>
                <w:lang w:val="es-ES"/>
              </w:rPr>
              <w:t>Documentos tipo adicionales – Sector Salud</w:t>
            </w:r>
          </w:p>
          <w:p w14:paraId="770CBD9D" w14:textId="77777777" w:rsidR="006D7A39" w:rsidRPr="002538A0" w:rsidRDefault="006D7A39" w:rsidP="006D7A39">
            <w:pPr>
              <w:numPr>
                <w:ilvl w:val="0"/>
                <w:numId w:val="20"/>
              </w:numPr>
              <w:spacing w:line="276" w:lineRule="auto"/>
              <w:ind w:left="1494"/>
              <w:contextualSpacing/>
              <w:rPr>
                <w:rFonts w:ascii="Century Gothic" w:eastAsia="Times New Roman" w:hAnsi="Century Gothic" w:cs="Arial"/>
                <w:lang w:val="es-ES"/>
              </w:rPr>
            </w:pPr>
            <w:r w:rsidRPr="002538A0">
              <w:rPr>
                <w:rFonts w:ascii="Century Gothic" w:eastAsia="Times New Roman" w:hAnsi="Century Gothic" w:cs="Arial"/>
                <w:lang w:val="es-ES"/>
              </w:rPr>
              <w:t>Documentos tipo adicionales – Sector cultura, recreación y deporte</w:t>
            </w:r>
          </w:p>
          <w:p w14:paraId="3ED31AA9" w14:textId="77777777" w:rsidR="006D7A39" w:rsidRPr="002538A0" w:rsidRDefault="006D7A39" w:rsidP="00421CA8">
            <w:pPr>
              <w:spacing w:line="276" w:lineRule="auto"/>
              <w:rPr>
                <w:rFonts w:ascii="Century Gothic" w:eastAsia="Times New Roman" w:hAnsi="Century Gothic" w:cs="Arial"/>
              </w:rPr>
            </w:pPr>
          </w:p>
          <w:p w14:paraId="43B28B27" w14:textId="77777777" w:rsidR="006D7A39" w:rsidRPr="002538A0" w:rsidRDefault="006D7A39" w:rsidP="006D7A39">
            <w:pPr>
              <w:numPr>
                <w:ilvl w:val="0"/>
                <w:numId w:val="19"/>
              </w:numPr>
              <w:spacing w:line="276" w:lineRule="auto"/>
              <w:contextualSpacing/>
              <w:rPr>
                <w:rFonts w:ascii="Century Gothic" w:eastAsia="Times New Roman" w:hAnsi="Century Gothic" w:cs="Arial"/>
                <w:lang w:val="es-ES"/>
              </w:rPr>
            </w:pPr>
            <w:r w:rsidRPr="002538A0">
              <w:rPr>
                <w:rFonts w:ascii="Century Gothic" w:eastAsia="Times New Roman" w:hAnsi="Century Gothic" w:cs="Arial"/>
                <w:lang w:val="es-ES"/>
              </w:rPr>
              <w:t>Documento tipo para la contratación directa de convenios solidarios para la ejecución de obras hasta la menor cuantía con organismos de acción comunal.</w:t>
            </w:r>
          </w:p>
          <w:p w14:paraId="33913521" w14:textId="77777777" w:rsidR="006D7A39" w:rsidRPr="002538A0" w:rsidRDefault="006D7A39" w:rsidP="00421CA8">
            <w:pPr>
              <w:spacing w:line="276" w:lineRule="auto"/>
              <w:contextualSpacing/>
              <w:rPr>
                <w:rFonts w:ascii="Century Gothic" w:eastAsia="Times New Roman" w:hAnsi="Century Gothic" w:cs="Arial"/>
                <w:lang w:val="es-ES"/>
              </w:rPr>
            </w:pPr>
          </w:p>
          <w:p w14:paraId="64B00449" w14:textId="77777777" w:rsidR="006D7A39" w:rsidRPr="002538A0" w:rsidRDefault="006D7A39" w:rsidP="006D7A39">
            <w:pPr>
              <w:numPr>
                <w:ilvl w:val="0"/>
                <w:numId w:val="19"/>
              </w:numPr>
              <w:spacing w:line="276" w:lineRule="auto"/>
              <w:contextualSpacing/>
              <w:rPr>
                <w:rFonts w:ascii="Century Gothic" w:eastAsia="Times New Roman" w:hAnsi="Century Gothic" w:cs="Arial"/>
                <w:lang w:val="es-ES"/>
              </w:rPr>
            </w:pPr>
            <w:r w:rsidRPr="002538A0">
              <w:rPr>
                <w:rFonts w:ascii="Century Gothic" w:eastAsia="Times New Roman" w:hAnsi="Century Gothic" w:cs="Arial"/>
                <w:lang w:val="es-ES"/>
              </w:rPr>
              <w:t xml:space="preserve">Documento tipo de concurso de méritos para contratar la interventoría de obras públicas de infraestructura social; que agrupa los sectores de educación, salud, cultura, recreación y deporte. </w:t>
            </w:r>
          </w:p>
          <w:p w14:paraId="4FA1416E" w14:textId="77777777" w:rsidR="006D7A39" w:rsidRPr="002538A0" w:rsidRDefault="006D7A39" w:rsidP="00421CA8">
            <w:pPr>
              <w:spacing w:line="276" w:lineRule="auto"/>
              <w:jc w:val="both"/>
              <w:rPr>
                <w:rFonts w:ascii="Century Gothic" w:eastAsia="Times New Roman" w:hAnsi="Century Gothic" w:cs="Arial"/>
              </w:rPr>
            </w:pPr>
          </w:p>
          <w:p w14:paraId="7857FBCA" w14:textId="77777777" w:rsidR="006D7A39" w:rsidRPr="002538A0" w:rsidRDefault="006D7A39" w:rsidP="00421CA8">
            <w:pPr>
              <w:autoSpaceDE w:val="0"/>
              <w:autoSpaceDN w:val="0"/>
              <w:adjustRightInd w:val="0"/>
              <w:jc w:val="center"/>
              <w:rPr>
                <w:rFonts w:ascii="Century Gothic" w:eastAsia="Times New Roman" w:hAnsi="Century Gothic" w:cs="Arial"/>
              </w:rPr>
            </w:pPr>
          </w:p>
          <w:p w14:paraId="626364A0" w14:textId="77777777" w:rsidR="006D7A39" w:rsidRPr="002538A0" w:rsidRDefault="006D7A39" w:rsidP="00421CA8">
            <w:pPr>
              <w:autoSpaceDE w:val="0"/>
              <w:autoSpaceDN w:val="0"/>
              <w:adjustRightInd w:val="0"/>
              <w:jc w:val="center"/>
              <w:rPr>
                <w:rFonts w:ascii="Century Gothic" w:eastAsia="Times New Roman" w:hAnsi="Century Gothic" w:cs="Arial"/>
              </w:rPr>
            </w:pPr>
          </w:p>
          <w:p w14:paraId="1A182BDD" w14:textId="77777777" w:rsidR="006D7A39" w:rsidRPr="002538A0" w:rsidRDefault="006D7A39" w:rsidP="00421CA8">
            <w:pPr>
              <w:spacing w:line="276" w:lineRule="auto"/>
              <w:ind w:left="720"/>
              <w:contextualSpacing/>
              <w:rPr>
                <w:rFonts w:ascii="Century Gothic" w:eastAsia="Times New Roman" w:hAnsi="Century Gothic" w:cs="Arial"/>
                <w:b/>
                <w:bCs/>
              </w:rPr>
            </w:pPr>
          </w:p>
          <w:p w14:paraId="2C5779AE" w14:textId="77777777" w:rsidR="006D7A39" w:rsidRPr="00E82B6C" w:rsidRDefault="006D7A39" w:rsidP="00421CA8">
            <w:pPr>
              <w:spacing w:line="276" w:lineRule="auto"/>
              <w:jc w:val="both"/>
              <w:rPr>
                <w:rFonts w:ascii="Verdana" w:eastAsia="Calibri" w:hAnsi="Verdana" w:cs="Arial"/>
                <w:lang w:val="es-ES"/>
              </w:rPr>
            </w:pPr>
          </w:p>
          <w:p w14:paraId="32E3CB1F" w14:textId="77777777" w:rsidR="006D7A39" w:rsidRPr="00E82B6C" w:rsidRDefault="006D7A39" w:rsidP="00421CA8">
            <w:pPr>
              <w:spacing w:line="276" w:lineRule="auto"/>
              <w:jc w:val="both"/>
              <w:rPr>
                <w:rFonts w:ascii="Verdana" w:eastAsia="Calibri" w:hAnsi="Verdana" w:cs="Arial"/>
                <w:color w:val="7030A0"/>
              </w:rPr>
            </w:pPr>
          </w:p>
        </w:tc>
      </w:tr>
    </w:tbl>
    <w:p w14:paraId="212D0F8A" w14:textId="77777777" w:rsidR="006D7A39" w:rsidRDefault="006D7A39" w:rsidP="006D7A39">
      <w:pPr>
        <w:tabs>
          <w:tab w:val="left" w:pos="142"/>
          <w:tab w:val="left" w:pos="284"/>
        </w:tabs>
        <w:spacing w:after="0" w:line="276" w:lineRule="auto"/>
        <w:jc w:val="both"/>
        <w:rPr>
          <w:rFonts w:ascii="Verdana" w:eastAsia="Century Gothic" w:hAnsi="Verdana" w:cs="Century Gothic"/>
          <w:b/>
          <w:bCs/>
          <w:lang w:val="es-ES"/>
        </w:rPr>
      </w:pPr>
    </w:p>
    <w:p w14:paraId="58B9EFCE" w14:textId="77777777" w:rsidR="006D7A39" w:rsidRDefault="006D7A39" w:rsidP="006D7A39">
      <w:pPr>
        <w:tabs>
          <w:tab w:val="left" w:pos="142"/>
          <w:tab w:val="left" w:pos="284"/>
        </w:tabs>
        <w:spacing w:after="0" w:line="276" w:lineRule="auto"/>
        <w:jc w:val="both"/>
        <w:rPr>
          <w:rFonts w:ascii="Verdana" w:eastAsia="Century Gothic" w:hAnsi="Verdana" w:cs="Century Gothic"/>
          <w:b/>
          <w:bCs/>
          <w:lang w:val="es-ES"/>
        </w:rPr>
      </w:pPr>
    </w:p>
    <w:p w14:paraId="7031A765" w14:textId="77777777" w:rsidR="006D7A39" w:rsidRDefault="006D7A39" w:rsidP="006D7A39">
      <w:pPr>
        <w:tabs>
          <w:tab w:val="left" w:pos="142"/>
          <w:tab w:val="left" w:pos="284"/>
        </w:tabs>
        <w:spacing w:after="0" w:line="276" w:lineRule="auto"/>
        <w:jc w:val="both"/>
        <w:rPr>
          <w:rFonts w:ascii="Verdana" w:eastAsia="Century Gothic" w:hAnsi="Verdana" w:cs="Century Gothic"/>
          <w:b/>
          <w:bCs/>
          <w:lang w:val="es-ES"/>
        </w:rPr>
      </w:pPr>
    </w:p>
    <w:p w14:paraId="0F91C913" w14:textId="77777777" w:rsidR="006D7A39" w:rsidRDefault="006D7A39" w:rsidP="006D7A39">
      <w:pPr>
        <w:tabs>
          <w:tab w:val="left" w:pos="142"/>
          <w:tab w:val="left" w:pos="284"/>
        </w:tabs>
        <w:spacing w:after="0" w:line="276" w:lineRule="auto"/>
        <w:jc w:val="both"/>
        <w:rPr>
          <w:rFonts w:ascii="Verdana" w:eastAsia="Century Gothic" w:hAnsi="Verdana" w:cs="Century Gothic"/>
          <w:b/>
          <w:bCs/>
          <w:lang w:val="es-ES"/>
        </w:rPr>
      </w:pPr>
    </w:p>
    <w:p w14:paraId="66DB938D" w14:textId="77777777" w:rsidR="006D7A39" w:rsidRPr="00CE448E" w:rsidRDefault="006D7A39" w:rsidP="006D7A39">
      <w:pPr>
        <w:tabs>
          <w:tab w:val="left" w:pos="142"/>
          <w:tab w:val="left" w:pos="284"/>
        </w:tabs>
        <w:spacing w:after="0" w:line="276" w:lineRule="auto"/>
        <w:jc w:val="both"/>
        <w:rPr>
          <w:rFonts w:ascii="Verdana" w:eastAsia="Century Gothic" w:hAnsi="Verdana" w:cs="Century Gothic"/>
          <w:b/>
          <w:bCs/>
          <w:lang w:val="es-ES"/>
        </w:rPr>
      </w:pPr>
    </w:p>
    <w:p w14:paraId="10B8642A" w14:textId="77777777" w:rsidR="006D7A39" w:rsidRPr="00CE448E" w:rsidRDefault="006D7A39" w:rsidP="006D7A39">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CE448E">
        <w:rPr>
          <w:rFonts w:ascii="Verdana" w:eastAsia="Century Gothic" w:hAnsi="Verdana" w:cs="Century Gothic"/>
          <w:b/>
          <w:bCs/>
          <w:lang w:val="es-ES"/>
        </w:rPr>
        <w:t>Razones de la respuesta:</w:t>
      </w:r>
    </w:p>
    <w:p w14:paraId="0CE74DDE" w14:textId="77777777" w:rsidR="006D7A39" w:rsidRPr="00CE448E" w:rsidRDefault="006D7A39" w:rsidP="006D7A39">
      <w:pPr>
        <w:spacing w:after="0" w:line="276" w:lineRule="auto"/>
        <w:jc w:val="both"/>
        <w:rPr>
          <w:rFonts w:ascii="Verdana" w:eastAsia="Calibri" w:hAnsi="Verdana" w:cs="Arial"/>
          <w:color w:val="7030A0"/>
          <w:lang w:val="es-ES"/>
        </w:rPr>
      </w:pPr>
    </w:p>
    <w:p w14:paraId="20A2F061" w14:textId="77777777" w:rsidR="006D7A39" w:rsidRDefault="006D7A39" w:rsidP="006D7A39">
      <w:pPr>
        <w:spacing w:after="0" w:line="276" w:lineRule="auto"/>
        <w:jc w:val="both"/>
        <w:rPr>
          <w:rFonts w:ascii="Verdana" w:eastAsia="Calibri" w:hAnsi="Verdana" w:cs="Arial"/>
          <w:lang w:val="es-ES"/>
        </w:rPr>
      </w:pPr>
      <w:r w:rsidRPr="00CE448E">
        <w:rPr>
          <w:rFonts w:ascii="Verdana" w:eastAsia="Calibri" w:hAnsi="Verdana" w:cs="Arial"/>
          <w:lang w:val="es-ES"/>
        </w:rPr>
        <w:lastRenderedPageBreak/>
        <w:t xml:space="preserve">Lo anterior se sustenta en las siguientes consideraciones: </w:t>
      </w:r>
    </w:p>
    <w:p w14:paraId="25EC6B98" w14:textId="77777777" w:rsidR="006D7A39" w:rsidRDefault="006D7A39" w:rsidP="006D7A39">
      <w:pPr>
        <w:spacing w:after="0" w:line="276" w:lineRule="auto"/>
        <w:jc w:val="both"/>
        <w:rPr>
          <w:rFonts w:ascii="Verdana" w:eastAsia="Calibri" w:hAnsi="Verdana" w:cs="Arial"/>
          <w:lang w:val="es-ES"/>
        </w:rPr>
      </w:pPr>
    </w:p>
    <w:p w14:paraId="79E85C17" w14:textId="77777777" w:rsidR="006D7A39" w:rsidRDefault="006D7A39" w:rsidP="006D7A39">
      <w:pPr>
        <w:spacing w:after="0" w:line="276" w:lineRule="auto"/>
        <w:jc w:val="both"/>
        <w:rPr>
          <w:rFonts w:ascii="Verdana" w:eastAsia="Calibri" w:hAnsi="Verdana" w:cs="Arial"/>
          <w:lang w:val="es-ES"/>
        </w:rPr>
      </w:pPr>
    </w:p>
    <w:p w14:paraId="6221CF32" w14:textId="77777777" w:rsidR="006D7A39" w:rsidRDefault="006D7A39" w:rsidP="006D7A39">
      <w:pPr>
        <w:numPr>
          <w:ilvl w:val="0"/>
          <w:numId w:val="17"/>
        </w:numPr>
        <w:spacing w:after="0"/>
        <w:contextualSpacing/>
        <w:jc w:val="both"/>
        <w:rPr>
          <w:rFonts w:ascii="Verdana" w:eastAsia="Times New Roman" w:hAnsi="Verdana" w:cs="Arial"/>
          <w:color w:val="000000"/>
        </w:rPr>
      </w:pPr>
      <w:r w:rsidRPr="008D2908">
        <w:rPr>
          <w:rFonts w:ascii="Verdana" w:eastAsia="Times New Roman" w:hAnsi="Verdana" w:cs="Arial"/>
          <w:color w:val="000000"/>
        </w:rPr>
        <w:t>El artículo 4 de la Ley 1882 de 2018 estableció que al Gobierno Nacional le correspondía adoptar los “documentos tipo para los pliegos de condiciones de los procesos de selección de obras públicas” y que estos “deberán ser utilizados por todas las entidades sometidas al Estatuto General de la Contratación de la Administración Pública en los procesos de selección que adelanten”. Adicionalmente señala, frente a su contenido, que “[d]entro de los documentos tipo el Gobierno adoptará de manera general y con alcance obligatorio para todas las entidades sometidas al Estatuto General de Contratación de la Administración Pública –en adelante EGCAP– las condiciones habilitantes, así como los factores técnicos y económicos de escogencia […] teniendo en cuenta la naturaleza y la cuantía de los contratos”.</w:t>
      </w:r>
    </w:p>
    <w:p w14:paraId="4616A048" w14:textId="77777777" w:rsidR="006D7A39" w:rsidRPr="008D2908" w:rsidRDefault="006D7A39" w:rsidP="006D7A39">
      <w:pPr>
        <w:spacing w:after="0"/>
        <w:ind w:left="720"/>
        <w:contextualSpacing/>
        <w:jc w:val="both"/>
        <w:rPr>
          <w:rFonts w:ascii="Verdana" w:eastAsia="Times New Roman" w:hAnsi="Verdana" w:cs="Arial"/>
          <w:color w:val="000000"/>
        </w:rPr>
      </w:pPr>
    </w:p>
    <w:p w14:paraId="6D0FD24E" w14:textId="77777777" w:rsidR="006D7A39" w:rsidRPr="00576916" w:rsidRDefault="006D7A39" w:rsidP="006D7A39">
      <w:pPr>
        <w:numPr>
          <w:ilvl w:val="0"/>
          <w:numId w:val="17"/>
        </w:numPr>
        <w:spacing w:after="0"/>
        <w:contextualSpacing/>
        <w:jc w:val="both"/>
        <w:rPr>
          <w:rFonts w:ascii="Verdana" w:eastAsia="Times New Roman" w:hAnsi="Verdana" w:cs="Arial"/>
          <w:color w:val="000000"/>
        </w:rPr>
      </w:pPr>
      <w:r w:rsidRPr="00576916">
        <w:rPr>
          <w:rFonts w:ascii="Verdana" w:eastAsia="Times New Roman" w:hAnsi="Verdana" w:cs="Arial"/>
          <w:color w:val="000000"/>
        </w:rPr>
        <w:t>Es necesario destacar que el artículo 4 de la Ley 1882 de 2018, a través del cual se adicionaba el parágrafo 7 arriba transcrito al artículo 2 de la Ley 1150 de 2007, fue modificado por el artículo 1 de la Ley 2022 de 2020, por medio del cual se refuerzan las competencias de esta Agencia para la producción de documentos tipo al habilitarla directamente para su expedición, estableciéndose además su carácter obligatorio para las entidades estatales regidas por el EGCAP. Dicha ley, publicada el 22 de julio de 2020, entró a regir a partir de su publicación y permite que la Agencia Nacional de Contratación Pública implemente documentos tipo para diferentes objetos contractuales, conforme indiquen los cronogramas que se definan en coordinación con las diferentes entidades técnicas y especializadas, con el fin de incorporarlos al sistema de compra pública, sin perjuicio de la aplicación de los documentos tipo expedidos antes de la entrada vigencia de la referida norma.</w:t>
      </w:r>
    </w:p>
    <w:p w14:paraId="1303E69C" w14:textId="77777777" w:rsidR="006D7A39" w:rsidRPr="00576916" w:rsidRDefault="006D7A39" w:rsidP="006D7A39">
      <w:pPr>
        <w:ind w:left="720"/>
        <w:contextualSpacing/>
        <w:rPr>
          <w:rFonts w:ascii="Verdana" w:eastAsia="Times New Roman" w:hAnsi="Verdana" w:cs="Arial"/>
          <w:color w:val="000000"/>
        </w:rPr>
      </w:pPr>
    </w:p>
    <w:p w14:paraId="17B2B448" w14:textId="77777777" w:rsidR="006D7A39" w:rsidRPr="00576916" w:rsidRDefault="006D7A39" w:rsidP="006D7A39">
      <w:pPr>
        <w:spacing w:after="0" w:line="276" w:lineRule="auto"/>
        <w:jc w:val="both"/>
        <w:rPr>
          <w:rFonts w:ascii="Verdana" w:eastAsia="Calibri" w:hAnsi="Verdana" w:cs="Arial"/>
        </w:rPr>
      </w:pPr>
    </w:p>
    <w:p w14:paraId="3DBAFE2E" w14:textId="77777777" w:rsidR="006D7A39" w:rsidRPr="005E4D3A" w:rsidRDefault="006D7A39" w:rsidP="006D7A39">
      <w:pPr>
        <w:pStyle w:val="Prrafodelista"/>
        <w:numPr>
          <w:ilvl w:val="0"/>
          <w:numId w:val="20"/>
        </w:numPr>
        <w:spacing w:after="0" w:line="276" w:lineRule="auto"/>
        <w:jc w:val="both"/>
        <w:rPr>
          <w:rFonts w:ascii="Verdana" w:eastAsia="Calibri" w:hAnsi="Verdana" w:cs="Arial"/>
        </w:rPr>
      </w:pPr>
      <w:r w:rsidRPr="00AE0BC1">
        <w:rPr>
          <w:rFonts w:ascii="Verdana" w:eastAsia="Calibri" w:hAnsi="Verdana" w:cs="Arial"/>
          <w:lang w:val="es-CO"/>
        </w:rPr>
        <w:t>Los Documentos Tipo expedidos por esta Agencia en ejercicio de la potestad otorgada por la Ley 2022 de 2020 son de obligatoria observancia para las Entidades Estatales sometidas al Estatuto General de Contratación de la Administración Pública. Debido a esto tales entidades deben aplicar de manera forzosa los Documentos Tipo para desarrollar los Procesos de Contratación en los objetos y modalidades cobijadas por los Documentos Tipo.</w:t>
      </w:r>
    </w:p>
    <w:p w14:paraId="49B60440" w14:textId="77777777" w:rsidR="006D7A39" w:rsidRPr="005E4D3A" w:rsidRDefault="006D7A39" w:rsidP="006D7A39">
      <w:pPr>
        <w:numPr>
          <w:ilvl w:val="0"/>
          <w:numId w:val="17"/>
        </w:numPr>
        <w:spacing w:after="0"/>
        <w:contextualSpacing/>
        <w:jc w:val="both"/>
        <w:rPr>
          <w:rFonts w:ascii="Verdana" w:eastAsia="Times New Roman" w:hAnsi="Verdana" w:cs="Arial"/>
          <w:color w:val="000000"/>
        </w:rPr>
      </w:pPr>
      <w:r w:rsidRPr="005E4D3A">
        <w:rPr>
          <w:rFonts w:ascii="Verdana" w:eastAsia="Times New Roman" w:hAnsi="Verdana" w:cs="Arial"/>
          <w:color w:val="000000"/>
        </w:rPr>
        <w:lastRenderedPageBreak/>
        <w:t>Los artículos 2.2.1.2.6.1.4</w:t>
      </w:r>
      <w:r w:rsidRPr="005E4D3A">
        <w:rPr>
          <w:rFonts w:ascii="Verdana" w:eastAsia="Times New Roman" w:hAnsi="Verdana" w:cs="Arial"/>
          <w:color w:val="000000"/>
          <w:vertAlign w:val="superscript"/>
        </w:rPr>
        <w:footnoteReference w:id="2"/>
      </w:r>
      <w:r w:rsidRPr="005E4D3A">
        <w:rPr>
          <w:rFonts w:ascii="Verdana" w:eastAsia="Times New Roman" w:hAnsi="Verdana" w:cs="Arial"/>
          <w:color w:val="000000"/>
        </w:rPr>
        <w:t>, 2.2.1.2.6.2.3</w:t>
      </w:r>
      <w:r w:rsidRPr="005E4D3A">
        <w:rPr>
          <w:rFonts w:ascii="Arial" w:eastAsia="Times New Roman" w:hAnsi="Arial" w:cs="Arial"/>
          <w:bCs/>
          <w:vertAlign w:val="superscript"/>
          <w:lang w:val="es-ES_tradnl"/>
        </w:rPr>
        <w:footnoteReference w:id="3"/>
      </w:r>
      <w:r w:rsidRPr="005E4D3A">
        <w:rPr>
          <w:rFonts w:ascii="Verdana" w:eastAsia="Times New Roman" w:hAnsi="Verdana" w:cs="Arial"/>
          <w:color w:val="000000"/>
        </w:rPr>
        <w:t xml:space="preserve">  y 2.2.1.2.6.3.4</w:t>
      </w:r>
      <w:r w:rsidRPr="005E4D3A">
        <w:rPr>
          <w:rFonts w:ascii="Arial" w:eastAsia="Times New Roman" w:hAnsi="Arial" w:cs="Arial"/>
          <w:bCs/>
          <w:vertAlign w:val="superscript"/>
          <w:lang w:val="es-ES_tradnl"/>
        </w:rPr>
        <w:footnoteReference w:id="4"/>
      </w:r>
      <w:r w:rsidRPr="005E4D3A">
        <w:rPr>
          <w:rFonts w:ascii="Verdana" w:eastAsia="Times New Roman" w:hAnsi="Verdana" w:cs="Arial"/>
          <w:color w:val="000000"/>
        </w:rPr>
        <w:t xml:space="preserve">  del Decreto 1082 de 2015 establecen la inalterabilidad de los documentos tipo para las modalidades de licitación pública, selección abreviada de menor cuantía y mínima cuantía,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que sean establecidas en los documentos que adopte el Gobierno Nacional, en ejercicio del mandato establecido en el artículo 4 de la Ley 1882 de 2018, modificado por la Ley 2022 de 2020, son de obligatorio cumplimiento e inalterables para las entidades sometidas al EGCAP que adelanten procesos que deban regirse por su contenido. Por tanto, no pueden variar los requisitos que en ellos sean fijados, ni establecer reglas o requisitos adicionales a los establecidos en los Documentos Tipo para la presentación de las ofertas y la acreditación de los requisitos habilitantes.</w:t>
      </w:r>
    </w:p>
    <w:p w14:paraId="66CDE769" w14:textId="77777777" w:rsidR="006D7A39" w:rsidRPr="005E4D3A" w:rsidRDefault="006D7A39" w:rsidP="006D7A39">
      <w:pPr>
        <w:spacing w:after="0"/>
        <w:jc w:val="both"/>
        <w:rPr>
          <w:rFonts w:ascii="Verdana" w:eastAsia="Times New Roman" w:hAnsi="Verdana" w:cs="Arial"/>
          <w:color w:val="000000"/>
        </w:rPr>
      </w:pPr>
    </w:p>
    <w:p w14:paraId="04339106" w14:textId="77777777" w:rsidR="006D7A39" w:rsidRPr="005E4D3A" w:rsidRDefault="006D7A39" w:rsidP="006D7A39">
      <w:pPr>
        <w:numPr>
          <w:ilvl w:val="0"/>
          <w:numId w:val="17"/>
        </w:numPr>
        <w:spacing w:after="0"/>
        <w:contextualSpacing/>
        <w:jc w:val="both"/>
        <w:rPr>
          <w:rFonts w:ascii="Verdana" w:eastAsia="Times New Roman" w:hAnsi="Verdana" w:cs="Arial"/>
          <w:color w:val="000000"/>
        </w:rPr>
      </w:pPr>
      <w:r w:rsidRPr="005E4D3A">
        <w:rPr>
          <w:rFonts w:ascii="Verdana" w:eastAsia="Times New Roman" w:hAnsi="Verdana" w:cs="Arial"/>
          <w:color w:val="000000"/>
        </w:rPr>
        <w:t>En armonía con lo anterior, en la parte introductoria de los documentos tipo se señala que los aspectos incluidos en corchetes y resaltado gris deben ser diligenciados por la entidad. Excepcionalmente le corresponde al proponente consignar la información incluida en corchetes y resaltada en gris. De todos modos, en cada apartado que esté resaltado en gris la entidad tendrá la libertad de determinar la información que diligenciará, de acuerdo con su necesidad y las instrucciones que establezca el Documento Tipo.</w:t>
      </w:r>
    </w:p>
    <w:p w14:paraId="494F398B" w14:textId="77777777" w:rsidR="006D7A39" w:rsidRPr="00E2302A" w:rsidRDefault="006D7A39" w:rsidP="006D7A39">
      <w:pPr>
        <w:pStyle w:val="Prrafodelista"/>
        <w:spacing w:after="0" w:line="276" w:lineRule="auto"/>
        <w:ind w:left="644"/>
        <w:jc w:val="both"/>
        <w:rPr>
          <w:rFonts w:ascii="Verdana" w:eastAsia="Calibri" w:hAnsi="Verdana" w:cs="Arial"/>
        </w:rPr>
      </w:pPr>
    </w:p>
    <w:p w14:paraId="7F5F6355" w14:textId="77777777" w:rsidR="006D7A39" w:rsidRPr="00AE12D8" w:rsidRDefault="006D7A39" w:rsidP="006D7A39">
      <w:pPr>
        <w:pStyle w:val="Prrafodelista"/>
        <w:numPr>
          <w:ilvl w:val="0"/>
          <w:numId w:val="20"/>
        </w:numPr>
        <w:spacing w:after="0" w:line="276" w:lineRule="auto"/>
        <w:jc w:val="both"/>
        <w:rPr>
          <w:rFonts w:ascii="Verdana" w:eastAsia="Calibri" w:hAnsi="Verdana" w:cs="Arial"/>
        </w:rPr>
      </w:pPr>
      <w:r w:rsidRPr="00E2302A">
        <w:rPr>
          <w:rFonts w:ascii="Verdana" w:eastAsia="Calibri" w:hAnsi="Verdana" w:cs="Arial"/>
          <w:lang w:val="es-CO"/>
        </w:rPr>
        <w:t>Para establecer si determinado objeto contractual se encuentra cobijado o no por los Documentos Tipo es necesario establecer si el mismo</w:t>
      </w:r>
      <w:r>
        <w:rPr>
          <w:rFonts w:ascii="Verdana" w:eastAsia="Calibri" w:hAnsi="Verdana" w:cs="Arial"/>
          <w:lang w:val="es-CO"/>
        </w:rPr>
        <w:t>,</w:t>
      </w:r>
      <w:r w:rsidRPr="00E2302A">
        <w:rPr>
          <w:rFonts w:ascii="Verdana" w:eastAsia="Calibri" w:hAnsi="Verdana" w:cs="Arial"/>
          <w:lang w:val="es-CO"/>
        </w:rPr>
        <w:t xml:space="preserve"> los tipos de infraestructura, modalidades de selección y tipos de obra estandarizadas en las respectivas matrices de experiencia. De esta manera solo resulta obligatoria la aplicación de un documento tipo en particular </w:t>
      </w:r>
      <w:r w:rsidRPr="00E2302A">
        <w:rPr>
          <w:rFonts w:ascii="Verdana" w:eastAsia="Calibri" w:hAnsi="Verdana" w:cs="Arial"/>
          <w:lang w:val="es-CO"/>
        </w:rPr>
        <w:lastRenderedPageBreak/>
        <w:t>cuando se ha establecido que en el objeto contractual y la modalidad en la que debe contratarse están dentro del ámbito de aplicación de las resoluciones expedidas para los sectores de infraestructura de transporte, agua potable-saneamiento básico y social</w:t>
      </w:r>
      <w:r>
        <w:rPr>
          <w:rFonts w:ascii="Verdana" w:eastAsia="Calibri" w:hAnsi="Verdana" w:cs="Arial"/>
          <w:lang w:val="es-CO"/>
        </w:rPr>
        <w:t>.</w:t>
      </w:r>
    </w:p>
    <w:p w14:paraId="0972ABEB" w14:textId="77777777" w:rsidR="006D7A39" w:rsidRPr="00916116" w:rsidRDefault="006D7A39" w:rsidP="006D7A39">
      <w:pPr>
        <w:pStyle w:val="Prrafodelista"/>
        <w:rPr>
          <w:rFonts w:ascii="Verdana" w:eastAsia="Calibri" w:hAnsi="Verdana" w:cs="Arial"/>
        </w:rPr>
      </w:pPr>
    </w:p>
    <w:p w14:paraId="0F3A098D" w14:textId="77777777" w:rsidR="006D7A39" w:rsidRPr="00916116" w:rsidRDefault="006D7A39" w:rsidP="006D7A39">
      <w:pPr>
        <w:numPr>
          <w:ilvl w:val="0"/>
          <w:numId w:val="20"/>
        </w:numPr>
        <w:spacing w:after="0" w:line="276" w:lineRule="auto"/>
        <w:contextualSpacing/>
        <w:jc w:val="both"/>
        <w:rPr>
          <w:rFonts w:ascii="Verdana" w:eastAsia="Times New Roman" w:hAnsi="Verdana" w:cs="Arial"/>
          <w:color w:val="000000" w:themeColor="text1"/>
          <w:lang w:val="es-ES"/>
        </w:rPr>
      </w:pPr>
      <w:r w:rsidRPr="00916116">
        <w:rPr>
          <w:rFonts w:ascii="Verdana" w:eastAsia="Times New Roman" w:hAnsi="Verdana" w:cs="Arial"/>
          <w:color w:val="000000" w:themeColor="text1"/>
          <w:lang w:val="es-ES" w:eastAsia="es-ES"/>
        </w:rPr>
        <w:t xml:space="preserve">Sin perjuicio de lo anterior debe advertirse que el análisis requerido para establecer si a determinado objeto contractual le aplica o no un documento tipo debe ser realizado por la entidad contratante en consideración a las particularidades y especificaciones del respectivo objeto contractual, de acuerdo con lo explicado </w:t>
      </w:r>
      <w:r w:rsidRPr="00916116">
        <w:rPr>
          <w:rFonts w:ascii="Verdana" w:eastAsia="Times New Roman" w:hAnsi="Verdana" w:cs="Arial"/>
          <w:i/>
          <w:iCs/>
          <w:color w:val="000000" w:themeColor="text1"/>
          <w:lang w:val="es-ES" w:eastAsia="es-ES"/>
        </w:rPr>
        <w:t>supra</w:t>
      </w:r>
      <w:r w:rsidRPr="00916116">
        <w:rPr>
          <w:rFonts w:ascii="Verdana" w:eastAsia="Times New Roman" w:hAnsi="Verdana" w:cs="Arial"/>
          <w:color w:val="000000" w:themeColor="text1"/>
          <w:lang w:val="es-ES" w:eastAsia="es-ES"/>
        </w:rPr>
        <w:t xml:space="preserve">. De esta manera, lo explicado en el presente concepto no puede ser interpretado como un pronunciamiento respecto del objeto contractual aludido en la petición, ni las afirmaciones aquí realizadas pueden ser interpretadas como juicios de valor sobre circunstancias relacionadas con los hechos que motivan la petición. </w:t>
      </w:r>
    </w:p>
    <w:p w14:paraId="408D1C05" w14:textId="77777777" w:rsidR="006D7A39" w:rsidRPr="00916116" w:rsidRDefault="006D7A39" w:rsidP="006D7A39">
      <w:pPr>
        <w:pStyle w:val="Prrafodelista"/>
        <w:numPr>
          <w:ilvl w:val="0"/>
          <w:numId w:val="20"/>
        </w:numPr>
        <w:spacing w:after="0" w:line="276" w:lineRule="auto"/>
        <w:jc w:val="both"/>
        <w:rPr>
          <w:rFonts w:ascii="Verdana" w:eastAsia="Calibri" w:hAnsi="Verdana" w:cs="Arial"/>
        </w:rPr>
      </w:pPr>
    </w:p>
    <w:p w14:paraId="0078D5B2" w14:textId="77777777" w:rsidR="006D7A39" w:rsidRPr="00DE2EEB" w:rsidRDefault="006D7A39" w:rsidP="006D7A39">
      <w:pPr>
        <w:pStyle w:val="Prrafodelista"/>
        <w:spacing w:after="0" w:line="276" w:lineRule="auto"/>
        <w:jc w:val="both"/>
        <w:rPr>
          <w:rFonts w:ascii="Verdana" w:eastAsia="Calibri" w:hAnsi="Verdana" w:cs="Arial"/>
        </w:rPr>
      </w:pPr>
    </w:p>
    <w:p w14:paraId="36AAB407" w14:textId="77777777" w:rsidR="006D7A39" w:rsidRPr="00CE448E" w:rsidRDefault="006D7A39" w:rsidP="006D7A39">
      <w:pPr>
        <w:widowControl w:val="0"/>
        <w:autoSpaceDE w:val="0"/>
        <w:autoSpaceDN w:val="0"/>
        <w:spacing w:after="0" w:line="276" w:lineRule="auto"/>
        <w:jc w:val="both"/>
        <w:rPr>
          <w:rFonts w:ascii="Verdana" w:hAnsi="Verdana" w:cs="Arial"/>
        </w:rPr>
      </w:pPr>
    </w:p>
    <w:p w14:paraId="4DC94A62" w14:textId="77777777" w:rsidR="006D7A39" w:rsidRPr="00CE448E" w:rsidRDefault="006D7A39" w:rsidP="006D7A39">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CE448E">
        <w:rPr>
          <w:rFonts w:ascii="Verdana" w:eastAsia="Century Gothic" w:hAnsi="Verdana" w:cs="Century Gothic"/>
          <w:b/>
          <w:bCs/>
          <w:lang w:val="es-ES"/>
        </w:rPr>
        <w:t>Referencias normativas, jurisprudenciales y otras fuentes:</w:t>
      </w:r>
    </w:p>
    <w:p w14:paraId="3E376EBD" w14:textId="77777777" w:rsidR="006D7A39" w:rsidRPr="00CE448E" w:rsidRDefault="006D7A39" w:rsidP="006D7A39">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6D7A39" w:rsidRPr="00CE448E" w14:paraId="413C3243" w14:textId="77777777" w:rsidTr="00421CA8">
        <w:trPr>
          <w:trHeight w:val="870"/>
        </w:trPr>
        <w:tc>
          <w:tcPr>
            <w:tcW w:w="8647" w:type="dxa"/>
          </w:tcPr>
          <w:p w14:paraId="6FA01A08" w14:textId="77777777" w:rsidR="006D7A39" w:rsidRPr="005A4A0D" w:rsidRDefault="006D7A39" w:rsidP="006D7A39">
            <w:pPr>
              <w:widowControl w:val="0"/>
              <w:numPr>
                <w:ilvl w:val="0"/>
                <w:numId w:val="18"/>
              </w:numPr>
              <w:autoSpaceDE w:val="0"/>
              <w:autoSpaceDN w:val="0"/>
              <w:spacing w:after="120" w:line="276" w:lineRule="auto"/>
              <w:jc w:val="both"/>
              <w:rPr>
                <w:rFonts w:ascii="Verdana" w:eastAsia="Calibri" w:hAnsi="Verdana" w:cs="Arial"/>
              </w:rPr>
            </w:pPr>
            <w:r w:rsidRPr="005A4A0D">
              <w:rPr>
                <w:rFonts w:ascii="Verdana" w:eastAsia="Calibri" w:hAnsi="Verdana" w:cs="Arial"/>
              </w:rPr>
              <w:t xml:space="preserve">Ley 2022 de 2020 </w:t>
            </w:r>
          </w:p>
          <w:p w14:paraId="6C1388C9" w14:textId="77777777" w:rsidR="006D7A39" w:rsidRPr="005A4A0D" w:rsidRDefault="006D7A39" w:rsidP="006D7A39">
            <w:pPr>
              <w:widowControl w:val="0"/>
              <w:numPr>
                <w:ilvl w:val="0"/>
                <w:numId w:val="18"/>
              </w:numPr>
              <w:autoSpaceDE w:val="0"/>
              <w:autoSpaceDN w:val="0"/>
              <w:spacing w:after="120" w:line="276" w:lineRule="auto"/>
              <w:jc w:val="both"/>
              <w:rPr>
                <w:rFonts w:ascii="Verdana" w:eastAsia="Calibri" w:hAnsi="Verdana" w:cs="Arial"/>
              </w:rPr>
            </w:pPr>
            <w:r w:rsidRPr="005A4A0D">
              <w:rPr>
                <w:rFonts w:ascii="Verdana" w:eastAsia="Calibri" w:hAnsi="Verdana" w:cs="Arial"/>
              </w:rPr>
              <w:t>Decreto 1082 de 2015, artículo</w:t>
            </w:r>
            <w:r>
              <w:rPr>
                <w:rFonts w:ascii="Verdana" w:eastAsia="Calibri" w:hAnsi="Verdana" w:cs="Arial"/>
              </w:rPr>
              <w:t xml:space="preserve">s </w:t>
            </w:r>
            <w:r w:rsidRPr="002A358E">
              <w:rPr>
                <w:rFonts w:ascii="Verdana" w:eastAsia="Times New Roman" w:hAnsi="Verdana" w:cs="Arial"/>
                <w:color w:val="000000"/>
                <w:sz w:val="20"/>
                <w:szCs w:val="20"/>
              </w:rPr>
              <w:t xml:space="preserve">2.2.1.2.6.1.4, 2.2.1.2.6.2.3 y 2.2.1.2.6.3.4  </w:t>
            </w:r>
          </w:p>
          <w:p w14:paraId="447365CE" w14:textId="77777777" w:rsidR="006D7A39" w:rsidRPr="008A270A" w:rsidRDefault="006D7A39" w:rsidP="006D7A39">
            <w:pPr>
              <w:pStyle w:val="Prrafodelista"/>
              <w:widowControl w:val="0"/>
              <w:numPr>
                <w:ilvl w:val="0"/>
                <w:numId w:val="18"/>
              </w:numPr>
              <w:autoSpaceDE w:val="0"/>
              <w:autoSpaceDN w:val="0"/>
              <w:spacing w:after="120" w:line="276" w:lineRule="auto"/>
              <w:jc w:val="both"/>
              <w:rPr>
                <w:rFonts w:ascii="Verdana" w:hAnsi="Verdana" w:cs="Arial"/>
              </w:rPr>
            </w:pPr>
            <w:r w:rsidRPr="00576916">
              <w:rPr>
                <w:rFonts w:ascii="Verdana" w:eastAsia="Times New Roman" w:hAnsi="Verdana" w:cs="Arial"/>
                <w:color w:val="000000"/>
              </w:rPr>
              <w:t>Ley 1882 de 2018</w:t>
            </w:r>
            <w:r>
              <w:rPr>
                <w:rFonts w:ascii="Verdana" w:eastAsia="Times New Roman" w:hAnsi="Verdana" w:cs="Arial"/>
                <w:color w:val="000000"/>
              </w:rPr>
              <w:t>, articulo 4</w:t>
            </w:r>
          </w:p>
          <w:p w14:paraId="1A156123" w14:textId="77777777" w:rsidR="006D7A39" w:rsidRPr="00F157CD" w:rsidRDefault="006D7A39" w:rsidP="006D7A39">
            <w:pPr>
              <w:pStyle w:val="Prrafodelista"/>
              <w:widowControl w:val="0"/>
              <w:numPr>
                <w:ilvl w:val="0"/>
                <w:numId w:val="18"/>
              </w:numPr>
              <w:autoSpaceDE w:val="0"/>
              <w:autoSpaceDN w:val="0"/>
              <w:spacing w:after="120" w:line="276" w:lineRule="auto"/>
              <w:jc w:val="both"/>
              <w:rPr>
                <w:rFonts w:ascii="Verdana" w:hAnsi="Verdana" w:cs="Arial"/>
              </w:rPr>
            </w:pPr>
            <w:r>
              <w:rPr>
                <w:rFonts w:ascii="Verdana" w:eastAsia="Times New Roman" w:hAnsi="Verdana" w:cs="Arial"/>
                <w:color w:val="000000"/>
              </w:rPr>
              <w:t>Ley 1150 de 2007</w:t>
            </w:r>
          </w:p>
        </w:tc>
      </w:tr>
    </w:tbl>
    <w:p w14:paraId="3D61172C" w14:textId="77777777" w:rsidR="006D7A39" w:rsidRPr="00CE448E" w:rsidRDefault="006D7A39" w:rsidP="006D7A39">
      <w:pPr>
        <w:widowControl w:val="0"/>
        <w:autoSpaceDE w:val="0"/>
        <w:autoSpaceDN w:val="0"/>
        <w:spacing w:after="0" w:line="276" w:lineRule="auto"/>
        <w:jc w:val="both"/>
        <w:rPr>
          <w:rFonts w:ascii="Verdana" w:hAnsi="Verdana" w:cs="Arial"/>
        </w:rPr>
      </w:pPr>
    </w:p>
    <w:p w14:paraId="50C2BCDD" w14:textId="77777777" w:rsidR="006D7A39" w:rsidRPr="00CE448E" w:rsidRDefault="006D7A39" w:rsidP="006D7A39">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CE448E">
        <w:rPr>
          <w:rFonts w:ascii="Verdana" w:eastAsia="Century Gothic" w:hAnsi="Verdana" w:cs="Century Gothic"/>
          <w:b/>
          <w:bCs/>
          <w:lang w:val="es-ES"/>
        </w:rPr>
        <w:t>Doctrina de la Agencia Nacional de Contratación Pública:</w:t>
      </w:r>
    </w:p>
    <w:p w14:paraId="59D447DF" w14:textId="77777777" w:rsidR="006D7A39" w:rsidRPr="00CE448E" w:rsidRDefault="006D7A39" w:rsidP="006D7A39">
      <w:pPr>
        <w:widowControl w:val="0"/>
        <w:autoSpaceDE w:val="0"/>
        <w:autoSpaceDN w:val="0"/>
        <w:spacing w:after="0" w:line="276" w:lineRule="auto"/>
        <w:jc w:val="both"/>
        <w:rPr>
          <w:rFonts w:ascii="Verdana" w:hAnsi="Verdana" w:cs="Arial"/>
        </w:rPr>
      </w:pPr>
    </w:p>
    <w:p w14:paraId="3FD60AD5" w14:textId="77777777" w:rsidR="006D7A39" w:rsidRPr="00C90D2B" w:rsidRDefault="006D7A39" w:rsidP="006D7A39">
      <w:pPr>
        <w:widowControl w:val="0"/>
        <w:autoSpaceDE w:val="0"/>
        <w:autoSpaceDN w:val="0"/>
        <w:spacing w:after="0" w:line="276" w:lineRule="auto"/>
        <w:jc w:val="both"/>
        <w:rPr>
          <w:rFonts w:ascii="Verdana" w:eastAsia="Calibri" w:hAnsi="Verdana" w:cs="Arial"/>
          <w:shd w:val="clear" w:color="auto" w:fill="FFFFFF"/>
        </w:rPr>
      </w:pPr>
      <w:r w:rsidRPr="00C90D2B">
        <w:rPr>
          <w:rFonts w:ascii="Verdana" w:eastAsia="Calibri" w:hAnsi="Verdana" w:cs="Arial"/>
          <w:shd w:val="clear" w:color="auto" w:fill="FFFFFF"/>
          <w:lang w:val="es-ES"/>
        </w:rPr>
        <w:t>Sobre el ámbito de aplicación de los documentos tipo esta Subdirección se ha pronunciado en los conceptos</w:t>
      </w:r>
      <w:r w:rsidRPr="00C90D2B">
        <w:rPr>
          <w:rFonts w:ascii="Verdana" w:eastAsia="Calibri" w:hAnsi="Verdana" w:cs="Arial"/>
          <w:shd w:val="clear" w:color="auto" w:fill="FFFFFF"/>
        </w:rPr>
        <w:t xml:space="preserve"> C-448 del 11 de julio de 2022, C-672 del 27 de diciembre de 2021, C-018 del 22 de febrero de 2022, C-130 del 22 de marzo de 2022, C- 006 del 07 de marzo de 2022, C-159 del 5 de abril de 2022, C-200 del 18 de abril de 2022, C-417 del 30 de junio de 2022, C-430 del 30 de junio de 2022, C-678 del 18 de octubre de 2022, C-765 del 11 de noviembre de 2022, C-809 del 12 de diciembre de 2022, C-848 del 09 de diciembre de 2022</w:t>
      </w:r>
      <w:r>
        <w:rPr>
          <w:rFonts w:ascii="Verdana" w:eastAsia="Calibri" w:hAnsi="Verdana" w:cs="Arial"/>
          <w:shd w:val="clear" w:color="auto" w:fill="FFFFFF"/>
        </w:rPr>
        <w:t xml:space="preserve">, </w:t>
      </w:r>
      <w:r w:rsidRPr="00C90D2B">
        <w:rPr>
          <w:rFonts w:ascii="Verdana" w:eastAsia="Calibri" w:hAnsi="Verdana" w:cs="Arial"/>
          <w:shd w:val="clear" w:color="auto" w:fill="FFFFFF"/>
        </w:rPr>
        <w:t>C-053 del 28 de marzo  de</w:t>
      </w:r>
      <w:r w:rsidRPr="00C90D2B">
        <w:rPr>
          <w:rFonts w:ascii="Verdana" w:eastAsia="Calibri" w:hAnsi="Verdana" w:cs="Arial"/>
          <w:shd w:val="clear" w:color="auto" w:fill="FFFFFF"/>
          <w:lang w:val="es-ES_tradnl"/>
        </w:rPr>
        <w:t xml:space="preserve"> 2023</w:t>
      </w:r>
      <w:r>
        <w:rPr>
          <w:rFonts w:ascii="Verdana" w:eastAsia="Calibri" w:hAnsi="Verdana" w:cs="Arial"/>
          <w:shd w:val="clear" w:color="auto" w:fill="FFFFFF"/>
          <w:lang w:val="es-ES_tradnl"/>
        </w:rPr>
        <w:t xml:space="preserve">, C-153 del 02 de junio de 2023 y C- 283 del 11 de </w:t>
      </w:r>
      <w:r>
        <w:rPr>
          <w:rFonts w:ascii="Verdana" w:eastAsia="Calibri" w:hAnsi="Verdana" w:cs="Arial"/>
          <w:shd w:val="clear" w:color="auto" w:fill="FFFFFF"/>
          <w:lang w:val="es-ES_tradnl"/>
        </w:rPr>
        <w:lastRenderedPageBreak/>
        <w:t>julio de 2024</w:t>
      </w:r>
      <w:r w:rsidRPr="00C90D2B">
        <w:rPr>
          <w:rFonts w:ascii="Verdana" w:eastAsia="Calibri" w:hAnsi="Verdana" w:cs="Arial"/>
          <w:shd w:val="clear" w:color="auto" w:fill="FFFFFF"/>
          <w:vertAlign w:val="superscript"/>
          <w:lang w:val="es-ES_tradnl"/>
        </w:rPr>
        <w:footnoteReference w:id="5"/>
      </w:r>
      <w:r w:rsidRPr="00C90D2B">
        <w:rPr>
          <w:rFonts w:ascii="Verdana" w:eastAsia="Calibri" w:hAnsi="Verdana" w:cs="Arial"/>
          <w:shd w:val="clear" w:color="auto" w:fill="FFFFFF"/>
          <w:lang w:val="es-ES_tradnl"/>
        </w:rPr>
        <w:t>. Algunas de las consideraciones de estos conceptos se reiteran y se complementan en lo pertinente, teniendo en cuenta lo consultado.</w:t>
      </w:r>
      <w:r w:rsidRPr="00C90D2B">
        <w:rPr>
          <w:rFonts w:ascii="Verdana" w:eastAsia="Calibri" w:hAnsi="Verdana" w:cs="Arial"/>
          <w:shd w:val="clear" w:color="auto" w:fill="FFFFFF"/>
          <w:lang w:val="es-ES"/>
        </w:rPr>
        <w:t xml:space="preserve"> Es</w:t>
      </w:r>
      <w:r w:rsidRPr="00C90D2B">
        <w:rPr>
          <w:rFonts w:ascii="Verdana" w:eastAsia="Calibri" w:hAnsi="Verdana" w:cs="Arial"/>
          <w:shd w:val="clear" w:color="auto" w:fill="FFFFFF"/>
        </w:rPr>
        <w:t>tos y otros conceptos se encuentran disponibles para consulta en el Sistema de relatoría de la Agencia, al cual se puede acceder a través del siguiente enlace:</w:t>
      </w:r>
    </w:p>
    <w:p w14:paraId="116A5889" w14:textId="77777777" w:rsidR="006D7A39" w:rsidRDefault="006D7A39" w:rsidP="006D7A39">
      <w:pPr>
        <w:widowControl w:val="0"/>
        <w:autoSpaceDE w:val="0"/>
        <w:autoSpaceDN w:val="0"/>
        <w:spacing w:after="0" w:line="276" w:lineRule="auto"/>
        <w:jc w:val="both"/>
        <w:rPr>
          <w:rFonts w:ascii="Verdana" w:eastAsia="Calibri" w:hAnsi="Verdana" w:cs="Arial"/>
          <w:shd w:val="clear" w:color="auto" w:fill="FFFFFF"/>
          <w:lang w:val="es-ES"/>
        </w:rPr>
      </w:pPr>
      <w:r w:rsidRPr="005A4A0D">
        <w:rPr>
          <w:rFonts w:ascii="Verdana" w:eastAsia="Calibri" w:hAnsi="Verdana" w:cs="Times New Roman"/>
        </w:rPr>
        <w:t>:</w:t>
      </w:r>
      <w:r w:rsidRPr="005A4A0D">
        <w:rPr>
          <w:rFonts w:ascii="Verdana" w:eastAsia="Calibri" w:hAnsi="Verdana" w:cs="Arial"/>
          <w:shd w:val="clear" w:color="auto" w:fill="FFFFFF"/>
          <w:lang w:val="es-ES"/>
        </w:rPr>
        <w:t xml:space="preserve"> </w:t>
      </w:r>
      <w:hyperlink r:id="rId12" w:history="1">
        <w:r w:rsidRPr="005A4A0D">
          <w:rPr>
            <w:rFonts w:ascii="Verdana" w:eastAsia="Calibri" w:hAnsi="Verdana" w:cs="Arial"/>
            <w:u w:val="single"/>
            <w:shd w:val="clear" w:color="auto" w:fill="FFFFFF"/>
            <w:lang w:val="es-ES"/>
          </w:rPr>
          <w:t>https://relatoria.colombiacompra.gov.co/busqueda/conceptos</w:t>
        </w:r>
      </w:hyperlink>
      <w:r w:rsidRPr="005A4A0D">
        <w:rPr>
          <w:rFonts w:ascii="Verdana" w:eastAsia="Calibri" w:hAnsi="Verdana" w:cs="Arial"/>
          <w:shd w:val="clear" w:color="auto" w:fill="FFFFFF"/>
          <w:lang w:val="es-ES"/>
        </w:rPr>
        <w:t xml:space="preserve">. </w:t>
      </w:r>
    </w:p>
    <w:p w14:paraId="37D33A5D" w14:textId="77777777" w:rsidR="006D7A39" w:rsidRPr="005A4A0D" w:rsidRDefault="006D7A39" w:rsidP="006D7A39">
      <w:pPr>
        <w:widowControl w:val="0"/>
        <w:autoSpaceDE w:val="0"/>
        <w:autoSpaceDN w:val="0"/>
        <w:spacing w:after="0" w:line="276" w:lineRule="auto"/>
        <w:jc w:val="both"/>
        <w:rPr>
          <w:rFonts w:ascii="Verdana" w:eastAsia="Calibri" w:hAnsi="Verdana" w:cs="Arial"/>
          <w:shd w:val="clear" w:color="auto" w:fill="FFFFFF"/>
          <w:lang w:val="es-ES"/>
        </w:rPr>
      </w:pPr>
    </w:p>
    <w:p w14:paraId="3D72DD46" w14:textId="77777777" w:rsidR="006D7A39" w:rsidRPr="00CE448E" w:rsidRDefault="006D7A39" w:rsidP="006D7A39">
      <w:pPr>
        <w:widowControl w:val="0"/>
        <w:autoSpaceDE w:val="0"/>
        <w:autoSpaceDN w:val="0"/>
        <w:spacing w:after="0" w:line="276" w:lineRule="auto"/>
        <w:jc w:val="both"/>
        <w:rPr>
          <w:rFonts w:ascii="Verdana" w:hAnsi="Verdana" w:cs="Arial"/>
          <w:color w:val="FF0000"/>
          <w:shd w:val="clear" w:color="auto" w:fill="FFFFFF"/>
          <w:lang w:val="es-ES"/>
        </w:rPr>
      </w:pPr>
      <w:r w:rsidRPr="00CE448E">
        <w:rPr>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CE448E">
        <w:rPr>
          <w:rFonts w:ascii="Verdana" w:hAnsi="Verdana" w:cs="Arial"/>
          <w:color w:val="FF0000"/>
          <w:shd w:val="clear" w:color="auto" w:fill="FFFFFF"/>
          <w:lang w:val="es-ES"/>
        </w:rPr>
        <w:t xml:space="preserve"> </w:t>
      </w:r>
      <w:hyperlink r:id="rId13" w:history="1">
        <w:r w:rsidRPr="00CE448E">
          <w:rPr>
            <w:rFonts w:ascii="Verdana" w:hAnsi="Verdana" w:cs="Arial"/>
            <w:color w:val="0563C1" w:themeColor="hyperlink"/>
            <w:u w:val="single"/>
            <w:shd w:val="clear" w:color="auto" w:fill="FFFFFF"/>
            <w:lang w:val="es-ES"/>
          </w:rPr>
          <w:t>https://www.colombiacompra.gov.co/sala-de-prensa/boletin-digital</w:t>
        </w:r>
      </w:hyperlink>
      <w:r w:rsidRPr="00CE448E">
        <w:rPr>
          <w:rFonts w:ascii="Verdana" w:hAnsi="Verdana" w:cs="Arial"/>
          <w:color w:val="FF0000"/>
          <w:shd w:val="clear" w:color="auto" w:fill="FFFFFF"/>
          <w:lang w:val="es-ES"/>
        </w:rPr>
        <w:t xml:space="preserve">      </w:t>
      </w:r>
    </w:p>
    <w:p w14:paraId="7A9F97F3" w14:textId="77777777" w:rsidR="006D7A39" w:rsidRPr="00CE448E" w:rsidRDefault="006D7A39" w:rsidP="006D7A39">
      <w:pPr>
        <w:spacing w:after="0" w:line="240" w:lineRule="auto"/>
        <w:jc w:val="both"/>
        <w:rPr>
          <w:rFonts w:ascii="Verdana" w:hAnsi="Verdana"/>
        </w:rPr>
      </w:pPr>
      <w:r w:rsidRPr="00CE448E">
        <w:rPr>
          <w:rFonts w:ascii="Verdana" w:hAnsi="Verdana"/>
        </w:rPr>
        <w:t xml:space="preserve">Por último, lo invitamos a seguirnos en las redes sociales en las cuales se difunde información institucional: </w:t>
      </w:r>
    </w:p>
    <w:p w14:paraId="57953718" w14:textId="77777777" w:rsidR="006D7A39" w:rsidRPr="00CE448E" w:rsidRDefault="006D7A39" w:rsidP="006D7A39">
      <w:pPr>
        <w:spacing w:after="0" w:line="240" w:lineRule="auto"/>
        <w:jc w:val="both"/>
        <w:rPr>
          <w:rFonts w:ascii="Verdana" w:hAnsi="Verdana"/>
        </w:rPr>
      </w:pPr>
    </w:p>
    <w:p w14:paraId="126F6A44" w14:textId="77777777" w:rsidR="006D7A39" w:rsidRPr="00CE448E" w:rsidRDefault="006D7A39" w:rsidP="006D7A39">
      <w:pPr>
        <w:spacing w:after="0" w:line="240" w:lineRule="auto"/>
        <w:jc w:val="both"/>
        <w:rPr>
          <w:rFonts w:ascii="Verdana" w:hAnsi="Verdana"/>
        </w:rPr>
      </w:pPr>
      <w:r w:rsidRPr="00CE448E">
        <w:rPr>
          <w:rFonts w:ascii="Verdana" w:hAnsi="Verdana"/>
        </w:rPr>
        <w:t xml:space="preserve">Twitter: </w:t>
      </w:r>
      <w:r w:rsidRPr="00CE448E">
        <w:rPr>
          <w:rFonts w:ascii="Verdana" w:hAnsi="Verdana"/>
          <w:color w:val="4472C4" w:themeColor="accent1"/>
          <w:u w:val="single"/>
        </w:rPr>
        <w:t>@colombiacompra</w:t>
      </w:r>
      <w:r w:rsidRPr="00CE448E">
        <w:rPr>
          <w:rFonts w:ascii="Verdana" w:hAnsi="Verdana"/>
          <w:color w:val="4472C4" w:themeColor="accent1"/>
        </w:rPr>
        <w:t xml:space="preserve"> </w:t>
      </w:r>
    </w:p>
    <w:p w14:paraId="574C5E4F" w14:textId="77777777" w:rsidR="006D7A39" w:rsidRPr="00CE448E" w:rsidRDefault="006D7A39" w:rsidP="006D7A39">
      <w:pPr>
        <w:spacing w:after="0" w:line="240" w:lineRule="auto"/>
        <w:jc w:val="both"/>
        <w:rPr>
          <w:rFonts w:ascii="Verdana" w:hAnsi="Verdana"/>
        </w:rPr>
      </w:pPr>
      <w:r w:rsidRPr="00CE448E">
        <w:rPr>
          <w:rFonts w:ascii="Verdana" w:hAnsi="Verdana"/>
        </w:rPr>
        <w:t xml:space="preserve">Facebook: </w:t>
      </w:r>
      <w:proofErr w:type="spellStart"/>
      <w:r w:rsidRPr="00CE448E">
        <w:rPr>
          <w:rFonts w:ascii="Verdana" w:hAnsi="Verdana"/>
          <w:color w:val="4472C4" w:themeColor="accent1"/>
          <w:u w:val="single"/>
        </w:rPr>
        <w:t>ColombiaCompraEficiente</w:t>
      </w:r>
      <w:proofErr w:type="spellEnd"/>
    </w:p>
    <w:p w14:paraId="27CAF1F7" w14:textId="77777777" w:rsidR="006D7A39" w:rsidRPr="00CE448E" w:rsidRDefault="006D7A39" w:rsidP="006D7A39">
      <w:pPr>
        <w:spacing w:after="0" w:line="240" w:lineRule="auto"/>
        <w:jc w:val="both"/>
        <w:rPr>
          <w:rFonts w:ascii="Verdana" w:hAnsi="Verdana"/>
        </w:rPr>
      </w:pPr>
      <w:r w:rsidRPr="00CE448E">
        <w:rPr>
          <w:rFonts w:ascii="Verdana" w:hAnsi="Verdana"/>
        </w:rPr>
        <w:t xml:space="preserve">LinkedIn: </w:t>
      </w:r>
      <w:r w:rsidRPr="00CE448E">
        <w:rPr>
          <w:rFonts w:ascii="Verdana" w:hAnsi="Verdana"/>
          <w:color w:val="4472C4" w:themeColor="accent1"/>
          <w:u w:val="single"/>
        </w:rPr>
        <w:t>Agencia Nacional de Contratación Pública - Colombia Compra Eficiente</w:t>
      </w:r>
      <w:r w:rsidRPr="00CE448E">
        <w:rPr>
          <w:rFonts w:ascii="Verdana" w:hAnsi="Verdana"/>
          <w:color w:val="4472C4" w:themeColor="accent1"/>
        </w:rPr>
        <w:t xml:space="preserve"> </w:t>
      </w:r>
      <w:r w:rsidRPr="00CE448E">
        <w:rPr>
          <w:rFonts w:ascii="Verdana" w:hAnsi="Verdana"/>
        </w:rPr>
        <w:t xml:space="preserve">Instagram: </w:t>
      </w:r>
      <w:r w:rsidRPr="00CE448E">
        <w:rPr>
          <w:rFonts w:ascii="Verdana" w:hAnsi="Verdana"/>
          <w:color w:val="4472C4" w:themeColor="accent1"/>
          <w:u w:val="single"/>
        </w:rPr>
        <w:t>@colombiacompraeficiente_cce</w:t>
      </w:r>
    </w:p>
    <w:p w14:paraId="2FB14E79" w14:textId="77777777" w:rsidR="006D7A39" w:rsidRPr="00CE448E" w:rsidRDefault="006D7A39" w:rsidP="006D7A39">
      <w:pPr>
        <w:widowControl w:val="0"/>
        <w:autoSpaceDE w:val="0"/>
        <w:autoSpaceDN w:val="0"/>
        <w:spacing w:after="0" w:line="276" w:lineRule="auto"/>
        <w:jc w:val="both"/>
        <w:rPr>
          <w:rFonts w:ascii="Verdana" w:hAnsi="Verdana" w:cs="Arial"/>
        </w:rPr>
      </w:pPr>
    </w:p>
    <w:p w14:paraId="401C4535" w14:textId="77777777" w:rsidR="006D7A39" w:rsidRPr="00CE448E" w:rsidRDefault="006D7A39" w:rsidP="006D7A39">
      <w:pPr>
        <w:widowControl w:val="0"/>
        <w:autoSpaceDE w:val="0"/>
        <w:autoSpaceDN w:val="0"/>
        <w:spacing w:after="0" w:line="276" w:lineRule="auto"/>
        <w:jc w:val="both"/>
        <w:rPr>
          <w:rFonts w:ascii="Verdana" w:hAnsi="Verdana" w:cs="Arial"/>
          <w:lang w:val="es-ES_tradnl"/>
        </w:rPr>
      </w:pPr>
      <w:r w:rsidRPr="00CE448E">
        <w:rPr>
          <w:rFonts w:ascii="Verdana" w:hAnsi="Verdana" w:cs="Arial"/>
        </w:rPr>
        <w:t xml:space="preserve">Este concepto tiene el alcance previsto en el artículo 28 del Código de Procedimiento Administrativo y de lo Contencioso Administrativo </w:t>
      </w:r>
      <w:r w:rsidRPr="00CE448E">
        <w:rPr>
          <w:rFonts w:ascii="Verdana" w:hAnsi="Verdana" w:cs="Arial"/>
          <w:lang w:val="es-ES_tradnl"/>
        </w:rPr>
        <w:t>y las expresiones aquí utilizadas con mayúscula inicial deben ser entendidas con el significado que les otorga el artículo 2.2.1.1.1.3.1. del Decreto 1082 de 2015.</w:t>
      </w:r>
    </w:p>
    <w:p w14:paraId="1797E683" w14:textId="77777777" w:rsidR="006D7A39" w:rsidRPr="00CE448E" w:rsidRDefault="006D7A39" w:rsidP="006D7A39">
      <w:pPr>
        <w:widowControl w:val="0"/>
        <w:autoSpaceDE w:val="0"/>
        <w:autoSpaceDN w:val="0"/>
        <w:spacing w:after="0" w:line="276" w:lineRule="auto"/>
        <w:jc w:val="both"/>
        <w:rPr>
          <w:rFonts w:ascii="Verdana" w:hAnsi="Verdana" w:cs="Arial"/>
        </w:rPr>
      </w:pPr>
    </w:p>
    <w:p w14:paraId="37FC9DC2" w14:textId="713CECFF" w:rsidR="001F7FB7" w:rsidRPr="00CE448E" w:rsidRDefault="006D7A39" w:rsidP="006D7A39">
      <w:pPr>
        <w:spacing w:after="0" w:line="240" w:lineRule="auto"/>
        <w:rPr>
          <w:rFonts w:ascii="Verdana" w:hAnsi="Verdana" w:cs="Arial"/>
          <w:lang w:eastAsia="es-CO"/>
        </w:rPr>
      </w:pPr>
      <w:r w:rsidRPr="00CE448E">
        <w:rPr>
          <w:rFonts w:ascii="Verdana" w:eastAsia="Times New Roman" w:hAnsi="Verdana" w:cs="Arial"/>
          <w:lang w:eastAsia="es-CO"/>
        </w:rPr>
        <w:t>Atentamente,</w:t>
      </w:r>
      <w:r w:rsidRPr="00CE448E">
        <w:rPr>
          <w:rFonts w:ascii="Verdana" w:hAnsi="Verdana" w:cs="Arial"/>
          <w:lang w:eastAsia="es-CO"/>
        </w:rPr>
        <w:t xml:space="preserve"> </w:t>
      </w:r>
    </w:p>
    <w:p w14:paraId="07B19286" w14:textId="6906E389" w:rsidR="006D7A39" w:rsidRPr="00CE448E" w:rsidRDefault="001F7FB7" w:rsidP="006D7A39">
      <w:pPr>
        <w:spacing w:line="276" w:lineRule="auto"/>
        <w:jc w:val="center"/>
        <w:rPr>
          <w:rFonts w:ascii="Verdana" w:hAnsi="Verdana" w:cs="Arial"/>
          <w:color w:val="000000"/>
          <w:lang w:val="es-ES_tradnl" w:eastAsia="es-CO"/>
        </w:rPr>
      </w:pPr>
      <w:r>
        <w:rPr>
          <w:noProof/>
        </w:rPr>
        <w:drawing>
          <wp:inline distT="0" distB="0" distL="0" distR="0" wp14:anchorId="4853F9E0" wp14:editId="58A5F0EC">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6D7A39" w:rsidRPr="00CE448E" w14:paraId="29375C10" w14:textId="77777777" w:rsidTr="00421CA8">
        <w:trPr>
          <w:trHeight w:val="315"/>
        </w:trPr>
        <w:tc>
          <w:tcPr>
            <w:tcW w:w="893" w:type="dxa"/>
            <w:vAlign w:val="center"/>
            <w:hideMark/>
          </w:tcPr>
          <w:p w14:paraId="424ED441" w14:textId="77777777" w:rsidR="006D7A39" w:rsidRPr="00CE448E" w:rsidRDefault="006D7A39" w:rsidP="00421CA8">
            <w:pPr>
              <w:contextualSpacing/>
              <w:rPr>
                <w:rFonts w:ascii="Verdana" w:hAnsi="Verdana" w:cs="Arial"/>
                <w:sz w:val="16"/>
                <w:szCs w:val="16"/>
                <w:lang w:val="es-ES" w:eastAsia="es-ES"/>
              </w:rPr>
            </w:pPr>
            <w:r w:rsidRPr="00CE448E">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65319694" w14:textId="77777777" w:rsidR="006D7A39" w:rsidRPr="00CE448E" w:rsidRDefault="006D7A39" w:rsidP="00421CA8">
            <w:pPr>
              <w:contextualSpacing/>
            </w:pPr>
            <w:proofErr w:type="spellStart"/>
            <w:r w:rsidRPr="00CE448E">
              <w:t>H</w:t>
            </w:r>
            <w:r w:rsidRPr="00CE448E">
              <w:rPr>
                <w:rFonts w:ascii="Verdana" w:hAnsi="Verdana"/>
                <w:sz w:val="16"/>
                <w:szCs w:val="16"/>
              </w:rPr>
              <w:t>ector</w:t>
            </w:r>
            <w:proofErr w:type="spellEnd"/>
            <w:r w:rsidRPr="00CE448E">
              <w:rPr>
                <w:rFonts w:ascii="Verdana" w:hAnsi="Verdana"/>
                <w:sz w:val="16"/>
                <w:szCs w:val="16"/>
              </w:rPr>
              <w:t xml:space="preserve"> Luis Quiñones </w:t>
            </w:r>
            <w:proofErr w:type="spellStart"/>
            <w:r w:rsidRPr="00CE448E">
              <w:rPr>
                <w:rFonts w:ascii="Verdana" w:hAnsi="Verdana"/>
                <w:sz w:val="16"/>
                <w:szCs w:val="16"/>
              </w:rPr>
              <w:t>Quiñones</w:t>
            </w:r>
            <w:proofErr w:type="spellEnd"/>
            <w:r w:rsidRPr="00CE448E">
              <w:rPr>
                <w:rFonts w:ascii="Verdana" w:hAnsi="Verdana"/>
                <w:sz w:val="16"/>
                <w:szCs w:val="16"/>
              </w:rPr>
              <w:t xml:space="preserve"> </w:t>
            </w:r>
          </w:p>
          <w:p w14:paraId="3A6AAB38" w14:textId="77777777" w:rsidR="006D7A39" w:rsidRPr="00CE448E" w:rsidRDefault="006D7A39" w:rsidP="00421CA8">
            <w:pPr>
              <w:contextualSpacing/>
              <w:rPr>
                <w:rFonts w:ascii="Verdana" w:eastAsia="Arial" w:hAnsi="Verdana" w:cs="Arial"/>
                <w:sz w:val="16"/>
                <w:szCs w:val="16"/>
              </w:rPr>
            </w:pPr>
            <w:r w:rsidRPr="00CE448E">
              <w:rPr>
                <w:rFonts w:ascii="Verdana" w:eastAsia="Arial" w:hAnsi="Verdana" w:cs="Arial"/>
                <w:sz w:val="16"/>
                <w:szCs w:val="16"/>
              </w:rPr>
              <w:t>Analista T2 – 02 de la Subdirección de Gestión Contractual</w:t>
            </w:r>
          </w:p>
        </w:tc>
      </w:tr>
      <w:tr w:rsidR="006D7A39" w:rsidRPr="00CE448E" w14:paraId="4EF8AC89" w14:textId="77777777" w:rsidTr="00421CA8">
        <w:trPr>
          <w:trHeight w:val="330"/>
        </w:trPr>
        <w:tc>
          <w:tcPr>
            <w:tcW w:w="893" w:type="dxa"/>
            <w:vAlign w:val="center"/>
            <w:hideMark/>
          </w:tcPr>
          <w:p w14:paraId="4BD387B0" w14:textId="77777777" w:rsidR="006D7A39" w:rsidRPr="00CE448E" w:rsidRDefault="006D7A39" w:rsidP="00421CA8">
            <w:pPr>
              <w:contextualSpacing/>
              <w:rPr>
                <w:rFonts w:ascii="Verdana" w:hAnsi="Verdana" w:cs="Arial"/>
                <w:sz w:val="16"/>
                <w:szCs w:val="16"/>
                <w:lang w:val="es-ES" w:eastAsia="es-ES"/>
              </w:rPr>
            </w:pPr>
            <w:r w:rsidRPr="00CE448E">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D09356B" w14:textId="77777777" w:rsidR="006D7A39" w:rsidRPr="00CE448E" w:rsidRDefault="006D7A39" w:rsidP="00421CA8">
            <w:pPr>
              <w:contextualSpacing/>
              <w:textAlignment w:val="baseline"/>
              <w:rPr>
                <w:rFonts w:ascii="Verdana" w:eastAsia="Times New Roman" w:hAnsi="Verdana" w:cs="Arial"/>
                <w:sz w:val="16"/>
                <w:szCs w:val="16"/>
                <w:lang w:val="es-ES" w:eastAsia="es-ES_tradnl"/>
              </w:rPr>
            </w:pPr>
            <w:r w:rsidRPr="00CE448E">
              <w:rPr>
                <w:rFonts w:ascii="Verdana" w:eastAsia="Times New Roman" w:hAnsi="Verdana" w:cs="Arial"/>
                <w:sz w:val="16"/>
                <w:szCs w:val="16"/>
                <w:lang w:val="es-ES" w:eastAsia="es-ES_tradnl"/>
              </w:rPr>
              <w:t>Juan David Cárdenas</w:t>
            </w:r>
          </w:p>
          <w:p w14:paraId="3553127A" w14:textId="77777777" w:rsidR="006D7A39" w:rsidRPr="00CE448E" w:rsidRDefault="006D7A39" w:rsidP="00421CA8">
            <w:pPr>
              <w:contextualSpacing/>
              <w:textAlignment w:val="baseline"/>
              <w:rPr>
                <w:rFonts w:ascii="Verdana" w:eastAsia="Times New Roman" w:hAnsi="Verdana" w:cs="Segoe UI"/>
                <w:sz w:val="16"/>
                <w:szCs w:val="16"/>
                <w:lang w:eastAsia="es-ES_tradnl"/>
              </w:rPr>
            </w:pPr>
            <w:r w:rsidRPr="00CE448E">
              <w:rPr>
                <w:rFonts w:ascii="Verdana" w:eastAsia="Times New Roman" w:hAnsi="Verdana" w:cs="Arial"/>
                <w:sz w:val="16"/>
                <w:szCs w:val="16"/>
                <w:lang w:val="es-ES" w:eastAsia="es-ES_tradnl"/>
              </w:rPr>
              <w:t>Contratista de la Subdirección de Gestión Contractual</w:t>
            </w:r>
            <w:r w:rsidRPr="00CE448E">
              <w:rPr>
                <w:rFonts w:ascii="Verdana" w:eastAsia="Times New Roman" w:hAnsi="Verdana" w:cs="Arial"/>
                <w:sz w:val="16"/>
                <w:szCs w:val="16"/>
                <w:lang w:eastAsia="es-ES_tradnl"/>
              </w:rPr>
              <w:t> </w:t>
            </w:r>
          </w:p>
        </w:tc>
      </w:tr>
      <w:tr w:rsidR="006D7A39" w:rsidRPr="00CE448E" w14:paraId="39619004" w14:textId="77777777" w:rsidTr="00421CA8">
        <w:trPr>
          <w:trHeight w:val="300"/>
        </w:trPr>
        <w:tc>
          <w:tcPr>
            <w:tcW w:w="893" w:type="dxa"/>
            <w:vAlign w:val="center"/>
          </w:tcPr>
          <w:p w14:paraId="34FFD1EC" w14:textId="77777777" w:rsidR="006D7A39" w:rsidRPr="00CE448E" w:rsidRDefault="006D7A39" w:rsidP="00421CA8">
            <w:pPr>
              <w:contextualSpacing/>
              <w:rPr>
                <w:rFonts w:ascii="Verdana" w:hAnsi="Verdana" w:cs="Arial"/>
                <w:sz w:val="16"/>
                <w:szCs w:val="16"/>
                <w:lang w:val="es-ES" w:eastAsia="es-ES"/>
              </w:rPr>
            </w:pPr>
            <w:r w:rsidRPr="00CE448E">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55250F85" w14:textId="77777777" w:rsidR="006D7A39" w:rsidRPr="00CE448E" w:rsidRDefault="006D7A39" w:rsidP="00421CA8">
            <w:pPr>
              <w:contextualSpacing/>
              <w:rPr>
                <w:rFonts w:ascii="Verdana" w:eastAsia="Calibri" w:hAnsi="Verdana" w:cs="Arial"/>
                <w:sz w:val="16"/>
                <w:szCs w:val="16"/>
                <w:lang w:val="pt-BR" w:eastAsia="es-ES"/>
              </w:rPr>
            </w:pPr>
            <w:r w:rsidRPr="00CE448E">
              <w:rPr>
                <w:rFonts w:ascii="Verdana" w:eastAsia="Calibri" w:hAnsi="Verdana" w:cs="Arial"/>
                <w:sz w:val="16"/>
                <w:szCs w:val="16"/>
                <w:lang w:val="pt-BR" w:eastAsia="es-ES"/>
              </w:rPr>
              <w:t xml:space="preserve">Carolina Quintero </w:t>
            </w:r>
            <w:proofErr w:type="spellStart"/>
            <w:r w:rsidRPr="00CE448E">
              <w:rPr>
                <w:rFonts w:ascii="Verdana" w:eastAsia="Calibri" w:hAnsi="Verdana" w:cs="Arial"/>
                <w:sz w:val="16"/>
                <w:szCs w:val="16"/>
                <w:lang w:val="pt-BR" w:eastAsia="es-ES"/>
              </w:rPr>
              <w:t>Gacharná</w:t>
            </w:r>
            <w:proofErr w:type="spellEnd"/>
          </w:p>
          <w:p w14:paraId="09D1316B" w14:textId="77777777" w:rsidR="006D7A39" w:rsidRPr="00CE448E" w:rsidRDefault="006D7A39" w:rsidP="00421CA8">
            <w:pPr>
              <w:contextualSpacing/>
              <w:rPr>
                <w:rFonts w:ascii="Verdana" w:eastAsia="Calibri" w:hAnsi="Verdana" w:cs="Arial"/>
                <w:sz w:val="16"/>
                <w:szCs w:val="16"/>
                <w:lang w:val="pt-BR" w:eastAsia="es-ES"/>
              </w:rPr>
            </w:pPr>
            <w:r w:rsidRPr="00CE448E">
              <w:rPr>
                <w:rFonts w:ascii="Verdana" w:eastAsia="Calibri" w:hAnsi="Verdana" w:cs="Arial"/>
                <w:sz w:val="16"/>
                <w:szCs w:val="16"/>
                <w:lang w:eastAsia="es-ES"/>
              </w:rPr>
              <w:t>Subdirectora</w:t>
            </w:r>
            <w:r w:rsidRPr="00CE448E">
              <w:rPr>
                <w:rFonts w:ascii="Verdana" w:eastAsia="Calibri" w:hAnsi="Verdana" w:cs="Arial"/>
                <w:sz w:val="16"/>
                <w:szCs w:val="16"/>
                <w:lang w:val="pt-BR" w:eastAsia="es-ES"/>
              </w:rPr>
              <w:t xml:space="preserve"> de </w:t>
            </w:r>
            <w:proofErr w:type="spellStart"/>
            <w:r w:rsidRPr="00CE448E">
              <w:rPr>
                <w:rFonts w:ascii="Verdana" w:eastAsia="Calibri" w:hAnsi="Verdana" w:cs="Arial"/>
                <w:sz w:val="16"/>
                <w:szCs w:val="16"/>
                <w:lang w:val="pt-BR" w:eastAsia="es-ES"/>
              </w:rPr>
              <w:t>Gestión</w:t>
            </w:r>
            <w:proofErr w:type="spellEnd"/>
            <w:r w:rsidRPr="00CE448E">
              <w:rPr>
                <w:rFonts w:ascii="Verdana" w:eastAsia="Calibri" w:hAnsi="Verdana" w:cs="Arial"/>
                <w:sz w:val="16"/>
                <w:szCs w:val="16"/>
                <w:lang w:val="pt-BR" w:eastAsia="es-ES"/>
              </w:rPr>
              <w:t xml:space="preserve"> </w:t>
            </w:r>
            <w:proofErr w:type="spellStart"/>
            <w:r w:rsidRPr="00CE448E">
              <w:rPr>
                <w:rFonts w:ascii="Verdana" w:eastAsia="Calibri" w:hAnsi="Verdana" w:cs="Arial"/>
                <w:sz w:val="16"/>
                <w:szCs w:val="16"/>
                <w:lang w:val="pt-BR" w:eastAsia="es-ES"/>
              </w:rPr>
              <w:t>Contractual</w:t>
            </w:r>
            <w:proofErr w:type="spellEnd"/>
            <w:r w:rsidRPr="00CE448E">
              <w:rPr>
                <w:rFonts w:ascii="Verdana" w:eastAsia="Calibri" w:hAnsi="Verdana" w:cs="Arial"/>
                <w:sz w:val="16"/>
                <w:szCs w:val="16"/>
                <w:lang w:val="pt-BR" w:eastAsia="es-ES"/>
              </w:rPr>
              <w:t xml:space="preserve"> ANCP – CCE</w:t>
            </w:r>
          </w:p>
        </w:tc>
      </w:tr>
    </w:tbl>
    <w:p w14:paraId="6EDEC17E" w14:textId="77777777" w:rsidR="006D7A39" w:rsidRPr="00CE448E" w:rsidRDefault="006D7A39" w:rsidP="006D7A39">
      <w:pPr>
        <w:spacing w:after="0" w:line="240" w:lineRule="auto"/>
        <w:rPr>
          <w:rFonts w:ascii="Verdana" w:eastAsia="Times New Roman" w:hAnsi="Verdana" w:cs="Arial"/>
          <w:sz w:val="24"/>
          <w:szCs w:val="24"/>
          <w:lang w:eastAsia="es-ES"/>
        </w:rPr>
      </w:pPr>
    </w:p>
    <w:p w14:paraId="72B1E905" w14:textId="77777777" w:rsidR="006D7A39" w:rsidRPr="00CE448E" w:rsidRDefault="006D7A39" w:rsidP="006D7A39"/>
    <w:p w14:paraId="2E455489" w14:textId="77777777" w:rsidR="006D7A39" w:rsidRPr="0044528D" w:rsidRDefault="006D7A39" w:rsidP="006D7A39">
      <w:pPr>
        <w:spacing w:after="0"/>
        <w:rPr>
          <w:rFonts w:ascii="Verdana" w:hAnsi="Verdana"/>
        </w:rPr>
      </w:pPr>
    </w:p>
    <w:p w14:paraId="67CC9280" w14:textId="77777777" w:rsidR="006D7A39" w:rsidRDefault="006D7A39" w:rsidP="00E245AB">
      <w:pPr>
        <w:spacing w:after="0"/>
        <w:rPr>
          <w:rFonts w:ascii="Verdana" w:hAnsi="Verdana"/>
        </w:rPr>
      </w:pPr>
    </w:p>
    <w:p w14:paraId="2CBA00C1" w14:textId="77777777" w:rsidR="006D7A39" w:rsidRDefault="006D7A39" w:rsidP="00E245AB">
      <w:pPr>
        <w:spacing w:after="0"/>
        <w:rPr>
          <w:rFonts w:ascii="Verdana" w:hAnsi="Verdana"/>
        </w:rPr>
      </w:pPr>
    </w:p>
    <w:p w14:paraId="18368666" w14:textId="77777777" w:rsidR="006D7A39" w:rsidRDefault="006D7A39" w:rsidP="00E245AB">
      <w:pPr>
        <w:spacing w:after="0"/>
        <w:rPr>
          <w:rFonts w:ascii="Verdana" w:hAnsi="Verdana"/>
        </w:rPr>
      </w:pPr>
    </w:p>
    <w:p w14:paraId="5BDDD924" w14:textId="77777777" w:rsidR="006D7A39" w:rsidRDefault="006D7A39" w:rsidP="00E245AB">
      <w:pPr>
        <w:spacing w:after="0"/>
        <w:rPr>
          <w:rFonts w:ascii="Verdana" w:hAnsi="Verdana"/>
        </w:rPr>
      </w:pPr>
    </w:p>
    <w:p w14:paraId="7BF23BCB" w14:textId="77777777" w:rsidR="006D7A39" w:rsidRDefault="006D7A39" w:rsidP="00E245AB">
      <w:pPr>
        <w:spacing w:after="0"/>
        <w:rPr>
          <w:rFonts w:ascii="Verdana" w:hAnsi="Verdana"/>
        </w:rPr>
      </w:pPr>
    </w:p>
    <w:p w14:paraId="153CC92F" w14:textId="77777777" w:rsidR="006D7A39" w:rsidRDefault="006D7A39" w:rsidP="00E245AB">
      <w:pPr>
        <w:spacing w:after="0"/>
        <w:rPr>
          <w:rFonts w:ascii="Verdana" w:hAnsi="Verdana"/>
        </w:rPr>
      </w:pPr>
    </w:p>
    <w:p w14:paraId="67D0F9A7" w14:textId="77777777" w:rsidR="006D7A39" w:rsidRDefault="006D7A39" w:rsidP="00E245AB">
      <w:pPr>
        <w:spacing w:after="0"/>
        <w:rPr>
          <w:rFonts w:ascii="Verdana" w:hAnsi="Verdana"/>
        </w:rPr>
      </w:pPr>
    </w:p>
    <w:p w14:paraId="2E5510FD" w14:textId="77777777" w:rsidR="006D7A39" w:rsidRDefault="006D7A39" w:rsidP="00E245AB">
      <w:pPr>
        <w:spacing w:after="0"/>
        <w:rPr>
          <w:rFonts w:ascii="Verdana" w:hAnsi="Verdana"/>
        </w:rPr>
      </w:pPr>
    </w:p>
    <w:p w14:paraId="1FA806A5" w14:textId="77777777" w:rsidR="006D7A39" w:rsidRDefault="006D7A39" w:rsidP="00E245AB">
      <w:pPr>
        <w:spacing w:after="0"/>
        <w:rPr>
          <w:rFonts w:ascii="Verdana" w:hAnsi="Verdana"/>
        </w:rPr>
      </w:pPr>
    </w:p>
    <w:p w14:paraId="6985AF4A" w14:textId="77777777" w:rsidR="006D7A39" w:rsidRDefault="006D7A39" w:rsidP="00E245AB">
      <w:pPr>
        <w:spacing w:after="0"/>
        <w:rPr>
          <w:rFonts w:ascii="Verdana" w:hAnsi="Verdana"/>
        </w:rPr>
      </w:pPr>
    </w:p>
    <w:p w14:paraId="1EAF75DB" w14:textId="77777777" w:rsidR="006D7A39" w:rsidRDefault="006D7A39" w:rsidP="00E245AB">
      <w:pPr>
        <w:spacing w:after="0"/>
        <w:rPr>
          <w:rFonts w:ascii="Verdana" w:hAnsi="Verdana"/>
        </w:rPr>
      </w:pPr>
    </w:p>
    <w:p w14:paraId="28767913" w14:textId="77777777" w:rsidR="006D7A39" w:rsidRDefault="006D7A39" w:rsidP="00E245AB">
      <w:pPr>
        <w:spacing w:after="0"/>
        <w:rPr>
          <w:rFonts w:ascii="Verdana" w:hAnsi="Verdana"/>
        </w:rPr>
      </w:pPr>
    </w:p>
    <w:p w14:paraId="42701193" w14:textId="77777777" w:rsidR="006D7A39" w:rsidRDefault="006D7A39" w:rsidP="00E245AB">
      <w:pPr>
        <w:spacing w:after="0"/>
        <w:rPr>
          <w:rFonts w:ascii="Verdana" w:hAnsi="Verdana"/>
        </w:rPr>
      </w:pPr>
    </w:p>
    <w:p w14:paraId="381CE46E" w14:textId="77777777" w:rsidR="006D7A39" w:rsidRDefault="006D7A39" w:rsidP="00E245AB">
      <w:pPr>
        <w:spacing w:after="0"/>
        <w:rPr>
          <w:rFonts w:ascii="Verdana" w:hAnsi="Verdana"/>
        </w:rPr>
      </w:pPr>
    </w:p>
    <w:p w14:paraId="4F3AC638" w14:textId="77777777" w:rsidR="006D7A39" w:rsidRDefault="006D7A39" w:rsidP="00E245AB">
      <w:pPr>
        <w:spacing w:after="0"/>
        <w:rPr>
          <w:rFonts w:ascii="Verdana" w:hAnsi="Verdana"/>
        </w:rPr>
      </w:pPr>
    </w:p>
    <w:p w14:paraId="6FA2D298" w14:textId="77777777" w:rsidR="006D7A39" w:rsidRDefault="006D7A39" w:rsidP="00E245AB">
      <w:pPr>
        <w:spacing w:after="0"/>
        <w:rPr>
          <w:rFonts w:ascii="Verdana" w:hAnsi="Verdana"/>
        </w:rPr>
      </w:pPr>
    </w:p>
    <w:p w14:paraId="4C7F3C55" w14:textId="77777777" w:rsidR="006D7A39" w:rsidRDefault="006D7A39" w:rsidP="00E245AB">
      <w:pPr>
        <w:spacing w:after="0"/>
        <w:rPr>
          <w:rFonts w:ascii="Verdana" w:hAnsi="Verdana"/>
        </w:rPr>
      </w:pPr>
    </w:p>
    <w:p w14:paraId="061779EC" w14:textId="77777777" w:rsidR="006D7A39" w:rsidRDefault="006D7A39" w:rsidP="00E245AB">
      <w:pPr>
        <w:spacing w:after="0"/>
        <w:rPr>
          <w:rFonts w:ascii="Verdana" w:hAnsi="Verdana"/>
        </w:rPr>
      </w:pPr>
    </w:p>
    <w:p w14:paraId="7F759293" w14:textId="77777777" w:rsidR="006D7A39" w:rsidRDefault="006D7A39" w:rsidP="00E245AB">
      <w:pPr>
        <w:spacing w:after="0"/>
        <w:rPr>
          <w:rFonts w:ascii="Verdana" w:hAnsi="Verdana"/>
        </w:rPr>
      </w:pPr>
    </w:p>
    <w:p w14:paraId="76047005" w14:textId="77777777" w:rsidR="006D7A39" w:rsidRDefault="006D7A39" w:rsidP="00E245AB">
      <w:pPr>
        <w:spacing w:after="0"/>
        <w:rPr>
          <w:rFonts w:ascii="Verdana" w:hAnsi="Verdana"/>
        </w:rPr>
      </w:pPr>
    </w:p>
    <w:p w14:paraId="76120BAB" w14:textId="77777777" w:rsidR="006D7A39" w:rsidRDefault="006D7A39" w:rsidP="00E245AB">
      <w:pPr>
        <w:spacing w:after="0"/>
        <w:rPr>
          <w:rFonts w:ascii="Verdana" w:hAnsi="Verdana"/>
        </w:rPr>
      </w:pPr>
    </w:p>
    <w:p w14:paraId="6AEF55BA" w14:textId="77777777" w:rsidR="006D7A39" w:rsidRDefault="006D7A39" w:rsidP="00E245AB">
      <w:pPr>
        <w:spacing w:after="0"/>
        <w:rPr>
          <w:rFonts w:ascii="Verdana" w:hAnsi="Verdana"/>
        </w:rPr>
      </w:pPr>
    </w:p>
    <w:p w14:paraId="1BEAE7B6" w14:textId="77777777" w:rsidR="006D7A39" w:rsidRDefault="006D7A39" w:rsidP="00E245AB">
      <w:pPr>
        <w:spacing w:after="0"/>
        <w:rPr>
          <w:rFonts w:ascii="Verdana" w:hAnsi="Verdana"/>
        </w:rPr>
      </w:pPr>
    </w:p>
    <w:p w14:paraId="1C314382" w14:textId="77777777" w:rsidR="006D7A39" w:rsidRDefault="006D7A39" w:rsidP="00E245AB">
      <w:pPr>
        <w:spacing w:after="0"/>
        <w:rPr>
          <w:rFonts w:ascii="Verdana" w:hAnsi="Verdana"/>
        </w:rPr>
      </w:pPr>
    </w:p>
    <w:p w14:paraId="3E57B374" w14:textId="77777777" w:rsidR="006D7A39" w:rsidRDefault="006D7A39" w:rsidP="00E245AB">
      <w:pPr>
        <w:spacing w:after="0"/>
        <w:rPr>
          <w:rFonts w:ascii="Verdana" w:hAnsi="Verdana"/>
        </w:rPr>
      </w:pPr>
    </w:p>
    <w:p w14:paraId="326DD7C9" w14:textId="77777777" w:rsidR="006D7A39" w:rsidRDefault="006D7A39" w:rsidP="00E245AB">
      <w:pPr>
        <w:spacing w:after="0"/>
        <w:rPr>
          <w:rFonts w:ascii="Verdana" w:hAnsi="Verdana"/>
        </w:rPr>
      </w:pPr>
    </w:p>
    <w:p w14:paraId="7278FD44" w14:textId="77777777" w:rsidR="006D7A39" w:rsidRDefault="006D7A39" w:rsidP="00E245AB">
      <w:pPr>
        <w:spacing w:after="0"/>
        <w:rPr>
          <w:rFonts w:ascii="Verdana" w:hAnsi="Verdana"/>
        </w:rPr>
      </w:pPr>
    </w:p>
    <w:p w14:paraId="57BACB1A" w14:textId="77777777" w:rsidR="006D7A39" w:rsidRDefault="006D7A39" w:rsidP="00E245AB">
      <w:pPr>
        <w:spacing w:after="0"/>
        <w:rPr>
          <w:rFonts w:ascii="Verdana" w:hAnsi="Verdana"/>
        </w:rPr>
      </w:pPr>
    </w:p>
    <w:p w14:paraId="29F8B4BD" w14:textId="77777777" w:rsidR="006D7A39" w:rsidRDefault="006D7A39" w:rsidP="00E245AB">
      <w:pPr>
        <w:spacing w:after="0"/>
        <w:rPr>
          <w:rFonts w:ascii="Verdana" w:hAnsi="Verdana"/>
        </w:rPr>
      </w:pPr>
    </w:p>
    <w:p w14:paraId="6F5F575B" w14:textId="77777777" w:rsidR="006D7A39" w:rsidRDefault="006D7A39" w:rsidP="00E245AB">
      <w:pPr>
        <w:spacing w:after="0"/>
        <w:rPr>
          <w:rFonts w:ascii="Verdana" w:hAnsi="Verdana"/>
        </w:rPr>
      </w:pPr>
    </w:p>
    <w:p w14:paraId="236320D0" w14:textId="77777777" w:rsidR="006D7A39" w:rsidRDefault="006D7A39" w:rsidP="00E245AB">
      <w:pPr>
        <w:spacing w:after="0"/>
        <w:rPr>
          <w:rFonts w:ascii="Verdana" w:hAnsi="Verdana"/>
        </w:rPr>
      </w:pPr>
    </w:p>
    <w:p w14:paraId="59355EA2" w14:textId="77777777" w:rsidR="006D7A39" w:rsidRDefault="006D7A39" w:rsidP="00E245AB">
      <w:pPr>
        <w:spacing w:after="0"/>
        <w:rPr>
          <w:rFonts w:ascii="Verdana" w:hAnsi="Verdana"/>
        </w:rPr>
      </w:pPr>
    </w:p>
    <w:p w14:paraId="10098AF2" w14:textId="77777777" w:rsidR="006D7A39" w:rsidRDefault="006D7A39" w:rsidP="00E245AB">
      <w:pPr>
        <w:spacing w:after="0"/>
        <w:rPr>
          <w:rFonts w:ascii="Verdana" w:hAnsi="Verdana"/>
        </w:rPr>
      </w:pPr>
    </w:p>
    <w:p w14:paraId="5C083F4E" w14:textId="77777777" w:rsidR="006D7A39" w:rsidRDefault="006D7A39" w:rsidP="00E245AB">
      <w:pPr>
        <w:spacing w:after="0"/>
        <w:rPr>
          <w:rFonts w:ascii="Verdana" w:hAnsi="Verdana"/>
        </w:rPr>
      </w:pPr>
    </w:p>
    <w:p w14:paraId="736A5284" w14:textId="77777777" w:rsidR="006D7A39" w:rsidRDefault="006D7A39" w:rsidP="00E245AB">
      <w:pPr>
        <w:spacing w:after="0"/>
        <w:rPr>
          <w:rFonts w:ascii="Verdana" w:hAnsi="Verdana"/>
        </w:rPr>
      </w:pPr>
    </w:p>
    <w:p w14:paraId="1AA508D7" w14:textId="77777777" w:rsidR="006D7A39" w:rsidRDefault="006D7A39" w:rsidP="00E245AB">
      <w:pPr>
        <w:spacing w:after="0"/>
        <w:rPr>
          <w:rFonts w:ascii="Verdana" w:hAnsi="Verdana"/>
        </w:rPr>
      </w:pPr>
    </w:p>
    <w:p w14:paraId="5EE8F746" w14:textId="77777777" w:rsidR="006D7A39" w:rsidRDefault="006D7A39" w:rsidP="00E245AB">
      <w:pPr>
        <w:spacing w:after="0"/>
        <w:rPr>
          <w:rFonts w:ascii="Verdana" w:hAnsi="Verdana"/>
        </w:rPr>
      </w:pPr>
    </w:p>
    <w:p w14:paraId="39B76516" w14:textId="77777777" w:rsidR="006D7A39" w:rsidRDefault="006D7A39" w:rsidP="00E245AB">
      <w:pPr>
        <w:spacing w:after="0"/>
        <w:rPr>
          <w:rFonts w:ascii="Verdana" w:hAnsi="Verdana"/>
        </w:rPr>
      </w:pPr>
    </w:p>
    <w:p w14:paraId="677C1686" w14:textId="77777777" w:rsidR="006D7A39" w:rsidRDefault="006D7A39" w:rsidP="00E245AB">
      <w:pPr>
        <w:spacing w:after="0"/>
        <w:rPr>
          <w:rFonts w:ascii="Verdana" w:hAnsi="Verdana"/>
        </w:rPr>
      </w:pPr>
    </w:p>
    <w:p w14:paraId="2166CCDC" w14:textId="77777777" w:rsidR="006D7A39" w:rsidRDefault="006D7A39" w:rsidP="00E245AB">
      <w:pPr>
        <w:spacing w:after="0"/>
        <w:rPr>
          <w:rFonts w:ascii="Verdana" w:hAnsi="Verdana"/>
        </w:rPr>
      </w:pPr>
    </w:p>
    <w:p w14:paraId="16D169ED" w14:textId="77777777" w:rsidR="006D7A39" w:rsidRDefault="006D7A39" w:rsidP="00E245AB">
      <w:pPr>
        <w:spacing w:after="0"/>
        <w:rPr>
          <w:rFonts w:ascii="Verdana" w:hAnsi="Verdana"/>
        </w:rPr>
      </w:pPr>
    </w:p>
    <w:p w14:paraId="7F260C0E" w14:textId="77777777" w:rsidR="006D7A39" w:rsidRDefault="006D7A39" w:rsidP="00E245AB">
      <w:pPr>
        <w:spacing w:after="0"/>
        <w:rPr>
          <w:rFonts w:ascii="Verdana" w:hAnsi="Verdana"/>
        </w:rPr>
      </w:pPr>
    </w:p>
    <w:p w14:paraId="0BCEF79A" w14:textId="77777777" w:rsidR="006D7A39" w:rsidRDefault="006D7A39" w:rsidP="00E245AB">
      <w:pPr>
        <w:spacing w:after="0"/>
        <w:rPr>
          <w:rFonts w:ascii="Verdana" w:hAnsi="Verdana"/>
        </w:rPr>
      </w:pPr>
    </w:p>
    <w:p w14:paraId="2033C9E9" w14:textId="77777777" w:rsidR="006D7A39" w:rsidRDefault="006D7A39" w:rsidP="00E245AB">
      <w:pPr>
        <w:spacing w:after="0"/>
        <w:rPr>
          <w:rFonts w:ascii="Verdana" w:hAnsi="Verdana"/>
        </w:rPr>
      </w:pPr>
    </w:p>
    <w:p w14:paraId="0A74D031" w14:textId="77777777" w:rsidR="006D7A39" w:rsidRDefault="006D7A39" w:rsidP="00E245AB">
      <w:pPr>
        <w:spacing w:after="0"/>
        <w:rPr>
          <w:rFonts w:ascii="Verdana" w:hAnsi="Verdana"/>
        </w:rPr>
      </w:pPr>
    </w:p>
    <w:p w14:paraId="0FE6B1D8" w14:textId="77777777" w:rsidR="006D7A39" w:rsidRDefault="006D7A39" w:rsidP="00E245AB">
      <w:pPr>
        <w:spacing w:after="0"/>
        <w:rPr>
          <w:rFonts w:ascii="Verdana" w:hAnsi="Verdana"/>
        </w:rPr>
      </w:pPr>
    </w:p>
    <w:p w14:paraId="09E0D930" w14:textId="77777777" w:rsidR="006D7A39" w:rsidRDefault="006D7A39" w:rsidP="00E245AB">
      <w:pPr>
        <w:spacing w:after="0"/>
        <w:rPr>
          <w:rFonts w:ascii="Verdana" w:hAnsi="Verdana"/>
        </w:rPr>
      </w:pPr>
    </w:p>
    <w:p w14:paraId="10627C44" w14:textId="77777777" w:rsidR="006D7A39" w:rsidRDefault="006D7A39" w:rsidP="00E245AB">
      <w:pPr>
        <w:spacing w:after="0"/>
        <w:rPr>
          <w:rFonts w:ascii="Verdana" w:hAnsi="Verdana"/>
        </w:rPr>
      </w:pPr>
    </w:p>
    <w:p w14:paraId="3FE2184B" w14:textId="6D16ABE5" w:rsidR="00E245AB" w:rsidRPr="0044528D" w:rsidRDefault="00E245AB" w:rsidP="00E245AB">
      <w:pPr>
        <w:spacing w:after="0"/>
        <w:rPr>
          <w:rFonts w:ascii="Verdana" w:hAnsi="Verdana"/>
        </w:rPr>
      </w:pPr>
      <w:r w:rsidRPr="0044528D">
        <w:rPr>
          <w:rFonts w:ascii="Verdana" w:hAnsi="Verdana"/>
        </w:rPr>
        <w:t xml:space="preserve">Bogotá D.C., </w:t>
      </w:r>
      <w:r w:rsidR="00891928" w:rsidRPr="0044528D">
        <w:rPr>
          <w:rFonts w:ascii="Verdana" w:hAnsi="Verdana"/>
        </w:rPr>
        <w:t>[Día] [</w:t>
      </w:r>
      <w:proofErr w:type="spellStart"/>
      <w:r w:rsidR="00891928" w:rsidRPr="0044528D">
        <w:rPr>
          <w:rFonts w:ascii="Verdana" w:hAnsi="Verdana"/>
        </w:rPr>
        <w:t>Mes</w:t>
      </w:r>
      <w:r w:rsidR="00E413EA">
        <w:rPr>
          <w:rFonts w:ascii="Verdana" w:hAnsi="Verdana"/>
        </w:rPr>
        <w:t>.</w:t>
      </w:r>
      <w:r w:rsidR="00891928" w:rsidRPr="0044528D">
        <w:rPr>
          <w:rFonts w:ascii="Verdana" w:hAnsi="Verdana"/>
        </w:rPr>
        <w:t>NombreCapitalizado</w:t>
      </w:r>
      <w:proofErr w:type="spellEnd"/>
      <w:r w:rsidR="00891928" w:rsidRPr="0044528D">
        <w:rPr>
          <w:rFonts w:ascii="Verdana" w:hAnsi="Verdana"/>
        </w:rPr>
        <w:t>] [Año]</w:t>
      </w:r>
      <w:r w:rsidR="00891928" w:rsidRPr="0044528D">
        <w:rPr>
          <w:rFonts w:ascii="Verdana" w:hAnsi="Verdana"/>
        </w:rPr>
        <w:tab/>
      </w:r>
    </w:p>
    <w:p w14:paraId="5FCADBF9" w14:textId="77777777" w:rsidR="00E245AB" w:rsidRPr="0044528D" w:rsidRDefault="00E245AB" w:rsidP="00E245AB">
      <w:pPr>
        <w:spacing w:after="0"/>
        <w:rPr>
          <w:rFonts w:ascii="Verdana" w:hAnsi="Verdana"/>
        </w:rPr>
      </w:pPr>
    </w:p>
    <w:bookmarkEnd w:id="0"/>
    <w:p w14:paraId="0465BA6D" w14:textId="00044791" w:rsidR="00E245AB" w:rsidRPr="0044528D" w:rsidRDefault="00E245AB" w:rsidP="00E245AB">
      <w:pPr>
        <w:spacing w:after="0"/>
        <w:rPr>
          <w:rFonts w:ascii="Verdana" w:hAnsi="Verdana"/>
        </w:rPr>
      </w:pPr>
    </w:p>
    <w:sectPr w:rsidR="00E245AB" w:rsidRPr="0044528D"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E82B4" w14:textId="77777777" w:rsidR="007875EF" w:rsidRDefault="007875EF" w:rsidP="004A1847">
      <w:pPr>
        <w:spacing w:after="0" w:line="240" w:lineRule="auto"/>
      </w:pPr>
      <w:r>
        <w:separator/>
      </w:r>
    </w:p>
  </w:endnote>
  <w:endnote w:type="continuationSeparator" w:id="0">
    <w:p w14:paraId="1E2140E3" w14:textId="77777777" w:rsidR="007875EF" w:rsidRDefault="007875EF" w:rsidP="004A1847">
      <w:pPr>
        <w:spacing w:after="0" w:line="240" w:lineRule="auto"/>
      </w:pPr>
      <w:r>
        <w:continuationSeparator/>
      </w:r>
    </w:p>
  </w:endnote>
  <w:endnote w:type="continuationNotice" w:id="1">
    <w:p w14:paraId="61DF057E" w14:textId="77777777" w:rsidR="007875EF" w:rsidRDefault="007875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8≈Ñ˛">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54D06" w14:textId="77777777" w:rsidR="007875EF" w:rsidRDefault="007875EF" w:rsidP="004A1847">
      <w:pPr>
        <w:spacing w:after="0" w:line="240" w:lineRule="auto"/>
      </w:pPr>
      <w:r>
        <w:separator/>
      </w:r>
    </w:p>
  </w:footnote>
  <w:footnote w:type="continuationSeparator" w:id="0">
    <w:p w14:paraId="11906D4A" w14:textId="77777777" w:rsidR="007875EF" w:rsidRDefault="007875EF" w:rsidP="004A1847">
      <w:pPr>
        <w:spacing w:after="0" w:line="240" w:lineRule="auto"/>
      </w:pPr>
      <w:r>
        <w:continuationSeparator/>
      </w:r>
    </w:p>
  </w:footnote>
  <w:footnote w:type="continuationNotice" w:id="1">
    <w:p w14:paraId="39D5C3DE" w14:textId="77777777" w:rsidR="007875EF" w:rsidRDefault="007875EF">
      <w:pPr>
        <w:spacing w:after="0" w:line="240" w:lineRule="auto"/>
      </w:pPr>
    </w:p>
  </w:footnote>
  <w:footnote w:id="2">
    <w:p w14:paraId="0C4499FC" w14:textId="77777777" w:rsidR="006D7A39" w:rsidRPr="005966AF" w:rsidRDefault="006D7A39" w:rsidP="006D7A39">
      <w:pPr>
        <w:pStyle w:val="Textonotapie"/>
        <w:ind w:firstLine="708"/>
        <w:jc w:val="both"/>
        <w:rPr>
          <w:rFonts w:ascii="Verdana" w:hAnsi="Verdana" w:cs="Arial"/>
          <w:sz w:val="14"/>
          <w:szCs w:val="14"/>
        </w:rPr>
      </w:pPr>
      <w:r w:rsidRPr="005966AF">
        <w:rPr>
          <w:rFonts w:ascii="Verdana" w:hAnsi="Verdana"/>
          <w:sz w:val="14"/>
          <w:szCs w:val="14"/>
          <w:vertAlign w:val="superscript"/>
        </w:rPr>
        <w:footnoteRef/>
      </w:r>
      <w:r w:rsidRPr="005966AF">
        <w:rPr>
          <w:rFonts w:ascii="Verdana" w:hAnsi="Verdana"/>
          <w:sz w:val="14"/>
          <w:szCs w:val="14"/>
        </w:rPr>
        <w:t xml:space="preserve"> </w:t>
      </w:r>
      <w:r w:rsidRPr="005966AF">
        <w:rPr>
          <w:rFonts w:ascii="Verdana" w:hAnsi="Verdana" w:cs="Arial"/>
          <w:sz w:val="14"/>
          <w:szCs w:val="14"/>
        </w:rPr>
        <w:t>Decreto 342 de 2019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3ED405CE" w14:textId="77777777" w:rsidR="006D7A39" w:rsidRDefault="006D7A39" w:rsidP="006D7A39">
      <w:pPr>
        <w:pStyle w:val="Textonotapie"/>
        <w:ind w:firstLine="708"/>
        <w:jc w:val="both"/>
      </w:pPr>
    </w:p>
  </w:footnote>
  <w:footnote w:id="3">
    <w:p w14:paraId="66EF7E95" w14:textId="77777777" w:rsidR="006D7A39" w:rsidRPr="005966AF" w:rsidRDefault="006D7A39" w:rsidP="006D7A39">
      <w:pPr>
        <w:pStyle w:val="Textonotapie"/>
        <w:ind w:firstLine="708"/>
        <w:jc w:val="both"/>
        <w:rPr>
          <w:rFonts w:ascii="Verdana" w:hAnsi="Verdana" w:cs="Arial"/>
          <w:sz w:val="14"/>
          <w:szCs w:val="14"/>
        </w:rPr>
      </w:pPr>
      <w:r w:rsidRPr="005966AF">
        <w:rPr>
          <w:rFonts w:ascii="Verdana" w:hAnsi="Verdana" w:cs="Arial"/>
          <w:sz w:val="14"/>
          <w:szCs w:val="14"/>
          <w:vertAlign w:val="superscript"/>
        </w:rPr>
        <w:footnoteRef/>
      </w:r>
      <w:r w:rsidRPr="005966AF">
        <w:rPr>
          <w:rFonts w:ascii="Verdana" w:hAnsi="Verdana" w:cs="Arial"/>
          <w:sz w:val="14"/>
          <w:szCs w:val="14"/>
        </w:rPr>
        <w:t xml:space="preserve"> Decreto 2096 de 2020 “Artículo 2.2.1.2.6.2.3 Criterios para selección abreviada de menor cuantía. […] Los artículos 2.2.1.2.6.1 .4. y 2.2.1.2.6.1.5. del presente Decreto aplican para la modalidad de selección abreviada de menor cuantía para la contratación obra pública de infraestructura de transporte”.</w:t>
      </w:r>
    </w:p>
    <w:p w14:paraId="0CD816AA" w14:textId="77777777" w:rsidR="006D7A39" w:rsidRDefault="006D7A39" w:rsidP="006D7A39">
      <w:pPr>
        <w:pStyle w:val="Textonotapie"/>
        <w:ind w:firstLine="708"/>
        <w:jc w:val="both"/>
      </w:pPr>
    </w:p>
  </w:footnote>
  <w:footnote w:id="4">
    <w:p w14:paraId="58EA26E3" w14:textId="77777777" w:rsidR="006D7A39" w:rsidRPr="005966AF" w:rsidRDefault="006D7A39" w:rsidP="006D7A39">
      <w:pPr>
        <w:pStyle w:val="Textonotapie"/>
        <w:ind w:firstLine="708"/>
        <w:jc w:val="both"/>
        <w:rPr>
          <w:rFonts w:ascii="Verdana" w:hAnsi="Verdana" w:cs="Arial"/>
          <w:sz w:val="14"/>
          <w:szCs w:val="14"/>
        </w:rPr>
      </w:pPr>
      <w:r w:rsidRPr="005966AF">
        <w:rPr>
          <w:rFonts w:ascii="Verdana" w:hAnsi="Verdana" w:cs="Arial"/>
          <w:sz w:val="14"/>
          <w:szCs w:val="14"/>
          <w:vertAlign w:val="superscript"/>
        </w:rPr>
        <w:footnoteRef/>
      </w:r>
      <w:r w:rsidRPr="005966AF">
        <w:rPr>
          <w:rFonts w:ascii="Verdana" w:hAnsi="Verdana" w:cs="Arial"/>
          <w:sz w:val="14"/>
          <w:szCs w:val="14"/>
        </w:rPr>
        <w:t xml:space="preserve"> Decreto 594 de 2020 “Artículo 2.2.1.2.6.3.4 Inalterabilidad de los Documentos Tipo. Las entidades estatales contratantes no podrán incluir o modificar dentro de los Documentos del Proceso, condiciones habilitantes y factores económicos de escogencia distintos a los señalados en los Documentos Tipo”. </w:t>
      </w:r>
    </w:p>
    <w:p w14:paraId="29E2B5F9" w14:textId="77777777" w:rsidR="006D7A39" w:rsidRDefault="006D7A39" w:rsidP="006D7A39">
      <w:pPr>
        <w:pStyle w:val="Textonotapie"/>
        <w:ind w:firstLine="708"/>
        <w:jc w:val="both"/>
      </w:pPr>
    </w:p>
  </w:footnote>
  <w:footnote w:id="5">
    <w:p w14:paraId="796BCD52" w14:textId="77777777" w:rsidR="006D7A39" w:rsidRDefault="006D7A39" w:rsidP="006D7A39">
      <w:pPr>
        <w:autoSpaceDE w:val="0"/>
        <w:autoSpaceDN w:val="0"/>
        <w:adjustRightInd w:val="0"/>
        <w:jc w:val="both"/>
      </w:pPr>
      <w:r w:rsidRPr="004156B6">
        <w:rPr>
          <w:rStyle w:val="Refdenotaalpie"/>
          <w:rFonts w:ascii="Arial" w:hAnsi="Arial" w:cs="Arial"/>
          <w:sz w:val="13"/>
          <w:szCs w:val="13"/>
        </w:rPr>
        <w:footnoteRef/>
      </w:r>
      <w:r>
        <w:rPr>
          <w:rFonts w:ascii="`8≈Ñ˛" w:hAnsi="`8≈Ñ˛" w:cs="`8≈Ñ˛"/>
          <w:sz w:val="12"/>
          <w:szCs w:val="12"/>
          <w:lang w:val="es-ES_tradnl"/>
        </w:rPr>
        <w:t>Los conceptos referenciados, así como otros expedidos por la Subdirección se encuentran disponibles para consulta pública en el portal de relatoría de la Agencia, al cual se puede acceder a través del siguiente enlace: https://relatoria.colombiacompra.gov.co/busqueda/conceptos.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EEE56A8"/>
    <w:multiLevelType w:val="hybridMultilevel"/>
    <w:tmpl w:val="9B76838C"/>
    <w:lvl w:ilvl="0" w:tplc="E772B184">
      <w:start w:val="1882"/>
      <w:numFmt w:val="bullet"/>
      <w:lvlText w:val="-"/>
      <w:lvlJc w:val="left"/>
      <w:pPr>
        <w:ind w:left="720" w:hanging="360"/>
      </w:pPr>
      <w:rPr>
        <w:rFonts w:ascii="Verdana" w:eastAsia="Calibri"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D1E1561"/>
    <w:multiLevelType w:val="hybridMultilevel"/>
    <w:tmpl w:val="FFFFFFFF"/>
    <w:lvl w:ilvl="0" w:tplc="5132694A">
      <w:start w:val="1"/>
      <w:numFmt w:val="bullet"/>
      <w:lvlText w:val=""/>
      <w:lvlJc w:val="left"/>
      <w:pPr>
        <w:ind w:left="644" w:hanging="360"/>
      </w:pPr>
      <w:rPr>
        <w:rFonts w:ascii="Symbol" w:eastAsia="Times New Roman" w:hAnsi="Symbol" w:hint="default"/>
      </w:rPr>
    </w:lvl>
    <w:lvl w:ilvl="1" w:tplc="240A0003">
      <w:start w:val="1"/>
      <w:numFmt w:val="bullet"/>
      <w:lvlText w:val="o"/>
      <w:lvlJc w:val="left"/>
      <w:pPr>
        <w:ind w:left="1364" w:hanging="360"/>
      </w:pPr>
      <w:rPr>
        <w:rFonts w:ascii="Courier New" w:hAnsi="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3" w15:restartNumberingAfterBreak="0">
    <w:nsid w:val="63090B6E"/>
    <w:multiLevelType w:val="hybridMultilevel"/>
    <w:tmpl w:val="FFFFFFFF"/>
    <w:lvl w:ilvl="0" w:tplc="0B004482">
      <w:start w:val="1"/>
      <w:numFmt w:val="decimalZero"/>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4"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7"/>
  </w:num>
  <w:num w:numId="7">
    <w:abstractNumId w:val="7"/>
  </w:num>
  <w:num w:numId="8">
    <w:abstractNumId w:val="16"/>
  </w:num>
  <w:num w:numId="9">
    <w:abstractNumId w:val="9"/>
  </w:num>
  <w:num w:numId="10">
    <w:abstractNumId w:val="15"/>
  </w:num>
  <w:num w:numId="11">
    <w:abstractNumId w:val="10"/>
  </w:num>
  <w:num w:numId="12">
    <w:abstractNumId w:val="1"/>
  </w:num>
  <w:num w:numId="13">
    <w:abstractNumId w:val="4"/>
  </w:num>
  <w:num w:numId="14">
    <w:abstractNumId w:val="18"/>
  </w:num>
  <w:num w:numId="15">
    <w:abstractNumId w:val="14"/>
  </w:num>
  <w:num w:numId="16">
    <w:abstractNumId w:val="0"/>
  </w:num>
  <w:num w:numId="17">
    <w:abstractNumId w:val="6"/>
  </w:num>
  <w:num w:numId="18">
    <w:abstractNumId w:val="11"/>
  </w:num>
  <w:num w:numId="19">
    <w:abstractNumId w:val="13"/>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1EA2"/>
    <w:rsid w:val="00061B2A"/>
    <w:rsid w:val="00082362"/>
    <w:rsid w:val="000A683E"/>
    <w:rsid w:val="000B19B9"/>
    <w:rsid w:val="000D0334"/>
    <w:rsid w:val="000F6486"/>
    <w:rsid w:val="00125105"/>
    <w:rsid w:val="00127233"/>
    <w:rsid w:val="001E4177"/>
    <w:rsid w:val="001F7DC6"/>
    <w:rsid w:val="001F7FB7"/>
    <w:rsid w:val="002421BB"/>
    <w:rsid w:val="0025796E"/>
    <w:rsid w:val="002707A2"/>
    <w:rsid w:val="002951A0"/>
    <w:rsid w:val="002962BC"/>
    <w:rsid w:val="002A093D"/>
    <w:rsid w:val="002A0DD0"/>
    <w:rsid w:val="002A49AC"/>
    <w:rsid w:val="002A64FD"/>
    <w:rsid w:val="002C7A84"/>
    <w:rsid w:val="002E4FD9"/>
    <w:rsid w:val="00322A85"/>
    <w:rsid w:val="00324168"/>
    <w:rsid w:val="003448F4"/>
    <w:rsid w:val="00374F5E"/>
    <w:rsid w:val="00377E3E"/>
    <w:rsid w:val="003A26D1"/>
    <w:rsid w:val="003A779E"/>
    <w:rsid w:val="003D0F4D"/>
    <w:rsid w:val="003D5B0D"/>
    <w:rsid w:val="003E0499"/>
    <w:rsid w:val="003F3941"/>
    <w:rsid w:val="00406575"/>
    <w:rsid w:val="0042722E"/>
    <w:rsid w:val="0044528D"/>
    <w:rsid w:val="004A1847"/>
    <w:rsid w:val="004A305D"/>
    <w:rsid w:val="004F21C4"/>
    <w:rsid w:val="004F685F"/>
    <w:rsid w:val="005566E8"/>
    <w:rsid w:val="00574867"/>
    <w:rsid w:val="00591460"/>
    <w:rsid w:val="00592628"/>
    <w:rsid w:val="005C3777"/>
    <w:rsid w:val="005C5CDC"/>
    <w:rsid w:val="005D476C"/>
    <w:rsid w:val="00610812"/>
    <w:rsid w:val="006219F8"/>
    <w:rsid w:val="00650FF7"/>
    <w:rsid w:val="00665D70"/>
    <w:rsid w:val="00671DAC"/>
    <w:rsid w:val="006771EC"/>
    <w:rsid w:val="006900D9"/>
    <w:rsid w:val="006C06E5"/>
    <w:rsid w:val="006D12F8"/>
    <w:rsid w:val="006D7A39"/>
    <w:rsid w:val="00706C16"/>
    <w:rsid w:val="007475F1"/>
    <w:rsid w:val="00756841"/>
    <w:rsid w:val="007604C1"/>
    <w:rsid w:val="007649AB"/>
    <w:rsid w:val="00771D0C"/>
    <w:rsid w:val="007833AC"/>
    <w:rsid w:val="007875EF"/>
    <w:rsid w:val="007B268C"/>
    <w:rsid w:val="007B7171"/>
    <w:rsid w:val="007C0C0F"/>
    <w:rsid w:val="007C3DC2"/>
    <w:rsid w:val="007C5C0B"/>
    <w:rsid w:val="007E5497"/>
    <w:rsid w:val="00806F5F"/>
    <w:rsid w:val="00813D76"/>
    <w:rsid w:val="00820278"/>
    <w:rsid w:val="008843B6"/>
    <w:rsid w:val="00891928"/>
    <w:rsid w:val="008A446D"/>
    <w:rsid w:val="008D180B"/>
    <w:rsid w:val="008F0EA7"/>
    <w:rsid w:val="00923EEF"/>
    <w:rsid w:val="009419F9"/>
    <w:rsid w:val="00945417"/>
    <w:rsid w:val="0095685E"/>
    <w:rsid w:val="00961B09"/>
    <w:rsid w:val="00965334"/>
    <w:rsid w:val="0097093E"/>
    <w:rsid w:val="009A0DFA"/>
    <w:rsid w:val="009B243D"/>
    <w:rsid w:val="009B2D26"/>
    <w:rsid w:val="009C71FA"/>
    <w:rsid w:val="009C72E7"/>
    <w:rsid w:val="009D3058"/>
    <w:rsid w:val="009F3A13"/>
    <w:rsid w:val="00A122D3"/>
    <w:rsid w:val="00A17F13"/>
    <w:rsid w:val="00A20739"/>
    <w:rsid w:val="00A33C78"/>
    <w:rsid w:val="00AB0ADB"/>
    <w:rsid w:val="00AF52C1"/>
    <w:rsid w:val="00B01B1A"/>
    <w:rsid w:val="00B72CD3"/>
    <w:rsid w:val="00B72FFF"/>
    <w:rsid w:val="00B842A9"/>
    <w:rsid w:val="00B92AF9"/>
    <w:rsid w:val="00BC3D36"/>
    <w:rsid w:val="00BD7F72"/>
    <w:rsid w:val="00C04FB3"/>
    <w:rsid w:val="00C330EB"/>
    <w:rsid w:val="00C501BE"/>
    <w:rsid w:val="00C64C7C"/>
    <w:rsid w:val="00C754BE"/>
    <w:rsid w:val="00C76B1C"/>
    <w:rsid w:val="00CB6357"/>
    <w:rsid w:val="00CC1B26"/>
    <w:rsid w:val="00CF6035"/>
    <w:rsid w:val="00D423A2"/>
    <w:rsid w:val="00D520D8"/>
    <w:rsid w:val="00D63AC2"/>
    <w:rsid w:val="00D7383B"/>
    <w:rsid w:val="00D9379D"/>
    <w:rsid w:val="00DA231B"/>
    <w:rsid w:val="00DA23A0"/>
    <w:rsid w:val="00DC39FC"/>
    <w:rsid w:val="00DF5254"/>
    <w:rsid w:val="00E16408"/>
    <w:rsid w:val="00E20894"/>
    <w:rsid w:val="00E245AB"/>
    <w:rsid w:val="00E2764C"/>
    <w:rsid w:val="00E27F2E"/>
    <w:rsid w:val="00E413EA"/>
    <w:rsid w:val="00E50AFE"/>
    <w:rsid w:val="00E75C92"/>
    <w:rsid w:val="00E771DC"/>
    <w:rsid w:val="00E8514A"/>
    <w:rsid w:val="00E8772A"/>
    <w:rsid w:val="00E90F6B"/>
    <w:rsid w:val="00E92C27"/>
    <w:rsid w:val="00EA0E3D"/>
    <w:rsid w:val="00EC38A7"/>
    <w:rsid w:val="00EE1AA8"/>
    <w:rsid w:val="00F31EDC"/>
    <w:rsid w:val="00F462B3"/>
    <w:rsid w:val="00F5664F"/>
    <w:rsid w:val="00F666C4"/>
    <w:rsid w:val="00F76AFC"/>
    <w:rsid w:val="00FA47C0"/>
    <w:rsid w:val="00FB2755"/>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Lista vistosa - Énfasis 1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6D7A39"/>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D7A39"/>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ala-de-prensa/boletin-digit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navarro@vivacseguridad.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purl.org/dc/terms/"/>
    <ds:schemaRef ds:uri="http://schemas.microsoft.com/office/2006/documentManagement/types"/>
    <ds:schemaRef ds:uri="a6cb9e4b-f1d1-4245-83ec-6cad768d538a"/>
    <ds:schemaRef ds:uri="http://www.w3.org/XML/1998/namespace"/>
    <ds:schemaRef ds:uri="http://purl.org/dc/dcmitype/"/>
    <ds:schemaRef ds:uri="http://purl.org/dc/elements/1.1/"/>
    <ds:schemaRef ds:uri="9d85dbaf-23eb-4e57-a637-93dcacc8b1a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5D496D0-F98D-4CEE-8B31-7BD3690C9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2749</Words>
  <Characters>15122</Characters>
  <Application>Microsoft Office Word</Application>
  <DocSecurity>0</DocSecurity>
  <Lines>126</Lines>
  <Paragraphs>35</Paragraphs>
  <ScaleCrop>false</ScaleCrop>
  <Company/>
  <LinksUpToDate>false</LinksUpToDate>
  <CharactersWithSpaces>17836</CharactersWithSpaces>
  <SharedDoc>false</SharedDoc>
  <HLinks>
    <vt:vector size="18" baseType="variant">
      <vt:variant>
        <vt:i4>5439494</vt:i4>
      </vt:variant>
      <vt:variant>
        <vt:i4>6</vt:i4>
      </vt:variant>
      <vt:variant>
        <vt:i4>0</vt:i4>
      </vt:variant>
      <vt:variant>
        <vt:i4>5</vt:i4>
      </vt:variant>
      <vt:variant>
        <vt:lpwstr>https://www.colombiacompra.gov.co/sala-de-prensa/boletin-digital</vt:lpwstr>
      </vt:variant>
      <vt:variant>
        <vt:lpwstr/>
      </vt:variant>
      <vt:variant>
        <vt:i4>7471218</vt:i4>
      </vt:variant>
      <vt:variant>
        <vt:i4>3</vt:i4>
      </vt:variant>
      <vt:variant>
        <vt:i4>0</vt:i4>
      </vt:variant>
      <vt:variant>
        <vt:i4>5</vt:i4>
      </vt:variant>
      <vt:variant>
        <vt:lpwstr>https://relatoria.colombiacompra.gov.co/busqueda/conceptos</vt:lpwstr>
      </vt:variant>
      <vt:variant>
        <vt:lpwstr/>
      </vt:variant>
      <vt:variant>
        <vt:i4>4194421</vt:i4>
      </vt:variant>
      <vt:variant>
        <vt:i4>0</vt:i4>
      </vt:variant>
      <vt:variant>
        <vt:i4>0</vt:i4>
      </vt:variant>
      <vt:variant>
        <vt:i4>5</vt:i4>
      </vt:variant>
      <vt:variant>
        <vt:lpwstr>mailto:pnavarro@vivacseguridad.com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Betty helena Diaz</cp:lastModifiedBy>
  <cp:revision>2</cp:revision>
  <cp:lastPrinted>2023-01-10T21:18:00Z</cp:lastPrinted>
  <dcterms:created xsi:type="dcterms:W3CDTF">2024-09-09T03:50:00Z</dcterms:created>
  <dcterms:modified xsi:type="dcterms:W3CDTF">2024-09-09T03:50:00Z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