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ECF80" w14:textId="77777777" w:rsidR="00BA0B57" w:rsidRPr="00BA0B57" w:rsidRDefault="00BA0B57" w:rsidP="00BA0B57">
      <w:pPr>
        <w:spacing w:after="0" w:line="240" w:lineRule="auto"/>
        <w:jc w:val="both"/>
        <w:rPr>
          <w:rFonts w:ascii="Verdana" w:eastAsia="Calibri" w:hAnsi="Verdana" w:cs="Arial"/>
          <w:b/>
          <w:bCs/>
          <w:color w:val="000000" w:themeColor="text1"/>
          <w:sz w:val="20"/>
          <w:szCs w:val="20"/>
          <w:lang w:val="es-ES" w:eastAsia="es-ES"/>
        </w:rPr>
      </w:pPr>
      <w:bookmarkStart w:id="0" w:name="_Hlk143780582"/>
      <w:r w:rsidRPr="00BA0B57">
        <w:rPr>
          <w:rFonts w:ascii="Verdana" w:eastAsia="Calibri" w:hAnsi="Verdana" w:cs="Arial"/>
          <w:b/>
          <w:bCs/>
          <w:color w:val="000000" w:themeColor="text1"/>
          <w:sz w:val="20"/>
          <w:szCs w:val="20"/>
          <w:lang w:val="es-ES" w:eastAsia="es-ES"/>
        </w:rPr>
        <w:t xml:space="preserve">PLAN ANUAL DE ADQUISICIONES – Noción – Carácter estimativo </w:t>
      </w:r>
    </w:p>
    <w:p w14:paraId="749B3C03" w14:textId="77777777" w:rsidR="00BA0B57" w:rsidRPr="00BA0B57" w:rsidRDefault="00BA0B57" w:rsidP="00BA0B57">
      <w:pPr>
        <w:spacing w:after="0" w:line="240" w:lineRule="auto"/>
        <w:jc w:val="both"/>
        <w:rPr>
          <w:rFonts w:ascii="Verdana" w:eastAsia="Calibri" w:hAnsi="Verdana" w:cs="Arial"/>
          <w:color w:val="000000" w:themeColor="text1"/>
          <w:sz w:val="20"/>
          <w:szCs w:val="20"/>
          <w:lang w:val="es-ES" w:eastAsia="es-ES"/>
        </w:rPr>
      </w:pPr>
    </w:p>
    <w:p w14:paraId="025A291E" w14:textId="77777777" w:rsidR="00BA0B57" w:rsidRPr="00BA0B57" w:rsidRDefault="00BA0B57" w:rsidP="00BA0B57">
      <w:pPr>
        <w:spacing w:after="0" w:line="240" w:lineRule="auto"/>
        <w:jc w:val="both"/>
        <w:rPr>
          <w:rFonts w:ascii="Verdana" w:eastAsia="Calibri" w:hAnsi="Verdana" w:cs="Arial"/>
          <w:color w:val="000000" w:themeColor="text1"/>
          <w:sz w:val="20"/>
          <w:szCs w:val="20"/>
          <w:lang w:val="es-ES" w:eastAsia="es-ES"/>
        </w:rPr>
      </w:pPr>
      <w:r w:rsidRPr="00BA0B57">
        <w:rPr>
          <w:rFonts w:ascii="Verdana" w:eastAsia="Calibri" w:hAnsi="Verdana" w:cs="Arial"/>
          <w:color w:val="000000" w:themeColor="text1"/>
          <w:sz w:val="20"/>
          <w:szCs w:val="20"/>
          <w:lang w:val="es-ES" w:eastAsia="es-ES"/>
        </w:rPr>
        <w:t xml:space="preserve">El Plan Anual de Adquisiciones, es un instrumento de planificación y orientación de la contratación de las Entidades Estatales,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De este modo, el Plan Anual de Adquisiciones, se considera un documento de carácter estimativo que tiene entre otras finalidades, la de “servir como referente inicial para evaluar la ejecución de presupuesto y pronosticar la demanda de bienes y servicios de la entidad durante el año referido del plan”. </w:t>
      </w:r>
    </w:p>
    <w:p w14:paraId="57E81846" w14:textId="77777777" w:rsidR="00BA0B57" w:rsidRPr="00BA0B57" w:rsidRDefault="00BA0B57" w:rsidP="00BA0B57">
      <w:pPr>
        <w:spacing w:after="0" w:line="240" w:lineRule="auto"/>
        <w:jc w:val="both"/>
        <w:rPr>
          <w:rFonts w:ascii="Verdana" w:eastAsia="Calibri" w:hAnsi="Verdana" w:cs="Arial"/>
          <w:color w:val="000000" w:themeColor="text1"/>
          <w:sz w:val="20"/>
          <w:szCs w:val="20"/>
          <w:lang w:val="es-ES" w:eastAsia="es-ES"/>
        </w:rPr>
      </w:pPr>
    </w:p>
    <w:p w14:paraId="7DF80DFE" w14:textId="77777777" w:rsidR="00BA0B57" w:rsidRPr="00BA0B57" w:rsidRDefault="00BA0B57" w:rsidP="00BA0B57">
      <w:pPr>
        <w:spacing w:after="0" w:line="240" w:lineRule="auto"/>
        <w:jc w:val="both"/>
        <w:rPr>
          <w:rFonts w:ascii="Verdana" w:eastAsia="Calibri" w:hAnsi="Verdana" w:cs="Arial"/>
          <w:b/>
          <w:bCs/>
          <w:color w:val="000000" w:themeColor="text1"/>
          <w:sz w:val="20"/>
          <w:szCs w:val="20"/>
          <w:lang w:val="es-ES" w:eastAsia="es-ES"/>
        </w:rPr>
      </w:pPr>
      <w:r w:rsidRPr="00BA0B57">
        <w:rPr>
          <w:rFonts w:ascii="Verdana" w:eastAsia="Calibri" w:hAnsi="Verdana" w:cs="Arial"/>
          <w:b/>
          <w:bCs/>
          <w:color w:val="000000" w:themeColor="text1"/>
          <w:sz w:val="20"/>
          <w:szCs w:val="20"/>
          <w:lang w:val="es-ES" w:eastAsia="es-ES"/>
        </w:rPr>
        <w:t>PLAN ANUAL DE ADQUISICIONES – Obligatoriedad de elaboración – Sujetos obligados</w:t>
      </w:r>
    </w:p>
    <w:p w14:paraId="303DD4F1" w14:textId="77777777" w:rsidR="00BA0B57" w:rsidRPr="00BA0B57" w:rsidRDefault="00BA0B57" w:rsidP="00BA0B57">
      <w:pPr>
        <w:spacing w:after="0" w:line="240" w:lineRule="auto"/>
        <w:jc w:val="both"/>
        <w:rPr>
          <w:rFonts w:ascii="Verdana" w:eastAsia="Calibri" w:hAnsi="Verdana" w:cs="Arial"/>
          <w:color w:val="000000" w:themeColor="text1"/>
          <w:sz w:val="20"/>
          <w:szCs w:val="20"/>
          <w:lang w:val="es-ES" w:eastAsia="es-ES"/>
        </w:rPr>
      </w:pPr>
    </w:p>
    <w:p w14:paraId="4F1EEB34" w14:textId="77777777" w:rsidR="00BA0B57" w:rsidRPr="00BA0B57" w:rsidRDefault="00BA0B57" w:rsidP="00BA0B57">
      <w:pPr>
        <w:spacing w:after="0" w:line="240" w:lineRule="auto"/>
        <w:jc w:val="both"/>
        <w:rPr>
          <w:rFonts w:ascii="Verdana" w:eastAsia="Calibri" w:hAnsi="Verdana" w:cs="Arial"/>
          <w:color w:val="000000" w:themeColor="text1"/>
          <w:sz w:val="20"/>
          <w:szCs w:val="20"/>
          <w:lang w:val="es-ES" w:eastAsia="es-ES"/>
        </w:rPr>
      </w:pPr>
      <w:r w:rsidRPr="00BA0B57">
        <w:rPr>
          <w:rFonts w:ascii="Verdana" w:eastAsia="Calibri" w:hAnsi="Verdana" w:cs="Arial"/>
          <w:color w:val="000000" w:themeColor="text1"/>
          <w:sz w:val="20"/>
          <w:szCs w:val="20"/>
          <w:lang w:val="es-ES" w:eastAsia="es-ES"/>
        </w:rPr>
        <w:t>De acuerdo con el artículo 2.2.1.1.1.3.1 del Decreto 1082 de 2015, el Plan Anual de Adquisiciones es el plan general de compras al que se refiere el artículo 74 de la Ley 1474 de 2011 y el plan de compras al que se refiere la Ley Anual de Presupuesto. Asimismo, el artículo 2.1.1.1.3.1 del Decreto 1082 de 2015 lo define como un instrumento de planeación contractual que las Entidades Estatales debe diligenciar, publicar y actualizar.</w:t>
      </w:r>
    </w:p>
    <w:p w14:paraId="703218EF" w14:textId="77777777" w:rsidR="00BA0B57" w:rsidRPr="00BA0B57" w:rsidRDefault="00BA0B57" w:rsidP="00BA0B57">
      <w:pPr>
        <w:spacing w:after="0" w:line="240" w:lineRule="auto"/>
        <w:jc w:val="both"/>
        <w:rPr>
          <w:rFonts w:ascii="Verdana" w:eastAsia="Calibri" w:hAnsi="Verdana" w:cs="Arial"/>
          <w:color w:val="000000" w:themeColor="text1"/>
          <w:sz w:val="20"/>
          <w:szCs w:val="20"/>
          <w:lang w:val="es-ES" w:eastAsia="es-ES"/>
        </w:rPr>
      </w:pPr>
    </w:p>
    <w:p w14:paraId="4CF36A01" w14:textId="77777777" w:rsidR="00BA0B57" w:rsidRPr="00BA0B57" w:rsidRDefault="00BA0B57" w:rsidP="00BA0B57">
      <w:pPr>
        <w:spacing w:after="0" w:line="240" w:lineRule="auto"/>
        <w:jc w:val="both"/>
        <w:rPr>
          <w:rFonts w:ascii="Verdana" w:eastAsia="Calibri" w:hAnsi="Verdana" w:cs="Arial"/>
          <w:color w:val="000000" w:themeColor="text1"/>
          <w:sz w:val="20"/>
          <w:szCs w:val="20"/>
          <w:lang w:val="es-ES" w:eastAsia="es-ES"/>
        </w:rPr>
      </w:pPr>
      <w:r w:rsidRPr="00BA0B57">
        <w:rPr>
          <w:rFonts w:ascii="Verdana" w:eastAsia="Calibri" w:hAnsi="Verdana" w:cs="Arial"/>
          <w:color w:val="000000" w:themeColor="text1"/>
          <w:sz w:val="20"/>
          <w:szCs w:val="20"/>
          <w:lang w:val="es-ES" w:eastAsia="es-ES"/>
        </w:rPr>
        <w:t xml:space="preserve">[…] el artículo 74 de la Ley 1474 de 2011 dispone que “todas las entidades del Estado” deben publicar, a más tardar el 31 de enero de cada año, en su respectiva página web, el plan de acción, en el cual se incluye el plan general de compras. Como ya se indicó, el plan general de compras para el ordenamiento vigente corresponde con el concepto de Plan Anual de Adquisiciones como lo establece el artículo 2.2.1.1.1.3.1. del Decreto 1082 de 2015.  </w:t>
      </w:r>
    </w:p>
    <w:p w14:paraId="313698D5" w14:textId="77777777" w:rsidR="00BA0B57" w:rsidRPr="00BA0B57" w:rsidRDefault="00BA0B57" w:rsidP="00BA0B57">
      <w:pPr>
        <w:spacing w:after="0"/>
        <w:contextualSpacing/>
        <w:jc w:val="both"/>
        <w:rPr>
          <w:rFonts w:ascii="Verdana" w:eastAsia="Calibri" w:hAnsi="Verdana" w:cs="Arial"/>
          <w:color w:val="000000" w:themeColor="text1"/>
          <w:sz w:val="20"/>
          <w:szCs w:val="20"/>
          <w:lang w:val="es-ES" w:eastAsia="es-ES"/>
        </w:rPr>
      </w:pPr>
    </w:p>
    <w:p w14:paraId="1691EF82" w14:textId="77777777" w:rsidR="00BA0B57" w:rsidRPr="00BA0B57" w:rsidRDefault="00BA0B57" w:rsidP="00BA0B57">
      <w:pPr>
        <w:contextualSpacing/>
        <w:jc w:val="both"/>
        <w:rPr>
          <w:rFonts w:ascii="Verdana" w:eastAsia="Calibri" w:hAnsi="Verdana" w:cs="Arial"/>
          <w:color w:val="000000" w:themeColor="text1"/>
          <w:sz w:val="20"/>
          <w:szCs w:val="20"/>
          <w:lang w:val="es-ES" w:eastAsia="es-ES"/>
        </w:rPr>
      </w:pPr>
      <w:r w:rsidRPr="00BA0B57">
        <w:rPr>
          <w:rFonts w:ascii="Verdana" w:eastAsia="Calibri" w:hAnsi="Verdana" w:cs="Arial"/>
          <w:color w:val="000000" w:themeColor="text1"/>
          <w:sz w:val="20"/>
          <w:szCs w:val="20"/>
          <w:lang w:val="es-ES" w:eastAsia="es-ES"/>
        </w:rPr>
        <w:t>[…]el artículo 2.2.1.1.1.4.3 ibidem, el Plan Anual de Adquisiciones también debe publicarse en el SECOP. Se trata de una obligación que involucra a todas las Entidades del Estado sin importar la rama a la cual pertenecen, o si se trata de entidades descentralizadas territorialmente o por servicios; las empresas del Estado y las sociedades en las que el Estado tenga participación, sin que importe su monto.</w:t>
      </w:r>
    </w:p>
    <w:p w14:paraId="779E16AE" w14:textId="77777777" w:rsidR="00BA0B57" w:rsidRPr="00BA0B57" w:rsidRDefault="00BA0B57" w:rsidP="00BA0B57">
      <w:pPr>
        <w:contextualSpacing/>
        <w:jc w:val="both"/>
        <w:rPr>
          <w:rFonts w:ascii="Verdana" w:eastAsia="Calibri" w:hAnsi="Verdana" w:cs="Arial"/>
          <w:color w:val="000000" w:themeColor="text1"/>
          <w:sz w:val="20"/>
          <w:szCs w:val="20"/>
          <w:lang w:val="es-ES" w:eastAsia="es-ES"/>
        </w:rPr>
      </w:pPr>
    </w:p>
    <w:p w14:paraId="06D903DB" w14:textId="77777777" w:rsidR="00BA0B57" w:rsidRPr="00BA0B57" w:rsidRDefault="00BA0B57" w:rsidP="00BA0B57">
      <w:pPr>
        <w:spacing w:after="0" w:line="276" w:lineRule="auto"/>
        <w:jc w:val="both"/>
        <w:rPr>
          <w:rFonts w:ascii="Verdana" w:eastAsia="Calibri" w:hAnsi="Verdana" w:cs="Arial"/>
          <w:b/>
          <w:bCs/>
          <w:color w:val="000000" w:themeColor="text1"/>
          <w:sz w:val="20"/>
          <w:szCs w:val="20"/>
          <w:lang w:val="es-ES" w:eastAsia="es-ES"/>
        </w:rPr>
      </w:pPr>
      <w:r w:rsidRPr="00BA0B57">
        <w:rPr>
          <w:rFonts w:ascii="Verdana" w:eastAsia="Calibri" w:hAnsi="Verdana" w:cs="Arial"/>
          <w:b/>
          <w:bCs/>
          <w:color w:val="000000" w:themeColor="text1"/>
          <w:sz w:val="20"/>
          <w:szCs w:val="20"/>
          <w:lang w:val="es-ES" w:eastAsia="es-ES"/>
        </w:rPr>
        <w:t xml:space="preserve">PLAN ANUAL DE ADQUISICIONES – Contenido </w:t>
      </w:r>
    </w:p>
    <w:p w14:paraId="4E7598BD" w14:textId="77777777" w:rsidR="00BA0B57" w:rsidRPr="00BA0B57" w:rsidRDefault="00BA0B57" w:rsidP="00BA0B57">
      <w:pPr>
        <w:spacing w:after="0" w:line="276" w:lineRule="auto"/>
        <w:jc w:val="both"/>
        <w:rPr>
          <w:rFonts w:ascii="Verdana" w:eastAsia="Calibri" w:hAnsi="Verdana" w:cs="Arial"/>
          <w:color w:val="000000" w:themeColor="text1"/>
          <w:sz w:val="20"/>
          <w:szCs w:val="20"/>
          <w:lang w:val="es-ES" w:eastAsia="es-ES"/>
        </w:rPr>
      </w:pPr>
    </w:p>
    <w:p w14:paraId="10715CA3" w14:textId="77777777" w:rsidR="00BA0B57" w:rsidRPr="00590435" w:rsidRDefault="00BA0B57" w:rsidP="00BA0B57">
      <w:pPr>
        <w:spacing w:after="0"/>
        <w:jc w:val="both"/>
        <w:rPr>
          <w:rFonts w:ascii="Verdana" w:eastAsia="Calibri" w:hAnsi="Verdana" w:cs="Arial"/>
          <w:color w:val="000000" w:themeColor="text1"/>
          <w:sz w:val="20"/>
          <w:szCs w:val="20"/>
          <w:lang w:val="es-ES" w:eastAsia="es-ES"/>
        </w:rPr>
      </w:pPr>
      <w:r w:rsidRPr="00BA0B57">
        <w:rPr>
          <w:rFonts w:ascii="Verdana" w:eastAsia="Calibri" w:hAnsi="Verdana" w:cs="Arial"/>
          <w:color w:val="000000" w:themeColor="text1"/>
          <w:sz w:val="20"/>
          <w:szCs w:val="20"/>
          <w:lang w:val="es-ES" w:eastAsia="es-ES"/>
        </w:rPr>
        <w:t xml:space="preserve">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aspectos: i) identificación con el clasificador de bienes y servicios, </w:t>
      </w:r>
      <w:proofErr w:type="spellStart"/>
      <w:r w:rsidRPr="00BA0B57">
        <w:rPr>
          <w:rFonts w:ascii="Verdana" w:eastAsia="Calibri" w:hAnsi="Verdana" w:cs="Arial"/>
          <w:color w:val="000000" w:themeColor="text1"/>
          <w:sz w:val="20"/>
          <w:szCs w:val="20"/>
          <w:lang w:val="es-ES" w:eastAsia="es-ES"/>
        </w:rPr>
        <w:t>ii</w:t>
      </w:r>
      <w:proofErr w:type="spellEnd"/>
      <w:r w:rsidRPr="00BA0B57">
        <w:rPr>
          <w:rFonts w:ascii="Verdana" w:eastAsia="Calibri" w:hAnsi="Verdana" w:cs="Arial"/>
          <w:color w:val="000000" w:themeColor="text1"/>
          <w:sz w:val="20"/>
          <w:szCs w:val="20"/>
          <w:lang w:val="es-ES" w:eastAsia="es-ES"/>
        </w:rPr>
        <w:t xml:space="preserve">) valor estimado del contrato, </w:t>
      </w:r>
      <w:proofErr w:type="spellStart"/>
      <w:r w:rsidRPr="00BA0B57">
        <w:rPr>
          <w:rFonts w:ascii="Verdana" w:eastAsia="Calibri" w:hAnsi="Verdana" w:cs="Arial"/>
          <w:color w:val="000000" w:themeColor="text1"/>
          <w:sz w:val="20"/>
          <w:szCs w:val="20"/>
          <w:lang w:val="es-ES" w:eastAsia="es-ES"/>
        </w:rPr>
        <w:t>iii</w:t>
      </w:r>
      <w:proofErr w:type="spellEnd"/>
      <w:r w:rsidRPr="00BA0B57">
        <w:rPr>
          <w:rFonts w:ascii="Verdana" w:eastAsia="Calibri" w:hAnsi="Verdana" w:cs="Arial"/>
          <w:color w:val="000000" w:themeColor="text1"/>
          <w:sz w:val="20"/>
          <w:szCs w:val="20"/>
          <w:lang w:val="es-ES" w:eastAsia="es-ES"/>
        </w:rPr>
        <w:t xml:space="preserve">) tipo de recursos, </w:t>
      </w:r>
      <w:proofErr w:type="spellStart"/>
      <w:r w:rsidRPr="00BA0B57">
        <w:rPr>
          <w:rFonts w:ascii="Verdana" w:eastAsia="Calibri" w:hAnsi="Verdana" w:cs="Arial"/>
          <w:color w:val="000000" w:themeColor="text1"/>
          <w:sz w:val="20"/>
          <w:szCs w:val="20"/>
          <w:lang w:val="es-ES" w:eastAsia="es-ES"/>
        </w:rPr>
        <w:t>iv</w:t>
      </w:r>
      <w:proofErr w:type="spellEnd"/>
      <w:r w:rsidRPr="00BA0B57">
        <w:rPr>
          <w:rFonts w:ascii="Verdana" w:eastAsia="Calibri" w:hAnsi="Verdana" w:cs="Arial"/>
          <w:color w:val="000000" w:themeColor="text1"/>
          <w:sz w:val="20"/>
          <w:szCs w:val="20"/>
          <w:lang w:val="es-ES" w:eastAsia="es-ES"/>
        </w:rPr>
        <w:t xml:space="preserve">) modalidad de selección y v) fecha de inicio del proceso contractual . Con relación a la configuración de dicho listado, en primer lugar, es necesario resaltar que el objetivo del Plan Anual de Adquisiciones es indicar los bienes, obras y servicios que la entidad pretende adquirir, sin consideración a la forma en que estos se obtendrán, pues es el criterio de necesidad de aquellos el que fundamenta la inclusión o no en la lista del plan y no el carácter pecuniario de este ni su modalidad de contratación. Por </w:t>
      </w:r>
      <w:r w:rsidRPr="00BA0B57">
        <w:rPr>
          <w:rFonts w:ascii="Verdana" w:eastAsia="Calibri" w:hAnsi="Verdana" w:cs="Arial"/>
          <w:color w:val="000000" w:themeColor="text1"/>
          <w:sz w:val="20"/>
          <w:szCs w:val="20"/>
          <w:lang w:val="es-ES" w:eastAsia="es-ES"/>
        </w:rPr>
        <w:lastRenderedPageBreak/>
        <w:t>tanto, bastará con que la entidad identifique la necesidad contractual para que deba incluirlo en el listado.</w:t>
      </w:r>
    </w:p>
    <w:p w14:paraId="333E5740" w14:textId="77777777" w:rsidR="00590435" w:rsidRPr="00590435" w:rsidRDefault="00590435" w:rsidP="00BA0B57">
      <w:pPr>
        <w:spacing w:after="0"/>
        <w:jc w:val="both"/>
        <w:rPr>
          <w:rFonts w:ascii="Verdana" w:eastAsia="Calibri" w:hAnsi="Verdana" w:cs="Arial"/>
          <w:color w:val="000000" w:themeColor="text1"/>
          <w:sz w:val="20"/>
          <w:szCs w:val="20"/>
          <w:lang w:val="es-ES" w:eastAsia="es-ES"/>
        </w:rPr>
      </w:pPr>
    </w:p>
    <w:p w14:paraId="4A9A0827" w14:textId="77777777" w:rsidR="00590435" w:rsidRPr="00590435" w:rsidRDefault="00590435" w:rsidP="00590435">
      <w:pPr>
        <w:spacing w:after="0"/>
        <w:jc w:val="both"/>
        <w:rPr>
          <w:rFonts w:ascii="Verdana" w:eastAsia="Calibri" w:hAnsi="Verdana" w:cs="Arial"/>
          <w:b/>
          <w:bCs/>
          <w:color w:val="000000" w:themeColor="text1"/>
          <w:sz w:val="20"/>
          <w:szCs w:val="20"/>
          <w:lang w:val="es-ES" w:eastAsia="es-ES"/>
        </w:rPr>
      </w:pPr>
      <w:r w:rsidRPr="00590435">
        <w:rPr>
          <w:rFonts w:ascii="Verdana" w:eastAsia="Calibri" w:hAnsi="Verdana" w:cs="Arial"/>
          <w:b/>
          <w:bCs/>
          <w:color w:val="000000" w:themeColor="text1"/>
          <w:sz w:val="20"/>
          <w:szCs w:val="20"/>
          <w:lang w:val="es-ES" w:eastAsia="es-ES"/>
        </w:rPr>
        <w:t>PRINCIPIO DE PUBLICIDAD - Naturaleza</w:t>
      </w:r>
    </w:p>
    <w:p w14:paraId="1237907F" w14:textId="77777777" w:rsidR="00590435" w:rsidRPr="00590435" w:rsidRDefault="00590435" w:rsidP="00590435">
      <w:pPr>
        <w:spacing w:after="0"/>
        <w:jc w:val="both"/>
        <w:rPr>
          <w:rFonts w:ascii="Verdana" w:eastAsia="Calibri" w:hAnsi="Verdana" w:cs="Arial"/>
          <w:color w:val="000000" w:themeColor="text1"/>
          <w:sz w:val="20"/>
          <w:szCs w:val="20"/>
          <w:lang w:val="es-ES" w:eastAsia="es-ES"/>
        </w:rPr>
      </w:pPr>
    </w:p>
    <w:p w14:paraId="78AF00D2" w14:textId="77777777" w:rsidR="00590435" w:rsidRPr="00590435" w:rsidRDefault="00590435" w:rsidP="00590435">
      <w:pPr>
        <w:spacing w:after="0"/>
        <w:jc w:val="both"/>
        <w:rPr>
          <w:rFonts w:ascii="Verdana" w:eastAsia="Calibri" w:hAnsi="Verdana" w:cs="Arial"/>
          <w:color w:val="000000" w:themeColor="text1"/>
          <w:sz w:val="20"/>
          <w:szCs w:val="20"/>
          <w:lang w:val="es-ES" w:eastAsia="es-ES"/>
        </w:rPr>
      </w:pPr>
      <w:r w:rsidRPr="00590435">
        <w:rPr>
          <w:rFonts w:ascii="Verdana" w:eastAsia="Calibri" w:hAnsi="Verdana" w:cs="Arial"/>
          <w:color w:val="000000" w:themeColor="text1"/>
          <w:sz w:val="20"/>
          <w:szCs w:val="20"/>
          <w:lang w:val="es-ES" w:eastAsia="es-ES"/>
        </w:rPr>
        <w:t>El principio de publicidad impone a las autoridades el deber de dar a conocer sus actos, contratos y decisiones, para que se divulguen y, eventualmente, se controlen dichas actuaciones. En razón a lo anterior, en materia de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p>
    <w:p w14:paraId="6CBF6A54" w14:textId="77777777" w:rsidR="00590435" w:rsidRPr="00590435" w:rsidRDefault="00590435" w:rsidP="00590435">
      <w:pPr>
        <w:spacing w:after="0"/>
        <w:jc w:val="both"/>
        <w:rPr>
          <w:rFonts w:ascii="Verdana" w:eastAsia="Calibri" w:hAnsi="Verdana" w:cs="Arial"/>
          <w:color w:val="000000" w:themeColor="text1"/>
          <w:lang w:val="es-ES" w:eastAsia="es-ES"/>
        </w:rPr>
      </w:pPr>
    </w:p>
    <w:p w14:paraId="6DE9310A" w14:textId="77777777" w:rsidR="00590435" w:rsidRPr="00BA0B57" w:rsidRDefault="00590435" w:rsidP="00BA0B57">
      <w:pPr>
        <w:spacing w:after="0"/>
        <w:jc w:val="both"/>
        <w:rPr>
          <w:rFonts w:ascii="Verdana" w:eastAsia="Calibri" w:hAnsi="Verdana" w:cs="Arial"/>
          <w:color w:val="000000" w:themeColor="text1"/>
          <w:lang w:val="es-ES" w:eastAsia="es-ES"/>
        </w:rPr>
      </w:pPr>
    </w:p>
    <w:p w14:paraId="49A0EE7F" w14:textId="77777777" w:rsidR="00BA0B57" w:rsidRPr="00BA0B57" w:rsidRDefault="00BA0B57" w:rsidP="007C4615">
      <w:pPr>
        <w:spacing w:after="0"/>
        <w:rPr>
          <w:rFonts w:ascii="Verdana" w:hAnsi="Verdana"/>
          <w:lang w:val="es-ES"/>
        </w:rPr>
      </w:pPr>
    </w:p>
    <w:p w14:paraId="64182E27" w14:textId="77777777" w:rsidR="00BA0B57" w:rsidRDefault="00BA0B57" w:rsidP="007C4615">
      <w:pPr>
        <w:spacing w:after="0"/>
        <w:rPr>
          <w:rFonts w:ascii="Verdana" w:hAnsi="Verdana"/>
        </w:rPr>
      </w:pPr>
    </w:p>
    <w:p w14:paraId="7F31FAAA" w14:textId="77777777" w:rsidR="00201E99" w:rsidRDefault="00201E99" w:rsidP="007C4615">
      <w:pPr>
        <w:spacing w:after="0"/>
        <w:rPr>
          <w:rFonts w:ascii="Verdana" w:hAnsi="Verdana"/>
        </w:rPr>
      </w:pPr>
    </w:p>
    <w:p w14:paraId="7A07A198" w14:textId="77777777" w:rsidR="00201E99" w:rsidRDefault="00201E99" w:rsidP="007C4615">
      <w:pPr>
        <w:spacing w:after="0"/>
        <w:rPr>
          <w:rFonts w:ascii="Verdana" w:hAnsi="Verdana"/>
        </w:rPr>
      </w:pPr>
    </w:p>
    <w:p w14:paraId="586F4A52" w14:textId="77777777" w:rsidR="00201E99" w:rsidRDefault="00201E99" w:rsidP="007C4615">
      <w:pPr>
        <w:spacing w:after="0"/>
        <w:rPr>
          <w:rFonts w:ascii="Verdana" w:hAnsi="Verdana"/>
        </w:rPr>
      </w:pPr>
    </w:p>
    <w:p w14:paraId="7FFCC651" w14:textId="77777777" w:rsidR="00201E99" w:rsidRDefault="00201E99" w:rsidP="007C4615">
      <w:pPr>
        <w:spacing w:after="0"/>
        <w:rPr>
          <w:rFonts w:ascii="Verdana" w:hAnsi="Verdana"/>
        </w:rPr>
      </w:pPr>
    </w:p>
    <w:p w14:paraId="044EFCF7" w14:textId="77777777" w:rsidR="00201E99" w:rsidRDefault="00201E99" w:rsidP="007C4615">
      <w:pPr>
        <w:spacing w:after="0"/>
        <w:rPr>
          <w:rFonts w:ascii="Verdana" w:hAnsi="Verdana"/>
        </w:rPr>
      </w:pPr>
    </w:p>
    <w:p w14:paraId="144CAF32" w14:textId="77777777" w:rsidR="00201E99" w:rsidRDefault="00201E99" w:rsidP="007C4615">
      <w:pPr>
        <w:spacing w:after="0"/>
        <w:rPr>
          <w:rFonts w:ascii="Verdana" w:hAnsi="Verdana"/>
        </w:rPr>
      </w:pPr>
    </w:p>
    <w:p w14:paraId="0F93F478" w14:textId="77777777" w:rsidR="00201E99" w:rsidRDefault="00201E99" w:rsidP="007C4615">
      <w:pPr>
        <w:spacing w:after="0"/>
        <w:rPr>
          <w:rFonts w:ascii="Verdana" w:hAnsi="Verdana"/>
        </w:rPr>
      </w:pPr>
    </w:p>
    <w:p w14:paraId="0591CA4F" w14:textId="77777777" w:rsidR="00201E99" w:rsidRDefault="00201E99" w:rsidP="007C4615">
      <w:pPr>
        <w:spacing w:after="0"/>
        <w:rPr>
          <w:rFonts w:ascii="Verdana" w:hAnsi="Verdana"/>
        </w:rPr>
      </w:pPr>
    </w:p>
    <w:p w14:paraId="506F1C5F" w14:textId="77777777" w:rsidR="00201E99" w:rsidRDefault="00201E99" w:rsidP="007C4615">
      <w:pPr>
        <w:spacing w:after="0"/>
        <w:rPr>
          <w:rFonts w:ascii="Verdana" w:hAnsi="Verdana"/>
        </w:rPr>
      </w:pPr>
    </w:p>
    <w:p w14:paraId="0C0FE904" w14:textId="77777777" w:rsidR="00201E99" w:rsidRDefault="00201E99" w:rsidP="007C4615">
      <w:pPr>
        <w:spacing w:after="0"/>
        <w:rPr>
          <w:rFonts w:ascii="Verdana" w:hAnsi="Verdana"/>
        </w:rPr>
      </w:pPr>
    </w:p>
    <w:p w14:paraId="79D54657" w14:textId="77777777" w:rsidR="00201E99" w:rsidRDefault="00201E99" w:rsidP="007C4615">
      <w:pPr>
        <w:spacing w:after="0"/>
        <w:rPr>
          <w:rFonts w:ascii="Verdana" w:hAnsi="Verdana"/>
        </w:rPr>
      </w:pPr>
    </w:p>
    <w:p w14:paraId="28A02BF2" w14:textId="77777777" w:rsidR="00201E99" w:rsidRDefault="00201E99" w:rsidP="007C4615">
      <w:pPr>
        <w:spacing w:after="0"/>
        <w:rPr>
          <w:rFonts w:ascii="Verdana" w:hAnsi="Verdana"/>
        </w:rPr>
      </w:pPr>
    </w:p>
    <w:p w14:paraId="7CCDD7F3" w14:textId="77777777" w:rsidR="00201E99" w:rsidRDefault="00201E99" w:rsidP="007C4615">
      <w:pPr>
        <w:spacing w:after="0"/>
        <w:rPr>
          <w:rFonts w:ascii="Verdana" w:hAnsi="Verdana"/>
        </w:rPr>
      </w:pPr>
    </w:p>
    <w:p w14:paraId="3218DAFC" w14:textId="77777777" w:rsidR="00201E99" w:rsidRDefault="00201E99" w:rsidP="007C4615">
      <w:pPr>
        <w:spacing w:after="0"/>
        <w:rPr>
          <w:rFonts w:ascii="Verdana" w:hAnsi="Verdana"/>
        </w:rPr>
      </w:pPr>
    </w:p>
    <w:p w14:paraId="50D801F3" w14:textId="77777777" w:rsidR="00201E99" w:rsidRDefault="00201E99" w:rsidP="007C4615">
      <w:pPr>
        <w:spacing w:after="0"/>
        <w:rPr>
          <w:rFonts w:ascii="Verdana" w:hAnsi="Verdana"/>
        </w:rPr>
      </w:pPr>
    </w:p>
    <w:p w14:paraId="011F22A3" w14:textId="77777777" w:rsidR="00201E99" w:rsidRDefault="00201E99" w:rsidP="007C4615">
      <w:pPr>
        <w:spacing w:after="0"/>
        <w:rPr>
          <w:rFonts w:ascii="Verdana" w:hAnsi="Verdana"/>
        </w:rPr>
      </w:pPr>
    </w:p>
    <w:p w14:paraId="37CCD482" w14:textId="77777777" w:rsidR="00201E99" w:rsidRDefault="00201E99" w:rsidP="007C4615">
      <w:pPr>
        <w:spacing w:after="0"/>
        <w:rPr>
          <w:rFonts w:ascii="Verdana" w:hAnsi="Verdana"/>
        </w:rPr>
      </w:pPr>
    </w:p>
    <w:p w14:paraId="73A226E6" w14:textId="77777777" w:rsidR="00201E99" w:rsidRDefault="00201E99" w:rsidP="007C4615">
      <w:pPr>
        <w:spacing w:after="0"/>
        <w:rPr>
          <w:rFonts w:ascii="Verdana" w:hAnsi="Verdana"/>
        </w:rPr>
      </w:pPr>
    </w:p>
    <w:p w14:paraId="616A357B" w14:textId="77777777" w:rsidR="00201E99" w:rsidRDefault="00201E99" w:rsidP="007C4615">
      <w:pPr>
        <w:spacing w:after="0"/>
        <w:rPr>
          <w:rFonts w:ascii="Verdana" w:hAnsi="Verdana"/>
        </w:rPr>
      </w:pPr>
    </w:p>
    <w:p w14:paraId="0CE8F1E1" w14:textId="77777777" w:rsidR="00201E99" w:rsidRDefault="00201E99" w:rsidP="007C4615">
      <w:pPr>
        <w:spacing w:after="0"/>
        <w:rPr>
          <w:rFonts w:ascii="Verdana" w:hAnsi="Verdana"/>
        </w:rPr>
      </w:pPr>
    </w:p>
    <w:p w14:paraId="51C92AA1" w14:textId="77777777" w:rsidR="00201E99" w:rsidRDefault="00201E99" w:rsidP="007C4615">
      <w:pPr>
        <w:spacing w:after="0"/>
        <w:rPr>
          <w:rFonts w:ascii="Verdana" w:hAnsi="Verdana"/>
        </w:rPr>
      </w:pPr>
    </w:p>
    <w:p w14:paraId="0475E141" w14:textId="77777777" w:rsidR="00201E99" w:rsidRDefault="00201E99" w:rsidP="007C4615">
      <w:pPr>
        <w:spacing w:after="0"/>
        <w:rPr>
          <w:rFonts w:ascii="Verdana" w:hAnsi="Verdana"/>
        </w:rPr>
      </w:pPr>
    </w:p>
    <w:p w14:paraId="2CB964C3" w14:textId="77777777" w:rsidR="00201E99" w:rsidRDefault="00201E99" w:rsidP="007C4615">
      <w:pPr>
        <w:spacing w:after="0"/>
        <w:rPr>
          <w:rFonts w:ascii="Verdana" w:hAnsi="Verdana"/>
        </w:rPr>
      </w:pPr>
    </w:p>
    <w:p w14:paraId="4FF21938" w14:textId="77777777" w:rsidR="00201E99" w:rsidRDefault="00201E99" w:rsidP="007C4615">
      <w:pPr>
        <w:spacing w:after="0"/>
        <w:rPr>
          <w:rFonts w:ascii="Verdana" w:hAnsi="Verdana"/>
        </w:rPr>
      </w:pPr>
    </w:p>
    <w:p w14:paraId="42FCD310" w14:textId="77777777" w:rsidR="00201E99" w:rsidRDefault="00201E99" w:rsidP="007C4615">
      <w:pPr>
        <w:spacing w:after="0"/>
        <w:rPr>
          <w:rFonts w:ascii="Verdana" w:hAnsi="Verdana"/>
        </w:rPr>
      </w:pPr>
    </w:p>
    <w:p w14:paraId="2A871C29" w14:textId="77777777" w:rsidR="00201E99" w:rsidRDefault="00201E99" w:rsidP="007C4615">
      <w:pPr>
        <w:spacing w:after="0"/>
        <w:rPr>
          <w:rFonts w:ascii="Verdana" w:hAnsi="Verdana"/>
        </w:rPr>
      </w:pPr>
    </w:p>
    <w:p w14:paraId="49A65329" w14:textId="77777777" w:rsidR="00201E99" w:rsidRDefault="00201E99" w:rsidP="007C4615">
      <w:pPr>
        <w:spacing w:after="0"/>
        <w:rPr>
          <w:rFonts w:ascii="Verdana" w:hAnsi="Verdana"/>
        </w:rPr>
      </w:pPr>
    </w:p>
    <w:p w14:paraId="7BB9F4F0" w14:textId="77777777" w:rsidR="00BA0B57" w:rsidRDefault="00BA0B57" w:rsidP="007C4615">
      <w:pPr>
        <w:spacing w:after="0"/>
        <w:rPr>
          <w:rFonts w:ascii="Verdana" w:hAnsi="Verdana"/>
        </w:rPr>
      </w:pPr>
    </w:p>
    <w:p w14:paraId="37C01F03" w14:textId="77777777" w:rsidR="00BA0B57" w:rsidRDefault="00BA0B57" w:rsidP="007C4615">
      <w:pPr>
        <w:spacing w:after="0"/>
        <w:rPr>
          <w:rFonts w:ascii="Verdana" w:hAnsi="Verdana"/>
        </w:rPr>
      </w:pPr>
    </w:p>
    <w:p w14:paraId="2D3AF910" w14:textId="27F687AF" w:rsidR="007C4615" w:rsidRPr="00B6469F" w:rsidRDefault="007C4615" w:rsidP="007C4615">
      <w:pPr>
        <w:spacing w:after="0"/>
        <w:rPr>
          <w:rFonts w:ascii="Verdana" w:hAnsi="Verdana"/>
        </w:rPr>
      </w:pPr>
      <w:r w:rsidRPr="00B6469F">
        <w:rPr>
          <w:rFonts w:ascii="Verdana" w:hAnsi="Verdana"/>
        </w:rPr>
        <w:t>Bogotá D.C., [Día] [</w:t>
      </w:r>
      <w:proofErr w:type="spellStart"/>
      <w:r w:rsidRPr="00B6469F">
        <w:rPr>
          <w:rFonts w:ascii="Verdana" w:hAnsi="Verdana"/>
        </w:rPr>
        <w:t>Mes.NombreCapitalizado</w:t>
      </w:r>
      <w:proofErr w:type="spellEnd"/>
      <w:r w:rsidRPr="00B6469F">
        <w:rPr>
          <w:rFonts w:ascii="Verdana" w:hAnsi="Verdana"/>
        </w:rPr>
        <w:t>] [Año]</w:t>
      </w:r>
      <w:r w:rsidRPr="00B6469F">
        <w:rPr>
          <w:rFonts w:ascii="Verdana" w:hAnsi="Verdana"/>
        </w:rPr>
        <w:tab/>
      </w:r>
    </w:p>
    <w:p w14:paraId="030A6BF0" w14:textId="77777777" w:rsidR="007C4615" w:rsidRPr="00B6469F" w:rsidRDefault="007C4615" w:rsidP="007C4615">
      <w:pPr>
        <w:spacing w:after="0"/>
        <w:rPr>
          <w:rFonts w:ascii="Verdana" w:hAnsi="Verdana"/>
        </w:rPr>
      </w:pPr>
    </w:p>
    <w:p w14:paraId="41DB773B" w14:textId="429EEAB6" w:rsidR="007C4615" w:rsidRPr="00B6469F" w:rsidRDefault="007C4615" w:rsidP="007C4615">
      <w:pPr>
        <w:spacing w:after="0" w:line="240" w:lineRule="auto"/>
        <w:jc w:val="both"/>
        <w:rPr>
          <w:rFonts w:ascii="Verdana" w:eastAsia="Calibri" w:hAnsi="Verdana" w:cs="Arial"/>
          <w:color w:val="000000"/>
          <w:lang w:val="es-ES"/>
        </w:rPr>
      </w:pPr>
      <w:r w:rsidRPr="00B6469F">
        <w:rPr>
          <w:rFonts w:ascii="Verdana" w:eastAsia="Calibri" w:hAnsi="Verdana" w:cs="Arial"/>
          <w:color w:val="000000"/>
          <w:lang w:val="es-ES"/>
        </w:rPr>
        <w:t>D</w:t>
      </w:r>
      <w:r w:rsidR="00AC33E2" w:rsidRPr="00B6469F">
        <w:rPr>
          <w:rFonts w:ascii="Verdana" w:eastAsia="Calibri" w:hAnsi="Verdana" w:cs="Arial"/>
          <w:color w:val="000000"/>
          <w:lang w:val="es-ES"/>
        </w:rPr>
        <w:t>octora</w:t>
      </w:r>
    </w:p>
    <w:p w14:paraId="1B79F040" w14:textId="77777777" w:rsidR="007C4615" w:rsidRPr="00B6469F" w:rsidRDefault="007C4615" w:rsidP="007C4615">
      <w:pPr>
        <w:spacing w:after="0" w:line="240" w:lineRule="auto"/>
        <w:jc w:val="both"/>
        <w:rPr>
          <w:rFonts w:ascii="Verdana" w:eastAsia="Calibri" w:hAnsi="Verdana" w:cs="Arial"/>
          <w:b/>
          <w:bCs/>
          <w:color w:val="000000"/>
          <w:lang w:val="es-ES"/>
        </w:rPr>
      </w:pPr>
      <w:r w:rsidRPr="00B6469F">
        <w:rPr>
          <w:rFonts w:ascii="Verdana" w:eastAsia="Calibri" w:hAnsi="Verdana" w:cs="Arial"/>
          <w:b/>
          <w:bCs/>
          <w:color w:val="000000"/>
          <w:lang w:val="es-ES"/>
        </w:rPr>
        <w:t xml:space="preserve">Vanessa Camila Jiménez Rojas </w:t>
      </w:r>
    </w:p>
    <w:p w14:paraId="30027B40" w14:textId="048A0E97" w:rsidR="007C4615" w:rsidRPr="00B6469F" w:rsidRDefault="007C4615" w:rsidP="007C4615">
      <w:pPr>
        <w:spacing w:after="0" w:line="240" w:lineRule="auto"/>
        <w:jc w:val="both"/>
        <w:rPr>
          <w:rFonts w:ascii="Verdana" w:eastAsia="Calibri" w:hAnsi="Verdana" w:cs="Arial"/>
          <w:b/>
          <w:bCs/>
          <w:color w:val="000000"/>
          <w:lang w:val="es-ES"/>
        </w:rPr>
      </w:pPr>
      <w:r w:rsidRPr="00B6469F">
        <w:rPr>
          <w:rFonts w:ascii="Verdana" w:eastAsia="Calibri" w:hAnsi="Verdana" w:cs="Arial"/>
          <w:b/>
          <w:bCs/>
          <w:color w:val="000000"/>
          <w:lang w:val="es-ES"/>
        </w:rPr>
        <w:t>Jefe</w:t>
      </w:r>
      <w:r w:rsidR="00AC33E2" w:rsidRPr="00B6469F">
        <w:rPr>
          <w:rFonts w:ascii="Verdana" w:eastAsia="Calibri" w:hAnsi="Verdana" w:cs="Arial"/>
          <w:b/>
          <w:bCs/>
          <w:color w:val="000000"/>
          <w:lang w:val="es-ES"/>
        </w:rPr>
        <w:t xml:space="preserve"> del</w:t>
      </w:r>
      <w:r w:rsidRPr="00B6469F">
        <w:rPr>
          <w:rFonts w:ascii="Verdana" w:eastAsia="Calibri" w:hAnsi="Verdana" w:cs="Arial"/>
          <w:b/>
          <w:bCs/>
          <w:color w:val="000000"/>
          <w:lang w:val="es-ES"/>
        </w:rPr>
        <w:t xml:space="preserve"> </w:t>
      </w:r>
      <w:r w:rsidR="00AC33E2" w:rsidRPr="00B6469F">
        <w:rPr>
          <w:rFonts w:ascii="Verdana" w:eastAsia="Calibri" w:hAnsi="Verdana" w:cs="Arial"/>
          <w:b/>
          <w:bCs/>
          <w:color w:val="000000"/>
          <w:lang w:val="es-ES"/>
        </w:rPr>
        <w:t>Grupo Interno de Gestión Contractual</w:t>
      </w:r>
    </w:p>
    <w:p w14:paraId="6A3F2256" w14:textId="77777777" w:rsidR="007C4615" w:rsidRPr="00B6469F" w:rsidRDefault="007C4615" w:rsidP="007C4615">
      <w:pPr>
        <w:spacing w:after="0" w:line="240" w:lineRule="auto"/>
        <w:jc w:val="both"/>
        <w:rPr>
          <w:rFonts w:ascii="Verdana" w:eastAsia="Calibri" w:hAnsi="Verdana" w:cs="Arial"/>
          <w:b/>
          <w:bCs/>
          <w:color w:val="000000"/>
          <w:lang w:val="es-ES"/>
        </w:rPr>
      </w:pPr>
      <w:r w:rsidRPr="00B6469F">
        <w:rPr>
          <w:rFonts w:ascii="Verdana" w:eastAsia="Calibri" w:hAnsi="Verdana" w:cs="Arial"/>
          <w:b/>
          <w:bCs/>
          <w:color w:val="000000"/>
          <w:lang w:val="es-ES"/>
        </w:rPr>
        <w:t>Agencia Nacional de Defensa Jurídica del Estado</w:t>
      </w:r>
    </w:p>
    <w:p w14:paraId="13152027" w14:textId="77777777" w:rsidR="007C4615" w:rsidRPr="00B6469F" w:rsidRDefault="0002737B" w:rsidP="007C4615">
      <w:pPr>
        <w:spacing w:after="0" w:line="240" w:lineRule="auto"/>
        <w:jc w:val="both"/>
        <w:rPr>
          <w:rFonts w:ascii="Verdana" w:eastAsia="Calibri" w:hAnsi="Verdana" w:cs="Arial"/>
          <w:color w:val="000000"/>
          <w:lang w:val="es-ES"/>
        </w:rPr>
      </w:pPr>
      <w:hyperlink r:id="rId10" w:history="1">
        <w:r w:rsidR="007C4615" w:rsidRPr="00B6469F">
          <w:rPr>
            <w:rStyle w:val="Hipervnculo"/>
            <w:rFonts w:ascii="Verdana" w:eastAsia="Calibri" w:hAnsi="Verdana" w:cs="Arial"/>
            <w:lang w:val="es-ES"/>
          </w:rPr>
          <w:t>Angela.diaz@defensajuridica.gov.co</w:t>
        </w:r>
      </w:hyperlink>
      <w:r w:rsidR="007C4615" w:rsidRPr="00B6469F">
        <w:rPr>
          <w:rFonts w:ascii="Verdana" w:eastAsia="Calibri" w:hAnsi="Verdana" w:cs="Arial"/>
          <w:color w:val="000000"/>
          <w:lang w:val="es-ES"/>
        </w:rPr>
        <w:t xml:space="preserve"> </w:t>
      </w:r>
    </w:p>
    <w:p w14:paraId="2C7F22A7" w14:textId="77777777" w:rsidR="007C4615" w:rsidRPr="00B6469F" w:rsidRDefault="007C4615" w:rsidP="007C4615">
      <w:pPr>
        <w:spacing w:after="0" w:line="240" w:lineRule="auto"/>
        <w:jc w:val="both"/>
        <w:rPr>
          <w:rFonts w:ascii="Verdana" w:eastAsia="Calibri" w:hAnsi="Verdana" w:cs="Arial"/>
          <w:color w:val="000000"/>
          <w:lang w:val="es-ES"/>
        </w:rPr>
      </w:pPr>
      <w:r w:rsidRPr="00B6469F">
        <w:rPr>
          <w:rFonts w:ascii="Verdana" w:eastAsia="Calibri" w:hAnsi="Verdana" w:cs="Arial"/>
          <w:color w:val="000000"/>
          <w:lang w:val="es-ES"/>
        </w:rPr>
        <w:t xml:space="preserve">Bogotá D.C </w:t>
      </w:r>
    </w:p>
    <w:p w14:paraId="24613A22" w14:textId="77777777" w:rsidR="007C4615" w:rsidRDefault="007C4615" w:rsidP="007C4615">
      <w:pPr>
        <w:spacing w:after="0" w:line="240" w:lineRule="auto"/>
        <w:jc w:val="both"/>
        <w:rPr>
          <w:rFonts w:ascii="Verdana" w:eastAsia="Calibri" w:hAnsi="Verdana" w:cs="Arial"/>
          <w:b/>
          <w:bCs/>
          <w:color w:val="000000"/>
          <w:lang w:val="es-ES_tradnl" w:eastAsia="es-ES_tradnl"/>
        </w:rPr>
      </w:pPr>
    </w:p>
    <w:p w14:paraId="29CECDB5" w14:textId="77777777" w:rsidR="00523F4A" w:rsidRDefault="00523F4A" w:rsidP="007C4615">
      <w:pPr>
        <w:spacing w:after="0" w:line="240" w:lineRule="auto"/>
        <w:jc w:val="both"/>
        <w:rPr>
          <w:rFonts w:ascii="Verdana" w:eastAsia="Calibri" w:hAnsi="Verdana" w:cs="Arial"/>
          <w:b/>
          <w:bCs/>
          <w:color w:val="000000"/>
          <w:lang w:val="es-ES_tradnl" w:eastAsia="es-ES_tradnl"/>
        </w:rPr>
      </w:pPr>
    </w:p>
    <w:p w14:paraId="27C776DD" w14:textId="7D043876" w:rsidR="00523F4A" w:rsidRDefault="00523F4A" w:rsidP="007C4615">
      <w:pPr>
        <w:spacing w:after="0" w:line="240" w:lineRule="auto"/>
        <w:jc w:val="both"/>
        <w:rPr>
          <w:rFonts w:ascii="Verdana" w:eastAsia="Calibri" w:hAnsi="Verdana" w:cs="Arial"/>
          <w:b/>
          <w:bCs/>
          <w:color w:val="000000"/>
          <w:lang w:val="es-ES_tradnl" w:eastAsia="es-ES_tradnl"/>
        </w:rPr>
      </w:pPr>
      <w:r w:rsidRPr="00523F4A">
        <w:rPr>
          <w:rFonts w:ascii="Verdana" w:eastAsia="Calibri" w:hAnsi="Verdana" w:cs="Arial"/>
          <w:b/>
          <w:bCs/>
          <w:noProof/>
          <w:color w:val="000000"/>
          <w:lang w:val="es-ES_tradnl" w:eastAsia="es-ES_tradnl"/>
        </w:rPr>
        <w:drawing>
          <wp:inline distT="0" distB="0" distL="0" distR="0" wp14:anchorId="25F6F610" wp14:editId="5CFF7ED3">
            <wp:extent cx="3333750" cy="1028700"/>
            <wp:effectExtent l="0" t="0" r="0" b="0"/>
            <wp:docPr id="605598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5984" name="Imagen 1" descr="Texto&#10;&#10;Descripción generada automáticamente"/>
                    <pic:cNvPicPr/>
                  </pic:nvPicPr>
                  <pic:blipFill>
                    <a:blip r:embed="rId11"/>
                    <a:stretch>
                      <a:fillRect/>
                    </a:stretch>
                  </pic:blipFill>
                  <pic:spPr>
                    <a:xfrm>
                      <a:off x="0" y="0"/>
                      <a:ext cx="3333750" cy="1028700"/>
                    </a:xfrm>
                    <a:prstGeom prst="rect">
                      <a:avLst/>
                    </a:prstGeom>
                  </pic:spPr>
                </pic:pic>
              </a:graphicData>
            </a:graphic>
          </wp:inline>
        </w:drawing>
      </w:r>
    </w:p>
    <w:p w14:paraId="5215606A" w14:textId="77777777" w:rsidR="00523F4A" w:rsidRPr="00B6469F" w:rsidRDefault="00523F4A" w:rsidP="007C4615">
      <w:pPr>
        <w:spacing w:after="0" w:line="240" w:lineRule="auto"/>
        <w:jc w:val="both"/>
        <w:rPr>
          <w:rFonts w:ascii="Verdana" w:eastAsia="Calibri" w:hAnsi="Verdana" w:cs="Arial"/>
          <w:b/>
          <w:bCs/>
          <w:color w:val="000000"/>
          <w:lang w:val="es-ES_tradnl" w:eastAsia="es-ES_tradnl"/>
        </w:rPr>
      </w:pPr>
    </w:p>
    <w:p w14:paraId="37FB657E" w14:textId="77777777" w:rsidR="007C4615" w:rsidRPr="00B6469F" w:rsidRDefault="007C4615" w:rsidP="007C4615">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6521"/>
      </w:tblGrid>
      <w:tr w:rsidR="007C4615" w:rsidRPr="00B6469F" w14:paraId="4EB348D3" w14:textId="77777777" w:rsidTr="00C1794E">
        <w:trPr>
          <w:trHeight w:val="477"/>
        </w:trPr>
        <w:tc>
          <w:tcPr>
            <w:tcW w:w="2268" w:type="dxa"/>
          </w:tcPr>
          <w:p w14:paraId="42715F20" w14:textId="77777777" w:rsidR="007C4615" w:rsidRPr="00B6469F" w:rsidRDefault="007C4615" w:rsidP="005B1FA7">
            <w:pPr>
              <w:jc w:val="both"/>
              <w:rPr>
                <w:rFonts w:ascii="Verdana" w:eastAsia="Calibri" w:hAnsi="Verdana" w:cs="Arial"/>
                <w:b/>
                <w:bCs/>
                <w:color w:val="7030A0"/>
                <w:lang w:val="es-ES_tradnl" w:eastAsia="es-ES_tradnl"/>
              </w:rPr>
            </w:pPr>
          </w:p>
        </w:tc>
        <w:tc>
          <w:tcPr>
            <w:tcW w:w="6521" w:type="dxa"/>
          </w:tcPr>
          <w:p w14:paraId="125B2BFD" w14:textId="77777777" w:rsidR="007C4615" w:rsidRPr="00B6469F" w:rsidRDefault="007C4615" w:rsidP="005B1FA7">
            <w:pPr>
              <w:jc w:val="both"/>
              <w:rPr>
                <w:rFonts w:ascii="Verdana" w:eastAsia="Calibri" w:hAnsi="Verdana" w:cs="Arial"/>
                <w:b/>
                <w:bCs/>
                <w:lang w:val="es-ES" w:eastAsia="es-ES"/>
              </w:rPr>
            </w:pPr>
            <w:r w:rsidRPr="00B6469F">
              <w:rPr>
                <w:rFonts w:ascii="Verdana" w:eastAsia="Calibri" w:hAnsi="Verdana" w:cs="Arial"/>
                <w:b/>
                <w:bCs/>
                <w:lang w:val="es-ES" w:eastAsia="es-ES"/>
              </w:rPr>
              <w:t>Concepto C- 239 de 2024</w:t>
            </w:r>
          </w:p>
        </w:tc>
      </w:tr>
      <w:tr w:rsidR="007C4615" w:rsidRPr="00B6469F" w14:paraId="502017ED" w14:textId="77777777" w:rsidTr="005B1FA7">
        <w:trPr>
          <w:trHeight w:val="884"/>
        </w:trPr>
        <w:tc>
          <w:tcPr>
            <w:tcW w:w="2268" w:type="dxa"/>
          </w:tcPr>
          <w:p w14:paraId="4EFD9E2B" w14:textId="77777777" w:rsidR="007C4615" w:rsidRPr="00B6469F" w:rsidRDefault="007C4615" w:rsidP="005B1FA7">
            <w:pPr>
              <w:jc w:val="both"/>
              <w:rPr>
                <w:rFonts w:ascii="Verdana" w:hAnsi="Verdana" w:cs="Arial"/>
                <w:b/>
                <w:bCs/>
              </w:rPr>
            </w:pPr>
            <w:r w:rsidRPr="00B6469F">
              <w:rPr>
                <w:rFonts w:ascii="Verdana" w:hAnsi="Verdana" w:cs="Arial"/>
                <w:b/>
                <w:bCs/>
              </w:rPr>
              <w:t xml:space="preserve">Temas:                   </w:t>
            </w:r>
          </w:p>
        </w:tc>
        <w:tc>
          <w:tcPr>
            <w:tcW w:w="6521" w:type="dxa"/>
          </w:tcPr>
          <w:p w14:paraId="46AA09F0" w14:textId="14A275DB" w:rsidR="007C4615" w:rsidRDefault="00266BDC" w:rsidP="005B1FA7">
            <w:pPr>
              <w:spacing w:line="276" w:lineRule="auto"/>
              <w:jc w:val="both"/>
              <w:rPr>
                <w:rFonts w:ascii="Verdana" w:eastAsia="Calibri" w:hAnsi="Verdana" w:cs="Arial"/>
                <w:lang w:val="es-ES"/>
              </w:rPr>
            </w:pPr>
            <w:r w:rsidRPr="00266BDC">
              <w:rPr>
                <w:rFonts w:ascii="Verdana" w:eastAsia="Calibri" w:hAnsi="Verdana" w:cs="Arial"/>
                <w:lang w:val="es-ES"/>
              </w:rPr>
              <w:t xml:space="preserve">SECOP – Deber de publicación – Finalidad – Principio de publicidad – Publicación – Documentos / PLAN ANUAL DE ADQUISICIONES – Publicación – Fundamento normativo / PLAN ANUAL DE ADQUISICIONES – Publicación – Fundamento normativo / SECOP II – Obligatoriedad / SECOP </w:t>
            </w:r>
            <w:r w:rsidR="004E0AA5" w:rsidRPr="00266BDC">
              <w:rPr>
                <w:rFonts w:ascii="Verdana" w:eastAsia="Calibri" w:hAnsi="Verdana" w:cs="Arial"/>
                <w:lang w:val="es-ES"/>
              </w:rPr>
              <w:t xml:space="preserve">II </w:t>
            </w:r>
            <w:r w:rsidR="004E0AA5">
              <w:rPr>
                <w:rFonts w:ascii="Verdana" w:eastAsia="Calibri" w:hAnsi="Verdana" w:cs="Arial"/>
                <w:lang w:val="es-ES"/>
              </w:rPr>
              <w:t>/</w:t>
            </w:r>
            <w:r w:rsidR="00241480">
              <w:rPr>
                <w:rFonts w:ascii="Verdana" w:eastAsia="Calibri" w:hAnsi="Verdana" w:cs="Arial"/>
                <w:lang w:val="es-ES"/>
              </w:rPr>
              <w:t xml:space="preserve"> DOCUMENTOS DEL PROCESO – Certificado </w:t>
            </w:r>
            <w:r w:rsidR="00B20551">
              <w:rPr>
                <w:rFonts w:ascii="Verdana" w:eastAsia="Calibri" w:hAnsi="Verdana" w:cs="Arial"/>
                <w:lang w:val="es-ES"/>
              </w:rPr>
              <w:t>de Disponibilidad</w:t>
            </w:r>
            <w:r w:rsidR="00241480">
              <w:rPr>
                <w:rFonts w:ascii="Verdana" w:eastAsia="Calibri" w:hAnsi="Verdana" w:cs="Arial"/>
                <w:lang w:val="es-ES"/>
              </w:rPr>
              <w:t xml:space="preserve"> Presupuestal – Registro Presupuestal</w:t>
            </w:r>
          </w:p>
          <w:p w14:paraId="73EFC331" w14:textId="0B447DA9" w:rsidR="007C4615" w:rsidRPr="00B6469F" w:rsidRDefault="007C4615" w:rsidP="005B1FA7">
            <w:pPr>
              <w:spacing w:line="276" w:lineRule="auto"/>
              <w:jc w:val="both"/>
              <w:rPr>
                <w:rFonts w:ascii="Verdana" w:hAnsi="Verdana" w:cs="Arial"/>
              </w:rPr>
            </w:pPr>
          </w:p>
        </w:tc>
      </w:tr>
      <w:tr w:rsidR="007C4615" w:rsidRPr="00B6469F" w14:paraId="4BCFDA35" w14:textId="77777777" w:rsidTr="005B1FA7">
        <w:tc>
          <w:tcPr>
            <w:tcW w:w="2268" w:type="dxa"/>
          </w:tcPr>
          <w:p w14:paraId="7A42B2F0" w14:textId="77777777" w:rsidR="007C4615" w:rsidRPr="00B6469F" w:rsidRDefault="007C4615" w:rsidP="005B1FA7">
            <w:pPr>
              <w:jc w:val="both"/>
              <w:rPr>
                <w:rFonts w:ascii="Verdana" w:eastAsia="Calibri" w:hAnsi="Verdana" w:cs="Arial"/>
                <w:b/>
                <w:lang w:val="es-ES_tradnl" w:eastAsia="es-ES_tradnl"/>
              </w:rPr>
            </w:pPr>
            <w:r w:rsidRPr="00B6469F">
              <w:rPr>
                <w:rFonts w:ascii="Verdana" w:eastAsia="Calibri" w:hAnsi="Verdana" w:cs="Arial"/>
                <w:b/>
                <w:lang w:val="es-ES_tradnl" w:eastAsia="es-ES_tradnl"/>
              </w:rPr>
              <w:t>Radicación:</w:t>
            </w:r>
            <w:r w:rsidRPr="00B6469F">
              <w:rPr>
                <w:rFonts w:ascii="Verdana" w:eastAsia="Calibri" w:hAnsi="Verdana" w:cs="Arial"/>
                <w:lang w:val="es-ES_tradnl" w:eastAsia="es-ES_tradnl"/>
              </w:rPr>
              <w:t xml:space="preserve">               </w:t>
            </w:r>
          </w:p>
        </w:tc>
        <w:tc>
          <w:tcPr>
            <w:tcW w:w="6521" w:type="dxa"/>
          </w:tcPr>
          <w:p w14:paraId="6BD7AB34" w14:textId="77777777" w:rsidR="007C4615" w:rsidRPr="00B6469F" w:rsidRDefault="007C4615" w:rsidP="005B1FA7">
            <w:pPr>
              <w:jc w:val="both"/>
              <w:rPr>
                <w:rFonts w:ascii="Verdana" w:eastAsia="Calibri" w:hAnsi="Verdana" w:cs="Arial"/>
                <w:lang w:val="es-ES_tradnl" w:eastAsia="es-ES_tradnl"/>
              </w:rPr>
            </w:pPr>
            <w:r w:rsidRPr="00B6469F">
              <w:rPr>
                <w:rFonts w:ascii="Verdana" w:eastAsia="Calibri" w:hAnsi="Verdana" w:cs="Arial"/>
                <w:lang w:val="es-ES_tradnl" w:eastAsia="es-ES_tradnl"/>
              </w:rPr>
              <w:t>Respuesta a consulta con radicado No. P20240628006605</w:t>
            </w:r>
          </w:p>
        </w:tc>
      </w:tr>
    </w:tbl>
    <w:p w14:paraId="7FF307E1" w14:textId="77777777" w:rsidR="007C4615" w:rsidRPr="00B6469F" w:rsidRDefault="007C4615" w:rsidP="007C4615">
      <w:pPr>
        <w:spacing w:after="0" w:line="240" w:lineRule="auto"/>
        <w:jc w:val="both"/>
        <w:rPr>
          <w:rFonts w:ascii="Verdana" w:eastAsia="Calibri" w:hAnsi="Verdana" w:cs="Arial"/>
          <w:lang w:val="es-ES_tradnl" w:eastAsia="es-ES_tradnl"/>
        </w:rPr>
      </w:pPr>
    </w:p>
    <w:p w14:paraId="298240C5" w14:textId="77777777" w:rsidR="007C4615" w:rsidRPr="00B6469F" w:rsidRDefault="007C4615" w:rsidP="007C4615">
      <w:pPr>
        <w:spacing w:after="0" w:line="240" w:lineRule="auto"/>
        <w:jc w:val="both"/>
        <w:rPr>
          <w:rFonts w:ascii="Verdana" w:eastAsia="Calibri" w:hAnsi="Verdana" w:cs="Arial"/>
          <w:lang w:val="es-ES_tradnl" w:eastAsia="es-ES_tradnl"/>
        </w:rPr>
      </w:pPr>
    </w:p>
    <w:p w14:paraId="04FB8D20" w14:textId="77777777" w:rsidR="007C4615" w:rsidRPr="00B6469F" w:rsidRDefault="007C4615" w:rsidP="007C4615">
      <w:pPr>
        <w:spacing w:after="0" w:line="240" w:lineRule="auto"/>
        <w:jc w:val="both"/>
        <w:rPr>
          <w:rFonts w:ascii="Verdana" w:eastAsia="Calibri" w:hAnsi="Verdana" w:cs="Arial"/>
          <w:color w:val="000000"/>
          <w:lang w:val="es-ES_tradnl" w:eastAsia="es-ES_tradnl"/>
        </w:rPr>
      </w:pPr>
    </w:p>
    <w:p w14:paraId="4161CA02" w14:textId="12A3C56C" w:rsidR="007C4615" w:rsidRPr="00B6469F" w:rsidRDefault="007C4615" w:rsidP="007C4615">
      <w:pPr>
        <w:spacing w:after="0" w:line="276" w:lineRule="auto"/>
        <w:jc w:val="both"/>
        <w:rPr>
          <w:rFonts w:ascii="Verdana" w:eastAsia="Calibri" w:hAnsi="Verdana" w:cs="Arial"/>
          <w:color w:val="000000" w:themeColor="text1"/>
          <w:lang w:val="es-ES" w:eastAsia="es-ES"/>
        </w:rPr>
      </w:pPr>
      <w:r w:rsidRPr="00B6469F">
        <w:rPr>
          <w:rFonts w:ascii="Verdana" w:eastAsia="Calibri" w:hAnsi="Verdana" w:cs="Arial"/>
          <w:color w:val="000000" w:themeColor="text1"/>
          <w:lang w:val="es-ES" w:eastAsia="es-ES"/>
        </w:rPr>
        <w:t>Estimada D</w:t>
      </w:r>
      <w:r w:rsidR="00C1794E" w:rsidRPr="00B6469F">
        <w:rPr>
          <w:rFonts w:ascii="Verdana" w:eastAsia="Calibri" w:hAnsi="Verdana" w:cs="Arial"/>
          <w:color w:val="000000" w:themeColor="text1"/>
          <w:lang w:val="es-ES" w:eastAsia="es-ES"/>
        </w:rPr>
        <w:t>octora</w:t>
      </w:r>
      <w:r w:rsidRPr="00B6469F">
        <w:rPr>
          <w:rFonts w:ascii="Verdana" w:eastAsia="Calibri" w:hAnsi="Verdana" w:cs="Arial"/>
          <w:color w:val="000000" w:themeColor="text1"/>
          <w:lang w:val="es-ES" w:eastAsia="es-ES"/>
        </w:rPr>
        <w:t xml:space="preserve"> Jiménez: </w:t>
      </w:r>
    </w:p>
    <w:p w14:paraId="5F8F9035" w14:textId="77777777" w:rsidR="007C4615" w:rsidRPr="00B6469F" w:rsidRDefault="007C4615" w:rsidP="007C4615">
      <w:pPr>
        <w:tabs>
          <w:tab w:val="left" w:pos="3768"/>
        </w:tabs>
        <w:spacing w:after="0" w:line="276" w:lineRule="auto"/>
        <w:jc w:val="both"/>
        <w:rPr>
          <w:rFonts w:ascii="Verdana" w:eastAsia="Calibri" w:hAnsi="Verdana" w:cs="Arial"/>
          <w:color w:val="000000" w:themeColor="text1"/>
          <w:lang w:val="es-ES" w:eastAsia="es-ES"/>
        </w:rPr>
      </w:pPr>
      <w:r w:rsidRPr="00B6469F">
        <w:rPr>
          <w:rFonts w:ascii="Verdana" w:eastAsia="Calibri" w:hAnsi="Verdana" w:cs="Arial"/>
          <w:color w:val="000000" w:themeColor="text1"/>
          <w:lang w:val="es-ES" w:eastAsia="es-ES"/>
        </w:rPr>
        <w:tab/>
      </w:r>
    </w:p>
    <w:p w14:paraId="219C2729" w14:textId="77777777" w:rsidR="007C4615" w:rsidRPr="00B6469F" w:rsidRDefault="007C4615" w:rsidP="007C4615">
      <w:pPr>
        <w:spacing w:after="0" w:line="276" w:lineRule="auto"/>
        <w:jc w:val="both"/>
        <w:rPr>
          <w:rFonts w:ascii="Verdana" w:eastAsia="Calibri" w:hAnsi="Verdana" w:cs="Arial"/>
          <w:color w:val="000000" w:themeColor="text1"/>
          <w:lang w:val="es-ES" w:eastAsia="es-ES"/>
        </w:rPr>
      </w:pPr>
      <w:r w:rsidRPr="00B6469F">
        <w:rPr>
          <w:rFonts w:ascii="Verdana" w:eastAsia="Calibri" w:hAnsi="Verdana" w:cs="Arial"/>
          <w:color w:val="000000" w:themeColor="text1"/>
          <w:lang w:val="es-ES" w:eastAsia="es-ES"/>
        </w:rPr>
        <w:t>En ejercicio de la competencia otorgada por los artículos 3, numeral 5º, y 11, numeral 8º, del Decreto Ley 4170 de 2011,</w:t>
      </w:r>
      <w:r w:rsidRPr="00B6469F">
        <w:rPr>
          <w:rFonts w:ascii="Verdana" w:eastAsia="Arial MT" w:hAnsi="Verdana" w:cs="Arial MT"/>
          <w:lang w:val="es-ES" w:eastAsia="es-ES"/>
        </w:rPr>
        <w:t xml:space="preserve"> </w:t>
      </w:r>
      <w:r w:rsidRPr="00B6469F">
        <w:rPr>
          <w:rFonts w:ascii="Verdana" w:hAnsi="Verdana" w:cs="Arial"/>
        </w:rPr>
        <w:t xml:space="preserve">así como lo establecido en el artículo 4 de la Resolución 1707 de 2018 expedida por esta Entidad, </w:t>
      </w:r>
      <w:r w:rsidRPr="00B6469F">
        <w:rPr>
          <w:rFonts w:ascii="Verdana" w:eastAsia="Calibri" w:hAnsi="Verdana" w:cs="Arial"/>
          <w:color w:val="000000" w:themeColor="text1"/>
          <w:lang w:val="es-ES" w:eastAsia="es-ES"/>
        </w:rPr>
        <w:t xml:space="preserve">la Agencia Nacional de Contratación Pública – Colombia Compra Eficiente– responde su solicitud de consulta de fecha 20 de junio de 2024, en la cual manifiesta lo siguiente: </w:t>
      </w:r>
    </w:p>
    <w:p w14:paraId="7E970491" w14:textId="77777777" w:rsidR="007C4615" w:rsidRPr="00B6469F" w:rsidRDefault="007C4615" w:rsidP="007C4615">
      <w:pPr>
        <w:spacing w:after="0" w:line="276" w:lineRule="auto"/>
        <w:jc w:val="both"/>
        <w:rPr>
          <w:rFonts w:ascii="Verdana" w:eastAsia="Calibri" w:hAnsi="Verdana" w:cs="Arial"/>
          <w:color w:val="000000" w:themeColor="text1"/>
          <w:lang w:val="es-ES" w:eastAsia="es-ES"/>
        </w:rPr>
      </w:pPr>
    </w:p>
    <w:p w14:paraId="0297231E" w14:textId="288EBC13" w:rsidR="007C4615" w:rsidRPr="00B6469F" w:rsidRDefault="007C4615" w:rsidP="007C4615">
      <w:pPr>
        <w:spacing w:after="0" w:line="276" w:lineRule="auto"/>
        <w:ind w:left="709" w:right="709"/>
        <w:jc w:val="both"/>
        <w:rPr>
          <w:rFonts w:ascii="Verdana" w:eastAsia="Calibri" w:hAnsi="Verdana" w:cs="Arial"/>
          <w:color w:val="000000" w:themeColor="text1"/>
          <w:sz w:val="20"/>
          <w:szCs w:val="20"/>
          <w:lang w:val="es-ES" w:eastAsia="es-ES"/>
        </w:rPr>
      </w:pPr>
      <w:r w:rsidRPr="00B6469F">
        <w:rPr>
          <w:rFonts w:ascii="Verdana" w:eastAsia="Calibri" w:hAnsi="Verdana" w:cs="Arial"/>
          <w:color w:val="000000" w:themeColor="text1"/>
          <w:sz w:val="20"/>
          <w:szCs w:val="20"/>
          <w:lang w:val="es-ES" w:eastAsia="es-ES"/>
        </w:rPr>
        <w:lastRenderedPageBreak/>
        <w:t xml:space="preserve">“De acuerdo con el </w:t>
      </w:r>
      <w:r w:rsidR="004769E9" w:rsidRPr="00B6469F">
        <w:rPr>
          <w:rFonts w:ascii="Verdana" w:eastAsia="Calibri" w:hAnsi="Verdana" w:cs="Arial"/>
          <w:color w:val="000000" w:themeColor="text1"/>
          <w:sz w:val="20"/>
          <w:szCs w:val="20"/>
          <w:lang w:val="es-ES" w:eastAsia="es-ES"/>
        </w:rPr>
        <w:t>artículo</w:t>
      </w:r>
      <w:r w:rsidRPr="00B6469F">
        <w:rPr>
          <w:rFonts w:ascii="Verdana" w:eastAsia="Calibri" w:hAnsi="Verdana" w:cs="Arial"/>
          <w:color w:val="000000" w:themeColor="text1"/>
          <w:sz w:val="20"/>
          <w:szCs w:val="20"/>
          <w:lang w:val="es-ES" w:eastAsia="es-ES"/>
        </w:rPr>
        <w:t xml:space="preserve"> 2.2.1.1.1.7.1 del Decreto 1082 de 2015 solo es obligatorio publicar “los Documentos del Proceso y los actos administrativos del Proceso de Contratación”, categorías dentro de las cuales no caben ni el CDP ni el RP, pues además de que no son actos administrativos, tampoco son, en estricto sentido, ninguno de los documentos señalados en el artículo 2.2.1.1.1.3.1 del Decreto 1082 de 2015 como Documentos del Proceso. </w:t>
      </w:r>
    </w:p>
    <w:p w14:paraId="7B2AF3DC" w14:textId="242AFCE0" w:rsidR="007C4615" w:rsidRPr="00B6469F" w:rsidRDefault="007C4615" w:rsidP="007C4615">
      <w:pPr>
        <w:spacing w:after="0" w:line="276" w:lineRule="auto"/>
        <w:ind w:left="709" w:right="709"/>
        <w:jc w:val="both"/>
        <w:rPr>
          <w:rFonts w:ascii="Verdana" w:eastAsia="Calibri" w:hAnsi="Verdana" w:cs="Arial"/>
          <w:color w:val="000000" w:themeColor="text1"/>
          <w:sz w:val="20"/>
          <w:szCs w:val="20"/>
          <w:lang w:val="es-ES" w:eastAsia="es-ES"/>
        </w:rPr>
      </w:pPr>
      <w:r w:rsidRPr="00B6469F">
        <w:rPr>
          <w:rFonts w:ascii="Verdana" w:eastAsia="Calibri" w:hAnsi="Verdana" w:cs="Arial"/>
          <w:color w:val="000000" w:themeColor="text1"/>
          <w:sz w:val="20"/>
          <w:szCs w:val="20"/>
          <w:lang w:val="es-ES" w:eastAsia="es-ES"/>
        </w:rPr>
        <w:t xml:space="preserve">En virtud de lo anterior, se solicita de la forma más respetuosa nos confirmen si es correcta la presente interpretación. </w:t>
      </w:r>
    </w:p>
    <w:p w14:paraId="05F3A906" w14:textId="392C94DA" w:rsidR="007C4615" w:rsidRPr="00B6469F" w:rsidRDefault="007C4615" w:rsidP="00241480">
      <w:pPr>
        <w:spacing w:after="0" w:line="276" w:lineRule="auto"/>
        <w:ind w:left="709" w:right="709"/>
        <w:jc w:val="both"/>
        <w:rPr>
          <w:rFonts w:ascii="Verdana" w:eastAsia="Calibri" w:hAnsi="Verdana" w:cs="Arial"/>
          <w:color w:val="000000" w:themeColor="text1"/>
          <w:sz w:val="20"/>
          <w:szCs w:val="20"/>
          <w:lang w:val="es-ES" w:eastAsia="es-ES"/>
        </w:rPr>
      </w:pPr>
      <w:r w:rsidRPr="00B6469F">
        <w:rPr>
          <w:rFonts w:ascii="Verdana" w:eastAsia="Calibri" w:hAnsi="Verdana" w:cs="Arial"/>
          <w:color w:val="000000" w:themeColor="text1"/>
          <w:sz w:val="20"/>
          <w:szCs w:val="20"/>
          <w:lang w:val="es-ES" w:eastAsia="es-ES"/>
        </w:rPr>
        <w:t xml:space="preserve">De otro lado y atendiendo lo dispuesto en la Circular Externa Única Código CCE-EICP-MA-06 versión 3 de 27 de diciembre de 2023, señala que “respecto a los documentos que no son generados en línea, el SECOP II y la TVEC permiten su publicidad. Para ellos, se aplicará la misma regla de los tres (3) días siguientes a la expedición, conforme con lo previsto en el artículo 2.2.1.1.1.7.1 del Decreto reglamentario 1082 de 2015”, solicitamos se indique  ¿ A qué documentos se refiere?, porque frente a los que no son “ generados en línea” y en relación con los documentos del proceso expedidos por la entidad que indica el artículo 2.2.1.1.1.3.1 no entrarían tales como el </w:t>
      </w:r>
      <w:proofErr w:type="spellStart"/>
      <w:r w:rsidRPr="00B6469F">
        <w:rPr>
          <w:rFonts w:ascii="Verdana" w:eastAsia="Calibri" w:hAnsi="Verdana" w:cs="Arial"/>
          <w:color w:val="000000" w:themeColor="text1"/>
          <w:sz w:val="20"/>
          <w:szCs w:val="20"/>
          <w:lang w:val="es-ES" w:eastAsia="es-ES"/>
        </w:rPr>
        <w:t>cdp</w:t>
      </w:r>
      <w:proofErr w:type="spellEnd"/>
      <w:r w:rsidRPr="00B6469F">
        <w:rPr>
          <w:rFonts w:ascii="Verdana" w:eastAsia="Calibri" w:hAnsi="Verdana" w:cs="Arial"/>
          <w:color w:val="000000" w:themeColor="text1"/>
          <w:sz w:val="20"/>
          <w:szCs w:val="20"/>
          <w:lang w:val="es-ES" w:eastAsia="es-ES"/>
        </w:rPr>
        <w:t xml:space="preserve">, los documentos emanados del contratista, </w:t>
      </w:r>
      <w:proofErr w:type="spellStart"/>
      <w:r w:rsidRPr="00B6469F">
        <w:rPr>
          <w:rFonts w:ascii="Verdana" w:eastAsia="Calibri" w:hAnsi="Verdana" w:cs="Arial"/>
          <w:color w:val="000000" w:themeColor="text1"/>
          <w:sz w:val="20"/>
          <w:szCs w:val="20"/>
          <w:lang w:val="es-ES" w:eastAsia="es-ES"/>
        </w:rPr>
        <w:t>rp</w:t>
      </w:r>
      <w:proofErr w:type="spellEnd"/>
      <w:r w:rsidRPr="00B6469F">
        <w:rPr>
          <w:rFonts w:ascii="Verdana" w:eastAsia="Calibri" w:hAnsi="Verdana" w:cs="Arial"/>
          <w:color w:val="000000" w:themeColor="text1"/>
          <w:sz w:val="20"/>
          <w:szCs w:val="20"/>
          <w:lang w:val="es-ES" w:eastAsia="es-ES"/>
        </w:rPr>
        <w:t xml:space="preserve">, facturas/cuentas de cobro, pago de seguridad social, informes del contratista y sus soportes, informes de supervisión o de interventoría, constancia de cumplimiento, entre otros, toda vez que no son documentos del proceso que expida la entidad”. </w:t>
      </w:r>
    </w:p>
    <w:p w14:paraId="6FA7FF07" w14:textId="77777777" w:rsidR="007C4615" w:rsidRPr="00B6469F" w:rsidRDefault="007C4615" w:rsidP="007C4615">
      <w:pPr>
        <w:tabs>
          <w:tab w:val="left" w:pos="142"/>
          <w:tab w:val="left" w:pos="284"/>
        </w:tabs>
        <w:spacing w:line="276" w:lineRule="auto"/>
        <w:contextualSpacing/>
        <w:jc w:val="both"/>
        <w:rPr>
          <w:rFonts w:ascii="Verdana" w:eastAsia="Century Gothic" w:hAnsi="Verdana" w:cs="Century Gothic"/>
          <w:b/>
          <w:bCs/>
          <w:lang w:val="es-ES"/>
        </w:rPr>
      </w:pPr>
    </w:p>
    <w:p w14:paraId="1AEFA40F" w14:textId="77777777" w:rsidR="007C4615" w:rsidRPr="00B6469F" w:rsidRDefault="007C4615" w:rsidP="007C4615">
      <w:pPr>
        <w:spacing w:after="120" w:line="276" w:lineRule="auto"/>
        <w:ind w:firstLine="709"/>
        <w:jc w:val="both"/>
        <w:rPr>
          <w:rFonts w:ascii="Verdana" w:eastAsia="Calibri" w:hAnsi="Verdana" w:cs="Arial"/>
          <w:color w:val="000000"/>
          <w:szCs w:val="24"/>
          <w:lang w:val="es-ES_tradnl" w:eastAsia="es-ES_tradnl"/>
        </w:rPr>
      </w:pPr>
      <w:r w:rsidRPr="00B6469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B6469F">
        <w:rPr>
          <w:rFonts w:ascii="Verdana" w:eastAsia="Calibri" w:hAnsi="Verdana" w:cs="Arial"/>
          <w:color w:val="000000"/>
          <w:szCs w:val="24"/>
          <w:lang w:val="es-ES_tradnl" w:eastAsia="es-ES_tradnl"/>
        </w:rPr>
        <w:tab/>
      </w:r>
    </w:p>
    <w:p w14:paraId="7675984E" w14:textId="77777777" w:rsidR="007C4615" w:rsidRPr="00B6469F" w:rsidRDefault="007C4615" w:rsidP="007C4615">
      <w:pPr>
        <w:spacing w:after="0" w:line="276" w:lineRule="auto"/>
        <w:ind w:firstLine="709"/>
        <w:jc w:val="both"/>
        <w:rPr>
          <w:rFonts w:ascii="Verdana" w:eastAsia="Calibri" w:hAnsi="Verdana" w:cs="Arial"/>
          <w:color w:val="000000"/>
          <w:lang w:val="es-ES" w:eastAsia="es-ES"/>
        </w:rPr>
      </w:pPr>
      <w:r w:rsidRPr="00B6469F">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1860E5C5" w14:textId="77777777" w:rsidR="007C4615" w:rsidRPr="00B6469F" w:rsidRDefault="007C4615" w:rsidP="007C4615">
      <w:pPr>
        <w:spacing w:after="0" w:line="276" w:lineRule="auto"/>
        <w:ind w:firstLine="709"/>
        <w:jc w:val="both"/>
        <w:rPr>
          <w:rFonts w:ascii="Verdana" w:eastAsia="Calibri" w:hAnsi="Verdana" w:cs="Arial"/>
          <w:color w:val="000000"/>
          <w:lang w:val="es-ES" w:eastAsia="es-ES"/>
        </w:rPr>
      </w:pPr>
    </w:p>
    <w:p w14:paraId="585B6CBD" w14:textId="77777777" w:rsidR="007C4615" w:rsidRPr="00B6469F" w:rsidRDefault="007C4615" w:rsidP="007C4615">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B6469F">
        <w:rPr>
          <w:rFonts w:ascii="Verdana" w:eastAsia="Century Gothic" w:hAnsi="Verdana" w:cs="Century Gothic"/>
          <w:b/>
          <w:bCs/>
          <w:lang w:val="es-ES"/>
        </w:rPr>
        <w:t>Problema planteado:</w:t>
      </w:r>
    </w:p>
    <w:p w14:paraId="46677503" w14:textId="77777777" w:rsidR="007C4615" w:rsidRPr="00B6469F" w:rsidRDefault="007C4615" w:rsidP="007C4615">
      <w:pPr>
        <w:tabs>
          <w:tab w:val="left" w:pos="426"/>
        </w:tabs>
        <w:spacing w:after="0" w:line="276" w:lineRule="auto"/>
        <w:jc w:val="both"/>
        <w:rPr>
          <w:rFonts w:ascii="Verdana" w:eastAsia="Century Gothic" w:hAnsi="Verdana" w:cs="Century Gothic"/>
          <w:lang w:val="es-ES"/>
        </w:rPr>
      </w:pPr>
    </w:p>
    <w:p w14:paraId="0A00D294" w14:textId="7FDE578C" w:rsidR="007C4615" w:rsidRPr="00B6469F" w:rsidRDefault="007C4615" w:rsidP="007C4615">
      <w:pPr>
        <w:spacing w:after="0" w:line="276" w:lineRule="auto"/>
        <w:jc w:val="both"/>
        <w:rPr>
          <w:rFonts w:ascii="Verdana" w:eastAsia="Century Gothic" w:hAnsi="Verdana" w:cs="Century Gothic"/>
        </w:rPr>
      </w:pPr>
      <w:r w:rsidRPr="00B6469F">
        <w:rPr>
          <w:rFonts w:ascii="Verdana" w:eastAsia="Century Gothic" w:hAnsi="Verdana" w:cs="Century Gothic"/>
        </w:rPr>
        <w:t xml:space="preserve">De acuerdo con el contenido de su solicitud, esta Agencia resolverá los siguientes problemas jurídicos: ¿El certificado de disponibilidad y el registro </w:t>
      </w:r>
      <w:r w:rsidR="00241480" w:rsidRPr="00B6469F">
        <w:rPr>
          <w:rFonts w:ascii="Verdana" w:eastAsia="Century Gothic" w:hAnsi="Verdana" w:cs="Century Gothic"/>
        </w:rPr>
        <w:t>presupuestal</w:t>
      </w:r>
      <w:r w:rsidRPr="00B6469F">
        <w:rPr>
          <w:rFonts w:ascii="Verdana" w:eastAsia="Century Gothic" w:hAnsi="Verdana" w:cs="Century Gothic"/>
        </w:rPr>
        <w:t xml:space="preserve"> hacen parte de los </w:t>
      </w:r>
      <w:r w:rsidR="00241480">
        <w:rPr>
          <w:rFonts w:ascii="Verdana" w:eastAsia="Century Gothic" w:hAnsi="Verdana" w:cs="Century Gothic"/>
        </w:rPr>
        <w:t>D</w:t>
      </w:r>
      <w:r w:rsidR="00241480" w:rsidRPr="00B6469F">
        <w:rPr>
          <w:rFonts w:ascii="Verdana" w:eastAsia="Century Gothic" w:hAnsi="Verdana" w:cs="Century Gothic"/>
        </w:rPr>
        <w:t>ocumentos</w:t>
      </w:r>
      <w:r w:rsidRPr="00B6469F">
        <w:rPr>
          <w:rFonts w:ascii="Verdana" w:eastAsia="Century Gothic" w:hAnsi="Verdana" w:cs="Century Gothic"/>
        </w:rPr>
        <w:t xml:space="preserve"> del </w:t>
      </w:r>
      <w:r w:rsidR="00241480">
        <w:rPr>
          <w:rFonts w:ascii="Verdana" w:eastAsia="Century Gothic" w:hAnsi="Verdana" w:cs="Century Gothic"/>
        </w:rPr>
        <w:t>P</w:t>
      </w:r>
      <w:r w:rsidR="00241480" w:rsidRPr="00B6469F">
        <w:rPr>
          <w:rFonts w:ascii="Verdana" w:eastAsia="Century Gothic" w:hAnsi="Verdana" w:cs="Century Gothic"/>
        </w:rPr>
        <w:t xml:space="preserve">roceso </w:t>
      </w:r>
      <w:r w:rsidR="00241480">
        <w:rPr>
          <w:rFonts w:ascii="Verdana" w:eastAsia="Century Gothic" w:hAnsi="Verdana" w:cs="Century Gothic"/>
        </w:rPr>
        <w:t>sujetos a publicación</w:t>
      </w:r>
      <w:r w:rsidRPr="00B6469F">
        <w:rPr>
          <w:rFonts w:ascii="Verdana" w:eastAsia="Century Gothic" w:hAnsi="Verdana" w:cs="Century Gothic"/>
        </w:rPr>
        <w:t xml:space="preserve"> de </w:t>
      </w:r>
      <w:r w:rsidR="00241480">
        <w:rPr>
          <w:rFonts w:ascii="Verdana" w:eastAsia="Century Gothic" w:hAnsi="Verdana" w:cs="Century Gothic"/>
        </w:rPr>
        <w:t>conformidad con</w:t>
      </w:r>
      <w:r w:rsidRPr="00B6469F">
        <w:rPr>
          <w:rFonts w:ascii="Verdana" w:eastAsia="Century Gothic" w:hAnsi="Verdana" w:cs="Century Gothic"/>
        </w:rPr>
        <w:t xml:space="preserve"> el artículo 2.2.1.1.1.7.1 del Decreto 1082 de 2015?</w:t>
      </w:r>
    </w:p>
    <w:p w14:paraId="5C9B2D1D" w14:textId="77777777" w:rsidR="007C4615" w:rsidRPr="00B6469F" w:rsidRDefault="007C4615" w:rsidP="007C4615">
      <w:pPr>
        <w:spacing w:after="0" w:line="276" w:lineRule="auto"/>
        <w:jc w:val="both"/>
        <w:rPr>
          <w:rFonts w:ascii="Verdana" w:eastAsia="Century Gothic" w:hAnsi="Verdana" w:cs="Century Gothic"/>
        </w:rPr>
      </w:pPr>
    </w:p>
    <w:p w14:paraId="481E97F6" w14:textId="77777777" w:rsidR="007C4615" w:rsidRPr="00B6469F" w:rsidRDefault="007C4615" w:rsidP="007C4615">
      <w:pPr>
        <w:spacing w:after="0" w:line="276" w:lineRule="auto"/>
        <w:jc w:val="both"/>
        <w:rPr>
          <w:rFonts w:ascii="Verdana" w:eastAsia="Century Gothic" w:hAnsi="Verdana" w:cs="Century Gothic"/>
        </w:rPr>
      </w:pPr>
    </w:p>
    <w:p w14:paraId="58B89DD2" w14:textId="77777777" w:rsidR="007C4615" w:rsidRPr="00B6469F" w:rsidRDefault="007C4615" w:rsidP="007C4615">
      <w:pPr>
        <w:spacing w:after="0" w:line="276" w:lineRule="auto"/>
        <w:jc w:val="both"/>
        <w:rPr>
          <w:rFonts w:ascii="Verdana" w:eastAsia="Calibri" w:hAnsi="Verdana" w:cs="Arial"/>
          <w:color w:val="7030A0"/>
          <w:lang w:val="es-ES"/>
        </w:rPr>
      </w:pPr>
    </w:p>
    <w:p w14:paraId="3D8B58E1" w14:textId="77777777" w:rsidR="007C4615" w:rsidRPr="00B6469F" w:rsidRDefault="007C4615" w:rsidP="007C4615">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B6469F">
        <w:rPr>
          <w:rFonts w:ascii="Verdana" w:eastAsia="Century Gothic" w:hAnsi="Verdana" w:cs="Century Gothic"/>
          <w:b/>
          <w:bCs/>
          <w:lang w:val="es-ES"/>
        </w:rPr>
        <w:t>Respuesta:</w:t>
      </w:r>
    </w:p>
    <w:p w14:paraId="25DD968B" w14:textId="77777777" w:rsidR="007C4615" w:rsidRPr="00B6469F" w:rsidRDefault="007C4615" w:rsidP="007C4615">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7C4615" w:rsidRPr="00B6469F" w14:paraId="20E5A0D9" w14:textId="77777777" w:rsidTr="005B1FA7">
        <w:tc>
          <w:tcPr>
            <w:tcW w:w="8828" w:type="dxa"/>
            <w:shd w:val="clear" w:color="auto" w:fill="auto"/>
          </w:tcPr>
          <w:p w14:paraId="770BF5E7" w14:textId="0F46F5DD" w:rsidR="007C4615" w:rsidRPr="00B6469F" w:rsidRDefault="00380A7C" w:rsidP="00C52962">
            <w:pPr>
              <w:spacing w:after="120" w:line="276" w:lineRule="auto"/>
              <w:jc w:val="both"/>
              <w:rPr>
                <w:rFonts w:ascii="Verdana" w:eastAsia="Calibri" w:hAnsi="Verdana" w:cs="Arial"/>
                <w:color w:val="7030A0"/>
              </w:rPr>
            </w:pPr>
            <w:r>
              <w:rPr>
                <w:rFonts w:ascii="Verdana" w:hAnsi="Verdana" w:cs="Arial"/>
                <w:lang w:val="es-ES"/>
              </w:rPr>
              <w:t>E</w:t>
            </w:r>
            <w:r w:rsidRPr="00B6469F">
              <w:rPr>
                <w:rFonts w:ascii="Verdana" w:hAnsi="Verdana" w:cs="Arial"/>
                <w:lang w:val="es-ES"/>
              </w:rPr>
              <w:t xml:space="preserve">l certificado de disponibilidad y el registro presupuestal </w:t>
            </w:r>
            <w:r w:rsidR="004E675D">
              <w:rPr>
                <w:rFonts w:ascii="Verdana" w:hAnsi="Verdana" w:cs="Arial"/>
                <w:lang w:val="es-ES"/>
              </w:rPr>
              <w:t xml:space="preserve">son documentos que expiden </w:t>
            </w:r>
            <w:r w:rsidRPr="00B6469F">
              <w:rPr>
                <w:rFonts w:ascii="Verdana" w:hAnsi="Verdana" w:cs="Arial"/>
                <w:lang w:val="es-ES"/>
              </w:rPr>
              <w:t>en aras de garantizar la apropiación de recursos que se requiere para la ejecución de los contratos</w:t>
            </w:r>
            <w:r w:rsidR="004E675D">
              <w:rPr>
                <w:rFonts w:ascii="Verdana" w:hAnsi="Verdana" w:cs="Arial"/>
                <w:lang w:val="es-ES"/>
              </w:rPr>
              <w:t xml:space="preserve"> estat</w:t>
            </w:r>
            <w:r w:rsidR="00C52962">
              <w:rPr>
                <w:rFonts w:ascii="Verdana" w:hAnsi="Verdana" w:cs="Arial"/>
                <w:lang w:val="es-ES"/>
              </w:rPr>
              <w:t>ales</w:t>
            </w:r>
            <w:r w:rsidRPr="00B6469F">
              <w:rPr>
                <w:rFonts w:ascii="Verdana" w:hAnsi="Verdana" w:cs="Arial"/>
                <w:lang w:val="es-ES"/>
              </w:rPr>
              <w:t>, en cumplimiento del segundo inciso del artículo 41 de la Ley 80 de 1993. Esto significa que dichos documentos</w:t>
            </w:r>
            <w:r>
              <w:rPr>
                <w:rFonts w:ascii="Verdana" w:hAnsi="Verdana" w:cs="Arial"/>
                <w:lang w:val="es-ES"/>
              </w:rPr>
              <w:t xml:space="preserve">, en tanto son expedidos por la Entidad Estatal durante y con ocasión del Proceso de Contratación, </w:t>
            </w:r>
            <w:r w:rsidRPr="00B6469F">
              <w:rPr>
                <w:rFonts w:ascii="Verdana" w:hAnsi="Verdana" w:cs="Arial"/>
                <w:lang w:val="es-ES"/>
              </w:rPr>
              <w:t xml:space="preserve">están cobijados por la definición de Documentos del Proceso establecida por el artículo </w:t>
            </w:r>
            <w:r w:rsidRPr="00B6469F">
              <w:rPr>
                <w:rFonts w:ascii="Verdana" w:eastAsia="Calibri" w:hAnsi="Verdana" w:cs="Arial"/>
                <w:lang w:val="es-ES"/>
              </w:rPr>
              <w:t xml:space="preserve">2.2.1.1.1.3.1 Decreto 1082 de 2015, por lo que las Entidades Estatales deben publicarlos de conformidad con el artículo </w:t>
            </w:r>
            <w:r w:rsidRPr="00B6469F">
              <w:rPr>
                <w:rFonts w:ascii="Verdana" w:eastAsia="Arial" w:hAnsi="Verdana" w:cs="Arial"/>
                <w:lang w:val="es-ES"/>
              </w:rPr>
              <w:t>2.2.1.1.1.7.1</w:t>
            </w:r>
            <w:r>
              <w:rPr>
                <w:rFonts w:ascii="Verdana" w:eastAsia="Arial" w:hAnsi="Verdana" w:cs="Arial"/>
                <w:lang w:val="es-ES"/>
              </w:rPr>
              <w:t xml:space="preserve"> de dicho decreto.</w:t>
            </w:r>
          </w:p>
        </w:tc>
      </w:tr>
    </w:tbl>
    <w:p w14:paraId="6C12A270" w14:textId="77777777" w:rsidR="007C4615" w:rsidRPr="00B6469F" w:rsidRDefault="007C4615" w:rsidP="007C4615">
      <w:pPr>
        <w:tabs>
          <w:tab w:val="left" w:pos="142"/>
          <w:tab w:val="left" w:pos="284"/>
        </w:tabs>
        <w:spacing w:after="0" w:line="276" w:lineRule="auto"/>
        <w:jc w:val="both"/>
        <w:rPr>
          <w:rFonts w:ascii="Verdana" w:eastAsia="Century Gothic" w:hAnsi="Verdana" w:cs="Century Gothic"/>
          <w:b/>
          <w:bCs/>
          <w:lang w:val="es-ES"/>
        </w:rPr>
      </w:pPr>
    </w:p>
    <w:p w14:paraId="21EE97A7" w14:textId="77777777" w:rsidR="007C4615" w:rsidRPr="00B6469F" w:rsidRDefault="007C4615" w:rsidP="007C4615">
      <w:pPr>
        <w:tabs>
          <w:tab w:val="left" w:pos="142"/>
          <w:tab w:val="left" w:pos="284"/>
        </w:tabs>
        <w:spacing w:after="0" w:line="276" w:lineRule="auto"/>
        <w:jc w:val="both"/>
        <w:rPr>
          <w:rFonts w:ascii="Verdana" w:eastAsia="Century Gothic" w:hAnsi="Verdana" w:cs="Century Gothic"/>
          <w:b/>
          <w:bCs/>
          <w:lang w:val="es-ES"/>
        </w:rPr>
      </w:pPr>
    </w:p>
    <w:p w14:paraId="593CA9F9" w14:textId="77777777" w:rsidR="007C4615" w:rsidRPr="00B6469F" w:rsidRDefault="007C4615" w:rsidP="007C4615">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B6469F">
        <w:rPr>
          <w:rFonts w:ascii="Verdana" w:eastAsia="Century Gothic" w:hAnsi="Verdana" w:cs="Century Gothic"/>
          <w:b/>
          <w:bCs/>
          <w:lang w:val="es-ES"/>
        </w:rPr>
        <w:t>Razones de la respuesta:</w:t>
      </w:r>
    </w:p>
    <w:p w14:paraId="07519A2A" w14:textId="77777777" w:rsidR="007C4615" w:rsidRPr="00B6469F" w:rsidRDefault="007C4615" w:rsidP="007C4615">
      <w:pPr>
        <w:spacing w:after="0" w:line="276" w:lineRule="auto"/>
        <w:jc w:val="both"/>
        <w:rPr>
          <w:rFonts w:ascii="Verdana" w:eastAsia="Calibri" w:hAnsi="Verdana" w:cs="Arial"/>
          <w:color w:val="7030A0"/>
          <w:lang w:val="es-ES"/>
        </w:rPr>
      </w:pPr>
    </w:p>
    <w:p w14:paraId="407232CF" w14:textId="77777777" w:rsidR="004D7B01" w:rsidRPr="00B6469F" w:rsidRDefault="007C4615" w:rsidP="004D7B01">
      <w:pPr>
        <w:spacing w:after="0" w:line="276" w:lineRule="auto"/>
        <w:jc w:val="both"/>
        <w:rPr>
          <w:rFonts w:ascii="Verdana" w:eastAsia="Calibri" w:hAnsi="Verdana" w:cs="Arial"/>
          <w:lang w:val="es-ES"/>
        </w:rPr>
      </w:pPr>
      <w:r w:rsidRPr="00B6469F">
        <w:rPr>
          <w:rFonts w:ascii="Verdana" w:eastAsia="Calibri" w:hAnsi="Verdana" w:cs="Arial"/>
          <w:lang w:val="es-ES"/>
        </w:rPr>
        <w:t xml:space="preserve">Lo anterior se sustenta en las siguientes consideraciones: </w:t>
      </w:r>
    </w:p>
    <w:p w14:paraId="2D842E39" w14:textId="77777777" w:rsidR="004D7B01" w:rsidRPr="00B6469F" w:rsidRDefault="004D7B01" w:rsidP="004D7B01">
      <w:pPr>
        <w:spacing w:after="0" w:line="276" w:lineRule="auto"/>
        <w:jc w:val="both"/>
        <w:rPr>
          <w:rFonts w:ascii="Verdana" w:eastAsia="Arial" w:hAnsi="Verdana" w:cs="Arial"/>
          <w:lang w:val="es-ES"/>
        </w:rPr>
      </w:pPr>
    </w:p>
    <w:p w14:paraId="13C5FC09" w14:textId="585E6287" w:rsidR="004D7B01" w:rsidRPr="00B6469F" w:rsidRDefault="004D7B01" w:rsidP="0090161A">
      <w:pPr>
        <w:spacing w:after="120" w:line="276" w:lineRule="auto"/>
        <w:jc w:val="both"/>
        <w:rPr>
          <w:rFonts w:ascii="Verdana" w:eastAsia="Calibri" w:hAnsi="Verdana" w:cs="Arial"/>
          <w:lang w:val="es-ES"/>
        </w:rPr>
      </w:pPr>
      <w:r w:rsidRPr="00B6469F">
        <w:rPr>
          <w:rFonts w:ascii="Verdana" w:eastAsia="Arial" w:hAnsi="Verdana" w:cs="Arial"/>
          <w:lang w:val="es-ES"/>
        </w:rPr>
        <w:t>El principio de publicidad 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r w:rsidRPr="00B6469F">
        <w:rPr>
          <w:rFonts w:ascii="Verdana" w:eastAsia="Arial" w:hAnsi="Verdana" w:cs="Arial"/>
          <w:vertAlign w:val="superscript"/>
          <w:lang w:val="es-ES"/>
        </w:rPr>
        <w:footnoteReference w:id="2"/>
      </w:r>
      <w:r w:rsidRPr="00B6469F">
        <w:rPr>
          <w:rFonts w:ascii="Verdana" w:eastAsia="Arial" w:hAnsi="Verdana" w:cs="Arial"/>
          <w:lang w:val="es-ES"/>
        </w:rPr>
        <w:t xml:space="preserve">. </w:t>
      </w:r>
    </w:p>
    <w:p w14:paraId="2D6293BA" w14:textId="77777777" w:rsidR="004D7B01" w:rsidRPr="00B6469F" w:rsidRDefault="004D7B01" w:rsidP="004D7B01">
      <w:pPr>
        <w:widowControl w:val="0"/>
        <w:tabs>
          <w:tab w:val="left" w:pos="728"/>
        </w:tabs>
        <w:autoSpaceDE w:val="0"/>
        <w:autoSpaceDN w:val="0"/>
        <w:spacing w:after="120" w:line="276" w:lineRule="auto"/>
        <w:jc w:val="both"/>
        <w:rPr>
          <w:rFonts w:ascii="Verdana" w:eastAsia="Arial" w:hAnsi="Verdana" w:cs="Arial"/>
          <w:lang w:val="es-ES"/>
        </w:rPr>
      </w:pPr>
      <w:r w:rsidRPr="00B6469F">
        <w:rPr>
          <w:rFonts w:ascii="Verdana" w:eastAsia="Arial" w:hAnsi="Verdana" w:cs="Arial"/>
          <w:lang w:val="es-ES"/>
        </w:rPr>
        <w:lastRenderedPageBreak/>
        <w:tab/>
        <w:t>De otra parte, la Ley 1712 de 2014, por medio de la cual se regula la transparencia 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B6469F">
        <w:rPr>
          <w:rFonts w:ascii="Verdana" w:eastAsia="Arial" w:hAnsi="Verdana" w:cs="Arial"/>
          <w:vertAlign w:val="superscript"/>
          <w:lang w:val="es-ES"/>
        </w:rPr>
        <w:footnoteReference w:id="3"/>
      </w:r>
      <w:r w:rsidRPr="00B6469F">
        <w:rPr>
          <w:rFonts w:ascii="Verdana" w:eastAsia="Arial" w:hAnsi="Verdana" w:cs="Arial"/>
          <w:lang w:val="es-ES"/>
        </w:rPr>
        <w:t xml:space="preserve">. El principio de transparencia en la información alude al deber de los sujetos de proporcionar y facilitar el acceso a la misma en los términos más amplios posibles, y a través de los medios y procedimientos que establezca la ley. </w:t>
      </w:r>
    </w:p>
    <w:p w14:paraId="39CA11B9" w14:textId="77777777" w:rsidR="004D7B01" w:rsidRPr="00B6469F" w:rsidRDefault="004D7B01" w:rsidP="004D7B01">
      <w:pPr>
        <w:widowControl w:val="0"/>
        <w:tabs>
          <w:tab w:val="left" w:pos="728"/>
        </w:tabs>
        <w:autoSpaceDE w:val="0"/>
        <w:autoSpaceDN w:val="0"/>
        <w:spacing w:after="120" w:line="276" w:lineRule="auto"/>
        <w:jc w:val="both"/>
        <w:rPr>
          <w:rFonts w:ascii="Verdana" w:eastAsia="Arial" w:hAnsi="Verdana" w:cs="Arial"/>
          <w:lang w:val="es-ES"/>
        </w:rPr>
      </w:pPr>
      <w:r w:rsidRPr="00B6469F">
        <w:rPr>
          <w:rFonts w:ascii="Verdana" w:eastAsia="Arial" w:hAnsi="Verdana" w:cs="Arial"/>
          <w:lang w:val="es-ES"/>
        </w:rPr>
        <w:tab/>
        <w:t>La ley citada establece, en el literal e) del artículo 9, que los sujetos obligados, que son todas las entidades públicas</w:t>
      </w:r>
      <w:r w:rsidRPr="00B6469F">
        <w:rPr>
          <w:rFonts w:ascii="Verdana" w:eastAsia="Arial" w:hAnsi="Verdana" w:cs="Arial"/>
          <w:vertAlign w:val="superscript"/>
          <w:lang w:val="es-ES"/>
        </w:rPr>
        <w:footnoteReference w:id="4"/>
      </w:r>
      <w:r w:rsidRPr="00B6469F">
        <w:rPr>
          <w:rFonts w:ascii="Verdana" w:eastAsia="Arial" w:hAnsi="Verdana" w:cs="Arial"/>
          <w:lang w:val="es-ES"/>
        </w:rPr>
        <w:t>, deben publicar la información relativa a su contratación. Esta obligación fue en principio desarrollada por el  Decreto 103 de 2015, hoy compilado en el Decreto Único Reglamentario 1081 de 2015</w:t>
      </w:r>
      <w:r w:rsidRPr="00B6469F">
        <w:rPr>
          <w:rFonts w:ascii="Verdana" w:eastAsia="Arial" w:hAnsi="Verdana" w:cs="Arial"/>
          <w:vertAlign w:val="superscript"/>
          <w:lang w:val="es-ES"/>
        </w:rPr>
        <w:footnoteReference w:id="5"/>
      </w:r>
      <w:r w:rsidRPr="00B6469F">
        <w:rPr>
          <w:rFonts w:ascii="Verdana" w:eastAsia="Arial" w:hAnsi="Verdana" w:cs="Arial"/>
          <w:lang w:val="es-ES"/>
        </w:rPr>
        <w:t>, el cual dispuso que la publicación de la información contractual de los sujetos obligados, que contratan con cargo a recursos públicos, debe hacerse en el Sistema Electrónico de Contratación Pública –SECOP–.</w:t>
      </w:r>
    </w:p>
    <w:p w14:paraId="1816C72B" w14:textId="77777777" w:rsidR="004D7B01" w:rsidRPr="00B6469F" w:rsidRDefault="004D7B01" w:rsidP="004D7B01">
      <w:pPr>
        <w:widowControl w:val="0"/>
        <w:tabs>
          <w:tab w:val="left" w:pos="728"/>
        </w:tabs>
        <w:autoSpaceDE w:val="0"/>
        <w:autoSpaceDN w:val="0"/>
        <w:spacing w:after="120" w:line="276" w:lineRule="auto"/>
        <w:jc w:val="both"/>
        <w:rPr>
          <w:rFonts w:ascii="Verdana" w:eastAsia="Arial" w:hAnsi="Verdana" w:cs="Arial"/>
          <w:lang w:val="es-ES"/>
        </w:rPr>
      </w:pPr>
      <w:r w:rsidRPr="00B6469F">
        <w:rPr>
          <w:rFonts w:ascii="Verdana" w:eastAsia="Arial" w:hAnsi="Verdana" w:cs="Arial"/>
          <w:lang w:val="es-ES"/>
        </w:rPr>
        <w:tab/>
        <w:t xml:space="preserve">Asimismo, de acuerdo con el literal g) del artículo 11 de la misma Ley, todos los destinatarios de la ley de transparencia deben garantizar la publicidad </w:t>
      </w:r>
      <w:r w:rsidRPr="00B6469F">
        <w:rPr>
          <w:rFonts w:ascii="Verdana" w:eastAsia="Arial" w:hAnsi="Verdana" w:cs="Arial"/>
          <w:lang w:val="es-ES"/>
        </w:rPr>
        <w:lastRenderedPageBreak/>
        <w:t xml:space="preserve">de «sus procedimientos, lineamientos, políticas en materia de adquisiciones y compras, así como todos los datos de adjudicación y ejecución de contratos, incluidos concursos y licitaciones», y esta información también debe estar en el SECOP. </w:t>
      </w:r>
    </w:p>
    <w:p w14:paraId="3CE371BF" w14:textId="77777777" w:rsidR="004D7B01" w:rsidRPr="00B6469F" w:rsidRDefault="004D7B01" w:rsidP="004D7B01">
      <w:pPr>
        <w:widowControl w:val="0"/>
        <w:tabs>
          <w:tab w:val="left" w:pos="728"/>
        </w:tabs>
        <w:autoSpaceDE w:val="0"/>
        <w:autoSpaceDN w:val="0"/>
        <w:spacing w:after="120" w:line="276" w:lineRule="auto"/>
        <w:jc w:val="both"/>
        <w:rPr>
          <w:rFonts w:ascii="Verdana" w:eastAsia="Arial" w:hAnsi="Verdana" w:cs="Arial"/>
          <w:lang w:val="es-ES"/>
        </w:rPr>
      </w:pPr>
      <w:r w:rsidRPr="00B6469F">
        <w:rPr>
          <w:rFonts w:ascii="Verdana" w:eastAsia="Arial" w:hAnsi="Verdana" w:cs="Arial"/>
          <w:lang w:val="es-ES"/>
        </w:rPr>
        <w:tab/>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B6469F">
        <w:rPr>
          <w:rFonts w:ascii="Verdana" w:eastAsia="Arial" w:hAnsi="Verdana" w:cs="Arial"/>
          <w:vertAlign w:val="superscript"/>
          <w:lang w:val="es-ES"/>
        </w:rPr>
        <w:footnoteReference w:id="6"/>
      </w:r>
      <w:r w:rsidRPr="00B6469F">
        <w:rPr>
          <w:rFonts w:ascii="Verdana" w:eastAsia="Arial" w:hAnsi="Verdana" w:cs="Arial"/>
          <w:lang w:val="es-ES"/>
        </w:rPr>
        <w:t>.</w:t>
      </w:r>
    </w:p>
    <w:p w14:paraId="7C8F7DE8" w14:textId="77777777" w:rsidR="004D7B01" w:rsidRPr="00B6469F" w:rsidRDefault="004D7B01" w:rsidP="004D7B01">
      <w:pPr>
        <w:widowControl w:val="0"/>
        <w:tabs>
          <w:tab w:val="left" w:pos="728"/>
        </w:tabs>
        <w:autoSpaceDE w:val="0"/>
        <w:autoSpaceDN w:val="0"/>
        <w:spacing w:line="276" w:lineRule="auto"/>
        <w:jc w:val="both"/>
        <w:rPr>
          <w:rFonts w:ascii="Verdana" w:hAnsi="Verdana" w:cs="Arial"/>
          <w:lang w:val="es-ES"/>
        </w:rPr>
      </w:pPr>
      <w:r w:rsidRPr="00B6469F">
        <w:rPr>
          <w:rFonts w:ascii="Verdana" w:eastAsia="Arial" w:hAnsi="Verdana" w:cs="Arial"/>
          <w:lang w:val="es-ES"/>
        </w:rPr>
        <w:tab/>
      </w:r>
      <w:r w:rsidRPr="00B6469F">
        <w:rPr>
          <w:rFonts w:ascii="Verdana" w:hAnsi="Verdana" w:cs="Arial"/>
          <w:lang w:val="es-ES"/>
        </w:rPr>
        <w:t xml:space="preserve"> El deber de publicidad de los documentos expedidos en virtud de la actividad contractual que se desprende del artículo 3 de la Ley 1150 de 2007, se encuentra regulado por el artículo 2.2.1.1.1.7.1. del Decreto 1082 de 2015 el cual establece los documentos que se deben publicar y al SECOP como medio de publicación</w:t>
      </w:r>
      <w:r w:rsidRPr="00B6469F">
        <w:rPr>
          <w:rFonts w:ascii="Verdana" w:hAnsi="Verdana" w:cs="Arial"/>
          <w:vertAlign w:val="superscript"/>
          <w:lang w:val="es-ES"/>
        </w:rPr>
        <w:footnoteReference w:id="7"/>
      </w:r>
      <w:r w:rsidRPr="00B6469F">
        <w:rPr>
          <w:rFonts w:ascii="Verdana" w:hAnsi="Verdana" w:cs="Arial"/>
          <w:lang w:val="es-ES"/>
        </w:rPr>
        <w:t>,  lo que permite controlar las actuaciones y decisiones de la Administración y el cumplimiento de los demás principios de la contratación pública. Así lo confirma el Consejo de Estado, analizando el principio de publicidad:</w:t>
      </w:r>
    </w:p>
    <w:p w14:paraId="0F5BD8A1" w14:textId="2A9FEAD5" w:rsidR="004D7B01" w:rsidRPr="00B6469F" w:rsidRDefault="0090161A" w:rsidP="004D7B01">
      <w:pPr>
        <w:ind w:left="709" w:right="709"/>
        <w:jc w:val="both"/>
        <w:rPr>
          <w:rFonts w:ascii="Verdana" w:hAnsi="Verdana" w:cs="Arial"/>
          <w:sz w:val="21"/>
          <w:szCs w:val="21"/>
          <w:lang w:val="es-ES"/>
        </w:rPr>
      </w:pPr>
      <w:r w:rsidRPr="00B6469F">
        <w:rPr>
          <w:rFonts w:ascii="Verdana" w:hAnsi="Verdana" w:cs="Arial"/>
          <w:sz w:val="21"/>
          <w:szCs w:val="21"/>
          <w:lang w:val="es-ES"/>
        </w:rPr>
        <w:t>“</w:t>
      </w:r>
      <w:r w:rsidR="004D7B01" w:rsidRPr="00B6469F">
        <w:rPr>
          <w:rFonts w:ascii="Verdana" w:hAnsi="Verdana" w:cs="Arial"/>
          <w:sz w:val="21"/>
          <w:szCs w:val="21"/>
          <w:lang w:val="es-ES"/>
        </w:rPr>
        <w:t>En virtud del principio de publicidad: las autoridades deben dar a conocer sus actuaciones y decisiones mediante las comunicaciones, notificaciones o publicaciones que ordena la ley, con el propósito de que sean vinculantes y puedan ser acatadas por sus destinatarios. Publicidad significa anunciar, divulgar, difundir, informar y revelar las decisiones y su motivación para hacerlas saber a quiénes va dirigida, de manera que puedan ser obligatorias, controvertibles y controlables.</w:t>
      </w:r>
    </w:p>
    <w:p w14:paraId="734B41FB" w14:textId="60EB34DE" w:rsidR="004D7B01" w:rsidRPr="00B6469F" w:rsidRDefault="004D7B01" w:rsidP="004D7B01">
      <w:pPr>
        <w:ind w:left="709" w:right="709"/>
        <w:jc w:val="both"/>
        <w:rPr>
          <w:rFonts w:ascii="Verdana" w:hAnsi="Verdana" w:cs="Arial"/>
          <w:sz w:val="21"/>
          <w:szCs w:val="21"/>
          <w:lang w:val="es-ES"/>
        </w:rPr>
      </w:pPr>
      <w:r w:rsidRPr="00B6469F">
        <w:rPr>
          <w:rFonts w:ascii="Verdana" w:hAnsi="Verdana" w:cs="Arial"/>
          <w:sz w:val="21"/>
          <w:szCs w:val="21"/>
          <w:lang w:val="es-ES"/>
        </w:rPr>
        <w:t xml:space="preserve">En efecto, los posibles oferentes y la comunidad en general deben tener conocimiento o la oportunidad de conocer tanto la convocatoria y reglas del proceso de selección o llamado a la licitación, como los actos y hechos del procedimiento y los participantes de presentar observaciones (art. 24 Nos. 2 y 6 y 30 No. 3 Ley 80 de 1993). La actuación de la administración debe ser abierta al público y a los participantes o concurrentes, quienes, incluso, en el caso de la </w:t>
      </w:r>
      <w:r w:rsidRPr="00B6469F">
        <w:rPr>
          <w:rFonts w:ascii="Verdana" w:hAnsi="Verdana" w:cs="Arial"/>
          <w:sz w:val="21"/>
          <w:szCs w:val="21"/>
          <w:lang w:val="es-ES"/>
        </w:rPr>
        <w:lastRenderedPageBreak/>
        <w:t xml:space="preserve">licitación pueden hacer uso del ejercicio del derecho a la audiencia pública (art. 24 No. 3 </w:t>
      </w:r>
      <w:proofErr w:type="spellStart"/>
      <w:r w:rsidRPr="00B6469F">
        <w:rPr>
          <w:rFonts w:ascii="Verdana" w:hAnsi="Verdana" w:cs="Arial"/>
          <w:sz w:val="21"/>
          <w:szCs w:val="21"/>
          <w:lang w:val="es-ES"/>
        </w:rPr>
        <w:t>ibídem</w:t>
      </w:r>
      <w:proofErr w:type="spellEnd"/>
      <w:r w:rsidRPr="00B6469F">
        <w:rPr>
          <w:rFonts w:ascii="Verdana" w:hAnsi="Verdana" w:cs="Arial"/>
          <w:sz w:val="21"/>
          <w:szCs w:val="21"/>
          <w:lang w:val="es-ES"/>
        </w:rPr>
        <w:t xml:space="preserve"> en armonía con el artículo 273 de la Constitución Política).</w:t>
      </w:r>
    </w:p>
    <w:p w14:paraId="0FA9CA23" w14:textId="76AF5C9D" w:rsidR="004D7B01" w:rsidRPr="00B6469F" w:rsidRDefault="004D7B01" w:rsidP="004D7B01">
      <w:pPr>
        <w:spacing w:after="120"/>
        <w:ind w:left="709" w:right="709"/>
        <w:jc w:val="both"/>
        <w:rPr>
          <w:rFonts w:ascii="Verdana" w:hAnsi="Verdana" w:cs="Arial"/>
          <w:sz w:val="21"/>
          <w:szCs w:val="21"/>
          <w:lang w:val="es-ES"/>
        </w:rPr>
      </w:pPr>
      <w:r w:rsidRPr="00B6469F">
        <w:rPr>
          <w:rFonts w:ascii="Verdana" w:hAnsi="Verdana" w:cs="Arial"/>
          <w:sz w:val="21"/>
          <w:szCs w:val="21"/>
          <w:lang w:val="es-ES"/>
        </w:rPr>
        <w:t>Este principio-deber también se traduce en el correlativo derecho de los interesados de enterarse de esas actuaciones de la administración, pedir por parte de quien demuestre un interés legítimo información y solicitar las copias de los documentos que la integran, con sujeción a la reserva de ley (art. 23 y 74 de la C.P., No. 4 del artículo 24 de la Ley 80 de 1993, entre otros)</w:t>
      </w:r>
      <w:r w:rsidR="0090161A" w:rsidRPr="00B6469F">
        <w:rPr>
          <w:rFonts w:ascii="Verdana" w:hAnsi="Verdana" w:cs="Arial"/>
          <w:sz w:val="21"/>
          <w:szCs w:val="21"/>
          <w:lang w:val="es-ES"/>
        </w:rPr>
        <w:t>”</w:t>
      </w:r>
      <w:r w:rsidRPr="00B6469F">
        <w:rPr>
          <w:rFonts w:ascii="Verdana" w:hAnsi="Verdana" w:cs="Arial"/>
          <w:sz w:val="21"/>
          <w:szCs w:val="21"/>
          <w:vertAlign w:val="superscript"/>
          <w:lang w:val="es-ES"/>
        </w:rPr>
        <w:footnoteReference w:id="8"/>
      </w:r>
      <w:r w:rsidRPr="00B6469F">
        <w:rPr>
          <w:rFonts w:ascii="Verdana" w:hAnsi="Verdana" w:cs="Arial"/>
          <w:sz w:val="21"/>
          <w:szCs w:val="21"/>
          <w:lang w:val="es-ES"/>
        </w:rPr>
        <w:t>.</w:t>
      </w:r>
    </w:p>
    <w:p w14:paraId="78863B7E" w14:textId="47B2D18C" w:rsidR="004D7B01" w:rsidRPr="00B6469F" w:rsidRDefault="0090161A" w:rsidP="004D7B01">
      <w:pPr>
        <w:spacing w:after="120" w:line="276" w:lineRule="auto"/>
        <w:ind w:firstLine="709"/>
        <w:jc w:val="both"/>
        <w:rPr>
          <w:rFonts w:ascii="Verdana" w:hAnsi="Verdana" w:cs="Arial"/>
          <w:lang w:val="es-ES"/>
        </w:rPr>
      </w:pPr>
      <w:r w:rsidRPr="00B6469F">
        <w:rPr>
          <w:rFonts w:ascii="Verdana" w:hAnsi="Verdana" w:cs="Arial"/>
          <w:lang w:val="es-ES"/>
        </w:rPr>
        <w:t>D</w:t>
      </w:r>
      <w:r w:rsidR="004D7B01" w:rsidRPr="00B6469F">
        <w:rPr>
          <w:rFonts w:ascii="Verdana" w:hAnsi="Verdana" w:cs="Arial"/>
          <w:lang w:val="es-ES"/>
        </w:rPr>
        <w:t xml:space="preserve">e acuerdo con esto, las entidades deben cumplir con el principio de publicidad respecto de su actividad contractual como garantía para los administrados, para conocer las actuaciones y participar en el control de estas, siendo el SECOP la herramienta que dispuso el Estado para que las entidades cumplan el principio de publicidad. </w:t>
      </w:r>
    </w:p>
    <w:p w14:paraId="50A55339" w14:textId="2D599AA3" w:rsidR="004D7B01" w:rsidRPr="00B6469F" w:rsidRDefault="004D7B01" w:rsidP="004D7B01">
      <w:pPr>
        <w:spacing w:after="120" w:line="276" w:lineRule="auto"/>
        <w:ind w:firstLine="709"/>
        <w:jc w:val="both"/>
        <w:rPr>
          <w:rFonts w:ascii="Verdana" w:hAnsi="Verdana" w:cs="Arial"/>
          <w:lang w:val="es-ES"/>
        </w:rPr>
      </w:pPr>
      <w:r w:rsidRPr="00B6469F">
        <w:rPr>
          <w:rFonts w:ascii="Verdana" w:hAnsi="Verdana" w:cs="Arial"/>
          <w:lang w:val="es-ES"/>
        </w:rPr>
        <w:t xml:space="preserve">Conforme a lo anterior, la Agencia Nacional de Contratación Pública – Colombia Compra Eficiente, en el concepto de 4 de diciembre de 2019 –4201912000007289–, sostuvo que la disposición del artículo 3 de la Ley 1150 de 2007 debe armonizarse con lo dispuesto por el artículo 2.2.1.1.1.7.1. del Decreto 1082 de 2015 citado, donde se relacionan los documentos que se deben publicar en el SECOP, como un desarrollo de los principios de transparencia y publicidad, que busca permitir, mediante la publicación, que la ciudadanía pueda conocer la actividad contractual de las entidades, comoquiera que tales documentos dan cuenta de las decisiones de la Administración pública en beneficio del interés </w:t>
      </w:r>
      <w:r w:rsidR="00A82FD3" w:rsidRPr="00B6469F">
        <w:rPr>
          <w:rFonts w:ascii="Verdana" w:hAnsi="Verdana" w:cs="Arial"/>
          <w:lang w:val="es-ES"/>
        </w:rPr>
        <w:t>general y</w:t>
      </w:r>
      <w:r w:rsidRPr="00B6469F">
        <w:rPr>
          <w:rFonts w:ascii="Verdana" w:hAnsi="Verdana" w:cs="Arial"/>
          <w:lang w:val="es-ES"/>
        </w:rPr>
        <w:t xml:space="preserve"> que por tanto incumben a la ciudadanía.  </w:t>
      </w:r>
    </w:p>
    <w:p w14:paraId="41CC58DE" w14:textId="023F841A" w:rsidR="00190A95" w:rsidRPr="00B6469F" w:rsidRDefault="004D7B01" w:rsidP="00B94090">
      <w:pPr>
        <w:spacing w:line="276" w:lineRule="auto"/>
        <w:ind w:firstLine="709"/>
        <w:jc w:val="both"/>
        <w:rPr>
          <w:rFonts w:ascii="Verdana" w:eastAsia="Arial" w:hAnsi="Verdana" w:cs="Arial"/>
          <w:lang w:val="es-ES"/>
        </w:rPr>
      </w:pPr>
      <w:r w:rsidRPr="00B6469F">
        <w:rPr>
          <w:rFonts w:ascii="Verdana" w:hAnsi="Verdana" w:cs="Arial"/>
          <w:lang w:val="es-ES"/>
        </w:rPr>
        <w:t xml:space="preserve"> </w:t>
      </w:r>
      <w:r w:rsidR="00190A95" w:rsidRPr="00B6469F">
        <w:rPr>
          <w:rFonts w:ascii="Verdana" w:eastAsia="Arial" w:hAnsi="Verdana" w:cs="Arial"/>
          <w:lang w:val="es-ES"/>
        </w:rPr>
        <w:t>El artículo 3 de la Ley 1150 de 2007 señala que los actos relacionados con los procedimientos de contratación de las entidades estatales pueden ser electrónicos, al igual que su publicidad, por lo que el Gobierno nacional debe definir los medios para desarrolla dicha publicidad, y tiene la obligación de desarrollar el SECOP</w:t>
      </w:r>
      <w:r w:rsidR="00190A95" w:rsidRPr="00B6469F">
        <w:rPr>
          <w:rFonts w:ascii="Verdana" w:eastAsia="Arial" w:hAnsi="Verdana" w:cs="Arial"/>
          <w:vertAlign w:val="superscript"/>
          <w:lang w:val="es-ES"/>
        </w:rPr>
        <w:footnoteReference w:id="9"/>
      </w:r>
      <w:r w:rsidR="00190A95" w:rsidRPr="00B6469F">
        <w:rPr>
          <w:rFonts w:ascii="Verdana" w:eastAsia="Arial" w:hAnsi="Verdana" w:cs="Arial"/>
          <w:lang w:val="es-ES"/>
        </w:rPr>
        <w:t xml:space="preserve">. Este sistema debe contar con la información oficial de los </w:t>
      </w:r>
      <w:r w:rsidR="00190A95" w:rsidRPr="00B6469F">
        <w:rPr>
          <w:rFonts w:ascii="Verdana" w:eastAsia="Arial" w:hAnsi="Verdana" w:cs="Arial"/>
          <w:lang w:val="es-ES"/>
        </w:rPr>
        <w:lastRenderedPageBreak/>
        <w:t>procedimientos contractuales de las entidades, de lo cual será la única fuente, que al ser de interés público ameritan su conocimiento por parte de la ciudadanía, más aún cuando involucran la inversión de recursos públicos y el correlativo derecho de la ciudadanía de conocer cómo se invierten y controlar que el objetivo sea la satisfacción de sus necesidades.</w:t>
      </w:r>
    </w:p>
    <w:p w14:paraId="577A14D7" w14:textId="54A7B6DF" w:rsidR="00190A95" w:rsidRPr="00B6469F" w:rsidRDefault="00190A95" w:rsidP="00190A95">
      <w:pPr>
        <w:widowControl w:val="0"/>
        <w:autoSpaceDE w:val="0"/>
        <w:autoSpaceDN w:val="0"/>
        <w:spacing w:before="120" w:line="276" w:lineRule="auto"/>
        <w:ind w:right="306" w:firstLine="709"/>
        <w:jc w:val="both"/>
        <w:rPr>
          <w:rFonts w:ascii="Verdana" w:eastAsia="Arial" w:hAnsi="Verdana" w:cs="Arial"/>
          <w:lang w:val="es-ES"/>
        </w:rPr>
      </w:pPr>
      <w:r w:rsidRPr="00B6469F">
        <w:rPr>
          <w:rFonts w:ascii="Verdana" w:eastAsia="Arial" w:hAnsi="Verdana" w:cs="Arial"/>
          <w:lang w:val="es-ES"/>
        </w:rPr>
        <w:t xml:space="preserve">La norma citada genera un cambio en la contratación pública, ámbito en el que las actuaciones de las entidades se realizaban por escrito y en papel, y ahora se crea un mecanismo eficiente que reduce costos, para que se cumpla el principio de publicidad, como un deber de las </w:t>
      </w:r>
      <w:r w:rsidR="00E76E4F" w:rsidRPr="00B6469F">
        <w:rPr>
          <w:rFonts w:ascii="Verdana" w:eastAsia="Arial" w:hAnsi="Verdana" w:cs="Arial"/>
          <w:lang w:val="es-ES"/>
        </w:rPr>
        <w:t>autoridades</w:t>
      </w:r>
      <w:r w:rsidRPr="00B6469F">
        <w:rPr>
          <w:rFonts w:ascii="Verdana" w:eastAsia="Arial" w:hAnsi="Verdana" w:cs="Arial"/>
          <w:lang w:val="es-ES"/>
        </w:rPr>
        <w:t xml:space="preserve"> en el ejercicio de las funciones administrativas que la ley les otorga.</w:t>
      </w:r>
    </w:p>
    <w:p w14:paraId="017E4DEE" w14:textId="77777777" w:rsidR="00190A95" w:rsidRPr="00B6469F" w:rsidRDefault="00190A95" w:rsidP="00190A95">
      <w:pPr>
        <w:widowControl w:val="0"/>
        <w:autoSpaceDE w:val="0"/>
        <w:autoSpaceDN w:val="0"/>
        <w:spacing w:before="120" w:line="276" w:lineRule="auto"/>
        <w:ind w:right="306" w:firstLine="709"/>
        <w:jc w:val="both"/>
        <w:rPr>
          <w:rFonts w:ascii="Verdana" w:eastAsia="Arial" w:hAnsi="Verdana" w:cs="Arial"/>
          <w:lang w:val="es-ES"/>
        </w:rPr>
      </w:pPr>
      <w:r w:rsidRPr="00B6469F">
        <w:rPr>
          <w:rFonts w:ascii="Verdana" w:eastAsia="Arial" w:hAnsi="Verdana" w:cs="Arial"/>
          <w:lang w:val="es-ES"/>
        </w:rPr>
        <w:t>La Corte Constitucional, en la sentencia C-711 del 12 de septiembre de 2011, con ponencia del Magistrado Mauricio González Cuervo, hizo énfasis en la transición de la actividad contractual impresa que se publicaba en el Diario Único de Contratación, a una contratación pública electrónica desarrollada mediante el SECOP:</w:t>
      </w:r>
    </w:p>
    <w:p w14:paraId="09996F96" w14:textId="1BFD3E9B" w:rsidR="00190A95" w:rsidRPr="00B6469F" w:rsidRDefault="00B94090" w:rsidP="00190A95">
      <w:pPr>
        <w:widowControl w:val="0"/>
        <w:autoSpaceDE w:val="0"/>
        <w:autoSpaceDN w:val="0"/>
        <w:ind w:left="709" w:right="709"/>
        <w:jc w:val="both"/>
        <w:rPr>
          <w:rFonts w:ascii="Verdana" w:eastAsia="Arial" w:hAnsi="Verdana" w:cs="Arial"/>
          <w:sz w:val="21"/>
          <w:lang w:val="es-ES"/>
        </w:rPr>
      </w:pPr>
      <w:r w:rsidRPr="00B6469F">
        <w:rPr>
          <w:rFonts w:ascii="Verdana" w:eastAsia="Arial" w:hAnsi="Verdana" w:cs="Arial"/>
          <w:sz w:val="21"/>
          <w:lang w:val="es-ES"/>
        </w:rPr>
        <w:t>“</w:t>
      </w:r>
      <w:r w:rsidR="00190A95" w:rsidRPr="00B6469F">
        <w:rPr>
          <w:rFonts w:ascii="Verdana" w:eastAsia="Arial" w:hAnsi="Verdana" w:cs="Arial"/>
          <w:sz w:val="21"/>
          <w:lang w:val="es-ES"/>
        </w:rPr>
        <w:t xml:space="preserve">En cuanto a que la supresión de la publicación en el Diario Único de Contratación fuese necesaria, y en consecuencia ajena al ámbito de las facultades extraordinarias conferidas, se concluye que, si bien la publicación de los contratos estatales puede tenerse como requisito esencial para la ejecución y control público de los contratos oficiales, no así su inclusión en una forma específica de divulgación, como el DUC. Por el contrario, al disponerse que sea publicado en un medio electrónico, al cargo y cuidado de la Agencia Nacional de Contratación Pública —Colombia Compra Eficiente—, se asegura la regularidad de </w:t>
      </w:r>
      <w:r w:rsidR="00190A95" w:rsidRPr="00B6469F">
        <w:rPr>
          <w:rFonts w:ascii="Verdana" w:eastAsia="Arial" w:hAnsi="Verdana" w:cs="Arial"/>
          <w:sz w:val="21"/>
          <w:lang w:val="es-ES"/>
        </w:rPr>
        <w:lastRenderedPageBreak/>
        <w:t>este tipo de trámite, en manos de una entidad responsable de realizarlo; y, simultáneamente, se cumple la finalidad de la publicación, que no otra distinta de brindarle al público la posibilidad de acceso fácil, oportuno, idóneo y eficaz a los términos de la contratación</w:t>
      </w:r>
      <w:r w:rsidR="00190A95" w:rsidRPr="00B6469F">
        <w:rPr>
          <w:rFonts w:ascii="Verdana" w:eastAsia="Arial" w:hAnsi="Verdana" w:cs="Arial"/>
          <w:spacing w:val="-6"/>
          <w:sz w:val="21"/>
          <w:lang w:val="es-ES"/>
        </w:rPr>
        <w:t xml:space="preserve"> </w:t>
      </w:r>
      <w:r w:rsidR="00190A95" w:rsidRPr="00B6469F">
        <w:rPr>
          <w:rFonts w:ascii="Verdana" w:eastAsia="Arial" w:hAnsi="Verdana" w:cs="Arial"/>
          <w:sz w:val="21"/>
          <w:lang w:val="es-ES"/>
        </w:rPr>
        <w:t>estatal.</w:t>
      </w:r>
    </w:p>
    <w:p w14:paraId="50CA9EFF" w14:textId="05CA9F06" w:rsidR="00190A95" w:rsidRPr="00B6469F" w:rsidRDefault="00190A95" w:rsidP="00190A95">
      <w:pPr>
        <w:widowControl w:val="0"/>
        <w:autoSpaceDE w:val="0"/>
        <w:autoSpaceDN w:val="0"/>
        <w:spacing w:before="1"/>
        <w:ind w:left="709" w:right="709"/>
        <w:jc w:val="both"/>
        <w:rPr>
          <w:rFonts w:ascii="Verdana" w:eastAsia="Arial" w:hAnsi="Verdana" w:cs="Arial"/>
          <w:sz w:val="21"/>
          <w:lang w:val="es-ES"/>
        </w:rPr>
      </w:pPr>
      <w:r w:rsidRPr="00B6469F">
        <w:rPr>
          <w:rFonts w:ascii="Verdana" w:eastAsia="Arial" w:hAnsi="Verdana" w:cs="Arial"/>
          <w:sz w:val="21"/>
          <w:lang w:val="es-ES"/>
        </w:rPr>
        <w:t xml:space="preserve">Para la Corte, la publicación de los contratos estatales en el SECOP cumple cabalmente con las exigencias constitucionales de publicidad administrativa. En efecto, permite la presentación de la totalidad del contenido aludido, en un medio al que puede tener acceso al público en general, facilitando a los ciudadanos el conocimiento de las actuaciones de la administración y de los particulares en los procesos de contratación estatal y facilitando su participación en las decisiones que les afectan. </w:t>
      </w:r>
      <w:r w:rsidRPr="00B6469F">
        <w:rPr>
          <w:rFonts w:ascii="Verdana" w:eastAsia="Arial" w:hAnsi="Verdana" w:cs="Arial"/>
          <w:spacing w:val="-3"/>
          <w:sz w:val="21"/>
          <w:lang w:val="es-ES"/>
        </w:rPr>
        <w:t xml:space="preserve">Y, </w:t>
      </w:r>
      <w:r w:rsidRPr="00B6469F">
        <w:rPr>
          <w:rFonts w:ascii="Verdana" w:eastAsia="Arial" w:hAnsi="Verdana" w:cs="Arial"/>
          <w:sz w:val="21"/>
          <w:lang w:val="es-ES"/>
        </w:rPr>
        <w:t>de conteras, suple algunas de las limitaciones de las que adolecía el Diario Único de Contratación, en términos de cobertura geográfica, de cantidad de ejemplares y de posibilidad de acceso por parte de la</w:t>
      </w:r>
      <w:r w:rsidRPr="00B6469F">
        <w:rPr>
          <w:rFonts w:ascii="Verdana" w:eastAsia="Arial" w:hAnsi="Verdana" w:cs="Arial"/>
          <w:spacing w:val="-4"/>
          <w:sz w:val="21"/>
          <w:lang w:val="es-ES"/>
        </w:rPr>
        <w:t xml:space="preserve"> </w:t>
      </w:r>
      <w:r w:rsidRPr="00B6469F">
        <w:rPr>
          <w:rFonts w:ascii="Verdana" w:eastAsia="Arial" w:hAnsi="Verdana" w:cs="Arial"/>
          <w:sz w:val="21"/>
          <w:lang w:val="es-ES"/>
        </w:rPr>
        <w:t>ciudadanía</w:t>
      </w:r>
      <w:r w:rsidR="00B94090" w:rsidRPr="00B6469F">
        <w:rPr>
          <w:rFonts w:ascii="Verdana" w:eastAsia="Arial" w:hAnsi="Verdana" w:cs="Arial"/>
          <w:sz w:val="21"/>
          <w:lang w:val="es-ES"/>
        </w:rPr>
        <w:t>”</w:t>
      </w:r>
      <w:r w:rsidRPr="00B6469F">
        <w:rPr>
          <w:rFonts w:ascii="Verdana" w:eastAsia="Arial" w:hAnsi="Verdana" w:cs="Arial"/>
          <w:sz w:val="21"/>
          <w:lang w:val="es-ES"/>
        </w:rPr>
        <w:t>.</w:t>
      </w:r>
    </w:p>
    <w:p w14:paraId="08429054" w14:textId="77777777" w:rsidR="00190A95" w:rsidRPr="00B6469F" w:rsidRDefault="00190A95" w:rsidP="00190A95">
      <w:pPr>
        <w:widowControl w:val="0"/>
        <w:autoSpaceDE w:val="0"/>
        <w:autoSpaceDN w:val="0"/>
        <w:spacing w:before="1" w:line="276" w:lineRule="auto"/>
        <w:ind w:right="307"/>
        <w:jc w:val="both"/>
        <w:rPr>
          <w:rFonts w:ascii="Verdana" w:eastAsia="Arial" w:hAnsi="Verdana" w:cs="Arial"/>
          <w:sz w:val="25"/>
          <w:lang w:val="es-ES"/>
        </w:rPr>
      </w:pPr>
    </w:p>
    <w:p w14:paraId="7CA7AB5F" w14:textId="653DA3BA" w:rsidR="00190A95" w:rsidRPr="00B6469F" w:rsidRDefault="00190A95" w:rsidP="00190A95">
      <w:pPr>
        <w:widowControl w:val="0"/>
        <w:autoSpaceDE w:val="0"/>
        <w:autoSpaceDN w:val="0"/>
        <w:spacing w:after="120" w:line="276" w:lineRule="auto"/>
        <w:ind w:firstLine="709"/>
        <w:jc w:val="both"/>
        <w:rPr>
          <w:rFonts w:ascii="Verdana" w:eastAsia="Arial" w:hAnsi="Verdana" w:cs="Arial"/>
          <w:lang w:val="es-ES"/>
        </w:rPr>
      </w:pPr>
      <w:r w:rsidRPr="00B6469F">
        <w:rPr>
          <w:rFonts w:ascii="Verdana" w:eastAsia="Arial" w:hAnsi="Verdana" w:cs="Arial"/>
          <w:lang w:val="es-ES"/>
        </w:rPr>
        <w:t xml:space="preserve">Ahora bien, las entidades estatales, conforme al artículo 2.2.1.1.1.7.1. del Decreto 1082 de 2015, tienen la obligación de publicar en el SECOP </w:t>
      </w:r>
      <w:r w:rsidR="00B94090" w:rsidRPr="00B6469F">
        <w:rPr>
          <w:rFonts w:ascii="Verdana" w:eastAsia="Arial" w:hAnsi="Verdana" w:cs="Arial"/>
          <w:lang w:val="es-ES"/>
        </w:rPr>
        <w:t>“</w:t>
      </w:r>
      <w:r w:rsidRPr="00B6469F">
        <w:rPr>
          <w:rFonts w:ascii="Verdana" w:eastAsia="Arial" w:hAnsi="Verdana" w:cs="Arial"/>
          <w:lang w:val="es-ES"/>
        </w:rPr>
        <w:t>[…] los Documentos del Proceso y los actos administrativos del Proceso de Contratación, dentro de los tres (3) días siguientes a su expedición […]</w:t>
      </w:r>
      <w:r w:rsidR="00B94090" w:rsidRPr="00B6469F">
        <w:rPr>
          <w:rFonts w:ascii="Verdana" w:eastAsia="Arial" w:hAnsi="Verdana" w:cs="Arial"/>
          <w:lang w:val="es-ES"/>
        </w:rPr>
        <w:t>”</w:t>
      </w:r>
      <w:r w:rsidRPr="00B6469F">
        <w:rPr>
          <w:rFonts w:ascii="Verdana" w:eastAsia="Arial" w:hAnsi="Verdana" w:cs="Arial"/>
          <w:lang w:val="es-ES"/>
        </w:rPr>
        <w:t xml:space="preserve">. </w:t>
      </w:r>
    </w:p>
    <w:p w14:paraId="476658F1" w14:textId="3F4A7F8F" w:rsidR="00190A95" w:rsidRPr="00B6469F" w:rsidRDefault="00190A95" w:rsidP="00190A95">
      <w:pPr>
        <w:widowControl w:val="0"/>
        <w:autoSpaceDE w:val="0"/>
        <w:autoSpaceDN w:val="0"/>
        <w:spacing w:after="120" w:line="276" w:lineRule="auto"/>
        <w:ind w:firstLine="709"/>
        <w:jc w:val="both"/>
        <w:rPr>
          <w:rFonts w:ascii="Verdana" w:eastAsia="Arial" w:hAnsi="Verdana" w:cs="Arial"/>
          <w:lang w:val="es-ES"/>
        </w:rPr>
      </w:pPr>
      <w:r w:rsidRPr="00B6469F">
        <w:rPr>
          <w:rFonts w:ascii="Verdana" w:eastAsia="Arial" w:hAnsi="Verdana" w:cs="Arial"/>
          <w:lang w:val="es-ES"/>
        </w:rPr>
        <w:t xml:space="preserve">La expresión </w:t>
      </w:r>
      <w:r w:rsidRPr="00B6469F">
        <w:rPr>
          <w:rFonts w:ascii="Verdana" w:eastAsia="Arial" w:hAnsi="Verdana" w:cs="Arial"/>
          <w:i/>
          <w:iCs/>
          <w:lang w:val="es-ES"/>
        </w:rPr>
        <w:t>Documentos del Proceso</w:t>
      </w:r>
      <w:r w:rsidRPr="00B6469F">
        <w:rPr>
          <w:rFonts w:ascii="Verdana" w:eastAsia="Arial" w:hAnsi="Verdana" w:cs="Arial"/>
          <w:lang w:val="es-ES"/>
        </w:rPr>
        <w:t xml:space="preserve"> está definida en el artículo 2.2.1.1.1.3.1. del Decreto 1082 de 2015, donde se establece que: </w:t>
      </w:r>
      <w:r w:rsidR="00B94090" w:rsidRPr="00B6469F">
        <w:rPr>
          <w:rFonts w:ascii="Verdana" w:eastAsia="Arial" w:hAnsi="Verdana" w:cs="Arial"/>
          <w:lang w:val="es-ES"/>
        </w:rPr>
        <w:t>“</w:t>
      </w:r>
      <w:r w:rsidRPr="00B6469F">
        <w:rPr>
          <w:rFonts w:ascii="Verdana" w:eastAsia="Arial" w:hAnsi="Verdana" w:cs="Arial"/>
          <w:lang w:val="es-ES"/>
        </w:rPr>
        <w:t>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r w:rsidR="00B94090" w:rsidRPr="00B6469F">
        <w:rPr>
          <w:rFonts w:ascii="Verdana" w:eastAsia="Arial" w:hAnsi="Verdana" w:cs="Arial"/>
          <w:lang w:val="es-ES"/>
        </w:rPr>
        <w:t>”</w:t>
      </w:r>
      <w:r w:rsidRPr="00B6469F">
        <w:rPr>
          <w:rFonts w:ascii="Verdana" w:eastAsia="Arial" w:hAnsi="Verdana" w:cs="Arial"/>
          <w:lang w:val="es-ES"/>
        </w:rPr>
        <w:t xml:space="preserve">. </w:t>
      </w:r>
    </w:p>
    <w:p w14:paraId="3C6EF216" w14:textId="77777777" w:rsidR="00190A95" w:rsidRPr="00B6469F" w:rsidRDefault="00190A95" w:rsidP="00190A95">
      <w:pPr>
        <w:widowControl w:val="0"/>
        <w:autoSpaceDE w:val="0"/>
        <w:autoSpaceDN w:val="0"/>
        <w:spacing w:after="120" w:line="276" w:lineRule="auto"/>
        <w:ind w:firstLine="709"/>
        <w:jc w:val="both"/>
        <w:rPr>
          <w:rFonts w:ascii="Verdana" w:eastAsia="Arial" w:hAnsi="Verdana" w:cs="Arial"/>
          <w:lang w:val="es-ES"/>
        </w:rPr>
      </w:pPr>
      <w:r w:rsidRPr="00B6469F">
        <w:rPr>
          <w:rFonts w:ascii="Verdana" w:eastAsia="Arial" w:hAnsi="Verdana" w:cs="Arial"/>
          <w:lang w:val="es-ES"/>
        </w:rPr>
        <w:t xml:space="preserve">No obstante, para identificar los documentos que deben publicarse, es necesario realizar una interpretación sistemática de las disposiciones del Decreto 1082 del 2015, comoquiera que el anterior no es un listado taxativo, sino enunciativo, porque además de los documentos enlistados, el artículo 2.2.1.1.1.3.1 </w:t>
      </w:r>
      <w:proofErr w:type="spellStart"/>
      <w:r w:rsidRPr="00B6469F">
        <w:rPr>
          <w:rFonts w:ascii="Verdana" w:eastAsia="Arial" w:hAnsi="Verdana" w:cs="Arial"/>
          <w:i/>
          <w:iCs/>
          <w:lang w:val="es-ES"/>
        </w:rPr>
        <w:t>Ibídem</w:t>
      </w:r>
      <w:proofErr w:type="spellEnd"/>
      <w:r w:rsidRPr="00B6469F">
        <w:rPr>
          <w:rFonts w:ascii="Verdana" w:eastAsia="Arial" w:hAnsi="Verdana" w:cs="Arial"/>
          <w:lang w:val="es-ES"/>
        </w:rPr>
        <w:t xml:space="preserve"> recoge en la noción de </w:t>
      </w:r>
      <w:r w:rsidRPr="00B6469F">
        <w:rPr>
          <w:rFonts w:ascii="Verdana" w:eastAsia="Arial" w:hAnsi="Verdana" w:cs="Arial"/>
          <w:i/>
          <w:iCs/>
          <w:lang w:val="es-ES"/>
        </w:rPr>
        <w:t>Documentos del Proceso</w:t>
      </w:r>
      <w:r w:rsidRPr="00B6469F">
        <w:rPr>
          <w:rFonts w:ascii="Verdana" w:eastAsia="Arial" w:hAnsi="Verdana" w:cs="Arial"/>
          <w:lang w:val="es-ES"/>
        </w:rPr>
        <w:t xml:space="preserve"> «cualquier otro documento expedido por la Entidad Estatal durante el </w:t>
      </w:r>
      <w:r w:rsidRPr="00B6469F">
        <w:rPr>
          <w:rFonts w:ascii="Verdana" w:eastAsia="Arial" w:hAnsi="Verdana" w:cs="Arial"/>
          <w:i/>
          <w:iCs/>
          <w:lang w:val="es-ES"/>
        </w:rPr>
        <w:t>Proceso de Contratación»</w:t>
      </w:r>
      <w:r w:rsidRPr="00B6469F">
        <w:rPr>
          <w:rFonts w:ascii="Verdana" w:eastAsia="Arial" w:hAnsi="Verdana" w:cs="Arial"/>
          <w:lang w:val="es-ES"/>
        </w:rPr>
        <w:t xml:space="preserve">. Este mismo artículo define la expresión </w:t>
      </w:r>
      <w:r w:rsidRPr="00B6469F">
        <w:rPr>
          <w:rFonts w:ascii="Verdana" w:eastAsia="Arial" w:hAnsi="Verdana" w:cs="Arial"/>
          <w:i/>
          <w:iCs/>
          <w:lang w:val="es-ES"/>
        </w:rPr>
        <w:t>Proceso de Contratación</w:t>
      </w:r>
      <w:r w:rsidRPr="00B6469F">
        <w:rPr>
          <w:rFonts w:ascii="Verdana" w:eastAsia="Arial" w:hAnsi="Verdana" w:cs="Arial"/>
          <w:lang w:val="es-ES"/>
        </w:rPr>
        <w:t xml:space="preserve">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w:t>
      </w:r>
      <w:r w:rsidRPr="00B6469F">
        <w:rPr>
          <w:rFonts w:ascii="Verdana" w:eastAsia="Arial" w:hAnsi="Verdana" w:cs="Arial"/>
          <w:lang w:val="es-ES"/>
        </w:rPr>
        <w:lastRenderedPageBreak/>
        <w:t xml:space="preserve">ocurra más tarde».  </w:t>
      </w:r>
    </w:p>
    <w:p w14:paraId="074A1C59" w14:textId="77777777" w:rsidR="00190A95" w:rsidRPr="00B6469F" w:rsidRDefault="00190A95" w:rsidP="00190A95">
      <w:pPr>
        <w:widowControl w:val="0"/>
        <w:autoSpaceDE w:val="0"/>
        <w:autoSpaceDN w:val="0"/>
        <w:spacing w:after="120" w:line="276" w:lineRule="auto"/>
        <w:ind w:firstLine="709"/>
        <w:jc w:val="both"/>
        <w:rPr>
          <w:rFonts w:ascii="Verdana" w:eastAsia="Arial" w:hAnsi="Verdana" w:cs="Arial"/>
          <w:lang w:val="es-ES"/>
        </w:rPr>
      </w:pPr>
      <w:r w:rsidRPr="00B6469F">
        <w:rPr>
          <w:rFonts w:ascii="Verdana" w:eastAsia="Arial" w:hAnsi="Verdana" w:cs="Arial"/>
          <w:lang w:val="es-ES"/>
        </w:rPr>
        <w:t xml:space="preserve">Nótese que la norma hace referencia a los documentos «expedidos por la entidad estatal» durante el proceso de contratación, excluyendo de la noción de </w:t>
      </w:r>
      <w:r w:rsidRPr="00B6469F">
        <w:rPr>
          <w:rFonts w:ascii="Verdana" w:eastAsia="Arial" w:hAnsi="Verdana" w:cs="Arial"/>
          <w:i/>
          <w:iCs/>
          <w:lang w:val="es-ES"/>
        </w:rPr>
        <w:t>Documentos del Proceso</w:t>
      </w:r>
      <w:r w:rsidRPr="00B6469F">
        <w:rPr>
          <w:rFonts w:ascii="Verdana" w:eastAsia="Arial" w:hAnsi="Verdana" w:cs="Arial"/>
          <w:lang w:val="es-ES"/>
        </w:rPr>
        <w:t xml:space="preserve"> los expedidos por un sujeto distinto a la entidad, salvo la oferta, la cual se incluye expresamente en el artículo 2.2.1.1.1.3.1. </w:t>
      </w:r>
    </w:p>
    <w:p w14:paraId="412E3A74" w14:textId="77777777" w:rsidR="00190A95" w:rsidRPr="00B6469F" w:rsidRDefault="00190A95" w:rsidP="00190A95">
      <w:pPr>
        <w:widowControl w:val="0"/>
        <w:autoSpaceDE w:val="0"/>
        <w:autoSpaceDN w:val="0"/>
        <w:spacing w:after="120" w:line="276" w:lineRule="auto"/>
        <w:ind w:firstLine="708"/>
        <w:jc w:val="both"/>
        <w:rPr>
          <w:rFonts w:ascii="Verdana" w:eastAsia="Arial" w:hAnsi="Verdana" w:cs="Arial"/>
          <w:lang w:val="es-ES"/>
        </w:rPr>
      </w:pPr>
      <w:r w:rsidRPr="00B6469F">
        <w:rPr>
          <w:rFonts w:ascii="Verdana" w:eastAsia="Arial" w:hAnsi="Verdana" w:cs="Arial"/>
          <w:lang w:val="es-ES"/>
        </w:rPr>
        <w:t xml:space="preserve">En ese sentido, la interpretación sistemática de los preceptos del Decreto 1082 de 2015, de acuerdo con el principio de publicidad, inicialmente, indica que las entidades estatales tienen la obligación de publicar todos los documentos que expidan con ocasión del </w:t>
      </w:r>
      <w:r w:rsidRPr="00B6469F">
        <w:rPr>
          <w:rFonts w:ascii="Verdana" w:eastAsia="Arial" w:hAnsi="Verdana" w:cs="Arial"/>
          <w:i/>
          <w:iCs/>
          <w:lang w:val="es-ES"/>
        </w:rPr>
        <w:t>Proceso de Contratación</w:t>
      </w:r>
      <w:r w:rsidRPr="00B6469F">
        <w:rPr>
          <w:rFonts w:ascii="Verdana" w:eastAsia="Arial" w:hAnsi="Verdana" w:cs="Arial"/>
          <w:lang w:val="es-ES"/>
        </w:rPr>
        <w:t xml:space="preserve">, esto es, desde la fase de planeación hasta «el vencimiento de las garantías de calidad, estabilidad y mantenimiento, o las condiciones de disposición final o recuperación ambiental de las obras o bienes o el vencimiento del plazo, lo que ocurra más tarde», lo que significa que todos los documentos expedidos por la entidad durante las etapas precontractual, de ejecución y </w:t>
      </w:r>
      <w:proofErr w:type="spellStart"/>
      <w:r w:rsidRPr="00B6469F">
        <w:rPr>
          <w:rFonts w:ascii="Verdana" w:eastAsia="Arial" w:hAnsi="Verdana" w:cs="Arial"/>
          <w:lang w:val="es-ES"/>
        </w:rPr>
        <w:t>postcontractual</w:t>
      </w:r>
      <w:proofErr w:type="spellEnd"/>
      <w:r w:rsidRPr="00B6469F">
        <w:rPr>
          <w:rFonts w:ascii="Verdana" w:eastAsia="Arial" w:hAnsi="Verdana" w:cs="Arial"/>
          <w:lang w:val="es-ES"/>
        </w:rPr>
        <w:t xml:space="preserve"> deberán ser publicados en SECOP dentro de los tres (3) días siguientes a su expedición, para  cumplir el deber de publicidad regulado por el artículo 2.2.1.1.1.7.1. del Decreto 1082 de 2015.</w:t>
      </w:r>
    </w:p>
    <w:p w14:paraId="25854FDB" w14:textId="77777777" w:rsidR="00190A95" w:rsidRPr="00B6469F" w:rsidRDefault="00190A95" w:rsidP="00190A95">
      <w:pPr>
        <w:widowControl w:val="0"/>
        <w:autoSpaceDE w:val="0"/>
        <w:autoSpaceDN w:val="0"/>
        <w:spacing w:after="120" w:line="276" w:lineRule="auto"/>
        <w:ind w:firstLine="708"/>
        <w:jc w:val="both"/>
        <w:rPr>
          <w:rFonts w:ascii="Verdana" w:eastAsia="Arial" w:hAnsi="Verdana" w:cs="Arial"/>
          <w:lang w:val="es-ES"/>
        </w:rPr>
      </w:pPr>
      <w:r w:rsidRPr="00B6469F">
        <w:rPr>
          <w:rFonts w:ascii="Verdana" w:eastAsia="Arial" w:hAnsi="Verdana" w:cs="Arial"/>
          <w:lang w:val="es-ES"/>
        </w:rPr>
        <w:t xml:space="preserve">En todo caso, de conformidad con la segunda parte del inciso primero del artículo 2.2.1.1.1.7.1 </w:t>
      </w:r>
      <w:proofErr w:type="spellStart"/>
      <w:r w:rsidRPr="00B6469F">
        <w:rPr>
          <w:rFonts w:ascii="Verdana" w:eastAsia="Arial" w:hAnsi="Verdana" w:cs="Arial"/>
          <w:i/>
          <w:iCs/>
          <w:lang w:val="es-ES"/>
        </w:rPr>
        <w:t>Ibídem</w:t>
      </w:r>
      <w:proofErr w:type="spellEnd"/>
      <w:r w:rsidRPr="00B6469F">
        <w:rPr>
          <w:rFonts w:ascii="Verdana" w:eastAsia="Arial" w:hAnsi="Verdana" w:cs="Arial"/>
          <w:lang w:val="es-ES"/>
        </w:rPr>
        <w:t xml:space="preserve">, el deber de publicar las actuaciones realizadas en el marco del proceso de contratación, en lo referente a las ofertas presentadas, solo se predica de la propuesta del adjudicatario, así que no es necesario publicar las demás. </w:t>
      </w:r>
      <w:r w:rsidRPr="00B6469F">
        <w:rPr>
          <w:rFonts w:ascii="Verdana" w:eastAsia="Arial" w:hAnsi="Verdana" w:cs="Arial"/>
          <w:i/>
          <w:iCs/>
          <w:lang w:val="es-ES"/>
        </w:rPr>
        <w:t xml:space="preserve"> </w:t>
      </w:r>
      <w:r w:rsidRPr="00B6469F">
        <w:rPr>
          <w:rFonts w:ascii="Verdana" w:eastAsia="Arial" w:hAnsi="Verdana" w:cs="Arial"/>
          <w:lang w:val="es-ES"/>
        </w:rPr>
        <w:t>Del deber de publicidad, de conformidad con la tercera parte del inciso primero de la referida norma, también se encuentran exentos los documentos de las operaciones que se realicen en bolsa de productos.</w:t>
      </w:r>
    </w:p>
    <w:p w14:paraId="065544A0" w14:textId="77777777" w:rsidR="00190A95" w:rsidRPr="00B6469F" w:rsidRDefault="00190A95" w:rsidP="00190A95">
      <w:pPr>
        <w:widowControl w:val="0"/>
        <w:autoSpaceDE w:val="0"/>
        <w:autoSpaceDN w:val="0"/>
        <w:spacing w:after="120" w:line="276" w:lineRule="auto"/>
        <w:ind w:firstLine="708"/>
        <w:jc w:val="both"/>
        <w:rPr>
          <w:rFonts w:ascii="Verdana" w:eastAsia="Arial" w:hAnsi="Verdana" w:cs="Arial"/>
          <w:lang w:val="es-ES"/>
        </w:rPr>
      </w:pPr>
      <w:r w:rsidRPr="00B6469F">
        <w:rPr>
          <w:rFonts w:ascii="Verdana" w:eastAsia="Arial" w:hAnsi="Verdana" w:cs="Arial"/>
          <w:lang w:val="es-ES"/>
        </w:rPr>
        <w:t xml:space="preserve"> El inciso segundo del artículo 2.2.1.1.1.7.1 </w:t>
      </w:r>
      <w:proofErr w:type="spellStart"/>
      <w:r w:rsidRPr="00B6469F">
        <w:rPr>
          <w:rFonts w:ascii="Verdana" w:eastAsia="Arial" w:hAnsi="Verdana" w:cs="Arial"/>
          <w:i/>
          <w:iCs/>
          <w:lang w:val="es-ES"/>
        </w:rPr>
        <w:t>ejusdem</w:t>
      </w:r>
      <w:proofErr w:type="spellEnd"/>
      <w:r w:rsidRPr="00B6469F">
        <w:rPr>
          <w:rFonts w:ascii="Verdana" w:eastAsia="Arial" w:hAnsi="Verdana" w:cs="Arial"/>
          <w:i/>
          <w:iCs/>
          <w:lang w:val="es-ES"/>
        </w:rPr>
        <w:t xml:space="preserve">, </w:t>
      </w:r>
      <w:r w:rsidRPr="00B6469F">
        <w:rPr>
          <w:rFonts w:ascii="Verdana" w:eastAsia="Arial" w:hAnsi="Verdana" w:cs="Arial"/>
          <w:lang w:val="es-ES"/>
        </w:rPr>
        <w:t xml:space="preserve">hace explícito el deber de las entidades estatales de publicar el aviso de convocatoria con el objeto de que los interesados formulen observaciones al proyecto de pliego de condiciones o soliciten aclaraciones en los términos del artículo </w:t>
      </w:r>
      <w:r w:rsidRPr="00B6469F">
        <w:rPr>
          <w:rFonts w:ascii="Verdana" w:hAnsi="Verdana" w:cs="Arial"/>
          <w:lang w:val="es-ES"/>
        </w:rPr>
        <w:t xml:space="preserve">2.2.1.1.2.1.4, deber que hace extensivo a la invitación </w:t>
      </w:r>
      <w:r w:rsidRPr="00B6469F">
        <w:rPr>
          <w:rFonts w:ascii="Verdana" w:eastAsia="Arial" w:hAnsi="Verdana" w:cs="Arial"/>
          <w:lang w:val="es-ES"/>
        </w:rPr>
        <w:t xml:space="preserve">a participar en procesos de mínima cuantía. No obstante, de conformidad con el inciso final del artículo 2.2.1.1.2.1.2 del Decreto 1082 de 2015, la expedición y publicación en el SECOP del aviso de convocatoria no es necesaria en las modalidades de selección de contratación directa y mínima cuantía. </w:t>
      </w:r>
    </w:p>
    <w:p w14:paraId="10366D38" w14:textId="77777777" w:rsidR="00190A95" w:rsidRPr="00B6469F" w:rsidRDefault="00190A95" w:rsidP="00190A95">
      <w:pPr>
        <w:widowControl w:val="0"/>
        <w:autoSpaceDE w:val="0"/>
        <w:autoSpaceDN w:val="0"/>
        <w:spacing w:after="120" w:line="276" w:lineRule="auto"/>
        <w:ind w:firstLine="708"/>
        <w:jc w:val="both"/>
        <w:rPr>
          <w:rFonts w:ascii="Verdana" w:eastAsia="Arial" w:hAnsi="Verdana" w:cs="Arial"/>
          <w:lang w:val="es-ES"/>
        </w:rPr>
      </w:pPr>
      <w:r w:rsidRPr="00B6469F">
        <w:rPr>
          <w:rFonts w:ascii="Verdana" w:eastAsia="Arial" w:hAnsi="Verdana" w:cs="Arial"/>
          <w:lang w:val="es-ES"/>
        </w:rPr>
        <w:t xml:space="preserve">De lo anterior se puede concluir que, en virtud de lo dispuesto en el artículo 3 de la Ley 1150 de 2007, desarrollado por el artículo 2.2.1.1.1.7.1. del Decreto 1082 de 2015, las entidades están obligadas a publicar en el SECOP todos los documentos relacionados con el </w:t>
      </w:r>
      <w:r w:rsidRPr="00B6469F">
        <w:rPr>
          <w:rFonts w:ascii="Verdana" w:eastAsia="Arial" w:hAnsi="Verdana" w:cs="Arial"/>
          <w:i/>
          <w:iCs/>
          <w:lang w:val="es-ES"/>
        </w:rPr>
        <w:t>Proceso de Contratación</w:t>
      </w:r>
      <w:r w:rsidRPr="00B6469F">
        <w:rPr>
          <w:rFonts w:ascii="Verdana" w:eastAsia="Arial" w:hAnsi="Verdana" w:cs="Arial"/>
          <w:lang w:val="es-ES"/>
        </w:rPr>
        <w:t xml:space="preserve"> expedidos </w:t>
      </w:r>
      <w:r w:rsidRPr="00B6469F">
        <w:rPr>
          <w:rFonts w:ascii="Verdana" w:eastAsia="Arial" w:hAnsi="Verdana" w:cs="Arial"/>
          <w:lang w:val="es-ES"/>
        </w:rPr>
        <w:lastRenderedPageBreak/>
        <w:t xml:space="preserve">durante las etapas precontractual, de ejecución y </w:t>
      </w:r>
      <w:proofErr w:type="spellStart"/>
      <w:r w:rsidRPr="00B6469F">
        <w:rPr>
          <w:rFonts w:ascii="Verdana" w:eastAsia="Arial" w:hAnsi="Verdana" w:cs="Arial"/>
          <w:lang w:val="es-ES"/>
        </w:rPr>
        <w:t>postcontractual</w:t>
      </w:r>
      <w:proofErr w:type="spellEnd"/>
      <w:r w:rsidRPr="00B6469F">
        <w:rPr>
          <w:rFonts w:ascii="Verdana" w:eastAsia="Arial" w:hAnsi="Verdana" w:cs="Arial"/>
          <w:lang w:val="es-ES"/>
        </w:rPr>
        <w:t>, dentro de los tres (3) días hábiles siguientes a su producción</w:t>
      </w:r>
      <w:r w:rsidRPr="00B6469F">
        <w:rPr>
          <w:rStyle w:val="Refdenotaalpie"/>
          <w:rFonts w:ascii="Verdana" w:eastAsia="Arial" w:hAnsi="Verdana" w:cs="Arial"/>
          <w:lang w:val="es-ES"/>
        </w:rPr>
        <w:footnoteReference w:id="10"/>
      </w:r>
      <w:r w:rsidRPr="00B6469F">
        <w:rPr>
          <w:rFonts w:ascii="Verdana" w:eastAsia="Arial" w:hAnsi="Verdana" w:cs="Arial"/>
          <w:lang w:val="es-ES"/>
        </w:rPr>
        <w:t>, deber que aplica a todas las modalidades de selección y entidades regidas por el Estatuto General de Contratación de la Administración Pública, y del que solo se encuentran excluidas las ofertas ganadoras y los documentos expedidos en el marco de operaciones de bolsa de productos.</w:t>
      </w:r>
    </w:p>
    <w:p w14:paraId="1308AE93" w14:textId="77777777" w:rsidR="00190A95" w:rsidRPr="00B6469F" w:rsidRDefault="00190A95" w:rsidP="00190A95">
      <w:pPr>
        <w:spacing w:before="120" w:after="120" w:line="276" w:lineRule="auto"/>
        <w:ind w:firstLine="709"/>
        <w:jc w:val="both"/>
        <w:rPr>
          <w:rFonts w:ascii="Verdana" w:eastAsia="Calibri" w:hAnsi="Verdana" w:cs="Arial"/>
          <w:lang w:val="es-ES"/>
        </w:rPr>
      </w:pPr>
      <w:r w:rsidRPr="00B6469F">
        <w:rPr>
          <w:rFonts w:ascii="Verdana" w:eastAsia="Calibri" w:hAnsi="Verdana" w:cs="Arial"/>
          <w:lang w:val="es-ES"/>
        </w:rPr>
        <w:t xml:space="preserve">No obstante, el deber de publicar los documentos relacionados con la contratación no se encuentra regulado solamente por las normas del Estatuto General de Contratación  de la Administración Pública, ya que la Ley 1712 de 2014, normativa de la transparencia y del derecho de acceso a la información pública, señala en el literal g) del artículo 11, que todo sujeto obligado debe publicar sus procedimientos, lineamientos, políticas en materia de adquisiciones y compras, así como todos los datos de adjudicación y ejecución de sus contratos. Esta obligación, en principio, fue reglamentada por el Decreto 103 de 2015, hoy compilado en el Decreto 1081 de 2015. Este último señala, en el artículo 2.1.1.2.1.7, que las entidades deberán publicar en el SECOP </w:t>
      </w:r>
      <w:r w:rsidRPr="00B6469F">
        <w:rPr>
          <w:rFonts w:ascii="Verdana" w:hAnsi="Verdana" w:cs="Arial"/>
          <w:lang w:val="es-ES"/>
        </w:rPr>
        <w:t>la información de su gestión contractual</w:t>
      </w:r>
      <w:r w:rsidRPr="00B6469F">
        <w:rPr>
          <w:rStyle w:val="Refdenotaalpie"/>
          <w:rFonts w:ascii="Verdana" w:hAnsi="Verdana" w:cs="Arial"/>
          <w:lang w:val="es-ES"/>
        </w:rPr>
        <w:footnoteReference w:id="11"/>
      </w:r>
      <w:r w:rsidRPr="00B6469F">
        <w:rPr>
          <w:rFonts w:ascii="Verdana" w:eastAsia="Calibri" w:hAnsi="Verdana" w:cs="Arial"/>
          <w:lang w:val="es-ES"/>
        </w:rPr>
        <w:t xml:space="preserve">. Por su parte, el artículo 2.1.1.2.1.9 expresa que las entidades deberán publicar los procedimientos, lineamientos y políticas en materia de adquisición, que no son otros que los previstos en el </w:t>
      </w:r>
      <w:r w:rsidRPr="00B6469F">
        <w:rPr>
          <w:rFonts w:ascii="Verdana" w:eastAsia="Calibri" w:hAnsi="Verdana" w:cs="Arial"/>
          <w:lang w:val="es-ES"/>
        </w:rPr>
        <w:lastRenderedPageBreak/>
        <w:t>manual de contratación, el cual debe publicarse en el sitio web del sujeto obligado</w:t>
      </w:r>
      <w:r w:rsidRPr="00B6469F">
        <w:rPr>
          <w:rStyle w:val="Refdenotaalpie"/>
          <w:rFonts w:ascii="Verdana" w:eastAsia="Calibri" w:hAnsi="Verdana" w:cs="Arial"/>
          <w:lang w:val="es-ES"/>
        </w:rPr>
        <w:footnoteReference w:id="12"/>
      </w:r>
      <w:r w:rsidRPr="00B6469F">
        <w:rPr>
          <w:rFonts w:ascii="Verdana" w:eastAsia="Calibri" w:hAnsi="Verdana" w:cs="Arial"/>
          <w:lang w:val="es-ES"/>
        </w:rPr>
        <w:t>. El artículo 2.1.1.2.1.10 establece la obligación que tienen las entidades de publicar en el SECOP el Plan Anual de Adquisiciones</w:t>
      </w:r>
      <w:r w:rsidRPr="00B6469F">
        <w:rPr>
          <w:rStyle w:val="Refdenotaalpie"/>
          <w:rFonts w:ascii="Verdana" w:eastAsia="Calibri" w:hAnsi="Verdana" w:cs="Arial"/>
          <w:lang w:val="es-ES"/>
        </w:rPr>
        <w:footnoteReference w:id="13"/>
      </w:r>
      <w:r w:rsidRPr="00B6469F">
        <w:rPr>
          <w:rFonts w:ascii="Verdana" w:eastAsia="Calibri" w:hAnsi="Verdana" w:cs="Arial"/>
          <w:lang w:val="es-ES"/>
        </w:rPr>
        <w:t xml:space="preserve">. </w:t>
      </w:r>
    </w:p>
    <w:p w14:paraId="4F1DFDD7" w14:textId="77777777" w:rsidR="00190A95" w:rsidRPr="00B6469F" w:rsidRDefault="00190A95" w:rsidP="00190A95">
      <w:pPr>
        <w:spacing w:before="120" w:after="120" w:line="276" w:lineRule="auto"/>
        <w:ind w:firstLine="709"/>
        <w:jc w:val="both"/>
        <w:rPr>
          <w:rFonts w:ascii="Verdana" w:eastAsia="Calibri" w:hAnsi="Verdana" w:cs="Arial"/>
          <w:lang w:val="es-ES"/>
        </w:rPr>
      </w:pPr>
      <w:r w:rsidRPr="00B6469F">
        <w:rPr>
          <w:rFonts w:ascii="Verdana" w:eastAsia="Calibri" w:hAnsi="Verdana" w:cs="Arial"/>
          <w:lang w:val="es-ES"/>
        </w:rPr>
        <w:t xml:space="preserve">De otro lado, el artículo 2.1.1.2.1.8, establece los efectos de </w:t>
      </w:r>
      <w:r w:rsidRPr="00B6469F">
        <w:rPr>
          <w:rFonts w:ascii="Verdana" w:hAnsi="Verdana" w:cs="Arial"/>
          <w:lang w:val="es-ES"/>
        </w:rPr>
        <w:t>la obligación contenida en el literal g) del artículo 11 de la Ley 1712 de 2014, en relación con los documentos producidos durante la ejecución del contrato, señalando que se</w:t>
      </w:r>
      <w:r w:rsidRPr="00B6469F">
        <w:rPr>
          <w:rFonts w:ascii="Verdana" w:eastAsia="Calibri" w:hAnsi="Verdana" w:cs="Arial"/>
          <w:lang w:val="es-ES"/>
        </w:rPr>
        <w:t xml:space="preserve"> deben publicar las aprobaciones, autorizaciones, requerimientos o informes del supervisor o interventor, que prueben la ejecución del contrato</w:t>
      </w:r>
      <w:r w:rsidRPr="00B6469F">
        <w:rPr>
          <w:rStyle w:val="Refdenotaalpie"/>
          <w:rFonts w:ascii="Verdana" w:eastAsia="Calibri" w:hAnsi="Verdana" w:cs="Arial"/>
          <w:lang w:val="es-ES"/>
        </w:rPr>
        <w:footnoteReference w:id="14"/>
      </w:r>
      <w:r w:rsidRPr="00B6469F">
        <w:rPr>
          <w:rFonts w:ascii="Verdana" w:eastAsia="Calibri" w:hAnsi="Verdana" w:cs="Arial"/>
          <w:lang w:val="es-ES"/>
        </w:rPr>
        <w:t>.</w:t>
      </w:r>
    </w:p>
    <w:p w14:paraId="4CA00309" w14:textId="77777777" w:rsidR="00190A95" w:rsidRPr="00B6469F" w:rsidRDefault="00190A95" w:rsidP="00190A95">
      <w:pPr>
        <w:spacing w:before="120" w:after="120" w:line="276" w:lineRule="auto"/>
        <w:ind w:firstLine="709"/>
        <w:jc w:val="both"/>
        <w:rPr>
          <w:rFonts w:ascii="Verdana" w:eastAsia="Calibri" w:hAnsi="Verdana" w:cs="Arial"/>
          <w:lang w:val="es-ES"/>
        </w:rPr>
      </w:pPr>
      <w:r w:rsidRPr="00B6469F">
        <w:rPr>
          <w:rFonts w:ascii="Verdana" w:eastAsia="Calibri" w:hAnsi="Verdana" w:cs="Arial"/>
          <w:lang w:val="es-ES"/>
        </w:rPr>
        <w:t xml:space="preserve">En ese orden, el deber de publicar la actividad contractual de las entidades estatales no solo está regulado en el artículo 3 de la Ley 1150 de 2007, y en el </w:t>
      </w:r>
      <w:r w:rsidRPr="00B6469F">
        <w:rPr>
          <w:rFonts w:ascii="Verdana" w:eastAsia="Arial" w:hAnsi="Verdana" w:cs="Arial"/>
          <w:lang w:val="es-ES"/>
        </w:rPr>
        <w:t xml:space="preserve">artículo 2.2.1.1.1.7.1. del Decreto 1082 de 2015, sino también en la Ley 1712 de 2014, y en el Decreto 1081 de 2015, normas que no solo refuerzan y complementan al régimen de contratación estatal en cuanto a la publicidad, sino que lo amplía, para incluir la publicación de los «procedimientos» y la información relativa a la «gestión contractual», sin el condicionamiento de tratarse exclusivamente de los </w:t>
      </w:r>
      <w:r w:rsidRPr="00B6469F">
        <w:rPr>
          <w:rFonts w:ascii="Verdana" w:eastAsia="Arial" w:hAnsi="Verdana" w:cs="Arial"/>
          <w:i/>
          <w:iCs/>
          <w:lang w:val="es-ES"/>
        </w:rPr>
        <w:t xml:space="preserve">Documentos del Proceso </w:t>
      </w:r>
      <w:r w:rsidRPr="00B6469F">
        <w:rPr>
          <w:rFonts w:ascii="Verdana" w:eastAsia="Arial" w:hAnsi="Verdana" w:cs="Arial"/>
          <w:lang w:val="es-ES"/>
        </w:rPr>
        <w:t>expedidos por la «entidad estatal».</w:t>
      </w:r>
    </w:p>
    <w:p w14:paraId="31A1599F" w14:textId="77777777" w:rsidR="00190A95" w:rsidRPr="00B6469F" w:rsidRDefault="00190A95" w:rsidP="00190A95">
      <w:pPr>
        <w:spacing w:before="120" w:after="120" w:line="276" w:lineRule="auto"/>
        <w:ind w:firstLine="709"/>
        <w:jc w:val="both"/>
        <w:rPr>
          <w:rFonts w:ascii="Verdana" w:eastAsia="Calibri" w:hAnsi="Verdana" w:cs="Arial"/>
          <w:lang w:val="es-ES"/>
        </w:rPr>
      </w:pPr>
      <w:r w:rsidRPr="00B6469F">
        <w:rPr>
          <w:rFonts w:ascii="Verdana" w:eastAsia="Calibri" w:hAnsi="Verdana" w:cs="Arial"/>
          <w:lang w:val="es-ES"/>
        </w:rPr>
        <w:t xml:space="preserve">Las publicaciones que corresponde efectuar a las entidades estatales, como sujetos obligados por la normativa de la transparencia y acceso a la información pública, en particular en lo referente a la información contractual, </w:t>
      </w:r>
      <w:r w:rsidRPr="00B6469F">
        <w:rPr>
          <w:rFonts w:ascii="Verdana" w:eastAsia="Calibri" w:hAnsi="Verdana" w:cs="Arial"/>
          <w:lang w:val="es-ES"/>
        </w:rPr>
        <w:lastRenderedPageBreak/>
        <w:t xml:space="preserve">antes que una derogación o subrogación del contenido del deber de publicidad regulado por el EGCAP, suponen una ampliación de su alcance, que lo hace trascender de la simple publicación de la información «producida por la entidad estatal» asociada a la noción de </w:t>
      </w:r>
      <w:r w:rsidRPr="00B6469F">
        <w:rPr>
          <w:rFonts w:ascii="Verdana" w:eastAsia="Calibri" w:hAnsi="Verdana" w:cs="Arial"/>
          <w:i/>
          <w:iCs/>
          <w:lang w:val="es-ES"/>
        </w:rPr>
        <w:t>Documentos del Proceso.</w:t>
      </w:r>
      <w:r w:rsidRPr="00B6469F">
        <w:rPr>
          <w:rFonts w:ascii="Verdana" w:hAnsi="Verdana" w:cs="Arial"/>
          <w:lang w:val="es-ES"/>
        </w:rPr>
        <w:t xml:space="preserve"> Esto</w:t>
      </w:r>
      <w:r w:rsidRPr="00B6469F">
        <w:rPr>
          <w:rFonts w:ascii="Verdana" w:eastAsia="Calibri" w:hAnsi="Verdana" w:cs="Arial"/>
          <w:i/>
          <w:iCs/>
          <w:lang w:val="es-ES"/>
        </w:rPr>
        <w:t xml:space="preserve"> </w:t>
      </w:r>
      <w:r w:rsidRPr="00B6469F">
        <w:rPr>
          <w:rFonts w:ascii="Verdana" w:eastAsia="Calibri" w:hAnsi="Verdana" w:cs="Arial"/>
          <w:lang w:val="es-ES"/>
        </w:rPr>
        <w:t xml:space="preserve">en la medida en que, al establecerse la obligación de publicar los «procedimientos» y la «información de la gestión contractual» en el SECOP, se incorporó una visión omnicomprensiva de la actividad contractual que debe publicarse, comoquiera que la noción de procedimiento debe asimilarse a la de </w:t>
      </w:r>
      <w:r w:rsidRPr="00B6469F">
        <w:rPr>
          <w:rFonts w:ascii="Verdana" w:eastAsia="Calibri" w:hAnsi="Verdana" w:cs="Arial"/>
          <w:i/>
          <w:iCs/>
          <w:lang w:val="es-ES"/>
        </w:rPr>
        <w:t>Proceso de Contratación,</w:t>
      </w:r>
      <w:r w:rsidRPr="00B6469F">
        <w:rPr>
          <w:rFonts w:ascii="Verdana" w:eastAsia="Calibri" w:hAnsi="Verdana" w:cs="Arial"/>
          <w:lang w:val="es-ES"/>
        </w:rPr>
        <w:t xml:space="preserve"> lo que implica que la publicación que corresponde a las entidades estatales, como sujetos obligados en el marco de la Ley 1712 de 2014, se extienda a todo el desarrollo del procedimiento, desde la etapa de planeación hasta el vencimiento de las garantías, incluyendo cada actuación que se produzca en ese lapso.  </w:t>
      </w:r>
    </w:p>
    <w:p w14:paraId="15F7EB13" w14:textId="77777777" w:rsidR="00190A95" w:rsidRPr="00B6469F" w:rsidRDefault="00190A95" w:rsidP="00190A95">
      <w:pPr>
        <w:spacing w:before="120" w:after="120" w:line="276" w:lineRule="auto"/>
        <w:ind w:firstLine="709"/>
        <w:jc w:val="both"/>
        <w:rPr>
          <w:rFonts w:ascii="Verdana" w:eastAsia="Calibri" w:hAnsi="Verdana" w:cs="Arial"/>
          <w:lang w:val="es-ES"/>
        </w:rPr>
      </w:pPr>
      <w:r w:rsidRPr="00B6469F">
        <w:rPr>
          <w:rFonts w:ascii="Verdana" w:eastAsia="Calibri" w:hAnsi="Verdana" w:cs="Arial"/>
          <w:lang w:val="es-ES"/>
        </w:rPr>
        <w:t xml:space="preserve">Esto quiere decir que las entidades estatales, además de los documentos y actos administrativos </w:t>
      </w:r>
      <w:r w:rsidRPr="00B6469F">
        <w:rPr>
          <w:rFonts w:ascii="Verdana" w:eastAsia="Calibri" w:hAnsi="Verdana" w:cs="Arial"/>
          <w:lang w:val="es-ES"/>
        </w:rPr>
        <w:softHyphen/>
      </w:r>
      <w:r w:rsidRPr="00B6469F">
        <w:rPr>
          <w:rFonts w:ascii="Verdana" w:eastAsia="Calibri" w:hAnsi="Verdana" w:cs="Arial"/>
          <w:lang w:val="es-ES"/>
        </w:rPr>
        <w:softHyphen/>
        <w:t>–de trámite o definitivos– que expiden durante los procedimientos de contratación</w:t>
      </w:r>
      <w:r w:rsidRPr="00B6469F">
        <w:rPr>
          <w:rFonts w:ascii="Verdana" w:eastAsia="Calibri" w:hAnsi="Verdana" w:cs="Arial"/>
          <w:i/>
          <w:iCs/>
          <w:lang w:val="es-ES"/>
        </w:rPr>
        <w:t>,</w:t>
      </w:r>
      <w:r w:rsidRPr="00B6469F">
        <w:rPr>
          <w:rFonts w:ascii="Verdana" w:eastAsia="Calibri" w:hAnsi="Verdana" w:cs="Arial"/>
          <w:lang w:val="es-ES"/>
        </w:rPr>
        <w:t xml:space="preserve"> deben publicar los documentos que los impulsan y materializan, incluso los que no produce la entidad, pero que hacen parte del procedimiento, como las observaciones formuladas por la ciudadanía al proyecto de pliego de condiciones, o por los proponentes al informe de evaluación, aclaraciones a las ofertas realizadas por los oferentes, y cualquier otra actuación que a pesar de no tener origen en la entidad estatal, ni caber en estricto sentido en lo que se entiende con la expresión</w:t>
      </w:r>
      <w:r w:rsidRPr="00B6469F">
        <w:rPr>
          <w:rFonts w:ascii="Verdana" w:eastAsia="Calibri" w:hAnsi="Verdana" w:cs="Arial"/>
          <w:i/>
          <w:iCs/>
          <w:lang w:val="es-ES"/>
        </w:rPr>
        <w:t xml:space="preserve"> Documento del Proceso, </w:t>
      </w:r>
      <w:r w:rsidRPr="00B6469F">
        <w:rPr>
          <w:rFonts w:ascii="Verdana" w:eastAsia="Calibri" w:hAnsi="Verdana" w:cs="Arial"/>
          <w:lang w:val="es-ES"/>
        </w:rPr>
        <w:t xml:space="preserve">hace parte de su desarrollo, y que por disposición de la Ley de transparencia y acceso a la información pública, debe publicar la entidad de manera proactiva.   </w:t>
      </w:r>
    </w:p>
    <w:p w14:paraId="63020839" w14:textId="77777777" w:rsidR="00190A95" w:rsidRPr="00B6469F" w:rsidRDefault="00190A95" w:rsidP="00190A95">
      <w:pPr>
        <w:spacing w:before="120" w:after="120" w:line="276" w:lineRule="auto"/>
        <w:ind w:firstLine="709"/>
        <w:jc w:val="both"/>
        <w:rPr>
          <w:rFonts w:ascii="Verdana" w:eastAsia="Calibri" w:hAnsi="Verdana" w:cs="Arial"/>
          <w:lang w:val="es-ES"/>
        </w:rPr>
      </w:pPr>
      <w:r w:rsidRPr="00B6469F">
        <w:rPr>
          <w:rFonts w:ascii="Verdana" w:eastAsia="Calibri" w:hAnsi="Verdana" w:cs="Arial"/>
          <w:lang w:val="es-ES"/>
        </w:rPr>
        <w:t xml:space="preserve">Ahora, es importante resaltar que al no existir efectos derogatorios o subrogatorios entre las disposiciones del EGCAP y la normativa de la transparencia y el acceso a la información pública, las disposiciones de ambos regímenes deben ser interpretadas de manera complementaria. Esto significa que a pesar de que los documentos objeto de publicación según el Decreto 1082 de 2015, se encuentren recogidos dentro de los que deben ser publicados conforme a la Ley 1712 de 2014 y el Decreto 1081 de 2015, deberán respetarse los aspectos expresamente regulados en cada norma, como, por ejemplo, el término de publicación y la excepción de publicación de los documentos de las operaciones que se celebren en bolsa de productos, conforme al </w:t>
      </w:r>
      <w:r w:rsidRPr="00B6469F">
        <w:rPr>
          <w:rFonts w:ascii="Verdana" w:eastAsia="Arial" w:hAnsi="Verdana" w:cs="Arial"/>
          <w:lang w:val="es-ES"/>
        </w:rPr>
        <w:t>artículo 2.2.1.1.1.7.1. del Decreto 1082 de 2015.</w:t>
      </w:r>
    </w:p>
    <w:p w14:paraId="6002681E" w14:textId="77777777" w:rsidR="00190A95" w:rsidRPr="00B6469F" w:rsidRDefault="00190A95" w:rsidP="00190A95">
      <w:pPr>
        <w:spacing w:before="120" w:after="120" w:line="276" w:lineRule="auto"/>
        <w:ind w:firstLine="709"/>
        <w:jc w:val="both"/>
        <w:rPr>
          <w:rFonts w:ascii="Verdana" w:eastAsia="Calibri" w:hAnsi="Verdana" w:cs="Arial"/>
          <w:lang w:val="es-ES"/>
        </w:rPr>
      </w:pPr>
      <w:r w:rsidRPr="00B6469F">
        <w:rPr>
          <w:rFonts w:ascii="Verdana" w:eastAsia="Calibri" w:hAnsi="Verdana" w:cs="Arial"/>
          <w:lang w:val="es-ES"/>
        </w:rPr>
        <w:t xml:space="preserve">De conformidad con lo anterior, esta interpretación de las disposiciones analizadas permite incorporar al EGCAP importantes principios desarrollados por la normativa de la transparencia y acceso a la información pública, como los de </w:t>
      </w:r>
      <w:r w:rsidRPr="00B6469F">
        <w:rPr>
          <w:rStyle w:val="nfasis"/>
          <w:rFonts w:ascii="Verdana" w:hAnsi="Verdana" w:cs="Arial"/>
          <w:lang w:val="es-ES"/>
        </w:rPr>
        <w:lastRenderedPageBreak/>
        <w:t>máxima publicidad para un titular universal</w:t>
      </w:r>
      <w:r w:rsidRPr="00B6469F">
        <w:rPr>
          <w:rStyle w:val="Refdenotaalpie"/>
          <w:rFonts w:ascii="Verdana" w:hAnsi="Verdana" w:cs="Arial"/>
          <w:i/>
          <w:iCs/>
          <w:lang w:val="es-ES"/>
        </w:rPr>
        <w:footnoteReference w:id="15"/>
      </w:r>
      <w:r w:rsidRPr="00B6469F">
        <w:rPr>
          <w:rStyle w:val="nfasis"/>
          <w:rFonts w:ascii="Verdana" w:hAnsi="Verdana" w:cs="Arial"/>
          <w:lang w:val="es-ES"/>
        </w:rPr>
        <w:t>, transparencia, facilitación y divulgación proactiva de la información</w:t>
      </w:r>
      <w:r w:rsidRPr="00B6469F">
        <w:rPr>
          <w:rStyle w:val="Refdenotaalpie"/>
          <w:rFonts w:ascii="Verdana" w:hAnsi="Verdana" w:cs="Arial"/>
          <w:i/>
          <w:iCs/>
          <w:lang w:val="es-ES"/>
        </w:rPr>
        <w:footnoteReference w:id="16"/>
      </w:r>
      <w:r w:rsidRPr="00B6469F">
        <w:rPr>
          <w:rStyle w:val="nfasis"/>
          <w:rFonts w:ascii="Verdana" w:hAnsi="Verdana" w:cs="Arial"/>
          <w:lang w:val="es-ES"/>
        </w:rPr>
        <w:t xml:space="preserve">,  porque al ampliarse la actividad contractual sobre la que recae el deber de publicación, se divulga un mayor volumen de información, que de por sí es pública, mediante un mecanismo  como el SECOP, que facilita el acceso a la misma desde cualquier dispositivo con acceso a internet, garantizando mayor transparencia, al obligarse a las entidades estatales a publicar sus actuaciones de manera proactiva y rutinaria, lo que permite que la ciudadanía conozca con detalle y actualidad el desarrollo de la gestión contractual de la Administración, fomentándose en la contratación pública estándares altos de transparencia.   </w:t>
      </w:r>
    </w:p>
    <w:p w14:paraId="576138F0" w14:textId="77777777" w:rsidR="00190A95" w:rsidRPr="00B6469F" w:rsidRDefault="00190A95" w:rsidP="00190A95">
      <w:pPr>
        <w:spacing w:before="120" w:after="120" w:line="276" w:lineRule="auto"/>
        <w:ind w:firstLine="709"/>
        <w:jc w:val="both"/>
        <w:rPr>
          <w:rFonts w:ascii="Verdana" w:eastAsia="Calibri" w:hAnsi="Verdana" w:cs="Arial"/>
          <w:lang w:val="es-ES"/>
        </w:rPr>
      </w:pPr>
      <w:r w:rsidRPr="00B6469F">
        <w:rPr>
          <w:rFonts w:ascii="Verdana" w:eastAsia="Calibri" w:hAnsi="Verdana" w:cs="Arial"/>
          <w:bCs/>
          <w:lang w:val="es-ES"/>
        </w:rPr>
        <w:t>En cuanto al Plan Anual de Adquisiciones, se aclara que si bien es una herramienta de planeación para los procesos de contratación, cuya naturaleza corresponde a la de un acto administrativo, de conformidad con lo expuesto por esta Subdirección en el concepto C–237 del 24 de abril de 2020 –</w:t>
      </w:r>
      <w:r w:rsidRPr="00B6469F">
        <w:rPr>
          <w:rFonts w:ascii="Verdana" w:hAnsi="Verdana" w:cs="Arial"/>
          <w:lang w:val="es-ES"/>
        </w:rPr>
        <w:t xml:space="preserve">radicado interno No. </w:t>
      </w:r>
      <w:r w:rsidRPr="00B6469F">
        <w:rPr>
          <w:rFonts w:ascii="Verdana" w:eastAsia="Calibri" w:hAnsi="Verdana" w:cs="Arial"/>
          <w:bCs/>
          <w:lang w:val="es-ES"/>
        </w:rPr>
        <w:t xml:space="preserve">2202013000003074–, </w:t>
      </w:r>
      <w:r w:rsidRPr="00B6469F">
        <w:rPr>
          <w:rFonts w:ascii="Verdana" w:eastAsia="Calibri" w:hAnsi="Verdana" w:cs="Arial"/>
          <w:lang w:val="es-ES"/>
        </w:rPr>
        <w:t>este es un acto jurídico independiente de los objetos contractuales a los que se refiere, el cual contiene decisiones relevantes para quienes aspiren a contratar con el Estado y tiene por finalidad informar a los potenciales proveedores de una estimación de las obras, bienes y servicios requeridos por cada entidad.</w:t>
      </w:r>
    </w:p>
    <w:p w14:paraId="47D23A8F" w14:textId="77777777" w:rsidR="00190A95" w:rsidRPr="00B6469F" w:rsidRDefault="00190A95" w:rsidP="00190A95">
      <w:pPr>
        <w:spacing w:after="120" w:line="276" w:lineRule="auto"/>
        <w:ind w:firstLine="709"/>
        <w:jc w:val="both"/>
        <w:rPr>
          <w:rStyle w:val="Textoennegrita"/>
          <w:rFonts w:ascii="Verdana" w:hAnsi="Verdana" w:cs="Arial"/>
          <w:b w:val="0"/>
          <w:bCs w:val="0"/>
        </w:rPr>
      </w:pPr>
      <w:r w:rsidRPr="00B6469F">
        <w:rPr>
          <w:rFonts w:ascii="Verdana" w:eastAsia="Calibri" w:hAnsi="Verdana" w:cs="Arial"/>
          <w:lang w:val="es-ES"/>
        </w:rPr>
        <w:lastRenderedPageBreak/>
        <w:t xml:space="preserve">En ese sentido, el Plan Anual de Adquisiciones no forma parte de la noción de </w:t>
      </w:r>
      <w:r w:rsidRPr="00B6469F">
        <w:rPr>
          <w:rFonts w:ascii="Verdana" w:eastAsia="Calibri" w:hAnsi="Verdana" w:cs="Arial"/>
          <w:i/>
          <w:iCs/>
          <w:lang w:val="es-ES"/>
        </w:rPr>
        <w:t xml:space="preserve">Documentos del Proceso, </w:t>
      </w:r>
      <w:r w:rsidRPr="00B6469F">
        <w:rPr>
          <w:rFonts w:ascii="Verdana" w:eastAsia="Calibri" w:hAnsi="Verdana" w:cs="Arial"/>
          <w:lang w:val="es-ES"/>
        </w:rPr>
        <w:t xml:space="preserve">ni hace parte del </w:t>
      </w:r>
      <w:r w:rsidRPr="00B6469F">
        <w:rPr>
          <w:rFonts w:ascii="Verdana" w:eastAsia="Calibri" w:hAnsi="Verdana" w:cs="Arial"/>
          <w:i/>
          <w:iCs/>
          <w:lang w:val="es-ES"/>
        </w:rPr>
        <w:t>Proce</w:t>
      </w:r>
      <w:r w:rsidRPr="00B6469F">
        <w:rPr>
          <w:rFonts w:ascii="Verdana" w:eastAsia="Calibri" w:hAnsi="Verdana" w:cs="Arial"/>
          <w:lang w:val="es-ES"/>
        </w:rPr>
        <w:t xml:space="preserve">so </w:t>
      </w:r>
      <w:r w:rsidRPr="00B6469F">
        <w:rPr>
          <w:rFonts w:ascii="Verdana" w:eastAsia="Calibri" w:hAnsi="Verdana" w:cs="Arial"/>
          <w:i/>
          <w:iCs/>
          <w:lang w:val="es-ES"/>
        </w:rPr>
        <w:t>de Contratación,</w:t>
      </w:r>
      <w:r w:rsidRPr="00B6469F">
        <w:rPr>
          <w:rFonts w:ascii="Verdana" w:eastAsia="Calibri" w:hAnsi="Verdana" w:cs="Arial"/>
          <w:lang w:val="es-ES"/>
        </w:rPr>
        <w:t xml:space="preserve"> conforme al artículo 2.2.1.1.1.3.1 del Decreto 1082 de 2015, por lo que el deber de publicarlo encuentra apoyo en normas distintas del artículo 2.2.1.1.1.7.1 </w:t>
      </w:r>
      <w:proofErr w:type="spellStart"/>
      <w:r w:rsidRPr="00B6469F">
        <w:rPr>
          <w:rFonts w:ascii="Verdana" w:eastAsia="Calibri" w:hAnsi="Verdana" w:cs="Arial"/>
          <w:i/>
          <w:iCs/>
          <w:lang w:val="es-ES"/>
        </w:rPr>
        <w:t>Ibídem</w:t>
      </w:r>
      <w:proofErr w:type="spellEnd"/>
      <w:r w:rsidRPr="00B6469F">
        <w:rPr>
          <w:rFonts w:ascii="Verdana" w:eastAsia="Calibri" w:hAnsi="Verdana" w:cs="Arial"/>
          <w:i/>
          <w:iCs/>
          <w:lang w:val="es-ES"/>
        </w:rPr>
        <w:t xml:space="preserve">. </w:t>
      </w:r>
      <w:r w:rsidRPr="00B6469F">
        <w:rPr>
          <w:rFonts w:ascii="Verdana" w:eastAsia="Calibri" w:hAnsi="Verdana" w:cs="Arial"/>
          <w:lang w:val="es-ES"/>
        </w:rPr>
        <w:t>Es el artículo 74 de la Ley 1474 de 2011</w:t>
      </w:r>
      <w:r w:rsidRPr="00B6469F">
        <w:rPr>
          <w:rStyle w:val="Refdenotaalpie"/>
          <w:rFonts w:ascii="Verdana" w:eastAsia="Calibri" w:hAnsi="Verdana" w:cs="Arial"/>
          <w:lang w:val="es-ES"/>
        </w:rPr>
        <w:footnoteReference w:id="17"/>
      </w:r>
      <w:r w:rsidRPr="00B6469F">
        <w:rPr>
          <w:rFonts w:ascii="Verdana" w:eastAsia="Calibri" w:hAnsi="Verdana" w:cs="Arial"/>
          <w:lang w:val="es-ES"/>
        </w:rPr>
        <w:t xml:space="preserve"> el que dispone que </w:t>
      </w:r>
      <w:r w:rsidRPr="00B6469F">
        <w:rPr>
          <w:rFonts w:ascii="Verdana" w:hAnsi="Verdana" w:cs="Arial"/>
          <w:lang w:val="es-ES"/>
        </w:rPr>
        <w:t xml:space="preserve">a más tardar el 31 de enero de cada año las entidades deben publicar, en su página web, el Plan de Acción para el año siguiente; y el artículo </w:t>
      </w:r>
      <w:r w:rsidRPr="00B6469F">
        <w:rPr>
          <w:rStyle w:val="Textoennegrita"/>
          <w:rFonts w:ascii="Verdana" w:hAnsi="Verdana" w:cs="Arial"/>
          <w:b w:val="0"/>
          <w:bCs w:val="0"/>
        </w:rPr>
        <w:t>2.2.1.1.1.4.3</w:t>
      </w:r>
      <w:r w:rsidRPr="00B6469F">
        <w:rPr>
          <w:rStyle w:val="Refdenotaalpie"/>
          <w:rFonts w:ascii="Verdana" w:hAnsi="Verdana" w:cs="Arial"/>
          <w:b/>
          <w:bCs/>
          <w:lang w:val="es-ES"/>
        </w:rPr>
        <w:footnoteReference w:id="18"/>
      </w:r>
      <w:r w:rsidRPr="00B6469F">
        <w:rPr>
          <w:rStyle w:val="Textoennegrita"/>
          <w:rFonts w:ascii="Verdana" w:hAnsi="Verdana" w:cs="Arial"/>
          <w:b w:val="0"/>
          <w:bCs w:val="0"/>
        </w:rPr>
        <w:t xml:space="preserve"> del Decreto 1082 de 2015 también exige publicarlo en la página web de la entidad y además en el SECOP; así como también lo indica el citado artículo 2.1.1.2.1.10 del Decreto 1081 de 2015.</w:t>
      </w:r>
    </w:p>
    <w:p w14:paraId="671D64F3" w14:textId="77777777" w:rsidR="00190A95" w:rsidRPr="00B6469F" w:rsidRDefault="00190A95" w:rsidP="00190A95">
      <w:pPr>
        <w:spacing w:after="120" w:line="276" w:lineRule="auto"/>
        <w:ind w:firstLine="709"/>
        <w:jc w:val="both"/>
        <w:rPr>
          <w:rFonts w:ascii="Verdana" w:hAnsi="Verdana" w:cs="Arial"/>
          <w:lang w:val="es-ES"/>
        </w:rPr>
      </w:pPr>
      <w:r w:rsidRPr="00B6469F">
        <w:rPr>
          <w:rStyle w:val="Textoennegrita"/>
          <w:rFonts w:ascii="Verdana" w:hAnsi="Verdana" w:cs="Arial"/>
          <w:b w:val="0"/>
          <w:bCs w:val="0"/>
        </w:rPr>
        <w:t xml:space="preserve">En conclusión, con base en los fundamentos normativos y argumentos expuestos, además del Plan Anual de Adquisiciones, las entidades estatales regidas por el EGCAP deberán publicar en SECOP, entre otros, los siguientes documentos expedidos con ocasión del </w:t>
      </w:r>
      <w:r w:rsidRPr="00B6469F">
        <w:rPr>
          <w:rStyle w:val="Textoennegrita"/>
          <w:rFonts w:ascii="Verdana" w:hAnsi="Verdana" w:cs="Arial"/>
          <w:b w:val="0"/>
          <w:bCs w:val="0"/>
          <w:i/>
          <w:iCs/>
        </w:rPr>
        <w:t>proceso de contratación</w:t>
      </w:r>
      <w:r w:rsidRPr="00B6469F">
        <w:rPr>
          <w:rStyle w:val="Textoennegrita"/>
          <w:rFonts w:ascii="Verdana" w:hAnsi="Verdana" w:cs="Arial"/>
          <w:b w:val="0"/>
          <w:bCs w:val="0"/>
        </w:rPr>
        <w:t xml:space="preserve">: i) el estudio de oportunidad y conveniencia; </w:t>
      </w:r>
      <w:proofErr w:type="spellStart"/>
      <w:r w:rsidRPr="00B6469F">
        <w:rPr>
          <w:rStyle w:val="Textoennegrita"/>
          <w:rFonts w:ascii="Verdana" w:hAnsi="Verdana" w:cs="Arial"/>
          <w:b w:val="0"/>
          <w:bCs w:val="0"/>
        </w:rPr>
        <w:t>ii</w:t>
      </w:r>
      <w:proofErr w:type="spellEnd"/>
      <w:r w:rsidRPr="00B6469F">
        <w:rPr>
          <w:rStyle w:val="Textoennegrita"/>
          <w:rFonts w:ascii="Verdana" w:hAnsi="Verdana" w:cs="Arial"/>
          <w:b w:val="0"/>
          <w:bCs w:val="0"/>
        </w:rPr>
        <w:t>)</w:t>
      </w:r>
      <w:r w:rsidRPr="00B6469F">
        <w:rPr>
          <w:rStyle w:val="Textoennegrita"/>
          <w:rFonts w:ascii="Verdana" w:hAnsi="Verdana" w:cs="Arial"/>
        </w:rPr>
        <w:t xml:space="preserve"> </w:t>
      </w:r>
      <w:r w:rsidRPr="00B6469F">
        <w:rPr>
          <w:rFonts w:ascii="Verdana" w:hAnsi="Verdana" w:cs="Arial"/>
          <w:lang w:val="es-ES"/>
        </w:rPr>
        <w:t xml:space="preserve">los estudios y documentos previos –técnicos o no–; </w:t>
      </w:r>
      <w:proofErr w:type="spellStart"/>
      <w:r w:rsidRPr="00B6469F">
        <w:rPr>
          <w:rFonts w:ascii="Verdana" w:hAnsi="Verdana" w:cs="Arial"/>
          <w:lang w:val="es-ES"/>
        </w:rPr>
        <w:t>iii</w:t>
      </w:r>
      <w:proofErr w:type="spellEnd"/>
      <w:r w:rsidRPr="00B6469F">
        <w:rPr>
          <w:rFonts w:ascii="Verdana" w:hAnsi="Verdana" w:cs="Arial"/>
          <w:lang w:val="es-ES"/>
        </w:rPr>
        <w:t xml:space="preserve">) el  aviso de convocatoria; </w:t>
      </w:r>
      <w:proofErr w:type="spellStart"/>
      <w:r w:rsidRPr="00B6469F">
        <w:rPr>
          <w:rFonts w:ascii="Verdana" w:hAnsi="Verdana" w:cs="Arial"/>
          <w:lang w:val="es-ES"/>
        </w:rPr>
        <w:t>iv</w:t>
      </w:r>
      <w:proofErr w:type="spellEnd"/>
      <w:r w:rsidRPr="00B6469F">
        <w:rPr>
          <w:rFonts w:ascii="Verdana" w:hAnsi="Verdana" w:cs="Arial"/>
          <w:lang w:val="es-ES"/>
        </w:rPr>
        <w:t xml:space="preserve">) el proyecto de pliego de condiciones y las observaciones que le formulen; v) el pliego de condiciones o la invitación, así como las observaciones que se les realicen; vi) las actas de la audiencia de asignación de riesgos; </w:t>
      </w:r>
      <w:proofErr w:type="spellStart"/>
      <w:r w:rsidRPr="00B6469F">
        <w:rPr>
          <w:rFonts w:ascii="Verdana" w:hAnsi="Verdana" w:cs="Arial"/>
          <w:lang w:val="es-ES"/>
        </w:rPr>
        <w:t>vii</w:t>
      </w:r>
      <w:proofErr w:type="spellEnd"/>
      <w:r w:rsidRPr="00B6469F">
        <w:rPr>
          <w:rFonts w:ascii="Verdana" w:hAnsi="Verdana" w:cs="Arial"/>
          <w:lang w:val="es-ES"/>
        </w:rPr>
        <w:t xml:space="preserve">) el acta de cierre del plazo para presentar ofertas; </w:t>
      </w:r>
      <w:proofErr w:type="spellStart"/>
      <w:r w:rsidRPr="00B6469F">
        <w:rPr>
          <w:rFonts w:ascii="Verdana" w:hAnsi="Verdana" w:cs="Arial"/>
          <w:lang w:val="es-ES"/>
        </w:rPr>
        <w:t>viii</w:t>
      </w:r>
      <w:proofErr w:type="spellEnd"/>
      <w:r w:rsidRPr="00B6469F">
        <w:rPr>
          <w:rFonts w:ascii="Verdana" w:hAnsi="Verdana" w:cs="Arial"/>
          <w:lang w:val="es-ES"/>
        </w:rPr>
        <w:t xml:space="preserve">) las adendas; </w:t>
      </w:r>
      <w:proofErr w:type="spellStart"/>
      <w:r w:rsidRPr="00B6469F">
        <w:rPr>
          <w:rFonts w:ascii="Verdana" w:hAnsi="Verdana" w:cs="Arial"/>
          <w:lang w:val="es-ES"/>
        </w:rPr>
        <w:t>ix</w:t>
      </w:r>
      <w:proofErr w:type="spellEnd"/>
      <w:r w:rsidRPr="00B6469F">
        <w:rPr>
          <w:rFonts w:ascii="Verdana" w:hAnsi="Verdana" w:cs="Arial"/>
          <w:lang w:val="es-ES"/>
        </w:rPr>
        <w:t xml:space="preserve">) en  procesos cuya publicación deba realizarse en SECOP I, la oferta del adjudicatario y las aclaraciones que se le realicen; x) el informe de precalificación y las observaciones que se formulen; xi) el informe de evaluación y las observaciones que se formulen; </w:t>
      </w:r>
      <w:proofErr w:type="spellStart"/>
      <w:r w:rsidRPr="00B6469F">
        <w:rPr>
          <w:rFonts w:ascii="Verdana" w:hAnsi="Verdana" w:cs="Arial"/>
          <w:lang w:val="es-ES"/>
        </w:rPr>
        <w:t>xii</w:t>
      </w:r>
      <w:proofErr w:type="spellEnd"/>
      <w:r w:rsidRPr="00B6469F">
        <w:rPr>
          <w:rFonts w:ascii="Verdana" w:hAnsi="Verdana" w:cs="Arial"/>
          <w:lang w:val="es-ES"/>
        </w:rPr>
        <w:t xml:space="preserve">) las respuestas a las observaciones; </w:t>
      </w:r>
      <w:proofErr w:type="spellStart"/>
      <w:r w:rsidRPr="00B6469F">
        <w:rPr>
          <w:rFonts w:ascii="Verdana" w:hAnsi="Verdana" w:cs="Arial"/>
          <w:lang w:val="es-ES"/>
        </w:rPr>
        <w:t>xiii</w:t>
      </w:r>
      <w:proofErr w:type="spellEnd"/>
      <w:r w:rsidRPr="00B6469F">
        <w:rPr>
          <w:rFonts w:ascii="Verdana" w:hAnsi="Verdana" w:cs="Arial"/>
          <w:lang w:val="es-ES"/>
        </w:rPr>
        <w:t xml:space="preserve">) el contrato y los otrosíes o modificaciones; </w:t>
      </w:r>
      <w:proofErr w:type="spellStart"/>
      <w:r w:rsidRPr="00B6469F">
        <w:rPr>
          <w:rFonts w:ascii="Verdana" w:hAnsi="Verdana" w:cs="Arial"/>
          <w:lang w:val="es-ES"/>
        </w:rPr>
        <w:t>xiv</w:t>
      </w:r>
      <w:proofErr w:type="spellEnd"/>
      <w:r w:rsidRPr="00B6469F">
        <w:rPr>
          <w:rFonts w:ascii="Verdana" w:hAnsi="Verdana" w:cs="Arial"/>
          <w:lang w:val="es-ES"/>
        </w:rPr>
        <w:t xml:space="preserve">) el acta de inicio; </w:t>
      </w:r>
      <w:proofErr w:type="spellStart"/>
      <w:r w:rsidRPr="00B6469F">
        <w:rPr>
          <w:rFonts w:ascii="Verdana" w:hAnsi="Verdana" w:cs="Arial"/>
          <w:lang w:val="es-ES"/>
        </w:rPr>
        <w:t>xv</w:t>
      </w:r>
      <w:proofErr w:type="spellEnd"/>
      <w:r w:rsidRPr="00B6469F">
        <w:rPr>
          <w:rFonts w:ascii="Verdana" w:hAnsi="Verdana" w:cs="Arial"/>
          <w:lang w:val="es-ES"/>
        </w:rPr>
        <w:t xml:space="preserve">) las garantías; </w:t>
      </w:r>
      <w:proofErr w:type="spellStart"/>
      <w:r w:rsidRPr="00B6469F">
        <w:rPr>
          <w:rFonts w:ascii="Verdana" w:hAnsi="Verdana" w:cs="Arial"/>
          <w:lang w:val="es-ES"/>
        </w:rPr>
        <w:t>xvi</w:t>
      </w:r>
      <w:proofErr w:type="spellEnd"/>
      <w:r w:rsidRPr="00B6469F">
        <w:rPr>
          <w:rFonts w:ascii="Verdana" w:hAnsi="Verdana" w:cs="Arial"/>
          <w:lang w:val="es-ES"/>
        </w:rPr>
        <w:t xml:space="preserve">) el acta de liquidación; </w:t>
      </w:r>
      <w:proofErr w:type="spellStart"/>
      <w:r w:rsidRPr="00B6469F">
        <w:rPr>
          <w:rFonts w:ascii="Verdana" w:hAnsi="Verdana" w:cs="Arial"/>
          <w:lang w:val="es-ES"/>
        </w:rPr>
        <w:t>xvii</w:t>
      </w:r>
      <w:proofErr w:type="spellEnd"/>
      <w:r w:rsidRPr="00B6469F">
        <w:rPr>
          <w:rFonts w:ascii="Verdana" w:hAnsi="Verdana" w:cs="Arial"/>
          <w:lang w:val="es-ES"/>
        </w:rPr>
        <w:t xml:space="preserve">) los actos administrativos expedidos con ocasión del procedimiento de selección o la ejecución del contrato, como las resoluciones de apertura, de adjudicación, las que se impongan multas, la cláusula penal o declaren la caducidad del contrato; </w:t>
      </w:r>
      <w:proofErr w:type="spellStart"/>
      <w:r w:rsidRPr="00B6469F">
        <w:rPr>
          <w:rFonts w:ascii="Verdana" w:hAnsi="Verdana" w:cs="Arial"/>
          <w:lang w:val="es-ES"/>
        </w:rPr>
        <w:t>xviii</w:t>
      </w:r>
      <w:proofErr w:type="spellEnd"/>
      <w:r w:rsidRPr="00B6469F">
        <w:rPr>
          <w:rFonts w:ascii="Verdana" w:hAnsi="Verdana" w:cs="Arial"/>
          <w:lang w:val="es-ES"/>
        </w:rPr>
        <w:t xml:space="preserve">) los documentos de los </w:t>
      </w:r>
      <w:r w:rsidRPr="00B6469F">
        <w:rPr>
          <w:rFonts w:ascii="Verdana" w:hAnsi="Verdana" w:cs="Arial"/>
          <w:lang w:val="es-ES"/>
        </w:rPr>
        <w:lastRenderedPageBreak/>
        <w:t xml:space="preserve">procesos por incumplimiento contractual que se lleven a cabo conforme al artículo 86 de la Ley 1474 de 2011, como la citación, las pruebas que se practiquen, la resolución que resuelve la actuación y demás documentos que se produzcan; </w:t>
      </w:r>
      <w:proofErr w:type="spellStart"/>
      <w:r w:rsidRPr="00B6469F">
        <w:rPr>
          <w:rFonts w:ascii="Verdana" w:hAnsi="Verdana" w:cs="Arial"/>
          <w:lang w:val="es-ES"/>
        </w:rPr>
        <w:t>ix</w:t>
      </w:r>
      <w:proofErr w:type="spellEnd"/>
      <w:r w:rsidRPr="00B6469F">
        <w:rPr>
          <w:rFonts w:ascii="Verdana" w:hAnsi="Verdana" w:cs="Arial"/>
          <w:lang w:val="es-ES"/>
        </w:rPr>
        <w:t xml:space="preserve">) las reclamaciones que presenten las partes y las respuestas que se expidan a las mismas; </w:t>
      </w:r>
      <w:proofErr w:type="spellStart"/>
      <w:r w:rsidRPr="00B6469F">
        <w:rPr>
          <w:rFonts w:ascii="Verdana" w:hAnsi="Verdana" w:cs="Arial"/>
          <w:lang w:val="es-ES"/>
        </w:rPr>
        <w:t>xx</w:t>
      </w:r>
      <w:proofErr w:type="spellEnd"/>
      <w:r w:rsidRPr="00B6469F">
        <w:rPr>
          <w:rFonts w:ascii="Verdana" w:hAnsi="Verdana" w:cs="Arial"/>
          <w:lang w:val="es-ES"/>
        </w:rPr>
        <w:t xml:space="preserve">) las actas de entrega o recibo, </w:t>
      </w:r>
      <w:proofErr w:type="spellStart"/>
      <w:r w:rsidRPr="00B6469F">
        <w:rPr>
          <w:rFonts w:ascii="Verdana" w:hAnsi="Verdana" w:cs="Arial"/>
          <w:lang w:val="es-ES"/>
        </w:rPr>
        <w:t>xxi</w:t>
      </w:r>
      <w:proofErr w:type="spellEnd"/>
      <w:r w:rsidRPr="00B6469F">
        <w:rPr>
          <w:rFonts w:ascii="Verdana" w:hAnsi="Verdana" w:cs="Arial"/>
          <w:lang w:val="es-ES"/>
        </w:rPr>
        <w:t xml:space="preserve">) los informes de supervisión y/o interventoría; </w:t>
      </w:r>
      <w:proofErr w:type="spellStart"/>
      <w:r w:rsidRPr="00B6469F">
        <w:rPr>
          <w:rFonts w:ascii="Verdana" w:hAnsi="Verdana" w:cs="Arial"/>
          <w:lang w:val="es-ES"/>
        </w:rPr>
        <w:t>xxii</w:t>
      </w:r>
      <w:proofErr w:type="spellEnd"/>
      <w:r w:rsidRPr="00B6469F">
        <w:rPr>
          <w:rFonts w:ascii="Verdana" w:hAnsi="Verdana" w:cs="Arial"/>
          <w:lang w:val="es-ES"/>
        </w:rPr>
        <w:t xml:space="preserve">) en cuanto a la ejecución, de conformidad con el artículo 2.1.1.2.1.8 de Decreto 1081 de 2015, deberán publicarse las aprobaciones, autorizaciones, requerimientos o informes del supervisor o del interventor, que prueben la ejecución del contrato; </w:t>
      </w:r>
      <w:proofErr w:type="spellStart"/>
      <w:r w:rsidRPr="00B6469F">
        <w:rPr>
          <w:rFonts w:ascii="Verdana" w:hAnsi="Verdana" w:cs="Arial"/>
          <w:lang w:val="es-ES"/>
        </w:rPr>
        <w:t>xxiii</w:t>
      </w:r>
      <w:proofErr w:type="spellEnd"/>
      <w:r w:rsidRPr="00B6469F">
        <w:rPr>
          <w:rFonts w:ascii="Verdana" w:hAnsi="Verdana" w:cs="Arial"/>
          <w:lang w:val="es-ES"/>
        </w:rPr>
        <w:t xml:space="preserve">) la liquidación unilateral; y </w:t>
      </w:r>
      <w:proofErr w:type="spellStart"/>
      <w:r w:rsidRPr="00B6469F">
        <w:rPr>
          <w:rFonts w:ascii="Verdana" w:hAnsi="Verdana" w:cs="Arial"/>
          <w:lang w:val="es-ES"/>
        </w:rPr>
        <w:t>xxiv</w:t>
      </w:r>
      <w:proofErr w:type="spellEnd"/>
      <w:r w:rsidRPr="00B6469F">
        <w:rPr>
          <w:rFonts w:ascii="Verdana" w:hAnsi="Verdana" w:cs="Arial"/>
          <w:lang w:val="es-ES"/>
        </w:rPr>
        <w:t xml:space="preserve">) en general cualquier otro documento producido o expedido con ocasión del </w:t>
      </w:r>
      <w:r w:rsidRPr="00B6469F">
        <w:rPr>
          <w:rFonts w:ascii="Verdana" w:hAnsi="Verdana" w:cs="Arial"/>
          <w:i/>
          <w:iCs/>
          <w:lang w:val="es-ES"/>
        </w:rPr>
        <w:t>Proceso de Contratación</w:t>
      </w:r>
      <w:r w:rsidRPr="00B6469F">
        <w:rPr>
          <w:rFonts w:ascii="Verdana" w:hAnsi="Verdana" w:cs="Arial"/>
          <w:lang w:val="es-ES"/>
        </w:rPr>
        <w:t>, sin importar quién sea su autor –la Administración o el contratista–, con excepción de los que pertenecen a</w:t>
      </w:r>
      <w:r w:rsidRPr="00B6469F">
        <w:rPr>
          <w:rFonts w:ascii="Verdana" w:eastAsia="Arial" w:hAnsi="Verdana" w:cs="Arial"/>
          <w:lang w:val="es-ES"/>
        </w:rPr>
        <w:t xml:space="preserve">l marco de operaciones de bolsa de productos, expresamente excluidos de publicación por el artículo 2.2.1.1.1.7.1. del Decreto 1082 de 2015. </w:t>
      </w:r>
    </w:p>
    <w:p w14:paraId="6DB6B8C8" w14:textId="110C99FC" w:rsidR="00190A95" w:rsidRPr="00B6469F" w:rsidRDefault="00190A95" w:rsidP="00190A95">
      <w:pPr>
        <w:spacing w:line="276" w:lineRule="auto"/>
        <w:ind w:firstLine="709"/>
        <w:jc w:val="both"/>
        <w:rPr>
          <w:rFonts w:ascii="Verdana" w:hAnsi="Verdana" w:cs="Arial"/>
          <w:lang w:val="es-ES"/>
        </w:rPr>
      </w:pPr>
      <w:r w:rsidRPr="00B6469F">
        <w:rPr>
          <w:rFonts w:ascii="Verdana" w:hAnsi="Verdana" w:cs="Arial"/>
          <w:lang w:val="es-ES"/>
        </w:rPr>
        <w:t>Sin perjuicio de lo anterior, no debe perderse de vista que en virtud del principio de transparencia, específicamente por cuenta de lo dispuesto en el numeral 4 del artículo 24 de la Ley 80 de 1993</w:t>
      </w:r>
      <w:r w:rsidRPr="00B6469F">
        <w:rPr>
          <w:rStyle w:val="Refdenotaalpie"/>
          <w:rFonts w:ascii="Verdana" w:hAnsi="Verdana" w:cs="Arial"/>
          <w:lang w:val="es-ES"/>
        </w:rPr>
        <w:footnoteReference w:id="19"/>
      </w:r>
      <w:r w:rsidRPr="00B6469F">
        <w:rPr>
          <w:rFonts w:ascii="Verdana" w:hAnsi="Verdana" w:cs="Arial"/>
          <w:lang w:val="es-ES"/>
        </w:rPr>
        <w:t>, así como por el principio de máxima publicidad establecido en el artículo 2 de la Ley 1712 de 2014</w:t>
      </w:r>
      <w:r w:rsidRPr="00B6469F">
        <w:rPr>
          <w:rStyle w:val="Refdenotaalpie"/>
          <w:rFonts w:ascii="Verdana" w:hAnsi="Verdana" w:cs="Arial"/>
          <w:lang w:val="es-ES"/>
        </w:rPr>
        <w:footnoteReference w:id="20"/>
      </w:r>
      <w:r w:rsidRPr="00B6469F">
        <w:rPr>
          <w:rFonts w:ascii="Verdana" w:hAnsi="Verdana" w:cs="Arial"/>
          <w:lang w:val="es-ES"/>
        </w:rPr>
        <w:t>, el contenido del expediente en el que reposa la actuación es información pública, independientemente de si se trata de documentos que deban  ser publicados en SECOP, razón por la que pueden ser objeto de solicitud de copias, en ejercicio del derecho de petición, en cualquier momento del proceso de selección, en la medida en que las normas señaladas no imponen ningún condicionamiento, así que podrán solicitarlas cualquier persona, dentro de lo que cabe la vigilancia de la contratación pública, cuestión que podría interesar a cualquier ciudadano</w:t>
      </w:r>
      <w:r w:rsidRPr="00B6469F">
        <w:rPr>
          <w:rStyle w:val="Refdenotaalpie"/>
          <w:rFonts w:ascii="Verdana" w:hAnsi="Verdana" w:cs="Arial"/>
          <w:lang w:val="es-ES"/>
        </w:rPr>
        <w:footnoteReference w:id="21"/>
      </w:r>
      <w:r w:rsidRPr="00B6469F">
        <w:rPr>
          <w:rFonts w:ascii="Verdana" w:hAnsi="Verdana" w:cs="Arial"/>
          <w:lang w:val="es-ES"/>
        </w:rPr>
        <w:t xml:space="preserve">. Esta posibilidad solo se encuentra limitada respecto de la documentación que tenga la calidad de reservada, que deberá someterse al tratamiento establecido </w:t>
      </w:r>
      <w:r w:rsidRPr="00B6469F">
        <w:rPr>
          <w:rFonts w:ascii="Verdana" w:hAnsi="Verdana" w:cs="Arial"/>
          <w:lang w:val="es-ES"/>
        </w:rPr>
        <w:lastRenderedPageBreak/>
        <w:t>en el artículo 36 del CPACA, en lo relativo a la formación de cuadernos separados</w:t>
      </w:r>
      <w:r w:rsidRPr="00B6469F">
        <w:rPr>
          <w:rFonts w:ascii="Verdana" w:hAnsi="Verdana" w:cs="Arial"/>
          <w:vertAlign w:val="superscript"/>
          <w:lang w:val="es-ES"/>
        </w:rPr>
        <w:footnoteReference w:id="22"/>
      </w:r>
      <w:r w:rsidRPr="00B6469F">
        <w:rPr>
          <w:rFonts w:ascii="Verdana" w:hAnsi="Verdana" w:cs="Arial"/>
          <w:lang w:val="es-ES"/>
        </w:rPr>
        <w:t>.</w:t>
      </w:r>
    </w:p>
    <w:p w14:paraId="32EF0A9D" w14:textId="77777777" w:rsidR="00380A7C" w:rsidRDefault="00A02135" w:rsidP="007F62EE">
      <w:pPr>
        <w:spacing w:after="120" w:line="276" w:lineRule="auto"/>
        <w:ind w:firstLine="709"/>
        <w:jc w:val="both"/>
        <w:rPr>
          <w:rFonts w:ascii="Verdana" w:eastAsia="Arial" w:hAnsi="Verdana" w:cs="Arial"/>
          <w:lang w:val="es-ES"/>
        </w:rPr>
      </w:pPr>
      <w:r w:rsidRPr="00B6469F">
        <w:rPr>
          <w:rFonts w:ascii="Verdana" w:hAnsi="Verdana" w:cs="Arial"/>
          <w:lang w:val="es-ES"/>
        </w:rPr>
        <w:t xml:space="preserve">En todo caso, es claro que </w:t>
      </w:r>
      <w:r w:rsidR="00D87D2E" w:rsidRPr="00B6469F">
        <w:rPr>
          <w:rFonts w:ascii="Verdana" w:hAnsi="Verdana" w:cs="Arial"/>
          <w:lang w:val="es-ES"/>
        </w:rPr>
        <w:t>el</w:t>
      </w:r>
      <w:r w:rsidRPr="00B6469F">
        <w:rPr>
          <w:rFonts w:ascii="Verdana" w:hAnsi="Verdana" w:cs="Arial"/>
          <w:lang w:val="es-ES"/>
        </w:rPr>
        <w:t xml:space="preserve"> </w:t>
      </w:r>
      <w:r w:rsidR="00C062B6" w:rsidRPr="00B6469F">
        <w:rPr>
          <w:rFonts w:ascii="Verdana" w:hAnsi="Verdana" w:cs="Arial"/>
          <w:lang w:val="es-ES"/>
        </w:rPr>
        <w:t>certificado</w:t>
      </w:r>
      <w:r w:rsidRPr="00B6469F">
        <w:rPr>
          <w:rFonts w:ascii="Verdana" w:hAnsi="Verdana" w:cs="Arial"/>
          <w:lang w:val="es-ES"/>
        </w:rPr>
        <w:t xml:space="preserve"> de </w:t>
      </w:r>
      <w:r w:rsidR="00B42C28" w:rsidRPr="00B6469F">
        <w:rPr>
          <w:rFonts w:ascii="Verdana" w:hAnsi="Verdana" w:cs="Arial"/>
          <w:lang w:val="es-ES"/>
        </w:rPr>
        <w:t>disponibilidad y el registro presupuestal</w:t>
      </w:r>
      <w:r w:rsidR="00823FB5" w:rsidRPr="00B6469F">
        <w:rPr>
          <w:rFonts w:ascii="Verdana" w:hAnsi="Verdana" w:cs="Arial"/>
          <w:lang w:val="es-ES"/>
        </w:rPr>
        <w:t>,</w:t>
      </w:r>
      <w:r w:rsidR="008564AB" w:rsidRPr="00B6469F">
        <w:rPr>
          <w:rFonts w:ascii="Verdana" w:hAnsi="Verdana" w:cs="Arial"/>
          <w:lang w:val="es-ES"/>
        </w:rPr>
        <w:t xml:space="preserve"> </w:t>
      </w:r>
      <w:r w:rsidR="00D0701C" w:rsidRPr="00B6469F">
        <w:rPr>
          <w:rFonts w:ascii="Verdana" w:hAnsi="Verdana" w:cs="Arial"/>
          <w:lang w:val="es-ES"/>
        </w:rPr>
        <w:t>son documentos que</w:t>
      </w:r>
      <w:r w:rsidR="008564AB" w:rsidRPr="00B6469F">
        <w:rPr>
          <w:rFonts w:ascii="Verdana" w:hAnsi="Verdana" w:cs="Arial"/>
          <w:lang w:val="es-ES"/>
        </w:rPr>
        <w:t xml:space="preserve"> se expiden de conformidad con el artículo 71 del De</w:t>
      </w:r>
      <w:r w:rsidR="00AE488F" w:rsidRPr="00B6469F">
        <w:rPr>
          <w:rFonts w:ascii="Verdana" w:hAnsi="Verdana" w:cs="Arial"/>
          <w:lang w:val="es-ES"/>
        </w:rPr>
        <w:t>c</w:t>
      </w:r>
      <w:r w:rsidR="00391754" w:rsidRPr="00B6469F">
        <w:rPr>
          <w:rFonts w:ascii="Verdana" w:hAnsi="Verdana" w:cs="Arial"/>
          <w:lang w:val="es-ES"/>
        </w:rPr>
        <w:t>reto 111 de 1996</w:t>
      </w:r>
      <w:r w:rsidR="005D32F6" w:rsidRPr="00B6469F">
        <w:rPr>
          <w:rFonts w:ascii="Verdana" w:hAnsi="Verdana" w:cs="Arial"/>
          <w:lang w:val="es-ES"/>
        </w:rPr>
        <w:t xml:space="preserve">, </w:t>
      </w:r>
      <w:r w:rsidR="00F2295A" w:rsidRPr="00B6469F">
        <w:rPr>
          <w:rFonts w:ascii="Verdana" w:hAnsi="Verdana" w:cs="Arial"/>
          <w:lang w:val="es-ES"/>
        </w:rPr>
        <w:t>en aras de garantizar la apropiación de recursos que se requiere para la ejecución de</w:t>
      </w:r>
      <w:r w:rsidR="00D0701C" w:rsidRPr="00B6469F">
        <w:rPr>
          <w:rFonts w:ascii="Verdana" w:hAnsi="Verdana" w:cs="Arial"/>
          <w:lang w:val="es-ES"/>
        </w:rPr>
        <w:t xml:space="preserve"> </w:t>
      </w:r>
      <w:r w:rsidR="00F2295A" w:rsidRPr="00B6469F">
        <w:rPr>
          <w:rFonts w:ascii="Verdana" w:hAnsi="Verdana" w:cs="Arial"/>
          <w:lang w:val="es-ES"/>
        </w:rPr>
        <w:t>l</w:t>
      </w:r>
      <w:r w:rsidR="00D0701C" w:rsidRPr="00B6469F">
        <w:rPr>
          <w:rFonts w:ascii="Verdana" w:hAnsi="Verdana" w:cs="Arial"/>
          <w:lang w:val="es-ES"/>
        </w:rPr>
        <w:t>os</w:t>
      </w:r>
      <w:r w:rsidR="00F2295A" w:rsidRPr="00B6469F">
        <w:rPr>
          <w:rFonts w:ascii="Verdana" w:hAnsi="Verdana" w:cs="Arial"/>
          <w:lang w:val="es-ES"/>
        </w:rPr>
        <w:t xml:space="preserve"> contrato</w:t>
      </w:r>
      <w:r w:rsidR="00D0701C" w:rsidRPr="00B6469F">
        <w:rPr>
          <w:rFonts w:ascii="Verdana" w:hAnsi="Verdana" w:cs="Arial"/>
          <w:lang w:val="es-ES"/>
        </w:rPr>
        <w:t>s,</w:t>
      </w:r>
      <w:r w:rsidR="001E41D4" w:rsidRPr="00B6469F">
        <w:rPr>
          <w:rFonts w:ascii="Verdana" w:hAnsi="Verdana" w:cs="Arial"/>
          <w:lang w:val="es-ES"/>
        </w:rPr>
        <w:t xml:space="preserve"> </w:t>
      </w:r>
      <w:r w:rsidR="00823FB5" w:rsidRPr="00B6469F">
        <w:rPr>
          <w:rFonts w:ascii="Verdana" w:hAnsi="Verdana" w:cs="Arial"/>
          <w:lang w:val="es-ES"/>
        </w:rPr>
        <w:t xml:space="preserve">en </w:t>
      </w:r>
      <w:r w:rsidR="00500B69" w:rsidRPr="00B6469F">
        <w:rPr>
          <w:rFonts w:ascii="Verdana" w:hAnsi="Verdana" w:cs="Arial"/>
          <w:lang w:val="es-ES"/>
        </w:rPr>
        <w:t>cumplimiento</w:t>
      </w:r>
      <w:r w:rsidR="00823FB5" w:rsidRPr="00B6469F">
        <w:rPr>
          <w:rFonts w:ascii="Verdana" w:hAnsi="Verdana" w:cs="Arial"/>
          <w:lang w:val="es-ES"/>
        </w:rPr>
        <w:t xml:space="preserve"> del </w:t>
      </w:r>
      <w:r w:rsidR="00500B69" w:rsidRPr="00B6469F">
        <w:rPr>
          <w:rFonts w:ascii="Verdana" w:hAnsi="Verdana" w:cs="Arial"/>
          <w:lang w:val="es-ES"/>
        </w:rPr>
        <w:t>segundo inciso del artículo 41 de la Ley 80 de 1993</w:t>
      </w:r>
      <w:r w:rsidR="00D0701C" w:rsidRPr="00B6469F">
        <w:rPr>
          <w:rFonts w:ascii="Verdana" w:hAnsi="Verdana" w:cs="Arial"/>
          <w:lang w:val="es-ES"/>
        </w:rPr>
        <w:t>. Esto significa que</w:t>
      </w:r>
      <w:r w:rsidR="00AF3F3E" w:rsidRPr="00B6469F">
        <w:rPr>
          <w:rFonts w:ascii="Verdana" w:hAnsi="Verdana" w:cs="Arial"/>
          <w:lang w:val="es-ES"/>
        </w:rPr>
        <w:t xml:space="preserve"> dichos documentos</w:t>
      </w:r>
      <w:r w:rsidR="00380A7C">
        <w:rPr>
          <w:rFonts w:ascii="Verdana" w:hAnsi="Verdana" w:cs="Arial"/>
          <w:lang w:val="es-ES"/>
        </w:rPr>
        <w:t>,</w:t>
      </w:r>
      <w:r w:rsidR="00342216">
        <w:rPr>
          <w:rFonts w:ascii="Verdana" w:hAnsi="Verdana" w:cs="Arial"/>
          <w:lang w:val="es-ES"/>
        </w:rPr>
        <w:t xml:space="preserve"> en tanto son expedidos por la Entidad Estatal </w:t>
      </w:r>
      <w:r w:rsidR="00C93D28">
        <w:rPr>
          <w:rFonts w:ascii="Verdana" w:hAnsi="Verdana" w:cs="Arial"/>
          <w:lang w:val="es-ES"/>
        </w:rPr>
        <w:t xml:space="preserve">durante y con ocasión del Proceso de Contratación, </w:t>
      </w:r>
      <w:r w:rsidR="00AF3F3E" w:rsidRPr="00B6469F">
        <w:rPr>
          <w:rFonts w:ascii="Verdana" w:hAnsi="Verdana" w:cs="Arial"/>
          <w:lang w:val="es-ES"/>
        </w:rPr>
        <w:t xml:space="preserve">están cobijados por la definición de </w:t>
      </w:r>
      <w:r w:rsidR="00500B69" w:rsidRPr="00B6469F">
        <w:rPr>
          <w:rFonts w:ascii="Verdana" w:hAnsi="Verdana" w:cs="Arial"/>
          <w:lang w:val="es-ES"/>
        </w:rPr>
        <w:t xml:space="preserve">Documentos del Proceso </w:t>
      </w:r>
      <w:r w:rsidR="00AF3F3E" w:rsidRPr="00B6469F">
        <w:rPr>
          <w:rFonts w:ascii="Verdana" w:hAnsi="Verdana" w:cs="Arial"/>
          <w:lang w:val="es-ES"/>
        </w:rPr>
        <w:t xml:space="preserve">establecida por </w:t>
      </w:r>
      <w:r w:rsidR="00500B69" w:rsidRPr="00B6469F">
        <w:rPr>
          <w:rFonts w:ascii="Verdana" w:hAnsi="Verdana" w:cs="Arial"/>
          <w:lang w:val="es-ES"/>
        </w:rPr>
        <w:t xml:space="preserve">el artículo </w:t>
      </w:r>
      <w:r w:rsidR="00500B69" w:rsidRPr="00B6469F">
        <w:rPr>
          <w:rFonts w:ascii="Verdana" w:eastAsia="Calibri" w:hAnsi="Verdana" w:cs="Arial"/>
          <w:lang w:val="es-ES"/>
        </w:rPr>
        <w:t>2.2.1.1.1.3.1</w:t>
      </w:r>
      <w:r w:rsidR="00AF3F3E" w:rsidRPr="00B6469F">
        <w:rPr>
          <w:rFonts w:ascii="Verdana" w:eastAsia="Calibri" w:hAnsi="Verdana" w:cs="Arial"/>
          <w:lang w:val="es-ES"/>
        </w:rPr>
        <w:t xml:space="preserve"> Decreto 1082 de 2015, por lo que las Entidades Esta</w:t>
      </w:r>
      <w:r w:rsidR="00783E4F" w:rsidRPr="00B6469F">
        <w:rPr>
          <w:rFonts w:ascii="Verdana" w:eastAsia="Calibri" w:hAnsi="Verdana" w:cs="Arial"/>
          <w:lang w:val="es-ES"/>
        </w:rPr>
        <w:t xml:space="preserve">tales </w:t>
      </w:r>
      <w:r w:rsidR="0082144A" w:rsidRPr="00B6469F">
        <w:rPr>
          <w:rFonts w:ascii="Verdana" w:eastAsia="Calibri" w:hAnsi="Verdana" w:cs="Arial"/>
          <w:lang w:val="es-ES"/>
        </w:rPr>
        <w:t>deben publicarlos de confo</w:t>
      </w:r>
      <w:r w:rsidR="007F62EE" w:rsidRPr="00B6469F">
        <w:rPr>
          <w:rFonts w:ascii="Verdana" w:eastAsia="Calibri" w:hAnsi="Verdana" w:cs="Arial"/>
          <w:lang w:val="es-ES"/>
        </w:rPr>
        <w:t xml:space="preserve">rmidad con el artículo </w:t>
      </w:r>
      <w:r w:rsidR="007F62EE" w:rsidRPr="00B6469F">
        <w:rPr>
          <w:rFonts w:ascii="Verdana" w:eastAsia="Arial" w:hAnsi="Verdana" w:cs="Arial"/>
          <w:lang w:val="es-ES"/>
        </w:rPr>
        <w:t>2.2.1.1.1.7.1</w:t>
      </w:r>
      <w:r w:rsidR="00380A7C">
        <w:rPr>
          <w:rFonts w:ascii="Verdana" w:eastAsia="Arial" w:hAnsi="Verdana" w:cs="Arial"/>
          <w:lang w:val="es-ES"/>
        </w:rPr>
        <w:t xml:space="preserve"> de dicho decreto. </w:t>
      </w:r>
    </w:p>
    <w:p w14:paraId="5447091A" w14:textId="5F82AB35" w:rsidR="007F62EE" w:rsidRPr="00B6469F" w:rsidRDefault="00342216" w:rsidP="007F62EE">
      <w:pPr>
        <w:spacing w:after="120" w:line="276" w:lineRule="auto"/>
        <w:ind w:firstLine="709"/>
        <w:jc w:val="both"/>
        <w:rPr>
          <w:rFonts w:ascii="Verdana" w:hAnsi="Verdana" w:cs="Arial"/>
          <w:lang w:val="es-ES"/>
        </w:rPr>
      </w:pPr>
      <w:r>
        <w:rPr>
          <w:rFonts w:ascii="Verdana" w:eastAsia="Arial" w:hAnsi="Verdana" w:cs="Arial"/>
          <w:lang w:val="es-ES"/>
        </w:rPr>
        <w:t xml:space="preserve"> </w:t>
      </w:r>
      <w:r w:rsidR="007F62EE" w:rsidRPr="00B6469F">
        <w:rPr>
          <w:rFonts w:ascii="Verdana" w:eastAsia="Arial" w:hAnsi="Verdana" w:cs="Arial"/>
          <w:lang w:val="es-ES"/>
        </w:rPr>
        <w:t xml:space="preserve"> </w:t>
      </w:r>
    </w:p>
    <w:p w14:paraId="4FD7F6AE" w14:textId="77777777" w:rsidR="007C4615" w:rsidRPr="00B6469F" w:rsidRDefault="007C4615" w:rsidP="007C4615">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B6469F">
        <w:rPr>
          <w:rFonts w:ascii="Verdana" w:eastAsia="Century Gothic" w:hAnsi="Verdana" w:cs="Century Gothic"/>
          <w:b/>
          <w:bCs/>
          <w:lang w:val="es-ES"/>
        </w:rPr>
        <w:t>Referencias normativas, jurisprudenciales y otras fuentes:</w:t>
      </w:r>
    </w:p>
    <w:p w14:paraId="2B1F5132" w14:textId="77777777" w:rsidR="007C4615" w:rsidRPr="00B6469F" w:rsidRDefault="007C4615" w:rsidP="007C4615">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7C4615" w:rsidRPr="00B6469F" w14:paraId="0EF11457" w14:textId="77777777" w:rsidTr="005B1FA7">
        <w:trPr>
          <w:trHeight w:val="870"/>
        </w:trPr>
        <w:tc>
          <w:tcPr>
            <w:tcW w:w="8647" w:type="dxa"/>
          </w:tcPr>
          <w:p w14:paraId="6B7AB8CA" w14:textId="77777777" w:rsidR="007C4615" w:rsidRPr="00B6469F" w:rsidRDefault="007C4615" w:rsidP="007C4615">
            <w:pPr>
              <w:pStyle w:val="Prrafodelista"/>
              <w:numPr>
                <w:ilvl w:val="0"/>
                <w:numId w:val="17"/>
              </w:numPr>
              <w:rPr>
                <w:rFonts w:ascii="Verdana" w:eastAsia="Calibri" w:hAnsi="Verdana" w:cs="Arial"/>
                <w:shd w:val="clear" w:color="auto" w:fill="FFFFFF"/>
                <w:lang w:val="es-CO"/>
              </w:rPr>
            </w:pPr>
            <w:r w:rsidRPr="00B6469F">
              <w:rPr>
                <w:rFonts w:ascii="Verdana" w:eastAsia="Calibri" w:hAnsi="Verdana" w:cs="Arial"/>
                <w:shd w:val="clear" w:color="auto" w:fill="FFFFFF"/>
                <w:lang w:val="es-CO"/>
              </w:rPr>
              <w:t>Ley 80 de 1993, articulo 24</w:t>
            </w:r>
          </w:p>
          <w:p w14:paraId="5E0FFE1D" w14:textId="77777777" w:rsidR="007C4615" w:rsidRPr="00B6469F" w:rsidRDefault="007C4615" w:rsidP="005B1FA7">
            <w:pPr>
              <w:pStyle w:val="Prrafodelista"/>
              <w:ind w:left="644"/>
              <w:rPr>
                <w:rFonts w:ascii="Verdana" w:eastAsia="Calibri" w:hAnsi="Verdana" w:cs="Arial"/>
                <w:shd w:val="clear" w:color="auto" w:fill="FFFFFF"/>
                <w:lang w:val="es-CO"/>
              </w:rPr>
            </w:pPr>
          </w:p>
          <w:p w14:paraId="26948B8F" w14:textId="77777777" w:rsidR="007C4615" w:rsidRPr="00B6469F" w:rsidRDefault="007C4615" w:rsidP="007C4615">
            <w:pPr>
              <w:pStyle w:val="Prrafodelista"/>
              <w:numPr>
                <w:ilvl w:val="0"/>
                <w:numId w:val="17"/>
              </w:numPr>
              <w:rPr>
                <w:rFonts w:ascii="Verdana" w:eastAsia="Calibri" w:hAnsi="Verdana" w:cs="Arial"/>
                <w:shd w:val="clear" w:color="auto" w:fill="FFFFFF"/>
                <w:lang w:val="es-CO"/>
              </w:rPr>
            </w:pPr>
            <w:r w:rsidRPr="00B6469F">
              <w:rPr>
                <w:rFonts w:ascii="Verdana" w:eastAsia="Calibri" w:hAnsi="Verdana" w:cs="Arial"/>
                <w:shd w:val="clear" w:color="auto" w:fill="FFFFFF"/>
                <w:lang w:val="es-CO"/>
              </w:rPr>
              <w:t>Ley 527 de 1999</w:t>
            </w:r>
          </w:p>
          <w:p w14:paraId="2BBAAB71" w14:textId="77777777" w:rsidR="007C4615" w:rsidRPr="00B6469F" w:rsidRDefault="007C4615" w:rsidP="005B1FA7">
            <w:pPr>
              <w:rPr>
                <w:rFonts w:ascii="Verdana" w:eastAsia="Calibri" w:hAnsi="Verdana" w:cs="Arial"/>
                <w:shd w:val="clear" w:color="auto" w:fill="FFFFFF"/>
              </w:rPr>
            </w:pPr>
          </w:p>
          <w:p w14:paraId="334FD442" w14:textId="77777777" w:rsidR="007C4615" w:rsidRPr="00B6469F" w:rsidRDefault="007C4615" w:rsidP="007C4615">
            <w:pPr>
              <w:pStyle w:val="Prrafodelista"/>
              <w:numPr>
                <w:ilvl w:val="0"/>
                <w:numId w:val="17"/>
              </w:numPr>
              <w:rPr>
                <w:rFonts w:ascii="Verdana" w:eastAsia="Calibri" w:hAnsi="Verdana" w:cs="Arial"/>
                <w:shd w:val="clear" w:color="auto" w:fill="FFFFFF"/>
                <w:lang w:val="es-CO"/>
              </w:rPr>
            </w:pPr>
            <w:r w:rsidRPr="00B6469F">
              <w:rPr>
                <w:rFonts w:ascii="Verdana" w:eastAsia="Calibri" w:hAnsi="Verdana" w:cs="Arial"/>
                <w:shd w:val="clear" w:color="auto" w:fill="FFFFFF"/>
                <w:lang w:val="es-CO"/>
              </w:rPr>
              <w:t>Ley 1150 de 2007</w:t>
            </w:r>
          </w:p>
          <w:p w14:paraId="188EC963" w14:textId="77777777" w:rsidR="007C4615" w:rsidRPr="00B6469F" w:rsidRDefault="007C4615" w:rsidP="005B1FA7">
            <w:pPr>
              <w:rPr>
                <w:rFonts w:ascii="Verdana" w:eastAsia="Calibri" w:hAnsi="Verdana" w:cs="Arial"/>
                <w:shd w:val="clear" w:color="auto" w:fill="FFFFFF"/>
              </w:rPr>
            </w:pPr>
          </w:p>
          <w:p w14:paraId="38D09389" w14:textId="77777777" w:rsidR="007C4615" w:rsidRPr="00B6469F" w:rsidRDefault="007C4615" w:rsidP="007C4615">
            <w:pPr>
              <w:pStyle w:val="Prrafodelista"/>
              <w:numPr>
                <w:ilvl w:val="0"/>
                <w:numId w:val="17"/>
              </w:numPr>
              <w:rPr>
                <w:rFonts w:ascii="Verdana" w:eastAsia="Calibri" w:hAnsi="Verdana" w:cs="Arial"/>
                <w:shd w:val="clear" w:color="auto" w:fill="FFFFFF"/>
                <w:lang w:val="es-CO"/>
              </w:rPr>
            </w:pPr>
            <w:r w:rsidRPr="00B6469F">
              <w:rPr>
                <w:rFonts w:ascii="Verdana" w:eastAsia="Calibri" w:hAnsi="Verdana" w:cs="Arial"/>
                <w:shd w:val="clear" w:color="auto" w:fill="FFFFFF"/>
                <w:lang w:val="es-CO"/>
              </w:rPr>
              <w:t>Decreto 1082 de 2015, articulo 2.2.1.1.1.7.1</w:t>
            </w:r>
          </w:p>
          <w:p w14:paraId="34B8CDEE" w14:textId="77777777" w:rsidR="007C4615" w:rsidRPr="00B6469F" w:rsidRDefault="007C4615" w:rsidP="005B1FA7">
            <w:pPr>
              <w:pStyle w:val="Prrafodelista"/>
              <w:ind w:left="644"/>
              <w:rPr>
                <w:rFonts w:ascii="Verdana" w:eastAsia="Calibri" w:hAnsi="Verdana" w:cs="Arial"/>
                <w:shd w:val="clear" w:color="auto" w:fill="FFFFFF"/>
                <w:lang w:val="es-CO"/>
              </w:rPr>
            </w:pPr>
          </w:p>
          <w:p w14:paraId="30C0F12A" w14:textId="77777777" w:rsidR="007C4615" w:rsidRPr="00B6469F" w:rsidRDefault="007C4615" w:rsidP="007C4615">
            <w:pPr>
              <w:pStyle w:val="Prrafodelista"/>
              <w:numPr>
                <w:ilvl w:val="0"/>
                <w:numId w:val="17"/>
              </w:numPr>
              <w:rPr>
                <w:rFonts w:ascii="Verdana" w:eastAsia="Calibri" w:hAnsi="Verdana" w:cs="Arial"/>
                <w:shd w:val="clear" w:color="auto" w:fill="FFFFFF"/>
                <w:lang w:val="es-CO"/>
              </w:rPr>
            </w:pPr>
            <w:r w:rsidRPr="00B6469F">
              <w:rPr>
                <w:rFonts w:ascii="Verdana" w:eastAsia="Calibri" w:hAnsi="Verdana" w:cs="Arial"/>
                <w:shd w:val="clear" w:color="auto" w:fill="FFFFFF"/>
                <w:lang w:val="es-CO"/>
              </w:rPr>
              <w:t>Decreto 111 de 1996, articulo 71</w:t>
            </w:r>
          </w:p>
          <w:p w14:paraId="74F09998" w14:textId="77777777" w:rsidR="007C4615" w:rsidRPr="00B6469F" w:rsidRDefault="007C4615" w:rsidP="005B1FA7">
            <w:pPr>
              <w:rPr>
                <w:rFonts w:ascii="Verdana" w:eastAsia="Calibri" w:hAnsi="Verdana" w:cs="Arial"/>
                <w:shd w:val="clear" w:color="auto" w:fill="FFFFFF"/>
              </w:rPr>
            </w:pPr>
          </w:p>
          <w:p w14:paraId="5C029554" w14:textId="00E05B78" w:rsidR="007C4615" w:rsidRPr="00B6469F" w:rsidRDefault="007C4615">
            <w:pPr>
              <w:pStyle w:val="Prrafodelista"/>
              <w:numPr>
                <w:ilvl w:val="0"/>
                <w:numId w:val="17"/>
              </w:numPr>
              <w:rPr>
                <w:rFonts w:ascii="Verdana" w:eastAsia="Calibri" w:hAnsi="Verdana" w:cs="Arial"/>
                <w:shd w:val="clear" w:color="auto" w:fill="FFFFFF"/>
                <w:lang w:val="es-CO"/>
              </w:rPr>
            </w:pPr>
            <w:r w:rsidRPr="00B6469F">
              <w:rPr>
                <w:rFonts w:ascii="Verdana" w:eastAsia="Calibri" w:hAnsi="Verdana" w:cs="Arial"/>
                <w:shd w:val="clear" w:color="auto" w:fill="FFFFFF"/>
                <w:lang w:val="es-CO"/>
              </w:rPr>
              <w:t>Decreto 1068 de 2015, articulo 2.8.1.7.2</w:t>
            </w:r>
          </w:p>
          <w:p w14:paraId="6A27ABA7" w14:textId="65BE63C8" w:rsidR="007C4615" w:rsidRPr="00B6469F" w:rsidRDefault="007C4615" w:rsidP="00B6469F">
            <w:pPr>
              <w:pStyle w:val="Prrafodelista"/>
              <w:ind w:left="644"/>
              <w:rPr>
                <w:rFonts w:ascii="Verdana" w:hAnsi="Verdana"/>
                <w:lang w:val="es-MX"/>
              </w:rPr>
            </w:pPr>
          </w:p>
        </w:tc>
      </w:tr>
    </w:tbl>
    <w:p w14:paraId="51A60BF2" w14:textId="77777777" w:rsidR="007C4615" w:rsidRPr="00B6469F" w:rsidRDefault="007C4615" w:rsidP="007C4615">
      <w:pPr>
        <w:widowControl w:val="0"/>
        <w:autoSpaceDE w:val="0"/>
        <w:autoSpaceDN w:val="0"/>
        <w:spacing w:after="0" w:line="276" w:lineRule="auto"/>
        <w:jc w:val="both"/>
        <w:rPr>
          <w:rFonts w:ascii="Verdana" w:hAnsi="Verdana" w:cs="Arial"/>
        </w:rPr>
      </w:pPr>
    </w:p>
    <w:p w14:paraId="6A25218C" w14:textId="77777777" w:rsidR="007C4615" w:rsidRPr="00B6469F" w:rsidRDefault="007C4615" w:rsidP="007C4615">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B6469F">
        <w:rPr>
          <w:rFonts w:ascii="Verdana" w:eastAsia="Century Gothic" w:hAnsi="Verdana" w:cs="Century Gothic"/>
          <w:b/>
          <w:bCs/>
          <w:lang w:val="es-ES"/>
        </w:rPr>
        <w:t>Doctrina de la Agencia Nacional de Contratación Pública:</w:t>
      </w:r>
    </w:p>
    <w:p w14:paraId="2D84E182" w14:textId="77777777" w:rsidR="007C4615" w:rsidRPr="00B6469F" w:rsidRDefault="007C4615" w:rsidP="007C4615">
      <w:pPr>
        <w:widowControl w:val="0"/>
        <w:autoSpaceDE w:val="0"/>
        <w:autoSpaceDN w:val="0"/>
        <w:spacing w:after="0" w:line="276" w:lineRule="auto"/>
        <w:jc w:val="both"/>
        <w:rPr>
          <w:rFonts w:ascii="Verdana" w:hAnsi="Verdana" w:cs="Arial"/>
        </w:rPr>
      </w:pPr>
    </w:p>
    <w:p w14:paraId="7984A058" w14:textId="06E2FDDB" w:rsidR="007C4615" w:rsidRPr="00B6469F" w:rsidRDefault="007C4615" w:rsidP="007C4615">
      <w:pPr>
        <w:widowControl w:val="0"/>
        <w:autoSpaceDE w:val="0"/>
        <w:autoSpaceDN w:val="0"/>
        <w:spacing w:after="0" w:line="276" w:lineRule="auto"/>
        <w:jc w:val="both"/>
        <w:rPr>
          <w:rFonts w:ascii="Verdana" w:eastAsia="Calibri" w:hAnsi="Verdana" w:cs="Arial"/>
          <w:shd w:val="clear" w:color="auto" w:fill="FFFFFF"/>
          <w:lang w:val="es-ES"/>
        </w:rPr>
      </w:pPr>
      <w:r w:rsidRPr="00B6469F">
        <w:rPr>
          <w:rFonts w:ascii="Verdana" w:eastAsia="Calibri" w:hAnsi="Verdana" w:cs="Arial"/>
          <w:shd w:val="clear" w:color="auto" w:fill="FFFFFF"/>
          <w:lang w:val="es-ES"/>
        </w:rPr>
        <w:t xml:space="preserve">Sobre la disponibilidad y registro  presupuestal esta subdirección se ha </w:t>
      </w:r>
      <w:r w:rsidRPr="00B6469F">
        <w:rPr>
          <w:rFonts w:ascii="Verdana" w:eastAsia="Calibri" w:hAnsi="Verdana" w:cs="Arial"/>
          <w:shd w:val="clear" w:color="auto" w:fill="FFFFFF"/>
          <w:lang w:val="es-ES"/>
        </w:rPr>
        <w:lastRenderedPageBreak/>
        <w:t xml:space="preserve">pronunciado en los conceptos C- 075 del 16 de marzo de 2021, C- 552 del 01 de agosto de 2022, C- 047 del 01 de junio de 2023 y  C- 090 del 12 de junio de 2024 y en lo relacionado con el deber de publicidad, esta agencia se ha pronunciado en los siguientes conceptos: </w:t>
      </w:r>
      <w:r w:rsidRPr="00B6469F">
        <w:rPr>
          <w:rFonts w:ascii="Verdana" w:eastAsia="Times New Roman" w:hAnsi="Verdana" w:cs="Arial"/>
          <w:color w:val="000000" w:themeColor="text1"/>
          <w:lang w:val="es-ES" w:eastAsia="es-ES"/>
        </w:rPr>
        <w:t>CU-003 del 15 de enero de 2020, 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C-472 del 6 de septiembre de 2021, C-074 del 10 de marzo de 2022, C-083 del 18 de marzo de 2022, C-135 del 28 de marzo de 2022, C-332 del 24 de mayo de 2022, C-337 del 25 de mayo de 2022, C-355 del 2 de junio de 2022, C-379 del 22 de junio de 2022 y algunos otros. De igual manera, esta Subdirección se ha referido al alcance de lo dispuesto en el artículo 53 de la Ley 2195 de 2022 en los conceptos C-049 del 7 de marzo de 2022, C-120 del 22 de marzo de 2022, C-124 del 22 de marzo de 2022, C-132 del 28 de marzo de 2022, C-337 del 25 de mayo de 2022, C-348 del 13 de junio de 2022, C-357 del 13 de junio de 2022, C-422 del 13 de julio de 2022, C-475 del 26 de julio de 2022, C-480 del 18 de julio de 2022, C-492 del 2 de agosto de 2022, C-495 del 2 de agosto de 2022, C-510 del 8 de agosto de 2022, C-508 de 30 de agosto de 2022, C-457 del 24 de octubre de 2023 y  C-460 del 30 de noviembre de 2023</w:t>
      </w:r>
      <w:r w:rsidRPr="00B6469F">
        <w:rPr>
          <w:rFonts w:ascii="Verdana" w:eastAsia="Calibri" w:hAnsi="Verdana" w:cs="Arial"/>
          <w:shd w:val="clear" w:color="auto" w:fill="FFFFFF"/>
          <w:lang w:val="es-ES_tradnl"/>
        </w:rPr>
        <w:t>. Algunas de las consideraciones de estos conceptos se reiteran y se complementan en lo pertinente, teniendo en cuenta lo consultado.</w:t>
      </w:r>
      <w:r w:rsidRPr="00B6469F">
        <w:rPr>
          <w:rFonts w:ascii="Verdana" w:eastAsia="Calibri" w:hAnsi="Verdana" w:cs="Arial"/>
          <w:shd w:val="clear" w:color="auto" w:fill="FFFFFF"/>
          <w:lang w:val="es-ES"/>
        </w:rPr>
        <w:t xml:space="preserve"> Es</w:t>
      </w:r>
      <w:r w:rsidRPr="00B6469F">
        <w:rPr>
          <w:rFonts w:ascii="Verdana" w:eastAsia="Calibri" w:hAnsi="Verdana" w:cs="Arial"/>
          <w:shd w:val="clear" w:color="auto" w:fill="FFFFFF"/>
        </w:rPr>
        <w:t>tos y otros conceptos se encuentran disponibles para consulta en el Sistema de relatoría de la Agencia, al cual se puede acceder a través del siguiente enlace:</w:t>
      </w:r>
      <w:r w:rsidRPr="00B6469F">
        <w:rPr>
          <w:rFonts w:ascii="Verdana" w:eastAsia="Calibri" w:hAnsi="Verdana" w:cs="Arial"/>
          <w:shd w:val="clear" w:color="auto" w:fill="FFFFFF"/>
          <w:lang w:val="es-ES"/>
        </w:rPr>
        <w:t xml:space="preserve"> </w:t>
      </w:r>
      <w:hyperlink r:id="rId12" w:history="1">
        <w:r w:rsidRPr="00B6469F">
          <w:rPr>
            <w:rFonts w:ascii="Verdana" w:eastAsia="Calibri" w:hAnsi="Verdana" w:cs="Arial"/>
            <w:u w:val="single"/>
            <w:shd w:val="clear" w:color="auto" w:fill="FFFFFF"/>
            <w:lang w:val="es-ES"/>
          </w:rPr>
          <w:t>https://relatoria.colombiacompra.gov.co/busqueda/conceptos</w:t>
        </w:r>
      </w:hyperlink>
      <w:r w:rsidRPr="00B6469F">
        <w:rPr>
          <w:rFonts w:ascii="Verdana" w:eastAsia="Calibri" w:hAnsi="Verdana" w:cs="Arial"/>
          <w:shd w:val="clear" w:color="auto" w:fill="FFFFFF"/>
          <w:lang w:val="es-ES"/>
        </w:rPr>
        <w:t xml:space="preserve">. </w:t>
      </w:r>
    </w:p>
    <w:p w14:paraId="700846E1" w14:textId="77777777" w:rsidR="007C4615" w:rsidRPr="00B6469F" w:rsidRDefault="007C4615" w:rsidP="007C4615">
      <w:pPr>
        <w:widowControl w:val="0"/>
        <w:autoSpaceDE w:val="0"/>
        <w:autoSpaceDN w:val="0"/>
        <w:spacing w:after="0" w:line="276" w:lineRule="auto"/>
        <w:jc w:val="both"/>
        <w:rPr>
          <w:rFonts w:ascii="Verdana" w:eastAsia="Calibri" w:hAnsi="Verdana" w:cs="Arial"/>
          <w:shd w:val="clear" w:color="auto" w:fill="FFFFFF"/>
          <w:lang w:val="es-ES"/>
        </w:rPr>
      </w:pPr>
    </w:p>
    <w:p w14:paraId="089409C5" w14:textId="77777777" w:rsidR="007C4615" w:rsidRPr="00B6469F" w:rsidRDefault="007C4615" w:rsidP="007C4615">
      <w:pPr>
        <w:widowControl w:val="0"/>
        <w:autoSpaceDE w:val="0"/>
        <w:autoSpaceDN w:val="0"/>
        <w:spacing w:after="0" w:line="276" w:lineRule="auto"/>
        <w:jc w:val="both"/>
        <w:rPr>
          <w:rFonts w:ascii="Verdana" w:hAnsi="Verdana" w:cs="Arial"/>
          <w:color w:val="FF0000"/>
          <w:shd w:val="clear" w:color="auto" w:fill="FFFFFF"/>
          <w:lang w:val="es-ES"/>
        </w:rPr>
      </w:pPr>
      <w:r w:rsidRPr="00B6469F">
        <w:rPr>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sidRPr="00B6469F">
        <w:rPr>
          <w:rFonts w:ascii="Verdana" w:hAnsi="Verdana" w:cs="Arial"/>
          <w:color w:val="FF0000"/>
          <w:shd w:val="clear" w:color="auto" w:fill="FFFFFF"/>
          <w:lang w:val="es-ES"/>
        </w:rPr>
        <w:t xml:space="preserve"> </w:t>
      </w:r>
      <w:hyperlink r:id="rId13" w:history="1">
        <w:r w:rsidRPr="00B6469F">
          <w:rPr>
            <w:rFonts w:ascii="Verdana" w:hAnsi="Verdana" w:cs="Arial"/>
            <w:color w:val="0563C1" w:themeColor="hyperlink"/>
            <w:u w:val="single"/>
            <w:shd w:val="clear" w:color="auto" w:fill="FFFFFF"/>
            <w:lang w:val="es-ES"/>
          </w:rPr>
          <w:t>https://www.colombiacompra.gov.co/sala-de-prensa/boletin-digital</w:t>
        </w:r>
      </w:hyperlink>
      <w:r w:rsidRPr="00B6469F">
        <w:rPr>
          <w:rFonts w:ascii="Verdana" w:hAnsi="Verdana" w:cs="Arial"/>
          <w:color w:val="FF0000"/>
          <w:shd w:val="clear" w:color="auto" w:fill="FFFFFF"/>
          <w:lang w:val="es-ES"/>
        </w:rPr>
        <w:t xml:space="preserve">      </w:t>
      </w:r>
    </w:p>
    <w:p w14:paraId="324790ED" w14:textId="77777777" w:rsidR="007C4615" w:rsidRPr="00B6469F" w:rsidRDefault="007C4615" w:rsidP="007C4615">
      <w:pPr>
        <w:spacing w:after="0" w:line="240" w:lineRule="auto"/>
        <w:jc w:val="both"/>
        <w:rPr>
          <w:rFonts w:ascii="Verdana" w:hAnsi="Verdana"/>
        </w:rPr>
      </w:pPr>
      <w:r w:rsidRPr="00B6469F">
        <w:rPr>
          <w:rFonts w:ascii="Verdana" w:hAnsi="Verdana"/>
        </w:rPr>
        <w:t xml:space="preserve">Por último, lo invitamos a seguirnos en las redes sociales en las cuales se difunde información institucional: </w:t>
      </w:r>
    </w:p>
    <w:p w14:paraId="7E8F9D13" w14:textId="77777777" w:rsidR="007C4615" w:rsidRPr="00B6469F" w:rsidRDefault="007C4615" w:rsidP="007C4615">
      <w:pPr>
        <w:spacing w:after="0" w:line="240" w:lineRule="auto"/>
        <w:jc w:val="both"/>
        <w:rPr>
          <w:rFonts w:ascii="Verdana" w:hAnsi="Verdana"/>
        </w:rPr>
      </w:pPr>
    </w:p>
    <w:p w14:paraId="6689DEF5" w14:textId="77777777" w:rsidR="007C4615" w:rsidRPr="00B6469F" w:rsidRDefault="007C4615" w:rsidP="007C4615">
      <w:pPr>
        <w:spacing w:after="0" w:line="240" w:lineRule="auto"/>
        <w:jc w:val="both"/>
        <w:rPr>
          <w:rFonts w:ascii="Verdana" w:hAnsi="Verdana"/>
        </w:rPr>
      </w:pPr>
      <w:r w:rsidRPr="00B6469F">
        <w:rPr>
          <w:rFonts w:ascii="Verdana" w:hAnsi="Verdana"/>
        </w:rPr>
        <w:t xml:space="preserve">Twitter: </w:t>
      </w:r>
      <w:r w:rsidRPr="00B6469F">
        <w:rPr>
          <w:rFonts w:ascii="Verdana" w:hAnsi="Verdana"/>
          <w:color w:val="4472C4" w:themeColor="accent1"/>
          <w:u w:val="single"/>
        </w:rPr>
        <w:t>@colombiacompra</w:t>
      </w:r>
      <w:r w:rsidRPr="00B6469F">
        <w:rPr>
          <w:rFonts w:ascii="Verdana" w:hAnsi="Verdana"/>
          <w:color w:val="4472C4" w:themeColor="accent1"/>
        </w:rPr>
        <w:t xml:space="preserve"> </w:t>
      </w:r>
    </w:p>
    <w:p w14:paraId="523B3CFC" w14:textId="77777777" w:rsidR="007C4615" w:rsidRPr="00B6469F" w:rsidRDefault="007C4615" w:rsidP="007C4615">
      <w:pPr>
        <w:spacing w:after="0" w:line="240" w:lineRule="auto"/>
        <w:jc w:val="both"/>
        <w:rPr>
          <w:rFonts w:ascii="Verdana" w:hAnsi="Verdana"/>
        </w:rPr>
      </w:pPr>
      <w:r w:rsidRPr="00B6469F">
        <w:rPr>
          <w:rFonts w:ascii="Verdana" w:hAnsi="Verdana"/>
        </w:rPr>
        <w:t xml:space="preserve">Facebook: </w:t>
      </w:r>
      <w:proofErr w:type="spellStart"/>
      <w:r w:rsidRPr="00B6469F">
        <w:rPr>
          <w:rFonts w:ascii="Verdana" w:hAnsi="Verdana"/>
          <w:color w:val="4472C4" w:themeColor="accent1"/>
          <w:u w:val="single"/>
        </w:rPr>
        <w:t>ColombiaCompraEficiente</w:t>
      </w:r>
      <w:proofErr w:type="spellEnd"/>
    </w:p>
    <w:p w14:paraId="459F8389" w14:textId="77777777" w:rsidR="007C4615" w:rsidRPr="00B6469F" w:rsidRDefault="007C4615" w:rsidP="007C4615">
      <w:pPr>
        <w:spacing w:after="0" w:line="240" w:lineRule="auto"/>
        <w:jc w:val="both"/>
        <w:rPr>
          <w:rFonts w:ascii="Verdana" w:hAnsi="Verdana"/>
        </w:rPr>
      </w:pPr>
      <w:r w:rsidRPr="00B6469F">
        <w:rPr>
          <w:rFonts w:ascii="Verdana" w:hAnsi="Verdana"/>
        </w:rPr>
        <w:t xml:space="preserve">LinkedIn: </w:t>
      </w:r>
      <w:r w:rsidRPr="00B6469F">
        <w:rPr>
          <w:rFonts w:ascii="Verdana" w:hAnsi="Verdana"/>
          <w:color w:val="4472C4" w:themeColor="accent1"/>
          <w:u w:val="single"/>
        </w:rPr>
        <w:t>Agencia Nacional de Contratación Pública - Colombia Compra Eficiente</w:t>
      </w:r>
      <w:r w:rsidRPr="00B6469F">
        <w:rPr>
          <w:rFonts w:ascii="Verdana" w:hAnsi="Verdana"/>
          <w:color w:val="4472C4" w:themeColor="accent1"/>
        </w:rPr>
        <w:t xml:space="preserve"> </w:t>
      </w:r>
      <w:r w:rsidRPr="00B6469F">
        <w:rPr>
          <w:rFonts w:ascii="Verdana" w:hAnsi="Verdana"/>
        </w:rPr>
        <w:t xml:space="preserve">Instagram: </w:t>
      </w:r>
      <w:r w:rsidRPr="00B6469F">
        <w:rPr>
          <w:rFonts w:ascii="Verdana" w:hAnsi="Verdana"/>
          <w:color w:val="4472C4" w:themeColor="accent1"/>
          <w:u w:val="single"/>
        </w:rPr>
        <w:t>@colombiacompraeficiente_cce</w:t>
      </w:r>
    </w:p>
    <w:p w14:paraId="1385FF81" w14:textId="77777777" w:rsidR="007C4615" w:rsidRPr="00B6469F" w:rsidRDefault="007C4615" w:rsidP="007C4615">
      <w:pPr>
        <w:widowControl w:val="0"/>
        <w:autoSpaceDE w:val="0"/>
        <w:autoSpaceDN w:val="0"/>
        <w:spacing w:after="0" w:line="276" w:lineRule="auto"/>
        <w:jc w:val="both"/>
        <w:rPr>
          <w:rFonts w:ascii="Verdana" w:hAnsi="Verdana" w:cs="Arial"/>
        </w:rPr>
      </w:pPr>
    </w:p>
    <w:p w14:paraId="16A7BE73" w14:textId="77777777" w:rsidR="007C4615" w:rsidRPr="00B6469F" w:rsidRDefault="007C4615" w:rsidP="007C4615">
      <w:pPr>
        <w:widowControl w:val="0"/>
        <w:autoSpaceDE w:val="0"/>
        <w:autoSpaceDN w:val="0"/>
        <w:spacing w:after="0" w:line="276" w:lineRule="auto"/>
        <w:jc w:val="both"/>
        <w:rPr>
          <w:rFonts w:ascii="Verdana" w:hAnsi="Verdana" w:cs="Arial"/>
          <w:lang w:val="es-ES_tradnl"/>
        </w:rPr>
      </w:pPr>
      <w:r w:rsidRPr="00B6469F">
        <w:rPr>
          <w:rFonts w:ascii="Verdana" w:hAnsi="Verdana" w:cs="Arial"/>
        </w:rPr>
        <w:t xml:space="preserve">Este concepto tiene el alcance previsto en el artículo 28 del Código de </w:t>
      </w:r>
      <w:r w:rsidRPr="00B6469F">
        <w:rPr>
          <w:rFonts w:ascii="Verdana" w:hAnsi="Verdana" w:cs="Arial"/>
        </w:rPr>
        <w:lastRenderedPageBreak/>
        <w:t xml:space="preserve">Procedimiento Administrativo y de lo Contencioso Administrativo </w:t>
      </w:r>
      <w:r w:rsidRPr="00B6469F">
        <w:rPr>
          <w:rFonts w:ascii="Verdana" w:hAnsi="Verdana" w:cs="Arial"/>
          <w:lang w:val="es-ES_tradnl"/>
        </w:rPr>
        <w:t>y las expresiones aquí utilizadas con mayúscula inicial deben ser entendidas con el significado que les otorga el artículo 2.2.1.1.1.3.1. del Decreto 1082 de 2015.</w:t>
      </w:r>
    </w:p>
    <w:p w14:paraId="3C41F94D" w14:textId="77777777" w:rsidR="007C4615" w:rsidRPr="00B6469F" w:rsidRDefault="007C4615" w:rsidP="007C4615">
      <w:pPr>
        <w:widowControl w:val="0"/>
        <w:autoSpaceDE w:val="0"/>
        <w:autoSpaceDN w:val="0"/>
        <w:spacing w:after="0" w:line="276" w:lineRule="auto"/>
        <w:jc w:val="both"/>
        <w:rPr>
          <w:rFonts w:ascii="Verdana" w:hAnsi="Verdana" w:cs="Arial"/>
        </w:rPr>
      </w:pPr>
    </w:p>
    <w:p w14:paraId="4A05C94D" w14:textId="77777777" w:rsidR="007C4615" w:rsidRPr="00B6469F" w:rsidRDefault="007C4615" w:rsidP="007C4615">
      <w:pPr>
        <w:spacing w:after="0" w:line="240" w:lineRule="auto"/>
        <w:rPr>
          <w:rFonts w:ascii="Verdana" w:hAnsi="Verdana" w:cs="Arial"/>
          <w:lang w:eastAsia="es-CO"/>
        </w:rPr>
      </w:pPr>
      <w:r w:rsidRPr="00B6469F">
        <w:rPr>
          <w:rFonts w:ascii="Verdana" w:eastAsia="Times New Roman" w:hAnsi="Verdana" w:cs="Arial"/>
          <w:lang w:eastAsia="es-CO"/>
        </w:rPr>
        <w:t>Atentamente,</w:t>
      </w:r>
      <w:r w:rsidRPr="00B6469F">
        <w:rPr>
          <w:rFonts w:ascii="Verdana" w:hAnsi="Verdana" w:cs="Arial"/>
          <w:lang w:eastAsia="es-CO"/>
        </w:rPr>
        <w:t xml:space="preserve"> </w:t>
      </w:r>
    </w:p>
    <w:p w14:paraId="5B087001" w14:textId="1BDE8AD5" w:rsidR="007C4615" w:rsidRPr="00B6469F" w:rsidRDefault="009E7E63" w:rsidP="007C4615">
      <w:pPr>
        <w:spacing w:line="276" w:lineRule="auto"/>
        <w:jc w:val="center"/>
        <w:rPr>
          <w:rFonts w:ascii="Verdana" w:hAnsi="Verdana" w:cs="Arial"/>
          <w:color w:val="000000"/>
          <w:lang w:val="es-ES_tradnl" w:eastAsia="es-CO"/>
        </w:rPr>
      </w:pPr>
      <w:r>
        <w:rPr>
          <w:noProof/>
        </w:rPr>
        <w:drawing>
          <wp:inline distT="0" distB="0" distL="0" distR="0" wp14:anchorId="493AE232" wp14:editId="7304626A">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7C4615" w:rsidRPr="00B6469F" w14:paraId="52B133CE" w14:textId="77777777" w:rsidTr="005B1FA7">
        <w:trPr>
          <w:trHeight w:val="315"/>
        </w:trPr>
        <w:tc>
          <w:tcPr>
            <w:tcW w:w="893" w:type="dxa"/>
            <w:vAlign w:val="center"/>
            <w:hideMark/>
          </w:tcPr>
          <w:p w14:paraId="6DBDB8D1" w14:textId="77777777" w:rsidR="007C4615" w:rsidRPr="00B6469F" w:rsidRDefault="007C4615" w:rsidP="005B1FA7">
            <w:pPr>
              <w:contextualSpacing/>
              <w:rPr>
                <w:rFonts w:ascii="Verdana" w:hAnsi="Verdana" w:cs="Arial"/>
                <w:sz w:val="16"/>
                <w:szCs w:val="16"/>
                <w:lang w:val="es-ES" w:eastAsia="es-ES"/>
              </w:rPr>
            </w:pPr>
            <w:r w:rsidRPr="00B6469F">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22681DB1" w14:textId="77777777" w:rsidR="007C4615" w:rsidRPr="00B6469F" w:rsidRDefault="007C4615" w:rsidP="005B1FA7">
            <w:pPr>
              <w:contextualSpacing/>
              <w:rPr>
                <w:rFonts w:ascii="Verdana" w:hAnsi="Verdana"/>
              </w:rPr>
            </w:pPr>
            <w:proofErr w:type="spellStart"/>
            <w:r w:rsidRPr="00671F97">
              <w:rPr>
                <w:rFonts w:ascii="Verdana" w:eastAsia="Times New Roman" w:hAnsi="Verdana" w:cs="Arial"/>
                <w:sz w:val="16"/>
                <w:szCs w:val="16"/>
                <w:lang w:val="es-ES" w:eastAsia="es-ES_tradnl"/>
              </w:rPr>
              <w:t>Hector</w:t>
            </w:r>
            <w:proofErr w:type="spellEnd"/>
            <w:r w:rsidRPr="00671F97">
              <w:rPr>
                <w:rFonts w:ascii="Verdana" w:eastAsia="Times New Roman" w:hAnsi="Verdana" w:cs="Arial"/>
                <w:sz w:val="16"/>
                <w:szCs w:val="16"/>
                <w:lang w:val="es-ES" w:eastAsia="es-ES_tradnl"/>
              </w:rPr>
              <w:t xml:space="preserve"> Luis Quiñones </w:t>
            </w:r>
            <w:proofErr w:type="spellStart"/>
            <w:r w:rsidRPr="00671F97">
              <w:rPr>
                <w:rFonts w:ascii="Verdana" w:eastAsia="Times New Roman" w:hAnsi="Verdana" w:cs="Arial"/>
                <w:sz w:val="16"/>
                <w:szCs w:val="16"/>
                <w:lang w:val="es-ES" w:eastAsia="es-ES_tradnl"/>
              </w:rPr>
              <w:t>Quiñones</w:t>
            </w:r>
            <w:proofErr w:type="spellEnd"/>
            <w:r w:rsidRPr="00B6469F">
              <w:rPr>
                <w:rFonts w:ascii="Verdana" w:hAnsi="Verdana"/>
                <w:sz w:val="16"/>
                <w:szCs w:val="16"/>
              </w:rPr>
              <w:t xml:space="preserve"> </w:t>
            </w:r>
          </w:p>
          <w:p w14:paraId="0F47DB35" w14:textId="77777777" w:rsidR="007C4615" w:rsidRPr="00B6469F" w:rsidRDefault="007C4615" w:rsidP="005B1FA7">
            <w:pPr>
              <w:contextualSpacing/>
              <w:rPr>
                <w:rFonts w:ascii="Verdana" w:eastAsia="Arial" w:hAnsi="Verdana" w:cs="Arial"/>
                <w:sz w:val="16"/>
                <w:szCs w:val="16"/>
              </w:rPr>
            </w:pPr>
            <w:r w:rsidRPr="00B6469F">
              <w:rPr>
                <w:rFonts w:ascii="Verdana" w:eastAsia="Arial" w:hAnsi="Verdana" w:cs="Arial"/>
                <w:sz w:val="16"/>
                <w:szCs w:val="16"/>
              </w:rPr>
              <w:t>Analista T2 – 02 de la Subdirección de Gestión Contractual</w:t>
            </w:r>
          </w:p>
        </w:tc>
      </w:tr>
      <w:tr w:rsidR="007C4615" w:rsidRPr="00B6469F" w14:paraId="52565E7A" w14:textId="77777777" w:rsidTr="005B1FA7">
        <w:trPr>
          <w:trHeight w:val="330"/>
        </w:trPr>
        <w:tc>
          <w:tcPr>
            <w:tcW w:w="893" w:type="dxa"/>
            <w:vAlign w:val="center"/>
            <w:hideMark/>
          </w:tcPr>
          <w:p w14:paraId="731D3E79" w14:textId="77777777" w:rsidR="007C4615" w:rsidRPr="00B6469F" w:rsidRDefault="007C4615" w:rsidP="005B1FA7">
            <w:pPr>
              <w:contextualSpacing/>
              <w:rPr>
                <w:rFonts w:ascii="Verdana" w:hAnsi="Verdana" w:cs="Arial"/>
                <w:sz w:val="16"/>
                <w:szCs w:val="16"/>
                <w:lang w:val="es-ES" w:eastAsia="es-ES"/>
              </w:rPr>
            </w:pPr>
            <w:r w:rsidRPr="00B6469F">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43F2A397" w14:textId="33D804E6" w:rsidR="007C4615" w:rsidRPr="00B6469F" w:rsidRDefault="007C4615" w:rsidP="005B1FA7">
            <w:pPr>
              <w:contextualSpacing/>
              <w:textAlignment w:val="baseline"/>
              <w:rPr>
                <w:rFonts w:ascii="Verdana" w:eastAsia="Times New Roman" w:hAnsi="Verdana" w:cs="Arial"/>
                <w:sz w:val="16"/>
                <w:szCs w:val="16"/>
                <w:lang w:val="es-ES" w:eastAsia="es-ES_tradnl"/>
              </w:rPr>
            </w:pPr>
            <w:r w:rsidRPr="00B6469F">
              <w:rPr>
                <w:rFonts w:ascii="Verdana" w:eastAsia="Times New Roman" w:hAnsi="Verdana" w:cs="Arial"/>
                <w:sz w:val="16"/>
                <w:szCs w:val="16"/>
                <w:lang w:val="es-ES" w:eastAsia="es-ES_tradnl"/>
              </w:rPr>
              <w:t xml:space="preserve">Alejandro Sarmiento </w:t>
            </w:r>
            <w:r w:rsidR="00566D97" w:rsidRPr="00B6469F">
              <w:rPr>
                <w:rFonts w:ascii="Verdana" w:eastAsia="Times New Roman" w:hAnsi="Verdana" w:cs="Arial"/>
                <w:sz w:val="16"/>
                <w:szCs w:val="16"/>
                <w:lang w:val="es-ES" w:eastAsia="es-ES_tradnl"/>
              </w:rPr>
              <w:t>Cantillo</w:t>
            </w:r>
          </w:p>
          <w:p w14:paraId="4E7AA69B" w14:textId="025B1704" w:rsidR="007C4615" w:rsidRPr="00B6469F" w:rsidRDefault="007C4615" w:rsidP="005B1FA7">
            <w:pPr>
              <w:contextualSpacing/>
              <w:textAlignment w:val="baseline"/>
              <w:rPr>
                <w:rFonts w:ascii="Verdana" w:eastAsia="Times New Roman" w:hAnsi="Verdana" w:cs="Segoe UI"/>
                <w:sz w:val="16"/>
                <w:szCs w:val="16"/>
                <w:lang w:eastAsia="es-ES_tradnl"/>
              </w:rPr>
            </w:pPr>
            <w:r w:rsidRPr="00B6469F">
              <w:rPr>
                <w:rFonts w:ascii="Verdana" w:eastAsia="Times New Roman" w:hAnsi="Verdana" w:cs="Arial"/>
                <w:sz w:val="16"/>
                <w:szCs w:val="16"/>
                <w:lang w:val="es-ES" w:eastAsia="es-ES_tradnl"/>
              </w:rPr>
              <w:t>Gestor T1 – 15 de la Subdirección de Gestión Contractual</w:t>
            </w:r>
            <w:r w:rsidRPr="00B6469F">
              <w:rPr>
                <w:rFonts w:ascii="Verdana" w:eastAsia="Times New Roman" w:hAnsi="Verdana" w:cs="Arial"/>
                <w:sz w:val="16"/>
                <w:szCs w:val="16"/>
                <w:lang w:eastAsia="es-ES_tradnl"/>
              </w:rPr>
              <w:t> </w:t>
            </w:r>
          </w:p>
        </w:tc>
      </w:tr>
      <w:tr w:rsidR="007C4615" w:rsidRPr="00B6469F" w14:paraId="3D4E80A4" w14:textId="77777777" w:rsidTr="005B1FA7">
        <w:trPr>
          <w:trHeight w:val="300"/>
        </w:trPr>
        <w:tc>
          <w:tcPr>
            <w:tcW w:w="893" w:type="dxa"/>
            <w:vAlign w:val="center"/>
          </w:tcPr>
          <w:p w14:paraId="567343D0" w14:textId="77777777" w:rsidR="007C4615" w:rsidRPr="00B6469F" w:rsidRDefault="007C4615" w:rsidP="005B1FA7">
            <w:pPr>
              <w:contextualSpacing/>
              <w:rPr>
                <w:rFonts w:ascii="Verdana" w:hAnsi="Verdana" w:cs="Arial"/>
                <w:sz w:val="16"/>
                <w:szCs w:val="16"/>
                <w:lang w:val="es-ES" w:eastAsia="es-ES"/>
              </w:rPr>
            </w:pPr>
            <w:r w:rsidRPr="00B6469F">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1EFD6612" w14:textId="77777777" w:rsidR="007C4615" w:rsidRPr="00B6469F" w:rsidRDefault="007C4615" w:rsidP="005B1FA7">
            <w:pPr>
              <w:contextualSpacing/>
              <w:rPr>
                <w:rFonts w:ascii="Verdana" w:eastAsia="Calibri" w:hAnsi="Verdana" w:cs="Arial"/>
                <w:sz w:val="16"/>
                <w:szCs w:val="16"/>
                <w:lang w:val="pt-BR" w:eastAsia="es-ES"/>
              </w:rPr>
            </w:pPr>
            <w:r w:rsidRPr="00B6469F">
              <w:rPr>
                <w:rFonts w:ascii="Verdana" w:eastAsia="Calibri" w:hAnsi="Verdana" w:cs="Arial"/>
                <w:sz w:val="16"/>
                <w:szCs w:val="16"/>
                <w:lang w:val="pt-BR" w:eastAsia="es-ES"/>
              </w:rPr>
              <w:t xml:space="preserve">Carolina Quintero </w:t>
            </w:r>
            <w:proofErr w:type="spellStart"/>
            <w:r w:rsidRPr="00B6469F">
              <w:rPr>
                <w:rFonts w:ascii="Verdana" w:eastAsia="Calibri" w:hAnsi="Verdana" w:cs="Arial"/>
                <w:sz w:val="16"/>
                <w:szCs w:val="16"/>
                <w:lang w:val="pt-BR" w:eastAsia="es-ES"/>
              </w:rPr>
              <w:t>Gacharná</w:t>
            </w:r>
            <w:proofErr w:type="spellEnd"/>
          </w:p>
          <w:p w14:paraId="7A417C67" w14:textId="77777777" w:rsidR="007C4615" w:rsidRPr="00B6469F" w:rsidRDefault="007C4615" w:rsidP="005B1FA7">
            <w:pPr>
              <w:contextualSpacing/>
              <w:rPr>
                <w:rFonts w:ascii="Verdana" w:eastAsia="Calibri" w:hAnsi="Verdana" w:cs="Arial"/>
                <w:sz w:val="16"/>
                <w:szCs w:val="16"/>
                <w:lang w:val="pt-BR" w:eastAsia="es-ES"/>
              </w:rPr>
            </w:pPr>
            <w:r w:rsidRPr="00B6469F">
              <w:rPr>
                <w:rFonts w:ascii="Verdana" w:eastAsia="Calibri" w:hAnsi="Verdana" w:cs="Arial"/>
                <w:sz w:val="16"/>
                <w:szCs w:val="16"/>
                <w:lang w:eastAsia="es-ES"/>
              </w:rPr>
              <w:t>Subdirectora</w:t>
            </w:r>
            <w:r w:rsidRPr="00B6469F">
              <w:rPr>
                <w:rFonts w:ascii="Verdana" w:eastAsia="Calibri" w:hAnsi="Verdana" w:cs="Arial"/>
                <w:sz w:val="16"/>
                <w:szCs w:val="16"/>
                <w:lang w:val="pt-BR" w:eastAsia="es-ES"/>
              </w:rPr>
              <w:t xml:space="preserve"> de </w:t>
            </w:r>
            <w:proofErr w:type="spellStart"/>
            <w:r w:rsidRPr="00B6469F">
              <w:rPr>
                <w:rFonts w:ascii="Verdana" w:eastAsia="Calibri" w:hAnsi="Verdana" w:cs="Arial"/>
                <w:sz w:val="16"/>
                <w:szCs w:val="16"/>
                <w:lang w:val="pt-BR" w:eastAsia="es-ES"/>
              </w:rPr>
              <w:t>Gestión</w:t>
            </w:r>
            <w:proofErr w:type="spellEnd"/>
            <w:r w:rsidRPr="00B6469F">
              <w:rPr>
                <w:rFonts w:ascii="Verdana" w:eastAsia="Calibri" w:hAnsi="Verdana" w:cs="Arial"/>
                <w:sz w:val="16"/>
                <w:szCs w:val="16"/>
                <w:lang w:val="pt-BR" w:eastAsia="es-ES"/>
              </w:rPr>
              <w:t xml:space="preserve"> </w:t>
            </w:r>
            <w:proofErr w:type="spellStart"/>
            <w:r w:rsidRPr="00B6469F">
              <w:rPr>
                <w:rFonts w:ascii="Verdana" w:eastAsia="Calibri" w:hAnsi="Verdana" w:cs="Arial"/>
                <w:sz w:val="16"/>
                <w:szCs w:val="16"/>
                <w:lang w:val="pt-BR" w:eastAsia="es-ES"/>
              </w:rPr>
              <w:t>Contractual</w:t>
            </w:r>
            <w:proofErr w:type="spellEnd"/>
            <w:r w:rsidRPr="00B6469F">
              <w:rPr>
                <w:rFonts w:ascii="Verdana" w:eastAsia="Calibri" w:hAnsi="Verdana" w:cs="Arial"/>
                <w:sz w:val="16"/>
                <w:szCs w:val="16"/>
                <w:lang w:val="pt-BR" w:eastAsia="es-ES"/>
              </w:rPr>
              <w:t xml:space="preserve"> ANCP – CCE</w:t>
            </w:r>
          </w:p>
        </w:tc>
      </w:tr>
    </w:tbl>
    <w:p w14:paraId="07A9EBEC" w14:textId="77777777" w:rsidR="007C4615" w:rsidRPr="00B6469F" w:rsidRDefault="007C4615" w:rsidP="007C4615">
      <w:pPr>
        <w:spacing w:after="0" w:line="240" w:lineRule="auto"/>
        <w:rPr>
          <w:rFonts w:ascii="Verdana" w:eastAsia="Times New Roman" w:hAnsi="Verdana" w:cs="Arial"/>
          <w:sz w:val="24"/>
          <w:szCs w:val="24"/>
          <w:lang w:eastAsia="es-ES"/>
        </w:rPr>
      </w:pPr>
    </w:p>
    <w:p w14:paraId="1CCC7622" w14:textId="77777777" w:rsidR="007C4615" w:rsidRPr="00B6469F" w:rsidRDefault="007C4615" w:rsidP="007C4615">
      <w:pPr>
        <w:rPr>
          <w:rFonts w:ascii="Verdana" w:hAnsi="Verdana"/>
        </w:rPr>
      </w:pPr>
    </w:p>
    <w:p w14:paraId="6ADCAF12" w14:textId="77777777" w:rsidR="007C4615" w:rsidRPr="00B6469F" w:rsidRDefault="007C4615" w:rsidP="007C4615">
      <w:pPr>
        <w:spacing w:after="0"/>
        <w:rPr>
          <w:rFonts w:ascii="Verdana" w:hAnsi="Verdana"/>
        </w:rPr>
      </w:pPr>
    </w:p>
    <w:p w14:paraId="7B08EF24" w14:textId="77777777" w:rsidR="007C4615" w:rsidRPr="00B6469F" w:rsidRDefault="007C4615" w:rsidP="00E245AB">
      <w:pPr>
        <w:spacing w:after="0"/>
        <w:rPr>
          <w:rFonts w:ascii="Verdana" w:hAnsi="Verdana"/>
        </w:rPr>
      </w:pPr>
    </w:p>
    <w:p w14:paraId="41CCF34B" w14:textId="77777777" w:rsidR="007C4615" w:rsidRPr="00B6469F" w:rsidRDefault="007C4615" w:rsidP="00E245AB">
      <w:pPr>
        <w:spacing w:after="0"/>
        <w:rPr>
          <w:rFonts w:ascii="Verdana" w:hAnsi="Verdana"/>
        </w:rPr>
      </w:pPr>
    </w:p>
    <w:p w14:paraId="245AB838" w14:textId="77777777" w:rsidR="007C4615" w:rsidRPr="00B6469F" w:rsidRDefault="007C4615" w:rsidP="00E245AB">
      <w:pPr>
        <w:spacing w:after="0"/>
        <w:rPr>
          <w:rFonts w:ascii="Verdana" w:hAnsi="Verdana"/>
        </w:rPr>
      </w:pPr>
    </w:p>
    <w:bookmarkEnd w:id="0"/>
    <w:p w14:paraId="0465BA6D" w14:textId="77777777" w:rsidR="00E245AB" w:rsidRPr="00B6469F" w:rsidRDefault="00E245AB" w:rsidP="00E245AB">
      <w:pPr>
        <w:spacing w:after="0"/>
        <w:rPr>
          <w:rFonts w:ascii="Verdana" w:hAnsi="Verdana"/>
        </w:rPr>
      </w:pPr>
    </w:p>
    <w:sectPr w:rsidR="00E245AB" w:rsidRPr="00B6469F"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C50A6" w14:textId="77777777" w:rsidR="00844020" w:rsidRDefault="00844020" w:rsidP="004A1847">
      <w:pPr>
        <w:spacing w:after="0" w:line="240" w:lineRule="auto"/>
      </w:pPr>
      <w:r>
        <w:separator/>
      </w:r>
    </w:p>
  </w:endnote>
  <w:endnote w:type="continuationSeparator" w:id="0">
    <w:p w14:paraId="7CB10D01" w14:textId="77777777" w:rsidR="00844020" w:rsidRDefault="00844020" w:rsidP="004A1847">
      <w:pPr>
        <w:spacing w:after="0" w:line="240" w:lineRule="auto"/>
      </w:pPr>
      <w:r>
        <w:continuationSeparator/>
      </w:r>
    </w:p>
  </w:endnote>
  <w:endnote w:type="continuationNotice" w:id="1">
    <w:p w14:paraId="31D09EF1" w14:textId="77777777" w:rsidR="00844020" w:rsidRDefault="008440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charset w:val="00"/>
    <w:family w:val="auto"/>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BA0B57">
      <w:rPr>
        <w:rFonts w:ascii="Verdana" w:eastAsia="Times New Roman" w:hAnsi="Verdana" w:cs="Times New Roman"/>
        <w:b/>
        <w:bCs/>
        <w:sz w:val="16"/>
        <w:szCs w:val="16"/>
        <w:lang w:val="es-ES"/>
      </w:rPr>
      <w:t xml:space="preserve">pág. </w:t>
    </w:r>
    <w:r w:rsidRPr="00BA0B57">
      <w:rPr>
        <w:rFonts w:ascii="Verdana" w:eastAsia="Times New Roman" w:hAnsi="Verdana"/>
        <w:b/>
        <w:bCs/>
        <w:sz w:val="16"/>
        <w:szCs w:val="16"/>
      </w:rPr>
      <w:fldChar w:fldCharType="begin"/>
    </w:r>
    <w:r w:rsidRPr="002E1330">
      <w:rPr>
        <w:rFonts w:ascii="Verdana" w:hAnsi="Verdana"/>
        <w:b/>
        <w:bCs/>
        <w:sz w:val="16"/>
        <w:szCs w:val="16"/>
      </w:rPr>
      <w:instrText>PAGE    \* MERGEFORMAT</w:instrText>
    </w:r>
    <w:r w:rsidRPr="00BA0B57">
      <w:rPr>
        <w:rFonts w:ascii="Verdana" w:eastAsia="Times New Roman" w:hAnsi="Verdana"/>
        <w:b/>
        <w:bCs/>
        <w:sz w:val="16"/>
        <w:szCs w:val="16"/>
      </w:rPr>
      <w:fldChar w:fldCharType="separate"/>
    </w:r>
    <w:r w:rsidRPr="00BA0B57">
      <w:rPr>
        <w:rFonts w:ascii="Verdana" w:eastAsia="Times New Roman" w:hAnsi="Verdana"/>
        <w:b/>
        <w:bCs/>
        <w:sz w:val="16"/>
        <w:szCs w:val="16"/>
      </w:rPr>
      <w:t>1</w:t>
    </w:r>
    <w:r w:rsidRPr="00BA0B57">
      <w:rPr>
        <w:rFonts w:ascii="Verdana" w:eastAsia="Times New Roman" w:hAnsi="Verdana"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58179" w14:textId="77777777" w:rsidR="00844020" w:rsidRDefault="00844020" w:rsidP="004A1847">
      <w:pPr>
        <w:spacing w:after="0" w:line="240" w:lineRule="auto"/>
      </w:pPr>
      <w:r>
        <w:separator/>
      </w:r>
    </w:p>
  </w:footnote>
  <w:footnote w:type="continuationSeparator" w:id="0">
    <w:p w14:paraId="11894050" w14:textId="77777777" w:rsidR="00844020" w:rsidRDefault="00844020" w:rsidP="004A1847">
      <w:pPr>
        <w:spacing w:after="0" w:line="240" w:lineRule="auto"/>
      </w:pPr>
      <w:r>
        <w:continuationSeparator/>
      </w:r>
    </w:p>
  </w:footnote>
  <w:footnote w:type="continuationNotice" w:id="1">
    <w:p w14:paraId="74C9F77D" w14:textId="77777777" w:rsidR="00844020" w:rsidRDefault="00844020">
      <w:pPr>
        <w:spacing w:after="0" w:line="240" w:lineRule="auto"/>
      </w:pPr>
    </w:p>
  </w:footnote>
  <w:footnote w:id="2">
    <w:p w14:paraId="51458E25" w14:textId="583F290E" w:rsidR="004D7B01" w:rsidRPr="00B6469F" w:rsidRDefault="004D7B01" w:rsidP="004D7B01">
      <w:pPr>
        <w:pStyle w:val="Textonotapie"/>
        <w:ind w:right="49" w:firstLine="709"/>
        <w:jc w:val="both"/>
        <w:rPr>
          <w:rFonts w:ascii="Verdana" w:hAnsi="Verdana" w:cs="Arial"/>
          <w:color w:val="000000" w:themeColor="text1"/>
          <w:sz w:val="16"/>
          <w:szCs w:val="16"/>
        </w:rPr>
      </w:pPr>
      <w:r w:rsidRPr="00B6469F">
        <w:rPr>
          <w:rStyle w:val="Refdenotaalpie"/>
          <w:rFonts w:ascii="Verdana" w:hAnsi="Verdana" w:cs="Arial"/>
          <w:color w:val="000000" w:themeColor="text1"/>
          <w:sz w:val="16"/>
          <w:szCs w:val="16"/>
        </w:rPr>
        <w:footnoteRef/>
      </w:r>
      <w:r w:rsidRPr="00B6469F">
        <w:rPr>
          <w:rFonts w:ascii="Verdana" w:hAnsi="Verdana" w:cs="Arial"/>
          <w:color w:val="000000" w:themeColor="text1"/>
          <w:sz w:val="16"/>
          <w:szCs w:val="16"/>
        </w:rPr>
        <w:t xml:space="preserve"> Ley 1150 de 2007: </w:t>
      </w:r>
      <w:r w:rsidR="00501C79">
        <w:rPr>
          <w:rFonts w:ascii="Verdana" w:hAnsi="Verdana" w:cs="Arial"/>
          <w:color w:val="000000" w:themeColor="text1"/>
          <w:sz w:val="16"/>
          <w:szCs w:val="16"/>
        </w:rPr>
        <w:t>“</w:t>
      </w:r>
      <w:r w:rsidRPr="00B6469F">
        <w:rPr>
          <w:rFonts w:ascii="Verdana" w:hAnsi="Verdana" w:cs="Arial"/>
          <w:color w:val="000000" w:themeColor="text1"/>
          <w:sz w:val="16"/>
          <w:szCs w:val="16"/>
        </w:rPr>
        <w:t>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746B12E1" w14:textId="2915F464" w:rsidR="004D7B01" w:rsidRPr="00B6469F" w:rsidRDefault="004D7B01" w:rsidP="004D7B01">
      <w:pPr>
        <w:pStyle w:val="Textonotapie"/>
        <w:ind w:right="49" w:firstLine="709"/>
        <w:jc w:val="both"/>
        <w:rPr>
          <w:rFonts w:ascii="Verdana" w:hAnsi="Verdana" w:cs="Arial"/>
          <w:color w:val="000000" w:themeColor="text1"/>
          <w:sz w:val="16"/>
          <w:szCs w:val="16"/>
        </w:rPr>
      </w:pPr>
      <w:r w:rsidRPr="00B6469F">
        <w:rPr>
          <w:rFonts w:ascii="Verdana" w:hAnsi="Verdana" w:cs="Arial"/>
          <w:color w:val="000000" w:themeColor="text1"/>
          <w:sz w:val="16"/>
          <w:szCs w:val="16"/>
        </w:rPr>
        <w:t>Lo anterior, sin perjuicio de las publicaciones previstas en el numeral 3 del artículo 30 de la Ley 80 de 1993.</w:t>
      </w:r>
    </w:p>
    <w:p w14:paraId="4AC04217" w14:textId="4A4D7A04" w:rsidR="004D7B01" w:rsidRPr="00B6469F" w:rsidRDefault="004D7B01" w:rsidP="004D7B01">
      <w:pPr>
        <w:pStyle w:val="Textonotapie"/>
        <w:ind w:right="49" w:firstLine="709"/>
        <w:jc w:val="both"/>
        <w:rPr>
          <w:rFonts w:ascii="Verdana" w:hAnsi="Verdana" w:cs="Arial"/>
          <w:color w:val="000000" w:themeColor="text1"/>
          <w:sz w:val="16"/>
          <w:szCs w:val="16"/>
        </w:rPr>
      </w:pPr>
      <w:r w:rsidRPr="00B6469F">
        <w:rPr>
          <w:rFonts w:ascii="Verdana" w:hAnsi="Verdana" w:cs="Arial"/>
          <w:color w:val="000000" w:themeColor="text1"/>
          <w:sz w:val="16"/>
          <w:szCs w:val="16"/>
        </w:rPr>
        <w:t xml:space="preserve">Con el fin de materializar los objetivos a que se refiere el inciso anterior, el Gobierno Nacional desarrollará el Sistema Electrónico para la Contratación Pública, Secop, el cual: </w:t>
      </w:r>
    </w:p>
    <w:p w14:paraId="4CB44C0A" w14:textId="77777777" w:rsidR="004D7B01" w:rsidRPr="00B6469F" w:rsidRDefault="004D7B01" w:rsidP="004D7B01">
      <w:pPr>
        <w:pStyle w:val="Textonotapie"/>
        <w:ind w:right="49" w:firstLine="709"/>
        <w:jc w:val="both"/>
        <w:rPr>
          <w:rFonts w:ascii="Verdana" w:hAnsi="Verdana" w:cs="Arial"/>
          <w:color w:val="000000" w:themeColor="text1"/>
          <w:sz w:val="16"/>
          <w:szCs w:val="16"/>
        </w:rPr>
      </w:pPr>
      <w:r w:rsidRPr="00B6469F">
        <w:rPr>
          <w:rFonts w:ascii="Verdana" w:hAnsi="Verdana" w:cs="Arial"/>
          <w:color w:val="000000" w:themeColor="text1"/>
          <w:sz w:val="16"/>
          <w:szCs w:val="16"/>
        </w:rPr>
        <w:t>[…]</w:t>
      </w:r>
    </w:p>
    <w:p w14:paraId="3BD5F3C0" w14:textId="194ED58E" w:rsidR="004D7B01" w:rsidRPr="00B6469F" w:rsidRDefault="004D7B01" w:rsidP="004D7B01">
      <w:pPr>
        <w:pStyle w:val="Textonotapie"/>
        <w:ind w:right="49" w:firstLine="709"/>
        <w:jc w:val="both"/>
        <w:rPr>
          <w:rFonts w:ascii="Verdana" w:hAnsi="Verdana" w:cs="Arial"/>
          <w:color w:val="000000" w:themeColor="text1"/>
          <w:sz w:val="16"/>
          <w:szCs w:val="16"/>
        </w:rPr>
      </w:pPr>
      <w:r w:rsidRPr="00B6469F">
        <w:rPr>
          <w:rFonts w:ascii="Verdana" w:hAnsi="Verdana" w:cs="Arial"/>
          <w:color w:val="000000" w:themeColor="text1"/>
          <w:sz w:val="16"/>
          <w:szCs w:val="16"/>
        </w:rPr>
        <w:t>c) Contará con la información oficial de la contratación realizada con dineros públicos, para lo cual establecerá los patrones a que haya lugar y se encargará de su difusión a través de canales electrónico</w:t>
      </w:r>
      <w:r w:rsidR="00501C79">
        <w:rPr>
          <w:rFonts w:ascii="Verdana" w:hAnsi="Verdana" w:cs="Arial"/>
          <w:color w:val="000000" w:themeColor="text1"/>
          <w:sz w:val="16"/>
          <w:szCs w:val="16"/>
        </w:rPr>
        <w:t>”</w:t>
      </w:r>
      <w:r w:rsidRPr="00B6469F">
        <w:rPr>
          <w:rFonts w:ascii="Verdana" w:hAnsi="Verdana" w:cs="Arial"/>
          <w:color w:val="000000" w:themeColor="text1"/>
          <w:sz w:val="16"/>
          <w:szCs w:val="16"/>
        </w:rPr>
        <w:t xml:space="preserve">. </w:t>
      </w:r>
    </w:p>
    <w:p w14:paraId="19F4D79B" w14:textId="77777777" w:rsidR="004D7B01" w:rsidRPr="00B6469F" w:rsidRDefault="004D7B01" w:rsidP="004D7B01">
      <w:pPr>
        <w:pStyle w:val="Textonotapie"/>
        <w:ind w:right="49"/>
        <w:jc w:val="both"/>
        <w:rPr>
          <w:rFonts w:ascii="Verdana" w:hAnsi="Verdana" w:cs="Arial"/>
          <w:color w:val="000000" w:themeColor="text1"/>
          <w:sz w:val="16"/>
          <w:szCs w:val="16"/>
        </w:rPr>
      </w:pPr>
    </w:p>
  </w:footnote>
  <w:footnote w:id="3">
    <w:p w14:paraId="61001A64" w14:textId="77777777" w:rsidR="004D7B01" w:rsidRPr="00B6469F" w:rsidRDefault="004D7B01" w:rsidP="004D7B01">
      <w:pPr>
        <w:pStyle w:val="Textonotapie"/>
        <w:ind w:right="49" w:firstLine="709"/>
        <w:jc w:val="both"/>
        <w:rPr>
          <w:rFonts w:ascii="Verdana" w:hAnsi="Verdana" w:cs="Arial"/>
          <w:color w:val="000000" w:themeColor="text1"/>
          <w:sz w:val="16"/>
          <w:szCs w:val="16"/>
        </w:rPr>
      </w:pPr>
      <w:r w:rsidRPr="00B6469F">
        <w:rPr>
          <w:rStyle w:val="Refdenotaalpie"/>
          <w:rFonts w:ascii="Verdana" w:hAnsi="Verdana" w:cs="Arial"/>
          <w:color w:val="000000" w:themeColor="text1"/>
          <w:sz w:val="16"/>
          <w:szCs w:val="16"/>
        </w:rPr>
        <w:footnoteRef/>
      </w:r>
      <w:r w:rsidRPr="00B6469F">
        <w:rPr>
          <w:rFonts w:ascii="Verdana" w:hAnsi="Verdana" w:cs="Arial"/>
          <w:color w:val="000000" w:themeColor="text1"/>
          <w:sz w:val="16"/>
          <w:szCs w:val="16"/>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5C015A4C" w14:textId="77777777" w:rsidR="004D7B01" w:rsidRPr="00B6469F" w:rsidRDefault="004D7B01" w:rsidP="004D7B01">
      <w:pPr>
        <w:pStyle w:val="Textonotapie"/>
        <w:ind w:right="49" w:firstLine="709"/>
        <w:jc w:val="both"/>
        <w:rPr>
          <w:rFonts w:ascii="Verdana" w:hAnsi="Verdana" w:cs="Arial"/>
          <w:color w:val="000000" w:themeColor="text1"/>
          <w:sz w:val="16"/>
          <w:szCs w:val="16"/>
        </w:rPr>
      </w:pPr>
    </w:p>
  </w:footnote>
  <w:footnote w:id="4">
    <w:p w14:paraId="3AF20BFF" w14:textId="77777777" w:rsidR="004D7B01" w:rsidRPr="00B6469F" w:rsidRDefault="004D7B01" w:rsidP="004D7B01">
      <w:pPr>
        <w:pStyle w:val="Textonotapie"/>
        <w:ind w:right="49" w:firstLine="709"/>
        <w:jc w:val="both"/>
        <w:rPr>
          <w:rFonts w:ascii="Verdana" w:hAnsi="Verdana" w:cs="Arial"/>
          <w:color w:val="000000" w:themeColor="text1"/>
          <w:sz w:val="16"/>
          <w:szCs w:val="16"/>
        </w:rPr>
      </w:pPr>
      <w:r w:rsidRPr="00B6469F">
        <w:rPr>
          <w:rStyle w:val="Refdenotaalpie"/>
          <w:rFonts w:ascii="Verdana" w:hAnsi="Verdana" w:cs="Arial"/>
          <w:color w:val="000000" w:themeColor="text1"/>
          <w:sz w:val="16"/>
          <w:szCs w:val="16"/>
        </w:rPr>
        <w:footnoteRef/>
      </w:r>
      <w:r w:rsidRPr="00B6469F">
        <w:rPr>
          <w:rFonts w:ascii="Verdana" w:hAnsi="Verdana" w:cs="Arial"/>
          <w:color w:val="000000" w:themeColor="text1"/>
          <w:sz w:val="16"/>
          <w:szCs w:val="16"/>
        </w:rPr>
        <w:t xml:space="preserve"> Ley 1712 de 2014: «Artículo 5. Ámbito de aplicación. Las disposiciones de esta ley serán aplicables a las siguientes personas en calidad de sujetos obligados: </w:t>
      </w:r>
    </w:p>
    <w:p w14:paraId="72C30F2C" w14:textId="77777777" w:rsidR="004D7B01" w:rsidRPr="00B6469F" w:rsidRDefault="004D7B01" w:rsidP="004D7B01">
      <w:pPr>
        <w:pStyle w:val="Textonotapie"/>
        <w:ind w:right="49" w:firstLine="709"/>
        <w:jc w:val="both"/>
        <w:rPr>
          <w:rFonts w:ascii="Verdana" w:hAnsi="Verdana" w:cs="Arial"/>
          <w:color w:val="000000" w:themeColor="text1"/>
          <w:sz w:val="16"/>
          <w:szCs w:val="16"/>
        </w:rPr>
      </w:pPr>
      <w:r w:rsidRPr="00B6469F">
        <w:rPr>
          <w:rFonts w:ascii="Verdana" w:hAnsi="Verdana" w:cs="Arial"/>
          <w:color w:val="000000" w:themeColor="text1"/>
          <w:sz w:val="16"/>
          <w:szCs w:val="16"/>
        </w:rPr>
        <w:t>»a)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14:paraId="402A0D83" w14:textId="77777777" w:rsidR="004D7B01" w:rsidRPr="00B6469F" w:rsidRDefault="004D7B01" w:rsidP="004D7B01">
      <w:pPr>
        <w:pStyle w:val="Textonotapie"/>
        <w:ind w:right="49" w:firstLine="709"/>
        <w:jc w:val="both"/>
        <w:rPr>
          <w:rFonts w:ascii="Verdana" w:hAnsi="Verdana" w:cs="Arial"/>
          <w:color w:val="000000" w:themeColor="text1"/>
          <w:sz w:val="16"/>
          <w:szCs w:val="16"/>
        </w:rPr>
      </w:pPr>
    </w:p>
  </w:footnote>
  <w:footnote w:id="5">
    <w:p w14:paraId="28551E40" w14:textId="703B2B75" w:rsidR="004D7B01" w:rsidRPr="00B6469F" w:rsidRDefault="004D7B01" w:rsidP="004D7B01">
      <w:pPr>
        <w:pStyle w:val="Textonotapie"/>
        <w:ind w:right="49" w:firstLine="709"/>
        <w:jc w:val="both"/>
        <w:rPr>
          <w:rFonts w:ascii="Verdana" w:hAnsi="Verdana" w:cs="Arial"/>
          <w:color w:val="000000" w:themeColor="text1"/>
          <w:sz w:val="16"/>
          <w:szCs w:val="16"/>
        </w:rPr>
      </w:pPr>
      <w:r w:rsidRPr="00B6469F">
        <w:rPr>
          <w:rFonts w:ascii="Verdana" w:hAnsi="Verdana" w:cs="Arial"/>
          <w:color w:val="000000" w:themeColor="text1"/>
          <w:sz w:val="16"/>
          <w:szCs w:val="16"/>
          <w:vertAlign w:val="superscript"/>
          <w:lang w:val="es-ES" w:eastAsia="es-ES"/>
        </w:rPr>
        <w:footnoteRef/>
      </w:r>
      <w:r w:rsidRPr="00B6469F">
        <w:rPr>
          <w:rFonts w:ascii="Verdana" w:hAnsi="Verdana" w:cs="Arial"/>
          <w:color w:val="000000" w:themeColor="text1"/>
          <w:sz w:val="16"/>
          <w:szCs w:val="16"/>
          <w:vertAlign w:val="superscript"/>
          <w:lang w:val="es-ES" w:eastAsia="es-ES"/>
        </w:rPr>
        <w:t xml:space="preserve"> </w:t>
      </w:r>
      <w:r w:rsidR="00501C79">
        <w:rPr>
          <w:rFonts w:ascii="Verdana" w:hAnsi="Verdana" w:cs="Arial"/>
          <w:color w:val="000000" w:themeColor="text1"/>
          <w:sz w:val="16"/>
          <w:szCs w:val="16"/>
          <w:lang w:val="es-ES" w:eastAsia="es-ES"/>
        </w:rPr>
        <w:t>“</w:t>
      </w:r>
      <w:r w:rsidRPr="00B6469F">
        <w:rPr>
          <w:rFonts w:ascii="Verdana" w:hAnsi="Verdana" w:cs="Arial"/>
          <w:color w:val="000000" w:themeColor="text1"/>
          <w:sz w:val="16"/>
          <w:szCs w:val="16"/>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647657E9" w14:textId="77777777" w:rsidR="004D7B01" w:rsidRPr="00B6469F" w:rsidRDefault="004D7B01" w:rsidP="004D7B01">
      <w:pPr>
        <w:pStyle w:val="Textonotapie"/>
        <w:ind w:right="49" w:firstLine="709"/>
        <w:jc w:val="both"/>
        <w:rPr>
          <w:rFonts w:ascii="Verdana" w:hAnsi="Verdana" w:cs="Arial"/>
          <w:color w:val="000000" w:themeColor="text1"/>
          <w:sz w:val="16"/>
          <w:szCs w:val="16"/>
          <w:lang w:val="es-ES" w:eastAsia="es-ES"/>
        </w:rPr>
      </w:pPr>
      <w:r w:rsidRPr="00B6469F">
        <w:rPr>
          <w:rFonts w:ascii="Verdana" w:hAnsi="Verdana" w:cs="Arial"/>
          <w:color w:val="000000" w:themeColor="text1"/>
          <w:sz w:val="16"/>
          <w:szCs w:val="16"/>
        </w:rPr>
        <w:t>[…].</w:t>
      </w:r>
    </w:p>
    <w:p w14:paraId="3F3A75BB" w14:textId="5EFE5C38" w:rsidR="004D7B01" w:rsidRPr="00B6469F" w:rsidRDefault="004D7B01" w:rsidP="004D7B01">
      <w:pPr>
        <w:pStyle w:val="Textonotapie"/>
        <w:ind w:right="49" w:firstLine="709"/>
        <w:jc w:val="both"/>
        <w:rPr>
          <w:rFonts w:ascii="Verdana" w:hAnsi="Verdana" w:cs="Arial"/>
          <w:color w:val="000000" w:themeColor="text1"/>
          <w:sz w:val="16"/>
          <w:szCs w:val="16"/>
          <w:lang w:val="es-ES" w:eastAsia="es-ES"/>
        </w:rPr>
      </w:pPr>
      <w:r w:rsidRPr="00B6469F">
        <w:rPr>
          <w:rFonts w:ascii="Verdana" w:hAnsi="Verdana" w:cs="Arial"/>
          <w:color w:val="000000" w:themeColor="text1"/>
          <w:sz w:val="16"/>
          <w:szCs w:val="16"/>
          <w:lang w:val="es-ES" w:eastAsia="es-ES"/>
        </w:rPr>
        <w:t>»Los sujetos obligados que contratan con recursos públicos y recursos privados, deben publicar la información de su gestión contractual con cargo a recursos públicos en el Sistema Electrónico para la Contratación Pública [SECOP]</w:t>
      </w:r>
      <w:r w:rsidR="00501C79">
        <w:rPr>
          <w:rFonts w:ascii="Verdana" w:hAnsi="Verdana" w:cs="Arial"/>
          <w:color w:val="000000" w:themeColor="text1"/>
          <w:sz w:val="16"/>
          <w:szCs w:val="16"/>
          <w:lang w:val="es-ES" w:eastAsia="es-ES"/>
        </w:rPr>
        <w:t>”</w:t>
      </w:r>
      <w:r w:rsidRPr="00B6469F">
        <w:rPr>
          <w:rFonts w:ascii="Verdana" w:hAnsi="Verdana" w:cs="Arial"/>
          <w:color w:val="000000" w:themeColor="text1"/>
          <w:sz w:val="16"/>
          <w:szCs w:val="16"/>
          <w:lang w:val="es-ES" w:eastAsia="es-ES"/>
        </w:rPr>
        <w:t>.</w:t>
      </w:r>
    </w:p>
  </w:footnote>
  <w:footnote w:id="6">
    <w:p w14:paraId="40C35948" w14:textId="554AEC15" w:rsidR="004D7B01" w:rsidRPr="00B6469F" w:rsidRDefault="004D7B01" w:rsidP="004D7B01">
      <w:pPr>
        <w:pStyle w:val="Textonotapie"/>
        <w:ind w:right="49" w:firstLine="709"/>
        <w:jc w:val="both"/>
        <w:rPr>
          <w:rFonts w:ascii="Verdana" w:hAnsi="Verdana" w:cs="Arial"/>
          <w:color w:val="000000" w:themeColor="text1"/>
          <w:sz w:val="16"/>
          <w:szCs w:val="16"/>
        </w:rPr>
      </w:pPr>
      <w:r w:rsidRPr="00B6469F">
        <w:rPr>
          <w:rStyle w:val="Refdenotaalpie"/>
          <w:rFonts w:ascii="Verdana" w:hAnsi="Verdana" w:cs="Arial"/>
          <w:color w:val="000000" w:themeColor="text1"/>
          <w:sz w:val="16"/>
          <w:szCs w:val="16"/>
        </w:rPr>
        <w:footnoteRef/>
      </w:r>
      <w:r w:rsidRPr="00B6469F">
        <w:rPr>
          <w:rFonts w:ascii="Verdana" w:hAnsi="Verdana" w:cs="Arial"/>
          <w:color w:val="000000" w:themeColor="text1"/>
          <w:sz w:val="16"/>
          <w:szCs w:val="16"/>
        </w:rPr>
        <w:t xml:space="preserve"> C</w:t>
      </w:r>
      <w:r w:rsidRPr="00B6469F">
        <w:rPr>
          <w:rFonts w:ascii="Verdana" w:hAnsi="Verdana" w:cs="Arial"/>
          <w:color w:val="000000" w:themeColor="text1"/>
          <w:sz w:val="16"/>
          <w:szCs w:val="16"/>
          <w:lang w:val="es-ES" w:eastAsia="es-ES"/>
        </w:rPr>
        <w:t xml:space="preserve">orte Constitucional. Sentencia C-274 de 9 de mayo de 2013. M.P. María Victoria Calle Correa. </w:t>
      </w:r>
    </w:p>
    <w:p w14:paraId="2144EA89" w14:textId="77777777" w:rsidR="004D7B01" w:rsidRPr="00B6469F" w:rsidRDefault="004D7B01" w:rsidP="004D7B01">
      <w:pPr>
        <w:pStyle w:val="Textonotapie"/>
        <w:ind w:right="49" w:firstLine="709"/>
        <w:jc w:val="both"/>
        <w:rPr>
          <w:rFonts w:ascii="Verdana" w:hAnsi="Verdana" w:cs="Arial"/>
          <w:color w:val="000000" w:themeColor="text1"/>
          <w:sz w:val="16"/>
          <w:szCs w:val="16"/>
        </w:rPr>
      </w:pPr>
    </w:p>
  </w:footnote>
  <w:footnote w:id="7">
    <w:p w14:paraId="6BE65944" w14:textId="77777777" w:rsidR="004D7B01" w:rsidRPr="00B6469F" w:rsidRDefault="004D7B01" w:rsidP="004D7B01">
      <w:pPr>
        <w:pStyle w:val="Textonotapie"/>
        <w:ind w:right="49" w:firstLine="708"/>
        <w:jc w:val="both"/>
        <w:rPr>
          <w:rFonts w:ascii="Verdana" w:hAnsi="Verdana" w:cs="Arial"/>
          <w:color w:val="000000" w:themeColor="text1"/>
          <w:sz w:val="16"/>
          <w:szCs w:val="16"/>
        </w:rPr>
      </w:pPr>
      <w:r w:rsidRPr="00B6469F">
        <w:rPr>
          <w:rStyle w:val="Refdenotaalpie"/>
          <w:rFonts w:ascii="Verdana" w:hAnsi="Verdana" w:cs="Arial"/>
          <w:color w:val="000000" w:themeColor="text1"/>
          <w:sz w:val="16"/>
          <w:szCs w:val="16"/>
        </w:rPr>
        <w:footnoteRef/>
      </w:r>
      <w:r w:rsidRPr="00B6469F">
        <w:rPr>
          <w:rFonts w:ascii="Verdana" w:hAnsi="Verdana" w:cs="Arial"/>
          <w:color w:val="000000" w:themeColor="text1"/>
          <w:sz w:val="16"/>
          <w:szCs w:val="16"/>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7EFB7B30" w14:textId="5F24BD70" w:rsidR="004D7B01" w:rsidRPr="00B6469F" w:rsidRDefault="004D7B01" w:rsidP="004D7B01">
      <w:pPr>
        <w:pStyle w:val="Textonotapie"/>
        <w:ind w:right="49" w:firstLine="708"/>
        <w:jc w:val="both"/>
        <w:rPr>
          <w:rFonts w:ascii="Verdana" w:hAnsi="Verdana" w:cs="Arial"/>
          <w:color w:val="000000" w:themeColor="text1"/>
          <w:sz w:val="16"/>
          <w:szCs w:val="16"/>
        </w:rPr>
      </w:pPr>
      <w:r w:rsidRPr="00B6469F">
        <w:rPr>
          <w:rFonts w:ascii="Verdana" w:hAnsi="Verdana" w:cs="Arial"/>
          <w:color w:val="000000" w:themeColor="text1"/>
          <w:sz w:val="16"/>
          <w:szCs w:val="16"/>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14:paraId="10B1D973" w14:textId="77777777" w:rsidR="004D7B01" w:rsidRPr="00B6469F" w:rsidRDefault="004D7B01" w:rsidP="004D7B01">
      <w:pPr>
        <w:pStyle w:val="Textonotapie"/>
        <w:ind w:right="49"/>
        <w:jc w:val="both"/>
        <w:rPr>
          <w:rFonts w:ascii="Verdana" w:hAnsi="Verdana" w:cs="Arial"/>
          <w:color w:val="000000" w:themeColor="text1"/>
          <w:sz w:val="16"/>
          <w:szCs w:val="16"/>
          <w:lang w:val="es-ES"/>
        </w:rPr>
      </w:pPr>
    </w:p>
  </w:footnote>
  <w:footnote w:id="8">
    <w:p w14:paraId="11EFD1BE" w14:textId="77777777" w:rsidR="004D7B01" w:rsidRPr="00B6469F" w:rsidRDefault="004D7B01" w:rsidP="004D7B01">
      <w:pPr>
        <w:pStyle w:val="Textonotapie"/>
        <w:ind w:right="49" w:firstLine="708"/>
        <w:jc w:val="both"/>
        <w:rPr>
          <w:rFonts w:ascii="Verdana" w:hAnsi="Verdana" w:cs="Arial"/>
          <w:color w:val="000000" w:themeColor="text1"/>
          <w:sz w:val="16"/>
          <w:szCs w:val="16"/>
        </w:rPr>
      </w:pPr>
      <w:r w:rsidRPr="00B6469F">
        <w:rPr>
          <w:rStyle w:val="Refdenotaalpie"/>
          <w:rFonts w:ascii="Verdana" w:hAnsi="Verdana" w:cs="Arial"/>
          <w:color w:val="000000" w:themeColor="text1"/>
          <w:sz w:val="16"/>
          <w:szCs w:val="16"/>
        </w:rPr>
        <w:footnoteRef/>
      </w:r>
      <w:r w:rsidRPr="00B6469F">
        <w:rPr>
          <w:rFonts w:ascii="Verdana" w:hAnsi="Verdana" w:cs="Arial"/>
          <w:color w:val="000000" w:themeColor="text1"/>
          <w:sz w:val="16"/>
          <w:szCs w:val="16"/>
        </w:rPr>
        <w:t xml:space="preserve"> Consejo de Estado. Sección Tercera. Sentencia del 14 de diciembre de 2007. Exp. 24.715. C.P. Ruth Stella Correa Palacio.</w:t>
      </w:r>
    </w:p>
    <w:p w14:paraId="384E2C02" w14:textId="77777777" w:rsidR="004D7B01" w:rsidRPr="00B6469F" w:rsidRDefault="004D7B01" w:rsidP="004D7B01">
      <w:pPr>
        <w:pStyle w:val="Textonotapie"/>
        <w:ind w:right="49" w:firstLine="708"/>
        <w:jc w:val="both"/>
        <w:rPr>
          <w:rFonts w:ascii="Verdana" w:hAnsi="Verdana" w:cs="Arial"/>
          <w:color w:val="000000" w:themeColor="text1"/>
          <w:sz w:val="16"/>
          <w:szCs w:val="16"/>
          <w:lang w:val="es-ES"/>
        </w:rPr>
      </w:pPr>
      <w:r w:rsidRPr="00B6469F">
        <w:rPr>
          <w:rFonts w:ascii="Verdana" w:hAnsi="Verdana" w:cs="Arial"/>
          <w:color w:val="000000" w:themeColor="text1"/>
          <w:sz w:val="16"/>
          <w:szCs w:val="16"/>
        </w:rPr>
        <w:t xml:space="preserve"> </w:t>
      </w:r>
    </w:p>
  </w:footnote>
  <w:footnote w:id="9">
    <w:p w14:paraId="2CCE7AE9" w14:textId="77777777" w:rsidR="00190A95" w:rsidRPr="00B6469F" w:rsidRDefault="00190A95" w:rsidP="00190A95">
      <w:pPr>
        <w:spacing w:before="76"/>
        <w:ind w:right="49" w:firstLine="708"/>
        <w:jc w:val="both"/>
        <w:rPr>
          <w:rFonts w:ascii="Verdana" w:hAnsi="Verdana" w:cs="Arial"/>
          <w:color w:val="000000" w:themeColor="text1"/>
          <w:sz w:val="16"/>
          <w:szCs w:val="16"/>
        </w:rPr>
      </w:pPr>
      <w:r w:rsidRPr="00B6469F">
        <w:rPr>
          <w:rStyle w:val="Refdenotaalpie"/>
          <w:rFonts w:ascii="Verdana" w:hAnsi="Verdana" w:cs="Arial"/>
          <w:color w:val="000000" w:themeColor="text1"/>
          <w:sz w:val="16"/>
          <w:szCs w:val="16"/>
        </w:rPr>
        <w:footnoteRef/>
      </w:r>
      <w:r w:rsidRPr="00B6469F">
        <w:rPr>
          <w:rFonts w:ascii="Verdana" w:hAnsi="Verdana" w:cs="Arial"/>
          <w:color w:val="000000" w:themeColor="text1"/>
          <w:sz w:val="16"/>
          <w:szCs w:val="16"/>
        </w:rPr>
        <w:t xml:space="preserve"> Ley 1150 de 2007: «Artículo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w:t>
      </w:r>
      <w:r w:rsidRPr="00B6469F">
        <w:rPr>
          <w:rFonts w:ascii="Verdana" w:hAnsi="Verdana" w:cs="Arial"/>
          <w:color w:val="000000" w:themeColor="text1"/>
          <w:spacing w:val="-3"/>
          <w:sz w:val="16"/>
          <w:szCs w:val="16"/>
        </w:rPr>
        <w:t xml:space="preserve"> </w:t>
      </w:r>
      <w:r w:rsidRPr="00B6469F">
        <w:rPr>
          <w:rFonts w:ascii="Verdana" w:hAnsi="Verdana" w:cs="Arial"/>
          <w:color w:val="000000" w:themeColor="text1"/>
          <w:sz w:val="16"/>
          <w:szCs w:val="16"/>
        </w:rPr>
        <w:t>Nacional.</w:t>
      </w:r>
    </w:p>
    <w:p w14:paraId="084DFC56" w14:textId="77777777" w:rsidR="00190A95" w:rsidRPr="00B6469F" w:rsidRDefault="00190A95" w:rsidP="00190A95">
      <w:pPr>
        <w:ind w:right="49" w:firstLine="708"/>
        <w:jc w:val="both"/>
        <w:rPr>
          <w:rFonts w:ascii="Verdana" w:hAnsi="Verdana" w:cs="Arial"/>
          <w:color w:val="000000" w:themeColor="text1"/>
          <w:sz w:val="16"/>
          <w:szCs w:val="16"/>
        </w:rPr>
      </w:pPr>
      <w:r w:rsidRPr="00B6469F">
        <w:rPr>
          <w:rFonts w:ascii="Verdana" w:hAnsi="Verdana" w:cs="Arial"/>
          <w:color w:val="000000" w:themeColor="text1"/>
          <w:sz w:val="16"/>
          <w:szCs w:val="16"/>
        </w:rPr>
        <w:t>»Lo anterior, sin perjuicio de las publicaciones previstas en el numeral 3 del artículo 30 de la Ley 80 de 1993.</w:t>
      </w:r>
    </w:p>
    <w:p w14:paraId="32D631DB" w14:textId="77777777" w:rsidR="00190A95" w:rsidRPr="00B6469F" w:rsidRDefault="00190A95" w:rsidP="00190A95">
      <w:pPr>
        <w:ind w:right="49" w:firstLine="708"/>
        <w:jc w:val="both"/>
        <w:rPr>
          <w:rFonts w:ascii="Verdana" w:hAnsi="Verdana" w:cs="Arial"/>
          <w:color w:val="000000" w:themeColor="text1"/>
          <w:sz w:val="16"/>
          <w:szCs w:val="16"/>
        </w:rPr>
      </w:pPr>
      <w:r w:rsidRPr="00B6469F">
        <w:rPr>
          <w:rFonts w:ascii="Verdana" w:hAnsi="Verdana" w:cs="Arial"/>
          <w:color w:val="000000" w:themeColor="text1"/>
          <w:sz w:val="16"/>
          <w:szCs w:val="16"/>
        </w:rPr>
        <w:t>»Con el fin de materializar los objetivos a que se refiere el inciso anterior, el Gobierno Nacional desarrollará el Sistema Electrónico para la Contratación Pública, Secop, el cual:</w:t>
      </w:r>
    </w:p>
    <w:p w14:paraId="5E436464" w14:textId="77777777" w:rsidR="00190A95" w:rsidRPr="00B6469F" w:rsidRDefault="00190A95" w:rsidP="00190A95">
      <w:pPr>
        <w:ind w:right="49" w:firstLine="708"/>
        <w:jc w:val="both"/>
        <w:rPr>
          <w:rFonts w:ascii="Verdana" w:hAnsi="Verdana" w:cs="Arial"/>
          <w:color w:val="000000" w:themeColor="text1"/>
          <w:sz w:val="16"/>
          <w:szCs w:val="16"/>
        </w:rPr>
      </w:pPr>
      <w:r w:rsidRPr="00B6469F">
        <w:rPr>
          <w:rFonts w:ascii="Verdana" w:hAnsi="Verdana" w:cs="Arial"/>
          <w:color w:val="000000" w:themeColor="text1"/>
          <w:sz w:val="16"/>
          <w:szCs w:val="16"/>
        </w:rPr>
        <w:t>»a) Dispondrá de las funcionalidades tecnológicas para realizar procesos de contratación electrónicos bajo los métodos de selección señalados en el artículo 2o de la presente ley según lo defina el reglamento;</w:t>
      </w:r>
    </w:p>
    <w:p w14:paraId="5A6F3541" w14:textId="77777777" w:rsidR="00190A95" w:rsidRPr="00B6469F" w:rsidRDefault="00190A95" w:rsidP="00190A95">
      <w:pPr>
        <w:ind w:right="49" w:firstLine="708"/>
        <w:jc w:val="both"/>
        <w:rPr>
          <w:rFonts w:ascii="Verdana" w:hAnsi="Verdana" w:cs="Arial"/>
          <w:color w:val="000000" w:themeColor="text1"/>
          <w:sz w:val="16"/>
          <w:szCs w:val="16"/>
        </w:rPr>
      </w:pPr>
      <w:r w:rsidRPr="00B6469F">
        <w:rPr>
          <w:rFonts w:ascii="Verdana" w:hAnsi="Verdana" w:cs="Arial"/>
          <w:color w:val="000000" w:themeColor="text1"/>
          <w:sz w:val="16"/>
          <w:szCs w:val="16"/>
        </w:rPr>
        <w:t>»b) Servirá de punto único de ingreso de información y de generación de reportes para las entidades estatales y la ciudadanía;</w:t>
      </w:r>
    </w:p>
    <w:p w14:paraId="775AF226" w14:textId="77777777" w:rsidR="00190A95" w:rsidRPr="00B6469F" w:rsidRDefault="00190A95" w:rsidP="00190A95">
      <w:pPr>
        <w:ind w:right="49" w:firstLine="708"/>
        <w:jc w:val="both"/>
        <w:rPr>
          <w:rFonts w:ascii="Verdana" w:hAnsi="Verdana" w:cs="Arial"/>
          <w:color w:val="000000" w:themeColor="text1"/>
          <w:sz w:val="16"/>
          <w:szCs w:val="16"/>
        </w:rPr>
      </w:pPr>
      <w:r w:rsidRPr="00B6469F">
        <w:rPr>
          <w:rFonts w:ascii="Verdana" w:hAnsi="Verdana" w:cs="Arial"/>
          <w:color w:val="000000" w:themeColor="text1"/>
          <w:sz w:val="16"/>
          <w:szCs w:val="16"/>
        </w:rPr>
        <w:t>»c) Contará con la información oficial de la contratación realizada con dineros públicos, para lo cual establecerá los patrones a que haya lugar y se encargará de su difusión a través de canales electrónicos y;</w:t>
      </w:r>
    </w:p>
    <w:p w14:paraId="77089F73" w14:textId="77777777" w:rsidR="00190A95" w:rsidRPr="00B6469F" w:rsidRDefault="00190A95" w:rsidP="00190A95">
      <w:pPr>
        <w:ind w:right="49" w:firstLine="708"/>
        <w:jc w:val="both"/>
        <w:rPr>
          <w:rFonts w:ascii="Verdana" w:hAnsi="Verdana" w:cs="Arial"/>
          <w:color w:val="000000" w:themeColor="text1"/>
          <w:sz w:val="16"/>
          <w:szCs w:val="16"/>
        </w:rPr>
      </w:pPr>
      <w:r w:rsidRPr="00B6469F">
        <w:rPr>
          <w:rFonts w:ascii="Verdana" w:hAnsi="Verdana" w:cs="Arial"/>
          <w:color w:val="000000" w:themeColor="text1"/>
          <w:sz w:val="16"/>
          <w:szCs w:val="16"/>
        </w:rPr>
        <w:t>»d) Integrará el Registro Unico Empresarial de las Cámaras de Comercio, el Diario Unico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20DA0487" w14:textId="77777777" w:rsidR="00190A95" w:rsidRPr="00B6469F" w:rsidRDefault="00190A95" w:rsidP="00190A95">
      <w:pPr>
        <w:pStyle w:val="Textonotapie"/>
        <w:ind w:right="49"/>
        <w:jc w:val="both"/>
        <w:rPr>
          <w:rFonts w:ascii="Verdana" w:hAnsi="Verdana" w:cs="Arial"/>
          <w:color w:val="000000" w:themeColor="text1"/>
          <w:sz w:val="16"/>
          <w:szCs w:val="16"/>
        </w:rPr>
      </w:pPr>
    </w:p>
  </w:footnote>
  <w:footnote w:id="10">
    <w:p w14:paraId="66EC6B5C" w14:textId="77777777" w:rsidR="00190A95" w:rsidRPr="00B6469F" w:rsidRDefault="00190A95" w:rsidP="00190A95">
      <w:pPr>
        <w:pStyle w:val="Textonotapie"/>
        <w:ind w:firstLine="708"/>
        <w:jc w:val="both"/>
        <w:rPr>
          <w:rFonts w:ascii="Verdana" w:hAnsi="Verdana" w:cs="Arial"/>
          <w:sz w:val="16"/>
          <w:szCs w:val="16"/>
        </w:rPr>
      </w:pPr>
      <w:r w:rsidRPr="00B6469F">
        <w:rPr>
          <w:rStyle w:val="Refdenotaalpie"/>
          <w:rFonts w:ascii="Verdana" w:hAnsi="Verdana" w:cs="Arial"/>
          <w:sz w:val="16"/>
          <w:szCs w:val="16"/>
        </w:rPr>
        <w:footnoteRef/>
      </w:r>
      <w:r w:rsidRPr="00B6469F">
        <w:rPr>
          <w:rFonts w:ascii="Verdana" w:hAnsi="Verdana" w:cs="Arial"/>
          <w:sz w:val="16"/>
          <w:szCs w:val="16"/>
        </w:rPr>
        <w:t xml:space="preserve"> Si bien el artículo 2.2.1.1.1.7.1. del Decreto 1082 de 2015 no dice que el término para publicar sea de días hábiles, la Ley 4 de 1913, por un lado, en el artículo 59, establece que los plazos a los que se haga mención en la ley terminan a la medianoche, y que por día se entiende el espacio de veinticuatro horas; mientras que el artículo 62 establece que de los plazos de días señalados en la ley se entienden suprimidos los feriados, y que cuando se aluda a meses se computarán conforme al calendario, extendiéndose hasta el día hábil siguiente si el mes termina en un día feriado o vacante, lo que significa que lo días referidos en la ley deben entenderse como hábiles. Respecto a la noción de día hábil, son relevantes las consideraciones expuestas por esta Subdirección en el concepto C-160 del 3 de abril de 2020 –radicado No. 2202013000002420–, donde se expuso que «[…] los días hábiles se determinan según la entidad, ya que “cada entidad pública establece la jornada laboral, a través de su reglamento interno, dando certeza sobre los días que atienden al público, e indirectamente definiendo qué día es hábil en determinada institución”, por lo que días hábiles son aquellos de la semana durante los cuales las entidades públicas ejercen sus funciones al público, los cuales son, por regla general, todos los días de la semana, con excepción de los sábados, domingos y feriados previstos en la generalidad de entidades como días de descanso».</w:t>
      </w:r>
    </w:p>
    <w:p w14:paraId="16DF8ABB" w14:textId="77777777" w:rsidR="00190A95" w:rsidRPr="00B6469F" w:rsidRDefault="00190A95" w:rsidP="00190A95">
      <w:pPr>
        <w:pStyle w:val="Textonotapie"/>
        <w:ind w:firstLine="708"/>
        <w:jc w:val="both"/>
        <w:rPr>
          <w:rFonts w:ascii="Verdana" w:hAnsi="Verdana" w:cs="Arial"/>
          <w:sz w:val="16"/>
          <w:szCs w:val="16"/>
        </w:rPr>
      </w:pPr>
    </w:p>
  </w:footnote>
  <w:footnote w:id="11">
    <w:p w14:paraId="18D9E767" w14:textId="77777777" w:rsidR="00190A95" w:rsidRPr="00B6469F" w:rsidRDefault="00190A95" w:rsidP="00190A95">
      <w:pPr>
        <w:pStyle w:val="NormalWeb"/>
        <w:spacing w:before="0" w:beforeAutospacing="0" w:after="0" w:afterAutospacing="0"/>
        <w:ind w:firstLine="708"/>
        <w:jc w:val="both"/>
        <w:rPr>
          <w:rFonts w:ascii="Verdana" w:hAnsi="Verdana" w:cs="Arial"/>
          <w:color w:val="000000"/>
          <w:sz w:val="16"/>
          <w:szCs w:val="16"/>
        </w:rPr>
      </w:pPr>
      <w:r w:rsidRPr="00B6469F">
        <w:rPr>
          <w:rStyle w:val="Refdenotaalpie"/>
          <w:rFonts w:ascii="Verdana" w:hAnsi="Verdana" w:cs="Arial"/>
          <w:sz w:val="16"/>
          <w:szCs w:val="16"/>
        </w:rPr>
        <w:footnoteRef/>
      </w:r>
      <w:r w:rsidRPr="00B6469F">
        <w:rPr>
          <w:rFonts w:ascii="Verdana" w:hAnsi="Verdana" w:cs="Arial"/>
          <w:sz w:val="16"/>
          <w:szCs w:val="16"/>
        </w:rPr>
        <w:t xml:space="preserve"> Decreto 1081 de 2015 «</w:t>
      </w:r>
      <w:r w:rsidRPr="00B6469F">
        <w:rPr>
          <w:rFonts w:ascii="Verdana" w:hAnsi="Verdana" w:cs="Arial"/>
          <w:color w:val="000000"/>
          <w:sz w:val="16"/>
          <w:szCs w:val="16"/>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7A8F081F" w14:textId="77777777" w:rsidR="00190A95" w:rsidRPr="00B6469F" w:rsidRDefault="00190A95" w:rsidP="00190A95">
      <w:pPr>
        <w:jc w:val="both"/>
        <w:rPr>
          <w:rFonts w:ascii="Verdana" w:eastAsia="Times New Roman" w:hAnsi="Verdana" w:cs="Arial"/>
          <w:color w:val="000000"/>
          <w:sz w:val="16"/>
          <w:szCs w:val="16"/>
          <w:lang w:eastAsia="es-CO"/>
        </w:rPr>
      </w:pPr>
      <w:r w:rsidRPr="00B6469F">
        <w:rPr>
          <w:rFonts w:ascii="Verdana" w:eastAsia="Times New Roman" w:hAnsi="Verdana" w:cs="Arial"/>
          <w:color w:val="000000"/>
          <w:sz w:val="16"/>
          <w:szCs w:val="16"/>
          <w:lang w:eastAsia="es-CO"/>
        </w:rPr>
        <w:t>  </w:t>
      </w:r>
      <w:r w:rsidRPr="00B6469F">
        <w:rPr>
          <w:rFonts w:ascii="Verdana" w:eastAsia="Times New Roman" w:hAnsi="Verdana" w:cs="Arial"/>
          <w:color w:val="000000"/>
          <w:sz w:val="16"/>
          <w:szCs w:val="16"/>
          <w:lang w:eastAsia="es-CO"/>
        </w:rPr>
        <w:tab/>
        <w:t>»Los sujetos obligados que contratan con cargo a recursos públicos deben publicar la información de su gestión contractual en el plazo previsto en el artículo 19 del Decreto 1510 de 2013, o el que lo modifique, sustituya o adicione. </w:t>
      </w:r>
    </w:p>
    <w:p w14:paraId="5C3785D2" w14:textId="77777777" w:rsidR="00190A95" w:rsidRPr="00B6469F" w:rsidRDefault="00190A95" w:rsidP="00190A95">
      <w:pPr>
        <w:jc w:val="both"/>
        <w:rPr>
          <w:rFonts w:ascii="Verdana" w:hAnsi="Verdana" w:cs="Arial"/>
          <w:sz w:val="16"/>
          <w:szCs w:val="16"/>
        </w:rPr>
      </w:pPr>
      <w:r w:rsidRPr="00B6469F">
        <w:rPr>
          <w:rFonts w:ascii="Verdana" w:eastAsia="Times New Roman" w:hAnsi="Verdana" w:cs="Arial"/>
          <w:color w:val="000000"/>
          <w:sz w:val="16"/>
          <w:szCs w:val="16"/>
          <w:lang w:eastAsia="es-CO"/>
        </w:rPr>
        <w:t>  </w:t>
      </w:r>
      <w:r w:rsidRPr="00B6469F">
        <w:rPr>
          <w:rFonts w:ascii="Verdana" w:eastAsia="Times New Roman" w:hAnsi="Verdana" w:cs="Arial"/>
          <w:color w:val="000000"/>
          <w:sz w:val="16"/>
          <w:szCs w:val="16"/>
          <w:lang w:eastAsia="es-CO"/>
        </w:rPr>
        <w:tab/>
        <w:t>»Los sujetos obligados que contratan con recursos públicos y recursos privados, deben publicar la información de su gestión contractual con cargo a recursos públicos en el Sistema Electrónico para la Contratación Pública (SECOP)</w:t>
      </w:r>
      <w:r w:rsidRPr="00B6469F">
        <w:rPr>
          <w:rFonts w:ascii="Verdana" w:hAnsi="Verdana" w:cs="Arial"/>
          <w:sz w:val="16"/>
          <w:szCs w:val="16"/>
        </w:rPr>
        <w:t>».</w:t>
      </w:r>
    </w:p>
    <w:p w14:paraId="5915AD2B" w14:textId="77777777" w:rsidR="00190A95" w:rsidRPr="00B6469F" w:rsidRDefault="00190A95" w:rsidP="00190A95">
      <w:pPr>
        <w:jc w:val="both"/>
        <w:rPr>
          <w:rFonts w:ascii="Verdana" w:eastAsia="Times New Roman" w:hAnsi="Verdana" w:cs="Arial"/>
          <w:color w:val="000000"/>
          <w:sz w:val="16"/>
          <w:szCs w:val="16"/>
          <w:lang w:eastAsia="es-CO"/>
        </w:rPr>
      </w:pPr>
    </w:p>
  </w:footnote>
  <w:footnote w:id="12">
    <w:p w14:paraId="2FA12955" w14:textId="77777777" w:rsidR="00190A95" w:rsidRPr="00B6469F" w:rsidRDefault="00190A95" w:rsidP="00190A95">
      <w:pPr>
        <w:pStyle w:val="Textonotapie"/>
        <w:ind w:right="49" w:firstLine="709"/>
        <w:jc w:val="both"/>
        <w:rPr>
          <w:rFonts w:ascii="Verdana" w:hAnsi="Verdana" w:cs="Arial"/>
          <w:color w:val="000000" w:themeColor="text1"/>
          <w:sz w:val="16"/>
          <w:szCs w:val="16"/>
        </w:rPr>
      </w:pPr>
      <w:r w:rsidRPr="00B6469F">
        <w:rPr>
          <w:rStyle w:val="Refdenotaalpie"/>
          <w:rFonts w:ascii="Verdana" w:hAnsi="Verdana" w:cs="Arial"/>
          <w:color w:val="000000" w:themeColor="text1"/>
          <w:sz w:val="16"/>
          <w:szCs w:val="16"/>
        </w:rPr>
        <w:footnoteRef/>
      </w:r>
      <w:r w:rsidRPr="00B6469F">
        <w:rPr>
          <w:rFonts w:ascii="Verdana" w:hAnsi="Verdana" w:cs="Arial"/>
          <w:color w:val="000000" w:themeColor="text1"/>
          <w:sz w:val="16"/>
          <w:szCs w:val="16"/>
        </w:rPr>
        <w:t xml:space="preserve"> Decreto 1081 de 2015: «Artículo 2.1.1.2.1.9.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–Colombia Compra Eficiente–, el cual debe estar publicado en el sitio web oficial del sujeto obligado».</w:t>
      </w:r>
    </w:p>
    <w:p w14:paraId="54BB6C22" w14:textId="77777777" w:rsidR="00190A95" w:rsidRPr="00B6469F" w:rsidRDefault="00190A95" w:rsidP="00190A95">
      <w:pPr>
        <w:pStyle w:val="Textonotapie"/>
        <w:ind w:right="49" w:firstLine="709"/>
        <w:jc w:val="both"/>
        <w:rPr>
          <w:rFonts w:ascii="Verdana" w:hAnsi="Verdana" w:cs="Arial"/>
          <w:color w:val="000000" w:themeColor="text1"/>
          <w:sz w:val="16"/>
          <w:szCs w:val="16"/>
        </w:rPr>
      </w:pPr>
    </w:p>
  </w:footnote>
  <w:footnote w:id="13">
    <w:p w14:paraId="35302E6B" w14:textId="77777777" w:rsidR="00190A95" w:rsidRPr="00B6469F" w:rsidRDefault="00190A95" w:rsidP="00190A95">
      <w:pPr>
        <w:pStyle w:val="Textonotapie"/>
        <w:ind w:right="49" w:firstLine="709"/>
        <w:jc w:val="both"/>
        <w:rPr>
          <w:rFonts w:ascii="Verdana" w:hAnsi="Verdana" w:cs="Arial"/>
          <w:color w:val="000000" w:themeColor="text1"/>
          <w:sz w:val="16"/>
          <w:szCs w:val="16"/>
        </w:rPr>
      </w:pPr>
      <w:r w:rsidRPr="00B6469F">
        <w:rPr>
          <w:rStyle w:val="Refdenotaalpie"/>
          <w:rFonts w:ascii="Verdana" w:hAnsi="Verdana" w:cs="Arial"/>
          <w:color w:val="000000" w:themeColor="text1"/>
          <w:sz w:val="16"/>
          <w:szCs w:val="16"/>
        </w:rPr>
        <w:footnoteRef/>
      </w:r>
      <w:r w:rsidRPr="00B6469F">
        <w:rPr>
          <w:rFonts w:ascii="Verdana" w:hAnsi="Verdana" w:cs="Arial"/>
          <w:color w:val="000000" w:themeColor="text1"/>
          <w:sz w:val="16"/>
          <w:szCs w:val="16"/>
        </w:rPr>
        <w:t xml:space="preserve"> Decreto 1081 de 2015: «Artículo 2.1.1.2.1.10.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 </w:t>
      </w:r>
    </w:p>
    <w:p w14:paraId="14717F16" w14:textId="77777777" w:rsidR="00190A95" w:rsidRPr="00B6469F" w:rsidRDefault="00190A95" w:rsidP="00190A95">
      <w:pPr>
        <w:pStyle w:val="Textonotapie"/>
        <w:ind w:right="49" w:firstLine="709"/>
        <w:jc w:val="both"/>
        <w:rPr>
          <w:rFonts w:ascii="Verdana" w:hAnsi="Verdana" w:cs="Arial"/>
          <w:color w:val="000000" w:themeColor="text1"/>
          <w:sz w:val="16"/>
          <w:szCs w:val="16"/>
        </w:rPr>
      </w:pPr>
      <w:r w:rsidRPr="00B6469F">
        <w:rPr>
          <w:rFonts w:ascii="Verdana" w:hAnsi="Verdana" w:cs="Arial"/>
          <w:color w:val="000000" w:themeColor="text1"/>
          <w:sz w:val="16"/>
          <w:szCs w:val="16"/>
        </w:rPr>
        <w:t xml:space="preserve">»Los sujetos obligados que no contratan con cargo a recursos públicos no están obligados a publicar su Plan Anual de Adquisiciones. </w:t>
      </w:r>
    </w:p>
    <w:p w14:paraId="61253C04" w14:textId="77777777" w:rsidR="00190A95" w:rsidRPr="00B6469F" w:rsidRDefault="00190A95" w:rsidP="00190A95">
      <w:pPr>
        <w:pStyle w:val="Textonotapie"/>
        <w:ind w:right="49" w:firstLine="709"/>
        <w:jc w:val="both"/>
        <w:rPr>
          <w:rFonts w:ascii="Verdana" w:hAnsi="Verdana" w:cs="Arial"/>
          <w:color w:val="000000" w:themeColor="text1"/>
          <w:sz w:val="16"/>
          <w:szCs w:val="16"/>
        </w:rPr>
      </w:pPr>
      <w:r w:rsidRPr="00B6469F">
        <w:rPr>
          <w:rFonts w:ascii="Verdana" w:hAnsi="Verdana" w:cs="Arial"/>
          <w:color w:val="000000" w:themeColor="text1"/>
          <w:sz w:val="16"/>
          <w:szCs w:val="16"/>
        </w:rPr>
        <w:t xml:space="preserve">»Los sujetos obligados que contratan con cargo a recursos públicos y recursos privados, deben publicar en su página web y en el SECOP el Plan Anual de Adquisiciones para los recursos de carácter público que ejecutarán en el año. </w:t>
      </w:r>
    </w:p>
    <w:p w14:paraId="6C7C5B2A" w14:textId="77777777" w:rsidR="00190A95" w:rsidRPr="00B6469F" w:rsidRDefault="00190A95" w:rsidP="00190A95">
      <w:pPr>
        <w:pStyle w:val="Textonotapie"/>
        <w:ind w:right="49" w:firstLine="709"/>
        <w:jc w:val="both"/>
        <w:rPr>
          <w:rFonts w:ascii="Verdana" w:hAnsi="Verdana" w:cs="Arial"/>
          <w:color w:val="000000" w:themeColor="text1"/>
          <w:sz w:val="16"/>
          <w:szCs w:val="16"/>
        </w:rPr>
      </w:pPr>
      <w:r w:rsidRPr="00B6469F">
        <w:rPr>
          <w:rFonts w:ascii="Verdana" w:hAnsi="Verdana" w:cs="Arial"/>
          <w:color w:val="000000" w:themeColor="text1"/>
          <w:sz w:val="16"/>
          <w:szCs w:val="16"/>
        </w:rPr>
        <w:t>»Se entenderá como definición de Plan Anual de Adquisiciones respecto a todos los sujetos obligados que contratan con recursos públicos, la prevista en el artículo 3° del Decreto 1510 de 2013, o el que lo modifique, sustituya o adicione».</w:t>
      </w:r>
    </w:p>
    <w:p w14:paraId="79C241CE" w14:textId="77777777" w:rsidR="00190A95" w:rsidRPr="00B6469F" w:rsidRDefault="00190A95" w:rsidP="00190A95">
      <w:pPr>
        <w:pStyle w:val="Textonotapie"/>
        <w:ind w:right="49" w:firstLine="709"/>
        <w:jc w:val="both"/>
        <w:rPr>
          <w:rFonts w:ascii="Verdana" w:hAnsi="Verdana" w:cs="Arial"/>
          <w:color w:val="000000" w:themeColor="text1"/>
          <w:sz w:val="16"/>
          <w:szCs w:val="16"/>
        </w:rPr>
      </w:pPr>
    </w:p>
  </w:footnote>
  <w:footnote w:id="14">
    <w:p w14:paraId="2C637D3D" w14:textId="77777777" w:rsidR="00190A95" w:rsidRPr="00B6469F" w:rsidRDefault="00190A95" w:rsidP="00190A95">
      <w:pPr>
        <w:pStyle w:val="Textonotapie"/>
        <w:ind w:right="49" w:firstLine="709"/>
        <w:jc w:val="both"/>
        <w:rPr>
          <w:rFonts w:ascii="Verdana" w:hAnsi="Verdana" w:cs="Arial"/>
          <w:color w:val="000000" w:themeColor="text1"/>
          <w:sz w:val="16"/>
          <w:szCs w:val="16"/>
        </w:rPr>
      </w:pPr>
      <w:r w:rsidRPr="00B6469F">
        <w:rPr>
          <w:rStyle w:val="Refdenotaalpie"/>
          <w:rFonts w:ascii="Verdana" w:hAnsi="Verdana" w:cs="Arial"/>
          <w:color w:val="000000" w:themeColor="text1"/>
          <w:sz w:val="16"/>
          <w:szCs w:val="16"/>
        </w:rPr>
        <w:footnoteRef/>
      </w:r>
      <w:r w:rsidRPr="00B6469F">
        <w:rPr>
          <w:rFonts w:ascii="Verdana" w:hAnsi="Verdana" w:cs="Arial"/>
          <w:color w:val="000000" w:themeColor="text1"/>
          <w:sz w:val="16"/>
          <w:szCs w:val="16"/>
        </w:rPr>
        <w:t xml:space="preserve"> Decreto 1081 de 2015: «Artículo 2.1.1.2.1.8.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p w14:paraId="7FC85B4F" w14:textId="77777777" w:rsidR="00190A95" w:rsidRPr="00B6469F" w:rsidRDefault="00190A95" w:rsidP="00190A95">
      <w:pPr>
        <w:pStyle w:val="Textonotapie"/>
        <w:ind w:right="49" w:firstLine="709"/>
        <w:jc w:val="both"/>
        <w:rPr>
          <w:rFonts w:ascii="Verdana" w:hAnsi="Verdana" w:cs="Arial"/>
          <w:color w:val="000000" w:themeColor="text1"/>
          <w:sz w:val="16"/>
          <w:szCs w:val="16"/>
        </w:rPr>
      </w:pPr>
    </w:p>
  </w:footnote>
  <w:footnote w:id="15">
    <w:p w14:paraId="4463D0D9" w14:textId="1ED75210" w:rsidR="00190A95" w:rsidRPr="00B6469F" w:rsidRDefault="00190A95" w:rsidP="00190A95">
      <w:pPr>
        <w:pStyle w:val="Textonotapie"/>
        <w:ind w:firstLine="708"/>
        <w:jc w:val="both"/>
        <w:rPr>
          <w:rFonts w:ascii="Verdana" w:hAnsi="Verdana" w:cs="Arial"/>
          <w:sz w:val="16"/>
          <w:szCs w:val="16"/>
          <w:lang w:val="es-CO"/>
        </w:rPr>
      </w:pPr>
      <w:r w:rsidRPr="00B6469F">
        <w:rPr>
          <w:rStyle w:val="Refdenotaalpie"/>
          <w:rFonts w:ascii="Verdana" w:hAnsi="Verdana" w:cs="Arial"/>
          <w:sz w:val="16"/>
          <w:szCs w:val="16"/>
        </w:rPr>
        <w:footnoteRef/>
      </w:r>
      <w:r w:rsidRPr="00B6469F">
        <w:rPr>
          <w:rFonts w:ascii="Verdana" w:hAnsi="Verdana" w:cs="Arial"/>
          <w:sz w:val="16"/>
          <w:szCs w:val="16"/>
        </w:rPr>
        <w:t xml:space="preserve">  Ley 1712 de 2014 «Artículo 2</w:t>
      </w:r>
      <w:r w:rsidR="006754AA" w:rsidRPr="00B6469F">
        <w:rPr>
          <w:rFonts w:ascii="Verdana" w:hAnsi="Verdana" w:cs="Arial"/>
          <w:sz w:val="16"/>
          <w:szCs w:val="16"/>
        </w:rPr>
        <w:t>°. Principio</w:t>
      </w:r>
      <w:r w:rsidRPr="00B6469F">
        <w:rPr>
          <w:rFonts w:ascii="Verdana" w:hAnsi="Verdana" w:cs="Arial"/>
          <w:sz w:val="16"/>
          <w:szCs w:val="16"/>
        </w:rPr>
        <w:t xml:space="preserve"> de máxima publicidad para titular universal. Toda información en posesión, bajo control o custodia de un sujeto obligado es pública y no podrá ser reservada o limitada sino por disposición constitucional o legal, de conformidad con la presente ley».</w:t>
      </w:r>
    </w:p>
  </w:footnote>
  <w:footnote w:id="16">
    <w:p w14:paraId="444FE515" w14:textId="77777777" w:rsidR="00190A95" w:rsidRPr="00B6469F" w:rsidRDefault="00190A95" w:rsidP="00190A95">
      <w:pPr>
        <w:pStyle w:val="Textonotapie"/>
        <w:rPr>
          <w:rFonts w:ascii="Verdana" w:hAnsi="Verdana" w:cs="Arial"/>
          <w:sz w:val="16"/>
          <w:szCs w:val="16"/>
        </w:rPr>
      </w:pPr>
    </w:p>
    <w:p w14:paraId="48141EB6" w14:textId="036BA7AC" w:rsidR="00190A95" w:rsidRPr="00B6469F" w:rsidRDefault="00190A95" w:rsidP="00190A95">
      <w:pPr>
        <w:pStyle w:val="NormalWeb"/>
        <w:spacing w:before="0" w:beforeAutospacing="0" w:after="0" w:afterAutospacing="0"/>
        <w:ind w:firstLine="708"/>
        <w:jc w:val="both"/>
        <w:rPr>
          <w:rFonts w:ascii="Verdana" w:hAnsi="Verdana" w:cs="Arial"/>
          <w:color w:val="000000"/>
          <w:sz w:val="16"/>
          <w:szCs w:val="16"/>
        </w:rPr>
      </w:pPr>
      <w:r w:rsidRPr="00B6469F">
        <w:rPr>
          <w:rStyle w:val="Refdenotaalpie"/>
          <w:rFonts w:ascii="Verdana" w:hAnsi="Verdana" w:cs="Arial"/>
          <w:sz w:val="16"/>
          <w:szCs w:val="16"/>
        </w:rPr>
        <w:footnoteRef/>
      </w:r>
      <w:r w:rsidRPr="00B6469F">
        <w:rPr>
          <w:rFonts w:ascii="Verdana" w:hAnsi="Verdana" w:cs="Arial"/>
          <w:sz w:val="16"/>
          <w:szCs w:val="16"/>
        </w:rPr>
        <w:t xml:space="preserve">  Ley 1712 de 2014 </w:t>
      </w:r>
      <w:r w:rsidR="006754AA" w:rsidRPr="00B6469F">
        <w:rPr>
          <w:rFonts w:ascii="Verdana" w:hAnsi="Verdana" w:cs="Arial"/>
          <w:sz w:val="16"/>
          <w:szCs w:val="16"/>
        </w:rPr>
        <w:t>«</w:t>
      </w:r>
      <w:r w:rsidR="006754AA" w:rsidRPr="00B6469F">
        <w:rPr>
          <w:rStyle w:val="PiedepginaCar"/>
          <w:rFonts w:ascii="Verdana" w:hAnsi="Verdana" w:cs="Arial"/>
          <w:color w:val="000000"/>
          <w:sz w:val="16"/>
          <w:szCs w:val="16"/>
        </w:rPr>
        <w:t>Artículo</w:t>
      </w:r>
      <w:r w:rsidRPr="00B6469F">
        <w:rPr>
          <w:rFonts w:ascii="Verdana" w:hAnsi="Verdana" w:cs="Arial"/>
          <w:color w:val="000000"/>
          <w:sz w:val="16"/>
          <w:szCs w:val="16"/>
        </w:rPr>
        <w:t xml:space="preserve"> 3</w:t>
      </w:r>
      <w:r w:rsidR="006754AA" w:rsidRPr="00B6469F">
        <w:rPr>
          <w:rFonts w:ascii="Verdana" w:hAnsi="Verdana" w:cs="Arial"/>
          <w:color w:val="000000"/>
          <w:sz w:val="16"/>
          <w:szCs w:val="16"/>
        </w:rPr>
        <w:t>°. Otros</w:t>
      </w:r>
      <w:r w:rsidRPr="00B6469F">
        <w:rPr>
          <w:rFonts w:ascii="Verdana" w:hAnsi="Verdana" w:cs="Arial"/>
          <w:color w:val="000000"/>
          <w:sz w:val="16"/>
          <w:szCs w:val="16"/>
        </w:rPr>
        <w:t xml:space="preserve"> principios de la transparencia y acceso a la información pública. En la interpretación del derecho de acceso a la información se deberá adoptar un criterio de razonabilidad y proporcionalidad, así como aplicar los siguientes principios: </w:t>
      </w:r>
    </w:p>
    <w:p w14:paraId="46EAFBEA" w14:textId="038D73CF" w:rsidR="00190A95" w:rsidRPr="00B6469F" w:rsidRDefault="00190A95" w:rsidP="00190A95">
      <w:pPr>
        <w:jc w:val="both"/>
        <w:rPr>
          <w:rFonts w:ascii="Verdana" w:eastAsia="Times New Roman" w:hAnsi="Verdana" w:cs="Arial"/>
          <w:color w:val="000000"/>
          <w:sz w:val="16"/>
          <w:szCs w:val="16"/>
          <w:lang w:eastAsia="es-CO"/>
        </w:rPr>
      </w:pPr>
      <w:r w:rsidRPr="00B6469F">
        <w:rPr>
          <w:rFonts w:ascii="Verdana" w:eastAsia="Times New Roman" w:hAnsi="Verdana" w:cs="Arial"/>
          <w:color w:val="000000"/>
          <w:sz w:val="16"/>
          <w:szCs w:val="16"/>
          <w:lang w:eastAsia="es-CO"/>
        </w:rPr>
        <w:t> </w:t>
      </w:r>
      <w:r w:rsidRPr="00B6469F">
        <w:rPr>
          <w:rFonts w:ascii="Verdana" w:eastAsia="Times New Roman" w:hAnsi="Verdana" w:cs="Arial"/>
          <w:color w:val="000000"/>
          <w:sz w:val="16"/>
          <w:szCs w:val="16"/>
          <w:lang w:eastAsia="es-CO"/>
        </w:rPr>
        <w:tab/>
      </w:r>
      <w:r w:rsidR="006754AA" w:rsidRPr="00B6469F">
        <w:rPr>
          <w:rFonts w:ascii="Verdana" w:eastAsia="Times New Roman" w:hAnsi="Verdana" w:cs="Arial"/>
          <w:color w:val="000000"/>
          <w:sz w:val="16"/>
          <w:szCs w:val="16"/>
          <w:lang w:eastAsia="es-CO"/>
        </w:rPr>
        <w:t>» Principio</w:t>
      </w:r>
      <w:r w:rsidRPr="00B6469F">
        <w:rPr>
          <w:rFonts w:ascii="Verdana" w:eastAsia="Times New Roman" w:hAnsi="Verdana" w:cs="Arial"/>
          <w:color w:val="000000"/>
          <w:sz w:val="16"/>
          <w:szCs w:val="16"/>
          <w:lang w:eastAsia="es-CO"/>
        </w:rPr>
        <w:t xml:space="preserve"> de transparencia.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 </w:t>
      </w:r>
    </w:p>
    <w:p w14:paraId="3FCF2B01" w14:textId="77777777" w:rsidR="00190A95" w:rsidRPr="00B6469F" w:rsidRDefault="00190A95" w:rsidP="00190A95">
      <w:pPr>
        <w:jc w:val="both"/>
        <w:rPr>
          <w:rFonts w:ascii="Verdana" w:eastAsia="Times New Roman" w:hAnsi="Verdana" w:cs="Arial"/>
          <w:color w:val="000000"/>
          <w:sz w:val="16"/>
          <w:szCs w:val="16"/>
          <w:lang w:eastAsia="es-CO"/>
        </w:rPr>
      </w:pPr>
      <w:r w:rsidRPr="00B6469F">
        <w:rPr>
          <w:rFonts w:ascii="Verdana" w:eastAsia="Times New Roman" w:hAnsi="Verdana" w:cs="Arial"/>
          <w:color w:val="000000"/>
          <w:sz w:val="16"/>
          <w:szCs w:val="16"/>
          <w:lang w:eastAsia="es-CO"/>
        </w:rPr>
        <w:t>  </w:t>
      </w:r>
      <w:r w:rsidRPr="00B6469F">
        <w:rPr>
          <w:rFonts w:ascii="Verdana" w:eastAsia="Times New Roman" w:hAnsi="Verdana" w:cs="Arial"/>
          <w:color w:val="000000"/>
          <w:sz w:val="16"/>
          <w:szCs w:val="16"/>
          <w:lang w:eastAsia="es-CO"/>
        </w:rPr>
        <w:tab/>
        <w:t>[…] </w:t>
      </w:r>
    </w:p>
    <w:p w14:paraId="09B1ADE4" w14:textId="22AEBBB4" w:rsidR="00190A95" w:rsidRPr="00B6469F" w:rsidRDefault="00190A95" w:rsidP="00190A95">
      <w:pPr>
        <w:jc w:val="both"/>
        <w:rPr>
          <w:rFonts w:ascii="Verdana" w:eastAsia="Times New Roman" w:hAnsi="Verdana" w:cs="Arial"/>
          <w:color w:val="000000"/>
          <w:sz w:val="16"/>
          <w:szCs w:val="16"/>
          <w:lang w:eastAsia="es-CO"/>
        </w:rPr>
      </w:pPr>
      <w:r w:rsidRPr="00B6469F">
        <w:rPr>
          <w:rFonts w:ascii="Verdana" w:eastAsia="Times New Roman" w:hAnsi="Verdana" w:cs="Arial"/>
          <w:color w:val="000000"/>
          <w:sz w:val="16"/>
          <w:szCs w:val="16"/>
          <w:lang w:eastAsia="es-CO"/>
        </w:rPr>
        <w:t>  </w:t>
      </w:r>
      <w:r w:rsidRPr="00B6469F">
        <w:rPr>
          <w:rFonts w:ascii="Verdana" w:eastAsia="Times New Roman" w:hAnsi="Verdana" w:cs="Arial"/>
          <w:color w:val="000000"/>
          <w:sz w:val="16"/>
          <w:szCs w:val="16"/>
          <w:lang w:eastAsia="es-CO"/>
        </w:rPr>
        <w:tab/>
      </w:r>
      <w:r w:rsidR="006754AA" w:rsidRPr="00B6469F">
        <w:rPr>
          <w:rFonts w:ascii="Verdana" w:eastAsia="Times New Roman" w:hAnsi="Verdana" w:cs="Arial"/>
          <w:color w:val="000000"/>
          <w:sz w:val="16"/>
          <w:szCs w:val="16"/>
          <w:lang w:eastAsia="es-CO"/>
        </w:rPr>
        <w:t>» Principio</w:t>
      </w:r>
      <w:r w:rsidRPr="00B6469F">
        <w:rPr>
          <w:rFonts w:ascii="Verdana" w:eastAsia="Times New Roman" w:hAnsi="Verdana" w:cs="Arial"/>
          <w:color w:val="000000"/>
          <w:sz w:val="16"/>
          <w:szCs w:val="16"/>
          <w:lang w:eastAsia="es-CO"/>
        </w:rPr>
        <w:t xml:space="preserve"> de facilitación. En virtud de este principio los sujetos obligados deberán facilitar el ejercicio del derecho de acceso a la información pública, excluyendo exigencias o requisitos que puedan obstruirlo o impedirlo. </w:t>
      </w:r>
    </w:p>
    <w:p w14:paraId="0068C638" w14:textId="77777777" w:rsidR="00190A95" w:rsidRPr="00B6469F" w:rsidRDefault="00190A95" w:rsidP="00190A95">
      <w:pPr>
        <w:jc w:val="both"/>
        <w:rPr>
          <w:rFonts w:ascii="Verdana" w:eastAsia="Times New Roman" w:hAnsi="Verdana" w:cs="Arial"/>
          <w:color w:val="000000"/>
          <w:sz w:val="16"/>
          <w:szCs w:val="16"/>
          <w:lang w:eastAsia="es-CO"/>
        </w:rPr>
      </w:pPr>
      <w:r w:rsidRPr="00B6469F">
        <w:rPr>
          <w:rFonts w:ascii="Verdana" w:eastAsia="Times New Roman" w:hAnsi="Verdana" w:cs="Arial"/>
          <w:color w:val="000000"/>
          <w:sz w:val="16"/>
          <w:szCs w:val="16"/>
          <w:lang w:eastAsia="es-CO"/>
        </w:rPr>
        <w:t>  </w:t>
      </w:r>
      <w:r w:rsidRPr="00B6469F">
        <w:rPr>
          <w:rFonts w:ascii="Verdana" w:eastAsia="Times New Roman" w:hAnsi="Verdana" w:cs="Arial"/>
          <w:color w:val="000000"/>
          <w:sz w:val="16"/>
          <w:szCs w:val="16"/>
          <w:lang w:eastAsia="es-CO"/>
        </w:rPr>
        <w:tab/>
        <w:t>[…]</w:t>
      </w:r>
    </w:p>
    <w:p w14:paraId="4E890345" w14:textId="77777777" w:rsidR="00190A95" w:rsidRPr="00B6469F" w:rsidRDefault="00190A95" w:rsidP="00190A95">
      <w:pPr>
        <w:jc w:val="both"/>
        <w:rPr>
          <w:rFonts w:ascii="Verdana" w:eastAsia="Times New Roman" w:hAnsi="Verdana" w:cs="Arial"/>
          <w:color w:val="000000"/>
          <w:sz w:val="16"/>
          <w:szCs w:val="16"/>
          <w:lang w:eastAsia="es-CO"/>
        </w:rPr>
      </w:pPr>
      <w:r w:rsidRPr="00B6469F">
        <w:rPr>
          <w:rFonts w:ascii="Verdana" w:eastAsia="Times New Roman" w:hAnsi="Verdana" w:cs="Arial"/>
          <w:color w:val="000000"/>
          <w:sz w:val="16"/>
          <w:szCs w:val="16"/>
          <w:lang w:eastAsia="es-CO"/>
        </w:rPr>
        <w:t>  </w:t>
      </w:r>
      <w:r w:rsidRPr="00B6469F">
        <w:rPr>
          <w:rFonts w:ascii="Verdana" w:eastAsia="Times New Roman" w:hAnsi="Verdana" w:cs="Arial"/>
          <w:color w:val="000000"/>
          <w:sz w:val="16"/>
          <w:szCs w:val="16"/>
          <w:lang w:eastAsia="es-CO"/>
        </w:rPr>
        <w:tab/>
        <w:t>» Principio de la divulgación proactiva de la información.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 […]».</w:t>
      </w:r>
    </w:p>
    <w:p w14:paraId="794F5F5B" w14:textId="77777777" w:rsidR="00190A95" w:rsidRPr="00B6469F" w:rsidRDefault="00190A95" w:rsidP="00190A95">
      <w:pPr>
        <w:pStyle w:val="Textonotapie"/>
        <w:rPr>
          <w:rFonts w:ascii="Verdana" w:hAnsi="Verdana" w:cs="Arial"/>
          <w:sz w:val="16"/>
          <w:szCs w:val="16"/>
          <w:lang w:val="es-CO"/>
        </w:rPr>
      </w:pPr>
    </w:p>
  </w:footnote>
  <w:footnote w:id="17">
    <w:p w14:paraId="750A26DB" w14:textId="77777777" w:rsidR="00190A95" w:rsidRPr="00B6469F" w:rsidRDefault="00190A95" w:rsidP="00190A95">
      <w:pPr>
        <w:pStyle w:val="Textonotapie"/>
        <w:ind w:firstLine="708"/>
        <w:jc w:val="both"/>
        <w:rPr>
          <w:rFonts w:ascii="Verdana" w:hAnsi="Verdana" w:cs="Arial"/>
          <w:color w:val="000000" w:themeColor="text1"/>
          <w:sz w:val="16"/>
          <w:szCs w:val="16"/>
          <w:lang w:val="es-CO"/>
        </w:rPr>
      </w:pPr>
      <w:r w:rsidRPr="00B6469F">
        <w:rPr>
          <w:rStyle w:val="Refdenotaalpie"/>
          <w:rFonts w:ascii="Verdana" w:hAnsi="Verdana" w:cs="Arial"/>
          <w:color w:val="000000" w:themeColor="text1"/>
          <w:sz w:val="16"/>
          <w:szCs w:val="16"/>
        </w:rPr>
        <w:footnoteRef/>
      </w:r>
      <w:r w:rsidRPr="00B6469F">
        <w:rPr>
          <w:rFonts w:ascii="Verdana" w:hAnsi="Verdana" w:cs="Arial"/>
          <w:color w:val="000000" w:themeColor="text1"/>
          <w:sz w:val="16"/>
          <w:szCs w:val="16"/>
        </w:rPr>
        <w:t xml:space="preserve"> Ley 1474 de 2011 «</w:t>
      </w:r>
      <w:r w:rsidRPr="00B6469F">
        <w:rPr>
          <w:rFonts w:ascii="Verdana" w:hAnsi="Verdana" w:cs="Arial"/>
          <w:color w:val="000000" w:themeColor="text1"/>
          <w:sz w:val="16"/>
          <w:szCs w:val="16"/>
          <w:lang w:val="es-CO"/>
        </w:rPr>
        <w:t>Artículo 74. </w:t>
      </w:r>
      <w:r w:rsidRPr="00B6469F">
        <w:rPr>
          <w:rFonts w:ascii="Verdana" w:hAnsi="Verdana" w:cs="Arial"/>
          <w:i/>
          <w:iCs/>
          <w:color w:val="000000" w:themeColor="text1"/>
          <w:sz w:val="16"/>
          <w:szCs w:val="16"/>
          <w:lang w:val="es-CO"/>
        </w:rPr>
        <w:t>Plan de acción de las entidades públicas</w:t>
      </w:r>
      <w:r w:rsidRPr="00B6469F">
        <w:rPr>
          <w:rFonts w:ascii="Verdana" w:hAnsi="Verdana" w:cs="Arial"/>
          <w:color w:val="000000" w:themeColor="text1"/>
          <w:sz w:val="16"/>
          <w:szCs w:val="16"/>
          <w:lang w:val="es-CO"/>
        </w:rPr>
        <w:t>. A partir de la vigencia de la presente ley, todas las entidades del Estado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 </w:t>
      </w:r>
    </w:p>
    <w:p w14:paraId="2181A90E" w14:textId="77777777" w:rsidR="00190A95" w:rsidRPr="00B6469F" w:rsidRDefault="00190A95" w:rsidP="00190A95">
      <w:pPr>
        <w:pStyle w:val="Textonotapie"/>
        <w:jc w:val="both"/>
        <w:rPr>
          <w:rFonts w:ascii="Verdana" w:hAnsi="Verdana" w:cs="Arial"/>
          <w:color w:val="000000" w:themeColor="text1"/>
          <w:sz w:val="16"/>
          <w:szCs w:val="16"/>
          <w:lang w:val="es-CO"/>
        </w:rPr>
      </w:pPr>
      <w:r w:rsidRPr="00B6469F">
        <w:rPr>
          <w:rFonts w:ascii="Verdana" w:hAnsi="Verdana" w:cs="Arial"/>
          <w:color w:val="000000" w:themeColor="text1"/>
          <w:sz w:val="16"/>
          <w:szCs w:val="16"/>
          <w:lang w:val="es-CO"/>
        </w:rPr>
        <w:t>  </w:t>
      </w:r>
      <w:r w:rsidRPr="00B6469F">
        <w:rPr>
          <w:rFonts w:ascii="Verdana" w:hAnsi="Verdana" w:cs="Arial"/>
          <w:color w:val="000000" w:themeColor="text1"/>
          <w:sz w:val="16"/>
          <w:szCs w:val="16"/>
          <w:lang w:val="es-CO"/>
        </w:rPr>
        <w:tab/>
        <w:t>»A partir del año siguiente, el Plan de Acción deberá estar acompañado del informe de gestión del año inmediatamente anterior. </w:t>
      </w:r>
    </w:p>
    <w:p w14:paraId="063F3D8E" w14:textId="77777777" w:rsidR="00190A95" w:rsidRPr="00B6469F" w:rsidRDefault="00190A95" w:rsidP="00190A95">
      <w:pPr>
        <w:pStyle w:val="Textonotapie"/>
        <w:jc w:val="both"/>
        <w:rPr>
          <w:rFonts w:ascii="Verdana" w:hAnsi="Verdana" w:cs="Arial"/>
          <w:color w:val="000000" w:themeColor="text1"/>
          <w:sz w:val="16"/>
          <w:szCs w:val="16"/>
          <w:lang w:val="es-CO"/>
        </w:rPr>
      </w:pPr>
      <w:r w:rsidRPr="00B6469F">
        <w:rPr>
          <w:rFonts w:ascii="Verdana" w:hAnsi="Verdana" w:cs="Arial"/>
          <w:color w:val="000000" w:themeColor="text1"/>
          <w:sz w:val="16"/>
          <w:szCs w:val="16"/>
          <w:lang w:val="es-CO"/>
        </w:rPr>
        <w:t>  </w:t>
      </w:r>
      <w:r w:rsidRPr="00B6469F">
        <w:rPr>
          <w:rFonts w:ascii="Verdana" w:hAnsi="Verdana" w:cs="Arial"/>
          <w:color w:val="000000" w:themeColor="text1"/>
          <w:sz w:val="16"/>
          <w:szCs w:val="16"/>
          <w:lang w:val="es-CO"/>
        </w:rPr>
        <w:tab/>
        <w:t>»Igualmente publicarán por dicho medio su presupuesto debidamente desagregado, así como las modificaciones a este o a su desagregación. </w:t>
      </w:r>
    </w:p>
    <w:p w14:paraId="43291E4B" w14:textId="77777777" w:rsidR="00190A95" w:rsidRPr="00B6469F" w:rsidRDefault="00190A95" w:rsidP="00190A95">
      <w:pPr>
        <w:pStyle w:val="Textonotapie"/>
        <w:jc w:val="both"/>
        <w:rPr>
          <w:rFonts w:ascii="Verdana" w:hAnsi="Verdana" w:cs="Arial"/>
          <w:color w:val="000000" w:themeColor="text1"/>
          <w:sz w:val="16"/>
          <w:szCs w:val="16"/>
          <w:lang w:val="es-CO"/>
        </w:rPr>
      </w:pPr>
      <w:r w:rsidRPr="00B6469F">
        <w:rPr>
          <w:rFonts w:ascii="Verdana" w:hAnsi="Verdana" w:cs="Arial"/>
          <w:color w:val="000000" w:themeColor="text1"/>
          <w:sz w:val="16"/>
          <w:szCs w:val="16"/>
          <w:lang w:val="es-CO"/>
        </w:rPr>
        <w:t>  </w:t>
      </w:r>
      <w:r w:rsidRPr="00B6469F">
        <w:rPr>
          <w:rFonts w:ascii="Verdana" w:hAnsi="Verdana" w:cs="Arial"/>
          <w:color w:val="000000" w:themeColor="text1"/>
          <w:sz w:val="16"/>
          <w:szCs w:val="16"/>
          <w:lang w:val="es-CO"/>
        </w:rPr>
        <w:tab/>
        <w:t>»Parágrafo. Las empresas industriales y comerciales del Estado y las Sociedades de Economía Mixta estarán exentas de publicar la información relacionada con sus proyectos de inversión». </w:t>
      </w:r>
    </w:p>
    <w:p w14:paraId="1B7BF572" w14:textId="77777777" w:rsidR="00190A95" w:rsidRPr="00B6469F" w:rsidRDefault="00190A95" w:rsidP="00190A95">
      <w:pPr>
        <w:pStyle w:val="Textonotapie"/>
        <w:jc w:val="both"/>
        <w:rPr>
          <w:rFonts w:ascii="Verdana" w:hAnsi="Verdana" w:cs="Arial"/>
          <w:color w:val="000000" w:themeColor="text1"/>
          <w:sz w:val="16"/>
          <w:szCs w:val="16"/>
          <w:lang w:val="es-CO"/>
        </w:rPr>
      </w:pPr>
    </w:p>
  </w:footnote>
  <w:footnote w:id="18">
    <w:p w14:paraId="7D83D3DA" w14:textId="77777777" w:rsidR="00190A95" w:rsidRPr="00B6469F" w:rsidRDefault="00190A95" w:rsidP="00190A95">
      <w:pPr>
        <w:pStyle w:val="Textonotapie"/>
        <w:ind w:firstLine="708"/>
        <w:jc w:val="both"/>
        <w:rPr>
          <w:rFonts w:ascii="Verdana" w:hAnsi="Verdana" w:cs="Arial"/>
          <w:color w:val="000000" w:themeColor="text1"/>
          <w:sz w:val="16"/>
          <w:szCs w:val="16"/>
          <w:lang w:val="es-CO"/>
        </w:rPr>
      </w:pPr>
      <w:r w:rsidRPr="00B6469F">
        <w:rPr>
          <w:rStyle w:val="Refdenotaalpie"/>
          <w:rFonts w:ascii="Verdana" w:hAnsi="Verdana" w:cs="Arial"/>
          <w:color w:val="000000" w:themeColor="text1"/>
          <w:sz w:val="16"/>
          <w:szCs w:val="16"/>
        </w:rPr>
        <w:footnoteRef/>
      </w:r>
      <w:r w:rsidRPr="00B6469F">
        <w:rPr>
          <w:rFonts w:ascii="Verdana" w:hAnsi="Verdana" w:cs="Arial"/>
          <w:color w:val="000000" w:themeColor="text1"/>
          <w:sz w:val="16"/>
          <w:szCs w:val="16"/>
        </w:rPr>
        <w:t xml:space="preserve"> Decreto 1082 de 2015«Artículo 2.2.1.1.1.4.3. Publicación del Plan Anual de Adquisiciones. La Entidad Estatal debe publicar su Plan Anual de Adquisiciones y las actualizaciones del mismo en su página web y en el SECOP, en la forma que para el efecto disponga Colombia Compra Eficiente».</w:t>
      </w:r>
    </w:p>
  </w:footnote>
  <w:footnote w:id="19">
    <w:p w14:paraId="0E0C686D" w14:textId="7FB963A1" w:rsidR="00190A95" w:rsidRPr="00B6469F" w:rsidRDefault="00190A95" w:rsidP="00190A95">
      <w:pPr>
        <w:pStyle w:val="Textonotapie"/>
        <w:ind w:firstLine="708"/>
        <w:jc w:val="both"/>
        <w:rPr>
          <w:rFonts w:ascii="Verdana" w:hAnsi="Verdana" w:cs="Arial"/>
          <w:sz w:val="16"/>
          <w:szCs w:val="16"/>
        </w:rPr>
      </w:pPr>
      <w:r w:rsidRPr="00B6469F">
        <w:rPr>
          <w:rStyle w:val="Refdenotaalpie"/>
          <w:rFonts w:ascii="Verdana" w:hAnsi="Verdana" w:cs="Arial"/>
          <w:sz w:val="16"/>
          <w:szCs w:val="16"/>
        </w:rPr>
        <w:footnoteRef/>
      </w:r>
      <w:r w:rsidRPr="00B6469F">
        <w:rPr>
          <w:rFonts w:ascii="Verdana" w:hAnsi="Verdana" w:cs="Arial"/>
          <w:sz w:val="16"/>
          <w:szCs w:val="16"/>
        </w:rPr>
        <w:t xml:space="preserve"> Ley 80 de 1993</w:t>
      </w:r>
      <w:r w:rsidR="00B6469F">
        <w:rPr>
          <w:rFonts w:ascii="Verdana" w:hAnsi="Verdana" w:cs="Arial"/>
          <w:sz w:val="16"/>
          <w:szCs w:val="16"/>
        </w:rPr>
        <w:t>:</w:t>
      </w:r>
      <w:r w:rsidRPr="00B6469F">
        <w:rPr>
          <w:rFonts w:ascii="Verdana" w:hAnsi="Verdana" w:cs="Arial"/>
          <w:sz w:val="16"/>
          <w:szCs w:val="16"/>
        </w:rPr>
        <w:t xml:space="preserve"> </w:t>
      </w:r>
      <w:r w:rsidR="00B6469F">
        <w:rPr>
          <w:rFonts w:ascii="Verdana" w:hAnsi="Verdana" w:cs="Arial"/>
          <w:sz w:val="16"/>
          <w:szCs w:val="16"/>
        </w:rPr>
        <w:t>“</w:t>
      </w:r>
      <w:r w:rsidRPr="00B6469F">
        <w:rPr>
          <w:rFonts w:ascii="Verdana" w:hAnsi="Verdana" w:cs="Arial"/>
          <w:sz w:val="16"/>
          <w:szCs w:val="16"/>
        </w:rPr>
        <w:t xml:space="preserve">Artículo 24. Del principio de transparencia. En virtud de este principio: </w:t>
      </w:r>
    </w:p>
    <w:p w14:paraId="0D0ED7E5" w14:textId="77777777" w:rsidR="00190A95" w:rsidRPr="00B6469F" w:rsidRDefault="00190A95" w:rsidP="00190A95">
      <w:pPr>
        <w:pStyle w:val="Textonotapie"/>
        <w:ind w:firstLine="708"/>
        <w:jc w:val="both"/>
        <w:rPr>
          <w:rFonts w:ascii="Verdana" w:hAnsi="Verdana" w:cs="Arial"/>
          <w:sz w:val="16"/>
          <w:szCs w:val="16"/>
        </w:rPr>
      </w:pPr>
      <w:r w:rsidRPr="00B6469F">
        <w:rPr>
          <w:rFonts w:ascii="Verdana" w:hAnsi="Verdana" w:cs="Arial"/>
          <w:sz w:val="16"/>
          <w:szCs w:val="16"/>
        </w:rPr>
        <w:t>[…]</w:t>
      </w:r>
    </w:p>
    <w:p w14:paraId="0D7D2BCF" w14:textId="6798AFE7" w:rsidR="00190A95" w:rsidRPr="00B6469F" w:rsidRDefault="00190A95" w:rsidP="00190A95">
      <w:pPr>
        <w:pStyle w:val="Textonotapie"/>
        <w:ind w:firstLine="708"/>
        <w:jc w:val="both"/>
        <w:rPr>
          <w:rFonts w:ascii="Verdana" w:hAnsi="Verdana" w:cs="Arial"/>
          <w:sz w:val="16"/>
          <w:szCs w:val="16"/>
          <w:lang w:val="es-CO"/>
        </w:rPr>
      </w:pPr>
      <w:r w:rsidRPr="00B6469F">
        <w:rPr>
          <w:rFonts w:ascii="Verdana" w:hAnsi="Verdana" w:cs="Arial"/>
          <w:sz w:val="16"/>
          <w:szCs w:val="16"/>
        </w:rPr>
        <w:t>4o. Las autoridades expedirán a costa de aquellas personas que demuestren interés legítimo, copias de las actuaciones y propuestas recibidas, respetando la reserva de que gocen legalmente las patentes, procedimientos y privilegios</w:t>
      </w:r>
      <w:r w:rsidR="00B6469F">
        <w:rPr>
          <w:rFonts w:ascii="Verdana" w:hAnsi="Verdana" w:cs="Arial"/>
          <w:sz w:val="16"/>
          <w:szCs w:val="16"/>
        </w:rPr>
        <w:t>”</w:t>
      </w:r>
      <w:r w:rsidRPr="00B6469F">
        <w:rPr>
          <w:rFonts w:ascii="Verdana" w:hAnsi="Verdana" w:cs="Arial"/>
          <w:sz w:val="16"/>
          <w:szCs w:val="16"/>
        </w:rPr>
        <w:t>.</w:t>
      </w:r>
    </w:p>
    <w:p w14:paraId="16065FD8" w14:textId="77777777" w:rsidR="00190A95" w:rsidRPr="00B6469F" w:rsidRDefault="00190A95" w:rsidP="00190A95">
      <w:pPr>
        <w:pStyle w:val="Textonotapie"/>
        <w:ind w:firstLine="708"/>
        <w:jc w:val="both"/>
        <w:rPr>
          <w:rFonts w:ascii="Verdana" w:hAnsi="Verdana" w:cs="Arial"/>
          <w:sz w:val="16"/>
          <w:szCs w:val="16"/>
          <w:lang w:val="es-CO"/>
        </w:rPr>
      </w:pPr>
      <w:r w:rsidRPr="00B6469F">
        <w:rPr>
          <w:rFonts w:ascii="Verdana" w:hAnsi="Verdana" w:cs="Arial"/>
          <w:sz w:val="16"/>
          <w:szCs w:val="16"/>
        </w:rPr>
        <w:t xml:space="preserve"> </w:t>
      </w:r>
    </w:p>
  </w:footnote>
  <w:footnote w:id="20">
    <w:p w14:paraId="0D97AB6D" w14:textId="06300470" w:rsidR="00190A95" w:rsidRPr="00B6469F" w:rsidRDefault="00190A95" w:rsidP="00190A95">
      <w:pPr>
        <w:pStyle w:val="Textonotapie"/>
        <w:ind w:firstLine="708"/>
        <w:jc w:val="both"/>
        <w:rPr>
          <w:rFonts w:ascii="Verdana" w:hAnsi="Verdana" w:cs="Arial"/>
          <w:sz w:val="16"/>
          <w:szCs w:val="16"/>
        </w:rPr>
      </w:pPr>
      <w:r w:rsidRPr="00B6469F">
        <w:rPr>
          <w:rStyle w:val="Refdenotaalpie"/>
          <w:rFonts w:ascii="Verdana" w:hAnsi="Verdana" w:cs="Arial"/>
          <w:sz w:val="16"/>
          <w:szCs w:val="16"/>
        </w:rPr>
        <w:footnoteRef/>
      </w:r>
      <w:r w:rsidRPr="00B6469F">
        <w:rPr>
          <w:rFonts w:ascii="Verdana" w:hAnsi="Verdana" w:cs="Arial"/>
          <w:sz w:val="16"/>
          <w:szCs w:val="16"/>
        </w:rPr>
        <w:t xml:space="preserve">  Ley 1712 de 2014</w:t>
      </w:r>
      <w:r w:rsidR="00B6469F">
        <w:rPr>
          <w:rFonts w:ascii="Verdana" w:hAnsi="Verdana" w:cs="Arial"/>
          <w:sz w:val="16"/>
          <w:szCs w:val="16"/>
        </w:rPr>
        <w:t xml:space="preserve"> “</w:t>
      </w:r>
      <w:r w:rsidRPr="00B6469F">
        <w:rPr>
          <w:rFonts w:ascii="Verdana" w:hAnsi="Verdana" w:cs="Arial"/>
          <w:sz w:val="16"/>
          <w:szCs w:val="16"/>
        </w:rPr>
        <w:t>Artículo 2°.</w:t>
      </w:r>
      <w:r w:rsidR="00B6469F">
        <w:rPr>
          <w:rFonts w:ascii="Verdana" w:hAnsi="Verdana" w:cs="Arial"/>
          <w:sz w:val="16"/>
          <w:szCs w:val="16"/>
        </w:rPr>
        <w:t xml:space="preserve"> </w:t>
      </w:r>
      <w:r w:rsidRPr="00B6469F">
        <w:rPr>
          <w:rFonts w:ascii="Verdana" w:hAnsi="Verdana" w:cs="Arial"/>
          <w:sz w:val="16"/>
          <w:szCs w:val="16"/>
        </w:rPr>
        <w:t>Principio de máxima publicidad para titular universal. Toda información en posesión, bajo control o custodia de un sujeto obligado es pública y no podrá ser reservada o limitada sino por disposición constitucional o legal, de conformidad con la presente ley</w:t>
      </w:r>
      <w:r w:rsidR="00B6469F">
        <w:rPr>
          <w:rFonts w:ascii="Verdana" w:hAnsi="Verdana" w:cs="Arial"/>
          <w:sz w:val="16"/>
          <w:szCs w:val="16"/>
        </w:rPr>
        <w:t>”</w:t>
      </w:r>
      <w:r w:rsidRPr="00B6469F">
        <w:rPr>
          <w:rFonts w:ascii="Verdana" w:hAnsi="Verdana" w:cs="Arial"/>
          <w:sz w:val="16"/>
          <w:szCs w:val="16"/>
        </w:rPr>
        <w:t>.</w:t>
      </w:r>
    </w:p>
    <w:p w14:paraId="0E9832CB" w14:textId="77777777" w:rsidR="00190A95" w:rsidRPr="00B6469F" w:rsidRDefault="00190A95" w:rsidP="00190A95">
      <w:pPr>
        <w:pStyle w:val="Textonotapie"/>
        <w:rPr>
          <w:rFonts w:ascii="Verdana" w:hAnsi="Verdana" w:cs="Arial"/>
          <w:sz w:val="16"/>
          <w:szCs w:val="16"/>
          <w:lang w:val="es-CO"/>
        </w:rPr>
      </w:pPr>
    </w:p>
  </w:footnote>
  <w:footnote w:id="21">
    <w:p w14:paraId="7FE14014" w14:textId="77777777" w:rsidR="00190A95" w:rsidRPr="00B6469F" w:rsidRDefault="00190A95" w:rsidP="00190A95">
      <w:pPr>
        <w:pStyle w:val="Textonotapie"/>
        <w:ind w:firstLine="708"/>
        <w:jc w:val="both"/>
        <w:rPr>
          <w:rFonts w:ascii="Verdana" w:hAnsi="Verdana" w:cs="Arial"/>
          <w:sz w:val="16"/>
          <w:szCs w:val="16"/>
        </w:rPr>
      </w:pPr>
      <w:r w:rsidRPr="00B6469F">
        <w:rPr>
          <w:rStyle w:val="Refdenotaalpie"/>
          <w:rFonts w:ascii="Verdana" w:hAnsi="Verdana" w:cs="Arial"/>
          <w:sz w:val="16"/>
          <w:szCs w:val="16"/>
        </w:rPr>
        <w:footnoteRef/>
      </w:r>
      <w:r w:rsidRPr="00B6469F">
        <w:rPr>
          <w:rFonts w:ascii="Verdana" w:hAnsi="Verdana" w:cs="Arial"/>
          <w:sz w:val="16"/>
          <w:szCs w:val="16"/>
        </w:rPr>
        <w:t xml:space="preserve"> MATALLANA CAMACHO Ernesto. Manual de Contratación de la Administración Pública. Reforma a la Ley 80 de 1993. Universidad Externado de Colombia, Cuarta edición, 2015, pp 139.</w:t>
      </w:r>
    </w:p>
    <w:p w14:paraId="7F643127" w14:textId="77777777" w:rsidR="00190A95" w:rsidRPr="00B6469F" w:rsidRDefault="00190A95" w:rsidP="00190A95">
      <w:pPr>
        <w:pStyle w:val="Textonotapie"/>
        <w:ind w:firstLine="708"/>
        <w:jc w:val="both"/>
        <w:rPr>
          <w:rFonts w:ascii="Verdana" w:hAnsi="Verdana" w:cs="Arial"/>
          <w:sz w:val="16"/>
          <w:szCs w:val="16"/>
          <w:lang w:val="es-CO"/>
        </w:rPr>
      </w:pPr>
      <w:r w:rsidRPr="00B6469F">
        <w:rPr>
          <w:rFonts w:ascii="Verdana" w:hAnsi="Verdana" w:cs="Arial"/>
          <w:sz w:val="16"/>
          <w:szCs w:val="16"/>
        </w:rPr>
        <w:t xml:space="preserve">  </w:t>
      </w:r>
    </w:p>
  </w:footnote>
  <w:footnote w:id="22">
    <w:p w14:paraId="2611BF85" w14:textId="77777777" w:rsidR="00190A95" w:rsidRPr="00B6469F" w:rsidRDefault="00190A95" w:rsidP="00190A95">
      <w:pPr>
        <w:pStyle w:val="Textonotapie"/>
        <w:ind w:firstLine="708"/>
        <w:jc w:val="both"/>
        <w:rPr>
          <w:rFonts w:ascii="Verdana" w:eastAsia="Calibri" w:hAnsi="Verdana" w:cs="Arial"/>
          <w:sz w:val="16"/>
          <w:szCs w:val="16"/>
        </w:rPr>
      </w:pPr>
      <w:r w:rsidRPr="00B6469F">
        <w:rPr>
          <w:rStyle w:val="Refdenotaalpie"/>
          <w:rFonts w:ascii="Verdana" w:hAnsi="Verdana" w:cs="Arial"/>
          <w:sz w:val="16"/>
          <w:szCs w:val="16"/>
        </w:rPr>
        <w:footnoteRef/>
      </w:r>
      <w:r w:rsidRPr="00B6469F">
        <w:rPr>
          <w:rFonts w:ascii="Verdana" w:hAnsi="Verdana" w:cs="Arial"/>
          <w:sz w:val="16"/>
          <w:szCs w:val="16"/>
        </w:rPr>
        <w:t xml:space="preserve"> Resultan relevantes las consideraciones expuestas en el concepto C- 322 del 16 de junio de 2020 –radicado No. 2202013000005088–, sobre la aplicación del artículo 36 del CPACA en torno al manejo de información reservada en cuadernos separados: «</w:t>
      </w:r>
      <w:r w:rsidRPr="00B6469F">
        <w:rPr>
          <w:rFonts w:ascii="Verdana" w:eastAsia="Calibri" w:hAnsi="Verdana" w:cs="Arial"/>
          <w:sz w:val="16"/>
          <w:szCs w:val="16"/>
        </w:rPr>
        <w:t>tratándose de información sometida a reserva, considera esta Agencia que el tratamiento que corresponde a esta información es el procedente a partir de lo dispuesto en el artículo 36 del CPACA sobre la formación y examen de expedientes, en el que se establece que los documentos sometidos a reserva deberán insertarse en un cuaderno separado del expediente principal, el cual no podrá ser consultado por la ciudadanía o interesados en general. El manejo de estos documentos conforme lo indica esta norma, permite guardar la reserva a la que están sometidos dichos documentos en el marco de procesos de contratación, sin que se vean lesionados los intereses de los titulares de la información o contrariadas las normas del régimen de protección de datos personales».</w:t>
      </w:r>
    </w:p>
    <w:p w14:paraId="11ED2550" w14:textId="77777777" w:rsidR="00190A95" w:rsidRPr="00B6469F" w:rsidRDefault="00190A95" w:rsidP="00190A95">
      <w:pPr>
        <w:pStyle w:val="Textonotapie"/>
        <w:ind w:firstLine="708"/>
        <w:rPr>
          <w:rFonts w:ascii="Verdana" w:hAnsi="Verdana"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7445982"/>
    <w:multiLevelType w:val="hybridMultilevel"/>
    <w:tmpl w:val="B694C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C9213E"/>
    <w:multiLevelType w:val="hybridMultilevel"/>
    <w:tmpl w:val="1EB66FE2"/>
    <w:lvl w:ilvl="0" w:tplc="C58E7A74">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D1E1561"/>
    <w:multiLevelType w:val="hybridMultilevel"/>
    <w:tmpl w:val="FFFFFFFF"/>
    <w:lvl w:ilvl="0" w:tplc="5132694A">
      <w:start w:val="1"/>
      <w:numFmt w:val="bullet"/>
      <w:lvlText w:val=""/>
      <w:lvlJc w:val="left"/>
      <w:pPr>
        <w:ind w:left="644" w:hanging="360"/>
      </w:pPr>
      <w:rPr>
        <w:rFonts w:ascii="Symbol" w:eastAsia="Times New Roman" w:hAnsi="Symbol" w:hint="default"/>
      </w:rPr>
    </w:lvl>
    <w:lvl w:ilvl="1" w:tplc="240A0003">
      <w:start w:val="1"/>
      <w:numFmt w:val="bullet"/>
      <w:lvlText w:val="o"/>
      <w:lvlJc w:val="left"/>
      <w:pPr>
        <w:ind w:left="1364" w:hanging="360"/>
      </w:pPr>
      <w:rPr>
        <w:rFonts w:ascii="Courier New" w:hAnsi="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5"/>
  </w:num>
  <w:num w:numId="7">
    <w:abstractNumId w:val="6"/>
  </w:num>
  <w:num w:numId="8">
    <w:abstractNumId w:val="14"/>
  </w:num>
  <w:num w:numId="9">
    <w:abstractNumId w:val="8"/>
  </w:num>
  <w:num w:numId="10">
    <w:abstractNumId w:val="13"/>
  </w:num>
  <w:num w:numId="11">
    <w:abstractNumId w:val="9"/>
  </w:num>
  <w:num w:numId="12">
    <w:abstractNumId w:val="1"/>
  </w:num>
  <w:num w:numId="13">
    <w:abstractNumId w:val="4"/>
  </w:num>
  <w:num w:numId="14">
    <w:abstractNumId w:val="16"/>
  </w:num>
  <w:num w:numId="15">
    <w:abstractNumId w:val="12"/>
  </w:num>
  <w:num w:numId="16">
    <w:abstractNumId w:val="0"/>
  </w:num>
  <w:num w:numId="17">
    <w:abstractNumId w:val="11"/>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737B"/>
    <w:rsid w:val="00041A2F"/>
    <w:rsid w:val="00061B2A"/>
    <w:rsid w:val="00082362"/>
    <w:rsid w:val="000A683E"/>
    <w:rsid w:val="000B19B9"/>
    <w:rsid w:val="000D0334"/>
    <w:rsid w:val="000F6486"/>
    <w:rsid w:val="00125105"/>
    <w:rsid w:val="00127233"/>
    <w:rsid w:val="001514E8"/>
    <w:rsid w:val="00190A95"/>
    <w:rsid w:val="001924BB"/>
    <w:rsid w:val="0019309A"/>
    <w:rsid w:val="00196F13"/>
    <w:rsid w:val="001A4F72"/>
    <w:rsid w:val="001E4177"/>
    <w:rsid w:val="001E41D4"/>
    <w:rsid w:val="001F7DC6"/>
    <w:rsid w:val="00201E99"/>
    <w:rsid w:val="00230A19"/>
    <w:rsid w:val="00241480"/>
    <w:rsid w:val="002421BB"/>
    <w:rsid w:val="0025796E"/>
    <w:rsid w:val="00266BDC"/>
    <w:rsid w:val="002707A2"/>
    <w:rsid w:val="002951A0"/>
    <w:rsid w:val="002962BC"/>
    <w:rsid w:val="002A093D"/>
    <w:rsid w:val="002A0DD0"/>
    <w:rsid w:val="002A49AC"/>
    <w:rsid w:val="002A64FD"/>
    <w:rsid w:val="002C7A84"/>
    <w:rsid w:val="002E429F"/>
    <w:rsid w:val="002E4FD9"/>
    <w:rsid w:val="00322A85"/>
    <w:rsid w:val="00324168"/>
    <w:rsid w:val="003364AE"/>
    <w:rsid w:val="00342216"/>
    <w:rsid w:val="003448F4"/>
    <w:rsid w:val="00374F5E"/>
    <w:rsid w:val="00377E3E"/>
    <w:rsid w:val="00380A7C"/>
    <w:rsid w:val="00391754"/>
    <w:rsid w:val="003A26D1"/>
    <w:rsid w:val="003A779E"/>
    <w:rsid w:val="003C1B89"/>
    <w:rsid w:val="003D0F4D"/>
    <w:rsid w:val="003D5B0D"/>
    <w:rsid w:val="003E0499"/>
    <w:rsid w:val="003F1EE8"/>
    <w:rsid w:val="003F3941"/>
    <w:rsid w:val="003F5AE0"/>
    <w:rsid w:val="00406575"/>
    <w:rsid w:val="0042180D"/>
    <w:rsid w:val="0042722E"/>
    <w:rsid w:val="0044528D"/>
    <w:rsid w:val="004769E9"/>
    <w:rsid w:val="004A1847"/>
    <w:rsid w:val="004A305D"/>
    <w:rsid w:val="004A5EC3"/>
    <w:rsid w:val="004C3ACC"/>
    <w:rsid w:val="004D7B01"/>
    <w:rsid w:val="004E0AA5"/>
    <w:rsid w:val="004E35F9"/>
    <w:rsid w:val="004E5BEF"/>
    <w:rsid w:val="004E675D"/>
    <w:rsid w:val="004F21C4"/>
    <w:rsid w:val="004F685F"/>
    <w:rsid w:val="00500B69"/>
    <w:rsid w:val="00501C79"/>
    <w:rsid w:val="00523F4A"/>
    <w:rsid w:val="005566E8"/>
    <w:rsid w:val="00563C29"/>
    <w:rsid w:val="00566D97"/>
    <w:rsid w:val="00574867"/>
    <w:rsid w:val="00590435"/>
    <w:rsid w:val="00591460"/>
    <w:rsid w:val="00592628"/>
    <w:rsid w:val="005B1FA7"/>
    <w:rsid w:val="005C3777"/>
    <w:rsid w:val="005C5CDC"/>
    <w:rsid w:val="005D32F6"/>
    <w:rsid w:val="005D476C"/>
    <w:rsid w:val="00610812"/>
    <w:rsid w:val="0061310A"/>
    <w:rsid w:val="006219F8"/>
    <w:rsid w:val="00650FF7"/>
    <w:rsid w:val="00665D70"/>
    <w:rsid w:val="00671DAC"/>
    <w:rsid w:val="00671F97"/>
    <w:rsid w:val="006754AA"/>
    <w:rsid w:val="006900D9"/>
    <w:rsid w:val="006D05C6"/>
    <w:rsid w:val="006D12F8"/>
    <w:rsid w:val="00706C16"/>
    <w:rsid w:val="00756841"/>
    <w:rsid w:val="007649AB"/>
    <w:rsid w:val="00771D0C"/>
    <w:rsid w:val="007833AC"/>
    <w:rsid w:val="00783E4F"/>
    <w:rsid w:val="007901A0"/>
    <w:rsid w:val="007B268C"/>
    <w:rsid w:val="007B529D"/>
    <w:rsid w:val="007B7171"/>
    <w:rsid w:val="007C0C0F"/>
    <w:rsid w:val="007C3DC2"/>
    <w:rsid w:val="007C4615"/>
    <w:rsid w:val="007E5497"/>
    <w:rsid w:val="007F62EE"/>
    <w:rsid w:val="00806F5F"/>
    <w:rsid w:val="00820278"/>
    <w:rsid w:val="0082144A"/>
    <w:rsid w:val="00823FB5"/>
    <w:rsid w:val="00840694"/>
    <w:rsid w:val="00840DDA"/>
    <w:rsid w:val="00844020"/>
    <w:rsid w:val="008564AB"/>
    <w:rsid w:val="00881032"/>
    <w:rsid w:val="008843B6"/>
    <w:rsid w:val="00891928"/>
    <w:rsid w:val="008A446D"/>
    <w:rsid w:val="008D180B"/>
    <w:rsid w:val="008F0EA7"/>
    <w:rsid w:val="0090161A"/>
    <w:rsid w:val="00923EEF"/>
    <w:rsid w:val="009419F9"/>
    <w:rsid w:val="0095685E"/>
    <w:rsid w:val="00956B36"/>
    <w:rsid w:val="00961B09"/>
    <w:rsid w:val="00965334"/>
    <w:rsid w:val="0097093E"/>
    <w:rsid w:val="009A0DFA"/>
    <w:rsid w:val="009B2D26"/>
    <w:rsid w:val="009C71FA"/>
    <w:rsid w:val="009C72E7"/>
    <w:rsid w:val="009D3058"/>
    <w:rsid w:val="009E7E63"/>
    <w:rsid w:val="009E7E88"/>
    <w:rsid w:val="009F3A13"/>
    <w:rsid w:val="00A02135"/>
    <w:rsid w:val="00A122D3"/>
    <w:rsid w:val="00A17F13"/>
    <w:rsid w:val="00A20739"/>
    <w:rsid w:val="00A3204A"/>
    <w:rsid w:val="00A33C78"/>
    <w:rsid w:val="00A465F3"/>
    <w:rsid w:val="00A6673D"/>
    <w:rsid w:val="00A82FD3"/>
    <w:rsid w:val="00AB0ADB"/>
    <w:rsid w:val="00AC33E2"/>
    <w:rsid w:val="00AE488F"/>
    <w:rsid w:val="00AF3F3E"/>
    <w:rsid w:val="00B01B1A"/>
    <w:rsid w:val="00B1594B"/>
    <w:rsid w:val="00B20551"/>
    <w:rsid w:val="00B42C28"/>
    <w:rsid w:val="00B6469F"/>
    <w:rsid w:val="00B72CD3"/>
    <w:rsid w:val="00B72FFF"/>
    <w:rsid w:val="00B77B58"/>
    <w:rsid w:val="00B81D5D"/>
    <w:rsid w:val="00B94090"/>
    <w:rsid w:val="00BA0B57"/>
    <w:rsid w:val="00BC3D36"/>
    <w:rsid w:val="00BD7F72"/>
    <w:rsid w:val="00BE0E7B"/>
    <w:rsid w:val="00BF4DD6"/>
    <w:rsid w:val="00C04FB3"/>
    <w:rsid w:val="00C062B6"/>
    <w:rsid w:val="00C079E0"/>
    <w:rsid w:val="00C1656C"/>
    <w:rsid w:val="00C1794E"/>
    <w:rsid w:val="00C330EB"/>
    <w:rsid w:val="00C52962"/>
    <w:rsid w:val="00C754BE"/>
    <w:rsid w:val="00C76B1C"/>
    <w:rsid w:val="00C93D28"/>
    <w:rsid w:val="00CA7A83"/>
    <w:rsid w:val="00CB6357"/>
    <w:rsid w:val="00CB6E7B"/>
    <w:rsid w:val="00CC1B26"/>
    <w:rsid w:val="00CD6C29"/>
    <w:rsid w:val="00D0701C"/>
    <w:rsid w:val="00D1011C"/>
    <w:rsid w:val="00D173BB"/>
    <w:rsid w:val="00D423A2"/>
    <w:rsid w:val="00D51689"/>
    <w:rsid w:val="00D520D8"/>
    <w:rsid w:val="00D63AC2"/>
    <w:rsid w:val="00D7383B"/>
    <w:rsid w:val="00D80810"/>
    <w:rsid w:val="00D87D2E"/>
    <w:rsid w:val="00DA231B"/>
    <w:rsid w:val="00DA23A0"/>
    <w:rsid w:val="00DC39FC"/>
    <w:rsid w:val="00DF5254"/>
    <w:rsid w:val="00DF758C"/>
    <w:rsid w:val="00E16408"/>
    <w:rsid w:val="00E20894"/>
    <w:rsid w:val="00E245AB"/>
    <w:rsid w:val="00E255ED"/>
    <w:rsid w:val="00E2764C"/>
    <w:rsid w:val="00E27F2E"/>
    <w:rsid w:val="00E413EA"/>
    <w:rsid w:val="00E50AFE"/>
    <w:rsid w:val="00E75C92"/>
    <w:rsid w:val="00E76E4F"/>
    <w:rsid w:val="00E771DC"/>
    <w:rsid w:val="00E8772A"/>
    <w:rsid w:val="00E87B5E"/>
    <w:rsid w:val="00E90F6B"/>
    <w:rsid w:val="00E92C27"/>
    <w:rsid w:val="00EA0E3D"/>
    <w:rsid w:val="00EC38A7"/>
    <w:rsid w:val="00ED2A79"/>
    <w:rsid w:val="00EE1AA8"/>
    <w:rsid w:val="00EE38F0"/>
    <w:rsid w:val="00F221DD"/>
    <w:rsid w:val="00F2295A"/>
    <w:rsid w:val="00F31EDC"/>
    <w:rsid w:val="00F462B3"/>
    <w:rsid w:val="00F5664F"/>
    <w:rsid w:val="00F666C4"/>
    <w:rsid w:val="00F76AFC"/>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4697E86D-1DE7-4EE1-9E88-A398B28F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Lista vistosa - Énfasis 1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7C4615"/>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C4615"/>
    <w:rPr>
      <w:rFonts w:ascii="Geomanist Light" w:hAnsi="Geomanist Light"/>
      <w:lang w:val="es-ES"/>
    </w:rPr>
  </w:style>
  <w:style w:type="character" w:customStyle="1" w:styleId="NormalWebCar">
    <w:name w:val="Normal (Web) Car"/>
    <w:link w:val="NormalWeb"/>
    <w:uiPriority w:val="99"/>
    <w:rsid w:val="007C4615"/>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unhideWhenUsed/>
    <w:qFormat/>
    <w:rsid w:val="007C4615"/>
    <w:pPr>
      <w:spacing w:after="120"/>
    </w:pPr>
  </w:style>
  <w:style w:type="character" w:customStyle="1" w:styleId="TextoindependienteCar">
    <w:name w:val="Texto independiente Car"/>
    <w:basedOn w:val="Fuentedeprrafopredeter"/>
    <w:link w:val="Textoindependiente"/>
    <w:uiPriority w:val="1"/>
    <w:rsid w:val="007C4615"/>
  </w:style>
  <w:style w:type="character" w:styleId="Textoennegrita">
    <w:name w:val="Strong"/>
    <w:basedOn w:val="Fuentedeprrafopredeter"/>
    <w:uiPriority w:val="22"/>
    <w:qFormat/>
    <w:rsid w:val="00190A95"/>
    <w:rPr>
      <w:b/>
      <w:bCs/>
    </w:rPr>
  </w:style>
  <w:style w:type="character" w:styleId="nfasis">
    <w:name w:val="Emphasis"/>
    <w:basedOn w:val="Fuentedeprrafopredeter"/>
    <w:uiPriority w:val="20"/>
    <w:qFormat/>
    <w:rsid w:val="00190A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ala-de-prensa/boletin-digit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Angela.diaz@defensajuridica.gov.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127814E-D2E0-4ECA-946B-DC7F5AD88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openxmlformats.org/package/2006/metadata/core-properties"/>
    <ds:schemaRef ds:uri="http://purl.org/dc/terms/"/>
    <ds:schemaRef ds:uri="9d85dbaf-23eb-4e57-a637-93dcacc8b1a1"/>
    <ds:schemaRef ds:uri="http://schemas.microsoft.com/office/2006/metadata/properties"/>
    <ds:schemaRef ds:uri="http://schemas.microsoft.com/office/2006/documentManagement/types"/>
    <ds:schemaRef ds:uri="http://purl.org/dc/dcmitype/"/>
    <ds:schemaRef ds:uri="a6cb9e4b-f1d1-4245-83ec-6cad768d538a"/>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5810</Words>
  <Characters>31957</Characters>
  <Application>Microsoft Office Word</Application>
  <DocSecurity>0</DocSecurity>
  <Lines>266</Lines>
  <Paragraphs>75</Paragraphs>
  <ScaleCrop>false</ScaleCrop>
  <Company/>
  <LinksUpToDate>false</LinksUpToDate>
  <CharactersWithSpaces>37692</CharactersWithSpaces>
  <SharedDoc>false</SharedDoc>
  <HLinks>
    <vt:vector size="18" baseType="variant">
      <vt:variant>
        <vt:i4>5439494</vt:i4>
      </vt:variant>
      <vt:variant>
        <vt:i4>6</vt:i4>
      </vt:variant>
      <vt:variant>
        <vt:i4>0</vt:i4>
      </vt:variant>
      <vt:variant>
        <vt:i4>5</vt:i4>
      </vt:variant>
      <vt:variant>
        <vt:lpwstr>https://www.colombiacompra.gov.co/sala-de-prensa/boletin-digital</vt:lpwstr>
      </vt:variant>
      <vt:variant>
        <vt:lpwstr/>
      </vt:variant>
      <vt:variant>
        <vt:i4>7471218</vt:i4>
      </vt:variant>
      <vt:variant>
        <vt:i4>3</vt:i4>
      </vt:variant>
      <vt:variant>
        <vt:i4>0</vt:i4>
      </vt:variant>
      <vt:variant>
        <vt:i4>5</vt:i4>
      </vt:variant>
      <vt:variant>
        <vt:lpwstr>https://relatoria.colombiacompra.gov.co/busqueda/conceptos</vt:lpwstr>
      </vt:variant>
      <vt:variant>
        <vt:lpwstr/>
      </vt:variant>
      <vt:variant>
        <vt:i4>6160486</vt:i4>
      </vt:variant>
      <vt:variant>
        <vt:i4>0</vt:i4>
      </vt:variant>
      <vt:variant>
        <vt:i4>0</vt:i4>
      </vt:variant>
      <vt:variant>
        <vt:i4>5</vt:i4>
      </vt:variant>
      <vt:variant>
        <vt:lpwstr>mailto:Angela.diaz@defensajuridica.gov.co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Betty helena Diaz</cp:lastModifiedBy>
  <cp:revision>2</cp:revision>
  <cp:lastPrinted>2023-01-11T00:18:00Z</cp:lastPrinted>
  <dcterms:created xsi:type="dcterms:W3CDTF">2024-09-18T00:28:00Z</dcterms:created>
  <dcterms:modified xsi:type="dcterms:W3CDTF">2024-09-18T00:28:00Z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