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B936" w14:textId="77777777" w:rsidR="005C15E8" w:rsidRDefault="005C15E8" w:rsidP="03039DCC">
      <w:pPr>
        <w:spacing w:after="0"/>
        <w:ind w:firstLine="708"/>
        <w:rPr>
          <w:rFonts w:ascii="Century Gothic" w:hAnsi="Century Gothic"/>
        </w:rPr>
      </w:pPr>
    </w:p>
    <w:p w14:paraId="03E3BAF1" w14:textId="77777777" w:rsidR="005C15E8" w:rsidRDefault="005C15E8" w:rsidP="005C15E8">
      <w:pPr>
        <w:spacing w:after="0"/>
        <w:rPr>
          <w:rFonts w:ascii="Century Gothic" w:hAnsi="Century Gothic"/>
        </w:rPr>
      </w:pPr>
    </w:p>
    <w:p w14:paraId="084479E6" w14:textId="77777777" w:rsidR="005C15E8" w:rsidRPr="005C15E8" w:rsidRDefault="005C15E8" w:rsidP="005C15E8">
      <w:pPr>
        <w:spacing w:after="0" w:line="240" w:lineRule="auto"/>
        <w:jc w:val="both"/>
        <w:rPr>
          <w:rFonts w:ascii="Century Gothic" w:eastAsia="Calibri" w:hAnsi="Century Gothic" w:cs="Arial"/>
          <w:b/>
          <w:sz w:val="20"/>
          <w:szCs w:val="20"/>
          <w:lang w:val="es-ES_tradnl" w:eastAsia="es-ES_tradnl"/>
        </w:rPr>
      </w:pPr>
      <w:r w:rsidRPr="005C15E8">
        <w:rPr>
          <w:rFonts w:ascii="Century Gothic" w:eastAsia="Calibri" w:hAnsi="Century Gothic" w:cs="Arial"/>
          <w:b/>
          <w:sz w:val="20"/>
          <w:szCs w:val="20"/>
          <w:lang w:val="es-ES_tradnl" w:eastAsia="es-ES_tradnl"/>
        </w:rPr>
        <w:t xml:space="preserve">SOCIEDADES NUEVAS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 xml:space="preserve"> Experiencia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 xml:space="preserve"> Inferior a tres años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 xml:space="preserve"> Requisitos habilitantes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Desarrollo de la empresa</w:t>
      </w:r>
    </w:p>
    <w:p w14:paraId="4605329D" w14:textId="77777777" w:rsidR="005C15E8" w:rsidRPr="005C15E8" w:rsidRDefault="005C15E8" w:rsidP="005C15E8">
      <w:pPr>
        <w:spacing w:after="0" w:line="240" w:lineRule="auto"/>
        <w:jc w:val="both"/>
        <w:rPr>
          <w:rFonts w:ascii="Century Gothic" w:eastAsia="Calibri" w:hAnsi="Century Gothic" w:cs="Arial"/>
          <w:b/>
          <w:sz w:val="20"/>
          <w:szCs w:val="20"/>
          <w:lang w:val="es-ES_tradnl" w:eastAsia="es-ES_tradnl"/>
        </w:rPr>
      </w:pPr>
    </w:p>
    <w:p w14:paraId="50738481"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r w:rsidRPr="005C15E8">
        <w:rPr>
          <w:rFonts w:ascii="Century Gothic" w:eastAsia="Calibri" w:hAnsi="Century Gothic" w:cs="Arial"/>
          <w:bCs/>
          <w:sz w:val="20"/>
          <w:szCs w:val="20"/>
          <w:lang w:val="es-ES_tradnl" w:eastAsia="es-ES_tradn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w:t>
      </w:r>
    </w:p>
    <w:p w14:paraId="7AAF3009"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r w:rsidRPr="005C15E8">
        <w:rPr>
          <w:rFonts w:ascii="Century Gothic" w:eastAsia="Calibri" w:hAnsi="Century Gothic" w:cs="Arial"/>
          <w:bCs/>
          <w:sz w:val="20"/>
          <w:szCs w:val="20"/>
          <w:lang w:val="es-ES_tradnl" w:eastAsia="es-ES_tradnl"/>
        </w:rPr>
        <w:t xml:space="preserve">[…] </w:t>
      </w:r>
    </w:p>
    <w:p w14:paraId="2DD2CE0B" w14:textId="77777777" w:rsidR="005C15E8" w:rsidRPr="005C15E8" w:rsidRDefault="005C15E8" w:rsidP="1BA93D08">
      <w:pPr>
        <w:spacing w:after="0" w:line="240" w:lineRule="auto"/>
        <w:jc w:val="both"/>
        <w:rPr>
          <w:rFonts w:ascii="Century Gothic" w:eastAsia="Calibri" w:hAnsi="Century Gothic" w:cs="Arial"/>
          <w:sz w:val="20"/>
          <w:szCs w:val="20"/>
          <w:lang w:val="es-ES" w:eastAsia="es-ES"/>
        </w:rPr>
      </w:pPr>
      <w:r w:rsidRPr="1BA93D08">
        <w:rPr>
          <w:rFonts w:ascii="Century Gothic" w:eastAsia="Calibri" w:hAnsi="Century Gothic" w:cs="Arial"/>
          <w:sz w:val="20"/>
          <w:szCs w:val="20"/>
          <w:lang w:val="es-ES" w:eastAsia="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0B3750BE"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p>
    <w:p w14:paraId="64214D35" w14:textId="77777777" w:rsidR="005C15E8" w:rsidRPr="005C15E8" w:rsidRDefault="005C15E8" w:rsidP="005C15E8">
      <w:pPr>
        <w:spacing w:after="0" w:line="240" w:lineRule="auto"/>
        <w:jc w:val="both"/>
        <w:rPr>
          <w:rFonts w:ascii="Century Gothic" w:eastAsia="Calibri" w:hAnsi="Century Gothic" w:cs="Arial"/>
          <w:b/>
          <w:sz w:val="20"/>
          <w:szCs w:val="20"/>
          <w:lang w:val="es-ES_tradnl" w:eastAsia="es-ES_tradnl"/>
        </w:rPr>
      </w:pPr>
      <w:r w:rsidRPr="005C15E8">
        <w:rPr>
          <w:rFonts w:ascii="Century Gothic" w:eastAsia="Calibri" w:hAnsi="Century Gothic" w:cs="Arial"/>
          <w:b/>
          <w:sz w:val="20"/>
          <w:szCs w:val="20"/>
          <w:lang w:val="es-ES_tradnl" w:eastAsia="es-ES_tradnl"/>
        </w:rPr>
        <w:t xml:space="preserve">EXPERIENCIA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 xml:space="preserve"> Conservación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 xml:space="preserve"> Renovación RUP </w:t>
      </w:r>
      <w:r w:rsidRPr="005C15E8">
        <w:rPr>
          <w:rFonts w:ascii="Arial" w:eastAsia="Calibri" w:hAnsi="Arial" w:cs="Arial"/>
          <w:b/>
          <w:sz w:val="20"/>
          <w:szCs w:val="20"/>
          <w:lang w:val="es-ES_tradnl" w:eastAsia="es-ES_tradnl"/>
        </w:rPr>
        <w:t>‒</w:t>
      </w:r>
      <w:r w:rsidRPr="005C15E8">
        <w:rPr>
          <w:rFonts w:ascii="Century Gothic" w:eastAsia="Calibri" w:hAnsi="Century Gothic" w:cs="Arial"/>
          <w:b/>
          <w:sz w:val="20"/>
          <w:szCs w:val="20"/>
          <w:lang w:val="es-ES_tradnl" w:eastAsia="es-ES_tradnl"/>
        </w:rPr>
        <w:t xml:space="preserve"> Cesación efectos RUP</w:t>
      </w:r>
    </w:p>
    <w:p w14:paraId="6C9BCF54"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p>
    <w:p w14:paraId="306DCAFE" w14:textId="77777777" w:rsidR="005C15E8" w:rsidRPr="005C15E8" w:rsidRDefault="005C15E8" w:rsidP="1BA93D08">
      <w:pPr>
        <w:spacing w:after="0" w:line="240" w:lineRule="auto"/>
        <w:jc w:val="both"/>
        <w:rPr>
          <w:rFonts w:ascii="Century Gothic" w:eastAsia="Calibri" w:hAnsi="Century Gothic" w:cs="Arial"/>
          <w:sz w:val="20"/>
          <w:szCs w:val="20"/>
          <w:lang w:val="es-ES" w:eastAsia="es-ES"/>
        </w:rPr>
      </w:pPr>
      <w:r w:rsidRPr="1BA93D08">
        <w:rPr>
          <w:rFonts w:ascii="Century Gothic" w:eastAsia="Calibri" w:hAnsi="Century Gothic" w:cs="Arial"/>
          <w:sz w:val="20"/>
          <w:szCs w:val="20"/>
          <w:lang w:val="es-ES" w:eastAsia="es-ES"/>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7F114750"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p>
    <w:p w14:paraId="54E9CE7C" w14:textId="77777777" w:rsidR="005C15E8" w:rsidRPr="005C15E8" w:rsidRDefault="005C15E8" w:rsidP="005C15E8">
      <w:pPr>
        <w:spacing w:after="0" w:line="240" w:lineRule="auto"/>
        <w:jc w:val="both"/>
        <w:rPr>
          <w:rFonts w:ascii="Century Gothic" w:eastAsia="Calibri" w:hAnsi="Century Gothic" w:cs="Arial"/>
          <w:b/>
          <w:sz w:val="20"/>
          <w:szCs w:val="20"/>
          <w:lang w:val="es-ES_tradnl" w:eastAsia="es-ES_tradnl"/>
        </w:rPr>
      </w:pPr>
      <w:r w:rsidRPr="005C15E8">
        <w:rPr>
          <w:rFonts w:ascii="Century Gothic" w:eastAsia="Calibri" w:hAnsi="Century Gothic" w:cs="Arial"/>
          <w:b/>
          <w:sz w:val="20"/>
          <w:szCs w:val="20"/>
          <w:lang w:val="es-ES_tradnl" w:eastAsia="es-ES_tradnl"/>
        </w:rPr>
        <w:t>EXPERIENCIA – Retiro del socio − Sociedades – Menor a 3 años de constitución</w:t>
      </w:r>
    </w:p>
    <w:p w14:paraId="28A33FCB"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p>
    <w:p w14:paraId="19D312EF" w14:textId="77777777" w:rsidR="005C15E8" w:rsidRPr="005C15E8" w:rsidRDefault="005C15E8" w:rsidP="005C15E8">
      <w:pPr>
        <w:spacing w:after="0" w:line="240" w:lineRule="auto"/>
        <w:jc w:val="both"/>
        <w:rPr>
          <w:rFonts w:ascii="Century Gothic" w:eastAsia="Calibri" w:hAnsi="Century Gothic" w:cs="Arial"/>
          <w:bCs/>
          <w:sz w:val="20"/>
          <w:szCs w:val="20"/>
          <w:lang w:val="es-ES_tradnl" w:eastAsia="es-ES_tradnl"/>
        </w:rPr>
      </w:pPr>
      <w:r w:rsidRPr="005C15E8">
        <w:rPr>
          <w:rFonts w:ascii="Century Gothic" w:eastAsia="Calibri" w:hAnsi="Century Gothic" w:cs="Arial"/>
          <w:bCs/>
          <w:sz w:val="20"/>
          <w:szCs w:val="20"/>
          <w:lang w:val="es-ES_tradnl" w:eastAsia="es-ES_tradnl"/>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2FBF3BD7" w14:textId="77777777" w:rsidR="005C15E8" w:rsidRPr="005C15E8" w:rsidRDefault="005C15E8" w:rsidP="03039DCC">
      <w:pPr>
        <w:spacing w:after="0"/>
        <w:ind w:firstLine="708"/>
        <w:rPr>
          <w:rFonts w:ascii="Century Gothic" w:eastAsia="Calibri" w:hAnsi="Century Gothic" w:cs="Arial"/>
          <w:bCs/>
          <w:sz w:val="20"/>
          <w:szCs w:val="20"/>
          <w:lang w:val="es-ES_tradnl" w:eastAsia="es-ES_tradnl"/>
        </w:rPr>
      </w:pPr>
    </w:p>
    <w:p w14:paraId="5A12C95F" w14:textId="77777777" w:rsidR="005C15E8" w:rsidRPr="005C15E8" w:rsidRDefault="005C15E8" w:rsidP="03039DCC">
      <w:pPr>
        <w:spacing w:after="0"/>
        <w:ind w:firstLine="708"/>
        <w:rPr>
          <w:rFonts w:ascii="Century Gothic" w:eastAsia="Calibri" w:hAnsi="Century Gothic" w:cs="Arial"/>
          <w:bCs/>
          <w:sz w:val="20"/>
          <w:szCs w:val="20"/>
          <w:lang w:val="es-ES_tradnl" w:eastAsia="es-ES_tradnl"/>
        </w:rPr>
      </w:pPr>
    </w:p>
    <w:p w14:paraId="09C9E14F" w14:textId="77777777" w:rsidR="005C15E8" w:rsidRDefault="005C15E8" w:rsidP="03039DCC">
      <w:pPr>
        <w:spacing w:after="0"/>
        <w:ind w:firstLine="708"/>
        <w:rPr>
          <w:rFonts w:ascii="Century Gothic" w:hAnsi="Century Gothic"/>
        </w:rPr>
      </w:pPr>
    </w:p>
    <w:p w14:paraId="05A78A5B" w14:textId="77777777" w:rsidR="005C15E8" w:rsidRDefault="005C15E8" w:rsidP="005C15E8">
      <w:pPr>
        <w:spacing w:after="0"/>
        <w:rPr>
          <w:rFonts w:ascii="Century Gothic" w:hAnsi="Century Gothic"/>
        </w:rPr>
      </w:pPr>
    </w:p>
    <w:p w14:paraId="74B00842" w14:textId="77777777" w:rsidR="005C15E8" w:rsidRDefault="005C15E8" w:rsidP="03039DCC">
      <w:pPr>
        <w:spacing w:after="0"/>
        <w:ind w:firstLine="708"/>
        <w:rPr>
          <w:rFonts w:ascii="Century Gothic" w:hAnsi="Century Gothic"/>
        </w:rPr>
      </w:pPr>
    </w:p>
    <w:p w14:paraId="44A06B17" w14:textId="07737DDC" w:rsidR="005A6AA1" w:rsidRDefault="005A6AA1" w:rsidP="03039DCC">
      <w:pPr>
        <w:spacing w:after="0"/>
        <w:ind w:firstLine="708"/>
        <w:rPr>
          <w:rFonts w:ascii="Century Gothic" w:hAnsi="Century Gothic"/>
          <w:lang w:val="es-MX"/>
        </w:rPr>
      </w:pPr>
      <w:r w:rsidRPr="03039DCC">
        <w:rPr>
          <w:rFonts w:ascii="Century Gothic" w:hAnsi="Century Gothic"/>
        </w:rPr>
        <w:t>Bogotá D.C., [Día] [</w:t>
      </w:r>
      <w:proofErr w:type="spellStart"/>
      <w:r w:rsidRPr="03039DCC">
        <w:rPr>
          <w:rFonts w:ascii="Century Gothic" w:hAnsi="Century Gothic"/>
        </w:rPr>
        <w:t>Mes.NombreCapitalizado</w:t>
      </w:r>
      <w:proofErr w:type="spellEnd"/>
      <w:r w:rsidRPr="03039DCC">
        <w:rPr>
          <w:rFonts w:ascii="Century Gothic" w:hAnsi="Century Gothic"/>
        </w:rPr>
        <w:t>] [Año]</w:t>
      </w:r>
    </w:p>
    <w:p w14:paraId="7EBFAB6A" w14:textId="77777777" w:rsidR="005A6AA1" w:rsidRDefault="005A6AA1" w:rsidP="00400548">
      <w:pPr>
        <w:spacing w:after="0"/>
        <w:rPr>
          <w:rFonts w:ascii="Century Gothic" w:hAnsi="Century Gothic"/>
          <w:lang w:val="es-MX"/>
        </w:rPr>
      </w:pPr>
    </w:p>
    <w:p w14:paraId="0D5F7C69" w14:textId="31015325" w:rsidR="00F27317" w:rsidRDefault="00964D34" w:rsidP="00964D34">
      <w:pPr>
        <w:spacing w:after="0"/>
        <w:jc w:val="right"/>
        <w:rPr>
          <w:rFonts w:ascii="Century Gothic" w:hAnsi="Century Gothic"/>
          <w:lang w:val="es-MX"/>
        </w:rPr>
      </w:pPr>
      <w:r w:rsidRPr="00964D34">
        <w:rPr>
          <w:rFonts w:ascii="Century Gothic" w:hAnsi="Century Gothic"/>
          <w:noProof/>
          <w:lang w:val="es-MX"/>
        </w:rPr>
        <w:drawing>
          <wp:inline distT="0" distB="0" distL="0" distR="0" wp14:anchorId="1ADF6EE9" wp14:editId="48FD04D5">
            <wp:extent cx="3295650" cy="962025"/>
            <wp:effectExtent l="0" t="0" r="0" b="9525"/>
            <wp:docPr id="101880311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03119" name="Imagen 1" descr="Interfaz de usuario gráfica, Texto&#10;&#10;Descripción generada automáticamente"/>
                    <pic:cNvPicPr/>
                  </pic:nvPicPr>
                  <pic:blipFill>
                    <a:blip r:embed="rId10"/>
                    <a:stretch>
                      <a:fillRect/>
                    </a:stretch>
                  </pic:blipFill>
                  <pic:spPr>
                    <a:xfrm>
                      <a:off x="0" y="0"/>
                      <a:ext cx="3295650" cy="962025"/>
                    </a:xfrm>
                    <a:prstGeom prst="rect">
                      <a:avLst/>
                    </a:prstGeom>
                  </pic:spPr>
                </pic:pic>
              </a:graphicData>
            </a:graphic>
          </wp:inline>
        </w:drawing>
      </w:r>
    </w:p>
    <w:p w14:paraId="5B1D648D" w14:textId="77777777" w:rsidR="00F27317" w:rsidRDefault="00F27317" w:rsidP="00F27317">
      <w:pPr>
        <w:spacing w:after="0" w:line="240" w:lineRule="auto"/>
        <w:jc w:val="both"/>
        <w:rPr>
          <w:rFonts w:ascii="Century Gothic" w:eastAsia="Calibri" w:hAnsi="Century Gothic" w:cs="Arial"/>
          <w:color w:val="000000" w:themeColor="text1"/>
          <w:lang w:val="es-ES" w:eastAsia="es-ES"/>
        </w:rPr>
      </w:pPr>
      <w:r w:rsidRPr="00E27F0A">
        <w:rPr>
          <w:rFonts w:ascii="Century Gothic" w:eastAsia="Calibri" w:hAnsi="Century Gothic" w:cs="Arial"/>
          <w:color w:val="000000" w:themeColor="text1"/>
          <w:lang w:val="es-ES" w:eastAsia="es-ES"/>
        </w:rPr>
        <w:t>Señor</w:t>
      </w:r>
    </w:p>
    <w:p w14:paraId="11A75BF4" w14:textId="77777777" w:rsidR="00F27317" w:rsidRDefault="00F27317" w:rsidP="00F27317">
      <w:pPr>
        <w:spacing w:after="0" w:line="240" w:lineRule="auto"/>
        <w:jc w:val="both"/>
        <w:rPr>
          <w:rFonts w:ascii="Century Gothic" w:eastAsia="Calibri" w:hAnsi="Century Gothic" w:cs="Arial"/>
          <w:color w:val="000000" w:themeColor="text1"/>
          <w:lang w:val="es-ES" w:eastAsia="es-ES"/>
        </w:rPr>
      </w:pPr>
      <w:r>
        <w:rPr>
          <w:rFonts w:ascii="Century Gothic" w:eastAsia="Calibri" w:hAnsi="Century Gothic" w:cs="Arial"/>
          <w:color w:val="000000" w:themeColor="text1"/>
          <w:lang w:val="es-ES" w:eastAsia="es-ES"/>
        </w:rPr>
        <w:t>Andrés David Sierra Hernández</w:t>
      </w:r>
    </w:p>
    <w:p w14:paraId="5C7F543D" w14:textId="77777777" w:rsidR="00F27317" w:rsidRPr="00B01160" w:rsidRDefault="00F27317" w:rsidP="00F27317">
      <w:pPr>
        <w:spacing w:after="0" w:line="240" w:lineRule="auto"/>
        <w:jc w:val="both"/>
        <w:rPr>
          <w:rFonts w:ascii="Century Gothic" w:eastAsia="Calibri" w:hAnsi="Century Gothic" w:cs="Arial"/>
          <w:color w:val="000000" w:themeColor="text1"/>
          <w:lang w:val="es-ES" w:eastAsia="es-ES"/>
        </w:rPr>
      </w:pPr>
      <w:r>
        <w:rPr>
          <w:rFonts w:ascii="Century Gothic" w:eastAsia="Calibri" w:hAnsi="Century Gothic" w:cs="Arial"/>
          <w:color w:val="000000" w:themeColor="text1"/>
          <w:lang w:val="es-ES" w:eastAsia="es-ES"/>
        </w:rPr>
        <w:t>Facatativá, Cundinamarca</w:t>
      </w:r>
    </w:p>
    <w:p w14:paraId="1BCF95A2" w14:textId="77777777" w:rsidR="00F27317" w:rsidRDefault="00F27317" w:rsidP="00F27317">
      <w:pPr>
        <w:spacing w:after="0" w:line="240" w:lineRule="auto"/>
        <w:rPr>
          <w:rFonts w:ascii="Century Gothic" w:eastAsia="Calibri" w:hAnsi="Century Gothic" w:cs="Arial"/>
          <w:bCs/>
          <w:lang w:val="es-ES_tradnl" w:eastAsia="es-ES_tradnl"/>
        </w:rPr>
      </w:pPr>
    </w:p>
    <w:p w14:paraId="05AC29CB" w14:textId="77777777" w:rsidR="00F27317" w:rsidRPr="00964D34" w:rsidRDefault="00F27317" w:rsidP="00964D34">
      <w:pPr>
        <w:spacing w:after="0" w:line="240" w:lineRule="auto"/>
        <w:jc w:val="center"/>
        <w:rPr>
          <w:rFonts w:ascii="Century Gothic" w:eastAsia="Calibri" w:hAnsi="Century Gothic" w:cs="Arial"/>
          <w:b/>
          <w:lang w:val="es-ES_tradnl" w:eastAsia="es-ES_tradnl"/>
        </w:rPr>
      </w:pPr>
    </w:p>
    <w:p w14:paraId="38CBFE3A" w14:textId="0C42F987" w:rsidR="00F27317" w:rsidRPr="00964D34" w:rsidRDefault="00964D34" w:rsidP="00964D34">
      <w:pPr>
        <w:spacing w:after="0" w:line="240" w:lineRule="auto"/>
        <w:jc w:val="center"/>
        <w:rPr>
          <w:rFonts w:ascii="Century Gothic" w:eastAsia="Calibri" w:hAnsi="Century Gothic" w:cs="Arial"/>
          <w:b/>
          <w:lang w:val="es-ES_tradnl" w:eastAsia="es-ES_tradnl"/>
        </w:rPr>
      </w:pPr>
      <w:r w:rsidRPr="00964D34">
        <w:rPr>
          <w:rFonts w:ascii="Century Gothic" w:eastAsia="Calibri" w:hAnsi="Century Gothic" w:cs="Arial"/>
          <w:b/>
          <w:lang w:val="es-ES_tradnl" w:eastAsia="es-ES_tradnl"/>
        </w:rPr>
        <w:t>CONCEPTO – 269 DE 2024</w:t>
      </w:r>
    </w:p>
    <w:p w14:paraId="04E4DABB" w14:textId="77777777" w:rsidR="00F27317" w:rsidRPr="00964D34" w:rsidRDefault="00F27317" w:rsidP="00964D34">
      <w:pPr>
        <w:spacing w:after="0" w:line="240" w:lineRule="auto"/>
        <w:jc w:val="center"/>
        <w:rPr>
          <w:rFonts w:ascii="Century Gothic" w:eastAsia="Calibri" w:hAnsi="Century Gothic" w:cs="Arial"/>
          <w:b/>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7317" w:rsidRPr="00E27F0A" w14:paraId="2EDD5D12" w14:textId="77777777" w:rsidTr="00BA607B">
        <w:trPr>
          <w:trHeight w:val="884"/>
        </w:trPr>
        <w:tc>
          <w:tcPr>
            <w:tcW w:w="2689" w:type="dxa"/>
          </w:tcPr>
          <w:p w14:paraId="5AA7DB60" w14:textId="77777777" w:rsidR="00F27317" w:rsidRPr="00E27F0A" w:rsidRDefault="00F27317" w:rsidP="00BA607B">
            <w:pPr>
              <w:jc w:val="both"/>
              <w:rPr>
                <w:rFonts w:ascii="Century Gothic" w:eastAsia="Calibri" w:hAnsi="Century Gothic" w:cs="Arial"/>
                <w:color w:val="000000"/>
                <w:lang w:val="es-ES_tradnl" w:eastAsia="es-ES_tradnl"/>
              </w:rPr>
            </w:pPr>
            <w:r w:rsidRPr="00E27F0A">
              <w:rPr>
                <w:rFonts w:ascii="Century Gothic" w:eastAsia="Calibri" w:hAnsi="Century Gothic" w:cs="Arial"/>
                <w:b/>
                <w:color w:val="000000"/>
                <w:lang w:val="es-ES_tradnl" w:eastAsia="es-ES_tradnl"/>
              </w:rPr>
              <w:t>Temas:</w:t>
            </w:r>
            <w:r w:rsidRPr="00E27F0A">
              <w:rPr>
                <w:rFonts w:ascii="Century Gothic" w:eastAsia="Calibri" w:hAnsi="Century Gothic" w:cs="Arial"/>
                <w:color w:val="000000"/>
                <w:lang w:val="es-ES_tradnl" w:eastAsia="es-ES_tradnl"/>
              </w:rPr>
              <w:t xml:space="preserve">                   </w:t>
            </w:r>
          </w:p>
        </w:tc>
        <w:tc>
          <w:tcPr>
            <w:tcW w:w="6237" w:type="dxa"/>
          </w:tcPr>
          <w:p w14:paraId="7497C87D" w14:textId="77777777" w:rsidR="00F27317" w:rsidRDefault="00F27317" w:rsidP="00BA607B">
            <w:pPr>
              <w:jc w:val="both"/>
              <w:rPr>
                <w:rFonts w:ascii="Century Gothic" w:eastAsia="Calibri" w:hAnsi="Century Gothic" w:cs="Arial"/>
                <w:bCs/>
                <w:lang w:val="es-ES_tradnl" w:eastAsia="es-ES_tradnl"/>
              </w:rPr>
            </w:pPr>
            <w:r w:rsidRPr="004C305D">
              <w:rPr>
                <w:rFonts w:ascii="Century Gothic" w:eastAsia="Calibri" w:hAnsi="Century Gothic" w:cs="Arial"/>
                <w:bCs/>
                <w:lang w:val="es-ES_tradnl" w:eastAsia="es-ES_tradnl"/>
              </w:rPr>
              <w:t xml:space="preserve">SOCIEDADES NUEVAS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Experiencia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Inferior a tres a</w:t>
            </w:r>
            <w:r w:rsidRPr="004C305D">
              <w:rPr>
                <w:rFonts w:ascii="Century Gothic" w:eastAsia="Calibri" w:hAnsi="Century Gothic" w:cs="Century Gothic"/>
                <w:bCs/>
                <w:lang w:val="es-ES_tradnl" w:eastAsia="es-ES_tradnl"/>
              </w:rPr>
              <w:t>ñ</w:t>
            </w:r>
            <w:r w:rsidRPr="004C305D">
              <w:rPr>
                <w:rFonts w:ascii="Century Gothic" w:eastAsia="Calibri" w:hAnsi="Century Gothic" w:cs="Arial"/>
                <w:bCs/>
                <w:lang w:val="es-ES_tradnl" w:eastAsia="es-ES_tradnl"/>
              </w:rPr>
              <w:t xml:space="preserve">os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Requisitos habilitantes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Desarrollo de la empresa / EXPERIENCIA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Conservaci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Renovaci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RUP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Cesaci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efectos RUP / EXPERIENCIA </w:t>
            </w:r>
            <w:r w:rsidRPr="004C305D">
              <w:rPr>
                <w:rFonts w:ascii="Century Gothic" w:eastAsia="Calibri" w:hAnsi="Century Gothic" w:cs="Century Gothic"/>
                <w:bCs/>
                <w:lang w:val="es-ES_tradnl" w:eastAsia="es-ES_tradnl"/>
              </w:rPr>
              <w:t>–</w:t>
            </w:r>
            <w:r w:rsidRPr="004C305D">
              <w:rPr>
                <w:rFonts w:ascii="Century Gothic" w:eastAsia="Calibri" w:hAnsi="Century Gothic" w:cs="Arial"/>
                <w:bCs/>
                <w:lang w:val="es-ES_tradnl" w:eastAsia="es-ES_tradnl"/>
              </w:rPr>
              <w:t xml:space="preserve"> Retiro del socio </w:t>
            </w:r>
            <w:r w:rsidRPr="004C305D">
              <w:rPr>
                <w:rFonts w:ascii="Century Gothic" w:eastAsia="Calibri" w:hAnsi="Century Gothic" w:cs="Century Gothic"/>
                <w:bCs/>
                <w:lang w:val="es-ES_tradnl" w:eastAsia="es-ES_tradnl"/>
              </w:rPr>
              <w:t>−</w:t>
            </w:r>
            <w:r w:rsidRPr="004C305D">
              <w:rPr>
                <w:rFonts w:ascii="Century Gothic" w:eastAsia="Calibri" w:hAnsi="Century Gothic" w:cs="Arial"/>
                <w:bCs/>
                <w:lang w:val="es-ES_tradnl" w:eastAsia="es-ES_tradnl"/>
              </w:rPr>
              <w:t xml:space="preserve"> Sociedades </w:t>
            </w:r>
            <w:r w:rsidRPr="004C305D">
              <w:rPr>
                <w:rFonts w:ascii="Century Gothic" w:eastAsia="Calibri" w:hAnsi="Century Gothic" w:cs="Century Gothic"/>
                <w:bCs/>
                <w:lang w:val="es-ES_tradnl" w:eastAsia="es-ES_tradnl"/>
              </w:rPr>
              <w:t>–</w:t>
            </w:r>
            <w:r w:rsidRPr="004C305D">
              <w:rPr>
                <w:rFonts w:ascii="Century Gothic" w:eastAsia="Calibri" w:hAnsi="Century Gothic" w:cs="Arial"/>
                <w:bCs/>
                <w:lang w:val="es-ES_tradnl" w:eastAsia="es-ES_tradnl"/>
              </w:rPr>
              <w:t xml:space="preserve"> Menor a 3 a</w:t>
            </w:r>
            <w:r w:rsidRPr="004C305D">
              <w:rPr>
                <w:rFonts w:ascii="Century Gothic" w:eastAsia="Calibri" w:hAnsi="Century Gothic" w:cs="Century Gothic"/>
                <w:bCs/>
                <w:lang w:val="es-ES_tradnl" w:eastAsia="es-ES_tradnl"/>
              </w:rPr>
              <w:t>ñ</w:t>
            </w:r>
            <w:r w:rsidRPr="004C305D">
              <w:rPr>
                <w:rFonts w:ascii="Century Gothic" w:eastAsia="Calibri" w:hAnsi="Century Gothic" w:cs="Arial"/>
                <w:bCs/>
                <w:lang w:val="es-ES_tradnl" w:eastAsia="es-ES_tradnl"/>
              </w:rPr>
              <w:t>os de constituci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w:t>
            </w:r>
          </w:p>
          <w:p w14:paraId="22519567" w14:textId="77777777" w:rsidR="00F27317" w:rsidRPr="00FA7750" w:rsidRDefault="00F27317" w:rsidP="00BA607B">
            <w:pPr>
              <w:jc w:val="both"/>
              <w:rPr>
                <w:rFonts w:ascii="Century Gothic" w:eastAsia="Calibri" w:hAnsi="Century Gothic" w:cs="Arial"/>
                <w:lang w:val="es-ES" w:eastAsia="es-ES"/>
              </w:rPr>
            </w:pPr>
          </w:p>
        </w:tc>
      </w:tr>
      <w:tr w:rsidR="00F27317" w:rsidRPr="00FA7750" w14:paraId="2372BB48" w14:textId="77777777" w:rsidTr="00BA607B">
        <w:tc>
          <w:tcPr>
            <w:tcW w:w="2689" w:type="dxa"/>
          </w:tcPr>
          <w:p w14:paraId="7D484E68" w14:textId="77777777" w:rsidR="00F27317" w:rsidRPr="00E27F0A" w:rsidRDefault="00F27317" w:rsidP="00BA607B">
            <w:pPr>
              <w:jc w:val="both"/>
              <w:rPr>
                <w:rFonts w:ascii="Century Gothic" w:eastAsia="Calibri" w:hAnsi="Century Gothic" w:cs="Arial"/>
                <w:b/>
                <w:color w:val="000000"/>
                <w:lang w:val="es-ES_tradnl" w:eastAsia="es-ES_tradnl"/>
              </w:rPr>
            </w:pPr>
            <w:r w:rsidRPr="00E27F0A">
              <w:rPr>
                <w:rFonts w:ascii="Century Gothic" w:eastAsia="Calibri" w:hAnsi="Century Gothic" w:cs="Arial"/>
                <w:b/>
                <w:color w:val="000000"/>
                <w:lang w:val="es-ES_tradnl" w:eastAsia="es-ES_tradnl"/>
              </w:rPr>
              <w:t>Radicación:</w:t>
            </w:r>
            <w:r w:rsidRPr="00E27F0A">
              <w:rPr>
                <w:rFonts w:ascii="Century Gothic" w:eastAsia="Calibri" w:hAnsi="Century Gothic" w:cs="Arial"/>
                <w:color w:val="000000"/>
                <w:lang w:val="es-ES_tradnl" w:eastAsia="es-ES_tradnl"/>
              </w:rPr>
              <w:t xml:space="preserve">               </w:t>
            </w:r>
          </w:p>
        </w:tc>
        <w:tc>
          <w:tcPr>
            <w:tcW w:w="6237" w:type="dxa"/>
          </w:tcPr>
          <w:p w14:paraId="59F4E7F0" w14:textId="7D4D2C1B" w:rsidR="00F27317" w:rsidRPr="00FA7750" w:rsidRDefault="00F27317" w:rsidP="00BA607B">
            <w:pPr>
              <w:jc w:val="both"/>
              <w:rPr>
                <w:rFonts w:ascii="Century Gothic" w:eastAsia="Calibri" w:hAnsi="Century Gothic" w:cs="Arial"/>
                <w:lang w:val="es-ES_tradnl" w:eastAsia="es-ES_tradnl"/>
              </w:rPr>
            </w:pPr>
            <w:r w:rsidRPr="00FA7750">
              <w:rPr>
                <w:rFonts w:ascii="Century Gothic" w:eastAsia="Calibri" w:hAnsi="Century Gothic" w:cs="Arial"/>
                <w:lang w:val="es-ES_tradnl" w:eastAsia="es-ES_tradnl"/>
              </w:rPr>
              <w:t>Respuesta a consulta con radicado No. P</w:t>
            </w:r>
            <w:r>
              <w:rPr>
                <w:rFonts w:ascii="Century Gothic" w:eastAsia="Calibri" w:hAnsi="Century Gothic" w:cs="Arial"/>
                <w:lang w:val="es-ES_tradnl" w:eastAsia="es-ES_tradnl"/>
              </w:rPr>
              <w:t>20240</w:t>
            </w:r>
            <w:r w:rsidR="005C15E8">
              <w:rPr>
                <w:rFonts w:ascii="Century Gothic" w:eastAsia="Calibri" w:hAnsi="Century Gothic" w:cs="Arial"/>
                <w:lang w:val="es-ES_tradnl" w:eastAsia="es-ES_tradnl"/>
              </w:rPr>
              <w:t>523005337</w:t>
            </w:r>
          </w:p>
        </w:tc>
      </w:tr>
    </w:tbl>
    <w:p w14:paraId="03876B83" w14:textId="77777777" w:rsidR="00F27317" w:rsidRPr="00E27F0A" w:rsidRDefault="00F27317" w:rsidP="00F27317">
      <w:pPr>
        <w:spacing w:after="0" w:line="240" w:lineRule="auto"/>
        <w:jc w:val="both"/>
        <w:rPr>
          <w:rFonts w:ascii="Century Gothic" w:eastAsia="Calibri" w:hAnsi="Century Gothic" w:cs="Arial"/>
          <w:color w:val="000000"/>
          <w:lang w:val="es-ES_tradnl" w:eastAsia="es-ES_tradnl"/>
        </w:rPr>
      </w:pPr>
    </w:p>
    <w:p w14:paraId="7D343676" w14:textId="77777777" w:rsidR="00F27317" w:rsidRPr="00E27F0A" w:rsidRDefault="00F27317" w:rsidP="00F27317">
      <w:pPr>
        <w:spacing w:after="0" w:line="240" w:lineRule="auto"/>
        <w:jc w:val="both"/>
        <w:rPr>
          <w:rFonts w:ascii="Century Gothic" w:eastAsia="Calibri" w:hAnsi="Century Gothic" w:cs="Arial"/>
          <w:color w:val="000000"/>
          <w:lang w:val="es-ES_tradnl" w:eastAsia="es-ES_tradnl"/>
        </w:rPr>
      </w:pPr>
    </w:p>
    <w:p w14:paraId="571A3DB5" w14:textId="77777777" w:rsidR="00F27317" w:rsidRPr="00E27F0A" w:rsidRDefault="00F27317" w:rsidP="00F27317">
      <w:pPr>
        <w:spacing w:after="0" w:line="276" w:lineRule="auto"/>
        <w:jc w:val="both"/>
        <w:rPr>
          <w:rFonts w:ascii="Century Gothic" w:eastAsia="Calibri" w:hAnsi="Century Gothic" w:cs="Arial"/>
          <w:color w:val="000000"/>
          <w:lang w:val="es-ES" w:eastAsia="es-ES"/>
        </w:rPr>
      </w:pPr>
      <w:r w:rsidRPr="00E27F0A">
        <w:rPr>
          <w:rFonts w:ascii="Century Gothic" w:eastAsia="Calibri" w:hAnsi="Century Gothic" w:cs="Arial"/>
          <w:color w:val="000000" w:themeColor="text1"/>
          <w:lang w:val="es-ES" w:eastAsia="es-ES"/>
        </w:rPr>
        <w:t>Estimad</w:t>
      </w:r>
      <w:r>
        <w:rPr>
          <w:rFonts w:ascii="Century Gothic" w:eastAsia="Calibri" w:hAnsi="Century Gothic" w:cs="Arial"/>
          <w:color w:val="000000" w:themeColor="text1"/>
          <w:lang w:val="es-ES" w:eastAsia="es-ES"/>
        </w:rPr>
        <w:t>o señor Sierra</w:t>
      </w:r>
      <w:r w:rsidRPr="00FA7750">
        <w:rPr>
          <w:rFonts w:ascii="Century Gothic" w:eastAsia="Calibri" w:hAnsi="Century Gothic" w:cs="Arial"/>
          <w:lang w:val="es-ES" w:eastAsia="es-ES"/>
        </w:rPr>
        <w:t>:</w:t>
      </w:r>
      <w:r w:rsidRPr="00E27F0A">
        <w:rPr>
          <w:rFonts w:ascii="Century Gothic" w:eastAsia="Calibri" w:hAnsi="Century Gothic" w:cs="Arial"/>
          <w:color w:val="000000" w:themeColor="text1"/>
          <w:lang w:val="es-ES" w:eastAsia="es-ES"/>
        </w:rPr>
        <w:t xml:space="preserve"> </w:t>
      </w:r>
    </w:p>
    <w:p w14:paraId="24BE37E0" w14:textId="77777777" w:rsidR="00F27317" w:rsidRPr="00E27F0A" w:rsidRDefault="00F27317" w:rsidP="00F27317">
      <w:pPr>
        <w:spacing w:after="0" w:line="276" w:lineRule="auto"/>
        <w:jc w:val="both"/>
        <w:rPr>
          <w:rFonts w:ascii="Century Gothic" w:eastAsia="Calibri" w:hAnsi="Century Gothic" w:cs="Arial"/>
          <w:color w:val="000000"/>
          <w:lang w:val="es-ES_tradnl" w:eastAsia="es-ES_tradnl"/>
        </w:rPr>
      </w:pPr>
    </w:p>
    <w:p w14:paraId="30724E2A" w14:textId="2C0B25BF" w:rsidR="00F27317" w:rsidRDefault="00F27317" w:rsidP="00F27317">
      <w:pPr>
        <w:spacing w:after="0" w:line="276" w:lineRule="auto"/>
        <w:jc w:val="both"/>
        <w:rPr>
          <w:rFonts w:ascii="Century Gothic" w:eastAsia="Calibri" w:hAnsi="Century Gothic" w:cs="Arial"/>
          <w:color w:val="7030A0"/>
          <w:lang w:val="es-ES" w:eastAsia="es-ES"/>
        </w:rPr>
      </w:pPr>
      <w:r w:rsidRPr="008C7AF4">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8C7AF4">
        <w:rPr>
          <w:rFonts w:ascii="Century Gothic" w:eastAsia="Arial MT" w:hAnsi="Century Gothic" w:cs="Arial MT"/>
          <w:lang w:val="es-ES" w:eastAsia="es-ES"/>
        </w:rPr>
        <w:t xml:space="preserve"> </w:t>
      </w:r>
      <w:r w:rsidRPr="008C7AF4">
        <w:rPr>
          <w:rFonts w:ascii="Century Gothic" w:hAnsi="Century Gothic" w:cs="Arial"/>
        </w:rPr>
        <w:t xml:space="preserve">así como lo establecido en la Resolución 1707 de 2018 expedida por esta Entidad, </w:t>
      </w:r>
      <w:r w:rsidRPr="008C7AF4">
        <w:rPr>
          <w:rFonts w:ascii="Century Gothic" w:eastAsia="Calibri" w:hAnsi="Century Gothic" w:cs="Arial"/>
          <w:color w:val="000000" w:themeColor="text1"/>
          <w:lang w:val="es-ES" w:eastAsia="es-ES"/>
        </w:rPr>
        <w:t xml:space="preserve">la Agencia Nacional de Contratación Pública – Colombia Compra Eficiente– responde su solicitud del </w:t>
      </w:r>
      <w:r>
        <w:rPr>
          <w:rFonts w:ascii="Century Gothic" w:eastAsia="Calibri" w:hAnsi="Century Gothic" w:cs="Arial"/>
          <w:color w:val="000000" w:themeColor="text1"/>
          <w:lang w:val="es-ES" w:eastAsia="es-ES"/>
        </w:rPr>
        <w:t xml:space="preserve">24 de mayo de </w:t>
      </w:r>
      <w:r w:rsidRPr="008C7AF4">
        <w:rPr>
          <w:rFonts w:ascii="Century Gothic" w:eastAsia="Calibri" w:hAnsi="Century Gothic" w:cs="Arial"/>
          <w:color w:val="000000" w:themeColor="text1"/>
          <w:lang w:val="es-ES" w:eastAsia="es-ES"/>
        </w:rPr>
        <w:t>202</w:t>
      </w:r>
      <w:r>
        <w:rPr>
          <w:rFonts w:ascii="Century Gothic" w:eastAsia="Calibri" w:hAnsi="Century Gothic" w:cs="Arial"/>
          <w:color w:val="000000" w:themeColor="text1"/>
          <w:lang w:val="es-ES" w:eastAsia="es-ES"/>
        </w:rPr>
        <w:t>4</w:t>
      </w:r>
      <w:r w:rsidR="00764FA1">
        <w:rPr>
          <w:rFonts w:ascii="Century Gothic" w:eastAsia="Calibri" w:hAnsi="Century Gothic" w:cs="Arial"/>
          <w:color w:val="000000" w:themeColor="text1"/>
          <w:lang w:val="es-ES" w:eastAsia="es-ES"/>
        </w:rPr>
        <w:t>.</w:t>
      </w:r>
      <w:r>
        <w:rPr>
          <w:rFonts w:ascii="Century Gothic" w:eastAsia="Calibri" w:hAnsi="Century Gothic" w:cs="Arial"/>
          <w:color w:val="000000" w:themeColor="text1"/>
          <w:lang w:val="es-ES" w:eastAsia="es-ES"/>
        </w:rPr>
        <w:t xml:space="preserve"> En dicha petición usted manifiesta lo siguiente:</w:t>
      </w:r>
    </w:p>
    <w:p w14:paraId="2C2D672B" w14:textId="77777777" w:rsidR="00F27317" w:rsidRPr="008C7AF4" w:rsidRDefault="00F27317" w:rsidP="00F27317">
      <w:pPr>
        <w:spacing w:after="0" w:line="276" w:lineRule="auto"/>
        <w:jc w:val="both"/>
        <w:rPr>
          <w:rFonts w:ascii="Century Gothic" w:eastAsia="Calibri" w:hAnsi="Century Gothic" w:cs="Arial"/>
          <w:color w:val="000000"/>
          <w:lang w:val="es-ES" w:eastAsia="es-ES"/>
        </w:rPr>
      </w:pPr>
    </w:p>
    <w:p w14:paraId="64DBA227" w14:textId="77777777" w:rsidR="00F27317" w:rsidRPr="00216EF3" w:rsidRDefault="00F27317" w:rsidP="00F27317">
      <w:pPr>
        <w:spacing w:after="120"/>
        <w:ind w:left="709" w:right="709"/>
        <w:jc w:val="both"/>
        <w:rPr>
          <w:rFonts w:ascii="Century Gothic" w:eastAsia="Times New Roman" w:hAnsi="Century Gothic"/>
          <w:sz w:val="20"/>
          <w:szCs w:val="20"/>
        </w:rPr>
      </w:pPr>
      <w:r w:rsidRPr="00216EF3">
        <w:rPr>
          <w:rFonts w:ascii="Century Gothic" w:eastAsia="Calibri" w:hAnsi="Century Gothic" w:cs="Arial"/>
          <w:sz w:val="20"/>
          <w:szCs w:val="20"/>
          <w:lang w:val="es-ES" w:eastAsia="es-ES"/>
        </w:rPr>
        <w:t>“</w:t>
      </w:r>
      <w:r w:rsidRPr="00903AD2">
        <w:rPr>
          <w:rFonts w:ascii="Century Gothic" w:hAnsi="Century Gothic" w:cs="Arial"/>
          <w:sz w:val="20"/>
          <w:szCs w:val="20"/>
        </w:rPr>
        <w:t xml:space="preserve">solicito respetuosamente que se aclare, de acuerdo con el concepto emitido por Colombia Compra Eficiente bajo radicado RS20231103012508 en el que se establece que "LA EXPERIENCIA TRANSFERIDA DE UN SOCIO A UNA SOCIEDAD QUE TIENE COMO VIGENCIA MENOS DE 3 AÑOS DE CONSTITUIDA POR DEBER BASADO EN VALORES Y NO EN UN MANDATO LEGAL, CUANDO ESTE DEJA DE SER SOCIO NO PUEDE SER UTILIZADA EN LOS PROCESOS DE CONTRATACION" es una premisa del deber "moral" pero no de objetividad sustancial establecida en una norma, es por ello, que solicito respetuosamente se manifiesten, este "impedimento" basado en </w:t>
      </w:r>
      <w:r w:rsidRPr="00903AD2">
        <w:rPr>
          <w:rFonts w:ascii="Century Gothic" w:hAnsi="Century Gothic" w:cs="Arial"/>
          <w:sz w:val="20"/>
          <w:szCs w:val="20"/>
        </w:rPr>
        <w:lastRenderedPageBreak/>
        <w:t>interpretación, tiene fundamento en una ¿Ley o Desarrollo jurisprudencial? o es el concepto de Colombia Compra que como bien sabemos puede ser tenido en cuenta como fundamento en los procesos de Contratación por las Entidades Estatales</w:t>
      </w:r>
      <w:r w:rsidRPr="00216EF3">
        <w:rPr>
          <w:rFonts w:ascii="Century Gothic" w:eastAsia="Calibri" w:hAnsi="Century Gothic" w:cs="Arial"/>
          <w:sz w:val="20"/>
          <w:szCs w:val="20"/>
          <w:lang w:val="es-ES" w:eastAsia="es-ES"/>
        </w:rPr>
        <w:t>”.</w:t>
      </w:r>
    </w:p>
    <w:p w14:paraId="58E8A196" w14:textId="77777777" w:rsidR="00F27317" w:rsidRPr="008C7AF4" w:rsidRDefault="00F27317" w:rsidP="00F27317">
      <w:pPr>
        <w:spacing w:after="0" w:line="240" w:lineRule="auto"/>
        <w:ind w:left="709" w:right="680"/>
        <w:jc w:val="both"/>
        <w:rPr>
          <w:rFonts w:ascii="Century Gothic" w:eastAsia="Calibri" w:hAnsi="Century Gothic" w:cs="Arial"/>
          <w:color w:val="000000"/>
          <w:lang w:val="es-ES_tradnl" w:eastAsia="es-ES_tradnl"/>
        </w:rPr>
      </w:pPr>
    </w:p>
    <w:p w14:paraId="4FCFFBF8" w14:textId="77777777" w:rsidR="0056160B" w:rsidRDefault="00F27317" w:rsidP="0056160B">
      <w:pPr>
        <w:spacing w:after="120" w:line="276" w:lineRule="auto"/>
        <w:jc w:val="both"/>
        <w:rPr>
          <w:rFonts w:ascii="Century Gothic" w:eastAsia="Calibri" w:hAnsi="Century Gothic" w:cs="Arial"/>
          <w:color w:val="000000"/>
          <w:lang w:val="es-ES" w:eastAsia="es-ES"/>
        </w:rPr>
      </w:pPr>
      <w:r w:rsidRPr="008C7AF4">
        <w:rPr>
          <w:rFonts w:ascii="Century Gothic" w:eastAsia="Calibri" w:hAnsi="Century Gothic" w:cs="Arial"/>
          <w:color w:val="000000"/>
          <w:lang w:val="es-ES_tradnl" w:eastAsia="es-ES_tradnl"/>
        </w:rPr>
        <w:tab/>
      </w:r>
      <w:r w:rsidRPr="2BEBC948">
        <w:rPr>
          <w:rFonts w:ascii="Century Gothic" w:eastAsia="Calibri" w:hAnsi="Century Gothic"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627D14F4" w14:textId="69D29CA3" w:rsidR="00F27317" w:rsidRPr="000B0E89" w:rsidRDefault="00F27317" w:rsidP="0056160B">
      <w:pPr>
        <w:spacing w:after="120" w:line="276" w:lineRule="auto"/>
        <w:ind w:firstLine="708"/>
        <w:jc w:val="both"/>
        <w:rPr>
          <w:rFonts w:ascii="Century Gothic" w:eastAsia="Calibri" w:hAnsi="Century Gothic" w:cs="Arial"/>
          <w:color w:val="000000"/>
          <w:lang w:val="es-ES" w:eastAsia="es-ES"/>
        </w:rPr>
      </w:pPr>
      <w:r w:rsidRPr="00B42C66">
        <w:rPr>
          <w:rFonts w:ascii="Century Gothic" w:eastAsia="Calibri" w:hAnsi="Century Gothic" w:cs="Arial"/>
          <w:color w:val="000000"/>
          <w:lang w:val="es-ES" w:eastAsia="es-ES"/>
        </w:rPr>
        <w:t xml:space="preserve">Sin perjuicio de lo anterior, en aras de satisfacer el derecho fundamental de petición se resolverá su consulta dentro de los límites de la referida competencia consultiva, esto es, haciendo abstracción de la situación particular y concreta mencionada en su petición, pero haciendo unas consideraciones sobre las normas generales relacionadas con la consulta. </w:t>
      </w:r>
      <w:r w:rsidRPr="00B42C66">
        <w:rPr>
          <w:rFonts w:ascii="Century Gothic" w:eastAsia="Calibri" w:hAnsi="Century Gothic" w:cs="Arial"/>
          <w:lang w:val="es-ES" w:eastAsia="es-ES"/>
        </w:rPr>
        <w:t xml:space="preserve">Para estos efectos, a continuación, se realizarán algunas consideraciones sobre </w:t>
      </w:r>
      <w:bookmarkStart w:id="0" w:name="_Hlk158357260"/>
      <w:r w:rsidRPr="00B42C66">
        <w:rPr>
          <w:rFonts w:ascii="Century Gothic" w:eastAsia="Calibri" w:hAnsi="Century Gothic" w:cs="Arial"/>
          <w:lang w:val="es-ES" w:eastAsia="es-MX"/>
        </w:rPr>
        <w:t xml:space="preserve">la </w:t>
      </w:r>
      <w:r w:rsidRPr="00B42C66">
        <w:rPr>
          <w:rFonts w:ascii="Century Gothic" w:eastAsia="Calibri" w:hAnsi="Century Gothic" w:cs="Arial"/>
          <w:lang w:val="es-ES_tradnl" w:eastAsia="es-MX"/>
        </w:rPr>
        <w:t>acreditación de la experiencia de socios, accionistas o constituyentes por parte de sociedades con menos de tres (3) años de constitución</w:t>
      </w:r>
      <w:bookmarkEnd w:id="0"/>
      <w:r w:rsidRPr="00CD3BD3">
        <w:rPr>
          <w:rFonts w:ascii="Century Gothic" w:eastAsia="Calibri" w:hAnsi="Century Gothic" w:cs="Arial"/>
          <w:lang w:val="es-ES" w:eastAsia="es-ES"/>
        </w:rPr>
        <w:t xml:space="preserve">, </w:t>
      </w:r>
      <w:r w:rsidRPr="000B0E89">
        <w:rPr>
          <w:rFonts w:ascii="Century Gothic" w:eastAsia="Calibri" w:hAnsi="Century Gothic" w:cs="Arial"/>
          <w:color w:val="000000"/>
          <w:lang w:val="es-ES" w:eastAsia="es-ES"/>
        </w:rPr>
        <w:t>temas que ha sido estudiado por esta Subdirección en los conceptos: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 C-128 del 18 de mayo de 2023, C-146 de 13 de junio de 2023, C-261 del 13 de julio de 2023, C-466 del 01 de diciembre de 2023 y C- 023 del 26 de febrero de 2</w:t>
      </w:r>
      <w:r w:rsidRPr="00CD3BD3">
        <w:rPr>
          <w:rFonts w:ascii="Century Gothic" w:eastAsia="Calibri" w:hAnsi="Century Gothic" w:cs="Arial"/>
          <w:color w:val="000000"/>
          <w:lang w:val="es-ES" w:eastAsia="es-ES"/>
        </w:rPr>
        <w:t>024</w:t>
      </w:r>
      <w:r w:rsidRPr="00CD3BD3">
        <w:rPr>
          <w:rStyle w:val="Refdenotaalpie"/>
          <w:rFonts w:ascii="Century Gothic" w:hAnsi="Century Gothic"/>
        </w:rPr>
        <w:footnoteReference w:id="1"/>
      </w:r>
      <w:r w:rsidRPr="00CD3BD3">
        <w:rPr>
          <w:rFonts w:ascii="Century Gothic" w:hAnsi="Century Gothic"/>
        </w:rPr>
        <w:t xml:space="preserve">. La tesis expuesta en estos conceptos se reitera y se complementan a continuación.  </w:t>
      </w:r>
    </w:p>
    <w:p w14:paraId="6CB89478" w14:textId="77777777" w:rsidR="00F27317" w:rsidRPr="00930790" w:rsidRDefault="00F27317" w:rsidP="0056160B">
      <w:pPr>
        <w:spacing w:after="0" w:line="276" w:lineRule="auto"/>
        <w:ind w:firstLine="708"/>
        <w:jc w:val="both"/>
        <w:rPr>
          <w:rFonts w:ascii="Century Gothic" w:eastAsia="Arial" w:hAnsi="Century Gothic" w:cs="Arial"/>
        </w:rPr>
      </w:pPr>
      <w:r w:rsidRPr="00930790">
        <w:rPr>
          <w:rFonts w:ascii="Century Gothic" w:eastAsia="Arial" w:hAnsi="Century Gothic" w:cs="Arial"/>
        </w:rPr>
        <w:lastRenderedPageBreak/>
        <w:t>El artículo 5 de la Ley 1150 de 2007 dispone que la capacidad jurídica y las condiciones de experiencia, capacidad financiera y organización de los proponentes serán objeto de verificación por parte de las Entidades Estatales como requisitos habilitantes para participar en los procesos de selección y no otorgarán puntaje. Lo anterior con excepción de la selección de consultores mediante un concurso de méritos, donde es posible otorga</w:t>
      </w:r>
      <w:r>
        <w:rPr>
          <w:rFonts w:ascii="Century Gothic" w:eastAsia="Arial" w:hAnsi="Century Gothic" w:cs="Arial"/>
        </w:rPr>
        <w:t>r</w:t>
      </w:r>
      <w:r w:rsidRPr="00930790">
        <w:rPr>
          <w:rFonts w:ascii="Century Gothic" w:eastAsia="Arial" w:hAnsi="Century Gothic" w:cs="Arial"/>
        </w:rPr>
        <w:t xml:space="preserve"> puntaje al criterio de experiencia. </w:t>
      </w:r>
    </w:p>
    <w:p w14:paraId="0024B9CE" w14:textId="77777777" w:rsidR="00F27317" w:rsidRPr="00930790" w:rsidRDefault="00F27317" w:rsidP="00F27317">
      <w:pPr>
        <w:spacing w:before="120" w:after="0" w:line="276" w:lineRule="auto"/>
        <w:jc w:val="both"/>
        <w:rPr>
          <w:rFonts w:ascii="Century Gothic" w:eastAsia="Arial" w:hAnsi="Century Gothic" w:cs="Arial"/>
        </w:rPr>
      </w:pPr>
      <w:r w:rsidRPr="00930790">
        <w:rPr>
          <w:rFonts w:ascii="Century Gothic" w:eastAsia="Arial" w:hAnsi="Century Gothic" w:cs="Arial"/>
        </w:rPr>
        <w:tab/>
        <w:t>Por su parte, conforme lo expuesto en el numeral anterior de este concepto,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1BF8D134" w14:textId="77777777" w:rsidR="00F27317" w:rsidRPr="00930790" w:rsidRDefault="00F27317" w:rsidP="00F27317">
      <w:pPr>
        <w:spacing w:before="120" w:after="120" w:line="276" w:lineRule="auto"/>
        <w:ind w:firstLine="709"/>
        <w:jc w:val="both"/>
        <w:rPr>
          <w:rFonts w:ascii="Century Gothic" w:eastAsia="Calibri" w:hAnsi="Century Gothic" w:cs="Arial"/>
          <w:color w:val="000000"/>
        </w:rPr>
      </w:pPr>
      <w:r w:rsidRPr="00930790">
        <w:rPr>
          <w:rFonts w:ascii="Century Gothic" w:eastAsia="Calibri" w:hAnsi="Century Gothic" w:cs="Arial"/>
          <w:color w:val="000000"/>
        </w:rPr>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930790">
        <w:rPr>
          <w:rFonts w:ascii="Century Gothic" w:eastAsia="Calibri" w:hAnsi="Century Gothic" w:cs="Arial"/>
          <w:color w:val="000000"/>
          <w:vertAlign w:val="superscript"/>
        </w:rPr>
        <w:footnoteReference w:id="2"/>
      </w:r>
      <w:r w:rsidRPr="00930790">
        <w:rPr>
          <w:rFonts w:ascii="Century Gothic" w:eastAsia="Calibri" w:hAnsi="Century Gothic" w:cs="Arial"/>
          <w:color w:val="000000"/>
        </w:rPr>
        <w:t>. 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Pr="00930790">
        <w:rPr>
          <w:rFonts w:ascii="Century Gothic" w:eastAsia="Calibri" w:hAnsi="Century Gothic" w:cs="Arial"/>
          <w:color w:val="000000"/>
          <w:vertAlign w:val="superscript"/>
        </w:rPr>
        <w:footnoteReference w:id="3"/>
      </w:r>
      <w:r w:rsidRPr="00930790">
        <w:rPr>
          <w:rFonts w:ascii="Century Gothic" w:eastAsia="Calibri" w:hAnsi="Century Gothic" w:cs="Arial"/>
          <w:color w:val="000000"/>
        </w:rPr>
        <w:t>.</w:t>
      </w:r>
    </w:p>
    <w:p w14:paraId="337E88AA" w14:textId="77777777" w:rsidR="00F27317" w:rsidRPr="00930790" w:rsidRDefault="00F27317" w:rsidP="00F27317">
      <w:pPr>
        <w:spacing w:before="120" w:after="120" w:line="276" w:lineRule="auto"/>
        <w:ind w:firstLine="709"/>
        <w:jc w:val="both"/>
        <w:rPr>
          <w:rFonts w:ascii="Century Gothic" w:eastAsia="Calibri" w:hAnsi="Century Gothic" w:cs="Arial"/>
          <w:color w:val="000000"/>
        </w:rPr>
      </w:pPr>
      <w:r w:rsidRPr="00930790">
        <w:rPr>
          <w:rFonts w:ascii="Century Gothic" w:eastAsia="Calibri" w:hAnsi="Century Gothic" w:cs="Arial"/>
          <w:color w:val="000000"/>
        </w:rPr>
        <w:lastRenderedPageBreak/>
        <w:t>El interesado debe indicar en cada certificado, o en cada copia de los contratos, los bienes, obras y servicios a los cuales corresponde la experiencia que pretende acreditar, identificándolos con el Clasificador de Bienes y Servicios, en el tercer nivel. La parte final de ese numeral 2.5. indica que “Si la constitución del interesado es menor a tres (3) años, puede acreditar la experiencia de sus accionistas, socios o constituyentes”. 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p>
    <w:p w14:paraId="184DC2A5" w14:textId="77777777" w:rsidR="00F27317" w:rsidRPr="00930790" w:rsidRDefault="00F27317" w:rsidP="00F27317">
      <w:pPr>
        <w:spacing w:before="120" w:after="120" w:line="276" w:lineRule="auto"/>
        <w:ind w:firstLine="709"/>
        <w:jc w:val="both"/>
        <w:rPr>
          <w:rFonts w:ascii="Century Gothic" w:eastAsia="Calibri" w:hAnsi="Century Gothic" w:cs="Arial"/>
          <w:color w:val="000000"/>
        </w:rPr>
      </w:pPr>
      <w:r w:rsidRPr="00930790">
        <w:rPr>
          <w:rFonts w:ascii="Century Gothic" w:eastAsia="Calibri" w:hAnsi="Century Gothic" w:cs="Arial"/>
          <w:color w:val="000000"/>
        </w:rPr>
        <w:t>A pesar de que la experiencia es inherente a la persona que la ha obtenido, razón por la cual es, en principio, intransferible en virtud de su carácter personalísimo, por disposición legal o reglamentaria, casos excepcionales, como el descrito en el artículo mencionado, se aplica de otra manera. 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y de esta forma promover el desarrollo de la empresa y la pluralidad de oferentes en la contratación pública.</w:t>
      </w:r>
    </w:p>
    <w:p w14:paraId="7A30E218" w14:textId="77777777" w:rsidR="00F27317" w:rsidRPr="00930790" w:rsidRDefault="00F27317" w:rsidP="00F27317">
      <w:pPr>
        <w:spacing w:before="120" w:after="120" w:line="276" w:lineRule="auto"/>
        <w:ind w:firstLine="708"/>
        <w:jc w:val="both"/>
        <w:rPr>
          <w:rFonts w:ascii="Century Gothic" w:eastAsia="Times New Roman" w:hAnsi="Century Gothic" w:cs="Arial"/>
          <w:lang w:val="es-MX" w:eastAsia="es-ES_tradnl"/>
        </w:rPr>
      </w:pPr>
      <w:r w:rsidRPr="00930790">
        <w:rPr>
          <w:rFonts w:ascii="Century Gothic" w:eastAsia="Times New Roman" w:hAnsi="Century Gothic" w:cs="Arial"/>
          <w:lang w:val="es-MX" w:eastAsia="es-ES_tradnl"/>
        </w:rPr>
        <w:lastRenderedPageBreak/>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14:paraId="405EAEBA" w14:textId="44FEE821" w:rsidR="00F27317" w:rsidRPr="00930790" w:rsidRDefault="00FE00C2" w:rsidP="00F27317">
      <w:pPr>
        <w:spacing w:before="120" w:after="120" w:line="276" w:lineRule="auto"/>
        <w:ind w:firstLine="708"/>
        <w:jc w:val="both"/>
        <w:rPr>
          <w:rFonts w:ascii="Century Gothic" w:eastAsia="Times New Roman" w:hAnsi="Century Gothic" w:cs="Arial"/>
          <w:lang w:val="es-MX" w:eastAsia="es-ES"/>
        </w:rPr>
      </w:pPr>
      <w:r>
        <w:rPr>
          <w:rFonts w:ascii="Century Gothic" w:eastAsia="Times New Roman" w:hAnsi="Century Gothic" w:cs="Arial"/>
          <w:lang w:val="es-MX" w:eastAsia="es-ES"/>
        </w:rPr>
        <w:t>Atendiendo su solicitud, se aclara que e</w:t>
      </w:r>
      <w:r w:rsidR="00F27317" w:rsidRPr="00930790">
        <w:rPr>
          <w:rFonts w:ascii="Century Gothic" w:eastAsia="Times New Roman" w:hAnsi="Century Gothic" w:cs="Arial"/>
          <w:lang w:val="es-MX" w:eastAsia="es-ES"/>
        </w:rPr>
        <w:t xml:space="preserve">n el concepto identificado con radicado No. 4201814000001418 del 3 de abril de 2018, </w:t>
      </w:r>
      <w:r w:rsidR="0067196A">
        <w:rPr>
          <w:rFonts w:ascii="Century Gothic" w:eastAsia="Times New Roman" w:hAnsi="Century Gothic" w:cs="Arial"/>
          <w:lang w:val="es-MX" w:eastAsia="es-ES"/>
        </w:rPr>
        <w:t xml:space="preserve">se puntualiza que una vez </w:t>
      </w:r>
      <w:r w:rsidR="00F27317" w:rsidRPr="00930790">
        <w:rPr>
          <w:rFonts w:ascii="Century Gothic" w:eastAsia="Times New Roman" w:hAnsi="Century Gothic" w:cs="Arial"/>
          <w:lang w:val="es-MX" w:eastAsia="es-ES"/>
        </w:rPr>
        <w:t xml:space="preserv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14:paraId="0B61E0BA" w14:textId="2AFE46E2" w:rsidR="00F27317" w:rsidRPr="00930790" w:rsidRDefault="00F27317" w:rsidP="00F27317">
      <w:pPr>
        <w:spacing w:before="120" w:after="120" w:line="276" w:lineRule="auto"/>
        <w:ind w:firstLine="708"/>
        <w:jc w:val="both"/>
        <w:rPr>
          <w:rFonts w:ascii="Century Gothic" w:eastAsia="Times New Roman" w:hAnsi="Century Gothic" w:cs="Arial"/>
          <w:lang w:val="es-MX" w:eastAsia="es-ES"/>
        </w:rPr>
      </w:pPr>
      <w:r w:rsidRPr="00930790">
        <w:rPr>
          <w:rFonts w:ascii="Century Gothic" w:eastAsia="Times New Roman" w:hAnsi="Century Gothic" w:cs="Arial"/>
          <w:lang w:val="es-MX" w:eastAsia="es-ES"/>
        </w:rPr>
        <w:t xml:space="preserve">i) La posición de la Agencia Nacional de Contratación Pública – Colombia Compra Eficiente </w:t>
      </w:r>
      <w:r w:rsidR="0055709A">
        <w:rPr>
          <w:rFonts w:ascii="Century Gothic" w:eastAsia="Times New Roman" w:hAnsi="Century Gothic" w:cs="Arial"/>
          <w:lang w:val="es-MX" w:eastAsia="es-ES"/>
        </w:rPr>
        <w:t xml:space="preserve">- </w:t>
      </w:r>
      <w:r w:rsidRPr="00930790">
        <w:rPr>
          <w:rFonts w:ascii="Century Gothic" w:eastAsia="Times New Roman" w:hAnsi="Century Gothic" w:cs="Arial"/>
          <w:lang w:val="es-MX" w:eastAsia="es-ES"/>
        </w:rPr>
        <w:t xml:space="preserve">respecto a la validez de la experiencia de los accionistas, socios o constituyentes, acreditada en el RUP por una sociedad nueva, cuando ésta ya superó los tres (3) años de constituida, ha variado. </w:t>
      </w:r>
    </w:p>
    <w:p w14:paraId="44F6FA2A" w14:textId="77777777" w:rsidR="00F27317" w:rsidRPr="00930790" w:rsidRDefault="00F27317" w:rsidP="00F27317">
      <w:pPr>
        <w:spacing w:before="120" w:after="120" w:line="276" w:lineRule="auto"/>
        <w:ind w:firstLine="708"/>
        <w:jc w:val="both"/>
        <w:rPr>
          <w:rFonts w:ascii="Century Gothic" w:eastAsia="Times New Roman" w:hAnsi="Century Gothic" w:cs="Arial"/>
          <w:lang w:val="es-MX" w:eastAsia="es-ES_tradnl"/>
        </w:rPr>
      </w:pPr>
      <w:proofErr w:type="spellStart"/>
      <w:r w:rsidRPr="00930790">
        <w:rPr>
          <w:rFonts w:ascii="Century Gothic" w:eastAsia="Times New Roman" w:hAnsi="Century Gothic" w:cs="Arial"/>
          <w:lang w:val="es-MX" w:eastAsia="es-ES_tradnl"/>
        </w:rPr>
        <w:t>ii</w:t>
      </w:r>
      <w:proofErr w:type="spellEnd"/>
      <w:r w:rsidRPr="00930790">
        <w:rPr>
          <w:rFonts w:ascii="Century Gothic" w:eastAsia="Times New Roman" w:hAnsi="Century Gothic" w:cs="Arial"/>
          <w:lang w:val="es-MX" w:eastAsia="es-ES_tradnl"/>
        </w:rPr>
        <w:t xml:space="preserve">) El Decreto 1082 de 2015 establece que, para la inscripción en el RUP de una persona jurídica si su constitución es menor a tres (3) años, puede acreditar la experiencia de sus accionistas, socios o constituyentes. </w:t>
      </w:r>
    </w:p>
    <w:p w14:paraId="51E7F8BF" w14:textId="77777777" w:rsidR="00F27317" w:rsidRPr="00930790" w:rsidRDefault="00F27317" w:rsidP="00F27317">
      <w:pPr>
        <w:spacing w:before="120" w:after="120" w:line="276" w:lineRule="auto"/>
        <w:ind w:firstLine="708"/>
        <w:jc w:val="both"/>
        <w:rPr>
          <w:rFonts w:ascii="Century Gothic" w:eastAsia="Times New Roman" w:hAnsi="Century Gothic" w:cs="Arial"/>
          <w:lang w:val="es-MX" w:eastAsia="es-ES_tradnl"/>
        </w:rPr>
      </w:pPr>
      <w:proofErr w:type="spellStart"/>
      <w:r w:rsidRPr="00930790">
        <w:rPr>
          <w:rFonts w:ascii="Century Gothic" w:eastAsia="Times New Roman" w:hAnsi="Century Gothic" w:cs="Arial"/>
          <w:lang w:val="es-MX" w:eastAsia="es-ES_tradnl"/>
        </w:rPr>
        <w:t>iii</w:t>
      </w:r>
      <w:proofErr w:type="spellEnd"/>
      <w:r w:rsidRPr="00930790">
        <w:rPr>
          <w:rFonts w:ascii="Century Gothic" w:eastAsia="Times New Roman" w:hAnsi="Century Gothic" w:cs="Arial"/>
          <w:lang w:val="es-MX" w:eastAsia="es-ES_tradnl"/>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B3E88E9" w14:textId="77777777" w:rsidR="00F27317" w:rsidRPr="00930790" w:rsidRDefault="00F27317" w:rsidP="00F27317">
      <w:pPr>
        <w:spacing w:before="120" w:after="120" w:line="276" w:lineRule="auto"/>
        <w:ind w:firstLine="708"/>
        <w:jc w:val="both"/>
        <w:rPr>
          <w:rFonts w:ascii="Century Gothic" w:eastAsia="Times New Roman" w:hAnsi="Century Gothic" w:cs="Arial"/>
          <w:lang w:val="es-MX" w:eastAsia="es-ES_tradnl"/>
        </w:rPr>
      </w:pPr>
      <w:proofErr w:type="spellStart"/>
      <w:r w:rsidRPr="00930790">
        <w:rPr>
          <w:rFonts w:ascii="Century Gothic" w:eastAsia="Times New Roman" w:hAnsi="Century Gothic" w:cs="Arial"/>
          <w:lang w:val="es-MX" w:eastAsia="es-ES_tradnl"/>
        </w:rPr>
        <w:t>iv</w:t>
      </w:r>
      <w:proofErr w:type="spellEnd"/>
      <w:r w:rsidRPr="00930790">
        <w:rPr>
          <w:rFonts w:ascii="Century Gothic" w:eastAsia="Times New Roman" w:hAnsi="Century Gothic" w:cs="Arial"/>
          <w:lang w:val="es-MX" w:eastAsia="es-ES_tradnl"/>
        </w:rPr>
        <w:t xml:space="preserve">)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14:paraId="39171E19" w14:textId="77777777" w:rsidR="00F27317" w:rsidRPr="00930790" w:rsidRDefault="00F27317" w:rsidP="00F27317">
      <w:pPr>
        <w:spacing w:before="120" w:after="120" w:line="276" w:lineRule="auto"/>
        <w:ind w:firstLine="708"/>
        <w:jc w:val="both"/>
        <w:rPr>
          <w:rFonts w:ascii="Century Gothic" w:eastAsia="Times New Roman" w:hAnsi="Century Gothic" w:cs="Arial"/>
          <w:lang w:val="es-MX" w:eastAsia="es-ES_tradnl"/>
        </w:rPr>
      </w:pPr>
      <w:r w:rsidRPr="00930790">
        <w:rPr>
          <w:rFonts w:ascii="Century Gothic" w:eastAsia="Times New Roman" w:hAnsi="Century Gothic" w:cs="Arial"/>
          <w:lang w:val="es-MX" w:eastAsia="es-ES_tradn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930790">
        <w:rPr>
          <w:rFonts w:ascii="Century Gothic" w:eastAsia="Calibri" w:hAnsi="Century Gothic" w:cs="Arial"/>
          <w:lang w:val="es-MX" w:eastAsia="es-ES_tradnl"/>
        </w:rPr>
        <w:t>―</w:t>
      </w:r>
      <w:r w:rsidRPr="00930790">
        <w:rPr>
          <w:rFonts w:ascii="Century Gothic" w:eastAsia="Times New Roman" w:hAnsi="Century Gothic" w:cs="Arial"/>
          <w:lang w:val="es-MX" w:eastAsia="es-ES_tradnl"/>
        </w:rPr>
        <w:t xml:space="preserve">únicamente </w:t>
      </w:r>
      <w:r w:rsidRPr="00930790">
        <w:rPr>
          <w:rFonts w:ascii="Century Gothic" w:eastAsia="Times New Roman" w:hAnsi="Century Gothic" w:cs="Arial"/>
          <w:lang w:val="es-MX" w:eastAsia="es-ES_tradnl"/>
        </w:rPr>
        <w:lastRenderedPageBreak/>
        <w:t>para la capacidad jurídica y experiencia</w:t>
      </w:r>
      <w:r w:rsidRPr="00930790">
        <w:rPr>
          <w:rFonts w:ascii="Century Gothic" w:eastAsia="Calibri" w:hAnsi="Century Gothic" w:cs="Arial"/>
          <w:lang w:val="es-MX" w:eastAsia="es-ES_tradnl"/>
        </w:rPr>
        <w:t>―</w:t>
      </w:r>
      <w:r w:rsidRPr="00930790">
        <w:rPr>
          <w:rFonts w:ascii="Century Gothic" w:eastAsia="Times New Roman" w:hAnsi="Century Gothic" w:cs="Arial"/>
          <w:lang w:val="es-MX" w:eastAsia="es-ES_tradnl"/>
        </w:rPr>
        <w:t xml:space="preserve"> y debe ser verificada junto con sus soportes por la Cámara de Comercio correspondiente. </w:t>
      </w:r>
    </w:p>
    <w:p w14:paraId="46EA7B8D" w14:textId="77777777" w:rsidR="00F27317" w:rsidRPr="00930790" w:rsidRDefault="00F27317" w:rsidP="00F27317">
      <w:pPr>
        <w:spacing w:before="120" w:after="120" w:line="276" w:lineRule="auto"/>
        <w:ind w:firstLine="708"/>
        <w:jc w:val="both"/>
        <w:rPr>
          <w:rFonts w:ascii="Century Gothic" w:eastAsia="Times New Roman" w:hAnsi="Century Gothic" w:cs="Arial"/>
          <w:lang w:val="es-MX" w:eastAsia="es-ES_tradnl"/>
        </w:rPr>
      </w:pPr>
      <w:r w:rsidRPr="00930790">
        <w:rPr>
          <w:rFonts w:ascii="Century Gothic" w:eastAsia="Times New Roman" w:hAnsi="Century Gothic" w:cs="Arial"/>
          <w:lang w:val="es-MX" w:eastAsia="es-ES_tradnl"/>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sidRPr="00930790">
        <w:rPr>
          <w:rFonts w:ascii="Century Gothic" w:eastAsia="Times New Roman" w:hAnsi="Century Gothic" w:cs="Arial"/>
          <w:vertAlign w:val="superscript"/>
          <w:lang w:val="es-MX" w:eastAsia="es-ES_tradnl"/>
        </w:rPr>
        <w:footnoteReference w:id="4"/>
      </w:r>
      <w:r w:rsidRPr="00930790">
        <w:rPr>
          <w:rFonts w:ascii="Century Gothic" w:eastAsia="Times New Roman" w:hAnsi="Century Gothic" w:cs="Arial"/>
          <w:lang w:val="es-MX" w:eastAsia="es-ES_tradnl"/>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  </w:t>
      </w:r>
    </w:p>
    <w:p w14:paraId="2C929B3A" w14:textId="77777777" w:rsidR="00F27317" w:rsidRPr="00930790" w:rsidRDefault="00F27317" w:rsidP="0056160B">
      <w:pPr>
        <w:spacing w:after="120" w:line="276" w:lineRule="auto"/>
        <w:ind w:firstLine="708"/>
        <w:jc w:val="both"/>
        <w:rPr>
          <w:rFonts w:ascii="Century Gothic" w:eastAsia="Times New Roman" w:hAnsi="Century Gothic" w:cs="Arial"/>
          <w:lang w:val="es-MX" w:eastAsia="es-ES_tradnl"/>
        </w:rPr>
      </w:pPr>
      <w:r w:rsidRPr="00930790">
        <w:rPr>
          <w:rFonts w:ascii="Century Gothic" w:eastAsia="Times New Roman" w:hAnsi="Century Gothic" w:cs="Arial"/>
          <w:lang w:val="es-MX" w:eastAsia="es-ES_tradnl"/>
        </w:rPr>
        <w:t xml:space="preserve">En otras palabras, </w:t>
      </w:r>
      <w:bookmarkStart w:id="1" w:name="_Hlk67498604"/>
      <w:r w:rsidRPr="00930790">
        <w:rPr>
          <w:rFonts w:ascii="Century Gothic" w:eastAsia="Times New Roman" w:hAnsi="Century Gothic" w:cs="Arial"/>
          <w:lang w:val="es-MX" w:eastAsia="es-ES_tradnl"/>
        </w:rPr>
        <w:t>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bookmarkEnd w:id="1"/>
    </w:p>
    <w:p w14:paraId="0F59D318" w14:textId="77777777" w:rsidR="00F27317" w:rsidRPr="00930790" w:rsidRDefault="00F27317" w:rsidP="0056160B">
      <w:pPr>
        <w:spacing w:after="120" w:line="276" w:lineRule="auto"/>
        <w:ind w:firstLine="708"/>
        <w:jc w:val="both"/>
        <w:rPr>
          <w:rFonts w:ascii="Century Gothic" w:eastAsia="Times New Roman" w:hAnsi="Century Gothic" w:cs="Arial"/>
          <w:lang w:val="es-MX" w:eastAsia="es-ES_tradnl"/>
        </w:rPr>
      </w:pPr>
      <w:r w:rsidRPr="00930790">
        <w:rPr>
          <w:rFonts w:ascii="Century Gothic" w:eastAsia="Times New Roman" w:hAnsi="Century Gothic" w:cs="Arial"/>
          <w:lang w:val="es-MX" w:eastAsia="es-ES_tradnl"/>
        </w:rPr>
        <w:t>Sin embargo, debe aclararse que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0403FD17" w14:textId="77777777" w:rsidR="00F27317" w:rsidRPr="00930790" w:rsidRDefault="00F27317" w:rsidP="00F27317">
      <w:pPr>
        <w:spacing w:after="0" w:line="276" w:lineRule="auto"/>
        <w:ind w:firstLine="708"/>
        <w:jc w:val="both"/>
        <w:rPr>
          <w:rFonts w:ascii="Century Gothic" w:eastAsia="Calibri" w:hAnsi="Century Gothic" w:cs="Arial"/>
          <w:lang w:val="es-ES_tradnl"/>
        </w:rPr>
      </w:pPr>
      <w:r w:rsidRPr="00930790">
        <w:rPr>
          <w:rFonts w:ascii="Century Gothic" w:eastAsia="Times New Roman" w:hAnsi="Century Gothic" w:cs="Arial"/>
          <w:lang w:val="es-MX" w:eastAsia="es-ES_tradnl"/>
        </w:rPr>
        <w:lastRenderedPageBreak/>
        <w:t>En ese contexto,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7DCF6657" w14:textId="77777777" w:rsidR="00F27317" w:rsidRPr="008C7AF4" w:rsidRDefault="00F27317" w:rsidP="00F27317">
      <w:pPr>
        <w:widowControl w:val="0"/>
        <w:autoSpaceDE w:val="0"/>
        <w:autoSpaceDN w:val="0"/>
        <w:spacing w:after="0" w:line="276" w:lineRule="auto"/>
        <w:jc w:val="both"/>
        <w:rPr>
          <w:rFonts w:ascii="Century Gothic" w:hAnsi="Century Gothic" w:cs="Arial"/>
          <w:lang w:val="es-ES_tradnl"/>
        </w:rPr>
      </w:pPr>
      <w:r w:rsidRPr="008C7AF4">
        <w:rPr>
          <w:rFonts w:ascii="Century Gothic" w:hAnsi="Century Gothic" w:cs="Arial"/>
        </w:rPr>
        <w:t xml:space="preserve">Este concepto tiene el alcance previsto en el artículo 28 del Código de Procedimiento Administrativo y de lo Contencioso Administrativo </w:t>
      </w:r>
      <w:r w:rsidRPr="008C7AF4">
        <w:rPr>
          <w:rFonts w:ascii="Century Gothic" w:hAnsi="Century Gothic" w:cs="Arial"/>
          <w:lang w:val="es-ES_tradnl"/>
        </w:rPr>
        <w:t>y las expresiones aquí utilizadas con mayúscula inicial deben ser entendidas con el significado que les otorga el artículo 2.2.1.1.1.3.1. del Decreto 1082 de 2015.</w:t>
      </w:r>
    </w:p>
    <w:p w14:paraId="1896053A" w14:textId="77777777" w:rsidR="00F27317" w:rsidRPr="008C7AF4" w:rsidRDefault="00F27317" w:rsidP="00F27317">
      <w:pPr>
        <w:widowControl w:val="0"/>
        <w:autoSpaceDE w:val="0"/>
        <w:autoSpaceDN w:val="0"/>
        <w:spacing w:after="0" w:line="276" w:lineRule="auto"/>
        <w:jc w:val="both"/>
        <w:rPr>
          <w:rFonts w:ascii="Century Gothic" w:hAnsi="Century Gothic" w:cs="Arial"/>
        </w:rPr>
      </w:pPr>
    </w:p>
    <w:p w14:paraId="23AB2240" w14:textId="228CEF2E" w:rsidR="00F27317" w:rsidRPr="00BA015E" w:rsidRDefault="00F27317" w:rsidP="00BA015E">
      <w:pPr>
        <w:spacing w:after="0" w:line="240" w:lineRule="auto"/>
        <w:rPr>
          <w:rFonts w:ascii="Century Gothic" w:eastAsia="Times New Roman" w:hAnsi="Century Gothic" w:cs="Arial"/>
          <w:lang w:eastAsia="es-CO"/>
        </w:rPr>
      </w:pPr>
      <w:r w:rsidRPr="008C7AF4">
        <w:rPr>
          <w:rFonts w:ascii="Century Gothic" w:eastAsia="Times New Roman" w:hAnsi="Century Gothic" w:cs="Arial"/>
          <w:lang w:eastAsia="es-CO"/>
        </w:rPr>
        <w:t>Atentamente,</w:t>
      </w:r>
    </w:p>
    <w:p w14:paraId="774DB475" w14:textId="77777777" w:rsidR="00F27317" w:rsidRDefault="00F27317" w:rsidP="00F27317">
      <w:pPr>
        <w:spacing w:after="0" w:line="276" w:lineRule="auto"/>
        <w:jc w:val="center"/>
        <w:rPr>
          <w:rFonts w:ascii="Century Gothic" w:eastAsia="Times New Roman" w:hAnsi="Century Gothic" w:cs="Arial"/>
          <w:noProof/>
          <w:color w:val="000000"/>
          <w:sz w:val="24"/>
          <w:szCs w:val="24"/>
          <w:lang w:val="es-ES_tradnl" w:eastAsia="es-CO"/>
        </w:rPr>
      </w:pPr>
    </w:p>
    <w:p w14:paraId="7B10EA15" w14:textId="43EC6588" w:rsidR="00F27317" w:rsidRDefault="00964D34" w:rsidP="00F27317">
      <w:pPr>
        <w:spacing w:after="0" w:line="276" w:lineRule="auto"/>
        <w:jc w:val="center"/>
        <w:rPr>
          <w:rFonts w:ascii="Century Gothic" w:eastAsia="Times New Roman" w:hAnsi="Century Gothic" w:cs="Arial"/>
          <w:noProof/>
          <w:color w:val="000000"/>
          <w:sz w:val="24"/>
          <w:szCs w:val="24"/>
          <w:lang w:val="es-ES_tradnl" w:eastAsia="es-CO"/>
        </w:rPr>
      </w:pPr>
      <w:r>
        <w:rPr>
          <w:noProof/>
        </w:rPr>
        <w:drawing>
          <wp:inline distT="0" distB="0" distL="0" distR="0" wp14:anchorId="5EFFF576" wp14:editId="1C788EA7">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1"/>
                    <a:stretch>
                      <a:fillRect/>
                    </a:stretch>
                  </pic:blipFill>
                  <pic:spPr>
                    <a:xfrm>
                      <a:off x="0" y="0"/>
                      <a:ext cx="3771900" cy="1400175"/>
                    </a:xfrm>
                    <a:prstGeom prst="rect">
                      <a:avLst/>
                    </a:prstGeom>
                  </pic:spPr>
                </pic:pic>
              </a:graphicData>
            </a:graphic>
          </wp:inline>
        </w:drawing>
      </w:r>
    </w:p>
    <w:p w14:paraId="52F111F4" w14:textId="77777777" w:rsidR="00F27317" w:rsidRPr="008C7AF4" w:rsidRDefault="00F27317" w:rsidP="00F27317">
      <w:pPr>
        <w:spacing w:after="0" w:line="276" w:lineRule="auto"/>
        <w:jc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t xml:space="preserve"> </w:t>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F27317" w:rsidRPr="008C7AF4" w14:paraId="2F332F0D" w14:textId="77777777" w:rsidTr="00BA607B">
        <w:trPr>
          <w:trHeight w:val="315"/>
        </w:trPr>
        <w:tc>
          <w:tcPr>
            <w:tcW w:w="855" w:type="dxa"/>
            <w:vAlign w:val="center"/>
            <w:hideMark/>
          </w:tcPr>
          <w:p w14:paraId="054A8DE5" w14:textId="77777777" w:rsidR="00F27317" w:rsidRPr="008C7AF4" w:rsidRDefault="00F27317" w:rsidP="00BA607B">
            <w:pPr>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18322BE9" w14:textId="77777777" w:rsidR="00F27317" w:rsidRPr="002C33F1" w:rsidRDefault="00F27317" w:rsidP="00BA607B">
            <w:pPr>
              <w:rPr>
                <w:rStyle w:val="normaltextrun"/>
              </w:rPr>
            </w:pPr>
            <w:proofErr w:type="spellStart"/>
            <w:r w:rsidRPr="002C33F1">
              <w:rPr>
                <w:rStyle w:val="normaltextrun"/>
              </w:rPr>
              <w:t>H</w:t>
            </w:r>
            <w:r w:rsidRPr="002C33F1">
              <w:rPr>
                <w:rStyle w:val="normaltextrun"/>
                <w:rFonts w:ascii="Century Gothic" w:eastAsia="Arial" w:hAnsi="Century Gothic" w:cs="Arial"/>
                <w:sz w:val="16"/>
                <w:szCs w:val="16"/>
              </w:rPr>
              <w:t>ector</w:t>
            </w:r>
            <w:proofErr w:type="spellEnd"/>
            <w:r w:rsidRPr="002C33F1">
              <w:rPr>
                <w:rStyle w:val="normaltextrun"/>
                <w:rFonts w:ascii="Century Gothic" w:eastAsia="Arial" w:hAnsi="Century Gothic" w:cs="Arial"/>
                <w:sz w:val="16"/>
                <w:szCs w:val="16"/>
              </w:rPr>
              <w:t xml:space="preserve"> Luis Quiñones </w:t>
            </w:r>
            <w:proofErr w:type="spellStart"/>
            <w:r w:rsidRPr="002C33F1">
              <w:rPr>
                <w:rStyle w:val="normaltextrun"/>
                <w:rFonts w:ascii="Century Gothic" w:eastAsia="Arial" w:hAnsi="Century Gothic" w:cs="Arial"/>
                <w:sz w:val="16"/>
                <w:szCs w:val="16"/>
              </w:rPr>
              <w:t>Quiñones</w:t>
            </w:r>
            <w:proofErr w:type="spellEnd"/>
          </w:p>
          <w:p w14:paraId="57CB5971" w14:textId="77777777" w:rsidR="00F27317" w:rsidRPr="008C7AF4" w:rsidRDefault="00F27317" w:rsidP="00BA607B">
            <w:pPr>
              <w:rPr>
                <w:rFonts w:ascii="Century Gothic" w:eastAsia="Arial" w:hAnsi="Century Gothic" w:cs="Arial"/>
                <w:sz w:val="16"/>
                <w:szCs w:val="16"/>
              </w:rPr>
            </w:pPr>
            <w:r w:rsidRPr="002C33F1">
              <w:rPr>
                <w:rStyle w:val="normaltextrun"/>
                <w:rFonts w:ascii="Century Gothic" w:eastAsia="Arial" w:hAnsi="Century Gothic" w:cs="Arial"/>
                <w:sz w:val="16"/>
                <w:szCs w:val="16"/>
              </w:rPr>
              <w:t xml:space="preserve">Analista T2-02 </w:t>
            </w:r>
            <w:r w:rsidRPr="008C7AF4">
              <w:rPr>
                <w:rStyle w:val="normaltextrun"/>
                <w:rFonts w:ascii="Century Gothic" w:eastAsia="Arial" w:hAnsi="Century Gothic" w:cs="Arial"/>
                <w:sz w:val="16"/>
                <w:szCs w:val="16"/>
              </w:rPr>
              <w:t>de la Subdirección de Gestión Contractual</w:t>
            </w:r>
            <w:r w:rsidRPr="008C7AF4">
              <w:rPr>
                <w:rStyle w:val="eop"/>
                <w:rFonts w:ascii="Century Gothic" w:eastAsia="Arial" w:hAnsi="Century Gothic" w:cs="Arial"/>
                <w:sz w:val="16"/>
                <w:szCs w:val="16"/>
              </w:rPr>
              <w:t> </w:t>
            </w:r>
          </w:p>
        </w:tc>
      </w:tr>
      <w:tr w:rsidR="00F27317" w:rsidRPr="008C7AF4" w14:paraId="36771957" w14:textId="77777777" w:rsidTr="00BA607B">
        <w:trPr>
          <w:trHeight w:val="330"/>
        </w:trPr>
        <w:tc>
          <w:tcPr>
            <w:tcW w:w="855" w:type="dxa"/>
            <w:vAlign w:val="center"/>
            <w:hideMark/>
          </w:tcPr>
          <w:p w14:paraId="59A0C7E2" w14:textId="77777777" w:rsidR="00F27317" w:rsidRPr="008C7AF4" w:rsidRDefault="00F27317" w:rsidP="00BA607B">
            <w:pPr>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082111DB" w14:textId="6CA275A6" w:rsidR="00F27317" w:rsidRPr="002C33F1" w:rsidRDefault="0056160B" w:rsidP="00BA607B">
            <w:pPr>
              <w:rPr>
                <w:rFonts w:ascii="Century Gothic" w:eastAsia="Arial" w:hAnsi="Century Gothic" w:cs="Arial"/>
                <w:sz w:val="16"/>
                <w:szCs w:val="16"/>
              </w:rPr>
            </w:pPr>
            <w:r>
              <w:rPr>
                <w:rStyle w:val="eop"/>
                <w:rFonts w:ascii="Century Gothic" w:eastAsia="Arial" w:hAnsi="Century Gothic" w:cs="Arial"/>
                <w:sz w:val="16"/>
                <w:szCs w:val="16"/>
              </w:rPr>
              <w:t xml:space="preserve">Juan David </w:t>
            </w:r>
            <w:proofErr w:type="spellStart"/>
            <w:r>
              <w:rPr>
                <w:rStyle w:val="eop"/>
                <w:rFonts w:ascii="Century Gothic" w:eastAsia="Arial" w:hAnsi="Century Gothic" w:cs="Arial"/>
                <w:sz w:val="16"/>
                <w:szCs w:val="16"/>
              </w:rPr>
              <w:t>Cardenas</w:t>
            </w:r>
            <w:proofErr w:type="spellEnd"/>
            <w:r>
              <w:rPr>
                <w:rStyle w:val="eop"/>
                <w:rFonts w:ascii="Century Gothic" w:eastAsia="Arial" w:hAnsi="Century Gothic" w:cs="Arial"/>
                <w:sz w:val="16"/>
                <w:szCs w:val="16"/>
              </w:rPr>
              <w:t xml:space="preserve"> Cabeza</w:t>
            </w:r>
            <w:r w:rsidR="00F27317" w:rsidRPr="002C33F1">
              <w:rPr>
                <w:rStyle w:val="eop"/>
                <w:rFonts w:ascii="Century Gothic" w:eastAsia="Arial" w:hAnsi="Century Gothic" w:cs="Arial"/>
                <w:sz w:val="16"/>
                <w:szCs w:val="16"/>
              </w:rPr>
              <w:t xml:space="preserve">  </w:t>
            </w:r>
          </w:p>
          <w:p w14:paraId="77B6AF7C" w14:textId="1BF979F6" w:rsidR="00F27317" w:rsidRPr="008C7AF4" w:rsidRDefault="0056160B" w:rsidP="00BA607B">
            <w:pPr>
              <w:rPr>
                <w:rFonts w:ascii="Century Gothic" w:eastAsia="Arial" w:hAnsi="Century Gothic" w:cs="Arial"/>
                <w:sz w:val="16"/>
                <w:szCs w:val="16"/>
              </w:rPr>
            </w:pPr>
            <w:r>
              <w:rPr>
                <w:rStyle w:val="normaltextrun"/>
                <w:rFonts w:ascii="Century Gothic" w:eastAsia="Arial" w:hAnsi="Century Gothic" w:cs="Arial"/>
                <w:sz w:val="16"/>
                <w:szCs w:val="16"/>
              </w:rPr>
              <w:t>Contratista</w:t>
            </w:r>
            <w:r w:rsidR="00F27317" w:rsidRPr="008C7AF4">
              <w:rPr>
                <w:rStyle w:val="normaltextrun"/>
                <w:rFonts w:ascii="Century Gothic" w:eastAsia="Arial" w:hAnsi="Century Gothic" w:cs="Arial"/>
                <w:sz w:val="16"/>
                <w:szCs w:val="16"/>
              </w:rPr>
              <w:t xml:space="preserve"> Subdirección de Gestión Contractual</w:t>
            </w:r>
            <w:r w:rsidR="00F27317" w:rsidRPr="008C7AF4">
              <w:rPr>
                <w:rStyle w:val="eop"/>
                <w:rFonts w:ascii="Century Gothic" w:eastAsia="Arial" w:hAnsi="Century Gothic" w:cs="Arial"/>
                <w:sz w:val="16"/>
                <w:szCs w:val="16"/>
              </w:rPr>
              <w:t> </w:t>
            </w:r>
          </w:p>
        </w:tc>
      </w:tr>
      <w:tr w:rsidR="00F27317" w:rsidRPr="008C7AF4" w14:paraId="09C68085" w14:textId="77777777" w:rsidTr="00BA607B">
        <w:trPr>
          <w:trHeight w:val="300"/>
        </w:trPr>
        <w:tc>
          <w:tcPr>
            <w:tcW w:w="855" w:type="dxa"/>
            <w:vAlign w:val="center"/>
          </w:tcPr>
          <w:p w14:paraId="1213EAA9" w14:textId="77777777" w:rsidR="00F27317" w:rsidRPr="008C7AF4" w:rsidRDefault="00F27317" w:rsidP="00BA607B">
            <w:pPr>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211E16E2" w14:textId="77777777" w:rsidR="00F27317" w:rsidRPr="005A03AC" w:rsidRDefault="00F27317" w:rsidP="00BA607B">
            <w:pPr>
              <w:rPr>
                <w:rFonts w:ascii="Century Gothic" w:eastAsia="Calibri" w:hAnsi="Century Gothic" w:cs="Arial"/>
                <w:sz w:val="16"/>
                <w:szCs w:val="16"/>
                <w:lang w:eastAsia="es-ES"/>
              </w:rPr>
            </w:pPr>
            <w:r>
              <w:rPr>
                <w:rFonts w:ascii="Century Gothic" w:eastAsia="Calibri" w:hAnsi="Century Gothic" w:cs="Arial"/>
                <w:sz w:val="16"/>
                <w:szCs w:val="16"/>
                <w:lang w:eastAsia="es-ES"/>
              </w:rPr>
              <w:t xml:space="preserve">Carolina Quintero </w:t>
            </w:r>
            <w:proofErr w:type="spellStart"/>
            <w:r>
              <w:rPr>
                <w:rFonts w:ascii="Century Gothic" w:eastAsia="Calibri" w:hAnsi="Century Gothic" w:cs="Arial"/>
                <w:sz w:val="16"/>
                <w:szCs w:val="16"/>
                <w:lang w:eastAsia="es-ES"/>
              </w:rPr>
              <w:t>Gacharná</w:t>
            </w:r>
            <w:proofErr w:type="spellEnd"/>
          </w:p>
          <w:p w14:paraId="1A60AC81" w14:textId="77777777" w:rsidR="00F27317" w:rsidRPr="005A03AC" w:rsidRDefault="00F27317" w:rsidP="00BA607B">
            <w:pPr>
              <w:rPr>
                <w:rFonts w:ascii="Century Gothic" w:eastAsia="Calibri" w:hAnsi="Century Gothic" w:cs="Arial"/>
                <w:sz w:val="16"/>
                <w:szCs w:val="16"/>
                <w:lang w:eastAsia="es-ES"/>
              </w:rPr>
            </w:pPr>
            <w:r w:rsidRPr="008C7AF4">
              <w:rPr>
                <w:rFonts w:ascii="Century Gothic" w:eastAsia="Calibri" w:hAnsi="Century Gothic" w:cs="Arial"/>
                <w:sz w:val="16"/>
                <w:szCs w:val="16"/>
                <w:lang w:eastAsia="es-ES"/>
              </w:rPr>
              <w:t>Subdirectora</w:t>
            </w:r>
            <w:r w:rsidRPr="005A03AC">
              <w:rPr>
                <w:rFonts w:ascii="Century Gothic" w:eastAsia="Calibri" w:hAnsi="Century Gothic" w:cs="Arial"/>
                <w:sz w:val="16"/>
                <w:szCs w:val="16"/>
                <w:lang w:eastAsia="es-ES"/>
              </w:rPr>
              <w:t xml:space="preserve"> de Gestión Contractual ANCP – CCE</w:t>
            </w:r>
          </w:p>
        </w:tc>
      </w:tr>
    </w:tbl>
    <w:p w14:paraId="1F3D35E0" w14:textId="77777777" w:rsidR="00F27317" w:rsidRDefault="00F27317" w:rsidP="00F27317"/>
    <w:p w14:paraId="0A4897C3" w14:textId="77777777" w:rsidR="00F27317" w:rsidRPr="00AC2C42" w:rsidRDefault="00F27317" w:rsidP="00F27317">
      <w:pPr>
        <w:spacing w:after="0"/>
        <w:rPr>
          <w:rFonts w:ascii="Century Gothic" w:hAnsi="Century Gothic"/>
        </w:rPr>
      </w:pPr>
    </w:p>
    <w:p w14:paraId="30D1B4DA" w14:textId="77777777" w:rsidR="00F27317" w:rsidRDefault="00F27317" w:rsidP="00400548">
      <w:pPr>
        <w:spacing w:after="0"/>
        <w:rPr>
          <w:rFonts w:ascii="Century Gothic" w:hAnsi="Century Gothic"/>
          <w:lang w:val="es-MX"/>
        </w:rPr>
      </w:pPr>
    </w:p>
    <w:sectPr w:rsidR="00F27317"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D52F" w14:textId="77777777" w:rsidR="00AE393A" w:rsidRDefault="00AE393A" w:rsidP="004A1847">
      <w:pPr>
        <w:spacing w:after="0" w:line="240" w:lineRule="auto"/>
      </w:pPr>
      <w:r>
        <w:separator/>
      </w:r>
    </w:p>
  </w:endnote>
  <w:endnote w:type="continuationSeparator" w:id="0">
    <w:p w14:paraId="7D3AA921" w14:textId="77777777" w:rsidR="00AE393A" w:rsidRDefault="00AE393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4E3F" w14:textId="77777777" w:rsidR="00AE393A" w:rsidRDefault="00AE393A" w:rsidP="004A1847">
      <w:pPr>
        <w:spacing w:after="0" w:line="240" w:lineRule="auto"/>
      </w:pPr>
      <w:r>
        <w:separator/>
      </w:r>
    </w:p>
  </w:footnote>
  <w:footnote w:type="continuationSeparator" w:id="0">
    <w:p w14:paraId="5B0374E1" w14:textId="77777777" w:rsidR="00AE393A" w:rsidRDefault="00AE393A" w:rsidP="004A1847">
      <w:pPr>
        <w:spacing w:after="0" w:line="240" w:lineRule="auto"/>
      </w:pPr>
      <w:r>
        <w:continuationSeparator/>
      </w:r>
    </w:p>
  </w:footnote>
  <w:footnote w:id="1">
    <w:p w14:paraId="51170952" w14:textId="77777777" w:rsidR="00F27317" w:rsidRPr="00DB522D" w:rsidRDefault="00F27317" w:rsidP="00F27317">
      <w:pPr>
        <w:pStyle w:val="Textonotapie"/>
        <w:ind w:firstLine="708"/>
        <w:jc w:val="both"/>
        <w:rPr>
          <w:rFonts w:ascii="Century Gothic" w:hAnsi="Century Gothic" w:cs="Arial"/>
          <w:sz w:val="16"/>
          <w:szCs w:val="16"/>
        </w:rPr>
      </w:pPr>
      <w:r w:rsidRPr="00DB522D">
        <w:rPr>
          <w:rStyle w:val="Refdenotaalpie"/>
          <w:rFonts w:ascii="Century Gothic" w:hAnsi="Century Gothic"/>
          <w:sz w:val="16"/>
          <w:szCs w:val="16"/>
        </w:rPr>
        <w:footnoteRef/>
      </w:r>
      <w:r w:rsidRPr="00DB522D">
        <w:rPr>
          <w:rFonts w:ascii="Century Gothic" w:hAnsi="Century Gothic"/>
          <w:sz w:val="16"/>
          <w:szCs w:val="16"/>
        </w:rPr>
        <w:t xml:space="preserve"> </w:t>
      </w:r>
      <w:r w:rsidRPr="00DB522D">
        <w:rPr>
          <w:rFonts w:ascii="Century Gothic" w:hAnsi="Century Gothic" w:cs="Arial"/>
          <w:sz w:val="16"/>
          <w:szCs w:val="16"/>
        </w:rPr>
        <w:t xml:space="preserve">Los conceptos expedidos por la Subdirección de Gestión Contractual de la Agencia Nacional de Contratación Pública pueden ser consultados en plataforma de relatoría a la cual se puede acceder a través del siguiente enlace:  </w:t>
      </w:r>
      <w:hyperlink r:id="rId1" w:history="1">
        <w:r w:rsidRPr="00DB522D">
          <w:rPr>
            <w:rStyle w:val="Hipervnculo"/>
            <w:rFonts w:ascii="Century Gothic" w:hAnsi="Century Gothic" w:cs="Arial"/>
            <w:sz w:val="16"/>
            <w:szCs w:val="16"/>
          </w:rPr>
          <w:t>https://relatoria.colombiacompra.gov.co/busqueda/conceptos</w:t>
        </w:r>
      </w:hyperlink>
    </w:p>
    <w:p w14:paraId="7BCD5CDC" w14:textId="77777777" w:rsidR="00F27317" w:rsidRPr="00DB522D" w:rsidRDefault="00F27317" w:rsidP="00F27317">
      <w:pPr>
        <w:pStyle w:val="Textonotapie"/>
        <w:rPr>
          <w:rFonts w:ascii="Century Gothic" w:hAnsi="Century Gothic"/>
          <w:sz w:val="16"/>
          <w:szCs w:val="16"/>
        </w:rPr>
      </w:pPr>
    </w:p>
  </w:footnote>
  <w:footnote w:id="2">
    <w:p w14:paraId="10706E78" w14:textId="77777777" w:rsidR="00F27317" w:rsidRPr="00BA6AAF" w:rsidRDefault="00F27317" w:rsidP="00F27317">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444A9F86" w14:textId="77777777" w:rsidR="00F27317" w:rsidRPr="00BA6AAF" w:rsidRDefault="00F27317" w:rsidP="00F27317">
      <w:pPr>
        <w:pStyle w:val="Textonotapie"/>
        <w:ind w:firstLine="708"/>
        <w:jc w:val="both"/>
        <w:rPr>
          <w:rFonts w:ascii="Century Gothic" w:hAnsi="Century Gothic" w:cs="Arial"/>
          <w:sz w:val="18"/>
          <w:szCs w:val="18"/>
        </w:rPr>
      </w:pPr>
      <w:r w:rsidRPr="00BA6AAF">
        <w:rPr>
          <w:rFonts w:ascii="Century Gothic" w:hAnsi="Century Gothic" w:cs="Arial"/>
          <w:sz w:val="18"/>
          <w:szCs w:val="18"/>
        </w:rPr>
        <w:t xml:space="preserve">[…] </w:t>
      </w:r>
    </w:p>
    <w:p w14:paraId="7DD6BEC7" w14:textId="77777777" w:rsidR="00F27317" w:rsidRPr="00BA6AAF" w:rsidRDefault="00F27317" w:rsidP="00F27317">
      <w:pPr>
        <w:pStyle w:val="Textonotapie"/>
        <w:ind w:firstLine="708"/>
        <w:jc w:val="both"/>
        <w:rPr>
          <w:rFonts w:ascii="Century Gothic" w:hAnsi="Century Gothic" w:cs="Arial"/>
          <w:sz w:val="18"/>
          <w:szCs w:val="18"/>
        </w:rPr>
      </w:pPr>
      <w:r w:rsidRPr="00BA6AAF">
        <w:rPr>
          <w:rFonts w:ascii="Century Gothic" w:hAnsi="Century Gothic" w:cs="Arial"/>
          <w:sz w:val="18"/>
          <w:szCs w:val="18"/>
        </w:rPr>
        <w:t>2.1. Bienes, obras y servicios que ofrecerá a las Entidades Estatales, identificados con el Clasificador de Bienes y Servicios en el tercer nivel”.</w:t>
      </w:r>
    </w:p>
  </w:footnote>
  <w:footnote w:id="3">
    <w:p w14:paraId="3261D619" w14:textId="77777777" w:rsidR="00F27317" w:rsidRDefault="00F27317" w:rsidP="00F27317">
      <w:pPr>
        <w:pStyle w:val="Textonotapie"/>
        <w:ind w:firstLine="708"/>
        <w:jc w:val="both"/>
        <w:rPr>
          <w:rFonts w:ascii="Century Gothic" w:hAnsi="Century Gothic" w:cs="Arial"/>
          <w:sz w:val="18"/>
          <w:szCs w:val="18"/>
        </w:rPr>
      </w:pPr>
    </w:p>
    <w:p w14:paraId="6E5F5605" w14:textId="77777777" w:rsidR="00F27317" w:rsidRPr="00BA6AAF" w:rsidRDefault="00F27317" w:rsidP="00F27317">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A73EEF5" w14:textId="77777777" w:rsidR="00F27317" w:rsidRPr="00BA6AAF" w:rsidRDefault="00F27317" w:rsidP="00F27317">
      <w:pPr>
        <w:pStyle w:val="Textonotapie"/>
        <w:ind w:firstLine="708"/>
        <w:jc w:val="both"/>
        <w:rPr>
          <w:rFonts w:ascii="Century Gothic" w:hAnsi="Century Gothic" w:cs="Arial"/>
          <w:sz w:val="18"/>
          <w:szCs w:val="18"/>
        </w:rPr>
      </w:pPr>
      <w:r w:rsidRPr="00BA6AAF">
        <w:rPr>
          <w:rFonts w:ascii="Century Gothic" w:hAnsi="Century Gothic" w:cs="Arial"/>
          <w:sz w:val="18"/>
          <w:szCs w:val="18"/>
        </w:rPr>
        <w:t xml:space="preserve">[…] </w:t>
      </w:r>
    </w:p>
    <w:p w14:paraId="2CA311A2" w14:textId="77777777" w:rsidR="00F27317" w:rsidRPr="00BA6AAF" w:rsidRDefault="00F27317" w:rsidP="00F27317">
      <w:pPr>
        <w:pStyle w:val="Textonotapie"/>
        <w:ind w:firstLine="708"/>
        <w:jc w:val="both"/>
        <w:rPr>
          <w:rFonts w:ascii="Century Gothic" w:hAnsi="Century Gothic" w:cs="Arial"/>
          <w:sz w:val="18"/>
          <w:szCs w:val="18"/>
          <w:lang w:val="es-CO"/>
        </w:rPr>
      </w:pPr>
      <w:r w:rsidRPr="00BA6AAF">
        <w:rPr>
          <w:rFonts w:ascii="Century Gothic" w:hAnsi="Century Gothic" w:cs="Arial"/>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 w:id="4">
    <w:p w14:paraId="06E84B85" w14:textId="77777777" w:rsidR="00F27317" w:rsidRPr="00BA6AAF" w:rsidRDefault="00F27317" w:rsidP="00F27317">
      <w:pPr>
        <w:pStyle w:val="Textonotapie"/>
        <w:ind w:left="708" w:firstLine="1"/>
        <w:contextualSpacing/>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Colombia Compra Eficiente. Concepto del 7 de febrero de 2018, Rad. 2201813000000954.</w:t>
      </w:r>
    </w:p>
    <w:p w14:paraId="18A5F4BA" w14:textId="77777777" w:rsidR="00F27317" w:rsidRPr="00BA6AAF" w:rsidRDefault="00F27317" w:rsidP="00F27317">
      <w:pPr>
        <w:pStyle w:val="Textonotapie"/>
        <w:ind w:left="708" w:firstLine="1"/>
        <w:contextualSpacing/>
        <w:jc w:val="both"/>
        <w:rPr>
          <w:rFonts w:ascii="Century Gothic" w:hAnsi="Century Gothic"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2214D46D" w:rsidR="00756841" w:rsidRDefault="00AF3080">
    <w:pPr>
      <w:pStyle w:val="Encabezado"/>
    </w:pPr>
    <w:r>
      <w:rPr>
        <w:noProof/>
        <w:lang w:eastAsia="es-CO"/>
      </w:rPr>
      <w:drawing>
        <wp:anchor distT="0" distB="0" distL="114300" distR="114300" simplePos="0" relativeHeight="251659264" behindDoc="1" locked="0" layoutInCell="1" allowOverlap="1" wp14:anchorId="748FC4A6" wp14:editId="494F8AC9">
          <wp:simplePos x="0" y="0"/>
          <wp:positionH relativeFrom="margin">
            <wp:posOffset>4173220</wp:posOffset>
          </wp:positionH>
          <wp:positionV relativeFrom="topMargin">
            <wp:posOffset>273685</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BADE29A">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BB88D62" w:rsidR="00756841" w:rsidRDefault="00756841">
    <w:pPr>
      <w:pStyle w:val="Encabezado"/>
    </w:pPr>
  </w:p>
  <w:p w14:paraId="1BE2B9AE" w14:textId="4B94DB3B" w:rsidR="00756841" w:rsidRDefault="00756841">
    <w:pPr>
      <w:pStyle w:val="Encabezado"/>
    </w:pPr>
  </w:p>
  <w:p w14:paraId="7FE1230C" w14:textId="040176A5" w:rsidR="004A305D" w:rsidRPr="007C5EE9" w:rsidRDefault="004A305D" w:rsidP="004A305D">
    <w:pPr>
      <w:spacing w:after="0"/>
      <w:rPr>
        <w:rFonts w:ascii="Century Gothic" w:hAnsi="Century Gothic"/>
        <w:color w:val="002060"/>
        <w:sz w:val="16"/>
        <w:szCs w:val="16"/>
        <w:lang w:val="pt-BR"/>
      </w:rPr>
    </w:pPr>
    <w:r w:rsidRPr="007C5EE9">
      <w:rPr>
        <w:rFonts w:ascii="Century Gothic" w:hAnsi="Century Gothic"/>
        <w:color w:val="002060"/>
        <w:sz w:val="16"/>
        <w:szCs w:val="16"/>
        <w:lang w:val="pt-BR"/>
      </w:rPr>
      <w:t>FORMATO PQRSD</w:t>
    </w:r>
  </w:p>
  <w:p w14:paraId="7B0A8834" w14:textId="3B0E5F1B" w:rsidR="004A305D" w:rsidRPr="007C5EE9"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val="pt-BR" w:eastAsia="es-CO"/>
      </w:rPr>
    </w:pPr>
    <w:r w:rsidRPr="007C5EE9">
      <w:rPr>
        <w:rFonts w:ascii="Century Gothic" w:eastAsia="Geo" w:hAnsi="Century Gothic" w:cs="Geo"/>
        <w:b/>
        <w:color w:val="000000"/>
        <w:sz w:val="16"/>
        <w:szCs w:val="16"/>
        <w:lang w:val="pt-BR" w:eastAsia="es-CO"/>
      </w:rPr>
      <w:t xml:space="preserve">Código: </w:t>
    </w:r>
    <w:r w:rsidRPr="007C5EE9">
      <w:rPr>
        <w:rFonts w:ascii="Century Gothic" w:eastAsia="Geo" w:hAnsi="Century Gothic" w:cs="Geo"/>
        <w:bCs/>
        <w:color w:val="000000"/>
        <w:sz w:val="16"/>
        <w:szCs w:val="16"/>
        <w:lang w:val="pt-BR" w:eastAsia="es-CO"/>
      </w:rPr>
      <w:t>CCE-</w:t>
    </w:r>
    <w:r w:rsidR="00CB6357" w:rsidRPr="007C5EE9">
      <w:rPr>
        <w:rFonts w:ascii="Century Gothic" w:eastAsia="Geo" w:hAnsi="Century Gothic" w:cs="Geo"/>
        <w:bCs/>
        <w:color w:val="000000"/>
        <w:sz w:val="16"/>
        <w:szCs w:val="16"/>
        <w:lang w:val="pt-BR" w:eastAsia="es-CO"/>
      </w:rPr>
      <w:t>REC</w:t>
    </w:r>
    <w:r w:rsidRPr="007C5EE9">
      <w:rPr>
        <w:rFonts w:ascii="Century Gothic" w:eastAsia="Geo" w:hAnsi="Century Gothic" w:cs="Geo"/>
        <w:bCs/>
        <w:color w:val="000000"/>
        <w:sz w:val="16"/>
        <w:szCs w:val="16"/>
        <w:lang w:val="pt-BR" w:eastAsia="es-CO"/>
      </w:rPr>
      <w:t>-FM-</w:t>
    </w:r>
    <w:r w:rsidR="00CB6357" w:rsidRPr="007C5EE9">
      <w:rPr>
        <w:rFonts w:ascii="Century Gothic" w:eastAsia="Geo" w:hAnsi="Century Gothic" w:cs="Geo"/>
        <w:bCs/>
        <w:color w:val="000000"/>
        <w:sz w:val="16"/>
        <w:szCs w:val="16"/>
        <w:lang w:val="pt-BR" w:eastAsia="es-CO"/>
      </w:rPr>
      <w:t>1</w:t>
    </w:r>
    <w:r w:rsidR="005B5D8B" w:rsidRPr="007C5EE9">
      <w:rPr>
        <w:rFonts w:ascii="Century Gothic" w:eastAsia="Geo" w:hAnsi="Century Gothic" w:cs="Geo"/>
        <w:bCs/>
        <w:color w:val="000000"/>
        <w:sz w:val="16"/>
        <w:szCs w:val="16"/>
        <w:lang w:val="pt-BR" w:eastAsia="es-CO"/>
      </w:rPr>
      <w:t>7</w:t>
    </w:r>
  </w:p>
  <w:p w14:paraId="42C1A9F5" w14:textId="0367FCFD" w:rsidR="00BD15D4"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46191"/>
    <w:rsid w:val="000A683E"/>
    <w:rsid w:val="000B19B9"/>
    <w:rsid w:val="000D0334"/>
    <w:rsid w:val="000E4714"/>
    <w:rsid w:val="000F6486"/>
    <w:rsid w:val="001144D7"/>
    <w:rsid w:val="0012448A"/>
    <w:rsid w:val="00125105"/>
    <w:rsid w:val="00127233"/>
    <w:rsid w:val="001E4177"/>
    <w:rsid w:val="002951A0"/>
    <w:rsid w:val="002962BC"/>
    <w:rsid w:val="002A093D"/>
    <w:rsid w:val="002A49AC"/>
    <w:rsid w:val="002A64FD"/>
    <w:rsid w:val="002C7A84"/>
    <w:rsid w:val="0032734F"/>
    <w:rsid w:val="003448F4"/>
    <w:rsid w:val="003A779E"/>
    <w:rsid w:val="003D0F4D"/>
    <w:rsid w:val="003E0499"/>
    <w:rsid w:val="003F3941"/>
    <w:rsid w:val="00400548"/>
    <w:rsid w:val="004368BC"/>
    <w:rsid w:val="004707BD"/>
    <w:rsid w:val="004A1847"/>
    <w:rsid w:val="004A305D"/>
    <w:rsid w:val="004B2AA1"/>
    <w:rsid w:val="004F21C4"/>
    <w:rsid w:val="004F685F"/>
    <w:rsid w:val="00533E8F"/>
    <w:rsid w:val="005566E8"/>
    <w:rsid w:val="0055709A"/>
    <w:rsid w:val="0056160B"/>
    <w:rsid w:val="00574867"/>
    <w:rsid w:val="005A6AA1"/>
    <w:rsid w:val="005B5D8B"/>
    <w:rsid w:val="005C15E8"/>
    <w:rsid w:val="005C5CDC"/>
    <w:rsid w:val="005D476C"/>
    <w:rsid w:val="00606852"/>
    <w:rsid w:val="006219F8"/>
    <w:rsid w:val="00665D70"/>
    <w:rsid w:val="0067196A"/>
    <w:rsid w:val="00706C16"/>
    <w:rsid w:val="00727370"/>
    <w:rsid w:val="00756841"/>
    <w:rsid w:val="00763C80"/>
    <w:rsid w:val="007649AB"/>
    <w:rsid w:val="00764FA1"/>
    <w:rsid w:val="007833AC"/>
    <w:rsid w:val="007B7171"/>
    <w:rsid w:val="007C3DC2"/>
    <w:rsid w:val="007C5EE9"/>
    <w:rsid w:val="007E5497"/>
    <w:rsid w:val="007F3C40"/>
    <w:rsid w:val="00806F5F"/>
    <w:rsid w:val="00820278"/>
    <w:rsid w:val="008843B6"/>
    <w:rsid w:val="00891928"/>
    <w:rsid w:val="008A446D"/>
    <w:rsid w:val="008F0EA7"/>
    <w:rsid w:val="00923EEF"/>
    <w:rsid w:val="009419F9"/>
    <w:rsid w:val="00961B09"/>
    <w:rsid w:val="00964D34"/>
    <w:rsid w:val="00965334"/>
    <w:rsid w:val="0097093E"/>
    <w:rsid w:val="009C71FA"/>
    <w:rsid w:val="009C72E7"/>
    <w:rsid w:val="009F6DEA"/>
    <w:rsid w:val="00A17F13"/>
    <w:rsid w:val="00A20739"/>
    <w:rsid w:val="00A33C78"/>
    <w:rsid w:val="00A45DF3"/>
    <w:rsid w:val="00A55D74"/>
    <w:rsid w:val="00A90287"/>
    <w:rsid w:val="00AB0ADB"/>
    <w:rsid w:val="00AD5E99"/>
    <w:rsid w:val="00AE393A"/>
    <w:rsid w:val="00AF3080"/>
    <w:rsid w:val="00B605B4"/>
    <w:rsid w:val="00B72CD3"/>
    <w:rsid w:val="00B72FFF"/>
    <w:rsid w:val="00BA015E"/>
    <w:rsid w:val="00BD15D4"/>
    <w:rsid w:val="00BD2509"/>
    <w:rsid w:val="00BD2E7A"/>
    <w:rsid w:val="00BD7F72"/>
    <w:rsid w:val="00C04FB3"/>
    <w:rsid w:val="00C330EB"/>
    <w:rsid w:val="00C754BE"/>
    <w:rsid w:val="00CB6357"/>
    <w:rsid w:val="00CC1B26"/>
    <w:rsid w:val="00D00E66"/>
    <w:rsid w:val="00D423A2"/>
    <w:rsid w:val="00D60ED1"/>
    <w:rsid w:val="00D63AC2"/>
    <w:rsid w:val="00D7383B"/>
    <w:rsid w:val="00DA231B"/>
    <w:rsid w:val="00E16408"/>
    <w:rsid w:val="00E20894"/>
    <w:rsid w:val="00E245AB"/>
    <w:rsid w:val="00E50AFE"/>
    <w:rsid w:val="00E771DC"/>
    <w:rsid w:val="00E8772A"/>
    <w:rsid w:val="00E90F6B"/>
    <w:rsid w:val="00E92C27"/>
    <w:rsid w:val="00EA0E3D"/>
    <w:rsid w:val="00EE1AA8"/>
    <w:rsid w:val="00F17039"/>
    <w:rsid w:val="00F204AB"/>
    <w:rsid w:val="00F27317"/>
    <w:rsid w:val="00F31EDC"/>
    <w:rsid w:val="00F5664F"/>
    <w:rsid w:val="00F613A2"/>
    <w:rsid w:val="00F76AFC"/>
    <w:rsid w:val="00FB5DD1"/>
    <w:rsid w:val="00FC2B5D"/>
    <w:rsid w:val="00FE00C2"/>
    <w:rsid w:val="00FF1449"/>
    <w:rsid w:val="03039DCC"/>
    <w:rsid w:val="1BA93D08"/>
    <w:rsid w:val="2BEBC948"/>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F27317"/>
    <w:pPr>
      <w:spacing w:line="240" w:lineRule="exact"/>
    </w:pPr>
    <w:rPr>
      <w:vertAlign w:val="superscript"/>
    </w:rPr>
  </w:style>
  <w:style w:type="character" w:customStyle="1" w:styleId="eop">
    <w:name w:val="eop"/>
    <w:basedOn w:val="Fuentedeprrafopredeter"/>
    <w:rsid w:val="00F27317"/>
  </w:style>
  <w:style w:type="paragraph" w:styleId="NormalWeb">
    <w:name w:val="Normal (Web)"/>
    <w:basedOn w:val="Normal"/>
    <w:link w:val="NormalWebCar"/>
    <w:uiPriority w:val="99"/>
    <w:unhideWhenUsed/>
    <w:rsid w:val="00F273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F27317"/>
    <w:rPr>
      <w:rFonts w:ascii="Times New Roman" w:eastAsia="Times New Roman" w:hAnsi="Times New Roman" w:cs="Times New Roman"/>
      <w:sz w:val="24"/>
      <w:szCs w:val="24"/>
      <w:lang w:eastAsia="es-CO"/>
    </w:rPr>
  </w:style>
  <w:style w:type="paragraph" w:styleId="Revisin">
    <w:name w:val="Revision"/>
    <w:hidden/>
    <w:uiPriority w:val="99"/>
    <w:semiHidden/>
    <w:rsid w:val="00764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Hector Luis Quiñones Quiñones</DisplayName>
        <AccountId>715</AccountId>
        <AccountType/>
      </UserInfo>
      <UserInfo>
        <DisplayName>Martha Alicia Romero Vargas</DisplayName>
        <AccountId>215</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E695292-15AD-40A3-AA17-EDC1A963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elements/1.1/"/>
    <ds:schemaRef ds:uri="a6cb9e4b-f1d1-4245-83ec-6cad768d538a"/>
    <ds:schemaRef ds:uri="http://www.w3.org/XML/1998/namespace"/>
    <ds:schemaRef ds:uri="http://purl.org/dc/terms/"/>
    <ds:schemaRef ds:uri="9d85dbaf-23eb-4e57-a637-93dcacc8b1a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2589</Words>
  <Characters>14243</Characters>
  <Application>Microsoft Office Word</Application>
  <DocSecurity>0</DocSecurity>
  <Lines>118</Lines>
  <Paragraphs>33</Paragraphs>
  <ScaleCrop>false</ScaleCrop>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2024-10-01T02:57:00Z</dcterms:created>
  <dcterms:modified xsi:type="dcterms:W3CDTF">2024-10-01T02:57:00Z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