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EB34" w14:textId="77777777" w:rsidR="000352FE" w:rsidRPr="007F716C" w:rsidRDefault="000352FE" w:rsidP="000352FE">
      <w:pPr>
        <w:spacing w:after="0" w:line="240" w:lineRule="auto"/>
        <w:jc w:val="both"/>
        <w:rPr>
          <w:rFonts w:ascii="Verdana" w:eastAsia="Calibri" w:hAnsi="Verdana" w:cs="Arial"/>
          <w:b/>
          <w:bCs/>
          <w:lang w:val="es-ES_tradnl" w:eastAsia="es-ES_tradnl"/>
        </w:rPr>
      </w:pPr>
      <w:bookmarkStart w:id="0" w:name="_GoBack"/>
      <w:bookmarkEnd w:id="0"/>
      <w:r w:rsidRPr="007F716C">
        <w:rPr>
          <w:rFonts w:ascii="Verdana" w:eastAsia="Calibri" w:hAnsi="Verdana" w:cs="Arial"/>
          <w:b/>
          <w:bCs/>
          <w:lang w:val="es-ES_tradnl" w:eastAsia="es-ES_tradnl"/>
        </w:rPr>
        <w:t>PLANEACIÓN CONTRACTUAL – Noción – Obligación de las entidades – Ley 80 de 1993</w:t>
      </w:r>
    </w:p>
    <w:p w14:paraId="5181CC35" w14:textId="77777777" w:rsidR="000352FE" w:rsidRPr="00C15FFD" w:rsidRDefault="000352FE" w:rsidP="000352FE">
      <w:pPr>
        <w:spacing w:after="0" w:line="240" w:lineRule="auto"/>
        <w:jc w:val="both"/>
        <w:rPr>
          <w:rFonts w:ascii="Verdana" w:eastAsia="Calibri" w:hAnsi="Verdana" w:cs="Arial"/>
          <w:b/>
          <w:bCs/>
          <w:sz w:val="20"/>
          <w:szCs w:val="20"/>
          <w:highlight w:val="yellow"/>
          <w:lang w:val="es-ES_tradnl" w:eastAsia="es-ES_tradnl"/>
        </w:rPr>
      </w:pPr>
    </w:p>
    <w:p w14:paraId="7B83EE6F" w14:textId="77777777" w:rsidR="000352FE" w:rsidRDefault="000352FE" w:rsidP="000352FE">
      <w:pPr>
        <w:spacing w:after="0" w:line="240" w:lineRule="auto"/>
        <w:jc w:val="both"/>
        <w:rPr>
          <w:rFonts w:ascii="Verdana" w:eastAsia="Aptos" w:hAnsi="Verdana" w:cs="Times New Roman"/>
          <w:sz w:val="20"/>
          <w:szCs w:val="20"/>
        </w:rPr>
      </w:pPr>
      <w:r w:rsidRPr="00024394">
        <w:rPr>
          <w:rFonts w:ascii="Verdana" w:eastAsia="Aptos" w:hAnsi="Verdana" w:cs="Times New Roman"/>
          <w:sz w:val="20"/>
          <w:szCs w:val="20"/>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0F5F142F" w14:textId="77777777" w:rsidR="000352FE" w:rsidRDefault="000352FE" w:rsidP="000352FE">
      <w:pPr>
        <w:spacing w:after="0" w:line="240" w:lineRule="auto"/>
        <w:jc w:val="both"/>
        <w:rPr>
          <w:rFonts w:ascii="Verdana" w:eastAsia="Aptos" w:hAnsi="Verdana" w:cs="Times New Roman"/>
          <w:sz w:val="20"/>
          <w:szCs w:val="20"/>
        </w:rPr>
      </w:pPr>
    </w:p>
    <w:p w14:paraId="4D960C4A" w14:textId="77777777" w:rsidR="000352FE" w:rsidRDefault="000352FE" w:rsidP="000352FE">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17369">
        <w:rPr>
          <w:rFonts w:ascii="Verdana" w:eastAsia="Aptos" w:hAnsi="Verdana" w:cs="Times New Roman"/>
          <w:sz w:val="20"/>
          <w:szCs w:val="20"/>
        </w:rPr>
        <w:t>el Estatuto General de Contratación de la Administración Pública, en adelante EGCAP, contiene disposiciones que exigen a las Entidades Estatales el deber de realizar planeación en la etapa precontractual, esto con el fin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w:t>
      </w:r>
    </w:p>
    <w:p w14:paraId="10625C16" w14:textId="77777777" w:rsidR="000352FE" w:rsidRPr="00C15FFD" w:rsidRDefault="000352FE" w:rsidP="000352FE">
      <w:pPr>
        <w:spacing w:after="0" w:line="240" w:lineRule="auto"/>
        <w:jc w:val="both"/>
        <w:rPr>
          <w:rFonts w:ascii="Verdana" w:eastAsia="Aptos" w:hAnsi="Verdana" w:cs="Times New Roman"/>
          <w:sz w:val="20"/>
          <w:szCs w:val="20"/>
          <w:highlight w:val="yellow"/>
        </w:rPr>
      </w:pPr>
    </w:p>
    <w:p w14:paraId="28736C5E" w14:textId="77777777" w:rsidR="000352FE" w:rsidRPr="002B393F" w:rsidRDefault="000352FE" w:rsidP="000352FE">
      <w:pPr>
        <w:spacing w:after="0" w:line="240" w:lineRule="auto"/>
        <w:jc w:val="both"/>
        <w:rPr>
          <w:rFonts w:ascii="Verdana" w:eastAsia="Calibri" w:hAnsi="Verdana" w:cs="Arial"/>
          <w:b/>
          <w:bCs/>
          <w:lang w:val="es-ES" w:eastAsia="es-ES"/>
        </w:rPr>
      </w:pPr>
      <w:r w:rsidRPr="002B393F">
        <w:rPr>
          <w:rFonts w:ascii="Verdana" w:eastAsia="Calibri" w:hAnsi="Verdana" w:cs="Arial"/>
          <w:b/>
          <w:bCs/>
          <w:lang w:val="es-ES" w:eastAsia="es-ES"/>
        </w:rPr>
        <w:t xml:space="preserve">ESTUDIOS PREVIOS </w:t>
      </w:r>
      <w:r>
        <w:rPr>
          <w:rFonts w:ascii="Verdana" w:eastAsia="Calibri" w:hAnsi="Verdana" w:cs="Arial"/>
          <w:b/>
          <w:bCs/>
          <w:lang w:val="es-ES" w:eastAsia="es-ES"/>
        </w:rPr>
        <w:t>–</w:t>
      </w:r>
      <w:r w:rsidRPr="002B393F">
        <w:rPr>
          <w:rFonts w:ascii="Verdana" w:eastAsia="Calibri" w:hAnsi="Verdana" w:cs="Arial"/>
          <w:b/>
          <w:bCs/>
          <w:lang w:val="es-ES" w:eastAsia="es-ES"/>
        </w:rPr>
        <w:t xml:space="preserve"> Finalidad</w:t>
      </w:r>
    </w:p>
    <w:p w14:paraId="6F112AB6" w14:textId="77777777" w:rsidR="000352FE" w:rsidRPr="00C15FFD" w:rsidRDefault="000352FE" w:rsidP="000352FE">
      <w:pPr>
        <w:spacing w:after="0" w:line="240" w:lineRule="auto"/>
        <w:jc w:val="both"/>
        <w:rPr>
          <w:rFonts w:ascii="Verdana" w:eastAsia="Calibri" w:hAnsi="Verdana" w:cs="Arial"/>
          <w:b/>
          <w:bCs/>
          <w:sz w:val="20"/>
          <w:szCs w:val="20"/>
          <w:highlight w:val="yellow"/>
          <w:lang w:val="es-ES_tradnl" w:eastAsia="es-ES_tradnl"/>
        </w:rPr>
      </w:pPr>
    </w:p>
    <w:p w14:paraId="00A07CC9" w14:textId="77777777" w:rsidR="000352FE" w:rsidRDefault="000352FE" w:rsidP="000352FE">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2B393F">
        <w:rPr>
          <w:rFonts w:ascii="Verdana" w:eastAsia="Aptos" w:hAnsi="Verdana" w:cs="Times New Roman"/>
          <w:sz w:val="20"/>
          <w:szCs w:val="20"/>
        </w:rPr>
        <w:t xml:space="preserve">la Entidad Estatal podrá determinar con los estudios previos: i) la verdadera necesidad de la celebración del contrato; </w:t>
      </w:r>
      <w:proofErr w:type="spellStart"/>
      <w:r w:rsidRPr="002B393F">
        <w:rPr>
          <w:rFonts w:ascii="Verdana" w:eastAsia="Aptos" w:hAnsi="Verdana" w:cs="Times New Roman"/>
          <w:sz w:val="20"/>
          <w:szCs w:val="20"/>
        </w:rPr>
        <w:t>ii</w:t>
      </w:r>
      <w:proofErr w:type="spellEnd"/>
      <w:r w:rsidRPr="002B393F">
        <w:rPr>
          <w:rFonts w:ascii="Verdana" w:eastAsia="Aptos" w:hAnsi="Verdana" w:cs="Times New Roman"/>
          <w:sz w:val="20"/>
          <w:szCs w:val="20"/>
        </w:rPr>
        <w:t xml:space="preserve">) las modalidades existentes para satisfacer esa necesidad y las razones que justifiquen la modalidad o tipo contractual que se escoja; </w:t>
      </w:r>
      <w:proofErr w:type="spellStart"/>
      <w:r w:rsidRPr="002B393F">
        <w:rPr>
          <w:rFonts w:ascii="Verdana" w:eastAsia="Aptos" w:hAnsi="Verdana" w:cs="Times New Roman"/>
          <w:sz w:val="20"/>
          <w:szCs w:val="20"/>
        </w:rPr>
        <w:t>iii</w:t>
      </w:r>
      <w:proofErr w:type="spellEnd"/>
      <w:r w:rsidRPr="002B393F">
        <w:rPr>
          <w:rFonts w:ascii="Verdana" w:eastAsia="Aptos" w:hAnsi="Verdana" w:cs="Times New Roman"/>
          <w:sz w:val="20"/>
          <w:szCs w:val="20"/>
        </w:rPr>
        <w:t xml:space="preserve">) las calidades, especificaciones, cantidades y demás características que puedan o deban reunir los bienes, las obras o los servicios cuya contratación se haya determinado necesaria, </w:t>
      </w:r>
      <w:proofErr w:type="spellStart"/>
      <w:r w:rsidRPr="002B393F">
        <w:rPr>
          <w:rFonts w:ascii="Verdana" w:eastAsia="Aptos" w:hAnsi="Verdana" w:cs="Times New Roman"/>
          <w:sz w:val="20"/>
          <w:szCs w:val="20"/>
        </w:rPr>
        <w:t>iv</w:t>
      </w:r>
      <w:proofErr w:type="spellEnd"/>
      <w:r w:rsidRPr="002B393F">
        <w:rPr>
          <w:rFonts w:ascii="Verdana" w:eastAsia="Aptos" w:hAnsi="Verdana" w:cs="Times New Roman"/>
          <w:sz w:val="20"/>
          <w:szCs w:val="20"/>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2B393F">
        <w:rPr>
          <w:rFonts w:ascii="Verdana" w:eastAsia="Aptos" w:hAnsi="Verdana" w:cs="Times New Roman"/>
          <w:sz w:val="20"/>
          <w:szCs w:val="20"/>
        </w:rPr>
        <w:t>vii</w:t>
      </w:r>
      <w:proofErr w:type="spellEnd"/>
      <w:r w:rsidRPr="002B393F">
        <w:rPr>
          <w:rFonts w:ascii="Verdana" w:eastAsia="Aptos" w:hAnsi="Verdana" w:cs="Times New Roman"/>
          <w:sz w:val="20"/>
          <w:szCs w:val="20"/>
        </w:rPr>
        <w:t>) 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27DFD774" w14:textId="77777777" w:rsidR="000352FE" w:rsidRDefault="000352FE" w:rsidP="000352FE">
      <w:pPr>
        <w:spacing w:after="0" w:line="240" w:lineRule="auto"/>
        <w:rPr>
          <w:rFonts w:ascii="Verdana" w:eastAsia="Aptos" w:hAnsi="Verdana" w:cs="Times New Roman"/>
          <w:sz w:val="20"/>
          <w:szCs w:val="20"/>
        </w:rPr>
      </w:pPr>
    </w:p>
    <w:p w14:paraId="51594BF7" w14:textId="77777777" w:rsidR="000352FE" w:rsidRPr="002B393F" w:rsidRDefault="000352FE" w:rsidP="000352FE">
      <w:pPr>
        <w:spacing w:after="0" w:line="240" w:lineRule="auto"/>
        <w:jc w:val="both"/>
        <w:rPr>
          <w:rFonts w:ascii="Verdana" w:eastAsia="Calibri" w:hAnsi="Verdana" w:cs="Arial"/>
          <w:b/>
          <w:bCs/>
          <w:lang w:val="es-ES" w:eastAsia="es-ES"/>
        </w:rPr>
      </w:pPr>
      <w:r w:rsidRPr="002B393F">
        <w:rPr>
          <w:rFonts w:ascii="Verdana" w:eastAsia="Calibri" w:hAnsi="Verdana" w:cs="Arial"/>
          <w:b/>
          <w:bCs/>
          <w:lang w:val="es-ES" w:eastAsia="es-ES"/>
        </w:rPr>
        <w:t xml:space="preserve">ESTUDIOS </w:t>
      </w:r>
      <w:r>
        <w:rPr>
          <w:rFonts w:ascii="Verdana" w:eastAsia="Calibri" w:hAnsi="Verdana" w:cs="Arial"/>
          <w:b/>
          <w:bCs/>
          <w:lang w:val="es-ES" w:eastAsia="es-ES"/>
        </w:rPr>
        <w:t>DE MERCADO</w:t>
      </w:r>
      <w:r w:rsidRPr="002B393F">
        <w:rPr>
          <w:rFonts w:ascii="Verdana" w:eastAsia="Calibri" w:hAnsi="Verdana" w:cs="Arial"/>
          <w:b/>
          <w:bCs/>
          <w:lang w:val="es-ES" w:eastAsia="es-ES"/>
        </w:rPr>
        <w:t xml:space="preserve"> </w:t>
      </w:r>
      <w:r>
        <w:rPr>
          <w:rFonts w:ascii="Verdana" w:eastAsia="Calibri" w:hAnsi="Verdana" w:cs="Arial"/>
          <w:b/>
          <w:bCs/>
          <w:lang w:val="es-ES" w:eastAsia="es-ES"/>
        </w:rPr>
        <w:t>–</w:t>
      </w:r>
      <w:r w:rsidRPr="002B393F">
        <w:rPr>
          <w:rFonts w:ascii="Verdana" w:eastAsia="Calibri" w:hAnsi="Verdana" w:cs="Arial"/>
          <w:b/>
          <w:bCs/>
          <w:lang w:val="es-ES" w:eastAsia="es-ES"/>
        </w:rPr>
        <w:t xml:space="preserve"> </w:t>
      </w:r>
      <w:r>
        <w:rPr>
          <w:rFonts w:ascii="Verdana" w:eastAsia="Calibri" w:hAnsi="Verdana" w:cs="Arial"/>
          <w:b/>
          <w:bCs/>
          <w:lang w:val="es-ES" w:eastAsia="es-ES"/>
        </w:rPr>
        <w:t>Finalidad – Recomendaciones – Colombia compra eficiente – Guía de elaboración de estudios del sector</w:t>
      </w:r>
    </w:p>
    <w:p w14:paraId="69C42B5E" w14:textId="77777777" w:rsidR="000352FE" w:rsidRDefault="000352FE" w:rsidP="000352FE">
      <w:pPr>
        <w:spacing w:after="0" w:line="240" w:lineRule="auto"/>
        <w:rPr>
          <w:rFonts w:ascii="Verdana" w:eastAsia="Aptos" w:hAnsi="Verdana" w:cs="Times New Roman"/>
          <w:sz w:val="20"/>
          <w:szCs w:val="20"/>
        </w:rPr>
      </w:pPr>
    </w:p>
    <w:p w14:paraId="25C09535" w14:textId="77777777" w:rsidR="000352FE" w:rsidRDefault="000352FE" w:rsidP="000352FE">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4A1D12">
        <w:rPr>
          <w:rFonts w:ascii="Verdana" w:eastAsia="Aptos" w:hAnsi="Verdana" w:cs="Times New Roman"/>
          <w:sz w:val="20"/>
          <w:szCs w:val="20"/>
        </w:rPr>
        <w:t>este permite comprender la dinámica de los precios y establecer el presupuesto oficial de la contratación, el cual 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 Este estudio de mercado debe responder claramente a las dinámicas de precio y, de esta manera, establecer el presupuesto oficial del proceso de contratación.</w:t>
      </w:r>
      <w:r w:rsidRPr="00A562DF">
        <w:t xml:space="preserve"> </w:t>
      </w:r>
      <w:r w:rsidRPr="00A562DF">
        <w:rPr>
          <w:rFonts w:ascii="Verdana" w:eastAsia="Aptos" w:hAnsi="Verdana" w:cs="Times New Roman"/>
          <w:sz w:val="20"/>
          <w:szCs w:val="20"/>
        </w:rPr>
        <w:t xml:space="preserve">De esta forma, se tiene </w:t>
      </w:r>
      <w:r w:rsidRPr="00A562DF">
        <w:rPr>
          <w:rFonts w:ascii="Verdana" w:eastAsia="Aptos" w:hAnsi="Verdana" w:cs="Times New Roman"/>
          <w:sz w:val="20"/>
          <w:szCs w:val="20"/>
        </w:rPr>
        <w:lastRenderedPageBreak/>
        <w:t>que, la Guía de Elaboración de Estudios del Sector en el numeral 1.3.4, propone a las Entidades Estatales los siguientes mecanismos para elaborar el estudio de precios de mercado:</w:t>
      </w:r>
      <w:r>
        <w:rPr>
          <w:rFonts w:ascii="Verdana" w:eastAsia="Aptos" w:hAnsi="Verdana" w:cs="Times New Roman"/>
          <w:sz w:val="20"/>
          <w:szCs w:val="20"/>
        </w:rPr>
        <w:t xml:space="preserve"> i</w:t>
      </w:r>
      <w:r w:rsidRPr="00A562DF">
        <w:rPr>
          <w:rFonts w:ascii="Verdana" w:eastAsia="Aptos" w:hAnsi="Verdana" w:cs="Times New Roman"/>
          <w:sz w:val="20"/>
          <w:szCs w:val="20"/>
        </w:rPr>
        <w:t>) Revisión de precios por solicitud de cotizaciones</w:t>
      </w:r>
      <w:r>
        <w:rPr>
          <w:rFonts w:ascii="Verdana" w:eastAsia="Aptos" w:hAnsi="Verdana" w:cs="Times New Roman"/>
          <w:sz w:val="20"/>
          <w:szCs w:val="20"/>
        </w:rPr>
        <w:t xml:space="preserve"> […]. </w:t>
      </w:r>
      <w:proofErr w:type="spellStart"/>
      <w:r>
        <w:rPr>
          <w:rFonts w:ascii="Verdana" w:eastAsia="Aptos" w:hAnsi="Verdana" w:cs="Times New Roman"/>
          <w:sz w:val="20"/>
          <w:szCs w:val="20"/>
        </w:rPr>
        <w:t>ii</w:t>
      </w:r>
      <w:proofErr w:type="spellEnd"/>
      <w:r>
        <w:rPr>
          <w:rFonts w:ascii="Verdana" w:eastAsia="Aptos" w:hAnsi="Verdana" w:cs="Times New Roman"/>
          <w:sz w:val="20"/>
          <w:szCs w:val="20"/>
        </w:rPr>
        <w:t xml:space="preserve">) </w:t>
      </w:r>
      <w:r w:rsidRPr="00A562DF">
        <w:rPr>
          <w:rFonts w:ascii="Verdana" w:eastAsia="Aptos" w:hAnsi="Verdana" w:cs="Times New Roman"/>
          <w:sz w:val="20"/>
          <w:szCs w:val="20"/>
        </w:rPr>
        <w:t>verificarse la ocurrencia de circunstancias que eventualmente pueden distorsionar los precios del mercado</w:t>
      </w:r>
      <w:r>
        <w:rPr>
          <w:rFonts w:ascii="Verdana" w:eastAsia="Aptos" w:hAnsi="Verdana" w:cs="Times New Roman"/>
          <w:sz w:val="20"/>
          <w:szCs w:val="20"/>
        </w:rPr>
        <w:t xml:space="preserve"> […]. </w:t>
      </w:r>
      <w:proofErr w:type="spellStart"/>
      <w:r>
        <w:rPr>
          <w:rFonts w:ascii="Verdana" w:eastAsia="Aptos" w:hAnsi="Verdana" w:cs="Times New Roman"/>
          <w:sz w:val="20"/>
          <w:szCs w:val="20"/>
        </w:rPr>
        <w:t>iii</w:t>
      </w:r>
      <w:proofErr w:type="spellEnd"/>
      <w:r>
        <w:rPr>
          <w:rFonts w:ascii="Verdana" w:eastAsia="Aptos" w:hAnsi="Verdana" w:cs="Times New Roman"/>
          <w:sz w:val="20"/>
          <w:szCs w:val="20"/>
        </w:rPr>
        <w:t>)</w:t>
      </w:r>
      <w:r w:rsidRPr="00A562DF">
        <w:t xml:space="preserve"> </w:t>
      </w:r>
      <w:r w:rsidRPr="00A562DF">
        <w:rPr>
          <w:rFonts w:ascii="Verdana" w:eastAsia="Aptos" w:hAnsi="Verdana" w:cs="Times New Roman"/>
          <w:sz w:val="20"/>
          <w:szCs w:val="20"/>
        </w:rPr>
        <w:t>Revisión de bases de datos especializadas</w:t>
      </w:r>
      <w:r>
        <w:rPr>
          <w:rFonts w:ascii="Verdana" w:eastAsia="Aptos" w:hAnsi="Verdana" w:cs="Times New Roman"/>
          <w:sz w:val="20"/>
          <w:szCs w:val="20"/>
        </w:rPr>
        <w:t xml:space="preserve">. </w:t>
      </w:r>
      <w:proofErr w:type="spellStart"/>
      <w:r>
        <w:rPr>
          <w:rFonts w:ascii="Verdana" w:eastAsia="Aptos" w:hAnsi="Verdana" w:cs="Times New Roman"/>
          <w:sz w:val="20"/>
          <w:szCs w:val="20"/>
        </w:rPr>
        <w:t>iv</w:t>
      </w:r>
      <w:proofErr w:type="spellEnd"/>
      <w:r>
        <w:rPr>
          <w:rFonts w:ascii="Verdana" w:eastAsia="Aptos" w:hAnsi="Verdana" w:cs="Times New Roman"/>
          <w:sz w:val="20"/>
          <w:szCs w:val="20"/>
        </w:rPr>
        <w:t>)</w:t>
      </w:r>
      <w:r w:rsidRPr="0039462C">
        <w:t xml:space="preserve"> </w:t>
      </w:r>
      <w:r w:rsidRPr="0039462C">
        <w:rPr>
          <w:rFonts w:ascii="Verdana" w:eastAsia="Aptos" w:hAnsi="Verdana" w:cs="Times New Roman"/>
          <w:sz w:val="20"/>
          <w:szCs w:val="20"/>
        </w:rPr>
        <w:t>Revisión de precios históricos</w:t>
      </w:r>
      <w:r>
        <w:rPr>
          <w:rFonts w:ascii="Verdana" w:eastAsia="Aptos" w:hAnsi="Verdana" w:cs="Times New Roman"/>
          <w:sz w:val="20"/>
          <w:szCs w:val="20"/>
        </w:rPr>
        <w:t xml:space="preserve"> […]</w:t>
      </w:r>
    </w:p>
    <w:p w14:paraId="6828E6D9" w14:textId="77777777" w:rsidR="000352FE" w:rsidRDefault="000352FE" w:rsidP="000352FE">
      <w:pPr>
        <w:spacing w:after="0" w:line="240" w:lineRule="auto"/>
        <w:rPr>
          <w:rFonts w:ascii="Verdana" w:eastAsia="Aptos" w:hAnsi="Verdana" w:cs="Times New Roman"/>
          <w:sz w:val="20"/>
          <w:szCs w:val="20"/>
        </w:rPr>
      </w:pPr>
    </w:p>
    <w:p w14:paraId="042CEF73" w14:textId="77777777" w:rsidR="000352FE" w:rsidRDefault="000352FE" w:rsidP="000352FE">
      <w:pPr>
        <w:spacing w:after="0" w:line="240" w:lineRule="auto"/>
        <w:rPr>
          <w:rFonts w:ascii="Verdana" w:eastAsia="Aptos" w:hAnsi="Verdana" w:cs="Times New Roman"/>
          <w:sz w:val="20"/>
          <w:szCs w:val="20"/>
        </w:rPr>
      </w:pPr>
    </w:p>
    <w:p w14:paraId="4AEAAF5F" w14:textId="77777777" w:rsidR="000352FE" w:rsidRDefault="000352FE" w:rsidP="000352FE">
      <w:pPr>
        <w:spacing w:after="0" w:line="240" w:lineRule="auto"/>
        <w:rPr>
          <w:rFonts w:ascii="Verdana" w:eastAsia="Aptos" w:hAnsi="Verdana" w:cs="Times New Roman"/>
          <w:sz w:val="20"/>
          <w:szCs w:val="20"/>
        </w:rPr>
      </w:pPr>
    </w:p>
    <w:p w14:paraId="2856A9E1" w14:textId="77777777" w:rsidR="000352FE" w:rsidRDefault="000352FE" w:rsidP="000352FE">
      <w:pPr>
        <w:spacing w:after="0" w:line="240" w:lineRule="auto"/>
        <w:rPr>
          <w:rFonts w:ascii="Verdana" w:eastAsia="Aptos" w:hAnsi="Verdana" w:cs="Times New Roman"/>
          <w:sz w:val="20"/>
          <w:szCs w:val="20"/>
        </w:rPr>
      </w:pPr>
    </w:p>
    <w:p w14:paraId="1FBFD277" w14:textId="77777777" w:rsidR="000352FE" w:rsidRDefault="000352FE" w:rsidP="000352FE">
      <w:pPr>
        <w:spacing w:after="0" w:line="240" w:lineRule="auto"/>
        <w:rPr>
          <w:rFonts w:ascii="Verdana" w:eastAsia="Aptos" w:hAnsi="Verdana" w:cs="Times New Roman"/>
          <w:sz w:val="20"/>
          <w:szCs w:val="20"/>
        </w:rPr>
      </w:pPr>
    </w:p>
    <w:p w14:paraId="1CF9DBC6" w14:textId="77777777" w:rsidR="000352FE" w:rsidRDefault="000352FE" w:rsidP="000352FE">
      <w:pPr>
        <w:spacing w:after="0" w:line="240" w:lineRule="auto"/>
        <w:rPr>
          <w:rFonts w:ascii="Verdana" w:eastAsia="Aptos" w:hAnsi="Verdana" w:cs="Times New Roman"/>
          <w:sz w:val="20"/>
          <w:szCs w:val="20"/>
        </w:rPr>
      </w:pPr>
    </w:p>
    <w:p w14:paraId="38710BC7" w14:textId="77777777" w:rsidR="000352FE" w:rsidRDefault="000352FE" w:rsidP="000352FE">
      <w:pPr>
        <w:spacing w:after="0" w:line="240" w:lineRule="auto"/>
        <w:rPr>
          <w:rFonts w:ascii="Verdana" w:eastAsia="Aptos" w:hAnsi="Verdana" w:cs="Times New Roman"/>
          <w:sz w:val="20"/>
          <w:szCs w:val="20"/>
        </w:rPr>
      </w:pPr>
    </w:p>
    <w:p w14:paraId="63DDAAC1" w14:textId="77777777" w:rsidR="000352FE" w:rsidRDefault="000352FE" w:rsidP="000352FE">
      <w:pPr>
        <w:spacing w:after="0" w:line="240" w:lineRule="auto"/>
        <w:rPr>
          <w:rFonts w:ascii="Verdana" w:eastAsia="Aptos" w:hAnsi="Verdana" w:cs="Times New Roman"/>
          <w:sz w:val="20"/>
          <w:szCs w:val="20"/>
        </w:rPr>
      </w:pPr>
    </w:p>
    <w:p w14:paraId="49ECA9AB" w14:textId="77777777" w:rsidR="000352FE" w:rsidRDefault="000352FE" w:rsidP="000352FE">
      <w:pPr>
        <w:spacing w:after="0" w:line="240" w:lineRule="auto"/>
        <w:rPr>
          <w:rFonts w:ascii="Verdana" w:eastAsia="Aptos" w:hAnsi="Verdana" w:cs="Times New Roman"/>
          <w:sz w:val="20"/>
          <w:szCs w:val="20"/>
        </w:rPr>
      </w:pPr>
    </w:p>
    <w:p w14:paraId="1735F31E" w14:textId="77777777" w:rsidR="000352FE" w:rsidRDefault="000352FE" w:rsidP="000352FE">
      <w:pPr>
        <w:spacing w:after="0" w:line="240" w:lineRule="auto"/>
        <w:rPr>
          <w:rFonts w:ascii="Verdana" w:eastAsia="Aptos" w:hAnsi="Verdana" w:cs="Times New Roman"/>
          <w:sz w:val="20"/>
          <w:szCs w:val="20"/>
        </w:rPr>
      </w:pPr>
    </w:p>
    <w:p w14:paraId="0BBC9241" w14:textId="77777777" w:rsidR="000352FE" w:rsidRDefault="000352FE" w:rsidP="000352FE">
      <w:pPr>
        <w:spacing w:after="0" w:line="240" w:lineRule="auto"/>
        <w:rPr>
          <w:rFonts w:ascii="Verdana" w:eastAsia="Aptos" w:hAnsi="Verdana" w:cs="Times New Roman"/>
          <w:sz w:val="20"/>
          <w:szCs w:val="20"/>
        </w:rPr>
      </w:pPr>
    </w:p>
    <w:p w14:paraId="5C437E9C" w14:textId="77777777" w:rsidR="000352FE" w:rsidRDefault="000352FE" w:rsidP="000352FE">
      <w:pPr>
        <w:spacing w:after="0" w:line="240" w:lineRule="auto"/>
        <w:rPr>
          <w:rFonts w:ascii="Verdana" w:eastAsia="Aptos" w:hAnsi="Verdana" w:cs="Times New Roman"/>
          <w:sz w:val="20"/>
          <w:szCs w:val="20"/>
        </w:rPr>
      </w:pPr>
    </w:p>
    <w:p w14:paraId="245D0CF3" w14:textId="77777777" w:rsidR="000352FE" w:rsidRDefault="000352FE" w:rsidP="000352FE">
      <w:pPr>
        <w:spacing w:after="0" w:line="240" w:lineRule="auto"/>
        <w:rPr>
          <w:rFonts w:ascii="Verdana" w:eastAsia="Aptos" w:hAnsi="Verdana" w:cs="Times New Roman"/>
          <w:sz w:val="20"/>
          <w:szCs w:val="20"/>
        </w:rPr>
      </w:pPr>
    </w:p>
    <w:p w14:paraId="20C69DCC" w14:textId="77777777" w:rsidR="000352FE" w:rsidRDefault="000352FE" w:rsidP="000352FE">
      <w:pPr>
        <w:spacing w:after="0" w:line="240" w:lineRule="auto"/>
        <w:rPr>
          <w:rFonts w:ascii="Verdana" w:eastAsia="Aptos" w:hAnsi="Verdana" w:cs="Times New Roman"/>
          <w:sz w:val="20"/>
          <w:szCs w:val="20"/>
        </w:rPr>
      </w:pPr>
    </w:p>
    <w:p w14:paraId="7EA05493" w14:textId="77777777" w:rsidR="000352FE" w:rsidRDefault="000352FE" w:rsidP="000352FE">
      <w:pPr>
        <w:spacing w:after="0" w:line="240" w:lineRule="auto"/>
        <w:rPr>
          <w:rFonts w:ascii="Verdana" w:eastAsia="Aptos" w:hAnsi="Verdana" w:cs="Times New Roman"/>
          <w:sz w:val="20"/>
          <w:szCs w:val="20"/>
        </w:rPr>
      </w:pPr>
    </w:p>
    <w:p w14:paraId="67D997D1" w14:textId="77777777" w:rsidR="000352FE" w:rsidRDefault="000352FE" w:rsidP="000352FE">
      <w:pPr>
        <w:spacing w:after="0" w:line="240" w:lineRule="auto"/>
        <w:rPr>
          <w:rFonts w:ascii="Verdana" w:eastAsia="Aptos" w:hAnsi="Verdana" w:cs="Times New Roman"/>
          <w:sz w:val="20"/>
          <w:szCs w:val="20"/>
        </w:rPr>
      </w:pPr>
    </w:p>
    <w:p w14:paraId="21A2160D" w14:textId="77777777" w:rsidR="000352FE" w:rsidRDefault="000352FE" w:rsidP="000352FE">
      <w:pPr>
        <w:spacing w:after="0" w:line="240" w:lineRule="auto"/>
        <w:rPr>
          <w:rFonts w:ascii="Verdana" w:eastAsia="Aptos" w:hAnsi="Verdana" w:cs="Times New Roman"/>
          <w:sz w:val="20"/>
          <w:szCs w:val="20"/>
        </w:rPr>
      </w:pPr>
    </w:p>
    <w:p w14:paraId="6234C47E" w14:textId="77777777" w:rsidR="000352FE" w:rsidRDefault="000352FE" w:rsidP="000352FE">
      <w:pPr>
        <w:spacing w:after="0" w:line="240" w:lineRule="auto"/>
        <w:rPr>
          <w:rFonts w:ascii="Verdana" w:eastAsia="Aptos" w:hAnsi="Verdana" w:cs="Times New Roman"/>
          <w:sz w:val="20"/>
          <w:szCs w:val="20"/>
        </w:rPr>
      </w:pPr>
    </w:p>
    <w:p w14:paraId="1D62F276" w14:textId="77777777" w:rsidR="000352FE" w:rsidRDefault="000352FE" w:rsidP="000352FE">
      <w:pPr>
        <w:spacing w:after="0" w:line="240" w:lineRule="auto"/>
        <w:rPr>
          <w:rFonts w:ascii="Verdana" w:eastAsia="Aptos" w:hAnsi="Verdana" w:cs="Times New Roman"/>
          <w:sz w:val="20"/>
          <w:szCs w:val="20"/>
        </w:rPr>
      </w:pPr>
    </w:p>
    <w:p w14:paraId="77FC66CA" w14:textId="77777777" w:rsidR="000352FE" w:rsidRDefault="000352FE" w:rsidP="000352FE">
      <w:pPr>
        <w:spacing w:after="0" w:line="240" w:lineRule="auto"/>
        <w:rPr>
          <w:rFonts w:ascii="Verdana" w:eastAsia="Aptos" w:hAnsi="Verdana" w:cs="Times New Roman"/>
          <w:sz w:val="20"/>
          <w:szCs w:val="20"/>
        </w:rPr>
      </w:pPr>
    </w:p>
    <w:p w14:paraId="29004FFE" w14:textId="77777777" w:rsidR="000352FE" w:rsidRDefault="000352FE" w:rsidP="000352FE">
      <w:pPr>
        <w:spacing w:after="0" w:line="240" w:lineRule="auto"/>
        <w:rPr>
          <w:rFonts w:ascii="Verdana" w:eastAsia="Aptos" w:hAnsi="Verdana" w:cs="Times New Roman"/>
          <w:sz w:val="20"/>
          <w:szCs w:val="20"/>
        </w:rPr>
      </w:pPr>
    </w:p>
    <w:p w14:paraId="0C097973" w14:textId="77777777" w:rsidR="000352FE" w:rsidRDefault="000352FE" w:rsidP="000352FE">
      <w:pPr>
        <w:spacing w:after="0" w:line="240" w:lineRule="auto"/>
        <w:rPr>
          <w:rFonts w:ascii="Verdana" w:eastAsia="Aptos" w:hAnsi="Verdana" w:cs="Times New Roman"/>
          <w:sz w:val="20"/>
          <w:szCs w:val="20"/>
        </w:rPr>
      </w:pPr>
    </w:p>
    <w:p w14:paraId="6284F0C4" w14:textId="77777777" w:rsidR="000352FE" w:rsidRDefault="000352FE" w:rsidP="000352FE">
      <w:pPr>
        <w:spacing w:after="0" w:line="240" w:lineRule="auto"/>
        <w:rPr>
          <w:rFonts w:ascii="Verdana" w:eastAsia="Aptos" w:hAnsi="Verdana" w:cs="Times New Roman"/>
          <w:sz w:val="20"/>
          <w:szCs w:val="20"/>
        </w:rPr>
      </w:pPr>
    </w:p>
    <w:p w14:paraId="21156DB1" w14:textId="77777777" w:rsidR="000352FE" w:rsidRDefault="000352FE" w:rsidP="000352FE">
      <w:pPr>
        <w:spacing w:after="0" w:line="240" w:lineRule="auto"/>
        <w:rPr>
          <w:rFonts w:ascii="Verdana" w:eastAsia="Aptos" w:hAnsi="Verdana" w:cs="Times New Roman"/>
          <w:sz w:val="20"/>
          <w:szCs w:val="20"/>
        </w:rPr>
      </w:pPr>
    </w:p>
    <w:p w14:paraId="4E1DD4A6" w14:textId="77777777" w:rsidR="000352FE" w:rsidRDefault="000352FE" w:rsidP="000352FE">
      <w:pPr>
        <w:spacing w:after="0" w:line="240" w:lineRule="auto"/>
        <w:rPr>
          <w:rFonts w:ascii="Verdana" w:eastAsia="Aptos" w:hAnsi="Verdana" w:cs="Times New Roman"/>
          <w:sz w:val="20"/>
          <w:szCs w:val="20"/>
        </w:rPr>
      </w:pPr>
    </w:p>
    <w:p w14:paraId="6973CABB" w14:textId="77777777" w:rsidR="000352FE" w:rsidRDefault="000352FE" w:rsidP="000352FE">
      <w:pPr>
        <w:spacing w:after="0" w:line="240" w:lineRule="auto"/>
        <w:rPr>
          <w:rFonts w:ascii="Verdana" w:eastAsia="Aptos" w:hAnsi="Verdana" w:cs="Times New Roman"/>
          <w:sz w:val="20"/>
          <w:szCs w:val="20"/>
        </w:rPr>
      </w:pPr>
    </w:p>
    <w:p w14:paraId="1A354D64" w14:textId="77777777" w:rsidR="000352FE" w:rsidRDefault="000352FE" w:rsidP="000352FE">
      <w:pPr>
        <w:spacing w:after="0" w:line="240" w:lineRule="auto"/>
        <w:rPr>
          <w:rFonts w:ascii="Verdana" w:eastAsia="Aptos" w:hAnsi="Verdana" w:cs="Times New Roman"/>
          <w:sz w:val="20"/>
          <w:szCs w:val="20"/>
        </w:rPr>
      </w:pPr>
    </w:p>
    <w:p w14:paraId="09E6A68F" w14:textId="77777777" w:rsidR="000352FE" w:rsidRDefault="000352FE" w:rsidP="000352FE">
      <w:pPr>
        <w:spacing w:after="0" w:line="240" w:lineRule="auto"/>
        <w:rPr>
          <w:rFonts w:ascii="Verdana" w:eastAsia="Aptos" w:hAnsi="Verdana" w:cs="Times New Roman"/>
          <w:sz w:val="20"/>
          <w:szCs w:val="20"/>
        </w:rPr>
      </w:pPr>
    </w:p>
    <w:p w14:paraId="70907C63" w14:textId="77777777" w:rsidR="000352FE" w:rsidRDefault="000352FE" w:rsidP="000352FE">
      <w:pPr>
        <w:spacing w:after="0" w:line="240" w:lineRule="auto"/>
        <w:rPr>
          <w:rFonts w:ascii="Verdana" w:eastAsia="Aptos" w:hAnsi="Verdana" w:cs="Times New Roman"/>
          <w:sz w:val="20"/>
          <w:szCs w:val="20"/>
        </w:rPr>
      </w:pPr>
    </w:p>
    <w:p w14:paraId="7200C3E5" w14:textId="77777777" w:rsidR="000352FE" w:rsidRDefault="000352FE" w:rsidP="000352FE">
      <w:pPr>
        <w:spacing w:after="0" w:line="240" w:lineRule="auto"/>
        <w:rPr>
          <w:rFonts w:ascii="Verdana" w:eastAsia="Aptos" w:hAnsi="Verdana" w:cs="Times New Roman"/>
          <w:sz w:val="20"/>
          <w:szCs w:val="20"/>
        </w:rPr>
      </w:pPr>
    </w:p>
    <w:p w14:paraId="2268119E" w14:textId="77777777" w:rsidR="000352FE" w:rsidRDefault="000352FE" w:rsidP="000352FE">
      <w:pPr>
        <w:spacing w:after="0" w:line="240" w:lineRule="auto"/>
        <w:rPr>
          <w:rFonts w:ascii="Verdana" w:eastAsia="Aptos" w:hAnsi="Verdana" w:cs="Times New Roman"/>
          <w:sz w:val="20"/>
          <w:szCs w:val="20"/>
        </w:rPr>
      </w:pPr>
    </w:p>
    <w:p w14:paraId="0D78A3C2" w14:textId="77777777" w:rsidR="000352FE" w:rsidRDefault="000352FE" w:rsidP="000352FE">
      <w:pPr>
        <w:spacing w:after="0" w:line="240" w:lineRule="auto"/>
        <w:rPr>
          <w:rFonts w:ascii="Verdana" w:eastAsia="Aptos" w:hAnsi="Verdana" w:cs="Times New Roman"/>
          <w:sz w:val="20"/>
          <w:szCs w:val="20"/>
        </w:rPr>
      </w:pPr>
    </w:p>
    <w:p w14:paraId="682EF648" w14:textId="77777777" w:rsidR="000352FE" w:rsidRDefault="000352FE" w:rsidP="000352FE">
      <w:pPr>
        <w:spacing w:after="0" w:line="240" w:lineRule="auto"/>
        <w:rPr>
          <w:rFonts w:ascii="Verdana" w:eastAsia="Aptos" w:hAnsi="Verdana" w:cs="Times New Roman"/>
          <w:sz w:val="20"/>
          <w:szCs w:val="20"/>
        </w:rPr>
      </w:pPr>
    </w:p>
    <w:p w14:paraId="6CAB19D2" w14:textId="77777777" w:rsidR="000352FE" w:rsidRDefault="000352FE" w:rsidP="000352FE">
      <w:pPr>
        <w:spacing w:after="0" w:line="240" w:lineRule="auto"/>
        <w:rPr>
          <w:rFonts w:ascii="Verdana" w:eastAsia="Aptos" w:hAnsi="Verdana" w:cs="Times New Roman"/>
          <w:sz w:val="20"/>
          <w:szCs w:val="20"/>
        </w:rPr>
      </w:pPr>
    </w:p>
    <w:p w14:paraId="7B0A7C2E" w14:textId="77777777" w:rsidR="000352FE" w:rsidRDefault="000352FE" w:rsidP="000352FE">
      <w:pPr>
        <w:spacing w:after="0" w:line="240" w:lineRule="auto"/>
        <w:rPr>
          <w:rFonts w:ascii="Verdana" w:eastAsia="Aptos" w:hAnsi="Verdana" w:cs="Times New Roman"/>
          <w:sz w:val="20"/>
          <w:szCs w:val="20"/>
        </w:rPr>
      </w:pPr>
    </w:p>
    <w:p w14:paraId="5C4AEA51" w14:textId="77777777" w:rsidR="000352FE" w:rsidRDefault="000352FE" w:rsidP="000352FE">
      <w:pPr>
        <w:spacing w:after="0" w:line="240" w:lineRule="auto"/>
        <w:rPr>
          <w:rFonts w:ascii="Verdana" w:eastAsia="Aptos" w:hAnsi="Verdana" w:cs="Times New Roman"/>
          <w:sz w:val="20"/>
          <w:szCs w:val="20"/>
        </w:rPr>
      </w:pPr>
    </w:p>
    <w:p w14:paraId="410C1E23" w14:textId="77777777" w:rsidR="000352FE" w:rsidRDefault="000352FE" w:rsidP="000352FE">
      <w:pPr>
        <w:spacing w:after="0" w:line="240" w:lineRule="auto"/>
        <w:rPr>
          <w:rFonts w:ascii="Verdana" w:eastAsia="Aptos" w:hAnsi="Verdana" w:cs="Times New Roman"/>
          <w:sz w:val="20"/>
          <w:szCs w:val="20"/>
        </w:rPr>
      </w:pPr>
    </w:p>
    <w:p w14:paraId="08ECF019" w14:textId="77777777" w:rsidR="000352FE" w:rsidRDefault="000352FE" w:rsidP="000352FE">
      <w:pPr>
        <w:spacing w:after="0" w:line="240" w:lineRule="auto"/>
        <w:rPr>
          <w:rFonts w:ascii="Verdana" w:eastAsia="Aptos" w:hAnsi="Verdana" w:cs="Times New Roman"/>
          <w:sz w:val="20"/>
          <w:szCs w:val="20"/>
        </w:rPr>
      </w:pPr>
    </w:p>
    <w:p w14:paraId="04C39839" w14:textId="77777777" w:rsidR="000352FE" w:rsidRDefault="000352FE" w:rsidP="000352FE">
      <w:pPr>
        <w:spacing w:after="0" w:line="240" w:lineRule="auto"/>
        <w:rPr>
          <w:rFonts w:ascii="Verdana" w:eastAsia="Aptos" w:hAnsi="Verdana" w:cs="Times New Roman"/>
          <w:sz w:val="20"/>
          <w:szCs w:val="20"/>
        </w:rPr>
      </w:pPr>
    </w:p>
    <w:p w14:paraId="5EB36B77" w14:textId="77777777" w:rsidR="000352FE" w:rsidRDefault="000352FE" w:rsidP="000352FE">
      <w:pPr>
        <w:spacing w:after="0" w:line="240" w:lineRule="auto"/>
        <w:rPr>
          <w:rFonts w:ascii="Verdana" w:eastAsia="Aptos" w:hAnsi="Verdana" w:cs="Times New Roman"/>
          <w:sz w:val="20"/>
          <w:szCs w:val="20"/>
        </w:rPr>
      </w:pPr>
    </w:p>
    <w:p w14:paraId="242EAD3E" w14:textId="77777777" w:rsidR="000352FE" w:rsidRPr="00FC49A2" w:rsidRDefault="000352FE" w:rsidP="000352FE">
      <w:pPr>
        <w:spacing w:after="0" w:line="240" w:lineRule="auto"/>
        <w:rPr>
          <w:rFonts w:ascii="Verdana" w:eastAsia="Aptos" w:hAnsi="Verdana" w:cs="Times New Roman"/>
          <w:sz w:val="20"/>
          <w:szCs w:val="20"/>
        </w:rPr>
      </w:pPr>
    </w:p>
    <w:p w14:paraId="2DB8E46A" w14:textId="77777777" w:rsidR="000352FE" w:rsidRPr="00FC49A2" w:rsidRDefault="000352FE" w:rsidP="000352FE">
      <w:pPr>
        <w:spacing w:after="0" w:line="240" w:lineRule="auto"/>
        <w:rPr>
          <w:rFonts w:ascii="Verdana" w:eastAsia="Aptos" w:hAnsi="Verdana" w:cs="Times New Roman"/>
          <w:sz w:val="20"/>
          <w:szCs w:val="20"/>
        </w:rPr>
      </w:pPr>
    </w:p>
    <w:p w14:paraId="291F7586" w14:textId="77777777" w:rsidR="000352FE" w:rsidRPr="00FC49A2" w:rsidRDefault="000352FE" w:rsidP="000352FE">
      <w:pPr>
        <w:spacing w:after="0" w:line="240" w:lineRule="auto"/>
        <w:rPr>
          <w:rFonts w:ascii="Verdana" w:eastAsia="Geomanist Light" w:hAnsi="Verdana" w:cs="Arial"/>
          <w:lang w:val="es-MX"/>
        </w:rPr>
      </w:pPr>
      <w:r w:rsidRPr="00FC49A2">
        <w:rPr>
          <w:rFonts w:ascii="Verdana" w:eastAsia="Geomanist Light" w:hAnsi="Verdana" w:cs="Arial"/>
          <w:lang w:val="es-MX"/>
        </w:rPr>
        <w:lastRenderedPageBreak/>
        <w:t>Bogotá D.C., [Día] de [</w:t>
      </w:r>
      <w:proofErr w:type="spellStart"/>
      <w:r w:rsidRPr="00FC49A2">
        <w:rPr>
          <w:rFonts w:ascii="Verdana" w:eastAsia="Geomanist Light" w:hAnsi="Verdana" w:cs="Arial"/>
          <w:lang w:val="es-MX"/>
        </w:rPr>
        <w:t>Mes.NombreCapitalizado</w:t>
      </w:r>
      <w:proofErr w:type="spellEnd"/>
      <w:r w:rsidRPr="00FC49A2">
        <w:rPr>
          <w:rFonts w:ascii="Verdana" w:eastAsia="Geomanist Light" w:hAnsi="Verdana" w:cs="Arial"/>
          <w:lang w:val="es-MX"/>
        </w:rPr>
        <w:t>] de [Año]</w:t>
      </w:r>
    </w:p>
    <w:p w14:paraId="36EC664E" w14:textId="1170DCA4" w:rsidR="000352FE" w:rsidRDefault="000352FE" w:rsidP="000352FE">
      <w:pPr>
        <w:spacing w:after="0" w:line="240" w:lineRule="auto"/>
        <w:jc w:val="both"/>
        <w:rPr>
          <w:rFonts w:ascii="Verdana" w:eastAsia="Calibri" w:hAnsi="Verdana" w:cs="Arial"/>
          <w:lang w:val="es-ES"/>
        </w:rPr>
      </w:pPr>
    </w:p>
    <w:p w14:paraId="261D82E6" w14:textId="7C8A032F" w:rsidR="000352FE" w:rsidRDefault="008C38A4" w:rsidP="000352FE">
      <w:pPr>
        <w:spacing w:after="0" w:line="240" w:lineRule="auto"/>
        <w:jc w:val="right"/>
        <w:rPr>
          <w:rFonts w:ascii="Verdana" w:eastAsia="Calibri" w:hAnsi="Verdana" w:cs="Arial"/>
          <w:lang w:val="es-ES"/>
        </w:rPr>
      </w:pPr>
      <w:r w:rsidRPr="008C38A4">
        <w:rPr>
          <w:rFonts w:ascii="Verdana" w:eastAsia="Calibri" w:hAnsi="Verdana" w:cs="Arial"/>
          <w:noProof/>
          <w:lang w:val="es-ES"/>
        </w:rPr>
        <w:drawing>
          <wp:anchor distT="0" distB="0" distL="114300" distR="114300" simplePos="0" relativeHeight="251658240" behindDoc="1" locked="0" layoutInCell="1" allowOverlap="1" wp14:anchorId="1B8E5914" wp14:editId="2722059A">
            <wp:simplePos x="0" y="0"/>
            <wp:positionH relativeFrom="margin">
              <wp:posOffset>2426390</wp:posOffset>
            </wp:positionH>
            <wp:positionV relativeFrom="paragraph">
              <wp:posOffset>9221</wp:posOffset>
            </wp:positionV>
            <wp:extent cx="3176795" cy="89894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97216" cy="904728"/>
                    </a:xfrm>
                    <a:prstGeom prst="rect">
                      <a:avLst/>
                    </a:prstGeom>
                  </pic:spPr>
                </pic:pic>
              </a:graphicData>
            </a:graphic>
            <wp14:sizeRelH relativeFrom="margin">
              <wp14:pctWidth>0</wp14:pctWidth>
            </wp14:sizeRelH>
            <wp14:sizeRelV relativeFrom="margin">
              <wp14:pctHeight>0</wp14:pctHeight>
            </wp14:sizeRelV>
          </wp:anchor>
        </w:drawing>
      </w:r>
    </w:p>
    <w:p w14:paraId="55336CBF" w14:textId="5094EE62" w:rsidR="000352FE" w:rsidRPr="00FC49A2" w:rsidRDefault="000352FE" w:rsidP="000352FE">
      <w:pPr>
        <w:spacing w:after="0" w:line="240" w:lineRule="auto"/>
        <w:jc w:val="both"/>
        <w:rPr>
          <w:rFonts w:ascii="Verdana" w:eastAsia="Calibri" w:hAnsi="Verdana" w:cs="Arial"/>
          <w:lang w:val="es-ES"/>
        </w:rPr>
      </w:pPr>
    </w:p>
    <w:p w14:paraId="30DFC842" w14:textId="77777777" w:rsidR="000352FE" w:rsidRPr="00FC49A2" w:rsidRDefault="000352FE" w:rsidP="000352FE">
      <w:pPr>
        <w:spacing w:after="0" w:line="240" w:lineRule="auto"/>
        <w:jc w:val="both"/>
        <w:rPr>
          <w:rFonts w:ascii="Verdana" w:eastAsia="Calibri" w:hAnsi="Verdana" w:cs="Arial"/>
          <w:lang w:val="es-ES" w:eastAsia="es-ES"/>
        </w:rPr>
      </w:pPr>
      <w:r w:rsidRPr="00FC49A2">
        <w:rPr>
          <w:rFonts w:ascii="Verdana" w:eastAsia="Calibri" w:hAnsi="Verdana" w:cs="Arial"/>
          <w:lang w:val="es-ES" w:eastAsia="es-ES"/>
        </w:rPr>
        <w:t>Señor</w:t>
      </w:r>
    </w:p>
    <w:p w14:paraId="141262E5" w14:textId="77777777" w:rsidR="000352FE" w:rsidRDefault="000352FE" w:rsidP="000352FE">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Andrés Felipe Flórez Durán</w:t>
      </w:r>
    </w:p>
    <w:p w14:paraId="2068B9A5" w14:textId="77777777" w:rsidR="000352FE" w:rsidRPr="00E86A3B" w:rsidRDefault="004D5090" w:rsidP="000352FE">
      <w:pPr>
        <w:spacing w:after="0" w:line="240" w:lineRule="auto"/>
        <w:rPr>
          <w:rFonts w:ascii="Verdana" w:eastAsia="Calibri" w:hAnsi="Verdana" w:cs="Arial"/>
          <w:bCs/>
          <w:lang w:val="es-ES_tradnl" w:eastAsia="es-ES_tradnl"/>
        </w:rPr>
      </w:pPr>
      <w:hyperlink r:id="rId11" w:history="1">
        <w:r w:rsidR="000352FE" w:rsidRPr="00E86A3B">
          <w:rPr>
            <w:rStyle w:val="Hipervnculo"/>
            <w:rFonts w:ascii="Verdana" w:hAnsi="Verdana"/>
          </w:rPr>
          <w:t>affdyj@gmail.com</w:t>
        </w:r>
      </w:hyperlink>
      <w:r w:rsidR="000352FE" w:rsidRPr="00E86A3B">
        <w:rPr>
          <w:rFonts w:ascii="Verdana" w:hAnsi="Verdana"/>
        </w:rPr>
        <w:t xml:space="preserve"> </w:t>
      </w:r>
      <w:r w:rsidR="000352FE" w:rsidRPr="00E86A3B">
        <w:rPr>
          <w:rFonts w:ascii="Verdana" w:eastAsia="Calibri" w:hAnsi="Verdana" w:cs="Arial"/>
          <w:bCs/>
          <w:lang w:eastAsia="es-ES_tradnl"/>
        </w:rPr>
        <w:t xml:space="preserve"> </w:t>
      </w:r>
    </w:p>
    <w:p w14:paraId="6CA6A93C" w14:textId="77777777" w:rsidR="000352FE" w:rsidRPr="00FC49A2" w:rsidRDefault="000352FE" w:rsidP="000352FE">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p>
    <w:p w14:paraId="50B748C6" w14:textId="77777777" w:rsidR="000352FE" w:rsidRPr="00FC49A2" w:rsidRDefault="000352FE" w:rsidP="000352FE">
      <w:pPr>
        <w:spacing w:after="0" w:line="240" w:lineRule="auto"/>
        <w:rPr>
          <w:rFonts w:ascii="Verdana" w:eastAsia="Calibri" w:hAnsi="Verdana" w:cs="Arial"/>
          <w:b/>
          <w:bCs/>
          <w:lang w:val="es-ES_tradnl" w:eastAsia="es-ES_tradnl"/>
        </w:rPr>
      </w:pPr>
    </w:p>
    <w:p w14:paraId="226FB603" w14:textId="77777777" w:rsidR="000352FE" w:rsidRPr="00FC49A2" w:rsidRDefault="000352FE" w:rsidP="000352F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352FE" w:rsidRPr="00FC49A2" w14:paraId="2246FEC1" w14:textId="77777777" w:rsidTr="00FF0740">
        <w:trPr>
          <w:trHeight w:val="884"/>
        </w:trPr>
        <w:tc>
          <w:tcPr>
            <w:tcW w:w="2689" w:type="dxa"/>
          </w:tcPr>
          <w:p w14:paraId="32A66203" w14:textId="77777777" w:rsidR="000352FE" w:rsidRPr="0039462C" w:rsidRDefault="000352FE" w:rsidP="00FF0740">
            <w:pPr>
              <w:jc w:val="both"/>
              <w:rPr>
                <w:rFonts w:ascii="Verdana" w:eastAsia="Calibri" w:hAnsi="Verdana" w:cs="Arial"/>
                <w:b/>
                <w:bCs/>
                <w:lang w:val="es-ES_tradnl" w:eastAsia="es-ES_tradnl"/>
              </w:rPr>
            </w:pPr>
          </w:p>
        </w:tc>
        <w:tc>
          <w:tcPr>
            <w:tcW w:w="6100" w:type="dxa"/>
          </w:tcPr>
          <w:p w14:paraId="340AED86" w14:textId="77777777" w:rsidR="000352FE" w:rsidRPr="00FC49A2" w:rsidRDefault="000352FE" w:rsidP="00FF0740">
            <w:pPr>
              <w:jc w:val="both"/>
              <w:rPr>
                <w:rFonts w:ascii="Verdana" w:eastAsia="Calibri" w:hAnsi="Verdana" w:cs="Arial"/>
                <w:b/>
                <w:bCs/>
                <w:lang w:val="es-ES" w:eastAsia="es-ES"/>
              </w:rPr>
            </w:pPr>
            <w:r w:rsidRPr="00FC49A2">
              <w:rPr>
                <w:rFonts w:ascii="Verdana" w:eastAsia="Calibri" w:hAnsi="Verdana" w:cs="Arial"/>
                <w:b/>
                <w:bCs/>
                <w:lang w:val="es-ES" w:eastAsia="es-ES"/>
              </w:rPr>
              <w:t>Concepto C-</w:t>
            </w:r>
            <w:r>
              <w:rPr>
                <w:rFonts w:ascii="Verdana" w:eastAsia="Calibri" w:hAnsi="Verdana" w:cs="Arial"/>
                <w:b/>
                <w:bCs/>
                <w:lang w:val="es-ES" w:eastAsia="es-ES"/>
              </w:rPr>
              <w:t>297</w:t>
            </w:r>
            <w:r w:rsidRPr="00FC49A2">
              <w:rPr>
                <w:rFonts w:ascii="Verdana" w:eastAsia="Calibri" w:hAnsi="Verdana" w:cs="Arial"/>
                <w:b/>
                <w:bCs/>
                <w:lang w:val="es-ES" w:eastAsia="es-ES"/>
              </w:rPr>
              <w:t xml:space="preserve"> de 2024</w:t>
            </w:r>
          </w:p>
        </w:tc>
      </w:tr>
      <w:tr w:rsidR="000352FE" w:rsidRPr="00FC49A2" w14:paraId="53F5872E" w14:textId="77777777" w:rsidTr="00FF0740">
        <w:trPr>
          <w:trHeight w:val="884"/>
        </w:trPr>
        <w:tc>
          <w:tcPr>
            <w:tcW w:w="2689" w:type="dxa"/>
          </w:tcPr>
          <w:p w14:paraId="18A7FA1F" w14:textId="77777777" w:rsidR="000352FE" w:rsidRPr="0039462C" w:rsidRDefault="000352FE" w:rsidP="00FF0740">
            <w:pPr>
              <w:jc w:val="both"/>
              <w:rPr>
                <w:rFonts w:ascii="Verdana" w:eastAsia="Calibri" w:hAnsi="Verdana" w:cs="Arial"/>
                <w:lang w:val="es-ES_tradnl" w:eastAsia="es-ES_tradnl"/>
              </w:rPr>
            </w:pPr>
            <w:r w:rsidRPr="0039462C">
              <w:rPr>
                <w:rFonts w:ascii="Verdana" w:eastAsia="Calibri" w:hAnsi="Verdana" w:cs="Arial"/>
                <w:b/>
                <w:lang w:val="es-ES_tradnl" w:eastAsia="es-ES_tradnl"/>
              </w:rPr>
              <w:t>Temas:</w:t>
            </w:r>
            <w:r w:rsidRPr="0039462C">
              <w:rPr>
                <w:rFonts w:ascii="Verdana" w:eastAsia="Calibri" w:hAnsi="Verdana" w:cs="Arial"/>
                <w:lang w:val="es-ES_tradnl" w:eastAsia="es-ES_tradnl"/>
              </w:rPr>
              <w:t xml:space="preserve">                   </w:t>
            </w:r>
          </w:p>
        </w:tc>
        <w:tc>
          <w:tcPr>
            <w:tcW w:w="6100" w:type="dxa"/>
          </w:tcPr>
          <w:p w14:paraId="7F334017" w14:textId="77777777" w:rsidR="000352FE" w:rsidRDefault="000352FE" w:rsidP="00FF0740">
            <w:pPr>
              <w:spacing w:line="276" w:lineRule="auto"/>
              <w:jc w:val="both"/>
              <w:rPr>
                <w:rFonts w:ascii="Verdana" w:eastAsia="Calibri" w:hAnsi="Verdana" w:cs="Arial"/>
                <w:lang w:val="es-ES" w:eastAsia="es-ES"/>
              </w:rPr>
            </w:pPr>
            <w:r w:rsidRPr="0039462C">
              <w:rPr>
                <w:rFonts w:ascii="Verdana" w:eastAsia="Calibri" w:hAnsi="Verdana" w:cs="Arial"/>
                <w:lang w:val="es-ES" w:eastAsia="es-ES"/>
              </w:rPr>
              <w:t>PLANEACIÓN CONTRACTUAL – Noción – Obligación de las entidades – Ley 80 de 1993</w:t>
            </w:r>
            <w:r>
              <w:rPr>
                <w:rFonts w:ascii="Verdana" w:eastAsia="Calibri" w:hAnsi="Verdana" w:cs="Arial"/>
                <w:lang w:val="es-ES" w:eastAsia="es-ES"/>
              </w:rPr>
              <w:t xml:space="preserve"> / </w:t>
            </w:r>
            <w:r w:rsidRPr="0039462C">
              <w:rPr>
                <w:rFonts w:ascii="Verdana" w:eastAsia="Calibri" w:hAnsi="Verdana" w:cs="Arial"/>
                <w:lang w:val="es-ES" w:eastAsia="es-ES"/>
              </w:rPr>
              <w:t xml:space="preserve">ESTUDIOS PREVIOS </w:t>
            </w:r>
            <w:r>
              <w:rPr>
                <w:rFonts w:ascii="Verdana" w:eastAsia="Calibri" w:hAnsi="Verdana" w:cs="Arial"/>
                <w:lang w:val="es-ES" w:eastAsia="es-ES"/>
              </w:rPr>
              <w:t>–</w:t>
            </w:r>
            <w:r w:rsidRPr="0039462C">
              <w:rPr>
                <w:rFonts w:ascii="Verdana" w:eastAsia="Calibri" w:hAnsi="Verdana" w:cs="Arial"/>
                <w:lang w:val="es-ES" w:eastAsia="es-ES"/>
              </w:rPr>
              <w:t xml:space="preserve"> Finalidad</w:t>
            </w:r>
            <w:r>
              <w:rPr>
                <w:rFonts w:ascii="Verdana" w:eastAsia="Calibri" w:hAnsi="Verdana" w:cs="Arial"/>
                <w:lang w:val="es-ES" w:eastAsia="es-ES"/>
              </w:rPr>
              <w:t xml:space="preserve"> / </w:t>
            </w:r>
            <w:r w:rsidRPr="0039462C">
              <w:rPr>
                <w:rFonts w:ascii="Verdana" w:eastAsia="Calibri" w:hAnsi="Verdana" w:cs="Arial"/>
                <w:lang w:val="es-ES" w:eastAsia="es-ES"/>
              </w:rPr>
              <w:t>ESTUDIOS DE MERCADO – Finalidad – Recomendaciones – Colombia compra eficiente – Guía de elaboración de estudios del sector</w:t>
            </w:r>
          </w:p>
          <w:p w14:paraId="6C2EA179" w14:textId="77777777" w:rsidR="000352FE" w:rsidRPr="00C15FFD" w:rsidRDefault="000352FE" w:rsidP="00FF0740">
            <w:pPr>
              <w:spacing w:line="276" w:lineRule="auto"/>
              <w:jc w:val="both"/>
              <w:rPr>
                <w:rFonts w:ascii="Verdana" w:eastAsia="Calibri" w:hAnsi="Verdana" w:cs="Arial"/>
                <w:highlight w:val="yellow"/>
                <w:lang w:val="es-ES" w:eastAsia="es-ES"/>
              </w:rPr>
            </w:pPr>
          </w:p>
        </w:tc>
      </w:tr>
      <w:tr w:rsidR="000352FE" w:rsidRPr="00FC49A2" w14:paraId="47FE8868" w14:textId="77777777" w:rsidTr="00FF0740">
        <w:tc>
          <w:tcPr>
            <w:tcW w:w="2689" w:type="dxa"/>
          </w:tcPr>
          <w:p w14:paraId="0D4FE307" w14:textId="77777777" w:rsidR="000352FE" w:rsidRPr="00FC49A2" w:rsidRDefault="000352FE" w:rsidP="00FF0740">
            <w:pPr>
              <w:jc w:val="both"/>
              <w:rPr>
                <w:rFonts w:ascii="Verdana" w:eastAsia="Calibri" w:hAnsi="Verdana" w:cs="Arial"/>
                <w:b/>
                <w:lang w:val="es-ES_tradnl" w:eastAsia="es-ES_tradnl"/>
              </w:rPr>
            </w:pPr>
            <w:r w:rsidRPr="00FC49A2">
              <w:rPr>
                <w:rFonts w:ascii="Verdana" w:eastAsia="Calibri" w:hAnsi="Verdana" w:cs="Arial"/>
                <w:b/>
                <w:lang w:val="es-ES_tradnl" w:eastAsia="es-ES_tradnl"/>
              </w:rPr>
              <w:t>Radicación:</w:t>
            </w:r>
            <w:r w:rsidRPr="00FC49A2">
              <w:rPr>
                <w:rFonts w:ascii="Verdana" w:eastAsia="Calibri" w:hAnsi="Verdana" w:cs="Arial"/>
                <w:lang w:val="es-ES_tradnl" w:eastAsia="es-ES_tradnl"/>
              </w:rPr>
              <w:t xml:space="preserve">               </w:t>
            </w:r>
          </w:p>
        </w:tc>
        <w:tc>
          <w:tcPr>
            <w:tcW w:w="6100" w:type="dxa"/>
          </w:tcPr>
          <w:p w14:paraId="4CC54BEC" w14:textId="77777777" w:rsidR="000352FE" w:rsidRPr="00FC49A2" w:rsidRDefault="000352FE" w:rsidP="00FF0740">
            <w:pPr>
              <w:jc w:val="both"/>
              <w:rPr>
                <w:rFonts w:ascii="Verdana" w:eastAsia="Calibri" w:hAnsi="Verdana" w:cs="Arial"/>
                <w:lang w:val="es-ES_tradnl" w:eastAsia="es-ES_tradnl"/>
              </w:rPr>
            </w:pPr>
            <w:r w:rsidRPr="00FC49A2">
              <w:rPr>
                <w:rFonts w:ascii="Verdana" w:eastAsia="Calibri" w:hAnsi="Verdana" w:cs="Arial"/>
                <w:lang w:val="es-ES_tradnl" w:eastAsia="es-ES_tradnl"/>
              </w:rPr>
              <w:t xml:space="preserve">Respuesta a consulta con radicado No. </w:t>
            </w:r>
            <w:r w:rsidRPr="00C15FFD">
              <w:rPr>
                <w:rFonts w:ascii="Verdana" w:eastAsia="Calibri" w:hAnsi="Verdana" w:cs="Arial"/>
                <w:lang w:val="es-ES_tradnl" w:eastAsia="es-ES_tradnl"/>
              </w:rPr>
              <w:t>P20240820008478</w:t>
            </w:r>
            <w:r w:rsidRPr="00FC49A2">
              <w:rPr>
                <w:rFonts w:ascii="Verdana" w:eastAsia="Calibri" w:hAnsi="Verdana" w:cs="Arial"/>
                <w:lang w:val="es-ES_tradnl" w:eastAsia="es-ES_tradnl"/>
              </w:rPr>
              <w:tab/>
            </w:r>
          </w:p>
        </w:tc>
      </w:tr>
    </w:tbl>
    <w:p w14:paraId="0AC3D84C" w14:textId="77777777" w:rsidR="000352FE" w:rsidRPr="00FC49A2" w:rsidRDefault="000352FE" w:rsidP="000352FE">
      <w:pPr>
        <w:spacing w:after="0" w:line="240" w:lineRule="auto"/>
        <w:jc w:val="both"/>
        <w:rPr>
          <w:rFonts w:ascii="Verdana" w:eastAsia="Calibri" w:hAnsi="Verdana" w:cs="Arial"/>
          <w:lang w:val="es-ES_tradnl" w:eastAsia="es-ES_tradnl"/>
        </w:rPr>
      </w:pPr>
    </w:p>
    <w:p w14:paraId="164D9F46" w14:textId="77777777" w:rsidR="000352FE" w:rsidRPr="00FC49A2" w:rsidRDefault="000352FE" w:rsidP="000352FE">
      <w:pPr>
        <w:spacing w:after="0" w:line="240" w:lineRule="auto"/>
        <w:jc w:val="both"/>
        <w:rPr>
          <w:rFonts w:ascii="Verdana" w:eastAsia="Calibri" w:hAnsi="Verdana" w:cs="Arial"/>
          <w:lang w:val="es-ES_tradnl" w:eastAsia="es-ES_tradnl"/>
        </w:rPr>
      </w:pPr>
    </w:p>
    <w:p w14:paraId="3AE3F4BB" w14:textId="77777777" w:rsidR="000352FE" w:rsidRPr="00FC49A2" w:rsidRDefault="000352FE" w:rsidP="000352FE">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Estimad</w:t>
      </w:r>
      <w:r>
        <w:rPr>
          <w:rFonts w:ascii="Verdana" w:eastAsia="Calibri" w:hAnsi="Verdana" w:cs="Arial"/>
          <w:lang w:val="es-ES" w:eastAsia="es-ES"/>
        </w:rPr>
        <w:t>o</w:t>
      </w:r>
      <w:r w:rsidRPr="00FC49A2">
        <w:rPr>
          <w:rFonts w:ascii="Verdana" w:eastAsia="Calibri" w:hAnsi="Verdana" w:cs="Arial"/>
          <w:lang w:val="es-ES" w:eastAsia="es-ES"/>
        </w:rPr>
        <w:t xml:space="preserve"> señor </w:t>
      </w:r>
      <w:r>
        <w:rPr>
          <w:rFonts w:ascii="Verdana" w:eastAsia="Calibri" w:hAnsi="Verdana" w:cs="Arial"/>
          <w:lang w:val="es-ES" w:eastAsia="es-ES"/>
        </w:rPr>
        <w:t>Pérez</w:t>
      </w:r>
      <w:r w:rsidRPr="00FC49A2">
        <w:rPr>
          <w:rFonts w:ascii="Verdana" w:eastAsia="Calibri" w:hAnsi="Verdana" w:cs="Arial"/>
          <w:lang w:val="es-ES" w:eastAsia="es-ES"/>
        </w:rPr>
        <w:t xml:space="preserve">: </w:t>
      </w:r>
    </w:p>
    <w:p w14:paraId="56307B88" w14:textId="77777777" w:rsidR="000352FE" w:rsidRPr="00FC49A2" w:rsidRDefault="000352FE" w:rsidP="000352FE">
      <w:pPr>
        <w:tabs>
          <w:tab w:val="left" w:pos="3768"/>
        </w:tabs>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ab/>
      </w:r>
    </w:p>
    <w:p w14:paraId="1CFFE2D4" w14:textId="77777777" w:rsidR="000352FE" w:rsidRPr="00FC49A2" w:rsidRDefault="000352FE" w:rsidP="000352FE">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En ejercicio de la competencia otorgada por los artículos 3, numeral 5º, y 11, numeral 8º, del Decreto Ley 4170 de 2011,</w:t>
      </w:r>
      <w:r w:rsidRPr="00FC49A2">
        <w:rPr>
          <w:rFonts w:ascii="Verdana" w:eastAsia="Arial MT" w:hAnsi="Verdana" w:cs="Arial MT"/>
          <w:lang w:val="es-ES" w:eastAsia="es-ES"/>
        </w:rPr>
        <w:t xml:space="preserve"> </w:t>
      </w:r>
      <w:r w:rsidRPr="00FC49A2">
        <w:rPr>
          <w:rFonts w:ascii="Verdana" w:eastAsia="Aptos" w:hAnsi="Verdana" w:cs="Arial"/>
        </w:rPr>
        <w:t xml:space="preserve">así como lo establecido en el artículo 4 de la Resolución 1707 de 2018 expedida por esta Entidad, </w:t>
      </w:r>
      <w:r w:rsidRPr="00FC49A2">
        <w:rPr>
          <w:rFonts w:ascii="Verdana" w:eastAsia="Calibri" w:hAnsi="Verdana" w:cs="Arial"/>
          <w:lang w:val="es-ES" w:eastAsia="es-ES"/>
        </w:rPr>
        <w:t xml:space="preserve">la Agencia Nacional de Contratación Pública – Colombia Compra Eficiente– responde su solicitud de </w:t>
      </w:r>
      <w:r>
        <w:rPr>
          <w:rFonts w:ascii="Verdana" w:eastAsia="Calibri" w:hAnsi="Verdana" w:cs="Arial"/>
          <w:lang w:val="es-ES" w:eastAsia="es-ES"/>
        </w:rPr>
        <w:t>petición</w:t>
      </w:r>
      <w:r w:rsidRPr="00FC49A2">
        <w:rPr>
          <w:rFonts w:ascii="Verdana" w:eastAsia="Calibri" w:hAnsi="Verdana" w:cs="Arial"/>
          <w:lang w:val="es-ES" w:eastAsia="es-ES"/>
        </w:rPr>
        <w:t xml:space="preserve"> de fecha del </w:t>
      </w:r>
      <w:r>
        <w:rPr>
          <w:rFonts w:ascii="Verdana" w:eastAsia="Calibri" w:hAnsi="Verdana" w:cs="Arial"/>
          <w:lang w:val="es-ES" w:eastAsia="es-ES"/>
        </w:rPr>
        <w:t>20 de agosto de</w:t>
      </w:r>
      <w:r w:rsidRPr="00FC49A2">
        <w:rPr>
          <w:rFonts w:ascii="Verdana" w:eastAsia="Calibri" w:hAnsi="Verdana" w:cs="Arial"/>
          <w:lang w:val="es-ES" w:eastAsia="es-ES"/>
        </w:rPr>
        <w:t xml:space="preserve"> 2024,</w:t>
      </w:r>
      <w:r>
        <w:rPr>
          <w:rFonts w:ascii="Verdana" w:eastAsia="Calibri" w:hAnsi="Verdana" w:cs="Arial"/>
          <w:lang w:val="es-ES" w:eastAsia="es-ES"/>
        </w:rPr>
        <w:t xml:space="preserve"> en la que realiza la siguiente consulta</w:t>
      </w:r>
      <w:r w:rsidRPr="00FC49A2">
        <w:rPr>
          <w:rFonts w:ascii="Verdana" w:eastAsia="Calibri" w:hAnsi="Verdana" w:cs="Arial"/>
          <w:lang w:val="es-ES" w:eastAsia="es-ES"/>
        </w:rPr>
        <w:t xml:space="preserve">: </w:t>
      </w:r>
    </w:p>
    <w:p w14:paraId="1FADB15D" w14:textId="77777777" w:rsidR="000352FE" w:rsidRPr="00FC49A2" w:rsidRDefault="000352FE" w:rsidP="000352FE">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57A0829" w14:textId="77777777" w:rsidR="000352FE" w:rsidRDefault="000352FE" w:rsidP="000352FE">
      <w:pPr>
        <w:tabs>
          <w:tab w:val="left" w:pos="709"/>
        </w:tabs>
        <w:spacing w:before="120" w:after="0" w:line="240" w:lineRule="auto"/>
        <w:ind w:left="709" w:right="709"/>
        <w:jc w:val="both"/>
        <w:rPr>
          <w:rFonts w:ascii="Verdana" w:eastAsia="Calibri" w:hAnsi="Verdana" w:cs="Arial"/>
          <w:sz w:val="20"/>
          <w:szCs w:val="20"/>
          <w:lang w:val="es-MX"/>
        </w:rPr>
      </w:pPr>
      <w:r>
        <w:rPr>
          <w:rFonts w:ascii="Verdana" w:eastAsia="Calibri" w:hAnsi="Verdana" w:cs="Arial"/>
          <w:sz w:val="20"/>
          <w:szCs w:val="20"/>
          <w:lang w:val="es-MX"/>
        </w:rPr>
        <w:t>“Es posible que se acuda a las siguientes fuentes para construir el estudio de mercado de un proceso de selección, independientemente de su modalidad:</w:t>
      </w:r>
    </w:p>
    <w:p w14:paraId="159802C2" w14:textId="77777777" w:rsidR="000352FE" w:rsidRDefault="000352FE" w:rsidP="000352FE">
      <w:pPr>
        <w:pStyle w:val="Prrafodelista"/>
        <w:numPr>
          <w:ilvl w:val="0"/>
          <w:numId w:val="19"/>
        </w:numPr>
        <w:tabs>
          <w:tab w:val="left" w:pos="709"/>
        </w:tabs>
        <w:spacing w:before="120" w:after="120" w:line="240" w:lineRule="auto"/>
        <w:ind w:left="1066" w:right="709" w:hanging="357"/>
        <w:jc w:val="both"/>
        <w:rPr>
          <w:rFonts w:ascii="Verdana" w:eastAsia="Calibri" w:hAnsi="Verdana" w:cs="Arial"/>
          <w:sz w:val="20"/>
          <w:szCs w:val="20"/>
          <w:lang w:val="es-MX"/>
        </w:rPr>
      </w:pPr>
      <w:r>
        <w:rPr>
          <w:rFonts w:ascii="Verdana" w:eastAsia="Calibri" w:hAnsi="Verdana" w:cs="Arial"/>
          <w:sz w:val="20"/>
          <w:szCs w:val="20"/>
          <w:lang w:val="es-MX"/>
        </w:rPr>
        <w:t>Consultar precios de Marketplace privados (MercadoLibre, Amazon, éxito, Falabella, etc.).</w:t>
      </w:r>
      <w:r w:rsidRPr="008056D3">
        <w:rPr>
          <w:rFonts w:ascii="Verdana" w:eastAsia="Calibri" w:hAnsi="Verdana" w:cs="Arial"/>
          <w:sz w:val="20"/>
          <w:szCs w:val="20"/>
          <w:lang w:val="es-MX"/>
        </w:rPr>
        <w:t xml:space="preserve"> </w:t>
      </w:r>
    </w:p>
    <w:p w14:paraId="03AE9B9B" w14:textId="77777777" w:rsidR="000352FE" w:rsidRDefault="000352FE" w:rsidP="000352FE">
      <w:pPr>
        <w:pStyle w:val="Prrafodelista"/>
        <w:numPr>
          <w:ilvl w:val="0"/>
          <w:numId w:val="19"/>
        </w:numPr>
        <w:tabs>
          <w:tab w:val="left" w:pos="709"/>
        </w:tabs>
        <w:spacing w:before="120" w:after="120" w:line="240" w:lineRule="auto"/>
        <w:ind w:left="1066" w:right="709" w:hanging="357"/>
        <w:jc w:val="both"/>
        <w:rPr>
          <w:rFonts w:ascii="Verdana" w:eastAsia="Calibri" w:hAnsi="Verdana" w:cs="Arial"/>
          <w:sz w:val="20"/>
          <w:szCs w:val="20"/>
          <w:lang w:val="es-MX"/>
        </w:rPr>
      </w:pPr>
      <w:r>
        <w:rPr>
          <w:rFonts w:ascii="Verdana" w:eastAsia="Calibri" w:hAnsi="Verdana" w:cs="Arial"/>
          <w:sz w:val="20"/>
          <w:szCs w:val="20"/>
          <w:lang w:val="es-MX"/>
        </w:rPr>
        <w:t xml:space="preserve">Consultar precios de otros procesos de selección de otras entidades Ejempló: Una entidad compra un aire acondicionado a un precio, otra entidad necesita comprar el mismo equipo, ¿puede usar como insumo para establecer el precio, los precios adjudicados en el proceso de la </w:t>
      </w:r>
      <w:r>
        <w:rPr>
          <w:rFonts w:ascii="Verdana" w:eastAsia="Calibri" w:hAnsi="Verdana" w:cs="Arial"/>
          <w:sz w:val="20"/>
          <w:szCs w:val="20"/>
          <w:lang w:val="es-MX"/>
        </w:rPr>
        <w:lastRenderedPageBreak/>
        <w:t xml:space="preserve">otra </w:t>
      </w:r>
      <w:proofErr w:type="gramStart"/>
      <w:r>
        <w:rPr>
          <w:rFonts w:ascii="Verdana" w:eastAsia="Calibri" w:hAnsi="Verdana" w:cs="Arial"/>
          <w:sz w:val="20"/>
          <w:szCs w:val="20"/>
          <w:lang w:val="es-MX"/>
        </w:rPr>
        <w:t>entidad?.</w:t>
      </w:r>
      <w:proofErr w:type="gramEnd"/>
      <w:r>
        <w:rPr>
          <w:rFonts w:ascii="Verdana" w:eastAsia="Calibri" w:hAnsi="Verdana" w:cs="Arial"/>
          <w:sz w:val="20"/>
          <w:szCs w:val="20"/>
          <w:lang w:val="es-MX"/>
        </w:rPr>
        <w:t xml:space="preserve"> ¿puede usar como insumo para establecer los precios ofertados en el proceso de la otra entidad?</w:t>
      </w:r>
    </w:p>
    <w:p w14:paraId="5C943597" w14:textId="77777777" w:rsidR="000352FE" w:rsidRDefault="000352FE" w:rsidP="000352FE">
      <w:pPr>
        <w:pStyle w:val="Prrafodelista"/>
        <w:numPr>
          <w:ilvl w:val="0"/>
          <w:numId w:val="19"/>
        </w:numPr>
        <w:tabs>
          <w:tab w:val="left" w:pos="709"/>
        </w:tabs>
        <w:spacing w:before="120" w:after="120" w:line="240" w:lineRule="auto"/>
        <w:ind w:left="1066" w:right="709" w:hanging="357"/>
        <w:jc w:val="both"/>
        <w:rPr>
          <w:rFonts w:ascii="Verdana" w:eastAsia="Calibri" w:hAnsi="Verdana" w:cs="Arial"/>
          <w:sz w:val="20"/>
          <w:szCs w:val="20"/>
          <w:lang w:val="es-MX"/>
        </w:rPr>
      </w:pPr>
      <w:r>
        <w:rPr>
          <w:rFonts w:ascii="Verdana" w:eastAsia="Calibri" w:hAnsi="Verdana" w:cs="Arial"/>
          <w:sz w:val="20"/>
          <w:szCs w:val="20"/>
          <w:lang w:val="es-MX"/>
        </w:rPr>
        <w:t>Para construir el precio puede acudirse a la comparación de ofertas de un proceso anterior: Ejemplo: La entidad en vigencias pasadas adquirió un mismo ítem que necesita actualmente, en el año inmediatamente anterior recibió en un proceso de mínima cuantía 4 ofertas, ¿puede usar como insumo para establecer el precio los valores ofertados en esas ofertas? lo anterior independientemente si el proceso de se adjudicó o no.</w:t>
      </w:r>
    </w:p>
    <w:p w14:paraId="3CD8C91B" w14:textId="77777777" w:rsidR="000352FE" w:rsidRDefault="000352FE" w:rsidP="000352FE">
      <w:pPr>
        <w:pStyle w:val="Prrafodelista"/>
        <w:numPr>
          <w:ilvl w:val="0"/>
          <w:numId w:val="19"/>
        </w:numPr>
        <w:tabs>
          <w:tab w:val="left" w:pos="709"/>
        </w:tabs>
        <w:spacing w:before="120" w:after="120" w:line="240" w:lineRule="auto"/>
        <w:ind w:left="1066" w:right="709" w:hanging="357"/>
        <w:jc w:val="both"/>
        <w:rPr>
          <w:rFonts w:ascii="Verdana" w:eastAsia="Calibri" w:hAnsi="Verdana" w:cs="Arial"/>
          <w:sz w:val="20"/>
          <w:szCs w:val="20"/>
          <w:lang w:val="es-MX"/>
        </w:rPr>
      </w:pPr>
      <w:r>
        <w:rPr>
          <w:rFonts w:ascii="Verdana" w:eastAsia="Calibri" w:hAnsi="Verdana" w:cs="Arial"/>
          <w:sz w:val="20"/>
          <w:szCs w:val="20"/>
          <w:lang w:val="es-MX"/>
        </w:rPr>
        <w:t xml:space="preserve">Es posible, </w:t>
      </w:r>
      <w:proofErr w:type="gramStart"/>
      <w:r>
        <w:rPr>
          <w:rFonts w:ascii="Verdana" w:eastAsia="Calibri" w:hAnsi="Verdana" w:cs="Arial"/>
          <w:sz w:val="20"/>
          <w:szCs w:val="20"/>
          <w:lang w:val="es-MX"/>
        </w:rPr>
        <w:t>que</w:t>
      </w:r>
      <w:proofErr w:type="gramEnd"/>
      <w:r>
        <w:rPr>
          <w:rFonts w:ascii="Verdana" w:eastAsia="Calibri" w:hAnsi="Verdana" w:cs="Arial"/>
          <w:sz w:val="20"/>
          <w:szCs w:val="20"/>
          <w:lang w:val="es-MX"/>
        </w:rPr>
        <w:t xml:space="preserve"> para establecer un precio, concurran las diferentes fuentes en el ejercicio de comparación, ejemplo: Tengo una cotización, una consulta una consulta a un Marketplace, y un histórico, para lograr establecer el precio de un ítem. </w:t>
      </w:r>
    </w:p>
    <w:p w14:paraId="63A7F62F" w14:textId="77777777" w:rsidR="000352FE" w:rsidRPr="00185EB1" w:rsidRDefault="000352FE" w:rsidP="000352FE">
      <w:pPr>
        <w:pStyle w:val="Prrafodelista"/>
        <w:numPr>
          <w:ilvl w:val="0"/>
          <w:numId w:val="19"/>
        </w:numPr>
        <w:tabs>
          <w:tab w:val="left" w:pos="709"/>
        </w:tabs>
        <w:spacing w:before="120" w:after="120" w:line="240" w:lineRule="auto"/>
        <w:ind w:left="1066" w:right="709" w:hanging="357"/>
        <w:jc w:val="both"/>
        <w:rPr>
          <w:rFonts w:ascii="Verdana" w:eastAsia="Calibri" w:hAnsi="Verdana" w:cs="Arial"/>
          <w:sz w:val="20"/>
          <w:szCs w:val="20"/>
          <w:lang w:val="es-MX"/>
        </w:rPr>
      </w:pPr>
      <w:r>
        <w:rPr>
          <w:rFonts w:ascii="Verdana" w:eastAsia="Calibri" w:hAnsi="Verdana" w:cs="Arial"/>
          <w:sz w:val="20"/>
          <w:szCs w:val="20"/>
          <w:lang w:val="es-MX"/>
        </w:rPr>
        <w:t>¿Es posible excluir una cotización de un estudio de mercado por considerar que es excesivamente costosa o excesivamente barata? ¿Cuáles son las fórmulas aplicables en este ejercicio de construcción del estudio de mercado?” [sic]</w:t>
      </w:r>
    </w:p>
    <w:p w14:paraId="3D9C6010" w14:textId="77777777" w:rsidR="000352FE" w:rsidRPr="00FC49A2" w:rsidRDefault="000352FE" w:rsidP="000352FE">
      <w:pPr>
        <w:tabs>
          <w:tab w:val="left" w:pos="142"/>
          <w:tab w:val="left" w:pos="284"/>
        </w:tabs>
        <w:spacing w:line="276" w:lineRule="auto"/>
        <w:contextualSpacing/>
        <w:jc w:val="both"/>
        <w:rPr>
          <w:rFonts w:ascii="Verdana" w:eastAsia="Century Gothic" w:hAnsi="Verdana" w:cs="Century Gothic"/>
          <w:b/>
          <w:bCs/>
          <w:lang w:val="es-ES"/>
        </w:rPr>
      </w:pPr>
    </w:p>
    <w:p w14:paraId="331E0A5F" w14:textId="77777777" w:rsidR="000352FE" w:rsidRPr="00FC49A2" w:rsidRDefault="000352FE" w:rsidP="000352FE">
      <w:pPr>
        <w:spacing w:after="120" w:line="276" w:lineRule="auto"/>
        <w:ind w:firstLine="709"/>
        <w:jc w:val="both"/>
        <w:rPr>
          <w:rFonts w:ascii="Verdana" w:eastAsia="Calibri" w:hAnsi="Verdana" w:cs="Arial"/>
          <w:szCs w:val="24"/>
          <w:lang w:val="es-ES_tradnl" w:eastAsia="es-ES_tradnl"/>
        </w:rPr>
      </w:pPr>
      <w:r w:rsidRPr="00FC49A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49A2">
        <w:rPr>
          <w:rFonts w:ascii="Verdana" w:eastAsia="Calibri" w:hAnsi="Verdana" w:cs="Arial"/>
          <w:szCs w:val="24"/>
          <w:lang w:val="es-ES_tradnl" w:eastAsia="es-ES_tradnl"/>
        </w:rPr>
        <w:tab/>
      </w:r>
    </w:p>
    <w:p w14:paraId="2280C012" w14:textId="77777777" w:rsidR="000352FE" w:rsidRPr="00FC49A2" w:rsidRDefault="000352FE" w:rsidP="000352FE">
      <w:pPr>
        <w:spacing w:after="0" w:line="276" w:lineRule="auto"/>
        <w:ind w:firstLine="709"/>
        <w:jc w:val="both"/>
        <w:rPr>
          <w:rFonts w:ascii="Verdana" w:eastAsia="Calibri" w:hAnsi="Verdana" w:cs="Arial"/>
          <w:lang w:val="es-ES" w:eastAsia="es-ES"/>
        </w:rPr>
      </w:pPr>
      <w:r w:rsidRPr="00FC49A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055390C" w14:textId="77777777" w:rsidR="000352FE" w:rsidRPr="00FC49A2" w:rsidRDefault="000352FE" w:rsidP="000352FE">
      <w:pPr>
        <w:spacing w:after="0" w:line="276" w:lineRule="auto"/>
        <w:ind w:firstLine="709"/>
        <w:jc w:val="both"/>
        <w:rPr>
          <w:rFonts w:ascii="Verdana" w:eastAsia="Calibri" w:hAnsi="Verdana" w:cs="Arial"/>
          <w:lang w:val="es-ES" w:eastAsia="es-ES"/>
        </w:rPr>
      </w:pPr>
    </w:p>
    <w:p w14:paraId="207A5847" w14:textId="77777777" w:rsidR="000352FE" w:rsidRPr="00FC49A2" w:rsidRDefault="000352FE" w:rsidP="000352FE">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FC49A2">
        <w:rPr>
          <w:rFonts w:ascii="Verdana" w:eastAsia="Arial" w:hAnsi="Verdana" w:cs="Arial"/>
          <w:b/>
          <w:bCs/>
          <w:lang w:val="es-ES"/>
        </w:rPr>
        <w:t>1. Problema planteado:</w:t>
      </w:r>
    </w:p>
    <w:p w14:paraId="10996A3F" w14:textId="77777777" w:rsidR="000352FE" w:rsidRPr="00FC49A2" w:rsidRDefault="000352FE" w:rsidP="000352FE">
      <w:pPr>
        <w:tabs>
          <w:tab w:val="left" w:pos="426"/>
        </w:tabs>
        <w:spacing w:after="0" w:line="276" w:lineRule="auto"/>
        <w:jc w:val="both"/>
        <w:rPr>
          <w:rFonts w:ascii="Verdana" w:eastAsia="Century Gothic" w:hAnsi="Verdana" w:cs="Century Gothic"/>
          <w:lang w:val="es-ES"/>
        </w:rPr>
      </w:pPr>
    </w:p>
    <w:p w14:paraId="688DAD2E" w14:textId="77777777" w:rsidR="000352FE" w:rsidRPr="005D756D" w:rsidRDefault="000352FE" w:rsidP="000352FE">
      <w:pPr>
        <w:spacing w:after="0" w:line="276" w:lineRule="auto"/>
        <w:jc w:val="both"/>
        <w:rPr>
          <w:rFonts w:ascii="Verdana" w:eastAsia="Century Gothic" w:hAnsi="Verdana" w:cs="Century Gothic"/>
        </w:rPr>
      </w:pPr>
      <w:r w:rsidRPr="00FC49A2">
        <w:rPr>
          <w:rFonts w:ascii="Verdana" w:eastAsia="Century Gothic" w:hAnsi="Verdana" w:cs="Century Gothic"/>
        </w:rPr>
        <w:lastRenderedPageBreak/>
        <w:t xml:space="preserve">De acuerdo con el contenido de su solicitud, </w:t>
      </w:r>
      <w:r>
        <w:rPr>
          <w:rFonts w:ascii="Verdana" w:eastAsia="Century Gothic" w:hAnsi="Verdana" w:cs="Century Gothic"/>
        </w:rPr>
        <w:t>esta Agencia</w:t>
      </w:r>
      <w:r w:rsidRPr="00FC49A2">
        <w:rPr>
          <w:rFonts w:ascii="Verdana" w:eastAsia="Century Gothic" w:hAnsi="Verdana" w:cs="Century Gothic"/>
        </w:rPr>
        <w:t xml:space="preserve"> resolverá su consulta desde </w:t>
      </w:r>
      <w:r>
        <w:rPr>
          <w:rFonts w:ascii="Verdana" w:eastAsia="Century Gothic" w:hAnsi="Verdana" w:cs="Century Gothic"/>
        </w:rPr>
        <w:t>el</w:t>
      </w:r>
      <w:r w:rsidRPr="00FC49A2">
        <w:rPr>
          <w:rFonts w:ascii="Verdana" w:eastAsia="Century Gothic" w:hAnsi="Verdana" w:cs="Century Gothic"/>
        </w:rPr>
        <w:t xml:space="preserve"> siguiente problema jurídico:</w:t>
      </w:r>
      <w:bookmarkStart w:id="1" w:name="_Hlk171070029"/>
      <w:r w:rsidRPr="00FC49A2">
        <w:rPr>
          <w:rFonts w:ascii="Verdana" w:eastAsia="Century Gothic" w:hAnsi="Verdana" w:cs="Century Gothic"/>
        </w:rPr>
        <w:t xml:space="preserve"> </w:t>
      </w:r>
      <w:r>
        <w:rPr>
          <w:rFonts w:ascii="Verdana" w:eastAsia="Century Gothic" w:hAnsi="Verdana" w:cs="Century Gothic"/>
        </w:rPr>
        <w:t>¿cómo debe una Entidad Estatal realizar el estudio de mercado?</w:t>
      </w:r>
    </w:p>
    <w:p w14:paraId="1E39A3B1" w14:textId="77777777" w:rsidR="000352FE" w:rsidRPr="00FC49A2" w:rsidRDefault="000352FE" w:rsidP="000352FE">
      <w:pPr>
        <w:spacing w:after="0" w:line="276" w:lineRule="auto"/>
        <w:jc w:val="both"/>
        <w:rPr>
          <w:rFonts w:ascii="Verdana" w:eastAsia="Calibri" w:hAnsi="Verdana" w:cs="Arial"/>
          <w:color w:val="7030A0"/>
          <w:lang w:val="es-ES"/>
        </w:rPr>
      </w:pPr>
    </w:p>
    <w:bookmarkEnd w:id="1"/>
    <w:p w14:paraId="244978F2" w14:textId="77777777" w:rsidR="000352FE" w:rsidRPr="00FC49A2" w:rsidRDefault="000352FE" w:rsidP="000352FE">
      <w:pPr>
        <w:widowControl w:val="0"/>
        <w:autoSpaceDE w:val="0"/>
        <w:autoSpaceDN w:val="0"/>
        <w:spacing w:before="1" w:after="0" w:line="240" w:lineRule="auto"/>
        <w:jc w:val="both"/>
        <w:outlineLvl w:val="0"/>
        <w:rPr>
          <w:rFonts w:ascii="Verdana" w:eastAsia="Arial" w:hAnsi="Verdana" w:cs="Arial"/>
          <w:b/>
          <w:bCs/>
          <w:lang w:val="es-ES"/>
        </w:rPr>
      </w:pPr>
      <w:r w:rsidRPr="00FC49A2">
        <w:rPr>
          <w:rFonts w:ascii="Verdana" w:eastAsia="Arial" w:hAnsi="Verdana" w:cs="Arial"/>
          <w:b/>
          <w:bCs/>
          <w:lang w:val="es-ES"/>
        </w:rPr>
        <w:t>2. Respuesta:</w:t>
      </w:r>
    </w:p>
    <w:p w14:paraId="31B1A5DF" w14:textId="77777777" w:rsidR="000352FE" w:rsidRPr="00FC49A2" w:rsidRDefault="000352FE" w:rsidP="000352FE">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352FE" w:rsidRPr="00FC49A2" w14:paraId="65F7FE09" w14:textId="77777777" w:rsidTr="00FF0740">
        <w:tc>
          <w:tcPr>
            <w:tcW w:w="8828" w:type="dxa"/>
            <w:shd w:val="clear" w:color="auto" w:fill="auto"/>
          </w:tcPr>
          <w:p w14:paraId="233F809B" w14:textId="65C9BD60" w:rsidR="00A5554D" w:rsidRPr="00A5554D" w:rsidRDefault="00A5554D" w:rsidP="00A5554D">
            <w:pPr>
              <w:spacing w:line="276" w:lineRule="auto"/>
              <w:jc w:val="both"/>
              <w:rPr>
                <w:rFonts w:ascii="Verdana" w:eastAsia="Calibri" w:hAnsi="Verdana" w:cs="Arial"/>
              </w:rPr>
            </w:pPr>
            <w:bookmarkStart w:id="2" w:name="_Hlk171067516"/>
            <w:r>
              <w:rPr>
                <w:rFonts w:ascii="Verdana" w:eastAsia="Calibri" w:hAnsi="Verdana" w:cs="Arial"/>
              </w:rPr>
              <w:t>L</w:t>
            </w:r>
            <w:r w:rsidRPr="00A5554D">
              <w:rPr>
                <w:rFonts w:ascii="Verdana" w:eastAsia="Calibri" w:hAnsi="Verdana" w:cs="Arial"/>
              </w:rPr>
              <w:t xml:space="preserve">a normativa en materia de contratación estatal establece la obligatoriedad de realizar el análisis necesario para conocer el sector relativo al objeto del Proceso de Contratación, </w:t>
            </w:r>
            <w:r>
              <w:rPr>
                <w:rFonts w:ascii="Verdana" w:eastAsia="Calibri" w:hAnsi="Verdana" w:cs="Arial"/>
              </w:rPr>
              <w:t xml:space="preserve">no obstante, </w:t>
            </w:r>
            <w:r w:rsidRPr="00A5554D">
              <w:rPr>
                <w:rFonts w:ascii="Verdana" w:eastAsia="Calibri" w:hAnsi="Verdana" w:cs="Arial"/>
              </w:rPr>
              <w:t>no determinan un procedimiento específico para efectuar dicho análisis</w:t>
            </w:r>
            <w:r>
              <w:rPr>
                <w:rFonts w:ascii="Verdana" w:eastAsia="Calibri" w:hAnsi="Verdana" w:cs="Arial"/>
              </w:rPr>
              <w:t xml:space="preserve">, </w:t>
            </w:r>
            <w:r w:rsidRPr="00A5554D">
              <w:rPr>
                <w:rFonts w:ascii="Verdana" w:eastAsia="Calibri" w:hAnsi="Verdana" w:cs="Arial"/>
              </w:rPr>
              <w:t>por lo que</w:t>
            </w:r>
            <w:r>
              <w:rPr>
                <w:rFonts w:ascii="Verdana" w:eastAsia="Calibri" w:hAnsi="Verdana" w:cs="Arial"/>
              </w:rPr>
              <w:t xml:space="preserve">, </w:t>
            </w:r>
            <w:r>
              <w:rPr>
                <w:rFonts w:ascii="Verdana" w:eastAsia="Calibri" w:hAnsi="Verdana" w:cs="Arial"/>
                <w:lang w:val="es-ES"/>
              </w:rPr>
              <w:t>l</w:t>
            </w:r>
            <w:r w:rsidR="000352FE">
              <w:rPr>
                <w:rFonts w:ascii="Verdana" w:eastAsia="Calibri" w:hAnsi="Verdana" w:cs="Arial"/>
                <w:lang w:val="es-ES"/>
              </w:rPr>
              <w:t>as Entidades Estatales en el marco del principio de autonomía, se encuentran facultadas para determinar las metodologías que aplicarán para realizar el estudio de mercado respecto del proceso de selección que pretendan adelantar, esto, claramente, bajo la observancia de las reglas dispuestas en las normas generales aplicables a la contratación pública –Ley 80 de 1993, Ley 1150 de 2007, Decreto 1082 de 2015, entre otras–</w:t>
            </w:r>
            <w:r>
              <w:rPr>
                <w:rFonts w:ascii="Verdana" w:eastAsia="Calibri" w:hAnsi="Verdana" w:cs="Arial"/>
                <w:lang w:val="es-ES"/>
              </w:rPr>
              <w:t xml:space="preserve">, a fin de que se </w:t>
            </w:r>
            <w:r w:rsidRPr="00A5554D">
              <w:rPr>
                <w:rFonts w:ascii="Verdana" w:eastAsia="Calibri" w:hAnsi="Verdana" w:cs="Arial"/>
              </w:rPr>
              <w:t>reali</w:t>
            </w:r>
            <w:r>
              <w:rPr>
                <w:rFonts w:ascii="Verdana" w:eastAsia="Calibri" w:hAnsi="Verdana" w:cs="Arial"/>
              </w:rPr>
              <w:t>ce</w:t>
            </w:r>
            <w:r w:rsidRPr="00A5554D">
              <w:rPr>
                <w:rFonts w:ascii="Verdana" w:eastAsia="Calibri" w:hAnsi="Verdana" w:cs="Arial"/>
              </w:rPr>
              <w:t xml:space="preserve"> un análisis integral de planeación que sirva de sustento a la decisión de </w:t>
            </w:r>
            <w:r>
              <w:rPr>
                <w:rFonts w:ascii="Verdana" w:eastAsia="Calibri" w:hAnsi="Verdana" w:cs="Arial"/>
              </w:rPr>
              <w:t xml:space="preserve">dar inicio a </w:t>
            </w:r>
            <w:r w:rsidRPr="00A5554D">
              <w:rPr>
                <w:rFonts w:ascii="Verdana" w:eastAsia="Calibri" w:hAnsi="Verdana" w:cs="Arial"/>
              </w:rPr>
              <w:t xml:space="preserve">un Proceso de contratación. </w:t>
            </w:r>
          </w:p>
          <w:p w14:paraId="0240B31E" w14:textId="0772FE5F" w:rsidR="00A5554D" w:rsidRDefault="00A5554D" w:rsidP="00FF0740">
            <w:pPr>
              <w:spacing w:line="276" w:lineRule="auto"/>
              <w:jc w:val="both"/>
              <w:rPr>
                <w:rFonts w:ascii="Verdana" w:eastAsia="Calibri" w:hAnsi="Verdana" w:cs="Arial"/>
                <w:lang w:val="es-ES"/>
              </w:rPr>
            </w:pPr>
          </w:p>
          <w:p w14:paraId="137D8C45" w14:textId="77777777" w:rsidR="00A5554D" w:rsidRDefault="00A5554D" w:rsidP="00FF0740">
            <w:pPr>
              <w:spacing w:line="276" w:lineRule="auto"/>
              <w:jc w:val="both"/>
              <w:rPr>
                <w:rFonts w:ascii="Verdana" w:eastAsia="Calibri" w:hAnsi="Verdana" w:cs="Arial"/>
                <w:lang w:val="es-ES"/>
              </w:rPr>
            </w:pPr>
          </w:p>
          <w:p w14:paraId="07351A35" w14:textId="6195249A" w:rsidR="000352FE" w:rsidRDefault="00A5554D" w:rsidP="00FF0740">
            <w:pPr>
              <w:spacing w:line="276" w:lineRule="auto"/>
              <w:jc w:val="both"/>
              <w:rPr>
                <w:rFonts w:ascii="Verdana" w:eastAsia="Calibri" w:hAnsi="Verdana" w:cs="Arial"/>
                <w:lang w:val="es-ES"/>
              </w:rPr>
            </w:pPr>
            <w:r>
              <w:rPr>
                <w:rFonts w:ascii="Verdana" w:eastAsia="Calibri" w:hAnsi="Verdana" w:cs="Arial"/>
                <w:lang w:val="es-ES"/>
              </w:rPr>
              <w:t xml:space="preserve">Ahora bien, esta </w:t>
            </w:r>
            <w:r w:rsidR="000352FE">
              <w:rPr>
                <w:rFonts w:ascii="Verdana" w:eastAsia="Calibri" w:hAnsi="Verdana" w:cs="Arial"/>
                <w:lang w:val="es-ES"/>
              </w:rPr>
              <w:t xml:space="preserve">Agencia en el ejercicio de sus funciones y con el fin de impartir lineamientos de buenas prácticas en materia de compras y contratación pública, expidió la Guía de elaboración de estudios del sector en la que, particularmente en el numeral 1.3.4, propone a las Entidades Estatales tener en cuenta los siguientes mecanismos para realizar el estudio de precios de mercado: i) revisar los precios por solicitud de cotizaciones; </w:t>
            </w:r>
            <w:proofErr w:type="spellStart"/>
            <w:r w:rsidR="000352FE">
              <w:rPr>
                <w:rFonts w:ascii="Verdana" w:eastAsia="Calibri" w:hAnsi="Verdana" w:cs="Arial"/>
                <w:lang w:val="es-ES"/>
              </w:rPr>
              <w:t>ii</w:t>
            </w:r>
            <w:proofErr w:type="spellEnd"/>
            <w:r w:rsidR="000352FE">
              <w:rPr>
                <w:rFonts w:ascii="Verdana" w:eastAsia="Calibri" w:hAnsi="Verdana" w:cs="Arial"/>
                <w:lang w:val="es-ES"/>
              </w:rPr>
              <w:t xml:space="preserve">) verificar la ocurrencia de circunstancias que eventualmente puedan distorsionar los precios del mercado; </w:t>
            </w:r>
            <w:proofErr w:type="spellStart"/>
            <w:r w:rsidR="000352FE">
              <w:rPr>
                <w:rFonts w:ascii="Verdana" w:eastAsia="Calibri" w:hAnsi="Verdana" w:cs="Arial"/>
                <w:lang w:val="es-ES"/>
              </w:rPr>
              <w:t>iii</w:t>
            </w:r>
            <w:proofErr w:type="spellEnd"/>
            <w:r w:rsidR="000352FE">
              <w:rPr>
                <w:rFonts w:ascii="Verdana" w:eastAsia="Calibri" w:hAnsi="Verdana" w:cs="Arial"/>
                <w:lang w:val="es-ES"/>
              </w:rPr>
              <w:t xml:space="preserve">) revisar las bases de datos especializados y; </w:t>
            </w:r>
            <w:proofErr w:type="spellStart"/>
            <w:r w:rsidR="000352FE">
              <w:rPr>
                <w:rFonts w:ascii="Verdana" w:eastAsia="Calibri" w:hAnsi="Verdana" w:cs="Arial"/>
                <w:lang w:val="es-ES"/>
              </w:rPr>
              <w:t>iv</w:t>
            </w:r>
            <w:proofErr w:type="spellEnd"/>
            <w:r w:rsidR="000352FE">
              <w:rPr>
                <w:rFonts w:ascii="Verdana" w:eastAsia="Calibri" w:hAnsi="Verdana" w:cs="Arial"/>
                <w:lang w:val="es-ES"/>
              </w:rPr>
              <w:t>) revisar los precios históricos.</w:t>
            </w:r>
          </w:p>
          <w:p w14:paraId="1B3B0D97" w14:textId="77777777" w:rsidR="000352FE" w:rsidRDefault="000352FE" w:rsidP="00FF0740">
            <w:pPr>
              <w:spacing w:line="276" w:lineRule="auto"/>
              <w:jc w:val="both"/>
              <w:rPr>
                <w:rFonts w:ascii="Verdana" w:eastAsia="Calibri" w:hAnsi="Verdana" w:cs="Arial"/>
                <w:lang w:val="es-ES"/>
              </w:rPr>
            </w:pPr>
          </w:p>
          <w:p w14:paraId="43852562" w14:textId="77777777" w:rsidR="000352FE" w:rsidRPr="00826F65" w:rsidRDefault="000352FE" w:rsidP="00FF0740">
            <w:pPr>
              <w:spacing w:line="276" w:lineRule="auto"/>
              <w:jc w:val="both"/>
              <w:rPr>
                <w:rFonts w:ascii="Verdana" w:eastAsia="Calibri" w:hAnsi="Verdana" w:cs="Arial"/>
                <w:lang w:val="es-ES"/>
              </w:rPr>
            </w:pPr>
            <w:r>
              <w:rPr>
                <w:rFonts w:ascii="Verdana" w:eastAsia="Calibri" w:hAnsi="Verdana" w:cs="Arial"/>
                <w:lang w:val="es-ES"/>
              </w:rPr>
              <w:t xml:space="preserve">La Guía de elaboración de estudios del sector, se encuentra disponible para su información y consulta en el siguiente enlace: </w:t>
            </w:r>
            <w:hyperlink r:id="rId12" w:history="1">
              <w:r w:rsidRPr="001C6E04">
                <w:rPr>
                  <w:rStyle w:val="Hipervnculo"/>
                  <w:rFonts w:ascii="Verdana" w:eastAsia="Calibri" w:hAnsi="Verdana" w:cs="Arial"/>
                  <w:lang w:val="es-ES"/>
                </w:rPr>
                <w:t>https://www.colombiacompra.gov.co/sites/cce_public/files/cce_documentos/cce-eicp-gi-18._gees_v.2_2.pdf</w:t>
              </w:r>
            </w:hyperlink>
            <w:r>
              <w:rPr>
                <w:rFonts w:ascii="Verdana" w:eastAsia="Calibri" w:hAnsi="Verdana" w:cs="Arial"/>
                <w:lang w:val="es-ES"/>
              </w:rPr>
              <w:t xml:space="preserve"> </w:t>
            </w:r>
          </w:p>
        </w:tc>
      </w:tr>
      <w:bookmarkEnd w:id="2"/>
    </w:tbl>
    <w:p w14:paraId="75D98C83" w14:textId="77777777" w:rsidR="000352FE" w:rsidRDefault="000352FE" w:rsidP="000352FE">
      <w:pPr>
        <w:widowControl w:val="0"/>
        <w:autoSpaceDE w:val="0"/>
        <w:autoSpaceDN w:val="0"/>
        <w:spacing w:before="1" w:after="0" w:line="240" w:lineRule="auto"/>
        <w:ind w:left="360" w:hanging="360"/>
        <w:outlineLvl w:val="0"/>
        <w:rPr>
          <w:rFonts w:ascii="Verdana" w:eastAsia="Arial" w:hAnsi="Verdana" w:cs="Arial"/>
          <w:b/>
          <w:bCs/>
          <w:lang w:val="es-ES"/>
        </w:rPr>
      </w:pPr>
    </w:p>
    <w:p w14:paraId="35F07759" w14:textId="77777777" w:rsidR="000352FE" w:rsidRPr="00FC49A2" w:rsidRDefault="000352FE" w:rsidP="000352FE">
      <w:pPr>
        <w:widowControl w:val="0"/>
        <w:autoSpaceDE w:val="0"/>
        <w:autoSpaceDN w:val="0"/>
        <w:spacing w:before="1" w:after="0" w:line="240" w:lineRule="auto"/>
        <w:ind w:left="360" w:hanging="360"/>
        <w:outlineLvl w:val="0"/>
        <w:rPr>
          <w:rFonts w:ascii="Verdana" w:eastAsia="Arial" w:hAnsi="Verdana" w:cs="Arial"/>
          <w:b/>
          <w:bCs/>
          <w:lang w:val="es-ES"/>
        </w:rPr>
      </w:pPr>
      <w:r w:rsidRPr="00FC49A2">
        <w:rPr>
          <w:rFonts w:ascii="Verdana" w:eastAsia="Arial" w:hAnsi="Verdana" w:cs="Arial"/>
          <w:b/>
          <w:bCs/>
          <w:lang w:val="es-ES"/>
        </w:rPr>
        <w:t>3.</w:t>
      </w:r>
      <w:r>
        <w:rPr>
          <w:rFonts w:ascii="Verdana" w:eastAsia="Arial" w:hAnsi="Verdana" w:cs="Arial"/>
          <w:b/>
          <w:bCs/>
          <w:lang w:val="es-ES"/>
        </w:rPr>
        <w:t xml:space="preserve"> </w:t>
      </w:r>
      <w:r w:rsidRPr="00FC49A2">
        <w:rPr>
          <w:rFonts w:ascii="Verdana" w:eastAsia="Arial" w:hAnsi="Verdana" w:cs="Arial"/>
          <w:b/>
          <w:bCs/>
          <w:lang w:val="es-ES"/>
        </w:rPr>
        <w:t>Razones de la respuesta</w:t>
      </w:r>
    </w:p>
    <w:p w14:paraId="651F719D" w14:textId="77777777" w:rsidR="000352FE" w:rsidRPr="00FC49A2" w:rsidRDefault="000352FE" w:rsidP="000352FE">
      <w:pPr>
        <w:spacing w:after="0" w:line="276" w:lineRule="auto"/>
        <w:jc w:val="both"/>
        <w:rPr>
          <w:rFonts w:ascii="Verdana" w:eastAsia="Calibri" w:hAnsi="Verdana" w:cs="Arial"/>
          <w:lang w:val="es-ES"/>
        </w:rPr>
      </w:pPr>
    </w:p>
    <w:p w14:paraId="02567D8A" w14:textId="77777777" w:rsidR="000352FE" w:rsidRPr="00FC49A2" w:rsidRDefault="000352FE" w:rsidP="000352FE">
      <w:pPr>
        <w:spacing w:after="0" w:line="276" w:lineRule="auto"/>
        <w:jc w:val="both"/>
        <w:rPr>
          <w:rFonts w:ascii="Verdana" w:eastAsia="Calibri" w:hAnsi="Verdana" w:cs="Arial"/>
          <w:lang w:val="es-ES"/>
        </w:rPr>
      </w:pPr>
      <w:r w:rsidRPr="00FC49A2">
        <w:rPr>
          <w:rFonts w:ascii="Verdana" w:eastAsia="Calibri" w:hAnsi="Verdana" w:cs="Arial"/>
          <w:lang w:val="es-ES"/>
        </w:rPr>
        <w:t xml:space="preserve">Las respuestas anteriores se sustentan en las siguientes consideraciones: </w:t>
      </w:r>
    </w:p>
    <w:p w14:paraId="4B1AC104" w14:textId="77777777" w:rsidR="000352FE" w:rsidRPr="00FC49A2" w:rsidRDefault="000352FE" w:rsidP="000352FE">
      <w:pPr>
        <w:spacing w:after="0" w:line="276" w:lineRule="auto"/>
        <w:contextualSpacing/>
        <w:jc w:val="both"/>
        <w:rPr>
          <w:rFonts w:ascii="Verdana" w:eastAsia="Calibri" w:hAnsi="Verdana" w:cs="Arial"/>
          <w:lang w:val="es-ES"/>
        </w:rPr>
      </w:pPr>
    </w:p>
    <w:p w14:paraId="5C6BA4E6" w14:textId="77777777" w:rsidR="000352FE" w:rsidRDefault="000352FE" w:rsidP="000352FE">
      <w:pPr>
        <w:numPr>
          <w:ilvl w:val="0"/>
          <w:numId w:val="18"/>
        </w:numPr>
        <w:spacing w:after="0" w:line="276" w:lineRule="auto"/>
        <w:contextualSpacing/>
        <w:jc w:val="both"/>
        <w:rPr>
          <w:rFonts w:ascii="Verdana" w:eastAsia="Calibri" w:hAnsi="Verdana" w:cs="Arial"/>
          <w:lang w:val="es-ES"/>
        </w:rPr>
      </w:pPr>
      <w:bookmarkStart w:id="3" w:name="_Hlk173311098"/>
      <w:r>
        <w:rPr>
          <w:rFonts w:ascii="Verdana" w:eastAsia="Calibri" w:hAnsi="Verdana" w:cs="Arial"/>
          <w:lang w:val="es-ES"/>
        </w:rPr>
        <w:lastRenderedPageBreak/>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28A1F25C" w14:textId="77777777" w:rsidR="000352FE" w:rsidRDefault="000352FE" w:rsidP="000352FE">
      <w:pPr>
        <w:spacing w:after="0" w:line="276" w:lineRule="auto"/>
        <w:ind w:left="720"/>
        <w:contextualSpacing/>
        <w:jc w:val="both"/>
        <w:rPr>
          <w:rFonts w:ascii="Verdana" w:eastAsia="Calibri" w:hAnsi="Verdana" w:cs="Arial"/>
          <w:lang w:val="es-ES"/>
        </w:rPr>
      </w:pPr>
    </w:p>
    <w:p w14:paraId="67DB6EFD" w14:textId="77777777" w:rsidR="000352FE" w:rsidRDefault="000352FE" w:rsidP="000352FE">
      <w:pPr>
        <w:numPr>
          <w:ilvl w:val="0"/>
          <w:numId w:val="18"/>
        </w:numPr>
        <w:spacing w:after="0" w:line="276" w:lineRule="auto"/>
        <w:contextualSpacing/>
        <w:jc w:val="both"/>
        <w:rPr>
          <w:rFonts w:ascii="Verdana" w:eastAsia="Calibri" w:hAnsi="Verdana" w:cs="Arial"/>
          <w:lang w:val="es-ES"/>
        </w:rPr>
      </w:pPr>
      <w:r>
        <w:rPr>
          <w:rFonts w:ascii="Verdana" w:eastAsia="Calibri" w:hAnsi="Verdana" w:cs="Arial"/>
          <w:lang w:val="es-ES"/>
        </w:rPr>
        <w:t>En ese sentido, se tiene que el Estatuto General de Contratación de la Administración Pública, en adelante EGCAP, contiene disposiciones que exigen a las Entidades Estatales el deber de realizar planeación en la etapa precontractual, esto con el fin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En relación con el valor del futuro contrato y su correlativo respaldo presupuestal, se tienen, por ejemplo, las siguientes reglas derivadas de la aplicación del principio de economía previsto en el artículo 25 de la Ley 80 de 1993:</w:t>
      </w:r>
    </w:p>
    <w:p w14:paraId="683DC942" w14:textId="77777777" w:rsidR="000352FE" w:rsidRDefault="000352FE" w:rsidP="000352FE">
      <w:pPr>
        <w:pStyle w:val="Prrafodelista"/>
        <w:rPr>
          <w:rFonts w:ascii="Verdana" w:eastAsia="Calibri" w:hAnsi="Verdana" w:cs="Arial"/>
        </w:rPr>
      </w:pPr>
    </w:p>
    <w:p w14:paraId="255ED1A7"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r w:rsidRPr="00F40699">
        <w:rPr>
          <w:rFonts w:ascii="Verdana" w:eastAsia="Calibri" w:hAnsi="Verdana" w:cs="Arial"/>
          <w:sz w:val="21"/>
          <w:szCs w:val="21"/>
        </w:rPr>
        <w:t>“[…]</w:t>
      </w:r>
    </w:p>
    <w:p w14:paraId="419DC3FE"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r w:rsidRPr="00F40699">
        <w:rPr>
          <w:rFonts w:ascii="Verdana" w:eastAsia="Calibri" w:hAnsi="Verdana"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5C74B652"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r w:rsidRPr="00F40699">
        <w:rPr>
          <w:rFonts w:ascii="Verdana" w:eastAsia="Calibri" w:hAnsi="Verdana" w:cs="Arial"/>
          <w:sz w:val="21"/>
          <w:szCs w:val="21"/>
        </w:rPr>
        <w:t>[…]</w:t>
      </w:r>
    </w:p>
    <w:p w14:paraId="048359D5"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r w:rsidRPr="00F40699">
        <w:rPr>
          <w:rFonts w:ascii="Verdana" w:eastAsia="Calibri" w:hAnsi="Verdana" w:cs="Arial"/>
          <w:sz w:val="21"/>
          <w:szCs w:val="21"/>
        </w:rPr>
        <w:t>12.</w:t>
      </w:r>
      <w:r w:rsidRPr="00F40699">
        <w:rPr>
          <w:rFonts w:ascii="Verdana" w:eastAsia="Calibri" w:hAnsi="Verdana" w:cs="Arial"/>
          <w:sz w:val="21"/>
          <w:szCs w:val="21"/>
        </w:rPr>
        <w:tab/>
        <w:t>Previo a la apertura de un proceso de selección, o a la firma del contrato en el caso en que la modalidad de selección sea contratación directa, deberán elaborarse los estudios, diseños y proyectos requeridos, y los pliegos de condiciones, según corresponda.</w:t>
      </w:r>
    </w:p>
    <w:p w14:paraId="3E1A0563" w14:textId="77777777" w:rsidR="000352FE" w:rsidRPr="00F40699" w:rsidRDefault="000352FE" w:rsidP="000352FE">
      <w:pPr>
        <w:pStyle w:val="Prrafodelista"/>
        <w:spacing w:before="120" w:after="0" w:line="240" w:lineRule="auto"/>
        <w:ind w:left="1418"/>
        <w:jc w:val="both"/>
        <w:rPr>
          <w:rFonts w:ascii="Verdana" w:eastAsia="Calibri" w:hAnsi="Verdana" w:cs="Arial"/>
          <w:sz w:val="21"/>
          <w:szCs w:val="21"/>
        </w:rPr>
      </w:pPr>
    </w:p>
    <w:p w14:paraId="074D8BF9" w14:textId="77777777" w:rsidR="000352FE" w:rsidRPr="00F40699" w:rsidRDefault="000352FE" w:rsidP="000352FE">
      <w:pPr>
        <w:pStyle w:val="Prrafodelista"/>
        <w:spacing w:before="120" w:after="0" w:line="240" w:lineRule="auto"/>
        <w:ind w:left="1418"/>
        <w:jc w:val="both"/>
        <w:rPr>
          <w:rFonts w:ascii="Verdana" w:eastAsia="Calibri" w:hAnsi="Verdana" w:cs="Arial"/>
          <w:sz w:val="21"/>
          <w:szCs w:val="21"/>
        </w:rPr>
      </w:pPr>
      <w:r w:rsidRPr="00F40699">
        <w:rPr>
          <w:rFonts w:ascii="Verdana" w:eastAsia="Calibri" w:hAnsi="Verdana"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44FF7D3D"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p>
    <w:p w14:paraId="18746654"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r w:rsidRPr="00F40699">
        <w:rPr>
          <w:rFonts w:ascii="Verdana" w:eastAsia="Calibri" w:hAnsi="Verdana" w:cs="Arial"/>
          <w:sz w:val="21"/>
          <w:szCs w:val="21"/>
        </w:rPr>
        <w:lastRenderedPageBreak/>
        <w:t>13.</w:t>
      </w:r>
      <w:r w:rsidRPr="00F40699">
        <w:rPr>
          <w:rFonts w:ascii="Verdana" w:eastAsia="Calibri" w:hAnsi="Verdana" w:cs="Arial"/>
          <w:sz w:val="21"/>
          <w:szCs w:val="21"/>
        </w:rPr>
        <w:tab/>
        <w:t>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4865DD6"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p>
    <w:p w14:paraId="71CAB2DB" w14:textId="77777777" w:rsidR="000352FE" w:rsidRDefault="000352FE" w:rsidP="000352FE">
      <w:pPr>
        <w:pStyle w:val="Prrafodelista"/>
        <w:spacing w:line="240" w:lineRule="auto"/>
        <w:ind w:left="1416"/>
        <w:jc w:val="both"/>
        <w:rPr>
          <w:rFonts w:ascii="Verdana" w:eastAsia="Calibri" w:hAnsi="Verdana" w:cs="Arial"/>
          <w:sz w:val="21"/>
          <w:szCs w:val="21"/>
        </w:rPr>
      </w:pPr>
      <w:r w:rsidRPr="00F40699">
        <w:rPr>
          <w:rFonts w:ascii="Verdana" w:eastAsia="Calibri" w:hAnsi="Verdana" w:cs="Arial"/>
          <w:sz w:val="21"/>
          <w:szCs w:val="21"/>
        </w:rPr>
        <w:t>14.</w:t>
      </w:r>
      <w:r w:rsidRPr="00F40699">
        <w:rPr>
          <w:rFonts w:ascii="Verdana" w:eastAsia="Calibri" w:hAnsi="Verdana" w:cs="Arial"/>
          <w:sz w:val="21"/>
          <w:szCs w:val="21"/>
        </w:rPr>
        <w:tab/>
        <w:t>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083C6CC7" w14:textId="77777777" w:rsidR="000352FE" w:rsidRPr="00F40699" w:rsidRDefault="000352FE" w:rsidP="000352FE">
      <w:pPr>
        <w:pStyle w:val="Prrafodelista"/>
        <w:spacing w:line="240" w:lineRule="auto"/>
        <w:ind w:left="1416"/>
        <w:jc w:val="both"/>
        <w:rPr>
          <w:rFonts w:ascii="Verdana" w:eastAsia="Calibri" w:hAnsi="Verdana" w:cs="Arial"/>
          <w:sz w:val="21"/>
          <w:szCs w:val="21"/>
        </w:rPr>
      </w:pPr>
    </w:p>
    <w:p w14:paraId="1ADEAA00" w14:textId="77777777" w:rsidR="0005059A" w:rsidRPr="0005059A" w:rsidRDefault="000352FE" w:rsidP="000352FE">
      <w:pPr>
        <w:numPr>
          <w:ilvl w:val="0"/>
          <w:numId w:val="18"/>
        </w:numPr>
        <w:spacing w:after="0" w:line="276" w:lineRule="auto"/>
        <w:contextualSpacing/>
        <w:jc w:val="both"/>
        <w:rPr>
          <w:rFonts w:ascii="Verdana" w:eastAsia="Calibri" w:hAnsi="Verdana" w:cs="Arial"/>
          <w:lang w:val="es-ES"/>
        </w:rPr>
      </w:pPr>
      <w:r>
        <w:rPr>
          <w:rFonts w:ascii="Verdana" w:eastAsia="Calibri" w:hAnsi="Verdana" w:cs="Arial"/>
          <w:lang w:val="es-ES"/>
        </w:rPr>
        <w:t>Lo anterior, le permitirá a la Entidad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w:t>
      </w:r>
      <w:r w:rsidRPr="00220079">
        <w:rPr>
          <w:rFonts w:ascii="Verdana" w:eastAsia="Calibri" w:hAnsi="Verdana" w:cs="Arial"/>
          <w:lang w:val="es-ES"/>
        </w:rPr>
        <w:t xml:space="preserve">genera prácticas indebidas, revocatoria de actos administrativos de apertura, declaratorias de desierta de procesos de selección, comisión de faltas disciplinarias, mayores costos o mayor </w:t>
      </w:r>
      <w:r w:rsidRPr="000A5EBA">
        <w:rPr>
          <w:rFonts w:ascii="Verdana" w:eastAsia="Calibri" w:hAnsi="Verdana" w:cs="Arial"/>
          <w:lang w:val="es-ES"/>
        </w:rPr>
        <w:t>permanencia de la obra y, en general, el fracaso en la ejecución de contratos estatales”</w:t>
      </w:r>
      <w:r w:rsidRPr="000A5EBA">
        <w:rPr>
          <w:rFonts w:ascii="Verdana" w:eastAsia="Times New Roman" w:hAnsi="Verdana" w:cs="Arial"/>
          <w:vertAlign w:val="superscript"/>
          <w:lang w:val="es-ES_tradnl" w:eastAsia="es-MX"/>
        </w:rPr>
        <w:footnoteReference w:id="2"/>
      </w:r>
      <w:r w:rsidRPr="000A5EBA">
        <w:rPr>
          <w:rFonts w:ascii="Verdana" w:eastAsia="Times New Roman" w:hAnsi="Verdana" w:cs="Arial"/>
          <w:lang w:val="es-ES_tradnl" w:eastAsia="es-MX"/>
        </w:rPr>
        <w:t>.</w:t>
      </w:r>
      <w:r>
        <w:rPr>
          <w:rFonts w:ascii="Verdana" w:eastAsia="Times New Roman" w:hAnsi="Verdana" w:cs="Arial"/>
          <w:lang w:val="es-ES_tradnl" w:eastAsia="es-MX"/>
        </w:rPr>
        <w:t xml:space="preserve"> </w:t>
      </w:r>
    </w:p>
    <w:p w14:paraId="5C86F55F" w14:textId="77777777" w:rsidR="0005059A" w:rsidRPr="0005059A" w:rsidRDefault="0005059A" w:rsidP="0005059A">
      <w:pPr>
        <w:spacing w:after="0" w:line="276" w:lineRule="auto"/>
        <w:ind w:left="720"/>
        <w:contextualSpacing/>
        <w:jc w:val="both"/>
        <w:rPr>
          <w:rFonts w:ascii="Verdana" w:eastAsia="Calibri" w:hAnsi="Verdana" w:cs="Arial"/>
          <w:lang w:val="es-ES"/>
        </w:rPr>
      </w:pPr>
    </w:p>
    <w:p w14:paraId="1125D374" w14:textId="179A709B" w:rsidR="000352FE" w:rsidRPr="00FB5DC2" w:rsidRDefault="000352FE" w:rsidP="000352FE">
      <w:pPr>
        <w:numPr>
          <w:ilvl w:val="0"/>
          <w:numId w:val="18"/>
        </w:numPr>
        <w:spacing w:after="0" w:line="276" w:lineRule="auto"/>
        <w:contextualSpacing/>
        <w:jc w:val="both"/>
        <w:rPr>
          <w:rFonts w:ascii="Verdana" w:eastAsia="Calibri" w:hAnsi="Verdana" w:cs="Arial"/>
          <w:lang w:val="es-ES"/>
        </w:rPr>
      </w:pPr>
      <w:r>
        <w:rPr>
          <w:rFonts w:ascii="Verdana" w:eastAsia="Times New Roman" w:hAnsi="Verdana" w:cs="Arial"/>
          <w:lang w:val="es-ES_tradnl" w:eastAsia="es-MX"/>
        </w:rPr>
        <w:t>En congruencia con el artículo 25 de la Ley 80 de 1993, el Decreto Único Reglamentario del Sector Administrativo de Planeación –Decreto 1082 de 2015</w:t>
      </w:r>
      <w:r>
        <w:rPr>
          <w:rFonts w:ascii="Verdana" w:eastAsia="Calibri" w:hAnsi="Verdana" w:cs="Arial"/>
          <w:lang w:val="es-ES"/>
        </w:rPr>
        <w:t xml:space="preserve">–, dispone en el artículo </w:t>
      </w:r>
      <w:r w:rsidRPr="000E1697">
        <w:rPr>
          <w:rFonts w:ascii="Verdana" w:eastAsia="Calibri" w:hAnsi="Verdana" w:cs="Arial"/>
          <w:lang w:val="es-ES"/>
        </w:rPr>
        <w:t>.2.1.1.2.1.1 el contenido mínimo de los estudios y documentos previos:</w:t>
      </w:r>
    </w:p>
    <w:p w14:paraId="732DD5B7" w14:textId="77777777" w:rsidR="000352FE" w:rsidRDefault="000352FE" w:rsidP="000352FE">
      <w:pPr>
        <w:pStyle w:val="Prrafodelista"/>
        <w:spacing w:after="0"/>
        <w:rPr>
          <w:rFonts w:ascii="Verdana" w:eastAsia="Calibri" w:hAnsi="Verdana" w:cs="Arial"/>
        </w:rPr>
      </w:pPr>
    </w:p>
    <w:p w14:paraId="406CBFBF"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2704DC61"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00872E7D"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lastRenderedPageBreak/>
        <w:t xml:space="preserve">1. La descripción de la necesidad que la Entidad Estatal pretende satisfacer con el Proceso de Contratación. </w:t>
      </w:r>
    </w:p>
    <w:p w14:paraId="5D0F1C31"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27B97924"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11692A41"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0A86C0BB"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3. La modalidad de selección del contratista y su justificación, incluyendo los fundamentos jurídicos. </w:t>
      </w:r>
    </w:p>
    <w:p w14:paraId="6E9C737D"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03076D0A"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EEEB807"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3716C282"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5. Los criterios para seleccionar la oferta más favorable. </w:t>
      </w:r>
    </w:p>
    <w:p w14:paraId="7F30B729"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0AEF9A1B"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6. El análisis de Riesgo y la forma de mitigarlo. </w:t>
      </w:r>
    </w:p>
    <w:p w14:paraId="24F7BB2D"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4ED47E1F"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7. Las garantías que la Entidad Estatal contempla exigir en el proceso de contratación. </w:t>
      </w:r>
    </w:p>
    <w:p w14:paraId="48F73DC2"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500914CA"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 xml:space="preserve">8. La indicación de si el proceso de contratación está cobijado por un acuerdo comercial. </w:t>
      </w:r>
    </w:p>
    <w:p w14:paraId="076F7702"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p>
    <w:p w14:paraId="5A35313C" w14:textId="77777777" w:rsidR="000352FE" w:rsidRPr="00665FED" w:rsidRDefault="000352FE" w:rsidP="000352FE">
      <w:pPr>
        <w:pStyle w:val="Prrafodelista"/>
        <w:spacing w:after="0" w:line="240" w:lineRule="auto"/>
        <w:ind w:left="1416"/>
        <w:jc w:val="both"/>
        <w:rPr>
          <w:rFonts w:ascii="Verdana" w:eastAsia="Calibri" w:hAnsi="Verdana" w:cs="Arial"/>
          <w:sz w:val="21"/>
          <w:szCs w:val="21"/>
        </w:rPr>
      </w:pPr>
      <w:r w:rsidRPr="00665FED">
        <w:rPr>
          <w:rFonts w:ascii="Verdana" w:eastAsia="Calibri" w:hAnsi="Verdana" w:cs="Arial"/>
          <w:sz w:val="21"/>
          <w:szCs w:val="21"/>
        </w:rPr>
        <w:t>El presente artículo no es aplicable a la contratación por mínima cuantía”.</w:t>
      </w:r>
    </w:p>
    <w:p w14:paraId="45AEBCC3" w14:textId="77777777" w:rsidR="000352FE" w:rsidRDefault="000352FE" w:rsidP="000352FE">
      <w:pPr>
        <w:pStyle w:val="Prrafodelista"/>
        <w:spacing w:after="0"/>
        <w:rPr>
          <w:rFonts w:ascii="Verdana" w:eastAsia="Calibri" w:hAnsi="Verdana" w:cs="Arial"/>
        </w:rPr>
      </w:pPr>
    </w:p>
    <w:p w14:paraId="36865371" w14:textId="77777777" w:rsidR="0005059A" w:rsidRDefault="000352FE" w:rsidP="000352FE">
      <w:pPr>
        <w:numPr>
          <w:ilvl w:val="0"/>
          <w:numId w:val="18"/>
        </w:numPr>
        <w:spacing w:after="0" w:line="276" w:lineRule="auto"/>
        <w:contextualSpacing/>
        <w:jc w:val="both"/>
        <w:rPr>
          <w:rFonts w:ascii="Verdana" w:eastAsia="Calibri" w:hAnsi="Verdana" w:cs="Arial"/>
          <w:lang w:val="es-ES"/>
        </w:rPr>
      </w:pPr>
      <w:r>
        <w:rPr>
          <w:rFonts w:ascii="Verdana" w:eastAsia="Calibri" w:hAnsi="Verdana" w:cs="Arial"/>
          <w:lang w:val="es-ES"/>
        </w:rPr>
        <w:t xml:space="preserve">De esta forma, antes de iniciar un procedimiento de selección, la Entidad Estatal podrá determinar con los estudios previos: </w:t>
      </w:r>
    </w:p>
    <w:p w14:paraId="0E2185B1" w14:textId="5B11F333" w:rsidR="0005059A" w:rsidRPr="00927771" w:rsidRDefault="000352FE" w:rsidP="0005059A">
      <w:pPr>
        <w:pStyle w:val="Prrafodelista"/>
        <w:numPr>
          <w:ilvl w:val="0"/>
          <w:numId w:val="22"/>
        </w:numPr>
        <w:spacing w:after="0" w:line="276" w:lineRule="auto"/>
        <w:jc w:val="both"/>
        <w:rPr>
          <w:rFonts w:ascii="Verdana" w:eastAsia="Calibri" w:hAnsi="Verdana" w:cs="Arial"/>
        </w:rPr>
      </w:pPr>
      <w:r w:rsidRPr="00927771">
        <w:rPr>
          <w:rFonts w:ascii="Verdana" w:eastAsia="Calibri" w:hAnsi="Verdana" w:cs="Arial"/>
        </w:rPr>
        <w:t xml:space="preserve">la verdadera necesidad de la celebración del contrato; </w:t>
      </w:r>
    </w:p>
    <w:p w14:paraId="614FD6C1" w14:textId="5AABE4AF" w:rsidR="0005059A" w:rsidRDefault="000352FE" w:rsidP="0005059A">
      <w:pPr>
        <w:pStyle w:val="Prrafodelista"/>
        <w:numPr>
          <w:ilvl w:val="0"/>
          <w:numId w:val="22"/>
        </w:numPr>
        <w:spacing w:after="0" w:line="276" w:lineRule="auto"/>
        <w:jc w:val="both"/>
        <w:rPr>
          <w:rFonts w:ascii="Verdana" w:eastAsia="Calibri" w:hAnsi="Verdana" w:cs="Arial"/>
        </w:rPr>
      </w:pPr>
      <w:r w:rsidRPr="00927771">
        <w:rPr>
          <w:rFonts w:ascii="Verdana" w:eastAsia="Calibri" w:hAnsi="Verdana" w:cs="Arial"/>
        </w:rPr>
        <w:t>las modalidades existentes para satisfacer esa necesidad y las razones que justifiquen la modalidad o tipo contractual que se escoja;</w:t>
      </w:r>
    </w:p>
    <w:p w14:paraId="2DB7F498" w14:textId="0F7102C4" w:rsidR="0005059A" w:rsidRDefault="000352FE" w:rsidP="0005059A">
      <w:pPr>
        <w:pStyle w:val="Prrafodelista"/>
        <w:numPr>
          <w:ilvl w:val="0"/>
          <w:numId w:val="22"/>
        </w:numPr>
        <w:spacing w:after="0" w:line="276" w:lineRule="auto"/>
        <w:jc w:val="both"/>
        <w:rPr>
          <w:rFonts w:ascii="Verdana" w:eastAsia="Calibri" w:hAnsi="Verdana" w:cs="Arial"/>
        </w:rPr>
      </w:pPr>
      <w:r w:rsidRPr="00927771">
        <w:rPr>
          <w:rFonts w:ascii="Verdana" w:eastAsia="Calibri" w:hAnsi="Verdana" w:cs="Arial"/>
        </w:rPr>
        <w:t>las calidades, especificaciones, cantidades y demás características que puedan o deban reunir los bienes, las obras o los servicios cuya contratación se haya determinado necesaria,</w:t>
      </w:r>
    </w:p>
    <w:p w14:paraId="11DADF43" w14:textId="7D83CFF9" w:rsidR="0005059A" w:rsidRDefault="000352FE" w:rsidP="0005059A">
      <w:pPr>
        <w:pStyle w:val="Prrafodelista"/>
        <w:numPr>
          <w:ilvl w:val="0"/>
          <w:numId w:val="22"/>
        </w:numPr>
        <w:spacing w:after="0" w:line="276" w:lineRule="auto"/>
        <w:jc w:val="both"/>
        <w:rPr>
          <w:rFonts w:ascii="Verdana" w:eastAsia="Calibri" w:hAnsi="Verdana" w:cs="Arial"/>
        </w:rPr>
      </w:pPr>
      <w:r w:rsidRPr="0005059A">
        <w:rPr>
          <w:rFonts w:ascii="Verdana" w:eastAsia="Calibri" w:hAnsi="Verdana" w:cs="Arial"/>
        </w:rPr>
        <w:t>los costos, valores y alternativas que, a precios de mercado reales, podría demandar la celebración y ejecución del contrato;</w:t>
      </w:r>
    </w:p>
    <w:p w14:paraId="68158751" w14:textId="44CE7B31" w:rsidR="0005059A" w:rsidRDefault="000352FE" w:rsidP="0005059A">
      <w:pPr>
        <w:pStyle w:val="Prrafodelista"/>
        <w:numPr>
          <w:ilvl w:val="0"/>
          <w:numId w:val="22"/>
        </w:numPr>
        <w:spacing w:after="0" w:line="276" w:lineRule="auto"/>
        <w:jc w:val="both"/>
        <w:rPr>
          <w:rFonts w:ascii="Verdana" w:eastAsia="Calibri" w:hAnsi="Verdana" w:cs="Arial"/>
        </w:rPr>
      </w:pPr>
      <w:r w:rsidRPr="00927771">
        <w:rPr>
          <w:rFonts w:ascii="Verdana" w:eastAsia="Calibri" w:hAnsi="Verdana" w:cs="Arial"/>
        </w:rPr>
        <w:lastRenderedPageBreak/>
        <w:t>la disponibilidad de recursos o la capacidad financiera de la entidad contratante, para asumir las obligaciones de pago producto de la celebración de ese pretendido contrato;</w:t>
      </w:r>
    </w:p>
    <w:p w14:paraId="6CFB6ED4" w14:textId="4058EAD5" w:rsidR="0005059A" w:rsidRDefault="000352FE" w:rsidP="0005059A">
      <w:pPr>
        <w:pStyle w:val="Prrafodelista"/>
        <w:numPr>
          <w:ilvl w:val="0"/>
          <w:numId w:val="22"/>
        </w:numPr>
        <w:spacing w:after="0" w:line="276" w:lineRule="auto"/>
        <w:jc w:val="both"/>
        <w:rPr>
          <w:rFonts w:ascii="Verdana" w:eastAsia="Calibri" w:hAnsi="Verdana" w:cs="Arial"/>
        </w:rPr>
      </w:pPr>
      <w:r w:rsidRPr="00927771">
        <w:rPr>
          <w:rFonts w:ascii="Verdana" w:eastAsia="Calibri" w:hAnsi="Verdana" w:cs="Arial"/>
        </w:rPr>
        <w:t xml:space="preserve">la existencia y disponibilidad, en el mercado nacional o internacional, de proveedores, constructores, profesionales, etc., en condiciones de atender los requerimientos y satisfacer las necesidades; </w:t>
      </w:r>
    </w:p>
    <w:p w14:paraId="5B8C693E" w14:textId="5D3A42C5" w:rsidR="000352FE" w:rsidRPr="00927771" w:rsidRDefault="000352FE" w:rsidP="004F39EA">
      <w:pPr>
        <w:pStyle w:val="Prrafodelista"/>
        <w:numPr>
          <w:ilvl w:val="0"/>
          <w:numId w:val="22"/>
        </w:numPr>
        <w:spacing w:after="0" w:line="276" w:lineRule="auto"/>
        <w:jc w:val="both"/>
        <w:rPr>
          <w:rFonts w:ascii="Verdana" w:eastAsia="Calibri" w:hAnsi="Verdana" w:cs="Arial"/>
        </w:rPr>
      </w:pPr>
      <w:r w:rsidRPr="00927771">
        <w:rPr>
          <w:rFonts w:ascii="Verdana" w:eastAsia="Calibri" w:hAnsi="Verdana" w:cs="Arial"/>
        </w:rPr>
        <w:t>los procedimientos, trámites y requisitos que deban satisfacerse, reunirse u obtenerse para llevar a cabo la selección del respectivo contratista y la celebración del contrato que se pretenda celebrar. La consideración de todos estos aspectos permite que los contratos resultantes de la planeación cuenten con el sustento técnico, económico y jurídico que incidirá en una adecuada ejecución.</w:t>
      </w:r>
    </w:p>
    <w:p w14:paraId="34AE58A6" w14:textId="77777777" w:rsidR="000352FE" w:rsidRDefault="000352FE" w:rsidP="000352FE">
      <w:pPr>
        <w:spacing w:after="0" w:line="276" w:lineRule="auto"/>
        <w:ind w:left="720"/>
        <w:contextualSpacing/>
        <w:jc w:val="both"/>
        <w:rPr>
          <w:rFonts w:ascii="Verdana" w:eastAsia="Calibri" w:hAnsi="Verdana" w:cs="Arial"/>
          <w:lang w:val="es-ES"/>
        </w:rPr>
      </w:pPr>
    </w:p>
    <w:p w14:paraId="1F8BAC14" w14:textId="77777777" w:rsidR="000352FE" w:rsidRPr="00B84305" w:rsidRDefault="000352FE" w:rsidP="000352FE">
      <w:pPr>
        <w:pStyle w:val="Prrafodelista"/>
        <w:numPr>
          <w:ilvl w:val="0"/>
          <w:numId w:val="18"/>
        </w:numPr>
        <w:spacing w:after="0" w:line="276" w:lineRule="auto"/>
        <w:jc w:val="both"/>
        <w:rPr>
          <w:rFonts w:ascii="Verdana" w:eastAsia="Calibri" w:hAnsi="Verdana" w:cs="Arial"/>
        </w:rPr>
      </w:pPr>
      <w:r>
        <w:rPr>
          <w:rFonts w:ascii="Verdana" w:eastAsia="Calibri" w:hAnsi="Verdana" w:cs="Arial"/>
        </w:rPr>
        <w:t>Adicionalmente debe precisarse que, más allá del cumplimiento de la normativa, “los estudios y documentos previos son el soporte para elaborar el proyecto de pliego de condiciones, los pliegos de condiciones, y el contrat</w:t>
      </w:r>
      <w:r w:rsidRPr="00280FBC">
        <w:rPr>
          <w:rFonts w:ascii="Verdana" w:eastAsia="Calibri" w:hAnsi="Verdana" w:cs="Arial"/>
        </w:rPr>
        <w:t>o”</w:t>
      </w:r>
      <w:r w:rsidRPr="00280FBC">
        <w:rPr>
          <w:rFonts w:ascii="Verdana" w:eastAsia="Times New Roman" w:hAnsi="Verdana" w:cs="Arial"/>
          <w:vertAlign w:val="superscript"/>
          <w:lang w:val="es-ES_tradnl" w:eastAsia="es-MX"/>
        </w:rPr>
        <w:footnoteReference w:id="3"/>
      </w:r>
      <w:r w:rsidRPr="00280FBC">
        <w:rPr>
          <w:rFonts w:ascii="Verdana" w:eastAsia="Times New Roman" w:hAnsi="Verdana" w:cs="Arial"/>
          <w:lang w:val="es-ES_tradnl" w:eastAsia="es-MX"/>
        </w:rPr>
        <w:t>,</w:t>
      </w:r>
      <w:r>
        <w:rPr>
          <w:rFonts w:ascii="Verdana" w:eastAsia="Times New Roman" w:hAnsi="Verdana" w:cs="Arial"/>
          <w:lang w:val="es-ES_tradnl" w:eastAsia="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 Así pues, los estudios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w:t>
      </w:r>
      <w:r w:rsidRPr="002A32F5">
        <w:rPr>
          <w:rFonts w:ascii="Verdana" w:eastAsia="Times New Roman" w:hAnsi="Verdana" w:cs="Arial"/>
          <w:lang w:val="es-ES_tradnl" w:eastAsia="es-MX"/>
        </w:rPr>
        <w:t>ado</w:t>
      </w:r>
      <w:r w:rsidRPr="002A32F5">
        <w:rPr>
          <w:rFonts w:ascii="Verdana" w:eastAsia="Times New Roman" w:hAnsi="Verdana" w:cs="Arial"/>
          <w:vertAlign w:val="superscript"/>
          <w:lang w:val="es-ES_tradnl" w:eastAsia="es-MX"/>
        </w:rPr>
        <w:footnoteReference w:id="4"/>
      </w:r>
      <w:r w:rsidRPr="002A32F5">
        <w:rPr>
          <w:rFonts w:ascii="Verdana" w:eastAsia="Times New Roman" w:hAnsi="Verdana" w:cs="Arial"/>
          <w:lang w:val="es-ES_tradnl" w:eastAsia="es-MX"/>
        </w:rPr>
        <w:t>.</w:t>
      </w:r>
    </w:p>
    <w:p w14:paraId="4C553197" w14:textId="77777777" w:rsidR="000352FE" w:rsidRPr="00B84305" w:rsidRDefault="000352FE" w:rsidP="000352FE">
      <w:pPr>
        <w:pStyle w:val="Prrafodelista"/>
        <w:rPr>
          <w:rFonts w:ascii="Verdana" w:eastAsia="Arial MT" w:hAnsi="Verdana" w:cstheme="majorHAnsi"/>
        </w:rPr>
      </w:pPr>
    </w:p>
    <w:p w14:paraId="28D6A173" w14:textId="77777777" w:rsidR="0005059A" w:rsidRPr="00927771" w:rsidRDefault="000352FE" w:rsidP="000352FE">
      <w:pPr>
        <w:pStyle w:val="Prrafodelista"/>
        <w:numPr>
          <w:ilvl w:val="0"/>
          <w:numId w:val="18"/>
        </w:numPr>
        <w:spacing w:after="0" w:line="276" w:lineRule="auto"/>
        <w:jc w:val="both"/>
        <w:rPr>
          <w:rFonts w:ascii="Verdana" w:eastAsia="Calibri" w:hAnsi="Verdana" w:cs="Arial"/>
        </w:rPr>
      </w:pPr>
      <w:r>
        <w:rPr>
          <w:rFonts w:ascii="Verdana" w:eastAsia="Arial MT" w:hAnsi="Verdana" w:cstheme="majorHAnsi"/>
        </w:rPr>
        <w:t xml:space="preserve">Asimismo, se destaca que la Agencia Nacional de Contratación Pública – Colombia Compra Eficiente, en el ejercicio de las facultades conferidas por el Legislador, particularmente en las establecidas en el artículo 3.2 del </w:t>
      </w:r>
      <w:r>
        <w:rPr>
          <w:rFonts w:ascii="Verdana" w:eastAsia="Arial MT" w:hAnsi="Verdana" w:cstheme="majorHAnsi"/>
        </w:rPr>
        <w:lastRenderedPageBreak/>
        <w:t xml:space="preserve">Decreto Ley 4170 de 2011 y el inciso primero del artículo 2.2.1.2.5.2 del Decreto 1082 de 2015, emitió la Guía para la Elaboración de los Estudios </w:t>
      </w:r>
      <w:r w:rsidRPr="00D07D24">
        <w:rPr>
          <w:rFonts w:ascii="Verdana" w:eastAsia="Arial MT" w:hAnsi="Verdana" w:cstheme="majorHAnsi"/>
        </w:rPr>
        <w:t>del Sector</w:t>
      </w:r>
      <w:r w:rsidRPr="00D07D24">
        <w:rPr>
          <w:rFonts w:ascii="Verdana" w:eastAsia="Times New Roman" w:hAnsi="Verdana" w:cs="Arial"/>
          <w:vertAlign w:val="superscript"/>
          <w:lang w:val="es-ES_tradnl" w:eastAsia="es-CO"/>
        </w:rPr>
        <w:footnoteReference w:id="5"/>
      </w:r>
      <w:r w:rsidRPr="00D07D24">
        <w:rPr>
          <w:rFonts w:ascii="Verdana" w:eastAsia="Calibri" w:hAnsi="Verdana" w:cs="Arial"/>
          <w:bCs/>
          <w:lang w:val="es-ES_tradnl" w:eastAsia="es-MX"/>
        </w:rPr>
        <w:t xml:space="preserve">, </w:t>
      </w:r>
      <w:r>
        <w:rPr>
          <w:rFonts w:ascii="Verdana" w:eastAsia="Calibri" w:hAnsi="Verdana" w:cs="Arial"/>
          <w:bCs/>
          <w:lang w:val="es-ES_tradnl" w:eastAsia="es-MX"/>
        </w:rPr>
        <w:t xml:space="preserve">documento este, </w:t>
      </w:r>
      <w:r w:rsidRPr="00CC3BFF">
        <w:rPr>
          <w:rFonts w:ascii="Verdana" w:eastAsia="Calibri" w:hAnsi="Verdana" w:cs="Arial"/>
          <w:bCs/>
          <w:lang w:val="es-ES_tradnl" w:eastAsia="es-MX"/>
        </w:rPr>
        <w:t xml:space="preserve">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w:t>
      </w:r>
    </w:p>
    <w:p w14:paraId="4CFC7B17" w14:textId="77777777" w:rsidR="0005059A" w:rsidRPr="00927771" w:rsidRDefault="0005059A" w:rsidP="00927771">
      <w:pPr>
        <w:pStyle w:val="Prrafodelista"/>
        <w:rPr>
          <w:rFonts w:ascii="Verdana" w:eastAsia="Calibri" w:hAnsi="Verdana" w:cs="Arial"/>
          <w:bCs/>
          <w:lang w:val="es-ES_tradnl" w:eastAsia="es-MX"/>
        </w:rPr>
      </w:pPr>
    </w:p>
    <w:p w14:paraId="7B5C3BC7" w14:textId="3EF3C4EE" w:rsidR="000352FE" w:rsidRPr="00B84305" w:rsidRDefault="000352FE" w:rsidP="000352FE">
      <w:pPr>
        <w:pStyle w:val="Prrafodelista"/>
        <w:numPr>
          <w:ilvl w:val="0"/>
          <w:numId w:val="18"/>
        </w:numPr>
        <w:spacing w:after="0" w:line="276" w:lineRule="auto"/>
        <w:jc w:val="both"/>
        <w:rPr>
          <w:rFonts w:ascii="Verdana" w:eastAsia="Calibri" w:hAnsi="Verdana" w:cs="Arial"/>
        </w:rPr>
      </w:pPr>
      <w:r w:rsidRPr="00CC3BFF">
        <w:rPr>
          <w:rFonts w:ascii="Verdana" w:eastAsia="Calibri" w:hAnsi="Verdana" w:cs="Arial"/>
          <w:bCs/>
          <w:lang w:val="es-ES_tradnl" w:eastAsia="es-MX"/>
        </w:rPr>
        <w:t>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De este modo, la Guía contiene recomendaciones generales por lo que no debe aplicarse de manera mecánica, pues la profundidad del estudio del sector depende de la complejidad y particularidades de cada Proceso de Contratación.</w:t>
      </w:r>
    </w:p>
    <w:p w14:paraId="1C6E3DE7" w14:textId="77777777" w:rsidR="000352FE" w:rsidRPr="00666E4F" w:rsidRDefault="000352FE" w:rsidP="000352FE">
      <w:pPr>
        <w:pStyle w:val="Prrafodelista"/>
        <w:rPr>
          <w:rFonts w:ascii="Verdana" w:eastAsia="Calibri" w:hAnsi="Verdana" w:cs="Arial"/>
        </w:rPr>
      </w:pPr>
    </w:p>
    <w:p w14:paraId="55F83DA6" w14:textId="77777777" w:rsidR="0005059A" w:rsidRDefault="000352FE" w:rsidP="000352FE">
      <w:pPr>
        <w:pStyle w:val="Prrafodelista"/>
        <w:numPr>
          <w:ilvl w:val="0"/>
          <w:numId w:val="18"/>
        </w:numPr>
        <w:spacing w:after="0" w:line="276" w:lineRule="auto"/>
        <w:jc w:val="both"/>
        <w:rPr>
          <w:rFonts w:ascii="Verdana" w:eastAsia="Calibri" w:hAnsi="Verdana" w:cs="Arial"/>
        </w:rPr>
      </w:pPr>
      <w:r w:rsidRPr="00940F35">
        <w:rPr>
          <w:rFonts w:ascii="Verdana" w:eastAsia="Calibri" w:hAnsi="Verdana" w:cs="Arial"/>
        </w:rPr>
        <w:t>Por su parte, según la Guía, el estudio de la oferta tiene como objetivo identificar las opciones de suministro para las categorías de compra definidas, y los posibles proveedores que pueden suministrar los bienes, obras o servicios que requiere para satisfacer su necesidad. En esta actividad las Entidades Estatales deben realizar un estudio de la oferta, que responda, entre otras, las siguientes preguntas:</w:t>
      </w:r>
    </w:p>
    <w:p w14:paraId="2F61F547" w14:textId="77777777" w:rsidR="0005059A" w:rsidRPr="00927771" w:rsidRDefault="0005059A" w:rsidP="00927771">
      <w:pPr>
        <w:pStyle w:val="Prrafodelista"/>
        <w:rPr>
          <w:rFonts w:ascii="Verdana" w:eastAsia="Calibri" w:hAnsi="Verdana" w:cs="Arial"/>
        </w:rPr>
      </w:pPr>
    </w:p>
    <w:p w14:paraId="3B16F5FA" w14:textId="37381AC6" w:rsidR="0005059A" w:rsidRDefault="000352FE" w:rsidP="00927771">
      <w:pPr>
        <w:pStyle w:val="Prrafodelista"/>
        <w:numPr>
          <w:ilvl w:val="0"/>
          <w:numId w:val="23"/>
        </w:numPr>
        <w:spacing w:after="0" w:line="276" w:lineRule="auto"/>
        <w:jc w:val="both"/>
        <w:rPr>
          <w:rFonts w:ascii="Verdana" w:eastAsia="Calibri" w:hAnsi="Verdana" w:cs="Arial"/>
        </w:rPr>
      </w:pPr>
      <w:r w:rsidRPr="00940F35">
        <w:rPr>
          <w:rFonts w:ascii="Verdana" w:eastAsia="Calibri" w:hAnsi="Verdana" w:cs="Arial"/>
        </w:rPr>
        <w:t xml:space="preserve">“¿Cuál es la dinámica de producción, distribución y entrega de bienes, obras o servicios?” –teniendo en cuenta elementos como la producción, la distribución, transporte etc.– </w:t>
      </w:r>
    </w:p>
    <w:p w14:paraId="5468B1A2" w14:textId="7E67E81B" w:rsidR="0005059A" w:rsidRDefault="000352FE" w:rsidP="0005059A">
      <w:pPr>
        <w:pStyle w:val="Prrafodelista"/>
        <w:numPr>
          <w:ilvl w:val="0"/>
          <w:numId w:val="23"/>
        </w:numPr>
        <w:spacing w:after="0" w:line="276" w:lineRule="auto"/>
        <w:jc w:val="both"/>
        <w:rPr>
          <w:rFonts w:ascii="Verdana" w:eastAsia="Calibri" w:hAnsi="Verdana" w:cs="Arial"/>
        </w:rPr>
      </w:pPr>
      <w:r w:rsidRPr="00940F35">
        <w:rPr>
          <w:rFonts w:ascii="Verdana" w:eastAsia="Calibri" w:hAnsi="Verdana" w:cs="Arial"/>
        </w:rPr>
        <w:t xml:space="preserve">“¿A quién se va a comprar?”. </w:t>
      </w:r>
    </w:p>
    <w:p w14:paraId="32A37932" w14:textId="77777777" w:rsidR="0005059A" w:rsidRDefault="0005059A" w:rsidP="00927771">
      <w:pPr>
        <w:pStyle w:val="Prrafodelista"/>
        <w:spacing w:after="0" w:line="276" w:lineRule="auto"/>
        <w:ind w:left="1520"/>
        <w:jc w:val="both"/>
        <w:rPr>
          <w:rFonts w:ascii="Verdana" w:eastAsia="Calibri" w:hAnsi="Verdana" w:cs="Arial"/>
        </w:rPr>
      </w:pPr>
    </w:p>
    <w:p w14:paraId="4C497D17" w14:textId="445A39D0" w:rsidR="000352FE" w:rsidRPr="00927771" w:rsidRDefault="000352FE" w:rsidP="00927771">
      <w:pPr>
        <w:spacing w:after="0" w:line="276" w:lineRule="auto"/>
        <w:ind w:left="800"/>
        <w:jc w:val="both"/>
        <w:rPr>
          <w:rFonts w:ascii="Verdana" w:eastAsia="Calibri" w:hAnsi="Verdana" w:cs="Arial"/>
        </w:rPr>
      </w:pPr>
      <w:r w:rsidRPr="00927771">
        <w:rPr>
          <w:rFonts w:ascii="Verdana" w:eastAsia="Calibri" w:hAnsi="Verdana" w:cs="Arial"/>
        </w:rPr>
        <w:t xml:space="preserve">En relación con la primera pregunta, la Guía señala que “para la Entidad Estatal es importante conocer, entre otras, el proceso de producción, distribución y entrega de los bienes o servicios que pretende adquirir, así como los costos asociados a tales procesos, cuáles son las formas de distribución y entrega de los bienes o suministros del servicio, y demás </w:t>
      </w:r>
      <w:r w:rsidRPr="00927771">
        <w:rPr>
          <w:rFonts w:ascii="Verdana" w:eastAsia="Calibri" w:hAnsi="Verdana" w:cs="Arial"/>
        </w:rPr>
        <w:lastRenderedPageBreak/>
        <w:t>criterios que apliquen”. Para estos efectos, se recomienda a la entidad diseñar e implementar escenarios y procedimientos de consulta de información abiertos e incluyentes con el mercado, en los cuales se defina qué información, cuándo, por qué medio y a quienes se solicitará.</w:t>
      </w:r>
    </w:p>
    <w:p w14:paraId="3A50C1B5" w14:textId="77777777" w:rsidR="000352FE" w:rsidRDefault="000352FE" w:rsidP="000352FE">
      <w:pPr>
        <w:pStyle w:val="Prrafodelista"/>
        <w:spacing w:after="0" w:line="276" w:lineRule="auto"/>
        <w:jc w:val="both"/>
        <w:rPr>
          <w:rFonts w:ascii="Verdana" w:eastAsia="Calibri" w:hAnsi="Verdana" w:cs="Arial"/>
        </w:rPr>
      </w:pPr>
    </w:p>
    <w:p w14:paraId="47241B3D" w14:textId="77777777" w:rsidR="000352FE" w:rsidRPr="00940F35" w:rsidRDefault="000352FE" w:rsidP="000352FE">
      <w:pPr>
        <w:pStyle w:val="Prrafodelista"/>
        <w:numPr>
          <w:ilvl w:val="0"/>
          <w:numId w:val="18"/>
        </w:numPr>
        <w:spacing w:after="0" w:line="276" w:lineRule="auto"/>
        <w:jc w:val="both"/>
        <w:rPr>
          <w:rFonts w:ascii="Verdana" w:eastAsia="Calibri" w:hAnsi="Verdana" w:cs="Arial"/>
        </w:rPr>
      </w:pPr>
      <w:r w:rsidRPr="000E4A6D">
        <w:rPr>
          <w:rFonts w:ascii="Verdana" w:eastAsia="Calibri" w:hAnsi="Verdana" w:cs="Arial"/>
        </w:rPr>
        <w:t>La Guía indica que “la Entidad Estatal debe identificar los proveedores en el mercado del bien o servicio, así como sus principales características como tamaño empresarial, ubicación, esquemas de producción y comportamiento financiero”. Para la identificación de los proveedores se propone analizar el listado de los proveedores que participaron en los Procesos de Contratación iguales o similares que haya realizado la entidad y los que hayan realizado otras entidades con objetos comparables.</w:t>
      </w:r>
    </w:p>
    <w:p w14:paraId="4F35CEDF" w14:textId="77777777" w:rsidR="000352FE" w:rsidRPr="00F0269E" w:rsidRDefault="000352FE" w:rsidP="000352FE">
      <w:pPr>
        <w:spacing w:after="0" w:line="276" w:lineRule="auto"/>
        <w:jc w:val="both"/>
        <w:rPr>
          <w:rFonts w:ascii="Verdana" w:eastAsia="Calibri" w:hAnsi="Verdana" w:cs="Arial"/>
          <w:lang w:val="es-ES"/>
        </w:rPr>
      </w:pPr>
    </w:p>
    <w:p w14:paraId="44F8B9B0" w14:textId="77777777" w:rsidR="004F39EA" w:rsidRDefault="000352FE" w:rsidP="000352FE">
      <w:pPr>
        <w:pStyle w:val="Prrafodelista"/>
        <w:numPr>
          <w:ilvl w:val="0"/>
          <w:numId w:val="18"/>
        </w:numPr>
        <w:spacing w:after="0" w:line="276" w:lineRule="auto"/>
        <w:jc w:val="both"/>
        <w:rPr>
          <w:rFonts w:ascii="Verdana" w:eastAsia="Calibri" w:hAnsi="Verdana" w:cs="Arial"/>
        </w:rPr>
      </w:pPr>
      <w:r w:rsidRPr="000D3C44">
        <w:rPr>
          <w:rFonts w:ascii="Verdana" w:eastAsia="Calibri" w:hAnsi="Verdana" w:cs="Arial"/>
        </w:rPr>
        <w:t xml:space="preserve">Por último, </w:t>
      </w:r>
      <w:r>
        <w:rPr>
          <w:rFonts w:ascii="Verdana" w:eastAsia="Calibri" w:hAnsi="Verdana" w:cs="Arial"/>
        </w:rPr>
        <w:t>en lo que respecta a</w:t>
      </w:r>
      <w:r w:rsidRPr="000D3C44">
        <w:rPr>
          <w:rFonts w:ascii="Verdana" w:eastAsia="Calibri" w:hAnsi="Verdana" w:cs="Arial"/>
        </w:rPr>
        <w:t xml:space="preserve">l estudio de mercado, al cual hace referencia en su consulta, </w:t>
      </w:r>
      <w:r>
        <w:rPr>
          <w:rFonts w:ascii="Verdana" w:eastAsia="Calibri" w:hAnsi="Verdana" w:cs="Arial"/>
        </w:rPr>
        <w:t xml:space="preserve">es preciso indicar que este </w:t>
      </w:r>
      <w:r w:rsidRPr="000D3C44">
        <w:rPr>
          <w:rFonts w:ascii="Verdana" w:eastAsia="Calibri" w:hAnsi="Verdana" w:cs="Arial"/>
        </w:rPr>
        <w:t xml:space="preserve">permite comprender la dinámica de los precios y establecer el presupuesto oficial de la contratación, el cual 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 </w:t>
      </w:r>
    </w:p>
    <w:p w14:paraId="14F87F90" w14:textId="77777777" w:rsidR="004F39EA" w:rsidRPr="004F39EA" w:rsidRDefault="004F39EA" w:rsidP="004F39EA">
      <w:pPr>
        <w:pStyle w:val="Prrafodelista"/>
        <w:rPr>
          <w:rFonts w:ascii="Verdana" w:eastAsia="Calibri" w:hAnsi="Verdana" w:cs="Arial"/>
        </w:rPr>
      </w:pPr>
    </w:p>
    <w:p w14:paraId="5E4E2770" w14:textId="1542F68A" w:rsidR="000352FE" w:rsidRPr="00F646A1" w:rsidRDefault="000352FE" w:rsidP="000352FE">
      <w:pPr>
        <w:pStyle w:val="Prrafodelista"/>
        <w:numPr>
          <w:ilvl w:val="0"/>
          <w:numId w:val="18"/>
        </w:numPr>
        <w:spacing w:after="0" w:line="276" w:lineRule="auto"/>
        <w:jc w:val="both"/>
        <w:rPr>
          <w:rFonts w:ascii="Verdana" w:eastAsia="Calibri" w:hAnsi="Verdana" w:cs="Arial"/>
        </w:rPr>
      </w:pPr>
      <w:r w:rsidRPr="000D3C44">
        <w:rPr>
          <w:rFonts w:ascii="Verdana" w:eastAsia="Calibri" w:hAnsi="Verdana" w:cs="Arial"/>
        </w:rPr>
        <w:t xml:space="preserve">Este estudio de mercado debe responder claramente </w:t>
      </w:r>
      <w:r>
        <w:rPr>
          <w:rFonts w:ascii="Verdana" w:eastAsia="Calibri" w:hAnsi="Verdana" w:cs="Arial"/>
        </w:rPr>
        <w:t xml:space="preserve">a </w:t>
      </w:r>
      <w:r w:rsidRPr="000D3C44">
        <w:rPr>
          <w:rFonts w:ascii="Verdana" w:eastAsia="Calibri" w:hAnsi="Verdana" w:cs="Arial"/>
        </w:rPr>
        <w:t>las dinámicas de precio y, de esta manera, establecer el presupuesto oficial del proceso de contratación.</w:t>
      </w:r>
      <w:r>
        <w:rPr>
          <w:rFonts w:ascii="Verdana" w:eastAsia="Calibri" w:hAnsi="Verdana" w:cs="Arial"/>
        </w:rPr>
        <w:t xml:space="preserve"> </w:t>
      </w:r>
      <w:r w:rsidRPr="00F646A1">
        <w:rPr>
          <w:rFonts w:ascii="Verdana" w:eastAsia="Calibri" w:hAnsi="Verdana" w:cs="Arial"/>
        </w:rPr>
        <w:t xml:space="preserve">De esta forma, se tiene que, la Guía de Elaboración de Estudios del Sector en el numeral 1.3.4, propone a las Entidades Estatales los siguientes mecanismos para elaborar el estudio de precios de mercado: </w:t>
      </w:r>
    </w:p>
    <w:p w14:paraId="774BD923" w14:textId="77777777" w:rsidR="000352FE" w:rsidRPr="00C2006A" w:rsidRDefault="000352FE" w:rsidP="000352FE">
      <w:pPr>
        <w:pStyle w:val="Prrafodelista"/>
        <w:spacing w:line="240" w:lineRule="auto"/>
        <w:rPr>
          <w:rFonts w:ascii="Verdana" w:eastAsia="Calibri" w:hAnsi="Verdana" w:cs="Arial"/>
        </w:rPr>
      </w:pPr>
    </w:p>
    <w:p w14:paraId="33D611AC" w14:textId="77777777" w:rsidR="000352FE" w:rsidRDefault="000352FE" w:rsidP="000352FE">
      <w:pPr>
        <w:pStyle w:val="Prrafodelista"/>
        <w:numPr>
          <w:ilvl w:val="0"/>
          <w:numId w:val="20"/>
        </w:numPr>
        <w:spacing w:after="0" w:line="240" w:lineRule="auto"/>
        <w:jc w:val="both"/>
        <w:rPr>
          <w:rFonts w:ascii="Verdana" w:eastAsia="Calibri" w:hAnsi="Verdana" w:cs="Arial"/>
          <w:sz w:val="21"/>
          <w:szCs w:val="21"/>
        </w:rPr>
      </w:pPr>
      <w:bookmarkStart w:id="5" w:name="_Hlk176860475"/>
      <w:r w:rsidRPr="00F61D47">
        <w:rPr>
          <w:rFonts w:ascii="Verdana" w:eastAsia="Calibri" w:hAnsi="Verdana" w:cs="Arial"/>
          <w:sz w:val="21"/>
          <w:szCs w:val="21"/>
        </w:rPr>
        <w:t>Revisión de precios por solicitud de co</w:t>
      </w:r>
      <w:r>
        <w:rPr>
          <w:rFonts w:ascii="Verdana" w:eastAsia="Calibri" w:hAnsi="Verdana" w:cs="Arial"/>
          <w:sz w:val="21"/>
          <w:szCs w:val="21"/>
        </w:rPr>
        <w:t>tizaciones</w:t>
      </w:r>
      <w:bookmarkEnd w:id="5"/>
      <w:r>
        <w:rPr>
          <w:rFonts w:ascii="Verdana" w:eastAsia="Calibri" w:hAnsi="Verdana" w:cs="Arial"/>
          <w:sz w:val="21"/>
          <w:szCs w:val="21"/>
        </w:rPr>
        <w:t xml:space="preserve">: 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Entidad, </w:t>
      </w:r>
      <w:proofErr w:type="gramStart"/>
      <w:r>
        <w:rPr>
          <w:rFonts w:ascii="Verdana" w:eastAsia="Calibri" w:hAnsi="Verdana" w:cs="Arial"/>
          <w:sz w:val="21"/>
          <w:szCs w:val="21"/>
        </w:rPr>
        <w:t>como</w:t>
      </w:r>
      <w:proofErr w:type="gramEnd"/>
      <w:r>
        <w:rPr>
          <w:rFonts w:ascii="Verdana" w:eastAsia="Calibri" w:hAnsi="Verdana" w:cs="Arial"/>
          <w:sz w:val="21"/>
          <w:szCs w:val="21"/>
        </w:rPr>
        <w:t xml:space="preserve"> por ejemplo, especificaciones técnicas del bien o servicio a contratar, plazo del contrato, así como toda aquella información relevante que incida en el precio del bien o servicio.</w:t>
      </w:r>
    </w:p>
    <w:p w14:paraId="3670B400" w14:textId="77777777" w:rsidR="000352FE" w:rsidRDefault="000352FE" w:rsidP="000352FE">
      <w:pPr>
        <w:pStyle w:val="Prrafodelista"/>
        <w:spacing w:after="0" w:line="240" w:lineRule="auto"/>
        <w:ind w:left="2136"/>
        <w:jc w:val="both"/>
        <w:rPr>
          <w:rFonts w:ascii="Verdana" w:eastAsia="Calibri" w:hAnsi="Verdana" w:cs="Arial"/>
          <w:sz w:val="21"/>
          <w:szCs w:val="21"/>
        </w:rPr>
      </w:pPr>
    </w:p>
    <w:p w14:paraId="1CB6268A" w14:textId="77777777" w:rsidR="000352FE" w:rsidRDefault="000352FE" w:rsidP="000352FE">
      <w:pPr>
        <w:pStyle w:val="Prrafodelista"/>
        <w:numPr>
          <w:ilvl w:val="0"/>
          <w:numId w:val="20"/>
        </w:numPr>
        <w:spacing w:after="0" w:line="240" w:lineRule="auto"/>
        <w:jc w:val="both"/>
        <w:rPr>
          <w:rFonts w:ascii="Verdana" w:eastAsia="Calibri" w:hAnsi="Verdana" w:cs="Arial"/>
          <w:sz w:val="21"/>
          <w:szCs w:val="21"/>
        </w:rPr>
      </w:pPr>
      <w:r>
        <w:rPr>
          <w:rFonts w:ascii="Verdana" w:eastAsia="Calibri" w:hAnsi="Verdana" w:cs="Arial"/>
          <w:sz w:val="21"/>
          <w:szCs w:val="21"/>
        </w:rPr>
        <w:t>Al recibir las cotizaciones, debe verificarse la ocurrencia de circunstancias que eventualmente pueden distorsionar los precios del mercado, como ofertas especiales de almacenes de cadena, fenómenos de escasez o abundancia del producto, entre otros aspectos.</w:t>
      </w:r>
    </w:p>
    <w:p w14:paraId="12F13B00" w14:textId="77777777" w:rsidR="000352FE" w:rsidRPr="002D3162" w:rsidRDefault="000352FE" w:rsidP="000352FE">
      <w:pPr>
        <w:pStyle w:val="Prrafodelista"/>
        <w:spacing w:line="240" w:lineRule="auto"/>
        <w:rPr>
          <w:rFonts w:ascii="Verdana" w:eastAsia="Calibri" w:hAnsi="Verdana" w:cs="Arial"/>
          <w:sz w:val="21"/>
          <w:szCs w:val="21"/>
        </w:rPr>
      </w:pPr>
    </w:p>
    <w:p w14:paraId="4B7131B0" w14:textId="77777777" w:rsidR="000352FE" w:rsidRDefault="000352FE" w:rsidP="000352FE">
      <w:pPr>
        <w:pStyle w:val="Prrafodelista"/>
        <w:numPr>
          <w:ilvl w:val="0"/>
          <w:numId w:val="20"/>
        </w:numPr>
        <w:spacing w:after="0" w:line="240" w:lineRule="auto"/>
        <w:jc w:val="both"/>
        <w:rPr>
          <w:rFonts w:ascii="Verdana" w:eastAsia="Calibri" w:hAnsi="Verdana" w:cs="Arial"/>
          <w:sz w:val="21"/>
          <w:szCs w:val="21"/>
        </w:rPr>
      </w:pPr>
      <w:r>
        <w:rPr>
          <w:rFonts w:ascii="Verdana" w:eastAsia="Calibri" w:hAnsi="Verdana" w:cs="Arial"/>
          <w:sz w:val="21"/>
          <w:szCs w:val="21"/>
        </w:rPr>
        <w:t>Revisión de bases de datos especializadas: se adelanta cuando por las condiciones del mercado del bien o servicio a contratar se requiera, y el responsable deberá dejar constancia de las consultas realizadas y de los precios que soportan su estudio. Las bases de datos consultadas deben ser especializadas y representativas en el mercado del bien o servicio a contratar.</w:t>
      </w:r>
    </w:p>
    <w:p w14:paraId="508BF9BD" w14:textId="77777777" w:rsidR="000352FE" w:rsidRPr="00F91F9E" w:rsidRDefault="000352FE" w:rsidP="000352FE">
      <w:pPr>
        <w:pStyle w:val="Prrafodelista"/>
        <w:spacing w:line="240" w:lineRule="auto"/>
        <w:rPr>
          <w:rFonts w:ascii="Verdana" w:eastAsia="Calibri" w:hAnsi="Verdana" w:cs="Arial"/>
          <w:sz w:val="21"/>
          <w:szCs w:val="21"/>
        </w:rPr>
      </w:pPr>
    </w:p>
    <w:p w14:paraId="24F8A878" w14:textId="77777777" w:rsidR="000352FE" w:rsidRPr="00F61D47" w:rsidRDefault="000352FE" w:rsidP="000352FE">
      <w:pPr>
        <w:pStyle w:val="Prrafodelista"/>
        <w:numPr>
          <w:ilvl w:val="0"/>
          <w:numId w:val="20"/>
        </w:numPr>
        <w:spacing w:after="0" w:line="240" w:lineRule="auto"/>
        <w:jc w:val="both"/>
        <w:rPr>
          <w:rFonts w:ascii="Verdana" w:eastAsia="Calibri" w:hAnsi="Verdana" w:cs="Arial"/>
          <w:sz w:val="21"/>
          <w:szCs w:val="21"/>
        </w:rPr>
      </w:pPr>
      <w:r>
        <w:rPr>
          <w:rFonts w:ascii="Verdana" w:eastAsia="Calibri" w:hAnsi="Verdana" w:cs="Arial"/>
          <w:sz w:val="21"/>
          <w:szCs w:val="21"/>
        </w:rPr>
        <w:t>Revisión de precios históricos: para emplear el mecanismo se sugiere verificar la variación de los precios históricos derivados del índice de precios al consumidor en cada año, examinando si se han presentado fenómenos económicos que hayan implicado fluctuaciones importantes en el comercio del bien o servicio. Las características del bien o servicio deben ser las mismas entre una contratación y otra.</w:t>
      </w:r>
    </w:p>
    <w:p w14:paraId="7263D124" w14:textId="77777777" w:rsidR="000352FE" w:rsidRPr="00B45CE3" w:rsidRDefault="000352FE" w:rsidP="000352FE">
      <w:pPr>
        <w:spacing w:after="0" w:line="276" w:lineRule="auto"/>
        <w:ind w:left="1080"/>
        <w:contextualSpacing/>
        <w:jc w:val="both"/>
        <w:rPr>
          <w:rFonts w:ascii="Verdana" w:eastAsia="Calibri" w:hAnsi="Verdana" w:cs="Arial"/>
        </w:rPr>
      </w:pPr>
    </w:p>
    <w:p w14:paraId="7A5B5234" w14:textId="77777777" w:rsidR="000352FE" w:rsidRDefault="000352FE" w:rsidP="000352FE">
      <w:pPr>
        <w:pStyle w:val="Prrafodelista"/>
        <w:numPr>
          <w:ilvl w:val="0"/>
          <w:numId w:val="16"/>
        </w:numPr>
        <w:spacing w:after="120" w:line="276" w:lineRule="auto"/>
        <w:jc w:val="both"/>
        <w:rPr>
          <w:rFonts w:ascii="Verdana" w:eastAsia="Calibri" w:hAnsi="Verdana" w:cs="Arial"/>
          <w:szCs w:val="24"/>
          <w:lang w:eastAsia="es-ES_tradnl"/>
        </w:rPr>
      </w:pPr>
      <w:bookmarkStart w:id="6" w:name="_Hlk139466471"/>
      <w:bookmarkEnd w:id="3"/>
      <w:r w:rsidRPr="006D7828">
        <w:rPr>
          <w:rFonts w:ascii="Verdana" w:eastAsia="Calibri" w:hAnsi="Verdana" w:cs="Arial"/>
          <w:szCs w:val="24"/>
          <w:lang w:eastAsia="es-ES_tradnl"/>
        </w:rPr>
        <w:t>Como se observa, la Guía de Elaboración de Estudios del Sector</w:t>
      </w:r>
      <w:r>
        <w:rPr>
          <w:rFonts w:ascii="Verdana" w:eastAsia="Calibri" w:hAnsi="Verdana" w:cs="Arial"/>
          <w:szCs w:val="24"/>
          <w:lang w:eastAsia="es-ES_tradnl"/>
        </w:rPr>
        <w:t xml:space="preserve"> </w:t>
      </w:r>
      <w:r w:rsidRPr="006D7828">
        <w:rPr>
          <w:rFonts w:ascii="Verdana" w:eastAsia="Calibri" w:hAnsi="Verdana" w:cs="Arial"/>
          <w:szCs w:val="24"/>
          <w:lang w:eastAsia="es-ES_tradnl"/>
        </w:rPr>
        <w:t xml:space="preserve">recomienda como mecanismo para la elaboración de </w:t>
      </w:r>
      <w:r w:rsidRPr="006D7828">
        <w:rPr>
          <w:rFonts w:ascii="Verdana" w:eastAsia="Calibri" w:hAnsi="Verdana" w:cs="Arial"/>
          <w:i/>
          <w:iCs/>
          <w:szCs w:val="24"/>
          <w:lang w:eastAsia="es-ES_tradnl"/>
        </w:rPr>
        <w:t>estudios del mercado</w:t>
      </w:r>
      <w:r w:rsidRPr="006D7828">
        <w:rPr>
          <w:rFonts w:ascii="Verdana" w:eastAsia="Calibri" w:hAnsi="Verdana" w:cs="Arial"/>
          <w:szCs w:val="24"/>
          <w:lang w:eastAsia="es-ES_tradnl"/>
        </w:rPr>
        <w:t>, que sirvan para entender la dinámica de los precios y establecer el presupuesto oficial de la contratación, requerir a los potenciales proveedores a fin de que remitan la información necesaria para determinar diversos aspectos de los bienes o servicios a contratar, entre ellos su valor, especificaciones técnicas, el plazo, entre otra información relevante. En principio, que un potencial proveedor participe en estos estudios del mercado, remitiendo cotizaciones por citar un ejemplo, no implica que en el futuro no pueda participar del Proceso de Contratación que se adelante.</w:t>
      </w:r>
      <w:bookmarkEnd w:id="6"/>
    </w:p>
    <w:p w14:paraId="1C6D861C" w14:textId="77777777" w:rsidR="000352FE" w:rsidRDefault="000352FE" w:rsidP="000352FE">
      <w:pPr>
        <w:spacing w:after="0" w:line="276" w:lineRule="auto"/>
        <w:ind w:left="720"/>
        <w:contextualSpacing/>
        <w:jc w:val="both"/>
        <w:rPr>
          <w:rFonts w:ascii="Verdana" w:eastAsia="Calibri" w:hAnsi="Verdana" w:cs="Arial"/>
        </w:rPr>
      </w:pPr>
    </w:p>
    <w:p w14:paraId="30BEA555" w14:textId="77777777" w:rsidR="000352FE" w:rsidRDefault="000352FE" w:rsidP="000352FE">
      <w:pPr>
        <w:pStyle w:val="Prrafodelista"/>
        <w:numPr>
          <w:ilvl w:val="0"/>
          <w:numId w:val="21"/>
        </w:numPr>
        <w:jc w:val="both"/>
        <w:rPr>
          <w:rFonts w:ascii="Verdana" w:eastAsia="Calibri" w:hAnsi="Verdana" w:cs="Arial"/>
        </w:rPr>
      </w:pPr>
      <w:r w:rsidRPr="00D56D20">
        <w:rPr>
          <w:rFonts w:ascii="Verdana" w:eastAsia="Calibri" w:hAnsi="Verdana" w:cs="Arial"/>
        </w:rPr>
        <w:t xml:space="preserve">En ese orden de ideas, el análisis del sector parte de un estudio desde una perspectiva multidisciplinaria, que implica los aspectos generales del mercado, el análisis de la demanda y de la oferta, así como el estudio del mercado que le permite a la entidad entender el mercado del bien, obra o servicio que pretenden adquirir, así como identificar los factores que inciden en el valor del contrato, tales como el análisis de precios, las cargas tributarias, la tasa de cambio, las garantías, los gastos de transporte, etc. Este análisis se debe consignar en los Documentos del </w:t>
      </w:r>
      <w:r w:rsidRPr="00D56D20">
        <w:rPr>
          <w:rFonts w:ascii="Verdana" w:eastAsia="Calibri" w:hAnsi="Verdana" w:cs="Arial"/>
        </w:rPr>
        <w:lastRenderedPageBreak/>
        <w:t xml:space="preserve">Proceso, bien sea en los estudios previos o en la información soporte de estos. </w:t>
      </w:r>
    </w:p>
    <w:p w14:paraId="1CD97A75" w14:textId="77777777" w:rsidR="000352FE" w:rsidRDefault="000352FE" w:rsidP="000352FE">
      <w:pPr>
        <w:pStyle w:val="Prrafodelista"/>
        <w:jc w:val="both"/>
        <w:rPr>
          <w:rFonts w:ascii="Verdana" w:eastAsia="Calibri" w:hAnsi="Verdana" w:cs="Arial"/>
        </w:rPr>
      </w:pPr>
    </w:p>
    <w:p w14:paraId="5E3BA668" w14:textId="77777777" w:rsidR="000352FE" w:rsidRPr="00C21798" w:rsidRDefault="000352FE" w:rsidP="000352FE">
      <w:pPr>
        <w:pStyle w:val="Prrafodelista"/>
        <w:numPr>
          <w:ilvl w:val="0"/>
          <w:numId w:val="21"/>
        </w:numPr>
        <w:spacing w:after="0" w:line="276" w:lineRule="auto"/>
        <w:jc w:val="both"/>
        <w:rPr>
          <w:rFonts w:ascii="Verdana" w:eastAsia="Calibri" w:hAnsi="Verdana" w:cs="Arial"/>
        </w:rPr>
      </w:pPr>
      <w:r w:rsidRPr="00C21798">
        <w:rPr>
          <w:rFonts w:ascii="Verdana" w:eastAsia="Times New Roman" w:hAnsi="Verdana" w:cs="Arial"/>
          <w:szCs w:val="24"/>
          <w:lang w:eastAsia="es-ES_tradnl"/>
        </w:rPr>
        <w:t>En conclusión,</w:t>
      </w:r>
      <w:r>
        <w:rPr>
          <w:rFonts w:ascii="Verdana" w:eastAsia="Times New Roman" w:hAnsi="Verdana" w:cs="Arial"/>
          <w:szCs w:val="24"/>
          <w:lang w:eastAsia="es-ES_tradnl"/>
        </w:rPr>
        <w:t xml:space="preserve"> las</w:t>
      </w:r>
      <w:r w:rsidRPr="00C21798">
        <w:rPr>
          <w:rFonts w:ascii="Verdana" w:eastAsia="Times New Roman" w:hAnsi="Verdana" w:cs="Arial"/>
          <w:szCs w:val="24"/>
          <w:lang w:eastAsia="es-ES_tradnl"/>
        </w:rPr>
        <w:t xml:space="preserve"> Entidades Estatales en el marco del principio de autonomía, se encuentran facultadas para determinar las metodologías que aplicarán para realizar el estudio de</w:t>
      </w:r>
      <w:r>
        <w:rPr>
          <w:rFonts w:ascii="Verdana" w:eastAsia="Times New Roman" w:hAnsi="Verdana" w:cs="Arial"/>
          <w:szCs w:val="24"/>
          <w:lang w:eastAsia="es-ES_tradnl"/>
        </w:rPr>
        <w:t>l sector y en particular, el estudio de</w:t>
      </w:r>
      <w:r w:rsidRPr="00C21798">
        <w:rPr>
          <w:rFonts w:ascii="Verdana" w:eastAsia="Times New Roman" w:hAnsi="Verdana" w:cs="Arial"/>
          <w:szCs w:val="24"/>
          <w:lang w:eastAsia="es-ES_tradnl"/>
        </w:rPr>
        <w:t xml:space="preserve"> mercado</w:t>
      </w:r>
      <w:r>
        <w:rPr>
          <w:rFonts w:ascii="Verdana" w:eastAsia="Times New Roman" w:hAnsi="Verdana" w:cs="Arial"/>
          <w:szCs w:val="24"/>
          <w:lang w:eastAsia="es-ES_tradnl"/>
        </w:rPr>
        <w:t xml:space="preserve">, </w:t>
      </w:r>
      <w:r w:rsidRPr="00C21798">
        <w:rPr>
          <w:rFonts w:ascii="Verdana" w:eastAsia="Times New Roman" w:hAnsi="Verdana" w:cs="Arial"/>
          <w:szCs w:val="24"/>
          <w:lang w:eastAsia="es-ES_tradnl"/>
        </w:rPr>
        <w:t>respecto del proceso de selección que pretendan adelantar</w:t>
      </w:r>
      <w:r>
        <w:rPr>
          <w:rFonts w:ascii="Verdana" w:eastAsia="Times New Roman" w:hAnsi="Verdana" w:cs="Arial"/>
          <w:szCs w:val="24"/>
          <w:lang w:eastAsia="es-ES_tradnl"/>
        </w:rPr>
        <w:t>.</w:t>
      </w:r>
      <w:r w:rsidRPr="00C21798">
        <w:rPr>
          <w:rFonts w:ascii="Verdana" w:eastAsia="Times New Roman" w:hAnsi="Verdana" w:cs="Arial"/>
          <w:szCs w:val="24"/>
          <w:lang w:eastAsia="es-ES_tradnl"/>
        </w:rPr>
        <w:t xml:space="preserve"> </w:t>
      </w:r>
      <w:r>
        <w:rPr>
          <w:rFonts w:ascii="Verdana" w:eastAsia="Times New Roman" w:hAnsi="Verdana" w:cs="Arial"/>
          <w:szCs w:val="24"/>
          <w:lang w:eastAsia="es-ES_tradnl"/>
        </w:rPr>
        <w:t>E</w:t>
      </w:r>
      <w:r w:rsidRPr="00C21798">
        <w:rPr>
          <w:rFonts w:ascii="Verdana" w:eastAsia="Times New Roman" w:hAnsi="Verdana" w:cs="Arial"/>
          <w:szCs w:val="24"/>
          <w:lang w:eastAsia="es-ES_tradnl"/>
        </w:rPr>
        <w:t>sto, claramente, bajo la observancia de las reglas dispuestas en las normas generales aplicables a la contratación pública –Ley 80 de 1993, Ley 1150 de 2007, Decreto 1082 de 2015, entre otras–.</w:t>
      </w:r>
    </w:p>
    <w:p w14:paraId="316BBDB2" w14:textId="77777777" w:rsidR="000352FE" w:rsidRPr="00C21798" w:rsidRDefault="000352FE" w:rsidP="000352FE">
      <w:pPr>
        <w:pStyle w:val="Prrafodelista"/>
        <w:rPr>
          <w:rFonts w:ascii="Verdana" w:eastAsia="Calibri" w:hAnsi="Verdana" w:cs="Arial"/>
        </w:rPr>
      </w:pPr>
    </w:p>
    <w:p w14:paraId="0D592E4F" w14:textId="77777777" w:rsidR="000352FE" w:rsidRPr="00FC49A2" w:rsidRDefault="000352FE" w:rsidP="000352FE">
      <w:pPr>
        <w:numPr>
          <w:ilvl w:val="0"/>
          <w:numId w:val="16"/>
        </w:numPr>
        <w:spacing w:after="0" w:line="276" w:lineRule="auto"/>
        <w:contextualSpacing/>
        <w:jc w:val="both"/>
        <w:rPr>
          <w:rFonts w:ascii="Verdana" w:eastAsia="Calibri" w:hAnsi="Verdana" w:cs="Arial"/>
        </w:rPr>
      </w:pPr>
      <w:r w:rsidRPr="00FC49A2">
        <w:rPr>
          <w:rFonts w:ascii="Verdana" w:eastAsia="Calibri" w:hAnsi="Verdana" w:cs="Times New Roman"/>
          <w:lang w:val="es-ES"/>
        </w:rPr>
        <w:t xml:space="preserve">Finalmente, debe destacarse que la Agencia Nacional de Contratación Pública – Colombia Compra Eficiente, </w:t>
      </w:r>
      <w:r>
        <w:rPr>
          <w:rFonts w:ascii="Verdana" w:eastAsia="Calibri" w:hAnsi="Verdana" w:cs="Times New Roman"/>
          <w:lang w:val="es-ES"/>
        </w:rPr>
        <w:t>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1523B9B" w14:textId="77777777" w:rsidR="000352FE" w:rsidRPr="00FC49A2" w:rsidRDefault="000352FE" w:rsidP="000352FE">
      <w:pPr>
        <w:widowControl w:val="0"/>
        <w:autoSpaceDE w:val="0"/>
        <w:autoSpaceDN w:val="0"/>
        <w:spacing w:after="0" w:line="276" w:lineRule="auto"/>
        <w:contextualSpacing/>
        <w:jc w:val="both"/>
        <w:rPr>
          <w:rFonts w:ascii="Verdana" w:eastAsia="Aptos" w:hAnsi="Verdana" w:cs="Arial"/>
        </w:rPr>
      </w:pPr>
    </w:p>
    <w:p w14:paraId="3AC577E9" w14:textId="77777777" w:rsidR="000352FE" w:rsidRPr="00FC49A2" w:rsidRDefault="000352FE" w:rsidP="000352FE">
      <w:pPr>
        <w:widowControl w:val="0"/>
        <w:autoSpaceDE w:val="0"/>
        <w:autoSpaceDN w:val="0"/>
        <w:spacing w:before="1" w:after="0" w:line="240" w:lineRule="auto"/>
        <w:outlineLvl w:val="0"/>
        <w:rPr>
          <w:rFonts w:ascii="Arial" w:eastAsia="Arial" w:hAnsi="Arial" w:cs="Arial"/>
          <w:b/>
          <w:bCs/>
          <w:lang w:val="es-ES"/>
        </w:rPr>
      </w:pPr>
      <w:r w:rsidRPr="00FC49A2">
        <w:rPr>
          <w:rFonts w:ascii="Arial" w:eastAsia="Arial" w:hAnsi="Arial" w:cs="Arial"/>
          <w:b/>
          <w:bCs/>
          <w:lang w:val="es-ES"/>
        </w:rPr>
        <w:t>4.</w:t>
      </w:r>
      <w:r w:rsidRPr="00FC49A2">
        <w:rPr>
          <w:rFonts w:ascii="Verdana" w:eastAsia="Arial" w:hAnsi="Verdana" w:cs="Arial"/>
          <w:b/>
          <w:bCs/>
          <w:lang w:val="es-ES"/>
        </w:rPr>
        <w:t>Referencias normativas, jurisprudenciales y otras fuentes:</w:t>
      </w:r>
    </w:p>
    <w:p w14:paraId="4495EDE0" w14:textId="77777777" w:rsidR="000352FE" w:rsidRPr="00FC49A2" w:rsidRDefault="000352FE" w:rsidP="000352FE">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352FE" w:rsidRPr="00FC49A2" w14:paraId="18C61EEC" w14:textId="77777777" w:rsidTr="00FF0740">
        <w:trPr>
          <w:trHeight w:val="870"/>
        </w:trPr>
        <w:tc>
          <w:tcPr>
            <w:tcW w:w="8647" w:type="dxa"/>
          </w:tcPr>
          <w:p w14:paraId="46D3881C" w14:textId="77777777" w:rsidR="000352FE" w:rsidRPr="007B2094" w:rsidRDefault="000352FE" w:rsidP="000352F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7B2094">
              <w:rPr>
                <w:rFonts w:ascii="Verdana" w:eastAsia="Calibri" w:hAnsi="Verdana" w:cs="Arial"/>
                <w:lang w:val="es-ES"/>
              </w:rPr>
              <w:t>Ley 80 de 1993</w:t>
            </w:r>
            <w:r>
              <w:rPr>
                <w:rFonts w:ascii="Verdana" w:eastAsia="Calibri" w:hAnsi="Verdana" w:cs="Arial"/>
                <w:lang w:val="es-ES"/>
              </w:rPr>
              <w:t>.</w:t>
            </w:r>
            <w:r w:rsidRPr="007B2094">
              <w:rPr>
                <w:rFonts w:ascii="Verdana" w:eastAsia="Calibri" w:hAnsi="Verdana" w:cs="Arial"/>
                <w:lang w:val="es-ES"/>
              </w:rPr>
              <w:t xml:space="preserve"> </w:t>
            </w:r>
            <w:r>
              <w:rPr>
                <w:rFonts w:ascii="Verdana" w:eastAsia="Calibri" w:hAnsi="Verdana" w:cs="Arial"/>
                <w:lang w:val="es-ES"/>
              </w:rPr>
              <w:t>A</w:t>
            </w:r>
            <w:r w:rsidRPr="007B2094">
              <w:rPr>
                <w:rFonts w:ascii="Verdana" w:eastAsia="Calibri" w:hAnsi="Verdana" w:cs="Arial"/>
                <w:lang w:val="es-ES"/>
              </w:rPr>
              <w:t xml:space="preserve">rtículo 25 </w:t>
            </w:r>
          </w:p>
          <w:p w14:paraId="3C197CEE" w14:textId="77777777" w:rsidR="000352FE" w:rsidRPr="007B2094" w:rsidRDefault="000352FE" w:rsidP="000352F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7B2094">
              <w:rPr>
                <w:rFonts w:ascii="Verdana" w:eastAsia="Calibri" w:hAnsi="Verdana" w:cs="Arial"/>
                <w:lang w:val="es-ES"/>
              </w:rPr>
              <w:t>Decreto 1082 de 2015</w:t>
            </w:r>
            <w:r>
              <w:rPr>
                <w:rFonts w:ascii="Verdana" w:eastAsia="Calibri" w:hAnsi="Verdana" w:cs="Arial"/>
                <w:lang w:val="es-ES"/>
              </w:rPr>
              <w:t>.</w:t>
            </w:r>
            <w:r w:rsidRPr="007B2094">
              <w:rPr>
                <w:rFonts w:ascii="Verdana" w:eastAsia="Calibri" w:hAnsi="Verdana" w:cs="Arial"/>
                <w:lang w:val="es-ES"/>
              </w:rPr>
              <w:t xml:space="preserve"> </w:t>
            </w:r>
            <w:r>
              <w:rPr>
                <w:rFonts w:ascii="Verdana" w:eastAsia="Calibri" w:hAnsi="Verdana" w:cs="Arial"/>
                <w:lang w:val="es-ES"/>
              </w:rPr>
              <w:t>A</w:t>
            </w:r>
            <w:r w:rsidRPr="007B2094">
              <w:rPr>
                <w:rFonts w:ascii="Verdana" w:eastAsia="Calibri" w:hAnsi="Verdana" w:cs="Arial"/>
                <w:lang w:val="es-ES"/>
              </w:rPr>
              <w:t>rtículos 2.2.1.1.2.1.1. y 2.2.1.1.1.6.1.</w:t>
            </w:r>
          </w:p>
          <w:p w14:paraId="38DA795F" w14:textId="77777777" w:rsidR="000352FE" w:rsidRDefault="000352FE" w:rsidP="000352F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7B2094">
              <w:rPr>
                <w:rFonts w:ascii="Verdana" w:eastAsia="Calibri" w:hAnsi="Verdana" w:cs="Arial"/>
                <w:lang w:val="es-ES"/>
              </w:rPr>
              <w:t xml:space="preserve">Consejo de Estado. Sección Tercera. Subsección B. Sentencia del 31 de agosto de 2011. </w:t>
            </w:r>
            <w:proofErr w:type="spellStart"/>
            <w:r w:rsidRPr="007B2094">
              <w:rPr>
                <w:rFonts w:ascii="Verdana" w:eastAsia="Calibri" w:hAnsi="Verdana" w:cs="Arial"/>
                <w:lang w:val="es-ES"/>
              </w:rPr>
              <w:t>Exp</w:t>
            </w:r>
            <w:proofErr w:type="spellEnd"/>
            <w:r w:rsidRPr="007B2094">
              <w:rPr>
                <w:rFonts w:ascii="Verdana" w:eastAsia="Calibri" w:hAnsi="Verdana" w:cs="Arial"/>
                <w:lang w:val="es-ES"/>
              </w:rPr>
              <w:t>. 18.080.</w:t>
            </w:r>
          </w:p>
          <w:p w14:paraId="306F1338" w14:textId="77777777" w:rsidR="000352FE" w:rsidRDefault="000352FE" w:rsidP="000352F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7B2094">
              <w:rPr>
                <w:rFonts w:ascii="Verdana" w:eastAsia="Calibri" w:hAnsi="Verdana" w:cs="Arial"/>
                <w:lang w:val="es-ES"/>
              </w:rPr>
              <w:t>Guía de Elaboración de Estudios de Sector</w:t>
            </w:r>
            <w:r>
              <w:rPr>
                <w:rFonts w:ascii="Verdana" w:eastAsia="Calibri" w:hAnsi="Verdana" w:cs="Arial"/>
                <w:lang w:val="es-ES"/>
              </w:rPr>
              <w:t>:</w:t>
            </w:r>
          </w:p>
          <w:p w14:paraId="30411FCA" w14:textId="77777777" w:rsidR="000352FE" w:rsidRDefault="004D5090" w:rsidP="00FF0740">
            <w:pPr>
              <w:widowControl w:val="0"/>
              <w:autoSpaceDE w:val="0"/>
              <w:autoSpaceDN w:val="0"/>
              <w:spacing w:after="120" w:line="276" w:lineRule="auto"/>
              <w:ind w:left="720"/>
              <w:contextualSpacing/>
              <w:jc w:val="both"/>
              <w:rPr>
                <w:rFonts w:ascii="Verdana" w:eastAsia="Calibri" w:hAnsi="Verdana" w:cs="Arial"/>
                <w:lang w:val="es-ES"/>
              </w:rPr>
            </w:pPr>
            <w:hyperlink r:id="rId13" w:history="1">
              <w:r w:rsidR="000352FE" w:rsidRPr="001C6E04">
                <w:rPr>
                  <w:rStyle w:val="Hipervnculo"/>
                  <w:rFonts w:ascii="Verdana" w:eastAsia="Calibri" w:hAnsi="Verdana" w:cs="Arial"/>
                  <w:lang w:val="es-ES"/>
                </w:rPr>
                <w:t>https://www.colombiacompra.gov.co/sites/cce_public/files/cce_documentos/cce-eicp-gi-18._gees_v.2_2.pdf</w:t>
              </w:r>
            </w:hyperlink>
            <w:r w:rsidR="000352FE">
              <w:rPr>
                <w:rFonts w:ascii="Verdana" w:eastAsia="Calibri" w:hAnsi="Verdana" w:cs="Arial"/>
                <w:lang w:val="es-ES"/>
              </w:rPr>
              <w:t xml:space="preserve"> </w:t>
            </w:r>
          </w:p>
          <w:p w14:paraId="4D6D570F" w14:textId="77777777" w:rsidR="000352FE" w:rsidRPr="007B2094" w:rsidRDefault="000352FE" w:rsidP="000352FE">
            <w:pPr>
              <w:widowControl w:val="0"/>
              <w:numPr>
                <w:ilvl w:val="0"/>
                <w:numId w:val="17"/>
              </w:numPr>
              <w:autoSpaceDE w:val="0"/>
              <w:autoSpaceDN w:val="0"/>
              <w:spacing w:after="120" w:line="276" w:lineRule="auto"/>
              <w:contextualSpacing/>
              <w:jc w:val="both"/>
              <w:rPr>
                <w:rFonts w:ascii="Verdana" w:eastAsia="Calibri" w:hAnsi="Verdana" w:cs="Arial"/>
                <w:lang w:val="es-ES"/>
              </w:rPr>
            </w:pPr>
            <w:r w:rsidRPr="008C58B6">
              <w:rPr>
                <w:rFonts w:ascii="Verdana" w:eastAsia="Calibri" w:hAnsi="Verdana" w:cs="Arial"/>
                <w:lang w:val="es-ES"/>
              </w:rPr>
              <w:t>DEIK ACOSTAMADIEDO, Carolina, Guía de Contratación Estatal: Deber de planeación y modalidades de selección, Buenos Aires, 2015, p. 59.</w:t>
            </w:r>
          </w:p>
          <w:p w14:paraId="76B1A9A5" w14:textId="77777777" w:rsidR="000352FE" w:rsidRPr="008C58B6" w:rsidRDefault="000352FE" w:rsidP="00FF0740">
            <w:pPr>
              <w:pStyle w:val="Prrafodelista"/>
              <w:widowControl w:val="0"/>
              <w:autoSpaceDE w:val="0"/>
              <w:autoSpaceDN w:val="0"/>
              <w:spacing w:after="120" w:line="276" w:lineRule="auto"/>
              <w:ind w:left="360"/>
              <w:jc w:val="both"/>
              <w:rPr>
                <w:rFonts w:ascii="Verdana" w:eastAsia="Calibri" w:hAnsi="Verdana" w:cs="Arial"/>
              </w:rPr>
            </w:pPr>
          </w:p>
        </w:tc>
      </w:tr>
    </w:tbl>
    <w:p w14:paraId="039D0081" w14:textId="77777777" w:rsidR="000352FE" w:rsidRPr="00FC49A2" w:rsidRDefault="000352FE" w:rsidP="000352FE">
      <w:pPr>
        <w:widowControl w:val="0"/>
        <w:autoSpaceDE w:val="0"/>
        <w:autoSpaceDN w:val="0"/>
        <w:spacing w:after="0" w:line="276" w:lineRule="auto"/>
        <w:jc w:val="both"/>
        <w:rPr>
          <w:rFonts w:ascii="Verdana" w:eastAsia="Aptos" w:hAnsi="Verdana" w:cs="Arial"/>
        </w:rPr>
      </w:pPr>
    </w:p>
    <w:p w14:paraId="39291441" w14:textId="77777777" w:rsidR="000352FE" w:rsidRPr="00FC49A2" w:rsidRDefault="000352FE" w:rsidP="000352FE">
      <w:pPr>
        <w:widowControl w:val="0"/>
        <w:autoSpaceDE w:val="0"/>
        <w:autoSpaceDN w:val="0"/>
        <w:spacing w:before="1" w:after="0" w:line="240" w:lineRule="auto"/>
        <w:outlineLvl w:val="0"/>
        <w:rPr>
          <w:rFonts w:ascii="Verdana" w:eastAsia="Arial" w:hAnsi="Verdana" w:cs="Arial"/>
          <w:b/>
          <w:bCs/>
          <w:lang w:val="es-ES"/>
        </w:rPr>
      </w:pPr>
      <w:r w:rsidRPr="00FC49A2">
        <w:rPr>
          <w:rFonts w:ascii="Verdana" w:eastAsia="Arial" w:hAnsi="Verdana" w:cs="Arial"/>
          <w:b/>
          <w:bCs/>
          <w:lang w:val="es-ES"/>
        </w:rPr>
        <w:t>5. Doctrina de la Agencia Nacional de Contratación Pública:</w:t>
      </w:r>
    </w:p>
    <w:p w14:paraId="77FACEB6" w14:textId="77777777" w:rsidR="000352FE" w:rsidRPr="006E7036" w:rsidRDefault="000352FE" w:rsidP="000352FE">
      <w:pPr>
        <w:widowControl w:val="0"/>
        <w:autoSpaceDE w:val="0"/>
        <w:autoSpaceDN w:val="0"/>
        <w:spacing w:after="0" w:line="276" w:lineRule="auto"/>
        <w:jc w:val="both"/>
        <w:rPr>
          <w:rFonts w:ascii="Verdana" w:eastAsia="Aptos" w:hAnsi="Verdana" w:cs="Arial"/>
        </w:rPr>
      </w:pPr>
    </w:p>
    <w:p w14:paraId="6BD918CC" w14:textId="77777777" w:rsidR="000352FE" w:rsidRDefault="000352FE" w:rsidP="000352FE">
      <w:pPr>
        <w:widowControl w:val="0"/>
        <w:autoSpaceDE w:val="0"/>
        <w:autoSpaceDN w:val="0"/>
        <w:spacing w:after="0" w:line="276" w:lineRule="auto"/>
        <w:jc w:val="both"/>
        <w:rPr>
          <w:rFonts w:ascii="Verdana" w:eastAsia="Aptos" w:hAnsi="Verdana" w:cs="Arial"/>
          <w:shd w:val="clear" w:color="auto" w:fill="FFFFFF"/>
          <w:lang w:val="es-ES"/>
        </w:rPr>
      </w:pPr>
      <w:r>
        <w:rPr>
          <w:rFonts w:ascii="Verdana" w:eastAsia="Aptos" w:hAnsi="Verdana" w:cs="Arial"/>
          <w:shd w:val="clear" w:color="auto" w:fill="FFFFFF"/>
          <w:lang w:val="es-ES"/>
        </w:rPr>
        <w:t xml:space="preserve">Sobre </w:t>
      </w:r>
      <w:r w:rsidRPr="00B83E79">
        <w:rPr>
          <w:rFonts w:ascii="Verdana" w:eastAsia="Aptos" w:hAnsi="Verdana" w:cs="Arial"/>
          <w:shd w:val="clear" w:color="auto" w:fill="FFFFFF"/>
          <w:lang w:val="es-ES"/>
        </w:rPr>
        <w:t>el deber de elaborar análisis del sector frente a procesos de contratación</w:t>
      </w:r>
      <w:r>
        <w:rPr>
          <w:rFonts w:ascii="Verdana" w:eastAsia="Aptos" w:hAnsi="Verdana" w:cs="Arial"/>
          <w:shd w:val="clear" w:color="auto" w:fill="FFFFFF"/>
          <w:lang w:val="es-ES"/>
        </w:rPr>
        <w:t>,</w:t>
      </w:r>
      <w:r w:rsidRPr="00B83E79">
        <w:rPr>
          <w:rFonts w:ascii="Verdana" w:eastAsia="Aptos" w:hAnsi="Verdana" w:cs="Arial"/>
          <w:shd w:val="clear" w:color="auto" w:fill="FFFFFF"/>
          <w:lang w:val="es-ES"/>
        </w:rPr>
        <w:t xml:space="preserve"> se pronunció esta Subdirección en los conceptos 2202013000000037 del 7 de enero de 2020, C-223 del 29 de abril de 2020 y C-148 de 2021. Igualmente, se reiteran los Conceptos C-387 del 23 de junio de 2020, C-415 del 7 de julio de </w:t>
      </w:r>
      <w:r w:rsidRPr="00B83E79">
        <w:rPr>
          <w:rFonts w:ascii="Verdana" w:eastAsia="Aptos" w:hAnsi="Verdana" w:cs="Arial"/>
          <w:shd w:val="clear" w:color="auto" w:fill="FFFFFF"/>
          <w:lang w:val="es-ES"/>
        </w:rPr>
        <w:lastRenderedPageBreak/>
        <w:t>2020, C-443 del 7 de julio de 2020, C-387 del 23 de junio de 2020, C-223 del 29 de abril de 2020, C-671 de 2020 de 23 de noviembre de 2020, C-215 del 12 de mayo de 2021, C-742 del 27 de diciembre de 2021, C-519 del 13 de septiembre de 2022, C-716 del 15 de noviembre de 2022, C-856 del 13 de diciembre de 2022, C-235 del 5 de julio de 2023</w:t>
      </w:r>
      <w:r>
        <w:rPr>
          <w:rFonts w:ascii="Verdana" w:eastAsia="Aptos" w:hAnsi="Verdana" w:cs="Arial"/>
          <w:shd w:val="clear" w:color="auto" w:fill="FFFFFF"/>
          <w:lang w:val="es-ES"/>
        </w:rPr>
        <w:t xml:space="preserve">, C-124 del 24 de julio de 2024, C-168 del 25 de julio 2024, C-258 del 12 de agosto de 2024, C-255 del 14 de agosto de 2024, entre otros. </w:t>
      </w:r>
      <w:r w:rsidRPr="00B242B3">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B4257D">
          <w:rPr>
            <w:rStyle w:val="Hipervnculo"/>
            <w:rFonts w:ascii="Verdana" w:eastAsia="Aptos" w:hAnsi="Verdana" w:cs="Arial"/>
            <w:shd w:val="clear" w:color="auto" w:fill="FFFFFF"/>
            <w:lang w:val="es-ES"/>
          </w:rPr>
          <w:t>https://relatoria.colombiacompra.gov.co/</w:t>
        </w:r>
      </w:hyperlink>
      <w:r w:rsidRPr="00B242B3">
        <w:rPr>
          <w:rFonts w:ascii="Verdana" w:eastAsia="Aptos" w:hAnsi="Verdana" w:cs="Arial"/>
          <w:shd w:val="clear" w:color="auto" w:fill="FFFFFF"/>
          <w:lang w:val="es-ES"/>
        </w:rPr>
        <w:t xml:space="preserve">. </w:t>
      </w:r>
    </w:p>
    <w:p w14:paraId="02992D8B" w14:textId="77777777" w:rsidR="000352FE" w:rsidRDefault="000352FE" w:rsidP="000352FE">
      <w:pPr>
        <w:widowControl w:val="0"/>
        <w:autoSpaceDE w:val="0"/>
        <w:autoSpaceDN w:val="0"/>
        <w:spacing w:after="0" w:line="276" w:lineRule="auto"/>
        <w:jc w:val="both"/>
        <w:rPr>
          <w:rFonts w:ascii="Verdana" w:eastAsia="Aptos" w:hAnsi="Verdana" w:cs="Arial"/>
          <w:shd w:val="clear" w:color="auto" w:fill="FFFFFF"/>
          <w:lang w:val="es-ES"/>
        </w:rPr>
      </w:pPr>
    </w:p>
    <w:p w14:paraId="4974E278" w14:textId="77777777" w:rsidR="000352FE" w:rsidRPr="00FC49A2" w:rsidRDefault="000352FE" w:rsidP="000352FE">
      <w:pPr>
        <w:widowControl w:val="0"/>
        <w:autoSpaceDE w:val="0"/>
        <w:autoSpaceDN w:val="0"/>
        <w:spacing w:after="0" w:line="276" w:lineRule="auto"/>
        <w:jc w:val="both"/>
        <w:rPr>
          <w:rFonts w:ascii="Verdana" w:eastAsia="Aptos" w:hAnsi="Verdana" w:cs="Arial"/>
          <w:shd w:val="clear" w:color="auto" w:fill="FFFFFF"/>
          <w:lang w:val="es-ES"/>
        </w:rPr>
      </w:pPr>
      <w:r w:rsidRPr="00B242B3">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5" w:history="1">
        <w:r w:rsidRPr="00B4257D">
          <w:rPr>
            <w:rStyle w:val="Hipervnculo"/>
            <w:rFonts w:ascii="Verdana" w:eastAsia="Aptos" w:hAnsi="Verdana" w:cs="Arial"/>
            <w:shd w:val="clear" w:color="auto" w:fill="FFFFFF"/>
            <w:lang w:val="es-ES"/>
          </w:rPr>
          <w:t>https://www.colombiacompra.gov.co/sites/cce_public/files/files_2020/boletin_de_realtoria_iii.pdf</w:t>
        </w:r>
      </w:hyperlink>
      <w:r w:rsidRPr="00B242B3">
        <w:rPr>
          <w:rFonts w:ascii="Verdana" w:eastAsia="Aptos" w:hAnsi="Verdana" w:cs="Arial"/>
          <w:shd w:val="clear" w:color="auto" w:fill="FFFFFF"/>
          <w:lang w:val="es-ES"/>
        </w:rPr>
        <w:t xml:space="preserve">. </w:t>
      </w:r>
    </w:p>
    <w:p w14:paraId="6DEF4191" w14:textId="77777777" w:rsidR="000352FE" w:rsidRPr="00FC49A2" w:rsidRDefault="000352FE" w:rsidP="000352FE">
      <w:pPr>
        <w:widowControl w:val="0"/>
        <w:autoSpaceDE w:val="0"/>
        <w:autoSpaceDN w:val="0"/>
        <w:spacing w:after="0" w:line="276" w:lineRule="auto"/>
        <w:jc w:val="both"/>
        <w:rPr>
          <w:rFonts w:ascii="Verdana" w:eastAsia="Aptos" w:hAnsi="Verdana" w:cs="Arial"/>
          <w:shd w:val="clear" w:color="auto" w:fill="FFFFFF"/>
          <w:lang w:val="es-ES"/>
        </w:rPr>
      </w:pPr>
    </w:p>
    <w:p w14:paraId="2DFF8948" w14:textId="091BC035" w:rsidR="000352FE" w:rsidRPr="0044528D" w:rsidRDefault="000352FE" w:rsidP="000352FE">
      <w:pPr>
        <w:spacing w:after="0" w:line="240" w:lineRule="auto"/>
        <w:jc w:val="both"/>
        <w:rPr>
          <w:rFonts w:ascii="Verdana" w:hAnsi="Verdana"/>
        </w:rPr>
      </w:pPr>
      <w:r w:rsidRPr="0044528D">
        <w:rPr>
          <w:rFonts w:ascii="Verdana" w:hAnsi="Verdana"/>
        </w:rPr>
        <w:t xml:space="preserve">Por último, lo invitamos a seguirnos en las redes sociales en las cuales se difunde información institucional: </w:t>
      </w:r>
    </w:p>
    <w:p w14:paraId="3F42646D" w14:textId="77777777" w:rsidR="000352FE" w:rsidRPr="0044528D" w:rsidRDefault="000352FE" w:rsidP="000352FE">
      <w:pPr>
        <w:spacing w:after="0" w:line="240" w:lineRule="auto"/>
        <w:jc w:val="both"/>
        <w:rPr>
          <w:rFonts w:ascii="Verdana" w:hAnsi="Verdana"/>
        </w:rPr>
      </w:pPr>
    </w:p>
    <w:p w14:paraId="71137832" w14:textId="77777777" w:rsidR="000352FE" w:rsidRPr="0044528D" w:rsidRDefault="000352FE" w:rsidP="000352FE">
      <w:pPr>
        <w:spacing w:after="0" w:line="240" w:lineRule="auto"/>
        <w:jc w:val="both"/>
        <w:rPr>
          <w:rFonts w:ascii="Verdana" w:hAnsi="Verdana"/>
        </w:rPr>
      </w:pPr>
      <w:r w:rsidRPr="0044528D">
        <w:rPr>
          <w:rFonts w:ascii="Verdana" w:hAnsi="Verdana"/>
        </w:rPr>
        <w:t xml:space="preserve">Twitter: </w:t>
      </w:r>
      <w:r w:rsidRPr="00713D52">
        <w:rPr>
          <w:rStyle w:val="Hipervnculo"/>
          <w:rFonts w:ascii="Verdana" w:hAnsi="Verdana" w:cs="Arial"/>
          <w:shd w:val="clear" w:color="auto" w:fill="FFFFFF"/>
          <w:lang w:val="es-ES"/>
        </w:rPr>
        <w:t>@</w:t>
      </w:r>
      <w:proofErr w:type="spellStart"/>
      <w:r w:rsidRPr="00713D52">
        <w:rPr>
          <w:rStyle w:val="Hipervnculo"/>
          <w:rFonts w:ascii="Verdana" w:hAnsi="Verdana" w:cs="Arial"/>
          <w:shd w:val="clear" w:color="auto" w:fill="FFFFFF"/>
          <w:lang w:val="es-ES"/>
        </w:rPr>
        <w:t>colombiacompra</w:t>
      </w:r>
      <w:proofErr w:type="spellEnd"/>
      <w:r w:rsidRPr="00FC49A2">
        <w:rPr>
          <w:rFonts w:ascii="Verdana" w:eastAsia="Aptos" w:hAnsi="Verdana" w:cs="Times New Roman"/>
          <w:color w:val="156082"/>
        </w:rPr>
        <w:t xml:space="preserve"> </w:t>
      </w:r>
    </w:p>
    <w:p w14:paraId="12F704C3" w14:textId="77777777" w:rsidR="000352FE" w:rsidRPr="0044528D" w:rsidRDefault="000352FE" w:rsidP="000352FE">
      <w:pPr>
        <w:spacing w:after="0" w:line="240" w:lineRule="auto"/>
        <w:jc w:val="both"/>
        <w:rPr>
          <w:rFonts w:ascii="Verdana" w:hAnsi="Verdana"/>
        </w:rPr>
      </w:pPr>
      <w:r w:rsidRPr="0044528D">
        <w:rPr>
          <w:rFonts w:ascii="Verdana" w:hAnsi="Verdana"/>
        </w:rPr>
        <w:t xml:space="preserve">Facebook: </w:t>
      </w:r>
      <w:proofErr w:type="spellStart"/>
      <w:r w:rsidRPr="00713D52">
        <w:rPr>
          <w:rStyle w:val="Hipervnculo"/>
          <w:rFonts w:ascii="Verdana" w:hAnsi="Verdana" w:cs="Arial"/>
          <w:shd w:val="clear" w:color="auto" w:fill="FFFFFF"/>
          <w:lang w:val="es-ES"/>
        </w:rPr>
        <w:t>ColombiaCompraEficiente</w:t>
      </w:r>
      <w:proofErr w:type="spellEnd"/>
    </w:p>
    <w:p w14:paraId="297E6437" w14:textId="77777777" w:rsidR="000352FE" w:rsidRPr="0044528D" w:rsidRDefault="000352FE" w:rsidP="000352FE">
      <w:pPr>
        <w:spacing w:after="0" w:line="240" w:lineRule="auto"/>
        <w:jc w:val="both"/>
        <w:rPr>
          <w:rFonts w:ascii="Verdana" w:hAnsi="Verdana"/>
        </w:rPr>
      </w:pPr>
      <w:r w:rsidRPr="0044528D">
        <w:rPr>
          <w:rFonts w:ascii="Verdana" w:hAnsi="Verdana"/>
        </w:rPr>
        <w:t xml:space="preserve">LinkedIn: </w:t>
      </w:r>
      <w:r w:rsidRPr="00713D52">
        <w:rPr>
          <w:rStyle w:val="Hipervnculo"/>
          <w:rFonts w:ascii="Verdana" w:hAnsi="Verdana" w:cs="Arial"/>
          <w:shd w:val="clear" w:color="auto" w:fill="FFFFFF"/>
          <w:lang w:val="es-ES"/>
        </w:rPr>
        <w:t>Agencia Nacional de Contratación Pública - Colombia Compra Eficiente</w:t>
      </w:r>
      <w:r w:rsidRPr="00FC49A2">
        <w:rPr>
          <w:rFonts w:ascii="Verdana" w:eastAsia="Aptos" w:hAnsi="Verdana" w:cs="Times New Roman"/>
          <w:color w:val="156082"/>
        </w:rPr>
        <w:t xml:space="preserve"> </w:t>
      </w:r>
      <w:r w:rsidRPr="0044528D">
        <w:rPr>
          <w:rFonts w:ascii="Verdana" w:hAnsi="Verdana"/>
        </w:rPr>
        <w:t xml:space="preserve">Instagram: </w:t>
      </w:r>
      <w:r w:rsidRPr="00713D52">
        <w:rPr>
          <w:rStyle w:val="Hipervnculo"/>
          <w:rFonts w:ascii="Verdana" w:hAnsi="Verdana" w:cs="Arial"/>
          <w:shd w:val="clear" w:color="auto" w:fill="FFFFFF"/>
          <w:lang w:val="es-ES"/>
        </w:rPr>
        <w:t>@</w:t>
      </w:r>
      <w:proofErr w:type="spellStart"/>
      <w:r w:rsidRPr="00713D52">
        <w:rPr>
          <w:rStyle w:val="Hipervnculo"/>
          <w:rFonts w:ascii="Verdana" w:hAnsi="Verdana" w:cs="Arial"/>
          <w:shd w:val="clear" w:color="auto" w:fill="FFFFFF"/>
          <w:lang w:val="es-ES"/>
        </w:rPr>
        <w:t>colombiacompraeficiente_cce</w:t>
      </w:r>
      <w:proofErr w:type="spellEnd"/>
    </w:p>
    <w:p w14:paraId="70D74E5F" w14:textId="77777777" w:rsidR="000352FE" w:rsidRPr="0044528D" w:rsidRDefault="000352FE" w:rsidP="000352FE">
      <w:pPr>
        <w:widowControl w:val="0"/>
        <w:autoSpaceDE w:val="0"/>
        <w:autoSpaceDN w:val="0"/>
        <w:spacing w:after="0" w:line="276" w:lineRule="auto"/>
        <w:jc w:val="both"/>
        <w:rPr>
          <w:rFonts w:ascii="Verdana" w:hAnsi="Verdana"/>
        </w:rPr>
      </w:pPr>
    </w:p>
    <w:p w14:paraId="23B21C8C" w14:textId="77777777" w:rsidR="000352FE" w:rsidRPr="00FC49A2" w:rsidRDefault="000352FE" w:rsidP="000352FE">
      <w:pPr>
        <w:widowControl w:val="0"/>
        <w:autoSpaceDE w:val="0"/>
        <w:autoSpaceDN w:val="0"/>
        <w:spacing w:after="0" w:line="276" w:lineRule="auto"/>
        <w:jc w:val="both"/>
        <w:rPr>
          <w:rFonts w:ascii="Verdana" w:eastAsia="Aptos" w:hAnsi="Verdana" w:cs="Arial"/>
          <w:lang w:val="es-ES_tradnl"/>
        </w:rPr>
      </w:pPr>
      <w:r w:rsidRPr="00FC49A2">
        <w:rPr>
          <w:rFonts w:ascii="Verdana" w:eastAsia="Aptos" w:hAnsi="Verdana" w:cs="Arial"/>
        </w:rPr>
        <w:t xml:space="preserve">Este concepto tiene el alcance previsto en el artículo 28 del Código de Procedimiento Administrativo y de lo Contencioso Administrativo </w:t>
      </w:r>
      <w:r w:rsidRPr="00FC49A2">
        <w:rPr>
          <w:rFonts w:ascii="Verdana" w:eastAsia="Aptos" w:hAnsi="Verdana" w:cs="Arial"/>
          <w:lang w:val="es-ES_tradnl"/>
        </w:rPr>
        <w:t>y las expresiones aquí utilizadas con mayúscula inicial deben ser entendidas con el significado que les otorga el artículo 2.2.1.1.1.3.1. del Decreto 1082 de 2015.</w:t>
      </w:r>
    </w:p>
    <w:p w14:paraId="02FDE1AF" w14:textId="77777777" w:rsidR="000352FE" w:rsidRPr="00FC49A2" w:rsidRDefault="000352FE" w:rsidP="000352FE">
      <w:pPr>
        <w:widowControl w:val="0"/>
        <w:autoSpaceDE w:val="0"/>
        <w:autoSpaceDN w:val="0"/>
        <w:spacing w:after="0" w:line="276" w:lineRule="auto"/>
        <w:jc w:val="both"/>
        <w:rPr>
          <w:rFonts w:ascii="Verdana" w:eastAsia="Aptos" w:hAnsi="Verdana" w:cs="Arial"/>
        </w:rPr>
      </w:pPr>
    </w:p>
    <w:p w14:paraId="60C79A3D" w14:textId="4A7B3A4E" w:rsidR="000352FE" w:rsidRPr="00FC49A2" w:rsidRDefault="000352FE" w:rsidP="000352FE">
      <w:pPr>
        <w:spacing w:after="0" w:line="240" w:lineRule="auto"/>
        <w:rPr>
          <w:rFonts w:ascii="Verdana" w:eastAsia="Aptos" w:hAnsi="Verdana" w:cs="Arial"/>
          <w:lang w:eastAsia="es-CO"/>
        </w:rPr>
      </w:pPr>
      <w:r w:rsidRPr="00FC49A2">
        <w:rPr>
          <w:rFonts w:ascii="Verdana" w:eastAsia="Times New Roman" w:hAnsi="Verdana" w:cs="Arial"/>
          <w:lang w:eastAsia="es-CO"/>
        </w:rPr>
        <w:t>Atentamente,</w:t>
      </w:r>
    </w:p>
    <w:p w14:paraId="647501AF" w14:textId="5CFB4D22" w:rsidR="000352FE" w:rsidRPr="00FC49A2" w:rsidRDefault="00773E64" w:rsidP="000352FE">
      <w:pPr>
        <w:spacing w:line="276" w:lineRule="auto"/>
        <w:jc w:val="center"/>
        <w:rPr>
          <w:rFonts w:ascii="Verdana" w:eastAsia="Aptos" w:hAnsi="Verdana" w:cs="Arial"/>
          <w:lang w:val="es-ES_tradnl" w:eastAsia="es-CO"/>
        </w:rPr>
      </w:pPr>
      <w:r w:rsidRPr="00773E64">
        <w:rPr>
          <w:rFonts w:ascii="Verdana" w:eastAsia="Aptos" w:hAnsi="Verdana" w:cs="Arial"/>
          <w:noProof/>
          <w:lang w:eastAsia="es-CO"/>
        </w:rPr>
        <w:lastRenderedPageBreak/>
        <w:drawing>
          <wp:inline distT="0" distB="0" distL="0" distR="0" wp14:anchorId="6ED4128A" wp14:editId="7C2CC7D6">
            <wp:extent cx="3771900" cy="1400175"/>
            <wp:effectExtent l="0" t="0" r="0" b="9525"/>
            <wp:docPr id="155193523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773E64">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352FE" w:rsidRPr="00FC49A2" w14:paraId="4126F808" w14:textId="77777777" w:rsidTr="00FF0740">
        <w:trPr>
          <w:trHeight w:val="286"/>
        </w:trPr>
        <w:tc>
          <w:tcPr>
            <w:tcW w:w="901" w:type="dxa"/>
            <w:vAlign w:val="center"/>
            <w:hideMark/>
          </w:tcPr>
          <w:p w14:paraId="77CE7A27" w14:textId="77777777" w:rsidR="000352FE" w:rsidRPr="00FC49A2" w:rsidRDefault="000352FE" w:rsidP="00FF0740">
            <w:pPr>
              <w:rPr>
                <w:rFonts w:ascii="Verdana" w:eastAsia="Aptos" w:hAnsi="Verdana" w:cs="Arial"/>
                <w:sz w:val="14"/>
                <w:szCs w:val="14"/>
                <w:lang w:eastAsia="es-ES"/>
              </w:rPr>
            </w:pPr>
            <w:r w:rsidRPr="00FC49A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4731135E" w14:textId="77777777" w:rsidR="000352FE" w:rsidRPr="00FC49A2" w:rsidRDefault="000352FE" w:rsidP="00FF0740">
            <w:pPr>
              <w:rPr>
                <w:rFonts w:ascii="Verdana" w:eastAsia="Aptos" w:hAnsi="Verdana" w:cs="Arial"/>
                <w:sz w:val="14"/>
                <w:szCs w:val="14"/>
                <w:lang w:eastAsia="es-ES"/>
              </w:rPr>
            </w:pPr>
            <w:proofErr w:type="spellStart"/>
            <w:r w:rsidRPr="00FC49A2">
              <w:rPr>
                <w:rFonts w:ascii="Verdana" w:eastAsia="Aptos" w:hAnsi="Verdana" w:cs="Arial"/>
                <w:sz w:val="14"/>
                <w:szCs w:val="14"/>
                <w:lang w:eastAsia="es-ES"/>
              </w:rPr>
              <w:t>Nasly</w:t>
            </w:r>
            <w:proofErr w:type="spellEnd"/>
            <w:r w:rsidRPr="00FC49A2">
              <w:rPr>
                <w:rFonts w:ascii="Verdana" w:eastAsia="Aptos" w:hAnsi="Verdana" w:cs="Arial"/>
                <w:sz w:val="14"/>
                <w:szCs w:val="14"/>
                <w:lang w:eastAsia="es-ES"/>
              </w:rPr>
              <w:t xml:space="preserve"> </w:t>
            </w:r>
            <w:proofErr w:type="spellStart"/>
            <w:r w:rsidRPr="00FC49A2">
              <w:rPr>
                <w:rFonts w:ascii="Verdana" w:eastAsia="Aptos" w:hAnsi="Verdana" w:cs="Arial"/>
                <w:sz w:val="14"/>
                <w:szCs w:val="14"/>
                <w:lang w:eastAsia="es-ES"/>
              </w:rPr>
              <w:t>Yeana</w:t>
            </w:r>
            <w:proofErr w:type="spellEnd"/>
            <w:r w:rsidRPr="00FC49A2">
              <w:rPr>
                <w:rFonts w:ascii="Verdana" w:eastAsia="Aptos" w:hAnsi="Verdana" w:cs="Arial"/>
                <w:sz w:val="14"/>
                <w:szCs w:val="14"/>
                <w:lang w:eastAsia="es-ES"/>
              </w:rPr>
              <w:t xml:space="preserve"> Mosquera Rivas</w:t>
            </w:r>
          </w:p>
          <w:p w14:paraId="40C0D7E3" w14:textId="77777777" w:rsidR="000352FE" w:rsidRPr="00FC49A2" w:rsidRDefault="000352FE" w:rsidP="00FF0740">
            <w:pPr>
              <w:rPr>
                <w:rFonts w:ascii="Verdana" w:eastAsia="Aptos" w:hAnsi="Verdana" w:cs="Arial"/>
                <w:sz w:val="14"/>
                <w:szCs w:val="14"/>
                <w:lang w:eastAsia="es-ES"/>
              </w:rPr>
            </w:pPr>
            <w:r w:rsidRPr="00FC49A2">
              <w:rPr>
                <w:rFonts w:ascii="Verdana" w:eastAsia="Aptos" w:hAnsi="Verdana" w:cs="Arial"/>
                <w:sz w:val="14"/>
                <w:szCs w:val="14"/>
                <w:lang w:eastAsia="es-ES"/>
              </w:rPr>
              <w:t>Analista T2–06 de la Subdirección de Gestión Contractual</w:t>
            </w:r>
          </w:p>
        </w:tc>
      </w:tr>
      <w:tr w:rsidR="000352FE" w:rsidRPr="00FC49A2" w14:paraId="2F85EC2E" w14:textId="77777777" w:rsidTr="00FF0740">
        <w:trPr>
          <w:trHeight w:val="299"/>
        </w:trPr>
        <w:tc>
          <w:tcPr>
            <w:tcW w:w="901" w:type="dxa"/>
            <w:vAlign w:val="center"/>
          </w:tcPr>
          <w:p w14:paraId="0F061936" w14:textId="77777777" w:rsidR="000352FE" w:rsidRPr="00FC49A2" w:rsidRDefault="000352FE" w:rsidP="00FF0740">
            <w:pPr>
              <w:rPr>
                <w:rFonts w:ascii="Verdana" w:eastAsia="Aptos" w:hAnsi="Verdana" w:cs="Arial"/>
                <w:sz w:val="14"/>
                <w:szCs w:val="14"/>
                <w:lang w:eastAsia="es-ES"/>
              </w:rPr>
            </w:pPr>
            <w:r w:rsidRPr="00FC49A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801D8F9" w14:textId="77777777" w:rsidR="000352FE" w:rsidRPr="00FC49A2" w:rsidRDefault="000352FE" w:rsidP="00FF0740">
            <w:pPr>
              <w:rPr>
                <w:rFonts w:ascii="Verdana" w:eastAsia="Aptos" w:hAnsi="Verdana" w:cs="Arial"/>
                <w:sz w:val="14"/>
                <w:szCs w:val="14"/>
                <w:lang w:eastAsia="es-ES"/>
              </w:rPr>
            </w:pPr>
            <w:r>
              <w:rPr>
                <w:rFonts w:ascii="Verdana" w:eastAsia="Aptos" w:hAnsi="Verdana" w:cs="Arial"/>
                <w:sz w:val="14"/>
                <w:szCs w:val="14"/>
                <w:lang w:eastAsia="es-ES"/>
              </w:rPr>
              <w:t>Cielo Victoria Gonzáles Meza</w:t>
            </w:r>
          </w:p>
          <w:p w14:paraId="79EDB6AC" w14:textId="77777777" w:rsidR="000352FE" w:rsidRPr="00FC49A2" w:rsidRDefault="000352FE" w:rsidP="00FF0740">
            <w:pPr>
              <w:rPr>
                <w:rFonts w:ascii="Verdana" w:eastAsia="Aptos" w:hAnsi="Verdana" w:cs="Arial"/>
                <w:sz w:val="14"/>
                <w:szCs w:val="14"/>
                <w:lang w:eastAsia="es-ES"/>
              </w:rPr>
            </w:pPr>
            <w:r>
              <w:rPr>
                <w:rFonts w:ascii="Verdana" w:eastAsia="Aptos" w:hAnsi="Verdana" w:cs="Arial"/>
                <w:sz w:val="14"/>
                <w:szCs w:val="14"/>
                <w:lang w:eastAsia="es-ES"/>
              </w:rPr>
              <w:t xml:space="preserve">Contratista </w:t>
            </w:r>
            <w:r w:rsidRPr="00FC49A2">
              <w:rPr>
                <w:rFonts w:ascii="Verdana" w:eastAsia="Aptos" w:hAnsi="Verdana" w:cs="Arial"/>
                <w:sz w:val="14"/>
                <w:szCs w:val="14"/>
                <w:lang w:eastAsia="es-ES"/>
              </w:rPr>
              <w:t>de la Subdirección de Gestión Contractual</w:t>
            </w:r>
          </w:p>
        </w:tc>
      </w:tr>
      <w:tr w:rsidR="000352FE" w:rsidRPr="00FC49A2" w14:paraId="53C7437D" w14:textId="77777777" w:rsidTr="00FF0740">
        <w:trPr>
          <w:trHeight w:val="272"/>
        </w:trPr>
        <w:tc>
          <w:tcPr>
            <w:tcW w:w="901" w:type="dxa"/>
            <w:vAlign w:val="center"/>
            <w:hideMark/>
          </w:tcPr>
          <w:p w14:paraId="3FC278C1" w14:textId="77777777" w:rsidR="000352FE" w:rsidRPr="00FC49A2" w:rsidRDefault="000352FE" w:rsidP="00FF0740">
            <w:pPr>
              <w:rPr>
                <w:rFonts w:ascii="Verdana" w:eastAsia="Aptos" w:hAnsi="Verdana" w:cs="Arial"/>
                <w:sz w:val="14"/>
                <w:szCs w:val="14"/>
                <w:lang w:eastAsia="es-ES"/>
              </w:rPr>
            </w:pPr>
            <w:r w:rsidRPr="00FC49A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229F4800" w14:textId="77777777" w:rsidR="000352FE" w:rsidRPr="00FC49A2" w:rsidRDefault="000352FE" w:rsidP="00FF0740">
            <w:pPr>
              <w:rPr>
                <w:rFonts w:ascii="Verdana" w:eastAsia="Aptos" w:hAnsi="Verdana" w:cs="Arial"/>
                <w:sz w:val="14"/>
                <w:szCs w:val="14"/>
                <w:lang w:eastAsia="es-ES"/>
              </w:rPr>
            </w:pPr>
            <w:r w:rsidRPr="00FC49A2">
              <w:rPr>
                <w:rFonts w:ascii="Verdana" w:eastAsia="Aptos" w:hAnsi="Verdana" w:cs="Arial"/>
                <w:sz w:val="14"/>
                <w:szCs w:val="14"/>
                <w:lang w:eastAsia="es-ES"/>
              </w:rPr>
              <w:t xml:space="preserve">Carolina Quintero </w:t>
            </w:r>
            <w:proofErr w:type="spellStart"/>
            <w:r w:rsidRPr="00FC49A2">
              <w:rPr>
                <w:rFonts w:ascii="Verdana" w:eastAsia="Aptos" w:hAnsi="Verdana" w:cs="Arial"/>
                <w:sz w:val="14"/>
                <w:szCs w:val="14"/>
                <w:lang w:eastAsia="es-ES"/>
              </w:rPr>
              <w:t>Gacharná</w:t>
            </w:r>
            <w:proofErr w:type="spellEnd"/>
          </w:p>
          <w:p w14:paraId="5399F134" w14:textId="77777777" w:rsidR="000352FE" w:rsidRPr="00FC49A2" w:rsidRDefault="000352FE" w:rsidP="00FF0740">
            <w:pPr>
              <w:rPr>
                <w:rFonts w:ascii="Verdana" w:eastAsia="Aptos" w:hAnsi="Verdana" w:cs="Arial"/>
                <w:sz w:val="14"/>
                <w:szCs w:val="14"/>
                <w:lang w:eastAsia="es-ES"/>
              </w:rPr>
            </w:pPr>
            <w:r w:rsidRPr="00FC49A2">
              <w:rPr>
                <w:rFonts w:ascii="Verdana" w:eastAsia="Aptos" w:hAnsi="Verdana" w:cs="Arial"/>
                <w:sz w:val="14"/>
                <w:szCs w:val="14"/>
                <w:lang w:eastAsia="es-ES"/>
              </w:rPr>
              <w:t>Subdirectora de Gestión Contractual ANCP – CCE</w:t>
            </w:r>
          </w:p>
        </w:tc>
      </w:tr>
    </w:tbl>
    <w:p w14:paraId="1E74E5F5" w14:textId="77777777" w:rsidR="000352FE" w:rsidRPr="00FC49A2" w:rsidRDefault="000352FE" w:rsidP="000352FE">
      <w:pPr>
        <w:spacing w:after="0" w:line="240" w:lineRule="auto"/>
        <w:rPr>
          <w:rFonts w:ascii="Verdana" w:eastAsia="Times New Roman" w:hAnsi="Verdana" w:cs="Arial"/>
          <w:sz w:val="24"/>
          <w:szCs w:val="24"/>
          <w:lang w:eastAsia="es-ES"/>
        </w:rPr>
      </w:pPr>
    </w:p>
    <w:p w14:paraId="05A6AFCA" w14:textId="77777777" w:rsidR="000352FE" w:rsidRPr="00FC49A2" w:rsidRDefault="000352FE" w:rsidP="000352FE">
      <w:pPr>
        <w:rPr>
          <w:rFonts w:ascii="Aptos" w:eastAsia="Aptos" w:hAnsi="Aptos" w:cs="Times New Roman"/>
        </w:rPr>
      </w:pPr>
    </w:p>
    <w:p w14:paraId="66B28C4E" w14:textId="77777777" w:rsidR="000352FE" w:rsidRPr="00FC49A2" w:rsidRDefault="000352FE" w:rsidP="000352FE">
      <w:pPr>
        <w:rPr>
          <w:rFonts w:ascii="Aptos" w:eastAsia="Aptos" w:hAnsi="Aptos" w:cs="Times New Roman"/>
        </w:rPr>
      </w:pPr>
    </w:p>
    <w:p w14:paraId="6ABD87D1" w14:textId="77777777" w:rsidR="000352FE" w:rsidRPr="00FC49A2" w:rsidRDefault="000352FE" w:rsidP="000352FE">
      <w:pPr>
        <w:rPr>
          <w:rFonts w:ascii="Aptos" w:eastAsia="Aptos" w:hAnsi="Aptos" w:cs="Times New Roman"/>
        </w:rPr>
      </w:pPr>
    </w:p>
    <w:p w14:paraId="041043F5" w14:textId="77777777" w:rsidR="000352FE" w:rsidRPr="00FC49A2" w:rsidRDefault="000352FE" w:rsidP="000352FE">
      <w:pPr>
        <w:rPr>
          <w:rFonts w:ascii="Aptos" w:eastAsia="Aptos" w:hAnsi="Aptos" w:cs="Times New Roman"/>
        </w:rPr>
      </w:pPr>
    </w:p>
    <w:p w14:paraId="7F0BB81C" w14:textId="77777777" w:rsidR="000352FE" w:rsidRPr="00FC49A2" w:rsidRDefault="000352FE" w:rsidP="000352FE"/>
    <w:p w14:paraId="7FA30D85" w14:textId="77777777" w:rsidR="000352FE" w:rsidRDefault="000352FE" w:rsidP="000352FE"/>
    <w:p w14:paraId="0F293BF4" w14:textId="7BBFAB11" w:rsidR="00127233" w:rsidRPr="000352FE" w:rsidRDefault="00127233" w:rsidP="000352FE"/>
    <w:sectPr w:rsidR="00127233" w:rsidRPr="000352FE"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92F6" w14:textId="77777777" w:rsidR="00CD4633" w:rsidRDefault="00CD4633" w:rsidP="004A1847">
      <w:pPr>
        <w:spacing w:after="0" w:line="240" w:lineRule="auto"/>
      </w:pPr>
      <w:r>
        <w:separator/>
      </w:r>
    </w:p>
  </w:endnote>
  <w:endnote w:type="continuationSeparator" w:id="0">
    <w:p w14:paraId="5C36A9F5" w14:textId="77777777" w:rsidR="00CD4633" w:rsidRDefault="00CD4633" w:rsidP="004A1847">
      <w:pPr>
        <w:spacing w:after="0" w:line="240" w:lineRule="auto"/>
      </w:pPr>
      <w:r>
        <w:continuationSeparator/>
      </w:r>
    </w:p>
  </w:endnote>
  <w:endnote w:type="continuationNotice" w:id="1">
    <w:p w14:paraId="2FAB97BD" w14:textId="77777777" w:rsidR="00CD4633" w:rsidRDefault="00CD4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14C5" w14:textId="77777777" w:rsidR="00CD4633" w:rsidRDefault="00CD4633" w:rsidP="004A1847">
      <w:pPr>
        <w:spacing w:after="0" w:line="240" w:lineRule="auto"/>
      </w:pPr>
      <w:r>
        <w:separator/>
      </w:r>
    </w:p>
  </w:footnote>
  <w:footnote w:type="continuationSeparator" w:id="0">
    <w:p w14:paraId="5C5A19DA" w14:textId="77777777" w:rsidR="00CD4633" w:rsidRDefault="00CD4633" w:rsidP="004A1847">
      <w:pPr>
        <w:spacing w:after="0" w:line="240" w:lineRule="auto"/>
      </w:pPr>
      <w:r>
        <w:continuationSeparator/>
      </w:r>
    </w:p>
  </w:footnote>
  <w:footnote w:type="continuationNotice" w:id="1">
    <w:p w14:paraId="6DE95603" w14:textId="77777777" w:rsidR="00CD4633" w:rsidRDefault="00CD4633">
      <w:pPr>
        <w:spacing w:after="0" w:line="240" w:lineRule="auto"/>
      </w:pPr>
    </w:p>
  </w:footnote>
  <w:footnote w:id="2">
    <w:p w14:paraId="3A65E1C1" w14:textId="77777777" w:rsidR="000352FE" w:rsidRPr="00024394" w:rsidRDefault="000352FE" w:rsidP="000352FE">
      <w:pPr>
        <w:spacing w:after="0" w:line="240" w:lineRule="auto"/>
        <w:ind w:firstLine="707"/>
        <w:contextualSpacing/>
        <w:jc w:val="both"/>
        <w:rPr>
          <w:rFonts w:ascii="Verdana" w:hAnsi="Verdana" w:cs="Arial"/>
          <w:sz w:val="16"/>
          <w:szCs w:val="16"/>
        </w:rPr>
      </w:pPr>
      <w:r w:rsidRPr="00024394">
        <w:rPr>
          <w:rStyle w:val="Refdenotaalpie"/>
          <w:rFonts w:ascii="Verdana" w:hAnsi="Verdana" w:cs="Arial"/>
          <w:sz w:val="16"/>
          <w:szCs w:val="16"/>
        </w:rPr>
        <w:footnoteRef/>
      </w:r>
      <w:r w:rsidRPr="00024394">
        <w:rPr>
          <w:rFonts w:ascii="Verdana" w:hAnsi="Verdana" w:cs="Arial"/>
          <w:position w:val="6"/>
          <w:sz w:val="16"/>
          <w:szCs w:val="16"/>
        </w:rPr>
        <w:t xml:space="preserve"> </w:t>
      </w:r>
      <w:r w:rsidRPr="00024394">
        <w:rPr>
          <w:rFonts w:ascii="Verdana" w:hAnsi="Verdana" w:cs="Arial"/>
          <w:sz w:val="16"/>
          <w:szCs w:val="16"/>
        </w:rPr>
        <w:t>DEIK ACOSTAMADIEDO, Carolina, Guía de Contratación Estatal: Deber de planeación y modalidades de selección, Buenos Aires, 2015, p. 59.</w:t>
      </w:r>
    </w:p>
    <w:p w14:paraId="719276A9" w14:textId="77777777" w:rsidR="000352FE" w:rsidRPr="00024394" w:rsidRDefault="000352FE" w:rsidP="000352FE">
      <w:pPr>
        <w:pStyle w:val="Textonotapie"/>
        <w:contextualSpacing/>
        <w:jc w:val="both"/>
        <w:rPr>
          <w:rFonts w:ascii="Verdana" w:hAnsi="Verdana" w:cs="Arial"/>
          <w:sz w:val="16"/>
          <w:szCs w:val="16"/>
        </w:rPr>
      </w:pPr>
    </w:p>
  </w:footnote>
  <w:footnote w:id="3">
    <w:p w14:paraId="1ADF3186" w14:textId="77777777" w:rsidR="000352FE" w:rsidRPr="00024394" w:rsidRDefault="000352FE" w:rsidP="000352FE">
      <w:pPr>
        <w:pStyle w:val="Textoindependiente"/>
        <w:spacing w:after="0" w:line="240" w:lineRule="auto"/>
        <w:ind w:firstLine="709"/>
        <w:contextualSpacing/>
        <w:jc w:val="both"/>
        <w:rPr>
          <w:rFonts w:ascii="Verdana" w:hAnsi="Verdana" w:cs="Arial"/>
          <w:sz w:val="16"/>
          <w:szCs w:val="16"/>
        </w:rPr>
      </w:pPr>
      <w:r w:rsidRPr="00024394">
        <w:rPr>
          <w:rStyle w:val="Refdenotaalpie"/>
          <w:rFonts w:ascii="Verdana" w:hAnsi="Verdana" w:cs="Arial"/>
          <w:sz w:val="16"/>
          <w:szCs w:val="16"/>
        </w:rPr>
        <w:footnoteRef/>
      </w:r>
      <w:r w:rsidRPr="00024394">
        <w:rPr>
          <w:rFonts w:ascii="Verdana" w:hAnsi="Verdana" w:cs="Arial"/>
          <w:sz w:val="16"/>
          <w:szCs w:val="16"/>
        </w:rPr>
        <w:t xml:space="preserve"> “Artículo </w:t>
      </w:r>
      <w:bookmarkStart w:id="4" w:name="_Hlk54173885"/>
      <w:r w:rsidRPr="00024394">
        <w:rPr>
          <w:rFonts w:ascii="Verdana" w:hAnsi="Verdana" w:cs="Arial"/>
          <w:sz w:val="16"/>
          <w:szCs w:val="16"/>
        </w:rPr>
        <w:t>2.2.1.1.2.1.1</w:t>
      </w:r>
      <w:bookmarkEnd w:id="4"/>
      <w:r w:rsidRPr="00024394">
        <w:rPr>
          <w:rFonts w:ascii="Verdana" w:hAnsi="Verdana" w:cs="Arial"/>
          <w:sz w:val="16"/>
          <w:szCs w:val="16"/>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7F7BAC88" w14:textId="77777777" w:rsidR="000352FE" w:rsidRPr="00024394" w:rsidRDefault="000352FE" w:rsidP="000352FE">
      <w:pPr>
        <w:pStyle w:val="Textonotapie"/>
        <w:ind w:firstLine="709"/>
        <w:contextualSpacing/>
        <w:jc w:val="both"/>
        <w:rPr>
          <w:rFonts w:ascii="Verdana" w:hAnsi="Verdana" w:cs="Arial"/>
          <w:sz w:val="16"/>
          <w:szCs w:val="16"/>
        </w:rPr>
      </w:pPr>
    </w:p>
  </w:footnote>
  <w:footnote w:id="4">
    <w:p w14:paraId="4696C8DA" w14:textId="77777777" w:rsidR="000352FE" w:rsidRPr="00024394" w:rsidRDefault="000352FE" w:rsidP="000352FE">
      <w:pPr>
        <w:pStyle w:val="Textoindependiente"/>
        <w:spacing w:after="0" w:line="240" w:lineRule="auto"/>
        <w:ind w:firstLine="709"/>
        <w:contextualSpacing/>
        <w:jc w:val="both"/>
        <w:rPr>
          <w:rFonts w:ascii="Verdana" w:hAnsi="Verdana" w:cs="Arial"/>
          <w:sz w:val="16"/>
          <w:szCs w:val="16"/>
        </w:rPr>
      </w:pPr>
      <w:r w:rsidRPr="00024394">
        <w:rPr>
          <w:rStyle w:val="Refdenotaalpie"/>
          <w:rFonts w:ascii="Verdana" w:hAnsi="Verdana" w:cs="Arial"/>
          <w:sz w:val="16"/>
          <w:szCs w:val="16"/>
        </w:rPr>
        <w:footnoteRef/>
      </w:r>
      <w:r w:rsidRPr="00024394">
        <w:rPr>
          <w:rFonts w:ascii="Verdana" w:hAnsi="Verdana" w:cs="Arial"/>
          <w:sz w:val="16"/>
          <w:szCs w:val="16"/>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21A43F52" w14:textId="77777777" w:rsidR="000352FE" w:rsidRPr="00024394" w:rsidRDefault="000352FE" w:rsidP="000352FE">
      <w:pPr>
        <w:pStyle w:val="Textonotapie"/>
        <w:contextualSpacing/>
        <w:jc w:val="both"/>
        <w:rPr>
          <w:rFonts w:ascii="Verdana" w:hAnsi="Verdana" w:cs="Arial"/>
          <w:sz w:val="16"/>
          <w:szCs w:val="16"/>
        </w:rPr>
      </w:pPr>
    </w:p>
  </w:footnote>
  <w:footnote w:id="5">
    <w:p w14:paraId="351DE463" w14:textId="77777777" w:rsidR="000352FE" w:rsidRPr="00024394" w:rsidRDefault="000352FE" w:rsidP="000352FE">
      <w:pPr>
        <w:pStyle w:val="Textonotapie"/>
        <w:ind w:firstLine="708"/>
        <w:contextualSpacing/>
        <w:jc w:val="both"/>
        <w:rPr>
          <w:rFonts w:ascii="Verdana" w:hAnsi="Verdana" w:cs="Arial"/>
          <w:sz w:val="16"/>
          <w:szCs w:val="16"/>
        </w:rPr>
      </w:pPr>
      <w:r w:rsidRPr="00024394">
        <w:rPr>
          <w:rStyle w:val="Refdenotaalpie"/>
          <w:rFonts w:ascii="Verdana" w:hAnsi="Verdana" w:cs="Arial"/>
          <w:sz w:val="16"/>
          <w:szCs w:val="16"/>
        </w:rPr>
        <w:footnoteRef/>
      </w:r>
      <w:r w:rsidRPr="00024394">
        <w:rPr>
          <w:rFonts w:ascii="Verdana" w:hAnsi="Verdana" w:cs="Arial"/>
          <w:sz w:val="16"/>
          <w:szCs w:val="16"/>
        </w:rPr>
        <w:t xml:space="preserve"> Agencia Nacional de Contratación Pública – Colombia Compra Eficiente. </w:t>
      </w:r>
      <w:r w:rsidRPr="00024394">
        <w:rPr>
          <w:rFonts w:ascii="Verdana" w:eastAsia="Calibri" w:hAnsi="Verdana" w:cs="Arial"/>
          <w:bCs/>
          <w:sz w:val="16"/>
          <w:szCs w:val="16"/>
          <w:lang w:val="es-ES_tradnl" w:eastAsia="es-ES_tradnl"/>
        </w:rPr>
        <w:t>Guía de Elaboración de Estudios del Sector</w:t>
      </w:r>
      <w:r w:rsidRPr="00024394">
        <w:rPr>
          <w:rFonts w:ascii="Verdana" w:hAnsi="Verdana" w:cs="Arial"/>
          <w:sz w:val="16"/>
          <w:szCs w:val="16"/>
        </w:rPr>
        <w:t xml:space="preserve">. Disponible en: </w:t>
      </w:r>
      <w:hyperlink r:id="rId1" w:history="1">
        <w:r w:rsidRPr="00024394">
          <w:rPr>
            <w:rStyle w:val="Hipervnculo"/>
            <w:rFonts w:ascii="Verdana" w:hAnsi="Verdana" w:cs="Arial"/>
            <w:sz w:val="16"/>
            <w:szCs w:val="16"/>
          </w:rPr>
          <w:t>https://www.colombiacompra.gov.co/manuales-guias-y-pliegos-tipo/manuales-y-guias</w:t>
        </w:r>
      </w:hyperlink>
      <w:r w:rsidRPr="00024394">
        <w:rPr>
          <w:rFonts w:ascii="Verdana" w:hAnsi="Verdana" w:cs="Arial"/>
          <w:sz w:val="16"/>
          <w:szCs w:val="16"/>
        </w:rPr>
        <w:t xml:space="preserve">. </w:t>
      </w:r>
    </w:p>
    <w:p w14:paraId="56CF7B43" w14:textId="77777777" w:rsidR="000352FE" w:rsidRPr="00024394" w:rsidRDefault="000352FE" w:rsidP="000352FE">
      <w:pPr>
        <w:pStyle w:val="Textonotapie"/>
        <w:ind w:firstLine="708"/>
        <w:contextualSpacing/>
        <w:jc w:val="both"/>
        <w:rPr>
          <w:rFonts w:ascii="Verdana" w:hAnsi="Verdana"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1B13"/>
      </v:shape>
    </w:pict>
  </w:numPicBullet>
  <w:abstractNum w:abstractNumId="0" w15:restartNumberingAfterBreak="0">
    <w:nsid w:val="0239701A"/>
    <w:multiLevelType w:val="hybridMultilevel"/>
    <w:tmpl w:val="367809B4"/>
    <w:lvl w:ilvl="0" w:tplc="C4DCABCC">
      <w:start w:val="1"/>
      <w:numFmt w:val="lowerRoman"/>
      <w:lvlText w:val="%1)"/>
      <w:lvlJc w:val="left"/>
      <w:pPr>
        <w:ind w:left="1520" w:hanging="720"/>
      </w:pPr>
      <w:rPr>
        <w:rFonts w:hint="default"/>
      </w:rPr>
    </w:lvl>
    <w:lvl w:ilvl="1" w:tplc="080A0019" w:tentative="1">
      <w:start w:val="1"/>
      <w:numFmt w:val="lowerLetter"/>
      <w:lvlText w:val="%2."/>
      <w:lvlJc w:val="left"/>
      <w:pPr>
        <w:ind w:left="1880" w:hanging="360"/>
      </w:pPr>
    </w:lvl>
    <w:lvl w:ilvl="2" w:tplc="080A001B" w:tentative="1">
      <w:start w:val="1"/>
      <w:numFmt w:val="lowerRoman"/>
      <w:lvlText w:val="%3."/>
      <w:lvlJc w:val="right"/>
      <w:pPr>
        <w:ind w:left="2600" w:hanging="180"/>
      </w:pPr>
    </w:lvl>
    <w:lvl w:ilvl="3" w:tplc="080A000F" w:tentative="1">
      <w:start w:val="1"/>
      <w:numFmt w:val="decimal"/>
      <w:lvlText w:val="%4."/>
      <w:lvlJc w:val="left"/>
      <w:pPr>
        <w:ind w:left="3320" w:hanging="360"/>
      </w:pPr>
    </w:lvl>
    <w:lvl w:ilvl="4" w:tplc="080A0019" w:tentative="1">
      <w:start w:val="1"/>
      <w:numFmt w:val="lowerLetter"/>
      <w:lvlText w:val="%5."/>
      <w:lvlJc w:val="left"/>
      <w:pPr>
        <w:ind w:left="4040" w:hanging="360"/>
      </w:pPr>
    </w:lvl>
    <w:lvl w:ilvl="5" w:tplc="080A001B" w:tentative="1">
      <w:start w:val="1"/>
      <w:numFmt w:val="lowerRoman"/>
      <w:lvlText w:val="%6."/>
      <w:lvlJc w:val="right"/>
      <w:pPr>
        <w:ind w:left="4760" w:hanging="180"/>
      </w:pPr>
    </w:lvl>
    <w:lvl w:ilvl="6" w:tplc="080A000F" w:tentative="1">
      <w:start w:val="1"/>
      <w:numFmt w:val="decimal"/>
      <w:lvlText w:val="%7."/>
      <w:lvlJc w:val="left"/>
      <w:pPr>
        <w:ind w:left="5480" w:hanging="360"/>
      </w:pPr>
    </w:lvl>
    <w:lvl w:ilvl="7" w:tplc="080A0019" w:tentative="1">
      <w:start w:val="1"/>
      <w:numFmt w:val="lowerLetter"/>
      <w:lvlText w:val="%8."/>
      <w:lvlJc w:val="left"/>
      <w:pPr>
        <w:ind w:left="6200" w:hanging="360"/>
      </w:pPr>
    </w:lvl>
    <w:lvl w:ilvl="8" w:tplc="080A001B" w:tentative="1">
      <w:start w:val="1"/>
      <w:numFmt w:val="lowerRoman"/>
      <w:lvlText w:val="%9."/>
      <w:lvlJc w:val="right"/>
      <w:pPr>
        <w:ind w:left="6920" w:hanging="18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4EE2EF5"/>
    <w:multiLevelType w:val="hybridMultilevel"/>
    <w:tmpl w:val="4E849260"/>
    <w:lvl w:ilvl="0" w:tplc="7CBCAAB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143A1"/>
    <w:multiLevelType w:val="hybridMultilevel"/>
    <w:tmpl w:val="4EB84EEC"/>
    <w:lvl w:ilvl="0" w:tplc="5E18510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8E5AE1"/>
    <w:multiLevelType w:val="hybridMultilevel"/>
    <w:tmpl w:val="1B62FA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56C6231"/>
    <w:multiLevelType w:val="hybridMultilevel"/>
    <w:tmpl w:val="6C964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3F44998"/>
    <w:multiLevelType w:val="hybridMultilevel"/>
    <w:tmpl w:val="181C6C60"/>
    <w:lvl w:ilvl="0" w:tplc="493AB10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8"/>
  </w:num>
  <w:num w:numId="8">
    <w:abstractNumId w:val="18"/>
  </w:num>
  <w:num w:numId="9">
    <w:abstractNumId w:val="10"/>
  </w:num>
  <w:num w:numId="10">
    <w:abstractNumId w:val="17"/>
  </w:num>
  <w:num w:numId="11">
    <w:abstractNumId w:val="11"/>
  </w:num>
  <w:num w:numId="12">
    <w:abstractNumId w:val="1"/>
  </w:num>
  <w:num w:numId="13">
    <w:abstractNumId w:val="4"/>
  </w:num>
  <w:num w:numId="14">
    <w:abstractNumId w:val="20"/>
  </w:num>
  <w:num w:numId="15">
    <w:abstractNumId w:val="15"/>
  </w:num>
  <w:num w:numId="16">
    <w:abstractNumId w:val="7"/>
  </w:num>
  <w:num w:numId="17">
    <w:abstractNumId w:val="13"/>
  </w:num>
  <w:num w:numId="18">
    <w:abstractNumId w:val="12"/>
  </w:num>
  <w:num w:numId="19">
    <w:abstractNumId w:val="3"/>
  </w:num>
  <w:num w:numId="20">
    <w:abstractNumId w:val="5"/>
  </w:num>
  <w:num w:numId="21">
    <w:abstractNumId w:val="14"/>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52FE"/>
    <w:rsid w:val="0005059A"/>
    <w:rsid w:val="00061B2A"/>
    <w:rsid w:val="00082362"/>
    <w:rsid w:val="000A683E"/>
    <w:rsid w:val="000B19B9"/>
    <w:rsid w:val="000D0334"/>
    <w:rsid w:val="000E0C09"/>
    <w:rsid w:val="000F6486"/>
    <w:rsid w:val="00125105"/>
    <w:rsid w:val="00127233"/>
    <w:rsid w:val="001B4B82"/>
    <w:rsid w:val="001E4177"/>
    <w:rsid w:val="001F7DC6"/>
    <w:rsid w:val="002421BB"/>
    <w:rsid w:val="0025796E"/>
    <w:rsid w:val="002707A2"/>
    <w:rsid w:val="002951A0"/>
    <w:rsid w:val="002962BC"/>
    <w:rsid w:val="002A093D"/>
    <w:rsid w:val="002A0DD0"/>
    <w:rsid w:val="002A49AC"/>
    <w:rsid w:val="002A64FD"/>
    <w:rsid w:val="002B102E"/>
    <w:rsid w:val="002C7A84"/>
    <w:rsid w:val="002E4FD9"/>
    <w:rsid w:val="00322A85"/>
    <w:rsid w:val="00324168"/>
    <w:rsid w:val="00331D0A"/>
    <w:rsid w:val="003448F4"/>
    <w:rsid w:val="00374F5E"/>
    <w:rsid w:val="00377E3E"/>
    <w:rsid w:val="00384F05"/>
    <w:rsid w:val="003A26D1"/>
    <w:rsid w:val="003A779E"/>
    <w:rsid w:val="003D0F4D"/>
    <w:rsid w:val="003D5B0D"/>
    <w:rsid w:val="003E0499"/>
    <w:rsid w:val="003E7A05"/>
    <w:rsid w:val="003F3941"/>
    <w:rsid w:val="00406575"/>
    <w:rsid w:val="0042722E"/>
    <w:rsid w:val="0044528D"/>
    <w:rsid w:val="004A1847"/>
    <w:rsid w:val="004A305D"/>
    <w:rsid w:val="004D5090"/>
    <w:rsid w:val="004F21C4"/>
    <w:rsid w:val="004F39EA"/>
    <w:rsid w:val="004F685F"/>
    <w:rsid w:val="0050733A"/>
    <w:rsid w:val="00517873"/>
    <w:rsid w:val="005566E8"/>
    <w:rsid w:val="00574867"/>
    <w:rsid w:val="00591460"/>
    <w:rsid w:val="00592628"/>
    <w:rsid w:val="005C3777"/>
    <w:rsid w:val="005C5CDC"/>
    <w:rsid w:val="005D476C"/>
    <w:rsid w:val="00610812"/>
    <w:rsid w:val="006219F8"/>
    <w:rsid w:val="00634072"/>
    <w:rsid w:val="00650FF7"/>
    <w:rsid w:val="00665D70"/>
    <w:rsid w:val="00671DAC"/>
    <w:rsid w:val="006900D9"/>
    <w:rsid w:val="006D12F8"/>
    <w:rsid w:val="006F3D46"/>
    <w:rsid w:val="00706C16"/>
    <w:rsid w:val="00756841"/>
    <w:rsid w:val="007649AB"/>
    <w:rsid w:val="00771D0C"/>
    <w:rsid w:val="00773E64"/>
    <w:rsid w:val="007833AC"/>
    <w:rsid w:val="007B268C"/>
    <w:rsid w:val="007B7171"/>
    <w:rsid w:val="007C0C0F"/>
    <w:rsid w:val="007C3DC2"/>
    <w:rsid w:val="007E5497"/>
    <w:rsid w:val="00806F5F"/>
    <w:rsid w:val="00820278"/>
    <w:rsid w:val="008843B6"/>
    <w:rsid w:val="00891928"/>
    <w:rsid w:val="008A446D"/>
    <w:rsid w:val="008A4E10"/>
    <w:rsid w:val="008C38A4"/>
    <w:rsid w:val="008D180B"/>
    <w:rsid w:val="008F0EA7"/>
    <w:rsid w:val="00923EEF"/>
    <w:rsid w:val="00927771"/>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554D"/>
    <w:rsid w:val="00A805A1"/>
    <w:rsid w:val="00AB0ADB"/>
    <w:rsid w:val="00B01B1A"/>
    <w:rsid w:val="00B44A9D"/>
    <w:rsid w:val="00B72CD3"/>
    <w:rsid w:val="00B72FFF"/>
    <w:rsid w:val="00BC3D36"/>
    <w:rsid w:val="00BD7F72"/>
    <w:rsid w:val="00C04FB3"/>
    <w:rsid w:val="00C330EB"/>
    <w:rsid w:val="00C754BE"/>
    <w:rsid w:val="00C76B1C"/>
    <w:rsid w:val="00CB6357"/>
    <w:rsid w:val="00CC1B26"/>
    <w:rsid w:val="00CD4633"/>
    <w:rsid w:val="00D423A2"/>
    <w:rsid w:val="00D520D8"/>
    <w:rsid w:val="00D63AC2"/>
    <w:rsid w:val="00D7383B"/>
    <w:rsid w:val="00DA231B"/>
    <w:rsid w:val="00DA23A0"/>
    <w:rsid w:val="00DC39FC"/>
    <w:rsid w:val="00DF5254"/>
    <w:rsid w:val="00E01152"/>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1969"/>
    <w:rsid w:val="00F666C4"/>
    <w:rsid w:val="00F74573"/>
    <w:rsid w:val="00F76AFC"/>
    <w:rsid w:val="00FA47C0"/>
    <w:rsid w:val="00FB5DD1"/>
    <w:rsid w:val="00FC2B5D"/>
    <w:rsid w:val="00FF0740"/>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FAAE5A12-2C42-4F28-99CB-1786B3E0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352FE"/>
    <w:pPr>
      <w:spacing w:line="240" w:lineRule="exact"/>
    </w:pPr>
    <w:rPr>
      <w:vertAlign w:val="superscript"/>
    </w:rPr>
  </w:style>
  <w:style w:type="table" w:customStyle="1" w:styleId="Tablaconcuadrcula11">
    <w:name w:val="Tabla con cuadrícula11"/>
    <w:basedOn w:val="Tablanormal"/>
    <w:next w:val="Tablaconcuadrcula"/>
    <w:uiPriority w:val="59"/>
    <w:qFormat/>
    <w:rsid w:val="0003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0352FE"/>
    <w:pPr>
      <w:spacing w:after="120"/>
    </w:pPr>
  </w:style>
  <w:style w:type="character" w:customStyle="1" w:styleId="TextoindependienteCar">
    <w:name w:val="Texto independiente Car"/>
    <w:basedOn w:val="Fuentedeprrafopredeter"/>
    <w:link w:val="Textoindependiente"/>
    <w:uiPriority w:val="99"/>
    <w:semiHidden/>
    <w:rsid w:val="000352FE"/>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352F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039">
      <w:bodyDiv w:val="1"/>
      <w:marLeft w:val="0"/>
      <w:marRight w:val="0"/>
      <w:marTop w:val="0"/>
      <w:marBottom w:val="0"/>
      <w:divBdr>
        <w:top w:val="none" w:sz="0" w:space="0" w:color="auto"/>
        <w:left w:val="none" w:sz="0" w:space="0" w:color="auto"/>
        <w:bottom w:val="none" w:sz="0" w:space="0" w:color="auto"/>
        <w:right w:val="none" w:sz="0" w:space="0" w:color="auto"/>
      </w:divBdr>
      <w:divsChild>
        <w:div w:id="1432160116">
          <w:marLeft w:val="0"/>
          <w:marRight w:val="0"/>
          <w:marTop w:val="0"/>
          <w:marBottom w:val="0"/>
          <w:divBdr>
            <w:top w:val="none" w:sz="0" w:space="0" w:color="auto"/>
            <w:left w:val="none" w:sz="0" w:space="0" w:color="auto"/>
            <w:bottom w:val="none" w:sz="0" w:space="0" w:color="auto"/>
            <w:right w:val="none" w:sz="0" w:space="0" w:color="auto"/>
          </w:divBdr>
          <w:divsChild>
            <w:div w:id="1167936893">
              <w:marLeft w:val="0"/>
              <w:marRight w:val="0"/>
              <w:marTop w:val="0"/>
              <w:marBottom w:val="0"/>
              <w:divBdr>
                <w:top w:val="none" w:sz="0" w:space="0" w:color="auto"/>
                <w:left w:val="none" w:sz="0" w:space="0" w:color="auto"/>
                <w:bottom w:val="none" w:sz="0" w:space="0" w:color="auto"/>
                <w:right w:val="none" w:sz="0" w:space="0" w:color="auto"/>
              </w:divBdr>
              <w:divsChild>
                <w:div w:id="17795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31307678">
      <w:bodyDiv w:val="1"/>
      <w:marLeft w:val="0"/>
      <w:marRight w:val="0"/>
      <w:marTop w:val="0"/>
      <w:marBottom w:val="0"/>
      <w:divBdr>
        <w:top w:val="none" w:sz="0" w:space="0" w:color="auto"/>
        <w:left w:val="none" w:sz="0" w:space="0" w:color="auto"/>
        <w:bottom w:val="none" w:sz="0" w:space="0" w:color="auto"/>
        <w:right w:val="none" w:sz="0" w:space="0" w:color="auto"/>
      </w:divBdr>
      <w:divsChild>
        <w:div w:id="621033766">
          <w:marLeft w:val="0"/>
          <w:marRight w:val="0"/>
          <w:marTop w:val="0"/>
          <w:marBottom w:val="0"/>
          <w:divBdr>
            <w:top w:val="none" w:sz="0" w:space="0" w:color="auto"/>
            <w:left w:val="none" w:sz="0" w:space="0" w:color="auto"/>
            <w:bottom w:val="none" w:sz="0" w:space="0" w:color="auto"/>
            <w:right w:val="none" w:sz="0" w:space="0" w:color="auto"/>
          </w:divBdr>
          <w:divsChild>
            <w:div w:id="104272718">
              <w:marLeft w:val="0"/>
              <w:marRight w:val="0"/>
              <w:marTop w:val="0"/>
              <w:marBottom w:val="0"/>
              <w:divBdr>
                <w:top w:val="none" w:sz="0" w:space="0" w:color="auto"/>
                <w:left w:val="none" w:sz="0" w:space="0" w:color="auto"/>
                <w:bottom w:val="none" w:sz="0" w:space="0" w:color="auto"/>
                <w:right w:val="none" w:sz="0" w:space="0" w:color="auto"/>
              </w:divBdr>
              <w:divsChild>
                <w:div w:id="1521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os/cce-eicp-gi-18._gees_v.2_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os/cce-eicp-gi-18._gees_v.2_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fdyj@gmail.com" TargetMode="External"/><Relationship Id="rId5" Type="http://schemas.openxmlformats.org/officeDocument/2006/relationships/styles" Target="styles.xml"/><Relationship Id="rId15" Type="http://schemas.openxmlformats.org/officeDocument/2006/relationships/hyperlink" Target="https://www.colombiacompra.gov.co/sites/cce_public/files/files_2020/boletin_de_realtoria_iii.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9d85dbaf-23eb-4e57-a637-93dcacc8b1a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6cb9e4b-f1d1-4245-83ec-6cad768d538a"/>
    <ds:schemaRef ds:uri="http://www.w3.org/XML/1998/namespace"/>
    <ds:schemaRef ds:uri="http://purl.org/dc/dcmitype/"/>
  </ds:schemaRefs>
</ds:datastoreItem>
</file>

<file path=customXml/itemProps3.xml><?xml version="1.0" encoding="utf-8"?>
<ds:datastoreItem xmlns:ds="http://schemas.openxmlformats.org/officeDocument/2006/customXml" ds:itemID="{64B6152E-37D0-4C4A-B833-34969CBD6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4406</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28585</CharactersWithSpaces>
  <SharedDoc>false</SharedDoc>
  <HLinks>
    <vt:vector size="36" baseType="variant">
      <vt:variant>
        <vt:i4>1638461</vt:i4>
      </vt:variant>
      <vt:variant>
        <vt:i4>12</vt:i4>
      </vt:variant>
      <vt:variant>
        <vt:i4>0</vt:i4>
      </vt:variant>
      <vt:variant>
        <vt:i4>5</vt:i4>
      </vt:variant>
      <vt:variant>
        <vt:lpwstr>https://www.colombiacompra.gov.co/sites/cce_public/files/files_2020/boletin_de_realtoria_iii.pdf</vt:lpwstr>
      </vt:variant>
      <vt:variant>
        <vt:lpwstr/>
      </vt:variant>
      <vt:variant>
        <vt:i4>1900622</vt:i4>
      </vt:variant>
      <vt:variant>
        <vt:i4>9</vt:i4>
      </vt:variant>
      <vt:variant>
        <vt:i4>0</vt:i4>
      </vt:variant>
      <vt:variant>
        <vt:i4>5</vt:i4>
      </vt:variant>
      <vt:variant>
        <vt:lpwstr>https://relatoria.colombiacompra.gov.co/</vt:lpwstr>
      </vt:variant>
      <vt:variant>
        <vt:lpwstr/>
      </vt:variant>
      <vt:variant>
        <vt:i4>3801163</vt:i4>
      </vt:variant>
      <vt:variant>
        <vt:i4>6</vt:i4>
      </vt:variant>
      <vt:variant>
        <vt:i4>0</vt:i4>
      </vt:variant>
      <vt:variant>
        <vt:i4>5</vt:i4>
      </vt:variant>
      <vt:variant>
        <vt:lpwstr>https://www.colombiacompra.gov.co/sites/cce_public/files/cce_documentos/cce-eicp-gi-18._gees_v.2_2.pdf</vt:lpwstr>
      </vt:variant>
      <vt:variant>
        <vt:lpwstr/>
      </vt:variant>
      <vt:variant>
        <vt:i4>3801163</vt:i4>
      </vt:variant>
      <vt:variant>
        <vt:i4>3</vt:i4>
      </vt:variant>
      <vt:variant>
        <vt:i4>0</vt:i4>
      </vt:variant>
      <vt:variant>
        <vt:i4>5</vt:i4>
      </vt:variant>
      <vt:variant>
        <vt:lpwstr>https://www.colombiacompra.gov.co/sites/cce_public/files/cce_documentos/cce-eicp-gi-18._gees_v.2_2.pdf</vt:lpwstr>
      </vt:variant>
      <vt:variant>
        <vt:lpwstr/>
      </vt:variant>
      <vt:variant>
        <vt:i4>1638443</vt:i4>
      </vt:variant>
      <vt:variant>
        <vt:i4>0</vt:i4>
      </vt:variant>
      <vt:variant>
        <vt:i4>0</vt:i4>
      </vt:variant>
      <vt:variant>
        <vt:i4>5</vt:i4>
      </vt:variant>
      <vt:variant>
        <vt:lpwstr>mailto:affdyj@gmail.com</vt:lpwstr>
      </vt:variant>
      <vt:variant>
        <vt:lpwstr/>
      </vt:variant>
      <vt:variant>
        <vt:i4>5111895</vt:i4>
      </vt:variant>
      <vt:variant>
        <vt:i4>0</vt:i4>
      </vt:variant>
      <vt:variant>
        <vt:i4>0</vt:i4>
      </vt:variant>
      <vt:variant>
        <vt:i4>5</vt:i4>
      </vt:variant>
      <vt:variant>
        <vt:lpwstr>https://www.colombiacompra.gov.co/manuales-guias-y-pliegos-tipo/manuales-y-guias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2</cp:revision>
  <cp:lastPrinted>2023-01-11T00:18:00Z</cp:lastPrinted>
  <dcterms:created xsi:type="dcterms:W3CDTF">2024-09-11T16:55:00Z</dcterms:created>
  <dcterms:modified xsi:type="dcterms:W3CDTF">2024-09-11T16:55:00Z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