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3A2B9" w14:textId="3A3D60A1" w:rsidR="00997F78" w:rsidRPr="00997F78" w:rsidRDefault="00997F78" w:rsidP="00997F78">
      <w:pPr>
        <w:spacing w:after="0"/>
        <w:jc w:val="both"/>
        <w:rPr>
          <w:rFonts w:ascii="Verdana" w:hAnsi="Verdana"/>
        </w:rPr>
      </w:pPr>
      <w:bookmarkStart w:id="0" w:name="_Hlk143780582"/>
      <w:r w:rsidRPr="00997F78">
        <w:rPr>
          <w:rFonts w:ascii="Verdana" w:eastAsia="Calibri" w:hAnsi="Verdana" w:cs="Arial"/>
          <w:b/>
          <w:bCs/>
          <w:kern w:val="2"/>
          <w:lang w:val="es-ES_tradnl"/>
          <w14:ligatures w14:val="standardContextual"/>
        </w:rPr>
        <w:t>CONVENIOS Y CONTRATOS INTERADMINISTRATIVOS – Régimen jurídico – Noción</w:t>
      </w:r>
    </w:p>
    <w:p w14:paraId="33069D4D" w14:textId="77777777" w:rsidR="00997F78" w:rsidRPr="00997F78" w:rsidRDefault="00997F78" w:rsidP="00997F78">
      <w:pPr>
        <w:snapToGrid w:val="0"/>
        <w:spacing w:after="0" w:line="276" w:lineRule="auto"/>
        <w:jc w:val="both"/>
        <w:rPr>
          <w:rFonts w:ascii="Verdana" w:eastAsia="Calibri" w:hAnsi="Verdana" w:cs="Arial"/>
          <w:kern w:val="2"/>
          <w:lang w:val="es-ES_tradnl"/>
          <w14:ligatures w14:val="standardContextual"/>
        </w:rPr>
      </w:pPr>
    </w:p>
    <w:p w14:paraId="1FCD63D3" w14:textId="17E5ED76" w:rsidR="00997F78" w:rsidRPr="00997F78" w:rsidRDefault="007012DF" w:rsidP="00997F78">
      <w:pPr>
        <w:tabs>
          <w:tab w:val="left" w:pos="709"/>
        </w:tabs>
        <w:snapToGrid w:val="0"/>
        <w:spacing w:after="0" w:line="240" w:lineRule="auto"/>
        <w:jc w:val="both"/>
        <w:rPr>
          <w:rFonts w:ascii="Verdana" w:eastAsia="Times New Roman" w:hAnsi="Verdana" w:cs="Arial"/>
          <w:kern w:val="2"/>
          <w:sz w:val="20"/>
          <w:szCs w:val="20"/>
          <w:lang w:val="es-ES" w:eastAsia="es-CO"/>
          <w14:ligatures w14:val="standardContextual"/>
        </w:rPr>
      </w:pPr>
      <w:r w:rsidRPr="007012DF">
        <w:rPr>
          <w:rFonts w:ascii="Verdana" w:eastAsia="Aptos" w:hAnsi="Verdana" w:cs="Arial"/>
          <w:kern w:val="2"/>
          <w:sz w:val="20"/>
          <w:szCs w:val="20"/>
          <w:lang w:val="es-ES"/>
          <w14:ligatures w14:val="standardContextual"/>
        </w:rPr>
        <w:t>La tipología del contrato o convenio interadministrativo fue creada en la Ley 80 de 1993, y el Decreto 1082 de 2015 la califica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257B48C1" w14:textId="77777777" w:rsidR="00997F78" w:rsidRPr="00997F78" w:rsidRDefault="00997F78" w:rsidP="00997F78">
      <w:pPr>
        <w:tabs>
          <w:tab w:val="left" w:pos="709"/>
        </w:tabs>
        <w:snapToGrid w:val="0"/>
        <w:spacing w:after="0" w:line="276" w:lineRule="auto"/>
        <w:jc w:val="both"/>
        <w:rPr>
          <w:rFonts w:ascii="Verdana" w:eastAsia="Times New Roman" w:hAnsi="Verdana" w:cs="Arial"/>
          <w:kern w:val="2"/>
          <w:lang w:val="es-ES_tradnl" w:eastAsia="es-CO"/>
          <w14:ligatures w14:val="standardContextual"/>
        </w:rPr>
      </w:pPr>
    </w:p>
    <w:p w14:paraId="05A2E950" w14:textId="77777777" w:rsidR="00997F78" w:rsidRPr="00997F78" w:rsidRDefault="00997F78" w:rsidP="00997F78">
      <w:pPr>
        <w:tabs>
          <w:tab w:val="left" w:pos="709"/>
        </w:tabs>
        <w:snapToGrid w:val="0"/>
        <w:spacing w:after="0" w:line="276" w:lineRule="auto"/>
        <w:jc w:val="both"/>
        <w:rPr>
          <w:rFonts w:ascii="Verdana" w:eastAsia="Aptos" w:hAnsi="Verdana" w:cs="Arial"/>
          <w:b/>
          <w:bCs/>
          <w:kern w:val="2"/>
          <w:lang w:val="es-ES_tradnl"/>
          <w14:ligatures w14:val="standardContextual"/>
        </w:rPr>
      </w:pPr>
      <w:r w:rsidRPr="00997F78">
        <w:rPr>
          <w:rFonts w:ascii="Verdana" w:eastAsia="Times New Roman" w:hAnsi="Verdana" w:cs="Arial"/>
          <w:b/>
          <w:bCs/>
          <w:kern w:val="2"/>
          <w:lang w:val="es-ES_tradnl" w:eastAsia="es-CO"/>
          <w14:ligatures w14:val="standardContextual"/>
        </w:rPr>
        <w:t>CONVENIOS Y CONTRATOS INTERADMINISTRATIVOS – Conceptos – Referencias comunes</w:t>
      </w:r>
    </w:p>
    <w:p w14:paraId="55DD4354" w14:textId="77777777" w:rsidR="00997F78" w:rsidRPr="00997F78" w:rsidRDefault="00997F78" w:rsidP="00997F78">
      <w:pPr>
        <w:snapToGrid w:val="0"/>
        <w:spacing w:after="0" w:line="276" w:lineRule="auto"/>
        <w:rPr>
          <w:rFonts w:ascii="Verdana" w:eastAsia="Geomanist Light" w:hAnsi="Verdana" w:cs="Arial"/>
          <w:lang w:val="es-MX"/>
        </w:rPr>
      </w:pPr>
    </w:p>
    <w:p w14:paraId="246CE03C" w14:textId="4D8049F4" w:rsidR="00997F78" w:rsidRPr="00997F78" w:rsidRDefault="007012DF" w:rsidP="00997F78">
      <w:pPr>
        <w:snapToGrid w:val="0"/>
        <w:spacing w:after="0" w:line="240" w:lineRule="auto"/>
        <w:jc w:val="both"/>
        <w:rPr>
          <w:rFonts w:ascii="Verdana" w:eastAsia="Times New Roman" w:hAnsi="Verdana" w:cs="Arial"/>
          <w:kern w:val="2"/>
          <w:sz w:val="20"/>
          <w:szCs w:val="20"/>
          <w:lang w:val="es-ES_tradnl" w:eastAsia="es-CO"/>
          <w14:ligatures w14:val="standardContextual"/>
        </w:rPr>
      </w:pPr>
      <w:r w:rsidRPr="007012DF">
        <w:rPr>
          <w:rFonts w:ascii="Verdana" w:eastAsia="Times New Roman" w:hAnsi="Verdana" w:cs="Arial"/>
          <w:kern w:val="2"/>
          <w:sz w:val="20"/>
          <w:szCs w:val="20"/>
          <w:lang w:val="es-ES_tradnl" w:eastAsia="es-CO"/>
          <w14:ligatures w14:val="standardContextual"/>
        </w:rPr>
        <w:t>No existe una definición legal que diferencie los conceptos de contrato y convenio. En tal sentido, teniendo en cuenta sus características comunes, las referencias realizadas por el legislador a estos términos deben asimilarse, salvo que de su contenido logre inferirse que se quiere otorgar un contenido en particular. Por lo demás, se reitera la conclusión en el sentido de que lo que define los contratos o convenios interadministrativos es la naturaleza de las partes, de manera que están determinados por un criterio orgánico, en el sentido de que lo serán aquellos celebrados entre Entidades Estatales.</w:t>
      </w:r>
    </w:p>
    <w:p w14:paraId="7FE314CA" w14:textId="77777777" w:rsidR="00997F78" w:rsidRPr="00997F78" w:rsidRDefault="00997F78" w:rsidP="00997F78">
      <w:pPr>
        <w:snapToGrid w:val="0"/>
        <w:spacing w:after="0" w:line="276" w:lineRule="auto"/>
        <w:rPr>
          <w:rFonts w:ascii="Verdana" w:eastAsia="Geomanist Light" w:hAnsi="Verdana" w:cs="Arial"/>
          <w:lang w:val="es-MX"/>
        </w:rPr>
      </w:pPr>
    </w:p>
    <w:p w14:paraId="45A19606" w14:textId="77777777" w:rsidR="00997F78" w:rsidRPr="00997F78" w:rsidRDefault="00997F78" w:rsidP="00997F78">
      <w:pPr>
        <w:spacing w:after="0" w:line="240" w:lineRule="auto"/>
        <w:rPr>
          <w:rFonts w:ascii="Verdana" w:eastAsia="Geomanist Light" w:hAnsi="Verdana" w:cs="Arial"/>
          <w:lang w:val="es-MX"/>
        </w:rPr>
      </w:pPr>
    </w:p>
    <w:p w14:paraId="63053BC5" w14:textId="77777777" w:rsidR="00997F78" w:rsidRPr="00997F78" w:rsidRDefault="00997F78" w:rsidP="00997F78">
      <w:pPr>
        <w:spacing w:after="0" w:line="240" w:lineRule="auto"/>
        <w:rPr>
          <w:rFonts w:ascii="Verdana" w:eastAsia="Geomanist Light" w:hAnsi="Verdana" w:cs="Arial"/>
          <w:lang w:val="es-MX"/>
        </w:rPr>
      </w:pPr>
    </w:p>
    <w:p w14:paraId="5AD2DB5E" w14:textId="77777777" w:rsidR="00997F78" w:rsidRPr="00997F78" w:rsidRDefault="00997F78" w:rsidP="00997F78">
      <w:pPr>
        <w:spacing w:after="0" w:line="240" w:lineRule="auto"/>
        <w:rPr>
          <w:rFonts w:ascii="Verdana" w:eastAsia="Geomanist Light" w:hAnsi="Verdana" w:cs="Arial"/>
          <w:lang w:val="es-MX"/>
        </w:rPr>
      </w:pPr>
    </w:p>
    <w:p w14:paraId="66368714" w14:textId="77777777" w:rsidR="00997F78" w:rsidRPr="00997F78" w:rsidRDefault="00997F78" w:rsidP="00997F78">
      <w:pPr>
        <w:spacing w:after="0" w:line="240" w:lineRule="auto"/>
        <w:rPr>
          <w:rFonts w:ascii="Verdana" w:eastAsia="Geomanist Light" w:hAnsi="Verdana" w:cs="Arial"/>
          <w:lang w:val="es-MX"/>
        </w:rPr>
      </w:pPr>
    </w:p>
    <w:p w14:paraId="54E8F39D" w14:textId="77777777" w:rsidR="00997F78" w:rsidRPr="00997F78" w:rsidRDefault="00997F78" w:rsidP="00997F78">
      <w:pPr>
        <w:spacing w:after="0" w:line="240" w:lineRule="auto"/>
        <w:rPr>
          <w:rFonts w:ascii="Verdana" w:eastAsia="Calibri" w:hAnsi="Verdana" w:cs="Times New Roman"/>
        </w:rPr>
      </w:pPr>
    </w:p>
    <w:p w14:paraId="07D6B6B7" w14:textId="77777777" w:rsidR="00997F78" w:rsidRPr="00997F78" w:rsidRDefault="00997F78" w:rsidP="00997F78">
      <w:pPr>
        <w:spacing w:after="0" w:line="240" w:lineRule="auto"/>
        <w:rPr>
          <w:rFonts w:ascii="Verdana" w:eastAsia="Calibri" w:hAnsi="Verdana" w:cs="Times New Roman"/>
        </w:rPr>
      </w:pPr>
    </w:p>
    <w:p w14:paraId="532C3471" w14:textId="77777777" w:rsidR="00997F78" w:rsidRPr="00997F78" w:rsidRDefault="00997F78" w:rsidP="00997F78">
      <w:pPr>
        <w:spacing w:after="0" w:line="240" w:lineRule="auto"/>
        <w:rPr>
          <w:rFonts w:ascii="Verdana" w:eastAsia="Calibri" w:hAnsi="Verdana" w:cs="Times New Roman"/>
        </w:rPr>
      </w:pPr>
    </w:p>
    <w:p w14:paraId="61E4A219" w14:textId="77777777" w:rsidR="00997F78" w:rsidRPr="00997F78" w:rsidRDefault="00997F78" w:rsidP="00997F78">
      <w:pPr>
        <w:spacing w:after="0" w:line="240" w:lineRule="auto"/>
        <w:rPr>
          <w:rFonts w:ascii="Verdana" w:eastAsia="Calibri" w:hAnsi="Verdana" w:cs="Times New Roman"/>
        </w:rPr>
      </w:pPr>
    </w:p>
    <w:p w14:paraId="1B2B8B20" w14:textId="77777777" w:rsidR="00997F78" w:rsidRPr="00997F78" w:rsidRDefault="00997F78" w:rsidP="00997F78">
      <w:pPr>
        <w:spacing w:after="0" w:line="240" w:lineRule="auto"/>
        <w:rPr>
          <w:rFonts w:ascii="Verdana" w:eastAsia="Calibri" w:hAnsi="Verdana" w:cs="Times New Roman"/>
        </w:rPr>
      </w:pPr>
    </w:p>
    <w:p w14:paraId="70850FA2" w14:textId="77777777" w:rsidR="00997F78" w:rsidRPr="00997F78" w:rsidRDefault="00997F78" w:rsidP="00997F78">
      <w:pPr>
        <w:spacing w:after="0" w:line="240" w:lineRule="auto"/>
        <w:rPr>
          <w:rFonts w:ascii="Verdana" w:eastAsia="Calibri" w:hAnsi="Verdana" w:cs="Times New Roman"/>
        </w:rPr>
      </w:pPr>
    </w:p>
    <w:p w14:paraId="3BB59EDB" w14:textId="77777777" w:rsidR="00997F78" w:rsidRPr="00997F78" w:rsidRDefault="00997F78" w:rsidP="00997F78">
      <w:pPr>
        <w:spacing w:after="0" w:line="240" w:lineRule="auto"/>
        <w:rPr>
          <w:rFonts w:ascii="Verdana" w:eastAsia="Calibri" w:hAnsi="Verdana" w:cs="Times New Roman"/>
        </w:rPr>
      </w:pPr>
    </w:p>
    <w:p w14:paraId="419C0BB4" w14:textId="77777777" w:rsidR="00997F78" w:rsidRPr="00997F78" w:rsidRDefault="00997F78" w:rsidP="00997F78">
      <w:pPr>
        <w:spacing w:after="0" w:line="240" w:lineRule="auto"/>
        <w:rPr>
          <w:rFonts w:ascii="Verdana" w:eastAsia="Calibri" w:hAnsi="Verdana" w:cs="Times New Roman"/>
        </w:rPr>
      </w:pPr>
    </w:p>
    <w:p w14:paraId="1A79D18F" w14:textId="77777777" w:rsidR="00997F78" w:rsidRPr="00997F78" w:rsidRDefault="00997F78" w:rsidP="00997F78">
      <w:pPr>
        <w:spacing w:after="0" w:line="240" w:lineRule="auto"/>
        <w:rPr>
          <w:rFonts w:ascii="Verdana" w:eastAsia="Calibri" w:hAnsi="Verdana" w:cs="Times New Roman"/>
        </w:rPr>
      </w:pPr>
    </w:p>
    <w:p w14:paraId="4E691445" w14:textId="77777777" w:rsidR="00997F78" w:rsidRPr="00997F78" w:rsidRDefault="00997F78" w:rsidP="00997F78">
      <w:pPr>
        <w:spacing w:after="0" w:line="240" w:lineRule="auto"/>
        <w:rPr>
          <w:rFonts w:ascii="Verdana" w:eastAsia="Calibri" w:hAnsi="Verdana" w:cs="Times New Roman"/>
        </w:rPr>
      </w:pPr>
    </w:p>
    <w:p w14:paraId="303B732F" w14:textId="77777777" w:rsidR="00997F78" w:rsidRPr="00997F78" w:rsidRDefault="00997F78" w:rsidP="00997F78">
      <w:pPr>
        <w:spacing w:after="0" w:line="240" w:lineRule="auto"/>
        <w:rPr>
          <w:rFonts w:ascii="Verdana" w:eastAsia="Calibri" w:hAnsi="Verdana" w:cs="Times New Roman"/>
        </w:rPr>
      </w:pPr>
    </w:p>
    <w:p w14:paraId="73BE9CED" w14:textId="77777777" w:rsidR="00997F78" w:rsidRPr="00997F78" w:rsidRDefault="00997F78" w:rsidP="00997F78">
      <w:pPr>
        <w:spacing w:after="0" w:line="240" w:lineRule="auto"/>
        <w:rPr>
          <w:rFonts w:ascii="Verdana" w:eastAsia="Calibri" w:hAnsi="Verdana" w:cs="Times New Roman"/>
        </w:rPr>
      </w:pPr>
    </w:p>
    <w:p w14:paraId="72971B8B" w14:textId="77777777" w:rsidR="00997F78" w:rsidRPr="00997F78" w:rsidRDefault="00997F78" w:rsidP="00997F78">
      <w:pPr>
        <w:spacing w:after="0" w:line="240" w:lineRule="auto"/>
        <w:rPr>
          <w:rFonts w:ascii="Verdana" w:eastAsia="Calibri" w:hAnsi="Verdana" w:cs="Times New Roman"/>
        </w:rPr>
      </w:pPr>
    </w:p>
    <w:p w14:paraId="2A088F9F" w14:textId="77777777" w:rsidR="00997F78" w:rsidRPr="00997F78" w:rsidRDefault="00997F78" w:rsidP="00997F78">
      <w:pPr>
        <w:spacing w:after="0" w:line="240" w:lineRule="auto"/>
        <w:rPr>
          <w:rFonts w:ascii="Verdana" w:eastAsia="Calibri" w:hAnsi="Verdana" w:cs="Times New Roman"/>
        </w:rPr>
      </w:pPr>
    </w:p>
    <w:p w14:paraId="257A7E6F" w14:textId="77777777" w:rsidR="00997F78" w:rsidRPr="00997F78" w:rsidRDefault="00997F78" w:rsidP="00997F78">
      <w:pPr>
        <w:spacing w:after="0" w:line="240" w:lineRule="auto"/>
        <w:rPr>
          <w:rFonts w:ascii="Verdana" w:eastAsia="Calibri" w:hAnsi="Verdana" w:cs="Times New Roman"/>
        </w:rPr>
      </w:pPr>
    </w:p>
    <w:p w14:paraId="26D24312" w14:textId="77777777" w:rsidR="00F21137" w:rsidRPr="00997F78" w:rsidRDefault="00F21137" w:rsidP="00997F78">
      <w:pPr>
        <w:spacing w:after="0" w:line="240" w:lineRule="auto"/>
        <w:rPr>
          <w:rFonts w:ascii="Verdana" w:eastAsia="Calibri" w:hAnsi="Verdana" w:cs="Times New Roman"/>
        </w:rPr>
      </w:pPr>
    </w:p>
    <w:p w14:paraId="67514096" w14:textId="77777777" w:rsidR="00997F78" w:rsidRPr="00997F78" w:rsidRDefault="00997F78" w:rsidP="00997F78">
      <w:pPr>
        <w:spacing w:after="0" w:line="240" w:lineRule="auto"/>
        <w:rPr>
          <w:rFonts w:ascii="Verdana" w:eastAsia="Calibri" w:hAnsi="Verdana" w:cs="Times New Roman"/>
        </w:rPr>
      </w:pPr>
    </w:p>
    <w:p w14:paraId="1609D226" w14:textId="4E506ECB" w:rsidR="00997F78" w:rsidRDefault="00997F78" w:rsidP="00997F78">
      <w:pPr>
        <w:spacing w:after="0" w:line="240" w:lineRule="auto"/>
        <w:jc w:val="both"/>
        <w:rPr>
          <w:rFonts w:ascii="Verdana" w:hAnsi="Verdana"/>
        </w:rPr>
      </w:pPr>
      <w:r w:rsidRPr="0044528D">
        <w:rPr>
          <w:rFonts w:ascii="Verdana" w:hAnsi="Verdana"/>
        </w:rPr>
        <w:lastRenderedPageBreak/>
        <w:t>Bogotá D.C.</w:t>
      </w:r>
    </w:p>
    <w:p w14:paraId="56533CB7" w14:textId="77777777" w:rsidR="000C0902" w:rsidRDefault="000C0902" w:rsidP="00997F78">
      <w:pPr>
        <w:spacing w:after="0" w:line="240" w:lineRule="auto"/>
        <w:jc w:val="both"/>
        <w:rPr>
          <w:rFonts w:ascii="Verdana" w:hAnsi="Verdana"/>
        </w:rPr>
      </w:pPr>
    </w:p>
    <w:p w14:paraId="0D92675C" w14:textId="162F9799" w:rsidR="00997F78" w:rsidRPr="000C0902" w:rsidRDefault="000C0902" w:rsidP="000C0902">
      <w:pPr>
        <w:spacing w:after="0" w:line="240" w:lineRule="auto"/>
        <w:jc w:val="right"/>
        <w:rPr>
          <w:rFonts w:ascii="Verdana" w:hAnsi="Verdana"/>
        </w:rPr>
      </w:pPr>
      <w:r>
        <w:rPr>
          <w:rFonts w:ascii="Verdana" w:hAnsi="Verdana"/>
          <w:noProof/>
        </w:rPr>
        <w:drawing>
          <wp:inline distT="0" distB="0" distL="0" distR="0" wp14:anchorId="315B46A7" wp14:editId="1CB782F6">
            <wp:extent cx="3674439" cy="1070986"/>
            <wp:effectExtent l="0" t="0" r="0" b="0"/>
            <wp:docPr id="14743793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379378" name="Imagen 1474379378"/>
                    <pic:cNvPicPr/>
                  </pic:nvPicPr>
                  <pic:blipFill>
                    <a:blip r:embed="rId10">
                      <a:extLst>
                        <a:ext uri="{28A0092B-C50C-407E-A947-70E740481C1C}">
                          <a14:useLocalDpi xmlns:a14="http://schemas.microsoft.com/office/drawing/2010/main" val="0"/>
                        </a:ext>
                      </a:extLst>
                    </a:blip>
                    <a:stretch>
                      <a:fillRect/>
                    </a:stretch>
                  </pic:blipFill>
                  <pic:spPr>
                    <a:xfrm>
                      <a:off x="0" y="0"/>
                      <a:ext cx="3689986" cy="1075518"/>
                    </a:xfrm>
                    <a:prstGeom prst="rect">
                      <a:avLst/>
                    </a:prstGeom>
                  </pic:spPr>
                </pic:pic>
              </a:graphicData>
            </a:graphic>
          </wp:inline>
        </w:drawing>
      </w:r>
    </w:p>
    <w:p w14:paraId="11CFC22A" w14:textId="77777777" w:rsidR="00997F78" w:rsidRPr="00997F78" w:rsidRDefault="00997F78" w:rsidP="00997F78">
      <w:pPr>
        <w:spacing w:after="0" w:line="240" w:lineRule="auto"/>
        <w:jc w:val="both"/>
        <w:rPr>
          <w:rFonts w:ascii="Verdana" w:eastAsia="Calibri" w:hAnsi="Verdana" w:cs="Arial"/>
          <w:lang w:val="es-ES"/>
        </w:rPr>
      </w:pPr>
    </w:p>
    <w:p w14:paraId="6A588E3C" w14:textId="77777777" w:rsidR="00997F78" w:rsidRPr="00997F78" w:rsidRDefault="00997F78" w:rsidP="00997F78">
      <w:pPr>
        <w:spacing w:after="0" w:line="240" w:lineRule="auto"/>
        <w:jc w:val="both"/>
        <w:rPr>
          <w:rFonts w:ascii="Verdana" w:eastAsia="Calibri" w:hAnsi="Verdana" w:cs="Arial"/>
          <w:lang w:val="es-ES" w:eastAsia="es-ES"/>
        </w:rPr>
      </w:pPr>
      <w:r w:rsidRPr="00997F78">
        <w:rPr>
          <w:rFonts w:ascii="Verdana" w:eastAsia="Calibri" w:hAnsi="Verdana" w:cs="Arial"/>
          <w:lang w:val="es-ES" w:eastAsia="es-ES"/>
        </w:rPr>
        <w:t>Señor</w:t>
      </w:r>
    </w:p>
    <w:p w14:paraId="625590DA" w14:textId="77777777" w:rsidR="00997F78" w:rsidRPr="00997F78" w:rsidRDefault="00997F78" w:rsidP="00997F78">
      <w:pPr>
        <w:spacing w:after="0" w:line="240" w:lineRule="auto"/>
        <w:rPr>
          <w:rFonts w:ascii="Verdana" w:eastAsia="Calibri" w:hAnsi="Verdana" w:cs="Arial"/>
          <w:b/>
          <w:lang w:val="es-ES_tradnl" w:eastAsia="es-ES_tradnl"/>
        </w:rPr>
      </w:pPr>
      <w:r w:rsidRPr="00997F78">
        <w:rPr>
          <w:rFonts w:ascii="Verdana" w:eastAsia="Calibri" w:hAnsi="Verdana" w:cs="Arial"/>
          <w:b/>
          <w:lang w:val="es-ES_tradnl" w:eastAsia="es-ES_tradnl"/>
        </w:rPr>
        <w:t>Juan Carlos Jiménez Triana</w:t>
      </w:r>
    </w:p>
    <w:p w14:paraId="07A2DB1B" w14:textId="77777777" w:rsidR="00997F78" w:rsidRPr="00997F78" w:rsidRDefault="00997F78" w:rsidP="00997F78">
      <w:pPr>
        <w:spacing w:after="0" w:line="240" w:lineRule="auto"/>
        <w:rPr>
          <w:rFonts w:ascii="Verdana" w:eastAsia="Calibri" w:hAnsi="Verdana" w:cs="Arial"/>
          <w:lang w:val="es-ES" w:eastAsia="es-ES"/>
        </w:rPr>
      </w:pPr>
      <w:r w:rsidRPr="00997F78">
        <w:rPr>
          <w:rFonts w:ascii="Verdana" w:eastAsia="Calibri" w:hAnsi="Verdana" w:cs="Arial"/>
          <w:lang w:val="es-ES" w:eastAsia="es-ES"/>
        </w:rPr>
        <w:t>Bogotá, D.C.</w:t>
      </w:r>
    </w:p>
    <w:p w14:paraId="0DBC6178" w14:textId="77777777" w:rsidR="00997F78" w:rsidRPr="007012DF" w:rsidRDefault="00997F78" w:rsidP="00997F78">
      <w:pPr>
        <w:spacing w:after="0" w:line="240" w:lineRule="auto"/>
        <w:rPr>
          <w:rFonts w:ascii="Verdana" w:eastAsia="Calibri" w:hAnsi="Verdana" w:cs="Arial"/>
          <w:b/>
          <w:bCs/>
          <w:lang w:val="es-ES_tradnl" w:eastAsia="es-ES_tradnl"/>
        </w:rPr>
      </w:pPr>
    </w:p>
    <w:p w14:paraId="0EF3F716" w14:textId="77777777" w:rsidR="00997F78" w:rsidRPr="007012DF" w:rsidRDefault="00997F78" w:rsidP="00997F78">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997F78" w:rsidRPr="007012DF" w14:paraId="0106F5C3" w14:textId="77777777" w:rsidTr="004A31F1">
        <w:trPr>
          <w:trHeight w:val="884"/>
        </w:trPr>
        <w:tc>
          <w:tcPr>
            <w:tcW w:w="2689" w:type="dxa"/>
          </w:tcPr>
          <w:p w14:paraId="405ACD33" w14:textId="77777777" w:rsidR="00997F78" w:rsidRPr="007012DF" w:rsidRDefault="00997F78" w:rsidP="00997F78">
            <w:pPr>
              <w:jc w:val="both"/>
              <w:rPr>
                <w:rFonts w:ascii="Verdana" w:eastAsia="Calibri" w:hAnsi="Verdana" w:cs="Arial"/>
                <w:b/>
                <w:bCs/>
                <w:kern w:val="2"/>
                <w:lang w:val="es-ES_tradnl" w:eastAsia="es-ES_tradnl"/>
                <w14:ligatures w14:val="standardContextual"/>
              </w:rPr>
            </w:pPr>
          </w:p>
        </w:tc>
        <w:tc>
          <w:tcPr>
            <w:tcW w:w="6100" w:type="dxa"/>
          </w:tcPr>
          <w:p w14:paraId="767EFEEE" w14:textId="77777777" w:rsidR="00997F78" w:rsidRPr="007012DF" w:rsidRDefault="00997F78" w:rsidP="00997F78">
            <w:pPr>
              <w:jc w:val="both"/>
              <w:rPr>
                <w:rFonts w:ascii="Verdana" w:eastAsia="Calibri" w:hAnsi="Verdana" w:cs="Arial"/>
                <w:b/>
                <w:bCs/>
                <w:kern w:val="2"/>
                <w:lang w:val="es-ES" w:eastAsia="es-ES"/>
                <w14:ligatures w14:val="standardContextual"/>
              </w:rPr>
            </w:pPr>
            <w:r w:rsidRPr="007012DF">
              <w:rPr>
                <w:rFonts w:ascii="Verdana" w:eastAsia="Calibri" w:hAnsi="Verdana" w:cs="Arial"/>
                <w:b/>
                <w:bCs/>
                <w:kern w:val="2"/>
                <w:lang w:val="es-ES" w:eastAsia="es-ES"/>
                <w14:ligatures w14:val="standardContextual"/>
              </w:rPr>
              <w:t>Concepto C – 315 de 2024</w:t>
            </w:r>
          </w:p>
        </w:tc>
      </w:tr>
      <w:tr w:rsidR="00997F78" w:rsidRPr="007012DF" w14:paraId="63D1D9F6" w14:textId="77777777" w:rsidTr="004A31F1">
        <w:trPr>
          <w:trHeight w:val="884"/>
        </w:trPr>
        <w:tc>
          <w:tcPr>
            <w:tcW w:w="2689" w:type="dxa"/>
          </w:tcPr>
          <w:p w14:paraId="030EF2B7" w14:textId="77777777" w:rsidR="00997F78" w:rsidRPr="007012DF" w:rsidRDefault="00997F78" w:rsidP="00997F78">
            <w:pPr>
              <w:jc w:val="both"/>
              <w:rPr>
                <w:rFonts w:ascii="Verdana" w:eastAsia="Calibri" w:hAnsi="Verdana" w:cs="Arial"/>
                <w:kern w:val="2"/>
                <w:lang w:val="es-ES_tradnl" w:eastAsia="es-ES_tradnl"/>
                <w14:ligatures w14:val="standardContextual"/>
              </w:rPr>
            </w:pPr>
            <w:r w:rsidRPr="007012DF">
              <w:rPr>
                <w:rFonts w:ascii="Verdana" w:eastAsia="Calibri" w:hAnsi="Verdana" w:cs="Arial"/>
                <w:b/>
                <w:kern w:val="2"/>
                <w:lang w:val="es-ES_tradnl" w:eastAsia="es-ES_tradnl"/>
                <w14:ligatures w14:val="standardContextual"/>
              </w:rPr>
              <w:t>Temas:</w:t>
            </w:r>
            <w:r w:rsidRPr="007012DF">
              <w:rPr>
                <w:rFonts w:ascii="Verdana" w:eastAsia="Calibri" w:hAnsi="Verdana" w:cs="Arial"/>
                <w:kern w:val="2"/>
                <w:lang w:val="es-ES_tradnl" w:eastAsia="es-ES_tradnl"/>
                <w14:ligatures w14:val="standardContextual"/>
              </w:rPr>
              <w:t xml:space="preserve">                   </w:t>
            </w:r>
          </w:p>
        </w:tc>
        <w:tc>
          <w:tcPr>
            <w:tcW w:w="6100" w:type="dxa"/>
          </w:tcPr>
          <w:p w14:paraId="6F8204C9" w14:textId="77777777" w:rsidR="00997F78" w:rsidRPr="007012DF" w:rsidRDefault="00997F78" w:rsidP="00997F78">
            <w:pPr>
              <w:tabs>
                <w:tab w:val="left" w:pos="709"/>
              </w:tabs>
              <w:snapToGrid w:val="0"/>
              <w:spacing w:line="276" w:lineRule="auto"/>
              <w:jc w:val="both"/>
              <w:rPr>
                <w:rFonts w:ascii="Verdana" w:eastAsia="Aptos" w:hAnsi="Verdana" w:cs="Arial"/>
                <w:kern w:val="2"/>
                <w:lang w:val="es-ES_tradnl"/>
                <w14:ligatures w14:val="standardContextual"/>
              </w:rPr>
            </w:pPr>
            <w:r w:rsidRPr="007012DF">
              <w:rPr>
                <w:rFonts w:ascii="Verdana" w:eastAsia="Calibri" w:hAnsi="Verdana" w:cs="Arial"/>
                <w:kern w:val="2"/>
                <w:lang w:val="es-ES_tradnl"/>
                <w14:ligatures w14:val="standardContextual"/>
              </w:rPr>
              <w:t xml:space="preserve">CONVENIOS Y CONTRATOS INTERADMINISTRATIVOS – Régimen jurídico – Noción / </w:t>
            </w:r>
            <w:r w:rsidRPr="007012DF">
              <w:rPr>
                <w:rFonts w:ascii="Verdana" w:eastAsia="Times New Roman" w:hAnsi="Verdana" w:cs="Arial"/>
                <w:kern w:val="2"/>
                <w:lang w:val="es-ES_tradnl" w:eastAsia="es-CO"/>
                <w14:ligatures w14:val="standardContextual"/>
              </w:rPr>
              <w:t>CONVENIOS Y CONTRATOS INTERADMINISTRATIVOS – Conceptos – Referencias comunes</w:t>
            </w:r>
          </w:p>
          <w:p w14:paraId="69FE8219" w14:textId="77777777" w:rsidR="00997F78" w:rsidRPr="007012DF" w:rsidRDefault="00997F78" w:rsidP="00997F78">
            <w:pPr>
              <w:spacing w:line="276" w:lineRule="auto"/>
              <w:jc w:val="both"/>
              <w:rPr>
                <w:rFonts w:ascii="Verdana" w:eastAsia="Calibri" w:hAnsi="Verdana" w:cs="Arial"/>
                <w:kern w:val="2"/>
                <w:highlight w:val="yellow"/>
                <w:lang w:val="es-ES" w:eastAsia="es-ES"/>
                <w14:ligatures w14:val="standardContextual"/>
              </w:rPr>
            </w:pPr>
          </w:p>
        </w:tc>
      </w:tr>
      <w:tr w:rsidR="00997F78" w:rsidRPr="007012DF" w14:paraId="54982D45" w14:textId="77777777" w:rsidTr="004A31F1">
        <w:tc>
          <w:tcPr>
            <w:tcW w:w="2689" w:type="dxa"/>
          </w:tcPr>
          <w:p w14:paraId="04A3AD41" w14:textId="77777777" w:rsidR="00997F78" w:rsidRPr="007012DF" w:rsidRDefault="00997F78" w:rsidP="00997F78">
            <w:pPr>
              <w:jc w:val="both"/>
              <w:rPr>
                <w:rFonts w:ascii="Verdana" w:eastAsia="Calibri" w:hAnsi="Verdana" w:cs="Arial"/>
                <w:b/>
                <w:kern w:val="2"/>
                <w:lang w:val="es-ES_tradnl" w:eastAsia="es-ES_tradnl"/>
                <w14:ligatures w14:val="standardContextual"/>
              </w:rPr>
            </w:pPr>
            <w:r w:rsidRPr="007012DF">
              <w:rPr>
                <w:rFonts w:ascii="Verdana" w:eastAsia="Calibri" w:hAnsi="Verdana" w:cs="Arial"/>
                <w:b/>
                <w:kern w:val="2"/>
                <w:lang w:val="es-ES_tradnl" w:eastAsia="es-ES_tradnl"/>
                <w14:ligatures w14:val="standardContextual"/>
              </w:rPr>
              <w:t>Radicación:</w:t>
            </w:r>
            <w:r w:rsidRPr="007012DF">
              <w:rPr>
                <w:rFonts w:ascii="Verdana" w:eastAsia="Calibri" w:hAnsi="Verdana" w:cs="Arial"/>
                <w:kern w:val="2"/>
                <w:lang w:val="es-ES_tradnl" w:eastAsia="es-ES_tradnl"/>
                <w14:ligatures w14:val="standardContextual"/>
              </w:rPr>
              <w:t xml:space="preserve">               </w:t>
            </w:r>
          </w:p>
        </w:tc>
        <w:tc>
          <w:tcPr>
            <w:tcW w:w="6100" w:type="dxa"/>
          </w:tcPr>
          <w:p w14:paraId="163A45E5" w14:textId="77777777" w:rsidR="00997F78" w:rsidRPr="007012DF" w:rsidRDefault="00997F78" w:rsidP="00997F78">
            <w:pPr>
              <w:jc w:val="both"/>
              <w:rPr>
                <w:rFonts w:ascii="Verdana" w:eastAsia="Calibri" w:hAnsi="Verdana" w:cs="Arial"/>
                <w:kern w:val="2"/>
                <w:lang w:val="es-ES_tradnl" w:eastAsia="es-ES_tradnl"/>
                <w14:ligatures w14:val="standardContextual"/>
              </w:rPr>
            </w:pPr>
            <w:r w:rsidRPr="007012DF">
              <w:rPr>
                <w:rFonts w:ascii="Verdana" w:eastAsia="Calibri" w:hAnsi="Verdana" w:cs="Arial"/>
                <w:kern w:val="2"/>
                <w:lang w:val="es-ES_tradnl" w:eastAsia="es-ES_tradnl"/>
                <w14:ligatures w14:val="standardContextual"/>
              </w:rPr>
              <w:t>Respuesta a consulta con radicado No. P20240709006993</w:t>
            </w:r>
          </w:p>
        </w:tc>
      </w:tr>
    </w:tbl>
    <w:p w14:paraId="6D0D8A0E" w14:textId="77777777" w:rsidR="00997F78" w:rsidRPr="007012DF" w:rsidRDefault="00997F78" w:rsidP="00997F78">
      <w:pPr>
        <w:spacing w:after="0" w:line="240" w:lineRule="auto"/>
        <w:jc w:val="both"/>
        <w:rPr>
          <w:rFonts w:ascii="Verdana" w:eastAsia="Calibri" w:hAnsi="Verdana" w:cs="Arial"/>
          <w:lang w:val="es-ES_tradnl" w:eastAsia="es-ES_tradnl"/>
        </w:rPr>
      </w:pPr>
    </w:p>
    <w:p w14:paraId="3B761AB2" w14:textId="77777777" w:rsidR="00997F78" w:rsidRPr="00997F78" w:rsidRDefault="00997F78" w:rsidP="00997F78">
      <w:pPr>
        <w:spacing w:after="0" w:line="240" w:lineRule="auto"/>
        <w:jc w:val="both"/>
        <w:rPr>
          <w:rFonts w:ascii="Verdana" w:eastAsia="Calibri" w:hAnsi="Verdana" w:cs="Arial"/>
          <w:lang w:val="es-ES_tradnl" w:eastAsia="es-ES_tradnl"/>
        </w:rPr>
      </w:pPr>
    </w:p>
    <w:p w14:paraId="3CEAEFD0" w14:textId="77777777" w:rsidR="00997F78" w:rsidRPr="00997F78" w:rsidRDefault="00997F78" w:rsidP="00997F78">
      <w:pPr>
        <w:spacing w:after="0" w:line="276" w:lineRule="auto"/>
        <w:jc w:val="both"/>
        <w:rPr>
          <w:rFonts w:ascii="Verdana" w:eastAsia="Calibri" w:hAnsi="Verdana" w:cs="Arial"/>
          <w:lang w:val="es-ES" w:eastAsia="es-ES"/>
        </w:rPr>
      </w:pPr>
      <w:r w:rsidRPr="00997F78">
        <w:rPr>
          <w:rFonts w:ascii="Verdana" w:eastAsia="Calibri" w:hAnsi="Verdana" w:cs="Arial"/>
          <w:lang w:val="es-ES" w:eastAsia="es-ES"/>
        </w:rPr>
        <w:t xml:space="preserve">Estimado señor Jiménez Triana: </w:t>
      </w:r>
    </w:p>
    <w:p w14:paraId="1BFECD8A" w14:textId="77777777" w:rsidR="00997F78" w:rsidRPr="00997F78" w:rsidRDefault="00997F78" w:rsidP="00997F78">
      <w:pPr>
        <w:tabs>
          <w:tab w:val="left" w:pos="3768"/>
        </w:tabs>
        <w:spacing w:after="0" w:line="276" w:lineRule="auto"/>
        <w:jc w:val="both"/>
        <w:rPr>
          <w:rFonts w:ascii="Verdana" w:eastAsia="Calibri" w:hAnsi="Verdana" w:cs="Arial"/>
          <w:lang w:val="es-ES" w:eastAsia="es-ES"/>
        </w:rPr>
      </w:pPr>
      <w:r w:rsidRPr="00997F78">
        <w:rPr>
          <w:rFonts w:ascii="Verdana" w:eastAsia="Calibri" w:hAnsi="Verdana" w:cs="Arial"/>
          <w:lang w:val="es-ES" w:eastAsia="es-ES"/>
        </w:rPr>
        <w:tab/>
      </w:r>
    </w:p>
    <w:p w14:paraId="191FEBD8" w14:textId="77777777" w:rsidR="00997F78" w:rsidRPr="00997F78" w:rsidRDefault="00997F78" w:rsidP="00997F78">
      <w:pPr>
        <w:spacing w:after="0" w:line="276" w:lineRule="auto"/>
        <w:jc w:val="both"/>
        <w:rPr>
          <w:rFonts w:ascii="Verdana" w:eastAsia="Calibri" w:hAnsi="Verdana" w:cs="Arial"/>
          <w:lang w:val="es-ES" w:eastAsia="es-ES"/>
        </w:rPr>
      </w:pPr>
      <w:r w:rsidRPr="00997F78">
        <w:rPr>
          <w:rFonts w:ascii="Verdana" w:eastAsia="Calibri" w:hAnsi="Verdana" w:cs="Arial"/>
          <w:lang w:val="es-ES" w:eastAsia="es-ES"/>
        </w:rPr>
        <w:t>En ejercicio de la competencia otorgada por los artículos 3, numeral 5º, y 11, numeral 8º, del Decreto Ley 4170 de 2011,</w:t>
      </w:r>
      <w:r w:rsidRPr="00997F78">
        <w:rPr>
          <w:rFonts w:ascii="Verdana" w:eastAsia="Arial MT" w:hAnsi="Verdana" w:cs="Arial MT"/>
          <w:lang w:val="es-ES" w:eastAsia="es-ES"/>
        </w:rPr>
        <w:t xml:space="preserve"> </w:t>
      </w:r>
      <w:r w:rsidRPr="00997F78">
        <w:rPr>
          <w:rFonts w:ascii="Verdana" w:eastAsia="Calibri" w:hAnsi="Verdana" w:cs="Arial"/>
        </w:rPr>
        <w:t xml:space="preserve">así como lo establecido en el artículo 4 de la Resolución 1707 de 2018 expedida por esta Entidad, </w:t>
      </w:r>
      <w:r w:rsidRPr="00997F78">
        <w:rPr>
          <w:rFonts w:ascii="Verdana" w:eastAsia="Calibri" w:hAnsi="Verdana" w:cs="Arial"/>
          <w:lang w:val="es-ES" w:eastAsia="es-ES"/>
        </w:rPr>
        <w:t>la Agencia Nacional de Contratación Pública – Colombia Compra Eficiente– responde su solicitud de consulta de fecha 9 de julio de 2024, en la cual manifiesta lo siguiente:</w:t>
      </w:r>
    </w:p>
    <w:p w14:paraId="78A78698" w14:textId="77777777" w:rsidR="00997F78" w:rsidRPr="00997F78" w:rsidRDefault="00997F78" w:rsidP="00997F78">
      <w:pPr>
        <w:tabs>
          <w:tab w:val="left" w:pos="142"/>
          <w:tab w:val="left" w:pos="284"/>
        </w:tabs>
        <w:spacing w:line="240" w:lineRule="auto"/>
        <w:contextualSpacing/>
        <w:jc w:val="both"/>
        <w:rPr>
          <w:rFonts w:ascii="Verdana" w:eastAsia="Century Gothic" w:hAnsi="Verdana" w:cs="Century Gothic"/>
          <w:b/>
          <w:bCs/>
          <w:sz w:val="21"/>
          <w:szCs w:val="21"/>
          <w:lang w:val="es-ES"/>
        </w:rPr>
      </w:pPr>
    </w:p>
    <w:p w14:paraId="4DE38036" w14:textId="77777777" w:rsidR="00997F78" w:rsidRPr="00997F78" w:rsidRDefault="00997F78" w:rsidP="00997F78">
      <w:pPr>
        <w:spacing w:after="0" w:line="240" w:lineRule="auto"/>
        <w:ind w:left="709" w:right="709"/>
        <w:jc w:val="both"/>
        <w:rPr>
          <w:rFonts w:ascii="Verdana" w:eastAsia="Century Gothic" w:hAnsi="Verdana" w:cs="Century Gothic"/>
          <w:sz w:val="21"/>
          <w:szCs w:val="21"/>
          <w:lang w:val="es-ES"/>
        </w:rPr>
      </w:pPr>
      <w:bookmarkStart w:id="1" w:name="_Hlk95313578"/>
      <w:r w:rsidRPr="00997F78">
        <w:rPr>
          <w:rFonts w:ascii="Verdana" w:eastAsia="Century Gothic" w:hAnsi="Verdana" w:cs="Century Gothic"/>
          <w:sz w:val="21"/>
          <w:szCs w:val="21"/>
          <w:lang w:val="es-ES"/>
        </w:rPr>
        <w:t>“</w:t>
      </w:r>
      <w:bookmarkEnd w:id="1"/>
      <w:r w:rsidRPr="00997F78">
        <w:rPr>
          <w:rFonts w:ascii="Verdana" w:eastAsia="Century Gothic" w:hAnsi="Verdana" w:cs="Century Gothic"/>
          <w:sz w:val="21"/>
          <w:szCs w:val="21"/>
          <w:lang w:val="es-ES"/>
        </w:rPr>
        <w:t xml:space="preserve">PRIMERA: Solicito de la manera más comedida brindar información respecto a sí con el artículo 2.2.1.2.1.4.4. del Decreto 1082 de 2015 se creó una nueva causal de contratación directa al extender esta modalidad de selección a los convenios interadministrativos y si esto va en contravía del numeral 4 del artículo 2 de la Ley 1150 de 2007, pues en tal disposición sólo se menciona que esta modalidad de contratación es aplicable para los contratos administrativos, pero no se menciona que resulte aplicable para los convenios. </w:t>
      </w:r>
    </w:p>
    <w:p w14:paraId="2BBA6F5C" w14:textId="77777777" w:rsidR="00997F78" w:rsidRPr="00997F78" w:rsidRDefault="00997F78" w:rsidP="00997F78">
      <w:pPr>
        <w:spacing w:after="0" w:line="240" w:lineRule="auto"/>
        <w:ind w:left="709" w:right="709"/>
        <w:jc w:val="both"/>
        <w:rPr>
          <w:rFonts w:ascii="Verdana" w:eastAsia="Century Gothic" w:hAnsi="Verdana" w:cs="Century Gothic"/>
          <w:sz w:val="21"/>
          <w:szCs w:val="21"/>
          <w:lang w:val="es-ES"/>
        </w:rPr>
      </w:pPr>
    </w:p>
    <w:p w14:paraId="2A4EEACC" w14:textId="77777777" w:rsidR="00997F78" w:rsidRPr="00997F78" w:rsidRDefault="00997F78" w:rsidP="00997F78">
      <w:pPr>
        <w:spacing w:after="0" w:line="240" w:lineRule="auto"/>
        <w:ind w:left="709" w:right="709"/>
        <w:jc w:val="both"/>
        <w:rPr>
          <w:rFonts w:ascii="Verdana" w:eastAsia="Century Gothic" w:hAnsi="Verdana" w:cs="Century Gothic"/>
          <w:sz w:val="21"/>
          <w:szCs w:val="21"/>
          <w:lang w:val="es-ES"/>
        </w:rPr>
      </w:pPr>
      <w:r w:rsidRPr="00997F78">
        <w:rPr>
          <w:rFonts w:ascii="Verdana" w:eastAsia="Century Gothic" w:hAnsi="Verdana" w:cs="Century Gothic"/>
          <w:sz w:val="21"/>
          <w:szCs w:val="21"/>
          <w:lang w:val="es-ES"/>
        </w:rPr>
        <w:t>SEGUNDA: Solicito amablemente se me remita la memoria justificativa del Decreto 1082 de 2015 y demás información que se estime conveniente.”</w:t>
      </w:r>
    </w:p>
    <w:p w14:paraId="30926DCD" w14:textId="77777777" w:rsidR="00997F78" w:rsidRPr="00997F78" w:rsidRDefault="00997F78" w:rsidP="00997F78">
      <w:pPr>
        <w:tabs>
          <w:tab w:val="left" w:pos="142"/>
          <w:tab w:val="left" w:pos="284"/>
        </w:tabs>
        <w:spacing w:line="276" w:lineRule="auto"/>
        <w:contextualSpacing/>
        <w:jc w:val="both"/>
        <w:rPr>
          <w:rFonts w:ascii="Verdana" w:eastAsia="Century Gothic" w:hAnsi="Verdana" w:cs="Century Gothic"/>
          <w:b/>
          <w:bCs/>
          <w:lang w:val="es-ES"/>
        </w:rPr>
      </w:pPr>
    </w:p>
    <w:p w14:paraId="7C8B1534" w14:textId="77777777" w:rsidR="00997F78" w:rsidRPr="00997F78" w:rsidRDefault="00997F78" w:rsidP="00997F78">
      <w:pPr>
        <w:spacing w:after="120" w:line="276" w:lineRule="auto"/>
        <w:ind w:firstLine="709"/>
        <w:jc w:val="both"/>
        <w:rPr>
          <w:rFonts w:ascii="Verdana" w:eastAsia="Calibri" w:hAnsi="Verdana" w:cs="Arial"/>
          <w:szCs w:val="24"/>
          <w:lang w:val="es-ES_tradnl" w:eastAsia="es-ES_tradnl"/>
        </w:rPr>
      </w:pPr>
      <w:r w:rsidRPr="00997F78">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97F78">
        <w:rPr>
          <w:rFonts w:ascii="Verdana" w:eastAsia="Calibri" w:hAnsi="Verdana" w:cs="Arial"/>
          <w:szCs w:val="24"/>
          <w:lang w:val="es-ES_tradnl" w:eastAsia="es-ES_tradnl"/>
        </w:rPr>
        <w:tab/>
      </w:r>
    </w:p>
    <w:p w14:paraId="7EB973E2" w14:textId="77777777" w:rsidR="00997F78" w:rsidRPr="00997F78" w:rsidRDefault="00997F78" w:rsidP="00997F78">
      <w:pPr>
        <w:spacing w:after="0" w:line="276" w:lineRule="auto"/>
        <w:ind w:firstLine="709"/>
        <w:jc w:val="both"/>
        <w:rPr>
          <w:rFonts w:ascii="Verdana" w:eastAsia="Calibri" w:hAnsi="Verdana" w:cs="Arial"/>
          <w:lang w:val="es-ES" w:eastAsia="es-ES"/>
        </w:rPr>
      </w:pPr>
      <w:r w:rsidRPr="00997F78">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De todas maneras, le informamos que la segunda solicitud de su petición será remitida al Departamento Nacional de Planeación, para que sea esa entidad la que atienda su solicitud, de acuerdo con su competencia.  </w:t>
      </w:r>
    </w:p>
    <w:p w14:paraId="2B9F9904" w14:textId="77777777" w:rsidR="00997F78" w:rsidRPr="00997F78" w:rsidRDefault="00997F78" w:rsidP="00997F78">
      <w:pPr>
        <w:spacing w:after="0" w:line="276" w:lineRule="auto"/>
        <w:ind w:firstLine="709"/>
        <w:jc w:val="both"/>
        <w:rPr>
          <w:rFonts w:ascii="Verdana" w:eastAsia="Calibri" w:hAnsi="Verdana" w:cs="Arial"/>
          <w:lang w:val="es-ES" w:eastAsia="es-ES"/>
        </w:rPr>
      </w:pPr>
    </w:p>
    <w:p w14:paraId="24BE084B" w14:textId="77777777" w:rsidR="00997F78" w:rsidRPr="00997F78" w:rsidRDefault="00997F78" w:rsidP="00997F78">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997F78">
        <w:rPr>
          <w:rFonts w:ascii="Verdana" w:eastAsia="Century Gothic" w:hAnsi="Verdana" w:cs="Century Gothic"/>
          <w:b/>
          <w:bCs/>
          <w:lang w:val="es-ES"/>
        </w:rPr>
        <w:t>Problema planteado:</w:t>
      </w:r>
    </w:p>
    <w:p w14:paraId="2950F6EB" w14:textId="77777777" w:rsidR="00997F78" w:rsidRPr="00997F78" w:rsidRDefault="00997F78" w:rsidP="00997F78">
      <w:pPr>
        <w:tabs>
          <w:tab w:val="left" w:pos="426"/>
        </w:tabs>
        <w:spacing w:after="0" w:line="276" w:lineRule="auto"/>
        <w:jc w:val="both"/>
        <w:rPr>
          <w:rFonts w:ascii="Verdana" w:eastAsia="Century Gothic" w:hAnsi="Verdana" w:cs="Century Gothic"/>
          <w:lang w:val="es-ES"/>
        </w:rPr>
      </w:pPr>
    </w:p>
    <w:p w14:paraId="221D6EC3" w14:textId="77777777" w:rsidR="00997F78" w:rsidRPr="00997F78" w:rsidRDefault="00997F78" w:rsidP="00997F78">
      <w:pPr>
        <w:spacing w:after="0" w:line="276" w:lineRule="auto"/>
        <w:jc w:val="both"/>
        <w:rPr>
          <w:rFonts w:ascii="Verdana" w:eastAsia="Century Gothic" w:hAnsi="Verdana" w:cs="Century Gothic"/>
        </w:rPr>
      </w:pPr>
      <w:r w:rsidRPr="00997F78">
        <w:rPr>
          <w:rFonts w:ascii="Verdana" w:eastAsia="Century Gothic" w:hAnsi="Verdana" w:cs="Century Gothic"/>
        </w:rPr>
        <w:t>De acuerdo con el contenido de su solicitud, esta Agencia resolverá el siguiente problema jurídico: ¿está creando el artículo 2.2.1.2.1.4.4 del Decreto 1082 de 2015 una causal de contratación directa adicional a la contenida en el literal c) del numeral 4 del artículo 2 de la ley 1150 de 2007?</w:t>
      </w:r>
    </w:p>
    <w:p w14:paraId="5E2EFD10" w14:textId="77777777" w:rsidR="00997F78" w:rsidRPr="00997F78" w:rsidRDefault="00997F78" w:rsidP="00997F78">
      <w:pPr>
        <w:spacing w:after="0" w:line="276" w:lineRule="auto"/>
        <w:jc w:val="both"/>
        <w:rPr>
          <w:rFonts w:ascii="Verdana" w:eastAsia="Calibri" w:hAnsi="Verdana" w:cs="Arial"/>
          <w:lang w:val="es-ES"/>
        </w:rPr>
      </w:pPr>
    </w:p>
    <w:p w14:paraId="4BAF40EE" w14:textId="77777777" w:rsidR="00997F78" w:rsidRPr="00997F78" w:rsidRDefault="00997F78" w:rsidP="00997F78">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997F78">
        <w:rPr>
          <w:rFonts w:ascii="Verdana" w:eastAsia="Century Gothic" w:hAnsi="Verdana" w:cs="Century Gothic"/>
          <w:b/>
          <w:bCs/>
          <w:lang w:val="es-ES"/>
        </w:rPr>
        <w:t>Respuesta:</w:t>
      </w:r>
    </w:p>
    <w:p w14:paraId="1D5AB671" w14:textId="77777777" w:rsidR="00997F78" w:rsidRPr="00997F78" w:rsidRDefault="00997F78" w:rsidP="00997F7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97F78" w:rsidRPr="00997F78" w14:paraId="2F30E731" w14:textId="77777777" w:rsidTr="004A31F1">
        <w:tc>
          <w:tcPr>
            <w:tcW w:w="8828" w:type="dxa"/>
            <w:shd w:val="clear" w:color="auto" w:fill="auto"/>
          </w:tcPr>
          <w:p w14:paraId="3C15C792" w14:textId="77777777" w:rsidR="00997F78" w:rsidRPr="00997F78" w:rsidRDefault="00997F78" w:rsidP="00997F78">
            <w:pPr>
              <w:spacing w:line="276" w:lineRule="auto"/>
              <w:contextualSpacing/>
              <w:jc w:val="both"/>
              <w:rPr>
                <w:rFonts w:ascii="Verdana" w:eastAsia="Times New Roman" w:hAnsi="Verdana" w:cs="Arial"/>
                <w:kern w:val="2"/>
                <w:sz w:val="24"/>
                <w:szCs w:val="24"/>
                <w:lang w:eastAsia="es-CO"/>
                <w14:ligatures w14:val="standardContextual"/>
              </w:rPr>
            </w:pPr>
            <w:r w:rsidRPr="00997F78">
              <w:rPr>
                <w:rFonts w:ascii="Verdana" w:eastAsia="Times New Roman" w:hAnsi="Verdana" w:cs="Arial"/>
                <w:kern w:val="2"/>
                <w:sz w:val="24"/>
                <w:szCs w:val="24"/>
                <w:lang w:eastAsia="es-CO"/>
                <w14:ligatures w14:val="standardContextual"/>
              </w:rPr>
              <w:t xml:space="preserve">El contrato o el convenio interadministrativo es el acuerdo donde concurre la voluntad de dos o más personas jurídicas de derecho público </w:t>
            </w:r>
            <w:r w:rsidRPr="00997F78">
              <w:rPr>
                <w:rFonts w:ascii="Verdana" w:eastAsia="Times New Roman" w:hAnsi="Verdana" w:cs="Arial"/>
                <w:kern w:val="2"/>
                <w:sz w:val="24"/>
                <w:szCs w:val="24"/>
                <w:lang w:eastAsia="es-CO"/>
                <w14:ligatures w14:val="standardContextual"/>
              </w:rPr>
              <w:lastRenderedPageBreak/>
              <w:t>con la finalidad de cumplir, en el marco de sus objetivos misionales y sus competencias, con los fines del Estado.</w:t>
            </w:r>
          </w:p>
          <w:p w14:paraId="2A96008F" w14:textId="77777777" w:rsidR="00997F78" w:rsidRPr="00997F78" w:rsidRDefault="00997F78" w:rsidP="00997F78">
            <w:pPr>
              <w:spacing w:line="276" w:lineRule="auto"/>
              <w:contextualSpacing/>
              <w:jc w:val="both"/>
              <w:rPr>
                <w:rFonts w:ascii="Verdana" w:eastAsia="Times New Roman" w:hAnsi="Verdana" w:cs="Arial"/>
                <w:kern w:val="2"/>
                <w:sz w:val="24"/>
                <w:szCs w:val="24"/>
                <w:lang w:eastAsia="es-CO"/>
                <w14:ligatures w14:val="standardContextual"/>
              </w:rPr>
            </w:pPr>
          </w:p>
          <w:p w14:paraId="57A04397" w14:textId="77777777" w:rsidR="00997F78" w:rsidRPr="00997F78" w:rsidRDefault="00997F78" w:rsidP="00997F78">
            <w:pPr>
              <w:snapToGrid w:val="0"/>
              <w:spacing w:line="276" w:lineRule="auto"/>
              <w:jc w:val="both"/>
              <w:rPr>
                <w:rFonts w:ascii="Verdana" w:eastAsia="Aptos" w:hAnsi="Verdana" w:cs="Arial"/>
                <w:kern w:val="2"/>
                <w:sz w:val="24"/>
                <w:szCs w:val="24"/>
                <w14:ligatures w14:val="standardContextual"/>
              </w:rPr>
            </w:pPr>
            <w:r w:rsidRPr="00997F78">
              <w:rPr>
                <w:rFonts w:ascii="Verdana" w:eastAsia="Aptos" w:hAnsi="Verdana" w:cs="Arial"/>
                <w:kern w:val="2"/>
                <w:sz w:val="24"/>
                <w:szCs w:val="24"/>
                <w14:ligatures w14:val="standardContextual"/>
              </w:rPr>
              <w:t xml:space="preserve">El Decreto 1082 de 2015, en su artículo 2.2.1.2.1.4.4, dispone que los contratos y convenios interadministrativos se contratan directamente, así: </w:t>
            </w:r>
            <w:r w:rsidRPr="00997F78">
              <w:rPr>
                <w:rFonts w:ascii="Verdana" w:eastAsia="Aptos" w:hAnsi="Verdana" w:cs="Arial"/>
                <w:i/>
                <w:iCs/>
                <w:kern w:val="2"/>
                <w:sz w:val="24"/>
                <w:szCs w:val="24"/>
                <w14:ligatures w14:val="standardContextual"/>
              </w:rPr>
              <w:t>“[l]a modalidad de selección para la contratación entre Entidades Estatales es la contratación directa; y en consecuencia, le es aplicable lo establecido en el artículo 2.2.1.2.1.4.1 del presente decreto.”</w:t>
            </w:r>
            <w:r w:rsidRPr="00997F78">
              <w:rPr>
                <w:rFonts w:ascii="Verdana" w:eastAsia="Aptos" w:hAnsi="Verdana" w:cs="Arial"/>
                <w:kern w:val="2"/>
                <w:sz w:val="24"/>
                <w:szCs w:val="24"/>
                <w14:ligatures w14:val="standardContextual"/>
              </w:rPr>
              <w:t xml:space="preserve"> Así, se establece la contratación directa tanto para contratos como convenios interadministrativos, en concordancia con lo establecido en el literal c) del numeral 4 del artículo 2 de la Ley 1150 de 2007. </w:t>
            </w:r>
          </w:p>
          <w:p w14:paraId="3A4DE94C" w14:textId="77777777" w:rsidR="00997F78" w:rsidRPr="00997F78" w:rsidRDefault="00997F78" w:rsidP="00997F78">
            <w:pPr>
              <w:snapToGrid w:val="0"/>
              <w:spacing w:line="276" w:lineRule="auto"/>
              <w:jc w:val="both"/>
              <w:rPr>
                <w:rFonts w:ascii="Verdana" w:eastAsia="Aptos" w:hAnsi="Verdana" w:cs="Arial"/>
                <w:kern w:val="2"/>
                <w:sz w:val="24"/>
                <w:szCs w:val="24"/>
                <w14:ligatures w14:val="standardContextual"/>
              </w:rPr>
            </w:pPr>
          </w:p>
          <w:p w14:paraId="59FBE299" w14:textId="77777777" w:rsidR="00997F78" w:rsidRPr="00997F78" w:rsidRDefault="00997F78" w:rsidP="00997F78">
            <w:pPr>
              <w:snapToGrid w:val="0"/>
              <w:spacing w:line="276" w:lineRule="auto"/>
              <w:jc w:val="both"/>
              <w:rPr>
                <w:rFonts w:ascii="Verdana" w:eastAsia="Aptos" w:hAnsi="Verdana" w:cs="Arial"/>
                <w:kern w:val="2"/>
                <w:sz w:val="24"/>
                <w:szCs w:val="24"/>
                <w14:ligatures w14:val="standardContextual"/>
              </w:rPr>
            </w:pPr>
            <w:r w:rsidRPr="00997F78">
              <w:rPr>
                <w:rFonts w:ascii="Verdana" w:eastAsia="Times New Roman" w:hAnsi="Verdana" w:cs="Arial"/>
                <w:kern w:val="2"/>
                <w:sz w:val="24"/>
                <w:szCs w:val="24"/>
                <w:lang w:val="es-ES_tradnl" w:eastAsia="es-CO"/>
                <w14:ligatures w14:val="standardContextual"/>
              </w:rPr>
              <w:t>No existe una definición legal que diferencie los conceptos de contrato y convenio. En tal sentido, teniendo en cuenta sus características comunes, las referencias realizadas por el legislador a estos términos deben asimilarse, salvo que de su contenido logre inferirse que se quiere otorgar un contenido en particular.</w:t>
            </w:r>
          </w:p>
        </w:tc>
      </w:tr>
    </w:tbl>
    <w:p w14:paraId="022213F4" w14:textId="77777777" w:rsidR="00997F78" w:rsidRPr="00997F78" w:rsidRDefault="00997F78" w:rsidP="00997F78">
      <w:pPr>
        <w:tabs>
          <w:tab w:val="left" w:pos="142"/>
          <w:tab w:val="left" w:pos="284"/>
        </w:tabs>
        <w:spacing w:after="0" w:line="276" w:lineRule="auto"/>
        <w:jc w:val="both"/>
        <w:rPr>
          <w:rFonts w:ascii="Verdana" w:eastAsia="Century Gothic" w:hAnsi="Verdana" w:cs="Century Gothic"/>
          <w:b/>
          <w:bCs/>
          <w:lang w:val="es-ES"/>
        </w:rPr>
      </w:pPr>
    </w:p>
    <w:p w14:paraId="70642040" w14:textId="77777777" w:rsidR="00997F78" w:rsidRPr="00997F78" w:rsidRDefault="00997F78" w:rsidP="00997F78">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997F78">
        <w:rPr>
          <w:rFonts w:ascii="Verdana" w:eastAsia="Century Gothic" w:hAnsi="Verdana" w:cs="Century Gothic"/>
          <w:b/>
          <w:bCs/>
          <w:lang w:val="es-ES"/>
        </w:rPr>
        <w:t>Razones de la respuesta:</w:t>
      </w:r>
    </w:p>
    <w:p w14:paraId="4C362253" w14:textId="77777777" w:rsidR="00997F78" w:rsidRPr="00997F78" w:rsidRDefault="00997F78" w:rsidP="00997F78">
      <w:pPr>
        <w:spacing w:after="0" w:line="276" w:lineRule="auto"/>
        <w:jc w:val="both"/>
        <w:rPr>
          <w:rFonts w:ascii="Verdana" w:eastAsia="Calibri" w:hAnsi="Verdana" w:cs="Arial"/>
          <w:lang w:val="es-ES"/>
        </w:rPr>
      </w:pPr>
    </w:p>
    <w:p w14:paraId="53CFAA49" w14:textId="77777777" w:rsidR="00997F78" w:rsidRPr="00997F78" w:rsidRDefault="00997F78" w:rsidP="00997F78">
      <w:pPr>
        <w:spacing w:after="0" w:line="276" w:lineRule="auto"/>
        <w:jc w:val="both"/>
        <w:rPr>
          <w:rFonts w:ascii="Verdana" w:eastAsia="Calibri" w:hAnsi="Verdana" w:cs="Arial"/>
          <w:lang w:val="es-ES"/>
        </w:rPr>
      </w:pPr>
      <w:r w:rsidRPr="00997F78">
        <w:rPr>
          <w:rFonts w:ascii="Verdana" w:eastAsia="Calibri" w:hAnsi="Verdana" w:cs="Arial"/>
          <w:lang w:val="es-ES"/>
        </w:rPr>
        <w:t xml:space="preserve">Lo anterior se sustenta en las siguientes consideraciones: </w:t>
      </w:r>
    </w:p>
    <w:p w14:paraId="60C48E15" w14:textId="77777777" w:rsidR="00997F78" w:rsidRPr="00997F78" w:rsidRDefault="00997F78" w:rsidP="00997F78">
      <w:pPr>
        <w:spacing w:after="0" w:line="276" w:lineRule="auto"/>
        <w:jc w:val="both"/>
        <w:rPr>
          <w:rFonts w:ascii="Verdana" w:eastAsia="Calibri" w:hAnsi="Verdana" w:cs="Arial"/>
          <w:lang w:val="es-ES"/>
        </w:rPr>
      </w:pPr>
    </w:p>
    <w:p w14:paraId="6F8B941E" w14:textId="77777777" w:rsidR="00997F78" w:rsidRPr="00997F78" w:rsidRDefault="00997F78" w:rsidP="00997F78">
      <w:pPr>
        <w:numPr>
          <w:ilvl w:val="0"/>
          <w:numId w:val="19"/>
        </w:numPr>
        <w:tabs>
          <w:tab w:val="left" w:pos="709"/>
        </w:tabs>
        <w:snapToGrid w:val="0"/>
        <w:spacing w:after="0" w:line="276" w:lineRule="auto"/>
        <w:contextualSpacing/>
        <w:jc w:val="both"/>
        <w:rPr>
          <w:rFonts w:ascii="Verdana" w:eastAsia="Times New Roman" w:hAnsi="Verdana" w:cs="Arial"/>
          <w:lang w:eastAsia="es-CO"/>
        </w:rPr>
      </w:pPr>
      <w:r w:rsidRPr="00997F78">
        <w:rPr>
          <w:rFonts w:ascii="Verdana" w:eastAsia="Aptos" w:hAnsi="Verdana" w:cs="Arial"/>
        </w:rPr>
        <w:t>La tipología del contrato o convenio interadministrativo fue creada en la Ley 80 de 1993, y el Decreto 1082 de 2015 la califica como aquella contratación entre Entidades Estatales</w:t>
      </w:r>
      <w:r w:rsidRPr="00997F78">
        <w:rPr>
          <w:rFonts w:ascii="Aptos" w:eastAsia="Times New Roman" w:hAnsi="Aptos" w:cs="Times New Roman"/>
          <w:kern w:val="2"/>
          <w:sz w:val="24"/>
          <w:szCs w:val="24"/>
          <w:vertAlign w:val="superscript"/>
          <w:lang w:eastAsia="es-CO"/>
          <w14:ligatures w14:val="standardContextual"/>
        </w:rPr>
        <w:footnoteReference w:id="2"/>
      </w:r>
      <w:r w:rsidRPr="00997F78">
        <w:rPr>
          <w:rFonts w:ascii="Verdana" w:eastAsia="Times New Roman" w:hAnsi="Verdana" w:cs="Arial"/>
          <w:lang w:eastAsia="es-CO"/>
        </w:rPr>
        <w:t xml:space="preserve">. De acuerdo con lo anterior, el contrato o el convenio interadministrativo es el acuerdo donde concurre la voluntad de dos o más personas jurídicas de derecho público con la finalidad de cumplir, en el marco de sus objetivos misionales y sus </w:t>
      </w:r>
      <w:r w:rsidRPr="00997F78">
        <w:rPr>
          <w:rFonts w:ascii="Verdana" w:eastAsia="Times New Roman" w:hAnsi="Verdana" w:cs="Arial"/>
          <w:lang w:eastAsia="es-CO"/>
        </w:rPr>
        <w:lastRenderedPageBreak/>
        <w:t>competencias, con los fines del Estado. Es decir, los contratos o convenios interadministrativos están determinados por un criterio orgánico, pues es necesario que los extremos de la relación contractual sean Entidades Estatales.</w:t>
      </w:r>
    </w:p>
    <w:p w14:paraId="58BE3098" w14:textId="77777777" w:rsidR="00997F78" w:rsidRPr="00997F78" w:rsidRDefault="00997F78" w:rsidP="00997F78">
      <w:pPr>
        <w:tabs>
          <w:tab w:val="left" w:pos="709"/>
        </w:tabs>
        <w:snapToGrid w:val="0"/>
        <w:spacing w:after="0" w:line="276" w:lineRule="auto"/>
        <w:jc w:val="both"/>
        <w:rPr>
          <w:rFonts w:ascii="Verdana" w:eastAsia="Aptos" w:hAnsi="Verdana" w:cs="Arial"/>
        </w:rPr>
      </w:pPr>
    </w:p>
    <w:p w14:paraId="135B0E10" w14:textId="77777777" w:rsidR="00997F78" w:rsidRPr="00997F78" w:rsidRDefault="00997F78" w:rsidP="00997F78">
      <w:pPr>
        <w:numPr>
          <w:ilvl w:val="0"/>
          <w:numId w:val="19"/>
        </w:numPr>
        <w:tabs>
          <w:tab w:val="left" w:pos="709"/>
        </w:tabs>
        <w:snapToGrid w:val="0"/>
        <w:spacing w:after="0" w:line="276" w:lineRule="auto"/>
        <w:contextualSpacing/>
        <w:jc w:val="both"/>
        <w:rPr>
          <w:rFonts w:ascii="Verdana" w:eastAsia="Aptos" w:hAnsi="Verdana" w:cs="Arial"/>
        </w:rPr>
      </w:pPr>
      <w:r w:rsidRPr="00997F78">
        <w:rPr>
          <w:rFonts w:ascii="Verdana" w:eastAsia="Aptos" w:hAnsi="Verdana" w:cs="Arial"/>
        </w:rPr>
        <w:t>Si bien los contratos o convenios interadministrativos están previstos en la Ley 80 de 1993, en la Ley 1150 de 2007 y en el Decreto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2737434C" w14:textId="77777777" w:rsidR="00997F78" w:rsidRPr="00997F78" w:rsidRDefault="00997F78" w:rsidP="00997F78">
      <w:pPr>
        <w:tabs>
          <w:tab w:val="left" w:pos="709"/>
        </w:tabs>
        <w:snapToGrid w:val="0"/>
        <w:spacing w:after="0" w:line="276" w:lineRule="auto"/>
        <w:jc w:val="both"/>
        <w:rPr>
          <w:rFonts w:ascii="Verdana" w:eastAsia="Aptos" w:hAnsi="Verdana" w:cs="Arial"/>
        </w:rPr>
      </w:pPr>
    </w:p>
    <w:p w14:paraId="0E1D7907" w14:textId="77777777" w:rsidR="00997F78" w:rsidRPr="00997F78" w:rsidRDefault="00997F78" w:rsidP="00997F78">
      <w:pPr>
        <w:numPr>
          <w:ilvl w:val="0"/>
          <w:numId w:val="19"/>
        </w:numPr>
        <w:tabs>
          <w:tab w:val="left" w:pos="709"/>
        </w:tabs>
        <w:snapToGrid w:val="0"/>
        <w:spacing w:after="0" w:line="276" w:lineRule="auto"/>
        <w:contextualSpacing/>
        <w:jc w:val="both"/>
        <w:rPr>
          <w:rFonts w:ascii="Verdana" w:eastAsia="Aptos" w:hAnsi="Verdana" w:cs="Arial"/>
        </w:rPr>
      </w:pPr>
      <w:r w:rsidRPr="00997F78">
        <w:rPr>
          <w:rFonts w:ascii="Verdana" w:eastAsia="Aptos" w:hAnsi="Verdana" w:cs="Arial"/>
        </w:rPr>
        <w:t>Un contrato o convenio interadministrativo no está determinado por la modalidad de selección utilizada para celebrarlo. La Ley 1150 de 2007 dispone que pueden celebrarse directamente, siempre que las obligaciones del mismo tengan relación directa con el objeto de la entidad ejecutora, señalado en la ley o en sus reglamentos, a menos que, según las excepciones previstas en dicha ley, deba adelantarse un procedimiento con pluralidad de oferentes</w:t>
      </w:r>
      <w:r w:rsidRPr="00997F78">
        <w:rPr>
          <w:rFonts w:ascii="Aptos" w:eastAsia="Times New Roman" w:hAnsi="Aptos" w:cs="Times New Roman"/>
          <w:kern w:val="2"/>
          <w:sz w:val="24"/>
          <w:szCs w:val="24"/>
          <w:vertAlign w:val="superscript"/>
          <w:lang w:eastAsia="es-CO"/>
          <w14:ligatures w14:val="standardContextual"/>
        </w:rPr>
        <w:footnoteReference w:id="3"/>
      </w:r>
      <w:r w:rsidRPr="00997F78">
        <w:rPr>
          <w:rFonts w:ascii="Verdana" w:eastAsia="Times New Roman" w:hAnsi="Verdana" w:cs="Arial"/>
          <w:lang w:eastAsia="es-CO"/>
        </w:rPr>
        <w:t>. Nótese que, en este caso, lo que cambia es la modalidad de selección y no la naturaleza de contrato o convenio interadministrativo.</w:t>
      </w:r>
    </w:p>
    <w:p w14:paraId="1BB8C0C9" w14:textId="77777777" w:rsidR="00997F78" w:rsidRPr="00997F78" w:rsidRDefault="00997F78" w:rsidP="00997F78">
      <w:pPr>
        <w:tabs>
          <w:tab w:val="left" w:pos="709"/>
        </w:tabs>
        <w:snapToGrid w:val="0"/>
        <w:spacing w:after="0" w:line="276" w:lineRule="auto"/>
        <w:jc w:val="both"/>
        <w:rPr>
          <w:rFonts w:ascii="Verdana" w:eastAsia="Aptos" w:hAnsi="Verdana" w:cs="Arial"/>
        </w:rPr>
      </w:pPr>
      <w:r w:rsidRPr="00997F78">
        <w:rPr>
          <w:rFonts w:ascii="Verdana" w:eastAsia="Aptos" w:hAnsi="Verdana" w:cs="Arial"/>
        </w:rPr>
        <w:tab/>
      </w:r>
    </w:p>
    <w:p w14:paraId="19C89E30" w14:textId="77777777" w:rsidR="00997F78" w:rsidRPr="00997F78" w:rsidRDefault="00997F78" w:rsidP="00997F78">
      <w:pPr>
        <w:numPr>
          <w:ilvl w:val="0"/>
          <w:numId w:val="19"/>
        </w:numPr>
        <w:tabs>
          <w:tab w:val="left" w:pos="709"/>
        </w:tabs>
        <w:snapToGrid w:val="0"/>
        <w:spacing w:after="0" w:line="276" w:lineRule="auto"/>
        <w:contextualSpacing/>
        <w:jc w:val="both"/>
        <w:rPr>
          <w:rFonts w:ascii="Verdana" w:eastAsia="Aptos" w:hAnsi="Verdana" w:cs="Arial"/>
        </w:rPr>
      </w:pPr>
      <w:r w:rsidRPr="00997F78">
        <w:rPr>
          <w:rFonts w:ascii="Verdana" w:eastAsia="Aptos" w:hAnsi="Verdana" w:cs="Arial"/>
        </w:rPr>
        <w:t xml:space="preserve">La Corte Constitucional, en Sentencia C-671 de 2015, expresó que “Lo que hace interadministrativo a un contrato o convenio no es el procedimiento de selección aplicable, sino la calidad de los sujetos contratantes, </w:t>
      </w:r>
      <w:r w:rsidRPr="00997F78">
        <w:rPr>
          <w:rFonts w:ascii="Verdana" w:eastAsia="Aptos" w:hAnsi="Verdana" w:cs="Arial"/>
          <w:i/>
        </w:rPr>
        <w:t xml:space="preserve">esto es que las dos partes de la relación jurídica contractual </w:t>
      </w:r>
      <w:r w:rsidRPr="00997F78">
        <w:rPr>
          <w:rFonts w:ascii="Verdana" w:eastAsia="Times New Roman" w:hAnsi="Verdana" w:cs="Arial"/>
          <w:i/>
          <w:lang w:eastAsia="es-CO"/>
        </w:rPr>
        <w:t>formen parte de la administración pública</w:t>
      </w:r>
      <w:r w:rsidRPr="00997F78">
        <w:rPr>
          <w:rFonts w:ascii="Verdana" w:eastAsia="Times New Roman" w:hAnsi="Verdana" w:cs="Arial"/>
          <w:lang w:eastAsia="es-CO"/>
        </w:rPr>
        <w:t xml:space="preserve">” [Énfasis fuera de texto]. Así las cosas, esta clase de acuerdos de voluntades se definen por un criterio orgánico, por lo que uno de sus elementos esenciales es que en los </w:t>
      </w:r>
      <w:r w:rsidRPr="00997F78">
        <w:rPr>
          <w:rFonts w:ascii="Verdana" w:eastAsia="Times New Roman" w:hAnsi="Verdana" w:cs="Arial"/>
          <w:lang w:eastAsia="es-CO"/>
        </w:rPr>
        <w:lastRenderedPageBreak/>
        <w:t>extremos de la relación jurídico negocial concurran personas de derecho público. Adicionalmente, el Consejo de Estado ha indicado, frente al convenio interadministrativo y sus características,</w:t>
      </w:r>
      <w:r w:rsidRPr="00997F78">
        <w:rPr>
          <w:rFonts w:ascii="Verdana" w:eastAsia="Times New Roman" w:hAnsi="Verdana" w:cs="Arial"/>
          <w:spacing w:val="-13"/>
          <w:lang w:eastAsia="es-CO"/>
        </w:rPr>
        <w:t xml:space="preserve"> </w:t>
      </w:r>
      <w:r w:rsidRPr="00997F78">
        <w:rPr>
          <w:rFonts w:ascii="Verdana" w:eastAsia="Times New Roman" w:hAnsi="Verdana" w:cs="Arial"/>
          <w:lang w:eastAsia="es-CO"/>
        </w:rPr>
        <w:t>que:</w:t>
      </w:r>
    </w:p>
    <w:p w14:paraId="40694FA2" w14:textId="77777777" w:rsidR="00997F78" w:rsidRPr="00997F78" w:rsidRDefault="00997F78" w:rsidP="00997F78">
      <w:pPr>
        <w:snapToGrid w:val="0"/>
        <w:spacing w:after="0" w:line="276" w:lineRule="auto"/>
        <w:ind w:firstLine="707"/>
        <w:jc w:val="both"/>
        <w:rPr>
          <w:rFonts w:ascii="Verdana" w:eastAsia="Times New Roman" w:hAnsi="Verdana" w:cs="Arial"/>
          <w:lang w:eastAsia="es-CO"/>
        </w:rPr>
      </w:pPr>
    </w:p>
    <w:p w14:paraId="2320DC89" w14:textId="77777777" w:rsidR="00997F78" w:rsidRPr="00997F78" w:rsidRDefault="00997F78" w:rsidP="00997F78">
      <w:pPr>
        <w:snapToGrid w:val="0"/>
        <w:spacing w:after="0" w:line="240" w:lineRule="auto"/>
        <w:ind w:left="709" w:right="709"/>
        <w:jc w:val="both"/>
        <w:rPr>
          <w:rFonts w:ascii="Verdana" w:eastAsia="Aptos" w:hAnsi="Verdana" w:cs="Arial"/>
          <w:sz w:val="21"/>
          <w:szCs w:val="21"/>
        </w:rPr>
      </w:pPr>
      <w:r w:rsidRPr="00997F78">
        <w:rPr>
          <w:rFonts w:ascii="Verdana" w:eastAsia="Aptos" w:hAnsi="Verdana" w:cs="Arial"/>
          <w:sz w:val="21"/>
          <w:szCs w:val="21"/>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w:t>
      </w:r>
      <w:proofErr w:type="spellStart"/>
      <w:r w:rsidRPr="00997F78">
        <w:rPr>
          <w:rFonts w:ascii="Verdana" w:eastAsia="Aptos" w:hAnsi="Verdana" w:cs="Arial"/>
          <w:sz w:val="21"/>
          <w:szCs w:val="21"/>
        </w:rPr>
        <w:t>iv</w:t>
      </w:r>
      <w:proofErr w:type="spellEnd"/>
      <w:r w:rsidRPr="00997F78">
        <w:rPr>
          <w:rFonts w:ascii="Verdana" w:eastAsia="Aptos" w:hAnsi="Verdana" w:cs="Arial"/>
          <w:sz w:val="21"/>
          <w:szCs w:val="21"/>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997F78">
        <w:rPr>
          <w:rFonts w:ascii="Verdana" w:eastAsia="Aptos" w:hAnsi="Verdana" w:cs="Arial"/>
          <w:sz w:val="21"/>
          <w:szCs w:val="21"/>
          <w:vertAlign w:val="superscript"/>
        </w:rPr>
        <w:footnoteReference w:id="4"/>
      </w:r>
      <w:r w:rsidRPr="00997F78">
        <w:rPr>
          <w:rFonts w:ascii="Verdana" w:eastAsia="Aptos" w:hAnsi="Verdana" w:cs="Arial"/>
          <w:sz w:val="21"/>
          <w:szCs w:val="21"/>
        </w:rPr>
        <w:t>”.</w:t>
      </w:r>
    </w:p>
    <w:p w14:paraId="3EB92FB6" w14:textId="77777777" w:rsidR="00997F78" w:rsidRPr="00997F78" w:rsidRDefault="00997F78" w:rsidP="00997F78">
      <w:pPr>
        <w:snapToGrid w:val="0"/>
        <w:spacing w:after="0" w:line="276" w:lineRule="auto"/>
        <w:jc w:val="both"/>
        <w:rPr>
          <w:rFonts w:ascii="Verdana" w:eastAsia="Aptos" w:hAnsi="Verdana" w:cs="Arial"/>
        </w:rPr>
      </w:pPr>
    </w:p>
    <w:p w14:paraId="61683EF1" w14:textId="77777777" w:rsidR="00997F78" w:rsidRPr="00997F78" w:rsidRDefault="00997F78" w:rsidP="00997F78">
      <w:pPr>
        <w:numPr>
          <w:ilvl w:val="0"/>
          <w:numId w:val="20"/>
        </w:numPr>
        <w:snapToGrid w:val="0"/>
        <w:spacing w:after="0" w:line="276" w:lineRule="auto"/>
        <w:contextualSpacing/>
        <w:jc w:val="both"/>
        <w:rPr>
          <w:rFonts w:ascii="Verdana" w:eastAsia="Times New Roman" w:hAnsi="Verdana" w:cs="Arial"/>
          <w:lang w:eastAsia="es-CO"/>
        </w:rPr>
      </w:pPr>
      <w:r w:rsidRPr="00997F78">
        <w:rPr>
          <w:rFonts w:ascii="Verdana" w:eastAsia="Times New Roman" w:hAnsi="Verdana" w:cs="Arial"/>
          <w:lang w:eastAsia="es-CO"/>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EGCAP establece la contratación directa como la modalidad de selección aplicable, por regla general, a la celebración de los contratos interadministrativos.</w:t>
      </w:r>
    </w:p>
    <w:p w14:paraId="77439DFB" w14:textId="77777777" w:rsidR="00997F78" w:rsidRPr="00997F78" w:rsidRDefault="00997F78" w:rsidP="00997F78">
      <w:pPr>
        <w:snapToGrid w:val="0"/>
        <w:spacing w:after="0" w:line="276" w:lineRule="auto"/>
        <w:ind w:left="720"/>
        <w:contextualSpacing/>
        <w:jc w:val="both"/>
        <w:rPr>
          <w:rFonts w:ascii="Verdana" w:eastAsia="Times New Roman" w:hAnsi="Verdana" w:cs="Arial"/>
          <w:lang w:eastAsia="es-CO"/>
        </w:rPr>
      </w:pPr>
    </w:p>
    <w:p w14:paraId="78109EBD" w14:textId="77777777" w:rsidR="00997F78" w:rsidRPr="00997F78" w:rsidRDefault="00997F78" w:rsidP="00997F78">
      <w:pPr>
        <w:numPr>
          <w:ilvl w:val="0"/>
          <w:numId w:val="20"/>
        </w:numPr>
        <w:snapToGrid w:val="0"/>
        <w:spacing w:after="0" w:line="276" w:lineRule="auto"/>
        <w:contextualSpacing/>
        <w:jc w:val="both"/>
        <w:rPr>
          <w:rFonts w:ascii="Verdana" w:eastAsia="Times New Roman" w:hAnsi="Verdana" w:cs="Arial"/>
          <w:lang w:eastAsia="es-CO"/>
        </w:rPr>
      </w:pPr>
      <w:r w:rsidRPr="00997F78">
        <w:rPr>
          <w:rFonts w:ascii="Verdana" w:eastAsia="Times New Roman" w:hAnsi="Verdana" w:cs="Arial"/>
          <w:lang w:eastAsia="es-CO"/>
        </w:rPr>
        <w:t xml:space="preserve">Además, es necesario tener en cuenta que para que un contrato o convenio interadministrativo exista, debe cumplir con los siguientes elementos: acuerdo sobre el objeto y la contraprestación, y que se eleve a escrito. Por otra parte, si bien actualmente el </w:t>
      </w:r>
      <w:r w:rsidRPr="00997F78">
        <w:rPr>
          <w:rFonts w:ascii="Verdana" w:eastAsia="Calibri" w:hAnsi="Verdana" w:cs="Arial"/>
        </w:rPr>
        <w:t>Estatuto General de Contratación de la Administración Pública, en adelante EGCAP,</w:t>
      </w:r>
      <w:r w:rsidRPr="00997F78">
        <w:rPr>
          <w:rFonts w:ascii="Verdana" w:eastAsia="Times New Roman" w:hAnsi="Verdana" w:cs="Arial"/>
          <w:lang w:eastAsia="es-CO"/>
        </w:rPr>
        <w:t xml:space="preserve"> hace </w:t>
      </w:r>
      <w:r w:rsidRPr="00997F78">
        <w:rPr>
          <w:rFonts w:ascii="Verdana" w:eastAsia="Times New Roman" w:hAnsi="Verdana" w:cs="Arial"/>
          <w:lang w:eastAsia="es-CO"/>
        </w:rPr>
        <w:lastRenderedPageBreak/>
        <w:t>referencia de manera expresa a los contratos interadministrativos y no a los convenios,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es porque este cuerpo normativo faculta a las entidades públicas a celebrar los demás acuerdos que permitan la autonomía de la voluntad y requieran el cumplimiento de los fines</w:t>
      </w:r>
      <w:r w:rsidRPr="00997F78">
        <w:rPr>
          <w:rFonts w:ascii="Verdana" w:eastAsia="Times New Roman" w:hAnsi="Verdana" w:cs="Arial"/>
          <w:spacing w:val="-4"/>
          <w:lang w:eastAsia="es-CO"/>
        </w:rPr>
        <w:t xml:space="preserve"> </w:t>
      </w:r>
      <w:r w:rsidRPr="00997F78">
        <w:rPr>
          <w:rFonts w:ascii="Verdana" w:eastAsia="Times New Roman" w:hAnsi="Verdana" w:cs="Arial"/>
          <w:lang w:eastAsia="es-CO"/>
        </w:rPr>
        <w:t>estatales.</w:t>
      </w:r>
    </w:p>
    <w:p w14:paraId="30A6C2E7" w14:textId="77777777" w:rsidR="00997F78" w:rsidRPr="00997F78" w:rsidRDefault="00997F78" w:rsidP="00997F78">
      <w:pPr>
        <w:snapToGrid w:val="0"/>
        <w:spacing w:after="0" w:line="276" w:lineRule="auto"/>
        <w:ind w:left="720"/>
        <w:contextualSpacing/>
        <w:jc w:val="both"/>
        <w:rPr>
          <w:rFonts w:ascii="Verdana" w:eastAsia="Times New Roman" w:hAnsi="Verdana" w:cs="Arial"/>
          <w:lang w:eastAsia="es-CO"/>
        </w:rPr>
      </w:pPr>
    </w:p>
    <w:p w14:paraId="088FF6B5" w14:textId="77777777" w:rsidR="00997F78" w:rsidRPr="00997F78" w:rsidRDefault="00997F78" w:rsidP="00997F78">
      <w:pPr>
        <w:numPr>
          <w:ilvl w:val="0"/>
          <w:numId w:val="20"/>
        </w:numPr>
        <w:snapToGrid w:val="0"/>
        <w:spacing w:after="0" w:line="276" w:lineRule="auto"/>
        <w:contextualSpacing/>
        <w:jc w:val="both"/>
        <w:rPr>
          <w:rFonts w:ascii="Verdana" w:eastAsia="Times New Roman" w:hAnsi="Verdana" w:cs="Arial"/>
          <w:lang w:eastAsia="es-CO"/>
        </w:rPr>
      </w:pPr>
      <w:r w:rsidRPr="00997F78">
        <w:rPr>
          <w:rFonts w:ascii="Verdana" w:eastAsia="Times New Roman" w:hAnsi="Verdana" w:cs="Arial"/>
          <w:lang w:eastAsia="es-CO"/>
        </w:rPr>
        <w:t xml:space="preserve">Por tal razón conforme a lo previsto en el artículo 95 de la Ley 489 de 1995 y al alcance que la jurisprudencia del Consejo de Estado y la doctrina le han dado a la regulación de los convenios interadministrativos, esta tipología tiene las siguientes características: 1. Se celebran entre dos entidades públicas que se encuentran en pie de igualdad con el objeto de cumplir competencias de ambas entidades dirigidas a un propósito común. Es decir, en los convenios interadministrativos no existen intereses contrapuestos. 2. La modalidad para su celebración es la contratación directa. 3. Los convenios interadministrativos pueden suponer el compromiso de recursos públicos y, en consecuencia, la realización de aportes financieros. Este hecho, sin embargo, no supone a posibilidad de que en este tipo de relaciones jurídicas exista una remuneración en favor de uno de los </w:t>
      </w:r>
      <w:proofErr w:type="spellStart"/>
      <w:r w:rsidRPr="00997F78">
        <w:rPr>
          <w:rFonts w:ascii="Verdana" w:eastAsia="Times New Roman" w:hAnsi="Verdana" w:cs="Arial"/>
          <w:lang w:eastAsia="es-CO"/>
        </w:rPr>
        <w:t>co-contratantes</w:t>
      </w:r>
      <w:proofErr w:type="spellEnd"/>
      <w:r w:rsidRPr="00997F78">
        <w:rPr>
          <w:rFonts w:ascii="Verdana" w:eastAsia="Times New Roman" w:hAnsi="Verdana" w:cs="Arial"/>
          <w:lang w:eastAsia="es-CO"/>
        </w:rPr>
        <w:t xml:space="preserve"> y a cargo de otro y otro.</w:t>
      </w:r>
    </w:p>
    <w:p w14:paraId="15F8289E" w14:textId="77777777" w:rsidR="00997F78" w:rsidRPr="00997F78" w:rsidRDefault="00997F78" w:rsidP="00997F78">
      <w:pPr>
        <w:snapToGrid w:val="0"/>
        <w:spacing w:after="0" w:line="276" w:lineRule="auto"/>
        <w:jc w:val="both"/>
        <w:rPr>
          <w:rFonts w:ascii="Verdana" w:eastAsia="Times New Roman" w:hAnsi="Verdana" w:cs="Arial"/>
          <w:lang w:eastAsia="es-CO"/>
        </w:rPr>
      </w:pPr>
    </w:p>
    <w:p w14:paraId="6C3AE4FA" w14:textId="77777777" w:rsidR="00997F78" w:rsidRPr="00997F78" w:rsidRDefault="00997F78" w:rsidP="00997F78">
      <w:pPr>
        <w:numPr>
          <w:ilvl w:val="0"/>
          <w:numId w:val="20"/>
        </w:numPr>
        <w:snapToGrid w:val="0"/>
        <w:spacing w:after="0" w:line="276" w:lineRule="auto"/>
        <w:contextualSpacing/>
        <w:jc w:val="both"/>
        <w:rPr>
          <w:rFonts w:ascii="Verdana" w:eastAsia="Aptos" w:hAnsi="Verdana" w:cs="Arial"/>
        </w:rPr>
      </w:pPr>
      <w:r w:rsidRPr="00997F78">
        <w:rPr>
          <w:rFonts w:ascii="Verdana" w:eastAsia="Aptos" w:hAnsi="Verdana" w:cs="Arial"/>
        </w:rPr>
        <w:t xml:space="preserve">Es conveniente destacar que, el Decreto 1082 de 2015, en su artículo 2.2.1.2.1.4.4, dispone que los contratos o convenios interadministrativos se contratan directamente, así: </w:t>
      </w:r>
      <w:r w:rsidRPr="00997F78">
        <w:rPr>
          <w:rFonts w:ascii="Verdana" w:eastAsia="Aptos" w:hAnsi="Verdana" w:cs="Arial"/>
          <w:i/>
          <w:iCs/>
        </w:rPr>
        <w:t xml:space="preserve">“[l]a modalidad de selección para la contratación entre Entidades Estatales es la contratación directa; y en consecuencia, le es aplicable lo establecido en el artículo 2.2.1.2.1.4.1 del presente decreto.” </w:t>
      </w:r>
      <w:r w:rsidRPr="00997F78">
        <w:rPr>
          <w:rFonts w:ascii="Verdana" w:eastAsia="Aptos" w:hAnsi="Verdana" w:cs="Arial"/>
          <w:kern w:val="2"/>
          <w14:ligatures w14:val="standardContextual"/>
        </w:rPr>
        <w:t>Así, se establece la contratación directa tanto para contratos como convenios interadministrativos, en concordancia con lo establecido en el literal c) del numeral 4 del artículo 2 de la Ley 1150 de 2007.</w:t>
      </w:r>
      <w:r w:rsidRPr="00997F78">
        <w:rPr>
          <w:rFonts w:ascii="Verdana" w:eastAsia="Aptos" w:hAnsi="Verdana" w:cs="Arial"/>
          <w:kern w:val="2"/>
          <w:sz w:val="24"/>
          <w:szCs w:val="24"/>
          <w14:ligatures w14:val="standardContextual"/>
        </w:rPr>
        <w:t xml:space="preserve"> </w:t>
      </w:r>
      <w:r w:rsidRPr="00997F78">
        <w:rPr>
          <w:rFonts w:ascii="Verdana" w:eastAsia="Aptos" w:hAnsi="Verdana" w:cs="Arial"/>
        </w:rPr>
        <w:t xml:space="preserve"> </w:t>
      </w:r>
    </w:p>
    <w:p w14:paraId="2A6F31C6" w14:textId="77777777" w:rsidR="00997F78" w:rsidRPr="00997F78" w:rsidRDefault="00997F78" w:rsidP="00997F78">
      <w:pPr>
        <w:snapToGrid w:val="0"/>
        <w:spacing w:after="0" w:line="276" w:lineRule="auto"/>
        <w:jc w:val="both"/>
        <w:rPr>
          <w:rFonts w:ascii="Verdana" w:eastAsia="Aptos" w:hAnsi="Verdana" w:cs="Arial"/>
        </w:rPr>
      </w:pPr>
    </w:p>
    <w:p w14:paraId="06D54297" w14:textId="77777777" w:rsidR="00997F78" w:rsidRPr="00997F78" w:rsidRDefault="00997F78" w:rsidP="00997F78">
      <w:pPr>
        <w:numPr>
          <w:ilvl w:val="0"/>
          <w:numId w:val="20"/>
        </w:numPr>
        <w:snapToGrid w:val="0"/>
        <w:spacing w:after="0" w:line="276" w:lineRule="auto"/>
        <w:contextualSpacing/>
        <w:jc w:val="both"/>
        <w:rPr>
          <w:rFonts w:ascii="Verdana" w:eastAsia="Calibri" w:hAnsi="Verdana" w:cs="Arial"/>
          <w:bCs/>
          <w:color w:val="000000"/>
          <w:lang w:bidi="es-ES"/>
        </w:rPr>
      </w:pPr>
      <w:r w:rsidRPr="00997F78">
        <w:rPr>
          <w:rFonts w:ascii="Verdana" w:eastAsia="Calibri" w:hAnsi="Verdana" w:cs="Arial"/>
          <w:bCs/>
          <w:color w:val="000000"/>
          <w:lang w:bidi="es-ES"/>
        </w:rPr>
        <w:t xml:space="preserve">Finalmente, es importante señalar que, si bien tanto los contratos como convenios comparten características comunes explicadas en los párrafos </w:t>
      </w:r>
      <w:r w:rsidRPr="00997F78">
        <w:rPr>
          <w:rFonts w:ascii="Verdana" w:eastAsia="Calibri" w:hAnsi="Verdana" w:cs="Arial"/>
          <w:bCs/>
          <w:color w:val="000000"/>
          <w:lang w:bidi="es-ES"/>
        </w:rPr>
        <w:lastRenderedPageBreak/>
        <w:t>precedentes, difieren en cuanto a ciertos aspectos esenciales</w:t>
      </w:r>
      <w:r w:rsidRPr="00997F78">
        <w:rPr>
          <w:rFonts w:ascii="Verdana" w:eastAsia="Calibri" w:hAnsi="Verdana" w:cs="Arial"/>
          <w:color w:val="000000"/>
          <w:lang w:bidi="es-ES"/>
        </w:rPr>
        <w:t xml:space="preserve">. </w:t>
      </w:r>
      <w:r w:rsidRPr="00997F78">
        <w:rPr>
          <w:rFonts w:ascii="Verdana" w:eastAsia="Calibri" w:hAnsi="Verdana" w:cs="Arial"/>
          <w:bCs/>
          <w:color w:val="000000"/>
          <w:lang w:bidi="es-ES"/>
        </w:rPr>
        <w:t xml:space="preserve">Así, mientras que el </w:t>
      </w:r>
      <w:r w:rsidRPr="00997F78">
        <w:rPr>
          <w:rFonts w:ascii="Verdana" w:eastAsia="Calibri" w:hAnsi="Verdana" w:cs="Arial"/>
          <w:bCs/>
          <w:i/>
          <w:iCs/>
          <w:color w:val="000000"/>
          <w:lang w:bidi="es-ES"/>
        </w:rPr>
        <w:t>contrato interadministrativo</w:t>
      </w:r>
      <w:r w:rsidRPr="00997F78">
        <w:rPr>
          <w:rFonts w:ascii="Verdana" w:eastAsia="Calibri" w:hAnsi="Verdana" w:cs="Arial"/>
          <w:bCs/>
          <w:color w:val="000000"/>
          <w:lang w:bidi="es-ES"/>
        </w:rPr>
        <w:t xml:space="preserve"> se caracteriza por su naturaleza onerosa, patrimonial y se conforma por intereses básicamente contrapuestos, los </w:t>
      </w:r>
      <w:r w:rsidRPr="00997F78">
        <w:rPr>
          <w:rFonts w:ascii="Verdana" w:eastAsia="Calibri" w:hAnsi="Verdana" w:cs="Arial"/>
          <w:bCs/>
          <w:i/>
          <w:iCs/>
          <w:color w:val="000000"/>
          <w:lang w:bidi="es-ES"/>
        </w:rPr>
        <w:t>convenios interadministrativos</w:t>
      </w:r>
      <w:r w:rsidRPr="00997F78">
        <w:rPr>
          <w:rFonts w:ascii="Verdana" w:eastAsia="Calibri" w:hAnsi="Verdana" w:cs="Arial"/>
          <w:bCs/>
          <w:color w:val="000000"/>
          <w:lang w:bidi="es-ES"/>
        </w:rPr>
        <w:t>,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 De aquí que la Sala de Consulta y Servicio Civil del Consejo de Estado haya señalado la necesidad de diferenciar el régimen jurídico aplicable a ciertas situaciones específicas del convenio interadministrativo que se separan del régimen jurídico común:</w:t>
      </w:r>
    </w:p>
    <w:p w14:paraId="3E683D2C" w14:textId="77777777" w:rsidR="00997F78" w:rsidRPr="00997F78" w:rsidRDefault="00997F78" w:rsidP="00997F78">
      <w:pPr>
        <w:snapToGrid w:val="0"/>
        <w:spacing w:after="0" w:line="276" w:lineRule="auto"/>
        <w:ind w:left="709" w:right="709"/>
        <w:jc w:val="both"/>
        <w:rPr>
          <w:rFonts w:ascii="Verdana" w:eastAsia="Calibri" w:hAnsi="Verdana" w:cs="Arial"/>
          <w:bCs/>
          <w:color w:val="000000"/>
          <w:lang w:bidi="es-ES"/>
        </w:rPr>
      </w:pPr>
    </w:p>
    <w:p w14:paraId="3FFFA22B" w14:textId="77777777" w:rsidR="00997F78" w:rsidRPr="00997F78" w:rsidRDefault="00997F78" w:rsidP="00997F78">
      <w:pPr>
        <w:snapToGrid w:val="0"/>
        <w:spacing w:after="0" w:line="240" w:lineRule="auto"/>
        <w:ind w:left="709" w:right="709"/>
        <w:jc w:val="both"/>
        <w:rPr>
          <w:rFonts w:ascii="Verdana" w:eastAsia="Calibri" w:hAnsi="Verdana" w:cs="Arial"/>
          <w:color w:val="000000"/>
          <w:sz w:val="21"/>
          <w:szCs w:val="21"/>
          <w:lang w:bidi="es-ES"/>
        </w:rPr>
      </w:pPr>
      <w:r w:rsidRPr="00997F78">
        <w:rPr>
          <w:rFonts w:ascii="Verdana" w:eastAsia="Calibri" w:hAnsi="Verdana" w:cs="Arial"/>
          <w:color w:val="000000"/>
          <w:sz w:val="21"/>
          <w:szCs w:val="21"/>
          <w:lang w:bidi="es-ES"/>
        </w:rPr>
        <w:t xml:space="preserve">“[E]s preciso señalar que los convenios interadministrativos se someten a los principios constitucionales y legales de la actividad contractual del Estado (transparencia, planeación, buena fe, entre otros) y, obviamente, a los principios de la función administrativa previstos en el artículo 209 CP (moralidad, economía, celeridad, entre otros), en virtud del carácter vinculante de los mismos, dentro del contexto de un ánimo de cooperación que se refleja en el plano de igualdad o equivalencia en que se celebran y ejecutan, lo que significa ausencia de prerrogativas en favor de una parte a costa de la otra. </w:t>
      </w:r>
    </w:p>
    <w:p w14:paraId="4CFD15A6" w14:textId="77777777" w:rsidR="00997F78" w:rsidRPr="00997F78" w:rsidRDefault="00997F78" w:rsidP="00997F78">
      <w:pPr>
        <w:snapToGrid w:val="0"/>
        <w:spacing w:after="0" w:line="240" w:lineRule="auto"/>
        <w:ind w:left="709" w:right="709"/>
        <w:jc w:val="both"/>
        <w:rPr>
          <w:rFonts w:ascii="Verdana" w:eastAsia="Calibri" w:hAnsi="Verdana" w:cs="Arial"/>
          <w:color w:val="000000"/>
          <w:sz w:val="21"/>
          <w:szCs w:val="21"/>
          <w:lang w:bidi="es-ES"/>
        </w:rPr>
      </w:pPr>
    </w:p>
    <w:p w14:paraId="24346CD4" w14:textId="77777777" w:rsidR="00997F78" w:rsidRPr="00997F78" w:rsidRDefault="00997F78" w:rsidP="00997F78">
      <w:pPr>
        <w:snapToGrid w:val="0"/>
        <w:spacing w:after="0" w:line="240" w:lineRule="auto"/>
        <w:ind w:left="709" w:right="709"/>
        <w:jc w:val="both"/>
        <w:rPr>
          <w:rFonts w:ascii="Verdana" w:eastAsia="Calibri" w:hAnsi="Verdana" w:cs="Arial"/>
          <w:color w:val="000000"/>
          <w:sz w:val="21"/>
          <w:szCs w:val="21"/>
          <w:lang w:bidi="es-ES"/>
        </w:rPr>
      </w:pPr>
      <w:r w:rsidRPr="00997F78">
        <w:rPr>
          <w:rFonts w:ascii="Verdana" w:eastAsia="Calibri" w:hAnsi="Verdana" w:cs="Arial"/>
          <w:color w:val="000000"/>
          <w:sz w:val="21"/>
          <w:szCs w:val="21"/>
          <w:lang w:bidi="es-ES"/>
        </w:rPr>
        <w:t>Ahora, dada la naturaleza jurídica explicada de los convenios interadministrativos</w:t>
      </w:r>
      <w:r w:rsidRPr="00997F78">
        <w:rPr>
          <w:rFonts w:ascii="Verdana" w:eastAsia="Calibri" w:hAnsi="Verdana" w:cs="Arial"/>
          <w:i/>
          <w:color w:val="000000"/>
          <w:sz w:val="21"/>
          <w:szCs w:val="21"/>
          <w:lang w:bidi="es-ES"/>
        </w:rPr>
        <w:t>, las reglas del Estatuto General de Contratación de la Administración Pública contenidas en la actualidad en las Leyes 80 de 1993, 1150 de 2007 y 1474 de 2011, no resultan de aplicación automática a tales convenios, toda vez que ese Estatuto lo que esencialmente regula son relaciones contractuales de contenido patrimonial y oneroso. En tal sentido, en cada caso concreto deberá analizarse, de conformidad con la naturaleza jurídica, objeto y finalidad que se pretende cumplir o desarrollar con el respectivo convenio, si la disposición correspondiente del Estatuto Contractual es aplicable o no”</w:t>
      </w:r>
      <w:r w:rsidRPr="00997F78">
        <w:rPr>
          <w:rFonts w:ascii="Verdana" w:eastAsia="Calibri" w:hAnsi="Verdana" w:cs="Arial"/>
          <w:color w:val="000000"/>
          <w:sz w:val="21"/>
          <w:szCs w:val="21"/>
          <w:lang w:bidi="es-ES"/>
        </w:rPr>
        <w:t>.</w:t>
      </w:r>
      <w:r w:rsidRPr="00997F78">
        <w:rPr>
          <w:rFonts w:ascii="Verdana" w:eastAsia="Calibri" w:hAnsi="Verdana" w:cs="Arial"/>
          <w:color w:val="000000"/>
          <w:sz w:val="21"/>
          <w:szCs w:val="21"/>
          <w:vertAlign w:val="superscript"/>
          <w:lang w:bidi="es-ES"/>
        </w:rPr>
        <w:footnoteReference w:id="5"/>
      </w:r>
      <w:r w:rsidRPr="00997F78">
        <w:rPr>
          <w:rFonts w:ascii="Verdana" w:eastAsia="Calibri" w:hAnsi="Verdana" w:cs="Arial"/>
          <w:color w:val="000000"/>
          <w:sz w:val="21"/>
          <w:szCs w:val="21"/>
          <w:lang w:bidi="es-ES"/>
        </w:rPr>
        <w:t xml:space="preserve"> [Énfasis fuera de texto] </w:t>
      </w:r>
    </w:p>
    <w:p w14:paraId="0A3FCD99" w14:textId="77777777" w:rsidR="00997F78" w:rsidRPr="00997F78" w:rsidRDefault="00997F78" w:rsidP="00997F78">
      <w:pPr>
        <w:tabs>
          <w:tab w:val="left" w:pos="426"/>
        </w:tabs>
        <w:snapToGrid w:val="0"/>
        <w:spacing w:after="0" w:line="240" w:lineRule="auto"/>
        <w:jc w:val="both"/>
        <w:rPr>
          <w:rFonts w:ascii="Verdana" w:eastAsia="Times New Roman" w:hAnsi="Verdana" w:cs="Arial"/>
          <w:lang w:eastAsia="es-CO"/>
        </w:rPr>
      </w:pPr>
    </w:p>
    <w:p w14:paraId="4CBF0C1F" w14:textId="77777777" w:rsidR="00997F78" w:rsidRPr="00997F78" w:rsidRDefault="00997F78" w:rsidP="00997F78">
      <w:pPr>
        <w:numPr>
          <w:ilvl w:val="0"/>
          <w:numId w:val="21"/>
        </w:numPr>
        <w:snapToGrid w:val="0"/>
        <w:spacing w:after="0" w:line="276" w:lineRule="auto"/>
        <w:contextualSpacing/>
        <w:jc w:val="both"/>
        <w:rPr>
          <w:rFonts w:ascii="Verdana" w:eastAsia="Times New Roman" w:hAnsi="Verdana" w:cs="Arial"/>
          <w:kern w:val="2"/>
          <w:lang w:val="es-ES_tradnl" w:eastAsia="es-CO"/>
          <w14:ligatures w14:val="standardContextual"/>
        </w:rPr>
      </w:pPr>
      <w:r w:rsidRPr="00997F78">
        <w:rPr>
          <w:rFonts w:ascii="Verdana" w:eastAsia="Times New Roman" w:hAnsi="Verdana" w:cs="Arial"/>
          <w:kern w:val="2"/>
          <w:lang w:val="es-ES_tradnl" w:eastAsia="es-CO"/>
          <w14:ligatures w14:val="standardContextual"/>
        </w:rPr>
        <w:t xml:space="preserve">No existe una definición legal que diferencie los conceptos de contrato y convenio. En tal sentido, teniendo en cuenta sus características comunes, las referencias realizadas por el legislador a estos términos deben asimilarse, salvo que de su contenido logre inferirse que se quiere otorgar un contenido en particular. Por lo demás, se reitera la conclusión en el sentido de que lo que define los contratos o convenios interadministrativos es la naturaleza de las partes, de manera que están determinados por un criterio orgánico, en el sentido de que lo serán aquellos celebrados entre Entidades Estatales. </w:t>
      </w:r>
    </w:p>
    <w:p w14:paraId="5840DB2D" w14:textId="77777777" w:rsidR="00997F78" w:rsidRPr="00997F78" w:rsidRDefault="00997F78" w:rsidP="00997F78">
      <w:pPr>
        <w:tabs>
          <w:tab w:val="left" w:pos="426"/>
        </w:tabs>
        <w:snapToGrid w:val="0"/>
        <w:spacing w:after="0" w:line="240" w:lineRule="auto"/>
        <w:jc w:val="both"/>
        <w:rPr>
          <w:rFonts w:ascii="Verdana" w:eastAsia="Times New Roman" w:hAnsi="Verdana" w:cs="Arial"/>
          <w:lang w:eastAsia="es-CO"/>
        </w:rPr>
      </w:pPr>
    </w:p>
    <w:p w14:paraId="4B2525FD" w14:textId="77777777" w:rsidR="00997F78" w:rsidRPr="00997F78" w:rsidRDefault="00997F78" w:rsidP="00997F78">
      <w:pPr>
        <w:numPr>
          <w:ilvl w:val="0"/>
          <w:numId w:val="16"/>
        </w:numPr>
        <w:tabs>
          <w:tab w:val="left" w:pos="142"/>
          <w:tab w:val="left" w:pos="284"/>
        </w:tabs>
        <w:snapToGrid w:val="0"/>
        <w:spacing w:after="0" w:line="240" w:lineRule="auto"/>
        <w:ind w:left="357" w:hanging="357"/>
        <w:jc w:val="both"/>
        <w:rPr>
          <w:rFonts w:ascii="Verdana" w:eastAsia="Century Gothic" w:hAnsi="Verdana" w:cs="Century Gothic"/>
          <w:b/>
          <w:bCs/>
          <w:lang w:val="es-ES"/>
        </w:rPr>
      </w:pPr>
      <w:r w:rsidRPr="00997F78">
        <w:rPr>
          <w:rFonts w:ascii="Verdana" w:eastAsia="Century Gothic" w:hAnsi="Verdana" w:cs="Century Gothic"/>
          <w:b/>
          <w:bCs/>
          <w:lang w:val="es-ES"/>
        </w:rPr>
        <w:t>Referencias normativas, jurisprudenciales y otras fuentes:</w:t>
      </w:r>
    </w:p>
    <w:p w14:paraId="6B2F302D" w14:textId="77777777" w:rsidR="00997F78" w:rsidRPr="00997F78" w:rsidRDefault="00997F78" w:rsidP="00997F78">
      <w:pPr>
        <w:widowControl w:val="0"/>
        <w:autoSpaceDE w:val="0"/>
        <w:autoSpaceDN w:val="0"/>
        <w:snapToGrid w:val="0"/>
        <w:spacing w:after="0" w:line="240"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997F78" w:rsidRPr="00997F78" w14:paraId="720AB7D4" w14:textId="77777777" w:rsidTr="004A31F1">
        <w:trPr>
          <w:trHeight w:val="870"/>
        </w:trPr>
        <w:tc>
          <w:tcPr>
            <w:tcW w:w="8647" w:type="dxa"/>
          </w:tcPr>
          <w:p w14:paraId="0C582350" w14:textId="77777777" w:rsidR="00997F78" w:rsidRPr="00997F78" w:rsidRDefault="00997F78" w:rsidP="00997F78">
            <w:pPr>
              <w:widowControl w:val="0"/>
              <w:numPr>
                <w:ilvl w:val="0"/>
                <w:numId w:val="17"/>
              </w:numPr>
              <w:autoSpaceDE w:val="0"/>
              <w:autoSpaceDN w:val="0"/>
              <w:spacing w:after="120" w:line="276" w:lineRule="auto"/>
              <w:jc w:val="both"/>
              <w:rPr>
                <w:rFonts w:ascii="Verdana" w:eastAsia="Calibri" w:hAnsi="Verdana" w:cs="Arial"/>
                <w:kern w:val="2"/>
                <w:sz w:val="24"/>
                <w:szCs w:val="24"/>
                <w14:ligatures w14:val="standardContextual"/>
              </w:rPr>
            </w:pPr>
            <w:r w:rsidRPr="00997F78">
              <w:rPr>
                <w:rFonts w:ascii="Verdana" w:eastAsia="Calibri" w:hAnsi="Verdana" w:cs="Arial"/>
                <w:kern w:val="2"/>
                <w:sz w:val="24"/>
                <w:szCs w:val="24"/>
                <w14:ligatures w14:val="standardContextual"/>
              </w:rPr>
              <w:t>Ley 1150 de 2007, artículo 2.</w:t>
            </w:r>
          </w:p>
          <w:p w14:paraId="2C4F7C5F" w14:textId="77777777" w:rsidR="00997F78" w:rsidRPr="00997F78" w:rsidRDefault="00997F78" w:rsidP="00997F78">
            <w:pPr>
              <w:widowControl w:val="0"/>
              <w:numPr>
                <w:ilvl w:val="0"/>
                <w:numId w:val="17"/>
              </w:numPr>
              <w:autoSpaceDE w:val="0"/>
              <w:autoSpaceDN w:val="0"/>
              <w:spacing w:after="120" w:line="276" w:lineRule="auto"/>
              <w:jc w:val="both"/>
              <w:rPr>
                <w:rFonts w:ascii="Verdana" w:eastAsia="Calibri" w:hAnsi="Verdana" w:cs="Arial"/>
                <w:kern w:val="2"/>
                <w:sz w:val="24"/>
                <w:szCs w:val="24"/>
                <w14:ligatures w14:val="standardContextual"/>
              </w:rPr>
            </w:pPr>
            <w:r w:rsidRPr="00997F78">
              <w:rPr>
                <w:rFonts w:ascii="Verdana" w:eastAsia="Calibri" w:hAnsi="Verdana" w:cs="Arial"/>
                <w:kern w:val="2"/>
                <w:sz w:val="24"/>
                <w:szCs w:val="24"/>
                <w14:ligatures w14:val="standardContextual"/>
              </w:rPr>
              <w:t>Ley 489 de 1995, artículo 95.</w:t>
            </w:r>
          </w:p>
          <w:p w14:paraId="006306DB" w14:textId="77777777" w:rsidR="00997F78" w:rsidRPr="00997F78" w:rsidRDefault="00997F78" w:rsidP="00997F78">
            <w:pPr>
              <w:widowControl w:val="0"/>
              <w:numPr>
                <w:ilvl w:val="0"/>
                <w:numId w:val="17"/>
              </w:numPr>
              <w:autoSpaceDE w:val="0"/>
              <w:autoSpaceDN w:val="0"/>
              <w:spacing w:after="120" w:line="276" w:lineRule="auto"/>
              <w:jc w:val="both"/>
              <w:rPr>
                <w:rFonts w:ascii="Verdana" w:eastAsia="Calibri" w:hAnsi="Verdana" w:cs="Arial"/>
                <w:kern w:val="2"/>
                <w:sz w:val="24"/>
                <w:szCs w:val="24"/>
                <w14:ligatures w14:val="standardContextual"/>
              </w:rPr>
            </w:pPr>
            <w:r w:rsidRPr="00997F78">
              <w:rPr>
                <w:rFonts w:ascii="Verdana" w:eastAsia="Calibri" w:hAnsi="Verdana" w:cs="Arial"/>
                <w:kern w:val="2"/>
                <w:sz w:val="24"/>
                <w:szCs w:val="24"/>
                <w14:ligatures w14:val="standardContextual"/>
              </w:rPr>
              <w:t>Decreto 1082 de 2015, artículo 2.2.1.2.1.4.4.</w:t>
            </w:r>
          </w:p>
        </w:tc>
      </w:tr>
    </w:tbl>
    <w:p w14:paraId="203B29AB" w14:textId="77777777" w:rsidR="00997F78" w:rsidRPr="00997F78" w:rsidRDefault="00997F78" w:rsidP="00997F78">
      <w:pPr>
        <w:widowControl w:val="0"/>
        <w:autoSpaceDE w:val="0"/>
        <w:autoSpaceDN w:val="0"/>
        <w:snapToGrid w:val="0"/>
        <w:spacing w:after="0" w:line="276" w:lineRule="auto"/>
        <w:jc w:val="both"/>
        <w:rPr>
          <w:rFonts w:ascii="Verdana" w:eastAsia="Calibri" w:hAnsi="Verdana" w:cs="Arial"/>
        </w:rPr>
      </w:pPr>
    </w:p>
    <w:p w14:paraId="18BA4B55" w14:textId="77777777" w:rsidR="00997F78" w:rsidRPr="00997F78" w:rsidRDefault="00997F78" w:rsidP="00997F78">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997F78">
        <w:rPr>
          <w:rFonts w:ascii="Verdana" w:eastAsia="Century Gothic" w:hAnsi="Verdana" w:cs="Century Gothic"/>
          <w:b/>
          <w:bCs/>
          <w:lang w:val="es-ES"/>
        </w:rPr>
        <w:t>Doctrina de la Agencia Nacional de Contratación Pública:</w:t>
      </w:r>
    </w:p>
    <w:p w14:paraId="3DE8B6EC" w14:textId="77777777" w:rsidR="00997F78" w:rsidRPr="00997F78" w:rsidRDefault="00997F78" w:rsidP="00997F78">
      <w:pPr>
        <w:tabs>
          <w:tab w:val="left" w:pos="142"/>
          <w:tab w:val="left" w:pos="284"/>
        </w:tabs>
        <w:snapToGrid w:val="0"/>
        <w:spacing w:after="0" w:line="276" w:lineRule="auto"/>
        <w:ind w:left="357"/>
        <w:jc w:val="both"/>
        <w:rPr>
          <w:rFonts w:ascii="Verdana" w:eastAsia="Century Gothic" w:hAnsi="Verdana" w:cs="Century Gothic"/>
          <w:b/>
          <w:bCs/>
          <w:lang w:val="es-ES"/>
        </w:rPr>
      </w:pPr>
    </w:p>
    <w:p w14:paraId="23BE5AAC" w14:textId="77777777" w:rsidR="00997F78" w:rsidRPr="00997F78" w:rsidRDefault="00997F78" w:rsidP="00997F78">
      <w:pPr>
        <w:spacing w:after="0" w:line="276" w:lineRule="auto"/>
        <w:jc w:val="both"/>
        <w:rPr>
          <w:rFonts w:ascii="Verdana" w:eastAsia="Calibri" w:hAnsi="Verdana" w:cs="Arial"/>
          <w:shd w:val="clear" w:color="auto" w:fill="FFFFFF"/>
          <w:lang w:val="es-ES"/>
        </w:rPr>
      </w:pPr>
      <w:r w:rsidRPr="00997F78">
        <w:rPr>
          <w:rFonts w:ascii="Verdana" w:eastAsia="Calibri" w:hAnsi="Verdana" w:cs="Arial"/>
          <w:shd w:val="clear" w:color="auto" w:fill="FFFFFF"/>
          <w:lang w:val="es-ES"/>
        </w:rPr>
        <w:t>La Agencia Nacional de Contratación Pública – Colombia Compra Eficiente</w:t>
      </w:r>
      <w:r w:rsidRPr="00997F78">
        <w:rPr>
          <w:rFonts w:ascii="Aptos" w:eastAsia="Aptos" w:hAnsi="Aptos" w:cs="Times New Roman"/>
          <w:kern w:val="2"/>
          <w:sz w:val="24"/>
          <w:szCs w:val="24"/>
          <w:lang w:val="es-ES_tradnl"/>
          <w14:ligatures w14:val="standardContextual"/>
        </w:rPr>
        <w:t xml:space="preserve"> </w:t>
      </w:r>
      <w:r w:rsidRPr="00997F78">
        <w:rPr>
          <w:rFonts w:ascii="Verdana" w:eastAsia="Calibri" w:hAnsi="Verdana" w:cs="Arial"/>
          <w:shd w:val="clear" w:color="auto" w:fill="FFFFFF"/>
          <w:lang w:val="es-ES"/>
        </w:rPr>
        <w:t xml:space="preserve">analizó el régimen de jurídico de los convenios y/o contratos interadministrativos, entre otros, en los conceptos C-562 del 7 de septiembre del 2022, C-738 de 4 de noviembre de 2022, C-021 del 24 de febrero de 2023, C-182 del 29 de junio de 2023, C-187 del 15 de junio de 2023, C-360 del 12 de septiembre de 2023, C-379 del 19 de octubre de 2023, C-427 del 27 de noviembre de 2023 y C-091 del 6 de junio de 2024. 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58A93147" w14:textId="77777777" w:rsidR="00997F78" w:rsidRPr="00997F78" w:rsidRDefault="00997F78" w:rsidP="00997F78">
      <w:pPr>
        <w:widowControl w:val="0"/>
        <w:autoSpaceDE w:val="0"/>
        <w:autoSpaceDN w:val="0"/>
        <w:spacing w:after="0" w:line="276" w:lineRule="auto"/>
        <w:jc w:val="both"/>
        <w:rPr>
          <w:rFonts w:ascii="Verdana" w:eastAsia="Calibri" w:hAnsi="Verdana" w:cs="Arial"/>
          <w:shd w:val="clear" w:color="auto" w:fill="FFFFFF"/>
          <w:lang w:val="es-ES"/>
        </w:rPr>
      </w:pPr>
    </w:p>
    <w:p w14:paraId="6DD464DB" w14:textId="77777777" w:rsidR="00997F78" w:rsidRPr="00997F78" w:rsidRDefault="00997F78" w:rsidP="00997F78">
      <w:pPr>
        <w:widowControl w:val="0"/>
        <w:autoSpaceDE w:val="0"/>
        <w:autoSpaceDN w:val="0"/>
        <w:spacing w:after="0" w:line="276" w:lineRule="auto"/>
        <w:jc w:val="both"/>
        <w:rPr>
          <w:rFonts w:ascii="Verdana" w:eastAsia="Calibri" w:hAnsi="Verdana" w:cs="Arial"/>
          <w:shd w:val="clear" w:color="auto" w:fill="FFFFFF"/>
          <w:lang w:val="es-ES"/>
        </w:rPr>
      </w:pPr>
      <w:r w:rsidRPr="00997F78">
        <w:rPr>
          <w:rFonts w:ascii="Verdana" w:eastAsia="Calibri" w:hAnsi="Verdana" w:cs="Arial"/>
          <w:shd w:val="clear" w:color="auto" w:fill="FFFFFF"/>
          <w:lang w:val="es-ES"/>
        </w:rPr>
        <w:t xml:space="preserve">También, le invitamos a revisar la tercera edición del Boletín de Relatoría de 2024, en el cual podrá encontrar en detalle el marco normativo de documentos </w:t>
      </w:r>
      <w:r w:rsidRPr="00997F78">
        <w:rPr>
          <w:rFonts w:ascii="Verdana" w:eastAsia="Calibri" w:hAnsi="Verdana" w:cs="Arial"/>
          <w:shd w:val="clear" w:color="auto" w:fill="FFFFFF"/>
          <w:lang w:val="es-ES"/>
        </w:rPr>
        <w:lastRenderedPageBreak/>
        <w:t xml:space="preserve">tipo: </w:t>
      </w:r>
      <w:hyperlink r:id="rId11" w:history="1">
        <w:r w:rsidRPr="00997F78">
          <w:rPr>
            <w:rFonts w:ascii="Verdana" w:eastAsia="Calibri" w:hAnsi="Verdana" w:cs="Arial"/>
            <w:color w:val="467886"/>
            <w:u w:val="single"/>
            <w:shd w:val="clear" w:color="auto" w:fill="FFFFFF"/>
            <w:lang w:val="es-ES"/>
          </w:rPr>
          <w:t>https://www.colombiacompra.gov.co/sites/cce_public/files/files_2020/boletin_de_realtoria_iii.pdf</w:t>
        </w:r>
      </w:hyperlink>
      <w:r w:rsidRPr="00997F78">
        <w:rPr>
          <w:rFonts w:ascii="Verdana" w:eastAsia="Calibri" w:hAnsi="Verdana" w:cs="Arial"/>
          <w:shd w:val="clear" w:color="auto" w:fill="FFFFFF"/>
          <w:lang w:val="es-ES"/>
        </w:rPr>
        <w:t xml:space="preserve">. </w:t>
      </w:r>
    </w:p>
    <w:p w14:paraId="082E0D43" w14:textId="77777777" w:rsidR="00997F78" w:rsidRPr="00997F78" w:rsidRDefault="00997F78" w:rsidP="00997F78">
      <w:pPr>
        <w:widowControl w:val="0"/>
        <w:autoSpaceDE w:val="0"/>
        <w:autoSpaceDN w:val="0"/>
        <w:spacing w:after="0" w:line="276" w:lineRule="auto"/>
        <w:jc w:val="both"/>
        <w:rPr>
          <w:rFonts w:ascii="Verdana" w:eastAsia="Calibri" w:hAnsi="Verdana" w:cs="Arial"/>
          <w:shd w:val="clear" w:color="auto" w:fill="FFFFFF"/>
          <w:lang w:val="es-ES"/>
        </w:rPr>
      </w:pPr>
    </w:p>
    <w:p w14:paraId="69BF85CD" w14:textId="77777777" w:rsidR="00997F78" w:rsidRPr="00997F78" w:rsidRDefault="00997F78" w:rsidP="00997F78">
      <w:pPr>
        <w:widowControl w:val="0"/>
        <w:autoSpaceDE w:val="0"/>
        <w:autoSpaceDN w:val="0"/>
        <w:spacing w:after="0" w:line="276" w:lineRule="auto"/>
        <w:jc w:val="both"/>
        <w:rPr>
          <w:rFonts w:ascii="Verdana" w:eastAsia="Calibri" w:hAnsi="Verdana" w:cs="Arial"/>
          <w:shd w:val="clear" w:color="auto" w:fill="FFFFFF"/>
          <w:lang w:val="es-ES"/>
        </w:rPr>
      </w:pPr>
      <w:r w:rsidRPr="00997F78">
        <w:rPr>
          <w:rFonts w:ascii="Verdana" w:eastAsia="Calibri" w:hAnsi="Verdana" w:cs="Arial"/>
          <w:shd w:val="clear" w:color="auto" w:fill="FFFFFF"/>
          <w:lang w:val="es-ES"/>
        </w:rPr>
        <w:t>De otra parte, le informamos que entre el 15 y 29 de agosto de 2024, 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874 de 2024. Le invitamos a participar dejando sus observaciones en los siguientes enlaces:</w:t>
      </w:r>
    </w:p>
    <w:p w14:paraId="737CE7BB" w14:textId="77777777" w:rsidR="00997F78" w:rsidRPr="00997F78" w:rsidRDefault="00997F78" w:rsidP="00997F78">
      <w:pPr>
        <w:widowControl w:val="0"/>
        <w:autoSpaceDE w:val="0"/>
        <w:autoSpaceDN w:val="0"/>
        <w:spacing w:after="0" w:line="276" w:lineRule="auto"/>
        <w:jc w:val="both"/>
        <w:rPr>
          <w:rFonts w:ascii="Verdana" w:eastAsia="Calibri" w:hAnsi="Verdana" w:cs="Arial"/>
          <w:shd w:val="clear" w:color="auto" w:fill="FFFFFF"/>
          <w:lang w:val="es-ES"/>
        </w:rPr>
      </w:pPr>
    </w:p>
    <w:p w14:paraId="19D2DE1B" w14:textId="77777777" w:rsidR="00997F78" w:rsidRPr="00997F78" w:rsidRDefault="005022DD" w:rsidP="00997F78">
      <w:pPr>
        <w:widowControl w:val="0"/>
        <w:numPr>
          <w:ilvl w:val="0"/>
          <w:numId w:val="18"/>
        </w:numPr>
        <w:autoSpaceDE w:val="0"/>
        <w:autoSpaceDN w:val="0"/>
        <w:spacing w:after="0" w:line="276" w:lineRule="auto"/>
        <w:contextualSpacing/>
        <w:jc w:val="both"/>
        <w:rPr>
          <w:rFonts w:ascii="Verdana" w:eastAsia="Calibri" w:hAnsi="Verdana" w:cs="Arial"/>
          <w:shd w:val="clear" w:color="auto" w:fill="FFFFFF"/>
          <w:lang w:val="es-ES"/>
        </w:rPr>
      </w:pPr>
      <w:hyperlink r:id="rId12" w:history="1">
        <w:r w:rsidR="00997F78" w:rsidRPr="00997F78">
          <w:rPr>
            <w:rFonts w:ascii="Verdana" w:eastAsia="Calibri" w:hAnsi="Verdana" w:cs="Arial"/>
            <w:color w:val="467886"/>
            <w:u w:val="single"/>
            <w:shd w:val="clear" w:color="auto" w:fill="FFFFFF"/>
            <w:lang w:val="es-ES"/>
          </w:rPr>
          <w:t>https://www.sucop.gov.co/entidades/colombiacompra/Normativa?IDNorma=17363</w:t>
        </w:r>
      </w:hyperlink>
    </w:p>
    <w:p w14:paraId="499F7E4F" w14:textId="77777777" w:rsidR="00997F78" w:rsidRPr="00997F78" w:rsidRDefault="005022DD" w:rsidP="00997F78">
      <w:pPr>
        <w:widowControl w:val="0"/>
        <w:numPr>
          <w:ilvl w:val="0"/>
          <w:numId w:val="18"/>
        </w:numPr>
        <w:autoSpaceDE w:val="0"/>
        <w:autoSpaceDN w:val="0"/>
        <w:spacing w:after="0" w:line="276" w:lineRule="auto"/>
        <w:contextualSpacing/>
        <w:jc w:val="both"/>
        <w:rPr>
          <w:rFonts w:ascii="Verdana" w:eastAsia="Calibri" w:hAnsi="Verdana" w:cs="Arial"/>
          <w:shd w:val="clear" w:color="auto" w:fill="FFFFFF"/>
          <w:lang w:val="es-ES"/>
        </w:rPr>
      </w:pPr>
      <w:hyperlink r:id="rId13" w:history="1">
        <w:r w:rsidR="00997F78" w:rsidRPr="00997F78">
          <w:rPr>
            <w:rFonts w:ascii="Verdana" w:eastAsia="Calibri" w:hAnsi="Verdana" w:cs="Arial"/>
            <w:color w:val="467886"/>
            <w:u w:val="single"/>
            <w:shd w:val="clear" w:color="auto" w:fill="FFFFFF"/>
            <w:lang w:val="es-ES"/>
          </w:rPr>
          <w:t>https://www.colombiacompra.gov.co/content/convocatorias</w:t>
        </w:r>
      </w:hyperlink>
      <w:r w:rsidR="00997F78" w:rsidRPr="00997F78">
        <w:rPr>
          <w:rFonts w:ascii="Verdana" w:eastAsia="Calibri" w:hAnsi="Verdana" w:cs="Arial"/>
          <w:shd w:val="clear" w:color="auto" w:fill="FFFFFF"/>
          <w:lang w:val="es-ES"/>
        </w:rPr>
        <w:t xml:space="preserve"> </w:t>
      </w:r>
    </w:p>
    <w:p w14:paraId="06BD8800" w14:textId="77777777" w:rsidR="00997F78" w:rsidRPr="00997F78" w:rsidRDefault="00997F78" w:rsidP="00997F78">
      <w:pPr>
        <w:widowControl w:val="0"/>
        <w:autoSpaceDE w:val="0"/>
        <w:autoSpaceDN w:val="0"/>
        <w:spacing w:after="0" w:line="276" w:lineRule="auto"/>
        <w:jc w:val="both"/>
        <w:rPr>
          <w:rFonts w:ascii="Verdana" w:eastAsia="Calibri" w:hAnsi="Verdana" w:cs="Arial"/>
          <w:shd w:val="clear" w:color="auto" w:fill="FFFFFF"/>
          <w:lang w:val="es-ES"/>
        </w:rPr>
      </w:pPr>
    </w:p>
    <w:p w14:paraId="30171FAC" w14:textId="77777777" w:rsidR="00997F78" w:rsidRPr="00997F78" w:rsidRDefault="00997F78" w:rsidP="00997F78">
      <w:pPr>
        <w:spacing w:after="0" w:line="240" w:lineRule="auto"/>
        <w:jc w:val="both"/>
        <w:rPr>
          <w:rFonts w:ascii="Verdana" w:eastAsia="Calibri" w:hAnsi="Verdana" w:cs="Times New Roman"/>
        </w:rPr>
      </w:pPr>
      <w:r w:rsidRPr="00997F78">
        <w:rPr>
          <w:rFonts w:ascii="Verdana" w:eastAsia="Calibri" w:hAnsi="Verdana" w:cs="Times New Roman"/>
        </w:rPr>
        <w:t xml:space="preserve">Por último, los invitamos a seguirnos en las redes sociales, en las cuales se difunde información institucional: </w:t>
      </w:r>
    </w:p>
    <w:p w14:paraId="0226E1C1" w14:textId="77777777" w:rsidR="00997F78" w:rsidRPr="00997F78" w:rsidRDefault="00997F78" w:rsidP="00997F78">
      <w:pPr>
        <w:spacing w:after="0" w:line="240" w:lineRule="auto"/>
        <w:jc w:val="both"/>
        <w:rPr>
          <w:rFonts w:ascii="Verdana" w:eastAsia="Calibri" w:hAnsi="Verdana" w:cs="Times New Roman"/>
        </w:rPr>
      </w:pPr>
    </w:p>
    <w:p w14:paraId="28AF5B8B" w14:textId="77777777" w:rsidR="00997F78" w:rsidRPr="00997F78" w:rsidRDefault="00997F78" w:rsidP="00997F78">
      <w:pPr>
        <w:spacing w:after="0" w:line="240" w:lineRule="auto"/>
        <w:jc w:val="both"/>
        <w:rPr>
          <w:rFonts w:ascii="Verdana" w:eastAsia="Calibri" w:hAnsi="Verdana" w:cs="Times New Roman"/>
        </w:rPr>
      </w:pPr>
      <w:r w:rsidRPr="00997F78">
        <w:rPr>
          <w:rFonts w:ascii="Verdana" w:eastAsia="Calibri" w:hAnsi="Verdana" w:cs="Times New Roman"/>
        </w:rPr>
        <w:t xml:space="preserve">Twitter: </w:t>
      </w:r>
      <w:r w:rsidRPr="00997F78">
        <w:rPr>
          <w:rFonts w:ascii="Verdana" w:eastAsia="Calibri" w:hAnsi="Verdana" w:cs="Times New Roman"/>
          <w:u w:val="single"/>
        </w:rPr>
        <w:t>@colombiacompra</w:t>
      </w:r>
      <w:r w:rsidRPr="00997F78">
        <w:rPr>
          <w:rFonts w:ascii="Verdana" w:eastAsia="Calibri" w:hAnsi="Verdana" w:cs="Times New Roman"/>
        </w:rPr>
        <w:t xml:space="preserve"> </w:t>
      </w:r>
    </w:p>
    <w:p w14:paraId="6A57A057" w14:textId="77777777" w:rsidR="00997F78" w:rsidRPr="00997F78" w:rsidRDefault="00997F78" w:rsidP="00997F78">
      <w:pPr>
        <w:spacing w:after="0" w:line="240" w:lineRule="auto"/>
        <w:jc w:val="both"/>
        <w:rPr>
          <w:rFonts w:ascii="Verdana" w:eastAsia="Calibri" w:hAnsi="Verdana" w:cs="Times New Roman"/>
        </w:rPr>
      </w:pPr>
      <w:r w:rsidRPr="00997F78">
        <w:rPr>
          <w:rFonts w:ascii="Verdana" w:eastAsia="Calibri" w:hAnsi="Verdana" w:cs="Times New Roman"/>
        </w:rPr>
        <w:t xml:space="preserve">Facebook: </w:t>
      </w:r>
      <w:r w:rsidRPr="00997F78">
        <w:rPr>
          <w:rFonts w:ascii="Verdana" w:eastAsia="Calibri" w:hAnsi="Verdana" w:cs="Times New Roman"/>
          <w:u w:val="single"/>
        </w:rPr>
        <w:t>ColombiaCompraEficiente</w:t>
      </w:r>
    </w:p>
    <w:p w14:paraId="3EAF06F7" w14:textId="77777777" w:rsidR="00997F78" w:rsidRPr="00997F78" w:rsidRDefault="00997F78" w:rsidP="00997F78">
      <w:pPr>
        <w:spacing w:after="0" w:line="240" w:lineRule="auto"/>
        <w:jc w:val="both"/>
        <w:rPr>
          <w:rFonts w:ascii="Verdana" w:eastAsia="Calibri" w:hAnsi="Verdana" w:cs="Times New Roman"/>
        </w:rPr>
      </w:pPr>
      <w:r w:rsidRPr="00997F78">
        <w:rPr>
          <w:rFonts w:ascii="Verdana" w:eastAsia="Calibri" w:hAnsi="Verdana" w:cs="Times New Roman"/>
        </w:rPr>
        <w:t xml:space="preserve">LinkedIn: </w:t>
      </w:r>
      <w:r w:rsidRPr="00997F78">
        <w:rPr>
          <w:rFonts w:ascii="Verdana" w:eastAsia="Calibri" w:hAnsi="Verdana" w:cs="Times New Roman"/>
          <w:u w:val="single"/>
        </w:rPr>
        <w:t>Agencia Nacional de Contratación Pública - Colombia Compra Eficiente</w:t>
      </w:r>
      <w:r w:rsidRPr="00997F78">
        <w:rPr>
          <w:rFonts w:ascii="Verdana" w:eastAsia="Calibri" w:hAnsi="Verdana" w:cs="Times New Roman"/>
        </w:rPr>
        <w:t xml:space="preserve"> Instagram: </w:t>
      </w:r>
      <w:r w:rsidRPr="00997F78">
        <w:rPr>
          <w:rFonts w:ascii="Verdana" w:eastAsia="Calibri" w:hAnsi="Verdana" w:cs="Times New Roman"/>
          <w:u w:val="single"/>
        </w:rPr>
        <w:t>@colombiacompraeficiente_cce</w:t>
      </w:r>
    </w:p>
    <w:p w14:paraId="5BAB1802" w14:textId="77777777" w:rsidR="00997F78" w:rsidRPr="00997F78" w:rsidRDefault="00997F78" w:rsidP="00997F78">
      <w:pPr>
        <w:widowControl w:val="0"/>
        <w:autoSpaceDE w:val="0"/>
        <w:autoSpaceDN w:val="0"/>
        <w:spacing w:after="0" w:line="276" w:lineRule="auto"/>
        <w:jc w:val="both"/>
        <w:rPr>
          <w:rFonts w:ascii="Verdana" w:eastAsia="Calibri" w:hAnsi="Verdana" w:cs="Arial"/>
        </w:rPr>
      </w:pPr>
    </w:p>
    <w:p w14:paraId="4DC4DC3E" w14:textId="77777777" w:rsidR="00997F78" w:rsidRPr="00997F78" w:rsidRDefault="00997F78" w:rsidP="00997F78">
      <w:pPr>
        <w:widowControl w:val="0"/>
        <w:autoSpaceDE w:val="0"/>
        <w:autoSpaceDN w:val="0"/>
        <w:spacing w:after="0" w:line="276" w:lineRule="auto"/>
        <w:jc w:val="both"/>
        <w:rPr>
          <w:rFonts w:ascii="Verdana" w:eastAsia="Calibri" w:hAnsi="Verdana" w:cs="Arial"/>
          <w:lang w:val="es-ES_tradnl"/>
        </w:rPr>
      </w:pPr>
      <w:r w:rsidRPr="00997F78">
        <w:rPr>
          <w:rFonts w:ascii="Verdana" w:eastAsia="Calibri" w:hAnsi="Verdana" w:cs="Arial"/>
        </w:rPr>
        <w:t xml:space="preserve">Este concepto tiene el alcance previsto en el artículo 28 del Código de Procedimiento Administrativo y de lo Contencioso Administrativo </w:t>
      </w:r>
      <w:r w:rsidRPr="00997F78">
        <w:rPr>
          <w:rFonts w:ascii="Verdana" w:eastAsia="Calibri" w:hAnsi="Verdana" w:cs="Arial"/>
          <w:lang w:val="es-ES_tradnl"/>
        </w:rPr>
        <w:t>y las expresiones aquí utilizadas con mayúscula inicial deben ser entendidas con el significado que les otorga el artículo 2.2.1.1.1.3.1. del Decreto 1082 de 2015.</w:t>
      </w:r>
    </w:p>
    <w:p w14:paraId="1442165C" w14:textId="77777777" w:rsidR="00997F78" w:rsidRPr="00997F78" w:rsidRDefault="00997F78" w:rsidP="00997F78">
      <w:pPr>
        <w:widowControl w:val="0"/>
        <w:autoSpaceDE w:val="0"/>
        <w:autoSpaceDN w:val="0"/>
        <w:spacing w:after="0" w:line="276" w:lineRule="auto"/>
        <w:jc w:val="both"/>
        <w:rPr>
          <w:rFonts w:ascii="Verdana" w:eastAsia="Calibri" w:hAnsi="Verdana" w:cs="Arial"/>
        </w:rPr>
      </w:pPr>
    </w:p>
    <w:p w14:paraId="4660871C" w14:textId="77777777" w:rsidR="00997F78" w:rsidRPr="00997F78" w:rsidRDefault="00997F78" w:rsidP="00997F78">
      <w:pPr>
        <w:spacing w:after="0" w:line="240" w:lineRule="auto"/>
        <w:rPr>
          <w:rFonts w:ascii="Verdana" w:eastAsia="Calibri" w:hAnsi="Verdana" w:cs="Arial"/>
          <w:lang w:eastAsia="es-CO"/>
        </w:rPr>
      </w:pPr>
      <w:r w:rsidRPr="00997F78">
        <w:rPr>
          <w:rFonts w:ascii="Verdana" w:eastAsia="Times New Roman" w:hAnsi="Verdana" w:cs="Arial"/>
          <w:lang w:eastAsia="es-CO"/>
        </w:rPr>
        <w:t>Atentamente,</w:t>
      </w:r>
      <w:r w:rsidRPr="00997F78">
        <w:rPr>
          <w:rFonts w:ascii="Verdana" w:eastAsia="Calibri" w:hAnsi="Verdana" w:cs="Arial"/>
          <w:lang w:eastAsia="es-CO"/>
        </w:rPr>
        <w:t xml:space="preserve"> </w:t>
      </w:r>
    </w:p>
    <w:p w14:paraId="002C2627" w14:textId="4459409F" w:rsidR="00997F78" w:rsidRPr="00997F78" w:rsidRDefault="00094F97" w:rsidP="00997F78">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2F10F47F" wp14:editId="388072B8">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997F78" w:rsidRPr="00997F78" w14:paraId="688724DA" w14:textId="77777777" w:rsidTr="004A31F1">
        <w:trPr>
          <w:trHeight w:val="315"/>
        </w:trPr>
        <w:tc>
          <w:tcPr>
            <w:tcW w:w="893" w:type="dxa"/>
            <w:vAlign w:val="center"/>
            <w:hideMark/>
          </w:tcPr>
          <w:p w14:paraId="38C045A3" w14:textId="77777777" w:rsidR="00997F78" w:rsidRPr="00997F78" w:rsidRDefault="00997F78" w:rsidP="00997F78">
            <w:pPr>
              <w:rPr>
                <w:rFonts w:ascii="Verdana" w:eastAsia="Calibri" w:hAnsi="Verdana" w:cs="Arial"/>
                <w:kern w:val="2"/>
                <w:sz w:val="16"/>
                <w:szCs w:val="16"/>
                <w:lang w:val="es-ES" w:eastAsia="es-ES"/>
                <w14:ligatures w14:val="standardContextual"/>
              </w:rPr>
            </w:pPr>
            <w:r w:rsidRPr="00997F78">
              <w:rPr>
                <w:rFonts w:ascii="Verdana" w:eastAsia="Calibri" w:hAnsi="Verdana" w:cs="Arial"/>
                <w:kern w:val="2"/>
                <w:sz w:val="16"/>
                <w:szCs w:val="16"/>
                <w:lang w:val="es-ES" w:eastAsia="es-ES"/>
                <w14:ligatures w14:val="standardContextual"/>
              </w:rPr>
              <w:t>Elaboró:</w:t>
            </w:r>
          </w:p>
        </w:tc>
        <w:tc>
          <w:tcPr>
            <w:tcW w:w="5628" w:type="dxa"/>
            <w:tcBorders>
              <w:top w:val="nil"/>
              <w:left w:val="nil"/>
              <w:bottom w:val="dotted" w:sz="4" w:space="0" w:color="7F7F7F"/>
              <w:right w:val="nil"/>
            </w:tcBorders>
            <w:vAlign w:val="center"/>
            <w:hideMark/>
          </w:tcPr>
          <w:p w14:paraId="433C6325" w14:textId="77777777" w:rsidR="00997F78" w:rsidRPr="00997F78" w:rsidRDefault="00997F78" w:rsidP="00997F78">
            <w:pPr>
              <w:rPr>
                <w:rFonts w:ascii="Verdana" w:eastAsia="Arial" w:hAnsi="Verdana" w:cs="Arial"/>
                <w:kern w:val="2"/>
                <w:sz w:val="16"/>
                <w:szCs w:val="16"/>
                <w14:ligatures w14:val="standardContextual"/>
              </w:rPr>
            </w:pPr>
            <w:r w:rsidRPr="00997F78">
              <w:rPr>
                <w:rFonts w:ascii="Verdana" w:eastAsia="Arial" w:hAnsi="Verdana" w:cs="Arial"/>
                <w:kern w:val="2"/>
                <w:sz w:val="16"/>
                <w:szCs w:val="16"/>
                <w14:ligatures w14:val="standardContextual"/>
              </w:rPr>
              <w:t>Kevin Arlid Herrera Santa</w:t>
            </w:r>
          </w:p>
          <w:p w14:paraId="7EB45E00" w14:textId="77777777" w:rsidR="00997F78" w:rsidRPr="00997F78" w:rsidRDefault="00997F78" w:rsidP="00997F78">
            <w:pPr>
              <w:rPr>
                <w:rFonts w:ascii="Verdana" w:eastAsia="Arial" w:hAnsi="Verdana" w:cs="Arial"/>
                <w:kern w:val="2"/>
                <w:sz w:val="16"/>
                <w:szCs w:val="16"/>
                <w14:ligatures w14:val="standardContextual"/>
              </w:rPr>
            </w:pPr>
            <w:r w:rsidRPr="00997F78">
              <w:rPr>
                <w:rFonts w:ascii="Verdana" w:eastAsia="Arial" w:hAnsi="Verdana" w:cs="Arial"/>
                <w:kern w:val="2"/>
                <w:sz w:val="16"/>
                <w:szCs w:val="16"/>
                <w14:ligatures w14:val="standardContextual"/>
              </w:rPr>
              <w:t>Contratista de la Subdirección de Gestión Contractual</w:t>
            </w:r>
          </w:p>
        </w:tc>
      </w:tr>
      <w:tr w:rsidR="00997F78" w:rsidRPr="00997F78" w14:paraId="238696CA" w14:textId="77777777" w:rsidTr="004A31F1">
        <w:trPr>
          <w:trHeight w:val="330"/>
        </w:trPr>
        <w:tc>
          <w:tcPr>
            <w:tcW w:w="893" w:type="dxa"/>
            <w:vAlign w:val="center"/>
            <w:hideMark/>
          </w:tcPr>
          <w:p w14:paraId="239DACF8" w14:textId="77777777" w:rsidR="00997F78" w:rsidRPr="00997F78" w:rsidRDefault="00997F78" w:rsidP="00997F78">
            <w:pPr>
              <w:rPr>
                <w:rFonts w:ascii="Verdana" w:eastAsia="Calibri" w:hAnsi="Verdana" w:cs="Arial"/>
                <w:kern w:val="2"/>
                <w:sz w:val="16"/>
                <w:szCs w:val="16"/>
                <w:lang w:val="es-ES" w:eastAsia="es-ES"/>
                <w14:ligatures w14:val="standardContextual"/>
              </w:rPr>
            </w:pPr>
            <w:r w:rsidRPr="00997F78">
              <w:rPr>
                <w:rFonts w:ascii="Verdana" w:eastAsia="Calibri" w:hAnsi="Verdana" w:cs="Arial"/>
                <w:kern w:val="2"/>
                <w:sz w:val="16"/>
                <w:szCs w:val="16"/>
                <w:lang w:val="es-ES" w:eastAsia="es-ES"/>
                <w14:ligatures w14:val="standardContextual"/>
              </w:rPr>
              <w:lastRenderedPageBreak/>
              <w:t>Revisó:</w:t>
            </w:r>
          </w:p>
        </w:tc>
        <w:tc>
          <w:tcPr>
            <w:tcW w:w="5628" w:type="dxa"/>
            <w:tcBorders>
              <w:top w:val="dotted" w:sz="4" w:space="0" w:color="7F7F7F"/>
              <w:left w:val="nil"/>
              <w:bottom w:val="dotted" w:sz="4" w:space="0" w:color="7F7F7F"/>
              <w:right w:val="nil"/>
            </w:tcBorders>
            <w:vAlign w:val="center"/>
            <w:hideMark/>
          </w:tcPr>
          <w:p w14:paraId="73015D8A" w14:textId="77777777" w:rsidR="00997F78" w:rsidRPr="00997F78" w:rsidRDefault="00997F78" w:rsidP="00997F78">
            <w:pPr>
              <w:textAlignment w:val="baseline"/>
              <w:rPr>
                <w:rFonts w:ascii="Verdana" w:eastAsia="Times New Roman" w:hAnsi="Verdana" w:cs="Segoe UI"/>
                <w:kern w:val="2"/>
                <w:sz w:val="16"/>
                <w:szCs w:val="16"/>
                <w:lang w:eastAsia="es-ES_tradnl"/>
                <w14:ligatures w14:val="standardContextual"/>
              </w:rPr>
            </w:pPr>
            <w:r w:rsidRPr="00997F78">
              <w:rPr>
                <w:rFonts w:ascii="Verdana" w:eastAsia="Times New Roman" w:hAnsi="Verdana" w:cs="Segoe UI"/>
                <w:kern w:val="2"/>
                <w:sz w:val="16"/>
                <w:szCs w:val="16"/>
                <w:lang w:eastAsia="es-ES_tradnl"/>
                <w14:ligatures w14:val="standardContextual"/>
              </w:rPr>
              <w:t>Juan David Cárdenas Cabeza</w:t>
            </w:r>
          </w:p>
          <w:p w14:paraId="166E60DC" w14:textId="77777777" w:rsidR="00997F78" w:rsidRPr="00997F78" w:rsidRDefault="00997F78" w:rsidP="00997F78">
            <w:pPr>
              <w:textAlignment w:val="baseline"/>
              <w:rPr>
                <w:rFonts w:ascii="Verdana" w:eastAsia="Times New Roman" w:hAnsi="Verdana" w:cs="Segoe UI"/>
                <w:kern w:val="2"/>
                <w:sz w:val="16"/>
                <w:szCs w:val="16"/>
                <w:lang w:eastAsia="es-ES_tradnl"/>
                <w14:ligatures w14:val="standardContextual"/>
              </w:rPr>
            </w:pPr>
            <w:r w:rsidRPr="00997F78">
              <w:rPr>
                <w:rFonts w:ascii="Verdana" w:eastAsia="Times New Roman" w:hAnsi="Verdana" w:cs="Arial"/>
                <w:kern w:val="2"/>
                <w:sz w:val="16"/>
                <w:szCs w:val="16"/>
                <w:lang w:val="es-ES" w:eastAsia="es-ES_tradnl"/>
                <w14:ligatures w14:val="standardContextual"/>
              </w:rPr>
              <w:t>Contratista de la Subdirección de Gestión Contractual</w:t>
            </w:r>
            <w:r w:rsidRPr="00997F78">
              <w:rPr>
                <w:rFonts w:ascii="Verdana" w:eastAsia="Times New Roman" w:hAnsi="Verdana" w:cs="Arial"/>
                <w:kern w:val="2"/>
                <w:sz w:val="16"/>
                <w:szCs w:val="16"/>
                <w:lang w:eastAsia="es-ES_tradnl"/>
                <w14:ligatures w14:val="standardContextual"/>
              </w:rPr>
              <w:t> </w:t>
            </w:r>
          </w:p>
        </w:tc>
      </w:tr>
      <w:tr w:rsidR="00997F78" w:rsidRPr="00997F78" w14:paraId="6284E6ED" w14:textId="77777777" w:rsidTr="004A31F1">
        <w:trPr>
          <w:trHeight w:val="300"/>
        </w:trPr>
        <w:tc>
          <w:tcPr>
            <w:tcW w:w="893" w:type="dxa"/>
            <w:vAlign w:val="center"/>
          </w:tcPr>
          <w:p w14:paraId="7D538611" w14:textId="77777777" w:rsidR="00997F78" w:rsidRPr="00997F78" w:rsidRDefault="00997F78" w:rsidP="00997F78">
            <w:pPr>
              <w:rPr>
                <w:rFonts w:ascii="Verdana" w:eastAsia="Calibri" w:hAnsi="Verdana" w:cs="Arial"/>
                <w:kern w:val="2"/>
                <w:sz w:val="16"/>
                <w:szCs w:val="16"/>
                <w:lang w:val="es-ES" w:eastAsia="es-ES"/>
                <w14:ligatures w14:val="standardContextual"/>
              </w:rPr>
            </w:pPr>
            <w:r w:rsidRPr="00997F78">
              <w:rPr>
                <w:rFonts w:ascii="Verdana" w:eastAsia="Calibri" w:hAnsi="Verdana" w:cs="Arial"/>
                <w:kern w:val="2"/>
                <w:sz w:val="16"/>
                <w:szCs w:val="16"/>
                <w:lang w:val="es-ES" w:eastAsia="es-ES"/>
                <w14:ligatures w14:val="standardContextual"/>
              </w:rPr>
              <w:t>Aprobó:</w:t>
            </w:r>
          </w:p>
        </w:tc>
        <w:tc>
          <w:tcPr>
            <w:tcW w:w="5628" w:type="dxa"/>
            <w:tcBorders>
              <w:top w:val="dotted" w:sz="4" w:space="0" w:color="7F7F7F"/>
              <w:left w:val="nil"/>
              <w:bottom w:val="dotted" w:sz="4" w:space="0" w:color="7F7F7F"/>
              <w:right w:val="nil"/>
            </w:tcBorders>
            <w:vAlign w:val="center"/>
          </w:tcPr>
          <w:p w14:paraId="084B2D58" w14:textId="77777777" w:rsidR="00997F78" w:rsidRPr="00997F78" w:rsidRDefault="00997F78" w:rsidP="00997F78">
            <w:pPr>
              <w:rPr>
                <w:rFonts w:ascii="Verdana" w:eastAsia="Calibri" w:hAnsi="Verdana" w:cs="Arial"/>
                <w:kern w:val="2"/>
                <w:sz w:val="16"/>
                <w:szCs w:val="16"/>
                <w:lang w:val="pt-BR" w:eastAsia="es-ES"/>
                <w14:ligatures w14:val="standardContextual"/>
              </w:rPr>
            </w:pPr>
            <w:r w:rsidRPr="00997F78">
              <w:rPr>
                <w:rFonts w:ascii="Verdana" w:eastAsia="Calibri" w:hAnsi="Verdana" w:cs="Arial"/>
                <w:kern w:val="2"/>
                <w:sz w:val="16"/>
                <w:szCs w:val="16"/>
                <w:lang w:val="pt-BR" w:eastAsia="es-ES"/>
                <w14:ligatures w14:val="standardContextual"/>
              </w:rPr>
              <w:t>Carolina Quintero Gacharná</w:t>
            </w:r>
          </w:p>
          <w:p w14:paraId="4717437D" w14:textId="77777777" w:rsidR="00997F78" w:rsidRPr="00997F78" w:rsidRDefault="00997F78" w:rsidP="00997F78">
            <w:pPr>
              <w:rPr>
                <w:rFonts w:ascii="Verdana" w:eastAsia="Calibri" w:hAnsi="Verdana" w:cs="Arial"/>
                <w:kern w:val="2"/>
                <w:sz w:val="16"/>
                <w:szCs w:val="16"/>
                <w:lang w:val="pt-BR" w:eastAsia="es-ES"/>
                <w14:ligatures w14:val="standardContextual"/>
              </w:rPr>
            </w:pPr>
            <w:r w:rsidRPr="00997F78">
              <w:rPr>
                <w:rFonts w:ascii="Verdana" w:eastAsia="Calibri" w:hAnsi="Verdana" w:cs="Arial"/>
                <w:kern w:val="2"/>
                <w:sz w:val="16"/>
                <w:szCs w:val="16"/>
                <w:lang w:eastAsia="es-ES"/>
                <w14:ligatures w14:val="standardContextual"/>
              </w:rPr>
              <w:t>Subdirectora</w:t>
            </w:r>
            <w:r w:rsidRPr="00997F78">
              <w:rPr>
                <w:rFonts w:ascii="Verdana" w:eastAsia="Calibri" w:hAnsi="Verdana" w:cs="Arial"/>
                <w:kern w:val="2"/>
                <w:sz w:val="16"/>
                <w:szCs w:val="16"/>
                <w:lang w:val="pt-BR" w:eastAsia="es-ES"/>
                <w14:ligatures w14:val="standardContextual"/>
              </w:rPr>
              <w:t xml:space="preserve"> de Gestión Contratual ANCP – CCE</w:t>
            </w:r>
          </w:p>
        </w:tc>
      </w:tr>
      <w:bookmarkEnd w:id="0"/>
    </w:tbl>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2F035" w14:textId="77777777" w:rsidR="000925DB" w:rsidRDefault="000925DB" w:rsidP="004A1847">
      <w:pPr>
        <w:spacing w:after="0" w:line="240" w:lineRule="auto"/>
      </w:pPr>
      <w:r>
        <w:separator/>
      </w:r>
    </w:p>
  </w:endnote>
  <w:endnote w:type="continuationSeparator" w:id="0">
    <w:p w14:paraId="3D2189D1" w14:textId="77777777" w:rsidR="000925DB" w:rsidRDefault="000925DB" w:rsidP="004A1847">
      <w:pPr>
        <w:spacing w:after="0" w:line="240" w:lineRule="auto"/>
      </w:pPr>
      <w:r>
        <w:continuationSeparator/>
      </w:r>
    </w:p>
  </w:endnote>
  <w:endnote w:type="continuationNotice" w:id="1">
    <w:p w14:paraId="7EF21950" w14:textId="77777777" w:rsidR="000925DB" w:rsidRDefault="00092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C344D" w14:textId="77777777" w:rsidR="000925DB" w:rsidRDefault="000925DB" w:rsidP="004A1847">
      <w:pPr>
        <w:spacing w:after="0" w:line="240" w:lineRule="auto"/>
      </w:pPr>
      <w:r>
        <w:separator/>
      </w:r>
    </w:p>
  </w:footnote>
  <w:footnote w:type="continuationSeparator" w:id="0">
    <w:p w14:paraId="0D3910A9" w14:textId="77777777" w:rsidR="000925DB" w:rsidRDefault="000925DB" w:rsidP="004A1847">
      <w:pPr>
        <w:spacing w:after="0" w:line="240" w:lineRule="auto"/>
      </w:pPr>
      <w:r>
        <w:continuationSeparator/>
      </w:r>
    </w:p>
  </w:footnote>
  <w:footnote w:type="continuationNotice" w:id="1">
    <w:p w14:paraId="1054C81C" w14:textId="77777777" w:rsidR="000925DB" w:rsidRDefault="000925DB">
      <w:pPr>
        <w:spacing w:after="0" w:line="240" w:lineRule="auto"/>
      </w:pPr>
    </w:p>
  </w:footnote>
  <w:footnote w:id="2">
    <w:p w14:paraId="6F0D1DE5" w14:textId="77777777" w:rsidR="00997F78" w:rsidRPr="0047095F" w:rsidRDefault="00997F78" w:rsidP="00997F78">
      <w:pPr>
        <w:spacing w:after="0"/>
        <w:jc w:val="both"/>
        <w:rPr>
          <w:rFonts w:ascii="Verdana" w:hAnsi="Verdana" w:cs="Arial"/>
          <w:sz w:val="18"/>
          <w:szCs w:val="18"/>
        </w:rPr>
      </w:pPr>
    </w:p>
    <w:p w14:paraId="6540CF87" w14:textId="4D1D0365" w:rsidR="00997F78" w:rsidRPr="0047095F" w:rsidRDefault="00997F78" w:rsidP="00997F78">
      <w:pPr>
        <w:spacing w:after="0"/>
        <w:ind w:firstLine="709"/>
        <w:jc w:val="both"/>
        <w:rPr>
          <w:rFonts w:ascii="Verdana" w:hAnsi="Verdana" w:cs="Arial"/>
          <w:sz w:val="18"/>
          <w:szCs w:val="18"/>
        </w:rPr>
      </w:pPr>
      <w:r w:rsidRPr="0047095F">
        <w:rPr>
          <w:rStyle w:val="Refdenotaalpie"/>
          <w:rFonts w:ascii="Verdana" w:hAnsi="Verdana" w:cs="Arial"/>
          <w:sz w:val="18"/>
          <w:szCs w:val="18"/>
        </w:rPr>
        <w:footnoteRef/>
      </w:r>
      <w:r w:rsidRPr="0047095F">
        <w:rPr>
          <w:rFonts w:ascii="Verdana" w:hAnsi="Verdana" w:cs="Arial"/>
          <w:sz w:val="18"/>
          <w:szCs w:val="18"/>
        </w:rPr>
        <w:t xml:space="preserve"> Decreto 1082 de 2015: “Artículo </w:t>
      </w:r>
      <w:bookmarkStart w:id="2" w:name="_Hlk132977831"/>
      <w:r w:rsidRPr="0047095F">
        <w:rPr>
          <w:rFonts w:ascii="Verdana" w:hAnsi="Verdana" w:cs="Arial"/>
          <w:sz w:val="18"/>
          <w:szCs w:val="18"/>
        </w:rPr>
        <w:t>2.2.1.2.1.4.4</w:t>
      </w:r>
      <w:bookmarkEnd w:id="2"/>
      <w:r w:rsidRPr="0047095F">
        <w:rPr>
          <w:rFonts w:ascii="Verdana" w:hAnsi="Verdana" w:cs="Arial"/>
          <w:sz w:val="18"/>
          <w:szCs w:val="18"/>
        </w:rPr>
        <w:t>. Convenios o contratos interadministrativos. La modalidad de selección para la contratación entre Entidades Estatales es la contratación directa; y en consecuencia, le es aplicable lo establecido en el artículo 2.2.1.2.1.4.1 del presente decreto.</w:t>
      </w:r>
      <w:r>
        <w:rPr>
          <w:rFonts w:ascii="Verdana" w:hAnsi="Verdana" w:cs="Arial"/>
          <w:sz w:val="18"/>
          <w:szCs w:val="18"/>
        </w:rPr>
        <w:t xml:space="preserve"> </w:t>
      </w:r>
    </w:p>
    <w:p w14:paraId="02665945" w14:textId="77777777" w:rsidR="00997F78" w:rsidRPr="0047095F" w:rsidRDefault="00997F78" w:rsidP="00997F78">
      <w:pPr>
        <w:spacing w:after="0"/>
        <w:ind w:firstLine="709"/>
        <w:jc w:val="both"/>
        <w:rPr>
          <w:rFonts w:ascii="Verdana" w:hAnsi="Verdana" w:cs="Arial"/>
          <w:sz w:val="18"/>
          <w:szCs w:val="18"/>
        </w:rPr>
      </w:pPr>
      <w:r w:rsidRPr="0047095F">
        <w:rPr>
          <w:rFonts w:ascii="Verdana" w:hAnsi="Verdana"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47095F">
        <w:rPr>
          <w:rFonts w:ascii="Verdana" w:hAnsi="Verdana" w:cs="Arial"/>
          <w:spacing w:val="-1"/>
          <w:sz w:val="18"/>
          <w:szCs w:val="18"/>
        </w:rPr>
        <w:t xml:space="preserve"> </w:t>
      </w:r>
      <w:r w:rsidRPr="0047095F">
        <w:rPr>
          <w:rFonts w:ascii="Verdana" w:hAnsi="Verdana" w:cs="Arial"/>
          <w:sz w:val="18"/>
          <w:szCs w:val="18"/>
        </w:rPr>
        <w:t>Estatales”.</w:t>
      </w:r>
    </w:p>
  </w:footnote>
  <w:footnote w:id="3">
    <w:p w14:paraId="2B7B5CC5" w14:textId="77777777" w:rsidR="00997F78" w:rsidRPr="0047095F" w:rsidRDefault="00997F78" w:rsidP="00997F78">
      <w:pPr>
        <w:spacing w:after="0"/>
        <w:ind w:firstLine="709"/>
        <w:jc w:val="both"/>
        <w:rPr>
          <w:rFonts w:ascii="Verdana" w:hAnsi="Verdana" w:cs="Arial"/>
          <w:sz w:val="18"/>
          <w:szCs w:val="18"/>
        </w:rPr>
      </w:pPr>
      <w:r w:rsidRPr="0047095F">
        <w:rPr>
          <w:rStyle w:val="Refdenotaalpie"/>
          <w:rFonts w:ascii="Verdana" w:hAnsi="Verdana" w:cs="Arial"/>
          <w:sz w:val="18"/>
          <w:szCs w:val="18"/>
        </w:rPr>
        <w:footnoteRef/>
      </w:r>
      <w:r w:rsidRPr="0047095F">
        <w:rPr>
          <w:rFonts w:ascii="Verdana" w:hAnsi="Verdana"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47095F">
        <w:rPr>
          <w:rFonts w:ascii="Verdana" w:hAnsi="Verdana" w:cs="Arial"/>
          <w:spacing w:val="-6"/>
          <w:sz w:val="18"/>
          <w:szCs w:val="18"/>
        </w:rPr>
        <w:t xml:space="preserve"> </w:t>
      </w:r>
      <w:r w:rsidRPr="0047095F">
        <w:rPr>
          <w:rFonts w:ascii="Verdana" w:hAnsi="Verdana" w:cs="Arial"/>
          <w:sz w:val="18"/>
          <w:szCs w:val="18"/>
        </w:rPr>
        <w:t>artículo”.</w:t>
      </w:r>
    </w:p>
    <w:p w14:paraId="36A2CDF5" w14:textId="77777777" w:rsidR="00997F78" w:rsidRPr="0047095F" w:rsidRDefault="00997F78" w:rsidP="00997F78">
      <w:pPr>
        <w:spacing w:after="0"/>
        <w:ind w:firstLine="709"/>
        <w:jc w:val="both"/>
        <w:rPr>
          <w:rFonts w:ascii="Verdana" w:hAnsi="Verdana" w:cs="Arial"/>
          <w:sz w:val="18"/>
          <w:szCs w:val="18"/>
        </w:rPr>
      </w:pPr>
    </w:p>
  </w:footnote>
  <w:footnote w:id="4">
    <w:p w14:paraId="1EC3F910" w14:textId="77777777" w:rsidR="00997F78" w:rsidRPr="0047095F" w:rsidRDefault="00997F78" w:rsidP="00997F78">
      <w:pPr>
        <w:spacing w:after="0"/>
        <w:ind w:firstLine="709"/>
        <w:jc w:val="both"/>
        <w:rPr>
          <w:rFonts w:ascii="Verdana" w:hAnsi="Verdana" w:cs="Arial"/>
          <w:sz w:val="18"/>
          <w:szCs w:val="18"/>
        </w:rPr>
      </w:pPr>
      <w:r w:rsidRPr="0047095F">
        <w:rPr>
          <w:rStyle w:val="Refdenotaalpie"/>
          <w:rFonts w:ascii="Verdana" w:hAnsi="Verdana" w:cs="Arial"/>
          <w:sz w:val="18"/>
          <w:szCs w:val="18"/>
        </w:rPr>
        <w:footnoteRef/>
      </w:r>
      <w:r w:rsidRPr="0047095F">
        <w:rPr>
          <w:rFonts w:ascii="Verdana" w:hAnsi="Verdana" w:cs="Arial"/>
          <w:position w:val="7"/>
          <w:sz w:val="18"/>
          <w:szCs w:val="18"/>
        </w:rPr>
        <w:t xml:space="preserve"> </w:t>
      </w:r>
      <w:r w:rsidRPr="0047095F">
        <w:rPr>
          <w:rFonts w:ascii="Verdana" w:hAnsi="Verdana" w:cs="Arial"/>
          <w:sz w:val="18"/>
          <w:szCs w:val="18"/>
        </w:rPr>
        <w:t>Consejo de Estado. Sección Tercera. Sentencia del 23 de junio de 2010. Radicación No. 66001-23-31-000-1998-00261-01(17.860). C. P. Mauricio Fajardo Gómez.</w:t>
      </w:r>
    </w:p>
  </w:footnote>
  <w:footnote w:id="5">
    <w:p w14:paraId="5F36921C" w14:textId="77777777" w:rsidR="00997F78" w:rsidRPr="0047095F" w:rsidRDefault="00997F78" w:rsidP="00997F78">
      <w:pPr>
        <w:pStyle w:val="Textonotapie"/>
        <w:ind w:firstLine="708"/>
        <w:jc w:val="both"/>
        <w:rPr>
          <w:rFonts w:ascii="Verdana" w:hAnsi="Verdana" w:cs="Arial"/>
          <w:sz w:val="18"/>
          <w:szCs w:val="18"/>
        </w:rPr>
      </w:pPr>
      <w:r w:rsidRPr="0047095F">
        <w:rPr>
          <w:rStyle w:val="Refdenotaalpie"/>
          <w:rFonts w:ascii="Verdana" w:hAnsi="Verdana" w:cs="Arial"/>
          <w:sz w:val="18"/>
          <w:szCs w:val="18"/>
        </w:rPr>
        <w:footnoteRef/>
      </w:r>
      <w:r w:rsidRPr="0047095F">
        <w:rPr>
          <w:rFonts w:ascii="Verdana" w:hAnsi="Verdana" w:cs="Arial"/>
          <w:sz w:val="18"/>
          <w:szCs w:val="18"/>
        </w:rPr>
        <w:t xml:space="preserve"> CONSEJO DE ESTADO. Sala de Consulta y Servicio Civil. Concepto 26 de julio de 2016. Exp. 2.257. C.P. Álvaro Namén Vargas. Esta diferencia entre contrato y convenio está mucho más apuntalada en el derecho español de acuerdo con el artículo 47.1 de la Ley 40 de 2015, la cual regula el régimen jurídico del sector público. Por ello, la doctrina extrajera también estima que: “De la figura del “contrato” se diferencia la del “convenio”. Mientras el núcleo característico del “contrato” es el contenido económico de las obligaciones que asumen las partes que lo celebran, el “convenio” tiene por objeto el desarrollo de una actividad de una actividad de colaboración interadministrativa. El convenio tiene una función esencialmente organizatoria, o de promoción y fomento de actividades públicas y privadas; de forma indirecta el convenio puede tener efectos económicos, pero el fundamento de la celebración del convenio es la colaboración entre dos personas” (Cfr. BLANQUER CRIADO, David. Los contratos del sector público. Valencia: Tirant lo Blanch, 2013.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39BF7A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68324184" o:spid="_x0000_i1025" type="#_x0000_t75" style="width:11.5pt;height:11.5pt;visibility:visible;mso-wrap-style:square">
            <v:imagedata r:id="rId1" o:title=""/>
          </v:shape>
        </w:pict>
      </mc:Choice>
      <mc:Fallback>
        <w:drawing>
          <wp:inline distT="0" distB="0" distL="0" distR="0" wp14:anchorId="4C75EEA5">
            <wp:extent cx="146050" cy="146050"/>
            <wp:effectExtent l="0" t="0" r="0" b="0"/>
            <wp:docPr id="1568324184" name="Imagen 1568324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024537A"/>
    <w:multiLevelType w:val="hybridMultilevel"/>
    <w:tmpl w:val="CECE3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B5634A"/>
    <w:multiLevelType w:val="hybridMultilevel"/>
    <w:tmpl w:val="2A4AE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3CF4778"/>
    <w:multiLevelType w:val="hybridMultilevel"/>
    <w:tmpl w:val="2A904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0F3274"/>
    <w:multiLevelType w:val="hybridMultilevel"/>
    <w:tmpl w:val="0A524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5"/>
  </w:num>
  <w:num w:numId="8" w16cid:durableId="152644682">
    <w:abstractNumId w:val="15"/>
  </w:num>
  <w:num w:numId="9" w16cid:durableId="1317221377">
    <w:abstractNumId w:val="7"/>
  </w:num>
  <w:num w:numId="10" w16cid:durableId="1471245386">
    <w:abstractNumId w:val="14"/>
  </w:num>
  <w:num w:numId="11" w16cid:durableId="289172385">
    <w:abstractNumId w:val="8"/>
  </w:num>
  <w:num w:numId="12" w16cid:durableId="1470781324">
    <w:abstractNumId w:val="1"/>
  </w:num>
  <w:num w:numId="13" w16cid:durableId="1512908409">
    <w:abstractNumId w:val="3"/>
  </w:num>
  <w:num w:numId="14" w16cid:durableId="895897244">
    <w:abstractNumId w:val="17"/>
  </w:num>
  <w:num w:numId="15" w16cid:durableId="390349800">
    <w:abstractNumId w:val="12"/>
  </w:num>
  <w:num w:numId="16" w16cid:durableId="341274352">
    <w:abstractNumId w:val="0"/>
  </w:num>
  <w:num w:numId="17" w16cid:durableId="679089576">
    <w:abstractNumId w:val="9"/>
  </w:num>
  <w:num w:numId="18" w16cid:durableId="576675791">
    <w:abstractNumId w:val="10"/>
  </w:num>
  <w:num w:numId="19" w16cid:durableId="1757631431">
    <w:abstractNumId w:val="11"/>
  </w:num>
  <w:num w:numId="20" w16cid:durableId="1347054778">
    <w:abstractNumId w:val="18"/>
  </w:num>
  <w:num w:numId="21" w16cid:durableId="734733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3806"/>
    <w:rsid w:val="0002581F"/>
    <w:rsid w:val="00061B2A"/>
    <w:rsid w:val="00082362"/>
    <w:rsid w:val="000925DB"/>
    <w:rsid w:val="00094F97"/>
    <w:rsid w:val="000A683E"/>
    <w:rsid w:val="000B19B9"/>
    <w:rsid w:val="000C0902"/>
    <w:rsid w:val="000D0334"/>
    <w:rsid w:val="000F6486"/>
    <w:rsid w:val="00125105"/>
    <w:rsid w:val="00127233"/>
    <w:rsid w:val="001920D6"/>
    <w:rsid w:val="001E4177"/>
    <w:rsid w:val="001F7DC6"/>
    <w:rsid w:val="002421BB"/>
    <w:rsid w:val="0025796E"/>
    <w:rsid w:val="002707A2"/>
    <w:rsid w:val="002951A0"/>
    <w:rsid w:val="002962BC"/>
    <w:rsid w:val="002A093D"/>
    <w:rsid w:val="002A0DD0"/>
    <w:rsid w:val="002A49AC"/>
    <w:rsid w:val="002A64FD"/>
    <w:rsid w:val="002C7A84"/>
    <w:rsid w:val="002D2EA4"/>
    <w:rsid w:val="002E4FD9"/>
    <w:rsid w:val="00322A85"/>
    <w:rsid w:val="00324168"/>
    <w:rsid w:val="00326BFA"/>
    <w:rsid w:val="003448F4"/>
    <w:rsid w:val="00357BEA"/>
    <w:rsid w:val="00374F5E"/>
    <w:rsid w:val="00377E3E"/>
    <w:rsid w:val="003A26D1"/>
    <w:rsid w:val="003A779E"/>
    <w:rsid w:val="003D0F4D"/>
    <w:rsid w:val="003D5B0D"/>
    <w:rsid w:val="003E0499"/>
    <w:rsid w:val="003F3941"/>
    <w:rsid w:val="00406575"/>
    <w:rsid w:val="0042722E"/>
    <w:rsid w:val="0044528D"/>
    <w:rsid w:val="004A1847"/>
    <w:rsid w:val="004A305D"/>
    <w:rsid w:val="004F21C4"/>
    <w:rsid w:val="004F685F"/>
    <w:rsid w:val="005022DD"/>
    <w:rsid w:val="005566E8"/>
    <w:rsid w:val="00574867"/>
    <w:rsid w:val="00591460"/>
    <w:rsid w:val="00592628"/>
    <w:rsid w:val="005C3777"/>
    <w:rsid w:val="005C5CDC"/>
    <w:rsid w:val="005D476C"/>
    <w:rsid w:val="00610812"/>
    <w:rsid w:val="006219F8"/>
    <w:rsid w:val="00650FF7"/>
    <w:rsid w:val="00665D70"/>
    <w:rsid w:val="00671DAC"/>
    <w:rsid w:val="006900D9"/>
    <w:rsid w:val="006D12F8"/>
    <w:rsid w:val="006D3090"/>
    <w:rsid w:val="007012DF"/>
    <w:rsid w:val="00706C16"/>
    <w:rsid w:val="00756841"/>
    <w:rsid w:val="007649AB"/>
    <w:rsid w:val="00771D0C"/>
    <w:rsid w:val="007833AC"/>
    <w:rsid w:val="007B268C"/>
    <w:rsid w:val="007B7171"/>
    <w:rsid w:val="007C0C0F"/>
    <w:rsid w:val="007C3DC2"/>
    <w:rsid w:val="007E5497"/>
    <w:rsid w:val="00806F5F"/>
    <w:rsid w:val="00820278"/>
    <w:rsid w:val="008843B6"/>
    <w:rsid w:val="00891928"/>
    <w:rsid w:val="008A446D"/>
    <w:rsid w:val="008D180B"/>
    <w:rsid w:val="008F0EA7"/>
    <w:rsid w:val="008F2E7D"/>
    <w:rsid w:val="00923EEF"/>
    <w:rsid w:val="009419F9"/>
    <w:rsid w:val="0095685E"/>
    <w:rsid w:val="00961B09"/>
    <w:rsid w:val="00965334"/>
    <w:rsid w:val="0097093E"/>
    <w:rsid w:val="00997F78"/>
    <w:rsid w:val="009A0DFA"/>
    <w:rsid w:val="009B2D26"/>
    <w:rsid w:val="009C71FA"/>
    <w:rsid w:val="009C72E7"/>
    <w:rsid w:val="009D3058"/>
    <w:rsid w:val="009F3A13"/>
    <w:rsid w:val="00A122D3"/>
    <w:rsid w:val="00A17F13"/>
    <w:rsid w:val="00A20739"/>
    <w:rsid w:val="00A33C78"/>
    <w:rsid w:val="00A64CEB"/>
    <w:rsid w:val="00AB0ADB"/>
    <w:rsid w:val="00AD6A38"/>
    <w:rsid w:val="00B01B1A"/>
    <w:rsid w:val="00B72CD3"/>
    <w:rsid w:val="00B72FFF"/>
    <w:rsid w:val="00BC3D36"/>
    <w:rsid w:val="00BD7F72"/>
    <w:rsid w:val="00BE5E0F"/>
    <w:rsid w:val="00C02F0F"/>
    <w:rsid w:val="00C04FB3"/>
    <w:rsid w:val="00C312B1"/>
    <w:rsid w:val="00C330EB"/>
    <w:rsid w:val="00C70C5C"/>
    <w:rsid w:val="00C754BE"/>
    <w:rsid w:val="00C76B1C"/>
    <w:rsid w:val="00CB6357"/>
    <w:rsid w:val="00CC1B26"/>
    <w:rsid w:val="00D423A2"/>
    <w:rsid w:val="00D520D8"/>
    <w:rsid w:val="00D63AC2"/>
    <w:rsid w:val="00D7383B"/>
    <w:rsid w:val="00DA231B"/>
    <w:rsid w:val="00DA23A0"/>
    <w:rsid w:val="00DB5146"/>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B1F9A"/>
    <w:rsid w:val="00EC38A7"/>
    <w:rsid w:val="00EE1AA8"/>
    <w:rsid w:val="00F178A0"/>
    <w:rsid w:val="00F21137"/>
    <w:rsid w:val="00F31EDC"/>
    <w:rsid w:val="00F32EDD"/>
    <w:rsid w:val="00F462B3"/>
    <w:rsid w:val="00F5664F"/>
    <w:rsid w:val="00F666C4"/>
    <w:rsid w:val="00F76AFC"/>
    <w:rsid w:val="00FA47C0"/>
    <w:rsid w:val="00FB5DD1"/>
    <w:rsid w:val="00FC2B5D"/>
    <w:rsid w:val="00FF1449"/>
    <w:rsid w:val="0D066733"/>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997F78"/>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content/convocatori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cop.gov.co/entidades/colombiacompra/Normativa?IDNorma=1736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sites/cce_public/files/files_2020/boletin_de_realtoria_iii.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9d85dbaf-23eb-4e57-a637-93dcacc8b1a1"/>
    <ds:schemaRef ds:uri="http://schemas.openxmlformats.org/package/2006/metadata/core-properties"/>
    <ds:schemaRef ds:uri="a6cb9e4b-f1d1-4245-83ec-6cad768d538a"/>
    <ds:schemaRef ds:uri="http://www.w3.org/XML/1998/namespace"/>
  </ds:schemaRefs>
</ds:datastoreItem>
</file>

<file path=customXml/itemProps3.xml><?xml version="1.0" encoding="utf-8"?>
<ds:datastoreItem xmlns:ds="http://schemas.openxmlformats.org/officeDocument/2006/customXml" ds:itemID="{7742258C-989D-407E-A3B6-298275D63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2882</Words>
  <Characters>15853</Characters>
  <Application>Microsoft Office Word</Application>
  <DocSecurity>0</DocSecurity>
  <Lines>132</Lines>
  <Paragraphs>37</Paragraphs>
  <ScaleCrop>false</ScaleCrop>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2024-09-02T20:11:00Z</dcterms:created>
  <dcterms:modified xsi:type="dcterms:W3CDTF">2024-09-02T20:11:00Z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