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291" w14:textId="77777777" w:rsidR="0068180E" w:rsidRDefault="0068180E" w:rsidP="00E245AB">
      <w:pPr>
        <w:spacing w:after="0"/>
        <w:rPr>
          <w:rFonts w:ascii="Verdana" w:hAnsi="Verdana"/>
        </w:rPr>
      </w:pPr>
      <w:bookmarkStart w:id="0" w:name="_Hlk143780582"/>
    </w:p>
    <w:p w14:paraId="034494C8" w14:textId="77777777" w:rsidR="0068180E" w:rsidRPr="00653A80" w:rsidRDefault="0068180E" w:rsidP="00E245AB">
      <w:pPr>
        <w:spacing w:after="0"/>
        <w:rPr>
          <w:rFonts w:ascii="Verdana" w:hAnsi="Verdana"/>
        </w:rPr>
      </w:pPr>
    </w:p>
    <w:p w14:paraId="6D1DC000" w14:textId="77777777" w:rsidR="00DA4563" w:rsidRDefault="00D90CB2" w:rsidP="00DA4563">
      <w:pPr>
        <w:spacing w:line="240" w:lineRule="auto"/>
        <w:jc w:val="both"/>
        <w:rPr>
          <w:rFonts w:ascii="Verdana" w:hAnsi="Verdana" w:cs="Arial"/>
          <w:b/>
          <w:bCs/>
          <w:color w:val="000000"/>
          <w:sz w:val="20"/>
          <w:szCs w:val="20"/>
        </w:rPr>
      </w:pPr>
      <w:r>
        <w:rPr>
          <w:rFonts w:ascii="Verdana" w:hAnsi="Verdana" w:cs="Arial"/>
          <w:b/>
          <w:bCs/>
          <w:color w:val="000000"/>
          <w:sz w:val="20"/>
          <w:szCs w:val="20"/>
        </w:rPr>
        <w:t>CAPACIDAD RESIDUAL</w:t>
      </w:r>
      <w:r w:rsidR="0068180E" w:rsidRPr="00653A80">
        <w:rPr>
          <w:rFonts w:ascii="Verdana" w:hAnsi="Verdana" w:cs="Arial"/>
          <w:b/>
          <w:bCs/>
          <w:color w:val="000000"/>
          <w:sz w:val="20"/>
          <w:szCs w:val="20"/>
        </w:rPr>
        <w:t xml:space="preserve"> – </w:t>
      </w:r>
      <w:r w:rsidR="00DA4563" w:rsidRPr="00DA4563">
        <w:rPr>
          <w:rFonts w:ascii="Verdana" w:hAnsi="Verdana" w:cs="Arial"/>
          <w:b/>
          <w:bCs/>
          <w:color w:val="000000"/>
          <w:sz w:val="20"/>
          <w:szCs w:val="20"/>
        </w:rPr>
        <w:t xml:space="preserve">Documentos Tipo – Causales de rechazo de la oferta </w:t>
      </w:r>
    </w:p>
    <w:p w14:paraId="70947DCD" w14:textId="77777777" w:rsidR="00CF0861" w:rsidRDefault="00CF0861" w:rsidP="004B4AF6">
      <w:pPr>
        <w:spacing w:after="0"/>
        <w:jc w:val="both"/>
        <w:rPr>
          <w:rFonts w:ascii="Verdana" w:hAnsi="Verdana" w:cs="Arial"/>
          <w:sz w:val="20"/>
          <w:szCs w:val="20"/>
        </w:rPr>
      </w:pPr>
    </w:p>
    <w:p w14:paraId="1A79DF8A" w14:textId="77777777" w:rsidR="00CF0861" w:rsidRPr="004B4AF6" w:rsidRDefault="00CF0861" w:rsidP="00CF0861">
      <w:pPr>
        <w:spacing w:after="0"/>
        <w:jc w:val="both"/>
        <w:rPr>
          <w:rFonts w:ascii="Verdana" w:hAnsi="Verdana" w:cs="Arial"/>
          <w:sz w:val="20"/>
          <w:szCs w:val="20"/>
        </w:rPr>
      </w:pPr>
      <w:r w:rsidRPr="004B4AF6">
        <w:rPr>
          <w:rFonts w:ascii="Verdana" w:hAnsi="Verdana" w:cs="Arial"/>
          <w:sz w:val="20"/>
          <w:szCs w:val="20"/>
        </w:rPr>
        <w:t xml:space="preserve">La Capacidad Residual es un requisito habilitante que está sujeto a la posibilidad de solicitarle aclaración, con el fin de esclarecer dudas sobre aspectos de la información presentada por el proponente y de igual forma, esa sujeta a la posibilidad de subsanar la ausencia de requisitos, siempre que se cumpla con los límites temporales y materiales descritos en este concepto, es decir, que lo omitido no sea un factor que afecte la asignación de puntaje, que sea la prueba de una circunstancia o hecho que ocurrió con anterioridad al cierre del proceso y que no existe disposición legal o en el pliego de condiciones que prohíba su subsanación. </w:t>
      </w:r>
    </w:p>
    <w:p w14:paraId="3BAB6476" w14:textId="77777777" w:rsidR="00CF0861" w:rsidRDefault="00CF0861" w:rsidP="004B4AF6">
      <w:pPr>
        <w:spacing w:after="0"/>
        <w:jc w:val="both"/>
        <w:rPr>
          <w:rFonts w:ascii="Verdana" w:hAnsi="Verdana" w:cs="Arial"/>
          <w:sz w:val="20"/>
          <w:szCs w:val="20"/>
        </w:rPr>
      </w:pPr>
    </w:p>
    <w:p w14:paraId="270DEC22" w14:textId="3939E121" w:rsidR="004B4AF6" w:rsidRDefault="00ED6156" w:rsidP="004B4AF6">
      <w:pPr>
        <w:spacing w:after="0"/>
        <w:jc w:val="both"/>
        <w:rPr>
          <w:rFonts w:ascii="Verdana" w:hAnsi="Verdana" w:cs="Arial"/>
          <w:sz w:val="20"/>
          <w:szCs w:val="20"/>
        </w:rPr>
      </w:pPr>
      <w:r w:rsidRPr="00ED6156">
        <w:rPr>
          <w:rFonts w:ascii="Verdana" w:hAnsi="Verdana" w:cs="Arial"/>
          <w:sz w:val="20"/>
          <w:szCs w:val="20"/>
        </w:rPr>
        <w:t>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w:t>
      </w:r>
      <w:r w:rsidR="004B4AF6">
        <w:rPr>
          <w:rFonts w:ascii="Verdana" w:hAnsi="Verdana" w:cs="Arial"/>
          <w:sz w:val="20"/>
          <w:szCs w:val="20"/>
        </w:rPr>
        <w:t xml:space="preserve"> </w:t>
      </w:r>
    </w:p>
    <w:p w14:paraId="1DC0F5B8" w14:textId="77777777" w:rsidR="004B4AF6" w:rsidRDefault="004B4AF6" w:rsidP="004B4AF6">
      <w:pPr>
        <w:spacing w:after="0"/>
        <w:jc w:val="both"/>
        <w:rPr>
          <w:rFonts w:ascii="Verdana" w:hAnsi="Verdana" w:cs="Arial"/>
          <w:sz w:val="20"/>
          <w:szCs w:val="20"/>
        </w:rPr>
      </w:pPr>
    </w:p>
    <w:p w14:paraId="6E02B0D7" w14:textId="122C07AF" w:rsidR="0068180E" w:rsidRDefault="004B4AF6" w:rsidP="004B4AF6">
      <w:pPr>
        <w:spacing w:after="0"/>
        <w:jc w:val="both"/>
        <w:rPr>
          <w:rFonts w:ascii="Verdana" w:hAnsi="Verdana" w:cs="Arial"/>
          <w:sz w:val="20"/>
          <w:szCs w:val="20"/>
        </w:rPr>
      </w:pPr>
      <w:r w:rsidRPr="004B4AF6">
        <w:rPr>
          <w:rFonts w:ascii="Verdana" w:hAnsi="Verdana" w:cs="Arial"/>
          <w:sz w:val="20"/>
          <w:szCs w:val="20"/>
        </w:rPr>
        <w:t>El numeral 3.10 del documento base de obra de infraestructura de transporte para procesos de licitación pública – Versión 3, establece como requisito habilitante la capacidad residual. En este documento tipo, al menos tres causales de rechazo del numeral 1.15 se relacionan con la capacidad residual como requisito habilitante, esto es, los literales E, H y Z.</w:t>
      </w:r>
    </w:p>
    <w:p w14:paraId="0E99B11B" w14:textId="77777777" w:rsidR="00CF0861" w:rsidRDefault="00CF0861" w:rsidP="004B4AF6">
      <w:pPr>
        <w:spacing w:after="0"/>
        <w:jc w:val="both"/>
        <w:rPr>
          <w:rFonts w:ascii="Verdana" w:hAnsi="Verdana" w:cs="Arial"/>
          <w:sz w:val="20"/>
          <w:szCs w:val="20"/>
        </w:rPr>
      </w:pPr>
    </w:p>
    <w:p w14:paraId="6D5861BB" w14:textId="77777777" w:rsidR="00CF0861" w:rsidRPr="0068180E" w:rsidRDefault="00CF0861" w:rsidP="004B4AF6">
      <w:pPr>
        <w:spacing w:after="0"/>
        <w:jc w:val="both"/>
        <w:rPr>
          <w:rFonts w:ascii="Verdana" w:hAnsi="Verdana"/>
          <w:lang w:val="es-ES"/>
        </w:rPr>
      </w:pPr>
    </w:p>
    <w:p w14:paraId="5CA8B308" w14:textId="10E11073" w:rsidR="0068180E" w:rsidRDefault="00CF0861" w:rsidP="00CF0861">
      <w:pPr>
        <w:spacing w:after="0"/>
        <w:jc w:val="both"/>
        <w:rPr>
          <w:rFonts w:ascii="Verdana" w:hAnsi="Verdana"/>
          <w:b/>
          <w:bCs/>
        </w:rPr>
      </w:pPr>
      <w:r w:rsidRPr="00CF0861">
        <w:rPr>
          <w:rFonts w:ascii="Verdana" w:hAnsi="Verdana"/>
          <w:b/>
          <w:bCs/>
        </w:rPr>
        <w:t>SALDOS DE CONTRATOS EN EJECUCIÓN – Requisito Habilitante – Subsanación Deber de reportar la totalidad de contratos</w:t>
      </w:r>
    </w:p>
    <w:p w14:paraId="42C491F4" w14:textId="77777777" w:rsidR="00CF0861" w:rsidRDefault="00CF0861" w:rsidP="00CF0861">
      <w:pPr>
        <w:spacing w:after="0"/>
        <w:jc w:val="both"/>
        <w:rPr>
          <w:rFonts w:ascii="Verdana" w:hAnsi="Verdana"/>
          <w:b/>
          <w:bCs/>
        </w:rPr>
      </w:pPr>
    </w:p>
    <w:p w14:paraId="0B7C9AD6" w14:textId="2535843D" w:rsidR="007A074D" w:rsidRPr="007A074D" w:rsidRDefault="007A074D" w:rsidP="007A074D">
      <w:pPr>
        <w:spacing w:after="0"/>
        <w:jc w:val="both"/>
        <w:rPr>
          <w:rFonts w:ascii="Verdana" w:hAnsi="Verdana"/>
        </w:rPr>
      </w:pPr>
      <w:r>
        <w:rPr>
          <w:rFonts w:ascii="Verdana" w:hAnsi="Verdana"/>
        </w:rPr>
        <w:t>L</w:t>
      </w:r>
      <w:r w:rsidRPr="007A074D">
        <w:rPr>
          <w:rFonts w:ascii="Verdana" w:hAnsi="Verdana"/>
        </w:rPr>
        <w:t>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464CAE87" w14:textId="77777777" w:rsidR="007A074D" w:rsidRPr="007A074D" w:rsidRDefault="007A074D" w:rsidP="007A074D">
      <w:pPr>
        <w:spacing w:after="0"/>
        <w:jc w:val="both"/>
        <w:rPr>
          <w:rFonts w:ascii="Verdana" w:hAnsi="Verdana"/>
        </w:rPr>
      </w:pPr>
    </w:p>
    <w:p w14:paraId="06D04005" w14:textId="77777777" w:rsidR="007A074D" w:rsidRPr="007A074D" w:rsidRDefault="007A074D" w:rsidP="007A074D">
      <w:pPr>
        <w:spacing w:after="0"/>
        <w:jc w:val="both"/>
        <w:rPr>
          <w:rFonts w:ascii="Verdana" w:hAnsi="Verdana"/>
        </w:rPr>
      </w:pPr>
      <w:r w:rsidRPr="007A074D">
        <w:rPr>
          <w:rFonts w:ascii="Verdana" w:hAnsi="Verdana"/>
        </w:rPr>
        <w:t xml:space="preserve">i) La causal del literal Z del numeral 1.15 solamente aplica cuando el proponente no informa todos los contratos que tiene en ejecución antes del cierre. Esto se traduce en un deber de cumplir con esta exigencia, sin tener en cuenta la </w:t>
      </w:r>
      <w:r w:rsidRPr="007A074D">
        <w:rPr>
          <w:rFonts w:ascii="Verdana" w:hAnsi="Verdana"/>
        </w:rPr>
        <w:lastRenderedPageBreak/>
        <w:t>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w:t>
      </w:r>
    </w:p>
    <w:p w14:paraId="7E34C486" w14:textId="77777777" w:rsidR="007A074D" w:rsidRPr="007A074D" w:rsidRDefault="007A074D" w:rsidP="007A074D">
      <w:pPr>
        <w:spacing w:after="0"/>
        <w:jc w:val="both"/>
        <w:rPr>
          <w:rFonts w:ascii="Verdana" w:hAnsi="Verdana"/>
        </w:rPr>
      </w:pPr>
    </w:p>
    <w:p w14:paraId="4964382C" w14:textId="77777777" w:rsidR="007A074D" w:rsidRPr="007A074D" w:rsidRDefault="007A074D" w:rsidP="007A074D">
      <w:pPr>
        <w:spacing w:after="0"/>
        <w:jc w:val="both"/>
        <w:rPr>
          <w:rFonts w:ascii="Verdana" w:hAnsi="Verdana"/>
        </w:rPr>
      </w:pPr>
      <w:r w:rsidRPr="007A074D">
        <w:rPr>
          <w:rFonts w:ascii="Verdana" w:hAnsi="Verdana"/>
        </w:rPr>
        <w:t xml:space="preserve">ii)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24CBD49D" w14:textId="77777777" w:rsidR="007A074D" w:rsidRPr="007A074D" w:rsidRDefault="007A074D" w:rsidP="007A074D">
      <w:pPr>
        <w:spacing w:after="0"/>
        <w:jc w:val="both"/>
        <w:rPr>
          <w:rFonts w:ascii="Verdana" w:hAnsi="Verdana"/>
        </w:rPr>
      </w:pPr>
    </w:p>
    <w:p w14:paraId="607EC2D9" w14:textId="3AA862B4" w:rsidR="0068180E" w:rsidRDefault="007A074D" w:rsidP="007A074D">
      <w:pPr>
        <w:spacing w:after="0"/>
        <w:jc w:val="both"/>
        <w:rPr>
          <w:rFonts w:ascii="Verdana" w:hAnsi="Verdana"/>
        </w:rPr>
      </w:pPr>
      <w:r w:rsidRPr="007A074D">
        <w:rPr>
          <w:rFonts w:ascii="Verdana" w:hAnsi="Verdana"/>
        </w:rPr>
        <w:t>iii)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14:paraId="4F783795" w14:textId="77777777" w:rsidR="0068180E" w:rsidRDefault="0068180E" w:rsidP="00E245AB">
      <w:pPr>
        <w:spacing w:after="0"/>
        <w:rPr>
          <w:rFonts w:ascii="Verdana" w:hAnsi="Verdana"/>
        </w:rPr>
      </w:pPr>
    </w:p>
    <w:p w14:paraId="61F85D7C" w14:textId="77777777" w:rsidR="0068180E" w:rsidRDefault="0068180E" w:rsidP="00E245AB">
      <w:pPr>
        <w:spacing w:after="0"/>
        <w:rPr>
          <w:rFonts w:ascii="Verdana" w:hAnsi="Verdana"/>
        </w:rPr>
      </w:pPr>
    </w:p>
    <w:p w14:paraId="4CB18476" w14:textId="77777777" w:rsidR="0068180E" w:rsidRDefault="0068180E" w:rsidP="00E245AB">
      <w:pPr>
        <w:spacing w:after="0"/>
        <w:rPr>
          <w:rFonts w:ascii="Verdana" w:hAnsi="Verdana"/>
        </w:rPr>
      </w:pPr>
    </w:p>
    <w:p w14:paraId="41EA5EE8" w14:textId="77777777" w:rsidR="0068180E" w:rsidRDefault="0068180E" w:rsidP="00E245AB">
      <w:pPr>
        <w:spacing w:after="0"/>
        <w:rPr>
          <w:rFonts w:ascii="Verdana" w:hAnsi="Verdana"/>
        </w:rPr>
      </w:pPr>
    </w:p>
    <w:p w14:paraId="752502FC" w14:textId="77777777" w:rsidR="0068180E" w:rsidRDefault="0068180E" w:rsidP="00E245AB">
      <w:pPr>
        <w:spacing w:after="0"/>
        <w:rPr>
          <w:rFonts w:ascii="Verdana" w:hAnsi="Verdana"/>
        </w:rPr>
      </w:pPr>
    </w:p>
    <w:p w14:paraId="4FE70291" w14:textId="77777777" w:rsidR="0068180E" w:rsidRDefault="0068180E" w:rsidP="00E245AB">
      <w:pPr>
        <w:spacing w:after="0"/>
        <w:rPr>
          <w:rFonts w:ascii="Verdana" w:hAnsi="Verdana"/>
        </w:rPr>
      </w:pPr>
    </w:p>
    <w:p w14:paraId="5EDF16FF" w14:textId="77777777" w:rsidR="0068180E" w:rsidRDefault="0068180E" w:rsidP="00E245AB">
      <w:pPr>
        <w:spacing w:after="0"/>
        <w:rPr>
          <w:rFonts w:ascii="Verdana" w:hAnsi="Verdana"/>
        </w:rPr>
      </w:pPr>
    </w:p>
    <w:p w14:paraId="2C18E87E" w14:textId="77777777" w:rsidR="0068180E" w:rsidRDefault="0068180E" w:rsidP="00E245AB">
      <w:pPr>
        <w:spacing w:after="0"/>
        <w:rPr>
          <w:rFonts w:ascii="Verdana" w:hAnsi="Verdana"/>
        </w:rPr>
      </w:pPr>
    </w:p>
    <w:p w14:paraId="44DEFFBE" w14:textId="77777777" w:rsidR="0068180E" w:rsidRDefault="0068180E" w:rsidP="00E245AB">
      <w:pPr>
        <w:spacing w:after="0"/>
        <w:rPr>
          <w:rFonts w:ascii="Verdana" w:hAnsi="Verdana"/>
        </w:rPr>
      </w:pPr>
    </w:p>
    <w:p w14:paraId="137C1C87" w14:textId="77777777" w:rsidR="0068180E" w:rsidRDefault="0068180E" w:rsidP="00E245AB">
      <w:pPr>
        <w:spacing w:after="0"/>
        <w:rPr>
          <w:rFonts w:ascii="Verdana" w:hAnsi="Verdana"/>
        </w:rPr>
      </w:pPr>
    </w:p>
    <w:p w14:paraId="2AA030F5" w14:textId="77777777" w:rsidR="0068180E" w:rsidRDefault="0068180E" w:rsidP="00E245AB">
      <w:pPr>
        <w:spacing w:after="0"/>
        <w:rPr>
          <w:rFonts w:ascii="Verdana" w:hAnsi="Verdana"/>
        </w:rPr>
      </w:pPr>
    </w:p>
    <w:p w14:paraId="5DC229D2" w14:textId="77777777" w:rsidR="0068180E" w:rsidRDefault="0068180E" w:rsidP="00E245AB">
      <w:pPr>
        <w:spacing w:after="0"/>
        <w:rPr>
          <w:rFonts w:ascii="Verdana" w:hAnsi="Verdana"/>
        </w:rPr>
      </w:pPr>
    </w:p>
    <w:p w14:paraId="1A794563" w14:textId="77777777" w:rsidR="0068180E" w:rsidRDefault="0068180E" w:rsidP="00E245AB">
      <w:pPr>
        <w:spacing w:after="0"/>
        <w:rPr>
          <w:rFonts w:ascii="Verdana" w:hAnsi="Verdana"/>
        </w:rPr>
      </w:pPr>
    </w:p>
    <w:p w14:paraId="59EF8C71" w14:textId="77777777" w:rsidR="0068180E" w:rsidRDefault="0068180E" w:rsidP="00E245AB">
      <w:pPr>
        <w:spacing w:after="0"/>
        <w:rPr>
          <w:rFonts w:ascii="Verdana" w:hAnsi="Verdana"/>
        </w:rPr>
      </w:pPr>
    </w:p>
    <w:p w14:paraId="4D3B43D3" w14:textId="77777777" w:rsidR="0068180E" w:rsidRDefault="0068180E" w:rsidP="00E245AB">
      <w:pPr>
        <w:spacing w:after="0"/>
        <w:rPr>
          <w:rFonts w:ascii="Verdana" w:hAnsi="Verdana"/>
        </w:rPr>
      </w:pPr>
    </w:p>
    <w:p w14:paraId="68F0B0A4" w14:textId="77777777" w:rsidR="007A074D" w:rsidRDefault="007A074D" w:rsidP="00E245AB">
      <w:pPr>
        <w:spacing w:after="0"/>
        <w:rPr>
          <w:rFonts w:ascii="Verdana" w:hAnsi="Verdana"/>
        </w:rPr>
      </w:pPr>
    </w:p>
    <w:p w14:paraId="6D5A7D34" w14:textId="77777777" w:rsidR="007A074D" w:rsidRDefault="007A074D" w:rsidP="00E245AB">
      <w:pPr>
        <w:spacing w:after="0"/>
        <w:rPr>
          <w:rFonts w:ascii="Verdana" w:hAnsi="Verdana"/>
        </w:rPr>
      </w:pPr>
    </w:p>
    <w:p w14:paraId="7382E091" w14:textId="77777777" w:rsidR="007A074D" w:rsidRDefault="007A074D" w:rsidP="00E245AB">
      <w:pPr>
        <w:spacing w:after="0"/>
        <w:rPr>
          <w:rFonts w:ascii="Verdana" w:hAnsi="Verdana"/>
        </w:rPr>
      </w:pPr>
    </w:p>
    <w:p w14:paraId="10BD8DBA" w14:textId="77777777" w:rsidR="007A074D" w:rsidRDefault="007A074D" w:rsidP="00E245AB">
      <w:pPr>
        <w:spacing w:after="0"/>
        <w:rPr>
          <w:rFonts w:ascii="Verdana" w:hAnsi="Verdana"/>
        </w:rPr>
      </w:pPr>
    </w:p>
    <w:p w14:paraId="77BC47EC" w14:textId="77777777" w:rsidR="0068180E" w:rsidRDefault="0068180E" w:rsidP="00E245AB">
      <w:pPr>
        <w:spacing w:after="0"/>
        <w:rPr>
          <w:rFonts w:ascii="Verdana" w:hAnsi="Verdana"/>
        </w:rPr>
      </w:pPr>
    </w:p>
    <w:p w14:paraId="23BE68BB" w14:textId="77777777" w:rsidR="0068180E" w:rsidRDefault="0068180E" w:rsidP="00E245AB">
      <w:pPr>
        <w:spacing w:after="0"/>
        <w:rPr>
          <w:rFonts w:ascii="Verdana" w:hAnsi="Verdana"/>
        </w:rPr>
      </w:pPr>
    </w:p>
    <w:p w14:paraId="45064CDF" w14:textId="77777777" w:rsidR="0068180E" w:rsidRDefault="0068180E" w:rsidP="00E245AB">
      <w:pPr>
        <w:spacing w:after="0"/>
        <w:rPr>
          <w:rFonts w:ascii="Verdana" w:hAnsi="Verdana"/>
        </w:rPr>
      </w:pPr>
    </w:p>
    <w:p w14:paraId="3FE2184B" w14:textId="0D99885A" w:rsidR="00E245AB" w:rsidRPr="0044528D" w:rsidRDefault="00E245AB" w:rsidP="00E245AB">
      <w:pPr>
        <w:spacing w:after="0"/>
        <w:rPr>
          <w:rFonts w:ascii="Verdana" w:hAnsi="Verdana"/>
        </w:rPr>
      </w:pPr>
      <w:r w:rsidRPr="0044528D">
        <w:rPr>
          <w:rFonts w:ascii="Verdana" w:hAnsi="Verdana"/>
        </w:rPr>
        <w:lastRenderedPageBreak/>
        <w:t xml:space="preserve">Bogotá D.C., </w:t>
      </w:r>
      <w:r w:rsidR="00891928" w:rsidRPr="0044528D">
        <w:rPr>
          <w:rFonts w:ascii="Verdana" w:hAnsi="Verdana"/>
        </w:rPr>
        <w:t>[Día] [Mes</w:t>
      </w:r>
      <w:r w:rsidR="00E413EA">
        <w:rPr>
          <w:rFonts w:ascii="Verdana" w:hAnsi="Verdana"/>
        </w:rPr>
        <w:t>.</w:t>
      </w:r>
      <w:r w:rsidR="00891928" w:rsidRPr="0044528D">
        <w:rPr>
          <w:rFonts w:ascii="Verdana" w:hAnsi="Verdana"/>
        </w:rPr>
        <w:t>NombreCapitalizado] [Año]</w:t>
      </w:r>
      <w:r w:rsidR="00891928" w:rsidRPr="0044528D">
        <w:rPr>
          <w:rFonts w:ascii="Verdana" w:hAnsi="Verdana"/>
        </w:rPr>
        <w:tab/>
      </w:r>
    </w:p>
    <w:p w14:paraId="5FCADBF9" w14:textId="77777777" w:rsidR="00E245AB" w:rsidRPr="0044528D" w:rsidRDefault="00E245AB" w:rsidP="00E245AB">
      <w:pPr>
        <w:spacing w:after="0"/>
        <w:rPr>
          <w:rFonts w:ascii="Verdana" w:hAnsi="Verdana"/>
        </w:rPr>
      </w:pPr>
    </w:p>
    <w:p w14:paraId="0465BA6D" w14:textId="77777777" w:rsidR="00E245AB" w:rsidRPr="0044528D" w:rsidRDefault="00E245AB" w:rsidP="00E245AB">
      <w:pPr>
        <w:spacing w:after="0"/>
        <w:rPr>
          <w:rFonts w:ascii="Verdana" w:hAnsi="Verdana"/>
        </w:rPr>
      </w:pPr>
    </w:p>
    <w:bookmarkEnd w:id="0"/>
    <w:p w14:paraId="2D4886FD" w14:textId="74EACE2F" w:rsidR="000B1909" w:rsidRPr="00B96799" w:rsidRDefault="000B1909" w:rsidP="000B1909">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526F6CBA" w14:textId="77777777" w:rsidR="000B1909" w:rsidRDefault="000B1909" w:rsidP="000B1909">
      <w:pPr>
        <w:contextualSpacing/>
        <w:jc w:val="both"/>
        <w:rPr>
          <w:rFonts w:ascii="Century Gothic" w:eastAsia="Calibri" w:hAnsi="Century Gothic" w:cs="Arial"/>
          <w:b/>
          <w:bCs/>
          <w:lang w:eastAsia="es-ES_tradnl"/>
        </w:rPr>
      </w:pPr>
      <w:r w:rsidRPr="000A7952">
        <w:rPr>
          <w:rFonts w:ascii="Century Gothic" w:eastAsia="Calibri" w:hAnsi="Century Gothic" w:cs="Arial"/>
          <w:b/>
          <w:bCs/>
          <w:lang w:eastAsia="es-ES_tradnl"/>
        </w:rPr>
        <w:t xml:space="preserve">ALEJANDRO ENRIQUE FIGUEROA POLO </w:t>
      </w:r>
    </w:p>
    <w:p w14:paraId="17AB0D17" w14:textId="77777777" w:rsidR="000B1909" w:rsidRPr="00576D50" w:rsidRDefault="00E161DF" w:rsidP="000B1909">
      <w:pPr>
        <w:contextualSpacing/>
        <w:jc w:val="both"/>
        <w:rPr>
          <w:rFonts w:ascii="Century Gothic" w:hAnsi="Century Gothic"/>
        </w:rPr>
      </w:pPr>
      <w:hyperlink r:id="rId10" w:history="1">
        <w:r w:rsidR="000B1909" w:rsidRPr="00576D50">
          <w:rPr>
            <w:rStyle w:val="Hipervnculo"/>
            <w:rFonts w:ascii="Century Gothic" w:hAnsi="Century Gothic"/>
          </w:rPr>
          <w:t>alejandrofigueroapolo@gmail.com</w:t>
        </w:r>
      </w:hyperlink>
    </w:p>
    <w:p w14:paraId="1821E5F4" w14:textId="77777777" w:rsidR="000B1909" w:rsidRPr="005B04FF" w:rsidRDefault="000B1909" w:rsidP="000B1909">
      <w:pPr>
        <w:contextualSpacing/>
        <w:jc w:val="both"/>
        <w:rPr>
          <w:rFonts w:ascii="Century Gothic" w:eastAsia="Calibri" w:hAnsi="Century Gothic" w:cs="Arial"/>
          <w:lang w:eastAsia="es-ES_tradnl"/>
        </w:rPr>
      </w:pPr>
      <w:r>
        <w:rPr>
          <w:rFonts w:ascii="Century Gothic" w:eastAsia="Geomanist Light" w:hAnsi="Century Gothic" w:cs="Arial"/>
          <w:color w:val="000000" w:themeColor="text1"/>
          <w:lang w:val="es-MX"/>
        </w:rPr>
        <w:t>Turbaco, Bolívar</w:t>
      </w:r>
    </w:p>
    <w:p w14:paraId="677F76C3" w14:textId="77777777" w:rsidR="000B1909" w:rsidRPr="00593A5F" w:rsidRDefault="000B1909" w:rsidP="000B1909">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B1909" w:rsidRPr="00593A5F" w14:paraId="7C14804E" w14:textId="77777777" w:rsidTr="004D00E9">
        <w:trPr>
          <w:trHeight w:val="884"/>
        </w:trPr>
        <w:tc>
          <w:tcPr>
            <w:tcW w:w="2689" w:type="dxa"/>
          </w:tcPr>
          <w:p w14:paraId="23CDC106" w14:textId="77777777" w:rsidR="000B1909" w:rsidRPr="00C00976" w:rsidRDefault="000B1909" w:rsidP="004D00E9">
            <w:pPr>
              <w:jc w:val="both"/>
              <w:rPr>
                <w:rFonts w:ascii="Verdana" w:eastAsia="Calibri" w:hAnsi="Verdana" w:cs="Arial"/>
                <w:b/>
                <w:bCs/>
                <w:color w:val="7030A0"/>
                <w:lang w:val="es-ES_tradnl" w:eastAsia="es-ES_tradnl"/>
              </w:rPr>
            </w:pPr>
          </w:p>
        </w:tc>
        <w:tc>
          <w:tcPr>
            <w:tcW w:w="6100" w:type="dxa"/>
          </w:tcPr>
          <w:p w14:paraId="2772D9A6" w14:textId="6EF4CF97" w:rsidR="000B1909" w:rsidRPr="00C00976" w:rsidRDefault="000B1909" w:rsidP="004D00E9">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 xml:space="preserve">Concepto C- </w:t>
            </w:r>
            <w:r w:rsidR="00B672CD" w:rsidRPr="006C2CDF">
              <w:rPr>
                <w:rFonts w:ascii="Verdana" w:eastAsia="Calibri" w:hAnsi="Verdana" w:cs="Arial"/>
                <w:b/>
                <w:bCs/>
                <w:lang w:val="es-ES" w:eastAsia="es-ES"/>
              </w:rPr>
              <w:t>342</w:t>
            </w:r>
            <w:r w:rsidRPr="006C2CDF">
              <w:rPr>
                <w:rFonts w:ascii="Verdana" w:eastAsia="Calibri" w:hAnsi="Verdana" w:cs="Arial"/>
                <w:b/>
                <w:bCs/>
                <w:lang w:val="es-ES" w:eastAsia="es-ES"/>
              </w:rPr>
              <w:t xml:space="preserve"> de 2024</w:t>
            </w:r>
          </w:p>
        </w:tc>
      </w:tr>
      <w:tr w:rsidR="000B1909" w:rsidRPr="00593A5F" w14:paraId="016E7BD9" w14:textId="77777777" w:rsidTr="004D00E9">
        <w:trPr>
          <w:trHeight w:val="884"/>
        </w:trPr>
        <w:tc>
          <w:tcPr>
            <w:tcW w:w="2689" w:type="dxa"/>
          </w:tcPr>
          <w:p w14:paraId="398B29B8" w14:textId="77777777" w:rsidR="000B1909" w:rsidRPr="00593A5F" w:rsidRDefault="000B1909" w:rsidP="004D00E9">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2ACC5B93" w14:textId="77777777" w:rsidR="000B1909" w:rsidRPr="00C834AD" w:rsidRDefault="000B1909" w:rsidP="004D00E9">
            <w:pPr>
              <w:spacing w:line="276" w:lineRule="auto"/>
              <w:jc w:val="both"/>
              <w:rPr>
                <w:rFonts w:ascii="Verdana" w:eastAsia="Calibri" w:hAnsi="Verdana" w:cs="Arial"/>
                <w:lang w:val="es-ES" w:eastAsia="es-ES"/>
              </w:rPr>
            </w:pPr>
            <w:r>
              <w:rPr>
                <w:rFonts w:ascii="Verdana" w:eastAsia="Calibri" w:hAnsi="Verdana" w:cs="Arial"/>
                <w:lang w:val="es-ES" w:eastAsia="es-ES"/>
              </w:rPr>
              <w:t>C</w:t>
            </w:r>
            <w:r w:rsidRPr="00487F52">
              <w:rPr>
                <w:rFonts w:ascii="Verdana" w:eastAsia="Calibri" w:hAnsi="Verdana" w:cs="Arial"/>
                <w:lang w:val="es-ES" w:eastAsia="es-ES"/>
              </w:rPr>
              <w:t>APACIDAD RESIDUAL</w:t>
            </w:r>
            <w:r w:rsidRPr="00C834AD">
              <w:rPr>
                <w:rFonts w:ascii="Verdana" w:eastAsia="Calibri" w:hAnsi="Verdana" w:cs="Arial"/>
                <w:lang w:val="es-ES" w:eastAsia="es-ES"/>
              </w:rPr>
              <w:t xml:space="preserve"> – Documentos Tipo</w:t>
            </w:r>
            <w:r>
              <w:rPr>
                <w:rFonts w:ascii="Verdana" w:eastAsia="Calibri" w:hAnsi="Verdana" w:cs="Arial"/>
                <w:lang w:val="es-ES" w:eastAsia="es-ES"/>
              </w:rPr>
              <w:t xml:space="preserve"> </w:t>
            </w:r>
            <w:r w:rsidRPr="00C834AD">
              <w:rPr>
                <w:rFonts w:ascii="Verdana" w:eastAsia="Calibri" w:hAnsi="Verdana" w:cs="Arial"/>
                <w:lang w:val="es-ES" w:eastAsia="es-ES"/>
              </w:rPr>
              <w:t>–</w:t>
            </w:r>
            <w:r>
              <w:rPr>
                <w:rFonts w:ascii="Verdana" w:eastAsia="Calibri" w:hAnsi="Verdana" w:cs="Arial"/>
                <w:lang w:val="es-ES" w:eastAsia="es-ES"/>
              </w:rPr>
              <w:t xml:space="preserve"> </w:t>
            </w:r>
            <w:r w:rsidRPr="00811FA4">
              <w:rPr>
                <w:rFonts w:ascii="Verdana" w:eastAsia="Calibri" w:hAnsi="Verdana" w:cs="Arial"/>
                <w:lang w:val="es-ES" w:eastAsia="es-ES"/>
              </w:rPr>
              <w:t>Causales de rechazo de la oferta</w:t>
            </w:r>
            <w:r>
              <w:rPr>
                <w:rFonts w:ascii="Verdana" w:eastAsia="Calibri" w:hAnsi="Verdana" w:cs="Arial"/>
                <w:lang w:val="es-ES" w:eastAsia="es-ES"/>
              </w:rPr>
              <w:t xml:space="preserve"> </w:t>
            </w:r>
            <w:r w:rsidRPr="00AD56A6">
              <w:rPr>
                <w:rFonts w:ascii="Verdana" w:eastAsia="Calibri" w:hAnsi="Verdana" w:cs="Arial"/>
                <w:lang w:val="es-ES" w:eastAsia="es-ES"/>
              </w:rPr>
              <w:t>/</w:t>
            </w:r>
            <w:r w:rsidRPr="00C834AD">
              <w:rPr>
                <w:rFonts w:ascii="Verdana" w:eastAsia="Calibri" w:hAnsi="Verdana" w:cs="Arial"/>
                <w:lang w:val="es-ES" w:eastAsia="es-ES"/>
              </w:rPr>
              <w:t xml:space="preserve"> </w:t>
            </w:r>
            <w:r>
              <w:rPr>
                <w:rFonts w:ascii="Verdana" w:eastAsia="Calibri" w:hAnsi="Verdana" w:cs="Arial"/>
                <w:lang w:val="es-ES" w:eastAsia="es-ES"/>
              </w:rPr>
              <w:t>SALDOS DE CONTRATOS EN EJECUCIÓN</w:t>
            </w:r>
            <w:r w:rsidRPr="00AD56A6">
              <w:rPr>
                <w:rFonts w:ascii="Verdana" w:eastAsia="Calibri" w:hAnsi="Verdana" w:cs="Arial"/>
                <w:lang w:val="es-ES" w:eastAsia="es-ES"/>
              </w:rPr>
              <w:t xml:space="preserve"> – Requisito Habilitante – Subsanación Deber de</w:t>
            </w:r>
            <w:r>
              <w:rPr>
                <w:rFonts w:ascii="Verdana" w:eastAsia="Calibri" w:hAnsi="Verdana" w:cs="Arial"/>
                <w:lang w:val="es-ES" w:eastAsia="es-ES"/>
              </w:rPr>
              <w:t xml:space="preserve"> </w:t>
            </w:r>
            <w:r w:rsidRPr="00AD56A6">
              <w:rPr>
                <w:rFonts w:ascii="Verdana" w:eastAsia="Calibri" w:hAnsi="Verdana" w:cs="Arial"/>
                <w:lang w:val="es-ES" w:eastAsia="es-ES"/>
              </w:rPr>
              <w:t>reportar la totalidad de contratos</w:t>
            </w:r>
          </w:p>
          <w:p w14:paraId="7CE1E72C" w14:textId="77777777" w:rsidR="000B1909" w:rsidRPr="00593A5F" w:rsidRDefault="000B1909" w:rsidP="004D00E9">
            <w:pPr>
              <w:spacing w:line="276" w:lineRule="auto"/>
              <w:jc w:val="both"/>
              <w:rPr>
                <w:rFonts w:ascii="Verdana" w:eastAsia="Calibri" w:hAnsi="Verdana" w:cs="Arial"/>
                <w:lang w:val="es-ES" w:eastAsia="es-ES"/>
              </w:rPr>
            </w:pPr>
          </w:p>
        </w:tc>
      </w:tr>
      <w:tr w:rsidR="000B1909" w:rsidRPr="00E3538A" w14:paraId="3F730D0E" w14:textId="77777777" w:rsidTr="004D00E9">
        <w:tc>
          <w:tcPr>
            <w:tcW w:w="2689" w:type="dxa"/>
          </w:tcPr>
          <w:p w14:paraId="0691E6DD" w14:textId="77777777" w:rsidR="000B1909" w:rsidRPr="00E3538A" w:rsidRDefault="000B1909" w:rsidP="004D00E9">
            <w:pPr>
              <w:jc w:val="both"/>
              <w:rPr>
                <w:rFonts w:ascii="Verdana" w:eastAsia="Calibri" w:hAnsi="Verdana" w:cs="Arial"/>
                <w:b/>
                <w:lang w:val="es-ES_tradnl" w:eastAsia="es-ES_tradnl"/>
              </w:rPr>
            </w:pPr>
            <w:r w:rsidRPr="00E3538A">
              <w:rPr>
                <w:rFonts w:ascii="Verdana" w:eastAsia="Calibri" w:hAnsi="Verdana" w:cs="Arial"/>
                <w:b/>
                <w:lang w:val="es-ES_tradnl" w:eastAsia="es-ES_tradnl"/>
              </w:rPr>
              <w:t>Radicación:</w:t>
            </w:r>
            <w:r w:rsidRPr="00E3538A">
              <w:rPr>
                <w:rFonts w:ascii="Verdana" w:eastAsia="Calibri" w:hAnsi="Verdana" w:cs="Arial"/>
                <w:lang w:val="es-ES_tradnl" w:eastAsia="es-ES_tradnl"/>
              </w:rPr>
              <w:t xml:space="preserve">               </w:t>
            </w:r>
          </w:p>
        </w:tc>
        <w:tc>
          <w:tcPr>
            <w:tcW w:w="6100" w:type="dxa"/>
          </w:tcPr>
          <w:p w14:paraId="26525426" w14:textId="77777777" w:rsidR="000B1909" w:rsidRPr="00E3538A" w:rsidRDefault="000B1909" w:rsidP="004D00E9">
            <w:pPr>
              <w:jc w:val="both"/>
              <w:rPr>
                <w:rFonts w:ascii="Verdana" w:eastAsia="Calibri" w:hAnsi="Verdana" w:cs="Arial"/>
                <w:lang w:val="es-ES_tradnl" w:eastAsia="es-ES_tradnl"/>
              </w:rPr>
            </w:pPr>
            <w:r w:rsidRPr="00E3538A">
              <w:rPr>
                <w:rFonts w:ascii="Verdana" w:eastAsia="Calibri" w:hAnsi="Verdana" w:cs="Arial"/>
                <w:lang w:val="es-ES_tradnl" w:eastAsia="es-ES_tradnl"/>
              </w:rPr>
              <w:t xml:space="preserve">Respuesta a consulta con radicado No. </w:t>
            </w:r>
            <w:r w:rsidRPr="00E3538A">
              <w:t xml:space="preserve"> </w:t>
            </w:r>
            <w:r w:rsidRPr="00E3538A">
              <w:rPr>
                <w:rFonts w:ascii="Verdana" w:eastAsia="Calibri" w:hAnsi="Verdana" w:cs="Arial"/>
                <w:lang w:val="es-ES_tradnl" w:eastAsia="es-ES_tradnl"/>
              </w:rPr>
              <w:t>P20240716007217</w:t>
            </w:r>
          </w:p>
        </w:tc>
      </w:tr>
    </w:tbl>
    <w:p w14:paraId="3BC8A512" w14:textId="77777777" w:rsidR="000B1909" w:rsidRPr="00593A5F" w:rsidRDefault="000B1909" w:rsidP="000B1909">
      <w:pPr>
        <w:spacing w:after="0" w:line="240" w:lineRule="auto"/>
        <w:jc w:val="both"/>
        <w:rPr>
          <w:rFonts w:ascii="Verdana" w:eastAsia="Calibri" w:hAnsi="Verdana" w:cs="Arial"/>
          <w:color w:val="000000"/>
          <w:lang w:val="es-ES_tradnl" w:eastAsia="es-ES_tradnl"/>
        </w:rPr>
      </w:pPr>
    </w:p>
    <w:p w14:paraId="1B717091" w14:textId="77777777" w:rsidR="000B1909" w:rsidRPr="00CF3E27" w:rsidRDefault="000B1909" w:rsidP="000B1909">
      <w:pPr>
        <w:spacing w:after="0" w:line="240" w:lineRule="auto"/>
        <w:jc w:val="both"/>
        <w:rPr>
          <w:rFonts w:ascii="Verdana" w:eastAsia="Calibri" w:hAnsi="Verdana" w:cs="Arial"/>
          <w:lang w:val="es-ES_tradnl" w:eastAsia="es-ES_tradnl"/>
        </w:rPr>
      </w:pPr>
    </w:p>
    <w:p w14:paraId="69F83A06" w14:textId="77777777" w:rsidR="000B1909" w:rsidRDefault="000B1909" w:rsidP="000B1909">
      <w:pPr>
        <w:spacing w:after="0" w:line="276" w:lineRule="auto"/>
        <w:jc w:val="both"/>
        <w:rPr>
          <w:rFonts w:ascii="Verdana" w:eastAsia="Calibri" w:hAnsi="Verdana" w:cs="Arial"/>
          <w:lang w:val="es-ES" w:eastAsia="es-ES"/>
        </w:rPr>
      </w:pPr>
    </w:p>
    <w:p w14:paraId="72D6DFBA" w14:textId="77777777" w:rsidR="000B1909" w:rsidRPr="00CF3E27" w:rsidRDefault="000B1909" w:rsidP="000B1909">
      <w:pPr>
        <w:spacing w:after="0" w:line="276" w:lineRule="auto"/>
        <w:jc w:val="both"/>
        <w:rPr>
          <w:rFonts w:ascii="Verdana" w:eastAsia="Calibri" w:hAnsi="Verdana" w:cs="Arial"/>
          <w:lang w:val="es-ES" w:eastAsia="es-ES"/>
        </w:rPr>
      </w:pPr>
      <w:r w:rsidRPr="00CF3E27">
        <w:rPr>
          <w:rFonts w:ascii="Verdana" w:eastAsia="Calibri" w:hAnsi="Verdana" w:cs="Arial"/>
          <w:lang w:val="es-ES" w:eastAsia="es-ES"/>
        </w:rPr>
        <w:t xml:space="preserve">Estimado señor Figueroa: </w:t>
      </w:r>
    </w:p>
    <w:p w14:paraId="3851E3D3" w14:textId="77777777" w:rsidR="000B1909" w:rsidRDefault="000B1909" w:rsidP="000B1909">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389DD5DE" w14:textId="77777777" w:rsidR="000B1909" w:rsidRPr="00593A5F" w:rsidRDefault="000B1909" w:rsidP="000B1909">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w:t>
      </w:r>
      <w:r w:rsidRPr="00BB0F52">
        <w:rPr>
          <w:rFonts w:ascii="Verdana" w:eastAsia="Calibri" w:hAnsi="Verdana" w:cs="Arial"/>
          <w:color w:val="000000" w:themeColor="text1"/>
          <w:lang w:val="es-ES" w:eastAsia="es-ES"/>
        </w:rPr>
        <w:t>responde su solicitud de consulta de fecha 16 de julio del 2024, donde pregunta lo siguiente</w:t>
      </w:r>
      <w:r>
        <w:rPr>
          <w:rFonts w:ascii="Verdana" w:eastAsia="Calibri" w:hAnsi="Verdana" w:cs="Arial"/>
          <w:color w:val="000000" w:themeColor="text1"/>
          <w:lang w:val="es-ES" w:eastAsia="es-ES"/>
        </w:rPr>
        <w:t xml:space="preserve">: </w:t>
      </w:r>
    </w:p>
    <w:p w14:paraId="1A2272AD" w14:textId="77777777" w:rsidR="000B1909" w:rsidRPr="00272A7B" w:rsidRDefault="000B1909" w:rsidP="000B1909">
      <w:pPr>
        <w:pStyle w:val="Prrafodelista"/>
        <w:tabs>
          <w:tab w:val="left" w:pos="142"/>
          <w:tab w:val="left" w:pos="284"/>
        </w:tabs>
        <w:spacing w:line="276" w:lineRule="auto"/>
        <w:ind w:left="0"/>
        <w:jc w:val="both"/>
        <w:rPr>
          <w:rFonts w:ascii="Verdana" w:eastAsia="Century Gothic" w:hAnsi="Verdana" w:cs="Century Gothic"/>
          <w:b/>
          <w:bCs/>
        </w:rPr>
      </w:pPr>
    </w:p>
    <w:p w14:paraId="36962633" w14:textId="77777777" w:rsidR="000B1909" w:rsidRDefault="000B1909" w:rsidP="000B1909">
      <w:pPr>
        <w:spacing w:after="0" w:line="240" w:lineRule="auto"/>
        <w:ind w:left="709" w:right="709"/>
        <w:jc w:val="both"/>
        <w:rPr>
          <w:rFonts w:ascii="Verdana" w:eastAsia="Century Gothic" w:hAnsi="Verdana" w:cs="Century Gothic"/>
          <w:sz w:val="20"/>
          <w:szCs w:val="20"/>
          <w:lang w:val="es-ES"/>
        </w:rPr>
      </w:pPr>
      <w:bookmarkStart w:id="1" w:name="_Hlk95313578"/>
      <w:r w:rsidRPr="00F9146E">
        <w:rPr>
          <w:rFonts w:ascii="Verdana" w:eastAsia="Century Gothic" w:hAnsi="Verdana" w:cs="Century Gothic"/>
          <w:sz w:val="20"/>
          <w:szCs w:val="20"/>
          <w:lang w:val="es-ES"/>
        </w:rPr>
        <w:t>“Como miembro de Comité evaluador en el componente financiero, se han presentado algunas situaciones que frente a la interpretación de las causales de rechazo, en especial, la referida a la capacidad residual se han tornado en un alto grado de dificultad, y en aras de garantizar prerrogativas superiores de los oferentes han sido interpretadas a su favor.</w:t>
      </w:r>
    </w:p>
    <w:p w14:paraId="394433B7" w14:textId="77777777" w:rsidR="000B1909" w:rsidRPr="00F9146E" w:rsidRDefault="000B1909" w:rsidP="000B1909">
      <w:pPr>
        <w:spacing w:after="0" w:line="240" w:lineRule="auto"/>
        <w:ind w:left="709" w:right="709"/>
        <w:jc w:val="both"/>
        <w:rPr>
          <w:rFonts w:ascii="Verdana" w:eastAsia="Century Gothic" w:hAnsi="Verdana" w:cs="Century Gothic"/>
          <w:sz w:val="20"/>
          <w:szCs w:val="20"/>
          <w:lang w:val="es-ES"/>
        </w:rPr>
      </w:pPr>
    </w:p>
    <w:p w14:paraId="0880CE5F" w14:textId="77777777" w:rsidR="000B1909" w:rsidRPr="00F9146E" w:rsidRDefault="000B1909" w:rsidP="000B1909">
      <w:pPr>
        <w:spacing w:after="0" w:line="240" w:lineRule="auto"/>
        <w:ind w:left="709" w:right="709"/>
        <w:jc w:val="both"/>
        <w:rPr>
          <w:rFonts w:ascii="Verdana" w:eastAsia="Century Gothic" w:hAnsi="Verdana" w:cs="Century Gothic"/>
          <w:sz w:val="20"/>
          <w:szCs w:val="20"/>
          <w:lang w:val="es-ES"/>
        </w:rPr>
      </w:pPr>
      <w:r w:rsidRPr="00F9146E">
        <w:rPr>
          <w:rFonts w:ascii="Verdana" w:eastAsia="Century Gothic" w:hAnsi="Verdana" w:cs="Century Gothic"/>
          <w:sz w:val="20"/>
          <w:szCs w:val="20"/>
          <w:lang w:val="es-ES"/>
        </w:rPr>
        <w:t>Por tal motivo, me veo motivado a elevar la presente consulta, de conformidad a las causales de rechazo de los Documentos Tipo, en especial, la al tenor general dicta «No informar todos los contratos que el proponente tenga en ejecución antes del cierre, necesarios para acreditar su capacidad residual conforme a la sección 3.10», se pregunta:</w:t>
      </w:r>
    </w:p>
    <w:p w14:paraId="5079D2A6" w14:textId="77777777" w:rsidR="000B1909" w:rsidRPr="00F9146E" w:rsidRDefault="000B1909" w:rsidP="000B1909">
      <w:pPr>
        <w:spacing w:after="0" w:line="240" w:lineRule="auto"/>
        <w:ind w:left="709" w:right="709"/>
        <w:jc w:val="both"/>
        <w:rPr>
          <w:rFonts w:ascii="Verdana" w:eastAsia="Century Gothic" w:hAnsi="Verdana" w:cs="Century Gothic"/>
          <w:sz w:val="20"/>
          <w:szCs w:val="20"/>
          <w:lang w:val="es-ES"/>
        </w:rPr>
      </w:pPr>
    </w:p>
    <w:p w14:paraId="6C9316B9" w14:textId="77777777" w:rsidR="000B1909" w:rsidRDefault="000B1909" w:rsidP="000B1909">
      <w:pPr>
        <w:spacing w:after="0" w:line="240" w:lineRule="auto"/>
        <w:ind w:left="709" w:right="709"/>
        <w:jc w:val="both"/>
        <w:rPr>
          <w:rStyle w:val="normaltextrun"/>
          <w:rFonts w:ascii="Verdana" w:hAnsi="Verdana" w:cs="Arial"/>
          <w:sz w:val="20"/>
          <w:szCs w:val="20"/>
          <w:shd w:val="clear" w:color="auto" w:fill="FFFFFF"/>
          <w:lang w:val="es-ES"/>
        </w:rPr>
      </w:pPr>
      <w:r w:rsidRPr="00F9146E">
        <w:rPr>
          <w:rStyle w:val="normaltextrun"/>
          <w:rFonts w:ascii="Verdana" w:hAnsi="Verdana" w:cs="Arial"/>
          <w:sz w:val="20"/>
          <w:szCs w:val="20"/>
          <w:shd w:val="clear" w:color="auto" w:fill="FFFFFF"/>
          <w:lang w:val="es-ES"/>
        </w:rPr>
        <w:t>1. ¿Si un proponente NO allega junto con su propuesta inicial el formato 5C relativo al Saldos de Contratos en Ejecución, y en el término de traslado lo subsana, esta acción debe ser atendida sin excluirlo de la respectiva selección, o en su defecto al constatarse que sí tenía contratos en ejecución, debe ser rechazado su ofrecimiento?</w:t>
      </w:r>
    </w:p>
    <w:p w14:paraId="61DBB10A" w14:textId="77777777" w:rsidR="000B1909" w:rsidRPr="00F9146E" w:rsidRDefault="000B1909" w:rsidP="000B1909">
      <w:pPr>
        <w:spacing w:after="0" w:line="240" w:lineRule="auto"/>
        <w:ind w:left="709" w:right="709"/>
        <w:jc w:val="both"/>
        <w:rPr>
          <w:rStyle w:val="normaltextrun"/>
          <w:rFonts w:ascii="Verdana" w:hAnsi="Verdana" w:cs="Arial"/>
          <w:sz w:val="20"/>
          <w:szCs w:val="20"/>
          <w:shd w:val="clear" w:color="auto" w:fill="FFFFFF"/>
          <w:lang w:val="es-ES"/>
        </w:rPr>
      </w:pPr>
    </w:p>
    <w:p w14:paraId="4423B3F6" w14:textId="77777777" w:rsidR="000B1909" w:rsidRDefault="000B1909" w:rsidP="000B1909">
      <w:pPr>
        <w:spacing w:after="0" w:line="240" w:lineRule="auto"/>
        <w:ind w:left="709" w:right="709"/>
        <w:jc w:val="both"/>
        <w:rPr>
          <w:rStyle w:val="normaltextrun"/>
          <w:rFonts w:ascii="Verdana" w:hAnsi="Verdana" w:cs="Arial"/>
          <w:sz w:val="20"/>
          <w:szCs w:val="20"/>
          <w:shd w:val="clear" w:color="auto" w:fill="FFFFFF"/>
          <w:lang w:val="es-ES"/>
        </w:rPr>
      </w:pPr>
      <w:r w:rsidRPr="00F9146E">
        <w:rPr>
          <w:rStyle w:val="normaltextrun"/>
          <w:rFonts w:ascii="Verdana" w:hAnsi="Verdana" w:cs="Arial"/>
          <w:sz w:val="20"/>
          <w:szCs w:val="20"/>
          <w:shd w:val="clear" w:color="auto" w:fill="FFFFFF"/>
          <w:lang w:val="es-ES"/>
        </w:rPr>
        <w:t>2. ¿Si un proponente allega el formato 5C relativo al Saldos de Contratos en Ejecución junto con su propuesta inicial, pero en el término del traslado para subsanar este lo subsana e incluye un contrato en ejecución que inicialmente no había reportado, sin que la Entidad u otro oferente advierta que no lo informó, aquello debe ser rechazado de forma inmediata, o debe aceptarse su subsanación?</w:t>
      </w:r>
    </w:p>
    <w:p w14:paraId="28BBAA5A" w14:textId="77777777" w:rsidR="000B1909" w:rsidRPr="00F9146E" w:rsidRDefault="000B1909" w:rsidP="000B1909">
      <w:pPr>
        <w:spacing w:after="0" w:line="240" w:lineRule="auto"/>
        <w:ind w:left="709" w:right="709"/>
        <w:jc w:val="both"/>
        <w:rPr>
          <w:rStyle w:val="normaltextrun"/>
          <w:rFonts w:ascii="Verdana" w:hAnsi="Verdana" w:cs="Arial"/>
          <w:sz w:val="20"/>
          <w:szCs w:val="20"/>
          <w:shd w:val="clear" w:color="auto" w:fill="FFFFFF"/>
          <w:lang w:val="es-ES"/>
        </w:rPr>
      </w:pPr>
    </w:p>
    <w:p w14:paraId="42830B33" w14:textId="77777777" w:rsidR="000B1909" w:rsidRPr="00F9146E" w:rsidRDefault="000B1909" w:rsidP="000B1909">
      <w:pPr>
        <w:spacing w:after="0" w:line="240" w:lineRule="auto"/>
        <w:ind w:left="709" w:right="709"/>
        <w:jc w:val="both"/>
        <w:rPr>
          <w:rFonts w:ascii="Verdana" w:eastAsia="Century Gothic" w:hAnsi="Verdana" w:cs="Century Gothic"/>
          <w:sz w:val="20"/>
          <w:szCs w:val="20"/>
          <w:lang w:val="es-ES"/>
        </w:rPr>
      </w:pPr>
      <w:r w:rsidRPr="00F9146E">
        <w:rPr>
          <w:rStyle w:val="normaltextrun"/>
          <w:rFonts w:ascii="Verdana" w:hAnsi="Verdana" w:cs="Arial"/>
          <w:sz w:val="20"/>
          <w:szCs w:val="20"/>
          <w:shd w:val="clear" w:color="auto" w:fill="FFFFFF"/>
          <w:lang w:val="es-ES"/>
        </w:rPr>
        <w:t>3. Solicito se aclare el alcance de la expresión «No se entenderán como contratos en ejecución los que se encuentren en liquidación.» a efectos de la aplicación de la causal de rechazo precitada”.</w:t>
      </w:r>
      <w:bookmarkEnd w:id="1"/>
    </w:p>
    <w:p w14:paraId="38516876" w14:textId="77777777" w:rsidR="000B1909" w:rsidRPr="00593A5F" w:rsidRDefault="000B1909" w:rsidP="000B1909">
      <w:pPr>
        <w:pStyle w:val="Prrafodelista"/>
        <w:tabs>
          <w:tab w:val="left" w:pos="142"/>
          <w:tab w:val="left" w:pos="284"/>
        </w:tabs>
        <w:spacing w:line="276" w:lineRule="auto"/>
        <w:ind w:left="0"/>
        <w:jc w:val="both"/>
        <w:rPr>
          <w:rFonts w:ascii="Verdana" w:eastAsia="Century Gothic" w:hAnsi="Verdana" w:cs="Century Gothic"/>
          <w:b/>
          <w:bCs/>
        </w:rPr>
      </w:pPr>
    </w:p>
    <w:p w14:paraId="262154E7" w14:textId="77777777" w:rsidR="000B1909" w:rsidRDefault="000B1909" w:rsidP="000B190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7C2FA2E" w14:textId="77777777" w:rsidR="000B1909" w:rsidRDefault="000B1909" w:rsidP="000B190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los problemas</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jurídicos</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3E04B5DD" w14:textId="77777777" w:rsidR="000B1909" w:rsidRPr="00593A5F" w:rsidRDefault="000B1909" w:rsidP="000B1909">
      <w:pPr>
        <w:spacing w:after="0" w:line="276" w:lineRule="auto"/>
        <w:ind w:firstLine="709"/>
        <w:jc w:val="both"/>
        <w:rPr>
          <w:rFonts w:ascii="Verdana" w:eastAsia="Calibri" w:hAnsi="Verdana" w:cs="Arial"/>
          <w:color w:val="000000"/>
          <w:lang w:val="es-ES" w:eastAsia="es-ES"/>
        </w:rPr>
      </w:pPr>
    </w:p>
    <w:p w14:paraId="55C1C27D" w14:textId="77777777" w:rsidR="000B1909" w:rsidRPr="00593A5F" w:rsidRDefault="000B1909" w:rsidP="000B190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054F2223" w14:textId="77777777" w:rsidR="000B1909" w:rsidRPr="00593A5F" w:rsidRDefault="000B1909" w:rsidP="000B1909">
      <w:pPr>
        <w:tabs>
          <w:tab w:val="left" w:pos="426"/>
        </w:tabs>
        <w:spacing w:after="0" w:line="276" w:lineRule="auto"/>
        <w:jc w:val="both"/>
        <w:rPr>
          <w:rFonts w:ascii="Verdana" w:eastAsia="Century Gothic" w:hAnsi="Verdana" w:cs="Century Gothic"/>
          <w:lang w:val="es-ES"/>
        </w:rPr>
      </w:pPr>
    </w:p>
    <w:p w14:paraId="47DD3B55" w14:textId="77777777" w:rsidR="000B1909" w:rsidRPr="00593A5F" w:rsidRDefault="000B1909" w:rsidP="000B1909">
      <w:pPr>
        <w:spacing w:after="0" w:line="276" w:lineRule="auto"/>
        <w:jc w:val="both"/>
        <w:rPr>
          <w:rFonts w:ascii="Verdana" w:eastAsia="Century Gothic" w:hAnsi="Verdana" w:cs="Century Gothic"/>
        </w:rPr>
      </w:pPr>
      <w:r w:rsidRPr="00164D75">
        <w:rPr>
          <w:rFonts w:ascii="Verdana" w:eastAsia="Century Gothic" w:hAnsi="Verdana" w:cs="Century Gothic"/>
        </w:rPr>
        <w:t>De acuerdo con el contenido de su solicitud, esta Agencia resolverá los siguientes problemas jurídicos: ¿</w:t>
      </w:r>
      <w:r>
        <w:rPr>
          <w:rFonts w:ascii="Verdana" w:eastAsia="Century Gothic" w:hAnsi="Verdana" w:cs="Century Gothic"/>
        </w:rPr>
        <w:t>E</w:t>
      </w:r>
      <w:r w:rsidRPr="00164D75">
        <w:rPr>
          <w:rFonts w:ascii="Verdana" w:eastAsia="Century Gothic" w:hAnsi="Verdana" w:cs="Century Gothic"/>
        </w:rPr>
        <w:t xml:space="preserve">l formato </w:t>
      </w:r>
      <w:r>
        <w:rPr>
          <w:rFonts w:ascii="Verdana" w:eastAsia="Century Gothic" w:hAnsi="Verdana" w:cs="Century Gothic"/>
        </w:rPr>
        <w:t>“</w:t>
      </w:r>
      <w:r w:rsidRPr="00164D75">
        <w:rPr>
          <w:rFonts w:ascii="Verdana" w:eastAsia="Century Gothic" w:hAnsi="Verdana" w:cs="Century Gothic"/>
        </w:rPr>
        <w:t xml:space="preserve">5C </w:t>
      </w:r>
      <w:r>
        <w:rPr>
          <w:rFonts w:ascii="Verdana" w:eastAsia="Century Gothic" w:hAnsi="Verdana" w:cs="Century Gothic"/>
        </w:rPr>
        <w:t xml:space="preserve">- </w:t>
      </w:r>
      <w:r w:rsidRPr="00164D75">
        <w:rPr>
          <w:rFonts w:ascii="Verdana" w:eastAsia="Century Gothic" w:hAnsi="Verdana" w:cs="Century Gothic"/>
        </w:rPr>
        <w:t>Saldos de Contratos</w:t>
      </w:r>
      <w:r>
        <w:rPr>
          <w:rFonts w:ascii="Verdana" w:eastAsia="Century Gothic" w:hAnsi="Verdana" w:cs="Century Gothic"/>
        </w:rPr>
        <w:t xml:space="preserve"> en Ejecución” </w:t>
      </w:r>
      <w:r>
        <w:rPr>
          <w:rFonts w:ascii="Verdana" w:eastAsia="Century Gothic" w:hAnsi="Verdana" w:cs="Century Gothic"/>
        </w:rPr>
        <w:lastRenderedPageBreak/>
        <w:t xml:space="preserve">corresponde a un requisito habilitante que puede ser subsanado y remitido por el proponente a más tardar </w:t>
      </w:r>
      <w:r w:rsidRPr="00CF677A">
        <w:rPr>
          <w:rFonts w:ascii="Verdana" w:eastAsia="Century Gothic" w:hAnsi="Verdana" w:cs="Century Gothic"/>
        </w:rPr>
        <w:t>hasta el término de traslado del informe de</w:t>
      </w:r>
      <w:r>
        <w:rPr>
          <w:rFonts w:ascii="Verdana" w:eastAsia="Century Gothic" w:hAnsi="Verdana" w:cs="Century Gothic"/>
        </w:rPr>
        <w:t xml:space="preserve"> </w:t>
      </w:r>
      <w:r w:rsidRPr="00CF677A">
        <w:rPr>
          <w:rFonts w:ascii="Verdana" w:eastAsia="Century Gothic" w:hAnsi="Verdana" w:cs="Century Gothic"/>
        </w:rPr>
        <w:t>evaluación</w:t>
      </w:r>
      <w:r w:rsidRPr="00164D75">
        <w:rPr>
          <w:rFonts w:ascii="Verdana" w:eastAsia="Century Gothic" w:hAnsi="Verdana" w:cs="Century Gothic"/>
        </w:rPr>
        <w:t xml:space="preserve">? </w:t>
      </w:r>
      <w:r>
        <w:rPr>
          <w:rFonts w:ascii="Verdana" w:eastAsia="Century Gothic" w:hAnsi="Verdana" w:cs="Century Gothic"/>
        </w:rPr>
        <w:t>¿Durante el término de traslado del informe preliminar de evaluación, el proponente puede incluir información de contratos adicionales en el formato “</w:t>
      </w:r>
      <w:r w:rsidRPr="00164D75">
        <w:rPr>
          <w:rFonts w:ascii="Verdana" w:eastAsia="Century Gothic" w:hAnsi="Verdana" w:cs="Century Gothic"/>
        </w:rPr>
        <w:t xml:space="preserve">5C </w:t>
      </w:r>
      <w:r>
        <w:rPr>
          <w:rFonts w:ascii="Verdana" w:eastAsia="Century Gothic" w:hAnsi="Verdana" w:cs="Century Gothic"/>
        </w:rPr>
        <w:t xml:space="preserve">- </w:t>
      </w:r>
      <w:r w:rsidRPr="00164D75">
        <w:rPr>
          <w:rFonts w:ascii="Verdana" w:eastAsia="Century Gothic" w:hAnsi="Verdana" w:cs="Century Gothic"/>
        </w:rPr>
        <w:t>Saldos de Contratos</w:t>
      </w:r>
      <w:r>
        <w:rPr>
          <w:rFonts w:ascii="Verdana" w:eastAsia="Century Gothic" w:hAnsi="Verdana" w:cs="Century Gothic"/>
        </w:rPr>
        <w:t xml:space="preserve"> en Ejecución”? ¿Los contratos en proceso de liquidación afectan la capacidad residual del proponente?</w:t>
      </w:r>
    </w:p>
    <w:p w14:paraId="0D3A0293" w14:textId="77777777" w:rsidR="000B1909" w:rsidRPr="00593A5F" w:rsidRDefault="000B1909" w:rsidP="000B1909">
      <w:pPr>
        <w:spacing w:after="0" w:line="276" w:lineRule="auto"/>
        <w:jc w:val="both"/>
        <w:rPr>
          <w:rFonts w:ascii="Verdana" w:eastAsia="Calibri" w:hAnsi="Verdana" w:cs="Arial"/>
          <w:color w:val="7030A0"/>
          <w:lang w:val="es-ES"/>
        </w:rPr>
      </w:pPr>
    </w:p>
    <w:p w14:paraId="05817AF3" w14:textId="77777777" w:rsidR="000B1909" w:rsidRPr="00593A5F" w:rsidRDefault="000B1909" w:rsidP="000B190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535682EF" w14:textId="77777777" w:rsidR="000B1909" w:rsidRPr="00593A5F" w:rsidRDefault="000B1909" w:rsidP="000B190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B1909" w:rsidRPr="00593A5F" w14:paraId="36B6EAFF" w14:textId="77777777" w:rsidTr="004D00E9">
        <w:trPr>
          <w:trHeight w:val="1824"/>
        </w:trPr>
        <w:tc>
          <w:tcPr>
            <w:tcW w:w="8828" w:type="dxa"/>
            <w:shd w:val="clear" w:color="auto" w:fill="auto"/>
          </w:tcPr>
          <w:p w14:paraId="38E9EFAE" w14:textId="77777777" w:rsidR="000B1909" w:rsidRPr="00A24DED" w:rsidRDefault="000B1909" w:rsidP="004D00E9">
            <w:pPr>
              <w:spacing w:line="276" w:lineRule="auto"/>
              <w:jc w:val="both"/>
              <w:rPr>
                <w:rFonts w:ascii="Verdana" w:eastAsia="Calibri" w:hAnsi="Verdana" w:cs="Arial"/>
                <w:lang w:val="es-ES"/>
              </w:rPr>
            </w:pPr>
            <w:r w:rsidRPr="00A24DED">
              <w:rPr>
                <w:rFonts w:ascii="Verdana" w:eastAsia="Calibri" w:hAnsi="Verdana" w:cs="Arial"/>
                <w:lang w:val="es-ES"/>
              </w:rPr>
              <w:t>I y II</w:t>
            </w:r>
            <w:r>
              <w:rPr>
                <w:rFonts w:ascii="Verdana" w:eastAsia="Calibri" w:hAnsi="Verdana" w:cs="Arial"/>
                <w:lang w:val="es-ES"/>
              </w:rPr>
              <w:t xml:space="preserve">) </w:t>
            </w:r>
            <w:r w:rsidRPr="00A24DED">
              <w:rPr>
                <w:rFonts w:ascii="Verdana" w:eastAsia="Calibri" w:hAnsi="Verdana" w:cs="Arial"/>
                <w:lang w:val="es-ES"/>
              </w:rPr>
              <w:t>El numeral 3.10 del documento base de obra de infraestructura de transporte para procesos de licitación pública – Versión 3, establece como requisito habilitante la capacidad residual. En este documento tipo, al menos tres causales de rechazo del numeral 1.15 se relacionan con la capacidad residual como requisito habilitante, esto es, los literales E, H y Z así:</w:t>
            </w:r>
          </w:p>
          <w:p w14:paraId="019CAC6C" w14:textId="77777777" w:rsidR="000B1909" w:rsidRDefault="000B1909" w:rsidP="004D00E9">
            <w:pPr>
              <w:spacing w:line="276" w:lineRule="auto"/>
              <w:jc w:val="both"/>
              <w:rPr>
                <w:rFonts w:ascii="Verdana" w:eastAsia="Calibri" w:hAnsi="Verdana" w:cs="Arial"/>
                <w:lang w:val="es-ES"/>
              </w:rPr>
            </w:pPr>
          </w:p>
          <w:p w14:paraId="728F6646" w14:textId="77777777" w:rsidR="000B1909" w:rsidRDefault="000B1909" w:rsidP="000B1909">
            <w:pPr>
              <w:pStyle w:val="Prrafodelista"/>
              <w:numPr>
                <w:ilvl w:val="0"/>
                <w:numId w:val="19"/>
              </w:numPr>
              <w:jc w:val="both"/>
              <w:rPr>
                <w:rFonts w:ascii="Verdana" w:eastAsia="Calibri" w:hAnsi="Verdana" w:cs="Arial"/>
              </w:rPr>
            </w:pPr>
            <w:r w:rsidRPr="003D4821">
              <w:rPr>
                <w:rFonts w:ascii="Verdana" w:eastAsia="Calibri" w:hAnsi="Verdana" w:cs="Arial"/>
              </w:rPr>
              <w:t>Literal E: Que el proponente no aclare, subsane o aporte documentos necesarios para cumplir un requisito habilitante o aportándolos no lo haga de forma correcta, en los términos establecidos en la sección 1.6.</w:t>
            </w:r>
          </w:p>
          <w:p w14:paraId="025390BB" w14:textId="77777777" w:rsidR="000B1909" w:rsidRPr="00E04DCC" w:rsidRDefault="000B1909" w:rsidP="000B1909">
            <w:pPr>
              <w:pStyle w:val="Prrafodelista"/>
              <w:numPr>
                <w:ilvl w:val="0"/>
                <w:numId w:val="19"/>
              </w:numPr>
              <w:jc w:val="both"/>
              <w:rPr>
                <w:rFonts w:ascii="Verdana" w:eastAsia="Calibri" w:hAnsi="Verdana" w:cs="Arial"/>
              </w:rPr>
            </w:pPr>
            <w:r>
              <w:rPr>
                <w:rFonts w:ascii="Verdana" w:eastAsia="Calibri" w:hAnsi="Verdana" w:cs="Arial"/>
              </w:rPr>
              <w:t xml:space="preserve">Literal H: </w:t>
            </w:r>
            <w:r w:rsidRPr="00E04DCC">
              <w:rPr>
                <w:rFonts w:ascii="Verdana" w:eastAsia="Calibri" w:hAnsi="Verdana" w:cs="Arial"/>
              </w:rPr>
              <w:t>Que el proponente aporte información inexacta sobre la cual pueda existir una posible falsedad en los términos de la sección 1.11.</w:t>
            </w:r>
          </w:p>
          <w:p w14:paraId="5AE41A58" w14:textId="77777777" w:rsidR="000B1909" w:rsidRPr="009D713A" w:rsidRDefault="000B1909" w:rsidP="000B1909">
            <w:pPr>
              <w:pStyle w:val="Prrafodelista"/>
              <w:numPr>
                <w:ilvl w:val="0"/>
                <w:numId w:val="19"/>
              </w:numPr>
              <w:jc w:val="both"/>
              <w:rPr>
                <w:rFonts w:ascii="Verdana" w:eastAsia="Calibri" w:hAnsi="Verdana" w:cs="Arial"/>
              </w:rPr>
            </w:pPr>
            <w:r w:rsidRPr="009D713A">
              <w:rPr>
                <w:rFonts w:ascii="Verdana" w:eastAsia="Calibri" w:hAnsi="Verdana" w:cs="Arial"/>
              </w:rPr>
              <w:t>Literal Z: No informar todos los contratos que el proponente tenga en ejecución antes del cierre, necesarios para acreditar su capacidad residual conforme a la sección 3.10.</w:t>
            </w:r>
          </w:p>
          <w:p w14:paraId="7BD37596" w14:textId="77777777" w:rsidR="000B1909" w:rsidRPr="003D4821" w:rsidRDefault="000B1909" w:rsidP="004D00E9">
            <w:pPr>
              <w:pStyle w:val="Prrafodelista"/>
              <w:jc w:val="both"/>
              <w:rPr>
                <w:rFonts w:ascii="Verdana" w:eastAsia="Calibri" w:hAnsi="Verdana" w:cs="Arial"/>
              </w:rPr>
            </w:pPr>
          </w:p>
          <w:p w14:paraId="7A53079B" w14:textId="4FF682D7" w:rsidR="000B1909" w:rsidRDefault="000B1909" w:rsidP="004D00E9">
            <w:pPr>
              <w:spacing w:line="276" w:lineRule="auto"/>
              <w:jc w:val="both"/>
              <w:rPr>
                <w:rFonts w:ascii="Verdana" w:eastAsia="Calibri" w:hAnsi="Verdana" w:cs="Arial"/>
                <w:lang w:val="es-ES"/>
              </w:rPr>
            </w:pPr>
            <w:r w:rsidRPr="00980277">
              <w:rPr>
                <w:rFonts w:ascii="Verdana" w:eastAsia="Calibri" w:hAnsi="Verdana" w:cs="Arial"/>
                <w:lang w:val="es-ES"/>
              </w:rPr>
              <w:t>En relación con las reglas de subsanabilidad de las ofertas</w:t>
            </w:r>
            <w:r w:rsidR="00A027A4">
              <w:rPr>
                <w:rFonts w:ascii="Verdana" w:eastAsia="Calibri" w:hAnsi="Verdana" w:cs="Arial"/>
                <w:lang w:val="es-ES"/>
              </w:rPr>
              <w:t xml:space="preserve"> establecido en el artículo 5</w:t>
            </w:r>
            <w:r w:rsidRPr="00980277">
              <w:rPr>
                <w:rFonts w:ascii="Verdana" w:eastAsia="Calibri" w:hAnsi="Verdana" w:cs="Arial"/>
                <w:lang w:val="es-ES"/>
              </w:rPr>
              <w:t xml:space="preserve"> de la Ley 1150 de 2007, es necesario precisar que solo habrá lugar a subsanar en los eventos en los que el proponente omite información sobre los contratos informados, esto es, en el evento </w:t>
            </w:r>
            <w:r>
              <w:rPr>
                <w:rFonts w:ascii="Verdana" w:eastAsia="Calibri" w:hAnsi="Verdana" w:cs="Arial"/>
                <w:lang w:val="es-ES"/>
              </w:rPr>
              <w:t>en el que se configure la</w:t>
            </w:r>
            <w:r w:rsidRPr="00980277">
              <w:rPr>
                <w:rFonts w:ascii="Verdana" w:eastAsia="Calibri" w:hAnsi="Verdana" w:cs="Arial"/>
                <w:lang w:val="es-ES"/>
              </w:rPr>
              <w:t xml:space="preserve"> causal </w:t>
            </w:r>
            <w:r>
              <w:rPr>
                <w:rFonts w:ascii="Verdana" w:eastAsia="Calibri" w:hAnsi="Verdana" w:cs="Arial"/>
                <w:lang w:val="es-ES"/>
              </w:rPr>
              <w:t xml:space="preserve">de rechazo </w:t>
            </w:r>
            <w:r w:rsidRPr="00980277">
              <w:rPr>
                <w:rFonts w:ascii="Verdana" w:eastAsia="Calibri" w:hAnsi="Verdana" w:cs="Arial"/>
                <w:lang w:val="es-ES"/>
              </w:rPr>
              <w:t>del literal E</w:t>
            </w:r>
            <w:r>
              <w:rPr>
                <w:rFonts w:ascii="Verdana" w:eastAsia="Calibri" w:hAnsi="Verdana" w:cs="Arial"/>
                <w:lang w:val="es-ES"/>
              </w:rPr>
              <w:t>.</w:t>
            </w:r>
          </w:p>
          <w:p w14:paraId="5E57B8EC" w14:textId="77777777" w:rsidR="000B1909" w:rsidRPr="00980277" w:rsidRDefault="000B1909" w:rsidP="004D00E9">
            <w:pPr>
              <w:spacing w:line="276" w:lineRule="auto"/>
              <w:jc w:val="both"/>
              <w:rPr>
                <w:rFonts w:ascii="Verdana" w:eastAsia="Calibri" w:hAnsi="Verdana" w:cs="Arial"/>
                <w:lang w:val="es-ES"/>
              </w:rPr>
            </w:pPr>
          </w:p>
          <w:p w14:paraId="665E1A10" w14:textId="77777777" w:rsidR="000B1909" w:rsidRDefault="000B1909" w:rsidP="004D00E9">
            <w:pPr>
              <w:spacing w:line="276" w:lineRule="auto"/>
              <w:jc w:val="both"/>
              <w:rPr>
                <w:rFonts w:ascii="Verdana" w:eastAsia="Calibri" w:hAnsi="Verdana" w:cs="Arial"/>
                <w:lang w:val="es-ES"/>
              </w:rPr>
            </w:pPr>
            <w:r w:rsidRPr="00980277">
              <w:rPr>
                <w:rFonts w:ascii="Verdana" w:eastAsia="Calibri" w:hAnsi="Verdana" w:cs="Arial"/>
                <w:lang w:val="es-ES"/>
              </w:rPr>
              <w:t>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r>
              <w:rPr>
                <w:rFonts w:ascii="Verdana" w:eastAsia="Calibri" w:hAnsi="Verdana" w:cs="Arial"/>
                <w:lang w:val="es-ES"/>
              </w:rPr>
              <w:t xml:space="preserve"> </w:t>
            </w:r>
          </w:p>
          <w:p w14:paraId="431AB9F8" w14:textId="77777777" w:rsidR="000B1909" w:rsidRDefault="000B1909" w:rsidP="004D00E9">
            <w:pPr>
              <w:spacing w:line="276" w:lineRule="auto"/>
              <w:jc w:val="both"/>
              <w:rPr>
                <w:rFonts w:ascii="Verdana" w:eastAsia="Calibri" w:hAnsi="Verdana" w:cs="Arial"/>
                <w:lang w:val="es-ES"/>
              </w:rPr>
            </w:pPr>
          </w:p>
          <w:p w14:paraId="735D36FB" w14:textId="0E052BDE" w:rsidR="000B1909" w:rsidRPr="00980277" w:rsidRDefault="000B1909" w:rsidP="004D00E9">
            <w:pPr>
              <w:spacing w:line="276" w:lineRule="auto"/>
              <w:jc w:val="both"/>
              <w:rPr>
                <w:rFonts w:ascii="Verdana" w:eastAsia="Calibri" w:hAnsi="Verdana" w:cs="Arial"/>
                <w:lang w:val="es-ES"/>
              </w:rPr>
            </w:pPr>
            <w:r>
              <w:rPr>
                <w:rFonts w:ascii="Verdana" w:hAnsi="Verdana" w:cs="Arial"/>
              </w:rPr>
              <w:t xml:space="preserve">En este sentido, </w:t>
            </w:r>
            <w:r w:rsidRPr="00D764DD">
              <w:rPr>
                <w:rFonts w:ascii="Verdana" w:hAnsi="Verdana" w:cs="Arial"/>
              </w:rPr>
              <w:t>aunque la causal de rechazo del literal Z del numeral 1.15 de los documentos tipo se relacionan</w:t>
            </w:r>
            <w:r w:rsidRPr="00E310BD">
              <w:rPr>
                <w:rFonts w:ascii="Verdana" w:hAnsi="Verdana" w:cs="Arial"/>
              </w:rPr>
              <w:t xml:space="preserve"> con la capacidad residual como requisito habilitante, esta se</w:t>
            </w:r>
            <w:r>
              <w:rPr>
                <w:rFonts w:ascii="Verdana" w:hAnsi="Verdana" w:cs="Arial"/>
              </w:rPr>
              <w:t xml:space="preserve"> </w:t>
            </w:r>
            <w:r w:rsidRPr="00E310BD">
              <w:rPr>
                <w:rFonts w:ascii="Verdana" w:hAnsi="Verdana" w:cs="Arial"/>
              </w:rPr>
              <w:t xml:space="preserve">aplica cuando el proponente deja de informar la totalidad </w:t>
            </w:r>
            <w:r w:rsidRPr="00E310BD">
              <w:rPr>
                <w:rFonts w:ascii="Verdana" w:hAnsi="Verdana" w:cs="Arial"/>
              </w:rPr>
              <w:lastRenderedPageBreak/>
              <w:t>de los contratos que tiene en</w:t>
            </w:r>
            <w:r>
              <w:rPr>
                <w:rFonts w:ascii="Verdana" w:hAnsi="Verdana" w:cs="Arial"/>
              </w:rPr>
              <w:t xml:space="preserve"> </w:t>
            </w:r>
            <w:r w:rsidRPr="00E310BD">
              <w:rPr>
                <w:rFonts w:ascii="Verdana" w:hAnsi="Verdana" w:cs="Arial"/>
              </w:rPr>
              <w:t>ejecución antes del cierre o no reporta la información de los contratos exigida en el</w:t>
            </w:r>
            <w:r>
              <w:rPr>
                <w:rFonts w:ascii="Verdana" w:hAnsi="Verdana" w:cs="Arial"/>
              </w:rPr>
              <w:t xml:space="preserve"> </w:t>
            </w:r>
            <w:r w:rsidRPr="00E310BD">
              <w:rPr>
                <w:rFonts w:ascii="Verdana" w:hAnsi="Verdana" w:cs="Arial"/>
              </w:rPr>
              <w:t>documento base, es decir</w:t>
            </w:r>
            <w:r w:rsidR="007643CB">
              <w:rPr>
                <w:rFonts w:ascii="Verdana" w:hAnsi="Verdana" w:cs="Arial"/>
              </w:rPr>
              <w:t>,</w:t>
            </w:r>
            <w:r w:rsidRPr="00E310BD">
              <w:rPr>
                <w:rFonts w:ascii="Verdana" w:hAnsi="Verdana" w:cs="Arial"/>
              </w:rPr>
              <w:t xml:space="preserve"> en el formato, y efectivamente tiene contratos en ejecución</w:t>
            </w:r>
            <w:r>
              <w:rPr>
                <w:rFonts w:ascii="Verdana" w:hAnsi="Verdana" w:cs="Arial"/>
              </w:rPr>
              <w:t xml:space="preserve"> </w:t>
            </w:r>
            <w:r w:rsidRPr="00E310BD">
              <w:rPr>
                <w:rFonts w:ascii="Verdana" w:hAnsi="Verdana" w:cs="Arial"/>
              </w:rPr>
              <w:t>omitiendo su información</w:t>
            </w:r>
            <w:r>
              <w:rPr>
                <w:rFonts w:ascii="Verdana" w:hAnsi="Verdana" w:cs="Arial"/>
              </w:rPr>
              <w:t>.</w:t>
            </w:r>
          </w:p>
          <w:p w14:paraId="5A133DDB" w14:textId="77777777" w:rsidR="000B1909" w:rsidRPr="00980277" w:rsidRDefault="000B1909" w:rsidP="004D00E9">
            <w:pPr>
              <w:spacing w:line="276" w:lineRule="auto"/>
              <w:jc w:val="both"/>
              <w:rPr>
                <w:rFonts w:ascii="Verdana" w:eastAsia="Calibri" w:hAnsi="Verdana" w:cs="Arial"/>
                <w:lang w:val="es-ES"/>
              </w:rPr>
            </w:pPr>
          </w:p>
          <w:p w14:paraId="3F9F71BF" w14:textId="77777777" w:rsidR="000B1909" w:rsidRDefault="000B1909" w:rsidP="004D00E9">
            <w:pPr>
              <w:spacing w:line="276" w:lineRule="auto"/>
              <w:jc w:val="both"/>
              <w:rPr>
                <w:rFonts w:ascii="Verdana" w:eastAsia="Calibri" w:hAnsi="Verdana" w:cs="Arial"/>
                <w:lang w:val="es-ES"/>
              </w:rPr>
            </w:pPr>
            <w:r>
              <w:rPr>
                <w:rFonts w:ascii="Verdana" w:eastAsia="Calibri" w:hAnsi="Verdana" w:cs="Arial"/>
                <w:lang w:val="es-ES"/>
              </w:rPr>
              <w:t xml:space="preserve">III) Por otro lado, y conforme a lo señalado por la Guía para verificar y determinar la capacidad residual del proponente en los procesos de contratación de obra pública (Versión 01 del 29 de septiembre de 2023), los contratos en ejecución son aquellos que a la fecha de presentación de la oferta obligan al contratista, por lo cual, </w:t>
            </w:r>
            <w:r w:rsidRPr="0031121F">
              <w:rPr>
                <w:rFonts w:ascii="Verdana" w:eastAsia="Calibri" w:hAnsi="Verdana" w:cs="Arial"/>
                <w:lang w:val="es-ES"/>
              </w:rPr>
              <w:t>no</w:t>
            </w:r>
            <w:r>
              <w:rPr>
                <w:rFonts w:ascii="Verdana" w:eastAsia="Calibri" w:hAnsi="Verdana" w:cs="Arial"/>
                <w:lang w:val="es-ES"/>
              </w:rPr>
              <w:t xml:space="preserve"> </w:t>
            </w:r>
            <w:r w:rsidRPr="0031121F">
              <w:rPr>
                <w:rFonts w:ascii="Verdana" w:eastAsia="Calibri" w:hAnsi="Verdana" w:cs="Arial"/>
                <w:lang w:val="es-ES"/>
              </w:rPr>
              <w:t>se entenderá como Contratos en Ejecución los que se encuentren en etapa de</w:t>
            </w:r>
            <w:r>
              <w:rPr>
                <w:rFonts w:ascii="Verdana" w:eastAsia="Calibri" w:hAnsi="Verdana" w:cs="Arial"/>
                <w:lang w:val="es-ES"/>
              </w:rPr>
              <w:t xml:space="preserve"> </w:t>
            </w:r>
            <w:r w:rsidRPr="0031121F">
              <w:rPr>
                <w:rFonts w:ascii="Verdana" w:eastAsia="Calibri" w:hAnsi="Verdana" w:cs="Arial"/>
                <w:lang w:val="es-ES"/>
              </w:rPr>
              <w:t>liquidación o ya fueron liquidados</w:t>
            </w:r>
            <w:r>
              <w:rPr>
                <w:rFonts w:ascii="Verdana" w:eastAsia="Calibri" w:hAnsi="Verdana" w:cs="Arial"/>
                <w:lang w:val="es-ES"/>
              </w:rPr>
              <w:t>, por ende estos no deberán ser reportados por el proponente para efectos de calcular su capacidad residual.</w:t>
            </w:r>
          </w:p>
          <w:p w14:paraId="4B60329C" w14:textId="77777777" w:rsidR="00FF3C42" w:rsidRDefault="00FF3C42" w:rsidP="004D00E9">
            <w:pPr>
              <w:spacing w:line="276" w:lineRule="auto"/>
              <w:jc w:val="both"/>
              <w:rPr>
                <w:rFonts w:ascii="Verdana" w:eastAsia="Calibri" w:hAnsi="Verdana" w:cs="Arial"/>
                <w:color w:val="7030A0"/>
              </w:rPr>
            </w:pPr>
          </w:p>
          <w:p w14:paraId="20D6B3D2" w14:textId="77777777" w:rsidR="00FF3C42" w:rsidRPr="009C5A97" w:rsidRDefault="00FF3C42" w:rsidP="00FF3C42">
            <w:pPr>
              <w:jc w:val="both"/>
              <w:rPr>
                <w:rFonts w:ascii="Verdana" w:eastAsia="Calibri" w:hAnsi="Verdana"/>
                <w:lang w:eastAsia="en-GB"/>
              </w:rPr>
            </w:pPr>
            <w:r>
              <w:rPr>
                <w:rFonts w:ascii="Verdana" w:hAnsi="Verdana" w:cs="Arial"/>
              </w:rPr>
              <w:t>P</w:t>
            </w:r>
            <w:r w:rsidRPr="00872240">
              <w:rPr>
                <w:rFonts w:ascii="Verdana" w:hAnsi="Verdana" w:cs="Arial"/>
              </w:rPr>
              <w:t xml:space="preserve">ara acreditar el factor </w:t>
            </w:r>
            <w:r w:rsidRPr="00872240">
              <w:rPr>
                <w:rFonts w:ascii="Verdana" w:eastAsia="Calibri" w:hAnsi="Verdana" w:cs="Arial"/>
                <w:bCs/>
                <w:color w:val="000000" w:themeColor="text1"/>
                <w:lang w:val="es-MX"/>
              </w:rPr>
              <w:t xml:space="preserve">saldos de los contratos en ejecución </w:t>
            </w:r>
            <w:r>
              <w:rPr>
                <w:rFonts w:ascii="Verdana" w:eastAsia="Calibri" w:hAnsi="Verdana" w:cs="Arial"/>
                <w:bCs/>
                <w:color w:val="000000" w:themeColor="text1"/>
              </w:rPr>
              <w:t>“</w:t>
            </w:r>
            <w:r w:rsidRPr="00872240">
              <w:rPr>
                <w:rFonts w:ascii="Verdana" w:eastAsia="Calibri" w:hAnsi="Verdana" w:cs="Arial"/>
                <w:bCs/>
                <w:color w:val="000000" w:themeColor="text1"/>
              </w:rPr>
              <w:t>SCE</w:t>
            </w:r>
            <w:r>
              <w:rPr>
                <w:rFonts w:ascii="Verdana" w:eastAsia="Calibri" w:hAnsi="Verdana" w:cs="Arial"/>
                <w:bCs/>
                <w:color w:val="000000" w:themeColor="text1"/>
              </w:rPr>
              <w:t>”</w:t>
            </w:r>
            <w:r w:rsidRPr="00872240">
              <w:rPr>
                <w:rFonts w:ascii="Verdana" w:eastAsia="Calibri" w:hAnsi="Verdana" w:cs="Arial"/>
                <w:bCs/>
                <w:color w:val="000000" w:themeColor="text1"/>
              </w:rPr>
              <w:t>,</w:t>
            </w:r>
            <w:r w:rsidRPr="00872240">
              <w:rPr>
                <w:rFonts w:ascii="Verdana" w:hAnsi="Verdana" w:cs="Arial"/>
              </w:rPr>
              <w:t xml:space="preserve">  como lo establece la Guía, el proponente debe presentar la lista de contratos de obras civiles en ejecución, tanto a nivel nacional como internacional señalando: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2F38F25F" w14:textId="77777777" w:rsidR="00FF3C42" w:rsidRPr="00764BD4" w:rsidRDefault="00FF3C42" w:rsidP="004D00E9">
            <w:pPr>
              <w:spacing w:line="276" w:lineRule="auto"/>
              <w:jc w:val="both"/>
              <w:rPr>
                <w:rFonts w:ascii="Verdana" w:eastAsia="Calibri" w:hAnsi="Verdana" w:cs="Arial"/>
                <w:color w:val="7030A0"/>
              </w:rPr>
            </w:pPr>
          </w:p>
        </w:tc>
      </w:tr>
    </w:tbl>
    <w:p w14:paraId="2262133A" w14:textId="77777777" w:rsidR="000B1909" w:rsidRPr="0031121F" w:rsidRDefault="000B1909" w:rsidP="000B1909">
      <w:pPr>
        <w:tabs>
          <w:tab w:val="left" w:pos="142"/>
          <w:tab w:val="left" w:pos="284"/>
        </w:tabs>
        <w:spacing w:after="0" w:line="276" w:lineRule="auto"/>
        <w:jc w:val="both"/>
        <w:rPr>
          <w:rFonts w:ascii="Verdana" w:eastAsia="Century Gothic" w:hAnsi="Verdana" w:cs="Century Gothic"/>
          <w:b/>
          <w:bCs/>
        </w:rPr>
      </w:pPr>
    </w:p>
    <w:p w14:paraId="278862B3" w14:textId="77777777" w:rsidR="000B1909" w:rsidRPr="00593A5F" w:rsidRDefault="000B1909" w:rsidP="000B190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63F4392" w14:textId="77777777" w:rsidR="000B1909" w:rsidRPr="00593A5F" w:rsidRDefault="000B1909" w:rsidP="000B1909">
      <w:pPr>
        <w:spacing w:after="0" w:line="276" w:lineRule="auto"/>
        <w:jc w:val="both"/>
        <w:rPr>
          <w:rFonts w:ascii="Verdana" w:eastAsia="Calibri" w:hAnsi="Verdana" w:cs="Arial"/>
          <w:color w:val="7030A0"/>
          <w:lang w:val="es-ES"/>
        </w:rPr>
      </w:pPr>
    </w:p>
    <w:p w14:paraId="34100A03" w14:textId="77777777" w:rsidR="000B1909" w:rsidRPr="00B96799" w:rsidRDefault="000B1909" w:rsidP="000B1909">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665CE3FD" w14:textId="77777777" w:rsidR="000B1909" w:rsidRPr="00593A5F" w:rsidRDefault="000B1909" w:rsidP="000B1909">
      <w:pPr>
        <w:spacing w:after="0" w:line="276" w:lineRule="auto"/>
        <w:jc w:val="both"/>
        <w:rPr>
          <w:rFonts w:ascii="Verdana" w:eastAsia="Calibri" w:hAnsi="Verdana" w:cs="Arial"/>
          <w:color w:val="7030A0"/>
          <w:lang w:val="es-ES"/>
        </w:rPr>
      </w:pPr>
    </w:p>
    <w:p w14:paraId="14A34504" w14:textId="77777777" w:rsidR="000B1909" w:rsidRDefault="000B1909" w:rsidP="000B1909">
      <w:pPr>
        <w:pStyle w:val="Prrafodelista"/>
        <w:numPr>
          <w:ilvl w:val="0"/>
          <w:numId w:val="17"/>
        </w:numPr>
        <w:spacing w:after="0" w:line="276" w:lineRule="auto"/>
        <w:jc w:val="both"/>
        <w:rPr>
          <w:rFonts w:ascii="Verdana" w:eastAsia="Calibri" w:hAnsi="Verdana" w:cs="Arial"/>
        </w:rPr>
      </w:pPr>
      <w:r w:rsidRPr="00122ECD">
        <w:rPr>
          <w:rFonts w:ascii="Verdana" w:eastAsia="Calibri" w:hAnsi="Verdana" w:cs="Arial"/>
        </w:rPr>
        <w:t xml:space="preserve">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 </w:t>
      </w:r>
    </w:p>
    <w:p w14:paraId="569B77B4" w14:textId="77777777" w:rsidR="000B1909" w:rsidRDefault="000B1909" w:rsidP="000B1909">
      <w:pPr>
        <w:pStyle w:val="Prrafodelista"/>
        <w:spacing w:after="0" w:line="276" w:lineRule="auto"/>
        <w:jc w:val="both"/>
        <w:rPr>
          <w:rFonts w:ascii="Verdana" w:eastAsia="Calibri" w:hAnsi="Verdana" w:cs="Arial"/>
        </w:rPr>
      </w:pPr>
    </w:p>
    <w:p w14:paraId="254C18A6" w14:textId="77777777" w:rsidR="000B1909" w:rsidRPr="00AF5F09" w:rsidRDefault="000B1909" w:rsidP="000B1909">
      <w:pPr>
        <w:pStyle w:val="Prrafodelista"/>
        <w:numPr>
          <w:ilvl w:val="0"/>
          <w:numId w:val="17"/>
        </w:numPr>
        <w:spacing w:after="0" w:line="276" w:lineRule="auto"/>
        <w:jc w:val="both"/>
        <w:rPr>
          <w:rFonts w:ascii="Verdana" w:eastAsia="Calibri" w:hAnsi="Verdana" w:cs="Arial"/>
        </w:rPr>
      </w:pPr>
      <w:r w:rsidRPr="00AF5F09">
        <w:rPr>
          <w:rFonts w:ascii="Verdana" w:eastAsia="Calibri" w:hAnsi="Verdana" w:cs="Arial"/>
        </w:rPr>
        <w:t>Las causales de rechazo son las establecidas en la Ley y las fijadas por la</w:t>
      </w:r>
    </w:p>
    <w:p w14:paraId="735A4D20" w14:textId="77777777" w:rsidR="000B1909" w:rsidRPr="00AF5F09" w:rsidRDefault="000B1909" w:rsidP="000B1909">
      <w:pPr>
        <w:pStyle w:val="Prrafodelista"/>
        <w:spacing w:after="0" w:line="276" w:lineRule="auto"/>
        <w:jc w:val="both"/>
        <w:rPr>
          <w:rFonts w:ascii="Verdana" w:eastAsia="Calibri" w:hAnsi="Verdana" w:cs="Arial"/>
        </w:rPr>
      </w:pPr>
      <w:r w:rsidRPr="00AF5F09">
        <w:rPr>
          <w:rFonts w:ascii="Verdana" w:eastAsia="Calibri" w:hAnsi="Verdana" w:cs="Arial"/>
        </w:rPr>
        <w:lastRenderedPageBreak/>
        <w:t>Entidad Estatal en los pliegos de condiciones. Sin embargo, en ejercicio de dicha facultad, a las entidades no les es dable fijar causales de rechazo</w:t>
      </w:r>
      <w:r>
        <w:rPr>
          <w:rFonts w:ascii="Verdana" w:eastAsia="Calibri" w:hAnsi="Verdana" w:cs="Arial"/>
        </w:rPr>
        <w:t xml:space="preserve"> </w:t>
      </w:r>
      <w:r w:rsidRPr="00AF5F09">
        <w:rPr>
          <w:rFonts w:ascii="Verdana" w:eastAsia="Calibri" w:hAnsi="Verdana" w:cs="Arial"/>
        </w:rPr>
        <w:t>que soslayen o afecten la selección objetiva en la contratación. Sobre el particular, el Consejo de Estado</w:t>
      </w:r>
      <w:r>
        <w:rPr>
          <w:rStyle w:val="Refdenotaalpie"/>
          <w:rFonts w:ascii="Verdana" w:eastAsia="Calibri" w:hAnsi="Verdana" w:cs="Arial"/>
        </w:rPr>
        <w:footnoteReference w:id="2"/>
      </w:r>
      <w:r w:rsidRPr="00AF5F09">
        <w:rPr>
          <w:rFonts w:ascii="Verdana" w:eastAsia="Calibri" w:hAnsi="Verdana" w:cs="Arial"/>
        </w:rPr>
        <w:t xml:space="preserve"> señala:</w:t>
      </w:r>
    </w:p>
    <w:p w14:paraId="6A4DC6FF" w14:textId="77777777" w:rsidR="000B1909" w:rsidRDefault="000B1909" w:rsidP="000B1909">
      <w:pPr>
        <w:pStyle w:val="Prrafodelista"/>
        <w:spacing w:after="0" w:line="276" w:lineRule="auto"/>
        <w:jc w:val="both"/>
        <w:rPr>
          <w:rFonts w:ascii="Verdana" w:eastAsia="Calibri" w:hAnsi="Verdana" w:cs="Arial"/>
        </w:rPr>
      </w:pPr>
    </w:p>
    <w:p w14:paraId="44D826F0" w14:textId="77777777" w:rsidR="000B1909" w:rsidRPr="00122ECD" w:rsidRDefault="000B1909" w:rsidP="000B1909">
      <w:pPr>
        <w:pStyle w:val="Prrafodelista"/>
        <w:spacing w:after="0" w:line="276" w:lineRule="auto"/>
        <w:jc w:val="both"/>
        <w:rPr>
          <w:rFonts w:ascii="Verdana" w:eastAsia="Calibri" w:hAnsi="Verdana" w:cs="Arial"/>
        </w:rPr>
      </w:pPr>
      <w:r w:rsidRPr="00AF5F09">
        <w:rPr>
          <w:rFonts w:ascii="Verdana" w:eastAsia="Calibri" w:hAnsi="Verdana" w:cs="Arial"/>
        </w:rPr>
        <w:t>“ Quiere con esto destacar la Sala que las causales de rechazo de las</w:t>
      </w:r>
      <w:r>
        <w:rPr>
          <w:rFonts w:ascii="Verdana" w:eastAsia="Calibri" w:hAnsi="Verdana" w:cs="Arial"/>
        </w:rPr>
        <w:t xml:space="preserve"> </w:t>
      </w:r>
      <w:r w:rsidRPr="00AF5F09">
        <w:rPr>
          <w:rFonts w:ascii="Verdana" w:eastAsia="Calibri" w:hAnsi="Verdana" w:cs="Arial"/>
        </w:rPr>
        <w:t>propuestas pueden ser legales y por lo mismo generan el efecto del</w:t>
      </w:r>
      <w:r>
        <w:rPr>
          <w:rFonts w:ascii="Verdana" w:eastAsia="Calibri" w:hAnsi="Verdana" w:cs="Arial"/>
        </w:rPr>
        <w:t xml:space="preserve"> </w:t>
      </w:r>
      <w:r w:rsidRPr="00AF5F09">
        <w:rPr>
          <w:rFonts w:ascii="Verdana" w:eastAsia="Calibri" w:hAnsi="Verdana" w:cs="Arial"/>
        </w:rPr>
        <w:t>descarte o exclusión de la oferta ope legis , sin necesidad de que se</w:t>
      </w:r>
      <w:r>
        <w:rPr>
          <w:rFonts w:ascii="Verdana" w:eastAsia="Calibri" w:hAnsi="Verdana" w:cs="Arial"/>
        </w:rPr>
        <w:t xml:space="preserve"> </w:t>
      </w:r>
      <w:r w:rsidRPr="00AF5F09">
        <w:rPr>
          <w:rFonts w:ascii="Verdana" w:eastAsia="Calibri" w:hAnsi="Verdana" w:cs="Arial"/>
        </w:rPr>
        <w:t>haga referencia a las mismas en el pliego de condiciones; o también</w:t>
      </w:r>
      <w:r>
        <w:rPr>
          <w:rFonts w:ascii="Verdana" w:eastAsia="Calibri" w:hAnsi="Verdana" w:cs="Arial"/>
        </w:rPr>
        <w:t xml:space="preserve"> </w:t>
      </w:r>
      <w:r w:rsidRPr="00AF5F09">
        <w:rPr>
          <w:rFonts w:ascii="Verdana" w:eastAsia="Calibri" w:hAnsi="Verdana" w:cs="Arial"/>
        </w:rPr>
        <w:t>pueden las causales de rechazo de las propuestas ser establecidas</w:t>
      </w:r>
      <w:r>
        <w:rPr>
          <w:rFonts w:ascii="Verdana" w:eastAsia="Calibri" w:hAnsi="Verdana" w:cs="Arial"/>
        </w:rPr>
        <w:t xml:space="preserve"> </w:t>
      </w:r>
      <w:r w:rsidRPr="00AF5F09">
        <w:rPr>
          <w:rFonts w:ascii="Verdana" w:eastAsia="Calibri" w:hAnsi="Verdana" w:cs="Arial"/>
        </w:rPr>
        <w:t>expresamente por la entidad en el respectivo pliego de condiciones. Lo</w:t>
      </w:r>
      <w:r>
        <w:rPr>
          <w:rFonts w:ascii="Verdana" w:eastAsia="Calibri" w:hAnsi="Verdana" w:cs="Arial"/>
        </w:rPr>
        <w:t xml:space="preserve"> </w:t>
      </w:r>
      <w:r w:rsidRPr="00AF5F09">
        <w:rPr>
          <w:rFonts w:ascii="Verdana" w:eastAsia="Calibri" w:hAnsi="Verdana" w:cs="Arial"/>
        </w:rPr>
        <w:t>cierto es que, sea que las causales de rechazo de la oferta emanen</w:t>
      </w:r>
      <w:r>
        <w:rPr>
          <w:rFonts w:ascii="Verdana" w:eastAsia="Calibri" w:hAnsi="Verdana" w:cs="Arial"/>
        </w:rPr>
        <w:t xml:space="preserve"> </w:t>
      </w:r>
      <w:r w:rsidRPr="00AF5F09">
        <w:rPr>
          <w:rFonts w:ascii="Verdana" w:eastAsia="Calibri" w:hAnsi="Verdana" w:cs="Arial"/>
        </w:rPr>
        <w:t>directamente de la ley o del pliego de condiciones, en uno y en otro</w:t>
      </w:r>
      <w:r>
        <w:rPr>
          <w:rFonts w:ascii="Verdana" w:eastAsia="Calibri" w:hAnsi="Verdana" w:cs="Arial"/>
        </w:rPr>
        <w:t xml:space="preserve"> </w:t>
      </w:r>
      <w:r w:rsidRPr="00AF5F09">
        <w:rPr>
          <w:rFonts w:ascii="Verdana" w:eastAsia="Calibri" w:hAnsi="Verdana" w:cs="Arial"/>
        </w:rPr>
        <w:t>caso se refieren a defectos, omisiones o circunstancias impeditivas que</w:t>
      </w:r>
      <w:r>
        <w:rPr>
          <w:rFonts w:ascii="Verdana" w:eastAsia="Calibri" w:hAnsi="Verdana" w:cs="Arial"/>
        </w:rPr>
        <w:t xml:space="preserve"> </w:t>
      </w:r>
      <w:r w:rsidRPr="00AF5F09">
        <w:rPr>
          <w:rFonts w:ascii="Verdana" w:eastAsia="Calibri" w:hAnsi="Verdana" w:cs="Arial"/>
        </w:rPr>
        <w:t>permiten deducir que la misma no resulta favorable para los intereses</w:t>
      </w:r>
      <w:r>
        <w:rPr>
          <w:rFonts w:ascii="Verdana" w:eastAsia="Calibri" w:hAnsi="Verdana" w:cs="Arial"/>
        </w:rPr>
        <w:t xml:space="preserve"> </w:t>
      </w:r>
      <w:r w:rsidRPr="00AF5F09">
        <w:rPr>
          <w:rFonts w:ascii="Verdana" w:eastAsia="Calibri" w:hAnsi="Verdana" w:cs="Arial"/>
        </w:rPr>
        <w:t>de la entidad y los fines de la contratación y que de soslayarse se</w:t>
      </w:r>
      <w:r>
        <w:rPr>
          <w:rFonts w:ascii="Verdana" w:eastAsia="Calibri" w:hAnsi="Verdana" w:cs="Arial"/>
        </w:rPr>
        <w:t xml:space="preserve"> </w:t>
      </w:r>
      <w:r w:rsidRPr="00AF5F09">
        <w:rPr>
          <w:rFonts w:ascii="Verdana" w:eastAsia="Calibri" w:hAnsi="Verdana" w:cs="Arial"/>
        </w:rPr>
        <w:t>comprometería el cumplimiento de los principios de transparencia,</w:t>
      </w:r>
      <w:r>
        <w:rPr>
          <w:rFonts w:ascii="Verdana" w:eastAsia="Calibri" w:hAnsi="Verdana" w:cs="Arial"/>
        </w:rPr>
        <w:t xml:space="preserve"> </w:t>
      </w:r>
      <w:r w:rsidRPr="00AF5F09">
        <w:rPr>
          <w:rFonts w:ascii="Verdana" w:eastAsia="Calibri" w:hAnsi="Verdana" w:cs="Arial"/>
        </w:rPr>
        <w:t>economía y responsabilidad, así como el deber de selección objetiva en</w:t>
      </w:r>
      <w:r>
        <w:rPr>
          <w:rFonts w:ascii="Verdana" w:eastAsia="Calibri" w:hAnsi="Verdana" w:cs="Arial"/>
        </w:rPr>
        <w:t xml:space="preserve"> </w:t>
      </w:r>
      <w:r w:rsidRPr="00AF5F09">
        <w:rPr>
          <w:rFonts w:ascii="Verdana" w:eastAsia="Calibri" w:hAnsi="Verdana" w:cs="Arial"/>
        </w:rPr>
        <w:t>la contratación.”</w:t>
      </w:r>
    </w:p>
    <w:p w14:paraId="335A9A28" w14:textId="77777777" w:rsidR="000B1909" w:rsidRPr="009335E8" w:rsidRDefault="000B1909" w:rsidP="000B1909">
      <w:pPr>
        <w:pStyle w:val="Prrafodelista"/>
        <w:spacing w:line="276" w:lineRule="auto"/>
        <w:jc w:val="both"/>
        <w:rPr>
          <w:rFonts w:ascii="Verdana" w:eastAsia="Calibri" w:hAnsi="Verdana" w:cs="Arial"/>
        </w:rPr>
      </w:pPr>
    </w:p>
    <w:p w14:paraId="35D8C99F" w14:textId="77777777" w:rsidR="000B1909" w:rsidRPr="009335E8" w:rsidRDefault="000B1909" w:rsidP="000B1909">
      <w:pPr>
        <w:pStyle w:val="Prrafodelista"/>
        <w:numPr>
          <w:ilvl w:val="0"/>
          <w:numId w:val="20"/>
        </w:numPr>
        <w:spacing w:line="276" w:lineRule="auto"/>
        <w:jc w:val="both"/>
        <w:rPr>
          <w:rFonts w:ascii="Verdana" w:eastAsia="Calibri" w:hAnsi="Verdana" w:cs="Arial"/>
        </w:rPr>
      </w:pPr>
      <w:r w:rsidRPr="009335E8">
        <w:rPr>
          <w:rFonts w:ascii="Verdana" w:eastAsia="Calibri" w:hAnsi="Verdana" w:cs="Arial"/>
        </w:rPr>
        <w:t>De igual forma, esta Agencia ha reiterado la postura del Consejo de Estado, según la cual, por la naturaleza propia de las causales de rechazo, su aplicación es estricta y restrictiva, lo que significa que su interpretación</w:t>
      </w:r>
    </w:p>
    <w:p w14:paraId="58BBB17A" w14:textId="77777777" w:rsidR="000B1909" w:rsidRPr="009335E8" w:rsidRDefault="000B1909" w:rsidP="000B1909">
      <w:pPr>
        <w:pStyle w:val="Prrafodelista"/>
        <w:spacing w:line="276" w:lineRule="auto"/>
        <w:jc w:val="both"/>
        <w:rPr>
          <w:rFonts w:ascii="Verdana" w:eastAsia="Calibri" w:hAnsi="Verdana" w:cs="Arial"/>
        </w:rPr>
      </w:pPr>
      <w:r w:rsidRPr="009335E8">
        <w:rPr>
          <w:rFonts w:ascii="Verdana" w:eastAsia="Calibri" w:hAnsi="Verdana" w:cs="Arial"/>
        </w:rPr>
        <w:t>gramatical prevalece sobre una interpretación extensiva o de otra índole,</w:t>
      </w:r>
    </w:p>
    <w:p w14:paraId="3394718F" w14:textId="77777777" w:rsidR="000B1909" w:rsidRPr="009335E8" w:rsidRDefault="000B1909" w:rsidP="000B1909">
      <w:pPr>
        <w:pStyle w:val="Prrafodelista"/>
        <w:spacing w:line="276" w:lineRule="auto"/>
        <w:jc w:val="both"/>
        <w:rPr>
          <w:rFonts w:ascii="Verdana" w:eastAsia="Calibri" w:hAnsi="Verdana" w:cs="Arial"/>
        </w:rPr>
      </w:pPr>
      <w:r w:rsidRPr="009335E8">
        <w:rPr>
          <w:rFonts w:ascii="Verdana" w:eastAsia="Calibri" w:hAnsi="Verdana" w:cs="Arial"/>
        </w:rPr>
        <w:t>mediante la cual se pretenda ampliar su alcance. Al respecto, el Consejo</w:t>
      </w:r>
    </w:p>
    <w:p w14:paraId="60D5456D" w14:textId="77777777" w:rsidR="000B1909" w:rsidRDefault="000B1909" w:rsidP="000B1909">
      <w:pPr>
        <w:pStyle w:val="Prrafodelista"/>
        <w:spacing w:line="276" w:lineRule="auto"/>
        <w:jc w:val="both"/>
        <w:rPr>
          <w:rFonts w:ascii="Verdana" w:eastAsia="Calibri" w:hAnsi="Verdana" w:cs="Arial"/>
        </w:rPr>
      </w:pPr>
      <w:r w:rsidRPr="009335E8">
        <w:rPr>
          <w:rFonts w:ascii="Verdana" w:eastAsia="Calibri" w:hAnsi="Verdana" w:cs="Arial"/>
        </w:rPr>
        <w:t>de Estado</w:t>
      </w:r>
      <w:r>
        <w:rPr>
          <w:rStyle w:val="Refdenotaalpie"/>
          <w:rFonts w:ascii="Verdana" w:eastAsia="Calibri" w:hAnsi="Verdana" w:cs="Arial"/>
        </w:rPr>
        <w:footnoteReference w:id="3"/>
      </w:r>
      <w:r w:rsidRPr="009335E8">
        <w:rPr>
          <w:rFonts w:ascii="Verdana" w:eastAsia="Calibri" w:hAnsi="Verdana" w:cs="Arial"/>
        </w:rPr>
        <w:t xml:space="preserve"> sostuvo:</w:t>
      </w:r>
      <w:r>
        <w:rPr>
          <w:rFonts w:ascii="Verdana" w:eastAsia="Calibri" w:hAnsi="Verdana" w:cs="Arial"/>
        </w:rPr>
        <w:t xml:space="preserve"> </w:t>
      </w:r>
    </w:p>
    <w:p w14:paraId="70D55590" w14:textId="77777777" w:rsidR="000B1909" w:rsidRDefault="000B1909" w:rsidP="000B1909">
      <w:pPr>
        <w:pStyle w:val="Prrafodelista"/>
        <w:spacing w:line="276" w:lineRule="auto"/>
        <w:jc w:val="both"/>
        <w:rPr>
          <w:rFonts w:ascii="Verdana" w:eastAsia="Calibri" w:hAnsi="Verdana" w:cs="Arial"/>
        </w:rPr>
      </w:pPr>
    </w:p>
    <w:p w14:paraId="434075E4" w14:textId="77777777" w:rsidR="000B1909" w:rsidRDefault="000B1909" w:rsidP="000B1909">
      <w:pPr>
        <w:pStyle w:val="Prrafodelista"/>
        <w:spacing w:line="276" w:lineRule="auto"/>
        <w:jc w:val="both"/>
        <w:rPr>
          <w:rFonts w:ascii="Verdana" w:hAnsi="Verdana" w:cs="Arial"/>
        </w:rPr>
      </w:pPr>
      <w:r w:rsidRPr="006229CD">
        <w:rPr>
          <w:rFonts w:ascii="Verdana" w:hAnsi="Verdana" w:cs="Arial"/>
        </w:rPr>
        <w:t>“En esta línea de pensamiento, resulta claro que el rechazo o la</w:t>
      </w:r>
      <w:r>
        <w:rPr>
          <w:rFonts w:ascii="Verdana" w:hAnsi="Verdana" w:cs="Arial"/>
        </w:rPr>
        <w:t xml:space="preserve"> </w:t>
      </w:r>
      <w:r w:rsidRPr="006229CD">
        <w:rPr>
          <w:rFonts w:ascii="Verdana" w:hAnsi="Verdana" w:cs="Arial"/>
        </w:rPr>
        <w:t>descalificación de ofertas no puede depender de la libre</w:t>
      </w:r>
      <w:r>
        <w:rPr>
          <w:rFonts w:ascii="Verdana" w:hAnsi="Verdana" w:cs="Arial"/>
        </w:rPr>
        <w:t xml:space="preserve"> </w:t>
      </w:r>
      <w:r w:rsidRPr="006229CD">
        <w:rPr>
          <w:rFonts w:ascii="Verdana" w:hAnsi="Verdana" w:cs="Arial"/>
        </w:rPr>
        <w:t>discrecionalidad de la administración, en la medida en que el oferente,</w:t>
      </w:r>
      <w:r>
        <w:rPr>
          <w:rFonts w:ascii="Verdana" w:hAnsi="Verdana" w:cs="Arial"/>
        </w:rPr>
        <w:t xml:space="preserve"> </w:t>
      </w:r>
      <w:r w:rsidRPr="006229CD">
        <w:rPr>
          <w:rFonts w:ascii="Verdana" w:hAnsi="Verdana" w:cs="Arial"/>
        </w:rPr>
        <w:t>por el hecho de participar en el proceso licitatorio, adquiere el derecho</w:t>
      </w:r>
      <w:r>
        <w:rPr>
          <w:rFonts w:ascii="Verdana" w:hAnsi="Verdana" w:cs="Arial"/>
        </w:rPr>
        <w:t xml:space="preserve"> </w:t>
      </w:r>
      <w:r w:rsidRPr="006229CD">
        <w:rPr>
          <w:rFonts w:ascii="Verdana" w:hAnsi="Verdana" w:cs="Arial"/>
        </w:rPr>
        <w:t>de participar en el procedimiento de selección y se genera para él una</w:t>
      </w:r>
      <w:r>
        <w:rPr>
          <w:rFonts w:ascii="Verdana" w:hAnsi="Verdana" w:cs="Arial"/>
        </w:rPr>
        <w:t xml:space="preserve"> </w:t>
      </w:r>
      <w:r w:rsidRPr="006229CD">
        <w:rPr>
          <w:rFonts w:ascii="Verdana" w:hAnsi="Verdana" w:cs="Arial"/>
        </w:rPr>
        <w:t>situación jurídica particular; en consecuencia, para rechazar o</w:t>
      </w:r>
      <w:r>
        <w:rPr>
          <w:rFonts w:ascii="Verdana" w:hAnsi="Verdana" w:cs="Arial"/>
        </w:rPr>
        <w:t xml:space="preserve"> </w:t>
      </w:r>
      <w:r w:rsidRPr="006229CD">
        <w:rPr>
          <w:rFonts w:ascii="Verdana" w:hAnsi="Verdana" w:cs="Arial"/>
        </w:rPr>
        <w:t>descalificar una propuesta, la entidad pública debe sujetarse a</w:t>
      </w:r>
      <w:r>
        <w:rPr>
          <w:rFonts w:ascii="Verdana" w:hAnsi="Verdana" w:cs="Arial"/>
        </w:rPr>
        <w:t xml:space="preserve"> </w:t>
      </w:r>
      <w:r w:rsidRPr="006229CD">
        <w:rPr>
          <w:rFonts w:ascii="Verdana" w:hAnsi="Verdana" w:cs="Arial"/>
        </w:rPr>
        <w:t>determinadas reglas consistentes en que las causales que dan lugar a</w:t>
      </w:r>
      <w:r>
        <w:rPr>
          <w:rFonts w:ascii="Verdana" w:hAnsi="Verdana" w:cs="Arial"/>
        </w:rPr>
        <w:t xml:space="preserve"> </w:t>
      </w:r>
      <w:r w:rsidRPr="006229CD">
        <w:rPr>
          <w:rFonts w:ascii="Verdana" w:hAnsi="Verdana" w:cs="Arial"/>
        </w:rPr>
        <w:t xml:space="preserve">ello se encuentren previamente </w:t>
      </w:r>
      <w:r w:rsidRPr="006229CD">
        <w:rPr>
          <w:rFonts w:ascii="Verdana" w:hAnsi="Verdana" w:cs="Arial"/>
        </w:rPr>
        <w:lastRenderedPageBreak/>
        <w:t>establecidas en la ley, deriven del</w:t>
      </w:r>
      <w:r>
        <w:rPr>
          <w:rFonts w:ascii="Verdana" w:hAnsi="Verdana" w:cs="Arial"/>
        </w:rPr>
        <w:t xml:space="preserve"> </w:t>
      </w:r>
      <w:r w:rsidRPr="006229CD">
        <w:rPr>
          <w:rFonts w:ascii="Verdana" w:hAnsi="Verdana" w:cs="Arial"/>
        </w:rPr>
        <w:t>incumplimiento de requisitos de la propuesta o de la omisión de</w:t>
      </w:r>
      <w:r>
        <w:rPr>
          <w:rFonts w:ascii="Verdana" w:hAnsi="Verdana" w:cs="Arial"/>
        </w:rPr>
        <w:t xml:space="preserve"> </w:t>
      </w:r>
      <w:r w:rsidRPr="006229CD">
        <w:rPr>
          <w:rFonts w:ascii="Verdana" w:hAnsi="Verdana" w:cs="Arial"/>
        </w:rPr>
        <w:t>documentos referentes a la futura contratación que sean necesarios</w:t>
      </w:r>
      <w:r>
        <w:rPr>
          <w:rFonts w:ascii="Verdana" w:hAnsi="Verdana" w:cs="Arial"/>
        </w:rPr>
        <w:t xml:space="preserve"> </w:t>
      </w:r>
      <w:r w:rsidRPr="006229CD">
        <w:rPr>
          <w:rFonts w:ascii="Verdana" w:hAnsi="Verdana" w:cs="Arial"/>
        </w:rPr>
        <w:t>para la comparación de las propuestas, de conformidad con lo</w:t>
      </w:r>
      <w:r>
        <w:rPr>
          <w:rFonts w:ascii="Verdana" w:hAnsi="Verdana" w:cs="Arial"/>
        </w:rPr>
        <w:t xml:space="preserve"> </w:t>
      </w:r>
      <w:r w:rsidRPr="006229CD">
        <w:rPr>
          <w:rFonts w:ascii="Verdana" w:hAnsi="Verdana" w:cs="Arial"/>
        </w:rPr>
        <w:t>establecido en el numeral 15 del artículo 25 de la Ley 80 de 1993,</w:t>
      </w:r>
      <w:r>
        <w:rPr>
          <w:rFonts w:ascii="Verdana" w:hAnsi="Verdana" w:cs="Arial"/>
        </w:rPr>
        <w:t xml:space="preserve"> </w:t>
      </w:r>
      <w:r w:rsidRPr="006229CD">
        <w:rPr>
          <w:rFonts w:ascii="Verdana" w:hAnsi="Verdana" w:cs="Arial"/>
        </w:rPr>
        <w:t>puesto que la causa excluyente debe ser razonable, esencial y</w:t>
      </w:r>
      <w:r>
        <w:rPr>
          <w:rFonts w:ascii="Verdana" w:hAnsi="Verdana" w:cs="Arial"/>
        </w:rPr>
        <w:t xml:space="preserve"> </w:t>
      </w:r>
      <w:r w:rsidRPr="006229CD">
        <w:rPr>
          <w:rFonts w:ascii="Verdana" w:hAnsi="Verdana" w:cs="Arial"/>
        </w:rPr>
        <w:t>proporcionada, toda vez que no tendría justificación excluir una</w:t>
      </w:r>
      <w:r>
        <w:rPr>
          <w:rFonts w:ascii="Verdana" w:hAnsi="Verdana" w:cs="Arial"/>
        </w:rPr>
        <w:t xml:space="preserve"> </w:t>
      </w:r>
      <w:r w:rsidRPr="006229CD">
        <w:rPr>
          <w:rFonts w:ascii="Verdana" w:hAnsi="Verdana" w:cs="Arial"/>
        </w:rPr>
        <w:t>propuesta por una deficiencia que no tenga incidencia alguna en la</w:t>
      </w:r>
      <w:r>
        <w:rPr>
          <w:rFonts w:ascii="Verdana" w:hAnsi="Verdana" w:cs="Arial"/>
        </w:rPr>
        <w:t xml:space="preserve"> </w:t>
      </w:r>
      <w:r w:rsidRPr="006229CD">
        <w:rPr>
          <w:rFonts w:ascii="Verdana" w:hAnsi="Verdana" w:cs="Arial"/>
        </w:rPr>
        <w:t>contratación.”</w:t>
      </w:r>
    </w:p>
    <w:p w14:paraId="1AF779FB" w14:textId="77777777" w:rsidR="000B1909" w:rsidRDefault="000B1909" w:rsidP="000B1909">
      <w:pPr>
        <w:pStyle w:val="Prrafodelista"/>
        <w:spacing w:line="276" w:lineRule="auto"/>
        <w:jc w:val="both"/>
        <w:rPr>
          <w:rFonts w:ascii="Verdana" w:hAnsi="Verdana" w:cs="Arial"/>
        </w:rPr>
      </w:pPr>
    </w:p>
    <w:p w14:paraId="230F56F8" w14:textId="77777777" w:rsidR="000B1909" w:rsidRDefault="000B1909" w:rsidP="000B1909">
      <w:pPr>
        <w:pStyle w:val="Prrafodelista"/>
        <w:numPr>
          <w:ilvl w:val="0"/>
          <w:numId w:val="20"/>
        </w:numPr>
        <w:spacing w:line="276" w:lineRule="auto"/>
        <w:jc w:val="both"/>
        <w:rPr>
          <w:rFonts w:ascii="Verdana" w:hAnsi="Verdana" w:cs="Arial"/>
        </w:rPr>
      </w:pPr>
      <w:r>
        <w:rPr>
          <w:rFonts w:ascii="Verdana" w:hAnsi="Verdana" w:cs="Arial"/>
        </w:rPr>
        <w:t>L</w:t>
      </w:r>
      <w:r w:rsidRPr="00AA7A00">
        <w:rPr>
          <w:rFonts w:ascii="Verdana" w:hAnsi="Verdana" w:cs="Arial"/>
        </w:rPr>
        <w:t xml:space="preserve">a Capacidad Residual es un requisito habilitante que está sujeto a la posibilidad de solicitarle aclaración, con el fin de esclarecer dudas sobre aspectos de la información presentada por el proponente y de igual forma, esa sujeta a la posibilidad de subsanar la ausencia de requisitos, siempre que se cumpla con los límites temporales y materiales descritos en este concepto, es decir, que lo omitido no sea un factor que afecte la asignación de puntaje, que sea la prueba de una circunstancia o hecho que ocurrió con anterioridad al cierre del proceso y que no existe disposición legal o en el pliego de condiciones que prohíba su subsanación. </w:t>
      </w:r>
    </w:p>
    <w:p w14:paraId="1E883832" w14:textId="77777777" w:rsidR="000B1909" w:rsidRPr="00AA7A00" w:rsidRDefault="000B1909" w:rsidP="000B1909">
      <w:pPr>
        <w:pStyle w:val="Prrafodelista"/>
        <w:spacing w:line="276" w:lineRule="auto"/>
        <w:jc w:val="both"/>
        <w:rPr>
          <w:rFonts w:ascii="Verdana" w:hAnsi="Verdana" w:cs="Arial"/>
        </w:rPr>
      </w:pPr>
    </w:p>
    <w:p w14:paraId="6AE0904E" w14:textId="77777777" w:rsidR="000B1909" w:rsidRDefault="000B1909" w:rsidP="000B1909">
      <w:pPr>
        <w:pStyle w:val="Prrafodelista"/>
        <w:numPr>
          <w:ilvl w:val="0"/>
          <w:numId w:val="20"/>
        </w:numPr>
        <w:spacing w:line="276" w:lineRule="auto"/>
        <w:jc w:val="both"/>
        <w:rPr>
          <w:rFonts w:ascii="Verdana" w:hAnsi="Verdana" w:cs="Arial"/>
        </w:rPr>
      </w:pPr>
      <w:r w:rsidRPr="00AA7A00">
        <w:rPr>
          <w:rFonts w:ascii="Verdana" w:hAnsi="Verdana" w:cs="Arial"/>
        </w:rPr>
        <w:t>El numeral 3.10 del documento base de obra de infraestructura de transporte para procesos de licitación pública – Versión 3, establece como requisito habilitante la capacidad residual. En este documento tipo, al menos tres causales de rechazo del numeral 1.15 se relacionan con la capacidad residual como requisito habilitante, esto es, los literales E, H y Z.</w:t>
      </w:r>
    </w:p>
    <w:p w14:paraId="440CFEBD" w14:textId="77777777" w:rsidR="000B1909" w:rsidRPr="0064724E" w:rsidRDefault="000B1909" w:rsidP="000B1909">
      <w:pPr>
        <w:pStyle w:val="Prrafodelista"/>
        <w:rPr>
          <w:rFonts w:ascii="Verdana" w:hAnsi="Verdana" w:cs="Arial"/>
        </w:rPr>
      </w:pPr>
    </w:p>
    <w:p w14:paraId="419582FC" w14:textId="77777777" w:rsidR="000B1909" w:rsidRPr="00AA7A00" w:rsidRDefault="000B1909" w:rsidP="000B1909">
      <w:pPr>
        <w:pStyle w:val="Prrafodelista"/>
        <w:numPr>
          <w:ilvl w:val="0"/>
          <w:numId w:val="20"/>
        </w:numPr>
        <w:spacing w:line="276" w:lineRule="auto"/>
        <w:jc w:val="both"/>
        <w:rPr>
          <w:rFonts w:ascii="Verdana" w:hAnsi="Verdana" w:cs="Arial"/>
        </w:rPr>
      </w:pPr>
      <w:r w:rsidRPr="00AA7A00">
        <w:rPr>
          <w:rFonts w:ascii="Verdana" w:hAnsi="Verdana" w:cs="Arial"/>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1FCECDB9" w14:textId="77777777" w:rsidR="000B1909" w:rsidRDefault="000B1909" w:rsidP="000B1909">
      <w:pPr>
        <w:pStyle w:val="Prrafodelista"/>
        <w:spacing w:line="276" w:lineRule="auto"/>
        <w:jc w:val="both"/>
        <w:rPr>
          <w:rFonts w:ascii="Verdana" w:hAnsi="Verdana" w:cs="Arial"/>
        </w:rPr>
      </w:pPr>
    </w:p>
    <w:p w14:paraId="5BB6F351" w14:textId="77777777" w:rsidR="000B1909" w:rsidRPr="00AA7A00" w:rsidRDefault="000B1909" w:rsidP="000B1909">
      <w:pPr>
        <w:pStyle w:val="Prrafodelista"/>
        <w:spacing w:line="276" w:lineRule="auto"/>
        <w:jc w:val="both"/>
        <w:rPr>
          <w:rFonts w:ascii="Verdana" w:hAnsi="Verdana" w:cs="Arial"/>
        </w:rPr>
      </w:pPr>
      <w:r w:rsidRPr="00AA7A00">
        <w:rPr>
          <w:rFonts w:ascii="Verdana" w:hAnsi="Verdana" w:cs="Arial"/>
        </w:rPr>
        <w:lastRenderedPageBreak/>
        <w:t>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w:t>
      </w:r>
    </w:p>
    <w:p w14:paraId="14A164B6" w14:textId="77777777" w:rsidR="000B1909" w:rsidRDefault="000B1909" w:rsidP="000B1909">
      <w:pPr>
        <w:pStyle w:val="Prrafodelista"/>
        <w:spacing w:line="276" w:lineRule="auto"/>
        <w:jc w:val="both"/>
        <w:rPr>
          <w:rFonts w:ascii="Verdana" w:hAnsi="Verdana" w:cs="Arial"/>
        </w:rPr>
      </w:pPr>
    </w:p>
    <w:p w14:paraId="0EA15E61" w14:textId="77777777" w:rsidR="000B1909" w:rsidRPr="00AA7A00" w:rsidRDefault="000B1909" w:rsidP="000B1909">
      <w:pPr>
        <w:pStyle w:val="Prrafodelista"/>
        <w:spacing w:line="276" w:lineRule="auto"/>
        <w:jc w:val="both"/>
        <w:rPr>
          <w:rFonts w:ascii="Verdana" w:hAnsi="Verdana" w:cs="Arial"/>
        </w:rPr>
      </w:pPr>
      <w:r w:rsidRPr="00AA7A00">
        <w:rPr>
          <w:rFonts w:ascii="Verdana" w:hAnsi="Verdana" w:cs="Arial"/>
        </w:rPr>
        <w:t xml:space="preserve">ii)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5FAE74EC" w14:textId="77777777" w:rsidR="000B1909" w:rsidRDefault="000B1909" w:rsidP="000B1909">
      <w:pPr>
        <w:pStyle w:val="Prrafodelista"/>
        <w:spacing w:line="276" w:lineRule="auto"/>
        <w:jc w:val="both"/>
        <w:rPr>
          <w:rFonts w:ascii="Verdana" w:hAnsi="Verdana" w:cs="Arial"/>
        </w:rPr>
      </w:pPr>
    </w:p>
    <w:p w14:paraId="42C858BA" w14:textId="77777777" w:rsidR="000B1909" w:rsidRDefault="000B1909" w:rsidP="000B1909">
      <w:pPr>
        <w:pStyle w:val="Prrafodelista"/>
        <w:spacing w:line="276" w:lineRule="auto"/>
        <w:jc w:val="both"/>
        <w:rPr>
          <w:rFonts w:ascii="Verdana" w:hAnsi="Verdana" w:cs="Arial"/>
        </w:rPr>
      </w:pPr>
      <w:r w:rsidRPr="00AA7A00">
        <w:rPr>
          <w:rFonts w:ascii="Verdana" w:hAnsi="Verdana" w:cs="Arial"/>
        </w:rPr>
        <w:t>iii)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14:paraId="1B00ACFE" w14:textId="77777777" w:rsidR="000B1909" w:rsidRPr="00AA7A00" w:rsidRDefault="000B1909" w:rsidP="000B1909">
      <w:pPr>
        <w:pStyle w:val="Prrafodelista"/>
        <w:spacing w:line="276" w:lineRule="auto"/>
        <w:jc w:val="both"/>
        <w:rPr>
          <w:rFonts w:ascii="Verdana" w:hAnsi="Verdana" w:cs="Arial"/>
        </w:rPr>
      </w:pPr>
    </w:p>
    <w:p w14:paraId="03F94273" w14:textId="77777777" w:rsidR="000B1909" w:rsidRDefault="000B1909" w:rsidP="000B1909">
      <w:pPr>
        <w:pStyle w:val="Prrafodelista"/>
        <w:numPr>
          <w:ilvl w:val="0"/>
          <w:numId w:val="20"/>
        </w:numPr>
        <w:spacing w:line="276" w:lineRule="auto"/>
        <w:jc w:val="both"/>
        <w:rPr>
          <w:rFonts w:ascii="Verdana" w:hAnsi="Verdana" w:cs="Arial"/>
        </w:rPr>
      </w:pPr>
      <w:r w:rsidRPr="00AA7A00">
        <w:rPr>
          <w:rFonts w:ascii="Verdana" w:hAnsi="Verdana" w:cs="Arial"/>
        </w:rPr>
        <w:t>En relación con las reglas de subsanabilidad de las ofertas de la Ley 1150 de 2007, es necesario precisar que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0C76F5C5" w14:textId="77777777" w:rsidR="000B1909" w:rsidRPr="00AA7A00" w:rsidRDefault="000B1909" w:rsidP="000B1909">
      <w:pPr>
        <w:pStyle w:val="Prrafodelista"/>
        <w:spacing w:line="276" w:lineRule="auto"/>
        <w:jc w:val="both"/>
        <w:rPr>
          <w:rFonts w:ascii="Verdana" w:hAnsi="Verdana" w:cs="Arial"/>
        </w:rPr>
      </w:pPr>
    </w:p>
    <w:p w14:paraId="4ABF3EB0" w14:textId="77777777" w:rsidR="000B1909" w:rsidRDefault="000B1909" w:rsidP="000B1909">
      <w:pPr>
        <w:pStyle w:val="Prrafodelista"/>
        <w:spacing w:line="276" w:lineRule="auto"/>
        <w:jc w:val="both"/>
        <w:rPr>
          <w:rFonts w:ascii="Verdana" w:hAnsi="Verdana" w:cs="Arial"/>
        </w:rPr>
      </w:pPr>
      <w:r w:rsidRPr="00AA7A00">
        <w:rPr>
          <w:rFonts w:ascii="Verdana" w:hAnsi="Verdana" w:cs="Arial"/>
        </w:rPr>
        <w:t>Ahora bien, es importa</w:t>
      </w:r>
      <w:r>
        <w:rPr>
          <w:rFonts w:ascii="Verdana" w:hAnsi="Verdana" w:cs="Arial"/>
        </w:rPr>
        <w:t>n</w:t>
      </w:r>
      <w:r w:rsidRPr="00AA7A00">
        <w:rPr>
          <w:rFonts w:ascii="Verdana" w:hAnsi="Verdana" w:cs="Arial"/>
        </w:rPr>
        <w:t xml:space="preserve">te precisar que lo expresado en el párrafo precedente no contradice lo dispuesto en el artículo 5, parágrafo 1, de la Ley 1150 de 2007, adicionado por el artículo 5 de la Ley 1882 de 2018, </w:t>
      </w:r>
      <w:r w:rsidRPr="00AA7A00">
        <w:rPr>
          <w:rFonts w:ascii="Verdana" w:hAnsi="Verdana" w:cs="Arial"/>
        </w:rPr>
        <w:lastRenderedPageBreak/>
        <w:t>norma que dispone que “[…] 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w:t>
      </w:r>
    </w:p>
    <w:p w14:paraId="25D4C1A7" w14:textId="77777777" w:rsidR="000B1909" w:rsidRDefault="000B1909" w:rsidP="000B1909">
      <w:pPr>
        <w:pStyle w:val="Prrafodelista"/>
        <w:spacing w:line="276" w:lineRule="auto"/>
        <w:jc w:val="both"/>
        <w:rPr>
          <w:rFonts w:ascii="Verdana" w:hAnsi="Verdana" w:cs="Arial"/>
        </w:rPr>
      </w:pPr>
    </w:p>
    <w:p w14:paraId="6E15E3BB" w14:textId="77777777" w:rsidR="000B1909" w:rsidRDefault="000B1909" w:rsidP="000B1909">
      <w:pPr>
        <w:pStyle w:val="Prrafodelista"/>
        <w:spacing w:line="276" w:lineRule="auto"/>
        <w:jc w:val="both"/>
        <w:rPr>
          <w:rFonts w:ascii="Verdana" w:hAnsi="Verdana" w:cs="Arial"/>
        </w:rPr>
      </w:pPr>
      <w:r>
        <w:rPr>
          <w:rFonts w:ascii="Verdana" w:hAnsi="Verdana" w:cs="Arial"/>
        </w:rPr>
        <w:t>Por lo anterior,</w:t>
      </w:r>
      <w:r w:rsidRPr="00E310BD">
        <w:rPr>
          <w:rFonts w:ascii="Verdana" w:hAnsi="Verdana" w:cs="Arial"/>
        </w:rPr>
        <w:t xml:space="preserve"> </w:t>
      </w:r>
      <w:r w:rsidRPr="00D764DD">
        <w:rPr>
          <w:rFonts w:ascii="Verdana" w:hAnsi="Verdana" w:cs="Arial"/>
        </w:rPr>
        <w:t>aunque la causal de rechazo del literal Z del numeral 1.15 de los documentos tipo se relacionan</w:t>
      </w:r>
      <w:r w:rsidRPr="00E310BD">
        <w:rPr>
          <w:rFonts w:ascii="Verdana" w:hAnsi="Verdana" w:cs="Arial"/>
        </w:rPr>
        <w:t xml:space="preserve"> con la capacidad residual como requisito habilitante, esta se</w:t>
      </w:r>
      <w:r>
        <w:rPr>
          <w:rFonts w:ascii="Verdana" w:hAnsi="Verdana" w:cs="Arial"/>
        </w:rPr>
        <w:t xml:space="preserve"> </w:t>
      </w:r>
      <w:r w:rsidRPr="00E310BD">
        <w:rPr>
          <w:rFonts w:ascii="Verdana" w:hAnsi="Verdana" w:cs="Arial"/>
        </w:rPr>
        <w:t>aplica cuando el proponente deja de informar la totalidad de los contratos que tiene en</w:t>
      </w:r>
      <w:r>
        <w:rPr>
          <w:rFonts w:ascii="Verdana" w:hAnsi="Verdana" w:cs="Arial"/>
        </w:rPr>
        <w:t xml:space="preserve"> </w:t>
      </w:r>
      <w:r w:rsidRPr="00E310BD">
        <w:rPr>
          <w:rFonts w:ascii="Verdana" w:hAnsi="Verdana" w:cs="Arial"/>
        </w:rPr>
        <w:t>ejecución antes del cierre o no reporta la información de los contratos exigida en el</w:t>
      </w:r>
      <w:r>
        <w:rPr>
          <w:rFonts w:ascii="Verdana" w:hAnsi="Verdana" w:cs="Arial"/>
        </w:rPr>
        <w:t xml:space="preserve"> </w:t>
      </w:r>
      <w:r w:rsidRPr="00E310BD">
        <w:rPr>
          <w:rFonts w:ascii="Verdana" w:hAnsi="Verdana" w:cs="Arial"/>
        </w:rPr>
        <w:t>documento base, es decir en el formato, y efectivamente tiene contratos en ejecución</w:t>
      </w:r>
      <w:r>
        <w:rPr>
          <w:rFonts w:ascii="Verdana" w:hAnsi="Verdana" w:cs="Arial"/>
        </w:rPr>
        <w:t xml:space="preserve"> </w:t>
      </w:r>
      <w:r w:rsidRPr="00E310BD">
        <w:rPr>
          <w:rFonts w:ascii="Verdana" w:hAnsi="Verdana" w:cs="Arial"/>
        </w:rPr>
        <w:t>omitiendo su información</w:t>
      </w:r>
      <w:r>
        <w:rPr>
          <w:rFonts w:ascii="Verdana" w:hAnsi="Verdana" w:cs="Arial"/>
        </w:rPr>
        <w:t>.</w:t>
      </w:r>
    </w:p>
    <w:p w14:paraId="58CE6263" w14:textId="77777777" w:rsidR="000B1909" w:rsidRPr="00AA7A00" w:rsidRDefault="000B1909" w:rsidP="000B1909">
      <w:pPr>
        <w:pStyle w:val="Prrafodelista"/>
        <w:spacing w:line="276" w:lineRule="auto"/>
        <w:jc w:val="both"/>
        <w:rPr>
          <w:rFonts w:ascii="Verdana" w:hAnsi="Verdana" w:cs="Arial"/>
        </w:rPr>
      </w:pPr>
      <w:r w:rsidRPr="00AA7A00">
        <w:rPr>
          <w:rFonts w:ascii="Verdana" w:hAnsi="Verdana" w:cs="Arial"/>
        </w:rPr>
        <w:t xml:space="preserve"> </w:t>
      </w:r>
    </w:p>
    <w:p w14:paraId="00A147B6" w14:textId="77777777" w:rsidR="000B1909" w:rsidRDefault="000B1909" w:rsidP="000B1909">
      <w:pPr>
        <w:pStyle w:val="Prrafodelista"/>
        <w:numPr>
          <w:ilvl w:val="0"/>
          <w:numId w:val="20"/>
        </w:numPr>
        <w:spacing w:line="276" w:lineRule="auto"/>
        <w:jc w:val="both"/>
        <w:rPr>
          <w:rFonts w:ascii="Verdana" w:hAnsi="Verdana" w:cs="Arial"/>
        </w:rPr>
      </w:pPr>
      <w:r w:rsidRPr="00AA7A00">
        <w:rPr>
          <w:rFonts w:ascii="Verdana" w:hAnsi="Verdana" w:cs="Arial"/>
        </w:rPr>
        <w:t xml:space="preserve">En relación con el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incurre en algún error en la información de estos contratos, como por ejemplo en el valor o el plazo. En este caso, conforme a la explicación precedente, en principio, no se trata de información inexacta que tenga la connotación de falsedad por lo que no habría lugar a rechazo de la propuesta por esta causal. Por ello, si el proponente omite o se equivoca en la información específica de un contrato incluido en el formato respectivo, la entidad podrá requerirlo para </w:t>
      </w:r>
      <w:r w:rsidRPr="00AA7A00">
        <w:rPr>
          <w:rFonts w:ascii="Verdana" w:hAnsi="Verdana" w:cs="Arial"/>
        </w:rPr>
        <w:lastRenderedPageBreak/>
        <w:t xml:space="preserve">que aclare la información y, en caso de no responder, rechazar la propuesta por la causal que consagra el literal E del numeral 1.15. </w:t>
      </w:r>
    </w:p>
    <w:p w14:paraId="4648B921" w14:textId="77777777" w:rsidR="000B1909" w:rsidRPr="00AA7A00" w:rsidRDefault="000B1909" w:rsidP="000B1909">
      <w:pPr>
        <w:pStyle w:val="Prrafodelista"/>
        <w:spacing w:line="276" w:lineRule="auto"/>
        <w:jc w:val="both"/>
        <w:rPr>
          <w:rFonts w:ascii="Verdana" w:hAnsi="Verdana" w:cs="Arial"/>
        </w:rPr>
      </w:pPr>
    </w:p>
    <w:p w14:paraId="6EF300AD" w14:textId="77777777" w:rsidR="000B1909" w:rsidRDefault="000B1909" w:rsidP="000B1909">
      <w:pPr>
        <w:pStyle w:val="Prrafodelista"/>
        <w:numPr>
          <w:ilvl w:val="0"/>
          <w:numId w:val="20"/>
        </w:numPr>
        <w:spacing w:line="276" w:lineRule="auto"/>
        <w:jc w:val="both"/>
        <w:rPr>
          <w:rFonts w:ascii="Verdana" w:hAnsi="Verdana" w:cs="Arial"/>
        </w:rPr>
      </w:pPr>
      <w:r w:rsidRPr="00AA7A00">
        <w:rPr>
          <w:rFonts w:ascii="Verdana" w:hAnsi="Verdana" w:cs="Arial"/>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w:t>
      </w:r>
    </w:p>
    <w:p w14:paraId="7B6DE268" w14:textId="77777777" w:rsidR="000B1909" w:rsidRPr="00E310BD" w:rsidRDefault="000B1909" w:rsidP="000B1909">
      <w:pPr>
        <w:pStyle w:val="Prrafodelista"/>
        <w:rPr>
          <w:rFonts w:ascii="Verdana" w:hAnsi="Verdana" w:cs="Arial"/>
        </w:rPr>
      </w:pPr>
    </w:p>
    <w:p w14:paraId="4193AFD5" w14:textId="77777777" w:rsidR="000B1909" w:rsidRDefault="000B1909" w:rsidP="000B1909">
      <w:pPr>
        <w:pStyle w:val="Prrafodelista"/>
        <w:numPr>
          <w:ilvl w:val="0"/>
          <w:numId w:val="20"/>
        </w:numPr>
        <w:spacing w:line="276" w:lineRule="auto"/>
        <w:jc w:val="both"/>
        <w:rPr>
          <w:rFonts w:ascii="Verdana" w:hAnsi="Verdana" w:cs="Arial"/>
        </w:rPr>
      </w:pPr>
      <w:r w:rsidRPr="00AA7A00">
        <w:rPr>
          <w:rFonts w:ascii="Verdana" w:hAnsi="Verdana" w:cs="Arial"/>
        </w:rPr>
        <w:t>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w:t>
      </w:r>
    </w:p>
    <w:p w14:paraId="59CD688D" w14:textId="77777777" w:rsidR="000B1909" w:rsidRPr="00AA7A00" w:rsidRDefault="000B1909" w:rsidP="000B1909">
      <w:pPr>
        <w:pStyle w:val="Prrafodelista"/>
        <w:spacing w:line="276" w:lineRule="auto"/>
        <w:jc w:val="both"/>
        <w:rPr>
          <w:rFonts w:ascii="Verdana" w:hAnsi="Verdana" w:cs="Arial"/>
        </w:rPr>
      </w:pPr>
    </w:p>
    <w:p w14:paraId="3830D1D3" w14:textId="77777777" w:rsidR="000B1909" w:rsidRDefault="000B1909" w:rsidP="000B1909">
      <w:pPr>
        <w:pStyle w:val="Prrafodelista"/>
        <w:spacing w:line="276" w:lineRule="auto"/>
        <w:jc w:val="both"/>
        <w:rPr>
          <w:rFonts w:ascii="Verdana" w:hAnsi="Verdana" w:cs="Arial"/>
        </w:rPr>
      </w:pPr>
      <w:r w:rsidRPr="00AA7A00">
        <w:rPr>
          <w:rFonts w:ascii="Verdana" w:hAnsi="Verdana" w:cs="Arial"/>
        </w:rPr>
        <w:t>De conformidad con esta regla, el rechazo de la oferta procede cuando en ejercicio de la potestad verificadora se advierta que luego de agotar la posibilidad de subsanación o aclaración el proponente dejó de incluir información que afecta la capacidad, esto es, la referente a contratos de obra 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Esto concuerda con la causal de rechazo prevista en el literal “H” del numeral 1.15 del documento base, el cual autoriza el rechazo de la propuesta en el evento en “Que el Proponente aporte información inexacta sobre la cual pueda existir una posible falsedad en los términos de la sección 1.11”.</w:t>
      </w:r>
    </w:p>
    <w:p w14:paraId="43EE5502" w14:textId="77777777" w:rsidR="000B1909" w:rsidRDefault="000B1909" w:rsidP="000B1909">
      <w:pPr>
        <w:pStyle w:val="Prrafodelista"/>
        <w:spacing w:line="276" w:lineRule="auto"/>
        <w:jc w:val="both"/>
        <w:rPr>
          <w:rFonts w:ascii="Verdana" w:hAnsi="Verdana" w:cs="Arial"/>
        </w:rPr>
      </w:pPr>
    </w:p>
    <w:p w14:paraId="294000E6" w14:textId="77777777" w:rsidR="000B1909" w:rsidRDefault="000B1909" w:rsidP="000B1909">
      <w:pPr>
        <w:pStyle w:val="Prrafodelista"/>
        <w:numPr>
          <w:ilvl w:val="0"/>
          <w:numId w:val="20"/>
        </w:numPr>
        <w:spacing w:line="276" w:lineRule="auto"/>
        <w:jc w:val="both"/>
        <w:rPr>
          <w:rFonts w:ascii="Verdana" w:hAnsi="Verdana" w:cs="Arial"/>
        </w:rPr>
      </w:pPr>
      <w:r w:rsidRPr="00AA7A00">
        <w:rPr>
          <w:rFonts w:ascii="Verdana" w:hAnsi="Verdana" w:cs="Arial"/>
        </w:rPr>
        <w:t>En todo caso, resulta pertinente mencionar que, debe ser la Entidad Estatal quien determine si alguno de los supuestos de hecho contenidos en las causales de rechazo contenidas del numeral 1.15 del Documento Base de los “Documentos Tipo – Versión 3”, aplican frente a cada situación particular.</w:t>
      </w:r>
    </w:p>
    <w:p w14:paraId="176F42DC" w14:textId="77777777" w:rsidR="000B1909" w:rsidRDefault="000B1909" w:rsidP="000B1909">
      <w:pPr>
        <w:pStyle w:val="Prrafodelista"/>
        <w:spacing w:line="276" w:lineRule="auto"/>
        <w:jc w:val="both"/>
        <w:rPr>
          <w:rFonts w:ascii="Verdana" w:hAnsi="Verdana" w:cs="Arial"/>
        </w:rPr>
      </w:pPr>
    </w:p>
    <w:p w14:paraId="2264BA74" w14:textId="77777777" w:rsidR="000B1909" w:rsidRDefault="000B1909" w:rsidP="000B1909">
      <w:pPr>
        <w:pStyle w:val="Prrafodelista"/>
        <w:numPr>
          <w:ilvl w:val="0"/>
          <w:numId w:val="20"/>
        </w:numPr>
        <w:jc w:val="both"/>
        <w:rPr>
          <w:rFonts w:ascii="Verdana" w:hAnsi="Verdana" w:cs="Arial"/>
        </w:rPr>
      </w:pPr>
      <w:r>
        <w:rPr>
          <w:rFonts w:ascii="Verdana" w:hAnsi="Verdana" w:cs="Arial"/>
        </w:rPr>
        <w:t>Finalmente</w:t>
      </w:r>
      <w:r w:rsidRPr="00F75B69">
        <w:rPr>
          <w:rFonts w:ascii="Verdana" w:hAnsi="Verdana" w:cs="Arial"/>
        </w:rPr>
        <w:t>, en congruencia con lo explicado en el numeral anterior, es</w:t>
      </w:r>
      <w:r>
        <w:rPr>
          <w:rFonts w:ascii="Verdana" w:hAnsi="Verdana" w:cs="Arial"/>
        </w:rPr>
        <w:t xml:space="preserve"> </w:t>
      </w:r>
      <w:r w:rsidRPr="00F75B69">
        <w:rPr>
          <w:rFonts w:ascii="Verdana" w:hAnsi="Verdana" w:cs="Arial"/>
        </w:rPr>
        <w:t xml:space="preserve">importante tener en cuenta que la causal de rechazo del literal Z del numeral 1.15 del pliego aplica por “No informar todos los contratos que el Proponente tenga en ejecución antes del cierre, necesarios para acreditar su capacidad residual conforme a la sección 3.10”. Para estos efectos, conforme a las definiciones previstas en la Guía para Determinar y Verificar la Capacidad Residual del Proponente en los Procesos de Contratación de Obra Pública, el numeral II del literal E del numeral 3.10.2 del documento base dispone que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 </w:t>
      </w:r>
    </w:p>
    <w:p w14:paraId="0D51C764" w14:textId="77777777" w:rsidR="000B1909" w:rsidRPr="00A46333" w:rsidRDefault="000B1909" w:rsidP="000B1909">
      <w:pPr>
        <w:pStyle w:val="Prrafodelista"/>
        <w:rPr>
          <w:rFonts w:ascii="Verdana" w:hAnsi="Verdana" w:cs="Arial"/>
        </w:rPr>
      </w:pPr>
    </w:p>
    <w:p w14:paraId="155AF33D" w14:textId="77777777" w:rsidR="000B1909" w:rsidRDefault="000B1909" w:rsidP="000B1909">
      <w:pPr>
        <w:pStyle w:val="Prrafodelista"/>
        <w:jc w:val="both"/>
        <w:rPr>
          <w:rFonts w:ascii="Verdana" w:hAnsi="Verdana" w:cs="Arial"/>
        </w:rPr>
      </w:pPr>
      <w:r w:rsidRPr="00F75B69">
        <w:rPr>
          <w:rFonts w:ascii="Verdana" w:hAnsi="Verdana" w:cs="Arial"/>
        </w:rPr>
        <w:t>Como se observa, la definición solo aplica a los contratos</w:t>
      </w:r>
      <w:r>
        <w:rPr>
          <w:rFonts w:ascii="Verdana" w:hAnsi="Verdana" w:cs="Arial"/>
        </w:rPr>
        <w:t xml:space="preserve"> </w:t>
      </w:r>
      <w:r w:rsidRPr="00F75B69">
        <w:rPr>
          <w:rFonts w:ascii="Verdana" w:hAnsi="Verdana" w:cs="Arial"/>
        </w:rPr>
        <w:t>perfeccionados, aunque estos estén suspendidos o no tengan acta de inicio</w:t>
      </w:r>
      <w:r>
        <w:rPr>
          <w:rFonts w:ascii="Verdana" w:hAnsi="Verdana" w:cs="Arial"/>
        </w:rPr>
        <w:t xml:space="preserve">, </w:t>
      </w:r>
      <w:r>
        <w:rPr>
          <w:rFonts w:ascii="Verdana" w:eastAsia="Calibri" w:hAnsi="Verdana" w:cs="Arial"/>
        </w:rPr>
        <w:t xml:space="preserve">es decir aquellos que a la fecha de presentación de la oferta obligan al contratista, por lo cual, </w:t>
      </w:r>
      <w:r w:rsidRPr="0031121F">
        <w:rPr>
          <w:rFonts w:ascii="Verdana" w:eastAsia="Calibri" w:hAnsi="Verdana" w:cs="Arial"/>
        </w:rPr>
        <w:t>no</w:t>
      </w:r>
      <w:r>
        <w:rPr>
          <w:rFonts w:ascii="Verdana" w:eastAsia="Calibri" w:hAnsi="Verdana" w:cs="Arial"/>
        </w:rPr>
        <w:t xml:space="preserve"> </w:t>
      </w:r>
      <w:r w:rsidRPr="0031121F">
        <w:rPr>
          <w:rFonts w:ascii="Verdana" w:eastAsia="Calibri" w:hAnsi="Verdana" w:cs="Arial"/>
        </w:rPr>
        <w:t>se entenderá como Contratos en Ejecución los que se encuentren en etapa de</w:t>
      </w:r>
      <w:r>
        <w:rPr>
          <w:rFonts w:ascii="Verdana" w:eastAsia="Calibri" w:hAnsi="Verdana" w:cs="Arial"/>
        </w:rPr>
        <w:t xml:space="preserve"> </w:t>
      </w:r>
      <w:r w:rsidRPr="0031121F">
        <w:rPr>
          <w:rFonts w:ascii="Verdana" w:eastAsia="Calibri" w:hAnsi="Verdana" w:cs="Arial"/>
        </w:rPr>
        <w:t>liquidación o ya fueron liquidados</w:t>
      </w:r>
      <w:r>
        <w:rPr>
          <w:rFonts w:ascii="Verdana" w:eastAsia="Calibri" w:hAnsi="Verdana" w:cs="Arial"/>
        </w:rPr>
        <w:t>, por ende estos no deberán ser reportados por el proponente para efectos de calcular su capacidad residual, y su no presentación, no implica para el proponente incurrir en la causal de rechazo</w:t>
      </w:r>
      <w:r w:rsidRPr="000F2548">
        <w:rPr>
          <w:rFonts w:ascii="Verdana" w:hAnsi="Verdana" w:cs="Arial"/>
        </w:rPr>
        <w:t xml:space="preserve"> </w:t>
      </w:r>
      <w:r w:rsidRPr="00D764DD">
        <w:rPr>
          <w:rFonts w:ascii="Verdana" w:hAnsi="Verdana" w:cs="Arial"/>
        </w:rPr>
        <w:t>del literal Z del numeral 1.15 de los documentos tipo</w:t>
      </w:r>
      <w:r>
        <w:rPr>
          <w:rFonts w:ascii="Verdana" w:hAnsi="Verdana" w:cs="Arial"/>
        </w:rPr>
        <w:t>.</w:t>
      </w:r>
    </w:p>
    <w:p w14:paraId="42AC88B6" w14:textId="77777777" w:rsidR="00DA1763" w:rsidRDefault="00DA1763" w:rsidP="000B1909">
      <w:pPr>
        <w:pStyle w:val="Prrafodelista"/>
        <w:jc w:val="both"/>
        <w:rPr>
          <w:rFonts w:ascii="Verdana" w:hAnsi="Verdana" w:cs="Arial"/>
        </w:rPr>
      </w:pPr>
    </w:p>
    <w:p w14:paraId="781E5B84" w14:textId="71B73578" w:rsidR="00DA1763" w:rsidRPr="00B27BAC" w:rsidRDefault="00DA1763" w:rsidP="00B27BAC">
      <w:pPr>
        <w:pStyle w:val="Prrafodelista"/>
        <w:numPr>
          <w:ilvl w:val="0"/>
          <w:numId w:val="20"/>
        </w:numPr>
        <w:spacing w:after="0" w:line="276" w:lineRule="auto"/>
        <w:jc w:val="both"/>
        <w:rPr>
          <w:rFonts w:ascii="Verdana" w:hAnsi="Verdana" w:cs="Arial"/>
          <w:i/>
          <w:iCs/>
        </w:rPr>
      </w:pPr>
      <w:r>
        <w:rPr>
          <w:rFonts w:ascii="Verdana" w:eastAsia="Calibri" w:hAnsi="Verdana" w:cs="Arial"/>
          <w:bCs/>
          <w:color w:val="000000" w:themeColor="text1"/>
          <w:lang w:val="es-MX"/>
        </w:rPr>
        <w:t>Ahora bien, p</w:t>
      </w:r>
      <w:r w:rsidRPr="00B27BAC">
        <w:rPr>
          <w:rFonts w:ascii="Verdana" w:eastAsia="Calibri" w:hAnsi="Verdana" w:cs="Arial"/>
          <w:bCs/>
          <w:color w:val="000000" w:themeColor="text1"/>
          <w:lang w:val="es-MX"/>
        </w:rPr>
        <w:t xml:space="preserve">articularmente, </w:t>
      </w:r>
      <w:bookmarkStart w:id="2" w:name="_Hlk100139879"/>
      <w:r w:rsidRPr="00B27BAC">
        <w:rPr>
          <w:rFonts w:ascii="Verdana" w:eastAsia="Calibri" w:hAnsi="Verdana" w:cs="Arial"/>
          <w:bCs/>
          <w:color w:val="000000" w:themeColor="text1"/>
          <w:lang w:val="es-MX"/>
        </w:rPr>
        <w:t xml:space="preserve">respecto del factor de saldos de los contratos en ejecución </w:t>
      </w:r>
      <w:r w:rsidRPr="00B27BAC">
        <w:rPr>
          <w:rFonts w:ascii="Verdana" w:eastAsia="Calibri" w:hAnsi="Verdana" w:cs="Arial"/>
          <w:bCs/>
          <w:color w:val="000000" w:themeColor="text1"/>
        </w:rPr>
        <w:t>“SCE”,</w:t>
      </w:r>
      <w:r w:rsidRPr="00B27BAC">
        <w:rPr>
          <w:rFonts w:ascii="Verdana" w:hAnsi="Verdana" w:cs="Arial"/>
        </w:rPr>
        <w:t xml:space="preserve"> es necesario tener en cuenta que la Guía para Determinar y Verificar la Capacidad Residual del Proponente en los Procesos de Contratación de Obra Pública</w:t>
      </w:r>
      <w:r w:rsidRPr="00B27BAC">
        <w:rPr>
          <w:rFonts w:ascii="Verdana" w:hAnsi="Verdana" w:cs="Arial"/>
          <w:i/>
          <w:iCs/>
        </w:rPr>
        <w:t xml:space="preserve">, </w:t>
      </w:r>
      <w:r w:rsidRPr="00B27BAC">
        <w:rPr>
          <w:rFonts w:ascii="Verdana" w:hAnsi="Verdana" w:cs="Arial"/>
        </w:rPr>
        <w:t xml:space="preserve">define a este factor </w:t>
      </w:r>
      <w:r w:rsidRPr="00B27BAC">
        <w:rPr>
          <w:rFonts w:ascii="Verdana" w:eastAsia="Calibri" w:hAnsi="Verdana" w:cs="Arial"/>
          <w:bCs/>
          <w:color w:val="000000" w:themeColor="text1"/>
        </w:rPr>
        <w:t>como “la suma de los montos por ejecutar de los contratos en ejecución durante los 12 meses siguientes</w:t>
      </w:r>
      <w:bookmarkEnd w:id="2"/>
      <w:r w:rsidRPr="00B27BAC">
        <w:rPr>
          <w:rFonts w:ascii="Verdana" w:eastAsia="Calibri" w:hAnsi="Verdana" w:cs="Arial"/>
          <w:bCs/>
          <w:color w:val="000000" w:themeColor="text1"/>
        </w:rPr>
        <w:t>”. Así mismo, define los</w:t>
      </w:r>
      <w:r w:rsidRPr="00B27BAC">
        <w:rPr>
          <w:rFonts w:ascii="Verdana" w:hAnsi="Verdana" w:cs="Arial"/>
        </w:rPr>
        <w:t xml:space="preserve"> </w:t>
      </w:r>
      <w:bookmarkStart w:id="3" w:name="_Hlk78819022"/>
      <w:r w:rsidRPr="00B27BAC">
        <w:rPr>
          <w:rFonts w:ascii="Verdana" w:hAnsi="Verdana" w:cs="Arial"/>
          <w:i/>
          <w:iCs/>
        </w:rPr>
        <w:t>Contratos en Ejecución</w:t>
      </w:r>
      <w:r w:rsidRPr="00B27BAC">
        <w:rPr>
          <w:rFonts w:ascii="Verdana" w:hAnsi="Verdana" w:cs="Arial"/>
        </w:rPr>
        <w:t xml:space="preserve"> </w:t>
      </w:r>
      <w:bookmarkEnd w:id="3"/>
      <w:r w:rsidRPr="00B27BAC">
        <w:rPr>
          <w:rFonts w:ascii="Verdana" w:hAnsi="Verdana" w:cs="Arial"/>
        </w:rPr>
        <w:t xml:space="preserve">de la siguiente manera: </w:t>
      </w:r>
      <w:r w:rsidRPr="00B27BAC">
        <w:rPr>
          <w:rFonts w:ascii="Verdana" w:hAnsi="Verdana" w:cs="Arial"/>
          <w:i/>
          <w:iCs/>
        </w:rPr>
        <w:t xml:space="preserve"> </w:t>
      </w:r>
    </w:p>
    <w:p w14:paraId="3FA9BD01" w14:textId="77777777" w:rsidR="00DA1763" w:rsidRPr="00365EA5" w:rsidRDefault="00DA1763" w:rsidP="00DA1763">
      <w:pPr>
        <w:spacing w:after="0" w:line="276" w:lineRule="auto"/>
        <w:jc w:val="both"/>
        <w:rPr>
          <w:rFonts w:ascii="Verdana" w:hAnsi="Verdana" w:cs="Arial"/>
          <w:i/>
          <w:iCs/>
        </w:rPr>
      </w:pPr>
    </w:p>
    <w:p w14:paraId="6DC4B87C" w14:textId="77777777" w:rsidR="00DA1763" w:rsidRPr="00365EA5" w:rsidRDefault="00DA1763" w:rsidP="00DA1763">
      <w:pPr>
        <w:spacing w:after="0" w:line="240" w:lineRule="auto"/>
        <w:ind w:left="709" w:right="709"/>
        <w:jc w:val="both"/>
        <w:rPr>
          <w:rFonts w:ascii="Verdana" w:hAnsi="Verdana" w:cs="Arial"/>
          <w:sz w:val="21"/>
          <w:szCs w:val="21"/>
        </w:rPr>
      </w:pPr>
      <w:r>
        <w:rPr>
          <w:rFonts w:ascii="Verdana" w:hAnsi="Verdana" w:cs="Arial"/>
          <w:sz w:val="21"/>
          <w:szCs w:val="21"/>
        </w:rPr>
        <w:t>“</w:t>
      </w:r>
      <w:r w:rsidRPr="00365EA5">
        <w:rPr>
          <w:rFonts w:ascii="Verdana" w:hAnsi="Verdana" w:cs="Arial"/>
          <w:sz w:val="21"/>
          <w:szCs w:val="21"/>
        </w:rPr>
        <w:t xml:space="preserve">Son los contratos que a la fecha de presentación de la oferta obligan al proponente con Entidades Estatales y con entidades privadas para ejecutar obras civiles, incluyendo la ejecución de obras civiles en los contratos de concesión y los contratos de obra suscritos con </w:t>
      </w:r>
      <w:r w:rsidRPr="00365EA5">
        <w:rPr>
          <w:rFonts w:ascii="Verdana" w:hAnsi="Verdana" w:cs="Arial"/>
          <w:sz w:val="21"/>
          <w:szCs w:val="21"/>
        </w:rPr>
        <w:lastRenderedPageBreak/>
        <w:t>concesionarios, incluyendo los contratos suspendidos y aquellos que no tengan acta de inicio. No se entenderán como contratos en ejecución los que se encuentren en liquidación.</w:t>
      </w:r>
      <w:r>
        <w:rPr>
          <w:rFonts w:ascii="Verdana" w:hAnsi="Verdana" w:cs="Arial"/>
          <w:sz w:val="21"/>
          <w:szCs w:val="21"/>
        </w:rPr>
        <w:t>”</w:t>
      </w:r>
    </w:p>
    <w:p w14:paraId="2EE6672E" w14:textId="77777777" w:rsidR="00DA1763" w:rsidRPr="00365EA5" w:rsidRDefault="00DA1763" w:rsidP="00DA1763">
      <w:pPr>
        <w:spacing w:after="0" w:line="276" w:lineRule="auto"/>
        <w:ind w:right="709"/>
        <w:jc w:val="both"/>
        <w:rPr>
          <w:rFonts w:ascii="Verdana" w:hAnsi="Verdana" w:cs="Arial"/>
        </w:rPr>
      </w:pPr>
    </w:p>
    <w:p w14:paraId="58112C8C" w14:textId="77777777" w:rsidR="00DA1763" w:rsidRPr="00365EA5" w:rsidRDefault="00DA1763" w:rsidP="00DA1763">
      <w:pPr>
        <w:spacing w:after="0" w:line="276" w:lineRule="auto"/>
        <w:jc w:val="both"/>
        <w:rPr>
          <w:rFonts w:ascii="Verdana" w:hAnsi="Verdana" w:cs="Arial"/>
          <w:lang w:val="es-MX"/>
        </w:rPr>
      </w:pPr>
      <w:bookmarkStart w:id="4" w:name="_Hlk100139912"/>
      <w:bookmarkStart w:id="5" w:name="_Hlk103609030"/>
      <w:r w:rsidRPr="00365EA5">
        <w:rPr>
          <w:rFonts w:ascii="Verdana" w:hAnsi="Verdana" w:cs="Arial"/>
        </w:rPr>
        <w:t>En este sentido, los saldos pendientes se derivan de las obligaciones que se encuentran en ejecución al momento de la presentación de la oferta y se refieren a contratos cuyo objeto sea la ejecución de obras civiles</w:t>
      </w:r>
      <w:bookmarkEnd w:id="4"/>
      <w:r w:rsidRPr="00365EA5">
        <w:rPr>
          <w:rFonts w:ascii="Verdana" w:hAnsi="Verdana" w:cs="Arial"/>
        </w:rPr>
        <w:t xml:space="preserve">. </w:t>
      </w:r>
      <w:bookmarkStart w:id="6" w:name="_Hlk100139986"/>
      <w:r w:rsidRPr="00365EA5">
        <w:rPr>
          <w:rFonts w:ascii="Verdana" w:hAnsi="Verdana" w:cs="Arial"/>
        </w:rPr>
        <w:t xml:space="preserve">Se aclara que deben tenerse en cuenta los contratos sin acta de inicio, pues el criterio determinante para establecer si un contrato se encuentra en ejecución no lo determina el acta, sino que el mismo contrato obligue al proponente, tal como se establece en la Guía indicada. Además, los saldos pendientes por ejecutar de los contratos afectados por una suspensión constituyen, también, información relevante para calcular la capacidad residual del proponente </w:t>
      </w:r>
      <w:r>
        <w:rPr>
          <w:rFonts w:ascii="Verdana" w:eastAsia="Calibri" w:hAnsi="Verdana" w:cs="Arial"/>
          <w:b/>
          <w:color w:val="000000" w:themeColor="text1"/>
        </w:rPr>
        <w:t>“</w:t>
      </w:r>
      <w:r w:rsidRPr="00365EA5">
        <w:rPr>
          <w:rFonts w:ascii="Verdana" w:eastAsia="Calibri" w:hAnsi="Verdana" w:cs="Arial"/>
          <w:bCs/>
          <w:color w:val="000000" w:themeColor="text1"/>
        </w:rPr>
        <w:t>CRP</w:t>
      </w:r>
      <w:r>
        <w:rPr>
          <w:rFonts w:ascii="Verdana" w:eastAsia="Calibri" w:hAnsi="Verdana" w:cs="Arial"/>
          <w:b/>
          <w:color w:val="000000" w:themeColor="text1"/>
        </w:rPr>
        <w:t>”</w:t>
      </w:r>
      <w:r w:rsidRPr="00365EA5">
        <w:rPr>
          <w:rFonts w:ascii="Verdana" w:hAnsi="Verdana" w:cs="Arial"/>
        </w:rPr>
        <w:t>. Lo anterior, en la medida en que la ejecución de los contratos en principio suspendidos puede, eventualmente, afectar la aptitud del oferente para cumplir con el contrato ofertado, razón por la que, ante la posibilidad de que tales contratos se reanuden, la Guía estimó necesario evaluar los saldos pendientes por ejecutar de tales contratos para determinar si el proponente cumple con la capacidad residual requerida</w:t>
      </w:r>
      <w:bookmarkEnd w:id="5"/>
      <w:bookmarkEnd w:id="6"/>
      <w:r w:rsidRPr="00365EA5">
        <w:rPr>
          <w:rFonts w:ascii="Verdana" w:hAnsi="Verdana" w:cs="Arial"/>
        </w:rPr>
        <w:t xml:space="preserve">. </w:t>
      </w:r>
      <w:r w:rsidRPr="00365EA5">
        <w:rPr>
          <w:rFonts w:ascii="Verdana" w:hAnsi="Verdana" w:cs="Arial"/>
          <w:lang w:val="es-MX"/>
        </w:rPr>
        <w:t>Por lo demás, en dicha guía también se precisa que:</w:t>
      </w:r>
    </w:p>
    <w:p w14:paraId="25E6D2B9" w14:textId="77777777" w:rsidR="00DA1763" w:rsidRPr="00365EA5" w:rsidRDefault="00DA1763" w:rsidP="00DA1763">
      <w:pPr>
        <w:spacing w:after="0" w:line="276" w:lineRule="auto"/>
        <w:ind w:firstLine="709"/>
        <w:jc w:val="both"/>
        <w:rPr>
          <w:rFonts w:ascii="Verdana" w:hAnsi="Verdana" w:cs="Arial"/>
          <w:szCs w:val="20"/>
          <w:lang w:val="es-MX"/>
        </w:rPr>
      </w:pPr>
    </w:p>
    <w:p w14:paraId="232ED136" w14:textId="77777777" w:rsidR="00DA1763" w:rsidRPr="00365EA5" w:rsidRDefault="00DA1763" w:rsidP="00DA1763">
      <w:pPr>
        <w:spacing w:after="0"/>
        <w:ind w:left="709" w:right="709"/>
        <w:jc w:val="both"/>
        <w:rPr>
          <w:rFonts w:ascii="Verdana" w:hAnsi="Verdana" w:cs="Arial"/>
          <w:sz w:val="21"/>
          <w:szCs w:val="21"/>
        </w:rPr>
      </w:pPr>
      <w:bookmarkStart w:id="7" w:name="_Hlk100140013"/>
      <w:r>
        <w:rPr>
          <w:rFonts w:ascii="Verdana" w:hAnsi="Verdana" w:cs="Arial"/>
          <w:sz w:val="21"/>
          <w:szCs w:val="21"/>
        </w:rPr>
        <w:t>“</w:t>
      </w:r>
      <w:r w:rsidRPr="00365EA5">
        <w:rPr>
          <w:rFonts w:ascii="Verdana" w:hAnsi="Verdana" w:cs="Arial"/>
          <w:sz w:val="21"/>
          <w:szCs w:val="21"/>
        </w:rPr>
        <w:t>El cálculo del Saldo de los Contratos en Ejecución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el respectivo contratista. Si el número de días por ejecutar en un contrato es superior a 12 meses, es decir 360 días, el Saldo del Contrato en Ejecución solo tendrá en cuenta la proporción lineal de 12 meses</w:t>
      </w:r>
      <w:bookmarkEnd w:id="7"/>
      <w:r w:rsidRPr="00365EA5">
        <w:rPr>
          <w:rFonts w:ascii="Verdana" w:hAnsi="Verdana" w:cs="Arial"/>
          <w:sz w:val="21"/>
          <w:szCs w:val="21"/>
        </w:rPr>
        <w:t>.</w:t>
      </w:r>
    </w:p>
    <w:p w14:paraId="561CBB77" w14:textId="77777777" w:rsidR="00DA1763" w:rsidRPr="00365EA5" w:rsidRDefault="00DA1763" w:rsidP="00DA1763">
      <w:pPr>
        <w:spacing w:after="0"/>
        <w:ind w:left="709" w:right="709"/>
        <w:jc w:val="both"/>
        <w:rPr>
          <w:rFonts w:ascii="Verdana" w:hAnsi="Verdana" w:cs="Arial"/>
          <w:sz w:val="21"/>
          <w:szCs w:val="21"/>
          <w:lang w:val="es-MX"/>
        </w:rPr>
      </w:pPr>
      <w:r w:rsidRPr="00365EA5">
        <w:rPr>
          <w:rFonts w:ascii="Verdana" w:hAnsi="Verdana" w:cs="Arial"/>
          <w:sz w:val="21"/>
          <w:szCs w:val="21"/>
          <w:lang w:val="es-MX"/>
        </w:rPr>
        <w:t>[…]</w:t>
      </w:r>
    </w:p>
    <w:p w14:paraId="27509C93" w14:textId="77777777" w:rsidR="00DA1763" w:rsidRPr="00365EA5" w:rsidRDefault="00DA1763" w:rsidP="00DA1763">
      <w:pPr>
        <w:spacing w:after="0"/>
        <w:ind w:left="709" w:right="709"/>
        <w:jc w:val="both"/>
        <w:rPr>
          <w:rFonts w:ascii="Verdana" w:hAnsi="Verdana" w:cs="Arial"/>
          <w:sz w:val="21"/>
          <w:szCs w:val="21"/>
        </w:rPr>
      </w:pPr>
      <w:r w:rsidRPr="00365EA5">
        <w:rPr>
          <w:rFonts w:ascii="Verdana" w:hAnsi="Verdana" w:cs="Arial"/>
          <w:i/>
          <w:iCs/>
          <w:sz w:val="21"/>
          <w:szCs w:val="21"/>
        </w:rPr>
        <w:t>Si un contrato se encuentra suspendido, el cálculo del Saldo del Contrato en Ejecución de dicho contrato debe calcularse asumiendo que lo que falta por ejecutar empezará a ejecutarse en la fecha de la presentación de la oferta del Proceso de Contratación</w:t>
      </w:r>
      <w:r w:rsidRPr="00365EA5">
        <w:rPr>
          <w:rFonts w:ascii="Verdana" w:hAnsi="Verdana" w:cs="Arial"/>
          <w:sz w:val="21"/>
          <w:szCs w:val="21"/>
        </w:rPr>
        <w:t>.</w:t>
      </w:r>
      <w:r>
        <w:rPr>
          <w:rFonts w:ascii="Verdana" w:hAnsi="Verdana" w:cs="Arial"/>
          <w:sz w:val="21"/>
          <w:szCs w:val="21"/>
        </w:rPr>
        <w:t>”</w:t>
      </w:r>
      <w:r w:rsidRPr="00365EA5">
        <w:rPr>
          <w:rFonts w:ascii="Verdana" w:hAnsi="Verdana" w:cs="Arial"/>
          <w:sz w:val="21"/>
          <w:szCs w:val="21"/>
        </w:rPr>
        <w:t xml:space="preserve"> (Énfasis fuera de texto)</w:t>
      </w:r>
    </w:p>
    <w:p w14:paraId="5A936CCC" w14:textId="77777777" w:rsidR="00DA1763" w:rsidRPr="00365EA5" w:rsidRDefault="00DA1763" w:rsidP="00DA1763">
      <w:pPr>
        <w:spacing w:after="0" w:line="276" w:lineRule="auto"/>
        <w:ind w:firstLine="709"/>
        <w:jc w:val="both"/>
        <w:rPr>
          <w:rFonts w:ascii="Verdana" w:hAnsi="Verdana" w:cs="Arial"/>
        </w:rPr>
      </w:pPr>
    </w:p>
    <w:p w14:paraId="64C1AD31" w14:textId="77777777" w:rsidR="00DA1763" w:rsidRPr="00365EA5" w:rsidRDefault="00DA1763" w:rsidP="00DA1763">
      <w:pPr>
        <w:spacing w:after="0" w:line="276" w:lineRule="auto"/>
        <w:jc w:val="both"/>
        <w:rPr>
          <w:rFonts w:ascii="Verdana" w:hAnsi="Verdana" w:cs="Arial"/>
        </w:rPr>
      </w:pPr>
      <w:r w:rsidRPr="00365EA5">
        <w:rPr>
          <w:rFonts w:ascii="Verdana" w:hAnsi="Verdana" w:cs="Arial"/>
        </w:rPr>
        <w:t xml:space="preserve">De este modo, para acreditar el factor </w:t>
      </w:r>
      <w:r w:rsidRPr="00365EA5">
        <w:rPr>
          <w:rFonts w:ascii="Verdana" w:eastAsia="Calibri" w:hAnsi="Verdana" w:cs="Arial"/>
          <w:bCs/>
          <w:color w:val="000000" w:themeColor="text1"/>
          <w:lang w:val="es-MX"/>
        </w:rPr>
        <w:t xml:space="preserve">saldos de los contratos en ejecución </w:t>
      </w:r>
      <w:r>
        <w:rPr>
          <w:rFonts w:ascii="Verdana" w:eastAsia="Calibri" w:hAnsi="Verdana" w:cs="Arial"/>
          <w:bCs/>
          <w:color w:val="000000" w:themeColor="text1"/>
        </w:rPr>
        <w:t>“</w:t>
      </w:r>
      <w:r w:rsidRPr="00365EA5">
        <w:rPr>
          <w:rFonts w:ascii="Verdana" w:eastAsia="Calibri" w:hAnsi="Verdana" w:cs="Arial"/>
          <w:bCs/>
          <w:color w:val="000000" w:themeColor="text1"/>
        </w:rPr>
        <w:t>SCE</w:t>
      </w:r>
      <w:r>
        <w:rPr>
          <w:rFonts w:ascii="Verdana" w:eastAsia="Calibri" w:hAnsi="Verdana" w:cs="Arial"/>
          <w:bCs/>
          <w:color w:val="000000" w:themeColor="text1"/>
        </w:rPr>
        <w:t>”</w:t>
      </w:r>
      <w:r w:rsidRPr="00365EA5">
        <w:rPr>
          <w:rFonts w:ascii="Verdana" w:eastAsia="Calibri" w:hAnsi="Verdana" w:cs="Arial"/>
          <w:bCs/>
          <w:color w:val="000000" w:themeColor="text1"/>
        </w:rPr>
        <w:t>,</w:t>
      </w:r>
      <w:r w:rsidRPr="00365EA5">
        <w:rPr>
          <w:rFonts w:ascii="Verdana" w:hAnsi="Verdana" w:cs="Arial"/>
        </w:rPr>
        <w:t xml:space="preserve">  como lo establece la Guía, el proponente debe presentar la lista de contratos de obras civiles en ejecución, tanto a nivel nacional como internacional señalando: i) el valor del contrato; ii) el plazo del contrato en meses; iii) la fecha </w:t>
      </w:r>
      <w:r w:rsidRPr="00365EA5">
        <w:rPr>
          <w:rFonts w:ascii="Verdana" w:hAnsi="Verdana" w:cs="Arial"/>
        </w:rPr>
        <w:lastRenderedPageBreak/>
        <w:t xml:space="preserve">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En concordancia con lo anterior, sobre la acreditación del factor </w:t>
      </w:r>
      <w:r>
        <w:rPr>
          <w:rFonts w:ascii="Verdana" w:eastAsia="Calibri" w:hAnsi="Verdana" w:cs="Arial"/>
          <w:bCs/>
          <w:color w:val="000000" w:themeColor="text1"/>
        </w:rPr>
        <w:t>“</w:t>
      </w:r>
      <w:r w:rsidRPr="00365EA5">
        <w:rPr>
          <w:rFonts w:ascii="Verdana" w:eastAsia="Calibri" w:hAnsi="Verdana" w:cs="Arial"/>
          <w:bCs/>
          <w:color w:val="000000" w:themeColor="text1"/>
        </w:rPr>
        <w:t>SCE</w:t>
      </w:r>
      <w:r>
        <w:rPr>
          <w:rFonts w:ascii="Verdana" w:eastAsia="Calibri" w:hAnsi="Verdana" w:cs="Arial"/>
          <w:bCs/>
          <w:color w:val="000000" w:themeColor="text1"/>
        </w:rPr>
        <w:t>”</w:t>
      </w:r>
      <w:r w:rsidRPr="00365EA5">
        <w:rPr>
          <w:rFonts w:ascii="Verdana" w:eastAsia="Calibri" w:hAnsi="Verdana" w:cs="Arial"/>
          <w:bCs/>
          <w:color w:val="000000" w:themeColor="text1"/>
        </w:rPr>
        <w:t xml:space="preserve"> </w:t>
      </w:r>
      <w:r w:rsidRPr="00365EA5">
        <w:rPr>
          <w:rFonts w:ascii="Verdana" w:hAnsi="Verdana" w:cs="Arial"/>
        </w:rPr>
        <w:t xml:space="preserve">en los documentos tipo de licitación de obra pública para infraestructura de transporte, </w:t>
      </w:r>
      <w:bookmarkStart w:id="8" w:name="_Hlk100140108"/>
      <w:r w:rsidRPr="00365EA5">
        <w:rPr>
          <w:rFonts w:ascii="Verdana" w:hAnsi="Verdana" w:cs="Arial"/>
        </w:rPr>
        <w:t>el literal E del numeral 3.10.2 del documento base</w:t>
      </w:r>
      <w:bookmarkEnd w:id="8"/>
      <w:r w:rsidRPr="00365EA5">
        <w:rPr>
          <w:rFonts w:ascii="Verdana" w:hAnsi="Verdana" w:cs="Arial"/>
        </w:rPr>
        <w:t xml:space="preserve"> señala lo siguiente:</w:t>
      </w:r>
    </w:p>
    <w:p w14:paraId="751E1DE5" w14:textId="77777777" w:rsidR="00DA1763" w:rsidRPr="00365EA5" w:rsidRDefault="00DA1763" w:rsidP="00DA1763">
      <w:pPr>
        <w:spacing w:after="0" w:line="276" w:lineRule="auto"/>
        <w:ind w:firstLine="709"/>
        <w:jc w:val="both"/>
        <w:rPr>
          <w:rFonts w:ascii="Verdana" w:hAnsi="Verdana" w:cs="Arial"/>
        </w:rPr>
      </w:pPr>
    </w:p>
    <w:p w14:paraId="1F6DC604" w14:textId="77777777" w:rsidR="00DA1763" w:rsidRPr="00365EA5" w:rsidRDefault="00DA1763" w:rsidP="00DA1763">
      <w:pPr>
        <w:spacing w:after="0"/>
        <w:ind w:left="708" w:right="709"/>
        <w:jc w:val="both"/>
        <w:rPr>
          <w:rFonts w:ascii="Verdana" w:eastAsia="Arial," w:hAnsi="Verdana" w:cs="Arial"/>
          <w:sz w:val="21"/>
          <w:szCs w:val="21"/>
        </w:rPr>
      </w:pPr>
      <w:r w:rsidRPr="00365EA5">
        <w:rPr>
          <w:rFonts w:ascii="Verdana" w:hAnsi="Verdana" w:cs="Arial"/>
          <w:sz w:val="21"/>
          <w:szCs w:val="21"/>
        </w:rPr>
        <w:t>Para</w:t>
      </w:r>
      <w:r w:rsidRPr="00365EA5">
        <w:rPr>
          <w:rFonts w:ascii="Verdana" w:eastAsia="Arial," w:hAnsi="Verdana" w:cs="Arial"/>
          <w:sz w:val="21"/>
          <w:szCs w:val="21"/>
        </w:rPr>
        <w:t xml:space="preserve"> </w:t>
      </w:r>
      <w:r w:rsidRPr="00365EA5">
        <w:rPr>
          <w:rFonts w:ascii="Verdana" w:hAnsi="Verdana" w:cs="Arial"/>
          <w:sz w:val="21"/>
          <w:szCs w:val="21"/>
        </w:rPr>
        <w:t>acreditar</w:t>
      </w:r>
      <w:r w:rsidRPr="00365EA5">
        <w:rPr>
          <w:rFonts w:ascii="Verdana" w:eastAsia="Arial," w:hAnsi="Verdana" w:cs="Arial"/>
          <w:sz w:val="21"/>
          <w:szCs w:val="21"/>
        </w:rPr>
        <w:t xml:space="preserve"> </w:t>
      </w:r>
      <w:r w:rsidRPr="00365EA5">
        <w:rPr>
          <w:rFonts w:ascii="Verdana" w:hAnsi="Verdana" w:cs="Arial"/>
          <w:sz w:val="21"/>
          <w:szCs w:val="21"/>
        </w:rPr>
        <w:t>el</w:t>
      </w:r>
      <w:r w:rsidRPr="00365EA5">
        <w:rPr>
          <w:rFonts w:ascii="Verdana" w:eastAsia="Arial," w:hAnsi="Verdana" w:cs="Arial"/>
          <w:sz w:val="21"/>
          <w:szCs w:val="21"/>
        </w:rPr>
        <w:t xml:space="preserve"> </w:t>
      </w:r>
      <w:r w:rsidRPr="00365EA5">
        <w:rPr>
          <w:rFonts w:ascii="Verdana" w:hAnsi="Verdana" w:cs="Arial"/>
          <w:sz w:val="21"/>
          <w:szCs w:val="21"/>
        </w:rPr>
        <w:t>factor</w:t>
      </w:r>
      <w:r w:rsidRPr="00365EA5">
        <w:rPr>
          <w:rFonts w:ascii="Verdana" w:eastAsia="Arial," w:hAnsi="Verdana" w:cs="Arial"/>
          <w:sz w:val="21"/>
          <w:szCs w:val="21"/>
        </w:rPr>
        <w:t xml:space="preserve"> </w:t>
      </w:r>
      <w:r w:rsidRPr="00365EA5">
        <w:rPr>
          <w:rFonts w:ascii="Verdana" w:hAnsi="Verdana" w:cs="Arial"/>
          <w:sz w:val="21"/>
          <w:szCs w:val="21"/>
        </w:rPr>
        <w:t>(SCE)</w:t>
      </w:r>
      <w:r w:rsidRPr="00365EA5">
        <w:rPr>
          <w:rFonts w:ascii="Verdana" w:eastAsia="Arial," w:hAnsi="Verdana" w:cs="Arial"/>
          <w:sz w:val="21"/>
          <w:szCs w:val="21"/>
        </w:rPr>
        <w:t xml:space="preserve"> </w:t>
      </w:r>
      <w:r w:rsidRPr="00365EA5">
        <w:rPr>
          <w:rFonts w:ascii="Verdana" w:hAnsi="Verdana" w:cs="Arial"/>
          <w:sz w:val="21"/>
          <w:szCs w:val="21"/>
        </w:rPr>
        <w:t>el</w:t>
      </w:r>
      <w:r w:rsidRPr="00365EA5">
        <w:rPr>
          <w:rFonts w:ascii="Verdana" w:eastAsia="Arial," w:hAnsi="Verdana" w:cs="Arial"/>
          <w:sz w:val="21"/>
          <w:szCs w:val="21"/>
        </w:rPr>
        <w:t xml:space="preserve"> </w:t>
      </w:r>
      <w:r w:rsidRPr="00365EA5">
        <w:rPr>
          <w:rFonts w:ascii="Verdana" w:hAnsi="Verdana" w:cs="Arial"/>
          <w:sz w:val="21"/>
          <w:szCs w:val="21"/>
        </w:rPr>
        <w:t>Proponente</w:t>
      </w:r>
      <w:r w:rsidRPr="00365EA5">
        <w:rPr>
          <w:rFonts w:ascii="Verdana" w:eastAsia="Arial," w:hAnsi="Verdana" w:cs="Arial"/>
          <w:sz w:val="21"/>
          <w:szCs w:val="21"/>
        </w:rPr>
        <w:t xml:space="preserve"> </w:t>
      </w:r>
      <w:r w:rsidRPr="00365EA5">
        <w:rPr>
          <w:rFonts w:ascii="Verdana" w:hAnsi="Verdana" w:cs="Arial"/>
          <w:sz w:val="21"/>
          <w:szCs w:val="21"/>
        </w:rPr>
        <w:t>tendrá</w:t>
      </w:r>
      <w:r w:rsidRPr="00365EA5">
        <w:rPr>
          <w:rFonts w:ascii="Verdana" w:eastAsia="Arial," w:hAnsi="Verdana" w:cs="Arial"/>
          <w:sz w:val="21"/>
          <w:szCs w:val="21"/>
        </w:rPr>
        <w:t xml:space="preserve"> </w:t>
      </w:r>
      <w:r w:rsidRPr="00365EA5">
        <w:rPr>
          <w:rFonts w:ascii="Verdana" w:hAnsi="Verdana" w:cs="Arial"/>
          <w:sz w:val="21"/>
          <w:szCs w:val="21"/>
        </w:rPr>
        <w:t>en</w:t>
      </w:r>
      <w:r w:rsidRPr="00365EA5">
        <w:rPr>
          <w:rFonts w:ascii="Verdana" w:eastAsia="Arial," w:hAnsi="Verdana" w:cs="Arial"/>
          <w:sz w:val="21"/>
          <w:szCs w:val="21"/>
        </w:rPr>
        <w:t xml:space="preserve"> </w:t>
      </w:r>
      <w:r w:rsidRPr="00365EA5">
        <w:rPr>
          <w:rFonts w:ascii="Verdana" w:hAnsi="Verdana" w:cs="Arial"/>
          <w:sz w:val="21"/>
          <w:szCs w:val="21"/>
        </w:rPr>
        <w:t>cuenta</w:t>
      </w:r>
      <w:r w:rsidRPr="00365EA5">
        <w:rPr>
          <w:rFonts w:ascii="Verdana" w:eastAsia="Arial," w:hAnsi="Verdana" w:cs="Arial"/>
          <w:sz w:val="21"/>
          <w:szCs w:val="21"/>
        </w:rPr>
        <w:t xml:space="preserve"> </w:t>
      </w:r>
      <w:r w:rsidRPr="00365EA5">
        <w:rPr>
          <w:rFonts w:ascii="Verdana" w:hAnsi="Verdana" w:cs="Arial"/>
          <w:sz w:val="21"/>
          <w:szCs w:val="21"/>
        </w:rPr>
        <w:t>lo</w:t>
      </w:r>
      <w:r w:rsidRPr="00365EA5">
        <w:rPr>
          <w:rFonts w:ascii="Verdana" w:eastAsia="Arial," w:hAnsi="Verdana" w:cs="Arial"/>
          <w:sz w:val="21"/>
          <w:szCs w:val="21"/>
        </w:rPr>
        <w:t xml:space="preserve"> </w:t>
      </w:r>
      <w:r w:rsidRPr="00365EA5">
        <w:rPr>
          <w:rFonts w:ascii="Verdana" w:hAnsi="Verdana" w:cs="Arial"/>
          <w:sz w:val="21"/>
          <w:szCs w:val="21"/>
        </w:rPr>
        <w:t>siguiente:</w:t>
      </w:r>
      <w:r w:rsidRPr="00365EA5">
        <w:rPr>
          <w:rFonts w:ascii="Verdana" w:eastAsia="Arial," w:hAnsi="Verdana" w:cs="Arial"/>
          <w:sz w:val="21"/>
          <w:szCs w:val="21"/>
        </w:rPr>
        <w:t xml:space="preserve"> </w:t>
      </w:r>
    </w:p>
    <w:p w14:paraId="5152499D" w14:textId="77777777" w:rsidR="00DA1763" w:rsidRPr="00365EA5" w:rsidRDefault="00DA1763" w:rsidP="00DA1763">
      <w:pPr>
        <w:spacing w:after="0"/>
        <w:ind w:right="709" w:firstLine="709"/>
        <w:jc w:val="both"/>
        <w:rPr>
          <w:rFonts w:ascii="Verdana" w:eastAsia="Arial," w:hAnsi="Verdana" w:cs="Arial"/>
          <w:sz w:val="21"/>
          <w:szCs w:val="21"/>
        </w:rPr>
      </w:pPr>
      <w:r w:rsidRPr="00365EA5">
        <w:rPr>
          <w:rFonts w:ascii="Verdana" w:eastAsia="Arial," w:hAnsi="Verdana" w:cs="Arial"/>
          <w:sz w:val="21"/>
          <w:szCs w:val="21"/>
        </w:rPr>
        <w:t>[…]</w:t>
      </w:r>
    </w:p>
    <w:p w14:paraId="5CDEF4C9" w14:textId="77777777" w:rsidR="00DA1763" w:rsidRPr="00365EA5" w:rsidRDefault="00DA1763" w:rsidP="00DA1763">
      <w:pPr>
        <w:spacing w:after="0"/>
        <w:ind w:right="709" w:firstLine="709"/>
        <w:jc w:val="both"/>
        <w:rPr>
          <w:rFonts w:ascii="Verdana" w:eastAsia="Arial," w:hAnsi="Verdana" w:cs="Arial"/>
          <w:sz w:val="21"/>
          <w:szCs w:val="21"/>
        </w:rPr>
      </w:pPr>
    </w:p>
    <w:p w14:paraId="70619A4F" w14:textId="77777777" w:rsidR="00DA1763" w:rsidRPr="00365EA5" w:rsidRDefault="00DA1763" w:rsidP="00DA1763">
      <w:pPr>
        <w:spacing w:after="0"/>
        <w:ind w:left="1134" w:right="709" w:hanging="425"/>
        <w:jc w:val="both"/>
        <w:rPr>
          <w:rFonts w:ascii="Verdana" w:eastAsia="Arial" w:hAnsi="Verdana" w:cs="Arial"/>
          <w:sz w:val="21"/>
          <w:szCs w:val="21"/>
          <w:lang w:val="es-MX"/>
        </w:rPr>
      </w:pPr>
      <w:r w:rsidRPr="00365EA5">
        <w:rPr>
          <w:rFonts w:ascii="Verdana" w:eastAsia="Arial" w:hAnsi="Verdana" w:cs="Arial"/>
          <w:sz w:val="21"/>
          <w:szCs w:val="21"/>
          <w:lang w:val="es-MX"/>
        </w:rPr>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6B69B9FD" w14:textId="77777777" w:rsidR="00DA1763" w:rsidRPr="00365EA5" w:rsidRDefault="00DA1763" w:rsidP="00DA1763">
      <w:pPr>
        <w:spacing w:after="0"/>
        <w:ind w:left="1134" w:right="709" w:hanging="425"/>
        <w:jc w:val="both"/>
        <w:rPr>
          <w:rFonts w:ascii="Verdana" w:eastAsia="Arial" w:hAnsi="Verdana" w:cs="Arial"/>
          <w:sz w:val="21"/>
          <w:szCs w:val="21"/>
          <w:lang w:val="es-MX"/>
        </w:rPr>
      </w:pPr>
      <w:r w:rsidRPr="00365EA5">
        <w:rPr>
          <w:rFonts w:ascii="Verdana" w:eastAsia="Arial" w:hAnsi="Verdana" w:cs="Arial"/>
          <w:sz w:val="21"/>
          <w:szCs w:val="21"/>
          <w:lang w:val="es-MX"/>
        </w:rPr>
        <w:t>III.  Se tendrán en cuenta los contratos de obras civiles en ejecución suscritos por el proponente o por sociedades, consorcios o uniones temporales en los cuales el proponente tenga participación</w:t>
      </w:r>
    </w:p>
    <w:p w14:paraId="52111153" w14:textId="77777777" w:rsidR="00DA1763" w:rsidRPr="00365EA5" w:rsidRDefault="00DA1763" w:rsidP="00DA1763">
      <w:pPr>
        <w:spacing w:after="0"/>
        <w:ind w:left="1134" w:right="709" w:hanging="425"/>
        <w:jc w:val="both"/>
        <w:rPr>
          <w:rFonts w:ascii="Verdana" w:eastAsia="Arial" w:hAnsi="Verdana" w:cs="Arial"/>
          <w:i/>
          <w:iCs/>
          <w:sz w:val="21"/>
          <w:szCs w:val="21"/>
          <w:lang w:val="es-MX"/>
        </w:rPr>
      </w:pPr>
      <w:r w:rsidRPr="00365EA5">
        <w:rPr>
          <w:rFonts w:ascii="Verdana" w:eastAsia="Arial" w:hAnsi="Verdana" w:cs="Arial"/>
          <w:sz w:val="21"/>
          <w:szCs w:val="21"/>
          <w:lang w:val="es-MX"/>
        </w:rPr>
        <w:t xml:space="preserve">IV.  </w:t>
      </w:r>
      <w:bookmarkStart w:id="9" w:name="_Hlk100140218"/>
      <w:r w:rsidRPr="00365EA5">
        <w:rPr>
          <w:rFonts w:ascii="Verdana" w:eastAsia="Arial" w:hAnsi="Verdana" w:cs="Arial"/>
          <w:sz w:val="21"/>
          <w:szCs w:val="21"/>
          <w:lang w:val="es-MX"/>
        </w:rPr>
        <w:t>Si</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un</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contrato</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se</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encuentra</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suspendido,</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el</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cálculo</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del</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(SCE)</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de</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dicho</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contrato</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debe</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efectuarse</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asumiendo</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que</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lo</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que</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falta</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por</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ejecutar</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iniciara</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en</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la</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fecha de</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presentación</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de</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la</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oferta</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del</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Proceso de Contratación.</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Si</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el</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contrato</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está</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suspendido</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el</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Proponente</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debe</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informar</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el</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saldo</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pendiente</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por</w:t>
      </w:r>
      <w:r w:rsidRPr="00365EA5">
        <w:rPr>
          <w:rFonts w:ascii="Verdana" w:eastAsia="Arial," w:hAnsi="Verdana" w:cs="Arial"/>
          <w:sz w:val="21"/>
          <w:szCs w:val="21"/>
          <w:lang w:val="es-MX"/>
        </w:rPr>
        <w:t xml:space="preserve"> </w:t>
      </w:r>
      <w:r w:rsidRPr="00365EA5">
        <w:rPr>
          <w:rFonts w:ascii="Verdana" w:eastAsia="Arial" w:hAnsi="Verdana" w:cs="Arial"/>
          <w:sz w:val="21"/>
          <w:szCs w:val="21"/>
          <w:lang w:val="es-MX"/>
        </w:rPr>
        <w:t>ejecutar</w:t>
      </w:r>
      <w:bookmarkEnd w:id="9"/>
      <w:r w:rsidRPr="00365EA5">
        <w:rPr>
          <w:rFonts w:ascii="Verdana" w:eastAsia="Arial" w:hAnsi="Verdana" w:cs="Arial"/>
          <w:sz w:val="21"/>
          <w:szCs w:val="21"/>
          <w:lang w:val="es-MX"/>
        </w:rPr>
        <w:t>.</w:t>
      </w:r>
      <w:r w:rsidRPr="00365EA5">
        <w:rPr>
          <w:rFonts w:ascii="Verdana" w:eastAsia="Arial" w:hAnsi="Verdana" w:cs="Arial"/>
          <w:i/>
          <w:iCs/>
          <w:sz w:val="21"/>
          <w:szCs w:val="21"/>
          <w:lang w:val="es-MX"/>
        </w:rPr>
        <w:t xml:space="preserve"> </w:t>
      </w:r>
    </w:p>
    <w:p w14:paraId="73D28513" w14:textId="77777777" w:rsidR="00DA1763" w:rsidRPr="00365EA5" w:rsidRDefault="00DA1763" w:rsidP="00DA1763">
      <w:pPr>
        <w:spacing w:after="0"/>
        <w:ind w:left="1134" w:right="709" w:hanging="425"/>
        <w:jc w:val="both"/>
        <w:rPr>
          <w:rFonts w:ascii="Verdana" w:eastAsia="Arial" w:hAnsi="Verdana" w:cs="Arial"/>
          <w:sz w:val="21"/>
          <w:szCs w:val="21"/>
          <w:lang w:val="es-MX"/>
        </w:rPr>
      </w:pPr>
      <w:r w:rsidRPr="00365EA5">
        <w:rPr>
          <w:rFonts w:ascii="Verdana" w:eastAsia="Arial" w:hAnsi="Verdana" w:cs="Arial"/>
          <w:sz w:val="21"/>
          <w:szCs w:val="21"/>
          <w:lang w:val="es-MX"/>
        </w:rPr>
        <w:t xml:space="preserve">V.  </w:t>
      </w:r>
      <w:bookmarkStart w:id="10" w:name="_Hlk100140164"/>
      <w:r w:rsidRPr="00365EA5">
        <w:rPr>
          <w:rFonts w:ascii="Verdana" w:hAnsi="Verdana" w:cs="Arial"/>
          <w:sz w:val="21"/>
          <w:szCs w:val="21"/>
        </w:rPr>
        <w:t>El</w:t>
      </w:r>
      <w:r w:rsidRPr="00365EA5">
        <w:rPr>
          <w:rFonts w:ascii="Verdana" w:eastAsia="Arial" w:hAnsi="Verdana" w:cs="Arial"/>
          <w:sz w:val="21"/>
          <w:szCs w:val="21"/>
        </w:rPr>
        <w:t xml:space="preserve"> </w:t>
      </w:r>
      <w:r w:rsidRPr="00365EA5">
        <w:rPr>
          <w:rFonts w:ascii="Verdana" w:hAnsi="Verdana" w:cs="Arial"/>
          <w:sz w:val="21"/>
          <w:szCs w:val="21"/>
        </w:rPr>
        <w:t>cálculo</w:t>
      </w:r>
      <w:r w:rsidRPr="00365EA5">
        <w:rPr>
          <w:rFonts w:ascii="Verdana" w:eastAsia="Arial" w:hAnsi="Verdana" w:cs="Arial"/>
          <w:sz w:val="21"/>
          <w:szCs w:val="21"/>
        </w:rPr>
        <w:t xml:space="preserve"> </w:t>
      </w:r>
      <w:r w:rsidRPr="00365EA5">
        <w:rPr>
          <w:rFonts w:ascii="Verdana" w:hAnsi="Verdana" w:cs="Arial"/>
          <w:sz w:val="21"/>
          <w:szCs w:val="21"/>
        </w:rPr>
        <w:t>del</w:t>
      </w:r>
      <w:r w:rsidRPr="00365EA5">
        <w:rPr>
          <w:rFonts w:ascii="Verdana" w:eastAsia="Arial" w:hAnsi="Verdana" w:cs="Arial"/>
          <w:sz w:val="21"/>
          <w:szCs w:val="21"/>
        </w:rPr>
        <w:t xml:space="preserve"> </w:t>
      </w:r>
      <w:r w:rsidRPr="00365EA5">
        <w:rPr>
          <w:rFonts w:ascii="Verdana" w:hAnsi="Verdana" w:cs="Arial"/>
          <w:sz w:val="21"/>
          <w:szCs w:val="21"/>
        </w:rPr>
        <w:t>factor</w:t>
      </w:r>
      <w:r w:rsidRPr="00365EA5">
        <w:rPr>
          <w:rFonts w:ascii="Verdana" w:eastAsia="Arial" w:hAnsi="Verdana" w:cs="Arial"/>
          <w:sz w:val="21"/>
          <w:szCs w:val="21"/>
        </w:rPr>
        <w:t xml:space="preserve"> </w:t>
      </w:r>
      <w:r w:rsidRPr="00365EA5">
        <w:rPr>
          <w:rFonts w:ascii="Verdana" w:hAnsi="Verdana" w:cs="Arial"/>
          <w:sz w:val="21"/>
          <w:szCs w:val="21"/>
        </w:rPr>
        <w:t>(SCE)</w:t>
      </w:r>
      <w:r w:rsidRPr="00365EA5">
        <w:rPr>
          <w:rFonts w:ascii="Verdana" w:eastAsia="Arial" w:hAnsi="Verdana" w:cs="Arial"/>
          <w:sz w:val="21"/>
          <w:szCs w:val="21"/>
        </w:rPr>
        <w:t xml:space="preserve"> </w:t>
      </w:r>
      <w:r w:rsidRPr="00365EA5">
        <w:rPr>
          <w:rFonts w:ascii="Verdana" w:hAnsi="Verdana" w:cs="Arial"/>
          <w:sz w:val="21"/>
          <w:szCs w:val="21"/>
        </w:rPr>
        <w:t>debe</w:t>
      </w:r>
      <w:r w:rsidRPr="00365EA5">
        <w:rPr>
          <w:rFonts w:ascii="Verdana" w:eastAsia="Arial" w:hAnsi="Verdana" w:cs="Arial"/>
          <w:sz w:val="21"/>
          <w:szCs w:val="21"/>
        </w:rPr>
        <w:t xml:space="preserve"> </w:t>
      </w:r>
      <w:r w:rsidRPr="00365EA5">
        <w:rPr>
          <w:rFonts w:ascii="Verdana" w:hAnsi="Verdana" w:cs="Arial"/>
          <w:sz w:val="21"/>
          <w:szCs w:val="21"/>
        </w:rPr>
        <w:t>hacerse</w:t>
      </w:r>
      <w:r w:rsidRPr="00365EA5">
        <w:rPr>
          <w:rFonts w:ascii="Verdana" w:eastAsia="Arial" w:hAnsi="Verdana" w:cs="Arial"/>
          <w:sz w:val="21"/>
          <w:szCs w:val="21"/>
        </w:rPr>
        <w:t xml:space="preserve"> </w:t>
      </w:r>
      <w:r w:rsidRPr="00365EA5">
        <w:rPr>
          <w:rFonts w:ascii="Verdana" w:hAnsi="Verdana" w:cs="Arial"/>
          <w:sz w:val="21"/>
          <w:szCs w:val="21"/>
        </w:rPr>
        <w:t>linealmente</w:t>
      </w:r>
      <w:r w:rsidRPr="00365EA5">
        <w:rPr>
          <w:rFonts w:ascii="Verdana" w:eastAsia="Arial" w:hAnsi="Verdana" w:cs="Arial"/>
          <w:sz w:val="21"/>
          <w:szCs w:val="21"/>
        </w:rPr>
        <w:t xml:space="preserve"> </w:t>
      </w:r>
      <w:r w:rsidRPr="00365EA5">
        <w:rPr>
          <w:rFonts w:ascii="Verdana" w:hAnsi="Verdana" w:cs="Arial"/>
          <w:sz w:val="21"/>
          <w:szCs w:val="21"/>
        </w:rPr>
        <w:t>calculando</w:t>
      </w:r>
      <w:r w:rsidRPr="00365EA5">
        <w:rPr>
          <w:rFonts w:ascii="Verdana" w:eastAsia="Arial" w:hAnsi="Verdana" w:cs="Arial"/>
          <w:sz w:val="21"/>
          <w:szCs w:val="21"/>
        </w:rPr>
        <w:t xml:space="preserve"> </w:t>
      </w:r>
      <w:r w:rsidRPr="00365EA5">
        <w:rPr>
          <w:rFonts w:ascii="Verdana" w:hAnsi="Verdana" w:cs="Arial"/>
          <w:sz w:val="21"/>
          <w:szCs w:val="21"/>
        </w:rPr>
        <w:t>una</w:t>
      </w:r>
      <w:r w:rsidRPr="00365EA5">
        <w:rPr>
          <w:rFonts w:ascii="Verdana" w:eastAsia="Arial" w:hAnsi="Verdana" w:cs="Arial"/>
          <w:sz w:val="21"/>
          <w:szCs w:val="21"/>
        </w:rPr>
        <w:t xml:space="preserve"> </w:t>
      </w:r>
      <w:r w:rsidRPr="00365EA5">
        <w:rPr>
          <w:rFonts w:ascii="Verdana" w:hAnsi="Verdana" w:cs="Arial"/>
          <w:sz w:val="21"/>
          <w:szCs w:val="21"/>
        </w:rPr>
        <w:t>ejecución</w:t>
      </w:r>
      <w:r w:rsidRPr="00365EA5">
        <w:rPr>
          <w:rFonts w:ascii="Verdana" w:eastAsia="Arial" w:hAnsi="Verdana" w:cs="Arial"/>
          <w:sz w:val="21"/>
          <w:szCs w:val="21"/>
        </w:rPr>
        <w:t xml:space="preserve"> </w:t>
      </w:r>
      <w:r w:rsidRPr="00365EA5">
        <w:rPr>
          <w:rFonts w:ascii="Verdana" w:hAnsi="Verdana" w:cs="Arial"/>
          <w:sz w:val="21"/>
          <w:szCs w:val="21"/>
        </w:rPr>
        <w:t>diaria</w:t>
      </w:r>
      <w:r w:rsidRPr="00365EA5">
        <w:rPr>
          <w:rFonts w:ascii="Verdana" w:eastAsia="Arial" w:hAnsi="Verdana" w:cs="Arial"/>
          <w:sz w:val="21"/>
          <w:szCs w:val="21"/>
        </w:rPr>
        <w:t xml:space="preserve"> </w:t>
      </w:r>
      <w:r w:rsidRPr="00365EA5">
        <w:rPr>
          <w:rFonts w:ascii="Verdana" w:hAnsi="Verdana" w:cs="Arial"/>
          <w:sz w:val="21"/>
          <w:szCs w:val="21"/>
        </w:rPr>
        <w:t>equivalente</w:t>
      </w:r>
      <w:r w:rsidRPr="00365EA5">
        <w:rPr>
          <w:rFonts w:ascii="Verdana" w:eastAsia="Arial" w:hAnsi="Verdana" w:cs="Arial"/>
          <w:sz w:val="21"/>
          <w:szCs w:val="21"/>
        </w:rPr>
        <w:t xml:space="preserve"> </w:t>
      </w:r>
      <w:r w:rsidRPr="00365EA5">
        <w:rPr>
          <w:rFonts w:ascii="Verdana" w:hAnsi="Verdana" w:cs="Arial"/>
          <w:sz w:val="21"/>
          <w:szCs w:val="21"/>
        </w:rPr>
        <w:t>al</w:t>
      </w:r>
      <w:r w:rsidRPr="00365EA5">
        <w:rPr>
          <w:rFonts w:ascii="Verdana" w:eastAsia="Arial" w:hAnsi="Verdana" w:cs="Arial"/>
          <w:sz w:val="21"/>
          <w:szCs w:val="21"/>
        </w:rPr>
        <w:t xml:space="preserve"> </w:t>
      </w:r>
      <w:r w:rsidRPr="00365EA5">
        <w:rPr>
          <w:rFonts w:ascii="Verdana" w:hAnsi="Verdana" w:cs="Arial"/>
          <w:sz w:val="21"/>
          <w:szCs w:val="21"/>
        </w:rPr>
        <w:t>valor</w:t>
      </w:r>
      <w:r w:rsidRPr="00365EA5">
        <w:rPr>
          <w:rFonts w:ascii="Verdana" w:eastAsia="Arial" w:hAnsi="Verdana" w:cs="Arial"/>
          <w:sz w:val="21"/>
          <w:szCs w:val="21"/>
        </w:rPr>
        <w:t xml:space="preserve"> </w:t>
      </w:r>
      <w:r w:rsidRPr="00365EA5">
        <w:rPr>
          <w:rFonts w:ascii="Verdana" w:hAnsi="Verdana" w:cs="Arial"/>
          <w:sz w:val="21"/>
          <w:szCs w:val="21"/>
        </w:rPr>
        <w:t>del</w:t>
      </w:r>
      <w:r w:rsidRPr="00365EA5">
        <w:rPr>
          <w:rFonts w:ascii="Verdana" w:eastAsia="Arial" w:hAnsi="Verdana" w:cs="Arial"/>
          <w:sz w:val="21"/>
          <w:szCs w:val="21"/>
        </w:rPr>
        <w:t xml:space="preserve"> </w:t>
      </w:r>
      <w:r w:rsidRPr="00365EA5">
        <w:rPr>
          <w:rFonts w:ascii="Verdana" w:hAnsi="Verdana" w:cs="Arial"/>
          <w:sz w:val="21"/>
          <w:szCs w:val="21"/>
        </w:rPr>
        <w:t>contrato</w:t>
      </w:r>
      <w:r w:rsidRPr="00365EA5">
        <w:rPr>
          <w:rFonts w:ascii="Verdana" w:eastAsia="Arial" w:hAnsi="Verdana" w:cs="Arial"/>
          <w:sz w:val="21"/>
          <w:szCs w:val="21"/>
        </w:rPr>
        <w:t xml:space="preserve"> </w:t>
      </w:r>
      <w:r w:rsidRPr="00365EA5">
        <w:rPr>
          <w:rFonts w:ascii="Verdana" w:hAnsi="Verdana" w:cs="Arial"/>
          <w:sz w:val="21"/>
          <w:szCs w:val="21"/>
        </w:rPr>
        <w:t>dividido</w:t>
      </w:r>
      <w:r w:rsidRPr="00365EA5">
        <w:rPr>
          <w:rFonts w:ascii="Verdana" w:eastAsia="Arial" w:hAnsi="Verdana" w:cs="Arial"/>
          <w:sz w:val="21"/>
          <w:szCs w:val="21"/>
        </w:rPr>
        <w:t xml:space="preserve"> </w:t>
      </w:r>
      <w:r w:rsidRPr="00365EA5">
        <w:rPr>
          <w:rFonts w:ascii="Verdana" w:hAnsi="Verdana" w:cs="Arial"/>
          <w:sz w:val="21"/>
          <w:szCs w:val="21"/>
        </w:rPr>
        <w:t>por</w:t>
      </w:r>
      <w:r w:rsidRPr="00365EA5">
        <w:rPr>
          <w:rFonts w:ascii="Verdana" w:eastAsia="Arial" w:hAnsi="Verdana" w:cs="Arial"/>
          <w:sz w:val="21"/>
          <w:szCs w:val="21"/>
        </w:rPr>
        <w:t xml:space="preserve"> </w:t>
      </w:r>
      <w:r w:rsidRPr="00365EA5">
        <w:rPr>
          <w:rFonts w:ascii="Verdana" w:hAnsi="Verdana" w:cs="Arial"/>
          <w:sz w:val="21"/>
          <w:szCs w:val="21"/>
        </w:rPr>
        <w:t>el</w:t>
      </w:r>
      <w:r w:rsidRPr="00365EA5">
        <w:rPr>
          <w:rFonts w:ascii="Verdana" w:eastAsia="Arial" w:hAnsi="Verdana" w:cs="Arial"/>
          <w:sz w:val="21"/>
          <w:szCs w:val="21"/>
        </w:rPr>
        <w:t xml:space="preserve"> </w:t>
      </w:r>
      <w:r w:rsidRPr="00365EA5">
        <w:rPr>
          <w:rFonts w:ascii="Verdana" w:hAnsi="Verdana" w:cs="Arial"/>
          <w:sz w:val="21"/>
          <w:szCs w:val="21"/>
        </w:rPr>
        <w:t>plazo</w:t>
      </w:r>
      <w:r w:rsidRPr="00365EA5">
        <w:rPr>
          <w:rFonts w:ascii="Verdana" w:eastAsia="Arial" w:hAnsi="Verdana" w:cs="Arial"/>
          <w:sz w:val="21"/>
          <w:szCs w:val="21"/>
        </w:rPr>
        <w:t xml:space="preserve"> </w:t>
      </w:r>
      <w:r w:rsidRPr="00365EA5">
        <w:rPr>
          <w:rFonts w:ascii="Verdana" w:hAnsi="Verdana" w:cs="Arial"/>
          <w:sz w:val="21"/>
          <w:szCs w:val="21"/>
        </w:rPr>
        <w:t>del</w:t>
      </w:r>
      <w:r w:rsidRPr="00365EA5">
        <w:rPr>
          <w:rFonts w:ascii="Verdana" w:eastAsia="Arial" w:hAnsi="Verdana" w:cs="Arial"/>
          <w:sz w:val="21"/>
          <w:szCs w:val="21"/>
        </w:rPr>
        <w:t xml:space="preserve"> </w:t>
      </w:r>
      <w:r w:rsidRPr="00365EA5">
        <w:rPr>
          <w:rFonts w:ascii="Verdana" w:hAnsi="Verdana" w:cs="Arial"/>
          <w:sz w:val="21"/>
          <w:szCs w:val="21"/>
        </w:rPr>
        <w:t>contrato</w:t>
      </w:r>
      <w:r w:rsidRPr="00365EA5">
        <w:rPr>
          <w:rFonts w:ascii="Verdana" w:eastAsia="Arial" w:hAnsi="Verdana" w:cs="Arial"/>
          <w:sz w:val="21"/>
          <w:szCs w:val="21"/>
        </w:rPr>
        <w:t xml:space="preserve"> </w:t>
      </w:r>
      <w:r w:rsidRPr="00365EA5">
        <w:rPr>
          <w:rFonts w:ascii="Verdana" w:hAnsi="Verdana" w:cs="Arial"/>
          <w:sz w:val="21"/>
          <w:szCs w:val="21"/>
        </w:rPr>
        <w:t>expresado</w:t>
      </w:r>
      <w:r w:rsidRPr="00365EA5">
        <w:rPr>
          <w:rFonts w:ascii="Verdana" w:eastAsia="Arial" w:hAnsi="Verdana" w:cs="Arial"/>
          <w:sz w:val="21"/>
          <w:szCs w:val="21"/>
        </w:rPr>
        <w:t xml:space="preserve"> </w:t>
      </w:r>
      <w:r w:rsidRPr="00365EA5">
        <w:rPr>
          <w:rFonts w:ascii="Verdana" w:hAnsi="Verdana" w:cs="Arial"/>
          <w:sz w:val="21"/>
          <w:szCs w:val="21"/>
        </w:rPr>
        <w:t>en</w:t>
      </w:r>
      <w:r w:rsidRPr="00365EA5">
        <w:rPr>
          <w:rFonts w:ascii="Verdana" w:eastAsia="Arial" w:hAnsi="Verdana" w:cs="Arial"/>
          <w:sz w:val="21"/>
          <w:szCs w:val="21"/>
        </w:rPr>
        <w:t xml:space="preserve"> </w:t>
      </w:r>
      <w:r w:rsidRPr="00365EA5">
        <w:rPr>
          <w:rFonts w:ascii="Verdana" w:hAnsi="Verdana" w:cs="Arial"/>
          <w:sz w:val="21"/>
          <w:szCs w:val="21"/>
        </w:rPr>
        <w:t>días.</w:t>
      </w:r>
      <w:r w:rsidRPr="00365EA5">
        <w:rPr>
          <w:rFonts w:ascii="Verdana" w:eastAsia="Arial" w:hAnsi="Verdana" w:cs="Arial"/>
          <w:sz w:val="21"/>
          <w:szCs w:val="21"/>
        </w:rPr>
        <w:t xml:space="preserve"> </w:t>
      </w:r>
      <w:r w:rsidRPr="00365EA5">
        <w:rPr>
          <w:rFonts w:ascii="Verdana" w:hAnsi="Verdana" w:cs="Arial"/>
          <w:sz w:val="21"/>
          <w:szCs w:val="21"/>
        </w:rPr>
        <w:t>Este</w:t>
      </w:r>
      <w:r w:rsidRPr="00365EA5">
        <w:rPr>
          <w:rFonts w:ascii="Verdana" w:eastAsia="Arial" w:hAnsi="Verdana" w:cs="Arial"/>
          <w:sz w:val="21"/>
          <w:szCs w:val="21"/>
        </w:rPr>
        <w:t xml:space="preserve"> </w:t>
      </w:r>
      <w:r w:rsidRPr="00365EA5">
        <w:rPr>
          <w:rFonts w:ascii="Verdana" w:hAnsi="Verdana" w:cs="Arial"/>
          <w:sz w:val="21"/>
          <w:szCs w:val="21"/>
        </w:rPr>
        <w:t>resultado</w:t>
      </w:r>
      <w:r w:rsidRPr="00365EA5">
        <w:rPr>
          <w:rFonts w:ascii="Verdana" w:eastAsia="Arial" w:hAnsi="Verdana" w:cs="Arial"/>
          <w:sz w:val="21"/>
          <w:szCs w:val="21"/>
        </w:rPr>
        <w:t xml:space="preserve"> </w:t>
      </w:r>
      <w:r w:rsidRPr="00365EA5">
        <w:rPr>
          <w:rFonts w:ascii="Verdana" w:hAnsi="Verdana" w:cs="Arial"/>
          <w:sz w:val="21"/>
          <w:szCs w:val="21"/>
        </w:rPr>
        <w:t>se</w:t>
      </w:r>
      <w:r w:rsidRPr="00365EA5">
        <w:rPr>
          <w:rFonts w:ascii="Verdana" w:eastAsia="Arial" w:hAnsi="Verdana" w:cs="Arial"/>
          <w:sz w:val="21"/>
          <w:szCs w:val="21"/>
        </w:rPr>
        <w:t xml:space="preserve"> </w:t>
      </w:r>
      <w:r w:rsidRPr="00365EA5">
        <w:rPr>
          <w:rFonts w:ascii="Verdana" w:hAnsi="Verdana" w:cs="Arial"/>
          <w:sz w:val="21"/>
          <w:szCs w:val="21"/>
        </w:rPr>
        <w:t>multiplica</w:t>
      </w:r>
      <w:r w:rsidRPr="00365EA5">
        <w:rPr>
          <w:rFonts w:ascii="Verdana" w:eastAsia="Arial" w:hAnsi="Verdana" w:cs="Arial"/>
          <w:sz w:val="21"/>
          <w:szCs w:val="21"/>
        </w:rPr>
        <w:t xml:space="preserve"> </w:t>
      </w:r>
      <w:r w:rsidRPr="00365EA5">
        <w:rPr>
          <w:rFonts w:ascii="Verdana" w:hAnsi="Verdana" w:cs="Arial"/>
          <w:sz w:val="21"/>
          <w:szCs w:val="21"/>
        </w:rPr>
        <w:t>por</w:t>
      </w:r>
      <w:r w:rsidRPr="00365EA5">
        <w:rPr>
          <w:rFonts w:ascii="Verdana" w:eastAsia="Arial" w:hAnsi="Verdana" w:cs="Arial"/>
          <w:sz w:val="21"/>
          <w:szCs w:val="21"/>
        </w:rPr>
        <w:t xml:space="preserve"> </w:t>
      </w:r>
      <w:r w:rsidRPr="00365EA5">
        <w:rPr>
          <w:rFonts w:ascii="Verdana" w:hAnsi="Verdana" w:cs="Arial"/>
          <w:sz w:val="21"/>
          <w:szCs w:val="21"/>
        </w:rPr>
        <w:t>el</w:t>
      </w:r>
      <w:r w:rsidRPr="00365EA5">
        <w:rPr>
          <w:rFonts w:ascii="Verdana" w:eastAsia="Arial" w:hAnsi="Verdana" w:cs="Arial"/>
          <w:sz w:val="21"/>
          <w:szCs w:val="21"/>
        </w:rPr>
        <w:t xml:space="preserve"> </w:t>
      </w:r>
      <w:r w:rsidRPr="00365EA5">
        <w:rPr>
          <w:rFonts w:ascii="Verdana" w:hAnsi="Verdana" w:cs="Arial"/>
          <w:sz w:val="21"/>
          <w:szCs w:val="21"/>
        </w:rPr>
        <w:t>número</w:t>
      </w:r>
      <w:r w:rsidRPr="00365EA5">
        <w:rPr>
          <w:rFonts w:ascii="Verdana" w:eastAsia="Arial" w:hAnsi="Verdana" w:cs="Arial"/>
          <w:sz w:val="21"/>
          <w:szCs w:val="21"/>
        </w:rPr>
        <w:t xml:space="preserve"> </w:t>
      </w:r>
      <w:r w:rsidRPr="00365EA5">
        <w:rPr>
          <w:rFonts w:ascii="Verdana" w:hAnsi="Verdana" w:cs="Arial"/>
          <w:sz w:val="21"/>
          <w:szCs w:val="21"/>
        </w:rPr>
        <w:t>de</w:t>
      </w:r>
      <w:r w:rsidRPr="00365EA5">
        <w:rPr>
          <w:rFonts w:ascii="Verdana" w:eastAsia="Arial" w:hAnsi="Verdana" w:cs="Arial"/>
          <w:sz w:val="21"/>
          <w:szCs w:val="21"/>
        </w:rPr>
        <w:t xml:space="preserve"> </w:t>
      </w:r>
      <w:r w:rsidRPr="00365EA5">
        <w:rPr>
          <w:rFonts w:ascii="Verdana" w:hAnsi="Verdana" w:cs="Arial"/>
          <w:sz w:val="21"/>
          <w:szCs w:val="21"/>
        </w:rPr>
        <w:t>días</w:t>
      </w:r>
      <w:r w:rsidRPr="00365EA5">
        <w:rPr>
          <w:rFonts w:ascii="Verdana" w:eastAsia="Arial" w:hAnsi="Verdana" w:cs="Arial"/>
          <w:sz w:val="21"/>
          <w:szCs w:val="21"/>
        </w:rPr>
        <w:t xml:space="preserve"> </w:t>
      </w:r>
      <w:r w:rsidRPr="00365EA5">
        <w:rPr>
          <w:rFonts w:ascii="Verdana" w:hAnsi="Verdana" w:cs="Arial"/>
          <w:sz w:val="21"/>
          <w:szCs w:val="21"/>
        </w:rPr>
        <w:t>pendientes</w:t>
      </w:r>
      <w:r w:rsidRPr="00365EA5">
        <w:rPr>
          <w:rFonts w:ascii="Verdana" w:eastAsia="Arial" w:hAnsi="Verdana" w:cs="Arial"/>
          <w:sz w:val="21"/>
          <w:szCs w:val="21"/>
        </w:rPr>
        <w:t xml:space="preserve"> </w:t>
      </w:r>
      <w:r w:rsidRPr="00365EA5">
        <w:rPr>
          <w:rFonts w:ascii="Verdana" w:hAnsi="Verdana" w:cs="Arial"/>
          <w:sz w:val="21"/>
          <w:szCs w:val="21"/>
        </w:rPr>
        <w:t>para</w:t>
      </w:r>
      <w:r w:rsidRPr="00365EA5">
        <w:rPr>
          <w:rFonts w:ascii="Verdana" w:eastAsia="Arial" w:hAnsi="Verdana" w:cs="Arial"/>
          <w:sz w:val="21"/>
          <w:szCs w:val="21"/>
        </w:rPr>
        <w:t xml:space="preserve"> </w:t>
      </w:r>
      <w:r w:rsidRPr="00365EA5">
        <w:rPr>
          <w:rFonts w:ascii="Verdana" w:hAnsi="Verdana" w:cs="Arial"/>
          <w:sz w:val="21"/>
          <w:szCs w:val="21"/>
        </w:rPr>
        <w:t>cumplir</w:t>
      </w:r>
      <w:r w:rsidRPr="00365EA5">
        <w:rPr>
          <w:rFonts w:ascii="Verdana" w:eastAsia="Arial" w:hAnsi="Verdana" w:cs="Arial"/>
          <w:sz w:val="21"/>
          <w:szCs w:val="21"/>
        </w:rPr>
        <w:t xml:space="preserve"> </w:t>
      </w:r>
      <w:r w:rsidRPr="00365EA5">
        <w:rPr>
          <w:rFonts w:ascii="Verdana" w:hAnsi="Verdana" w:cs="Arial"/>
          <w:sz w:val="21"/>
          <w:szCs w:val="21"/>
        </w:rPr>
        <w:t>el</w:t>
      </w:r>
      <w:r w:rsidRPr="00365EA5">
        <w:rPr>
          <w:rFonts w:ascii="Verdana" w:eastAsia="Arial" w:hAnsi="Verdana" w:cs="Arial"/>
          <w:sz w:val="21"/>
          <w:szCs w:val="21"/>
        </w:rPr>
        <w:t xml:space="preserve"> </w:t>
      </w:r>
      <w:r w:rsidRPr="00365EA5">
        <w:rPr>
          <w:rFonts w:ascii="Verdana" w:hAnsi="Verdana" w:cs="Arial"/>
          <w:sz w:val="21"/>
          <w:szCs w:val="21"/>
        </w:rPr>
        <w:t>plazo</w:t>
      </w:r>
      <w:r w:rsidRPr="00365EA5">
        <w:rPr>
          <w:rFonts w:ascii="Verdana" w:eastAsia="Arial" w:hAnsi="Verdana" w:cs="Arial"/>
          <w:sz w:val="21"/>
          <w:szCs w:val="21"/>
        </w:rPr>
        <w:t xml:space="preserve"> </w:t>
      </w:r>
      <w:r w:rsidRPr="00365EA5">
        <w:rPr>
          <w:rFonts w:ascii="Verdana" w:hAnsi="Verdana" w:cs="Arial"/>
          <w:sz w:val="21"/>
          <w:szCs w:val="21"/>
        </w:rPr>
        <w:t>del</w:t>
      </w:r>
      <w:r w:rsidRPr="00365EA5">
        <w:rPr>
          <w:rFonts w:ascii="Verdana" w:eastAsia="Arial" w:hAnsi="Verdana" w:cs="Arial"/>
          <w:sz w:val="21"/>
          <w:szCs w:val="21"/>
        </w:rPr>
        <w:t xml:space="preserve"> </w:t>
      </w:r>
      <w:r w:rsidRPr="00365EA5">
        <w:rPr>
          <w:rFonts w:ascii="Verdana" w:hAnsi="Verdana" w:cs="Arial"/>
          <w:sz w:val="21"/>
          <w:szCs w:val="21"/>
        </w:rPr>
        <w:t>contrato</w:t>
      </w:r>
      <w:r w:rsidRPr="00365EA5">
        <w:rPr>
          <w:rFonts w:ascii="Verdana" w:eastAsia="Arial" w:hAnsi="Verdana" w:cs="Arial"/>
          <w:sz w:val="21"/>
          <w:szCs w:val="21"/>
        </w:rPr>
        <w:t xml:space="preserve"> </w:t>
      </w:r>
      <w:r w:rsidRPr="00365EA5">
        <w:rPr>
          <w:rFonts w:ascii="Verdana" w:hAnsi="Verdana" w:cs="Arial"/>
          <w:sz w:val="21"/>
          <w:szCs w:val="21"/>
        </w:rPr>
        <w:t>y</w:t>
      </w:r>
      <w:r w:rsidRPr="00365EA5">
        <w:rPr>
          <w:rFonts w:ascii="Verdana" w:eastAsia="Arial" w:hAnsi="Verdana" w:cs="Arial"/>
          <w:sz w:val="21"/>
          <w:szCs w:val="21"/>
        </w:rPr>
        <w:t xml:space="preserve"> </w:t>
      </w:r>
      <w:r w:rsidRPr="00365EA5">
        <w:rPr>
          <w:rFonts w:ascii="Verdana" w:hAnsi="Verdana" w:cs="Arial"/>
          <w:sz w:val="21"/>
          <w:szCs w:val="21"/>
        </w:rPr>
        <w:t>si</w:t>
      </w:r>
      <w:r w:rsidRPr="00365EA5">
        <w:rPr>
          <w:rFonts w:ascii="Verdana" w:eastAsia="Arial" w:hAnsi="Verdana" w:cs="Arial"/>
          <w:sz w:val="21"/>
          <w:szCs w:val="21"/>
        </w:rPr>
        <w:t xml:space="preserve"> </w:t>
      </w:r>
      <w:r w:rsidRPr="00365EA5">
        <w:rPr>
          <w:rFonts w:ascii="Verdana" w:hAnsi="Verdana" w:cs="Arial"/>
          <w:sz w:val="21"/>
          <w:szCs w:val="21"/>
        </w:rPr>
        <w:t>el</w:t>
      </w:r>
      <w:r w:rsidRPr="00365EA5">
        <w:rPr>
          <w:rFonts w:ascii="Verdana" w:eastAsia="Arial" w:hAnsi="Verdana" w:cs="Arial"/>
          <w:sz w:val="21"/>
          <w:szCs w:val="21"/>
        </w:rPr>
        <w:t xml:space="preserve"> </w:t>
      </w:r>
      <w:r w:rsidRPr="00365EA5">
        <w:rPr>
          <w:rFonts w:ascii="Verdana" w:hAnsi="Verdana" w:cs="Arial"/>
          <w:sz w:val="21"/>
          <w:szCs w:val="21"/>
        </w:rPr>
        <w:t>contrato</w:t>
      </w:r>
      <w:r w:rsidRPr="00365EA5">
        <w:rPr>
          <w:rFonts w:ascii="Verdana" w:eastAsia="Arial" w:hAnsi="Verdana" w:cs="Arial"/>
          <w:sz w:val="21"/>
          <w:szCs w:val="21"/>
        </w:rPr>
        <w:t xml:space="preserve"> </w:t>
      </w:r>
      <w:r w:rsidRPr="00365EA5">
        <w:rPr>
          <w:rFonts w:ascii="Verdana" w:hAnsi="Verdana" w:cs="Arial"/>
          <w:sz w:val="21"/>
          <w:szCs w:val="21"/>
        </w:rPr>
        <w:t>es</w:t>
      </w:r>
      <w:r w:rsidRPr="00365EA5">
        <w:rPr>
          <w:rFonts w:ascii="Verdana" w:eastAsia="Arial" w:hAnsi="Verdana" w:cs="Arial"/>
          <w:sz w:val="21"/>
          <w:szCs w:val="21"/>
        </w:rPr>
        <w:t xml:space="preserve"> </w:t>
      </w:r>
      <w:r w:rsidRPr="00365EA5">
        <w:rPr>
          <w:rFonts w:ascii="Verdana" w:hAnsi="Verdana" w:cs="Arial"/>
          <w:sz w:val="21"/>
          <w:szCs w:val="21"/>
        </w:rPr>
        <w:t>ejecutado</w:t>
      </w:r>
      <w:r w:rsidRPr="00365EA5">
        <w:rPr>
          <w:rFonts w:ascii="Verdana" w:eastAsia="Arial" w:hAnsi="Verdana" w:cs="Arial"/>
          <w:sz w:val="21"/>
          <w:szCs w:val="21"/>
        </w:rPr>
        <w:t xml:space="preserve"> </w:t>
      </w:r>
      <w:r w:rsidRPr="00365EA5">
        <w:rPr>
          <w:rFonts w:ascii="Verdana" w:hAnsi="Verdana" w:cs="Arial"/>
          <w:sz w:val="21"/>
          <w:szCs w:val="21"/>
        </w:rPr>
        <w:t>por</w:t>
      </w:r>
      <w:r w:rsidRPr="00365EA5">
        <w:rPr>
          <w:rFonts w:ascii="Verdana" w:eastAsia="Arial" w:hAnsi="Verdana" w:cs="Arial"/>
          <w:sz w:val="21"/>
          <w:szCs w:val="21"/>
        </w:rPr>
        <w:t xml:space="preserve"> </w:t>
      </w:r>
      <w:r w:rsidRPr="00365EA5">
        <w:rPr>
          <w:rFonts w:ascii="Verdana" w:hAnsi="Verdana" w:cs="Arial"/>
          <w:sz w:val="21"/>
          <w:szCs w:val="21"/>
        </w:rPr>
        <w:t>una estructura plural</w:t>
      </w:r>
      <w:r w:rsidRPr="00365EA5">
        <w:rPr>
          <w:rFonts w:ascii="Verdana" w:eastAsia="Arial" w:hAnsi="Verdana" w:cs="Arial"/>
          <w:sz w:val="21"/>
          <w:szCs w:val="21"/>
        </w:rPr>
        <w:t xml:space="preserve"> </w:t>
      </w:r>
      <w:r w:rsidRPr="00365EA5">
        <w:rPr>
          <w:rFonts w:ascii="Verdana" w:hAnsi="Verdana" w:cs="Arial"/>
          <w:sz w:val="21"/>
          <w:szCs w:val="21"/>
        </w:rPr>
        <w:t>por</w:t>
      </w:r>
      <w:r w:rsidRPr="00365EA5">
        <w:rPr>
          <w:rFonts w:ascii="Verdana" w:eastAsia="Arial" w:hAnsi="Verdana" w:cs="Arial"/>
          <w:sz w:val="21"/>
          <w:szCs w:val="21"/>
        </w:rPr>
        <w:t xml:space="preserve"> </w:t>
      </w:r>
      <w:r w:rsidRPr="00365EA5">
        <w:rPr>
          <w:rFonts w:ascii="Verdana" w:hAnsi="Verdana" w:cs="Arial"/>
          <w:sz w:val="21"/>
          <w:szCs w:val="21"/>
        </w:rPr>
        <w:t>la</w:t>
      </w:r>
      <w:r w:rsidRPr="00365EA5">
        <w:rPr>
          <w:rFonts w:ascii="Verdana" w:eastAsia="Arial" w:hAnsi="Verdana" w:cs="Arial"/>
          <w:sz w:val="21"/>
          <w:szCs w:val="21"/>
        </w:rPr>
        <w:t xml:space="preserve"> </w:t>
      </w:r>
      <w:r w:rsidRPr="00365EA5">
        <w:rPr>
          <w:rFonts w:ascii="Verdana" w:hAnsi="Verdana" w:cs="Arial"/>
          <w:sz w:val="21"/>
          <w:szCs w:val="21"/>
        </w:rPr>
        <w:t>participación</w:t>
      </w:r>
      <w:r w:rsidRPr="00365EA5">
        <w:rPr>
          <w:rFonts w:ascii="Verdana" w:eastAsia="Arial" w:hAnsi="Verdana" w:cs="Arial"/>
          <w:sz w:val="21"/>
          <w:szCs w:val="21"/>
        </w:rPr>
        <w:t xml:space="preserve"> </w:t>
      </w:r>
      <w:r w:rsidRPr="00365EA5">
        <w:rPr>
          <w:rFonts w:ascii="Verdana" w:hAnsi="Verdana" w:cs="Arial"/>
          <w:sz w:val="21"/>
          <w:szCs w:val="21"/>
        </w:rPr>
        <w:t>del</w:t>
      </w:r>
      <w:r w:rsidRPr="00365EA5">
        <w:rPr>
          <w:rFonts w:ascii="Verdana" w:eastAsia="Arial" w:hAnsi="Verdana" w:cs="Arial"/>
          <w:sz w:val="21"/>
          <w:szCs w:val="21"/>
        </w:rPr>
        <w:t xml:space="preserve"> </w:t>
      </w:r>
      <w:r w:rsidRPr="00365EA5">
        <w:rPr>
          <w:rFonts w:ascii="Verdana" w:hAnsi="Verdana" w:cs="Arial"/>
          <w:sz w:val="21"/>
          <w:szCs w:val="21"/>
        </w:rPr>
        <w:t>Proponente</w:t>
      </w:r>
      <w:r w:rsidRPr="00365EA5">
        <w:rPr>
          <w:rFonts w:ascii="Verdana" w:eastAsia="Arial" w:hAnsi="Verdana" w:cs="Arial"/>
          <w:sz w:val="21"/>
          <w:szCs w:val="21"/>
        </w:rPr>
        <w:t xml:space="preserve"> </w:t>
      </w:r>
      <w:r w:rsidRPr="00365EA5">
        <w:rPr>
          <w:rFonts w:ascii="Verdana" w:hAnsi="Verdana" w:cs="Arial"/>
          <w:sz w:val="21"/>
          <w:szCs w:val="21"/>
        </w:rPr>
        <w:t>en</w:t>
      </w:r>
      <w:r w:rsidRPr="00365EA5">
        <w:rPr>
          <w:rFonts w:ascii="Verdana" w:eastAsia="Arial" w:hAnsi="Verdana" w:cs="Arial"/>
          <w:sz w:val="21"/>
          <w:szCs w:val="21"/>
        </w:rPr>
        <w:t xml:space="preserve"> </w:t>
      </w:r>
      <w:r w:rsidRPr="00365EA5">
        <w:rPr>
          <w:rFonts w:ascii="Verdana" w:hAnsi="Verdana" w:cs="Arial"/>
          <w:sz w:val="21"/>
          <w:szCs w:val="21"/>
        </w:rPr>
        <w:t>la respectiva estructura</w:t>
      </w:r>
      <w:bookmarkEnd w:id="10"/>
      <w:r w:rsidRPr="00365EA5">
        <w:rPr>
          <w:rFonts w:ascii="Verdana" w:hAnsi="Verdana" w:cs="Arial"/>
          <w:sz w:val="21"/>
          <w:szCs w:val="21"/>
        </w:rPr>
        <w:t xml:space="preserve">. </w:t>
      </w:r>
    </w:p>
    <w:p w14:paraId="6E4827A1" w14:textId="77777777" w:rsidR="00DA1763" w:rsidRPr="00365EA5" w:rsidRDefault="00DA1763" w:rsidP="00DA1763">
      <w:pPr>
        <w:spacing w:after="0" w:line="276" w:lineRule="auto"/>
        <w:jc w:val="both"/>
        <w:rPr>
          <w:rFonts w:ascii="Verdana" w:eastAsia="Arial," w:hAnsi="Verdana" w:cs="Arial"/>
          <w:lang w:val="es-MX"/>
        </w:rPr>
      </w:pPr>
    </w:p>
    <w:p w14:paraId="612543E5" w14:textId="77777777" w:rsidR="00DA1763" w:rsidRPr="00365EA5" w:rsidRDefault="00DA1763" w:rsidP="00DA1763">
      <w:pPr>
        <w:spacing w:after="0" w:line="276" w:lineRule="auto"/>
        <w:jc w:val="both"/>
        <w:rPr>
          <w:rFonts w:ascii="Verdana" w:hAnsi="Verdana" w:cs="Arial"/>
        </w:rPr>
      </w:pPr>
      <w:r w:rsidRPr="00365EA5">
        <w:rPr>
          <w:rFonts w:ascii="Verdana" w:eastAsia="Arial," w:hAnsi="Verdana" w:cs="Arial"/>
        </w:rPr>
        <w:t xml:space="preserve">Como se aprecia, los apartados transcritos del documento base están en armonía con lo dispuesto en la </w:t>
      </w:r>
      <w:r w:rsidRPr="00365EA5">
        <w:rPr>
          <w:rFonts w:ascii="Verdana" w:hAnsi="Verdana" w:cs="Arial"/>
        </w:rPr>
        <w:t xml:space="preserve">Guía para Determinar y Verificar la Capacidad Residual del Proponente en los Procesos de Contratación de Obra Pública, y se refieren a los contratos de obras civiles en ejecución, incluyendo a los contratos </w:t>
      </w:r>
      <w:r w:rsidRPr="00365EA5">
        <w:rPr>
          <w:rFonts w:ascii="Verdana" w:hAnsi="Verdana" w:cs="Arial"/>
        </w:rPr>
        <w:lastRenderedPageBreak/>
        <w:t xml:space="preserve">suspendidos y los que no tienen acta de inicio. Lo expuesto es congruente con </w:t>
      </w:r>
      <w:r w:rsidRPr="00365EA5">
        <w:rPr>
          <w:rFonts w:ascii="Verdana" w:eastAsia="Calibri" w:hAnsi="Verdana" w:cs="Arial"/>
          <w:color w:val="000000" w:themeColor="text1"/>
          <w:lang w:val="es-MX"/>
        </w:rPr>
        <w:t xml:space="preserve">el artículo 2.2.1.1.1.6.4 del Decreto 1082 de 2015, en virtud del cual, para efectos de </w:t>
      </w:r>
      <w:r w:rsidRPr="00365EA5">
        <w:rPr>
          <w:rFonts w:ascii="Verdana" w:hAnsi="Verdana" w:cs="Arial"/>
          <w:lang w:val="es-MX"/>
        </w:rPr>
        <w:t xml:space="preserve">acreditar la capacidad residual del proponente, se requiere el listado de contratos de obra civiles en ejecución suscritos con entidades estatales y con entidades privadas. </w:t>
      </w:r>
    </w:p>
    <w:p w14:paraId="6474D1F1" w14:textId="77777777" w:rsidR="00DA1763" w:rsidRPr="00B27BAC" w:rsidRDefault="00DA1763" w:rsidP="000B1909">
      <w:pPr>
        <w:pStyle w:val="Prrafodelista"/>
        <w:jc w:val="both"/>
        <w:rPr>
          <w:rFonts w:ascii="Verdana" w:hAnsi="Verdana" w:cs="Arial"/>
          <w:lang w:val="es-CO"/>
        </w:rPr>
      </w:pPr>
    </w:p>
    <w:p w14:paraId="5D322F91" w14:textId="77777777" w:rsidR="000B1909" w:rsidRPr="00593A5F" w:rsidRDefault="000B1909" w:rsidP="000B1909">
      <w:pPr>
        <w:widowControl w:val="0"/>
        <w:autoSpaceDE w:val="0"/>
        <w:autoSpaceDN w:val="0"/>
        <w:spacing w:after="0" w:line="276" w:lineRule="auto"/>
        <w:jc w:val="both"/>
        <w:rPr>
          <w:rFonts w:ascii="Verdana" w:hAnsi="Verdana" w:cs="Arial"/>
        </w:rPr>
      </w:pPr>
    </w:p>
    <w:p w14:paraId="6957C7A8" w14:textId="77777777" w:rsidR="000B1909" w:rsidRPr="00593A5F" w:rsidRDefault="000B1909" w:rsidP="000B190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67936D24" w14:textId="77777777" w:rsidR="000B1909" w:rsidRPr="00593A5F" w:rsidRDefault="000B1909" w:rsidP="000B190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B1909" w:rsidRPr="00593A5F" w14:paraId="26D7A666" w14:textId="77777777" w:rsidTr="004D00E9">
        <w:trPr>
          <w:trHeight w:val="870"/>
        </w:trPr>
        <w:tc>
          <w:tcPr>
            <w:tcW w:w="8647" w:type="dxa"/>
          </w:tcPr>
          <w:p w14:paraId="1DCEFA9D" w14:textId="77777777" w:rsidR="000B1909" w:rsidRPr="008E35DC" w:rsidRDefault="000B1909" w:rsidP="000B1909">
            <w:pPr>
              <w:pStyle w:val="Prrafodelista"/>
              <w:widowControl w:val="0"/>
              <w:numPr>
                <w:ilvl w:val="0"/>
                <w:numId w:val="18"/>
              </w:numPr>
              <w:autoSpaceDE w:val="0"/>
              <w:autoSpaceDN w:val="0"/>
              <w:spacing w:after="120" w:line="276" w:lineRule="auto"/>
              <w:jc w:val="both"/>
              <w:rPr>
                <w:rFonts w:ascii="Verdana" w:hAnsi="Verdana" w:cs="Arial"/>
              </w:rPr>
            </w:pPr>
            <w:r w:rsidRPr="008E35DC">
              <w:rPr>
                <w:rFonts w:ascii="Verdana" w:hAnsi="Verdana" w:cs="Arial"/>
              </w:rPr>
              <w:t xml:space="preserve">Ley 2022 de 2020, artículo 1. </w:t>
            </w:r>
          </w:p>
          <w:p w14:paraId="2871082B" w14:textId="77777777" w:rsidR="000B1909" w:rsidRPr="008E35DC" w:rsidRDefault="000B1909" w:rsidP="000B1909">
            <w:pPr>
              <w:pStyle w:val="Prrafodelista"/>
              <w:widowControl w:val="0"/>
              <w:numPr>
                <w:ilvl w:val="0"/>
                <w:numId w:val="18"/>
              </w:numPr>
              <w:autoSpaceDE w:val="0"/>
              <w:autoSpaceDN w:val="0"/>
              <w:spacing w:after="120" w:line="276" w:lineRule="auto"/>
              <w:jc w:val="both"/>
              <w:rPr>
                <w:rFonts w:ascii="Verdana" w:hAnsi="Verdana" w:cs="Arial"/>
              </w:rPr>
            </w:pPr>
            <w:r w:rsidRPr="008E35DC">
              <w:rPr>
                <w:rFonts w:ascii="Verdana" w:hAnsi="Verdana" w:cs="Arial"/>
              </w:rPr>
              <w:t>Ley 1150 de 2007, artículo 5.</w:t>
            </w:r>
          </w:p>
          <w:p w14:paraId="135316C4" w14:textId="77777777" w:rsidR="000B1909" w:rsidRDefault="000B1909" w:rsidP="000B1909">
            <w:pPr>
              <w:pStyle w:val="Prrafodelista"/>
              <w:widowControl w:val="0"/>
              <w:numPr>
                <w:ilvl w:val="0"/>
                <w:numId w:val="18"/>
              </w:numPr>
              <w:autoSpaceDE w:val="0"/>
              <w:autoSpaceDN w:val="0"/>
              <w:spacing w:after="120" w:line="276" w:lineRule="auto"/>
              <w:jc w:val="both"/>
              <w:rPr>
                <w:rFonts w:ascii="Verdana" w:hAnsi="Verdana" w:cs="Arial"/>
              </w:rPr>
            </w:pPr>
            <w:r w:rsidRPr="008E35DC">
              <w:rPr>
                <w:rFonts w:ascii="Verdana" w:hAnsi="Verdana" w:cs="Arial"/>
              </w:rPr>
              <w:t xml:space="preserve">Documentos tipo de licitación de obra pública de infraestructura de transporte – versión 3 – . Resolución 240 de 2020 de la Agencia Nacional de Contratación Pública – Colombia Compra Eficiente. Disponible en: </w:t>
            </w:r>
            <w:hyperlink r:id="rId11" w:history="1">
              <w:r w:rsidRPr="007970EE">
                <w:rPr>
                  <w:rStyle w:val="Hipervnculo"/>
                  <w:rFonts w:ascii="Verdana" w:hAnsi="Verdana" w:cs="Arial"/>
                </w:rPr>
                <w:t>https://www.colombiacompra.gov.co/content/04-documentos-tipo-para-licitacion-de-obra-publica-de-nfraestructurade-transporte-version</w:t>
              </w:r>
            </w:hyperlink>
          </w:p>
          <w:p w14:paraId="759D1911" w14:textId="77777777" w:rsidR="000B1909" w:rsidRPr="00AC742F" w:rsidRDefault="000B1909" w:rsidP="000B1909">
            <w:pPr>
              <w:pStyle w:val="Prrafodelista"/>
              <w:widowControl w:val="0"/>
              <w:numPr>
                <w:ilvl w:val="0"/>
                <w:numId w:val="18"/>
              </w:numPr>
              <w:autoSpaceDE w:val="0"/>
              <w:autoSpaceDN w:val="0"/>
              <w:spacing w:after="120" w:line="276" w:lineRule="auto"/>
              <w:jc w:val="both"/>
              <w:rPr>
                <w:rFonts w:ascii="Verdana" w:hAnsi="Verdana" w:cs="Arial"/>
              </w:rPr>
            </w:pPr>
            <w:r w:rsidRPr="00B018AF">
              <w:rPr>
                <w:rFonts w:ascii="Verdana" w:hAnsi="Verdana" w:cs="Arial"/>
              </w:rPr>
              <w:t>Guía para Determinar y Verificar la Capacidad Residual del Proponente</w:t>
            </w:r>
            <w:r>
              <w:rPr>
                <w:rFonts w:ascii="Verdana" w:hAnsi="Verdana" w:cs="Arial"/>
              </w:rPr>
              <w:t xml:space="preserve"> </w:t>
            </w:r>
            <w:r w:rsidRPr="00B018AF">
              <w:rPr>
                <w:rFonts w:ascii="Verdana" w:hAnsi="Verdana" w:cs="Arial"/>
              </w:rPr>
              <w:t xml:space="preserve">en los Procesos de Contratación de Obra Pública. Disponible en: </w:t>
            </w:r>
            <w:hyperlink r:id="rId12" w:history="1">
              <w:r w:rsidRPr="007970EE">
                <w:rPr>
                  <w:rStyle w:val="Hipervnculo"/>
                  <w:rFonts w:ascii="Verdana" w:hAnsi="Verdana" w:cs="Arial"/>
                </w:rPr>
                <w:t>https://www.colombiacompra.gov.co/manuales-guias-y-pliegostipo/manuales-y-guias</w:t>
              </w:r>
            </w:hyperlink>
            <w:r>
              <w:rPr>
                <w:rFonts w:ascii="Verdana" w:hAnsi="Verdana" w:cs="Arial"/>
              </w:rPr>
              <w:t xml:space="preserve"> </w:t>
            </w:r>
          </w:p>
        </w:tc>
      </w:tr>
    </w:tbl>
    <w:p w14:paraId="3A176F65" w14:textId="77777777" w:rsidR="000B1909" w:rsidRPr="00593A5F" w:rsidRDefault="000B1909" w:rsidP="000B1909">
      <w:pPr>
        <w:widowControl w:val="0"/>
        <w:autoSpaceDE w:val="0"/>
        <w:autoSpaceDN w:val="0"/>
        <w:spacing w:after="0" w:line="276" w:lineRule="auto"/>
        <w:jc w:val="both"/>
        <w:rPr>
          <w:rFonts w:ascii="Verdana" w:hAnsi="Verdana" w:cs="Arial"/>
        </w:rPr>
      </w:pPr>
    </w:p>
    <w:p w14:paraId="30195573" w14:textId="77777777" w:rsidR="000B1909" w:rsidRPr="00593A5F" w:rsidRDefault="000B1909" w:rsidP="000B190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6EFFBDC" w14:textId="77777777" w:rsidR="000B1909" w:rsidRPr="00593A5F" w:rsidRDefault="000B1909" w:rsidP="000B1909">
      <w:pPr>
        <w:widowControl w:val="0"/>
        <w:autoSpaceDE w:val="0"/>
        <w:autoSpaceDN w:val="0"/>
        <w:spacing w:after="0" w:line="276" w:lineRule="auto"/>
        <w:jc w:val="both"/>
        <w:rPr>
          <w:rFonts w:ascii="Verdana" w:hAnsi="Verdana" w:cs="Arial"/>
        </w:rPr>
      </w:pPr>
    </w:p>
    <w:p w14:paraId="4F9E1404" w14:textId="77777777" w:rsidR="000B1909" w:rsidRPr="00BD0638" w:rsidRDefault="000B1909" w:rsidP="000B1909">
      <w:pPr>
        <w:widowControl w:val="0"/>
        <w:autoSpaceDE w:val="0"/>
        <w:autoSpaceDN w:val="0"/>
        <w:spacing w:after="0" w:line="276" w:lineRule="auto"/>
        <w:jc w:val="both"/>
        <w:rPr>
          <w:rStyle w:val="normaltextrun"/>
          <w:rFonts w:ascii="Verdana" w:hAnsi="Verdana" w:cs="Arial"/>
          <w:shd w:val="clear" w:color="auto" w:fill="FFFFFF"/>
          <w:lang w:val="es-ES"/>
        </w:rPr>
      </w:pPr>
      <w:r w:rsidRPr="00BD0638">
        <w:rPr>
          <w:rStyle w:val="normaltextrun"/>
          <w:rFonts w:ascii="Verdana" w:hAnsi="Verdana" w:cs="Arial"/>
          <w:shd w:val="clear" w:color="auto" w:fill="FFFFFF"/>
          <w:lang w:val="es-ES"/>
        </w:rPr>
        <w:t>La Agencia Nacional de Contratación Pública − Colombia Compra Eficiente se</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pronunció sobre las causales de rechazo incorporadas en los pliegos de</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condiciones, en los conceptos 2201913000007117 del 25 de septiembre de 2019,</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2201913000009538 del 23 de diciembre de 2019,</w:t>
      </w:r>
      <w:r>
        <w:rPr>
          <w:rStyle w:val="normaltextrun"/>
          <w:rFonts w:ascii="Verdana" w:hAnsi="Verdana" w:cs="Arial"/>
          <w:shd w:val="clear" w:color="auto" w:fill="FFFFFF"/>
          <w:lang w:val="es-ES"/>
        </w:rPr>
        <w:t xml:space="preserve"> 20240531007971 del 31 de mayo de 2024,</w:t>
      </w:r>
      <w:r w:rsidRPr="00BD0638">
        <w:rPr>
          <w:rStyle w:val="normaltextrun"/>
          <w:rFonts w:ascii="Verdana" w:hAnsi="Verdana" w:cs="Arial"/>
          <w:shd w:val="clear" w:color="auto" w:fill="FFFFFF"/>
          <w:lang w:val="es-ES"/>
        </w:rPr>
        <w:t xml:space="preserve"> C- 716 del 30 de octubre de</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2020, C-096 del 24 de marzo de 2021, C-056 del 20 de abril de 2021, C-078</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del 15 de marzo de 2022, C-321 del 17 de mayo de 2022, C-113 del 22 de marzo</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 xml:space="preserve">de 2022, C-178, C-186 del 12 de abril de 2022, </w:t>
      </w:r>
      <w:r w:rsidRPr="00B03549">
        <w:rPr>
          <w:rStyle w:val="normaltextrun"/>
          <w:rFonts w:ascii="Verdana" w:hAnsi="Verdana" w:cs="Arial"/>
          <w:shd w:val="clear" w:color="auto" w:fill="FFFFFF"/>
          <w:lang w:val="es-ES"/>
        </w:rPr>
        <w:t>C-849 de 7 de diciembre de 2022, C- 053 de 28 de marzo de 2023, C-280</w:t>
      </w:r>
      <w:r>
        <w:rPr>
          <w:rStyle w:val="normaltextrun"/>
          <w:rFonts w:ascii="Verdana" w:hAnsi="Verdana" w:cs="Arial"/>
          <w:shd w:val="clear" w:color="auto" w:fill="FFFFFF"/>
          <w:lang w:val="es-ES"/>
        </w:rPr>
        <w:t xml:space="preserve"> </w:t>
      </w:r>
      <w:r w:rsidRPr="00B03549">
        <w:rPr>
          <w:rStyle w:val="normaltextrun"/>
          <w:rFonts w:ascii="Verdana" w:hAnsi="Verdana" w:cs="Arial"/>
          <w:shd w:val="clear" w:color="auto" w:fill="FFFFFF"/>
          <w:lang w:val="es-ES"/>
        </w:rPr>
        <w:t>del 06 de junio de 2023</w:t>
      </w:r>
      <w:r>
        <w:rPr>
          <w:rStyle w:val="normaltextrun"/>
          <w:rFonts w:ascii="Verdana" w:hAnsi="Verdana" w:cs="Arial"/>
          <w:shd w:val="clear" w:color="auto" w:fill="FFFFFF"/>
          <w:lang w:val="es-ES"/>
        </w:rPr>
        <w:t>,</w:t>
      </w:r>
      <w:r w:rsidRPr="00B03549">
        <w:rPr>
          <w:rStyle w:val="normaltextrun"/>
          <w:rFonts w:ascii="Verdana" w:hAnsi="Verdana" w:cs="Arial"/>
          <w:shd w:val="clear" w:color="auto" w:fill="FFFFFF"/>
          <w:lang w:val="es-ES"/>
        </w:rPr>
        <w:t xml:space="preserve"> </w:t>
      </w:r>
      <w:r>
        <w:rPr>
          <w:rStyle w:val="normaltextrun"/>
          <w:rFonts w:ascii="Verdana" w:hAnsi="Verdana" w:cs="Arial"/>
          <w:shd w:val="clear" w:color="auto" w:fill="FFFFFF"/>
          <w:lang w:val="es-ES"/>
        </w:rPr>
        <w:t xml:space="preserve">C-271 del 15 de agosto de 2023, </w:t>
      </w:r>
      <w:r w:rsidRPr="00BD0638">
        <w:rPr>
          <w:rStyle w:val="normaltextrun"/>
          <w:rFonts w:ascii="Verdana" w:hAnsi="Verdana" w:cs="Arial"/>
          <w:shd w:val="clear" w:color="auto" w:fill="FFFFFF"/>
          <w:lang w:val="es-ES"/>
        </w:rPr>
        <w:t>C-406 del 2 de octubre de 2023,</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entre otros. Es tos y otros conceptos se encuentran disponibles para consulta en</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el sistema de relatoría de la Agencia, al cual se puede acceder a través del</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siguiente enlace:</w:t>
      </w:r>
      <w:r>
        <w:rPr>
          <w:rStyle w:val="normaltextrun"/>
          <w:rFonts w:ascii="Verdana" w:hAnsi="Verdana" w:cs="Arial"/>
          <w:shd w:val="clear" w:color="auto" w:fill="FFFFFF"/>
          <w:lang w:val="es-ES"/>
        </w:rPr>
        <w:t xml:space="preserve"> </w:t>
      </w:r>
      <w:r w:rsidRPr="00BD0638">
        <w:rPr>
          <w:rStyle w:val="normaltextrun"/>
          <w:rFonts w:ascii="Verdana" w:hAnsi="Verdana" w:cs="Arial"/>
          <w:shd w:val="clear" w:color="auto" w:fill="FFFFFF"/>
          <w:lang w:val="es-ES"/>
        </w:rPr>
        <w:t>https://relatoria.colombiacompra.gov.co/busqueda/conceptos.</w:t>
      </w:r>
    </w:p>
    <w:p w14:paraId="7E72C945" w14:textId="77777777" w:rsidR="000B1909" w:rsidRDefault="000B1909" w:rsidP="000B1909">
      <w:pPr>
        <w:widowControl w:val="0"/>
        <w:autoSpaceDE w:val="0"/>
        <w:autoSpaceDN w:val="0"/>
        <w:spacing w:after="0" w:line="276" w:lineRule="auto"/>
        <w:jc w:val="both"/>
        <w:rPr>
          <w:rStyle w:val="normaltextrun"/>
          <w:rFonts w:ascii="Verdana" w:hAnsi="Verdana" w:cs="Arial"/>
          <w:shd w:val="clear" w:color="auto" w:fill="FFFFFF"/>
          <w:lang w:val="es-ES"/>
        </w:rPr>
      </w:pPr>
    </w:p>
    <w:p w14:paraId="69311BAB" w14:textId="77777777" w:rsidR="000B1909" w:rsidRDefault="000B1909" w:rsidP="000B190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BFF5879" w14:textId="77777777" w:rsidR="000B1909" w:rsidRPr="003E2460" w:rsidRDefault="000B1909" w:rsidP="000B1909">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DF1DC45" w14:textId="77777777" w:rsidR="000B1909" w:rsidRPr="003E2460" w:rsidRDefault="000B1909" w:rsidP="000B1909">
      <w:pPr>
        <w:spacing w:after="0" w:line="240" w:lineRule="auto"/>
        <w:jc w:val="both"/>
        <w:rPr>
          <w:rFonts w:ascii="Verdana" w:hAnsi="Verdana"/>
        </w:rPr>
      </w:pPr>
    </w:p>
    <w:p w14:paraId="329C1364" w14:textId="77777777" w:rsidR="000B1909" w:rsidRPr="003E2460" w:rsidRDefault="000B1909" w:rsidP="000B1909">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28A0B261" w14:textId="77777777" w:rsidR="000B1909" w:rsidRPr="003E2460" w:rsidRDefault="000B1909" w:rsidP="000B1909">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37E7FEEB" w14:textId="77777777" w:rsidR="000B1909" w:rsidRPr="003E2460" w:rsidRDefault="000B1909" w:rsidP="000B1909">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5A2B4261" w14:textId="77777777" w:rsidR="000B1909" w:rsidRPr="00593A5F" w:rsidRDefault="000B1909" w:rsidP="000B1909">
      <w:pPr>
        <w:widowControl w:val="0"/>
        <w:autoSpaceDE w:val="0"/>
        <w:autoSpaceDN w:val="0"/>
        <w:spacing w:after="0" w:line="276" w:lineRule="auto"/>
        <w:jc w:val="both"/>
        <w:rPr>
          <w:rFonts w:ascii="Verdana" w:hAnsi="Verdana" w:cs="Arial"/>
        </w:rPr>
      </w:pPr>
    </w:p>
    <w:p w14:paraId="489E683E" w14:textId="77777777" w:rsidR="000B1909" w:rsidRPr="00593A5F" w:rsidRDefault="000B1909" w:rsidP="000B190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0011E6AC" w14:textId="77777777" w:rsidR="000B1909" w:rsidRPr="00593A5F" w:rsidRDefault="000B1909" w:rsidP="000B1909">
      <w:pPr>
        <w:widowControl w:val="0"/>
        <w:autoSpaceDE w:val="0"/>
        <w:autoSpaceDN w:val="0"/>
        <w:spacing w:after="0" w:line="276" w:lineRule="auto"/>
        <w:jc w:val="both"/>
        <w:rPr>
          <w:rFonts w:ascii="Verdana" w:hAnsi="Verdana" w:cs="Arial"/>
        </w:rPr>
      </w:pPr>
    </w:p>
    <w:p w14:paraId="49CB0749" w14:textId="77777777" w:rsidR="000B1909" w:rsidRPr="00593A5F" w:rsidRDefault="000B1909" w:rsidP="000B190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0CE35B35" w14:textId="77777777" w:rsidR="000B1909" w:rsidRPr="00593A5F" w:rsidRDefault="000B1909" w:rsidP="000B1909">
      <w:pPr>
        <w:spacing w:line="276" w:lineRule="auto"/>
        <w:jc w:val="center"/>
        <w:rPr>
          <w:rFonts w:ascii="Verdana" w:hAnsi="Verdana" w:cs="Arial"/>
          <w:color w:val="000000"/>
          <w:lang w:val="es-ES_tradnl" w:eastAsia="es-CO"/>
        </w:rPr>
      </w:pPr>
      <w:r w:rsidRPr="00AC023F">
        <w:rPr>
          <w:rFonts w:ascii="Verdana" w:hAnsi="Verdana"/>
          <w:noProof/>
        </w:rPr>
        <w:drawing>
          <wp:inline distT="0" distB="0" distL="0" distR="0" wp14:anchorId="3489774D" wp14:editId="13FED788">
            <wp:extent cx="3381375" cy="1133475"/>
            <wp:effectExtent l="0" t="0" r="9525" b="9525"/>
            <wp:docPr id="280232186"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32186" name="Imagen 1" descr="Imagen que contiene Diagrama&#10;&#10;Descripción generada automáticamente"/>
                    <pic:cNvPicPr/>
                  </pic:nvPicPr>
                  <pic:blipFill rotWithShape="1">
                    <a:blip r:embed="rId13"/>
                    <a:srcRect l="7068" t="24758" b="7281"/>
                    <a:stretch/>
                  </pic:blipFill>
                  <pic:spPr bwMode="auto">
                    <a:xfrm>
                      <a:off x="0" y="0"/>
                      <a:ext cx="3381849" cy="113363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B1909" w:rsidRPr="00593A5F" w14:paraId="7407A67D" w14:textId="77777777" w:rsidTr="004D00E9">
        <w:trPr>
          <w:trHeight w:val="315"/>
        </w:trPr>
        <w:tc>
          <w:tcPr>
            <w:tcW w:w="893" w:type="dxa"/>
            <w:vAlign w:val="center"/>
            <w:hideMark/>
          </w:tcPr>
          <w:p w14:paraId="092EBFA6" w14:textId="77777777" w:rsidR="000B1909" w:rsidRPr="003751C7" w:rsidRDefault="000B1909" w:rsidP="004D00E9">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17AEA0A" w14:textId="77777777" w:rsidR="000B1909" w:rsidRPr="00B81CAD" w:rsidRDefault="000B1909" w:rsidP="004D00E9">
            <w:pPr>
              <w:contextualSpacing/>
              <w:rPr>
                <w:rStyle w:val="normaltextrun"/>
                <w:rFonts w:eastAsia="Times New Roman"/>
                <w:sz w:val="16"/>
                <w:szCs w:val="16"/>
                <w:lang w:val="es-ES" w:eastAsia="es-ES_tradnl"/>
              </w:rPr>
            </w:pPr>
            <w:r w:rsidRPr="00B81CAD">
              <w:rPr>
                <w:rStyle w:val="normaltextrun"/>
                <w:rFonts w:ascii="Verdana" w:eastAsia="Times New Roman" w:hAnsi="Verdana" w:cs="Arial"/>
                <w:sz w:val="16"/>
                <w:szCs w:val="16"/>
                <w:lang w:val="es-ES" w:eastAsia="es-ES_tradnl"/>
              </w:rPr>
              <w:t>Alejandro Gamboa Cárdenas</w:t>
            </w:r>
          </w:p>
          <w:p w14:paraId="43717E50" w14:textId="77777777" w:rsidR="000B1909" w:rsidRPr="003751C7" w:rsidRDefault="000B1909" w:rsidP="004D00E9">
            <w:pPr>
              <w:contextualSpacing/>
              <w:rPr>
                <w:rFonts w:ascii="Verdana" w:eastAsia="Arial" w:hAnsi="Verdana" w:cs="Arial"/>
                <w:sz w:val="16"/>
                <w:szCs w:val="16"/>
              </w:rPr>
            </w:pPr>
            <w:r w:rsidRPr="004D2A12">
              <w:rPr>
                <w:rStyle w:val="normaltextrun"/>
                <w:rFonts w:ascii="Verdana" w:eastAsia="Arial" w:hAnsi="Verdana" w:cs="Arial"/>
                <w:sz w:val="16"/>
                <w:szCs w:val="16"/>
              </w:rPr>
              <w:t xml:space="preserve">Contratista </w:t>
            </w:r>
            <w:r w:rsidRPr="003751C7">
              <w:rPr>
                <w:rStyle w:val="normaltextrun"/>
                <w:rFonts w:ascii="Verdana" w:eastAsia="Arial" w:hAnsi="Verdana" w:cs="Arial"/>
                <w:sz w:val="16"/>
                <w:szCs w:val="16"/>
              </w:rPr>
              <w:t>de la Subdirección de Gestión Contractual</w:t>
            </w:r>
          </w:p>
        </w:tc>
      </w:tr>
      <w:tr w:rsidR="000B1909" w:rsidRPr="00593A5F" w14:paraId="5004DB4D" w14:textId="77777777" w:rsidTr="004D00E9">
        <w:trPr>
          <w:trHeight w:val="330"/>
        </w:trPr>
        <w:tc>
          <w:tcPr>
            <w:tcW w:w="893" w:type="dxa"/>
            <w:vAlign w:val="center"/>
            <w:hideMark/>
          </w:tcPr>
          <w:p w14:paraId="648B0B09" w14:textId="77777777" w:rsidR="000B1909" w:rsidRPr="003751C7" w:rsidRDefault="000B1909" w:rsidP="004D00E9">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5333B66" w14:textId="77777777" w:rsidR="000B1909" w:rsidRPr="00096851" w:rsidRDefault="000B1909" w:rsidP="004D00E9">
            <w:pPr>
              <w:pStyle w:val="paragraph"/>
              <w:spacing w:before="0" w:beforeAutospacing="0" w:after="0" w:afterAutospacing="0"/>
              <w:contextualSpacing/>
              <w:textAlignment w:val="baseline"/>
              <w:rPr>
                <w:rStyle w:val="normaltextrun"/>
                <w:rFonts w:ascii="Verdana" w:hAnsi="Verdana" w:cs="Arial"/>
                <w:sz w:val="16"/>
                <w:szCs w:val="16"/>
                <w:lang w:val="es-ES"/>
              </w:rPr>
            </w:pPr>
            <w:r w:rsidRPr="00096851">
              <w:rPr>
                <w:rStyle w:val="normaltextrun"/>
                <w:rFonts w:ascii="Verdana" w:hAnsi="Verdana" w:cs="Arial"/>
                <w:sz w:val="16"/>
                <w:szCs w:val="16"/>
                <w:lang w:val="es-ES"/>
              </w:rPr>
              <w:t>Martha Alicia Romero Vargas</w:t>
            </w:r>
          </w:p>
          <w:p w14:paraId="597A9DCE" w14:textId="77777777" w:rsidR="000B1909" w:rsidRPr="003751C7" w:rsidRDefault="000B1909" w:rsidP="004D00E9">
            <w:pPr>
              <w:pStyle w:val="paragraph"/>
              <w:spacing w:before="0" w:beforeAutospacing="0" w:after="0" w:afterAutospacing="0"/>
              <w:contextualSpacing/>
              <w:textAlignment w:val="baseline"/>
              <w:rPr>
                <w:rFonts w:ascii="Verdana" w:hAnsi="Verdana" w:cs="Segoe UI"/>
                <w:sz w:val="16"/>
                <w:szCs w:val="16"/>
              </w:rPr>
            </w:pPr>
            <w:r w:rsidRPr="00096851">
              <w:rPr>
                <w:rStyle w:val="normaltextrun"/>
                <w:rFonts w:ascii="Verdana" w:hAnsi="Verdana" w:cs="Arial"/>
                <w:sz w:val="16"/>
                <w:szCs w:val="16"/>
                <w:lang w:val="es-ES"/>
              </w:rPr>
              <w:t xml:space="preserve">Gestor T1-15 de la Subdirección </w:t>
            </w:r>
            <w:r w:rsidRPr="003751C7">
              <w:rPr>
                <w:rStyle w:val="normaltextrun"/>
                <w:rFonts w:ascii="Verdana" w:hAnsi="Verdana" w:cs="Arial"/>
                <w:sz w:val="16"/>
                <w:szCs w:val="16"/>
                <w:lang w:val="es-ES"/>
              </w:rPr>
              <w:t>de Gestión Contractual</w:t>
            </w:r>
            <w:r w:rsidRPr="003751C7">
              <w:rPr>
                <w:rStyle w:val="eop"/>
                <w:rFonts w:ascii="Verdana" w:hAnsi="Verdana" w:cs="Arial"/>
                <w:sz w:val="16"/>
                <w:szCs w:val="16"/>
              </w:rPr>
              <w:t> </w:t>
            </w:r>
          </w:p>
        </w:tc>
      </w:tr>
      <w:tr w:rsidR="000B1909" w:rsidRPr="00593A5F" w14:paraId="7D22C021" w14:textId="77777777" w:rsidTr="004D00E9">
        <w:trPr>
          <w:trHeight w:val="300"/>
        </w:trPr>
        <w:tc>
          <w:tcPr>
            <w:tcW w:w="893" w:type="dxa"/>
            <w:vAlign w:val="center"/>
          </w:tcPr>
          <w:p w14:paraId="655DEF4A" w14:textId="77777777" w:rsidR="000B1909" w:rsidRPr="003751C7" w:rsidRDefault="000B1909" w:rsidP="004D00E9">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FB1CD50" w14:textId="77777777" w:rsidR="000B1909" w:rsidRPr="003751C7" w:rsidRDefault="000B1909" w:rsidP="004D00E9">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431E5153" w14:textId="77777777" w:rsidR="000B1909" w:rsidRPr="003751C7" w:rsidRDefault="000B1909" w:rsidP="004D00E9">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0F293BF4" w14:textId="7BBFAB11" w:rsidR="00127233" w:rsidRPr="0044528D" w:rsidRDefault="00127233" w:rsidP="000B1909">
      <w:pPr>
        <w:spacing w:after="0"/>
        <w:rPr>
          <w:rFonts w:ascii="Verdana" w:hAnsi="Verdana"/>
        </w:rPr>
      </w:pPr>
    </w:p>
    <w:sectPr w:rsidR="00127233"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5BAD0" w14:textId="77777777" w:rsidR="00DB13D5" w:rsidRDefault="00DB13D5" w:rsidP="004A1847">
      <w:pPr>
        <w:spacing w:after="0" w:line="240" w:lineRule="auto"/>
      </w:pPr>
      <w:r>
        <w:separator/>
      </w:r>
    </w:p>
  </w:endnote>
  <w:endnote w:type="continuationSeparator" w:id="0">
    <w:p w14:paraId="703A6BDD" w14:textId="77777777" w:rsidR="00DB13D5" w:rsidRDefault="00DB13D5" w:rsidP="004A1847">
      <w:pPr>
        <w:spacing w:after="0" w:line="240" w:lineRule="auto"/>
      </w:pPr>
      <w:r>
        <w:continuationSeparator/>
      </w:r>
    </w:p>
  </w:endnote>
  <w:endnote w:type="continuationNotice" w:id="1">
    <w:p w14:paraId="67BB6FF2" w14:textId="77777777" w:rsidR="00357621" w:rsidRDefault="00357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85DF1" w14:textId="77777777" w:rsidR="00DB13D5" w:rsidRDefault="00DB13D5" w:rsidP="004A1847">
      <w:pPr>
        <w:spacing w:after="0" w:line="240" w:lineRule="auto"/>
      </w:pPr>
      <w:r>
        <w:separator/>
      </w:r>
    </w:p>
  </w:footnote>
  <w:footnote w:type="continuationSeparator" w:id="0">
    <w:p w14:paraId="0FCAAC1F" w14:textId="77777777" w:rsidR="00DB13D5" w:rsidRDefault="00DB13D5" w:rsidP="004A1847">
      <w:pPr>
        <w:spacing w:after="0" w:line="240" w:lineRule="auto"/>
      </w:pPr>
      <w:r>
        <w:continuationSeparator/>
      </w:r>
    </w:p>
  </w:footnote>
  <w:footnote w:type="continuationNotice" w:id="1">
    <w:p w14:paraId="5DBD32AD" w14:textId="77777777" w:rsidR="00357621" w:rsidRDefault="00357621">
      <w:pPr>
        <w:spacing w:after="0" w:line="240" w:lineRule="auto"/>
      </w:pPr>
    </w:p>
  </w:footnote>
  <w:footnote w:id="2">
    <w:p w14:paraId="1441C8BE" w14:textId="77777777" w:rsidR="000B1909" w:rsidRPr="00695BC0" w:rsidRDefault="000B1909" w:rsidP="000B1909">
      <w:pPr>
        <w:pStyle w:val="Textonotapie"/>
        <w:rPr>
          <w:lang w:val="es-CO"/>
        </w:rPr>
      </w:pPr>
      <w:r>
        <w:rPr>
          <w:rStyle w:val="Refdenotaalpie"/>
        </w:rPr>
        <w:footnoteRef/>
      </w:r>
      <w:r>
        <w:t xml:space="preserve"> </w:t>
      </w:r>
      <w:r w:rsidRPr="00695BC0">
        <w:t>Consejo de Estado. Sección Tercera. Sentencia del 27 de abril de 2011. Exp. 18.293. C.P. Ruth Stella Correa Palacio.</w:t>
      </w:r>
    </w:p>
  </w:footnote>
  <w:footnote w:id="3">
    <w:p w14:paraId="3ABED9E5" w14:textId="77777777" w:rsidR="000B1909" w:rsidRDefault="000B1909" w:rsidP="000B1909">
      <w:pPr>
        <w:pStyle w:val="Textonotapie"/>
      </w:pPr>
      <w:r>
        <w:rPr>
          <w:rStyle w:val="Refdenotaalpie"/>
        </w:rPr>
        <w:footnoteRef/>
      </w:r>
      <w:r>
        <w:t xml:space="preserve"> Consejo de Estado. Sección Tercera. Sentencia del 21 de noviembre de 2013 Exp. 25397. C.P. Carlos Alberto</w:t>
      </w:r>
    </w:p>
    <w:p w14:paraId="46B9FADC" w14:textId="77777777" w:rsidR="000B1909" w:rsidRPr="009335E8" w:rsidRDefault="000B1909" w:rsidP="000B1909">
      <w:pPr>
        <w:pStyle w:val="Textonotapie"/>
        <w:rPr>
          <w:lang w:val="es-CO"/>
        </w:rPr>
      </w:pPr>
      <w:r>
        <w:t>Zambrano Barrera.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A06CC6"/>
    <w:multiLevelType w:val="hybridMultilevel"/>
    <w:tmpl w:val="4C0A9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5AF195D"/>
    <w:multiLevelType w:val="hybridMultilevel"/>
    <w:tmpl w:val="99C6CF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341274352">
    <w:abstractNumId w:val="0"/>
  </w:num>
  <w:num w:numId="17" w16cid:durableId="1492209491">
    <w:abstractNumId w:val="6"/>
  </w:num>
  <w:num w:numId="18" w16cid:durableId="679089576">
    <w:abstractNumId w:val="11"/>
  </w:num>
  <w:num w:numId="19" w16cid:durableId="1659067888">
    <w:abstractNumId w:val="3"/>
  </w:num>
  <w:num w:numId="20" w16cid:durableId="866874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09"/>
    <w:rsid w:val="000B19B9"/>
    <w:rsid w:val="000D0334"/>
    <w:rsid w:val="000F6486"/>
    <w:rsid w:val="00125105"/>
    <w:rsid w:val="00127233"/>
    <w:rsid w:val="001E4177"/>
    <w:rsid w:val="001F7DC6"/>
    <w:rsid w:val="002421BB"/>
    <w:rsid w:val="0025796E"/>
    <w:rsid w:val="002707A2"/>
    <w:rsid w:val="002951A0"/>
    <w:rsid w:val="002962BC"/>
    <w:rsid w:val="002A093D"/>
    <w:rsid w:val="002A0DD0"/>
    <w:rsid w:val="002A49AC"/>
    <w:rsid w:val="002A64FD"/>
    <w:rsid w:val="002C4F31"/>
    <w:rsid w:val="002C57DD"/>
    <w:rsid w:val="002C7A84"/>
    <w:rsid w:val="002E4FD9"/>
    <w:rsid w:val="00322A85"/>
    <w:rsid w:val="00324168"/>
    <w:rsid w:val="003448F4"/>
    <w:rsid w:val="00357621"/>
    <w:rsid w:val="00374F5E"/>
    <w:rsid w:val="00377E3E"/>
    <w:rsid w:val="003A26D1"/>
    <w:rsid w:val="003A779E"/>
    <w:rsid w:val="003D0F4D"/>
    <w:rsid w:val="003D5B0D"/>
    <w:rsid w:val="003E0499"/>
    <w:rsid w:val="003F3941"/>
    <w:rsid w:val="00406575"/>
    <w:rsid w:val="0042722E"/>
    <w:rsid w:val="0044528D"/>
    <w:rsid w:val="00454B72"/>
    <w:rsid w:val="004A1847"/>
    <w:rsid w:val="004A305D"/>
    <w:rsid w:val="004A7233"/>
    <w:rsid w:val="004B4AF6"/>
    <w:rsid w:val="004F21C4"/>
    <w:rsid w:val="004F685F"/>
    <w:rsid w:val="005566E8"/>
    <w:rsid w:val="00574867"/>
    <w:rsid w:val="00591460"/>
    <w:rsid w:val="00592628"/>
    <w:rsid w:val="005C3777"/>
    <w:rsid w:val="005C5CDC"/>
    <w:rsid w:val="005D476C"/>
    <w:rsid w:val="00610812"/>
    <w:rsid w:val="006219F8"/>
    <w:rsid w:val="00650FF7"/>
    <w:rsid w:val="00653A80"/>
    <w:rsid w:val="006633AA"/>
    <w:rsid w:val="00665D70"/>
    <w:rsid w:val="00671DAC"/>
    <w:rsid w:val="0068180E"/>
    <w:rsid w:val="006900D9"/>
    <w:rsid w:val="0069680F"/>
    <w:rsid w:val="006C2CDF"/>
    <w:rsid w:val="006D12F8"/>
    <w:rsid w:val="00706C16"/>
    <w:rsid w:val="00756841"/>
    <w:rsid w:val="007643CB"/>
    <w:rsid w:val="007649AB"/>
    <w:rsid w:val="00771D0C"/>
    <w:rsid w:val="007833AC"/>
    <w:rsid w:val="0079451B"/>
    <w:rsid w:val="007A074D"/>
    <w:rsid w:val="007B268C"/>
    <w:rsid w:val="007B7171"/>
    <w:rsid w:val="007C0C0F"/>
    <w:rsid w:val="007C3DC2"/>
    <w:rsid w:val="007E5497"/>
    <w:rsid w:val="00803C2E"/>
    <w:rsid w:val="00806F5F"/>
    <w:rsid w:val="00820278"/>
    <w:rsid w:val="008843B6"/>
    <w:rsid w:val="00891928"/>
    <w:rsid w:val="008A446D"/>
    <w:rsid w:val="008D180B"/>
    <w:rsid w:val="008F0EA7"/>
    <w:rsid w:val="00923EEF"/>
    <w:rsid w:val="009419F9"/>
    <w:rsid w:val="00950B56"/>
    <w:rsid w:val="0095685E"/>
    <w:rsid w:val="00961B09"/>
    <w:rsid w:val="00965334"/>
    <w:rsid w:val="0097093E"/>
    <w:rsid w:val="009A0DFA"/>
    <w:rsid w:val="009B2D26"/>
    <w:rsid w:val="009C71FA"/>
    <w:rsid w:val="009C72E7"/>
    <w:rsid w:val="009D3058"/>
    <w:rsid w:val="009F3A13"/>
    <w:rsid w:val="00A027A4"/>
    <w:rsid w:val="00A122D3"/>
    <w:rsid w:val="00A17F13"/>
    <w:rsid w:val="00A20739"/>
    <w:rsid w:val="00A33C78"/>
    <w:rsid w:val="00A47CEE"/>
    <w:rsid w:val="00AB0ADB"/>
    <w:rsid w:val="00B01B1A"/>
    <w:rsid w:val="00B03CF5"/>
    <w:rsid w:val="00B2515C"/>
    <w:rsid w:val="00B27BAC"/>
    <w:rsid w:val="00B672CD"/>
    <w:rsid w:val="00B72CD3"/>
    <w:rsid w:val="00B72FFF"/>
    <w:rsid w:val="00B91A6C"/>
    <w:rsid w:val="00BC3D36"/>
    <w:rsid w:val="00BD7F72"/>
    <w:rsid w:val="00C04E94"/>
    <w:rsid w:val="00C04FB3"/>
    <w:rsid w:val="00C330EB"/>
    <w:rsid w:val="00C52F11"/>
    <w:rsid w:val="00C754BE"/>
    <w:rsid w:val="00C76B1C"/>
    <w:rsid w:val="00CB3B98"/>
    <w:rsid w:val="00CB6357"/>
    <w:rsid w:val="00CC1B26"/>
    <w:rsid w:val="00CF0861"/>
    <w:rsid w:val="00CF4FC7"/>
    <w:rsid w:val="00D423A2"/>
    <w:rsid w:val="00D520D8"/>
    <w:rsid w:val="00D63AC2"/>
    <w:rsid w:val="00D7383B"/>
    <w:rsid w:val="00D90CB2"/>
    <w:rsid w:val="00DA1763"/>
    <w:rsid w:val="00DA231B"/>
    <w:rsid w:val="00DA23A0"/>
    <w:rsid w:val="00DA4563"/>
    <w:rsid w:val="00DB13D5"/>
    <w:rsid w:val="00DC39FC"/>
    <w:rsid w:val="00DF5254"/>
    <w:rsid w:val="00E10ED8"/>
    <w:rsid w:val="00E161DF"/>
    <w:rsid w:val="00E16408"/>
    <w:rsid w:val="00E20894"/>
    <w:rsid w:val="00E245AB"/>
    <w:rsid w:val="00E2764C"/>
    <w:rsid w:val="00E27F2E"/>
    <w:rsid w:val="00E413EA"/>
    <w:rsid w:val="00E4357A"/>
    <w:rsid w:val="00E50AFE"/>
    <w:rsid w:val="00E75C92"/>
    <w:rsid w:val="00E771DC"/>
    <w:rsid w:val="00E8772A"/>
    <w:rsid w:val="00E90F6B"/>
    <w:rsid w:val="00E92C27"/>
    <w:rsid w:val="00EA0E3D"/>
    <w:rsid w:val="00EC38A7"/>
    <w:rsid w:val="00ED6156"/>
    <w:rsid w:val="00EE1AA8"/>
    <w:rsid w:val="00F31EDC"/>
    <w:rsid w:val="00F462B3"/>
    <w:rsid w:val="00F5664F"/>
    <w:rsid w:val="00F6102B"/>
    <w:rsid w:val="00F61881"/>
    <w:rsid w:val="00F666C4"/>
    <w:rsid w:val="00F76AFC"/>
    <w:rsid w:val="00FA47C0"/>
    <w:rsid w:val="00FB5DD1"/>
    <w:rsid w:val="00FC25E6"/>
    <w:rsid w:val="00FC2A82"/>
    <w:rsid w:val="00FC2B5D"/>
    <w:rsid w:val="00FD7D34"/>
    <w:rsid w:val="00FF1449"/>
    <w:rsid w:val="00FF3C42"/>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B1909"/>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B1909"/>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manuales-guias-y-pliegostipo/manuales-y-guia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04-documentos-tipo-para-licitacion-de-obra-publica-de-nfraestructurade-transporte-vers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lejandrofigueroapolo@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E4DD48D-7CA3-408F-A773-CBA09EBF3374}"/>
</file>

<file path=customXml/itemProps3.xml><?xml version="1.0" encoding="utf-8"?>
<ds:datastoreItem xmlns:ds="http://schemas.openxmlformats.org/officeDocument/2006/customXml" ds:itemID="{163618BE-28CB-4D69-955E-CDA788483BED}">
  <ds:schemaRefs>
    <ds:schemaRef ds:uri="http://purl.org/dc/dcmitype/"/>
    <ds:schemaRef ds:uri="http://schemas.microsoft.com/office/infopath/2007/PartnerControls"/>
    <ds:schemaRef ds:uri="http://purl.org/dc/terms/"/>
    <ds:schemaRef ds:uri="http://purl.org/dc/elements/1.1/"/>
    <ds:schemaRef ds:uri="8ae15d26-076e-464e-81a7-6f76a0fb3917"/>
    <ds:schemaRef ds:uri="http://schemas.microsoft.com/office/2006/documentManagement/types"/>
    <ds:schemaRef ds:uri="http://schemas.openxmlformats.org/package/2006/metadata/core-properties"/>
    <ds:schemaRef ds:uri="36c82cfe-0eda-494d-b392-a9281b89aaf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5240</Words>
  <Characters>28826</Characters>
  <Application>Microsoft Office Word</Application>
  <DocSecurity>0</DocSecurity>
  <Lines>240</Lines>
  <Paragraphs>67</Paragraphs>
  <ScaleCrop>false</ScaleCrop>
  <Company/>
  <LinksUpToDate>false</LinksUpToDate>
  <CharactersWithSpaces>33999</CharactersWithSpaces>
  <SharedDoc>false</SharedDoc>
  <HLinks>
    <vt:vector size="18" baseType="variant">
      <vt:variant>
        <vt:i4>8323128</vt:i4>
      </vt:variant>
      <vt:variant>
        <vt:i4>6</vt:i4>
      </vt:variant>
      <vt:variant>
        <vt:i4>0</vt:i4>
      </vt:variant>
      <vt:variant>
        <vt:i4>5</vt:i4>
      </vt:variant>
      <vt:variant>
        <vt:lpwstr>https://www.colombiacompra.gov.co/manuales-guias-y-pliegostipo/manuales-y-guias</vt:lpwstr>
      </vt:variant>
      <vt:variant>
        <vt:lpwstr/>
      </vt:variant>
      <vt:variant>
        <vt:i4>2818171</vt:i4>
      </vt:variant>
      <vt:variant>
        <vt:i4>3</vt:i4>
      </vt:variant>
      <vt:variant>
        <vt:i4>0</vt:i4>
      </vt:variant>
      <vt:variant>
        <vt:i4>5</vt:i4>
      </vt:variant>
      <vt:variant>
        <vt:lpwstr>https://www.colombiacompra.gov.co/content/04-documentos-tipo-para-licitacion-de-obra-publica-de-nfraestructurade-transporte-version</vt:lpwstr>
      </vt:variant>
      <vt:variant>
        <vt:lpwstr/>
      </vt:variant>
      <vt:variant>
        <vt:i4>6750274</vt:i4>
      </vt:variant>
      <vt:variant>
        <vt:i4>0</vt:i4>
      </vt:variant>
      <vt:variant>
        <vt:i4>0</vt:i4>
      </vt:variant>
      <vt:variant>
        <vt:i4>5</vt:i4>
      </vt:variant>
      <vt:variant>
        <vt:lpwstr>mailto:alejandrofigueroapolo@gmail.com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Alejandro Gamboa</cp:lastModifiedBy>
  <cp:revision>2</cp:revision>
  <cp:lastPrinted>2023-01-10T21:18:00Z</cp:lastPrinted>
  <dcterms:created xsi:type="dcterms:W3CDTF">2024-09-12T19:39:00Z</dcterms:created>
  <dcterms:modified xsi:type="dcterms:W3CDTF">2024-09-12T19:39:00Z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