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FB856" w14:textId="77777777" w:rsidR="00B71F41" w:rsidRPr="00CA0C18" w:rsidRDefault="00B71F41" w:rsidP="00B71F41">
      <w:pPr>
        <w:spacing w:after="0" w:line="240" w:lineRule="auto"/>
        <w:jc w:val="both"/>
        <w:rPr>
          <w:rFonts w:ascii="Verdana" w:eastAsia="Calibri" w:hAnsi="Verdana" w:cs="Arial"/>
          <w:b/>
          <w:bCs/>
          <w:lang w:val="es-ES_tradnl"/>
        </w:rPr>
      </w:pPr>
      <w:bookmarkStart w:id="0" w:name="_Hlk143780582"/>
      <w:r w:rsidRPr="00CA0C18">
        <w:rPr>
          <w:rFonts w:ascii="Verdana" w:eastAsia="Calibri" w:hAnsi="Verdana" w:cs="Arial"/>
          <w:b/>
          <w:bCs/>
          <w:lang w:val="es-ES_tradnl"/>
        </w:rPr>
        <w:t>CAPACIDAD JURÍDICA- Personas jurídicas- Procesos de reorganización empresarial</w:t>
      </w:r>
    </w:p>
    <w:p w14:paraId="13BFBD65" w14:textId="77777777" w:rsidR="00B71F41" w:rsidRPr="00CA0C18" w:rsidRDefault="00B71F41" w:rsidP="00B71F41">
      <w:pPr>
        <w:spacing w:after="0" w:line="240" w:lineRule="auto"/>
        <w:jc w:val="both"/>
        <w:rPr>
          <w:rFonts w:ascii="Verdana" w:eastAsia="Calibri" w:hAnsi="Verdana" w:cs="Arial"/>
          <w:bCs/>
          <w:sz w:val="20"/>
          <w:szCs w:val="20"/>
          <w:highlight w:val="yellow"/>
          <w:lang w:val="es-ES"/>
        </w:rPr>
      </w:pPr>
    </w:p>
    <w:p w14:paraId="3DD192CC" w14:textId="77777777" w:rsidR="00B71F41" w:rsidRPr="00CA0C18" w:rsidRDefault="00B71F41" w:rsidP="1D5F7DAA">
      <w:pPr>
        <w:spacing w:after="0" w:line="240" w:lineRule="auto"/>
        <w:jc w:val="both"/>
        <w:rPr>
          <w:rFonts w:ascii="Verdana" w:eastAsia="Calibri" w:hAnsi="Verdana" w:cs="Arial"/>
          <w:sz w:val="20"/>
          <w:szCs w:val="20"/>
          <w:lang w:val="es-ES"/>
        </w:rPr>
      </w:pPr>
      <w:r w:rsidRPr="1D5F7DAA">
        <w:rPr>
          <w:rFonts w:ascii="Verdana" w:eastAsia="Calibri" w:hAnsi="Verdana" w:cs="Arial"/>
          <w:sz w:val="20"/>
          <w:szCs w:val="20"/>
          <w:lang w:val="es-ES"/>
        </w:rPr>
        <w:t>La capacidad jurídica de quienes encuentren en procesos de reorganización empresarial no se afecta, y por lo tanto, las personas jurídicas que resultan admitidas en este tipo de procesos pueden participar en Procesos de Contratación y celebrar contratos con Entidades Estatales.</w:t>
      </w:r>
    </w:p>
    <w:p w14:paraId="2BF98469" w14:textId="77777777" w:rsidR="00B71F41" w:rsidRPr="00CA0C18" w:rsidRDefault="00B71F41" w:rsidP="00B71F41">
      <w:pPr>
        <w:spacing w:after="0" w:line="240" w:lineRule="auto"/>
        <w:jc w:val="both"/>
        <w:rPr>
          <w:rFonts w:ascii="Verdana" w:eastAsia="Calibri" w:hAnsi="Verdana" w:cs="Arial"/>
          <w:bCs/>
          <w:sz w:val="20"/>
          <w:szCs w:val="20"/>
          <w:highlight w:val="yellow"/>
        </w:rPr>
      </w:pPr>
    </w:p>
    <w:p w14:paraId="1E5983FE" w14:textId="77777777" w:rsidR="00B71F41" w:rsidRPr="00CA0C18" w:rsidRDefault="00B71F41" w:rsidP="00B71F41">
      <w:pPr>
        <w:jc w:val="both"/>
        <w:rPr>
          <w:rFonts w:ascii="Verdana" w:hAnsi="Verdana"/>
        </w:rPr>
      </w:pPr>
      <w:r w:rsidRPr="00CA0C18">
        <w:rPr>
          <w:rFonts w:ascii="Verdana" w:hAnsi="Verdana"/>
        </w:rPr>
        <w:br w:type="page"/>
      </w:r>
    </w:p>
    <w:p w14:paraId="6B296490" w14:textId="522D94A0" w:rsidR="00B71F41" w:rsidRPr="00CA0C18" w:rsidRDefault="00B71F41" w:rsidP="00B71F41">
      <w:pPr>
        <w:spacing w:after="0"/>
        <w:rPr>
          <w:rFonts w:ascii="Verdana" w:hAnsi="Verdana"/>
        </w:rPr>
      </w:pPr>
      <w:r w:rsidRPr="00CA0C18">
        <w:rPr>
          <w:rFonts w:ascii="Verdana" w:hAnsi="Verdana"/>
        </w:rPr>
        <w:lastRenderedPageBreak/>
        <w:t xml:space="preserve">Bogotá D.C., </w:t>
      </w:r>
      <w:r w:rsidR="00D57B9B">
        <w:rPr>
          <w:rFonts w:ascii="Verdana" w:hAnsi="Verdana"/>
        </w:rPr>
        <w:t>26 de agosto de 2024</w:t>
      </w:r>
      <w:r w:rsidRPr="00CA0C18">
        <w:rPr>
          <w:rFonts w:ascii="Verdana" w:hAnsi="Verdana"/>
        </w:rPr>
        <w:tab/>
      </w:r>
    </w:p>
    <w:p w14:paraId="2E03D87B" w14:textId="18CE37B9" w:rsidR="00B71F41" w:rsidRDefault="00B71F41" w:rsidP="00B71F41">
      <w:pPr>
        <w:spacing w:after="0"/>
        <w:rPr>
          <w:rFonts w:ascii="Verdana" w:hAnsi="Verdana"/>
        </w:rPr>
      </w:pPr>
    </w:p>
    <w:p w14:paraId="3A3C6CDA" w14:textId="41AAFB93" w:rsidR="008B3104" w:rsidRPr="00CA0C18" w:rsidRDefault="008B3104" w:rsidP="008B3104">
      <w:pPr>
        <w:spacing w:after="0"/>
        <w:jc w:val="right"/>
        <w:rPr>
          <w:rFonts w:ascii="Verdana" w:hAnsi="Verdana"/>
        </w:rPr>
      </w:pPr>
      <w:r w:rsidRPr="008B3104">
        <w:rPr>
          <w:rFonts w:ascii="Verdana" w:hAnsi="Verdana"/>
        </w:rPr>
        <w:drawing>
          <wp:inline distT="0" distB="0" distL="0" distR="0" wp14:anchorId="578209DF" wp14:editId="48CBD882">
            <wp:extent cx="1704356" cy="52774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1887" cy="539366"/>
                    </a:xfrm>
                    <a:prstGeom prst="rect">
                      <a:avLst/>
                    </a:prstGeom>
                  </pic:spPr>
                </pic:pic>
              </a:graphicData>
            </a:graphic>
          </wp:inline>
        </w:drawing>
      </w:r>
    </w:p>
    <w:p w14:paraId="6494BD60" w14:textId="77777777" w:rsidR="00B71F41" w:rsidRPr="00CA0C18" w:rsidRDefault="00B71F41" w:rsidP="00B71F41">
      <w:pPr>
        <w:spacing w:after="0"/>
        <w:rPr>
          <w:rFonts w:ascii="Verdana" w:hAnsi="Verdana"/>
        </w:rPr>
      </w:pPr>
    </w:p>
    <w:p w14:paraId="3931EBC9" w14:textId="77777777" w:rsidR="00B71F41" w:rsidRPr="00CA0C18" w:rsidRDefault="00B71F41" w:rsidP="00B71F41">
      <w:pPr>
        <w:spacing w:after="0" w:line="240" w:lineRule="auto"/>
        <w:jc w:val="both"/>
        <w:rPr>
          <w:rFonts w:ascii="Verdana" w:eastAsia="Calibri" w:hAnsi="Verdana" w:cs="Arial"/>
          <w:lang w:val="es-ES" w:eastAsia="es-ES"/>
        </w:rPr>
      </w:pPr>
      <w:r w:rsidRPr="00CA0C18">
        <w:rPr>
          <w:rFonts w:ascii="Verdana" w:eastAsia="Calibri" w:hAnsi="Verdana" w:cs="Arial"/>
          <w:lang w:val="es-ES" w:eastAsia="es-ES"/>
        </w:rPr>
        <w:t>Señor</w:t>
      </w:r>
    </w:p>
    <w:p w14:paraId="4B2F44AD" w14:textId="77777777" w:rsidR="00B71F41" w:rsidRPr="00CA0C18" w:rsidRDefault="00B71F41" w:rsidP="00B71F41">
      <w:pPr>
        <w:spacing w:after="0" w:line="240" w:lineRule="auto"/>
        <w:jc w:val="both"/>
        <w:rPr>
          <w:rFonts w:ascii="Verdana" w:hAnsi="Verdana" w:cs="Arial"/>
          <w:b/>
          <w:bCs/>
        </w:rPr>
      </w:pPr>
      <w:r w:rsidRPr="00CA0C18">
        <w:rPr>
          <w:rFonts w:ascii="Verdana" w:hAnsi="Verdana" w:cs="Arial"/>
          <w:b/>
          <w:bCs/>
        </w:rPr>
        <w:t>EDWIN GONZALEZ KERGUELEN</w:t>
      </w:r>
    </w:p>
    <w:p w14:paraId="6F6A85B3" w14:textId="77777777" w:rsidR="00B71F41" w:rsidRPr="00CA0C18" w:rsidRDefault="00C52F58" w:rsidP="00B71F41">
      <w:pPr>
        <w:spacing w:after="0" w:line="240" w:lineRule="auto"/>
        <w:jc w:val="both"/>
        <w:rPr>
          <w:rFonts w:ascii="Verdana" w:eastAsia="Calibri" w:hAnsi="Verdana" w:cs="Arial"/>
          <w:szCs w:val="24"/>
          <w:lang w:eastAsia="es-ES_tradnl"/>
        </w:rPr>
      </w:pPr>
      <w:hyperlink r:id="rId12" w:history="1">
        <w:r w:rsidR="00B71F41" w:rsidRPr="00CA0C18">
          <w:rPr>
            <w:rStyle w:val="Hipervnculo"/>
            <w:rFonts w:ascii="Verdana" w:eastAsia="Calibri" w:hAnsi="Verdana" w:cs="Arial"/>
            <w:color w:val="auto"/>
            <w:szCs w:val="24"/>
            <w:lang w:eastAsia="es-ES_tradnl"/>
          </w:rPr>
          <w:t>edwyngk@hotmail.com</w:t>
        </w:r>
      </w:hyperlink>
    </w:p>
    <w:p w14:paraId="64981099" w14:textId="77777777" w:rsidR="00B71F41" w:rsidRPr="00CA0C18" w:rsidRDefault="00B71F41" w:rsidP="00B71F41">
      <w:pPr>
        <w:spacing w:after="0" w:line="240" w:lineRule="auto"/>
        <w:jc w:val="both"/>
        <w:rPr>
          <w:rFonts w:ascii="Verdana" w:eastAsia="Calibri" w:hAnsi="Verdana" w:cs="Arial"/>
          <w:szCs w:val="24"/>
          <w:lang w:val="es-ES_tradnl" w:eastAsia="es-ES_tradnl"/>
        </w:rPr>
      </w:pPr>
      <w:r w:rsidRPr="00CA0C18">
        <w:rPr>
          <w:rFonts w:ascii="Verdana" w:eastAsia="Calibri" w:hAnsi="Verdana" w:cs="Arial"/>
          <w:szCs w:val="24"/>
          <w:lang w:val="es-ES_tradnl" w:eastAsia="es-ES_tradnl"/>
        </w:rPr>
        <w:t>Bogotá D.C</w:t>
      </w:r>
    </w:p>
    <w:p w14:paraId="38C19F11" w14:textId="77777777" w:rsidR="00B71F41" w:rsidRPr="00CA0C18" w:rsidRDefault="00B71F41" w:rsidP="00B71F41">
      <w:pPr>
        <w:spacing w:after="0" w:line="240" w:lineRule="auto"/>
        <w:jc w:val="both"/>
        <w:rPr>
          <w:rFonts w:ascii="Verdana" w:eastAsia="Calibri" w:hAnsi="Verdana" w:cs="Arial"/>
          <w:szCs w:val="24"/>
          <w:lang w:val="es-ES_tradnl" w:eastAsia="es-ES_tradnl"/>
        </w:rPr>
      </w:pPr>
    </w:p>
    <w:p w14:paraId="77000EB6" w14:textId="77777777" w:rsidR="00B71F41" w:rsidRPr="00CA0C18" w:rsidRDefault="00B71F41" w:rsidP="00B71F41">
      <w:pPr>
        <w:spacing w:after="0" w:line="240" w:lineRule="auto"/>
        <w:ind w:left="2694"/>
        <w:jc w:val="both"/>
        <w:rPr>
          <w:rFonts w:ascii="Verdana" w:eastAsia="Calibri" w:hAnsi="Verdana" w:cs="Arial"/>
          <w:b/>
          <w:bCs/>
          <w:szCs w:val="24"/>
          <w:lang w:val="es-ES_tradnl" w:eastAsia="es-ES_tradnl"/>
        </w:rPr>
      </w:pPr>
      <w:r w:rsidRPr="00CA0C18">
        <w:rPr>
          <w:rFonts w:ascii="Verdana" w:eastAsia="Calibri" w:hAnsi="Verdana" w:cs="Arial"/>
          <w:b/>
          <w:bCs/>
          <w:szCs w:val="24"/>
          <w:lang w:val="es-ES_tradnl" w:eastAsia="es-ES_tradnl"/>
        </w:rPr>
        <w:t>Concepto C–343 de 2024</w:t>
      </w:r>
    </w:p>
    <w:p w14:paraId="58415D84" w14:textId="77777777" w:rsidR="00B71F41" w:rsidRPr="00CA0C18" w:rsidRDefault="00B71F41" w:rsidP="00B71F41">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CA0C18" w:rsidRPr="00CA0C18" w14:paraId="4A6F71C0" w14:textId="77777777" w:rsidTr="005B4D64">
        <w:trPr>
          <w:trHeight w:val="884"/>
        </w:trPr>
        <w:tc>
          <w:tcPr>
            <w:tcW w:w="2835" w:type="dxa"/>
            <w:hideMark/>
          </w:tcPr>
          <w:p w14:paraId="5EAD8577" w14:textId="77777777" w:rsidR="00B71F41" w:rsidRPr="00CA0C18" w:rsidRDefault="00B71F41" w:rsidP="005B4D64">
            <w:pPr>
              <w:jc w:val="both"/>
              <w:rPr>
                <w:rFonts w:ascii="Verdana" w:eastAsia="Calibri" w:hAnsi="Verdana" w:cs="Arial"/>
                <w:szCs w:val="24"/>
                <w:lang w:val="es-ES_tradnl" w:eastAsia="es-ES_tradnl"/>
              </w:rPr>
            </w:pPr>
            <w:r w:rsidRPr="00CA0C18">
              <w:rPr>
                <w:rFonts w:ascii="Verdana" w:eastAsia="Calibri" w:hAnsi="Verdana" w:cs="Arial"/>
                <w:szCs w:val="24"/>
                <w:lang w:val="es-ES_tradnl" w:eastAsia="es-ES_tradnl"/>
              </w:rPr>
              <w:t xml:space="preserve">Temas:                   </w:t>
            </w:r>
          </w:p>
        </w:tc>
        <w:tc>
          <w:tcPr>
            <w:tcW w:w="6091" w:type="dxa"/>
          </w:tcPr>
          <w:p w14:paraId="41E61161" w14:textId="77777777" w:rsidR="00B71F41" w:rsidRPr="00CA0C18" w:rsidRDefault="00B71F41" w:rsidP="005B4D64">
            <w:pPr>
              <w:spacing w:line="276" w:lineRule="auto"/>
              <w:jc w:val="both"/>
              <w:rPr>
                <w:rFonts w:ascii="Verdana" w:hAnsi="Verdana"/>
                <w:highlight w:val="yellow"/>
              </w:rPr>
            </w:pPr>
            <w:r w:rsidRPr="00CA0C18">
              <w:rPr>
                <w:rFonts w:ascii="Verdana" w:hAnsi="Verdana"/>
              </w:rPr>
              <w:t>CAPACIDAD JURÍDICA- Personas jurídicas- Procesos de reorganización empresarial</w:t>
            </w:r>
          </w:p>
        </w:tc>
        <w:tc>
          <w:tcPr>
            <w:tcW w:w="6237" w:type="dxa"/>
          </w:tcPr>
          <w:p w14:paraId="32358656" w14:textId="77777777" w:rsidR="00B71F41" w:rsidRPr="00CA0C18" w:rsidRDefault="00B71F41" w:rsidP="005B4D64">
            <w:pPr>
              <w:jc w:val="both"/>
              <w:rPr>
                <w:rFonts w:ascii="Verdana" w:hAnsi="Verdana" w:cs="Arial"/>
                <w:lang w:val="es-ES"/>
              </w:rPr>
            </w:pPr>
          </w:p>
        </w:tc>
      </w:tr>
      <w:tr w:rsidR="00B71F41" w:rsidRPr="00CA0C18" w14:paraId="6C6B0DAE" w14:textId="77777777" w:rsidTr="005B4D64">
        <w:tc>
          <w:tcPr>
            <w:tcW w:w="2835" w:type="dxa"/>
            <w:hideMark/>
          </w:tcPr>
          <w:p w14:paraId="306BAACB" w14:textId="77777777" w:rsidR="00B71F41" w:rsidRPr="00CA0C18" w:rsidRDefault="00B71F41" w:rsidP="005B4D64">
            <w:pPr>
              <w:spacing w:before="120"/>
              <w:jc w:val="both"/>
              <w:rPr>
                <w:rFonts w:ascii="Verdana" w:eastAsia="Calibri" w:hAnsi="Verdana" w:cs="Arial"/>
                <w:szCs w:val="24"/>
                <w:lang w:val="es-ES_tradnl" w:eastAsia="es-ES_tradnl"/>
              </w:rPr>
            </w:pPr>
            <w:r w:rsidRPr="00CA0C18">
              <w:rPr>
                <w:rFonts w:ascii="Verdana" w:eastAsia="Calibri" w:hAnsi="Verdana" w:cs="Arial"/>
                <w:szCs w:val="24"/>
                <w:lang w:val="es-ES_tradnl" w:eastAsia="es-ES_tradnl"/>
              </w:rPr>
              <w:t xml:space="preserve">Radicación:               </w:t>
            </w:r>
          </w:p>
        </w:tc>
        <w:tc>
          <w:tcPr>
            <w:tcW w:w="6091" w:type="dxa"/>
            <w:hideMark/>
          </w:tcPr>
          <w:p w14:paraId="2D83F1A2" w14:textId="77777777" w:rsidR="00B71F41" w:rsidRPr="00CA0C18" w:rsidRDefault="00B71F41" w:rsidP="005B4D64">
            <w:pPr>
              <w:spacing w:before="120" w:line="276" w:lineRule="auto"/>
              <w:jc w:val="both"/>
              <w:rPr>
                <w:rFonts w:ascii="Verdana" w:eastAsia="Calibri" w:hAnsi="Verdana" w:cs="Arial"/>
                <w:szCs w:val="24"/>
                <w:lang w:val="es-ES_tradnl" w:eastAsia="es-ES_tradnl"/>
              </w:rPr>
            </w:pPr>
            <w:r w:rsidRPr="00CA0C18">
              <w:rPr>
                <w:rFonts w:ascii="Verdana" w:eastAsia="Calibri" w:hAnsi="Verdana" w:cs="Arial"/>
                <w:szCs w:val="24"/>
                <w:lang w:val="es-ES_tradnl" w:eastAsia="es-ES_tradnl"/>
              </w:rPr>
              <w:t xml:space="preserve">Respuesta a consulta con radicado No. </w:t>
            </w:r>
            <w:r w:rsidRPr="00CA0C18">
              <w:rPr>
                <w:rFonts w:ascii="Verdana" w:eastAsia="Calibri" w:hAnsi="Verdana" w:cs="Arial"/>
                <w:szCs w:val="24"/>
                <w:lang w:eastAsia="es-ES_tradnl"/>
              </w:rPr>
              <w:t>P20240716007226</w:t>
            </w:r>
          </w:p>
        </w:tc>
        <w:tc>
          <w:tcPr>
            <w:tcW w:w="6237" w:type="dxa"/>
          </w:tcPr>
          <w:p w14:paraId="39D99D0F" w14:textId="77777777" w:rsidR="00B71F41" w:rsidRPr="00CA0C18" w:rsidRDefault="00B71F41" w:rsidP="005B4D64">
            <w:pPr>
              <w:spacing w:before="120"/>
              <w:jc w:val="both"/>
              <w:rPr>
                <w:rFonts w:ascii="Verdana" w:eastAsia="Calibri" w:hAnsi="Verdana" w:cs="Arial"/>
                <w:szCs w:val="24"/>
                <w:lang w:val="es-ES_tradnl" w:eastAsia="es-ES_tradnl"/>
              </w:rPr>
            </w:pPr>
          </w:p>
        </w:tc>
      </w:tr>
    </w:tbl>
    <w:p w14:paraId="61F8C61E" w14:textId="77777777" w:rsidR="00B71F41" w:rsidRPr="00CA0C18" w:rsidRDefault="00B71F41" w:rsidP="00B71F41">
      <w:pPr>
        <w:spacing w:after="0" w:line="240" w:lineRule="auto"/>
        <w:jc w:val="both"/>
        <w:rPr>
          <w:rFonts w:ascii="Verdana" w:eastAsia="Calibri" w:hAnsi="Verdana" w:cs="Arial"/>
          <w:szCs w:val="24"/>
          <w:lang w:val="es-ES_tradnl" w:eastAsia="es-ES_tradnl"/>
        </w:rPr>
      </w:pPr>
    </w:p>
    <w:p w14:paraId="1FD55B1F" w14:textId="77777777" w:rsidR="00B71F41" w:rsidRPr="00CA0C18" w:rsidRDefault="00B71F41" w:rsidP="00B71F41">
      <w:pPr>
        <w:spacing w:after="0" w:line="240" w:lineRule="auto"/>
        <w:jc w:val="both"/>
        <w:rPr>
          <w:rFonts w:ascii="Verdana" w:eastAsia="Calibri" w:hAnsi="Verdana" w:cs="Arial"/>
          <w:lang w:val="es-ES" w:eastAsia="es-ES"/>
        </w:rPr>
      </w:pPr>
      <w:r w:rsidRPr="00CA0C18">
        <w:rPr>
          <w:rFonts w:ascii="Verdana" w:eastAsia="Calibri" w:hAnsi="Verdana" w:cs="Arial"/>
          <w:lang w:val="es-ES" w:eastAsia="es-ES"/>
        </w:rPr>
        <w:t xml:space="preserve">Estimado señor Edwin: </w:t>
      </w:r>
    </w:p>
    <w:p w14:paraId="57156F27" w14:textId="77777777" w:rsidR="00B71F41" w:rsidRPr="00CA0C18" w:rsidRDefault="00B71F41" w:rsidP="00B71F41">
      <w:pPr>
        <w:spacing w:after="0" w:line="240" w:lineRule="auto"/>
        <w:jc w:val="both"/>
        <w:rPr>
          <w:rFonts w:ascii="Verdana" w:eastAsia="Calibri" w:hAnsi="Verdana" w:cs="Arial"/>
          <w:lang w:val="es-ES" w:eastAsia="es-ES"/>
        </w:rPr>
      </w:pPr>
    </w:p>
    <w:p w14:paraId="6C562287" w14:textId="77777777" w:rsidR="00B71F41" w:rsidRPr="00CA0C18" w:rsidRDefault="00B71F41" w:rsidP="00B71F41">
      <w:pPr>
        <w:spacing w:after="120" w:line="276" w:lineRule="auto"/>
        <w:jc w:val="both"/>
        <w:rPr>
          <w:rFonts w:ascii="Verdana" w:eastAsia="Calibri" w:hAnsi="Verdana" w:cs="Arial"/>
          <w:lang w:val="es-ES" w:eastAsia="es-ES"/>
        </w:rPr>
      </w:pPr>
      <w:r w:rsidRPr="00CA0C18">
        <w:rPr>
          <w:rFonts w:ascii="Verdana" w:eastAsia="Calibri" w:hAnsi="Verdana" w:cs="Arial"/>
          <w:lang w:val="es-ES" w:eastAsia="es-ES"/>
        </w:rPr>
        <w:t>En ejercicio de la competencia otorgada por los artículos 3, numeral 5º, y 11, numeral 8º, del Decreto Ley 4170 de 2011,</w:t>
      </w:r>
      <w:r w:rsidRPr="00CA0C18">
        <w:rPr>
          <w:rFonts w:ascii="Verdana" w:eastAsia="Arial MT" w:hAnsi="Verdana" w:cs="Arial MT"/>
          <w:lang w:val="es-ES" w:eastAsia="es-ES"/>
        </w:rPr>
        <w:t xml:space="preserve"> </w:t>
      </w:r>
      <w:r w:rsidRPr="00CA0C18">
        <w:rPr>
          <w:rFonts w:ascii="Verdana" w:eastAsia="Calibri" w:hAnsi="Verdana" w:cs="Arial"/>
          <w:lang w:val="es-ES" w:eastAsia="es-ES"/>
        </w:rPr>
        <w:t>la Agencia Nacional de Contratación Pública – Colombia Compra Eficiente– responde su solicitud de consulta del 16 de julio de 2024. En la cual manifiesta lo siguiente:</w:t>
      </w:r>
    </w:p>
    <w:p w14:paraId="3F777C72"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
        </w:rPr>
      </w:pPr>
      <w:r w:rsidRPr="00CA0C18">
        <w:rPr>
          <w:rFonts w:ascii="Verdana" w:eastAsia="Calibri" w:hAnsi="Verdana" w:cs="Arial"/>
          <w:sz w:val="20"/>
          <w:szCs w:val="20"/>
          <w:lang w:val="es-ES" w:eastAsia="es-ES"/>
        </w:rPr>
        <w:t>“</w:t>
      </w:r>
      <w:r w:rsidRPr="00CA0C18">
        <w:rPr>
          <w:rFonts w:ascii="Verdana" w:eastAsia="Calibri" w:hAnsi="Verdana" w:cs="Arial"/>
          <w:sz w:val="20"/>
          <w:szCs w:val="20"/>
          <w:lang w:eastAsia="es-ES"/>
        </w:rPr>
        <w:t xml:space="preserve"> </w:t>
      </w:r>
    </w:p>
    <w:p w14:paraId="65EDEE5D" w14:textId="77777777" w:rsidR="00B71F41" w:rsidRPr="00CA0C18" w:rsidRDefault="00B71F41" w:rsidP="00B71F41">
      <w:pPr>
        <w:pStyle w:val="Prrafodelista"/>
        <w:numPr>
          <w:ilvl w:val="0"/>
          <w:numId w:val="19"/>
        </w:numPr>
        <w:spacing w:after="0" w:line="240" w:lineRule="auto"/>
        <w:ind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Colombia, atraviesa una de sus peores crisis económicas; equiparables o superiores a las de la época de la pandemia COVID 19.</w:t>
      </w:r>
    </w:p>
    <w:p w14:paraId="73DE5487"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335DAAB7" w14:textId="77777777" w:rsidR="00B71F41" w:rsidRPr="00CA0C18" w:rsidRDefault="00B71F41" w:rsidP="00B71F41">
      <w:pPr>
        <w:pStyle w:val="Prrafodelista"/>
        <w:numPr>
          <w:ilvl w:val="0"/>
          <w:numId w:val="19"/>
        </w:numPr>
        <w:spacing w:after="0" w:line="240" w:lineRule="auto"/>
        <w:ind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 xml:space="preserve">El gasto público se ha reducido inexorable e irrefutablemente. </w:t>
      </w:r>
    </w:p>
    <w:p w14:paraId="2B6B0912"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4447C22B" w14:textId="77777777" w:rsidR="00B71F41" w:rsidRPr="00CA0C18" w:rsidRDefault="00B71F41" w:rsidP="00B71F41">
      <w:pPr>
        <w:pStyle w:val="Prrafodelista"/>
        <w:numPr>
          <w:ilvl w:val="0"/>
          <w:numId w:val="19"/>
        </w:numPr>
        <w:spacing w:after="0" w:line="240" w:lineRule="auto"/>
        <w:ind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 xml:space="preserve">Condiciones que tienen en grave crisis a los contratistas del estado, por la falta de opciones de trabajo derivadas de procesos precontractuales. </w:t>
      </w:r>
    </w:p>
    <w:p w14:paraId="0FF0C22B"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2255973B" w14:textId="280A9368"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 xml:space="preserve">4. El último párrafo del artículo 17 de la ley 80 de 1993, reza así: </w:t>
      </w:r>
    </w:p>
    <w:p w14:paraId="48978155"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77497DFB" w14:textId="77777777" w:rsidR="00B71F41" w:rsidRPr="00CA0C18" w:rsidRDefault="00B71F41" w:rsidP="00B71F41">
      <w:pPr>
        <w:spacing w:after="0" w:line="240" w:lineRule="auto"/>
        <w:ind w:left="709" w:right="709"/>
        <w:jc w:val="both"/>
        <w:rPr>
          <w:rFonts w:ascii="Verdana" w:eastAsia="Calibri" w:hAnsi="Verdana" w:cs="Arial"/>
          <w:i/>
          <w:iCs/>
          <w:sz w:val="20"/>
          <w:szCs w:val="20"/>
          <w:lang w:eastAsia="es-ES_tradnl"/>
        </w:rPr>
      </w:pPr>
      <w:r w:rsidRPr="00CA0C18">
        <w:rPr>
          <w:rFonts w:ascii="Verdana" w:eastAsia="Calibri" w:hAnsi="Verdana" w:cs="Arial"/>
          <w:i/>
          <w:iCs/>
          <w:sz w:val="20"/>
          <w:szCs w:val="20"/>
          <w:lang w:eastAsia="es-ES_tradnl"/>
        </w:rPr>
        <w:t>"...La iniciación de trámite concordatario no dará lugar a la declaratoria de terminación unilateral. En tal evento la ejecución se hará con sujeción a las normas sobre administración de negocios del deudor en concordato. La en</w:t>
      </w:r>
      <w:r w:rsidRPr="00CA0C18">
        <w:rPr>
          <w:rFonts w:ascii="Verdana" w:eastAsia="Calibri" w:hAnsi="Verdana" w:cs="Arial"/>
          <w:sz w:val="20"/>
          <w:szCs w:val="20"/>
          <w:lang w:eastAsia="es-ES_tradnl"/>
        </w:rPr>
        <w:t>ti</w:t>
      </w:r>
      <w:r w:rsidRPr="00CA0C18">
        <w:rPr>
          <w:rFonts w:ascii="Verdana" w:eastAsia="Calibri" w:hAnsi="Verdana" w:cs="Arial"/>
          <w:i/>
          <w:iCs/>
          <w:sz w:val="20"/>
          <w:szCs w:val="20"/>
          <w:lang w:eastAsia="es-ES_tradnl"/>
        </w:rPr>
        <w:t xml:space="preserve">dad dispondrá las medidas de </w:t>
      </w:r>
      <w:r w:rsidRPr="00CA0C18">
        <w:rPr>
          <w:rFonts w:ascii="Verdana" w:eastAsia="Calibri" w:hAnsi="Verdana" w:cs="Arial"/>
          <w:i/>
          <w:iCs/>
          <w:sz w:val="20"/>
          <w:szCs w:val="20"/>
          <w:lang w:eastAsia="es-ES_tradnl"/>
        </w:rPr>
        <w:lastRenderedPageBreak/>
        <w:t>inspección, control y vigilancia necesarias para asegurar el cumplimiento del objeto contractual e impedir la paralización del servicio..."</w:t>
      </w:r>
    </w:p>
    <w:p w14:paraId="5972F9CC" w14:textId="77777777" w:rsidR="00B71F41" w:rsidRPr="00CA0C18" w:rsidRDefault="00B71F41" w:rsidP="00B71F41">
      <w:pPr>
        <w:spacing w:after="0" w:line="240" w:lineRule="auto"/>
        <w:ind w:left="709" w:right="709"/>
        <w:jc w:val="both"/>
        <w:rPr>
          <w:rFonts w:ascii="Verdana" w:eastAsia="Calibri" w:hAnsi="Verdana" w:cs="Arial"/>
          <w:i/>
          <w:iCs/>
          <w:sz w:val="20"/>
          <w:szCs w:val="20"/>
          <w:lang w:eastAsia="es-ES_tradnl"/>
        </w:rPr>
      </w:pPr>
    </w:p>
    <w:p w14:paraId="2AE5EB71"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 xml:space="preserve">5. En este sentido acudimos a ustedes en aras de consultar: </w:t>
      </w:r>
    </w:p>
    <w:p w14:paraId="518609D8"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1E347B5D"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 xml:space="preserve">a. ¿En caso de que un proponente este o ingrese en proceso de reorganización empresarial, impide la presentación o adjudicación de procesos precontractuales sometidos al estatuto general de contratación pública? </w:t>
      </w:r>
    </w:p>
    <w:p w14:paraId="5E6D54BB"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p>
    <w:p w14:paraId="235881BF" w14:textId="77777777" w:rsidR="00B71F41" w:rsidRPr="00CA0C18" w:rsidRDefault="00B71F41" w:rsidP="00B71F41">
      <w:pPr>
        <w:spacing w:after="0" w:line="240" w:lineRule="auto"/>
        <w:ind w:left="709" w:right="709"/>
        <w:jc w:val="both"/>
        <w:rPr>
          <w:rFonts w:ascii="Verdana" w:eastAsia="Calibri" w:hAnsi="Verdana" w:cs="Arial"/>
          <w:sz w:val="20"/>
          <w:szCs w:val="20"/>
          <w:lang w:eastAsia="es-ES_tradnl"/>
        </w:rPr>
      </w:pPr>
      <w:r w:rsidRPr="00CA0C18">
        <w:rPr>
          <w:rFonts w:ascii="Verdana" w:eastAsia="Calibri" w:hAnsi="Verdana" w:cs="Arial"/>
          <w:sz w:val="20"/>
          <w:szCs w:val="20"/>
          <w:lang w:eastAsia="es-ES_tradnl"/>
        </w:rPr>
        <w:t>b. ¿En caso de que un contratista este o ingrese en proceso de reorganización empresarial, que tenga contratos estatales en ejecución impide que lo siga ejecutando?  (…)</w:t>
      </w:r>
    </w:p>
    <w:p w14:paraId="157640E0" w14:textId="77777777" w:rsidR="00B71F41" w:rsidRPr="00CA0C18" w:rsidRDefault="00B71F41" w:rsidP="00B71F41">
      <w:pPr>
        <w:spacing w:after="0" w:line="240" w:lineRule="auto"/>
        <w:ind w:left="709" w:right="709"/>
        <w:jc w:val="both"/>
        <w:rPr>
          <w:rFonts w:ascii="Verdana" w:eastAsia="Calibri" w:hAnsi="Verdana" w:cs="Arial"/>
          <w:sz w:val="20"/>
          <w:szCs w:val="20"/>
          <w:lang w:val="es-ES_tradnl" w:eastAsia="es-ES_tradnl"/>
        </w:rPr>
      </w:pPr>
    </w:p>
    <w:p w14:paraId="74A38599" w14:textId="77777777" w:rsidR="00B71F41" w:rsidRPr="00CA0C18" w:rsidRDefault="00B71F41" w:rsidP="00B71F41">
      <w:pPr>
        <w:spacing w:after="120" w:line="276" w:lineRule="auto"/>
        <w:jc w:val="both"/>
        <w:rPr>
          <w:rFonts w:ascii="Verdana" w:eastAsia="Calibri" w:hAnsi="Verdana" w:cs="Arial"/>
          <w:lang w:val="es-ES" w:eastAsia="es-ES"/>
        </w:rPr>
      </w:pPr>
      <w:r w:rsidRPr="00CA0C18">
        <w:rPr>
          <w:rFonts w:ascii="Verdana" w:eastAsia="Calibri" w:hAnsi="Verdana" w:cs="Arial"/>
          <w:lang w:val="es-ES_tradnl" w:eastAsia="es-ES_tradnl"/>
        </w:rPr>
        <w:tab/>
      </w:r>
      <w:r w:rsidRPr="00CA0C18">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0492F93" w14:textId="77777777" w:rsidR="00B71F41" w:rsidRPr="00CA0C18" w:rsidRDefault="00B71F41" w:rsidP="00B71F41">
      <w:pPr>
        <w:spacing w:after="0" w:line="276" w:lineRule="auto"/>
        <w:jc w:val="both"/>
        <w:rPr>
          <w:rFonts w:ascii="Verdana" w:eastAsia="Calibri" w:hAnsi="Verdana" w:cs="Arial"/>
          <w:lang w:val="es-ES" w:eastAsia="es-ES"/>
        </w:rPr>
      </w:pPr>
      <w:r w:rsidRPr="00CA0C18">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52B2F0F2" w14:textId="77777777" w:rsidR="00B71F41" w:rsidRPr="00CA0C18" w:rsidRDefault="00B71F41" w:rsidP="00B71F41">
      <w:pPr>
        <w:spacing w:after="0" w:line="276" w:lineRule="auto"/>
        <w:jc w:val="both"/>
        <w:rPr>
          <w:rFonts w:ascii="Verdana" w:eastAsia="Calibri" w:hAnsi="Verdana" w:cs="Arial"/>
          <w:lang w:val="es-ES" w:eastAsia="es-ES"/>
        </w:rPr>
      </w:pPr>
    </w:p>
    <w:p w14:paraId="35D245E3" w14:textId="77777777" w:rsidR="00B71F41" w:rsidRPr="00CA0C18" w:rsidRDefault="00B71F41" w:rsidP="00B71F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A0C18">
        <w:rPr>
          <w:rFonts w:ascii="Verdana" w:eastAsia="Century Gothic" w:hAnsi="Verdana" w:cs="Century Gothic"/>
          <w:b/>
          <w:bCs/>
        </w:rPr>
        <w:t>Problema planteado:</w:t>
      </w:r>
    </w:p>
    <w:p w14:paraId="5ECFE45D" w14:textId="77777777" w:rsidR="00B71F41" w:rsidRPr="00CA0C18" w:rsidRDefault="00B71F41" w:rsidP="00B71F41">
      <w:pPr>
        <w:tabs>
          <w:tab w:val="left" w:pos="142"/>
          <w:tab w:val="left" w:pos="284"/>
        </w:tabs>
        <w:spacing w:after="0" w:line="276" w:lineRule="auto"/>
        <w:jc w:val="both"/>
        <w:rPr>
          <w:rFonts w:ascii="Verdana" w:eastAsia="Calibri" w:hAnsi="Verdana" w:cs="Arial"/>
          <w:lang w:val="es-ES" w:eastAsia="es-ES"/>
        </w:rPr>
      </w:pPr>
    </w:p>
    <w:p w14:paraId="6878A7E3" w14:textId="77777777" w:rsidR="00B71F41" w:rsidRPr="00CA0C18" w:rsidRDefault="00B71F41" w:rsidP="00B71F41">
      <w:pPr>
        <w:tabs>
          <w:tab w:val="left" w:pos="142"/>
          <w:tab w:val="left" w:pos="284"/>
        </w:tabs>
        <w:spacing w:after="0" w:line="276" w:lineRule="auto"/>
        <w:jc w:val="both"/>
        <w:rPr>
          <w:rFonts w:ascii="Verdana" w:eastAsia="Calibri" w:hAnsi="Verdana" w:cs="Arial"/>
          <w:lang w:val="es-ES" w:eastAsia="es-ES"/>
        </w:rPr>
      </w:pPr>
      <w:r w:rsidRPr="00CA0C18">
        <w:rPr>
          <w:rFonts w:ascii="Verdana" w:eastAsia="Calibri" w:hAnsi="Verdana" w:cs="Arial"/>
          <w:lang w:val="es-ES" w:eastAsia="es-ES"/>
        </w:rPr>
        <w:t xml:space="preserve">De acuerdo con el contenido de su solicitud, esta Agencia resolverá los siguientes problemas jurídicos: (i) ¿un proponente que este o ingrese en proceso de reorganización empresarial puede participar en un proceso de </w:t>
      </w:r>
      <w:r w:rsidRPr="00CA0C18">
        <w:rPr>
          <w:rFonts w:ascii="Verdana" w:eastAsia="Calibri" w:hAnsi="Verdana" w:cs="Arial"/>
          <w:lang w:val="es-ES" w:eastAsia="es-ES"/>
        </w:rPr>
        <w:lastRenderedPageBreak/>
        <w:t xml:space="preserve">selección?; y (ii) ¿un contratista que ingrese en proceso de reorganización empresarial puede seguir ejecutando el contrato celebrado con la administración pública? </w:t>
      </w:r>
    </w:p>
    <w:p w14:paraId="26F61A86" w14:textId="77777777" w:rsidR="00B71F41" w:rsidRPr="00CA0C18" w:rsidRDefault="00B71F41" w:rsidP="00B71F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A0C18">
        <w:rPr>
          <w:rFonts w:ascii="Verdana" w:eastAsia="Century Gothic" w:hAnsi="Verdana" w:cs="Century Gothic"/>
          <w:b/>
          <w:bCs/>
        </w:rPr>
        <w:t>Respuesta:</w:t>
      </w:r>
    </w:p>
    <w:p w14:paraId="4A643BA7" w14:textId="77777777" w:rsidR="00B71F41" w:rsidRPr="00CA0C18" w:rsidRDefault="00B71F41" w:rsidP="00B71F41">
      <w:pPr>
        <w:pStyle w:val="Prrafodelista"/>
        <w:tabs>
          <w:tab w:val="left" w:pos="142"/>
          <w:tab w:val="left" w:pos="284"/>
        </w:tabs>
        <w:spacing w:after="0" w:line="276" w:lineRule="auto"/>
        <w:ind w:left="0"/>
        <w:jc w:val="both"/>
        <w:rPr>
          <w:rFonts w:ascii="Verdana" w:eastAsia="Century Gothic" w:hAnsi="Verdana" w:cs="Century Gothic"/>
          <w:b/>
          <w:bCs/>
        </w:rPr>
      </w:pPr>
    </w:p>
    <w:p w14:paraId="02515F9F" w14:textId="77777777" w:rsidR="00B71F41" w:rsidRPr="00CA0C18" w:rsidRDefault="00B71F41" w:rsidP="00B71F41">
      <w:pPr>
        <w:pStyle w:val="Prrafodelista"/>
        <w:tabs>
          <w:tab w:val="left" w:pos="142"/>
          <w:tab w:val="left" w:pos="284"/>
        </w:tabs>
        <w:spacing w:after="0" w:line="276" w:lineRule="auto"/>
        <w:ind w:left="0"/>
        <w:jc w:val="both"/>
        <w:rPr>
          <w:rFonts w:ascii="Verdana" w:eastAsia="Century Gothic" w:hAnsi="Verdana" w:cs="Century Gothic"/>
        </w:rPr>
      </w:pPr>
      <w:r w:rsidRPr="00CA0C18">
        <w:rPr>
          <w:rFonts w:ascii="Verdana" w:eastAsia="Century Gothic" w:hAnsi="Verdana" w:cs="Century Gothic"/>
        </w:rPr>
        <w:t>Respecto al primer interrogante es preciso indicar que la capacidad jurídica de quienes encuentren en procesos de reorganización empresarial no se afecta, y por lo tanto, las personas jurídicas que resultan admitidas en este tipo de procesos pueden participar en Procesos de Contratación y celebrar contratos con Entidades Estatales.</w:t>
      </w:r>
    </w:p>
    <w:p w14:paraId="06CE0419" w14:textId="77777777" w:rsidR="00B71F41" w:rsidRPr="00CA0C18" w:rsidRDefault="00B71F41" w:rsidP="00B71F41">
      <w:pPr>
        <w:pStyle w:val="Prrafodelista"/>
        <w:tabs>
          <w:tab w:val="left" w:pos="142"/>
          <w:tab w:val="left" w:pos="284"/>
        </w:tabs>
        <w:spacing w:after="0" w:line="276" w:lineRule="auto"/>
        <w:ind w:left="0"/>
        <w:jc w:val="both"/>
        <w:rPr>
          <w:rFonts w:ascii="Verdana" w:eastAsia="Century Gothic" w:hAnsi="Verdana" w:cs="Century Gothic"/>
        </w:rPr>
      </w:pPr>
    </w:p>
    <w:p w14:paraId="287FE271" w14:textId="77777777" w:rsidR="00B71F41" w:rsidRPr="00CA0C18" w:rsidRDefault="00B71F41" w:rsidP="00B71F41">
      <w:pPr>
        <w:pStyle w:val="Prrafodelista"/>
        <w:tabs>
          <w:tab w:val="left" w:pos="142"/>
          <w:tab w:val="left" w:pos="284"/>
        </w:tabs>
        <w:spacing w:after="0" w:line="276" w:lineRule="auto"/>
        <w:ind w:left="0"/>
        <w:jc w:val="both"/>
        <w:rPr>
          <w:rFonts w:ascii="Verdana" w:eastAsia="Century Gothic" w:hAnsi="Verdana" w:cs="Century Gothic"/>
        </w:rPr>
      </w:pPr>
      <w:r w:rsidRPr="00CA0C18">
        <w:rPr>
          <w:rFonts w:ascii="Verdana" w:eastAsia="Century Gothic" w:hAnsi="Verdana" w:cs="Century Gothic"/>
        </w:rPr>
        <w:t>Respecto al segundo interrogante, se puede señalar que las personas jurídicas que ingresen en un proceso de reorganización de conformidad a lo establecido en la Ley 1116 de 2006, pueden seguir ejecutando los contratos celebrados con la administración pública; ahora bien, es preciso indicar que en caso de en caso de existir la declaración judicial del proceso de liquidación judicial a la luz de lo establecido en el artículo 50 de la Ley 1116 de 2006, se tiene como efecto la terminación de los contratos de tracto sucesivo, de cumplimiento diferido o de ejecución instantánea, no necesarios para la preservación de los activos.</w:t>
      </w:r>
    </w:p>
    <w:p w14:paraId="4D1ECBBA" w14:textId="77777777" w:rsidR="00B71F41" w:rsidRPr="00CA0C18" w:rsidRDefault="00B71F41" w:rsidP="00B71F41">
      <w:pPr>
        <w:pStyle w:val="Prrafodelista"/>
        <w:tabs>
          <w:tab w:val="left" w:pos="142"/>
          <w:tab w:val="left" w:pos="284"/>
        </w:tabs>
        <w:spacing w:after="0" w:line="276" w:lineRule="auto"/>
        <w:ind w:left="567"/>
        <w:jc w:val="both"/>
        <w:rPr>
          <w:rFonts w:ascii="Verdana" w:eastAsia="Century Gothic" w:hAnsi="Verdana" w:cs="Century Gothic"/>
          <w:b/>
          <w:bCs/>
          <w:highlight w:val="yellow"/>
        </w:rPr>
      </w:pPr>
    </w:p>
    <w:p w14:paraId="317A827D" w14:textId="77777777" w:rsidR="00B71F41" w:rsidRPr="00CA0C18" w:rsidRDefault="00B71F41" w:rsidP="00B71F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A0C18">
        <w:rPr>
          <w:rFonts w:ascii="Verdana" w:eastAsia="Century Gothic" w:hAnsi="Verdana" w:cs="Century Gothic"/>
          <w:b/>
          <w:bCs/>
        </w:rPr>
        <w:t>Razones de la respuesta:</w:t>
      </w:r>
    </w:p>
    <w:p w14:paraId="43ECC462" w14:textId="77777777" w:rsidR="00B71F41" w:rsidRPr="00CA0C18" w:rsidRDefault="00B71F41" w:rsidP="00B71F41">
      <w:pPr>
        <w:spacing w:after="0" w:line="276" w:lineRule="auto"/>
        <w:jc w:val="both"/>
        <w:rPr>
          <w:rFonts w:ascii="Verdana" w:eastAsia="Calibri" w:hAnsi="Verdana" w:cs="Arial"/>
          <w:lang w:val="es-ES" w:eastAsia="es-ES"/>
        </w:rPr>
      </w:pPr>
    </w:p>
    <w:p w14:paraId="6D36CEAC" w14:textId="77777777" w:rsidR="00B71F41" w:rsidRPr="00CA0C18" w:rsidRDefault="00B71F41" w:rsidP="00B71F41">
      <w:pPr>
        <w:spacing w:after="0" w:line="276" w:lineRule="auto"/>
        <w:jc w:val="both"/>
        <w:rPr>
          <w:rFonts w:ascii="Verdana" w:eastAsia="Calibri" w:hAnsi="Verdana" w:cs="Arial"/>
          <w:lang w:val="es-ES"/>
        </w:rPr>
      </w:pPr>
      <w:r w:rsidRPr="00CA0C18">
        <w:rPr>
          <w:rFonts w:ascii="Verdana" w:eastAsia="Calibri" w:hAnsi="Verdana" w:cs="Arial"/>
          <w:lang w:val="es-ES"/>
        </w:rPr>
        <w:t xml:space="preserve">Lo anterior se sustenta en las siguientes consideraciones: </w:t>
      </w:r>
    </w:p>
    <w:p w14:paraId="6AA38BFA" w14:textId="77777777" w:rsidR="00B71F41" w:rsidRPr="00CA0C18" w:rsidRDefault="00B71F41" w:rsidP="00B71F41">
      <w:pPr>
        <w:spacing w:before="120" w:after="120" w:line="276" w:lineRule="auto"/>
        <w:jc w:val="both"/>
        <w:rPr>
          <w:rFonts w:ascii="Verdana" w:eastAsia="Calibri" w:hAnsi="Verdana" w:cs="Arial"/>
          <w:lang w:val="es-ES"/>
        </w:rPr>
      </w:pPr>
      <w:r w:rsidRPr="00CA0C18">
        <w:rPr>
          <w:rFonts w:ascii="Verdana" w:eastAsia="Calibri" w:hAnsi="Verdana" w:cs="Arial"/>
          <w:lang w:val="es-ES"/>
        </w:rPr>
        <w:t xml:space="preserve">Para iniciar se debe precisar las características del proceso de reorganización empresarial a la luz de lo establecido en la Ley 1116 de 2006, por la cual se establece el régimen de insolvencia empresarial en la República de Colombia y se establecen los siguientes elementos: </w:t>
      </w:r>
    </w:p>
    <w:p w14:paraId="1F3DDA74"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En el artículo 1 de la mencionada ley se establece la finalidad del régimen de insolvencia, señalando: </w:t>
      </w:r>
    </w:p>
    <w:p w14:paraId="22F24572" w14:textId="77777777" w:rsidR="00B71F41" w:rsidRPr="00CA0C18" w:rsidRDefault="00B71F41" w:rsidP="00B71F41">
      <w:pPr>
        <w:spacing w:before="120" w:after="120" w:line="276" w:lineRule="auto"/>
        <w:ind w:firstLine="567"/>
        <w:jc w:val="both"/>
        <w:rPr>
          <w:rFonts w:ascii="Verdana" w:hAnsi="Verdana" w:cs="Arial"/>
          <w:sz w:val="18"/>
          <w:szCs w:val="18"/>
        </w:rPr>
      </w:pPr>
      <w:r w:rsidRPr="00CA0C18">
        <w:rPr>
          <w:rFonts w:ascii="Verdana" w:hAnsi="Verdana" w:cs="Arial"/>
          <w:sz w:val="18"/>
          <w:szCs w:val="18"/>
        </w:rPr>
        <w:t xml:space="preserve">(…) </w:t>
      </w:r>
    </w:p>
    <w:p w14:paraId="435EEDD2" w14:textId="77777777" w:rsidR="00B71F41" w:rsidRPr="00CA0C18" w:rsidRDefault="00B71F41" w:rsidP="00B71F41">
      <w:pPr>
        <w:spacing w:before="120" w:after="120" w:line="276" w:lineRule="auto"/>
        <w:ind w:left="567" w:right="900"/>
        <w:jc w:val="both"/>
        <w:rPr>
          <w:rFonts w:ascii="Verdana" w:eastAsia="Calibri" w:hAnsi="Verdana" w:cs="Arial"/>
          <w:sz w:val="20"/>
        </w:rPr>
      </w:pPr>
      <w:r w:rsidRPr="00CA0C18">
        <w:rPr>
          <w:rFonts w:ascii="Verdana" w:eastAsia="Calibri" w:hAnsi="Verdana" w:cs="Arial"/>
          <w:sz w:val="20"/>
        </w:rPr>
        <w:t>El régimen judicial de insolvencia regulado en la presente ley, tiene por objeto la protección del crédito y la recuperación y conservación de la empresa como unidad de explotación económica y fuente generadora de empleo, a través de los procesos de reorganización y de liquidación judicial, siempre bajo el criterio de agregación de valor.</w:t>
      </w:r>
    </w:p>
    <w:p w14:paraId="2BD66F1A" w14:textId="77777777" w:rsidR="00B71F41" w:rsidRPr="00CA0C18" w:rsidRDefault="00B71F41" w:rsidP="00B71F41">
      <w:pPr>
        <w:spacing w:before="120" w:after="120" w:line="276" w:lineRule="auto"/>
        <w:ind w:left="567" w:right="900"/>
        <w:jc w:val="both"/>
        <w:rPr>
          <w:rFonts w:ascii="Verdana" w:eastAsia="Calibri" w:hAnsi="Verdana" w:cs="Arial"/>
          <w:lang w:val="es-ES"/>
        </w:rPr>
      </w:pPr>
      <w:r w:rsidRPr="00CA0C18">
        <w:rPr>
          <w:rFonts w:ascii="Verdana" w:eastAsia="Calibri" w:hAnsi="Verdana" w:cs="Arial"/>
          <w:sz w:val="20"/>
        </w:rPr>
        <w:lastRenderedPageBreak/>
        <w:t xml:space="preserve">El proceso de reorganización pretende a través de un acuerdo, preservar empresas viables y normalizar sus relaciones comerciales </w:t>
      </w:r>
      <w:r w:rsidRPr="00CA0C18">
        <w:rPr>
          <w:rFonts w:ascii="Verdana" w:hAnsi="Verdana" w:cs="Arial"/>
          <w:sz w:val="20"/>
          <w:szCs w:val="18"/>
        </w:rPr>
        <w:t>y crediticias, mediante su reestructuración operacional, administrativa, de activos o pasivos.</w:t>
      </w:r>
      <w:r w:rsidRPr="00CA0C18">
        <w:rPr>
          <w:rStyle w:val="Refdenotaalpie"/>
          <w:rFonts w:ascii="Verdana" w:hAnsi="Verdana" w:cs="Arial"/>
          <w:sz w:val="20"/>
          <w:szCs w:val="18"/>
        </w:rPr>
        <w:footnoteReference w:id="2"/>
      </w:r>
      <w:r w:rsidRPr="00CA0C18">
        <w:rPr>
          <w:rFonts w:ascii="Verdana" w:hAnsi="Verdana" w:cs="Arial"/>
          <w:sz w:val="20"/>
          <w:szCs w:val="18"/>
        </w:rPr>
        <w:t xml:space="preserve"> </w:t>
      </w:r>
      <w:r w:rsidRPr="00CA0C18">
        <w:rPr>
          <w:rFonts w:ascii="Verdana" w:hAnsi="Verdana" w:cs="Arial"/>
          <w:sz w:val="18"/>
          <w:szCs w:val="18"/>
        </w:rPr>
        <w:t>(…)</w:t>
      </w:r>
      <w:r w:rsidRPr="00CA0C18">
        <w:rPr>
          <w:rFonts w:ascii="Verdana" w:eastAsia="Calibri" w:hAnsi="Verdana" w:cs="Arial"/>
          <w:lang w:val="es-ES"/>
        </w:rPr>
        <w:tab/>
      </w:r>
    </w:p>
    <w:p w14:paraId="5C70FBCE"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Como se puede apreciar el proceso de reorganización establecido en la Ley prende por medio de un acuerdo, preservar empresas viables y normalizar sus relaciones comerciales y crediticias mediante la restructuración operacionales y administrativa de tal suerte que se propone dos grandes mecanismos para el desarrollo de este fin; en primer lugar el denominado </w:t>
      </w:r>
      <w:r w:rsidRPr="00CA0C18">
        <w:rPr>
          <w:rFonts w:ascii="Verdana" w:eastAsia="Calibri" w:hAnsi="Verdana" w:cs="Arial"/>
          <w:i/>
        </w:rPr>
        <w:t>reorganización</w:t>
      </w:r>
      <w:r w:rsidRPr="00CA0C18">
        <w:rPr>
          <w:rFonts w:ascii="Verdana" w:eastAsia="Calibri" w:hAnsi="Verdana" w:cs="Arial"/>
        </w:rPr>
        <w:t xml:space="preserve">, el cual es un proceso en el que cooperan los acreedores de la empresa en donde se determine las reformas que se inicien no sólo buscarán modificar el régimen de pago de pasivos, sino a su vez cambiar la forma misma de operación; en segundo término se encuentra el proceso de liquidación judicial, el cual busca la distribución de los activos entre los acreedores, para satisfacer las obligaciones adquiridas por la empresa. </w:t>
      </w:r>
    </w:p>
    <w:p w14:paraId="7578F2FC" w14:textId="77777777" w:rsidR="00B71F41" w:rsidRPr="00CA0C18" w:rsidRDefault="00B71F41" w:rsidP="00B71F41">
      <w:pPr>
        <w:pStyle w:val="Prrafodelista"/>
        <w:spacing w:before="120" w:after="120" w:line="276" w:lineRule="auto"/>
        <w:jc w:val="both"/>
        <w:rPr>
          <w:rFonts w:ascii="Verdana" w:eastAsia="Calibri" w:hAnsi="Verdana" w:cs="Arial"/>
        </w:rPr>
      </w:pPr>
    </w:p>
    <w:p w14:paraId="3C0EB5FE"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Referente a los contratos que se encuentren en ejecución por parte de la persona jurídica que se someta al proceso de reorganización, indica el artículo 21, lo siguiente: </w:t>
      </w:r>
    </w:p>
    <w:p w14:paraId="1B68A246" w14:textId="77777777" w:rsidR="00B71F41" w:rsidRPr="00CA0C18" w:rsidRDefault="00B71F41" w:rsidP="00B71F41">
      <w:pPr>
        <w:spacing w:before="120" w:after="120" w:line="240" w:lineRule="auto"/>
        <w:ind w:left="567" w:right="900"/>
        <w:jc w:val="both"/>
        <w:rPr>
          <w:rFonts w:ascii="Verdana" w:eastAsia="Calibri" w:hAnsi="Verdana" w:cs="Arial"/>
          <w:sz w:val="20"/>
        </w:rPr>
      </w:pPr>
      <w:r w:rsidRPr="00CA0C18">
        <w:rPr>
          <w:rFonts w:ascii="Verdana" w:eastAsia="Calibri" w:hAnsi="Verdana" w:cs="Arial"/>
          <w:sz w:val="20"/>
        </w:rPr>
        <w:t>(…) Por el hecho del inicio del proceso de reorganización no podrá decretarse al deudor la terminación unilateral de ningún contrato, incluidos los contratos de fiducia mercantil y encargos fiduciarios con fines diferentes a los de garantía. Tampoco podrá decretarse la caducidad administrativa, a no ser que el proceso de declaratoria de dicha caducidad haya sido iniciado con anterioridad a esa fecha.</w:t>
      </w:r>
    </w:p>
    <w:p w14:paraId="18261878" w14:textId="77777777" w:rsidR="00B71F41" w:rsidRPr="00CA0C18" w:rsidRDefault="00B71F41" w:rsidP="00B71F41">
      <w:pPr>
        <w:spacing w:before="120" w:after="120" w:line="240" w:lineRule="auto"/>
        <w:ind w:left="567" w:right="900"/>
        <w:jc w:val="both"/>
        <w:rPr>
          <w:rFonts w:ascii="Verdana" w:eastAsia="Calibri" w:hAnsi="Verdana" w:cs="Arial"/>
          <w:sz w:val="20"/>
        </w:rPr>
      </w:pPr>
      <w:r w:rsidRPr="00CA0C18">
        <w:rPr>
          <w:rFonts w:ascii="Verdana" w:eastAsia="Calibri" w:hAnsi="Verdana" w:cs="Arial"/>
          <w:sz w:val="20"/>
        </w:rPr>
        <w:t>Los incumplimientos de obligaciones contractuales causadas con posterioridad al inicio del proceso de reorganización, o las distintas al incumplimiento de obligaciones objeto de dicho trámite, podrán alegarse para exigir su terminación, independientemente de cuando hayan ocurrido dichas causales.</w:t>
      </w:r>
      <w:r w:rsidRPr="00CA0C18">
        <w:rPr>
          <w:rStyle w:val="Refdenotaalpie"/>
          <w:rFonts w:ascii="Verdana" w:eastAsia="Calibri" w:hAnsi="Verdana" w:cs="Arial"/>
          <w:sz w:val="20"/>
        </w:rPr>
        <w:footnoteReference w:id="3"/>
      </w:r>
      <w:r w:rsidRPr="00CA0C18">
        <w:rPr>
          <w:rFonts w:ascii="Verdana" w:eastAsia="Calibri" w:hAnsi="Verdana" w:cs="Arial"/>
          <w:sz w:val="20"/>
        </w:rPr>
        <w:t xml:space="preserve"> (…)</w:t>
      </w:r>
    </w:p>
    <w:p w14:paraId="0885808C"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De lo anterior, se evidencia la posibilidad de mantener en ejecución los contratos en ejecución por parte de la persona jurídica que se someta al proceso de reorganización, a fin de dar una seguridad </w:t>
      </w:r>
      <w:r w:rsidRPr="00CA0C18">
        <w:rPr>
          <w:rFonts w:ascii="Verdana" w:eastAsia="Calibri" w:hAnsi="Verdana" w:cs="Arial"/>
        </w:rPr>
        <w:lastRenderedPageBreak/>
        <w:t xml:space="preserve">jurídica a los otros extremos contractuales frente a la conservación del contrato. </w:t>
      </w:r>
    </w:p>
    <w:p w14:paraId="04A1433E" w14:textId="77777777" w:rsidR="00B71F41" w:rsidRPr="00CA0C18" w:rsidRDefault="00B71F41" w:rsidP="00B71F41">
      <w:pPr>
        <w:pStyle w:val="Prrafodelista"/>
        <w:spacing w:before="120" w:after="120" w:line="276" w:lineRule="auto"/>
        <w:jc w:val="both"/>
        <w:rPr>
          <w:rFonts w:ascii="Verdana" w:eastAsia="Calibri" w:hAnsi="Verdana" w:cs="Arial"/>
        </w:rPr>
      </w:pPr>
    </w:p>
    <w:p w14:paraId="399D66D5"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Por otro lado, el artículo 50 de la norma en revisión, señala los efectos que puede llegar a generar </w:t>
      </w:r>
      <w:r w:rsidRPr="00CA0C18">
        <w:rPr>
          <w:rFonts w:ascii="Verdana" w:eastAsia="Calibri" w:hAnsi="Verdana" w:cs="Arial"/>
          <w:lang w:val="es-CO"/>
        </w:rPr>
        <w:t xml:space="preserve">la declaración judicial del proceso de liquidación judicial, de la siguiente manera: </w:t>
      </w:r>
    </w:p>
    <w:p w14:paraId="667ED3E4" w14:textId="77777777" w:rsidR="00B71F41" w:rsidRPr="00CA0C18" w:rsidRDefault="00B71F41" w:rsidP="00B71F41">
      <w:pPr>
        <w:spacing w:before="120" w:after="120" w:line="240" w:lineRule="auto"/>
        <w:ind w:left="851" w:right="993"/>
        <w:jc w:val="both"/>
        <w:rPr>
          <w:rFonts w:ascii="Verdana" w:eastAsia="Calibri" w:hAnsi="Verdana" w:cs="Arial"/>
        </w:rPr>
      </w:pPr>
      <w:r w:rsidRPr="00CA0C18">
        <w:rPr>
          <w:rFonts w:ascii="Verdana" w:eastAsia="Calibri" w:hAnsi="Verdana" w:cs="Arial"/>
        </w:rPr>
        <w:t xml:space="preserve">(…) Efectos de la apertura del proceso de liquidación judicial. La declaración judicial del proceso de liquidación judicial produce:  </w:t>
      </w:r>
    </w:p>
    <w:p w14:paraId="2A93BBDA" w14:textId="77777777" w:rsidR="00B71F41" w:rsidRPr="00CA0C18" w:rsidRDefault="00B71F41" w:rsidP="00B71F41">
      <w:pPr>
        <w:spacing w:before="120" w:after="120" w:line="240" w:lineRule="auto"/>
        <w:ind w:left="851" w:right="993"/>
        <w:jc w:val="both"/>
        <w:rPr>
          <w:rFonts w:ascii="Verdana" w:eastAsia="Calibri" w:hAnsi="Verdana" w:cs="Arial"/>
        </w:rPr>
      </w:pPr>
      <w:r w:rsidRPr="00CA0C18">
        <w:rPr>
          <w:rFonts w:ascii="Verdana" w:eastAsia="Calibri" w:hAnsi="Verdana" w:cs="Arial"/>
        </w:rPr>
        <w:t xml:space="preserve">(…) </w:t>
      </w:r>
      <w:r w:rsidRPr="00CA0C18">
        <w:rPr>
          <w:rFonts w:ascii="Verdana" w:eastAsia="Calibri" w:hAnsi="Verdana" w:cs="Arial"/>
          <w:sz w:val="20"/>
        </w:rPr>
        <w:t>4. La terminación de los contratos de tracto sucesivo, de cumplimiento diferido o de ejecución instantánea, no necesarios para la preservación de los activos, así como los contratos de fiducia mercantil o encargos fiduciarios, celebrados por el deudor en calidad de constituyente, sobre bienes propios y para amparar obligaciones propias o ajenas; salvo por aquellos contratos respecto de los cuales se hubiere obtenido autorización para continuar su ejecución impartido por el juez del concurso.</w:t>
      </w:r>
      <w:r w:rsidRPr="00CA0C18">
        <w:rPr>
          <w:rFonts w:ascii="Verdana" w:eastAsia="Calibri" w:hAnsi="Verdana" w:cs="Arial"/>
        </w:rPr>
        <w:t> (…)</w:t>
      </w:r>
    </w:p>
    <w:p w14:paraId="009A74DD" w14:textId="77777777"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 xml:space="preserve">Situación que determina la condición de los contratos que tenga la persona jurídica, posterior a la declaración de liquidación de la misma, la cual del inicio del proceso de reorganización que describe el artículo 18 de la ley en comento. </w:t>
      </w:r>
    </w:p>
    <w:p w14:paraId="4081ED85" w14:textId="77777777" w:rsidR="00B71F41" w:rsidRPr="00CA0C18" w:rsidRDefault="00B71F41" w:rsidP="00B71F41">
      <w:pPr>
        <w:pStyle w:val="Prrafodelista"/>
        <w:spacing w:before="120" w:after="120" w:line="276" w:lineRule="auto"/>
        <w:jc w:val="both"/>
        <w:rPr>
          <w:rFonts w:ascii="Verdana" w:eastAsia="Calibri" w:hAnsi="Verdana" w:cs="Arial"/>
        </w:rPr>
      </w:pPr>
    </w:p>
    <w:p w14:paraId="5381D9BD" w14:textId="39F8CC21" w:rsidR="00B71F41" w:rsidRPr="00CA0C18" w:rsidRDefault="00B71F41" w:rsidP="00B71F41">
      <w:pPr>
        <w:pStyle w:val="Prrafodelista"/>
        <w:numPr>
          <w:ilvl w:val="0"/>
          <w:numId w:val="22"/>
        </w:numPr>
        <w:spacing w:before="120" w:after="120" w:line="276" w:lineRule="auto"/>
        <w:jc w:val="both"/>
        <w:rPr>
          <w:rFonts w:ascii="Verdana" w:eastAsia="Calibri" w:hAnsi="Verdana" w:cs="Arial"/>
        </w:rPr>
      </w:pPr>
      <w:r w:rsidRPr="00CA0C18">
        <w:rPr>
          <w:rFonts w:ascii="Verdana" w:eastAsia="Calibri" w:hAnsi="Verdana" w:cs="Arial"/>
        </w:rPr>
        <w:t>Ahora bien, después de hacer referencia a los elementos de la Ley 1116 de 2006, es pertinente acudir a lo establecido por parte de esta Agencia en la Guía de Asuntos Corporativos en los Procesos de Contratación</w:t>
      </w:r>
      <w:r w:rsidRPr="00CA0C18">
        <w:rPr>
          <w:rFonts w:ascii="Verdana" w:eastAsia="Calibri" w:hAnsi="Verdana" w:cs="Arial"/>
          <w:sz w:val="16"/>
        </w:rPr>
        <w:footnoteReference w:id="4"/>
      </w:r>
      <w:r w:rsidRPr="00CA0C18">
        <w:rPr>
          <w:rFonts w:ascii="Verdana" w:eastAsia="Calibri" w:hAnsi="Verdana" w:cs="Arial"/>
        </w:rPr>
        <w:t>, la cual fue expedida con el propósito de establecer algunos lineamientos generales sobre aspectos relacionados con personas jurídicas que deben tener en cuenta los proveedores y las Entidades Estatales en los Procesos de Contratación, y en donde se trató en el numeral VIII Reorganización empresarial y liquidación judicial de personas jurídicas, lo siguiente</w:t>
      </w:r>
      <w:r w:rsidRPr="00CA0C18">
        <w:rPr>
          <w:rFonts w:ascii="Verdana" w:eastAsia="Times New Roman" w:hAnsi="Verdana" w:cs="Times New Roman"/>
          <w:sz w:val="24"/>
          <w:szCs w:val="24"/>
          <w:lang w:eastAsia="es-CO"/>
        </w:rPr>
        <w:t xml:space="preserve">: </w:t>
      </w:r>
    </w:p>
    <w:p w14:paraId="378B0579" w14:textId="77777777" w:rsidR="00B71F41" w:rsidRPr="00CA0C18" w:rsidRDefault="00B71F41" w:rsidP="00B71F41">
      <w:pPr>
        <w:spacing w:before="120" w:after="120" w:line="276" w:lineRule="auto"/>
        <w:ind w:left="567"/>
        <w:jc w:val="both"/>
        <w:rPr>
          <w:rFonts w:ascii="Verdana" w:eastAsia="Calibri" w:hAnsi="Verdana" w:cs="Arial"/>
          <w:sz w:val="20"/>
          <w:szCs w:val="20"/>
        </w:rPr>
      </w:pPr>
      <w:r w:rsidRPr="00CA0C18">
        <w:rPr>
          <w:rFonts w:ascii="Verdana" w:eastAsia="Calibri" w:hAnsi="Verdana" w:cs="Arial"/>
          <w:sz w:val="20"/>
          <w:szCs w:val="20"/>
        </w:rPr>
        <w:t>“(…) Cuando se presentan procesos de reorganización empresarial:</w:t>
      </w:r>
    </w:p>
    <w:p w14:paraId="6B5DB651"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r w:rsidRPr="00CA0C18">
        <w:rPr>
          <w:rFonts w:ascii="Verdana" w:hAnsi="Verdana" w:cs="Arial"/>
          <w:sz w:val="20"/>
          <w:szCs w:val="20"/>
          <w:lang w:eastAsia="es-ES_tradnl"/>
        </w:rPr>
        <w:lastRenderedPageBreak/>
        <w:t>i. Las Entidades Estatales no pueden declarar la caducidad, a menos que el proceso para declararla haya iniciado con anterioridad al proceso de reorganización</w:t>
      </w:r>
      <w:r w:rsidRPr="00CA0C18">
        <w:rPr>
          <w:rStyle w:val="Refdenotaalpie"/>
          <w:rFonts w:ascii="Verdana" w:hAnsi="Verdana" w:cs="Arial"/>
          <w:sz w:val="20"/>
          <w:szCs w:val="20"/>
          <w:lang w:eastAsia="es-ES_tradnl"/>
        </w:rPr>
        <w:footnoteReference w:id="5"/>
      </w:r>
      <w:r w:rsidRPr="00CA0C18">
        <w:rPr>
          <w:rFonts w:ascii="Verdana" w:hAnsi="Verdana" w:cs="Arial"/>
          <w:sz w:val="20"/>
          <w:szCs w:val="20"/>
          <w:lang w:eastAsia="es-ES_tradnl"/>
        </w:rPr>
        <w:t xml:space="preserve">. </w:t>
      </w:r>
    </w:p>
    <w:p w14:paraId="05282695"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p>
    <w:p w14:paraId="705CDDFE"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r w:rsidRPr="00CA0C18">
        <w:rPr>
          <w:rFonts w:ascii="Verdana" w:hAnsi="Verdana" w:cs="Arial"/>
          <w:sz w:val="20"/>
          <w:szCs w:val="20"/>
          <w:lang w:eastAsia="es-ES_tradnl"/>
        </w:rPr>
        <w:t>ii. Las Entidades Estatales no pueden decretar la terminación unilateral de ningún contrato, incluidos los contratos de fiducia mercantil y encargos fiduciarios con fines diferentes a los de garantía, pues los procesos de reorganización no constituyen, por si mismos, el incumplimiento de los contratos</w:t>
      </w:r>
      <w:r w:rsidRPr="00CA0C18">
        <w:rPr>
          <w:rStyle w:val="Refdenotaalpie"/>
          <w:rFonts w:ascii="Verdana" w:hAnsi="Verdana" w:cs="Arial"/>
          <w:sz w:val="20"/>
          <w:szCs w:val="20"/>
          <w:lang w:eastAsia="es-ES_tradnl"/>
        </w:rPr>
        <w:footnoteReference w:id="6"/>
      </w:r>
      <w:r w:rsidRPr="00CA0C18">
        <w:rPr>
          <w:rFonts w:ascii="Verdana" w:hAnsi="Verdana" w:cs="Arial"/>
          <w:sz w:val="20"/>
          <w:szCs w:val="20"/>
          <w:lang w:eastAsia="es-ES_tradnl"/>
        </w:rPr>
        <w:t xml:space="preserve">. </w:t>
      </w:r>
    </w:p>
    <w:p w14:paraId="35BD5E7F"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p>
    <w:p w14:paraId="3CDF067A"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r w:rsidRPr="00CA0C18">
        <w:rPr>
          <w:rFonts w:ascii="Verdana" w:hAnsi="Verdana" w:cs="Arial"/>
          <w:sz w:val="20"/>
          <w:szCs w:val="20"/>
          <w:lang w:eastAsia="es-ES_tradnl"/>
        </w:rPr>
        <w:t xml:space="preserve">iii. El contratista admitido a un trámite de reorganización puede buscar la renegociación de los contratos de tracto sucesivo, de común acuerdo con la Entidad Estatal. De no lograrse un acuerdo, el contratista puede solicitar al juez del concurso, autorización para la terminación del contrato. </w:t>
      </w:r>
      <w:r w:rsidRPr="00CA0C18">
        <w:rPr>
          <w:rFonts w:ascii="Verdana" w:eastAsia="Calibri" w:hAnsi="Verdana" w:cs="Arial"/>
          <w:sz w:val="20"/>
          <w:szCs w:val="20"/>
        </w:rPr>
        <w:t>(…)</w:t>
      </w:r>
    </w:p>
    <w:p w14:paraId="53085614"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p>
    <w:p w14:paraId="01DB1C5B"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r w:rsidRPr="00CA0C18">
        <w:rPr>
          <w:rFonts w:ascii="Verdana" w:hAnsi="Verdana" w:cs="Arial"/>
          <w:sz w:val="20"/>
          <w:szCs w:val="20"/>
          <w:lang w:eastAsia="es-ES_tradnl"/>
        </w:rPr>
        <w:t>La capacidad jurídica de quienes encuentren en procesos de reorganización empresarial no se afecta, y por lo tanto, las personas jurídicas que resultan admitidas en este tipo de procesos pueden participar en Procesos de Contratación y celebrar contratos con Entidades Estatales.</w:t>
      </w:r>
    </w:p>
    <w:p w14:paraId="4DDB6F6D"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sz w:val="20"/>
          <w:szCs w:val="20"/>
          <w:lang w:eastAsia="es-ES_tradnl"/>
        </w:rPr>
      </w:pPr>
    </w:p>
    <w:p w14:paraId="764E946B"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eastAsia="Calibri" w:hAnsi="Verdana" w:cs="Arial"/>
        </w:rPr>
      </w:pPr>
      <w:r w:rsidRPr="00CA0C18">
        <w:rPr>
          <w:rFonts w:ascii="Verdana" w:hAnsi="Verdana" w:cs="Arial"/>
          <w:sz w:val="20"/>
          <w:szCs w:val="20"/>
          <w:lang w:eastAsia="es-ES_tradnl"/>
        </w:rPr>
        <w:t>Sin embargo, las personas jurídicas que estén en liquidación no pueden participar en Procesos de Contratación ni celebrar contratos con Entidades Estatales.</w:t>
      </w:r>
      <w:r w:rsidRPr="00CA0C18">
        <w:rPr>
          <w:rStyle w:val="Refdenotaalpie"/>
          <w:rFonts w:ascii="Verdana" w:hAnsi="Verdana" w:cs="Arial"/>
          <w:sz w:val="20"/>
          <w:szCs w:val="20"/>
          <w:lang w:eastAsia="es-ES_tradnl"/>
        </w:rPr>
        <w:footnoteReference w:id="7"/>
      </w:r>
      <w:r w:rsidRPr="00CA0C18">
        <w:rPr>
          <w:rFonts w:ascii="Verdana" w:hAnsi="Verdana" w:cs="Arial"/>
          <w:sz w:val="20"/>
          <w:szCs w:val="20"/>
          <w:lang w:eastAsia="es-ES_tradnl"/>
        </w:rPr>
        <w:t xml:space="preserve"> </w:t>
      </w:r>
      <w:r w:rsidRPr="00CA0C18">
        <w:rPr>
          <w:rFonts w:ascii="Verdana" w:eastAsia="Calibri" w:hAnsi="Verdana" w:cs="Arial"/>
        </w:rPr>
        <w:t>(…)</w:t>
      </w:r>
    </w:p>
    <w:p w14:paraId="3FA0CC53" w14:textId="77777777" w:rsidR="00B71F41" w:rsidRPr="00CA0C18" w:rsidRDefault="00B71F41" w:rsidP="00B71F41">
      <w:pPr>
        <w:pStyle w:val="Prrafodelista"/>
        <w:tabs>
          <w:tab w:val="left" w:pos="567"/>
          <w:tab w:val="left" w:pos="709"/>
          <w:tab w:val="left" w:pos="993"/>
        </w:tabs>
        <w:spacing w:before="120" w:after="120" w:line="276" w:lineRule="auto"/>
        <w:ind w:left="567" w:right="993"/>
        <w:jc w:val="both"/>
        <w:rPr>
          <w:rFonts w:ascii="Verdana" w:hAnsi="Verdana" w:cs="Arial"/>
          <w:lang w:eastAsia="es-ES_tradnl"/>
        </w:rPr>
      </w:pPr>
    </w:p>
    <w:p w14:paraId="16CB64F2" w14:textId="77777777" w:rsidR="00B71F41" w:rsidRPr="00CA0C18" w:rsidRDefault="00B71F41" w:rsidP="00B71F41">
      <w:pPr>
        <w:pStyle w:val="Prrafodelista"/>
        <w:numPr>
          <w:ilvl w:val="0"/>
          <w:numId w:val="22"/>
        </w:numPr>
        <w:spacing w:before="120" w:after="120" w:line="276" w:lineRule="auto"/>
        <w:jc w:val="both"/>
        <w:rPr>
          <w:rFonts w:ascii="Verdana" w:hAnsi="Verdana" w:cs="Arial"/>
          <w:sz w:val="20"/>
          <w:szCs w:val="20"/>
          <w:lang w:eastAsia="es-ES_tradnl"/>
        </w:rPr>
      </w:pPr>
      <w:r w:rsidRPr="00CA0C18">
        <w:rPr>
          <w:rFonts w:ascii="Verdana" w:hAnsi="Verdana" w:cs="Arial"/>
          <w:lang w:eastAsia="es-ES_tradnl"/>
        </w:rPr>
        <w:t>De los anteriores elementos señalados por la Agencia, se reitera frente a la capacidad jurídica que establece en el artículo 6 de la Ley 80 de 1993</w:t>
      </w:r>
      <w:r w:rsidRPr="00CA0C18">
        <w:rPr>
          <w:rStyle w:val="Refdenotaalpie"/>
          <w:rFonts w:ascii="Verdana" w:hAnsi="Verdana" w:cs="Arial"/>
          <w:lang w:eastAsia="es-ES_tradnl"/>
        </w:rPr>
        <w:footnoteReference w:id="8"/>
      </w:r>
      <w:r w:rsidRPr="00CA0C18">
        <w:rPr>
          <w:rFonts w:ascii="Verdana" w:hAnsi="Verdana" w:cs="Arial"/>
          <w:lang w:eastAsia="es-ES_tradnl"/>
        </w:rPr>
        <w:t>, de quienes encuentren en procesos de reorganización empresarial no se afecta, y por lo tanto, las personas jurídicas que resultan admitidas en este tipo de procesos pueden participar en Procesos de Contratación y celebrar contratos con Entidades Estatales.</w:t>
      </w:r>
      <w:r w:rsidRPr="00CA0C18">
        <w:rPr>
          <w:rFonts w:ascii="Verdana" w:hAnsi="Verdana" w:cs="Arial"/>
          <w:sz w:val="20"/>
          <w:szCs w:val="20"/>
          <w:lang w:eastAsia="es-ES_tradnl"/>
        </w:rPr>
        <w:br w:type="page"/>
      </w:r>
    </w:p>
    <w:p w14:paraId="13EC54C2" w14:textId="77777777" w:rsidR="00B71F41" w:rsidRPr="00CA0C18" w:rsidRDefault="00B71F41" w:rsidP="00B71F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A0C18">
        <w:rPr>
          <w:rFonts w:ascii="Verdana" w:eastAsia="Century Gothic" w:hAnsi="Verdana" w:cs="Century Gothic"/>
          <w:b/>
          <w:bCs/>
        </w:rPr>
        <w:lastRenderedPageBreak/>
        <w:t>Referencias normativas, jurisprudenciales y otras fuentes:</w:t>
      </w:r>
    </w:p>
    <w:p w14:paraId="6C7C5CD5" w14:textId="77777777" w:rsidR="00B71F41" w:rsidRPr="00CA0C18" w:rsidRDefault="00B71F41" w:rsidP="00B71F41">
      <w:pPr>
        <w:spacing w:after="0" w:line="276" w:lineRule="auto"/>
        <w:ind w:right="709"/>
        <w:jc w:val="both"/>
        <w:textAlignment w:val="baseline"/>
        <w:rPr>
          <w:rFonts w:ascii="Verdana" w:eastAsia="Times New Roman" w:hAnsi="Verdana" w:cs="Arial"/>
          <w:bCs/>
          <w:lang w:val="es-ES_tradnl" w:eastAsia="es-CO"/>
        </w:rPr>
      </w:pPr>
    </w:p>
    <w:p w14:paraId="7A0246B8" w14:textId="77777777" w:rsidR="00B71F41" w:rsidRPr="00CA0C18" w:rsidRDefault="00B71F41" w:rsidP="00B71F41">
      <w:pPr>
        <w:pStyle w:val="Prrafodelista"/>
        <w:numPr>
          <w:ilvl w:val="0"/>
          <w:numId w:val="17"/>
        </w:numPr>
        <w:spacing w:after="0" w:line="276" w:lineRule="auto"/>
        <w:ind w:right="709"/>
        <w:jc w:val="both"/>
        <w:rPr>
          <w:rFonts w:ascii="Verdana" w:hAnsi="Verdana" w:cs="Arial"/>
          <w:lang w:val="es-ES_tradnl"/>
        </w:rPr>
      </w:pPr>
      <w:r w:rsidRPr="00CA0C18">
        <w:rPr>
          <w:rFonts w:ascii="Verdana" w:hAnsi="Verdana" w:cs="Arial"/>
          <w:lang w:val="es-ES_tradnl"/>
        </w:rPr>
        <w:t xml:space="preserve">Ley 80 de 1993, Artículo 6. Disponible en: </w:t>
      </w:r>
      <w:hyperlink r:id="rId13" w:history="1">
        <w:r w:rsidRPr="00CA0C18">
          <w:rPr>
            <w:rStyle w:val="Hipervnculo"/>
            <w:rFonts w:ascii="Verdana" w:hAnsi="Verdana" w:cs="Arial"/>
            <w:color w:val="auto"/>
            <w:lang w:val="es-ES_tradnl"/>
          </w:rPr>
          <w:t>https://relatoria.colombiacompra.gov.co/normativa/ley-80-de-1993/</w:t>
        </w:r>
      </w:hyperlink>
    </w:p>
    <w:p w14:paraId="445FFE0D" w14:textId="77777777" w:rsidR="00B71F41" w:rsidRPr="00CA0C18" w:rsidRDefault="00B71F41" w:rsidP="00B71F41">
      <w:pPr>
        <w:pStyle w:val="Prrafodelista"/>
        <w:spacing w:after="0" w:line="276" w:lineRule="auto"/>
        <w:ind w:right="709"/>
        <w:jc w:val="both"/>
        <w:rPr>
          <w:rFonts w:ascii="Verdana" w:hAnsi="Verdana" w:cs="Arial"/>
          <w:lang w:val="es-ES_tradnl"/>
        </w:rPr>
      </w:pPr>
    </w:p>
    <w:p w14:paraId="31A20048" w14:textId="77777777" w:rsidR="00B71F41" w:rsidRPr="00CA0C18" w:rsidRDefault="00B71F41" w:rsidP="00B71F41">
      <w:pPr>
        <w:pStyle w:val="Prrafodelista"/>
        <w:rPr>
          <w:rFonts w:ascii="Verdana" w:hAnsi="Verdana" w:cs="Arial"/>
          <w:lang w:val="es-ES_tradnl"/>
        </w:rPr>
      </w:pPr>
    </w:p>
    <w:p w14:paraId="2EF18F8B" w14:textId="77777777" w:rsidR="00B71F41" w:rsidRPr="00CA0C18" w:rsidRDefault="00B71F41" w:rsidP="00B71F41">
      <w:pPr>
        <w:pStyle w:val="Prrafodelista"/>
        <w:numPr>
          <w:ilvl w:val="0"/>
          <w:numId w:val="17"/>
        </w:numPr>
        <w:spacing w:after="0" w:line="276" w:lineRule="auto"/>
        <w:ind w:right="709"/>
        <w:jc w:val="both"/>
        <w:rPr>
          <w:rFonts w:ascii="Verdana" w:hAnsi="Verdana" w:cs="Arial"/>
          <w:lang w:val="es-ES_tradnl"/>
        </w:rPr>
      </w:pPr>
      <w:r w:rsidRPr="00CA0C18">
        <w:rPr>
          <w:rFonts w:ascii="Verdana" w:eastAsia="Calibri" w:hAnsi="Verdana" w:cs="Arial"/>
        </w:rPr>
        <w:t xml:space="preserve">Ley 1116 de 2006, Artículo 1, Artículo 21, Artículo 50. Disponible en: </w:t>
      </w:r>
      <w:hyperlink r:id="rId14" w:history="1">
        <w:r w:rsidRPr="00CA0C18">
          <w:rPr>
            <w:rStyle w:val="Hipervnculo"/>
            <w:rFonts w:ascii="Verdana" w:eastAsia="Calibri" w:hAnsi="Verdana" w:cs="Arial"/>
            <w:color w:val="auto"/>
          </w:rPr>
          <w:t>https://www.suin-juriscol.gov.co/viewDocument.asp?id=1674203</w:t>
        </w:r>
      </w:hyperlink>
    </w:p>
    <w:p w14:paraId="041C829E" w14:textId="77777777" w:rsidR="00B71F41" w:rsidRPr="00CA0C18" w:rsidRDefault="00B71F41" w:rsidP="00B71F41">
      <w:pPr>
        <w:pStyle w:val="Prrafodelista"/>
        <w:spacing w:after="0" w:line="276" w:lineRule="auto"/>
        <w:ind w:right="709"/>
        <w:jc w:val="both"/>
        <w:rPr>
          <w:rFonts w:ascii="Verdana" w:hAnsi="Verdana" w:cs="Arial"/>
          <w:lang w:val="es-ES_tradnl"/>
        </w:rPr>
      </w:pPr>
    </w:p>
    <w:p w14:paraId="54CBA6F0" w14:textId="77777777" w:rsidR="00B71F41" w:rsidRPr="00CA0C18" w:rsidRDefault="00B71F41" w:rsidP="00B71F41">
      <w:pPr>
        <w:pStyle w:val="Prrafodelista"/>
        <w:numPr>
          <w:ilvl w:val="0"/>
          <w:numId w:val="17"/>
        </w:numPr>
        <w:spacing w:line="276" w:lineRule="auto"/>
        <w:contextualSpacing w:val="0"/>
        <w:jc w:val="both"/>
        <w:rPr>
          <w:rFonts w:ascii="Verdana" w:hAnsi="Verdana"/>
        </w:rPr>
      </w:pPr>
      <w:r w:rsidRPr="00CA0C18">
        <w:rPr>
          <w:rFonts w:ascii="Verdana" w:eastAsia="Calibri" w:hAnsi="Verdana" w:cs="Arial"/>
          <w:bCs/>
        </w:rPr>
        <w:t xml:space="preserve">Guía de Asuntos Corporativos en los Procesos de Contratación. </w:t>
      </w:r>
      <w:r w:rsidRPr="00CA0C18">
        <w:rPr>
          <w:rFonts w:ascii="Verdana" w:hAnsi="Verdana" w:cs="Arial"/>
        </w:rPr>
        <w:t>Disponible en:</w:t>
      </w:r>
    </w:p>
    <w:p w14:paraId="23D0203A" w14:textId="77777777" w:rsidR="00B71F41" w:rsidRPr="00CA0C18" w:rsidRDefault="00C52F58" w:rsidP="00B71F41">
      <w:pPr>
        <w:pStyle w:val="Prrafodelista"/>
        <w:spacing w:line="276" w:lineRule="auto"/>
        <w:contextualSpacing w:val="0"/>
        <w:jc w:val="both"/>
        <w:rPr>
          <w:rFonts w:ascii="Verdana" w:hAnsi="Verdana"/>
        </w:rPr>
      </w:pPr>
      <w:hyperlink r:id="rId15" w:history="1">
        <w:r w:rsidR="00B71F41" w:rsidRPr="00CA0C18">
          <w:rPr>
            <w:rStyle w:val="Hipervnculo"/>
            <w:rFonts w:ascii="Verdana" w:hAnsi="Verdana" w:cs="Arial"/>
            <w:color w:val="auto"/>
          </w:rPr>
          <w:t>https://colombiacompra.gov.co/sites/cce_public/files/cce_documents/cce_guia_asuntos_corporativos.pdf</w:t>
        </w:r>
      </w:hyperlink>
      <w:r w:rsidR="00B71F41" w:rsidRPr="00CA0C18">
        <w:rPr>
          <w:rFonts w:ascii="Verdana" w:hAnsi="Verdana" w:cs="Arial"/>
        </w:rPr>
        <w:t xml:space="preserve"> </w:t>
      </w:r>
    </w:p>
    <w:p w14:paraId="02711F26" w14:textId="77777777" w:rsidR="00B71F41" w:rsidRPr="00CA0C18" w:rsidRDefault="00B71F41" w:rsidP="00B71F4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CA0C18">
        <w:rPr>
          <w:rFonts w:ascii="Verdana" w:eastAsia="Century Gothic" w:hAnsi="Verdana" w:cs="Century Gothic"/>
          <w:b/>
          <w:bCs/>
        </w:rPr>
        <w:t>Doctrina de la Agencia Nacional de Contratación Pública:</w:t>
      </w:r>
    </w:p>
    <w:p w14:paraId="48C4B29F" w14:textId="77777777" w:rsidR="00B71F41" w:rsidRPr="00CA0C18" w:rsidRDefault="00B71F41" w:rsidP="00B71F41">
      <w:pPr>
        <w:widowControl w:val="0"/>
        <w:autoSpaceDE w:val="0"/>
        <w:autoSpaceDN w:val="0"/>
        <w:spacing w:after="0" w:line="276" w:lineRule="auto"/>
        <w:jc w:val="both"/>
        <w:rPr>
          <w:rFonts w:ascii="Verdana" w:eastAsia="Calibri" w:hAnsi="Verdana" w:cs="Arial"/>
          <w:lang w:val="es-ES" w:eastAsia="es-ES"/>
        </w:rPr>
      </w:pPr>
    </w:p>
    <w:p w14:paraId="3D0551FC" w14:textId="77777777" w:rsidR="00B71F41" w:rsidRPr="00CA0C18" w:rsidRDefault="00B71F41" w:rsidP="00B71F41">
      <w:pPr>
        <w:widowControl w:val="0"/>
        <w:autoSpaceDE w:val="0"/>
        <w:autoSpaceDN w:val="0"/>
        <w:spacing w:after="0" w:line="276" w:lineRule="auto"/>
        <w:jc w:val="both"/>
        <w:rPr>
          <w:rFonts w:ascii="Verdana" w:hAnsi="Verdana"/>
        </w:rPr>
      </w:pPr>
      <w:r w:rsidRPr="00CA0C18">
        <w:rPr>
          <w:rStyle w:val="normaltextrun"/>
          <w:rFonts w:ascii="Verdana" w:hAnsi="Verdana" w:cs="Arial"/>
          <w:shd w:val="clear" w:color="auto" w:fill="FFFFFF"/>
        </w:rPr>
        <w:t xml:space="preserve">La Agencia Nacional de Contratación Pública – Colombia Compra Eficiente se ha encargado de estudiar diversas y variadas implicaciones de los efectos de estas reformas estatutarias, muestra de ello son los conceptos C-343 del 12 de febrero de 2021, C-440 del 02 de septiembre de 2021, C-820 del 29 de noviembre de 2022, C-121 del 12 de mayo de 2023, C-005 del 29 de febrero de 2024 y C-086 del 14 de mayo de 2024. </w:t>
      </w:r>
      <w:r w:rsidRPr="00CA0C18">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A0C18">
        <w:rPr>
          <w:rFonts w:ascii="Verdana" w:hAnsi="Verdana"/>
        </w:rPr>
        <w:t>, accede a través del siguiente enlace:</w:t>
      </w:r>
    </w:p>
    <w:p w14:paraId="10270153" w14:textId="77777777" w:rsidR="00B71F41" w:rsidRPr="00CA0C18" w:rsidRDefault="00C52F58" w:rsidP="00B71F41">
      <w:pPr>
        <w:widowControl w:val="0"/>
        <w:autoSpaceDE w:val="0"/>
        <w:autoSpaceDN w:val="0"/>
        <w:spacing w:after="0" w:line="276" w:lineRule="auto"/>
        <w:jc w:val="both"/>
        <w:rPr>
          <w:rStyle w:val="normaltextrun"/>
          <w:rFonts w:ascii="Verdana" w:hAnsi="Verdana" w:cs="Arial"/>
          <w:shd w:val="clear" w:color="auto" w:fill="FFFFFF"/>
        </w:rPr>
      </w:pPr>
      <w:hyperlink r:id="rId16" w:history="1">
        <w:r w:rsidR="00B71F41" w:rsidRPr="00CA0C18">
          <w:rPr>
            <w:rStyle w:val="Hipervnculo"/>
            <w:rFonts w:ascii="Verdana" w:hAnsi="Verdana" w:cs="Arial"/>
            <w:color w:val="auto"/>
            <w:shd w:val="clear" w:color="auto" w:fill="FFFFFF"/>
            <w:lang w:val="es-ES"/>
          </w:rPr>
          <w:t>https://relatoria.colombiacompra.gov.co/busqueda/conceptos</w:t>
        </w:r>
      </w:hyperlink>
      <w:r w:rsidR="00B71F41" w:rsidRPr="00CA0C18">
        <w:rPr>
          <w:rStyle w:val="normaltextrun"/>
          <w:rFonts w:ascii="Verdana" w:hAnsi="Verdana" w:cs="Arial"/>
          <w:shd w:val="clear" w:color="auto" w:fill="FFFFFF"/>
        </w:rPr>
        <w:t xml:space="preserve">. </w:t>
      </w:r>
    </w:p>
    <w:p w14:paraId="436A7949" w14:textId="77777777" w:rsidR="00B71F41" w:rsidRPr="00CA0C18" w:rsidRDefault="00B71F41" w:rsidP="00B71F41">
      <w:pPr>
        <w:widowControl w:val="0"/>
        <w:autoSpaceDE w:val="0"/>
        <w:autoSpaceDN w:val="0"/>
        <w:spacing w:after="0" w:line="276" w:lineRule="auto"/>
        <w:jc w:val="both"/>
        <w:rPr>
          <w:rStyle w:val="normaltextrun"/>
          <w:rFonts w:ascii="Verdana" w:hAnsi="Verdana" w:cs="Arial"/>
          <w:shd w:val="clear" w:color="auto" w:fill="FFFFFF"/>
        </w:rPr>
      </w:pPr>
    </w:p>
    <w:p w14:paraId="66BBBED5" w14:textId="77777777" w:rsidR="00B71F41" w:rsidRPr="00CA0C18" w:rsidRDefault="00B71F41" w:rsidP="00B71F41">
      <w:pPr>
        <w:widowControl w:val="0"/>
        <w:autoSpaceDE w:val="0"/>
        <w:autoSpaceDN w:val="0"/>
        <w:spacing w:after="0" w:line="276" w:lineRule="auto"/>
        <w:jc w:val="both"/>
        <w:rPr>
          <w:rFonts w:ascii="Verdana" w:hAnsi="Verdana" w:cs="Arial"/>
          <w:shd w:val="clear" w:color="auto" w:fill="FFFFFF"/>
        </w:rPr>
      </w:pPr>
      <w:r w:rsidRPr="00CA0C18">
        <w:rPr>
          <w:rStyle w:val="normaltextrun"/>
          <w:rFonts w:ascii="Verdana" w:hAnsi="Verdana" w:cs="Arial"/>
          <w:shd w:val="clear" w:color="auto" w:fill="FFFFFF"/>
        </w:rPr>
        <w:t xml:space="preserve">También te </w:t>
      </w:r>
      <w:r w:rsidRPr="00CA0C18">
        <w:rPr>
          <w:rFonts w:ascii="Verdana" w:hAnsi="Verdana" w:cs="Arial"/>
          <w:shd w:val="clear" w:color="auto" w:fill="FFFFFF"/>
        </w:rPr>
        <w:t>invitamos a revisar la tercera edición del  Boletín de Relatoría de 2024 en el cual podrás consultar en detalle el marco normativo de documentos tipo:</w:t>
      </w:r>
    </w:p>
    <w:p w14:paraId="4B94DF00" w14:textId="77777777" w:rsidR="00B71F41" w:rsidRPr="00CA0C18" w:rsidRDefault="00C52F58" w:rsidP="00B71F41">
      <w:pPr>
        <w:widowControl w:val="0"/>
        <w:autoSpaceDE w:val="0"/>
        <w:autoSpaceDN w:val="0"/>
        <w:spacing w:after="0" w:line="276" w:lineRule="auto"/>
        <w:jc w:val="both"/>
        <w:rPr>
          <w:rStyle w:val="normaltextrun"/>
          <w:rFonts w:ascii="Verdana" w:hAnsi="Verdana" w:cs="Arial"/>
          <w:shd w:val="clear" w:color="auto" w:fill="FFFFFF"/>
        </w:rPr>
      </w:pPr>
      <w:hyperlink r:id="rId17" w:tgtFrame="_blank" w:tooltip="Dirección URL original: https://www.colombiacompra.gov.co/sites/cce_public/files/files_2020/boletin_de_realtoria_iii.pdf. Haga clic o pulse si confía en este vínculo." w:history="1">
        <w:r w:rsidR="00B71F41" w:rsidRPr="00CA0C18">
          <w:rPr>
            <w:rStyle w:val="Hipervnculo"/>
            <w:rFonts w:ascii="Verdana" w:hAnsi="Verdana" w:cs="Arial"/>
            <w:color w:val="auto"/>
            <w:shd w:val="clear" w:color="auto" w:fill="FFFFFF"/>
          </w:rPr>
          <w:t>https://www.colombiacompra.gov.co/sites/cce_public/files/files_2020/boletin_de_realtoria_iii.pdf</w:t>
        </w:r>
      </w:hyperlink>
      <w:r w:rsidR="00B71F41" w:rsidRPr="00CA0C18">
        <w:rPr>
          <w:rFonts w:ascii="Verdana" w:hAnsi="Verdana" w:cs="Arial"/>
          <w:shd w:val="clear" w:color="auto" w:fill="FFFFFF"/>
        </w:rPr>
        <w:t> ".  </w:t>
      </w:r>
    </w:p>
    <w:p w14:paraId="293BD2E0" w14:textId="77777777" w:rsidR="00B71F41" w:rsidRPr="00CA0C18" w:rsidRDefault="00B71F41" w:rsidP="00B71F41">
      <w:pPr>
        <w:widowControl w:val="0"/>
        <w:autoSpaceDE w:val="0"/>
        <w:autoSpaceDN w:val="0"/>
        <w:spacing w:after="0" w:line="276" w:lineRule="auto"/>
        <w:jc w:val="both"/>
        <w:rPr>
          <w:rStyle w:val="normaltextrun"/>
          <w:rFonts w:ascii="Verdana" w:hAnsi="Verdana" w:cs="Arial"/>
          <w:shd w:val="clear" w:color="auto" w:fill="FFFFFF"/>
        </w:rPr>
      </w:pPr>
    </w:p>
    <w:p w14:paraId="7715A6FA" w14:textId="77777777" w:rsidR="00B71F41" w:rsidRPr="00CA0C18" w:rsidRDefault="00B71F41" w:rsidP="00B71F41">
      <w:pPr>
        <w:widowControl w:val="0"/>
        <w:autoSpaceDE w:val="0"/>
        <w:autoSpaceDN w:val="0"/>
        <w:spacing w:after="0" w:line="276" w:lineRule="auto"/>
        <w:jc w:val="both"/>
        <w:rPr>
          <w:rFonts w:ascii="Verdana" w:hAnsi="Verdana" w:cs="Arial"/>
          <w:shd w:val="clear" w:color="auto" w:fill="FFFFFF"/>
        </w:rPr>
      </w:pPr>
      <w:r w:rsidRPr="00CA0C18">
        <w:rPr>
          <w:rFonts w:ascii="Verdana" w:hAnsi="Verdana" w:cs="Arial"/>
          <w:shd w:val="clear" w:color="auto" w:fill="FFFFFF"/>
        </w:rPr>
        <w:lastRenderedPageBreak/>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w:t>
      </w:r>
    </w:p>
    <w:p w14:paraId="14B3A93A" w14:textId="77777777" w:rsidR="00B71F41" w:rsidRPr="00CA0C18" w:rsidRDefault="00B71F41" w:rsidP="00B71F41">
      <w:pPr>
        <w:widowControl w:val="0"/>
        <w:autoSpaceDE w:val="0"/>
        <w:autoSpaceDN w:val="0"/>
        <w:spacing w:after="0" w:line="276" w:lineRule="auto"/>
        <w:jc w:val="both"/>
        <w:rPr>
          <w:rFonts w:ascii="Verdana" w:hAnsi="Verdana" w:cs="Arial"/>
          <w:shd w:val="clear" w:color="auto" w:fill="FFFFFF"/>
        </w:rPr>
      </w:pPr>
      <w:r w:rsidRPr="00CA0C18">
        <w:rPr>
          <w:rFonts w:ascii="Verdana" w:hAnsi="Verdana" w:cs="Arial"/>
          <w:shd w:val="clear" w:color="auto" w:fill="FFFFFF"/>
        </w:rPr>
        <w:t>  </w:t>
      </w:r>
      <w:r w:rsidRPr="00CA0C18">
        <w:rPr>
          <w:rFonts w:ascii="Verdana" w:hAnsi="Verdana" w:cs="Arial"/>
          <w:shd w:val="clear" w:color="auto" w:fill="FFFFFF"/>
        </w:rPr>
        <w:br/>
      </w:r>
      <w:hyperlink r:id="rId18" w:history="1">
        <w:r w:rsidRPr="00CA0C18">
          <w:rPr>
            <w:rStyle w:val="Hipervnculo"/>
            <w:rFonts w:ascii="Verdana" w:hAnsi="Verdana" w:cs="Arial"/>
            <w:color w:val="auto"/>
            <w:shd w:val="clear" w:color="auto" w:fill="FFFFFF"/>
          </w:rPr>
          <w:t>https://www.sucop.gov.co/entidades/colombiacompra/Normativa?IDNorma=17363</w:t>
        </w:r>
      </w:hyperlink>
      <w:r w:rsidRPr="00CA0C18">
        <w:rPr>
          <w:rFonts w:ascii="Verdana" w:hAnsi="Verdana" w:cs="Arial"/>
          <w:shd w:val="clear" w:color="auto" w:fill="FFFFFF"/>
        </w:rPr>
        <w:t xml:space="preserve"> y  </w:t>
      </w:r>
      <w:hyperlink r:id="rId19" w:tgtFrame="_blank" w:tooltip="Dirección URL original: https://www.colombiacompra.gov.co/content/convocatorias. Haga clic o pulse si confía en este vínculo." w:history="1">
        <w:r w:rsidRPr="00CA0C18">
          <w:rPr>
            <w:rStyle w:val="Hipervnculo"/>
            <w:rFonts w:ascii="Verdana" w:hAnsi="Verdana" w:cs="Arial"/>
            <w:color w:val="auto"/>
            <w:shd w:val="clear" w:color="auto" w:fill="FFFFFF"/>
          </w:rPr>
          <w:t>https://www.colombiacompra.gov.co/content/convocatorias</w:t>
        </w:r>
      </w:hyperlink>
      <w:r w:rsidRPr="00CA0C18">
        <w:rPr>
          <w:rFonts w:ascii="Verdana" w:hAnsi="Verdana" w:cs="Arial"/>
          <w:shd w:val="clear" w:color="auto" w:fill="FFFFFF"/>
        </w:rPr>
        <w:t> </w:t>
      </w:r>
    </w:p>
    <w:p w14:paraId="4B6FD8D5" w14:textId="77777777" w:rsidR="00B71F41" w:rsidRPr="00CA0C18" w:rsidRDefault="00B71F41" w:rsidP="00B71F41">
      <w:pPr>
        <w:widowControl w:val="0"/>
        <w:autoSpaceDE w:val="0"/>
        <w:autoSpaceDN w:val="0"/>
        <w:spacing w:after="0" w:line="276" w:lineRule="auto"/>
        <w:jc w:val="both"/>
        <w:rPr>
          <w:rFonts w:ascii="Verdana" w:hAnsi="Verdana" w:cs="Arial"/>
          <w:shd w:val="clear" w:color="auto" w:fill="FFFFFF"/>
          <w:lang w:val="es-ES"/>
        </w:rPr>
      </w:pPr>
    </w:p>
    <w:p w14:paraId="1CDE3727" w14:textId="77777777" w:rsidR="00B71F41" w:rsidRPr="00CA0C18" w:rsidRDefault="00B71F41" w:rsidP="00B71F41">
      <w:pPr>
        <w:spacing w:after="0" w:line="240" w:lineRule="auto"/>
        <w:jc w:val="both"/>
        <w:rPr>
          <w:rFonts w:ascii="Verdana" w:hAnsi="Verdana"/>
        </w:rPr>
      </w:pPr>
      <w:r w:rsidRPr="00CA0C18">
        <w:rPr>
          <w:rFonts w:ascii="Verdana" w:hAnsi="Verdana"/>
        </w:rPr>
        <w:t xml:space="preserve">Por último, lo invitamos a seguirnos en las redes sociales en las cuales se difunde información institucional: </w:t>
      </w:r>
    </w:p>
    <w:p w14:paraId="13F6897E" w14:textId="77777777" w:rsidR="00B71F41" w:rsidRPr="00CA0C18" w:rsidRDefault="00B71F41" w:rsidP="00B71F41">
      <w:pPr>
        <w:spacing w:after="0" w:line="240" w:lineRule="auto"/>
        <w:jc w:val="both"/>
        <w:rPr>
          <w:rFonts w:ascii="Verdana" w:hAnsi="Verdana"/>
        </w:rPr>
      </w:pPr>
    </w:p>
    <w:p w14:paraId="740574B2" w14:textId="77777777" w:rsidR="00B71F41" w:rsidRPr="00CA0C18" w:rsidRDefault="00B71F41" w:rsidP="00B71F41">
      <w:pPr>
        <w:spacing w:after="0" w:line="240" w:lineRule="auto"/>
        <w:jc w:val="both"/>
        <w:rPr>
          <w:rFonts w:ascii="Verdana" w:hAnsi="Verdana"/>
        </w:rPr>
      </w:pPr>
      <w:r w:rsidRPr="00CA0C18">
        <w:rPr>
          <w:rFonts w:ascii="Verdana" w:hAnsi="Verdana"/>
        </w:rPr>
        <w:t xml:space="preserve">Twitter: </w:t>
      </w:r>
      <w:r w:rsidRPr="00CA0C18">
        <w:rPr>
          <w:rFonts w:ascii="Verdana" w:hAnsi="Verdana"/>
          <w:u w:val="single"/>
        </w:rPr>
        <w:t>@colombiacompra</w:t>
      </w:r>
      <w:r w:rsidRPr="00CA0C18">
        <w:rPr>
          <w:rFonts w:ascii="Verdana" w:hAnsi="Verdana"/>
        </w:rPr>
        <w:t xml:space="preserve"> </w:t>
      </w:r>
    </w:p>
    <w:p w14:paraId="105ACD46" w14:textId="77777777" w:rsidR="00B71F41" w:rsidRPr="00CA0C18" w:rsidRDefault="00B71F41" w:rsidP="00B71F41">
      <w:pPr>
        <w:spacing w:after="0" w:line="240" w:lineRule="auto"/>
        <w:jc w:val="both"/>
        <w:rPr>
          <w:rFonts w:ascii="Verdana" w:hAnsi="Verdana"/>
        </w:rPr>
      </w:pPr>
      <w:r w:rsidRPr="00CA0C18">
        <w:rPr>
          <w:rFonts w:ascii="Verdana" w:hAnsi="Verdana"/>
        </w:rPr>
        <w:t xml:space="preserve">Facebook: </w:t>
      </w:r>
      <w:r w:rsidRPr="00CA0C18">
        <w:rPr>
          <w:rFonts w:ascii="Verdana" w:hAnsi="Verdana"/>
          <w:u w:val="single"/>
        </w:rPr>
        <w:t>ColombiaCompraEficiente</w:t>
      </w:r>
    </w:p>
    <w:p w14:paraId="0681AC9B" w14:textId="77777777" w:rsidR="00B71F41" w:rsidRPr="00CA0C18" w:rsidRDefault="00B71F41" w:rsidP="00B71F41">
      <w:pPr>
        <w:spacing w:after="0" w:line="240" w:lineRule="auto"/>
        <w:jc w:val="both"/>
        <w:rPr>
          <w:rFonts w:ascii="Verdana" w:hAnsi="Verdana"/>
        </w:rPr>
      </w:pPr>
      <w:r w:rsidRPr="00CA0C18">
        <w:rPr>
          <w:rFonts w:ascii="Verdana" w:hAnsi="Verdana"/>
        </w:rPr>
        <w:t xml:space="preserve">LinkedIn: </w:t>
      </w:r>
      <w:r w:rsidRPr="00CA0C18">
        <w:rPr>
          <w:rFonts w:ascii="Verdana" w:hAnsi="Verdana"/>
          <w:u w:val="single"/>
        </w:rPr>
        <w:t>Agencia Nacional de Contratación Pública - Colombia Compra Eficiente</w:t>
      </w:r>
      <w:r w:rsidRPr="00CA0C18">
        <w:rPr>
          <w:rFonts w:ascii="Verdana" w:hAnsi="Verdana"/>
        </w:rPr>
        <w:t xml:space="preserve"> Instagram: </w:t>
      </w:r>
      <w:r w:rsidRPr="00CA0C18">
        <w:rPr>
          <w:rFonts w:ascii="Verdana" w:hAnsi="Verdana"/>
          <w:u w:val="single"/>
        </w:rPr>
        <w:t>@colombiacompraeficiente_cce</w:t>
      </w:r>
    </w:p>
    <w:p w14:paraId="37C7764C" w14:textId="77777777" w:rsidR="00B71F41" w:rsidRPr="00CA0C18" w:rsidRDefault="00B71F41" w:rsidP="00B71F41">
      <w:pPr>
        <w:widowControl w:val="0"/>
        <w:autoSpaceDE w:val="0"/>
        <w:autoSpaceDN w:val="0"/>
        <w:spacing w:after="0" w:line="276" w:lineRule="auto"/>
        <w:jc w:val="both"/>
        <w:rPr>
          <w:rFonts w:ascii="Verdana" w:hAnsi="Verdana" w:cs="Arial"/>
        </w:rPr>
      </w:pPr>
    </w:p>
    <w:p w14:paraId="7A122017" w14:textId="77777777" w:rsidR="00B71F41" w:rsidRPr="00CA0C18" w:rsidRDefault="00B71F41" w:rsidP="00B71F41">
      <w:pPr>
        <w:spacing w:before="120" w:after="0" w:line="276" w:lineRule="auto"/>
        <w:jc w:val="both"/>
        <w:textAlignment w:val="baseline"/>
        <w:rPr>
          <w:rFonts w:ascii="Verdana" w:eastAsia="Times New Roman" w:hAnsi="Verdana"/>
          <w:bCs/>
          <w:lang w:val="es-ES_tradnl" w:eastAsia="es-CO"/>
        </w:rPr>
      </w:pPr>
      <w:r w:rsidRPr="00CA0C18">
        <w:rPr>
          <w:rFonts w:ascii="Verdana" w:hAnsi="Verdana" w:cs="Arial"/>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466146F" w14:textId="77777777" w:rsidR="00B71F41" w:rsidRPr="00CA0C18" w:rsidRDefault="00B71F41" w:rsidP="00B71F41">
      <w:pPr>
        <w:widowControl w:val="0"/>
        <w:autoSpaceDE w:val="0"/>
        <w:autoSpaceDN w:val="0"/>
        <w:spacing w:after="0" w:line="276" w:lineRule="auto"/>
        <w:jc w:val="both"/>
        <w:rPr>
          <w:rFonts w:ascii="Verdana" w:eastAsia="Times New Roman" w:hAnsi="Verdana"/>
          <w:lang w:val="es-ES_tradnl" w:eastAsia="es-CO"/>
        </w:rPr>
      </w:pPr>
    </w:p>
    <w:p w14:paraId="7B2AA662" w14:textId="77777777" w:rsidR="00B71F41" w:rsidRPr="00CA0C18" w:rsidRDefault="00B71F41" w:rsidP="00B71F41">
      <w:pPr>
        <w:spacing w:after="0" w:line="240" w:lineRule="auto"/>
        <w:rPr>
          <w:rFonts w:ascii="Verdana" w:eastAsia="Times New Roman" w:hAnsi="Verdana" w:cs="Arial"/>
          <w:lang w:eastAsia="es-CO"/>
        </w:rPr>
      </w:pPr>
      <w:r w:rsidRPr="00CA0C18">
        <w:rPr>
          <w:rFonts w:ascii="Verdana" w:eastAsia="Times New Roman" w:hAnsi="Verdana" w:cs="Arial"/>
          <w:lang w:eastAsia="es-CO"/>
        </w:rPr>
        <w:t>Atentamente,</w:t>
      </w:r>
    </w:p>
    <w:p w14:paraId="2E3E096B" w14:textId="77777777" w:rsidR="00B71F41" w:rsidRPr="00CA0C18" w:rsidRDefault="00B71F41" w:rsidP="00B71F41">
      <w:pPr>
        <w:spacing w:after="0" w:line="276" w:lineRule="auto"/>
        <w:jc w:val="center"/>
        <w:rPr>
          <w:rFonts w:ascii="Verdana" w:hAnsi="Verdana"/>
          <w:noProof/>
        </w:rPr>
      </w:pPr>
    </w:p>
    <w:p w14:paraId="1CFC259D" w14:textId="34455596" w:rsidR="00B71F41" w:rsidRPr="00CA0C18" w:rsidRDefault="008B3104" w:rsidP="00B71F41">
      <w:pPr>
        <w:spacing w:after="0" w:line="276" w:lineRule="auto"/>
        <w:jc w:val="center"/>
        <w:rPr>
          <w:rFonts w:ascii="Verdana" w:eastAsia="Times New Roman" w:hAnsi="Verdana" w:cs="Arial"/>
          <w:sz w:val="18"/>
          <w:szCs w:val="18"/>
          <w:lang w:val="es-ES" w:eastAsia="es-CO"/>
        </w:rPr>
      </w:pPr>
      <w:r w:rsidRPr="002C3AD6">
        <w:rPr>
          <w:rFonts w:ascii="Century Gothic" w:hAnsi="Century Gothic"/>
          <w:noProof/>
        </w:rPr>
        <w:drawing>
          <wp:inline distT="0" distB="0" distL="0" distR="0" wp14:anchorId="62F119E8" wp14:editId="567BBEE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bookmarkStart w:id="1" w:name="_GoBack"/>
      <w:bookmarkEnd w:id="1"/>
    </w:p>
    <w:p w14:paraId="103BC66A" w14:textId="77777777" w:rsidR="00B71F41" w:rsidRPr="00CA0C18" w:rsidRDefault="00B71F41" w:rsidP="00B71F41">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A0C18" w:rsidRPr="00CA0C18" w14:paraId="287B0F1E" w14:textId="77777777" w:rsidTr="005B4D64">
        <w:trPr>
          <w:trHeight w:val="409"/>
        </w:trPr>
        <w:tc>
          <w:tcPr>
            <w:tcW w:w="817" w:type="dxa"/>
            <w:tcBorders>
              <w:top w:val="nil"/>
              <w:left w:val="nil"/>
              <w:bottom w:val="nil"/>
              <w:right w:val="nil"/>
            </w:tcBorders>
            <w:vAlign w:val="center"/>
            <w:hideMark/>
          </w:tcPr>
          <w:p w14:paraId="603783D5"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CC96C7A"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Gustavo Hinestroza Martínez</w:t>
            </w:r>
          </w:p>
          <w:p w14:paraId="665365F3"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Contratista de la Subdirección de Gestión Contractual</w:t>
            </w:r>
          </w:p>
        </w:tc>
      </w:tr>
      <w:tr w:rsidR="00CA0C18" w:rsidRPr="00CA0C18" w14:paraId="24196B3C" w14:textId="77777777" w:rsidTr="005B4D64">
        <w:trPr>
          <w:trHeight w:val="409"/>
        </w:trPr>
        <w:tc>
          <w:tcPr>
            <w:tcW w:w="817" w:type="dxa"/>
            <w:tcBorders>
              <w:top w:val="nil"/>
              <w:left w:val="nil"/>
              <w:bottom w:val="nil"/>
              <w:right w:val="nil"/>
            </w:tcBorders>
            <w:vAlign w:val="center"/>
            <w:hideMark/>
          </w:tcPr>
          <w:p w14:paraId="13FFC4B2" w14:textId="77777777" w:rsidR="00B71F41" w:rsidRPr="00CA0C18" w:rsidRDefault="00B71F41" w:rsidP="005B4D64">
            <w:pPr>
              <w:spacing w:after="0"/>
              <w:jc w:val="both"/>
              <w:rPr>
                <w:rFonts w:ascii="Verdana" w:hAnsi="Verdana" w:cs="Arial"/>
                <w:sz w:val="16"/>
                <w:szCs w:val="16"/>
              </w:rPr>
            </w:pPr>
            <w:r w:rsidRPr="00CA0C18">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629AF7D" w14:textId="77777777" w:rsidR="00B71F41" w:rsidRPr="00CA0C18" w:rsidRDefault="00B71F41" w:rsidP="005B4D64">
            <w:pPr>
              <w:spacing w:after="0" w:line="276" w:lineRule="auto"/>
              <w:textAlignment w:val="baseline"/>
              <w:rPr>
                <w:rFonts w:ascii="Verdana" w:eastAsia="Times New Roman" w:hAnsi="Verdana" w:cstheme="minorHAnsi"/>
                <w:sz w:val="16"/>
                <w:szCs w:val="16"/>
                <w:lang w:val="es-ES" w:eastAsia="es-ES"/>
              </w:rPr>
            </w:pPr>
            <w:r w:rsidRPr="00CA0C18">
              <w:rPr>
                <w:rFonts w:ascii="Verdana" w:eastAsia="Times New Roman" w:hAnsi="Verdana" w:cstheme="minorHAnsi"/>
                <w:sz w:val="16"/>
                <w:szCs w:val="16"/>
                <w:lang w:val="es-ES" w:eastAsia="es-ES"/>
              </w:rPr>
              <w:t>Cielo Victoria González Meza</w:t>
            </w:r>
          </w:p>
          <w:p w14:paraId="183E2B8C"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Contratista de la Subdirección de Gestión Contractual</w:t>
            </w:r>
          </w:p>
        </w:tc>
      </w:tr>
      <w:tr w:rsidR="00B71F41" w:rsidRPr="00CA0C18" w14:paraId="0189B824" w14:textId="77777777" w:rsidTr="005B4D64">
        <w:trPr>
          <w:trHeight w:val="389"/>
        </w:trPr>
        <w:tc>
          <w:tcPr>
            <w:tcW w:w="817" w:type="dxa"/>
            <w:tcBorders>
              <w:top w:val="nil"/>
              <w:left w:val="nil"/>
              <w:bottom w:val="nil"/>
              <w:right w:val="nil"/>
            </w:tcBorders>
            <w:vAlign w:val="center"/>
            <w:hideMark/>
          </w:tcPr>
          <w:p w14:paraId="7E339A4F"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CB3CDC6" w14:textId="77777777" w:rsidR="00B71F41" w:rsidRPr="00CA0C18" w:rsidRDefault="00B71F41" w:rsidP="005B4D64">
            <w:pPr>
              <w:spacing w:after="0"/>
              <w:rPr>
                <w:rFonts w:ascii="Verdana" w:eastAsia="Calibri" w:hAnsi="Verdana" w:cs="Arial"/>
                <w:sz w:val="16"/>
                <w:szCs w:val="16"/>
                <w:lang w:val="pt-BR" w:eastAsia="es-ES"/>
              </w:rPr>
            </w:pPr>
            <w:r w:rsidRPr="00CA0C18">
              <w:rPr>
                <w:rFonts w:ascii="Verdana" w:eastAsia="Calibri" w:hAnsi="Verdana" w:cs="Arial"/>
                <w:sz w:val="16"/>
                <w:szCs w:val="16"/>
                <w:lang w:val="pt-BR" w:eastAsia="es-ES"/>
              </w:rPr>
              <w:t>Carolina Quintero Gacharná</w:t>
            </w:r>
          </w:p>
          <w:p w14:paraId="38E9EF2F" w14:textId="77777777" w:rsidR="00B71F41" w:rsidRPr="00CA0C18" w:rsidRDefault="00B71F41" w:rsidP="005B4D64">
            <w:pPr>
              <w:spacing w:after="0" w:line="240" w:lineRule="auto"/>
              <w:jc w:val="both"/>
              <w:rPr>
                <w:rFonts w:ascii="Verdana" w:hAnsi="Verdana" w:cs="Arial"/>
                <w:sz w:val="16"/>
                <w:szCs w:val="16"/>
              </w:rPr>
            </w:pPr>
            <w:r w:rsidRPr="00CA0C18">
              <w:rPr>
                <w:rFonts w:ascii="Verdana" w:hAnsi="Verdana" w:cs="Arial"/>
                <w:sz w:val="16"/>
                <w:szCs w:val="16"/>
              </w:rPr>
              <w:t>Subdirectora de Gestión Contractual ANCP – CCE</w:t>
            </w:r>
          </w:p>
        </w:tc>
      </w:tr>
      <w:bookmarkEnd w:id="0"/>
    </w:tbl>
    <w:p w14:paraId="0F293BF4" w14:textId="7BBFAB11" w:rsidR="00127233" w:rsidRPr="00CA0C18" w:rsidRDefault="00127233" w:rsidP="00B71F41">
      <w:pPr>
        <w:rPr>
          <w:rFonts w:ascii="Verdana" w:hAnsi="Verdana"/>
        </w:rPr>
      </w:pPr>
    </w:p>
    <w:sectPr w:rsidR="00127233" w:rsidRPr="00CA0C18" w:rsidSect="005504D7">
      <w:headerReference w:type="default" r:id="rId21"/>
      <w:footerReference w:type="default" r:id="rId22"/>
      <w:pgSz w:w="12240" w:h="15840" w:code="1"/>
      <w:pgMar w:top="1417" w:right="2175"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5601" w14:textId="77777777" w:rsidR="00C52F58" w:rsidRDefault="00C52F58" w:rsidP="004A1847">
      <w:pPr>
        <w:spacing w:after="0" w:line="240" w:lineRule="auto"/>
      </w:pPr>
      <w:r>
        <w:separator/>
      </w:r>
    </w:p>
  </w:endnote>
  <w:endnote w:type="continuationSeparator" w:id="0">
    <w:p w14:paraId="7FBB24BE" w14:textId="77777777" w:rsidR="00C52F58" w:rsidRDefault="00C52F58" w:rsidP="004A1847">
      <w:pPr>
        <w:spacing w:after="0" w:line="240" w:lineRule="auto"/>
      </w:pPr>
      <w:r>
        <w:continuationSeparator/>
      </w:r>
    </w:p>
  </w:endnote>
  <w:endnote w:type="continuationNotice" w:id="1">
    <w:p w14:paraId="6E8ED39C" w14:textId="77777777" w:rsidR="00C52F58" w:rsidRDefault="00C52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DC5D" w14:textId="77777777" w:rsidR="00C52F58" w:rsidRDefault="00C52F58" w:rsidP="004A1847">
      <w:pPr>
        <w:spacing w:after="0" w:line="240" w:lineRule="auto"/>
      </w:pPr>
      <w:r>
        <w:separator/>
      </w:r>
    </w:p>
  </w:footnote>
  <w:footnote w:type="continuationSeparator" w:id="0">
    <w:p w14:paraId="16F4DF91" w14:textId="77777777" w:rsidR="00C52F58" w:rsidRDefault="00C52F58" w:rsidP="004A1847">
      <w:pPr>
        <w:spacing w:after="0" w:line="240" w:lineRule="auto"/>
      </w:pPr>
      <w:r>
        <w:continuationSeparator/>
      </w:r>
    </w:p>
  </w:footnote>
  <w:footnote w:type="continuationNotice" w:id="1">
    <w:p w14:paraId="470D45F4" w14:textId="77777777" w:rsidR="00C52F58" w:rsidRDefault="00C52F58">
      <w:pPr>
        <w:spacing w:after="0" w:line="240" w:lineRule="auto"/>
      </w:pPr>
    </w:p>
  </w:footnote>
  <w:footnote w:id="2">
    <w:p w14:paraId="5063C782" w14:textId="77777777" w:rsidR="00B71F41" w:rsidRPr="00977520" w:rsidRDefault="00B71F41" w:rsidP="00B71F41">
      <w:pPr>
        <w:pStyle w:val="Textonotapie"/>
        <w:ind w:firstLine="708"/>
        <w:rPr>
          <w:rFonts w:ascii="Verdana" w:hAnsi="Verdana"/>
          <w:lang w:val="es-ES"/>
        </w:rPr>
      </w:pPr>
      <w:r w:rsidRPr="00977520">
        <w:rPr>
          <w:rStyle w:val="Refdenotaalpie"/>
          <w:rFonts w:ascii="Verdana" w:hAnsi="Verdana"/>
        </w:rPr>
        <w:footnoteRef/>
      </w:r>
      <w:r w:rsidRPr="00977520">
        <w:rPr>
          <w:rFonts w:ascii="Verdana" w:hAnsi="Verdana"/>
        </w:rPr>
        <w:t xml:space="preserve"> </w:t>
      </w:r>
      <w:r w:rsidRPr="00977520">
        <w:rPr>
          <w:rFonts w:ascii="Verdana" w:eastAsia="Calibri" w:hAnsi="Verdana" w:cs="Arial"/>
          <w:sz w:val="16"/>
          <w:lang w:val="es-ES"/>
        </w:rPr>
        <w:t xml:space="preserve">Ley 1116 de 2006, Artículo 1. </w:t>
      </w:r>
    </w:p>
  </w:footnote>
  <w:footnote w:id="3">
    <w:p w14:paraId="1EE9AAA2" w14:textId="77777777" w:rsidR="00B71F41" w:rsidRPr="00977520" w:rsidRDefault="00B71F41" w:rsidP="00B71F41">
      <w:pPr>
        <w:pStyle w:val="Textonotapie"/>
        <w:ind w:firstLine="708"/>
        <w:rPr>
          <w:rFonts w:ascii="Verdana" w:hAnsi="Verdana"/>
        </w:rPr>
      </w:pPr>
    </w:p>
    <w:p w14:paraId="0543CB9E" w14:textId="77777777" w:rsidR="00B71F41" w:rsidRPr="00977520" w:rsidRDefault="00B71F41" w:rsidP="00B71F41">
      <w:pPr>
        <w:pStyle w:val="Textonotapie"/>
        <w:ind w:firstLine="708"/>
        <w:rPr>
          <w:rFonts w:ascii="Verdana" w:hAnsi="Verdana"/>
          <w:lang w:val="es-ES"/>
        </w:rPr>
      </w:pPr>
      <w:r w:rsidRPr="00977520">
        <w:rPr>
          <w:rStyle w:val="Refdenotaalpie"/>
          <w:rFonts w:ascii="Verdana" w:hAnsi="Verdana"/>
        </w:rPr>
        <w:footnoteRef/>
      </w:r>
      <w:r w:rsidRPr="00977520">
        <w:rPr>
          <w:rFonts w:ascii="Verdana" w:hAnsi="Verdana"/>
        </w:rPr>
        <w:t xml:space="preserve"> </w:t>
      </w:r>
      <w:r w:rsidRPr="00977520">
        <w:rPr>
          <w:rFonts w:ascii="Verdana" w:eastAsia="Calibri" w:hAnsi="Verdana" w:cs="Arial"/>
          <w:sz w:val="16"/>
          <w:lang w:val="es-ES"/>
        </w:rPr>
        <w:t>Ley 1116 de 2006, Artículo 21.</w:t>
      </w:r>
    </w:p>
    <w:p w14:paraId="14E719CF" w14:textId="77777777" w:rsidR="00B71F41" w:rsidRPr="00977520" w:rsidRDefault="00B71F41" w:rsidP="00B71F41">
      <w:pPr>
        <w:pStyle w:val="Textonotapie"/>
        <w:ind w:firstLine="708"/>
        <w:rPr>
          <w:rFonts w:ascii="Verdana" w:hAnsi="Verdana"/>
          <w:lang w:val="es-ES"/>
        </w:rPr>
      </w:pPr>
    </w:p>
  </w:footnote>
  <w:footnote w:id="4">
    <w:p w14:paraId="25AD729B" w14:textId="5F38C63C" w:rsidR="00B71F41" w:rsidRPr="00977520" w:rsidRDefault="00B71F41" w:rsidP="00B71F41">
      <w:pPr>
        <w:pStyle w:val="Textonotapie"/>
        <w:ind w:firstLine="708"/>
        <w:rPr>
          <w:rFonts w:ascii="Verdana" w:hAnsi="Verdana"/>
        </w:rPr>
      </w:pPr>
      <w:r w:rsidRPr="00977520">
        <w:rPr>
          <w:rStyle w:val="Refdenotaalpie"/>
          <w:rFonts w:ascii="Verdana" w:hAnsi="Verdana"/>
        </w:rPr>
        <w:footnoteRef/>
      </w:r>
      <w:r w:rsidRPr="00837B99">
        <w:rPr>
          <w:rFonts w:ascii="Verdana" w:hAnsi="Verdana"/>
          <w:sz w:val="16"/>
          <w:szCs w:val="16"/>
        </w:rPr>
        <w:t xml:space="preserve"> </w:t>
      </w:r>
      <w:r>
        <w:rPr>
          <w:rFonts w:ascii="Verdana" w:hAnsi="Verdana"/>
          <w:sz w:val="16"/>
          <w:szCs w:val="16"/>
        </w:rPr>
        <w:t>La cual puede ser consultada en el siguiente link:</w:t>
      </w:r>
      <w:r w:rsidRPr="00837B99">
        <w:rPr>
          <w:rFonts w:ascii="Verdana" w:hAnsi="Verdana"/>
          <w:sz w:val="16"/>
          <w:szCs w:val="16"/>
        </w:rPr>
        <w:t xml:space="preserve"> </w:t>
      </w:r>
      <w:hyperlink r:id="rId1" w:history="1">
        <w:r w:rsidRPr="00837B99">
          <w:rPr>
            <w:rStyle w:val="Hipervnculo"/>
            <w:rFonts w:ascii="Verdana" w:hAnsi="Verdana"/>
            <w:sz w:val="16"/>
            <w:szCs w:val="16"/>
          </w:rPr>
          <w:t>https://www.colombiacompra.gov.co/sites/cce_public/files/cce_documents/cce_guia_asuntos_corporativos.pdf</w:t>
        </w:r>
      </w:hyperlink>
    </w:p>
  </w:footnote>
  <w:footnote w:id="5">
    <w:p w14:paraId="0A127A8E" w14:textId="77777777" w:rsidR="00B71F41" w:rsidRPr="00977520" w:rsidRDefault="00B71F41" w:rsidP="00B71F41">
      <w:pPr>
        <w:pStyle w:val="Textonotapie"/>
        <w:ind w:firstLine="708"/>
        <w:rPr>
          <w:rFonts w:ascii="Verdana" w:hAnsi="Verdana"/>
          <w:sz w:val="16"/>
          <w:szCs w:val="16"/>
        </w:rPr>
      </w:pPr>
      <w:r w:rsidRPr="00977520">
        <w:rPr>
          <w:rStyle w:val="Refdenotaalpie"/>
          <w:rFonts w:ascii="Verdana" w:hAnsi="Verdana"/>
        </w:rPr>
        <w:footnoteRef/>
      </w:r>
      <w:r w:rsidRPr="00977520">
        <w:rPr>
          <w:rFonts w:ascii="Verdana" w:hAnsi="Verdana"/>
        </w:rPr>
        <w:t xml:space="preserve"> </w:t>
      </w:r>
      <w:r w:rsidRPr="00977520">
        <w:rPr>
          <w:rFonts w:ascii="Verdana" w:hAnsi="Verdana"/>
          <w:sz w:val="16"/>
          <w:szCs w:val="16"/>
        </w:rPr>
        <w:t>Artículo 21 de la Ley 1116 de 2006.</w:t>
      </w:r>
    </w:p>
    <w:p w14:paraId="01F45B31" w14:textId="77777777" w:rsidR="00B71F41" w:rsidRPr="00977520" w:rsidRDefault="00B71F41" w:rsidP="00B71F41">
      <w:pPr>
        <w:pStyle w:val="Textonotapie"/>
        <w:ind w:firstLine="708"/>
        <w:rPr>
          <w:rFonts w:ascii="Verdana" w:hAnsi="Verdana"/>
          <w:sz w:val="16"/>
          <w:szCs w:val="16"/>
        </w:rPr>
      </w:pPr>
    </w:p>
  </w:footnote>
  <w:footnote w:id="6">
    <w:p w14:paraId="165B081C" w14:textId="77777777" w:rsidR="00B71F41" w:rsidRPr="00977520" w:rsidRDefault="00B71F41" w:rsidP="00B71F41">
      <w:pPr>
        <w:pStyle w:val="Textonotapie"/>
        <w:ind w:firstLine="708"/>
        <w:rPr>
          <w:rFonts w:ascii="Verdana" w:hAnsi="Verdana"/>
          <w:sz w:val="16"/>
          <w:szCs w:val="16"/>
        </w:rPr>
      </w:pPr>
      <w:r w:rsidRPr="00977520">
        <w:rPr>
          <w:rStyle w:val="Refdenotaalpie"/>
          <w:rFonts w:ascii="Verdana" w:hAnsi="Verdana"/>
        </w:rPr>
        <w:footnoteRef/>
      </w:r>
      <w:r w:rsidRPr="00977520">
        <w:rPr>
          <w:rFonts w:ascii="Verdana" w:hAnsi="Verdana"/>
        </w:rPr>
        <w:t xml:space="preserve"> </w:t>
      </w:r>
      <w:r w:rsidRPr="00977520">
        <w:rPr>
          <w:rFonts w:ascii="Verdana" w:hAnsi="Verdana"/>
          <w:sz w:val="16"/>
          <w:szCs w:val="16"/>
        </w:rPr>
        <w:t>Artículos 16 y 43 de la Ley 1116 de 2006.</w:t>
      </w:r>
    </w:p>
    <w:p w14:paraId="3D52D6D4" w14:textId="77777777" w:rsidR="00B71F41" w:rsidRPr="00977520" w:rsidRDefault="00B71F41" w:rsidP="00B71F41">
      <w:pPr>
        <w:pStyle w:val="Textonotapie"/>
        <w:ind w:firstLine="708"/>
        <w:rPr>
          <w:rFonts w:ascii="Verdana" w:hAnsi="Verdana"/>
        </w:rPr>
      </w:pPr>
    </w:p>
  </w:footnote>
  <w:footnote w:id="7">
    <w:p w14:paraId="2E086223" w14:textId="77777777" w:rsidR="00B71F41" w:rsidRPr="00977520" w:rsidRDefault="00B71F41" w:rsidP="00B71F41">
      <w:pPr>
        <w:pStyle w:val="Textonotapie"/>
        <w:ind w:firstLine="708"/>
        <w:rPr>
          <w:rFonts w:ascii="Verdana" w:hAnsi="Verdana"/>
          <w:sz w:val="16"/>
          <w:szCs w:val="16"/>
        </w:rPr>
      </w:pPr>
      <w:r w:rsidRPr="00977520">
        <w:rPr>
          <w:rStyle w:val="Refdenotaalpie"/>
          <w:rFonts w:ascii="Verdana" w:hAnsi="Verdana"/>
        </w:rPr>
        <w:footnoteRef/>
      </w:r>
      <w:r w:rsidRPr="00977520">
        <w:rPr>
          <w:rFonts w:ascii="Verdana" w:hAnsi="Verdana"/>
        </w:rPr>
        <w:t xml:space="preserve"> </w:t>
      </w:r>
      <w:r w:rsidRPr="00977520">
        <w:rPr>
          <w:rFonts w:ascii="Verdana" w:hAnsi="Verdana"/>
          <w:sz w:val="16"/>
          <w:szCs w:val="16"/>
        </w:rPr>
        <w:t>Artículo 50 de la Ley 1116 de 2006.</w:t>
      </w:r>
    </w:p>
    <w:p w14:paraId="12A9B614" w14:textId="77777777" w:rsidR="00B71F41" w:rsidRPr="00977520" w:rsidRDefault="00B71F41" w:rsidP="00B71F41">
      <w:pPr>
        <w:pStyle w:val="Textonotapie"/>
        <w:ind w:firstLine="708"/>
        <w:rPr>
          <w:rFonts w:ascii="Verdana" w:hAnsi="Verdana"/>
        </w:rPr>
      </w:pPr>
    </w:p>
  </w:footnote>
  <w:footnote w:id="8">
    <w:p w14:paraId="13BADD2F" w14:textId="77777777" w:rsidR="00B71F41" w:rsidRPr="00977520" w:rsidRDefault="00B71F41" w:rsidP="00B71F41">
      <w:pPr>
        <w:pStyle w:val="Textonotapie"/>
        <w:ind w:firstLine="708"/>
        <w:jc w:val="both"/>
        <w:rPr>
          <w:rFonts w:ascii="Verdana" w:hAnsi="Verdana"/>
        </w:rPr>
      </w:pPr>
      <w:r w:rsidRPr="00977520">
        <w:rPr>
          <w:rStyle w:val="Refdenotaalpie"/>
          <w:rFonts w:ascii="Verdana" w:hAnsi="Verdana"/>
        </w:rPr>
        <w:footnoteRef/>
      </w:r>
      <w:r w:rsidRPr="00977520">
        <w:rPr>
          <w:rFonts w:ascii="Verdana" w:hAnsi="Verdana"/>
        </w:rPr>
        <w:t xml:space="preserve"> </w:t>
      </w:r>
      <w:r w:rsidRPr="00977520">
        <w:rPr>
          <w:rFonts w:ascii="Verdana" w:hAnsi="Verdana"/>
          <w:sz w:val="16"/>
          <w:szCs w:val="16"/>
        </w:rPr>
        <w:t>Artículo 6o. de la capacidad para contratar. Pueden celebrar contratos con las entidades estatales las personas consideradas legalmente capaces en las disposiciones vigentes.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44588857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826806088" name="Imagen 82680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F76280"/>
    <w:multiLevelType w:val="multilevel"/>
    <w:tmpl w:val="35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8112B"/>
    <w:multiLevelType w:val="hybridMultilevel"/>
    <w:tmpl w:val="8348E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66A89"/>
    <w:multiLevelType w:val="hybridMultilevel"/>
    <w:tmpl w:val="8736C4A8"/>
    <w:lvl w:ilvl="0" w:tplc="697060F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5CAE4994"/>
    <w:multiLevelType w:val="hybridMultilevel"/>
    <w:tmpl w:val="F7B69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82F2AB5"/>
    <w:multiLevelType w:val="hybridMultilevel"/>
    <w:tmpl w:val="4D0880A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8"/>
  </w:num>
  <w:num w:numId="8">
    <w:abstractNumId w:val="17"/>
  </w:num>
  <w:num w:numId="9">
    <w:abstractNumId w:val="10"/>
  </w:num>
  <w:num w:numId="10">
    <w:abstractNumId w:val="16"/>
  </w:num>
  <w:num w:numId="11">
    <w:abstractNumId w:val="11"/>
  </w:num>
  <w:num w:numId="12">
    <w:abstractNumId w:val="1"/>
  </w:num>
  <w:num w:numId="13">
    <w:abstractNumId w:val="5"/>
  </w:num>
  <w:num w:numId="14">
    <w:abstractNumId w:val="19"/>
  </w:num>
  <w:num w:numId="15">
    <w:abstractNumId w:val="14"/>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12"/>
  </w:num>
  <w:num w:numId="20">
    <w:abstractNumId w:val="3"/>
  </w:num>
  <w:num w:numId="21">
    <w:abstractNumId w:val="15"/>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BC"/>
    <w:rsid w:val="00014ECE"/>
    <w:rsid w:val="00061211"/>
    <w:rsid w:val="00061B2A"/>
    <w:rsid w:val="00067530"/>
    <w:rsid w:val="00081EA2"/>
    <w:rsid w:val="00082362"/>
    <w:rsid w:val="000969CF"/>
    <w:rsid w:val="000A683E"/>
    <w:rsid w:val="000B19B9"/>
    <w:rsid w:val="000C79A3"/>
    <w:rsid w:val="000D0334"/>
    <w:rsid w:val="000E1144"/>
    <w:rsid w:val="000F6486"/>
    <w:rsid w:val="00100251"/>
    <w:rsid w:val="00125105"/>
    <w:rsid w:val="00127233"/>
    <w:rsid w:val="0015616F"/>
    <w:rsid w:val="00160A27"/>
    <w:rsid w:val="0016729C"/>
    <w:rsid w:val="001A52CF"/>
    <w:rsid w:val="001E2C43"/>
    <w:rsid w:val="001E4177"/>
    <w:rsid w:val="001F7DC6"/>
    <w:rsid w:val="00223436"/>
    <w:rsid w:val="00225DC3"/>
    <w:rsid w:val="00227DD9"/>
    <w:rsid w:val="002421BB"/>
    <w:rsid w:val="0025796E"/>
    <w:rsid w:val="002707A2"/>
    <w:rsid w:val="002951A0"/>
    <w:rsid w:val="002962BC"/>
    <w:rsid w:val="00297C8D"/>
    <w:rsid w:val="002A093D"/>
    <w:rsid w:val="002A0DD0"/>
    <w:rsid w:val="002A49AC"/>
    <w:rsid w:val="002A64FD"/>
    <w:rsid w:val="002C33BC"/>
    <w:rsid w:val="002C7A84"/>
    <w:rsid w:val="002D39C1"/>
    <w:rsid w:val="002E4FD9"/>
    <w:rsid w:val="00312C6F"/>
    <w:rsid w:val="00322A85"/>
    <w:rsid w:val="00324168"/>
    <w:rsid w:val="003448F4"/>
    <w:rsid w:val="00362152"/>
    <w:rsid w:val="00367B67"/>
    <w:rsid w:val="00374F5E"/>
    <w:rsid w:val="00377E3E"/>
    <w:rsid w:val="003934ED"/>
    <w:rsid w:val="003A26D1"/>
    <w:rsid w:val="003A779E"/>
    <w:rsid w:val="003B44F0"/>
    <w:rsid w:val="003D0F4D"/>
    <w:rsid w:val="003D20A0"/>
    <w:rsid w:val="003D5B0D"/>
    <w:rsid w:val="003D628A"/>
    <w:rsid w:val="003E0499"/>
    <w:rsid w:val="003F3941"/>
    <w:rsid w:val="00406575"/>
    <w:rsid w:val="0042722E"/>
    <w:rsid w:val="0044528D"/>
    <w:rsid w:val="004528CC"/>
    <w:rsid w:val="004A1847"/>
    <w:rsid w:val="004A305D"/>
    <w:rsid w:val="004D73B4"/>
    <w:rsid w:val="004F21C4"/>
    <w:rsid w:val="004F685F"/>
    <w:rsid w:val="004F6965"/>
    <w:rsid w:val="00510FB3"/>
    <w:rsid w:val="00517076"/>
    <w:rsid w:val="00527235"/>
    <w:rsid w:val="00530215"/>
    <w:rsid w:val="005504D7"/>
    <w:rsid w:val="005566E8"/>
    <w:rsid w:val="005713DE"/>
    <w:rsid w:val="00574867"/>
    <w:rsid w:val="00591460"/>
    <w:rsid w:val="00592628"/>
    <w:rsid w:val="005B2904"/>
    <w:rsid w:val="005C3777"/>
    <w:rsid w:val="005C5CDC"/>
    <w:rsid w:val="005D1397"/>
    <w:rsid w:val="005D3B7B"/>
    <w:rsid w:val="005D476C"/>
    <w:rsid w:val="005D4A37"/>
    <w:rsid w:val="00610812"/>
    <w:rsid w:val="006219F8"/>
    <w:rsid w:val="006426F8"/>
    <w:rsid w:val="00650FF7"/>
    <w:rsid w:val="00661193"/>
    <w:rsid w:val="00665D70"/>
    <w:rsid w:val="00671DAC"/>
    <w:rsid w:val="006900D9"/>
    <w:rsid w:val="006B1DB2"/>
    <w:rsid w:val="006D12F8"/>
    <w:rsid w:val="00706C16"/>
    <w:rsid w:val="00710CA7"/>
    <w:rsid w:val="0072767E"/>
    <w:rsid w:val="00756841"/>
    <w:rsid w:val="007649AB"/>
    <w:rsid w:val="00771D0C"/>
    <w:rsid w:val="0077232A"/>
    <w:rsid w:val="007833AC"/>
    <w:rsid w:val="00790BDE"/>
    <w:rsid w:val="007A2569"/>
    <w:rsid w:val="007A7089"/>
    <w:rsid w:val="007B268C"/>
    <w:rsid w:val="007B7171"/>
    <w:rsid w:val="007C0C0F"/>
    <w:rsid w:val="007C3DC2"/>
    <w:rsid w:val="007C6E3C"/>
    <w:rsid w:val="007D4CE1"/>
    <w:rsid w:val="007E5497"/>
    <w:rsid w:val="00801C70"/>
    <w:rsid w:val="00806F5F"/>
    <w:rsid w:val="008126F6"/>
    <w:rsid w:val="00820278"/>
    <w:rsid w:val="00822B13"/>
    <w:rsid w:val="008347A2"/>
    <w:rsid w:val="00837B99"/>
    <w:rsid w:val="008843B6"/>
    <w:rsid w:val="00891928"/>
    <w:rsid w:val="008A446D"/>
    <w:rsid w:val="008A6B11"/>
    <w:rsid w:val="008B3104"/>
    <w:rsid w:val="008B773B"/>
    <w:rsid w:val="008D180B"/>
    <w:rsid w:val="008F0EA7"/>
    <w:rsid w:val="00923EEF"/>
    <w:rsid w:val="00931297"/>
    <w:rsid w:val="009419F9"/>
    <w:rsid w:val="0095685E"/>
    <w:rsid w:val="00961B09"/>
    <w:rsid w:val="00965334"/>
    <w:rsid w:val="00965E60"/>
    <w:rsid w:val="0097093E"/>
    <w:rsid w:val="00977520"/>
    <w:rsid w:val="00987763"/>
    <w:rsid w:val="009A0DFA"/>
    <w:rsid w:val="009B2D26"/>
    <w:rsid w:val="009C71FA"/>
    <w:rsid w:val="009C72E7"/>
    <w:rsid w:val="009D3058"/>
    <w:rsid w:val="009F3A13"/>
    <w:rsid w:val="00A00A6B"/>
    <w:rsid w:val="00A04994"/>
    <w:rsid w:val="00A04D29"/>
    <w:rsid w:val="00A122D3"/>
    <w:rsid w:val="00A13117"/>
    <w:rsid w:val="00A17F13"/>
    <w:rsid w:val="00A20739"/>
    <w:rsid w:val="00A23A54"/>
    <w:rsid w:val="00A33C78"/>
    <w:rsid w:val="00A402CE"/>
    <w:rsid w:val="00A40A8B"/>
    <w:rsid w:val="00A75470"/>
    <w:rsid w:val="00A87744"/>
    <w:rsid w:val="00AA0D5B"/>
    <w:rsid w:val="00AB0ADB"/>
    <w:rsid w:val="00AB0EAB"/>
    <w:rsid w:val="00AC1B0B"/>
    <w:rsid w:val="00AF265F"/>
    <w:rsid w:val="00B01B1A"/>
    <w:rsid w:val="00B307A2"/>
    <w:rsid w:val="00B33998"/>
    <w:rsid w:val="00B34952"/>
    <w:rsid w:val="00B71F41"/>
    <w:rsid w:val="00B72CD3"/>
    <w:rsid w:val="00B72FFF"/>
    <w:rsid w:val="00B90630"/>
    <w:rsid w:val="00BB6E27"/>
    <w:rsid w:val="00BC3D36"/>
    <w:rsid w:val="00BD24EE"/>
    <w:rsid w:val="00BD7F72"/>
    <w:rsid w:val="00BF15AA"/>
    <w:rsid w:val="00C03878"/>
    <w:rsid w:val="00C04FB3"/>
    <w:rsid w:val="00C301CC"/>
    <w:rsid w:val="00C330EB"/>
    <w:rsid w:val="00C52F58"/>
    <w:rsid w:val="00C754BE"/>
    <w:rsid w:val="00C76B1C"/>
    <w:rsid w:val="00CA0C18"/>
    <w:rsid w:val="00CA391A"/>
    <w:rsid w:val="00CB6357"/>
    <w:rsid w:val="00CC0A45"/>
    <w:rsid w:val="00CC1B26"/>
    <w:rsid w:val="00CD38BC"/>
    <w:rsid w:val="00CE27EA"/>
    <w:rsid w:val="00D423A2"/>
    <w:rsid w:val="00D520D8"/>
    <w:rsid w:val="00D57B9B"/>
    <w:rsid w:val="00D63AC2"/>
    <w:rsid w:val="00D703F9"/>
    <w:rsid w:val="00D7383B"/>
    <w:rsid w:val="00DA231B"/>
    <w:rsid w:val="00DA23A0"/>
    <w:rsid w:val="00DC21AA"/>
    <w:rsid w:val="00DC39FC"/>
    <w:rsid w:val="00DF5254"/>
    <w:rsid w:val="00E16408"/>
    <w:rsid w:val="00E20894"/>
    <w:rsid w:val="00E245AB"/>
    <w:rsid w:val="00E2764C"/>
    <w:rsid w:val="00E27F2E"/>
    <w:rsid w:val="00E413EA"/>
    <w:rsid w:val="00E43E13"/>
    <w:rsid w:val="00E50AFE"/>
    <w:rsid w:val="00E756D0"/>
    <w:rsid w:val="00E75C92"/>
    <w:rsid w:val="00E771DC"/>
    <w:rsid w:val="00E8772A"/>
    <w:rsid w:val="00E90F6B"/>
    <w:rsid w:val="00E92C27"/>
    <w:rsid w:val="00EA0E3D"/>
    <w:rsid w:val="00EB308C"/>
    <w:rsid w:val="00EC38A7"/>
    <w:rsid w:val="00ED004D"/>
    <w:rsid w:val="00ED2E30"/>
    <w:rsid w:val="00EE1AA8"/>
    <w:rsid w:val="00F2620B"/>
    <w:rsid w:val="00F31EDC"/>
    <w:rsid w:val="00F36F95"/>
    <w:rsid w:val="00F462B3"/>
    <w:rsid w:val="00F5664F"/>
    <w:rsid w:val="00F666C4"/>
    <w:rsid w:val="00F76AFC"/>
    <w:rsid w:val="00FA47C0"/>
    <w:rsid w:val="00FB5DD1"/>
    <w:rsid w:val="00FB6FBF"/>
    <w:rsid w:val="00FC2B5D"/>
    <w:rsid w:val="00FC54C1"/>
    <w:rsid w:val="00FF1449"/>
    <w:rsid w:val="00FF394E"/>
    <w:rsid w:val="1D5F7DAA"/>
    <w:rsid w:val="5CEADB7B"/>
    <w:rsid w:val="6203FD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F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308C"/>
    <w:rPr>
      <w:rFonts w:ascii="Geomanist Light" w:hAnsi="Geomanist Light"/>
      <w:lang w:val="es-ES"/>
    </w:rPr>
  </w:style>
  <w:style w:type="paragraph" w:customStyle="1" w:styleId="Appelnotedebasde">
    <w:name w:val="Appel note de bas de..."/>
    <w:basedOn w:val="Normal"/>
    <w:link w:val="Refdenotaalpie"/>
    <w:uiPriority w:val="99"/>
    <w:rsid w:val="00EB308C"/>
    <w:pPr>
      <w:spacing w:line="240" w:lineRule="exact"/>
    </w:pPr>
    <w:rPr>
      <w:vertAlign w:val="superscript"/>
    </w:rPr>
  </w:style>
  <w:style w:type="character" w:styleId="Refdecomentario">
    <w:name w:val="annotation reference"/>
    <w:basedOn w:val="Fuentedeprrafopredeter"/>
    <w:uiPriority w:val="99"/>
    <w:semiHidden/>
    <w:unhideWhenUsed/>
    <w:rsid w:val="00B71F41"/>
    <w:rPr>
      <w:sz w:val="16"/>
      <w:szCs w:val="16"/>
    </w:rPr>
  </w:style>
  <w:style w:type="paragraph" w:styleId="Textocomentario">
    <w:name w:val="annotation text"/>
    <w:basedOn w:val="Normal"/>
    <w:link w:val="TextocomentarioCar"/>
    <w:uiPriority w:val="99"/>
    <w:semiHidden/>
    <w:unhideWhenUsed/>
    <w:rsid w:val="00B71F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1F41"/>
    <w:rPr>
      <w:sz w:val="20"/>
      <w:szCs w:val="20"/>
    </w:rPr>
  </w:style>
  <w:style w:type="paragraph" w:styleId="Textodeglobo">
    <w:name w:val="Balloon Text"/>
    <w:basedOn w:val="Normal"/>
    <w:link w:val="TextodegloboCar"/>
    <w:uiPriority w:val="99"/>
    <w:semiHidden/>
    <w:unhideWhenUsed/>
    <w:rsid w:val="00B71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406">
      <w:bodyDiv w:val="1"/>
      <w:marLeft w:val="0"/>
      <w:marRight w:val="0"/>
      <w:marTop w:val="0"/>
      <w:marBottom w:val="0"/>
      <w:divBdr>
        <w:top w:val="none" w:sz="0" w:space="0" w:color="auto"/>
        <w:left w:val="none" w:sz="0" w:space="0" w:color="auto"/>
        <w:bottom w:val="none" w:sz="0" w:space="0" w:color="auto"/>
        <w:right w:val="none" w:sz="0" w:space="0" w:color="auto"/>
      </w:divBdr>
      <w:divsChild>
        <w:div w:id="450707628">
          <w:marLeft w:val="0"/>
          <w:marRight w:val="0"/>
          <w:marTop w:val="0"/>
          <w:marBottom w:val="120"/>
          <w:divBdr>
            <w:top w:val="none" w:sz="0" w:space="0" w:color="auto"/>
            <w:left w:val="none" w:sz="0" w:space="0" w:color="auto"/>
            <w:bottom w:val="none" w:sz="0" w:space="0" w:color="auto"/>
            <w:right w:val="none" w:sz="0" w:space="0" w:color="auto"/>
          </w:divBdr>
        </w:div>
        <w:div w:id="1180657020">
          <w:marLeft w:val="0"/>
          <w:marRight w:val="0"/>
          <w:marTop w:val="0"/>
          <w:marBottom w:val="120"/>
          <w:divBdr>
            <w:top w:val="none" w:sz="0" w:space="0" w:color="auto"/>
            <w:left w:val="none" w:sz="0" w:space="0" w:color="auto"/>
            <w:bottom w:val="none" w:sz="0" w:space="0" w:color="auto"/>
            <w:right w:val="none" w:sz="0" w:space="0" w:color="auto"/>
          </w:divBdr>
        </w:div>
        <w:div w:id="1700621315">
          <w:marLeft w:val="0"/>
          <w:marRight w:val="0"/>
          <w:marTop w:val="0"/>
          <w:marBottom w:val="120"/>
          <w:divBdr>
            <w:top w:val="none" w:sz="0" w:space="0" w:color="auto"/>
            <w:left w:val="none" w:sz="0" w:space="0" w:color="auto"/>
            <w:bottom w:val="none" w:sz="0" w:space="0" w:color="auto"/>
            <w:right w:val="none" w:sz="0" w:space="0" w:color="auto"/>
          </w:divBdr>
        </w:div>
        <w:div w:id="1717269529">
          <w:marLeft w:val="0"/>
          <w:marRight w:val="0"/>
          <w:marTop w:val="0"/>
          <w:marBottom w:val="12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3391015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sucop.gov.co/entidades/colombiacompra/Normativa?IDNorma=1736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dwyngk@hotmail.com" TargetMode="External"/><Relationship Id="rId17" Type="http://schemas.openxmlformats.org/officeDocument/2006/relationships/hyperlink" Target="https://nam02.safelinks.protection.outlook.com/?url=https%3A%2F%2Fwww.colombiacompra.gov.co%2Fsites%2Fcce_public%2Ffiles%2Ffiles_2020%2Fboletin_de_realtoria_iii.pdf&amp;data=05%7C02%7Calejandro.sarmiento%40colombiacompra.gov.co%7C992f1c9609394a8da8fe08dcc1676546%7C7b09041e245149d08cb179d5e3d8c1be%7C0%7C0%7C638597897037980144%7CUnknown%7CTWFpbGZsb3d8eyJWIjoiMC4wLjAwMDAiLCJQIjoiV2luMzIiLCJBTiI6Ik1haWwiLCJXVCI6Mn0%3D%7C0%7C%7C%7C&amp;sdata=zmwE0pC9EMKgoLR223JSTOgy8SOuAWIn7%2BB%2BWxC8tVw%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lombiacompra.gov.co/sites/cce_public/files/cce_documents/cce_guia_asuntos_corporativo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content%2Fconvocatorias&amp;data=05%7C02%7Calejandro.sarmiento%40colombiacompra.gov.co%7C992f1c9609394a8da8fe08dcc1676546%7C7b09041e245149d08cb179d5e3d8c1be%7C0%7C0%7C638597897038014955%7CUnknown%7CTWFpbGZsb3d8eyJWIjoiMC4wLjAwMDAiLCJQIjoiV2luMzIiLCJBTiI6Ik1haWwiLCJXVCI6Mn0%3D%7C0%7C%7C%7C&amp;sdata=Pj5xvxGhbJ3hq4nnwx8SuYfmT4FIZYQXqTnomkyVEm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67420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asuntos_corporativ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4787-513B-4207-9659-4074A1D9BDEB}"/>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CF2E7A4F-1B63-4DEA-8D39-ABC278C0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2487</Words>
  <Characters>13681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2024-08-26T19:22:00Z</dcterms:created>
  <dcterms:modified xsi:type="dcterms:W3CDTF">2024-08-26T19:47:00Z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