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8BBD6" w14:textId="58964DC1" w:rsidR="00E47B08" w:rsidRPr="00E47B08" w:rsidRDefault="00E47B08" w:rsidP="00F5053E">
      <w:pPr>
        <w:spacing w:after="0" w:line="240" w:lineRule="auto"/>
        <w:rPr>
          <w:rFonts w:ascii="Verdana" w:hAnsi="Verdana"/>
          <w:b/>
          <w:bCs/>
        </w:rPr>
      </w:pPr>
      <w:bookmarkStart w:id="0" w:name="_Hlk175055027"/>
      <w:r w:rsidRPr="00E47B08">
        <w:rPr>
          <w:rFonts w:ascii="Verdana" w:hAnsi="Verdana"/>
          <w:b/>
          <w:bCs/>
        </w:rPr>
        <w:t>DOCUMENTOS TIPO – Requisitos habilitantes – Principio de Autonomía de la Entidad</w:t>
      </w:r>
    </w:p>
    <w:p w14:paraId="088D7B43" w14:textId="77777777" w:rsidR="00E47B08" w:rsidRDefault="00E47B08" w:rsidP="00F5053E">
      <w:pPr>
        <w:spacing w:after="0" w:line="240" w:lineRule="auto"/>
        <w:rPr>
          <w:rFonts w:ascii="Verdana" w:hAnsi="Verdana"/>
        </w:rPr>
      </w:pPr>
    </w:p>
    <w:p w14:paraId="217828A1" w14:textId="77777777" w:rsidR="00E47B08" w:rsidRDefault="00E47B08" w:rsidP="00F5053E">
      <w:pPr>
        <w:spacing w:after="0" w:line="240" w:lineRule="auto"/>
        <w:rPr>
          <w:rFonts w:ascii="Verdana" w:hAnsi="Verdana"/>
        </w:rPr>
      </w:pPr>
    </w:p>
    <w:p w14:paraId="349C5FEC" w14:textId="40FF860E" w:rsidR="00E47B08" w:rsidRPr="00E47B08" w:rsidRDefault="00E47B08" w:rsidP="00E47B08">
      <w:pPr>
        <w:spacing w:line="240" w:lineRule="auto"/>
        <w:jc w:val="both"/>
        <w:rPr>
          <w:rFonts w:ascii="Verdana" w:hAnsi="Verdana"/>
          <w:sz w:val="20"/>
          <w:szCs w:val="20"/>
        </w:rPr>
      </w:pPr>
      <w:r w:rsidRPr="00E47B08">
        <w:rPr>
          <w:rFonts w:ascii="Verdana" w:hAnsi="Verdana"/>
          <w:sz w:val="20"/>
          <w:szCs w:val="20"/>
        </w:rPr>
        <w:t>El inciso 3° del artículo 40 de la Ley 80 de 1993, señala que las entidades podrán incluir las modalidades, condiciones y en general, las cláusulas o estipulaciones que las partes consideren necesarias y convenientes, siempre que no sean contrarias a la Constitución y la ley, al orden público y a los principios y finalidades de la ley y a los de buena administración, En este orden de ideas, las entidades sometidas al EGCAP gozan de autonomía para configurar y para establecer el sistema de pago más apropiado para satisfacer los fines de la contratación, respetando los límites previstos en el ordenamiento jurídico.</w:t>
      </w:r>
    </w:p>
    <w:p w14:paraId="6E18C1D7" w14:textId="77777777" w:rsidR="00E47B08" w:rsidRPr="00E47B08" w:rsidRDefault="00E47B08" w:rsidP="00E47B08">
      <w:pPr>
        <w:tabs>
          <w:tab w:val="left" w:pos="142"/>
          <w:tab w:val="left" w:pos="284"/>
        </w:tabs>
        <w:spacing w:after="0" w:line="240" w:lineRule="auto"/>
        <w:jc w:val="both"/>
        <w:rPr>
          <w:rFonts w:ascii="Verdana" w:eastAsia="Century Gothic" w:hAnsi="Verdana" w:cs="Century Gothic"/>
          <w:sz w:val="20"/>
          <w:szCs w:val="20"/>
        </w:rPr>
      </w:pPr>
      <w:r w:rsidRPr="00E47B08">
        <w:rPr>
          <w:rFonts w:ascii="Verdana" w:eastAsia="Century Gothic" w:hAnsi="Verdana" w:cs="Century Gothic"/>
          <w:sz w:val="20"/>
          <w:szCs w:val="20"/>
        </w:rPr>
        <w:t>Considerando la discrecionalidad para establecer el requisito habilitante, es necesario tener en cuenta que el artículo 44 de la Ley 1437 de 2011 –aplicable en los procedimientos contractuales en virtud del artículo 77 de la Ley 80 de 1993– dispone que “En la medida en que el contenido de una decisión de carácter general o particular sea discrecional, debe ser adecuada a los fines de la norma que la autoriza, y proporcional a los hechos que le sirven de causa”. En consecuencia, para efectos de los escenarios descritos en la pregunta objeto de respuesta, la inclusión o exclusión del requisito mencionado en un proceso de contratación al que por su objeto y/o naturaleza no aplique las condiciones del pliego tipo, está unida a la carga justificativa y discrecional de la Entidad Estatal en los estudios y documentos previos del proceso de selección.</w:t>
      </w:r>
    </w:p>
    <w:p w14:paraId="4839110F" w14:textId="77777777" w:rsidR="00E47B08" w:rsidRPr="00E47B08" w:rsidRDefault="00E47B08" w:rsidP="00F5053E">
      <w:pPr>
        <w:spacing w:after="0" w:line="240" w:lineRule="auto"/>
        <w:rPr>
          <w:rFonts w:ascii="Verdana" w:eastAsia="Geomanist Light" w:hAnsi="Verdana" w:cs="Arial"/>
          <w:color w:val="000000" w:themeColor="text1"/>
          <w:lang w:val="es-ES"/>
        </w:rPr>
      </w:pPr>
    </w:p>
    <w:p w14:paraId="61280D62" w14:textId="77777777" w:rsidR="00E47B08" w:rsidRDefault="00E47B08" w:rsidP="00F5053E">
      <w:pPr>
        <w:spacing w:after="0" w:line="240" w:lineRule="auto"/>
        <w:rPr>
          <w:rFonts w:ascii="Verdana" w:eastAsia="Geomanist Light" w:hAnsi="Verdana" w:cs="Arial"/>
          <w:color w:val="000000" w:themeColor="text1"/>
          <w:lang w:val="es-MX"/>
        </w:rPr>
      </w:pPr>
    </w:p>
    <w:p w14:paraId="4E49AA97" w14:textId="77777777" w:rsidR="00E47B08" w:rsidRDefault="00E47B08" w:rsidP="00F5053E">
      <w:pPr>
        <w:spacing w:after="0" w:line="240" w:lineRule="auto"/>
        <w:rPr>
          <w:rFonts w:ascii="Verdana" w:eastAsia="Geomanist Light" w:hAnsi="Verdana" w:cs="Arial"/>
          <w:color w:val="000000" w:themeColor="text1"/>
          <w:lang w:val="es-MX"/>
        </w:rPr>
      </w:pPr>
    </w:p>
    <w:p w14:paraId="6D201795" w14:textId="77777777" w:rsidR="00E47B08" w:rsidRDefault="00E47B08" w:rsidP="00F5053E">
      <w:pPr>
        <w:spacing w:after="0" w:line="240" w:lineRule="auto"/>
        <w:rPr>
          <w:rFonts w:ascii="Verdana" w:eastAsia="Geomanist Light" w:hAnsi="Verdana" w:cs="Arial"/>
          <w:color w:val="000000" w:themeColor="text1"/>
          <w:lang w:val="es-MX"/>
        </w:rPr>
      </w:pPr>
    </w:p>
    <w:p w14:paraId="3A35C86D" w14:textId="77777777" w:rsidR="00E47B08" w:rsidRDefault="00E47B08" w:rsidP="00F5053E">
      <w:pPr>
        <w:spacing w:after="0" w:line="240" w:lineRule="auto"/>
        <w:rPr>
          <w:rFonts w:ascii="Verdana" w:eastAsia="Geomanist Light" w:hAnsi="Verdana" w:cs="Arial"/>
          <w:color w:val="000000" w:themeColor="text1"/>
          <w:lang w:val="es-MX"/>
        </w:rPr>
      </w:pPr>
    </w:p>
    <w:p w14:paraId="671B9452" w14:textId="77777777" w:rsidR="00E47B08" w:rsidRDefault="00E47B08" w:rsidP="00F5053E">
      <w:pPr>
        <w:spacing w:after="0" w:line="240" w:lineRule="auto"/>
        <w:rPr>
          <w:rFonts w:ascii="Verdana" w:eastAsia="Geomanist Light" w:hAnsi="Verdana" w:cs="Arial"/>
          <w:color w:val="000000" w:themeColor="text1"/>
          <w:lang w:val="es-MX"/>
        </w:rPr>
      </w:pPr>
    </w:p>
    <w:p w14:paraId="70D31E90" w14:textId="77777777" w:rsidR="00E47B08" w:rsidRDefault="00E47B08" w:rsidP="00F5053E">
      <w:pPr>
        <w:spacing w:after="0" w:line="240" w:lineRule="auto"/>
        <w:rPr>
          <w:rFonts w:ascii="Verdana" w:eastAsia="Geomanist Light" w:hAnsi="Verdana" w:cs="Arial"/>
          <w:color w:val="000000" w:themeColor="text1"/>
          <w:lang w:val="es-MX"/>
        </w:rPr>
      </w:pPr>
    </w:p>
    <w:p w14:paraId="6D8B2BF5" w14:textId="77777777" w:rsidR="00E47B08" w:rsidRDefault="00E47B08" w:rsidP="00F5053E">
      <w:pPr>
        <w:spacing w:after="0" w:line="240" w:lineRule="auto"/>
        <w:rPr>
          <w:rFonts w:ascii="Verdana" w:eastAsia="Geomanist Light" w:hAnsi="Verdana" w:cs="Arial"/>
          <w:color w:val="000000" w:themeColor="text1"/>
          <w:lang w:val="es-MX"/>
        </w:rPr>
      </w:pPr>
    </w:p>
    <w:p w14:paraId="2FCB699C" w14:textId="77777777" w:rsidR="00E47B08" w:rsidRDefault="00E47B08" w:rsidP="00F5053E">
      <w:pPr>
        <w:spacing w:after="0" w:line="240" w:lineRule="auto"/>
        <w:rPr>
          <w:rFonts w:ascii="Verdana" w:eastAsia="Geomanist Light" w:hAnsi="Verdana" w:cs="Arial"/>
          <w:color w:val="000000" w:themeColor="text1"/>
          <w:lang w:val="es-MX"/>
        </w:rPr>
      </w:pPr>
    </w:p>
    <w:p w14:paraId="618D5CDB" w14:textId="77777777" w:rsidR="00E47B08" w:rsidRDefault="00E47B08" w:rsidP="00F5053E">
      <w:pPr>
        <w:spacing w:after="0" w:line="240" w:lineRule="auto"/>
        <w:rPr>
          <w:rFonts w:ascii="Verdana" w:eastAsia="Geomanist Light" w:hAnsi="Verdana" w:cs="Arial"/>
          <w:color w:val="000000" w:themeColor="text1"/>
          <w:lang w:val="es-MX"/>
        </w:rPr>
      </w:pPr>
    </w:p>
    <w:p w14:paraId="5DAD76D1" w14:textId="77777777" w:rsidR="00E47B08" w:rsidRDefault="00E47B08" w:rsidP="00F5053E">
      <w:pPr>
        <w:spacing w:after="0" w:line="240" w:lineRule="auto"/>
        <w:rPr>
          <w:rFonts w:ascii="Verdana" w:eastAsia="Geomanist Light" w:hAnsi="Verdana" w:cs="Arial"/>
          <w:color w:val="000000" w:themeColor="text1"/>
          <w:lang w:val="es-MX"/>
        </w:rPr>
      </w:pPr>
    </w:p>
    <w:p w14:paraId="31B6410E" w14:textId="77777777" w:rsidR="00E47B08" w:rsidRDefault="00E47B08" w:rsidP="00F5053E">
      <w:pPr>
        <w:spacing w:after="0" w:line="240" w:lineRule="auto"/>
        <w:rPr>
          <w:rFonts w:ascii="Verdana" w:eastAsia="Geomanist Light" w:hAnsi="Verdana" w:cs="Arial"/>
          <w:color w:val="000000" w:themeColor="text1"/>
          <w:lang w:val="es-MX"/>
        </w:rPr>
      </w:pPr>
    </w:p>
    <w:p w14:paraId="3ADCFD13" w14:textId="77777777" w:rsidR="00E47B08" w:rsidRDefault="00E47B08" w:rsidP="00F5053E">
      <w:pPr>
        <w:spacing w:after="0" w:line="240" w:lineRule="auto"/>
        <w:rPr>
          <w:rFonts w:ascii="Verdana" w:eastAsia="Geomanist Light" w:hAnsi="Verdana" w:cs="Arial"/>
          <w:color w:val="000000" w:themeColor="text1"/>
          <w:lang w:val="es-MX"/>
        </w:rPr>
      </w:pPr>
    </w:p>
    <w:p w14:paraId="64BD0365" w14:textId="77777777" w:rsidR="00E47B08" w:rsidRDefault="00E47B08" w:rsidP="00F5053E">
      <w:pPr>
        <w:spacing w:after="0" w:line="240" w:lineRule="auto"/>
        <w:rPr>
          <w:rFonts w:ascii="Verdana" w:eastAsia="Geomanist Light" w:hAnsi="Verdana" w:cs="Arial"/>
          <w:color w:val="000000" w:themeColor="text1"/>
          <w:lang w:val="es-MX"/>
        </w:rPr>
      </w:pPr>
    </w:p>
    <w:p w14:paraId="7C94371A" w14:textId="77777777" w:rsidR="00E47B08" w:rsidRDefault="00E47B08" w:rsidP="00F5053E">
      <w:pPr>
        <w:spacing w:after="0" w:line="240" w:lineRule="auto"/>
        <w:rPr>
          <w:rFonts w:ascii="Verdana" w:eastAsia="Geomanist Light" w:hAnsi="Verdana" w:cs="Arial"/>
          <w:color w:val="000000" w:themeColor="text1"/>
          <w:lang w:val="es-MX"/>
        </w:rPr>
      </w:pPr>
    </w:p>
    <w:p w14:paraId="357B11EC" w14:textId="77777777" w:rsidR="00E47B08" w:rsidRDefault="00E47B08" w:rsidP="00F5053E">
      <w:pPr>
        <w:spacing w:after="0" w:line="240" w:lineRule="auto"/>
        <w:rPr>
          <w:rFonts w:ascii="Verdana" w:eastAsia="Geomanist Light" w:hAnsi="Verdana" w:cs="Arial"/>
          <w:color w:val="000000" w:themeColor="text1"/>
          <w:lang w:val="es-MX"/>
        </w:rPr>
      </w:pPr>
    </w:p>
    <w:p w14:paraId="293DECC3" w14:textId="77777777" w:rsidR="00E47B08" w:rsidRDefault="00E47B08" w:rsidP="00F5053E">
      <w:pPr>
        <w:spacing w:after="0" w:line="240" w:lineRule="auto"/>
        <w:rPr>
          <w:rFonts w:ascii="Verdana" w:eastAsia="Geomanist Light" w:hAnsi="Verdana" w:cs="Arial"/>
          <w:color w:val="000000" w:themeColor="text1"/>
          <w:lang w:val="es-MX"/>
        </w:rPr>
      </w:pPr>
    </w:p>
    <w:p w14:paraId="60F948CB" w14:textId="77777777" w:rsidR="00E47B08" w:rsidRDefault="00E47B08" w:rsidP="00F5053E">
      <w:pPr>
        <w:spacing w:after="0" w:line="240" w:lineRule="auto"/>
        <w:rPr>
          <w:rFonts w:ascii="Verdana" w:eastAsia="Geomanist Light" w:hAnsi="Verdana" w:cs="Arial"/>
          <w:color w:val="000000" w:themeColor="text1"/>
          <w:lang w:val="es-MX"/>
        </w:rPr>
      </w:pPr>
    </w:p>
    <w:p w14:paraId="4CAFFD04" w14:textId="77777777" w:rsidR="00E47B08" w:rsidRDefault="00E47B08" w:rsidP="00F5053E">
      <w:pPr>
        <w:spacing w:after="0" w:line="240" w:lineRule="auto"/>
        <w:rPr>
          <w:rFonts w:ascii="Verdana" w:eastAsia="Geomanist Light" w:hAnsi="Verdana" w:cs="Arial"/>
          <w:color w:val="000000" w:themeColor="text1"/>
          <w:lang w:val="es-MX"/>
        </w:rPr>
      </w:pPr>
    </w:p>
    <w:p w14:paraId="56484C4E" w14:textId="77777777" w:rsidR="00E47B08" w:rsidRDefault="00E47B08" w:rsidP="00F5053E">
      <w:pPr>
        <w:spacing w:after="0" w:line="240" w:lineRule="auto"/>
        <w:rPr>
          <w:rFonts w:ascii="Verdana" w:eastAsia="Geomanist Light" w:hAnsi="Verdana" w:cs="Arial"/>
          <w:color w:val="000000" w:themeColor="text1"/>
          <w:lang w:val="es-MX"/>
        </w:rPr>
      </w:pPr>
    </w:p>
    <w:p w14:paraId="697C07FA" w14:textId="77777777" w:rsidR="00E47B08" w:rsidRDefault="00E47B08" w:rsidP="00F5053E">
      <w:pPr>
        <w:spacing w:after="0" w:line="240" w:lineRule="auto"/>
        <w:rPr>
          <w:rFonts w:ascii="Verdana" w:eastAsia="Geomanist Light" w:hAnsi="Verdana" w:cs="Arial"/>
          <w:color w:val="000000" w:themeColor="text1"/>
          <w:lang w:val="es-MX"/>
        </w:rPr>
      </w:pPr>
    </w:p>
    <w:p w14:paraId="125802DF" w14:textId="77777777" w:rsidR="00E47B08" w:rsidRDefault="00E47B08" w:rsidP="00F5053E">
      <w:pPr>
        <w:spacing w:after="0" w:line="240" w:lineRule="auto"/>
        <w:rPr>
          <w:rFonts w:ascii="Verdana" w:eastAsia="Geomanist Light" w:hAnsi="Verdana" w:cs="Arial"/>
          <w:color w:val="000000" w:themeColor="text1"/>
          <w:lang w:val="es-MX"/>
        </w:rPr>
      </w:pPr>
    </w:p>
    <w:p w14:paraId="303038DF" w14:textId="77777777" w:rsidR="00E47B08" w:rsidRDefault="00E47B08" w:rsidP="00F5053E">
      <w:pPr>
        <w:spacing w:after="0" w:line="240" w:lineRule="auto"/>
        <w:rPr>
          <w:rFonts w:ascii="Verdana" w:eastAsia="Geomanist Light" w:hAnsi="Verdana" w:cs="Arial"/>
          <w:color w:val="000000" w:themeColor="text1"/>
          <w:lang w:val="es-MX"/>
        </w:rPr>
      </w:pPr>
    </w:p>
    <w:p w14:paraId="54E9C0E3" w14:textId="3B04F7F7" w:rsidR="00F5053E" w:rsidRDefault="00F5053E" w:rsidP="00F5053E">
      <w:pPr>
        <w:spacing w:after="0" w:line="240" w:lineRule="auto"/>
        <w:rPr>
          <w:rFonts w:ascii="Verdana" w:eastAsia="Geomanist Light" w:hAnsi="Verdana" w:cs="Arial"/>
          <w:color w:val="201F1E"/>
          <w:lang w:val="es-MX"/>
        </w:rPr>
      </w:pPr>
      <w:r>
        <w:rPr>
          <w:rFonts w:ascii="Verdana" w:eastAsia="Geomanist Light" w:hAnsi="Verdana" w:cs="Arial"/>
          <w:color w:val="000000" w:themeColor="text1"/>
          <w:lang w:val="es-MX"/>
        </w:rPr>
        <w:lastRenderedPageBreak/>
        <w:t>B</w:t>
      </w:r>
      <w:r w:rsidRPr="00593A5F">
        <w:rPr>
          <w:rFonts w:ascii="Verdana" w:eastAsia="Geomanist Light" w:hAnsi="Verdana" w:cs="Arial"/>
          <w:color w:val="000000" w:themeColor="text1"/>
          <w:lang w:val="es-MX"/>
        </w:rPr>
        <w:t>ogotá D.C., </w:t>
      </w:r>
      <w:r w:rsidR="00E47B08">
        <w:rPr>
          <w:rFonts w:ascii="Verdana" w:eastAsia="Geomanist Light" w:hAnsi="Verdana" w:cs="Arial"/>
          <w:color w:val="201F1E"/>
          <w:lang w:val="es-MX"/>
        </w:rPr>
        <w:t>29</w:t>
      </w:r>
      <w:r w:rsidRPr="00593A5F">
        <w:rPr>
          <w:rFonts w:ascii="Verdana" w:eastAsia="Geomanist Light" w:hAnsi="Verdana" w:cs="Arial"/>
          <w:color w:val="201F1E"/>
          <w:lang w:val="es-MX"/>
        </w:rPr>
        <w:t xml:space="preserve"> de </w:t>
      </w:r>
      <w:r w:rsidR="00E47B08">
        <w:rPr>
          <w:rFonts w:ascii="Verdana" w:eastAsia="Geomanist Light" w:hAnsi="Verdana" w:cs="Arial"/>
          <w:color w:val="201F1E"/>
          <w:lang w:val="es-MX"/>
        </w:rPr>
        <w:t>agosto</w:t>
      </w:r>
      <w:r w:rsidRPr="00593A5F">
        <w:rPr>
          <w:rFonts w:ascii="Verdana" w:eastAsia="Geomanist Light" w:hAnsi="Verdana" w:cs="Arial"/>
          <w:color w:val="201F1E"/>
          <w:lang w:val="es-MX"/>
        </w:rPr>
        <w:t xml:space="preserve"> de </w:t>
      </w:r>
      <w:r w:rsidR="00E47B08">
        <w:rPr>
          <w:rFonts w:ascii="Verdana" w:eastAsia="Geomanist Light" w:hAnsi="Verdana" w:cs="Arial"/>
          <w:color w:val="201F1E"/>
          <w:lang w:val="es-MX"/>
        </w:rPr>
        <w:t>2024</w:t>
      </w:r>
    </w:p>
    <w:p w14:paraId="2699A9D8" w14:textId="55120894" w:rsidR="00F5053E" w:rsidRPr="00AA1286" w:rsidRDefault="00E47B08" w:rsidP="00F5053E">
      <w:pPr>
        <w:spacing w:after="0" w:line="240" w:lineRule="auto"/>
        <w:rPr>
          <w:rFonts w:ascii="Verdana" w:eastAsia="Geomanist Light" w:hAnsi="Verdana" w:cs="Arial"/>
          <w:color w:val="000000" w:themeColor="text1"/>
          <w:lang w:val="es-MX"/>
        </w:rPr>
      </w:pPr>
      <w:r>
        <w:rPr>
          <w:rFonts w:ascii="Verdana" w:eastAsia="Geomanist Light" w:hAnsi="Verdana" w:cs="Arial"/>
          <w:color w:val="000000" w:themeColor="text1"/>
          <w:lang w:val="es-MX"/>
        </w:rPr>
        <w:t xml:space="preserve">                                                                               </w:t>
      </w:r>
    </w:p>
    <w:p w14:paraId="3FF7115F" w14:textId="3F4B7755" w:rsidR="00E47B08" w:rsidRDefault="00E47B08" w:rsidP="00E47B08">
      <w:pPr>
        <w:spacing w:after="0" w:line="240" w:lineRule="auto"/>
        <w:ind w:right="-1085"/>
        <w:jc w:val="right"/>
        <w:rPr>
          <w:rFonts w:ascii="Verdana" w:eastAsia="Calibri" w:hAnsi="Verdana" w:cs="Arial"/>
          <w:lang w:val="es-MX" w:eastAsia="es-ES"/>
        </w:rPr>
      </w:pPr>
      <w:r w:rsidRPr="00E47B08">
        <w:rPr>
          <w:rFonts w:ascii="Verdana" w:eastAsia="Calibri" w:hAnsi="Verdana" w:cs="Arial"/>
          <w:noProof/>
          <w:lang w:val="es-MX" w:eastAsia="es-ES"/>
        </w:rPr>
        <w:drawing>
          <wp:inline distT="0" distB="0" distL="0" distR="0" wp14:anchorId="4D2DD204" wp14:editId="71DED0FF">
            <wp:extent cx="3439005" cy="1047896"/>
            <wp:effectExtent l="0" t="0" r="9525" b="0"/>
            <wp:docPr id="16919369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936904" name=""/>
                    <pic:cNvPicPr/>
                  </pic:nvPicPr>
                  <pic:blipFill>
                    <a:blip r:embed="rId11"/>
                    <a:stretch>
                      <a:fillRect/>
                    </a:stretch>
                  </pic:blipFill>
                  <pic:spPr>
                    <a:xfrm>
                      <a:off x="0" y="0"/>
                      <a:ext cx="3439005" cy="1047896"/>
                    </a:xfrm>
                    <a:prstGeom prst="rect">
                      <a:avLst/>
                    </a:prstGeom>
                  </pic:spPr>
                </pic:pic>
              </a:graphicData>
            </a:graphic>
          </wp:inline>
        </w:drawing>
      </w:r>
    </w:p>
    <w:p w14:paraId="70159417" w14:textId="71F4308A" w:rsidR="00F5053E" w:rsidRPr="00A66616" w:rsidRDefault="00F5053E" w:rsidP="00F5053E">
      <w:pPr>
        <w:spacing w:after="0" w:line="240" w:lineRule="auto"/>
        <w:jc w:val="both"/>
        <w:rPr>
          <w:rFonts w:ascii="Verdana" w:eastAsia="Calibri" w:hAnsi="Verdana" w:cs="Arial"/>
          <w:lang w:val="es-MX" w:eastAsia="es-ES"/>
        </w:rPr>
      </w:pPr>
      <w:r w:rsidRPr="00A66616">
        <w:rPr>
          <w:rFonts w:ascii="Verdana" w:eastAsia="Calibri" w:hAnsi="Verdana" w:cs="Arial"/>
          <w:lang w:val="es-MX" w:eastAsia="es-ES"/>
        </w:rPr>
        <w:t>señor(a)</w:t>
      </w:r>
      <w:r w:rsidR="00E47B08">
        <w:rPr>
          <w:rFonts w:ascii="Verdana" w:eastAsia="Calibri" w:hAnsi="Verdana" w:cs="Arial"/>
          <w:lang w:val="es-MX" w:eastAsia="es-ES"/>
        </w:rPr>
        <w:t xml:space="preserve">                                                                     </w:t>
      </w:r>
    </w:p>
    <w:p w14:paraId="06DF2148" w14:textId="5827F8FE" w:rsidR="00F5053E" w:rsidRPr="00A66616" w:rsidRDefault="00A66616" w:rsidP="00F5053E">
      <w:pPr>
        <w:spacing w:after="0" w:line="240" w:lineRule="auto"/>
        <w:rPr>
          <w:rFonts w:ascii="Verdana" w:eastAsia="Calibri" w:hAnsi="Verdana" w:cs="Arial"/>
          <w:b/>
          <w:bCs/>
          <w:lang w:val="es-MX" w:eastAsia="es-ES"/>
        </w:rPr>
      </w:pPr>
      <w:r w:rsidRPr="00A66616">
        <w:rPr>
          <w:rFonts w:ascii="Verdana" w:eastAsia="Calibri" w:hAnsi="Verdana" w:cs="Arial"/>
          <w:b/>
          <w:bCs/>
          <w:lang w:val="es-MX" w:eastAsia="es-ES"/>
        </w:rPr>
        <w:t>E</w:t>
      </w:r>
      <w:r>
        <w:rPr>
          <w:rFonts w:ascii="Verdana" w:eastAsia="Calibri" w:hAnsi="Verdana" w:cs="Arial"/>
          <w:b/>
          <w:bCs/>
          <w:lang w:val="es-MX" w:eastAsia="es-ES"/>
        </w:rPr>
        <w:t xml:space="preserve">DWIN GONZALEZ KERGUELÉN </w:t>
      </w:r>
    </w:p>
    <w:p w14:paraId="390C826D" w14:textId="0C7D76AB" w:rsidR="00F5053E" w:rsidRPr="00A66616" w:rsidRDefault="00CD516E" w:rsidP="00F5053E">
      <w:pPr>
        <w:spacing w:after="0" w:line="240" w:lineRule="auto"/>
        <w:rPr>
          <w:rFonts w:ascii="Verdana" w:eastAsia="Calibri" w:hAnsi="Verdana" w:cs="Arial"/>
          <w:u w:val="single"/>
          <w:lang w:val="es-MX" w:eastAsia="es-ES"/>
        </w:rPr>
      </w:pPr>
      <w:hyperlink r:id="rId12" w:history="1">
        <w:r w:rsidR="00A66616" w:rsidRPr="007B556D">
          <w:rPr>
            <w:rStyle w:val="Hipervnculo"/>
            <w:rFonts w:ascii="Verdana" w:hAnsi="Verdana"/>
            <w:lang w:val="es-MX"/>
          </w:rPr>
          <w:t>edwyngk@hotmail.com</w:t>
        </w:r>
      </w:hyperlink>
      <w:r w:rsidR="00A66616">
        <w:rPr>
          <w:rFonts w:ascii="Verdana" w:hAnsi="Verdana"/>
          <w:lang w:val="es-MX"/>
        </w:rPr>
        <w:t xml:space="preserve">; </w:t>
      </w:r>
      <w:r w:rsidR="00F5053E" w:rsidRPr="00A66616">
        <w:rPr>
          <w:rFonts w:ascii="Verdana" w:eastAsia="Calibri" w:hAnsi="Verdana" w:cs="Arial"/>
          <w:u w:val="single"/>
          <w:lang w:val="es-MX" w:eastAsia="es-ES"/>
        </w:rPr>
        <w:t xml:space="preserve"> </w:t>
      </w:r>
    </w:p>
    <w:p w14:paraId="2FF45D13" w14:textId="77777777" w:rsidR="00F5053E" w:rsidRPr="00593A5F" w:rsidRDefault="00F5053E" w:rsidP="00F5053E">
      <w:pPr>
        <w:spacing w:after="0" w:line="240" w:lineRule="auto"/>
        <w:rPr>
          <w:rFonts w:ascii="Verdana" w:eastAsia="Calibri" w:hAnsi="Verdana" w:cs="Arial"/>
          <w:b/>
          <w:bCs/>
          <w:color w:val="000000"/>
          <w:lang w:val="es-ES_tradnl" w:eastAsia="es-ES_tradnl"/>
        </w:rPr>
      </w:pPr>
      <w:r>
        <w:rPr>
          <w:rFonts w:ascii="Verdana" w:eastAsia="Calibri" w:hAnsi="Verdana" w:cs="Arial"/>
          <w:lang w:val="es-ES" w:eastAsia="es-ES"/>
        </w:rPr>
        <w:t>Bogotá D.C.</w:t>
      </w:r>
    </w:p>
    <w:p w14:paraId="4CA374B3" w14:textId="77777777" w:rsidR="00F5053E" w:rsidRPr="00593A5F" w:rsidRDefault="00F5053E" w:rsidP="00F5053E">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5053E" w:rsidRPr="00593A5F" w14:paraId="3D9FA340" w14:textId="77777777" w:rsidTr="00A87ED7">
        <w:trPr>
          <w:trHeight w:val="884"/>
        </w:trPr>
        <w:tc>
          <w:tcPr>
            <w:tcW w:w="2689" w:type="dxa"/>
          </w:tcPr>
          <w:p w14:paraId="35C0C5DA" w14:textId="77777777" w:rsidR="00F5053E" w:rsidRPr="005B6F15" w:rsidRDefault="00F5053E" w:rsidP="00A87ED7">
            <w:pPr>
              <w:jc w:val="both"/>
              <w:rPr>
                <w:rFonts w:ascii="Verdana" w:eastAsia="Calibri" w:hAnsi="Verdana" w:cs="Arial"/>
                <w:b/>
                <w:bCs/>
                <w:color w:val="7030A0"/>
                <w:lang w:val="es-ES_tradnl" w:eastAsia="es-ES_tradnl"/>
              </w:rPr>
            </w:pPr>
          </w:p>
        </w:tc>
        <w:tc>
          <w:tcPr>
            <w:tcW w:w="6100" w:type="dxa"/>
          </w:tcPr>
          <w:p w14:paraId="3F731955" w14:textId="62E4A4CD" w:rsidR="00F5053E" w:rsidRPr="00B123CD" w:rsidRDefault="00F5053E" w:rsidP="00A87ED7">
            <w:pPr>
              <w:jc w:val="both"/>
              <w:rPr>
                <w:rFonts w:ascii="Verdana" w:eastAsia="Calibri" w:hAnsi="Verdana" w:cs="Arial"/>
                <w:b/>
                <w:bCs/>
                <w:color w:val="7030A0"/>
                <w:lang w:val="es-ES" w:eastAsia="es-ES"/>
              </w:rPr>
            </w:pPr>
            <w:r w:rsidRPr="00B123CD">
              <w:rPr>
                <w:rFonts w:ascii="Verdana" w:eastAsia="Calibri" w:hAnsi="Verdana" w:cs="Arial"/>
                <w:b/>
                <w:bCs/>
                <w:lang w:val="es-ES" w:eastAsia="es-ES"/>
              </w:rPr>
              <w:t xml:space="preserve">Concepto C- </w:t>
            </w:r>
            <w:r w:rsidR="00A66616">
              <w:rPr>
                <w:rFonts w:ascii="Verdana" w:eastAsia="Calibri" w:hAnsi="Verdana" w:cs="Arial"/>
                <w:b/>
                <w:bCs/>
                <w:lang w:val="es-ES" w:eastAsia="es-ES"/>
              </w:rPr>
              <w:t xml:space="preserve">344 </w:t>
            </w:r>
            <w:r w:rsidRPr="00B123CD">
              <w:rPr>
                <w:rFonts w:ascii="Verdana" w:eastAsia="Calibri" w:hAnsi="Verdana" w:cs="Arial"/>
                <w:b/>
                <w:bCs/>
                <w:lang w:val="es-ES" w:eastAsia="es-ES"/>
              </w:rPr>
              <w:t>de</w:t>
            </w:r>
            <w:r w:rsidRPr="00B123CD">
              <w:rPr>
                <w:rFonts w:ascii="Verdana" w:eastAsia="Calibri" w:hAnsi="Verdana" w:cs="Arial"/>
                <w:b/>
                <w:bCs/>
                <w:color w:val="7030A0"/>
                <w:lang w:val="es-ES" w:eastAsia="es-ES"/>
              </w:rPr>
              <w:t xml:space="preserve"> </w:t>
            </w:r>
            <w:r w:rsidRPr="00B123CD">
              <w:rPr>
                <w:rFonts w:ascii="Verdana" w:eastAsia="Calibri" w:hAnsi="Verdana" w:cs="Arial"/>
                <w:b/>
                <w:bCs/>
                <w:lang w:val="es-ES" w:eastAsia="es-ES"/>
              </w:rPr>
              <w:t>2024</w:t>
            </w:r>
          </w:p>
        </w:tc>
      </w:tr>
      <w:tr w:rsidR="00F5053E" w:rsidRPr="001C58F6" w14:paraId="7C6BEF47" w14:textId="77777777" w:rsidTr="00A87ED7">
        <w:trPr>
          <w:trHeight w:val="884"/>
        </w:trPr>
        <w:tc>
          <w:tcPr>
            <w:tcW w:w="2689" w:type="dxa"/>
          </w:tcPr>
          <w:p w14:paraId="3046B221" w14:textId="77777777" w:rsidR="00F5053E" w:rsidRPr="00593A5F" w:rsidRDefault="00F5053E" w:rsidP="00A87ED7">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232C7AB3" w14:textId="004A225D" w:rsidR="00F5053E" w:rsidRPr="00B123CD" w:rsidRDefault="00EE4CE0" w:rsidP="00A87ED7">
            <w:pPr>
              <w:pStyle w:val="Textoindependiente"/>
              <w:tabs>
                <w:tab w:val="left" w:pos="150"/>
              </w:tabs>
              <w:ind w:left="859" w:right="111"/>
              <w:jc w:val="both"/>
              <w:rPr>
                <w:rFonts w:ascii="Verdana" w:hAnsi="Verdana"/>
              </w:rPr>
            </w:pPr>
            <w:r w:rsidRPr="00EE4CE0">
              <w:rPr>
                <w:rFonts w:ascii="Verdana" w:hAnsi="Verdana"/>
              </w:rPr>
              <w:t>DOCUMENTOS</w:t>
            </w:r>
            <w:r w:rsidR="00A60E52" w:rsidRPr="00EE4CE0">
              <w:rPr>
                <w:rFonts w:ascii="Verdana" w:hAnsi="Verdana"/>
              </w:rPr>
              <w:t xml:space="preserve"> TIPO</w:t>
            </w:r>
            <w:r w:rsidR="00F5053E" w:rsidRPr="00EE4CE0">
              <w:rPr>
                <w:rFonts w:ascii="Verdana" w:hAnsi="Verdana"/>
              </w:rPr>
              <w:t xml:space="preserve"> – </w:t>
            </w:r>
            <w:r w:rsidR="00A60E52" w:rsidRPr="00EE4CE0">
              <w:rPr>
                <w:rFonts w:ascii="Verdana" w:hAnsi="Verdana"/>
              </w:rPr>
              <w:t>Requisitos habilitantes</w:t>
            </w:r>
            <w:r w:rsidR="00F5053E" w:rsidRPr="00EE4CE0">
              <w:rPr>
                <w:rFonts w:ascii="Verdana" w:hAnsi="Verdana"/>
              </w:rPr>
              <w:t xml:space="preserve"> – </w:t>
            </w:r>
            <w:r w:rsidRPr="00EE4CE0">
              <w:rPr>
                <w:rFonts w:ascii="Verdana" w:hAnsi="Verdana"/>
              </w:rPr>
              <w:t xml:space="preserve">Principio de </w:t>
            </w:r>
            <w:r w:rsidR="00A60E52" w:rsidRPr="00EE4CE0">
              <w:rPr>
                <w:rFonts w:ascii="Verdana" w:hAnsi="Verdana"/>
              </w:rPr>
              <w:t>Autonomía de la Entidad</w:t>
            </w:r>
            <w:r w:rsidR="00F5053E" w:rsidRPr="00EE4CE0">
              <w:rPr>
                <w:rFonts w:ascii="Verdana" w:hAnsi="Verdana"/>
              </w:rPr>
              <w:t xml:space="preserve"> </w:t>
            </w:r>
          </w:p>
        </w:tc>
      </w:tr>
      <w:tr w:rsidR="00F5053E" w:rsidRPr="00593A5F" w14:paraId="6E653B80" w14:textId="77777777" w:rsidTr="00A87ED7">
        <w:tc>
          <w:tcPr>
            <w:tcW w:w="2689" w:type="dxa"/>
          </w:tcPr>
          <w:p w14:paraId="53C77738" w14:textId="77777777" w:rsidR="00F5053E" w:rsidRPr="00825AF7" w:rsidRDefault="00F5053E" w:rsidP="00A87ED7">
            <w:pPr>
              <w:jc w:val="both"/>
              <w:rPr>
                <w:rFonts w:ascii="Verdana" w:eastAsia="Calibri" w:hAnsi="Verdana" w:cs="Arial"/>
                <w:b/>
                <w:lang w:val="es-ES_tradnl" w:eastAsia="es-ES_tradnl"/>
              </w:rPr>
            </w:pPr>
            <w:r w:rsidRPr="00825AF7">
              <w:rPr>
                <w:rFonts w:ascii="Verdana" w:eastAsia="Calibri" w:hAnsi="Verdana" w:cs="Arial"/>
                <w:b/>
                <w:lang w:val="es-ES_tradnl" w:eastAsia="es-ES_tradnl"/>
              </w:rPr>
              <w:t>Radicación:</w:t>
            </w:r>
            <w:r w:rsidRPr="00825AF7">
              <w:rPr>
                <w:rFonts w:ascii="Verdana" w:eastAsia="Calibri" w:hAnsi="Verdana" w:cs="Arial"/>
                <w:lang w:val="es-ES_tradnl" w:eastAsia="es-ES_tradnl"/>
              </w:rPr>
              <w:t xml:space="preserve">               </w:t>
            </w:r>
          </w:p>
        </w:tc>
        <w:tc>
          <w:tcPr>
            <w:tcW w:w="6100" w:type="dxa"/>
          </w:tcPr>
          <w:p w14:paraId="26358613" w14:textId="33DF35DD" w:rsidR="00F5053E" w:rsidRPr="00825AF7" w:rsidRDefault="00F5053E" w:rsidP="00A87ED7">
            <w:pPr>
              <w:jc w:val="both"/>
              <w:rPr>
                <w:rFonts w:ascii="Verdana" w:eastAsia="Calibri" w:hAnsi="Verdana" w:cs="Arial"/>
                <w:lang w:val="es-ES_tradnl" w:eastAsia="es-ES_tradnl"/>
              </w:rPr>
            </w:pPr>
            <w:r w:rsidRPr="00825AF7">
              <w:rPr>
                <w:rFonts w:ascii="Verdana" w:eastAsia="Calibri" w:hAnsi="Verdana" w:cs="Arial"/>
                <w:lang w:val="es-ES_tradnl" w:eastAsia="es-ES_tradnl"/>
              </w:rPr>
              <w:t xml:space="preserve">Respuesta a consulta con radicado No. </w:t>
            </w:r>
            <w:r w:rsidR="00A66616" w:rsidRPr="00A66616">
              <w:rPr>
                <w:rFonts w:ascii="Verdana" w:eastAsia="Calibri" w:hAnsi="Verdana" w:cs="Arial"/>
                <w:lang w:val="es-ES_tradnl" w:eastAsia="es-ES_tradnl"/>
              </w:rPr>
              <w:t>P20240716007229</w:t>
            </w:r>
          </w:p>
        </w:tc>
      </w:tr>
    </w:tbl>
    <w:p w14:paraId="3CA88AF9" w14:textId="77777777" w:rsidR="00F5053E" w:rsidRPr="00593A5F" w:rsidRDefault="00F5053E" w:rsidP="00F5053E">
      <w:pPr>
        <w:spacing w:after="0" w:line="240" w:lineRule="auto"/>
        <w:jc w:val="both"/>
        <w:rPr>
          <w:rFonts w:ascii="Verdana" w:eastAsia="Calibri" w:hAnsi="Verdana" w:cs="Arial"/>
          <w:color w:val="000000"/>
          <w:lang w:val="es-ES_tradnl" w:eastAsia="es-ES_tradnl"/>
        </w:rPr>
      </w:pPr>
    </w:p>
    <w:p w14:paraId="28E83478" w14:textId="1F3A6DC0" w:rsidR="00F5053E" w:rsidRDefault="00F5053E" w:rsidP="00F5053E">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 xml:space="preserve">o señor </w:t>
      </w:r>
      <w:r w:rsidRPr="005651D3">
        <w:rPr>
          <w:rFonts w:ascii="Verdana" w:eastAsia="Calibri" w:hAnsi="Verdana" w:cs="Arial"/>
          <w:lang w:val="es-ES" w:eastAsia="es-ES"/>
        </w:rPr>
        <w:t xml:space="preserve">(a) </w:t>
      </w:r>
      <w:r w:rsidR="00952193">
        <w:rPr>
          <w:rFonts w:ascii="Verdana" w:eastAsia="Calibri" w:hAnsi="Verdana" w:cs="Arial"/>
          <w:lang w:val="es-ES" w:eastAsia="es-ES"/>
        </w:rPr>
        <w:t>González</w:t>
      </w:r>
      <w:r w:rsidRPr="009A14E8">
        <w:rPr>
          <w:rFonts w:ascii="Verdana" w:eastAsia="Calibri" w:hAnsi="Verdana" w:cs="Arial"/>
          <w:lang w:val="es-ES" w:eastAsia="es-ES"/>
        </w:rPr>
        <w:t xml:space="preserve">: </w:t>
      </w:r>
    </w:p>
    <w:p w14:paraId="6F31BA67" w14:textId="77777777" w:rsidR="00F5053E" w:rsidRDefault="00F5053E" w:rsidP="00F5053E">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61C90750" w14:textId="6C41A848" w:rsidR="00F5053E" w:rsidRDefault="00F5053E" w:rsidP="00F5053E">
      <w:pPr>
        <w:spacing w:after="0" w:line="276" w:lineRule="auto"/>
        <w:jc w:val="both"/>
        <w:rPr>
          <w:rFonts w:ascii="Verdana" w:eastAsia="Calibri" w:hAnsi="Verdana" w:cs="Arial"/>
          <w:i/>
          <w:iCs/>
          <w:sz w:val="21"/>
          <w:szCs w:val="21"/>
          <w:lang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w:t>
      </w:r>
      <w:r w:rsidRPr="00D46ED3">
        <w:rPr>
          <w:rFonts w:ascii="Verdana" w:eastAsia="Calibri" w:hAnsi="Verdana" w:cs="Arial"/>
          <w:color w:val="000000" w:themeColor="text1"/>
          <w:lang w:val="es-ES" w:eastAsia="es-ES"/>
        </w:rPr>
        <w:t xml:space="preserve">consulta de </w:t>
      </w:r>
      <w:r w:rsidRPr="00D46ED3">
        <w:rPr>
          <w:rFonts w:ascii="Verdana" w:eastAsia="Calibri" w:hAnsi="Verdana" w:cs="Arial"/>
          <w:lang w:val="es-ES" w:eastAsia="es-ES"/>
        </w:rPr>
        <w:t xml:space="preserve">fecha </w:t>
      </w:r>
      <w:r>
        <w:rPr>
          <w:rFonts w:ascii="Verdana" w:eastAsia="Calibri" w:hAnsi="Verdana" w:cs="Arial"/>
          <w:lang w:val="es-ES" w:eastAsia="es-ES"/>
        </w:rPr>
        <w:t>1</w:t>
      </w:r>
      <w:r w:rsidR="00A66616">
        <w:rPr>
          <w:rFonts w:ascii="Verdana" w:eastAsia="Calibri" w:hAnsi="Verdana" w:cs="Arial"/>
          <w:lang w:val="es-ES" w:eastAsia="es-ES"/>
        </w:rPr>
        <w:t>6</w:t>
      </w:r>
      <w:r w:rsidRPr="00D46ED3">
        <w:rPr>
          <w:rFonts w:ascii="Verdana" w:eastAsia="Calibri" w:hAnsi="Verdana" w:cs="Arial"/>
          <w:lang w:val="es-ES" w:eastAsia="es-ES"/>
        </w:rPr>
        <w:t xml:space="preserve"> de ju</w:t>
      </w:r>
      <w:r>
        <w:rPr>
          <w:rFonts w:ascii="Verdana" w:eastAsia="Calibri" w:hAnsi="Verdana" w:cs="Arial"/>
          <w:lang w:val="es-ES" w:eastAsia="es-ES"/>
        </w:rPr>
        <w:t>l</w:t>
      </w:r>
      <w:r w:rsidRPr="00D46ED3">
        <w:rPr>
          <w:rFonts w:ascii="Verdana" w:eastAsia="Calibri" w:hAnsi="Verdana" w:cs="Arial"/>
          <w:lang w:val="es-ES" w:eastAsia="es-ES"/>
        </w:rPr>
        <w:t>io de 2024, en</w:t>
      </w:r>
      <w:r w:rsidRPr="00AA1286">
        <w:rPr>
          <w:rFonts w:ascii="Verdana" w:eastAsia="Calibri" w:hAnsi="Verdana" w:cs="Arial"/>
          <w:lang w:val="es-ES" w:eastAsia="es-ES"/>
        </w:rPr>
        <w:t xml:space="preserve"> la cual manifiesta lo siguiente: </w:t>
      </w:r>
      <w:r w:rsidRPr="00B123CD">
        <w:rPr>
          <w:rFonts w:ascii="Verdana" w:eastAsia="Calibri" w:hAnsi="Verdana" w:cs="Arial"/>
          <w:i/>
          <w:iCs/>
          <w:sz w:val="21"/>
          <w:szCs w:val="21"/>
          <w:lang w:eastAsia="es-ES"/>
        </w:rPr>
        <w:t xml:space="preserve"> </w:t>
      </w:r>
    </w:p>
    <w:p w14:paraId="4861A6FF" w14:textId="77777777" w:rsidR="00A66616" w:rsidRDefault="00A66616" w:rsidP="00F5053E">
      <w:pPr>
        <w:spacing w:after="0" w:line="276" w:lineRule="auto"/>
        <w:jc w:val="both"/>
        <w:rPr>
          <w:rFonts w:ascii="Verdana" w:eastAsia="Calibri" w:hAnsi="Verdana" w:cs="Arial"/>
          <w:i/>
          <w:iCs/>
          <w:sz w:val="21"/>
          <w:szCs w:val="21"/>
          <w:lang w:eastAsia="es-ES"/>
        </w:rPr>
      </w:pPr>
    </w:p>
    <w:p w14:paraId="54B7742B" w14:textId="0DCCAC86" w:rsidR="00A66616" w:rsidRPr="00A66616" w:rsidRDefault="00A66616" w:rsidP="00A66616">
      <w:pPr>
        <w:spacing w:after="0" w:line="276" w:lineRule="auto"/>
        <w:ind w:left="709" w:right="709"/>
        <w:jc w:val="both"/>
        <w:rPr>
          <w:rFonts w:ascii="Verdana" w:eastAsia="Calibri" w:hAnsi="Verdana" w:cs="Arial"/>
          <w:i/>
          <w:iCs/>
          <w:sz w:val="20"/>
          <w:szCs w:val="20"/>
          <w:lang w:eastAsia="es-ES"/>
        </w:rPr>
      </w:pPr>
      <w:r>
        <w:rPr>
          <w:rFonts w:ascii="Verdana" w:eastAsia="Calibri" w:hAnsi="Verdana" w:cs="Arial"/>
          <w:i/>
          <w:iCs/>
          <w:sz w:val="20"/>
          <w:szCs w:val="20"/>
          <w:lang w:eastAsia="es-ES"/>
        </w:rPr>
        <w:t xml:space="preserve">“[…] </w:t>
      </w:r>
      <w:r w:rsidRPr="00A66616">
        <w:rPr>
          <w:rFonts w:ascii="Verdana" w:eastAsia="Calibri" w:hAnsi="Verdana" w:cs="Arial"/>
          <w:i/>
          <w:iCs/>
          <w:sz w:val="20"/>
          <w:szCs w:val="20"/>
          <w:lang w:eastAsia="es-ES"/>
        </w:rPr>
        <w:t>EDWIN GONZÁLEZ KERGUELÉN, identificado civilmente con la cedula de ciudadanía No. 73203518 de Cartagena de Indias, por medio de la presente acudo respetuosamente a ustedes lo anterior en aras de elevar la siguiente consulta:</w:t>
      </w:r>
    </w:p>
    <w:p w14:paraId="1CF06606" w14:textId="77777777" w:rsidR="00A66616" w:rsidRPr="00A66616" w:rsidRDefault="00A66616" w:rsidP="00A66616">
      <w:pPr>
        <w:spacing w:after="0" w:line="276" w:lineRule="auto"/>
        <w:ind w:left="709" w:right="709"/>
        <w:jc w:val="both"/>
        <w:rPr>
          <w:rFonts w:ascii="Verdana" w:eastAsia="Calibri" w:hAnsi="Verdana" w:cs="Arial"/>
          <w:i/>
          <w:iCs/>
          <w:sz w:val="20"/>
          <w:szCs w:val="20"/>
          <w:lang w:eastAsia="es-ES"/>
        </w:rPr>
      </w:pPr>
    </w:p>
    <w:p w14:paraId="4D86AF4C" w14:textId="77777777" w:rsidR="00A66616" w:rsidRPr="00A66616" w:rsidRDefault="00A66616" w:rsidP="00A66616">
      <w:pPr>
        <w:numPr>
          <w:ilvl w:val="0"/>
          <w:numId w:val="21"/>
        </w:numPr>
        <w:spacing w:after="0" w:line="276" w:lineRule="auto"/>
        <w:ind w:left="709" w:right="709"/>
        <w:jc w:val="both"/>
        <w:rPr>
          <w:rFonts w:ascii="Verdana" w:eastAsia="Calibri" w:hAnsi="Verdana" w:cs="Arial"/>
          <w:i/>
          <w:iCs/>
          <w:sz w:val="20"/>
          <w:szCs w:val="20"/>
          <w:lang w:eastAsia="es-ES"/>
        </w:rPr>
      </w:pPr>
      <w:r w:rsidRPr="00A66616">
        <w:rPr>
          <w:rFonts w:ascii="Verdana" w:eastAsia="Calibri" w:hAnsi="Verdana" w:cs="Arial"/>
          <w:i/>
          <w:iCs/>
          <w:sz w:val="20"/>
          <w:szCs w:val="20"/>
          <w:lang w:eastAsia="es-ES"/>
        </w:rPr>
        <w:t>Colombia Compra eficiente, es la entidad jurídicamente habilitada en Colombia, para desarrollar, emitir y regular los documentos tipos.</w:t>
      </w:r>
    </w:p>
    <w:p w14:paraId="42FFDC83" w14:textId="77777777" w:rsidR="00A66616" w:rsidRPr="00A66616" w:rsidRDefault="00A66616" w:rsidP="00A66616">
      <w:pPr>
        <w:spacing w:after="0" w:line="276" w:lineRule="auto"/>
        <w:ind w:left="709" w:right="709"/>
        <w:jc w:val="both"/>
        <w:rPr>
          <w:rFonts w:ascii="Verdana" w:eastAsia="Calibri" w:hAnsi="Verdana" w:cs="Arial"/>
          <w:i/>
          <w:iCs/>
          <w:sz w:val="20"/>
          <w:szCs w:val="20"/>
          <w:lang w:eastAsia="es-ES"/>
        </w:rPr>
      </w:pPr>
    </w:p>
    <w:p w14:paraId="6CBB68A0" w14:textId="77777777" w:rsidR="00A66616" w:rsidRPr="00A66616" w:rsidRDefault="00A66616" w:rsidP="00A66616">
      <w:pPr>
        <w:numPr>
          <w:ilvl w:val="0"/>
          <w:numId w:val="21"/>
        </w:numPr>
        <w:spacing w:after="0" w:line="276" w:lineRule="auto"/>
        <w:ind w:left="709" w:right="709"/>
        <w:jc w:val="both"/>
        <w:rPr>
          <w:rFonts w:ascii="Verdana" w:eastAsia="Calibri" w:hAnsi="Verdana" w:cs="Arial"/>
          <w:i/>
          <w:iCs/>
          <w:sz w:val="20"/>
          <w:szCs w:val="20"/>
          <w:lang w:eastAsia="es-ES"/>
        </w:rPr>
      </w:pPr>
      <w:r w:rsidRPr="00A66616">
        <w:rPr>
          <w:rFonts w:ascii="Verdana" w:eastAsia="Calibri" w:hAnsi="Verdana" w:cs="Arial"/>
          <w:i/>
          <w:iCs/>
          <w:sz w:val="20"/>
          <w:szCs w:val="20"/>
          <w:lang w:eastAsia="es-ES"/>
        </w:rPr>
        <w:t xml:space="preserve">Dentro de las políticas desarrolladas por Colombia Compra eficiente; se ha establecido en procesos precontractuales donde se debe utilizar documentos tipos, específicamente para el caso de concurso de méritos </w:t>
      </w:r>
      <w:r w:rsidRPr="00A66616">
        <w:rPr>
          <w:rFonts w:ascii="Verdana" w:eastAsia="Calibri" w:hAnsi="Verdana" w:cs="Arial"/>
          <w:i/>
          <w:iCs/>
          <w:sz w:val="20"/>
          <w:szCs w:val="20"/>
          <w:lang w:eastAsia="es-ES"/>
        </w:rPr>
        <w:lastRenderedPageBreak/>
        <w:t>no exigir Hojas de vida ni soportes de hojas de vida, para habilitarse dentro del proceso precontractual y así mismo obtener la ponderación; reemplazándose dichos requisitos por compromisos suscritos por el representante legal, trasladándose así una obligación precontractual como una obligación contractual.</w:t>
      </w:r>
    </w:p>
    <w:p w14:paraId="6CA9B690" w14:textId="77777777" w:rsidR="00A66616" w:rsidRPr="00A66616" w:rsidRDefault="00A66616" w:rsidP="00A66616">
      <w:pPr>
        <w:spacing w:after="0" w:line="276" w:lineRule="auto"/>
        <w:ind w:left="709" w:right="709"/>
        <w:jc w:val="both"/>
        <w:rPr>
          <w:rFonts w:ascii="Verdana" w:eastAsia="Calibri" w:hAnsi="Verdana" w:cs="Arial"/>
          <w:i/>
          <w:iCs/>
          <w:sz w:val="20"/>
          <w:szCs w:val="20"/>
          <w:lang w:eastAsia="es-ES"/>
        </w:rPr>
      </w:pPr>
    </w:p>
    <w:p w14:paraId="45CD96A4" w14:textId="62BF6367" w:rsidR="00A66616" w:rsidRPr="00A66616" w:rsidRDefault="00A66616" w:rsidP="00A66616">
      <w:pPr>
        <w:numPr>
          <w:ilvl w:val="0"/>
          <w:numId w:val="21"/>
        </w:numPr>
        <w:spacing w:after="0" w:line="276" w:lineRule="auto"/>
        <w:ind w:left="709" w:right="709"/>
        <w:jc w:val="both"/>
        <w:rPr>
          <w:rFonts w:ascii="Verdana" w:eastAsia="Calibri" w:hAnsi="Verdana" w:cs="Arial"/>
          <w:i/>
          <w:iCs/>
          <w:sz w:val="20"/>
          <w:szCs w:val="20"/>
          <w:lang w:eastAsia="es-ES"/>
        </w:rPr>
      </w:pPr>
      <w:r w:rsidRPr="00A66616">
        <w:rPr>
          <w:rFonts w:ascii="Verdana" w:eastAsia="Calibri" w:hAnsi="Verdana" w:cs="Arial"/>
          <w:i/>
          <w:iCs/>
          <w:sz w:val="20"/>
          <w:szCs w:val="20"/>
          <w:lang w:eastAsia="es-ES"/>
        </w:rPr>
        <w:t>Es evidente que la anterior política busca incrementar la pluralidad de oferentes y evitar consecuencialmente la segregación de proponentes, bajo la premisa de exigir altos perfiles, en estadio de verificación de requisitos habilitantes y de adjudicación de factores ponderables; que finalmente no ejecutan el contrato y que limitan la participación de los interesados</w:t>
      </w:r>
    </w:p>
    <w:p w14:paraId="7B18F3CE" w14:textId="77777777" w:rsidR="00A66616" w:rsidRPr="00A66616" w:rsidRDefault="00A66616" w:rsidP="00A66616">
      <w:pPr>
        <w:spacing w:after="0" w:line="276" w:lineRule="auto"/>
        <w:ind w:left="709" w:right="709"/>
        <w:jc w:val="both"/>
        <w:rPr>
          <w:rFonts w:ascii="Verdana" w:eastAsia="Calibri" w:hAnsi="Verdana" w:cs="Arial"/>
          <w:i/>
          <w:iCs/>
          <w:sz w:val="20"/>
          <w:szCs w:val="20"/>
          <w:lang w:eastAsia="es-ES"/>
        </w:rPr>
      </w:pPr>
    </w:p>
    <w:p w14:paraId="074E2B10" w14:textId="090BB132" w:rsidR="00A66616" w:rsidRPr="00A66616" w:rsidRDefault="00A66616" w:rsidP="00A66616">
      <w:pPr>
        <w:numPr>
          <w:ilvl w:val="0"/>
          <w:numId w:val="21"/>
        </w:numPr>
        <w:spacing w:after="0" w:line="276" w:lineRule="auto"/>
        <w:ind w:left="709" w:right="709"/>
        <w:jc w:val="both"/>
        <w:rPr>
          <w:rFonts w:ascii="Verdana" w:eastAsia="Calibri" w:hAnsi="Verdana" w:cs="Arial"/>
          <w:i/>
          <w:iCs/>
          <w:sz w:val="20"/>
          <w:szCs w:val="20"/>
          <w:lang w:eastAsia="es-ES"/>
        </w:rPr>
      </w:pPr>
      <w:r w:rsidRPr="00A66616">
        <w:rPr>
          <w:rFonts w:ascii="Verdana" w:eastAsia="Calibri" w:hAnsi="Verdana" w:cs="Arial"/>
          <w:i/>
          <w:iCs/>
          <w:sz w:val="20"/>
          <w:szCs w:val="20"/>
          <w:lang w:eastAsia="es-ES"/>
        </w:rPr>
        <w:t>Así pues dado que dicha política ha sido desarrollada y a la fecha implementada por Colombia compra eficiente en procesos precontractuales donde se deben aplicar pliegos tipos, quisiéramos consultarles:</w:t>
      </w:r>
    </w:p>
    <w:p w14:paraId="5CD6B6CA" w14:textId="77777777" w:rsidR="00A66616" w:rsidRPr="00A66616" w:rsidRDefault="00A66616" w:rsidP="00A66616">
      <w:pPr>
        <w:spacing w:after="0" w:line="276" w:lineRule="auto"/>
        <w:ind w:left="709" w:right="709"/>
        <w:jc w:val="both"/>
        <w:rPr>
          <w:rFonts w:ascii="Verdana" w:eastAsia="Calibri" w:hAnsi="Verdana" w:cs="Arial"/>
          <w:i/>
          <w:iCs/>
          <w:sz w:val="20"/>
          <w:szCs w:val="20"/>
          <w:lang w:eastAsia="es-ES"/>
        </w:rPr>
      </w:pPr>
    </w:p>
    <w:p w14:paraId="342F4324" w14:textId="58B17418" w:rsidR="00A66616" w:rsidRPr="00A66616" w:rsidRDefault="00A66616" w:rsidP="00A66616">
      <w:pPr>
        <w:spacing w:after="0" w:line="276" w:lineRule="auto"/>
        <w:ind w:left="709" w:right="709"/>
        <w:jc w:val="both"/>
        <w:rPr>
          <w:rFonts w:ascii="Verdana" w:eastAsia="Calibri" w:hAnsi="Verdana" w:cs="Arial"/>
          <w:i/>
          <w:iCs/>
          <w:sz w:val="20"/>
          <w:szCs w:val="20"/>
          <w:lang w:eastAsia="es-ES"/>
        </w:rPr>
      </w:pPr>
      <w:r w:rsidRPr="00A66616">
        <w:rPr>
          <w:rFonts w:ascii="Verdana" w:eastAsia="Calibri" w:hAnsi="Verdana" w:cs="Arial"/>
          <w:i/>
          <w:iCs/>
          <w:sz w:val="20"/>
          <w:szCs w:val="20"/>
          <w:u w:val="single"/>
          <w:lang w:eastAsia="es-ES"/>
        </w:rPr>
        <w:t>¿Considera COLOMBIA COMPRA EFICIENTE viable aplicar dicha política de no exigir Hojas de vida ni soportes de hojas de vida, para habilitarse y así mismo obtener la ponderación por compromisos suscritos por el representante legal en procesos donde no sea necesario aplicar documentos tipo?</w:t>
      </w:r>
      <w:r>
        <w:rPr>
          <w:rFonts w:ascii="Verdana" w:eastAsia="Calibri" w:hAnsi="Verdana" w:cs="Arial"/>
          <w:i/>
          <w:iCs/>
          <w:sz w:val="20"/>
          <w:szCs w:val="20"/>
          <w:u w:val="single"/>
          <w:lang w:eastAsia="es-ES"/>
        </w:rPr>
        <w:t xml:space="preserve"> […]”</w:t>
      </w:r>
    </w:p>
    <w:p w14:paraId="142F9B2A" w14:textId="77777777" w:rsidR="00A66616" w:rsidRPr="00A66616" w:rsidRDefault="00A66616" w:rsidP="00A66616">
      <w:pPr>
        <w:spacing w:after="0" w:line="276" w:lineRule="auto"/>
        <w:ind w:left="709" w:right="709"/>
        <w:jc w:val="both"/>
        <w:rPr>
          <w:rFonts w:ascii="Verdana" w:eastAsia="Calibri" w:hAnsi="Verdana" w:cs="Arial"/>
          <w:i/>
          <w:iCs/>
          <w:sz w:val="20"/>
          <w:szCs w:val="20"/>
          <w:lang w:eastAsia="es-ES"/>
        </w:rPr>
      </w:pPr>
    </w:p>
    <w:p w14:paraId="59814641" w14:textId="77777777" w:rsidR="00A66616" w:rsidRDefault="00A66616" w:rsidP="00F5053E">
      <w:pPr>
        <w:spacing w:after="0" w:line="276" w:lineRule="auto"/>
        <w:jc w:val="both"/>
        <w:rPr>
          <w:rFonts w:ascii="Verdana" w:eastAsia="Calibri" w:hAnsi="Verdana" w:cs="Arial"/>
          <w:i/>
          <w:iCs/>
          <w:sz w:val="20"/>
          <w:szCs w:val="20"/>
          <w:lang w:eastAsia="es-ES"/>
        </w:rPr>
      </w:pPr>
    </w:p>
    <w:p w14:paraId="782A78AD" w14:textId="77777777" w:rsidR="00F5053E" w:rsidRPr="004A6514" w:rsidRDefault="00F5053E" w:rsidP="00F5053E">
      <w:pPr>
        <w:spacing w:after="0" w:line="276" w:lineRule="auto"/>
        <w:jc w:val="both"/>
        <w:rPr>
          <w:rFonts w:ascii="Verdana" w:eastAsia="Calibri" w:hAnsi="Verdana" w:cs="Arial"/>
          <w:lang w:val="es-ES" w:eastAsia="es-ES"/>
        </w:rPr>
      </w:pPr>
    </w:p>
    <w:p w14:paraId="10648547" w14:textId="77777777" w:rsidR="00F5053E" w:rsidRDefault="00F5053E" w:rsidP="00F5053E">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7B59B527" w14:textId="77777777" w:rsidR="00F5053E" w:rsidRDefault="00F5053E" w:rsidP="00F5053E">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w:t>
      </w:r>
      <w:r w:rsidRPr="00593A5F">
        <w:rPr>
          <w:rFonts w:ascii="Verdana" w:eastAsia="Calibri" w:hAnsi="Verdana" w:cs="Arial"/>
          <w:color w:val="000000"/>
          <w:lang w:val="es-ES" w:eastAsia="es-ES"/>
        </w:rPr>
        <w:lastRenderedPageBreak/>
        <w:t>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3B879A7F" w14:textId="77777777" w:rsidR="00F5053E" w:rsidRPr="00593A5F" w:rsidRDefault="00F5053E" w:rsidP="00F5053E">
      <w:pPr>
        <w:spacing w:after="0" w:line="276" w:lineRule="auto"/>
        <w:ind w:firstLine="709"/>
        <w:jc w:val="both"/>
        <w:rPr>
          <w:rFonts w:ascii="Verdana" w:eastAsia="Calibri" w:hAnsi="Verdana" w:cs="Arial"/>
          <w:color w:val="000000"/>
          <w:lang w:val="es-ES" w:eastAsia="es-ES"/>
        </w:rPr>
      </w:pPr>
    </w:p>
    <w:p w14:paraId="5C3EC164" w14:textId="3A2F88ED" w:rsidR="00F5053E" w:rsidRPr="00593A5F" w:rsidRDefault="00F5053E" w:rsidP="00F5053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6E8E0F90" w14:textId="77777777" w:rsidR="00F5053E" w:rsidRPr="00593A5F" w:rsidRDefault="00F5053E" w:rsidP="00F5053E">
      <w:pPr>
        <w:tabs>
          <w:tab w:val="left" w:pos="426"/>
        </w:tabs>
        <w:spacing w:after="0" w:line="276" w:lineRule="auto"/>
        <w:jc w:val="both"/>
        <w:rPr>
          <w:rFonts w:ascii="Verdana" w:eastAsia="Century Gothic" w:hAnsi="Verdana" w:cs="Century Gothic"/>
          <w:lang w:val="es-ES"/>
        </w:rPr>
      </w:pPr>
    </w:p>
    <w:p w14:paraId="5AF7F947" w14:textId="77777777" w:rsidR="00F5053E" w:rsidRDefault="00F5053E" w:rsidP="00F5053E">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su solicitud, esta Agencia resolverá el (los) siguiente(s) problemas jurídicos(s</w:t>
      </w:r>
      <w:r w:rsidRPr="005651D3">
        <w:rPr>
          <w:rFonts w:ascii="Verdana" w:eastAsia="Century Gothic" w:hAnsi="Verdana" w:cs="Century Gothic"/>
        </w:rPr>
        <w:t xml:space="preserve">): </w:t>
      </w:r>
    </w:p>
    <w:p w14:paraId="5175F5EF" w14:textId="77777777" w:rsidR="000E301F" w:rsidRDefault="000E301F" w:rsidP="005F1B90">
      <w:pPr>
        <w:spacing w:after="0" w:line="276" w:lineRule="auto"/>
        <w:jc w:val="both"/>
        <w:rPr>
          <w:rFonts w:ascii="Verdana" w:eastAsia="Century Gothic" w:hAnsi="Verdana" w:cs="Century Gothic"/>
        </w:rPr>
      </w:pPr>
    </w:p>
    <w:p w14:paraId="09FBFC8A" w14:textId="75A18CD5" w:rsidR="000E301F" w:rsidRPr="000E301F" w:rsidRDefault="000E301F" w:rsidP="000E301F">
      <w:pPr>
        <w:pStyle w:val="Prrafodelista"/>
        <w:numPr>
          <w:ilvl w:val="0"/>
          <w:numId w:val="22"/>
        </w:numPr>
        <w:spacing w:after="0" w:line="276" w:lineRule="auto"/>
        <w:ind w:left="284" w:hanging="284"/>
        <w:jc w:val="both"/>
        <w:rPr>
          <w:rFonts w:ascii="Verdana" w:eastAsia="Century Gothic" w:hAnsi="Verdana" w:cs="Century Gothic"/>
        </w:rPr>
      </w:pPr>
      <w:r w:rsidRPr="000E301F">
        <w:rPr>
          <w:rFonts w:ascii="Verdana" w:eastAsia="Century Gothic" w:hAnsi="Verdana" w:cs="Century Gothic"/>
        </w:rPr>
        <w:t>¿En los procesos de selección donde no se aplican documentos tipo, puede una entidad estatal, en virtud del principio de autonomía, establecer requisitos específicos del mencionado pliego?</w:t>
      </w:r>
      <w:r>
        <w:rPr>
          <w:rFonts w:ascii="Verdana" w:eastAsia="Century Gothic" w:hAnsi="Verdana" w:cs="Century Gothic"/>
        </w:rPr>
        <w:t xml:space="preserve"> </w:t>
      </w:r>
    </w:p>
    <w:p w14:paraId="5A45058E" w14:textId="407A57D9" w:rsidR="00F5053E" w:rsidRPr="000E301F" w:rsidRDefault="005F1B90" w:rsidP="00F5053E">
      <w:pPr>
        <w:spacing w:after="0" w:line="276" w:lineRule="auto"/>
        <w:jc w:val="both"/>
        <w:rPr>
          <w:rFonts w:ascii="Verdana" w:eastAsia="Century Gothic" w:hAnsi="Verdana" w:cs="Century Gothic"/>
        </w:rPr>
      </w:pPr>
      <w:r w:rsidRPr="005F1B90">
        <w:rPr>
          <w:rFonts w:ascii="Verdana" w:eastAsia="Century Gothic" w:hAnsi="Verdana" w:cs="Century Gothic"/>
        </w:rPr>
        <w:t xml:space="preserve"> </w:t>
      </w:r>
    </w:p>
    <w:p w14:paraId="24F3095B" w14:textId="77777777" w:rsidR="00F5053E" w:rsidRPr="00593A5F" w:rsidRDefault="00F5053E" w:rsidP="00F5053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1ABAA9B3" w14:textId="77777777" w:rsidR="00F5053E" w:rsidRPr="00593A5F" w:rsidRDefault="00F5053E" w:rsidP="00F5053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5053E" w:rsidRPr="00593A5F" w14:paraId="451F3F44" w14:textId="77777777" w:rsidTr="00A87ED7">
        <w:tc>
          <w:tcPr>
            <w:tcW w:w="8828" w:type="dxa"/>
            <w:shd w:val="clear" w:color="auto" w:fill="auto"/>
          </w:tcPr>
          <w:p w14:paraId="6E361CB8" w14:textId="3082E44E" w:rsidR="00F95E8A" w:rsidRDefault="00F5053E" w:rsidP="00F95E8A">
            <w:pPr>
              <w:spacing w:before="120" w:line="276" w:lineRule="auto"/>
              <w:ind w:firstLine="708"/>
              <w:jc w:val="both"/>
              <w:textAlignment w:val="baseline"/>
              <w:rPr>
                <w:rFonts w:ascii="Verdana" w:eastAsia="Times New Roman" w:hAnsi="Verdana" w:cs="Arial"/>
                <w:bCs/>
                <w:lang w:val="es-ES_tradnl" w:eastAsia="es-CO"/>
              </w:rPr>
            </w:pPr>
            <w:r w:rsidRPr="005C70F8">
              <w:rPr>
                <w:rFonts w:ascii="Verdana" w:eastAsia="Calibri" w:hAnsi="Verdana" w:cs="Arial"/>
                <w:bCs/>
              </w:rPr>
              <w:t xml:space="preserve"> </w:t>
            </w:r>
            <w:r w:rsidR="00F95E8A">
              <w:rPr>
                <w:rFonts w:ascii="Verdana" w:eastAsia="Calibri" w:hAnsi="Verdana" w:cs="Arial"/>
                <w:bCs/>
              </w:rPr>
              <w:t>E</w:t>
            </w:r>
            <w:r w:rsidR="00F95E8A" w:rsidRPr="00302F8D">
              <w:rPr>
                <w:rFonts w:ascii="Verdana" w:eastAsia="Times New Roman" w:hAnsi="Verdana" w:cs="Arial"/>
                <w:bCs/>
                <w:lang w:val="es-ES_tradnl" w:eastAsia="es-CO"/>
              </w:rPr>
              <w:t xml:space="preserve">l principal sustento para </w:t>
            </w:r>
            <w:r w:rsidR="00F95E8A">
              <w:rPr>
                <w:rFonts w:ascii="Verdana" w:eastAsia="Times New Roman" w:hAnsi="Verdana" w:cs="Arial"/>
                <w:bCs/>
                <w:lang w:val="es-ES_tradnl" w:eastAsia="es-CO"/>
              </w:rPr>
              <w:t>dar respuesta al interrogante anterior nace del principio de autonomía con el que cuentan</w:t>
            </w:r>
            <w:r w:rsidR="00F95E8A" w:rsidRPr="00302F8D">
              <w:rPr>
                <w:rFonts w:ascii="Verdana" w:eastAsia="Times New Roman" w:hAnsi="Verdana" w:cs="Arial"/>
                <w:bCs/>
                <w:lang w:val="es-ES_tradnl" w:eastAsia="es-CO"/>
              </w:rPr>
              <w:t xml:space="preserve"> las Entidades Estatales sujetas al EGCAP, como las excluidas de este, </w:t>
            </w:r>
            <w:r w:rsidR="00F95E8A">
              <w:rPr>
                <w:rFonts w:ascii="Verdana" w:eastAsia="Times New Roman" w:hAnsi="Verdana" w:cs="Arial"/>
                <w:bCs/>
                <w:lang w:val="es-ES_tradnl" w:eastAsia="es-CO"/>
              </w:rPr>
              <w:t xml:space="preserve">de darle aplicación a </w:t>
            </w:r>
            <w:r w:rsidR="00F95E8A" w:rsidRPr="00302F8D">
              <w:rPr>
                <w:rFonts w:ascii="Verdana" w:eastAsia="Times New Roman" w:hAnsi="Verdana" w:cs="Arial"/>
                <w:bCs/>
                <w:lang w:val="es-ES_tradnl" w:eastAsia="es-CO"/>
              </w:rPr>
              <w:t>las referidas metodologías</w:t>
            </w:r>
            <w:r w:rsidR="00107313">
              <w:rPr>
                <w:rFonts w:ascii="Verdana" w:eastAsia="Times New Roman" w:hAnsi="Verdana" w:cs="Arial"/>
                <w:bCs/>
                <w:lang w:val="es-ES_tradnl" w:eastAsia="es-CO"/>
              </w:rPr>
              <w:t xml:space="preserve"> dentro de los procesos de selección en los que no aplique el pliego tipo</w:t>
            </w:r>
            <w:r w:rsidR="00F95E8A" w:rsidRPr="00302F8D">
              <w:rPr>
                <w:rFonts w:ascii="Verdana" w:eastAsia="Times New Roman" w:hAnsi="Verdana" w:cs="Arial"/>
                <w:bCs/>
                <w:lang w:val="es-ES_tradnl" w:eastAsia="es-CO"/>
              </w:rPr>
              <w:t xml:space="preserve">, </w:t>
            </w:r>
            <w:r w:rsidR="00F95E8A">
              <w:rPr>
                <w:rFonts w:ascii="Verdana" w:eastAsia="Times New Roman" w:hAnsi="Verdana" w:cs="Arial"/>
                <w:bCs/>
                <w:lang w:val="es-ES_tradnl" w:eastAsia="es-CO"/>
              </w:rPr>
              <w:t>dicha autonomía</w:t>
            </w:r>
            <w:r w:rsidR="00F95E8A" w:rsidRPr="00302F8D">
              <w:rPr>
                <w:rFonts w:ascii="Verdana" w:eastAsia="Times New Roman" w:hAnsi="Verdana" w:cs="Arial"/>
                <w:bCs/>
                <w:lang w:val="es-ES_tradnl" w:eastAsia="es-CO"/>
              </w:rPr>
              <w:t xml:space="preserve"> </w:t>
            </w:r>
            <w:r w:rsidR="00F95E8A">
              <w:rPr>
                <w:rFonts w:ascii="Verdana" w:eastAsia="Times New Roman" w:hAnsi="Verdana" w:cs="Arial"/>
                <w:bCs/>
                <w:lang w:val="es-ES_tradnl" w:eastAsia="es-CO"/>
              </w:rPr>
              <w:t xml:space="preserve">se </w:t>
            </w:r>
            <w:r w:rsidR="00F95E8A" w:rsidRPr="00302F8D">
              <w:rPr>
                <w:rFonts w:ascii="Verdana" w:eastAsia="Times New Roman" w:hAnsi="Verdana" w:cs="Arial"/>
                <w:bCs/>
                <w:lang w:val="es-ES_tradnl" w:eastAsia="es-CO"/>
              </w:rPr>
              <w:t>goza para la estructuración de las condiciones del negocio jurídico, determinando el sistema más apropiado para satisfacer los fines de la contratación, respetando los límites previstos en el ordenamiento. De ahí que, las entidades cuenten con la discrecionalidad para disponer en los documentos del proceso, la aplicación de metodologías como las explicadas, siempre que resulten adecuadas y proporcionales al objeto del contrato.</w:t>
            </w:r>
          </w:p>
          <w:p w14:paraId="5CDC5262" w14:textId="77777777" w:rsidR="00107313" w:rsidRDefault="00107313" w:rsidP="00F95E8A">
            <w:pPr>
              <w:spacing w:before="120" w:line="276" w:lineRule="auto"/>
              <w:ind w:firstLine="708"/>
              <w:jc w:val="both"/>
              <w:textAlignment w:val="baseline"/>
              <w:rPr>
                <w:rFonts w:ascii="Verdana" w:eastAsia="Times New Roman" w:hAnsi="Verdana" w:cs="Arial"/>
                <w:bCs/>
                <w:lang w:val="es-ES_tradnl" w:eastAsia="es-CO"/>
              </w:rPr>
            </w:pPr>
          </w:p>
          <w:p w14:paraId="4C482D36" w14:textId="28DE6372" w:rsidR="00107313" w:rsidRPr="00302F8D" w:rsidRDefault="00107313" w:rsidP="00107313">
            <w:pPr>
              <w:spacing w:before="120" w:line="276" w:lineRule="auto"/>
              <w:jc w:val="both"/>
              <w:textAlignment w:val="baseline"/>
              <w:rPr>
                <w:rFonts w:ascii="Verdana" w:eastAsia="Times New Roman" w:hAnsi="Verdana" w:cs="Arial"/>
                <w:bCs/>
                <w:lang w:val="es-ES_tradnl" w:eastAsia="es-CO"/>
              </w:rPr>
            </w:pPr>
            <w:r>
              <w:rPr>
                <w:rFonts w:ascii="Verdana" w:eastAsia="Calibri" w:hAnsi="Verdana" w:cs="Arial"/>
                <w:lang w:val="es-ES" w:eastAsia="es-ES"/>
              </w:rPr>
              <w:t>Ahora bien, vale agregar que las estipulaciones de l</w:t>
            </w:r>
            <w:r w:rsidRPr="00A75D14">
              <w:rPr>
                <w:rFonts w:ascii="Verdana" w:eastAsia="Calibri" w:hAnsi="Verdana" w:cs="Arial"/>
                <w:lang w:val="es-ES" w:eastAsia="es-ES"/>
              </w:rPr>
              <w:t>os documentos tipo</w:t>
            </w:r>
            <w:r>
              <w:rPr>
                <w:rFonts w:ascii="Verdana" w:eastAsia="Calibri" w:hAnsi="Verdana" w:cs="Arial"/>
                <w:lang w:val="es-ES" w:eastAsia="es-ES"/>
              </w:rPr>
              <w:t xml:space="preserve"> y la adopción por parte de las entidades de los requerimientos, sin que aplique por la naturaleza </w:t>
            </w:r>
            <w:proofErr w:type="spellStart"/>
            <w:r>
              <w:rPr>
                <w:rFonts w:ascii="Verdana" w:eastAsia="Calibri" w:hAnsi="Verdana" w:cs="Arial"/>
                <w:lang w:val="es-ES" w:eastAsia="es-ES"/>
              </w:rPr>
              <w:t>o</w:t>
            </w:r>
            <w:proofErr w:type="spellEnd"/>
            <w:r>
              <w:rPr>
                <w:rFonts w:ascii="Verdana" w:eastAsia="Calibri" w:hAnsi="Verdana" w:cs="Arial"/>
                <w:lang w:val="es-ES" w:eastAsia="es-ES"/>
              </w:rPr>
              <w:t xml:space="preserve"> objeto contractual</w:t>
            </w:r>
            <w:r w:rsidR="00952193">
              <w:rPr>
                <w:rFonts w:ascii="Verdana" w:eastAsia="Calibri" w:hAnsi="Verdana" w:cs="Arial"/>
                <w:lang w:val="es-ES" w:eastAsia="es-ES"/>
              </w:rPr>
              <w:t xml:space="preserve">, </w:t>
            </w:r>
            <w:r>
              <w:rPr>
                <w:rFonts w:ascii="Verdana" w:eastAsia="Calibri" w:hAnsi="Verdana" w:cs="Arial"/>
                <w:lang w:val="es-ES" w:eastAsia="es-ES"/>
              </w:rPr>
              <w:t>se puede reflejar</w:t>
            </w:r>
            <w:r w:rsidRPr="00A75D14">
              <w:rPr>
                <w:rFonts w:ascii="Verdana" w:eastAsia="Calibri" w:hAnsi="Verdana" w:cs="Arial"/>
                <w:lang w:val="es-ES" w:eastAsia="es-ES"/>
              </w:rPr>
              <w:t xml:space="preserve"> como una buena práctica contractual</w:t>
            </w:r>
            <w:r>
              <w:rPr>
                <w:rFonts w:ascii="Verdana" w:eastAsia="Calibri" w:hAnsi="Verdana" w:cs="Arial"/>
                <w:lang w:val="es-ES" w:eastAsia="es-ES"/>
              </w:rPr>
              <w:t xml:space="preserve">, lo cual busca </w:t>
            </w:r>
            <w:r w:rsidRPr="00107313">
              <w:rPr>
                <w:rFonts w:ascii="Verdana" w:eastAsia="Calibri" w:hAnsi="Verdana" w:cs="Arial"/>
                <w:lang w:eastAsia="es-ES"/>
              </w:rPr>
              <w:t>asegura</w:t>
            </w:r>
            <w:r>
              <w:rPr>
                <w:rFonts w:ascii="Verdana" w:eastAsia="Calibri" w:hAnsi="Verdana" w:cs="Arial"/>
                <w:lang w:eastAsia="es-ES"/>
              </w:rPr>
              <w:t>r</w:t>
            </w:r>
            <w:r w:rsidRPr="00107313">
              <w:rPr>
                <w:rFonts w:ascii="Verdana" w:eastAsia="Calibri" w:hAnsi="Verdana" w:cs="Arial"/>
                <w:lang w:eastAsia="es-ES"/>
              </w:rPr>
              <w:t xml:space="preserve"> que todos los procedimientos y prácticas estén alineados con la normativa legal y regulatoria aplicable</w:t>
            </w:r>
            <w:r>
              <w:rPr>
                <w:rFonts w:ascii="Verdana" w:eastAsia="Calibri" w:hAnsi="Verdana" w:cs="Arial"/>
                <w:lang w:eastAsia="es-ES"/>
              </w:rPr>
              <w:t xml:space="preserve">. </w:t>
            </w:r>
          </w:p>
          <w:p w14:paraId="4153C0FB" w14:textId="2CF8A366" w:rsidR="00F5053E" w:rsidRPr="00F95E8A" w:rsidRDefault="00F5053E" w:rsidP="00A87ED7">
            <w:pPr>
              <w:spacing w:after="120" w:line="276" w:lineRule="auto"/>
              <w:jc w:val="both"/>
              <w:rPr>
                <w:rFonts w:ascii="Verdana" w:eastAsia="Calibri" w:hAnsi="Verdana" w:cs="Arial"/>
                <w:bCs/>
                <w:lang w:val="es-ES_tradnl"/>
              </w:rPr>
            </w:pPr>
          </w:p>
        </w:tc>
      </w:tr>
    </w:tbl>
    <w:p w14:paraId="5ACAE4A0" w14:textId="77777777" w:rsidR="00F5053E" w:rsidRPr="00593A5F" w:rsidRDefault="00F5053E" w:rsidP="00F5053E">
      <w:pPr>
        <w:tabs>
          <w:tab w:val="left" w:pos="142"/>
          <w:tab w:val="left" w:pos="284"/>
        </w:tabs>
        <w:spacing w:after="0" w:line="276" w:lineRule="auto"/>
        <w:jc w:val="both"/>
        <w:rPr>
          <w:rFonts w:ascii="Verdana" w:eastAsia="Century Gothic" w:hAnsi="Verdana" w:cs="Century Gothic"/>
          <w:b/>
          <w:bCs/>
          <w:lang w:val="es-ES"/>
        </w:rPr>
      </w:pPr>
    </w:p>
    <w:p w14:paraId="34B1AE8F" w14:textId="77777777" w:rsidR="00F5053E" w:rsidRDefault="00F5053E" w:rsidP="00F5053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04A053D3" w14:textId="77777777" w:rsidR="00E2135A" w:rsidRDefault="00E2135A" w:rsidP="00E2135A">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6FEA1943" w14:textId="40253487" w:rsidR="0018040B" w:rsidRPr="0018040B" w:rsidRDefault="0018040B" w:rsidP="00E864E6">
      <w:pPr>
        <w:pStyle w:val="Prrafodelista"/>
        <w:numPr>
          <w:ilvl w:val="0"/>
          <w:numId w:val="24"/>
        </w:numPr>
        <w:jc w:val="both"/>
        <w:rPr>
          <w:rFonts w:ascii="Verdana" w:hAnsi="Verdana"/>
        </w:rPr>
      </w:pPr>
      <w:r>
        <w:rPr>
          <w:rFonts w:ascii="Verdana" w:hAnsi="Verdana"/>
          <w:lang w:val="es-CO"/>
        </w:rPr>
        <w:lastRenderedPageBreak/>
        <w:t xml:space="preserve">Como primera medida, valga mencionar que, </w:t>
      </w:r>
      <w:r w:rsidRPr="0018040B">
        <w:rPr>
          <w:rFonts w:ascii="Verdana" w:hAnsi="Verdana"/>
          <w:lang w:val="es-CO"/>
        </w:rPr>
        <w:t>La adopción de los documentos tipo obligatorios en el ordenamiento jurídico colombiano se incluyó por primera vez en el parágrafo 3 del artículo 2 de la Ley 1150 de 20073, que facultó al gobierno nacional para expedirlos, pero solo cuando se tratara de la adquisición o suministro de bienes y servicios de características técnicas uniformes y de común utilización. Sin embargo, esta facultad no ha sido ejercida hasta la actualidad.</w:t>
      </w:r>
    </w:p>
    <w:p w14:paraId="00214CE9" w14:textId="77777777" w:rsidR="0018040B" w:rsidRPr="0018040B" w:rsidRDefault="0018040B" w:rsidP="0018040B">
      <w:pPr>
        <w:pStyle w:val="Prrafodelista"/>
        <w:jc w:val="both"/>
        <w:rPr>
          <w:rFonts w:ascii="Verdana" w:hAnsi="Verdana"/>
        </w:rPr>
      </w:pPr>
    </w:p>
    <w:p w14:paraId="4235ADFD" w14:textId="432B6D7E" w:rsidR="0018040B" w:rsidRPr="0018040B" w:rsidRDefault="0018040B" w:rsidP="00E864E6">
      <w:pPr>
        <w:pStyle w:val="Prrafodelista"/>
        <w:numPr>
          <w:ilvl w:val="0"/>
          <w:numId w:val="24"/>
        </w:numPr>
        <w:jc w:val="both"/>
        <w:rPr>
          <w:rFonts w:ascii="Verdana" w:hAnsi="Verdana"/>
        </w:rPr>
      </w:pPr>
      <w:r w:rsidRPr="0018040B">
        <w:rPr>
          <w:rFonts w:ascii="Verdana" w:hAnsi="Verdana"/>
          <w:lang w:val="es-CO"/>
        </w:rPr>
        <w:t>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w:t>
      </w:r>
    </w:p>
    <w:p w14:paraId="6526800B" w14:textId="77777777" w:rsidR="0018040B" w:rsidRPr="0018040B" w:rsidRDefault="0018040B" w:rsidP="0018040B">
      <w:pPr>
        <w:pStyle w:val="Prrafodelista"/>
        <w:rPr>
          <w:rFonts w:ascii="Verdana" w:hAnsi="Verdana"/>
        </w:rPr>
      </w:pPr>
    </w:p>
    <w:p w14:paraId="6E12DFF4" w14:textId="53ECFFB2" w:rsidR="0018040B" w:rsidRPr="0018040B" w:rsidRDefault="0018040B" w:rsidP="00E864E6">
      <w:pPr>
        <w:pStyle w:val="Prrafodelista"/>
        <w:numPr>
          <w:ilvl w:val="0"/>
          <w:numId w:val="24"/>
        </w:numPr>
        <w:jc w:val="both"/>
        <w:rPr>
          <w:rFonts w:ascii="Verdana" w:hAnsi="Verdana"/>
        </w:rPr>
      </w:pPr>
      <w:r w:rsidRPr="0018040B">
        <w:rPr>
          <w:rFonts w:ascii="Verdana" w:hAnsi="Verdana"/>
          <w:lang w:val="es-CO"/>
        </w:rPr>
        <w:t>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w:t>
      </w:r>
      <w:r>
        <w:rPr>
          <w:rFonts w:ascii="Verdana" w:hAnsi="Verdana"/>
          <w:lang w:val="es-CO"/>
        </w:rPr>
        <w:t xml:space="preserve"> </w:t>
      </w:r>
      <w:r w:rsidRPr="0018040B">
        <w:rPr>
          <w:rFonts w:ascii="Verdana" w:hAnsi="Verdana"/>
          <w:lang w:val="es-CO"/>
        </w:rPr>
        <w:t>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w:t>
      </w:r>
    </w:p>
    <w:p w14:paraId="7E7106D9" w14:textId="77777777" w:rsidR="0018040B" w:rsidRPr="0018040B" w:rsidRDefault="0018040B" w:rsidP="0018040B">
      <w:pPr>
        <w:pStyle w:val="Prrafodelista"/>
        <w:rPr>
          <w:rFonts w:ascii="Verdana" w:hAnsi="Verdana"/>
        </w:rPr>
      </w:pPr>
    </w:p>
    <w:p w14:paraId="0BACC793" w14:textId="4A6C702F" w:rsidR="0018040B" w:rsidRPr="00A60E52" w:rsidRDefault="0018040B" w:rsidP="00E864E6">
      <w:pPr>
        <w:pStyle w:val="Prrafodelista"/>
        <w:numPr>
          <w:ilvl w:val="0"/>
          <w:numId w:val="24"/>
        </w:numPr>
        <w:jc w:val="both"/>
        <w:rPr>
          <w:rFonts w:ascii="Verdana" w:hAnsi="Verdana"/>
        </w:rPr>
      </w:pPr>
      <w:r w:rsidRPr="0018040B">
        <w:rPr>
          <w:rFonts w:ascii="Verdana" w:hAnsi="Verdana"/>
          <w:lang w:val="es-CO"/>
        </w:rPr>
        <w:t xml:space="preserve">De la norma descrita se concluía </w:t>
      </w:r>
      <w:r>
        <w:rPr>
          <w:rFonts w:ascii="Verdana" w:hAnsi="Verdana"/>
          <w:lang w:val="es-CO"/>
        </w:rPr>
        <w:t xml:space="preserve">que </w:t>
      </w:r>
      <w:r w:rsidRPr="0018040B">
        <w:rPr>
          <w:rFonts w:ascii="Verdana" w:hAnsi="Verdana"/>
          <w:lang w:val="es-CO"/>
        </w:rPr>
        <w:t>la adopción de los documentos tipo</w:t>
      </w:r>
      <w:r>
        <w:rPr>
          <w:rFonts w:ascii="Verdana" w:hAnsi="Verdana"/>
          <w:lang w:val="es-CO"/>
        </w:rPr>
        <w:t xml:space="preserve"> expedidos hasta ahora</w:t>
      </w:r>
      <w:r w:rsidRPr="0018040B">
        <w:rPr>
          <w:rFonts w:ascii="Verdana" w:hAnsi="Verdana"/>
          <w:lang w:val="es-CO"/>
        </w:rPr>
        <w:t xml:space="preserve"> estaba en cabeza del gobierno nacional</w:t>
      </w:r>
      <w:r w:rsidR="00A60E52">
        <w:rPr>
          <w:rFonts w:ascii="Verdana" w:hAnsi="Verdana"/>
          <w:lang w:val="es-CO"/>
        </w:rPr>
        <w:t xml:space="preserve">, que </w:t>
      </w:r>
      <w:r w:rsidR="00A60E52" w:rsidRPr="00A60E52">
        <w:rPr>
          <w:rFonts w:ascii="Verdana" w:hAnsi="Verdana"/>
          <w:lang w:val="es-CO"/>
        </w:rPr>
        <w:t>eran de obligatorio cumplimiento por parte de todas las entidades sometidas al Estatuto General de Contratación de la Administración Pública</w:t>
      </w:r>
      <w:r w:rsidR="00A60E52">
        <w:rPr>
          <w:rFonts w:ascii="Verdana" w:hAnsi="Verdana"/>
          <w:lang w:val="es-CO"/>
        </w:rPr>
        <w:t xml:space="preserve"> y que </w:t>
      </w:r>
      <w:r w:rsidR="00A60E52" w:rsidRPr="00A60E52">
        <w:rPr>
          <w:rFonts w:ascii="Verdana" w:hAnsi="Verdana"/>
          <w:lang w:val="es-CO"/>
        </w:rPr>
        <w:t>se indicarían las condiciones generales de los requisitos habilitantes, así como los factores técnicos y económicos de escogencia, según correspondiera para cada modalidad de selección</w:t>
      </w:r>
      <w:r w:rsidR="00A60E52">
        <w:rPr>
          <w:rFonts w:ascii="Verdana" w:hAnsi="Verdana"/>
          <w:lang w:val="es-CO"/>
        </w:rPr>
        <w:t xml:space="preserve">. </w:t>
      </w:r>
    </w:p>
    <w:p w14:paraId="2824ADC0" w14:textId="77777777" w:rsidR="00A60E52" w:rsidRPr="00A60E52" w:rsidRDefault="00A60E52" w:rsidP="00A60E52">
      <w:pPr>
        <w:pStyle w:val="Prrafodelista"/>
        <w:rPr>
          <w:rFonts w:ascii="Verdana" w:hAnsi="Verdana"/>
        </w:rPr>
      </w:pPr>
    </w:p>
    <w:p w14:paraId="756E6BA6" w14:textId="0213C2FB" w:rsidR="00A60E52" w:rsidRPr="0018040B" w:rsidRDefault="00A60E52" w:rsidP="00E864E6">
      <w:pPr>
        <w:pStyle w:val="Prrafodelista"/>
        <w:numPr>
          <w:ilvl w:val="0"/>
          <w:numId w:val="24"/>
        </w:numPr>
        <w:jc w:val="both"/>
        <w:rPr>
          <w:rFonts w:ascii="Verdana" w:hAnsi="Verdana"/>
        </w:rPr>
      </w:pPr>
      <w:r>
        <w:rPr>
          <w:rFonts w:ascii="Verdana" w:hAnsi="Verdana"/>
          <w:lang w:val="es-CO"/>
        </w:rPr>
        <w:t>Ahora bien, e</w:t>
      </w:r>
      <w:r w:rsidRPr="00A60E52">
        <w:rPr>
          <w:rFonts w:ascii="Verdana" w:hAnsi="Verdana"/>
          <w:lang w:val="es-CO"/>
        </w:rPr>
        <w:t>sta norma fue estudiada por la Corte Constitucional en la Sentencia C-119 de 2020</w:t>
      </w:r>
      <w:r w:rsidR="00EE4CE0">
        <w:rPr>
          <w:rStyle w:val="Refdenotaalpie"/>
          <w:rFonts w:ascii="Verdana" w:hAnsi="Verdana"/>
          <w:lang w:val="es-CO"/>
        </w:rPr>
        <w:footnoteReference w:id="1"/>
      </w:r>
      <w:r w:rsidRPr="00A60E52">
        <w:rPr>
          <w:rFonts w:ascii="Verdana" w:hAnsi="Verdana"/>
          <w:lang w:val="es-CO"/>
        </w:rPr>
        <w:t xml:space="preserve">. Al respecto, indicó que la adopción de los </w:t>
      </w:r>
      <w:r w:rsidRPr="00A60E52">
        <w:rPr>
          <w:rFonts w:ascii="Verdana" w:hAnsi="Verdana"/>
          <w:lang w:val="es-CO"/>
        </w:rPr>
        <w:lastRenderedPageBreak/>
        <w:t>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 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w:t>
      </w:r>
      <w:r>
        <w:rPr>
          <w:rFonts w:ascii="Verdana" w:hAnsi="Verdana"/>
          <w:lang w:val="es-CO"/>
        </w:rPr>
        <w:t xml:space="preserve"> </w:t>
      </w:r>
      <w:r w:rsidRPr="00A60E52">
        <w:rPr>
          <w:rFonts w:ascii="Verdana" w:hAnsi="Verdana"/>
          <w:lang w:val="es-CO"/>
        </w:rPr>
        <w:t>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00FE19AE" w14:textId="77777777" w:rsidR="0018040B" w:rsidRDefault="0018040B" w:rsidP="0018040B">
      <w:pPr>
        <w:pStyle w:val="Prrafodelista"/>
        <w:jc w:val="both"/>
        <w:rPr>
          <w:rFonts w:ascii="Verdana" w:hAnsi="Verdana"/>
        </w:rPr>
      </w:pPr>
    </w:p>
    <w:p w14:paraId="063930EC" w14:textId="36F85538" w:rsidR="00E2135A" w:rsidRPr="00E864E6" w:rsidRDefault="00E864E6" w:rsidP="00E864E6">
      <w:pPr>
        <w:pStyle w:val="Prrafodelista"/>
        <w:numPr>
          <w:ilvl w:val="0"/>
          <w:numId w:val="24"/>
        </w:numPr>
        <w:jc w:val="both"/>
        <w:rPr>
          <w:rFonts w:ascii="Verdana" w:hAnsi="Verdana"/>
        </w:rPr>
      </w:pPr>
      <w:r w:rsidRPr="00E864E6">
        <w:rPr>
          <w:rFonts w:ascii="Verdana" w:hAnsi="Verdana"/>
        </w:rPr>
        <w:t>E</w:t>
      </w:r>
      <w:r w:rsidR="00E2135A" w:rsidRPr="00E864E6">
        <w:rPr>
          <w:rFonts w:ascii="Verdana" w:hAnsi="Verdana"/>
        </w:rPr>
        <w:t>l inciso 3° del artículo 40 de la Ley 80 de 1993, señala que las entidades podrán incluir las modalidades, condiciones y en general, las cláusulas o estipulaciones que las partes consideren necesarias y convenientes, siempre que no sean contrarias a la Constitución y la ley, al orden público y a los principios y finalidades de la ley y a los de buena administración, En este orden de ideas, las entidades sometidas al EGCAP gozan de autonomía para configurar y para establecer el sistema de pago más apropiado para satisfacer los fines de la contratación, respetando los límites previstos en el ordenamiento jurídico.</w:t>
      </w:r>
    </w:p>
    <w:p w14:paraId="5B16899A" w14:textId="77777777" w:rsidR="00E2135A" w:rsidRPr="00E2135A" w:rsidRDefault="00E2135A" w:rsidP="00E2135A">
      <w:pPr>
        <w:pStyle w:val="Prrafodelista"/>
        <w:jc w:val="both"/>
        <w:rPr>
          <w:rFonts w:ascii="Century Gothic" w:hAnsi="Century Gothic"/>
        </w:rPr>
      </w:pPr>
    </w:p>
    <w:p w14:paraId="78B0ED7A" w14:textId="0C0BC23C" w:rsidR="00E2135A" w:rsidRPr="00E864E6" w:rsidRDefault="00E864E6" w:rsidP="00E2135A">
      <w:pPr>
        <w:pStyle w:val="Prrafodelista"/>
        <w:numPr>
          <w:ilvl w:val="0"/>
          <w:numId w:val="23"/>
        </w:numPr>
        <w:tabs>
          <w:tab w:val="left" w:pos="142"/>
          <w:tab w:val="left" w:pos="284"/>
        </w:tabs>
        <w:spacing w:after="0" w:line="276" w:lineRule="auto"/>
        <w:contextualSpacing w:val="0"/>
        <w:jc w:val="both"/>
        <w:rPr>
          <w:rFonts w:ascii="Verdana" w:eastAsia="Century Gothic" w:hAnsi="Verdana" w:cs="Century Gothic"/>
        </w:rPr>
      </w:pPr>
      <w:r w:rsidRPr="00E864E6">
        <w:rPr>
          <w:rFonts w:ascii="Verdana" w:eastAsia="Century Gothic" w:hAnsi="Verdana" w:cs="Century Gothic"/>
          <w:lang w:val="es-CO"/>
        </w:rPr>
        <w:t xml:space="preserve">Considerando la discrecionalidad para establecer el requisito habilitante, es necesario tener en cuenta que el artículo 44 de la Ley 1437 de 2011 –aplicable en los procedimientos contractuales en virtud del artículo 77 de la Ley 80 de 1993– dispone que “En la medida en que el contenido de una decisión de carácter general o particular sea discrecional, debe ser adecuada a los fines de la norma que la autoriza, y proporcional a los hechos que le sirven de causa”. En consecuencia, para efectos de los escenarios descritos </w:t>
      </w:r>
      <w:r w:rsidR="00A60E52">
        <w:rPr>
          <w:rFonts w:ascii="Verdana" w:eastAsia="Century Gothic" w:hAnsi="Verdana" w:cs="Century Gothic"/>
          <w:lang w:val="es-CO"/>
        </w:rPr>
        <w:t>en la pregunta objeto de respuesta</w:t>
      </w:r>
      <w:r w:rsidRPr="00E864E6">
        <w:rPr>
          <w:rFonts w:ascii="Verdana" w:eastAsia="Century Gothic" w:hAnsi="Verdana" w:cs="Century Gothic"/>
          <w:lang w:val="es-CO"/>
        </w:rPr>
        <w:t>, la inclusión o exclusión de</w:t>
      </w:r>
      <w:r w:rsidR="00A60E52">
        <w:rPr>
          <w:rFonts w:ascii="Verdana" w:eastAsia="Century Gothic" w:hAnsi="Verdana" w:cs="Century Gothic"/>
          <w:lang w:val="es-CO"/>
        </w:rPr>
        <w:t xml:space="preserve">l requisito mencionado en un proceso de contratación al que </w:t>
      </w:r>
      <w:r w:rsidR="00A60E52">
        <w:rPr>
          <w:rFonts w:ascii="Verdana" w:eastAsia="Century Gothic" w:hAnsi="Verdana" w:cs="Century Gothic"/>
          <w:lang w:val="es-CO"/>
        </w:rPr>
        <w:lastRenderedPageBreak/>
        <w:t xml:space="preserve">por su objeto y/o naturaleza no aplique las condiciones del pliego tipo, </w:t>
      </w:r>
      <w:r w:rsidRPr="00E864E6">
        <w:rPr>
          <w:rFonts w:ascii="Verdana" w:eastAsia="Century Gothic" w:hAnsi="Verdana" w:cs="Century Gothic"/>
          <w:lang w:val="es-CO"/>
        </w:rPr>
        <w:t xml:space="preserve">está unida a la carga justificativa </w:t>
      </w:r>
      <w:r w:rsidR="00A60E52">
        <w:rPr>
          <w:rFonts w:ascii="Verdana" w:eastAsia="Century Gothic" w:hAnsi="Verdana" w:cs="Century Gothic"/>
          <w:lang w:val="es-CO"/>
        </w:rPr>
        <w:t xml:space="preserve">y discrecional </w:t>
      </w:r>
      <w:r w:rsidRPr="00E864E6">
        <w:rPr>
          <w:rFonts w:ascii="Verdana" w:eastAsia="Century Gothic" w:hAnsi="Verdana" w:cs="Century Gothic"/>
          <w:lang w:val="es-CO"/>
        </w:rPr>
        <w:t>de la Entidad Estatal en los estudios y documentos previos del proceso de selección.</w:t>
      </w:r>
    </w:p>
    <w:p w14:paraId="6AD02F2F" w14:textId="7699E5BA" w:rsidR="00F5053E" w:rsidRDefault="00F5053E" w:rsidP="00F5053E">
      <w:pPr>
        <w:spacing w:after="0" w:line="276" w:lineRule="auto"/>
        <w:jc w:val="both"/>
        <w:rPr>
          <w:rFonts w:ascii="Verdana" w:eastAsia="Calibri" w:hAnsi="Verdana" w:cs="Arial"/>
          <w:lang w:val="es-ES"/>
        </w:rPr>
      </w:pPr>
    </w:p>
    <w:p w14:paraId="4FAF0D44" w14:textId="77777777" w:rsidR="00F5053E" w:rsidRDefault="00F5053E" w:rsidP="00F5053E">
      <w:pPr>
        <w:spacing w:after="0" w:line="276" w:lineRule="auto"/>
        <w:jc w:val="both"/>
        <w:rPr>
          <w:rFonts w:ascii="Verdana" w:eastAsia="Calibri" w:hAnsi="Verdana" w:cs="Arial"/>
          <w:lang w:val="es-ES"/>
        </w:rPr>
      </w:pPr>
    </w:p>
    <w:p w14:paraId="1A57E1EA" w14:textId="77777777" w:rsidR="00F5053E" w:rsidRPr="00EA455F" w:rsidRDefault="00F5053E" w:rsidP="00F5053E">
      <w:pPr>
        <w:spacing w:after="0" w:line="276" w:lineRule="auto"/>
        <w:jc w:val="both"/>
        <w:rPr>
          <w:rFonts w:ascii="Verdana" w:eastAsia="Calibri" w:hAnsi="Verdana" w:cs="Arial"/>
          <w:lang w:val="es-ES_tradnl"/>
        </w:rPr>
      </w:pPr>
    </w:p>
    <w:p w14:paraId="38828408" w14:textId="77777777" w:rsidR="00F5053E" w:rsidRPr="00593A5F" w:rsidRDefault="00F5053E" w:rsidP="00F5053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020FFF53" w14:textId="77777777" w:rsidR="00F5053E" w:rsidRPr="00593A5F" w:rsidRDefault="00F5053E" w:rsidP="00F5053E">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5053E" w:rsidRPr="00593A5F" w14:paraId="4CB39ED1" w14:textId="77777777" w:rsidTr="00A87ED7">
        <w:trPr>
          <w:trHeight w:val="870"/>
        </w:trPr>
        <w:tc>
          <w:tcPr>
            <w:tcW w:w="8647" w:type="dxa"/>
          </w:tcPr>
          <w:p w14:paraId="1D25C451" w14:textId="7AF4F8FD" w:rsidR="00B6594E" w:rsidRPr="00B6594E" w:rsidRDefault="00B6594E" w:rsidP="00A87ED7">
            <w:pPr>
              <w:pStyle w:val="Textonotapie"/>
              <w:numPr>
                <w:ilvl w:val="0"/>
                <w:numId w:val="18"/>
              </w:numPr>
              <w:rPr>
                <w:sz w:val="22"/>
                <w:szCs w:val="22"/>
                <w:lang w:val="es-CO"/>
              </w:rPr>
            </w:pPr>
            <w:r>
              <w:rPr>
                <w:rFonts w:ascii="Verdana" w:hAnsi="Verdana"/>
                <w:sz w:val="22"/>
                <w:szCs w:val="22"/>
                <w:lang w:val="es-CO"/>
              </w:rPr>
              <w:t>A</w:t>
            </w:r>
            <w:r w:rsidRPr="00B6594E">
              <w:rPr>
                <w:rFonts w:ascii="Verdana" w:hAnsi="Verdana"/>
                <w:sz w:val="22"/>
                <w:szCs w:val="22"/>
                <w:lang w:val="es-CO"/>
              </w:rPr>
              <w:t>rtículo 2 de la Ley 1150 de 2007</w:t>
            </w:r>
            <w:r>
              <w:rPr>
                <w:rFonts w:ascii="Verdana" w:hAnsi="Verdana"/>
                <w:sz w:val="22"/>
                <w:szCs w:val="22"/>
                <w:lang w:val="es-CO"/>
              </w:rPr>
              <w:t xml:space="preserve"> - P</w:t>
            </w:r>
            <w:r w:rsidRPr="00B6594E">
              <w:rPr>
                <w:rFonts w:ascii="Verdana" w:hAnsi="Verdana"/>
                <w:sz w:val="22"/>
                <w:szCs w:val="22"/>
                <w:lang w:val="es-CO"/>
              </w:rPr>
              <w:t>arágrafo 3</w:t>
            </w:r>
            <w:r w:rsidR="00EE4CE0">
              <w:rPr>
                <w:rFonts w:ascii="Verdana" w:hAnsi="Verdana"/>
                <w:sz w:val="22"/>
                <w:szCs w:val="22"/>
                <w:lang w:val="es-CO"/>
              </w:rPr>
              <w:t>°</w:t>
            </w:r>
          </w:p>
          <w:p w14:paraId="02573BE3" w14:textId="0E7EC807" w:rsidR="00B6594E" w:rsidRPr="00EE4CE0" w:rsidRDefault="00EE4CE0" w:rsidP="00A87ED7">
            <w:pPr>
              <w:pStyle w:val="Prrafodelista"/>
              <w:widowControl w:val="0"/>
              <w:numPr>
                <w:ilvl w:val="0"/>
                <w:numId w:val="17"/>
              </w:numPr>
              <w:autoSpaceDE w:val="0"/>
              <w:autoSpaceDN w:val="0"/>
              <w:spacing w:after="120" w:line="276" w:lineRule="auto"/>
              <w:contextualSpacing w:val="0"/>
              <w:jc w:val="both"/>
              <w:rPr>
                <w:rFonts w:ascii="Verdana" w:hAnsi="Verdana" w:cs="Arial"/>
                <w:sz w:val="21"/>
                <w:szCs w:val="21"/>
              </w:rPr>
            </w:pPr>
            <w:r>
              <w:rPr>
                <w:rFonts w:ascii="Verdana" w:hAnsi="Verdana"/>
                <w:lang w:val="es-CO"/>
              </w:rPr>
              <w:t>A</w:t>
            </w:r>
            <w:r w:rsidR="00B6594E" w:rsidRPr="0018040B">
              <w:rPr>
                <w:rFonts w:ascii="Verdana" w:hAnsi="Verdana"/>
                <w:lang w:val="es-CO"/>
              </w:rPr>
              <w:t xml:space="preserve">rtículo 4 de la Ley 1882 de 2018 </w:t>
            </w:r>
          </w:p>
          <w:p w14:paraId="682944E0" w14:textId="13388939" w:rsidR="00EE4CE0" w:rsidRPr="00B6594E" w:rsidRDefault="00EE4CE0" w:rsidP="00A87ED7">
            <w:pPr>
              <w:pStyle w:val="Prrafodelista"/>
              <w:widowControl w:val="0"/>
              <w:numPr>
                <w:ilvl w:val="0"/>
                <w:numId w:val="17"/>
              </w:numPr>
              <w:autoSpaceDE w:val="0"/>
              <w:autoSpaceDN w:val="0"/>
              <w:spacing w:after="120" w:line="276" w:lineRule="auto"/>
              <w:contextualSpacing w:val="0"/>
              <w:jc w:val="both"/>
              <w:rPr>
                <w:rFonts w:ascii="Verdana" w:hAnsi="Verdana" w:cs="Arial"/>
                <w:sz w:val="21"/>
                <w:szCs w:val="21"/>
              </w:rPr>
            </w:pPr>
            <w:r>
              <w:rPr>
                <w:rFonts w:ascii="Verdana" w:hAnsi="Verdana"/>
              </w:rPr>
              <w:t>A</w:t>
            </w:r>
            <w:r w:rsidRPr="00E864E6">
              <w:rPr>
                <w:rFonts w:ascii="Verdana" w:hAnsi="Verdana"/>
              </w:rPr>
              <w:t>rtículo 40 de la Ley 80 de 1993</w:t>
            </w:r>
            <w:r>
              <w:rPr>
                <w:rFonts w:ascii="Verdana" w:hAnsi="Verdana"/>
              </w:rPr>
              <w:t xml:space="preserve"> – Inciso 3°</w:t>
            </w:r>
          </w:p>
          <w:p w14:paraId="4FB5ED38" w14:textId="77777777" w:rsidR="00B6594E" w:rsidRPr="00EE4CE0" w:rsidRDefault="00B6594E" w:rsidP="00A87ED7">
            <w:pPr>
              <w:pStyle w:val="Prrafodelista"/>
              <w:widowControl w:val="0"/>
              <w:numPr>
                <w:ilvl w:val="0"/>
                <w:numId w:val="17"/>
              </w:numPr>
              <w:autoSpaceDE w:val="0"/>
              <w:autoSpaceDN w:val="0"/>
              <w:spacing w:after="120" w:line="276" w:lineRule="auto"/>
              <w:contextualSpacing w:val="0"/>
              <w:jc w:val="both"/>
              <w:rPr>
                <w:rFonts w:ascii="Verdana" w:hAnsi="Verdana" w:cs="Arial"/>
                <w:sz w:val="21"/>
                <w:szCs w:val="21"/>
              </w:rPr>
            </w:pPr>
            <w:r w:rsidRPr="00A60E52">
              <w:rPr>
                <w:rFonts w:ascii="Verdana" w:hAnsi="Verdana"/>
                <w:lang w:val="es-CO"/>
              </w:rPr>
              <w:t>Sentencia C-119 de 2020</w:t>
            </w:r>
          </w:p>
          <w:p w14:paraId="526FBA20" w14:textId="608FD97C" w:rsidR="00EE4CE0" w:rsidRPr="00EE4CE0" w:rsidRDefault="00EE4CE0" w:rsidP="00A87ED7">
            <w:pPr>
              <w:pStyle w:val="Prrafodelista"/>
              <w:widowControl w:val="0"/>
              <w:numPr>
                <w:ilvl w:val="0"/>
                <w:numId w:val="17"/>
              </w:numPr>
              <w:autoSpaceDE w:val="0"/>
              <w:autoSpaceDN w:val="0"/>
              <w:spacing w:after="120" w:line="276" w:lineRule="auto"/>
              <w:contextualSpacing w:val="0"/>
              <w:jc w:val="both"/>
              <w:rPr>
                <w:rFonts w:ascii="Verdana" w:hAnsi="Verdana" w:cs="Arial"/>
                <w:sz w:val="21"/>
                <w:szCs w:val="21"/>
              </w:rPr>
            </w:pPr>
            <w:r>
              <w:rPr>
                <w:rFonts w:ascii="Verdana" w:eastAsia="Century Gothic" w:hAnsi="Verdana" w:cs="Century Gothic"/>
                <w:lang w:val="es-CO"/>
              </w:rPr>
              <w:t>A</w:t>
            </w:r>
            <w:r w:rsidRPr="00E864E6">
              <w:rPr>
                <w:rFonts w:ascii="Verdana" w:eastAsia="Century Gothic" w:hAnsi="Verdana" w:cs="Century Gothic"/>
                <w:lang w:val="es-CO"/>
              </w:rPr>
              <w:t>rtículo 44 de la Ley 1437 de 2011</w:t>
            </w:r>
          </w:p>
          <w:p w14:paraId="52C685ED" w14:textId="2D9F61B3" w:rsidR="00EE4CE0" w:rsidRPr="00B6594E" w:rsidRDefault="00EE4CE0" w:rsidP="00A87ED7">
            <w:pPr>
              <w:pStyle w:val="Prrafodelista"/>
              <w:widowControl w:val="0"/>
              <w:numPr>
                <w:ilvl w:val="0"/>
                <w:numId w:val="17"/>
              </w:numPr>
              <w:autoSpaceDE w:val="0"/>
              <w:autoSpaceDN w:val="0"/>
              <w:spacing w:after="120" w:line="276" w:lineRule="auto"/>
              <w:contextualSpacing w:val="0"/>
              <w:jc w:val="both"/>
              <w:rPr>
                <w:rFonts w:ascii="Verdana" w:hAnsi="Verdana" w:cs="Arial"/>
                <w:sz w:val="21"/>
                <w:szCs w:val="21"/>
              </w:rPr>
            </w:pPr>
            <w:r>
              <w:rPr>
                <w:rFonts w:ascii="Verdana" w:eastAsia="Century Gothic" w:hAnsi="Verdana" w:cs="Century Gothic"/>
                <w:lang w:val="es-CO"/>
              </w:rPr>
              <w:t>A</w:t>
            </w:r>
            <w:r w:rsidRPr="00E864E6">
              <w:rPr>
                <w:rFonts w:ascii="Verdana" w:eastAsia="Century Gothic" w:hAnsi="Verdana" w:cs="Century Gothic"/>
                <w:lang w:val="es-CO"/>
              </w:rPr>
              <w:t>rtículo 77 de la Ley 80 de 1993</w:t>
            </w:r>
          </w:p>
          <w:p w14:paraId="24943FEB" w14:textId="6FEC1A32" w:rsidR="00F5053E" w:rsidRPr="00A4046A" w:rsidRDefault="00F5053E" w:rsidP="00A87ED7">
            <w:pPr>
              <w:pStyle w:val="Prrafodelista"/>
              <w:widowControl w:val="0"/>
              <w:numPr>
                <w:ilvl w:val="0"/>
                <w:numId w:val="17"/>
              </w:numPr>
              <w:autoSpaceDE w:val="0"/>
              <w:autoSpaceDN w:val="0"/>
              <w:spacing w:after="120" w:line="276" w:lineRule="auto"/>
              <w:contextualSpacing w:val="0"/>
              <w:jc w:val="both"/>
              <w:rPr>
                <w:rFonts w:ascii="Verdana" w:hAnsi="Verdana" w:cs="Arial"/>
                <w:sz w:val="21"/>
                <w:szCs w:val="21"/>
              </w:rPr>
            </w:pPr>
            <w:r w:rsidRPr="00A4046A">
              <w:rPr>
                <w:rFonts w:ascii="Verdana" w:hAnsi="Verdana" w:cs="Arial"/>
                <w:sz w:val="21"/>
                <w:szCs w:val="21"/>
              </w:rPr>
              <w:t xml:space="preserve">Jurisprudencia del Consejo de Estado. Disponible en: </w:t>
            </w:r>
            <w:hyperlink r:id="rId13" w:history="1">
              <w:r w:rsidRPr="0066366A">
                <w:rPr>
                  <w:rStyle w:val="Hipervnculo"/>
                  <w:rFonts w:ascii="Verdana" w:hAnsi="Verdana" w:cs="Arial"/>
                  <w:sz w:val="21"/>
                  <w:szCs w:val="21"/>
                </w:rPr>
                <w:t>https://relatoria.colombiacompra.gov.co/providencias-consejo-de-estado/</w:t>
              </w:r>
            </w:hyperlink>
            <w:r w:rsidRPr="00A4046A">
              <w:rPr>
                <w:rFonts w:ascii="Verdana" w:hAnsi="Verdana" w:cs="Arial"/>
                <w:sz w:val="21"/>
                <w:szCs w:val="21"/>
              </w:rPr>
              <w:t xml:space="preserve"> </w:t>
            </w:r>
          </w:p>
          <w:p w14:paraId="6664EF0A" w14:textId="77777777" w:rsidR="00F5053E" w:rsidRPr="00A4046A" w:rsidRDefault="00F5053E" w:rsidP="00A87ED7">
            <w:pPr>
              <w:pStyle w:val="Prrafodelista"/>
              <w:widowControl w:val="0"/>
              <w:numPr>
                <w:ilvl w:val="0"/>
                <w:numId w:val="17"/>
              </w:numPr>
              <w:autoSpaceDE w:val="0"/>
              <w:autoSpaceDN w:val="0"/>
              <w:spacing w:after="120" w:line="276" w:lineRule="auto"/>
              <w:contextualSpacing w:val="0"/>
              <w:jc w:val="both"/>
              <w:rPr>
                <w:rFonts w:ascii="Verdana" w:hAnsi="Verdana" w:cs="Arial"/>
                <w:sz w:val="21"/>
                <w:szCs w:val="21"/>
              </w:rPr>
            </w:pPr>
            <w:r w:rsidRPr="00A4046A">
              <w:rPr>
                <w:rFonts w:ascii="Verdana" w:hAnsi="Verdana" w:cs="Arial"/>
                <w:sz w:val="21"/>
                <w:szCs w:val="21"/>
              </w:rPr>
              <w:t>Guías y manuales expedidos por la ANCP-CCE. Disponible en:</w:t>
            </w:r>
            <w:r w:rsidRPr="00A4046A">
              <w:rPr>
                <w:sz w:val="21"/>
                <w:szCs w:val="21"/>
              </w:rPr>
              <w:t xml:space="preserve"> </w:t>
            </w:r>
            <w:hyperlink r:id="rId14" w:history="1">
              <w:r w:rsidRPr="00A4046A">
                <w:rPr>
                  <w:rStyle w:val="Hipervnculo"/>
                  <w:rFonts w:ascii="Verdana" w:hAnsi="Verdana" w:cs="Arial"/>
                  <w:sz w:val="21"/>
                  <w:szCs w:val="21"/>
                </w:rPr>
                <w:t>https://www.colombiacompra.gov.co/manuales-guias-y-pliegos-tipo/manuales-y-guias</w:t>
              </w:r>
            </w:hyperlink>
            <w:r w:rsidRPr="00A4046A">
              <w:rPr>
                <w:rFonts w:ascii="Verdana" w:hAnsi="Verdana" w:cs="Arial"/>
                <w:sz w:val="21"/>
                <w:szCs w:val="21"/>
              </w:rPr>
              <w:t xml:space="preserve"> </w:t>
            </w:r>
          </w:p>
          <w:p w14:paraId="49333636" w14:textId="77777777" w:rsidR="00F5053E" w:rsidRPr="00AC742F" w:rsidRDefault="00F5053E" w:rsidP="00A87ED7">
            <w:pPr>
              <w:widowControl w:val="0"/>
              <w:autoSpaceDE w:val="0"/>
              <w:autoSpaceDN w:val="0"/>
              <w:spacing w:after="120" w:line="276" w:lineRule="auto"/>
              <w:ind w:left="360"/>
              <w:jc w:val="both"/>
              <w:rPr>
                <w:rFonts w:ascii="Verdana" w:hAnsi="Verdana" w:cs="Arial"/>
              </w:rPr>
            </w:pPr>
          </w:p>
        </w:tc>
      </w:tr>
    </w:tbl>
    <w:p w14:paraId="21E092AB" w14:textId="77777777" w:rsidR="00F5053E" w:rsidRDefault="00F5053E" w:rsidP="00F5053E">
      <w:pPr>
        <w:widowControl w:val="0"/>
        <w:autoSpaceDE w:val="0"/>
        <w:autoSpaceDN w:val="0"/>
        <w:spacing w:after="0" w:line="276" w:lineRule="auto"/>
        <w:jc w:val="both"/>
        <w:rPr>
          <w:rFonts w:ascii="Verdana" w:hAnsi="Verdana" w:cs="Arial"/>
        </w:rPr>
      </w:pPr>
    </w:p>
    <w:p w14:paraId="173104D6" w14:textId="77777777" w:rsidR="00B6594E" w:rsidRPr="00593A5F" w:rsidRDefault="00B6594E" w:rsidP="00F5053E">
      <w:pPr>
        <w:widowControl w:val="0"/>
        <w:autoSpaceDE w:val="0"/>
        <w:autoSpaceDN w:val="0"/>
        <w:spacing w:after="0" w:line="276" w:lineRule="auto"/>
        <w:jc w:val="both"/>
        <w:rPr>
          <w:rFonts w:ascii="Verdana" w:hAnsi="Verdana" w:cs="Arial"/>
        </w:rPr>
      </w:pPr>
    </w:p>
    <w:p w14:paraId="3F675C53" w14:textId="77777777" w:rsidR="00F5053E" w:rsidRPr="00593A5F" w:rsidRDefault="00F5053E" w:rsidP="00F5053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7B4DAA73" w14:textId="77777777" w:rsidR="00F5053E" w:rsidRPr="00593A5F" w:rsidRDefault="00F5053E" w:rsidP="00F5053E">
      <w:pPr>
        <w:widowControl w:val="0"/>
        <w:autoSpaceDE w:val="0"/>
        <w:autoSpaceDN w:val="0"/>
        <w:spacing w:after="0" w:line="276" w:lineRule="auto"/>
        <w:jc w:val="both"/>
        <w:rPr>
          <w:rFonts w:ascii="Verdana" w:hAnsi="Verdana" w:cs="Arial"/>
        </w:rPr>
      </w:pPr>
    </w:p>
    <w:p w14:paraId="6D90F6DC" w14:textId="2DA931D5" w:rsidR="00F5053E" w:rsidRPr="00EE4CE0" w:rsidRDefault="00EE4CE0" w:rsidP="00EE4CE0">
      <w:pPr>
        <w:spacing w:after="120" w:line="276" w:lineRule="auto"/>
        <w:jc w:val="both"/>
        <w:rPr>
          <w:rStyle w:val="normaltextrun"/>
          <w:rFonts w:ascii="Verdana" w:eastAsia="Calibri" w:hAnsi="Verdana" w:cs="Arial"/>
          <w:lang w:eastAsia="es-ES"/>
        </w:rPr>
      </w:pPr>
      <w:r w:rsidRPr="00EE4CE0">
        <w:rPr>
          <w:rFonts w:ascii="Verdana" w:eastAsia="Calibri" w:hAnsi="Verdana" w:cs="Arial"/>
          <w:lang w:eastAsia="es-ES"/>
        </w:rPr>
        <w:t>La Agencia Nacional de Contratación Pública – Colombia Compra Eficiente–en adelante la ANCP-CCE– ha impartido lineamientos relativos al alcance de los</w:t>
      </w:r>
      <w:r>
        <w:rPr>
          <w:rFonts w:ascii="Verdana" w:eastAsia="Calibri" w:hAnsi="Verdana" w:cs="Arial"/>
          <w:lang w:eastAsia="es-ES"/>
        </w:rPr>
        <w:t xml:space="preserve"> </w:t>
      </w:r>
      <w:r w:rsidRPr="00EE4CE0">
        <w:rPr>
          <w:rFonts w:ascii="Verdana" w:eastAsia="Calibri" w:hAnsi="Verdana" w:cs="Arial"/>
          <w:lang w:eastAsia="es-ES"/>
        </w:rPr>
        <w:t>documentos tipo en las siguientes consultas C-144 del 2 de marzo de 2020, C-143</w:t>
      </w:r>
      <w:r>
        <w:rPr>
          <w:rFonts w:ascii="Verdana" w:eastAsia="Calibri" w:hAnsi="Verdana" w:cs="Arial"/>
          <w:lang w:eastAsia="es-ES"/>
        </w:rPr>
        <w:t xml:space="preserve"> </w:t>
      </w:r>
      <w:r w:rsidRPr="00EE4CE0">
        <w:rPr>
          <w:rFonts w:ascii="Verdana" w:eastAsia="Calibri" w:hAnsi="Verdana" w:cs="Arial"/>
          <w:lang w:eastAsia="es-ES"/>
        </w:rPr>
        <w:t>del 18 de marzo de 2020, C-286 del 26 de mayo de 2020, C-450 del 3 de agosto de</w:t>
      </w:r>
      <w:r>
        <w:rPr>
          <w:rFonts w:ascii="Verdana" w:eastAsia="Calibri" w:hAnsi="Verdana" w:cs="Arial"/>
          <w:lang w:eastAsia="es-ES"/>
        </w:rPr>
        <w:t xml:space="preserve"> </w:t>
      </w:r>
      <w:r w:rsidRPr="00EE4CE0">
        <w:rPr>
          <w:rFonts w:ascii="Verdana" w:eastAsia="Calibri" w:hAnsi="Verdana" w:cs="Arial"/>
          <w:lang w:eastAsia="es-ES"/>
        </w:rPr>
        <w:t>2020, C-643 del 26 de octubre de 2020, C-773 del 14 de enero de 2021, C-789 del 19</w:t>
      </w:r>
      <w:r>
        <w:rPr>
          <w:rFonts w:ascii="Verdana" w:eastAsia="Calibri" w:hAnsi="Verdana" w:cs="Arial"/>
          <w:lang w:eastAsia="es-ES"/>
        </w:rPr>
        <w:t xml:space="preserve"> </w:t>
      </w:r>
      <w:r w:rsidRPr="00EE4CE0">
        <w:rPr>
          <w:rFonts w:ascii="Verdana" w:eastAsia="Calibri" w:hAnsi="Verdana" w:cs="Arial"/>
          <w:lang w:eastAsia="es-ES"/>
        </w:rPr>
        <w:t>de enero de 2021, C-064 del 8 de marzo de 2021 y C-157 del 13 de abril del 2021, C-244 del 4 de mayo de 2021, C-224 del 20 de mayo de 2020, C-233 del 24 de mayo</w:t>
      </w:r>
      <w:r>
        <w:rPr>
          <w:rFonts w:ascii="Verdana" w:eastAsia="Calibri" w:hAnsi="Verdana" w:cs="Arial"/>
          <w:lang w:eastAsia="es-ES"/>
        </w:rPr>
        <w:t xml:space="preserve"> </w:t>
      </w:r>
      <w:r w:rsidRPr="00EE4CE0">
        <w:rPr>
          <w:rFonts w:ascii="Verdana" w:eastAsia="Calibri" w:hAnsi="Verdana" w:cs="Arial"/>
          <w:lang w:eastAsia="es-ES"/>
        </w:rPr>
        <w:t>de 2021, C-251 del 2 de junio de 2021 y C-273 del 11 de junio de 2021, C-375 de 27</w:t>
      </w:r>
      <w:r>
        <w:rPr>
          <w:rFonts w:ascii="Verdana" w:eastAsia="Calibri" w:hAnsi="Verdana" w:cs="Arial"/>
          <w:lang w:eastAsia="es-ES"/>
        </w:rPr>
        <w:t xml:space="preserve"> </w:t>
      </w:r>
      <w:r w:rsidRPr="00EE4CE0">
        <w:rPr>
          <w:rFonts w:ascii="Verdana" w:eastAsia="Calibri" w:hAnsi="Verdana" w:cs="Arial"/>
          <w:lang w:eastAsia="es-ES"/>
        </w:rPr>
        <w:t>de septiembre de 2021, C-536 de 29 de septiembre de 2021, C-719 de 24 de enero</w:t>
      </w:r>
      <w:r>
        <w:rPr>
          <w:rFonts w:ascii="Verdana" w:eastAsia="Calibri" w:hAnsi="Verdana" w:cs="Arial"/>
          <w:lang w:eastAsia="es-ES"/>
        </w:rPr>
        <w:t xml:space="preserve"> </w:t>
      </w:r>
      <w:r w:rsidRPr="00EE4CE0">
        <w:rPr>
          <w:rFonts w:ascii="Verdana" w:eastAsia="Calibri" w:hAnsi="Verdana" w:cs="Arial"/>
          <w:lang w:eastAsia="es-ES"/>
        </w:rPr>
        <w:t xml:space="preserve">de 2022, C-090 de 16 de marzo de </w:t>
      </w:r>
      <w:r w:rsidRPr="00EE4CE0">
        <w:rPr>
          <w:rFonts w:ascii="Verdana" w:eastAsia="Calibri" w:hAnsi="Verdana" w:cs="Arial"/>
          <w:lang w:eastAsia="es-ES"/>
        </w:rPr>
        <w:lastRenderedPageBreak/>
        <w:t>2022, C-302 del 11 de mayo de 2022, C-410 del</w:t>
      </w:r>
      <w:r>
        <w:rPr>
          <w:rFonts w:ascii="Verdana" w:eastAsia="Calibri" w:hAnsi="Verdana" w:cs="Arial"/>
          <w:lang w:eastAsia="es-ES"/>
        </w:rPr>
        <w:t xml:space="preserve"> </w:t>
      </w:r>
      <w:r w:rsidRPr="00EE4CE0">
        <w:rPr>
          <w:rFonts w:ascii="Verdana" w:eastAsia="Calibri" w:hAnsi="Verdana" w:cs="Arial"/>
          <w:lang w:eastAsia="es-ES"/>
        </w:rPr>
        <w:t>23 de junio de 2022, C-436 del 6 de julio de 2022, C-242 del 2 de mayo de 2022, C-</w:t>
      </w:r>
      <w:r>
        <w:rPr>
          <w:rFonts w:ascii="Verdana" w:eastAsia="Calibri" w:hAnsi="Verdana" w:cs="Arial"/>
          <w:lang w:eastAsia="es-ES"/>
        </w:rPr>
        <w:t xml:space="preserve"> </w:t>
      </w:r>
      <w:r w:rsidRPr="00EE4CE0">
        <w:rPr>
          <w:rFonts w:ascii="Verdana" w:eastAsia="Calibri" w:hAnsi="Verdana" w:cs="Arial"/>
          <w:lang w:eastAsia="es-ES"/>
        </w:rPr>
        <w:t>360 de 2022, C–133 del 25 de mayo del 2023, C-210 del 22 de junio del 2023</w:t>
      </w:r>
      <w:r>
        <w:rPr>
          <w:rFonts w:ascii="Verdana" w:eastAsia="Calibri" w:hAnsi="Verdana" w:cs="Arial"/>
          <w:lang w:eastAsia="es-ES"/>
        </w:rPr>
        <w:t xml:space="preserve">. </w:t>
      </w:r>
      <w:r w:rsidR="00F5053E" w:rsidRPr="00A81558">
        <w:rPr>
          <w:rFonts w:ascii="Verdana" w:eastAsia="Calibri" w:hAnsi="Verdana" w:cs="Arial"/>
          <w:lang w:eastAsia="es-ES"/>
        </w:rPr>
        <w:t>Las tesis expuestas en dichas oportunidades se reiteran a continuación y se complementan en lo pertinente.</w:t>
      </w:r>
      <w:r w:rsidR="00F5053E">
        <w:rPr>
          <w:rFonts w:ascii="Verdana" w:eastAsia="Calibri" w:hAnsi="Verdana" w:cs="Arial"/>
          <w:bCs/>
          <w:color w:val="000000"/>
          <w:lang w:eastAsia="es-ES_tradnl"/>
        </w:rPr>
        <w:t xml:space="preserve"> </w:t>
      </w:r>
      <w:r w:rsidR="00F5053E" w:rsidRPr="005B6F15">
        <w:rPr>
          <w:rFonts w:ascii="Verdana" w:eastAsia="Calibri" w:hAnsi="Verdana" w:cs="Arial"/>
          <w:bCs/>
          <w:color w:val="000000"/>
          <w:lang w:eastAsia="es-ES_tradnl"/>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5" w:tgtFrame="_blank" w:tooltip="Dirección URL original: https://relatoria.colombiacompra.gov.co/. Haga clic o pulse si confía en este vínculo." w:history="1">
        <w:r w:rsidR="00F5053E" w:rsidRPr="005B6F15">
          <w:rPr>
            <w:rStyle w:val="Hipervnculo"/>
            <w:rFonts w:ascii="Verdana" w:eastAsia="Calibri" w:hAnsi="Verdana" w:cs="Arial"/>
            <w:bCs/>
            <w:lang w:eastAsia="es-ES_tradnl"/>
          </w:rPr>
          <w:t>https://relatoria.colombiacompra.gov.co/</w:t>
        </w:r>
      </w:hyperlink>
      <w:r w:rsidR="00F5053E" w:rsidRPr="005B6F15">
        <w:rPr>
          <w:rFonts w:ascii="Verdana" w:eastAsia="Calibri" w:hAnsi="Verdana" w:cs="Arial"/>
          <w:bCs/>
          <w:color w:val="000000"/>
          <w:lang w:eastAsia="es-ES_tradnl"/>
        </w:rPr>
        <w:t> . Te invitamos también a revisar la tercera edición del  Boletín de Relatoría de 2024 en el cual podrás consultar en detalle el marco normativo de documentos tipo: </w:t>
      </w:r>
      <w:hyperlink r:id="rId16" w:tgtFrame="_blank" w:tooltip="Dirección URL original: https://www.colombiacompra.gov.co/sites/cce_public/files/files_2020/boletin_de_realtoria_iii.pdf. Haga clic o pulse si confía en este vínculo." w:history="1">
        <w:r w:rsidR="00F5053E" w:rsidRPr="005B6F15">
          <w:rPr>
            <w:rStyle w:val="Hipervnculo"/>
            <w:rFonts w:ascii="Verdana" w:eastAsia="Calibri" w:hAnsi="Verdana" w:cs="Arial"/>
            <w:bCs/>
            <w:lang w:eastAsia="es-ES_tradnl"/>
          </w:rPr>
          <w:t>https://www.colombiacompra.gov.co/sites/cce_public/files/files_2020/boletin_de_realtoria_iii.pdf</w:t>
        </w:r>
      </w:hyperlink>
      <w:r w:rsidR="00F5053E" w:rsidRPr="005B6F15">
        <w:rPr>
          <w:rFonts w:ascii="Verdana" w:eastAsia="Calibri" w:hAnsi="Verdana" w:cs="Arial"/>
          <w:bCs/>
          <w:color w:val="000000"/>
          <w:lang w:eastAsia="es-ES_tradnl"/>
        </w:rPr>
        <w:t> ".  </w:t>
      </w:r>
    </w:p>
    <w:p w14:paraId="6D5B4424" w14:textId="77777777" w:rsidR="00F5053E" w:rsidRPr="005B6F15" w:rsidRDefault="00F5053E" w:rsidP="00F5053E">
      <w:pPr>
        <w:spacing w:after="120" w:line="276" w:lineRule="auto"/>
        <w:jc w:val="both"/>
        <w:rPr>
          <w:rFonts w:ascii="Verdana" w:eastAsia="Calibri" w:hAnsi="Verdana" w:cs="Arial"/>
          <w:lang w:eastAsia="es-ES"/>
        </w:rPr>
      </w:pPr>
      <w:r w:rsidRPr="005B6F15">
        <w:rPr>
          <w:rFonts w:ascii="Verdana" w:eastAsia="Calibri" w:hAnsi="Verdana" w:cs="Arial"/>
          <w:lang w:eastAsia="es-ES"/>
        </w:rPr>
        <w:t>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 enlaces: </w:t>
      </w:r>
      <w:hyperlink r:id="rId17" w:tgtFrame="_blank" w:tooltip="Dirección URL original: https://www.sucop.gov.co/entidades/colombiacompra/Normativa?IDNorma=17363. Haga clic o pulse si confía en este vínculo." w:history="1">
        <w:r w:rsidRPr="005B6F15">
          <w:rPr>
            <w:rStyle w:val="Hipervnculo"/>
            <w:rFonts w:ascii="Verdana" w:eastAsia="Calibri" w:hAnsi="Verdana" w:cs="Arial"/>
            <w:lang w:eastAsia="es-ES"/>
          </w:rPr>
          <w:t>https://www.sucop.gov.co/entidades/colombiacompra/Normativa?IDNorma=17363</w:t>
        </w:r>
      </w:hyperlink>
      <w:r w:rsidRPr="005B6F15">
        <w:rPr>
          <w:rFonts w:ascii="Verdana" w:eastAsia="Calibri" w:hAnsi="Verdana" w:cs="Arial"/>
          <w:lang w:eastAsia="es-ES"/>
        </w:rPr>
        <w:t> y </w:t>
      </w:r>
      <w:hyperlink r:id="rId18" w:tgtFrame="_blank" w:tooltip="Dirección URL original: https://www.colombiacompra.gov.co/content/convocatorias. Haga clic o pulse si confía en este vínculo." w:history="1">
        <w:r w:rsidRPr="005B6F15">
          <w:rPr>
            <w:rStyle w:val="Hipervnculo"/>
            <w:rFonts w:ascii="Verdana" w:eastAsia="Calibri" w:hAnsi="Verdana" w:cs="Arial"/>
            <w:lang w:eastAsia="es-ES"/>
          </w:rPr>
          <w:t>https://www.colombiacompra.gov.co/content/convocatorias</w:t>
        </w:r>
      </w:hyperlink>
      <w:r w:rsidRPr="005B6F15">
        <w:rPr>
          <w:rFonts w:ascii="Verdana" w:eastAsia="Calibri" w:hAnsi="Verdana" w:cs="Arial"/>
          <w:lang w:eastAsia="es-ES"/>
        </w:rPr>
        <w:t> ". </w:t>
      </w:r>
    </w:p>
    <w:p w14:paraId="6151FA69" w14:textId="77777777" w:rsidR="00F5053E" w:rsidRDefault="00F5053E" w:rsidP="00F5053E">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21006630" w14:textId="77777777" w:rsidR="00F5053E" w:rsidRPr="003E2460" w:rsidRDefault="00F5053E" w:rsidP="00F5053E">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275D0353" w14:textId="77777777" w:rsidR="00F5053E" w:rsidRPr="003E2460" w:rsidRDefault="00F5053E" w:rsidP="00F5053E">
      <w:pPr>
        <w:spacing w:after="0" w:line="240" w:lineRule="auto"/>
        <w:jc w:val="both"/>
        <w:rPr>
          <w:rFonts w:ascii="Verdana" w:hAnsi="Verdana"/>
        </w:rPr>
      </w:pPr>
    </w:p>
    <w:p w14:paraId="3655505C" w14:textId="77777777" w:rsidR="00F5053E" w:rsidRPr="003E2460" w:rsidRDefault="00F5053E" w:rsidP="00F5053E">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1F89EA9" w14:textId="77777777" w:rsidR="00F5053E" w:rsidRPr="003E2460" w:rsidRDefault="00F5053E" w:rsidP="00F5053E">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39EB6694" w14:textId="77777777" w:rsidR="00F5053E" w:rsidRPr="003E2460" w:rsidRDefault="00F5053E" w:rsidP="00F5053E">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16CB038D" w14:textId="77777777" w:rsidR="00F5053E" w:rsidRPr="00593A5F" w:rsidRDefault="00F5053E" w:rsidP="00F5053E">
      <w:pPr>
        <w:widowControl w:val="0"/>
        <w:autoSpaceDE w:val="0"/>
        <w:autoSpaceDN w:val="0"/>
        <w:spacing w:after="0" w:line="276" w:lineRule="auto"/>
        <w:jc w:val="both"/>
        <w:rPr>
          <w:rFonts w:ascii="Verdana" w:hAnsi="Verdana" w:cs="Arial"/>
        </w:rPr>
      </w:pPr>
    </w:p>
    <w:p w14:paraId="05540328" w14:textId="77777777" w:rsidR="00F5053E" w:rsidRDefault="00F5053E" w:rsidP="00F5053E">
      <w:pPr>
        <w:pStyle w:val="Textoindependiente"/>
        <w:spacing w:line="276" w:lineRule="auto"/>
        <w:ind w:right="533"/>
        <w:jc w:val="both"/>
        <w:rPr>
          <w:rFonts w:ascii="Verdana" w:eastAsia="Calibri" w:hAnsi="Verdana" w:cs="Arial"/>
          <w:bCs/>
          <w:color w:val="000000"/>
          <w:kern w:val="2"/>
          <w14:ligatures w14:val="standardContextual"/>
        </w:rPr>
      </w:pPr>
      <w:r>
        <w:rPr>
          <w:rFonts w:ascii="Verdana" w:eastAsia="Calibri" w:hAnsi="Verdana" w:cs="Arial"/>
          <w:bCs/>
          <w:color w:val="000000"/>
          <w:kern w:val="2"/>
          <w14:ligatures w14:val="standardContextual"/>
        </w:rPr>
        <w:t>E</w:t>
      </w:r>
      <w:r w:rsidRPr="005B6F15">
        <w:rPr>
          <w:rFonts w:ascii="Verdana" w:eastAsia="Calibri" w:hAnsi="Verdana" w:cs="Arial"/>
          <w:bCs/>
          <w:color w:val="000000"/>
          <w:kern w:val="2"/>
          <w14:ligatures w14:val="standardContextual"/>
        </w:rPr>
        <w:t xml:space="preserv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 </w:t>
      </w:r>
    </w:p>
    <w:p w14:paraId="0309BB39" w14:textId="77777777" w:rsidR="00F5053E" w:rsidRPr="00593A5F" w:rsidRDefault="00F5053E" w:rsidP="00F5053E">
      <w:pPr>
        <w:pStyle w:val="Textoindependiente"/>
        <w:spacing w:line="276" w:lineRule="auto"/>
        <w:ind w:right="533"/>
        <w:jc w:val="both"/>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27603B32" w14:textId="7D1A3E95" w:rsidR="00F5053E" w:rsidRPr="00593A5F" w:rsidRDefault="00E47B08" w:rsidP="00F5053E">
      <w:pPr>
        <w:spacing w:line="276" w:lineRule="auto"/>
        <w:jc w:val="center"/>
        <w:rPr>
          <w:rFonts w:ascii="Verdana" w:hAnsi="Verdana" w:cs="Arial"/>
          <w:color w:val="000000"/>
          <w:lang w:val="es-ES_tradnl" w:eastAsia="es-CO"/>
        </w:rPr>
      </w:pPr>
      <w:r w:rsidRPr="002C3AD6">
        <w:rPr>
          <w:rFonts w:ascii="Century Gothic" w:hAnsi="Century Gothic"/>
          <w:noProof/>
        </w:rPr>
        <w:lastRenderedPageBreak/>
        <w:drawing>
          <wp:inline distT="0" distB="0" distL="0" distR="0" wp14:anchorId="72DFD5FC" wp14:editId="10210821">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9"/>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5053E" w:rsidRPr="004B2B8D" w14:paraId="335569A8" w14:textId="77777777" w:rsidTr="00A87ED7">
        <w:trPr>
          <w:trHeight w:val="315"/>
        </w:trPr>
        <w:tc>
          <w:tcPr>
            <w:tcW w:w="893" w:type="dxa"/>
            <w:vAlign w:val="center"/>
            <w:hideMark/>
          </w:tcPr>
          <w:p w14:paraId="31CBBD91" w14:textId="77777777" w:rsidR="00F5053E" w:rsidRPr="004B2B8D" w:rsidRDefault="00F5053E" w:rsidP="00A87ED7">
            <w:pPr>
              <w:contextualSpacing/>
              <w:rPr>
                <w:rFonts w:ascii="Verdana" w:hAnsi="Verdana" w:cs="Arial"/>
                <w:sz w:val="16"/>
                <w:szCs w:val="16"/>
                <w:lang w:val="es-ES" w:eastAsia="es-ES"/>
              </w:rPr>
            </w:pPr>
            <w:r w:rsidRPr="004B2B8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0342A55" w14:textId="77777777" w:rsidR="00F5053E" w:rsidRPr="004B2B8D" w:rsidRDefault="00F5053E" w:rsidP="00A87ED7">
            <w:pPr>
              <w:contextualSpacing/>
              <w:rPr>
                <w:rFonts w:ascii="Verdana" w:eastAsia="Arial" w:hAnsi="Verdana" w:cs="Arial"/>
                <w:sz w:val="16"/>
                <w:szCs w:val="16"/>
              </w:rPr>
            </w:pPr>
            <w:r w:rsidRPr="004B2B8D">
              <w:rPr>
                <w:rFonts w:ascii="Verdana" w:eastAsia="Arial" w:hAnsi="Verdana" w:cs="Arial"/>
                <w:sz w:val="16"/>
                <w:szCs w:val="16"/>
              </w:rPr>
              <w:t>Richard Andrés Montenegro Siefken</w:t>
            </w:r>
          </w:p>
          <w:p w14:paraId="1C48E3BC" w14:textId="77777777" w:rsidR="00F5053E" w:rsidRPr="004B2B8D" w:rsidRDefault="00F5053E" w:rsidP="00A87ED7">
            <w:pPr>
              <w:contextualSpacing/>
              <w:rPr>
                <w:rFonts w:ascii="Verdana" w:eastAsia="Arial" w:hAnsi="Verdana" w:cs="Arial"/>
                <w:sz w:val="16"/>
                <w:szCs w:val="16"/>
              </w:rPr>
            </w:pPr>
            <w:r w:rsidRPr="004B2B8D">
              <w:rPr>
                <w:rStyle w:val="normaltextrun"/>
                <w:rFonts w:ascii="Verdana" w:eastAsia="Arial" w:hAnsi="Verdana" w:cs="Arial"/>
                <w:sz w:val="16"/>
                <w:szCs w:val="16"/>
              </w:rPr>
              <w:t>Contratista de la Subdirección de Gestión Contractual</w:t>
            </w:r>
          </w:p>
        </w:tc>
      </w:tr>
      <w:tr w:rsidR="00F5053E" w:rsidRPr="004B2B8D" w14:paraId="3100B134" w14:textId="77777777" w:rsidTr="00A87ED7">
        <w:trPr>
          <w:trHeight w:val="330"/>
        </w:trPr>
        <w:tc>
          <w:tcPr>
            <w:tcW w:w="893" w:type="dxa"/>
            <w:vAlign w:val="center"/>
            <w:hideMark/>
          </w:tcPr>
          <w:p w14:paraId="6EC31B02" w14:textId="77777777" w:rsidR="00F5053E" w:rsidRPr="004B2B8D" w:rsidRDefault="00F5053E" w:rsidP="00A87ED7">
            <w:pPr>
              <w:contextualSpacing/>
              <w:rPr>
                <w:rFonts w:ascii="Verdana"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DF018C8" w14:textId="77777777" w:rsidR="00F5053E" w:rsidRPr="0079283E" w:rsidRDefault="00F5053E" w:rsidP="00A87ED7">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Juan David Cárdenas Cabezas</w:t>
            </w:r>
          </w:p>
          <w:p w14:paraId="0EF390A5" w14:textId="77777777" w:rsidR="00F5053E" w:rsidRPr="004B2B8D" w:rsidRDefault="00F5053E" w:rsidP="00A87ED7">
            <w:pPr>
              <w:pStyle w:val="paragraph"/>
              <w:spacing w:before="0" w:beforeAutospacing="0" w:after="0" w:afterAutospacing="0"/>
              <w:contextualSpacing/>
              <w:textAlignment w:val="baseline"/>
              <w:rPr>
                <w:rFonts w:ascii="Verdana" w:hAnsi="Verdana" w:cs="Segoe UI"/>
                <w:sz w:val="16"/>
                <w:szCs w:val="16"/>
              </w:rPr>
            </w:pPr>
            <w:r w:rsidRPr="005B6F15">
              <w:rPr>
                <w:rStyle w:val="normaltextrun"/>
                <w:rFonts w:ascii="Verdana" w:hAnsi="Verdana" w:cs="Arial"/>
                <w:sz w:val="16"/>
                <w:szCs w:val="16"/>
                <w:lang w:val="es-ES"/>
              </w:rPr>
              <w:t>C</w:t>
            </w:r>
            <w:r w:rsidRPr="005B6F15">
              <w:rPr>
                <w:rStyle w:val="normaltextrun"/>
                <w:rFonts w:ascii="Verdana" w:hAnsi="Verdana"/>
                <w:sz w:val="16"/>
                <w:szCs w:val="16"/>
                <w:lang w:val="es-ES"/>
              </w:rPr>
              <w:t>ontratista</w:t>
            </w:r>
            <w:r w:rsidRPr="005B6F15">
              <w:rPr>
                <w:rStyle w:val="normaltextrun"/>
                <w:rFonts w:ascii="Verdana" w:hAnsi="Verdana" w:cs="Arial"/>
                <w:sz w:val="16"/>
                <w:szCs w:val="16"/>
                <w:lang w:val="es-ES"/>
              </w:rPr>
              <w:t xml:space="preserve"> de</w:t>
            </w:r>
            <w:r w:rsidRPr="004B2B8D">
              <w:rPr>
                <w:rStyle w:val="normaltextrun"/>
                <w:rFonts w:ascii="Verdana" w:hAnsi="Verdana" w:cs="Arial"/>
                <w:sz w:val="16"/>
                <w:szCs w:val="16"/>
                <w:lang w:val="es-ES"/>
              </w:rPr>
              <w:t xml:space="preserve"> la Subdirección de Gestión Contractual</w:t>
            </w:r>
            <w:r w:rsidRPr="004B2B8D">
              <w:rPr>
                <w:rStyle w:val="eop"/>
                <w:rFonts w:ascii="Verdana" w:hAnsi="Verdana" w:cs="Arial"/>
                <w:sz w:val="16"/>
                <w:szCs w:val="16"/>
              </w:rPr>
              <w:t> </w:t>
            </w:r>
          </w:p>
        </w:tc>
      </w:tr>
      <w:tr w:rsidR="00F5053E" w:rsidRPr="004B2B8D" w14:paraId="209BF5EA" w14:textId="77777777" w:rsidTr="00A87ED7">
        <w:trPr>
          <w:trHeight w:val="300"/>
        </w:trPr>
        <w:tc>
          <w:tcPr>
            <w:tcW w:w="893" w:type="dxa"/>
            <w:vAlign w:val="center"/>
          </w:tcPr>
          <w:p w14:paraId="029AF8A1" w14:textId="77777777" w:rsidR="00F5053E" w:rsidRPr="004B2B8D" w:rsidRDefault="00F5053E" w:rsidP="00A87ED7">
            <w:pPr>
              <w:contextualSpacing/>
              <w:rPr>
                <w:rFonts w:ascii="Verdana"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E40D8B6" w14:textId="77777777" w:rsidR="00F5053E" w:rsidRPr="004B2B8D" w:rsidRDefault="00F5053E" w:rsidP="00A87ED7">
            <w:pPr>
              <w:contextualSpacing/>
              <w:rPr>
                <w:rFonts w:ascii="Verdana" w:eastAsia="Calibri" w:hAnsi="Verdana" w:cs="Arial"/>
                <w:sz w:val="16"/>
                <w:szCs w:val="16"/>
                <w:lang w:val="pt-BR" w:eastAsia="es-ES"/>
              </w:rPr>
            </w:pPr>
            <w:r w:rsidRPr="004B2B8D">
              <w:rPr>
                <w:rFonts w:ascii="Verdana" w:eastAsia="Calibri" w:hAnsi="Verdana" w:cs="Arial"/>
                <w:sz w:val="16"/>
                <w:szCs w:val="16"/>
                <w:lang w:val="pt-BR" w:eastAsia="es-ES"/>
              </w:rPr>
              <w:t xml:space="preserve">Carolina Quintero </w:t>
            </w:r>
            <w:proofErr w:type="spellStart"/>
            <w:r w:rsidRPr="004B2B8D">
              <w:rPr>
                <w:rFonts w:ascii="Verdana" w:eastAsia="Calibri" w:hAnsi="Verdana" w:cs="Arial"/>
                <w:sz w:val="16"/>
                <w:szCs w:val="16"/>
                <w:lang w:val="pt-BR" w:eastAsia="es-ES"/>
              </w:rPr>
              <w:t>Gacharná</w:t>
            </w:r>
            <w:proofErr w:type="spellEnd"/>
          </w:p>
          <w:p w14:paraId="68C675A4" w14:textId="77777777" w:rsidR="00F5053E" w:rsidRPr="004B2B8D" w:rsidRDefault="00F5053E" w:rsidP="00A87ED7">
            <w:pPr>
              <w:contextualSpacing/>
              <w:rPr>
                <w:rFonts w:ascii="Verdana" w:eastAsia="Calibri" w:hAnsi="Verdana" w:cs="Arial"/>
                <w:sz w:val="16"/>
                <w:szCs w:val="16"/>
                <w:lang w:val="pt-BR" w:eastAsia="es-ES"/>
              </w:rPr>
            </w:pPr>
            <w:r w:rsidRPr="004B2B8D">
              <w:rPr>
                <w:rFonts w:ascii="Verdana" w:eastAsia="Calibri" w:hAnsi="Verdana" w:cs="Arial"/>
                <w:sz w:val="16"/>
                <w:szCs w:val="16"/>
                <w:lang w:eastAsia="es-ES"/>
              </w:rPr>
              <w:t>Subdirectora</w:t>
            </w:r>
            <w:r w:rsidRPr="004B2B8D">
              <w:rPr>
                <w:rFonts w:ascii="Verdana" w:eastAsia="Calibri" w:hAnsi="Verdana" w:cs="Arial"/>
                <w:sz w:val="16"/>
                <w:szCs w:val="16"/>
                <w:lang w:val="pt-BR" w:eastAsia="es-ES"/>
              </w:rPr>
              <w:t xml:space="preserve"> de Gestión Contratual ANCP – CCE</w:t>
            </w:r>
          </w:p>
        </w:tc>
      </w:tr>
    </w:tbl>
    <w:p w14:paraId="1A35C39D" w14:textId="77777777" w:rsidR="00F5053E" w:rsidRPr="00593A5F" w:rsidRDefault="00F5053E" w:rsidP="00F5053E">
      <w:pPr>
        <w:spacing w:after="0" w:line="240" w:lineRule="auto"/>
        <w:rPr>
          <w:rFonts w:ascii="Verdana" w:eastAsia="Times New Roman" w:hAnsi="Verdana" w:cs="Arial"/>
          <w:sz w:val="24"/>
          <w:szCs w:val="24"/>
          <w:lang w:eastAsia="es-ES"/>
        </w:rPr>
      </w:pPr>
    </w:p>
    <w:bookmarkEnd w:id="0"/>
    <w:p w14:paraId="1B9E1AF4" w14:textId="77777777" w:rsidR="00F5053E" w:rsidRPr="00871B59" w:rsidRDefault="00F5053E" w:rsidP="00F5053E"/>
    <w:p w14:paraId="1B7CCFF8" w14:textId="77777777" w:rsidR="00F5053E" w:rsidRPr="00D92EE9" w:rsidRDefault="00F5053E" w:rsidP="00F5053E"/>
    <w:p w14:paraId="0F293BF4" w14:textId="7BBFAB11" w:rsidR="00127233" w:rsidRPr="004B2562" w:rsidRDefault="00127233" w:rsidP="004B2562"/>
    <w:sectPr w:rsidR="00127233" w:rsidRPr="004B2562"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16FC1" w14:textId="77777777" w:rsidR="0088782C" w:rsidRDefault="0088782C" w:rsidP="004A1847">
      <w:pPr>
        <w:spacing w:after="0" w:line="240" w:lineRule="auto"/>
      </w:pPr>
      <w:r>
        <w:separator/>
      </w:r>
    </w:p>
  </w:endnote>
  <w:endnote w:type="continuationSeparator" w:id="0">
    <w:p w14:paraId="0700747F" w14:textId="77777777" w:rsidR="0088782C" w:rsidRDefault="0088782C"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D4E37" w14:textId="77777777" w:rsidR="0088782C" w:rsidRDefault="0088782C" w:rsidP="004A1847">
      <w:pPr>
        <w:spacing w:after="0" w:line="240" w:lineRule="auto"/>
      </w:pPr>
      <w:r>
        <w:separator/>
      </w:r>
    </w:p>
  </w:footnote>
  <w:footnote w:type="continuationSeparator" w:id="0">
    <w:p w14:paraId="3FCF2CB8" w14:textId="77777777" w:rsidR="0088782C" w:rsidRDefault="0088782C" w:rsidP="004A1847">
      <w:pPr>
        <w:spacing w:after="0" w:line="240" w:lineRule="auto"/>
      </w:pPr>
      <w:r>
        <w:continuationSeparator/>
      </w:r>
    </w:p>
  </w:footnote>
  <w:footnote w:id="1">
    <w:p w14:paraId="4B2BC02B" w14:textId="05584312" w:rsidR="00EE4CE0" w:rsidRPr="00EE4CE0" w:rsidRDefault="00EE4CE0" w:rsidP="00EE4CE0">
      <w:pPr>
        <w:pStyle w:val="Textonotapie"/>
        <w:jc w:val="both"/>
        <w:rPr>
          <w:sz w:val="14"/>
          <w:szCs w:val="14"/>
          <w:lang w:val="es-CO"/>
        </w:rPr>
      </w:pPr>
      <w:r w:rsidRPr="00EE4CE0">
        <w:rPr>
          <w:rStyle w:val="Refdenotaalpie"/>
          <w:sz w:val="14"/>
          <w:szCs w:val="14"/>
        </w:rPr>
        <w:footnoteRef/>
      </w:r>
      <w:r w:rsidRPr="00EE4CE0">
        <w:rPr>
          <w:sz w:val="14"/>
          <w:szCs w:val="14"/>
        </w:rPr>
        <w:t xml:space="preserve"> </w:t>
      </w:r>
      <w:r w:rsidRPr="00EE4CE0">
        <w:rPr>
          <w:sz w:val="14"/>
          <w:szCs w:val="14"/>
          <w:lang w:val="es-CO"/>
        </w:rPr>
        <w:t>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la configuración de los elementos del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7D2324"/>
    <w:multiLevelType w:val="hybridMultilevel"/>
    <w:tmpl w:val="05501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7A53AE"/>
    <w:multiLevelType w:val="hybridMultilevel"/>
    <w:tmpl w:val="F45888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243482"/>
    <w:multiLevelType w:val="hybridMultilevel"/>
    <w:tmpl w:val="38FEE3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DA18DB"/>
    <w:multiLevelType w:val="hybridMultilevel"/>
    <w:tmpl w:val="DE120B1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364A6B"/>
    <w:multiLevelType w:val="multilevel"/>
    <w:tmpl w:val="40C2A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F3C75A8"/>
    <w:multiLevelType w:val="hybridMultilevel"/>
    <w:tmpl w:val="CC964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48229E"/>
    <w:multiLevelType w:val="hybridMultilevel"/>
    <w:tmpl w:val="DEE24374"/>
    <w:lvl w:ilvl="0" w:tplc="049AC4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8779781">
    <w:abstractNumId w:val="11"/>
  </w:num>
  <w:num w:numId="2" w16cid:durableId="19822139">
    <w:abstractNumId w:val="2"/>
  </w:num>
  <w:num w:numId="3" w16cid:durableId="876742304">
    <w:abstractNumId w:val="8"/>
  </w:num>
  <w:num w:numId="4" w16cid:durableId="245186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9"/>
  </w:num>
  <w:num w:numId="7" w16cid:durableId="1946422806">
    <w:abstractNumId w:val="9"/>
  </w:num>
  <w:num w:numId="8" w16cid:durableId="152644682">
    <w:abstractNumId w:val="18"/>
  </w:num>
  <w:num w:numId="9" w16cid:durableId="1317221377">
    <w:abstractNumId w:val="12"/>
  </w:num>
  <w:num w:numId="10" w16cid:durableId="1471245386">
    <w:abstractNumId w:val="17"/>
  </w:num>
  <w:num w:numId="11" w16cid:durableId="289172385">
    <w:abstractNumId w:val="13"/>
  </w:num>
  <w:num w:numId="12" w16cid:durableId="1470781324">
    <w:abstractNumId w:val="1"/>
  </w:num>
  <w:num w:numId="13" w16cid:durableId="1512908409">
    <w:abstractNumId w:val="7"/>
  </w:num>
  <w:num w:numId="14" w16cid:durableId="895897244">
    <w:abstractNumId w:val="20"/>
  </w:num>
  <w:num w:numId="15" w16cid:durableId="390349800">
    <w:abstractNumId w:val="16"/>
  </w:num>
  <w:num w:numId="16" w16cid:durableId="341274352">
    <w:abstractNumId w:val="0"/>
  </w:num>
  <w:num w:numId="17" w16cid:durableId="679089576">
    <w:abstractNumId w:val="14"/>
  </w:num>
  <w:num w:numId="18" w16cid:durableId="820266944">
    <w:abstractNumId w:val="15"/>
  </w:num>
  <w:num w:numId="19" w16cid:durableId="1073892189">
    <w:abstractNumId w:val="6"/>
  </w:num>
  <w:num w:numId="20" w16cid:durableId="1412505231">
    <w:abstractNumId w:val="3"/>
  </w:num>
  <w:num w:numId="21" w16cid:durableId="17670773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0905193">
    <w:abstractNumId w:val="21"/>
  </w:num>
  <w:num w:numId="23" w16cid:durableId="1334068839">
    <w:abstractNumId w:val="5"/>
  </w:num>
  <w:num w:numId="24" w16cid:durableId="1362977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E301F"/>
    <w:rsid w:val="000F6486"/>
    <w:rsid w:val="00107313"/>
    <w:rsid w:val="00125105"/>
    <w:rsid w:val="00127233"/>
    <w:rsid w:val="001403A8"/>
    <w:rsid w:val="0018040B"/>
    <w:rsid w:val="001E4177"/>
    <w:rsid w:val="001F7DC6"/>
    <w:rsid w:val="002421BB"/>
    <w:rsid w:val="0025796E"/>
    <w:rsid w:val="002707A2"/>
    <w:rsid w:val="002951A0"/>
    <w:rsid w:val="002962BC"/>
    <w:rsid w:val="002A093D"/>
    <w:rsid w:val="002A0DD0"/>
    <w:rsid w:val="002A49AC"/>
    <w:rsid w:val="002A64FD"/>
    <w:rsid w:val="002C5D8A"/>
    <w:rsid w:val="002C7A84"/>
    <w:rsid w:val="002D00FC"/>
    <w:rsid w:val="002E4FD9"/>
    <w:rsid w:val="00322A85"/>
    <w:rsid w:val="00324168"/>
    <w:rsid w:val="003448F4"/>
    <w:rsid w:val="00374F5E"/>
    <w:rsid w:val="00377E3E"/>
    <w:rsid w:val="003A26D1"/>
    <w:rsid w:val="003A779E"/>
    <w:rsid w:val="003D0F4D"/>
    <w:rsid w:val="003D5B0D"/>
    <w:rsid w:val="003E0499"/>
    <w:rsid w:val="003F3941"/>
    <w:rsid w:val="00406575"/>
    <w:rsid w:val="0042722E"/>
    <w:rsid w:val="0044528D"/>
    <w:rsid w:val="004A1847"/>
    <w:rsid w:val="004A305D"/>
    <w:rsid w:val="004B2562"/>
    <w:rsid w:val="004F21C4"/>
    <w:rsid w:val="004F685F"/>
    <w:rsid w:val="005566E8"/>
    <w:rsid w:val="00574867"/>
    <w:rsid w:val="00591460"/>
    <w:rsid w:val="00592628"/>
    <w:rsid w:val="005C3777"/>
    <w:rsid w:val="005C5CDC"/>
    <w:rsid w:val="005D476C"/>
    <w:rsid w:val="005F1B90"/>
    <w:rsid w:val="00610812"/>
    <w:rsid w:val="006219F8"/>
    <w:rsid w:val="00650FF7"/>
    <w:rsid w:val="00665D70"/>
    <w:rsid w:val="00671DAC"/>
    <w:rsid w:val="006900D9"/>
    <w:rsid w:val="006970E4"/>
    <w:rsid w:val="006A4A00"/>
    <w:rsid w:val="006D12F8"/>
    <w:rsid w:val="006E02BF"/>
    <w:rsid w:val="00706C16"/>
    <w:rsid w:val="00756841"/>
    <w:rsid w:val="007649AB"/>
    <w:rsid w:val="00771D0C"/>
    <w:rsid w:val="007833AC"/>
    <w:rsid w:val="007B268C"/>
    <w:rsid w:val="007B7171"/>
    <w:rsid w:val="007C0C0F"/>
    <w:rsid w:val="007C3DC2"/>
    <w:rsid w:val="007E41EC"/>
    <w:rsid w:val="007E5497"/>
    <w:rsid w:val="00806F5F"/>
    <w:rsid w:val="00820278"/>
    <w:rsid w:val="00843273"/>
    <w:rsid w:val="008843B6"/>
    <w:rsid w:val="0088782C"/>
    <w:rsid w:val="00891928"/>
    <w:rsid w:val="00892781"/>
    <w:rsid w:val="008A446D"/>
    <w:rsid w:val="008D180B"/>
    <w:rsid w:val="008D2EE4"/>
    <w:rsid w:val="008F0EA7"/>
    <w:rsid w:val="00923EEF"/>
    <w:rsid w:val="009419F9"/>
    <w:rsid w:val="00952193"/>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60E52"/>
    <w:rsid w:val="00A66616"/>
    <w:rsid w:val="00AA36B7"/>
    <w:rsid w:val="00AB0ADB"/>
    <w:rsid w:val="00B01B1A"/>
    <w:rsid w:val="00B6594E"/>
    <w:rsid w:val="00B72CD3"/>
    <w:rsid w:val="00B72FFF"/>
    <w:rsid w:val="00BC3D36"/>
    <w:rsid w:val="00BD7F72"/>
    <w:rsid w:val="00C04FB3"/>
    <w:rsid w:val="00C11D40"/>
    <w:rsid w:val="00C330EB"/>
    <w:rsid w:val="00C6588A"/>
    <w:rsid w:val="00C754BE"/>
    <w:rsid w:val="00C76B1C"/>
    <w:rsid w:val="00CB6357"/>
    <w:rsid w:val="00CC1B26"/>
    <w:rsid w:val="00CD516E"/>
    <w:rsid w:val="00D247D4"/>
    <w:rsid w:val="00D423A2"/>
    <w:rsid w:val="00D520D8"/>
    <w:rsid w:val="00D63AC2"/>
    <w:rsid w:val="00D7383B"/>
    <w:rsid w:val="00DA231B"/>
    <w:rsid w:val="00DA23A0"/>
    <w:rsid w:val="00DC39FC"/>
    <w:rsid w:val="00DD3B9D"/>
    <w:rsid w:val="00DF5254"/>
    <w:rsid w:val="00E16408"/>
    <w:rsid w:val="00E20894"/>
    <w:rsid w:val="00E2135A"/>
    <w:rsid w:val="00E245AB"/>
    <w:rsid w:val="00E2764C"/>
    <w:rsid w:val="00E27F2E"/>
    <w:rsid w:val="00E413EA"/>
    <w:rsid w:val="00E47B08"/>
    <w:rsid w:val="00E50AFE"/>
    <w:rsid w:val="00E75C92"/>
    <w:rsid w:val="00E771DC"/>
    <w:rsid w:val="00E864E6"/>
    <w:rsid w:val="00E8772A"/>
    <w:rsid w:val="00E90F6B"/>
    <w:rsid w:val="00E92C27"/>
    <w:rsid w:val="00EA0E3D"/>
    <w:rsid w:val="00EA455F"/>
    <w:rsid w:val="00EC38A7"/>
    <w:rsid w:val="00EE1AA8"/>
    <w:rsid w:val="00EE4CE0"/>
    <w:rsid w:val="00F31EDC"/>
    <w:rsid w:val="00F462B3"/>
    <w:rsid w:val="00F5053E"/>
    <w:rsid w:val="00F5664F"/>
    <w:rsid w:val="00F666C4"/>
    <w:rsid w:val="00F76AFC"/>
    <w:rsid w:val="00F95E8A"/>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2">
    <w:name w:val="heading 2"/>
    <w:basedOn w:val="Normal"/>
    <w:next w:val="Normal"/>
    <w:link w:val="Ttulo2Car"/>
    <w:uiPriority w:val="9"/>
    <w:unhideWhenUsed/>
    <w:qFormat/>
    <w:rsid w:val="00A666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Textoindependiente">
    <w:name w:val="Body Text"/>
    <w:basedOn w:val="Normal"/>
    <w:link w:val="TextoindependienteCar"/>
    <w:uiPriority w:val="1"/>
    <w:unhideWhenUsed/>
    <w:qFormat/>
    <w:rsid w:val="00F5053E"/>
    <w:pPr>
      <w:spacing w:after="120"/>
    </w:pPr>
  </w:style>
  <w:style w:type="character" w:customStyle="1" w:styleId="TextoindependienteCar">
    <w:name w:val="Texto independiente Car"/>
    <w:basedOn w:val="Fuentedeprrafopredeter"/>
    <w:link w:val="Textoindependiente"/>
    <w:uiPriority w:val="1"/>
    <w:rsid w:val="00F5053E"/>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5053E"/>
    <w:rPr>
      <w:rFonts w:ascii="Geomanist Light" w:hAnsi="Geomanist Light"/>
      <w:lang w:val="es-ES"/>
    </w:rPr>
  </w:style>
  <w:style w:type="character" w:customStyle="1" w:styleId="Ttulo2Car">
    <w:name w:val="Título 2 Car"/>
    <w:basedOn w:val="Fuentedeprrafopredeter"/>
    <w:link w:val="Ttulo2"/>
    <w:uiPriority w:val="9"/>
    <w:rsid w:val="00A6661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38188">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64544524">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providencias-consejo-de-estado/" TargetMode="External"/><Relationship Id="rId18" Type="http://schemas.openxmlformats.org/officeDocument/2006/relationships/hyperlink" Target="https://nam02.safelinks.protection.outlook.com/?url=https%3A%2F%2Fwww.colombiacompra.gov.co%2Fcontent%2Fconvocatorias&amp;data=05%7C02%7Crichard.montenegro%40colombiacompra.gov.co%7C5aad36a736844ec87b2108dcc1fa4639%7C7b09041e245149d08cb179d5e3d8c1be%7C0%7C0%7C638598527918250586%7CUnknown%7CTWFpbGZsb3d8eyJWIjoiMC4wLjAwMDAiLCJQIjoiV2luMzIiLCJBTiI6Ik1haWwiLCJXVCI6Mn0%3D%7C0%7C%7C%7C&amp;sdata=k3pda2AULwR%2B12b%2FK3mHNf8xGyxM5Bsrfg4wQ2rMlWQ%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dwyngk@hotmail.com" TargetMode="External"/><Relationship Id="rId17" Type="http://schemas.openxmlformats.org/officeDocument/2006/relationships/hyperlink" Target="https://nam02.safelinks.protection.outlook.com/?url=https%3A%2F%2Fwww.sucop.gov.co%2Fentidades%2Fcolombiacompra%2FNormativa%3FIDNorma%3D17363&amp;data=05%7C02%7Crichard.montenegro%40colombiacompra.gov.co%7C5aad36a736844ec87b2108dcc1fa4639%7C7b09041e245149d08cb179d5e3d8c1be%7C0%7C0%7C638598527918240808%7CUnknown%7CTWFpbGZsb3d8eyJWIjoiMC4wLjAwMDAiLCJQIjoiV2luMzIiLCJBTiI6Ik1haWwiLCJXVCI6Mn0%3D%7C0%7C%7C%7C&amp;sdata=6VyTfolbU%2BsFv%2Fa%2FruTe%2F06L09sMVet3fo0lJN%2FyDFY%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ites%2Fcce_public%2Ffiles%2Ffiles_2020%2Fboletin_de_realtoria_iii.pdf&amp;data=05%7C02%7Crichard.montenegro%40colombiacompra.gov.co%7C5aad36a736844ec87b2108dcc1fa4639%7C7b09041e245149d08cb179d5e3d8c1be%7C0%7C0%7C638598527918225556%7CUnknown%7CTWFpbGZsb3d8eyJWIjoiMC4wLjAwMDAiLCJQIjoiV2luMzIiLCJBTiI6Ik1haWwiLCJXVCI6Mn0%3D%7C0%7C%7C%7C&amp;sdata=mu%2BnrVEo026I3cRSCjkQuazmGBY%2B8xZloaKT7UkXyPo%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relatoria.colombiacompra.gov.co%2F&amp;data=05%7C02%7Crichard.montenegro%40colombiacompra.gov.co%7C5aad36a736844ec87b2108dcc1fa4639%7C7b09041e245149d08cb179d5e3d8c1be%7C0%7C0%7C638598527918211370%7CUnknown%7CTWFpbGZsb3d8eyJWIjoiMC4wLjAwMDAiLCJQIjoiV2luMzIiLCJBTiI6Ik1haWwiLCJXVCI6Mn0%3D%7C0%7C%7C%7C&amp;sdata=3iCzGCukUgod7aJkgVrKz6drnkiXLwIfrm11kr1fcQo%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2C610-B66D-4722-B87B-46EC28594258}">
  <ds:schemaRefs>
    <ds:schemaRef ds:uri="http://schemas.openxmlformats.org/officeDocument/2006/bibliography"/>
  </ds:schemaRefs>
</ds:datastoreItem>
</file>

<file path=customXml/itemProps2.xml><?xml version="1.0" encoding="utf-8"?>
<ds:datastoreItem xmlns:ds="http://schemas.openxmlformats.org/officeDocument/2006/customXml" ds:itemID="{8410DDBC-49B4-4259-901F-D90A81BC0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purl.org/dc/dcmitype/"/>
    <ds:schemaRef ds:uri="a6cb9e4b-f1d1-4245-83ec-6cad768d538a"/>
    <ds:schemaRef ds:uri="http://purl.org/dc/elements/1.1/"/>
    <ds:schemaRef ds:uri="9d85dbaf-23eb-4e57-a637-93dcacc8b1a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2839</Words>
  <Characters>15620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Rey David Saido Quintero</cp:lastModifiedBy>
  <cp:revision>2</cp:revision>
  <cp:lastPrinted>2023-01-10T21:18:00Z</cp:lastPrinted>
  <dcterms:created xsi:type="dcterms:W3CDTF">2024-09-17T04:56:00Z</dcterms:created>
  <dcterms:modified xsi:type="dcterms:W3CDTF">2024-09-17T04:56:00Z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