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7E7E9" w14:textId="68CC40A9" w:rsidR="00652563" w:rsidRPr="0044528D" w:rsidRDefault="00652563" w:rsidP="00652563">
      <w:pPr>
        <w:spacing w:after="0"/>
        <w:rPr>
          <w:rFonts w:ascii="Verdana" w:hAnsi="Verdana"/>
        </w:rPr>
      </w:pPr>
      <w:bookmarkStart w:id="0" w:name="_Hlk143780582"/>
      <w:bookmarkStart w:id="1" w:name="_GoBack"/>
      <w:bookmarkEnd w:id="1"/>
      <w:r w:rsidRPr="0044528D">
        <w:rPr>
          <w:rFonts w:ascii="Verdana" w:hAnsi="Verdana"/>
        </w:rPr>
        <w:tab/>
      </w:r>
    </w:p>
    <w:p w14:paraId="02588E25" w14:textId="77777777" w:rsidR="00652563" w:rsidRPr="0044528D" w:rsidRDefault="00652563" w:rsidP="00652563">
      <w:pPr>
        <w:spacing w:after="0"/>
        <w:rPr>
          <w:rFonts w:ascii="Verdana" w:hAnsi="Verdana"/>
        </w:rPr>
      </w:pPr>
    </w:p>
    <w:p w14:paraId="1A51D345" w14:textId="77777777" w:rsidR="00652563" w:rsidRPr="0044528D" w:rsidRDefault="00652563" w:rsidP="00652563">
      <w:pPr>
        <w:spacing w:after="0"/>
        <w:rPr>
          <w:rFonts w:ascii="Verdana" w:hAnsi="Verdana"/>
        </w:rPr>
      </w:pPr>
    </w:p>
    <w:p w14:paraId="5022CFE4" w14:textId="77777777" w:rsidR="00652563" w:rsidRPr="00D05D5B" w:rsidRDefault="00652563" w:rsidP="00652563">
      <w:pPr>
        <w:spacing w:after="0" w:line="240" w:lineRule="auto"/>
        <w:jc w:val="both"/>
        <w:rPr>
          <w:rFonts w:ascii="Verdana" w:eastAsia="Calibri" w:hAnsi="Verdana" w:cs="Arial"/>
          <w:b/>
          <w:bCs/>
          <w:sz w:val="20"/>
          <w:szCs w:val="20"/>
          <w:lang w:eastAsia="es-ES"/>
        </w:rPr>
      </w:pPr>
      <w:bookmarkStart w:id="2" w:name="_Hlk172124853"/>
      <w:bookmarkEnd w:id="0"/>
      <w:r w:rsidRPr="00D05D5B">
        <w:rPr>
          <w:rFonts w:ascii="Verdana" w:eastAsia="Calibri" w:hAnsi="Verdana" w:cs="Arial"/>
          <w:b/>
          <w:bCs/>
          <w:sz w:val="20"/>
          <w:szCs w:val="20"/>
          <w:lang w:eastAsia="es-ES"/>
        </w:rPr>
        <w:t xml:space="preserve">LIQUIDACIÓN DEL CONTRATO – Noción – Clases </w:t>
      </w:r>
    </w:p>
    <w:p w14:paraId="628E35CB" w14:textId="77777777" w:rsidR="00652563" w:rsidRPr="00D05D5B" w:rsidRDefault="00652563" w:rsidP="00652563">
      <w:pPr>
        <w:spacing w:after="0" w:line="240" w:lineRule="auto"/>
        <w:jc w:val="both"/>
        <w:rPr>
          <w:rFonts w:ascii="Verdana" w:eastAsia="Calibri" w:hAnsi="Verdana" w:cs="Arial"/>
          <w:b/>
          <w:bCs/>
          <w:sz w:val="20"/>
          <w:szCs w:val="20"/>
          <w:lang w:eastAsia="es-ES"/>
        </w:rPr>
      </w:pPr>
    </w:p>
    <w:p w14:paraId="04B29008" w14:textId="77777777" w:rsidR="00652563" w:rsidRPr="006F5A5A" w:rsidRDefault="00652563" w:rsidP="00652563">
      <w:pPr>
        <w:spacing w:line="240" w:lineRule="auto"/>
        <w:jc w:val="both"/>
        <w:rPr>
          <w:rFonts w:ascii="Verdana" w:eastAsia="Calibri" w:hAnsi="Verdana" w:cs="Arial"/>
          <w:lang w:val="es-ES" w:eastAsia="es-ES"/>
        </w:rPr>
      </w:pPr>
      <w:r w:rsidRPr="006F5A5A">
        <w:rPr>
          <w:rFonts w:ascii="Verdana" w:eastAsia="Calibri" w:hAnsi="Verdana" w:cs="Arial"/>
          <w:lang w:val="es-ES" w:eastAsia="es-ES"/>
        </w:rPr>
        <w:t xml:space="preserve">“[…] La liquidación es el momento en el cual, una vez concluido el contrato estatal, las partes cruzan cuentas respecto de sus obligaciones. El objetivo de la liquidación es determinar si las partes pueden declararse a paz y salvo o si existen obligaciones por cumplir, y con ocasión de aquella se puede acordar la forma en que deben ser cumplidas. Por esta razón, la liquidación solo procede con posterioridad a la terminación de la ejecución del contrato. </w:t>
      </w:r>
    </w:p>
    <w:p w14:paraId="514C29DE" w14:textId="77777777" w:rsidR="00652563" w:rsidRPr="006F5A5A" w:rsidRDefault="00652563" w:rsidP="00652563">
      <w:pPr>
        <w:spacing w:after="120" w:line="240" w:lineRule="auto"/>
        <w:jc w:val="both"/>
        <w:rPr>
          <w:rFonts w:ascii="Verdana" w:eastAsia="Calibri" w:hAnsi="Verdana" w:cs="Arial"/>
          <w:lang w:val="es-ES" w:eastAsia="es-ES"/>
        </w:rPr>
      </w:pPr>
      <w:r w:rsidRPr="006F5A5A">
        <w:rPr>
          <w:rFonts w:ascii="Verdana" w:eastAsia="Calibri" w:hAnsi="Verdana" w:cs="Arial"/>
          <w:lang w:val="es-ES" w:eastAsia="es-ES"/>
        </w:rPr>
        <w:t xml:space="preserve">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71EF14DE" w14:textId="77777777" w:rsidR="00652563" w:rsidRPr="00652563" w:rsidRDefault="00652563" w:rsidP="00652563">
      <w:pPr>
        <w:spacing w:after="120" w:line="240" w:lineRule="auto"/>
        <w:jc w:val="both"/>
        <w:rPr>
          <w:rFonts w:ascii="Verdana" w:eastAsia="Calibri" w:hAnsi="Verdana" w:cs="Arial"/>
          <w:lang w:val="it-IT" w:eastAsia="es-ES"/>
        </w:rPr>
      </w:pPr>
      <w:r w:rsidRPr="006F5A5A">
        <w:rPr>
          <w:rFonts w:ascii="Verdana" w:eastAsia="Calibri" w:hAnsi="Verdana" w:cs="Arial"/>
          <w:lang w:val="es-ES" w:eastAsia="es-ES"/>
        </w:rPr>
        <w:t xml:space="preserve">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Esta norma al referirse a la liquidación del contrato establece que esta es la etapa del Proceso de Contratación, en la que las partes pueden acordar los ajustes, revisiones y reconocimientos a que haya lugar. A estos efectos, dicha norma establece que en el acta de liquidación debe dejarse constancia de todos los acuerdos, conciliaciones y transacciones a que llegaren las partes para poner fin a las divergencias presentadas y poder declararse a paz y salvo. </w:t>
      </w:r>
      <w:r w:rsidRPr="00652563">
        <w:rPr>
          <w:rFonts w:ascii="Verdana" w:eastAsia="Calibri" w:hAnsi="Verdana" w:cs="Arial"/>
          <w:lang w:val="it-IT" w:eastAsia="es-ES"/>
        </w:rPr>
        <w:t>[…]”</w:t>
      </w:r>
    </w:p>
    <w:p w14:paraId="7C008613"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3B2489CD"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03C763E7"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13505403"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0BB3A852"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064D123B"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55C11D00"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6C827259"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6369A901"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6785821F"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07DDDBA5" w14:textId="77777777" w:rsidR="00652563" w:rsidRPr="00652563" w:rsidRDefault="00652563" w:rsidP="00652563">
      <w:pPr>
        <w:spacing w:after="0" w:line="276" w:lineRule="auto"/>
        <w:contextualSpacing/>
        <w:rPr>
          <w:rFonts w:ascii="Verdana" w:eastAsia="Century Gothic" w:hAnsi="Verdana" w:cs="Century Gothic"/>
          <w:b/>
          <w:bCs/>
          <w:lang w:val="it-IT"/>
        </w:rPr>
      </w:pPr>
    </w:p>
    <w:p w14:paraId="6540107F" w14:textId="03388261" w:rsidR="00652563" w:rsidRDefault="00F52495" w:rsidP="00652563">
      <w:pPr>
        <w:spacing w:after="0" w:line="276" w:lineRule="auto"/>
        <w:jc w:val="both"/>
        <w:rPr>
          <w:rFonts w:ascii="Verdana" w:hAnsi="Verdana"/>
        </w:rPr>
      </w:pPr>
      <w:r w:rsidRPr="0044528D">
        <w:rPr>
          <w:rFonts w:ascii="Verdana" w:hAnsi="Verdana"/>
        </w:rPr>
        <w:t xml:space="preserve">Bogotá D.C., </w:t>
      </w:r>
      <w:r>
        <w:rPr>
          <w:rFonts w:ascii="Verdana" w:hAnsi="Verdana"/>
        </w:rPr>
        <w:t xml:space="preserve">29 de agosto de 2024 </w:t>
      </w:r>
    </w:p>
    <w:p w14:paraId="0C76708B" w14:textId="77777777" w:rsidR="000A05D3" w:rsidRDefault="000A05D3" w:rsidP="00652563">
      <w:pPr>
        <w:spacing w:after="0" w:line="276" w:lineRule="auto"/>
        <w:jc w:val="both"/>
        <w:rPr>
          <w:rFonts w:ascii="Verdana" w:hAnsi="Verdana"/>
        </w:rPr>
      </w:pPr>
    </w:p>
    <w:p w14:paraId="39A2426F" w14:textId="06E04264" w:rsidR="000A05D3" w:rsidRPr="00F52495" w:rsidRDefault="000A05D3" w:rsidP="000A05D3">
      <w:pPr>
        <w:spacing w:after="0" w:line="276" w:lineRule="auto"/>
        <w:jc w:val="right"/>
        <w:rPr>
          <w:rFonts w:ascii="Verdana" w:hAnsi="Verdana"/>
        </w:rPr>
      </w:pPr>
      <w:r w:rsidRPr="000A05D3">
        <w:rPr>
          <w:rFonts w:ascii="Verdana" w:hAnsi="Verdana"/>
          <w:noProof/>
        </w:rPr>
        <w:drawing>
          <wp:inline distT="0" distB="0" distL="0" distR="0" wp14:anchorId="645FA1B6" wp14:editId="34A4F607">
            <wp:extent cx="3848637" cy="1038370"/>
            <wp:effectExtent l="0" t="0" r="0" b="9525"/>
            <wp:docPr id="71074504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45045" name="Imagen 1" descr="Texto&#10;&#10;Descripción generada automáticamente"/>
                    <pic:cNvPicPr/>
                  </pic:nvPicPr>
                  <pic:blipFill>
                    <a:blip r:embed="rId11"/>
                    <a:stretch>
                      <a:fillRect/>
                    </a:stretch>
                  </pic:blipFill>
                  <pic:spPr>
                    <a:xfrm>
                      <a:off x="0" y="0"/>
                      <a:ext cx="3848637" cy="1038370"/>
                    </a:xfrm>
                    <a:prstGeom prst="rect">
                      <a:avLst/>
                    </a:prstGeom>
                  </pic:spPr>
                </pic:pic>
              </a:graphicData>
            </a:graphic>
          </wp:inline>
        </w:drawing>
      </w:r>
    </w:p>
    <w:p w14:paraId="65C5C3E2" w14:textId="77777777" w:rsidR="00652563" w:rsidRPr="00F52495" w:rsidRDefault="00652563" w:rsidP="00652563">
      <w:pPr>
        <w:spacing w:after="0" w:line="276" w:lineRule="auto"/>
        <w:jc w:val="both"/>
        <w:rPr>
          <w:rFonts w:ascii="Verdana" w:eastAsia="Calibri" w:hAnsi="Verdana" w:cs="Arial"/>
          <w:lang w:eastAsia="es-ES"/>
        </w:rPr>
      </w:pPr>
    </w:p>
    <w:p w14:paraId="6EF89695" w14:textId="77777777" w:rsidR="00652563" w:rsidRPr="00F52495" w:rsidRDefault="00652563" w:rsidP="00652563">
      <w:pPr>
        <w:spacing w:after="0" w:line="276" w:lineRule="auto"/>
        <w:jc w:val="both"/>
        <w:rPr>
          <w:rFonts w:ascii="Verdana" w:eastAsia="Calibri" w:hAnsi="Verdana" w:cs="Arial"/>
          <w:lang w:eastAsia="es-ES"/>
        </w:rPr>
      </w:pPr>
    </w:p>
    <w:p w14:paraId="51B5B808" w14:textId="77777777" w:rsidR="00652563" w:rsidRPr="00652563" w:rsidRDefault="00652563" w:rsidP="00652563">
      <w:pPr>
        <w:spacing w:after="0" w:line="276" w:lineRule="auto"/>
        <w:jc w:val="both"/>
        <w:rPr>
          <w:rFonts w:ascii="Verdana" w:eastAsia="Calibri" w:hAnsi="Verdana" w:cs="Arial"/>
          <w:lang w:val="it-IT" w:eastAsia="es-ES"/>
        </w:rPr>
      </w:pPr>
      <w:r w:rsidRPr="00652563">
        <w:rPr>
          <w:rFonts w:ascii="Verdana" w:eastAsia="Calibri" w:hAnsi="Verdana" w:cs="Arial"/>
          <w:lang w:val="it-IT" w:eastAsia="es-ES"/>
        </w:rPr>
        <w:t>Señora</w:t>
      </w:r>
    </w:p>
    <w:p w14:paraId="4361E5F2" w14:textId="77777777" w:rsidR="00652563" w:rsidRPr="00652563" w:rsidRDefault="00652563" w:rsidP="00652563">
      <w:pPr>
        <w:spacing w:after="0" w:line="276" w:lineRule="auto"/>
        <w:jc w:val="both"/>
        <w:rPr>
          <w:rFonts w:ascii="Verdana" w:eastAsia="Calibri" w:hAnsi="Verdana" w:cs="Arial"/>
          <w:lang w:val="it-IT" w:eastAsia="es-ES"/>
        </w:rPr>
      </w:pPr>
      <w:r w:rsidRPr="00652563">
        <w:rPr>
          <w:rFonts w:ascii="Verdana" w:hAnsi="Verdana" w:cs="Arial"/>
          <w:b/>
          <w:bCs/>
          <w:lang w:val="it-IT"/>
        </w:rPr>
        <w:t>NICOLLE DANIELA RUEDA FERNÁNDEZ</w:t>
      </w:r>
    </w:p>
    <w:p w14:paraId="1DBF42FE" w14:textId="77777777" w:rsidR="00652563" w:rsidRDefault="000F55E6" w:rsidP="00652563">
      <w:pPr>
        <w:spacing w:after="0" w:line="276" w:lineRule="auto"/>
        <w:jc w:val="both"/>
        <w:rPr>
          <w:rFonts w:ascii="Verdana" w:eastAsia="Calibri" w:hAnsi="Verdana" w:cs="Arial"/>
          <w:lang w:val="it-IT" w:eastAsia="es-ES"/>
        </w:rPr>
      </w:pPr>
      <w:hyperlink r:id="rId12" w:history="1">
        <w:r w:rsidR="00652563" w:rsidRPr="00F13163">
          <w:rPr>
            <w:rStyle w:val="Hipervnculo"/>
            <w:rFonts w:ascii="Verdana" w:eastAsia="Calibri" w:hAnsi="Verdana" w:cs="Arial"/>
            <w:lang w:val="it-IT" w:eastAsia="es-ES"/>
          </w:rPr>
          <w:t>nrueda266@unab.edu.co</w:t>
        </w:r>
      </w:hyperlink>
    </w:p>
    <w:p w14:paraId="4D79C817" w14:textId="77777777" w:rsidR="00652563" w:rsidRPr="00BB373B" w:rsidRDefault="00652563" w:rsidP="00652563">
      <w:pPr>
        <w:spacing w:after="0" w:line="276" w:lineRule="auto"/>
        <w:jc w:val="both"/>
        <w:rPr>
          <w:rFonts w:ascii="Verdana" w:eastAsia="Calibri" w:hAnsi="Verdana" w:cs="Arial"/>
          <w:lang w:val="it-IT" w:eastAsia="es-ES"/>
        </w:rPr>
      </w:pPr>
      <w:r>
        <w:rPr>
          <w:rFonts w:ascii="Verdana" w:eastAsia="Calibri" w:hAnsi="Verdana" w:cs="Arial"/>
          <w:lang w:val="it-IT" w:eastAsia="es-ES"/>
        </w:rPr>
        <w:t xml:space="preserve">Santander – Bucaramanga </w:t>
      </w:r>
    </w:p>
    <w:p w14:paraId="53FDEE93" w14:textId="77777777" w:rsidR="00652563" w:rsidRPr="00150754" w:rsidRDefault="00652563" w:rsidP="00652563">
      <w:pPr>
        <w:spacing w:after="0" w:line="276" w:lineRule="auto"/>
        <w:jc w:val="both"/>
        <w:rPr>
          <w:rFonts w:ascii="Verdana" w:eastAsia="Calibri" w:hAnsi="Verdana" w:cs="Arial"/>
          <w:b/>
          <w:bCs/>
          <w:lang w:val="it-IT"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52563" w:rsidRPr="00B35714" w14:paraId="06C4915F" w14:textId="77777777" w:rsidTr="00661948">
        <w:trPr>
          <w:trHeight w:val="884"/>
        </w:trPr>
        <w:tc>
          <w:tcPr>
            <w:tcW w:w="2689" w:type="dxa"/>
          </w:tcPr>
          <w:p w14:paraId="4FB65D89" w14:textId="77777777" w:rsidR="00652563" w:rsidRPr="00150754" w:rsidRDefault="00652563" w:rsidP="00661948">
            <w:pPr>
              <w:spacing w:line="276" w:lineRule="auto"/>
              <w:jc w:val="both"/>
              <w:rPr>
                <w:rFonts w:ascii="Verdana" w:eastAsia="Calibri" w:hAnsi="Verdana" w:cs="Arial"/>
                <w:b/>
                <w:bCs/>
                <w:lang w:val="it-IT" w:eastAsia="es-ES_tradnl"/>
              </w:rPr>
            </w:pPr>
          </w:p>
        </w:tc>
        <w:tc>
          <w:tcPr>
            <w:tcW w:w="6100" w:type="dxa"/>
          </w:tcPr>
          <w:p w14:paraId="222F2C56" w14:textId="77777777" w:rsidR="00652563" w:rsidRPr="00B35714" w:rsidRDefault="00652563" w:rsidP="00661948">
            <w:pPr>
              <w:spacing w:line="276" w:lineRule="auto"/>
              <w:jc w:val="both"/>
              <w:rPr>
                <w:rFonts w:ascii="Verdana" w:eastAsia="Calibri" w:hAnsi="Verdana" w:cs="Arial"/>
                <w:b/>
                <w:bCs/>
                <w:lang w:val="es-ES" w:eastAsia="es-ES"/>
              </w:rPr>
            </w:pPr>
            <w:r w:rsidRPr="00B35714">
              <w:rPr>
                <w:rFonts w:ascii="Verdana" w:eastAsia="Calibri" w:hAnsi="Verdana" w:cs="Arial"/>
                <w:b/>
                <w:bCs/>
                <w:lang w:val="es-ES" w:eastAsia="es-ES"/>
              </w:rPr>
              <w:t xml:space="preserve">Concepto C- </w:t>
            </w:r>
            <w:r>
              <w:rPr>
                <w:rFonts w:ascii="Verdana" w:eastAsia="Calibri" w:hAnsi="Verdana" w:cs="Arial"/>
                <w:b/>
                <w:bCs/>
                <w:lang w:val="es-ES" w:eastAsia="es-ES"/>
              </w:rPr>
              <w:t>346</w:t>
            </w:r>
            <w:r w:rsidRPr="00B35714">
              <w:rPr>
                <w:rFonts w:ascii="Verdana" w:eastAsia="Calibri" w:hAnsi="Verdana" w:cs="Arial"/>
                <w:b/>
                <w:bCs/>
                <w:lang w:val="es-ES" w:eastAsia="es-ES"/>
              </w:rPr>
              <w:t xml:space="preserve"> de 2024</w:t>
            </w:r>
          </w:p>
        </w:tc>
      </w:tr>
      <w:tr w:rsidR="00652563" w:rsidRPr="00B35714" w14:paraId="5CEE358B" w14:textId="77777777" w:rsidTr="00661948">
        <w:trPr>
          <w:trHeight w:val="884"/>
        </w:trPr>
        <w:tc>
          <w:tcPr>
            <w:tcW w:w="2689" w:type="dxa"/>
          </w:tcPr>
          <w:p w14:paraId="3E09B0D8" w14:textId="77777777" w:rsidR="00652563" w:rsidRPr="00B35714" w:rsidRDefault="00652563" w:rsidP="00661948">
            <w:pPr>
              <w:spacing w:line="276" w:lineRule="auto"/>
              <w:jc w:val="both"/>
              <w:rPr>
                <w:rFonts w:ascii="Verdana" w:eastAsia="Calibri" w:hAnsi="Verdana" w:cs="Arial"/>
                <w:lang w:val="es-ES_tradnl" w:eastAsia="es-ES_tradnl"/>
              </w:rPr>
            </w:pPr>
            <w:r w:rsidRPr="00B35714">
              <w:rPr>
                <w:rFonts w:ascii="Verdana" w:eastAsia="Calibri" w:hAnsi="Verdana" w:cs="Arial"/>
                <w:b/>
                <w:lang w:val="es-ES_tradnl" w:eastAsia="es-ES_tradnl"/>
              </w:rPr>
              <w:t>Temas:</w:t>
            </w:r>
            <w:r w:rsidRPr="00B35714">
              <w:rPr>
                <w:rFonts w:ascii="Verdana" w:eastAsia="Calibri" w:hAnsi="Verdana" w:cs="Arial"/>
                <w:lang w:val="es-ES_tradnl" w:eastAsia="es-ES_tradnl"/>
              </w:rPr>
              <w:t xml:space="preserve">                   </w:t>
            </w:r>
          </w:p>
        </w:tc>
        <w:tc>
          <w:tcPr>
            <w:tcW w:w="6100" w:type="dxa"/>
          </w:tcPr>
          <w:p w14:paraId="14D22550" w14:textId="77777777" w:rsidR="00652563" w:rsidRPr="00A44A7B" w:rsidRDefault="00652563" w:rsidP="00661948">
            <w:pPr>
              <w:pStyle w:val="paragraph"/>
              <w:shd w:val="clear" w:color="auto" w:fill="FFFFFF" w:themeFill="background1"/>
              <w:spacing w:after="120" w:line="276" w:lineRule="auto"/>
              <w:jc w:val="both"/>
              <w:textAlignment w:val="baseline"/>
              <w:rPr>
                <w:rFonts w:ascii="Verdana" w:eastAsiaTheme="minorHAnsi" w:hAnsi="Verdana" w:cs="Arial"/>
                <w:sz w:val="22"/>
                <w:szCs w:val="22"/>
                <w:lang w:eastAsia="en-US"/>
              </w:rPr>
            </w:pPr>
            <w:r w:rsidRPr="00A44A7B">
              <w:rPr>
                <w:rFonts w:ascii="Verdana" w:eastAsiaTheme="minorHAnsi" w:hAnsi="Verdana" w:cs="Arial"/>
                <w:b/>
                <w:bCs/>
                <w:sz w:val="22"/>
                <w:szCs w:val="22"/>
                <w:lang w:eastAsia="en-US"/>
              </w:rPr>
              <w:t>LIQUIDACIÓN DEL CONTRATO</w:t>
            </w:r>
            <w:r w:rsidRPr="00A44A7B">
              <w:rPr>
                <w:rFonts w:ascii="Verdana" w:eastAsiaTheme="minorHAnsi" w:hAnsi="Verdana" w:cs="Arial"/>
                <w:sz w:val="22"/>
                <w:szCs w:val="22"/>
                <w:lang w:eastAsia="en-US"/>
              </w:rPr>
              <w:t xml:space="preserve"> – Noción – Clases </w:t>
            </w:r>
          </w:p>
        </w:tc>
      </w:tr>
      <w:tr w:rsidR="00652563" w:rsidRPr="00B35714" w14:paraId="3E5D596F" w14:textId="77777777" w:rsidTr="00661948">
        <w:tc>
          <w:tcPr>
            <w:tcW w:w="2689" w:type="dxa"/>
          </w:tcPr>
          <w:p w14:paraId="3988FA46" w14:textId="77777777" w:rsidR="00652563" w:rsidRPr="00B35714" w:rsidRDefault="00652563" w:rsidP="00661948">
            <w:pPr>
              <w:spacing w:line="276" w:lineRule="auto"/>
              <w:jc w:val="both"/>
              <w:rPr>
                <w:rFonts w:ascii="Verdana" w:eastAsia="Calibri" w:hAnsi="Verdana" w:cs="Arial"/>
                <w:b/>
                <w:lang w:val="es-ES_tradnl" w:eastAsia="es-ES_tradnl"/>
              </w:rPr>
            </w:pPr>
            <w:r w:rsidRPr="00B35714">
              <w:rPr>
                <w:rFonts w:ascii="Verdana" w:eastAsia="Calibri" w:hAnsi="Verdana" w:cs="Arial"/>
                <w:b/>
                <w:lang w:val="es-ES_tradnl" w:eastAsia="es-ES_tradnl"/>
              </w:rPr>
              <w:t>Radicación:</w:t>
            </w:r>
            <w:r w:rsidRPr="00B35714">
              <w:rPr>
                <w:rFonts w:ascii="Verdana" w:eastAsia="Calibri" w:hAnsi="Verdana" w:cs="Arial"/>
                <w:lang w:val="es-ES_tradnl" w:eastAsia="es-ES_tradnl"/>
              </w:rPr>
              <w:t xml:space="preserve">               </w:t>
            </w:r>
          </w:p>
        </w:tc>
        <w:tc>
          <w:tcPr>
            <w:tcW w:w="6100" w:type="dxa"/>
          </w:tcPr>
          <w:p w14:paraId="56F63508" w14:textId="77777777" w:rsidR="00652563" w:rsidRPr="00B35714" w:rsidRDefault="00652563" w:rsidP="00661948">
            <w:pPr>
              <w:spacing w:line="276" w:lineRule="auto"/>
              <w:jc w:val="both"/>
              <w:rPr>
                <w:rFonts w:ascii="Verdana" w:hAnsi="Verdana" w:cs="Arial"/>
              </w:rPr>
            </w:pPr>
            <w:r w:rsidRPr="00B35714">
              <w:rPr>
                <w:rFonts w:ascii="Verdana" w:hAnsi="Verdana" w:cs="Arial"/>
              </w:rPr>
              <w:t xml:space="preserve">Respuesta a consulta con radicado No. </w:t>
            </w:r>
            <w:r w:rsidRPr="002A69C5">
              <w:rPr>
                <w:rFonts w:ascii="Verdana" w:hAnsi="Verdana" w:cs="Arial"/>
              </w:rPr>
              <w:t>P20240716007244</w:t>
            </w:r>
          </w:p>
        </w:tc>
      </w:tr>
    </w:tbl>
    <w:p w14:paraId="1E3CD5E3" w14:textId="77777777" w:rsidR="00652563" w:rsidRPr="00B35714" w:rsidRDefault="00652563" w:rsidP="00652563">
      <w:pPr>
        <w:spacing w:after="0" w:line="276" w:lineRule="auto"/>
        <w:jc w:val="both"/>
        <w:rPr>
          <w:rFonts w:ascii="Verdana" w:eastAsia="Calibri" w:hAnsi="Verdana" w:cs="Arial"/>
          <w:lang w:val="es-ES_tradnl" w:eastAsia="es-ES_tradnl"/>
        </w:rPr>
      </w:pPr>
    </w:p>
    <w:p w14:paraId="1EE621C9" w14:textId="77777777" w:rsidR="00652563" w:rsidRPr="00B35714" w:rsidRDefault="00652563" w:rsidP="00652563">
      <w:pPr>
        <w:spacing w:after="0" w:line="276" w:lineRule="auto"/>
        <w:jc w:val="both"/>
        <w:rPr>
          <w:rFonts w:ascii="Verdana" w:eastAsia="Calibri" w:hAnsi="Verdana" w:cs="Arial"/>
          <w:lang w:val="es-ES_tradnl" w:eastAsia="es-ES_tradnl"/>
        </w:rPr>
      </w:pPr>
    </w:p>
    <w:p w14:paraId="7DAAD7F5" w14:textId="77777777" w:rsidR="00652563" w:rsidRPr="00B35714" w:rsidRDefault="00652563" w:rsidP="00652563">
      <w:pPr>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Estimad</w:t>
      </w:r>
      <w:r>
        <w:rPr>
          <w:rFonts w:ascii="Verdana" w:eastAsia="Calibri" w:hAnsi="Verdana" w:cs="Arial"/>
          <w:lang w:val="es-ES" w:eastAsia="es-ES"/>
        </w:rPr>
        <w:t>a</w:t>
      </w:r>
      <w:r w:rsidRPr="00B35714">
        <w:rPr>
          <w:rFonts w:ascii="Verdana" w:eastAsia="Calibri" w:hAnsi="Verdana" w:cs="Arial"/>
          <w:lang w:val="es-ES" w:eastAsia="es-ES"/>
        </w:rPr>
        <w:t xml:space="preserve"> señor</w:t>
      </w:r>
      <w:r>
        <w:rPr>
          <w:rFonts w:ascii="Verdana" w:eastAsia="Calibri" w:hAnsi="Verdana" w:cs="Arial"/>
          <w:lang w:val="es-ES" w:eastAsia="es-ES"/>
        </w:rPr>
        <w:t>a</w:t>
      </w:r>
      <w:r w:rsidRPr="00B35714">
        <w:rPr>
          <w:rFonts w:ascii="Verdana" w:eastAsia="Calibri" w:hAnsi="Verdana" w:cs="Arial"/>
          <w:lang w:val="es-ES" w:eastAsia="es-ES"/>
        </w:rPr>
        <w:t xml:space="preserve"> </w:t>
      </w:r>
      <w:proofErr w:type="spellStart"/>
      <w:r>
        <w:rPr>
          <w:rFonts w:ascii="Verdana" w:eastAsia="Calibri" w:hAnsi="Verdana" w:cs="Arial"/>
          <w:lang w:val="es-ES" w:eastAsia="es-ES"/>
        </w:rPr>
        <w:t>Nicolle</w:t>
      </w:r>
      <w:proofErr w:type="spellEnd"/>
      <w:r>
        <w:rPr>
          <w:rFonts w:ascii="Verdana" w:eastAsia="Calibri" w:hAnsi="Verdana" w:cs="Arial"/>
          <w:lang w:val="es-ES" w:eastAsia="es-ES"/>
        </w:rPr>
        <w:t xml:space="preserve"> Daniela: </w:t>
      </w:r>
      <w:r w:rsidRPr="00B35714">
        <w:rPr>
          <w:rFonts w:ascii="Verdana" w:eastAsia="Calibri" w:hAnsi="Verdana" w:cs="Arial"/>
          <w:lang w:val="es-ES" w:eastAsia="es-ES"/>
        </w:rPr>
        <w:t xml:space="preserve"> </w:t>
      </w:r>
    </w:p>
    <w:p w14:paraId="1E2BDE32" w14:textId="77777777" w:rsidR="00652563" w:rsidRPr="00B35714" w:rsidRDefault="00652563" w:rsidP="00652563">
      <w:pPr>
        <w:tabs>
          <w:tab w:val="left" w:pos="3768"/>
        </w:tabs>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ab/>
      </w:r>
    </w:p>
    <w:p w14:paraId="13F7F850" w14:textId="77777777" w:rsidR="00652563" w:rsidRPr="00B35714" w:rsidRDefault="00652563" w:rsidP="00652563">
      <w:pPr>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En ejercicio de la competencia otorgada por los artículos 3, numeral 5º, y 11, numeral 8º, del Decreto Ley 4170 de 2011,</w:t>
      </w:r>
      <w:r w:rsidRPr="00B35714">
        <w:rPr>
          <w:rFonts w:ascii="Verdana" w:eastAsia="Arial MT" w:hAnsi="Verdana" w:cs="Arial MT"/>
          <w:lang w:val="es-ES" w:eastAsia="es-ES"/>
        </w:rPr>
        <w:t xml:space="preserve"> </w:t>
      </w:r>
      <w:r w:rsidRPr="00B35714">
        <w:rPr>
          <w:rFonts w:ascii="Verdana" w:hAnsi="Verdana" w:cs="Arial"/>
        </w:rPr>
        <w:t xml:space="preserve">así como lo establecido en el artículo 4 de la Resolución 1707 de 2018 expedida por esta Entidad, </w:t>
      </w:r>
      <w:r w:rsidRPr="00B35714">
        <w:rPr>
          <w:rFonts w:ascii="Verdana" w:eastAsia="Calibri" w:hAnsi="Verdana" w:cs="Arial"/>
          <w:lang w:val="es-ES" w:eastAsia="es-ES"/>
        </w:rPr>
        <w:t>la Agencia Nacional de Contratación Pública – Colombia Compra Eficiente– responde su solicitud de consulta de fecha 1</w:t>
      </w:r>
      <w:r>
        <w:rPr>
          <w:rFonts w:ascii="Verdana" w:eastAsia="Calibri" w:hAnsi="Verdana" w:cs="Arial"/>
          <w:lang w:val="es-ES" w:eastAsia="es-ES"/>
        </w:rPr>
        <w:t>6</w:t>
      </w:r>
      <w:r w:rsidRPr="00B35714">
        <w:rPr>
          <w:rFonts w:ascii="Verdana" w:eastAsia="Calibri" w:hAnsi="Verdana" w:cs="Arial"/>
          <w:lang w:val="es-ES" w:eastAsia="es-ES"/>
        </w:rPr>
        <w:t xml:space="preserve"> de julio de 2024, en la cual manifiesta lo siguiente: </w:t>
      </w:r>
    </w:p>
    <w:p w14:paraId="2AFDC7DE" w14:textId="77777777" w:rsidR="00652563" w:rsidRPr="00805BE4" w:rsidRDefault="00652563" w:rsidP="00652563">
      <w:pPr>
        <w:pStyle w:val="Prrafodelista"/>
        <w:tabs>
          <w:tab w:val="left" w:pos="142"/>
          <w:tab w:val="left" w:pos="284"/>
        </w:tabs>
        <w:spacing w:line="276" w:lineRule="auto"/>
        <w:ind w:left="0"/>
        <w:jc w:val="both"/>
        <w:rPr>
          <w:rFonts w:ascii="Verdana" w:eastAsia="Calibri" w:hAnsi="Verdana" w:cs="Arial"/>
          <w:lang w:eastAsia="es-ES"/>
        </w:rPr>
      </w:pPr>
    </w:p>
    <w:p w14:paraId="64E948F7" w14:textId="77777777" w:rsidR="00652563" w:rsidRPr="00805BE4" w:rsidRDefault="00652563" w:rsidP="00652563">
      <w:pPr>
        <w:autoSpaceDE w:val="0"/>
        <w:autoSpaceDN w:val="0"/>
        <w:adjustRightInd w:val="0"/>
        <w:spacing w:after="0" w:line="276" w:lineRule="auto"/>
        <w:ind w:left="709" w:right="709"/>
        <w:jc w:val="both"/>
        <w:rPr>
          <w:rFonts w:ascii="Verdana" w:eastAsia="Calibri" w:hAnsi="Verdana" w:cs="Arial"/>
          <w:lang w:val="es-ES" w:eastAsia="es-ES"/>
        </w:rPr>
      </w:pPr>
      <w:bookmarkStart w:id="3" w:name="_Hlk95313578"/>
      <w:r w:rsidRPr="00805BE4">
        <w:rPr>
          <w:rFonts w:ascii="Verdana" w:eastAsia="Calibri" w:hAnsi="Verdana" w:cs="Arial"/>
          <w:lang w:val="es-ES" w:eastAsia="es-ES"/>
        </w:rPr>
        <w:lastRenderedPageBreak/>
        <w:t>“</w:t>
      </w:r>
      <w:bookmarkEnd w:id="3"/>
      <w:r w:rsidRPr="00805BE4">
        <w:rPr>
          <w:rFonts w:ascii="Verdana" w:eastAsia="Calibri" w:hAnsi="Verdana" w:cs="Arial"/>
          <w:lang w:val="es-ES" w:eastAsia="es-ES"/>
        </w:rPr>
        <w:t xml:space="preserve">1. ¿Si a un contratista de prestación de servicios se le vence un contrato el martes, puede el miércoles suscribir un segundo contrato, así no se liquide el primer contrato? </w:t>
      </w:r>
    </w:p>
    <w:p w14:paraId="64A12A35" w14:textId="77777777" w:rsidR="00652563" w:rsidRPr="00805BE4" w:rsidRDefault="00652563" w:rsidP="00652563">
      <w:pPr>
        <w:autoSpaceDE w:val="0"/>
        <w:autoSpaceDN w:val="0"/>
        <w:adjustRightInd w:val="0"/>
        <w:spacing w:after="0" w:line="276" w:lineRule="auto"/>
        <w:ind w:left="709" w:right="709"/>
        <w:jc w:val="both"/>
        <w:rPr>
          <w:rFonts w:ascii="Verdana" w:eastAsia="Calibri" w:hAnsi="Verdana" w:cs="Arial"/>
          <w:lang w:val="es-ES" w:eastAsia="es-ES"/>
        </w:rPr>
      </w:pPr>
    </w:p>
    <w:p w14:paraId="15DD2479" w14:textId="77777777" w:rsidR="00652563" w:rsidRPr="00805BE4" w:rsidRDefault="00652563" w:rsidP="00652563">
      <w:pPr>
        <w:autoSpaceDE w:val="0"/>
        <w:autoSpaceDN w:val="0"/>
        <w:adjustRightInd w:val="0"/>
        <w:spacing w:after="0" w:line="276" w:lineRule="auto"/>
        <w:ind w:left="709" w:right="709"/>
        <w:jc w:val="both"/>
        <w:rPr>
          <w:rFonts w:ascii="Verdana" w:eastAsia="Calibri" w:hAnsi="Verdana" w:cs="Arial"/>
          <w:lang w:val="es-ES" w:eastAsia="es-ES"/>
        </w:rPr>
      </w:pPr>
      <w:r w:rsidRPr="00805BE4">
        <w:rPr>
          <w:rFonts w:ascii="Verdana" w:eastAsia="Calibri" w:hAnsi="Verdana" w:cs="Arial"/>
          <w:lang w:val="es-ES" w:eastAsia="es-ES"/>
        </w:rPr>
        <w:t xml:space="preserve">2. ¿El acta de liquidación de un contrato de prestación de servicios es </w:t>
      </w:r>
      <w:proofErr w:type="spellStart"/>
      <w:r w:rsidRPr="00805BE4">
        <w:rPr>
          <w:rFonts w:ascii="Verdana" w:eastAsia="Calibri" w:hAnsi="Verdana" w:cs="Arial"/>
          <w:lang w:val="es-ES" w:eastAsia="es-ES"/>
        </w:rPr>
        <w:t>pre-requisito</w:t>
      </w:r>
      <w:proofErr w:type="spellEnd"/>
      <w:r w:rsidRPr="00805BE4">
        <w:rPr>
          <w:rFonts w:ascii="Verdana" w:eastAsia="Calibri" w:hAnsi="Verdana" w:cs="Arial"/>
          <w:lang w:val="es-ES" w:eastAsia="es-ES"/>
        </w:rPr>
        <w:t xml:space="preserve"> para poder suscribir el nuevo o segundo contrato de prestación de servicios? </w:t>
      </w:r>
    </w:p>
    <w:p w14:paraId="5FCCFB0A" w14:textId="77777777" w:rsidR="00652563" w:rsidRPr="00805BE4" w:rsidRDefault="00652563" w:rsidP="00652563">
      <w:pPr>
        <w:autoSpaceDE w:val="0"/>
        <w:autoSpaceDN w:val="0"/>
        <w:adjustRightInd w:val="0"/>
        <w:spacing w:after="0" w:line="276" w:lineRule="auto"/>
        <w:ind w:left="709" w:right="709"/>
        <w:jc w:val="both"/>
        <w:rPr>
          <w:rFonts w:ascii="Verdana" w:eastAsia="Calibri" w:hAnsi="Verdana" w:cs="Arial"/>
          <w:lang w:val="es-ES" w:eastAsia="es-ES"/>
        </w:rPr>
      </w:pPr>
    </w:p>
    <w:p w14:paraId="55C79A9A" w14:textId="77777777" w:rsidR="00652563" w:rsidRPr="00805BE4" w:rsidRDefault="00652563" w:rsidP="00652563">
      <w:pPr>
        <w:autoSpaceDE w:val="0"/>
        <w:autoSpaceDN w:val="0"/>
        <w:adjustRightInd w:val="0"/>
        <w:spacing w:after="0" w:line="276" w:lineRule="auto"/>
        <w:ind w:left="709" w:right="709"/>
        <w:jc w:val="both"/>
        <w:rPr>
          <w:rFonts w:ascii="Verdana" w:eastAsia="Calibri" w:hAnsi="Verdana" w:cs="Arial"/>
          <w:lang w:val="es-ES" w:eastAsia="es-ES"/>
        </w:rPr>
      </w:pPr>
      <w:r w:rsidRPr="00805BE4">
        <w:rPr>
          <w:rFonts w:ascii="Verdana" w:eastAsia="Calibri" w:hAnsi="Verdana" w:cs="Arial"/>
          <w:lang w:val="es-ES" w:eastAsia="es-ES"/>
        </w:rPr>
        <w:t xml:space="preserve">3. Si suscribo un contrato de prestación de servicios que está pactado cláusula de liquidación, se vence el 30 de julio. Para hacer un nuevo contrato a partir del 1 de agosto ¿es un </w:t>
      </w:r>
      <w:proofErr w:type="spellStart"/>
      <w:r w:rsidRPr="00805BE4">
        <w:rPr>
          <w:rFonts w:ascii="Verdana" w:eastAsia="Calibri" w:hAnsi="Verdana" w:cs="Arial"/>
          <w:lang w:val="es-ES" w:eastAsia="es-ES"/>
        </w:rPr>
        <w:t>pre-requisito</w:t>
      </w:r>
      <w:proofErr w:type="spellEnd"/>
      <w:r w:rsidRPr="00805BE4">
        <w:rPr>
          <w:rFonts w:ascii="Verdana" w:eastAsia="Calibri" w:hAnsi="Verdana" w:cs="Arial"/>
          <w:lang w:val="es-ES" w:eastAsia="es-ES"/>
        </w:rPr>
        <w:t xml:space="preserve"> suscribir el acta de liquidación para suscribir el nuevo contrato? Es decir, ¿si el contrato no está liquidado no se puede hacer uno nuevo?”</w:t>
      </w:r>
    </w:p>
    <w:p w14:paraId="6582FC54" w14:textId="77777777" w:rsidR="00652563" w:rsidRPr="00B35714" w:rsidRDefault="00652563" w:rsidP="00652563">
      <w:pPr>
        <w:pStyle w:val="Prrafodelista"/>
        <w:tabs>
          <w:tab w:val="left" w:pos="142"/>
          <w:tab w:val="left" w:pos="284"/>
        </w:tabs>
        <w:spacing w:line="276" w:lineRule="auto"/>
        <w:ind w:left="0"/>
        <w:jc w:val="both"/>
        <w:rPr>
          <w:rFonts w:ascii="Verdana" w:eastAsia="Century Gothic" w:hAnsi="Verdana" w:cs="Century Gothic"/>
          <w:b/>
          <w:bCs/>
        </w:rPr>
      </w:pPr>
    </w:p>
    <w:p w14:paraId="6D17226A" w14:textId="77777777" w:rsidR="00652563" w:rsidRPr="00B35714" w:rsidRDefault="00652563" w:rsidP="00652563">
      <w:pPr>
        <w:spacing w:after="120" w:line="276" w:lineRule="auto"/>
        <w:ind w:firstLine="709"/>
        <w:jc w:val="both"/>
        <w:rPr>
          <w:rFonts w:ascii="Verdana" w:eastAsia="Calibri" w:hAnsi="Verdana" w:cs="Arial"/>
          <w:lang w:val="es-ES_tradnl" w:eastAsia="es-ES_tradnl"/>
        </w:rPr>
      </w:pPr>
      <w:r w:rsidRPr="00B3571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35714">
        <w:rPr>
          <w:rFonts w:ascii="Verdana" w:eastAsia="Calibri" w:hAnsi="Verdana" w:cs="Arial"/>
          <w:lang w:val="es-ES_tradnl" w:eastAsia="es-ES_tradnl"/>
        </w:rPr>
        <w:tab/>
      </w:r>
    </w:p>
    <w:p w14:paraId="2B903F09" w14:textId="77777777" w:rsidR="00652563" w:rsidRPr="00B35714" w:rsidRDefault="00652563" w:rsidP="00652563">
      <w:pPr>
        <w:spacing w:after="0" w:line="276" w:lineRule="auto"/>
        <w:ind w:firstLine="709"/>
        <w:jc w:val="both"/>
        <w:rPr>
          <w:rFonts w:ascii="Verdana" w:eastAsia="Calibri" w:hAnsi="Verdana" w:cs="Arial"/>
          <w:lang w:val="es-ES" w:eastAsia="es-ES"/>
        </w:rPr>
      </w:pPr>
      <w:r w:rsidRPr="00B3571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7CEFFEE" w14:textId="77777777" w:rsidR="00652563" w:rsidRPr="00B35714" w:rsidRDefault="00652563" w:rsidP="00652563">
      <w:pPr>
        <w:spacing w:after="0" w:line="276" w:lineRule="auto"/>
        <w:ind w:firstLine="709"/>
        <w:jc w:val="both"/>
        <w:rPr>
          <w:rFonts w:ascii="Verdana" w:eastAsia="Calibri" w:hAnsi="Verdana" w:cs="Arial"/>
          <w:lang w:val="es-ES" w:eastAsia="es-ES"/>
        </w:rPr>
      </w:pPr>
    </w:p>
    <w:p w14:paraId="3B3D2820" w14:textId="77777777" w:rsidR="00652563" w:rsidRPr="00B35714" w:rsidRDefault="00652563" w:rsidP="00652563">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B35714">
        <w:rPr>
          <w:rFonts w:ascii="Verdana" w:eastAsia="Century Gothic" w:hAnsi="Verdana" w:cs="Century Gothic"/>
          <w:b/>
          <w:bCs/>
        </w:rPr>
        <w:lastRenderedPageBreak/>
        <w:t>Problema planteado:</w:t>
      </w:r>
    </w:p>
    <w:p w14:paraId="34392539" w14:textId="77777777" w:rsidR="00652563" w:rsidRPr="00B35714" w:rsidRDefault="00652563" w:rsidP="00652563">
      <w:pPr>
        <w:tabs>
          <w:tab w:val="left" w:pos="426"/>
        </w:tabs>
        <w:spacing w:after="0" w:line="276" w:lineRule="auto"/>
        <w:jc w:val="both"/>
        <w:rPr>
          <w:rFonts w:ascii="Verdana" w:eastAsia="Century Gothic" w:hAnsi="Verdana" w:cs="Century Gothic"/>
          <w:lang w:val="es-ES"/>
        </w:rPr>
      </w:pPr>
    </w:p>
    <w:p w14:paraId="0F55CE22" w14:textId="77777777" w:rsidR="00652563" w:rsidRDefault="00652563" w:rsidP="00652563">
      <w:pPr>
        <w:spacing w:after="0" w:line="276" w:lineRule="auto"/>
        <w:jc w:val="both"/>
        <w:rPr>
          <w:rFonts w:ascii="Verdana" w:eastAsia="Century Gothic" w:hAnsi="Verdana" w:cs="Century Gothic"/>
        </w:rPr>
      </w:pPr>
      <w:r w:rsidRPr="00B35714">
        <w:rPr>
          <w:rFonts w:ascii="Verdana" w:eastAsia="Century Gothic" w:hAnsi="Verdana" w:cs="Century Gothic"/>
        </w:rPr>
        <w:t xml:space="preserve">De acuerdo con el contenido de su solicitud, esta Agencia resolverá </w:t>
      </w:r>
      <w:proofErr w:type="gramStart"/>
      <w:r>
        <w:rPr>
          <w:rFonts w:ascii="Verdana" w:eastAsia="Century Gothic" w:hAnsi="Verdana" w:cs="Century Gothic"/>
        </w:rPr>
        <w:t xml:space="preserve">los </w:t>
      </w:r>
      <w:r w:rsidRPr="00B35714">
        <w:rPr>
          <w:rFonts w:ascii="Verdana" w:eastAsia="Century Gothic" w:hAnsi="Verdana" w:cs="Century Gothic"/>
        </w:rPr>
        <w:t xml:space="preserve"> siguiente</w:t>
      </w:r>
      <w:r>
        <w:rPr>
          <w:rFonts w:ascii="Verdana" w:eastAsia="Century Gothic" w:hAnsi="Verdana" w:cs="Century Gothic"/>
        </w:rPr>
        <w:t>s</w:t>
      </w:r>
      <w:proofErr w:type="gramEnd"/>
      <w:r w:rsidRPr="00B35714">
        <w:rPr>
          <w:rFonts w:ascii="Verdana" w:eastAsia="Century Gothic" w:hAnsi="Verdana" w:cs="Century Gothic"/>
        </w:rPr>
        <w:t xml:space="preserve"> problema</w:t>
      </w:r>
      <w:r>
        <w:rPr>
          <w:rFonts w:ascii="Verdana" w:eastAsia="Century Gothic" w:hAnsi="Verdana" w:cs="Century Gothic"/>
        </w:rPr>
        <w:t>s</w:t>
      </w:r>
      <w:r w:rsidRPr="00B35714">
        <w:rPr>
          <w:rFonts w:ascii="Verdana" w:eastAsia="Century Gothic" w:hAnsi="Verdana" w:cs="Century Gothic"/>
        </w:rPr>
        <w:t xml:space="preserve"> jurídico</w:t>
      </w:r>
      <w:r>
        <w:rPr>
          <w:rFonts w:ascii="Verdana" w:eastAsia="Century Gothic" w:hAnsi="Verdana" w:cs="Century Gothic"/>
        </w:rPr>
        <w:t>s</w:t>
      </w:r>
      <w:r w:rsidRPr="00B35714">
        <w:rPr>
          <w:rFonts w:ascii="Verdana" w:eastAsia="Century Gothic" w:hAnsi="Verdana" w:cs="Century Gothic"/>
        </w:rPr>
        <w:t>: ¿</w:t>
      </w:r>
      <w:r>
        <w:rPr>
          <w:rFonts w:ascii="Verdana" w:eastAsia="Century Gothic" w:hAnsi="Verdana" w:cs="Century Gothic"/>
        </w:rPr>
        <w:t>Para poder suscribir un contrato de prestación de servicios se requiere contar con la liquidación previa.</w:t>
      </w:r>
    </w:p>
    <w:p w14:paraId="69D19A55" w14:textId="77777777" w:rsidR="00652563" w:rsidRPr="00B35714" w:rsidRDefault="00652563" w:rsidP="00652563">
      <w:pPr>
        <w:spacing w:after="0" w:line="276" w:lineRule="auto"/>
        <w:jc w:val="both"/>
        <w:rPr>
          <w:rFonts w:ascii="Verdana" w:hAnsi="Verdana" w:cs="Arial"/>
        </w:rPr>
      </w:pPr>
      <w:r>
        <w:rPr>
          <w:rFonts w:ascii="Verdana" w:eastAsia="Century Gothic" w:hAnsi="Verdana" w:cs="Century Gothic"/>
        </w:rPr>
        <w:t xml:space="preserve"> ¿Es obligatoria la liquidación en un contrato de prestación de servicios?</w:t>
      </w:r>
    </w:p>
    <w:p w14:paraId="291AA09F" w14:textId="77777777" w:rsidR="00652563" w:rsidRPr="00B35714" w:rsidRDefault="00652563" w:rsidP="00652563">
      <w:pPr>
        <w:spacing w:after="0" w:line="276" w:lineRule="auto"/>
        <w:jc w:val="both"/>
        <w:rPr>
          <w:rFonts w:ascii="Verdana" w:hAnsi="Verdana" w:cs="Arial"/>
        </w:rPr>
      </w:pPr>
    </w:p>
    <w:p w14:paraId="7D90C342" w14:textId="77777777" w:rsidR="00652563" w:rsidRPr="00B35714" w:rsidRDefault="00652563" w:rsidP="00652563">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t>Respuesta:</w:t>
      </w:r>
    </w:p>
    <w:p w14:paraId="359FB077" w14:textId="77777777" w:rsidR="00652563" w:rsidRPr="00B35714" w:rsidRDefault="00652563" w:rsidP="0065256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52563" w:rsidRPr="00B35714" w14:paraId="38FD1E80" w14:textId="77777777" w:rsidTr="00661948">
        <w:trPr>
          <w:trHeight w:val="1217"/>
        </w:trPr>
        <w:tc>
          <w:tcPr>
            <w:tcW w:w="8828" w:type="dxa"/>
            <w:shd w:val="clear" w:color="auto" w:fill="auto"/>
          </w:tcPr>
          <w:p w14:paraId="4A4197E0" w14:textId="77777777" w:rsidR="00652563" w:rsidRPr="00B35714" w:rsidRDefault="00652563" w:rsidP="00661948">
            <w:pPr>
              <w:spacing w:line="276" w:lineRule="auto"/>
              <w:jc w:val="both"/>
              <w:rPr>
                <w:rFonts w:ascii="Verdana" w:hAnsi="Verdana"/>
              </w:rPr>
            </w:pPr>
          </w:p>
          <w:p w14:paraId="516C53A0" w14:textId="77777777" w:rsidR="00652563" w:rsidRDefault="00652563" w:rsidP="00661948">
            <w:pPr>
              <w:spacing w:after="120" w:line="276" w:lineRule="auto"/>
              <w:jc w:val="both"/>
              <w:rPr>
                <w:rFonts w:ascii="Verdana" w:eastAsia="Calibri" w:hAnsi="Verdana" w:cs="Arial"/>
                <w:lang w:val="es-ES"/>
              </w:rPr>
            </w:pPr>
            <w:r w:rsidRPr="007F2F56">
              <w:rPr>
                <w:rFonts w:ascii="Verdana" w:eastAsia="Calibri" w:hAnsi="Verdana" w:cs="Arial"/>
                <w:lang w:val="es-ES"/>
              </w:rPr>
              <w:t xml:space="preserve">Para dar respuesta a su pregunta debemos mencionar que se deben liquidar todos los contratos de tracto sucesivo, entendiendo por estos los de ejecución y cumplimiento prolongados en el tiempo, así como los demás que lo requieran –que son generalmente aquellos de ejecución instantánea en los que la misma se ha extendido temporalmente. </w:t>
            </w:r>
          </w:p>
          <w:p w14:paraId="43D10681" w14:textId="77777777" w:rsidR="00652563" w:rsidRDefault="00652563" w:rsidP="00661948">
            <w:pPr>
              <w:spacing w:after="120" w:line="276" w:lineRule="auto"/>
              <w:jc w:val="both"/>
              <w:rPr>
                <w:rFonts w:ascii="Verdana" w:eastAsia="Calibri" w:hAnsi="Verdana" w:cs="Arial"/>
                <w:lang w:val="es-ES"/>
              </w:rPr>
            </w:pPr>
            <w:r>
              <w:rPr>
                <w:rFonts w:ascii="Verdana" w:eastAsia="Calibri" w:hAnsi="Verdana" w:cs="Arial"/>
                <w:lang w:val="es-ES"/>
              </w:rPr>
              <w:t>L</w:t>
            </w:r>
            <w:r w:rsidRPr="007F2F56">
              <w:rPr>
                <w:rFonts w:ascii="Verdana" w:eastAsia="Calibri" w:hAnsi="Verdana" w:cs="Arial"/>
                <w:lang w:val="es-ES"/>
              </w:rPr>
              <w:t xml:space="preserve">os contratos </w:t>
            </w:r>
            <w:r>
              <w:rPr>
                <w:rFonts w:ascii="Verdana" w:eastAsia="Calibri" w:hAnsi="Verdana" w:cs="Arial"/>
                <w:lang w:val="es-ES"/>
              </w:rPr>
              <w:t xml:space="preserve">de </w:t>
            </w:r>
            <w:r w:rsidRPr="007F2F56">
              <w:rPr>
                <w:rFonts w:ascii="Verdana" w:eastAsia="Calibri" w:hAnsi="Verdana" w:cs="Arial"/>
                <w:lang w:val="es-ES"/>
              </w:rPr>
              <w:t>las entidades estatales deben definir la oportunidad y forma de recibir el objeto contratado y, en cada caso, si un contrato requiere o no de liquidación, con arreglo a criterios tales como la naturaleza, objeto y plazo del contrato, así como la probabilidad de que puedan surgir diferencias durante la ejecución del contrato</w:t>
            </w:r>
            <w:r>
              <w:rPr>
                <w:rFonts w:ascii="Verdana" w:eastAsia="Calibri" w:hAnsi="Verdana" w:cs="Arial"/>
                <w:lang w:val="es-ES"/>
              </w:rPr>
              <w:t>.</w:t>
            </w:r>
          </w:p>
          <w:p w14:paraId="44F3537C" w14:textId="77777777" w:rsidR="00652563" w:rsidRDefault="00652563" w:rsidP="00661948">
            <w:pPr>
              <w:spacing w:line="276" w:lineRule="auto"/>
              <w:jc w:val="both"/>
              <w:rPr>
                <w:rFonts w:ascii="Verdana" w:eastAsia="Calibri" w:hAnsi="Verdana" w:cs="Arial"/>
                <w:lang w:val="es-ES"/>
              </w:rPr>
            </w:pPr>
            <w:r>
              <w:rPr>
                <w:rFonts w:ascii="Verdana" w:eastAsia="Calibri" w:hAnsi="Verdana" w:cs="Arial"/>
                <w:lang w:val="es-ES"/>
              </w:rPr>
              <w:t>Así mismo, e</w:t>
            </w:r>
            <w:r w:rsidRPr="00A417A3">
              <w:rPr>
                <w:rFonts w:ascii="Verdana" w:eastAsia="Calibri" w:hAnsi="Verdana" w:cs="Arial"/>
                <w:lang w:val="es-ES"/>
              </w:rPr>
              <w:t>l artículo 60 de la Ley 80 de 1993,</w:t>
            </w:r>
            <w:r>
              <w:rPr>
                <w:rFonts w:ascii="Verdana" w:eastAsia="Calibri" w:hAnsi="Verdana" w:cs="Arial"/>
                <w:lang w:val="es-ES"/>
              </w:rPr>
              <w:t xml:space="preserve"> señala que</w:t>
            </w:r>
            <w:r w:rsidRPr="00A417A3">
              <w:rPr>
                <w:rFonts w:ascii="Verdana" w:eastAsia="Calibri" w:hAnsi="Verdana" w:cs="Arial"/>
                <w:lang w:val="es-ES"/>
              </w:rPr>
              <w:t xml:space="preserve"> </w:t>
            </w:r>
            <w:r>
              <w:rPr>
                <w:rFonts w:ascii="Verdana" w:eastAsia="Calibri" w:hAnsi="Verdana" w:cs="Arial"/>
                <w:lang w:val="es-ES"/>
              </w:rPr>
              <w:t>“</w:t>
            </w:r>
            <w:r w:rsidRPr="00A417A3">
              <w:rPr>
                <w:rFonts w:ascii="Verdana" w:eastAsia="Calibri" w:hAnsi="Verdana" w:cs="Arial"/>
                <w:lang w:val="es-ES"/>
              </w:rPr>
              <w:t xml:space="preserve">los contratos de tracto sucesivo, aquellos cuyo cumplimiento o ejecución se prolongue en el tiempo y los demás que lo requieran </w:t>
            </w:r>
            <w:r>
              <w:rPr>
                <w:rFonts w:ascii="Verdana" w:eastAsia="Calibri" w:hAnsi="Verdana" w:cs="Arial"/>
                <w:lang w:val="es-ES"/>
              </w:rPr>
              <w:t>“</w:t>
            </w:r>
            <w:r w:rsidRPr="00A417A3">
              <w:rPr>
                <w:rFonts w:ascii="Verdana" w:eastAsia="Calibri" w:hAnsi="Verdana" w:cs="Arial"/>
                <w:lang w:val="es-ES"/>
              </w:rPr>
              <w:t>serán objeto de liquidación</w:t>
            </w:r>
            <w:r>
              <w:rPr>
                <w:rFonts w:ascii="Verdana" w:eastAsia="Calibri" w:hAnsi="Verdana" w:cs="Arial"/>
                <w:lang w:val="es-ES"/>
              </w:rPr>
              <w:t>”</w:t>
            </w:r>
            <w:r w:rsidRPr="00A417A3">
              <w:rPr>
                <w:rFonts w:ascii="Verdana" w:eastAsia="Calibri" w:hAnsi="Verdana" w:cs="Arial"/>
                <w:lang w:val="es-ES"/>
              </w:rPr>
              <w:t xml:space="preserve">. El mismo artículo prescribe que no será obligatoria la liquidación </w:t>
            </w:r>
            <w:r>
              <w:rPr>
                <w:rFonts w:ascii="Verdana" w:eastAsia="Calibri" w:hAnsi="Verdana" w:cs="Arial"/>
                <w:lang w:val="es-ES"/>
              </w:rPr>
              <w:t xml:space="preserve">en </w:t>
            </w:r>
            <w:r w:rsidRPr="00A417A3">
              <w:rPr>
                <w:rFonts w:ascii="Verdana" w:eastAsia="Calibri" w:hAnsi="Verdana" w:cs="Arial"/>
                <w:lang w:val="es-ES"/>
              </w:rPr>
              <w:t xml:space="preserve">los contratos de prestación de servicios profesionales y de apoyo a la gestión. </w:t>
            </w:r>
          </w:p>
          <w:p w14:paraId="45D6A6F8" w14:textId="77777777" w:rsidR="00652563" w:rsidRDefault="00652563" w:rsidP="00661948">
            <w:pPr>
              <w:spacing w:line="276" w:lineRule="auto"/>
              <w:jc w:val="both"/>
              <w:rPr>
                <w:rFonts w:ascii="Verdana" w:eastAsia="Calibri" w:hAnsi="Verdana" w:cs="Arial"/>
                <w:lang w:val="es-ES"/>
              </w:rPr>
            </w:pPr>
          </w:p>
          <w:p w14:paraId="56D059A6" w14:textId="77777777" w:rsidR="00652563" w:rsidRDefault="00652563" w:rsidP="00661948">
            <w:pPr>
              <w:spacing w:line="276" w:lineRule="auto"/>
              <w:jc w:val="both"/>
              <w:rPr>
                <w:rFonts w:ascii="Verdana" w:eastAsia="Calibri" w:hAnsi="Verdana" w:cs="Arial"/>
                <w:lang w:val="es-ES"/>
              </w:rPr>
            </w:pPr>
            <w:r>
              <w:rPr>
                <w:rFonts w:ascii="Verdana" w:eastAsia="Calibri" w:hAnsi="Verdana" w:cs="Arial"/>
                <w:lang w:val="es-ES"/>
              </w:rPr>
              <w:t xml:space="preserve">Por otra parte, </w:t>
            </w:r>
            <w:r w:rsidRPr="00B14E9C">
              <w:rPr>
                <w:rFonts w:ascii="Verdana" w:eastAsia="Calibri" w:hAnsi="Verdana" w:cs="Arial"/>
                <w:lang w:val="es-ES"/>
              </w:rPr>
              <w:t xml:space="preserve">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w:t>
            </w:r>
            <w:r w:rsidRPr="00B14E9C">
              <w:rPr>
                <w:rFonts w:ascii="Verdana" w:eastAsia="Calibri" w:hAnsi="Verdana" w:cs="Arial"/>
                <w:lang w:val="es-ES"/>
              </w:rPr>
              <w:lastRenderedPageBreak/>
              <w:t xml:space="preserve">la expedición del acto administrativo que ordene la terminación del contrato; o, </w:t>
            </w:r>
            <w:proofErr w:type="spellStart"/>
            <w:r w:rsidRPr="00B14E9C">
              <w:rPr>
                <w:rFonts w:ascii="Verdana" w:eastAsia="Calibri" w:hAnsi="Verdana" w:cs="Arial"/>
                <w:lang w:val="es-ES"/>
              </w:rPr>
              <w:t>iii</w:t>
            </w:r>
            <w:proofErr w:type="spellEnd"/>
            <w:r w:rsidRPr="00B14E9C">
              <w:rPr>
                <w:rFonts w:ascii="Verdana" w:eastAsia="Calibri" w:hAnsi="Verdana" w:cs="Arial"/>
                <w:lang w:val="es-ES"/>
              </w:rPr>
              <w:t>) la fecha del acuerdo que disponga la terminación del contrato.</w:t>
            </w:r>
            <w:r>
              <w:rPr>
                <w:rFonts w:ascii="Verdana" w:eastAsia="Calibri" w:hAnsi="Verdana" w:cs="Arial"/>
                <w:lang w:val="es-ES"/>
              </w:rPr>
              <w:t xml:space="preserve"> </w:t>
            </w:r>
          </w:p>
          <w:p w14:paraId="120C222E" w14:textId="77777777" w:rsidR="00652563" w:rsidRPr="00661948" w:rsidRDefault="00652563" w:rsidP="00661948">
            <w:pPr>
              <w:spacing w:before="120" w:after="120" w:line="276" w:lineRule="auto"/>
              <w:jc w:val="both"/>
              <w:rPr>
                <w:rFonts w:ascii="Verdana" w:eastAsia="Calibri" w:hAnsi="Verdana" w:cs="Arial"/>
                <w:lang w:val="es-ES"/>
              </w:rPr>
            </w:pPr>
            <w:r w:rsidRPr="00661948">
              <w:rPr>
                <w:rFonts w:ascii="Verdana" w:eastAsia="Calibri" w:hAnsi="Verdana" w:cs="Arial"/>
                <w:lang w:val="es-ES"/>
              </w:rPr>
              <w:t>En un principio, la liquidación no es obligatoria en los contratos de prestación de servicios profesionales y de apoyo a la gestión, pues de acuerdo con la naturaleza de este contrato no reviste una complejidad que implique hacer un ajuste final de cuentas, reconociendo saldos a favor para alguna de las partes. Sin embargo, existen casos donde estos contratos tengan una importancia y relevancia que establezcan obligaciones que hagan difícil hacer un ajuste de cuentas con la simple cuenta de cobro, o que conlleve a discrepancia y controversias, razón por la que la ley no prohíbe, por un lado, que se pacte la liquidación como cláusula accidental y, por otro, que las partes consideren necesaria la liquidación al finalizar el contrato. En ambos casos, la liquidación será facultativa.</w:t>
            </w:r>
          </w:p>
          <w:p w14:paraId="57F2D227" w14:textId="77777777" w:rsidR="00652563" w:rsidRDefault="00652563" w:rsidP="00661948">
            <w:pPr>
              <w:spacing w:line="276" w:lineRule="auto"/>
              <w:jc w:val="both"/>
              <w:rPr>
                <w:rFonts w:ascii="Verdana" w:eastAsia="Calibri" w:hAnsi="Verdana" w:cs="Arial"/>
                <w:lang w:val="es-ES"/>
              </w:rPr>
            </w:pPr>
          </w:p>
          <w:p w14:paraId="197502E7" w14:textId="06D27D2D" w:rsidR="00652563" w:rsidRPr="007A6BFF" w:rsidRDefault="00652563" w:rsidP="00661948">
            <w:pPr>
              <w:spacing w:line="276" w:lineRule="auto"/>
              <w:jc w:val="both"/>
              <w:rPr>
                <w:rFonts w:ascii="Verdana" w:eastAsia="Calibri" w:hAnsi="Verdana" w:cs="Arial"/>
                <w:lang w:val="es-ES"/>
              </w:rPr>
            </w:pPr>
            <w:r>
              <w:rPr>
                <w:rFonts w:ascii="Verdana" w:eastAsia="Calibri" w:hAnsi="Verdana" w:cs="Arial"/>
                <w:lang w:val="es-ES"/>
              </w:rPr>
              <w:t>Por lo tanto, lo que se debe tener en cuenta si se pactó cláusula de liquidación con el fin de poder establecer el termino con el que se cuenta para poder efectuar la correspondiente liquidación, cabe mencionar que este término no se encuentra relacionado con la suscripción de un nuevo contrato.</w:t>
            </w:r>
          </w:p>
        </w:tc>
      </w:tr>
    </w:tbl>
    <w:p w14:paraId="6187F262" w14:textId="77777777" w:rsidR="00652563" w:rsidRPr="00B35714" w:rsidRDefault="00652563" w:rsidP="00652563">
      <w:pPr>
        <w:tabs>
          <w:tab w:val="left" w:pos="142"/>
          <w:tab w:val="left" w:pos="284"/>
        </w:tabs>
        <w:spacing w:after="0" w:line="276" w:lineRule="auto"/>
        <w:jc w:val="both"/>
        <w:rPr>
          <w:rFonts w:ascii="Verdana" w:eastAsia="Century Gothic" w:hAnsi="Verdana" w:cs="Century Gothic"/>
          <w:b/>
          <w:bCs/>
          <w:lang w:val="es-ES"/>
        </w:rPr>
      </w:pPr>
    </w:p>
    <w:p w14:paraId="376A8A4B" w14:textId="77777777" w:rsidR="00652563" w:rsidRDefault="00652563" w:rsidP="00652563">
      <w:pPr>
        <w:spacing w:after="120" w:line="276" w:lineRule="auto"/>
        <w:ind w:firstLine="708"/>
        <w:jc w:val="both"/>
        <w:rPr>
          <w:rFonts w:ascii="Verdana" w:eastAsia="Century Gothic" w:hAnsi="Verdana" w:cs="Century Gothic"/>
          <w:b/>
          <w:bCs/>
        </w:rPr>
      </w:pPr>
    </w:p>
    <w:p w14:paraId="0D484048" w14:textId="77777777" w:rsidR="00652563" w:rsidRDefault="00652563" w:rsidP="00652563">
      <w:pPr>
        <w:spacing w:after="120" w:line="276" w:lineRule="auto"/>
        <w:ind w:firstLine="708"/>
        <w:jc w:val="both"/>
        <w:rPr>
          <w:rFonts w:ascii="Verdana" w:eastAsia="Century Gothic" w:hAnsi="Verdana" w:cs="Century Gothic"/>
          <w:b/>
          <w:bCs/>
        </w:rPr>
      </w:pPr>
    </w:p>
    <w:p w14:paraId="27D6C640" w14:textId="77777777" w:rsidR="00652563" w:rsidRPr="00B35714" w:rsidRDefault="00652563" w:rsidP="00652563">
      <w:pPr>
        <w:spacing w:after="120" w:line="276" w:lineRule="auto"/>
        <w:ind w:firstLine="708"/>
        <w:jc w:val="both"/>
        <w:rPr>
          <w:rFonts w:ascii="Verdana" w:hAnsi="Verdana" w:cs="Arial"/>
          <w:color w:val="000000" w:themeColor="text1"/>
        </w:rPr>
      </w:pPr>
      <w:r w:rsidRPr="00B35714">
        <w:rPr>
          <w:rFonts w:ascii="Verdana" w:eastAsia="Century Gothic" w:hAnsi="Verdana" w:cs="Century Gothic"/>
          <w:b/>
          <w:bCs/>
        </w:rPr>
        <w:t>Razones de la respuesta:</w:t>
      </w:r>
      <w:r w:rsidRPr="00B35714">
        <w:rPr>
          <w:rFonts w:ascii="Verdana" w:hAnsi="Verdana" w:cs="Arial"/>
          <w:color w:val="000000" w:themeColor="text1"/>
        </w:rPr>
        <w:t xml:space="preserve"> </w:t>
      </w:r>
    </w:p>
    <w:p w14:paraId="758052A6" w14:textId="77777777" w:rsidR="00652563" w:rsidRDefault="00652563" w:rsidP="00652563">
      <w:pPr>
        <w:spacing w:after="120" w:line="276" w:lineRule="auto"/>
        <w:ind w:firstLine="708"/>
        <w:jc w:val="both"/>
        <w:rPr>
          <w:rFonts w:ascii="Verdana" w:eastAsia="Calibri" w:hAnsi="Verdana" w:cs="Arial"/>
          <w:lang w:val="es-ES"/>
        </w:rPr>
      </w:pPr>
      <w:r w:rsidRPr="00B35714">
        <w:rPr>
          <w:rFonts w:ascii="Verdana" w:eastAsia="Calibri" w:hAnsi="Verdana" w:cs="Arial"/>
          <w:lang w:val="es-ES"/>
        </w:rPr>
        <w:t>Lo anterior se sustenta en las siguientes consideraciones:</w:t>
      </w:r>
    </w:p>
    <w:p w14:paraId="56EF9C7F" w14:textId="77777777" w:rsidR="00652563" w:rsidRDefault="00652563" w:rsidP="00652563">
      <w:pPr>
        <w:spacing w:after="120" w:line="276" w:lineRule="auto"/>
        <w:ind w:firstLine="708"/>
        <w:jc w:val="both"/>
        <w:rPr>
          <w:rFonts w:ascii="Verdana" w:eastAsia="Calibri" w:hAnsi="Verdana" w:cs="Arial"/>
          <w:lang w:val="es-ES"/>
        </w:rPr>
      </w:pPr>
    </w:p>
    <w:p w14:paraId="41538715" w14:textId="77777777" w:rsidR="00652563" w:rsidRPr="00791AEA" w:rsidRDefault="00652563" w:rsidP="00652563">
      <w:pPr>
        <w:pStyle w:val="Prrafodelista"/>
        <w:numPr>
          <w:ilvl w:val="0"/>
          <w:numId w:val="23"/>
        </w:numPr>
        <w:spacing w:line="276" w:lineRule="auto"/>
        <w:jc w:val="both"/>
        <w:rPr>
          <w:rFonts w:ascii="Verdana" w:eastAsia="Calibri" w:hAnsi="Verdana" w:cs="Arial"/>
        </w:rPr>
      </w:pPr>
      <w:r w:rsidRPr="00791AEA">
        <w:rPr>
          <w:rFonts w:ascii="Verdana" w:eastAsia="Calibri" w:hAnsi="Verdana"/>
        </w:rPr>
        <w:t>Sobre el particular</w:t>
      </w:r>
      <w:r w:rsidRPr="00791AEA">
        <w:rPr>
          <w:rFonts w:ascii="Verdana" w:eastAsia="Calibri" w:hAnsi="Verdana" w:cs="Arial"/>
        </w:rPr>
        <w:t xml:space="preserve"> cabe mencionar que la liquidación es el momento en el cual, una vez concluido el contrato estatal, las partes cruzan cuentas respecto de sus obligaciones, por tanto, su objetivo es determinar si pueden declararse a paz y salvo mutuo o si, por el contrario, existen obligaciones por cumplir, para acordar la forma en que deben ser </w:t>
      </w:r>
      <w:r w:rsidRPr="00791AEA">
        <w:rPr>
          <w:rFonts w:ascii="Verdana" w:eastAsia="Calibri" w:hAnsi="Verdana" w:cs="Arial"/>
        </w:rPr>
        <w:lastRenderedPageBreak/>
        <w:t>cumplidas</w:t>
      </w:r>
      <w:r w:rsidRPr="007F2F56">
        <w:footnoteReference w:id="2"/>
      </w:r>
      <w:r w:rsidRPr="00791AEA">
        <w:rPr>
          <w:rFonts w:ascii="Verdana" w:eastAsia="Calibri" w:hAnsi="Verdana" w:cs="Arial"/>
        </w:rPr>
        <w:t xml:space="preserve">. En armonía con lo anterior, la doctrina ha definido la liquidación de la siguiente manera: </w:t>
      </w:r>
    </w:p>
    <w:p w14:paraId="3C720D64" w14:textId="77777777" w:rsidR="00652563" w:rsidRPr="007F2F56" w:rsidRDefault="00652563" w:rsidP="00652563">
      <w:pPr>
        <w:ind w:left="709" w:right="758"/>
        <w:jc w:val="both"/>
        <w:rPr>
          <w:rFonts w:ascii="Verdana" w:eastAsia="Calibri" w:hAnsi="Verdana" w:cs="Arial"/>
          <w:lang w:val="es-ES"/>
        </w:rPr>
      </w:pPr>
    </w:p>
    <w:p w14:paraId="7E788A38" w14:textId="77777777" w:rsidR="00652563" w:rsidRPr="007F2F56" w:rsidRDefault="00652563" w:rsidP="00652563">
      <w:pPr>
        <w:ind w:left="709" w:right="758"/>
        <w:jc w:val="both"/>
        <w:rPr>
          <w:rFonts w:ascii="Verdana" w:eastAsia="Calibri" w:hAnsi="Verdana" w:cs="Arial"/>
          <w:lang w:val="es-ES"/>
        </w:rPr>
      </w:pPr>
      <w:r>
        <w:rPr>
          <w:rFonts w:ascii="Verdana" w:eastAsia="Calibri" w:hAnsi="Verdana" w:cs="Arial"/>
          <w:lang w:val="es-ES"/>
        </w:rPr>
        <w:t>“</w:t>
      </w:r>
      <w:r w:rsidRPr="007F2F56">
        <w:rPr>
          <w:rFonts w:ascii="Verdana" w:eastAsia="Calibri" w:hAnsi="Verdana" w:cs="Arial"/>
          <w:lang w:val="es-ES"/>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Pr="007F2F56">
        <w:rPr>
          <w:rFonts w:ascii="Verdana" w:eastAsia="Calibri" w:hAnsi="Verdana" w:cs="Arial"/>
          <w:lang w:val="es-ES"/>
        </w:rPr>
        <w:footnoteReference w:id="3"/>
      </w:r>
      <w:r w:rsidRPr="007F2F56">
        <w:rPr>
          <w:rFonts w:ascii="Verdana" w:eastAsia="Calibri" w:hAnsi="Verdana" w:cs="Arial"/>
          <w:lang w:val="es-ES"/>
        </w:rPr>
        <w:t>.</w:t>
      </w:r>
      <w:r>
        <w:rPr>
          <w:rFonts w:ascii="Verdana" w:eastAsia="Calibri" w:hAnsi="Verdana" w:cs="Arial"/>
          <w:lang w:val="es-ES"/>
        </w:rPr>
        <w:t>”</w:t>
      </w:r>
      <w:r w:rsidRPr="007F2F56">
        <w:rPr>
          <w:rFonts w:ascii="Verdana" w:eastAsia="Calibri" w:hAnsi="Verdana" w:cs="Arial"/>
          <w:lang w:val="es-ES"/>
        </w:rPr>
        <w:t xml:space="preserve"> </w:t>
      </w:r>
    </w:p>
    <w:p w14:paraId="715B7ED3" w14:textId="77777777" w:rsidR="00652563" w:rsidRPr="007F2F56" w:rsidRDefault="00652563" w:rsidP="00652563">
      <w:pPr>
        <w:spacing w:line="276" w:lineRule="auto"/>
        <w:contextualSpacing/>
        <w:jc w:val="both"/>
        <w:rPr>
          <w:rFonts w:ascii="Verdana" w:eastAsia="Calibri" w:hAnsi="Verdana" w:cs="Arial"/>
          <w:lang w:val="es-ES"/>
        </w:rPr>
      </w:pPr>
      <w:r w:rsidRPr="007F2F56">
        <w:rPr>
          <w:rFonts w:ascii="Verdana" w:eastAsia="Calibri" w:hAnsi="Verdana" w:cs="Arial"/>
          <w:lang w:val="es-ES"/>
        </w:rPr>
        <w:lastRenderedPageBreak/>
        <w:tab/>
      </w:r>
    </w:p>
    <w:p w14:paraId="5E1D67DA" w14:textId="77777777" w:rsidR="00652563" w:rsidRPr="00791AEA" w:rsidRDefault="00652563" w:rsidP="00652563">
      <w:pPr>
        <w:pStyle w:val="Prrafodelista"/>
        <w:numPr>
          <w:ilvl w:val="0"/>
          <w:numId w:val="23"/>
        </w:numPr>
        <w:spacing w:line="276" w:lineRule="auto"/>
        <w:jc w:val="both"/>
        <w:rPr>
          <w:rFonts w:ascii="Verdana" w:eastAsia="Calibri" w:hAnsi="Verdana" w:cs="Arial"/>
        </w:rPr>
      </w:pPr>
      <w:r w:rsidRPr="00791AEA">
        <w:rPr>
          <w:rFonts w:ascii="Verdana" w:eastAsia="Calibri" w:hAnsi="Verdana" w:cs="Arial"/>
        </w:rPr>
        <w:t>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liquidar 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acompañamiento financiero del negocio</w:t>
      </w:r>
      <w:r w:rsidRPr="007F2F56">
        <w:footnoteReference w:id="4"/>
      </w:r>
      <w:r w:rsidRPr="00791AEA">
        <w:rPr>
          <w:rFonts w:ascii="Verdana" w:eastAsia="Calibri" w:hAnsi="Verdana" w:cs="Arial"/>
        </w:rPr>
        <w:t>.</w:t>
      </w:r>
    </w:p>
    <w:p w14:paraId="2925F222" w14:textId="77777777" w:rsidR="00652563" w:rsidRPr="007F2F56" w:rsidRDefault="00652563" w:rsidP="00652563">
      <w:pPr>
        <w:spacing w:line="276" w:lineRule="auto"/>
        <w:contextualSpacing/>
        <w:jc w:val="both"/>
        <w:rPr>
          <w:rFonts w:ascii="Verdana" w:eastAsia="Calibri" w:hAnsi="Verdana" w:cs="Arial"/>
          <w:lang w:val="es-ES"/>
        </w:rPr>
      </w:pPr>
    </w:p>
    <w:p w14:paraId="2FC6D752" w14:textId="77777777" w:rsidR="00652563" w:rsidRDefault="00652563" w:rsidP="00652563">
      <w:pPr>
        <w:pStyle w:val="Prrafodelista"/>
        <w:numPr>
          <w:ilvl w:val="0"/>
          <w:numId w:val="23"/>
        </w:numPr>
        <w:spacing w:before="120" w:line="276" w:lineRule="auto"/>
        <w:jc w:val="both"/>
        <w:rPr>
          <w:rFonts w:ascii="Verdana" w:eastAsia="Calibri" w:hAnsi="Verdana" w:cs="Arial"/>
        </w:rPr>
      </w:pPr>
      <w:r w:rsidRPr="00791AEA">
        <w:rPr>
          <w:rFonts w:ascii="Verdana" w:eastAsia="Calibri" w:hAnsi="Verdana" w:cs="Arial"/>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 </w:t>
      </w:r>
    </w:p>
    <w:p w14:paraId="7A3F3DE0" w14:textId="77777777" w:rsidR="00652563" w:rsidRPr="00791AEA" w:rsidRDefault="00652563" w:rsidP="00652563">
      <w:pPr>
        <w:pStyle w:val="Prrafodelista"/>
        <w:rPr>
          <w:rFonts w:ascii="Verdana" w:eastAsia="Calibri" w:hAnsi="Verdana" w:cs="Arial"/>
        </w:rPr>
      </w:pPr>
    </w:p>
    <w:p w14:paraId="6735B974" w14:textId="77777777" w:rsidR="00652563" w:rsidRDefault="00652563" w:rsidP="00652563">
      <w:pPr>
        <w:pStyle w:val="Prrafodelista"/>
        <w:spacing w:before="120" w:line="276" w:lineRule="auto"/>
        <w:jc w:val="both"/>
        <w:rPr>
          <w:rFonts w:ascii="Verdana" w:eastAsia="Calibri" w:hAnsi="Verdana" w:cs="Arial"/>
        </w:rPr>
      </w:pPr>
      <w:r>
        <w:rPr>
          <w:rFonts w:ascii="Verdana" w:eastAsia="Calibri" w:hAnsi="Verdana" w:cs="Arial"/>
        </w:rPr>
        <w:t>“</w:t>
      </w:r>
      <w:r w:rsidRPr="00791AEA">
        <w:rPr>
          <w:rFonts w:ascii="Verdana" w:eastAsia="Calibri" w:hAnsi="Verdana" w:cs="Arial"/>
        </w:rPr>
        <w:t xml:space="preserve">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w:t>
      </w:r>
      <w:r w:rsidRPr="00791AEA">
        <w:rPr>
          <w:rFonts w:ascii="Verdana" w:eastAsia="Calibri" w:hAnsi="Verdana" w:cs="Arial"/>
        </w:rPr>
        <w:lastRenderedPageBreak/>
        <w:t xml:space="preserve">reflejar </w:t>
      </w:r>
      <w:r>
        <w:rPr>
          <w:rFonts w:ascii="Verdana" w:eastAsia="Calibri" w:hAnsi="Verdana" w:cs="Arial"/>
        </w:rPr>
        <w:t>“</w:t>
      </w:r>
      <w:r w:rsidRPr="00791AEA">
        <w:rPr>
          <w:rFonts w:ascii="Verdana" w:eastAsia="Calibri" w:hAnsi="Verdana" w:cs="Arial"/>
        </w:rPr>
        <w:t>los acuerdos, conciliaciones y transacciones a que llegaren las partes para poner fin a las divergencias presentadas y poder declararse a paz y salvo</w:t>
      </w:r>
      <w:r w:rsidRPr="007F2F56">
        <w:footnoteReference w:id="5"/>
      </w:r>
      <w:r w:rsidRPr="00791AEA">
        <w:rPr>
          <w:rFonts w:ascii="Verdana" w:eastAsia="Calibri" w:hAnsi="Verdana" w:cs="Arial"/>
        </w:rPr>
        <w:t>.</w:t>
      </w:r>
      <w:r>
        <w:rPr>
          <w:rFonts w:ascii="Verdana" w:eastAsia="Calibri" w:hAnsi="Verdana" w:cs="Arial"/>
        </w:rPr>
        <w:t>”</w:t>
      </w:r>
    </w:p>
    <w:p w14:paraId="13187361" w14:textId="77777777" w:rsidR="00652563" w:rsidRDefault="00652563" w:rsidP="00652563">
      <w:pPr>
        <w:pStyle w:val="Prrafodelista"/>
        <w:spacing w:before="120" w:line="276" w:lineRule="auto"/>
        <w:jc w:val="both"/>
        <w:rPr>
          <w:rFonts w:ascii="Verdana" w:eastAsia="Calibri" w:hAnsi="Verdana" w:cs="Arial"/>
        </w:rPr>
      </w:pPr>
    </w:p>
    <w:p w14:paraId="2C0F1AB8" w14:textId="77777777" w:rsidR="00652563" w:rsidRPr="002336E8" w:rsidRDefault="00652563" w:rsidP="00652563">
      <w:pPr>
        <w:pStyle w:val="Prrafodelista"/>
        <w:numPr>
          <w:ilvl w:val="0"/>
          <w:numId w:val="23"/>
        </w:numPr>
        <w:spacing w:after="120" w:line="276" w:lineRule="auto"/>
        <w:jc w:val="both"/>
        <w:rPr>
          <w:rFonts w:ascii="Verdana" w:eastAsia="Calibri" w:hAnsi="Verdana" w:cs="Arial"/>
        </w:rPr>
      </w:pPr>
      <w:r w:rsidRPr="002336E8">
        <w:rPr>
          <w:rFonts w:ascii="Verdana" w:eastAsia="Calibri" w:hAnsi="Verdana" w:cs="Arial"/>
        </w:rPr>
        <w:t xml:space="preserve">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5A80CD73" w14:textId="77777777" w:rsidR="00652563" w:rsidRPr="007F2F56" w:rsidRDefault="00652563" w:rsidP="00652563">
      <w:pPr>
        <w:ind w:right="760"/>
        <w:jc w:val="both"/>
        <w:rPr>
          <w:rFonts w:ascii="Verdana" w:eastAsia="Calibri" w:hAnsi="Verdana" w:cs="Arial"/>
          <w:lang w:val="es-ES"/>
        </w:rPr>
      </w:pPr>
    </w:p>
    <w:p w14:paraId="1A568EFE" w14:textId="77777777" w:rsidR="00652563" w:rsidRDefault="00652563" w:rsidP="00652563">
      <w:pPr>
        <w:pStyle w:val="Prrafodelista"/>
        <w:numPr>
          <w:ilvl w:val="0"/>
          <w:numId w:val="23"/>
        </w:numPr>
        <w:spacing w:line="276" w:lineRule="auto"/>
        <w:jc w:val="both"/>
        <w:rPr>
          <w:rFonts w:ascii="Verdana" w:eastAsia="Calibri" w:hAnsi="Verdana" w:cs="Arial"/>
        </w:rPr>
      </w:pPr>
      <w:r w:rsidRPr="002B5515">
        <w:rPr>
          <w:rFonts w:ascii="Verdana" w:eastAsia="Calibri" w:hAnsi="Verdana" w:cs="Arial"/>
        </w:rPr>
        <w:t xml:space="preserve">Así las cosas, de acuerdo con el artículo 60 de la Ley 80 de 1993, los contratos de tracto sucesivo, aquellos cuyo cumplimiento o ejecución se prolongue en el tiempo y los demás que lo requieran </w:t>
      </w:r>
      <w:r>
        <w:rPr>
          <w:rFonts w:ascii="Verdana" w:eastAsia="Calibri" w:hAnsi="Verdana" w:cs="Arial"/>
        </w:rPr>
        <w:t>“</w:t>
      </w:r>
      <w:r w:rsidRPr="002B5515">
        <w:rPr>
          <w:rFonts w:ascii="Verdana" w:eastAsia="Calibri" w:hAnsi="Verdana" w:cs="Arial"/>
        </w:rPr>
        <w:t>serán objeto de liquidación</w:t>
      </w:r>
      <w:r>
        <w:rPr>
          <w:rFonts w:ascii="Verdana" w:eastAsia="Calibri" w:hAnsi="Verdana" w:cs="Arial"/>
        </w:rPr>
        <w:t>”</w:t>
      </w:r>
      <w:r w:rsidRPr="002B5515">
        <w:rPr>
          <w:rFonts w:ascii="Verdana" w:eastAsia="Calibri" w:hAnsi="Verdana" w:cs="Arial"/>
        </w:rPr>
        <w:t xml:space="preserve">. El mismo artículo prescribe que no será obligatoria la liquidación en los contratos de prestación de servicios profesionales y de apoyo a la gestión. </w:t>
      </w:r>
    </w:p>
    <w:p w14:paraId="05B8746D" w14:textId="77777777" w:rsidR="00652563" w:rsidRDefault="00652563" w:rsidP="00652563">
      <w:pPr>
        <w:pStyle w:val="Prrafodelista"/>
        <w:spacing w:line="276" w:lineRule="auto"/>
        <w:jc w:val="both"/>
        <w:rPr>
          <w:rFonts w:ascii="Verdana" w:eastAsia="Calibri" w:hAnsi="Verdana" w:cs="Arial"/>
        </w:rPr>
      </w:pPr>
    </w:p>
    <w:p w14:paraId="10573E63" w14:textId="77777777" w:rsidR="00652563" w:rsidRDefault="00652563" w:rsidP="00652563">
      <w:pPr>
        <w:pStyle w:val="Prrafodelista"/>
        <w:numPr>
          <w:ilvl w:val="0"/>
          <w:numId w:val="23"/>
        </w:numPr>
        <w:spacing w:line="276" w:lineRule="auto"/>
        <w:jc w:val="both"/>
        <w:rPr>
          <w:rFonts w:ascii="Verdana" w:eastAsia="Calibri" w:hAnsi="Verdana" w:cs="Arial"/>
        </w:rPr>
      </w:pPr>
      <w:r w:rsidRPr="002B5515">
        <w:rPr>
          <w:rFonts w:ascii="Verdana" w:eastAsia="Calibri" w:hAnsi="Verdana" w:cs="Arial"/>
        </w:rPr>
        <w:t>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7F2F56">
        <w:footnoteReference w:id="6"/>
      </w:r>
      <w:r w:rsidRPr="002B5515">
        <w:rPr>
          <w:rFonts w:ascii="Verdana" w:eastAsia="Calibri" w:hAnsi="Verdana" w:cs="Arial"/>
        </w:rPr>
        <w:t>,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p w14:paraId="7E0105B2" w14:textId="77777777" w:rsidR="00652563" w:rsidRPr="00891032" w:rsidRDefault="00652563" w:rsidP="00652563">
      <w:pPr>
        <w:pStyle w:val="Prrafodelista"/>
        <w:rPr>
          <w:rFonts w:ascii="Verdana" w:eastAsia="Calibri" w:hAnsi="Verdana" w:cs="Arial"/>
        </w:rPr>
      </w:pPr>
    </w:p>
    <w:p w14:paraId="0844848A" w14:textId="77777777" w:rsidR="00652563" w:rsidRDefault="00652563" w:rsidP="00652563">
      <w:pPr>
        <w:pStyle w:val="Prrafodelista"/>
        <w:numPr>
          <w:ilvl w:val="0"/>
          <w:numId w:val="23"/>
        </w:numPr>
        <w:spacing w:line="276" w:lineRule="auto"/>
        <w:jc w:val="both"/>
        <w:rPr>
          <w:rFonts w:ascii="Verdana" w:eastAsia="Calibri" w:hAnsi="Verdana" w:cs="Arial"/>
        </w:rPr>
      </w:pPr>
      <w:r w:rsidRPr="00891032">
        <w:rPr>
          <w:rFonts w:ascii="Verdana" w:eastAsia="Calibri" w:hAnsi="Verdana" w:cs="Arial"/>
        </w:rPr>
        <w:lastRenderedPageBreak/>
        <w:t>El artículo 11 de la Ley 1150 de 2007</w:t>
      </w:r>
      <w:r w:rsidRPr="007F2F56">
        <w:footnoteReference w:id="7"/>
      </w:r>
      <w:r w:rsidRPr="00891032">
        <w:rPr>
          <w:rFonts w:ascii="Verdana" w:eastAsia="Calibri" w:hAnsi="Verdana" w:cs="Arial"/>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w:t>
      </w:r>
      <w:proofErr w:type="spellStart"/>
      <w:r w:rsidRPr="00891032">
        <w:rPr>
          <w:rFonts w:ascii="Verdana" w:eastAsia="Calibri" w:hAnsi="Verdana" w:cs="Arial"/>
        </w:rPr>
        <w:t>iii</w:t>
      </w:r>
      <w:proofErr w:type="spellEnd"/>
      <w:r w:rsidRPr="00891032">
        <w:rPr>
          <w:rFonts w:ascii="Verdana" w:eastAsia="Calibri" w:hAnsi="Verdana" w:cs="Arial"/>
        </w:rPr>
        <w:t>) la fecha del acuerdo que disponga la terminación del contrato.</w:t>
      </w:r>
    </w:p>
    <w:p w14:paraId="479D53CF" w14:textId="77777777" w:rsidR="00652563" w:rsidRPr="00891032" w:rsidRDefault="00652563" w:rsidP="00652563">
      <w:pPr>
        <w:pStyle w:val="Prrafodelista"/>
        <w:rPr>
          <w:rFonts w:ascii="Verdana" w:eastAsia="Calibri" w:hAnsi="Verdana" w:cs="Arial"/>
        </w:rPr>
      </w:pPr>
    </w:p>
    <w:p w14:paraId="79A51672" w14:textId="77777777" w:rsidR="00652563" w:rsidRPr="00891032" w:rsidRDefault="00652563" w:rsidP="00652563">
      <w:pPr>
        <w:pStyle w:val="Prrafodelista"/>
        <w:spacing w:line="276" w:lineRule="auto"/>
        <w:jc w:val="both"/>
        <w:rPr>
          <w:rFonts w:ascii="Verdana" w:eastAsia="Calibri" w:hAnsi="Verdana" w:cs="Arial"/>
        </w:rPr>
      </w:pPr>
    </w:p>
    <w:p w14:paraId="4D5B02FB" w14:textId="77777777" w:rsidR="00652563" w:rsidRDefault="00652563" w:rsidP="00652563">
      <w:pPr>
        <w:pStyle w:val="Prrafodelista"/>
        <w:numPr>
          <w:ilvl w:val="0"/>
          <w:numId w:val="23"/>
        </w:numPr>
        <w:spacing w:before="120" w:line="276" w:lineRule="auto"/>
        <w:jc w:val="both"/>
        <w:rPr>
          <w:rFonts w:ascii="Verdana" w:eastAsia="Calibri" w:hAnsi="Verdana" w:cs="Arial"/>
        </w:rPr>
      </w:pPr>
      <w:r w:rsidRPr="00891032">
        <w:rPr>
          <w:rFonts w:ascii="Verdana" w:eastAsia="Calibri" w:hAnsi="Verdana" w:cs="Arial"/>
        </w:rPr>
        <w:t xml:space="preserve">El artículo 11 de la Ley 1150 de 2007 señala que la liquidación de mutuo acuerdo se deberá realizar dentro del plazo previsto en </w:t>
      </w:r>
      <w:r>
        <w:rPr>
          <w:rFonts w:ascii="Verdana" w:eastAsia="Calibri" w:hAnsi="Verdana" w:cs="Arial"/>
        </w:rPr>
        <w:t>“</w:t>
      </w:r>
      <w:r w:rsidRPr="00891032">
        <w:rPr>
          <w:rFonts w:ascii="Verdana" w:eastAsia="Calibri" w:hAnsi="Verdana" w:cs="Arial"/>
        </w:rPr>
        <w:t>los pliegos de condiciones o sus equivalentes, o dentro del que acuerden las partes para el efecto</w:t>
      </w:r>
      <w:r>
        <w:rPr>
          <w:rFonts w:ascii="Verdana" w:eastAsia="Calibri" w:hAnsi="Verdana" w:cs="Arial"/>
        </w:rPr>
        <w:t>”</w:t>
      </w:r>
      <w:r w:rsidRPr="00891032">
        <w:rPr>
          <w:rFonts w:ascii="Verdana" w:eastAsia="Calibri" w:hAnsi="Verdana" w:cs="Arial"/>
        </w:rPr>
        <w:t xml:space="preserve">. Para dilucidar a qué se refiere la norma con </w:t>
      </w:r>
      <w:r>
        <w:rPr>
          <w:rFonts w:ascii="Verdana" w:eastAsia="Calibri" w:hAnsi="Verdana" w:cs="Arial"/>
        </w:rPr>
        <w:t>“</w:t>
      </w:r>
      <w:r w:rsidRPr="00891032">
        <w:rPr>
          <w:rFonts w:ascii="Verdana" w:eastAsia="Calibri" w:hAnsi="Verdana" w:cs="Arial"/>
        </w:rPr>
        <w:t>equivalentes</w:t>
      </w:r>
      <w:r>
        <w:rPr>
          <w:rFonts w:ascii="Verdana" w:eastAsia="Calibri" w:hAnsi="Verdana" w:cs="Arial"/>
        </w:rPr>
        <w:t>”</w:t>
      </w:r>
      <w:r w:rsidRPr="00891032">
        <w:rPr>
          <w:rFonts w:ascii="Verdana" w:eastAsia="Calibri" w:hAnsi="Verdana" w:cs="Arial"/>
        </w:rPr>
        <w:t xml:space="preserve"> resulta necesario tener presente que el pliego de condiciones es un documento contentivo de las reglas aplicables a un determinado proceso de selección, que </w:t>
      </w:r>
      <w:r>
        <w:rPr>
          <w:rFonts w:ascii="Verdana" w:eastAsia="Calibri" w:hAnsi="Verdana" w:cs="Arial"/>
        </w:rPr>
        <w:t>“</w:t>
      </w:r>
      <w:r w:rsidRPr="00891032">
        <w:rPr>
          <w:rFonts w:ascii="Verdana" w:eastAsia="Calibri" w:hAnsi="Verdana" w:cs="Arial"/>
        </w:rPr>
        <w:t xml:space="preserve">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w:t>
      </w:r>
      <w:r w:rsidRPr="00891032">
        <w:rPr>
          <w:rFonts w:ascii="Verdana" w:eastAsia="Calibri" w:hAnsi="Verdana" w:cs="Arial"/>
        </w:rPr>
        <w:lastRenderedPageBreak/>
        <w:t>administrativo de selección del contratista, como del contrato a celebrar</w:t>
      </w:r>
      <w:r>
        <w:rPr>
          <w:rFonts w:ascii="Verdana" w:eastAsia="Calibri" w:hAnsi="Verdana" w:cs="Arial"/>
        </w:rPr>
        <w:t>”</w:t>
      </w:r>
      <w:r w:rsidRPr="007F2F56">
        <w:footnoteReference w:id="8"/>
      </w:r>
      <w:r w:rsidRPr="00891032">
        <w:rPr>
          <w:rFonts w:ascii="Verdana" w:eastAsia="Calibri" w:hAnsi="Verdana" w:cs="Arial"/>
        </w:rPr>
        <w:t xml:space="preserve">. </w:t>
      </w:r>
    </w:p>
    <w:p w14:paraId="378E42DB" w14:textId="77777777" w:rsidR="00652563" w:rsidRDefault="00652563" w:rsidP="00652563">
      <w:pPr>
        <w:pStyle w:val="Prrafodelista"/>
        <w:spacing w:before="120" w:line="276" w:lineRule="auto"/>
        <w:jc w:val="both"/>
        <w:rPr>
          <w:rFonts w:ascii="Verdana" w:eastAsia="Calibri" w:hAnsi="Verdana" w:cs="Arial"/>
        </w:rPr>
      </w:pPr>
    </w:p>
    <w:p w14:paraId="67A7A612" w14:textId="77777777" w:rsidR="00652563" w:rsidRDefault="00652563" w:rsidP="00652563">
      <w:pPr>
        <w:pStyle w:val="Prrafodelista"/>
        <w:numPr>
          <w:ilvl w:val="0"/>
          <w:numId w:val="23"/>
        </w:numPr>
        <w:spacing w:before="120" w:line="276" w:lineRule="auto"/>
        <w:jc w:val="both"/>
        <w:rPr>
          <w:rFonts w:ascii="Verdana" w:eastAsia="Calibri" w:hAnsi="Verdana" w:cs="Arial"/>
        </w:rPr>
      </w:pPr>
      <w:r w:rsidRPr="00B477CC">
        <w:rPr>
          <w:rFonts w:ascii="Verdana" w:eastAsia="Calibri" w:hAnsi="Verdana" w:cs="Arial"/>
        </w:rPr>
        <w:t xml:space="preserve">De otra parte, cuando el artículo 11 de la Ley 1150 de 2007 hace referencia al término </w:t>
      </w:r>
      <w:r>
        <w:rPr>
          <w:rFonts w:ascii="Verdana" w:eastAsia="Calibri" w:hAnsi="Verdana" w:cs="Arial"/>
        </w:rPr>
        <w:t>“</w:t>
      </w:r>
      <w:r w:rsidRPr="00B477CC">
        <w:rPr>
          <w:rFonts w:ascii="Verdana" w:eastAsia="Calibri" w:hAnsi="Verdana" w:cs="Arial"/>
        </w:rPr>
        <w:t>acuerden las partes</w:t>
      </w:r>
      <w:r>
        <w:rPr>
          <w:rFonts w:ascii="Verdana" w:eastAsia="Calibri" w:hAnsi="Verdana" w:cs="Arial"/>
        </w:rPr>
        <w:t>”</w:t>
      </w:r>
      <w:r w:rsidRPr="00B477CC">
        <w:rPr>
          <w:rFonts w:ascii="Verdana" w:eastAsia="Calibri" w:hAnsi="Verdana" w:cs="Arial"/>
        </w:rPr>
        <w:t xml:space="preserve"> para los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w:t>
      </w:r>
    </w:p>
    <w:p w14:paraId="259AEA91" w14:textId="77777777" w:rsidR="00652563" w:rsidRPr="00203606" w:rsidRDefault="00652563" w:rsidP="00652563">
      <w:pPr>
        <w:pStyle w:val="Prrafodelista"/>
        <w:rPr>
          <w:rFonts w:ascii="Verdana" w:eastAsia="Calibri" w:hAnsi="Verdana" w:cs="Arial"/>
        </w:rPr>
      </w:pPr>
    </w:p>
    <w:p w14:paraId="432570FA" w14:textId="77777777" w:rsidR="00652563" w:rsidRPr="00B477CC" w:rsidRDefault="00652563" w:rsidP="00652563">
      <w:pPr>
        <w:pStyle w:val="Prrafodelista"/>
        <w:spacing w:before="120" w:line="276" w:lineRule="auto"/>
        <w:jc w:val="both"/>
        <w:rPr>
          <w:rFonts w:ascii="Verdana" w:eastAsia="Calibri" w:hAnsi="Verdana" w:cs="Arial"/>
        </w:rPr>
      </w:pPr>
    </w:p>
    <w:p w14:paraId="0E6BF86C" w14:textId="77777777" w:rsidR="00652563" w:rsidRDefault="00652563" w:rsidP="00652563">
      <w:pPr>
        <w:pStyle w:val="Prrafodelista"/>
        <w:numPr>
          <w:ilvl w:val="0"/>
          <w:numId w:val="23"/>
        </w:numPr>
        <w:spacing w:before="120" w:line="276" w:lineRule="auto"/>
        <w:jc w:val="both"/>
        <w:rPr>
          <w:rFonts w:ascii="Verdana" w:eastAsia="Calibri" w:hAnsi="Verdana" w:cs="Arial"/>
        </w:rPr>
      </w:pPr>
      <w:r w:rsidRPr="00203606">
        <w:rPr>
          <w:rFonts w:ascii="Verdana" w:eastAsia="Calibri" w:hAnsi="Verdana" w:cs="Arial"/>
        </w:rPr>
        <w:t xml:space="preserve">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w:t>
      </w:r>
      <w:r w:rsidRPr="00203606">
        <w:rPr>
          <w:rFonts w:ascii="Verdana" w:eastAsia="Calibri" w:hAnsi="Verdana" w:cs="Arial"/>
        </w:rPr>
        <w:lastRenderedPageBreak/>
        <w:t>sometidas a los principios de la función administrativa</w:t>
      </w:r>
      <w:r w:rsidRPr="007F2F56">
        <w:footnoteReference w:id="9"/>
      </w:r>
      <w:r w:rsidRPr="00203606">
        <w:rPr>
          <w:rFonts w:ascii="Verdana" w:eastAsia="Calibri" w:hAnsi="Verdana" w:cs="Arial"/>
        </w:rPr>
        <w:t>, lo cual implica que las mismas se desarrollen en procura de la economía y la celeridad</w:t>
      </w:r>
      <w:r w:rsidRPr="007F2F56">
        <w:footnoteReference w:id="10"/>
      </w:r>
      <w:r w:rsidRPr="00203606">
        <w:rPr>
          <w:rFonts w:ascii="Verdana" w:eastAsia="Calibri" w:hAnsi="Verdana" w:cs="Arial"/>
        </w:rPr>
        <w:t>. Esto significa que, en ejercicio de la facultad que les asiste para fijar el plazo para la liquidación bilateral, las partes deben actuar en garantía de estos principios, por lo que el término que se acuerde debe ser fijado de manera razonable.</w:t>
      </w:r>
    </w:p>
    <w:p w14:paraId="5F25F34A" w14:textId="77777777" w:rsidR="00652563" w:rsidRPr="00203606" w:rsidRDefault="00652563" w:rsidP="00652563">
      <w:pPr>
        <w:pStyle w:val="Prrafodelista"/>
        <w:spacing w:before="120" w:line="276" w:lineRule="auto"/>
        <w:jc w:val="both"/>
        <w:rPr>
          <w:rFonts w:ascii="Verdana" w:eastAsia="Calibri" w:hAnsi="Verdana" w:cs="Arial"/>
        </w:rPr>
      </w:pPr>
    </w:p>
    <w:p w14:paraId="4DF35697" w14:textId="77777777" w:rsidR="00652563" w:rsidRDefault="00652563" w:rsidP="00652563">
      <w:pPr>
        <w:pStyle w:val="Prrafodelista"/>
        <w:numPr>
          <w:ilvl w:val="0"/>
          <w:numId w:val="23"/>
        </w:numPr>
        <w:spacing w:before="120" w:line="276" w:lineRule="auto"/>
        <w:jc w:val="both"/>
        <w:rPr>
          <w:rFonts w:ascii="Verdana" w:eastAsia="Calibri" w:hAnsi="Verdana" w:cs="Arial"/>
        </w:rPr>
      </w:pPr>
      <w:r w:rsidRPr="00571143">
        <w:rPr>
          <w:rFonts w:ascii="Verdana" w:eastAsia="Calibri" w:hAnsi="Verdana" w:cs="Aria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7F2F56">
        <w:footnoteReference w:id="11"/>
      </w:r>
      <w:r w:rsidRPr="00571143">
        <w:rPr>
          <w:rFonts w:ascii="Verdana" w:eastAsia="Calibri" w:hAnsi="Verdana" w:cs="Aria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7F2F56">
        <w:footnoteReference w:id="12"/>
      </w:r>
      <w:r w:rsidRPr="00571143">
        <w:rPr>
          <w:rFonts w:ascii="Verdana" w:eastAsia="Calibri" w:hAnsi="Verdana" w:cs="Arial"/>
        </w:rPr>
        <w:t>, y el documento que la contiene presta mérito ejecutivo, siempre que se satisfagan los elementos para considerarlo como tal.</w:t>
      </w:r>
    </w:p>
    <w:p w14:paraId="0B4DD09A" w14:textId="77777777" w:rsidR="00652563" w:rsidRDefault="00652563" w:rsidP="00652563">
      <w:pPr>
        <w:pStyle w:val="Prrafodelista"/>
        <w:numPr>
          <w:ilvl w:val="0"/>
          <w:numId w:val="23"/>
        </w:numPr>
        <w:spacing w:before="120" w:line="276" w:lineRule="auto"/>
        <w:jc w:val="both"/>
        <w:rPr>
          <w:rFonts w:ascii="Verdana" w:eastAsia="Calibri" w:hAnsi="Verdana" w:cs="Arial"/>
        </w:rPr>
      </w:pPr>
      <w:r w:rsidRPr="00571143">
        <w:rPr>
          <w:rFonts w:ascii="Verdana" w:eastAsia="Calibri" w:hAnsi="Verdana" w:cs="Arial"/>
        </w:rPr>
        <w:t xml:space="preserve">Si no es posible efectuar la liquidación de manera bilateral, el ordenamiento jurídico prevé una facultad, de carácter subsidiario, para que la Entidad Estatal realice la liquidación unilateralmente. En relación con este aspecto, la Sala de Consulta y Servicio Civil del Consejo de Estado, en concepto del 28 de junio de 2016, manifestó que:  </w:t>
      </w:r>
    </w:p>
    <w:p w14:paraId="43484D15" w14:textId="77777777" w:rsidR="00652563" w:rsidRDefault="00652563" w:rsidP="00652563">
      <w:pPr>
        <w:pStyle w:val="Prrafodelista"/>
        <w:spacing w:before="120" w:line="276" w:lineRule="auto"/>
        <w:jc w:val="both"/>
        <w:rPr>
          <w:rFonts w:ascii="Verdana" w:eastAsia="Calibri" w:hAnsi="Verdana" w:cs="Arial"/>
        </w:rPr>
      </w:pPr>
    </w:p>
    <w:p w14:paraId="47C1EDC1" w14:textId="77777777" w:rsidR="00652563" w:rsidRPr="00571143" w:rsidRDefault="00652563" w:rsidP="00652563">
      <w:pPr>
        <w:pStyle w:val="Prrafodelista"/>
        <w:spacing w:before="120" w:line="276" w:lineRule="auto"/>
        <w:jc w:val="both"/>
        <w:rPr>
          <w:rFonts w:ascii="Verdana" w:eastAsia="Calibri" w:hAnsi="Verdana" w:cs="Arial"/>
        </w:rPr>
      </w:pPr>
      <w:r w:rsidRPr="00571143">
        <w:rPr>
          <w:rFonts w:ascii="Verdana" w:eastAsia="Calibri" w:hAnsi="Verdana" w:cs="Arial"/>
        </w:rPr>
        <w:lastRenderedPageBreak/>
        <w:tab/>
      </w:r>
      <w:r>
        <w:rPr>
          <w:rFonts w:ascii="Verdana" w:eastAsia="Calibri" w:hAnsi="Verdana" w:cs="Arial"/>
        </w:rPr>
        <w:t>“</w:t>
      </w:r>
      <w:r w:rsidRPr="00571143">
        <w:rPr>
          <w:rFonts w:ascii="Verdana" w:eastAsia="Calibri" w:hAnsi="Verdana" w:cs="Arial"/>
        </w:rPr>
        <w:t>[…]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Pr>
          <w:rFonts w:ascii="Verdana" w:eastAsia="Calibri" w:hAnsi="Verdana" w:cs="Arial"/>
        </w:rPr>
        <w:t>”</w:t>
      </w:r>
      <w:r w:rsidRPr="00571143">
        <w:rPr>
          <w:rFonts w:ascii="Verdana" w:eastAsia="Calibri" w:hAnsi="Verdana" w:cs="Arial"/>
        </w:rPr>
        <w:t>.   </w:t>
      </w:r>
    </w:p>
    <w:p w14:paraId="75CAD7C2" w14:textId="77777777" w:rsidR="00652563" w:rsidRDefault="00652563" w:rsidP="00652563">
      <w:pPr>
        <w:pStyle w:val="Prrafodelista"/>
        <w:numPr>
          <w:ilvl w:val="0"/>
          <w:numId w:val="23"/>
        </w:numPr>
        <w:tabs>
          <w:tab w:val="left" w:pos="1650"/>
        </w:tabs>
        <w:spacing w:line="276" w:lineRule="auto"/>
        <w:jc w:val="both"/>
        <w:rPr>
          <w:rFonts w:ascii="Verdana" w:eastAsia="Calibri" w:hAnsi="Verdana" w:cs="Arial"/>
        </w:rPr>
      </w:pPr>
      <w:r w:rsidRPr="008A23AC">
        <w:rPr>
          <w:rFonts w:ascii="Verdana" w:eastAsia="Calibri" w:hAnsi="Verdana" w:cs="Arial"/>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supletivos establecidos por la ley.</w:t>
      </w:r>
    </w:p>
    <w:p w14:paraId="01C414BB" w14:textId="77777777" w:rsidR="00652563" w:rsidRDefault="00652563" w:rsidP="00652563">
      <w:pPr>
        <w:pStyle w:val="Prrafodelista"/>
        <w:numPr>
          <w:ilvl w:val="0"/>
          <w:numId w:val="23"/>
        </w:numPr>
        <w:tabs>
          <w:tab w:val="left" w:pos="1650"/>
        </w:tabs>
        <w:spacing w:line="276" w:lineRule="auto"/>
        <w:jc w:val="both"/>
        <w:rPr>
          <w:rFonts w:ascii="Verdana" w:eastAsia="Calibri" w:hAnsi="Verdana" w:cs="Arial"/>
        </w:rPr>
      </w:pPr>
      <w:r w:rsidRPr="008A23AC">
        <w:rPr>
          <w:rFonts w:ascii="Verdana" w:eastAsia="Calibri" w:hAnsi="Verdana" w:cs="Arial"/>
        </w:rPr>
        <w:t>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En ese sentido, en decisión de unificación de la Sección Tercera del Consejo de Estado, del 1 de agosto de 2019</w:t>
      </w:r>
      <w:r w:rsidRPr="007F2F56">
        <w:footnoteReference w:id="13"/>
      </w:r>
      <w:r w:rsidRPr="008A23AC">
        <w:rPr>
          <w:rFonts w:ascii="Verdana" w:eastAsia="Calibri" w:hAnsi="Verdana" w:cs="Arial"/>
        </w:rPr>
        <w:t>, se expresó: </w:t>
      </w:r>
    </w:p>
    <w:p w14:paraId="5A5C0919" w14:textId="77777777" w:rsidR="00652563" w:rsidRDefault="00652563" w:rsidP="00652563">
      <w:pPr>
        <w:pStyle w:val="Prrafodelista"/>
        <w:tabs>
          <w:tab w:val="left" w:pos="1650"/>
        </w:tabs>
        <w:spacing w:line="276" w:lineRule="auto"/>
        <w:jc w:val="both"/>
        <w:rPr>
          <w:rFonts w:ascii="Verdana" w:eastAsia="Calibri" w:hAnsi="Verdana" w:cs="Arial"/>
        </w:rPr>
      </w:pPr>
    </w:p>
    <w:p w14:paraId="17D5E2A6" w14:textId="77777777" w:rsidR="00652563" w:rsidRDefault="00652563" w:rsidP="00652563">
      <w:pPr>
        <w:pStyle w:val="Prrafodelista"/>
        <w:tabs>
          <w:tab w:val="left" w:pos="1650"/>
        </w:tabs>
        <w:spacing w:line="276" w:lineRule="auto"/>
        <w:jc w:val="both"/>
        <w:rPr>
          <w:rFonts w:ascii="Verdana" w:eastAsia="Calibri" w:hAnsi="Verdana" w:cs="Arial"/>
        </w:rPr>
      </w:pPr>
      <w:r>
        <w:rPr>
          <w:rFonts w:ascii="Verdana" w:eastAsia="Calibri" w:hAnsi="Verdana" w:cs="Arial"/>
        </w:rPr>
        <w:t>“</w:t>
      </w:r>
      <w:r w:rsidRPr="008A23AC">
        <w:rPr>
          <w:rFonts w:ascii="Verdana" w:eastAsia="Calibri" w:hAnsi="Verdana" w:cs="Arial"/>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w:t>
      </w:r>
      <w:r w:rsidRPr="008A23AC">
        <w:rPr>
          <w:rFonts w:ascii="Verdana" w:eastAsia="Calibri" w:hAnsi="Verdana" w:cs="Arial"/>
        </w:rPr>
        <w:lastRenderedPageBreak/>
        <w:t>unilateralmente, bajo condición de que el acuerdo </w:t>
      </w:r>
      <w:proofErr w:type="spellStart"/>
      <w:r w:rsidRPr="008A23AC">
        <w:rPr>
          <w:rFonts w:ascii="Verdana" w:eastAsia="Calibri" w:hAnsi="Verdana" w:cs="Arial"/>
        </w:rPr>
        <w:t>liquidatorio</w:t>
      </w:r>
      <w:proofErr w:type="spellEnd"/>
      <w:r w:rsidRPr="008A23AC">
        <w:rPr>
          <w:rFonts w:ascii="Verdana" w:eastAsia="Calibri" w:hAnsi="Verdana" w:cs="Arial"/>
        </w:rPr>
        <w:t> se logre dentro del lapso de dos años contados a partir del vencimiento del término legalmente conocido para la liquidación unilateral, pues ese es el lapso que el ordenamiento ha fijado para el ejercicio oportuno de la acción</w:t>
      </w:r>
      <w:r>
        <w:rPr>
          <w:rFonts w:ascii="Verdana" w:eastAsia="Calibri" w:hAnsi="Verdana" w:cs="Arial"/>
        </w:rPr>
        <w:t>”</w:t>
      </w:r>
      <w:r w:rsidRPr="008A23AC">
        <w:rPr>
          <w:rFonts w:ascii="Verdana" w:eastAsia="Calibri" w:hAnsi="Verdana" w:cs="Arial"/>
        </w:rPr>
        <w:t> </w:t>
      </w:r>
    </w:p>
    <w:p w14:paraId="0364A744" w14:textId="77777777" w:rsidR="00652563" w:rsidRDefault="00652563" w:rsidP="00652563">
      <w:pPr>
        <w:pStyle w:val="Prrafodelista"/>
        <w:tabs>
          <w:tab w:val="left" w:pos="1650"/>
        </w:tabs>
        <w:spacing w:line="276" w:lineRule="auto"/>
        <w:jc w:val="both"/>
        <w:rPr>
          <w:rFonts w:ascii="Verdana" w:eastAsia="Calibri" w:hAnsi="Verdana" w:cs="Arial"/>
        </w:rPr>
      </w:pPr>
    </w:p>
    <w:p w14:paraId="47718E94" w14:textId="77777777" w:rsidR="00652563" w:rsidRPr="007F2F56" w:rsidRDefault="00652563" w:rsidP="00652563">
      <w:pPr>
        <w:pStyle w:val="Prrafodelista"/>
        <w:numPr>
          <w:ilvl w:val="0"/>
          <w:numId w:val="23"/>
        </w:numPr>
        <w:tabs>
          <w:tab w:val="left" w:pos="1650"/>
        </w:tabs>
        <w:spacing w:line="276" w:lineRule="auto"/>
        <w:jc w:val="both"/>
        <w:rPr>
          <w:rFonts w:ascii="Verdana" w:eastAsia="Calibri" w:hAnsi="Verdana" w:cs="Arial"/>
        </w:rPr>
      </w:pPr>
      <w:r w:rsidRPr="007F2F56">
        <w:rPr>
          <w:rFonts w:ascii="Verdana" w:eastAsia="Calibri" w:hAnsi="Verdana" w:cs="Arial"/>
        </w:rPr>
        <w:t xml:space="preserve">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 </w:t>
      </w:r>
    </w:p>
    <w:p w14:paraId="6A77AA6A" w14:textId="77777777" w:rsidR="00652563" w:rsidRPr="007F2F56" w:rsidRDefault="00652563" w:rsidP="00652563">
      <w:pPr>
        <w:ind w:left="709" w:right="758"/>
        <w:jc w:val="both"/>
        <w:rPr>
          <w:rFonts w:ascii="Verdana" w:eastAsia="Calibri" w:hAnsi="Verdana" w:cs="Arial"/>
          <w:lang w:val="es-ES"/>
        </w:rPr>
      </w:pPr>
    </w:p>
    <w:p w14:paraId="0BD19EDF" w14:textId="77777777" w:rsidR="00652563" w:rsidRPr="002F451C" w:rsidRDefault="00652563" w:rsidP="00652563">
      <w:pPr>
        <w:ind w:left="709" w:right="760"/>
        <w:jc w:val="both"/>
        <w:rPr>
          <w:rFonts w:ascii="Verdana" w:eastAsia="Calibri" w:hAnsi="Verdana" w:cs="Arial"/>
          <w:lang w:val="es-ES"/>
        </w:rPr>
      </w:pPr>
      <w:r>
        <w:rPr>
          <w:rFonts w:ascii="Verdana" w:eastAsia="Calibri" w:hAnsi="Verdana" w:cs="Arial"/>
          <w:lang w:val="es-ES"/>
        </w:rPr>
        <w:t>“</w:t>
      </w:r>
      <w:r w:rsidRPr="007F2F56">
        <w:rPr>
          <w:rFonts w:ascii="Verdana" w:eastAsia="Calibri" w:hAnsi="Verdana" w:cs="Arial"/>
          <w:lang w:val="es-ES"/>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w:t>
      </w:r>
      <w:r w:rsidRPr="007F2F56">
        <w:rPr>
          <w:rFonts w:ascii="Verdana" w:eastAsia="Calibri" w:hAnsi="Verdana" w:cs="Arial"/>
          <w:lang w:val="es-ES"/>
        </w:rPr>
        <w:lastRenderedPageBreak/>
        <w:t xml:space="preserve">conservando consecuencias que existían, pero estaban en trance de desaparecer. La consecuencia típica de conservación es la que produce la presentación de la demanda, al interrumpir la </w:t>
      </w:r>
      <w:r w:rsidRPr="002F451C">
        <w:rPr>
          <w:rFonts w:ascii="Verdana" w:eastAsia="Calibri" w:hAnsi="Verdana" w:cs="Arial"/>
          <w:lang w:val="es-ES"/>
        </w:rPr>
        <w:t xml:space="preserve">prescripción. Al efecto, el Artículo 90 del Código de Procedimiento Civil, modificado por el decreto 2282 de 1989, aplicable a la presente controversia, […] Frente al vacío que se pretende colmar se hace necesario un ejercicio de integración normativa que esté </w:t>
      </w:r>
      <w:proofErr w:type="spellStart"/>
      <w:r w:rsidRPr="002F451C">
        <w:rPr>
          <w:rFonts w:ascii="Verdana" w:eastAsia="Calibri" w:hAnsi="Verdana" w:cs="Arial"/>
          <w:lang w:val="es-ES"/>
        </w:rPr>
        <w:t>mas</w:t>
      </w:r>
      <w:proofErr w:type="spellEnd"/>
      <w:r w:rsidRPr="002F451C">
        <w:rPr>
          <w:rFonts w:ascii="Verdana" w:eastAsia="Calibri" w:hAnsi="Verdana" w:cs="Arial"/>
          <w:lang w:val="es-ES"/>
        </w:rPr>
        <w:t xml:space="preserve"> (sic)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Pr>
          <w:rFonts w:ascii="Verdana" w:eastAsia="Calibri" w:hAnsi="Verdana" w:cs="Arial"/>
          <w:lang w:val="es-ES"/>
        </w:rPr>
        <w:t>”</w:t>
      </w:r>
      <w:r w:rsidRPr="002F451C">
        <w:rPr>
          <w:rFonts w:ascii="Verdana" w:eastAsia="Calibri" w:hAnsi="Verdana" w:cs="Arial"/>
          <w:lang w:val="es-ES"/>
        </w:rPr>
        <w:t>. </w:t>
      </w:r>
    </w:p>
    <w:p w14:paraId="03C875E1" w14:textId="77777777" w:rsidR="00652563" w:rsidRPr="002F451C" w:rsidRDefault="00652563" w:rsidP="00652563">
      <w:pPr>
        <w:ind w:right="760"/>
        <w:jc w:val="both"/>
        <w:rPr>
          <w:rFonts w:ascii="Verdana" w:eastAsia="Calibri" w:hAnsi="Verdana" w:cs="Arial"/>
          <w:lang w:val="es-ES"/>
        </w:rPr>
      </w:pPr>
    </w:p>
    <w:p w14:paraId="3C5EFA4D" w14:textId="77777777" w:rsidR="00652563" w:rsidRPr="002F451C" w:rsidRDefault="00652563" w:rsidP="00652563">
      <w:pPr>
        <w:spacing w:line="276" w:lineRule="auto"/>
        <w:ind w:firstLine="709"/>
        <w:jc w:val="both"/>
        <w:rPr>
          <w:rFonts w:ascii="Verdana" w:eastAsia="Calibri" w:hAnsi="Verdana" w:cs="Arial"/>
          <w:lang w:val="es-ES"/>
        </w:rPr>
      </w:pPr>
      <w:r w:rsidRPr="002F451C">
        <w:rPr>
          <w:rFonts w:ascii="Verdana" w:eastAsia="Calibri" w:hAnsi="Verdana" w:cs="Arial"/>
          <w:lang w:val="es-ES"/>
        </w:rPr>
        <w:t>En armonía con lo anterior, se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 La demanda debe ser presentada dentro del término que establece el artículo 164 del CPACA, pues de lo contrario operará el fenómeno de la caducidad, por lo cual no sería posible realizar la liquidación del contrato por ningún medio.</w:t>
      </w:r>
    </w:p>
    <w:p w14:paraId="22B53357" w14:textId="77777777" w:rsidR="00652563" w:rsidRPr="002F451C" w:rsidRDefault="00652563" w:rsidP="00652563">
      <w:pPr>
        <w:spacing w:before="120" w:line="276" w:lineRule="auto"/>
        <w:ind w:firstLine="709"/>
        <w:jc w:val="both"/>
        <w:rPr>
          <w:rFonts w:ascii="Verdana" w:eastAsia="Calibri" w:hAnsi="Verdana" w:cs="Arial"/>
          <w:lang w:val="es-ES"/>
        </w:rPr>
      </w:pPr>
      <w:r w:rsidRPr="002F451C">
        <w:rPr>
          <w:rFonts w:ascii="Verdana" w:eastAsia="Calibri" w:hAnsi="Verdana" w:cs="Arial"/>
          <w:lang w:val="es-ES"/>
        </w:rPr>
        <w:t>En este punto,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contar a partir de la suma de seis meses de que trata el artículo 11 de la Ley 1150 de 2011.</w:t>
      </w:r>
    </w:p>
    <w:p w14:paraId="1C7F6281" w14:textId="77777777" w:rsidR="00652563" w:rsidRPr="002F451C" w:rsidRDefault="00652563" w:rsidP="00652563">
      <w:pPr>
        <w:spacing w:before="120" w:line="276" w:lineRule="auto"/>
        <w:ind w:firstLine="709"/>
        <w:jc w:val="both"/>
        <w:rPr>
          <w:rFonts w:ascii="Verdana" w:eastAsia="Calibri" w:hAnsi="Verdana" w:cs="Arial"/>
          <w:lang w:val="es-ES"/>
        </w:rPr>
      </w:pPr>
      <w:r w:rsidRPr="002F451C">
        <w:rPr>
          <w:rFonts w:ascii="Verdana" w:eastAsia="Calibri" w:hAnsi="Verdana" w:cs="Arial"/>
          <w:lang w:val="es-ES"/>
        </w:rPr>
        <w:t xml:space="preserve">Así las cosas, es claro que el ordenamiento jurídico vigente permite la liquidación unilateral, bilateral e incluso judicial una vez vencido el plazo establecido por el artículo 11 de la Ley 1150 de 2007. En otras palabras, la </w:t>
      </w:r>
      <w:r w:rsidRPr="002F451C">
        <w:rPr>
          <w:rFonts w:ascii="Verdana" w:eastAsia="Calibri" w:hAnsi="Verdana" w:cs="Arial"/>
          <w:lang w:val="es-ES"/>
        </w:rPr>
        <w:lastRenderedPageBreak/>
        <w:t>liquidación final de los contratos estatales tiene un ámbito temporal que empieza con la terminación del contrato y comprende el periodo contractual pactado por las partes o supletivo legal –de 4 meses– para la liquidación bilateral, más el período legal para la liquidación unilateral –de 2 meses–, más el plazo de dos años para hacerlo de mutuo acuerdo o unilateralmente, sin perjuicio de que se solicite la liquidación judicial.</w:t>
      </w:r>
    </w:p>
    <w:p w14:paraId="5DF2B6CB" w14:textId="77777777" w:rsidR="00652563" w:rsidRPr="007F2F56" w:rsidRDefault="00652563" w:rsidP="00652563">
      <w:pPr>
        <w:spacing w:before="120" w:line="276" w:lineRule="auto"/>
        <w:ind w:firstLine="709"/>
        <w:jc w:val="both"/>
        <w:rPr>
          <w:rFonts w:ascii="Verdana" w:eastAsia="Calibri" w:hAnsi="Verdana" w:cs="Arial"/>
          <w:lang w:val="es-ES"/>
        </w:rPr>
      </w:pPr>
      <w:r w:rsidRPr="002F451C">
        <w:rPr>
          <w:rFonts w:ascii="Verdana" w:eastAsia="Calibri" w:hAnsi="Verdana" w:cs="Arial"/>
          <w:lang w:val="es-ES"/>
        </w:rPr>
        <w:t xml:space="preserve">En conclusión, de acuerdo con el artículo 11 de la Ley 1150 de 2007, existen tres tipos de liquidación: i) bilateral, </w:t>
      </w:r>
      <w:proofErr w:type="spellStart"/>
      <w:r w:rsidRPr="002F451C">
        <w:rPr>
          <w:rFonts w:ascii="Verdana" w:eastAsia="Calibri" w:hAnsi="Verdana" w:cs="Arial"/>
          <w:lang w:val="es-ES"/>
        </w:rPr>
        <w:t>ii</w:t>
      </w:r>
      <w:proofErr w:type="spellEnd"/>
      <w:r w:rsidRPr="002F451C">
        <w:rPr>
          <w:rFonts w:ascii="Verdana" w:eastAsia="Calibri" w:hAnsi="Verdana" w:cs="Arial"/>
          <w:lang w:val="es-ES"/>
        </w:rPr>
        <w:t xml:space="preserve">) unilateral y </w:t>
      </w:r>
      <w:proofErr w:type="spellStart"/>
      <w:r w:rsidRPr="002F451C">
        <w:rPr>
          <w:rFonts w:ascii="Verdana" w:eastAsia="Calibri" w:hAnsi="Verdana" w:cs="Arial"/>
          <w:lang w:val="es-ES"/>
        </w:rPr>
        <w:t>iii</w:t>
      </w:r>
      <w:proofErr w:type="spellEnd"/>
      <w:r w:rsidRPr="002F451C">
        <w:rPr>
          <w:rFonts w:ascii="Verdana" w:eastAsia="Calibri" w:hAnsi="Verdana" w:cs="Arial"/>
          <w:lang w:val="es-ES"/>
        </w:rPr>
        <w:t>) judicial. En términos generales, la primera, que puede ser total o parcial, debe hacerse en el término que lo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435B71F9" w14:textId="77777777" w:rsidR="00652563" w:rsidRPr="00B35714" w:rsidRDefault="00652563" w:rsidP="00652563">
      <w:pPr>
        <w:spacing w:after="120" w:line="276" w:lineRule="auto"/>
        <w:jc w:val="both"/>
        <w:rPr>
          <w:rFonts w:ascii="Verdana" w:eastAsia="Calibri" w:hAnsi="Verdana" w:cs="Arial"/>
          <w:lang w:val="es-ES"/>
        </w:rPr>
      </w:pPr>
    </w:p>
    <w:p w14:paraId="26302A56" w14:textId="77777777" w:rsidR="00652563" w:rsidRPr="00B35714" w:rsidRDefault="00652563" w:rsidP="00652563">
      <w:pPr>
        <w:widowControl w:val="0"/>
        <w:autoSpaceDE w:val="0"/>
        <w:autoSpaceDN w:val="0"/>
        <w:spacing w:after="0" w:line="276" w:lineRule="auto"/>
        <w:jc w:val="both"/>
        <w:rPr>
          <w:rFonts w:ascii="Verdana" w:hAnsi="Verdana" w:cs="Arial"/>
        </w:rPr>
      </w:pPr>
    </w:p>
    <w:p w14:paraId="20D4E6A8" w14:textId="77777777" w:rsidR="00652563" w:rsidRPr="00B35714" w:rsidRDefault="00652563" w:rsidP="00652563">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t>Referencias normativas, jurisprudenciales y otras fuentes:</w:t>
      </w:r>
    </w:p>
    <w:p w14:paraId="22A18477" w14:textId="77777777" w:rsidR="00652563" w:rsidRPr="00B35714" w:rsidRDefault="00652563" w:rsidP="00652563">
      <w:pPr>
        <w:widowControl w:val="0"/>
        <w:autoSpaceDE w:val="0"/>
        <w:autoSpaceDN w:val="0"/>
        <w:spacing w:after="0" w:line="276" w:lineRule="auto"/>
        <w:jc w:val="both"/>
        <w:rPr>
          <w:rFonts w:ascii="Verdana" w:hAnsi="Verdana" w:cs="Arial"/>
        </w:rPr>
      </w:pPr>
    </w:p>
    <w:tbl>
      <w:tblPr>
        <w:tblStyle w:val="Tablaconcuadrcula"/>
        <w:tblW w:w="86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52563" w:rsidRPr="00B35714" w14:paraId="755D4EF1" w14:textId="77777777" w:rsidTr="00661948">
        <w:trPr>
          <w:trHeight w:val="2945"/>
        </w:trPr>
        <w:tc>
          <w:tcPr>
            <w:tcW w:w="8647" w:type="dxa"/>
          </w:tcPr>
          <w:p w14:paraId="29637D02" w14:textId="77777777" w:rsidR="00652563" w:rsidRPr="00B35714" w:rsidRDefault="00652563" w:rsidP="00652563">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6F5A5A">
              <w:rPr>
                <w:rFonts w:ascii="Verdana" w:eastAsia="Calibri" w:hAnsi="Verdana" w:cs="Arial"/>
                <w:lang w:eastAsia="es-ES"/>
              </w:rPr>
              <w:lastRenderedPageBreak/>
              <w:t>Ley 80 de 1993</w:t>
            </w:r>
            <w:r>
              <w:rPr>
                <w:rFonts w:ascii="Verdana" w:eastAsia="Calibri" w:hAnsi="Verdana" w:cs="Arial"/>
                <w:lang w:eastAsia="es-ES"/>
              </w:rPr>
              <w:t xml:space="preserve"> artículo 60, </w:t>
            </w:r>
            <w:r w:rsidRPr="006F5A5A">
              <w:rPr>
                <w:rFonts w:ascii="Verdana" w:eastAsia="Calibri" w:hAnsi="Verdana" w:cs="Arial"/>
                <w:lang w:eastAsia="es-ES"/>
              </w:rPr>
              <w:t>Decreto 019 de 2012</w:t>
            </w:r>
            <w:r>
              <w:rPr>
                <w:rFonts w:ascii="Verdana" w:eastAsia="Calibri" w:hAnsi="Verdana" w:cs="Arial"/>
                <w:lang w:eastAsia="es-ES"/>
              </w:rPr>
              <w:t xml:space="preserve"> </w:t>
            </w:r>
            <w:r w:rsidRPr="006F5A5A">
              <w:rPr>
                <w:rFonts w:ascii="Verdana" w:eastAsia="Calibri" w:hAnsi="Verdana" w:cs="Arial"/>
                <w:lang w:eastAsia="es-ES"/>
              </w:rPr>
              <w:t>artículo 217 el Ley 1150 de 2007</w:t>
            </w:r>
            <w:r>
              <w:rPr>
                <w:rFonts w:ascii="Verdana" w:eastAsia="Calibri" w:hAnsi="Verdana" w:cs="Arial"/>
                <w:lang w:eastAsia="es-ES"/>
              </w:rPr>
              <w:t xml:space="preserve"> </w:t>
            </w:r>
            <w:r w:rsidRPr="006F5A5A">
              <w:rPr>
                <w:rFonts w:ascii="Verdana" w:eastAsia="Calibri" w:hAnsi="Verdana" w:cs="Arial"/>
                <w:lang w:eastAsia="es-ES"/>
              </w:rPr>
              <w:t xml:space="preserve">artículo </w:t>
            </w:r>
            <w:proofErr w:type="gramStart"/>
            <w:r w:rsidRPr="006F5A5A">
              <w:rPr>
                <w:rFonts w:ascii="Verdana" w:eastAsia="Calibri" w:hAnsi="Verdana" w:cs="Arial"/>
                <w:lang w:eastAsia="es-ES"/>
              </w:rPr>
              <w:t xml:space="preserve">11 </w:t>
            </w:r>
            <w:r>
              <w:rPr>
                <w:rFonts w:ascii="Verdana" w:eastAsia="Calibri" w:hAnsi="Verdana" w:cs="Arial"/>
                <w:lang w:eastAsia="es-ES"/>
              </w:rPr>
              <w:t>,</w:t>
            </w:r>
            <w:proofErr w:type="gramEnd"/>
          </w:p>
          <w:p w14:paraId="68BF7CE8" w14:textId="77777777" w:rsidR="00652563" w:rsidRPr="00B35714" w:rsidRDefault="00652563" w:rsidP="00652563">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B35714">
              <w:rPr>
                <w:rFonts w:ascii="Verdana" w:eastAsia="Century Gothic" w:hAnsi="Verdana" w:cs="Century Gothic"/>
              </w:rPr>
              <w:t xml:space="preserve"> </w:t>
            </w:r>
            <w:r w:rsidRPr="00B35714">
              <w:rPr>
                <w:rFonts w:ascii="Verdana" w:hAnsi="Verdana" w:cs="Arial"/>
              </w:rPr>
              <w:t xml:space="preserve">Jurisprudencia del Consejo de Estado. Disponible en: </w:t>
            </w:r>
            <w:hyperlink r:id="rId13" w:history="1">
              <w:r w:rsidRPr="00B35714">
                <w:rPr>
                  <w:rStyle w:val="Hipervnculo"/>
                  <w:rFonts w:ascii="Verdana" w:hAnsi="Verdana" w:cs="Arial"/>
                </w:rPr>
                <w:t>https://relatoria.colombiacompra.gov.co/providencias-consejo-de-estado/</w:t>
              </w:r>
            </w:hyperlink>
            <w:r w:rsidRPr="00B35714">
              <w:rPr>
                <w:rFonts w:ascii="Verdana" w:hAnsi="Verdana" w:cs="Arial"/>
              </w:rPr>
              <w:t xml:space="preserve"> </w:t>
            </w:r>
          </w:p>
          <w:p w14:paraId="1527BF8D" w14:textId="77777777" w:rsidR="00652563" w:rsidRPr="00B35714" w:rsidRDefault="00652563" w:rsidP="00652563">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B35714">
              <w:rPr>
                <w:rFonts w:ascii="Verdana" w:hAnsi="Verdana" w:cs="Arial"/>
              </w:rPr>
              <w:t>Guías y manuales expedidos por la ANCP-CCE. Disponible en:</w:t>
            </w:r>
            <w:r w:rsidRPr="00B35714">
              <w:rPr>
                <w:rFonts w:ascii="Verdana" w:hAnsi="Verdana"/>
              </w:rPr>
              <w:t xml:space="preserve"> </w:t>
            </w:r>
            <w:hyperlink r:id="rId14" w:history="1">
              <w:r w:rsidRPr="00B35714">
                <w:rPr>
                  <w:rStyle w:val="Hipervnculo"/>
                  <w:rFonts w:ascii="Verdana" w:hAnsi="Verdana" w:cs="Arial"/>
                </w:rPr>
                <w:t>https://www.colombiacompra.gov.co/manuales-guias-y-pliegos-tipo/manuales-y-guias</w:t>
              </w:r>
            </w:hyperlink>
            <w:r w:rsidRPr="00B35714">
              <w:rPr>
                <w:rFonts w:ascii="Verdana" w:hAnsi="Verdana" w:cs="Arial"/>
              </w:rPr>
              <w:t xml:space="preserve"> </w:t>
            </w:r>
          </w:p>
          <w:p w14:paraId="30EC53F3" w14:textId="77777777" w:rsidR="00652563" w:rsidRPr="00B35714" w:rsidRDefault="00652563" w:rsidP="00661948">
            <w:pPr>
              <w:widowControl w:val="0"/>
              <w:autoSpaceDE w:val="0"/>
              <w:autoSpaceDN w:val="0"/>
              <w:spacing w:after="120" w:line="276" w:lineRule="auto"/>
              <w:ind w:left="360"/>
              <w:jc w:val="both"/>
              <w:rPr>
                <w:rFonts w:ascii="Verdana" w:hAnsi="Verdana" w:cs="Arial"/>
              </w:rPr>
            </w:pPr>
          </w:p>
        </w:tc>
      </w:tr>
    </w:tbl>
    <w:p w14:paraId="17AA6033" w14:textId="77777777" w:rsidR="00652563" w:rsidRPr="00B35714" w:rsidRDefault="00652563" w:rsidP="00652563">
      <w:pPr>
        <w:widowControl w:val="0"/>
        <w:autoSpaceDE w:val="0"/>
        <w:autoSpaceDN w:val="0"/>
        <w:spacing w:after="0" w:line="276" w:lineRule="auto"/>
        <w:jc w:val="both"/>
        <w:rPr>
          <w:rFonts w:ascii="Verdana" w:hAnsi="Verdana" w:cs="Arial"/>
        </w:rPr>
      </w:pPr>
    </w:p>
    <w:p w14:paraId="7E3946B0" w14:textId="77777777" w:rsidR="00652563" w:rsidRPr="00B35714" w:rsidRDefault="00652563" w:rsidP="00652563">
      <w:pPr>
        <w:widowControl w:val="0"/>
        <w:autoSpaceDE w:val="0"/>
        <w:autoSpaceDN w:val="0"/>
        <w:spacing w:after="0" w:line="276" w:lineRule="auto"/>
        <w:jc w:val="both"/>
        <w:rPr>
          <w:rFonts w:ascii="Verdana" w:hAnsi="Verdana" w:cs="Arial"/>
        </w:rPr>
      </w:pPr>
    </w:p>
    <w:p w14:paraId="7659B6AF" w14:textId="77777777" w:rsidR="00652563" w:rsidRPr="00B35714" w:rsidRDefault="00652563" w:rsidP="00652563">
      <w:pPr>
        <w:widowControl w:val="0"/>
        <w:autoSpaceDE w:val="0"/>
        <w:autoSpaceDN w:val="0"/>
        <w:spacing w:after="0" w:line="276" w:lineRule="auto"/>
        <w:jc w:val="both"/>
        <w:rPr>
          <w:rFonts w:ascii="Verdana" w:hAnsi="Verdana" w:cs="Arial"/>
        </w:rPr>
      </w:pPr>
    </w:p>
    <w:p w14:paraId="6AC25560" w14:textId="77777777" w:rsidR="00652563" w:rsidRPr="00B35714" w:rsidRDefault="00652563" w:rsidP="00652563">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t>Doctrina de la Agencia Nacional de Contratación Pública:</w:t>
      </w:r>
    </w:p>
    <w:p w14:paraId="3C52432E" w14:textId="77777777" w:rsidR="00652563" w:rsidRPr="00B35714" w:rsidRDefault="00652563" w:rsidP="00652563">
      <w:pPr>
        <w:widowControl w:val="0"/>
        <w:autoSpaceDE w:val="0"/>
        <w:autoSpaceDN w:val="0"/>
        <w:spacing w:after="0" w:line="276" w:lineRule="auto"/>
        <w:jc w:val="both"/>
        <w:rPr>
          <w:rFonts w:ascii="Verdana" w:hAnsi="Verdana" w:cs="Arial"/>
        </w:rPr>
      </w:pPr>
    </w:p>
    <w:p w14:paraId="3AE8067D" w14:textId="77777777" w:rsidR="00652563" w:rsidRPr="00B35714" w:rsidRDefault="00652563" w:rsidP="00652563">
      <w:pPr>
        <w:widowControl w:val="0"/>
        <w:autoSpaceDE w:val="0"/>
        <w:autoSpaceDN w:val="0"/>
        <w:spacing w:after="0" w:line="276" w:lineRule="auto"/>
        <w:jc w:val="both"/>
        <w:rPr>
          <w:rFonts w:ascii="Verdana" w:eastAsia="Century Gothic" w:hAnsi="Verdana" w:cs="Century Gothic"/>
          <w:color w:val="000000" w:themeColor="text1"/>
        </w:rPr>
      </w:pPr>
      <w:r w:rsidRPr="00623C09">
        <w:rPr>
          <w:rStyle w:val="normaltextrun"/>
          <w:rFonts w:ascii="Verdana" w:hAnsi="Verdana" w:cs="Arial"/>
          <w:shd w:val="clear" w:color="auto" w:fill="FFFFFF"/>
        </w:rPr>
        <w:t>Sobre la liquidación de los contratos estatales esta Subdirección se pronunció en los conceptos No. 4201912000004908 del 27 de septiembre de 2019, CU-028 de 25 de febrero de 2020, C-221 de 21 de abril de 2020, C-078 del 17 de marzo de 2021 y C-220 del 18 de mayo de 2021, C-739 del 29 de noviembre del 2022, C-015 del 24 de febrero del 2023, C-158 del 06 de junio del 2023, C-176 del 03 de mayo del 2023 y C-427 del 27 de noviembre del 2023. Igualmente ha analizado la naturaleza jurídica de las instituciones educativas y su régimen de contratación en los conceptos con radicado Nro. 2201913000006285 del 27 de agosto de 2019, No. 2201913000006068 del 28 de agosto de 2019, 2201913000008174 del 31 de octubre de 2019,  2201913000008197 del 1 de noviembre de 2019, C-181 del 6 de abril de 2020, C-272 del 27 de abril de 2020, C-284 del 27 de mayo de 2010, C-399 del 23 de junio de 2020, C-574 del 28 de agosto de 2020, C-355 del 2 de junio de 2022, C-475 del 26 de julio de 2022</w:t>
      </w:r>
      <w:r>
        <w:rPr>
          <w:rStyle w:val="normaltextrun"/>
          <w:rFonts w:ascii="Verdana" w:hAnsi="Verdana" w:cs="Arial"/>
          <w:shd w:val="clear" w:color="auto" w:fill="FFFFFF"/>
        </w:rPr>
        <w:t xml:space="preserve">, </w:t>
      </w:r>
      <w:r w:rsidRPr="00623C09">
        <w:rPr>
          <w:rStyle w:val="normaltextrun"/>
          <w:rFonts w:ascii="Verdana" w:hAnsi="Verdana" w:cs="Arial"/>
          <w:shd w:val="clear" w:color="auto" w:fill="FFFFFF"/>
        </w:rPr>
        <w:t xml:space="preserve"> C-195 del 24 de agosto del 2023</w:t>
      </w:r>
      <w:r>
        <w:rPr>
          <w:rStyle w:val="normaltextrun"/>
          <w:rFonts w:ascii="Verdana" w:hAnsi="Verdana" w:cs="Arial"/>
          <w:shd w:val="clear" w:color="auto" w:fill="FFFFFF"/>
        </w:rPr>
        <w:t xml:space="preserve">, C-129 del 29 de julio de 2024 </w:t>
      </w:r>
      <w:r w:rsidRPr="00B35714">
        <w:rPr>
          <w:rFonts w:ascii="Verdana" w:eastAsia="Century Gothic" w:hAnsi="Verdana" w:cs="Century Gothic"/>
          <w:color w:val="000000" w:themeColor="text1"/>
        </w:rPr>
        <w:t xml:space="preserve">. Estos y otros conceptos se encuentran disponibles para consulta en el Sistema de relatoría de la Agencia, al cual se puede acceder a través del siguiente enlace: </w:t>
      </w:r>
    </w:p>
    <w:p w14:paraId="724DCDE3" w14:textId="77777777" w:rsidR="00652563" w:rsidRPr="00B35714" w:rsidRDefault="00652563" w:rsidP="00652563">
      <w:pPr>
        <w:widowControl w:val="0"/>
        <w:autoSpaceDE w:val="0"/>
        <w:autoSpaceDN w:val="0"/>
        <w:spacing w:after="0" w:line="276" w:lineRule="auto"/>
        <w:jc w:val="both"/>
        <w:rPr>
          <w:rFonts w:ascii="Verdana" w:eastAsia="Century Gothic" w:hAnsi="Verdana" w:cs="Century Gothic"/>
          <w:color w:val="000000" w:themeColor="text1"/>
        </w:rPr>
      </w:pPr>
    </w:p>
    <w:p w14:paraId="2DE06D8F" w14:textId="77777777" w:rsidR="00652563" w:rsidRPr="00B35714" w:rsidRDefault="000F55E6" w:rsidP="00652563">
      <w:pPr>
        <w:widowControl w:val="0"/>
        <w:autoSpaceDE w:val="0"/>
        <w:autoSpaceDN w:val="0"/>
        <w:spacing w:after="0" w:line="276" w:lineRule="auto"/>
        <w:jc w:val="both"/>
        <w:rPr>
          <w:rFonts w:ascii="Verdana" w:eastAsia="Calibri" w:hAnsi="Verdana"/>
          <w:lang w:val="es-ES_tradnl"/>
        </w:rPr>
      </w:pPr>
      <w:hyperlink r:id="rId15" w:history="1">
        <w:r w:rsidR="00652563" w:rsidRPr="00B35714">
          <w:rPr>
            <w:rStyle w:val="Hipervnculo"/>
            <w:rFonts w:ascii="Verdana" w:eastAsia="Calibri" w:hAnsi="Verdana"/>
            <w:lang w:val="es-ES_tradnl"/>
          </w:rPr>
          <w:t>https://relatoria.colombiacompra.gov.co/busqueda/conceptos</w:t>
        </w:r>
      </w:hyperlink>
      <w:r w:rsidR="00652563" w:rsidRPr="00B35714">
        <w:rPr>
          <w:rFonts w:ascii="Verdana" w:eastAsia="Calibri" w:hAnsi="Verdana"/>
          <w:lang w:val="es-ES_tradnl"/>
        </w:rPr>
        <w:t xml:space="preserve">. </w:t>
      </w:r>
    </w:p>
    <w:p w14:paraId="15D7D69A" w14:textId="77777777" w:rsidR="00652563" w:rsidRDefault="00652563" w:rsidP="00652563">
      <w:pPr>
        <w:widowControl w:val="0"/>
        <w:autoSpaceDE w:val="0"/>
        <w:autoSpaceDN w:val="0"/>
        <w:spacing w:after="0" w:line="276" w:lineRule="auto"/>
        <w:jc w:val="both"/>
        <w:rPr>
          <w:rFonts w:ascii="Verdana" w:eastAsia="Calibri" w:hAnsi="Verdana"/>
          <w:lang w:val="es-ES_tradnl"/>
        </w:rPr>
      </w:pPr>
    </w:p>
    <w:p w14:paraId="145088A5" w14:textId="77777777" w:rsidR="00652563" w:rsidRPr="00EB2AE4" w:rsidRDefault="00652563" w:rsidP="00652563">
      <w:pPr>
        <w:widowControl w:val="0"/>
        <w:autoSpaceDE w:val="0"/>
        <w:autoSpaceDN w:val="0"/>
        <w:spacing w:after="0" w:line="276" w:lineRule="auto"/>
        <w:jc w:val="both"/>
        <w:rPr>
          <w:rFonts w:ascii="Verdana" w:eastAsia="Calibri" w:hAnsi="Verdana"/>
        </w:rPr>
      </w:pPr>
      <w:r w:rsidRPr="00EB2AE4">
        <w:rPr>
          <w:rFonts w:ascii="Verdana" w:eastAsia="Calibri" w:hAnsi="Verdana"/>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ooltip="Dirección URL original: https://relatoria.colombiacompra.gov.co/. Haga clic o pulse si confía en este vínculo." w:history="1">
        <w:r w:rsidRPr="00EB2AE4">
          <w:rPr>
            <w:rStyle w:val="Hipervnculo"/>
            <w:rFonts w:ascii="Verdana" w:eastAsia="Calibri" w:hAnsi="Verdana"/>
          </w:rPr>
          <w:t>https://relatoria.colombiacompra.gov.co/</w:t>
        </w:r>
      </w:hyperlink>
      <w:r w:rsidRPr="00EB2AE4">
        <w:rPr>
          <w:rFonts w:ascii="Verdana" w:eastAsia="Calibri" w:hAnsi="Verdana"/>
        </w:rPr>
        <w:t> . Te invitamos también a revisar la tercera edición del  Boletín de Relatoría de 2024 en el cual podrás consultar en detalle el marco normativo de documentos tipo: </w:t>
      </w:r>
      <w:hyperlink r:id="rId17" w:tooltip="Dirección URL original: https://www.colombiacompra.gov.co/sites/cce_public/files/files_2020/boletin_de_realtoria_iii.pdf. Haga clic o pulse si confía en este vínculo." w:history="1">
        <w:r w:rsidRPr="00EB2AE4">
          <w:rPr>
            <w:rStyle w:val="Hipervnculo"/>
            <w:rFonts w:ascii="Verdana" w:eastAsia="Calibri" w:hAnsi="Verdana"/>
          </w:rPr>
          <w:t>https://www.colombiacompra.gov.co/sites/cce_public/files/files_2020/boletin_de_realtoria_iii.pdf</w:t>
        </w:r>
      </w:hyperlink>
      <w:r w:rsidRPr="00EB2AE4">
        <w:rPr>
          <w:rFonts w:ascii="Verdana" w:eastAsia="Calibri" w:hAnsi="Verdana"/>
        </w:rPr>
        <w:t> ".  </w:t>
      </w:r>
    </w:p>
    <w:p w14:paraId="7096EC58" w14:textId="77777777" w:rsidR="00652563" w:rsidRDefault="00652563" w:rsidP="00652563">
      <w:pPr>
        <w:widowControl w:val="0"/>
        <w:autoSpaceDE w:val="0"/>
        <w:autoSpaceDN w:val="0"/>
        <w:spacing w:after="0" w:line="276" w:lineRule="auto"/>
        <w:jc w:val="both"/>
        <w:rPr>
          <w:rFonts w:ascii="Verdana" w:eastAsia="Calibri" w:hAnsi="Verdana"/>
        </w:rPr>
      </w:pPr>
    </w:p>
    <w:p w14:paraId="68F5D3F8" w14:textId="77777777" w:rsidR="00652563" w:rsidRPr="00EB2AE4" w:rsidRDefault="00652563" w:rsidP="00652563">
      <w:pPr>
        <w:widowControl w:val="0"/>
        <w:autoSpaceDE w:val="0"/>
        <w:autoSpaceDN w:val="0"/>
        <w:spacing w:after="0" w:line="276" w:lineRule="auto"/>
        <w:jc w:val="both"/>
        <w:rPr>
          <w:rFonts w:ascii="Verdana" w:eastAsia="Calibri" w:hAnsi="Verdana"/>
        </w:rPr>
      </w:pPr>
      <w:r w:rsidRPr="00EB2AE4">
        <w:rPr>
          <w:rFonts w:ascii="Verdana" w:eastAsia="Calibri" w:hAnsi="Verdana"/>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8" w:tooltip="Dirección URL original: https://www.sucop.gov.co/entidades/colombiacompra/Normativa?IDNorma=17363. Haga clic o pulse si confía en este vínculo." w:history="1">
        <w:r w:rsidRPr="00EB2AE4">
          <w:rPr>
            <w:rStyle w:val="Hipervnculo"/>
            <w:rFonts w:ascii="Verdana" w:eastAsia="Calibri" w:hAnsi="Verdana"/>
          </w:rPr>
          <w:t>https://www.sucop.gov.co/entidades/colombiacompra/Normativa?IDNorma=17363</w:t>
        </w:r>
      </w:hyperlink>
      <w:r w:rsidRPr="00EB2AE4">
        <w:rPr>
          <w:rFonts w:ascii="Verdana" w:eastAsia="Calibri" w:hAnsi="Verdana"/>
        </w:rPr>
        <w:t> y </w:t>
      </w:r>
      <w:hyperlink r:id="rId19" w:tooltip="Dirección URL original: https://www.colombiacompra.gov.co/content/convocatorias. Haga clic o pulse si confía en este vínculo." w:history="1">
        <w:r w:rsidRPr="00EB2AE4">
          <w:rPr>
            <w:rStyle w:val="Hipervnculo"/>
            <w:rFonts w:ascii="Verdana" w:eastAsia="Calibri" w:hAnsi="Verdana"/>
          </w:rPr>
          <w:t>https://www.colombiacompra.gov.co/content/convocatorias</w:t>
        </w:r>
      </w:hyperlink>
      <w:r w:rsidRPr="00EB2AE4">
        <w:rPr>
          <w:rFonts w:ascii="Verdana" w:eastAsia="Calibri" w:hAnsi="Verdana"/>
        </w:rPr>
        <w:t> ". </w:t>
      </w:r>
    </w:p>
    <w:p w14:paraId="39D1AF6E" w14:textId="77777777" w:rsidR="00652563" w:rsidRPr="00B35714" w:rsidRDefault="00652563" w:rsidP="00652563">
      <w:pPr>
        <w:widowControl w:val="0"/>
        <w:autoSpaceDE w:val="0"/>
        <w:autoSpaceDN w:val="0"/>
        <w:spacing w:after="0" w:line="276" w:lineRule="auto"/>
        <w:jc w:val="both"/>
        <w:rPr>
          <w:rFonts w:ascii="Verdana" w:eastAsia="Calibri" w:hAnsi="Verdana" w:cs="Arial"/>
          <w:lang w:val="es-ES_tradnl"/>
        </w:rPr>
      </w:pPr>
    </w:p>
    <w:p w14:paraId="3C43DCBD" w14:textId="77777777" w:rsidR="00652563" w:rsidRPr="00B35714" w:rsidRDefault="00652563" w:rsidP="00652563">
      <w:pPr>
        <w:spacing w:after="0" w:line="276" w:lineRule="auto"/>
        <w:jc w:val="both"/>
        <w:rPr>
          <w:rFonts w:ascii="Verdana" w:eastAsia="Calibri" w:hAnsi="Verdana" w:cs="Arial"/>
          <w:lang w:val="es-ES_tradnl"/>
        </w:rPr>
      </w:pPr>
      <w:r w:rsidRPr="00B35714">
        <w:rPr>
          <w:rFonts w:ascii="Verdana" w:eastAsia="Calibri" w:hAnsi="Verdana" w:cs="Arial"/>
          <w:lang w:val="es-ES_tradnl"/>
        </w:rPr>
        <w:t xml:space="preserve">Por último, lo invitamos a seguirnos en las redes sociales en las cuales se difunde información institucional: </w:t>
      </w:r>
    </w:p>
    <w:p w14:paraId="127806F8" w14:textId="77777777" w:rsidR="00652563" w:rsidRPr="00B35714" w:rsidRDefault="00652563" w:rsidP="00652563">
      <w:pPr>
        <w:spacing w:after="0" w:line="276" w:lineRule="auto"/>
        <w:jc w:val="both"/>
        <w:rPr>
          <w:rFonts w:ascii="Verdana" w:eastAsia="Calibri" w:hAnsi="Verdana" w:cs="Arial"/>
          <w:lang w:val="es-ES_tradnl"/>
        </w:rPr>
      </w:pPr>
    </w:p>
    <w:p w14:paraId="21B01670" w14:textId="77777777" w:rsidR="00652563" w:rsidRPr="00B35714" w:rsidRDefault="00652563" w:rsidP="00652563">
      <w:pPr>
        <w:spacing w:after="0" w:line="276" w:lineRule="auto"/>
        <w:jc w:val="both"/>
        <w:rPr>
          <w:rFonts w:ascii="Verdana" w:eastAsia="Calibri" w:hAnsi="Verdana" w:cs="Arial"/>
          <w:lang w:val="es-ES_tradnl"/>
        </w:rPr>
      </w:pPr>
      <w:r w:rsidRPr="00B35714">
        <w:rPr>
          <w:rFonts w:ascii="Verdana" w:eastAsia="Calibri" w:hAnsi="Verdana" w:cs="Arial"/>
          <w:lang w:val="es-ES_tradnl"/>
        </w:rPr>
        <w:t xml:space="preserve">Twitter: @colombiacompra </w:t>
      </w:r>
    </w:p>
    <w:p w14:paraId="7B597EF5" w14:textId="77777777" w:rsidR="00652563" w:rsidRPr="00B35714" w:rsidRDefault="00652563" w:rsidP="00652563">
      <w:pPr>
        <w:spacing w:after="0" w:line="276" w:lineRule="auto"/>
        <w:jc w:val="both"/>
        <w:rPr>
          <w:rFonts w:ascii="Verdana" w:eastAsia="Calibri" w:hAnsi="Verdana" w:cs="Arial"/>
          <w:lang w:val="es-ES"/>
        </w:rPr>
      </w:pPr>
      <w:r w:rsidRPr="19D0A811">
        <w:rPr>
          <w:rFonts w:ascii="Verdana" w:eastAsia="Calibri" w:hAnsi="Verdana" w:cs="Arial"/>
          <w:lang w:val="es-ES"/>
        </w:rPr>
        <w:t xml:space="preserve">Facebook: </w:t>
      </w:r>
      <w:proofErr w:type="spellStart"/>
      <w:r w:rsidRPr="19D0A811">
        <w:rPr>
          <w:rFonts w:ascii="Verdana" w:eastAsia="Calibri" w:hAnsi="Verdana" w:cs="Arial"/>
          <w:lang w:val="es-ES"/>
        </w:rPr>
        <w:t>ColombiaCompraEficiente</w:t>
      </w:r>
      <w:proofErr w:type="spellEnd"/>
    </w:p>
    <w:p w14:paraId="336866A7" w14:textId="77777777" w:rsidR="00652563" w:rsidRPr="00B35714" w:rsidRDefault="00652563" w:rsidP="00652563">
      <w:pPr>
        <w:spacing w:after="0" w:line="276" w:lineRule="auto"/>
        <w:jc w:val="both"/>
        <w:rPr>
          <w:rFonts w:ascii="Verdana" w:eastAsia="Calibri" w:hAnsi="Verdana" w:cs="Arial"/>
          <w:lang w:val="es-ES_tradnl"/>
        </w:rPr>
      </w:pPr>
      <w:r w:rsidRPr="00B35714">
        <w:rPr>
          <w:rFonts w:ascii="Verdana" w:eastAsia="Calibri" w:hAnsi="Verdana" w:cs="Arial"/>
          <w:lang w:val="es-ES_tradnl"/>
        </w:rPr>
        <w:t>LinkedIn: Agencia Nacional de Contratación Pública - Colombia Compra Eficiente Instagram: @colombiacompraeficiente_cce</w:t>
      </w:r>
    </w:p>
    <w:p w14:paraId="4736F301" w14:textId="77777777" w:rsidR="00652563" w:rsidRDefault="00652563" w:rsidP="00652563">
      <w:pPr>
        <w:widowControl w:val="0"/>
        <w:autoSpaceDE w:val="0"/>
        <w:autoSpaceDN w:val="0"/>
        <w:spacing w:after="0" w:line="276" w:lineRule="auto"/>
        <w:jc w:val="both"/>
        <w:rPr>
          <w:rFonts w:ascii="Verdana" w:eastAsia="Calibri" w:hAnsi="Verdana" w:cs="Arial"/>
          <w:lang w:val="es-ES_tradnl"/>
        </w:rPr>
      </w:pPr>
    </w:p>
    <w:p w14:paraId="1D82A6F2" w14:textId="77777777" w:rsidR="00A21E88" w:rsidRDefault="00A21E88" w:rsidP="00652563">
      <w:pPr>
        <w:widowControl w:val="0"/>
        <w:autoSpaceDE w:val="0"/>
        <w:autoSpaceDN w:val="0"/>
        <w:spacing w:after="0" w:line="276" w:lineRule="auto"/>
        <w:jc w:val="both"/>
        <w:rPr>
          <w:rFonts w:ascii="Verdana" w:eastAsia="Calibri" w:hAnsi="Verdana" w:cs="Arial"/>
          <w:lang w:val="es-ES_tradnl"/>
        </w:rPr>
      </w:pPr>
    </w:p>
    <w:p w14:paraId="3A5BA2E1" w14:textId="77777777" w:rsidR="00A21E88" w:rsidRDefault="00A21E88" w:rsidP="00652563">
      <w:pPr>
        <w:widowControl w:val="0"/>
        <w:autoSpaceDE w:val="0"/>
        <w:autoSpaceDN w:val="0"/>
        <w:spacing w:after="0" w:line="276" w:lineRule="auto"/>
        <w:jc w:val="both"/>
        <w:rPr>
          <w:rFonts w:ascii="Verdana" w:eastAsia="Calibri" w:hAnsi="Verdana" w:cs="Arial"/>
          <w:lang w:val="es-ES_tradnl"/>
        </w:rPr>
      </w:pPr>
    </w:p>
    <w:p w14:paraId="3C565079" w14:textId="77777777" w:rsidR="00A21E88" w:rsidRDefault="00A21E88" w:rsidP="00652563">
      <w:pPr>
        <w:widowControl w:val="0"/>
        <w:autoSpaceDE w:val="0"/>
        <w:autoSpaceDN w:val="0"/>
        <w:spacing w:after="0" w:line="276" w:lineRule="auto"/>
        <w:jc w:val="both"/>
        <w:rPr>
          <w:rFonts w:ascii="Verdana" w:eastAsia="Calibri" w:hAnsi="Verdana" w:cs="Arial"/>
          <w:lang w:val="es-ES_tradnl"/>
        </w:rPr>
      </w:pPr>
    </w:p>
    <w:p w14:paraId="53FCCB63" w14:textId="77777777" w:rsidR="00A21E88" w:rsidRDefault="00A21E88" w:rsidP="00652563">
      <w:pPr>
        <w:widowControl w:val="0"/>
        <w:autoSpaceDE w:val="0"/>
        <w:autoSpaceDN w:val="0"/>
        <w:spacing w:after="0" w:line="276" w:lineRule="auto"/>
        <w:jc w:val="both"/>
        <w:rPr>
          <w:rFonts w:ascii="Verdana" w:eastAsia="Calibri" w:hAnsi="Verdana" w:cs="Arial"/>
          <w:lang w:val="es-ES_tradnl"/>
        </w:rPr>
      </w:pPr>
    </w:p>
    <w:p w14:paraId="1CB076EB" w14:textId="77777777" w:rsidR="00A21E88" w:rsidRDefault="00A21E88" w:rsidP="00652563">
      <w:pPr>
        <w:widowControl w:val="0"/>
        <w:autoSpaceDE w:val="0"/>
        <w:autoSpaceDN w:val="0"/>
        <w:spacing w:after="0" w:line="276" w:lineRule="auto"/>
        <w:jc w:val="both"/>
        <w:rPr>
          <w:rFonts w:ascii="Verdana" w:eastAsia="Calibri" w:hAnsi="Verdana" w:cs="Arial"/>
          <w:lang w:val="es-ES_tradnl"/>
        </w:rPr>
      </w:pPr>
    </w:p>
    <w:p w14:paraId="729CA03D" w14:textId="77777777" w:rsidR="00A21E88" w:rsidRDefault="00A21E88" w:rsidP="00652563">
      <w:pPr>
        <w:widowControl w:val="0"/>
        <w:autoSpaceDE w:val="0"/>
        <w:autoSpaceDN w:val="0"/>
        <w:spacing w:after="0" w:line="276" w:lineRule="auto"/>
        <w:jc w:val="both"/>
        <w:rPr>
          <w:rFonts w:ascii="Verdana" w:eastAsia="Calibri" w:hAnsi="Verdana" w:cs="Arial"/>
          <w:lang w:val="es-ES_tradnl"/>
        </w:rPr>
      </w:pPr>
    </w:p>
    <w:p w14:paraId="22153B24" w14:textId="38CEDA61" w:rsidR="00652563" w:rsidRPr="00B35714" w:rsidRDefault="00652563" w:rsidP="00652563">
      <w:pPr>
        <w:widowControl w:val="0"/>
        <w:autoSpaceDE w:val="0"/>
        <w:autoSpaceDN w:val="0"/>
        <w:spacing w:after="0" w:line="276" w:lineRule="auto"/>
        <w:jc w:val="both"/>
        <w:rPr>
          <w:rFonts w:ascii="Verdana" w:hAnsi="Verdana" w:cs="Arial"/>
          <w:lang w:val="es-ES_tradnl"/>
        </w:rPr>
      </w:pPr>
      <w:r w:rsidRPr="00B35714">
        <w:rPr>
          <w:rFonts w:ascii="Verdana" w:eastAsia="Calibri" w:hAnsi="Verdana" w:cs="Arial"/>
          <w:lang w:val="es-ES_tradnl"/>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B35714">
        <w:rPr>
          <w:rFonts w:ascii="Verdana" w:hAnsi="Verdana" w:cs="Arial"/>
          <w:lang w:val="es-ES_tradnl"/>
        </w:rPr>
        <w:t>2 de 2015.</w:t>
      </w:r>
    </w:p>
    <w:p w14:paraId="238A9C63" w14:textId="77777777" w:rsidR="00652563" w:rsidRPr="00B35714" w:rsidRDefault="00652563" w:rsidP="00652563">
      <w:pPr>
        <w:widowControl w:val="0"/>
        <w:autoSpaceDE w:val="0"/>
        <w:autoSpaceDN w:val="0"/>
        <w:spacing w:after="0" w:line="276" w:lineRule="auto"/>
        <w:jc w:val="both"/>
        <w:rPr>
          <w:rFonts w:ascii="Verdana" w:hAnsi="Verdana" w:cs="Arial"/>
        </w:rPr>
      </w:pPr>
    </w:p>
    <w:p w14:paraId="179E404F" w14:textId="77777777" w:rsidR="00652563" w:rsidRPr="00B35714" w:rsidRDefault="00652563" w:rsidP="00652563">
      <w:pPr>
        <w:spacing w:after="0" w:line="276" w:lineRule="auto"/>
        <w:jc w:val="both"/>
        <w:rPr>
          <w:rFonts w:ascii="Verdana" w:hAnsi="Verdana" w:cs="Arial"/>
          <w:lang w:eastAsia="es-CO"/>
        </w:rPr>
      </w:pPr>
      <w:r w:rsidRPr="00B35714">
        <w:rPr>
          <w:rFonts w:ascii="Verdana" w:eastAsia="Times New Roman" w:hAnsi="Verdana" w:cs="Arial"/>
          <w:lang w:eastAsia="es-CO"/>
        </w:rPr>
        <w:t>Atentamente,</w:t>
      </w:r>
      <w:r w:rsidRPr="00B35714">
        <w:rPr>
          <w:rFonts w:ascii="Verdana" w:hAnsi="Verdana" w:cs="Arial"/>
          <w:lang w:eastAsia="es-CO"/>
        </w:rPr>
        <w:t xml:space="preserve"> </w:t>
      </w:r>
    </w:p>
    <w:p w14:paraId="2D15CEF9" w14:textId="77777777" w:rsidR="00652563" w:rsidRPr="00B35714" w:rsidRDefault="00652563" w:rsidP="00652563">
      <w:pPr>
        <w:spacing w:line="276" w:lineRule="auto"/>
        <w:jc w:val="both"/>
        <w:rPr>
          <w:rFonts w:ascii="Verdana" w:hAnsi="Verdana"/>
          <w:noProof/>
          <w:lang w:val="es-ES_tradnl" w:eastAsia="es-CO"/>
        </w:rPr>
      </w:pPr>
    </w:p>
    <w:p w14:paraId="38B1E9BE" w14:textId="19918042" w:rsidR="00652563" w:rsidRPr="00B35714" w:rsidRDefault="00A21E88" w:rsidP="00652563">
      <w:pPr>
        <w:spacing w:line="276" w:lineRule="auto"/>
        <w:jc w:val="center"/>
        <w:rPr>
          <w:rFonts w:ascii="Verdana" w:hAnsi="Verdana" w:cs="Arial"/>
          <w:lang w:val="es-ES_tradnl" w:eastAsia="es-CO"/>
        </w:rPr>
      </w:pPr>
      <w:r w:rsidRPr="0065791A">
        <w:rPr>
          <w:rFonts w:ascii="Century Gothic" w:hAnsi="Century Gothic"/>
          <w:noProof/>
        </w:rPr>
        <w:drawing>
          <wp:inline distT="0" distB="0" distL="0" distR="0" wp14:anchorId="7DF22C5B" wp14:editId="4E9C8ABB">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20"/>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52563" w:rsidRPr="00B35714" w14:paraId="0C27E6AE" w14:textId="77777777" w:rsidTr="7EDC00F2">
        <w:trPr>
          <w:trHeight w:val="315"/>
        </w:trPr>
        <w:tc>
          <w:tcPr>
            <w:tcW w:w="893" w:type="dxa"/>
            <w:vAlign w:val="center"/>
            <w:hideMark/>
          </w:tcPr>
          <w:p w14:paraId="1C60FC36" w14:textId="77777777" w:rsidR="00652563" w:rsidRPr="00B35714" w:rsidRDefault="00652563" w:rsidP="00661948">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4FB86375" w14:textId="77777777" w:rsidR="00652563" w:rsidRPr="00B35714" w:rsidRDefault="00652563" w:rsidP="00661948">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 xml:space="preserve">María Valeska Medellín Mora </w:t>
            </w:r>
          </w:p>
          <w:p w14:paraId="6FCC500D" w14:textId="77777777" w:rsidR="00652563" w:rsidRPr="00B35714" w:rsidRDefault="00652563" w:rsidP="00661948">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Gestor T1-15</w:t>
            </w:r>
            <w:r w:rsidRPr="00B35714">
              <w:rPr>
                <w:rFonts w:ascii="Verdana" w:eastAsia="Calibri" w:hAnsi="Verdana"/>
                <w:sz w:val="16"/>
                <w:szCs w:val="16"/>
                <w:lang w:val="es-ES_tradnl"/>
              </w:rPr>
              <w:t xml:space="preserve"> de la Subdirección de Gestión Contractual</w:t>
            </w:r>
          </w:p>
        </w:tc>
      </w:tr>
      <w:tr w:rsidR="00652563" w:rsidRPr="00B35714" w14:paraId="760D4338" w14:textId="77777777" w:rsidTr="7EDC00F2">
        <w:trPr>
          <w:trHeight w:val="330"/>
        </w:trPr>
        <w:tc>
          <w:tcPr>
            <w:tcW w:w="893" w:type="dxa"/>
            <w:vAlign w:val="center"/>
            <w:hideMark/>
          </w:tcPr>
          <w:p w14:paraId="71C960AC" w14:textId="77777777" w:rsidR="00652563" w:rsidRPr="00B35714" w:rsidRDefault="00652563" w:rsidP="00661948">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58EA0EB" w14:textId="77777777" w:rsidR="00652563" w:rsidRPr="00B35714" w:rsidRDefault="00652563" w:rsidP="7EDC00F2">
            <w:pPr>
              <w:pStyle w:val="paragraph"/>
              <w:spacing w:before="0" w:beforeAutospacing="0" w:after="0" w:afterAutospacing="0" w:line="276" w:lineRule="auto"/>
              <w:contextualSpacing/>
              <w:jc w:val="both"/>
              <w:textAlignment w:val="baseline"/>
              <w:rPr>
                <w:rFonts w:ascii="Verdana" w:eastAsia="Calibri" w:hAnsi="Verdana" w:cs="Arial"/>
                <w:sz w:val="16"/>
                <w:szCs w:val="16"/>
                <w:lang w:val="es-ES" w:eastAsia="en-US"/>
              </w:rPr>
            </w:pPr>
            <w:r w:rsidRPr="7EDC00F2">
              <w:rPr>
                <w:rFonts w:ascii="Verdana" w:eastAsia="Calibri" w:hAnsi="Verdana" w:cs="Arial"/>
                <w:sz w:val="16"/>
                <w:szCs w:val="16"/>
                <w:lang w:val="es-ES" w:eastAsia="en-US"/>
              </w:rPr>
              <w:t>Adriana Katerine Lopez Rodriguez</w:t>
            </w:r>
          </w:p>
          <w:p w14:paraId="5BC029B7" w14:textId="77777777" w:rsidR="00652563" w:rsidRPr="00B35714" w:rsidRDefault="00652563" w:rsidP="00661948">
            <w:pPr>
              <w:pStyle w:val="paragraph"/>
              <w:spacing w:before="0" w:beforeAutospacing="0" w:after="0" w:afterAutospacing="0" w:line="276" w:lineRule="auto"/>
              <w:contextualSpacing/>
              <w:jc w:val="both"/>
              <w:textAlignment w:val="baseline"/>
              <w:rPr>
                <w:rFonts w:ascii="Verdana" w:eastAsia="Calibri" w:hAnsi="Verdana" w:cs="Arial"/>
                <w:sz w:val="16"/>
                <w:szCs w:val="16"/>
                <w:lang w:val="es-ES_tradnl" w:eastAsia="en-US"/>
              </w:rPr>
            </w:pPr>
            <w:r w:rsidRPr="00B35714">
              <w:rPr>
                <w:rFonts w:ascii="Verdana" w:eastAsia="Calibri" w:hAnsi="Verdana"/>
                <w:sz w:val="16"/>
                <w:szCs w:val="16"/>
                <w:lang w:val="es-ES_tradnl" w:eastAsia="en-US"/>
              </w:rPr>
              <w:t>Contratista de la Subdirección de Gestión Contractual </w:t>
            </w:r>
          </w:p>
        </w:tc>
      </w:tr>
      <w:tr w:rsidR="00652563" w:rsidRPr="0028717F" w14:paraId="4178531D" w14:textId="77777777" w:rsidTr="7EDC00F2">
        <w:trPr>
          <w:trHeight w:val="300"/>
        </w:trPr>
        <w:tc>
          <w:tcPr>
            <w:tcW w:w="893" w:type="dxa"/>
            <w:vAlign w:val="center"/>
          </w:tcPr>
          <w:p w14:paraId="75D8B134" w14:textId="77777777" w:rsidR="00652563" w:rsidRPr="00B35714" w:rsidRDefault="00652563" w:rsidP="00661948">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5130D75" w14:textId="77777777" w:rsidR="00652563" w:rsidRPr="00B35714" w:rsidRDefault="00652563" w:rsidP="00661948">
            <w:pPr>
              <w:spacing w:line="276" w:lineRule="auto"/>
              <w:contextualSpacing/>
              <w:jc w:val="both"/>
              <w:rPr>
                <w:rFonts w:ascii="Verdana" w:eastAsia="Calibri" w:hAnsi="Verdana" w:cs="Arial"/>
                <w:sz w:val="16"/>
                <w:szCs w:val="16"/>
                <w:lang w:val="es-ES"/>
              </w:rPr>
            </w:pPr>
            <w:r w:rsidRPr="19D0A811">
              <w:rPr>
                <w:rFonts w:ascii="Verdana" w:eastAsia="Calibri" w:hAnsi="Verdana" w:cs="Arial"/>
                <w:sz w:val="16"/>
                <w:szCs w:val="16"/>
                <w:lang w:val="es-ES"/>
              </w:rPr>
              <w:t>Carolina Quintero Gacharná</w:t>
            </w:r>
          </w:p>
          <w:p w14:paraId="16F7F4D5" w14:textId="77777777" w:rsidR="00652563" w:rsidRPr="0028717F" w:rsidRDefault="00652563" w:rsidP="00661948">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Subdirectora de Gestión Contractual ANCP – CCE</w:t>
            </w:r>
          </w:p>
        </w:tc>
      </w:tr>
    </w:tbl>
    <w:p w14:paraId="4019612B" w14:textId="77777777" w:rsidR="00652563" w:rsidRPr="00186FA9" w:rsidRDefault="00652563" w:rsidP="00652563">
      <w:pPr>
        <w:spacing w:after="0" w:line="276" w:lineRule="auto"/>
        <w:jc w:val="both"/>
        <w:rPr>
          <w:rFonts w:ascii="Verdana" w:eastAsia="Times New Roman" w:hAnsi="Verdana" w:cs="Arial"/>
          <w:lang w:eastAsia="es-ES"/>
        </w:rPr>
      </w:pPr>
    </w:p>
    <w:p w14:paraId="28B17C19" w14:textId="77777777" w:rsidR="00652563" w:rsidRPr="00186FA9" w:rsidRDefault="00652563" w:rsidP="00652563">
      <w:pPr>
        <w:spacing w:line="276" w:lineRule="auto"/>
        <w:jc w:val="both"/>
        <w:rPr>
          <w:rFonts w:ascii="Verdana" w:hAnsi="Verdana"/>
        </w:rPr>
      </w:pPr>
    </w:p>
    <w:p w14:paraId="3BF29DE1" w14:textId="77777777" w:rsidR="00652563" w:rsidRPr="00186FA9" w:rsidRDefault="00652563" w:rsidP="00652563">
      <w:pPr>
        <w:spacing w:after="0" w:line="276" w:lineRule="auto"/>
        <w:jc w:val="both"/>
        <w:rPr>
          <w:rFonts w:ascii="Verdana" w:hAnsi="Verdana"/>
        </w:rPr>
      </w:pPr>
    </w:p>
    <w:bookmarkEnd w:id="2"/>
    <w:p w14:paraId="659F8F90" w14:textId="77777777" w:rsidR="00652563" w:rsidRPr="00186FA9" w:rsidRDefault="00652563" w:rsidP="00652563">
      <w:pPr>
        <w:spacing w:line="276" w:lineRule="auto"/>
        <w:jc w:val="both"/>
        <w:rPr>
          <w:rFonts w:ascii="Verdana" w:hAnsi="Verdana"/>
        </w:rPr>
      </w:pPr>
    </w:p>
    <w:p w14:paraId="35536473" w14:textId="77777777" w:rsidR="00652563" w:rsidRPr="0044528D" w:rsidRDefault="00652563" w:rsidP="00652563">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5B416126" w14:textId="77777777" w:rsidR="00652563" w:rsidRPr="0044528D" w:rsidRDefault="00652563" w:rsidP="00652563">
      <w:pPr>
        <w:spacing w:after="0" w:line="240" w:lineRule="auto"/>
        <w:ind w:firstLine="2850"/>
        <w:jc w:val="both"/>
        <w:textAlignment w:val="baseline"/>
        <w:rPr>
          <w:rFonts w:ascii="Verdana" w:eastAsia="Times New Roman" w:hAnsi="Verdana" w:cs="Segoe UI"/>
          <w:color w:val="000000"/>
          <w:sz w:val="18"/>
          <w:szCs w:val="18"/>
          <w:lang w:eastAsia="es-CO"/>
        </w:rPr>
      </w:pPr>
      <w:r w:rsidRPr="0044528D">
        <w:rPr>
          <w:rFonts w:ascii="Verdana" w:eastAsia="Times New Roman" w:hAnsi="Verdana" w:cs="Segoe UI"/>
          <w:color w:val="000000"/>
          <w:lang w:eastAsia="es-CO"/>
        </w:rPr>
        <w:t> </w:t>
      </w:r>
    </w:p>
    <w:p w14:paraId="7638D2AE" w14:textId="77777777" w:rsidR="00652563" w:rsidRPr="0044528D" w:rsidRDefault="00652563" w:rsidP="00652563">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CF76248" w14:textId="77777777" w:rsidR="00652563" w:rsidRPr="0044528D" w:rsidRDefault="00652563" w:rsidP="00652563">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398254C6" w14:textId="77777777" w:rsidR="00652563" w:rsidRPr="0044528D" w:rsidRDefault="00652563" w:rsidP="00652563">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57FB0A11" w14:textId="77777777" w:rsidR="00652563" w:rsidRPr="0044528D" w:rsidRDefault="00652563" w:rsidP="00652563">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54BE1BB8" w14:textId="77777777" w:rsidR="00652563" w:rsidRPr="0044528D" w:rsidRDefault="00652563" w:rsidP="00652563">
      <w:pPr>
        <w:spacing w:after="0"/>
        <w:jc w:val="both"/>
        <w:rPr>
          <w:rFonts w:ascii="Verdana" w:hAnsi="Verdana"/>
        </w:rPr>
      </w:pPr>
    </w:p>
    <w:p w14:paraId="0083C991" w14:textId="5C765C2F" w:rsidR="5D8505AD" w:rsidRPr="00652563" w:rsidRDefault="5D8505AD" w:rsidP="00652563"/>
    <w:sectPr w:rsidR="5D8505AD" w:rsidRPr="00652563"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48EC3" w14:textId="77777777" w:rsidR="0023534A" w:rsidRDefault="0023534A" w:rsidP="00B30448">
      <w:pPr>
        <w:spacing w:after="0" w:line="240" w:lineRule="auto"/>
      </w:pPr>
      <w:r>
        <w:separator/>
      </w:r>
    </w:p>
  </w:endnote>
  <w:endnote w:type="continuationSeparator" w:id="0">
    <w:p w14:paraId="797EA65B" w14:textId="77777777" w:rsidR="0023534A" w:rsidRDefault="0023534A" w:rsidP="00B30448">
      <w:pPr>
        <w:spacing w:after="0" w:line="240" w:lineRule="auto"/>
      </w:pPr>
      <w:r>
        <w:continuationSeparator/>
      </w:r>
    </w:p>
  </w:endnote>
  <w:endnote w:type="continuationNotice" w:id="1">
    <w:p w14:paraId="27D1BF0E" w14:textId="77777777" w:rsidR="0023534A" w:rsidRDefault="00235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0"/>
    <w:family w:val="auto"/>
    <w:pitch w:val="variable"/>
    <w:sig w:usb0="E0002AFF" w:usb1="C0007843"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465E1" w14:textId="77777777" w:rsidR="0023534A" w:rsidRDefault="0023534A" w:rsidP="00B30448">
      <w:pPr>
        <w:spacing w:after="0" w:line="240" w:lineRule="auto"/>
      </w:pPr>
      <w:r>
        <w:separator/>
      </w:r>
    </w:p>
  </w:footnote>
  <w:footnote w:type="continuationSeparator" w:id="0">
    <w:p w14:paraId="6DAB1B85" w14:textId="77777777" w:rsidR="0023534A" w:rsidRDefault="0023534A" w:rsidP="00B30448">
      <w:pPr>
        <w:spacing w:after="0" w:line="240" w:lineRule="auto"/>
      </w:pPr>
      <w:r>
        <w:continuationSeparator/>
      </w:r>
    </w:p>
  </w:footnote>
  <w:footnote w:type="continuationNotice" w:id="1">
    <w:p w14:paraId="6C031106" w14:textId="77777777" w:rsidR="0023534A" w:rsidRDefault="0023534A">
      <w:pPr>
        <w:spacing w:after="0" w:line="240" w:lineRule="auto"/>
      </w:pPr>
    </w:p>
  </w:footnote>
  <w:footnote w:id="2">
    <w:p w14:paraId="22D8E902" w14:textId="77777777" w:rsidR="00652563" w:rsidRPr="00B81271" w:rsidRDefault="00652563" w:rsidP="00652563">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B81271">
        <w:rPr>
          <w:rFonts w:ascii="Arial" w:hAnsi="Arial" w:cs="Arial"/>
          <w:color w:val="000000"/>
          <w:sz w:val="16"/>
          <w:szCs w:val="16"/>
          <w:shd w:val="clear" w:color="auto" w:fill="FFFFFF"/>
        </w:rPr>
        <w:t>»</w:t>
      </w:r>
      <w:r w:rsidRPr="00B81271">
        <w:rPr>
          <w:rFonts w:ascii="Arial" w:hAnsi="Arial" w:cs="Arial"/>
          <w:color w:val="000000"/>
          <w:sz w:val="16"/>
          <w:szCs w:val="16"/>
        </w:rPr>
        <w:t xml:space="preserve"> EXPOSITO, Juan Carlos. Forma y contenido del contrato estatal. Bogotá: Universidad Externado de Colombia, p. 89 y 90.</w:t>
      </w:r>
    </w:p>
    <w:p w14:paraId="766FB802" w14:textId="77777777" w:rsidR="00652563" w:rsidRPr="00B81271" w:rsidRDefault="00652563" w:rsidP="00652563">
      <w:pPr>
        <w:pStyle w:val="Textonotapie"/>
        <w:ind w:firstLine="708"/>
        <w:jc w:val="both"/>
        <w:rPr>
          <w:rFonts w:ascii="Arial" w:hAnsi="Arial" w:cs="Arial"/>
          <w:color w:val="000000"/>
          <w:sz w:val="16"/>
          <w:szCs w:val="16"/>
        </w:rPr>
      </w:pPr>
      <w:r w:rsidRPr="00B81271">
        <w:rPr>
          <w:rFonts w:ascii="Arial" w:hAnsi="Arial" w:cs="Arial"/>
          <w:color w:val="000000"/>
          <w:sz w:val="16"/>
          <w:szCs w:val="16"/>
        </w:rPr>
        <w:t xml:space="preserve"> </w:t>
      </w:r>
    </w:p>
  </w:footnote>
  <w:footnote w:id="3">
    <w:p w14:paraId="36F30D1A" w14:textId="77777777" w:rsidR="00652563" w:rsidRPr="00B81271" w:rsidRDefault="00652563" w:rsidP="00652563">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DÍAZ DÍEZ, Cristian Andrés. La liquidación. Serie: Las Cláusulas del Contrato Estatal. Medellín: Librería Jurídica Sánchez y Centro de Estudios de Derecho Administrativo –CEDA–, 2013, pp. 53-54.</w:t>
      </w:r>
    </w:p>
    <w:p w14:paraId="254A7956" w14:textId="77777777" w:rsidR="00652563" w:rsidRPr="00B81271" w:rsidRDefault="00652563" w:rsidP="00652563">
      <w:pPr>
        <w:pStyle w:val="Textonotapie"/>
        <w:ind w:firstLine="708"/>
        <w:jc w:val="both"/>
        <w:rPr>
          <w:rFonts w:ascii="Arial" w:hAnsi="Arial" w:cs="Arial"/>
          <w:color w:val="000000"/>
          <w:sz w:val="16"/>
          <w:szCs w:val="16"/>
          <w:lang w:val="es-CO"/>
        </w:rPr>
      </w:pPr>
    </w:p>
  </w:footnote>
  <w:footnote w:id="4">
    <w:p w14:paraId="351D9862" w14:textId="77777777" w:rsidR="00652563" w:rsidRPr="00B81271" w:rsidRDefault="00652563" w:rsidP="00652563">
      <w:pPr>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5">
    <w:p w14:paraId="4B6BADA9" w14:textId="77777777" w:rsidR="00652563" w:rsidRPr="00B81271" w:rsidRDefault="00652563" w:rsidP="00652563">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EXPÓSITO VÉLEZ. Juan Carlos. Forma y contenido del contrato estatal, p. 90.</w:t>
      </w:r>
    </w:p>
    <w:p w14:paraId="7CF1FFDC" w14:textId="77777777" w:rsidR="00652563" w:rsidRPr="00B81271" w:rsidRDefault="00652563" w:rsidP="00652563">
      <w:pPr>
        <w:pStyle w:val="Textonotapie"/>
        <w:ind w:firstLine="708"/>
        <w:jc w:val="both"/>
        <w:rPr>
          <w:rFonts w:ascii="Arial" w:hAnsi="Arial" w:cs="Arial"/>
          <w:color w:val="000000"/>
          <w:sz w:val="16"/>
          <w:szCs w:val="16"/>
        </w:rPr>
      </w:pPr>
    </w:p>
  </w:footnote>
  <w:footnote w:id="6">
    <w:p w14:paraId="6AF1A876" w14:textId="77777777" w:rsidR="00652563" w:rsidRPr="00B81271" w:rsidRDefault="00652563" w:rsidP="00652563">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CONSEJO DE ESTADO, Sala de Consulta y Servicio Civil. Radicado No. 1453. Concepto de 6 de agosto de 2003. MP. Augusto Trejos.</w:t>
      </w:r>
    </w:p>
    <w:p w14:paraId="53D8955A" w14:textId="77777777" w:rsidR="00652563" w:rsidRPr="00B81271" w:rsidRDefault="00652563" w:rsidP="00652563">
      <w:pPr>
        <w:pStyle w:val="Textonotapie"/>
        <w:ind w:firstLine="708"/>
        <w:jc w:val="both"/>
        <w:rPr>
          <w:rFonts w:ascii="Arial" w:hAnsi="Arial" w:cs="Arial"/>
          <w:color w:val="000000"/>
          <w:sz w:val="16"/>
          <w:szCs w:val="16"/>
        </w:rPr>
      </w:pPr>
    </w:p>
  </w:footnote>
  <w:footnote w:id="7">
    <w:p w14:paraId="36E6797C" w14:textId="77777777" w:rsidR="00652563" w:rsidRPr="00B81271" w:rsidRDefault="00652563" w:rsidP="00652563">
      <w:pPr>
        <w:pStyle w:val="Textonotapie"/>
        <w:ind w:firstLine="708"/>
        <w:jc w:val="both"/>
        <w:rPr>
          <w:rFonts w:ascii="Arial" w:hAnsi="Arial" w:cs="Arial"/>
          <w:color w:val="000000"/>
          <w:sz w:val="16"/>
          <w:szCs w:val="16"/>
          <w:lang w:val="es-ES"/>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w:t>
      </w:r>
      <w:r w:rsidRPr="00B81271">
        <w:rPr>
          <w:rFonts w:ascii="Arial" w:hAnsi="Arial" w:cs="Arial"/>
          <w:color w:val="000000"/>
          <w:sz w:val="16"/>
          <w:szCs w:val="16"/>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42CF5114" w14:textId="77777777" w:rsidR="00652563" w:rsidRPr="00B81271" w:rsidRDefault="00652563" w:rsidP="00652563">
      <w:pPr>
        <w:pStyle w:val="Textonotapie"/>
        <w:ind w:firstLine="708"/>
        <w:jc w:val="both"/>
        <w:rPr>
          <w:rFonts w:ascii="Arial" w:hAnsi="Arial" w:cs="Arial"/>
          <w:color w:val="000000"/>
          <w:sz w:val="16"/>
          <w:szCs w:val="16"/>
          <w:lang w:val="es-ES"/>
        </w:rPr>
      </w:pPr>
      <w:r w:rsidRPr="00B81271">
        <w:rPr>
          <w:rFonts w:ascii="Arial" w:hAnsi="Arial" w:cs="Arial"/>
          <w:color w:val="000000"/>
          <w:sz w:val="16"/>
          <w:szCs w:val="16"/>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26664D99" w14:textId="77777777" w:rsidR="00652563" w:rsidRPr="00B81271" w:rsidRDefault="00652563" w:rsidP="00652563">
      <w:pPr>
        <w:pStyle w:val="Textonotapie"/>
        <w:ind w:firstLine="708"/>
        <w:jc w:val="both"/>
        <w:rPr>
          <w:rFonts w:ascii="Arial" w:hAnsi="Arial" w:cs="Arial"/>
          <w:color w:val="000000"/>
          <w:sz w:val="16"/>
          <w:szCs w:val="16"/>
          <w:lang w:val="es-ES"/>
        </w:rPr>
      </w:pPr>
      <w:r w:rsidRPr="00B81271">
        <w:rPr>
          <w:rFonts w:ascii="Arial" w:hAnsi="Arial" w:cs="Arial"/>
          <w:color w:val="000000"/>
          <w:sz w:val="16"/>
          <w:szCs w:val="16"/>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3DBBBE8C" w14:textId="77777777" w:rsidR="00652563" w:rsidRPr="00B81271" w:rsidRDefault="00652563" w:rsidP="00652563">
      <w:pPr>
        <w:pStyle w:val="Textonotapie"/>
        <w:ind w:firstLine="708"/>
        <w:jc w:val="both"/>
        <w:rPr>
          <w:rFonts w:ascii="Arial" w:hAnsi="Arial" w:cs="Arial"/>
          <w:color w:val="000000"/>
          <w:sz w:val="16"/>
          <w:szCs w:val="16"/>
          <w:lang w:val="es-ES"/>
        </w:rPr>
      </w:pPr>
      <w:r w:rsidRPr="00B81271">
        <w:rPr>
          <w:rFonts w:ascii="Arial" w:hAnsi="Arial" w:cs="Arial"/>
          <w:color w:val="000000"/>
          <w:sz w:val="16"/>
          <w:szCs w:val="16"/>
          <w:lang w:val="es-ES"/>
        </w:rPr>
        <w:t>» Los contratistas tendrán derecho a efectuar salvedades a la liquidación por mutuo acuerdo, y en este evento la liquidación unilateral solo procederá en relación con los aspectos que no hayan sido objeto de acuerdo».</w:t>
      </w:r>
    </w:p>
  </w:footnote>
  <w:footnote w:id="8">
    <w:p w14:paraId="6689E423" w14:textId="77777777" w:rsidR="00652563" w:rsidRPr="00B81271" w:rsidRDefault="00652563" w:rsidP="00652563">
      <w:pPr>
        <w:pStyle w:val="Textonotapie"/>
        <w:ind w:firstLine="709"/>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CONSEJO DE ESTADO, Sección Tercera, Subsección C, Sentencia del 24 de julio de 2013, radicado No. 25.642, Consejero Ponente Enrique Gil Botero.</w:t>
      </w:r>
    </w:p>
    <w:p w14:paraId="53020667" w14:textId="77777777" w:rsidR="00652563" w:rsidRPr="00B81271" w:rsidRDefault="00652563" w:rsidP="00652563">
      <w:pPr>
        <w:pStyle w:val="Textonotapie"/>
        <w:ind w:firstLine="709"/>
        <w:jc w:val="both"/>
        <w:rPr>
          <w:rFonts w:ascii="Arial" w:hAnsi="Arial" w:cs="Arial"/>
          <w:color w:val="000000"/>
          <w:sz w:val="16"/>
          <w:szCs w:val="16"/>
          <w:lang w:val="es-CO"/>
        </w:rPr>
      </w:pPr>
    </w:p>
  </w:footnote>
  <w:footnote w:id="9">
    <w:p w14:paraId="0FBC88A5" w14:textId="77777777" w:rsidR="00652563" w:rsidRPr="00B81271" w:rsidRDefault="00652563" w:rsidP="00652563">
      <w:pPr>
        <w:pStyle w:val="Textonotapie"/>
        <w:ind w:firstLine="709"/>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Ley 80 de 1993 «</w:t>
      </w:r>
      <w:r w:rsidRPr="00B81271">
        <w:rPr>
          <w:rStyle w:val="Textoennegrita"/>
          <w:rFonts w:ascii="Arial" w:hAnsi="Arial" w:cs="Arial"/>
          <w:color w:val="000000"/>
          <w:sz w:val="16"/>
          <w:szCs w:val="16"/>
        </w:rPr>
        <w:t>Artículo 77. De la normatividad aplicable en las actuaciones administrativas.</w:t>
      </w:r>
      <w:r w:rsidRPr="00B81271">
        <w:rPr>
          <w:rFonts w:ascii="Arial" w:hAnsi="Arial" w:cs="Arial"/>
          <w:color w:val="000000"/>
          <w:sz w:val="16"/>
          <w:szCs w:val="16"/>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footnote>
  <w:footnote w:id="10">
    <w:p w14:paraId="4ED2D2A5" w14:textId="77777777" w:rsidR="00652563" w:rsidRPr="00B81271" w:rsidRDefault="00652563" w:rsidP="00652563">
      <w:pPr>
        <w:pStyle w:val="NormalWeb"/>
        <w:spacing w:after="0"/>
        <w:ind w:firstLine="709"/>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Ley 80 de 1993 «</w:t>
      </w:r>
      <w:r w:rsidRPr="00B81271">
        <w:rPr>
          <w:rStyle w:val="Textoennegrita"/>
          <w:rFonts w:ascii="Arial" w:hAnsi="Arial" w:cs="Arial"/>
          <w:color w:val="000000"/>
          <w:sz w:val="16"/>
          <w:szCs w:val="16"/>
        </w:rPr>
        <w:t>Artículo 25. Del principio de economía.</w:t>
      </w:r>
      <w:r w:rsidRPr="00B81271">
        <w:rPr>
          <w:rFonts w:ascii="Arial" w:hAnsi="Arial" w:cs="Arial"/>
          <w:color w:val="000000"/>
          <w:sz w:val="16"/>
          <w:szCs w:val="16"/>
        </w:rPr>
        <w:t> En virtud de este principio: </w:t>
      </w:r>
    </w:p>
    <w:p w14:paraId="08E7E055" w14:textId="77777777" w:rsidR="00652563" w:rsidRPr="00B81271" w:rsidRDefault="00652563" w:rsidP="00652563">
      <w:pPr>
        <w:pStyle w:val="NormalWeb"/>
        <w:spacing w:after="0"/>
        <w:ind w:firstLine="709"/>
        <w:jc w:val="both"/>
        <w:rPr>
          <w:rFonts w:ascii="Arial" w:hAnsi="Arial" w:cs="Arial"/>
          <w:color w:val="000000"/>
          <w:sz w:val="16"/>
          <w:szCs w:val="16"/>
        </w:rPr>
      </w:pPr>
      <w:r w:rsidRPr="00B81271">
        <w:rPr>
          <w:rFonts w:ascii="Arial" w:hAnsi="Arial" w:cs="Arial"/>
          <w:color w:val="000000"/>
          <w:sz w:val="16"/>
          <w:szCs w:val="16"/>
        </w:rPr>
        <w:t>[…]</w:t>
      </w:r>
    </w:p>
    <w:p w14:paraId="4295CEEE" w14:textId="77777777" w:rsidR="00652563" w:rsidRPr="00B81271" w:rsidRDefault="00652563" w:rsidP="00652563">
      <w:pPr>
        <w:pStyle w:val="NormalWeb"/>
        <w:spacing w:after="0"/>
        <w:ind w:firstLine="709"/>
        <w:jc w:val="both"/>
        <w:rPr>
          <w:rFonts w:ascii="Arial" w:hAnsi="Arial" w:cs="Arial"/>
          <w:color w:val="000000"/>
          <w:sz w:val="16"/>
          <w:szCs w:val="16"/>
        </w:rPr>
      </w:pPr>
      <w:r w:rsidRPr="00B81271">
        <w:rPr>
          <w:rFonts w:ascii="Arial" w:hAnsi="Arial" w:cs="Arial"/>
          <w:color w:val="000000"/>
          <w:sz w:val="16"/>
          <w:szCs w:val="16"/>
        </w:rPr>
        <w:t>»4o. Los trámites se adelantarán con austeridad de tiempo, medios y gastos y se impedirán las dilaciones y los retardos en la ejecución del contrato. </w:t>
      </w:r>
    </w:p>
    <w:p w14:paraId="08306731" w14:textId="77777777" w:rsidR="00652563" w:rsidRPr="00B81271" w:rsidRDefault="00652563" w:rsidP="00652563">
      <w:pPr>
        <w:pStyle w:val="NormalWeb"/>
        <w:spacing w:after="0"/>
        <w:jc w:val="both"/>
        <w:rPr>
          <w:rFonts w:ascii="Arial" w:hAnsi="Arial" w:cs="Arial"/>
          <w:color w:val="000000"/>
          <w:sz w:val="16"/>
          <w:szCs w:val="16"/>
        </w:rPr>
      </w:pPr>
      <w:r w:rsidRPr="00B81271">
        <w:rPr>
          <w:rFonts w:ascii="Arial" w:hAnsi="Arial" w:cs="Arial"/>
          <w:color w:val="000000"/>
          <w:sz w:val="16"/>
          <w:szCs w:val="16"/>
        </w:rPr>
        <w:t>  </w:t>
      </w:r>
      <w:r w:rsidRPr="00B81271">
        <w:rPr>
          <w:rFonts w:ascii="Arial" w:hAnsi="Arial" w:cs="Arial"/>
          <w:color w:val="000000"/>
          <w:sz w:val="16"/>
          <w:szCs w:val="16"/>
        </w:rPr>
        <w:tab/>
        <w:t>»5o. Se adoptarán procedimientos que garanticen la pronta solución de las diferencias y controversias que con motivo de la celebración y ejecución del contrato se presenten […]».</w:t>
      </w:r>
    </w:p>
  </w:footnote>
  <w:footnote w:id="11">
    <w:p w14:paraId="43F37767" w14:textId="77777777" w:rsidR="00652563" w:rsidRPr="00B81271" w:rsidRDefault="00652563" w:rsidP="00652563">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COLOMBIA COMPRA EFICIENTE. Guía para la Liquidación de los Procesos de Contratación. página 5, disponible en: </w:t>
      </w:r>
      <w:hyperlink r:id="rId1" w:history="1">
        <w:r w:rsidRPr="00B81271">
          <w:rPr>
            <w:rStyle w:val="Hipervnculo1"/>
            <w:rFonts w:ascii="Arial" w:hAnsi="Arial" w:cs="Arial"/>
            <w:color w:val="000000"/>
            <w:sz w:val="16"/>
            <w:szCs w:val="16"/>
          </w:rPr>
          <w:t>https://www.colombiacompra.gov.co/sites/cce_public/files/cce_documents/cce_guia_liquidacion_procesos.pdf</w:t>
        </w:r>
      </w:hyperlink>
      <w:r w:rsidRPr="00B81271">
        <w:rPr>
          <w:rFonts w:ascii="Arial" w:hAnsi="Arial" w:cs="Arial"/>
          <w:color w:val="000000"/>
          <w:sz w:val="16"/>
          <w:szCs w:val="16"/>
        </w:rPr>
        <w:t xml:space="preserve"> </w:t>
      </w:r>
    </w:p>
  </w:footnote>
  <w:footnote w:id="12">
    <w:p w14:paraId="6E387186" w14:textId="77777777" w:rsidR="00652563" w:rsidRPr="00B81271" w:rsidRDefault="00652563" w:rsidP="00652563">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13">
    <w:p w14:paraId="066809FC" w14:textId="77777777" w:rsidR="00652563" w:rsidRPr="00DB4B60" w:rsidRDefault="00652563" w:rsidP="00652563">
      <w:pPr>
        <w:pStyle w:val="Textonotapie"/>
        <w:ind w:firstLine="708"/>
        <w:jc w:val="both"/>
        <w:rPr>
          <w:rFonts w:ascii="Arial" w:hAnsi="Arial" w:cs="Arial"/>
          <w:color w:val="000000"/>
          <w:sz w:val="16"/>
          <w:szCs w:val="16"/>
          <w:lang w:val="es-ES"/>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CONSEJO DE ESTADO. Sección Tercera. </w:t>
      </w:r>
      <w:r w:rsidRPr="00B81271">
        <w:rPr>
          <w:rFonts w:ascii="Arial" w:hAnsi="Arial" w:cs="Arial"/>
          <w:color w:val="000000"/>
          <w:sz w:val="16"/>
          <w:szCs w:val="16"/>
          <w:lang w:val="es-CO"/>
        </w:rPr>
        <w:t xml:space="preserve">Sala Plena. Auto del 1 de agosto de 2019. </w:t>
      </w:r>
      <w:r w:rsidRPr="00B81271">
        <w:rPr>
          <w:rFonts w:ascii="Arial" w:hAnsi="Arial" w:cs="Arial"/>
          <w:color w:val="000000"/>
          <w:sz w:val="16"/>
          <w:szCs w:val="16"/>
        </w:rPr>
        <w:t>Exp. 62009. C.P. Jaime Enrique Rodríg</w:t>
      </w:r>
      <w:r w:rsidRPr="004F24B7">
        <w:rPr>
          <w:rFonts w:ascii="Arial" w:hAnsi="Arial" w:cs="Arial"/>
          <w:color w:val="000000"/>
          <w:sz w:val="13"/>
          <w:szCs w:val="13"/>
        </w:rPr>
        <w:t>uez Navas.</w:t>
      </w:r>
      <w:r w:rsidRPr="00DB4B60">
        <w:rPr>
          <w:rFonts w:ascii="Arial" w:hAnsi="Arial" w:cs="Arial"/>
          <w:color w:val="000000"/>
          <w:sz w:val="16"/>
          <w:szCs w:val="16"/>
        </w:rPr>
        <w:t xml:space="preserve"> </w:t>
      </w:r>
      <w:r w:rsidRPr="00DB4B60">
        <w:rPr>
          <w:rFonts w:ascii="Arial" w:hAnsi="Arial" w:cs="Arial"/>
          <w:color w:val="000000"/>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5FF446B"/>
    <w:multiLevelType w:val="hybridMultilevel"/>
    <w:tmpl w:val="DE341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7732AA"/>
    <w:multiLevelType w:val="hybridMultilevel"/>
    <w:tmpl w:val="C35C2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563B85"/>
    <w:multiLevelType w:val="hybridMultilevel"/>
    <w:tmpl w:val="8CFE8C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2FD82040"/>
    <w:multiLevelType w:val="hybridMultilevel"/>
    <w:tmpl w:val="FEC0B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4B50F4"/>
    <w:multiLevelType w:val="hybridMultilevel"/>
    <w:tmpl w:val="3AF8BC34"/>
    <w:lvl w:ilvl="0" w:tplc="CA28013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4" w15:restartNumberingAfterBreak="0">
    <w:nsid w:val="53C32D26"/>
    <w:multiLevelType w:val="hybridMultilevel"/>
    <w:tmpl w:val="82D46C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672F19"/>
    <w:multiLevelType w:val="hybridMultilevel"/>
    <w:tmpl w:val="B79EA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C8363F"/>
    <w:multiLevelType w:val="hybridMultilevel"/>
    <w:tmpl w:val="BD96C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FA629A"/>
    <w:multiLevelType w:val="hybridMultilevel"/>
    <w:tmpl w:val="6B26F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895A2E"/>
    <w:multiLevelType w:val="hybridMultilevel"/>
    <w:tmpl w:val="A52C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25752D"/>
    <w:multiLevelType w:val="hybridMultilevel"/>
    <w:tmpl w:val="E23A8282"/>
    <w:lvl w:ilvl="0" w:tplc="99E6A8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F6F2538"/>
    <w:multiLevelType w:val="hybridMultilevel"/>
    <w:tmpl w:val="A0267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
  </w:num>
  <w:num w:numId="5">
    <w:abstractNumId w:val="13"/>
  </w:num>
  <w:num w:numId="6">
    <w:abstractNumId w:val="2"/>
  </w:num>
  <w:num w:numId="7">
    <w:abstractNumId w:val="9"/>
  </w:num>
  <w:num w:numId="8">
    <w:abstractNumId w:val="12"/>
  </w:num>
  <w:num w:numId="9">
    <w:abstractNumId w:val="17"/>
  </w:num>
  <w:num w:numId="10">
    <w:abstractNumId w:val="15"/>
  </w:num>
  <w:num w:numId="11">
    <w:abstractNumId w:val="18"/>
  </w:num>
  <w:num w:numId="12">
    <w:abstractNumId w:val="21"/>
  </w:num>
  <w:num w:numId="13">
    <w:abstractNumId w:val="20"/>
  </w:num>
  <w:num w:numId="14">
    <w:abstractNumId w:val="0"/>
  </w:num>
  <w:num w:numId="15">
    <w:abstractNumId w:val="7"/>
  </w:num>
  <w:num w:numId="16">
    <w:abstractNumId w:val="8"/>
  </w:num>
  <w:num w:numId="17">
    <w:abstractNumId w:val="11"/>
  </w:num>
  <w:num w:numId="18">
    <w:abstractNumId w:val="14"/>
  </w:num>
  <w:num w:numId="19">
    <w:abstractNumId w:val="22"/>
  </w:num>
  <w:num w:numId="20">
    <w:abstractNumId w:val="16"/>
  </w:num>
  <w:num w:numId="21">
    <w:abstractNumId w:val="3"/>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2199"/>
    <w:rsid w:val="000037AE"/>
    <w:rsid w:val="00003F8F"/>
    <w:rsid w:val="00004A4E"/>
    <w:rsid w:val="00005BB0"/>
    <w:rsid w:val="000072F3"/>
    <w:rsid w:val="0001025F"/>
    <w:rsid w:val="00011A77"/>
    <w:rsid w:val="0001222D"/>
    <w:rsid w:val="000135EB"/>
    <w:rsid w:val="00015D2B"/>
    <w:rsid w:val="00023823"/>
    <w:rsid w:val="0002558A"/>
    <w:rsid w:val="00031584"/>
    <w:rsid w:val="00032A0E"/>
    <w:rsid w:val="00037133"/>
    <w:rsid w:val="00037347"/>
    <w:rsid w:val="00040A35"/>
    <w:rsid w:val="000442CC"/>
    <w:rsid w:val="00045B79"/>
    <w:rsid w:val="00047A3C"/>
    <w:rsid w:val="000556D4"/>
    <w:rsid w:val="00064025"/>
    <w:rsid w:val="00071213"/>
    <w:rsid w:val="000716AB"/>
    <w:rsid w:val="00082E4C"/>
    <w:rsid w:val="000849D5"/>
    <w:rsid w:val="0008528F"/>
    <w:rsid w:val="00086165"/>
    <w:rsid w:val="000869B3"/>
    <w:rsid w:val="00090E20"/>
    <w:rsid w:val="000A05D3"/>
    <w:rsid w:val="000A2797"/>
    <w:rsid w:val="000A6E0C"/>
    <w:rsid w:val="000A70FA"/>
    <w:rsid w:val="000A7A56"/>
    <w:rsid w:val="000B1FF7"/>
    <w:rsid w:val="000B2513"/>
    <w:rsid w:val="000B4024"/>
    <w:rsid w:val="000B5FFE"/>
    <w:rsid w:val="000C3C51"/>
    <w:rsid w:val="000C7262"/>
    <w:rsid w:val="000D2A7F"/>
    <w:rsid w:val="000D49FB"/>
    <w:rsid w:val="000D4FCE"/>
    <w:rsid w:val="000E306B"/>
    <w:rsid w:val="000E5B76"/>
    <w:rsid w:val="000E670C"/>
    <w:rsid w:val="000F2DCB"/>
    <w:rsid w:val="000F55E6"/>
    <w:rsid w:val="00104544"/>
    <w:rsid w:val="00105D89"/>
    <w:rsid w:val="001079A9"/>
    <w:rsid w:val="0011037E"/>
    <w:rsid w:val="00124D0E"/>
    <w:rsid w:val="00126FA8"/>
    <w:rsid w:val="00127A6D"/>
    <w:rsid w:val="00127ADC"/>
    <w:rsid w:val="00134B97"/>
    <w:rsid w:val="001363C7"/>
    <w:rsid w:val="00141AC5"/>
    <w:rsid w:val="00143440"/>
    <w:rsid w:val="00143CF3"/>
    <w:rsid w:val="00145C94"/>
    <w:rsid w:val="00146B11"/>
    <w:rsid w:val="00147A04"/>
    <w:rsid w:val="00150754"/>
    <w:rsid w:val="0015476D"/>
    <w:rsid w:val="00155611"/>
    <w:rsid w:val="0015576F"/>
    <w:rsid w:val="00161E13"/>
    <w:rsid w:val="00164AE0"/>
    <w:rsid w:val="00165E83"/>
    <w:rsid w:val="00166CD7"/>
    <w:rsid w:val="001706BC"/>
    <w:rsid w:val="0017120C"/>
    <w:rsid w:val="00172E3A"/>
    <w:rsid w:val="00172F3A"/>
    <w:rsid w:val="00186FA9"/>
    <w:rsid w:val="0019532A"/>
    <w:rsid w:val="0019670E"/>
    <w:rsid w:val="00197205"/>
    <w:rsid w:val="00197C18"/>
    <w:rsid w:val="001A1941"/>
    <w:rsid w:val="001A5DD4"/>
    <w:rsid w:val="001A67E9"/>
    <w:rsid w:val="001B0DE5"/>
    <w:rsid w:val="001B143B"/>
    <w:rsid w:val="001B21CA"/>
    <w:rsid w:val="001B5566"/>
    <w:rsid w:val="001C04FC"/>
    <w:rsid w:val="001C25A3"/>
    <w:rsid w:val="001C5D03"/>
    <w:rsid w:val="001C7771"/>
    <w:rsid w:val="001D62FF"/>
    <w:rsid w:val="001E2B8E"/>
    <w:rsid w:val="001E5CC4"/>
    <w:rsid w:val="001F3F48"/>
    <w:rsid w:val="001F51B2"/>
    <w:rsid w:val="001F60BB"/>
    <w:rsid w:val="002000AA"/>
    <w:rsid w:val="00203606"/>
    <w:rsid w:val="00203EBB"/>
    <w:rsid w:val="00204109"/>
    <w:rsid w:val="0021026D"/>
    <w:rsid w:val="00211E6E"/>
    <w:rsid w:val="00212A46"/>
    <w:rsid w:val="0021401D"/>
    <w:rsid w:val="002146B8"/>
    <w:rsid w:val="00214AB9"/>
    <w:rsid w:val="00215516"/>
    <w:rsid w:val="00223573"/>
    <w:rsid w:val="002336E8"/>
    <w:rsid w:val="0023534A"/>
    <w:rsid w:val="00235798"/>
    <w:rsid w:val="00237E9F"/>
    <w:rsid w:val="00244C79"/>
    <w:rsid w:val="002527C2"/>
    <w:rsid w:val="002536F1"/>
    <w:rsid w:val="00262F1D"/>
    <w:rsid w:val="00270443"/>
    <w:rsid w:val="00270EE2"/>
    <w:rsid w:val="00272972"/>
    <w:rsid w:val="00281609"/>
    <w:rsid w:val="0028252D"/>
    <w:rsid w:val="00285F49"/>
    <w:rsid w:val="00286491"/>
    <w:rsid w:val="0028717F"/>
    <w:rsid w:val="00291A05"/>
    <w:rsid w:val="002A097D"/>
    <w:rsid w:val="002A0F8D"/>
    <w:rsid w:val="002A65BB"/>
    <w:rsid w:val="002A69C5"/>
    <w:rsid w:val="002B5515"/>
    <w:rsid w:val="002B61CA"/>
    <w:rsid w:val="002B6E44"/>
    <w:rsid w:val="002C267C"/>
    <w:rsid w:val="002D5318"/>
    <w:rsid w:val="002D580F"/>
    <w:rsid w:val="002E1DB5"/>
    <w:rsid w:val="002F2A1B"/>
    <w:rsid w:val="002F3468"/>
    <w:rsid w:val="002F451C"/>
    <w:rsid w:val="002F6CCB"/>
    <w:rsid w:val="00300925"/>
    <w:rsid w:val="0030359C"/>
    <w:rsid w:val="00304090"/>
    <w:rsid w:val="0030461E"/>
    <w:rsid w:val="00313A56"/>
    <w:rsid w:val="003148BA"/>
    <w:rsid w:val="00323CB9"/>
    <w:rsid w:val="0032756A"/>
    <w:rsid w:val="003304E0"/>
    <w:rsid w:val="00332265"/>
    <w:rsid w:val="00334EF8"/>
    <w:rsid w:val="00336408"/>
    <w:rsid w:val="00340DFB"/>
    <w:rsid w:val="0034404F"/>
    <w:rsid w:val="003471E6"/>
    <w:rsid w:val="00356980"/>
    <w:rsid w:val="00356C80"/>
    <w:rsid w:val="00362845"/>
    <w:rsid w:val="003639DA"/>
    <w:rsid w:val="003659CB"/>
    <w:rsid w:val="00367462"/>
    <w:rsid w:val="00371ECA"/>
    <w:rsid w:val="00372748"/>
    <w:rsid w:val="0037332A"/>
    <w:rsid w:val="0037524E"/>
    <w:rsid w:val="0038151A"/>
    <w:rsid w:val="0039082A"/>
    <w:rsid w:val="00390C21"/>
    <w:rsid w:val="003A37BD"/>
    <w:rsid w:val="003B6D94"/>
    <w:rsid w:val="003C0DF9"/>
    <w:rsid w:val="003C4C96"/>
    <w:rsid w:val="003C55E0"/>
    <w:rsid w:val="003D0EA8"/>
    <w:rsid w:val="003D10C1"/>
    <w:rsid w:val="003D5BCE"/>
    <w:rsid w:val="003E36FF"/>
    <w:rsid w:val="003F519B"/>
    <w:rsid w:val="003F6FB5"/>
    <w:rsid w:val="003F7EC3"/>
    <w:rsid w:val="00401874"/>
    <w:rsid w:val="00404EAA"/>
    <w:rsid w:val="0040544F"/>
    <w:rsid w:val="00406A19"/>
    <w:rsid w:val="004115A0"/>
    <w:rsid w:val="0041222D"/>
    <w:rsid w:val="0041293B"/>
    <w:rsid w:val="0041483E"/>
    <w:rsid w:val="00415369"/>
    <w:rsid w:val="004221C8"/>
    <w:rsid w:val="00430492"/>
    <w:rsid w:val="00432FFE"/>
    <w:rsid w:val="00437D03"/>
    <w:rsid w:val="004431F4"/>
    <w:rsid w:val="0044773D"/>
    <w:rsid w:val="00450BE7"/>
    <w:rsid w:val="00462D21"/>
    <w:rsid w:val="0046741E"/>
    <w:rsid w:val="00472CC6"/>
    <w:rsid w:val="004754FB"/>
    <w:rsid w:val="0048026E"/>
    <w:rsid w:val="004807A9"/>
    <w:rsid w:val="004813EE"/>
    <w:rsid w:val="00484FBA"/>
    <w:rsid w:val="004863A4"/>
    <w:rsid w:val="00490C3E"/>
    <w:rsid w:val="00493278"/>
    <w:rsid w:val="004943D9"/>
    <w:rsid w:val="004A0E7B"/>
    <w:rsid w:val="004A2F28"/>
    <w:rsid w:val="004A3498"/>
    <w:rsid w:val="004A4E52"/>
    <w:rsid w:val="004B0C45"/>
    <w:rsid w:val="004C025E"/>
    <w:rsid w:val="004C092E"/>
    <w:rsid w:val="004C0AB2"/>
    <w:rsid w:val="004C1619"/>
    <w:rsid w:val="004C1A26"/>
    <w:rsid w:val="004C1CC9"/>
    <w:rsid w:val="004C3755"/>
    <w:rsid w:val="004C3EA4"/>
    <w:rsid w:val="004C4485"/>
    <w:rsid w:val="004D11AF"/>
    <w:rsid w:val="004D3B0C"/>
    <w:rsid w:val="004D70E1"/>
    <w:rsid w:val="004E40BD"/>
    <w:rsid w:val="004F103F"/>
    <w:rsid w:val="004F5E85"/>
    <w:rsid w:val="004F668D"/>
    <w:rsid w:val="00500DFA"/>
    <w:rsid w:val="005019AA"/>
    <w:rsid w:val="005021BB"/>
    <w:rsid w:val="00506C18"/>
    <w:rsid w:val="005139E7"/>
    <w:rsid w:val="005147DA"/>
    <w:rsid w:val="00515FB5"/>
    <w:rsid w:val="005207F7"/>
    <w:rsid w:val="0052365C"/>
    <w:rsid w:val="005271EB"/>
    <w:rsid w:val="005316B7"/>
    <w:rsid w:val="00534A47"/>
    <w:rsid w:val="005426DB"/>
    <w:rsid w:val="00545ACA"/>
    <w:rsid w:val="0055082B"/>
    <w:rsid w:val="00552503"/>
    <w:rsid w:val="00552B57"/>
    <w:rsid w:val="005552FD"/>
    <w:rsid w:val="00557DA1"/>
    <w:rsid w:val="0056322C"/>
    <w:rsid w:val="00571143"/>
    <w:rsid w:val="00586562"/>
    <w:rsid w:val="00586BF2"/>
    <w:rsid w:val="0058743A"/>
    <w:rsid w:val="005A1FB0"/>
    <w:rsid w:val="005A4DB0"/>
    <w:rsid w:val="005A7B8E"/>
    <w:rsid w:val="005B012B"/>
    <w:rsid w:val="005B0C87"/>
    <w:rsid w:val="005B1E0D"/>
    <w:rsid w:val="005B2643"/>
    <w:rsid w:val="005B3F16"/>
    <w:rsid w:val="005B56F6"/>
    <w:rsid w:val="005C273B"/>
    <w:rsid w:val="005C4978"/>
    <w:rsid w:val="005D23F6"/>
    <w:rsid w:val="005D2E4E"/>
    <w:rsid w:val="005D2FA8"/>
    <w:rsid w:val="005E2281"/>
    <w:rsid w:val="005E667C"/>
    <w:rsid w:val="005E6DB2"/>
    <w:rsid w:val="005F077C"/>
    <w:rsid w:val="005F50D7"/>
    <w:rsid w:val="005F5F33"/>
    <w:rsid w:val="005F63D0"/>
    <w:rsid w:val="005F7973"/>
    <w:rsid w:val="006048B6"/>
    <w:rsid w:val="00606D1F"/>
    <w:rsid w:val="00611211"/>
    <w:rsid w:val="0061690E"/>
    <w:rsid w:val="00620B41"/>
    <w:rsid w:val="006266E3"/>
    <w:rsid w:val="00627361"/>
    <w:rsid w:val="0063017E"/>
    <w:rsid w:val="0063095B"/>
    <w:rsid w:val="00631B28"/>
    <w:rsid w:val="00632BD7"/>
    <w:rsid w:val="006450EE"/>
    <w:rsid w:val="00645B90"/>
    <w:rsid w:val="00650991"/>
    <w:rsid w:val="006511D7"/>
    <w:rsid w:val="00652563"/>
    <w:rsid w:val="006528D6"/>
    <w:rsid w:val="00652C73"/>
    <w:rsid w:val="00653E3C"/>
    <w:rsid w:val="0066055C"/>
    <w:rsid w:val="00663D75"/>
    <w:rsid w:val="00663D95"/>
    <w:rsid w:val="0066531E"/>
    <w:rsid w:val="00670AEF"/>
    <w:rsid w:val="00673FF4"/>
    <w:rsid w:val="00675678"/>
    <w:rsid w:val="00676A8B"/>
    <w:rsid w:val="00677012"/>
    <w:rsid w:val="006825B4"/>
    <w:rsid w:val="00682AF2"/>
    <w:rsid w:val="006864DF"/>
    <w:rsid w:val="006A1D37"/>
    <w:rsid w:val="006A3C8A"/>
    <w:rsid w:val="006A4F48"/>
    <w:rsid w:val="006A7552"/>
    <w:rsid w:val="006B5953"/>
    <w:rsid w:val="006B7A81"/>
    <w:rsid w:val="006C0EDB"/>
    <w:rsid w:val="006C4BAC"/>
    <w:rsid w:val="006C52F3"/>
    <w:rsid w:val="006D570B"/>
    <w:rsid w:val="006D702C"/>
    <w:rsid w:val="006E1F18"/>
    <w:rsid w:val="006E7F37"/>
    <w:rsid w:val="006F3B81"/>
    <w:rsid w:val="006F4F79"/>
    <w:rsid w:val="006F5A5A"/>
    <w:rsid w:val="00705B37"/>
    <w:rsid w:val="00711FD9"/>
    <w:rsid w:val="0071484C"/>
    <w:rsid w:val="00716BE3"/>
    <w:rsid w:val="00724487"/>
    <w:rsid w:val="00735062"/>
    <w:rsid w:val="00743F20"/>
    <w:rsid w:val="00745400"/>
    <w:rsid w:val="00746BA5"/>
    <w:rsid w:val="00750D05"/>
    <w:rsid w:val="00751D23"/>
    <w:rsid w:val="007534D1"/>
    <w:rsid w:val="00766FCB"/>
    <w:rsid w:val="00770577"/>
    <w:rsid w:val="00771B40"/>
    <w:rsid w:val="00777666"/>
    <w:rsid w:val="0078159B"/>
    <w:rsid w:val="0078296B"/>
    <w:rsid w:val="00782E10"/>
    <w:rsid w:val="0078706B"/>
    <w:rsid w:val="00787F76"/>
    <w:rsid w:val="00790836"/>
    <w:rsid w:val="00791AEA"/>
    <w:rsid w:val="00796F7F"/>
    <w:rsid w:val="00797131"/>
    <w:rsid w:val="007A3C1D"/>
    <w:rsid w:val="007A4193"/>
    <w:rsid w:val="007A4D72"/>
    <w:rsid w:val="007A6BFF"/>
    <w:rsid w:val="007A7935"/>
    <w:rsid w:val="007B285D"/>
    <w:rsid w:val="007C0AE6"/>
    <w:rsid w:val="007C6BC6"/>
    <w:rsid w:val="007F2F56"/>
    <w:rsid w:val="007F55D2"/>
    <w:rsid w:val="00805BE4"/>
    <w:rsid w:val="00807D79"/>
    <w:rsid w:val="00813634"/>
    <w:rsid w:val="00822821"/>
    <w:rsid w:val="00831C29"/>
    <w:rsid w:val="008430A8"/>
    <w:rsid w:val="008431EA"/>
    <w:rsid w:val="008431EF"/>
    <w:rsid w:val="008468E0"/>
    <w:rsid w:val="008601DD"/>
    <w:rsid w:val="00865FBA"/>
    <w:rsid w:val="00871B59"/>
    <w:rsid w:val="008731CF"/>
    <w:rsid w:val="00874A72"/>
    <w:rsid w:val="00875457"/>
    <w:rsid w:val="00876251"/>
    <w:rsid w:val="00877D03"/>
    <w:rsid w:val="00877E96"/>
    <w:rsid w:val="008806CA"/>
    <w:rsid w:val="008815E5"/>
    <w:rsid w:val="00881D8B"/>
    <w:rsid w:val="00883415"/>
    <w:rsid w:val="00887B37"/>
    <w:rsid w:val="008909B9"/>
    <w:rsid w:val="00891032"/>
    <w:rsid w:val="00891DFC"/>
    <w:rsid w:val="00894226"/>
    <w:rsid w:val="00895737"/>
    <w:rsid w:val="008A23AC"/>
    <w:rsid w:val="008A49EE"/>
    <w:rsid w:val="008B12B4"/>
    <w:rsid w:val="008B150D"/>
    <w:rsid w:val="008B7914"/>
    <w:rsid w:val="008C5D2A"/>
    <w:rsid w:val="008C7AF4"/>
    <w:rsid w:val="008D1EB8"/>
    <w:rsid w:val="008D40C5"/>
    <w:rsid w:val="008D41AF"/>
    <w:rsid w:val="008D529F"/>
    <w:rsid w:val="008D7EDD"/>
    <w:rsid w:val="008E6AE3"/>
    <w:rsid w:val="008F02FB"/>
    <w:rsid w:val="008F5CC8"/>
    <w:rsid w:val="009061B8"/>
    <w:rsid w:val="00906A90"/>
    <w:rsid w:val="0091008B"/>
    <w:rsid w:val="00911EA2"/>
    <w:rsid w:val="009121E9"/>
    <w:rsid w:val="009155E1"/>
    <w:rsid w:val="00916C7D"/>
    <w:rsid w:val="00923D6E"/>
    <w:rsid w:val="0092575D"/>
    <w:rsid w:val="009341DA"/>
    <w:rsid w:val="00934265"/>
    <w:rsid w:val="00937816"/>
    <w:rsid w:val="00940E6E"/>
    <w:rsid w:val="00941257"/>
    <w:rsid w:val="009430F9"/>
    <w:rsid w:val="009442E8"/>
    <w:rsid w:val="009457B6"/>
    <w:rsid w:val="009466BA"/>
    <w:rsid w:val="00946BD0"/>
    <w:rsid w:val="00947BF4"/>
    <w:rsid w:val="00947C5D"/>
    <w:rsid w:val="00951593"/>
    <w:rsid w:val="009521FF"/>
    <w:rsid w:val="00952B88"/>
    <w:rsid w:val="00953F42"/>
    <w:rsid w:val="0095426C"/>
    <w:rsid w:val="00962196"/>
    <w:rsid w:val="00970087"/>
    <w:rsid w:val="00971074"/>
    <w:rsid w:val="0097374B"/>
    <w:rsid w:val="009802EE"/>
    <w:rsid w:val="0098266D"/>
    <w:rsid w:val="0098348A"/>
    <w:rsid w:val="00985BF7"/>
    <w:rsid w:val="00987B8D"/>
    <w:rsid w:val="00993749"/>
    <w:rsid w:val="00995D86"/>
    <w:rsid w:val="009A5453"/>
    <w:rsid w:val="009B1186"/>
    <w:rsid w:val="009B4D94"/>
    <w:rsid w:val="009C2871"/>
    <w:rsid w:val="009C7CB5"/>
    <w:rsid w:val="009D2600"/>
    <w:rsid w:val="009D3C33"/>
    <w:rsid w:val="009D6C20"/>
    <w:rsid w:val="009D7F3A"/>
    <w:rsid w:val="009E4885"/>
    <w:rsid w:val="009E4CE8"/>
    <w:rsid w:val="009F5A6D"/>
    <w:rsid w:val="009F629A"/>
    <w:rsid w:val="00A03E81"/>
    <w:rsid w:val="00A050E8"/>
    <w:rsid w:val="00A07DB6"/>
    <w:rsid w:val="00A07DF4"/>
    <w:rsid w:val="00A10A73"/>
    <w:rsid w:val="00A115F6"/>
    <w:rsid w:val="00A1656A"/>
    <w:rsid w:val="00A170B3"/>
    <w:rsid w:val="00A21E88"/>
    <w:rsid w:val="00A223D5"/>
    <w:rsid w:val="00A33464"/>
    <w:rsid w:val="00A34059"/>
    <w:rsid w:val="00A37D1C"/>
    <w:rsid w:val="00A417A3"/>
    <w:rsid w:val="00A44A7B"/>
    <w:rsid w:val="00A47318"/>
    <w:rsid w:val="00A5453E"/>
    <w:rsid w:val="00A55848"/>
    <w:rsid w:val="00A558E2"/>
    <w:rsid w:val="00A56F6C"/>
    <w:rsid w:val="00A679CB"/>
    <w:rsid w:val="00A76C8C"/>
    <w:rsid w:val="00A85F30"/>
    <w:rsid w:val="00A9099E"/>
    <w:rsid w:val="00A91FB7"/>
    <w:rsid w:val="00A9298F"/>
    <w:rsid w:val="00AA0351"/>
    <w:rsid w:val="00AA0DA9"/>
    <w:rsid w:val="00AA132B"/>
    <w:rsid w:val="00AA5F4A"/>
    <w:rsid w:val="00AB1984"/>
    <w:rsid w:val="00AB52B1"/>
    <w:rsid w:val="00AC1CAB"/>
    <w:rsid w:val="00AC4CB3"/>
    <w:rsid w:val="00AC780D"/>
    <w:rsid w:val="00AD036B"/>
    <w:rsid w:val="00AD150D"/>
    <w:rsid w:val="00AD1996"/>
    <w:rsid w:val="00AD4099"/>
    <w:rsid w:val="00AD4901"/>
    <w:rsid w:val="00AE3817"/>
    <w:rsid w:val="00AE5EC3"/>
    <w:rsid w:val="00AE6A98"/>
    <w:rsid w:val="00B02FE0"/>
    <w:rsid w:val="00B057B6"/>
    <w:rsid w:val="00B118C5"/>
    <w:rsid w:val="00B14E9C"/>
    <w:rsid w:val="00B1783F"/>
    <w:rsid w:val="00B246BA"/>
    <w:rsid w:val="00B30448"/>
    <w:rsid w:val="00B34786"/>
    <w:rsid w:val="00B35714"/>
    <w:rsid w:val="00B37585"/>
    <w:rsid w:val="00B376A6"/>
    <w:rsid w:val="00B400EC"/>
    <w:rsid w:val="00B40162"/>
    <w:rsid w:val="00B41ACE"/>
    <w:rsid w:val="00B477CC"/>
    <w:rsid w:val="00B50156"/>
    <w:rsid w:val="00B518AD"/>
    <w:rsid w:val="00B5597D"/>
    <w:rsid w:val="00B60A96"/>
    <w:rsid w:val="00B6465E"/>
    <w:rsid w:val="00B66509"/>
    <w:rsid w:val="00B678EC"/>
    <w:rsid w:val="00B67B55"/>
    <w:rsid w:val="00B73DDD"/>
    <w:rsid w:val="00B75AC0"/>
    <w:rsid w:val="00B76C94"/>
    <w:rsid w:val="00B772D0"/>
    <w:rsid w:val="00B836EA"/>
    <w:rsid w:val="00B83F20"/>
    <w:rsid w:val="00B84C05"/>
    <w:rsid w:val="00B8722C"/>
    <w:rsid w:val="00B90AB7"/>
    <w:rsid w:val="00B91B81"/>
    <w:rsid w:val="00B95F3F"/>
    <w:rsid w:val="00B97135"/>
    <w:rsid w:val="00BA1443"/>
    <w:rsid w:val="00BA4689"/>
    <w:rsid w:val="00BB3072"/>
    <w:rsid w:val="00BB373B"/>
    <w:rsid w:val="00BC1B9D"/>
    <w:rsid w:val="00BC4065"/>
    <w:rsid w:val="00BC7632"/>
    <w:rsid w:val="00BD005B"/>
    <w:rsid w:val="00BD48A9"/>
    <w:rsid w:val="00BD630F"/>
    <w:rsid w:val="00BD7EC6"/>
    <w:rsid w:val="00BE3E91"/>
    <w:rsid w:val="00BE45FE"/>
    <w:rsid w:val="00BE50C7"/>
    <w:rsid w:val="00BE73FA"/>
    <w:rsid w:val="00BF5218"/>
    <w:rsid w:val="00BF5C2A"/>
    <w:rsid w:val="00BF6B4B"/>
    <w:rsid w:val="00BF6E77"/>
    <w:rsid w:val="00C02FAD"/>
    <w:rsid w:val="00C04F07"/>
    <w:rsid w:val="00C0511C"/>
    <w:rsid w:val="00C05DED"/>
    <w:rsid w:val="00C20ACF"/>
    <w:rsid w:val="00C22307"/>
    <w:rsid w:val="00C2270F"/>
    <w:rsid w:val="00C230AA"/>
    <w:rsid w:val="00C23469"/>
    <w:rsid w:val="00C30C62"/>
    <w:rsid w:val="00C315BE"/>
    <w:rsid w:val="00C371DF"/>
    <w:rsid w:val="00C42055"/>
    <w:rsid w:val="00C44B4C"/>
    <w:rsid w:val="00C45DDA"/>
    <w:rsid w:val="00C46734"/>
    <w:rsid w:val="00C47A86"/>
    <w:rsid w:val="00C53220"/>
    <w:rsid w:val="00C613D3"/>
    <w:rsid w:val="00C64542"/>
    <w:rsid w:val="00C65562"/>
    <w:rsid w:val="00CA3347"/>
    <w:rsid w:val="00CA41EF"/>
    <w:rsid w:val="00CA4AB4"/>
    <w:rsid w:val="00CA4C80"/>
    <w:rsid w:val="00CB28AD"/>
    <w:rsid w:val="00CB2DC8"/>
    <w:rsid w:val="00CB365F"/>
    <w:rsid w:val="00CC15C9"/>
    <w:rsid w:val="00CC299A"/>
    <w:rsid w:val="00CC6702"/>
    <w:rsid w:val="00CC681A"/>
    <w:rsid w:val="00CD03E3"/>
    <w:rsid w:val="00CD3DF5"/>
    <w:rsid w:val="00CD4B04"/>
    <w:rsid w:val="00CD738B"/>
    <w:rsid w:val="00CE221E"/>
    <w:rsid w:val="00CE617B"/>
    <w:rsid w:val="00CE6BDA"/>
    <w:rsid w:val="00CF1ABF"/>
    <w:rsid w:val="00CF26FF"/>
    <w:rsid w:val="00D030C6"/>
    <w:rsid w:val="00D03DBE"/>
    <w:rsid w:val="00D072C0"/>
    <w:rsid w:val="00D131D2"/>
    <w:rsid w:val="00D33A2B"/>
    <w:rsid w:val="00D34C82"/>
    <w:rsid w:val="00D3515F"/>
    <w:rsid w:val="00D35995"/>
    <w:rsid w:val="00D3757A"/>
    <w:rsid w:val="00D40FDC"/>
    <w:rsid w:val="00D42144"/>
    <w:rsid w:val="00D504A9"/>
    <w:rsid w:val="00D5206D"/>
    <w:rsid w:val="00D53CEB"/>
    <w:rsid w:val="00D563B7"/>
    <w:rsid w:val="00D60078"/>
    <w:rsid w:val="00D6440B"/>
    <w:rsid w:val="00D65A05"/>
    <w:rsid w:val="00D7177D"/>
    <w:rsid w:val="00D763B9"/>
    <w:rsid w:val="00D770FB"/>
    <w:rsid w:val="00D81311"/>
    <w:rsid w:val="00D9095F"/>
    <w:rsid w:val="00D93CA6"/>
    <w:rsid w:val="00DA3EF7"/>
    <w:rsid w:val="00DA5FB3"/>
    <w:rsid w:val="00DA7581"/>
    <w:rsid w:val="00DB1F59"/>
    <w:rsid w:val="00DB201E"/>
    <w:rsid w:val="00DB5D94"/>
    <w:rsid w:val="00DC075F"/>
    <w:rsid w:val="00DC0E68"/>
    <w:rsid w:val="00DC1F9A"/>
    <w:rsid w:val="00DC5D8C"/>
    <w:rsid w:val="00DC71D5"/>
    <w:rsid w:val="00DC744B"/>
    <w:rsid w:val="00DD25ED"/>
    <w:rsid w:val="00DD68B2"/>
    <w:rsid w:val="00DE0D6E"/>
    <w:rsid w:val="00DE1E1B"/>
    <w:rsid w:val="00DE2EF9"/>
    <w:rsid w:val="00DE3E5A"/>
    <w:rsid w:val="00DE70B4"/>
    <w:rsid w:val="00DF284D"/>
    <w:rsid w:val="00DF4E3E"/>
    <w:rsid w:val="00DF6F0B"/>
    <w:rsid w:val="00E06C15"/>
    <w:rsid w:val="00E0702C"/>
    <w:rsid w:val="00E14942"/>
    <w:rsid w:val="00E15AB6"/>
    <w:rsid w:val="00E1610C"/>
    <w:rsid w:val="00E16D73"/>
    <w:rsid w:val="00E23E9E"/>
    <w:rsid w:val="00E25722"/>
    <w:rsid w:val="00E272D0"/>
    <w:rsid w:val="00E27851"/>
    <w:rsid w:val="00E27F0A"/>
    <w:rsid w:val="00E4231E"/>
    <w:rsid w:val="00E4302C"/>
    <w:rsid w:val="00E44AC7"/>
    <w:rsid w:val="00E45F4B"/>
    <w:rsid w:val="00E46341"/>
    <w:rsid w:val="00E50E08"/>
    <w:rsid w:val="00E57CF2"/>
    <w:rsid w:val="00E60A16"/>
    <w:rsid w:val="00E63247"/>
    <w:rsid w:val="00E701CA"/>
    <w:rsid w:val="00E82B6E"/>
    <w:rsid w:val="00E83657"/>
    <w:rsid w:val="00E92110"/>
    <w:rsid w:val="00E94258"/>
    <w:rsid w:val="00E947BD"/>
    <w:rsid w:val="00E96C18"/>
    <w:rsid w:val="00EA0B9C"/>
    <w:rsid w:val="00EA1DF7"/>
    <w:rsid w:val="00EA2E61"/>
    <w:rsid w:val="00EA7D7F"/>
    <w:rsid w:val="00EB01B5"/>
    <w:rsid w:val="00EB02F4"/>
    <w:rsid w:val="00EB2AE4"/>
    <w:rsid w:val="00EB2FA2"/>
    <w:rsid w:val="00EB769A"/>
    <w:rsid w:val="00EC0944"/>
    <w:rsid w:val="00EC3A35"/>
    <w:rsid w:val="00ED2BF0"/>
    <w:rsid w:val="00EE17F2"/>
    <w:rsid w:val="00EE22BE"/>
    <w:rsid w:val="00EE3138"/>
    <w:rsid w:val="00EF20DA"/>
    <w:rsid w:val="00EF2AC7"/>
    <w:rsid w:val="00EF400A"/>
    <w:rsid w:val="00EF6BE4"/>
    <w:rsid w:val="00EF6E5D"/>
    <w:rsid w:val="00F02B61"/>
    <w:rsid w:val="00F07764"/>
    <w:rsid w:val="00F12517"/>
    <w:rsid w:val="00F131DD"/>
    <w:rsid w:val="00F16BA1"/>
    <w:rsid w:val="00F24435"/>
    <w:rsid w:val="00F30C0F"/>
    <w:rsid w:val="00F314E8"/>
    <w:rsid w:val="00F323A2"/>
    <w:rsid w:val="00F33B57"/>
    <w:rsid w:val="00F33D5C"/>
    <w:rsid w:val="00F345B7"/>
    <w:rsid w:val="00F34E90"/>
    <w:rsid w:val="00F356D6"/>
    <w:rsid w:val="00F4062F"/>
    <w:rsid w:val="00F47695"/>
    <w:rsid w:val="00F52495"/>
    <w:rsid w:val="00F53BE2"/>
    <w:rsid w:val="00F55684"/>
    <w:rsid w:val="00F62120"/>
    <w:rsid w:val="00F64D5A"/>
    <w:rsid w:val="00F67458"/>
    <w:rsid w:val="00F675FB"/>
    <w:rsid w:val="00F709CD"/>
    <w:rsid w:val="00F818E9"/>
    <w:rsid w:val="00F86841"/>
    <w:rsid w:val="00F906F4"/>
    <w:rsid w:val="00FA0716"/>
    <w:rsid w:val="00FA57A0"/>
    <w:rsid w:val="00FB4629"/>
    <w:rsid w:val="00FB6FB1"/>
    <w:rsid w:val="00FB7063"/>
    <w:rsid w:val="00FC302F"/>
    <w:rsid w:val="00FC3C8D"/>
    <w:rsid w:val="00FC5FA1"/>
    <w:rsid w:val="00FC7056"/>
    <w:rsid w:val="00FD2730"/>
    <w:rsid w:val="00FD3B7E"/>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 w:val="7EDC00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NormalTable0">
    <w:name w:val="Normal Table0"/>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customStyle="1" w:styleId="NormalWebCar">
    <w:name w:val="Normal (Web) Car"/>
    <w:link w:val="NormalWeb"/>
    <w:uiPriority w:val="99"/>
    <w:rsid w:val="00172E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339431031">
      <w:bodyDiv w:val="1"/>
      <w:marLeft w:val="0"/>
      <w:marRight w:val="0"/>
      <w:marTop w:val="0"/>
      <w:marBottom w:val="0"/>
      <w:divBdr>
        <w:top w:val="none" w:sz="0" w:space="0" w:color="auto"/>
        <w:left w:val="none" w:sz="0" w:space="0" w:color="auto"/>
        <w:bottom w:val="none" w:sz="0" w:space="0" w:color="auto"/>
        <w:right w:val="none" w:sz="0" w:space="0" w:color="auto"/>
      </w:divBdr>
      <w:divsChild>
        <w:div w:id="741635583">
          <w:marLeft w:val="0"/>
          <w:marRight w:val="0"/>
          <w:marTop w:val="0"/>
          <w:marBottom w:val="0"/>
          <w:divBdr>
            <w:top w:val="none" w:sz="0" w:space="0" w:color="auto"/>
            <w:left w:val="none" w:sz="0" w:space="0" w:color="auto"/>
            <w:bottom w:val="none" w:sz="0" w:space="0" w:color="auto"/>
            <w:right w:val="none" w:sz="0" w:space="0" w:color="auto"/>
          </w:divBdr>
        </w:div>
      </w:divsChild>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56589428">
      <w:bodyDiv w:val="1"/>
      <w:marLeft w:val="0"/>
      <w:marRight w:val="0"/>
      <w:marTop w:val="0"/>
      <w:marBottom w:val="0"/>
      <w:divBdr>
        <w:top w:val="none" w:sz="0" w:space="0" w:color="auto"/>
        <w:left w:val="none" w:sz="0" w:space="0" w:color="auto"/>
        <w:bottom w:val="none" w:sz="0" w:space="0" w:color="auto"/>
        <w:right w:val="none" w:sz="0" w:space="0" w:color="auto"/>
      </w:divBdr>
      <w:divsChild>
        <w:div w:id="1869682088">
          <w:marLeft w:val="0"/>
          <w:marRight w:val="0"/>
          <w:marTop w:val="0"/>
          <w:marBottom w:val="0"/>
          <w:divBdr>
            <w:top w:val="none" w:sz="0" w:space="0" w:color="auto"/>
            <w:left w:val="none" w:sz="0" w:space="0" w:color="auto"/>
            <w:bottom w:val="none" w:sz="0" w:space="0" w:color="auto"/>
            <w:right w:val="none" w:sz="0" w:space="0" w:color="auto"/>
          </w:divBdr>
        </w:div>
      </w:divsChild>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29058090">
      <w:bodyDiv w:val="1"/>
      <w:marLeft w:val="0"/>
      <w:marRight w:val="0"/>
      <w:marTop w:val="0"/>
      <w:marBottom w:val="0"/>
      <w:divBdr>
        <w:top w:val="none" w:sz="0" w:space="0" w:color="auto"/>
        <w:left w:val="none" w:sz="0" w:space="0" w:color="auto"/>
        <w:bottom w:val="none" w:sz="0" w:space="0" w:color="auto"/>
        <w:right w:val="none" w:sz="0" w:space="0" w:color="auto"/>
      </w:divBdr>
      <w:divsChild>
        <w:div w:id="127861344">
          <w:marLeft w:val="0"/>
          <w:marRight w:val="0"/>
          <w:marTop w:val="0"/>
          <w:marBottom w:val="0"/>
          <w:divBdr>
            <w:top w:val="none" w:sz="0" w:space="0" w:color="auto"/>
            <w:left w:val="none" w:sz="0" w:space="0" w:color="auto"/>
            <w:bottom w:val="none" w:sz="0" w:space="0" w:color="auto"/>
            <w:right w:val="none" w:sz="0" w:space="0" w:color="auto"/>
          </w:divBdr>
        </w:div>
        <w:div w:id="584609174">
          <w:marLeft w:val="0"/>
          <w:marRight w:val="0"/>
          <w:marTop w:val="0"/>
          <w:marBottom w:val="0"/>
          <w:divBdr>
            <w:top w:val="none" w:sz="0" w:space="0" w:color="auto"/>
            <w:left w:val="none" w:sz="0" w:space="0" w:color="auto"/>
            <w:bottom w:val="none" w:sz="0" w:space="0" w:color="auto"/>
            <w:right w:val="none" w:sz="0" w:space="0" w:color="auto"/>
          </w:divBdr>
        </w:div>
        <w:div w:id="1271086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yperlink" Target="https://nam02.safelinks.protection.outlook.com/?url=https%3A%2F%2Fwww.sucop.gov.co%2Fentidades%2Fcolombiacompra%2FNormativa%3FIDNorma%3D17363&amp;data=05%7C02%7Cmaria.medellin%40colombiacompra.gov.co%7C5aad36a736844ec87b2108dcc1fa4639%7C7b09041e245149d08cb179d5e3d8c1be%7C0%7C0%7C638598527917026373%7CUnknown%7CTWFpbGZsb3d8eyJWIjoiMC4wLjAwMDAiLCJQIjoiV2luMzIiLCJBTiI6Ik1haWwiLCJXVCI6Mn0%3D%7C0%7C%7C%7C&amp;sdata=P%2BjLhbwxZRG8W2K829OVUGIrBnp01WAJeU04RTlwyZU%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rueda266@unab.edu.co" TargetMode="External"/><Relationship Id="rId17" Type="http://schemas.openxmlformats.org/officeDocument/2006/relationships/hyperlink" Target="https://nam02.safelinks.protection.outlook.com/?url=https%3A%2F%2Fwww.colombiacompra.gov.co%2Fsites%2Fcce_public%2Ffiles%2Ffiles_2020%2Fboletin_de_realtoria_iii.pdf&amp;data=05%7C02%7Cmaria.medellin%40colombiacompra.gov.co%7C5aad36a736844ec87b2108dcc1fa4639%7C7b09041e245149d08cb179d5e3d8c1be%7C0%7C0%7C638598527917016943%7CUnknown%7CTWFpbGZsb3d8eyJWIjoiMC4wLjAwMDAiLCJQIjoiV2luMzIiLCJBTiI6Ik1haWwiLCJXVCI6Mn0%3D%7C0%7C%7C%7C&amp;sdata=YdDMi%2FUgTqpLaJ4Uf%2BRDQQEaCBIxUhbm7Wae%2BvIeqHg%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maria.medellin%40colombiacompra.gov.co%7C5aad36a736844ec87b2108dcc1fa4639%7C7b09041e245149d08cb179d5e3d8c1be%7C0%7C0%7C638598527917003470%7CUnknown%7CTWFpbGZsb3d8eyJWIjoiMC4wLjAwMDAiLCJQIjoiV2luMzIiLCJBTiI6Ik1haWwiLCJXVCI6Mn0%3D%7C0%7C%7C%7C&amp;sdata=Gl6rTZtPvlbLZ4eKTnHvz4iADQ34d4XNVaMGvyKcn%2Bo%3D&amp;reserved=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content%2Fconvocatorias&amp;data=05%7C02%7Cmaria.medellin%40colombiacompra.gov.co%7C5aad36a736844ec87b2108dcc1fa4639%7C7b09041e245149d08cb179d5e3d8c1be%7C0%7C0%7C638598527917034587%7CUnknown%7CTWFpbGZsb3d8eyJWIjoiMC4wLjAwMDAiLCJQIjoiV2luMzIiLCJBTiI6Ik1haWwiLCJXVCI6Mn0%3D%7C0%7C%7C%7C&amp;sdata=aDplLwLHfNpm0vOFLSFUFkW4cEC9zkqqUFgwt1i%2FJ1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liquidacion_proces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purl.org/dc/dcmitype/"/>
    <ds:schemaRef ds:uri="http://schemas.microsoft.com/office/2006/metadata/properties"/>
    <ds:schemaRef ds:uri="http://purl.org/dc/elements/1.1/"/>
    <ds:schemaRef ds:uri="9d85dbaf-23eb-4e57-a637-93dcacc8b1a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6cb9e4b-f1d1-4245-83ec-6cad768d538a"/>
    <ds:schemaRef ds:uri="http://www.w3.org/XML/1998/namespace"/>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53BBC930-23AD-454F-B7B7-18570515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4956</Words>
  <Characters>27262</Characters>
  <Application>Microsoft Office Word</Application>
  <DocSecurity>0</DocSecurity>
  <Lines>227</Lines>
  <Paragraphs>64</Paragraphs>
  <ScaleCrop>false</ScaleCrop>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2024-09-03T13:34:00Z</dcterms:created>
  <dcterms:modified xsi:type="dcterms:W3CDTF">2024-09-03T13:34:00Z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