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ECFC8" w14:textId="77777777" w:rsidR="001C64AB" w:rsidRDefault="001C64AB" w:rsidP="003C7E76">
      <w:pPr>
        <w:spacing w:after="0" w:line="240" w:lineRule="auto"/>
        <w:rPr>
          <w:rFonts w:ascii="Verdana" w:eastAsia="Geomanist Light" w:hAnsi="Verdana" w:cs="Arial"/>
          <w:color w:val="000000" w:themeColor="text1"/>
          <w:lang w:val="es-MX"/>
        </w:rPr>
      </w:pPr>
    </w:p>
    <w:p w14:paraId="2B3AD117" w14:textId="77777777" w:rsidR="001C64AB" w:rsidRPr="00AA2424" w:rsidRDefault="001C64AB" w:rsidP="003C7E76">
      <w:pPr>
        <w:spacing w:after="0" w:line="240" w:lineRule="auto"/>
        <w:rPr>
          <w:rFonts w:ascii="Verdana" w:eastAsia="Geomanist Light" w:hAnsi="Verdana" w:cs="Arial"/>
          <w:color w:val="000000" w:themeColor="text1"/>
          <w:sz w:val="20"/>
          <w:szCs w:val="20"/>
          <w:lang w:val="es-MX"/>
        </w:rPr>
      </w:pPr>
    </w:p>
    <w:p w14:paraId="42F619BA" w14:textId="77777777" w:rsidR="001C64AB" w:rsidRPr="00AA2424" w:rsidRDefault="001C64AB" w:rsidP="001C64AB">
      <w:pPr>
        <w:spacing w:after="0" w:line="240" w:lineRule="auto"/>
        <w:jc w:val="both"/>
        <w:rPr>
          <w:rFonts w:ascii="Verdana" w:eastAsia="Aptos" w:hAnsi="Verdana" w:cs="Arial"/>
          <w:b/>
          <w:bCs/>
          <w:lang w:val="es-ES"/>
        </w:rPr>
      </w:pPr>
      <w:r w:rsidRPr="00AA2424">
        <w:rPr>
          <w:rFonts w:ascii="Verdana" w:eastAsia="Aptos" w:hAnsi="Verdana" w:cs="Arial"/>
          <w:b/>
          <w:bCs/>
          <w:lang w:val="es-ES"/>
        </w:rPr>
        <w:t>LIQUIDACIÓN DEL CONTRATO – Definición – Objetivo – Normativa – Oportunidad</w:t>
      </w:r>
    </w:p>
    <w:p w14:paraId="7645CD48" w14:textId="77777777" w:rsidR="001C64AB" w:rsidRPr="00AA2424" w:rsidRDefault="001C64AB" w:rsidP="001C64AB">
      <w:pPr>
        <w:spacing w:after="0" w:line="240" w:lineRule="auto"/>
        <w:jc w:val="both"/>
        <w:rPr>
          <w:rFonts w:ascii="Verdana" w:eastAsia="Aptos" w:hAnsi="Verdana" w:cs="Arial"/>
          <w:sz w:val="20"/>
          <w:szCs w:val="20"/>
          <w:lang w:val="es-ES"/>
        </w:rPr>
      </w:pPr>
    </w:p>
    <w:p w14:paraId="6EE145C1" w14:textId="77777777" w:rsidR="001C64AB" w:rsidRPr="00AA2424" w:rsidRDefault="001C64AB" w:rsidP="001C64AB">
      <w:pPr>
        <w:spacing w:after="0" w:line="240" w:lineRule="auto"/>
        <w:jc w:val="both"/>
        <w:rPr>
          <w:rFonts w:ascii="Verdana" w:eastAsia="Aptos" w:hAnsi="Verdana" w:cs="Arial"/>
          <w:sz w:val="20"/>
          <w:szCs w:val="20"/>
          <w:lang w:val="es-ES"/>
        </w:rPr>
      </w:pPr>
      <w:r w:rsidRPr="00AA2424">
        <w:rPr>
          <w:rFonts w:ascii="Verdana" w:eastAsia="Aptos" w:hAnsi="Verdana" w:cs="Arial"/>
          <w:sz w:val="20"/>
          <w:szCs w:val="20"/>
          <w:lang w:val="es-ES"/>
        </w:rPr>
        <w:t>La liquidación es el momento en el cual, una vez concluido el contrato estatal, las partes cruzan cuentas respecto de sus obligaciones, por tanto, su objetivo es determinar si pueden declararse a paz y salvo mutuo o si, por el contrario, existen aún obligaciones por cumplir, para acordar la forma en que deben ser cumplidas. […]</w:t>
      </w:r>
    </w:p>
    <w:p w14:paraId="533DEE08" w14:textId="77777777" w:rsidR="001C64AB" w:rsidRPr="00AA2424" w:rsidRDefault="001C64AB" w:rsidP="001C64AB">
      <w:pPr>
        <w:spacing w:after="0" w:line="240" w:lineRule="auto"/>
        <w:jc w:val="both"/>
        <w:rPr>
          <w:rFonts w:ascii="Verdana" w:eastAsia="Aptos" w:hAnsi="Verdana" w:cs="Arial"/>
          <w:sz w:val="20"/>
          <w:szCs w:val="20"/>
          <w:lang w:val="es-ES"/>
        </w:rPr>
      </w:pPr>
      <w:r w:rsidRPr="00AA2424">
        <w:rPr>
          <w:rFonts w:ascii="Verdana" w:eastAsia="Aptos" w:hAnsi="Verdana" w:cs="Arial"/>
          <w:sz w:val="20"/>
          <w:szCs w:val="20"/>
          <w:lang w:val="es-ES"/>
        </w:rPr>
        <w:t>[…]</w:t>
      </w:r>
    </w:p>
    <w:p w14:paraId="09E1788F" w14:textId="77777777" w:rsidR="001C64AB" w:rsidRPr="00AA2424" w:rsidRDefault="001C64AB" w:rsidP="001C64AB">
      <w:pPr>
        <w:spacing w:after="0" w:line="240" w:lineRule="auto"/>
        <w:jc w:val="both"/>
        <w:rPr>
          <w:rFonts w:ascii="Verdana" w:eastAsia="Aptos" w:hAnsi="Verdana" w:cs="Arial"/>
          <w:sz w:val="20"/>
          <w:szCs w:val="20"/>
          <w:lang w:val="es-ES"/>
        </w:rPr>
      </w:pPr>
      <w:r w:rsidRPr="00AA2424">
        <w:rPr>
          <w:rFonts w:ascii="Verdana" w:eastAsia="Aptos" w:hAnsi="Verdana" w:cs="Arial"/>
          <w:sz w:val="20"/>
          <w:szCs w:val="20"/>
          <w:lang w:val="es-ES"/>
        </w:rPr>
        <w:t>En suma, de acuerdo con el artículo 11 de la Ley 1150 de 2007, existen tres tipos de liquidación: i) bilateral, ii) unilateral y iii) judicial. En términos generales, la primera, que puede ser total o parcial, debe hacerse en el término que estipulen las partes o, en su defecto, dentro del término supletivo de cuatro meses. La segunda se debe practicar dentro de los dos meses siguientes al vencimiento del término que acuerden las partes, o ante el silencio de estas, luego de los cuatro meses para realizar la liquidación bilateral, sin que esta se efectúe. Finalmente, la tercera la realiza el juez contencioso administrativo o un tribunal arbitral dentro de un proceso judicial de controversias contractuales y puede darse con ocasión de una demanda del interesado solicitando dicha liquidación y para ello existe un plazo máximo de 2 años contados a partir de los dos meses establecidos en la Ley para realizar la liquidación unilateral, de conformidad con la citada sentencia de unificación del Consejo de Estado.</w:t>
      </w:r>
    </w:p>
    <w:p w14:paraId="2686D310" w14:textId="77777777" w:rsidR="001C64AB" w:rsidRPr="00AA2424" w:rsidRDefault="001C64AB" w:rsidP="003C7E76">
      <w:pPr>
        <w:spacing w:after="0" w:line="240" w:lineRule="auto"/>
        <w:rPr>
          <w:rFonts w:ascii="Verdana" w:eastAsia="Geomanist Light" w:hAnsi="Verdana" w:cs="Arial"/>
          <w:color w:val="000000" w:themeColor="text1"/>
          <w:sz w:val="20"/>
          <w:szCs w:val="20"/>
          <w:lang w:val="es-ES"/>
        </w:rPr>
      </w:pPr>
    </w:p>
    <w:p w14:paraId="6CB3813B" w14:textId="77777777" w:rsidR="00CD262D" w:rsidRPr="00AA2424" w:rsidRDefault="00CD262D" w:rsidP="00CD262D">
      <w:pPr>
        <w:jc w:val="both"/>
        <w:rPr>
          <w:rFonts w:ascii="Verdana" w:eastAsia="Calibri" w:hAnsi="Verdana" w:cs="Arial"/>
          <w:lang w:val="es-ES_tradnl"/>
        </w:rPr>
      </w:pPr>
      <w:r w:rsidRPr="00AA2424">
        <w:rPr>
          <w:rFonts w:ascii="Verdana" w:eastAsia="Calibri" w:hAnsi="Verdana" w:cs="Arial"/>
          <w:b/>
          <w:lang w:val="es-ES_tradnl"/>
        </w:rPr>
        <w:t xml:space="preserve">SUSPENSIÓN DEL CONTRATO – Concepto – Procedencia </w:t>
      </w:r>
    </w:p>
    <w:p w14:paraId="3D71A98C" w14:textId="77777777" w:rsidR="00CD262D" w:rsidRPr="00AA2424" w:rsidRDefault="00CD262D" w:rsidP="00CD262D">
      <w:pPr>
        <w:jc w:val="both"/>
        <w:rPr>
          <w:rFonts w:ascii="Verdana" w:hAnsi="Verdana" w:cs="Arial"/>
          <w:bCs/>
          <w:sz w:val="20"/>
          <w:szCs w:val="20"/>
          <w:lang w:val="es-ES_tradnl"/>
        </w:rPr>
      </w:pPr>
    </w:p>
    <w:p w14:paraId="4C82361A" w14:textId="77777777" w:rsidR="00CD262D" w:rsidRPr="00AA2424" w:rsidRDefault="00CD262D" w:rsidP="00CD262D">
      <w:pPr>
        <w:jc w:val="both"/>
        <w:rPr>
          <w:rFonts w:ascii="Verdana" w:eastAsia="Calibri" w:hAnsi="Verdana" w:cs="Arial"/>
          <w:sz w:val="20"/>
          <w:szCs w:val="20"/>
          <w:lang w:val="es-ES_tradnl"/>
        </w:rPr>
      </w:pPr>
      <w:r w:rsidRPr="00AA2424">
        <w:rPr>
          <w:rFonts w:ascii="Verdana" w:eastAsia="Calibri" w:hAnsi="Verdana" w:cs="Arial"/>
          <w:sz w:val="20"/>
          <w:szCs w:val="20"/>
          <w:lang w:val="es-ES_tradnl"/>
        </w:rPr>
        <w:t xml:space="preserve">La </w:t>
      </w:r>
      <w:r w:rsidRPr="00AA2424">
        <w:rPr>
          <w:rFonts w:ascii="Verdana" w:eastAsia="Calibri" w:hAnsi="Verdana" w:cs="Arial"/>
          <w:i/>
          <w:iCs/>
          <w:sz w:val="20"/>
          <w:szCs w:val="20"/>
          <w:lang w:val="es-ES_tradnl"/>
        </w:rPr>
        <w:t>suspensión</w:t>
      </w:r>
      <w:r w:rsidRPr="00AA2424">
        <w:rPr>
          <w:rFonts w:ascii="Verdana" w:eastAsia="Calibri" w:hAnsi="Verdana" w:cs="Arial"/>
          <w:sz w:val="20"/>
          <w:szCs w:val="20"/>
          <w:lang w:val="es-ES_tradnl"/>
        </w:rPr>
        <w:t xml:space="preserve"> es la medida por la cual se acuerda el cese provisional de la ejecución del contrato, por la ocurrencia de circunstancias que lo impiden o lo dificultan. Las razones de aquella pueden ser de orden técnico, jurídico o económico. En la medida de lo posible, las entidades estatales, durante la fase de planeación debe precaver los riesgos que pueden afectar la ejecución normal del contrato, pero esto no elimina la probabilidad de que ocurran sucesos posteriores y extraordinarios que lleven a las partes a acordar la suspensión o que paralicen el contrato de facto, mientras se resuelven las situaciones que están incidiendo negativamente en el desarrollo del negocio o que lo están tornando imposible. Esto quiere decir que la suspensión puede ser acordada por las partes –como usualmente sucede y es lo más recomendable, siempre que existan motivos fundados para ello– o darse por la fuerza de los hechos, es decir, por la configuración de eventos externos e irresistibles que hagan imposible la ejecución del contrato durante un tiempo ; es decir, por factores que constituyan razones de fuerza mayor o caso fortuito.</w:t>
      </w:r>
    </w:p>
    <w:p w14:paraId="3A625FE8" w14:textId="77777777" w:rsidR="00CD262D" w:rsidRPr="00AA2424" w:rsidRDefault="00CD262D" w:rsidP="00CD262D">
      <w:pPr>
        <w:jc w:val="both"/>
        <w:rPr>
          <w:rFonts w:ascii="Verdana" w:eastAsia="Calibri" w:hAnsi="Verdana" w:cs="Arial"/>
          <w:lang w:val="es-ES_tradnl"/>
        </w:rPr>
      </w:pPr>
    </w:p>
    <w:p w14:paraId="6B0626AA" w14:textId="77777777" w:rsidR="00CD262D" w:rsidRPr="00AA2424" w:rsidRDefault="00CD262D" w:rsidP="00CD262D">
      <w:pPr>
        <w:jc w:val="both"/>
        <w:rPr>
          <w:rFonts w:ascii="Verdana" w:eastAsia="Calibri" w:hAnsi="Verdana" w:cs="Arial"/>
          <w:lang w:val="es-ES_tradnl"/>
        </w:rPr>
      </w:pPr>
      <w:r w:rsidRPr="00AA2424">
        <w:rPr>
          <w:rFonts w:ascii="Verdana" w:eastAsia="Calibri" w:hAnsi="Verdana" w:cs="Arial"/>
          <w:b/>
          <w:lang w:val="es-ES_tradnl"/>
        </w:rPr>
        <w:t>SUSPENSIÓN DEL CONTRATO – Procedimiento administrativo sancionatorio – Posibilidad de realizarlo</w:t>
      </w:r>
    </w:p>
    <w:p w14:paraId="66062A5D" w14:textId="77777777" w:rsidR="00CD262D" w:rsidRPr="00AA2424" w:rsidRDefault="00CD262D" w:rsidP="00CD262D">
      <w:pPr>
        <w:jc w:val="both"/>
        <w:rPr>
          <w:rFonts w:ascii="Verdana" w:hAnsi="Verdana" w:cs="Arial"/>
          <w:bCs/>
          <w:sz w:val="20"/>
          <w:szCs w:val="20"/>
          <w:lang w:val="es-ES_tradnl"/>
        </w:rPr>
      </w:pPr>
    </w:p>
    <w:p w14:paraId="15940D20" w14:textId="77777777" w:rsidR="00CD262D" w:rsidRPr="00AA2424" w:rsidRDefault="00CD262D" w:rsidP="00CD262D">
      <w:pPr>
        <w:jc w:val="both"/>
        <w:rPr>
          <w:rFonts w:ascii="Verdana" w:eastAsia="Calibri" w:hAnsi="Verdana" w:cs="Arial"/>
          <w:sz w:val="20"/>
          <w:szCs w:val="20"/>
          <w:lang w:val="es-ES_tradnl"/>
        </w:rPr>
      </w:pPr>
      <w:r w:rsidRPr="00AA2424">
        <w:rPr>
          <w:rFonts w:ascii="Verdana" w:eastAsia="Calibri" w:hAnsi="Verdana" w:cs="Arial"/>
          <w:sz w:val="20"/>
          <w:szCs w:val="20"/>
          <w:lang w:val="es-ES_tradnl"/>
        </w:rPr>
        <w:t>Pero, al margen de las consideraciones anteriores, hay que decir con claridad que una cosa es la suspensión del contrato estatal y otra el procedimiento administrativo sancionatorio. Si la entidad pública contratante evidencia razones óptimas para iniciar el procedimiento administrativo sancionatorio, porque encuentra que el contratista podría haber incurrido en incumplimiento, debe citarlo , brindándole las garantías formales establecidas en el artículo 86 de la Ley 1474 de 2011, independientemente de que el contrato se encuentre o no suspendido.</w:t>
      </w:r>
    </w:p>
    <w:p w14:paraId="61236C9F" w14:textId="77777777" w:rsidR="00224A28" w:rsidRDefault="00224A28" w:rsidP="003C7E76">
      <w:pPr>
        <w:spacing w:after="0" w:line="240" w:lineRule="auto"/>
        <w:rPr>
          <w:rFonts w:ascii="Verdana" w:eastAsia="Geomanist Light" w:hAnsi="Verdana" w:cs="Arial"/>
          <w:color w:val="000000" w:themeColor="text1"/>
          <w:lang w:val="es-ES_tradnl"/>
        </w:rPr>
      </w:pPr>
    </w:p>
    <w:p w14:paraId="380DDD62" w14:textId="77777777" w:rsidR="00CD262D" w:rsidRDefault="00CD262D" w:rsidP="003C7E76">
      <w:pPr>
        <w:spacing w:after="0" w:line="240" w:lineRule="auto"/>
        <w:rPr>
          <w:rFonts w:ascii="Verdana" w:eastAsia="Geomanist Light" w:hAnsi="Verdana" w:cs="Arial"/>
          <w:color w:val="000000" w:themeColor="text1"/>
          <w:lang w:val="es-ES_tradnl"/>
        </w:rPr>
      </w:pPr>
    </w:p>
    <w:p w14:paraId="2C8B8A35" w14:textId="77777777" w:rsidR="00CD262D" w:rsidRDefault="00CD262D" w:rsidP="003C7E76">
      <w:pPr>
        <w:spacing w:after="0" w:line="240" w:lineRule="auto"/>
        <w:rPr>
          <w:rFonts w:ascii="Verdana" w:eastAsia="Geomanist Light" w:hAnsi="Verdana" w:cs="Arial"/>
          <w:color w:val="000000" w:themeColor="text1"/>
          <w:lang w:val="es-ES_tradnl"/>
        </w:rPr>
      </w:pPr>
    </w:p>
    <w:p w14:paraId="79A7E09D" w14:textId="77777777" w:rsidR="00CD262D" w:rsidRDefault="00CD262D" w:rsidP="003C7E76">
      <w:pPr>
        <w:spacing w:after="0" w:line="240" w:lineRule="auto"/>
        <w:rPr>
          <w:rFonts w:ascii="Verdana" w:eastAsia="Geomanist Light" w:hAnsi="Verdana" w:cs="Arial"/>
          <w:color w:val="000000" w:themeColor="text1"/>
          <w:lang w:val="es-ES_tradnl"/>
        </w:rPr>
      </w:pPr>
    </w:p>
    <w:p w14:paraId="7A1ADDB4" w14:textId="77777777" w:rsidR="00CD262D" w:rsidRDefault="00CD262D" w:rsidP="003C7E76">
      <w:pPr>
        <w:spacing w:after="0" w:line="240" w:lineRule="auto"/>
        <w:rPr>
          <w:rFonts w:ascii="Verdana" w:eastAsia="Geomanist Light" w:hAnsi="Verdana" w:cs="Arial"/>
          <w:color w:val="000000" w:themeColor="text1"/>
          <w:lang w:val="es-ES_tradnl"/>
        </w:rPr>
      </w:pPr>
    </w:p>
    <w:p w14:paraId="7BA0D86A" w14:textId="77777777" w:rsidR="00CD262D" w:rsidRPr="00CD262D" w:rsidRDefault="00CD262D" w:rsidP="003C7E76">
      <w:pPr>
        <w:spacing w:after="0" w:line="240" w:lineRule="auto"/>
        <w:rPr>
          <w:rFonts w:ascii="Verdana" w:eastAsia="Geomanist Light" w:hAnsi="Verdana" w:cs="Arial"/>
          <w:color w:val="000000" w:themeColor="text1"/>
          <w:lang w:val="es-ES_tradnl"/>
        </w:rPr>
      </w:pPr>
    </w:p>
    <w:p w14:paraId="688CF345" w14:textId="77777777" w:rsidR="001C64AB" w:rsidRDefault="001C64AB" w:rsidP="003C7E76">
      <w:pPr>
        <w:spacing w:after="0" w:line="240" w:lineRule="auto"/>
        <w:rPr>
          <w:rFonts w:ascii="Verdana" w:eastAsia="Geomanist Light" w:hAnsi="Verdana" w:cs="Arial"/>
          <w:color w:val="000000" w:themeColor="text1"/>
          <w:lang w:val="es-MX"/>
        </w:rPr>
      </w:pPr>
    </w:p>
    <w:p w14:paraId="5B00E095" w14:textId="77777777" w:rsidR="001C64AB" w:rsidRDefault="001C64AB" w:rsidP="003C7E76">
      <w:pPr>
        <w:spacing w:after="0" w:line="240" w:lineRule="auto"/>
        <w:rPr>
          <w:rFonts w:ascii="Verdana" w:eastAsia="Geomanist Light" w:hAnsi="Verdana" w:cs="Arial"/>
          <w:color w:val="000000" w:themeColor="text1"/>
          <w:lang w:val="es-MX"/>
        </w:rPr>
      </w:pPr>
    </w:p>
    <w:p w14:paraId="6D6315F7" w14:textId="77777777" w:rsidR="001C64AB" w:rsidRDefault="001C64AB" w:rsidP="003C7E76">
      <w:pPr>
        <w:spacing w:after="0" w:line="240" w:lineRule="auto"/>
        <w:rPr>
          <w:rFonts w:ascii="Verdana" w:eastAsia="Geomanist Light" w:hAnsi="Verdana" w:cs="Arial"/>
          <w:color w:val="000000" w:themeColor="text1"/>
          <w:lang w:val="es-MX"/>
        </w:rPr>
      </w:pPr>
    </w:p>
    <w:p w14:paraId="1D79123B" w14:textId="77777777" w:rsidR="001C64AB" w:rsidRDefault="001C64AB" w:rsidP="003C7E76">
      <w:pPr>
        <w:spacing w:after="0" w:line="240" w:lineRule="auto"/>
        <w:rPr>
          <w:rFonts w:ascii="Verdana" w:eastAsia="Geomanist Light" w:hAnsi="Verdana" w:cs="Arial"/>
          <w:color w:val="000000" w:themeColor="text1"/>
          <w:lang w:val="es-MX"/>
        </w:rPr>
      </w:pPr>
    </w:p>
    <w:p w14:paraId="1B6482F6" w14:textId="77777777" w:rsidR="001C64AB" w:rsidRDefault="001C64AB" w:rsidP="003C7E76">
      <w:pPr>
        <w:spacing w:after="0" w:line="240" w:lineRule="auto"/>
        <w:rPr>
          <w:rFonts w:ascii="Verdana" w:eastAsia="Geomanist Light" w:hAnsi="Verdana" w:cs="Arial"/>
          <w:color w:val="000000" w:themeColor="text1"/>
          <w:lang w:val="es-MX"/>
        </w:rPr>
      </w:pPr>
    </w:p>
    <w:p w14:paraId="0EEACA2F" w14:textId="77777777" w:rsidR="001C64AB" w:rsidRDefault="001C64AB" w:rsidP="003C7E76">
      <w:pPr>
        <w:spacing w:after="0" w:line="240" w:lineRule="auto"/>
        <w:rPr>
          <w:rFonts w:ascii="Verdana" w:eastAsia="Geomanist Light" w:hAnsi="Verdana" w:cs="Arial"/>
          <w:color w:val="000000" w:themeColor="text1"/>
          <w:lang w:val="es-MX"/>
        </w:rPr>
      </w:pPr>
    </w:p>
    <w:p w14:paraId="21D1A059" w14:textId="77777777" w:rsidR="001C64AB" w:rsidRDefault="001C64AB" w:rsidP="003C7E76">
      <w:pPr>
        <w:spacing w:after="0" w:line="240" w:lineRule="auto"/>
        <w:rPr>
          <w:rFonts w:ascii="Verdana" w:eastAsia="Geomanist Light" w:hAnsi="Verdana" w:cs="Arial"/>
          <w:color w:val="000000" w:themeColor="text1"/>
          <w:lang w:val="es-MX"/>
        </w:rPr>
      </w:pPr>
    </w:p>
    <w:p w14:paraId="02997145" w14:textId="77777777" w:rsidR="001C64AB" w:rsidRDefault="001C64AB" w:rsidP="003C7E76">
      <w:pPr>
        <w:spacing w:after="0" w:line="240" w:lineRule="auto"/>
        <w:rPr>
          <w:rFonts w:ascii="Verdana" w:eastAsia="Geomanist Light" w:hAnsi="Verdana" w:cs="Arial"/>
          <w:color w:val="000000" w:themeColor="text1"/>
          <w:lang w:val="es-MX"/>
        </w:rPr>
      </w:pPr>
    </w:p>
    <w:p w14:paraId="00EB8C46" w14:textId="77777777" w:rsidR="001C64AB" w:rsidRDefault="001C64AB" w:rsidP="003C7E76">
      <w:pPr>
        <w:spacing w:after="0" w:line="240" w:lineRule="auto"/>
        <w:rPr>
          <w:rFonts w:ascii="Verdana" w:eastAsia="Geomanist Light" w:hAnsi="Verdana" w:cs="Arial"/>
          <w:color w:val="000000" w:themeColor="text1"/>
          <w:lang w:val="es-MX"/>
        </w:rPr>
      </w:pPr>
    </w:p>
    <w:p w14:paraId="752327CF" w14:textId="77777777" w:rsidR="001C64AB" w:rsidRDefault="001C64AB" w:rsidP="003C7E76">
      <w:pPr>
        <w:spacing w:after="0" w:line="240" w:lineRule="auto"/>
        <w:rPr>
          <w:rFonts w:ascii="Verdana" w:eastAsia="Geomanist Light" w:hAnsi="Verdana" w:cs="Arial"/>
          <w:color w:val="000000" w:themeColor="text1"/>
          <w:lang w:val="es-MX"/>
        </w:rPr>
      </w:pPr>
    </w:p>
    <w:p w14:paraId="05069628" w14:textId="77777777" w:rsidR="001C64AB" w:rsidRDefault="001C64AB" w:rsidP="003C7E76">
      <w:pPr>
        <w:spacing w:after="0" w:line="240" w:lineRule="auto"/>
        <w:rPr>
          <w:rFonts w:ascii="Verdana" w:eastAsia="Geomanist Light" w:hAnsi="Verdana" w:cs="Arial"/>
          <w:color w:val="000000" w:themeColor="text1"/>
          <w:lang w:val="es-MX"/>
        </w:rPr>
      </w:pPr>
    </w:p>
    <w:p w14:paraId="6F8F7582" w14:textId="77777777" w:rsidR="001C64AB" w:rsidRDefault="001C64AB" w:rsidP="003C7E76">
      <w:pPr>
        <w:spacing w:after="0" w:line="240" w:lineRule="auto"/>
        <w:rPr>
          <w:rFonts w:ascii="Verdana" w:eastAsia="Geomanist Light" w:hAnsi="Verdana" w:cs="Arial"/>
          <w:color w:val="000000" w:themeColor="text1"/>
          <w:lang w:val="es-MX"/>
        </w:rPr>
      </w:pPr>
    </w:p>
    <w:p w14:paraId="139780A4" w14:textId="77777777" w:rsidR="001C64AB" w:rsidRDefault="001C64AB" w:rsidP="003C7E76">
      <w:pPr>
        <w:spacing w:after="0" w:line="240" w:lineRule="auto"/>
        <w:rPr>
          <w:rFonts w:ascii="Verdana" w:eastAsia="Geomanist Light" w:hAnsi="Verdana" w:cs="Arial"/>
          <w:color w:val="000000" w:themeColor="text1"/>
          <w:lang w:val="es-MX"/>
        </w:rPr>
      </w:pPr>
    </w:p>
    <w:p w14:paraId="3BDC32A8" w14:textId="77777777" w:rsidR="001C64AB" w:rsidRDefault="001C64AB" w:rsidP="003C7E76">
      <w:pPr>
        <w:spacing w:after="0" w:line="240" w:lineRule="auto"/>
        <w:rPr>
          <w:rFonts w:ascii="Verdana" w:eastAsia="Geomanist Light" w:hAnsi="Verdana" w:cs="Arial"/>
          <w:color w:val="000000" w:themeColor="text1"/>
          <w:lang w:val="es-MX"/>
        </w:rPr>
      </w:pPr>
    </w:p>
    <w:p w14:paraId="784B93BD" w14:textId="77777777" w:rsidR="001C64AB" w:rsidRDefault="001C64AB" w:rsidP="003C7E76">
      <w:pPr>
        <w:spacing w:after="0" w:line="240" w:lineRule="auto"/>
        <w:rPr>
          <w:rFonts w:ascii="Verdana" w:eastAsia="Geomanist Light" w:hAnsi="Verdana" w:cs="Arial"/>
          <w:color w:val="000000" w:themeColor="text1"/>
          <w:lang w:val="es-MX"/>
        </w:rPr>
      </w:pPr>
    </w:p>
    <w:p w14:paraId="03F2CACD" w14:textId="77777777" w:rsidR="001C64AB" w:rsidRDefault="001C64AB" w:rsidP="003C7E76">
      <w:pPr>
        <w:spacing w:after="0" w:line="240" w:lineRule="auto"/>
        <w:rPr>
          <w:rFonts w:ascii="Verdana" w:eastAsia="Geomanist Light" w:hAnsi="Verdana" w:cs="Arial"/>
          <w:color w:val="000000" w:themeColor="text1"/>
          <w:lang w:val="es-MX"/>
        </w:rPr>
      </w:pPr>
    </w:p>
    <w:p w14:paraId="77F27399" w14:textId="77777777" w:rsidR="001C64AB" w:rsidRDefault="001C64AB" w:rsidP="003C7E76">
      <w:pPr>
        <w:spacing w:after="0" w:line="240" w:lineRule="auto"/>
        <w:rPr>
          <w:rFonts w:ascii="Verdana" w:eastAsia="Geomanist Light" w:hAnsi="Verdana" w:cs="Arial"/>
          <w:color w:val="000000" w:themeColor="text1"/>
          <w:lang w:val="es-MX"/>
        </w:rPr>
      </w:pPr>
    </w:p>
    <w:p w14:paraId="427BD94A" w14:textId="77777777" w:rsidR="001C64AB" w:rsidRDefault="001C64AB" w:rsidP="003C7E76">
      <w:pPr>
        <w:spacing w:after="0" w:line="240" w:lineRule="auto"/>
        <w:rPr>
          <w:rFonts w:ascii="Verdana" w:eastAsia="Geomanist Light" w:hAnsi="Verdana" w:cs="Arial"/>
          <w:color w:val="000000" w:themeColor="text1"/>
          <w:lang w:val="es-MX"/>
        </w:rPr>
      </w:pPr>
    </w:p>
    <w:p w14:paraId="0C292226" w14:textId="77777777" w:rsidR="001C64AB" w:rsidRDefault="001C64AB" w:rsidP="003C7E76">
      <w:pPr>
        <w:spacing w:after="0" w:line="240" w:lineRule="auto"/>
        <w:rPr>
          <w:rFonts w:ascii="Verdana" w:eastAsia="Geomanist Light" w:hAnsi="Verdana" w:cs="Arial"/>
          <w:color w:val="000000" w:themeColor="text1"/>
          <w:lang w:val="es-MX"/>
        </w:rPr>
      </w:pPr>
    </w:p>
    <w:p w14:paraId="71EDF890" w14:textId="77777777" w:rsidR="001C64AB" w:rsidRDefault="001C64AB" w:rsidP="003C7E76">
      <w:pPr>
        <w:spacing w:after="0" w:line="240" w:lineRule="auto"/>
        <w:rPr>
          <w:rFonts w:ascii="Verdana" w:eastAsia="Geomanist Light" w:hAnsi="Verdana" w:cs="Arial"/>
          <w:color w:val="000000" w:themeColor="text1"/>
          <w:lang w:val="es-MX"/>
        </w:rPr>
      </w:pPr>
    </w:p>
    <w:p w14:paraId="40F1DFCE" w14:textId="77777777" w:rsidR="001C64AB" w:rsidRDefault="001C64AB" w:rsidP="003C7E76">
      <w:pPr>
        <w:spacing w:after="0" w:line="240" w:lineRule="auto"/>
        <w:rPr>
          <w:rFonts w:ascii="Verdana" w:eastAsia="Geomanist Light" w:hAnsi="Verdana" w:cs="Arial"/>
          <w:color w:val="000000" w:themeColor="text1"/>
          <w:lang w:val="es-MX"/>
        </w:rPr>
      </w:pPr>
    </w:p>
    <w:p w14:paraId="6967BC0F" w14:textId="77777777" w:rsidR="001C64AB" w:rsidRDefault="001C64AB" w:rsidP="003C7E76">
      <w:pPr>
        <w:spacing w:after="0" w:line="240" w:lineRule="auto"/>
        <w:rPr>
          <w:rFonts w:ascii="Verdana" w:eastAsia="Geomanist Light" w:hAnsi="Verdana" w:cs="Arial"/>
          <w:color w:val="000000" w:themeColor="text1"/>
          <w:lang w:val="es-MX"/>
        </w:rPr>
      </w:pPr>
    </w:p>
    <w:p w14:paraId="4C54595A" w14:textId="77777777" w:rsidR="001C64AB" w:rsidRDefault="001C64AB" w:rsidP="003C7E76">
      <w:pPr>
        <w:spacing w:after="0" w:line="240" w:lineRule="auto"/>
        <w:rPr>
          <w:rFonts w:ascii="Verdana" w:eastAsia="Geomanist Light" w:hAnsi="Verdana" w:cs="Arial"/>
          <w:color w:val="000000" w:themeColor="text1"/>
          <w:lang w:val="es-MX"/>
        </w:rPr>
      </w:pPr>
    </w:p>
    <w:p w14:paraId="78C70888" w14:textId="77777777" w:rsidR="001C64AB" w:rsidRDefault="001C64AB" w:rsidP="003C7E76">
      <w:pPr>
        <w:spacing w:after="0" w:line="240" w:lineRule="auto"/>
        <w:rPr>
          <w:rFonts w:ascii="Verdana" w:eastAsia="Geomanist Light" w:hAnsi="Verdana" w:cs="Arial"/>
          <w:color w:val="000000" w:themeColor="text1"/>
          <w:lang w:val="es-MX"/>
        </w:rPr>
      </w:pPr>
    </w:p>
    <w:p w14:paraId="268D2638" w14:textId="77777777" w:rsidR="001C64AB" w:rsidRDefault="001C64AB" w:rsidP="003C7E76">
      <w:pPr>
        <w:spacing w:after="0" w:line="240" w:lineRule="auto"/>
        <w:rPr>
          <w:rFonts w:ascii="Verdana" w:eastAsia="Geomanist Light" w:hAnsi="Verdana" w:cs="Arial"/>
          <w:color w:val="000000" w:themeColor="text1"/>
          <w:lang w:val="es-MX"/>
        </w:rPr>
      </w:pPr>
    </w:p>
    <w:p w14:paraId="7C9116AC" w14:textId="77777777" w:rsidR="001C64AB" w:rsidRDefault="001C64AB" w:rsidP="003C7E76">
      <w:pPr>
        <w:spacing w:after="0" w:line="240" w:lineRule="auto"/>
        <w:rPr>
          <w:rFonts w:ascii="Verdana" w:eastAsia="Geomanist Light" w:hAnsi="Verdana" w:cs="Arial"/>
          <w:color w:val="000000" w:themeColor="text1"/>
          <w:lang w:val="es-MX"/>
        </w:rPr>
      </w:pPr>
    </w:p>
    <w:p w14:paraId="108581AB" w14:textId="77777777" w:rsidR="001C64AB" w:rsidRDefault="001C64AB" w:rsidP="003C7E76">
      <w:pPr>
        <w:spacing w:after="0" w:line="240" w:lineRule="auto"/>
        <w:rPr>
          <w:rFonts w:ascii="Verdana" w:eastAsia="Geomanist Light" w:hAnsi="Verdana" w:cs="Arial"/>
          <w:color w:val="000000" w:themeColor="text1"/>
          <w:lang w:val="es-MX"/>
        </w:rPr>
      </w:pPr>
    </w:p>
    <w:p w14:paraId="698099BB" w14:textId="7A1FF6C3" w:rsidR="003C7E76" w:rsidRPr="007B7B10" w:rsidRDefault="003C7E76" w:rsidP="003C7E76">
      <w:pPr>
        <w:spacing w:after="0" w:line="240" w:lineRule="auto"/>
        <w:rPr>
          <w:rFonts w:ascii="Verdana" w:eastAsia="Geomanist Light" w:hAnsi="Verdana" w:cs="Arial"/>
          <w:color w:val="000000" w:themeColor="text1"/>
          <w:lang w:val="es-MX"/>
        </w:rPr>
      </w:pPr>
      <w:r w:rsidRPr="007B7B10">
        <w:rPr>
          <w:rFonts w:ascii="Verdana" w:eastAsia="Geomanist Light" w:hAnsi="Verdana" w:cs="Arial"/>
          <w:color w:val="000000" w:themeColor="text1"/>
          <w:lang w:val="es-MX"/>
        </w:rPr>
        <w:lastRenderedPageBreak/>
        <w:t>Bogotá D.C., [Día] de [Mes.NombreCapitalizado] de [Año]</w:t>
      </w:r>
    </w:p>
    <w:p w14:paraId="05968ABB" w14:textId="2F7156C9" w:rsidR="003C7E76" w:rsidRPr="007B7B10" w:rsidRDefault="000A1E76" w:rsidP="003C7E76">
      <w:pPr>
        <w:spacing w:after="0" w:line="240" w:lineRule="auto"/>
        <w:jc w:val="both"/>
        <w:rPr>
          <w:rFonts w:ascii="Verdana" w:eastAsia="Calibri" w:hAnsi="Verdana" w:cs="Arial"/>
          <w:color w:val="000000" w:themeColor="text1"/>
          <w:lang w:val="es-ES"/>
        </w:rPr>
      </w:pPr>
      <w:r w:rsidRPr="000A1E76">
        <w:rPr>
          <w:rFonts w:ascii="Verdana" w:eastAsia="Calibri" w:hAnsi="Verdana" w:cs="Arial"/>
          <w:noProof/>
          <w:color w:val="000000" w:themeColor="text1"/>
          <w:lang w:val="es-ES" w:eastAsia="es-ES"/>
        </w:rPr>
        <w:drawing>
          <wp:anchor distT="0" distB="0" distL="114300" distR="114300" simplePos="0" relativeHeight="251658240" behindDoc="1" locked="0" layoutInCell="1" allowOverlap="1" wp14:anchorId="61B8D7BC" wp14:editId="7D0A435A">
            <wp:simplePos x="0" y="0"/>
            <wp:positionH relativeFrom="column">
              <wp:posOffset>2710815</wp:posOffset>
            </wp:positionH>
            <wp:positionV relativeFrom="paragraph">
              <wp:posOffset>74930</wp:posOffset>
            </wp:positionV>
            <wp:extent cx="3333750" cy="981075"/>
            <wp:effectExtent l="0" t="0" r="0" b="9525"/>
            <wp:wrapTight wrapText="bothSides">
              <wp:wrapPolygon edited="0">
                <wp:start x="0" y="0"/>
                <wp:lineTo x="0" y="21390"/>
                <wp:lineTo x="21477" y="21390"/>
                <wp:lineTo x="21477" y="0"/>
                <wp:lineTo x="0" y="0"/>
              </wp:wrapPolygon>
            </wp:wrapTight>
            <wp:docPr id="19205001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500111"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333750" cy="981075"/>
                    </a:xfrm>
                    <a:prstGeom prst="rect">
                      <a:avLst/>
                    </a:prstGeom>
                  </pic:spPr>
                </pic:pic>
              </a:graphicData>
            </a:graphic>
          </wp:anchor>
        </w:drawing>
      </w:r>
    </w:p>
    <w:p w14:paraId="7B54DBB5" w14:textId="5AE1846E" w:rsidR="003C7E76" w:rsidRDefault="003C7E76" w:rsidP="003C7E76">
      <w:pPr>
        <w:spacing w:after="0" w:line="240" w:lineRule="auto"/>
        <w:jc w:val="both"/>
        <w:rPr>
          <w:rFonts w:ascii="Verdana" w:eastAsia="Calibri" w:hAnsi="Verdana" w:cs="Arial"/>
          <w:color w:val="000000" w:themeColor="text1"/>
          <w:lang w:val="es-ES" w:eastAsia="es-ES"/>
        </w:rPr>
      </w:pPr>
    </w:p>
    <w:p w14:paraId="509F8094" w14:textId="27CB18E2" w:rsidR="00AA2424" w:rsidRDefault="00AA2424" w:rsidP="003C7E76">
      <w:pPr>
        <w:spacing w:after="0" w:line="240" w:lineRule="auto"/>
        <w:jc w:val="both"/>
        <w:rPr>
          <w:rFonts w:ascii="Verdana" w:eastAsia="Calibri" w:hAnsi="Verdana" w:cs="Arial"/>
          <w:color w:val="000000" w:themeColor="text1"/>
          <w:lang w:val="es-ES" w:eastAsia="es-ES"/>
        </w:rPr>
      </w:pPr>
    </w:p>
    <w:p w14:paraId="3B7D3622" w14:textId="17A8527D" w:rsidR="00AA2424" w:rsidRDefault="00AA2424" w:rsidP="003C7E76">
      <w:pPr>
        <w:spacing w:after="0" w:line="240" w:lineRule="auto"/>
        <w:jc w:val="both"/>
        <w:rPr>
          <w:rFonts w:ascii="Verdana" w:eastAsia="Calibri" w:hAnsi="Verdana" w:cs="Arial"/>
          <w:color w:val="000000" w:themeColor="text1"/>
          <w:lang w:val="es-ES" w:eastAsia="es-ES"/>
        </w:rPr>
      </w:pPr>
    </w:p>
    <w:p w14:paraId="42B40D2A" w14:textId="77777777" w:rsidR="00AA2424" w:rsidRPr="007B7B10" w:rsidRDefault="00AA2424" w:rsidP="003C7E76">
      <w:pPr>
        <w:spacing w:after="0" w:line="240" w:lineRule="auto"/>
        <w:jc w:val="both"/>
        <w:rPr>
          <w:rFonts w:ascii="Verdana" w:eastAsia="Calibri" w:hAnsi="Verdana" w:cs="Arial"/>
          <w:color w:val="000000" w:themeColor="text1"/>
          <w:lang w:val="es-ES" w:eastAsia="es-ES"/>
        </w:rPr>
      </w:pPr>
    </w:p>
    <w:p w14:paraId="1F4AE005" w14:textId="77777777" w:rsidR="00412BE3" w:rsidRDefault="00412BE3" w:rsidP="003C7E76">
      <w:pPr>
        <w:spacing w:after="0" w:line="240" w:lineRule="auto"/>
        <w:jc w:val="both"/>
        <w:rPr>
          <w:rFonts w:ascii="Verdana" w:eastAsia="Calibri" w:hAnsi="Verdana" w:cs="Arial"/>
          <w:color w:val="000000" w:themeColor="text1"/>
          <w:lang w:val="es-ES" w:eastAsia="es-ES"/>
        </w:rPr>
      </w:pPr>
    </w:p>
    <w:p w14:paraId="6CD5D87A" w14:textId="77777777" w:rsidR="000A1E76" w:rsidRDefault="000A1E76" w:rsidP="003C7E76">
      <w:pPr>
        <w:spacing w:after="0" w:line="240" w:lineRule="auto"/>
        <w:jc w:val="both"/>
        <w:rPr>
          <w:rFonts w:ascii="Verdana" w:eastAsia="Calibri" w:hAnsi="Verdana" w:cs="Arial"/>
          <w:color w:val="000000" w:themeColor="text1"/>
          <w:lang w:val="es-ES" w:eastAsia="es-ES"/>
        </w:rPr>
      </w:pPr>
    </w:p>
    <w:p w14:paraId="017D9C4E" w14:textId="2A1B1A8A" w:rsidR="003C7E76" w:rsidRPr="007B7B10" w:rsidRDefault="003C7E76" w:rsidP="003C7E76">
      <w:pPr>
        <w:spacing w:after="0" w:line="240" w:lineRule="auto"/>
        <w:jc w:val="both"/>
        <w:rPr>
          <w:rFonts w:ascii="Verdana" w:eastAsia="Calibri" w:hAnsi="Verdana" w:cs="Arial"/>
          <w:color w:val="000000" w:themeColor="text1"/>
          <w:lang w:val="es-ES" w:eastAsia="es-ES"/>
        </w:rPr>
      </w:pPr>
      <w:r w:rsidRPr="007B7B10">
        <w:rPr>
          <w:rFonts w:ascii="Verdana" w:eastAsia="Calibri" w:hAnsi="Verdana" w:cs="Arial"/>
          <w:color w:val="000000" w:themeColor="text1"/>
          <w:lang w:val="es-ES" w:eastAsia="es-ES"/>
        </w:rPr>
        <w:t>Señora</w:t>
      </w:r>
    </w:p>
    <w:p w14:paraId="4AE1FF07" w14:textId="77777777" w:rsidR="003C7E76" w:rsidRPr="007B7B10" w:rsidRDefault="003C7E76" w:rsidP="003C7E76">
      <w:pPr>
        <w:spacing w:after="0" w:line="240" w:lineRule="auto"/>
        <w:rPr>
          <w:rFonts w:ascii="Verdana" w:eastAsia="Calibri" w:hAnsi="Verdana" w:cs="Arial"/>
          <w:b/>
          <w:color w:val="000000" w:themeColor="text1"/>
          <w:lang w:val="es-ES_tradnl" w:eastAsia="es-ES_tradnl"/>
        </w:rPr>
      </w:pPr>
      <w:r w:rsidRPr="007B7B10">
        <w:rPr>
          <w:rFonts w:ascii="Verdana" w:eastAsia="Calibri" w:hAnsi="Verdana" w:cs="Arial"/>
          <w:b/>
          <w:color w:val="000000" w:themeColor="text1"/>
          <w:lang w:val="es-ES_tradnl" w:eastAsia="es-ES_tradnl"/>
        </w:rPr>
        <w:t xml:space="preserve">Daniela Alejandra Ordóñez </w:t>
      </w:r>
      <w:r>
        <w:rPr>
          <w:rFonts w:ascii="Verdana" w:eastAsia="Calibri" w:hAnsi="Verdana" w:cs="Arial"/>
          <w:b/>
          <w:color w:val="000000" w:themeColor="text1"/>
          <w:lang w:val="es-ES_tradnl" w:eastAsia="es-ES_tradnl"/>
        </w:rPr>
        <w:t xml:space="preserve">Pérez </w:t>
      </w:r>
    </w:p>
    <w:p w14:paraId="5B018D34" w14:textId="77777777" w:rsidR="003C7E76" w:rsidRPr="007B7B10" w:rsidRDefault="00842B94" w:rsidP="003C7E76">
      <w:pPr>
        <w:spacing w:after="0" w:line="240" w:lineRule="auto"/>
        <w:rPr>
          <w:rFonts w:ascii="Verdana" w:eastAsia="Calibri" w:hAnsi="Verdana" w:cs="Arial"/>
          <w:color w:val="000000" w:themeColor="text1"/>
          <w:u w:val="single"/>
          <w:lang w:val="es-ES" w:eastAsia="es-ES"/>
        </w:rPr>
      </w:pPr>
      <w:hyperlink r:id="rId11" w:history="1">
        <w:r w:rsidR="003C7E76" w:rsidRPr="007B7B10">
          <w:rPr>
            <w:rStyle w:val="Hipervnculo"/>
            <w:rFonts w:ascii="Verdana" w:eastAsia="Calibri" w:hAnsi="Verdana" w:cs="Arial"/>
            <w:lang w:val="es-ES" w:eastAsia="es-ES"/>
          </w:rPr>
          <w:t>opdani2@gmail.com</w:t>
        </w:r>
      </w:hyperlink>
    </w:p>
    <w:p w14:paraId="6592EB24" w14:textId="77777777" w:rsidR="003C7E76" w:rsidRPr="007B7B10" w:rsidRDefault="003C7E76" w:rsidP="003C7E76">
      <w:pPr>
        <w:spacing w:after="0" w:line="240" w:lineRule="auto"/>
        <w:rPr>
          <w:rFonts w:ascii="Verdana" w:eastAsia="Calibri" w:hAnsi="Verdana" w:cs="Arial"/>
          <w:b/>
          <w:bCs/>
          <w:color w:val="000000" w:themeColor="text1"/>
          <w:lang w:val="es-ES_tradnl" w:eastAsia="es-ES_tradnl"/>
        </w:rPr>
      </w:pPr>
      <w:r w:rsidRPr="007B7B10">
        <w:rPr>
          <w:rFonts w:ascii="Verdana" w:eastAsia="Calibri" w:hAnsi="Verdana" w:cs="Arial"/>
          <w:color w:val="000000" w:themeColor="text1"/>
          <w:lang w:val="es-ES" w:eastAsia="es-ES"/>
        </w:rPr>
        <w:t>Ciudad</w:t>
      </w:r>
    </w:p>
    <w:p w14:paraId="5053A975" w14:textId="77777777" w:rsidR="003C7E76" w:rsidRDefault="003C7E76" w:rsidP="003C7E76">
      <w:pPr>
        <w:spacing w:after="0" w:line="240" w:lineRule="auto"/>
        <w:rPr>
          <w:rFonts w:ascii="Verdana" w:eastAsia="Calibri" w:hAnsi="Verdana" w:cs="Arial"/>
          <w:b/>
          <w:bCs/>
          <w:color w:val="000000" w:themeColor="text1"/>
          <w:lang w:val="es-ES_tradnl" w:eastAsia="es-ES_tradnl"/>
        </w:rPr>
      </w:pPr>
    </w:p>
    <w:p w14:paraId="4F39ACB4" w14:textId="77777777" w:rsidR="00AC439F" w:rsidRDefault="00AC439F" w:rsidP="003C7E76">
      <w:pPr>
        <w:spacing w:after="0" w:line="240" w:lineRule="auto"/>
        <w:rPr>
          <w:rFonts w:ascii="Verdana" w:eastAsia="Calibri" w:hAnsi="Verdana" w:cs="Arial"/>
          <w:b/>
          <w:bCs/>
          <w:color w:val="000000" w:themeColor="text1"/>
          <w:lang w:val="es-ES_tradnl" w:eastAsia="es-ES_tradnl"/>
        </w:rPr>
      </w:pPr>
    </w:p>
    <w:p w14:paraId="7FDE0830" w14:textId="77777777" w:rsidR="00AC439F" w:rsidRPr="007B7B10" w:rsidRDefault="00AC439F" w:rsidP="003C7E76">
      <w:pPr>
        <w:spacing w:after="0" w:line="240" w:lineRule="auto"/>
        <w:rPr>
          <w:rFonts w:ascii="Verdana" w:eastAsia="Calibri" w:hAnsi="Verdana" w:cs="Arial"/>
          <w:b/>
          <w:bCs/>
          <w:color w:val="000000" w:themeColor="text1"/>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379"/>
      </w:tblGrid>
      <w:tr w:rsidR="003C7E76" w:rsidRPr="007B7B10" w14:paraId="63C8286A" w14:textId="77777777" w:rsidTr="00230DB6">
        <w:trPr>
          <w:trHeight w:val="588"/>
        </w:trPr>
        <w:tc>
          <w:tcPr>
            <w:tcW w:w="2410" w:type="dxa"/>
          </w:tcPr>
          <w:p w14:paraId="3498BE21" w14:textId="77777777" w:rsidR="003C7E76" w:rsidRPr="007B7B10" w:rsidRDefault="003C7E76" w:rsidP="00812A67">
            <w:pPr>
              <w:jc w:val="both"/>
              <w:rPr>
                <w:rFonts w:ascii="Verdana" w:eastAsia="Calibri" w:hAnsi="Verdana" w:cs="Arial"/>
                <w:b/>
                <w:bCs/>
                <w:color w:val="000000" w:themeColor="text1"/>
                <w:lang w:val="es-ES_tradnl" w:eastAsia="es-ES_tradnl"/>
              </w:rPr>
            </w:pPr>
          </w:p>
        </w:tc>
        <w:tc>
          <w:tcPr>
            <w:tcW w:w="6379" w:type="dxa"/>
          </w:tcPr>
          <w:p w14:paraId="62C2BC8C" w14:textId="77777777" w:rsidR="003C7E76" w:rsidRPr="007B7B10" w:rsidRDefault="003C7E76" w:rsidP="00812A67">
            <w:pPr>
              <w:jc w:val="both"/>
              <w:rPr>
                <w:rFonts w:ascii="Verdana" w:eastAsia="Calibri" w:hAnsi="Verdana" w:cs="Arial"/>
                <w:b/>
                <w:bCs/>
                <w:color w:val="000000" w:themeColor="text1"/>
                <w:lang w:val="es-ES" w:eastAsia="es-ES"/>
              </w:rPr>
            </w:pPr>
            <w:r w:rsidRPr="007B7B10">
              <w:rPr>
                <w:rFonts w:ascii="Verdana" w:eastAsia="Calibri" w:hAnsi="Verdana" w:cs="Arial"/>
                <w:b/>
                <w:bCs/>
                <w:color w:val="000000" w:themeColor="text1"/>
                <w:lang w:val="es-ES" w:eastAsia="es-ES"/>
              </w:rPr>
              <w:t>Concepto C- 363 de 2024</w:t>
            </w:r>
          </w:p>
        </w:tc>
      </w:tr>
      <w:tr w:rsidR="003C7E76" w:rsidRPr="007B7B10" w14:paraId="7E75ACD6" w14:textId="77777777" w:rsidTr="00A31A90">
        <w:trPr>
          <w:trHeight w:val="884"/>
        </w:trPr>
        <w:tc>
          <w:tcPr>
            <w:tcW w:w="2410" w:type="dxa"/>
          </w:tcPr>
          <w:p w14:paraId="10C35762" w14:textId="77777777" w:rsidR="003C7E76" w:rsidRPr="007B7B10" w:rsidRDefault="003C7E76" w:rsidP="00812A67">
            <w:pPr>
              <w:jc w:val="both"/>
              <w:rPr>
                <w:rFonts w:ascii="Verdana" w:eastAsia="Calibri" w:hAnsi="Verdana" w:cs="Arial"/>
                <w:color w:val="000000" w:themeColor="text1"/>
                <w:lang w:val="es-ES_tradnl" w:eastAsia="es-ES_tradnl"/>
              </w:rPr>
            </w:pPr>
            <w:r w:rsidRPr="007B7B10">
              <w:rPr>
                <w:rFonts w:ascii="Verdana" w:eastAsia="Calibri" w:hAnsi="Verdana" w:cs="Arial"/>
                <w:b/>
                <w:color w:val="000000" w:themeColor="text1"/>
                <w:lang w:val="es-ES_tradnl" w:eastAsia="es-ES_tradnl"/>
              </w:rPr>
              <w:t>Temas:</w:t>
            </w:r>
            <w:r w:rsidRPr="007B7B10">
              <w:rPr>
                <w:rFonts w:ascii="Verdana" w:eastAsia="Calibri" w:hAnsi="Verdana" w:cs="Arial"/>
                <w:color w:val="000000" w:themeColor="text1"/>
                <w:lang w:val="es-ES_tradnl" w:eastAsia="es-ES_tradnl"/>
              </w:rPr>
              <w:t xml:space="preserve">                   </w:t>
            </w:r>
          </w:p>
        </w:tc>
        <w:tc>
          <w:tcPr>
            <w:tcW w:w="6379" w:type="dxa"/>
          </w:tcPr>
          <w:p w14:paraId="30FBFB28" w14:textId="77777777" w:rsidR="003C7E76" w:rsidRPr="007B7B10" w:rsidRDefault="003C7E76" w:rsidP="00812A67">
            <w:pPr>
              <w:spacing w:line="276" w:lineRule="auto"/>
              <w:jc w:val="both"/>
              <w:rPr>
                <w:rFonts w:ascii="Verdana" w:eastAsia="Calibri" w:hAnsi="Verdana" w:cs="Arial"/>
                <w:bCs/>
                <w:lang w:val="es-ES_tradnl"/>
              </w:rPr>
            </w:pPr>
            <w:r w:rsidRPr="007B7B10">
              <w:rPr>
                <w:rFonts w:ascii="Verdana" w:eastAsia="Calibri" w:hAnsi="Verdana" w:cs="Arial"/>
                <w:bCs/>
                <w:lang w:val="es-MX" w:eastAsia="es-ES_tradnl"/>
              </w:rPr>
              <w:t>LIQUIDACIÓN DEL CONTRATO – Definición – Objetivo – Normativa /</w:t>
            </w:r>
            <w:r>
              <w:rPr>
                <w:rFonts w:ascii="Verdana" w:eastAsia="Calibri" w:hAnsi="Verdana" w:cs="Arial"/>
                <w:bCs/>
                <w:lang w:val="es-MX" w:eastAsia="es-ES_tradnl"/>
              </w:rPr>
              <w:t xml:space="preserve"> SUSPENSIÓN DEL CONTRATO </w:t>
            </w:r>
            <w:r w:rsidRPr="007B7B10">
              <w:rPr>
                <w:rFonts w:ascii="Verdana" w:eastAsia="Calibri" w:hAnsi="Verdana" w:cs="Arial"/>
                <w:bCs/>
                <w:lang w:val="es-MX" w:eastAsia="es-ES_tradnl"/>
              </w:rPr>
              <w:t xml:space="preserve">– </w:t>
            </w:r>
            <w:r>
              <w:rPr>
                <w:rFonts w:ascii="Verdana" w:eastAsia="Calibri" w:hAnsi="Verdana" w:cs="Arial"/>
                <w:bCs/>
                <w:lang w:val="es-MX" w:eastAsia="es-ES_tradnl"/>
              </w:rPr>
              <w:t xml:space="preserve">Elementos </w:t>
            </w:r>
          </w:p>
          <w:p w14:paraId="4DDEFBFB" w14:textId="77777777" w:rsidR="003C7E76" w:rsidRPr="007B7B10" w:rsidRDefault="003C7E76" w:rsidP="00812A67">
            <w:pPr>
              <w:spacing w:line="276" w:lineRule="auto"/>
              <w:jc w:val="both"/>
              <w:rPr>
                <w:rFonts w:ascii="Verdana" w:eastAsia="Calibri" w:hAnsi="Verdana" w:cs="Arial"/>
                <w:color w:val="000000" w:themeColor="text1"/>
                <w:lang w:val="es-ES" w:eastAsia="es-ES"/>
              </w:rPr>
            </w:pPr>
          </w:p>
        </w:tc>
      </w:tr>
      <w:tr w:rsidR="003C7E76" w:rsidRPr="007B7B10" w14:paraId="03438C0B" w14:textId="77777777" w:rsidTr="00A31A90">
        <w:tc>
          <w:tcPr>
            <w:tcW w:w="2410" w:type="dxa"/>
          </w:tcPr>
          <w:p w14:paraId="03749A16" w14:textId="77777777" w:rsidR="003C7E76" w:rsidRPr="007B7B10" w:rsidRDefault="003C7E76" w:rsidP="00812A67">
            <w:pPr>
              <w:jc w:val="both"/>
              <w:rPr>
                <w:rFonts w:ascii="Verdana" w:eastAsia="Calibri" w:hAnsi="Verdana" w:cs="Arial"/>
                <w:b/>
                <w:color w:val="000000" w:themeColor="text1"/>
                <w:lang w:val="es-ES_tradnl" w:eastAsia="es-ES_tradnl"/>
              </w:rPr>
            </w:pPr>
            <w:r w:rsidRPr="007B7B10">
              <w:rPr>
                <w:rFonts w:ascii="Verdana" w:eastAsia="Calibri" w:hAnsi="Verdana" w:cs="Arial"/>
                <w:b/>
                <w:color w:val="000000" w:themeColor="text1"/>
                <w:lang w:val="es-ES_tradnl" w:eastAsia="es-ES_tradnl"/>
              </w:rPr>
              <w:t>Radicación:</w:t>
            </w:r>
            <w:r w:rsidRPr="007B7B10">
              <w:rPr>
                <w:rFonts w:ascii="Verdana" w:eastAsia="Calibri" w:hAnsi="Verdana" w:cs="Arial"/>
                <w:color w:val="000000" w:themeColor="text1"/>
                <w:lang w:val="es-ES_tradnl" w:eastAsia="es-ES_tradnl"/>
              </w:rPr>
              <w:t xml:space="preserve">               </w:t>
            </w:r>
          </w:p>
        </w:tc>
        <w:tc>
          <w:tcPr>
            <w:tcW w:w="6379" w:type="dxa"/>
          </w:tcPr>
          <w:p w14:paraId="2B47F9B6" w14:textId="77777777" w:rsidR="003C7E76" w:rsidRPr="007B7B10" w:rsidRDefault="003C7E76" w:rsidP="00812A67">
            <w:pPr>
              <w:jc w:val="both"/>
              <w:rPr>
                <w:rFonts w:ascii="Verdana" w:eastAsia="Calibri" w:hAnsi="Verdana" w:cs="Arial"/>
                <w:color w:val="000000" w:themeColor="text1"/>
                <w:lang w:val="es-ES_tradnl" w:eastAsia="es-ES_tradnl"/>
              </w:rPr>
            </w:pPr>
            <w:r w:rsidRPr="007B7B10">
              <w:rPr>
                <w:rFonts w:ascii="Verdana" w:eastAsia="Calibri" w:hAnsi="Verdana" w:cs="Arial"/>
                <w:color w:val="000000" w:themeColor="text1"/>
                <w:lang w:val="es-ES_tradnl" w:eastAsia="es-ES_tradnl"/>
              </w:rPr>
              <w:t>Respuesta a consulta con radicado No.</w:t>
            </w:r>
            <w:r w:rsidRPr="007B7B10">
              <w:rPr>
                <w:rFonts w:ascii="Verdana" w:hAnsi="Verdana"/>
                <w:color w:val="000000"/>
              </w:rPr>
              <w:t xml:space="preserve"> P20240718007353</w:t>
            </w:r>
          </w:p>
        </w:tc>
      </w:tr>
    </w:tbl>
    <w:p w14:paraId="51603C11" w14:textId="77777777" w:rsidR="003C7E76" w:rsidRPr="007B7B10" w:rsidRDefault="003C7E76" w:rsidP="003C7E76">
      <w:pPr>
        <w:spacing w:after="0" w:line="240" w:lineRule="auto"/>
        <w:jc w:val="both"/>
        <w:rPr>
          <w:rFonts w:ascii="Verdana" w:eastAsia="Calibri" w:hAnsi="Verdana" w:cs="Arial"/>
          <w:color w:val="000000" w:themeColor="text1"/>
          <w:lang w:val="es-ES_tradnl" w:eastAsia="es-ES_tradnl"/>
        </w:rPr>
      </w:pPr>
    </w:p>
    <w:p w14:paraId="73ED293F" w14:textId="77777777" w:rsidR="003C7E76" w:rsidRPr="007B7B10" w:rsidRDefault="003C7E76" w:rsidP="003C7E76">
      <w:pPr>
        <w:spacing w:after="0" w:line="240" w:lineRule="auto"/>
        <w:jc w:val="both"/>
        <w:rPr>
          <w:rFonts w:ascii="Verdana" w:eastAsia="Calibri" w:hAnsi="Verdana" w:cs="Arial"/>
          <w:color w:val="000000" w:themeColor="text1"/>
          <w:lang w:val="es-ES_tradnl" w:eastAsia="es-ES_tradnl"/>
        </w:rPr>
      </w:pPr>
    </w:p>
    <w:p w14:paraId="6C545B42" w14:textId="77777777" w:rsidR="003C7E76" w:rsidRPr="007B7B10" w:rsidRDefault="003C7E76" w:rsidP="003C7E76">
      <w:pPr>
        <w:spacing w:after="0" w:line="276" w:lineRule="auto"/>
        <w:jc w:val="both"/>
        <w:rPr>
          <w:rFonts w:ascii="Verdana" w:eastAsia="Calibri" w:hAnsi="Verdana" w:cs="Arial"/>
          <w:color w:val="000000" w:themeColor="text1"/>
          <w:lang w:val="es-ES" w:eastAsia="es-ES"/>
        </w:rPr>
      </w:pPr>
      <w:r w:rsidRPr="007B7B10">
        <w:rPr>
          <w:rFonts w:ascii="Verdana" w:eastAsia="Calibri" w:hAnsi="Verdana" w:cs="Arial"/>
          <w:color w:val="000000" w:themeColor="text1"/>
          <w:lang w:val="es-ES" w:eastAsia="es-ES"/>
        </w:rPr>
        <w:t xml:space="preserve">Estimado señora Daniela: </w:t>
      </w:r>
    </w:p>
    <w:p w14:paraId="7B3DD91A" w14:textId="77777777" w:rsidR="003C7E76" w:rsidRPr="007B7B10" w:rsidRDefault="003C7E76" w:rsidP="003C7E76">
      <w:pPr>
        <w:tabs>
          <w:tab w:val="left" w:pos="3768"/>
        </w:tabs>
        <w:spacing w:after="0" w:line="276" w:lineRule="auto"/>
        <w:jc w:val="both"/>
        <w:rPr>
          <w:rFonts w:ascii="Verdana" w:eastAsia="Calibri" w:hAnsi="Verdana" w:cs="Arial"/>
          <w:color w:val="000000" w:themeColor="text1"/>
          <w:lang w:val="es-ES" w:eastAsia="es-ES"/>
        </w:rPr>
      </w:pPr>
      <w:r w:rsidRPr="007B7B10">
        <w:rPr>
          <w:rFonts w:ascii="Verdana" w:eastAsia="Calibri" w:hAnsi="Verdana" w:cs="Arial"/>
          <w:color w:val="000000" w:themeColor="text1"/>
          <w:lang w:val="es-ES" w:eastAsia="es-ES"/>
        </w:rPr>
        <w:tab/>
      </w:r>
    </w:p>
    <w:p w14:paraId="439E5FFC" w14:textId="0D094539" w:rsidR="003C7E76" w:rsidRPr="00831413" w:rsidRDefault="003C7E76" w:rsidP="00831413">
      <w:pPr>
        <w:spacing w:after="0" w:line="240" w:lineRule="auto"/>
        <w:ind w:right="49"/>
        <w:jc w:val="both"/>
        <w:rPr>
          <w:rFonts w:ascii="Verdana" w:eastAsia="Century Gothic" w:hAnsi="Verdana" w:cs="Century Gothic"/>
          <w:i/>
          <w:color w:val="000000" w:themeColor="text1"/>
        </w:rPr>
      </w:pPr>
      <w:r w:rsidRPr="007B7B10">
        <w:rPr>
          <w:rFonts w:ascii="Verdana" w:eastAsia="Calibri" w:hAnsi="Verdana" w:cs="Arial"/>
          <w:color w:val="000000" w:themeColor="text1"/>
          <w:lang w:val="es-ES" w:eastAsia="es-ES"/>
        </w:rPr>
        <w:t>En ejercicio de la competencia otorgada por los artículos 3, numeral 5º, y 11, numeral 8º, del Decreto Ley 4170 de 2011,</w:t>
      </w:r>
      <w:r w:rsidRPr="007B7B10">
        <w:rPr>
          <w:rFonts w:ascii="Verdana" w:eastAsia="Arial MT" w:hAnsi="Verdana" w:cs="Arial MT"/>
          <w:color w:val="000000" w:themeColor="text1"/>
          <w:lang w:val="es-ES" w:eastAsia="es-ES"/>
        </w:rPr>
        <w:t xml:space="preserve"> </w:t>
      </w:r>
      <w:r w:rsidRPr="007B7B10">
        <w:rPr>
          <w:rFonts w:ascii="Verdana" w:hAnsi="Verdana" w:cs="Arial"/>
          <w:color w:val="000000" w:themeColor="text1"/>
        </w:rPr>
        <w:t xml:space="preserve">así como lo establecido en el artículo 4 de la Resolución 1707 de 2018 expedida por esta Entidad, </w:t>
      </w:r>
      <w:r w:rsidRPr="007B7B10">
        <w:rPr>
          <w:rFonts w:ascii="Verdana" w:eastAsia="Calibri" w:hAnsi="Verdana" w:cs="Arial"/>
          <w:color w:val="000000" w:themeColor="text1"/>
          <w:lang w:val="es-ES" w:eastAsia="es-ES"/>
        </w:rPr>
        <w:t xml:space="preserve">la Agencia Nacional de Contratación Pública – Colombia Compra Eficiente– responde su solicitud de consulta de fecha 18 de julio de 2024, en la </w:t>
      </w:r>
      <w:r w:rsidRPr="00831413">
        <w:rPr>
          <w:rFonts w:ascii="Verdana" w:eastAsia="Century Gothic" w:hAnsi="Verdana" w:cs="Century Gothic"/>
          <w:i/>
          <w:color w:val="000000" w:themeColor="text1"/>
        </w:rPr>
        <w:t xml:space="preserve">cual manifiesta lo siguiente: </w:t>
      </w:r>
    </w:p>
    <w:p w14:paraId="64A3AFFC" w14:textId="77777777" w:rsidR="00C53536" w:rsidRPr="00831413" w:rsidRDefault="00C53536" w:rsidP="00831413">
      <w:pPr>
        <w:spacing w:after="0" w:line="240" w:lineRule="auto"/>
        <w:ind w:left="709" w:right="709"/>
        <w:jc w:val="both"/>
        <w:rPr>
          <w:rFonts w:ascii="Verdana" w:eastAsia="Century Gothic" w:hAnsi="Verdana" w:cs="Century Gothic"/>
          <w:i/>
          <w:iCs/>
          <w:color w:val="000000" w:themeColor="text1"/>
          <w:sz w:val="21"/>
          <w:szCs w:val="21"/>
        </w:rPr>
      </w:pPr>
    </w:p>
    <w:p w14:paraId="666D4EEF" w14:textId="088A3C1A" w:rsidR="003C7E76" w:rsidRDefault="003C7E76" w:rsidP="00C53536">
      <w:pPr>
        <w:spacing w:after="0" w:line="240" w:lineRule="auto"/>
        <w:ind w:left="709" w:right="709"/>
        <w:jc w:val="both"/>
        <w:rPr>
          <w:rFonts w:ascii="Verdana" w:eastAsia="Century Gothic" w:hAnsi="Verdana" w:cs="Century Gothic"/>
          <w:i/>
          <w:color w:val="000000" w:themeColor="text1"/>
          <w:sz w:val="21"/>
          <w:szCs w:val="21"/>
        </w:rPr>
      </w:pPr>
      <w:bookmarkStart w:id="0" w:name="_Hlk95313578"/>
      <w:r w:rsidRPr="00831413">
        <w:rPr>
          <w:rFonts w:ascii="Verdana" w:eastAsia="Century Gothic" w:hAnsi="Verdana" w:cs="Century Gothic"/>
          <w:i/>
          <w:color w:val="000000" w:themeColor="text1"/>
          <w:sz w:val="21"/>
          <w:szCs w:val="21"/>
        </w:rPr>
        <w:t>“</w:t>
      </w:r>
      <w:bookmarkEnd w:id="0"/>
      <w:r w:rsidRPr="00CD5AE8">
        <w:rPr>
          <w:rFonts w:ascii="Verdana" w:eastAsia="Century Gothic" w:hAnsi="Verdana" w:cs="Century Gothic"/>
          <w:i/>
          <w:iCs/>
          <w:color w:val="000000" w:themeColor="text1"/>
          <w:sz w:val="21"/>
          <w:szCs w:val="21"/>
        </w:rPr>
        <w:t>Con el debido respeto me permito solicitar información respecto al procedimiento que se debe realizar en el caso de la liquidación bilateral de un contrato que se encuentra en estado suspendido, al que no le quedan días de ejecución y al cual se le realizó una suspensión de manera extemporánea.”</w:t>
      </w:r>
    </w:p>
    <w:p w14:paraId="65FF4692" w14:textId="77777777" w:rsidR="00C53536" w:rsidRPr="00C53536" w:rsidRDefault="00C53536" w:rsidP="00C53536">
      <w:pPr>
        <w:spacing w:after="0" w:line="240" w:lineRule="auto"/>
        <w:ind w:left="709" w:right="709"/>
        <w:jc w:val="both"/>
        <w:rPr>
          <w:rFonts w:ascii="Verdana" w:eastAsia="Century Gothic" w:hAnsi="Verdana" w:cs="Century Gothic"/>
          <w:i/>
          <w:iCs/>
          <w:color w:val="000000" w:themeColor="text1"/>
          <w:sz w:val="21"/>
          <w:szCs w:val="21"/>
          <w:lang w:val="es-ES"/>
        </w:rPr>
      </w:pPr>
    </w:p>
    <w:p w14:paraId="0A7A12B9" w14:textId="77777777" w:rsidR="003C7E76" w:rsidRPr="007B7B10" w:rsidRDefault="003C7E76" w:rsidP="003C7E76">
      <w:pPr>
        <w:spacing w:after="120" w:line="276" w:lineRule="auto"/>
        <w:ind w:firstLine="709"/>
        <w:jc w:val="both"/>
        <w:rPr>
          <w:rFonts w:ascii="Verdana" w:eastAsia="Calibri" w:hAnsi="Verdana" w:cs="Arial"/>
          <w:color w:val="000000" w:themeColor="text1"/>
          <w:lang w:val="es-ES_tradnl" w:eastAsia="es-ES_tradnl"/>
        </w:rPr>
      </w:pPr>
      <w:r w:rsidRPr="007B7B10">
        <w:rPr>
          <w:rFonts w:ascii="Verdana" w:eastAsia="Calibri" w:hAnsi="Verdana" w:cs="Arial"/>
          <w:color w:val="000000" w:themeColor="text1"/>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07B7B10">
        <w:rPr>
          <w:rFonts w:ascii="Verdana" w:eastAsia="Calibri" w:hAnsi="Verdana" w:cs="Arial"/>
          <w:color w:val="000000" w:themeColor="text1"/>
          <w:lang w:val="es-ES" w:eastAsia="es-ES"/>
        </w:rPr>
        <w:lastRenderedPageBreak/>
        <w:t xml:space="preserve">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7B7B10">
        <w:rPr>
          <w:rFonts w:ascii="Verdana" w:eastAsia="Calibri" w:hAnsi="Verdana" w:cs="Arial"/>
          <w:color w:val="000000" w:themeColor="text1"/>
          <w:lang w:val="es-ES_tradnl" w:eastAsia="es-ES_tradnl"/>
        </w:rPr>
        <w:tab/>
      </w:r>
    </w:p>
    <w:p w14:paraId="082D0C44" w14:textId="77777777" w:rsidR="003C7E76" w:rsidRPr="007B7B10" w:rsidRDefault="003C7E76" w:rsidP="003C7E76">
      <w:pPr>
        <w:spacing w:after="0" w:line="276" w:lineRule="auto"/>
        <w:ind w:firstLine="709"/>
        <w:jc w:val="both"/>
        <w:rPr>
          <w:rFonts w:ascii="Verdana" w:eastAsia="Calibri" w:hAnsi="Verdana" w:cs="Arial"/>
          <w:color w:val="000000" w:themeColor="text1"/>
          <w:lang w:val="es-ES" w:eastAsia="es-ES"/>
        </w:rPr>
      </w:pPr>
      <w:r w:rsidRPr="007B7B10">
        <w:rPr>
          <w:rFonts w:ascii="Verdana" w:eastAsia="Calibri" w:hAnsi="Verdana" w:cs="Arial"/>
          <w:color w:val="000000" w:themeColor="text1"/>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433C4400" w14:textId="77777777" w:rsidR="003C7E76" w:rsidRPr="007B7B10" w:rsidRDefault="003C7E76" w:rsidP="003C7E76">
      <w:pPr>
        <w:spacing w:after="0" w:line="276" w:lineRule="auto"/>
        <w:ind w:firstLine="709"/>
        <w:jc w:val="both"/>
        <w:rPr>
          <w:rFonts w:ascii="Verdana" w:eastAsia="Calibri" w:hAnsi="Verdana" w:cs="Arial"/>
          <w:color w:val="000000" w:themeColor="text1"/>
          <w:lang w:val="es-ES" w:eastAsia="es-ES"/>
        </w:rPr>
      </w:pPr>
    </w:p>
    <w:p w14:paraId="7A098FC9" w14:textId="77777777" w:rsidR="003C7E76" w:rsidRPr="007B7B10" w:rsidRDefault="003C7E76" w:rsidP="003C7E76">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color w:val="000000" w:themeColor="text1"/>
        </w:rPr>
      </w:pPr>
      <w:r w:rsidRPr="007B7B10">
        <w:rPr>
          <w:rFonts w:ascii="Verdana" w:eastAsia="Century Gothic" w:hAnsi="Verdana" w:cs="Century Gothic"/>
          <w:b/>
          <w:bCs/>
          <w:color w:val="000000" w:themeColor="text1"/>
        </w:rPr>
        <w:t>Problema planteado:</w:t>
      </w:r>
    </w:p>
    <w:p w14:paraId="5BDDFF6A" w14:textId="77777777" w:rsidR="003C7E76" w:rsidRPr="007B7B10" w:rsidRDefault="003C7E76" w:rsidP="003C7E76">
      <w:pPr>
        <w:tabs>
          <w:tab w:val="left" w:pos="426"/>
        </w:tabs>
        <w:spacing w:after="0" w:line="276" w:lineRule="auto"/>
        <w:jc w:val="both"/>
        <w:rPr>
          <w:rFonts w:ascii="Verdana" w:eastAsia="Century Gothic" w:hAnsi="Verdana" w:cs="Century Gothic"/>
          <w:color w:val="000000" w:themeColor="text1"/>
          <w:lang w:val="es-ES"/>
        </w:rPr>
      </w:pPr>
    </w:p>
    <w:p w14:paraId="6E9C66D6" w14:textId="77777777" w:rsidR="003C7E76" w:rsidRPr="007B7B10" w:rsidRDefault="003C7E76" w:rsidP="003C7E76">
      <w:pPr>
        <w:spacing w:after="0" w:line="276" w:lineRule="auto"/>
        <w:jc w:val="both"/>
        <w:rPr>
          <w:rFonts w:ascii="Verdana" w:eastAsia="Century Gothic" w:hAnsi="Verdana" w:cs="Century Gothic"/>
          <w:color w:val="000000" w:themeColor="text1"/>
        </w:rPr>
      </w:pPr>
      <w:r w:rsidRPr="007B7B10">
        <w:rPr>
          <w:rFonts w:ascii="Verdana" w:eastAsia="Century Gothic" w:hAnsi="Verdana" w:cs="Century Gothic"/>
          <w:color w:val="000000" w:themeColor="text1"/>
        </w:rPr>
        <w:t xml:space="preserve">De acuerdo con el contenido de su solicitud, esta Agencia resolverá el siguiente problema jurídico: </w:t>
      </w:r>
    </w:p>
    <w:p w14:paraId="01221E13" w14:textId="77777777" w:rsidR="003C7E76" w:rsidRPr="007B7B10" w:rsidRDefault="003C7E76" w:rsidP="003C7E76">
      <w:pPr>
        <w:spacing w:after="0" w:line="276" w:lineRule="auto"/>
        <w:jc w:val="both"/>
        <w:rPr>
          <w:rFonts w:ascii="Verdana" w:eastAsia="Century Gothic" w:hAnsi="Verdana" w:cs="Century Gothic"/>
          <w:color w:val="000000" w:themeColor="text1"/>
        </w:rPr>
      </w:pPr>
    </w:p>
    <w:p w14:paraId="14E87BF9" w14:textId="3D6EBCE9" w:rsidR="003C7E76" w:rsidRPr="007B7B10" w:rsidRDefault="00D77844" w:rsidP="003C7E76">
      <w:pPr>
        <w:spacing w:after="0" w:line="276" w:lineRule="auto"/>
        <w:jc w:val="both"/>
        <w:rPr>
          <w:rFonts w:ascii="Verdana" w:eastAsia="Century Gothic" w:hAnsi="Verdana" w:cs="Century Gothic"/>
          <w:color w:val="000000" w:themeColor="text1"/>
        </w:rPr>
      </w:pPr>
      <w:r w:rsidRPr="00D77844">
        <w:rPr>
          <w:rFonts w:ascii="Verdana" w:eastAsia="Century Gothic" w:hAnsi="Verdana" w:cs="Century Gothic"/>
          <w:color w:val="000000" w:themeColor="text1"/>
        </w:rPr>
        <w:t>¿Cuáles son las acciones necesarias en el caso de que un contrato bilateral sea liquidado mientras se encuentra en estado de suspensión?</w:t>
      </w:r>
      <w:r w:rsidR="003C7E76" w:rsidRPr="007B7B10">
        <w:rPr>
          <w:rFonts w:ascii="Verdana" w:eastAsia="Century Gothic" w:hAnsi="Verdana" w:cs="Century Gothic"/>
          <w:color w:val="000000" w:themeColor="text1"/>
        </w:rPr>
        <w:t xml:space="preserve"> </w:t>
      </w:r>
    </w:p>
    <w:p w14:paraId="35E8B45C" w14:textId="77777777" w:rsidR="003C7E76" w:rsidRPr="007B7B10" w:rsidRDefault="003C7E76" w:rsidP="003C7E76">
      <w:pPr>
        <w:spacing w:after="0" w:line="276" w:lineRule="auto"/>
        <w:jc w:val="both"/>
        <w:rPr>
          <w:rFonts w:ascii="Verdana" w:eastAsia="Calibri" w:hAnsi="Verdana" w:cs="Arial"/>
          <w:color w:val="000000" w:themeColor="text1"/>
          <w:lang w:val="es-ES"/>
        </w:rPr>
      </w:pPr>
    </w:p>
    <w:p w14:paraId="3B5BF58A" w14:textId="63CF425F" w:rsidR="003C7E76" w:rsidRPr="007B7B10" w:rsidRDefault="003C7E76" w:rsidP="003C7E7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7B7B10">
        <w:rPr>
          <w:rFonts w:ascii="Verdana" w:eastAsia="Century Gothic" w:hAnsi="Verdana" w:cs="Century Gothic"/>
          <w:b/>
          <w:bCs/>
          <w:color w:val="000000" w:themeColor="text1"/>
        </w:rPr>
        <w:t>Respuesta:</w:t>
      </w:r>
    </w:p>
    <w:p w14:paraId="51E795A2" w14:textId="77777777" w:rsidR="003C7E76" w:rsidRPr="007B7B10" w:rsidRDefault="003C7E76" w:rsidP="003C7E76">
      <w:pPr>
        <w:tabs>
          <w:tab w:val="left" w:pos="142"/>
          <w:tab w:val="left" w:pos="284"/>
        </w:tabs>
        <w:spacing w:after="0" w:line="276" w:lineRule="auto"/>
        <w:jc w:val="both"/>
        <w:rPr>
          <w:rFonts w:ascii="Verdana" w:eastAsia="Century Gothic" w:hAnsi="Verdana" w:cs="Century Gothic"/>
          <w:b/>
          <w:bCs/>
          <w:color w:val="000000" w:themeColor="text1"/>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C7E76" w:rsidRPr="007B7B10" w14:paraId="570FAA95" w14:textId="77777777" w:rsidTr="00812A67">
        <w:tc>
          <w:tcPr>
            <w:tcW w:w="8828" w:type="dxa"/>
            <w:shd w:val="clear" w:color="auto" w:fill="auto"/>
          </w:tcPr>
          <w:p w14:paraId="4B20EA04" w14:textId="4E4FE699" w:rsidR="00794878" w:rsidRPr="00F80914" w:rsidRDefault="00365962" w:rsidP="00365962">
            <w:pPr>
              <w:spacing w:line="276" w:lineRule="auto"/>
              <w:jc w:val="both"/>
              <w:rPr>
                <w:rFonts w:ascii="Verdana" w:hAnsi="Verdana"/>
              </w:rPr>
            </w:pPr>
            <w:r w:rsidRPr="00F80914">
              <w:rPr>
                <w:rFonts w:ascii="Verdana" w:hAnsi="Verdana"/>
              </w:rPr>
              <w:t xml:space="preserve">De acuerdo con el artículo 11 de la Ley 1150 de 2007, existen tres (3) tipos de liquidación: i) bilateral, ii) unilateral y iii) judicial. En términos generales, la primera, que puede ser total o parcial, debe hacerse en el término que estipulen las partes o, en su defecto, dentro del término supletivo de cuatro (4) meses. La segunda se debe practicar dentro de los dos (2) meses siguientes al vencimiento del término que acuerden las partes, o ante el silencio de estas, luego de los cuatro (4) meses para realizar la liquidación bilateral, sin que esta se efectúe. Finalmente, la tercera la realiza el juez contencioso administrativo o un tribunal arbitral dentro de un proceso judicial de controversias contractuales y puede darse con ocasión de una demanda del interesado solicitando dicha liquidación y para ello existe un plazo máximo de </w:t>
            </w:r>
            <w:r w:rsidRPr="00F80914">
              <w:rPr>
                <w:rFonts w:ascii="Verdana" w:hAnsi="Verdana"/>
              </w:rPr>
              <w:lastRenderedPageBreak/>
              <w:t>dos (2) años contados a partir de los dos (2) meses establecidos en la Ley para realizar la liquidación unilateral.</w:t>
            </w:r>
          </w:p>
          <w:p w14:paraId="66A6B7FD" w14:textId="77777777" w:rsidR="002B1DEE" w:rsidRPr="00F80914" w:rsidRDefault="002B1DEE" w:rsidP="00365962">
            <w:pPr>
              <w:spacing w:line="276" w:lineRule="auto"/>
              <w:jc w:val="both"/>
              <w:rPr>
                <w:rFonts w:ascii="Verdana" w:hAnsi="Verdana"/>
              </w:rPr>
            </w:pPr>
          </w:p>
          <w:p w14:paraId="4173997A" w14:textId="2C69FB4E" w:rsidR="00DF05D5" w:rsidRPr="00EA5F02" w:rsidRDefault="00444719" w:rsidP="00EA5F02">
            <w:pPr>
              <w:spacing w:after="120" w:line="276" w:lineRule="auto"/>
              <w:jc w:val="both"/>
              <w:rPr>
                <w:rFonts w:ascii="Verdana" w:hAnsi="Verdana" w:cs="Arial"/>
              </w:rPr>
            </w:pPr>
            <w:r>
              <w:rPr>
                <w:rFonts w:ascii="Verdana" w:eastAsia="Calibri" w:hAnsi="Verdana" w:cs="Arial"/>
              </w:rPr>
              <w:t>Ahora bien,</w:t>
            </w:r>
            <w:r w:rsidR="00F33D1C">
              <w:t xml:space="preserve"> </w:t>
            </w:r>
            <w:r w:rsidR="00F33D1C" w:rsidRPr="00F33D1C">
              <w:rPr>
                <w:rFonts w:ascii="Verdana" w:eastAsia="Calibri" w:hAnsi="Verdana" w:cs="Arial"/>
              </w:rPr>
              <w:t>La suspensión es la decisión de detener temporalmente la ejecución del contrato en caso de que las circunstancias lo impidan o dificulten. Las causas de esto pueden ser técnicas, legales o financieras. Durante la planificación, las autoridades estatales deben evitar los peligros que puedan afectar la ejecución cotidiana del contrato, aunque esto no elimina la posibilidad de que ocurran eventos posteriores y extraordinarios que lleven a las partes a acordar la suspensión o paralicen el contrato de facto, mientras se resuelven las situaciones que afectan negativamente el progreso del negocio o lo hacen imposible.</w:t>
            </w:r>
            <w:r w:rsidR="00F80914" w:rsidRPr="00F80914">
              <w:rPr>
                <w:rFonts w:ascii="Verdana" w:eastAsia="Calibri" w:hAnsi="Verdana" w:cs="Arial"/>
                <w:lang w:val="es-ES_tradnl"/>
              </w:rPr>
              <w:t xml:space="preserve"> Esto quiere decir que la suspensión puede ser acordada por las partes –como usualmente sucede y es lo más recomendable, siempre que existan motivos fundados para ello– o darse por la fuerza de los hechos, es decir, por la configuración de eventos externos e irresistibles que hagan imposible la ejecución del contrato durante un </w:t>
            </w:r>
            <w:r w:rsidRPr="00F80914">
              <w:rPr>
                <w:rFonts w:ascii="Verdana" w:eastAsia="Calibri" w:hAnsi="Verdana" w:cs="Arial"/>
                <w:lang w:val="es-ES_tradnl"/>
              </w:rPr>
              <w:t>tiempo;</w:t>
            </w:r>
            <w:r w:rsidR="00F80914" w:rsidRPr="00F80914">
              <w:rPr>
                <w:rFonts w:ascii="Verdana" w:eastAsia="Calibri" w:hAnsi="Verdana" w:cs="Arial"/>
                <w:lang w:val="es-ES_tradnl"/>
              </w:rPr>
              <w:t xml:space="preserve"> es decir, por factores que constituyan razones de fuerza mayor o caso </w:t>
            </w:r>
            <w:r w:rsidR="00F80914" w:rsidRPr="00EA5F02">
              <w:rPr>
                <w:rFonts w:ascii="Verdana" w:hAnsi="Verdana" w:cs="Arial"/>
              </w:rPr>
              <w:t>fortuito.</w:t>
            </w:r>
          </w:p>
          <w:p w14:paraId="708780BC" w14:textId="321A12C0" w:rsidR="00A249D1" w:rsidRPr="00F80914" w:rsidRDefault="002C39B5" w:rsidP="0055346F">
            <w:pPr>
              <w:spacing w:after="120" w:line="276" w:lineRule="auto"/>
              <w:jc w:val="both"/>
              <w:rPr>
                <w:rFonts w:ascii="Verdana" w:hAnsi="Verdana" w:cs="Arial"/>
              </w:rPr>
            </w:pPr>
            <w:r>
              <w:rPr>
                <w:rFonts w:ascii="Verdana" w:hAnsi="Verdana" w:cs="Arial"/>
              </w:rPr>
              <w:t>Así las cosas</w:t>
            </w:r>
            <w:r w:rsidR="00794878" w:rsidRPr="00F80914">
              <w:rPr>
                <w:rFonts w:ascii="Verdana" w:hAnsi="Verdana" w:cs="Arial"/>
              </w:rPr>
              <w:t xml:space="preserve">, </w:t>
            </w:r>
            <w:r w:rsidR="00ED2AD1" w:rsidRPr="00F80914">
              <w:rPr>
                <w:rFonts w:ascii="Verdana" w:hAnsi="Verdana" w:cs="Arial"/>
              </w:rPr>
              <w:t>e</w:t>
            </w:r>
            <w:r w:rsidR="00A249D1" w:rsidRPr="00F80914">
              <w:rPr>
                <w:rFonts w:ascii="Verdana" w:hAnsi="Verdana" w:cs="Arial"/>
              </w:rPr>
              <w:t>n ejercicio de la autonomía de las partes contratantes, las mismas podrán convenir la cláusula de suspensión del contrato, fijando las reglas por las cuales procederán las mismas teniendo en cuenta las disposiciones referidas en la Ley 80 de 1993 y Ley 1150 de 2007. Así las cosas, las partes son quienes determinan las condiciones y términos según los cuales deben llevarse a cabo la suspensión del contrato, por lo que ninguna de las partes de manera unilateral puede declararla por fuera de lo convenido.</w:t>
            </w:r>
          </w:p>
          <w:p w14:paraId="7A457E6A" w14:textId="474E2034" w:rsidR="003C7E76" w:rsidRPr="005E4C52" w:rsidRDefault="004A69BE" w:rsidP="005E4C52">
            <w:pPr>
              <w:spacing w:line="276" w:lineRule="auto"/>
              <w:contextualSpacing/>
              <w:jc w:val="both"/>
              <w:rPr>
                <w:rFonts w:ascii="Arial" w:hAnsi="Arial" w:cs="Arial"/>
              </w:rPr>
            </w:pPr>
            <w:r w:rsidRPr="00F80914">
              <w:rPr>
                <w:rFonts w:ascii="Verdana" w:hAnsi="Verdana" w:cs="Arial"/>
              </w:rPr>
              <w:t>Finalmente, se debe tener en cuenta que la suspensión del contrato no implica la ampliación de su plazo de ejecución, sino solamente la determinación de un periodo en el cual cesará el cumplimiento de las actividades pactadas, por tanto, no habrá lugar al pago de honorarios correspondientes a este tiempo y el plazo de ejecución continuará siendo el mismo inicialmente pactado.</w:t>
            </w:r>
          </w:p>
        </w:tc>
      </w:tr>
    </w:tbl>
    <w:p w14:paraId="0F0FFC8F" w14:textId="77777777" w:rsidR="003C7E76" w:rsidRPr="007B7B10" w:rsidRDefault="003C7E76" w:rsidP="003C7E76">
      <w:pPr>
        <w:tabs>
          <w:tab w:val="left" w:pos="142"/>
          <w:tab w:val="left" w:pos="284"/>
        </w:tabs>
        <w:spacing w:after="0" w:line="276" w:lineRule="auto"/>
        <w:jc w:val="both"/>
        <w:rPr>
          <w:rFonts w:ascii="Verdana" w:eastAsia="Century Gothic" w:hAnsi="Verdana" w:cs="Century Gothic"/>
          <w:b/>
          <w:bCs/>
          <w:color w:val="000000" w:themeColor="text1"/>
          <w:lang w:val="es-ES"/>
        </w:rPr>
      </w:pPr>
    </w:p>
    <w:p w14:paraId="7358B909" w14:textId="77777777" w:rsidR="003C7E76" w:rsidRPr="007B7B10" w:rsidRDefault="003C7E76" w:rsidP="003C7E7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7B7B10">
        <w:rPr>
          <w:rFonts w:ascii="Verdana" w:eastAsia="Century Gothic" w:hAnsi="Verdana" w:cs="Century Gothic"/>
          <w:b/>
          <w:bCs/>
          <w:color w:val="000000" w:themeColor="text1"/>
        </w:rPr>
        <w:t>Razones de la respuesta:</w:t>
      </w:r>
    </w:p>
    <w:p w14:paraId="2DBF8C3A" w14:textId="77777777" w:rsidR="003C7E76" w:rsidRPr="007B7B10" w:rsidRDefault="003C7E76" w:rsidP="003C7E76">
      <w:pPr>
        <w:spacing w:after="0" w:line="276" w:lineRule="auto"/>
        <w:jc w:val="both"/>
        <w:rPr>
          <w:rFonts w:ascii="Verdana" w:eastAsia="Calibri" w:hAnsi="Verdana" w:cs="Arial"/>
          <w:color w:val="000000" w:themeColor="text1"/>
          <w:lang w:val="es-ES"/>
        </w:rPr>
      </w:pPr>
    </w:p>
    <w:p w14:paraId="28734D96" w14:textId="77777777" w:rsidR="003C7E76" w:rsidRPr="007B7B10" w:rsidRDefault="003C7E76" w:rsidP="003C7E76">
      <w:pPr>
        <w:spacing w:after="0" w:line="276" w:lineRule="auto"/>
        <w:jc w:val="both"/>
        <w:rPr>
          <w:rFonts w:ascii="Verdana" w:eastAsia="Calibri" w:hAnsi="Verdana" w:cs="Arial"/>
          <w:color w:val="000000" w:themeColor="text1"/>
          <w:lang w:val="es-ES"/>
        </w:rPr>
      </w:pPr>
      <w:r w:rsidRPr="007B7B10">
        <w:rPr>
          <w:rFonts w:ascii="Verdana" w:eastAsia="Calibri" w:hAnsi="Verdana" w:cs="Arial"/>
          <w:color w:val="000000" w:themeColor="text1"/>
          <w:lang w:val="es-ES"/>
        </w:rPr>
        <w:t xml:space="preserve">Lo anterior se sustenta en las siguientes consideraciones: </w:t>
      </w:r>
    </w:p>
    <w:p w14:paraId="6A743607" w14:textId="77777777" w:rsidR="003C7E76" w:rsidRPr="007B7B10" w:rsidRDefault="003C7E76" w:rsidP="003C7E76">
      <w:pPr>
        <w:spacing w:after="0" w:line="276" w:lineRule="auto"/>
        <w:jc w:val="both"/>
        <w:rPr>
          <w:rFonts w:ascii="Verdana" w:eastAsia="Calibri" w:hAnsi="Verdana" w:cs="Arial"/>
          <w:color w:val="000000" w:themeColor="text1"/>
          <w:lang w:val="es-ES"/>
        </w:rPr>
      </w:pPr>
    </w:p>
    <w:p w14:paraId="2C1D619E" w14:textId="084B719E" w:rsidR="003C7E76" w:rsidRPr="0067586D" w:rsidRDefault="003C7E76" w:rsidP="00230DB6">
      <w:pPr>
        <w:pStyle w:val="NormalWeb"/>
        <w:numPr>
          <w:ilvl w:val="0"/>
          <w:numId w:val="17"/>
        </w:numPr>
        <w:spacing w:before="0" w:beforeAutospacing="0" w:after="120" w:afterAutospacing="0" w:line="259" w:lineRule="auto"/>
        <w:jc w:val="both"/>
        <w:rPr>
          <w:rFonts w:ascii="Verdana" w:hAnsi="Verdana" w:cs="Arial"/>
          <w:color w:val="000000" w:themeColor="text1"/>
          <w:sz w:val="22"/>
          <w:szCs w:val="22"/>
          <w:lang w:val="es-ES_tradnl" w:eastAsia="es-ES_tradnl"/>
        </w:rPr>
      </w:pPr>
      <w:r w:rsidRPr="00DA147B">
        <w:rPr>
          <w:rFonts w:ascii="Verdana" w:hAnsi="Verdana" w:cs="Arial"/>
          <w:color w:val="000000" w:themeColor="text1"/>
          <w:sz w:val="22"/>
          <w:szCs w:val="22"/>
          <w:lang w:val="es-ES_tradnl" w:eastAsia="es-ES_tradnl"/>
        </w:rPr>
        <w:t xml:space="preserve">La suspensión es la medida por la cual se acuerda el cese provisional de la ejecución del contrato, por la ocurrencia de circunstancias que lo </w:t>
      </w:r>
      <w:r w:rsidRPr="00DA147B">
        <w:rPr>
          <w:rFonts w:ascii="Verdana" w:hAnsi="Verdana" w:cs="Arial"/>
          <w:color w:val="000000" w:themeColor="text1"/>
          <w:sz w:val="22"/>
          <w:szCs w:val="22"/>
          <w:lang w:val="es-ES_tradnl" w:eastAsia="es-ES_tradnl"/>
        </w:rPr>
        <w:lastRenderedPageBreak/>
        <w:t>impiden o lo dificultan</w:t>
      </w:r>
      <w:r w:rsidRPr="00DA147B">
        <w:rPr>
          <w:rStyle w:val="Refdenotaalpie"/>
          <w:rFonts w:ascii="Verdana" w:hAnsi="Verdana" w:cs="Arial"/>
          <w:color w:val="000000" w:themeColor="text1"/>
          <w:sz w:val="22"/>
          <w:szCs w:val="22"/>
          <w:lang w:val="es-ES_tradnl" w:eastAsia="es-ES_tradnl"/>
        </w:rPr>
        <w:footnoteReference w:id="2"/>
      </w:r>
      <w:r w:rsidRPr="00DA147B">
        <w:rPr>
          <w:rFonts w:ascii="Verdana" w:hAnsi="Verdana" w:cs="Arial"/>
          <w:color w:val="000000" w:themeColor="text1"/>
          <w:sz w:val="22"/>
          <w:szCs w:val="22"/>
          <w:lang w:val="es-ES_tradnl" w:eastAsia="es-ES_tradnl"/>
        </w:rPr>
        <w:t>. Las razones de aquella pueden ser de orden técnico, jurídico o económico. En la medida de lo posible, las entidades estatales, durante la fase de planeación debe precaver los riesgos que pueden afectar la ejecución normal del contrato, pero esto no elimina la probabilidad de que ocurran sucesos posteriores y extraordinarios que lleven a las partes a acordar la suspensión o que paralicen el contrato de facto, mientras se resuelven las situaciones que están incidiendo negativamente en el desarrollo del negocio o que lo están tornando imposible. Esto quiere decir que la suspensión puede ser acordada por las partes –como usualmente sucede y es lo más recomendable, siempre que existan motivos fundados para ello– o darse por la fuerza de los hechos, es decir, por la configuración de eventos externos e irresistibles que hagan imposible la ejecución del contrato durante un tiempo</w:t>
      </w:r>
      <w:r w:rsidRPr="00DA147B">
        <w:rPr>
          <w:rStyle w:val="Refdenotaalpie"/>
          <w:rFonts w:ascii="Verdana" w:hAnsi="Verdana" w:cs="Arial"/>
          <w:color w:val="000000" w:themeColor="text1"/>
          <w:sz w:val="22"/>
          <w:szCs w:val="22"/>
          <w:lang w:val="es-ES_tradnl" w:eastAsia="es-ES_tradnl"/>
        </w:rPr>
        <w:footnoteReference w:id="3"/>
      </w:r>
      <w:r w:rsidRPr="00DA147B">
        <w:rPr>
          <w:rFonts w:ascii="Verdana" w:hAnsi="Verdana" w:cs="Arial"/>
          <w:color w:val="000000" w:themeColor="text1"/>
          <w:sz w:val="22"/>
          <w:szCs w:val="22"/>
          <w:lang w:val="es-ES_tradnl" w:eastAsia="es-ES_tradnl"/>
        </w:rPr>
        <w:t>; es decir, por factores que constituyan razones de fuerza mayor o caso fortuito</w:t>
      </w:r>
      <w:r w:rsidRPr="00DA147B">
        <w:rPr>
          <w:rStyle w:val="Refdenotaalpie"/>
          <w:rFonts w:ascii="Verdana" w:hAnsi="Verdana" w:cs="Arial"/>
          <w:color w:val="000000" w:themeColor="text1"/>
          <w:sz w:val="22"/>
          <w:szCs w:val="22"/>
          <w:lang w:val="es-ES_tradnl" w:eastAsia="es-ES_tradnl"/>
        </w:rPr>
        <w:footnoteReference w:id="4"/>
      </w:r>
      <w:r w:rsidRPr="00DA147B">
        <w:rPr>
          <w:rFonts w:ascii="Verdana" w:hAnsi="Verdana" w:cs="Arial"/>
          <w:color w:val="000000" w:themeColor="text1"/>
          <w:sz w:val="22"/>
          <w:szCs w:val="22"/>
          <w:lang w:val="es-ES_tradnl" w:eastAsia="es-ES_tradnl"/>
        </w:rPr>
        <w:t>.</w:t>
      </w:r>
    </w:p>
    <w:p w14:paraId="141F0056" w14:textId="7916688C" w:rsidR="003C7E76" w:rsidRPr="00230DB6" w:rsidRDefault="003C7E76" w:rsidP="00230DB6">
      <w:pPr>
        <w:pStyle w:val="NormalWeb"/>
        <w:numPr>
          <w:ilvl w:val="0"/>
          <w:numId w:val="17"/>
        </w:numPr>
        <w:spacing w:before="0" w:beforeAutospacing="0" w:after="120" w:afterAutospacing="0" w:line="259" w:lineRule="auto"/>
        <w:jc w:val="both"/>
        <w:rPr>
          <w:rFonts w:ascii="Verdana" w:eastAsia="Calibri" w:hAnsi="Verdana" w:cs="Arial"/>
          <w:color w:val="000000" w:themeColor="text1"/>
          <w:sz w:val="22"/>
          <w:szCs w:val="22"/>
          <w:lang w:val="es-ES_tradnl" w:eastAsia="es-ES_tradnl"/>
        </w:rPr>
      </w:pPr>
      <w:r w:rsidRPr="00230DB6">
        <w:rPr>
          <w:rFonts w:ascii="Verdana" w:hAnsi="Verdana" w:cs="Arial"/>
          <w:color w:val="000000" w:themeColor="text1"/>
          <w:sz w:val="22"/>
          <w:szCs w:val="22"/>
          <w:lang w:val="es-ES_tradnl" w:eastAsia="es-ES_tradnl"/>
        </w:rPr>
        <w:t>Por lo tanto, aun cuando un contrato se suspenda, conserva vigencia, pues su plazo no ha vencido –precisamente uno de los efectos de la suspensión es que se detiene provisionalmente el cómputo del plazo</w:t>
      </w:r>
      <w:r w:rsidRPr="00230DB6">
        <w:rPr>
          <w:rStyle w:val="Refdenotaalpie"/>
          <w:rFonts w:ascii="Verdana" w:hAnsi="Verdana" w:cs="Arial"/>
          <w:color w:val="000000" w:themeColor="text1"/>
          <w:sz w:val="22"/>
          <w:szCs w:val="22"/>
          <w:lang w:val="es-ES_tradnl" w:eastAsia="es-ES_tradnl"/>
        </w:rPr>
        <w:footnoteReference w:id="5"/>
      </w:r>
      <w:r w:rsidRPr="00230DB6">
        <w:rPr>
          <w:rFonts w:ascii="Verdana" w:hAnsi="Verdana" w:cs="Arial"/>
          <w:color w:val="000000" w:themeColor="text1"/>
          <w:sz w:val="22"/>
          <w:szCs w:val="22"/>
          <w:lang w:val="es-ES_tradnl" w:eastAsia="es-ES_tradnl"/>
        </w:rPr>
        <w:t>– y además las obligaciones de las partes están pendientes de cumplimiento a cabalidad. Solo cuando los motivos que han dado lugar a la suspensión sean permanentes e irresistibles, lo que inicialmente fue solo dicha suspensión puede dar paso a la terminación, y en este evento el deudor no será responsable, salvo que las razones de la suspensión y futura terminación le sean imputables</w:t>
      </w:r>
      <w:r w:rsidRPr="00230DB6">
        <w:rPr>
          <w:rStyle w:val="Refdenotaalpie"/>
          <w:rFonts w:ascii="Verdana" w:hAnsi="Verdana" w:cs="Arial"/>
          <w:color w:val="000000" w:themeColor="text1"/>
          <w:sz w:val="22"/>
          <w:szCs w:val="22"/>
          <w:lang w:val="es-ES_tradnl" w:eastAsia="es-ES_tradnl"/>
        </w:rPr>
        <w:footnoteReference w:id="6"/>
      </w:r>
      <w:r w:rsidRPr="00230DB6">
        <w:rPr>
          <w:rFonts w:ascii="Verdana" w:hAnsi="Verdana" w:cs="Arial"/>
          <w:color w:val="000000" w:themeColor="text1"/>
          <w:sz w:val="22"/>
          <w:szCs w:val="22"/>
          <w:lang w:val="es-ES_tradnl" w:eastAsia="es-ES_tradnl"/>
        </w:rPr>
        <w:t xml:space="preserve">. Piénsese, por ejemplo, en el caso de un contrato de suministro respecto del cual el contratista le solicite a la entidad estatal la suspensión por la tardanza de uno de sus proveedores, y que luego se compruebe que la demora es atribuible a la falta de pago del contratista a dichos comerciantes, quienes por eso se niegan en adelante a seguirle vendiendo. Conductas como esta podrían hacer que la </w:t>
      </w:r>
      <w:r w:rsidRPr="00230DB6">
        <w:rPr>
          <w:rFonts w:ascii="Verdana" w:hAnsi="Verdana" w:cs="Arial"/>
          <w:color w:val="000000" w:themeColor="text1"/>
          <w:sz w:val="22"/>
          <w:szCs w:val="22"/>
          <w:lang w:val="es-ES_tradnl" w:eastAsia="es-ES_tradnl"/>
        </w:rPr>
        <w:lastRenderedPageBreak/>
        <w:t xml:space="preserve">suspensión sea permanente y que la entidad estatal se vea en la obligación de terminar el contrato para no afectar la prestación del servicio </w:t>
      </w:r>
      <w:r w:rsidRPr="00230DB6">
        <w:rPr>
          <w:rFonts w:ascii="Verdana" w:eastAsia="Calibri" w:hAnsi="Verdana" w:cs="Arial"/>
          <w:color w:val="000000" w:themeColor="text1"/>
          <w:sz w:val="22"/>
          <w:szCs w:val="22"/>
          <w:lang w:val="es-ES_tradnl" w:eastAsia="es-ES_tradnl"/>
        </w:rPr>
        <w:t>a su cargo, ni, en consecuencia, los fines del Estado</w:t>
      </w:r>
      <w:r w:rsidRPr="00230DB6">
        <w:rPr>
          <w:rFonts w:ascii="Verdana" w:eastAsia="Calibri" w:hAnsi="Verdana" w:cs="Arial"/>
          <w:color w:val="000000" w:themeColor="text1"/>
          <w:sz w:val="22"/>
          <w:szCs w:val="22"/>
          <w:lang w:val="es-ES_tradnl" w:eastAsia="es-ES_tradnl"/>
        </w:rPr>
        <w:footnoteReference w:id="7"/>
      </w:r>
      <w:r w:rsidRPr="00230DB6">
        <w:rPr>
          <w:rFonts w:ascii="Verdana" w:eastAsia="Calibri" w:hAnsi="Verdana" w:cs="Arial"/>
          <w:color w:val="000000" w:themeColor="text1"/>
          <w:sz w:val="22"/>
          <w:szCs w:val="22"/>
          <w:lang w:val="es-ES_tradnl" w:eastAsia="es-ES_tradnl"/>
        </w:rPr>
        <w:t>.</w:t>
      </w:r>
    </w:p>
    <w:p w14:paraId="380CCA73" w14:textId="77777777" w:rsidR="003C7E76" w:rsidRPr="00230DB6" w:rsidRDefault="003C7E76" w:rsidP="00230DB6">
      <w:pPr>
        <w:pStyle w:val="NormalWeb"/>
        <w:numPr>
          <w:ilvl w:val="0"/>
          <w:numId w:val="17"/>
        </w:numPr>
        <w:spacing w:before="0" w:beforeAutospacing="0" w:after="120" w:afterAutospacing="0" w:line="259" w:lineRule="auto"/>
        <w:jc w:val="both"/>
        <w:rPr>
          <w:rFonts w:ascii="Verdana" w:hAnsi="Verdana" w:cs="Arial"/>
          <w:color w:val="000000" w:themeColor="text1"/>
          <w:sz w:val="22"/>
          <w:szCs w:val="22"/>
          <w:lang w:val="es-ES_tradnl" w:eastAsia="es-ES_tradnl"/>
        </w:rPr>
      </w:pPr>
      <w:r w:rsidRPr="00230DB6">
        <w:rPr>
          <w:rFonts w:ascii="Verdana" w:eastAsia="Calibri" w:hAnsi="Verdana" w:cs="Arial"/>
          <w:color w:val="000000" w:themeColor="text1"/>
          <w:sz w:val="22"/>
          <w:szCs w:val="22"/>
          <w:lang w:val="es-ES_tradnl" w:eastAsia="es-ES_tradnl"/>
        </w:rPr>
        <w:t>Es</w:t>
      </w:r>
      <w:r w:rsidRPr="00230DB6">
        <w:rPr>
          <w:rFonts w:ascii="Verdana" w:hAnsi="Verdana" w:cs="Arial"/>
          <w:color w:val="000000" w:themeColor="text1"/>
          <w:sz w:val="22"/>
          <w:szCs w:val="22"/>
          <w:lang w:val="es-ES_tradnl" w:eastAsia="es-ES_tradnl"/>
        </w:rPr>
        <w:t xml:space="preserve"> entonces importante que en cada caso concreto se analicen las causas de la suspensión: si estas son ajenas a las partes o, por el contrario, se endilgan a estas o a una de ellas. Solo de tal manera podrá definirse la eventual responsabilidad contractual derivada del incumplimiento de las obligaciones. Es más, también puede suceder que solo se suspenda la ejecución del cumplimiento de algunas obligaciones del contrato, manteniéndose las demás en un desarrollo normal. Así se presenta, verbigracia, en el evento en que un contrato de obra tiene tres frentes de trabajo y se suspende uno –por, ejemplo, porque se detecta una sujeción material imprevista–, conservándose la ejecución de los otros dos. En estos casos no puede el contratista excusarse del cumplimiento de las obligaciones no suspendidas, con el pretexto de que otras lo están. Incluso, puede que se suspenda el contrato en cuanto a su obligación principal, es decir, frente a su objeto, pero que las partes queden con ciertos compromisos originarios del contrato o que se pactaron en el acta de suspensión, siendo muchas veces estos últimos, deberes que buscan lograr la reanudación del contrato. La desatención de tales obligaciones también podría generar responsabilidad contractual en la entidad estatal o en el contratista</w:t>
      </w:r>
      <w:r w:rsidRPr="00230DB6">
        <w:rPr>
          <w:rStyle w:val="Refdenotaalpie"/>
          <w:rFonts w:ascii="Verdana" w:hAnsi="Verdana" w:cs="Arial"/>
          <w:color w:val="000000" w:themeColor="text1"/>
          <w:sz w:val="22"/>
          <w:szCs w:val="22"/>
          <w:lang w:val="es-ES_tradnl" w:eastAsia="es-ES_tradnl"/>
        </w:rPr>
        <w:footnoteReference w:id="8"/>
      </w:r>
      <w:r w:rsidRPr="00230DB6">
        <w:rPr>
          <w:rFonts w:ascii="Verdana" w:hAnsi="Verdana" w:cs="Arial"/>
          <w:color w:val="000000" w:themeColor="text1"/>
          <w:sz w:val="22"/>
          <w:szCs w:val="22"/>
          <w:lang w:val="es-ES_tradnl" w:eastAsia="es-ES_tradnl"/>
        </w:rPr>
        <w:t>.</w:t>
      </w:r>
    </w:p>
    <w:p w14:paraId="73E1B0A4" w14:textId="77777777" w:rsidR="003C7E76" w:rsidRPr="00230DB6" w:rsidRDefault="003C7E76" w:rsidP="00230DB6">
      <w:pPr>
        <w:pStyle w:val="NormalWeb"/>
        <w:numPr>
          <w:ilvl w:val="0"/>
          <w:numId w:val="17"/>
        </w:numPr>
        <w:spacing w:before="0" w:beforeAutospacing="0" w:after="120" w:afterAutospacing="0" w:line="259" w:lineRule="auto"/>
        <w:jc w:val="both"/>
        <w:rPr>
          <w:rFonts w:ascii="Verdana" w:hAnsi="Verdana" w:cs="Arial"/>
          <w:color w:val="000000" w:themeColor="text1"/>
          <w:sz w:val="22"/>
          <w:szCs w:val="22"/>
          <w:lang w:val="es-ES_tradnl" w:eastAsia="es-ES_tradnl"/>
        </w:rPr>
      </w:pPr>
      <w:r w:rsidRPr="641880B5">
        <w:rPr>
          <w:rFonts w:ascii="Verdana" w:hAnsi="Verdana" w:cs="Arial"/>
          <w:color w:val="000000" w:themeColor="text1"/>
          <w:sz w:val="22"/>
          <w:szCs w:val="22"/>
          <w:lang w:val="es-ES" w:eastAsia="es-ES"/>
        </w:rPr>
        <w:t xml:space="preserve">Igualmente, el cese temporal de la ejecución del contrato no impide que la entidad surta el procedimiento administrativo sancionatorio, pues lo uno no va ligado a lo otro. Circunstancia distinta es que la razón que pretende aducir la entidad estatal para iniciar dicho procedimiento sea el supuesto “incumplimiento” de las obligaciones, que se da durante la suspensión, sin que exista responsabilidad del contratista, pues tales obligaciones no podían cumplirse en este período. En este caso el procedimiento administrativo sancionatorio no es procedente, pero si aún así la entidad estatal lo adelanta, el contratista puede esgrimir en sus descargos los motivos que le han hecho imposible el cumplimiento de las </w:t>
      </w:r>
      <w:r w:rsidRPr="641880B5">
        <w:rPr>
          <w:rFonts w:ascii="Verdana" w:hAnsi="Verdana" w:cs="Arial"/>
          <w:color w:val="000000" w:themeColor="text1"/>
          <w:sz w:val="22"/>
          <w:szCs w:val="22"/>
          <w:lang w:val="es-ES" w:eastAsia="es-ES"/>
        </w:rPr>
        <w:lastRenderedPageBreak/>
        <w:t>obligaciones y estas deben ser valoradas por la entidad contratante para no imponer la sanción. Sin embargo, puede también suceder que el procedimiento administrativo sancionatorio se inicie mientras el contrato está suspendido, pero para determinar, y si es del caso, decretar el incumplimiento, así como la sanción correspondiente, derivado de obligaciones no observadas por el contratista antes de la suspensión. Claramente, en este caso la citación a la audiencia es válida, pues las razones de la suspensión son ajenas a los hechos que motivan la actuación sancionatoria, ya que el contratista sí estaba en capacidad de cumplir y no lo hizo; entonces no puede excusarse en la suspensión.</w:t>
      </w:r>
    </w:p>
    <w:p w14:paraId="4714CF79" w14:textId="77777777" w:rsidR="003C7E76" w:rsidRPr="00230DB6" w:rsidRDefault="003C7E76" w:rsidP="00230DB6">
      <w:pPr>
        <w:pStyle w:val="NormalWeb"/>
        <w:numPr>
          <w:ilvl w:val="0"/>
          <w:numId w:val="17"/>
        </w:numPr>
        <w:spacing w:before="0" w:beforeAutospacing="0" w:after="120" w:afterAutospacing="0" w:line="259" w:lineRule="auto"/>
        <w:jc w:val="both"/>
        <w:rPr>
          <w:rFonts w:ascii="Verdana" w:eastAsia="Calibri" w:hAnsi="Verdana" w:cs="Arial"/>
          <w:color w:val="000000" w:themeColor="text1"/>
          <w:sz w:val="22"/>
          <w:szCs w:val="22"/>
          <w:lang w:val="es-ES_tradnl" w:eastAsia="es-ES_tradnl"/>
        </w:rPr>
      </w:pPr>
      <w:r w:rsidRPr="00230DB6">
        <w:rPr>
          <w:rFonts w:ascii="Verdana" w:eastAsia="Calibri" w:hAnsi="Verdana" w:cs="Arial"/>
          <w:sz w:val="22"/>
          <w:szCs w:val="22"/>
        </w:rPr>
        <w:t>Ahora Bien, las disposiciones legales que regulan la etapa de liquidación de los contratos estatales son el artículo 60 de la Ley 80 de 1993, modificado por el artículo 217 del Decreto 019 de 2012, y el artículo 11 de la Ley 1150 de 2007.</w:t>
      </w:r>
    </w:p>
    <w:p w14:paraId="146CC62C" w14:textId="5A863C39" w:rsidR="003C7E76" w:rsidRPr="006E34EA" w:rsidRDefault="003C7E76" w:rsidP="006E34EA">
      <w:pPr>
        <w:pStyle w:val="NormalWeb"/>
        <w:numPr>
          <w:ilvl w:val="0"/>
          <w:numId w:val="17"/>
        </w:numPr>
        <w:spacing w:before="0" w:beforeAutospacing="0" w:after="120" w:afterAutospacing="0" w:line="259" w:lineRule="auto"/>
        <w:jc w:val="both"/>
        <w:rPr>
          <w:rFonts w:ascii="Verdana" w:eastAsia="Calibri" w:hAnsi="Verdana" w:cs="Arial"/>
          <w:color w:val="000000" w:themeColor="text1"/>
          <w:sz w:val="22"/>
          <w:szCs w:val="22"/>
          <w:lang w:val="es-ES_tradnl" w:eastAsia="es-ES_tradnl"/>
        </w:rPr>
      </w:pPr>
      <w:r w:rsidRPr="00230DB6">
        <w:rPr>
          <w:rFonts w:ascii="Verdana" w:eastAsia="Calibri" w:hAnsi="Verdana" w:cs="Arial"/>
          <w:sz w:val="22"/>
          <w:szCs w:val="22"/>
        </w:rPr>
        <w:t>El primero de estos artículos se refiere al alcance sustantivo de la liquidación y los contratos en que procede, mientras que el segundo contiene reglas procedimentales para su realización. En relación con el artículo 60 referido, la doctrina ha indicado que:</w:t>
      </w:r>
    </w:p>
    <w:p w14:paraId="601772B1" w14:textId="25E2EED3" w:rsidR="003C7E76" w:rsidRPr="00C53536" w:rsidRDefault="003C7E76" w:rsidP="0036074B">
      <w:pPr>
        <w:pStyle w:val="NormalWeb"/>
        <w:spacing w:before="0" w:beforeAutospacing="0" w:after="120" w:afterAutospacing="0" w:line="259" w:lineRule="auto"/>
        <w:ind w:left="1134" w:right="333"/>
        <w:jc w:val="both"/>
        <w:rPr>
          <w:rFonts w:ascii="Verdana" w:eastAsia="Calibri" w:hAnsi="Verdana" w:cs="Arial"/>
          <w:sz w:val="20"/>
          <w:szCs w:val="20"/>
        </w:rPr>
      </w:pPr>
      <w:r w:rsidRPr="00FE7B0A">
        <w:rPr>
          <w:rFonts w:ascii="Verdana" w:eastAsia="Calibri" w:hAnsi="Verdana" w:cs="Arial"/>
          <w:sz w:val="20"/>
          <w:szCs w:val="20"/>
        </w:rPr>
        <w:t>“La ley 80 de 1993 […]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contenido de la misma debía reflejar “los acuerdos, conciliaciones y transacciones a que llegaren las partes para poner fin a las divergencias presentadas y poder declararse a paz y salvo</w:t>
      </w:r>
      <w:r w:rsidRPr="00C53536">
        <w:rPr>
          <w:rFonts w:ascii="Verdana" w:eastAsia="Calibri" w:hAnsi="Verdana" w:cs="Arial"/>
          <w:sz w:val="20"/>
          <w:szCs w:val="20"/>
        </w:rPr>
        <w:footnoteReference w:id="9"/>
      </w:r>
      <w:r w:rsidRPr="00FE7B0A">
        <w:rPr>
          <w:rFonts w:ascii="Verdana" w:eastAsia="Calibri" w:hAnsi="Verdana" w:cs="Arial"/>
          <w:sz w:val="20"/>
          <w:szCs w:val="20"/>
        </w:rPr>
        <w:t>.”</w:t>
      </w:r>
    </w:p>
    <w:p w14:paraId="23CA6F5E" w14:textId="1495654C" w:rsidR="003C7E76" w:rsidRPr="006E34EA" w:rsidRDefault="003C7E76" w:rsidP="006E34EA">
      <w:pPr>
        <w:pStyle w:val="NormalWeb"/>
        <w:numPr>
          <w:ilvl w:val="0"/>
          <w:numId w:val="17"/>
        </w:numPr>
        <w:spacing w:before="0" w:beforeAutospacing="0" w:after="120" w:afterAutospacing="0" w:line="259" w:lineRule="auto"/>
        <w:jc w:val="both"/>
        <w:rPr>
          <w:rFonts w:ascii="Verdana" w:eastAsia="Calibri" w:hAnsi="Verdana" w:cs="Arial"/>
          <w:sz w:val="22"/>
          <w:szCs w:val="22"/>
        </w:rPr>
      </w:pPr>
      <w:r w:rsidRPr="00C53536">
        <w:rPr>
          <w:rFonts w:ascii="Verdana" w:eastAsia="Calibri" w:hAnsi="Verdana" w:cs="Arial"/>
          <w:sz w:val="22"/>
          <w:szCs w:val="22"/>
        </w:rPr>
        <w:t>El artículo 60 de la Ley 80 de 1993, los</w:t>
      </w:r>
      <w:r w:rsidRPr="007B7B10">
        <w:rPr>
          <w:rFonts w:ascii="Verdana" w:eastAsia="Calibri" w:hAnsi="Verdana" w:cs="Arial"/>
        </w:rPr>
        <w:t xml:space="preserve">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w:t>
      </w:r>
      <w:r w:rsidRPr="007B7B10">
        <w:rPr>
          <w:rFonts w:ascii="Verdana" w:eastAsia="Calibri" w:hAnsi="Verdana" w:cs="Arial"/>
        </w:rPr>
        <w:lastRenderedPageBreak/>
        <w:t>arreglo a criterios tales como la naturaleza, objeto y plazo del contrato</w:t>
      </w:r>
      <w:r w:rsidRPr="007B7B10">
        <w:rPr>
          <w:rFonts w:ascii="Verdana" w:eastAsia="Calibri" w:hAnsi="Verdana" w:cs="Arial"/>
        </w:rPr>
        <w:footnoteReference w:id="10"/>
      </w:r>
      <w:r w:rsidRPr="007B7B10">
        <w:rPr>
          <w:rFonts w:ascii="Verdana" w:eastAsia="Calibri" w:hAnsi="Verdana" w:cs="Arial"/>
        </w:rPr>
        <w:t xml:space="preserve">, así como la probabilidad de que puedan surgir diferencias durante la ejecución del contrato; sin perjuicio de que, como se indicó, todos los contratos estatales de tracto sucesivo o aquellos cuya ejecución se prolongue en el tiempo siempre deban liquidarse, </w:t>
      </w:r>
      <w:r w:rsidRPr="006E34EA">
        <w:rPr>
          <w:rFonts w:ascii="Verdana" w:eastAsia="Calibri" w:hAnsi="Verdana" w:cs="Arial"/>
          <w:sz w:val="22"/>
          <w:szCs w:val="22"/>
        </w:rPr>
        <w:t>convirtiéndose en estos contratos en una cláusula de la naturaleza, conforme a la clasificación prevista en el Código Civil.</w:t>
      </w:r>
    </w:p>
    <w:p w14:paraId="50264EEE" w14:textId="3A367F88" w:rsidR="003C7E76" w:rsidRPr="00C31762" w:rsidRDefault="003C7E76" w:rsidP="006E34EA">
      <w:pPr>
        <w:pStyle w:val="NormalWeb"/>
        <w:numPr>
          <w:ilvl w:val="0"/>
          <w:numId w:val="17"/>
        </w:numPr>
        <w:spacing w:before="0" w:beforeAutospacing="0" w:after="120" w:afterAutospacing="0" w:line="259" w:lineRule="auto"/>
        <w:jc w:val="both"/>
        <w:rPr>
          <w:rFonts w:ascii="Verdana" w:eastAsia="Calibri" w:hAnsi="Verdana" w:cs="Arial"/>
          <w:sz w:val="22"/>
          <w:szCs w:val="22"/>
        </w:rPr>
      </w:pPr>
      <w:r w:rsidRPr="006E34EA">
        <w:rPr>
          <w:rFonts w:ascii="Verdana" w:eastAsia="Calibri" w:hAnsi="Verdana" w:cs="Arial"/>
          <w:sz w:val="22"/>
          <w:szCs w:val="22"/>
        </w:rPr>
        <w:t>El artículo 11 de la Ley 1150 de 2007</w:t>
      </w:r>
      <w:r w:rsidRPr="006E34EA">
        <w:rPr>
          <w:rFonts w:ascii="Verdana" w:eastAsia="Calibri" w:hAnsi="Verdana" w:cs="Arial"/>
          <w:sz w:val="22"/>
          <w:szCs w:val="22"/>
        </w:rPr>
        <w:footnoteReference w:id="11"/>
      </w:r>
      <w:r w:rsidRPr="006E34EA">
        <w:rPr>
          <w:rFonts w:ascii="Verdana" w:eastAsia="Calibri" w:hAnsi="Verdana" w:cs="Arial"/>
          <w:sz w:val="22"/>
          <w:szCs w:val="22"/>
        </w:rPr>
        <w:t xml:space="preserve"> contiene las reglas de tipo procedimental para liquidar los contratos estatales, las cuales se pasan a explicar. En primer lugar, 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w:t>
      </w:r>
      <w:r w:rsidRPr="00C31762">
        <w:rPr>
          <w:rFonts w:ascii="Verdana" w:eastAsia="Calibri" w:hAnsi="Verdana" w:cs="Arial"/>
          <w:sz w:val="22"/>
          <w:szCs w:val="22"/>
        </w:rPr>
        <w:t xml:space="preserve">meses contados desde: i) el vencimiento del plazo previsto para la ejecución del contrato; ii) la expedición del acto administrativo que ordene la terminación del contrato; o, iii) la fecha del acuerdo que disponga la terminación del contrato. </w:t>
      </w:r>
    </w:p>
    <w:p w14:paraId="1738CACD" w14:textId="611ADE66" w:rsidR="003C7E76" w:rsidRPr="00C31762" w:rsidRDefault="003C7E76" w:rsidP="006E34EA">
      <w:pPr>
        <w:pStyle w:val="NormalWeb"/>
        <w:numPr>
          <w:ilvl w:val="0"/>
          <w:numId w:val="17"/>
        </w:numPr>
        <w:spacing w:before="0" w:beforeAutospacing="0" w:after="120" w:afterAutospacing="0" w:line="259" w:lineRule="auto"/>
        <w:jc w:val="both"/>
        <w:rPr>
          <w:rFonts w:ascii="Verdana" w:eastAsia="Calibri" w:hAnsi="Verdana" w:cs="Arial"/>
          <w:sz w:val="22"/>
          <w:szCs w:val="22"/>
        </w:rPr>
      </w:pPr>
      <w:r w:rsidRPr="00C31762">
        <w:rPr>
          <w:rFonts w:ascii="Verdana" w:eastAsia="Calibri" w:hAnsi="Verdana" w:cs="Arial"/>
          <w:sz w:val="22"/>
          <w:szCs w:val="22"/>
        </w:rPr>
        <w:t>El mismo artículo 11 de la Ley 1150 de 2007 señala que la liquidación de mutuo acuerdo deberá realizar dentro del plazo previsto en “los pliegos de condiciones o sus equivalentes</w:t>
      </w:r>
      <w:r w:rsidRPr="00C31762">
        <w:rPr>
          <w:rFonts w:ascii="Verdana" w:eastAsia="Calibri" w:hAnsi="Verdana" w:cs="Arial"/>
          <w:sz w:val="22"/>
          <w:szCs w:val="22"/>
          <w:lang w:val="es-MX"/>
        </w:rPr>
        <w:t xml:space="preserve">, o dentro del que acuerden las partes para el efecto”. Para dilucidar a qué se refiere la norma con “equivalentes” resulta necesario tener presente que el pliego de condiciones es un documento contentivo de las reglas aplicables a un determinado proceso de selección, que “materializa los principios de planeación contractual y de trasparencia, comoquiera que su adecuada formulación permite o garantiza la selección objetiva del contratista de acuerdo con los parámetros de calificación correspondientes para cada tipo de procedimiento [y que] constituye la ley tanto del procedimiento administrativo de selección del contratista, como del contrato a </w:t>
      </w:r>
      <w:r w:rsidRPr="00C31762">
        <w:rPr>
          <w:rFonts w:ascii="Verdana" w:eastAsia="Calibri" w:hAnsi="Verdana" w:cs="Arial"/>
          <w:sz w:val="22"/>
          <w:szCs w:val="22"/>
          <w:lang w:val="es-MX"/>
        </w:rPr>
        <w:lastRenderedPageBreak/>
        <w:t>celebrar”</w:t>
      </w:r>
      <w:r w:rsidRPr="00C31762">
        <w:rPr>
          <w:rFonts w:ascii="Verdana" w:eastAsia="Calibri" w:hAnsi="Verdana" w:cs="Arial"/>
          <w:sz w:val="22"/>
          <w:szCs w:val="22"/>
          <w:vertAlign w:val="superscript"/>
          <w:lang w:val="es-MX"/>
        </w:rPr>
        <w:footnoteReference w:id="12"/>
      </w:r>
      <w:r w:rsidRPr="00C31762">
        <w:rPr>
          <w:rFonts w:ascii="Verdana" w:eastAsia="Calibri" w:hAnsi="Verdana" w:cs="Arial"/>
          <w:sz w:val="22"/>
          <w:szCs w:val="22"/>
          <w:lang w:val="es-MX"/>
        </w:rPr>
        <w:t>. A partir de tales características debe determinarse la equivalencia de un documento con un pliego de condiciones, la cual se puede ejemplificar claramente con la invitación a participar en los procesos de mínima cuantía</w:t>
      </w:r>
      <w:r w:rsidRPr="00C31762">
        <w:rPr>
          <w:rFonts w:ascii="Verdana" w:eastAsia="Calibri" w:hAnsi="Verdana" w:cs="Arial"/>
          <w:sz w:val="22"/>
          <w:szCs w:val="22"/>
          <w:lang w:val="es-MX"/>
        </w:rPr>
        <w:footnoteReference w:id="13"/>
      </w:r>
      <w:r w:rsidRPr="00C31762">
        <w:rPr>
          <w:rFonts w:ascii="Verdana" w:eastAsia="Calibri" w:hAnsi="Verdana" w:cs="Arial"/>
          <w:sz w:val="22"/>
          <w:szCs w:val="22"/>
          <w:lang w:val="es-MX"/>
        </w:rPr>
        <w:t xml:space="preserve">, documento dentro del cual la entidad contratante debe fijar las reglas aplicables al procedimiento de selección, </w:t>
      </w:r>
      <w:r w:rsidRPr="00C31762">
        <w:rPr>
          <w:rFonts w:ascii="Verdana" w:eastAsia="Calibri" w:hAnsi="Verdana" w:cs="Arial"/>
          <w:sz w:val="22"/>
          <w:szCs w:val="22"/>
        </w:rPr>
        <w:t>cumpliendo con la función del pliego de condiciones. En tal sentido, es un documento ¨equivalente” del mismo en los términos del artículo 11 Ibídem, dentro del cual es viable establecer el plazo para la liquidación de mutuo acuerdo.</w:t>
      </w:r>
    </w:p>
    <w:p w14:paraId="1C52A178" w14:textId="77777777" w:rsidR="003C7E76" w:rsidRPr="00C31762" w:rsidRDefault="003C7E76" w:rsidP="006E34EA">
      <w:pPr>
        <w:pStyle w:val="NormalWeb"/>
        <w:numPr>
          <w:ilvl w:val="0"/>
          <w:numId w:val="17"/>
        </w:numPr>
        <w:spacing w:before="0" w:beforeAutospacing="0" w:after="120" w:afterAutospacing="0" w:line="259" w:lineRule="auto"/>
        <w:jc w:val="both"/>
        <w:rPr>
          <w:rFonts w:ascii="Verdana" w:eastAsia="Calibri" w:hAnsi="Verdana" w:cs="Arial"/>
          <w:sz w:val="22"/>
          <w:szCs w:val="22"/>
          <w:lang w:val="es-MX"/>
        </w:rPr>
      </w:pPr>
      <w:r w:rsidRPr="00C31762">
        <w:rPr>
          <w:rFonts w:ascii="Verdana" w:eastAsia="Calibri" w:hAnsi="Verdana" w:cs="Arial"/>
          <w:sz w:val="22"/>
          <w:szCs w:val="22"/>
        </w:rPr>
        <w:t>El término de 4 meses previsto en el artículo 11 de la Ley 1150 de 2007, dado su carácter supletivo, solo resulta aplicable ante la ausencia de regulación de este en</w:t>
      </w:r>
      <w:r w:rsidRPr="00C31762">
        <w:rPr>
          <w:rFonts w:ascii="Verdana" w:eastAsia="Calibri" w:hAnsi="Verdana" w:cs="Arial"/>
          <w:sz w:val="22"/>
          <w:szCs w:val="22"/>
          <w:lang w:val="es-MX"/>
        </w:rPr>
        <w:t xml:space="preserve"> el pliego de condiciones –documento equivalente– o acuerdo entre las partes en torno al plazo de liquidación bilateral. Por lo tanto, las partes, en desarrollo de la autonomía de la voluntad que les asiste, están habilitadas para pactar un término diferente, el cual puede ser inferior o incluso superior al plazo supletivo, ante la ausencia de una prohibición normativa al respecto, y ante la existencia, en cambio, de habilitación legal. Sobre este punto, no debe perderse de vista que las actuaciones contractuales regidas por el Estatuto General de Contratación de la Administración pública se encuentran sometidas a los principios de la función administrativa</w:t>
      </w:r>
      <w:r w:rsidRPr="00C31762">
        <w:rPr>
          <w:rFonts w:ascii="Verdana" w:eastAsia="Calibri" w:hAnsi="Verdana" w:cs="Arial"/>
          <w:sz w:val="22"/>
          <w:szCs w:val="22"/>
          <w:lang w:val="es-MX"/>
        </w:rPr>
        <w:footnoteReference w:id="14"/>
      </w:r>
      <w:r w:rsidRPr="00C31762">
        <w:rPr>
          <w:rFonts w:ascii="Verdana" w:eastAsia="Calibri" w:hAnsi="Verdana" w:cs="Arial"/>
          <w:sz w:val="22"/>
          <w:szCs w:val="22"/>
          <w:lang w:val="es-MX"/>
        </w:rPr>
        <w:t>, lo cual implica que las mismas se desarrollen en procura de la economía y la celeridad</w:t>
      </w:r>
      <w:r w:rsidRPr="00C31762">
        <w:rPr>
          <w:rFonts w:ascii="Verdana" w:eastAsia="Calibri" w:hAnsi="Verdana" w:cs="Arial"/>
          <w:sz w:val="22"/>
          <w:szCs w:val="22"/>
          <w:lang w:val="es-MX"/>
        </w:rPr>
        <w:footnoteReference w:id="15"/>
      </w:r>
      <w:r w:rsidRPr="00C31762">
        <w:rPr>
          <w:rFonts w:ascii="Verdana" w:eastAsia="Calibri" w:hAnsi="Verdana" w:cs="Arial"/>
          <w:sz w:val="22"/>
          <w:szCs w:val="22"/>
          <w:lang w:val="es-MX"/>
        </w:rPr>
        <w:t xml:space="preserve">. Esto significa que, en ejercicio de la facultad que les asiste para fijar el plazo para la liquidación bilateral, </w:t>
      </w:r>
      <w:r w:rsidRPr="00C31762">
        <w:rPr>
          <w:rFonts w:ascii="Verdana" w:eastAsia="Calibri" w:hAnsi="Verdana" w:cs="Arial"/>
          <w:sz w:val="22"/>
          <w:szCs w:val="22"/>
          <w:lang w:val="es-MX"/>
        </w:rPr>
        <w:lastRenderedPageBreak/>
        <w:t>las partes deben actuar en garantía de estos principios, por lo que el término que se acuerde debe ser fijado de manera razonable.</w:t>
      </w:r>
    </w:p>
    <w:p w14:paraId="2ADC04D5" w14:textId="067A4917" w:rsidR="003C7E76" w:rsidRPr="00C31762" w:rsidRDefault="003C7E76" w:rsidP="006E34EA">
      <w:pPr>
        <w:pStyle w:val="NormalWeb"/>
        <w:numPr>
          <w:ilvl w:val="0"/>
          <w:numId w:val="17"/>
        </w:numPr>
        <w:spacing w:before="0" w:beforeAutospacing="0" w:after="120" w:afterAutospacing="0" w:line="259" w:lineRule="auto"/>
        <w:jc w:val="both"/>
        <w:rPr>
          <w:rFonts w:ascii="Verdana" w:eastAsia="Calibri" w:hAnsi="Verdana" w:cs="Arial"/>
          <w:sz w:val="22"/>
          <w:szCs w:val="22"/>
          <w:lang w:val="es-MX"/>
        </w:rPr>
      </w:pPr>
      <w:r w:rsidRPr="00C31762">
        <w:rPr>
          <w:rFonts w:ascii="Verdana" w:hAnsi="Verdana" w:cs="Arial"/>
          <w:color w:val="000000" w:themeColor="text1"/>
          <w:sz w:val="22"/>
          <w:szCs w:val="22"/>
        </w:rPr>
        <w:t>Finalmente, la jurisprudencia de la Sección Tercera del Consejo de Estado, en torno a la liquidación bilateral por fuera del plazo para la interposición del medio de control de controversias contractuales, lo siguiente:</w:t>
      </w:r>
    </w:p>
    <w:p w14:paraId="55B219F9" w14:textId="77777777" w:rsidR="003C7E76" w:rsidRPr="00E636D9" w:rsidRDefault="003C7E76" w:rsidP="003C7E76">
      <w:pPr>
        <w:pStyle w:val="Prrafodelista"/>
        <w:spacing w:line="276" w:lineRule="auto"/>
        <w:jc w:val="both"/>
        <w:rPr>
          <w:rFonts w:ascii="Verdana" w:hAnsi="Verdana" w:cs="Arial"/>
          <w:color w:val="000000" w:themeColor="text1"/>
        </w:rPr>
      </w:pPr>
    </w:p>
    <w:p w14:paraId="2C9B40F2" w14:textId="77777777" w:rsidR="003C7E76" w:rsidRPr="0096393D" w:rsidRDefault="003C7E76" w:rsidP="003C7E76">
      <w:pPr>
        <w:pStyle w:val="Prrafodelista"/>
        <w:spacing w:after="0" w:line="240" w:lineRule="auto"/>
        <w:ind w:left="1134" w:right="357"/>
        <w:jc w:val="both"/>
        <w:rPr>
          <w:rFonts w:ascii="Verdana" w:eastAsia="Calibri" w:hAnsi="Verdana" w:cs="Arial"/>
          <w:sz w:val="20"/>
          <w:szCs w:val="20"/>
        </w:rPr>
      </w:pPr>
      <w:r w:rsidRPr="00E636D9">
        <w:rPr>
          <w:rFonts w:ascii="Verdana" w:eastAsia="Calibri" w:hAnsi="Verdana" w:cs="Arial"/>
          <w:sz w:val="20"/>
          <w:szCs w:val="20"/>
        </w:rPr>
        <w:t>"Si las partes suscriben la liquidación bilateral del contrato cuando expiró el término de caducidad del medio de control de controversias contractuales, el negocio jurídico queda viciado de nulidad absoluta, por falta de competencia de la entidad, pues este elemento del acto jurídico no es requisito exclusivo de los actos administrativos, sino que se exige para cualquier actuación de las autoridades públicas, de conformidad con los artículos 6 y 121 de la Constitución Política. En tal supuesto, la liquidación bilateral extemporánea también se encuentra viciada de nulidad, por objeto ilícito del negocio, por contrariar la competencia temporal prevista en el artículo 11 de la Ley 1150 de 2007 y por desconocimiento de las normas de orden público que establecen el término de caducidad del medio de control de controversias contractuales (art. 164, Ley 1437 de 2011), pues la liquidación por fuera de estos plazos implicaría revivir el cómputo de la caducidad."</w:t>
      </w:r>
    </w:p>
    <w:p w14:paraId="5B17556F" w14:textId="77777777" w:rsidR="003C7E76" w:rsidRPr="00E636D9" w:rsidRDefault="003C7E76" w:rsidP="003C7E76">
      <w:pPr>
        <w:pStyle w:val="Prrafodelista"/>
        <w:spacing w:after="0" w:line="240" w:lineRule="auto"/>
        <w:ind w:left="1134" w:right="357"/>
        <w:jc w:val="both"/>
        <w:rPr>
          <w:rFonts w:ascii="Verdana" w:hAnsi="Verdana" w:cs="Arial"/>
          <w:color w:val="000000" w:themeColor="text1"/>
        </w:rPr>
      </w:pPr>
    </w:p>
    <w:p w14:paraId="02DBBC8D" w14:textId="096C2E2A" w:rsidR="003C7E76" w:rsidRPr="00CD12AF" w:rsidRDefault="003C7E76" w:rsidP="00C31762">
      <w:pPr>
        <w:pStyle w:val="NormalWeb"/>
        <w:numPr>
          <w:ilvl w:val="0"/>
          <w:numId w:val="17"/>
        </w:numPr>
        <w:spacing w:before="0" w:beforeAutospacing="0" w:after="120" w:afterAutospacing="0" w:line="259" w:lineRule="auto"/>
        <w:jc w:val="both"/>
        <w:rPr>
          <w:rFonts w:ascii="Verdana" w:eastAsia="Calibri" w:hAnsi="Verdana" w:cs="Arial"/>
          <w:sz w:val="22"/>
          <w:szCs w:val="22"/>
          <w:lang w:val="es-MX"/>
        </w:rPr>
      </w:pPr>
      <w:r w:rsidRPr="00CD12AF">
        <w:rPr>
          <w:rFonts w:ascii="Verdana" w:hAnsi="Verdana" w:cs="Arial"/>
          <w:color w:val="000000" w:themeColor="text1"/>
          <w:sz w:val="22"/>
          <w:szCs w:val="22"/>
        </w:rPr>
        <w:t xml:space="preserve">Conforme al planteamiento que hasta el momento ha seguido la Sala acerca del principio de legalidad y de las reglas propias de la competencia temporal, y teniendo en cuenta las normas aplicables y las posiciones jurisprudenciales, claramente coincidentes, reiteradas y pacíficas, se concluye que solo resulta posible liquidar el contrato de forma bilateral o unilateral dentro del plazo máximo adicional de dos años. previsto para la interposición </w:t>
      </w:r>
      <w:r w:rsidRPr="00CD12AF">
        <w:rPr>
          <w:rFonts w:ascii="Verdana" w:eastAsia="Calibri" w:hAnsi="Verdana" w:cs="Arial"/>
          <w:sz w:val="22"/>
          <w:szCs w:val="22"/>
          <w:lang w:val="es-MX"/>
        </w:rPr>
        <w:t>del medio de control de controversias contractuales, el cual se deberá contar a partir de la expiración de los plazos iniciales para la liquidación bilateral o unilateral del contrato.</w:t>
      </w:r>
    </w:p>
    <w:p w14:paraId="36031E4F" w14:textId="473AA0AB" w:rsidR="003C7E76" w:rsidRPr="00CD12AF" w:rsidRDefault="003C7E76" w:rsidP="00C31762">
      <w:pPr>
        <w:pStyle w:val="NormalWeb"/>
        <w:numPr>
          <w:ilvl w:val="0"/>
          <w:numId w:val="17"/>
        </w:numPr>
        <w:spacing w:before="0" w:beforeAutospacing="0" w:after="120" w:afterAutospacing="0" w:line="259" w:lineRule="auto"/>
        <w:jc w:val="both"/>
        <w:rPr>
          <w:rFonts w:ascii="Verdana" w:eastAsia="Calibri" w:hAnsi="Verdana" w:cs="Arial"/>
          <w:sz w:val="22"/>
          <w:szCs w:val="22"/>
          <w:lang w:val="es-MX"/>
        </w:rPr>
      </w:pPr>
      <w:r w:rsidRPr="00CD12AF">
        <w:rPr>
          <w:rFonts w:ascii="Verdana" w:eastAsia="Calibri" w:hAnsi="Verdana" w:cs="Arial"/>
          <w:sz w:val="22"/>
          <w:szCs w:val="22"/>
          <w:lang w:val="es-MX"/>
        </w:rPr>
        <w:t>La liquidación extemporánea en estos supuestos, que resultan en esencia ilegales por motivos similares, implica reabrir los plazos ya precluidos, con grave detrimento para la seguridad jurídica y con total desconocimiento de que la caducidad es una institución de orden público y, por ende, que no es de libre disposición o negociación por los sujetos.</w:t>
      </w:r>
    </w:p>
    <w:p w14:paraId="30AE9112" w14:textId="77777777" w:rsidR="003C7E76" w:rsidRPr="00CD12AF" w:rsidRDefault="003C7E76" w:rsidP="00C31762">
      <w:pPr>
        <w:pStyle w:val="NormalWeb"/>
        <w:numPr>
          <w:ilvl w:val="0"/>
          <w:numId w:val="17"/>
        </w:numPr>
        <w:spacing w:before="0" w:beforeAutospacing="0" w:after="120" w:afterAutospacing="0" w:line="259" w:lineRule="auto"/>
        <w:jc w:val="both"/>
        <w:rPr>
          <w:rFonts w:ascii="Verdana" w:hAnsi="Verdana"/>
          <w:color w:val="333333"/>
          <w:sz w:val="22"/>
          <w:szCs w:val="22"/>
        </w:rPr>
      </w:pPr>
      <w:r w:rsidRPr="00CD12AF">
        <w:rPr>
          <w:rFonts w:ascii="Verdana" w:eastAsia="Calibri" w:hAnsi="Verdana" w:cs="Arial"/>
          <w:sz w:val="22"/>
          <w:szCs w:val="22"/>
          <w:lang w:val="es-MX"/>
        </w:rPr>
        <w:t>Por lo tanto, la competencia con la cual está investida una entidad para liquidar de forma unilateral o intervenir en la liquidación bilateral de un contrato estatal, se pierde cuando ha expirado el término de caducidad para la presentación de</w:t>
      </w:r>
      <w:r w:rsidRPr="00CD12AF">
        <w:rPr>
          <w:rFonts w:ascii="Verdana" w:hAnsi="Verdana"/>
          <w:color w:val="333333"/>
          <w:sz w:val="22"/>
          <w:szCs w:val="22"/>
        </w:rPr>
        <w:t xml:space="preserve"> la demanda en ejercicio del medio de control de </w:t>
      </w:r>
      <w:r w:rsidRPr="00CD12AF">
        <w:rPr>
          <w:rFonts w:ascii="Verdana" w:hAnsi="Verdana"/>
          <w:color w:val="333333"/>
          <w:sz w:val="22"/>
          <w:szCs w:val="22"/>
        </w:rPr>
        <w:lastRenderedPageBreak/>
        <w:t>controversias contractuales y, en caso de ejercerla extemporáneamente , el acta bilateral o el acto unilateral, según el caso, estarían viciados de ilegalidad y serían susceptibles de ser declarados nulos por el juez.</w:t>
      </w:r>
    </w:p>
    <w:p w14:paraId="04EE6F36" w14:textId="77777777" w:rsidR="003C7E76" w:rsidRPr="007B7B10" w:rsidRDefault="003C7E76" w:rsidP="003C7E76">
      <w:pPr>
        <w:widowControl w:val="0"/>
        <w:autoSpaceDE w:val="0"/>
        <w:autoSpaceDN w:val="0"/>
        <w:spacing w:after="0" w:line="276" w:lineRule="auto"/>
        <w:jc w:val="both"/>
        <w:rPr>
          <w:rFonts w:ascii="Verdana" w:hAnsi="Verdana" w:cs="Arial"/>
          <w:color w:val="000000" w:themeColor="text1"/>
        </w:rPr>
      </w:pPr>
    </w:p>
    <w:p w14:paraId="4A2D1D7E" w14:textId="77777777" w:rsidR="003C7E76" w:rsidRPr="007B7B10" w:rsidRDefault="003C7E76" w:rsidP="003C7E7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7B7B10">
        <w:rPr>
          <w:rFonts w:ascii="Verdana" w:eastAsia="Century Gothic" w:hAnsi="Verdana" w:cs="Century Gothic"/>
          <w:b/>
          <w:bCs/>
          <w:color w:val="000000" w:themeColor="text1"/>
        </w:rPr>
        <w:t>Referencias normativas, jurisprudenciales y otras fuentes:</w:t>
      </w:r>
    </w:p>
    <w:p w14:paraId="3FD1516D" w14:textId="77777777" w:rsidR="003C7E76" w:rsidRPr="007B7B10" w:rsidRDefault="003C7E76" w:rsidP="003C7E76">
      <w:pPr>
        <w:widowControl w:val="0"/>
        <w:autoSpaceDE w:val="0"/>
        <w:autoSpaceDN w:val="0"/>
        <w:spacing w:after="0" w:line="276" w:lineRule="auto"/>
        <w:jc w:val="both"/>
        <w:rPr>
          <w:rFonts w:ascii="Verdana" w:hAnsi="Verdana" w:cs="Arial"/>
          <w:color w:val="000000" w:themeColor="text1"/>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3C7E76" w:rsidRPr="007B7B10" w14:paraId="676FA610" w14:textId="77777777" w:rsidTr="00812A67">
        <w:trPr>
          <w:trHeight w:val="870"/>
        </w:trPr>
        <w:tc>
          <w:tcPr>
            <w:tcW w:w="8647" w:type="dxa"/>
          </w:tcPr>
          <w:p w14:paraId="5C2D9697" w14:textId="77777777" w:rsidR="003C7E76" w:rsidRPr="007B7B10" w:rsidRDefault="003C7E76" w:rsidP="003C7E76">
            <w:pPr>
              <w:pStyle w:val="Prrafodelista"/>
              <w:widowControl w:val="0"/>
              <w:numPr>
                <w:ilvl w:val="0"/>
                <w:numId w:val="18"/>
              </w:numPr>
              <w:tabs>
                <w:tab w:val="left" w:pos="8419"/>
              </w:tabs>
              <w:autoSpaceDE w:val="0"/>
              <w:autoSpaceDN w:val="0"/>
              <w:spacing w:after="120" w:line="276" w:lineRule="auto"/>
              <w:contextualSpacing w:val="0"/>
              <w:jc w:val="both"/>
              <w:rPr>
                <w:rFonts w:ascii="Verdana" w:eastAsia="Calibri" w:hAnsi="Verdana" w:cs="Arial"/>
                <w:color w:val="000000"/>
              </w:rPr>
            </w:pPr>
            <w:r w:rsidRPr="007B7B10">
              <w:rPr>
                <w:rFonts w:ascii="Verdana" w:eastAsia="Calibri" w:hAnsi="Verdana" w:cs="Arial"/>
              </w:rPr>
              <w:t xml:space="preserve">Ley 80 de 1993, artículo 60 modificado por el artículo 217 del Decreto 019 de 2012. </w:t>
            </w:r>
          </w:p>
          <w:p w14:paraId="5BF71072" w14:textId="77777777" w:rsidR="003C7E76" w:rsidRPr="00620A6A" w:rsidRDefault="003C7E76" w:rsidP="003C7E76">
            <w:pPr>
              <w:pStyle w:val="Prrafodelista"/>
              <w:widowControl w:val="0"/>
              <w:numPr>
                <w:ilvl w:val="0"/>
                <w:numId w:val="18"/>
              </w:numPr>
              <w:tabs>
                <w:tab w:val="left" w:pos="8419"/>
              </w:tabs>
              <w:autoSpaceDE w:val="0"/>
              <w:autoSpaceDN w:val="0"/>
              <w:spacing w:after="120" w:line="276" w:lineRule="auto"/>
              <w:contextualSpacing w:val="0"/>
              <w:jc w:val="both"/>
              <w:rPr>
                <w:rFonts w:ascii="Verdana" w:eastAsia="Calibri" w:hAnsi="Verdana" w:cs="Arial"/>
                <w:color w:val="000000"/>
              </w:rPr>
            </w:pPr>
            <w:r w:rsidRPr="007B7B10">
              <w:rPr>
                <w:rFonts w:ascii="Verdana" w:eastAsia="Calibri" w:hAnsi="Verdana" w:cs="Arial"/>
              </w:rPr>
              <w:t>Ley 1150 de 2007, artículo 11.</w:t>
            </w:r>
          </w:p>
          <w:p w14:paraId="303ECD57" w14:textId="77777777" w:rsidR="003C7E76" w:rsidRPr="00620A6A" w:rsidRDefault="003C7E76" w:rsidP="003C7E76">
            <w:pPr>
              <w:pStyle w:val="Prrafodelista"/>
              <w:widowControl w:val="0"/>
              <w:numPr>
                <w:ilvl w:val="0"/>
                <w:numId w:val="18"/>
              </w:numPr>
              <w:tabs>
                <w:tab w:val="left" w:pos="8419"/>
              </w:tabs>
              <w:autoSpaceDE w:val="0"/>
              <w:autoSpaceDN w:val="0"/>
              <w:spacing w:after="120" w:line="276" w:lineRule="auto"/>
              <w:contextualSpacing w:val="0"/>
              <w:jc w:val="both"/>
              <w:rPr>
                <w:rFonts w:ascii="Verdana" w:eastAsia="Calibri" w:hAnsi="Verdana" w:cs="Arial"/>
                <w:color w:val="000000"/>
              </w:rPr>
            </w:pPr>
            <w:r>
              <w:rPr>
                <w:rFonts w:ascii="Verdana" w:eastAsia="Calibri" w:hAnsi="Verdana" w:cs="Arial"/>
              </w:rPr>
              <w:t xml:space="preserve">Consejo de estado, </w:t>
            </w:r>
            <w:r w:rsidRPr="00620A6A">
              <w:rPr>
                <w:rFonts w:ascii="Verdana" w:eastAsia="Calibri" w:hAnsi="Verdana" w:cs="Arial"/>
                <w:lang w:val="es-MX"/>
              </w:rPr>
              <w:t>Sentencia De Unificacion 00342 De 2019</w:t>
            </w:r>
            <w:r>
              <w:rPr>
                <w:rFonts w:ascii="Verdana" w:eastAsia="Calibri" w:hAnsi="Verdana" w:cs="Arial"/>
                <w:lang w:val="es-MX"/>
              </w:rPr>
              <w:t>.</w:t>
            </w:r>
          </w:p>
          <w:p w14:paraId="745859F8" w14:textId="77777777" w:rsidR="003C7E76" w:rsidRPr="007B7B10" w:rsidRDefault="003C7E76" w:rsidP="003C7E76">
            <w:pPr>
              <w:pStyle w:val="Prrafodelista"/>
              <w:widowControl w:val="0"/>
              <w:numPr>
                <w:ilvl w:val="0"/>
                <w:numId w:val="18"/>
              </w:numPr>
              <w:autoSpaceDE w:val="0"/>
              <w:autoSpaceDN w:val="0"/>
              <w:spacing w:after="120" w:line="276" w:lineRule="auto"/>
              <w:contextualSpacing w:val="0"/>
              <w:jc w:val="both"/>
              <w:rPr>
                <w:rFonts w:ascii="Verdana" w:eastAsia="Calibri" w:hAnsi="Verdana" w:cs="Arial"/>
                <w:color w:val="000000"/>
              </w:rPr>
            </w:pPr>
            <w:r w:rsidRPr="007B7B10">
              <w:rPr>
                <w:rFonts w:ascii="Verdana" w:eastAsia="Calibri" w:hAnsi="Verdana" w:cs="Arial"/>
                <w:color w:val="000000"/>
              </w:rPr>
              <w:t xml:space="preserve">Jurisprudencia del Consejo de Estado. Disponible en: </w:t>
            </w:r>
            <w:hyperlink r:id="rId12" w:history="1">
              <w:r w:rsidRPr="007B7B10">
                <w:rPr>
                  <w:rFonts w:ascii="Verdana" w:eastAsia="Calibri" w:hAnsi="Verdana"/>
                  <w:color w:val="000000"/>
                </w:rPr>
                <w:t>https://relatoria.colombiacompra.gov.co/providencias-consejo-de-estado/</w:t>
              </w:r>
            </w:hyperlink>
            <w:r w:rsidRPr="007B7B10">
              <w:rPr>
                <w:rFonts w:ascii="Verdana" w:eastAsia="Calibri" w:hAnsi="Verdana" w:cs="Arial"/>
                <w:color w:val="000000"/>
              </w:rPr>
              <w:t xml:space="preserve"> </w:t>
            </w:r>
          </w:p>
          <w:p w14:paraId="7C80775A" w14:textId="77777777" w:rsidR="003C7E76" w:rsidRPr="007B7B10" w:rsidRDefault="003C7E76" w:rsidP="003C7E76">
            <w:pPr>
              <w:pStyle w:val="Prrafodelista"/>
              <w:widowControl w:val="0"/>
              <w:numPr>
                <w:ilvl w:val="0"/>
                <w:numId w:val="18"/>
              </w:numPr>
              <w:autoSpaceDE w:val="0"/>
              <w:autoSpaceDN w:val="0"/>
              <w:spacing w:after="120" w:line="276" w:lineRule="auto"/>
              <w:contextualSpacing w:val="0"/>
              <w:jc w:val="both"/>
              <w:rPr>
                <w:rFonts w:ascii="Verdana" w:eastAsia="Calibri" w:hAnsi="Verdana" w:cs="Arial"/>
                <w:color w:val="000000"/>
              </w:rPr>
            </w:pPr>
            <w:r w:rsidRPr="007B7B10">
              <w:rPr>
                <w:rFonts w:ascii="Verdana" w:eastAsia="Calibri" w:hAnsi="Verdana" w:cs="Arial"/>
                <w:color w:val="000000"/>
              </w:rPr>
              <w:t xml:space="preserve">Guías y manuales expedidos por la ANCP-CCE. Disponible en: </w:t>
            </w:r>
            <w:r w:rsidRPr="002A4077">
              <w:rPr>
                <w:rFonts w:ascii="Verdana" w:eastAsia="Calibri" w:hAnsi="Verdana" w:cs="Arial"/>
                <w:color w:val="000000"/>
              </w:rPr>
              <w:t>https://www.colombiacompra.gov.co/sites/cce_public/files/cce_documents/cce_guia_liquidacion_procesos.pdf</w:t>
            </w:r>
          </w:p>
        </w:tc>
      </w:tr>
    </w:tbl>
    <w:p w14:paraId="4142A315" w14:textId="77777777" w:rsidR="003C7E76" w:rsidRPr="007B7B10" w:rsidRDefault="003C7E76" w:rsidP="003C7E76">
      <w:pPr>
        <w:widowControl w:val="0"/>
        <w:autoSpaceDE w:val="0"/>
        <w:autoSpaceDN w:val="0"/>
        <w:spacing w:after="0" w:line="276" w:lineRule="auto"/>
        <w:jc w:val="both"/>
        <w:rPr>
          <w:rFonts w:ascii="Verdana" w:hAnsi="Verdana" w:cs="Arial"/>
          <w:color w:val="000000" w:themeColor="text1"/>
        </w:rPr>
      </w:pPr>
    </w:p>
    <w:p w14:paraId="34772C5B" w14:textId="77777777" w:rsidR="003C7E76" w:rsidRPr="007B7B10" w:rsidRDefault="003C7E76" w:rsidP="003C7E7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7B7B10">
        <w:rPr>
          <w:rFonts w:ascii="Verdana" w:eastAsia="Century Gothic" w:hAnsi="Verdana" w:cs="Century Gothic"/>
          <w:b/>
          <w:bCs/>
          <w:color w:val="000000" w:themeColor="text1"/>
        </w:rPr>
        <w:t>Doctrina de la Agencia Nacional de Contratación Pública:</w:t>
      </w:r>
    </w:p>
    <w:p w14:paraId="5AED5CB9" w14:textId="77777777" w:rsidR="003C7E76" w:rsidRPr="007B7B10" w:rsidRDefault="003C7E76" w:rsidP="003C7E76">
      <w:pPr>
        <w:widowControl w:val="0"/>
        <w:autoSpaceDE w:val="0"/>
        <w:autoSpaceDN w:val="0"/>
        <w:spacing w:after="0" w:line="276" w:lineRule="auto"/>
        <w:jc w:val="both"/>
        <w:rPr>
          <w:rFonts w:ascii="Verdana" w:hAnsi="Verdana" w:cs="Arial"/>
          <w:color w:val="000000" w:themeColor="text1"/>
        </w:rPr>
      </w:pPr>
    </w:p>
    <w:p w14:paraId="5F0B11DA" w14:textId="77777777" w:rsidR="003C7E76" w:rsidRPr="0018165D" w:rsidRDefault="003C7E76" w:rsidP="003C7E76">
      <w:pPr>
        <w:spacing w:line="276" w:lineRule="auto"/>
        <w:ind w:right="49"/>
        <w:jc w:val="both"/>
        <w:rPr>
          <w:rStyle w:val="normaltextrun"/>
          <w:rFonts w:ascii="Arial" w:eastAsia="Calibri" w:hAnsi="Arial" w:cs="Arial"/>
          <w:lang w:val="es-ES_tradnl"/>
        </w:rPr>
      </w:pPr>
      <w:r w:rsidRPr="00D438C4">
        <w:rPr>
          <w:rFonts w:ascii="Arial" w:hAnsi="Arial" w:cs="Arial"/>
          <w:lang w:val="es-ES_tradnl"/>
        </w:rPr>
        <w:t xml:space="preserve">La Agencia Nacional de Contratación Pública – Colombia Compra Eficiente se pronunció sobre la potestad sancionatoria de las entidades estatales en la actividad contractual, la oportunidad para su ejercicio y el procedimiento adminitrativo que deben adelantar aquellas entidades que se rigen por las disposiciones del Estatuto General de Contratación de la Administración Pública, en los conceptos con radicado No. </w:t>
      </w:r>
      <w:r w:rsidRPr="00D438C4">
        <w:rPr>
          <w:rFonts w:ascii="Arial" w:eastAsia="Calibri" w:hAnsi="Arial" w:cs="Arial"/>
          <w:bCs/>
          <w:color w:val="000000" w:themeColor="text1"/>
          <w:lang w:val="es-ES_tradnl"/>
        </w:rPr>
        <w:t>2201913000007661 del 16 de octubre de 2019,</w:t>
      </w:r>
      <w:r w:rsidRPr="00D438C4">
        <w:rPr>
          <w:rFonts w:ascii="Arial" w:hAnsi="Arial" w:cs="Arial"/>
          <w:lang w:val="es-ES_tradnl"/>
        </w:rPr>
        <w:t xml:space="preserve"> </w:t>
      </w:r>
      <w:r w:rsidRPr="00D438C4">
        <w:rPr>
          <w:rFonts w:ascii="Arial" w:eastAsia="Calibri" w:hAnsi="Arial" w:cs="Arial"/>
          <w:bCs/>
          <w:color w:val="000000" w:themeColor="text1"/>
          <w:lang w:val="es-ES_tradnl"/>
        </w:rPr>
        <w:t xml:space="preserve">2201913000008964 del 5 de diciembre de 2019, C-147 del 17 de marzo de 2020, C-221 del 21 de abril de 2020, C-219 del 29 de abril de 2020, C-010 del 19 de junio de 2020, C-280 del 6 de julio de 2020 y C-434 del 29 de julio de 2020. </w:t>
      </w:r>
      <w:r w:rsidRPr="007B7B10">
        <w:rPr>
          <w:rStyle w:val="normaltextrun"/>
          <w:rFonts w:ascii="Verdana" w:hAnsi="Verdana" w:cs="Arial"/>
          <w:shd w:val="clear" w:color="auto" w:fill="FFFFFF"/>
          <w:lang w:val="es-ES"/>
        </w:rPr>
        <w:t>Es</w:t>
      </w:r>
      <w:r w:rsidRPr="007B7B10">
        <w:rPr>
          <w:rFonts w:ascii="Verdana" w:hAnsi="Verdana"/>
        </w:rPr>
        <w:t>tos y otros conceptos se encuentran disponibles para consulta en el Sistema de relatoría de la Agencia, al cual se puede acceder a través del siguiente enlace:</w:t>
      </w:r>
      <w:r w:rsidRPr="007B7B10">
        <w:rPr>
          <w:rStyle w:val="normaltextrun"/>
          <w:rFonts w:ascii="Verdana" w:hAnsi="Verdana" w:cs="Arial"/>
          <w:shd w:val="clear" w:color="auto" w:fill="FFFFFF"/>
          <w:lang w:val="es-ES"/>
        </w:rPr>
        <w:t xml:space="preserve"> </w:t>
      </w:r>
      <w:hyperlink r:id="rId13" w:history="1">
        <w:r w:rsidRPr="007B7B10">
          <w:rPr>
            <w:rStyle w:val="Hipervnculo"/>
            <w:rFonts w:ascii="Verdana" w:hAnsi="Verdana" w:cs="Arial"/>
            <w:shd w:val="clear" w:color="auto" w:fill="FFFFFF"/>
            <w:lang w:val="es-ES"/>
          </w:rPr>
          <w:t>https://relatoria.colombiacompra.gov.co/busqueda/conceptos</w:t>
        </w:r>
      </w:hyperlink>
      <w:r w:rsidRPr="007B7B10">
        <w:rPr>
          <w:rStyle w:val="normaltextrun"/>
          <w:rFonts w:ascii="Verdana" w:hAnsi="Verdana" w:cs="Arial"/>
          <w:color w:val="FF0000"/>
          <w:shd w:val="clear" w:color="auto" w:fill="FFFFFF"/>
          <w:lang w:val="es-ES"/>
        </w:rPr>
        <w:t xml:space="preserve">. </w:t>
      </w:r>
    </w:p>
    <w:p w14:paraId="46B8C092" w14:textId="77777777" w:rsidR="003C7E76" w:rsidRPr="007B7B10" w:rsidRDefault="003C7E76" w:rsidP="003C7E76">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38C07BDA" w14:textId="77777777" w:rsidR="003C7E76" w:rsidRPr="007B7B10" w:rsidRDefault="003C7E76" w:rsidP="003C7E76">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7B7B10">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7B7B10">
        <w:rPr>
          <w:rStyle w:val="normaltextrun"/>
          <w:rFonts w:ascii="Verdana" w:hAnsi="Verdana" w:cs="Arial"/>
          <w:color w:val="FF0000"/>
          <w:shd w:val="clear" w:color="auto" w:fill="FFFFFF"/>
          <w:lang w:val="es-ES"/>
        </w:rPr>
        <w:t xml:space="preserve"> </w:t>
      </w:r>
      <w:hyperlink r:id="rId14" w:history="1">
        <w:r w:rsidRPr="007B7B10">
          <w:rPr>
            <w:rStyle w:val="Hipervnculo"/>
            <w:rFonts w:ascii="Verdana" w:hAnsi="Verdana" w:cs="Arial"/>
            <w:shd w:val="clear" w:color="auto" w:fill="FFFFFF"/>
            <w:lang w:val="es-ES"/>
          </w:rPr>
          <w:t>https://www.colombiacompra.gov.co/sala-de-</w:t>
        </w:r>
        <w:r w:rsidRPr="007B7B10">
          <w:rPr>
            <w:rStyle w:val="Hipervnculo"/>
            <w:rFonts w:ascii="Verdana" w:hAnsi="Verdana" w:cs="Arial"/>
            <w:shd w:val="clear" w:color="auto" w:fill="FFFFFF"/>
            <w:lang w:val="es-ES"/>
          </w:rPr>
          <w:lastRenderedPageBreak/>
          <w:t>prensa/boletin-digital</w:t>
        </w:r>
      </w:hyperlink>
      <w:r w:rsidRPr="007B7B10">
        <w:rPr>
          <w:rStyle w:val="normaltextrun"/>
          <w:rFonts w:ascii="Verdana" w:hAnsi="Verdana" w:cs="Arial"/>
          <w:color w:val="FF0000"/>
          <w:shd w:val="clear" w:color="auto" w:fill="FFFFFF"/>
          <w:lang w:val="es-ES"/>
        </w:rPr>
        <w:t xml:space="preserve">      </w:t>
      </w:r>
    </w:p>
    <w:p w14:paraId="4B5C39BB" w14:textId="77777777" w:rsidR="003C7E76" w:rsidRPr="007B7B10" w:rsidRDefault="003C7E76" w:rsidP="003C7E76">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2C1F851D" w14:textId="77777777" w:rsidR="003C7E76" w:rsidRPr="007B7B10" w:rsidRDefault="003C7E76" w:rsidP="003C7E76">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r w:rsidRPr="007B7B10">
        <w:rPr>
          <w:rStyle w:val="normaltextrun"/>
          <w:rFonts w:ascii="Verdana" w:hAnsi="Verdana" w:cs="Arial"/>
          <w:color w:val="000000" w:themeColor="text1"/>
          <w:shd w:val="clear" w:color="auto" w:fill="FFFFFF"/>
          <w:lang w:val="es-ES"/>
        </w:rPr>
        <w:t xml:space="preserve">También le invitamos a consultar las versiones I y II de 2024 del Boletín de Relatoría de la Subdirección de Gestión Contractual, las cuales puede descargar en la página web de la Agencia: </w:t>
      </w:r>
      <w:hyperlink r:id="rId15" w:history="1">
        <w:r w:rsidRPr="007B7B10">
          <w:rPr>
            <w:rStyle w:val="Hipervnculo"/>
            <w:rFonts w:ascii="Verdana" w:hAnsi="Verdana" w:cs="Arial"/>
            <w:color w:val="000000" w:themeColor="text1"/>
            <w:shd w:val="clear" w:color="auto" w:fill="FFFFFF"/>
            <w:lang w:val="es-ES"/>
          </w:rPr>
          <w:t>https://www.colombiacompra.gov.co/sala-de-prensa/boletin-digital</w:t>
        </w:r>
      </w:hyperlink>
      <w:r w:rsidRPr="007B7B10">
        <w:rPr>
          <w:rStyle w:val="normaltextrun"/>
          <w:rFonts w:ascii="Verdana" w:hAnsi="Verdana" w:cs="Arial"/>
          <w:color w:val="000000" w:themeColor="text1"/>
          <w:shd w:val="clear" w:color="auto" w:fill="FFFFFF"/>
          <w:lang w:val="es-ES"/>
        </w:rPr>
        <w:t xml:space="preserve">      </w:t>
      </w:r>
    </w:p>
    <w:p w14:paraId="50427CA1" w14:textId="77777777" w:rsidR="003C7E76" w:rsidRPr="007B7B10" w:rsidRDefault="003C7E76" w:rsidP="003C7E76">
      <w:pPr>
        <w:spacing w:after="0" w:line="240" w:lineRule="auto"/>
        <w:jc w:val="both"/>
        <w:rPr>
          <w:rFonts w:ascii="Verdana" w:hAnsi="Verdana"/>
          <w:color w:val="000000" w:themeColor="text1"/>
        </w:rPr>
      </w:pPr>
      <w:r w:rsidRPr="007B7B10">
        <w:rPr>
          <w:rFonts w:ascii="Verdana" w:hAnsi="Verdana"/>
          <w:color w:val="000000" w:themeColor="text1"/>
        </w:rPr>
        <w:t xml:space="preserve">Por último, lo invitamos a seguirnos en las redes sociales en las cuales se difunde información institucional: </w:t>
      </w:r>
    </w:p>
    <w:p w14:paraId="21B41730" w14:textId="77777777" w:rsidR="003C7E76" w:rsidRPr="007B7B10" w:rsidRDefault="003C7E76" w:rsidP="003C7E76">
      <w:pPr>
        <w:spacing w:after="0" w:line="240" w:lineRule="auto"/>
        <w:jc w:val="both"/>
        <w:rPr>
          <w:rFonts w:ascii="Verdana" w:hAnsi="Verdana"/>
          <w:color w:val="000000" w:themeColor="text1"/>
        </w:rPr>
      </w:pPr>
    </w:p>
    <w:p w14:paraId="14EA5918" w14:textId="77777777" w:rsidR="003C7E76" w:rsidRPr="007B7B10" w:rsidRDefault="003C7E76" w:rsidP="003C7E76">
      <w:pPr>
        <w:spacing w:after="0" w:line="240" w:lineRule="auto"/>
        <w:jc w:val="both"/>
        <w:rPr>
          <w:rFonts w:ascii="Verdana" w:hAnsi="Verdana"/>
          <w:color w:val="000000" w:themeColor="text1"/>
        </w:rPr>
      </w:pPr>
      <w:r w:rsidRPr="007B7B10">
        <w:rPr>
          <w:rFonts w:ascii="Verdana" w:hAnsi="Verdana"/>
          <w:color w:val="000000" w:themeColor="text1"/>
        </w:rPr>
        <w:t xml:space="preserve">Twitter: </w:t>
      </w:r>
      <w:r w:rsidRPr="007B7B10">
        <w:rPr>
          <w:rStyle w:val="Hipervnculo"/>
          <w:rFonts w:ascii="Verdana" w:hAnsi="Verdana"/>
          <w:color w:val="000000" w:themeColor="text1"/>
        </w:rPr>
        <w:t>@colombiacompra</w:t>
      </w:r>
      <w:r w:rsidRPr="007B7B10">
        <w:rPr>
          <w:rFonts w:ascii="Verdana" w:hAnsi="Verdana"/>
          <w:color w:val="000000" w:themeColor="text1"/>
        </w:rPr>
        <w:t xml:space="preserve"> </w:t>
      </w:r>
    </w:p>
    <w:p w14:paraId="7D689A39" w14:textId="77777777" w:rsidR="003C7E76" w:rsidRPr="007B7B10" w:rsidRDefault="003C7E76" w:rsidP="003C7E76">
      <w:pPr>
        <w:spacing w:after="0" w:line="240" w:lineRule="auto"/>
        <w:jc w:val="both"/>
        <w:rPr>
          <w:rFonts w:ascii="Verdana" w:hAnsi="Verdana"/>
          <w:color w:val="000000" w:themeColor="text1"/>
        </w:rPr>
      </w:pPr>
      <w:r w:rsidRPr="007B7B10">
        <w:rPr>
          <w:rFonts w:ascii="Verdana" w:hAnsi="Verdana"/>
          <w:color w:val="000000" w:themeColor="text1"/>
        </w:rPr>
        <w:t xml:space="preserve">Facebook: </w:t>
      </w:r>
      <w:r w:rsidRPr="007B7B10">
        <w:rPr>
          <w:rStyle w:val="Hipervnculo"/>
          <w:rFonts w:ascii="Verdana" w:hAnsi="Verdana"/>
          <w:color w:val="000000" w:themeColor="text1"/>
        </w:rPr>
        <w:t>ColombiaCompraEficiente</w:t>
      </w:r>
    </w:p>
    <w:p w14:paraId="30F178DD" w14:textId="77777777" w:rsidR="003C7E76" w:rsidRPr="007B7B10" w:rsidRDefault="003C7E76" w:rsidP="003C7E76">
      <w:pPr>
        <w:spacing w:after="0" w:line="240" w:lineRule="auto"/>
        <w:jc w:val="both"/>
        <w:rPr>
          <w:rFonts w:ascii="Verdana" w:hAnsi="Verdana"/>
          <w:color w:val="000000" w:themeColor="text1"/>
        </w:rPr>
      </w:pPr>
      <w:r w:rsidRPr="007B7B10">
        <w:rPr>
          <w:rFonts w:ascii="Verdana" w:hAnsi="Verdana"/>
          <w:color w:val="000000" w:themeColor="text1"/>
        </w:rPr>
        <w:t xml:space="preserve">LinkedIn: </w:t>
      </w:r>
      <w:r w:rsidRPr="007B7B10">
        <w:rPr>
          <w:rStyle w:val="Hipervnculo"/>
          <w:rFonts w:ascii="Verdana" w:hAnsi="Verdana"/>
          <w:color w:val="000000" w:themeColor="text1"/>
        </w:rPr>
        <w:t>Agencia Nacional de Contratación Pública - Colombia Compra Eficiente</w:t>
      </w:r>
      <w:r w:rsidRPr="007B7B10">
        <w:rPr>
          <w:rFonts w:ascii="Verdana" w:hAnsi="Verdana"/>
          <w:color w:val="000000" w:themeColor="text1"/>
        </w:rPr>
        <w:t xml:space="preserve"> Instagram: </w:t>
      </w:r>
      <w:r w:rsidRPr="007B7B10">
        <w:rPr>
          <w:rStyle w:val="Hipervnculo"/>
          <w:rFonts w:ascii="Verdana" w:hAnsi="Verdana"/>
          <w:color w:val="000000" w:themeColor="text1"/>
        </w:rPr>
        <w:t>@colombiacompraeficiente_cce</w:t>
      </w:r>
    </w:p>
    <w:p w14:paraId="3AB68F60" w14:textId="77777777" w:rsidR="003C7E76" w:rsidRPr="007B7B10" w:rsidRDefault="003C7E76" w:rsidP="003C7E76">
      <w:pPr>
        <w:widowControl w:val="0"/>
        <w:autoSpaceDE w:val="0"/>
        <w:autoSpaceDN w:val="0"/>
        <w:spacing w:after="0" w:line="276" w:lineRule="auto"/>
        <w:jc w:val="both"/>
        <w:rPr>
          <w:rFonts w:ascii="Verdana" w:hAnsi="Verdana" w:cs="Arial"/>
          <w:color w:val="000000" w:themeColor="text1"/>
        </w:rPr>
      </w:pPr>
    </w:p>
    <w:p w14:paraId="08A72E98" w14:textId="77777777" w:rsidR="003C7E76" w:rsidRPr="007B7B10" w:rsidRDefault="003C7E76" w:rsidP="003C7E76">
      <w:pPr>
        <w:widowControl w:val="0"/>
        <w:autoSpaceDE w:val="0"/>
        <w:autoSpaceDN w:val="0"/>
        <w:spacing w:after="0" w:line="276" w:lineRule="auto"/>
        <w:jc w:val="both"/>
        <w:rPr>
          <w:rFonts w:ascii="Verdana" w:hAnsi="Verdana" w:cs="Arial"/>
          <w:color w:val="000000" w:themeColor="text1"/>
          <w:lang w:val="es-ES_tradnl"/>
        </w:rPr>
      </w:pPr>
      <w:r w:rsidRPr="007B7B10">
        <w:rPr>
          <w:rFonts w:ascii="Verdana" w:hAnsi="Verdana" w:cs="Arial"/>
          <w:color w:val="000000" w:themeColor="text1"/>
        </w:rPr>
        <w:t xml:space="preserve">Este concepto tiene el alcance previsto en el artículo 28 del Código de Procedimiento Administrativo y de lo Contencioso Administrativo </w:t>
      </w:r>
      <w:r w:rsidRPr="007B7B10">
        <w:rPr>
          <w:rFonts w:ascii="Verdana" w:hAnsi="Verdana" w:cs="Arial"/>
          <w:color w:val="000000" w:themeColor="text1"/>
          <w:lang w:val="es-ES_tradnl"/>
        </w:rPr>
        <w:t>y las expresiones aquí utilizadas con mayúscula inicial deben ser entendidas con el significado que les otorga el artículo 2.2.1.1.1.3.1. del Decreto 1082 de 2015.</w:t>
      </w:r>
    </w:p>
    <w:p w14:paraId="10B33318" w14:textId="77777777" w:rsidR="003C7E76" w:rsidRPr="007B7B10" w:rsidRDefault="003C7E76" w:rsidP="003C7E76">
      <w:pPr>
        <w:widowControl w:val="0"/>
        <w:autoSpaceDE w:val="0"/>
        <w:autoSpaceDN w:val="0"/>
        <w:spacing w:after="0" w:line="276" w:lineRule="auto"/>
        <w:jc w:val="both"/>
        <w:rPr>
          <w:rFonts w:ascii="Verdana" w:hAnsi="Verdana" w:cs="Arial"/>
          <w:color w:val="000000" w:themeColor="text1"/>
        </w:rPr>
      </w:pPr>
    </w:p>
    <w:p w14:paraId="45BBEA33" w14:textId="77777777" w:rsidR="003C7E76" w:rsidRPr="007B7B10" w:rsidRDefault="003C7E76" w:rsidP="003C7E76">
      <w:pPr>
        <w:spacing w:after="0" w:line="240" w:lineRule="auto"/>
        <w:rPr>
          <w:rFonts w:ascii="Verdana" w:hAnsi="Verdana" w:cs="Arial"/>
          <w:color w:val="000000" w:themeColor="text1"/>
          <w:lang w:eastAsia="es-CO"/>
        </w:rPr>
      </w:pPr>
      <w:r w:rsidRPr="007B7B10">
        <w:rPr>
          <w:rFonts w:ascii="Verdana" w:eastAsia="Times New Roman" w:hAnsi="Verdana" w:cs="Arial"/>
          <w:color w:val="000000" w:themeColor="text1"/>
          <w:lang w:eastAsia="es-CO"/>
        </w:rPr>
        <w:t>Atentamente,</w:t>
      </w:r>
      <w:r w:rsidRPr="007B7B10">
        <w:rPr>
          <w:rFonts w:ascii="Verdana" w:hAnsi="Verdana" w:cs="Arial"/>
          <w:color w:val="000000" w:themeColor="text1"/>
          <w:lang w:eastAsia="es-CO"/>
        </w:rPr>
        <w:t xml:space="preserve"> </w:t>
      </w:r>
    </w:p>
    <w:p w14:paraId="55146F22" w14:textId="599B439B" w:rsidR="003C7E76" w:rsidRPr="007B7B10" w:rsidRDefault="00842B94" w:rsidP="003C7E76">
      <w:pPr>
        <w:spacing w:line="276" w:lineRule="auto"/>
        <w:jc w:val="center"/>
        <w:rPr>
          <w:rFonts w:ascii="Verdana" w:hAnsi="Verdana" w:cs="Arial"/>
          <w:color w:val="000000" w:themeColor="text1"/>
          <w:lang w:val="es-ES_tradnl" w:eastAsia="es-CO"/>
        </w:rPr>
      </w:pPr>
      <w:r>
        <w:rPr>
          <w:noProof/>
          <w14:ligatures w14:val="standardContextual"/>
        </w:rPr>
        <w:drawing>
          <wp:inline distT="0" distB="0" distL="0" distR="0" wp14:anchorId="347D872C" wp14:editId="4EB7721C">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6"/>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C7E76" w:rsidRPr="00D93047" w14:paraId="6BF56E92" w14:textId="77777777" w:rsidTr="00812A67">
        <w:trPr>
          <w:trHeight w:val="315"/>
        </w:trPr>
        <w:tc>
          <w:tcPr>
            <w:tcW w:w="893" w:type="dxa"/>
            <w:vAlign w:val="center"/>
            <w:hideMark/>
          </w:tcPr>
          <w:p w14:paraId="0BF84592" w14:textId="77777777" w:rsidR="003C7E76" w:rsidRPr="00D93047" w:rsidRDefault="003C7E76" w:rsidP="00812A67">
            <w:pPr>
              <w:contextualSpacing/>
              <w:rPr>
                <w:rFonts w:ascii="Verdana" w:hAnsi="Verdana" w:cs="Arial"/>
                <w:sz w:val="14"/>
                <w:szCs w:val="14"/>
                <w:lang w:val="es-ES" w:eastAsia="es-ES"/>
              </w:rPr>
            </w:pPr>
            <w:r w:rsidRPr="00D93047">
              <w:rPr>
                <w:rFonts w:ascii="Verdana" w:hAnsi="Verdana" w:cs="Arial"/>
                <w:sz w:val="14"/>
                <w:szCs w:val="14"/>
                <w:lang w:val="es-ES" w:eastAsia="es-ES"/>
              </w:rPr>
              <w:t>Elaboró:</w:t>
            </w:r>
          </w:p>
        </w:tc>
        <w:tc>
          <w:tcPr>
            <w:tcW w:w="5628" w:type="dxa"/>
            <w:tcBorders>
              <w:top w:val="nil"/>
              <w:left w:val="nil"/>
              <w:bottom w:val="dotted" w:sz="4" w:space="0" w:color="7F7F7F" w:themeColor="text1" w:themeTint="80"/>
              <w:right w:val="nil"/>
            </w:tcBorders>
            <w:vAlign w:val="center"/>
            <w:hideMark/>
          </w:tcPr>
          <w:p w14:paraId="4E9199D3" w14:textId="77777777" w:rsidR="003C7E76" w:rsidRPr="00D93047" w:rsidRDefault="003C7E76" w:rsidP="00812A67">
            <w:pPr>
              <w:contextualSpacing/>
              <w:rPr>
                <w:rFonts w:ascii="Verdana" w:eastAsia="Arial" w:hAnsi="Verdana" w:cs="Arial"/>
                <w:sz w:val="14"/>
                <w:szCs w:val="14"/>
              </w:rPr>
            </w:pPr>
            <w:r w:rsidRPr="00D93047">
              <w:rPr>
                <w:rFonts w:ascii="Verdana" w:eastAsia="Arial" w:hAnsi="Verdana" w:cs="Arial"/>
                <w:sz w:val="14"/>
                <w:szCs w:val="14"/>
              </w:rPr>
              <w:t xml:space="preserve">Andreina Cerpa Muñoz </w:t>
            </w:r>
          </w:p>
          <w:p w14:paraId="42C71ECD" w14:textId="77777777" w:rsidR="003C7E76" w:rsidRPr="00D93047" w:rsidRDefault="003C7E76" w:rsidP="00812A67">
            <w:pPr>
              <w:contextualSpacing/>
              <w:rPr>
                <w:rFonts w:ascii="Verdana" w:eastAsia="Arial" w:hAnsi="Verdana" w:cs="Arial"/>
                <w:sz w:val="14"/>
                <w:szCs w:val="14"/>
              </w:rPr>
            </w:pPr>
            <w:r w:rsidRPr="00D93047">
              <w:rPr>
                <w:rStyle w:val="normaltextrun"/>
                <w:rFonts w:ascii="Verdana" w:eastAsia="Arial" w:hAnsi="Verdana" w:cs="Arial"/>
                <w:sz w:val="14"/>
                <w:szCs w:val="14"/>
              </w:rPr>
              <w:t>Analista T2 – 02 de la Subdirección de Gestión Contractual</w:t>
            </w:r>
          </w:p>
        </w:tc>
      </w:tr>
      <w:tr w:rsidR="003C7E76" w:rsidRPr="00D93047" w14:paraId="5B765A0A" w14:textId="77777777" w:rsidTr="00812A67">
        <w:trPr>
          <w:trHeight w:val="330"/>
        </w:trPr>
        <w:tc>
          <w:tcPr>
            <w:tcW w:w="893" w:type="dxa"/>
            <w:vAlign w:val="center"/>
            <w:hideMark/>
          </w:tcPr>
          <w:p w14:paraId="419FB78C" w14:textId="77777777" w:rsidR="003C7E76" w:rsidRPr="00D93047" w:rsidRDefault="003C7E76" w:rsidP="00812A67">
            <w:pPr>
              <w:contextualSpacing/>
              <w:rPr>
                <w:rFonts w:ascii="Verdana" w:hAnsi="Verdana" w:cs="Arial"/>
                <w:sz w:val="14"/>
                <w:szCs w:val="14"/>
                <w:lang w:val="es-ES" w:eastAsia="es-ES"/>
              </w:rPr>
            </w:pPr>
            <w:r w:rsidRPr="00D93047">
              <w:rPr>
                <w:rFonts w:ascii="Verdana" w:hAnsi="Verdana" w:cs="Arial"/>
                <w:sz w:val="14"/>
                <w:szCs w:val="14"/>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7514DE7" w14:textId="77777777" w:rsidR="003C7E76" w:rsidRPr="00D93047" w:rsidRDefault="003C7E76" w:rsidP="00812A67">
            <w:pPr>
              <w:textAlignment w:val="baseline"/>
              <w:rPr>
                <w:rFonts w:ascii="Verdana" w:eastAsia="Times New Roman" w:hAnsi="Verdana" w:cs="Arial"/>
                <w:kern w:val="2"/>
                <w:sz w:val="14"/>
                <w:szCs w:val="14"/>
                <w:lang w:eastAsia="es-CO"/>
                <w14:ligatures w14:val="standardContextual"/>
              </w:rPr>
            </w:pPr>
            <w:r w:rsidRPr="00D93047">
              <w:rPr>
                <w:rFonts w:ascii="Verdana" w:eastAsia="Times New Roman" w:hAnsi="Verdana" w:cs="Arial"/>
                <w:kern w:val="2"/>
                <w:sz w:val="14"/>
                <w:szCs w:val="14"/>
                <w:lang w:eastAsia="es-CO"/>
                <w14:ligatures w14:val="standardContextual"/>
              </w:rPr>
              <w:t>Libardo Alberto Verjel De Filippis</w:t>
            </w:r>
          </w:p>
          <w:p w14:paraId="75265ACD" w14:textId="77777777" w:rsidR="003C7E76" w:rsidRPr="00D93047" w:rsidRDefault="003C7E76" w:rsidP="00812A67">
            <w:pPr>
              <w:pStyle w:val="paragraph"/>
              <w:spacing w:before="0" w:beforeAutospacing="0" w:after="0" w:afterAutospacing="0"/>
              <w:textAlignment w:val="baseline"/>
              <w:rPr>
                <w:rFonts w:ascii="Verdana" w:hAnsi="Verdana" w:cs="Arial"/>
                <w:sz w:val="14"/>
                <w:szCs w:val="14"/>
              </w:rPr>
            </w:pPr>
            <w:r w:rsidRPr="00D93047">
              <w:rPr>
                <w:rFonts w:ascii="Verdana" w:hAnsi="Verdana" w:cs="Arial"/>
                <w:kern w:val="2"/>
                <w:sz w:val="14"/>
                <w:szCs w:val="14"/>
                <w14:ligatures w14:val="standardContextual"/>
              </w:rPr>
              <w:t>Experto G3-08 de la Subdirección de Gestión Contractual</w:t>
            </w:r>
          </w:p>
        </w:tc>
      </w:tr>
      <w:tr w:rsidR="003C7E76" w:rsidRPr="00D93047" w14:paraId="18DE8D39" w14:textId="77777777" w:rsidTr="00812A67">
        <w:trPr>
          <w:trHeight w:val="300"/>
        </w:trPr>
        <w:tc>
          <w:tcPr>
            <w:tcW w:w="893" w:type="dxa"/>
            <w:vAlign w:val="center"/>
          </w:tcPr>
          <w:p w14:paraId="66691D4E" w14:textId="77777777" w:rsidR="003C7E76" w:rsidRPr="00D93047" w:rsidRDefault="003C7E76" w:rsidP="00812A67">
            <w:pPr>
              <w:contextualSpacing/>
              <w:rPr>
                <w:rFonts w:ascii="Verdana" w:hAnsi="Verdana" w:cs="Arial"/>
                <w:sz w:val="14"/>
                <w:szCs w:val="14"/>
                <w:lang w:val="es-ES" w:eastAsia="es-ES"/>
              </w:rPr>
            </w:pPr>
            <w:r w:rsidRPr="00D93047">
              <w:rPr>
                <w:rFonts w:ascii="Verdana" w:hAnsi="Verdana" w:cs="Arial"/>
                <w:sz w:val="14"/>
                <w:szCs w:val="14"/>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99613D9" w14:textId="77777777" w:rsidR="003C7E76" w:rsidRPr="00D93047" w:rsidRDefault="003C7E76" w:rsidP="00812A67">
            <w:pPr>
              <w:contextualSpacing/>
              <w:rPr>
                <w:rFonts w:ascii="Verdana" w:eastAsia="Calibri" w:hAnsi="Verdana" w:cs="Arial"/>
                <w:sz w:val="14"/>
                <w:szCs w:val="14"/>
                <w:lang w:val="pt-BR" w:eastAsia="es-ES"/>
              </w:rPr>
            </w:pPr>
            <w:r w:rsidRPr="00D93047">
              <w:rPr>
                <w:rFonts w:ascii="Verdana" w:eastAsia="Calibri" w:hAnsi="Verdana" w:cs="Arial"/>
                <w:sz w:val="14"/>
                <w:szCs w:val="14"/>
                <w:lang w:val="pt-BR" w:eastAsia="es-ES"/>
              </w:rPr>
              <w:t>Carolina Quintero Gacharná</w:t>
            </w:r>
          </w:p>
          <w:p w14:paraId="3D8455DB" w14:textId="77777777" w:rsidR="003C7E76" w:rsidRPr="00D93047" w:rsidRDefault="003C7E76" w:rsidP="00812A67">
            <w:pPr>
              <w:contextualSpacing/>
              <w:rPr>
                <w:rFonts w:ascii="Verdana" w:eastAsia="Calibri" w:hAnsi="Verdana" w:cs="Arial"/>
                <w:sz w:val="14"/>
                <w:szCs w:val="14"/>
                <w:lang w:val="pt-BR" w:eastAsia="es-ES"/>
              </w:rPr>
            </w:pPr>
            <w:r w:rsidRPr="00D93047">
              <w:rPr>
                <w:rFonts w:ascii="Verdana" w:eastAsia="Calibri" w:hAnsi="Verdana" w:cs="Arial"/>
                <w:sz w:val="14"/>
                <w:szCs w:val="14"/>
                <w:lang w:eastAsia="es-ES"/>
              </w:rPr>
              <w:t>Subdirectora</w:t>
            </w:r>
            <w:r w:rsidRPr="00D93047">
              <w:rPr>
                <w:rFonts w:ascii="Verdana" w:eastAsia="Calibri" w:hAnsi="Verdana" w:cs="Arial"/>
                <w:sz w:val="14"/>
                <w:szCs w:val="14"/>
                <w:lang w:val="pt-BR" w:eastAsia="es-ES"/>
              </w:rPr>
              <w:t xml:space="preserve"> de Gestión Contractual ANCP – CCE</w:t>
            </w:r>
          </w:p>
        </w:tc>
      </w:tr>
    </w:tbl>
    <w:p w14:paraId="0F293BF4" w14:textId="7BBFAB11" w:rsidR="00127233" w:rsidRPr="005A23AC" w:rsidRDefault="00127233" w:rsidP="00E24A13">
      <w:pPr>
        <w:rPr>
          <w:sz w:val="10"/>
          <w:szCs w:val="10"/>
        </w:rPr>
      </w:pPr>
    </w:p>
    <w:sectPr w:rsidR="00127233" w:rsidRPr="005A23AC"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20FB4" w14:textId="77777777" w:rsidR="003828EE" w:rsidRDefault="003828EE" w:rsidP="004A1847">
      <w:pPr>
        <w:spacing w:after="0" w:line="240" w:lineRule="auto"/>
      </w:pPr>
      <w:r>
        <w:separator/>
      </w:r>
    </w:p>
  </w:endnote>
  <w:endnote w:type="continuationSeparator" w:id="0">
    <w:p w14:paraId="50E9DF3C" w14:textId="77777777" w:rsidR="003828EE" w:rsidRDefault="003828EE" w:rsidP="004A1847">
      <w:pPr>
        <w:spacing w:after="0" w:line="240" w:lineRule="auto"/>
      </w:pPr>
      <w:r>
        <w:continuationSeparator/>
      </w:r>
    </w:p>
  </w:endnote>
  <w:endnote w:type="continuationNotice" w:id="1">
    <w:p w14:paraId="459A0A59" w14:textId="77777777" w:rsidR="003828EE" w:rsidRDefault="00382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7756F" w14:textId="77777777" w:rsidR="003828EE" w:rsidRDefault="003828EE" w:rsidP="004A1847">
      <w:pPr>
        <w:spacing w:after="0" w:line="240" w:lineRule="auto"/>
      </w:pPr>
      <w:r>
        <w:separator/>
      </w:r>
    </w:p>
  </w:footnote>
  <w:footnote w:type="continuationSeparator" w:id="0">
    <w:p w14:paraId="268EC189" w14:textId="77777777" w:rsidR="003828EE" w:rsidRDefault="003828EE" w:rsidP="004A1847">
      <w:pPr>
        <w:spacing w:after="0" w:line="240" w:lineRule="auto"/>
      </w:pPr>
      <w:r>
        <w:continuationSeparator/>
      </w:r>
    </w:p>
  </w:footnote>
  <w:footnote w:type="continuationNotice" w:id="1">
    <w:p w14:paraId="106BA451" w14:textId="77777777" w:rsidR="003828EE" w:rsidRDefault="003828EE">
      <w:pPr>
        <w:spacing w:after="0" w:line="240" w:lineRule="auto"/>
      </w:pPr>
    </w:p>
  </w:footnote>
  <w:footnote w:id="2">
    <w:p w14:paraId="6E83DFE7" w14:textId="504F365B" w:rsidR="003C7E76" w:rsidRPr="00914245" w:rsidRDefault="003C7E76" w:rsidP="001726AF">
      <w:pPr>
        <w:pStyle w:val="Textonotapie"/>
        <w:ind w:firstLine="709"/>
        <w:jc w:val="both"/>
        <w:rPr>
          <w:rFonts w:ascii="Arial" w:hAnsi="Arial" w:cs="Arial"/>
          <w:sz w:val="19"/>
          <w:szCs w:val="19"/>
        </w:rPr>
      </w:pPr>
      <w:r w:rsidRPr="00E559C8">
        <w:rPr>
          <w:rStyle w:val="Refdenotaalpie"/>
          <w:rFonts w:ascii="Verdana" w:hAnsi="Verdana" w:cs="Arial"/>
          <w:sz w:val="12"/>
          <w:szCs w:val="12"/>
        </w:rPr>
        <w:footnoteRef/>
      </w:r>
      <w:r w:rsidRPr="00E559C8">
        <w:rPr>
          <w:rFonts w:ascii="Verdana" w:hAnsi="Verdana" w:cs="Arial"/>
          <w:sz w:val="12"/>
          <w:szCs w:val="12"/>
        </w:rPr>
        <w:t xml:space="preserve"> Consejo de Estado. Sección Tercera. Sentencia del 1 de octubre de 2018. Consejera Ponente: Marta Nubia Velásquez Rico. Expediente: 57.897.</w:t>
      </w:r>
    </w:p>
  </w:footnote>
  <w:footnote w:id="3">
    <w:p w14:paraId="0DEB006D" w14:textId="2050086E" w:rsidR="003C7E76" w:rsidRPr="00E559C8" w:rsidRDefault="003C7E76" w:rsidP="001726AF">
      <w:pPr>
        <w:pStyle w:val="Textonotapie"/>
        <w:ind w:firstLine="709"/>
        <w:jc w:val="both"/>
        <w:rPr>
          <w:rFonts w:ascii="Verdana" w:hAnsi="Verdana" w:cs="Arial"/>
          <w:sz w:val="12"/>
          <w:szCs w:val="12"/>
        </w:rPr>
      </w:pPr>
      <w:r w:rsidRPr="00E559C8">
        <w:rPr>
          <w:rStyle w:val="Refdenotaalpie"/>
          <w:rFonts w:ascii="Verdana" w:hAnsi="Verdana" w:cs="Arial"/>
          <w:sz w:val="12"/>
          <w:szCs w:val="12"/>
        </w:rPr>
        <w:footnoteRef/>
      </w:r>
      <w:r w:rsidRPr="00E559C8">
        <w:rPr>
          <w:rFonts w:ascii="Verdana" w:hAnsi="Verdana" w:cs="Arial"/>
          <w:sz w:val="12"/>
          <w:szCs w:val="12"/>
        </w:rPr>
        <w:t xml:space="preserve"> Cfr. Consejo de Estado. Sección Tercera. Sentencia del 1 de junio de 2017. Consejero Ponente: Ramiro Pazos Guerrero. Expediente: 36.117, en la cual se analizó la suspensión de un contrato estatal debido a un paro armado promovido por grupos al margen de la ley en el sitio de ejecución de la obra.</w:t>
      </w:r>
    </w:p>
  </w:footnote>
  <w:footnote w:id="4">
    <w:p w14:paraId="333AEFA2" w14:textId="5BD7E4F6" w:rsidR="003C7E76" w:rsidRPr="00E559C8" w:rsidRDefault="003C7E76" w:rsidP="001726AF">
      <w:pPr>
        <w:pStyle w:val="Textonotapie"/>
        <w:ind w:firstLine="709"/>
        <w:jc w:val="both"/>
        <w:rPr>
          <w:rFonts w:ascii="Verdana" w:hAnsi="Verdana" w:cs="Arial"/>
          <w:sz w:val="12"/>
          <w:szCs w:val="12"/>
          <w:lang w:val="es-CO"/>
        </w:rPr>
      </w:pPr>
      <w:r w:rsidRPr="00E559C8">
        <w:rPr>
          <w:rStyle w:val="Refdenotaalpie"/>
          <w:rFonts w:ascii="Verdana" w:hAnsi="Verdana" w:cs="Arial"/>
          <w:sz w:val="12"/>
          <w:szCs w:val="12"/>
        </w:rPr>
        <w:footnoteRef/>
      </w:r>
      <w:r w:rsidRPr="00E559C8">
        <w:rPr>
          <w:rFonts w:ascii="Verdana" w:hAnsi="Verdana" w:cs="Arial"/>
          <w:sz w:val="12"/>
          <w:szCs w:val="12"/>
        </w:rPr>
        <w:t xml:space="preserve"> </w:t>
      </w:r>
      <w:r w:rsidRPr="00E559C8">
        <w:rPr>
          <w:rFonts w:ascii="Verdana" w:hAnsi="Verdana" w:cs="Arial"/>
          <w:sz w:val="12"/>
          <w:szCs w:val="12"/>
          <w:lang w:val="es-ES"/>
        </w:rPr>
        <w:t>El artículo 64 del Código Civil define la fuerza mayor o caso fortuito como «el imprevisto o que no es posible resistir, como un naufragio, un terremoto, el apresamiento de enemigos, los actos de autoridad ejercidos por un funcionario público, etc.”.</w:t>
      </w:r>
    </w:p>
  </w:footnote>
  <w:footnote w:id="5">
    <w:p w14:paraId="03FAA30F" w14:textId="0447C488" w:rsidR="003C7E76" w:rsidRPr="00E559C8" w:rsidRDefault="003C7E76" w:rsidP="001726AF">
      <w:pPr>
        <w:pStyle w:val="Textonotapie"/>
        <w:ind w:firstLine="709"/>
        <w:jc w:val="both"/>
        <w:rPr>
          <w:rFonts w:ascii="Verdana" w:hAnsi="Verdana" w:cs="Arial"/>
          <w:sz w:val="12"/>
          <w:szCs w:val="12"/>
          <w:lang w:val="es-CO"/>
        </w:rPr>
      </w:pPr>
      <w:r w:rsidRPr="00E559C8">
        <w:rPr>
          <w:rStyle w:val="Refdenotaalpie"/>
          <w:rFonts w:ascii="Verdana" w:hAnsi="Verdana" w:cs="Arial"/>
          <w:sz w:val="12"/>
          <w:szCs w:val="12"/>
        </w:rPr>
        <w:footnoteRef/>
      </w:r>
      <w:r w:rsidRPr="00E559C8">
        <w:rPr>
          <w:rFonts w:ascii="Verdana" w:hAnsi="Verdana" w:cs="Arial"/>
          <w:sz w:val="12"/>
          <w:szCs w:val="12"/>
        </w:rPr>
        <w:t xml:space="preserve"> “[…] De modo que, los contratos estatales pueden suspenderse de común acuerdo por la ocurrencia de circunstancias que lo justifiquen. Así, aunque subsiste el vínculo contractual no corre el plazo inicialmente pactado y no se ejecutan las obligaciones. El contrato se reinicia cuando se cumpla la condición o el término dispuesto en el acuerdo de suspensión o anticipadamente por convenio de las partes” (Consejo de Estado. Sección Tercera. Auto del 10 de mayo de 2019. Consejero Ponente: Guillermo Sánchez Luque. Expediente: 59.532).</w:t>
      </w:r>
    </w:p>
  </w:footnote>
  <w:footnote w:id="6">
    <w:p w14:paraId="6E71BD5A" w14:textId="1FDC3DD3" w:rsidR="003C7E76" w:rsidRPr="00914245" w:rsidRDefault="003C7E76" w:rsidP="001726AF">
      <w:pPr>
        <w:pStyle w:val="Textonotapie"/>
        <w:ind w:firstLine="709"/>
        <w:jc w:val="both"/>
        <w:rPr>
          <w:rFonts w:ascii="Arial" w:hAnsi="Arial" w:cs="Arial"/>
          <w:sz w:val="19"/>
          <w:szCs w:val="19"/>
          <w:lang w:val="es-CO"/>
        </w:rPr>
      </w:pPr>
      <w:r w:rsidRPr="00E559C8">
        <w:rPr>
          <w:rStyle w:val="Refdenotaalpie"/>
          <w:rFonts w:ascii="Verdana" w:hAnsi="Verdana" w:cs="Arial"/>
          <w:sz w:val="12"/>
          <w:szCs w:val="12"/>
        </w:rPr>
        <w:footnoteRef/>
      </w:r>
      <w:r w:rsidRPr="00E559C8">
        <w:rPr>
          <w:rFonts w:ascii="Verdana" w:hAnsi="Verdana" w:cs="Arial"/>
          <w:sz w:val="12"/>
          <w:szCs w:val="12"/>
        </w:rPr>
        <w:t xml:space="preserve"> “[…] en pronunciamiento del año 2012, la Sala de esta Subsección señaló que la suspensión del contrato, más estrictamente de la ejecución del contrato, como medida excepcional procede, por regla general, de consuno entre las partes, cuando situaciones de fuerza mayor, caso fortuito o de interés público impidan, temporalmente, cumplir el objeto de las obligaciones a cargo de las partes contratantes, de modo que el principal efecto que se desprende de la suspensión es que las obligaciones convenidas no pueden hacerse exigibles mientras perdure la medida y, por lo mismo, el término o plazo pactado del contrato (de ejecución o extintivo) no corre mientras permanezca suspendido. Por esa misma razón, la suspensión debe estar sujeta a un modo específico, plazo o condición, pactado con criterios de razonabilidad y proporcionalidad, acorde con la situación que se presente en cada caso, pero no puede permanecer indefinida en el tiempo» (Consejo de Estado. Sección Tercera. Sentencia del 16 de julio de 2015. Consejero Ponente: Carlos Alberto Zambrano Barrera. Expediente: 31.634).</w:t>
      </w:r>
    </w:p>
  </w:footnote>
  <w:footnote w:id="7">
    <w:p w14:paraId="1C7A2B25" w14:textId="77777777" w:rsidR="003C7E76" w:rsidRPr="00E559C8" w:rsidRDefault="003C7E76" w:rsidP="001726AF">
      <w:pPr>
        <w:pStyle w:val="Textonotapie"/>
        <w:ind w:firstLine="709"/>
        <w:jc w:val="both"/>
        <w:rPr>
          <w:rFonts w:ascii="Verdana" w:hAnsi="Verdana" w:cs="Arial"/>
          <w:sz w:val="12"/>
          <w:szCs w:val="12"/>
          <w:lang w:val="es-ES"/>
        </w:rPr>
      </w:pPr>
      <w:r w:rsidRPr="00E559C8">
        <w:rPr>
          <w:rStyle w:val="Refdenotaalpie"/>
          <w:rFonts w:ascii="Verdana" w:hAnsi="Verdana" w:cs="Arial"/>
          <w:sz w:val="12"/>
          <w:szCs w:val="12"/>
        </w:rPr>
        <w:footnoteRef/>
      </w:r>
      <w:r w:rsidRPr="00E559C8">
        <w:rPr>
          <w:rFonts w:ascii="Verdana" w:hAnsi="Verdana" w:cs="Arial"/>
          <w:sz w:val="12"/>
          <w:szCs w:val="12"/>
        </w:rPr>
        <w:t xml:space="preserve"> </w:t>
      </w:r>
      <w:r w:rsidRPr="00E559C8">
        <w:rPr>
          <w:rFonts w:ascii="Verdana" w:hAnsi="Verdana" w:cs="Arial"/>
          <w:sz w:val="12"/>
          <w:szCs w:val="12"/>
          <w:lang w:val="es-ES"/>
        </w:rPr>
        <w:t>En circunstancias como la mencionada la entidad podría hacer uso de las cláusulas de caducidad o de terminación unilateral, reguladas en los artículos 17 y 18 de la Ley 80 de 1993, según el caso.</w:t>
      </w:r>
    </w:p>
  </w:footnote>
  <w:footnote w:id="8">
    <w:p w14:paraId="15D5F140" w14:textId="77777777" w:rsidR="003C7E76" w:rsidRPr="00E559C8" w:rsidRDefault="003C7E76" w:rsidP="001726AF">
      <w:pPr>
        <w:pStyle w:val="Textonotapie"/>
        <w:ind w:firstLine="709"/>
        <w:jc w:val="both"/>
        <w:rPr>
          <w:rFonts w:ascii="Verdana" w:hAnsi="Verdana" w:cs="Arial"/>
          <w:sz w:val="12"/>
          <w:szCs w:val="12"/>
          <w:lang w:val="es-ES"/>
        </w:rPr>
      </w:pPr>
      <w:r w:rsidRPr="00E559C8">
        <w:rPr>
          <w:rStyle w:val="Refdenotaalpie"/>
          <w:rFonts w:ascii="Verdana" w:hAnsi="Verdana" w:cs="Arial"/>
          <w:sz w:val="12"/>
          <w:szCs w:val="12"/>
        </w:rPr>
        <w:footnoteRef/>
      </w:r>
      <w:r w:rsidRPr="00E559C8">
        <w:rPr>
          <w:rFonts w:ascii="Verdana" w:hAnsi="Verdana" w:cs="Arial"/>
          <w:sz w:val="12"/>
          <w:szCs w:val="12"/>
        </w:rPr>
        <w:t xml:space="preserve"> </w:t>
      </w:r>
      <w:r w:rsidRPr="00E559C8">
        <w:rPr>
          <w:rFonts w:ascii="Verdana" w:hAnsi="Verdana" w:cs="Arial"/>
          <w:sz w:val="12"/>
          <w:szCs w:val="12"/>
          <w:lang w:val="es-ES"/>
        </w:rPr>
        <w:t>En efecto, el artículo 50 de la Ley 80 de 1993 establece: «Las entidades responderán por las actuaciones, abstenciones, hechos y omisiones antijurídicos que les sean imputables y que causen perjuicios a sus contratistas. En tales casos deberán indemnizar la disminución patrimonial que se ocasione, la prolongación de la misma y la ganancia, beneficio o provecho dejados de percibir por el contratista». Por su parte, el artículo 52 de la misma Ley señala: «Los contratistas responderán civil y penalmente por sus acciones y omisiones en la actuación contractual en los términos de la ley.</w:t>
      </w:r>
    </w:p>
    <w:p w14:paraId="2BE2012E" w14:textId="5580C2A3" w:rsidR="003C7E76" w:rsidRPr="00914245" w:rsidRDefault="003C7E76" w:rsidP="001726AF">
      <w:pPr>
        <w:pStyle w:val="Textonotapie"/>
        <w:ind w:firstLine="709"/>
        <w:jc w:val="both"/>
        <w:rPr>
          <w:rFonts w:ascii="Arial" w:hAnsi="Arial" w:cs="Arial"/>
          <w:sz w:val="19"/>
          <w:szCs w:val="19"/>
          <w:lang w:val="es-CO"/>
        </w:rPr>
      </w:pPr>
      <w:r w:rsidRPr="00E559C8">
        <w:rPr>
          <w:rFonts w:ascii="Verdana" w:hAnsi="Verdana" w:cs="Arial"/>
          <w:sz w:val="12"/>
          <w:szCs w:val="12"/>
          <w:lang w:val="es-ES"/>
        </w:rPr>
        <w:t>Los consorcios y uniones temporales responderán por las acciones y omisiones de sus integrantes, en los términos del artículo 7o. de esta ley”.</w:t>
      </w:r>
    </w:p>
  </w:footnote>
  <w:footnote w:id="9">
    <w:p w14:paraId="693115C1" w14:textId="66A9304C" w:rsidR="003C7E76" w:rsidRPr="00995288" w:rsidRDefault="003C7E76" w:rsidP="003C7E76">
      <w:pPr>
        <w:pStyle w:val="Textonotapie"/>
        <w:ind w:firstLine="708"/>
        <w:jc w:val="both"/>
        <w:rPr>
          <w:rFonts w:ascii="Verdana" w:hAnsi="Verdana" w:cs="Arial"/>
          <w:color w:val="000000" w:themeColor="text1"/>
          <w:sz w:val="14"/>
          <w:szCs w:val="14"/>
        </w:rPr>
      </w:pPr>
      <w:r w:rsidRPr="00995288">
        <w:rPr>
          <w:rStyle w:val="Refdenotaalpie"/>
          <w:rFonts w:ascii="Verdana" w:hAnsi="Verdana" w:cs="Arial"/>
          <w:color w:val="000000" w:themeColor="text1"/>
          <w:sz w:val="14"/>
          <w:szCs w:val="14"/>
        </w:rPr>
        <w:footnoteRef/>
      </w:r>
      <w:r w:rsidRPr="00995288">
        <w:rPr>
          <w:rFonts w:ascii="Verdana" w:hAnsi="Verdana" w:cs="Arial"/>
          <w:color w:val="000000" w:themeColor="text1"/>
          <w:sz w:val="14"/>
          <w:szCs w:val="14"/>
        </w:rPr>
        <w:t xml:space="preserve"> EXPÓSITO VÉLEZ. Juan Carlos. Forma y contenido del contrato estatal, p. 90.</w:t>
      </w:r>
    </w:p>
  </w:footnote>
  <w:footnote w:id="10">
    <w:p w14:paraId="2C054C0C" w14:textId="10D02DA0" w:rsidR="003C7E76" w:rsidRPr="009E66C2" w:rsidRDefault="003C7E76" w:rsidP="003C7E76">
      <w:pPr>
        <w:pStyle w:val="Textonotapie"/>
        <w:ind w:firstLine="708"/>
        <w:jc w:val="both"/>
        <w:rPr>
          <w:rFonts w:ascii="Verdana" w:hAnsi="Verdana" w:cs="Arial"/>
          <w:color w:val="000000" w:themeColor="text1"/>
          <w:sz w:val="12"/>
          <w:szCs w:val="12"/>
        </w:rPr>
      </w:pPr>
      <w:r w:rsidRPr="009E66C2">
        <w:rPr>
          <w:rStyle w:val="Refdenotaalpie"/>
          <w:rFonts w:ascii="Verdana" w:hAnsi="Verdana" w:cs="Arial"/>
          <w:color w:val="000000" w:themeColor="text1"/>
          <w:sz w:val="12"/>
          <w:szCs w:val="12"/>
        </w:rPr>
        <w:footnoteRef/>
      </w:r>
      <w:r w:rsidRPr="009E66C2">
        <w:rPr>
          <w:rFonts w:ascii="Verdana" w:hAnsi="Verdana" w:cs="Arial"/>
          <w:color w:val="000000" w:themeColor="text1"/>
          <w:sz w:val="12"/>
          <w:szCs w:val="12"/>
        </w:rPr>
        <w:t xml:space="preserve"> CONSEJO DE ESTADO, Sala de Consulta y Servicio Civil. Radicado No. 1453. Concepto de 6 de agosto de 2003. MP. Augusto Trejos.</w:t>
      </w:r>
    </w:p>
  </w:footnote>
  <w:footnote w:id="11">
    <w:p w14:paraId="62432CD8" w14:textId="77777777" w:rsidR="003C7E76" w:rsidRPr="009E66C2" w:rsidRDefault="003C7E76" w:rsidP="003C7E76">
      <w:pPr>
        <w:pStyle w:val="Textonotapie"/>
        <w:ind w:firstLine="708"/>
        <w:jc w:val="both"/>
        <w:rPr>
          <w:rFonts w:ascii="Verdana" w:hAnsi="Verdana" w:cs="Arial"/>
          <w:color w:val="000000" w:themeColor="text1"/>
          <w:sz w:val="12"/>
          <w:szCs w:val="12"/>
          <w:lang w:val="es-ES"/>
        </w:rPr>
      </w:pPr>
      <w:r w:rsidRPr="009E66C2">
        <w:rPr>
          <w:rStyle w:val="Refdenotaalpie"/>
          <w:rFonts w:ascii="Verdana" w:hAnsi="Verdana" w:cs="Arial"/>
          <w:color w:val="000000" w:themeColor="text1"/>
          <w:sz w:val="12"/>
          <w:szCs w:val="12"/>
        </w:rPr>
        <w:footnoteRef/>
      </w:r>
      <w:r w:rsidRPr="009E66C2">
        <w:rPr>
          <w:rFonts w:ascii="Verdana" w:hAnsi="Verdana" w:cs="Arial"/>
          <w:color w:val="000000" w:themeColor="text1"/>
          <w:sz w:val="12"/>
          <w:szCs w:val="12"/>
        </w:rPr>
        <w:t xml:space="preserve"> </w:t>
      </w:r>
      <w:r w:rsidRPr="009E66C2">
        <w:rPr>
          <w:rFonts w:ascii="Verdana" w:hAnsi="Verdana" w:cs="Arial"/>
          <w:color w:val="000000" w:themeColor="text1"/>
          <w:sz w:val="12"/>
          <w:szCs w:val="12"/>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461C350F" w14:textId="77777777" w:rsidR="003C7E76" w:rsidRPr="009E66C2" w:rsidRDefault="003C7E76" w:rsidP="003C7E76">
      <w:pPr>
        <w:pStyle w:val="Textonotapie"/>
        <w:ind w:firstLine="708"/>
        <w:jc w:val="both"/>
        <w:rPr>
          <w:rFonts w:ascii="Verdana" w:hAnsi="Verdana" w:cs="Arial"/>
          <w:color w:val="000000" w:themeColor="text1"/>
          <w:sz w:val="12"/>
          <w:szCs w:val="12"/>
          <w:lang w:val="es-ES"/>
        </w:rPr>
      </w:pPr>
      <w:r w:rsidRPr="009E66C2">
        <w:rPr>
          <w:rFonts w:ascii="Verdana" w:hAnsi="Verdana" w:cs="Arial"/>
          <w:color w:val="000000" w:themeColor="text1"/>
          <w:sz w:val="12"/>
          <w:szCs w:val="12"/>
          <w:lang w:val="es-ES"/>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432C4B14" w14:textId="77777777" w:rsidR="003C7E76" w:rsidRPr="009E66C2" w:rsidRDefault="003C7E76" w:rsidP="003C7E76">
      <w:pPr>
        <w:pStyle w:val="Textonotapie"/>
        <w:ind w:firstLine="708"/>
        <w:jc w:val="both"/>
        <w:rPr>
          <w:rFonts w:ascii="Verdana" w:hAnsi="Verdana" w:cs="Arial"/>
          <w:color w:val="000000" w:themeColor="text1"/>
          <w:sz w:val="12"/>
          <w:szCs w:val="12"/>
          <w:lang w:val="es-ES"/>
        </w:rPr>
      </w:pPr>
      <w:r w:rsidRPr="009E66C2">
        <w:rPr>
          <w:rFonts w:ascii="Verdana" w:hAnsi="Verdana" w:cs="Arial"/>
          <w:color w:val="000000" w:themeColor="text1"/>
          <w:sz w:val="12"/>
          <w:szCs w:val="12"/>
          <w:lang w:val="es-ES"/>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154914D0" w14:textId="77777777" w:rsidR="003C7E76" w:rsidRPr="00505B0E" w:rsidRDefault="003C7E76" w:rsidP="003C7E76">
      <w:pPr>
        <w:pStyle w:val="Textonotapie"/>
        <w:ind w:firstLine="708"/>
        <w:jc w:val="both"/>
        <w:rPr>
          <w:rFonts w:ascii="Century Gothic" w:hAnsi="Century Gothic" w:cs="Arial"/>
          <w:color w:val="000000" w:themeColor="text1"/>
          <w:sz w:val="16"/>
          <w:szCs w:val="16"/>
          <w:lang w:val="es-ES"/>
        </w:rPr>
      </w:pPr>
      <w:r w:rsidRPr="009E66C2">
        <w:rPr>
          <w:rFonts w:ascii="Verdana" w:hAnsi="Verdana" w:cs="Arial"/>
          <w:color w:val="000000" w:themeColor="text1"/>
          <w:sz w:val="12"/>
          <w:szCs w:val="12"/>
          <w:lang w:val="es-ES"/>
        </w:rPr>
        <w:t>“Los contratistas tendrán derecho a efectuar salvedades a la liquidación por mutuo acuerdo, y en este evento la liquidación unilateral solo procederá en relación con los aspectos que no hayan sido objeto de acuerdo¨.</w:t>
      </w:r>
    </w:p>
  </w:footnote>
  <w:footnote w:id="12">
    <w:p w14:paraId="120F35E3" w14:textId="282D0504" w:rsidR="003C7E76" w:rsidRPr="00261F31" w:rsidRDefault="003C7E76" w:rsidP="00857234">
      <w:pPr>
        <w:pStyle w:val="Textonotapie"/>
        <w:ind w:firstLine="709"/>
        <w:jc w:val="both"/>
        <w:rPr>
          <w:rFonts w:ascii="Verdana" w:hAnsi="Verdana" w:cs="Arial"/>
          <w:color w:val="000000" w:themeColor="text1"/>
          <w:sz w:val="12"/>
          <w:szCs w:val="12"/>
          <w:lang w:val="es-CO"/>
        </w:rPr>
      </w:pPr>
      <w:r w:rsidRPr="00261F31">
        <w:rPr>
          <w:rStyle w:val="Refdenotaalpie"/>
          <w:rFonts w:ascii="Verdana" w:hAnsi="Verdana" w:cs="Arial"/>
          <w:color w:val="000000" w:themeColor="text1"/>
          <w:sz w:val="12"/>
          <w:szCs w:val="12"/>
        </w:rPr>
        <w:footnoteRef/>
      </w:r>
      <w:r w:rsidRPr="00261F31">
        <w:rPr>
          <w:rFonts w:ascii="Verdana" w:hAnsi="Verdana" w:cs="Arial"/>
          <w:color w:val="000000" w:themeColor="text1"/>
          <w:sz w:val="12"/>
          <w:szCs w:val="12"/>
        </w:rPr>
        <w:t xml:space="preserve"> CONSEJO DE ESTADO, Sección Tercera, Subsección C, Sentencia del 24 de julio de 2013, radicado No. 25.642, Consejero Ponente Enrique Gil Botero.</w:t>
      </w:r>
    </w:p>
  </w:footnote>
  <w:footnote w:id="13">
    <w:p w14:paraId="6C930334" w14:textId="77777777" w:rsidR="003C7E76" w:rsidRPr="00261F31" w:rsidRDefault="003C7E76" w:rsidP="00857234">
      <w:pPr>
        <w:pStyle w:val="NormalWeb"/>
        <w:spacing w:after="0"/>
        <w:ind w:firstLine="709"/>
        <w:jc w:val="both"/>
        <w:rPr>
          <w:rFonts w:ascii="Verdana" w:hAnsi="Verdana" w:cs="Arial"/>
          <w:color w:val="000000" w:themeColor="text1"/>
          <w:sz w:val="12"/>
          <w:szCs w:val="12"/>
        </w:rPr>
      </w:pPr>
      <w:r w:rsidRPr="00261F31">
        <w:rPr>
          <w:rStyle w:val="Refdenotaalpie"/>
          <w:rFonts w:ascii="Verdana" w:hAnsi="Verdana" w:cs="Arial"/>
          <w:color w:val="000000" w:themeColor="text1"/>
          <w:sz w:val="12"/>
          <w:szCs w:val="12"/>
        </w:rPr>
        <w:footnoteRef/>
      </w:r>
      <w:r w:rsidRPr="00261F31">
        <w:rPr>
          <w:rFonts w:ascii="Verdana" w:hAnsi="Verdana" w:cs="Arial"/>
          <w:color w:val="000000" w:themeColor="text1"/>
          <w:sz w:val="12"/>
          <w:szCs w:val="12"/>
        </w:rPr>
        <w:t xml:space="preserve"> Decreto 1082 de 2015 “</w:t>
      </w:r>
      <w:r w:rsidRPr="00261F31">
        <w:rPr>
          <w:rStyle w:val="Textoennegrita"/>
          <w:rFonts w:ascii="Verdana" w:hAnsi="Verdana" w:cs="Arial"/>
          <w:color w:val="000000" w:themeColor="text1"/>
          <w:sz w:val="12"/>
          <w:szCs w:val="12"/>
        </w:rPr>
        <w:t>Artículo 2.2.1.2.1.5.2. </w:t>
      </w:r>
      <w:r w:rsidRPr="00261F31">
        <w:rPr>
          <w:rStyle w:val="nfasis"/>
          <w:rFonts w:ascii="Verdana" w:eastAsiaTheme="minorEastAsia" w:hAnsi="Verdana" w:cs="Arial"/>
          <w:color w:val="000000" w:themeColor="text1"/>
          <w:sz w:val="12"/>
          <w:szCs w:val="12"/>
        </w:rPr>
        <w:t>Procedimiento para la contratación de mínima cuantía. </w:t>
      </w:r>
      <w:r w:rsidRPr="00261F31">
        <w:rPr>
          <w:rFonts w:ascii="Verdana" w:hAnsi="Verdana" w:cs="Arial"/>
          <w:color w:val="000000" w:themeColor="text1"/>
          <w:sz w:val="12"/>
          <w:szCs w:val="12"/>
        </w:rPr>
        <w:t>Las siguientes reglas son aplicables a la contratación cuyo valor no excede del 10% de la menor cuantía de la Entidad Estatal, independientemente de su objeto: </w:t>
      </w:r>
    </w:p>
    <w:p w14:paraId="0B819A32" w14:textId="0FBB8700" w:rsidR="003C7E76" w:rsidRPr="00261F31" w:rsidRDefault="003C7E76" w:rsidP="00857234">
      <w:pPr>
        <w:pStyle w:val="NormalWeb"/>
        <w:spacing w:after="0"/>
        <w:jc w:val="both"/>
        <w:rPr>
          <w:rFonts w:ascii="Verdana" w:hAnsi="Verdana" w:cs="Arial"/>
          <w:color w:val="000000" w:themeColor="text1"/>
          <w:sz w:val="12"/>
          <w:szCs w:val="12"/>
        </w:rPr>
      </w:pPr>
      <w:r w:rsidRPr="00261F31">
        <w:rPr>
          <w:rFonts w:ascii="Verdana" w:hAnsi="Verdana" w:cs="Arial"/>
          <w:color w:val="000000" w:themeColor="text1"/>
          <w:sz w:val="12"/>
          <w:szCs w:val="12"/>
        </w:rPr>
        <w:t>  </w:t>
      </w:r>
      <w:r w:rsidRPr="00261F31">
        <w:rPr>
          <w:rFonts w:ascii="Verdana" w:hAnsi="Verdana" w:cs="Arial"/>
          <w:color w:val="000000" w:themeColor="text1"/>
          <w:sz w:val="12"/>
          <w:szCs w:val="12"/>
        </w:rPr>
        <w:tab/>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 </w:t>
      </w:r>
    </w:p>
  </w:footnote>
  <w:footnote w:id="14">
    <w:p w14:paraId="06052BF6" w14:textId="16C602F4" w:rsidR="003C7E76" w:rsidRPr="00261F31" w:rsidRDefault="003C7E76" w:rsidP="00857234">
      <w:pPr>
        <w:pStyle w:val="Textonotapie"/>
        <w:ind w:firstLine="709"/>
        <w:jc w:val="both"/>
        <w:rPr>
          <w:rFonts w:ascii="Verdana" w:hAnsi="Verdana" w:cs="Arial"/>
          <w:color w:val="000000" w:themeColor="text1"/>
          <w:sz w:val="12"/>
          <w:szCs w:val="12"/>
        </w:rPr>
      </w:pPr>
      <w:r w:rsidRPr="00261F31">
        <w:rPr>
          <w:rStyle w:val="Refdenotaalpie"/>
          <w:rFonts w:ascii="Verdana" w:hAnsi="Verdana" w:cs="Arial"/>
          <w:color w:val="000000" w:themeColor="text1"/>
          <w:sz w:val="12"/>
          <w:szCs w:val="12"/>
        </w:rPr>
        <w:footnoteRef/>
      </w:r>
      <w:r w:rsidRPr="00261F31">
        <w:rPr>
          <w:rFonts w:ascii="Verdana" w:hAnsi="Verdana" w:cs="Arial"/>
          <w:color w:val="000000" w:themeColor="text1"/>
          <w:sz w:val="12"/>
          <w:szCs w:val="12"/>
        </w:rPr>
        <w:t xml:space="preserve"> Ley 80 de 1993 “</w:t>
      </w:r>
      <w:r w:rsidRPr="00261F31">
        <w:rPr>
          <w:rStyle w:val="Textoennegrita"/>
          <w:rFonts w:ascii="Verdana" w:hAnsi="Verdana" w:cs="Arial"/>
          <w:color w:val="000000" w:themeColor="text1"/>
          <w:sz w:val="12"/>
          <w:szCs w:val="12"/>
        </w:rPr>
        <w:t>Artículo 77. De la normatividad aplicable en las actuaciones administrativas.</w:t>
      </w:r>
      <w:r w:rsidRPr="00261F31">
        <w:rPr>
          <w:rFonts w:ascii="Verdana" w:hAnsi="Verdana" w:cs="Arial"/>
          <w:color w:val="000000" w:themeColor="text1"/>
          <w:sz w:val="12"/>
          <w:szCs w:val="12"/>
        </w:rPr>
        <w:t>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 </w:t>
      </w:r>
    </w:p>
  </w:footnote>
  <w:footnote w:id="15">
    <w:p w14:paraId="77118680" w14:textId="2200B96B" w:rsidR="003C7E76" w:rsidRPr="00261F31" w:rsidRDefault="003C7E76" w:rsidP="00857234">
      <w:pPr>
        <w:pStyle w:val="NormalWeb"/>
        <w:spacing w:after="0"/>
        <w:ind w:firstLine="709"/>
        <w:jc w:val="both"/>
        <w:rPr>
          <w:rFonts w:ascii="Verdana" w:hAnsi="Verdana" w:cs="Arial"/>
          <w:color w:val="000000" w:themeColor="text1"/>
          <w:sz w:val="12"/>
          <w:szCs w:val="12"/>
        </w:rPr>
      </w:pPr>
      <w:r w:rsidRPr="00261F31">
        <w:rPr>
          <w:rStyle w:val="Refdenotaalpie"/>
          <w:rFonts w:ascii="Verdana" w:hAnsi="Verdana" w:cs="Arial"/>
          <w:color w:val="000000" w:themeColor="text1"/>
          <w:sz w:val="12"/>
          <w:szCs w:val="12"/>
        </w:rPr>
        <w:footnoteRef/>
      </w:r>
      <w:r w:rsidRPr="00261F31">
        <w:rPr>
          <w:rFonts w:ascii="Verdana" w:hAnsi="Verdana" w:cs="Arial"/>
          <w:color w:val="000000" w:themeColor="text1"/>
          <w:sz w:val="12"/>
          <w:szCs w:val="12"/>
        </w:rPr>
        <w:t xml:space="preserve"> Ley 80 de 1993 “</w:t>
      </w:r>
      <w:r w:rsidRPr="00261F31">
        <w:rPr>
          <w:rStyle w:val="Textoennegrita"/>
          <w:rFonts w:ascii="Verdana" w:hAnsi="Verdana" w:cs="Arial"/>
          <w:color w:val="000000" w:themeColor="text1"/>
          <w:sz w:val="12"/>
          <w:szCs w:val="12"/>
        </w:rPr>
        <w:t>Artículo 25. Del principio de economía.</w:t>
      </w:r>
      <w:r w:rsidRPr="00261F31">
        <w:rPr>
          <w:rFonts w:ascii="Verdana" w:hAnsi="Verdana" w:cs="Arial"/>
          <w:color w:val="000000" w:themeColor="text1"/>
          <w:sz w:val="12"/>
          <w:szCs w:val="12"/>
        </w:rPr>
        <w:t> En virtud de este principio:</w:t>
      </w:r>
    </w:p>
    <w:p w14:paraId="7661D44F" w14:textId="10D5F7DE" w:rsidR="003C7E76" w:rsidRPr="00261F31" w:rsidRDefault="003C7E76" w:rsidP="00857234">
      <w:pPr>
        <w:pStyle w:val="NormalWeb"/>
        <w:spacing w:after="0"/>
        <w:ind w:firstLine="709"/>
        <w:jc w:val="both"/>
        <w:rPr>
          <w:rFonts w:ascii="Verdana" w:hAnsi="Verdana" w:cs="Arial"/>
          <w:color w:val="000000" w:themeColor="text1"/>
          <w:sz w:val="12"/>
          <w:szCs w:val="12"/>
        </w:rPr>
      </w:pPr>
      <w:r w:rsidRPr="00261F31">
        <w:rPr>
          <w:rFonts w:ascii="Verdana" w:hAnsi="Verdana" w:cs="Arial"/>
          <w:color w:val="000000" w:themeColor="text1"/>
          <w:sz w:val="12"/>
          <w:szCs w:val="12"/>
        </w:rPr>
        <w:t>4o. Los trámites se adelantarán con austeridad de tiempo, medios y gastos y se impedirán las dilaciones y los retardos en la ejecución del contrato. </w:t>
      </w:r>
    </w:p>
    <w:p w14:paraId="221AC5A0" w14:textId="4EE87D42" w:rsidR="003C7E76" w:rsidRPr="001726AF" w:rsidRDefault="003C7E76" w:rsidP="003C7E76">
      <w:pPr>
        <w:pStyle w:val="NormalWeb"/>
        <w:spacing w:after="0"/>
        <w:jc w:val="both"/>
        <w:rPr>
          <w:rFonts w:ascii="Verdana" w:hAnsi="Verdana" w:cs="Arial"/>
          <w:color w:val="000000" w:themeColor="text1"/>
          <w:sz w:val="16"/>
          <w:szCs w:val="16"/>
        </w:rPr>
      </w:pPr>
      <w:r w:rsidRPr="00261F31">
        <w:rPr>
          <w:rFonts w:ascii="Verdana" w:hAnsi="Verdana" w:cs="Arial"/>
          <w:color w:val="000000" w:themeColor="text1"/>
          <w:sz w:val="12"/>
          <w:szCs w:val="12"/>
        </w:rPr>
        <w:t>  </w:t>
      </w:r>
      <w:r w:rsidRPr="00261F31">
        <w:rPr>
          <w:rFonts w:ascii="Verdana" w:hAnsi="Verdana" w:cs="Arial"/>
          <w:color w:val="000000" w:themeColor="text1"/>
          <w:sz w:val="12"/>
          <w:szCs w:val="12"/>
        </w:rPr>
        <w:tab/>
        <w:t>5o. Se adoptarán procedimientos que garanticen la pronta solución de las diferencias y controversias que con motivo de la celebración y ejecución del contrato se presenten”.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E3B19" w14:textId="77777777" w:rsidR="00487D9A" w:rsidRDefault="00487D9A">
    <w:pPr>
      <w:pStyle w:val="Encabezado"/>
    </w:pPr>
  </w:p>
  <w:p w14:paraId="468C4BE9" w14:textId="77777777" w:rsidR="00412BE3" w:rsidRDefault="00412BE3">
    <w:pPr>
      <w:pStyle w:val="Encabezado"/>
    </w:pPr>
  </w:p>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4D435B76" w14:textId="77777777" w:rsidR="00487D9A" w:rsidRDefault="00487D9A">
    <w:pPr>
      <w:pStyle w:val="Encabezado"/>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436810"/>
    <w:multiLevelType w:val="hybridMultilevel"/>
    <w:tmpl w:val="FFA4D0D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8D5421"/>
    <w:multiLevelType w:val="hybridMultilevel"/>
    <w:tmpl w:val="53DA35F2"/>
    <w:lvl w:ilvl="0" w:tplc="E9EE007A">
      <w:numFmt w:val="bullet"/>
      <w:lvlText w:val="•"/>
      <w:lvlJc w:val="left"/>
      <w:pPr>
        <w:ind w:left="720" w:hanging="360"/>
      </w:pPr>
      <w:rPr>
        <w:rFont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8"/>
  </w:num>
  <w:num w:numId="2" w16cid:durableId="19822139">
    <w:abstractNumId w:val="3"/>
  </w:num>
  <w:num w:numId="3" w16cid:durableId="876742304">
    <w:abstractNumId w:val="5"/>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5"/>
  </w:num>
  <w:num w:numId="7" w16cid:durableId="1946422806">
    <w:abstractNumId w:val="7"/>
  </w:num>
  <w:num w:numId="8" w16cid:durableId="152644682">
    <w:abstractNumId w:val="14"/>
  </w:num>
  <w:num w:numId="9" w16cid:durableId="1317221377">
    <w:abstractNumId w:val="9"/>
  </w:num>
  <w:num w:numId="10" w16cid:durableId="1471245386">
    <w:abstractNumId w:val="13"/>
  </w:num>
  <w:num w:numId="11" w16cid:durableId="289172385">
    <w:abstractNumId w:val="10"/>
  </w:num>
  <w:num w:numId="12" w16cid:durableId="1470781324">
    <w:abstractNumId w:val="2"/>
  </w:num>
  <w:num w:numId="13" w16cid:durableId="1512908409">
    <w:abstractNumId w:val="4"/>
  </w:num>
  <w:num w:numId="14" w16cid:durableId="895897244">
    <w:abstractNumId w:val="16"/>
  </w:num>
  <w:num w:numId="15" w16cid:durableId="390349800">
    <w:abstractNumId w:val="12"/>
  </w:num>
  <w:num w:numId="16" w16cid:durableId="341274352">
    <w:abstractNumId w:val="0"/>
  </w:num>
  <w:num w:numId="17" w16cid:durableId="1492209491">
    <w:abstractNumId w:val="6"/>
  </w:num>
  <w:num w:numId="18" w16cid:durableId="679089576">
    <w:abstractNumId w:val="11"/>
  </w:num>
  <w:num w:numId="19" w16cid:durableId="748577988">
    <w:abstractNumId w:val="17"/>
  </w:num>
  <w:num w:numId="20" w16cid:durableId="1047024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779F"/>
    <w:rsid w:val="00061B2A"/>
    <w:rsid w:val="00082362"/>
    <w:rsid w:val="00095993"/>
    <w:rsid w:val="000A1E76"/>
    <w:rsid w:val="000A683E"/>
    <w:rsid w:val="000B19B9"/>
    <w:rsid w:val="000B4642"/>
    <w:rsid w:val="000D0334"/>
    <w:rsid w:val="000F6486"/>
    <w:rsid w:val="00125105"/>
    <w:rsid w:val="00127233"/>
    <w:rsid w:val="00130174"/>
    <w:rsid w:val="00165B14"/>
    <w:rsid w:val="001726AF"/>
    <w:rsid w:val="001C64AB"/>
    <w:rsid w:val="001E4177"/>
    <w:rsid w:val="001F7DC6"/>
    <w:rsid w:val="00224A28"/>
    <w:rsid w:val="00230DB6"/>
    <w:rsid w:val="002421BB"/>
    <w:rsid w:val="0025796E"/>
    <w:rsid w:val="00261F31"/>
    <w:rsid w:val="002707A2"/>
    <w:rsid w:val="002951A0"/>
    <w:rsid w:val="002962BC"/>
    <w:rsid w:val="002A093D"/>
    <w:rsid w:val="002A0DD0"/>
    <w:rsid w:val="002A49AC"/>
    <w:rsid w:val="002A64FD"/>
    <w:rsid w:val="002B1DEE"/>
    <w:rsid w:val="002B6C0A"/>
    <w:rsid w:val="002C29BF"/>
    <w:rsid w:val="002C39B5"/>
    <w:rsid w:val="002C7A84"/>
    <w:rsid w:val="002D5626"/>
    <w:rsid w:val="002E4FD9"/>
    <w:rsid w:val="00322A85"/>
    <w:rsid w:val="00324168"/>
    <w:rsid w:val="00335D8D"/>
    <w:rsid w:val="003448F4"/>
    <w:rsid w:val="0036074B"/>
    <w:rsid w:val="00365962"/>
    <w:rsid w:val="00374F5E"/>
    <w:rsid w:val="00377E3E"/>
    <w:rsid w:val="003828EE"/>
    <w:rsid w:val="00384529"/>
    <w:rsid w:val="00397DFE"/>
    <w:rsid w:val="003A26D1"/>
    <w:rsid w:val="003A779E"/>
    <w:rsid w:val="003C7E76"/>
    <w:rsid w:val="003D0F4D"/>
    <w:rsid w:val="003D5B0D"/>
    <w:rsid w:val="003E0499"/>
    <w:rsid w:val="003F3941"/>
    <w:rsid w:val="00406575"/>
    <w:rsid w:val="00412BE3"/>
    <w:rsid w:val="004151E9"/>
    <w:rsid w:val="00420253"/>
    <w:rsid w:val="0042722E"/>
    <w:rsid w:val="004321B2"/>
    <w:rsid w:val="00444719"/>
    <w:rsid w:val="0044528D"/>
    <w:rsid w:val="00487D9A"/>
    <w:rsid w:val="004A1847"/>
    <w:rsid w:val="004A305D"/>
    <w:rsid w:val="004A69BE"/>
    <w:rsid w:val="004C04C5"/>
    <w:rsid w:val="004D21A7"/>
    <w:rsid w:val="004D32A5"/>
    <w:rsid w:val="004F21C4"/>
    <w:rsid w:val="004F685F"/>
    <w:rsid w:val="0055346F"/>
    <w:rsid w:val="005566E8"/>
    <w:rsid w:val="00574867"/>
    <w:rsid w:val="00580610"/>
    <w:rsid w:val="00591460"/>
    <w:rsid w:val="00592628"/>
    <w:rsid w:val="005A23AC"/>
    <w:rsid w:val="005C2525"/>
    <w:rsid w:val="005C3777"/>
    <w:rsid w:val="005C5CDC"/>
    <w:rsid w:val="005D476C"/>
    <w:rsid w:val="005E35CB"/>
    <w:rsid w:val="005E4C52"/>
    <w:rsid w:val="005F3BB8"/>
    <w:rsid w:val="00610812"/>
    <w:rsid w:val="006219F8"/>
    <w:rsid w:val="00637606"/>
    <w:rsid w:val="00650FF7"/>
    <w:rsid w:val="00665640"/>
    <w:rsid w:val="00665D70"/>
    <w:rsid w:val="00671DAC"/>
    <w:rsid w:val="006900D9"/>
    <w:rsid w:val="006B1B67"/>
    <w:rsid w:val="006D12F8"/>
    <w:rsid w:val="006D4356"/>
    <w:rsid w:val="006E34EA"/>
    <w:rsid w:val="00706C16"/>
    <w:rsid w:val="00756841"/>
    <w:rsid w:val="007649AB"/>
    <w:rsid w:val="00771D0C"/>
    <w:rsid w:val="007724EB"/>
    <w:rsid w:val="007833AC"/>
    <w:rsid w:val="00791990"/>
    <w:rsid w:val="00794878"/>
    <w:rsid w:val="007B268C"/>
    <w:rsid w:val="007B7171"/>
    <w:rsid w:val="007C0C0F"/>
    <w:rsid w:val="007C3DC2"/>
    <w:rsid w:val="007E5497"/>
    <w:rsid w:val="007E7F87"/>
    <w:rsid w:val="00806F5F"/>
    <w:rsid w:val="00820278"/>
    <w:rsid w:val="00831413"/>
    <w:rsid w:val="00842B94"/>
    <w:rsid w:val="00857234"/>
    <w:rsid w:val="008843B6"/>
    <w:rsid w:val="00891928"/>
    <w:rsid w:val="008A0AE9"/>
    <w:rsid w:val="008A446D"/>
    <w:rsid w:val="008D180B"/>
    <w:rsid w:val="008F0EA7"/>
    <w:rsid w:val="00923EEF"/>
    <w:rsid w:val="009419F9"/>
    <w:rsid w:val="0095685E"/>
    <w:rsid w:val="00961B09"/>
    <w:rsid w:val="00962521"/>
    <w:rsid w:val="00965334"/>
    <w:rsid w:val="0097093E"/>
    <w:rsid w:val="009A0DFA"/>
    <w:rsid w:val="009B2D26"/>
    <w:rsid w:val="009C71FA"/>
    <w:rsid w:val="009C72E7"/>
    <w:rsid w:val="009D3058"/>
    <w:rsid w:val="009F3A13"/>
    <w:rsid w:val="00A122D3"/>
    <w:rsid w:val="00A17F13"/>
    <w:rsid w:val="00A20739"/>
    <w:rsid w:val="00A249D1"/>
    <w:rsid w:val="00A31A90"/>
    <w:rsid w:val="00A33C78"/>
    <w:rsid w:val="00A461A1"/>
    <w:rsid w:val="00AA2424"/>
    <w:rsid w:val="00AA346A"/>
    <w:rsid w:val="00AB0ADB"/>
    <w:rsid w:val="00AB277C"/>
    <w:rsid w:val="00AB391D"/>
    <w:rsid w:val="00AC439F"/>
    <w:rsid w:val="00AE3106"/>
    <w:rsid w:val="00B01B1A"/>
    <w:rsid w:val="00B34A11"/>
    <w:rsid w:val="00B53E78"/>
    <w:rsid w:val="00B6077C"/>
    <w:rsid w:val="00B72CD3"/>
    <w:rsid w:val="00B72FFF"/>
    <w:rsid w:val="00BA4743"/>
    <w:rsid w:val="00BC3D36"/>
    <w:rsid w:val="00BD7F72"/>
    <w:rsid w:val="00C04FB3"/>
    <w:rsid w:val="00C31762"/>
    <w:rsid w:val="00C330EB"/>
    <w:rsid w:val="00C351CE"/>
    <w:rsid w:val="00C53536"/>
    <w:rsid w:val="00C754BE"/>
    <w:rsid w:val="00C76B1C"/>
    <w:rsid w:val="00CB6357"/>
    <w:rsid w:val="00CC1B26"/>
    <w:rsid w:val="00CD12AF"/>
    <w:rsid w:val="00CD262D"/>
    <w:rsid w:val="00CD5AE8"/>
    <w:rsid w:val="00CE362F"/>
    <w:rsid w:val="00D423A2"/>
    <w:rsid w:val="00D47590"/>
    <w:rsid w:val="00D501A9"/>
    <w:rsid w:val="00D520D8"/>
    <w:rsid w:val="00D560F1"/>
    <w:rsid w:val="00D623ED"/>
    <w:rsid w:val="00D63AC2"/>
    <w:rsid w:val="00D7383B"/>
    <w:rsid w:val="00D77844"/>
    <w:rsid w:val="00DA231B"/>
    <w:rsid w:val="00DA23A0"/>
    <w:rsid w:val="00DA5C91"/>
    <w:rsid w:val="00DA6273"/>
    <w:rsid w:val="00DC39FC"/>
    <w:rsid w:val="00DE6516"/>
    <w:rsid w:val="00DF05D5"/>
    <w:rsid w:val="00DF5254"/>
    <w:rsid w:val="00E04C7A"/>
    <w:rsid w:val="00E16408"/>
    <w:rsid w:val="00E20894"/>
    <w:rsid w:val="00E245AB"/>
    <w:rsid w:val="00E24A13"/>
    <w:rsid w:val="00E2764C"/>
    <w:rsid w:val="00E27F2E"/>
    <w:rsid w:val="00E413EA"/>
    <w:rsid w:val="00E50AFE"/>
    <w:rsid w:val="00E75C92"/>
    <w:rsid w:val="00E771DC"/>
    <w:rsid w:val="00E8772A"/>
    <w:rsid w:val="00E90F6B"/>
    <w:rsid w:val="00E92C27"/>
    <w:rsid w:val="00EA0E3D"/>
    <w:rsid w:val="00EA5F02"/>
    <w:rsid w:val="00EC38A7"/>
    <w:rsid w:val="00ED2AD1"/>
    <w:rsid w:val="00EE1AA8"/>
    <w:rsid w:val="00F15F4A"/>
    <w:rsid w:val="00F31EDC"/>
    <w:rsid w:val="00F33D1C"/>
    <w:rsid w:val="00F462B3"/>
    <w:rsid w:val="00F5664F"/>
    <w:rsid w:val="00F666C4"/>
    <w:rsid w:val="00F76AFC"/>
    <w:rsid w:val="00F80914"/>
    <w:rsid w:val="00FA47C0"/>
    <w:rsid w:val="00FB5DD1"/>
    <w:rsid w:val="00FC2B5D"/>
    <w:rsid w:val="00FD1FB8"/>
    <w:rsid w:val="00FD5E09"/>
    <w:rsid w:val="00FF1449"/>
    <w:rsid w:val="00FF71B8"/>
    <w:rsid w:val="5CEADB7B"/>
    <w:rsid w:val="641880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3C7E76"/>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E76"/>
    <w:rPr>
      <w:rFonts w:ascii="Geomanist Light" w:hAnsi="Geomanist Light"/>
      <w:lang w:val="es-ES"/>
    </w:rPr>
  </w:style>
  <w:style w:type="character" w:styleId="Textoennegrita">
    <w:name w:val="Strong"/>
    <w:basedOn w:val="Fuentedeprrafopredeter"/>
    <w:uiPriority w:val="22"/>
    <w:qFormat/>
    <w:rsid w:val="003C7E76"/>
    <w:rPr>
      <w:b/>
      <w:bCs/>
    </w:rPr>
  </w:style>
  <w:style w:type="character" w:styleId="nfasis">
    <w:name w:val="Emphasis"/>
    <w:basedOn w:val="Fuentedeprrafopredeter"/>
    <w:uiPriority w:val="20"/>
    <w:qFormat/>
    <w:rsid w:val="003C7E76"/>
    <w:rPr>
      <w:i/>
      <w:iCs/>
    </w:rPr>
  </w:style>
  <w:style w:type="character" w:customStyle="1" w:styleId="NormalWebCar">
    <w:name w:val="Normal (Web) Car"/>
    <w:link w:val="NormalWeb"/>
    <w:uiPriority w:val="99"/>
    <w:rsid w:val="003C7E76"/>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A461A1"/>
    <w:rPr>
      <w:sz w:val="16"/>
      <w:szCs w:val="16"/>
    </w:rPr>
  </w:style>
  <w:style w:type="paragraph" w:styleId="Textocomentario">
    <w:name w:val="annotation text"/>
    <w:basedOn w:val="Normal"/>
    <w:link w:val="TextocomentarioCar"/>
    <w:uiPriority w:val="99"/>
    <w:semiHidden/>
    <w:unhideWhenUsed/>
    <w:rsid w:val="00A461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61A1"/>
    <w:rPr>
      <w:sz w:val="20"/>
      <w:szCs w:val="20"/>
    </w:rPr>
  </w:style>
  <w:style w:type="paragraph" w:styleId="Asuntodelcomentario">
    <w:name w:val="annotation subject"/>
    <w:basedOn w:val="Textocomentario"/>
    <w:next w:val="Textocomentario"/>
    <w:link w:val="AsuntodelcomentarioCar"/>
    <w:uiPriority w:val="99"/>
    <w:semiHidden/>
    <w:unhideWhenUsed/>
    <w:rsid w:val="00A461A1"/>
    <w:rPr>
      <w:b/>
      <w:bCs/>
    </w:rPr>
  </w:style>
  <w:style w:type="character" w:customStyle="1" w:styleId="AsuntodelcomentarioCar">
    <w:name w:val="Asunto del comentario Car"/>
    <w:basedOn w:val="TextocomentarioCar"/>
    <w:link w:val="Asuntodelcomentario"/>
    <w:uiPriority w:val="99"/>
    <w:semiHidden/>
    <w:rsid w:val="00A461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busqueda/concepto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providencias-consejo-de-estad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pdani2@gmail.com" TargetMode="External"/><Relationship Id="rId5" Type="http://schemas.openxmlformats.org/officeDocument/2006/relationships/styles" Target="styles.xml"/><Relationship Id="rId15" Type="http://schemas.openxmlformats.org/officeDocument/2006/relationships/hyperlink" Target="https://www.colombiacompra.gov.co/sala-de-prensa/boletin-digita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ala-de-prensa/boletin-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FC8ED21B-0B5F-4B12-B6F5-1B436E3114A9}"/>
</file>

<file path=docProps/app.xml><?xml version="1.0" encoding="utf-8"?>
<Properties xmlns="http://schemas.openxmlformats.org/officeDocument/2006/extended-properties" xmlns:vt="http://schemas.openxmlformats.org/officeDocument/2006/docPropsVTypes">
  <Template>Normal</Template>
  <TotalTime>3850</TotalTime>
  <Pages>13</Pages>
  <Words>3917</Words>
  <Characters>21545</Characters>
  <Application>Microsoft Office Word</Application>
  <DocSecurity>0</DocSecurity>
  <Lines>179</Lines>
  <Paragraphs>50</Paragraphs>
  <ScaleCrop>false</ScaleCrop>
  <Company/>
  <LinksUpToDate>false</LinksUpToDate>
  <CharactersWithSpaces>25412</CharactersWithSpaces>
  <SharedDoc>false</SharedDoc>
  <HLinks>
    <vt:vector size="30" baseType="variant">
      <vt:variant>
        <vt:i4>5439494</vt:i4>
      </vt:variant>
      <vt:variant>
        <vt:i4>12</vt:i4>
      </vt:variant>
      <vt:variant>
        <vt:i4>0</vt:i4>
      </vt:variant>
      <vt:variant>
        <vt:i4>5</vt:i4>
      </vt:variant>
      <vt:variant>
        <vt:lpwstr>https://www.colombiacompra.gov.co/sala-de-prensa/boletin-digital</vt:lpwstr>
      </vt:variant>
      <vt:variant>
        <vt:lpwstr/>
      </vt:variant>
      <vt:variant>
        <vt:i4>5439494</vt:i4>
      </vt:variant>
      <vt:variant>
        <vt:i4>9</vt:i4>
      </vt:variant>
      <vt:variant>
        <vt:i4>0</vt:i4>
      </vt:variant>
      <vt:variant>
        <vt:i4>5</vt:i4>
      </vt:variant>
      <vt:variant>
        <vt:lpwstr>https://www.colombiacompra.gov.co/sala-de-prensa/boletin-digital</vt:lpwstr>
      </vt:variant>
      <vt:variant>
        <vt:lpwstr/>
      </vt:variant>
      <vt:variant>
        <vt:i4>7471218</vt:i4>
      </vt:variant>
      <vt:variant>
        <vt:i4>6</vt:i4>
      </vt:variant>
      <vt:variant>
        <vt:i4>0</vt:i4>
      </vt:variant>
      <vt:variant>
        <vt:i4>5</vt:i4>
      </vt:variant>
      <vt:variant>
        <vt:lpwstr>https://relatoria.colombiacompra.gov.co/busqueda/conceptos</vt:lpwstr>
      </vt:variant>
      <vt:variant>
        <vt:lpwstr/>
      </vt:variant>
      <vt:variant>
        <vt:i4>3801145</vt:i4>
      </vt:variant>
      <vt:variant>
        <vt:i4>3</vt:i4>
      </vt:variant>
      <vt:variant>
        <vt:i4>0</vt:i4>
      </vt:variant>
      <vt:variant>
        <vt:i4>5</vt:i4>
      </vt:variant>
      <vt:variant>
        <vt:lpwstr>https://relatoria.colombiacompra.gov.co/providencias-consejo-de-estado/</vt:lpwstr>
      </vt:variant>
      <vt:variant>
        <vt:lpwstr/>
      </vt:variant>
      <vt:variant>
        <vt:i4>5308471</vt:i4>
      </vt:variant>
      <vt:variant>
        <vt:i4>0</vt:i4>
      </vt:variant>
      <vt:variant>
        <vt:i4>0</vt:i4>
      </vt:variant>
      <vt:variant>
        <vt:i4>5</vt:i4>
      </vt:variant>
      <vt:variant>
        <vt:lpwstr>mailto:opdani2@gmail.com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11</cp:revision>
  <cp:lastPrinted>2023-01-10T21:18:00Z</cp:lastPrinted>
  <dcterms:created xsi:type="dcterms:W3CDTF">2024-08-30T21:03:00Z</dcterms:created>
  <dcterms:modified xsi:type="dcterms:W3CDTF">2024-09-02T13:14:00Z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