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23C6" w14:textId="30530847" w:rsidR="00D649A0" w:rsidRPr="00D649A0" w:rsidRDefault="00D649A0" w:rsidP="00D649A0">
      <w:pPr>
        <w:jc w:val="both"/>
        <w:rPr>
          <w:rFonts w:ascii="Verdana" w:eastAsia="Geomanist Light" w:hAnsi="Verdana" w:cs="Arial"/>
          <w:b/>
          <w:color w:val="000000" w:themeColor="text1"/>
        </w:rPr>
      </w:pPr>
      <w:r w:rsidRPr="00D649A0">
        <w:rPr>
          <w:rFonts w:ascii="Verdana" w:eastAsia="Geomanist Light" w:hAnsi="Verdana" w:cs="Arial"/>
          <w:b/>
          <w:color w:val="000000" w:themeColor="text1"/>
        </w:rPr>
        <w:t>PLANEACIÓN – Estudios previos</w:t>
      </w:r>
    </w:p>
    <w:p w14:paraId="31195499" w14:textId="77777777" w:rsidR="00D649A0" w:rsidRPr="00D649A0" w:rsidRDefault="00D649A0" w:rsidP="00D649A0">
      <w:pPr>
        <w:jc w:val="both"/>
        <w:rPr>
          <w:rFonts w:ascii="Verdana" w:eastAsia="Geomanist Light" w:hAnsi="Verdana" w:cs="Arial"/>
          <w:bCs/>
          <w:color w:val="000000" w:themeColor="text1"/>
          <w:sz w:val="20"/>
          <w:szCs w:val="20"/>
          <w:lang w:val="es-ES_tradnl"/>
        </w:rPr>
      </w:pPr>
      <w:r w:rsidRPr="00D649A0">
        <w:rPr>
          <w:rFonts w:ascii="Verdana" w:eastAsia="Geomanist Light" w:hAnsi="Verdana" w:cs="Arial"/>
          <w:bCs/>
          <w:color w:val="000000" w:themeColor="text1"/>
          <w:sz w:val="20"/>
          <w:szCs w:val="20"/>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33CF3A1D" w14:textId="77777777" w:rsidR="00D649A0" w:rsidRPr="00D649A0" w:rsidRDefault="00D649A0" w:rsidP="00D649A0">
      <w:pPr>
        <w:jc w:val="both"/>
        <w:rPr>
          <w:rFonts w:ascii="Verdana" w:eastAsia="Geomanist Light" w:hAnsi="Verdana" w:cs="Arial"/>
          <w:bCs/>
          <w:color w:val="000000" w:themeColor="text1"/>
          <w:lang w:val="es-ES_tradnl"/>
        </w:rPr>
      </w:pPr>
    </w:p>
    <w:p w14:paraId="6E4FF3ED" w14:textId="1D6FE409" w:rsidR="00D649A0" w:rsidRPr="00D649A0" w:rsidRDefault="00D649A0" w:rsidP="00D649A0">
      <w:pPr>
        <w:jc w:val="both"/>
        <w:rPr>
          <w:rFonts w:ascii="Verdana" w:eastAsia="Geomanist Light" w:hAnsi="Verdana" w:cs="Arial"/>
          <w:b/>
          <w:color w:val="000000" w:themeColor="text1"/>
        </w:rPr>
      </w:pPr>
      <w:r w:rsidRPr="00D649A0">
        <w:rPr>
          <w:rFonts w:ascii="Verdana" w:eastAsia="Geomanist Light" w:hAnsi="Verdana" w:cs="Arial"/>
          <w:b/>
          <w:color w:val="000000" w:themeColor="text1"/>
        </w:rPr>
        <w:t>ESTUDIOS PREVIOS – Planeación – Análisis del sector – Requisitos habilitantes y ponderables</w:t>
      </w:r>
    </w:p>
    <w:p w14:paraId="0C4DB5E0" w14:textId="77777777" w:rsidR="00D649A0" w:rsidRPr="00D649A0" w:rsidRDefault="00D649A0" w:rsidP="00D649A0">
      <w:pPr>
        <w:jc w:val="both"/>
        <w:rPr>
          <w:rFonts w:ascii="Verdana" w:eastAsia="Geomanist Light" w:hAnsi="Verdana" w:cs="Arial"/>
          <w:color w:val="000000" w:themeColor="text1"/>
          <w:sz w:val="20"/>
          <w:szCs w:val="20"/>
          <w:lang w:val="es-MX"/>
        </w:rPr>
      </w:pPr>
      <w:r w:rsidRPr="00D649A0">
        <w:rPr>
          <w:rFonts w:ascii="Verdana" w:eastAsia="Geomanist Light" w:hAnsi="Verdana" w:cs="Arial"/>
          <w:bCs/>
          <w:color w:val="000000" w:themeColor="text1"/>
          <w:sz w:val="20"/>
          <w:szCs w:val="20"/>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p>
    <w:p w14:paraId="21C65E73" w14:textId="77777777" w:rsidR="00D649A0" w:rsidRDefault="00D649A0" w:rsidP="00DF538D">
      <w:pPr>
        <w:rPr>
          <w:rFonts w:ascii="Verdana" w:eastAsia="Geomanist Light" w:hAnsi="Verdana" w:cs="Arial"/>
          <w:color w:val="000000" w:themeColor="text1"/>
          <w:lang w:val="es-MX"/>
        </w:rPr>
      </w:pPr>
    </w:p>
    <w:p w14:paraId="19E223C2" w14:textId="66CF919F" w:rsidR="00833C50" w:rsidRPr="00833C50" w:rsidRDefault="00833C50" w:rsidP="00833C50">
      <w:pPr>
        <w:rPr>
          <w:rFonts w:ascii="Verdana" w:eastAsia="Geomanist Light" w:hAnsi="Verdana" w:cs="Arial"/>
          <w:b/>
          <w:color w:val="000000" w:themeColor="text1"/>
          <w:lang w:val="es-MX"/>
        </w:rPr>
      </w:pPr>
      <w:r w:rsidRPr="00833C50">
        <w:rPr>
          <w:rFonts w:ascii="Verdana" w:eastAsia="Geomanist Light" w:hAnsi="Verdana" w:cs="Arial"/>
          <w:b/>
          <w:bCs/>
          <w:color w:val="000000" w:themeColor="text1"/>
          <w:lang w:val="es-ES_tradnl"/>
        </w:rPr>
        <w:t xml:space="preserve">SECOP II </w:t>
      </w:r>
      <w:r w:rsidRPr="00833C50">
        <w:rPr>
          <w:rFonts w:ascii="Verdana" w:eastAsia="Geomanist Light" w:hAnsi="Verdana" w:cs="Arial"/>
          <w:b/>
          <w:color w:val="000000" w:themeColor="text1"/>
          <w:lang w:val="es-MX"/>
        </w:rPr>
        <w:t>– Generalidades – Plataforma transaccional – Publicidad</w:t>
      </w:r>
    </w:p>
    <w:p w14:paraId="13828A98" w14:textId="77777777" w:rsidR="00833C50" w:rsidRPr="00833C50" w:rsidRDefault="00833C50" w:rsidP="00833C50">
      <w:pPr>
        <w:jc w:val="both"/>
        <w:rPr>
          <w:rFonts w:ascii="Verdana" w:eastAsia="Geomanist Light" w:hAnsi="Verdana" w:cs="Arial"/>
          <w:color w:val="000000" w:themeColor="text1"/>
          <w:sz w:val="20"/>
          <w:szCs w:val="20"/>
          <w:lang w:val="es-ES_tradnl"/>
        </w:rPr>
      </w:pPr>
      <w:r w:rsidRPr="00833C50">
        <w:rPr>
          <w:rFonts w:ascii="Verdana" w:eastAsia="Geomanist Light" w:hAnsi="Verdana" w:cs="Arial"/>
          <w:color w:val="000000" w:themeColor="text1"/>
          <w:sz w:val="20"/>
          <w:szCs w:val="20"/>
          <w:lang w:val="es-ES_tradnl"/>
        </w:rPr>
        <w:t>El SECOP II es una plataforma transaccional, que permite gestionar en línea los procedimientos de contratación, con cuentas y usuarios asociados a estas, para las entidades y los proveedores, y otorga una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120B96C7" w14:textId="77777777" w:rsidR="00833C50" w:rsidRPr="00833C50" w:rsidRDefault="00833C50" w:rsidP="00833C50">
      <w:pPr>
        <w:jc w:val="both"/>
        <w:rPr>
          <w:rFonts w:ascii="Verdana" w:eastAsia="Geomanist Light" w:hAnsi="Verdana" w:cs="Arial"/>
          <w:color w:val="000000" w:themeColor="text1"/>
          <w:sz w:val="20"/>
          <w:szCs w:val="20"/>
          <w:lang w:val="es-ES_tradnl"/>
        </w:rPr>
      </w:pPr>
      <w:r w:rsidRPr="00833C50">
        <w:rPr>
          <w:rFonts w:ascii="Verdana" w:eastAsia="Geomanist Light" w:hAnsi="Verdana" w:cs="Arial"/>
          <w:color w:val="000000" w:themeColor="text1"/>
          <w:sz w:val="20"/>
          <w:szCs w:val="20"/>
          <w:lang w:val="es-ES_tradnl"/>
        </w:rPr>
        <w:t>[…]</w:t>
      </w:r>
    </w:p>
    <w:p w14:paraId="61A4148D" w14:textId="77777777" w:rsidR="00833C50" w:rsidRPr="00833C50" w:rsidRDefault="00833C50" w:rsidP="00833C50">
      <w:pPr>
        <w:jc w:val="both"/>
        <w:rPr>
          <w:rFonts w:ascii="Verdana" w:eastAsia="Geomanist Light" w:hAnsi="Verdana" w:cs="Arial"/>
          <w:color w:val="000000" w:themeColor="text1"/>
          <w:sz w:val="20"/>
          <w:szCs w:val="20"/>
          <w:lang w:val="es-ES_tradnl"/>
        </w:rPr>
      </w:pPr>
      <w:r w:rsidRPr="00833C50">
        <w:rPr>
          <w:rFonts w:ascii="Verdana" w:eastAsia="Geomanist Light" w:hAnsi="Verdana" w:cs="Arial"/>
          <w:color w:val="000000" w:themeColor="text1"/>
          <w:sz w:val="20"/>
          <w:szCs w:val="20"/>
          <w:lang w:val="es-ES_tradnl"/>
        </w:rPr>
        <w:t xml:space="preserve">Si bien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r w:rsidRPr="00833C50">
        <w:rPr>
          <w:rFonts w:ascii="Verdana" w:eastAsia="Geomanist Light" w:hAnsi="Verdana" w:cs="Arial"/>
          <w:color w:val="000000" w:themeColor="text1"/>
          <w:sz w:val="20"/>
          <w:szCs w:val="20"/>
          <w:lang w:val="es-ES_tradnl"/>
        </w:rPr>
        <w:lastRenderedPageBreak/>
        <w:t>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w:t>
      </w:r>
    </w:p>
    <w:p w14:paraId="0142A888" w14:textId="77777777" w:rsidR="00D649A0" w:rsidRPr="00833C50" w:rsidRDefault="00D649A0" w:rsidP="00DF538D">
      <w:pPr>
        <w:rPr>
          <w:rFonts w:ascii="Verdana" w:eastAsia="Geomanist Light" w:hAnsi="Verdana" w:cs="Arial"/>
          <w:color w:val="000000" w:themeColor="text1"/>
          <w:lang w:val="es-ES_tradnl"/>
        </w:rPr>
      </w:pPr>
    </w:p>
    <w:p w14:paraId="67E83A09" w14:textId="77777777" w:rsidR="00D649A0" w:rsidRDefault="00D649A0" w:rsidP="00DF538D">
      <w:pPr>
        <w:rPr>
          <w:rFonts w:ascii="Verdana" w:eastAsia="Geomanist Light" w:hAnsi="Verdana" w:cs="Arial"/>
          <w:color w:val="000000" w:themeColor="text1"/>
          <w:lang w:val="es-MX"/>
        </w:rPr>
      </w:pPr>
    </w:p>
    <w:p w14:paraId="5B65B8A6" w14:textId="77777777" w:rsidR="00D649A0" w:rsidRDefault="00D649A0" w:rsidP="00DF538D">
      <w:pPr>
        <w:rPr>
          <w:rFonts w:ascii="Verdana" w:eastAsia="Geomanist Light" w:hAnsi="Verdana" w:cs="Arial"/>
          <w:color w:val="000000" w:themeColor="text1"/>
          <w:lang w:val="es-MX"/>
        </w:rPr>
      </w:pPr>
    </w:p>
    <w:p w14:paraId="385FC15A" w14:textId="77777777" w:rsidR="00D649A0" w:rsidRDefault="00D649A0" w:rsidP="00DF538D">
      <w:pPr>
        <w:rPr>
          <w:rFonts w:ascii="Verdana" w:eastAsia="Geomanist Light" w:hAnsi="Verdana" w:cs="Arial"/>
          <w:color w:val="000000" w:themeColor="text1"/>
          <w:lang w:val="es-MX"/>
        </w:rPr>
      </w:pPr>
    </w:p>
    <w:p w14:paraId="4DF47988" w14:textId="77777777" w:rsidR="00D649A0" w:rsidRDefault="00D649A0" w:rsidP="00DF538D">
      <w:pPr>
        <w:rPr>
          <w:rFonts w:ascii="Verdana" w:eastAsia="Geomanist Light" w:hAnsi="Verdana" w:cs="Arial"/>
          <w:color w:val="000000" w:themeColor="text1"/>
          <w:lang w:val="es-MX"/>
        </w:rPr>
      </w:pPr>
    </w:p>
    <w:p w14:paraId="5D35BDF0" w14:textId="77777777" w:rsidR="00D649A0" w:rsidRDefault="00D649A0" w:rsidP="00DF538D">
      <w:pPr>
        <w:rPr>
          <w:rFonts w:ascii="Verdana" w:eastAsia="Geomanist Light" w:hAnsi="Verdana" w:cs="Arial"/>
          <w:color w:val="000000" w:themeColor="text1"/>
          <w:lang w:val="es-MX"/>
        </w:rPr>
      </w:pPr>
    </w:p>
    <w:p w14:paraId="1C13D2FD" w14:textId="77777777" w:rsidR="00D649A0" w:rsidRDefault="00D649A0" w:rsidP="00DF538D">
      <w:pPr>
        <w:rPr>
          <w:rFonts w:ascii="Verdana" w:eastAsia="Geomanist Light" w:hAnsi="Verdana" w:cs="Arial"/>
          <w:color w:val="000000" w:themeColor="text1"/>
          <w:lang w:val="es-MX"/>
        </w:rPr>
      </w:pPr>
    </w:p>
    <w:p w14:paraId="5F7CE38F" w14:textId="77777777" w:rsidR="00D649A0" w:rsidRDefault="00D649A0" w:rsidP="00DF538D">
      <w:pPr>
        <w:rPr>
          <w:rFonts w:ascii="Verdana" w:eastAsia="Geomanist Light" w:hAnsi="Verdana" w:cs="Arial"/>
          <w:color w:val="000000" w:themeColor="text1"/>
          <w:lang w:val="es-MX"/>
        </w:rPr>
      </w:pPr>
    </w:p>
    <w:p w14:paraId="1BE72258" w14:textId="77777777" w:rsidR="00D649A0" w:rsidRDefault="00D649A0" w:rsidP="00DF538D">
      <w:pPr>
        <w:rPr>
          <w:rFonts w:ascii="Verdana" w:eastAsia="Geomanist Light" w:hAnsi="Verdana" w:cs="Arial"/>
          <w:color w:val="000000" w:themeColor="text1"/>
          <w:lang w:val="es-MX"/>
        </w:rPr>
      </w:pPr>
    </w:p>
    <w:p w14:paraId="370D019A" w14:textId="77777777" w:rsidR="00D649A0" w:rsidRDefault="00D649A0" w:rsidP="00DF538D">
      <w:pPr>
        <w:rPr>
          <w:rFonts w:ascii="Verdana" w:eastAsia="Geomanist Light" w:hAnsi="Verdana" w:cs="Arial"/>
          <w:color w:val="000000" w:themeColor="text1"/>
          <w:lang w:val="es-MX"/>
        </w:rPr>
      </w:pPr>
    </w:p>
    <w:p w14:paraId="5E199589" w14:textId="77777777" w:rsidR="00D649A0" w:rsidRDefault="00D649A0" w:rsidP="00DF538D">
      <w:pPr>
        <w:rPr>
          <w:rFonts w:ascii="Verdana" w:eastAsia="Geomanist Light" w:hAnsi="Verdana" w:cs="Arial"/>
          <w:color w:val="000000" w:themeColor="text1"/>
          <w:lang w:val="es-MX"/>
        </w:rPr>
      </w:pPr>
    </w:p>
    <w:p w14:paraId="5CC6D510" w14:textId="77777777" w:rsidR="00D649A0" w:rsidRDefault="00D649A0" w:rsidP="00DF538D">
      <w:pPr>
        <w:rPr>
          <w:rFonts w:ascii="Verdana" w:eastAsia="Geomanist Light" w:hAnsi="Verdana" w:cs="Arial"/>
          <w:color w:val="000000" w:themeColor="text1"/>
          <w:lang w:val="es-MX"/>
        </w:rPr>
      </w:pPr>
    </w:p>
    <w:p w14:paraId="45280D25" w14:textId="77777777" w:rsidR="00D649A0" w:rsidRDefault="00D649A0" w:rsidP="00DF538D">
      <w:pPr>
        <w:rPr>
          <w:rFonts w:ascii="Verdana" w:eastAsia="Geomanist Light" w:hAnsi="Verdana" w:cs="Arial"/>
          <w:color w:val="000000" w:themeColor="text1"/>
          <w:lang w:val="es-MX"/>
        </w:rPr>
      </w:pPr>
    </w:p>
    <w:p w14:paraId="3D707A96" w14:textId="77777777" w:rsidR="00D649A0" w:rsidRDefault="00D649A0" w:rsidP="00DF538D">
      <w:pPr>
        <w:rPr>
          <w:rFonts w:ascii="Verdana" w:eastAsia="Geomanist Light" w:hAnsi="Verdana" w:cs="Arial"/>
          <w:color w:val="000000" w:themeColor="text1"/>
          <w:lang w:val="es-MX"/>
        </w:rPr>
      </w:pPr>
    </w:p>
    <w:p w14:paraId="02A09E5E" w14:textId="77777777" w:rsidR="00D649A0" w:rsidRDefault="00D649A0" w:rsidP="00DF538D">
      <w:pPr>
        <w:rPr>
          <w:rFonts w:ascii="Verdana" w:eastAsia="Geomanist Light" w:hAnsi="Verdana" w:cs="Arial"/>
          <w:color w:val="000000" w:themeColor="text1"/>
          <w:lang w:val="es-MX"/>
        </w:rPr>
      </w:pPr>
    </w:p>
    <w:p w14:paraId="718C806C" w14:textId="77777777" w:rsidR="00D649A0" w:rsidRDefault="00D649A0" w:rsidP="00DF538D">
      <w:pPr>
        <w:rPr>
          <w:rFonts w:ascii="Verdana" w:eastAsia="Geomanist Light" w:hAnsi="Verdana" w:cs="Arial"/>
          <w:color w:val="000000" w:themeColor="text1"/>
          <w:lang w:val="es-MX"/>
        </w:rPr>
      </w:pPr>
    </w:p>
    <w:p w14:paraId="28BC2D4E" w14:textId="77777777" w:rsidR="00D649A0" w:rsidRDefault="00D649A0" w:rsidP="00DF538D">
      <w:pPr>
        <w:rPr>
          <w:rFonts w:ascii="Verdana" w:eastAsia="Geomanist Light" w:hAnsi="Verdana" w:cs="Arial"/>
          <w:color w:val="000000" w:themeColor="text1"/>
          <w:lang w:val="es-MX"/>
        </w:rPr>
      </w:pPr>
    </w:p>
    <w:p w14:paraId="10B1C6B5" w14:textId="77777777" w:rsidR="00D649A0" w:rsidRDefault="00D649A0" w:rsidP="00DF538D">
      <w:pPr>
        <w:rPr>
          <w:rFonts w:ascii="Verdana" w:eastAsia="Geomanist Light" w:hAnsi="Verdana" w:cs="Arial"/>
          <w:color w:val="000000" w:themeColor="text1"/>
          <w:lang w:val="es-MX"/>
        </w:rPr>
      </w:pPr>
    </w:p>
    <w:p w14:paraId="786511CC" w14:textId="77777777" w:rsidR="00D649A0" w:rsidRDefault="00D649A0" w:rsidP="00DF538D">
      <w:pPr>
        <w:rPr>
          <w:rFonts w:ascii="Verdana" w:eastAsia="Geomanist Light" w:hAnsi="Verdana" w:cs="Arial"/>
          <w:color w:val="000000" w:themeColor="text1"/>
          <w:lang w:val="es-MX"/>
        </w:rPr>
      </w:pPr>
    </w:p>
    <w:p w14:paraId="463549BD" w14:textId="77777777" w:rsidR="00D649A0" w:rsidRDefault="00D649A0" w:rsidP="00DF538D">
      <w:pPr>
        <w:rPr>
          <w:rFonts w:ascii="Verdana" w:eastAsia="Geomanist Light" w:hAnsi="Verdana" w:cs="Arial"/>
          <w:color w:val="000000" w:themeColor="text1"/>
          <w:lang w:val="es-MX"/>
        </w:rPr>
      </w:pPr>
    </w:p>
    <w:p w14:paraId="00F408B9" w14:textId="77777777" w:rsidR="00D649A0" w:rsidRDefault="00D649A0" w:rsidP="00DF538D">
      <w:pPr>
        <w:rPr>
          <w:rFonts w:ascii="Verdana" w:eastAsia="Geomanist Light" w:hAnsi="Verdana" w:cs="Arial"/>
          <w:color w:val="000000" w:themeColor="text1"/>
          <w:lang w:val="es-MX"/>
        </w:rPr>
      </w:pPr>
    </w:p>
    <w:p w14:paraId="599FF7E9" w14:textId="77777777" w:rsidR="00D649A0" w:rsidRDefault="00D649A0" w:rsidP="00DF538D">
      <w:pPr>
        <w:rPr>
          <w:rFonts w:ascii="Verdana" w:eastAsia="Geomanist Light" w:hAnsi="Verdana" w:cs="Arial"/>
          <w:color w:val="000000" w:themeColor="text1"/>
          <w:lang w:val="es-MX"/>
        </w:rPr>
      </w:pPr>
    </w:p>
    <w:p w14:paraId="564FD98B" w14:textId="77777777" w:rsidR="00D649A0" w:rsidRDefault="00D649A0" w:rsidP="00DF538D">
      <w:pPr>
        <w:rPr>
          <w:rFonts w:ascii="Verdana" w:eastAsia="Geomanist Light" w:hAnsi="Verdana" w:cs="Arial"/>
          <w:color w:val="000000" w:themeColor="text1"/>
          <w:lang w:val="es-MX"/>
        </w:rPr>
      </w:pPr>
    </w:p>
    <w:p w14:paraId="3466D596" w14:textId="7347E4A9" w:rsidR="00660885" w:rsidRPr="00DF538D" w:rsidRDefault="00703AD4" w:rsidP="00DF538D">
      <w:pPr>
        <w:rPr>
          <w:rFonts w:ascii="Verdana" w:eastAsia="Geomanist Light" w:hAnsi="Verdana" w:cs="Arial"/>
          <w:color w:val="000000" w:themeColor="text1"/>
          <w:lang w:val="es-MX"/>
        </w:rPr>
      </w:pPr>
      <w:r w:rsidRPr="00703AD4">
        <w:rPr>
          <w:rFonts w:ascii="Verdana" w:eastAsia="Calibri" w:hAnsi="Verdana" w:cs="Arial"/>
          <w:color w:val="000000" w:themeColor="text1"/>
          <w:lang w:val="es-ES"/>
        </w:rPr>
        <w:lastRenderedPageBreak/>
        <w:drawing>
          <wp:anchor distT="0" distB="0" distL="114300" distR="114300" simplePos="0" relativeHeight="251659264" behindDoc="1" locked="0" layoutInCell="1" allowOverlap="1" wp14:anchorId="4E72584E" wp14:editId="0227FEE9">
            <wp:simplePos x="0" y="0"/>
            <wp:positionH relativeFrom="column">
              <wp:posOffset>2767965</wp:posOffset>
            </wp:positionH>
            <wp:positionV relativeFrom="paragraph">
              <wp:posOffset>289560</wp:posOffset>
            </wp:positionV>
            <wp:extent cx="3486150" cy="1047750"/>
            <wp:effectExtent l="0" t="0" r="0" b="0"/>
            <wp:wrapTight wrapText="bothSides">
              <wp:wrapPolygon edited="0">
                <wp:start x="0" y="0"/>
                <wp:lineTo x="0" y="21207"/>
                <wp:lineTo x="21482" y="21207"/>
                <wp:lineTo x="21482" y="0"/>
                <wp:lineTo x="0" y="0"/>
              </wp:wrapPolygon>
            </wp:wrapTight>
            <wp:docPr id="46854449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44496"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86150" cy="1047750"/>
                    </a:xfrm>
                    <a:prstGeom prst="rect">
                      <a:avLst/>
                    </a:prstGeom>
                  </pic:spPr>
                </pic:pic>
              </a:graphicData>
            </a:graphic>
          </wp:anchor>
        </w:drawing>
      </w:r>
      <w:r w:rsidR="00660885" w:rsidRPr="00115E3D">
        <w:rPr>
          <w:rFonts w:ascii="Verdana" w:eastAsia="Geomanist Light" w:hAnsi="Verdana" w:cs="Arial"/>
          <w:color w:val="000000" w:themeColor="text1"/>
          <w:lang w:val="es-MX"/>
        </w:rPr>
        <w:t>Bogotá D.C., [Día] de [</w:t>
      </w:r>
      <w:proofErr w:type="spellStart"/>
      <w:r w:rsidR="00660885" w:rsidRPr="00115E3D">
        <w:rPr>
          <w:rFonts w:ascii="Verdana" w:eastAsia="Geomanist Light" w:hAnsi="Verdana" w:cs="Arial"/>
          <w:color w:val="000000" w:themeColor="text1"/>
          <w:lang w:val="es-MX"/>
        </w:rPr>
        <w:t>Mes.NombreCapitalizado</w:t>
      </w:r>
      <w:proofErr w:type="spellEnd"/>
      <w:r w:rsidR="00660885" w:rsidRPr="00115E3D">
        <w:rPr>
          <w:rFonts w:ascii="Verdana" w:eastAsia="Geomanist Light" w:hAnsi="Verdana" w:cs="Arial"/>
          <w:color w:val="000000" w:themeColor="text1"/>
          <w:lang w:val="es-MX"/>
        </w:rPr>
        <w:t>] de [Año]</w:t>
      </w:r>
    </w:p>
    <w:p w14:paraId="4EE46E3F" w14:textId="1320FAF2" w:rsidR="007C4B32" w:rsidRPr="00115E3D" w:rsidRDefault="007C4B32" w:rsidP="00660885">
      <w:pPr>
        <w:jc w:val="both"/>
        <w:rPr>
          <w:rFonts w:ascii="Verdana" w:eastAsia="Calibri" w:hAnsi="Verdana" w:cs="Arial"/>
          <w:color w:val="000000" w:themeColor="text1"/>
          <w:lang w:val="es-ES"/>
        </w:rPr>
      </w:pPr>
    </w:p>
    <w:p w14:paraId="5A9B10BD" w14:textId="77777777" w:rsidR="00703AD4" w:rsidRDefault="00703AD4" w:rsidP="007C4B32">
      <w:pPr>
        <w:spacing w:after="0" w:line="240" w:lineRule="auto"/>
        <w:jc w:val="both"/>
        <w:rPr>
          <w:rFonts w:ascii="Verdana" w:eastAsia="Calibri" w:hAnsi="Verdana" w:cs="Arial"/>
          <w:color w:val="000000" w:themeColor="text1"/>
          <w:lang w:val="es-ES" w:eastAsia="es-ES"/>
        </w:rPr>
      </w:pPr>
    </w:p>
    <w:p w14:paraId="27B60370" w14:textId="77777777" w:rsidR="00703AD4" w:rsidRDefault="00703AD4" w:rsidP="007C4B32">
      <w:pPr>
        <w:spacing w:after="0" w:line="240" w:lineRule="auto"/>
        <w:jc w:val="both"/>
        <w:rPr>
          <w:rFonts w:ascii="Verdana" w:eastAsia="Calibri" w:hAnsi="Verdana" w:cs="Arial"/>
          <w:color w:val="000000" w:themeColor="text1"/>
          <w:lang w:val="es-ES" w:eastAsia="es-ES"/>
        </w:rPr>
      </w:pPr>
    </w:p>
    <w:p w14:paraId="212DD9F9" w14:textId="77777777" w:rsidR="00703AD4" w:rsidRDefault="00703AD4" w:rsidP="007C4B32">
      <w:pPr>
        <w:spacing w:after="0" w:line="240" w:lineRule="auto"/>
        <w:jc w:val="both"/>
        <w:rPr>
          <w:rFonts w:ascii="Verdana" w:eastAsia="Calibri" w:hAnsi="Verdana" w:cs="Arial"/>
          <w:color w:val="000000" w:themeColor="text1"/>
          <w:lang w:val="es-ES" w:eastAsia="es-ES"/>
        </w:rPr>
      </w:pPr>
    </w:p>
    <w:p w14:paraId="3A210B09" w14:textId="77777777" w:rsidR="00703AD4" w:rsidRDefault="00703AD4" w:rsidP="007C4B32">
      <w:pPr>
        <w:spacing w:after="0" w:line="240" w:lineRule="auto"/>
        <w:jc w:val="both"/>
        <w:rPr>
          <w:rFonts w:ascii="Verdana" w:eastAsia="Calibri" w:hAnsi="Verdana" w:cs="Arial"/>
          <w:color w:val="000000" w:themeColor="text1"/>
          <w:lang w:val="es-ES" w:eastAsia="es-ES"/>
        </w:rPr>
      </w:pPr>
    </w:p>
    <w:p w14:paraId="681C9915" w14:textId="770FF46E" w:rsidR="00660885" w:rsidRPr="00115E3D" w:rsidRDefault="00660885" w:rsidP="007C4B32">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r>
        <w:rPr>
          <w:rFonts w:ascii="Verdana" w:eastAsia="Calibri" w:hAnsi="Verdana" w:cs="Arial"/>
          <w:color w:val="000000" w:themeColor="text1"/>
          <w:lang w:val="es-ES" w:eastAsia="es-ES"/>
        </w:rPr>
        <w:t>a</w:t>
      </w:r>
    </w:p>
    <w:p w14:paraId="2C29A04F" w14:textId="77777777" w:rsidR="00660885" w:rsidRPr="00115E3D" w:rsidRDefault="00660885" w:rsidP="007C4B32">
      <w:pPr>
        <w:spacing w:after="0" w:line="240" w:lineRule="auto"/>
        <w:rPr>
          <w:rFonts w:ascii="Verdana" w:eastAsia="Calibri" w:hAnsi="Verdana" w:cs="Arial"/>
          <w:b/>
          <w:color w:val="000000" w:themeColor="text1"/>
          <w:lang w:val="es-ES_tradnl" w:eastAsia="es-ES_tradnl"/>
        </w:rPr>
      </w:pPr>
      <w:r>
        <w:rPr>
          <w:rFonts w:ascii="Verdana" w:eastAsia="Calibri" w:hAnsi="Verdana" w:cs="Arial"/>
          <w:b/>
          <w:color w:val="000000" w:themeColor="text1"/>
          <w:lang w:val="es-ES_tradnl" w:eastAsia="es-ES_tradnl"/>
        </w:rPr>
        <w:t>Diana Milena Echeverri Álvarez</w:t>
      </w:r>
    </w:p>
    <w:p w14:paraId="53F7BCD5" w14:textId="77777777" w:rsidR="00660885" w:rsidRDefault="00EB0D4D" w:rsidP="007C4B32">
      <w:pPr>
        <w:spacing w:after="0" w:line="240" w:lineRule="auto"/>
        <w:rPr>
          <w:rFonts w:ascii="Verdana" w:eastAsia="Calibri" w:hAnsi="Verdana" w:cs="Arial"/>
          <w:color w:val="000000" w:themeColor="text1"/>
          <w:u w:val="single"/>
          <w:lang w:val="es-ES" w:eastAsia="es-ES"/>
        </w:rPr>
      </w:pPr>
      <w:hyperlink r:id="rId11" w:history="1">
        <w:r w:rsidR="00660885" w:rsidRPr="00A84EEE">
          <w:rPr>
            <w:rStyle w:val="Hipervnculo"/>
            <w:rFonts w:ascii="Verdana" w:eastAsia="Calibri" w:hAnsi="Verdana" w:cs="Arial"/>
            <w:lang w:val="es-ES" w:eastAsia="es-ES"/>
          </w:rPr>
          <w:t>dmecheverry@gmail.com</w:t>
        </w:r>
      </w:hyperlink>
    </w:p>
    <w:p w14:paraId="621411D1" w14:textId="77777777" w:rsidR="00660885" w:rsidRPr="00115E3D" w:rsidRDefault="00660885" w:rsidP="007C4B32">
      <w:pPr>
        <w:spacing w:after="0" w:line="240" w:lineRule="auto"/>
        <w:rPr>
          <w:rFonts w:ascii="Verdana" w:eastAsia="Calibri" w:hAnsi="Verdana" w:cs="Arial"/>
          <w:b/>
          <w:bCs/>
          <w:color w:val="000000" w:themeColor="text1"/>
          <w:lang w:val="es-ES" w:eastAsia="es-ES"/>
        </w:rPr>
      </w:pPr>
      <w:r>
        <w:rPr>
          <w:rFonts w:ascii="Verdana" w:eastAsia="Calibri" w:hAnsi="Verdana" w:cs="Arial"/>
          <w:color w:val="000000" w:themeColor="text1"/>
          <w:lang w:val="es-ES" w:eastAsia="es-ES"/>
        </w:rPr>
        <w:t>Pereira</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 xml:space="preserve">Risaralda </w:t>
      </w:r>
    </w:p>
    <w:p w14:paraId="36FC61FB" w14:textId="77777777" w:rsidR="00660885" w:rsidRPr="00115E3D" w:rsidRDefault="00660885" w:rsidP="00660885">
      <w:pPr>
        <w:rPr>
          <w:rFonts w:ascii="Verdana" w:eastAsia="Calibri" w:hAnsi="Verdana" w:cs="Arial"/>
          <w:b/>
          <w:bCs/>
          <w:color w:val="000000" w:themeColor="text1"/>
          <w:lang w:val="es-ES_tradnl" w:eastAsia="es-ES_tradnl"/>
        </w:rPr>
      </w:pPr>
    </w:p>
    <w:p w14:paraId="0B47B8F9" w14:textId="77777777" w:rsidR="00660885" w:rsidRPr="00115E3D" w:rsidRDefault="00660885" w:rsidP="00660885">
      <w:pPr>
        <w:rPr>
          <w:rFonts w:ascii="Verdana" w:eastAsia="Calibri" w:hAnsi="Verdana" w:cs="Arial"/>
          <w:b/>
          <w:bCs/>
          <w:color w:val="000000" w:themeColor="text1"/>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521"/>
      </w:tblGrid>
      <w:tr w:rsidR="00660885" w:rsidRPr="00115E3D" w14:paraId="15D71D1A" w14:textId="77777777" w:rsidTr="00344DC8">
        <w:trPr>
          <w:trHeight w:val="599"/>
        </w:trPr>
        <w:tc>
          <w:tcPr>
            <w:tcW w:w="2268" w:type="dxa"/>
          </w:tcPr>
          <w:p w14:paraId="598FD351" w14:textId="77777777" w:rsidR="00660885" w:rsidRPr="00115E3D" w:rsidRDefault="00660885" w:rsidP="00A3378E">
            <w:pPr>
              <w:jc w:val="both"/>
              <w:rPr>
                <w:rFonts w:ascii="Verdana" w:eastAsia="Calibri" w:hAnsi="Verdana" w:cs="Arial"/>
                <w:b/>
                <w:bCs/>
                <w:color w:val="000000" w:themeColor="text1"/>
                <w:lang w:val="es-ES_tradnl" w:eastAsia="es-ES_tradnl"/>
              </w:rPr>
            </w:pPr>
          </w:p>
        </w:tc>
        <w:tc>
          <w:tcPr>
            <w:tcW w:w="6521" w:type="dxa"/>
          </w:tcPr>
          <w:p w14:paraId="7DAAA05D" w14:textId="77777777" w:rsidR="00660885" w:rsidRPr="00115E3D" w:rsidRDefault="00660885" w:rsidP="00A3378E">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365</w:t>
            </w:r>
            <w:r w:rsidRPr="00115E3D">
              <w:rPr>
                <w:rFonts w:ascii="Verdana" w:eastAsia="Calibri" w:hAnsi="Verdana" w:cs="Arial"/>
                <w:b/>
                <w:bCs/>
                <w:color w:val="000000" w:themeColor="text1"/>
                <w:lang w:val="es-ES" w:eastAsia="es-ES"/>
              </w:rPr>
              <w:t xml:space="preserve"> de 2024</w:t>
            </w:r>
          </w:p>
        </w:tc>
      </w:tr>
      <w:tr w:rsidR="00660885" w:rsidRPr="00115E3D" w14:paraId="07DFCD87" w14:textId="77777777" w:rsidTr="00344DC8">
        <w:trPr>
          <w:trHeight w:val="884"/>
        </w:trPr>
        <w:tc>
          <w:tcPr>
            <w:tcW w:w="2268" w:type="dxa"/>
          </w:tcPr>
          <w:p w14:paraId="78843819" w14:textId="77777777" w:rsidR="00660885" w:rsidRPr="00115E3D" w:rsidRDefault="00660885" w:rsidP="00A3378E">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521" w:type="dxa"/>
          </w:tcPr>
          <w:p w14:paraId="03690621" w14:textId="77777777" w:rsidR="00660885" w:rsidRPr="00054422" w:rsidRDefault="00660885" w:rsidP="00A3378E">
            <w:pPr>
              <w:spacing w:line="276" w:lineRule="auto"/>
              <w:jc w:val="both"/>
              <w:rPr>
                <w:rFonts w:ascii="Verdana" w:eastAsia="Calibri" w:hAnsi="Verdana" w:cs="Arial"/>
                <w:color w:val="000000" w:themeColor="text1"/>
                <w:lang w:val="es-ES" w:eastAsia="es-ES"/>
              </w:rPr>
            </w:pPr>
            <w:r w:rsidRPr="00BA0FFE">
              <w:rPr>
                <w:rFonts w:ascii="Verdana" w:eastAsia="Calibri" w:hAnsi="Verdana" w:cs="Arial"/>
                <w:bCs/>
                <w:color w:val="000000" w:themeColor="text1"/>
                <w:lang w:eastAsia="es-ES"/>
              </w:rPr>
              <w:t>PLANEACIÓN – Estudios previos / ESTUDIOS PREVIOS – Planeación</w:t>
            </w:r>
            <w:r>
              <w:rPr>
                <w:rFonts w:ascii="Verdana" w:eastAsia="Calibri" w:hAnsi="Verdana" w:cs="Arial"/>
                <w:bCs/>
                <w:color w:val="000000" w:themeColor="text1"/>
                <w:lang w:eastAsia="es-ES"/>
              </w:rPr>
              <w:t xml:space="preserve"> </w:t>
            </w:r>
            <w:r w:rsidRPr="00BA0FFE">
              <w:rPr>
                <w:rFonts w:ascii="Verdana" w:eastAsia="Calibri" w:hAnsi="Verdana" w:cs="Arial"/>
                <w:bCs/>
                <w:color w:val="000000" w:themeColor="text1"/>
                <w:lang w:val="es-ES" w:eastAsia="es-ES"/>
              </w:rPr>
              <w:t>– Naturaleza jurídica</w:t>
            </w:r>
            <w:r>
              <w:rPr>
                <w:rFonts w:ascii="Verdana" w:eastAsia="Calibri" w:hAnsi="Verdana" w:cs="Arial"/>
                <w:bCs/>
                <w:color w:val="000000" w:themeColor="text1"/>
                <w:lang w:val="es-ES" w:eastAsia="es-ES"/>
              </w:rPr>
              <w:t xml:space="preserve"> </w:t>
            </w:r>
            <w:r w:rsidRPr="00BA0FFE">
              <w:rPr>
                <w:rFonts w:ascii="Verdana" w:eastAsia="Calibri" w:hAnsi="Verdana" w:cs="Arial"/>
                <w:bCs/>
                <w:color w:val="000000" w:themeColor="text1"/>
                <w:lang w:val="es-MX" w:eastAsia="es-ES"/>
              </w:rPr>
              <w:t xml:space="preserve">– Carácter prevalente – Selección objetiva </w:t>
            </w:r>
            <w:r>
              <w:rPr>
                <w:rFonts w:ascii="Verdana" w:eastAsia="Calibri" w:hAnsi="Verdana" w:cs="Arial"/>
                <w:bCs/>
                <w:color w:val="000000" w:themeColor="text1"/>
                <w:lang w:val="es-MX" w:eastAsia="es-ES"/>
              </w:rPr>
              <w:t xml:space="preserve">– </w:t>
            </w:r>
            <w:r w:rsidRPr="00054422">
              <w:rPr>
                <w:rFonts w:ascii="Verdana" w:eastAsia="Calibri" w:hAnsi="Verdana" w:cs="Arial"/>
                <w:color w:val="000000" w:themeColor="text1"/>
                <w:lang w:val="es-ES" w:eastAsia="es-ES"/>
              </w:rPr>
              <w:t>SECOP II </w:t>
            </w:r>
            <w:r w:rsidRPr="00054422">
              <w:rPr>
                <w:rFonts w:ascii="Verdana" w:eastAsia="Calibri" w:hAnsi="Verdana" w:cs="Arial"/>
                <w:color w:val="000000" w:themeColor="text1"/>
                <w:lang w:eastAsia="es-ES"/>
              </w:rPr>
              <w:t>–</w:t>
            </w:r>
            <w:r w:rsidRPr="00054422">
              <w:rPr>
                <w:rFonts w:ascii="Verdana" w:eastAsia="Calibri" w:hAnsi="Verdana" w:cs="Arial"/>
                <w:color w:val="000000" w:themeColor="text1"/>
                <w:lang w:val="es-ES" w:eastAsia="es-ES"/>
              </w:rPr>
              <w:t xml:space="preserve"> Deber de publicación </w:t>
            </w:r>
          </w:p>
          <w:p w14:paraId="4108C0F8" w14:textId="77777777" w:rsidR="00660885" w:rsidRPr="00115E3D" w:rsidRDefault="00660885" w:rsidP="00A3378E">
            <w:pPr>
              <w:spacing w:line="276" w:lineRule="auto"/>
              <w:jc w:val="both"/>
              <w:rPr>
                <w:rFonts w:ascii="Verdana" w:eastAsia="Calibri" w:hAnsi="Verdana" w:cs="Arial"/>
                <w:color w:val="000000" w:themeColor="text1"/>
                <w:lang w:val="es-ES" w:eastAsia="es-ES"/>
              </w:rPr>
            </w:pPr>
          </w:p>
        </w:tc>
      </w:tr>
      <w:tr w:rsidR="00660885" w:rsidRPr="00115E3D" w14:paraId="43A41D0D" w14:textId="77777777" w:rsidTr="00344DC8">
        <w:trPr>
          <w:trHeight w:val="536"/>
        </w:trPr>
        <w:tc>
          <w:tcPr>
            <w:tcW w:w="2268" w:type="dxa"/>
          </w:tcPr>
          <w:p w14:paraId="2FDC68F2" w14:textId="77777777" w:rsidR="00660885" w:rsidRPr="00115E3D" w:rsidRDefault="00660885" w:rsidP="00A3378E">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521" w:type="dxa"/>
          </w:tcPr>
          <w:p w14:paraId="26C3E139" w14:textId="4A06DA03" w:rsidR="00660885" w:rsidRPr="00344DC8" w:rsidRDefault="00660885" w:rsidP="00A3378E">
            <w:pPr>
              <w:jc w:val="both"/>
              <w:rPr>
                <w:rFonts w:ascii="Verdana" w:eastAsia="Calibri" w:hAnsi="Verdana" w:cs="Arial"/>
                <w:color w:val="000000" w:themeColor="text1"/>
                <w:lang w:val="es-ES_tradnl" w:eastAsia="es-ES_tradnl"/>
              </w:rPr>
            </w:pPr>
            <w:r w:rsidRPr="00123B52">
              <w:rPr>
                <w:rFonts w:ascii="Verdana" w:eastAsia="Calibri" w:hAnsi="Verdana" w:cs="Arial"/>
                <w:color w:val="000000" w:themeColor="text1"/>
                <w:lang w:val="es-ES_tradnl" w:eastAsia="es-ES_tradnl"/>
              </w:rPr>
              <w:t xml:space="preserve">Respuesta a consulta con radicado No. </w:t>
            </w:r>
            <w:r w:rsidRPr="00123B52">
              <w:rPr>
                <w:rFonts w:ascii="Verdana" w:hAnsi="Verdana"/>
                <w:color w:val="000000"/>
              </w:rPr>
              <w:t>P20240719007410</w:t>
            </w:r>
          </w:p>
        </w:tc>
      </w:tr>
    </w:tbl>
    <w:p w14:paraId="096A6E5C" w14:textId="77777777" w:rsidR="00660885" w:rsidRPr="00115E3D" w:rsidRDefault="00660885" w:rsidP="00660885">
      <w:pPr>
        <w:jc w:val="both"/>
        <w:rPr>
          <w:rFonts w:ascii="Verdana" w:eastAsia="Calibri" w:hAnsi="Verdana" w:cs="Arial"/>
          <w:color w:val="000000" w:themeColor="text1"/>
          <w:lang w:val="es-ES_tradnl" w:eastAsia="es-ES_tradnl"/>
        </w:rPr>
      </w:pPr>
    </w:p>
    <w:p w14:paraId="6CA08BDA" w14:textId="7450513B" w:rsidR="00660885" w:rsidRPr="00115E3D" w:rsidRDefault="00660885" w:rsidP="007C4B32">
      <w:pPr>
        <w:spacing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señor</w:t>
      </w:r>
      <w:r>
        <w:rPr>
          <w:rFonts w:ascii="Verdana" w:eastAsia="Calibri" w:hAnsi="Verdana" w:cs="Arial"/>
          <w:color w:val="000000" w:themeColor="text1"/>
          <w:lang w:val="es-ES" w:eastAsia="es-ES"/>
        </w:rPr>
        <w:t>a</w:t>
      </w:r>
      <w:r w:rsidRPr="00115E3D">
        <w:rPr>
          <w:rFonts w:ascii="Verdana" w:eastAsia="Calibri" w:hAnsi="Verdana" w:cs="Arial"/>
          <w:color w:val="000000" w:themeColor="text1"/>
          <w:lang w:val="es-ES" w:eastAsia="es-ES"/>
        </w:rPr>
        <w:t xml:space="preserve"> </w:t>
      </w:r>
      <w:r w:rsidR="009E385A">
        <w:rPr>
          <w:rFonts w:ascii="Verdana" w:eastAsia="Calibri" w:hAnsi="Verdana" w:cs="Arial"/>
          <w:color w:val="000000" w:themeColor="text1"/>
          <w:lang w:val="es-ES" w:eastAsia="es-ES"/>
        </w:rPr>
        <w:t xml:space="preserve">Diana </w:t>
      </w:r>
      <w:r>
        <w:rPr>
          <w:rFonts w:ascii="Verdana" w:eastAsia="Calibri" w:hAnsi="Verdana" w:cs="Arial"/>
          <w:color w:val="000000" w:themeColor="text1"/>
          <w:lang w:val="es-ES" w:eastAsia="es-ES"/>
        </w:rPr>
        <w:t>Milena</w:t>
      </w:r>
      <w:r w:rsidRPr="00115E3D">
        <w:rPr>
          <w:rFonts w:ascii="Verdana" w:eastAsia="Calibri" w:hAnsi="Verdana" w:cs="Arial"/>
          <w:color w:val="000000" w:themeColor="text1"/>
          <w:lang w:val="es-ES" w:eastAsia="es-ES"/>
        </w:rPr>
        <w:t xml:space="preserve">: </w:t>
      </w:r>
      <w:r w:rsidRPr="00115E3D">
        <w:rPr>
          <w:rFonts w:ascii="Verdana" w:eastAsia="Calibri" w:hAnsi="Verdana" w:cs="Arial"/>
          <w:color w:val="000000" w:themeColor="text1"/>
          <w:lang w:val="es-ES" w:eastAsia="es-ES"/>
        </w:rPr>
        <w:tab/>
      </w:r>
    </w:p>
    <w:p w14:paraId="46FB05CD" w14:textId="28C17346" w:rsidR="00660885" w:rsidRPr="007C4B32" w:rsidRDefault="00660885" w:rsidP="007C4B32">
      <w:pPr>
        <w:spacing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19</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julio</w:t>
      </w:r>
      <w:r w:rsidRPr="00115E3D">
        <w:rPr>
          <w:rFonts w:ascii="Verdana" w:eastAsia="Calibri" w:hAnsi="Verdana" w:cs="Arial"/>
          <w:color w:val="000000" w:themeColor="text1"/>
          <w:lang w:val="es-ES" w:eastAsia="es-ES"/>
        </w:rPr>
        <w:t xml:space="preserve"> de 2</w:t>
      </w:r>
      <w:r>
        <w:rPr>
          <w:rFonts w:ascii="Verdana" w:eastAsia="Calibri" w:hAnsi="Verdana" w:cs="Arial"/>
          <w:color w:val="000000" w:themeColor="text1"/>
          <w:lang w:val="es-ES" w:eastAsia="es-ES"/>
        </w:rPr>
        <w:t>024</w:t>
      </w:r>
      <w:r w:rsidRPr="00115E3D">
        <w:rPr>
          <w:rFonts w:ascii="Verdana" w:eastAsia="Calibri" w:hAnsi="Verdana" w:cs="Arial"/>
          <w:color w:val="000000" w:themeColor="text1"/>
          <w:lang w:val="es-ES" w:eastAsia="es-ES"/>
        </w:rPr>
        <w:t xml:space="preserve">, en la cual manifiesta lo siguiente: </w:t>
      </w:r>
    </w:p>
    <w:p w14:paraId="271A5A3F" w14:textId="77777777" w:rsidR="00660885" w:rsidRPr="007C4B32" w:rsidRDefault="00660885" w:rsidP="00660885">
      <w:pPr>
        <w:ind w:left="709" w:right="709"/>
        <w:jc w:val="both"/>
        <w:rPr>
          <w:rFonts w:ascii="Verdana" w:eastAsia="Century Gothic" w:hAnsi="Verdana" w:cs="Century Gothic"/>
          <w:i/>
          <w:color w:val="000000" w:themeColor="text1"/>
          <w:sz w:val="20"/>
          <w:szCs w:val="20"/>
          <w:lang w:val="es-ES"/>
        </w:rPr>
      </w:pPr>
      <w:bookmarkStart w:id="0" w:name="_Hlk95313578"/>
      <w:r w:rsidRPr="007C4B32">
        <w:rPr>
          <w:rFonts w:ascii="Verdana" w:eastAsia="Century Gothic" w:hAnsi="Verdana" w:cs="Century Gothic"/>
          <w:i/>
          <w:color w:val="000000" w:themeColor="text1"/>
          <w:sz w:val="20"/>
          <w:szCs w:val="20"/>
          <w:lang w:val="es-ES"/>
        </w:rPr>
        <w:t>“</w:t>
      </w:r>
      <w:bookmarkEnd w:id="0"/>
      <w:r w:rsidRPr="007C4B32">
        <w:rPr>
          <w:rFonts w:ascii="Verdana" w:eastAsia="Century Gothic" w:hAnsi="Verdana" w:cs="Century Gothic"/>
          <w:i/>
          <w:color w:val="000000" w:themeColor="text1"/>
          <w:sz w:val="20"/>
          <w:szCs w:val="20"/>
          <w:lang w:val="es-ES"/>
        </w:rPr>
        <w:t>Solicito su valiosa ayuda para que se sirva dar un concepto sobre el siguiente tema:</w:t>
      </w:r>
    </w:p>
    <w:p w14:paraId="3904F562" w14:textId="77777777" w:rsidR="00660885" w:rsidRPr="007C4B32" w:rsidRDefault="00660885" w:rsidP="00660885">
      <w:pPr>
        <w:ind w:left="709" w:right="709"/>
        <w:jc w:val="both"/>
        <w:rPr>
          <w:rFonts w:ascii="Verdana" w:eastAsia="Century Gothic" w:hAnsi="Verdana" w:cs="Century Gothic"/>
          <w:i/>
          <w:color w:val="000000" w:themeColor="text1"/>
          <w:sz w:val="20"/>
          <w:szCs w:val="20"/>
          <w:lang w:val="es-ES"/>
        </w:rPr>
      </w:pPr>
      <w:r w:rsidRPr="007C4B32">
        <w:rPr>
          <w:rFonts w:ascii="Verdana" w:eastAsia="Century Gothic" w:hAnsi="Verdana" w:cs="Century Gothic"/>
          <w:i/>
          <w:color w:val="000000" w:themeColor="text1"/>
          <w:sz w:val="20"/>
          <w:szCs w:val="20"/>
          <w:lang w:val="es-ES"/>
        </w:rPr>
        <w:t xml:space="preserve">En la plataforma </w:t>
      </w:r>
      <w:proofErr w:type="spellStart"/>
      <w:r w:rsidRPr="007C4B32">
        <w:rPr>
          <w:rFonts w:ascii="Verdana" w:eastAsia="Century Gothic" w:hAnsi="Verdana" w:cs="Century Gothic"/>
          <w:i/>
          <w:color w:val="000000" w:themeColor="text1"/>
          <w:sz w:val="20"/>
          <w:szCs w:val="20"/>
          <w:lang w:val="es-ES"/>
        </w:rPr>
        <w:t>Secop</w:t>
      </w:r>
      <w:proofErr w:type="spellEnd"/>
      <w:r w:rsidRPr="007C4B32">
        <w:rPr>
          <w:rFonts w:ascii="Verdana" w:eastAsia="Century Gothic" w:hAnsi="Verdana" w:cs="Century Gothic"/>
          <w:i/>
          <w:color w:val="000000" w:themeColor="text1"/>
          <w:sz w:val="20"/>
          <w:szCs w:val="20"/>
          <w:lang w:val="es-ES"/>
        </w:rPr>
        <w:t xml:space="preserve"> II, si un clausulado de un contrato de prestación de servicios para persona natural, quedan las obligaciones específicas diferentes a las del estudio previo, siendo éstas las correctas para la realización del contrato, dicho contrato debe </w:t>
      </w:r>
      <w:proofErr w:type="spellStart"/>
      <w:r w:rsidRPr="007C4B32">
        <w:rPr>
          <w:rFonts w:ascii="Verdana" w:eastAsia="Century Gothic" w:hAnsi="Verdana" w:cs="Century Gothic"/>
          <w:i/>
          <w:color w:val="000000" w:themeColor="text1"/>
          <w:sz w:val="20"/>
          <w:szCs w:val="20"/>
          <w:lang w:val="es-ES"/>
        </w:rPr>
        <w:t>resiliarse</w:t>
      </w:r>
      <w:proofErr w:type="spellEnd"/>
      <w:r w:rsidRPr="007C4B32">
        <w:rPr>
          <w:rFonts w:ascii="Verdana" w:eastAsia="Century Gothic" w:hAnsi="Verdana" w:cs="Century Gothic"/>
          <w:i/>
          <w:color w:val="000000" w:themeColor="text1"/>
          <w:sz w:val="20"/>
          <w:szCs w:val="20"/>
          <w:lang w:val="es-ES"/>
        </w:rPr>
        <w:t xml:space="preserve"> y cargarse uno nuevo? o </w:t>
      </w:r>
      <w:proofErr w:type="gramStart"/>
      <w:r w:rsidRPr="007C4B32">
        <w:rPr>
          <w:rFonts w:ascii="Verdana" w:eastAsia="Century Gothic" w:hAnsi="Verdana" w:cs="Century Gothic"/>
          <w:i/>
          <w:color w:val="000000" w:themeColor="text1"/>
          <w:sz w:val="20"/>
          <w:szCs w:val="20"/>
          <w:lang w:val="es-ES"/>
        </w:rPr>
        <w:t>se  permite</w:t>
      </w:r>
      <w:proofErr w:type="gramEnd"/>
      <w:r w:rsidRPr="007C4B32">
        <w:rPr>
          <w:rFonts w:ascii="Verdana" w:eastAsia="Century Gothic" w:hAnsi="Verdana" w:cs="Century Gothic"/>
          <w:i/>
          <w:color w:val="000000" w:themeColor="text1"/>
          <w:sz w:val="20"/>
          <w:szCs w:val="20"/>
          <w:lang w:val="es-ES"/>
        </w:rPr>
        <w:t xml:space="preserve"> una </w:t>
      </w:r>
      <w:proofErr w:type="spellStart"/>
      <w:r w:rsidRPr="007C4B32">
        <w:rPr>
          <w:rFonts w:ascii="Verdana" w:eastAsia="Century Gothic" w:hAnsi="Verdana" w:cs="Century Gothic"/>
          <w:i/>
          <w:color w:val="000000" w:themeColor="text1"/>
          <w:sz w:val="20"/>
          <w:szCs w:val="20"/>
          <w:lang w:val="es-ES"/>
        </w:rPr>
        <w:t>modificaciòn</w:t>
      </w:r>
      <w:proofErr w:type="spellEnd"/>
      <w:r w:rsidRPr="007C4B32">
        <w:rPr>
          <w:rFonts w:ascii="Verdana" w:eastAsia="Century Gothic" w:hAnsi="Verdana" w:cs="Century Gothic"/>
          <w:i/>
          <w:color w:val="000000" w:themeColor="text1"/>
          <w:sz w:val="20"/>
          <w:szCs w:val="20"/>
          <w:lang w:val="es-ES"/>
        </w:rPr>
        <w:t xml:space="preserve"> a dicho clausulado.</w:t>
      </w:r>
    </w:p>
    <w:p w14:paraId="4325C3A1" w14:textId="02DB90BD" w:rsidR="00660885" w:rsidRPr="00A35E8B" w:rsidRDefault="00660885" w:rsidP="00A35E8B">
      <w:pPr>
        <w:ind w:left="709" w:right="709"/>
        <w:jc w:val="both"/>
        <w:rPr>
          <w:rFonts w:ascii="Verdana" w:eastAsia="Century Gothic" w:hAnsi="Verdana" w:cs="Century Gothic"/>
          <w:color w:val="000000" w:themeColor="text1"/>
          <w:sz w:val="20"/>
          <w:szCs w:val="20"/>
          <w:lang w:val="es-ES"/>
        </w:rPr>
      </w:pPr>
      <w:r w:rsidRPr="007C4B32">
        <w:rPr>
          <w:rFonts w:ascii="Verdana" w:eastAsia="Century Gothic" w:hAnsi="Verdana" w:cs="Century Gothic"/>
          <w:i/>
          <w:color w:val="000000" w:themeColor="text1"/>
          <w:sz w:val="20"/>
          <w:szCs w:val="20"/>
          <w:lang w:val="es-ES"/>
        </w:rPr>
        <w:t xml:space="preserve">El clausulado aún no tiene numeración ni estampillas, el contratista tampoco ha adquirido pólizas, </w:t>
      </w:r>
      <w:proofErr w:type="spellStart"/>
      <w:r w:rsidRPr="007C4B32">
        <w:rPr>
          <w:rFonts w:ascii="Verdana" w:eastAsia="Century Gothic" w:hAnsi="Verdana" w:cs="Century Gothic"/>
          <w:i/>
          <w:color w:val="000000" w:themeColor="text1"/>
          <w:sz w:val="20"/>
          <w:szCs w:val="20"/>
          <w:lang w:val="es-ES"/>
        </w:rPr>
        <w:t>ademàs</w:t>
      </w:r>
      <w:proofErr w:type="spellEnd"/>
      <w:r w:rsidRPr="007C4B32">
        <w:rPr>
          <w:rFonts w:ascii="Verdana" w:eastAsia="Century Gothic" w:hAnsi="Verdana" w:cs="Century Gothic"/>
          <w:i/>
          <w:color w:val="000000" w:themeColor="text1"/>
          <w:sz w:val="20"/>
          <w:szCs w:val="20"/>
          <w:lang w:val="es-ES"/>
        </w:rPr>
        <w:t xml:space="preserve"> las obligaciones específicas del </w:t>
      </w:r>
      <w:r w:rsidRPr="007C4B32">
        <w:rPr>
          <w:rFonts w:ascii="Verdana" w:eastAsia="Century Gothic" w:hAnsi="Verdana" w:cs="Century Gothic"/>
          <w:i/>
          <w:color w:val="000000" w:themeColor="text1"/>
          <w:sz w:val="20"/>
          <w:szCs w:val="20"/>
          <w:lang w:val="es-ES"/>
        </w:rPr>
        <w:lastRenderedPageBreak/>
        <w:t>estudio previo quedaron idénticas a las de la oferta del contratista, quedando el yerro solamente en el clausulado del contrato</w:t>
      </w:r>
      <w:r w:rsidRPr="007C4B32">
        <w:rPr>
          <w:rFonts w:ascii="Verdana" w:eastAsia="Century Gothic" w:hAnsi="Verdana" w:cs="Century Gothic"/>
          <w:i/>
          <w:iCs/>
          <w:color w:val="000000" w:themeColor="text1"/>
          <w:sz w:val="20"/>
          <w:szCs w:val="20"/>
          <w:lang w:val="es-ES"/>
        </w:rPr>
        <w:t>.</w:t>
      </w:r>
      <w:r w:rsidR="00A35E8B">
        <w:rPr>
          <w:rFonts w:ascii="Verdana" w:eastAsia="Century Gothic" w:hAnsi="Verdana" w:cs="Century Gothic"/>
          <w:i/>
          <w:iCs/>
          <w:color w:val="000000" w:themeColor="text1"/>
          <w:sz w:val="20"/>
          <w:szCs w:val="20"/>
          <w:lang w:val="es-ES"/>
        </w:rPr>
        <w:t>”</w:t>
      </w:r>
    </w:p>
    <w:p w14:paraId="1ACEC75D" w14:textId="77777777" w:rsidR="00660885" w:rsidRPr="00115E3D" w:rsidRDefault="00660885" w:rsidP="00660885">
      <w:pPr>
        <w:spacing w:after="120" w:line="276" w:lineRule="auto"/>
        <w:ind w:firstLine="709"/>
        <w:jc w:val="both"/>
        <w:rPr>
          <w:rFonts w:ascii="Verdana" w:eastAsia="Calibri" w:hAnsi="Verdana" w:cs="Arial"/>
          <w:color w:val="000000" w:themeColor="text1"/>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lang w:val="es-ES_tradnl" w:eastAsia="es-ES_tradnl"/>
        </w:rPr>
        <w:tab/>
      </w:r>
    </w:p>
    <w:p w14:paraId="19D8E85F" w14:textId="5BC93001" w:rsidR="00660885" w:rsidRPr="00115E3D" w:rsidRDefault="00660885" w:rsidP="00660885">
      <w:pPr>
        <w:spacing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C561C32" w14:textId="1B1A1DE4" w:rsidR="00660885" w:rsidRPr="00F8578D" w:rsidRDefault="00660885" w:rsidP="00F8578D">
      <w:pPr>
        <w:spacing w:after="120" w:line="276" w:lineRule="auto"/>
        <w:jc w:val="both"/>
        <w:rPr>
          <w:rFonts w:ascii="Verdana" w:eastAsia="Calibri" w:hAnsi="Verdana" w:cs="Arial"/>
          <w:b/>
          <w:color w:val="000000" w:themeColor="text1"/>
          <w:lang w:val="es-ES" w:eastAsia="es-ES"/>
        </w:rPr>
      </w:pPr>
      <w:r w:rsidRPr="00115E3D">
        <w:rPr>
          <w:rFonts w:ascii="Verdana" w:eastAsia="Century Gothic" w:hAnsi="Verdana" w:cs="Century Gothic"/>
          <w:b/>
          <w:bCs/>
          <w:color w:val="000000" w:themeColor="text1"/>
        </w:rPr>
        <w:t xml:space="preserve">Problema </w:t>
      </w:r>
      <w:r w:rsidRPr="00F8578D">
        <w:rPr>
          <w:rFonts w:ascii="Verdana" w:eastAsia="Calibri" w:hAnsi="Verdana" w:cs="Arial"/>
          <w:b/>
          <w:color w:val="000000" w:themeColor="text1"/>
          <w:lang w:val="es-ES" w:eastAsia="es-ES"/>
        </w:rPr>
        <w:t>planteado:</w:t>
      </w:r>
    </w:p>
    <w:p w14:paraId="12F5E4FC" w14:textId="1B4B5895" w:rsidR="00660885" w:rsidRPr="00F8578D" w:rsidRDefault="00660885" w:rsidP="00F8578D">
      <w:pPr>
        <w:spacing w:after="120" w:line="276" w:lineRule="auto"/>
        <w:jc w:val="both"/>
        <w:rPr>
          <w:rFonts w:ascii="Verdana" w:eastAsia="Calibri" w:hAnsi="Verdana" w:cs="Arial"/>
          <w:color w:val="000000" w:themeColor="text1"/>
          <w:lang w:val="es-ES" w:eastAsia="es-ES"/>
        </w:rPr>
      </w:pPr>
      <w:r w:rsidRPr="00F8578D">
        <w:rPr>
          <w:rFonts w:ascii="Verdana" w:eastAsia="Calibri" w:hAnsi="Verdana" w:cs="Arial"/>
          <w:color w:val="000000" w:themeColor="text1"/>
          <w:lang w:val="es-ES" w:eastAsia="es-ES"/>
        </w:rPr>
        <w:t xml:space="preserve">De acuerdo con el contenido de su solicitud, esta Agencia resolverá el siguiente problema jurídico: </w:t>
      </w:r>
    </w:p>
    <w:p w14:paraId="251B7FBE" w14:textId="60A10BCD" w:rsidR="00660885" w:rsidRPr="00F8578D" w:rsidRDefault="00660885" w:rsidP="00F8578D">
      <w:pPr>
        <w:jc w:val="both"/>
        <w:rPr>
          <w:rFonts w:ascii="Verdana" w:hAnsi="Verdana"/>
        </w:rPr>
      </w:pPr>
      <w:r w:rsidRPr="0078691A">
        <w:rPr>
          <w:rFonts w:ascii="Verdana" w:hAnsi="Verdana"/>
        </w:rPr>
        <w:t>¿Qué sucede si en un contrato de prestación de servicio que se encuentra cargado en el SECOP II quedan plasmadas las obligaciones del contrato diferentes a las del estudio previo?</w:t>
      </w:r>
    </w:p>
    <w:p w14:paraId="47CB5518" w14:textId="72E77B15" w:rsidR="00660885" w:rsidRDefault="00660885" w:rsidP="0066088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color w:val="000000" w:themeColor="text1"/>
        </w:rPr>
      </w:pPr>
      <w:r w:rsidRPr="00115E3D">
        <w:rPr>
          <w:rFonts w:ascii="Verdana" w:eastAsia="Century Gothic" w:hAnsi="Verdana" w:cs="Century Gothic"/>
          <w:b/>
          <w:bCs/>
          <w:color w:val="000000" w:themeColor="text1"/>
        </w:rPr>
        <w:t>Respuesta:</w:t>
      </w:r>
    </w:p>
    <w:p w14:paraId="3778A82A" w14:textId="77777777" w:rsidR="003E35BD" w:rsidRPr="003E35BD" w:rsidRDefault="003E35BD" w:rsidP="003E35BD">
      <w:pPr>
        <w:pStyle w:val="Prrafodelista"/>
        <w:tabs>
          <w:tab w:val="left" w:pos="142"/>
          <w:tab w:val="left" w:pos="284"/>
        </w:tabs>
        <w:spacing w:after="0" w:line="276" w:lineRule="auto"/>
        <w:ind w:left="0"/>
        <w:contextualSpacing w:val="0"/>
        <w:jc w:val="both"/>
        <w:rPr>
          <w:rFonts w:ascii="Verdana" w:eastAsia="Century Gothic" w:hAnsi="Verdana" w:cs="Century Gothic"/>
          <w:b/>
          <w:bCs/>
          <w:color w:val="000000" w:themeColor="text1"/>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60885" w:rsidRPr="00115E3D" w14:paraId="1DCB6134" w14:textId="77777777" w:rsidTr="00A3378E">
        <w:tc>
          <w:tcPr>
            <w:tcW w:w="8828" w:type="dxa"/>
            <w:shd w:val="clear" w:color="auto" w:fill="auto"/>
          </w:tcPr>
          <w:p w14:paraId="5E8C5CD9" w14:textId="77777777" w:rsidR="00660885" w:rsidRPr="00E768DF" w:rsidRDefault="00660885" w:rsidP="00A3378E">
            <w:pPr>
              <w:spacing w:after="120" w:line="276" w:lineRule="auto"/>
              <w:jc w:val="both"/>
              <w:rPr>
                <w:rFonts w:ascii="Verdana" w:eastAsia="Times New Roman" w:hAnsi="Verdana" w:cs="Times New Roman"/>
                <w:lang w:val="es-ES"/>
              </w:rPr>
            </w:pPr>
            <w:r w:rsidRPr="00E768DF">
              <w:rPr>
                <w:rFonts w:ascii="Verdana" w:eastAsia="Calibri" w:hAnsi="Verdana" w:cs="Arial"/>
                <w:color w:val="000000" w:themeColor="text1"/>
                <w:lang w:val="es-ES"/>
              </w:rPr>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w:t>
            </w:r>
            <w:r w:rsidRPr="00E768DF">
              <w:rPr>
                <w:rFonts w:ascii="Verdana" w:eastAsia="Calibri" w:hAnsi="Verdana" w:cs="Arial"/>
                <w:color w:val="000000" w:themeColor="text1"/>
                <w:lang w:val="es-ES"/>
              </w:rPr>
              <w:lastRenderedPageBreak/>
              <w:t xml:space="preserve">publicidad de las actuaciones contractuales en SECOP II tiene ciertas </w:t>
            </w:r>
            <w:r w:rsidRPr="00E768DF">
              <w:rPr>
                <w:rFonts w:ascii="Verdana" w:eastAsia="Times New Roman" w:hAnsi="Verdana" w:cs="Times New Roman"/>
                <w:lang w:val="es-ES"/>
              </w:rPr>
              <w:t>particularidades.</w:t>
            </w:r>
          </w:p>
          <w:p w14:paraId="49D2D696" w14:textId="77777777" w:rsidR="00660885" w:rsidRPr="00E768DF" w:rsidRDefault="00660885" w:rsidP="00A3378E">
            <w:pPr>
              <w:spacing w:after="120" w:line="276" w:lineRule="auto"/>
              <w:jc w:val="both"/>
              <w:rPr>
                <w:rFonts w:ascii="Verdana" w:eastAsia="Calibri" w:hAnsi="Verdana" w:cs="Arial"/>
                <w:color w:val="000000" w:themeColor="text1"/>
                <w:lang w:val="es-ES"/>
              </w:rPr>
            </w:pPr>
            <w:r w:rsidRPr="00E768DF">
              <w:rPr>
                <w:rFonts w:ascii="Verdana" w:eastAsia="Times New Roman" w:hAnsi="Verdana" w:cs="Times New Roman"/>
                <w:lang w:val="es-ES"/>
              </w:rPr>
              <w:t>Ahora</w:t>
            </w:r>
            <w:r w:rsidRPr="00E768DF">
              <w:rPr>
                <w:rFonts w:ascii="Verdana" w:eastAsia="Calibri" w:hAnsi="Verdana" w:cs="Arial"/>
                <w:color w:val="000000" w:themeColor="text1"/>
                <w:lang w:val="es-ES"/>
              </w:rPr>
              <w:t xml:space="preserve"> bien, deber de publicar la actividad contractual de las entidades estatales no solo está regulado en el artículo 3 de la Ley 1150 de 2007, y en el 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E768DF">
              <w:rPr>
                <w:rFonts w:ascii="Verdana" w:eastAsia="Calibri" w:hAnsi="Verdana" w:cs="Arial"/>
                <w:i/>
                <w:iCs/>
                <w:color w:val="000000" w:themeColor="text1"/>
                <w:lang w:val="es-ES"/>
              </w:rPr>
              <w:t xml:space="preserve">Documentos del Proceso </w:t>
            </w:r>
            <w:r w:rsidRPr="00E768DF">
              <w:rPr>
                <w:rFonts w:ascii="Verdana" w:eastAsia="Calibri" w:hAnsi="Verdana" w:cs="Arial"/>
                <w:color w:val="000000" w:themeColor="text1"/>
                <w:lang w:val="es-ES"/>
              </w:rPr>
              <w:t>expedidos por la “entidad estatal”.</w:t>
            </w:r>
          </w:p>
          <w:p w14:paraId="387F0598" w14:textId="77777777" w:rsidR="00660885" w:rsidRPr="004A004A" w:rsidRDefault="00660885" w:rsidP="00A3378E">
            <w:pPr>
              <w:spacing w:after="120" w:line="276" w:lineRule="auto"/>
              <w:jc w:val="both"/>
              <w:rPr>
                <w:rFonts w:ascii="Verdana" w:hAnsi="Verdana"/>
                <w:lang w:val="es-ES"/>
              </w:rPr>
            </w:pPr>
            <w:r w:rsidRPr="00E91A05">
              <w:rPr>
                <w:rFonts w:ascii="Verdana" w:hAnsi="Verdana"/>
                <w:lang w:val="es-ES"/>
              </w:rPr>
              <w:t>De otro lado, el artículo 2.1.1.2.1.8, establece los efectos de la obligación contenida en el literal g) del artículo 11 de la Ley 1712 de 2014, en relación con los documentos producidos durante la ejecución del contrato, señalando que se deben publicar las aprobaciones, autorizaciones, requerimientos o informes del supervisor o interventor, que prueben la ejecución del contrato.</w:t>
            </w:r>
          </w:p>
          <w:p w14:paraId="7C066E88" w14:textId="77777777" w:rsidR="00660885" w:rsidRPr="00E768DF" w:rsidRDefault="00660885" w:rsidP="00A3378E">
            <w:pPr>
              <w:spacing w:after="120" w:line="276" w:lineRule="auto"/>
              <w:jc w:val="both"/>
              <w:rPr>
                <w:rFonts w:ascii="Verdana" w:eastAsia="Times New Roman" w:hAnsi="Verdana" w:cs="Times New Roman"/>
                <w:lang w:val="es-ES"/>
              </w:rPr>
            </w:pPr>
            <w:r w:rsidRPr="004A004A">
              <w:rPr>
                <w:rFonts w:ascii="Verdana" w:hAnsi="Verdana" w:cs="Arial"/>
              </w:rPr>
              <w:t>Con todo, corresponde a las Entidades Estatales</w:t>
            </w:r>
            <w:r w:rsidRPr="004A004A">
              <w:rPr>
                <w:rFonts w:ascii="Verdana" w:hAnsi="Verdana" w:cs="Arial"/>
                <w:spacing w:val="1"/>
              </w:rPr>
              <w:t xml:space="preserve"> </w:t>
            </w:r>
            <w:r w:rsidRPr="004A004A">
              <w:rPr>
                <w:rFonts w:ascii="Verdana" w:hAnsi="Verdana" w:cs="Arial"/>
              </w:rPr>
              <w:t xml:space="preserve">contratantes analizar en cada caso concreto si en efecto se presentan contradicciones entre el contenido de los diferentes los Documentos del Proceso, en aras de determinar el tratamiento interpretativo del que deben ser objeto las mismas en aras de </w:t>
            </w:r>
            <w:r w:rsidRPr="004A004A">
              <w:rPr>
                <w:rFonts w:ascii="Verdana" w:hAnsi="Verdana"/>
                <w:lang w:val="es-ES"/>
              </w:rPr>
              <w:t xml:space="preserve">preservar la legalidad del Proceso de Contratación. </w:t>
            </w:r>
          </w:p>
        </w:tc>
      </w:tr>
    </w:tbl>
    <w:p w14:paraId="1E5CBCDE" w14:textId="77777777" w:rsidR="00660885" w:rsidRPr="00115E3D" w:rsidRDefault="00660885" w:rsidP="00660885">
      <w:pPr>
        <w:tabs>
          <w:tab w:val="left" w:pos="142"/>
          <w:tab w:val="left" w:pos="284"/>
        </w:tabs>
        <w:spacing w:line="276" w:lineRule="auto"/>
        <w:jc w:val="both"/>
        <w:rPr>
          <w:rFonts w:ascii="Verdana" w:eastAsia="Century Gothic" w:hAnsi="Verdana" w:cs="Century Gothic"/>
          <w:b/>
          <w:bCs/>
          <w:color w:val="000000" w:themeColor="text1"/>
          <w:lang w:val="es-ES"/>
        </w:rPr>
      </w:pPr>
    </w:p>
    <w:p w14:paraId="619A557D" w14:textId="7CF0E798" w:rsidR="00660885" w:rsidRDefault="00660885" w:rsidP="0066088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color w:val="000000" w:themeColor="text1"/>
        </w:rPr>
      </w:pPr>
      <w:r w:rsidRPr="00115E3D">
        <w:rPr>
          <w:rFonts w:ascii="Verdana" w:eastAsia="Century Gothic" w:hAnsi="Verdana" w:cs="Century Gothic"/>
          <w:b/>
          <w:bCs/>
          <w:color w:val="000000" w:themeColor="text1"/>
        </w:rPr>
        <w:t>Razones de la respuesta:</w:t>
      </w:r>
    </w:p>
    <w:p w14:paraId="119BFEE7" w14:textId="77777777" w:rsidR="003E35BD" w:rsidRPr="003E35BD" w:rsidRDefault="003E35BD" w:rsidP="003E35BD">
      <w:pPr>
        <w:pStyle w:val="Prrafodelista"/>
        <w:tabs>
          <w:tab w:val="left" w:pos="142"/>
          <w:tab w:val="left" w:pos="284"/>
        </w:tabs>
        <w:spacing w:after="0" w:line="276" w:lineRule="auto"/>
        <w:ind w:left="0"/>
        <w:contextualSpacing w:val="0"/>
        <w:jc w:val="both"/>
        <w:rPr>
          <w:rFonts w:ascii="Verdana" w:eastAsia="Century Gothic" w:hAnsi="Verdana" w:cs="Century Gothic"/>
          <w:b/>
          <w:bCs/>
          <w:color w:val="000000" w:themeColor="text1"/>
        </w:rPr>
      </w:pPr>
    </w:p>
    <w:p w14:paraId="28BCEBD2" w14:textId="5C456EB4" w:rsidR="00660885" w:rsidRPr="00115E3D" w:rsidRDefault="00660885" w:rsidP="00660885">
      <w:pPr>
        <w:spacing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72AFAD3B" w14:textId="77777777" w:rsidR="00660885" w:rsidRPr="004A004A" w:rsidRDefault="00660885" w:rsidP="00660885">
      <w:pPr>
        <w:spacing w:line="276" w:lineRule="auto"/>
        <w:jc w:val="both"/>
        <w:rPr>
          <w:rFonts w:ascii="Verdana" w:hAnsi="Verdana"/>
          <w:lang w:val="es-MX"/>
        </w:rPr>
      </w:pPr>
      <w:bookmarkStart w:id="1" w:name="_Hlk54011258"/>
      <w:r w:rsidRPr="004A004A">
        <w:rPr>
          <w:rFonts w:ascii="Verdana" w:hAnsi="Verdana" w:cs="Arial"/>
          <w:bCs/>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1"/>
      <w:r w:rsidRPr="004A004A">
        <w:rPr>
          <w:rFonts w:ascii="Verdana" w:hAnsi="Verdana" w:cs="Arial"/>
          <w:bCs/>
          <w:sz w:val="21"/>
          <w:szCs w:val="21"/>
          <w:lang w:val="es-ES_tradnl"/>
        </w:rPr>
        <w:t>.</w:t>
      </w:r>
    </w:p>
    <w:p w14:paraId="7DDD7A9E" w14:textId="0E7B2E40" w:rsidR="00660885" w:rsidRPr="004A004A" w:rsidRDefault="00660885" w:rsidP="003E35BD">
      <w:pPr>
        <w:spacing w:before="120" w:line="276" w:lineRule="auto"/>
        <w:ind w:firstLine="708"/>
        <w:jc w:val="both"/>
        <w:rPr>
          <w:rFonts w:ascii="Verdana" w:hAnsi="Verdana" w:cs="Arial"/>
          <w:bCs/>
          <w:lang w:val="es-ES"/>
        </w:rPr>
      </w:pPr>
      <w:r w:rsidRPr="004A004A">
        <w:rPr>
          <w:rFonts w:ascii="Verdana" w:hAnsi="Verdana" w:cs="Arial"/>
          <w:bCs/>
          <w:lang w:val="es-MX"/>
        </w:rPr>
        <w:lastRenderedPageBreak/>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34B5EE71" w14:textId="77777777" w:rsidR="00660885" w:rsidRPr="004A004A" w:rsidRDefault="00660885" w:rsidP="00660885">
      <w:pPr>
        <w:ind w:left="709" w:right="709"/>
        <w:jc w:val="both"/>
        <w:rPr>
          <w:rFonts w:ascii="Verdana" w:hAnsi="Verdana" w:cs="Arial"/>
          <w:sz w:val="20"/>
          <w:szCs w:val="20"/>
          <w:lang w:val="es-MX"/>
        </w:rPr>
      </w:pPr>
      <w:r w:rsidRPr="004A004A">
        <w:rPr>
          <w:rFonts w:ascii="Verdana" w:hAnsi="Verdana" w:cs="Arial"/>
          <w:sz w:val="20"/>
          <w:szCs w:val="20"/>
          <w:lang w:val="es-MX"/>
        </w:rPr>
        <w:t>“7o. La conveniencia o inconveniencia del objeto a contratar y las autorizaciones y aprobaciones para ello, se analizarán o impartirán con antelación al inicio del proceso de selección del contratista o al de la firma del contrato, según el caso.</w:t>
      </w:r>
    </w:p>
    <w:p w14:paraId="42894662" w14:textId="77777777" w:rsidR="00660885" w:rsidRPr="004A004A" w:rsidRDefault="00660885" w:rsidP="00660885">
      <w:pPr>
        <w:spacing w:after="120"/>
        <w:ind w:left="709" w:right="709"/>
        <w:jc w:val="both"/>
        <w:rPr>
          <w:rFonts w:ascii="Verdana" w:hAnsi="Verdana" w:cs="Arial"/>
          <w:sz w:val="20"/>
          <w:szCs w:val="20"/>
          <w:lang w:val="es-MX"/>
        </w:rPr>
      </w:pPr>
      <w:r w:rsidRPr="004A004A">
        <w:rPr>
          <w:rFonts w:ascii="Verdana" w:hAnsi="Verdana" w:cs="Arial"/>
          <w:sz w:val="20"/>
          <w:szCs w:val="20"/>
          <w:lang w:val="es-MX"/>
        </w:rPr>
        <w:t>[…]</w:t>
      </w:r>
    </w:p>
    <w:p w14:paraId="275DF592" w14:textId="77777777" w:rsidR="00660885" w:rsidRPr="004A004A" w:rsidRDefault="00660885" w:rsidP="00660885">
      <w:pPr>
        <w:spacing w:after="120"/>
        <w:ind w:left="709" w:right="709"/>
        <w:jc w:val="both"/>
        <w:rPr>
          <w:rFonts w:ascii="Verdana" w:hAnsi="Verdana" w:cs="Arial"/>
          <w:sz w:val="20"/>
          <w:szCs w:val="20"/>
          <w:lang w:val="es-MX"/>
        </w:rPr>
      </w:pPr>
      <w:r w:rsidRPr="004A004A">
        <w:rPr>
          <w:rFonts w:ascii="Verdana" w:hAnsi="Verdana" w:cs="Arial"/>
          <w:sz w:val="20"/>
          <w:szCs w:val="20"/>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AA29EF4" w14:textId="77777777" w:rsidR="00660885" w:rsidRPr="004A004A" w:rsidRDefault="00660885" w:rsidP="00660885">
      <w:pPr>
        <w:spacing w:after="120"/>
        <w:ind w:left="709" w:right="709"/>
        <w:jc w:val="both"/>
        <w:rPr>
          <w:rFonts w:ascii="Verdana" w:hAnsi="Verdana" w:cs="Arial"/>
          <w:sz w:val="20"/>
          <w:szCs w:val="20"/>
          <w:lang w:val="es-MX"/>
        </w:rPr>
      </w:pPr>
      <w:r w:rsidRPr="004A004A">
        <w:rPr>
          <w:rFonts w:ascii="Verdana" w:hAnsi="Verdana" w:cs="Arial"/>
          <w:sz w:val="20"/>
          <w:szCs w:val="20"/>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2BB8EA55" w14:textId="77777777" w:rsidR="00660885" w:rsidRPr="004A004A" w:rsidRDefault="00660885" w:rsidP="00660885">
      <w:pPr>
        <w:spacing w:after="120"/>
        <w:ind w:left="709" w:right="709"/>
        <w:jc w:val="both"/>
        <w:rPr>
          <w:rFonts w:ascii="Verdana" w:hAnsi="Verdana" w:cs="Arial"/>
          <w:sz w:val="20"/>
          <w:szCs w:val="20"/>
          <w:lang w:val="es-MX"/>
        </w:rPr>
      </w:pPr>
      <w:r w:rsidRPr="004A004A">
        <w:rPr>
          <w:rFonts w:ascii="Verdana" w:hAnsi="Verdana" w:cs="Arial"/>
          <w:sz w:val="20"/>
          <w:szCs w:val="20"/>
          <w:lang w:val="es-MX"/>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2B84C0BA" w14:textId="2F7FE631" w:rsidR="00660885" w:rsidRPr="003E35BD" w:rsidRDefault="00660885" w:rsidP="003E35BD">
      <w:pPr>
        <w:ind w:left="709" w:right="709"/>
        <w:jc w:val="both"/>
        <w:rPr>
          <w:rFonts w:ascii="Verdana" w:hAnsi="Verdana" w:cs="Arial"/>
          <w:sz w:val="20"/>
          <w:szCs w:val="20"/>
          <w:lang w:val="es-MX"/>
        </w:rPr>
      </w:pPr>
      <w:r w:rsidRPr="004A004A">
        <w:rPr>
          <w:rFonts w:ascii="Verdana" w:hAnsi="Verdana" w:cs="Arial"/>
          <w:sz w:val="20"/>
          <w:szCs w:val="20"/>
          <w:lang w:val="es-MX"/>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1EE27C1C" w14:textId="77777777" w:rsidR="00660885" w:rsidRPr="0027528C" w:rsidRDefault="00660885" w:rsidP="00660885">
      <w:pPr>
        <w:spacing w:after="120" w:line="276" w:lineRule="auto"/>
        <w:ind w:firstLine="709"/>
        <w:jc w:val="both"/>
        <w:rPr>
          <w:rFonts w:ascii="Verdana" w:hAnsi="Verdana" w:cs="Arial"/>
          <w:lang w:val="es-MX"/>
        </w:rPr>
      </w:pPr>
      <w:r w:rsidRPr="0027528C">
        <w:rPr>
          <w:rFonts w:ascii="Verdana" w:hAnsi="Verdana" w:cs="Arial"/>
          <w:lang w:val="es-MX"/>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w:t>
      </w:r>
      <w:r w:rsidRPr="0027528C">
        <w:rPr>
          <w:rFonts w:ascii="Verdana" w:hAnsi="Verdana" w:cs="Arial"/>
          <w:lang w:val="es-MX"/>
        </w:rPr>
        <w:lastRenderedPageBreak/>
        <w:t>es la importancia de los estudios y documentos previos que su deficiencia o ausencia, “[...]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27528C">
        <w:rPr>
          <w:rFonts w:ascii="Verdana" w:hAnsi="Verdana"/>
          <w:vertAlign w:val="superscript"/>
          <w:lang w:val="es-MX"/>
        </w:rPr>
        <w:footnoteReference w:id="2"/>
      </w:r>
      <w:r w:rsidRPr="0027528C">
        <w:rPr>
          <w:rFonts w:ascii="Verdana" w:hAnsi="Verdana" w:cs="Arial"/>
          <w:lang w:val="es-MX"/>
        </w:rPr>
        <w:t>.</w:t>
      </w:r>
    </w:p>
    <w:p w14:paraId="6D864960" w14:textId="4BEAF041" w:rsidR="00660885" w:rsidRPr="003E35BD" w:rsidRDefault="00660885" w:rsidP="003E35BD">
      <w:pPr>
        <w:spacing w:line="276" w:lineRule="auto"/>
        <w:ind w:firstLine="709"/>
        <w:jc w:val="both"/>
        <w:rPr>
          <w:rFonts w:ascii="Verdana" w:hAnsi="Verdana" w:cs="Arial"/>
          <w:lang w:val="es-MX"/>
        </w:rPr>
      </w:pPr>
      <w:r w:rsidRPr="0027528C">
        <w:rPr>
          <w:rFonts w:ascii="Verdana" w:hAnsi="Verdana" w:cs="Arial"/>
          <w:lang w:val="es-MX"/>
        </w:rPr>
        <w:t>Con base en la norma enunciada de la Ley 80 de 1993, el Decreto Único Reglamentario del Sector Administrativo de Planeación Nacional –Decreto 1082 de 2015–, establece en el artículo 2.2.1.1.2.1.1. el contenido mínimo de los estudios y documentos previos</w:t>
      </w:r>
      <w:r w:rsidRPr="004A004A">
        <w:rPr>
          <w:rFonts w:ascii="Verdana" w:hAnsi="Verdana" w:cs="Arial"/>
          <w:lang w:val="es-MX"/>
        </w:rPr>
        <w:t>:</w:t>
      </w:r>
    </w:p>
    <w:p w14:paraId="53B9EA06" w14:textId="77777777" w:rsidR="00660885" w:rsidRPr="004A004A" w:rsidRDefault="00660885" w:rsidP="00660885">
      <w:pPr>
        <w:spacing w:after="120"/>
        <w:ind w:left="709" w:right="709"/>
        <w:jc w:val="both"/>
        <w:rPr>
          <w:rFonts w:ascii="Verdana" w:hAnsi="Verdana" w:cs="Arial"/>
          <w:sz w:val="20"/>
          <w:szCs w:val="20"/>
          <w:lang w:val="es-MX"/>
        </w:rPr>
      </w:pPr>
      <w:r w:rsidRPr="004A004A">
        <w:rPr>
          <w:rFonts w:ascii="Verdana" w:hAnsi="Verdana" w:cs="Arial"/>
          <w:sz w:val="20"/>
          <w:szCs w:val="20"/>
          <w:lang w:val="es-MX"/>
        </w:rPr>
        <w:t>“Artículo 2.2.1.1.2.1.1.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w:t>
      </w:r>
      <w:r w:rsidRPr="004A004A">
        <w:rPr>
          <w:rFonts w:ascii="Verdana" w:hAnsi="Verdana" w:cs="Arial"/>
          <w:spacing w:val="-15"/>
          <w:sz w:val="20"/>
          <w:szCs w:val="20"/>
          <w:lang w:val="es-MX"/>
        </w:rPr>
        <w:t xml:space="preserve"> </w:t>
      </w:r>
      <w:r w:rsidRPr="004A004A">
        <w:rPr>
          <w:rFonts w:ascii="Verdana" w:hAnsi="Verdana" w:cs="Arial"/>
          <w:sz w:val="20"/>
          <w:szCs w:val="20"/>
          <w:lang w:val="es-MX"/>
        </w:rPr>
        <w:t>selección:</w:t>
      </w:r>
    </w:p>
    <w:p w14:paraId="1E53D5A7" w14:textId="77777777" w:rsidR="00660885" w:rsidRPr="004A004A" w:rsidRDefault="00660885" w:rsidP="00660885">
      <w:pPr>
        <w:widowControl w:val="0"/>
        <w:tabs>
          <w:tab w:val="left" w:pos="1223"/>
        </w:tabs>
        <w:autoSpaceDE w:val="0"/>
        <w:autoSpaceDN w:val="0"/>
        <w:spacing w:after="120"/>
        <w:ind w:left="709" w:right="709"/>
        <w:jc w:val="both"/>
        <w:rPr>
          <w:rFonts w:ascii="Verdana" w:hAnsi="Verdana" w:cs="Arial"/>
          <w:sz w:val="20"/>
          <w:szCs w:val="20"/>
          <w:lang w:val="es-MX"/>
        </w:rPr>
      </w:pPr>
      <w:r w:rsidRPr="004A004A">
        <w:rPr>
          <w:rFonts w:ascii="Verdana" w:hAnsi="Verdana" w:cs="Arial"/>
          <w:sz w:val="20"/>
          <w:szCs w:val="20"/>
          <w:lang w:val="es-MX"/>
        </w:rPr>
        <w:t>1. La descripción de la necesidad que la Entidad Estatal pretende satisfacer con el Proceso de</w:t>
      </w:r>
      <w:r w:rsidRPr="004A004A">
        <w:rPr>
          <w:rFonts w:ascii="Verdana" w:hAnsi="Verdana" w:cs="Arial"/>
          <w:spacing w:val="-2"/>
          <w:sz w:val="20"/>
          <w:szCs w:val="20"/>
          <w:lang w:val="es-MX"/>
        </w:rPr>
        <w:t xml:space="preserve"> </w:t>
      </w:r>
      <w:r w:rsidRPr="004A004A">
        <w:rPr>
          <w:rFonts w:ascii="Verdana" w:hAnsi="Verdana" w:cs="Arial"/>
          <w:sz w:val="20"/>
          <w:szCs w:val="20"/>
          <w:lang w:val="es-MX"/>
        </w:rPr>
        <w:t>Contratación.</w:t>
      </w:r>
    </w:p>
    <w:p w14:paraId="1138299C" w14:textId="77777777" w:rsidR="00660885" w:rsidRPr="004A004A" w:rsidRDefault="00660885" w:rsidP="00660885">
      <w:pPr>
        <w:widowControl w:val="0"/>
        <w:tabs>
          <w:tab w:val="left" w:pos="1283"/>
        </w:tabs>
        <w:autoSpaceDE w:val="0"/>
        <w:autoSpaceDN w:val="0"/>
        <w:spacing w:after="120"/>
        <w:ind w:left="709" w:right="709"/>
        <w:jc w:val="both"/>
        <w:rPr>
          <w:rFonts w:ascii="Verdana" w:hAnsi="Verdana" w:cs="Arial"/>
          <w:sz w:val="20"/>
          <w:szCs w:val="20"/>
          <w:lang w:val="es-MX"/>
        </w:rPr>
      </w:pPr>
      <w:r w:rsidRPr="004A004A">
        <w:rPr>
          <w:rFonts w:ascii="Verdana" w:hAnsi="Verdana" w:cs="Arial"/>
          <w:sz w:val="20"/>
          <w:szCs w:val="20"/>
          <w:lang w:val="es-MX"/>
        </w:rPr>
        <w:t>2. El objeto a contratar, con sus especificaciones, las autorizaciones, permisos y licencias requeridos para su ejecución, y cuando el contrato incluye diseño y construcción, los documentos técnicos para el desarrollo del</w:t>
      </w:r>
      <w:r w:rsidRPr="004A004A">
        <w:rPr>
          <w:rFonts w:ascii="Verdana" w:hAnsi="Verdana" w:cs="Arial"/>
          <w:spacing w:val="-12"/>
          <w:sz w:val="20"/>
          <w:szCs w:val="20"/>
          <w:lang w:val="es-MX"/>
        </w:rPr>
        <w:t xml:space="preserve"> </w:t>
      </w:r>
      <w:r w:rsidRPr="004A004A">
        <w:rPr>
          <w:rFonts w:ascii="Verdana" w:hAnsi="Verdana" w:cs="Arial"/>
          <w:sz w:val="20"/>
          <w:szCs w:val="20"/>
          <w:lang w:val="es-MX"/>
        </w:rPr>
        <w:t>proyecto.</w:t>
      </w:r>
    </w:p>
    <w:p w14:paraId="32A0F328" w14:textId="77777777" w:rsidR="00660885" w:rsidRPr="004A004A" w:rsidRDefault="00660885" w:rsidP="00660885">
      <w:pPr>
        <w:widowControl w:val="0"/>
        <w:tabs>
          <w:tab w:val="left" w:pos="1378"/>
        </w:tabs>
        <w:autoSpaceDE w:val="0"/>
        <w:autoSpaceDN w:val="0"/>
        <w:spacing w:after="120"/>
        <w:ind w:left="709" w:right="709"/>
        <w:jc w:val="both"/>
        <w:rPr>
          <w:rFonts w:ascii="Verdana" w:hAnsi="Verdana" w:cs="Arial"/>
          <w:sz w:val="20"/>
          <w:szCs w:val="20"/>
          <w:lang w:val="es-MX"/>
        </w:rPr>
      </w:pPr>
      <w:r w:rsidRPr="004A004A">
        <w:rPr>
          <w:rFonts w:ascii="Verdana" w:hAnsi="Verdana"/>
          <w:sz w:val="20"/>
          <w:szCs w:val="20"/>
          <w:lang w:val="es-MX"/>
        </w:rPr>
        <w:t xml:space="preserve">3. </w:t>
      </w:r>
      <w:r w:rsidRPr="004A004A">
        <w:rPr>
          <w:rFonts w:ascii="Verdana" w:hAnsi="Verdana" w:cs="Arial"/>
          <w:sz w:val="20"/>
          <w:szCs w:val="20"/>
          <w:lang w:val="es-MX"/>
        </w:rPr>
        <w:t>La modalidad de selección del contratista y su justificación, incluyendo los fundamentos jurídicos.</w:t>
      </w:r>
    </w:p>
    <w:p w14:paraId="639D02D2" w14:textId="77777777" w:rsidR="00660885" w:rsidRPr="004A004A" w:rsidRDefault="00660885" w:rsidP="00660885">
      <w:pPr>
        <w:widowControl w:val="0"/>
        <w:tabs>
          <w:tab w:val="left" w:pos="1273"/>
        </w:tabs>
        <w:autoSpaceDE w:val="0"/>
        <w:autoSpaceDN w:val="0"/>
        <w:spacing w:after="120"/>
        <w:ind w:left="709" w:right="709"/>
        <w:jc w:val="both"/>
        <w:rPr>
          <w:rFonts w:ascii="Verdana" w:hAnsi="Verdana" w:cs="Arial"/>
          <w:sz w:val="20"/>
          <w:szCs w:val="20"/>
          <w:lang w:val="es-MX"/>
        </w:rPr>
      </w:pPr>
      <w:r w:rsidRPr="004A004A">
        <w:rPr>
          <w:rFonts w:ascii="Verdana" w:hAnsi="Verdana" w:cs="Arial"/>
          <w:sz w:val="20"/>
          <w:szCs w:val="20"/>
          <w:lang w:val="es-MX"/>
        </w:rPr>
        <w:t xml:space="preserve">4. El valor estimado del contrato y la justificación </w:t>
      </w:r>
      <w:proofErr w:type="gramStart"/>
      <w:r w:rsidRPr="004A004A">
        <w:rPr>
          <w:rFonts w:ascii="Verdana" w:hAnsi="Verdana" w:cs="Arial"/>
          <w:sz w:val="20"/>
          <w:szCs w:val="20"/>
          <w:lang w:val="es-MX"/>
        </w:rPr>
        <w:t>del mismo</w:t>
      </w:r>
      <w:proofErr w:type="gramEnd"/>
      <w:r w:rsidRPr="004A004A">
        <w:rPr>
          <w:rFonts w:ascii="Verdana" w:hAnsi="Verdana" w:cs="Arial"/>
          <w:sz w:val="20"/>
          <w:szCs w:val="20"/>
          <w:lang w:val="es-MX"/>
        </w:rPr>
        <w:t>. Cuando el valor del contrato esté determinado por precios unitarios, la Entidad Estatal debe incluir la forma</w:t>
      </w:r>
      <w:r w:rsidRPr="004A004A">
        <w:rPr>
          <w:rFonts w:ascii="Verdana" w:hAnsi="Verdana" w:cs="Arial"/>
          <w:spacing w:val="8"/>
          <w:sz w:val="20"/>
          <w:szCs w:val="20"/>
          <w:lang w:val="es-MX"/>
        </w:rPr>
        <w:t xml:space="preserve"> </w:t>
      </w:r>
      <w:r w:rsidRPr="004A004A">
        <w:rPr>
          <w:rFonts w:ascii="Verdana" w:hAnsi="Verdana" w:cs="Arial"/>
          <w:sz w:val="20"/>
          <w:szCs w:val="20"/>
          <w:lang w:val="es-MX"/>
        </w:rPr>
        <w:t>como</w:t>
      </w:r>
      <w:r w:rsidRPr="004A004A">
        <w:rPr>
          <w:rFonts w:ascii="Verdana" w:hAnsi="Verdana" w:cs="Arial"/>
          <w:spacing w:val="7"/>
          <w:sz w:val="20"/>
          <w:szCs w:val="20"/>
          <w:lang w:val="es-MX"/>
        </w:rPr>
        <w:t xml:space="preserve"> </w:t>
      </w:r>
      <w:r w:rsidRPr="004A004A">
        <w:rPr>
          <w:rFonts w:ascii="Verdana" w:hAnsi="Verdana" w:cs="Arial"/>
          <w:sz w:val="20"/>
          <w:szCs w:val="20"/>
          <w:lang w:val="es-MX"/>
        </w:rPr>
        <w:t>los</w:t>
      </w:r>
      <w:r w:rsidRPr="004A004A">
        <w:rPr>
          <w:rFonts w:ascii="Verdana" w:hAnsi="Verdana" w:cs="Arial"/>
          <w:spacing w:val="9"/>
          <w:sz w:val="20"/>
          <w:szCs w:val="20"/>
          <w:lang w:val="es-MX"/>
        </w:rPr>
        <w:t xml:space="preserve"> </w:t>
      </w:r>
      <w:r w:rsidRPr="004A004A">
        <w:rPr>
          <w:rFonts w:ascii="Verdana" w:hAnsi="Verdana" w:cs="Arial"/>
          <w:sz w:val="20"/>
          <w:szCs w:val="20"/>
          <w:lang w:val="es-MX"/>
        </w:rPr>
        <w:t>calculó</w:t>
      </w:r>
      <w:r w:rsidRPr="004A004A">
        <w:rPr>
          <w:rFonts w:ascii="Verdana" w:hAnsi="Verdana" w:cs="Arial"/>
          <w:spacing w:val="14"/>
          <w:sz w:val="20"/>
          <w:szCs w:val="20"/>
          <w:lang w:val="es-MX"/>
        </w:rPr>
        <w:t xml:space="preserve"> </w:t>
      </w:r>
      <w:r w:rsidRPr="004A004A">
        <w:rPr>
          <w:rFonts w:ascii="Verdana" w:hAnsi="Verdana" w:cs="Arial"/>
          <w:sz w:val="20"/>
          <w:szCs w:val="20"/>
          <w:lang w:val="es-MX"/>
        </w:rPr>
        <w:t>y</w:t>
      </w:r>
      <w:r w:rsidRPr="004A004A">
        <w:rPr>
          <w:rFonts w:ascii="Verdana" w:hAnsi="Verdana" w:cs="Arial"/>
          <w:spacing w:val="7"/>
          <w:sz w:val="20"/>
          <w:szCs w:val="20"/>
          <w:lang w:val="es-MX"/>
        </w:rPr>
        <w:t xml:space="preserve"> </w:t>
      </w:r>
      <w:r w:rsidRPr="004A004A">
        <w:rPr>
          <w:rFonts w:ascii="Verdana" w:hAnsi="Verdana" w:cs="Arial"/>
          <w:sz w:val="20"/>
          <w:szCs w:val="20"/>
          <w:lang w:val="es-MX"/>
        </w:rPr>
        <w:t>soportar</w:t>
      </w:r>
      <w:r w:rsidRPr="004A004A">
        <w:rPr>
          <w:rFonts w:ascii="Verdana" w:hAnsi="Verdana" w:cs="Arial"/>
          <w:spacing w:val="10"/>
          <w:sz w:val="20"/>
          <w:szCs w:val="20"/>
          <w:lang w:val="es-MX"/>
        </w:rPr>
        <w:t xml:space="preserve"> </w:t>
      </w:r>
      <w:r w:rsidRPr="004A004A">
        <w:rPr>
          <w:rFonts w:ascii="Verdana" w:hAnsi="Verdana" w:cs="Arial"/>
          <w:sz w:val="20"/>
          <w:szCs w:val="20"/>
          <w:lang w:val="es-MX"/>
        </w:rPr>
        <w:t>sus</w:t>
      </w:r>
      <w:r w:rsidRPr="004A004A">
        <w:rPr>
          <w:rFonts w:ascii="Verdana" w:hAnsi="Verdana" w:cs="Arial"/>
          <w:spacing w:val="9"/>
          <w:sz w:val="20"/>
          <w:szCs w:val="20"/>
          <w:lang w:val="es-MX"/>
        </w:rPr>
        <w:t xml:space="preserve"> </w:t>
      </w:r>
      <w:r w:rsidRPr="004A004A">
        <w:rPr>
          <w:rFonts w:ascii="Verdana" w:hAnsi="Verdana" w:cs="Arial"/>
          <w:sz w:val="20"/>
          <w:szCs w:val="20"/>
          <w:lang w:val="es-MX"/>
        </w:rPr>
        <w:t>cálculos</w:t>
      </w:r>
      <w:r w:rsidRPr="004A004A">
        <w:rPr>
          <w:rFonts w:ascii="Verdana" w:hAnsi="Verdana" w:cs="Arial"/>
          <w:spacing w:val="12"/>
          <w:sz w:val="20"/>
          <w:szCs w:val="20"/>
          <w:lang w:val="es-MX"/>
        </w:rPr>
        <w:t xml:space="preserve"> </w:t>
      </w:r>
      <w:r w:rsidRPr="004A004A">
        <w:rPr>
          <w:rFonts w:ascii="Verdana" w:hAnsi="Verdana" w:cs="Arial"/>
          <w:sz w:val="20"/>
          <w:szCs w:val="20"/>
          <w:lang w:val="es-MX"/>
        </w:rPr>
        <w:t>de</w:t>
      </w:r>
      <w:r w:rsidRPr="004A004A">
        <w:rPr>
          <w:rFonts w:ascii="Verdana" w:hAnsi="Verdana" w:cs="Arial"/>
          <w:spacing w:val="11"/>
          <w:sz w:val="20"/>
          <w:szCs w:val="20"/>
          <w:lang w:val="es-MX"/>
        </w:rPr>
        <w:t xml:space="preserve"> </w:t>
      </w:r>
      <w:r w:rsidRPr="004A004A">
        <w:rPr>
          <w:rFonts w:ascii="Verdana" w:hAnsi="Verdana" w:cs="Arial"/>
          <w:sz w:val="20"/>
          <w:szCs w:val="20"/>
          <w:lang w:val="es-MX"/>
        </w:rPr>
        <w:t>presupuesto</w:t>
      </w:r>
      <w:r w:rsidRPr="004A004A">
        <w:rPr>
          <w:rFonts w:ascii="Verdana" w:hAnsi="Verdana" w:cs="Arial"/>
          <w:spacing w:val="10"/>
          <w:sz w:val="20"/>
          <w:szCs w:val="20"/>
          <w:lang w:val="es-MX"/>
        </w:rPr>
        <w:t xml:space="preserve"> </w:t>
      </w:r>
      <w:r w:rsidRPr="004A004A">
        <w:rPr>
          <w:rFonts w:ascii="Verdana" w:hAnsi="Verdana" w:cs="Arial"/>
          <w:sz w:val="20"/>
          <w:szCs w:val="20"/>
          <w:lang w:val="es-MX"/>
        </w:rPr>
        <w:t>en</w:t>
      </w:r>
      <w:r w:rsidRPr="004A004A">
        <w:rPr>
          <w:rFonts w:ascii="Verdana" w:hAnsi="Verdana" w:cs="Arial"/>
          <w:spacing w:val="8"/>
          <w:sz w:val="20"/>
          <w:szCs w:val="20"/>
          <w:lang w:val="es-MX"/>
        </w:rPr>
        <w:t xml:space="preserve"> </w:t>
      </w:r>
      <w:r w:rsidRPr="004A004A">
        <w:rPr>
          <w:rFonts w:ascii="Verdana" w:hAnsi="Verdana" w:cs="Arial"/>
          <w:sz w:val="20"/>
          <w:szCs w:val="20"/>
          <w:lang w:val="es-MX"/>
        </w:rPr>
        <w:t>la</w:t>
      </w:r>
      <w:r w:rsidRPr="004A004A">
        <w:rPr>
          <w:rFonts w:ascii="Verdana" w:hAnsi="Verdana" w:cs="Arial"/>
          <w:spacing w:val="11"/>
          <w:sz w:val="20"/>
          <w:szCs w:val="20"/>
          <w:lang w:val="es-MX"/>
        </w:rPr>
        <w:t xml:space="preserve"> </w:t>
      </w:r>
      <w:r w:rsidRPr="004A004A">
        <w:rPr>
          <w:rFonts w:ascii="Verdana" w:hAnsi="Verdana" w:cs="Arial"/>
          <w:sz w:val="20"/>
          <w:szCs w:val="20"/>
          <w:lang w:val="es-MX"/>
        </w:rPr>
        <w:t>estimación</w:t>
      </w:r>
      <w:r w:rsidRPr="004A004A">
        <w:rPr>
          <w:rFonts w:ascii="Verdana" w:hAnsi="Verdana" w:cs="Arial"/>
          <w:spacing w:val="11"/>
          <w:sz w:val="20"/>
          <w:szCs w:val="20"/>
          <w:lang w:val="es-MX"/>
        </w:rPr>
        <w:t xml:space="preserve"> </w:t>
      </w:r>
      <w:r w:rsidRPr="004A004A">
        <w:rPr>
          <w:rFonts w:ascii="Verdana" w:hAnsi="Verdana" w:cs="Arial"/>
          <w:sz w:val="20"/>
          <w:szCs w:val="20"/>
          <w:lang w:val="es-MX"/>
        </w:rPr>
        <w:t>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14:paraId="19822276" w14:textId="77777777" w:rsidR="00660885" w:rsidRPr="004A004A" w:rsidRDefault="00660885" w:rsidP="00660885">
      <w:pPr>
        <w:widowControl w:val="0"/>
        <w:tabs>
          <w:tab w:val="left" w:pos="1217"/>
        </w:tabs>
        <w:autoSpaceDE w:val="0"/>
        <w:autoSpaceDN w:val="0"/>
        <w:spacing w:after="120"/>
        <w:ind w:left="709" w:right="709"/>
        <w:rPr>
          <w:rFonts w:ascii="Verdana" w:hAnsi="Verdana" w:cs="Arial"/>
          <w:sz w:val="20"/>
          <w:szCs w:val="20"/>
          <w:lang w:val="es-MX"/>
        </w:rPr>
      </w:pPr>
      <w:r w:rsidRPr="004A004A">
        <w:rPr>
          <w:rFonts w:ascii="Verdana" w:hAnsi="Verdana" w:cs="Arial"/>
          <w:sz w:val="20"/>
          <w:szCs w:val="20"/>
          <w:lang w:val="es-MX"/>
        </w:rPr>
        <w:t>5. Los criterios para seleccionar la oferta más</w:t>
      </w:r>
      <w:r w:rsidRPr="004A004A">
        <w:rPr>
          <w:rFonts w:ascii="Verdana" w:hAnsi="Verdana" w:cs="Arial"/>
          <w:spacing w:val="-7"/>
          <w:sz w:val="20"/>
          <w:szCs w:val="20"/>
          <w:lang w:val="es-MX"/>
        </w:rPr>
        <w:t xml:space="preserve"> </w:t>
      </w:r>
      <w:r w:rsidRPr="004A004A">
        <w:rPr>
          <w:rFonts w:ascii="Verdana" w:hAnsi="Verdana" w:cs="Arial"/>
          <w:sz w:val="20"/>
          <w:szCs w:val="20"/>
          <w:lang w:val="es-MX"/>
        </w:rPr>
        <w:t>favorable.</w:t>
      </w:r>
    </w:p>
    <w:p w14:paraId="3070B91F" w14:textId="77777777" w:rsidR="00660885" w:rsidRPr="004A004A" w:rsidRDefault="00660885" w:rsidP="00660885">
      <w:pPr>
        <w:widowControl w:val="0"/>
        <w:tabs>
          <w:tab w:val="left" w:pos="1217"/>
        </w:tabs>
        <w:autoSpaceDE w:val="0"/>
        <w:autoSpaceDN w:val="0"/>
        <w:spacing w:after="120"/>
        <w:ind w:left="709" w:right="709"/>
        <w:rPr>
          <w:rFonts w:ascii="Verdana" w:hAnsi="Verdana" w:cs="Arial"/>
          <w:sz w:val="20"/>
          <w:szCs w:val="20"/>
          <w:lang w:val="es-MX"/>
        </w:rPr>
      </w:pPr>
      <w:r w:rsidRPr="004A004A">
        <w:rPr>
          <w:rFonts w:ascii="Verdana" w:hAnsi="Verdana" w:cs="Arial"/>
          <w:sz w:val="20"/>
          <w:szCs w:val="20"/>
          <w:lang w:val="es-MX"/>
        </w:rPr>
        <w:t>6. El análisis de Riesgo y la forma de</w:t>
      </w:r>
      <w:r w:rsidRPr="004A004A">
        <w:rPr>
          <w:rFonts w:ascii="Verdana" w:hAnsi="Verdana" w:cs="Arial"/>
          <w:spacing w:val="-8"/>
          <w:sz w:val="20"/>
          <w:szCs w:val="20"/>
          <w:lang w:val="es-MX"/>
        </w:rPr>
        <w:t xml:space="preserve"> </w:t>
      </w:r>
      <w:r w:rsidRPr="004A004A">
        <w:rPr>
          <w:rFonts w:ascii="Verdana" w:hAnsi="Verdana" w:cs="Arial"/>
          <w:sz w:val="20"/>
          <w:szCs w:val="20"/>
          <w:lang w:val="es-MX"/>
        </w:rPr>
        <w:t>mitigarlo.</w:t>
      </w:r>
    </w:p>
    <w:p w14:paraId="6F7AB333" w14:textId="77777777" w:rsidR="00660885" w:rsidRPr="004A004A" w:rsidRDefault="00660885" w:rsidP="00660885">
      <w:pPr>
        <w:widowControl w:val="0"/>
        <w:tabs>
          <w:tab w:val="left" w:pos="1443"/>
        </w:tabs>
        <w:autoSpaceDE w:val="0"/>
        <w:autoSpaceDN w:val="0"/>
        <w:spacing w:after="120"/>
        <w:ind w:left="709" w:right="709"/>
        <w:rPr>
          <w:rFonts w:ascii="Verdana" w:hAnsi="Verdana" w:cs="Arial"/>
          <w:sz w:val="20"/>
          <w:szCs w:val="20"/>
          <w:lang w:val="es-MX"/>
        </w:rPr>
      </w:pPr>
      <w:r w:rsidRPr="004A004A">
        <w:rPr>
          <w:rFonts w:ascii="Verdana" w:hAnsi="Verdana" w:cs="Arial"/>
          <w:sz w:val="20"/>
          <w:szCs w:val="20"/>
          <w:lang w:val="es-MX"/>
        </w:rPr>
        <w:t xml:space="preserve">7. Las garantías que la Entidad Estatal contempla exigir en el Proceso de </w:t>
      </w:r>
      <w:r w:rsidRPr="004A004A">
        <w:rPr>
          <w:rFonts w:ascii="Verdana" w:hAnsi="Verdana" w:cs="Arial"/>
          <w:sz w:val="20"/>
          <w:szCs w:val="20"/>
          <w:lang w:val="es-MX"/>
        </w:rPr>
        <w:lastRenderedPageBreak/>
        <w:t>Contratación.</w:t>
      </w:r>
    </w:p>
    <w:p w14:paraId="2A3C30C0" w14:textId="29F31105" w:rsidR="00660885" w:rsidRPr="003E35BD" w:rsidRDefault="00660885" w:rsidP="003E35BD">
      <w:pPr>
        <w:widowControl w:val="0"/>
        <w:tabs>
          <w:tab w:val="left" w:pos="1305"/>
        </w:tabs>
        <w:autoSpaceDE w:val="0"/>
        <w:autoSpaceDN w:val="0"/>
        <w:spacing w:after="120"/>
        <w:ind w:left="709" w:right="709"/>
        <w:rPr>
          <w:rFonts w:ascii="Verdana" w:hAnsi="Verdana" w:cs="Arial"/>
          <w:sz w:val="20"/>
          <w:szCs w:val="20"/>
          <w:lang w:val="es-MX"/>
        </w:rPr>
      </w:pPr>
      <w:r w:rsidRPr="004A004A">
        <w:rPr>
          <w:rFonts w:ascii="Verdana" w:hAnsi="Verdana" w:cs="Arial"/>
          <w:sz w:val="20"/>
          <w:szCs w:val="20"/>
          <w:lang w:val="es-MX"/>
        </w:rPr>
        <w:t>8. La indicación de si el Proceso de Contratación está cobijado por un Acuerdo Comercial”.</w:t>
      </w:r>
    </w:p>
    <w:p w14:paraId="62270D6A" w14:textId="77777777" w:rsidR="00660885" w:rsidRPr="0027528C" w:rsidRDefault="00660885" w:rsidP="00660885">
      <w:pPr>
        <w:spacing w:after="120" w:line="276" w:lineRule="auto"/>
        <w:ind w:firstLine="709"/>
        <w:jc w:val="both"/>
        <w:rPr>
          <w:rFonts w:ascii="Verdana" w:hAnsi="Verdana"/>
          <w:lang w:val="es-MX"/>
        </w:rPr>
      </w:pPr>
      <w:bookmarkStart w:id="2" w:name="_Hlk54011351"/>
      <w:r w:rsidRPr="0027528C">
        <w:rPr>
          <w:rFonts w:ascii="Verdana" w:hAnsi="Verdana"/>
          <w:lang w:val="es-MX"/>
        </w:rPr>
        <w:t xml:space="preserve">De esta manera, antes de iniciar un procedimiento de selección, la entidad estatal podrá determinar con los estudios previos: i) la verdadera necesidad de la celebración del contrato; </w:t>
      </w:r>
      <w:proofErr w:type="spellStart"/>
      <w:r w:rsidRPr="0027528C">
        <w:rPr>
          <w:rFonts w:ascii="Verdana" w:hAnsi="Verdana"/>
          <w:lang w:val="es-MX"/>
        </w:rPr>
        <w:t>ii</w:t>
      </w:r>
      <w:proofErr w:type="spellEnd"/>
      <w:r w:rsidRPr="0027528C">
        <w:rPr>
          <w:rFonts w:ascii="Verdana" w:hAnsi="Verdana"/>
          <w:lang w:val="es-MX"/>
        </w:rPr>
        <w:t xml:space="preserve">) las modalidades existentes para satisfacer esa necesidad y las razones que justifiquen la modalidad o tipo contractual que se escoja; </w:t>
      </w:r>
      <w:proofErr w:type="spellStart"/>
      <w:r w:rsidRPr="0027528C">
        <w:rPr>
          <w:rFonts w:ascii="Verdana" w:hAnsi="Verdana"/>
          <w:lang w:val="es-MX"/>
        </w:rPr>
        <w:t>iii</w:t>
      </w:r>
      <w:proofErr w:type="spellEnd"/>
      <w:r w:rsidRPr="0027528C">
        <w:rPr>
          <w:rFonts w:ascii="Verdana" w:hAnsi="Verdana"/>
          <w:lang w:val="es-MX"/>
        </w:rPr>
        <w:t xml:space="preserve">) las calidades, especificaciones, cantidades y demás características que puedan o deban reunir los bienes, las obras, los servicios, etcétera, cuya contratación, se haya determinado necesaria, </w:t>
      </w:r>
      <w:proofErr w:type="spellStart"/>
      <w:r w:rsidRPr="0027528C">
        <w:rPr>
          <w:rFonts w:ascii="Verdana" w:hAnsi="Verdana"/>
          <w:lang w:val="es-MX"/>
        </w:rPr>
        <w:t>iv</w:t>
      </w:r>
      <w:proofErr w:type="spellEnd"/>
      <w:r w:rsidRPr="0027528C">
        <w:rPr>
          <w:rFonts w:ascii="Verdana" w:hAnsi="Verdana"/>
          <w:lang w:val="es-MX"/>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27528C">
        <w:rPr>
          <w:rFonts w:ascii="Verdana" w:hAnsi="Verdana"/>
          <w:lang w:val="es-MX"/>
        </w:rPr>
        <w:t>vii</w:t>
      </w:r>
      <w:proofErr w:type="spellEnd"/>
      <w:r w:rsidRPr="0027528C">
        <w:rPr>
          <w:rFonts w:ascii="Verdana" w:hAnsi="Verdana"/>
          <w:lang w:val="es-MX"/>
        </w:rPr>
        <w:t>) los procedimientos, trámites y requisitos que deban satisfacerse, reunirse u obtenerse para llevar a cabo la selección del respectivo contratista y la celebración del contrato que se pretenda celebrar.</w:t>
      </w:r>
    </w:p>
    <w:bookmarkEnd w:id="2"/>
    <w:p w14:paraId="0F3A8948" w14:textId="77777777" w:rsidR="00660885" w:rsidRPr="0027528C" w:rsidRDefault="00660885" w:rsidP="00660885">
      <w:pPr>
        <w:spacing w:after="120" w:line="276" w:lineRule="auto"/>
        <w:ind w:firstLine="709"/>
        <w:jc w:val="both"/>
        <w:rPr>
          <w:rFonts w:ascii="Verdana" w:hAnsi="Verdana"/>
          <w:lang w:val="es-MX"/>
        </w:rPr>
      </w:pPr>
      <w:r w:rsidRPr="0027528C">
        <w:rPr>
          <w:rFonts w:ascii="Verdana" w:hAnsi="Verdana"/>
          <w:lang w:val="es-MX"/>
        </w:rPr>
        <w:t xml:space="preserve">Cuando las entidades cumplen con los elementos mínimos establecidos en la norma y aquellos adicionales que identifiquen en la etapa de planeación de los </w:t>
      </w:r>
      <w:r w:rsidRPr="0027528C">
        <w:rPr>
          <w:rFonts w:ascii="Verdana" w:hAnsi="Verdana"/>
          <w:bCs/>
          <w:lang w:val="es-ES_tradnl"/>
        </w:rPr>
        <w:t xml:space="preserve">procedimientos de contratación, permiten que los contratos resultantes cuenten con el sustento técnico, económico y jurídico que incidirá </w:t>
      </w:r>
      <w:r w:rsidRPr="0027528C">
        <w:rPr>
          <w:rFonts w:ascii="Verdana" w:hAnsi="Verdana"/>
          <w:lang w:val="es-MX"/>
        </w:rPr>
        <w:t>en una adecuada ejecución.</w:t>
      </w:r>
    </w:p>
    <w:p w14:paraId="53B1469A" w14:textId="77777777" w:rsidR="00660885" w:rsidRPr="0027528C" w:rsidRDefault="00660885" w:rsidP="00660885">
      <w:pPr>
        <w:spacing w:after="120" w:line="276" w:lineRule="auto"/>
        <w:ind w:firstLine="709"/>
        <w:jc w:val="both"/>
        <w:rPr>
          <w:rFonts w:ascii="Verdana" w:hAnsi="Verdana"/>
          <w:lang w:val="es-MX"/>
        </w:rPr>
      </w:pPr>
      <w:r w:rsidRPr="0027528C">
        <w:rPr>
          <w:rFonts w:ascii="Verdana" w:hAnsi="Verdana"/>
          <w:lang w:val="es-MX"/>
        </w:rPr>
        <w:t xml:space="preserve">Mas allá del cumplimiento de la normativa, </w:t>
      </w:r>
      <w:r w:rsidRPr="0027528C">
        <w:rPr>
          <w:rFonts w:ascii="Verdana" w:hAnsi="Verdana"/>
          <w:i/>
          <w:iCs/>
          <w:lang w:val="es-MX"/>
        </w:rPr>
        <w:t>“los estudios y documentos previos son el soporte para elaborar el proyecto de pliegos, los pliegos de condiciones, y el contrato”</w:t>
      </w:r>
      <w:r w:rsidRPr="0027528C">
        <w:rPr>
          <w:rFonts w:ascii="Verdana" w:hAnsi="Verdana"/>
          <w:i/>
          <w:iCs/>
          <w:vertAlign w:val="superscript"/>
          <w:lang w:val="es-MX"/>
        </w:rPr>
        <w:footnoteReference w:id="3"/>
      </w:r>
      <w:r w:rsidRPr="0027528C">
        <w:rPr>
          <w:rFonts w:ascii="Verdana" w:hAnsi="Verdana"/>
          <w:i/>
          <w:iCs/>
          <w:lang w:val="es-MX"/>
        </w:rPr>
        <w:t>,</w:t>
      </w:r>
      <w:r w:rsidRPr="0027528C">
        <w:rPr>
          <w:rFonts w:ascii="Verdana" w:hAnsi="Verdana"/>
          <w:lang w:val="es-MX"/>
        </w:rPr>
        <w:t xml:space="preserve">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52EE6BAB" w14:textId="77777777" w:rsidR="00660885" w:rsidRPr="004A004A" w:rsidRDefault="00660885" w:rsidP="00660885">
      <w:pPr>
        <w:spacing w:after="120" w:line="276" w:lineRule="auto"/>
        <w:ind w:right="105" w:firstLine="709"/>
        <w:jc w:val="both"/>
        <w:rPr>
          <w:rFonts w:ascii="Verdana" w:hAnsi="Verdana"/>
          <w:lang w:val="es-MX"/>
        </w:rPr>
      </w:pPr>
      <w:bookmarkStart w:id="4" w:name="_Hlk54011438"/>
      <w:r w:rsidRPr="004A004A">
        <w:rPr>
          <w:rFonts w:ascii="Verdana" w:hAnsi="Verdana"/>
          <w:lang w:val="es-MX"/>
        </w:rPr>
        <w:t xml:space="preserve">De lo explicado se desprende que los estudios y documentos previos son necesarios antes de la celebración del contrato, pues fundamentan las </w:t>
      </w:r>
      <w:r w:rsidRPr="004A004A">
        <w:rPr>
          <w:rFonts w:ascii="Verdana" w:hAnsi="Verdana"/>
          <w:lang w:val="es-MX"/>
        </w:rPr>
        <w:lastRenderedPageBreak/>
        <w:t>condiciones que la entidad estatal exige en su proceso de contratación. Sin embargo, luego de la suscripción del contrato la entidad no debe actuar unilateralmente, sino que debe respetar la buena fe contractual y proceder de acuerdo con lo pactado</w:t>
      </w:r>
      <w:bookmarkEnd w:id="4"/>
      <w:r w:rsidRPr="004A004A">
        <w:rPr>
          <w:rFonts w:ascii="Verdana" w:hAnsi="Verdana"/>
          <w:vertAlign w:val="superscript"/>
          <w:lang w:val="es-MX"/>
        </w:rPr>
        <w:footnoteReference w:id="4"/>
      </w:r>
      <w:r w:rsidRPr="004A004A">
        <w:rPr>
          <w:rFonts w:ascii="Verdana" w:hAnsi="Verdana"/>
          <w:lang w:val="es-MX"/>
        </w:rPr>
        <w:t>.</w:t>
      </w:r>
    </w:p>
    <w:p w14:paraId="1FA56447" w14:textId="77777777" w:rsidR="00660885" w:rsidRPr="004A004A" w:rsidRDefault="00660885" w:rsidP="00660885">
      <w:pPr>
        <w:spacing w:after="120" w:line="276" w:lineRule="auto"/>
        <w:ind w:firstLine="709"/>
        <w:jc w:val="both"/>
        <w:rPr>
          <w:rFonts w:ascii="Verdana" w:hAnsi="Verdana"/>
          <w:lang w:val="es-ES"/>
        </w:rPr>
      </w:pPr>
      <w:r>
        <w:rPr>
          <w:rFonts w:ascii="Verdana" w:hAnsi="Verdana"/>
          <w:lang w:val="es-ES"/>
        </w:rPr>
        <w:t>Ahora bien</w:t>
      </w:r>
      <w:r w:rsidRPr="004A004A">
        <w:rPr>
          <w:rFonts w:ascii="Verdana" w:hAnsi="Verdana"/>
          <w:lang w:val="es-ES"/>
        </w:rPr>
        <w:t xml:space="preserve">, el carácter prevalente del pliego de condiciones no puede alegarse con la finalidad de transgredir el interés general o el ordenamiento. Sobre este punto el Consejo de Estado ha indicado: </w:t>
      </w:r>
    </w:p>
    <w:p w14:paraId="2704B383" w14:textId="77777777" w:rsidR="00660885" w:rsidRPr="004A004A" w:rsidRDefault="00660885" w:rsidP="00660885">
      <w:pPr>
        <w:spacing w:after="120"/>
        <w:ind w:left="709" w:right="709"/>
        <w:jc w:val="both"/>
        <w:rPr>
          <w:rFonts w:ascii="Verdana" w:hAnsi="Verdana"/>
          <w:sz w:val="20"/>
          <w:szCs w:val="20"/>
          <w:lang w:val="es-ES"/>
        </w:rPr>
      </w:pPr>
      <w:r w:rsidRPr="004A004A">
        <w:rPr>
          <w:rFonts w:ascii="Verdana" w:hAnsi="Verdana"/>
          <w:sz w:val="20"/>
          <w:szCs w:val="20"/>
        </w:rPr>
        <w:t>“Se ha sostenido que, en lo que al contenido respecta, las cláusulas de los pliegos de condiciones admiten una suerte de categorización, en tanto un grupo o categoría de cláusulas cumplen la función práctico-jurídica de determinar las reglas generales con arreglo a las cuales el contrato habrá de ejecutarse, en tanto otro grupo o categoría está orientado a disciplinar el reglamento que habrá de regir el proceso de selección del oferente.</w:t>
      </w:r>
      <w:r w:rsidRPr="004A004A">
        <w:rPr>
          <w:rFonts w:ascii="Verdana" w:hAnsi="Verdana"/>
          <w:sz w:val="20"/>
          <w:szCs w:val="20"/>
        </w:rPr>
        <w:br/>
      </w:r>
      <w:r w:rsidRPr="004A004A">
        <w:rPr>
          <w:rFonts w:ascii="Verdana" w:hAnsi="Verdana"/>
          <w:i/>
          <w:iCs/>
          <w:sz w:val="20"/>
          <w:szCs w:val="20"/>
        </w:rPr>
        <w:t>Pues bien, sea que se trate de las cláusulas cuya función es disciplinar el procedimiento de selección exclusivamente, ya se trate de aquellas que se integran al contenido del contrato estatal, es lo cierto que la Administración no puede establecer criterios irrazonables que no consulten el interés general presente tanto en el proceso de selección como en la ejecución del contrato estatal, so pena de ineficacia de dichas cláusulas predispuestas ante casos de violación mayúscula del ordenamiento jurídico -v. gr., contravención de norma de orden público-, o de exponerse a un control riguroso de contenido por parte del juez del contrato</w:t>
      </w:r>
      <w:r w:rsidRPr="004A004A">
        <w:rPr>
          <w:rFonts w:ascii="Verdana" w:hAnsi="Verdana"/>
          <w:sz w:val="20"/>
          <w:szCs w:val="20"/>
        </w:rPr>
        <w:t>, quien por la vía de la cláusula general de buena fe o, bajo la óptica del principio de objetividad o de igualdad, puede corregir o ajustar el contenido de la cláusula, con el propósito de preservar la eficacia vinculante de la que ha sido predispuesta, garantizando así, en todo caso, la aplicación cabal de los principios informadores de la contratación estatal”</w:t>
      </w:r>
      <w:r w:rsidRPr="004A004A">
        <w:rPr>
          <w:rFonts w:ascii="Verdana" w:hAnsi="Verdana"/>
          <w:sz w:val="20"/>
          <w:szCs w:val="20"/>
          <w:vertAlign w:val="superscript"/>
        </w:rPr>
        <w:footnoteReference w:id="5"/>
      </w:r>
      <w:r w:rsidRPr="004A004A">
        <w:rPr>
          <w:rFonts w:ascii="Verdana" w:hAnsi="Verdana"/>
          <w:sz w:val="20"/>
          <w:szCs w:val="20"/>
        </w:rPr>
        <w:t>.</w:t>
      </w:r>
      <w:r w:rsidRPr="004A004A">
        <w:rPr>
          <w:rFonts w:ascii="Verdana" w:hAnsi="Verdana"/>
          <w:sz w:val="20"/>
          <w:szCs w:val="20"/>
          <w:lang w:val="es-ES"/>
        </w:rPr>
        <w:t xml:space="preserve"> [</w:t>
      </w:r>
      <w:r w:rsidRPr="004A004A">
        <w:rPr>
          <w:rFonts w:ascii="Verdana" w:hAnsi="Verdana" w:cs="Arial"/>
          <w:iCs/>
        </w:rPr>
        <w:t>Énfasis fuera de texto].</w:t>
      </w:r>
    </w:p>
    <w:p w14:paraId="7A677982" w14:textId="77777777" w:rsidR="00660885" w:rsidRDefault="00660885" w:rsidP="00660885">
      <w:pPr>
        <w:spacing w:after="120" w:line="276" w:lineRule="auto"/>
        <w:ind w:firstLine="709"/>
        <w:jc w:val="both"/>
        <w:rPr>
          <w:rFonts w:ascii="Verdana" w:hAnsi="Verdana"/>
          <w:lang w:val="es-ES"/>
        </w:rPr>
      </w:pPr>
      <w:r w:rsidRPr="004A004A">
        <w:rPr>
          <w:rFonts w:ascii="Verdana" w:hAnsi="Verdana"/>
          <w:lang w:val="es-ES"/>
        </w:rPr>
        <w:t xml:space="preserve">De acuerdo con lo anterior, es importante tener en cuenta que el pliego de condiciones definitivo es un acto que surge como resultado de una fase previa de planeación en el marco de la cual se establece su contenido. Tal planeación se expresa en el análisis del sector, ejercicio en el marco del cual, de acuerdo el artículo 2.2.1.1.1.6.2 del Decreto 1082 de 2015, se deben determinar los requisitos habilitantes, así como en los estudios y documentos previos, dentro </w:t>
      </w:r>
      <w:r w:rsidRPr="004A004A">
        <w:rPr>
          <w:rFonts w:ascii="Verdana" w:hAnsi="Verdana"/>
          <w:lang w:val="es-ES"/>
        </w:rPr>
        <w:lastRenderedPageBreak/>
        <w:t xml:space="preserve">de los cuales se deben establecer </w:t>
      </w:r>
      <w:r w:rsidRPr="004A004A">
        <w:rPr>
          <w:rFonts w:ascii="Verdana" w:hAnsi="Verdana"/>
        </w:rPr>
        <w:t xml:space="preserve">los criterios para seleccionar la oferta más favorable, según lo indicado en el numeral 5 del artículo </w:t>
      </w:r>
      <w:r w:rsidRPr="004A004A">
        <w:rPr>
          <w:rFonts w:ascii="Verdana" w:hAnsi="Verdana"/>
          <w:lang w:val="es-ES"/>
        </w:rPr>
        <w:t xml:space="preserve">2.2.1.1.2.1.1 del Decreto 1082 de 2015. En ese sentido, sin perjuicio de las modificaciones que puedan realizarse en respuesta a las observaciones al proyecto de pliego de condiciones, es claro que los requisitos de participación y adjudicación que deben expresarse en el mismo deben guardar relación con lo establecido en los documentos precontractuales expedidos el marco de la planeación, garantizando la selección objetiva. </w:t>
      </w:r>
    </w:p>
    <w:p w14:paraId="6EAD7705"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0FBBF255"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La expresión Documentos del Proceso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(Énfasis fuera de texto). </w:t>
      </w:r>
    </w:p>
    <w:p w14:paraId="384C4F91"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Ibídem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6295395A"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Nótese que la norma hace referencia a los documentos “expedidos por la entidad estatal” durante el proceso de contratación, excluyendo de la noción de Documentos del Proceso los expedidos por un sujeto distinto a la entidad, salvo la oferta, la cual se incluye expresamente en el artículo 2.2.1.1.1.3.1. </w:t>
      </w:r>
    </w:p>
    <w:p w14:paraId="11C61D12"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En ese sentido, la interpretación sistemática de los preceptos del Decreto 1082 de 2015, de acuerdo con el principio de publicidad, inicialmente, indica que </w:t>
      </w:r>
      <w:r w:rsidRPr="00E91A05">
        <w:rPr>
          <w:rFonts w:ascii="Verdana" w:hAnsi="Verdana"/>
          <w:lang w:val="es-ES"/>
        </w:rPr>
        <w:lastRenderedPageBreak/>
        <w:t>las entidades estatales tienen la obligación de publicar todos los documentos que expidan con ocasión del Proceso de Contratación,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7855FA2D"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En todo caso, de conformidad con la segunda parte del inciso primero del artículo 2.2.1.1.1.7.1 Ibídem, el deber de publicar las actuaciones realizadas en el marco del proceso de contratación, en lo referente a las ofertas presentadas, solo se predica de la propuesta del adjudicatario, así que no es necesario publicar las demás. Sin embargo, eso no quiere decir que las ofertas tengan algún tipo de reserva, toda vez que la audiencia de adjudicación es publica y, además, se permite al interesado consultar el expediente del Proceso de Contratación. En ese sentido, si bien la entidad no está obligada a publicar las ofertas de los demás participantes, lo cierto es que, sobre las mismas, no se presenta reserva legal. Del deber de publicidad, de conformidad con la tercera parte del inciso primero de la referida norma, también se encuentran exentos los documentos de las operaciones que se realicen en bolsa de productos.</w:t>
      </w:r>
    </w:p>
    <w:p w14:paraId="156B8ADC"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El inciso segundo del artículo 2.2.1.1.1.7.1 </w:t>
      </w:r>
      <w:proofErr w:type="spellStart"/>
      <w:r w:rsidRPr="00E91A05">
        <w:rPr>
          <w:rFonts w:ascii="Verdana" w:hAnsi="Verdana"/>
          <w:lang w:val="es-ES"/>
        </w:rPr>
        <w:t>ejusdem</w:t>
      </w:r>
      <w:proofErr w:type="spellEnd"/>
      <w:r w:rsidRPr="00E91A05">
        <w:rPr>
          <w:rFonts w:ascii="Verdana" w:hAnsi="Verdana"/>
          <w:lang w:val="es-ES"/>
        </w:rPr>
        <w:t xml:space="preserve">, hace explícito el deber de las entidades estatales de publicar el aviso de convocatoria con el objeto de que los interesados formulen observaciones al proyecto de pliego de condiciones o soliciten aclaraciones en los términos del artículo 2.2.1.1.2.1.4, deber que hace extensivo a la invitación 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59BACCCC"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Proceso de Contratación expedidos durante las etapas precontractual, de ejecución y postcontractual, dentro de los tres (3) días hábiles siguientes a su producción , deber que aplica a todas las </w:t>
      </w:r>
      <w:r w:rsidRPr="00E91A05">
        <w:rPr>
          <w:rFonts w:ascii="Verdana" w:hAnsi="Verdana"/>
          <w:lang w:val="es-ES"/>
        </w:rPr>
        <w:lastRenderedPageBreak/>
        <w:t>modalidades de selección y entidades regidas por el Estatuto General de Contratación de la Administración Pública, y del que solo se encuentran excluidas las ofertas ganadoras y los documentos expedidos en el marco de operaciones de bolsa de productos.</w:t>
      </w:r>
    </w:p>
    <w:p w14:paraId="6E4F94C2" w14:textId="77777777" w:rsidR="00660885" w:rsidRPr="00E91A05" w:rsidRDefault="00660885" w:rsidP="00660885">
      <w:pPr>
        <w:spacing w:after="120" w:line="276" w:lineRule="auto"/>
        <w:ind w:firstLine="709"/>
        <w:jc w:val="both"/>
        <w:rPr>
          <w:rFonts w:ascii="Verdana" w:hAnsi="Verdana"/>
          <w:lang w:val="es-ES"/>
        </w:rPr>
      </w:pPr>
      <w:r w:rsidRPr="00E91A05">
        <w:rPr>
          <w:rFonts w:ascii="Verdana" w:hAnsi="Verdana"/>
          <w:lang w:val="es-ES"/>
        </w:rPr>
        <w:t xml:space="preserve">No obstante, conforme se estableció supra,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está reglamentada en el Decreto 1081 de 2015. Este señala, en el artículo 2.1.1.2.1.7, que las entidades deberán publicar en el SECOP la información de su gestión contractual. Por su parte, el artículo 2.1.1.2.1.9 expresa que las entidades deberán publicar los procedimientos, lineamientos y políticas en materia de adquisición, que no son otros que los previstos en el manual de contratación, el cual debe publicarse en el sitio web del sujeto obligado. El artículo 2.1.1.2.1.10 establece la obligación que tienen las entidades de publicar en el SECOP el Plan Anual de Adquisiciones. </w:t>
      </w:r>
    </w:p>
    <w:p w14:paraId="22E6D8EF" w14:textId="732501C2" w:rsidR="00660885" w:rsidRPr="002C0BD3" w:rsidRDefault="00660885" w:rsidP="00660885">
      <w:pPr>
        <w:spacing w:after="120" w:line="276" w:lineRule="auto"/>
        <w:ind w:firstLine="709"/>
        <w:jc w:val="both"/>
        <w:rPr>
          <w:rFonts w:ascii="Verdana" w:hAnsi="Verdana" w:cs="Arial"/>
          <w:lang w:val="es-MX"/>
        </w:rPr>
      </w:pPr>
      <w:r w:rsidRPr="002C0BD3">
        <w:rPr>
          <w:rFonts w:ascii="Verdana" w:hAnsi="Verdana"/>
          <w:lang w:val="es-ES"/>
        </w:rPr>
        <w:t>Finalmente</w:t>
      </w:r>
      <w:r w:rsidRPr="002C0BD3">
        <w:rPr>
          <w:rFonts w:ascii="Verdana" w:hAnsi="Verdana" w:cs="Arial"/>
        </w:rPr>
        <w:t xml:space="preserve">, </w:t>
      </w:r>
      <w:r w:rsidRPr="002C0BD3">
        <w:rPr>
          <w:rFonts w:ascii="Verdana" w:hAnsi="Verdana" w:cs="Arial"/>
          <w:lang w:val="es-MX"/>
        </w:rPr>
        <w:t>se aclara que la publicidad de los contratos estatales debe realizarse a través de SECOP, independientemente del régimen aplicable al contrato o que este implique o no la erogación de recursos públicos, como quiera que las referidas normas no sujetan la obligación de publicar en dicha plataforma a tales condiciones. Esto en la medida en que, independientemente de que se realice alguna erogación o no, los contratos estatales involucran un interés público, por lo que deben publicarse en el SECOP que fue el mecanismo establecido por el legislador y el reglamento para garantizar que se cumplan los principios de publicidad y transparencia respecto de los estos. En consecuencia, los contratos que tengan como parte a una entidad estatal, deberán publicarse en el SECOP independientemente del régimen aplicable o que impliquen o no erogación de recursos públicos.</w:t>
      </w:r>
    </w:p>
    <w:p w14:paraId="045BAADB" w14:textId="12F45CFA" w:rsidR="00660885" w:rsidRDefault="00660885" w:rsidP="00775A7F">
      <w:pPr>
        <w:numPr>
          <w:ilvl w:val="0"/>
          <w:numId w:val="16"/>
        </w:numPr>
        <w:tabs>
          <w:tab w:val="left" w:pos="142"/>
          <w:tab w:val="left" w:pos="284"/>
        </w:tabs>
        <w:spacing w:after="0" w:line="276" w:lineRule="auto"/>
        <w:ind w:left="0" w:firstLine="0"/>
        <w:jc w:val="both"/>
        <w:rPr>
          <w:rFonts w:ascii="Verdana" w:hAnsi="Verdana" w:cs="Century Gothic"/>
          <w:b/>
          <w:lang w:val="es-ES"/>
        </w:rPr>
      </w:pPr>
      <w:r w:rsidRPr="004A004A">
        <w:rPr>
          <w:rFonts w:ascii="Verdana" w:hAnsi="Verdana" w:cs="Century Gothic"/>
          <w:b/>
          <w:bCs/>
          <w:lang w:val="es-ES"/>
        </w:rPr>
        <w:t>Referencias normativas, jurisprudenciales y otras fuentes:</w:t>
      </w:r>
    </w:p>
    <w:p w14:paraId="5B308079" w14:textId="77777777" w:rsidR="00775A7F" w:rsidRPr="00775A7F" w:rsidRDefault="00775A7F" w:rsidP="00775A7F">
      <w:pPr>
        <w:tabs>
          <w:tab w:val="left" w:pos="142"/>
          <w:tab w:val="left" w:pos="284"/>
        </w:tabs>
        <w:spacing w:after="0" w:line="276" w:lineRule="auto"/>
        <w:jc w:val="both"/>
        <w:rPr>
          <w:rFonts w:ascii="Verdana" w:hAnsi="Verdana" w:cs="Century Gothic"/>
          <w:b/>
          <w:bCs/>
          <w:lang w:val="es-ES"/>
        </w:rPr>
      </w:pPr>
    </w:p>
    <w:tbl>
      <w:tblPr>
        <w:tblStyle w:val="Tablaconcuadrcula1"/>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60885" w:rsidRPr="004A004A" w14:paraId="1F4E8889" w14:textId="77777777" w:rsidTr="006622DE">
        <w:trPr>
          <w:trHeight w:val="4949"/>
        </w:trPr>
        <w:tc>
          <w:tcPr>
            <w:tcW w:w="8647" w:type="dxa"/>
          </w:tcPr>
          <w:p w14:paraId="4BB63DAB" w14:textId="77777777" w:rsidR="00660885" w:rsidRPr="004A004A" w:rsidRDefault="00660885" w:rsidP="00660885">
            <w:pPr>
              <w:widowControl w:val="0"/>
              <w:numPr>
                <w:ilvl w:val="0"/>
                <w:numId w:val="17"/>
              </w:numPr>
              <w:autoSpaceDE w:val="0"/>
              <w:autoSpaceDN w:val="0"/>
              <w:spacing w:after="120" w:line="276" w:lineRule="auto"/>
              <w:ind w:left="714" w:hanging="357"/>
              <w:jc w:val="both"/>
              <w:rPr>
                <w:rFonts w:ascii="Verdana" w:hAnsi="Verdana" w:cs="Arial"/>
                <w:lang w:val="es-ES"/>
              </w:rPr>
            </w:pPr>
            <w:r w:rsidRPr="004A004A">
              <w:rPr>
                <w:rFonts w:ascii="Verdana" w:hAnsi="Verdana" w:cs="Arial"/>
                <w:lang w:val="es-ES"/>
              </w:rPr>
              <w:lastRenderedPageBreak/>
              <w:t>Ley 80 de 1993, artículos 25, numeral 2.</w:t>
            </w:r>
          </w:p>
          <w:p w14:paraId="2968A61C" w14:textId="77777777" w:rsidR="00660885" w:rsidRPr="004A004A" w:rsidRDefault="00660885" w:rsidP="00660885">
            <w:pPr>
              <w:widowControl w:val="0"/>
              <w:numPr>
                <w:ilvl w:val="0"/>
                <w:numId w:val="17"/>
              </w:numPr>
              <w:autoSpaceDE w:val="0"/>
              <w:autoSpaceDN w:val="0"/>
              <w:spacing w:after="120" w:line="276" w:lineRule="auto"/>
              <w:ind w:left="714" w:hanging="357"/>
              <w:jc w:val="both"/>
              <w:rPr>
                <w:rFonts w:ascii="Verdana" w:hAnsi="Verdana" w:cs="Arial"/>
                <w:lang w:val="es-ES"/>
              </w:rPr>
            </w:pPr>
            <w:r w:rsidRPr="004A004A">
              <w:rPr>
                <w:rFonts w:ascii="Verdana" w:hAnsi="Verdana" w:cs="Arial"/>
                <w:lang w:val="es-ES"/>
              </w:rPr>
              <w:t xml:space="preserve">Ley 1150 de 2007, artículo 5.   </w:t>
            </w:r>
          </w:p>
          <w:p w14:paraId="2EB9439C" w14:textId="77777777" w:rsidR="00660885" w:rsidRPr="004A004A" w:rsidRDefault="00660885" w:rsidP="00660885">
            <w:pPr>
              <w:widowControl w:val="0"/>
              <w:numPr>
                <w:ilvl w:val="0"/>
                <w:numId w:val="17"/>
              </w:numPr>
              <w:autoSpaceDE w:val="0"/>
              <w:autoSpaceDN w:val="0"/>
              <w:spacing w:after="120" w:line="276" w:lineRule="auto"/>
              <w:ind w:left="714" w:hanging="357"/>
              <w:jc w:val="both"/>
              <w:rPr>
                <w:rFonts w:ascii="Verdana" w:hAnsi="Verdana" w:cs="Arial"/>
                <w:lang w:val="es-ES"/>
              </w:rPr>
            </w:pPr>
            <w:r w:rsidRPr="004A004A">
              <w:rPr>
                <w:rFonts w:ascii="Verdana" w:hAnsi="Verdana" w:cs="Arial"/>
                <w:lang w:val="es-ES"/>
              </w:rPr>
              <w:t>Ley 2069 de 2020, artículo 32.</w:t>
            </w:r>
          </w:p>
          <w:p w14:paraId="14637D6F" w14:textId="77777777" w:rsidR="00660885" w:rsidRDefault="00660885" w:rsidP="00660885">
            <w:pPr>
              <w:widowControl w:val="0"/>
              <w:numPr>
                <w:ilvl w:val="0"/>
                <w:numId w:val="17"/>
              </w:numPr>
              <w:autoSpaceDE w:val="0"/>
              <w:autoSpaceDN w:val="0"/>
              <w:spacing w:after="120" w:line="276" w:lineRule="auto"/>
              <w:ind w:left="714" w:hanging="357"/>
              <w:jc w:val="both"/>
              <w:rPr>
                <w:rFonts w:ascii="Verdana" w:hAnsi="Verdana" w:cs="Arial"/>
                <w:lang w:val="es-ES"/>
              </w:rPr>
            </w:pPr>
            <w:r w:rsidRPr="004A004A">
              <w:rPr>
                <w:rFonts w:ascii="Verdana" w:hAnsi="Verdana" w:cs="Arial"/>
                <w:lang w:val="es-ES"/>
              </w:rPr>
              <w:t xml:space="preserve">Decreto 1082 de 2015, artículos </w:t>
            </w:r>
            <w:r w:rsidRPr="004A004A">
              <w:rPr>
                <w:rFonts w:ascii="Verdana" w:hAnsi="Verdana"/>
                <w:lang w:val="es-ES"/>
              </w:rPr>
              <w:t xml:space="preserve">2.2.1.1.1.6.2, </w:t>
            </w:r>
            <w:r w:rsidRPr="004A004A">
              <w:rPr>
                <w:rFonts w:ascii="Verdana" w:hAnsi="Verdana" w:cs="Arial"/>
                <w:lang w:val="es-ES"/>
              </w:rPr>
              <w:t>2.2.1.1.2.1.1, 2.2.1.1.2.1.3 y 2.2.1.2.4.2.15.</w:t>
            </w:r>
          </w:p>
          <w:p w14:paraId="47CFC2EC" w14:textId="77777777" w:rsidR="00660885" w:rsidRPr="004A004A" w:rsidRDefault="00660885" w:rsidP="00660885">
            <w:pPr>
              <w:widowControl w:val="0"/>
              <w:numPr>
                <w:ilvl w:val="0"/>
                <w:numId w:val="17"/>
              </w:numPr>
              <w:autoSpaceDE w:val="0"/>
              <w:autoSpaceDN w:val="0"/>
              <w:spacing w:after="120" w:line="276" w:lineRule="auto"/>
              <w:ind w:left="714" w:hanging="357"/>
              <w:jc w:val="both"/>
              <w:rPr>
                <w:rFonts w:ascii="Verdana" w:hAnsi="Verdana" w:cs="Arial"/>
                <w:lang w:val="es-ES"/>
              </w:rPr>
            </w:pPr>
            <w:r w:rsidRPr="00275EAB">
              <w:rPr>
                <w:rFonts w:ascii="Verdana" w:hAnsi="Verdana" w:cs="Arial"/>
                <w:lang w:val="es-ES"/>
              </w:rPr>
              <w:t>Decreto 1082 de 2015</w:t>
            </w:r>
            <w:r>
              <w:rPr>
                <w:rFonts w:ascii="Verdana" w:hAnsi="Verdana" w:cs="Arial"/>
                <w:lang w:val="es-ES"/>
              </w:rPr>
              <w:t>,</w:t>
            </w:r>
            <w:r w:rsidRPr="00275EAB">
              <w:rPr>
                <w:rFonts w:ascii="Arial" w:hAnsi="Arial" w:cs="Arial"/>
                <w:lang w:val="es-ES" w:eastAsia="es-ES_tradnl"/>
              </w:rPr>
              <w:t xml:space="preserve"> </w:t>
            </w:r>
            <w:r w:rsidRPr="00275EAB">
              <w:rPr>
                <w:rFonts w:ascii="Verdana" w:hAnsi="Verdana" w:cs="Arial"/>
                <w:lang w:val="es-ES"/>
              </w:rPr>
              <w:t>artículo 2.2.1.1.1.7.1</w:t>
            </w:r>
          </w:p>
          <w:p w14:paraId="0875A909" w14:textId="77777777" w:rsidR="00660885" w:rsidRPr="004A004A" w:rsidRDefault="00660885" w:rsidP="00660885">
            <w:pPr>
              <w:widowControl w:val="0"/>
              <w:numPr>
                <w:ilvl w:val="0"/>
                <w:numId w:val="17"/>
              </w:numPr>
              <w:autoSpaceDE w:val="0"/>
              <w:autoSpaceDN w:val="0"/>
              <w:spacing w:after="120" w:line="276" w:lineRule="auto"/>
              <w:ind w:left="714" w:hanging="357"/>
              <w:jc w:val="both"/>
              <w:rPr>
                <w:rFonts w:ascii="Verdana" w:hAnsi="Verdana" w:cs="Arial"/>
                <w:lang w:val="es-ES"/>
              </w:rPr>
            </w:pPr>
            <w:r w:rsidRPr="004A004A">
              <w:rPr>
                <w:rFonts w:ascii="Verdana" w:hAnsi="Verdana" w:cs="Arial"/>
                <w:lang w:val="es-ES"/>
              </w:rPr>
              <w:t xml:space="preserve">Decreto 1860 de 2021, artículo 3. </w:t>
            </w:r>
          </w:p>
          <w:p w14:paraId="24E274D2" w14:textId="77777777" w:rsidR="00660885" w:rsidRPr="004A004A" w:rsidRDefault="00660885" w:rsidP="00660885">
            <w:pPr>
              <w:numPr>
                <w:ilvl w:val="0"/>
                <w:numId w:val="17"/>
              </w:numPr>
              <w:jc w:val="both"/>
              <w:rPr>
                <w:rFonts w:ascii="Verdana" w:hAnsi="Verdana" w:cs="Arial"/>
                <w:color w:val="000000"/>
                <w:lang w:val="es-MX"/>
              </w:rPr>
            </w:pPr>
            <w:r w:rsidRPr="004A004A">
              <w:rPr>
                <w:rFonts w:ascii="Verdana" w:hAnsi="Verdana" w:cs="Arial"/>
                <w:color w:val="000000"/>
                <w:lang w:val="es-MX"/>
              </w:rPr>
              <w:t>CORTE CONSTITUCIONAL. Sentencia C-128 de 2003. M.P. Álvaro Tafur Galvis.</w:t>
            </w:r>
          </w:p>
          <w:p w14:paraId="1EA858C2" w14:textId="77777777" w:rsidR="00660885" w:rsidRPr="004A004A" w:rsidRDefault="00660885" w:rsidP="00A3378E">
            <w:pPr>
              <w:jc w:val="both"/>
              <w:rPr>
                <w:rFonts w:ascii="Verdana" w:hAnsi="Verdana"/>
                <w:lang w:val="es-MX"/>
              </w:rPr>
            </w:pPr>
          </w:p>
          <w:p w14:paraId="3B61D45B" w14:textId="77777777" w:rsidR="00660885" w:rsidRPr="004A004A" w:rsidRDefault="00660885" w:rsidP="00660885">
            <w:pPr>
              <w:numPr>
                <w:ilvl w:val="0"/>
                <w:numId w:val="17"/>
              </w:numPr>
              <w:contextualSpacing/>
              <w:jc w:val="both"/>
              <w:rPr>
                <w:rFonts w:ascii="Verdana" w:hAnsi="Verdana"/>
                <w:lang w:val="es-ES"/>
              </w:rPr>
            </w:pPr>
            <w:r w:rsidRPr="004A004A">
              <w:rPr>
                <w:rFonts w:ascii="Verdana" w:hAnsi="Verdana"/>
                <w:lang w:val="es-ES"/>
              </w:rPr>
              <w:t xml:space="preserve">CONSEJO DE ESTADO, Sección Tercera, Sentencia del 3 de mayo de 1999, </w:t>
            </w:r>
            <w:proofErr w:type="spellStart"/>
            <w:r w:rsidRPr="004A004A">
              <w:rPr>
                <w:rFonts w:ascii="Verdana" w:hAnsi="Verdana"/>
                <w:lang w:val="es-ES"/>
              </w:rPr>
              <w:t>Exp</w:t>
            </w:r>
            <w:proofErr w:type="spellEnd"/>
            <w:r w:rsidRPr="004A004A">
              <w:rPr>
                <w:rFonts w:ascii="Verdana" w:hAnsi="Verdana"/>
                <w:lang w:val="es-ES"/>
              </w:rPr>
              <w:t>. No. 12344, C.P. Daniel Suarez Hernández.</w:t>
            </w:r>
          </w:p>
          <w:p w14:paraId="331C84A5" w14:textId="77777777" w:rsidR="00660885" w:rsidRPr="004A004A" w:rsidRDefault="00660885" w:rsidP="00A3378E">
            <w:pPr>
              <w:jc w:val="both"/>
              <w:rPr>
                <w:rFonts w:ascii="Verdana" w:hAnsi="Verdana"/>
              </w:rPr>
            </w:pPr>
          </w:p>
          <w:p w14:paraId="681982C2" w14:textId="77777777" w:rsidR="00660885" w:rsidRPr="004A004A" w:rsidRDefault="00660885" w:rsidP="00660885">
            <w:pPr>
              <w:numPr>
                <w:ilvl w:val="0"/>
                <w:numId w:val="17"/>
              </w:numPr>
              <w:jc w:val="both"/>
              <w:rPr>
                <w:rFonts w:ascii="Verdana" w:hAnsi="Verdana"/>
                <w:lang w:val="es-MX"/>
              </w:rPr>
            </w:pPr>
            <w:r w:rsidRPr="004A004A">
              <w:rPr>
                <w:rFonts w:ascii="Verdana" w:hAnsi="Verdana"/>
                <w:lang w:val="es-MX"/>
              </w:rPr>
              <w:t xml:space="preserve">CONSEJO DE ESTADO, Sección Tercera, Sentencia del 29 de enero de 2004, C.P. Alier Eduardo Hernández Enríquez, </w:t>
            </w:r>
            <w:proofErr w:type="spellStart"/>
            <w:r w:rsidRPr="004A004A">
              <w:rPr>
                <w:rFonts w:ascii="Verdana" w:hAnsi="Verdana"/>
                <w:lang w:val="es-MX"/>
              </w:rPr>
              <w:t>Exp</w:t>
            </w:r>
            <w:proofErr w:type="spellEnd"/>
            <w:r w:rsidRPr="004A004A">
              <w:rPr>
                <w:rFonts w:ascii="Verdana" w:hAnsi="Verdana"/>
                <w:lang w:val="es-MX"/>
              </w:rPr>
              <w:t xml:space="preserve">. No. 10.779.  </w:t>
            </w:r>
          </w:p>
          <w:p w14:paraId="7C45DD7A" w14:textId="77777777" w:rsidR="00660885" w:rsidRPr="004A004A" w:rsidRDefault="00660885" w:rsidP="00CB03B2">
            <w:pPr>
              <w:ind w:left="720"/>
              <w:jc w:val="both"/>
              <w:rPr>
                <w:rFonts w:ascii="Verdana" w:hAnsi="Verdana" w:cs="Arial"/>
                <w:lang w:val="es-ES"/>
              </w:rPr>
            </w:pPr>
          </w:p>
        </w:tc>
      </w:tr>
    </w:tbl>
    <w:p w14:paraId="22D8A2F3" w14:textId="77777777" w:rsidR="00660885" w:rsidRPr="004A004A" w:rsidRDefault="00660885" w:rsidP="00660885">
      <w:pPr>
        <w:widowControl w:val="0"/>
        <w:autoSpaceDE w:val="0"/>
        <w:autoSpaceDN w:val="0"/>
        <w:spacing w:line="276" w:lineRule="auto"/>
        <w:jc w:val="both"/>
        <w:rPr>
          <w:rFonts w:ascii="Verdana" w:hAnsi="Verdana" w:cs="Arial"/>
        </w:rPr>
      </w:pPr>
    </w:p>
    <w:p w14:paraId="705994C6" w14:textId="6C2BACAC" w:rsidR="00660885" w:rsidRDefault="00660885" w:rsidP="006622DE">
      <w:pPr>
        <w:numPr>
          <w:ilvl w:val="0"/>
          <w:numId w:val="16"/>
        </w:numPr>
        <w:tabs>
          <w:tab w:val="left" w:pos="142"/>
          <w:tab w:val="left" w:pos="284"/>
        </w:tabs>
        <w:spacing w:after="0" w:line="276" w:lineRule="auto"/>
        <w:ind w:left="0" w:firstLine="0"/>
        <w:jc w:val="both"/>
        <w:rPr>
          <w:rFonts w:ascii="Verdana" w:hAnsi="Verdana" w:cs="Century Gothic"/>
          <w:b/>
          <w:lang w:val="es-ES"/>
        </w:rPr>
      </w:pPr>
      <w:r w:rsidRPr="004A004A">
        <w:rPr>
          <w:rFonts w:ascii="Verdana" w:hAnsi="Verdana" w:cs="Century Gothic"/>
          <w:b/>
          <w:bCs/>
          <w:lang w:val="es-ES"/>
        </w:rPr>
        <w:t>Doctrina de la Agencia Nacional de Contratación Pública:</w:t>
      </w:r>
    </w:p>
    <w:p w14:paraId="358EBDA9" w14:textId="77777777" w:rsidR="006622DE" w:rsidRPr="006622DE" w:rsidRDefault="006622DE" w:rsidP="006622DE">
      <w:pPr>
        <w:tabs>
          <w:tab w:val="left" w:pos="142"/>
          <w:tab w:val="left" w:pos="284"/>
        </w:tabs>
        <w:spacing w:after="0" w:line="276" w:lineRule="auto"/>
        <w:jc w:val="both"/>
        <w:rPr>
          <w:rFonts w:ascii="Verdana" w:hAnsi="Verdana" w:cs="Century Gothic"/>
          <w:b/>
          <w:bCs/>
          <w:lang w:val="es-ES"/>
        </w:rPr>
      </w:pPr>
    </w:p>
    <w:p w14:paraId="11BF709B" w14:textId="268178AC" w:rsidR="00660885" w:rsidRPr="00775A7F" w:rsidRDefault="00660885" w:rsidP="00775A7F">
      <w:pPr>
        <w:jc w:val="both"/>
        <w:rPr>
          <w:rFonts w:ascii="Verdana" w:hAnsi="Verdana" w:cs="Calibri"/>
          <w:shd w:val="clear" w:color="auto" w:fill="FFFFFF"/>
        </w:rPr>
      </w:pPr>
      <w:r w:rsidRPr="004A004A">
        <w:rPr>
          <w:rFonts w:ascii="Verdana" w:hAnsi="Verdana" w:cs="Arial"/>
          <w:shd w:val="clear" w:color="auto" w:fill="FFFFFF"/>
          <w:lang w:val="es-ES"/>
        </w:rPr>
        <w:t xml:space="preserve">Sobre </w:t>
      </w:r>
      <w:r w:rsidRPr="004A004A">
        <w:rPr>
          <w:rFonts w:ascii="Verdana" w:hAnsi="Verdana" w:cs="Arial"/>
          <w:bCs/>
          <w:lang w:eastAsia="es-ES_tradnl"/>
        </w:rPr>
        <w:t>los estudios previos, planeación en los procesos de contratación pública</w:t>
      </w:r>
      <w:r w:rsidRPr="004A004A">
        <w:rPr>
          <w:rFonts w:ascii="Verdana" w:hAnsi="Verdana" w:cs="Arial"/>
          <w:bCs/>
          <w:lang w:val="es-ES_tradnl" w:eastAsia="es-ES_tradnl"/>
        </w:rPr>
        <w:t xml:space="preserve">, </w:t>
      </w:r>
      <w:r w:rsidRPr="004A004A">
        <w:rPr>
          <w:rFonts w:ascii="Verdana" w:hAnsi="Verdana" w:cs="Arial"/>
          <w:bCs/>
          <w:lang w:val="es-ES" w:eastAsia="es-ES"/>
        </w:rPr>
        <w:t>pliego de condiciones, su naturaleza,</w:t>
      </w:r>
      <w:r w:rsidRPr="004A004A">
        <w:rPr>
          <w:rFonts w:ascii="Verdana" w:hAnsi="Verdana" w:cs="Arial"/>
          <w:bCs/>
          <w:lang w:val="es-MX" w:eastAsia="es-ES"/>
        </w:rPr>
        <w:t xml:space="preserve"> claridad y precisión de su contenido</w:t>
      </w:r>
      <w:r w:rsidRPr="004A004A">
        <w:rPr>
          <w:rFonts w:ascii="Verdana" w:hAnsi="Verdana" w:cs="Arial"/>
          <w:shd w:val="clear" w:color="auto" w:fill="FFFFFF"/>
          <w:lang w:val="es-ES"/>
        </w:rPr>
        <w:t xml:space="preserve"> se pronunció esta Subdirección en los conceptos</w:t>
      </w:r>
      <w:r w:rsidRPr="004A004A">
        <w:rPr>
          <w:rFonts w:ascii="Verdana" w:hAnsi="Verdana" w:cs="Calibri"/>
          <w:shd w:val="clear" w:color="auto" w:fill="FFFFFF"/>
        </w:rPr>
        <w:t xml:space="preserve"> C-218 de 13 julio del 2023, C-274 de 14 julio del 2023, C-309 de 28 julio del 2023, C-344 de 18 agosto del 2023, C-346 de 25 agosto del 2023, C-297 de 3 octubre del 2023, C-201 de 26 octubre de 2023, C-144 de 6 diciembre del 2023, C-440 de 12 diciembre del 2023, C-001 de 25 enero del 2024, C-030 de 9 abril del 2024, C-053 de 7 mayo del 2024</w:t>
      </w:r>
      <w:r w:rsidRPr="004A004A">
        <w:rPr>
          <w:rFonts w:ascii="Verdana" w:hAnsi="Verdana" w:cs="Arial"/>
          <w:shd w:val="clear" w:color="auto" w:fill="FFFFFF"/>
          <w:lang w:val="es-ES"/>
        </w:rPr>
        <w:t xml:space="preserve">. </w:t>
      </w:r>
      <w:r w:rsidRPr="004A004A">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4A004A">
          <w:rPr>
            <w:rFonts w:ascii="Verdana" w:hAnsi="Verdana" w:cs="Arial"/>
            <w:color w:val="0000FF"/>
            <w:u w:val="single"/>
            <w:shd w:val="clear" w:color="auto" w:fill="FFFFFF"/>
          </w:rPr>
          <w:t>https://relatoria.colombiacompra.gov.co/</w:t>
        </w:r>
      </w:hyperlink>
      <w:r w:rsidRPr="004A004A">
        <w:rPr>
          <w:rFonts w:ascii="Verdana" w:hAnsi="Verdana" w:cs="Arial"/>
          <w:shd w:val="clear" w:color="auto" w:fill="FFFFFF"/>
        </w:rPr>
        <w:t> . Te invitamos también a revisar la tercera edición del  Boletín de Relatoría de 2024 en el cual podrás consultar en detalle el marco normativo de documentos tipo: </w:t>
      </w:r>
      <w:hyperlink r:id="rId13" w:tgtFrame="_blank" w:tooltip="Dirección URL original: https://www.colombiacompra.gov.co/sites/cce_public/files/files_2020/boletin_de_realtoria_iii.pdf. Haga clic o pulse si confía en este vínculo." w:history="1">
        <w:r w:rsidRPr="004A004A">
          <w:rPr>
            <w:rFonts w:ascii="Verdana" w:hAnsi="Verdana" w:cs="Arial"/>
            <w:color w:val="0000FF"/>
            <w:u w:val="single"/>
            <w:shd w:val="clear" w:color="auto" w:fill="FFFFFF"/>
          </w:rPr>
          <w:t>https://www.colombiacompra.gov.co/sites/cce_public/files/files_2020/boletin_de_realtoria_iii.pdf</w:t>
        </w:r>
      </w:hyperlink>
      <w:r w:rsidRPr="004A004A">
        <w:rPr>
          <w:rFonts w:ascii="Verdana" w:hAnsi="Verdana" w:cs="Arial"/>
          <w:shd w:val="clear" w:color="auto" w:fill="FFFFFF"/>
        </w:rPr>
        <w:t> ".  </w:t>
      </w:r>
    </w:p>
    <w:p w14:paraId="784F9876" w14:textId="77777777" w:rsidR="00660885" w:rsidRPr="004A004A" w:rsidRDefault="00660885" w:rsidP="00660885">
      <w:pPr>
        <w:widowControl w:val="0"/>
        <w:autoSpaceDE w:val="0"/>
        <w:autoSpaceDN w:val="0"/>
        <w:spacing w:line="276" w:lineRule="auto"/>
        <w:jc w:val="both"/>
        <w:rPr>
          <w:rFonts w:ascii="Verdana" w:hAnsi="Verdana" w:cs="Arial"/>
          <w:shd w:val="clear" w:color="auto" w:fill="FFFFFF"/>
        </w:rPr>
      </w:pPr>
      <w:r w:rsidRPr="004A004A">
        <w:rPr>
          <w:rFonts w:ascii="Verdana" w:hAnsi="Verdana" w:cs="Arial"/>
          <w:shd w:val="clear" w:color="auto" w:fill="FFFFFF"/>
        </w:rPr>
        <w:t xml:space="preserve">De otra parte, te informamos que entre el 15 al 29 de agosto de 2024 estará disponible para comentarios la Guía para Promover la Participación de las </w:t>
      </w:r>
      <w:r w:rsidRPr="004A004A">
        <w:rPr>
          <w:rFonts w:ascii="Verdana" w:hAnsi="Verdana" w:cs="Arial"/>
          <w:shd w:val="clear" w:color="auto" w:fill="FFFFFF"/>
        </w:rPr>
        <w:lastRenderedPageBreak/>
        <w:t>MIPYMES en los Procesos de Compra y Contratación Pública. Esta nueva versión desarrolla lineamientos para la aplicación de los incentivos regulados por normas como la Ley 2069 de 2020 y los decretos 1860 de 2021, 142 de 2023 y el 874 de 2024. Te invitamos a participar dejando tus observaciones en los siguientes enlaces: </w:t>
      </w:r>
      <w:hyperlink r:id="rId14" w:tgtFrame="_blank" w:tooltip="Dirección URL original: https://www.sucop.gov.co/entidades/colombiacompra/Normativa?IDNorma=17363. Haga clic o pulse si confía en este vínculo." w:history="1">
        <w:r w:rsidRPr="004A004A">
          <w:rPr>
            <w:rFonts w:ascii="Verdana" w:hAnsi="Verdana" w:cs="Arial"/>
            <w:color w:val="0000FF"/>
            <w:u w:val="single"/>
            <w:shd w:val="clear" w:color="auto" w:fill="FFFFFF"/>
          </w:rPr>
          <w:t>https://www.sucop.gov.co/entidades/colombiacompra/Normativa?IDNorma=17363</w:t>
        </w:r>
      </w:hyperlink>
      <w:r w:rsidRPr="004A004A">
        <w:rPr>
          <w:rFonts w:ascii="Verdana" w:hAnsi="Verdana" w:cs="Arial"/>
          <w:shd w:val="clear" w:color="auto" w:fill="FFFFFF"/>
        </w:rPr>
        <w:t> y </w:t>
      </w:r>
      <w:hyperlink r:id="rId15" w:tgtFrame="_blank" w:tooltip="Dirección URL original: https://www.colombiacompra.gov.co/content/convocatorias. Haga clic o pulse si confía en este vínculo." w:history="1">
        <w:r w:rsidRPr="004A004A">
          <w:rPr>
            <w:rFonts w:ascii="Verdana" w:hAnsi="Verdana" w:cs="Arial"/>
            <w:color w:val="0000FF"/>
            <w:u w:val="single"/>
            <w:shd w:val="clear" w:color="auto" w:fill="FFFFFF"/>
          </w:rPr>
          <w:t>https://www.colombiacompra.gov.co/content/convocatorias</w:t>
        </w:r>
      </w:hyperlink>
      <w:r w:rsidRPr="004A004A">
        <w:rPr>
          <w:rFonts w:ascii="Verdana" w:hAnsi="Verdana" w:cs="Arial"/>
          <w:shd w:val="clear" w:color="auto" w:fill="FFFFFF"/>
        </w:rPr>
        <w:t> </w:t>
      </w:r>
    </w:p>
    <w:p w14:paraId="24447688" w14:textId="2C85FC96" w:rsidR="00660885" w:rsidRPr="004A004A" w:rsidRDefault="00660885" w:rsidP="00660885">
      <w:pPr>
        <w:jc w:val="both"/>
        <w:rPr>
          <w:rFonts w:ascii="Verdana" w:hAnsi="Verdana"/>
        </w:rPr>
      </w:pPr>
      <w:r w:rsidRPr="004A004A">
        <w:rPr>
          <w:rFonts w:ascii="Verdana" w:hAnsi="Verdana"/>
        </w:rPr>
        <w:t xml:space="preserve">Por último, lo invitamos a seguirnos en las redes sociales en las cuales se difunde información institucional: </w:t>
      </w:r>
    </w:p>
    <w:p w14:paraId="7183F9FF" w14:textId="77777777" w:rsidR="00660885" w:rsidRPr="004A004A" w:rsidRDefault="00660885" w:rsidP="00660885">
      <w:pPr>
        <w:jc w:val="both"/>
        <w:rPr>
          <w:rFonts w:ascii="Verdana" w:hAnsi="Verdana"/>
        </w:rPr>
      </w:pPr>
      <w:r w:rsidRPr="004A004A">
        <w:rPr>
          <w:rFonts w:ascii="Verdana" w:hAnsi="Verdana"/>
        </w:rPr>
        <w:t xml:space="preserve">Twitter: </w:t>
      </w:r>
      <w:r w:rsidRPr="004A004A">
        <w:rPr>
          <w:rFonts w:ascii="Verdana" w:hAnsi="Verdana"/>
          <w:color w:val="4472C4"/>
          <w:u w:val="single"/>
        </w:rPr>
        <w:t>@colombiacompra</w:t>
      </w:r>
      <w:r w:rsidRPr="004A004A">
        <w:rPr>
          <w:rFonts w:ascii="Verdana" w:hAnsi="Verdana"/>
          <w:color w:val="4472C4"/>
        </w:rPr>
        <w:t xml:space="preserve"> </w:t>
      </w:r>
    </w:p>
    <w:p w14:paraId="6F1AAD7C" w14:textId="77777777" w:rsidR="00660885" w:rsidRPr="004A004A" w:rsidRDefault="00660885" w:rsidP="00660885">
      <w:pPr>
        <w:jc w:val="both"/>
        <w:rPr>
          <w:rFonts w:ascii="Verdana" w:hAnsi="Verdana"/>
        </w:rPr>
      </w:pPr>
      <w:r w:rsidRPr="004A004A">
        <w:rPr>
          <w:rFonts w:ascii="Verdana" w:hAnsi="Verdana"/>
        </w:rPr>
        <w:t xml:space="preserve">Facebook: </w:t>
      </w:r>
      <w:proofErr w:type="spellStart"/>
      <w:r w:rsidRPr="004A004A">
        <w:rPr>
          <w:rFonts w:ascii="Verdana" w:hAnsi="Verdana"/>
          <w:color w:val="4472C4"/>
          <w:u w:val="single"/>
        </w:rPr>
        <w:t>ColombiaCompraEficiente</w:t>
      </w:r>
      <w:proofErr w:type="spellEnd"/>
    </w:p>
    <w:p w14:paraId="251C2D39" w14:textId="47538C9A" w:rsidR="00660885" w:rsidRPr="006622DE" w:rsidRDefault="00660885" w:rsidP="006622DE">
      <w:pPr>
        <w:jc w:val="both"/>
        <w:rPr>
          <w:rFonts w:ascii="Verdana" w:hAnsi="Verdana"/>
        </w:rPr>
      </w:pPr>
      <w:r w:rsidRPr="004A004A">
        <w:rPr>
          <w:rFonts w:ascii="Verdana" w:hAnsi="Verdana"/>
        </w:rPr>
        <w:t xml:space="preserve">LinkedIn: </w:t>
      </w:r>
      <w:r w:rsidRPr="004A004A">
        <w:rPr>
          <w:rFonts w:ascii="Verdana" w:hAnsi="Verdana"/>
          <w:color w:val="4472C4"/>
          <w:u w:val="single"/>
        </w:rPr>
        <w:t>Agencia Nacional de Contratación Pública - Colombia Compra Eficiente</w:t>
      </w:r>
      <w:r w:rsidRPr="004A004A">
        <w:rPr>
          <w:rFonts w:ascii="Verdana" w:hAnsi="Verdana"/>
          <w:color w:val="4472C4"/>
        </w:rPr>
        <w:t xml:space="preserve"> </w:t>
      </w:r>
      <w:r w:rsidRPr="004A004A">
        <w:rPr>
          <w:rFonts w:ascii="Verdana" w:hAnsi="Verdana"/>
        </w:rPr>
        <w:t xml:space="preserve">Instagram: </w:t>
      </w:r>
      <w:r w:rsidRPr="004A004A">
        <w:rPr>
          <w:rFonts w:ascii="Verdana" w:hAnsi="Verdana"/>
          <w:color w:val="4472C4"/>
          <w:u w:val="single"/>
        </w:rPr>
        <w:t>@colombiacompraeficiente_cce</w:t>
      </w:r>
    </w:p>
    <w:p w14:paraId="2206364F" w14:textId="115827BA" w:rsidR="00660885" w:rsidRPr="006622DE" w:rsidRDefault="00660885" w:rsidP="00660885">
      <w:pPr>
        <w:widowControl w:val="0"/>
        <w:autoSpaceDE w:val="0"/>
        <w:autoSpaceDN w:val="0"/>
        <w:spacing w:line="276" w:lineRule="auto"/>
        <w:jc w:val="both"/>
        <w:rPr>
          <w:rFonts w:ascii="Verdana" w:hAnsi="Verdana" w:cs="Arial"/>
          <w:lang w:val="es-ES_tradnl"/>
        </w:rPr>
      </w:pPr>
      <w:r w:rsidRPr="004A004A">
        <w:rPr>
          <w:rFonts w:ascii="Verdana" w:hAnsi="Verdana" w:cs="Arial"/>
        </w:rPr>
        <w:t xml:space="preserve">Este concepto tiene el alcance previsto en el artículo 28 del Código de Procedimiento Administrativo y de lo Contencioso Administrativo </w:t>
      </w:r>
      <w:r w:rsidRPr="004A004A">
        <w:rPr>
          <w:rFonts w:ascii="Verdana" w:hAnsi="Verdana" w:cs="Arial"/>
          <w:lang w:val="es-ES_tradnl"/>
        </w:rPr>
        <w:t>y las expresiones aquí utilizadas con mayúscula inicial deben ser entendidas con el significado que les otorga el artículo 2.2.1.1.1.3.1. del Decreto 1082 de 2015.</w:t>
      </w:r>
    </w:p>
    <w:p w14:paraId="3C13AE2D" w14:textId="0D825A92" w:rsidR="00660885" w:rsidRPr="00017AE3" w:rsidRDefault="00660885" w:rsidP="00660885">
      <w:pPr>
        <w:rPr>
          <w:rFonts w:ascii="Verdana" w:hAnsi="Verdana" w:cs="Arial"/>
        </w:rPr>
      </w:pPr>
      <w:r w:rsidRPr="004A004A">
        <w:rPr>
          <w:rFonts w:ascii="Verdana" w:hAnsi="Verdana" w:cs="Arial"/>
        </w:rPr>
        <w:t xml:space="preserve">Atentamente, </w:t>
      </w:r>
    </w:p>
    <w:p w14:paraId="5A0DC9FD" w14:textId="5CD95AF8" w:rsidR="00660885" w:rsidRDefault="00EB0D4D" w:rsidP="00660885">
      <w:r>
        <w:rPr>
          <w:noProof/>
        </w:rPr>
        <w:drawing>
          <wp:anchor distT="0" distB="0" distL="114300" distR="114300" simplePos="0" relativeHeight="251660288" behindDoc="1" locked="0" layoutInCell="1" allowOverlap="1" wp14:anchorId="1EE6F601" wp14:editId="3669C0B0">
            <wp:simplePos x="0" y="0"/>
            <wp:positionH relativeFrom="column">
              <wp:posOffset>900430</wp:posOffset>
            </wp:positionH>
            <wp:positionV relativeFrom="paragraph">
              <wp:posOffset>72390</wp:posOffset>
            </wp:positionV>
            <wp:extent cx="3705225" cy="1373505"/>
            <wp:effectExtent l="0" t="0" r="9525" b="0"/>
            <wp:wrapTight wrapText="bothSides">
              <wp:wrapPolygon edited="0">
                <wp:start x="0" y="0"/>
                <wp:lineTo x="0" y="21270"/>
                <wp:lineTo x="21544" y="21270"/>
                <wp:lineTo x="21544" y="0"/>
                <wp:lineTo x="0" y="0"/>
              </wp:wrapPolygon>
            </wp:wrapTight>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705225" cy="1373505"/>
                    </a:xfrm>
                    <a:prstGeom prst="rect">
                      <a:avLst/>
                    </a:prstGeom>
                  </pic:spPr>
                </pic:pic>
              </a:graphicData>
            </a:graphic>
            <wp14:sizeRelH relativeFrom="margin">
              <wp14:pctWidth>0</wp14:pctWidth>
            </wp14:sizeRelH>
            <wp14:sizeRelV relativeFrom="margin">
              <wp14:pctHeight>0</wp14:pctHeight>
            </wp14:sizeRelV>
          </wp:anchor>
        </w:drawing>
      </w:r>
    </w:p>
    <w:p w14:paraId="5E0AE05A" w14:textId="4CA9ECA0" w:rsidR="00660885" w:rsidRDefault="00660885" w:rsidP="00660885"/>
    <w:p w14:paraId="5A66372E" w14:textId="581E7EE9" w:rsidR="00660885" w:rsidRDefault="00660885" w:rsidP="00660885"/>
    <w:p w14:paraId="5B300A5D" w14:textId="77777777" w:rsidR="00EB0D4D" w:rsidRDefault="00EB0D4D" w:rsidP="00660885"/>
    <w:p w14:paraId="77FFDA8E" w14:textId="77777777" w:rsidR="00EB0D4D" w:rsidRDefault="00EB0D4D" w:rsidP="00660885"/>
    <w:p w14:paraId="4E873182" w14:textId="77777777" w:rsidR="00EB0D4D" w:rsidRDefault="00EB0D4D" w:rsidP="00660885"/>
    <w:tbl>
      <w:tblPr>
        <w:tblStyle w:val="Tablaconcuadrcula"/>
        <w:tblW w:w="6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5718"/>
      </w:tblGrid>
      <w:tr w:rsidR="00660885" w:rsidRPr="00D93047" w14:paraId="5C4513A6" w14:textId="77777777" w:rsidTr="00A3378E">
        <w:trPr>
          <w:trHeight w:val="278"/>
        </w:trPr>
        <w:tc>
          <w:tcPr>
            <w:tcW w:w="907" w:type="dxa"/>
            <w:vAlign w:val="center"/>
            <w:hideMark/>
          </w:tcPr>
          <w:p w14:paraId="1E5FD739" w14:textId="77777777" w:rsidR="00660885" w:rsidRPr="00D93047" w:rsidRDefault="00660885" w:rsidP="00A3378E">
            <w:pPr>
              <w:contextualSpacing/>
              <w:rPr>
                <w:rFonts w:ascii="Verdana" w:hAnsi="Verdana" w:cs="Arial"/>
                <w:sz w:val="14"/>
                <w:szCs w:val="14"/>
                <w:lang w:val="es-ES" w:eastAsia="es-ES"/>
              </w:rPr>
            </w:pPr>
            <w:r w:rsidRPr="00D93047">
              <w:rPr>
                <w:rFonts w:ascii="Verdana" w:hAnsi="Verdana" w:cs="Arial"/>
                <w:sz w:val="14"/>
                <w:szCs w:val="14"/>
                <w:lang w:val="es-ES" w:eastAsia="es-ES"/>
              </w:rPr>
              <w:t>Elaboró:</w:t>
            </w:r>
          </w:p>
        </w:tc>
        <w:tc>
          <w:tcPr>
            <w:tcW w:w="5718" w:type="dxa"/>
            <w:tcBorders>
              <w:top w:val="nil"/>
              <w:left w:val="nil"/>
              <w:bottom w:val="dotted" w:sz="4" w:space="0" w:color="7F7F7F" w:themeColor="text1" w:themeTint="80"/>
              <w:right w:val="nil"/>
            </w:tcBorders>
            <w:vAlign w:val="center"/>
            <w:hideMark/>
          </w:tcPr>
          <w:p w14:paraId="5DD074AE" w14:textId="77777777" w:rsidR="00660885" w:rsidRPr="00D93047" w:rsidRDefault="00660885" w:rsidP="00A3378E">
            <w:pPr>
              <w:contextualSpacing/>
              <w:rPr>
                <w:rFonts w:ascii="Verdana" w:eastAsia="Arial" w:hAnsi="Verdana" w:cs="Arial"/>
                <w:sz w:val="14"/>
                <w:szCs w:val="14"/>
              </w:rPr>
            </w:pPr>
            <w:r w:rsidRPr="00D93047">
              <w:rPr>
                <w:rFonts w:ascii="Verdana" w:eastAsia="Arial" w:hAnsi="Verdana" w:cs="Arial"/>
                <w:sz w:val="14"/>
                <w:szCs w:val="14"/>
              </w:rPr>
              <w:t xml:space="preserve">Andreina Cerpa Muñoz </w:t>
            </w:r>
          </w:p>
          <w:p w14:paraId="21192249" w14:textId="77777777" w:rsidR="00660885" w:rsidRPr="00D93047" w:rsidRDefault="00660885" w:rsidP="00A3378E">
            <w:pPr>
              <w:contextualSpacing/>
              <w:rPr>
                <w:rFonts w:ascii="Verdana" w:eastAsia="Arial" w:hAnsi="Verdana" w:cs="Arial"/>
                <w:sz w:val="14"/>
                <w:szCs w:val="14"/>
              </w:rPr>
            </w:pPr>
            <w:r w:rsidRPr="00D93047">
              <w:rPr>
                <w:rStyle w:val="normaltextrun"/>
                <w:rFonts w:ascii="Verdana" w:eastAsia="Arial" w:hAnsi="Verdana" w:cs="Arial"/>
                <w:sz w:val="14"/>
                <w:szCs w:val="14"/>
              </w:rPr>
              <w:t>Analista T2 – 02 de la Subdirección de Gestión Contractual</w:t>
            </w:r>
          </w:p>
        </w:tc>
      </w:tr>
      <w:tr w:rsidR="00660885" w:rsidRPr="00D93047" w14:paraId="59CC6685" w14:textId="77777777" w:rsidTr="00A3378E">
        <w:trPr>
          <w:trHeight w:val="291"/>
        </w:trPr>
        <w:tc>
          <w:tcPr>
            <w:tcW w:w="907" w:type="dxa"/>
            <w:vAlign w:val="center"/>
            <w:hideMark/>
          </w:tcPr>
          <w:p w14:paraId="610FABEF" w14:textId="77777777" w:rsidR="00660885" w:rsidRPr="00D93047" w:rsidRDefault="00660885" w:rsidP="00A3378E">
            <w:pPr>
              <w:contextualSpacing/>
              <w:rPr>
                <w:rFonts w:ascii="Verdana" w:hAnsi="Verdana" w:cs="Arial"/>
                <w:sz w:val="14"/>
                <w:szCs w:val="14"/>
                <w:lang w:val="es-ES" w:eastAsia="es-ES"/>
              </w:rPr>
            </w:pPr>
            <w:r w:rsidRPr="00D93047">
              <w:rPr>
                <w:rFonts w:ascii="Verdana" w:hAnsi="Verdana" w:cs="Arial"/>
                <w:sz w:val="14"/>
                <w:szCs w:val="14"/>
                <w:lang w:val="es-ES" w:eastAsia="es-ES"/>
              </w:rPr>
              <w:t>Revisó:</w:t>
            </w:r>
          </w:p>
        </w:tc>
        <w:tc>
          <w:tcPr>
            <w:tcW w:w="5718" w:type="dxa"/>
            <w:tcBorders>
              <w:top w:val="dotted" w:sz="4" w:space="0" w:color="7F7F7F" w:themeColor="text1" w:themeTint="80"/>
              <w:left w:val="nil"/>
              <w:bottom w:val="dotted" w:sz="4" w:space="0" w:color="7F7F7F" w:themeColor="text1" w:themeTint="80"/>
              <w:right w:val="nil"/>
            </w:tcBorders>
            <w:vAlign w:val="center"/>
            <w:hideMark/>
          </w:tcPr>
          <w:p w14:paraId="3143C77E" w14:textId="77777777" w:rsidR="00660885" w:rsidRPr="00D93047" w:rsidRDefault="00660885" w:rsidP="00A3378E">
            <w:pPr>
              <w:textAlignment w:val="baseline"/>
              <w:rPr>
                <w:rFonts w:ascii="Verdana" w:hAnsi="Verdana" w:cs="Arial"/>
                <w:kern w:val="2"/>
                <w:sz w:val="14"/>
                <w:szCs w:val="14"/>
              </w:rPr>
            </w:pPr>
            <w:r w:rsidRPr="00D93047">
              <w:rPr>
                <w:rFonts w:ascii="Verdana" w:hAnsi="Verdana" w:cs="Arial"/>
                <w:kern w:val="2"/>
                <w:sz w:val="14"/>
                <w:szCs w:val="14"/>
              </w:rPr>
              <w:t>Libardo Alberto Verjel De Filippis</w:t>
            </w:r>
          </w:p>
          <w:p w14:paraId="1048F42F" w14:textId="77777777" w:rsidR="00660885" w:rsidRPr="00D93047" w:rsidRDefault="00660885" w:rsidP="00A3378E">
            <w:pPr>
              <w:pStyle w:val="paragraph"/>
              <w:spacing w:before="0" w:beforeAutospacing="0" w:after="0" w:afterAutospacing="0"/>
              <w:textAlignment w:val="baseline"/>
              <w:rPr>
                <w:rFonts w:ascii="Verdana" w:hAnsi="Verdana" w:cs="Arial"/>
                <w:sz w:val="14"/>
                <w:szCs w:val="14"/>
              </w:rPr>
            </w:pPr>
            <w:r w:rsidRPr="00D93047">
              <w:rPr>
                <w:rFonts w:ascii="Verdana" w:hAnsi="Verdana" w:cs="Arial"/>
                <w:kern w:val="2"/>
                <w:sz w:val="14"/>
                <w:szCs w:val="14"/>
              </w:rPr>
              <w:t>Experto G3-08 de la Subdirección de Gestión Contractual</w:t>
            </w:r>
          </w:p>
        </w:tc>
      </w:tr>
      <w:tr w:rsidR="00660885" w:rsidRPr="00D93047" w14:paraId="5B44155E" w14:textId="77777777" w:rsidTr="00A3378E">
        <w:trPr>
          <w:trHeight w:val="265"/>
        </w:trPr>
        <w:tc>
          <w:tcPr>
            <w:tcW w:w="907" w:type="dxa"/>
            <w:vAlign w:val="center"/>
          </w:tcPr>
          <w:p w14:paraId="1185E60B" w14:textId="77777777" w:rsidR="00660885" w:rsidRPr="00D93047" w:rsidRDefault="00660885" w:rsidP="00A3378E">
            <w:pPr>
              <w:contextualSpacing/>
              <w:rPr>
                <w:rFonts w:ascii="Verdana" w:hAnsi="Verdana" w:cs="Arial"/>
                <w:sz w:val="14"/>
                <w:szCs w:val="14"/>
                <w:lang w:val="es-ES" w:eastAsia="es-ES"/>
              </w:rPr>
            </w:pPr>
            <w:r w:rsidRPr="00D93047">
              <w:rPr>
                <w:rFonts w:ascii="Verdana" w:hAnsi="Verdana" w:cs="Arial"/>
                <w:sz w:val="14"/>
                <w:szCs w:val="14"/>
                <w:lang w:val="es-ES" w:eastAsia="es-ES"/>
              </w:rPr>
              <w:t>Aprobó:</w:t>
            </w:r>
          </w:p>
        </w:tc>
        <w:tc>
          <w:tcPr>
            <w:tcW w:w="5718" w:type="dxa"/>
            <w:tcBorders>
              <w:top w:val="dotted" w:sz="4" w:space="0" w:color="7F7F7F" w:themeColor="text1" w:themeTint="80"/>
              <w:left w:val="nil"/>
              <w:bottom w:val="dotted" w:sz="4" w:space="0" w:color="7F7F7F" w:themeColor="text1" w:themeTint="80"/>
              <w:right w:val="nil"/>
            </w:tcBorders>
            <w:vAlign w:val="center"/>
          </w:tcPr>
          <w:p w14:paraId="58D6F2C9" w14:textId="77777777" w:rsidR="00660885" w:rsidRPr="00D93047" w:rsidRDefault="00660885" w:rsidP="00A3378E">
            <w:pPr>
              <w:contextualSpacing/>
              <w:rPr>
                <w:rFonts w:ascii="Verdana" w:eastAsia="Calibri" w:hAnsi="Verdana" w:cs="Arial"/>
                <w:sz w:val="14"/>
                <w:szCs w:val="14"/>
                <w:lang w:val="pt-BR" w:eastAsia="es-ES"/>
              </w:rPr>
            </w:pPr>
            <w:r w:rsidRPr="00D93047">
              <w:rPr>
                <w:rFonts w:ascii="Verdana" w:eastAsia="Calibri" w:hAnsi="Verdana" w:cs="Arial"/>
                <w:sz w:val="14"/>
                <w:szCs w:val="14"/>
                <w:lang w:val="pt-BR" w:eastAsia="es-ES"/>
              </w:rPr>
              <w:t xml:space="preserve">Carolina Quintero </w:t>
            </w:r>
            <w:proofErr w:type="spellStart"/>
            <w:r w:rsidRPr="00D93047">
              <w:rPr>
                <w:rFonts w:ascii="Verdana" w:eastAsia="Calibri" w:hAnsi="Verdana" w:cs="Arial"/>
                <w:sz w:val="14"/>
                <w:szCs w:val="14"/>
                <w:lang w:val="pt-BR" w:eastAsia="es-ES"/>
              </w:rPr>
              <w:t>Gacharná</w:t>
            </w:r>
            <w:proofErr w:type="spellEnd"/>
          </w:p>
          <w:p w14:paraId="492CEB1A" w14:textId="77777777" w:rsidR="00660885" w:rsidRPr="00D93047" w:rsidRDefault="00660885" w:rsidP="00A3378E">
            <w:pPr>
              <w:contextualSpacing/>
              <w:rPr>
                <w:rFonts w:ascii="Verdana" w:eastAsia="Calibri" w:hAnsi="Verdana" w:cs="Arial"/>
                <w:sz w:val="14"/>
                <w:szCs w:val="14"/>
                <w:lang w:val="pt-BR" w:eastAsia="es-ES"/>
              </w:rPr>
            </w:pPr>
            <w:r w:rsidRPr="00D93047">
              <w:rPr>
                <w:rFonts w:ascii="Verdana" w:eastAsia="Calibri" w:hAnsi="Verdana" w:cs="Arial"/>
                <w:sz w:val="14"/>
                <w:szCs w:val="14"/>
                <w:lang w:eastAsia="es-ES"/>
              </w:rPr>
              <w:t>Subdirectora</w:t>
            </w:r>
            <w:r w:rsidRPr="00D93047">
              <w:rPr>
                <w:rFonts w:ascii="Verdana" w:eastAsia="Calibri" w:hAnsi="Verdana" w:cs="Arial"/>
                <w:sz w:val="14"/>
                <w:szCs w:val="14"/>
                <w:lang w:val="pt-BR" w:eastAsia="es-ES"/>
              </w:rPr>
              <w:t xml:space="preserve"> de Gestión </w:t>
            </w:r>
            <w:proofErr w:type="spellStart"/>
            <w:r w:rsidRPr="00D93047">
              <w:rPr>
                <w:rFonts w:ascii="Verdana" w:eastAsia="Calibri" w:hAnsi="Verdana" w:cs="Arial"/>
                <w:sz w:val="14"/>
                <w:szCs w:val="14"/>
                <w:lang w:val="pt-BR" w:eastAsia="es-ES"/>
              </w:rPr>
              <w:t>Contractual</w:t>
            </w:r>
            <w:proofErr w:type="spellEnd"/>
            <w:r w:rsidRPr="00D93047">
              <w:rPr>
                <w:rFonts w:ascii="Verdana" w:eastAsia="Calibri" w:hAnsi="Verdana" w:cs="Arial"/>
                <w:sz w:val="14"/>
                <w:szCs w:val="14"/>
                <w:lang w:val="pt-BR" w:eastAsia="es-ES"/>
              </w:rPr>
              <w:t xml:space="preserve"> ANCP – CCE</w:t>
            </w:r>
          </w:p>
        </w:tc>
      </w:tr>
    </w:tbl>
    <w:p w14:paraId="0F293BF4" w14:textId="7BBFAB11" w:rsidR="00127233" w:rsidRPr="00775A7F" w:rsidRDefault="00127233" w:rsidP="00660885">
      <w:pPr>
        <w:rPr>
          <w:sz w:val="10"/>
          <w:szCs w:val="10"/>
        </w:rPr>
      </w:pPr>
    </w:p>
    <w:sectPr w:rsidR="00127233" w:rsidRPr="00775A7F"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0806" w14:textId="77777777" w:rsidR="003A26D1" w:rsidRDefault="003A26D1" w:rsidP="004A1847">
      <w:pPr>
        <w:spacing w:after="0" w:line="240" w:lineRule="auto"/>
      </w:pPr>
      <w:r>
        <w:separator/>
      </w:r>
    </w:p>
  </w:endnote>
  <w:endnote w:type="continuationSeparator" w:id="0">
    <w:p w14:paraId="32660A6E" w14:textId="77777777" w:rsidR="003A26D1" w:rsidRDefault="003A26D1" w:rsidP="004A1847">
      <w:pPr>
        <w:spacing w:after="0" w:line="240" w:lineRule="auto"/>
      </w:pPr>
      <w:r>
        <w:continuationSeparator/>
      </w:r>
    </w:p>
  </w:endnote>
  <w:endnote w:type="continuationNotice" w:id="1">
    <w:p w14:paraId="1461889F" w14:textId="77777777" w:rsidR="006E2E7F" w:rsidRDefault="006E2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A1572" w14:textId="77777777" w:rsidR="003A26D1" w:rsidRDefault="003A26D1" w:rsidP="004A1847">
      <w:pPr>
        <w:spacing w:after="0" w:line="240" w:lineRule="auto"/>
      </w:pPr>
      <w:r>
        <w:separator/>
      </w:r>
    </w:p>
  </w:footnote>
  <w:footnote w:type="continuationSeparator" w:id="0">
    <w:p w14:paraId="0C69800C" w14:textId="77777777" w:rsidR="003A26D1" w:rsidRDefault="003A26D1" w:rsidP="004A1847">
      <w:pPr>
        <w:spacing w:after="0" w:line="240" w:lineRule="auto"/>
      </w:pPr>
      <w:r>
        <w:continuationSeparator/>
      </w:r>
    </w:p>
  </w:footnote>
  <w:footnote w:type="continuationNotice" w:id="1">
    <w:p w14:paraId="7650F0E3" w14:textId="77777777" w:rsidR="006E2E7F" w:rsidRDefault="006E2E7F">
      <w:pPr>
        <w:spacing w:after="0" w:line="240" w:lineRule="auto"/>
      </w:pPr>
    </w:p>
  </w:footnote>
  <w:footnote w:id="2">
    <w:p w14:paraId="58BE80B8" w14:textId="77777777" w:rsidR="00660885" w:rsidRPr="00305AB1" w:rsidRDefault="00660885" w:rsidP="00660885">
      <w:pPr>
        <w:spacing w:line="244" w:lineRule="auto"/>
        <w:ind w:left="120" w:firstLine="707"/>
        <w:jc w:val="both"/>
        <w:rPr>
          <w:rFonts w:ascii="Verdana" w:hAnsi="Verdana" w:cs="Arial"/>
          <w:sz w:val="16"/>
          <w:szCs w:val="16"/>
        </w:rPr>
      </w:pPr>
      <w:r w:rsidRPr="00305AB1">
        <w:rPr>
          <w:rFonts w:ascii="Verdana" w:hAnsi="Verdana" w:cs="Arial"/>
          <w:sz w:val="16"/>
          <w:szCs w:val="16"/>
          <w:vertAlign w:val="superscript"/>
        </w:rPr>
        <w:footnoteRef/>
      </w:r>
      <w:r w:rsidRPr="00305AB1">
        <w:rPr>
          <w:rFonts w:ascii="Verdana" w:hAnsi="Verdana" w:cs="Arial"/>
          <w:position w:val="6"/>
          <w:sz w:val="16"/>
          <w:szCs w:val="16"/>
        </w:rPr>
        <w:t xml:space="preserve"> </w:t>
      </w:r>
      <w:r w:rsidRPr="00305AB1">
        <w:rPr>
          <w:rFonts w:ascii="Verdana" w:hAnsi="Verdana" w:cs="Arial"/>
          <w:sz w:val="16"/>
          <w:szCs w:val="16"/>
        </w:rPr>
        <w:t>DEIK ACOSTAMADIEDO, Carolina, Guía de Contratación Estatal: Deber de planeación y modalidades de selección, Buenos Aires, 2015, p. 59.</w:t>
      </w:r>
    </w:p>
    <w:p w14:paraId="1F5CFAFF" w14:textId="77777777" w:rsidR="00660885" w:rsidRDefault="00660885" w:rsidP="00660885">
      <w:pPr>
        <w:spacing w:line="244" w:lineRule="auto"/>
        <w:ind w:left="120" w:firstLine="707"/>
        <w:jc w:val="both"/>
      </w:pPr>
    </w:p>
  </w:footnote>
  <w:footnote w:id="3">
    <w:p w14:paraId="4D15CE8B" w14:textId="77777777" w:rsidR="00660885" w:rsidRPr="00305AB1" w:rsidRDefault="00660885" w:rsidP="00660885">
      <w:pPr>
        <w:pStyle w:val="Textoindependiente"/>
        <w:spacing w:after="0"/>
        <w:ind w:right="103" w:firstLine="709"/>
        <w:jc w:val="both"/>
        <w:rPr>
          <w:rFonts w:ascii="Verdana" w:hAnsi="Verdana"/>
          <w:sz w:val="16"/>
          <w:szCs w:val="16"/>
        </w:rPr>
      </w:pPr>
      <w:r w:rsidRPr="00305AB1">
        <w:rPr>
          <w:rFonts w:ascii="Verdana" w:hAnsi="Verdana"/>
          <w:sz w:val="16"/>
          <w:szCs w:val="16"/>
          <w:vertAlign w:val="superscript"/>
        </w:rPr>
        <w:footnoteRef/>
      </w:r>
      <w:r w:rsidRPr="00305AB1">
        <w:rPr>
          <w:rFonts w:ascii="Verdana" w:hAnsi="Verdana"/>
          <w:sz w:val="16"/>
          <w:szCs w:val="16"/>
        </w:rPr>
        <w:t xml:space="preserve"> </w:t>
      </w:r>
      <w:r w:rsidRPr="00305AB1">
        <w:rPr>
          <w:rFonts w:ascii="Verdana" w:hAnsi="Verdana"/>
          <w:position w:val="6"/>
          <w:sz w:val="16"/>
          <w:szCs w:val="16"/>
        </w:rPr>
        <w:t xml:space="preserve"> </w:t>
      </w:r>
      <w:r>
        <w:rPr>
          <w:rFonts w:ascii="Verdana" w:hAnsi="Verdana"/>
          <w:sz w:val="16"/>
          <w:szCs w:val="16"/>
        </w:rPr>
        <w:t>“</w:t>
      </w:r>
      <w:r w:rsidRPr="00305AB1">
        <w:rPr>
          <w:rFonts w:ascii="Verdana" w:hAnsi="Verdana"/>
          <w:sz w:val="16"/>
          <w:szCs w:val="16"/>
        </w:rPr>
        <w:t xml:space="preserve">Artículo </w:t>
      </w:r>
      <w:bookmarkStart w:id="3" w:name="_Hlk54173885"/>
      <w:r w:rsidRPr="00305AB1">
        <w:rPr>
          <w:rFonts w:ascii="Verdana" w:hAnsi="Verdana"/>
          <w:sz w:val="16"/>
          <w:szCs w:val="16"/>
        </w:rPr>
        <w:t>2.2.1.1.2.1.1</w:t>
      </w:r>
      <w:bookmarkEnd w:id="3"/>
      <w:r w:rsidRPr="00305AB1">
        <w:rPr>
          <w:rFonts w:ascii="Verdana" w:hAnsi="Verdana"/>
          <w:sz w:val="16"/>
          <w:szCs w:val="16"/>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r>
        <w:rPr>
          <w:rFonts w:ascii="Verdana" w:hAnsi="Verdana"/>
          <w:sz w:val="16"/>
          <w:szCs w:val="16"/>
        </w:rPr>
        <w:t>”</w:t>
      </w:r>
      <w:r w:rsidRPr="00305AB1">
        <w:rPr>
          <w:rFonts w:ascii="Verdana" w:hAnsi="Verdana"/>
          <w:sz w:val="16"/>
          <w:szCs w:val="16"/>
        </w:rPr>
        <w:t>.</w:t>
      </w:r>
    </w:p>
    <w:p w14:paraId="58A19664" w14:textId="77777777" w:rsidR="00660885" w:rsidRDefault="00660885" w:rsidP="00660885">
      <w:pPr>
        <w:pStyle w:val="Textoindependiente"/>
        <w:spacing w:after="0"/>
        <w:ind w:right="103" w:firstLine="709"/>
        <w:jc w:val="both"/>
      </w:pPr>
    </w:p>
  </w:footnote>
  <w:footnote w:id="4">
    <w:p w14:paraId="65CCA20C" w14:textId="3D823284" w:rsidR="00660885" w:rsidRDefault="00660885" w:rsidP="00660885">
      <w:pPr>
        <w:pStyle w:val="Textoindependiente"/>
        <w:spacing w:before="1" w:after="0"/>
        <w:ind w:right="108" w:firstLine="709"/>
        <w:jc w:val="both"/>
      </w:pPr>
      <w:r w:rsidRPr="00305AB1">
        <w:rPr>
          <w:rFonts w:ascii="Verdana" w:hAnsi="Verdana"/>
          <w:sz w:val="16"/>
          <w:szCs w:val="16"/>
          <w:vertAlign w:val="superscript"/>
        </w:rPr>
        <w:footnoteRef/>
      </w:r>
      <w:r w:rsidRPr="00305AB1">
        <w:rPr>
          <w:rFonts w:ascii="Verdana" w:hAnsi="Verdana"/>
          <w:sz w:val="16"/>
          <w:szCs w:val="16"/>
        </w:rPr>
        <w:t xml:space="preserve"> Consejo de Estado, Sección Tercera, Subsección B, 31 de agosto de 2011, </w:t>
      </w:r>
      <w:proofErr w:type="spellStart"/>
      <w:r>
        <w:rPr>
          <w:rFonts w:ascii="Verdana" w:hAnsi="Verdana"/>
          <w:sz w:val="16"/>
          <w:szCs w:val="16"/>
        </w:rPr>
        <w:t>E</w:t>
      </w:r>
      <w:r w:rsidRPr="00305AB1">
        <w:rPr>
          <w:rFonts w:ascii="Verdana" w:hAnsi="Verdana"/>
          <w:sz w:val="16"/>
          <w:szCs w:val="16"/>
        </w:rPr>
        <w:t>xp</w:t>
      </w:r>
      <w:proofErr w:type="spellEnd"/>
      <w:r w:rsidRPr="00305AB1">
        <w:rPr>
          <w:rFonts w:ascii="Verdana" w:hAnsi="Verdana"/>
          <w:sz w:val="16"/>
          <w:szCs w:val="16"/>
        </w:rPr>
        <w:t>.</w:t>
      </w:r>
      <w:r>
        <w:rPr>
          <w:rFonts w:ascii="Verdana" w:hAnsi="Verdana"/>
          <w:sz w:val="16"/>
          <w:szCs w:val="16"/>
        </w:rPr>
        <w:t xml:space="preserve"> No.</w:t>
      </w:r>
      <w:r w:rsidRPr="00305AB1">
        <w:rPr>
          <w:rFonts w:ascii="Verdana" w:hAnsi="Verdana"/>
          <w:sz w:val="16"/>
          <w:szCs w:val="16"/>
        </w:rPr>
        <w:t xml:space="preserve"> 18080, C.P. Ruth Stella Correa Palacio: </w:t>
      </w:r>
      <w:r>
        <w:rPr>
          <w:rFonts w:ascii="Verdana" w:hAnsi="Verdana"/>
          <w:sz w:val="16"/>
          <w:szCs w:val="16"/>
        </w:rPr>
        <w:t>“</w:t>
      </w:r>
      <w:r w:rsidRPr="00305AB1">
        <w:rPr>
          <w:rFonts w:ascii="Verdana" w:hAnsi="Verdana"/>
          <w:sz w:val="16"/>
          <w:szCs w:val="16"/>
        </w:rPr>
        <w:t>(…)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r>
        <w:rPr>
          <w:rFonts w:ascii="Verdana" w:hAnsi="Verdana"/>
          <w:sz w:val="16"/>
          <w:szCs w:val="16"/>
        </w:rPr>
        <w:t>”</w:t>
      </w:r>
      <w:r w:rsidRPr="00305AB1">
        <w:rPr>
          <w:rFonts w:ascii="Verdana" w:hAnsi="Verdana"/>
          <w:sz w:val="16"/>
          <w:szCs w:val="16"/>
        </w:rPr>
        <w:t>.</w:t>
      </w:r>
    </w:p>
  </w:footnote>
  <w:footnote w:id="5">
    <w:p w14:paraId="76718225" w14:textId="77777777" w:rsidR="00660885" w:rsidRDefault="00660885" w:rsidP="00660885">
      <w:pPr>
        <w:pStyle w:val="Textonotapie"/>
        <w:ind w:firstLine="708"/>
      </w:pPr>
      <w:r>
        <w:rPr>
          <w:vertAlign w:val="superscript"/>
        </w:rPr>
        <w:footnoteRef/>
      </w:r>
      <w:r>
        <w:t xml:space="preserve"> </w:t>
      </w:r>
      <w:r w:rsidRPr="00BD704E">
        <w:rPr>
          <w:rFonts w:ascii="Verdana" w:hAnsi="Verdana"/>
          <w:sz w:val="16"/>
          <w:szCs w:val="16"/>
        </w:rPr>
        <w:t>CONSEJO DE ESTADO</w:t>
      </w:r>
      <w:r>
        <w:rPr>
          <w:rFonts w:ascii="Verdana" w:hAnsi="Verdana"/>
          <w:sz w:val="16"/>
          <w:szCs w:val="16"/>
        </w:rPr>
        <w:t xml:space="preserve">, Sección Tercera, Sentencia del 3 de mayo de 1999, </w:t>
      </w:r>
      <w:proofErr w:type="spellStart"/>
      <w:r>
        <w:rPr>
          <w:rFonts w:ascii="Verdana" w:hAnsi="Verdana"/>
          <w:sz w:val="16"/>
          <w:szCs w:val="16"/>
        </w:rPr>
        <w:t>Exp</w:t>
      </w:r>
      <w:proofErr w:type="spellEnd"/>
      <w:r>
        <w:rPr>
          <w:rFonts w:ascii="Verdana" w:hAnsi="Verdana"/>
          <w:sz w:val="16"/>
          <w:szCs w:val="16"/>
        </w:rPr>
        <w:t xml:space="preserve">. No. 12344, C.P. Daniel Suarez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A3DE" w14:textId="77777777" w:rsidR="00DF538D" w:rsidRDefault="00DF538D">
    <w:pPr>
      <w:pStyle w:val="Encabezado"/>
    </w:pPr>
  </w:p>
  <w:p w14:paraId="435F4D03" w14:textId="0CEDDC7F"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AE3"/>
    <w:rsid w:val="00061B2A"/>
    <w:rsid w:val="00061D20"/>
    <w:rsid w:val="00082362"/>
    <w:rsid w:val="000A683E"/>
    <w:rsid w:val="000B19B9"/>
    <w:rsid w:val="000D0334"/>
    <w:rsid w:val="000F6486"/>
    <w:rsid w:val="00125105"/>
    <w:rsid w:val="00127233"/>
    <w:rsid w:val="001E4177"/>
    <w:rsid w:val="001F7DC6"/>
    <w:rsid w:val="002421BB"/>
    <w:rsid w:val="0025796E"/>
    <w:rsid w:val="002707A2"/>
    <w:rsid w:val="002951A0"/>
    <w:rsid w:val="002962BC"/>
    <w:rsid w:val="002A093D"/>
    <w:rsid w:val="002A0DD0"/>
    <w:rsid w:val="002A49AC"/>
    <w:rsid w:val="002A64FD"/>
    <w:rsid w:val="002B771F"/>
    <w:rsid w:val="002C7A84"/>
    <w:rsid w:val="002E4FD9"/>
    <w:rsid w:val="00322A85"/>
    <w:rsid w:val="00324168"/>
    <w:rsid w:val="00324F04"/>
    <w:rsid w:val="003448F4"/>
    <w:rsid w:val="00344DC8"/>
    <w:rsid w:val="00374F5E"/>
    <w:rsid w:val="00377E3E"/>
    <w:rsid w:val="003A26D1"/>
    <w:rsid w:val="003A779E"/>
    <w:rsid w:val="003B6256"/>
    <w:rsid w:val="003D0F4D"/>
    <w:rsid w:val="003D5B0D"/>
    <w:rsid w:val="003E0499"/>
    <w:rsid w:val="003E35BD"/>
    <w:rsid w:val="003F3941"/>
    <w:rsid w:val="00406575"/>
    <w:rsid w:val="0042722E"/>
    <w:rsid w:val="004359D4"/>
    <w:rsid w:val="0044528D"/>
    <w:rsid w:val="004A1847"/>
    <w:rsid w:val="004A305D"/>
    <w:rsid w:val="004F21C4"/>
    <w:rsid w:val="004F685F"/>
    <w:rsid w:val="00521583"/>
    <w:rsid w:val="005566E8"/>
    <w:rsid w:val="00574867"/>
    <w:rsid w:val="00591460"/>
    <w:rsid w:val="00592628"/>
    <w:rsid w:val="005C3777"/>
    <w:rsid w:val="005C5CDC"/>
    <w:rsid w:val="005D476C"/>
    <w:rsid w:val="00610812"/>
    <w:rsid w:val="006219F8"/>
    <w:rsid w:val="00650FF7"/>
    <w:rsid w:val="00660885"/>
    <w:rsid w:val="006622DE"/>
    <w:rsid w:val="00665D70"/>
    <w:rsid w:val="00671DAC"/>
    <w:rsid w:val="006900D9"/>
    <w:rsid w:val="006D12F8"/>
    <w:rsid w:val="006E2E7F"/>
    <w:rsid w:val="00703AD4"/>
    <w:rsid w:val="00706C16"/>
    <w:rsid w:val="00756841"/>
    <w:rsid w:val="007649AB"/>
    <w:rsid w:val="00771D0C"/>
    <w:rsid w:val="00775A7F"/>
    <w:rsid w:val="007833AC"/>
    <w:rsid w:val="00783933"/>
    <w:rsid w:val="007B268C"/>
    <w:rsid w:val="007B7171"/>
    <w:rsid w:val="007C0C0F"/>
    <w:rsid w:val="007C3DC2"/>
    <w:rsid w:val="007C4B32"/>
    <w:rsid w:val="007E5497"/>
    <w:rsid w:val="00806F5F"/>
    <w:rsid w:val="00820278"/>
    <w:rsid w:val="00833C50"/>
    <w:rsid w:val="008723D2"/>
    <w:rsid w:val="008843B6"/>
    <w:rsid w:val="00891928"/>
    <w:rsid w:val="008A446D"/>
    <w:rsid w:val="008D180B"/>
    <w:rsid w:val="008E40FE"/>
    <w:rsid w:val="008F0EA7"/>
    <w:rsid w:val="00923EEF"/>
    <w:rsid w:val="009403A8"/>
    <w:rsid w:val="009419F9"/>
    <w:rsid w:val="0095685E"/>
    <w:rsid w:val="00961B09"/>
    <w:rsid w:val="00965334"/>
    <w:rsid w:val="0097093E"/>
    <w:rsid w:val="009A0DFA"/>
    <w:rsid w:val="009B2D26"/>
    <w:rsid w:val="009C71FA"/>
    <w:rsid w:val="009C72E7"/>
    <w:rsid w:val="009D3058"/>
    <w:rsid w:val="009E385A"/>
    <w:rsid w:val="009F3A13"/>
    <w:rsid w:val="00A122D3"/>
    <w:rsid w:val="00A17F13"/>
    <w:rsid w:val="00A20739"/>
    <w:rsid w:val="00A33C78"/>
    <w:rsid w:val="00A35E8B"/>
    <w:rsid w:val="00AB0ADB"/>
    <w:rsid w:val="00AC2154"/>
    <w:rsid w:val="00B01B1A"/>
    <w:rsid w:val="00B070CF"/>
    <w:rsid w:val="00B078EC"/>
    <w:rsid w:val="00B72CD3"/>
    <w:rsid w:val="00B72FFF"/>
    <w:rsid w:val="00BC3D36"/>
    <w:rsid w:val="00BD20D0"/>
    <w:rsid w:val="00BD7F72"/>
    <w:rsid w:val="00C04FB3"/>
    <w:rsid w:val="00C330EB"/>
    <w:rsid w:val="00C754BE"/>
    <w:rsid w:val="00C76B1C"/>
    <w:rsid w:val="00CB03B2"/>
    <w:rsid w:val="00CB6357"/>
    <w:rsid w:val="00CC1B26"/>
    <w:rsid w:val="00CD64FF"/>
    <w:rsid w:val="00D423A2"/>
    <w:rsid w:val="00D520D8"/>
    <w:rsid w:val="00D63AC2"/>
    <w:rsid w:val="00D649A0"/>
    <w:rsid w:val="00D7383B"/>
    <w:rsid w:val="00DA231B"/>
    <w:rsid w:val="00DA23A0"/>
    <w:rsid w:val="00DC39FC"/>
    <w:rsid w:val="00DE2A88"/>
    <w:rsid w:val="00DF5254"/>
    <w:rsid w:val="00DF538D"/>
    <w:rsid w:val="00E132BB"/>
    <w:rsid w:val="00E16408"/>
    <w:rsid w:val="00E20894"/>
    <w:rsid w:val="00E245AB"/>
    <w:rsid w:val="00E2764C"/>
    <w:rsid w:val="00E27F2E"/>
    <w:rsid w:val="00E413EA"/>
    <w:rsid w:val="00E50AFE"/>
    <w:rsid w:val="00E75C92"/>
    <w:rsid w:val="00E771DC"/>
    <w:rsid w:val="00E8772A"/>
    <w:rsid w:val="00E90F6B"/>
    <w:rsid w:val="00E92C27"/>
    <w:rsid w:val="00EA0E3D"/>
    <w:rsid w:val="00EB0D4D"/>
    <w:rsid w:val="00EC38A7"/>
    <w:rsid w:val="00EE1AA8"/>
    <w:rsid w:val="00F252F6"/>
    <w:rsid w:val="00F31EDC"/>
    <w:rsid w:val="00F462B3"/>
    <w:rsid w:val="00F5664F"/>
    <w:rsid w:val="00F666C4"/>
    <w:rsid w:val="00F76AFC"/>
    <w:rsid w:val="00F8578D"/>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60885"/>
    <w:rPr>
      <w:rFonts w:ascii="Geomanist Light" w:hAnsi="Geomanist Light"/>
      <w:lang w:val="es-ES"/>
    </w:rPr>
  </w:style>
  <w:style w:type="paragraph" w:styleId="Textoindependiente">
    <w:name w:val="Body Text"/>
    <w:basedOn w:val="Normal"/>
    <w:link w:val="TextoindependienteCar"/>
    <w:uiPriority w:val="1"/>
    <w:unhideWhenUsed/>
    <w:qFormat/>
    <w:rsid w:val="00660885"/>
    <w:pPr>
      <w:spacing w:after="120" w:line="240" w:lineRule="auto"/>
    </w:pPr>
    <w:rPr>
      <w:rFonts w:ascii="Times New Roman" w:eastAsia="Times New Roman" w:hAnsi="Times New Roman" w:cs="Times New Roman"/>
      <w:sz w:val="24"/>
      <w:szCs w:val="24"/>
      <w:lang w:eastAsia="es-CO"/>
      <w14:ligatures w14:val="standardContextual"/>
    </w:rPr>
  </w:style>
  <w:style w:type="character" w:customStyle="1" w:styleId="TextoindependienteCar">
    <w:name w:val="Texto independiente Car"/>
    <w:basedOn w:val="Fuentedeprrafopredeter"/>
    <w:link w:val="Textoindependiente"/>
    <w:uiPriority w:val="1"/>
    <w:rsid w:val="00660885"/>
    <w:rPr>
      <w:rFonts w:ascii="Times New Roman" w:eastAsia="Times New Roman" w:hAnsi="Times New Roman" w:cs="Times New Roman"/>
      <w:sz w:val="24"/>
      <w:szCs w:val="24"/>
      <w:lang w:eastAsia="es-CO"/>
      <w14:ligatures w14:val="standardContextual"/>
    </w:rPr>
  </w:style>
  <w:style w:type="table" w:customStyle="1" w:styleId="Tablaconcuadrcula1">
    <w:name w:val="Tabla con cuadrícula1"/>
    <w:basedOn w:val="Tablanormal"/>
    <w:next w:val="Tablaconcuadrcula"/>
    <w:uiPriority w:val="39"/>
    <w:qFormat/>
    <w:rsid w:val="00660885"/>
    <w:pPr>
      <w:spacing w:after="0" w:line="240" w:lineRule="auto"/>
    </w:pPr>
    <w:rPr>
      <w:rFonts w:eastAsia="Times New Roman"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files_2020%2Fboletin_de_realtoria_iii.pdf&amp;data=05%7C02%7Cjose.garcia%40colombiacompra.gov.co%7C5aad36a736844ec87b2108dcc1fa4639%7C7b09041e245149d08cb179d5e3d8c1be%7C0%7C0%7C638598527919586336%7CUnknown%7CTWFpbGZsb3d8eyJWIjoiMC4wLjAwMDAiLCJQIjoiV2luMzIiLCJBTiI6Ik1haWwiLCJXVCI6Mn0%3D%7C0%7C%7C%7C&amp;sdata=3OWqvX2vNeq0sJlIbcVLjxHBJmXZsckuX8h9xNnXvRQ%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echeverry@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convocatorias&amp;data=05%7C02%7Cjose.garcia%40colombiacompra.gov.co%7C5aad36a736844ec87b2108dcc1fa4639%7C7b09041e245149d08cb179d5e3d8c1be%7C0%7C0%7C638598527919601958%7CUnknown%7CTWFpbGZsb3d8eyJWIjoiMC4wLjAwMDAiLCJQIjoiV2luMzIiLCJBTiI6Ik1haWwiLCJXVCI6Mn0%3D%7C0%7C%7C%7C&amp;sdata=4xNNmjXVrn1b4lp%2FsmoDY7vqjg1pT00Z2lkIbUY6uwE%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sucop.gov.co%2Fentidades%2Fcolombiacompra%2FNormativa%3FIDNorma%3D17363&amp;data=05%7C02%7Cjose.garcia%40colombiacompra.gov.co%7C5aad36a736844ec87b2108dcc1fa4639%7C7b09041e245149d08cb179d5e3d8c1be%7C0%7C0%7C638598527919594874%7CUnknown%7CTWFpbGZsb3d8eyJWIjoiMC4wLjAwMDAiLCJQIjoiV2luMzIiLCJBTiI6Ik1haWwiLCJXVCI6Mn0%3D%7C0%7C%7C%7C&amp;sdata=krqmE8%2FpYqPCPNeHY4Zy3Kwu7RqL9pAwK1dRj5ceqss%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http://purl.org/dc/dcmitype/"/>
    <ds:schemaRef ds:uri="http://schemas.microsoft.com/office/2006/metadata/properties"/>
    <ds:schemaRef ds:uri="8ae15d26-076e-464e-81a7-6f76a0fb3917"/>
    <ds:schemaRef ds:uri="http://schemas.openxmlformats.org/package/2006/metadata/core-properties"/>
    <ds:schemaRef ds:uri="http://purl.org/dc/elements/1.1/"/>
    <ds:schemaRef ds:uri="36c82cfe-0eda-494d-b392-a9281b89aaf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3324A0E-1A24-41A8-AC1A-CDF5BDB1F41E}"/>
</file>

<file path=docProps/app.xml><?xml version="1.0" encoding="utf-8"?>
<Properties xmlns="http://schemas.openxmlformats.org/officeDocument/2006/extended-properties" xmlns:vt="http://schemas.openxmlformats.org/officeDocument/2006/docPropsVTypes">
  <Template>Normal</Template>
  <TotalTime>10</TotalTime>
  <Pages>14</Pages>
  <Words>4955</Words>
  <Characters>27253</Characters>
  <Application>Microsoft Office Word</Application>
  <DocSecurity>0</DocSecurity>
  <Lines>227</Lines>
  <Paragraphs>64</Paragraphs>
  <ScaleCrop>false</ScaleCrop>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9</cp:revision>
  <cp:lastPrinted>2023-01-10T21:18:00Z</cp:lastPrinted>
  <dcterms:created xsi:type="dcterms:W3CDTF">2024-09-03T17:30:00Z</dcterms:created>
  <dcterms:modified xsi:type="dcterms:W3CDTF">2024-09-06T13:59:00Z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