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0B34D" w14:textId="164004B1" w:rsidR="00E26368" w:rsidRDefault="00CE40F7" w:rsidP="00E26368">
      <w:pPr>
        <w:spacing w:before="120" w:after="0" w:line="276" w:lineRule="auto"/>
        <w:jc w:val="both"/>
        <w:textAlignment w:val="baseline"/>
        <w:rPr>
          <w:rFonts w:ascii="Verdana" w:hAnsi="Verdana"/>
          <w:b/>
          <w:bCs/>
        </w:rPr>
      </w:pPr>
      <w:r w:rsidRPr="00E26368">
        <w:rPr>
          <w:rFonts w:ascii="Verdana" w:hAnsi="Verdana"/>
          <w:b/>
          <w:bCs/>
        </w:rPr>
        <w:t xml:space="preserve">CESIÓN DEL CONTRATO ESTATAL – Noción  </w:t>
      </w:r>
    </w:p>
    <w:p w14:paraId="029BB705" w14:textId="77777777" w:rsidR="009E433F" w:rsidRPr="00E26368" w:rsidRDefault="009E433F" w:rsidP="00E26368">
      <w:pPr>
        <w:spacing w:before="120" w:after="0" w:line="276" w:lineRule="auto"/>
        <w:jc w:val="both"/>
        <w:textAlignment w:val="baseline"/>
        <w:rPr>
          <w:rFonts w:ascii="Verdana" w:hAnsi="Verdana"/>
          <w:b/>
          <w:bCs/>
        </w:rPr>
      </w:pPr>
    </w:p>
    <w:p w14:paraId="1AADA266" w14:textId="77777777" w:rsidR="00CE40F7" w:rsidRPr="00E26368" w:rsidRDefault="00CE40F7" w:rsidP="00CE40F7">
      <w:pPr>
        <w:spacing w:after="20" w:line="276" w:lineRule="auto"/>
        <w:jc w:val="both"/>
        <w:rPr>
          <w:rFonts w:ascii="Verdana" w:eastAsia="Calibri" w:hAnsi="Verdana" w:cs="Arial"/>
          <w:color w:val="000000" w:themeColor="text1"/>
          <w:sz w:val="20"/>
          <w:szCs w:val="20"/>
          <w:lang w:val="es-ES"/>
        </w:rPr>
      </w:pPr>
      <w:r w:rsidRPr="00E26368">
        <w:rPr>
          <w:rFonts w:ascii="Verdana" w:eastAsia="Calibri" w:hAnsi="Verdana" w:cs="Arial"/>
          <w:color w:val="000000" w:themeColor="text1"/>
          <w:sz w:val="20"/>
          <w:szCs w:val="20"/>
          <w:lang w:val="es-ES"/>
        </w:rPr>
        <w:t xml:space="preserve">La cesión de la posición contractual puede entenderse como un acto y como un efecto. Por un lado, “(…) es el contrato con el cual el cedente, parte de otro contrato ya en curso con otro sujeto (cedido), transfiere la relativa posición contractual (en sus componentes activos y pasivos) al cesionario, el cual le encuentra en la relación con el cedido (…)”. Por otro, “(…) es la transferencia de la posición contractual de un contratante a otro sujeto, que le encuentra en la relación con la contraparte (…)”. De esta manera, concurren tres (3) sujetos: i) el cedente, esto es, el contratista inicial; </w:t>
      </w:r>
      <w:proofErr w:type="spellStart"/>
      <w:r w:rsidRPr="00E26368">
        <w:rPr>
          <w:rFonts w:ascii="Verdana" w:eastAsia="Calibri" w:hAnsi="Verdana" w:cs="Arial"/>
          <w:color w:val="000000" w:themeColor="text1"/>
          <w:sz w:val="20"/>
          <w:szCs w:val="20"/>
          <w:lang w:val="es-ES"/>
        </w:rPr>
        <w:t>ii</w:t>
      </w:r>
      <w:proofErr w:type="spellEnd"/>
      <w:r w:rsidRPr="00E26368">
        <w:rPr>
          <w:rFonts w:ascii="Verdana" w:eastAsia="Calibri" w:hAnsi="Verdana" w:cs="Arial"/>
          <w:color w:val="000000" w:themeColor="text1"/>
          <w:sz w:val="20"/>
          <w:szCs w:val="20"/>
          <w:lang w:val="es-ES"/>
        </w:rPr>
        <w:t xml:space="preserve">) el cesionario, es decir, quien asume total o parcialmente los derechos y obligaciones de este último; y </w:t>
      </w:r>
      <w:proofErr w:type="spellStart"/>
      <w:r w:rsidRPr="00E26368">
        <w:rPr>
          <w:rFonts w:ascii="Verdana" w:eastAsia="Calibri" w:hAnsi="Verdana" w:cs="Arial"/>
          <w:color w:val="000000" w:themeColor="text1"/>
          <w:sz w:val="20"/>
          <w:szCs w:val="20"/>
          <w:lang w:val="es-ES"/>
        </w:rPr>
        <w:t>iii</w:t>
      </w:r>
      <w:proofErr w:type="spellEnd"/>
      <w:r w:rsidRPr="00E26368">
        <w:rPr>
          <w:rFonts w:ascii="Verdana" w:eastAsia="Calibri" w:hAnsi="Verdana" w:cs="Arial"/>
          <w:color w:val="000000" w:themeColor="text1"/>
          <w:sz w:val="20"/>
          <w:szCs w:val="20"/>
          <w:lang w:val="es-ES"/>
        </w:rPr>
        <w:t>) el cedido que, en el caso de los contratos estatales, sería la entidad suscribiente. 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w:t>
      </w:r>
    </w:p>
    <w:p w14:paraId="63B775B3" w14:textId="77777777" w:rsidR="00CE40F7" w:rsidRPr="00E26368" w:rsidRDefault="00CE40F7" w:rsidP="001673A9">
      <w:pPr>
        <w:spacing w:after="20"/>
        <w:jc w:val="both"/>
        <w:rPr>
          <w:rFonts w:ascii="Verdana" w:hAnsi="Verdana"/>
          <w:lang w:val="es-ES"/>
        </w:rPr>
      </w:pPr>
    </w:p>
    <w:p w14:paraId="5F3E2404" w14:textId="5F7D23FB" w:rsidR="001673A9" w:rsidRPr="00E26368" w:rsidRDefault="00CE40F7" w:rsidP="001673A9">
      <w:pPr>
        <w:spacing w:after="20"/>
        <w:jc w:val="both"/>
        <w:rPr>
          <w:rFonts w:ascii="Verdana" w:eastAsia="Calibri" w:hAnsi="Verdana" w:cs="Arial"/>
          <w:b/>
          <w:bCs/>
          <w:lang w:val="es-ES" w:eastAsia="es-ES"/>
        </w:rPr>
      </w:pPr>
      <w:r w:rsidRPr="00E26368">
        <w:rPr>
          <w:rFonts w:ascii="Verdana" w:eastAsia="Calibri" w:hAnsi="Verdana" w:cs="Arial"/>
          <w:b/>
          <w:bCs/>
          <w:lang w:val="es-ES" w:eastAsia="es-ES"/>
        </w:rPr>
        <w:t>C</w:t>
      </w:r>
      <w:r w:rsidR="001673A9" w:rsidRPr="00E26368">
        <w:rPr>
          <w:rFonts w:ascii="Verdana" w:eastAsia="Calibri" w:hAnsi="Verdana" w:cs="Arial"/>
          <w:b/>
          <w:bCs/>
          <w:lang w:val="es-ES" w:eastAsia="es-ES"/>
        </w:rPr>
        <w:t>ESIÓN DEL CONTRATO ESTATAL – Requisitos – Restricciones</w:t>
      </w:r>
    </w:p>
    <w:p w14:paraId="60EDFB9D" w14:textId="77777777" w:rsidR="00E26368" w:rsidRPr="00E26368" w:rsidRDefault="00E26368" w:rsidP="001673A9">
      <w:pPr>
        <w:spacing w:after="20"/>
        <w:jc w:val="both"/>
        <w:rPr>
          <w:rFonts w:ascii="Verdana" w:eastAsia="Calibri" w:hAnsi="Verdana" w:cs="Arial"/>
          <w:b/>
          <w:bCs/>
          <w:lang w:val="es-ES" w:eastAsia="es-ES"/>
        </w:rPr>
      </w:pPr>
    </w:p>
    <w:p w14:paraId="6DF88771" w14:textId="77777777" w:rsidR="001673A9" w:rsidRPr="00E26368" w:rsidRDefault="001673A9" w:rsidP="001673A9">
      <w:pPr>
        <w:jc w:val="both"/>
        <w:rPr>
          <w:rFonts w:ascii="Verdana" w:eastAsia="Calibri" w:hAnsi="Verdana" w:cs="Arial"/>
          <w:color w:val="000000" w:themeColor="text1"/>
          <w:sz w:val="20"/>
          <w:szCs w:val="20"/>
          <w:lang w:val="es-ES"/>
        </w:rPr>
      </w:pPr>
      <w:r w:rsidRPr="00E26368">
        <w:rPr>
          <w:rFonts w:ascii="Verdana" w:eastAsia="Calibri" w:hAnsi="Verdana" w:cs="Arial"/>
          <w:color w:val="000000" w:themeColor="text1"/>
          <w:sz w:val="20"/>
          <w:szCs w:val="20"/>
          <w:lang w:val="es-ES"/>
        </w:rPr>
        <w:t xml:space="preserve">Por lo demás, el Consejo de Estado ha precisado como requisitos de la cesión del contrato estatal los siguientes: i) debe recaer en un tercero; </w:t>
      </w:r>
      <w:proofErr w:type="spellStart"/>
      <w:r w:rsidRPr="00E26368">
        <w:rPr>
          <w:rFonts w:ascii="Verdana" w:eastAsia="Calibri" w:hAnsi="Verdana" w:cs="Arial"/>
          <w:color w:val="000000" w:themeColor="text1"/>
          <w:sz w:val="20"/>
          <w:szCs w:val="20"/>
          <w:lang w:val="es-ES"/>
        </w:rPr>
        <w:t>ii</w:t>
      </w:r>
      <w:proofErr w:type="spellEnd"/>
      <w:r w:rsidRPr="00E26368">
        <w:rPr>
          <w:rFonts w:ascii="Verdana" w:eastAsia="Calibri" w:hAnsi="Verdana" w:cs="Arial"/>
          <w:color w:val="000000" w:themeColor="text1"/>
          <w:sz w:val="20"/>
          <w:szCs w:val="20"/>
          <w:lang w:val="es-ES"/>
        </w:rPr>
        <w:t xml:space="preserve">) el cesionario debe tener capacidad jurídica para continuar con la ejecución del objeto contractual y no estar incurso en causales de inhabilidad e incompatibilidad para contratar; y </w:t>
      </w:r>
      <w:proofErr w:type="spellStart"/>
      <w:r w:rsidRPr="00E26368">
        <w:rPr>
          <w:rFonts w:ascii="Verdana" w:eastAsia="Calibri" w:hAnsi="Verdana" w:cs="Arial"/>
          <w:color w:val="000000" w:themeColor="text1"/>
          <w:sz w:val="20"/>
          <w:szCs w:val="20"/>
          <w:lang w:val="es-ES"/>
        </w:rPr>
        <w:t>iii</w:t>
      </w:r>
      <w:proofErr w:type="spellEnd"/>
      <w:r w:rsidRPr="00E26368">
        <w:rPr>
          <w:rFonts w:ascii="Verdana" w:eastAsia="Calibri" w:hAnsi="Verdana" w:cs="Arial"/>
          <w:color w:val="000000" w:themeColor="text1"/>
          <w:sz w:val="20"/>
          <w:szCs w:val="20"/>
          <w:lang w:val="es-ES"/>
        </w:rPr>
        <w:t>) el cesionario debe contar con capacidad técnica, económica y financiera suficientes para el cumplimiento de las obligaciones emanadas del contrato cedido.</w:t>
      </w:r>
    </w:p>
    <w:p w14:paraId="1135E04C" w14:textId="77777777" w:rsidR="00764CC7" w:rsidRPr="00E26368" w:rsidRDefault="00764CC7" w:rsidP="007F021B">
      <w:pPr>
        <w:spacing w:before="100" w:beforeAutospacing="1" w:after="0" w:afterAutospacing="1" w:line="240" w:lineRule="auto"/>
        <w:jc w:val="both"/>
        <w:textAlignment w:val="baseline"/>
        <w:rPr>
          <w:rFonts w:ascii="Verdana" w:eastAsia="Times New Roman" w:hAnsi="Verdana" w:cs="Arial"/>
          <w:lang w:eastAsia="es-MX"/>
        </w:rPr>
      </w:pPr>
    </w:p>
    <w:p w14:paraId="6F4C1FA5" w14:textId="77777777" w:rsidR="00764CC7" w:rsidRPr="00E26368" w:rsidRDefault="00764CC7" w:rsidP="007F021B">
      <w:pPr>
        <w:spacing w:before="100" w:beforeAutospacing="1" w:after="0" w:afterAutospacing="1" w:line="240" w:lineRule="auto"/>
        <w:jc w:val="both"/>
        <w:textAlignment w:val="baseline"/>
        <w:rPr>
          <w:rFonts w:ascii="Verdana" w:eastAsia="Times New Roman" w:hAnsi="Verdana" w:cs="Arial"/>
          <w:lang w:eastAsia="es-MX"/>
        </w:rPr>
      </w:pPr>
    </w:p>
    <w:p w14:paraId="75EE2C83" w14:textId="77777777" w:rsidR="00872CAC" w:rsidRPr="00E26368" w:rsidRDefault="00872CAC" w:rsidP="00E4617A">
      <w:pPr>
        <w:spacing w:before="100" w:beforeAutospacing="1" w:after="0" w:afterAutospacing="1" w:line="240" w:lineRule="auto"/>
        <w:jc w:val="both"/>
        <w:textAlignment w:val="baseline"/>
        <w:rPr>
          <w:rFonts w:ascii="Verdana" w:eastAsia="Times New Roman" w:hAnsi="Verdana" w:cs="Arial"/>
          <w:lang w:eastAsia="es-MX"/>
        </w:rPr>
      </w:pPr>
    </w:p>
    <w:p w14:paraId="59B22164" w14:textId="77777777" w:rsidR="00EB1F43" w:rsidRPr="00E26368" w:rsidRDefault="00EB1F43" w:rsidP="00E4617A">
      <w:pPr>
        <w:spacing w:before="100" w:beforeAutospacing="1" w:after="0" w:afterAutospacing="1" w:line="240" w:lineRule="auto"/>
        <w:jc w:val="both"/>
        <w:textAlignment w:val="baseline"/>
        <w:rPr>
          <w:rFonts w:ascii="Verdana" w:eastAsia="Times New Roman" w:hAnsi="Verdana" w:cs="Arial"/>
          <w:lang w:eastAsia="es-MX"/>
        </w:rPr>
      </w:pPr>
    </w:p>
    <w:p w14:paraId="28433B38" w14:textId="77777777" w:rsidR="00EB1F43" w:rsidRPr="00E26368" w:rsidRDefault="00EB1F43" w:rsidP="00E4617A">
      <w:pPr>
        <w:spacing w:before="100" w:beforeAutospacing="1" w:after="0" w:afterAutospacing="1" w:line="240" w:lineRule="auto"/>
        <w:jc w:val="both"/>
        <w:textAlignment w:val="baseline"/>
        <w:rPr>
          <w:rFonts w:ascii="Verdana" w:eastAsia="Times New Roman" w:hAnsi="Verdana" w:cs="Arial"/>
          <w:lang w:eastAsia="es-MX"/>
        </w:rPr>
      </w:pPr>
    </w:p>
    <w:p w14:paraId="19E94544" w14:textId="77777777" w:rsidR="00E4617A" w:rsidRPr="00E26368" w:rsidRDefault="00E4617A" w:rsidP="00E4617A">
      <w:pPr>
        <w:spacing w:before="100" w:beforeAutospacing="1" w:after="0" w:afterAutospacing="1" w:line="240" w:lineRule="auto"/>
        <w:jc w:val="both"/>
        <w:textAlignment w:val="baseline"/>
        <w:rPr>
          <w:rFonts w:ascii="Verdana" w:eastAsia="Times New Roman" w:hAnsi="Verdana" w:cs="Arial"/>
          <w:lang w:eastAsia="es-MX"/>
        </w:rPr>
      </w:pPr>
    </w:p>
    <w:p w14:paraId="0F7FB748" w14:textId="77777777" w:rsidR="00597B7B" w:rsidRDefault="00597B7B" w:rsidP="00E4617A">
      <w:pPr>
        <w:spacing w:before="100" w:beforeAutospacing="1" w:after="0" w:afterAutospacing="1" w:line="240" w:lineRule="auto"/>
        <w:jc w:val="both"/>
        <w:textAlignment w:val="baseline"/>
        <w:rPr>
          <w:rFonts w:ascii="Verdana" w:eastAsia="Times New Roman" w:hAnsi="Verdana" w:cs="Arial"/>
          <w:lang w:eastAsia="es-MX"/>
        </w:rPr>
      </w:pPr>
    </w:p>
    <w:p w14:paraId="445A2F65" w14:textId="426306C6" w:rsidR="00FA41B9" w:rsidRDefault="00DD3EEB" w:rsidP="00FA41B9">
      <w:pPr>
        <w:spacing w:after="0" w:line="240" w:lineRule="auto"/>
        <w:jc w:val="both"/>
        <w:rPr>
          <w:rFonts w:ascii="Verdana" w:eastAsia="Calibri" w:hAnsi="Verdana" w:cs="Arial"/>
          <w:color w:val="000000"/>
          <w:lang w:val="es-ES"/>
        </w:rPr>
      </w:pPr>
      <w:r w:rsidRPr="00DD3EEB">
        <w:rPr>
          <w:rFonts w:ascii="Verdana" w:eastAsia="Geomanist Light" w:hAnsi="Verdana" w:cs="Arial"/>
          <w:color w:val="000000" w:themeColor="text1"/>
          <w:lang w:val="es-MX"/>
        </w:rPr>
        <w:t>Bogotá D.C., 29 de Agosto de 2024</w:t>
      </w:r>
    </w:p>
    <w:p w14:paraId="52D91047" w14:textId="4A362BCD" w:rsidR="00FA41B9" w:rsidRPr="00E26368" w:rsidRDefault="00FA41B9" w:rsidP="00FA41B9">
      <w:pPr>
        <w:spacing w:after="0" w:line="240" w:lineRule="auto"/>
        <w:jc w:val="both"/>
        <w:rPr>
          <w:rFonts w:ascii="Verdana" w:eastAsia="Calibri" w:hAnsi="Verdana" w:cs="Arial"/>
          <w:color w:val="000000"/>
          <w:lang w:val="es-ES"/>
        </w:rPr>
      </w:pPr>
    </w:p>
    <w:p w14:paraId="6C5264C8" w14:textId="4C66729F" w:rsidR="00FA41B9" w:rsidRPr="00E26368" w:rsidRDefault="00FA41B9" w:rsidP="00FA41B9">
      <w:pPr>
        <w:spacing w:after="0" w:line="240" w:lineRule="auto"/>
        <w:jc w:val="both"/>
        <w:rPr>
          <w:rFonts w:ascii="Verdana" w:eastAsia="Calibri" w:hAnsi="Verdana" w:cs="Arial"/>
          <w:lang w:val="es-ES" w:eastAsia="es-ES"/>
        </w:rPr>
      </w:pPr>
      <w:r w:rsidRPr="00E26368">
        <w:rPr>
          <w:rFonts w:ascii="Verdana" w:eastAsia="Calibri" w:hAnsi="Verdana" w:cs="Arial"/>
          <w:lang w:val="es-ES" w:eastAsia="es-ES"/>
        </w:rPr>
        <w:t>Señor:</w:t>
      </w:r>
    </w:p>
    <w:p w14:paraId="2FF14990" w14:textId="5CDAFCC1" w:rsidR="00FA41B9" w:rsidRPr="00E26368" w:rsidRDefault="00FA41B9" w:rsidP="00FA41B9">
      <w:pPr>
        <w:spacing w:after="0" w:line="240" w:lineRule="auto"/>
        <w:rPr>
          <w:rFonts w:ascii="Verdana" w:eastAsia="Calibri" w:hAnsi="Verdana" w:cs="Arial"/>
          <w:b/>
          <w:bCs/>
          <w:lang w:val="es-ES" w:eastAsia="es-ES"/>
        </w:rPr>
      </w:pPr>
      <w:r w:rsidRPr="00E26368">
        <w:rPr>
          <w:rFonts w:ascii="Verdana" w:eastAsia="Calibri" w:hAnsi="Verdana" w:cs="Arial"/>
          <w:b/>
          <w:bCs/>
          <w:lang w:val="es-ES" w:eastAsia="es-ES"/>
        </w:rPr>
        <w:t xml:space="preserve">Esequiel Vega </w:t>
      </w:r>
      <w:proofErr w:type="spellStart"/>
      <w:r w:rsidRPr="00E26368">
        <w:rPr>
          <w:rFonts w:ascii="Verdana" w:eastAsia="Calibri" w:hAnsi="Verdana" w:cs="Arial"/>
          <w:b/>
          <w:bCs/>
          <w:lang w:val="es-ES" w:eastAsia="es-ES"/>
        </w:rPr>
        <w:t>Achagua</w:t>
      </w:r>
      <w:proofErr w:type="spellEnd"/>
    </w:p>
    <w:p w14:paraId="569FEB5C" w14:textId="1F193062" w:rsidR="00FA41B9" w:rsidRPr="00E26368" w:rsidRDefault="00000000" w:rsidP="00FA41B9">
      <w:pPr>
        <w:spacing w:after="0" w:line="240" w:lineRule="auto"/>
        <w:rPr>
          <w:rFonts w:ascii="Verdana" w:eastAsia="Calibri" w:hAnsi="Verdana" w:cs="Arial"/>
          <w:lang w:val="es-ES" w:eastAsia="es-ES"/>
        </w:rPr>
      </w:pPr>
      <w:hyperlink r:id="rId11" w:history="1">
        <w:r w:rsidR="00FA41B9" w:rsidRPr="00E26368">
          <w:rPr>
            <w:rStyle w:val="Hipervnculo"/>
            <w:rFonts w:ascii="Verdana" w:eastAsia="Calibri" w:hAnsi="Verdana" w:cs="Arial"/>
            <w:lang w:val="es-ES" w:eastAsia="es-ES"/>
          </w:rPr>
          <w:t>vega9008@hotmail.com</w:t>
        </w:r>
      </w:hyperlink>
    </w:p>
    <w:p w14:paraId="6367DE46" w14:textId="44B71BE7" w:rsidR="00FA41B9" w:rsidRPr="00D63306" w:rsidRDefault="00D63306" w:rsidP="00FA41B9">
      <w:pPr>
        <w:spacing w:after="0" w:line="240" w:lineRule="auto"/>
        <w:rPr>
          <w:rFonts w:ascii="Verdana" w:eastAsia="Calibri" w:hAnsi="Verdana" w:cs="Arial"/>
          <w:lang w:val="es-ES" w:eastAsia="es-ES"/>
        </w:rPr>
      </w:pPr>
      <w:r w:rsidRPr="00D63306">
        <w:rPr>
          <w:rFonts w:ascii="Verdana" w:eastAsia="Calibri" w:hAnsi="Verdana" w:cs="Arial"/>
          <w:b/>
          <w:bCs/>
          <w:color w:val="000000"/>
          <w:lang w:val="es-ES_tradnl" w:eastAsia="es-ES_tradnl"/>
        </w:rPr>
        <w:drawing>
          <wp:anchor distT="0" distB="0" distL="114300" distR="114300" simplePos="0" relativeHeight="251658240" behindDoc="0" locked="0" layoutInCell="1" allowOverlap="1" wp14:anchorId="7988F1D3" wp14:editId="0E7D0EFC">
            <wp:simplePos x="0" y="0"/>
            <wp:positionH relativeFrom="column">
              <wp:posOffset>2665730</wp:posOffset>
            </wp:positionH>
            <wp:positionV relativeFrom="paragraph">
              <wp:posOffset>259080</wp:posOffset>
            </wp:positionV>
            <wp:extent cx="2322195" cy="670560"/>
            <wp:effectExtent l="0" t="0" r="1905" b="0"/>
            <wp:wrapTopAndBottom/>
            <wp:docPr id="1539815635"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15635" name="Imagen 1" descr="Texto"/>
                    <pic:cNvPicPr/>
                  </pic:nvPicPr>
                  <pic:blipFill>
                    <a:blip r:embed="rId12">
                      <a:extLst>
                        <a:ext uri="{28A0092B-C50C-407E-A947-70E740481C1C}">
                          <a14:useLocalDpi xmlns:a14="http://schemas.microsoft.com/office/drawing/2010/main" val="0"/>
                        </a:ext>
                      </a:extLst>
                    </a:blip>
                    <a:stretch>
                      <a:fillRect/>
                    </a:stretch>
                  </pic:blipFill>
                  <pic:spPr>
                    <a:xfrm>
                      <a:off x="0" y="0"/>
                      <a:ext cx="2322195" cy="670560"/>
                    </a:xfrm>
                    <a:prstGeom prst="rect">
                      <a:avLst/>
                    </a:prstGeom>
                  </pic:spPr>
                </pic:pic>
              </a:graphicData>
            </a:graphic>
            <wp14:sizeRelH relativeFrom="margin">
              <wp14:pctWidth>0</wp14:pctWidth>
            </wp14:sizeRelH>
            <wp14:sizeRelV relativeFrom="margin">
              <wp14:pctHeight>0</wp14:pctHeight>
            </wp14:sizeRelV>
          </wp:anchor>
        </w:drawing>
      </w:r>
      <w:r w:rsidR="00FA41B9" w:rsidRPr="00E26368">
        <w:rPr>
          <w:rFonts w:ascii="Verdana" w:eastAsia="Calibri" w:hAnsi="Verdana" w:cs="Arial"/>
          <w:lang w:val="es-ES" w:eastAsia="es-ES"/>
        </w:rPr>
        <w:t>Yopal - Casanare</w:t>
      </w:r>
    </w:p>
    <w:p w14:paraId="22C7042A" w14:textId="77777777" w:rsidR="00FA41B9" w:rsidRPr="00E26368" w:rsidRDefault="00FA41B9" w:rsidP="00FA41B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A41B9" w:rsidRPr="00E26368" w14:paraId="2539E89B" w14:textId="77777777" w:rsidTr="00367512">
        <w:trPr>
          <w:trHeight w:val="884"/>
        </w:trPr>
        <w:tc>
          <w:tcPr>
            <w:tcW w:w="2689" w:type="dxa"/>
          </w:tcPr>
          <w:p w14:paraId="47F785D7" w14:textId="77777777" w:rsidR="00FA41B9" w:rsidRPr="00E26368" w:rsidRDefault="00FA41B9" w:rsidP="00367512">
            <w:pPr>
              <w:jc w:val="both"/>
              <w:rPr>
                <w:rFonts w:ascii="Verdana" w:eastAsia="Calibri" w:hAnsi="Verdana" w:cs="Arial"/>
                <w:b/>
                <w:bCs/>
                <w:color w:val="7030A0"/>
                <w:lang w:val="es-ES_tradnl" w:eastAsia="es-ES_tradnl"/>
              </w:rPr>
            </w:pPr>
          </w:p>
        </w:tc>
        <w:tc>
          <w:tcPr>
            <w:tcW w:w="6100" w:type="dxa"/>
            <w:hideMark/>
          </w:tcPr>
          <w:p w14:paraId="7DD666FD" w14:textId="77777777" w:rsidR="00FA41B9" w:rsidRPr="00E26368" w:rsidRDefault="00FA41B9" w:rsidP="00367512">
            <w:pPr>
              <w:jc w:val="both"/>
              <w:rPr>
                <w:rFonts w:ascii="Verdana" w:eastAsia="Calibri" w:hAnsi="Verdana" w:cs="Arial"/>
                <w:b/>
                <w:bCs/>
                <w:color w:val="7030A0"/>
                <w:lang w:val="es-ES" w:eastAsia="es-ES"/>
              </w:rPr>
            </w:pPr>
            <w:r w:rsidRPr="00E26368">
              <w:rPr>
                <w:rFonts w:ascii="Verdana" w:eastAsia="Calibri" w:hAnsi="Verdana" w:cs="Arial"/>
                <w:b/>
                <w:bCs/>
                <w:lang w:val="es-ES" w:eastAsia="es-ES"/>
              </w:rPr>
              <w:t>Concepto C- 366 de 2024</w:t>
            </w:r>
          </w:p>
        </w:tc>
      </w:tr>
      <w:tr w:rsidR="00FA41B9" w:rsidRPr="00E26368" w14:paraId="0B57E233" w14:textId="77777777" w:rsidTr="00367512">
        <w:trPr>
          <w:trHeight w:val="884"/>
        </w:trPr>
        <w:tc>
          <w:tcPr>
            <w:tcW w:w="2689" w:type="dxa"/>
            <w:hideMark/>
          </w:tcPr>
          <w:p w14:paraId="399D3CFA" w14:textId="77777777" w:rsidR="00FA41B9" w:rsidRPr="00E26368" w:rsidRDefault="00FA41B9" w:rsidP="00367512">
            <w:pPr>
              <w:jc w:val="both"/>
              <w:rPr>
                <w:rFonts w:ascii="Verdana" w:eastAsia="Calibri" w:hAnsi="Verdana" w:cs="Arial"/>
                <w:lang w:val="es-ES_tradnl" w:eastAsia="es-ES_tradnl"/>
              </w:rPr>
            </w:pPr>
            <w:r w:rsidRPr="00E26368">
              <w:rPr>
                <w:rFonts w:ascii="Verdana" w:eastAsia="Calibri" w:hAnsi="Verdana" w:cs="Arial"/>
                <w:b/>
                <w:lang w:val="es-ES_tradnl" w:eastAsia="es-ES_tradnl"/>
              </w:rPr>
              <w:t>Temas:</w:t>
            </w:r>
            <w:r w:rsidRPr="00E26368">
              <w:rPr>
                <w:rFonts w:ascii="Verdana" w:eastAsia="Calibri" w:hAnsi="Verdana" w:cs="Arial"/>
                <w:lang w:val="es-ES_tradnl" w:eastAsia="es-ES_tradnl"/>
              </w:rPr>
              <w:t xml:space="preserve">                   </w:t>
            </w:r>
          </w:p>
        </w:tc>
        <w:tc>
          <w:tcPr>
            <w:tcW w:w="6100" w:type="dxa"/>
          </w:tcPr>
          <w:p w14:paraId="60392546" w14:textId="77777777" w:rsidR="00FA41B9" w:rsidRPr="00E26368" w:rsidRDefault="00FA41B9" w:rsidP="00FA41B9">
            <w:pPr>
              <w:pStyle w:val="Prrafodelista"/>
              <w:numPr>
                <w:ilvl w:val="0"/>
                <w:numId w:val="16"/>
              </w:numPr>
              <w:spacing w:line="276" w:lineRule="auto"/>
              <w:ind w:left="0"/>
              <w:jc w:val="both"/>
              <w:rPr>
                <w:rFonts w:ascii="Verdana" w:eastAsia="Calibri" w:hAnsi="Verdana" w:cs="Arial"/>
                <w:lang w:eastAsia="es-ES"/>
              </w:rPr>
            </w:pPr>
            <w:r w:rsidRPr="00E26368">
              <w:rPr>
                <w:rFonts w:ascii="Verdana" w:eastAsia="Calibri" w:hAnsi="Verdana" w:cs="Arial"/>
                <w:lang w:eastAsia="es-ES"/>
              </w:rPr>
              <w:t>CESIÓN DEL CONTRATO ESTATAL – Noción/</w:t>
            </w:r>
            <w:r w:rsidRPr="00E26368">
              <w:rPr>
                <w:rFonts w:ascii="Verdana" w:hAnsi="Verdana"/>
              </w:rPr>
              <w:t xml:space="preserve"> </w:t>
            </w:r>
            <w:r w:rsidRPr="00E26368">
              <w:rPr>
                <w:rFonts w:ascii="Verdana" w:eastAsia="Calibri" w:hAnsi="Verdana" w:cs="Arial"/>
                <w:lang w:eastAsia="es-ES"/>
              </w:rPr>
              <w:t>CESIÓN DEL CONTRATO ESTATAL – Requisitos – Restricciones</w:t>
            </w:r>
          </w:p>
        </w:tc>
      </w:tr>
      <w:tr w:rsidR="00FA41B9" w:rsidRPr="00E26368" w14:paraId="655D731A" w14:textId="77777777" w:rsidTr="00367512">
        <w:tc>
          <w:tcPr>
            <w:tcW w:w="2689" w:type="dxa"/>
            <w:hideMark/>
          </w:tcPr>
          <w:p w14:paraId="458D63FE" w14:textId="77777777" w:rsidR="00FA41B9" w:rsidRPr="00E26368" w:rsidRDefault="00FA41B9" w:rsidP="00367512">
            <w:pPr>
              <w:jc w:val="both"/>
              <w:rPr>
                <w:rFonts w:ascii="Verdana" w:eastAsia="Calibri" w:hAnsi="Verdana" w:cs="Arial"/>
                <w:b/>
                <w:color w:val="7030A0"/>
                <w:lang w:val="es-ES_tradnl" w:eastAsia="es-ES_tradnl"/>
              </w:rPr>
            </w:pPr>
            <w:r w:rsidRPr="00E26368">
              <w:rPr>
                <w:rFonts w:ascii="Verdana" w:eastAsia="Calibri" w:hAnsi="Verdana" w:cs="Arial"/>
                <w:b/>
                <w:lang w:val="es-ES_tradnl" w:eastAsia="es-ES_tradnl"/>
              </w:rPr>
              <w:t>Radicación:</w:t>
            </w:r>
            <w:r w:rsidRPr="00E26368">
              <w:rPr>
                <w:rFonts w:ascii="Verdana" w:eastAsia="Calibri" w:hAnsi="Verdana" w:cs="Arial"/>
                <w:lang w:val="es-ES_tradnl" w:eastAsia="es-ES_tradnl"/>
              </w:rPr>
              <w:t xml:space="preserve">               </w:t>
            </w:r>
          </w:p>
        </w:tc>
        <w:tc>
          <w:tcPr>
            <w:tcW w:w="6100" w:type="dxa"/>
            <w:hideMark/>
          </w:tcPr>
          <w:p w14:paraId="5C41DA38" w14:textId="77777777" w:rsidR="00FA41B9" w:rsidRPr="00E26368" w:rsidRDefault="00FA41B9" w:rsidP="00367512">
            <w:pPr>
              <w:jc w:val="both"/>
              <w:rPr>
                <w:rFonts w:ascii="Verdana" w:eastAsia="Calibri" w:hAnsi="Verdana" w:cs="Arial"/>
                <w:color w:val="7030A0"/>
                <w:lang w:val="es-ES_tradnl" w:eastAsia="es-ES_tradnl"/>
              </w:rPr>
            </w:pPr>
            <w:r w:rsidRPr="00E26368">
              <w:rPr>
                <w:rFonts w:ascii="Verdana" w:eastAsia="Calibri" w:hAnsi="Verdana" w:cs="Arial"/>
                <w:lang w:val="es-ES_tradnl" w:eastAsia="es-ES_tradnl"/>
              </w:rPr>
              <w:t>Respuesta a consulta con radicado No. P20240719007412</w:t>
            </w:r>
          </w:p>
        </w:tc>
      </w:tr>
    </w:tbl>
    <w:p w14:paraId="4D15A7B4" w14:textId="77777777" w:rsidR="00FA41B9" w:rsidRPr="00E26368" w:rsidRDefault="00FA41B9" w:rsidP="00FA41B9">
      <w:pPr>
        <w:spacing w:after="0" w:line="240" w:lineRule="auto"/>
        <w:jc w:val="both"/>
        <w:rPr>
          <w:rFonts w:ascii="Verdana" w:eastAsia="Calibri" w:hAnsi="Verdana" w:cs="Arial"/>
          <w:color w:val="000000"/>
          <w:lang w:val="es-ES_tradnl" w:eastAsia="es-ES_tradnl"/>
        </w:rPr>
      </w:pPr>
    </w:p>
    <w:p w14:paraId="52CF7683" w14:textId="77777777" w:rsidR="00FA41B9" w:rsidRPr="00E26368" w:rsidRDefault="00FA41B9" w:rsidP="00FA41B9">
      <w:pPr>
        <w:spacing w:after="0" w:line="240" w:lineRule="auto"/>
        <w:jc w:val="both"/>
        <w:rPr>
          <w:rFonts w:ascii="Verdana" w:eastAsia="Calibri" w:hAnsi="Verdana" w:cs="Arial"/>
          <w:color w:val="000000"/>
          <w:lang w:val="es-ES_tradnl" w:eastAsia="es-ES_tradnl"/>
        </w:rPr>
      </w:pPr>
    </w:p>
    <w:p w14:paraId="7C025C6C" w14:textId="77777777" w:rsidR="00FA41B9" w:rsidRPr="00E26368" w:rsidRDefault="00FA41B9" w:rsidP="00FA41B9">
      <w:pPr>
        <w:spacing w:after="0" w:line="276" w:lineRule="auto"/>
        <w:jc w:val="both"/>
        <w:rPr>
          <w:rFonts w:ascii="Verdana" w:eastAsia="Calibri" w:hAnsi="Verdana" w:cs="Arial"/>
          <w:color w:val="000000" w:themeColor="text1"/>
          <w:lang w:val="es-ES" w:eastAsia="es-ES"/>
        </w:rPr>
      </w:pPr>
      <w:r w:rsidRPr="00E26368">
        <w:rPr>
          <w:rFonts w:ascii="Verdana" w:eastAsia="Calibri" w:hAnsi="Verdana" w:cs="Arial"/>
          <w:color w:val="000000" w:themeColor="text1"/>
          <w:lang w:val="es-ES" w:eastAsia="es-ES"/>
        </w:rPr>
        <w:t xml:space="preserve">Estimada señor </w:t>
      </w:r>
      <w:r>
        <w:rPr>
          <w:rFonts w:ascii="Verdana" w:eastAsia="Calibri" w:hAnsi="Verdana" w:cs="Arial"/>
          <w:color w:val="000000" w:themeColor="text1"/>
          <w:lang w:val="es-ES" w:eastAsia="es-ES"/>
        </w:rPr>
        <w:t>Vega</w:t>
      </w:r>
      <w:r w:rsidRPr="00E26368">
        <w:rPr>
          <w:rFonts w:ascii="Verdana" w:eastAsia="Calibri" w:hAnsi="Verdana" w:cs="Arial"/>
          <w:color w:val="000000" w:themeColor="text1"/>
          <w:lang w:val="es-ES" w:eastAsia="es-ES"/>
        </w:rPr>
        <w:t xml:space="preserve">:  </w:t>
      </w:r>
    </w:p>
    <w:p w14:paraId="01A09D77" w14:textId="77777777" w:rsidR="00FA41B9" w:rsidRPr="00E26368" w:rsidRDefault="00FA41B9" w:rsidP="00FA41B9">
      <w:pPr>
        <w:tabs>
          <w:tab w:val="left" w:pos="3768"/>
        </w:tabs>
        <w:spacing w:after="0" w:line="276" w:lineRule="auto"/>
        <w:jc w:val="both"/>
        <w:rPr>
          <w:rFonts w:ascii="Verdana" w:eastAsia="Calibri" w:hAnsi="Verdana" w:cs="Arial"/>
          <w:color w:val="000000" w:themeColor="text1"/>
          <w:lang w:val="es-ES" w:eastAsia="es-ES"/>
        </w:rPr>
      </w:pPr>
      <w:r w:rsidRPr="00E26368">
        <w:rPr>
          <w:rFonts w:ascii="Verdana" w:eastAsia="Calibri" w:hAnsi="Verdana" w:cs="Arial"/>
          <w:color w:val="000000" w:themeColor="text1"/>
          <w:lang w:val="es-ES" w:eastAsia="es-ES"/>
        </w:rPr>
        <w:tab/>
      </w:r>
    </w:p>
    <w:p w14:paraId="09C58605" w14:textId="77777777" w:rsidR="00FA41B9" w:rsidRPr="00E26368" w:rsidRDefault="00FA41B9" w:rsidP="00FA41B9">
      <w:pPr>
        <w:spacing w:after="0" w:line="276" w:lineRule="auto"/>
        <w:jc w:val="both"/>
        <w:rPr>
          <w:rFonts w:ascii="Verdana" w:eastAsia="Calibri" w:hAnsi="Verdana" w:cs="Arial"/>
          <w:color w:val="7030A0"/>
          <w:lang w:val="es-ES" w:eastAsia="es-ES"/>
        </w:rPr>
      </w:pPr>
      <w:r w:rsidRPr="00E26368">
        <w:rPr>
          <w:rFonts w:ascii="Verdana" w:eastAsia="Calibri" w:hAnsi="Verdana" w:cs="Arial"/>
          <w:color w:val="000000" w:themeColor="text1"/>
          <w:lang w:val="es-ES" w:eastAsia="es-ES"/>
        </w:rPr>
        <w:t>En ejercicio de la competencia otorgada por los artículos 3, numeral 5º, y 11, numeral 8º, del Decreto Ley 4170 de 2011,</w:t>
      </w:r>
      <w:r w:rsidRPr="00E26368">
        <w:rPr>
          <w:rFonts w:ascii="Verdana" w:eastAsia="Arial MT" w:hAnsi="Verdana" w:cs="Arial MT"/>
          <w:lang w:val="es-ES" w:eastAsia="es-ES"/>
        </w:rPr>
        <w:t xml:space="preserve"> </w:t>
      </w:r>
      <w:r w:rsidRPr="00E26368">
        <w:rPr>
          <w:rFonts w:ascii="Verdana" w:hAnsi="Verdana" w:cs="Arial"/>
        </w:rPr>
        <w:t xml:space="preserve">así como lo establecido en el artículo 4 de la Resolución 1707 de 2018 expedida por esta Entidad, </w:t>
      </w:r>
      <w:r w:rsidRPr="00E26368">
        <w:rPr>
          <w:rFonts w:ascii="Verdana" w:eastAsia="Calibri" w:hAnsi="Verdana" w:cs="Arial"/>
          <w:color w:val="000000" w:themeColor="text1"/>
          <w:lang w:val="es-ES" w:eastAsia="es-ES"/>
        </w:rPr>
        <w:t xml:space="preserve">la Agencia Nacional </w:t>
      </w:r>
      <w:r w:rsidRPr="00E26368">
        <w:rPr>
          <w:rFonts w:ascii="Verdana" w:eastAsia="Calibri" w:hAnsi="Verdana" w:cs="Arial"/>
          <w:lang w:val="es-ES" w:eastAsia="es-ES"/>
        </w:rPr>
        <w:t xml:space="preserve">de Contratación Pública – Colombia Compra Eficiente– responde su solicitud de consulta de fecha 19 de julio de 2024, en la cual manifiesta lo siguiente: </w:t>
      </w:r>
    </w:p>
    <w:p w14:paraId="79B33299" w14:textId="77777777" w:rsidR="00FA41B9" w:rsidRPr="00E26368" w:rsidRDefault="00FA41B9" w:rsidP="00FA41B9">
      <w:pPr>
        <w:spacing w:after="0" w:line="240" w:lineRule="auto"/>
        <w:ind w:left="426" w:right="709"/>
        <w:jc w:val="both"/>
        <w:rPr>
          <w:rFonts w:ascii="Verdana" w:eastAsia="Century Gothic" w:hAnsi="Verdana" w:cs="Century Gothic"/>
          <w:i/>
          <w:iCs/>
        </w:rPr>
      </w:pPr>
      <w:bookmarkStart w:id="0" w:name="_Hlk95313578"/>
    </w:p>
    <w:p w14:paraId="6AA9198B" w14:textId="77777777" w:rsidR="00FA41B9" w:rsidRPr="00E26368" w:rsidRDefault="00FA41B9" w:rsidP="00FA41B9">
      <w:pPr>
        <w:spacing w:after="0" w:line="240" w:lineRule="auto"/>
        <w:ind w:left="426" w:right="709"/>
        <w:jc w:val="both"/>
        <w:rPr>
          <w:rFonts w:ascii="Verdana" w:hAnsi="Verdana" w:cs="Arial"/>
          <w:i/>
          <w:iCs/>
          <w:sz w:val="20"/>
          <w:szCs w:val="20"/>
          <w:shd w:val="clear" w:color="auto" w:fill="FFFFFF"/>
          <w:lang w:val="es-ES"/>
        </w:rPr>
      </w:pPr>
      <w:r w:rsidRPr="00E26368">
        <w:rPr>
          <w:rFonts w:ascii="Verdana" w:eastAsia="Century Gothic" w:hAnsi="Verdana" w:cs="Century Gothic"/>
          <w:i/>
          <w:iCs/>
          <w:sz w:val="20"/>
          <w:szCs w:val="20"/>
        </w:rPr>
        <w:t>“</w:t>
      </w:r>
      <w:r w:rsidRPr="00E26368">
        <w:rPr>
          <w:rStyle w:val="normaltextrun"/>
          <w:rFonts w:ascii="Verdana" w:hAnsi="Verdana" w:cs="Arial"/>
          <w:i/>
          <w:iCs/>
          <w:sz w:val="20"/>
          <w:szCs w:val="20"/>
          <w:shd w:val="clear" w:color="auto" w:fill="FFFFFF"/>
          <w:lang w:val="es-ES"/>
        </w:rPr>
        <w:t xml:space="preserve">[…]¿pero es necesario que </w:t>
      </w:r>
      <w:proofErr w:type="spellStart"/>
      <w:r w:rsidRPr="00E26368">
        <w:rPr>
          <w:rStyle w:val="normaltextrun"/>
          <w:rFonts w:ascii="Verdana" w:hAnsi="Verdana" w:cs="Arial"/>
          <w:i/>
          <w:iCs/>
          <w:sz w:val="20"/>
          <w:szCs w:val="20"/>
          <w:shd w:val="clear" w:color="auto" w:fill="FFFFFF"/>
          <w:lang w:val="es-ES"/>
        </w:rPr>
        <w:t>tambien</w:t>
      </w:r>
      <w:proofErr w:type="spellEnd"/>
      <w:r w:rsidRPr="00E26368">
        <w:rPr>
          <w:rStyle w:val="normaltextrun"/>
          <w:rFonts w:ascii="Verdana" w:hAnsi="Verdana" w:cs="Arial"/>
          <w:i/>
          <w:iCs/>
          <w:sz w:val="20"/>
          <w:szCs w:val="20"/>
          <w:shd w:val="clear" w:color="auto" w:fill="FFFFFF"/>
          <w:lang w:val="es-ES"/>
        </w:rPr>
        <w:t xml:space="preserve"> cumpla con los requisitos ponderables del pliego?, ¿es necesario que la experiencia aportada del cesionario sea antes de la fecha de cierre del proceso o se puede acreditar con experiencia general con fecha posterior al cierre pero que </w:t>
      </w:r>
      <w:proofErr w:type="spellStart"/>
      <w:r w:rsidRPr="00E26368">
        <w:rPr>
          <w:rStyle w:val="normaltextrun"/>
          <w:rFonts w:ascii="Verdana" w:hAnsi="Verdana" w:cs="Arial"/>
          <w:i/>
          <w:iCs/>
          <w:sz w:val="20"/>
          <w:szCs w:val="20"/>
          <w:shd w:val="clear" w:color="auto" w:fill="FFFFFF"/>
          <w:lang w:val="es-ES"/>
        </w:rPr>
        <w:t>esta</w:t>
      </w:r>
      <w:proofErr w:type="spellEnd"/>
      <w:r w:rsidRPr="00E26368">
        <w:rPr>
          <w:rStyle w:val="normaltextrun"/>
          <w:rFonts w:ascii="Verdana" w:hAnsi="Verdana" w:cs="Arial"/>
          <w:i/>
          <w:iCs/>
          <w:sz w:val="20"/>
          <w:szCs w:val="20"/>
          <w:shd w:val="clear" w:color="auto" w:fill="FFFFFF"/>
          <w:lang w:val="es-ES"/>
        </w:rPr>
        <w:t xml:space="preserve"> terminada y liquidada al momento de la </w:t>
      </w:r>
      <w:proofErr w:type="spellStart"/>
      <w:r w:rsidRPr="00E26368">
        <w:rPr>
          <w:rStyle w:val="normaltextrun"/>
          <w:rFonts w:ascii="Verdana" w:hAnsi="Verdana" w:cs="Arial"/>
          <w:i/>
          <w:iCs/>
          <w:sz w:val="20"/>
          <w:szCs w:val="20"/>
          <w:shd w:val="clear" w:color="auto" w:fill="FFFFFF"/>
          <w:lang w:val="es-ES"/>
        </w:rPr>
        <w:t>cesion</w:t>
      </w:r>
      <w:proofErr w:type="spellEnd"/>
      <w:r w:rsidRPr="00E26368">
        <w:rPr>
          <w:rStyle w:val="normaltextrun"/>
          <w:rFonts w:ascii="Verdana" w:hAnsi="Verdana" w:cs="Arial"/>
          <w:i/>
          <w:iCs/>
          <w:sz w:val="20"/>
          <w:szCs w:val="20"/>
          <w:shd w:val="clear" w:color="auto" w:fill="FFFFFF"/>
          <w:lang w:val="es-ES"/>
        </w:rPr>
        <w:t>?</w:t>
      </w:r>
      <w:r w:rsidRPr="00E26368">
        <w:rPr>
          <w:rFonts w:ascii="Verdana" w:eastAsia="Century Gothic" w:hAnsi="Verdana" w:cs="Century Gothic"/>
          <w:i/>
          <w:iCs/>
          <w:sz w:val="20"/>
          <w:szCs w:val="20"/>
          <w:lang w:val="es-ES"/>
        </w:rPr>
        <w:t>”</w:t>
      </w:r>
      <w:bookmarkEnd w:id="0"/>
      <w:r w:rsidRPr="00E26368">
        <w:rPr>
          <w:rFonts w:ascii="Verdana" w:eastAsia="Century Gothic" w:hAnsi="Verdana" w:cs="Century Gothic"/>
          <w:i/>
          <w:iCs/>
          <w:sz w:val="20"/>
          <w:szCs w:val="20"/>
          <w:lang w:val="es-ES"/>
        </w:rPr>
        <w:t>.</w:t>
      </w:r>
    </w:p>
    <w:p w14:paraId="7445D8C3" w14:textId="77777777" w:rsidR="00FA41B9" w:rsidRPr="00E26368" w:rsidRDefault="00FA41B9" w:rsidP="00FA41B9">
      <w:pPr>
        <w:spacing w:after="120" w:line="276" w:lineRule="auto"/>
        <w:jc w:val="both"/>
        <w:rPr>
          <w:rFonts w:ascii="Verdana" w:eastAsia="Calibri" w:hAnsi="Verdana" w:cs="Arial"/>
          <w:color w:val="000000"/>
          <w:lang w:val="es-ES" w:eastAsia="es-ES"/>
        </w:rPr>
      </w:pPr>
    </w:p>
    <w:p w14:paraId="3699A6ED" w14:textId="77777777" w:rsidR="00FA41B9" w:rsidRPr="00E26368" w:rsidRDefault="00FA41B9" w:rsidP="00FA41B9">
      <w:pPr>
        <w:spacing w:after="120" w:line="276" w:lineRule="auto"/>
        <w:ind w:firstLine="426"/>
        <w:jc w:val="both"/>
        <w:rPr>
          <w:rFonts w:ascii="Verdana" w:eastAsia="Calibri" w:hAnsi="Verdana" w:cs="Arial"/>
          <w:lang w:val="es-ES_tradnl" w:eastAsia="es-ES_tradnl"/>
        </w:rPr>
      </w:pPr>
      <w:r w:rsidRPr="00E26368">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E26368">
        <w:rPr>
          <w:rFonts w:ascii="Verdana" w:eastAsia="Calibri" w:hAnsi="Verdana" w:cs="Arial"/>
          <w:lang w:val="es-ES" w:eastAsia="es-ES"/>
        </w:rPr>
        <w:t xml:space="preserve">interpretación de normas generales, por definición, no puede extenderse a la resolución de controversias, ni a brindar asesorías sobre casos puntuales. </w:t>
      </w:r>
      <w:r w:rsidRPr="00E26368">
        <w:rPr>
          <w:rFonts w:ascii="Verdana" w:eastAsia="Calibri" w:hAnsi="Verdana" w:cs="Arial"/>
          <w:lang w:val="es-ES_tradnl" w:eastAsia="es-ES_tradnl"/>
        </w:rPr>
        <w:tab/>
      </w:r>
    </w:p>
    <w:p w14:paraId="3FA5B621" w14:textId="77777777" w:rsidR="00FA41B9" w:rsidRPr="00E26368" w:rsidRDefault="00FA41B9" w:rsidP="00FA41B9">
      <w:pPr>
        <w:spacing w:after="0" w:line="276" w:lineRule="auto"/>
        <w:ind w:firstLine="426"/>
        <w:jc w:val="both"/>
        <w:rPr>
          <w:rFonts w:ascii="Verdana" w:eastAsia="Calibri" w:hAnsi="Verdana" w:cs="Arial"/>
          <w:lang w:val="es-ES" w:eastAsia="es-ES"/>
        </w:rPr>
      </w:pPr>
      <w:r w:rsidRPr="00E2636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5348D645" w14:textId="77777777" w:rsidR="00FA41B9" w:rsidRPr="00E26368" w:rsidRDefault="00FA41B9" w:rsidP="00FA41B9">
      <w:pPr>
        <w:spacing w:after="0" w:line="276" w:lineRule="auto"/>
        <w:ind w:firstLine="426"/>
        <w:jc w:val="both"/>
        <w:rPr>
          <w:rFonts w:ascii="Verdana" w:eastAsia="Calibri" w:hAnsi="Verdana" w:cs="Arial"/>
          <w:lang w:val="es-ES" w:eastAsia="es-ES"/>
        </w:rPr>
      </w:pPr>
    </w:p>
    <w:p w14:paraId="2C50FD71" w14:textId="77777777" w:rsidR="00FA41B9" w:rsidRPr="00E26368" w:rsidRDefault="00FA41B9" w:rsidP="00FA41B9">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Problema planteado:</w:t>
      </w:r>
    </w:p>
    <w:p w14:paraId="3A17B2DD" w14:textId="77777777" w:rsidR="00FA41B9" w:rsidRPr="00E26368" w:rsidRDefault="00FA41B9" w:rsidP="00FA41B9">
      <w:pPr>
        <w:pStyle w:val="Prrafodelista"/>
        <w:tabs>
          <w:tab w:val="left" w:pos="142"/>
          <w:tab w:val="left" w:pos="284"/>
        </w:tabs>
        <w:spacing w:after="0" w:line="276" w:lineRule="auto"/>
        <w:ind w:left="0"/>
        <w:jc w:val="both"/>
        <w:rPr>
          <w:rFonts w:ascii="Verdana" w:eastAsia="Century Gothic" w:hAnsi="Verdana" w:cs="Century Gothic"/>
          <w:b/>
          <w:bCs/>
        </w:rPr>
      </w:pPr>
    </w:p>
    <w:p w14:paraId="3A35A7D2" w14:textId="77777777" w:rsidR="00FA41B9" w:rsidRPr="00102577" w:rsidRDefault="00FA41B9" w:rsidP="00FA41B9">
      <w:pPr>
        <w:spacing w:after="0" w:line="276" w:lineRule="auto"/>
        <w:jc w:val="both"/>
        <w:rPr>
          <w:rFonts w:ascii="Verdana" w:eastAsia="Century Gothic" w:hAnsi="Verdana" w:cs="Century Gothic"/>
        </w:rPr>
      </w:pPr>
      <w:r w:rsidRPr="00E26368">
        <w:rPr>
          <w:rFonts w:ascii="Verdana" w:eastAsia="Century Gothic" w:hAnsi="Verdana" w:cs="Century Gothic"/>
        </w:rPr>
        <w:t>De acuerdo con el contenido de su solicitud, esta Agencia resolverá el siguiente problema jurídico:</w:t>
      </w:r>
      <w:r>
        <w:rPr>
          <w:rFonts w:ascii="Verdana" w:eastAsia="Century Gothic" w:hAnsi="Verdana" w:cs="Century Gothic"/>
        </w:rPr>
        <w:t xml:space="preserve"> </w:t>
      </w:r>
      <w:r w:rsidRPr="00E26368">
        <w:rPr>
          <w:rFonts w:ascii="Verdana" w:hAnsi="Verdana"/>
        </w:rPr>
        <w:t>¿Cuáles son los requisitos para la cesión de un contrato de obra?</w:t>
      </w:r>
    </w:p>
    <w:p w14:paraId="3773ED78" w14:textId="77777777" w:rsidR="00FA41B9" w:rsidRPr="00E26368" w:rsidRDefault="00FA41B9" w:rsidP="00FA41B9">
      <w:pPr>
        <w:spacing w:after="0" w:line="360" w:lineRule="auto"/>
        <w:jc w:val="both"/>
        <w:rPr>
          <w:rFonts w:ascii="Verdana" w:hAnsi="Verdana"/>
        </w:rPr>
      </w:pPr>
    </w:p>
    <w:p w14:paraId="7569E7B0" w14:textId="77777777" w:rsidR="00FA41B9" w:rsidRPr="00E26368" w:rsidRDefault="00FA41B9" w:rsidP="00FA41B9">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Respuesta:</w:t>
      </w:r>
    </w:p>
    <w:p w14:paraId="7AEA35A2" w14:textId="77777777" w:rsidR="00FA41B9" w:rsidRPr="00E26368" w:rsidRDefault="00FA41B9" w:rsidP="00FA41B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A41B9" w:rsidRPr="00E26368" w14:paraId="2A5FDD95" w14:textId="77777777" w:rsidTr="00367512">
        <w:tc>
          <w:tcPr>
            <w:tcW w:w="8828" w:type="dxa"/>
            <w:tcBorders>
              <w:top w:val="dotted" w:sz="4" w:space="0" w:color="auto"/>
              <w:left w:val="dotted" w:sz="4" w:space="0" w:color="auto"/>
              <w:bottom w:val="dotted" w:sz="4" w:space="0" w:color="auto"/>
              <w:right w:val="dotted" w:sz="4" w:space="0" w:color="auto"/>
            </w:tcBorders>
          </w:tcPr>
          <w:p w14:paraId="06187ADF" w14:textId="77777777" w:rsidR="00FA41B9" w:rsidRDefault="00FA41B9" w:rsidP="00367512">
            <w:pPr>
              <w:spacing w:after="120" w:line="276" w:lineRule="auto"/>
              <w:jc w:val="both"/>
              <w:rPr>
                <w:rFonts w:ascii="Verdana" w:eastAsia="Calibri" w:hAnsi="Verdana" w:cs="Arial"/>
                <w:color w:val="000000" w:themeColor="text1"/>
              </w:rPr>
            </w:pPr>
            <w:r>
              <w:rPr>
                <w:rFonts w:ascii="Verdana" w:eastAsia="Calibri" w:hAnsi="Verdana" w:cs="Arial"/>
                <w:color w:val="000000" w:themeColor="text1"/>
              </w:rPr>
              <w:t xml:space="preserve">Al respecto, el contrato estatal es intuito </w:t>
            </w:r>
            <w:proofErr w:type="spellStart"/>
            <w:r>
              <w:rPr>
                <w:rFonts w:ascii="Verdana" w:eastAsia="Calibri" w:hAnsi="Verdana" w:cs="Arial"/>
                <w:color w:val="000000" w:themeColor="text1"/>
              </w:rPr>
              <w:t>personae</w:t>
            </w:r>
            <w:proofErr w:type="spellEnd"/>
            <w:r>
              <w:rPr>
                <w:rFonts w:ascii="Verdana" w:eastAsia="Calibri" w:hAnsi="Verdana" w:cs="Arial"/>
                <w:color w:val="000000" w:themeColor="text1"/>
              </w:rPr>
              <w:t xml:space="preserve"> </w:t>
            </w:r>
            <w:r w:rsidRPr="00E26368">
              <w:rPr>
                <w:rFonts w:ascii="Verdana" w:eastAsia="Calibri" w:hAnsi="Verdana" w:cs="Arial"/>
                <w:color w:val="000000" w:themeColor="text1"/>
              </w:rPr>
              <w:t>y, en consecuencia, una vez celebrados no podrán cederse sin previa autorización escrita de la entidad contratante</w:t>
            </w:r>
            <w:r>
              <w:rPr>
                <w:rFonts w:ascii="Verdana" w:eastAsia="Calibri" w:hAnsi="Verdana" w:cs="Arial"/>
                <w:color w:val="000000" w:themeColor="text1"/>
              </w:rPr>
              <w:t>, tal y como lo prescribe el artículo 41 de la Ley 80 de 1993; es  decir, la cesión del contrato es permitida siempre que medie autorización escrita de la entidad contratante.</w:t>
            </w:r>
            <w:r w:rsidRPr="00576612">
              <w:rPr>
                <w:rFonts w:ascii="Verdana" w:eastAsia="Calibri" w:hAnsi="Verdana" w:cs="Arial"/>
                <w:color w:val="000000" w:themeColor="text1"/>
              </w:rPr>
              <w:t xml:space="preserve"> </w:t>
            </w:r>
          </w:p>
          <w:p w14:paraId="742E6997" w14:textId="77777777" w:rsidR="00FA41B9" w:rsidRDefault="00FA41B9" w:rsidP="00367512">
            <w:pPr>
              <w:spacing w:after="120" w:line="276" w:lineRule="auto"/>
              <w:jc w:val="both"/>
              <w:rPr>
                <w:rFonts w:ascii="Verdana" w:eastAsia="Calibri" w:hAnsi="Verdana" w:cs="Arial"/>
                <w:color w:val="000000" w:themeColor="text1"/>
              </w:rPr>
            </w:pPr>
            <w:r>
              <w:rPr>
                <w:rFonts w:ascii="Verdana" w:eastAsia="Calibri" w:hAnsi="Verdana" w:cs="Arial"/>
                <w:color w:val="000000" w:themeColor="text1"/>
              </w:rPr>
              <w:lastRenderedPageBreak/>
              <w:t xml:space="preserve">Téngase presente que la norma de forma taxativa no contempla requisitos para la cesión del contrato, salvo lo previamente citado,  no obstante lo anterior, el cesionario deberá acreditar ante la Entidad Contratante  el cumplimiento de los requisitos establecidos en los documentos precontractuales y contractuales del proceso de contratación,  a fin de garantizar la capacidad financiera, jurídica y técnica para ejecutar el contrato, </w:t>
            </w:r>
            <w:r w:rsidRPr="00576612">
              <w:rPr>
                <w:rFonts w:ascii="Verdana" w:eastAsia="Calibri" w:hAnsi="Verdana" w:cs="Arial"/>
                <w:color w:val="000000" w:themeColor="text1"/>
              </w:rPr>
              <w:t>respet</w:t>
            </w:r>
            <w:r>
              <w:rPr>
                <w:rFonts w:ascii="Verdana" w:eastAsia="Calibri" w:hAnsi="Verdana" w:cs="Arial"/>
                <w:color w:val="000000" w:themeColor="text1"/>
              </w:rPr>
              <w:t xml:space="preserve">ando </w:t>
            </w:r>
            <w:r w:rsidRPr="00576612">
              <w:rPr>
                <w:rFonts w:ascii="Verdana" w:eastAsia="Calibri" w:hAnsi="Verdana" w:cs="Arial"/>
                <w:color w:val="000000" w:themeColor="text1"/>
              </w:rPr>
              <w:t xml:space="preserve">los criterios normativos que resulten aplicables al proceso de contratación, entre otros, los principios de transparencia, selección objetiva e igualdad, a fin de evitar la afectación del erario público por aprobar una cesión sin el cumplimiento de los requisitos de idoneidad del cesionario. </w:t>
            </w:r>
          </w:p>
          <w:p w14:paraId="3395C8FB" w14:textId="77777777" w:rsidR="00FA41B9" w:rsidRPr="0081625E" w:rsidRDefault="00FA41B9" w:rsidP="00367512">
            <w:pPr>
              <w:spacing w:after="120" w:line="276" w:lineRule="auto"/>
              <w:ind w:firstLine="709"/>
              <w:jc w:val="both"/>
              <w:rPr>
                <w:rFonts w:ascii="Verdana" w:eastAsia="Calibri" w:hAnsi="Verdana" w:cs="Arial"/>
                <w:lang w:eastAsia="es-ES_tradnl"/>
              </w:rPr>
            </w:pPr>
            <w:r>
              <w:rPr>
                <w:rFonts w:ascii="Verdana" w:eastAsia="Calibri" w:hAnsi="Verdana" w:cs="Arial"/>
                <w:szCs w:val="24"/>
                <w:lang w:val="es-ES" w:eastAsia="es-ES_tradnl"/>
              </w:rPr>
              <w:t>Ahora bien, cuando se trate de un contrato de obra en donde exista pliego tipo, teniendo en cuenta que el</w:t>
            </w:r>
            <w:r w:rsidRPr="00334A9C">
              <w:rPr>
                <w:rFonts w:ascii="Verdana" w:eastAsia="Calibri" w:hAnsi="Verdana" w:cs="Arial"/>
                <w:lang w:eastAsia="es-ES_tradnl"/>
              </w:rPr>
              <w:t xml:space="preserve"> artículo 2.2.1.2.6.1.4. del Decreto 1082 de 2015 </w:t>
            </w:r>
            <w:r>
              <w:rPr>
                <w:rFonts w:ascii="Verdana" w:eastAsia="Calibri" w:hAnsi="Verdana" w:cs="Arial"/>
                <w:lang w:eastAsia="es-ES_tradnl"/>
              </w:rPr>
              <w:t xml:space="preserve"> que </w:t>
            </w:r>
            <w:r w:rsidRPr="00334A9C">
              <w:rPr>
                <w:rFonts w:ascii="Verdana" w:eastAsia="Calibri" w:hAnsi="Verdana" w:cs="Arial"/>
                <w:lang w:eastAsia="es-ES_tradnl"/>
              </w:rPr>
              <w:t xml:space="preserve">establece la inalterabilidad </w:t>
            </w:r>
            <w:r>
              <w:rPr>
                <w:rFonts w:ascii="Verdana" w:eastAsia="Calibri" w:hAnsi="Verdana" w:cs="Arial"/>
                <w:lang w:eastAsia="es-ES_tradnl"/>
              </w:rPr>
              <w:t xml:space="preserve"> de estos y en virtud </w:t>
            </w:r>
            <w:proofErr w:type="spellStart"/>
            <w:r>
              <w:rPr>
                <w:rFonts w:ascii="Verdana" w:eastAsia="Calibri" w:hAnsi="Verdana" w:cs="Arial"/>
                <w:lang w:eastAsia="es-ES_tradnl"/>
              </w:rPr>
              <w:t>de</w:t>
            </w:r>
            <w:r w:rsidRPr="00334A9C">
              <w:rPr>
                <w:rFonts w:ascii="Verdana" w:eastAsia="Calibri" w:hAnsi="Verdana" w:cs="Arial"/>
                <w:lang w:eastAsia="es-ES_tradnl"/>
              </w:rPr>
              <w:t xml:space="preserve"> </w:t>
            </w:r>
            <w:r>
              <w:rPr>
                <w:rFonts w:ascii="Verdana" w:eastAsia="Calibri" w:hAnsi="Verdana" w:cs="Arial"/>
                <w:lang w:eastAsia="es-ES_tradnl"/>
              </w:rPr>
              <w:t>el</w:t>
            </w:r>
            <w:proofErr w:type="spellEnd"/>
            <w:r>
              <w:rPr>
                <w:rFonts w:ascii="Verdana" w:eastAsia="Calibri" w:hAnsi="Verdana" w:cs="Arial"/>
                <w:lang w:eastAsia="es-ES_tradnl"/>
              </w:rPr>
              <w:t xml:space="preserve"> </w:t>
            </w:r>
            <w:r w:rsidRPr="00334A9C">
              <w:rPr>
                <w:rFonts w:ascii="Verdana" w:eastAsia="Calibri" w:hAnsi="Verdana" w:cs="Arial"/>
                <w:lang w:eastAsia="es-ES_tradnl"/>
              </w:rPr>
              <w:t xml:space="preserve">mandato establecido en el artículo 4 de la Ley 1882 de 2018, </w:t>
            </w:r>
            <w:r>
              <w:rPr>
                <w:rFonts w:ascii="Verdana" w:eastAsia="Calibri" w:hAnsi="Verdana" w:cs="Arial"/>
                <w:lang w:eastAsia="es-ES_tradnl"/>
              </w:rPr>
              <w:t xml:space="preserve">en donde le asiste a las entidades  </w:t>
            </w:r>
            <w:r w:rsidRPr="00FA1CA6">
              <w:rPr>
                <w:rFonts w:ascii="Verdana" w:eastAsia="Calibri" w:hAnsi="Verdana" w:cs="Arial"/>
                <w:u w:val="single"/>
                <w:lang w:eastAsia="es-ES_tradnl"/>
              </w:rPr>
              <w:t>sometidas al Estatuto General de Contratación de la Administración Pública</w:t>
            </w:r>
            <w:r w:rsidRPr="00FA1CA6">
              <w:rPr>
                <w:rFonts w:ascii="Verdana" w:eastAsia="Calibri" w:hAnsi="Verdana" w:cs="Arial"/>
                <w:lang w:eastAsia="es-ES_tradnl"/>
              </w:rPr>
              <w:t xml:space="preserve">, </w:t>
            </w:r>
            <w:r>
              <w:rPr>
                <w:rFonts w:ascii="Verdana" w:eastAsia="Calibri" w:hAnsi="Verdana" w:cs="Arial"/>
                <w:lang w:eastAsia="es-ES_tradnl"/>
              </w:rPr>
              <w:t xml:space="preserve">dar aplicación a </w:t>
            </w:r>
            <w:r w:rsidRPr="00FA1CA6">
              <w:rPr>
                <w:rFonts w:ascii="Verdana" w:eastAsia="Calibri" w:hAnsi="Verdana" w:cs="Arial"/>
                <w:lang w:eastAsia="es-ES_tradnl"/>
              </w:rPr>
              <w:t>las condiciones habilitantes, así como los factores técnicos y económicos de escogencia, según corresponda a cada modalidad de selección y la ponderación precisa y detallada de los mismos</w:t>
            </w:r>
            <w:r>
              <w:rPr>
                <w:rFonts w:ascii="Verdana" w:eastAsia="Calibri" w:hAnsi="Verdana" w:cs="Arial"/>
                <w:lang w:eastAsia="es-ES_tradnl"/>
              </w:rPr>
              <w:t>, le corresponderá a la Entidad Pública verificar que el cesionario cumpla con los requisitos exigidos en el pliego tipo.</w:t>
            </w:r>
          </w:p>
          <w:p w14:paraId="144C1A3B" w14:textId="77777777" w:rsidR="00FA41B9" w:rsidRDefault="00FA41B9" w:rsidP="00367512">
            <w:pPr>
              <w:spacing w:after="120" w:line="276" w:lineRule="auto"/>
              <w:ind w:firstLine="709"/>
              <w:jc w:val="both"/>
              <w:rPr>
                <w:rFonts w:ascii="Verdana" w:eastAsia="Calibri" w:hAnsi="Verdana" w:cs="Arial"/>
                <w:color w:val="000000" w:themeColor="text1"/>
              </w:rPr>
            </w:pPr>
            <w:proofErr w:type="spellStart"/>
            <w:r>
              <w:rPr>
                <w:rFonts w:ascii="Verdana" w:eastAsia="Calibri" w:hAnsi="Verdana" w:cs="Arial"/>
                <w:szCs w:val="24"/>
                <w:lang w:val="es-ES" w:eastAsia="es-ES_tradnl"/>
              </w:rPr>
              <w:t>Asi</w:t>
            </w:r>
            <w:proofErr w:type="spellEnd"/>
            <w:r>
              <w:rPr>
                <w:rFonts w:ascii="Verdana" w:eastAsia="Calibri" w:hAnsi="Verdana" w:cs="Arial"/>
                <w:szCs w:val="24"/>
                <w:lang w:val="es-ES" w:eastAsia="es-ES_tradnl"/>
              </w:rPr>
              <w:t xml:space="preserve"> mimo, el </w:t>
            </w:r>
            <w:r w:rsidRPr="00E26368">
              <w:rPr>
                <w:rFonts w:ascii="Verdana" w:eastAsia="Calibri" w:hAnsi="Verdana" w:cs="Arial"/>
                <w:szCs w:val="24"/>
                <w:lang w:val="es-ES" w:eastAsia="es-ES_tradnl"/>
              </w:rPr>
              <w:t xml:space="preserve">Consejo de Estado señaló requisitos adicionales como: </w:t>
            </w:r>
            <w:r w:rsidRPr="00E26368">
              <w:rPr>
                <w:rFonts w:ascii="Verdana" w:eastAsia="Calibri" w:hAnsi="Verdana" w:cs="Arial"/>
                <w:color w:val="000000" w:themeColor="text1"/>
              </w:rPr>
              <w:t xml:space="preserve">i) debe recaer en un tercero; </w:t>
            </w:r>
            <w:proofErr w:type="spellStart"/>
            <w:r w:rsidRPr="00E26368">
              <w:rPr>
                <w:rFonts w:ascii="Verdana" w:eastAsia="Calibri" w:hAnsi="Verdana" w:cs="Arial"/>
                <w:color w:val="000000" w:themeColor="text1"/>
              </w:rPr>
              <w:t>ii</w:t>
            </w:r>
            <w:proofErr w:type="spellEnd"/>
            <w:r w:rsidRPr="00E26368">
              <w:rPr>
                <w:rFonts w:ascii="Verdana" w:eastAsia="Calibri" w:hAnsi="Verdana" w:cs="Arial"/>
                <w:color w:val="000000" w:themeColor="text1"/>
              </w:rPr>
              <w:t xml:space="preserve">) el cesionario debe tener capacidad jurídica para continuar con la ejecución del objeto contractual y no estar incurso en causales de inhabilidad e incompatibilidad para contratar; y </w:t>
            </w:r>
            <w:proofErr w:type="spellStart"/>
            <w:r w:rsidRPr="00E26368">
              <w:rPr>
                <w:rFonts w:ascii="Verdana" w:eastAsia="Calibri" w:hAnsi="Verdana" w:cs="Arial"/>
                <w:color w:val="000000" w:themeColor="text1"/>
              </w:rPr>
              <w:t>iii</w:t>
            </w:r>
            <w:proofErr w:type="spellEnd"/>
            <w:r w:rsidRPr="00E26368">
              <w:rPr>
                <w:rFonts w:ascii="Verdana" w:eastAsia="Calibri" w:hAnsi="Verdana" w:cs="Arial"/>
                <w:color w:val="000000" w:themeColor="text1"/>
              </w:rPr>
              <w:t>) el cesionario debe contar con capacidad técnica, económica y financiera suficientes para el cumplimiento de las obligaciones emanadas del contrato cedido.</w:t>
            </w:r>
          </w:p>
          <w:p w14:paraId="46970321" w14:textId="77777777" w:rsidR="00FA41B9" w:rsidRPr="00E26368" w:rsidRDefault="00FA41B9" w:rsidP="00367512">
            <w:pPr>
              <w:pStyle w:val="Textoindependiente"/>
              <w:ind w:right="49"/>
              <w:jc w:val="both"/>
              <w:rPr>
                <w:rFonts w:ascii="Verdana" w:hAnsi="Verdana"/>
                <w:lang w:val="es-ES"/>
              </w:rPr>
            </w:pPr>
            <w:r>
              <w:rPr>
                <w:rFonts w:ascii="Verdana" w:eastAsia="Times New Roman" w:hAnsi="Verdana" w:cs="Arial"/>
                <w:lang w:eastAsia="es-ES_tradnl"/>
              </w:rPr>
              <w:t>En conclusión</w:t>
            </w:r>
            <w:r w:rsidRPr="00E26368">
              <w:rPr>
                <w:rFonts w:ascii="Verdana" w:eastAsia="Times New Roman" w:hAnsi="Verdana" w:cs="Arial"/>
                <w:lang w:eastAsia="es-ES_tradnl"/>
              </w:rPr>
              <w:t>, debe advertirse que es la entidad contratante, al momento de adelantar su actividad contractual, quien debe determinar lo correspondiente a la cesión del contrato estatal. Dado esto, y en atención al alcance la función consultiva atribuida a esta Agencia, lo aquí mencionado no constituye un juicio de valor sobre un proceso contractual particular</w:t>
            </w:r>
            <w:r w:rsidRPr="00E26368">
              <w:rPr>
                <w:rFonts w:ascii="Verdana" w:hAnsi="Verdana"/>
                <w:lang w:val="es-ES"/>
              </w:rPr>
              <w:t xml:space="preserve"> </w:t>
            </w:r>
            <w:r>
              <w:rPr>
                <w:rFonts w:ascii="Verdana" w:hAnsi="Verdana"/>
                <w:lang w:val="es-ES"/>
              </w:rPr>
              <w:t>.</w:t>
            </w:r>
          </w:p>
        </w:tc>
      </w:tr>
      <w:tr w:rsidR="00FA41B9" w:rsidRPr="00E26368" w14:paraId="1E7F34FC" w14:textId="77777777" w:rsidTr="00367512">
        <w:tc>
          <w:tcPr>
            <w:tcW w:w="8828" w:type="dxa"/>
            <w:tcBorders>
              <w:top w:val="dotted" w:sz="4" w:space="0" w:color="auto"/>
              <w:left w:val="dotted" w:sz="4" w:space="0" w:color="auto"/>
              <w:bottom w:val="dotted" w:sz="4" w:space="0" w:color="auto"/>
              <w:right w:val="dotted" w:sz="4" w:space="0" w:color="auto"/>
            </w:tcBorders>
          </w:tcPr>
          <w:p w14:paraId="3AC479BE" w14:textId="77777777" w:rsidR="00FA41B9" w:rsidRPr="00E26368" w:rsidRDefault="00FA41B9" w:rsidP="00367512">
            <w:pPr>
              <w:spacing w:after="120" w:line="276" w:lineRule="auto"/>
              <w:jc w:val="both"/>
              <w:rPr>
                <w:rFonts w:ascii="Verdana" w:eastAsia="Calibri" w:hAnsi="Verdana" w:cs="Arial"/>
                <w:color w:val="000000" w:themeColor="text1"/>
              </w:rPr>
            </w:pPr>
          </w:p>
        </w:tc>
      </w:tr>
    </w:tbl>
    <w:p w14:paraId="11205B8D" w14:textId="77777777" w:rsidR="00FA41B9" w:rsidRPr="00E26368" w:rsidRDefault="00FA41B9" w:rsidP="00FA41B9">
      <w:pPr>
        <w:tabs>
          <w:tab w:val="left" w:pos="142"/>
          <w:tab w:val="left" w:pos="284"/>
        </w:tabs>
        <w:spacing w:after="0" w:line="276" w:lineRule="auto"/>
        <w:jc w:val="both"/>
        <w:rPr>
          <w:rFonts w:ascii="Verdana" w:eastAsia="Century Gothic" w:hAnsi="Verdana" w:cs="Century Gothic"/>
          <w:b/>
          <w:bCs/>
          <w:lang w:val="es-ES"/>
        </w:rPr>
      </w:pPr>
    </w:p>
    <w:p w14:paraId="2164E5F3" w14:textId="77777777" w:rsidR="00FA41B9" w:rsidRPr="00E26368" w:rsidRDefault="00FA41B9" w:rsidP="00FA41B9">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lastRenderedPageBreak/>
        <w:t>Razones de la respuesta:</w:t>
      </w:r>
    </w:p>
    <w:p w14:paraId="36D657D2" w14:textId="77777777" w:rsidR="00FA41B9" w:rsidRPr="00E26368" w:rsidRDefault="00FA41B9" w:rsidP="00FA41B9">
      <w:pPr>
        <w:spacing w:after="0" w:line="276" w:lineRule="auto"/>
        <w:jc w:val="both"/>
        <w:rPr>
          <w:rFonts w:ascii="Verdana" w:eastAsia="Calibri" w:hAnsi="Verdana" w:cs="Arial"/>
          <w:lang w:val="es-ES"/>
        </w:rPr>
      </w:pPr>
      <w:r w:rsidRPr="00E26368">
        <w:rPr>
          <w:rFonts w:ascii="Verdana" w:eastAsia="Calibri" w:hAnsi="Verdana" w:cs="Arial"/>
          <w:lang w:val="es-ES"/>
        </w:rPr>
        <w:t xml:space="preserve">Lo anterior se sustenta en las siguientes consideraciones: </w:t>
      </w:r>
    </w:p>
    <w:p w14:paraId="57F3E423" w14:textId="77777777" w:rsidR="00FA41B9" w:rsidRPr="00E26368" w:rsidRDefault="00FA41B9" w:rsidP="00FA41B9">
      <w:pPr>
        <w:spacing w:after="0" w:line="276" w:lineRule="auto"/>
        <w:jc w:val="both"/>
        <w:rPr>
          <w:rFonts w:ascii="Verdana" w:eastAsia="Calibri" w:hAnsi="Verdana" w:cs="Arial"/>
          <w:lang w:val="es-ES"/>
        </w:rPr>
      </w:pPr>
      <w:r w:rsidRPr="00E26368">
        <w:rPr>
          <w:rFonts w:ascii="Verdana" w:eastAsia="Calibri" w:hAnsi="Verdana" w:cs="Arial"/>
          <w:lang w:val="es-ES"/>
        </w:rPr>
        <w:t xml:space="preserve"> </w:t>
      </w:r>
    </w:p>
    <w:p w14:paraId="4283EC2E" w14:textId="77777777" w:rsidR="00FA41B9" w:rsidRPr="00F46F37" w:rsidRDefault="00FA41B9" w:rsidP="00FA41B9">
      <w:pPr>
        <w:pStyle w:val="NormalWeb"/>
        <w:numPr>
          <w:ilvl w:val="0"/>
          <w:numId w:val="19"/>
        </w:numPr>
        <w:spacing w:before="100" w:beforeAutospacing="1" w:after="100" w:afterAutospacing="1" w:line="240" w:lineRule="auto"/>
        <w:jc w:val="both"/>
      </w:pPr>
      <w:r>
        <w:rPr>
          <w:rFonts w:ascii="Verdana" w:hAnsi="Verdana"/>
          <w:sz w:val="22"/>
          <w:szCs w:val="22"/>
        </w:rPr>
        <w:t xml:space="preserve">La </w:t>
      </w:r>
      <w:proofErr w:type="spellStart"/>
      <w:r>
        <w:rPr>
          <w:rFonts w:ascii="Verdana" w:hAnsi="Verdana"/>
          <w:sz w:val="22"/>
          <w:szCs w:val="22"/>
        </w:rPr>
        <w:t>cesión</w:t>
      </w:r>
      <w:proofErr w:type="spellEnd"/>
      <w:r>
        <w:rPr>
          <w:rFonts w:ascii="Verdana" w:hAnsi="Verdana"/>
          <w:sz w:val="22"/>
          <w:szCs w:val="22"/>
        </w:rPr>
        <w:t xml:space="preserve"> de contrato es la figura </w:t>
      </w:r>
      <w:proofErr w:type="spellStart"/>
      <w:r>
        <w:rPr>
          <w:rFonts w:ascii="Verdana" w:hAnsi="Verdana"/>
          <w:sz w:val="22"/>
          <w:szCs w:val="22"/>
        </w:rPr>
        <w:t>jurídica</w:t>
      </w:r>
      <w:proofErr w:type="spellEnd"/>
      <w:r>
        <w:rPr>
          <w:rFonts w:ascii="Verdana" w:hAnsi="Verdana"/>
          <w:sz w:val="22"/>
          <w:szCs w:val="22"/>
        </w:rPr>
        <w:t xml:space="preserve"> que permite el traspaso de los derechos y obligaciones que emanan de un contrato; de tal manera que, un tercero ajeno a la </w:t>
      </w:r>
      <w:proofErr w:type="spellStart"/>
      <w:r>
        <w:rPr>
          <w:rFonts w:ascii="Verdana" w:hAnsi="Verdana"/>
          <w:sz w:val="22"/>
          <w:szCs w:val="22"/>
        </w:rPr>
        <w:t>relación</w:t>
      </w:r>
      <w:proofErr w:type="spellEnd"/>
      <w:r>
        <w:rPr>
          <w:rFonts w:ascii="Verdana" w:hAnsi="Verdana"/>
          <w:sz w:val="22"/>
          <w:szCs w:val="22"/>
        </w:rPr>
        <w:t xml:space="preserve"> inicial ocupa el lugar del contratista y se obliga a continuar dando cumplimiento a la totalidad de las obligaciones derivadas del contrato. Es decir, un tercero, se subroga en los derechos y obligaciones del cedente, por medio de la modificación del contrato estatal originario. </w:t>
      </w:r>
    </w:p>
    <w:p w14:paraId="5A0875E7" w14:textId="77777777" w:rsidR="00FA41B9" w:rsidRDefault="00FA41B9" w:rsidP="00FA41B9">
      <w:pPr>
        <w:pStyle w:val="NormalWeb"/>
        <w:numPr>
          <w:ilvl w:val="0"/>
          <w:numId w:val="19"/>
        </w:numPr>
        <w:spacing w:before="100" w:beforeAutospacing="1" w:after="100" w:afterAutospacing="1" w:line="240" w:lineRule="auto"/>
        <w:jc w:val="both"/>
      </w:pPr>
      <w:r>
        <w:rPr>
          <w:rFonts w:ascii="Verdana" w:hAnsi="Verdana"/>
          <w:sz w:val="22"/>
          <w:szCs w:val="22"/>
        </w:rPr>
        <w:t xml:space="preserve">La </w:t>
      </w:r>
      <w:proofErr w:type="spellStart"/>
      <w:r>
        <w:rPr>
          <w:rFonts w:ascii="Verdana" w:hAnsi="Verdana"/>
          <w:sz w:val="22"/>
          <w:szCs w:val="22"/>
        </w:rPr>
        <w:t>cesión</w:t>
      </w:r>
      <w:proofErr w:type="spellEnd"/>
      <w:r>
        <w:rPr>
          <w:rFonts w:ascii="Verdana" w:hAnsi="Verdana"/>
          <w:sz w:val="22"/>
          <w:szCs w:val="22"/>
        </w:rPr>
        <w:t xml:space="preserve"> de la </w:t>
      </w:r>
      <w:proofErr w:type="spellStart"/>
      <w:r>
        <w:rPr>
          <w:rFonts w:ascii="Verdana" w:hAnsi="Verdana"/>
          <w:sz w:val="22"/>
          <w:szCs w:val="22"/>
        </w:rPr>
        <w:t>posición</w:t>
      </w:r>
      <w:proofErr w:type="spellEnd"/>
      <w:r>
        <w:rPr>
          <w:rFonts w:ascii="Verdana" w:hAnsi="Verdana"/>
          <w:sz w:val="22"/>
          <w:szCs w:val="22"/>
        </w:rPr>
        <w:t xml:space="preserve"> contractual puede entenderse como un acto y como un efecto. Por un lado, “(...) es el contrato con el cual el cedente, parte de otro contrato ya en curso con otro sujeto (cedido), transfiere la relativa </w:t>
      </w:r>
      <w:proofErr w:type="spellStart"/>
      <w:r>
        <w:rPr>
          <w:rFonts w:ascii="Verdana" w:hAnsi="Verdana"/>
          <w:sz w:val="22"/>
          <w:szCs w:val="22"/>
        </w:rPr>
        <w:t>posición</w:t>
      </w:r>
      <w:proofErr w:type="spellEnd"/>
      <w:r>
        <w:rPr>
          <w:rFonts w:ascii="Verdana" w:hAnsi="Verdana"/>
          <w:sz w:val="22"/>
          <w:szCs w:val="22"/>
        </w:rPr>
        <w:t xml:space="preserve"> contractual (en sus componentes activos y pasivos) al cesionario, el cual le encuentra en la </w:t>
      </w:r>
      <w:proofErr w:type="spellStart"/>
      <w:r>
        <w:rPr>
          <w:rFonts w:ascii="Verdana" w:hAnsi="Verdana"/>
          <w:sz w:val="22"/>
          <w:szCs w:val="22"/>
        </w:rPr>
        <w:t>relación</w:t>
      </w:r>
      <w:proofErr w:type="spellEnd"/>
      <w:r>
        <w:rPr>
          <w:rFonts w:ascii="Verdana" w:hAnsi="Verdana"/>
          <w:sz w:val="22"/>
          <w:szCs w:val="22"/>
        </w:rPr>
        <w:t xml:space="preserve"> con el cedido (...)”. </w:t>
      </w:r>
      <w:r>
        <w:rPr>
          <w:rStyle w:val="Refdenotaalpie"/>
          <w:rFonts w:ascii="Verdana" w:hAnsi="Verdana"/>
          <w:sz w:val="22"/>
          <w:szCs w:val="22"/>
        </w:rPr>
        <w:footnoteReference w:id="2"/>
      </w:r>
      <w:r>
        <w:rPr>
          <w:rFonts w:ascii="Verdana" w:hAnsi="Verdana"/>
          <w:sz w:val="22"/>
          <w:szCs w:val="22"/>
        </w:rPr>
        <w:t xml:space="preserve">Por otro, “(...) es la transferencia de la </w:t>
      </w:r>
      <w:proofErr w:type="spellStart"/>
      <w:r>
        <w:rPr>
          <w:rFonts w:ascii="Verdana" w:hAnsi="Verdana"/>
          <w:sz w:val="22"/>
          <w:szCs w:val="22"/>
        </w:rPr>
        <w:t>posición</w:t>
      </w:r>
      <w:proofErr w:type="spellEnd"/>
      <w:r>
        <w:rPr>
          <w:rFonts w:ascii="Verdana" w:hAnsi="Verdana"/>
          <w:sz w:val="22"/>
          <w:szCs w:val="22"/>
        </w:rPr>
        <w:t xml:space="preserve"> contractual de un </w:t>
      </w:r>
      <w:proofErr w:type="spellStart"/>
      <w:r>
        <w:rPr>
          <w:rFonts w:ascii="Verdana" w:hAnsi="Verdana"/>
          <w:sz w:val="22"/>
          <w:szCs w:val="22"/>
        </w:rPr>
        <w:t>contratantea</w:t>
      </w:r>
      <w:proofErr w:type="spellEnd"/>
      <w:r>
        <w:rPr>
          <w:rFonts w:ascii="Verdana" w:hAnsi="Verdana"/>
          <w:sz w:val="22"/>
          <w:szCs w:val="22"/>
        </w:rPr>
        <w:t xml:space="preserve"> otro sujeto, que le encuentra en la </w:t>
      </w:r>
      <w:proofErr w:type="spellStart"/>
      <w:r>
        <w:rPr>
          <w:rFonts w:ascii="Verdana" w:hAnsi="Verdana"/>
          <w:sz w:val="22"/>
          <w:szCs w:val="22"/>
        </w:rPr>
        <w:t>relación</w:t>
      </w:r>
      <w:proofErr w:type="spellEnd"/>
      <w:r>
        <w:rPr>
          <w:rFonts w:ascii="Verdana" w:hAnsi="Verdana"/>
          <w:sz w:val="22"/>
          <w:szCs w:val="22"/>
        </w:rPr>
        <w:t xml:space="preserve"> con la contraparte (...)”</w:t>
      </w:r>
      <w:r>
        <w:rPr>
          <w:rStyle w:val="Refdenotaalpie"/>
          <w:rFonts w:ascii="Verdana" w:hAnsi="Verdana"/>
          <w:sz w:val="22"/>
          <w:szCs w:val="22"/>
        </w:rPr>
        <w:footnoteReference w:id="3"/>
      </w:r>
      <w:r>
        <w:rPr>
          <w:rFonts w:ascii="Verdana" w:hAnsi="Verdana"/>
          <w:sz w:val="22"/>
          <w:szCs w:val="22"/>
        </w:rPr>
        <w:t xml:space="preserve">. </w:t>
      </w:r>
    </w:p>
    <w:p w14:paraId="11A00CEA" w14:textId="77777777" w:rsidR="00FA41B9" w:rsidRDefault="00FA41B9" w:rsidP="00FA41B9">
      <w:pPr>
        <w:pStyle w:val="NormalWeb"/>
        <w:numPr>
          <w:ilvl w:val="0"/>
          <w:numId w:val="19"/>
        </w:numPr>
        <w:spacing w:before="100" w:beforeAutospacing="1" w:after="100" w:afterAutospacing="1" w:line="240" w:lineRule="auto"/>
        <w:jc w:val="both"/>
      </w:pPr>
      <w:r>
        <w:rPr>
          <w:rFonts w:ascii="Verdana" w:hAnsi="Verdana"/>
          <w:sz w:val="22"/>
          <w:szCs w:val="22"/>
        </w:rPr>
        <w:t xml:space="preserve">En la </w:t>
      </w:r>
      <w:proofErr w:type="spellStart"/>
      <w:r>
        <w:rPr>
          <w:rFonts w:ascii="Verdana" w:hAnsi="Verdana"/>
          <w:sz w:val="22"/>
          <w:szCs w:val="22"/>
        </w:rPr>
        <w:t>Cesión</w:t>
      </w:r>
      <w:proofErr w:type="spellEnd"/>
      <w:r>
        <w:rPr>
          <w:rFonts w:ascii="Verdana" w:hAnsi="Verdana"/>
          <w:sz w:val="22"/>
          <w:szCs w:val="22"/>
        </w:rPr>
        <w:t xml:space="preserve"> de los contratos, concurren tres (3) sujetos: i) el cedente, esto es, el contratista inicial; </w:t>
      </w:r>
      <w:proofErr w:type="spellStart"/>
      <w:r>
        <w:rPr>
          <w:rFonts w:ascii="Verdana" w:hAnsi="Verdana"/>
          <w:sz w:val="22"/>
          <w:szCs w:val="22"/>
        </w:rPr>
        <w:t>ii</w:t>
      </w:r>
      <w:proofErr w:type="spellEnd"/>
      <w:r>
        <w:rPr>
          <w:rFonts w:ascii="Verdana" w:hAnsi="Verdana"/>
          <w:sz w:val="22"/>
          <w:szCs w:val="22"/>
        </w:rPr>
        <w:t xml:space="preserve">) el cesionario, es decir, quien asume total o parcialmente los derechos y obligaciones de este </w:t>
      </w:r>
      <w:proofErr w:type="spellStart"/>
      <w:r>
        <w:rPr>
          <w:rFonts w:ascii="Verdana" w:hAnsi="Verdana"/>
          <w:sz w:val="22"/>
          <w:szCs w:val="22"/>
        </w:rPr>
        <w:t>último</w:t>
      </w:r>
      <w:proofErr w:type="spellEnd"/>
      <w:r>
        <w:rPr>
          <w:rFonts w:ascii="Verdana" w:hAnsi="Verdana"/>
          <w:sz w:val="22"/>
          <w:szCs w:val="22"/>
        </w:rPr>
        <w:t xml:space="preserve">; y </w:t>
      </w:r>
      <w:proofErr w:type="spellStart"/>
      <w:r>
        <w:rPr>
          <w:rFonts w:ascii="Verdana" w:hAnsi="Verdana"/>
          <w:sz w:val="22"/>
          <w:szCs w:val="22"/>
        </w:rPr>
        <w:t>iii</w:t>
      </w:r>
      <w:proofErr w:type="spellEnd"/>
      <w:r>
        <w:rPr>
          <w:rFonts w:ascii="Verdana" w:hAnsi="Verdana"/>
          <w:sz w:val="22"/>
          <w:szCs w:val="22"/>
        </w:rPr>
        <w:t xml:space="preserve">) el cedido que, en el caso de los contratos estatales, </w:t>
      </w:r>
      <w:proofErr w:type="spellStart"/>
      <w:r>
        <w:rPr>
          <w:rFonts w:ascii="Verdana" w:hAnsi="Verdana"/>
          <w:sz w:val="22"/>
          <w:szCs w:val="22"/>
        </w:rPr>
        <w:t>sería</w:t>
      </w:r>
      <w:proofErr w:type="spellEnd"/>
      <w:r>
        <w:rPr>
          <w:rFonts w:ascii="Verdana" w:hAnsi="Verdana"/>
          <w:sz w:val="22"/>
          <w:szCs w:val="22"/>
        </w:rPr>
        <w:t xml:space="preserve"> la entidad suscribiente. </w:t>
      </w:r>
    </w:p>
    <w:p w14:paraId="441C395C" w14:textId="77777777" w:rsidR="00FA41B9" w:rsidRPr="00D31134" w:rsidRDefault="00FA41B9" w:rsidP="00FA41B9">
      <w:pPr>
        <w:pStyle w:val="NormalWeb"/>
        <w:numPr>
          <w:ilvl w:val="0"/>
          <w:numId w:val="19"/>
        </w:numPr>
        <w:spacing w:before="100" w:beforeAutospacing="1" w:after="100" w:afterAutospacing="1" w:line="240" w:lineRule="auto"/>
        <w:jc w:val="both"/>
      </w:pPr>
      <w:proofErr w:type="spellStart"/>
      <w:r>
        <w:rPr>
          <w:rFonts w:ascii="Verdana" w:hAnsi="Verdana"/>
          <w:sz w:val="22"/>
          <w:szCs w:val="22"/>
        </w:rPr>
        <w:t>Tratándose</w:t>
      </w:r>
      <w:proofErr w:type="spellEnd"/>
      <w:r>
        <w:rPr>
          <w:rFonts w:ascii="Verdana" w:hAnsi="Verdana"/>
          <w:sz w:val="22"/>
          <w:szCs w:val="22"/>
        </w:rPr>
        <w:t xml:space="preserve"> de la </w:t>
      </w:r>
      <w:proofErr w:type="spellStart"/>
      <w:r>
        <w:rPr>
          <w:rFonts w:ascii="Verdana" w:hAnsi="Verdana"/>
          <w:sz w:val="22"/>
          <w:szCs w:val="22"/>
        </w:rPr>
        <w:t>cesión</w:t>
      </w:r>
      <w:proofErr w:type="spellEnd"/>
      <w:r>
        <w:rPr>
          <w:rFonts w:ascii="Verdana" w:hAnsi="Verdana"/>
          <w:sz w:val="22"/>
          <w:szCs w:val="22"/>
        </w:rPr>
        <w:t xml:space="preserve"> de contratos estatales, conforme a la </w:t>
      </w:r>
      <w:proofErr w:type="spellStart"/>
      <w:r>
        <w:rPr>
          <w:rFonts w:ascii="Verdana" w:hAnsi="Verdana"/>
          <w:sz w:val="22"/>
          <w:szCs w:val="22"/>
        </w:rPr>
        <w:t>regulación</w:t>
      </w:r>
      <w:proofErr w:type="spellEnd"/>
      <w:r>
        <w:rPr>
          <w:rFonts w:ascii="Verdana" w:hAnsi="Verdana"/>
          <w:sz w:val="22"/>
          <w:szCs w:val="22"/>
        </w:rPr>
        <w:t xml:space="preserve"> del EGCAP, confluyen una mixtura entre el derecho </w:t>
      </w:r>
      <w:proofErr w:type="spellStart"/>
      <w:r>
        <w:rPr>
          <w:rFonts w:ascii="Verdana" w:hAnsi="Verdana"/>
          <w:sz w:val="22"/>
          <w:szCs w:val="22"/>
        </w:rPr>
        <w:t>público</w:t>
      </w:r>
      <w:proofErr w:type="spellEnd"/>
      <w:r>
        <w:rPr>
          <w:rFonts w:ascii="Verdana" w:hAnsi="Verdana"/>
          <w:sz w:val="22"/>
          <w:szCs w:val="22"/>
        </w:rPr>
        <w:t xml:space="preserve"> y privado en su </w:t>
      </w:r>
      <w:proofErr w:type="spellStart"/>
      <w:r>
        <w:rPr>
          <w:rFonts w:ascii="Verdana" w:hAnsi="Verdana"/>
          <w:sz w:val="22"/>
          <w:szCs w:val="22"/>
        </w:rPr>
        <w:t>regulación</w:t>
      </w:r>
      <w:proofErr w:type="spellEnd"/>
      <w:r>
        <w:rPr>
          <w:rFonts w:ascii="Verdana" w:hAnsi="Verdana"/>
          <w:sz w:val="22"/>
          <w:szCs w:val="22"/>
        </w:rPr>
        <w:t xml:space="preserve">. En efecto </w:t>
      </w:r>
      <w:r>
        <w:rPr>
          <w:rStyle w:val="Refdenotaalpie"/>
        </w:rPr>
        <w:footnoteReference w:id="4"/>
      </w:r>
      <w:r>
        <w:rPr>
          <w:rFonts w:ascii="Verdana" w:hAnsi="Verdana"/>
          <w:sz w:val="22"/>
          <w:szCs w:val="22"/>
        </w:rPr>
        <w:t>:</w:t>
      </w:r>
    </w:p>
    <w:p w14:paraId="09D15BC9" w14:textId="77777777" w:rsidR="00FA41B9" w:rsidRDefault="00FA41B9" w:rsidP="00FA41B9">
      <w:pPr>
        <w:pStyle w:val="NormalWeb"/>
        <w:numPr>
          <w:ilvl w:val="0"/>
          <w:numId w:val="22"/>
        </w:numPr>
        <w:spacing w:before="100" w:beforeAutospacing="1" w:after="100" w:afterAutospacing="1" w:line="240" w:lineRule="auto"/>
        <w:jc w:val="both"/>
      </w:pPr>
      <w:r>
        <w:rPr>
          <w:rFonts w:ascii="Verdana" w:hAnsi="Verdana"/>
          <w:sz w:val="22"/>
          <w:szCs w:val="22"/>
        </w:rPr>
        <w:t xml:space="preserve">los contratos estatales se </w:t>
      </w:r>
      <w:proofErr w:type="spellStart"/>
      <w:r>
        <w:rPr>
          <w:rFonts w:ascii="Verdana" w:hAnsi="Verdana"/>
          <w:sz w:val="22"/>
          <w:szCs w:val="22"/>
        </w:rPr>
        <w:t>regirán</w:t>
      </w:r>
      <w:proofErr w:type="spellEnd"/>
      <w:r>
        <w:rPr>
          <w:rFonts w:ascii="Verdana" w:hAnsi="Verdana"/>
          <w:sz w:val="22"/>
          <w:szCs w:val="22"/>
        </w:rPr>
        <w:t xml:space="preserve"> por las normas comerciales y civiles pertinentes, salvo en lo concerniente a las materias particularmente reguladas en dicha ley, de acuerdo con lo prescrito en el inciso primero del </w:t>
      </w:r>
      <w:proofErr w:type="spellStart"/>
      <w:r>
        <w:rPr>
          <w:rFonts w:ascii="Verdana" w:hAnsi="Verdana"/>
          <w:sz w:val="22"/>
          <w:szCs w:val="22"/>
        </w:rPr>
        <w:t>artículo</w:t>
      </w:r>
      <w:proofErr w:type="spellEnd"/>
      <w:r>
        <w:rPr>
          <w:rFonts w:ascii="Verdana" w:hAnsi="Verdana"/>
          <w:sz w:val="22"/>
          <w:szCs w:val="22"/>
        </w:rPr>
        <w:t xml:space="preserve"> 13 de la Ley 80 de 1993</w:t>
      </w:r>
      <w:r>
        <w:rPr>
          <w:rFonts w:ascii="Verdana" w:hAnsi="Verdana"/>
          <w:position w:val="8"/>
          <w:sz w:val="14"/>
          <w:szCs w:val="14"/>
        </w:rPr>
        <w:t>5</w:t>
      </w:r>
      <w:r>
        <w:rPr>
          <w:rFonts w:ascii="Verdana" w:hAnsi="Verdana"/>
          <w:sz w:val="22"/>
          <w:szCs w:val="22"/>
        </w:rPr>
        <w:t xml:space="preserve">, por lo </w:t>
      </w:r>
      <w:r>
        <w:rPr>
          <w:rFonts w:ascii="Verdana" w:hAnsi="Verdana"/>
          <w:sz w:val="22"/>
          <w:szCs w:val="22"/>
        </w:rPr>
        <w:lastRenderedPageBreak/>
        <w:t xml:space="preserve">que deben observarse en primer </w:t>
      </w:r>
      <w:proofErr w:type="spellStart"/>
      <w:r>
        <w:rPr>
          <w:rFonts w:ascii="Verdana" w:hAnsi="Verdana"/>
          <w:sz w:val="22"/>
          <w:szCs w:val="22"/>
        </w:rPr>
        <w:t>término</w:t>
      </w:r>
      <w:proofErr w:type="spellEnd"/>
      <w:r>
        <w:rPr>
          <w:rFonts w:ascii="Verdana" w:hAnsi="Verdana"/>
          <w:sz w:val="22"/>
          <w:szCs w:val="22"/>
        </w:rPr>
        <w:t xml:space="preserve"> las disposiciones establecidas en el EGCAP; </w:t>
      </w:r>
    </w:p>
    <w:p w14:paraId="3FBAEDEF" w14:textId="77777777" w:rsidR="00FA41B9" w:rsidRPr="00D31134" w:rsidRDefault="00FA41B9" w:rsidP="00FA41B9">
      <w:pPr>
        <w:pStyle w:val="NormalWeb"/>
        <w:numPr>
          <w:ilvl w:val="0"/>
          <w:numId w:val="22"/>
        </w:numPr>
        <w:spacing w:before="100" w:beforeAutospacing="1" w:after="100" w:afterAutospacing="1" w:line="240" w:lineRule="auto"/>
        <w:jc w:val="both"/>
      </w:pPr>
      <w:proofErr w:type="spellStart"/>
      <w:r>
        <w:rPr>
          <w:rFonts w:ascii="Verdana" w:hAnsi="Verdana"/>
          <w:sz w:val="22"/>
          <w:szCs w:val="22"/>
        </w:rPr>
        <w:t>corresponderán</w:t>
      </w:r>
      <w:proofErr w:type="spellEnd"/>
      <w:r>
        <w:rPr>
          <w:rFonts w:ascii="Verdana" w:hAnsi="Verdana"/>
          <w:sz w:val="22"/>
          <w:szCs w:val="22"/>
        </w:rPr>
        <w:t xml:space="preserve"> como actos </w:t>
      </w:r>
      <w:proofErr w:type="spellStart"/>
      <w:r>
        <w:rPr>
          <w:rFonts w:ascii="Verdana" w:hAnsi="Verdana"/>
          <w:sz w:val="22"/>
          <w:szCs w:val="22"/>
        </w:rPr>
        <w:t>jurídicos</w:t>
      </w:r>
      <w:proofErr w:type="spellEnd"/>
      <w:r>
        <w:rPr>
          <w:rFonts w:ascii="Verdana" w:hAnsi="Verdana"/>
          <w:sz w:val="22"/>
          <w:szCs w:val="22"/>
        </w:rPr>
        <w:t xml:space="preserve"> bilaterales generadores de obligaciones, entre otros, a los previstos en el derecho privado, en los </w:t>
      </w:r>
      <w:proofErr w:type="spellStart"/>
      <w:r>
        <w:rPr>
          <w:rFonts w:ascii="Verdana" w:hAnsi="Verdana"/>
          <w:sz w:val="22"/>
          <w:szCs w:val="22"/>
        </w:rPr>
        <w:t>términos</w:t>
      </w:r>
      <w:proofErr w:type="spellEnd"/>
      <w:r>
        <w:rPr>
          <w:rFonts w:ascii="Verdana" w:hAnsi="Verdana"/>
          <w:sz w:val="22"/>
          <w:szCs w:val="22"/>
        </w:rPr>
        <w:t xml:space="preserve"> del </w:t>
      </w:r>
      <w:proofErr w:type="spellStart"/>
      <w:r>
        <w:rPr>
          <w:rFonts w:ascii="Verdana" w:hAnsi="Verdana"/>
          <w:sz w:val="22"/>
          <w:szCs w:val="22"/>
        </w:rPr>
        <w:t>artículo</w:t>
      </w:r>
      <w:proofErr w:type="spellEnd"/>
      <w:r>
        <w:rPr>
          <w:rFonts w:ascii="Verdana" w:hAnsi="Verdana"/>
          <w:sz w:val="22"/>
          <w:szCs w:val="22"/>
        </w:rPr>
        <w:t xml:space="preserve"> 32 </w:t>
      </w:r>
      <w:r>
        <w:rPr>
          <w:rFonts w:ascii="Verdana" w:hAnsi="Verdana"/>
          <w:i/>
          <w:iCs/>
          <w:sz w:val="22"/>
          <w:szCs w:val="22"/>
        </w:rPr>
        <w:t>ibidem</w:t>
      </w:r>
      <w:r>
        <w:rPr>
          <w:rFonts w:ascii="Verdana" w:hAnsi="Verdana"/>
          <w:sz w:val="22"/>
          <w:szCs w:val="22"/>
        </w:rPr>
        <w:t>; y</w:t>
      </w:r>
    </w:p>
    <w:p w14:paraId="0146C158" w14:textId="77777777" w:rsidR="00FA41B9" w:rsidRDefault="00FA41B9" w:rsidP="00FA41B9">
      <w:pPr>
        <w:pStyle w:val="NormalWeb"/>
        <w:numPr>
          <w:ilvl w:val="0"/>
          <w:numId w:val="22"/>
        </w:numPr>
        <w:spacing w:before="100" w:beforeAutospacing="1" w:after="100" w:afterAutospacing="1" w:line="240" w:lineRule="auto"/>
        <w:jc w:val="both"/>
      </w:pPr>
      <w:proofErr w:type="spellStart"/>
      <w:r>
        <w:rPr>
          <w:rFonts w:ascii="Verdana" w:hAnsi="Verdana"/>
          <w:sz w:val="22"/>
          <w:szCs w:val="22"/>
        </w:rPr>
        <w:t>contendrán</w:t>
      </w:r>
      <w:proofErr w:type="spellEnd"/>
      <w:r>
        <w:rPr>
          <w:rFonts w:ascii="Verdana" w:hAnsi="Verdana"/>
          <w:sz w:val="22"/>
          <w:szCs w:val="22"/>
        </w:rPr>
        <w:t xml:space="preserve"> las estipulaciones que, de acuerdo con las normas civiles, comerciales y las previstas en esta ley, correspondan a su esencia y naturaleza, conforme a lo dispuesto por el </w:t>
      </w:r>
      <w:proofErr w:type="spellStart"/>
      <w:r>
        <w:rPr>
          <w:rFonts w:ascii="Verdana" w:hAnsi="Verdana"/>
          <w:sz w:val="22"/>
          <w:szCs w:val="22"/>
        </w:rPr>
        <w:t>artículo</w:t>
      </w:r>
      <w:proofErr w:type="spellEnd"/>
      <w:r>
        <w:rPr>
          <w:rFonts w:ascii="Verdana" w:hAnsi="Verdana"/>
          <w:sz w:val="22"/>
          <w:szCs w:val="22"/>
        </w:rPr>
        <w:t xml:space="preserve"> 40 </w:t>
      </w:r>
      <w:r>
        <w:rPr>
          <w:rFonts w:ascii="Verdana" w:hAnsi="Verdana"/>
          <w:i/>
          <w:iCs/>
          <w:sz w:val="22"/>
          <w:szCs w:val="22"/>
        </w:rPr>
        <w:t>ibidem</w:t>
      </w:r>
      <w:r>
        <w:rPr>
          <w:rFonts w:ascii="Verdana" w:hAnsi="Verdana"/>
          <w:sz w:val="22"/>
          <w:szCs w:val="22"/>
        </w:rPr>
        <w:t xml:space="preserve">. </w:t>
      </w:r>
    </w:p>
    <w:p w14:paraId="12740671" w14:textId="77777777" w:rsidR="00FA41B9" w:rsidRDefault="00FA41B9" w:rsidP="00FA41B9">
      <w:pPr>
        <w:pStyle w:val="NormalWeb"/>
        <w:ind w:left="720"/>
      </w:pPr>
    </w:p>
    <w:p w14:paraId="0827DCBF" w14:textId="77777777" w:rsidR="00FA41B9" w:rsidRPr="00F46F37" w:rsidRDefault="00FA41B9" w:rsidP="00FA41B9">
      <w:pPr>
        <w:pStyle w:val="NormalWeb"/>
        <w:numPr>
          <w:ilvl w:val="0"/>
          <w:numId w:val="19"/>
        </w:numPr>
        <w:spacing w:before="100" w:beforeAutospacing="1" w:after="100" w:afterAutospacing="1" w:line="240" w:lineRule="auto"/>
      </w:pPr>
      <w:r>
        <w:rPr>
          <w:rFonts w:ascii="Verdana" w:hAnsi="Verdana"/>
          <w:sz w:val="22"/>
          <w:szCs w:val="22"/>
        </w:rPr>
        <w:t xml:space="preserve">En ese sentido, es pertinente indicar que cuando no se encuentren en la Ley 80 de 1993 disposiciones que permitan desarrollar la </w:t>
      </w:r>
      <w:proofErr w:type="spellStart"/>
      <w:r>
        <w:rPr>
          <w:rFonts w:ascii="Verdana" w:hAnsi="Verdana"/>
          <w:sz w:val="22"/>
          <w:szCs w:val="22"/>
        </w:rPr>
        <w:t>cesión</w:t>
      </w:r>
      <w:proofErr w:type="spellEnd"/>
      <w:r>
        <w:rPr>
          <w:rFonts w:ascii="Verdana" w:hAnsi="Verdana"/>
          <w:sz w:val="22"/>
          <w:szCs w:val="22"/>
        </w:rPr>
        <w:t xml:space="preserve"> del contrato estatal, se aplicará el Decreto Ley 410 de 1971 en las normas que rigen la </w:t>
      </w:r>
      <w:proofErr w:type="spellStart"/>
      <w:r>
        <w:rPr>
          <w:rFonts w:ascii="Verdana" w:hAnsi="Verdana"/>
          <w:sz w:val="22"/>
          <w:szCs w:val="22"/>
        </w:rPr>
        <w:t>cesión</w:t>
      </w:r>
      <w:proofErr w:type="spellEnd"/>
      <w:r>
        <w:rPr>
          <w:rFonts w:ascii="Verdana" w:hAnsi="Verdana"/>
          <w:sz w:val="22"/>
          <w:szCs w:val="22"/>
        </w:rPr>
        <w:t xml:space="preserve"> del contrato contenidas en sus </w:t>
      </w:r>
      <w:proofErr w:type="spellStart"/>
      <w:r>
        <w:rPr>
          <w:rFonts w:ascii="Verdana" w:hAnsi="Verdana"/>
          <w:sz w:val="22"/>
          <w:szCs w:val="22"/>
        </w:rPr>
        <w:t>artículos</w:t>
      </w:r>
      <w:proofErr w:type="spellEnd"/>
      <w:r>
        <w:rPr>
          <w:rFonts w:ascii="Verdana" w:hAnsi="Verdana"/>
          <w:sz w:val="22"/>
          <w:szCs w:val="22"/>
        </w:rPr>
        <w:t xml:space="preserve"> 887 y siguientes del </w:t>
      </w:r>
      <w:proofErr w:type="spellStart"/>
      <w:r>
        <w:rPr>
          <w:rFonts w:ascii="Verdana" w:hAnsi="Verdana"/>
          <w:sz w:val="22"/>
          <w:szCs w:val="22"/>
        </w:rPr>
        <w:t>Código</w:t>
      </w:r>
      <w:proofErr w:type="spellEnd"/>
      <w:r>
        <w:rPr>
          <w:rFonts w:ascii="Verdana" w:hAnsi="Verdana"/>
          <w:sz w:val="22"/>
          <w:szCs w:val="22"/>
        </w:rPr>
        <w:t xml:space="preserve"> de Comercio. </w:t>
      </w:r>
    </w:p>
    <w:p w14:paraId="7C4C3322" w14:textId="77777777" w:rsidR="00FA41B9" w:rsidRPr="00D31134" w:rsidRDefault="00FA41B9" w:rsidP="00FA41B9">
      <w:pPr>
        <w:pStyle w:val="Prrafodelista"/>
        <w:rPr>
          <w:rFonts w:ascii="Verdana" w:eastAsia="Calibri" w:hAnsi="Verdana" w:cs="Arial"/>
          <w:bCs/>
          <w:color w:val="000000" w:themeColor="text1"/>
        </w:rPr>
      </w:pPr>
    </w:p>
    <w:p w14:paraId="12529A33" w14:textId="77777777" w:rsidR="00FA41B9" w:rsidRPr="00E26368" w:rsidRDefault="00FA41B9" w:rsidP="00FA41B9">
      <w:pPr>
        <w:pStyle w:val="Prrafodelista"/>
        <w:numPr>
          <w:ilvl w:val="0"/>
          <w:numId w:val="19"/>
        </w:numPr>
        <w:spacing w:after="120" w:line="276" w:lineRule="auto"/>
        <w:jc w:val="both"/>
        <w:rPr>
          <w:rFonts w:ascii="Verdana" w:eastAsia="Calibri" w:hAnsi="Verdana" w:cs="Arial"/>
          <w:color w:val="000000" w:themeColor="text1"/>
        </w:rPr>
      </w:pPr>
      <w:r w:rsidRPr="00E26368">
        <w:rPr>
          <w:rFonts w:ascii="Verdana" w:eastAsia="Calibri" w:hAnsi="Verdana" w:cs="Arial"/>
          <w:bCs/>
          <w:color w:val="000000" w:themeColor="text1"/>
        </w:rPr>
        <w:t>Conforme a los artículos 887 y siguientes del Código de Comercio, la cesión de los contratos juega un papel importante en la gestión de los intereses patrimoniales de los sujetos de derecho privado, ya que –a diferencia de la regulada en los artículos 1959 y siguientes del Código Civil– facilita el tráfico jurídico tanto de los derechos como de las obligaciones surgidos con ocasión del acuerdo de voluntades, lo que permite su transferencia total o parcial a terceros como negocio generador de riqueza</w:t>
      </w:r>
      <w:r w:rsidRPr="00E26368">
        <w:rPr>
          <w:rStyle w:val="Refdenotaalpie"/>
          <w:rFonts w:ascii="Verdana" w:eastAsia="Calibri" w:hAnsi="Verdana" w:cs="Arial"/>
          <w:bCs/>
          <w:color w:val="000000" w:themeColor="text1"/>
        </w:rPr>
        <w:footnoteReference w:id="5"/>
      </w:r>
      <w:r w:rsidRPr="00E26368">
        <w:rPr>
          <w:rFonts w:ascii="Verdana" w:eastAsia="Calibri" w:hAnsi="Verdana" w:cs="Arial"/>
          <w:bCs/>
          <w:color w:val="000000" w:themeColor="text1"/>
        </w:rPr>
        <w:t>.</w:t>
      </w:r>
      <w:r w:rsidRPr="00E26368">
        <w:rPr>
          <w:rFonts w:ascii="Verdana" w:eastAsia="Calibri" w:hAnsi="Verdana" w:cs="Arial"/>
          <w:color w:val="000000" w:themeColor="text1"/>
        </w:rPr>
        <w:t xml:space="preserve"> </w:t>
      </w:r>
      <w:r w:rsidRPr="00E26368">
        <w:rPr>
          <w:rFonts w:ascii="Verdana" w:hAnsi="Verdana" w:cs="Arial"/>
        </w:rPr>
        <w:t xml:space="preserve">Para la doctrina, “La cesión del contrato sirve para hacer posible la </w:t>
      </w:r>
      <w:r w:rsidRPr="00E26368">
        <w:rPr>
          <w:rFonts w:ascii="Verdana" w:hAnsi="Verdana" w:cs="Arial"/>
          <w:i/>
          <w:iCs/>
        </w:rPr>
        <w:t>circulación del contrato en su integridad</w:t>
      </w:r>
      <w:r w:rsidRPr="00E26368">
        <w:rPr>
          <w:rFonts w:ascii="Verdana" w:hAnsi="Verdana" w:cs="Arial"/>
        </w:rPr>
        <w:t xml:space="preserve">, es decir, para hacer </w:t>
      </w:r>
      <w:r w:rsidRPr="00E26368">
        <w:rPr>
          <w:rFonts w:ascii="Verdana" w:hAnsi="Verdana" w:cs="Arial"/>
          <w:i/>
          <w:iCs/>
        </w:rPr>
        <w:t>subintrar</w:t>
      </w:r>
      <w:r w:rsidRPr="00E26368">
        <w:rPr>
          <w:rFonts w:ascii="Verdana" w:hAnsi="Verdana" w:cs="Arial"/>
        </w:rPr>
        <w:t xml:space="preserve"> un extraño en la categoría de parte contractual, en </w:t>
      </w:r>
      <w:r w:rsidRPr="00E26368">
        <w:rPr>
          <w:rFonts w:ascii="Verdana" w:hAnsi="Verdana" w:cs="Arial"/>
          <w:i/>
          <w:iCs/>
        </w:rPr>
        <w:t>lugar</w:t>
      </w:r>
      <w:r w:rsidRPr="00E26368">
        <w:rPr>
          <w:rFonts w:ascii="Verdana" w:hAnsi="Verdana" w:cs="Arial"/>
        </w:rPr>
        <w:t xml:space="preserve"> de uno de los contratantes originarios”</w:t>
      </w:r>
      <w:r w:rsidRPr="00E26368">
        <w:rPr>
          <w:rStyle w:val="Refdenotaalpie"/>
          <w:rFonts w:ascii="Verdana" w:hAnsi="Verdana" w:cs="Arial"/>
          <w:color w:val="000000" w:themeColor="text1"/>
        </w:rPr>
        <w:footnoteReference w:id="6"/>
      </w:r>
      <w:r w:rsidRPr="00E26368">
        <w:rPr>
          <w:rFonts w:ascii="Verdana" w:hAnsi="Verdana" w:cs="Arial"/>
        </w:rPr>
        <w:t>.</w:t>
      </w:r>
    </w:p>
    <w:p w14:paraId="05F2558C" w14:textId="77777777" w:rsidR="00FA41B9" w:rsidRPr="00E26368" w:rsidRDefault="00FA41B9" w:rsidP="00FA41B9">
      <w:pPr>
        <w:tabs>
          <w:tab w:val="left" w:pos="709"/>
        </w:tabs>
        <w:spacing w:after="0" w:line="276" w:lineRule="auto"/>
        <w:ind w:right="709"/>
        <w:jc w:val="both"/>
        <w:rPr>
          <w:rFonts w:ascii="Verdana" w:eastAsia="Calibri" w:hAnsi="Verdana" w:cs="Arial"/>
          <w:color w:val="000000" w:themeColor="text1"/>
        </w:rPr>
      </w:pPr>
    </w:p>
    <w:p w14:paraId="3CC8861F" w14:textId="77777777" w:rsidR="00FA41B9" w:rsidRPr="00E26368" w:rsidRDefault="00FA41B9" w:rsidP="00FA41B9">
      <w:pPr>
        <w:pStyle w:val="Prrafodelista"/>
        <w:spacing w:after="120" w:line="276" w:lineRule="auto"/>
        <w:jc w:val="both"/>
        <w:rPr>
          <w:rFonts w:ascii="Verdana" w:eastAsia="Calibri" w:hAnsi="Verdana" w:cs="Arial"/>
          <w:color w:val="000000" w:themeColor="text1"/>
        </w:rPr>
      </w:pPr>
    </w:p>
    <w:p w14:paraId="73CE17D1" w14:textId="77777777" w:rsidR="00FA41B9" w:rsidRPr="00E26368" w:rsidRDefault="00FA41B9" w:rsidP="00FA41B9">
      <w:pPr>
        <w:pStyle w:val="Prrafodelista"/>
        <w:numPr>
          <w:ilvl w:val="0"/>
          <w:numId w:val="20"/>
        </w:numPr>
        <w:spacing w:after="120" w:line="276" w:lineRule="auto"/>
        <w:jc w:val="both"/>
        <w:rPr>
          <w:rFonts w:ascii="Verdana" w:eastAsia="Calibri" w:hAnsi="Verdana" w:cs="Arial"/>
          <w:color w:val="000000" w:themeColor="text1"/>
        </w:rPr>
      </w:pPr>
      <w:r w:rsidRPr="00E26368">
        <w:rPr>
          <w:rFonts w:ascii="Verdana" w:eastAsia="Calibri" w:hAnsi="Verdana" w:cs="Arial"/>
          <w:color w:val="000000" w:themeColor="text1"/>
        </w:rPr>
        <w:t>En este sentido, el Estatuto General de Contratación de la Administración Pública establece disposiciones específicas relativas a la figura de la cesión contractual</w:t>
      </w:r>
      <w:r>
        <w:rPr>
          <w:rFonts w:ascii="Verdana" w:eastAsia="Calibri" w:hAnsi="Verdana" w:cs="Arial"/>
          <w:color w:val="000000" w:themeColor="text1"/>
        </w:rPr>
        <w:t xml:space="preserve">, de tal manera que, </w:t>
      </w:r>
      <w:r w:rsidRPr="00E26368">
        <w:rPr>
          <w:rFonts w:ascii="Verdana" w:eastAsia="Calibri" w:hAnsi="Verdana" w:cs="Arial"/>
          <w:color w:val="000000" w:themeColor="text1"/>
        </w:rPr>
        <w:t xml:space="preserve">las normas relativas a la cesión del contrato contenidas en sus artículos 887 y siguientes del Código de Comercio, </w:t>
      </w:r>
      <w:r>
        <w:rPr>
          <w:rFonts w:ascii="Verdana" w:eastAsia="Calibri" w:hAnsi="Verdana" w:cs="Arial"/>
          <w:color w:val="000000" w:themeColor="text1"/>
        </w:rPr>
        <w:t>serán</w:t>
      </w:r>
      <w:r w:rsidRPr="00E26368">
        <w:rPr>
          <w:rFonts w:ascii="Verdana" w:eastAsia="Calibri" w:hAnsi="Verdana" w:cs="Arial"/>
          <w:color w:val="000000" w:themeColor="text1"/>
        </w:rPr>
        <w:t xml:space="preserve"> procede</w:t>
      </w:r>
      <w:r>
        <w:rPr>
          <w:rFonts w:ascii="Verdana" w:eastAsia="Calibri" w:hAnsi="Verdana" w:cs="Arial"/>
          <w:color w:val="000000" w:themeColor="text1"/>
        </w:rPr>
        <w:t>ntes</w:t>
      </w:r>
      <w:r w:rsidRPr="00E26368">
        <w:rPr>
          <w:rFonts w:ascii="Verdana" w:eastAsia="Calibri" w:hAnsi="Verdana" w:cs="Arial"/>
          <w:color w:val="000000" w:themeColor="text1"/>
        </w:rPr>
        <w:t xml:space="preserve"> ante la ausencia de norma que de manera particular </w:t>
      </w:r>
      <w:r>
        <w:rPr>
          <w:rFonts w:ascii="Verdana" w:eastAsia="Calibri" w:hAnsi="Verdana" w:cs="Arial"/>
          <w:color w:val="000000" w:themeColor="text1"/>
        </w:rPr>
        <w:t xml:space="preserve">que </w:t>
      </w:r>
      <w:r w:rsidRPr="00E26368">
        <w:rPr>
          <w:rFonts w:ascii="Verdana" w:eastAsia="Calibri" w:hAnsi="Verdana" w:cs="Arial"/>
          <w:color w:val="000000" w:themeColor="text1"/>
        </w:rPr>
        <w:t>regul</w:t>
      </w:r>
      <w:r>
        <w:rPr>
          <w:rFonts w:ascii="Verdana" w:eastAsia="Calibri" w:hAnsi="Verdana" w:cs="Arial"/>
          <w:color w:val="000000" w:themeColor="text1"/>
        </w:rPr>
        <w:t>a</w:t>
      </w:r>
      <w:r w:rsidRPr="00E26368">
        <w:rPr>
          <w:rFonts w:ascii="Verdana" w:eastAsia="Calibri" w:hAnsi="Verdana" w:cs="Arial"/>
          <w:color w:val="000000" w:themeColor="text1"/>
        </w:rPr>
        <w:t xml:space="preserve"> el asunto frente a la categoría especial del contrato estatal.</w:t>
      </w:r>
    </w:p>
    <w:p w14:paraId="4474B4D9" w14:textId="77777777" w:rsidR="00FA41B9" w:rsidRPr="00E26368" w:rsidRDefault="00FA41B9" w:rsidP="00FA41B9">
      <w:pPr>
        <w:pStyle w:val="Prrafodelista"/>
        <w:rPr>
          <w:rFonts w:ascii="Verdana" w:eastAsia="Calibri" w:hAnsi="Verdana" w:cs="Arial"/>
          <w:color w:val="000000" w:themeColor="text1"/>
        </w:rPr>
      </w:pPr>
    </w:p>
    <w:p w14:paraId="4C4AAF7D" w14:textId="77777777" w:rsidR="00FA41B9" w:rsidRPr="00E26368" w:rsidRDefault="00FA41B9" w:rsidP="00FA41B9">
      <w:pPr>
        <w:pStyle w:val="Prrafodelista"/>
        <w:tabs>
          <w:tab w:val="left" w:pos="709"/>
        </w:tabs>
        <w:spacing w:after="120" w:line="276" w:lineRule="auto"/>
        <w:jc w:val="both"/>
        <w:rPr>
          <w:rFonts w:ascii="Verdana" w:eastAsia="Calibri" w:hAnsi="Verdana" w:cs="Arial"/>
          <w:color w:val="000000" w:themeColor="text1"/>
        </w:rPr>
      </w:pPr>
    </w:p>
    <w:p w14:paraId="683B3343" w14:textId="77777777" w:rsidR="00FA41B9" w:rsidRPr="00E26368" w:rsidRDefault="00FA41B9" w:rsidP="00FA41B9">
      <w:pPr>
        <w:pStyle w:val="Prrafodelista"/>
        <w:numPr>
          <w:ilvl w:val="0"/>
          <w:numId w:val="20"/>
        </w:numPr>
        <w:tabs>
          <w:tab w:val="left" w:pos="709"/>
        </w:tabs>
        <w:spacing w:after="120" w:line="276" w:lineRule="auto"/>
        <w:jc w:val="both"/>
        <w:rPr>
          <w:rFonts w:ascii="Verdana" w:eastAsia="Calibri" w:hAnsi="Verdana" w:cs="Arial"/>
          <w:color w:val="000000" w:themeColor="text1"/>
        </w:rPr>
      </w:pPr>
      <w:r>
        <w:rPr>
          <w:rFonts w:ascii="Verdana" w:eastAsia="Calibri" w:hAnsi="Verdana" w:cs="Arial"/>
          <w:color w:val="000000" w:themeColor="text1"/>
        </w:rPr>
        <w:t xml:space="preserve">Ahora bien, </w:t>
      </w:r>
      <w:bookmarkStart w:id="1" w:name="_Hlk79822251"/>
      <w:r w:rsidRPr="00E26368">
        <w:rPr>
          <w:rFonts w:ascii="Verdana" w:eastAsia="Calibri" w:hAnsi="Verdana" w:cs="Arial"/>
          <w:color w:val="000000" w:themeColor="text1"/>
        </w:rPr>
        <w:t xml:space="preserve">el </w:t>
      </w:r>
      <w:r>
        <w:rPr>
          <w:rFonts w:ascii="Verdana" w:eastAsia="Calibri" w:hAnsi="Verdana" w:cs="Arial"/>
          <w:color w:val="000000" w:themeColor="text1"/>
        </w:rPr>
        <w:t xml:space="preserve">inciso tercero del </w:t>
      </w:r>
      <w:r w:rsidRPr="00E26368">
        <w:rPr>
          <w:rFonts w:ascii="Verdana" w:eastAsia="Calibri" w:hAnsi="Verdana" w:cs="Arial"/>
          <w:color w:val="000000" w:themeColor="text1"/>
        </w:rPr>
        <w:t>artículo 41</w:t>
      </w:r>
      <w:r>
        <w:rPr>
          <w:rFonts w:ascii="Verdana" w:eastAsia="Calibri" w:hAnsi="Verdana" w:cs="Arial"/>
          <w:color w:val="000000" w:themeColor="text1"/>
        </w:rPr>
        <w:t xml:space="preserve"> </w:t>
      </w:r>
      <w:bookmarkEnd w:id="1"/>
      <w:r w:rsidRPr="00E26368">
        <w:rPr>
          <w:rFonts w:ascii="Verdana" w:eastAsia="Calibri" w:hAnsi="Verdana" w:cs="Arial"/>
          <w:color w:val="000000" w:themeColor="text1"/>
        </w:rPr>
        <w:t xml:space="preserve">del EGCAP prescribe que “Los contratos estatales son </w:t>
      </w:r>
      <w:r w:rsidRPr="00E26368">
        <w:rPr>
          <w:rFonts w:ascii="Verdana" w:eastAsia="Calibri" w:hAnsi="Verdana" w:cs="Arial"/>
          <w:i/>
          <w:iCs/>
          <w:color w:val="000000" w:themeColor="text1"/>
        </w:rPr>
        <w:t xml:space="preserve">intuito </w:t>
      </w:r>
      <w:proofErr w:type="spellStart"/>
      <w:r w:rsidRPr="00E26368">
        <w:rPr>
          <w:rFonts w:ascii="Verdana" w:eastAsia="Calibri" w:hAnsi="Verdana" w:cs="Arial"/>
          <w:i/>
          <w:iCs/>
          <w:color w:val="000000" w:themeColor="text1"/>
        </w:rPr>
        <w:t>personae</w:t>
      </w:r>
      <w:proofErr w:type="spellEnd"/>
      <w:r w:rsidRPr="00E26368">
        <w:rPr>
          <w:rFonts w:ascii="Verdana" w:eastAsia="Calibri" w:hAnsi="Verdana" w:cs="Arial"/>
          <w:color w:val="000000" w:themeColor="text1"/>
        </w:rPr>
        <w:t xml:space="preserve"> y, en consecuencia, una vez celebrados no podrán cederse sin previa autorización escrita de la entidad contratante”. Esta norma contiene una prohibición general –</w:t>
      </w:r>
      <w:r w:rsidRPr="00E26368">
        <w:rPr>
          <w:rFonts w:ascii="Verdana" w:eastAsia="Calibri" w:hAnsi="Verdana" w:cs="Arial"/>
          <w:i/>
          <w:iCs/>
          <w:color w:val="000000" w:themeColor="text1"/>
        </w:rPr>
        <w:t>faceta negativa</w:t>
      </w:r>
      <w:r w:rsidRPr="00E26368">
        <w:rPr>
          <w:rFonts w:ascii="Verdana" w:eastAsia="Calibri" w:hAnsi="Verdana" w:cs="Arial"/>
          <w:color w:val="000000" w:themeColor="text1"/>
        </w:rPr>
        <w:t>– y una autorización excepcional –</w:t>
      </w:r>
      <w:r w:rsidRPr="00E26368">
        <w:rPr>
          <w:rFonts w:ascii="Verdana" w:eastAsia="Calibri" w:hAnsi="Verdana" w:cs="Arial"/>
          <w:i/>
          <w:iCs/>
          <w:color w:val="000000" w:themeColor="text1"/>
        </w:rPr>
        <w:t>faceta positiva</w:t>
      </w:r>
      <w:r w:rsidRPr="00E26368">
        <w:rPr>
          <w:rFonts w:ascii="Verdana" w:eastAsia="Calibri" w:hAnsi="Verdana" w:cs="Arial"/>
          <w:color w:val="000000" w:themeColor="text1"/>
        </w:rPr>
        <w:t>–.</w:t>
      </w:r>
    </w:p>
    <w:p w14:paraId="422A7DE9" w14:textId="77777777" w:rsidR="00FA41B9" w:rsidRPr="00E26368" w:rsidRDefault="00FA41B9" w:rsidP="00FA41B9">
      <w:pPr>
        <w:pStyle w:val="Prrafodelista"/>
        <w:tabs>
          <w:tab w:val="left" w:pos="709"/>
        </w:tabs>
        <w:spacing w:after="120" w:line="276" w:lineRule="auto"/>
        <w:jc w:val="both"/>
        <w:rPr>
          <w:rFonts w:ascii="Verdana" w:eastAsia="Calibri" w:hAnsi="Verdana" w:cs="Arial"/>
          <w:bCs/>
          <w:color w:val="000000" w:themeColor="text1"/>
        </w:rPr>
      </w:pPr>
    </w:p>
    <w:p w14:paraId="732D350C" w14:textId="77777777" w:rsidR="00FA41B9" w:rsidRPr="00E26368" w:rsidRDefault="00FA41B9" w:rsidP="00FA41B9">
      <w:pPr>
        <w:pStyle w:val="Prrafodelista"/>
        <w:numPr>
          <w:ilvl w:val="0"/>
          <w:numId w:val="20"/>
        </w:numPr>
        <w:tabs>
          <w:tab w:val="left" w:pos="709"/>
          <w:tab w:val="left" w:pos="1843"/>
        </w:tabs>
        <w:spacing w:after="120" w:line="276" w:lineRule="auto"/>
        <w:jc w:val="both"/>
        <w:rPr>
          <w:rFonts w:ascii="Verdana" w:eastAsia="Calibri" w:hAnsi="Verdana" w:cs="Arial"/>
          <w:bCs/>
          <w:color w:val="000000" w:themeColor="text1"/>
        </w:rPr>
      </w:pPr>
      <w:r w:rsidRPr="00E26368">
        <w:rPr>
          <w:rFonts w:ascii="Verdana" w:eastAsia="Calibri" w:hAnsi="Verdana" w:cs="Arial"/>
          <w:bCs/>
          <w:color w:val="000000" w:themeColor="text1"/>
        </w:rPr>
        <w:t xml:space="preserve">En lo que respecta a la </w:t>
      </w:r>
      <w:r w:rsidRPr="00E26368">
        <w:rPr>
          <w:rFonts w:ascii="Verdana" w:eastAsia="Calibri" w:hAnsi="Verdana" w:cs="Arial"/>
          <w:bCs/>
          <w:i/>
          <w:iCs/>
          <w:color w:val="000000" w:themeColor="text1"/>
        </w:rPr>
        <w:t>faceta negativa</w:t>
      </w:r>
      <w:r w:rsidRPr="00E26368">
        <w:rPr>
          <w:rFonts w:ascii="Verdana" w:eastAsia="Calibri" w:hAnsi="Verdana" w:cs="Arial"/>
          <w:bCs/>
          <w:color w:val="000000" w:themeColor="text1"/>
        </w:rPr>
        <w:t>, el artículo 41 del Estatuto General ordena que el contrato se ejecute con quien inicialmente se celebró el acuerdo de voluntades, pues es la persona que –de acuerdo con los criterios definidos por la entidad para la selección del contratista– resulta idónea para cumplir con las obligaciones. De esta manera, la prohibición contenida en la norma citada es uno de los elementos de la naturaleza del contrato estatal, pues –conforme a lo previsto en el artículo 1501 del Código Civil– es de aquellos “[…] que, no siendo esenciales en él, se entienden pertenecerle, sin necesidad de una cláusula especial […]”</w:t>
      </w:r>
      <w:r w:rsidRPr="00E26368">
        <w:rPr>
          <w:rStyle w:val="Refdenotaalpie"/>
          <w:rFonts w:ascii="Verdana" w:eastAsia="Calibri" w:hAnsi="Verdana" w:cs="Arial"/>
          <w:bCs/>
          <w:color w:val="000000" w:themeColor="text1"/>
        </w:rPr>
        <w:footnoteReference w:id="7"/>
      </w:r>
      <w:r w:rsidRPr="00E26368">
        <w:rPr>
          <w:rFonts w:ascii="Verdana" w:eastAsia="Calibri" w:hAnsi="Verdana" w:cs="Arial"/>
          <w:bCs/>
          <w:color w:val="000000" w:themeColor="text1"/>
        </w:rPr>
        <w:t xml:space="preserve">.  </w:t>
      </w:r>
    </w:p>
    <w:p w14:paraId="285912A9" w14:textId="77777777" w:rsidR="00FA41B9" w:rsidRPr="00E26368" w:rsidRDefault="00FA41B9" w:rsidP="00FA41B9">
      <w:pPr>
        <w:pStyle w:val="Prrafodelista"/>
        <w:spacing w:after="0" w:line="276" w:lineRule="auto"/>
        <w:jc w:val="both"/>
        <w:rPr>
          <w:rFonts w:ascii="Verdana" w:eastAsia="Calibri" w:hAnsi="Verdana" w:cs="Arial"/>
          <w:bCs/>
          <w:color w:val="000000" w:themeColor="text1"/>
        </w:rPr>
      </w:pPr>
    </w:p>
    <w:p w14:paraId="7C2D9643" w14:textId="77777777" w:rsidR="00FA41B9" w:rsidRDefault="00FA41B9" w:rsidP="00FA41B9">
      <w:pPr>
        <w:pStyle w:val="Prrafodelista"/>
        <w:numPr>
          <w:ilvl w:val="0"/>
          <w:numId w:val="20"/>
        </w:numPr>
        <w:spacing w:after="0" w:line="276" w:lineRule="auto"/>
        <w:jc w:val="both"/>
        <w:rPr>
          <w:rFonts w:ascii="Verdana" w:eastAsia="Calibri" w:hAnsi="Verdana" w:cs="Arial"/>
          <w:bCs/>
          <w:color w:val="000000" w:themeColor="text1"/>
        </w:rPr>
      </w:pPr>
      <w:r w:rsidRPr="00E26368">
        <w:rPr>
          <w:rFonts w:ascii="Verdana" w:eastAsia="Calibri" w:hAnsi="Verdana" w:cs="Arial"/>
          <w:bCs/>
          <w:color w:val="000000" w:themeColor="text1"/>
        </w:rPr>
        <w:t xml:space="preserve">En su </w:t>
      </w:r>
      <w:r w:rsidRPr="00E26368">
        <w:rPr>
          <w:rFonts w:ascii="Verdana" w:eastAsia="Calibri" w:hAnsi="Verdana" w:cs="Arial"/>
          <w:bCs/>
          <w:i/>
          <w:iCs/>
          <w:color w:val="000000" w:themeColor="text1"/>
        </w:rPr>
        <w:t>faceta positiva</w:t>
      </w:r>
      <w:r w:rsidRPr="00E26368">
        <w:rPr>
          <w:rFonts w:ascii="Verdana" w:eastAsia="Calibri" w:hAnsi="Verdana" w:cs="Arial"/>
          <w:bCs/>
          <w:color w:val="000000" w:themeColor="text1"/>
        </w:rPr>
        <w:t>, la Ley 80 de 1993 permite excepcionalmente la cesión del contrato estatal siempre que exista autorización previa escrita de la entidad contratante. Por ello, “[…] El cocontratante que ‘</w:t>
      </w:r>
      <w:r w:rsidRPr="00E26368">
        <w:rPr>
          <w:rFonts w:ascii="Verdana" w:eastAsia="Calibri" w:hAnsi="Verdana" w:cs="Arial"/>
          <w:bCs/>
          <w:i/>
          <w:iCs/>
          <w:color w:val="000000" w:themeColor="text1"/>
        </w:rPr>
        <w:t>ceda</w:t>
      </w:r>
      <w:r w:rsidRPr="00E26368">
        <w:rPr>
          <w:rFonts w:ascii="Verdana" w:eastAsia="Calibri" w:hAnsi="Verdana" w:cs="Arial"/>
          <w:bCs/>
          <w:color w:val="000000" w:themeColor="text1"/>
        </w:rPr>
        <w:t xml:space="preserve">’ el contrato sin estar autorizado para ello incurre en grave responsabilidad: </w:t>
      </w:r>
      <w:r w:rsidRPr="00E26368">
        <w:rPr>
          <w:rFonts w:ascii="Verdana" w:eastAsia="Calibri" w:hAnsi="Verdana" w:cs="Arial"/>
          <w:bCs/>
          <w:color w:val="000000" w:themeColor="text1"/>
        </w:rPr>
        <w:lastRenderedPageBreak/>
        <w:t>su actitud implica ‘</w:t>
      </w:r>
      <w:r w:rsidRPr="00E26368">
        <w:rPr>
          <w:rFonts w:ascii="Verdana" w:eastAsia="Calibri" w:hAnsi="Verdana" w:cs="Arial"/>
          <w:bCs/>
          <w:i/>
          <w:iCs/>
          <w:color w:val="000000" w:themeColor="text1"/>
        </w:rPr>
        <w:t>incumplimiento</w:t>
      </w:r>
      <w:r w:rsidRPr="00E26368">
        <w:rPr>
          <w:rFonts w:ascii="Verdana" w:eastAsia="Calibri" w:hAnsi="Verdana" w:cs="Arial"/>
          <w:bCs/>
          <w:color w:val="000000" w:themeColor="text1"/>
        </w:rPr>
        <w:t>’ del contrato; de ahí que esa cesión ilícita no resulte oponible a la Administración Pública […]”</w:t>
      </w:r>
      <w:r w:rsidRPr="00E26368">
        <w:rPr>
          <w:rStyle w:val="Refdenotaalpie"/>
          <w:rFonts w:ascii="Verdana" w:eastAsia="Calibri" w:hAnsi="Verdana" w:cs="Arial"/>
          <w:bCs/>
          <w:color w:val="000000" w:themeColor="text1"/>
        </w:rPr>
        <w:footnoteReference w:id="8"/>
      </w:r>
      <w:r w:rsidRPr="00E26368">
        <w:rPr>
          <w:rFonts w:ascii="Verdana" w:eastAsia="Calibri" w:hAnsi="Verdana" w:cs="Arial"/>
          <w:bCs/>
          <w:color w:val="000000" w:themeColor="text1"/>
        </w:rPr>
        <w:t xml:space="preserve">. Este requisito introduce un elemento especial que no está previsto en el Código de Comercio, pues en el derecho privado –salvo las excepciones previstas en la ley– la cesión requiere el acuerdo de voluntades entre el cedente y el cesionario, sin que medie la aceptación del contratante cedido. </w:t>
      </w:r>
    </w:p>
    <w:p w14:paraId="7BEA835E" w14:textId="77777777" w:rsidR="00FA41B9" w:rsidRPr="00D31134" w:rsidRDefault="00FA41B9" w:rsidP="00FA41B9">
      <w:pPr>
        <w:pStyle w:val="Prrafodelista"/>
        <w:rPr>
          <w:rFonts w:ascii="Verdana" w:eastAsia="Calibri" w:hAnsi="Verdana" w:cs="Arial"/>
          <w:color w:val="000000" w:themeColor="text1"/>
        </w:rPr>
      </w:pPr>
    </w:p>
    <w:p w14:paraId="6EBEB73D" w14:textId="77777777" w:rsidR="00FA41B9" w:rsidRPr="00E26368" w:rsidRDefault="00FA41B9" w:rsidP="00FA41B9">
      <w:pPr>
        <w:pStyle w:val="Prrafodelista"/>
        <w:numPr>
          <w:ilvl w:val="0"/>
          <w:numId w:val="20"/>
        </w:numPr>
        <w:spacing w:after="0" w:line="276" w:lineRule="auto"/>
        <w:jc w:val="both"/>
        <w:rPr>
          <w:rFonts w:ascii="Verdana" w:eastAsia="Calibri" w:hAnsi="Verdana" w:cs="Arial"/>
          <w:bCs/>
          <w:color w:val="000000" w:themeColor="text1"/>
        </w:rPr>
      </w:pPr>
      <w:r w:rsidRPr="00E26368">
        <w:rPr>
          <w:rFonts w:ascii="Verdana" w:eastAsia="Calibri" w:hAnsi="Verdana" w:cs="Arial"/>
          <w:color w:val="000000" w:themeColor="text1"/>
        </w:rPr>
        <w:t>En relación con lo anterior la doctrina define la cesión en los contratos estatales de la siguiente manera:</w:t>
      </w:r>
    </w:p>
    <w:p w14:paraId="2588965F" w14:textId="77777777" w:rsidR="00FA41B9" w:rsidRPr="00E26368" w:rsidRDefault="00FA41B9" w:rsidP="00FA41B9">
      <w:pPr>
        <w:spacing w:after="0" w:line="276" w:lineRule="auto"/>
        <w:ind w:firstLine="708"/>
        <w:jc w:val="both"/>
        <w:rPr>
          <w:rFonts w:ascii="Verdana" w:eastAsia="Calibri" w:hAnsi="Verdana" w:cs="Arial"/>
          <w:color w:val="000000" w:themeColor="text1"/>
        </w:rPr>
      </w:pPr>
      <w:r w:rsidRPr="00E26368">
        <w:rPr>
          <w:rFonts w:ascii="Verdana" w:eastAsia="Calibri" w:hAnsi="Verdana" w:cs="Arial"/>
          <w:color w:val="000000" w:themeColor="text1"/>
        </w:rPr>
        <w:t xml:space="preserve"> </w:t>
      </w:r>
    </w:p>
    <w:p w14:paraId="03FD940E" w14:textId="77777777" w:rsidR="00FA41B9" w:rsidRPr="00E26368" w:rsidRDefault="00FA41B9" w:rsidP="00FA41B9">
      <w:pPr>
        <w:spacing w:after="0" w:line="240" w:lineRule="auto"/>
        <w:ind w:left="709" w:right="709"/>
        <w:jc w:val="both"/>
        <w:rPr>
          <w:rFonts w:ascii="Verdana" w:eastAsia="Calibri" w:hAnsi="Verdana" w:cs="Arial"/>
          <w:color w:val="000000" w:themeColor="text1"/>
          <w:sz w:val="21"/>
          <w:szCs w:val="21"/>
        </w:rPr>
      </w:pPr>
      <w:r w:rsidRPr="00E26368">
        <w:rPr>
          <w:rFonts w:ascii="Verdana" w:eastAsia="Calibri" w:hAnsi="Verdana" w:cs="Arial"/>
          <w:color w:val="000000" w:themeColor="text1"/>
          <w:sz w:val="21"/>
          <w:szCs w:val="21"/>
        </w:rPr>
        <w:t xml:space="preserve">“La cesión en la contratación estatal supone, previa autorización de la entidad contratante, la sustitución </w:t>
      </w:r>
      <w:r w:rsidRPr="00E26368">
        <w:rPr>
          <w:rFonts w:ascii="Verdana" w:eastAsia="Calibri" w:hAnsi="Verdana" w:cs="Arial"/>
          <w:i/>
          <w:iCs/>
          <w:color w:val="000000" w:themeColor="text1"/>
          <w:sz w:val="21"/>
          <w:szCs w:val="21"/>
        </w:rPr>
        <w:t>in genere</w:t>
      </w:r>
      <w:r w:rsidRPr="00E26368">
        <w:rPr>
          <w:rFonts w:ascii="Verdana" w:eastAsia="Calibri" w:hAnsi="Verdana" w:cs="Arial"/>
          <w:color w:val="000000" w:themeColor="text1"/>
          <w:sz w:val="21"/>
          <w:szCs w:val="21"/>
        </w:rPr>
        <w:t>, total o parcial, de una de las partes de la relación jurídica (contratante o contratista) por un tercero, que se subroga en los derechos y obligaciones de aquella, por medio de la modificación del contrato estatal originario. La cesión posibilita el reemplazo total o parcial de una parte en su posición contractual originaria, sin que sea precisa la transferencia individual de cuantos derechos y obligaciones conforman la universalidad jurídica a ceder […]”</w:t>
      </w:r>
      <w:r w:rsidRPr="00E26368">
        <w:rPr>
          <w:rStyle w:val="Refdenotaalpie"/>
          <w:rFonts w:ascii="Verdana" w:hAnsi="Verdana" w:cs="Arial"/>
          <w:color w:val="000000" w:themeColor="text1"/>
          <w:sz w:val="21"/>
          <w:szCs w:val="21"/>
        </w:rPr>
        <w:footnoteReference w:id="9"/>
      </w:r>
      <w:r w:rsidRPr="00E26368">
        <w:rPr>
          <w:rFonts w:ascii="Verdana" w:eastAsia="Calibri" w:hAnsi="Verdana" w:cs="Arial"/>
          <w:color w:val="000000" w:themeColor="text1"/>
          <w:sz w:val="21"/>
          <w:szCs w:val="21"/>
        </w:rPr>
        <w:t>.</w:t>
      </w:r>
    </w:p>
    <w:p w14:paraId="322592E3" w14:textId="77777777" w:rsidR="00FA41B9" w:rsidRPr="00E26368" w:rsidRDefault="00FA41B9" w:rsidP="00FA41B9">
      <w:pPr>
        <w:spacing w:after="0" w:line="276" w:lineRule="auto"/>
        <w:jc w:val="both"/>
        <w:rPr>
          <w:rFonts w:ascii="Verdana" w:eastAsia="Calibri" w:hAnsi="Verdana" w:cs="Arial"/>
          <w:color w:val="000000" w:themeColor="text1"/>
        </w:rPr>
      </w:pPr>
    </w:p>
    <w:p w14:paraId="6680D1F9" w14:textId="77777777" w:rsidR="00FA41B9" w:rsidRPr="00E26368" w:rsidRDefault="00FA41B9" w:rsidP="00FA41B9">
      <w:pPr>
        <w:pStyle w:val="Prrafodelista"/>
        <w:numPr>
          <w:ilvl w:val="0"/>
          <w:numId w:val="21"/>
        </w:numPr>
        <w:spacing w:after="120" w:line="276" w:lineRule="auto"/>
        <w:jc w:val="both"/>
        <w:rPr>
          <w:rFonts w:ascii="Verdana" w:eastAsia="Calibri" w:hAnsi="Verdana" w:cs="Arial"/>
          <w:bCs/>
          <w:color w:val="000000" w:themeColor="text1"/>
        </w:rPr>
      </w:pPr>
      <w:r w:rsidRPr="00E26368">
        <w:rPr>
          <w:rFonts w:ascii="Verdana" w:eastAsia="Calibri" w:hAnsi="Verdana" w:cs="Arial"/>
          <w:bCs/>
          <w:color w:val="000000" w:themeColor="text1"/>
        </w:rPr>
        <w:t>Autorizada previamente por la entidad cedida, esta forma de cesión requiere la suscripción de un contrato entre el cedente y el cesionario, por lo que es bilateral en la medida en que requiere un acuerdo voluntades. Con fundamento en el mismo, el cesionario reemplaza –en todo o en parte– al contratista cedente en la ejecución del contrato estatal, respondiendo por el cumplimiento de las obligaciones frente a la Administración.</w:t>
      </w:r>
      <w:r w:rsidRPr="00E26368">
        <w:rPr>
          <w:rFonts w:ascii="Verdana" w:hAnsi="Verdana"/>
        </w:rPr>
        <w:t xml:space="preserve"> </w:t>
      </w:r>
      <w:r w:rsidRPr="00E26368">
        <w:rPr>
          <w:rFonts w:ascii="Verdana" w:eastAsia="Calibri" w:hAnsi="Verdana" w:cs="Arial"/>
          <w:bCs/>
          <w:color w:val="000000" w:themeColor="text1"/>
        </w:rPr>
        <w:t>El inciso primero del artículo 888 del Código de Comercio señala que “La sustitución podrá hacerse por escrito o verbalmente, según que el contrato conste o no por escrito”. Como el contrato estatal es solemne en los términos de los artículos 39 y 41 de la Ley 80 de 1993, se impone la forma escrita para cederlo</w:t>
      </w:r>
      <w:r w:rsidRPr="00E26368">
        <w:rPr>
          <w:rFonts w:ascii="Verdana" w:eastAsia="Calibri" w:hAnsi="Verdana" w:cs="Arial"/>
          <w:color w:val="000000" w:themeColor="text1"/>
        </w:rPr>
        <w:t xml:space="preserve">. </w:t>
      </w:r>
    </w:p>
    <w:p w14:paraId="7704308B" w14:textId="77777777" w:rsidR="00FA41B9" w:rsidRPr="00E26368" w:rsidRDefault="00FA41B9" w:rsidP="00FA41B9">
      <w:pPr>
        <w:pStyle w:val="Prrafodelista"/>
        <w:tabs>
          <w:tab w:val="left" w:pos="709"/>
        </w:tabs>
        <w:spacing w:after="120" w:line="276" w:lineRule="auto"/>
        <w:jc w:val="both"/>
        <w:rPr>
          <w:rFonts w:ascii="Verdana" w:eastAsia="Calibri" w:hAnsi="Verdana" w:cs="Arial"/>
          <w:color w:val="000000" w:themeColor="text1"/>
        </w:rPr>
      </w:pPr>
      <w:bookmarkStart w:id="2" w:name="_Hlk80369799"/>
    </w:p>
    <w:p w14:paraId="76C744B2" w14:textId="77777777" w:rsidR="00FA41B9" w:rsidRDefault="00FA41B9" w:rsidP="00FA41B9">
      <w:pPr>
        <w:pStyle w:val="Prrafodelista"/>
        <w:numPr>
          <w:ilvl w:val="0"/>
          <w:numId w:val="21"/>
        </w:numPr>
        <w:tabs>
          <w:tab w:val="left" w:pos="709"/>
        </w:tabs>
        <w:spacing w:after="120" w:line="276" w:lineRule="auto"/>
        <w:jc w:val="both"/>
        <w:rPr>
          <w:rFonts w:ascii="Verdana" w:eastAsia="Calibri" w:hAnsi="Verdana" w:cs="Arial"/>
          <w:color w:val="000000" w:themeColor="text1"/>
        </w:rPr>
      </w:pPr>
      <w:r w:rsidRPr="00E26368">
        <w:rPr>
          <w:rFonts w:ascii="Verdana" w:eastAsia="Calibri" w:hAnsi="Verdana" w:cs="Arial"/>
          <w:color w:val="000000" w:themeColor="text1"/>
        </w:rPr>
        <w:lastRenderedPageBreak/>
        <w:t xml:space="preserve">Por lo demás, el Consejo de Estado ha precisado como requisitos de la cesión del contrato estatal los siguientes: i) debe recaer en un tercero; </w:t>
      </w:r>
      <w:proofErr w:type="spellStart"/>
      <w:r w:rsidRPr="00E26368">
        <w:rPr>
          <w:rFonts w:ascii="Verdana" w:eastAsia="Calibri" w:hAnsi="Verdana" w:cs="Arial"/>
          <w:color w:val="000000" w:themeColor="text1"/>
        </w:rPr>
        <w:t>ii</w:t>
      </w:r>
      <w:proofErr w:type="spellEnd"/>
      <w:r w:rsidRPr="00E26368">
        <w:rPr>
          <w:rFonts w:ascii="Verdana" w:eastAsia="Calibri" w:hAnsi="Verdana" w:cs="Arial"/>
          <w:color w:val="000000" w:themeColor="text1"/>
        </w:rPr>
        <w:t xml:space="preserve">) el cesionario debe tener capacidad jurídica para continuar con la ejecución del objeto contractual y no estar incurso en causales de inhabilidad e incompatibilidad para contratar; y </w:t>
      </w:r>
      <w:proofErr w:type="spellStart"/>
      <w:r w:rsidRPr="00E26368">
        <w:rPr>
          <w:rFonts w:ascii="Verdana" w:eastAsia="Calibri" w:hAnsi="Verdana" w:cs="Arial"/>
          <w:color w:val="000000" w:themeColor="text1"/>
        </w:rPr>
        <w:t>iii</w:t>
      </w:r>
      <w:proofErr w:type="spellEnd"/>
      <w:r w:rsidRPr="00E26368">
        <w:rPr>
          <w:rFonts w:ascii="Verdana" w:eastAsia="Calibri" w:hAnsi="Verdana" w:cs="Arial"/>
          <w:color w:val="000000" w:themeColor="text1"/>
        </w:rPr>
        <w:t xml:space="preserve">) el cesionario debe contar con capacidad técnica, económica y financiera suficientes para el cumplimiento de las obligaciones emanadas del contrato cedido. </w:t>
      </w:r>
    </w:p>
    <w:p w14:paraId="55A358C6" w14:textId="77777777" w:rsidR="00FA41B9" w:rsidRPr="00D31134" w:rsidRDefault="00FA41B9" w:rsidP="00FA41B9">
      <w:pPr>
        <w:pStyle w:val="Prrafodelista"/>
        <w:rPr>
          <w:rFonts w:ascii="Verdana" w:eastAsia="Calibri" w:hAnsi="Verdana" w:cs="Arial"/>
          <w:color w:val="000000" w:themeColor="text1"/>
        </w:rPr>
      </w:pPr>
    </w:p>
    <w:p w14:paraId="7691845C" w14:textId="77777777" w:rsidR="00FA41B9" w:rsidRPr="00E26368" w:rsidRDefault="00FA41B9" w:rsidP="00FA41B9">
      <w:pPr>
        <w:pStyle w:val="Prrafodelista"/>
        <w:numPr>
          <w:ilvl w:val="0"/>
          <w:numId w:val="21"/>
        </w:numPr>
        <w:tabs>
          <w:tab w:val="left" w:pos="709"/>
        </w:tabs>
        <w:spacing w:after="120" w:line="276" w:lineRule="auto"/>
        <w:jc w:val="both"/>
        <w:rPr>
          <w:rFonts w:ascii="Verdana" w:eastAsia="Calibri" w:hAnsi="Verdana" w:cs="Arial"/>
          <w:color w:val="000000" w:themeColor="text1"/>
        </w:rPr>
      </w:pPr>
      <w:r>
        <w:rPr>
          <w:rFonts w:ascii="Verdana" w:eastAsia="Calibri" w:hAnsi="Verdana" w:cs="Arial"/>
          <w:color w:val="000000" w:themeColor="text1"/>
        </w:rPr>
        <w:t>En ese sentido</w:t>
      </w:r>
      <w:r w:rsidRPr="00E26368">
        <w:rPr>
          <w:rFonts w:ascii="Verdana" w:eastAsia="Calibri" w:hAnsi="Verdana" w:cs="Arial"/>
          <w:color w:val="000000" w:themeColor="text1"/>
        </w:rPr>
        <w:t>, la Sección Tercera del Consejo de Estado ha explicado que, en la medida que el tercero cesionario asume la posición contractual del contratista cedente, las disposiciones, los pliegos de condiciones y el contrato mismo serán aplicables a quien asuma la nueva posición contractual. De esta manera, la capacidad jurídica, económica y técnica del contratista cedente se exigirá también al cesionario</w:t>
      </w:r>
      <w:bookmarkStart w:id="3" w:name="_Hlk80369829"/>
      <w:bookmarkEnd w:id="2"/>
      <w:r w:rsidRPr="00E26368">
        <w:rPr>
          <w:rFonts w:ascii="Verdana" w:eastAsia="Calibri" w:hAnsi="Verdana" w:cs="Arial"/>
          <w:color w:val="000000" w:themeColor="text1"/>
        </w:rPr>
        <w:t>, ya que “[…] el proceso cesión del contrato y las exigencias que se le impongan al tercero, no pueden alterar ni burlar los procedimientos de selección del contratista, en otras palabras, la figura de la cesión de contrato no puede servir como instrumento para desviar las obligaciones que tiene la entidad contratante de cumplimiento de los parámetros de la selección objetiva</w:t>
      </w:r>
      <w:bookmarkEnd w:id="3"/>
      <w:r w:rsidRPr="00E26368">
        <w:rPr>
          <w:rFonts w:ascii="Verdana" w:eastAsia="Calibri" w:hAnsi="Verdana" w:cs="Arial"/>
          <w:color w:val="000000" w:themeColor="text1"/>
        </w:rPr>
        <w:t>”</w:t>
      </w:r>
      <w:r w:rsidRPr="00E26368">
        <w:rPr>
          <w:rStyle w:val="Refdenotaalpie"/>
          <w:rFonts w:ascii="Verdana" w:eastAsia="Calibri" w:hAnsi="Verdana" w:cs="Arial"/>
          <w:color w:val="000000" w:themeColor="text1"/>
        </w:rPr>
        <w:footnoteReference w:id="10"/>
      </w:r>
      <w:r w:rsidRPr="00E26368">
        <w:rPr>
          <w:rFonts w:ascii="Verdana" w:eastAsia="Calibri" w:hAnsi="Verdana" w:cs="Arial"/>
          <w:color w:val="000000" w:themeColor="text1"/>
        </w:rPr>
        <w:t>.</w:t>
      </w:r>
    </w:p>
    <w:p w14:paraId="478FB4DC" w14:textId="77777777" w:rsidR="00FA41B9" w:rsidRPr="00E26368" w:rsidRDefault="00FA41B9" w:rsidP="00FA41B9">
      <w:pPr>
        <w:pStyle w:val="Prrafodelista"/>
        <w:tabs>
          <w:tab w:val="left" w:pos="709"/>
        </w:tabs>
        <w:spacing w:after="120" w:line="276" w:lineRule="auto"/>
        <w:jc w:val="both"/>
        <w:rPr>
          <w:rFonts w:ascii="Verdana" w:eastAsia="Calibri" w:hAnsi="Verdana" w:cs="Arial"/>
          <w:color w:val="000000" w:themeColor="text1"/>
        </w:rPr>
      </w:pPr>
      <w:bookmarkStart w:id="4" w:name="_Hlk80369857"/>
    </w:p>
    <w:p w14:paraId="6F1A2413" w14:textId="77777777" w:rsidR="00FA41B9" w:rsidRPr="007E48B8" w:rsidRDefault="00FA41B9" w:rsidP="00FA41B9">
      <w:pPr>
        <w:pStyle w:val="NormalWeb"/>
        <w:numPr>
          <w:ilvl w:val="0"/>
          <w:numId w:val="21"/>
        </w:numPr>
        <w:spacing w:before="100" w:beforeAutospacing="1" w:after="100" w:afterAutospacing="1" w:line="240" w:lineRule="auto"/>
        <w:jc w:val="both"/>
      </w:pPr>
      <w:r>
        <w:rPr>
          <w:rFonts w:ascii="Verdana" w:hAnsi="Verdana"/>
          <w:sz w:val="22"/>
          <w:szCs w:val="22"/>
        </w:rPr>
        <w:t xml:space="preserve">Es por eso que, en el contrato de cesión, el cesionario reemplaza –en todo o en parte– al contratista cedente en la ejecución del contrato estatal, respondiendo por el cumplimiento de las obligaciones frente a la Administración. En consecuencia, es deber tanto de las entidades estatales como del contratista cedente y cesionario garantizar que la aseguradora actualice la nueva información con el fin de mantener los amparos, coberturas y suficiencias requeridas en la etapa precontractual, por tanto una vez actualizada requerirá́ aprobación de la entidad estatal. </w:t>
      </w:r>
    </w:p>
    <w:bookmarkEnd w:id="4"/>
    <w:p w14:paraId="58E6EA08" w14:textId="77777777" w:rsidR="00FA41B9" w:rsidRPr="00E26368" w:rsidRDefault="00FA41B9" w:rsidP="00FA41B9"/>
    <w:p w14:paraId="2DAD1BEF" w14:textId="77777777" w:rsidR="00FA41B9" w:rsidRDefault="00FA41B9" w:rsidP="00FA41B9">
      <w:pPr>
        <w:pStyle w:val="Prrafodelista"/>
        <w:numPr>
          <w:ilvl w:val="0"/>
          <w:numId w:val="21"/>
        </w:numPr>
        <w:tabs>
          <w:tab w:val="left" w:pos="709"/>
        </w:tabs>
        <w:spacing w:after="120" w:line="276" w:lineRule="auto"/>
        <w:jc w:val="both"/>
        <w:rPr>
          <w:rFonts w:ascii="Verdana" w:eastAsia="Calibri" w:hAnsi="Verdana" w:cs="Arial"/>
          <w:color w:val="000000" w:themeColor="text1"/>
        </w:rPr>
      </w:pPr>
      <w:r w:rsidRPr="00E26368">
        <w:rPr>
          <w:rFonts w:ascii="Verdana" w:eastAsia="Calibri" w:hAnsi="Verdana" w:cs="Arial"/>
          <w:color w:val="000000" w:themeColor="text1"/>
        </w:rPr>
        <w:t xml:space="preserve">Además, el inciso primero del artículo 9 de la Ley 80 de 1993 establece una importante previsión en materia de cesión del contrato estatal, </w:t>
      </w:r>
      <w:r w:rsidRPr="00E26368">
        <w:rPr>
          <w:rFonts w:ascii="Verdana" w:eastAsia="Calibri" w:hAnsi="Verdana" w:cs="Arial"/>
          <w:color w:val="000000" w:themeColor="text1"/>
        </w:rPr>
        <w:lastRenderedPageBreak/>
        <w:t xml:space="preserve">conforme a la cual “Si llegare a sobrevenir inhabilidad o incompatibilidad en el contratista, este cederá el contrato previa autorización escrita de la entidad contratante o, si ello no fuere posible, renunciará a su ejecución”. Además, en el inciso tercero del artículo citado impone una limitación a la cesión dentro del contrato estatal, que consiste en que, si la inhabilidad o incompatibilidad sobreviene a uno de los miembros del consorcio o unión temporal, “[…] este cederá su participación a un tercero previa autorización escrita de la entidad contratante […]”, y establece que “[…] En ningún caso, podrá haber cesión del contrato entre quienes integran el consorcio o unión temporal”. </w:t>
      </w:r>
    </w:p>
    <w:p w14:paraId="6515704C" w14:textId="77777777" w:rsidR="00FA41B9" w:rsidRPr="00D31134" w:rsidRDefault="00FA41B9" w:rsidP="00FA41B9">
      <w:pPr>
        <w:pStyle w:val="Prrafodelista"/>
        <w:rPr>
          <w:rFonts w:ascii="Verdana" w:eastAsia="Calibri" w:hAnsi="Verdana" w:cs="Arial"/>
          <w:color w:val="000000" w:themeColor="text1"/>
        </w:rPr>
      </w:pPr>
    </w:p>
    <w:p w14:paraId="0281F099" w14:textId="77777777" w:rsidR="00FA41B9" w:rsidRPr="006838B0" w:rsidRDefault="00FA41B9" w:rsidP="00FA41B9">
      <w:pPr>
        <w:pStyle w:val="Prrafodelista"/>
        <w:numPr>
          <w:ilvl w:val="0"/>
          <w:numId w:val="21"/>
        </w:numPr>
        <w:tabs>
          <w:tab w:val="left" w:pos="709"/>
        </w:tabs>
        <w:spacing w:after="120" w:line="276" w:lineRule="auto"/>
        <w:jc w:val="both"/>
        <w:rPr>
          <w:rFonts w:ascii="Verdana" w:eastAsia="Calibri" w:hAnsi="Verdana" w:cs="Arial"/>
          <w:color w:val="000000" w:themeColor="text1"/>
        </w:rPr>
      </w:pPr>
      <w:r>
        <w:rPr>
          <w:rFonts w:ascii="Verdana" w:eastAsia="Calibri" w:hAnsi="Verdana" w:cs="Arial"/>
          <w:color w:val="000000" w:themeColor="text1"/>
        </w:rPr>
        <w:t xml:space="preserve">En conclusión, </w:t>
      </w:r>
      <w:r w:rsidRPr="007E48B8">
        <w:rPr>
          <w:rFonts w:ascii="Verdana" w:eastAsia="Calibri" w:hAnsi="Verdana" w:cs="Arial"/>
          <w:color w:val="000000" w:themeColor="text1"/>
        </w:rPr>
        <w:t>la entidad estatal en el trámite de autorización de una cesión está obligada a respetar los criterios normativos que resulten aplicables al proceso de contratación, entre otros, los principios de transparencia, selección objetiva e igualdad, a fin de evitar la afectación del erario público por aprobar una cesión sin el cumplimiento de los requisitos de idoneidad del cesionario</w:t>
      </w:r>
      <w:r>
        <w:rPr>
          <w:rFonts w:ascii="Verdana" w:eastAsia="Calibri" w:hAnsi="Verdana" w:cs="Arial"/>
          <w:color w:val="000000" w:themeColor="text1"/>
        </w:rPr>
        <w:t>, para lo cual deberá exigir lo estipulado en los documentos precontractuales y contractuales del proceso de contratación.</w:t>
      </w:r>
      <w:r w:rsidRPr="00E26368">
        <w:rPr>
          <w:rFonts w:ascii="Verdana" w:eastAsia="Calibri" w:hAnsi="Verdana" w:cs="Arial"/>
          <w:color w:val="000000" w:themeColor="text1"/>
        </w:rPr>
        <w:t xml:space="preserve"> En otros términos, so pretexto de una cesión contractual, no pueden vulnerarse las reglas y principios de la contratación estatal.</w:t>
      </w:r>
    </w:p>
    <w:p w14:paraId="4DF7E104" w14:textId="77777777" w:rsidR="00FA41B9" w:rsidRPr="00E26368" w:rsidRDefault="00FA41B9" w:rsidP="00FA41B9">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Referencias normativas, jurisprudenciales y otras fuentes:</w:t>
      </w:r>
    </w:p>
    <w:p w14:paraId="39804294" w14:textId="77777777" w:rsidR="00FA41B9" w:rsidRPr="00E26368" w:rsidRDefault="00FA41B9" w:rsidP="00FA41B9">
      <w:pPr>
        <w:widowControl w:val="0"/>
        <w:autoSpaceDE w:val="0"/>
        <w:autoSpaceDN w:val="0"/>
        <w:spacing w:after="0" w:line="276" w:lineRule="auto"/>
        <w:jc w:val="both"/>
        <w:rPr>
          <w:rFonts w:ascii="Verdana" w:hAnsi="Verdana" w:cs="Arial"/>
        </w:rPr>
      </w:pPr>
    </w:p>
    <w:tbl>
      <w:tblPr>
        <w:tblStyle w:val="Tablaconcuadrcula"/>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FA41B9" w:rsidRPr="00E26368" w14:paraId="4FE2E1BC" w14:textId="77777777" w:rsidTr="00367512">
        <w:trPr>
          <w:trHeight w:val="870"/>
        </w:trPr>
        <w:tc>
          <w:tcPr>
            <w:tcW w:w="8647" w:type="dxa"/>
            <w:tcBorders>
              <w:top w:val="dotted" w:sz="4" w:space="0" w:color="auto"/>
              <w:left w:val="dotted" w:sz="4" w:space="0" w:color="auto"/>
              <w:bottom w:val="dotted" w:sz="4" w:space="0" w:color="auto"/>
              <w:right w:val="dotted" w:sz="4" w:space="0" w:color="auto"/>
            </w:tcBorders>
          </w:tcPr>
          <w:p w14:paraId="0886F65E" w14:textId="77777777" w:rsidR="00FA41B9" w:rsidRPr="00E26368" w:rsidRDefault="00FA41B9" w:rsidP="00FA41B9">
            <w:pPr>
              <w:pStyle w:val="Prrafodelista"/>
              <w:widowControl w:val="0"/>
              <w:numPr>
                <w:ilvl w:val="0"/>
                <w:numId w:val="8"/>
              </w:numPr>
              <w:autoSpaceDE w:val="0"/>
              <w:autoSpaceDN w:val="0"/>
              <w:spacing w:line="276" w:lineRule="auto"/>
              <w:jc w:val="both"/>
              <w:rPr>
                <w:rFonts w:ascii="Verdana" w:hAnsi="Verdana" w:cs="Arial"/>
              </w:rPr>
            </w:pPr>
            <w:r w:rsidRPr="00E26368">
              <w:rPr>
                <w:rFonts w:ascii="Verdana" w:hAnsi="Verdana" w:cs="Arial"/>
              </w:rPr>
              <w:t>Ley 80 de 1993, artículos 9, 13, 32, 39, 40 y 41.</w:t>
            </w:r>
          </w:p>
          <w:p w14:paraId="3CA63C61" w14:textId="77777777" w:rsidR="00FA41B9" w:rsidRPr="00E26368" w:rsidRDefault="00FA41B9" w:rsidP="00FA41B9">
            <w:pPr>
              <w:pStyle w:val="Prrafodelista"/>
              <w:widowControl w:val="0"/>
              <w:numPr>
                <w:ilvl w:val="0"/>
                <w:numId w:val="8"/>
              </w:numPr>
              <w:autoSpaceDE w:val="0"/>
              <w:autoSpaceDN w:val="0"/>
              <w:spacing w:line="276" w:lineRule="auto"/>
              <w:jc w:val="both"/>
              <w:rPr>
                <w:rFonts w:ascii="Verdana" w:hAnsi="Verdana" w:cs="Arial"/>
              </w:rPr>
            </w:pPr>
            <w:r w:rsidRPr="00E26368">
              <w:rPr>
                <w:rFonts w:ascii="Verdana" w:hAnsi="Verdana" w:cs="Arial"/>
              </w:rPr>
              <w:t>Código de Comercio, artículos 887 y siguientes.</w:t>
            </w:r>
          </w:p>
          <w:p w14:paraId="506732F9" w14:textId="77777777" w:rsidR="00FA41B9" w:rsidRPr="00E26368" w:rsidRDefault="00FA41B9" w:rsidP="00FA41B9">
            <w:pPr>
              <w:pStyle w:val="Prrafodelista"/>
              <w:widowControl w:val="0"/>
              <w:numPr>
                <w:ilvl w:val="0"/>
                <w:numId w:val="8"/>
              </w:numPr>
              <w:autoSpaceDE w:val="0"/>
              <w:autoSpaceDN w:val="0"/>
              <w:spacing w:line="276" w:lineRule="auto"/>
              <w:jc w:val="both"/>
              <w:rPr>
                <w:rFonts w:ascii="Verdana" w:hAnsi="Verdana" w:cs="Arial"/>
              </w:rPr>
            </w:pPr>
            <w:r w:rsidRPr="00E26368">
              <w:rPr>
                <w:rFonts w:ascii="Verdana" w:hAnsi="Verdana" w:cs="Arial"/>
              </w:rPr>
              <w:t>Código Civil, artículo 1501, 1959 y siguientes.</w:t>
            </w:r>
          </w:p>
          <w:p w14:paraId="221B5D37" w14:textId="77777777" w:rsidR="00FA41B9" w:rsidRPr="00E26368" w:rsidRDefault="00FA41B9" w:rsidP="00FA41B9">
            <w:pPr>
              <w:pStyle w:val="Prrafodelista"/>
              <w:widowControl w:val="0"/>
              <w:numPr>
                <w:ilvl w:val="0"/>
                <w:numId w:val="8"/>
              </w:numPr>
              <w:tabs>
                <w:tab w:val="left" w:pos="8419"/>
              </w:tabs>
              <w:autoSpaceDE w:val="0"/>
              <w:autoSpaceDN w:val="0"/>
              <w:spacing w:line="276" w:lineRule="auto"/>
              <w:jc w:val="both"/>
              <w:rPr>
                <w:rFonts w:ascii="Verdana" w:hAnsi="Verdana" w:cs="Arial"/>
              </w:rPr>
            </w:pPr>
            <w:r w:rsidRPr="00E26368">
              <w:rPr>
                <w:rFonts w:ascii="Verdana" w:hAnsi="Verdana" w:cs="Arial"/>
              </w:rPr>
              <w:t>Consejo de Estado, Sección Tercera, Sentencia del 16 de marzo de 2015, Rad. 1999-03028, M.P. Jaime Orlando Santofimio Gamboa.</w:t>
            </w:r>
          </w:p>
          <w:p w14:paraId="0ED3C9E5" w14:textId="77777777" w:rsidR="00FA41B9" w:rsidRPr="00E26368" w:rsidRDefault="00FA41B9" w:rsidP="00FA41B9">
            <w:pPr>
              <w:pStyle w:val="Prrafodelista"/>
              <w:widowControl w:val="0"/>
              <w:numPr>
                <w:ilvl w:val="0"/>
                <w:numId w:val="8"/>
              </w:numPr>
              <w:tabs>
                <w:tab w:val="left" w:pos="8419"/>
              </w:tabs>
              <w:autoSpaceDE w:val="0"/>
              <w:autoSpaceDN w:val="0"/>
              <w:spacing w:line="276" w:lineRule="auto"/>
              <w:jc w:val="both"/>
              <w:rPr>
                <w:rFonts w:ascii="Verdana" w:hAnsi="Verdana" w:cs="Arial"/>
              </w:rPr>
            </w:pPr>
            <w:r w:rsidRPr="00E26368">
              <w:rPr>
                <w:rFonts w:ascii="Verdana" w:hAnsi="Verdana" w:cs="Arial"/>
              </w:rPr>
              <w:t xml:space="preserve">MESSINEO, Francesco. Doctrina general del contrato. Santiago: </w:t>
            </w:r>
            <w:proofErr w:type="spellStart"/>
            <w:r w:rsidRPr="00E26368">
              <w:rPr>
                <w:rFonts w:ascii="Verdana" w:hAnsi="Verdana" w:cs="Arial"/>
              </w:rPr>
              <w:t>Olejnik</w:t>
            </w:r>
            <w:proofErr w:type="spellEnd"/>
            <w:r w:rsidRPr="00E26368">
              <w:rPr>
                <w:rFonts w:ascii="Verdana" w:hAnsi="Verdana" w:cs="Arial"/>
              </w:rPr>
              <w:t>, 2018.</w:t>
            </w:r>
          </w:p>
          <w:p w14:paraId="6DF51188" w14:textId="77777777" w:rsidR="00FA41B9" w:rsidRPr="00E26368" w:rsidRDefault="00FA41B9" w:rsidP="00FA41B9">
            <w:pPr>
              <w:pStyle w:val="Prrafodelista"/>
              <w:widowControl w:val="0"/>
              <w:numPr>
                <w:ilvl w:val="0"/>
                <w:numId w:val="8"/>
              </w:numPr>
              <w:tabs>
                <w:tab w:val="left" w:pos="8419"/>
              </w:tabs>
              <w:autoSpaceDE w:val="0"/>
              <w:autoSpaceDN w:val="0"/>
              <w:spacing w:line="276" w:lineRule="auto"/>
              <w:contextualSpacing w:val="0"/>
              <w:jc w:val="both"/>
              <w:rPr>
                <w:rFonts w:ascii="Verdana" w:hAnsi="Verdana" w:cs="Arial"/>
              </w:rPr>
            </w:pPr>
            <w:r w:rsidRPr="00E26368">
              <w:rPr>
                <w:rFonts w:ascii="Verdana" w:hAnsi="Verdana" w:cs="Arial"/>
              </w:rPr>
              <w:t xml:space="preserve">ROPPO, </w:t>
            </w:r>
            <w:proofErr w:type="spellStart"/>
            <w:r w:rsidRPr="00E26368">
              <w:rPr>
                <w:rFonts w:ascii="Verdana" w:hAnsi="Verdana" w:cs="Arial"/>
              </w:rPr>
              <w:t>Vincenzo</w:t>
            </w:r>
            <w:proofErr w:type="spellEnd"/>
            <w:r w:rsidRPr="00E26368">
              <w:rPr>
                <w:rFonts w:ascii="Verdana" w:hAnsi="Verdana" w:cs="Arial"/>
              </w:rPr>
              <w:t>. El contrato. Lima: Gaceta Jurídica, 2009.</w:t>
            </w:r>
          </w:p>
          <w:p w14:paraId="6DAE8936" w14:textId="77777777" w:rsidR="00FA41B9" w:rsidRPr="00E26368" w:rsidRDefault="00FA41B9" w:rsidP="00FA41B9">
            <w:pPr>
              <w:pStyle w:val="Prrafodelista"/>
              <w:widowControl w:val="0"/>
              <w:numPr>
                <w:ilvl w:val="0"/>
                <w:numId w:val="8"/>
              </w:numPr>
              <w:tabs>
                <w:tab w:val="left" w:pos="8419"/>
              </w:tabs>
              <w:autoSpaceDE w:val="0"/>
              <w:autoSpaceDN w:val="0"/>
              <w:spacing w:line="276" w:lineRule="auto"/>
              <w:contextualSpacing w:val="0"/>
              <w:jc w:val="both"/>
              <w:rPr>
                <w:rFonts w:ascii="Verdana" w:hAnsi="Verdana" w:cs="Arial"/>
              </w:rPr>
            </w:pPr>
            <w:r w:rsidRPr="00E26368">
              <w:rPr>
                <w:rFonts w:ascii="Verdana" w:hAnsi="Verdana" w:cs="Arial"/>
              </w:rPr>
              <w:t>HINESTROSA, Fernando. Tratado de las obligaciones: concepto, estructura y vicisitudes. Tercera Edición. Bogotá: Universidad Externado de Colombia, 2007. Libro en formato EPUB.</w:t>
            </w:r>
          </w:p>
          <w:p w14:paraId="5BD2D1BB" w14:textId="77777777" w:rsidR="00FA41B9" w:rsidRPr="00E26368" w:rsidRDefault="00FA41B9" w:rsidP="00FA41B9">
            <w:pPr>
              <w:pStyle w:val="Prrafodelista"/>
              <w:widowControl w:val="0"/>
              <w:numPr>
                <w:ilvl w:val="0"/>
                <w:numId w:val="8"/>
              </w:numPr>
              <w:tabs>
                <w:tab w:val="left" w:pos="8419"/>
              </w:tabs>
              <w:autoSpaceDE w:val="0"/>
              <w:autoSpaceDN w:val="0"/>
              <w:spacing w:line="276" w:lineRule="auto"/>
              <w:contextualSpacing w:val="0"/>
              <w:jc w:val="both"/>
              <w:rPr>
                <w:rFonts w:ascii="Verdana" w:hAnsi="Verdana" w:cs="Arial"/>
              </w:rPr>
            </w:pPr>
            <w:r w:rsidRPr="00E26368">
              <w:rPr>
                <w:rFonts w:ascii="Verdana" w:hAnsi="Verdana" w:cs="Arial"/>
              </w:rPr>
              <w:lastRenderedPageBreak/>
              <w:t>ARRUBLA PAUCAR, Jaime Alberto. Contratos mercantiles: teoría general del negocio mercantil. Decimocuarta Edición. Bogotá: Legis, 2021.</w:t>
            </w:r>
          </w:p>
          <w:p w14:paraId="41C4C92D" w14:textId="77777777" w:rsidR="00FA41B9" w:rsidRPr="00E26368" w:rsidRDefault="00FA41B9" w:rsidP="00FA41B9">
            <w:pPr>
              <w:pStyle w:val="Prrafodelista"/>
              <w:widowControl w:val="0"/>
              <w:numPr>
                <w:ilvl w:val="0"/>
                <w:numId w:val="8"/>
              </w:numPr>
              <w:tabs>
                <w:tab w:val="left" w:pos="8419"/>
              </w:tabs>
              <w:autoSpaceDE w:val="0"/>
              <w:autoSpaceDN w:val="0"/>
              <w:spacing w:line="276" w:lineRule="auto"/>
              <w:contextualSpacing w:val="0"/>
              <w:jc w:val="both"/>
              <w:rPr>
                <w:rFonts w:ascii="Verdana" w:hAnsi="Verdana" w:cs="Arial"/>
              </w:rPr>
            </w:pPr>
            <w:r w:rsidRPr="00E26368">
              <w:rPr>
                <w:rFonts w:ascii="Verdana" w:hAnsi="Verdana" w:cs="Arial"/>
              </w:rPr>
              <w:t xml:space="preserve">ESCOLA, Jorge. Tratado integral de los contratos administrativos. Volumen I. Buenos Aires: </w:t>
            </w:r>
            <w:proofErr w:type="spellStart"/>
            <w:r w:rsidRPr="00E26368">
              <w:rPr>
                <w:rFonts w:ascii="Verdana" w:hAnsi="Verdana" w:cs="Arial"/>
              </w:rPr>
              <w:t>Depalma</w:t>
            </w:r>
            <w:proofErr w:type="spellEnd"/>
            <w:r w:rsidRPr="00E26368">
              <w:rPr>
                <w:rFonts w:ascii="Verdana" w:hAnsi="Verdana" w:cs="Arial"/>
              </w:rPr>
              <w:t>, 2012.</w:t>
            </w:r>
          </w:p>
          <w:p w14:paraId="35669FCF" w14:textId="77777777" w:rsidR="00FA41B9" w:rsidRPr="00E26368" w:rsidRDefault="00FA41B9" w:rsidP="00FA41B9">
            <w:pPr>
              <w:pStyle w:val="Prrafodelista"/>
              <w:widowControl w:val="0"/>
              <w:numPr>
                <w:ilvl w:val="0"/>
                <w:numId w:val="8"/>
              </w:numPr>
              <w:tabs>
                <w:tab w:val="left" w:pos="8419"/>
              </w:tabs>
              <w:autoSpaceDE w:val="0"/>
              <w:autoSpaceDN w:val="0"/>
              <w:spacing w:line="276" w:lineRule="auto"/>
              <w:jc w:val="both"/>
              <w:rPr>
                <w:rFonts w:ascii="Verdana" w:hAnsi="Verdana" w:cs="Arial"/>
              </w:rPr>
            </w:pPr>
            <w:r w:rsidRPr="00E26368">
              <w:rPr>
                <w:rFonts w:ascii="Verdana" w:hAnsi="Verdana" w:cs="Arial"/>
              </w:rPr>
              <w:t>MARIENHOFF, Miguel S. Tratado de derecho administrativo. Tomo IIIA. Cuarta Edición. Buenos Aires: Abeledo Perrot, 1998.</w:t>
            </w:r>
          </w:p>
          <w:p w14:paraId="3D0DA795" w14:textId="77777777" w:rsidR="00FA41B9" w:rsidRPr="00D31134" w:rsidRDefault="00FA41B9" w:rsidP="00FA41B9">
            <w:pPr>
              <w:pStyle w:val="Prrafodelista"/>
              <w:widowControl w:val="0"/>
              <w:numPr>
                <w:ilvl w:val="0"/>
                <w:numId w:val="8"/>
              </w:numPr>
              <w:tabs>
                <w:tab w:val="left" w:pos="8419"/>
              </w:tabs>
              <w:autoSpaceDE w:val="0"/>
              <w:autoSpaceDN w:val="0"/>
              <w:spacing w:line="276" w:lineRule="auto"/>
              <w:jc w:val="both"/>
              <w:rPr>
                <w:rFonts w:ascii="Verdana" w:hAnsi="Verdana"/>
                <w:color w:val="000000" w:themeColor="text1"/>
              </w:rPr>
            </w:pPr>
            <w:r w:rsidRPr="00D31134">
              <w:rPr>
                <w:rFonts w:ascii="Verdana" w:hAnsi="Verdana" w:cs="Arial"/>
              </w:rPr>
              <w:t>RAMÍREZ GRISALES, Richard. La cesión. Serie: Las cláusulas del contrato estatal. Medellín: Centro de Estudios de Derecho Administrativo –CEDA– y Librería Jurídica Sánchez R., 2014.</w:t>
            </w:r>
          </w:p>
        </w:tc>
      </w:tr>
    </w:tbl>
    <w:p w14:paraId="4DFAC4A2" w14:textId="77777777" w:rsidR="00FA41B9" w:rsidRPr="00E26368" w:rsidRDefault="00FA41B9" w:rsidP="00FA41B9">
      <w:pPr>
        <w:widowControl w:val="0"/>
        <w:autoSpaceDE w:val="0"/>
        <w:autoSpaceDN w:val="0"/>
        <w:spacing w:after="0" w:line="276" w:lineRule="auto"/>
        <w:jc w:val="both"/>
        <w:rPr>
          <w:rFonts w:ascii="Verdana" w:hAnsi="Verdana" w:cs="Arial"/>
        </w:rPr>
      </w:pPr>
    </w:p>
    <w:p w14:paraId="285664CD" w14:textId="77777777" w:rsidR="00FA41B9" w:rsidRPr="00E26368" w:rsidRDefault="00FA41B9" w:rsidP="00FA41B9">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Doctrina de la Agencia Nacional de Contratación Pública:</w:t>
      </w:r>
    </w:p>
    <w:p w14:paraId="1565E02C" w14:textId="77777777" w:rsidR="00FA41B9" w:rsidRPr="00E26368" w:rsidRDefault="00FA41B9" w:rsidP="00FA41B9">
      <w:pPr>
        <w:spacing w:after="0" w:line="276" w:lineRule="auto"/>
        <w:jc w:val="both"/>
        <w:rPr>
          <w:rFonts w:ascii="Verdana" w:hAnsi="Verdana" w:cs="Arial"/>
        </w:rPr>
      </w:pPr>
    </w:p>
    <w:p w14:paraId="0055A758" w14:textId="77777777" w:rsidR="00FA41B9" w:rsidRPr="00E26368" w:rsidRDefault="00FA41B9" w:rsidP="00FA41B9">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E26368">
        <w:rPr>
          <w:rFonts w:ascii="Verdana" w:eastAsia="Calibri" w:hAnsi="Verdana" w:cs="Arial"/>
          <w:lang w:val="es-ES_tradnl" w:eastAsia="es-ES_tradnl"/>
        </w:rPr>
        <w:t xml:space="preserve">Sobre la cesión del contrato estatal se pronunció esta Subdirección en los conceptos 4201913000007643 y 4201913000007669 del 26 de diciembre de 2019, así como en los Conceptos C-551 del 24 de septiembre de 2020, C-572 del 27 de agosto de 2020, C-582 del 28 de agosto de 2020, C-385 del 20 de agosto de 2021, C-069 del 24 de abril de 2023 y </w:t>
      </w:r>
      <w:r w:rsidRPr="00E26368">
        <w:rPr>
          <w:rFonts w:ascii="Verdana" w:eastAsia="Calibri" w:hAnsi="Verdana" w:cs="Arial"/>
          <w:lang w:eastAsia="es-ES_tradnl"/>
        </w:rPr>
        <w:t>C –157 de 2024, C-172 del 6 de junio de 2023, C-032 del 16 de abril de 2024, </w:t>
      </w:r>
      <w:r w:rsidRPr="00E26368">
        <w:rPr>
          <w:rFonts w:ascii="Verdana" w:eastAsia="Calibri" w:hAnsi="Verdana" w:cs="Arial"/>
          <w:lang w:val="es-ES_tradnl" w:eastAsia="es-ES_tradnl"/>
        </w:rPr>
        <w:t>C-100 del 12 de junio de 2024 y C-325 del 06 de agosto de 2024</w:t>
      </w:r>
      <w:r w:rsidRPr="00E26368">
        <w:rPr>
          <w:rFonts w:ascii="Verdana" w:eastAsia="Calibri" w:hAnsi="Verdana" w:cs="Arial"/>
          <w:lang w:val="es-ES" w:eastAsia="es-ES_tradnl"/>
        </w:rPr>
        <w:t>. Estos</w:t>
      </w:r>
      <w:r w:rsidRPr="00E26368">
        <w:rPr>
          <w:rFonts w:ascii="Verdana" w:hAnsi="Verdana"/>
        </w:rPr>
        <w:t xml:space="preserve"> y otros conceptos se encuentran disponibles para consulta en el Sistema de relatoría de la Agencia, al cual se puede acceder a través del siguiente enlace:</w:t>
      </w:r>
      <w:r w:rsidRPr="00E26368">
        <w:rPr>
          <w:rStyle w:val="normaltextrun"/>
          <w:rFonts w:ascii="Verdana" w:hAnsi="Verdana" w:cs="Arial"/>
          <w:shd w:val="clear" w:color="auto" w:fill="FFFFFF"/>
          <w:lang w:val="es-ES"/>
        </w:rPr>
        <w:t xml:space="preserve"> </w:t>
      </w:r>
      <w:hyperlink r:id="rId13" w:history="1">
        <w:r w:rsidRPr="00E26368">
          <w:rPr>
            <w:rStyle w:val="Hipervnculo"/>
            <w:rFonts w:ascii="Verdana" w:hAnsi="Verdana" w:cs="Arial"/>
            <w:shd w:val="clear" w:color="auto" w:fill="FFFFFF"/>
            <w:lang w:val="es-ES"/>
          </w:rPr>
          <w:t>https://relatoria.colombiacompra.gov.co/busqueda/conceptos</w:t>
        </w:r>
      </w:hyperlink>
    </w:p>
    <w:p w14:paraId="710186A6" w14:textId="77777777" w:rsidR="00FA41B9" w:rsidRPr="00E26368" w:rsidRDefault="00FA41B9" w:rsidP="00FA41B9">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62978A89" w14:textId="77777777" w:rsidR="00FA41B9" w:rsidRPr="00E26368" w:rsidRDefault="00FA41B9" w:rsidP="00FA41B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E26368">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E26368">
        <w:rPr>
          <w:rStyle w:val="normaltextrun"/>
          <w:rFonts w:ascii="Verdana" w:hAnsi="Verdana" w:cs="Arial"/>
          <w:color w:val="FF0000"/>
          <w:shd w:val="clear" w:color="auto" w:fill="FFFFFF"/>
          <w:lang w:val="es-ES"/>
        </w:rPr>
        <w:t xml:space="preserve"> </w:t>
      </w:r>
      <w:hyperlink r:id="rId14" w:history="1">
        <w:r w:rsidRPr="00E26368">
          <w:rPr>
            <w:rStyle w:val="Hipervnculo"/>
            <w:rFonts w:ascii="Verdana" w:hAnsi="Verdana" w:cs="Arial"/>
            <w:shd w:val="clear" w:color="auto" w:fill="FFFFFF"/>
            <w:lang w:val="es-ES"/>
          </w:rPr>
          <w:t>https://www.colombiacompra.gov.co/sala-de-prensa/boletin-digital</w:t>
        </w:r>
      </w:hyperlink>
      <w:r w:rsidRPr="00E26368">
        <w:rPr>
          <w:rStyle w:val="normaltextrun"/>
          <w:rFonts w:ascii="Verdana" w:hAnsi="Verdana" w:cs="Arial"/>
          <w:color w:val="FF0000"/>
          <w:shd w:val="clear" w:color="auto" w:fill="FFFFFF"/>
          <w:lang w:val="es-ES"/>
        </w:rPr>
        <w:t xml:space="preserve">      </w:t>
      </w:r>
    </w:p>
    <w:p w14:paraId="6AAA9823" w14:textId="77777777" w:rsidR="00FA41B9" w:rsidRPr="00E26368" w:rsidRDefault="00FA41B9" w:rsidP="00FA41B9">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2D9B65E9" w14:textId="77777777" w:rsidR="00FA41B9" w:rsidRPr="00E26368" w:rsidRDefault="00FA41B9" w:rsidP="00FA41B9">
      <w:pPr>
        <w:spacing w:after="0" w:line="240" w:lineRule="auto"/>
        <w:jc w:val="both"/>
        <w:rPr>
          <w:rFonts w:ascii="Verdana" w:hAnsi="Verdana"/>
        </w:rPr>
      </w:pPr>
      <w:r w:rsidRPr="00E26368">
        <w:rPr>
          <w:rFonts w:ascii="Verdana" w:hAnsi="Verdana"/>
        </w:rPr>
        <w:t xml:space="preserve">Por último, lo invitamos a seguirnos en las redes sociales en las cuales se difunde información institucional: </w:t>
      </w:r>
    </w:p>
    <w:p w14:paraId="3DA16466" w14:textId="77777777" w:rsidR="00FA41B9" w:rsidRPr="00E26368" w:rsidRDefault="00FA41B9" w:rsidP="00FA41B9">
      <w:pPr>
        <w:spacing w:after="0" w:line="240" w:lineRule="auto"/>
        <w:jc w:val="both"/>
        <w:rPr>
          <w:rFonts w:ascii="Verdana" w:hAnsi="Verdana"/>
        </w:rPr>
      </w:pPr>
      <w:r w:rsidRPr="00E26368">
        <w:rPr>
          <w:rFonts w:ascii="Verdana" w:hAnsi="Verdana"/>
        </w:rPr>
        <w:t xml:space="preserve">Twitter: </w:t>
      </w:r>
      <w:r w:rsidRPr="00E26368">
        <w:rPr>
          <w:rStyle w:val="Hipervnculo"/>
          <w:rFonts w:ascii="Verdana" w:hAnsi="Verdana"/>
          <w:color w:val="4472C4" w:themeColor="accent1"/>
        </w:rPr>
        <w:t>@colombiacompra</w:t>
      </w:r>
      <w:r w:rsidRPr="00E26368">
        <w:rPr>
          <w:rFonts w:ascii="Verdana" w:hAnsi="Verdana"/>
          <w:color w:val="4472C4" w:themeColor="accent1"/>
        </w:rPr>
        <w:t xml:space="preserve"> </w:t>
      </w:r>
    </w:p>
    <w:p w14:paraId="73958534" w14:textId="77777777" w:rsidR="00FA41B9" w:rsidRPr="00E26368" w:rsidRDefault="00FA41B9" w:rsidP="00FA41B9">
      <w:pPr>
        <w:spacing w:after="0" w:line="240" w:lineRule="auto"/>
        <w:jc w:val="both"/>
        <w:rPr>
          <w:rFonts w:ascii="Verdana" w:hAnsi="Verdana"/>
        </w:rPr>
      </w:pPr>
      <w:r w:rsidRPr="00E26368">
        <w:rPr>
          <w:rFonts w:ascii="Verdana" w:hAnsi="Verdana"/>
        </w:rPr>
        <w:t xml:space="preserve">Facebook: </w:t>
      </w:r>
      <w:r w:rsidRPr="00E26368">
        <w:rPr>
          <w:rStyle w:val="Hipervnculo"/>
          <w:rFonts w:ascii="Verdana" w:hAnsi="Verdana"/>
          <w:color w:val="4472C4" w:themeColor="accent1"/>
        </w:rPr>
        <w:t>ColombiaCompraEficiente</w:t>
      </w:r>
    </w:p>
    <w:p w14:paraId="4A240829" w14:textId="77777777" w:rsidR="00FA41B9" w:rsidRPr="00E26368" w:rsidRDefault="00FA41B9" w:rsidP="00FA41B9">
      <w:pPr>
        <w:spacing w:after="0" w:line="240" w:lineRule="auto"/>
        <w:jc w:val="both"/>
        <w:rPr>
          <w:rFonts w:ascii="Verdana" w:hAnsi="Verdana"/>
        </w:rPr>
      </w:pPr>
      <w:r w:rsidRPr="00E26368">
        <w:rPr>
          <w:rFonts w:ascii="Verdana" w:hAnsi="Verdana"/>
        </w:rPr>
        <w:t xml:space="preserve">LinkedIn: </w:t>
      </w:r>
      <w:r w:rsidRPr="00E26368">
        <w:rPr>
          <w:rStyle w:val="Hipervnculo"/>
          <w:rFonts w:ascii="Verdana" w:hAnsi="Verdana"/>
          <w:color w:val="4472C4" w:themeColor="accent1"/>
        </w:rPr>
        <w:t>Agencia Nacional de Contratación Pública - Colombia Compra Eficiente</w:t>
      </w:r>
      <w:r w:rsidRPr="00E26368">
        <w:rPr>
          <w:rFonts w:ascii="Verdana" w:hAnsi="Verdana"/>
          <w:color w:val="4472C4" w:themeColor="accent1"/>
        </w:rPr>
        <w:t xml:space="preserve"> </w:t>
      </w:r>
      <w:r w:rsidRPr="00E26368">
        <w:rPr>
          <w:rFonts w:ascii="Verdana" w:hAnsi="Verdana"/>
        </w:rPr>
        <w:t xml:space="preserve">Instagram: </w:t>
      </w:r>
      <w:r w:rsidRPr="00E26368">
        <w:rPr>
          <w:rStyle w:val="Hipervnculo"/>
          <w:rFonts w:ascii="Verdana" w:hAnsi="Verdana"/>
          <w:color w:val="4472C4" w:themeColor="accent1"/>
        </w:rPr>
        <w:t>@colombiacompraeficiente_cce</w:t>
      </w:r>
    </w:p>
    <w:p w14:paraId="6359F8DD" w14:textId="77777777" w:rsidR="00FA41B9" w:rsidRPr="00E26368" w:rsidRDefault="00FA41B9" w:rsidP="00FA41B9">
      <w:pPr>
        <w:widowControl w:val="0"/>
        <w:autoSpaceDE w:val="0"/>
        <w:autoSpaceDN w:val="0"/>
        <w:spacing w:after="0" w:line="276" w:lineRule="auto"/>
        <w:jc w:val="both"/>
        <w:rPr>
          <w:rFonts w:ascii="Verdana" w:hAnsi="Verdana"/>
        </w:rPr>
      </w:pPr>
    </w:p>
    <w:p w14:paraId="0DAD2CAD" w14:textId="77777777" w:rsidR="00FA41B9" w:rsidRPr="00E26368" w:rsidRDefault="00FA41B9" w:rsidP="00FA41B9">
      <w:pPr>
        <w:widowControl w:val="0"/>
        <w:autoSpaceDE w:val="0"/>
        <w:autoSpaceDN w:val="0"/>
        <w:spacing w:after="0" w:line="276" w:lineRule="auto"/>
        <w:jc w:val="both"/>
        <w:rPr>
          <w:rFonts w:ascii="Verdana" w:hAnsi="Verdana" w:cs="Arial"/>
          <w:lang w:val="es-ES_tradnl"/>
        </w:rPr>
      </w:pPr>
      <w:r w:rsidRPr="00E26368">
        <w:rPr>
          <w:rFonts w:ascii="Verdana" w:hAnsi="Verdana" w:cs="Arial"/>
        </w:rPr>
        <w:t xml:space="preserve">Este concepto tiene el alcance previsto en el artículo 28 del Código de Procedimiento Administrativo y de lo Contencioso Administrativo </w:t>
      </w:r>
      <w:r w:rsidRPr="00E26368">
        <w:rPr>
          <w:rFonts w:ascii="Verdana" w:hAnsi="Verdana" w:cs="Arial"/>
          <w:lang w:val="es-ES_tradnl"/>
        </w:rPr>
        <w:t>y las expresiones aquí utilizadas con mayúscula inicial deben ser entendidas con el significado que les otorga el artículo 2.2.1.1.1.3.1. del Decreto 1082 de 2015.</w:t>
      </w:r>
    </w:p>
    <w:p w14:paraId="47979C06" w14:textId="77777777" w:rsidR="00FA41B9" w:rsidRDefault="00FA41B9" w:rsidP="00FA41B9">
      <w:pPr>
        <w:widowControl w:val="0"/>
        <w:autoSpaceDE w:val="0"/>
        <w:autoSpaceDN w:val="0"/>
        <w:spacing w:after="0" w:line="276" w:lineRule="auto"/>
        <w:jc w:val="both"/>
        <w:rPr>
          <w:rFonts w:ascii="Verdana" w:hAnsi="Verdana" w:cs="Arial"/>
        </w:rPr>
      </w:pPr>
    </w:p>
    <w:p w14:paraId="1E496E58" w14:textId="77777777" w:rsidR="00FA41B9" w:rsidRPr="00E26368" w:rsidRDefault="00FA41B9" w:rsidP="00FA41B9">
      <w:pPr>
        <w:widowControl w:val="0"/>
        <w:autoSpaceDE w:val="0"/>
        <w:autoSpaceDN w:val="0"/>
        <w:spacing w:after="0" w:line="276" w:lineRule="auto"/>
        <w:jc w:val="both"/>
        <w:rPr>
          <w:rFonts w:ascii="Verdana" w:hAnsi="Verdana" w:cs="Arial"/>
        </w:rPr>
      </w:pPr>
    </w:p>
    <w:p w14:paraId="021AE97C" w14:textId="77777777" w:rsidR="00FA41B9" w:rsidRPr="00E26368" w:rsidRDefault="00FA41B9" w:rsidP="00FA41B9">
      <w:pPr>
        <w:spacing w:after="0" w:line="240" w:lineRule="auto"/>
        <w:rPr>
          <w:rFonts w:ascii="Verdana" w:hAnsi="Verdana" w:cs="Arial"/>
          <w:lang w:eastAsia="es-CO"/>
        </w:rPr>
      </w:pPr>
      <w:r w:rsidRPr="00E26368">
        <w:rPr>
          <w:rFonts w:ascii="Verdana" w:eastAsia="Times New Roman" w:hAnsi="Verdana" w:cs="Arial"/>
          <w:lang w:eastAsia="es-CO"/>
        </w:rPr>
        <w:t>Atentamente,</w:t>
      </w:r>
      <w:r w:rsidRPr="00E26368">
        <w:rPr>
          <w:rFonts w:ascii="Verdana" w:hAnsi="Verdana" w:cs="Arial"/>
          <w:lang w:eastAsia="es-CO"/>
        </w:rPr>
        <w:t xml:space="preserve"> </w:t>
      </w:r>
    </w:p>
    <w:p w14:paraId="799AE305" w14:textId="7997BEFF" w:rsidR="008718C8" w:rsidRPr="008718C8" w:rsidRDefault="008718C8" w:rsidP="008718C8">
      <w:pPr>
        <w:spacing w:line="276" w:lineRule="auto"/>
        <w:jc w:val="center"/>
        <w:rPr>
          <w:rFonts w:ascii="Verdana" w:hAnsi="Verdana"/>
          <w:noProof/>
          <w:lang w:val="es-MX"/>
        </w:rPr>
      </w:pPr>
      <w:r w:rsidRPr="008718C8">
        <w:rPr>
          <w:rFonts w:ascii="Verdana" w:hAnsi="Verdana"/>
          <w:noProof/>
          <w:lang w:val="es-MX"/>
        </w:rPr>
        <w:drawing>
          <wp:inline distT="0" distB="0" distL="0" distR="0" wp14:anchorId="7505C671" wp14:editId="5068901F">
            <wp:extent cx="3771900" cy="1400175"/>
            <wp:effectExtent l="0" t="0" r="0" b="9525"/>
            <wp:docPr id="202025183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51836" name="Imagen 2"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5D7BE069" w14:textId="566DE3DB" w:rsidR="00FA41B9" w:rsidRPr="00E26368" w:rsidRDefault="00FA41B9" w:rsidP="00FA41B9">
      <w:pPr>
        <w:spacing w:line="276" w:lineRule="auto"/>
        <w:jc w:val="center"/>
        <w:rPr>
          <w:rFonts w:ascii="Verdana" w:hAnsi="Verdana" w:cs="Arial"/>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A41B9" w:rsidRPr="00E26368" w14:paraId="0952C5D4" w14:textId="77777777" w:rsidTr="00367512">
        <w:trPr>
          <w:trHeight w:val="315"/>
        </w:trPr>
        <w:tc>
          <w:tcPr>
            <w:tcW w:w="893" w:type="dxa"/>
            <w:vAlign w:val="center"/>
            <w:hideMark/>
          </w:tcPr>
          <w:p w14:paraId="745CF5FC" w14:textId="77777777" w:rsidR="00FA41B9" w:rsidRPr="00E26368" w:rsidRDefault="00FA41B9" w:rsidP="00367512">
            <w:pPr>
              <w:spacing w:after="255"/>
              <w:contextualSpacing/>
              <w:rPr>
                <w:rFonts w:ascii="Verdana" w:hAnsi="Verdana" w:cs="Arial"/>
                <w:sz w:val="16"/>
                <w:szCs w:val="16"/>
                <w:lang w:val="es-ES" w:eastAsia="es-ES"/>
              </w:rPr>
            </w:pPr>
            <w:r w:rsidRPr="00E2636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D55AD39" w14:textId="77777777" w:rsidR="00FA41B9" w:rsidRPr="00E26368" w:rsidRDefault="00FA41B9" w:rsidP="00367512">
            <w:pPr>
              <w:spacing w:after="255"/>
              <w:contextualSpacing/>
              <w:rPr>
                <w:rFonts w:ascii="Verdana" w:eastAsia="Arial" w:hAnsi="Verdana" w:cs="Arial"/>
                <w:sz w:val="16"/>
                <w:szCs w:val="16"/>
              </w:rPr>
            </w:pPr>
            <w:r w:rsidRPr="00E26368">
              <w:rPr>
                <w:rStyle w:val="normaltextrun"/>
                <w:rFonts w:ascii="Verdana" w:hAnsi="Verdana"/>
                <w:sz w:val="16"/>
                <w:szCs w:val="16"/>
              </w:rPr>
              <w:t>Gloria Ximena Moreno Guio</w:t>
            </w:r>
          </w:p>
          <w:p w14:paraId="4AE3341B" w14:textId="77777777" w:rsidR="00FA41B9" w:rsidRPr="00E26368" w:rsidRDefault="00FA41B9" w:rsidP="00367512">
            <w:pPr>
              <w:spacing w:after="255"/>
              <w:contextualSpacing/>
              <w:rPr>
                <w:rFonts w:ascii="Verdana" w:eastAsia="Arial" w:hAnsi="Verdana" w:cs="Arial"/>
                <w:sz w:val="16"/>
                <w:szCs w:val="16"/>
              </w:rPr>
            </w:pPr>
            <w:r w:rsidRPr="00E26368">
              <w:rPr>
                <w:rStyle w:val="normaltextrun"/>
                <w:rFonts w:ascii="Verdana" w:eastAsia="Arial" w:hAnsi="Verdana" w:cs="Arial"/>
                <w:sz w:val="16"/>
                <w:szCs w:val="16"/>
              </w:rPr>
              <w:t>Contratista de la Subdirección de Gestión Contractual</w:t>
            </w:r>
          </w:p>
        </w:tc>
      </w:tr>
      <w:tr w:rsidR="00FA41B9" w:rsidRPr="00E26368" w14:paraId="51C1D17A" w14:textId="77777777" w:rsidTr="00367512">
        <w:trPr>
          <w:trHeight w:val="330"/>
        </w:trPr>
        <w:tc>
          <w:tcPr>
            <w:tcW w:w="893" w:type="dxa"/>
            <w:vAlign w:val="center"/>
            <w:hideMark/>
          </w:tcPr>
          <w:p w14:paraId="477C1D92" w14:textId="77777777" w:rsidR="00FA41B9" w:rsidRPr="00E26368" w:rsidRDefault="00FA41B9" w:rsidP="00367512">
            <w:pPr>
              <w:spacing w:after="255"/>
              <w:contextualSpacing/>
              <w:rPr>
                <w:rFonts w:ascii="Verdana" w:hAnsi="Verdana" w:cs="Arial"/>
                <w:sz w:val="16"/>
                <w:szCs w:val="16"/>
                <w:lang w:val="es-ES" w:eastAsia="es-ES"/>
              </w:rPr>
            </w:pPr>
            <w:r w:rsidRPr="00E2636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F8755C8" w14:textId="77777777" w:rsidR="00FA41B9" w:rsidRPr="00E26368" w:rsidRDefault="00FA41B9" w:rsidP="00367512">
            <w:pPr>
              <w:pStyle w:val="paragraph"/>
              <w:spacing w:before="0" w:beforeAutospacing="0" w:after="0" w:afterAutospacing="0"/>
              <w:contextualSpacing/>
              <w:textAlignment w:val="baseline"/>
              <w:rPr>
                <w:rStyle w:val="normaltextrun"/>
                <w:rFonts w:ascii="Verdana" w:hAnsi="Verdana" w:cs="Arial"/>
                <w:sz w:val="16"/>
                <w:szCs w:val="16"/>
                <w:lang w:val="es-ES"/>
              </w:rPr>
            </w:pPr>
            <w:r w:rsidRPr="00E26368">
              <w:rPr>
                <w:rStyle w:val="normaltextrun"/>
                <w:rFonts w:ascii="Verdana" w:hAnsi="Verdana" w:cs="Arial"/>
                <w:sz w:val="16"/>
                <w:szCs w:val="16"/>
                <w:lang w:val="es-ES"/>
              </w:rPr>
              <w:t>Cielo Victoria González Meza</w:t>
            </w:r>
          </w:p>
          <w:p w14:paraId="05F2E181" w14:textId="77777777" w:rsidR="00FA41B9" w:rsidRPr="00E26368" w:rsidRDefault="00FA41B9" w:rsidP="00367512">
            <w:pPr>
              <w:pStyle w:val="paragraph"/>
              <w:spacing w:before="0" w:beforeAutospacing="0" w:after="0" w:afterAutospacing="0"/>
              <w:contextualSpacing/>
              <w:textAlignment w:val="baseline"/>
              <w:rPr>
                <w:rFonts w:ascii="Verdana" w:hAnsi="Verdana" w:cs="Segoe UI"/>
                <w:sz w:val="16"/>
                <w:szCs w:val="16"/>
              </w:rPr>
            </w:pPr>
            <w:r w:rsidRPr="00E26368">
              <w:rPr>
                <w:rStyle w:val="normaltextrun"/>
                <w:rFonts w:ascii="Verdana" w:hAnsi="Verdana" w:cs="Arial"/>
                <w:sz w:val="16"/>
                <w:szCs w:val="16"/>
                <w:lang w:val="es-ES"/>
              </w:rPr>
              <w:t>Contratista de la Subdirección de Gestión Contractual</w:t>
            </w:r>
          </w:p>
        </w:tc>
      </w:tr>
      <w:tr w:rsidR="00FA41B9" w:rsidRPr="00E26368" w14:paraId="0614B582" w14:textId="77777777" w:rsidTr="00367512">
        <w:trPr>
          <w:trHeight w:val="300"/>
        </w:trPr>
        <w:tc>
          <w:tcPr>
            <w:tcW w:w="893" w:type="dxa"/>
            <w:vAlign w:val="center"/>
            <w:hideMark/>
          </w:tcPr>
          <w:p w14:paraId="138E1754" w14:textId="77777777" w:rsidR="00FA41B9" w:rsidRPr="00E26368" w:rsidRDefault="00FA41B9" w:rsidP="00367512">
            <w:pPr>
              <w:spacing w:after="255"/>
              <w:contextualSpacing/>
              <w:rPr>
                <w:rFonts w:ascii="Verdana" w:hAnsi="Verdana" w:cs="Arial"/>
                <w:sz w:val="16"/>
                <w:szCs w:val="16"/>
                <w:lang w:val="es-ES" w:eastAsia="es-ES"/>
              </w:rPr>
            </w:pPr>
            <w:r w:rsidRPr="00E2636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D21BB78" w14:textId="77777777" w:rsidR="00FA41B9" w:rsidRPr="00E26368" w:rsidRDefault="00FA41B9" w:rsidP="00367512">
            <w:pPr>
              <w:spacing w:after="255"/>
              <w:contextualSpacing/>
              <w:rPr>
                <w:rFonts w:ascii="Verdana" w:eastAsia="Calibri" w:hAnsi="Verdana" w:cs="Arial"/>
                <w:sz w:val="16"/>
                <w:szCs w:val="16"/>
                <w:lang w:val="pt-BR" w:eastAsia="es-ES"/>
              </w:rPr>
            </w:pPr>
            <w:r w:rsidRPr="00E26368">
              <w:rPr>
                <w:rFonts w:ascii="Verdana" w:eastAsia="Calibri" w:hAnsi="Verdana" w:cs="Arial"/>
                <w:sz w:val="16"/>
                <w:szCs w:val="16"/>
                <w:lang w:val="pt-BR" w:eastAsia="es-ES"/>
              </w:rPr>
              <w:t>Carolina Quintero Gacharná</w:t>
            </w:r>
          </w:p>
          <w:p w14:paraId="2221CF26" w14:textId="77777777" w:rsidR="00FA41B9" w:rsidRPr="00E26368" w:rsidRDefault="00FA41B9" w:rsidP="00367512">
            <w:pPr>
              <w:spacing w:after="255"/>
              <w:contextualSpacing/>
              <w:rPr>
                <w:rFonts w:ascii="Verdana" w:eastAsia="Calibri" w:hAnsi="Verdana" w:cs="Arial"/>
                <w:sz w:val="16"/>
                <w:szCs w:val="16"/>
                <w:lang w:val="pt-BR" w:eastAsia="es-ES"/>
              </w:rPr>
            </w:pPr>
            <w:r w:rsidRPr="00E26368">
              <w:rPr>
                <w:rFonts w:ascii="Verdana" w:eastAsia="Calibri" w:hAnsi="Verdana" w:cs="Arial"/>
                <w:sz w:val="16"/>
                <w:szCs w:val="16"/>
                <w:lang w:eastAsia="es-ES"/>
              </w:rPr>
              <w:t>Subdirectora</w:t>
            </w:r>
            <w:r w:rsidRPr="00E26368">
              <w:rPr>
                <w:rFonts w:ascii="Verdana" w:eastAsia="Calibri" w:hAnsi="Verdana" w:cs="Arial"/>
                <w:sz w:val="16"/>
                <w:szCs w:val="16"/>
                <w:lang w:val="pt-BR" w:eastAsia="es-ES"/>
              </w:rPr>
              <w:t xml:space="preserve"> de Gestión Contratual ANCP – CCE</w:t>
            </w:r>
          </w:p>
        </w:tc>
      </w:tr>
    </w:tbl>
    <w:p w14:paraId="6383E164" w14:textId="77777777" w:rsidR="00FA41B9" w:rsidRPr="00E26368" w:rsidRDefault="00FA41B9" w:rsidP="00FA41B9">
      <w:pPr>
        <w:spacing w:after="0" w:line="240" w:lineRule="auto"/>
        <w:rPr>
          <w:rFonts w:ascii="Verdana" w:eastAsia="Times New Roman" w:hAnsi="Verdana" w:cs="Arial"/>
          <w:lang w:eastAsia="es-ES"/>
        </w:rPr>
      </w:pPr>
    </w:p>
    <w:p w14:paraId="556A96C3" w14:textId="77777777" w:rsidR="00FA41B9" w:rsidRPr="00E26368" w:rsidRDefault="00FA41B9" w:rsidP="00FA41B9">
      <w:pPr>
        <w:rPr>
          <w:rFonts w:ascii="Verdana" w:hAnsi="Verdana"/>
        </w:rPr>
      </w:pPr>
    </w:p>
    <w:p w14:paraId="7526A415" w14:textId="77777777" w:rsidR="00FA41B9" w:rsidRPr="00E26368" w:rsidRDefault="00FA41B9" w:rsidP="00FA41B9">
      <w:pPr>
        <w:spacing w:after="0" w:line="240" w:lineRule="auto"/>
        <w:rPr>
          <w:rFonts w:ascii="Verdana" w:eastAsia="Geomanist Light" w:hAnsi="Verdana" w:cs="Arial"/>
          <w:color w:val="000000" w:themeColor="text1"/>
        </w:rPr>
      </w:pPr>
    </w:p>
    <w:p w14:paraId="6671B363" w14:textId="77777777" w:rsidR="00FA41B9" w:rsidRPr="00E26368" w:rsidRDefault="00FA41B9" w:rsidP="00FA41B9">
      <w:pPr>
        <w:rPr>
          <w:rFonts w:ascii="Verdana" w:hAnsi="Verdana"/>
          <w:lang w:val="es-MX"/>
        </w:rPr>
      </w:pPr>
    </w:p>
    <w:p w14:paraId="32FBBD40" w14:textId="77777777" w:rsidR="00FA41B9" w:rsidRPr="00625D2F" w:rsidRDefault="00FA41B9" w:rsidP="00FA41B9">
      <w:pPr>
        <w:rPr>
          <w:lang w:val="es-MX"/>
        </w:rPr>
      </w:pPr>
    </w:p>
    <w:p w14:paraId="7E980362" w14:textId="77777777" w:rsidR="00FA41B9" w:rsidRPr="0014696C" w:rsidRDefault="00FA41B9" w:rsidP="00FA41B9">
      <w:pPr>
        <w:rPr>
          <w:lang w:val="es-MX"/>
        </w:rPr>
      </w:pPr>
    </w:p>
    <w:p w14:paraId="3B31177E" w14:textId="77777777" w:rsidR="00FA41B9" w:rsidRPr="00FA41B9" w:rsidRDefault="00FA41B9" w:rsidP="00E4617A">
      <w:pPr>
        <w:spacing w:before="100" w:beforeAutospacing="1" w:after="0" w:afterAutospacing="1" w:line="240" w:lineRule="auto"/>
        <w:jc w:val="both"/>
        <w:textAlignment w:val="baseline"/>
        <w:rPr>
          <w:rFonts w:ascii="Verdana" w:eastAsia="Times New Roman" w:hAnsi="Verdana" w:cs="Arial"/>
          <w:lang w:val="es-MX" w:eastAsia="es-MX"/>
        </w:rPr>
      </w:pPr>
    </w:p>
    <w:sectPr w:rsidR="00FA41B9" w:rsidRPr="00FA41B9" w:rsidSect="00E45F4B">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4422" w14:textId="77777777" w:rsidR="00925470" w:rsidRDefault="00925470" w:rsidP="00B30448">
      <w:pPr>
        <w:spacing w:after="0" w:line="240" w:lineRule="auto"/>
      </w:pPr>
      <w:r>
        <w:separator/>
      </w:r>
    </w:p>
  </w:endnote>
  <w:endnote w:type="continuationSeparator" w:id="0">
    <w:p w14:paraId="370F7645" w14:textId="77777777" w:rsidR="00925470" w:rsidRDefault="00925470" w:rsidP="00B30448">
      <w:pPr>
        <w:spacing w:after="0" w:line="240" w:lineRule="auto"/>
      </w:pPr>
      <w:r>
        <w:continuationSeparator/>
      </w:r>
    </w:p>
  </w:endnote>
  <w:endnote w:type="continuationNotice" w:id="1">
    <w:p w14:paraId="13275A0B" w14:textId="77777777" w:rsidR="00925470" w:rsidRDefault="00925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FBA23" w14:textId="77777777" w:rsidR="00925470" w:rsidRDefault="00925470" w:rsidP="00B30448">
      <w:pPr>
        <w:spacing w:after="0" w:line="240" w:lineRule="auto"/>
      </w:pPr>
      <w:r>
        <w:separator/>
      </w:r>
    </w:p>
  </w:footnote>
  <w:footnote w:type="continuationSeparator" w:id="0">
    <w:p w14:paraId="49858C58" w14:textId="77777777" w:rsidR="00925470" w:rsidRDefault="00925470" w:rsidP="00B30448">
      <w:pPr>
        <w:spacing w:after="0" w:line="240" w:lineRule="auto"/>
      </w:pPr>
      <w:r>
        <w:continuationSeparator/>
      </w:r>
    </w:p>
  </w:footnote>
  <w:footnote w:type="continuationNotice" w:id="1">
    <w:p w14:paraId="1925113E" w14:textId="77777777" w:rsidR="00925470" w:rsidRDefault="00925470">
      <w:pPr>
        <w:spacing w:after="0" w:line="240" w:lineRule="auto"/>
      </w:pPr>
    </w:p>
  </w:footnote>
  <w:footnote w:id="2">
    <w:p w14:paraId="512CA87B" w14:textId="77777777" w:rsidR="00FA41B9" w:rsidRPr="00D31134" w:rsidRDefault="00FA41B9" w:rsidP="00FA41B9">
      <w:pPr>
        <w:pStyle w:val="Textonotapie"/>
        <w:rPr>
          <w:lang w:val="es-CO"/>
        </w:rPr>
      </w:pPr>
      <w:r>
        <w:rPr>
          <w:rStyle w:val="Refdenotaalpie"/>
        </w:rPr>
        <w:footnoteRef/>
      </w:r>
      <w:r>
        <w:t xml:space="preserve"> </w:t>
      </w:r>
      <w:r w:rsidRPr="00F46F37">
        <w:rPr>
          <w:lang w:val="es-CO"/>
        </w:rPr>
        <w:t>ROPPO, Vincenzo. El contrato. Lima: Gaceta Jurídica, 2009. p. 547.</w:t>
      </w:r>
    </w:p>
  </w:footnote>
  <w:footnote w:id="3">
    <w:p w14:paraId="39485DB6" w14:textId="77777777" w:rsidR="00FA41B9" w:rsidRPr="00F46F37" w:rsidRDefault="00FA41B9" w:rsidP="00FA41B9">
      <w:pPr>
        <w:pStyle w:val="Textonotapie"/>
      </w:pPr>
      <w:r>
        <w:rPr>
          <w:rStyle w:val="Refdenotaalpie"/>
        </w:rPr>
        <w:footnoteRef/>
      </w:r>
      <w:r>
        <w:t xml:space="preserve"> ibidem</w:t>
      </w:r>
    </w:p>
  </w:footnote>
  <w:footnote w:id="4">
    <w:p w14:paraId="283FDF98" w14:textId="77777777" w:rsidR="00FA41B9" w:rsidRPr="00F46F37" w:rsidRDefault="00FA41B9" w:rsidP="00FA41B9">
      <w:pPr>
        <w:pStyle w:val="Textonotapie"/>
        <w:rPr>
          <w:lang w:val="es-CO"/>
        </w:rPr>
      </w:pPr>
      <w:r>
        <w:rPr>
          <w:rStyle w:val="Refdenotaalpie"/>
        </w:rPr>
        <w:footnoteRef/>
      </w:r>
      <w:r>
        <w:t xml:space="preserve"> </w:t>
      </w:r>
      <w:r w:rsidRPr="00F46F37">
        <w:rPr>
          <w:lang w:val="es-CO"/>
        </w:rPr>
        <w:t xml:space="preserve">Concepto C 100-2024 Expedido por la Agencia Nacional de Compra Pública Colombia Compra Eficiente, el cual puede ser consultado en https://relatoria.colombiacompra.gov.co/ </w:t>
      </w:r>
    </w:p>
    <w:p w14:paraId="357180D8" w14:textId="77777777" w:rsidR="00FA41B9" w:rsidRPr="00D31134" w:rsidRDefault="00FA41B9" w:rsidP="00FA41B9">
      <w:pPr>
        <w:pStyle w:val="Textonotapie"/>
        <w:rPr>
          <w:lang w:val="es-CO"/>
        </w:rPr>
      </w:pPr>
    </w:p>
  </w:footnote>
  <w:footnote w:id="5">
    <w:p w14:paraId="5E68A1E7" w14:textId="77777777" w:rsidR="00FA41B9" w:rsidRPr="00693967" w:rsidRDefault="00FA41B9" w:rsidP="00FA41B9">
      <w:pPr>
        <w:pStyle w:val="Textonotapie"/>
        <w:ind w:firstLine="708"/>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Al respecto, el artículo 887 del Código de Comercio dispone lo siguiente: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14:paraId="6F180709" w14:textId="77777777" w:rsidR="00FA41B9" w:rsidRPr="00693967" w:rsidRDefault="00FA41B9" w:rsidP="00FA41B9">
      <w:pPr>
        <w:pStyle w:val="Textonotapie"/>
        <w:ind w:firstLine="708"/>
        <w:jc w:val="both"/>
        <w:rPr>
          <w:rFonts w:ascii="Verdana" w:hAnsi="Verdana" w:cs="Arial"/>
          <w:sz w:val="10"/>
          <w:szCs w:val="10"/>
        </w:rPr>
      </w:pPr>
      <w:r w:rsidRPr="00693967">
        <w:rPr>
          <w:rFonts w:ascii="Verdana" w:hAnsi="Verdana" w:cs="Arial"/>
          <w:sz w:val="10"/>
          <w:szCs w:val="10"/>
        </w:rPr>
        <w:t xml:space="preserve">La misma sustitución podrá hacerse en los contratos mercantiles de ejecución instantánea que aún no hayan sido cumplidos en todo o en parte, y en los celebrados </w:t>
      </w:r>
      <w:r w:rsidRPr="00693967">
        <w:rPr>
          <w:rFonts w:ascii="Verdana" w:hAnsi="Verdana" w:cs="Arial"/>
          <w:i/>
          <w:iCs/>
          <w:sz w:val="10"/>
          <w:szCs w:val="10"/>
        </w:rPr>
        <w:t>intuitu personae</w:t>
      </w:r>
      <w:r w:rsidRPr="00693967">
        <w:rPr>
          <w:rFonts w:ascii="Verdana" w:hAnsi="Verdana" w:cs="Arial"/>
          <w:sz w:val="10"/>
          <w:szCs w:val="10"/>
        </w:rPr>
        <w:t>, pero en estos casos será necesaria la aceptación del contratante cedido”.</w:t>
      </w:r>
    </w:p>
    <w:p w14:paraId="07D2E899" w14:textId="77777777" w:rsidR="00FA41B9" w:rsidRDefault="00FA41B9" w:rsidP="00FA41B9">
      <w:pPr>
        <w:pStyle w:val="Textonotapie"/>
        <w:ind w:firstLine="708"/>
        <w:jc w:val="both"/>
        <w:rPr>
          <w:rFonts w:ascii="Verdana" w:hAnsi="Verdana" w:cs="Arial"/>
          <w:sz w:val="10"/>
          <w:szCs w:val="10"/>
        </w:rPr>
      </w:pPr>
      <w:r w:rsidRPr="00693967">
        <w:rPr>
          <w:rFonts w:ascii="Verdana" w:hAnsi="Verdana" w:cs="Arial"/>
          <w:sz w:val="10"/>
          <w:szCs w:val="10"/>
        </w:rPr>
        <w:t>En contraste, el artículo 1959 del Código Civil prescribe que “La cesión de un crédito, a cualquier título que se haga, no tendrá efecto entre el cedente y el cesionario sino en virtud de la entrega del título. Pero si el crédito que se cede no consta en documento, la cesión puede hacerse otorgándose uno por el cedente al cesionario, y en este caso la notificación de que trata el artículo 1961 debe hacerse con exhibición de dicho documento”.</w:t>
      </w:r>
    </w:p>
    <w:p w14:paraId="4131E0AB" w14:textId="77777777" w:rsidR="00FA41B9" w:rsidRPr="00693967" w:rsidRDefault="00FA41B9" w:rsidP="00FA41B9">
      <w:pPr>
        <w:pStyle w:val="Textonotapie"/>
        <w:ind w:firstLine="708"/>
        <w:jc w:val="both"/>
        <w:rPr>
          <w:rFonts w:ascii="Verdana" w:hAnsi="Verdana" w:cs="Arial"/>
          <w:sz w:val="10"/>
          <w:szCs w:val="10"/>
        </w:rPr>
      </w:pPr>
    </w:p>
  </w:footnote>
  <w:footnote w:id="6">
    <w:p w14:paraId="3184C49B" w14:textId="77777777" w:rsidR="00FA41B9" w:rsidRPr="00693967" w:rsidRDefault="00FA41B9" w:rsidP="00FA41B9">
      <w:pPr>
        <w:pStyle w:val="Textonotapie"/>
        <w:ind w:firstLine="708"/>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MESSINEO, Francesco. Doctrina general del contrato. Santiago: Olejnik, 2018. p. 633. Énfasis dentro del texto).</w:t>
      </w:r>
    </w:p>
  </w:footnote>
  <w:footnote w:id="7">
    <w:p w14:paraId="4D7748E5" w14:textId="77777777" w:rsidR="00FA41B9" w:rsidRPr="00693967" w:rsidRDefault="00FA41B9" w:rsidP="00FA41B9">
      <w:pPr>
        <w:pStyle w:val="Textonotapie"/>
        <w:ind w:firstLine="708"/>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No en vano, “Quien contrata con la administración debe reunir condiciones previas, acreditadas por muy distintos medios, relativas a su capacidad técnica, financiera e incluso moral. De esas personas se ha seleccionado aquella que resulta la más conveniente para el caso, y esa persona no puede ser reemplazada por otra, por la sola decisión de ese cocontratante.</w:t>
      </w:r>
    </w:p>
    <w:p w14:paraId="74346A2E" w14:textId="77777777" w:rsidR="00FA41B9" w:rsidRDefault="00FA41B9" w:rsidP="00FA41B9">
      <w:pPr>
        <w:pStyle w:val="Textonotapie"/>
        <w:ind w:firstLine="708"/>
        <w:jc w:val="both"/>
        <w:rPr>
          <w:rFonts w:ascii="Verdana" w:hAnsi="Verdana" w:cs="Arial"/>
          <w:sz w:val="10"/>
          <w:szCs w:val="10"/>
        </w:rPr>
      </w:pPr>
      <w:r w:rsidRPr="00693967">
        <w:rPr>
          <w:rFonts w:ascii="Verdana" w:hAnsi="Verdana" w:cs="Arial"/>
          <w:sz w:val="10"/>
          <w:szCs w:val="10"/>
        </w:rPr>
        <w:t>De ahí que el principio del cumplimiento personal de sus obligaciones por el cocontratante particular es una exigencia del contrato administrativo que resulta de su naturaleza, por lo que su aplicación es ineludible, aun en los casos en que no existen cláusulas expresas que impongan esa prestación personal o que prohíban la cesión o trasferencia del contrato o la subcontratación” (ESCOLA, Jorge. Tratado integral de los contratos administrativos. Volumen I. Buenos Aires: Depalma, 2012. p. 424).</w:t>
      </w:r>
    </w:p>
    <w:p w14:paraId="19DA639E" w14:textId="77777777" w:rsidR="00FA41B9" w:rsidRPr="00693967" w:rsidRDefault="00FA41B9" w:rsidP="00FA41B9">
      <w:pPr>
        <w:pStyle w:val="Textonotapie"/>
        <w:ind w:firstLine="708"/>
        <w:jc w:val="both"/>
        <w:rPr>
          <w:rFonts w:ascii="Verdana" w:hAnsi="Verdana" w:cs="Arial"/>
          <w:sz w:val="10"/>
          <w:szCs w:val="10"/>
        </w:rPr>
      </w:pPr>
    </w:p>
  </w:footnote>
  <w:footnote w:id="8">
    <w:p w14:paraId="6A2C7671" w14:textId="77777777" w:rsidR="00FA41B9" w:rsidRPr="00693967" w:rsidRDefault="00FA41B9" w:rsidP="00FA41B9">
      <w:pPr>
        <w:pStyle w:val="Textonotapie"/>
        <w:ind w:firstLine="708"/>
        <w:jc w:val="both"/>
        <w:rPr>
          <w:rFonts w:ascii="Verdana" w:hAnsi="Verdana" w:cs="Arial"/>
          <w:sz w:val="10"/>
          <w:szCs w:val="10"/>
          <w:lang w:val="es-ES"/>
        </w:rPr>
      </w:pPr>
      <w:r w:rsidRPr="00693967">
        <w:rPr>
          <w:rStyle w:val="Refdenotaalpie"/>
          <w:rFonts w:ascii="Verdana" w:hAnsi="Verdana" w:cs="Arial"/>
          <w:sz w:val="10"/>
          <w:szCs w:val="10"/>
        </w:rPr>
        <w:footnoteRef/>
      </w:r>
      <w:r w:rsidRPr="00693967">
        <w:rPr>
          <w:rFonts w:ascii="Verdana" w:hAnsi="Verdana" w:cs="Arial"/>
          <w:sz w:val="10"/>
          <w:szCs w:val="10"/>
        </w:rPr>
        <w:t xml:space="preserve"> MARIENHOFF, Miguel S. Tratado de derecho administrativo. Tomo IIIA. Cuarta Edición. Buenos Aires: Abeledo Perrot, 1998. p. 318. Énfasis dentro del texto.</w:t>
      </w:r>
    </w:p>
  </w:footnote>
  <w:footnote w:id="9">
    <w:p w14:paraId="46C8C948" w14:textId="77777777" w:rsidR="00FA41B9" w:rsidRDefault="00FA41B9" w:rsidP="00FA41B9">
      <w:pPr>
        <w:pStyle w:val="Textonotapie"/>
        <w:ind w:firstLine="708"/>
        <w:jc w:val="both"/>
        <w:rPr>
          <w:rFonts w:ascii="Verdana" w:hAnsi="Verdana" w:cs="Arial"/>
          <w:sz w:val="10"/>
          <w:szCs w:val="10"/>
        </w:rPr>
      </w:pPr>
    </w:p>
    <w:p w14:paraId="1FDEAF24" w14:textId="77777777" w:rsidR="00FA41B9" w:rsidRPr="00693967" w:rsidRDefault="00FA41B9" w:rsidP="00FA41B9">
      <w:pPr>
        <w:pStyle w:val="Textonotapie"/>
        <w:ind w:firstLine="708"/>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RAMÍREZ GRISALES, Richard. La cesión. Serie: Las cláusulas del contrato estatal. Medellín: Centro de Estudios de Derecho Administrativo –CEDA– y Librería Jurídica Sánchez R., 2014. pp. 71-72.</w:t>
      </w:r>
    </w:p>
  </w:footnote>
  <w:footnote w:id="10">
    <w:p w14:paraId="3CF1C5B4" w14:textId="77777777" w:rsidR="00FA41B9" w:rsidRPr="00693967" w:rsidRDefault="00FA41B9" w:rsidP="00FA41B9">
      <w:pPr>
        <w:pStyle w:val="Textonotapie"/>
        <w:ind w:firstLine="709"/>
        <w:jc w:val="both"/>
        <w:rPr>
          <w:rFonts w:ascii="Verdana" w:hAnsi="Verdana" w:cs="Arial"/>
          <w:sz w:val="10"/>
          <w:szCs w:val="10"/>
          <w:lang w:val="es-ES"/>
        </w:rPr>
      </w:pPr>
      <w:r w:rsidRPr="00693967">
        <w:rPr>
          <w:rStyle w:val="Refdenotaalpie"/>
          <w:rFonts w:ascii="Verdana" w:hAnsi="Verdana" w:cs="Arial"/>
          <w:sz w:val="10"/>
          <w:szCs w:val="10"/>
        </w:rPr>
        <w:footnoteRef/>
      </w:r>
      <w:r w:rsidRPr="00693967">
        <w:rPr>
          <w:rFonts w:ascii="Verdana" w:hAnsi="Verdana" w:cs="Arial"/>
          <w:sz w:val="10"/>
          <w:szCs w:val="10"/>
        </w:rPr>
        <w:t xml:space="preserve"> </w:t>
      </w:r>
      <w:r w:rsidRPr="00693967">
        <w:rPr>
          <w:rFonts w:ascii="Verdana" w:hAnsi="Verdana" w:cs="Arial"/>
          <w:sz w:val="10"/>
          <w:szCs w:val="10"/>
          <w:lang w:val="es-ES"/>
        </w:rPr>
        <w:t>Consejo de Estado, Sección Tercera, Sentencia del 16 de marzo de 2015, Rad. 1999-03028, M.P. Jaime Orlando 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807785"/>
    <w:multiLevelType w:val="hybridMultilevel"/>
    <w:tmpl w:val="F956D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BC59B1"/>
    <w:multiLevelType w:val="hybridMultilevel"/>
    <w:tmpl w:val="9B9AECF8"/>
    <w:lvl w:ilvl="0" w:tplc="7AF69CD2">
      <w:start w:val="1"/>
      <w:numFmt w:val="lowerRoman"/>
      <w:lvlText w:val="%1)"/>
      <w:lvlJc w:val="left"/>
      <w:pPr>
        <w:ind w:left="1440" w:hanging="720"/>
      </w:pPr>
      <w:rPr>
        <w:rFonts w:ascii="Verdana" w:hAnsi="Verdana"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D2527E0"/>
    <w:multiLevelType w:val="hybridMultilevel"/>
    <w:tmpl w:val="DD7EB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F6F64BE"/>
    <w:multiLevelType w:val="hybridMultilevel"/>
    <w:tmpl w:val="F5A09EF0"/>
    <w:lvl w:ilvl="0" w:tplc="92788410">
      <w:start w:val="1"/>
      <w:numFmt w:val="decimal"/>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42501D3"/>
    <w:multiLevelType w:val="hybridMultilevel"/>
    <w:tmpl w:val="37460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B30A72"/>
    <w:multiLevelType w:val="hybridMultilevel"/>
    <w:tmpl w:val="F40AE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4" w15:restartNumberingAfterBreak="0">
    <w:nsid w:val="4FF47D1A"/>
    <w:multiLevelType w:val="multilevel"/>
    <w:tmpl w:val="30D6D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DD0257"/>
    <w:multiLevelType w:val="hybridMultilevel"/>
    <w:tmpl w:val="CA6C1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C50FF7"/>
    <w:multiLevelType w:val="hybridMultilevel"/>
    <w:tmpl w:val="559E1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62D0928"/>
    <w:multiLevelType w:val="hybridMultilevel"/>
    <w:tmpl w:val="1460E82C"/>
    <w:lvl w:ilvl="0" w:tplc="B5643C1A">
      <w:numFmt w:val="bullet"/>
      <w:lvlText w:val="-"/>
      <w:lvlJc w:val="left"/>
      <w:pPr>
        <w:ind w:left="435" w:hanging="360"/>
      </w:pPr>
      <w:rPr>
        <w:rFonts w:ascii="Verdana" w:eastAsia="Calibri" w:hAnsi="Verdana" w:cs="Aria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18" w15:restartNumberingAfterBreak="0">
    <w:nsid w:val="68886460"/>
    <w:multiLevelType w:val="hybridMultilevel"/>
    <w:tmpl w:val="59BAC92C"/>
    <w:lvl w:ilvl="0" w:tplc="6556F346">
      <w:start w:val="1"/>
      <w:numFmt w:val="decimal"/>
      <w:lvlText w:val="%1."/>
      <w:lvlJc w:val="left"/>
      <w:pPr>
        <w:ind w:left="972" w:hanging="360"/>
      </w:pPr>
      <w:rPr>
        <w:rFonts w:hint="default"/>
      </w:rPr>
    </w:lvl>
    <w:lvl w:ilvl="1" w:tplc="240A0019" w:tentative="1">
      <w:start w:val="1"/>
      <w:numFmt w:val="lowerLetter"/>
      <w:lvlText w:val="%2."/>
      <w:lvlJc w:val="left"/>
      <w:pPr>
        <w:ind w:left="1692" w:hanging="360"/>
      </w:pPr>
    </w:lvl>
    <w:lvl w:ilvl="2" w:tplc="240A001B" w:tentative="1">
      <w:start w:val="1"/>
      <w:numFmt w:val="lowerRoman"/>
      <w:lvlText w:val="%3."/>
      <w:lvlJc w:val="right"/>
      <w:pPr>
        <w:ind w:left="2412" w:hanging="180"/>
      </w:pPr>
    </w:lvl>
    <w:lvl w:ilvl="3" w:tplc="240A000F" w:tentative="1">
      <w:start w:val="1"/>
      <w:numFmt w:val="decimal"/>
      <w:lvlText w:val="%4."/>
      <w:lvlJc w:val="left"/>
      <w:pPr>
        <w:ind w:left="3132" w:hanging="360"/>
      </w:pPr>
    </w:lvl>
    <w:lvl w:ilvl="4" w:tplc="240A0019" w:tentative="1">
      <w:start w:val="1"/>
      <w:numFmt w:val="lowerLetter"/>
      <w:lvlText w:val="%5."/>
      <w:lvlJc w:val="left"/>
      <w:pPr>
        <w:ind w:left="3852" w:hanging="360"/>
      </w:pPr>
    </w:lvl>
    <w:lvl w:ilvl="5" w:tplc="240A001B" w:tentative="1">
      <w:start w:val="1"/>
      <w:numFmt w:val="lowerRoman"/>
      <w:lvlText w:val="%6."/>
      <w:lvlJc w:val="right"/>
      <w:pPr>
        <w:ind w:left="4572" w:hanging="180"/>
      </w:pPr>
    </w:lvl>
    <w:lvl w:ilvl="6" w:tplc="240A000F" w:tentative="1">
      <w:start w:val="1"/>
      <w:numFmt w:val="decimal"/>
      <w:lvlText w:val="%7."/>
      <w:lvlJc w:val="left"/>
      <w:pPr>
        <w:ind w:left="5292" w:hanging="360"/>
      </w:pPr>
    </w:lvl>
    <w:lvl w:ilvl="7" w:tplc="240A0019" w:tentative="1">
      <w:start w:val="1"/>
      <w:numFmt w:val="lowerLetter"/>
      <w:lvlText w:val="%8."/>
      <w:lvlJc w:val="left"/>
      <w:pPr>
        <w:ind w:left="6012" w:hanging="360"/>
      </w:pPr>
    </w:lvl>
    <w:lvl w:ilvl="8" w:tplc="240A001B" w:tentative="1">
      <w:start w:val="1"/>
      <w:numFmt w:val="lowerRoman"/>
      <w:lvlText w:val="%9."/>
      <w:lvlJc w:val="right"/>
      <w:pPr>
        <w:ind w:left="6732" w:hanging="180"/>
      </w:pPr>
    </w:lvl>
  </w:abstractNum>
  <w:abstractNum w:abstractNumId="19"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0" w15:restartNumberingAfterBreak="0">
    <w:nsid w:val="781C0F7C"/>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90670214">
    <w:abstractNumId w:val="9"/>
  </w:num>
  <w:num w:numId="2" w16cid:durableId="4285022">
    <w:abstractNumId w:val="2"/>
  </w:num>
  <w:num w:numId="3" w16cid:durableId="881983949">
    <w:abstractNumId w:val="3"/>
  </w:num>
  <w:num w:numId="4" w16cid:durableId="341274352">
    <w:abstractNumId w:val="0"/>
  </w:num>
  <w:num w:numId="5" w16cid:durableId="1887524674">
    <w:abstractNumId w:val="13"/>
  </w:num>
  <w:num w:numId="6" w16cid:durableId="1082990391">
    <w:abstractNumId w:val="1"/>
  </w:num>
  <w:num w:numId="7" w16cid:durableId="1492209491">
    <w:abstractNumId w:val="8"/>
  </w:num>
  <w:num w:numId="8" w16cid:durableId="679089576">
    <w:abstractNumId w:val="10"/>
  </w:num>
  <w:num w:numId="9" w16cid:durableId="38668947">
    <w:abstractNumId w:val="19"/>
  </w:num>
  <w:num w:numId="10" w16cid:durableId="530729171">
    <w:abstractNumId w:val="20"/>
  </w:num>
  <w:num w:numId="11" w16cid:durableId="1332373419">
    <w:abstractNumId w:val="7"/>
  </w:num>
  <w:num w:numId="12" w16cid:durableId="1335765048">
    <w:abstractNumId w:val="18"/>
  </w:num>
  <w:num w:numId="13" w16cid:durableId="260576391">
    <w:abstractNumId w:val="11"/>
  </w:num>
  <w:num w:numId="14" w16cid:durableId="18451212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2355891">
    <w:abstractNumId w:val="6"/>
  </w:num>
  <w:num w:numId="16" w16cid:durableId="1474638032">
    <w:abstractNumId w:val="17"/>
  </w:num>
  <w:num w:numId="17" w16cid:durableId="372116021">
    <w:abstractNumId w:val="12"/>
  </w:num>
  <w:num w:numId="18" w16cid:durableId="856845149">
    <w:abstractNumId w:val="14"/>
  </w:num>
  <w:num w:numId="19" w16cid:durableId="61874046">
    <w:abstractNumId w:val="16"/>
  </w:num>
  <w:num w:numId="20" w16cid:durableId="794831771">
    <w:abstractNumId w:val="4"/>
  </w:num>
  <w:num w:numId="21" w16cid:durableId="328875954">
    <w:abstractNumId w:val="15"/>
  </w:num>
  <w:num w:numId="22" w16cid:durableId="1942368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05F81"/>
    <w:rsid w:val="0001025F"/>
    <w:rsid w:val="0001222D"/>
    <w:rsid w:val="000135EB"/>
    <w:rsid w:val="0001363C"/>
    <w:rsid w:val="00015D2B"/>
    <w:rsid w:val="00031584"/>
    <w:rsid w:val="00032A0E"/>
    <w:rsid w:val="00033C4D"/>
    <w:rsid w:val="00037347"/>
    <w:rsid w:val="0004221D"/>
    <w:rsid w:val="000442CC"/>
    <w:rsid w:val="000556D4"/>
    <w:rsid w:val="00061AA2"/>
    <w:rsid w:val="000716AB"/>
    <w:rsid w:val="00080BEF"/>
    <w:rsid w:val="00082E4C"/>
    <w:rsid w:val="000849D5"/>
    <w:rsid w:val="0008528F"/>
    <w:rsid w:val="000A563E"/>
    <w:rsid w:val="000A6E0C"/>
    <w:rsid w:val="000A7A56"/>
    <w:rsid w:val="000B1FF7"/>
    <w:rsid w:val="000B2513"/>
    <w:rsid w:val="000B4024"/>
    <w:rsid w:val="000B6EA6"/>
    <w:rsid w:val="000C3C51"/>
    <w:rsid w:val="000C7262"/>
    <w:rsid w:val="000D2A7F"/>
    <w:rsid w:val="000D4FCE"/>
    <w:rsid w:val="0011037E"/>
    <w:rsid w:val="001363C7"/>
    <w:rsid w:val="00137463"/>
    <w:rsid w:val="00141AC5"/>
    <w:rsid w:val="001453D4"/>
    <w:rsid w:val="00146B11"/>
    <w:rsid w:val="00147A04"/>
    <w:rsid w:val="0015476D"/>
    <w:rsid w:val="00161E13"/>
    <w:rsid w:val="00164AE0"/>
    <w:rsid w:val="00165E83"/>
    <w:rsid w:val="00166CD7"/>
    <w:rsid w:val="001673A9"/>
    <w:rsid w:val="0017120C"/>
    <w:rsid w:val="00172F3A"/>
    <w:rsid w:val="001765C3"/>
    <w:rsid w:val="0019532A"/>
    <w:rsid w:val="0019670E"/>
    <w:rsid w:val="00197205"/>
    <w:rsid w:val="001A2B94"/>
    <w:rsid w:val="001A5DD4"/>
    <w:rsid w:val="001A67E9"/>
    <w:rsid w:val="001A7A97"/>
    <w:rsid w:val="001B143B"/>
    <w:rsid w:val="001B21CA"/>
    <w:rsid w:val="001C04FC"/>
    <w:rsid w:val="001C25A3"/>
    <w:rsid w:val="001C5D03"/>
    <w:rsid w:val="001C7771"/>
    <w:rsid w:val="001D117D"/>
    <w:rsid w:val="001D62FF"/>
    <w:rsid w:val="001E40A4"/>
    <w:rsid w:val="001F3F48"/>
    <w:rsid w:val="002000AA"/>
    <w:rsid w:val="00204109"/>
    <w:rsid w:val="00211E6E"/>
    <w:rsid w:val="00212A46"/>
    <w:rsid w:val="0021401D"/>
    <w:rsid w:val="002146B8"/>
    <w:rsid w:val="00215516"/>
    <w:rsid w:val="00246693"/>
    <w:rsid w:val="002515CF"/>
    <w:rsid w:val="002527C2"/>
    <w:rsid w:val="00263BB6"/>
    <w:rsid w:val="00270443"/>
    <w:rsid w:val="00270EE2"/>
    <w:rsid w:val="00272972"/>
    <w:rsid w:val="00276D00"/>
    <w:rsid w:val="00286491"/>
    <w:rsid w:val="002A0F8D"/>
    <w:rsid w:val="002A1C03"/>
    <w:rsid w:val="002B6E44"/>
    <w:rsid w:val="002C2DE8"/>
    <w:rsid w:val="002C44DA"/>
    <w:rsid w:val="002E1DB5"/>
    <w:rsid w:val="002E70C0"/>
    <w:rsid w:val="002F6CCB"/>
    <w:rsid w:val="0030001A"/>
    <w:rsid w:val="0030461E"/>
    <w:rsid w:val="00322559"/>
    <w:rsid w:val="0032756A"/>
    <w:rsid w:val="00334EF8"/>
    <w:rsid w:val="00336408"/>
    <w:rsid w:val="00340DFB"/>
    <w:rsid w:val="00341913"/>
    <w:rsid w:val="0034404F"/>
    <w:rsid w:val="00356980"/>
    <w:rsid w:val="00366CB2"/>
    <w:rsid w:val="00367462"/>
    <w:rsid w:val="00371ECA"/>
    <w:rsid w:val="00372748"/>
    <w:rsid w:val="0037332A"/>
    <w:rsid w:val="00373639"/>
    <w:rsid w:val="0038151A"/>
    <w:rsid w:val="0039082A"/>
    <w:rsid w:val="00390C21"/>
    <w:rsid w:val="00391884"/>
    <w:rsid w:val="003A27C5"/>
    <w:rsid w:val="003A37BD"/>
    <w:rsid w:val="003B6A61"/>
    <w:rsid w:val="003B6D94"/>
    <w:rsid w:val="003C4C96"/>
    <w:rsid w:val="003C55E0"/>
    <w:rsid w:val="003E486B"/>
    <w:rsid w:val="003E5E30"/>
    <w:rsid w:val="003F519B"/>
    <w:rsid w:val="0040544F"/>
    <w:rsid w:val="00406A19"/>
    <w:rsid w:val="0041222D"/>
    <w:rsid w:val="0041483E"/>
    <w:rsid w:val="00415369"/>
    <w:rsid w:val="00430492"/>
    <w:rsid w:val="00430AC6"/>
    <w:rsid w:val="00434A93"/>
    <w:rsid w:val="00450BE7"/>
    <w:rsid w:val="0046741E"/>
    <w:rsid w:val="00472CC6"/>
    <w:rsid w:val="0048026E"/>
    <w:rsid w:val="004807A9"/>
    <w:rsid w:val="004813EE"/>
    <w:rsid w:val="00493278"/>
    <w:rsid w:val="004943D9"/>
    <w:rsid w:val="004A0E7B"/>
    <w:rsid w:val="004A3498"/>
    <w:rsid w:val="004A78C0"/>
    <w:rsid w:val="004B0C45"/>
    <w:rsid w:val="004B7D1E"/>
    <w:rsid w:val="004C0AB2"/>
    <w:rsid w:val="004C1619"/>
    <w:rsid w:val="004C1A26"/>
    <w:rsid w:val="004C1CC9"/>
    <w:rsid w:val="004C3755"/>
    <w:rsid w:val="004C4485"/>
    <w:rsid w:val="004C5BCE"/>
    <w:rsid w:val="004D11AF"/>
    <w:rsid w:val="004F1CE2"/>
    <w:rsid w:val="00500DFA"/>
    <w:rsid w:val="005019AA"/>
    <w:rsid w:val="005021BB"/>
    <w:rsid w:val="005116D4"/>
    <w:rsid w:val="005139E7"/>
    <w:rsid w:val="005147DA"/>
    <w:rsid w:val="00515FB5"/>
    <w:rsid w:val="00521D66"/>
    <w:rsid w:val="0052365C"/>
    <w:rsid w:val="005249B4"/>
    <w:rsid w:val="005271EB"/>
    <w:rsid w:val="005426DB"/>
    <w:rsid w:val="005446FB"/>
    <w:rsid w:val="0055082B"/>
    <w:rsid w:val="00552503"/>
    <w:rsid w:val="00552B57"/>
    <w:rsid w:val="00552E17"/>
    <w:rsid w:val="00557DA1"/>
    <w:rsid w:val="0056322C"/>
    <w:rsid w:val="0058743A"/>
    <w:rsid w:val="00597B7B"/>
    <w:rsid w:val="005A4DB0"/>
    <w:rsid w:val="005A6AB4"/>
    <w:rsid w:val="005A7B8E"/>
    <w:rsid w:val="005B012B"/>
    <w:rsid w:val="005B0C87"/>
    <w:rsid w:val="005B5614"/>
    <w:rsid w:val="005D23F6"/>
    <w:rsid w:val="005D2FA8"/>
    <w:rsid w:val="005E2281"/>
    <w:rsid w:val="005E5A9C"/>
    <w:rsid w:val="005E667C"/>
    <w:rsid w:val="005F077C"/>
    <w:rsid w:val="005F63D0"/>
    <w:rsid w:val="005F7973"/>
    <w:rsid w:val="00606123"/>
    <w:rsid w:val="00610E87"/>
    <w:rsid w:val="0061690E"/>
    <w:rsid w:val="00616AA3"/>
    <w:rsid w:val="006240FA"/>
    <w:rsid w:val="00627361"/>
    <w:rsid w:val="0063017E"/>
    <w:rsid w:val="00631B28"/>
    <w:rsid w:val="0063760F"/>
    <w:rsid w:val="00643FE6"/>
    <w:rsid w:val="00645B90"/>
    <w:rsid w:val="00650991"/>
    <w:rsid w:val="006511D7"/>
    <w:rsid w:val="00663D75"/>
    <w:rsid w:val="00670AEF"/>
    <w:rsid w:val="0067304C"/>
    <w:rsid w:val="00675678"/>
    <w:rsid w:val="00677012"/>
    <w:rsid w:val="006825B4"/>
    <w:rsid w:val="006828FB"/>
    <w:rsid w:val="00682AF2"/>
    <w:rsid w:val="006864DF"/>
    <w:rsid w:val="006A3C8A"/>
    <w:rsid w:val="006A7552"/>
    <w:rsid w:val="006B215C"/>
    <w:rsid w:val="006B5953"/>
    <w:rsid w:val="006B7A81"/>
    <w:rsid w:val="006C4BAC"/>
    <w:rsid w:val="006C52F3"/>
    <w:rsid w:val="006E38F0"/>
    <w:rsid w:val="006E7F37"/>
    <w:rsid w:val="006F3B81"/>
    <w:rsid w:val="006F46A5"/>
    <w:rsid w:val="006F4F79"/>
    <w:rsid w:val="006F7AAA"/>
    <w:rsid w:val="00705B37"/>
    <w:rsid w:val="00711FD9"/>
    <w:rsid w:val="00726872"/>
    <w:rsid w:val="00735062"/>
    <w:rsid w:val="007373D7"/>
    <w:rsid w:val="007463F8"/>
    <w:rsid w:val="00746BA5"/>
    <w:rsid w:val="00751D23"/>
    <w:rsid w:val="0075728B"/>
    <w:rsid w:val="00757732"/>
    <w:rsid w:val="00761608"/>
    <w:rsid w:val="00764CC7"/>
    <w:rsid w:val="00770577"/>
    <w:rsid w:val="00777666"/>
    <w:rsid w:val="0078159B"/>
    <w:rsid w:val="00782E10"/>
    <w:rsid w:val="0078706B"/>
    <w:rsid w:val="00790836"/>
    <w:rsid w:val="00793B81"/>
    <w:rsid w:val="00797131"/>
    <w:rsid w:val="007A3C1D"/>
    <w:rsid w:val="007B0E89"/>
    <w:rsid w:val="007B285D"/>
    <w:rsid w:val="007C6BC6"/>
    <w:rsid w:val="007F021B"/>
    <w:rsid w:val="00804861"/>
    <w:rsid w:val="00807D79"/>
    <w:rsid w:val="00811B0F"/>
    <w:rsid w:val="00813634"/>
    <w:rsid w:val="00822821"/>
    <w:rsid w:val="00831C29"/>
    <w:rsid w:val="00841945"/>
    <w:rsid w:val="008431EF"/>
    <w:rsid w:val="008468E0"/>
    <w:rsid w:val="008718C8"/>
    <w:rsid w:val="00871B59"/>
    <w:rsid w:val="00872CAC"/>
    <w:rsid w:val="00877D03"/>
    <w:rsid w:val="00877E96"/>
    <w:rsid w:val="008806CA"/>
    <w:rsid w:val="008815E5"/>
    <w:rsid w:val="008877BA"/>
    <w:rsid w:val="00887B37"/>
    <w:rsid w:val="0089038D"/>
    <w:rsid w:val="008909B9"/>
    <w:rsid w:val="00891DFC"/>
    <w:rsid w:val="008A1313"/>
    <w:rsid w:val="008B12B4"/>
    <w:rsid w:val="008B7914"/>
    <w:rsid w:val="008C5D2A"/>
    <w:rsid w:val="008C7AF4"/>
    <w:rsid w:val="008D4E57"/>
    <w:rsid w:val="008D529F"/>
    <w:rsid w:val="008E0D84"/>
    <w:rsid w:val="008E43AF"/>
    <w:rsid w:val="008F5CC8"/>
    <w:rsid w:val="009061B8"/>
    <w:rsid w:val="0091008B"/>
    <w:rsid w:val="00911EA2"/>
    <w:rsid w:val="00916C7D"/>
    <w:rsid w:val="00925470"/>
    <w:rsid w:val="0092575D"/>
    <w:rsid w:val="009341DA"/>
    <w:rsid w:val="009430F9"/>
    <w:rsid w:val="009442E8"/>
    <w:rsid w:val="00946BD0"/>
    <w:rsid w:val="0095426C"/>
    <w:rsid w:val="0096263D"/>
    <w:rsid w:val="00970087"/>
    <w:rsid w:val="00971074"/>
    <w:rsid w:val="0097275C"/>
    <w:rsid w:val="00975FAD"/>
    <w:rsid w:val="00995D86"/>
    <w:rsid w:val="009A35EB"/>
    <w:rsid w:val="009A4F19"/>
    <w:rsid w:val="009A5453"/>
    <w:rsid w:val="009B2585"/>
    <w:rsid w:val="009B4D94"/>
    <w:rsid w:val="009C0C4A"/>
    <w:rsid w:val="009C2871"/>
    <w:rsid w:val="009D3C33"/>
    <w:rsid w:val="009D7F3A"/>
    <w:rsid w:val="009E433F"/>
    <w:rsid w:val="009E4885"/>
    <w:rsid w:val="009E7DC2"/>
    <w:rsid w:val="009F56D5"/>
    <w:rsid w:val="00A012BD"/>
    <w:rsid w:val="00A07D76"/>
    <w:rsid w:val="00A07DB6"/>
    <w:rsid w:val="00A10A73"/>
    <w:rsid w:val="00A144C3"/>
    <w:rsid w:val="00A170B3"/>
    <w:rsid w:val="00A223D5"/>
    <w:rsid w:val="00A37D1C"/>
    <w:rsid w:val="00A5453E"/>
    <w:rsid w:val="00A547DD"/>
    <w:rsid w:val="00A56F6C"/>
    <w:rsid w:val="00A76C8C"/>
    <w:rsid w:val="00A85F30"/>
    <w:rsid w:val="00A9099E"/>
    <w:rsid w:val="00A91FB7"/>
    <w:rsid w:val="00A9298F"/>
    <w:rsid w:val="00A97878"/>
    <w:rsid w:val="00AA0351"/>
    <w:rsid w:val="00AA5F4A"/>
    <w:rsid w:val="00AB1984"/>
    <w:rsid w:val="00AB52B1"/>
    <w:rsid w:val="00AC4CB3"/>
    <w:rsid w:val="00AC780D"/>
    <w:rsid w:val="00AD036B"/>
    <w:rsid w:val="00AD1996"/>
    <w:rsid w:val="00AD4099"/>
    <w:rsid w:val="00AD4901"/>
    <w:rsid w:val="00B01F10"/>
    <w:rsid w:val="00B02FE0"/>
    <w:rsid w:val="00B057B6"/>
    <w:rsid w:val="00B24CFD"/>
    <w:rsid w:val="00B30448"/>
    <w:rsid w:val="00B34786"/>
    <w:rsid w:val="00B400EC"/>
    <w:rsid w:val="00B40162"/>
    <w:rsid w:val="00B41ACE"/>
    <w:rsid w:val="00B44076"/>
    <w:rsid w:val="00B50156"/>
    <w:rsid w:val="00B518AD"/>
    <w:rsid w:val="00B52A94"/>
    <w:rsid w:val="00B532D9"/>
    <w:rsid w:val="00B60A96"/>
    <w:rsid w:val="00B678EC"/>
    <w:rsid w:val="00B76C94"/>
    <w:rsid w:val="00B772D0"/>
    <w:rsid w:val="00B836EA"/>
    <w:rsid w:val="00B84C05"/>
    <w:rsid w:val="00B91B81"/>
    <w:rsid w:val="00B97135"/>
    <w:rsid w:val="00BA0E25"/>
    <w:rsid w:val="00BB3072"/>
    <w:rsid w:val="00BC199E"/>
    <w:rsid w:val="00BC7632"/>
    <w:rsid w:val="00BD48A9"/>
    <w:rsid w:val="00BD630F"/>
    <w:rsid w:val="00BD7EC6"/>
    <w:rsid w:val="00BE73FA"/>
    <w:rsid w:val="00BF6B4B"/>
    <w:rsid w:val="00C0511C"/>
    <w:rsid w:val="00C20ACF"/>
    <w:rsid w:val="00C22307"/>
    <w:rsid w:val="00C23469"/>
    <w:rsid w:val="00C30C62"/>
    <w:rsid w:val="00C371DF"/>
    <w:rsid w:val="00C42055"/>
    <w:rsid w:val="00C44B4C"/>
    <w:rsid w:val="00C46734"/>
    <w:rsid w:val="00C47A86"/>
    <w:rsid w:val="00C53220"/>
    <w:rsid w:val="00C60381"/>
    <w:rsid w:val="00C91364"/>
    <w:rsid w:val="00CA3347"/>
    <w:rsid w:val="00CC299A"/>
    <w:rsid w:val="00CD03E3"/>
    <w:rsid w:val="00CE40F7"/>
    <w:rsid w:val="00CE4D89"/>
    <w:rsid w:val="00CE6BDA"/>
    <w:rsid w:val="00CF72F1"/>
    <w:rsid w:val="00D03DBE"/>
    <w:rsid w:val="00D072C0"/>
    <w:rsid w:val="00D120AE"/>
    <w:rsid w:val="00D3077B"/>
    <w:rsid w:val="00D34C82"/>
    <w:rsid w:val="00D3757A"/>
    <w:rsid w:val="00D442D6"/>
    <w:rsid w:val="00D45EFD"/>
    <w:rsid w:val="00D504A9"/>
    <w:rsid w:val="00D5206D"/>
    <w:rsid w:val="00D52C59"/>
    <w:rsid w:val="00D63306"/>
    <w:rsid w:val="00D6662D"/>
    <w:rsid w:val="00D7177D"/>
    <w:rsid w:val="00D74013"/>
    <w:rsid w:val="00D76BF0"/>
    <w:rsid w:val="00D81311"/>
    <w:rsid w:val="00D96B96"/>
    <w:rsid w:val="00DB201E"/>
    <w:rsid w:val="00DB4356"/>
    <w:rsid w:val="00DC0E68"/>
    <w:rsid w:val="00DC4920"/>
    <w:rsid w:val="00DD25ED"/>
    <w:rsid w:val="00DD31C7"/>
    <w:rsid w:val="00DD3EEB"/>
    <w:rsid w:val="00DE0D6E"/>
    <w:rsid w:val="00DE402D"/>
    <w:rsid w:val="00E0003B"/>
    <w:rsid w:val="00E1610C"/>
    <w:rsid w:val="00E16D73"/>
    <w:rsid w:val="00E23E9E"/>
    <w:rsid w:val="00E25722"/>
    <w:rsid w:val="00E26368"/>
    <w:rsid w:val="00E27F0A"/>
    <w:rsid w:val="00E309F5"/>
    <w:rsid w:val="00E368C0"/>
    <w:rsid w:val="00E404E5"/>
    <w:rsid w:val="00E4231E"/>
    <w:rsid w:val="00E42DCA"/>
    <w:rsid w:val="00E4302C"/>
    <w:rsid w:val="00E44AC7"/>
    <w:rsid w:val="00E45F4B"/>
    <w:rsid w:val="00E4617A"/>
    <w:rsid w:val="00E53145"/>
    <w:rsid w:val="00E60A16"/>
    <w:rsid w:val="00E61334"/>
    <w:rsid w:val="00E62D90"/>
    <w:rsid w:val="00E74678"/>
    <w:rsid w:val="00E7749E"/>
    <w:rsid w:val="00E82B6E"/>
    <w:rsid w:val="00E92B49"/>
    <w:rsid w:val="00E94258"/>
    <w:rsid w:val="00E9513D"/>
    <w:rsid w:val="00E96C18"/>
    <w:rsid w:val="00EA0B15"/>
    <w:rsid w:val="00EA2232"/>
    <w:rsid w:val="00EA2E61"/>
    <w:rsid w:val="00EA7D7F"/>
    <w:rsid w:val="00EB02F4"/>
    <w:rsid w:val="00EB1F43"/>
    <w:rsid w:val="00EB2FA2"/>
    <w:rsid w:val="00EB5315"/>
    <w:rsid w:val="00EB769A"/>
    <w:rsid w:val="00EC3929"/>
    <w:rsid w:val="00EC3A35"/>
    <w:rsid w:val="00EC5D85"/>
    <w:rsid w:val="00EE17F2"/>
    <w:rsid w:val="00EE3138"/>
    <w:rsid w:val="00EF2AC7"/>
    <w:rsid w:val="00EF400A"/>
    <w:rsid w:val="00EF46B1"/>
    <w:rsid w:val="00EF5699"/>
    <w:rsid w:val="00EF6BE4"/>
    <w:rsid w:val="00EF6E5D"/>
    <w:rsid w:val="00F07764"/>
    <w:rsid w:val="00F12517"/>
    <w:rsid w:val="00F131DD"/>
    <w:rsid w:val="00F16BA1"/>
    <w:rsid w:val="00F21E83"/>
    <w:rsid w:val="00F24435"/>
    <w:rsid w:val="00F30C0F"/>
    <w:rsid w:val="00F314E8"/>
    <w:rsid w:val="00F323A2"/>
    <w:rsid w:val="00F33B57"/>
    <w:rsid w:val="00F33D5C"/>
    <w:rsid w:val="00F34E90"/>
    <w:rsid w:val="00F356D6"/>
    <w:rsid w:val="00F35C31"/>
    <w:rsid w:val="00F53BE2"/>
    <w:rsid w:val="00F55684"/>
    <w:rsid w:val="00F56196"/>
    <w:rsid w:val="00F64D5A"/>
    <w:rsid w:val="00F7025D"/>
    <w:rsid w:val="00F709CD"/>
    <w:rsid w:val="00F8768B"/>
    <w:rsid w:val="00F906F4"/>
    <w:rsid w:val="00FA0716"/>
    <w:rsid w:val="00FA1465"/>
    <w:rsid w:val="00FA41B9"/>
    <w:rsid w:val="00FA5063"/>
    <w:rsid w:val="00FB4629"/>
    <w:rsid w:val="00FB509F"/>
    <w:rsid w:val="00FB6FB1"/>
    <w:rsid w:val="00FB7063"/>
    <w:rsid w:val="00FB7C94"/>
    <w:rsid w:val="00FC7056"/>
    <w:rsid w:val="00FD1E42"/>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1"/>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165631694">
      <w:bodyDiv w:val="1"/>
      <w:marLeft w:val="0"/>
      <w:marRight w:val="0"/>
      <w:marTop w:val="0"/>
      <w:marBottom w:val="0"/>
      <w:divBdr>
        <w:top w:val="none" w:sz="0" w:space="0" w:color="auto"/>
        <w:left w:val="none" w:sz="0" w:space="0" w:color="auto"/>
        <w:bottom w:val="none" w:sz="0" w:space="0" w:color="auto"/>
        <w:right w:val="none" w:sz="0" w:space="0" w:color="auto"/>
      </w:divBdr>
    </w:div>
    <w:div w:id="245119501">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576669621">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085692309">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15850391">
      <w:bodyDiv w:val="1"/>
      <w:marLeft w:val="0"/>
      <w:marRight w:val="0"/>
      <w:marTop w:val="0"/>
      <w:marBottom w:val="0"/>
      <w:divBdr>
        <w:top w:val="none" w:sz="0" w:space="0" w:color="auto"/>
        <w:left w:val="none" w:sz="0" w:space="0" w:color="auto"/>
        <w:bottom w:val="none" w:sz="0" w:space="0" w:color="auto"/>
        <w:right w:val="none" w:sz="0" w:space="0" w:color="auto"/>
      </w:divBdr>
    </w:div>
    <w:div w:id="1234850631">
      <w:bodyDiv w:val="1"/>
      <w:marLeft w:val="0"/>
      <w:marRight w:val="0"/>
      <w:marTop w:val="0"/>
      <w:marBottom w:val="0"/>
      <w:divBdr>
        <w:top w:val="none" w:sz="0" w:space="0" w:color="auto"/>
        <w:left w:val="none" w:sz="0" w:space="0" w:color="auto"/>
        <w:bottom w:val="none" w:sz="0" w:space="0" w:color="auto"/>
        <w:right w:val="none" w:sz="0" w:space="0" w:color="auto"/>
      </w:divBdr>
    </w:div>
    <w:div w:id="1293747498">
      <w:bodyDiv w:val="1"/>
      <w:marLeft w:val="0"/>
      <w:marRight w:val="0"/>
      <w:marTop w:val="0"/>
      <w:marBottom w:val="0"/>
      <w:divBdr>
        <w:top w:val="none" w:sz="0" w:space="0" w:color="auto"/>
        <w:left w:val="none" w:sz="0" w:space="0" w:color="auto"/>
        <w:bottom w:val="none" w:sz="0" w:space="0" w:color="auto"/>
        <w:right w:val="none" w:sz="0" w:space="0" w:color="auto"/>
      </w:divBdr>
    </w:div>
    <w:div w:id="1392072004">
      <w:bodyDiv w:val="1"/>
      <w:marLeft w:val="0"/>
      <w:marRight w:val="0"/>
      <w:marTop w:val="0"/>
      <w:marBottom w:val="0"/>
      <w:divBdr>
        <w:top w:val="none" w:sz="0" w:space="0" w:color="auto"/>
        <w:left w:val="none" w:sz="0" w:space="0" w:color="auto"/>
        <w:bottom w:val="none" w:sz="0" w:space="0" w:color="auto"/>
        <w:right w:val="none" w:sz="0" w:space="0" w:color="auto"/>
      </w:divBdr>
      <w:divsChild>
        <w:div w:id="2068407240">
          <w:marLeft w:val="0"/>
          <w:marRight w:val="0"/>
          <w:marTop w:val="0"/>
          <w:marBottom w:val="160"/>
          <w:divBdr>
            <w:top w:val="none" w:sz="0" w:space="0" w:color="auto"/>
            <w:left w:val="none" w:sz="0" w:space="0" w:color="auto"/>
            <w:bottom w:val="none" w:sz="0" w:space="0" w:color="auto"/>
            <w:right w:val="none" w:sz="0" w:space="0" w:color="auto"/>
          </w:divBdr>
        </w:div>
        <w:div w:id="297759433">
          <w:marLeft w:val="0"/>
          <w:marRight w:val="0"/>
          <w:marTop w:val="0"/>
          <w:marBottom w:val="160"/>
          <w:divBdr>
            <w:top w:val="none" w:sz="0" w:space="0" w:color="auto"/>
            <w:left w:val="none" w:sz="0" w:space="0" w:color="auto"/>
            <w:bottom w:val="none" w:sz="0" w:space="0" w:color="auto"/>
            <w:right w:val="none" w:sz="0" w:space="0" w:color="auto"/>
          </w:divBdr>
        </w:div>
        <w:div w:id="996881984">
          <w:marLeft w:val="0"/>
          <w:marRight w:val="0"/>
          <w:marTop w:val="0"/>
          <w:marBottom w:val="160"/>
          <w:divBdr>
            <w:top w:val="none" w:sz="0" w:space="0" w:color="auto"/>
            <w:left w:val="none" w:sz="0" w:space="0" w:color="auto"/>
            <w:bottom w:val="none" w:sz="0" w:space="0" w:color="auto"/>
            <w:right w:val="none" w:sz="0" w:space="0" w:color="auto"/>
          </w:divBdr>
        </w:div>
        <w:div w:id="1507865227">
          <w:marLeft w:val="0"/>
          <w:marRight w:val="0"/>
          <w:marTop w:val="0"/>
          <w:marBottom w:val="160"/>
          <w:divBdr>
            <w:top w:val="none" w:sz="0" w:space="0" w:color="auto"/>
            <w:left w:val="none" w:sz="0" w:space="0" w:color="auto"/>
            <w:bottom w:val="none" w:sz="0" w:space="0" w:color="auto"/>
            <w:right w:val="none" w:sz="0" w:space="0" w:color="auto"/>
          </w:divBdr>
        </w:div>
        <w:div w:id="179897408">
          <w:marLeft w:val="0"/>
          <w:marRight w:val="0"/>
          <w:marTop w:val="0"/>
          <w:marBottom w:val="160"/>
          <w:divBdr>
            <w:top w:val="none" w:sz="0" w:space="0" w:color="auto"/>
            <w:left w:val="none" w:sz="0" w:space="0" w:color="auto"/>
            <w:bottom w:val="none" w:sz="0" w:space="0" w:color="auto"/>
            <w:right w:val="none" w:sz="0" w:space="0" w:color="auto"/>
          </w:divBdr>
        </w:div>
        <w:div w:id="327634447">
          <w:marLeft w:val="0"/>
          <w:marRight w:val="0"/>
          <w:marTop w:val="0"/>
          <w:marBottom w:val="160"/>
          <w:divBdr>
            <w:top w:val="none" w:sz="0" w:space="0" w:color="auto"/>
            <w:left w:val="none" w:sz="0" w:space="0" w:color="auto"/>
            <w:bottom w:val="none" w:sz="0" w:space="0" w:color="auto"/>
            <w:right w:val="none" w:sz="0" w:space="0" w:color="auto"/>
          </w:divBdr>
        </w:div>
        <w:div w:id="883249927">
          <w:marLeft w:val="0"/>
          <w:marRight w:val="0"/>
          <w:marTop w:val="0"/>
          <w:marBottom w:val="160"/>
          <w:divBdr>
            <w:top w:val="none" w:sz="0" w:space="0" w:color="auto"/>
            <w:left w:val="none" w:sz="0" w:space="0" w:color="auto"/>
            <w:bottom w:val="none" w:sz="0" w:space="0" w:color="auto"/>
            <w:right w:val="none" w:sz="0" w:space="0" w:color="auto"/>
          </w:divBdr>
        </w:div>
        <w:div w:id="656805125">
          <w:marLeft w:val="0"/>
          <w:marRight w:val="0"/>
          <w:marTop w:val="0"/>
          <w:marBottom w:val="160"/>
          <w:divBdr>
            <w:top w:val="none" w:sz="0" w:space="0" w:color="auto"/>
            <w:left w:val="none" w:sz="0" w:space="0" w:color="auto"/>
            <w:bottom w:val="none" w:sz="0" w:space="0" w:color="auto"/>
            <w:right w:val="none" w:sz="0" w:space="0" w:color="auto"/>
          </w:divBdr>
        </w:div>
        <w:div w:id="2038772318">
          <w:marLeft w:val="0"/>
          <w:marRight w:val="0"/>
          <w:marTop w:val="0"/>
          <w:marBottom w:val="160"/>
          <w:divBdr>
            <w:top w:val="none" w:sz="0" w:space="0" w:color="auto"/>
            <w:left w:val="none" w:sz="0" w:space="0" w:color="auto"/>
            <w:bottom w:val="none" w:sz="0" w:space="0" w:color="auto"/>
            <w:right w:val="none" w:sz="0" w:space="0" w:color="auto"/>
          </w:divBdr>
        </w:div>
        <w:div w:id="1360624538">
          <w:marLeft w:val="0"/>
          <w:marRight w:val="0"/>
          <w:marTop w:val="0"/>
          <w:marBottom w:val="160"/>
          <w:divBdr>
            <w:top w:val="none" w:sz="0" w:space="0" w:color="auto"/>
            <w:left w:val="none" w:sz="0" w:space="0" w:color="auto"/>
            <w:bottom w:val="none" w:sz="0" w:space="0" w:color="auto"/>
            <w:right w:val="none" w:sz="0" w:space="0" w:color="auto"/>
          </w:divBdr>
        </w:div>
        <w:div w:id="25522857">
          <w:marLeft w:val="0"/>
          <w:marRight w:val="0"/>
          <w:marTop w:val="0"/>
          <w:marBottom w:val="160"/>
          <w:divBdr>
            <w:top w:val="none" w:sz="0" w:space="0" w:color="auto"/>
            <w:left w:val="none" w:sz="0" w:space="0" w:color="auto"/>
            <w:bottom w:val="none" w:sz="0" w:space="0" w:color="auto"/>
            <w:right w:val="none" w:sz="0" w:space="0" w:color="auto"/>
          </w:divBdr>
        </w:div>
        <w:div w:id="2036350138">
          <w:marLeft w:val="0"/>
          <w:marRight w:val="0"/>
          <w:marTop w:val="0"/>
          <w:marBottom w:val="160"/>
          <w:divBdr>
            <w:top w:val="none" w:sz="0" w:space="0" w:color="auto"/>
            <w:left w:val="none" w:sz="0" w:space="0" w:color="auto"/>
            <w:bottom w:val="none" w:sz="0" w:space="0" w:color="auto"/>
            <w:right w:val="none" w:sz="0" w:space="0" w:color="auto"/>
          </w:divBdr>
        </w:div>
      </w:divsChild>
    </w:div>
    <w:div w:id="1539590889">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709336330">
      <w:bodyDiv w:val="1"/>
      <w:marLeft w:val="0"/>
      <w:marRight w:val="0"/>
      <w:marTop w:val="0"/>
      <w:marBottom w:val="0"/>
      <w:divBdr>
        <w:top w:val="none" w:sz="0" w:space="0" w:color="auto"/>
        <w:left w:val="none" w:sz="0" w:space="0" w:color="auto"/>
        <w:bottom w:val="none" w:sz="0" w:space="0" w:color="auto"/>
        <w:right w:val="none" w:sz="0" w:space="0" w:color="auto"/>
      </w:divBdr>
    </w:div>
    <w:div w:id="1726760080">
      <w:bodyDiv w:val="1"/>
      <w:marLeft w:val="0"/>
      <w:marRight w:val="0"/>
      <w:marTop w:val="0"/>
      <w:marBottom w:val="0"/>
      <w:divBdr>
        <w:top w:val="none" w:sz="0" w:space="0" w:color="auto"/>
        <w:left w:val="none" w:sz="0" w:space="0" w:color="auto"/>
        <w:bottom w:val="none" w:sz="0" w:space="0" w:color="auto"/>
        <w:right w:val="none" w:sz="0" w:space="0" w:color="auto"/>
      </w:divBdr>
      <w:divsChild>
        <w:div w:id="1329598100">
          <w:marLeft w:val="0"/>
          <w:marRight w:val="0"/>
          <w:marTop w:val="0"/>
          <w:marBottom w:val="160"/>
          <w:divBdr>
            <w:top w:val="none" w:sz="0" w:space="0" w:color="auto"/>
            <w:left w:val="none" w:sz="0" w:space="0" w:color="auto"/>
            <w:bottom w:val="none" w:sz="0" w:space="0" w:color="auto"/>
            <w:right w:val="none" w:sz="0" w:space="0" w:color="auto"/>
          </w:divBdr>
        </w:div>
        <w:div w:id="1608125278">
          <w:marLeft w:val="0"/>
          <w:marRight w:val="0"/>
          <w:marTop w:val="0"/>
          <w:marBottom w:val="160"/>
          <w:divBdr>
            <w:top w:val="none" w:sz="0" w:space="0" w:color="auto"/>
            <w:left w:val="none" w:sz="0" w:space="0" w:color="auto"/>
            <w:bottom w:val="none" w:sz="0" w:space="0" w:color="auto"/>
            <w:right w:val="none" w:sz="0" w:space="0" w:color="auto"/>
          </w:divBdr>
        </w:div>
        <w:div w:id="566843197">
          <w:marLeft w:val="0"/>
          <w:marRight w:val="0"/>
          <w:marTop w:val="0"/>
          <w:marBottom w:val="160"/>
          <w:divBdr>
            <w:top w:val="none" w:sz="0" w:space="0" w:color="auto"/>
            <w:left w:val="none" w:sz="0" w:space="0" w:color="auto"/>
            <w:bottom w:val="none" w:sz="0" w:space="0" w:color="auto"/>
            <w:right w:val="none" w:sz="0" w:space="0" w:color="auto"/>
          </w:divBdr>
        </w:div>
        <w:div w:id="1650742476">
          <w:marLeft w:val="0"/>
          <w:marRight w:val="0"/>
          <w:marTop w:val="0"/>
          <w:marBottom w:val="160"/>
          <w:divBdr>
            <w:top w:val="none" w:sz="0" w:space="0" w:color="auto"/>
            <w:left w:val="none" w:sz="0" w:space="0" w:color="auto"/>
            <w:bottom w:val="none" w:sz="0" w:space="0" w:color="auto"/>
            <w:right w:val="none" w:sz="0" w:space="0" w:color="auto"/>
          </w:divBdr>
        </w:div>
        <w:div w:id="1249578308">
          <w:marLeft w:val="0"/>
          <w:marRight w:val="0"/>
          <w:marTop w:val="0"/>
          <w:marBottom w:val="160"/>
          <w:divBdr>
            <w:top w:val="none" w:sz="0" w:space="0" w:color="auto"/>
            <w:left w:val="none" w:sz="0" w:space="0" w:color="auto"/>
            <w:bottom w:val="none" w:sz="0" w:space="0" w:color="auto"/>
            <w:right w:val="none" w:sz="0" w:space="0" w:color="auto"/>
          </w:divBdr>
        </w:div>
        <w:div w:id="2116247966">
          <w:marLeft w:val="0"/>
          <w:marRight w:val="0"/>
          <w:marTop w:val="0"/>
          <w:marBottom w:val="160"/>
          <w:divBdr>
            <w:top w:val="none" w:sz="0" w:space="0" w:color="auto"/>
            <w:left w:val="none" w:sz="0" w:space="0" w:color="auto"/>
            <w:bottom w:val="none" w:sz="0" w:space="0" w:color="auto"/>
            <w:right w:val="none" w:sz="0" w:space="0" w:color="auto"/>
          </w:divBdr>
        </w:div>
        <w:div w:id="2128579">
          <w:marLeft w:val="0"/>
          <w:marRight w:val="0"/>
          <w:marTop w:val="0"/>
          <w:marBottom w:val="160"/>
          <w:divBdr>
            <w:top w:val="none" w:sz="0" w:space="0" w:color="auto"/>
            <w:left w:val="none" w:sz="0" w:space="0" w:color="auto"/>
            <w:bottom w:val="none" w:sz="0" w:space="0" w:color="auto"/>
            <w:right w:val="none" w:sz="0" w:space="0" w:color="auto"/>
          </w:divBdr>
        </w:div>
        <w:div w:id="1260063255">
          <w:marLeft w:val="0"/>
          <w:marRight w:val="0"/>
          <w:marTop w:val="0"/>
          <w:marBottom w:val="160"/>
          <w:divBdr>
            <w:top w:val="none" w:sz="0" w:space="0" w:color="auto"/>
            <w:left w:val="none" w:sz="0" w:space="0" w:color="auto"/>
            <w:bottom w:val="none" w:sz="0" w:space="0" w:color="auto"/>
            <w:right w:val="none" w:sz="0" w:space="0" w:color="auto"/>
          </w:divBdr>
        </w:div>
        <w:div w:id="345332971">
          <w:marLeft w:val="0"/>
          <w:marRight w:val="0"/>
          <w:marTop w:val="0"/>
          <w:marBottom w:val="160"/>
          <w:divBdr>
            <w:top w:val="none" w:sz="0" w:space="0" w:color="auto"/>
            <w:left w:val="none" w:sz="0" w:space="0" w:color="auto"/>
            <w:bottom w:val="none" w:sz="0" w:space="0" w:color="auto"/>
            <w:right w:val="none" w:sz="0" w:space="0" w:color="auto"/>
          </w:divBdr>
        </w:div>
        <w:div w:id="1140458700">
          <w:marLeft w:val="0"/>
          <w:marRight w:val="0"/>
          <w:marTop w:val="0"/>
          <w:marBottom w:val="160"/>
          <w:divBdr>
            <w:top w:val="none" w:sz="0" w:space="0" w:color="auto"/>
            <w:left w:val="none" w:sz="0" w:space="0" w:color="auto"/>
            <w:bottom w:val="none" w:sz="0" w:space="0" w:color="auto"/>
            <w:right w:val="none" w:sz="0" w:space="0" w:color="auto"/>
          </w:divBdr>
        </w:div>
        <w:div w:id="389765316">
          <w:marLeft w:val="0"/>
          <w:marRight w:val="0"/>
          <w:marTop w:val="0"/>
          <w:marBottom w:val="160"/>
          <w:divBdr>
            <w:top w:val="none" w:sz="0" w:space="0" w:color="auto"/>
            <w:left w:val="none" w:sz="0" w:space="0" w:color="auto"/>
            <w:bottom w:val="none" w:sz="0" w:space="0" w:color="auto"/>
            <w:right w:val="none" w:sz="0" w:space="0" w:color="auto"/>
          </w:divBdr>
        </w:div>
        <w:div w:id="1971747387">
          <w:marLeft w:val="0"/>
          <w:marRight w:val="0"/>
          <w:marTop w:val="0"/>
          <w:marBottom w:val="160"/>
          <w:divBdr>
            <w:top w:val="none" w:sz="0" w:space="0" w:color="auto"/>
            <w:left w:val="none" w:sz="0" w:space="0" w:color="auto"/>
            <w:bottom w:val="none" w:sz="0" w:space="0" w:color="auto"/>
            <w:right w:val="none" w:sz="0" w:space="0" w:color="auto"/>
          </w:divBdr>
        </w:div>
      </w:divsChild>
    </w:div>
    <w:div w:id="1749502230">
      <w:bodyDiv w:val="1"/>
      <w:marLeft w:val="0"/>
      <w:marRight w:val="0"/>
      <w:marTop w:val="0"/>
      <w:marBottom w:val="0"/>
      <w:divBdr>
        <w:top w:val="none" w:sz="0" w:space="0" w:color="auto"/>
        <w:left w:val="none" w:sz="0" w:space="0" w:color="auto"/>
        <w:bottom w:val="none" w:sz="0" w:space="0" w:color="auto"/>
        <w:right w:val="none" w:sz="0" w:space="0" w:color="auto"/>
      </w:divBdr>
    </w:div>
    <w:div w:id="186405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ga9008@hotmail.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3151</Words>
  <Characters>17334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58</cp:revision>
  <dcterms:created xsi:type="dcterms:W3CDTF">2024-08-27T21:14:00Z</dcterms:created>
  <dcterms:modified xsi:type="dcterms:W3CDTF">2024-09-06T23:24:00Z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