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88943" w14:textId="77777777" w:rsidR="00741636" w:rsidRPr="00741636" w:rsidRDefault="00741636" w:rsidP="00D6259D">
      <w:pPr>
        <w:spacing w:after="0" w:line="240" w:lineRule="auto"/>
        <w:jc w:val="both"/>
        <w:rPr>
          <w:rFonts w:ascii="Verdana" w:eastAsia="Geomanist Light" w:hAnsi="Verdana" w:cs="Arial"/>
          <w:b/>
          <w:bCs/>
          <w:color w:val="000000" w:themeColor="text1"/>
          <w:lang w:val="es-MX"/>
        </w:rPr>
      </w:pPr>
      <w:r w:rsidRPr="00741636">
        <w:rPr>
          <w:rFonts w:ascii="Verdana" w:eastAsia="Geomanist Light" w:hAnsi="Verdana" w:cs="Arial"/>
          <w:b/>
          <w:bCs/>
          <w:color w:val="000000" w:themeColor="text1"/>
          <w:lang w:val="es-MX"/>
        </w:rPr>
        <w:t>RESERVA LEGAL – Noción</w:t>
      </w:r>
    </w:p>
    <w:p w14:paraId="75D30E2E" w14:textId="77777777" w:rsidR="00D43E97" w:rsidRDefault="00D43E97" w:rsidP="00D43E97">
      <w:pPr>
        <w:spacing w:after="0" w:line="240" w:lineRule="auto"/>
        <w:jc w:val="both"/>
        <w:rPr>
          <w:rFonts w:ascii="Verdana" w:eastAsia="Geomanist Light" w:hAnsi="Verdana" w:cs="Arial"/>
          <w:b/>
          <w:bCs/>
          <w:color w:val="000000" w:themeColor="text1"/>
          <w:lang w:val="es-MX"/>
        </w:rPr>
      </w:pPr>
    </w:p>
    <w:p w14:paraId="1A993087" w14:textId="441CAB01" w:rsidR="00D43E97" w:rsidRPr="00B26F2B" w:rsidRDefault="00D43E97" w:rsidP="00B26F2B">
      <w:pPr>
        <w:spacing w:after="120" w:line="276" w:lineRule="auto"/>
        <w:jc w:val="both"/>
        <w:rPr>
          <w:rFonts w:ascii="Verdana" w:eastAsia="Calibri" w:hAnsi="Verdana" w:cs="Arial"/>
          <w:color w:val="000000"/>
          <w:lang w:val="es-ES" w:eastAsia="es-ES"/>
        </w:rPr>
      </w:pPr>
      <w:r w:rsidRPr="00D43E97">
        <w:rPr>
          <w:rFonts w:ascii="Verdana" w:eastAsia="Calibri" w:hAnsi="Verdana" w:cs="Arial"/>
          <w:color w:val="000000"/>
          <w:lang w:val="es-ES" w:eastAsia="es-ES"/>
        </w:rPr>
        <w:t>La reserva legal implica que cualquier regulación o disposición que afecte derechos fundamentales o que implique obligaciones y sanciones debe estar establecida por una ley aprobada por el Congreso de la República. Este principio asegura que no se delegue a normas inferiores, como decretos o resoluciones, la potestad de regular aspectos fundamentales.</w:t>
      </w:r>
    </w:p>
    <w:p w14:paraId="388E2423" w14:textId="4FC94B04" w:rsidR="00741636" w:rsidRPr="001858E0" w:rsidRDefault="00BA2535" w:rsidP="001858E0">
      <w:pPr>
        <w:spacing w:after="120" w:line="276" w:lineRule="auto"/>
        <w:jc w:val="both"/>
        <w:rPr>
          <w:rFonts w:ascii="Verdana" w:eastAsia="Calibri" w:hAnsi="Verdana" w:cs="Arial"/>
          <w:color w:val="000000"/>
          <w:lang w:val="es-MX" w:eastAsia="es-ES"/>
        </w:rPr>
      </w:pPr>
      <w:r w:rsidRPr="00BA2535">
        <w:rPr>
          <w:rFonts w:ascii="Verdana" w:eastAsia="Calibri" w:hAnsi="Verdana" w:cs="Arial"/>
          <w:color w:val="000000"/>
          <w:lang w:val="es-MX" w:eastAsia="es-ES"/>
        </w:rPr>
        <w:t>E</w:t>
      </w:r>
      <w:r w:rsidRPr="00BA2535">
        <w:rPr>
          <w:rFonts w:ascii="Verdana" w:eastAsia="Calibri" w:hAnsi="Verdana" w:cs="Arial"/>
          <w:color w:val="000000"/>
          <w:lang w:val="es-MX" w:eastAsia="es-ES"/>
        </w:rPr>
        <w:t>l artículo 24 de la Ley 1755 de 2015 ha señalado que gozan de reserva de ley los siguientes documentos “ (…) 1. Los relacionados con la defensa o seguridad nacionales. 2. Las instrucciones en materia diplomática o sobre negociaciones reservadas. 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5. Los datos referentes a la información financiera y comercial, en los términos de la Ley Estatutaria 1266 de 2008. 6. Los protegidos por el secreto comercial o industrial, así como los planes estratégicos de las empresas públicas de servicios públicos. 7. Los amparados por el secreto profesional. 8. Los datos genéticos humanos. (…)”</w:t>
      </w:r>
    </w:p>
    <w:p w14:paraId="735150FD" w14:textId="77777777" w:rsidR="00B26F2B" w:rsidRDefault="00B26F2B" w:rsidP="00D6259D">
      <w:pPr>
        <w:spacing w:after="0" w:line="240" w:lineRule="auto"/>
        <w:jc w:val="both"/>
        <w:rPr>
          <w:rFonts w:ascii="Verdana" w:eastAsia="Geomanist Light" w:hAnsi="Verdana" w:cs="Arial"/>
          <w:b/>
          <w:bCs/>
          <w:color w:val="000000" w:themeColor="text1"/>
          <w:lang w:val="es-MX"/>
        </w:rPr>
      </w:pPr>
    </w:p>
    <w:p w14:paraId="4F19F1EF" w14:textId="1985EB86" w:rsidR="00B26F2B" w:rsidRDefault="005278E9" w:rsidP="00D6259D">
      <w:pPr>
        <w:spacing w:after="0" w:line="240" w:lineRule="auto"/>
        <w:jc w:val="both"/>
        <w:rPr>
          <w:rFonts w:ascii="Verdana" w:eastAsia="Geomanist Light" w:hAnsi="Verdana" w:cs="Arial"/>
          <w:b/>
          <w:bCs/>
          <w:color w:val="000000" w:themeColor="text1"/>
          <w:lang w:val="es-MX"/>
        </w:rPr>
      </w:pPr>
      <w:r>
        <w:rPr>
          <w:rFonts w:ascii="Verdana" w:eastAsia="Geomanist Light" w:hAnsi="Verdana" w:cs="Arial"/>
          <w:b/>
          <w:bCs/>
          <w:color w:val="000000" w:themeColor="text1"/>
          <w:lang w:val="es-MX"/>
        </w:rPr>
        <w:t>FACTORES DE DESEMPATE – Ley 2069 de 2020</w:t>
      </w:r>
      <w:r w:rsidR="001858E0">
        <w:rPr>
          <w:rFonts w:ascii="Verdana" w:eastAsia="Geomanist Light" w:hAnsi="Verdana" w:cs="Arial"/>
          <w:b/>
          <w:bCs/>
          <w:color w:val="000000" w:themeColor="text1"/>
          <w:lang w:val="es-MX"/>
        </w:rPr>
        <w:t>, articulo 35 Numeral 2.</w:t>
      </w:r>
    </w:p>
    <w:p w14:paraId="5073743F" w14:textId="77777777" w:rsidR="005278E9" w:rsidRDefault="005278E9" w:rsidP="00D6259D">
      <w:pPr>
        <w:spacing w:after="0" w:line="240" w:lineRule="auto"/>
        <w:jc w:val="both"/>
        <w:rPr>
          <w:rFonts w:ascii="Verdana" w:eastAsia="Geomanist Light" w:hAnsi="Verdana" w:cs="Arial"/>
          <w:b/>
          <w:bCs/>
          <w:color w:val="000000" w:themeColor="text1"/>
          <w:lang w:val="es-MX"/>
        </w:rPr>
      </w:pPr>
    </w:p>
    <w:p w14:paraId="0DE0A48E" w14:textId="71F99EFE" w:rsidR="006462FA" w:rsidRPr="006462FA" w:rsidRDefault="006462FA" w:rsidP="006462FA">
      <w:pPr>
        <w:spacing w:after="0" w:line="240" w:lineRule="auto"/>
        <w:jc w:val="both"/>
        <w:rPr>
          <w:rFonts w:ascii="Verdana" w:eastAsia="Calibri" w:hAnsi="Verdana" w:cs="Arial"/>
          <w:i/>
          <w:iCs/>
          <w:color w:val="000000"/>
          <w:lang w:val="es-MX" w:eastAsia="en-GB"/>
        </w:rPr>
      </w:pPr>
      <w:r>
        <w:rPr>
          <w:rFonts w:ascii="Verdana" w:eastAsia="Calibri" w:hAnsi="Verdana" w:cs="Arial"/>
          <w:i/>
          <w:iCs/>
          <w:color w:val="000000"/>
          <w:lang w:val="es-MX" w:eastAsia="en-GB"/>
        </w:rPr>
        <w:t>E</w:t>
      </w:r>
      <w:r w:rsidRPr="006462FA">
        <w:rPr>
          <w:rFonts w:ascii="Verdana" w:eastAsia="Calibri" w:hAnsi="Verdana" w:cs="Arial"/>
          <w:i/>
          <w:iCs/>
          <w:color w:val="000000"/>
          <w:lang w:val="es-MX" w:eastAsia="en-GB"/>
        </w:rPr>
        <w:t>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1F150858" w14:textId="77777777" w:rsidR="006462FA" w:rsidRPr="006462FA" w:rsidRDefault="006462FA" w:rsidP="006462FA">
      <w:pPr>
        <w:spacing w:after="0" w:line="240" w:lineRule="auto"/>
        <w:jc w:val="both"/>
        <w:rPr>
          <w:rFonts w:ascii="Verdana" w:eastAsia="Calibri" w:hAnsi="Verdana" w:cs="Arial"/>
          <w:i/>
          <w:iCs/>
          <w:color w:val="000000"/>
          <w:lang w:val="es-MX" w:eastAsia="en-GB"/>
        </w:rPr>
      </w:pPr>
      <w:r w:rsidRPr="006462FA">
        <w:rPr>
          <w:rFonts w:ascii="Verdana" w:eastAsia="Calibri" w:hAnsi="Verdana" w:cs="Arial"/>
          <w:i/>
          <w:iCs/>
          <w:color w:val="000000"/>
          <w:lang w:val="es-MX" w:eastAsia="en-GB"/>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384D7BCA" w14:textId="77777777" w:rsidR="005278E9" w:rsidRDefault="005278E9" w:rsidP="00D6259D">
      <w:pPr>
        <w:spacing w:after="0" w:line="240" w:lineRule="auto"/>
        <w:jc w:val="both"/>
        <w:rPr>
          <w:rFonts w:ascii="Verdana" w:eastAsia="Geomanist Light" w:hAnsi="Verdana" w:cs="Arial"/>
          <w:b/>
          <w:bCs/>
          <w:color w:val="000000" w:themeColor="text1"/>
          <w:lang w:val="es-MX"/>
        </w:rPr>
      </w:pPr>
    </w:p>
    <w:p w14:paraId="3742663C" w14:textId="341D361B" w:rsidR="006C1ECC" w:rsidRPr="006C1ECC" w:rsidRDefault="006C1ECC" w:rsidP="006C1ECC">
      <w:pPr>
        <w:spacing w:after="0" w:line="240" w:lineRule="auto"/>
        <w:jc w:val="both"/>
        <w:rPr>
          <w:rFonts w:ascii="Verdana" w:eastAsia="Geomanist Light" w:hAnsi="Verdana" w:cs="Arial"/>
          <w:color w:val="000000" w:themeColor="text1"/>
          <w:lang w:val="es-MX"/>
        </w:rPr>
      </w:pPr>
    </w:p>
    <w:p w14:paraId="3477B2F6" w14:textId="77777777" w:rsidR="00741636" w:rsidRDefault="00741636" w:rsidP="00D6259D">
      <w:pPr>
        <w:spacing w:after="0" w:line="240" w:lineRule="auto"/>
        <w:jc w:val="both"/>
        <w:rPr>
          <w:rFonts w:ascii="Verdana" w:eastAsia="Geomanist Light" w:hAnsi="Verdana" w:cs="Arial"/>
          <w:color w:val="000000" w:themeColor="text1"/>
          <w:lang w:val="es-MX"/>
        </w:rPr>
      </w:pPr>
    </w:p>
    <w:p w14:paraId="6893B318" w14:textId="74EC9E09" w:rsidR="00D6259D" w:rsidRDefault="00DE433E" w:rsidP="00D6259D">
      <w:pPr>
        <w:spacing w:after="0" w:line="240" w:lineRule="auto"/>
        <w:jc w:val="both"/>
        <w:rPr>
          <w:rFonts w:ascii="Verdana" w:eastAsia="Geomanist Light" w:hAnsi="Verdana" w:cs="Arial"/>
          <w:color w:val="000000" w:themeColor="text1"/>
          <w:lang w:val="es-MX"/>
        </w:rPr>
      </w:pPr>
      <w:r w:rsidRPr="00DE433E">
        <w:rPr>
          <w:rFonts w:ascii="Verdana" w:eastAsia="Geomanist Light" w:hAnsi="Verdana" w:cs="Arial"/>
          <w:color w:val="000000" w:themeColor="text1"/>
          <w:lang w:val="es-MX"/>
        </w:rPr>
        <w:t>Bogotá D.C., 03 de Septiembre de 2024</w:t>
      </w:r>
    </w:p>
    <w:p w14:paraId="0C4D263D" w14:textId="77777777" w:rsidR="00DE433E" w:rsidRPr="00E26368" w:rsidRDefault="00DE433E" w:rsidP="00D6259D">
      <w:pPr>
        <w:spacing w:after="0" w:line="240" w:lineRule="auto"/>
        <w:jc w:val="both"/>
        <w:rPr>
          <w:rFonts w:ascii="Verdana" w:eastAsia="Calibri" w:hAnsi="Verdana" w:cs="Arial"/>
          <w:color w:val="000000"/>
          <w:lang w:val="es-ES"/>
        </w:rPr>
      </w:pPr>
    </w:p>
    <w:p w14:paraId="054A98BB" w14:textId="77777777" w:rsidR="00D6259D" w:rsidRPr="00BA2C5B" w:rsidRDefault="00D6259D" w:rsidP="00D6259D">
      <w:pPr>
        <w:spacing w:after="0" w:line="240" w:lineRule="auto"/>
        <w:jc w:val="both"/>
        <w:rPr>
          <w:rFonts w:ascii="Verdana" w:eastAsia="Calibri" w:hAnsi="Verdana" w:cs="Arial"/>
          <w:lang w:val="en-US" w:eastAsia="es-ES"/>
        </w:rPr>
      </w:pPr>
      <w:r w:rsidRPr="00BA2C5B">
        <w:rPr>
          <w:rFonts w:ascii="Verdana" w:eastAsia="Calibri" w:hAnsi="Verdana" w:cs="Arial"/>
          <w:lang w:val="en-US" w:eastAsia="es-ES"/>
        </w:rPr>
        <w:t>Señor:</w:t>
      </w:r>
    </w:p>
    <w:p w14:paraId="19D1FED3" w14:textId="546CB8AF" w:rsidR="00D6259D" w:rsidRPr="00764189" w:rsidRDefault="00D6259D" w:rsidP="00D6259D">
      <w:pPr>
        <w:spacing w:after="0" w:line="240" w:lineRule="auto"/>
        <w:rPr>
          <w:rFonts w:ascii="Verdana" w:eastAsia="Calibri" w:hAnsi="Verdana" w:cs="Arial"/>
          <w:b/>
          <w:bCs/>
          <w:lang w:val="en-US" w:eastAsia="es-ES"/>
        </w:rPr>
      </w:pPr>
      <w:r w:rsidRPr="00764189">
        <w:rPr>
          <w:rFonts w:ascii="Verdana" w:eastAsia="Calibri" w:hAnsi="Verdana" w:cs="Arial"/>
          <w:b/>
          <w:bCs/>
          <w:lang w:val="en-US" w:eastAsia="es-ES"/>
        </w:rPr>
        <w:t xml:space="preserve">Wilfer Moreno </w:t>
      </w:r>
    </w:p>
    <w:p w14:paraId="2829A3AB" w14:textId="06B0D60B" w:rsidR="00D6259D" w:rsidRPr="00764189" w:rsidRDefault="0083606A" w:rsidP="00D6259D">
      <w:pPr>
        <w:spacing w:after="0" w:line="240" w:lineRule="auto"/>
        <w:rPr>
          <w:rFonts w:ascii="Verdana" w:hAnsi="Verdana"/>
          <w:lang w:val="en-US"/>
        </w:rPr>
      </w:pPr>
      <w:r w:rsidRPr="0083606A">
        <w:rPr>
          <w:rFonts w:ascii="Verdana" w:eastAsia="Calibri" w:hAnsi="Verdana" w:cs="Arial"/>
          <w:b/>
          <w:bCs/>
          <w:noProof/>
          <w:color w:val="000000"/>
          <w:lang w:val="en-US" w:eastAsia="es-ES_tradnl"/>
        </w:rPr>
        <w:drawing>
          <wp:anchor distT="0" distB="0" distL="114300" distR="114300" simplePos="0" relativeHeight="251658240" behindDoc="0" locked="0" layoutInCell="1" allowOverlap="1" wp14:anchorId="6E73722C" wp14:editId="49100F74">
            <wp:simplePos x="0" y="0"/>
            <wp:positionH relativeFrom="margin">
              <wp:align>center</wp:align>
            </wp:positionH>
            <wp:positionV relativeFrom="paragraph">
              <wp:posOffset>201239</wp:posOffset>
            </wp:positionV>
            <wp:extent cx="3022694" cy="882595"/>
            <wp:effectExtent l="0" t="0" r="6350" b="0"/>
            <wp:wrapTopAndBottom/>
            <wp:docPr id="5270745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74538"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022694" cy="882595"/>
                    </a:xfrm>
                    <a:prstGeom prst="rect">
                      <a:avLst/>
                    </a:prstGeom>
                  </pic:spPr>
                </pic:pic>
              </a:graphicData>
            </a:graphic>
          </wp:anchor>
        </w:drawing>
      </w:r>
      <w:hyperlink r:id="rId12" w:history="1">
        <w:r w:rsidR="00D6259D" w:rsidRPr="00764189">
          <w:rPr>
            <w:rStyle w:val="Hipervnculo"/>
            <w:rFonts w:ascii="Verdana" w:hAnsi="Verdana"/>
            <w:lang w:val="en-US"/>
          </w:rPr>
          <w:t>metadatos@gmail.com</w:t>
        </w:r>
      </w:hyperlink>
    </w:p>
    <w:p w14:paraId="6078A7BE" w14:textId="0CCF45AE" w:rsidR="00D6259D" w:rsidRPr="00764189" w:rsidRDefault="00D6259D" w:rsidP="00D6259D">
      <w:pPr>
        <w:spacing w:after="0" w:line="240" w:lineRule="auto"/>
        <w:rPr>
          <w:rFonts w:ascii="Verdana" w:eastAsia="Calibri" w:hAnsi="Verdana" w:cs="Arial"/>
          <w:lang w:val="en-US" w:eastAsia="es-ES"/>
        </w:rPr>
      </w:pPr>
    </w:p>
    <w:p w14:paraId="08F23B79" w14:textId="274341C5" w:rsidR="00D6259D" w:rsidRPr="00764189" w:rsidRDefault="00D6259D" w:rsidP="00D6259D">
      <w:pPr>
        <w:spacing w:after="0" w:line="240" w:lineRule="auto"/>
        <w:rPr>
          <w:rFonts w:ascii="Verdana" w:eastAsia="Calibri" w:hAnsi="Verdana" w:cs="Arial"/>
          <w:b/>
          <w:bCs/>
          <w:color w:val="000000"/>
          <w:lang w:val="en-US" w:eastAsia="es-ES_tradnl"/>
        </w:rPr>
      </w:pPr>
    </w:p>
    <w:p w14:paraId="4FE05777" w14:textId="77777777" w:rsidR="00D6259D" w:rsidRPr="00764189" w:rsidRDefault="00D6259D" w:rsidP="00D6259D">
      <w:pPr>
        <w:spacing w:after="0" w:line="240" w:lineRule="auto"/>
        <w:rPr>
          <w:rFonts w:ascii="Verdana" w:eastAsia="Calibri" w:hAnsi="Verdana" w:cs="Arial"/>
          <w:b/>
          <w:bCs/>
          <w:color w:val="000000"/>
          <w:lang w:val="en-US" w:eastAsia="es-ES_tradnl"/>
        </w:rPr>
      </w:pPr>
    </w:p>
    <w:tbl>
      <w:tblPr>
        <w:tblStyle w:val="Tablaconcuadrcula"/>
        <w:tblW w:w="8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42"/>
        <w:gridCol w:w="6023"/>
      </w:tblGrid>
      <w:tr w:rsidR="00D6259D" w:rsidRPr="00E26368" w14:paraId="7C39DD58" w14:textId="77777777" w:rsidTr="00923AFF">
        <w:trPr>
          <w:trHeight w:val="812"/>
        </w:trPr>
        <w:tc>
          <w:tcPr>
            <w:tcW w:w="2742" w:type="dxa"/>
          </w:tcPr>
          <w:p w14:paraId="6C884725" w14:textId="77777777" w:rsidR="00D6259D" w:rsidRPr="00764189" w:rsidRDefault="00D6259D" w:rsidP="00923AFF">
            <w:pPr>
              <w:jc w:val="both"/>
              <w:rPr>
                <w:rFonts w:ascii="Verdana" w:eastAsia="Calibri" w:hAnsi="Verdana" w:cs="Arial"/>
                <w:b/>
                <w:bCs/>
                <w:color w:val="7030A0"/>
                <w:lang w:val="en-US" w:eastAsia="es-ES_tradnl"/>
              </w:rPr>
            </w:pPr>
          </w:p>
        </w:tc>
        <w:tc>
          <w:tcPr>
            <w:tcW w:w="6023" w:type="dxa"/>
            <w:hideMark/>
          </w:tcPr>
          <w:p w14:paraId="431E4B41" w14:textId="77777777" w:rsidR="00D6259D" w:rsidRPr="00E26368" w:rsidRDefault="00D6259D" w:rsidP="00923AFF">
            <w:pPr>
              <w:jc w:val="both"/>
              <w:rPr>
                <w:rFonts w:ascii="Verdana" w:eastAsia="Calibri" w:hAnsi="Verdana" w:cs="Arial"/>
                <w:b/>
                <w:bCs/>
                <w:color w:val="7030A0"/>
                <w:lang w:val="es-ES" w:eastAsia="es-ES"/>
              </w:rPr>
            </w:pPr>
            <w:r w:rsidRPr="00E26368">
              <w:rPr>
                <w:rFonts w:ascii="Verdana" w:eastAsia="Calibri" w:hAnsi="Verdana" w:cs="Arial"/>
                <w:b/>
                <w:bCs/>
                <w:lang w:val="es-ES" w:eastAsia="es-ES"/>
              </w:rPr>
              <w:t xml:space="preserve">Concepto C- </w:t>
            </w:r>
            <w:r>
              <w:rPr>
                <w:rFonts w:ascii="Verdana" w:eastAsia="Calibri" w:hAnsi="Verdana" w:cs="Arial"/>
                <w:b/>
                <w:bCs/>
                <w:lang w:val="es-ES" w:eastAsia="es-ES"/>
              </w:rPr>
              <w:t>373</w:t>
            </w:r>
            <w:r w:rsidRPr="00E26368">
              <w:rPr>
                <w:rFonts w:ascii="Verdana" w:eastAsia="Calibri" w:hAnsi="Verdana" w:cs="Arial"/>
                <w:b/>
                <w:bCs/>
                <w:lang w:val="es-ES" w:eastAsia="es-ES"/>
              </w:rPr>
              <w:t xml:space="preserve"> de 2024</w:t>
            </w:r>
          </w:p>
        </w:tc>
      </w:tr>
      <w:tr w:rsidR="00D6259D" w:rsidRPr="00E26368" w14:paraId="77AF4947" w14:textId="77777777" w:rsidTr="00923AFF">
        <w:trPr>
          <w:trHeight w:val="812"/>
        </w:trPr>
        <w:tc>
          <w:tcPr>
            <w:tcW w:w="2742" w:type="dxa"/>
            <w:hideMark/>
          </w:tcPr>
          <w:p w14:paraId="52ED65EA" w14:textId="77777777" w:rsidR="00D6259D" w:rsidRPr="00E26368" w:rsidRDefault="00D6259D" w:rsidP="00923AFF">
            <w:pPr>
              <w:jc w:val="both"/>
              <w:rPr>
                <w:rFonts w:ascii="Verdana" w:eastAsia="Calibri" w:hAnsi="Verdana" w:cs="Arial"/>
                <w:lang w:val="es-ES_tradnl" w:eastAsia="es-ES_tradnl"/>
              </w:rPr>
            </w:pPr>
            <w:r w:rsidRPr="00E26368">
              <w:rPr>
                <w:rFonts w:ascii="Verdana" w:eastAsia="Calibri" w:hAnsi="Verdana" w:cs="Arial"/>
                <w:b/>
                <w:lang w:val="es-ES_tradnl" w:eastAsia="es-ES_tradnl"/>
              </w:rPr>
              <w:t>Temas:</w:t>
            </w:r>
            <w:r w:rsidRPr="00E26368">
              <w:rPr>
                <w:rFonts w:ascii="Verdana" w:eastAsia="Calibri" w:hAnsi="Verdana" w:cs="Arial"/>
                <w:lang w:val="es-ES_tradnl" w:eastAsia="es-ES_tradnl"/>
              </w:rPr>
              <w:t xml:space="preserve">                   </w:t>
            </w:r>
          </w:p>
        </w:tc>
        <w:tc>
          <w:tcPr>
            <w:tcW w:w="6023" w:type="dxa"/>
          </w:tcPr>
          <w:p w14:paraId="786BA00A" w14:textId="77777777" w:rsidR="00D6259D" w:rsidRPr="00BA2C5B" w:rsidRDefault="00D6259D" w:rsidP="00D6259D">
            <w:pPr>
              <w:pStyle w:val="Prrafodelista"/>
              <w:numPr>
                <w:ilvl w:val="0"/>
                <w:numId w:val="17"/>
              </w:numPr>
              <w:spacing w:line="276" w:lineRule="auto"/>
              <w:ind w:left="0"/>
              <w:jc w:val="both"/>
              <w:rPr>
                <w:rFonts w:ascii="Verdana" w:eastAsia="Calibri" w:hAnsi="Verdana" w:cs="Arial"/>
                <w:lang w:eastAsia="es-ES"/>
              </w:rPr>
            </w:pPr>
            <w:r w:rsidRPr="00BA2C5B">
              <w:rPr>
                <w:rFonts w:ascii="Verdana" w:eastAsia="Calibri" w:hAnsi="Verdana" w:cs="Arial"/>
                <w:lang w:val="es-ES_tradnl" w:eastAsia="es-ES"/>
              </w:rPr>
              <w:t>RESERVA LEGAL</w:t>
            </w:r>
            <w:r w:rsidRPr="00BA2C5B">
              <w:rPr>
                <w:rFonts w:ascii="Verdana" w:eastAsia="Calibri" w:hAnsi="Verdana" w:cs="Arial"/>
                <w:lang w:eastAsia="es-ES"/>
              </w:rPr>
              <w:t xml:space="preserve"> – Noción / RESERVA LEGAL – Mujeres Cabeza de Hogar / TRATAMIENTO DE DATOS PERSONALES </w:t>
            </w:r>
            <w:r>
              <w:rPr>
                <w:rFonts w:ascii="Verdana" w:eastAsia="Calibri" w:hAnsi="Verdana" w:cs="Arial"/>
                <w:lang w:eastAsia="es-ES"/>
              </w:rPr>
              <w:t xml:space="preserve">– Normativa / FACTORES DE DESEMPATE – Ley 2069 de 2020 </w:t>
            </w:r>
          </w:p>
          <w:p w14:paraId="53E79E43" w14:textId="77777777" w:rsidR="00D6259D" w:rsidRPr="00BA2C5B" w:rsidRDefault="00D6259D" w:rsidP="00D6259D">
            <w:pPr>
              <w:pStyle w:val="Prrafodelista"/>
              <w:numPr>
                <w:ilvl w:val="0"/>
                <w:numId w:val="17"/>
              </w:numPr>
              <w:spacing w:line="276" w:lineRule="auto"/>
              <w:ind w:left="0"/>
              <w:jc w:val="both"/>
              <w:rPr>
                <w:rFonts w:ascii="Verdana" w:eastAsia="Calibri" w:hAnsi="Verdana" w:cs="Arial"/>
                <w:lang w:eastAsia="es-ES"/>
              </w:rPr>
            </w:pPr>
          </w:p>
        </w:tc>
      </w:tr>
      <w:tr w:rsidR="00D6259D" w:rsidRPr="00E26368" w14:paraId="42E99BCF" w14:textId="77777777" w:rsidTr="00923AFF">
        <w:trPr>
          <w:trHeight w:val="487"/>
        </w:trPr>
        <w:tc>
          <w:tcPr>
            <w:tcW w:w="2742" w:type="dxa"/>
            <w:hideMark/>
          </w:tcPr>
          <w:p w14:paraId="1A9B19F0" w14:textId="77777777" w:rsidR="00D6259D" w:rsidRPr="00E26368" w:rsidRDefault="00D6259D" w:rsidP="00923AFF">
            <w:pPr>
              <w:jc w:val="both"/>
              <w:rPr>
                <w:rFonts w:ascii="Verdana" w:eastAsia="Calibri" w:hAnsi="Verdana" w:cs="Arial"/>
                <w:b/>
                <w:color w:val="7030A0"/>
                <w:lang w:val="es-ES_tradnl" w:eastAsia="es-ES_tradnl"/>
              </w:rPr>
            </w:pPr>
            <w:r w:rsidRPr="00E26368">
              <w:rPr>
                <w:rFonts w:ascii="Verdana" w:eastAsia="Calibri" w:hAnsi="Verdana" w:cs="Arial"/>
                <w:b/>
                <w:lang w:val="es-ES_tradnl" w:eastAsia="es-ES_tradnl"/>
              </w:rPr>
              <w:t>Radicación:</w:t>
            </w:r>
            <w:r w:rsidRPr="00E26368">
              <w:rPr>
                <w:rFonts w:ascii="Verdana" w:eastAsia="Calibri" w:hAnsi="Verdana" w:cs="Arial"/>
                <w:lang w:val="es-ES_tradnl" w:eastAsia="es-ES_tradnl"/>
              </w:rPr>
              <w:t xml:space="preserve">               </w:t>
            </w:r>
          </w:p>
        </w:tc>
        <w:tc>
          <w:tcPr>
            <w:tcW w:w="6023" w:type="dxa"/>
            <w:hideMark/>
          </w:tcPr>
          <w:p w14:paraId="4B3ECA74" w14:textId="77777777" w:rsidR="00D6259D" w:rsidRPr="00E26368" w:rsidRDefault="00D6259D" w:rsidP="00923AFF">
            <w:pPr>
              <w:jc w:val="both"/>
              <w:rPr>
                <w:rFonts w:ascii="Verdana" w:eastAsia="Calibri" w:hAnsi="Verdana" w:cs="Arial"/>
                <w:color w:val="7030A0"/>
                <w:lang w:val="es-ES_tradnl" w:eastAsia="es-ES_tradnl"/>
              </w:rPr>
            </w:pPr>
            <w:r w:rsidRPr="00E26368">
              <w:rPr>
                <w:rFonts w:ascii="Verdana" w:eastAsia="Calibri" w:hAnsi="Verdana" w:cs="Arial"/>
                <w:lang w:val="es-ES_tradnl" w:eastAsia="es-ES_tradnl"/>
              </w:rPr>
              <w:t xml:space="preserve">Respuesta a consulta con radicado No. </w:t>
            </w:r>
            <w:r w:rsidRPr="004A6427">
              <w:rPr>
                <w:rFonts w:ascii="Verdana" w:eastAsia="Calibri" w:hAnsi="Verdana" w:cs="Arial"/>
                <w:lang w:val="es-ES_tradnl" w:eastAsia="es-ES_tradnl"/>
              </w:rPr>
              <w:t>P20240722007478</w:t>
            </w:r>
          </w:p>
        </w:tc>
      </w:tr>
      <w:tr w:rsidR="00D6259D" w:rsidRPr="00E26368" w14:paraId="4265539F" w14:textId="77777777" w:rsidTr="00923AFF">
        <w:trPr>
          <w:trHeight w:val="249"/>
        </w:trPr>
        <w:tc>
          <w:tcPr>
            <w:tcW w:w="2742" w:type="dxa"/>
          </w:tcPr>
          <w:p w14:paraId="170B1B9C" w14:textId="77777777" w:rsidR="00D6259D" w:rsidRPr="00E26368" w:rsidRDefault="00D6259D" w:rsidP="00923AFF">
            <w:pPr>
              <w:jc w:val="both"/>
              <w:rPr>
                <w:rFonts w:ascii="Verdana" w:eastAsia="Calibri" w:hAnsi="Verdana" w:cs="Arial"/>
                <w:b/>
                <w:lang w:val="es-ES_tradnl" w:eastAsia="es-ES_tradnl"/>
              </w:rPr>
            </w:pPr>
          </w:p>
        </w:tc>
        <w:tc>
          <w:tcPr>
            <w:tcW w:w="6023" w:type="dxa"/>
          </w:tcPr>
          <w:p w14:paraId="202EE71F" w14:textId="77777777" w:rsidR="00D6259D" w:rsidRPr="00E26368" w:rsidRDefault="00D6259D" w:rsidP="00923AFF">
            <w:pPr>
              <w:jc w:val="both"/>
              <w:rPr>
                <w:rFonts w:ascii="Verdana" w:eastAsia="Calibri" w:hAnsi="Verdana" w:cs="Arial"/>
                <w:lang w:val="es-ES_tradnl" w:eastAsia="es-ES_tradnl"/>
              </w:rPr>
            </w:pPr>
          </w:p>
        </w:tc>
      </w:tr>
    </w:tbl>
    <w:p w14:paraId="4445DFEA" w14:textId="77777777" w:rsidR="00D6259D" w:rsidRPr="00E26368" w:rsidRDefault="00D6259D" w:rsidP="00D6259D">
      <w:pPr>
        <w:spacing w:after="0" w:line="240" w:lineRule="auto"/>
        <w:jc w:val="both"/>
        <w:rPr>
          <w:rFonts w:ascii="Verdana" w:eastAsia="Calibri" w:hAnsi="Verdana" w:cs="Arial"/>
          <w:color w:val="000000"/>
          <w:lang w:val="es-ES_tradnl" w:eastAsia="es-ES_tradnl"/>
        </w:rPr>
      </w:pPr>
    </w:p>
    <w:p w14:paraId="47ABF617" w14:textId="77777777" w:rsidR="00D6259D" w:rsidRPr="00E26368" w:rsidRDefault="00D6259D" w:rsidP="00D6259D">
      <w:pPr>
        <w:spacing w:after="0" w:line="240" w:lineRule="auto"/>
        <w:jc w:val="both"/>
        <w:rPr>
          <w:rFonts w:ascii="Verdana" w:eastAsia="Calibri" w:hAnsi="Verdana" w:cs="Arial"/>
          <w:color w:val="000000"/>
          <w:lang w:val="es-ES_tradnl" w:eastAsia="es-ES_tradnl"/>
        </w:rPr>
      </w:pPr>
    </w:p>
    <w:p w14:paraId="2B0CA148" w14:textId="77777777" w:rsidR="00D6259D" w:rsidRPr="00E26368" w:rsidRDefault="00D6259D" w:rsidP="00D6259D">
      <w:pPr>
        <w:spacing w:after="0" w:line="276" w:lineRule="auto"/>
        <w:jc w:val="both"/>
        <w:rPr>
          <w:rFonts w:ascii="Verdana" w:eastAsia="Calibri" w:hAnsi="Verdana" w:cs="Arial"/>
          <w:color w:val="000000" w:themeColor="text1"/>
          <w:lang w:val="es-ES" w:eastAsia="es-ES"/>
        </w:rPr>
      </w:pPr>
      <w:r w:rsidRPr="00E26368">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o</w:t>
      </w:r>
      <w:r w:rsidRPr="00E26368">
        <w:rPr>
          <w:rFonts w:ascii="Verdana" w:eastAsia="Calibri" w:hAnsi="Verdana" w:cs="Arial"/>
          <w:color w:val="000000" w:themeColor="text1"/>
          <w:lang w:val="es-ES" w:eastAsia="es-ES"/>
        </w:rPr>
        <w:t xml:space="preserve"> señor </w:t>
      </w:r>
      <w:r>
        <w:rPr>
          <w:rFonts w:ascii="Verdana" w:eastAsia="Calibri" w:hAnsi="Verdana" w:cs="Arial"/>
          <w:color w:val="000000" w:themeColor="text1"/>
          <w:lang w:val="es-ES" w:eastAsia="es-ES"/>
        </w:rPr>
        <w:t>Moreno</w:t>
      </w:r>
      <w:r w:rsidRPr="00E26368">
        <w:rPr>
          <w:rFonts w:ascii="Verdana" w:eastAsia="Calibri" w:hAnsi="Verdana" w:cs="Arial"/>
          <w:color w:val="000000" w:themeColor="text1"/>
          <w:lang w:val="es-ES" w:eastAsia="es-ES"/>
        </w:rPr>
        <w:t xml:space="preserve">:  </w:t>
      </w:r>
    </w:p>
    <w:p w14:paraId="1E94013A" w14:textId="77777777" w:rsidR="00D6259D" w:rsidRPr="00E26368" w:rsidRDefault="00D6259D" w:rsidP="00D6259D">
      <w:pPr>
        <w:tabs>
          <w:tab w:val="left" w:pos="3768"/>
        </w:tabs>
        <w:spacing w:after="0" w:line="276" w:lineRule="auto"/>
        <w:jc w:val="both"/>
        <w:rPr>
          <w:rFonts w:ascii="Verdana" w:eastAsia="Calibri" w:hAnsi="Verdana" w:cs="Arial"/>
          <w:color w:val="000000" w:themeColor="text1"/>
          <w:lang w:val="es-ES" w:eastAsia="es-ES"/>
        </w:rPr>
      </w:pPr>
      <w:r w:rsidRPr="00E26368">
        <w:rPr>
          <w:rFonts w:ascii="Verdana" w:eastAsia="Calibri" w:hAnsi="Verdana" w:cs="Arial"/>
          <w:color w:val="000000" w:themeColor="text1"/>
          <w:lang w:val="es-ES" w:eastAsia="es-ES"/>
        </w:rPr>
        <w:tab/>
      </w:r>
    </w:p>
    <w:p w14:paraId="2EFFDF25" w14:textId="77777777" w:rsidR="00D6259D" w:rsidRPr="00E26368" w:rsidRDefault="00D6259D" w:rsidP="00D6259D">
      <w:pPr>
        <w:spacing w:after="0" w:line="276" w:lineRule="auto"/>
        <w:jc w:val="both"/>
        <w:rPr>
          <w:rFonts w:ascii="Verdana" w:eastAsia="Calibri" w:hAnsi="Verdana" w:cs="Arial"/>
          <w:color w:val="7030A0"/>
          <w:lang w:val="es-ES" w:eastAsia="es-ES"/>
        </w:rPr>
      </w:pPr>
      <w:r w:rsidRPr="00E26368">
        <w:rPr>
          <w:rFonts w:ascii="Verdana" w:eastAsia="Calibri" w:hAnsi="Verdana" w:cs="Arial"/>
          <w:color w:val="000000" w:themeColor="text1"/>
          <w:lang w:val="es-ES" w:eastAsia="es-ES"/>
        </w:rPr>
        <w:t>En ejercicio de la competencia otorgada por los artículos 3, numeral 5º, y 11, numeral 8º, del Decreto Ley 4170 de 2011,</w:t>
      </w:r>
      <w:r w:rsidRPr="00E26368">
        <w:rPr>
          <w:rFonts w:ascii="Verdana" w:eastAsia="Arial MT" w:hAnsi="Verdana" w:cs="Arial MT"/>
          <w:lang w:val="es-ES" w:eastAsia="es-ES"/>
        </w:rPr>
        <w:t xml:space="preserve"> </w:t>
      </w:r>
      <w:r w:rsidRPr="00E26368">
        <w:rPr>
          <w:rFonts w:ascii="Verdana" w:hAnsi="Verdana" w:cs="Arial"/>
        </w:rPr>
        <w:t xml:space="preserve">así como lo establecido en el artículo 4 de la Resolución 1707 de 2018 expedida por esta Entidad, </w:t>
      </w:r>
      <w:r w:rsidRPr="00E26368">
        <w:rPr>
          <w:rFonts w:ascii="Verdana" w:eastAsia="Calibri" w:hAnsi="Verdana" w:cs="Arial"/>
          <w:color w:val="000000" w:themeColor="text1"/>
          <w:lang w:val="es-ES" w:eastAsia="es-ES"/>
        </w:rPr>
        <w:t xml:space="preserve">la Agencia Nacional </w:t>
      </w:r>
      <w:r w:rsidRPr="00E26368">
        <w:rPr>
          <w:rFonts w:ascii="Verdana" w:eastAsia="Calibri" w:hAnsi="Verdana" w:cs="Arial"/>
          <w:lang w:val="es-ES" w:eastAsia="es-ES"/>
        </w:rPr>
        <w:t xml:space="preserve">de Contratación Pública – Colombia Compra Eficiente– responde su solicitud de consulta de fecha </w:t>
      </w:r>
      <w:r>
        <w:rPr>
          <w:rFonts w:ascii="Verdana" w:eastAsia="Calibri" w:hAnsi="Verdana" w:cs="Arial"/>
          <w:lang w:val="es-ES" w:eastAsia="es-ES"/>
        </w:rPr>
        <w:t>22</w:t>
      </w:r>
      <w:r w:rsidRPr="00E26368">
        <w:rPr>
          <w:rFonts w:ascii="Verdana" w:eastAsia="Calibri" w:hAnsi="Verdana" w:cs="Arial"/>
          <w:lang w:val="es-ES" w:eastAsia="es-ES"/>
        </w:rPr>
        <w:t xml:space="preserve"> de julio de 2024, en la cual manifiesta lo siguiente: </w:t>
      </w:r>
    </w:p>
    <w:p w14:paraId="29205673" w14:textId="77777777" w:rsidR="00D6259D" w:rsidRPr="00E26368" w:rsidRDefault="00D6259D" w:rsidP="00D6259D">
      <w:pPr>
        <w:spacing w:after="0" w:line="240" w:lineRule="auto"/>
        <w:ind w:left="426" w:right="709"/>
        <w:jc w:val="both"/>
        <w:rPr>
          <w:rFonts w:ascii="Verdana" w:eastAsia="Century Gothic" w:hAnsi="Verdana" w:cs="Century Gothic"/>
          <w:i/>
          <w:iCs/>
        </w:rPr>
      </w:pPr>
      <w:bookmarkStart w:id="0" w:name="_Hlk95313578"/>
    </w:p>
    <w:p w14:paraId="58A1429B" w14:textId="77777777" w:rsidR="00D6259D" w:rsidRPr="00EF4F92" w:rsidRDefault="00D6259D" w:rsidP="00D6259D">
      <w:pPr>
        <w:jc w:val="both"/>
        <w:rPr>
          <w:rFonts w:ascii="Verdana" w:hAnsi="Verdana"/>
          <w:i/>
          <w:iCs/>
          <w:sz w:val="20"/>
          <w:szCs w:val="20"/>
        </w:rPr>
      </w:pPr>
      <w:r w:rsidRPr="00EF4F92">
        <w:rPr>
          <w:rFonts w:ascii="Verdana" w:eastAsia="Century Gothic" w:hAnsi="Verdana" w:cs="Century Gothic"/>
          <w:i/>
          <w:iCs/>
          <w:sz w:val="20"/>
          <w:szCs w:val="20"/>
        </w:rPr>
        <w:t>“</w:t>
      </w:r>
      <w:r w:rsidRPr="00EF4F92">
        <w:rPr>
          <w:rStyle w:val="normaltextrun"/>
          <w:rFonts w:ascii="Verdana" w:hAnsi="Verdana" w:cs="Arial"/>
          <w:i/>
          <w:iCs/>
          <w:sz w:val="20"/>
          <w:szCs w:val="20"/>
          <w:shd w:val="clear" w:color="auto" w:fill="FFFFFF"/>
          <w:lang w:val="es-ES"/>
        </w:rPr>
        <w:t>[…]</w:t>
      </w:r>
      <w:bookmarkEnd w:id="0"/>
      <w:r w:rsidRPr="00EF4F92">
        <w:rPr>
          <w:rFonts w:ascii="Verdana" w:hAnsi="Verdana"/>
          <w:i/>
          <w:iCs/>
          <w:sz w:val="20"/>
          <w:szCs w:val="20"/>
        </w:rPr>
        <w:t xml:space="preserve">El documento que las entidades exigen para desempate, en particular: la declaracion de mujeres cabeza de hogar, goza del carácter de reserva legal. Que documentos que se presentan en las propuestas, gozan de la condición de reserva legal”. </w:t>
      </w:r>
    </w:p>
    <w:p w14:paraId="3D85236D" w14:textId="77777777" w:rsidR="00D6259D" w:rsidRPr="00EF4F92" w:rsidRDefault="00D6259D" w:rsidP="00D6259D">
      <w:pPr>
        <w:spacing w:after="0" w:line="240" w:lineRule="auto"/>
        <w:ind w:left="426" w:right="709"/>
        <w:jc w:val="both"/>
        <w:rPr>
          <w:rFonts w:ascii="Verdana" w:hAnsi="Verdana" w:cs="Arial"/>
          <w:i/>
          <w:iCs/>
          <w:sz w:val="20"/>
          <w:szCs w:val="20"/>
          <w:shd w:val="clear" w:color="auto" w:fill="FFFFFF"/>
        </w:rPr>
      </w:pPr>
    </w:p>
    <w:p w14:paraId="37ACF4C0" w14:textId="77777777" w:rsidR="00D6259D" w:rsidRPr="00E26368" w:rsidRDefault="00D6259D" w:rsidP="00D6259D">
      <w:pPr>
        <w:spacing w:after="120" w:line="276" w:lineRule="auto"/>
        <w:jc w:val="both"/>
        <w:rPr>
          <w:rFonts w:ascii="Verdana" w:eastAsia="Calibri" w:hAnsi="Verdana" w:cs="Arial"/>
          <w:color w:val="000000"/>
          <w:lang w:val="es-ES" w:eastAsia="es-ES"/>
        </w:rPr>
      </w:pPr>
    </w:p>
    <w:p w14:paraId="01362FAA" w14:textId="77777777" w:rsidR="00D6259D" w:rsidRPr="00E26368" w:rsidRDefault="00D6259D" w:rsidP="00D6259D">
      <w:pPr>
        <w:spacing w:after="120" w:line="276" w:lineRule="auto"/>
        <w:ind w:firstLine="426"/>
        <w:jc w:val="both"/>
        <w:rPr>
          <w:rFonts w:ascii="Verdana" w:eastAsia="Calibri" w:hAnsi="Verdana" w:cs="Arial"/>
          <w:lang w:val="es-ES_tradnl" w:eastAsia="es-ES_tradnl"/>
        </w:rPr>
      </w:pPr>
      <w:r w:rsidRPr="00E26368">
        <w:rPr>
          <w:rFonts w:ascii="Verdana" w:eastAsia="Calibri" w:hAnsi="Verdana" w:cs="Arial"/>
          <w:color w:val="000000"/>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E26368">
        <w:rPr>
          <w:rFonts w:ascii="Verdana" w:eastAsia="Calibri" w:hAnsi="Verdana" w:cs="Arial"/>
          <w:lang w:val="es-ES" w:eastAsia="es-ES"/>
        </w:rPr>
        <w:t xml:space="preserve">interpretación de normas generales, por definición, no puede extenderse a la resolución de controversias, ni a brindar asesorías sobre casos puntuales. </w:t>
      </w:r>
      <w:r w:rsidRPr="00E26368">
        <w:rPr>
          <w:rFonts w:ascii="Verdana" w:eastAsia="Calibri" w:hAnsi="Verdana" w:cs="Arial"/>
          <w:lang w:val="es-ES_tradnl" w:eastAsia="es-ES_tradnl"/>
        </w:rPr>
        <w:tab/>
      </w:r>
    </w:p>
    <w:p w14:paraId="16CF2BEE" w14:textId="77777777" w:rsidR="00D6259D" w:rsidRPr="00E26368" w:rsidRDefault="00D6259D" w:rsidP="00D6259D">
      <w:pPr>
        <w:spacing w:after="0" w:line="276" w:lineRule="auto"/>
        <w:ind w:firstLine="426"/>
        <w:jc w:val="both"/>
        <w:rPr>
          <w:rFonts w:ascii="Verdana" w:eastAsia="Calibri" w:hAnsi="Verdana" w:cs="Arial"/>
          <w:lang w:val="es-ES" w:eastAsia="es-ES"/>
        </w:rPr>
      </w:pPr>
      <w:r w:rsidRPr="00E26368">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24D51285" w14:textId="77777777" w:rsidR="00D6259D" w:rsidRPr="00E26368" w:rsidRDefault="00D6259D" w:rsidP="00D6259D">
      <w:pPr>
        <w:spacing w:after="0" w:line="276" w:lineRule="auto"/>
        <w:ind w:firstLine="426"/>
        <w:jc w:val="both"/>
        <w:rPr>
          <w:rFonts w:ascii="Verdana" w:eastAsia="Calibri" w:hAnsi="Verdana" w:cs="Arial"/>
          <w:lang w:val="es-ES" w:eastAsia="es-ES"/>
        </w:rPr>
      </w:pPr>
    </w:p>
    <w:p w14:paraId="1D343B1E" w14:textId="77777777" w:rsidR="00D6259D" w:rsidRPr="00E26368" w:rsidRDefault="00D6259D" w:rsidP="00D6259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E26368">
        <w:rPr>
          <w:rFonts w:ascii="Verdana" w:eastAsia="Century Gothic" w:hAnsi="Verdana" w:cs="Century Gothic"/>
          <w:b/>
          <w:bCs/>
        </w:rPr>
        <w:t>Problema planteado:</w:t>
      </w:r>
    </w:p>
    <w:p w14:paraId="77CCB1F8" w14:textId="77777777" w:rsidR="00D6259D" w:rsidRPr="00E26368" w:rsidRDefault="00D6259D" w:rsidP="00D6259D">
      <w:pPr>
        <w:pStyle w:val="Prrafodelista"/>
        <w:tabs>
          <w:tab w:val="left" w:pos="142"/>
          <w:tab w:val="left" w:pos="284"/>
        </w:tabs>
        <w:spacing w:after="0" w:line="276" w:lineRule="auto"/>
        <w:ind w:left="0"/>
        <w:jc w:val="both"/>
        <w:rPr>
          <w:rFonts w:ascii="Verdana" w:eastAsia="Century Gothic" w:hAnsi="Verdana" w:cs="Century Gothic"/>
          <w:b/>
          <w:bCs/>
        </w:rPr>
      </w:pPr>
    </w:p>
    <w:p w14:paraId="02D464E8" w14:textId="7EB29124" w:rsidR="00D6259D" w:rsidRPr="00102577" w:rsidRDefault="00D6259D" w:rsidP="00D6259D">
      <w:pPr>
        <w:spacing w:after="0" w:line="276" w:lineRule="auto"/>
        <w:jc w:val="both"/>
        <w:rPr>
          <w:rFonts w:ascii="Verdana" w:eastAsia="Century Gothic" w:hAnsi="Verdana" w:cs="Century Gothic"/>
        </w:rPr>
      </w:pPr>
      <w:r w:rsidRPr="00E26368">
        <w:rPr>
          <w:rFonts w:ascii="Verdana" w:eastAsia="Century Gothic" w:hAnsi="Verdana" w:cs="Century Gothic"/>
        </w:rPr>
        <w:t>De acuerdo con el contenido de su solicitud, esta Agencia resolverá el siguiente problema jurídico:</w:t>
      </w:r>
      <w:r>
        <w:rPr>
          <w:rFonts w:ascii="Verdana" w:eastAsia="Century Gothic" w:hAnsi="Verdana" w:cs="Century Gothic"/>
        </w:rPr>
        <w:t xml:space="preserve"> ¿</w:t>
      </w:r>
      <w:r w:rsidRPr="001A3D98">
        <w:rPr>
          <w:rFonts w:ascii="Verdana" w:eastAsia="Century Gothic" w:hAnsi="Verdana" w:cs="Century Gothic"/>
        </w:rPr>
        <w:t>Qué documentos presentados en las propuestas para procesos de selección tienen reserva legal</w:t>
      </w:r>
      <w:r w:rsidRPr="00C8228E">
        <w:rPr>
          <w:rFonts w:ascii="Verdana" w:eastAsia="Century Gothic" w:hAnsi="Verdana" w:cs="Century Gothic"/>
        </w:rPr>
        <w:t>?</w:t>
      </w:r>
    </w:p>
    <w:p w14:paraId="292FC012" w14:textId="77777777" w:rsidR="00D6259D" w:rsidRPr="00E26368" w:rsidRDefault="00D6259D" w:rsidP="00D6259D">
      <w:pPr>
        <w:spacing w:after="0" w:line="360" w:lineRule="auto"/>
        <w:jc w:val="both"/>
        <w:rPr>
          <w:rFonts w:ascii="Verdana" w:hAnsi="Verdana"/>
        </w:rPr>
      </w:pPr>
    </w:p>
    <w:p w14:paraId="27E83754" w14:textId="77777777" w:rsidR="00D6259D" w:rsidRPr="00E26368" w:rsidRDefault="00D6259D" w:rsidP="00D6259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E26368">
        <w:rPr>
          <w:rFonts w:ascii="Verdana" w:eastAsia="Century Gothic" w:hAnsi="Verdana" w:cs="Century Gothic"/>
          <w:b/>
          <w:bCs/>
        </w:rPr>
        <w:t>Respuesta:</w:t>
      </w:r>
    </w:p>
    <w:p w14:paraId="129F5242" w14:textId="77777777" w:rsidR="00D6259D" w:rsidRPr="00E26368" w:rsidRDefault="00D6259D" w:rsidP="00D6259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6259D" w:rsidRPr="00E26368" w14:paraId="1A24A782" w14:textId="77777777" w:rsidTr="00923AFF">
        <w:tc>
          <w:tcPr>
            <w:tcW w:w="8828" w:type="dxa"/>
            <w:tcBorders>
              <w:top w:val="dotted" w:sz="4" w:space="0" w:color="auto"/>
              <w:left w:val="dotted" w:sz="4" w:space="0" w:color="auto"/>
              <w:bottom w:val="dotted" w:sz="4" w:space="0" w:color="auto"/>
              <w:right w:val="dotted" w:sz="4" w:space="0" w:color="auto"/>
            </w:tcBorders>
          </w:tcPr>
          <w:p w14:paraId="6A686E98" w14:textId="77777777" w:rsidR="006427BB" w:rsidRDefault="006427BB" w:rsidP="000007AF">
            <w:pPr>
              <w:jc w:val="both"/>
              <w:rPr>
                <w:rFonts w:ascii="Verdana" w:eastAsia="Calibri" w:hAnsi="Verdana" w:cs="Arial"/>
                <w:color w:val="000000"/>
                <w:lang w:val="es-MX" w:eastAsia="en-GB"/>
              </w:rPr>
            </w:pPr>
          </w:p>
          <w:p w14:paraId="2243D13B" w14:textId="4FB46759" w:rsidR="006427BB" w:rsidRPr="006427BB" w:rsidRDefault="006427BB" w:rsidP="006427BB">
            <w:pPr>
              <w:jc w:val="both"/>
              <w:rPr>
                <w:rFonts w:ascii="Verdana" w:eastAsia="Calibri" w:hAnsi="Verdana" w:cs="Arial"/>
                <w:color w:val="000000"/>
                <w:lang w:eastAsia="en-GB"/>
              </w:rPr>
            </w:pPr>
            <w:r w:rsidRPr="006427BB">
              <w:rPr>
                <w:rFonts w:ascii="Verdana" w:eastAsia="Calibri" w:hAnsi="Verdana" w:cs="Arial"/>
                <w:color w:val="000000"/>
                <w:lang w:eastAsia="en-GB"/>
              </w:rPr>
              <w:t>Frente al</w:t>
            </w:r>
            <w:r>
              <w:rPr>
                <w:rFonts w:ascii="Verdana" w:eastAsia="Calibri" w:hAnsi="Verdana" w:cs="Arial"/>
                <w:color w:val="000000"/>
                <w:lang w:eastAsia="en-GB"/>
              </w:rPr>
              <w:t xml:space="preserve"> interrogante planteado</w:t>
            </w:r>
            <w:r w:rsidRPr="006427BB">
              <w:rPr>
                <w:rFonts w:ascii="Verdana" w:eastAsia="Calibri" w:hAnsi="Verdana" w:cs="Arial"/>
                <w:color w:val="000000"/>
                <w:lang w:eastAsia="en-GB"/>
              </w:rPr>
              <w:t xml:space="preserve">, vale la pena que dentro de los principios que rige la función pública conforme al artículo 209 constitucional se encuentra el principio de publicidad, cual permite que las autoridades den a conocer al público y a los interesados, en forma sistemática y permanente, sin que medie petición alguna, sus actos, contratos y resoluciones, mediante las comunicaciones, notificaciones y publicaciones que ordene la </w:t>
            </w:r>
            <w:r>
              <w:rPr>
                <w:rFonts w:ascii="Verdana" w:eastAsia="Calibri" w:hAnsi="Verdana" w:cs="Arial"/>
                <w:color w:val="000000"/>
                <w:lang w:eastAsia="en-GB"/>
              </w:rPr>
              <w:t>L</w:t>
            </w:r>
            <w:r w:rsidRPr="006427BB">
              <w:rPr>
                <w:rFonts w:ascii="Verdana" w:eastAsia="Calibri" w:hAnsi="Verdana" w:cs="Arial"/>
                <w:color w:val="000000"/>
                <w:lang w:eastAsia="en-GB"/>
              </w:rPr>
              <w:t>ey</w:t>
            </w:r>
            <w:r>
              <w:rPr>
                <w:rFonts w:ascii="Verdana" w:eastAsia="Calibri" w:hAnsi="Verdana" w:cs="Arial"/>
                <w:color w:val="000000"/>
                <w:lang w:eastAsia="en-GB"/>
              </w:rPr>
              <w:t>.</w:t>
            </w:r>
            <w:r>
              <w:rPr>
                <w:rStyle w:val="Refdenotaalpie"/>
                <w:rFonts w:ascii="Verdana" w:eastAsia="Calibri" w:hAnsi="Verdana" w:cs="Arial"/>
                <w:color w:val="000000"/>
                <w:lang w:eastAsia="en-GB"/>
              </w:rPr>
              <w:footnoteReference w:id="2"/>
            </w:r>
          </w:p>
          <w:p w14:paraId="7CE37506" w14:textId="77777777" w:rsidR="006427BB" w:rsidRPr="006427BB" w:rsidRDefault="006427BB" w:rsidP="000007AF">
            <w:pPr>
              <w:jc w:val="both"/>
              <w:rPr>
                <w:rFonts w:ascii="Verdana" w:eastAsia="Calibri" w:hAnsi="Verdana" w:cs="Arial"/>
                <w:color w:val="000000"/>
                <w:lang w:eastAsia="en-GB"/>
              </w:rPr>
            </w:pPr>
          </w:p>
          <w:p w14:paraId="4D670338" w14:textId="389D070A" w:rsidR="006427BB" w:rsidRPr="006427BB" w:rsidRDefault="006427BB" w:rsidP="006427BB">
            <w:pPr>
              <w:jc w:val="both"/>
              <w:rPr>
                <w:rFonts w:ascii="Verdana" w:eastAsia="Calibri" w:hAnsi="Verdana" w:cs="Arial"/>
                <w:color w:val="000000"/>
                <w:lang w:eastAsia="en-GB"/>
              </w:rPr>
            </w:pPr>
            <w:r>
              <w:rPr>
                <w:rFonts w:ascii="Verdana" w:eastAsia="Calibri" w:hAnsi="Verdana" w:cs="Arial"/>
                <w:color w:val="000000"/>
                <w:lang w:eastAsia="en-GB"/>
              </w:rPr>
              <w:lastRenderedPageBreak/>
              <w:t>En ese sentido, a l</w:t>
            </w:r>
            <w:r w:rsidRPr="006427BB">
              <w:rPr>
                <w:rFonts w:ascii="Verdana" w:eastAsia="Calibri" w:hAnsi="Verdana" w:cs="Arial"/>
                <w:color w:val="000000"/>
                <w:lang w:eastAsia="en-GB"/>
              </w:rPr>
              <w:t xml:space="preserve">as entidades estatales, como sujetos obligados por la normativa de la transparencia y acceso a la información pública, les corresponde dar publicidad a todos los documentos del proceso contractual, es decir, que se extienda a todo el desarrollo del procedimiento, desde la etapa de planeación </w:t>
            </w:r>
            <w:r>
              <w:rPr>
                <w:rFonts w:ascii="Verdana" w:eastAsia="Calibri" w:hAnsi="Verdana" w:cs="Arial"/>
                <w:color w:val="000000"/>
                <w:lang w:eastAsia="en-GB"/>
              </w:rPr>
              <w:t xml:space="preserve">hasta la liquidación del contrato, </w:t>
            </w:r>
            <w:r w:rsidRPr="006427BB">
              <w:rPr>
                <w:rFonts w:ascii="Verdana" w:eastAsia="Calibri" w:hAnsi="Verdana" w:cs="Arial"/>
                <w:color w:val="000000"/>
                <w:lang w:eastAsia="en-GB"/>
              </w:rPr>
              <w:t>incluyendo cada actuación que se produzca en ese lapso, tal y como lo señalan los artículos 2.1.1.2.1.7, 2.1.1.2.1.8 y 2.1.1.2.1.9 del Decreto 1081 de</w:t>
            </w:r>
            <w:r w:rsidR="00550382">
              <w:rPr>
                <w:rFonts w:ascii="Verdana" w:eastAsia="Calibri" w:hAnsi="Verdana" w:cs="Arial"/>
                <w:color w:val="000000"/>
                <w:lang w:eastAsia="en-GB"/>
              </w:rPr>
              <w:t xml:space="preserve"> </w:t>
            </w:r>
            <w:r w:rsidRPr="006427BB">
              <w:rPr>
                <w:rFonts w:ascii="Verdana" w:eastAsia="Calibri" w:hAnsi="Verdana" w:cs="Arial"/>
                <w:color w:val="000000"/>
                <w:lang w:eastAsia="en-GB"/>
              </w:rPr>
              <w:t>2015</w:t>
            </w:r>
            <w:r>
              <w:rPr>
                <w:rFonts w:ascii="Verdana" w:eastAsia="Calibri" w:hAnsi="Verdana" w:cs="Arial"/>
                <w:color w:val="000000"/>
                <w:lang w:eastAsia="en-GB"/>
              </w:rPr>
              <w:t xml:space="preserve"> </w:t>
            </w:r>
            <w:r w:rsidRPr="006427BB">
              <w:rPr>
                <w:rFonts w:ascii="Verdana" w:eastAsia="Calibri" w:hAnsi="Verdana" w:cs="Arial"/>
                <w:color w:val="000000"/>
                <w:lang w:eastAsia="en-GB"/>
              </w:rPr>
              <w:t>y</w:t>
            </w:r>
            <w:r>
              <w:rPr>
                <w:rFonts w:ascii="Verdana" w:eastAsia="Calibri" w:hAnsi="Verdana" w:cs="Arial"/>
                <w:color w:val="000000"/>
                <w:lang w:eastAsia="en-GB"/>
              </w:rPr>
              <w:t xml:space="preserve"> </w:t>
            </w:r>
            <w:r w:rsidRPr="006427BB">
              <w:rPr>
                <w:rFonts w:ascii="Verdana" w:eastAsia="Calibri" w:hAnsi="Verdana" w:cs="Arial"/>
                <w:color w:val="000000"/>
                <w:lang w:eastAsia="en-GB"/>
              </w:rPr>
              <w:t>lo</w:t>
            </w:r>
            <w:r>
              <w:rPr>
                <w:rFonts w:ascii="Verdana" w:eastAsia="Calibri" w:hAnsi="Verdana" w:cs="Arial"/>
                <w:color w:val="000000"/>
                <w:lang w:eastAsia="en-GB"/>
              </w:rPr>
              <w:t xml:space="preserve"> </w:t>
            </w:r>
            <w:r w:rsidRPr="006427BB">
              <w:rPr>
                <w:rFonts w:ascii="Verdana" w:eastAsia="Calibri" w:hAnsi="Verdana" w:cs="Arial"/>
                <w:color w:val="000000"/>
                <w:lang w:eastAsia="en-GB"/>
              </w:rPr>
              <w:t>contemplado</w:t>
            </w:r>
            <w:r>
              <w:rPr>
                <w:rFonts w:ascii="Verdana" w:eastAsia="Calibri" w:hAnsi="Verdana" w:cs="Arial"/>
                <w:color w:val="000000"/>
                <w:lang w:eastAsia="en-GB"/>
              </w:rPr>
              <w:t xml:space="preserve"> </w:t>
            </w:r>
            <w:r w:rsidRPr="006427BB">
              <w:rPr>
                <w:rFonts w:ascii="Verdana" w:eastAsia="Calibri" w:hAnsi="Verdana" w:cs="Arial"/>
                <w:color w:val="000000"/>
                <w:lang w:eastAsia="en-GB"/>
              </w:rPr>
              <w:t>en</w:t>
            </w:r>
            <w:r w:rsidR="00550382">
              <w:rPr>
                <w:rFonts w:ascii="Verdana" w:eastAsia="Calibri" w:hAnsi="Verdana" w:cs="Arial"/>
                <w:color w:val="000000"/>
                <w:lang w:eastAsia="en-GB"/>
              </w:rPr>
              <w:t xml:space="preserve"> </w:t>
            </w:r>
            <w:r w:rsidRPr="006427BB">
              <w:rPr>
                <w:rFonts w:ascii="Verdana" w:eastAsia="Calibri" w:hAnsi="Verdana" w:cs="Arial"/>
                <w:color w:val="000000"/>
                <w:lang w:eastAsia="en-GB"/>
              </w:rPr>
              <w:t>el</w:t>
            </w:r>
            <w:r w:rsidR="00550382">
              <w:rPr>
                <w:rFonts w:ascii="Verdana" w:eastAsia="Calibri" w:hAnsi="Verdana" w:cs="Arial"/>
                <w:color w:val="000000"/>
                <w:lang w:eastAsia="en-GB"/>
              </w:rPr>
              <w:t xml:space="preserve"> </w:t>
            </w:r>
            <w:r w:rsidRPr="006427BB">
              <w:rPr>
                <w:rFonts w:ascii="Verdana" w:eastAsia="Calibri" w:hAnsi="Verdana" w:cs="Arial"/>
                <w:color w:val="000000"/>
                <w:lang w:eastAsia="en-GB"/>
              </w:rPr>
              <w:t>artículo 2.2.1.1.1.7.1</w:t>
            </w:r>
            <w:r w:rsidR="00550382">
              <w:rPr>
                <w:rFonts w:ascii="Verdana" w:eastAsia="Calibri" w:hAnsi="Verdana" w:cs="Arial"/>
                <w:color w:val="000000"/>
                <w:lang w:eastAsia="en-GB"/>
              </w:rPr>
              <w:t xml:space="preserve"> </w:t>
            </w:r>
            <w:r w:rsidRPr="006427BB">
              <w:rPr>
                <w:rFonts w:ascii="Verdana" w:eastAsia="Calibri" w:hAnsi="Verdana" w:cs="Arial"/>
                <w:color w:val="000000"/>
                <w:lang w:eastAsia="en-GB"/>
              </w:rPr>
              <w:t>del</w:t>
            </w:r>
            <w:r>
              <w:rPr>
                <w:rFonts w:ascii="Verdana" w:eastAsia="Calibri" w:hAnsi="Verdana" w:cs="Arial"/>
                <w:color w:val="000000"/>
                <w:lang w:eastAsia="en-GB"/>
              </w:rPr>
              <w:t xml:space="preserve"> </w:t>
            </w:r>
            <w:r w:rsidRPr="006427BB">
              <w:rPr>
                <w:rFonts w:ascii="Verdana" w:eastAsia="Calibri" w:hAnsi="Verdana" w:cs="Arial"/>
                <w:color w:val="000000"/>
                <w:lang w:eastAsia="en-GB"/>
              </w:rPr>
              <w:t>Decreto</w:t>
            </w:r>
            <w:r w:rsidR="002E77FB">
              <w:rPr>
                <w:rFonts w:ascii="Verdana" w:eastAsia="Calibri" w:hAnsi="Verdana" w:cs="Arial"/>
                <w:color w:val="000000"/>
                <w:lang w:eastAsia="en-GB"/>
              </w:rPr>
              <w:t xml:space="preserve"> </w:t>
            </w:r>
            <w:r w:rsidRPr="006427BB">
              <w:rPr>
                <w:rFonts w:ascii="Verdana" w:eastAsia="Calibri" w:hAnsi="Verdana" w:cs="Arial"/>
                <w:color w:val="000000"/>
                <w:lang w:eastAsia="en-GB"/>
              </w:rPr>
              <w:t>1082</w:t>
            </w:r>
            <w:r w:rsidR="002E77FB">
              <w:rPr>
                <w:rFonts w:ascii="Verdana" w:eastAsia="Calibri" w:hAnsi="Verdana" w:cs="Arial"/>
                <w:color w:val="000000"/>
                <w:lang w:eastAsia="en-GB"/>
              </w:rPr>
              <w:t xml:space="preserve"> </w:t>
            </w:r>
            <w:r w:rsidRPr="006427BB">
              <w:rPr>
                <w:rFonts w:ascii="Verdana" w:eastAsia="Calibri" w:hAnsi="Verdana" w:cs="Arial"/>
                <w:color w:val="000000"/>
                <w:lang w:eastAsia="en-GB"/>
              </w:rPr>
              <w:t>de</w:t>
            </w:r>
            <w:r w:rsidR="002E77FB">
              <w:rPr>
                <w:rFonts w:ascii="Verdana" w:eastAsia="Calibri" w:hAnsi="Verdana" w:cs="Arial"/>
                <w:color w:val="000000"/>
                <w:lang w:eastAsia="en-GB"/>
              </w:rPr>
              <w:t xml:space="preserve"> </w:t>
            </w:r>
            <w:r w:rsidRPr="006427BB">
              <w:rPr>
                <w:rFonts w:ascii="Verdana" w:eastAsia="Calibri" w:hAnsi="Verdana" w:cs="Arial"/>
                <w:color w:val="000000"/>
                <w:lang w:eastAsia="en-GB"/>
              </w:rPr>
              <w:t>2015</w:t>
            </w:r>
            <w:r w:rsidR="002E77FB">
              <w:rPr>
                <w:rFonts w:ascii="Verdana" w:eastAsia="Calibri" w:hAnsi="Verdana" w:cs="Arial"/>
                <w:color w:val="000000"/>
                <w:lang w:eastAsia="en-GB"/>
              </w:rPr>
              <w:t>.</w:t>
            </w:r>
            <w:r w:rsidRPr="006427BB">
              <w:rPr>
                <w:rFonts w:ascii="Verdana" w:eastAsia="Calibri" w:hAnsi="Verdana" w:cs="Arial"/>
                <w:color w:val="000000"/>
                <w:lang w:eastAsia="en-GB"/>
              </w:rPr>
              <w:t xml:space="preserve"> </w:t>
            </w:r>
          </w:p>
          <w:p w14:paraId="47915D59" w14:textId="77777777" w:rsidR="006427BB" w:rsidRPr="00E926A8" w:rsidRDefault="006427BB" w:rsidP="000007AF">
            <w:pPr>
              <w:jc w:val="both"/>
              <w:rPr>
                <w:rFonts w:ascii="Verdana" w:eastAsia="Calibri" w:hAnsi="Verdana" w:cs="Arial"/>
                <w:color w:val="000000"/>
                <w:lang w:eastAsia="en-GB"/>
              </w:rPr>
            </w:pPr>
          </w:p>
          <w:p w14:paraId="380E6015" w14:textId="1A3D1B65" w:rsidR="000007AF" w:rsidRDefault="006427BB" w:rsidP="000007AF">
            <w:pPr>
              <w:jc w:val="both"/>
              <w:rPr>
                <w:rFonts w:ascii="Verdana" w:eastAsia="Calibri" w:hAnsi="Verdana" w:cs="Arial"/>
                <w:color w:val="000000"/>
                <w:lang w:eastAsia="en-GB"/>
              </w:rPr>
            </w:pPr>
            <w:r>
              <w:rPr>
                <w:rFonts w:ascii="Verdana" w:eastAsia="Calibri" w:hAnsi="Verdana" w:cs="Arial"/>
                <w:color w:val="000000"/>
                <w:lang w:val="es-MX" w:eastAsia="en-GB"/>
              </w:rPr>
              <w:t>En ese orden de ideas</w:t>
            </w:r>
            <w:r w:rsidR="000007AF">
              <w:rPr>
                <w:rFonts w:ascii="Verdana" w:eastAsia="Calibri" w:hAnsi="Verdana" w:cs="Arial"/>
                <w:color w:val="000000"/>
                <w:lang w:val="es-MX" w:eastAsia="en-GB"/>
              </w:rPr>
              <w:t>, se pu</w:t>
            </w:r>
            <w:r w:rsidR="0023540D">
              <w:rPr>
                <w:rFonts w:ascii="Verdana" w:eastAsia="Calibri" w:hAnsi="Verdana" w:cs="Arial"/>
                <w:color w:val="000000"/>
                <w:lang w:val="es-MX" w:eastAsia="en-GB"/>
              </w:rPr>
              <w:t>e</w:t>
            </w:r>
            <w:r w:rsidR="000007AF">
              <w:rPr>
                <w:rFonts w:ascii="Verdana" w:eastAsia="Calibri" w:hAnsi="Verdana" w:cs="Arial"/>
                <w:color w:val="000000"/>
                <w:lang w:val="es-MX" w:eastAsia="en-GB"/>
              </w:rPr>
              <w:t>de decir que los documentos presentados en los procesos de selección no gozan de reserva legal, en virtud del principio de publicidad</w:t>
            </w:r>
            <w:r w:rsidR="000007AF">
              <w:rPr>
                <w:rStyle w:val="Refdenotaalpie"/>
                <w:rFonts w:ascii="Verdana" w:eastAsia="Calibri" w:hAnsi="Verdana" w:cs="Arial"/>
                <w:color w:val="000000"/>
                <w:lang w:val="es-MX" w:eastAsia="en-GB"/>
              </w:rPr>
              <w:footnoteReference w:id="3"/>
            </w:r>
            <w:r w:rsidR="0023540D">
              <w:rPr>
                <w:rFonts w:ascii="Verdana" w:eastAsia="Calibri" w:hAnsi="Verdana" w:cs="Arial"/>
                <w:color w:val="000000"/>
                <w:lang w:val="es-MX" w:eastAsia="en-GB"/>
              </w:rPr>
              <w:t xml:space="preserve"> sin embargo se someten a unos cronogramas del proceso de selección para ser aperturados, darles traslados y ser publicados, puesto que antes de evaluar la entidad estatal no puede marcar en Secop II como públicos o en secop II dar copias de ellos debido a que afecta la competencia de las ofertas</w:t>
            </w:r>
            <w:r>
              <w:rPr>
                <w:rFonts w:ascii="Verdana" w:eastAsia="Calibri" w:hAnsi="Verdana" w:cs="Arial"/>
                <w:color w:val="000000"/>
                <w:lang w:val="es-MX" w:eastAsia="en-GB"/>
              </w:rPr>
              <w:t xml:space="preserve">; </w:t>
            </w:r>
            <w:r w:rsidR="000007AF">
              <w:rPr>
                <w:rFonts w:ascii="Verdana" w:eastAsia="Calibri" w:hAnsi="Verdana" w:cs="Arial"/>
                <w:color w:val="000000"/>
                <w:lang w:val="es-MX" w:eastAsia="en-GB"/>
              </w:rPr>
              <w:t xml:space="preserve"> </w:t>
            </w:r>
            <w:r w:rsidR="00550382">
              <w:rPr>
                <w:rFonts w:ascii="Verdana" w:eastAsia="Calibri" w:hAnsi="Verdana" w:cs="Arial"/>
                <w:color w:val="000000"/>
                <w:lang w:val="es-MX" w:eastAsia="en-GB"/>
              </w:rPr>
              <w:t>no obstante, este principio no es absoluto, debido a que le Ley 1755 de 2015, indica</w:t>
            </w:r>
            <w:r w:rsidR="0023540D">
              <w:rPr>
                <w:rFonts w:ascii="Verdana" w:eastAsia="Calibri" w:hAnsi="Verdana" w:cs="Arial"/>
                <w:color w:val="000000"/>
                <w:lang w:val="es-MX" w:eastAsia="en-GB"/>
              </w:rPr>
              <w:t xml:space="preserve"> en general</w:t>
            </w:r>
            <w:r w:rsidR="00550382">
              <w:rPr>
                <w:rFonts w:ascii="Verdana" w:eastAsia="Calibri" w:hAnsi="Verdana" w:cs="Arial"/>
                <w:color w:val="000000"/>
                <w:lang w:val="es-MX" w:eastAsia="en-GB"/>
              </w:rPr>
              <w:t xml:space="preserve"> que documentos </w:t>
            </w:r>
            <w:r w:rsidR="00550382">
              <w:rPr>
                <w:rFonts w:ascii="Verdana" w:eastAsia="Calibri" w:hAnsi="Verdana" w:cs="Arial"/>
                <w:color w:val="000000"/>
                <w:lang w:eastAsia="en-GB"/>
              </w:rPr>
              <w:t>son</w:t>
            </w:r>
            <w:r w:rsidR="000007AF" w:rsidRPr="000007AF">
              <w:rPr>
                <w:rFonts w:ascii="Verdana" w:eastAsia="Calibri" w:hAnsi="Verdana" w:cs="Arial"/>
                <w:color w:val="000000"/>
                <w:lang w:eastAsia="en-GB"/>
              </w:rPr>
              <w:t xml:space="preserve"> objeto de reserva</w:t>
            </w:r>
            <w:r w:rsidR="002B6167">
              <w:rPr>
                <w:rFonts w:ascii="Verdana" w:eastAsia="Calibri" w:hAnsi="Verdana" w:cs="Arial"/>
                <w:color w:val="000000"/>
                <w:lang w:eastAsia="en-GB"/>
              </w:rPr>
              <w:t>.</w:t>
            </w:r>
          </w:p>
          <w:p w14:paraId="5AF6F13B" w14:textId="77777777" w:rsidR="002B6167" w:rsidRDefault="002B6167" w:rsidP="000007AF">
            <w:pPr>
              <w:jc w:val="both"/>
              <w:rPr>
                <w:rFonts w:ascii="Verdana" w:eastAsia="Calibri" w:hAnsi="Verdana" w:cs="Arial"/>
                <w:color w:val="000000"/>
                <w:lang w:eastAsia="en-GB"/>
              </w:rPr>
            </w:pPr>
          </w:p>
          <w:p w14:paraId="3E9496E4" w14:textId="635FDF49" w:rsidR="002B6167" w:rsidRDefault="00550382" w:rsidP="002B6167">
            <w:pPr>
              <w:jc w:val="both"/>
              <w:rPr>
                <w:rFonts w:ascii="Verdana" w:eastAsia="Calibri" w:hAnsi="Verdana" w:cs="Arial"/>
                <w:b/>
                <w:bCs/>
                <w:color w:val="000000"/>
                <w:lang w:eastAsia="en-GB"/>
              </w:rPr>
            </w:pPr>
            <w:r>
              <w:rPr>
                <w:rFonts w:ascii="Verdana" w:eastAsia="Calibri" w:hAnsi="Verdana" w:cs="Arial"/>
                <w:color w:val="000000"/>
                <w:lang w:eastAsia="en-GB"/>
              </w:rPr>
              <w:t>En ese sentido, el</w:t>
            </w:r>
            <w:r w:rsidR="002B6167">
              <w:rPr>
                <w:rFonts w:ascii="Verdana" w:eastAsia="Calibri" w:hAnsi="Verdana" w:cs="Arial"/>
                <w:color w:val="000000"/>
                <w:lang w:eastAsia="en-GB"/>
              </w:rPr>
              <w:t xml:space="preserve"> artículo 24 de la Ley 1755 de 2015 ha señalado que gozan de reserva de ley los siguientes documentos “</w:t>
            </w:r>
            <w:r w:rsidR="002B6167">
              <w:rPr>
                <w:rFonts w:ascii="Verdana" w:eastAsia="Calibri" w:hAnsi="Verdana" w:cs="Arial"/>
                <w:b/>
                <w:bCs/>
                <w:color w:val="000000"/>
                <w:lang w:eastAsia="en-GB"/>
              </w:rPr>
              <w:t xml:space="preserve"> (…)</w:t>
            </w:r>
          </w:p>
          <w:p w14:paraId="4B1864C2" w14:textId="77777777" w:rsidR="00550382" w:rsidRPr="002B6167" w:rsidRDefault="00550382" w:rsidP="002B6167">
            <w:pPr>
              <w:jc w:val="both"/>
              <w:rPr>
                <w:rFonts w:ascii="Verdana" w:eastAsia="Calibri" w:hAnsi="Verdana" w:cs="Arial"/>
                <w:color w:val="000000"/>
                <w:lang w:eastAsia="en-GB"/>
              </w:rPr>
            </w:pPr>
          </w:p>
          <w:p w14:paraId="656D7182" w14:textId="77777777" w:rsidR="002B6167" w:rsidRPr="00E926A8" w:rsidRDefault="002B6167" w:rsidP="002B6167">
            <w:pPr>
              <w:jc w:val="both"/>
              <w:rPr>
                <w:rFonts w:ascii="Verdana" w:eastAsia="Calibri" w:hAnsi="Verdana" w:cs="Arial"/>
                <w:i/>
                <w:iCs/>
                <w:color w:val="000000"/>
                <w:lang w:eastAsia="en-GB"/>
              </w:rPr>
            </w:pPr>
            <w:r w:rsidRPr="00E926A8">
              <w:rPr>
                <w:rFonts w:ascii="Verdana" w:eastAsia="Calibri" w:hAnsi="Verdana" w:cs="Arial"/>
                <w:i/>
                <w:iCs/>
                <w:color w:val="000000"/>
                <w:lang w:eastAsia="en-GB"/>
              </w:rPr>
              <w:t>1. Los relacionados con la defensa o seguridad nacionales.</w:t>
            </w:r>
          </w:p>
          <w:p w14:paraId="32A86969" w14:textId="77777777" w:rsidR="002B6167" w:rsidRPr="00E926A8" w:rsidRDefault="002B6167" w:rsidP="002B6167">
            <w:pPr>
              <w:jc w:val="both"/>
              <w:rPr>
                <w:rFonts w:ascii="Verdana" w:eastAsia="Calibri" w:hAnsi="Verdana" w:cs="Arial"/>
                <w:i/>
                <w:iCs/>
                <w:color w:val="000000"/>
                <w:lang w:eastAsia="en-GB"/>
              </w:rPr>
            </w:pPr>
            <w:r w:rsidRPr="00E926A8">
              <w:rPr>
                <w:rFonts w:ascii="Verdana" w:eastAsia="Calibri" w:hAnsi="Verdana" w:cs="Arial"/>
                <w:i/>
                <w:iCs/>
                <w:color w:val="000000"/>
                <w:lang w:eastAsia="en-GB"/>
              </w:rPr>
              <w:t>2. Las instrucciones en materia diplomática o sobre negociaciones reservadas.</w:t>
            </w:r>
          </w:p>
          <w:p w14:paraId="01E0AB2E" w14:textId="77777777" w:rsidR="002B6167" w:rsidRPr="00E926A8" w:rsidRDefault="002B6167" w:rsidP="002B6167">
            <w:pPr>
              <w:jc w:val="both"/>
              <w:rPr>
                <w:rFonts w:ascii="Verdana" w:eastAsia="Calibri" w:hAnsi="Verdana" w:cs="Arial"/>
                <w:i/>
                <w:iCs/>
                <w:color w:val="000000"/>
                <w:lang w:eastAsia="en-GB"/>
              </w:rPr>
            </w:pPr>
            <w:r w:rsidRPr="00E926A8">
              <w:rPr>
                <w:rFonts w:ascii="Verdana" w:eastAsia="Calibri" w:hAnsi="Verdana" w:cs="Arial"/>
                <w:i/>
                <w:iCs/>
                <w:color w:val="000000"/>
                <w:lang w:eastAsia="en-GB"/>
              </w:rPr>
              <w:t>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w:t>
            </w:r>
          </w:p>
          <w:p w14:paraId="2313A282" w14:textId="77777777" w:rsidR="002B6167" w:rsidRPr="00E926A8" w:rsidRDefault="002B6167" w:rsidP="002B6167">
            <w:pPr>
              <w:jc w:val="both"/>
              <w:rPr>
                <w:rFonts w:ascii="Verdana" w:eastAsia="Calibri" w:hAnsi="Verdana" w:cs="Arial"/>
                <w:i/>
                <w:iCs/>
                <w:color w:val="000000"/>
                <w:lang w:eastAsia="en-GB"/>
              </w:rPr>
            </w:pPr>
            <w:r w:rsidRPr="00E926A8">
              <w:rPr>
                <w:rFonts w:ascii="Verdana" w:eastAsia="Calibri" w:hAnsi="Verdana" w:cs="Arial"/>
                <w:i/>
                <w:iCs/>
                <w:color w:val="000000"/>
                <w:lang w:eastAsia="en-GB"/>
              </w:rPr>
              <w:t>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w:t>
            </w:r>
          </w:p>
          <w:p w14:paraId="434E21CE" w14:textId="77777777" w:rsidR="002B6167" w:rsidRPr="00E926A8" w:rsidRDefault="002B6167" w:rsidP="002B6167">
            <w:pPr>
              <w:jc w:val="both"/>
              <w:rPr>
                <w:rFonts w:ascii="Verdana" w:eastAsia="Calibri" w:hAnsi="Verdana" w:cs="Arial"/>
                <w:i/>
                <w:iCs/>
                <w:color w:val="000000"/>
                <w:lang w:eastAsia="en-GB"/>
              </w:rPr>
            </w:pPr>
            <w:r w:rsidRPr="00E926A8">
              <w:rPr>
                <w:rFonts w:ascii="Verdana" w:eastAsia="Calibri" w:hAnsi="Verdana" w:cs="Arial"/>
                <w:i/>
                <w:iCs/>
                <w:color w:val="000000"/>
                <w:lang w:eastAsia="en-GB"/>
              </w:rPr>
              <w:t>5. Los datos referentes a la información financiera y comercial, en los términos de la Ley Estatutaria 1266 de 2008.</w:t>
            </w:r>
          </w:p>
          <w:p w14:paraId="2773BEBE" w14:textId="77777777" w:rsidR="002B6167" w:rsidRPr="00E926A8" w:rsidRDefault="002B6167" w:rsidP="002B6167">
            <w:pPr>
              <w:jc w:val="both"/>
              <w:rPr>
                <w:rFonts w:ascii="Verdana" w:eastAsia="Calibri" w:hAnsi="Verdana" w:cs="Arial"/>
                <w:i/>
                <w:iCs/>
                <w:color w:val="000000"/>
                <w:lang w:eastAsia="en-GB"/>
              </w:rPr>
            </w:pPr>
            <w:r w:rsidRPr="00E926A8">
              <w:rPr>
                <w:rFonts w:ascii="Verdana" w:eastAsia="Calibri" w:hAnsi="Verdana" w:cs="Arial"/>
                <w:i/>
                <w:iCs/>
                <w:color w:val="000000"/>
                <w:lang w:eastAsia="en-GB"/>
              </w:rPr>
              <w:t>6. Los protegidos por el secreto comercial o industrial, así como los planes estratégicos de las empresas públicas de servicios públicos.</w:t>
            </w:r>
          </w:p>
          <w:p w14:paraId="1E694FE0" w14:textId="77777777" w:rsidR="002B6167" w:rsidRPr="00E926A8" w:rsidRDefault="002B6167" w:rsidP="002B6167">
            <w:pPr>
              <w:jc w:val="both"/>
              <w:rPr>
                <w:rFonts w:ascii="Verdana" w:eastAsia="Calibri" w:hAnsi="Verdana" w:cs="Arial"/>
                <w:i/>
                <w:iCs/>
                <w:color w:val="000000"/>
                <w:lang w:eastAsia="en-GB"/>
              </w:rPr>
            </w:pPr>
            <w:r w:rsidRPr="00E926A8">
              <w:rPr>
                <w:rFonts w:ascii="Verdana" w:eastAsia="Calibri" w:hAnsi="Verdana" w:cs="Arial"/>
                <w:i/>
                <w:iCs/>
                <w:color w:val="000000"/>
                <w:lang w:eastAsia="en-GB"/>
              </w:rPr>
              <w:t>7. Los amparados por el secreto profesional.</w:t>
            </w:r>
          </w:p>
          <w:p w14:paraId="4929F77A" w14:textId="59ADF43F" w:rsidR="002B6167" w:rsidRPr="00E926A8" w:rsidRDefault="002B6167" w:rsidP="002B6167">
            <w:pPr>
              <w:jc w:val="both"/>
              <w:rPr>
                <w:rFonts w:ascii="Verdana" w:eastAsia="Calibri" w:hAnsi="Verdana" w:cs="Arial"/>
                <w:i/>
                <w:iCs/>
                <w:color w:val="000000"/>
                <w:lang w:eastAsia="en-GB"/>
              </w:rPr>
            </w:pPr>
            <w:r w:rsidRPr="00E926A8">
              <w:rPr>
                <w:rFonts w:ascii="Verdana" w:eastAsia="Calibri" w:hAnsi="Verdana" w:cs="Arial"/>
                <w:i/>
                <w:iCs/>
                <w:color w:val="000000"/>
                <w:lang w:eastAsia="en-GB"/>
              </w:rPr>
              <w:t>8. Los datos genéticos humanos. (…)”</w:t>
            </w:r>
          </w:p>
          <w:p w14:paraId="3D1FDE7D" w14:textId="77777777" w:rsidR="000007AF" w:rsidRDefault="000007AF" w:rsidP="00923AFF">
            <w:pPr>
              <w:jc w:val="both"/>
              <w:rPr>
                <w:rFonts w:ascii="Verdana" w:eastAsia="Calibri" w:hAnsi="Verdana" w:cs="Arial"/>
                <w:color w:val="000000"/>
                <w:lang w:val="es-MX" w:eastAsia="en-GB"/>
              </w:rPr>
            </w:pPr>
          </w:p>
          <w:p w14:paraId="05235F0F" w14:textId="3F46D331" w:rsidR="00D6259D" w:rsidRDefault="002B6167" w:rsidP="00923AFF">
            <w:pPr>
              <w:jc w:val="both"/>
              <w:rPr>
                <w:rFonts w:ascii="Verdana" w:eastAsia="Calibri" w:hAnsi="Verdana" w:cs="Arial"/>
                <w:color w:val="000000"/>
                <w:lang w:val="es-MX" w:eastAsia="en-GB"/>
              </w:rPr>
            </w:pPr>
            <w:r>
              <w:rPr>
                <w:rFonts w:ascii="Verdana" w:eastAsia="Calibri" w:hAnsi="Verdana" w:cs="Arial"/>
                <w:color w:val="000000"/>
                <w:lang w:val="es-MX" w:eastAsia="en-GB"/>
              </w:rPr>
              <w:t xml:space="preserve">Ahora bien, </w:t>
            </w:r>
            <w:r w:rsidR="000007AF">
              <w:rPr>
                <w:rFonts w:ascii="Verdana" w:eastAsia="Calibri" w:hAnsi="Verdana" w:cs="Arial"/>
                <w:color w:val="000000"/>
                <w:lang w:val="es-MX" w:eastAsia="en-GB"/>
              </w:rPr>
              <w:t xml:space="preserve"> e</w:t>
            </w:r>
            <w:r w:rsidR="00D6259D" w:rsidRPr="00426C92">
              <w:rPr>
                <w:rFonts w:ascii="Verdana" w:eastAsia="Calibri" w:hAnsi="Verdana" w:cs="Arial"/>
                <w:color w:val="000000"/>
                <w:lang w:val="es-MX" w:eastAsia="en-GB"/>
              </w:rPr>
              <w:t xml:space="preserve">n el contexto de los procesos de selección, la acreditación de los factores de desempate debe ser realizada por los proponentes, quienes </w:t>
            </w:r>
            <w:r w:rsidR="00D6259D" w:rsidRPr="00426C92">
              <w:rPr>
                <w:rFonts w:ascii="Verdana" w:eastAsia="Calibri" w:hAnsi="Verdana" w:cs="Arial"/>
                <w:color w:val="000000"/>
                <w:lang w:val="es-MX" w:eastAsia="en-GB"/>
              </w:rPr>
              <w:lastRenderedPageBreak/>
              <w:t xml:space="preserve">deberán justificar cualquier información </w:t>
            </w:r>
            <w:r>
              <w:rPr>
                <w:rFonts w:ascii="Verdana" w:eastAsia="Calibri" w:hAnsi="Verdana" w:cs="Arial"/>
                <w:color w:val="000000"/>
                <w:lang w:val="es-MX" w:eastAsia="en-GB"/>
              </w:rPr>
              <w:t xml:space="preserve"> presentada que sea </w:t>
            </w:r>
            <w:r w:rsidR="00D6259D" w:rsidRPr="00426C92">
              <w:rPr>
                <w:rFonts w:ascii="Verdana" w:eastAsia="Calibri" w:hAnsi="Verdana" w:cs="Arial"/>
                <w:color w:val="000000"/>
                <w:lang w:val="es-MX" w:eastAsia="en-GB"/>
              </w:rPr>
              <w:t>clasificada como datos sensibles o sujeta a reserva legal.</w:t>
            </w:r>
          </w:p>
          <w:p w14:paraId="390274F4" w14:textId="77777777" w:rsidR="00D6259D" w:rsidRPr="00E926A8" w:rsidRDefault="00D6259D" w:rsidP="00923AFF">
            <w:pPr>
              <w:jc w:val="both"/>
              <w:rPr>
                <w:rFonts w:ascii="Verdana" w:eastAsia="Calibri" w:hAnsi="Verdana" w:cs="Arial"/>
                <w:color w:val="000000"/>
                <w:u w:val="single"/>
                <w:lang w:eastAsia="en-GB"/>
              </w:rPr>
            </w:pPr>
            <w:r w:rsidRPr="00426C92">
              <w:rPr>
                <w:rFonts w:ascii="Verdana" w:eastAsia="Calibri" w:hAnsi="Verdana" w:cs="Arial"/>
                <w:color w:val="000000"/>
                <w:lang w:val="es-MX" w:eastAsia="en-GB"/>
              </w:rPr>
              <w:t xml:space="preserve"> </w:t>
            </w:r>
          </w:p>
          <w:p w14:paraId="6D12BC60" w14:textId="74519687" w:rsidR="00D6259D" w:rsidRPr="00426C92" w:rsidRDefault="00D6259D" w:rsidP="00923AFF">
            <w:pPr>
              <w:spacing w:after="160" w:line="278" w:lineRule="auto"/>
              <w:jc w:val="both"/>
              <w:rPr>
                <w:rFonts w:ascii="Verdana" w:eastAsia="Calibri" w:hAnsi="Verdana" w:cs="Arial"/>
                <w:color w:val="000000"/>
                <w:lang w:val="es-MX" w:eastAsia="en-GB"/>
              </w:rPr>
            </w:pPr>
            <w:r w:rsidRPr="00426C92">
              <w:rPr>
                <w:rFonts w:ascii="Verdana" w:eastAsia="Calibri" w:hAnsi="Verdana" w:cs="Arial"/>
                <w:color w:val="000000"/>
                <w:lang w:val="es-MX" w:eastAsia="en-GB"/>
              </w:rPr>
              <w:t>Adicionalmente, la entidad deberá abstenerse de publicar información que contenga dichos datos sensibles, o, en su defecto, deberá proceder a la tachadura de dicha información con el fin de garantizar la protección de la misma.</w:t>
            </w:r>
            <w:r w:rsidR="002B6167">
              <w:rPr>
                <w:rFonts w:ascii="Verdana" w:eastAsia="Calibri" w:hAnsi="Verdana" w:cs="Arial"/>
                <w:color w:val="000000"/>
                <w:lang w:val="es-MX" w:eastAsia="en-GB"/>
              </w:rPr>
              <w:t xml:space="preserve"> </w:t>
            </w:r>
            <w:r w:rsidRPr="00426C92">
              <w:rPr>
                <w:rFonts w:ascii="Verdana" w:eastAsia="Calibri" w:hAnsi="Verdana" w:cs="Arial"/>
                <w:color w:val="000000"/>
                <w:lang w:val="es-MX" w:eastAsia="en-GB"/>
              </w:rPr>
              <w:t>Asimismo, la entidad estatal deberá efectuar un juicio de valor para determinar si la información es sensible o está sujeta a reserva legal durante el proceso de verificación.</w:t>
            </w:r>
          </w:p>
          <w:p w14:paraId="02D19E99" w14:textId="76945504" w:rsidR="00D6259D" w:rsidRPr="00426C92" w:rsidRDefault="00D6259D" w:rsidP="00923AFF">
            <w:pPr>
              <w:spacing w:after="160" w:line="278" w:lineRule="auto"/>
              <w:jc w:val="both"/>
              <w:rPr>
                <w:rFonts w:ascii="Verdana" w:eastAsia="Calibri" w:hAnsi="Verdana" w:cs="Arial"/>
                <w:color w:val="000000"/>
                <w:lang w:val="es-MX" w:eastAsia="en-GB"/>
              </w:rPr>
            </w:pPr>
            <w:bookmarkStart w:id="1" w:name="_Hlk176246798"/>
            <w:r w:rsidRPr="00426C92">
              <w:rPr>
                <w:rFonts w:ascii="Verdana" w:eastAsia="Calibri" w:hAnsi="Verdana" w:cs="Arial"/>
                <w:color w:val="000000"/>
                <w:lang w:val="es-MX" w:eastAsia="en-GB"/>
              </w:rPr>
              <w:t>En conclusión,</w:t>
            </w:r>
            <w:r w:rsidR="0023540D">
              <w:rPr>
                <w:rFonts w:ascii="Verdana" w:eastAsia="Calibri" w:hAnsi="Verdana" w:cs="Arial"/>
                <w:color w:val="000000"/>
                <w:lang w:val="es-MX" w:eastAsia="en-GB"/>
              </w:rPr>
              <w:t xml:space="preserve"> las ofertas podrán ser públicas una vez estén evaluadas, con el fin que los oferentes puedan ejercer el derecho a contradicción u observar el informe de evaluación</w:t>
            </w:r>
            <w:r w:rsidR="00AB68B1">
              <w:rPr>
                <w:rFonts w:ascii="Verdana" w:eastAsia="Calibri" w:hAnsi="Verdana" w:cs="Arial"/>
                <w:color w:val="000000"/>
                <w:lang w:val="es-MX" w:eastAsia="en-GB"/>
              </w:rPr>
              <w:t xml:space="preserve"> como se contempla en los </w:t>
            </w:r>
            <w:r w:rsidR="00C202B4">
              <w:rPr>
                <w:rFonts w:ascii="Verdana" w:eastAsia="Calibri" w:hAnsi="Verdana" w:cs="Arial"/>
                <w:color w:val="000000"/>
                <w:lang w:val="es-MX" w:eastAsia="en-GB"/>
              </w:rPr>
              <w:t xml:space="preserve">artículos </w:t>
            </w:r>
            <w:r w:rsidR="005640A4" w:rsidRPr="005640A4">
              <w:rPr>
                <w:rFonts w:ascii="Verdana" w:eastAsia="Calibri" w:hAnsi="Verdana" w:cs="Arial"/>
                <w:color w:val="000000"/>
                <w:lang w:val="es-MX" w:eastAsia="en-GB"/>
              </w:rPr>
              <w:t>2.2.1.2.1.1.2</w:t>
            </w:r>
            <w:r w:rsidR="005640A4">
              <w:rPr>
                <w:rFonts w:ascii="Verdana" w:eastAsia="Calibri" w:hAnsi="Verdana" w:cs="Arial"/>
                <w:color w:val="000000"/>
                <w:lang w:val="es-MX" w:eastAsia="en-GB"/>
              </w:rPr>
              <w:t xml:space="preserve"> numeral 1º,</w:t>
            </w:r>
            <w:r w:rsidR="00B94FDF">
              <w:rPr>
                <w:rFonts w:ascii="Verdana" w:eastAsia="Calibri" w:hAnsi="Verdana" w:cs="Arial"/>
                <w:color w:val="000000"/>
                <w:lang w:val="es-MX" w:eastAsia="en-GB"/>
              </w:rPr>
              <w:t xml:space="preserve"> </w:t>
            </w:r>
            <w:r w:rsidR="00B94FDF" w:rsidRPr="00B94FDF">
              <w:rPr>
                <w:rFonts w:ascii="Verdana" w:eastAsia="Calibri" w:hAnsi="Verdana" w:cs="Arial"/>
                <w:color w:val="000000"/>
                <w:lang w:val="es-MX" w:eastAsia="en-GB"/>
              </w:rPr>
              <w:t>2.2.1.2.1.2.20</w:t>
            </w:r>
            <w:r w:rsidR="00B94FDF">
              <w:rPr>
                <w:rFonts w:ascii="Verdana" w:eastAsia="Calibri" w:hAnsi="Verdana" w:cs="Arial"/>
                <w:color w:val="000000"/>
                <w:lang w:val="es-MX" w:eastAsia="en-GB"/>
              </w:rPr>
              <w:t xml:space="preserve"> numeral</w:t>
            </w:r>
            <w:r w:rsidR="00884847">
              <w:rPr>
                <w:rFonts w:ascii="Verdana" w:eastAsia="Calibri" w:hAnsi="Verdana" w:cs="Arial"/>
                <w:color w:val="000000"/>
                <w:lang w:val="es-MX" w:eastAsia="en-GB"/>
              </w:rPr>
              <w:t>,</w:t>
            </w:r>
            <w:r w:rsidR="00B94FDF">
              <w:rPr>
                <w:rFonts w:ascii="Verdana" w:eastAsia="Calibri" w:hAnsi="Verdana" w:cs="Arial"/>
                <w:color w:val="000000"/>
                <w:lang w:val="es-MX" w:eastAsia="en-GB"/>
              </w:rPr>
              <w:t xml:space="preserve"> 4º, </w:t>
            </w:r>
            <w:r w:rsidR="00A156CE" w:rsidRPr="00A156CE">
              <w:rPr>
                <w:rFonts w:ascii="Verdana" w:eastAsia="Calibri" w:hAnsi="Verdana" w:cs="Arial"/>
                <w:color w:val="000000"/>
                <w:lang w:val="es-MX" w:eastAsia="en-GB"/>
              </w:rPr>
              <w:t>2.2.1.2.1.3.2</w:t>
            </w:r>
            <w:r w:rsidR="00A156CE">
              <w:rPr>
                <w:rFonts w:ascii="Verdana" w:eastAsia="Calibri" w:hAnsi="Verdana" w:cs="Arial"/>
                <w:color w:val="000000"/>
                <w:lang w:val="es-MX" w:eastAsia="en-GB"/>
              </w:rPr>
              <w:t xml:space="preserve"> numeral 2º, </w:t>
            </w:r>
            <w:r w:rsidR="0076715F">
              <w:rPr>
                <w:rFonts w:ascii="Verdana" w:eastAsia="Calibri" w:hAnsi="Verdana" w:cs="Arial"/>
                <w:color w:val="000000"/>
                <w:lang w:val="es-MX" w:eastAsia="en-GB"/>
              </w:rPr>
              <w:t xml:space="preserve">y </w:t>
            </w:r>
            <w:r w:rsidR="0076715F" w:rsidRPr="0076715F">
              <w:rPr>
                <w:rFonts w:ascii="Verdana" w:eastAsia="Calibri" w:hAnsi="Verdana" w:cs="Arial"/>
                <w:color w:val="000000"/>
                <w:lang w:val="es-MX" w:eastAsia="en-GB"/>
              </w:rPr>
              <w:t>2.2.1.2.1.5.2</w:t>
            </w:r>
            <w:r w:rsidR="0076715F">
              <w:rPr>
                <w:rFonts w:ascii="Verdana" w:eastAsia="Calibri" w:hAnsi="Verdana" w:cs="Arial"/>
                <w:color w:val="000000"/>
                <w:lang w:val="es-MX" w:eastAsia="en-GB"/>
              </w:rPr>
              <w:t xml:space="preserve"> numeral 6º del </w:t>
            </w:r>
            <w:r w:rsidR="00161CD6">
              <w:rPr>
                <w:rFonts w:ascii="Verdana" w:eastAsia="Calibri" w:hAnsi="Verdana" w:cs="Arial"/>
                <w:color w:val="000000"/>
                <w:lang w:val="es-MX" w:eastAsia="en-GB"/>
              </w:rPr>
              <w:t>D</w:t>
            </w:r>
            <w:r w:rsidR="0076715F">
              <w:rPr>
                <w:rFonts w:ascii="Verdana" w:eastAsia="Calibri" w:hAnsi="Verdana" w:cs="Arial"/>
                <w:color w:val="000000"/>
                <w:lang w:val="es-MX" w:eastAsia="en-GB"/>
              </w:rPr>
              <w:t xml:space="preserve">ecreto 1082 de </w:t>
            </w:r>
            <w:r w:rsidR="00161CD6">
              <w:rPr>
                <w:rFonts w:ascii="Verdana" w:eastAsia="Calibri" w:hAnsi="Verdana" w:cs="Arial"/>
                <w:color w:val="000000"/>
                <w:lang w:val="es-MX" w:eastAsia="en-GB"/>
              </w:rPr>
              <w:t>2015</w:t>
            </w:r>
            <w:r w:rsidR="0023540D">
              <w:rPr>
                <w:rFonts w:ascii="Verdana" w:eastAsia="Calibri" w:hAnsi="Verdana" w:cs="Arial"/>
                <w:color w:val="000000"/>
                <w:lang w:val="es-MX" w:eastAsia="en-GB"/>
              </w:rPr>
              <w:t>, antes no se podría porque</w:t>
            </w:r>
            <w:r w:rsidRPr="00426C92">
              <w:rPr>
                <w:rFonts w:ascii="Verdana" w:eastAsia="Calibri" w:hAnsi="Verdana" w:cs="Arial"/>
                <w:color w:val="000000"/>
                <w:lang w:val="es-MX" w:eastAsia="en-GB"/>
              </w:rPr>
              <w:t xml:space="preserve"> </w:t>
            </w:r>
            <w:r w:rsidR="0023540D">
              <w:rPr>
                <w:rFonts w:ascii="Verdana" w:eastAsia="Calibri" w:hAnsi="Verdana" w:cs="Arial"/>
                <w:color w:val="000000"/>
                <w:lang w:val="es-MX" w:eastAsia="en-GB"/>
              </w:rPr>
              <w:t xml:space="preserve">afecta el principio de selección objetiva y la transparencia de la competencia. Ahora, en cuanto a </w:t>
            </w:r>
            <w:r w:rsidRPr="00426C92">
              <w:rPr>
                <w:rFonts w:ascii="Verdana" w:eastAsia="Calibri" w:hAnsi="Verdana" w:cs="Arial"/>
                <w:color w:val="000000"/>
                <w:lang w:val="es-MX" w:eastAsia="en-GB"/>
              </w:rPr>
              <w:t xml:space="preserve">la reserva legal y los datos sensibles </w:t>
            </w:r>
            <w:r w:rsidR="0023540D">
              <w:rPr>
                <w:rFonts w:ascii="Verdana" w:eastAsia="Calibri" w:hAnsi="Verdana" w:cs="Arial"/>
                <w:color w:val="000000"/>
                <w:lang w:val="es-MX" w:eastAsia="en-GB"/>
              </w:rPr>
              <w:t xml:space="preserve">aportados en las ofertas, </w:t>
            </w:r>
            <w:r w:rsidRPr="00426C92">
              <w:rPr>
                <w:rFonts w:ascii="Verdana" w:eastAsia="Calibri" w:hAnsi="Verdana" w:cs="Arial"/>
                <w:color w:val="000000"/>
                <w:lang w:val="es-MX" w:eastAsia="en-GB"/>
              </w:rPr>
              <w:t>están sujetos a normativas específicas que las entidades deben consultar para verificar si la documentación presentada en las propuestas de los procesos de selección se encuentra bajo esta protección. Este principio de reserva legal establece que ciertos documentos deben ser manejados de acuerdo con normas que aseguren su confidencialidad y el tratamiento adecuado.</w:t>
            </w:r>
          </w:p>
          <w:bookmarkEnd w:id="1"/>
          <w:p w14:paraId="3EBE0077" w14:textId="77777777" w:rsidR="00D6259D" w:rsidRPr="000918CB" w:rsidRDefault="00D6259D" w:rsidP="00923AFF">
            <w:pPr>
              <w:pStyle w:val="Textoindependiente"/>
              <w:ind w:right="49"/>
              <w:jc w:val="both"/>
              <w:rPr>
                <w:rFonts w:ascii="Verdana" w:hAnsi="Verdana"/>
                <w:lang w:val="es-MX"/>
              </w:rPr>
            </w:pPr>
          </w:p>
        </w:tc>
      </w:tr>
      <w:tr w:rsidR="00D6259D" w:rsidRPr="00E26368" w14:paraId="6BFAFD58" w14:textId="77777777" w:rsidTr="00923AFF">
        <w:tc>
          <w:tcPr>
            <w:tcW w:w="8828" w:type="dxa"/>
            <w:tcBorders>
              <w:top w:val="dotted" w:sz="4" w:space="0" w:color="auto"/>
              <w:left w:val="dotted" w:sz="4" w:space="0" w:color="auto"/>
              <w:bottom w:val="dotted" w:sz="4" w:space="0" w:color="auto"/>
              <w:right w:val="dotted" w:sz="4" w:space="0" w:color="auto"/>
            </w:tcBorders>
          </w:tcPr>
          <w:p w14:paraId="0B3ADB48" w14:textId="77777777" w:rsidR="00D6259D" w:rsidRPr="00E26368" w:rsidRDefault="00D6259D" w:rsidP="00923AFF">
            <w:pPr>
              <w:spacing w:after="120" w:line="276" w:lineRule="auto"/>
              <w:jc w:val="both"/>
              <w:rPr>
                <w:rFonts w:ascii="Verdana" w:eastAsia="Calibri" w:hAnsi="Verdana" w:cs="Arial"/>
                <w:color w:val="000000" w:themeColor="text1"/>
              </w:rPr>
            </w:pPr>
          </w:p>
        </w:tc>
      </w:tr>
    </w:tbl>
    <w:p w14:paraId="16D60EE9" w14:textId="77777777" w:rsidR="00D6259D" w:rsidRPr="00E26368" w:rsidRDefault="00D6259D" w:rsidP="00D6259D">
      <w:pPr>
        <w:tabs>
          <w:tab w:val="left" w:pos="142"/>
          <w:tab w:val="left" w:pos="284"/>
        </w:tabs>
        <w:spacing w:after="0" w:line="276" w:lineRule="auto"/>
        <w:jc w:val="both"/>
        <w:rPr>
          <w:rFonts w:ascii="Verdana" w:eastAsia="Century Gothic" w:hAnsi="Verdana" w:cs="Century Gothic"/>
          <w:b/>
          <w:bCs/>
          <w:lang w:val="es-ES"/>
        </w:rPr>
      </w:pPr>
    </w:p>
    <w:p w14:paraId="2D06B086" w14:textId="77777777" w:rsidR="00D6259D" w:rsidRPr="00E26368" w:rsidRDefault="00D6259D" w:rsidP="00D6259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E26368">
        <w:rPr>
          <w:rFonts w:ascii="Verdana" w:eastAsia="Century Gothic" w:hAnsi="Verdana" w:cs="Century Gothic"/>
          <w:b/>
          <w:bCs/>
        </w:rPr>
        <w:t>Razones de la respuesta:</w:t>
      </w:r>
    </w:p>
    <w:p w14:paraId="74AEE123" w14:textId="77777777" w:rsidR="00D6259D" w:rsidRDefault="00D6259D" w:rsidP="00D6259D">
      <w:pPr>
        <w:spacing w:after="0" w:line="276" w:lineRule="auto"/>
        <w:jc w:val="both"/>
        <w:rPr>
          <w:rFonts w:ascii="Verdana" w:eastAsia="Calibri" w:hAnsi="Verdana" w:cs="Arial"/>
          <w:lang w:val="es-ES"/>
        </w:rPr>
      </w:pPr>
      <w:r w:rsidRPr="00E26368">
        <w:rPr>
          <w:rFonts w:ascii="Verdana" w:eastAsia="Calibri" w:hAnsi="Verdana" w:cs="Arial"/>
          <w:lang w:val="es-ES"/>
        </w:rPr>
        <w:t xml:space="preserve">Lo anterior se sustenta en las siguientes consideraciones: </w:t>
      </w:r>
    </w:p>
    <w:p w14:paraId="74000176" w14:textId="77777777" w:rsidR="00D6259D" w:rsidRDefault="00D6259D" w:rsidP="00D6259D">
      <w:pPr>
        <w:spacing w:after="0" w:line="276" w:lineRule="auto"/>
        <w:jc w:val="both"/>
        <w:rPr>
          <w:rFonts w:ascii="Verdana" w:eastAsia="Calibri" w:hAnsi="Verdana" w:cs="Arial"/>
          <w:lang w:val="es-ES"/>
        </w:rPr>
      </w:pPr>
    </w:p>
    <w:p w14:paraId="21E070B4" w14:textId="41FC47A5" w:rsidR="00550382" w:rsidRDefault="00550382" w:rsidP="00E926A8">
      <w:pPr>
        <w:pStyle w:val="NormalWeb"/>
        <w:numPr>
          <w:ilvl w:val="0"/>
          <w:numId w:val="19"/>
        </w:numPr>
        <w:jc w:val="both"/>
      </w:pPr>
      <w:r>
        <w:rPr>
          <w:rFonts w:ascii="Verdana" w:hAnsi="Verdana"/>
          <w:sz w:val="22"/>
          <w:szCs w:val="22"/>
        </w:rPr>
        <w:t xml:space="preserve">El principio de publicidad es uno de los postulados más importantes del Estado Social y Democrático de derecho, pues este permite que las actuaciones de las autoridades gocen de visibilidad. Entre los más destacados puede mencionarse el 209 constitucional, que afirma que la publicidad es uno de los principios que fundamentan el ejercicio de la función administrativa, y el artículo 74, que consagra la garantía de acceso a los documentos públicos que no gocen de reserva – y esta, además, es excepcional, pues solo procede si existe causal constitucional o legal expresa. </w:t>
      </w:r>
    </w:p>
    <w:p w14:paraId="25FB0B6D" w14:textId="77777777" w:rsidR="00550382" w:rsidRDefault="00550382" w:rsidP="00E926A8">
      <w:pPr>
        <w:pStyle w:val="NormalWeb"/>
        <w:numPr>
          <w:ilvl w:val="0"/>
          <w:numId w:val="19"/>
        </w:numPr>
        <w:jc w:val="both"/>
      </w:pPr>
      <w:r>
        <w:rPr>
          <w:rFonts w:ascii="Verdana" w:hAnsi="Verdana"/>
          <w:sz w:val="22"/>
          <w:szCs w:val="22"/>
        </w:rPr>
        <w:lastRenderedPageBreak/>
        <w:t xml:space="preserve">En virtud del principio de publicidad, el artículo 5 la Ley 1712 de 2014, “Por medio de la cual se crea la Ley de Transparencia y del Derecho de Acceso a la Información Pública Nacional y se dictan otras disposiciones”, consagra una lista de sujetos obligados cuyo propósito es incluir a cualquier entidad, órgano, organismo, o persona natural que desempeñe funciones públicas o administre recursos públicos. </w:t>
      </w:r>
    </w:p>
    <w:p w14:paraId="28498327" w14:textId="77777777" w:rsidR="00550382" w:rsidRDefault="00550382" w:rsidP="00E926A8">
      <w:pPr>
        <w:pStyle w:val="NormalWeb"/>
        <w:numPr>
          <w:ilvl w:val="0"/>
          <w:numId w:val="19"/>
        </w:numPr>
        <w:jc w:val="both"/>
      </w:pPr>
      <w:r>
        <w:rPr>
          <w:rFonts w:ascii="Verdana" w:hAnsi="Verdana"/>
          <w:sz w:val="22"/>
          <w:szCs w:val="22"/>
        </w:rPr>
        <w:t xml:space="preserve">Frente a la forma de publicación de los procesos contractuales el artículo 3 de la Ley 1150 de 2007 señala que los actos relacionados con los procedimientos de contratación de las entidades estatales pueden ser electrónicos, al igual que su publicidad, por lo que el gobierno nacional debe definir los medios para desarrollar dicha publicidad a través del SECOP </w:t>
      </w:r>
    </w:p>
    <w:p w14:paraId="691751BF" w14:textId="77777777" w:rsidR="00550382" w:rsidRDefault="00550382" w:rsidP="00E926A8">
      <w:pPr>
        <w:pStyle w:val="NormalWeb"/>
        <w:numPr>
          <w:ilvl w:val="0"/>
          <w:numId w:val="19"/>
        </w:numPr>
        <w:jc w:val="both"/>
      </w:pPr>
      <w:r>
        <w:rPr>
          <w:rFonts w:ascii="Verdana" w:hAnsi="Verdana"/>
          <w:sz w:val="22"/>
          <w:szCs w:val="22"/>
        </w:rPr>
        <w:t xml:space="preserve">Ahora bien, respecto a que debe publicarse se establece, en el literal e) del artículo 9 de la Ley 1712 de 2014 que los sujetos obligados deben publicar la información relativa a su contratación; aunado a lo anterior, de acuerdo con el literal g) del artículo 11 de la misma norma, todos los destinatarios de la ley de transparencia deben garantizar la publicidad de “ sus procedimientos, lineamientos, políticas en materia de adquisiciones y compras, así como todos los datos de adjudicación y ejecución de contratos, incluidos concursos y licitaciones”, y esta información también debe estar en el SECOP. </w:t>
      </w:r>
    </w:p>
    <w:p w14:paraId="05D16C2C" w14:textId="77777777" w:rsidR="00550382" w:rsidRDefault="00550382" w:rsidP="00E926A8">
      <w:pPr>
        <w:pStyle w:val="NormalWeb"/>
        <w:numPr>
          <w:ilvl w:val="0"/>
          <w:numId w:val="19"/>
        </w:numPr>
        <w:jc w:val="both"/>
      </w:pPr>
      <w:r>
        <w:rPr>
          <w:rFonts w:ascii="Verdana" w:hAnsi="Verdana"/>
          <w:sz w:val="22"/>
          <w:szCs w:val="22"/>
        </w:rPr>
        <w:t xml:space="preserve">En ese mismo orden de ideas, el artículo 2.2.1.1.1.7.1. del Decreto 1082 de 2015, impone la obligación a las Entidades Estatales de publicar en el SECOP “los Documentos del Proceso y los actos administrativos del Proceso de Contratación, dentro de los tres (3) días siguientes a su expedición”. </w:t>
      </w:r>
    </w:p>
    <w:p w14:paraId="6B38FFDC" w14:textId="54E8BC45" w:rsidR="00550382" w:rsidRPr="0023540D" w:rsidRDefault="00474AF4" w:rsidP="00E926A8">
      <w:pPr>
        <w:pStyle w:val="NormalWeb"/>
        <w:numPr>
          <w:ilvl w:val="0"/>
          <w:numId w:val="19"/>
        </w:numPr>
        <w:jc w:val="both"/>
      </w:pPr>
      <w:r>
        <w:rPr>
          <w:rFonts w:ascii="Verdana" w:hAnsi="Verdana"/>
          <w:sz w:val="22"/>
          <w:szCs w:val="22"/>
        </w:rPr>
        <w:t>De tal manera</w:t>
      </w:r>
      <w:r w:rsidR="00BC676B">
        <w:rPr>
          <w:rFonts w:ascii="Verdana" w:hAnsi="Verdana"/>
          <w:sz w:val="22"/>
          <w:szCs w:val="22"/>
        </w:rPr>
        <w:t xml:space="preserve"> </w:t>
      </w:r>
      <w:r>
        <w:rPr>
          <w:rFonts w:ascii="Verdana" w:hAnsi="Verdana"/>
          <w:sz w:val="22"/>
          <w:szCs w:val="22"/>
        </w:rPr>
        <w:t>que , e</w:t>
      </w:r>
      <w:r w:rsidR="00550382">
        <w:rPr>
          <w:rFonts w:ascii="Verdana" w:hAnsi="Verdana"/>
          <w:sz w:val="22"/>
          <w:szCs w:val="22"/>
        </w:rPr>
        <w:t xml:space="preserve">l deber de publicar la actividad contractual de las entidades estatales no solo está regulado en el artículo 3 de la Ley 1150 de 2007, y en el artículo 2.2.1.1.1.7.1. del Decreto 1082 de 2015, sino también en la Ley 1712 de 2014, y en el Decreto 1081 de 2015. Estas normas no solo refuerzan y complementan al régimen de contratación estatal en cuanto a la publicidad, sino que lo amplía, para incluir la publicación de los “procedimientos” y la información relativa a la “gestión contractual”, sin el condicionamiento de tratarse exclusivamente de los Documentos del Proceso expedidos por la “entidad estatal”. </w:t>
      </w:r>
    </w:p>
    <w:p w14:paraId="04102CCD" w14:textId="1F2B019C" w:rsidR="00E03A67" w:rsidRDefault="00BC676B" w:rsidP="00E03A67">
      <w:pPr>
        <w:pStyle w:val="Prrafodelista"/>
        <w:numPr>
          <w:ilvl w:val="0"/>
          <w:numId w:val="19"/>
        </w:numPr>
        <w:spacing w:line="276" w:lineRule="auto"/>
        <w:jc w:val="both"/>
        <w:rPr>
          <w:rFonts w:ascii="Verdana" w:eastAsia="Calibri" w:hAnsi="Verdana" w:cs="Arial"/>
          <w:color w:val="000000" w:themeColor="text1"/>
        </w:rPr>
      </w:pPr>
      <w:r>
        <w:rPr>
          <w:rFonts w:ascii="Verdana" w:eastAsia="Calibri" w:hAnsi="Verdana" w:cs="Arial"/>
          <w:color w:val="000000" w:themeColor="text1"/>
        </w:rPr>
        <w:t>No obstante lo</w:t>
      </w:r>
      <w:r w:rsidR="00E03A67">
        <w:rPr>
          <w:rFonts w:ascii="Verdana" w:eastAsia="Calibri" w:hAnsi="Verdana" w:cs="Arial"/>
          <w:color w:val="000000" w:themeColor="text1"/>
        </w:rPr>
        <w:t xml:space="preserve"> anterior, debe tenerse en cuenta que cierta información contenida en los documentos aportados a los procesos contractuales pueden gozar de reserva legal, de allí la importancia de dar aplicación a </w:t>
      </w:r>
      <w:r w:rsidR="00E03A67">
        <w:rPr>
          <w:rFonts w:ascii="Verdana" w:eastAsia="Calibri" w:hAnsi="Verdana" w:cs="Arial"/>
          <w:color w:val="000000" w:themeColor="text1"/>
        </w:rPr>
        <w:lastRenderedPageBreak/>
        <w:t xml:space="preserve">la protección de datos contemplada en el </w:t>
      </w:r>
      <w:r w:rsidR="00D6259D" w:rsidRPr="00E926A8">
        <w:rPr>
          <w:rFonts w:ascii="Verdana" w:eastAsia="Calibri" w:hAnsi="Verdana" w:cs="Arial"/>
          <w:color w:val="000000" w:themeColor="text1"/>
        </w:rPr>
        <w:t>artículo 2 de la Ley 1581 de 2012</w:t>
      </w:r>
      <w:r w:rsidR="00D6259D" w:rsidRPr="00E926A8">
        <w:rPr>
          <w:rStyle w:val="Refdenotaalpie"/>
          <w:rFonts w:ascii="Verdana" w:eastAsia="Calibri" w:hAnsi="Verdana" w:cs="Arial"/>
          <w:color w:val="000000" w:themeColor="text1"/>
        </w:rPr>
        <w:footnoteReference w:id="4"/>
      </w:r>
      <w:r w:rsidR="00E03A67">
        <w:rPr>
          <w:rFonts w:ascii="Verdana" w:eastAsia="Calibri" w:hAnsi="Verdana" w:cs="Arial"/>
          <w:color w:val="000000" w:themeColor="text1"/>
        </w:rPr>
        <w:t>.</w:t>
      </w:r>
    </w:p>
    <w:p w14:paraId="7B936DA4" w14:textId="77777777" w:rsidR="00E03A67" w:rsidRPr="00E926A8" w:rsidRDefault="00E03A67" w:rsidP="00E926A8">
      <w:pPr>
        <w:pStyle w:val="Prrafodelista"/>
        <w:rPr>
          <w:rFonts w:ascii="Verdana" w:eastAsia="Calibri" w:hAnsi="Verdana" w:cs="Arial"/>
          <w:color w:val="000000" w:themeColor="text1"/>
        </w:rPr>
      </w:pPr>
    </w:p>
    <w:p w14:paraId="5A11E9C5" w14:textId="25B506A6" w:rsidR="002B6167" w:rsidRPr="00E926A8" w:rsidRDefault="00D6259D" w:rsidP="00E03A67">
      <w:pPr>
        <w:pStyle w:val="Prrafodelista"/>
        <w:numPr>
          <w:ilvl w:val="0"/>
          <w:numId w:val="19"/>
        </w:numPr>
        <w:spacing w:line="276" w:lineRule="auto"/>
        <w:jc w:val="both"/>
        <w:rPr>
          <w:rFonts w:ascii="Verdana" w:eastAsia="Calibri" w:hAnsi="Verdana" w:cs="Arial"/>
          <w:color w:val="000000" w:themeColor="text1"/>
        </w:rPr>
      </w:pPr>
      <w:r w:rsidRPr="00E926A8">
        <w:rPr>
          <w:rFonts w:ascii="Verdana" w:eastAsia="Calibri" w:hAnsi="Verdana" w:cs="Arial"/>
          <w:color w:val="000000" w:themeColor="text1"/>
        </w:rPr>
        <w:t xml:space="preserve"> </w:t>
      </w:r>
      <w:r w:rsidR="00E03A67">
        <w:rPr>
          <w:rFonts w:ascii="Verdana" w:eastAsia="Calibri" w:hAnsi="Verdana" w:cs="Arial"/>
          <w:color w:val="000000" w:themeColor="text1"/>
        </w:rPr>
        <w:t xml:space="preserve">En ese sentido, al ser </w:t>
      </w:r>
      <w:r w:rsidRPr="00E926A8">
        <w:rPr>
          <w:rFonts w:ascii="Verdana" w:eastAsia="Calibri" w:hAnsi="Verdana" w:cs="Arial"/>
          <w:color w:val="000000" w:themeColor="text1"/>
        </w:rPr>
        <w:t xml:space="preserve"> el habeas data es un derecho fundamental que también debe garantizarse en los procedimientos de selección adelantados por las entidades estatales para la escogencia de sus contratistas. Es decir, tanto las entidades que se rigen por el Estatuto General de Contratación de la Administración Pública –las mencionadas en el artículo 2 de la Ley 80 de 1993–, como las exceptuadas de aquel, deben proteger los datos personales en los trámites contractuales que adelanten.</w:t>
      </w:r>
    </w:p>
    <w:p w14:paraId="5280533D" w14:textId="0F099F83" w:rsidR="00D6259D" w:rsidRPr="00E926A8" w:rsidRDefault="00D6259D" w:rsidP="6C772B09">
      <w:pPr>
        <w:pStyle w:val="Prrafodelista"/>
        <w:numPr>
          <w:ilvl w:val="0"/>
          <w:numId w:val="19"/>
        </w:numPr>
        <w:spacing w:line="276" w:lineRule="auto"/>
        <w:jc w:val="both"/>
        <w:rPr>
          <w:rFonts w:ascii="Verdana" w:eastAsia="Calibri" w:hAnsi="Verdana" w:cs="Arial"/>
          <w:color w:val="000000" w:themeColor="text1"/>
        </w:rPr>
      </w:pPr>
      <w:r w:rsidRPr="00E926A8">
        <w:rPr>
          <w:rFonts w:ascii="Verdana" w:eastAsia="Calibri" w:hAnsi="Verdana" w:cs="Arial"/>
          <w:color w:val="000000" w:themeColor="text1"/>
        </w:rPr>
        <w:t xml:space="preserve"> A tal conclusión se llega, teniendo en cuenta que el mencionado artículo indica que </w:t>
      </w:r>
      <w:r w:rsidR="007F6F31">
        <w:rPr>
          <w:rFonts w:ascii="Verdana" w:eastAsia="Calibri" w:hAnsi="Verdana" w:cs="Arial"/>
          <w:color w:val="000000" w:themeColor="text1"/>
        </w:rPr>
        <w:t>“</w:t>
      </w:r>
      <w:r w:rsidRPr="00E926A8">
        <w:rPr>
          <w:rFonts w:ascii="Verdana" w:eastAsia="Calibri" w:hAnsi="Verdana" w:cs="Arial"/>
          <w:color w:val="000000" w:themeColor="text1"/>
        </w:rPr>
        <w:t>Los principios y disposiciones contenidas en la presente ley serán aplicables a los datos personales registrados en cualquier base de datos que los haga susceptibles de tratamiento por entidades de naturaleza pública o privada</w:t>
      </w:r>
      <w:r w:rsidR="007F6F31">
        <w:rPr>
          <w:rFonts w:ascii="Verdana" w:eastAsia="Calibri" w:hAnsi="Verdana" w:cs="Arial"/>
          <w:color w:val="000000" w:themeColor="text1"/>
        </w:rPr>
        <w:t>”</w:t>
      </w:r>
      <w:r w:rsidRPr="00E926A8">
        <w:rPr>
          <w:rFonts w:ascii="Verdana" w:eastAsia="Calibri" w:hAnsi="Verdana" w:cs="Arial"/>
          <w:color w:val="000000" w:themeColor="text1"/>
        </w:rPr>
        <w:t>y no contempla dentro de las excepciones previstas en la norma los procedimientos contractuales de selección.</w:t>
      </w:r>
    </w:p>
    <w:p w14:paraId="200637F5" w14:textId="12EC5F38" w:rsidR="00D6259D" w:rsidRPr="00E926A8" w:rsidRDefault="00041F88" w:rsidP="08673F0F">
      <w:pPr>
        <w:pStyle w:val="Prrafodelista"/>
        <w:numPr>
          <w:ilvl w:val="0"/>
          <w:numId w:val="19"/>
        </w:numPr>
        <w:spacing w:before="120" w:line="276" w:lineRule="auto"/>
        <w:jc w:val="both"/>
        <w:rPr>
          <w:rFonts w:ascii="Verdana" w:eastAsia="Calibri" w:hAnsi="Verdana" w:cs="Arial"/>
          <w:color w:val="000000" w:themeColor="text1"/>
        </w:rPr>
      </w:pPr>
      <w:r w:rsidRPr="08673F0F">
        <w:rPr>
          <w:rFonts w:ascii="Verdana" w:eastAsia="Calibri" w:hAnsi="Verdana" w:cs="Arial"/>
          <w:color w:val="000000" w:themeColor="text1"/>
        </w:rPr>
        <w:lastRenderedPageBreak/>
        <w:t>En ese orden de ideas, l</w:t>
      </w:r>
      <w:r w:rsidR="00D6259D" w:rsidRPr="08673F0F">
        <w:rPr>
          <w:rFonts w:ascii="Verdana" w:eastAsia="Calibri" w:hAnsi="Verdana" w:cs="Arial"/>
          <w:color w:val="000000" w:themeColor="text1"/>
        </w:rPr>
        <w:t xml:space="preserve">as entidades estatales, en su actividad contractual, deben proteger la información personal registrada en sus </w:t>
      </w:r>
      <w:r w:rsidR="00D6259D" w:rsidRPr="08673F0F">
        <w:rPr>
          <w:rFonts w:ascii="Verdana" w:eastAsia="Calibri" w:hAnsi="Verdana" w:cs="Arial"/>
          <w:i/>
          <w:iCs/>
          <w:color w:val="000000" w:themeColor="text1"/>
        </w:rPr>
        <w:t>bases de datos</w:t>
      </w:r>
      <w:r w:rsidR="00D6259D" w:rsidRPr="08673F0F">
        <w:rPr>
          <w:rFonts w:ascii="Verdana" w:eastAsia="Calibri" w:hAnsi="Verdana" w:cs="Arial"/>
          <w:color w:val="000000" w:themeColor="text1"/>
        </w:rPr>
        <w:t xml:space="preserve">. El </w:t>
      </w:r>
      <w:r w:rsidRPr="08673F0F">
        <w:rPr>
          <w:rFonts w:ascii="Verdana" w:eastAsia="Calibri" w:hAnsi="Verdana" w:cs="Arial"/>
          <w:color w:val="000000" w:themeColor="text1"/>
        </w:rPr>
        <w:t xml:space="preserve"> literal b) del </w:t>
      </w:r>
      <w:r w:rsidR="00D6259D" w:rsidRPr="08673F0F">
        <w:rPr>
          <w:rFonts w:ascii="Verdana" w:eastAsia="Calibri" w:hAnsi="Verdana" w:cs="Arial"/>
          <w:color w:val="000000" w:themeColor="text1"/>
        </w:rPr>
        <w:t xml:space="preserve">artículo 3, de la Ley 1581 de 2012, define </w:t>
      </w:r>
      <w:r w:rsidR="007F6F31">
        <w:rPr>
          <w:rFonts w:ascii="Verdana" w:eastAsia="Calibri" w:hAnsi="Verdana" w:cs="Arial"/>
          <w:color w:val="000000" w:themeColor="text1"/>
        </w:rPr>
        <w:t>“</w:t>
      </w:r>
      <w:r w:rsidR="00D6259D" w:rsidRPr="08673F0F">
        <w:rPr>
          <w:rFonts w:ascii="Verdana" w:eastAsia="Calibri" w:hAnsi="Verdana" w:cs="Arial"/>
          <w:color w:val="000000" w:themeColor="text1"/>
        </w:rPr>
        <w:t>base de datos</w:t>
      </w:r>
      <w:r w:rsidR="007F6F31">
        <w:rPr>
          <w:rFonts w:ascii="Verdana" w:eastAsia="Calibri" w:hAnsi="Verdana" w:cs="Arial"/>
          <w:color w:val="000000" w:themeColor="text1"/>
        </w:rPr>
        <w:t>”</w:t>
      </w:r>
      <w:r w:rsidR="00D6259D" w:rsidRPr="08673F0F">
        <w:rPr>
          <w:rFonts w:ascii="Verdana" w:eastAsia="Calibri" w:hAnsi="Verdana" w:cs="Arial"/>
          <w:color w:val="000000" w:themeColor="text1"/>
        </w:rPr>
        <w:t xml:space="preserve">como el </w:t>
      </w:r>
      <w:r w:rsidR="007F6F31">
        <w:rPr>
          <w:rFonts w:ascii="Verdana" w:eastAsia="Calibri" w:hAnsi="Verdana" w:cs="Arial"/>
          <w:color w:val="000000" w:themeColor="text1"/>
        </w:rPr>
        <w:t>“</w:t>
      </w:r>
      <w:r w:rsidR="00D6259D" w:rsidRPr="08673F0F">
        <w:rPr>
          <w:rFonts w:ascii="Verdana" w:eastAsia="Calibri" w:hAnsi="Verdana" w:cs="Arial"/>
          <w:color w:val="000000" w:themeColor="text1"/>
        </w:rPr>
        <w:t xml:space="preserve">Conjunto organizado de datos personales que sea objeto de Tratamiento». Por su parte, el literal c) del mismo artículo dice que un </w:t>
      </w:r>
      <w:r w:rsidR="007F6F31">
        <w:rPr>
          <w:rFonts w:ascii="Verdana" w:eastAsia="Calibri" w:hAnsi="Verdana" w:cs="Arial"/>
          <w:color w:val="000000" w:themeColor="text1"/>
        </w:rPr>
        <w:t>“</w:t>
      </w:r>
      <w:r w:rsidR="00D6259D" w:rsidRPr="08673F0F">
        <w:rPr>
          <w:rFonts w:ascii="Verdana" w:eastAsia="Calibri" w:hAnsi="Verdana" w:cs="Arial"/>
          <w:color w:val="000000" w:themeColor="text1"/>
        </w:rPr>
        <w:t>dato personal</w:t>
      </w:r>
      <w:r w:rsidR="007F6F31">
        <w:rPr>
          <w:rFonts w:ascii="Verdana" w:eastAsia="Calibri" w:hAnsi="Verdana" w:cs="Arial"/>
          <w:color w:val="000000" w:themeColor="text1"/>
        </w:rPr>
        <w:t>”</w:t>
      </w:r>
      <w:r w:rsidR="00D6259D" w:rsidRPr="08673F0F">
        <w:rPr>
          <w:rFonts w:ascii="Verdana" w:eastAsia="Calibri" w:hAnsi="Verdana" w:cs="Arial"/>
          <w:color w:val="000000" w:themeColor="text1"/>
        </w:rPr>
        <w:t xml:space="preserve">es </w:t>
      </w:r>
      <w:r w:rsidR="007F6F31">
        <w:rPr>
          <w:rFonts w:ascii="Verdana" w:eastAsia="Calibri" w:hAnsi="Verdana" w:cs="Arial"/>
          <w:color w:val="000000" w:themeColor="text1"/>
        </w:rPr>
        <w:t>“</w:t>
      </w:r>
      <w:r w:rsidR="00D6259D" w:rsidRPr="08673F0F">
        <w:rPr>
          <w:rFonts w:ascii="Verdana" w:eastAsia="Calibri" w:hAnsi="Verdana" w:cs="Arial"/>
          <w:color w:val="000000" w:themeColor="text1"/>
        </w:rPr>
        <w:t>Cualquier información vinculada o que pueda asociarse a una o varias personas naturales determinadas o determinables</w:t>
      </w:r>
      <w:r w:rsidR="007F6F31">
        <w:rPr>
          <w:rFonts w:ascii="Verdana" w:eastAsia="Calibri" w:hAnsi="Verdana" w:cs="Arial"/>
          <w:color w:val="000000" w:themeColor="text1"/>
        </w:rPr>
        <w:t>”</w:t>
      </w:r>
      <w:r w:rsidR="00D6259D" w:rsidRPr="08673F0F">
        <w:rPr>
          <w:rFonts w:ascii="Verdana" w:eastAsia="Calibri" w:hAnsi="Verdana" w:cs="Arial"/>
          <w:color w:val="000000" w:themeColor="text1"/>
        </w:rPr>
        <w:t xml:space="preserve">y el literal g) señala que </w:t>
      </w:r>
      <w:r w:rsidR="007F6F31">
        <w:rPr>
          <w:rFonts w:ascii="Verdana" w:eastAsia="Calibri" w:hAnsi="Verdana" w:cs="Arial"/>
          <w:color w:val="000000" w:themeColor="text1"/>
        </w:rPr>
        <w:t>“</w:t>
      </w:r>
      <w:r w:rsidR="00D6259D" w:rsidRPr="08673F0F">
        <w:rPr>
          <w:rFonts w:ascii="Verdana" w:eastAsia="Calibri" w:hAnsi="Verdana" w:cs="Arial"/>
          <w:color w:val="000000" w:themeColor="text1"/>
        </w:rPr>
        <w:t>tratamiento</w:t>
      </w:r>
      <w:r w:rsidR="007F6F31">
        <w:rPr>
          <w:rFonts w:ascii="Verdana" w:eastAsia="Calibri" w:hAnsi="Verdana" w:cs="Arial"/>
          <w:color w:val="000000" w:themeColor="text1"/>
        </w:rPr>
        <w:t>”</w:t>
      </w:r>
      <w:r w:rsidR="00D6259D" w:rsidRPr="08673F0F">
        <w:rPr>
          <w:rFonts w:ascii="Verdana" w:eastAsia="Calibri" w:hAnsi="Verdana" w:cs="Arial"/>
          <w:color w:val="000000" w:themeColor="text1"/>
        </w:rPr>
        <w:t xml:space="preserve">es </w:t>
      </w:r>
      <w:r w:rsidR="007F6F31">
        <w:rPr>
          <w:rFonts w:ascii="Verdana" w:eastAsia="Calibri" w:hAnsi="Verdana" w:cs="Arial"/>
          <w:color w:val="000000" w:themeColor="text1"/>
        </w:rPr>
        <w:t>“</w:t>
      </w:r>
      <w:r w:rsidR="00D6259D" w:rsidRPr="08673F0F">
        <w:rPr>
          <w:rFonts w:ascii="Verdana" w:eastAsia="Calibri" w:hAnsi="Verdana" w:cs="Arial"/>
          <w:color w:val="000000" w:themeColor="text1"/>
        </w:rPr>
        <w:t>Cualquier operación o conjunto de operaciones sobre datos personales, tales como la recolección, almacenamiento, uso, circulación o supresión».</w:t>
      </w:r>
    </w:p>
    <w:p w14:paraId="1A8F4037" w14:textId="63DEBEDB" w:rsidR="00D6259D" w:rsidRPr="00E926A8" w:rsidRDefault="00145BCB" w:rsidP="00145BCB">
      <w:pPr>
        <w:pStyle w:val="Prrafodelista"/>
        <w:numPr>
          <w:ilvl w:val="0"/>
          <w:numId w:val="19"/>
        </w:numPr>
        <w:spacing w:before="120" w:line="276" w:lineRule="auto"/>
        <w:jc w:val="both"/>
        <w:rPr>
          <w:rFonts w:ascii="Verdana" w:eastAsia="Calibri" w:hAnsi="Verdana" w:cs="Arial"/>
          <w:color w:val="000000" w:themeColor="text1"/>
        </w:rPr>
      </w:pPr>
      <w:r>
        <w:rPr>
          <w:rFonts w:ascii="Verdana" w:eastAsia="Calibri" w:hAnsi="Verdana" w:cs="Arial"/>
          <w:color w:val="000000" w:themeColor="text1"/>
        </w:rPr>
        <w:t xml:space="preserve">Ahora bien, el literal e) de la norma ibidem define quienes son los </w:t>
      </w:r>
      <w:r w:rsidR="00691375">
        <w:rPr>
          <w:rFonts w:ascii="Verdana" w:eastAsia="Calibri" w:hAnsi="Verdana" w:cs="Arial"/>
          <w:color w:val="000000" w:themeColor="text1"/>
        </w:rPr>
        <w:t>responsable</w:t>
      </w:r>
      <w:r>
        <w:rPr>
          <w:rFonts w:ascii="Verdana" w:eastAsia="Calibri" w:hAnsi="Verdana" w:cs="Arial"/>
          <w:color w:val="000000" w:themeColor="text1"/>
        </w:rPr>
        <w:t xml:space="preserve"> del tratamiento de datos y precisa como responsable a toda </w:t>
      </w:r>
      <w:r w:rsidR="007F6F31">
        <w:rPr>
          <w:rFonts w:ascii="Verdana" w:eastAsia="Calibri" w:hAnsi="Verdana" w:cs="Arial"/>
          <w:color w:val="000000" w:themeColor="text1"/>
        </w:rPr>
        <w:t>“</w:t>
      </w:r>
      <w:r w:rsidR="00D6259D" w:rsidRPr="00E926A8">
        <w:rPr>
          <w:rFonts w:ascii="Verdana" w:eastAsia="Calibri" w:hAnsi="Verdana" w:cs="Arial"/>
          <w:color w:val="000000" w:themeColor="text1"/>
        </w:rPr>
        <w:t>Persona natural o jurídica, pública o privada, que por sí misma o en asocio con otros, decida sobre la base de datos y/o el Tratamiento de los datos». En tal sentido, son responsables del tratamiento de los datos en los procesos de contratación tanto los oferentes –en los eventos en los cuales aportan con la oferta datos d</w:t>
      </w:r>
      <w:r>
        <w:rPr>
          <w:rFonts w:ascii="Verdana" w:eastAsia="Calibri" w:hAnsi="Verdana" w:cs="Arial"/>
          <w:color w:val="000000" w:themeColor="text1"/>
        </w:rPr>
        <w:t>e</w:t>
      </w:r>
      <w:r w:rsidR="00D6259D" w:rsidRPr="00E926A8">
        <w:rPr>
          <w:rFonts w:ascii="Verdana" w:eastAsia="Calibri" w:hAnsi="Verdana" w:cs="Arial"/>
          <w:color w:val="000000" w:themeColor="text1"/>
        </w:rPr>
        <w:t xml:space="preserve"> personas naturales cuyos datos son objeto de tratamiento–, como las entidades estatales que reciben tales datos.</w:t>
      </w:r>
    </w:p>
    <w:p w14:paraId="2A6E6F23" w14:textId="77777777" w:rsidR="00145BCB" w:rsidRDefault="00D6259D" w:rsidP="00D6259D">
      <w:pPr>
        <w:pStyle w:val="Prrafodelista"/>
        <w:numPr>
          <w:ilvl w:val="0"/>
          <w:numId w:val="19"/>
        </w:numPr>
        <w:tabs>
          <w:tab w:val="left" w:pos="0"/>
        </w:tabs>
        <w:spacing w:before="120" w:line="276" w:lineRule="auto"/>
        <w:jc w:val="both"/>
        <w:rPr>
          <w:rFonts w:ascii="Verdana" w:eastAsia="Calibri" w:hAnsi="Verdana" w:cs="Arial"/>
          <w:bCs/>
          <w:color w:val="000000" w:themeColor="text1"/>
          <w:lang w:val="es-ES_tradnl"/>
        </w:rPr>
      </w:pPr>
      <w:r w:rsidRPr="00E926A8">
        <w:rPr>
          <w:rFonts w:ascii="Verdana" w:eastAsia="Calibri" w:hAnsi="Verdana" w:cs="Arial"/>
          <w:bCs/>
          <w:color w:val="000000" w:themeColor="text1"/>
          <w:lang w:val="es-ES_tradnl"/>
        </w:rPr>
        <w:t xml:space="preserve">De lo anterior puede concluirse que los datos personales, incluidos los datos sensibles, contenidos en las ofertas dentro de los procesos de selección, deben respetar las normas sobre tratamiento de datos contenidas en la Ley 1581 de 2012, en el Decreto 1074 de 2015 y en las que los modifiquen o complementen. En dichas disposiciones se encuentra el deber de los responsables y encargados del tratamiento de dichos datos de obtener la autorización por parte del titular; consentimiento que debe ser expreso. Además, debe quedar constancia de él, para ser consultada con posterioridad. </w:t>
      </w:r>
    </w:p>
    <w:p w14:paraId="7BD393EC" w14:textId="601BE947" w:rsidR="00D728EC" w:rsidRDefault="00145BCB" w:rsidP="08673F0F">
      <w:pPr>
        <w:pStyle w:val="Prrafodelista"/>
        <w:numPr>
          <w:ilvl w:val="0"/>
          <w:numId w:val="19"/>
        </w:numPr>
        <w:spacing w:before="120" w:line="276" w:lineRule="auto"/>
        <w:jc w:val="both"/>
        <w:rPr>
          <w:rFonts w:ascii="Verdana" w:eastAsia="Calibri" w:hAnsi="Verdana" w:cs="Arial"/>
          <w:color w:val="000000" w:themeColor="text1"/>
        </w:rPr>
      </w:pPr>
      <w:r w:rsidRPr="08673F0F">
        <w:rPr>
          <w:rFonts w:ascii="Verdana" w:eastAsia="Calibri" w:hAnsi="Verdana" w:cs="Arial"/>
          <w:color w:val="000000" w:themeColor="text1"/>
        </w:rPr>
        <w:t>En ese sentido, l</w:t>
      </w:r>
      <w:r w:rsidR="00D6259D" w:rsidRPr="08673F0F">
        <w:rPr>
          <w:rFonts w:ascii="Verdana" w:eastAsia="Calibri" w:hAnsi="Verdana" w:cs="Arial"/>
          <w:color w:val="000000" w:themeColor="text1"/>
        </w:rPr>
        <w:t>os particulares que participan en la actividad contractual del Estado, presentando ofertas o en calidad de contratistas, son responsables del tratamiento de los datos personales y son los primeros obligados a contar con la autorización previa del titular de los datos, para poder hacer uso de documentos como hojas de vida, certificados o, en general, de datos personales</w:t>
      </w:r>
      <w:r w:rsidR="00691375" w:rsidRPr="08673F0F">
        <w:rPr>
          <w:rFonts w:ascii="Verdana" w:eastAsia="Calibri" w:hAnsi="Verdana" w:cs="Arial"/>
          <w:color w:val="000000" w:themeColor="text1"/>
        </w:rPr>
        <w:t xml:space="preserve">; asi mismo, </w:t>
      </w:r>
      <w:r w:rsidR="00D6259D" w:rsidRPr="08673F0F">
        <w:rPr>
          <w:rFonts w:ascii="Verdana" w:eastAsia="Calibri" w:hAnsi="Verdana" w:cs="Arial"/>
          <w:color w:val="000000" w:themeColor="text1"/>
        </w:rPr>
        <w:t xml:space="preserve"> </w:t>
      </w:r>
      <w:r w:rsidR="00691375" w:rsidRPr="08673F0F">
        <w:rPr>
          <w:rFonts w:ascii="Verdana" w:eastAsia="Calibri" w:hAnsi="Verdana" w:cs="Arial"/>
          <w:color w:val="000000" w:themeColor="text1"/>
        </w:rPr>
        <w:t>l</w:t>
      </w:r>
      <w:r w:rsidR="00D6259D" w:rsidRPr="08673F0F">
        <w:rPr>
          <w:rFonts w:ascii="Verdana" w:eastAsia="Calibri" w:hAnsi="Verdana" w:cs="Arial"/>
          <w:color w:val="000000" w:themeColor="text1"/>
        </w:rPr>
        <w:t xml:space="preserve">as entidades estatales interesadas en contratar bienes o servicios son también responsables y deben cerciorarse de que exista la constancia de la autorización de las personas naturales titulares de los datos, tal como lo indicó la Agencia </w:t>
      </w:r>
      <w:r w:rsidR="00D6259D" w:rsidRPr="08673F0F">
        <w:rPr>
          <w:rFonts w:ascii="Verdana" w:eastAsia="Calibri" w:hAnsi="Verdana" w:cs="Arial"/>
          <w:color w:val="000000" w:themeColor="text1"/>
        </w:rPr>
        <w:lastRenderedPageBreak/>
        <w:t xml:space="preserve">Nacional de Contratación Pública –Colombia Compra Eficiente en su </w:t>
      </w:r>
      <w:r w:rsidR="007F6F31">
        <w:rPr>
          <w:rFonts w:ascii="Verdana" w:eastAsia="Calibri" w:hAnsi="Verdana" w:cs="Arial"/>
          <w:color w:val="000000" w:themeColor="text1"/>
        </w:rPr>
        <w:t>“</w:t>
      </w:r>
      <w:r w:rsidR="00D6259D" w:rsidRPr="08673F0F">
        <w:rPr>
          <w:rFonts w:ascii="Verdana" w:eastAsia="Calibri" w:hAnsi="Verdana" w:cs="Arial"/>
          <w:color w:val="000000" w:themeColor="text1"/>
        </w:rPr>
        <w:t>Política de tratamiento y protección de datos personales».</w:t>
      </w:r>
    </w:p>
    <w:p w14:paraId="424753F4" w14:textId="2033E8C1" w:rsidR="00D728EC" w:rsidRPr="00E926A8" w:rsidRDefault="00D728EC" w:rsidP="00E926A8">
      <w:pPr>
        <w:pStyle w:val="Prrafodelista"/>
        <w:numPr>
          <w:ilvl w:val="0"/>
          <w:numId w:val="19"/>
        </w:numPr>
        <w:tabs>
          <w:tab w:val="left" w:pos="0"/>
        </w:tabs>
        <w:spacing w:before="120" w:line="276" w:lineRule="auto"/>
        <w:jc w:val="both"/>
        <w:rPr>
          <w:rFonts w:ascii="Verdana" w:eastAsia="Calibri" w:hAnsi="Verdana" w:cs="Arial"/>
          <w:bCs/>
          <w:color w:val="000000" w:themeColor="text1"/>
          <w:lang w:val="es-ES_tradnl"/>
        </w:rPr>
      </w:pPr>
      <w:r w:rsidRPr="00D728EC">
        <w:rPr>
          <w:rFonts w:ascii="Verdana" w:eastAsia="Calibri" w:hAnsi="Verdana" w:cs="Arial"/>
          <w:bCs/>
          <w:color w:val="000000" w:themeColor="text1"/>
          <w:lang w:val="es-ES_tradnl"/>
        </w:rPr>
        <w:t>Téngase</w:t>
      </w:r>
      <w:r w:rsidRPr="00E926A8">
        <w:rPr>
          <w:rFonts w:ascii="Verdana" w:eastAsia="Calibri" w:hAnsi="Verdana" w:cs="Arial"/>
          <w:bCs/>
          <w:color w:val="000000" w:themeColor="text1"/>
          <w:lang w:val="es-ES_tradnl"/>
        </w:rPr>
        <w:t xml:space="preserve"> presente que</w:t>
      </w:r>
      <w:r w:rsidRPr="00E926A8">
        <w:rPr>
          <w:rFonts w:ascii="Verdana" w:eastAsia="Calibri" w:hAnsi="Verdana" w:cs="Arial"/>
          <w:color w:val="000000"/>
          <w:lang w:eastAsia="en-GB"/>
        </w:rPr>
        <w:t>, el artículo 24 de la Ley 1755 de 2015 ha señalado que gozan de reserva de ley los siguientes documentos “</w:t>
      </w:r>
      <w:r w:rsidRPr="00E926A8">
        <w:rPr>
          <w:rFonts w:ascii="Verdana" w:eastAsia="Calibri" w:hAnsi="Verdana" w:cs="Arial"/>
          <w:b/>
          <w:bCs/>
          <w:color w:val="000000"/>
          <w:lang w:eastAsia="en-GB"/>
        </w:rPr>
        <w:t xml:space="preserve"> (…)</w:t>
      </w:r>
    </w:p>
    <w:p w14:paraId="456C869D" w14:textId="77777777" w:rsidR="00D728EC" w:rsidRPr="007A4CA7" w:rsidRDefault="00D728EC" w:rsidP="00D728EC">
      <w:pPr>
        <w:jc w:val="both"/>
        <w:rPr>
          <w:rFonts w:ascii="Verdana" w:eastAsia="Calibri" w:hAnsi="Verdana" w:cs="Arial"/>
          <w:i/>
          <w:iCs/>
          <w:color w:val="000000"/>
          <w:lang w:eastAsia="en-GB"/>
        </w:rPr>
      </w:pPr>
      <w:r w:rsidRPr="007A4CA7">
        <w:rPr>
          <w:rFonts w:ascii="Verdana" w:eastAsia="Calibri" w:hAnsi="Verdana" w:cs="Arial"/>
          <w:i/>
          <w:iCs/>
          <w:color w:val="000000"/>
          <w:lang w:eastAsia="en-GB"/>
        </w:rPr>
        <w:t>1. Los relacionados con la defensa o seguridad nacionales.</w:t>
      </w:r>
    </w:p>
    <w:p w14:paraId="6F75201B" w14:textId="77777777" w:rsidR="00D728EC" w:rsidRPr="007A4CA7" w:rsidRDefault="00D728EC" w:rsidP="00D728EC">
      <w:pPr>
        <w:jc w:val="both"/>
        <w:rPr>
          <w:rFonts w:ascii="Verdana" w:eastAsia="Calibri" w:hAnsi="Verdana" w:cs="Arial"/>
          <w:i/>
          <w:iCs/>
          <w:color w:val="000000"/>
          <w:lang w:eastAsia="en-GB"/>
        </w:rPr>
      </w:pPr>
      <w:r w:rsidRPr="007A4CA7">
        <w:rPr>
          <w:rFonts w:ascii="Verdana" w:eastAsia="Calibri" w:hAnsi="Verdana" w:cs="Arial"/>
          <w:i/>
          <w:iCs/>
          <w:color w:val="000000"/>
          <w:lang w:eastAsia="en-GB"/>
        </w:rPr>
        <w:t>2. Las instrucciones en materia diplomática o sobre negociaciones reservadas.</w:t>
      </w:r>
    </w:p>
    <w:p w14:paraId="7B5D9B4C" w14:textId="77777777" w:rsidR="00D728EC" w:rsidRPr="007A4CA7" w:rsidRDefault="00D728EC" w:rsidP="00D728EC">
      <w:pPr>
        <w:jc w:val="both"/>
        <w:rPr>
          <w:rFonts w:ascii="Verdana" w:eastAsia="Calibri" w:hAnsi="Verdana" w:cs="Arial"/>
          <w:i/>
          <w:iCs/>
          <w:color w:val="000000"/>
          <w:lang w:eastAsia="en-GB"/>
        </w:rPr>
      </w:pPr>
      <w:r w:rsidRPr="007A4CA7">
        <w:rPr>
          <w:rFonts w:ascii="Verdana" w:eastAsia="Calibri" w:hAnsi="Verdana" w:cs="Arial"/>
          <w:i/>
          <w:iCs/>
          <w:color w:val="000000"/>
          <w:lang w:eastAsia="en-GB"/>
        </w:rPr>
        <w:t>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w:t>
      </w:r>
    </w:p>
    <w:p w14:paraId="511BBD9A" w14:textId="77777777" w:rsidR="00D728EC" w:rsidRPr="007A4CA7" w:rsidRDefault="00D728EC" w:rsidP="00D728EC">
      <w:pPr>
        <w:jc w:val="both"/>
        <w:rPr>
          <w:rFonts w:ascii="Verdana" w:eastAsia="Calibri" w:hAnsi="Verdana" w:cs="Arial"/>
          <w:i/>
          <w:iCs/>
          <w:color w:val="000000"/>
          <w:lang w:eastAsia="en-GB"/>
        </w:rPr>
      </w:pPr>
      <w:r w:rsidRPr="007A4CA7">
        <w:rPr>
          <w:rFonts w:ascii="Verdana" w:eastAsia="Calibri" w:hAnsi="Verdana" w:cs="Arial"/>
          <w:i/>
          <w:iCs/>
          <w:color w:val="000000"/>
          <w:lang w:eastAsia="en-GB"/>
        </w:rPr>
        <w:t>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w:t>
      </w:r>
    </w:p>
    <w:p w14:paraId="304594B0" w14:textId="77777777" w:rsidR="00D728EC" w:rsidRPr="007A4CA7" w:rsidRDefault="00D728EC" w:rsidP="00D728EC">
      <w:pPr>
        <w:jc w:val="both"/>
        <w:rPr>
          <w:rFonts w:ascii="Verdana" w:eastAsia="Calibri" w:hAnsi="Verdana" w:cs="Arial"/>
          <w:i/>
          <w:iCs/>
          <w:color w:val="000000"/>
          <w:lang w:eastAsia="en-GB"/>
        </w:rPr>
      </w:pPr>
      <w:r w:rsidRPr="007A4CA7">
        <w:rPr>
          <w:rFonts w:ascii="Verdana" w:eastAsia="Calibri" w:hAnsi="Verdana" w:cs="Arial"/>
          <w:i/>
          <w:iCs/>
          <w:color w:val="000000"/>
          <w:lang w:eastAsia="en-GB"/>
        </w:rPr>
        <w:t>5. Los datos referentes a la información financiera y comercial, en los términos de la Ley Estatutaria 1266 de 2008.</w:t>
      </w:r>
    </w:p>
    <w:p w14:paraId="7865F24F" w14:textId="77777777" w:rsidR="00D728EC" w:rsidRPr="007A4CA7" w:rsidRDefault="00D728EC" w:rsidP="00D728EC">
      <w:pPr>
        <w:jc w:val="both"/>
        <w:rPr>
          <w:rFonts w:ascii="Verdana" w:eastAsia="Calibri" w:hAnsi="Verdana" w:cs="Arial"/>
          <w:i/>
          <w:iCs/>
          <w:color w:val="000000"/>
          <w:lang w:eastAsia="en-GB"/>
        </w:rPr>
      </w:pPr>
      <w:r w:rsidRPr="007A4CA7">
        <w:rPr>
          <w:rFonts w:ascii="Verdana" w:eastAsia="Calibri" w:hAnsi="Verdana" w:cs="Arial"/>
          <w:i/>
          <w:iCs/>
          <w:color w:val="000000"/>
          <w:lang w:eastAsia="en-GB"/>
        </w:rPr>
        <w:t>6. Los protegidos por el secreto comercial o industrial, así como los planes estratégicos de las empresas públicas de servicios públicos.</w:t>
      </w:r>
    </w:p>
    <w:p w14:paraId="7A0DC0C0" w14:textId="77777777" w:rsidR="00D728EC" w:rsidRPr="007A4CA7" w:rsidRDefault="00D728EC" w:rsidP="00D728EC">
      <w:pPr>
        <w:jc w:val="both"/>
        <w:rPr>
          <w:rFonts w:ascii="Verdana" w:eastAsia="Calibri" w:hAnsi="Verdana" w:cs="Arial"/>
          <w:i/>
          <w:iCs/>
          <w:color w:val="000000"/>
          <w:lang w:eastAsia="en-GB"/>
        </w:rPr>
      </w:pPr>
      <w:r w:rsidRPr="007A4CA7">
        <w:rPr>
          <w:rFonts w:ascii="Verdana" w:eastAsia="Calibri" w:hAnsi="Verdana" w:cs="Arial"/>
          <w:i/>
          <w:iCs/>
          <w:color w:val="000000"/>
          <w:lang w:eastAsia="en-GB"/>
        </w:rPr>
        <w:t>7. Los amparados por el secreto profesional.</w:t>
      </w:r>
    </w:p>
    <w:p w14:paraId="7CA86FEC" w14:textId="77777777" w:rsidR="00D728EC" w:rsidRPr="007A4CA7" w:rsidRDefault="00D728EC" w:rsidP="00D728EC">
      <w:pPr>
        <w:jc w:val="both"/>
        <w:rPr>
          <w:rFonts w:ascii="Verdana" w:eastAsia="Calibri" w:hAnsi="Verdana" w:cs="Arial"/>
          <w:i/>
          <w:iCs/>
          <w:color w:val="000000"/>
          <w:lang w:eastAsia="en-GB"/>
        </w:rPr>
      </w:pPr>
      <w:r w:rsidRPr="007A4CA7">
        <w:rPr>
          <w:rFonts w:ascii="Verdana" w:eastAsia="Calibri" w:hAnsi="Verdana" w:cs="Arial"/>
          <w:i/>
          <w:iCs/>
          <w:color w:val="000000"/>
          <w:lang w:eastAsia="en-GB"/>
        </w:rPr>
        <w:t>8. Los datos genéticos humanos. (…)”</w:t>
      </w:r>
    </w:p>
    <w:p w14:paraId="492BC7CF" w14:textId="410E3FEB" w:rsidR="00D728EC" w:rsidRPr="00E926A8" w:rsidRDefault="00D728EC" w:rsidP="35DF8AA1">
      <w:pPr>
        <w:spacing w:before="120" w:line="276" w:lineRule="auto"/>
        <w:jc w:val="both"/>
        <w:rPr>
          <w:rFonts w:ascii="Verdana" w:eastAsia="Calibri" w:hAnsi="Verdana" w:cs="Arial"/>
          <w:color w:val="000000" w:themeColor="text1"/>
          <w:lang w:val="es-ES"/>
        </w:rPr>
      </w:pPr>
      <w:r w:rsidRPr="35DF8AA1">
        <w:rPr>
          <w:rFonts w:ascii="Verdana" w:eastAsia="Calibri" w:hAnsi="Verdana" w:cs="Arial"/>
          <w:color w:val="000000" w:themeColor="text1"/>
          <w:lang w:val="es-ES"/>
        </w:rPr>
        <w:t>De tal manera que, le corresponde a la Entidad Contratante verificar si el documento requerido por un tercero, se encuentra inmerso en causal de reserva de ley.</w:t>
      </w:r>
    </w:p>
    <w:p w14:paraId="7F6FF2B9" w14:textId="77777777" w:rsidR="00D728EC" w:rsidRPr="00E926A8" w:rsidRDefault="00D728EC" w:rsidP="00E926A8">
      <w:pPr>
        <w:tabs>
          <w:tab w:val="left" w:pos="426"/>
        </w:tabs>
        <w:spacing w:before="120" w:line="276" w:lineRule="auto"/>
        <w:jc w:val="both"/>
        <w:rPr>
          <w:rFonts w:ascii="Verdana" w:eastAsia="Calibri" w:hAnsi="Verdana" w:cs="Arial"/>
          <w:color w:val="000000"/>
          <w:lang w:val="es-ES_tradnl" w:eastAsia="en-GB"/>
        </w:rPr>
      </w:pPr>
    </w:p>
    <w:p w14:paraId="6B305C0D" w14:textId="605C1BF7" w:rsidR="00D6259D" w:rsidRPr="00E926A8" w:rsidRDefault="00691375" w:rsidP="00D6259D">
      <w:pPr>
        <w:pStyle w:val="Prrafodelista"/>
        <w:numPr>
          <w:ilvl w:val="0"/>
          <w:numId w:val="19"/>
        </w:numPr>
        <w:tabs>
          <w:tab w:val="left" w:pos="426"/>
        </w:tabs>
        <w:spacing w:before="120" w:line="276" w:lineRule="auto"/>
        <w:jc w:val="both"/>
        <w:rPr>
          <w:rFonts w:ascii="Verdana" w:eastAsia="Calibri" w:hAnsi="Verdana" w:cs="Arial"/>
          <w:color w:val="000000"/>
          <w:lang w:val="es-ES_tradnl" w:eastAsia="en-GB"/>
        </w:rPr>
      </w:pPr>
      <w:r>
        <w:rPr>
          <w:rFonts w:ascii="Verdana" w:eastAsia="Calibri" w:hAnsi="Verdana" w:cs="Arial"/>
          <w:bCs/>
          <w:color w:val="000000" w:themeColor="text1"/>
          <w:lang w:val="es-ES_tradnl"/>
        </w:rPr>
        <w:t xml:space="preserve">Ahora bien, en </w:t>
      </w:r>
      <w:r w:rsidR="00D6259D" w:rsidRPr="00E926A8">
        <w:rPr>
          <w:rFonts w:ascii="Verdana" w:eastAsia="Calibri" w:hAnsi="Verdana" w:cs="Arial"/>
          <w:bCs/>
          <w:color w:val="000000" w:themeColor="text1"/>
          <w:lang w:val="es-ES_tradnl"/>
        </w:rPr>
        <w:t xml:space="preserve">concepto C-672 del 11 de noviembre de 2020, esta Subdirección explicó que </w:t>
      </w:r>
      <w:r w:rsidR="00073378">
        <w:rPr>
          <w:rFonts w:ascii="Verdana" w:eastAsia="Calibri" w:hAnsi="Verdana" w:cs="Arial"/>
          <w:bCs/>
          <w:color w:val="000000" w:themeColor="text1"/>
          <w:lang w:val="es-ES_tradnl"/>
        </w:rPr>
        <w:t>“</w:t>
      </w:r>
      <w:r w:rsidR="00D6259D" w:rsidRPr="00E926A8">
        <w:rPr>
          <w:rFonts w:ascii="Verdana" w:eastAsia="Calibri" w:hAnsi="Verdana" w:cs="Arial"/>
          <w:bCs/>
          <w:color w:val="000000" w:themeColor="text1"/>
          <w:lang w:val="es-ES_tradnl"/>
        </w:rPr>
        <w:t xml:space="preserve">los datos sensibles constituyen límites al deber de divulgación proactiva de la información en la contratación estatal. </w:t>
      </w:r>
      <w:r w:rsidR="00D6259D" w:rsidRPr="00E926A8">
        <w:rPr>
          <w:rFonts w:ascii="Verdana" w:eastAsia="Calibri" w:hAnsi="Verdana" w:cs="Arial"/>
          <w:lang w:val="es-ES_tradnl"/>
        </w:rPr>
        <w:t xml:space="preserve">En otras palabras, el cumplimiento del deber de publicación de la documentación contractual debe armonizarse con las normas aplicables al tipo de información que estas contienen. Lo anterior significa que, respecto de datos sensibles, información sometida a reserva o de la cual proceda un tratamiento especial que impida su publicidad, las entidades </w:t>
      </w:r>
      <w:r w:rsidR="00D6259D" w:rsidRPr="00E926A8">
        <w:rPr>
          <w:rFonts w:ascii="Verdana" w:eastAsia="Calibri" w:hAnsi="Verdana" w:cs="Arial"/>
          <w:lang w:val="es-ES_tradnl"/>
        </w:rPr>
        <w:lastRenderedPageBreak/>
        <w:t xml:space="preserve">deberán proceder de conformidad con el tratamiento que impongan tales normas, absteniéndose, de ser el caso, de publicar las ofertas, o las partes pertinentes en las que se evidencie este tipo de información. Para dichos eventos, la plataforma SECOP II, </w:t>
      </w:r>
      <w:r w:rsidR="00D6259D" w:rsidRPr="00E926A8">
        <w:rPr>
          <w:rFonts w:ascii="Verdana" w:hAnsi="Verdana" w:cs="Arial"/>
          <w:lang w:val="es-ES_tradnl"/>
        </w:rPr>
        <w:t>antes de publicar las ofertas, brinda a las entidades la opción de calificar dicha información como confidencial, lo cual impide que los documentos se publiquen</w:t>
      </w:r>
      <w:r w:rsidR="00073378">
        <w:rPr>
          <w:rFonts w:ascii="Verdana" w:hAnsi="Verdana" w:cs="Arial"/>
          <w:lang w:val="es-ES_tradnl"/>
        </w:rPr>
        <w:t>”</w:t>
      </w:r>
      <w:r w:rsidR="00D6259D" w:rsidRPr="00E926A8">
        <w:rPr>
          <w:rFonts w:ascii="Verdana" w:hAnsi="Verdana" w:cs="Arial"/>
          <w:lang w:val="es-ES_tradnl"/>
        </w:rPr>
        <w:t>.</w:t>
      </w:r>
    </w:p>
    <w:p w14:paraId="39485556" w14:textId="77777777" w:rsidR="00D6259D" w:rsidRPr="00E926A8" w:rsidRDefault="00D6259D" w:rsidP="6C772B09">
      <w:pPr>
        <w:pStyle w:val="Prrafodelista"/>
        <w:numPr>
          <w:ilvl w:val="0"/>
          <w:numId w:val="19"/>
        </w:numPr>
        <w:spacing w:before="120" w:line="276" w:lineRule="auto"/>
        <w:jc w:val="both"/>
        <w:rPr>
          <w:rFonts w:ascii="Verdana" w:hAnsi="Verdana" w:cs="Arial"/>
        </w:rPr>
      </w:pPr>
      <w:r w:rsidRPr="00E926A8">
        <w:rPr>
          <w:rFonts w:ascii="Verdana" w:eastAsia="Calibri" w:hAnsi="Verdana" w:cs="Arial"/>
          <w:color w:val="000000" w:themeColor="text1"/>
          <w:lang w:eastAsia="en-GB"/>
        </w:rPr>
        <w:t xml:space="preserve">Dicho de otra forma, por más de que el artículo 74 de la Constitución establezca que la información pública debe ser dada a conocer a la ciudadanía y así los documentos que hagan parte de la actividad contractual puedan catalogarse, </w:t>
      </w:r>
      <w:r w:rsidRPr="00E926A8">
        <w:rPr>
          <w:rFonts w:ascii="Verdana" w:eastAsia="Calibri" w:hAnsi="Verdana" w:cs="Arial"/>
          <w:i/>
          <w:iCs/>
          <w:color w:val="000000" w:themeColor="text1"/>
          <w:lang w:eastAsia="en-GB"/>
        </w:rPr>
        <w:t>prima facie,</w:t>
      </w:r>
      <w:r w:rsidRPr="00E926A8">
        <w:rPr>
          <w:rFonts w:ascii="Verdana" w:eastAsia="Calibri" w:hAnsi="Verdana" w:cs="Arial"/>
          <w:color w:val="000000" w:themeColor="text1"/>
          <w:lang w:eastAsia="en-GB"/>
        </w:rPr>
        <w:t xml:space="preserve"> como información pública, cuando dicha documentación contenga datos sensibles, operan algunas restricciones a su publicidad. Sin embargo, esto no necesariamente convierte el documento completo en reservado, es decir, en un documento que no puede publicarse.</w:t>
      </w:r>
    </w:p>
    <w:p w14:paraId="26FE8C66" w14:textId="77777777" w:rsidR="00D6259D" w:rsidRPr="00E926A8" w:rsidRDefault="00D6259D" w:rsidP="00D6259D">
      <w:pPr>
        <w:pStyle w:val="Prrafodelista"/>
        <w:numPr>
          <w:ilvl w:val="0"/>
          <w:numId w:val="19"/>
        </w:numPr>
        <w:tabs>
          <w:tab w:val="left" w:pos="426"/>
        </w:tabs>
        <w:spacing w:before="120" w:line="276" w:lineRule="auto"/>
        <w:jc w:val="both"/>
        <w:rPr>
          <w:rFonts w:ascii="Verdana" w:eastAsia="Calibri" w:hAnsi="Verdana" w:cs="Arial"/>
          <w:color w:val="000000"/>
          <w:lang w:val="es-ES_tradnl" w:eastAsia="en-GB"/>
        </w:rPr>
      </w:pPr>
      <w:r w:rsidRPr="00E926A8">
        <w:rPr>
          <w:rFonts w:ascii="Verdana" w:eastAsia="Calibri" w:hAnsi="Verdana" w:cs="Arial"/>
          <w:color w:val="000000"/>
          <w:lang w:val="es-ES_tradnl" w:eastAsia="en-GB"/>
        </w:rPr>
        <w:t>El enunciado constitucional, en armonía con los artículos 18 y 19 de la Ley 1712 de 2014 y los artículos 24 y 25 de la Ley 1437 de 2011, establecen que el derecho de acceso a la información o documentación pública no es absoluto, que puede exceptuarse cuando se configuren causales de reserva. Así mismo, hay información que goza de protección especial y no puede divulgarse. La información pública que contiene datos semiprivados o privados, definidos en los literales g) y h) del artículo 3° de la Ley 1266 de 2008, clasificados o reservados, según los artículos 18 y 19 de la Ley 1712 de 2014, o datos personales o sensibles, según lo previsto en los artículos 3° y 5° de la Ley 1581 de 2012 y en el numeral 3° del artículo 3° del Decreto 1377 de 2013, solo podrá divulgarse según las reglas establecidas en dichas normas. Lo anterior no quiere decir que todo el documento se convierta en reservado, sino que se debe proceder como se indica a continuación.</w:t>
      </w:r>
    </w:p>
    <w:p w14:paraId="0E5CFBD3" w14:textId="58C85FE6" w:rsidR="00D6259D" w:rsidRDefault="00D6259D" w:rsidP="00D6259D">
      <w:pPr>
        <w:pStyle w:val="Prrafodelista"/>
        <w:numPr>
          <w:ilvl w:val="0"/>
          <w:numId w:val="19"/>
        </w:numPr>
        <w:tabs>
          <w:tab w:val="left" w:pos="426"/>
        </w:tabs>
        <w:spacing w:before="120" w:line="276" w:lineRule="auto"/>
        <w:jc w:val="both"/>
        <w:rPr>
          <w:rFonts w:ascii="Verdana" w:eastAsia="Calibri" w:hAnsi="Verdana" w:cs="Arial"/>
          <w:color w:val="000000"/>
          <w:lang w:val="es-ES_tradnl" w:eastAsia="en-GB"/>
        </w:rPr>
      </w:pPr>
      <w:r w:rsidRPr="00E926A8">
        <w:rPr>
          <w:rFonts w:ascii="Verdana" w:eastAsia="Calibri" w:hAnsi="Verdana" w:cs="Arial"/>
          <w:color w:val="000000"/>
          <w:lang w:val="es-ES_tradnl" w:eastAsia="en-GB"/>
        </w:rPr>
        <w:t xml:space="preserve">Cuando el documento contractual tenga información sensible, clasificada o reservada, para proteger la información, las autoridades deben abstenerse de publicar en el SECOP la información que tiene protección especial, tal como sucede con los derechos de los menores, de conformidad con el artículo 7° de la Ley 1581 de 2012 y el artículo 2.1.1.4.1.2 del Decreto 1081 de 2015. Sin embargo, de acuerdo con el segundo inciso del artículo 25 de la Ley 1437 de 2011 </w:t>
      </w:r>
      <w:r w:rsidR="007F6F31">
        <w:rPr>
          <w:rFonts w:ascii="Verdana" w:eastAsia="Calibri" w:hAnsi="Verdana" w:cs="Arial"/>
          <w:color w:val="000000"/>
          <w:lang w:val="es-ES_tradnl" w:eastAsia="en-GB"/>
        </w:rPr>
        <w:t>“</w:t>
      </w:r>
      <w:r w:rsidRPr="00E926A8">
        <w:rPr>
          <w:rFonts w:ascii="Verdana" w:eastAsia="Calibri" w:hAnsi="Verdana" w:cs="Arial"/>
          <w:color w:val="000000"/>
          <w:lang w:val="es-ES_tradnl" w:eastAsia="en-GB"/>
        </w:rPr>
        <w:t xml:space="preserve">La restricción por reserva legal no se extenderá a otras piezas del respectivo expediente o actuación que no estén cubiertas por ella». Por ello, la entidad estatal deberá excluir del documento entregado por el proponente en el </w:t>
      </w:r>
      <w:r w:rsidRPr="00E926A8">
        <w:rPr>
          <w:rFonts w:ascii="Verdana" w:eastAsia="Calibri" w:hAnsi="Verdana" w:cs="Arial"/>
          <w:color w:val="000000"/>
          <w:lang w:val="es-ES_tradnl" w:eastAsia="en-GB"/>
        </w:rPr>
        <w:lastRenderedPageBreak/>
        <w:t>procedimiento contractual la información que contenga datos sensibles, clasificados o reservados, para no divulgarla, pero debe publicar las demás piezas de la oferta o los apartados que no gozan de reserva o que no están protegidos por las disposiciones de habeas data.</w:t>
      </w:r>
    </w:p>
    <w:p w14:paraId="4B0AF383" w14:textId="3910D077" w:rsidR="00585D81" w:rsidRPr="00585D81" w:rsidRDefault="00585D81" w:rsidP="00585D81">
      <w:pPr>
        <w:pStyle w:val="Prrafodelista"/>
        <w:numPr>
          <w:ilvl w:val="0"/>
          <w:numId w:val="19"/>
        </w:numPr>
        <w:spacing w:line="278" w:lineRule="auto"/>
        <w:jc w:val="both"/>
        <w:rPr>
          <w:rFonts w:ascii="Verdana" w:eastAsia="Calibri" w:hAnsi="Verdana" w:cs="Arial"/>
          <w:color w:val="000000"/>
          <w:lang w:val="es-MX" w:eastAsia="en-GB"/>
        </w:rPr>
      </w:pPr>
      <w:r w:rsidRPr="00585D81">
        <w:rPr>
          <w:rFonts w:ascii="Verdana" w:eastAsia="Calibri" w:hAnsi="Verdana" w:cs="Arial"/>
          <w:color w:val="000000"/>
          <w:lang w:val="es-MX" w:eastAsia="en-GB"/>
        </w:rPr>
        <w:t>En conclusión, las ofertas podrán ser públicas una vez estén evaluadas, con el fin que los oferentes puedan ejercer el derecho a contradicción u observar el informe de evaluación</w:t>
      </w:r>
      <w:r w:rsidR="0092415B">
        <w:rPr>
          <w:rFonts w:ascii="Verdana" w:eastAsia="Calibri" w:hAnsi="Verdana" w:cs="Arial"/>
          <w:color w:val="000000"/>
          <w:lang w:val="es-MX" w:eastAsia="en-GB"/>
        </w:rPr>
        <w:t xml:space="preserve"> como se contempla en los artículos </w:t>
      </w:r>
      <w:r w:rsidR="0092415B" w:rsidRPr="005640A4">
        <w:rPr>
          <w:rFonts w:ascii="Verdana" w:eastAsia="Calibri" w:hAnsi="Verdana" w:cs="Arial"/>
          <w:color w:val="000000"/>
          <w:lang w:val="es-MX" w:eastAsia="en-GB"/>
        </w:rPr>
        <w:t>2.2.1.2.1.1.2</w:t>
      </w:r>
      <w:r w:rsidR="0092415B">
        <w:rPr>
          <w:rFonts w:ascii="Verdana" w:eastAsia="Calibri" w:hAnsi="Verdana" w:cs="Arial"/>
          <w:color w:val="000000"/>
          <w:lang w:val="es-MX" w:eastAsia="en-GB"/>
        </w:rPr>
        <w:t xml:space="preserve"> numeral 1º, </w:t>
      </w:r>
      <w:r w:rsidR="0092415B" w:rsidRPr="00B94FDF">
        <w:rPr>
          <w:rFonts w:ascii="Verdana" w:eastAsia="Calibri" w:hAnsi="Verdana" w:cs="Arial"/>
          <w:color w:val="000000"/>
          <w:lang w:val="es-MX" w:eastAsia="en-GB"/>
        </w:rPr>
        <w:t>2.2.1.2.1.2.20</w:t>
      </w:r>
      <w:r w:rsidR="0092415B">
        <w:rPr>
          <w:rFonts w:ascii="Verdana" w:eastAsia="Calibri" w:hAnsi="Verdana" w:cs="Arial"/>
          <w:color w:val="000000"/>
          <w:lang w:val="es-MX" w:eastAsia="en-GB"/>
        </w:rPr>
        <w:t xml:space="preserve"> numeral 4º, </w:t>
      </w:r>
      <w:r w:rsidR="0092415B" w:rsidRPr="00A156CE">
        <w:rPr>
          <w:rFonts w:ascii="Verdana" w:eastAsia="Calibri" w:hAnsi="Verdana" w:cs="Arial"/>
          <w:color w:val="000000"/>
          <w:lang w:val="es-MX" w:eastAsia="en-GB"/>
        </w:rPr>
        <w:t>2.2.1.2.1.3.2</w:t>
      </w:r>
      <w:r w:rsidR="0092415B">
        <w:rPr>
          <w:rFonts w:ascii="Verdana" w:eastAsia="Calibri" w:hAnsi="Verdana" w:cs="Arial"/>
          <w:color w:val="000000"/>
          <w:lang w:val="es-MX" w:eastAsia="en-GB"/>
        </w:rPr>
        <w:t xml:space="preserve"> numeral 2º, y </w:t>
      </w:r>
      <w:r w:rsidR="0092415B" w:rsidRPr="0076715F">
        <w:rPr>
          <w:rFonts w:ascii="Verdana" w:eastAsia="Calibri" w:hAnsi="Verdana" w:cs="Arial"/>
          <w:color w:val="000000"/>
          <w:lang w:val="es-MX" w:eastAsia="en-GB"/>
        </w:rPr>
        <w:t>2.2.1.2.1.5.2</w:t>
      </w:r>
      <w:r w:rsidR="0092415B">
        <w:rPr>
          <w:rFonts w:ascii="Verdana" w:eastAsia="Calibri" w:hAnsi="Verdana" w:cs="Arial"/>
          <w:color w:val="000000"/>
          <w:lang w:val="es-MX" w:eastAsia="en-GB"/>
        </w:rPr>
        <w:t xml:space="preserve"> numeral 6º del Decreto 1082 de 2015</w:t>
      </w:r>
      <w:r w:rsidRPr="00585D81">
        <w:rPr>
          <w:rFonts w:ascii="Verdana" w:eastAsia="Calibri" w:hAnsi="Verdana" w:cs="Arial"/>
          <w:color w:val="000000"/>
          <w:lang w:val="es-MX" w:eastAsia="en-GB"/>
        </w:rPr>
        <w:t>, antes no se podría porque afecta el principio de selección objetiva y la transparencia de la competencia. Ahora, en cuanto a la reserva legal y los datos sensibles aportados en las ofertas, están sujetos a normativas específicas que las entidades deben consultar para verificar si la documentación presentada en las propuestas de los procesos de selección se encuentra bajo esta protección. Este principio de reserva legal establece que ciertos documentos deben ser manejados de acuerdo con normas que aseguren su confidencialidad y el tratamiento adecuado.</w:t>
      </w:r>
    </w:p>
    <w:p w14:paraId="2742F99E" w14:textId="77777777" w:rsidR="00691375" w:rsidRPr="00E926A8" w:rsidRDefault="00691375" w:rsidP="00E926A8">
      <w:pPr>
        <w:pStyle w:val="Prrafodelista"/>
        <w:tabs>
          <w:tab w:val="left" w:pos="426"/>
        </w:tabs>
        <w:spacing w:before="120" w:line="276" w:lineRule="auto"/>
        <w:jc w:val="both"/>
        <w:rPr>
          <w:rFonts w:ascii="Verdana" w:eastAsia="Calibri" w:hAnsi="Verdana" w:cs="Arial"/>
          <w:color w:val="000000"/>
          <w:lang w:val="es-MX" w:eastAsia="en-GB"/>
        </w:rPr>
      </w:pPr>
    </w:p>
    <w:p w14:paraId="40E963D8" w14:textId="77777777" w:rsidR="00D6259D" w:rsidRPr="00E26368" w:rsidRDefault="00D6259D" w:rsidP="00D6259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E26368">
        <w:rPr>
          <w:rFonts w:ascii="Verdana" w:eastAsia="Century Gothic" w:hAnsi="Verdana" w:cs="Century Gothic"/>
          <w:b/>
          <w:bCs/>
        </w:rPr>
        <w:t>Referencias normativas, jurisprudenciales y otras fuentes:</w:t>
      </w:r>
    </w:p>
    <w:p w14:paraId="54A8365A" w14:textId="77777777" w:rsidR="00D6259D" w:rsidRPr="00E26368" w:rsidRDefault="00D6259D" w:rsidP="00D6259D">
      <w:pPr>
        <w:widowControl w:val="0"/>
        <w:autoSpaceDE w:val="0"/>
        <w:autoSpaceDN w:val="0"/>
        <w:spacing w:after="0" w:line="276" w:lineRule="auto"/>
        <w:jc w:val="both"/>
        <w:rPr>
          <w:rFonts w:ascii="Verdana" w:hAnsi="Verdana" w:cs="Arial"/>
        </w:rPr>
      </w:pPr>
    </w:p>
    <w:tbl>
      <w:tblPr>
        <w:tblStyle w:val="Tablaconcuadrcula"/>
        <w:tblW w:w="834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342"/>
      </w:tblGrid>
      <w:tr w:rsidR="00D6259D" w:rsidRPr="00E26368" w14:paraId="2F495DD1" w14:textId="77777777" w:rsidTr="00923AFF">
        <w:trPr>
          <w:trHeight w:val="1810"/>
        </w:trPr>
        <w:tc>
          <w:tcPr>
            <w:tcW w:w="8342" w:type="dxa"/>
            <w:tcBorders>
              <w:top w:val="dotted" w:sz="4" w:space="0" w:color="auto"/>
              <w:left w:val="dotted" w:sz="4" w:space="0" w:color="auto"/>
              <w:bottom w:val="dotted" w:sz="4" w:space="0" w:color="auto"/>
              <w:right w:val="dotted" w:sz="4" w:space="0" w:color="auto"/>
            </w:tcBorders>
          </w:tcPr>
          <w:p w14:paraId="5439EF37" w14:textId="77777777" w:rsidR="00D6259D" w:rsidRPr="007630EB" w:rsidRDefault="00D6259D" w:rsidP="00923AFF">
            <w:pPr>
              <w:rPr>
                <w:rFonts w:ascii="Verdana" w:hAnsi="Verdana"/>
                <w:lang w:val="es-ES"/>
              </w:rPr>
            </w:pPr>
          </w:p>
          <w:p w14:paraId="4D9AE69F" w14:textId="77777777" w:rsidR="00D6259D" w:rsidRPr="00953A20" w:rsidRDefault="00D6259D" w:rsidP="00D6259D">
            <w:pPr>
              <w:pStyle w:val="Prrafodelista"/>
              <w:numPr>
                <w:ilvl w:val="0"/>
                <w:numId w:val="18"/>
              </w:numPr>
              <w:rPr>
                <w:rFonts w:ascii="Verdana" w:hAnsi="Verdana"/>
              </w:rPr>
            </w:pPr>
            <w:r w:rsidRPr="00953A20">
              <w:rPr>
                <w:rFonts w:ascii="Verdana" w:hAnsi="Verdana"/>
              </w:rPr>
              <w:t>LEY 1581 DEL 2012, Articulo 2, 3 literal b)</w:t>
            </w:r>
          </w:p>
          <w:p w14:paraId="4A8E5334" w14:textId="77777777" w:rsidR="00D6259D" w:rsidRPr="00953A20" w:rsidRDefault="00D6259D" w:rsidP="00D6259D">
            <w:pPr>
              <w:pStyle w:val="Prrafodelista"/>
              <w:numPr>
                <w:ilvl w:val="0"/>
                <w:numId w:val="18"/>
              </w:numPr>
              <w:rPr>
                <w:rFonts w:ascii="Verdana" w:hAnsi="Verdana"/>
              </w:rPr>
            </w:pPr>
            <w:r w:rsidRPr="00953A20">
              <w:rPr>
                <w:rFonts w:ascii="Verdana" w:hAnsi="Verdana"/>
              </w:rPr>
              <w:t>LEY 80 DE 1993, articulo 2</w:t>
            </w:r>
          </w:p>
          <w:p w14:paraId="511ACBE1" w14:textId="77777777" w:rsidR="00D6259D" w:rsidRPr="00953A20" w:rsidRDefault="00D6259D" w:rsidP="00D6259D">
            <w:pPr>
              <w:pStyle w:val="Prrafodelista"/>
              <w:numPr>
                <w:ilvl w:val="0"/>
                <w:numId w:val="18"/>
              </w:numPr>
              <w:rPr>
                <w:rFonts w:ascii="Verdana" w:eastAsia="Calibri" w:hAnsi="Verdana" w:cs="Arial"/>
                <w:color w:val="000000"/>
                <w:lang w:val="es-ES_tradnl" w:eastAsia="en-GB"/>
              </w:rPr>
            </w:pPr>
            <w:r w:rsidRPr="00953A20">
              <w:rPr>
                <w:rFonts w:ascii="Verdana" w:eastAsia="Calibri" w:hAnsi="Verdana" w:cs="Arial"/>
                <w:color w:val="000000"/>
                <w:lang w:val="es-ES_tradnl" w:eastAsia="en-GB"/>
              </w:rPr>
              <w:t>LEY1712 de 2014, artículos 18 y 19</w:t>
            </w:r>
          </w:p>
          <w:p w14:paraId="0C0C565A" w14:textId="77777777" w:rsidR="00D6259D" w:rsidRPr="00953A20" w:rsidRDefault="00D6259D" w:rsidP="00D6259D">
            <w:pPr>
              <w:pStyle w:val="Prrafodelista"/>
              <w:numPr>
                <w:ilvl w:val="0"/>
                <w:numId w:val="18"/>
              </w:numPr>
              <w:rPr>
                <w:rFonts w:ascii="Verdana" w:eastAsia="Calibri" w:hAnsi="Verdana" w:cs="Arial"/>
                <w:color w:val="000000"/>
                <w:lang w:val="es-ES_tradnl" w:eastAsia="en-GB"/>
              </w:rPr>
            </w:pPr>
            <w:r w:rsidRPr="00953A20">
              <w:rPr>
                <w:rFonts w:ascii="Verdana" w:eastAsia="Calibri" w:hAnsi="Verdana" w:cs="Arial"/>
                <w:color w:val="000000"/>
                <w:lang w:val="es-ES_tradnl" w:eastAsia="en-GB"/>
              </w:rPr>
              <w:t>LEY 1437 DE 2011, artículos 24 y 25</w:t>
            </w:r>
          </w:p>
          <w:p w14:paraId="5059657B" w14:textId="77777777" w:rsidR="00D6259D" w:rsidRPr="00953A20" w:rsidRDefault="00D6259D" w:rsidP="00D6259D">
            <w:pPr>
              <w:pStyle w:val="Prrafodelista"/>
              <w:numPr>
                <w:ilvl w:val="0"/>
                <w:numId w:val="18"/>
              </w:numPr>
              <w:rPr>
                <w:rFonts w:ascii="Verdana" w:eastAsia="Calibri" w:hAnsi="Verdana" w:cs="Arial"/>
                <w:color w:val="000000"/>
                <w:lang w:val="es-ES_tradnl" w:eastAsia="en-GB"/>
              </w:rPr>
            </w:pPr>
            <w:r w:rsidRPr="00953A20">
              <w:rPr>
                <w:rFonts w:ascii="Verdana" w:eastAsia="Calibri" w:hAnsi="Verdana" w:cs="Arial"/>
                <w:color w:val="000000"/>
                <w:lang w:val="es-ES_tradnl" w:eastAsia="en-GB"/>
              </w:rPr>
              <w:t>LEY 1266 DE 2008, literales g) y h) del artículo 3°</w:t>
            </w:r>
          </w:p>
          <w:p w14:paraId="1096EEA9" w14:textId="77777777" w:rsidR="00D6259D" w:rsidRPr="00953A20" w:rsidRDefault="00D6259D" w:rsidP="00D6259D">
            <w:pPr>
              <w:pStyle w:val="Prrafodelista"/>
              <w:numPr>
                <w:ilvl w:val="0"/>
                <w:numId w:val="18"/>
              </w:numPr>
              <w:rPr>
                <w:rFonts w:ascii="Verdana" w:eastAsia="Calibri" w:hAnsi="Verdana" w:cs="Arial"/>
                <w:color w:val="000000"/>
                <w:lang w:val="es-ES_tradnl" w:eastAsia="en-GB"/>
              </w:rPr>
            </w:pPr>
            <w:r w:rsidRPr="00953A20">
              <w:rPr>
                <w:rFonts w:ascii="Verdana" w:eastAsia="Calibri" w:hAnsi="Verdana" w:cs="Arial"/>
                <w:color w:val="000000"/>
                <w:lang w:val="es-ES_tradnl" w:eastAsia="en-GB"/>
              </w:rPr>
              <w:t>DECRETO 1081 de 2015, artículo 2.1.1.4.1.2</w:t>
            </w:r>
          </w:p>
          <w:p w14:paraId="094E8E1C" w14:textId="77777777" w:rsidR="00D6259D" w:rsidRPr="00953A20" w:rsidRDefault="00D6259D" w:rsidP="00D6259D">
            <w:pPr>
              <w:pStyle w:val="Prrafodelista"/>
              <w:numPr>
                <w:ilvl w:val="0"/>
                <w:numId w:val="18"/>
              </w:numPr>
              <w:rPr>
                <w:rFonts w:ascii="Verdana" w:eastAsia="Calibri" w:hAnsi="Verdana" w:cs="Arial"/>
                <w:color w:val="000000"/>
                <w:lang w:val="es-ES_tradnl" w:eastAsia="en-GB"/>
              </w:rPr>
            </w:pPr>
            <w:r w:rsidRPr="00953A20">
              <w:rPr>
                <w:rFonts w:ascii="Verdana" w:hAnsi="Verdana"/>
              </w:rPr>
              <w:t>LEY</w:t>
            </w:r>
            <w:r w:rsidRPr="00953A20">
              <w:rPr>
                <w:rFonts w:ascii="Verdana" w:hAnsi="Verdana"/>
                <w:lang w:val="es-MX"/>
              </w:rPr>
              <w:t xml:space="preserve"> 2069 de 2029</w:t>
            </w:r>
            <w:r w:rsidRPr="00953A20">
              <w:rPr>
                <w:rFonts w:ascii="Verdana" w:hAnsi="Verdana"/>
              </w:rPr>
              <w:t xml:space="preserve">, Articulo 35 Numeral 2 </w:t>
            </w:r>
          </w:p>
          <w:p w14:paraId="25AE6AF1" w14:textId="77777777" w:rsidR="00D6259D" w:rsidRPr="00953A20" w:rsidRDefault="00D6259D" w:rsidP="00923AFF">
            <w:pPr>
              <w:widowControl w:val="0"/>
              <w:tabs>
                <w:tab w:val="left" w:pos="8419"/>
              </w:tabs>
              <w:autoSpaceDE w:val="0"/>
              <w:autoSpaceDN w:val="0"/>
              <w:spacing w:line="276" w:lineRule="auto"/>
              <w:jc w:val="both"/>
              <w:rPr>
                <w:rFonts w:ascii="Verdana" w:hAnsi="Verdana"/>
                <w:color w:val="000000" w:themeColor="text1"/>
                <w:lang w:val="es-ES_tradnl"/>
              </w:rPr>
            </w:pPr>
          </w:p>
        </w:tc>
      </w:tr>
    </w:tbl>
    <w:p w14:paraId="2CA0F298" w14:textId="77777777" w:rsidR="00D6259D" w:rsidRPr="00E26368" w:rsidRDefault="00D6259D" w:rsidP="00D6259D">
      <w:pPr>
        <w:widowControl w:val="0"/>
        <w:autoSpaceDE w:val="0"/>
        <w:autoSpaceDN w:val="0"/>
        <w:spacing w:after="0" w:line="276" w:lineRule="auto"/>
        <w:jc w:val="both"/>
        <w:rPr>
          <w:rFonts w:ascii="Verdana" w:hAnsi="Verdana" w:cs="Arial"/>
        </w:rPr>
      </w:pPr>
    </w:p>
    <w:p w14:paraId="358778A0" w14:textId="77777777" w:rsidR="00D6259D" w:rsidRPr="00E26368" w:rsidRDefault="00D6259D" w:rsidP="00D6259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E26368">
        <w:rPr>
          <w:rFonts w:ascii="Verdana" w:eastAsia="Century Gothic" w:hAnsi="Verdana" w:cs="Century Gothic"/>
          <w:b/>
          <w:bCs/>
        </w:rPr>
        <w:t>Doctrina de la Agencia Nacional de Contratación Pública:</w:t>
      </w:r>
    </w:p>
    <w:p w14:paraId="292B6FF0" w14:textId="77777777" w:rsidR="00D6259D" w:rsidRPr="00E26368" w:rsidRDefault="00D6259D" w:rsidP="00D6259D">
      <w:pPr>
        <w:spacing w:after="0" w:line="276" w:lineRule="auto"/>
        <w:jc w:val="both"/>
        <w:rPr>
          <w:rFonts w:ascii="Verdana" w:hAnsi="Verdana" w:cs="Arial"/>
        </w:rPr>
      </w:pPr>
    </w:p>
    <w:p w14:paraId="02720D8D" w14:textId="46410195" w:rsidR="00D6259D" w:rsidRPr="00E26368" w:rsidRDefault="00D6259D" w:rsidP="00D6259D">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E26368">
        <w:rPr>
          <w:rFonts w:ascii="Verdana" w:eastAsia="Calibri" w:hAnsi="Verdana" w:cs="Arial"/>
          <w:lang w:val="es-ES_tradnl" w:eastAsia="es-ES_tradnl"/>
        </w:rPr>
        <w:t xml:space="preserve">Sobre la cesión del contrato estatal se pronunció esta Subdirección en los </w:t>
      </w:r>
      <w:r w:rsidRPr="007208EA">
        <w:rPr>
          <w:rFonts w:ascii="Verdana" w:eastAsia="Calibri" w:hAnsi="Verdana" w:cs="Arial"/>
          <w:lang w:val="es-ES_tradnl" w:eastAsia="es-ES_tradnl"/>
        </w:rPr>
        <w:t>C-136 del 07 de abril de 2021, C-138 del 07 de abril de 2021, C-139 del 07 de abril de 2021, C-141 del 08 de abril de 2021, C-162 de 13 de abril de 2021, C-165 del 13 de abril de 2021, C-164 del 19 de abril de 2021, C−167 del 21 de abril de 2021, C-166 del 23 de abril de 2021</w:t>
      </w:r>
      <w:r>
        <w:rPr>
          <w:rFonts w:ascii="Verdana" w:eastAsia="Calibri" w:hAnsi="Verdana" w:cs="Arial"/>
          <w:lang w:val="es-ES_tradnl" w:eastAsia="es-ES_tradnl"/>
        </w:rPr>
        <w:t>, C-273 de 202</w:t>
      </w:r>
      <w:r w:rsidR="00884847">
        <w:rPr>
          <w:rFonts w:ascii="Verdana" w:eastAsia="Calibri" w:hAnsi="Verdana" w:cs="Arial"/>
          <w:lang w:val="es-ES_tradnl" w:eastAsia="es-ES_tradnl"/>
        </w:rPr>
        <w:t>3, C-3</w:t>
      </w:r>
      <w:r w:rsidR="006C766E">
        <w:rPr>
          <w:rFonts w:ascii="Verdana" w:eastAsia="Calibri" w:hAnsi="Verdana" w:cs="Arial"/>
          <w:lang w:val="es-ES_tradnl" w:eastAsia="es-ES_tradnl"/>
        </w:rPr>
        <w:t>53 de 2023</w:t>
      </w:r>
      <w:r w:rsidRPr="00E26368">
        <w:rPr>
          <w:rFonts w:ascii="Verdana" w:eastAsia="Calibri" w:hAnsi="Verdana" w:cs="Arial"/>
          <w:lang w:val="es-ES" w:eastAsia="es-ES_tradnl"/>
        </w:rPr>
        <w:t xml:space="preserve"> Estos</w:t>
      </w:r>
      <w:r w:rsidRPr="00E26368">
        <w:rPr>
          <w:rFonts w:ascii="Verdana" w:hAnsi="Verdana"/>
        </w:rPr>
        <w:t xml:space="preserve"> y otros conceptos se encuentran disponibles para consulta en el Sistema de relatoría de la Agencia, al cual se puede acceder a través del siguiente enlace:</w:t>
      </w:r>
      <w:r w:rsidRPr="00E26368">
        <w:rPr>
          <w:rStyle w:val="normaltextrun"/>
          <w:rFonts w:ascii="Verdana" w:hAnsi="Verdana" w:cs="Arial"/>
          <w:shd w:val="clear" w:color="auto" w:fill="FFFFFF"/>
          <w:lang w:val="es-ES"/>
        </w:rPr>
        <w:t xml:space="preserve"> </w:t>
      </w:r>
      <w:hyperlink r:id="rId13" w:history="1">
        <w:r w:rsidRPr="00E26368">
          <w:rPr>
            <w:rStyle w:val="Hipervnculo"/>
            <w:rFonts w:ascii="Verdana" w:hAnsi="Verdana" w:cs="Arial"/>
            <w:shd w:val="clear" w:color="auto" w:fill="FFFFFF"/>
            <w:lang w:val="es-ES"/>
          </w:rPr>
          <w:t>https://relatoria.colombiacompra.gov.co/busqueda/conceptos</w:t>
        </w:r>
      </w:hyperlink>
    </w:p>
    <w:p w14:paraId="6C7E9903" w14:textId="77777777" w:rsidR="00D6259D" w:rsidRPr="00E26368" w:rsidRDefault="00D6259D" w:rsidP="00D6259D">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4FC0EA2C" w14:textId="77777777" w:rsidR="00D6259D" w:rsidRPr="00E26368" w:rsidRDefault="00D6259D" w:rsidP="00D6259D">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E26368">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E26368">
        <w:rPr>
          <w:rStyle w:val="normaltextrun"/>
          <w:rFonts w:ascii="Verdana" w:hAnsi="Verdana" w:cs="Arial"/>
          <w:color w:val="FF0000"/>
          <w:shd w:val="clear" w:color="auto" w:fill="FFFFFF"/>
          <w:lang w:val="es-ES"/>
        </w:rPr>
        <w:t xml:space="preserve"> </w:t>
      </w:r>
      <w:hyperlink r:id="rId14" w:history="1">
        <w:r w:rsidRPr="00E26368">
          <w:rPr>
            <w:rStyle w:val="Hipervnculo"/>
            <w:rFonts w:ascii="Verdana" w:hAnsi="Verdana" w:cs="Arial"/>
            <w:shd w:val="clear" w:color="auto" w:fill="FFFFFF"/>
            <w:lang w:val="es-ES"/>
          </w:rPr>
          <w:t>https://www.colombiacompra.gov.co/sala-de-prensa/boletin-digital</w:t>
        </w:r>
      </w:hyperlink>
      <w:r w:rsidRPr="00E26368">
        <w:rPr>
          <w:rStyle w:val="normaltextrun"/>
          <w:rFonts w:ascii="Verdana" w:hAnsi="Verdana" w:cs="Arial"/>
          <w:color w:val="FF0000"/>
          <w:shd w:val="clear" w:color="auto" w:fill="FFFFFF"/>
          <w:lang w:val="es-ES"/>
        </w:rPr>
        <w:t xml:space="preserve">      </w:t>
      </w:r>
    </w:p>
    <w:p w14:paraId="36E481E9" w14:textId="77777777" w:rsidR="00D6259D" w:rsidRPr="00E26368" w:rsidRDefault="00D6259D" w:rsidP="00D6259D">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77589F02" w14:textId="77777777" w:rsidR="00D6259D" w:rsidRPr="00E26368" w:rsidRDefault="00D6259D" w:rsidP="00D6259D">
      <w:pPr>
        <w:spacing w:after="0" w:line="240" w:lineRule="auto"/>
        <w:jc w:val="both"/>
        <w:rPr>
          <w:rFonts w:ascii="Verdana" w:hAnsi="Verdana"/>
        </w:rPr>
      </w:pPr>
      <w:r w:rsidRPr="00E26368">
        <w:rPr>
          <w:rFonts w:ascii="Verdana" w:hAnsi="Verdana"/>
        </w:rPr>
        <w:t xml:space="preserve">Por último, lo invitamos a seguirnos en las redes sociales en las cuales se difunde información institucional: </w:t>
      </w:r>
    </w:p>
    <w:p w14:paraId="1DD907FD" w14:textId="77777777" w:rsidR="00D6259D" w:rsidRPr="00E26368" w:rsidRDefault="00D6259D" w:rsidP="00D6259D">
      <w:pPr>
        <w:spacing w:after="0" w:line="240" w:lineRule="auto"/>
        <w:jc w:val="both"/>
        <w:rPr>
          <w:rFonts w:ascii="Verdana" w:hAnsi="Verdana"/>
        </w:rPr>
      </w:pPr>
      <w:r w:rsidRPr="00E26368">
        <w:rPr>
          <w:rFonts w:ascii="Verdana" w:hAnsi="Verdana"/>
        </w:rPr>
        <w:t xml:space="preserve">Twitter: </w:t>
      </w:r>
      <w:r w:rsidRPr="00E26368">
        <w:rPr>
          <w:rStyle w:val="Hipervnculo"/>
          <w:rFonts w:ascii="Verdana" w:hAnsi="Verdana"/>
          <w:color w:val="4472C4" w:themeColor="accent1"/>
        </w:rPr>
        <w:t>@colombiacompra</w:t>
      </w:r>
      <w:r w:rsidRPr="00E26368">
        <w:rPr>
          <w:rFonts w:ascii="Verdana" w:hAnsi="Verdana"/>
          <w:color w:val="4472C4" w:themeColor="accent1"/>
        </w:rPr>
        <w:t xml:space="preserve"> </w:t>
      </w:r>
    </w:p>
    <w:p w14:paraId="2A143CEB" w14:textId="77777777" w:rsidR="00D6259D" w:rsidRPr="00E26368" w:rsidRDefault="00D6259D" w:rsidP="00D6259D">
      <w:pPr>
        <w:spacing w:after="0" w:line="240" w:lineRule="auto"/>
        <w:jc w:val="both"/>
        <w:rPr>
          <w:rFonts w:ascii="Verdana" w:hAnsi="Verdana"/>
        </w:rPr>
      </w:pPr>
      <w:r w:rsidRPr="00E26368">
        <w:rPr>
          <w:rFonts w:ascii="Verdana" w:hAnsi="Verdana"/>
        </w:rPr>
        <w:t xml:space="preserve">Facebook: </w:t>
      </w:r>
      <w:r w:rsidRPr="00E26368">
        <w:rPr>
          <w:rStyle w:val="Hipervnculo"/>
          <w:rFonts w:ascii="Verdana" w:hAnsi="Verdana"/>
          <w:color w:val="4472C4" w:themeColor="accent1"/>
        </w:rPr>
        <w:t>ColombiaCompraEficiente</w:t>
      </w:r>
    </w:p>
    <w:p w14:paraId="6571CC33" w14:textId="77777777" w:rsidR="00D6259D" w:rsidRPr="00E26368" w:rsidRDefault="00D6259D" w:rsidP="00D6259D">
      <w:pPr>
        <w:spacing w:after="0" w:line="240" w:lineRule="auto"/>
        <w:jc w:val="both"/>
        <w:rPr>
          <w:rFonts w:ascii="Verdana" w:hAnsi="Verdana"/>
        </w:rPr>
      </w:pPr>
      <w:r w:rsidRPr="00E26368">
        <w:rPr>
          <w:rFonts w:ascii="Verdana" w:hAnsi="Verdana"/>
        </w:rPr>
        <w:t xml:space="preserve">LinkedIn: </w:t>
      </w:r>
      <w:r w:rsidRPr="00E26368">
        <w:rPr>
          <w:rStyle w:val="Hipervnculo"/>
          <w:rFonts w:ascii="Verdana" w:hAnsi="Verdana"/>
          <w:color w:val="4472C4" w:themeColor="accent1"/>
        </w:rPr>
        <w:t>Agencia Nacional de Contratación Pública - Colombia Compra Eficiente</w:t>
      </w:r>
      <w:r w:rsidRPr="00E26368">
        <w:rPr>
          <w:rFonts w:ascii="Verdana" w:hAnsi="Verdana"/>
          <w:color w:val="4472C4" w:themeColor="accent1"/>
        </w:rPr>
        <w:t xml:space="preserve"> </w:t>
      </w:r>
      <w:r w:rsidRPr="00E26368">
        <w:rPr>
          <w:rFonts w:ascii="Verdana" w:hAnsi="Verdana"/>
        </w:rPr>
        <w:t xml:space="preserve">Instagram: </w:t>
      </w:r>
      <w:r w:rsidRPr="00E26368">
        <w:rPr>
          <w:rStyle w:val="Hipervnculo"/>
          <w:rFonts w:ascii="Verdana" w:hAnsi="Verdana"/>
          <w:color w:val="4472C4" w:themeColor="accent1"/>
        </w:rPr>
        <w:t>@colombiacompraeficiente_cce</w:t>
      </w:r>
    </w:p>
    <w:p w14:paraId="59B3AFA5" w14:textId="77777777" w:rsidR="00D6259D" w:rsidRPr="00E26368" w:rsidRDefault="00D6259D" w:rsidP="00D6259D">
      <w:pPr>
        <w:widowControl w:val="0"/>
        <w:autoSpaceDE w:val="0"/>
        <w:autoSpaceDN w:val="0"/>
        <w:spacing w:after="0" w:line="276" w:lineRule="auto"/>
        <w:jc w:val="both"/>
        <w:rPr>
          <w:rFonts w:ascii="Verdana" w:hAnsi="Verdana"/>
        </w:rPr>
      </w:pPr>
    </w:p>
    <w:p w14:paraId="5D663517" w14:textId="77777777" w:rsidR="00D6259D" w:rsidRPr="00792473" w:rsidRDefault="00D6259D" w:rsidP="00D6259D">
      <w:pPr>
        <w:widowControl w:val="0"/>
        <w:autoSpaceDE w:val="0"/>
        <w:autoSpaceDN w:val="0"/>
        <w:spacing w:after="0" w:line="276" w:lineRule="auto"/>
        <w:jc w:val="both"/>
        <w:rPr>
          <w:rFonts w:ascii="Verdana" w:hAnsi="Verdana" w:cs="Arial"/>
          <w:lang w:val="es-ES_tradnl"/>
        </w:rPr>
      </w:pPr>
      <w:r w:rsidRPr="00E26368">
        <w:rPr>
          <w:rFonts w:ascii="Verdana" w:hAnsi="Verdana" w:cs="Arial"/>
        </w:rPr>
        <w:t xml:space="preserve">Este concepto tiene el alcance previsto en el artículo 28 del Código de Procedimiento Administrativo y de lo Contencioso Administrativo </w:t>
      </w:r>
      <w:r w:rsidRPr="00E26368">
        <w:rPr>
          <w:rFonts w:ascii="Verdana" w:hAnsi="Verdana" w:cs="Arial"/>
          <w:lang w:val="es-ES_tradnl"/>
        </w:rPr>
        <w:t>y las expresiones aquí utilizadas con mayúscula inicial deben ser entendidas con el significado que les otorga el artículo 2.2.1.1.1.3.1. del Decreto 1082 de 2015.</w:t>
      </w:r>
    </w:p>
    <w:p w14:paraId="350F9FA1" w14:textId="77777777" w:rsidR="00D6259D" w:rsidRPr="00E26368" w:rsidRDefault="00D6259D" w:rsidP="00D6259D">
      <w:pPr>
        <w:widowControl w:val="0"/>
        <w:autoSpaceDE w:val="0"/>
        <w:autoSpaceDN w:val="0"/>
        <w:spacing w:after="0" w:line="276" w:lineRule="auto"/>
        <w:jc w:val="both"/>
        <w:rPr>
          <w:rFonts w:ascii="Verdana" w:hAnsi="Verdana" w:cs="Arial"/>
        </w:rPr>
      </w:pPr>
    </w:p>
    <w:p w14:paraId="336BA906" w14:textId="77777777" w:rsidR="00D6259D" w:rsidRPr="00E26368" w:rsidRDefault="00D6259D" w:rsidP="00D6259D">
      <w:pPr>
        <w:spacing w:after="0" w:line="240" w:lineRule="auto"/>
        <w:rPr>
          <w:rFonts w:ascii="Verdana" w:hAnsi="Verdana" w:cs="Arial"/>
          <w:lang w:eastAsia="es-CO"/>
        </w:rPr>
      </w:pPr>
      <w:r w:rsidRPr="00E26368">
        <w:rPr>
          <w:rFonts w:ascii="Verdana" w:eastAsia="Times New Roman" w:hAnsi="Verdana" w:cs="Arial"/>
          <w:lang w:eastAsia="es-CO"/>
        </w:rPr>
        <w:t>Atentamente,</w:t>
      </w:r>
      <w:r w:rsidRPr="00E26368">
        <w:rPr>
          <w:rFonts w:ascii="Verdana" w:hAnsi="Verdana" w:cs="Arial"/>
          <w:lang w:eastAsia="es-CO"/>
        </w:rPr>
        <w:t xml:space="preserve"> </w:t>
      </w:r>
    </w:p>
    <w:p w14:paraId="4440143C" w14:textId="366ADC1E" w:rsidR="00D6259D" w:rsidRPr="00E26368" w:rsidRDefault="006C1ECC" w:rsidP="00D6259D">
      <w:pPr>
        <w:spacing w:line="276" w:lineRule="auto"/>
        <w:jc w:val="center"/>
        <w:rPr>
          <w:rFonts w:ascii="Verdana" w:hAnsi="Verdana" w:cs="Arial"/>
          <w:lang w:val="es-ES_tradnl" w:eastAsia="es-CO"/>
        </w:rPr>
      </w:pPr>
      <w:r w:rsidRPr="006C1ECC">
        <w:rPr>
          <w:rFonts w:ascii="Verdana" w:eastAsia="Geomanist Light" w:hAnsi="Verdana" w:cs="Arial"/>
          <w:color w:val="000000" w:themeColor="text1"/>
          <w:lang w:val="es-MX"/>
        </w:rPr>
        <w:drawing>
          <wp:inline distT="0" distB="0" distL="0" distR="0" wp14:anchorId="3C8B4064" wp14:editId="7B1781D0">
            <wp:extent cx="3771900" cy="1400175"/>
            <wp:effectExtent l="0" t="0" r="0" b="9525"/>
            <wp:docPr id="577989325"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89325" name="Imagen 2"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D6259D" w:rsidRPr="00E26368" w14:paraId="75FB181F" w14:textId="77777777" w:rsidTr="00923AFF">
        <w:trPr>
          <w:trHeight w:val="315"/>
        </w:trPr>
        <w:tc>
          <w:tcPr>
            <w:tcW w:w="893" w:type="dxa"/>
            <w:vAlign w:val="center"/>
            <w:hideMark/>
          </w:tcPr>
          <w:p w14:paraId="69551F74" w14:textId="77777777" w:rsidR="00D6259D" w:rsidRPr="00E26368" w:rsidRDefault="00D6259D" w:rsidP="00923AFF">
            <w:pPr>
              <w:spacing w:after="255"/>
              <w:contextualSpacing/>
              <w:rPr>
                <w:rFonts w:ascii="Verdana" w:hAnsi="Verdana" w:cs="Arial"/>
                <w:sz w:val="16"/>
                <w:szCs w:val="16"/>
                <w:lang w:val="es-ES" w:eastAsia="es-ES"/>
              </w:rPr>
            </w:pPr>
            <w:r w:rsidRPr="00E26368">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1A4A74C" w14:textId="77777777" w:rsidR="00D6259D" w:rsidRPr="00E26368" w:rsidRDefault="00D6259D" w:rsidP="00923AFF">
            <w:pPr>
              <w:spacing w:after="255"/>
              <w:contextualSpacing/>
              <w:rPr>
                <w:rFonts w:ascii="Verdana" w:eastAsia="Arial" w:hAnsi="Verdana" w:cs="Arial"/>
                <w:sz w:val="16"/>
                <w:szCs w:val="16"/>
              </w:rPr>
            </w:pPr>
            <w:r w:rsidRPr="00E26368">
              <w:rPr>
                <w:rStyle w:val="normaltextrun"/>
                <w:rFonts w:ascii="Verdana" w:hAnsi="Verdana"/>
                <w:sz w:val="16"/>
                <w:szCs w:val="16"/>
              </w:rPr>
              <w:t>Gloria Ximena Moreno Guio</w:t>
            </w:r>
          </w:p>
          <w:p w14:paraId="24B2AF48" w14:textId="77777777" w:rsidR="00D6259D" w:rsidRPr="00E26368" w:rsidRDefault="00D6259D" w:rsidP="00923AFF">
            <w:pPr>
              <w:spacing w:after="255"/>
              <w:contextualSpacing/>
              <w:rPr>
                <w:rFonts w:ascii="Verdana" w:eastAsia="Arial" w:hAnsi="Verdana" w:cs="Arial"/>
                <w:sz w:val="16"/>
                <w:szCs w:val="16"/>
              </w:rPr>
            </w:pPr>
            <w:r w:rsidRPr="00E26368">
              <w:rPr>
                <w:rStyle w:val="normaltextrun"/>
                <w:rFonts w:ascii="Verdana" w:eastAsia="Arial" w:hAnsi="Verdana" w:cs="Arial"/>
                <w:sz w:val="16"/>
                <w:szCs w:val="16"/>
              </w:rPr>
              <w:t>Contratista de la Subdirección de Gestión Contractual</w:t>
            </w:r>
          </w:p>
        </w:tc>
      </w:tr>
      <w:tr w:rsidR="00D6259D" w:rsidRPr="00E26368" w14:paraId="13777DEE" w14:textId="77777777" w:rsidTr="00923AFF">
        <w:trPr>
          <w:trHeight w:val="330"/>
        </w:trPr>
        <w:tc>
          <w:tcPr>
            <w:tcW w:w="893" w:type="dxa"/>
            <w:vAlign w:val="center"/>
            <w:hideMark/>
          </w:tcPr>
          <w:p w14:paraId="3CD96718" w14:textId="77777777" w:rsidR="00D6259D" w:rsidRPr="00E26368" w:rsidRDefault="00D6259D" w:rsidP="00923AFF">
            <w:pPr>
              <w:spacing w:after="255"/>
              <w:contextualSpacing/>
              <w:rPr>
                <w:rFonts w:ascii="Verdana" w:hAnsi="Verdana" w:cs="Arial"/>
                <w:sz w:val="16"/>
                <w:szCs w:val="16"/>
                <w:lang w:val="es-ES" w:eastAsia="es-ES"/>
              </w:rPr>
            </w:pPr>
            <w:r w:rsidRPr="00E26368">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B54CF51" w14:textId="77777777" w:rsidR="00D6259D" w:rsidRPr="00E26368" w:rsidRDefault="00D6259D" w:rsidP="00923AFF">
            <w:pPr>
              <w:pStyle w:val="paragraph"/>
              <w:spacing w:before="0" w:beforeAutospacing="0" w:after="0" w:afterAutospacing="0"/>
              <w:contextualSpacing/>
              <w:textAlignment w:val="baseline"/>
              <w:rPr>
                <w:rStyle w:val="normaltextrun"/>
                <w:rFonts w:ascii="Verdana" w:hAnsi="Verdana" w:cs="Arial"/>
                <w:sz w:val="16"/>
                <w:szCs w:val="16"/>
                <w:lang w:val="es-ES"/>
              </w:rPr>
            </w:pPr>
            <w:r w:rsidRPr="00E26368">
              <w:rPr>
                <w:rStyle w:val="normaltextrun"/>
                <w:rFonts w:ascii="Verdana" w:hAnsi="Verdana" w:cs="Arial"/>
                <w:sz w:val="16"/>
                <w:szCs w:val="16"/>
                <w:lang w:val="es-ES"/>
              </w:rPr>
              <w:t>Cielo Victoria González Meza</w:t>
            </w:r>
          </w:p>
          <w:p w14:paraId="7FA26130" w14:textId="77777777" w:rsidR="00D6259D" w:rsidRPr="00E26368" w:rsidRDefault="00D6259D" w:rsidP="00923AFF">
            <w:pPr>
              <w:pStyle w:val="paragraph"/>
              <w:spacing w:before="0" w:beforeAutospacing="0" w:after="0" w:afterAutospacing="0"/>
              <w:contextualSpacing/>
              <w:textAlignment w:val="baseline"/>
              <w:rPr>
                <w:rFonts w:ascii="Verdana" w:hAnsi="Verdana" w:cs="Segoe UI"/>
                <w:sz w:val="16"/>
                <w:szCs w:val="16"/>
              </w:rPr>
            </w:pPr>
            <w:r w:rsidRPr="00E26368">
              <w:rPr>
                <w:rStyle w:val="normaltextrun"/>
                <w:rFonts w:ascii="Verdana" w:hAnsi="Verdana" w:cs="Arial"/>
                <w:sz w:val="16"/>
                <w:szCs w:val="16"/>
                <w:lang w:val="es-ES"/>
              </w:rPr>
              <w:t>Contratista de la Subdirección de Gestión Contractual</w:t>
            </w:r>
          </w:p>
        </w:tc>
      </w:tr>
      <w:tr w:rsidR="00D6259D" w:rsidRPr="00E26368" w14:paraId="64518E24" w14:textId="77777777" w:rsidTr="00923AFF">
        <w:trPr>
          <w:trHeight w:val="300"/>
        </w:trPr>
        <w:tc>
          <w:tcPr>
            <w:tcW w:w="893" w:type="dxa"/>
            <w:vAlign w:val="center"/>
            <w:hideMark/>
          </w:tcPr>
          <w:p w14:paraId="6A26C0F1" w14:textId="77777777" w:rsidR="00D6259D" w:rsidRPr="00E26368" w:rsidRDefault="00D6259D" w:rsidP="00923AFF">
            <w:pPr>
              <w:spacing w:after="255"/>
              <w:contextualSpacing/>
              <w:rPr>
                <w:rFonts w:ascii="Verdana" w:hAnsi="Verdana" w:cs="Arial"/>
                <w:sz w:val="16"/>
                <w:szCs w:val="16"/>
                <w:lang w:val="es-ES" w:eastAsia="es-ES"/>
              </w:rPr>
            </w:pPr>
            <w:r w:rsidRPr="00E26368">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BC4C134" w14:textId="77777777" w:rsidR="00D6259D" w:rsidRPr="00E26368" w:rsidRDefault="00D6259D" w:rsidP="00923AFF">
            <w:pPr>
              <w:spacing w:after="255"/>
              <w:contextualSpacing/>
              <w:rPr>
                <w:rFonts w:ascii="Verdana" w:eastAsia="Calibri" w:hAnsi="Verdana" w:cs="Arial"/>
                <w:sz w:val="16"/>
                <w:szCs w:val="16"/>
                <w:lang w:val="pt-BR" w:eastAsia="es-ES"/>
              </w:rPr>
            </w:pPr>
            <w:r w:rsidRPr="00E26368">
              <w:rPr>
                <w:rFonts w:ascii="Verdana" w:eastAsia="Calibri" w:hAnsi="Verdana" w:cs="Arial"/>
                <w:sz w:val="16"/>
                <w:szCs w:val="16"/>
                <w:lang w:val="pt-BR" w:eastAsia="es-ES"/>
              </w:rPr>
              <w:t>Carolina Quintero Gacharná</w:t>
            </w:r>
          </w:p>
          <w:p w14:paraId="7634D80E" w14:textId="77777777" w:rsidR="00D6259D" w:rsidRPr="00E26368" w:rsidRDefault="00D6259D" w:rsidP="00923AFF">
            <w:pPr>
              <w:spacing w:after="255"/>
              <w:contextualSpacing/>
              <w:rPr>
                <w:rFonts w:ascii="Verdana" w:eastAsia="Calibri" w:hAnsi="Verdana" w:cs="Arial"/>
                <w:sz w:val="16"/>
                <w:szCs w:val="16"/>
                <w:lang w:val="pt-BR" w:eastAsia="es-ES"/>
              </w:rPr>
            </w:pPr>
            <w:r w:rsidRPr="00E26368">
              <w:rPr>
                <w:rFonts w:ascii="Verdana" w:eastAsia="Calibri" w:hAnsi="Verdana" w:cs="Arial"/>
                <w:sz w:val="16"/>
                <w:szCs w:val="16"/>
                <w:lang w:eastAsia="es-ES"/>
              </w:rPr>
              <w:t>Subdirectora</w:t>
            </w:r>
            <w:r w:rsidRPr="00E26368">
              <w:rPr>
                <w:rFonts w:ascii="Verdana" w:eastAsia="Calibri" w:hAnsi="Verdana" w:cs="Arial"/>
                <w:sz w:val="16"/>
                <w:szCs w:val="16"/>
                <w:lang w:val="pt-BR" w:eastAsia="es-ES"/>
              </w:rPr>
              <w:t xml:space="preserve"> de Gestión Contratual ANCP – CCE</w:t>
            </w:r>
          </w:p>
        </w:tc>
      </w:tr>
    </w:tbl>
    <w:p w14:paraId="27C6DB10" w14:textId="77777777" w:rsidR="00D6259D" w:rsidRPr="00E26368" w:rsidRDefault="00D6259D" w:rsidP="00D6259D">
      <w:pPr>
        <w:spacing w:after="0" w:line="240" w:lineRule="auto"/>
        <w:rPr>
          <w:rFonts w:ascii="Verdana" w:eastAsia="Times New Roman" w:hAnsi="Verdana" w:cs="Arial"/>
          <w:lang w:eastAsia="es-ES"/>
        </w:rPr>
      </w:pPr>
    </w:p>
    <w:p w14:paraId="12CEC271" w14:textId="77777777" w:rsidR="00D6259D" w:rsidRPr="00E26368" w:rsidRDefault="00D6259D" w:rsidP="00D6259D">
      <w:pPr>
        <w:rPr>
          <w:rFonts w:ascii="Verdana" w:hAnsi="Verdana"/>
        </w:rPr>
      </w:pPr>
    </w:p>
    <w:p w14:paraId="2106236C" w14:textId="77777777" w:rsidR="00D6259D" w:rsidRPr="00E26368" w:rsidRDefault="00D6259D" w:rsidP="00D6259D">
      <w:pPr>
        <w:spacing w:after="0" w:line="240" w:lineRule="auto"/>
        <w:rPr>
          <w:rFonts w:ascii="Verdana" w:eastAsia="Geomanist Light" w:hAnsi="Verdana" w:cs="Arial"/>
          <w:color w:val="000000" w:themeColor="text1"/>
        </w:rPr>
      </w:pPr>
    </w:p>
    <w:p w14:paraId="0389ACD2" w14:textId="77777777" w:rsidR="00D6259D" w:rsidRPr="00E26368" w:rsidRDefault="00D6259D" w:rsidP="00D6259D">
      <w:pPr>
        <w:rPr>
          <w:rFonts w:ascii="Verdana" w:hAnsi="Verdana"/>
          <w:lang w:val="es-MX"/>
        </w:rPr>
      </w:pPr>
    </w:p>
    <w:p w14:paraId="53B7ABCF" w14:textId="77777777" w:rsidR="00D6259D" w:rsidRPr="00625D2F" w:rsidRDefault="00D6259D" w:rsidP="00D6259D">
      <w:pPr>
        <w:rPr>
          <w:lang w:val="es-MX"/>
        </w:rPr>
      </w:pPr>
    </w:p>
    <w:p w14:paraId="484714E4" w14:textId="77777777" w:rsidR="00D6259D" w:rsidRPr="0014696C" w:rsidRDefault="00D6259D" w:rsidP="00D6259D">
      <w:pPr>
        <w:rPr>
          <w:lang w:val="es-MX"/>
        </w:rPr>
      </w:pPr>
    </w:p>
    <w:p w14:paraId="69F94FDC" w14:textId="77777777" w:rsidR="00D6259D" w:rsidRPr="00FA41B9" w:rsidRDefault="00D6259D" w:rsidP="00D6259D">
      <w:pPr>
        <w:spacing w:before="100" w:beforeAutospacing="1" w:after="0" w:afterAutospacing="1" w:line="240" w:lineRule="auto"/>
        <w:jc w:val="both"/>
        <w:textAlignment w:val="baseline"/>
        <w:rPr>
          <w:rFonts w:ascii="Verdana" w:eastAsia="Times New Roman" w:hAnsi="Verdana" w:cs="Arial"/>
          <w:lang w:val="es-MX" w:eastAsia="es-MX"/>
        </w:rPr>
      </w:pPr>
    </w:p>
    <w:p w14:paraId="0F293BF4" w14:textId="7BBFAB11" w:rsidR="00127233" w:rsidRPr="00D6259D" w:rsidRDefault="00127233" w:rsidP="0092277F">
      <w:pPr>
        <w:rPr>
          <w:lang w:val="es-MX"/>
        </w:rPr>
      </w:pPr>
    </w:p>
    <w:sectPr w:rsidR="00127233" w:rsidRPr="00D6259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4045C" w14:textId="77777777" w:rsidR="005E2AF1" w:rsidRDefault="005E2AF1" w:rsidP="004A1847">
      <w:pPr>
        <w:spacing w:after="0" w:line="240" w:lineRule="auto"/>
      </w:pPr>
      <w:r>
        <w:separator/>
      </w:r>
    </w:p>
  </w:endnote>
  <w:endnote w:type="continuationSeparator" w:id="0">
    <w:p w14:paraId="38F85B56" w14:textId="77777777" w:rsidR="005E2AF1" w:rsidRDefault="005E2AF1" w:rsidP="004A1847">
      <w:pPr>
        <w:spacing w:after="0" w:line="240" w:lineRule="auto"/>
      </w:pPr>
      <w:r>
        <w:continuationSeparator/>
      </w:r>
    </w:p>
  </w:endnote>
  <w:endnote w:type="continuationNotice" w:id="1">
    <w:p w14:paraId="40A6134D" w14:textId="77777777" w:rsidR="005E2AF1" w:rsidRDefault="005E2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53302" w14:textId="77777777" w:rsidR="005E2AF1" w:rsidRDefault="005E2AF1" w:rsidP="004A1847">
      <w:pPr>
        <w:spacing w:after="0" w:line="240" w:lineRule="auto"/>
      </w:pPr>
      <w:r>
        <w:separator/>
      </w:r>
    </w:p>
  </w:footnote>
  <w:footnote w:type="continuationSeparator" w:id="0">
    <w:p w14:paraId="637DC6A8" w14:textId="77777777" w:rsidR="005E2AF1" w:rsidRDefault="005E2AF1" w:rsidP="004A1847">
      <w:pPr>
        <w:spacing w:after="0" w:line="240" w:lineRule="auto"/>
      </w:pPr>
      <w:r>
        <w:continuationSeparator/>
      </w:r>
    </w:p>
  </w:footnote>
  <w:footnote w:type="continuationNotice" w:id="1">
    <w:p w14:paraId="512CB109" w14:textId="77777777" w:rsidR="005E2AF1" w:rsidRDefault="005E2AF1">
      <w:pPr>
        <w:spacing w:after="0" w:line="240" w:lineRule="auto"/>
      </w:pPr>
    </w:p>
  </w:footnote>
  <w:footnote w:id="2">
    <w:p w14:paraId="75CA56E6" w14:textId="77777777" w:rsidR="006427BB" w:rsidRPr="006427BB" w:rsidRDefault="006427BB" w:rsidP="006427BB">
      <w:pPr>
        <w:pStyle w:val="Textonotapie"/>
        <w:rPr>
          <w:lang w:val="es-CO"/>
        </w:rPr>
      </w:pPr>
      <w:r>
        <w:rPr>
          <w:rStyle w:val="Refdenotaalpie"/>
        </w:rPr>
        <w:footnoteRef/>
      </w:r>
      <w:r>
        <w:t xml:space="preserve"> </w:t>
      </w:r>
      <w:r w:rsidRPr="006427BB">
        <w:rPr>
          <w:lang w:val="es-CO"/>
        </w:rPr>
        <w:t xml:space="preserve">Numeral 9 del artículo 3 de la Ley 1437 de 2011 </w:t>
      </w:r>
    </w:p>
    <w:p w14:paraId="56ED8FDB" w14:textId="6E74AB44" w:rsidR="006427BB" w:rsidRPr="00E926A8" w:rsidRDefault="006427BB">
      <w:pPr>
        <w:pStyle w:val="Textonotapie"/>
        <w:rPr>
          <w:lang w:val="es-CO"/>
        </w:rPr>
      </w:pPr>
    </w:p>
  </w:footnote>
  <w:footnote w:id="3">
    <w:p w14:paraId="27425395" w14:textId="3377EB42" w:rsidR="000007AF" w:rsidRPr="000007AF" w:rsidRDefault="000007AF">
      <w:pPr>
        <w:pStyle w:val="Textonotapie"/>
      </w:pPr>
      <w:r>
        <w:rPr>
          <w:rStyle w:val="Refdenotaalpie"/>
        </w:rPr>
        <w:footnoteRef/>
      </w:r>
      <w:r>
        <w:t xml:space="preserve"> Artículo </w:t>
      </w:r>
      <w:r w:rsidR="002B6167">
        <w:t>74 y 209 constitucional.</w:t>
      </w:r>
    </w:p>
  </w:footnote>
  <w:footnote w:id="4">
    <w:p w14:paraId="4E605268" w14:textId="2D03D32A" w:rsidR="00D6259D" w:rsidRPr="00E26237" w:rsidRDefault="00D6259D" w:rsidP="00D6259D">
      <w:pPr>
        <w:pStyle w:val="Textonotapie"/>
        <w:ind w:firstLine="709"/>
        <w:jc w:val="both"/>
        <w:rPr>
          <w:rFonts w:ascii="Arial" w:hAnsi="Arial" w:cs="Arial"/>
          <w:color w:val="000000" w:themeColor="text1"/>
          <w:sz w:val="19"/>
          <w:szCs w:val="19"/>
          <w:lang w:val="es-ES"/>
        </w:rPr>
      </w:pPr>
      <w:r w:rsidRPr="00E26237">
        <w:rPr>
          <w:rStyle w:val="Refdenotaalpie"/>
          <w:rFonts w:ascii="Arial" w:hAnsi="Arial" w:cs="Arial"/>
          <w:color w:val="000000" w:themeColor="text1"/>
          <w:sz w:val="19"/>
          <w:szCs w:val="19"/>
        </w:rPr>
        <w:footnoteRef/>
      </w:r>
      <w:r w:rsidRPr="00E26237">
        <w:rPr>
          <w:rFonts w:ascii="Arial" w:hAnsi="Arial" w:cs="Arial"/>
          <w:color w:val="000000" w:themeColor="text1"/>
          <w:sz w:val="19"/>
          <w:szCs w:val="19"/>
        </w:rPr>
        <w:t xml:space="preserve"> </w:t>
      </w:r>
      <w:r w:rsidR="007F6F31">
        <w:rPr>
          <w:rFonts w:ascii="Arial" w:hAnsi="Arial" w:cs="Arial"/>
          <w:color w:val="000000" w:themeColor="text1"/>
          <w:sz w:val="19"/>
          <w:szCs w:val="19"/>
          <w:lang w:val="es-ES"/>
        </w:rPr>
        <w:t>“</w:t>
      </w:r>
      <w:r w:rsidRPr="00E26237">
        <w:rPr>
          <w:rFonts w:ascii="Arial" w:hAnsi="Arial" w:cs="Arial"/>
          <w:color w:val="000000" w:themeColor="text1"/>
          <w:sz w:val="19"/>
          <w:szCs w:val="19"/>
          <w:lang w:val="es-ES"/>
        </w:rPr>
        <w:t>Los principios y disposiciones contenidas en la presente ley serán aplicables a los datos personales registrados en cualquier base de datos que los haga susceptibles de tratamiento por entidades de naturaleza pública o privada.</w:t>
      </w:r>
    </w:p>
    <w:p w14:paraId="604632BA" w14:textId="4E0A0281" w:rsidR="00D6259D" w:rsidRPr="00E26237" w:rsidRDefault="007F6F31" w:rsidP="00D6259D">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00D6259D" w:rsidRPr="00E26237">
        <w:rPr>
          <w:rFonts w:ascii="Arial" w:hAnsi="Arial" w:cs="Arial"/>
          <w:color w:val="000000" w:themeColor="text1"/>
          <w:sz w:val="19"/>
          <w:szCs w:val="19"/>
          <w:lang w:val="es-ES"/>
        </w:rPr>
        <w:t>La presente ley aplicará al tratamiento de datos personales efectuado en territorio colombiano o cuando al Responsable del Tratamiento o Encargado del Tratamiento no establecido en territorio nacional le sea aplicable la legislación colombiana en virtud de normas y tratados internacionales.</w:t>
      </w:r>
    </w:p>
    <w:p w14:paraId="0014E656" w14:textId="1AE2D77B" w:rsidR="00D6259D" w:rsidRPr="00E26237" w:rsidRDefault="007F6F31" w:rsidP="00D6259D">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00D6259D" w:rsidRPr="00E26237">
        <w:rPr>
          <w:rFonts w:ascii="Arial" w:hAnsi="Arial" w:cs="Arial"/>
          <w:color w:val="000000" w:themeColor="text1"/>
          <w:sz w:val="19"/>
          <w:szCs w:val="19"/>
          <w:lang w:val="es-ES"/>
        </w:rPr>
        <w:t>El régimen de protección de datos personales que se establece en la presente ley no será de aplicación:</w:t>
      </w:r>
    </w:p>
    <w:p w14:paraId="3CD51FC6" w14:textId="1693EDE8" w:rsidR="00D6259D" w:rsidRPr="00E26237" w:rsidRDefault="007F6F31" w:rsidP="00D6259D">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00D6259D" w:rsidRPr="00E26237">
        <w:rPr>
          <w:rFonts w:ascii="Arial" w:hAnsi="Arial" w:cs="Arial"/>
          <w:color w:val="000000" w:themeColor="text1"/>
          <w:sz w:val="19"/>
          <w:szCs w:val="19"/>
          <w:lang w:val="es-ES"/>
        </w:rPr>
        <w:t>a) A las bases de datos o archivos mantenidos en un ámbito exclusivamente personal o doméstico.</w:t>
      </w:r>
    </w:p>
    <w:p w14:paraId="5730C10D" w14:textId="4E6EC343" w:rsidR="00D6259D" w:rsidRPr="00E26237" w:rsidRDefault="007F6F31" w:rsidP="00D6259D">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00D6259D" w:rsidRPr="00E26237">
        <w:rPr>
          <w:rFonts w:ascii="Arial" w:hAnsi="Arial" w:cs="Arial"/>
          <w:color w:val="000000" w:themeColor="text1"/>
          <w:sz w:val="19"/>
          <w:szCs w:val="19"/>
          <w:lang w:val="es-ES"/>
        </w:rPr>
        <w:t>Cuando estas bases de datos o archivos vayan a ser suministrados a terceros se deberá, de manera previa, informar al Titular y solicitar su autorización. En este caso los Responsables y Encargados de las bases de datos y archivos quedarán sujetos a las disposiciones contenidas en la presente ley;</w:t>
      </w:r>
    </w:p>
    <w:p w14:paraId="046AFA33" w14:textId="325E0C09" w:rsidR="00D6259D" w:rsidRPr="00E26237" w:rsidRDefault="007F6F31" w:rsidP="00D6259D">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00D6259D" w:rsidRPr="00E26237">
        <w:rPr>
          <w:rFonts w:ascii="Arial" w:hAnsi="Arial" w:cs="Arial"/>
          <w:color w:val="000000" w:themeColor="text1"/>
          <w:sz w:val="19"/>
          <w:szCs w:val="19"/>
          <w:lang w:val="es-ES"/>
        </w:rPr>
        <w:t>b) A las bases de datos y archivos que tengan por finalidad la seguridad y defensa nacional, así como la prevención, detección, monitoreo y control del lavado de activos y el financiamiento del terrorismo;</w:t>
      </w:r>
    </w:p>
    <w:p w14:paraId="170D2E47" w14:textId="791D3B3D" w:rsidR="00D6259D" w:rsidRPr="00E26237" w:rsidRDefault="007F6F31" w:rsidP="00D6259D">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00D6259D" w:rsidRPr="00E26237">
        <w:rPr>
          <w:rFonts w:ascii="Arial" w:hAnsi="Arial" w:cs="Arial"/>
          <w:color w:val="000000" w:themeColor="text1"/>
          <w:sz w:val="19"/>
          <w:szCs w:val="19"/>
          <w:lang w:val="es-ES"/>
        </w:rPr>
        <w:t>c) A las Bases de datos que tengan como fin y contengan información de inteligencia y contrainteligencia;</w:t>
      </w:r>
    </w:p>
    <w:p w14:paraId="6FB512A9" w14:textId="6AEF4053" w:rsidR="00D6259D" w:rsidRPr="00E26237" w:rsidRDefault="007F6F31" w:rsidP="00D6259D">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00D6259D" w:rsidRPr="00E26237">
        <w:rPr>
          <w:rFonts w:ascii="Arial" w:hAnsi="Arial" w:cs="Arial"/>
          <w:color w:val="000000" w:themeColor="text1"/>
          <w:sz w:val="19"/>
          <w:szCs w:val="19"/>
          <w:lang w:val="es-ES"/>
        </w:rPr>
        <w:t>d) A las bases de datos y archivos de información periodística y otros contenidos editoriales;</w:t>
      </w:r>
    </w:p>
    <w:p w14:paraId="1099D86E" w14:textId="11B568F2" w:rsidR="00D6259D" w:rsidRPr="00E26237" w:rsidRDefault="007F6F31" w:rsidP="00D6259D">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00D6259D" w:rsidRPr="00E26237">
        <w:rPr>
          <w:rFonts w:ascii="Arial" w:hAnsi="Arial" w:cs="Arial"/>
          <w:color w:val="000000" w:themeColor="text1"/>
          <w:sz w:val="19"/>
          <w:szCs w:val="19"/>
          <w:lang w:val="es-ES"/>
        </w:rPr>
        <w:t>e) A las bases de datos y archivos regulados por la Ley 1266 de 2008;</w:t>
      </w:r>
    </w:p>
    <w:p w14:paraId="7910B153" w14:textId="314708A7" w:rsidR="00D6259D" w:rsidRPr="00E26237" w:rsidRDefault="007F6F31" w:rsidP="00D6259D">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00D6259D" w:rsidRPr="00E26237">
        <w:rPr>
          <w:rFonts w:ascii="Arial" w:hAnsi="Arial" w:cs="Arial"/>
          <w:color w:val="000000" w:themeColor="text1"/>
          <w:sz w:val="19"/>
          <w:szCs w:val="19"/>
          <w:lang w:val="es-ES"/>
        </w:rPr>
        <w:t>f) A las bases de datos y archivos regulados por la Ley 79 de 1993.</w:t>
      </w:r>
    </w:p>
    <w:p w14:paraId="106FB44B" w14:textId="73C7BFCC" w:rsidR="00D6259D" w:rsidRPr="00E26237" w:rsidRDefault="007F6F31" w:rsidP="00D6259D">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00D6259D" w:rsidRPr="00E26237">
        <w:rPr>
          <w:rFonts w:ascii="Arial" w:hAnsi="Arial" w:cs="Arial"/>
          <w:color w:val="000000" w:themeColor="text1"/>
          <w:sz w:val="19"/>
          <w:szCs w:val="19"/>
          <w:lang w:val="es-ES"/>
        </w:rPr>
        <w:t>PARÁGRAFO. Los principios sobre protección de datos serán aplicables a todas las bases de datos, incluidas las exceptuadas en el presente artículo, con los límites dispuestos en la presente ley y sin reñir con los datos que tienen características de estar amparados por la reserva legal. En el evento que la normatividad especial que regule las bases de datos exceptuadas prevea principios que tengan en consideración la naturaleza especial de datos, los mismos aplicarán de manera concurrente a los previstos en la presente ley</w:t>
      </w:r>
      <w:r>
        <w:rPr>
          <w:rFonts w:ascii="Arial" w:hAnsi="Arial" w:cs="Arial"/>
          <w:color w:val="000000" w:themeColor="text1"/>
          <w:sz w:val="19"/>
          <w:szCs w:val="19"/>
          <w:lang w:val="es-ES"/>
        </w:rPr>
        <w:t>”</w:t>
      </w:r>
      <w:r w:rsidR="00D6259D" w:rsidRPr="00E26237">
        <w:rPr>
          <w:rFonts w:ascii="Arial" w:hAnsi="Arial" w:cs="Arial"/>
          <w:color w:val="000000" w:themeColor="text1"/>
          <w:sz w:val="19"/>
          <w:szCs w:val="19"/>
          <w:lang w:val="es-ES"/>
        </w:rPr>
        <w:t>.</w:t>
      </w:r>
    </w:p>
    <w:p w14:paraId="28644D88" w14:textId="77777777" w:rsidR="00D6259D" w:rsidRPr="00E26237" w:rsidRDefault="00D6259D" w:rsidP="00D6259D">
      <w:pPr>
        <w:pStyle w:val="Textonotapie"/>
        <w:ind w:firstLine="709"/>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335B62"/>
    <w:multiLevelType w:val="hybridMultilevel"/>
    <w:tmpl w:val="128C0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25655"/>
    <w:multiLevelType w:val="hybridMultilevel"/>
    <w:tmpl w:val="92DCAD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037E11"/>
    <w:multiLevelType w:val="multilevel"/>
    <w:tmpl w:val="5C383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62D0928"/>
    <w:multiLevelType w:val="hybridMultilevel"/>
    <w:tmpl w:val="1460E82C"/>
    <w:lvl w:ilvl="0" w:tplc="B5643C1A">
      <w:numFmt w:val="bullet"/>
      <w:lvlText w:val="-"/>
      <w:lvlJc w:val="left"/>
      <w:pPr>
        <w:ind w:left="435" w:hanging="360"/>
      </w:pPr>
      <w:rPr>
        <w:rFonts w:ascii="Verdana" w:eastAsia="Calibri" w:hAnsi="Verdana" w:cs="Arial" w:hint="default"/>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AE2813"/>
    <w:multiLevelType w:val="hybridMultilevel"/>
    <w:tmpl w:val="1CF41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9"/>
  </w:num>
  <w:num w:numId="2" w16cid:durableId="19822139">
    <w:abstractNumId w:val="2"/>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8"/>
  </w:num>
  <w:num w:numId="8" w16cid:durableId="152644682">
    <w:abstractNumId w:val="15"/>
  </w:num>
  <w:num w:numId="9" w16cid:durableId="1317221377">
    <w:abstractNumId w:val="10"/>
  </w:num>
  <w:num w:numId="10" w16cid:durableId="1471245386">
    <w:abstractNumId w:val="14"/>
  </w:num>
  <w:num w:numId="11" w16cid:durableId="289172385">
    <w:abstractNumId w:val="11"/>
  </w:num>
  <w:num w:numId="12" w16cid:durableId="1470781324">
    <w:abstractNumId w:val="1"/>
  </w:num>
  <w:num w:numId="13" w16cid:durableId="1512908409">
    <w:abstractNumId w:val="5"/>
  </w:num>
  <w:num w:numId="14" w16cid:durableId="895897244">
    <w:abstractNumId w:val="17"/>
  </w:num>
  <w:num w:numId="15" w16cid:durableId="390349800">
    <w:abstractNumId w:val="12"/>
  </w:num>
  <w:num w:numId="16" w16cid:durableId="18451212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4638032">
    <w:abstractNumId w:val="13"/>
  </w:num>
  <w:num w:numId="18" w16cid:durableId="942226359">
    <w:abstractNumId w:val="3"/>
  </w:num>
  <w:num w:numId="19" w16cid:durableId="256329972">
    <w:abstractNumId w:val="18"/>
  </w:num>
  <w:num w:numId="20" w16cid:durableId="476992530">
    <w:abstractNumId w:val="4"/>
  </w:num>
  <w:num w:numId="21" w16cid:durableId="724571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7AF"/>
    <w:rsid w:val="00004599"/>
    <w:rsid w:val="000119C8"/>
    <w:rsid w:val="00041F88"/>
    <w:rsid w:val="0004270E"/>
    <w:rsid w:val="00061B2A"/>
    <w:rsid w:val="00073378"/>
    <w:rsid w:val="00082362"/>
    <w:rsid w:val="000A683E"/>
    <w:rsid w:val="000B19B9"/>
    <w:rsid w:val="000B5692"/>
    <w:rsid w:val="000D0334"/>
    <w:rsid w:val="000F1DC5"/>
    <w:rsid w:val="000F6486"/>
    <w:rsid w:val="00125105"/>
    <w:rsid w:val="00127233"/>
    <w:rsid w:val="00130F65"/>
    <w:rsid w:val="00145BCB"/>
    <w:rsid w:val="00156FD7"/>
    <w:rsid w:val="00161CD6"/>
    <w:rsid w:val="001858E0"/>
    <w:rsid w:val="001E4177"/>
    <w:rsid w:val="001F7DC6"/>
    <w:rsid w:val="0023540D"/>
    <w:rsid w:val="002421BB"/>
    <w:rsid w:val="002515E4"/>
    <w:rsid w:val="0025796E"/>
    <w:rsid w:val="002707A2"/>
    <w:rsid w:val="002951A0"/>
    <w:rsid w:val="002962BC"/>
    <w:rsid w:val="002A093D"/>
    <w:rsid w:val="002A0DD0"/>
    <w:rsid w:val="002A49AC"/>
    <w:rsid w:val="002A64FD"/>
    <w:rsid w:val="002B3210"/>
    <w:rsid w:val="002B6167"/>
    <w:rsid w:val="002C7A84"/>
    <w:rsid w:val="002E4FD9"/>
    <w:rsid w:val="002E77FB"/>
    <w:rsid w:val="00307334"/>
    <w:rsid w:val="00322A85"/>
    <w:rsid w:val="00324168"/>
    <w:rsid w:val="003448F4"/>
    <w:rsid w:val="00374F5E"/>
    <w:rsid w:val="00376B7D"/>
    <w:rsid w:val="00377E3E"/>
    <w:rsid w:val="00397E8B"/>
    <w:rsid w:val="003A26D1"/>
    <w:rsid w:val="003A779E"/>
    <w:rsid w:val="003B2618"/>
    <w:rsid w:val="003D0F4D"/>
    <w:rsid w:val="003D5B0D"/>
    <w:rsid w:val="003E0499"/>
    <w:rsid w:val="003F254B"/>
    <w:rsid w:val="003F3941"/>
    <w:rsid w:val="00406575"/>
    <w:rsid w:val="004251C8"/>
    <w:rsid w:val="0042722E"/>
    <w:rsid w:val="0044528D"/>
    <w:rsid w:val="00474AF4"/>
    <w:rsid w:val="0049265E"/>
    <w:rsid w:val="004A1847"/>
    <w:rsid w:val="004A305D"/>
    <w:rsid w:val="004F21C4"/>
    <w:rsid w:val="004F685F"/>
    <w:rsid w:val="00516AA5"/>
    <w:rsid w:val="005278E9"/>
    <w:rsid w:val="00550382"/>
    <w:rsid w:val="005566E8"/>
    <w:rsid w:val="005640A4"/>
    <w:rsid w:val="00574867"/>
    <w:rsid w:val="00574E9D"/>
    <w:rsid w:val="00585D81"/>
    <w:rsid w:val="00591460"/>
    <w:rsid w:val="00592628"/>
    <w:rsid w:val="005C3777"/>
    <w:rsid w:val="005C5CDC"/>
    <w:rsid w:val="005C5DE8"/>
    <w:rsid w:val="005D476C"/>
    <w:rsid w:val="005E2AF1"/>
    <w:rsid w:val="00610812"/>
    <w:rsid w:val="006219F8"/>
    <w:rsid w:val="006427BB"/>
    <w:rsid w:val="006462FA"/>
    <w:rsid w:val="00650FF7"/>
    <w:rsid w:val="00665D70"/>
    <w:rsid w:val="00671DAC"/>
    <w:rsid w:val="006737D3"/>
    <w:rsid w:val="006900D9"/>
    <w:rsid w:val="00691375"/>
    <w:rsid w:val="006C1ECC"/>
    <w:rsid w:val="006C766E"/>
    <w:rsid w:val="006D12F8"/>
    <w:rsid w:val="00706C16"/>
    <w:rsid w:val="00741636"/>
    <w:rsid w:val="007418FB"/>
    <w:rsid w:val="00756841"/>
    <w:rsid w:val="007649AB"/>
    <w:rsid w:val="0076715F"/>
    <w:rsid w:val="00771D0C"/>
    <w:rsid w:val="007833AC"/>
    <w:rsid w:val="007B268C"/>
    <w:rsid w:val="007B6DF6"/>
    <w:rsid w:val="007B7171"/>
    <w:rsid w:val="007B7772"/>
    <w:rsid w:val="007C0C0F"/>
    <w:rsid w:val="007C3DC2"/>
    <w:rsid w:val="007D1063"/>
    <w:rsid w:val="007E5497"/>
    <w:rsid w:val="007F6F31"/>
    <w:rsid w:val="00806F5F"/>
    <w:rsid w:val="0080783C"/>
    <w:rsid w:val="00820278"/>
    <w:rsid w:val="0083606A"/>
    <w:rsid w:val="008843B6"/>
    <w:rsid w:val="00884847"/>
    <w:rsid w:val="00891928"/>
    <w:rsid w:val="008A446D"/>
    <w:rsid w:val="008D180B"/>
    <w:rsid w:val="008F0B96"/>
    <w:rsid w:val="008F0EA7"/>
    <w:rsid w:val="0092277F"/>
    <w:rsid w:val="00923AFF"/>
    <w:rsid w:val="00923EEF"/>
    <w:rsid w:val="0092415B"/>
    <w:rsid w:val="00930B23"/>
    <w:rsid w:val="009419F9"/>
    <w:rsid w:val="0095685E"/>
    <w:rsid w:val="00961B09"/>
    <w:rsid w:val="00965334"/>
    <w:rsid w:val="0097093E"/>
    <w:rsid w:val="00970F74"/>
    <w:rsid w:val="00990741"/>
    <w:rsid w:val="009A0AA7"/>
    <w:rsid w:val="009A0DFA"/>
    <w:rsid w:val="009B2D26"/>
    <w:rsid w:val="009C71FA"/>
    <w:rsid w:val="009C72E7"/>
    <w:rsid w:val="009D3058"/>
    <w:rsid w:val="009E58F4"/>
    <w:rsid w:val="009F3A13"/>
    <w:rsid w:val="00A0487A"/>
    <w:rsid w:val="00A122D3"/>
    <w:rsid w:val="00A156CE"/>
    <w:rsid w:val="00A17F13"/>
    <w:rsid w:val="00A20739"/>
    <w:rsid w:val="00A30A5D"/>
    <w:rsid w:val="00A33C78"/>
    <w:rsid w:val="00AB0ADB"/>
    <w:rsid w:val="00AB68B1"/>
    <w:rsid w:val="00AD0A62"/>
    <w:rsid w:val="00B01B1A"/>
    <w:rsid w:val="00B0621E"/>
    <w:rsid w:val="00B26F2B"/>
    <w:rsid w:val="00B654E7"/>
    <w:rsid w:val="00B72CD3"/>
    <w:rsid w:val="00B72FFF"/>
    <w:rsid w:val="00B8185D"/>
    <w:rsid w:val="00B94FDF"/>
    <w:rsid w:val="00BA1B0C"/>
    <w:rsid w:val="00BA2535"/>
    <w:rsid w:val="00BC3D36"/>
    <w:rsid w:val="00BC676B"/>
    <w:rsid w:val="00BD7F72"/>
    <w:rsid w:val="00BE4CD1"/>
    <w:rsid w:val="00BF3389"/>
    <w:rsid w:val="00C04FB3"/>
    <w:rsid w:val="00C202B4"/>
    <w:rsid w:val="00C330EB"/>
    <w:rsid w:val="00C61A35"/>
    <w:rsid w:val="00C754BE"/>
    <w:rsid w:val="00C76B1C"/>
    <w:rsid w:val="00C96909"/>
    <w:rsid w:val="00CB6357"/>
    <w:rsid w:val="00CC1B26"/>
    <w:rsid w:val="00CF1518"/>
    <w:rsid w:val="00D37FA2"/>
    <w:rsid w:val="00D423A2"/>
    <w:rsid w:val="00D43E97"/>
    <w:rsid w:val="00D520D8"/>
    <w:rsid w:val="00D6259D"/>
    <w:rsid w:val="00D63AC2"/>
    <w:rsid w:val="00D728EC"/>
    <w:rsid w:val="00D7383B"/>
    <w:rsid w:val="00DA231B"/>
    <w:rsid w:val="00DA23A0"/>
    <w:rsid w:val="00DC39FC"/>
    <w:rsid w:val="00DE433E"/>
    <w:rsid w:val="00DF5254"/>
    <w:rsid w:val="00E03A67"/>
    <w:rsid w:val="00E16408"/>
    <w:rsid w:val="00E20894"/>
    <w:rsid w:val="00E245AB"/>
    <w:rsid w:val="00E2764C"/>
    <w:rsid w:val="00E27F2E"/>
    <w:rsid w:val="00E30A92"/>
    <w:rsid w:val="00E413EA"/>
    <w:rsid w:val="00E50AFE"/>
    <w:rsid w:val="00E75C92"/>
    <w:rsid w:val="00E771DC"/>
    <w:rsid w:val="00E8772A"/>
    <w:rsid w:val="00E90F6B"/>
    <w:rsid w:val="00E926A8"/>
    <w:rsid w:val="00E92C27"/>
    <w:rsid w:val="00EA0E3D"/>
    <w:rsid w:val="00EC38A7"/>
    <w:rsid w:val="00EE1AA8"/>
    <w:rsid w:val="00F31EDC"/>
    <w:rsid w:val="00F43132"/>
    <w:rsid w:val="00F462B3"/>
    <w:rsid w:val="00F4784D"/>
    <w:rsid w:val="00F5664F"/>
    <w:rsid w:val="00F666C4"/>
    <w:rsid w:val="00F76AFC"/>
    <w:rsid w:val="00FA47C0"/>
    <w:rsid w:val="00FB5DD1"/>
    <w:rsid w:val="00FC2B5D"/>
    <w:rsid w:val="00FF1449"/>
    <w:rsid w:val="08673F0F"/>
    <w:rsid w:val="35DF8AA1"/>
    <w:rsid w:val="5CEADB7B"/>
    <w:rsid w:val="6C772B0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948F6077-1EAE-4787-91A2-EF1F94AE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8E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D6259D"/>
    <w:pPr>
      <w:spacing w:line="240" w:lineRule="exact"/>
    </w:pPr>
    <w:rPr>
      <w:vertAlign w:val="superscript"/>
    </w:rPr>
  </w:style>
  <w:style w:type="paragraph" w:styleId="Textoindependiente">
    <w:name w:val="Body Text"/>
    <w:basedOn w:val="Normal"/>
    <w:link w:val="TextoindependienteCar"/>
    <w:uiPriority w:val="1"/>
    <w:unhideWhenUsed/>
    <w:qFormat/>
    <w:rsid w:val="00D6259D"/>
    <w:pPr>
      <w:spacing w:after="120"/>
    </w:pPr>
  </w:style>
  <w:style w:type="character" w:customStyle="1" w:styleId="TextoindependienteCar">
    <w:name w:val="Texto independiente Car"/>
    <w:basedOn w:val="Fuentedeprrafopredeter"/>
    <w:link w:val="Textoindependiente"/>
    <w:uiPriority w:val="1"/>
    <w:rsid w:val="00D6259D"/>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6259D"/>
    <w:rPr>
      <w:rFonts w:ascii="Geomanist Light" w:hAnsi="Geomanist Light"/>
      <w:lang w:val="es-ES"/>
    </w:rPr>
  </w:style>
  <w:style w:type="paragraph" w:styleId="Textonotaalfinal">
    <w:name w:val="endnote text"/>
    <w:basedOn w:val="Normal"/>
    <w:link w:val="TextonotaalfinalCar"/>
    <w:uiPriority w:val="99"/>
    <w:semiHidden/>
    <w:unhideWhenUsed/>
    <w:rsid w:val="000007A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007AF"/>
    <w:rPr>
      <w:sz w:val="20"/>
      <w:szCs w:val="20"/>
    </w:rPr>
  </w:style>
  <w:style w:type="character" w:styleId="Refdenotaalfinal">
    <w:name w:val="endnote reference"/>
    <w:basedOn w:val="Fuentedeprrafopredeter"/>
    <w:uiPriority w:val="99"/>
    <w:semiHidden/>
    <w:unhideWhenUsed/>
    <w:rsid w:val="000007AF"/>
    <w:rPr>
      <w:vertAlign w:val="superscript"/>
    </w:rPr>
  </w:style>
  <w:style w:type="character" w:styleId="Refdecomentario">
    <w:name w:val="annotation reference"/>
    <w:basedOn w:val="Fuentedeprrafopredeter"/>
    <w:uiPriority w:val="99"/>
    <w:semiHidden/>
    <w:unhideWhenUsed/>
    <w:rsid w:val="00041F88"/>
    <w:rPr>
      <w:sz w:val="16"/>
      <w:szCs w:val="16"/>
    </w:rPr>
  </w:style>
  <w:style w:type="paragraph" w:styleId="Textocomentario">
    <w:name w:val="annotation text"/>
    <w:basedOn w:val="Normal"/>
    <w:link w:val="TextocomentarioCar"/>
    <w:uiPriority w:val="99"/>
    <w:semiHidden/>
    <w:unhideWhenUsed/>
    <w:rsid w:val="00041F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1F88"/>
    <w:rPr>
      <w:sz w:val="20"/>
      <w:szCs w:val="20"/>
    </w:rPr>
  </w:style>
  <w:style w:type="paragraph" w:styleId="Asuntodelcomentario">
    <w:name w:val="annotation subject"/>
    <w:basedOn w:val="Textocomentario"/>
    <w:next w:val="Textocomentario"/>
    <w:link w:val="AsuntodelcomentarioCar"/>
    <w:uiPriority w:val="99"/>
    <w:semiHidden/>
    <w:unhideWhenUsed/>
    <w:rsid w:val="00041F88"/>
    <w:rPr>
      <w:b/>
      <w:bCs/>
    </w:rPr>
  </w:style>
  <w:style w:type="character" w:customStyle="1" w:styleId="AsuntodelcomentarioCar">
    <w:name w:val="Asunto del comentario Car"/>
    <w:basedOn w:val="TextocomentarioCar"/>
    <w:link w:val="Asuntodelcomentario"/>
    <w:uiPriority w:val="99"/>
    <w:semiHidden/>
    <w:rsid w:val="00041F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10476">
      <w:bodyDiv w:val="1"/>
      <w:marLeft w:val="0"/>
      <w:marRight w:val="0"/>
      <w:marTop w:val="0"/>
      <w:marBottom w:val="0"/>
      <w:divBdr>
        <w:top w:val="none" w:sz="0" w:space="0" w:color="auto"/>
        <w:left w:val="none" w:sz="0" w:space="0" w:color="auto"/>
        <w:bottom w:val="none" w:sz="0" w:space="0" w:color="auto"/>
        <w:right w:val="none" w:sz="0" w:space="0" w:color="auto"/>
      </w:divBdr>
      <w:divsChild>
        <w:div w:id="2067339426">
          <w:marLeft w:val="0"/>
          <w:marRight w:val="0"/>
          <w:marTop w:val="0"/>
          <w:marBottom w:val="0"/>
          <w:divBdr>
            <w:top w:val="none" w:sz="0" w:space="0" w:color="auto"/>
            <w:left w:val="none" w:sz="0" w:space="0" w:color="auto"/>
            <w:bottom w:val="none" w:sz="0" w:space="0" w:color="auto"/>
            <w:right w:val="none" w:sz="0" w:space="0" w:color="auto"/>
          </w:divBdr>
          <w:divsChild>
            <w:div w:id="1201893804">
              <w:marLeft w:val="0"/>
              <w:marRight w:val="0"/>
              <w:marTop w:val="0"/>
              <w:marBottom w:val="0"/>
              <w:divBdr>
                <w:top w:val="none" w:sz="0" w:space="0" w:color="auto"/>
                <w:left w:val="none" w:sz="0" w:space="0" w:color="auto"/>
                <w:bottom w:val="none" w:sz="0" w:space="0" w:color="auto"/>
                <w:right w:val="none" w:sz="0" w:space="0" w:color="auto"/>
              </w:divBdr>
              <w:divsChild>
                <w:div w:id="8097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9134">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95375049">
      <w:bodyDiv w:val="1"/>
      <w:marLeft w:val="0"/>
      <w:marRight w:val="0"/>
      <w:marTop w:val="0"/>
      <w:marBottom w:val="0"/>
      <w:divBdr>
        <w:top w:val="none" w:sz="0" w:space="0" w:color="auto"/>
        <w:left w:val="none" w:sz="0" w:space="0" w:color="auto"/>
        <w:bottom w:val="none" w:sz="0" w:space="0" w:color="auto"/>
        <w:right w:val="none" w:sz="0" w:space="0" w:color="auto"/>
      </w:divBdr>
      <w:divsChild>
        <w:div w:id="572545027">
          <w:marLeft w:val="0"/>
          <w:marRight w:val="0"/>
          <w:marTop w:val="0"/>
          <w:marBottom w:val="0"/>
          <w:divBdr>
            <w:top w:val="none" w:sz="0" w:space="0" w:color="auto"/>
            <w:left w:val="none" w:sz="0" w:space="0" w:color="auto"/>
            <w:bottom w:val="none" w:sz="0" w:space="0" w:color="auto"/>
            <w:right w:val="none" w:sz="0" w:space="0" w:color="auto"/>
          </w:divBdr>
          <w:divsChild>
            <w:div w:id="59452053">
              <w:marLeft w:val="0"/>
              <w:marRight w:val="0"/>
              <w:marTop w:val="0"/>
              <w:marBottom w:val="0"/>
              <w:divBdr>
                <w:top w:val="none" w:sz="0" w:space="0" w:color="auto"/>
                <w:left w:val="none" w:sz="0" w:space="0" w:color="auto"/>
                <w:bottom w:val="none" w:sz="0" w:space="0" w:color="auto"/>
                <w:right w:val="none" w:sz="0" w:space="0" w:color="auto"/>
              </w:divBdr>
              <w:divsChild>
                <w:div w:id="19554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99093">
      <w:bodyDiv w:val="1"/>
      <w:marLeft w:val="0"/>
      <w:marRight w:val="0"/>
      <w:marTop w:val="0"/>
      <w:marBottom w:val="0"/>
      <w:divBdr>
        <w:top w:val="none" w:sz="0" w:space="0" w:color="auto"/>
        <w:left w:val="none" w:sz="0" w:space="0" w:color="auto"/>
        <w:bottom w:val="none" w:sz="0" w:space="0" w:color="auto"/>
        <w:right w:val="none" w:sz="0" w:space="0" w:color="auto"/>
      </w:divBdr>
      <w:divsChild>
        <w:div w:id="1246576895">
          <w:marLeft w:val="0"/>
          <w:marRight w:val="0"/>
          <w:marTop w:val="0"/>
          <w:marBottom w:val="0"/>
          <w:divBdr>
            <w:top w:val="none" w:sz="0" w:space="0" w:color="auto"/>
            <w:left w:val="none" w:sz="0" w:space="0" w:color="auto"/>
            <w:bottom w:val="none" w:sz="0" w:space="0" w:color="auto"/>
            <w:right w:val="none" w:sz="0" w:space="0" w:color="auto"/>
          </w:divBdr>
          <w:divsChild>
            <w:div w:id="1836069393">
              <w:marLeft w:val="0"/>
              <w:marRight w:val="0"/>
              <w:marTop w:val="0"/>
              <w:marBottom w:val="0"/>
              <w:divBdr>
                <w:top w:val="none" w:sz="0" w:space="0" w:color="auto"/>
                <w:left w:val="none" w:sz="0" w:space="0" w:color="auto"/>
                <w:bottom w:val="none" w:sz="0" w:space="0" w:color="auto"/>
                <w:right w:val="none" w:sz="0" w:space="0" w:color="auto"/>
              </w:divBdr>
              <w:divsChild>
                <w:div w:id="11448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5233">
      <w:bodyDiv w:val="1"/>
      <w:marLeft w:val="0"/>
      <w:marRight w:val="0"/>
      <w:marTop w:val="0"/>
      <w:marBottom w:val="0"/>
      <w:divBdr>
        <w:top w:val="none" w:sz="0" w:space="0" w:color="auto"/>
        <w:left w:val="none" w:sz="0" w:space="0" w:color="auto"/>
        <w:bottom w:val="none" w:sz="0" w:space="0" w:color="auto"/>
        <w:right w:val="none" w:sz="0" w:space="0" w:color="auto"/>
      </w:divBdr>
    </w:div>
    <w:div w:id="574508210">
      <w:bodyDiv w:val="1"/>
      <w:marLeft w:val="0"/>
      <w:marRight w:val="0"/>
      <w:marTop w:val="0"/>
      <w:marBottom w:val="0"/>
      <w:divBdr>
        <w:top w:val="none" w:sz="0" w:space="0" w:color="auto"/>
        <w:left w:val="none" w:sz="0" w:space="0" w:color="auto"/>
        <w:bottom w:val="none" w:sz="0" w:space="0" w:color="auto"/>
        <w:right w:val="none" w:sz="0" w:space="0" w:color="auto"/>
      </w:divBdr>
      <w:divsChild>
        <w:div w:id="1083801246">
          <w:marLeft w:val="0"/>
          <w:marRight w:val="0"/>
          <w:marTop w:val="0"/>
          <w:marBottom w:val="0"/>
          <w:divBdr>
            <w:top w:val="none" w:sz="0" w:space="0" w:color="auto"/>
            <w:left w:val="none" w:sz="0" w:space="0" w:color="auto"/>
            <w:bottom w:val="none" w:sz="0" w:space="0" w:color="auto"/>
            <w:right w:val="none" w:sz="0" w:space="0" w:color="auto"/>
          </w:divBdr>
          <w:divsChild>
            <w:div w:id="1728795021">
              <w:marLeft w:val="0"/>
              <w:marRight w:val="0"/>
              <w:marTop w:val="0"/>
              <w:marBottom w:val="0"/>
              <w:divBdr>
                <w:top w:val="none" w:sz="0" w:space="0" w:color="auto"/>
                <w:left w:val="none" w:sz="0" w:space="0" w:color="auto"/>
                <w:bottom w:val="none" w:sz="0" w:space="0" w:color="auto"/>
                <w:right w:val="none" w:sz="0" w:space="0" w:color="auto"/>
              </w:divBdr>
              <w:divsChild>
                <w:div w:id="16189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43581153">
      <w:bodyDiv w:val="1"/>
      <w:marLeft w:val="0"/>
      <w:marRight w:val="0"/>
      <w:marTop w:val="0"/>
      <w:marBottom w:val="0"/>
      <w:divBdr>
        <w:top w:val="none" w:sz="0" w:space="0" w:color="auto"/>
        <w:left w:val="none" w:sz="0" w:space="0" w:color="auto"/>
        <w:bottom w:val="none" w:sz="0" w:space="0" w:color="auto"/>
        <w:right w:val="none" w:sz="0" w:space="0" w:color="auto"/>
      </w:divBdr>
    </w:div>
    <w:div w:id="724377404">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01731696">
      <w:bodyDiv w:val="1"/>
      <w:marLeft w:val="0"/>
      <w:marRight w:val="0"/>
      <w:marTop w:val="0"/>
      <w:marBottom w:val="0"/>
      <w:divBdr>
        <w:top w:val="none" w:sz="0" w:space="0" w:color="auto"/>
        <w:left w:val="none" w:sz="0" w:space="0" w:color="auto"/>
        <w:bottom w:val="none" w:sz="0" w:space="0" w:color="auto"/>
        <w:right w:val="none" w:sz="0" w:space="0" w:color="auto"/>
      </w:divBdr>
      <w:divsChild>
        <w:div w:id="1081222805">
          <w:marLeft w:val="0"/>
          <w:marRight w:val="0"/>
          <w:marTop w:val="0"/>
          <w:marBottom w:val="0"/>
          <w:divBdr>
            <w:top w:val="none" w:sz="0" w:space="0" w:color="auto"/>
            <w:left w:val="none" w:sz="0" w:space="0" w:color="auto"/>
            <w:bottom w:val="none" w:sz="0" w:space="0" w:color="auto"/>
            <w:right w:val="none" w:sz="0" w:space="0" w:color="auto"/>
          </w:divBdr>
          <w:divsChild>
            <w:div w:id="822427534">
              <w:marLeft w:val="0"/>
              <w:marRight w:val="0"/>
              <w:marTop w:val="0"/>
              <w:marBottom w:val="0"/>
              <w:divBdr>
                <w:top w:val="none" w:sz="0" w:space="0" w:color="auto"/>
                <w:left w:val="none" w:sz="0" w:space="0" w:color="auto"/>
                <w:bottom w:val="none" w:sz="0" w:space="0" w:color="auto"/>
                <w:right w:val="none" w:sz="0" w:space="0" w:color="auto"/>
              </w:divBdr>
              <w:divsChild>
                <w:div w:id="1763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78981245">
      <w:bodyDiv w:val="1"/>
      <w:marLeft w:val="0"/>
      <w:marRight w:val="0"/>
      <w:marTop w:val="0"/>
      <w:marBottom w:val="0"/>
      <w:divBdr>
        <w:top w:val="none" w:sz="0" w:space="0" w:color="auto"/>
        <w:left w:val="none" w:sz="0" w:space="0" w:color="auto"/>
        <w:bottom w:val="none" w:sz="0" w:space="0" w:color="auto"/>
        <w:right w:val="none" w:sz="0" w:space="0" w:color="auto"/>
      </w:divBdr>
    </w:div>
    <w:div w:id="933900226">
      <w:bodyDiv w:val="1"/>
      <w:marLeft w:val="0"/>
      <w:marRight w:val="0"/>
      <w:marTop w:val="0"/>
      <w:marBottom w:val="0"/>
      <w:divBdr>
        <w:top w:val="none" w:sz="0" w:space="0" w:color="auto"/>
        <w:left w:val="none" w:sz="0" w:space="0" w:color="auto"/>
        <w:bottom w:val="none" w:sz="0" w:space="0" w:color="auto"/>
        <w:right w:val="none" w:sz="0" w:space="0" w:color="auto"/>
      </w:divBdr>
      <w:divsChild>
        <w:div w:id="1266419834">
          <w:marLeft w:val="0"/>
          <w:marRight w:val="0"/>
          <w:marTop w:val="0"/>
          <w:marBottom w:val="0"/>
          <w:divBdr>
            <w:top w:val="none" w:sz="0" w:space="0" w:color="auto"/>
            <w:left w:val="none" w:sz="0" w:space="0" w:color="auto"/>
            <w:bottom w:val="none" w:sz="0" w:space="0" w:color="auto"/>
            <w:right w:val="none" w:sz="0" w:space="0" w:color="auto"/>
          </w:divBdr>
          <w:divsChild>
            <w:div w:id="1985163356">
              <w:marLeft w:val="0"/>
              <w:marRight w:val="0"/>
              <w:marTop w:val="0"/>
              <w:marBottom w:val="0"/>
              <w:divBdr>
                <w:top w:val="none" w:sz="0" w:space="0" w:color="auto"/>
                <w:left w:val="none" w:sz="0" w:space="0" w:color="auto"/>
                <w:bottom w:val="none" w:sz="0" w:space="0" w:color="auto"/>
                <w:right w:val="none" w:sz="0" w:space="0" w:color="auto"/>
              </w:divBdr>
              <w:divsChild>
                <w:div w:id="8902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4330">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45439808">
      <w:bodyDiv w:val="1"/>
      <w:marLeft w:val="0"/>
      <w:marRight w:val="0"/>
      <w:marTop w:val="0"/>
      <w:marBottom w:val="0"/>
      <w:divBdr>
        <w:top w:val="none" w:sz="0" w:space="0" w:color="auto"/>
        <w:left w:val="none" w:sz="0" w:space="0" w:color="auto"/>
        <w:bottom w:val="none" w:sz="0" w:space="0" w:color="auto"/>
        <w:right w:val="none" w:sz="0" w:space="0" w:color="auto"/>
      </w:divBdr>
      <w:divsChild>
        <w:div w:id="1300916036">
          <w:marLeft w:val="0"/>
          <w:marRight w:val="0"/>
          <w:marTop w:val="0"/>
          <w:marBottom w:val="0"/>
          <w:divBdr>
            <w:top w:val="none" w:sz="0" w:space="0" w:color="auto"/>
            <w:left w:val="none" w:sz="0" w:space="0" w:color="auto"/>
            <w:bottom w:val="none" w:sz="0" w:space="0" w:color="auto"/>
            <w:right w:val="none" w:sz="0" w:space="0" w:color="auto"/>
          </w:divBdr>
          <w:divsChild>
            <w:div w:id="2061441328">
              <w:marLeft w:val="0"/>
              <w:marRight w:val="0"/>
              <w:marTop w:val="0"/>
              <w:marBottom w:val="0"/>
              <w:divBdr>
                <w:top w:val="none" w:sz="0" w:space="0" w:color="auto"/>
                <w:left w:val="none" w:sz="0" w:space="0" w:color="auto"/>
                <w:bottom w:val="none" w:sz="0" w:space="0" w:color="auto"/>
                <w:right w:val="none" w:sz="0" w:space="0" w:color="auto"/>
              </w:divBdr>
              <w:divsChild>
                <w:div w:id="19229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07536">
      <w:bodyDiv w:val="1"/>
      <w:marLeft w:val="0"/>
      <w:marRight w:val="0"/>
      <w:marTop w:val="0"/>
      <w:marBottom w:val="0"/>
      <w:divBdr>
        <w:top w:val="none" w:sz="0" w:space="0" w:color="auto"/>
        <w:left w:val="none" w:sz="0" w:space="0" w:color="auto"/>
        <w:bottom w:val="none" w:sz="0" w:space="0" w:color="auto"/>
        <w:right w:val="none" w:sz="0" w:space="0" w:color="auto"/>
      </w:divBdr>
      <w:divsChild>
        <w:div w:id="1368146140">
          <w:marLeft w:val="0"/>
          <w:marRight w:val="0"/>
          <w:marTop w:val="0"/>
          <w:marBottom w:val="0"/>
          <w:divBdr>
            <w:top w:val="none" w:sz="0" w:space="0" w:color="auto"/>
            <w:left w:val="none" w:sz="0" w:space="0" w:color="auto"/>
            <w:bottom w:val="none" w:sz="0" w:space="0" w:color="auto"/>
            <w:right w:val="none" w:sz="0" w:space="0" w:color="auto"/>
          </w:divBdr>
          <w:divsChild>
            <w:div w:id="1503356390">
              <w:marLeft w:val="0"/>
              <w:marRight w:val="0"/>
              <w:marTop w:val="0"/>
              <w:marBottom w:val="0"/>
              <w:divBdr>
                <w:top w:val="none" w:sz="0" w:space="0" w:color="auto"/>
                <w:left w:val="none" w:sz="0" w:space="0" w:color="auto"/>
                <w:bottom w:val="none" w:sz="0" w:space="0" w:color="auto"/>
                <w:right w:val="none" w:sz="0" w:space="0" w:color="auto"/>
              </w:divBdr>
              <w:divsChild>
                <w:div w:id="7067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08462">
      <w:bodyDiv w:val="1"/>
      <w:marLeft w:val="0"/>
      <w:marRight w:val="0"/>
      <w:marTop w:val="0"/>
      <w:marBottom w:val="0"/>
      <w:divBdr>
        <w:top w:val="none" w:sz="0" w:space="0" w:color="auto"/>
        <w:left w:val="none" w:sz="0" w:space="0" w:color="auto"/>
        <w:bottom w:val="none" w:sz="0" w:space="0" w:color="auto"/>
        <w:right w:val="none" w:sz="0" w:space="0" w:color="auto"/>
      </w:divBdr>
      <w:divsChild>
        <w:div w:id="560678458">
          <w:marLeft w:val="0"/>
          <w:marRight w:val="0"/>
          <w:marTop w:val="0"/>
          <w:marBottom w:val="0"/>
          <w:divBdr>
            <w:top w:val="none" w:sz="0" w:space="0" w:color="auto"/>
            <w:left w:val="none" w:sz="0" w:space="0" w:color="auto"/>
            <w:bottom w:val="none" w:sz="0" w:space="0" w:color="auto"/>
            <w:right w:val="none" w:sz="0" w:space="0" w:color="auto"/>
          </w:divBdr>
          <w:divsChild>
            <w:div w:id="781415850">
              <w:marLeft w:val="0"/>
              <w:marRight w:val="0"/>
              <w:marTop w:val="0"/>
              <w:marBottom w:val="0"/>
              <w:divBdr>
                <w:top w:val="none" w:sz="0" w:space="0" w:color="auto"/>
                <w:left w:val="none" w:sz="0" w:space="0" w:color="auto"/>
                <w:bottom w:val="none" w:sz="0" w:space="0" w:color="auto"/>
                <w:right w:val="none" w:sz="0" w:space="0" w:color="auto"/>
              </w:divBdr>
              <w:divsChild>
                <w:div w:id="18082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85118">
      <w:bodyDiv w:val="1"/>
      <w:marLeft w:val="0"/>
      <w:marRight w:val="0"/>
      <w:marTop w:val="0"/>
      <w:marBottom w:val="0"/>
      <w:divBdr>
        <w:top w:val="none" w:sz="0" w:space="0" w:color="auto"/>
        <w:left w:val="none" w:sz="0" w:space="0" w:color="auto"/>
        <w:bottom w:val="none" w:sz="0" w:space="0" w:color="auto"/>
        <w:right w:val="none" w:sz="0" w:space="0" w:color="auto"/>
      </w:divBdr>
      <w:divsChild>
        <w:div w:id="2006131806">
          <w:marLeft w:val="0"/>
          <w:marRight w:val="0"/>
          <w:marTop w:val="0"/>
          <w:marBottom w:val="0"/>
          <w:divBdr>
            <w:top w:val="none" w:sz="0" w:space="0" w:color="auto"/>
            <w:left w:val="none" w:sz="0" w:space="0" w:color="auto"/>
            <w:bottom w:val="none" w:sz="0" w:space="0" w:color="auto"/>
            <w:right w:val="none" w:sz="0" w:space="0" w:color="auto"/>
          </w:divBdr>
          <w:divsChild>
            <w:div w:id="1189877688">
              <w:marLeft w:val="0"/>
              <w:marRight w:val="0"/>
              <w:marTop w:val="0"/>
              <w:marBottom w:val="0"/>
              <w:divBdr>
                <w:top w:val="none" w:sz="0" w:space="0" w:color="auto"/>
                <w:left w:val="none" w:sz="0" w:space="0" w:color="auto"/>
                <w:bottom w:val="none" w:sz="0" w:space="0" w:color="auto"/>
                <w:right w:val="none" w:sz="0" w:space="0" w:color="auto"/>
              </w:divBdr>
              <w:divsChild>
                <w:div w:id="16415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10597448">
      <w:bodyDiv w:val="1"/>
      <w:marLeft w:val="0"/>
      <w:marRight w:val="0"/>
      <w:marTop w:val="0"/>
      <w:marBottom w:val="0"/>
      <w:divBdr>
        <w:top w:val="none" w:sz="0" w:space="0" w:color="auto"/>
        <w:left w:val="none" w:sz="0" w:space="0" w:color="auto"/>
        <w:bottom w:val="none" w:sz="0" w:space="0" w:color="auto"/>
        <w:right w:val="none" w:sz="0" w:space="0" w:color="auto"/>
      </w:divBdr>
      <w:divsChild>
        <w:div w:id="1222250516">
          <w:marLeft w:val="0"/>
          <w:marRight w:val="0"/>
          <w:marTop w:val="0"/>
          <w:marBottom w:val="0"/>
          <w:divBdr>
            <w:top w:val="none" w:sz="0" w:space="0" w:color="auto"/>
            <w:left w:val="none" w:sz="0" w:space="0" w:color="auto"/>
            <w:bottom w:val="none" w:sz="0" w:space="0" w:color="auto"/>
            <w:right w:val="none" w:sz="0" w:space="0" w:color="auto"/>
          </w:divBdr>
          <w:divsChild>
            <w:div w:id="1190024854">
              <w:marLeft w:val="0"/>
              <w:marRight w:val="0"/>
              <w:marTop w:val="0"/>
              <w:marBottom w:val="0"/>
              <w:divBdr>
                <w:top w:val="none" w:sz="0" w:space="0" w:color="auto"/>
                <w:left w:val="none" w:sz="0" w:space="0" w:color="auto"/>
                <w:bottom w:val="none" w:sz="0" w:space="0" w:color="auto"/>
                <w:right w:val="none" w:sz="0" w:space="0" w:color="auto"/>
              </w:divBdr>
              <w:divsChild>
                <w:div w:id="6652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26875439">
      <w:bodyDiv w:val="1"/>
      <w:marLeft w:val="0"/>
      <w:marRight w:val="0"/>
      <w:marTop w:val="0"/>
      <w:marBottom w:val="0"/>
      <w:divBdr>
        <w:top w:val="none" w:sz="0" w:space="0" w:color="auto"/>
        <w:left w:val="none" w:sz="0" w:space="0" w:color="auto"/>
        <w:bottom w:val="none" w:sz="0" w:space="0" w:color="auto"/>
        <w:right w:val="none" w:sz="0" w:space="0" w:color="auto"/>
      </w:divBdr>
      <w:divsChild>
        <w:div w:id="117073809">
          <w:marLeft w:val="0"/>
          <w:marRight w:val="0"/>
          <w:marTop w:val="0"/>
          <w:marBottom w:val="0"/>
          <w:divBdr>
            <w:top w:val="none" w:sz="0" w:space="0" w:color="auto"/>
            <w:left w:val="none" w:sz="0" w:space="0" w:color="auto"/>
            <w:bottom w:val="none" w:sz="0" w:space="0" w:color="auto"/>
            <w:right w:val="none" w:sz="0" w:space="0" w:color="auto"/>
          </w:divBdr>
          <w:divsChild>
            <w:div w:id="845480617">
              <w:marLeft w:val="0"/>
              <w:marRight w:val="0"/>
              <w:marTop w:val="0"/>
              <w:marBottom w:val="0"/>
              <w:divBdr>
                <w:top w:val="none" w:sz="0" w:space="0" w:color="auto"/>
                <w:left w:val="none" w:sz="0" w:space="0" w:color="auto"/>
                <w:bottom w:val="none" w:sz="0" w:space="0" w:color="auto"/>
                <w:right w:val="none" w:sz="0" w:space="0" w:color="auto"/>
              </w:divBdr>
              <w:divsChild>
                <w:div w:id="19092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2325">
      <w:bodyDiv w:val="1"/>
      <w:marLeft w:val="0"/>
      <w:marRight w:val="0"/>
      <w:marTop w:val="0"/>
      <w:marBottom w:val="0"/>
      <w:divBdr>
        <w:top w:val="none" w:sz="0" w:space="0" w:color="auto"/>
        <w:left w:val="none" w:sz="0" w:space="0" w:color="auto"/>
        <w:bottom w:val="none" w:sz="0" w:space="0" w:color="auto"/>
        <w:right w:val="none" w:sz="0" w:space="0" w:color="auto"/>
      </w:divBdr>
    </w:div>
    <w:div w:id="1510438278">
      <w:bodyDiv w:val="1"/>
      <w:marLeft w:val="0"/>
      <w:marRight w:val="0"/>
      <w:marTop w:val="0"/>
      <w:marBottom w:val="0"/>
      <w:divBdr>
        <w:top w:val="none" w:sz="0" w:space="0" w:color="auto"/>
        <w:left w:val="none" w:sz="0" w:space="0" w:color="auto"/>
        <w:bottom w:val="none" w:sz="0" w:space="0" w:color="auto"/>
        <w:right w:val="none" w:sz="0" w:space="0" w:color="auto"/>
      </w:divBdr>
    </w:div>
    <w:div w:id="1630359315">
      <w:bodyDiv w:val="1"/>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0"/>
          <w:divBdr>
            <w:top w:val="none" w:sz="0" w:space="0" w:color="auto"/>
            <w:left w:val="none" w:sz="0" w:space="0" w:color="auto"/>
            <w:bottom w:val="none" w:sz="0" w:space="0" w:color="auto"/>
            <w:right w:val="none" w:sz="0" w:space="0" w:color="auto"/>
          </w:divBdr>
          <w:divsChild>
            <w:div w:id="72046187">
              <w:marLeft w:val="0"/>
              <w:marRight w:val="0"/>
              <w:marTop w:val="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9933">
      <w:bodyDiv w:val="1"/>
      <w:marLeft w:val="0"/>
      <w:marRight w:val="0"/>
      <w:marTop w:val="0"/>
      <w:marBottom w:val="0"/>
      <w:divBdr>
        <w:top w:val="none" w:sz="0" w:space="0" w:color="auto"/>
        <w:left w:val="none" w:sz="0" w:space="0" w:color="auto"/>
        <w:bottom w:val="none" w:sz="0" w:space="0" w:color="auto"/>
        <w:right w:val="none" w:sz="0" w:space="0" w:color="auto"/>
      </w:divBdr>
      <w:divsChild>
        <w:div w:id="283653276">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3260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04603">
      <w:bodyDiv w:val="1"/>
      <w:marLeft w:val="0"/>
      <w:marRight w:val="0"/>
      <w:marTop w:val="0"/>
      <w:marBottom w:val="0"/>
      <w:divBdr>
        <w:top w:val="none" w:sz="0" w:space="0" w:color="auto"/>
        <w:left w:val="none" w:sz="0" w:space="0" w:color="auto"/>
        <w:bottom w:val="none" w:sz="0" w:space="0" w:color="auto"/>
        <w:right w:val="none" w:sz="0" w:space="0" w:color="auto"/>
      </w:divBdr>
      <w:divsChild>
        <w:div w:id="2126381449">
          <w:marLeft w:val="0"/>
          <w:marRight w:val="0"/>
          <w:marTop w:val="0"/>
          <w:marBottom w:val="0"/>
          <w:divBdr>
            <w:top w:val="none" w:sz="0" w:space="0" w:color="auto"/>
            <w:left w:val="none" w:sz="0" w:space="0" w:color="auto"/>
            <w:bottom w:val="none" w:sz="0" w:space="0" w:color="auto"/>
            <w:right w:val="none" w:sz="0" w:space="0" w:color="auto"/>
          </w:divBdr>
          <w:divsChild>
            <w:div w:id="1236009657">
              <w:marLeft w:val="0"/>
              <w:marRight w:val="0"/>
              <w:marTop w:val="0"/>
              <w:marBottom w:val="0"/>
              <w:divBdr>
                <w:top w:val="none" w:sz="0" w:space="0" w:color="auto"/>
                <w:left w:val="none" w:sz="0" w:space="0" w:color="auto"/>
                <w:bottom w:val="none" w:sz="0" w:space="0" w:color="auto"/>
                <w:right w:val="none" w:sz="0" w:space="0" w:color="auto"/>
              </w:divBdr>
              <w:divsChild>
                <w:div w:id="10590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7232">
      <w:bodyDiv w:val="1"/>
      <w:marLeft w:val="0"/>
      <w:marRight w:val="0"/>
      <w:marTop w:val="0"/>
      <w:marBottom w:val="0"/>
      <w:divBdr>
        <w:top w:val="none" w:sz="0" w:space="0" w:color="auto"/>
        <w:left w:val="none" w:sz="0" w:space="0" w:color="auto"/>
        <w:bottom w:val="none" w:sz="0" w:space="0" w:color="auto"/>
        <w:right w:val="none" w:sz="0" w:space="0" w:color="auto"/>
      </w:divBdr>
      <w:divsChild>
        <w:div w:id="642003291">
          <w:marLeft w:val="0"/>
          <w:marRight w:val="0"/>
          <w:marTop w:val="0"/>
          <w:marBottom w:val="0"/>
          <w:divBdr>
            <w:top w:val="none" w:sz="0" w:space="0" w:color="auto"/>
            <w:left w:val="none" w:sz="0" w:space="0" w:color="auto"/>
            <w:bottom w:val="none" w:sz="0" w:space="0" w:color="auto"/>
            <w:right w:val="none" w:sz="0" w:space="0" w:color="auto"/>
          </w:divBdr>
          <w:divsChild>
            <w:div w:id="927540411">
              <w:marLeft w:val="0"/>
              <w:marRight w:val="0"/>
              <w:marTop w:val="0"/>
              <w:marBottom w:val="0"/>
              <w:divBdr>
                <w:top w:val="none" w:sz="0" w:space="0" w:color="auto"/>
                <w:left w:val="none" w:sz="0" w:space="0" w:color="auto"/>
                <w:bottom w:val="none" w:sz="0" w:space="0" w:color="auto"/>
                <w:right w:val="none" w:sz="0" w:space="0" w:color="auto"/>
              </w:divBdr>
              <w:divsChild>
                <w:div w:id="6744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tadatos@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217F40A-3DD7-489B-A9FC-64999D81D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61B7BC-6486-DA4E-8DD3-FC5C96E1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3780</Words>
  <Characters>20792</Characters>
  <Application>Microsoft Office Word</Application>
  <DocSecurity>0</DocSecurity>
  <Lines>173</Lines>
  <Paragraphs>49</Paragraphs>
  <ScaleCrop>false</ScaleCrop>
  <Company/>
  <LinksUpToDate>false</LinksUpToDate>
  <CharactersWithSpaces>24523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Gloria Ximena Moreno Guio</cp:lastModifiedBy>
  <cp:revision>18</cp:revision>
  <cp:lastPrinted>2023-01-10T21:18:00Z</cp:lastPrinted>
  <dcterms:created xsi:type="dcterms:W3CDTF">2024-09-03T20:44:00Z</dcterms:created>
  <dcterms:modified xsi:type="dcterms:W3CDTF">2024-09-11T21:38:00Z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