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279C9" w14:textId="551B7729" w:rsidR="002E2930" w:rsidRPr="0062136D" w:rsidRDefault="002E2930" w:rsidP="0062136D">
      <w:pPr>
        <w:tabs>
          <w:tab w:val="left" w:pos="426"/>
        </w:tabs>
        <w:spacing w:line="240" w:lineRule="auto"/>
        <w:jc w:val="both"/>
        <w:rPr>
          <w:rFonts w:ascii="Verdana" w:eastAsia="Calibri" w:hAnsi="Verdana" w:cs="Arial"/>
          <w:b/>
          <w:sz w:val="20"/>
          <w:szCs w:val="20"/>
          <w:lang w:eastAsia="es-ES_tradnl"/>
        </w:rPr>
      </w:pPr>
      <w:r w:rsidRPr="0062136D">
        <w:rPr>
          <w:rFonts w:ascii="Verdana" w:eastAsia="Calibri" w:hAnsi="Verdana" w:cs="Arial"/>
          <w:b/>
          <w:sz w:val="20"/>
          <w:szCs w:val="20"/>
          <w:lang w:eastAsia="es-ES_tradnl"/>
        </w:rPr>
        <w:t xml:space="preserve">CONVOCATORIAS LIMITADAS A MIPYMES – Generalidades </w:t>
      </w:r>
    </w:p>
    <w:p w14:paraId="1927DDAC" w14:textId="6866118F" w:rsidR="002E2930" w:rsidRPr="0062136D" w:rsidRDefault="002E2930" w:rsidP="0062136D">
      <w:pPr>
        <w:spacing w:line="240" w:lineRule="auto"/>
        <w:contextualSpacing/>
        <w:jc w:val="both"/>
        <w:rPr>
          <w:rFonts w:ascii="Verdana" w:eastAsia="Calibri" w:hAnsi="Verdana" w:cs="Arial"/>
          <w:b/>
          <w:color w:val="000000" w:themeColor="text1"/>
          <w:sz w:val="20"/>
          <w:szCs w:val="20"/>
          <w:lang w:val="es-ES" w:eastAsia="es-ES"/>
        </w:rPr>
      </w:pPr>
      <w:r w:rsidRPr="0062136D">
        <w:rPr>
          <w:rFonts w:ascii="Verdana" w:hAnsi="Verdana" w:cs="Arial"/>
          <w:bCs/>
          <w:sz w:val="20"/>
          <w:szCs w:val="20"/>
        </w:rPr>
        <w:t xml:space="preserve">la Ley 2069 de 2020 contiene normas que modifican algunos aspectos de la contratación estatal para promover el emprendimiento. Concretamente, aquellas se encuentran en el Capítulo III – artículos 30 al 36 </w:t>
      </w:r>
      <w:proofErr w:type="gramStart"/>
      <w:r w:rsidRPr="0062136D">
        <w:rPr>
          <w:rFonts w:ascii="Verdana" w:hAnsi="Verdana" w:cs="Arial"/>
          <w:bCs/>
          <w:sz w:val="20"/>
          <w:szCs w:val="20"/>
        </w:rPr>
        <w:t>– .</w:t>
      </w:r>
      <w:proofErr w:type="gramEnd"/>
      <w:r w:rsidRPr="0062136D">
        <w:rPr>
          <w:rFonts w:ascii="Verdana" w:hAnsi="Verdana" w:cs="Arial"/>
          <w:bCs/>
          <w:sz w:val="20"/>
          <w:szCs w:val="20"/>
        </w:rPr>
        <w:t xml:space="preserve"> En su orden, tales artículos consagran: i) reglas sobre la participación de las </w:t>
      </w:r>
      <w:proofErr w:type="spellStart"/>
      <w:r w:rsidRPr="0062136D">
        <w:rPr>
          <w:rFonts w:ascii="Verdana" w:hAnsi="Verdana" w:cs="Arial"/>
          <w:bCs/>
          <w:sz w:val="20"/>
          <w:szCs w:val="20"/>
        </w:rPr>
        <w:t>mipymes</w:t>
      </w:r>
      <w:proofErr w:type="spellEnd"/>
      <w:r w:rsidRPr="0062136D">
        <w:rPr>
          <w:rFonts w:ascii="Verdana" w:hAnsi="Verdana" w:cs="Arial"/>
          <w:bCs/>
          <w:sz w:val="20"/>
          <w:szCs w:val="20"/>
        </w:rPr>
        <w:t xml:space="preserve"> en el procedimiento de mínima cuantía, </w:t>
      </w:r>
      <w:proofErr w:type="spellStart"/>
      <w:r w:rsidRPr="0062136D">
        <w:rPr>
          <w:rFonts w:ascii="Verdana" w:hAnsi="Verdana" w:cs="Arial"/>
          <w:bCs/>
          <w:sz w:val="20"/>
          <w:szCs w:val="20"/>
        </w:rPr>
        <w:t>ii</w:t>
      </w:r>
      <w:proofErr w:type="spellEnd"/>
      <w:r w:rsidRPr="0062136D">
        <w:rPr>
          <w:rFonts w:ascii="Verdana" w:hAnsi="Verdana" w:cs="Arial"/>
          <w:bCs/>
          <w:sz w:val="20"/>
          <w:szCs w:val="20"/>
        </w:rPr>
        <w:t xml:space="preserve"> ) criterios diferenciales para </w:t>
      </w:r>
      <w:proofErr w:type="spellStart"/>
      <w:r w:rsidRPr="0062136D">
        <w:rPr>
          <w:rFonts w:ascii="Verdana" w:hAnsi="Verdana" w:cs="Arial"/>
          <w:bCs/>
          <w:sz w:val="20"/>
          <w:szCs w:val="20"/>
        </w:rPr>
        <w:t>mipymes</w:t>
      </w:r>
      <w:proofErr w:type="spellEnd"/>
      <w:r w:rsidRPr="0062136D">
        <w:rPr>
          <w:rFonts w:ascii="Verdana" w:hAnsi="Verdana" w:cs="Arial"/>
          <w:bCs/>
          <w:sz w:val="20"/>
          <w:szCs w:val="20"/>
        </w:rPr>
        <w:t xml:space="preserve"> en el sistema de compras públicas, </w:t>
      </w:r>
      <w:proofErr w:type="spellStart"/>
      <w:r w:rsidRPr="0062136D">
        <w:rPr>
          <w:rFonts w:ascii="Verdana" w:hAnsi="Verdana" w:cs="Arial"/>
          <w:bCs/>
          <w:sz w:val="20"/>
          <w:szCs w:val="20"/>
        </w:rPr>
        <w:t>iii</w:t>
      </w:r>
      <w:proofErr w:type="spellEnd"/>
      <w:r w:rsidRPr="0062136D">
        <w:rPr>
          <w:rFonts w:ascii="Verdana" w:hAnsi="Verdana" w:cs="Arial"/>
          <w:bCs/>
          <w:sz w:val="20"/>
          <w:szCs w:val="20"/>
        </w:rPr>
        <w:t xml:space="preserve"> ) criterios diferenciales para emprendimientos y empresas de mujeres en el sistema de compras públicas, </w:t>
      </w:r>
      <w:proofErr w:type="spellStart"/>
      <w:r w:rsidRPr="0062136D">
        <w:rPr>
          <w:rFonts w:ascii="Verdana" w:hAnsi="Verdana" w:cs="Arial"/>
          <w:bCs/>
          <w:sz w:val="20"/>
          <w:szCs w:val="20"/>
        </w:rPr>
        <w:t>iv</w:t>
      </w:r>
      <w:proofErr w:type="spellEnd"/>
      <w:r w:rsidRPr="0062136D">
        <w:rPr>
          <w:rFonts w:ascii="Verdana" w:hAnsi="Verdana" w:cs="Arial"/>
          <w:bCs/>
          <w:sz w:val="20"/>
          <w:szCs w:val="20"/>
        </w:rPr>
        <w:t xml:space="preserve"> ) promoción del acceso de las </w:t>
      </w:r>
      <w:proofErr w:type="spellStart"/>
      <w:r w:rsidRPr="0062136D">
        <w:rPr>
          <w:rFonts w:ascii="Verdana" w:hAnsi="Verdana" w:cs="Arial"/>
          <w:bCs/>
          <w:sz w:val="20"/>
          <w:szCs w:val="20"/>
        </w:rPr>
        <w:t>mipymes</w:t>
      </w:r>
      <w:proofErr w:type="spellEnd"/>
      <w:r w:rsidRPr="0062136D">
        <w:rPr>
          <w:rFonts w:ascii="Verdana" w:hAnsi="Verdana" w:cs="Arial"/>
          <w:bCs/>
          <w:sz w:val="20"/>
          <w:szCs w:val="20"/>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232AC4F9" w14:textId="77777777" w:rsidR="002E2930" w:rsidRPr="0062136D" w:rsidRDefault="002E2930" w:rsidP="0062136D">
      <w:pPr>
        <w:tabs>
          <w:tab w:val="left" w:pos="426"/>
        </w:tabs>
        <w:spacing w:line="240" w:lineRule="auto"/>
        <w:jc w:val="both"/>
        <w:rPr>
          <w:rFonts w:ascii="Verdana" w:eastAsia="Calibri" w:hAnsi="Verdana" w:cs="Arial"/>
          <w:b/>
          <w:bCs/>
          <w:color w:val="000000" w:themeColor="text1"/>
          <w:sz w:val="20"/>
          <w:szCs w:val="20"/>
          <w:lang w:val="es-ES" w:eastAsia="es-ES"/>
        </w:rPr>
      </w:pPr>
    </w:p>
    <w:p w14:paraId="0BB751E0" w14:textId="3F2FADC9" w:rsidR="003B7CCD" w:rsidRPr="0062136D" w:rsidRDefault="003B7CCD" w:rsidP="0062136D">
      <w:pPr>
        <w:tabs>
          <w:tab w:val="left" w:pos="426"/>
        </w:tabs>
        <w:spacing w:line="240" w:lineRule="auto"/>
        <w:jc w:val="both"/>
        <w:rPr>
          <w:rFonts w:ascii="Verdana" w:eastAsia="Calibri" w:hAnsi="Verdana" w:cs="Arial"/>
          <w:b/>
          <w:bCs/>
          <w:color w:val="000000" w:themeColor="text1"/>
          <w:sz w:val="20"/>
          <w:szCs w:val="20"/>
          <w:lang w:val="es-ES" w:eastAsia="es-ES"/>
        </w:rPr>
      </w:pPr>
      <w:r w:rsidRPr="0062136D">
        <w:rPr>
          <w:rFonts w:ascii="Verdana" w:eastAsia="Calibri" w:hAnsi="Verdana" w:cs="Arial"/>
          <w:b/>
          <w:bCs/>
          <w:color w:val="000000" w:themeColor="text1"/>
          <w:sz w:val="20"/>
          <w:szCs w:val="20"/>
          <w:lang w:val="es-ES" w:eastAsia="es-ES"/>
        </w:rPr>
        <w:t xml:space="preserve">CONVOCATORIAS LIMITADAS A MIPYMES – </w:t>
      </w:r>
      <w:r w:rsidR="00E60845" w:rsidRPr="0062136D">
        <w:rPr>
          <w:rFonts w:ascii="Verdana" w:eastAsia="Calibri" w:hAnsi="Verdana" w:cs="Arial"/>
          <w:b/>
          <w:bCs/>
          <w:color w:val="000000" w:themeColor="text1"/>
          <w:sz w:val="20"/>
          <w:szCs w:val="20"/>
          <w:lang w:val="es-ES" w:eastAsia="es-ES"/>
        </w:rPr>
        <w:t>requisitos</w:t>
      </w:r>
      <w:r w:rsidRPr="0062136D">
        <w:rPr>
          <w:rFonts w:ascii="Verdana" w:eastAsia="Calibri" w:hAnsi="Verdana" w:cs="Arial"/>
          <w:b/>
          <w:bCs/>
          <w:color w:val="000000" w:themeColor="text1"/>
          <w:sz w:val="20"/>
          <w:szCs w:val="20"/>
          <w:lang w:val="es-ES" w:eastAsia="es-ES"/>
        </w:rPr>
        <w:t xml:space="preserve"> – Relevancia de</w:t>
      </w:r>
      <w:r w:rsidR="00E60845" w:rsidRPr="0062136D">
        <w:rPr>
          <w:rFonts w:ascii="Verdana" w:eastAsia="Calibri" w:hAnsi="Verdana" w:cs="Arial"/>
          <w:b/>
          <w:bCs/>
          <w:color w:val="000000" w:themeColor="text1"/>
          <w:sz w:val="20"/>
          <w:szCs w:val="20"/>
          <w:lang w:val="es-ES" w:eastAsia="es-ES"/>
        </w:rPr>
        <w:t xml:space="preserve"> la cuantía del proceso</w:t>
      </w:r>
    </w:p>
    <w:p w14:paraId="228CB534" w14:textId="77777777" w:rsidR="00E60845" w:rsidRPr="0062136D" w:rsidRDefault="00E60845" w:rsidP="0062136D">
      <w:pPr>
        <w:spacing w:line="240" w:lineRule="auto"/>
        <w:contextualSpacing/>
        <w:jc w:val="both"/>
        <w:rPr>
          <w:rFonts w:ascii="Verdana" w:eastAsia="Century Gothic" w:hAnsi="Verdana" w:cs="Century Gothic"/>
          <w:sz w:val="20"/>
          <w:szCs w:val="20"/>
        </w:rPr>
      </w:pPr>
      <w:r w:rsidRPr="0062136D">
        <w:rPr>
          <w:rFonts w:ascii="Verdana" w:eastAsia="Century Gothic" w:hAnsi="Verdana" w:cs="Century Gothic"/>
          <w:sz w:val="20"/>
          <w:szCs w:val="20"/>
        </w:rPr>
        <w:t>Ahora bien, aunque hay contratos de cuantía indeterminada debido a la complejidad de la prestación a través de los años y modalidad, no quiere decir dicha prestación no tengan un valor económico; en ese caso, la entidad estatal realiza un análisis financiero prospectivo o proyectado a los años del plazo para establecer el valor proyectado, por lo que no será un proceso sin cuantía. Contrario sensu, existen otros procedimientos contractuales que son sin compromiso presupuestal por lo que no tienen disponibilidad ni registro, no es de su naturaleza disponer de dichos recursos o aportes para su trámite o perfeccionamiento, como es el caso de los memorandos de entendimientos o los convenios marcos cuyo objeto es aunar esfuerzos conjuntos misionales a temas varios, los cuales pueden ser sujetos de contratos derivados y específicos y en estos si va inmersa los aportes o disponibilidades presupuestales, y serán estos los que si tengan cuantía.</w:t>
      </w:r>
    </w:p>
    <w:p w14:paraId="0B104DE8" w14:textId="77777777" w:rsidR="00E60845" w:rsidRPr="0062136D" w:rsidRDefault="00E60845" w:rsidP="0062136D">
      <w:pPr>
        <w:spacing w:line="240" w:lineRule="auto"/>
        <w:contextualSpacing/>
        <w:jc w:val="both"/>
        <w:rPr>
          <w:rFonts w:ascii="Verdana" w:eastAsia="Century Gothic" w:hAnsi="Verdana" w:cs="Century Gothic"/>
          <w:sz w:val="20"/>
          <w:szCs w:val="20"/>
        </w:rPr>
      </w:pPr>
    </w:p>
    <w:p w14:paraId="06BB955B" w14:textId="0B8971BC" w:rsidR="00E60845" w:rsidRPr="0062136D" w:rsidRDefault="00E60845" w:rsidP="0062136D">
      <w:pPr>
        <w:spacing w:line="240" w:lineRule="auto"/>
        <w:contextualSpacing/>
        <w:jc w:val="both"/>
        <w:rPr>
          <w:rFonts w:ascii="Verdana" w:eastAsia="Calibri" w:hAnsi="Verdana" w:cs="Arial"/>
          <w:b/>
          <w:bCs/>
          <w:color w:val="000000" w:themeColor="text1"/>
          <w:sz w:val="20"/>
          <w:szCs w:val="20"/>
          <w:lang w:val="es-ES" w:eastAsia="es-ES"/>
        </w:rPr>
      </w:pPr>
      <w:r w:rsidRPr="0062136D">
        <w:rPr>
          <w:rFonts w:ascii="Verdana" w:eastAsia="Century Gothic" w:hAnsi="Verdana" w:cs="Century Gothic"/>
          <w:sz w:val="20"/>
          <w:szCs w:val="20"/>
        </w:rPr>
        <w:t xml:space="preserve"> Finalmente, la decisión de limitar o no una convocatoria a </w:t>
      </w:r>
      <w:proofErr w:type="spellStart"/>
      <w:r w:rsidRPr="0062136D">
        <w:rPr>
          <w:rFonts w:ascii="Verdana" w:eastAsia="Century Gothic" w:hAnsi="Verdana" w:cs="Century Gothic"/>
          <w:sz w:val="20"/>
          <w:szCs w:val="20"/>
        </w:rPr>
        <w:t>Mipymes</w:t>
      </w:r>
      <w:proofErr w:type="spellEnd"/>
      <w:r w:rsidRPr="0062136D">
        <w:rPr>
          <w:rFonts w:ascii="Verdana" w:eastAsia="Century Gothic" w:hAnsi="Verdana" w:cs="Century Gothic"/>
          <w:sz w:val="20"/>
          <w:szCs w:val="20"/>
        </w:rPr>
        <w:t xml:space="preserve"> es una facultad discrecional, de manera que la entidad contratante valorará si es oportuno y conveniente adoptarla teniendo en cuenta no desbordar o exceder lo preceptuado en el artículo 2.2.1.2.4.2.2 del Decreto 1082 del 2015. No obstante,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w:t>
      </w:r>
    </w:p>
    <w:p w14:paraId="387A99BC" w14:textId="12CCAAD0" w:rsidR="004A0DB3" w:rsidRPr="00C83521" w:rsidRDefault="004A0DB3" w:rsidP="003B7CCD">
      <w:pPr>
        <w:spacing w:after="120"/>
        <w:contextualSpacing/>
        <w:jc w:val="both"/>
        <w:rPr>
          <w:rFonts w:ascii="Verdana" w:eastAsia="Geomanist Light" w:hAnsi="Verdana" w:cs="Arial"/>
          <w:color w:val="000000" w:themeColor="text1"/>
        </w:rPr>
      </w:pPr>
    </w:p>
    <w:p w14:paraId="4E3267A2" w14:textId="77777777" w:rsidR="00C83521" w:rsidRDefault="00C83521" w:rsidP="004A0DB3">
      <w:pPr>
        <w:spacing w:after="0" w:line="240" w:lineRule="auto"/>
        <w:rPr>
          <w:rFonts w:ascii="Verdana" w:eastAsia="Geomanist Light" w:hAnsi="Verdana" w:cs="Arial"/>
          <w:color w:val="000000" w:themeColor="text1"/>
          <w:lang w:val="es-MX"/>
        </w:rPr>
      </w:pPr>
    </w:p>
    <w:p w14:paraId="62712213" w14:textId="77777777" w:rsidR="00C83521" w:rsidRDefault="00C83521" w:rsidP="004A0DB3">
      <w:pPr>
        <w:spacing w:after="0" w:line="240" w:lineRule="auto"/>
        <w:rPr>
          <w:rFonts w:ascii="Verdana" w:eastAsia="Geomanist Light" w:hAnsi="Verdana" w:cs="Arial"/>
          <w:color w:val="000000" w:themeColor="text1"/>
          <w:lang w:val="es-MX"/>
        </w:rPr>
      </w:pPr>
    </w:p>
    <w:p w14:paraId="03CBD9E8" w14:textId="77777777" w:rsidR="00E60845" w:rsidRDefault="00E60845" w:rsidP="004A0DB3">
      <w:pPr>
        <w:spacing w:after="0" w:line="240" w:lineRule="auto"/>
        <w:rPr>
          <w:rFonts w:ascii="Verdana" w:eastAsia="Geomanist Light" w:hAnsi="Verdana" w:cs="Arial"/>
          <w:color w:val="000000" w:themeColor="text1"/>
          <w:lang w:val="es-MX"/>
        </w:rPr>
      </w:pPr>
    </w:p>
    <w:p w14:paraId="22BDF649" w14:textId="77777777" w:rsidR="00E60845" w:rsidRDefault="00E60845" w:rsidP="004A0DB3">
      <w:pPr>
        <w:spacing w:after="0" w:line="240" w:lineRule="auto"/>
        <w:rPr>
          <w:rFonts w:ascii="Verdana" w:eastAsia="Geomanist Light" w:hAnsi="Verdana" w:cs="Arial"/>
          <w:color w:val="000000" w:themeColor="text1"/>
          <w:lang w:val="es-MX"/>
        </w:rPr>
      </w:pPr>
    </w:p>
    <w:p w14:paraId="58E39A43" w14:textId="77777777" w:rsidR="00E60845" w:rsidRDefault="00E60845" w:rsidP="004A0DB3">
      <w:pPr>
        <w:spacing w:after="0" w:line="240" w:lineRule="auto"/>
        <w:rPr>
          <w:rFonts w:ascii="Verdana" w:eastAsia="Geomanist Light" w:hAnsi="Verdana" w:cs="Arial"/>
          <w:color w:val="000000" w:themeColor="text1"/>
          <w:lang w:val="es-MX"/>
        </w:rPr>
      </w:pPr>
    </w:p>
    <w:p w14:paraId="778B33A3" w14:textId="77777777" w:rsidR="00E60845" w:rsidRDefault="00E60845" w:rsidP="004A0DB3">
      <w:pPr>
        <w:spacing w:after="0" w:line="240" w:lineRule="auto"/>
        <w:rPr>
          <w:rFonts w:ascii="Verdana" w:eastAsia="Geomanist Light" w:hAnsi="Verdana" w:cs="Arial"/>
          <w:color w:val="000000" w:themeColor="text1"/>
          <w:lang w:val="es-MX"/>
        </w:rPr>
      </w:pPr>
    </w:p>
    <w:p w14:paraId="52689E48" w14:textId="21386D44" w:rsidR="004A0DB3" w:rsidRPr="00AA1286" w:rsidRDefault="004A0DB3" w:rsidP="004A0DB3">
      <w:pPr>
        <w:spacing w:after="0" w:line="240" w:lineRule="auto"/>
        <w:rPr>
          <w:rFonts w:ascii="Verdana" w:eastAsia="Geomanist Light" w:hAnsi="Verdana" w:cs="Arial"/>
          <w:color w:val="000000" w:themeColor="text1"/>
          <w:lang w:val="es-MX"/>
        </w:rPr>
      </w:pPr>
      <w:r>
        <w:rPr>
          <w:rFonts w:ascii="Verdana" w:eastAsia="Geomanist Light" w:hAnsi="Verdana" w:cs="Arial"/>
          <w:color w:val="000000" w:themeColor="text1"/>
          <w:lang w:val="es-MX"/>
        </w:rPr>
        <w:lastRenderedPageBreak/>
        <w:t>B</w:t>
      </w:r>
      <w:r w:rsidRPr="00593A5F">
        <w:rPr>
          <w:rFonts w:ascii="Verdana" w:eastAsia="Geomanist Light" w:hAnsi="Verdana" w:cs="Arial"/>
          <w:color w:val="000000" w:themeColor="text1"/>
          <w:lang w:val="es-MX"/>
        </w:rPr>
        <w:t>ogotá D.C., </w:t>
      </w:r>
      <w:r w:rsidR="0062136D">
        <w:rPr>
          <w:rFonts w:ascii="Verdana" w:eastAsia="Geomanist Light" w:hAnsi="Verdana" w:cs="Arial"/>
          <w:color w:val="201F1E"/>
          <w:lang w:val="es-MX"/>
        </w:rPr>
        <w:t>04</w:t>
      </w:r>
      <w:r w:rsidRPr="00593A5F">
        <w:rPr>
          <w:rFonts w:ascii="Verdana" w:eastAsia="Geomanist Light" w:hAnsi="Verdana" w:cs="Arial"/>
          <w:color w:val="201F1E"/>
          <w:lang w:val="es-MX"/>
        </w:rPr>
        <w:t xml:space="preserve"> de</w:t>
      </w:r>
      <w:r w:rsidR="0062136D">
        <w:rPr>
          <w:rFonts w:ascii="Verdana" w:eastAsia="Geomanist Light" w:hAnsi="Verdana" w:cs="Arial"/>
          <w:color w:val="201F1E"/>
          <w:lang w:val="es-MX"/>
        </w:rPr>
        <w:t xml:space="preserve"> septiembre</w:t>
      </w:r>
      <w:r w:rsidRPr="00593A5F">
        <w:rPr>
          <w:rFonts w:ascii="Verdana" w:eastAsia="Geomanist Light" w:hAnsi="Verdana" w:cs="Arial"/>
          <w:color w:val="201F1E"/>
          <w:lang w:val="es-MX"/>
        </w:rPr>
        <w:t xml:space="preserve"> de </w:t>
      </w:r>
      <w:r w:rsidR="0062136D">
        <w:rPr>
          <w:rFonts w:ascii="Verdana" w:eastAsia="Geomanist Light" w:hAnsi="Verdana" w:cs="Arial"/>
          <w:color w:val="201F1E"/>
          <w:lang w:val="es-MX"/>
        </w:rPr>
        <w:t>2024</w:t>
      </w:r>
    </w:p>
    <w:p w14:paraId="128D19F5" w14:textId="77777777" w:rsidR="004A0DB3" w:rsidRPr="00593A5F" w:rsidRDefault="004A0DB3" w:rsidP="004A0DB3">
      <w:pPr>
        <w:spacing w:after="0" w:line="240" w:lineRule="auto"/>
        <w:jc w:val="both"/>
        <w:rPr>
          <w:rFonts w:ascii="Verdana" w:eastAsia="Calibri" w:hAnsi="Verdana" w:cs="Arial"/>
          <w:color w:val="000000"/>
          <w:lang w:val="es-ES"/>
        </w:rPr>
      </w:pPr>
    </w:p>
    <w:p w14:paraId="648076D4" w14:textId="5206E030" w:rsidR="0062136D" w:rsidRDefault="0062136D" w:rsidP="0062136D">
      <w:pPr>
        <w:spacing w:after="0" w:line="240" w:lineRule="auto"/>
        <w:ind w:right="-943"/>
        <w:jc w:val="right"/>
        <w:rPr>
          <w:rFonts w:ascii="Verdana" w:eastAsia="Calibri" w:hAnsi="Verdana" w:cs="Arial"/>
          <w:lang w:val="es-ES" w:eastAsia="es-ES"/>
        </w:rPr>
      </w:pPr>
      <w:r w:rsidRPr="0062136D">
        <w:rPr>
          <w:rFonts w:ascii="Verdana" w:eastAsia="Calibri" w:hAnsi="Verdana" w:cs="Arial"/>
          <w:noProof/>
          <w:lang w:val="es-ES" w:eastAsia="es-ES"/>
        </w:rPr>
        <w:drawing>
          <wp:inline distT="0" distB="0" distL="0" distR="0" wp14:anchorId="6CD3837A" wp14:editId="0967CAB2">
            <wp:extent cx="3343742" cy="952633"/>
            <wp:effectExtent l="0" t="0" r="9525" b="0"/>
            <wp:docPr id="9305439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43942" name=""/>
                    <pic:cNvPicPr/>
                  </pic:nvPicPr>
                  <pic:blipFill>
                    <a:blip r:embed="rId11"/>
                    <a:stretch>
                      <a:fillRect/>
                    </a:stretch>
                  </pic:blipFill>
                  <pic:spPr>
                    <a:xfrm>
                      <a:off x="0" y="0"/>
                      <a:ext cx="3343742" cy="952633"/>
                    </a:xfrm>
                    <a:prstGeom prst="rect">
                      <a:avLst/>
                    </a:prstGeom>
                  </pic:spPr>
                </pic:pic>
              </a:graphicData>
            </a:graphic>
          </wp:inline>
        </w:drawing>
      </w:r>
    </w:p>
    <w:p w14:paraId="65B49980" w14:textId="77777777" w:rsidR="0062136D" w:rsidRDefault="0062136D" w:rsidP="004A0DB3">
      <w:pPr>
        <w:spacing w:after="0" w:line="240" w:lineRule="auto"/>
        <w:jc w:val="both"/>
        <w:rPr>
          <w:rFonts w:ascii="Verdana" w:eastAsia="Calibri" w:hAnsi="Verdana" w:cs="Arial"/>
          <w:lang w:val="es-ES" w:eastAsia="es-ES"/>
        </w:rPr>
      </w:pPr>
    </w:p>
    <w:p w14:paraId="4A2991C3" w14:textId="2F5B8972" w:rsidR="004A0DB3" w:rsidRPr="00B96799" w:rsidRDefault="004A0DB3" w:rsidP="004A0DB3">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37C9C3CD" w14:textId="77777777" w:rsidR="004A0DB3" w:rsidRDefault="004A0DB3" w:rsidP="004A0DB3">
      <w:pPr>
        <w:spacing w:after="0" w:line="240" w:lineRule="auto"/>
        <w:rPr>
          <w:rFonts w:ascii="Verdana" w:eastAsia="Calibri" w:hAnsi="Verdana" w:cs="Arial"/>
          <w:b/>
          <w:bCs/>
          <w:lang w:eastAsia="es-ES_tradnl"/>
        </w:rPr>
      </w:pPr>
      <w:r w:rsidRPr="007B10DC">
        <w:rPr>
          <w:rFonts w:ascii="Verdana" w:eastAsia="Calibri" w:hAnsi="Verdana" w:cs="Arial"/>
          <w:b/>
          <w:bCs/>
          <w:lang w:eastAsia="es-ES_tradnl"/>
        </w:rPr>
        <w:t>OSCAR RICARDO RAMOS PARDO</w:t>
      </w:r>
    </w:p>
    <w:p w14:paraId="526960C5" w14:textId="77777777" w:rsidR="004A0DB3" w:rsidRPr="007B10DC" w:rsidRDefault="002A7BC9" w:rsidP="004A0DB3">
      <w:pPr>
        <w:spacing w:after="0" w:line="240" w:lineRule="auto"/>
        <w:rPr>
          <w:rFonts w:ascii="Verdana" w:hAnsi="Verdana"/>
        </w:rPr>
      </w:pPr>
      <w:hyperlink r:id="rId12" w:history="1">
        <w:r w:rsidR="004A0DB3" w:rsidRPr="007B10DC">
          <w:rPr>
            <w:rStyle w:val="Hipervnculo"/>
            <w:rFonts w:ascii="Verdana" w:hAnsi="Verdana"/>
          </w:rPr>
          <w:t>oscaramosp@hotmail.com</w:t>
        </w:r>
      </w:hyperlink>
      <w:r w:rsidR="004A0DB3">
        <w:rPr>
          <w:rFonts w:ascii="Verdana" w:hAnsi="Verdana"/>
        </w:rPr>
        <w:t xml:space="preserve">; </w:t>
      </w:r>
    </w:p>
    <w:p w14:paraId="2FB2427B" w14:textId="77777777" w:rsidR="004A0DB3" w:rsidRPr="00593A5F" w:rsidRDefault="004A0DB3" w:rsidP="004A0DB3">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Bogotá D.C.</w:t>
      </w:r>
    </w:p>
    <w:p w14:paraId="64AD2526" w14:textId="77777777" w:rsidR="004A0DB3" w:rsidRPr="00593A5F" w:rsidRDefault="004A0DB3" w:rsidP="004A0DB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A0DB3" w:rsidRPr="00593A5F" w14:paraId="391F68BC" w14:textId="77777777" w:rsidTr="00D648AD">
        <w:trPr>
          <w:trHeight w:val="884"/>
        </w:trPr>
        <w:tc>
          <w:tcPr>
            <w:tcW w:w="2689" w:type="dxa"/>
          </w:tcPr>
          <w:p w14:paraId="6177130C" w14:textId="77777777" w:rsidR="004A0DB3" w:rsidRPr="00D46ED3" w:rsidRDefault="004A0DB3" w:rsidP="00D648AD">
            <w:pPr>
              <w:jc w:val="both"/>
              <w:rPr>
                <w:rFonts w:ascii="Verdana" w:eastAsia="Calibri" w:hAnsi="Verdana" w:cs="Arial"/>
                <w:b/>
                <w:bCs/>
                <w:color w:val="7030A0"/>
                <w:lang w:val="es-ES_tradnl" w:eastAsia="es-ES_tradnl"/>
              </w:rPr>
            </w:pPr>
          </w:p>
        </w:tc>
        <w:tc>
          <w:tcPr>
            <w:tcW w:w="6100" w:type="dxa"/>
          </w:tcPr>
          <w:p w14:paraId="302290F2" w14:textId="77777777" w:rsidR="004A0DB3" w:rsidRPr="00D46ED3" w:rsidRDefault="004A0DB3" w:rsidP="00D648AD">
            <w:pPr>
              <w:jc w:val="both"/>
              <w:rPr>
                <w:rFonts w:ascii="Verdana" w:eastAsia="Calibri" w:hAnsi="Verdana" w:cs="Arial"/>
                <w:b/>
                <w:bCs/>
                <w:color w:val="7030A0"/>
                <w:lang w:val="es-ES" w:eastAsia="es-ES"/>
              </w:rPr>
            </w:pPr>
            <w:r w:rsidRPr="00D46ED3">
              <w:rPr>
                <w:rFonts w:ascii="Verdana" w:eastAsia="Calibri" w:hAnsi="Verdana" w:cs="Arial"/>
                <w:b/>
                <w:bCs/>
                <w:lang w:val="es-ES" w:eastAsia="es-ES"/>
              </w:rPr>
              <w:t xml:space="preserve">Concepto </w:t>
            </w:r>
            <w:r w:rsidRPr="00027814">
              <w:rPr>
                <w:rFonts w:ascii="Verdana" w:eastAsia="Calibri" w:hAnsi="Verdana" w:cs="Arial"/>
                <w:b/>
                <w:bCs/>
                <w:lang w:val="es-ES" w:eastAsia="es-ES"/>
              </w:rPr>
              <w:t>C-3</w:t>
            </w:r>
            <w:r>
              <w:rPr>
                <w:rFonts w:ascii="Verdana" w:eastAsia="Calibri" w:hAnsi="Verdana" w:cs="Arial"/>
                <w:b/>
                <w:bCs/>
                <w:lang w:val="es-ES" w:eastAsia="es-ES"/>
              </w:rPr>
              <w:t>76 de 2024</w:t>
            </w:r>
          </w:p>
        </w:tc>
      </w:tr>
      <w:tr w:rsidR="004A0DB3" w:rsidRPr="001C58F6" w14:paraId="5CAD328A" w14:textId="77777777" w:rsidTr="00D648AD">
        <w:trPr>
          <w:trHeight w:val="884"/>
        </w:trPr>
        <w:tc>
          <w:tcPr>
            <w:tcW w:w="2689" w:type="dxa"/>
          </w:tcPr>
          <w:p w14:paraId="0501BF74" w14:textId="77777777" w:rsidR="004A0DB3" w:rsidRPr="007B10DC" w:rsidRDefault="004A0DB3" w:rsidP="00D648AD">
            <w:pPr>
              <w:jc w:val="both"/>
              <w:rPr>
                <w:rFonts w:ascii="Verdana" w:eastAsia="Calibri" w:hAnsi="Verdana" w:cs="Arial"/>
                <w:color w:val="000000"/>
                <w:highlight w:val="yellow"/>
                <w:lang w:val="es-ES_tradnl" w:eastAsia="es-ES_tradnl"/>
              </w:rPr>
            </w:pPr>
            <w:r w:rsidRPr="007B10DC">
              <w:rPr>
                <w:rFonts w:ascii="Verdana" w:eastAsia="Calibri" w:hAnsi="Verdana" w:cs="Arial"/>
                <w:b/>
                <w:color w:val="000000"/>
                <w:lang w:val="es-ES_tradnl" w:eastAsia="es-ES_tradnl"/>
              </w:rPr>
              <w:t>Temas:</w:t>
            </w:r>
            <w:r w:rsidRPr="007B10DC">
              <w:rPr>
                <w:rFonts w:ascii="Verdana" w:eastAsia="Calibri" w:hAnsi="Verdana" w:cs="Arial"/>
                <w:color w:val="000000"/>
                <w:lang w:val="es-ES_tradnl" w:eastAsia="es-ES_tradnl"/>
              </w:rPr>
              <w:t xml:space="preserve">                   </w:t>
            </w:r>
          </w:p>
        </w:tc>
        <w:tc>
          <w:tcPr>
            <w:tcW w:w="6100" w:type="dxa"/>
          </w:tcPr>
          <w:p w14:paraId="2F1A7FBC" w14:textId="119C5D60" w:rsidR="004A0DB3" w:rsidRPr="00FB2E89" w:rsidRDefault="004A0DB3" w:rsidP="00D648AD">
            <w:pPr>
              <w:spacing w:after="120"/>
              <w:contextualSpacing/>
              <w:jc w:val="both"/>
              <w:rPr>
                <w:rFonts w:ascii="Verdana" w:eastAsia="Calibri" w:hAnsi="Verdana" w:cs="Arial"/>
                <w:bCs/>
                <w:lang w:eastAsia="es-ES_tradnl"/>
              </w:rPr>
            </w:pPr>
            <w:r w:rsidRPr="00FB2E89">
              <w:rPr>
                <w:rFonts w:ascii="Verdana" w:eastAsia="Calibri" w:hAnsi="Verdana" w:cs="Arial"/>
                <w:bCs/>
                <w:lang w:eastAsia="es-ES_tradnl"/>
              </w:rPr>
              <w:t xml:space="preserve">CONVOCATORIAS LIMITADAS A MIPYMES </w:t>
            </w:r>
            <w:r w:rsidR="00AF40EF">
              <w:rPr>
                <w:rFonts w:ascii="Verdana" w:eastAsia="Calibri" w:hAnsi="Verdana" w:cs="Arial"/>
                <w:bCs/>
                <w:lang w:eastAsia="es-ES_tradnl"/>
              </w:rPr>
              <w:t xml:space="preserve">– Generalidades </w:t>
            </w:r>
            <w:r>
              <w:rPr>
                <w:rFonts w:ascii="Verdana" w:eastAsia="Calibri" w:hAnsi="Verdana" w:cs="Arial"/>
                <w:bCs/>
                <w:lang w:eastAsia="es-ES_tradnl"/>
              </w:rPr>
              <w:t>–</w:t>
            </w:r>
            <w:r w:rsidRPr="00FB2E89">
              <w:rPr>
                <w:rFonts w:ascii="Verdana" w:eastAsia="Calibri" w:hAnsi="Verdana" w:cs="Arial"/>
                <w:bCs/>
                <w:lang w:eastAsia="es-ES_tradnl"/>
              </w:rPr>
              <w:t xml:space="preserve"> Requisitos</w:t>
            </w:r>
            <w:r>
              <w:rPr>
                <w:rFonts w:ascii="Verdana" w:eastAsia="Calibri" w:hAnsi="Verdana" w:cs="Arial"/>
                <w:bCs/>
                <w:lang w:eastAsia="es-ES_tradnl"/>
              </w:rPr>
              <w:t>- Cuantía del proceso</w:t>
            </w:r>
          </w:p>
          <w:p w14:paraId="26A32AC9" w14:textId="77777777" w:rsidR="004A0DB3" w:rsidRPr="007B10DC" w:rsidRDefault="004A0DB3" w:rsidP="00D648AD">
            <w:pPr>
              <w:spacing w:line="276" w:lineRule="auto"/>
              <w:jc w:val="both"/>
              <w:rPr>
                <w:rFonts w:ascii="Verdana" w:eastAsia="Calibri" w:hAnsi="Verdana" w:cs="Arial"/>
                <w:highlight w:val="yellow"/>
                <w:lang w:val="es-ES_tradnl" w:eastAsia="es-ES"/>
              </w:rPr>
            </w:pPr>
          </w:p>
        </w:tc>
      </w:tr>
      <w:tr w:rsidR="004A0DB3" w:rsidRPr="00593A5F" w14:paraId="60C87B8A" w14:textId="77777777" w:rsidTr="00D648AD">
        <w:tc>
          <w:tcPr>
            <w:tcW w:w="2689" w:type="dxa"/>
          </w:tcPr>
          <w:p w14:paraId="7B78C9F2" w14:textId="77777777" w:rsidR="004A0DB3" w:rsidRPr="00FB2E89" w:rsidRDefault="004A0DB3" w:rsidP="00D648AD">
            <w:pPr>
              <w:jc w:val="both"/>
              <w:rPr>
                <w:rFonts w:ascii="Verdana" w:eastAsia="Calibri" w:hAnsi="Verdana" w:cs="Arial"/>
                <w:b/>
                <w:lang w:val="es-ES_tradnl" w:eastAsia="es-ES_tradnl"/>
              </w:rPr>
            </w:pPr>
            <w:r w:rsidRPr="00FB2E89">
              <w:rPr>
                <w:rFonts w:ascii="Verdana" w:eastAsia="Calibri" w:hAnsi="Verdana" w:cs="Arial"/>
                <w:b/>
                <w:lang w:val="es-ES_tradnl" w:eastAsia="es-ES_tradnl"/>
              </w:rPr>
              <w:t xml:space="preserve"> Radicación:</w:t>
            </w:r>
            <w:r w:rsidRPr="00FB2E89">
              <w:rPr>
                <w:rFonts w:ascii="Verdana" w:eastAsia="Calibri" w:hAnsi="Verdana" w:cs="Arial"/>
                <w:lang w:val="es-ES_tradnl" w:eastAsia="es-ES_tradnl"/>
              </w:rPr>
              <w:t xml:space="preserve">               </w:t>
            </w:r>
          </w:p>
        </w:tc>
        <w:tc>
          <w:tcPr>
            <w:tcW w:w="6100" w:type="dxa"/>
          </w:tcPr>
          <w:p w14:paraId="63E845BE" w14:textId="77777777" w:rsidR="004A0DB3" w:rsidRPr="00825AF7" w:rsidRDefault="004A0DB3" w:rsidP="00D648AD">
            <w:pPr>
              <w:jc w:val="both"/>
              <w:rPr>
                <w:rFonts w:ascii="Verdana" w:eastAsia="Calibri" w:hAnsi="Verdana" w:cs="Arial"/>
                <w:lang w:val="es-ES_tradnl" w:eastAsia="es-ES_tradnl"/>
              </w:rPr>
            </w:pPr>
            <w:r w:rsidRPr="00825AF7">
              <w:rPr>
                <w:rFonts w:ascii="Verdana" w:eastAsia="Calibri" w:hAnsi="Verdana" w:cs="Arial"/>
                <w:lang w:val="es-ES_tradnl" w:eastAsia="es-ES_tradnl"/>
              </w:rPr>
              <w:t xml:space="preserve">Respuesta a consulta con radicado No. </w:t>
            </w:r>
            <w:r w:rsidRPr="007B10DC">
              <w:rPr>
                <w:rFonts w:ascii="Verdana" w:eastAsia="Calibri" w:hAnsi="Verdana" w:cs="Arial"/>
                <w:lang w:val="es-ES_tradnl" w:eastAsia="es-ES_tradnl"/>
              </w:rPr>
              <w:t>P20240722007522</w:t>
            </w:r>
          </w:p>
        </w:tc>
      </w:tr>
    </w:tbl>
    <w:p w14:paraId="06383E18" w14:textId="77777777" w:rsidR="004A0DB3" w:rsidRPr="00593A5F" w:rsidRDefault="004A0DB3" w:rsidP="004A0DB3">
      <w:pPr>
        <w:spacing w:after="0" w:line="240" w:lineRule="auto"/>
        <w:jc w:val="both"/>
        <w:rPr>
          <w:rFonts w:ascii="Verdana" w:eastAsia="Calibri" w:hAnsi="Verdana" w:cs="Arial"/>
          <w:color w:val="000000"/>
          <w:lang w:val="es-ES_tradnl" w:eastAsia="es-ES_tradnl"/>
        </w:rPr>
      </w:pPr>
    </w:p>
    <w:p w14:paraId="36B2D3D8" w14:textId="2A60B94D" w:rsidR="004A0DB3" w:rsidRDefault="004A0DB3" w:rsidP="004A0DB3">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o señor</w:t>
      </w:r>
      <w:r w:rsidR="00E60845">
        <w:rPr>
          <w:rFonts w:ascii="Verdana" w:eastAsia="Calibri" w:hAnsi="Verdana" w:cs="Arial"/>
          <w:color w:val="000000" w:themeColor="text1"/>
          <w:lang w:val="es-ES" w:eastAsia="es-ES"/>
        </w:rPr>
        <w:t xml:space="preserve"> </w:t>
      </w:r>
      <w:r w:rsidR="00863E72">
        <w:rPr>
          <w:rFonts w:ascii="Verdana" w:eastAsia="Calibri" w:hAnsi="Verdana" w:cs="Arial"/>
          <w:lang w:val="es-ES" w:eastAsia="es-ES"/>
        </w:rPr>
        <w:t>Ramos</w:t>
      </w:r>
      <w:r w:rsidRPr="009A14E8">
        <w:rPr>
          <w:rFonts w:ascii="Verdana" w:eastAsia="Calibri" w:hAnsi="Verdana" w:cs="Arial"/>
          <w:lang w:val="es-ES" w:eastAsia="es-ES"/>
        </w:rPr>
        <w:t xml:space="preserve">: </w:t>
      </w:r>
    </w:p>
    <w:p w14:paraId="0575D6FF" w14:textId="77777777" w:rsidR="004A0DB3" w:rsidRDefault="004A0DB3" w:rsidP="004A0DB3">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24676C13" w14:textId="77777777" w:rsidR="00395ADD" w:rsidRDefault="004A0DB3" w:rsidP="004A0DB3">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D46ED3">
        <w:rPr>
          <w:rFonts w:ascii="Verdana" w:eastAsia="Calibri" w:hAnsi="Verdana" w:cs="Arial"/>
          <w:color w:val="000000" w:themeColor="text1"/>
          <w:lang w:val="es-ES" w:eastAsia="es-ES"/>
        </w:rPr>
        <w:t xml:space="preserve">consulta de </w:t>
      </w:r>
      <w:r w:rsidRPr="00D46ED3">
        <w:rPr>
          <w:rFonts w:ascii="Verdana" w:eastAsia="Calibri" w:hAnsi="Verdana" w:cs="Arial"/>
          <w:lang w:val="es-ES" w:eastAsia="es-ES"/>
        </w:rPr>
        <w:t xml:space="preserve">fecha </w:t>
      </w:r>
      <w:r>
        <w:rPr>
          <w:rFonts w:ascii="Verdana" w:eastAsia="Calibri" w:hAnsi="Verdana" w:cs="Arial"/>
          <w:lang w:val="es-ES" w:eastAsia="es-ES"/>
        </w:rPr>
        <w:t xml:space="preserve">22 </w:t>
      </w:r>
      <w:r w:rsidRPr="00D46ED3">
        <w:rPr>
          <w:rFonts w:ascii="Verdana" w:eastAsia="Calibri" w:hAnsi="Verdana" w:cs="Arial"/>
          <w:lang w:val="es-ES" w:eastAsia="es-ES"/>
        </w:rPr>
        <w:t>de ju</w:t>
      </w:r>
      <w:r>
        <w:rPr>
          <w:rFonts w:ascii="Verdana" w:eastAsia="Calibri" w:hAnsi="Verdana" w:cs="Arial"/>
          <w:lang w:val="es-ES" w:eastAsia="es-ES"/>
        </w:rPr>
        <w:t>l</w:t>
      </w:r>
      <w:r w:rsidRPr="00D46ED3">
        <w:rPr>
          <w:rFonts w:ascii="Verdana" w:eastAsia="Calibri" w:hAnsi="Verdana" w:cs="Arial"/>
          <w:lang w:val="es-ES" w:eastAsia="es-ES"/>
        </w:rPr>
        <w:t>io de 2024, en</w:t>
      </w:r>
      <w:r w:rsidRPr="00AA1286">
        <w:rPr>
          <w:rFonts w:ascii="Verdana" w:eastAsia="Calibri" w:hAnsi="Verdana" w:cs="Arial"/>
          <w:lang w:val="es-ES" w:eastAsia="es-ES"/>
        </w:rPr>
        <w:t xml:space="preserve"> la cual manifiesta lo siguiente:</w:t>
      </w:r>
    </w:p>
    <w:p w14:paraId="46B4B227" w14:textId="77777777" w:rsidR="00395ADD" w:rsidRDefault="00395ADD" w:rsidP="004A0DB3">
      <w:pPr>
        <w:spacing w:after="0" w:line="276" w:lineRule="auto"/>
        <w:jc w:val="both"/>
        <w:rPr>
          <w:rFonts w:ascii="Verdana" w:eastAsia="Calibri" w:hAnsi="Verdana" w:cs="Arial"/>
          <w:lang w:val="es-ES" w:eastAsia="es-ES"/>
        </w:rPr>
      </w:pPr>
    </w:p>
    <w:p w14:paraId="735F09EF" w14:textId="77777777" w:rsidR="00395ADD" w:rsidRDefault="00395ADD" w:rsidP="004A0DB3">
      <w:pPr>
        <w:spacing w:after="0" w:line="276" w:lineRule="auto"/>
        <w:jc w:val="both"/>
        <w:rPr>
          <w:rFonts w:ascii="Verdana" w:eastAsia="Calibri" w:hAnsi="Verdana" w:cs="Arial"/>
          <w:lang w:val="es-ES" w:eastAsia="es-ES"/>
        </w:rPr>
      </w:pPr>
    </w:p>
    <w:p w14:paraId="5BF689A2" w14:textId="1D236ED1" w:rsidR="004A0DB3" w:rsidRDefault="004A0DB3" w:rsidP="00064EE2">
      <w:pPr>
        <w:spacing w:after="0" w:line="276" w:lineRule="auto"/>
        <w:ind w:left="709" w:right="1041"/>
        <w:jc w:val="both"/>
        <w:rPr>
          <w:rFonts w:ascii="Verdana" w:hAnsi="Verdana" w:cs="ArialMT"/>
          <w:i/>
          <w:iCs/>
          <w:sz w:val="21"/>
          <w:szCs w:val="21"/>
        </w:rPr>
      </w:pPr>
      <w:r w:rsidRPr="00AA1286">
        <w:rPr>
          <w:rFonts w:ascii="Verdana" w:eastAsia="Calibri" w:hAnsi="Verdana" w:cs="Arial"/>
          <w:lang w:val="es-ES" w:eastAsia="es-ES"/>
        </w:rPr>
        <w:t xml:space="preserve"> </w:t>
      </w:r>
      <w:r w:rsidRPr="004A0DB3">
        <w:rPr>
          <w:rFonts w:ascii="Verdana" w:hAnsi="Verdana" w:cs="ArialMT"/>
          <w:i/>
          <w:iCs/>
          <w:sz w:val="21"/>
          <w:szCs w:val="21"/>
        </w:rPr>
        <w:t xml:space="preserve">“[…]En un proceso sin situación de fondos, el cual presenta valor cero </w:t>
      </w:r>
      <w:proofErr w:type="gramStart"/>
      <w:r w:rsidRPr="004A0DB3">
        <w:rPr>
          <w:rFonts w:ascii="Verdana" w:hAnsi="Verdana" w:cs="ArialMT"/>
          <w:i/>
          <w:iCs/>
          <w:sz w:val="21"/>
          <w:szCs w:val="21"/>
        </w:rPr>
        <w:t>“ 0</w:t>
      </w:r>
      <w:proofErr w:type="gramEnd"/>
      <w:r w:rsidRPr="004A0DB3">
        <w:rPr>
          <w:rFonts w:ascii="Verdana" w:hAnsi="Verdana" w:cs="ArialMT"/>
          <w:i/>
          <w:iCs/>
          <w:sz w:val="21"/>
          <w:szCs w:val="21"/>
        </w:rPr>
        <w:t xml:space="preserve"> ” , donde la entidad estima como valor fiscal para la constitución de pólizas un monto superior a US$125.000, se puede solicitar la limitación a MiPymes nacionales, en el entendido que el proceso es valor cero “ 0 ” por lo tanto sería menor a ciento veinticinco mil dólares Estados Unidos de América (US$125.000) […]”</w:t>
      </w:r>
    </w:p>
    <w:p w14:paraId="78478BF9" w14:textId="77777777" w:rsidR="004D401B" w:rsidRPr="004A0DB3" w:rsidRDefault="004D401B" w:rsidP="004A0DB3">
      <w:pPr>
        <w:spacing w:after="0" w:line="276" w:lineRule="auto"/>
        <w:jc w:val="both"/>
        <w:rPr>
          <w:rFonts w:ascii="Verdana" w:eastAsia="Calibri" w:hAnsi="Verdana" w:cs="Arial"/>
          <w:lang w:val="es-ES" w:eastAsia="es-ES"/>
        </w:rPr>
      </w:pPr>
    </w:p>
    <w:p w14:paraId="1C0B0550" w14:textId="77777777" w:rsidR="004A0DB3" w:rsidRDefault="004A0DB3" w:rsidP="004A0DB3">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DD79265" w14:textId="77777777" w:rsidR="004A0DB3" w:rsidRDefault="004A0DB3" w:rsidP="004A0DB3">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02181FB6" w14:textId="77777777" w:rsidR="004A0DB3" w:rsidRPr="00593A5F" w:rsidRDefault="004A0DB3" w:rsidP="004A0DB3">
      <w:pPr>
        <w:spacing w:after="0" w:line="276" w:lineRule="auto"/>
        <w:ind w:firstLine="709"/>
        <w:jc w:val="both"/>
        <w:rPr>
          <w:rFonts w:ascii="Verdana" w:eastAsia="Calibri" w:hAnsi="Verdana" w:cs="Arial"/>
          <w:color w:val="000000"/>
          <w:lang w:val="es-ES" w:eastAsia="es-ES"/>
        </w:rPr>
      </w:pPr>
    </w:p>
    <w:p w14:paraId="728535B2" w14:textId="77777777" w:rsidR="004A0DB3" w:rsidRPr="00593A5F" w:rsidRDefault="004A0DB3" w:rsidP="004A0DB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B69F0CA" w14:textId="77777777" w:rsidR="004A0DB3" w:rsidRPr="00064EE2" w:rsidRDefault="004A0DB3" w:rsidP="004A0DB3">
      <w:pPr>
        <w:tabs>
          <w:tab w:val="left" w:pos="426"/>
        </w:tabs>
        <w:spacing w:after="0" w:line="276" w:lineRule="auto"/>
        <w:jc w:val="both"/>
        <w:rPr>
          <w:rFonts w:ascii="Verdana" w:eastAsia="Century Gothic" w:hAnsi="Verdana" w:cs="Century Gothic"/>
        </w:rPr>
      </w:pPr>
    </w:p>
    <w:p w14:paraId="28D23100" w14:textId="2934A676" w:rsidR="00636E85" w:rsidRPr="00064EE2" w:rsidRDefault="004A0DB3" w:rsidP="00064EE2">
      <w:pPr>
        <w:spacing w:after="0" w:line="240" w:lineRule="auto"/>
        <w:ind w:right="-93"/>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el (los) siguiente(s) problemas jurídicos(s</w:t>
      </w:r>
      <w:r w:rsidRPr="005651D3">
        <w:rPr>
          <w:rFonts w:ascii="Verdana" w:eastAsia="Century Gothic" w:hAnsi="Verdana" w:cs="Century Gothic"/>
        </w:rPr>
        <w:t xml:space="preserve">): </w:t>
      </w:r>
      <w:r>
        <w:rPr>
          <w:rFonts w:ascii="Verdana" w:eastAsia="Century Gothic" w:hAnsi="Verdana" w:cs="Century Gothic"/>
        </w:rPr>
        <w:t>¿</w:t>
      </w:r>
      <w:r w:rsidR="00636E85" w:rsidRPr="00064EE2">
        <w:rPr>
          <w:rFonts w:ascii="Verdana" w:eastAsia="Century Gothic" w:hAnsi="Verdana" w:cs="Century Gothic"/>
        </w:rPr>
        <w:t>Es posible limitar un Proceso de Contratación cuando la cuantía de este corresponde a Cero (0) pesos?</w:t>
      </w:r>
    </w:p>
    <w:p w14:paraId="0F6EB029" w14:textId="77777777" w:rsidR="004A0DB3" w:rsidRPr="00593A5F" w:rsidRDefault="004A0DB3" w:rsidP="004A0DB3">
      <w:pPr>
        <w:spacing w:after="0" w:line="276" w:lineRule="auto"/>
        <w:jc w:val="both"/>
        <w:rPr>
          <w:rFonts w:ascii="Verdana" w:eastAsia="Calibri" w:hAnsi="Verdana" w:cs="Arial"/>
          <w:color w:val="7030A0"/>
          <w:lang w:val="es-ES"/>
        </w:rPr>
      </w:pPr>
    </w:p>
    <w:p w14:paraId="2468CF0A" w14:textId="77777777" w:rsidR="004A0DB3" w:rsidRPr="00593A5F" w:rsidRDefault="004A0DB3" w:rsidP="004A0DB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63DB8AAC" w14:textId="77777777" w:rsidR="004A0DB3" w:rsidRPr="00593A5F" w:rsidRDefault="004A0DB3" w:rsidP="004A0DB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A0DB3" w:rsidRPr="00593A5F" w14:paraId="2E9D5C8F" w14:textId="77777777" w:rsidTr="00D648AD">
        <w:tc>
          <w:tcPr>
            <w:tcW w:w="8828" w:type="dxa"/>
            <w:shd w:val="clear" w:color="auto" w:fill="auto"/>
          </w:tcPr>
          <w:p w14:paraId="16F06DD7" w14:textId="36C2022C" w:rsidR="00960E2A" w:rsidRPr="00064EE2" w:rsidRDefault="00960E2A" w:rsidP="00960E2A">
            <w:pPr>
              <w:spacing w:line="276" w:lineRule="auto"/>
              <w:contextualSpacing/>
              <w:jc w:val="both"/>
              <w:rPr>
                <w:rFonts w:ascii="Verdana" w:eastAsia="Century Gothic" w:hAnsi="Verdana" w:cs="Century Gothic"/>
              </w:rPr>
            </w:pPr>
            <w:r w:rsidRPr="00064EE2">
              <w:rPr>
                <w:rFonts w:ascii="Verdana" w:eastAsia="Century Gothic" w:hAnsi="Verdana" w:cs="Century Gothic"/>
              </w:rPr>
              <w:t xml:space="preserve">Al respecto, el artículo 2.2.1.2.4.2.1 del Decreto 1082 de 2015, estableció que las </w:t>
            </w:r>
            <w:bookmarkStart w:id="0" w:name="2.2.1.2.4.2.1"/>
            <w:bookmarkEnd w:id="0"/>
            <w:r w:rsidRPr="00064EE2">
              <w:rPr>
                <w:rFonts w:ascii="Verdana" w:eastAsia="Century Gothic" w:hAnsi="Verdana" w:cs="Century Gothic"/>
              </w:rPr>
              <w:t xml:space="preserve">Entidades Estatales “deben establecer en los pliegos de condiciones para la contratación, dentro de los criterios de calificación de las propuestas, los incentivos para los bienes, servicios y oferentes nacionales o aquellos considerados nacionales con ocasión de la existencia de trato nacional. (…)”; en ese sentido, el artículo 2.2.1.2.4.2.2 de la norma ibidem señala de forma taxativa los requisitos que deben cumplir las Entidades Estatales para establecer una limitación a favor de las </w:t>
            </w:r>
            <w:proofErr w:type="spellStart"/>
            <w:r w:rsidRPr="00064EE2">
              <w:rPr>
                <w:rFonts w:ascii="Verdana" w:eastAsia="Century Gothic" w:hAnsi="Verdana" w:cs="Century Gothic"/>
              </w:rPr>
              <w:t>Mipymes</w:t>
            </w:r>
            <w:proofErr w:type="spellEnd"/>
            <w:r w:rsidRPr="00064EE2">
              <w:rPr>
                <w:rFonts w:ascii="Verdana" w:eastAsia="Century Gothic" w:hAnsi="Verdana" w:cs="Century Gothic"/>
              </w:rPr>
              <w:t xml:space="preserve"> dentro del Proceso de Contratación.</w:t>
            </w:r>
          </w:p>
          <w:p w14:paraId="20B29631" w14:textId="77777777" w:rsidR="00960E2A" w:rsidRPr="00064EE2" w:rsidRDefault="00960E2A" w:rsidP="00960E2A">
            <w:pPr>
              <w:spacing w:line="276" w:lineRule="auto"/>
              <w:contextualSpacing/>
              <w:jc w:val="both"/>
              <w:rPr>
                <w:rFonts w:ascii="Verdana" w:eastAsia="Century Gothic" w:hAnsi="Verdana" w:cs="Century Gothic"/>
              </w:rPr>
            </w:pPr>
          </w:p>
          <w:p w14:paraId="7E389B68" w14:textId="32EC5597" w:rsidR="00960E2A" w:rsidRPr="00064EE2" w:rsidRDefault="00960E2A" w:rsidP="00960E2A">
            <w:pPr>
              <w:spacing w:line="276" w:lineRule="auto"/>
              <w:jc w:val="both"/>
              <w:rPr>
                <w:rFonts w:ascii="Verdana" w:eastAsia="Century Gothic" w:hAnsi="Verdana" w:cs="Century Gothic"/>
              </w:rPr>
            </w:pPr>
            <w:r w:rsidRPr="00064EE2">
              <w:rPr>
                <w:rFonts w:ascii="Verdana" w:eastAsia="Century Gothic" w:hAnsi="Verdana" w:cs="Century Gothic"/>
              </w:rPr>
              <w:lastRenderedPageBreak/>
              <w:t xml:space="preserve">En ese orden de ideas, la norma previamente señalada indica que será procedente la limitación a favor de las </w:t>
            </w:r>
            <w:proofErr w:type="spellStart"/>
            <w:r w:rsidRPr="00064EE2">
              <w:rPr>
                <w:rFonts w:ascii="Verdana" w:eastAsia="Century Gothic" w:hAnsi="Verdana" w:cs="Century Gothic"/>
              </w:rPr>
              <w:t>Mipymes</w:t>
            </w:r>
            <w:proofErr w:type="spellEnd"/>
            <w:r w:rsidRPr="00064EE2">
              <w:rPr>
                <w:rFonts w:ascii="Verdana" w:eastAsia="Century Gothic" w:hAnsi="Verdana" w:cs="Century Gothic"/>
              </w:rPr>
              <w:t xml:space="preserve"> </w:t>
            </w:r>
            <w:r w:rsidR="00AF40EF" w:rsidRPr="00064EE2">
              <w:rPr>
                <w:rFonts w:ascii="Verdana" w:eastAsia="Century Gothic" w:hAnsi="Verdana" w:cs="Century Gothic"/>
              </w:rPr>
              <w:t>colombianas</w:t>
            </w:r>
            <w:r w:rsidRPr="00064EE2">
              <w:rPr>
                <w:rFonts w:ascii="Verdana" w:eastAsia="Century Gothic" w:hAnsi="Verdana" w:cs="Century Gothic"/>
              </w:rPr>
              <w:t xml:space="preserve"> con un año de constitución cuando concurran los siguientes requisitos:</w:t>
            </w:r>
          </w:p>
          <w:p w14:paraId="5CAEDB2B" w14:textId="77777777" w:rsidR="00960E2A" w:rsidRPr="00064EE2" w:rsidRDefault="00960E2A" w:rsidP="00960E2A">
            <w:pPr>
              <w:spacing w:line="276" w:lineRule="auto"/>
              <w:jc w:val="both"/>
              <w:rPr>
                <w:rFonts w:ascii="Verdana" w:eastAsia="Century Gothic" w:hAnsi="Verdana" w:cs="Century Gothic"/>
              </w:rPr>
            </w:pPr>
          </w:p>
          <w:p w14:paraId="3B1ADA29" w14:textId="77777777" w:rsidR="00960E2A" w:rsidRPr="00064EE2" w:rsidRDefault="00960E2A" w:rsidP="00960E2A">
            <w:pPr>
              <w:spacing w:line="276" w:lineRule="auto"/>
              <w:jc w:val="both"/>
              <w:rPr>
                <w:rFonts w:ascii="Verdana" w:eastAsia="Century Gothic" w:hAnsi="Verdana" w:cs="Century Gothic"/>
              </w:rPr>
            </w:pPr>
            <w:r w:rsidRPr="00064EE2">
              <w:rPr>
                <w:rFonts w:ascii="Verdana" w:eastAsia="Century Gothic" w:hAnsi="Verdana" w:cs="Century Gothic"/>
              </w:rPr>
              <w:t>“(…) 1. El valor del Proceso de Contratación sea menor a ciento veinticinco mil dólares de los Estados Unidos de América (US$125.000), liquidados con la tasa de cambio que para el efecto determina cada dos años el Ministerio de Comercio, Industria y Turismo.</w:t>
            </w:r>
          </w:p>
          <w:p w14:paraId="1030330F" w14:textId="77777777" w:rsidR="00960E2A" w:rsidRPr="00064EE2" w:rsidRDefault="00960E2A" w:rsidP="00960E2A">
            <w:pPr>
              <w:spacing w:line="276" w:lineRule="auto"/>
              <w:contextualSpacing/>
              <w:jc w:val="both"/>
              <w:rPr>
                <w:rFonts w:ascii="Verdana" w:eastAsia="Century Gothic" w:hAnsi="Verdana" w:cs="Century Gothic"/>
              </w:rPr>
            </w:pPr>
            <w:r w:rsidRPr="00064EE2">
              <w:rPr>
                <w:rFonts w:ascii="Verdana" w:eastAsia="Century Gothic" w:hAnsi="Verdana" w:cs="Century Gothic"/>
              </w:rPr>
              <w:t> </w:t>
            </w:r>
          </w:p>
          <w:p w14:paraId="242389F6" w14:textId="77777777" w:rsidR="00960E2A" w:rsidRPr="00064EE2" w:rsidRDefault="00960E2A" w:rsidP="00960E2A">
            <w:pPr>
              <w:spacing w:line="276" w:lineRule="auto"/>
              <w:contextualSpacing/>
              <w:jc w:val="both"/>
              <w:rPr>
                <w:rFonts w:ascii="Verdana" w:eastAsia="Century Gothic" w:hAnsi="Verdana" w:cs="Century Gothic"/>
              </w:rPr>
            </w:pPr>
            <w:bookmarkStart w:id="1" w:name="2.2.1.2.4.2.2.2"/>
            <w:bookmarkEnd w:id="1"/>
            <w:r w:rsidRPr="00064EE2">
              <w:rPr>
                <w:rFonts w:ascii="Verdana" w:eastAsia="Century Gothic" w:hAnsi="Verdana" w:cs="Century Gothic"/>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02706F19" w14:textId="77777777" w:rsidR="00960E2A" w:rsidRPr="00064EE2" w:rsidRDefault="00960E2A" w:rsidP="00960E2A">
            <w:pPr>
              <w:spacing w:line="276" w:lineRule="auto"/>
              <w:contextualSpacing/>
              <w:jc w:val="both"/>
              <w:rPr>
                <w:rFonts w:ascii="Verdana" w:eastAsia="Century Gothic" w:hAnsi="Verdana" w:cs="Century Gothic"/>
              </w:rPr>
            </w:pPr>
          </w:p>
          <w:p w14:paraId="2E62C58F" w14:textId="77777777" w:rsidR="00960E2A" w:rsidRPr="00064EE2" w:rsidRDefault="00960E2A" w:rsidP="00960E2A">
            <w:pPr>
              <w:spacing w:line="276" w:lineRule="auto"/>
              <w:contextualSpacing/>
              <w:jc w:val="both"/>
              <w:rPr>
                <w:rFonts w:ascii="Verdana" w:eastAsia="Century Gothic" w:hAnsi="Verdana" w:cs="Century Gothic"/>
              </w:rPr>
            </w:pPr>
            <w:r w:rsidRPr="00064EE2">
              <w:rPr>
                <w:rFonts w:ascii="Verdana" w:eastAsia="Century Gothic" w:hAnsi="Verdana" w:cs="Century Gothic"/>
              </w:rPr>
              <w:t>Tratándose de personas jurídicas, las solicitudes solo las podrán realizar Mipyme, cuyo objeto social les permita ejecutar el contrato relacionado con el proceso contractual. (…)”</w:t>
            </w:r>
            <w:r w:rsidRPr="00064EE2">
              <w:rPr>
                <w:rFonts w:ascii="Verdana" w:eastAsia="Century Gothic" w:hAnsi="Verdana" w:cs="Century Gothic"/>
              </w:rPr>
              <w:footnoteReference w:id="2"/>
            </w:r>
          </w:p>
          <w:p w14:paraId="1E41D0A0" w14:textId="77777777" w:rsidR="00960E2A" w:rsidRPr="00064EE2" w:rsidRDefault="00960E2A" w:rsidP="00960E2A">
            <w:pPr>
              <w:spacing w:line="276" w:lineRule="auto"/>
              <w:contextualSpacing/>
              <w:jc w:val="both"/>
              <w:rPr>
                <w:rFonts w:ascii="Verdana" w:eastAsia="Century Gothic" w:hAnsi="Verdana" w:cs="Century Gothic"/>
              </w:rPr>
            </w:pPr>
          </w:p>
          <w:p w14:paraId="5DED5427" w14:textId="1D47742B" w:rsidR="00960E2A" w:rsidRPr="00064EE2" w:rsidRDefault="00960E2A" w:rsidP="00960E2A">
            <w:pPr>
              <w:spacing w:line="276" w:lineRule="auto"/>
              <w:contextualSpacing/>
              <w:jc w:val="both"/>
              <w:rPr>
                <w:rFonts w:ascii="Verdana" w:eastAsia="Century Gothic" w:hAnsi="Verdana" w:cs="Century Gothic"/>
              </w:rPr>
            </w:pPr>
            <w:r w:rsidRPr="00064EE2">
              <w:rPr>
                <w:rFonts w:ascii="Verdana" w:eastAsia="Century Gothic" w:hAnsi="Verdana" w:cs="Century Gothic"/>
              </w:rPr>
              <w:t xml:space="preserve">De tal manera que, le corresponderá a la Entidad contratante evaluar el cumplimiento de los requisitos señalados en las convocatorias a </w:t>
            </w:r>
            <w:proofErr w:type="spellStart"/>
            <w:r w:rsidRPr="00064EE2">
              <w:rPr>
                <w:rFonts w:ascii="Verdana" w:eastAsia="Century Gothic" w:hAnsi="Verdana" w:cs="Century Gothic"/>
              </w:rPr>
              <w:t>Mipymes</w:t>
            </w:r>
            <w:proofErr w:type="spellEnd"/>
            <w:r w:rsidRPr="00064EE2">
              <w:rPr>
                <w:rFonts w:ascii="Verdana" w:eastAsia="Century Gothic" w:hAnsi="Verdana" w:cs="Century Gothic"/>
              </w:rPr>
              <w:t xml:space="preserve"> en los Procesos de Contratación que adelante la entidad estatal, en especial si el valor del Proceso de Contratación para efectos fiscales es menor a ciento veinticinco mil dólares de los Estados Unidos de América (US$125.000, relacionados con los contratos de tracto sucesivo a largos periodos de tiempo en el cual la cuantía es indeterminada. </w:t>
            </w:r>
          </w:p>
          <w:p w14:paraId="74C247B0" w14:textId="77777777" w:rsidR="00960E2A" w:rsidRPr="00064EE2" w:rsidRDefault="00960E2A" w:rsidP="00960E2A">
            <w:pPr>
              <w:spacing w:line="276" w:lineRule="auto"/>
              <w:contextualSpacing/>
              <w:jc w:val="both"/>
              <w:rPr>
                <w:rFonts w:ascii="Verdana" w:eastAsia="Century Gothic" w:hAnsi="Verdana" w:cs="Century Gothic"/>
              </w:rPr>
            </w:pPr>
          </w:p>
          <w:p w14:paraId="62980CCA" w14:textId="7DEDF867" w:rsidR="00960E2A" w:rsidRPr="00064EE2" w:rsidRDefault="00960E2A" w:rsidP="00960E2A">
            <w:pPr>
              <w:spacing w:line="276" w:lineRule="auto"/>
              <w:contextualSpacing/>
              <w:jc w:val="both"/>
              <w:rPr>
                <w:rFonts w:ascii="Verdana" w:eastAsia="Century Gothic" w:hAnsi="Verdana" w:cs="Century Gothic"/>
              </w:rPr>
            </w:pPr>
            <w:r w:rsidRPr="00064EE2">
              <w:rPr>
                <w:rFonts w:ascii="Verdana" w:eastAsia="Century Gothic" w:hAnsi="Verdana" w:cs="Century Gothic"/>
              </w:rPr>
              <w:t>En los casos de los procesos cuya cuantía es indeterminada y se fije para efectos fiscales, le corresponderá a la entidad contratante determinar si se ajusta a estos presupuestos normativos previamente señalado en el artículo 2.2.1.2.4.2.2 y para lo cual deberán motivar su decisión, atendiendo a los principios de la contratación estatal, función administrativa y dando aplicación al artículo 44 de la ley 1437 de 2011.</w:t>
            </w:r>
          </w:p>
          <w:p w14:paraId="20EEE5D1" w14:textId="77777777" w:rsidR="00960E2A" w:rsidRPr="00064EE2" w:rsidRDefault="00960E2A" w:rsidP="00960E2A">
            <w:pPr>
              <w:spacing w:line="276" w:lineRule="auto"/>
              <w:contextualSpacing/>
              <w:jc w:val="both"/>
              <w:rPr>
                <w:rFonts w:ascii="Verdana" w:eastAsia="Century Gothic" w:hAnsi="Verdana" w:cs="Century Gothic"/>
              </w:rPr>
            </w:pPr>
          </w:p>
          <w:p w14:paraId="07F35760" w14:textId="77777777" w:rsidR="00960E2A" w:rsidRPr="00064EE2" w:rsidRDefault="00960E2A" w:rsidP="00960E2A">
            <w:pPr>
              <w:spacing w:line="276" w:lineRule="auto"/>
              <w:contextualSpacing/>
              <w:jc w:val="both"/>
              <w:rPr>
                <w:rFonts w:ascii="Verdana" w:eastAsia="Century Gothic" w:hAnsi="Verdana" w:cs="Century Gothic"/>
              </w:rPr>
            </w:pPr>
            <w:r w:rsidRPr="00064EE2">
              <w:rPr>
                <w:rFonts w:ascii="Verdana" w:eastAsia="Century Gothic" w:hAnsi="Verdana" w:cs="Century Gothic"/>
              </w:rPr>
              <w:lastRenderedPageBreak/>
              <w:t>Ahora bien, aunque hay contratos de cuantía indeterminada debido a la complejidad de la prestación a través de los años y modalidad, no quiere decir dicha prestación no tengan un valor económico; en ese caso, la entidad estatal realiza un análisis financiero prospectivo o proyectado a los años del plazo para establecer el valor proyectado, por lo que no será un proceso sin cuantía. Contrario sensu, existen otros procedimientos contractuales que son sin compromiso presupuestal por lo que no tienen disponibilidad ni registro, no es de su naturaleza disponer de dichos recursos o aportes para su trámite o perfeccionamiento, como es el caso de los memorandos de entendimientos o los convenios marcos cuyo objeto es aunar esfuerzos conjuntos misionales a temas varios, los cuales pueden ser sujetos de contratos derivados y específicos y en estos si va inmersa los aportes o disponibilidades presupuestales, y serán estos los que si tengan cuantía.</w:t>
            </w:r>
          </w:p>
          <w:p w14:paraId="1D6BA630" w14:textId="77777777" w:rsidR="00960E2A" w:rsidRPr="00064EE2" w:rsidRDefault="00960E2A" w:rsidP="00960E2A">
            <w:pPr>
              <w:spacing w:line="276" w:lineRule="auto"/>
              <w:contextualSpacing/>
              <w:jc w:val="both"/>
              <w:rPr>
                <w:rFonts w:ascii="Verdana" w:eastAsia="Century Gothic" w:hAnsi="Verdana" w:cs="Century Gothic"/>
              </w:rPr>
            </w:pPr>
          </w:p>
          <w:p w14:paraId="62B40129" w14:textId="5036D1B1" w:rsidR="004A0DB3" w:rsidRPr="004A0DB3" w:rsidRDefault="00960E2A" w:rsidP="00D648AD">
            <w:pPr>
              <w:spacing w:after="120" w:line="276" w:lineRule="auto"/>
              <w:jc w:val="both"/>
              <w:rPr>
                <w:rFonts w:ascii="Verdana" w:eastAsia="Calibri" w:hAnsi="Verdana" w:cs="Arial"/>
                <w:sz w:val="21"/>
                <w:szCs w:val="21"/>
              </w:rPr>
            </w:pPr>
            <w:r w:rsidRPr="00064EE2">
              <w:rPr>
                <w:rFonts w:ascii="Verdana" w:eastAsia="Century Gothic" w:hAnsi="Verdana" w:cs="Century Gothic"/>
              </w:rPr>
              <w:t xml:space="preserve"> Finalmente, la decisión de limitar o no una convocatoria a </w:t>
            </w:r>
            <w:proofErr w:type="spellStart"/>
            <w:r w:rsidRPr="00064EE2">
              <w:rPr>
                <w:rFonts w:ascii="Verdana" w:eastAsia="Century Gothic" w:hAnsi="Verdana" w:cs="Century Gothic"/>
              </w:rPr>
              <w:t>Mipymes</w:t>
            </w:r>
            <w:proofErr w:type="spellEnd"/>
            <w:r w:rsidRPr="00064EE2">
              <w:rPr>
                <w:rFonts w:ascii="Verdana" w:eastAsia="Century Gothic" w:hAnsi="Verdana" w:cs="Century Gothic"/>
              </w:rPr>
              <w:t xml:space="preserve"> es una facultad discrecional, de manera que la entidad contratante valorará si es oportuno y conveniente adoptarla teniendo en cuenta no desbordar o exceder lo preceptuado en el artículo 2.2.1.2.4.2.2 del Decreto 1082 del 2015. No obstante,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w:t>
            </w:r>
          </w:p>
        </w:tc>
      </w:tr>
    </w:tbl>
    <w:p w14:paraId="65F4B702" w14:textId="77777777" w:rsidR="004A0DB3" w:rsidRPr="00593A5F" w:rsidRDefault="004A0DB3" w:rsidP="004A0DB3">
      <w:pPr>
        <w:tabs>
          <w:tab w:val="left" w:pos="142"/>
          <w:tab w:val="left" w:pos="284"/>
        </w:tabs>
        <w:spacing w:after="0" w:line="276" w:lineRule="auto"/>
        <w:jc w:val="both"/>
        <w:rPr>
          <w:rFonts w:ascii="Verdana" w:eastAsia="Century Gothic" w:hAnsi="Verdana" w:cs="Century Gothic"/>
          <w:b/>
          <w:bCs/>
          <w:lang w:val="es-ES"/>
        </w:rPr>
      </w:pPr>
    </w:p>
    <w:p w14:paraId="781DB87E" w14:textId="77777777" w:rsidR="004A0DB3" w:rsidRPr="00593A5F" w:rsidRDefault="004A0DB3" w:rsidP="004A0DB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273BA1C7" w14:textId="77777777" w:rsidR="004A0DB3" w:rsidRPr="00593A5F" w:rsidRDefault="004A0DB3" w:rsidP="004A0DB3">
      <w:pPr>
        <w:spacing w:after="0" w:line="276" w:lineRule="auto"/>
        <w:jc w:val="both"/>
        <w:rPr>
          <w:rFonts w:ascii="Verdana" w:eastAsia="Calibri" w:hAnsi="Verdana" w:cs="Arial"/>
          <w:color w:val="7030A0"/>
          <w:lang w:val="es-ES"/>
        </w:rPr>
      </w:pPr>
    </w:p>
    <w:p w14:paraId="35BA0744" w14:textId="77777777" w:rsidR="004A0DB3" w:rsidRDefault="004A0DB3" w:rsidP="004A0DB3">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3CB5897B" w14:textId="77777777" w:rsidR="004A0DB3" w:rsidRDefault="004A0DB3" w:rsidP="004A0DB3">
      <w:pPr>
        <w:spacing w:after="0" w:line="276" w:lineRule="auto"/>
        <w:jc w:val="both"/>
        <w:rPr>
          <w:rFonts w:ascii="Verdana" w:eastAsia="Calibri" w:hAnsi="Verdana" w:cs="Arial"/>
          <w:lang w:val="es-ES"/>
        </w:rPr>
      </w:pPr>
    </w:p>
    <w:p w14:paraId="21B0195B" w14:textId="77777777" w:rsidR="00443730" w:rsidRDefault="00443730" w:rsidP="00443730">
      <w:pPr>
        <w:numPr>
          <w:ilvl w:val="0"/>
          <w:numId w:val="19"/>
        </w:numPr>
        <w:spacing w:after="120" w:line="276" w:lineRule="auto"/>
        <w:contextualSpacing/>
        <w:jc w:val="both"/>
        <w:rPr>
          <w:rFonts w:ascii="Verdana" w:hAnsi="Verdana" w:cs="Arial"/>
          <w:bCs/>
        </w:rPr>
      </w:pPr>
      <w:r w:rsidRPr="00B35173">
        <w:rPr>
          <w:rFonts w:ascii="Verdana" w:hAnsi="Verdana" w:cs="Arial"/>
          <w:bCs/>
        </w:rPr>
        <w:t xml:space="preserve">La Ley 2069 de 2020 guarda congruencia con el “Pacto por el emprendimiento, la formalización y la productividad” del Plan Nacional de Desarrollo 2018-2022, pues impulsa el nacimiento de nuevas empresas que incentiven la generación de empleo en el país. En tal sentido, su finalidad principal es generar la reactivación de la economía y fomentar la actividad emprendedora, y por ello, tiene como uno de sus propósitos </w:t>
      </w:r>
      <w:r w:rsidRPr="00B35173">
        <w:rPr>
          <w:rFonts w:ascii="Verdana" w:hAnsi="Verdana" w:cs="Arial"/>
          <w:bCs/>
        </w:rPr>
        <w:lastRenderedPageBreak/>
        <w:t xml:space="preserve">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proofErr w:type="gramStart"/>
      <w:r w:rsidRPr="00B35173">
        <w:rPr>
          <w:rFonts w:ascii="Verdana" w:hAnsi="Verdana" w:cs="Arial"/>
          <w:bCs/>
        </w:rPr>
        <w:t>“ Política</w:t>
      </w:r>
      <w:proofErr w:type="gramEnd"/>
      <w:r w:rsidRPr="00B35173">
        <w:rPr>
          <w:rFonts w:ascii="Verdana" w:hAnsi="Verdana" w:cs="Arial"/>
          <w:bCs/>
        </w:rPr>
        <w:t xml:space="preserve"> de formalización empresarial” del Documento CONPES 3956 del 8 de enero de 2019</w:t>
      </w:r>
      <w:r w:rsidRPr="00B35173">
        <w:rPr>
          <w:rStyle w:val="Refdenotaalpie"/>
          <w:rFonts w:ascii="Verdana" w:hAnsi="Verdana" w:cs="Arial"/>
          <w:bCs/>
        </w:rPr>
        <w:footnoteReference w:id="3"/>
      </w:r>
      <w:r w:rsidRPr="00B35173">
        <w:rPr>
          <w:rFonts w:ascii="Verdana" w:hAnsi="Verdana" w:cs="Arial"/>
          <w:bCs/>
        </w:rPr>
        <w:t>.</w:t>
      </w:r>
    </w:p>
    <w:p w14:paraId="7BC96A2F" w14:textId="77777777" w:rsidR="00443730" w:rsidRDefault="00443730" w:rsidP="00443730">
      <w:pPr>
        <w:numPr>
          <w:ilvl w:val="0"/>
          <w:numId w:val="19"/>
        </w:numPr>
        <w:spacing w:after="120" w:line="276" w:lineRule="auto"/>
        <w:contextualSpacing/>
        <w:jc w:val="both"/>
        <w:rPr>
          <w:rFonts w:ascii="Verdana" w:hAnsi="Verdana" w:cs="Arial"/>
          <w:bCs/>
        </w:rPr>
      </w:pPr>
      <w:r>
        <w:rPr>
          <w:rFonts w:ascii="Verdana" w:hAnsi="Verdana" w:cs="Arial"/>
          <w:bCs/>
        </w:rPr>
        <w:t xml:space="preserve">En ese sentido, la </w:t>
      </w:r>
      <w:r w:rsidRPr="00AD446C">
        <w:rPr>
          <w:rFonts w:ascii="Verdana" w:hAnsi="Verdana" w:cs="Arial"/>
          <w:bCs/>
        </w:rPr>
        <w:t xml:space="preserve">Ley </w:t>
      </w:r>
      <w:proofErr w:type="gramStart"/>
      <w:r w:rsidRPr="00AD446C">
        <w:rPr>
          <w:rFonts w:ascii="Verdana" w:hAnsi="Verdana" w:cs="Arial"/>
          <w:bCs/>
        </w:rPr>
        <w:t xml:space="preserve">2069 </w:t>
      </w:r>
      <w:r>
        <w:rPr>
          <w:rFonts w:ascii="Verdana" w:hAnsi="Verdana" w:cs="Arial"/>
          <w:bCs/>
        </w:rPr>
        <w:t xml:space="preserve"> de</w:t>
      </w:r>
      <w:proofErr w:type="gramEnd"/>
      <w:r>
        <w:rPr>
          <w:rFonts w:ascii="Verdana" w:hAnsi="Verdana" w:cs="Arial"/>
          <w:bCs/>
        </w:rPr>
        <w:t xml:space="preserve"> 2020 </w:t>
      </w:r>
      <w:r w:rsidRPr="00AD446C">
        <w:rPr>
          <w:rFonts w:ascii="Verdana" w:hAnsi="Verdana" w:cs="Arial"/>
          <w:bCs/>
        </w:rPr>
        <w:t xml:space="preserve">contiene normas que modifican algunos aspectos de la contratación estatal para promover el emprendimiento. Concretamente, aquellas se encuentran en el Capítulo III – artículos 30 al 36 </w:t>
      </w:r>
      <w:proofErr w:type="gramStart"/>
      <w:r w:rsidRPr="00AD446C">
        <w:rPr>
          <w:rFonts w:ascii="Verdana" w:hAnsi="Verdana" w:cs="Arial"/>
          <w:bCs/>
        </w:rPr>
        <w:t>– .</w:t>
      </w:r>
      <w:proofErr w:type="gramEnd"/>
      <w:r w:rsidRPr="00AD446C">
        <w:rPr>
          <w:rFonts w:ascii="Verdana" w:hAnsi="Verdana" w:cs="Arial"/>
          <w:bCs/>
        </w:rPr>
        <w:t xml:space="preserve"> En su orden, tales artículos consagran: i) reglas sobre la participación de las </w:t>
      </w:r>
      <w:proofErr w:type="spellStart"/>
      <w:r w:rsidRPr="00AD446C">
        <w:rPr>
          <w:rFonts w:ascii="Verdana" w:hAnsi="Verdana" w:cs="Arial"/>
          <w:bCs/>
        </w:rPr>
        <w:t>mipymes</w:t>
      </w:r>
      <w:proofErr w:type="spellEnd"/>
      <w:r w:rsidRPr="00AD446C">
        <w:rPr>
          <w:rFonts w:ascii="Verdana" w:hAnsi="Verdana" w:cs="Arial"/>
          <w:bCs/>
        </w:rPr>
        <w:t xml:space="preserve"> en el procedimiento de mínima cuantía, </w:t>
      </w:r>
      <w:proofErr w:type="spellStart"/>
      <w:r w:rsidRPr="00AD446C">
        <w:rPr>
          <w:rFonts w:ascii="Verdana" w:hAnsi="Verdana" w:cs="Arial"/>
          <w:bCs/>
        </w:rPr>
        <w:t>ii</w:t>
      </w:r>
      <w:proofErr w:type="spellEnd"/>
      <w:r w:rsidRPr="00AD446C">
        <w:rPr>
          <w:rFonts w:ascii="Verdana" w:hAnsi="Verdana" w:cs="Arial"/>
          <w:bCs/>
        </w:rPr>
        <w:t xml:space="preserve"> ) criterios diferenciales para </w:t>
      </w:r>
      <w:proofErr w:type="spellStart"/>
      <w:r w:rsidRPr="00AD446C">
        <w:rPr>
          <w:rFonts w:ascii="Verdana" w:hAnsi="Verdana" w:cs="Arial"/>
          <w:bCs/>
        </w:rPr>
        <w:t>mipymes</w:t>
      </w:r>
      <w:proofErr w:type="spellEnd"/>
      <w:r w:rsidRPr="00AD446C">
        <w:rPr>
          <w:rFonts w:ascii="Verdana" w:hAnsi="Verdana" w:cs="Arial"/>
          <w:bCs/>
        </w:rPr>
        <w:t xml:space="preserve"> en el sistema de compras públicas, </w:t>
      </w:r>
      <w:proofErr w:type="spellStart"/>
      <w:r w:rsidRPr="00AD446C">
        <w:rPr>
          <w:rFonts w:ascii="Verdana" w:hAnsi="Verdana" w:cs="Arial"/>
          <w:bCs/>
        </w:rPr>
        <w:t>iii</w:t>
      </w:r>
      <w:proofErr w:type="spellEnd"/>
      <w:r w:rsidRPr="00AD446C">
        <w:rPr>
          <w:rFonts w:ascii="Verdana" w:hAnsi="Verdana" w:cs="Arial"/>
          <w:bCs/>
        </w:rPr>
        <w:t xml:space="preserve"> ) criterios diferenciales para emprendimientos y empresas de mujeres en el sistema de compras públicas, </w:t>
      </w:r>
      <w:proofErr w:type="spellStart"/>
      <w:r w:rsidRPr="00AD446C">
        <w:rPr>
          <w:rFonts w:ascii="Verdana" w:hAnsi="Verdana" w:cs="Arial"/>
          <w:bCs/>
        </w:rPr>
        <w:t>iv</w:t>
      </w:r>
      <w:proofErr w:type="spellEnd"/>
      <w:r w:rsidRPr="00AD446C">
        <w:rPr>
          <w:rFonts w:ascii="Verdana" w:hAnsi="Verdana" w:cs="Arial"/>
          <w:bCs/>
        </w:rPr>
        <w:t xml:space="preserve"> ) promoción del acceso de las </w:t>
      </w:r>
      <w:proofErr w:type="spellStart"/>
      <w:r w:rsidRPr="00AD446C">
        <w:rPr>
          <w:rFonts w:ascii="Verdana" w:hAnsi="Verdana" w:cs="Arial"/>
          <w:bCs/>
        </w:rPr>
        <w:t>mipymes</w:t>
      </w:r>
      <w:proofErr w:type="spellEnd"/>
      <w:r w:rsidRPr="00AD446C">
        <w:rPr>
          <w:rFonts w:ascii="Verdana" w:hAnsi="Verdana" w:cs="Arial"/>
          <w:bCs/>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78FB7AC4" w14:textId="77777777" w:rsidR="00443730" w:rsidRPr="00AB1A95" w:rsidRDefault="00443730" w:rsidP="00443730">
      <w:pPr>
        <w:numPr>
          <w:ilvl w:val="0"/>
          <w:numId w:val="19"/>
        </w:numPr>
        <w:spacing w:after="120" w:line="276" w:lineRule="auto"/>
        <w:contextualSpacing/>
        <w:jc w:val="both"/>
        <w:rPr>
          <w:rFonts w:ascii="Verdana" w:hAnsi="Verdana" w:cs="Arial"/>
          <w:bCs/>
        </w:rPr>
      </w:pPr>
      <w:r w:rsidRPr="00AB1A95">
        <w:rPr>
          <w:rFonts w:ascii="Verdana" w:hAnsi="Verdana"/>
        </w:rPr>
        <w:t>En ese orden, se puede afirmar que las mismas buscan fomentar la actividad de las empresas que, por su tamaño o capacidad económica, no podrían competir en condiciones de igualdad con aquellas que cuentan con grandes capitales y plantas de personal. De esta manera, no solo estas pequeñas unidades de explotación económica se hacen visibles dentro del mercado de bienes y servicios requeridos por las entidades públicas, sino que se promueve de manera directa el crecimiento de las regiones en las que se desarrolla tal actividad económica.</w:t>
      </w:r>
    </w:p>
    <w:p w14:paraId="62A1AE68" w14:textId="77777777" w:rsidR="00443730" w:rsidRDefault="00443730" w:rsidP="00443730">
      <w:pPr>
        <w:numPr>
          <w:ilvl w:val="0"/>
          <w:numId w:val="19"/>
        </w:numPr>
        <w:spacing w:after="120" w:line="276" w:lineRule="auto"/>
        <w:contextualSpacing/>
        <w:jc w:val="both"/>
        <w:rPr>
          <w:rFonts w:ascii="Verdana" w:hAnsi="Verdana" w:cs="Arial"/>
          <w:bCs/>
        </w:rPr>
      </w:pPr>
      <w:r w:rsidRPr="00AD446C">
        <w:rPr>
          <w:rFonts w:ascii="Verdana" w:hAnsi="Verdana" w:cs="Arial"/>
          <w:bCs/>
        </w:rPr>
        <w:t xml:space="preserve">Ahora bien, el artículo 33 de la Ley 2069 de 2020 modificó el artículo 12 de la Ley 590 de 2000, el cual regula la promoción del acceso de las </w:t>
      </w:r>
      <w:proofErr w:type="spellStart"/>
      <w:r>
        <w:rPr>
          <w:rFonts w:ascii="Verdana" w:hAnsi="Verdana" w:cs="Arial"/>
          <w:bCs/>
        </w:rPr>
        <w:t>M</w:t>
      </w:r>
      <w:r w:rsidRPr="00AD446C">
        <w:rPr>
          <w:rFonts w:ascii="Verdana" w:hAnsi="Verdana" w:cs="Arial"/>
          <w:bCs/>
        </w:rPr>
        <w:t>ipymes</w:t>
      </w:r>
      <w:proofErr w:type="spellEnd"/>
      <w:r w:rsidRPr="00AD446C">
        <w:rPr>
          <w:rFonts w:ascii="Verdana" w:hAnsi="Verdana" w:cs="Arial"/>
          <w:bCs/>
        </w:rPr>
        <w:t xml:space="preserve"> al mercado de compras públicas. Dicha disposición consagra una serie de deberes que incumben, no solo a las entidades estatales que aplican el Estatuto General de Contratación de la Administración</w:t>
      </w:r>
      <w:r>
        <w:rPr>
          <w:rFonts w:ascii="Verdana" w:hAnsi="Verdana" w:cs="Arial"/>
          <w:bCs/>
        </w:rPr>
        <w:t xml:space="preserve"> </w:t>
      </w:r>
      <w:r w:rsidRPr="00AD446C">
        <w:rPr>
          <w:rFonts w:ascii="Verdana" w:hAnsi="Verdana" w:cs="Arial"/>
          <w:bCs/>
        </w:rPr>
        <w:t xml:space="preserve">Pública, </w:t>
      </w:r>
      <w:r w:rsidRPr="00AD446C">
        <w:rPr>
          <w:rFonts w:ascii="Verdana" w:hAnsi="Verdana" w:cs="Arial"/>
          <w:bCs/>
        </w:rPr>
        <w:lastRenderedPageBreak/>
        <w:t xml:space="preserve">sino también a las que tienen regímenes de contratación exceptuados, los patrimonios autónomos constituidos por entidades estatales y los particulares que ejecuten recursos públicos. </w:t>
      </w:r>
    </w:p>
    <w:p w14:paraId="6FACB9B3" w14:textId="77777777" w:rsidR="00443730" w:rsidRDefault="00443730" w:rsidP="002A7BC9">
      <w:pPr>
        <w:spacing w:after="120" w:line="276" w:lineRule="auto"/>
        <w:contextualSpacing/>
        <w:jc w:val="both"/>
        <w:rPr>
          <w:rFonts w:ascii="Century Gothic" w:hAnsi="Century Gothic" w:cs="Arial"/>
          <w:bCs/>
        </w:rPr>
      </w:pPr>
    </w:p>
    <w:p w14:paraId="505CF3C6" w14:textId="77777777" w:rsidR="00443730" w:rsidRPr="003B7CCD" w:rsidRDefault="00443730" w:rsidP="00443730">
      <w:pPr>
        <w:numPr>
          <w:ilvl w:val="0"/>
          <w:numId w:val="19"/>
        </w:numPr>
        <w:spacing w:after="120" w:line="276" w:lineRule="auto"/>
        <w:contextualSpacing/>
        <w:jc w:val="both"/>
        <w:rPr>
          <w:rFonts w:ascii="Verdana" w:hAnsi="Verdana" w:cs="Arial"/>
          <w:bCs/>
        </w:rPr>
      </w:pPr>
      <w:r w:rsidRPr="003B7CCD">
        <w:rPr>
          <w:rFonts w:ascii="Verdana" w:eastAsia="Calibri" w:hAnsi="Verdana" w:cs="Arial"/>
          <w:bCs/>
          <w:lang w:val="es-ES_tradnl" w:eastAsia="es-MX"/>
        </w:rPr>
        <w:t>Sin perjuicio de lo anterior, con</w:t>
      </w:r>
      <w:r w:rsidRPr="003B7CCD">
        <w:rPr>
          <w:rFonts w:ascii="Verdana" w:hAnsi="Verdana" w:cs="Arial"/>
          <w:bCs/>
          <w:color w:val="000000" w:themeColor="text1"/>
          <w:lang w:val="es-MX" w:eastAsia="es-MX"/>
        </w:rPr>
        <w:t xml:space="preserve"> la reciente expedición del Decreto 142 del de 2023</w:t>
      </w:r>
      <w:r w:rsidRPr="003B7CCD">
        <w:rPr>
          <w:rFonts w:ascii="Verdana" w:hAnsi="Verdana"/>
          <w:vertAlign w:val="superscript"/>
          <w:lang w:val="es-MX" w:eastAsia="es-MX"/>
        </w:rPr>
        <w:footnoteReference w:id="4"/>
      </w:r>
      <w:r w:rsidRPr="003B7CCD">
        <w:rPr>
          <w:rFonts w:ascii="Verdana" w:hAnsi="Verdana" w:cs="Arial"/>
          <w:bCs/>
          <w:color w:val="000000" w:themeColor="text1"/>
          <w:lang w:val="es-MX" w:eastAsia="es-MX"/>
        </w:rPr>
        <w:t xml:space="preserve"> se reglamentó la disposición contenida en el numeral 6 del artículo 33 de la Ley 2069 de 2020</w:t>
      </w:r>
      <w:r w:rsidRPr="003B7CCD">
        <w:rPr>
          <w:rFonts w:ascii="Verdana" w:hAnsi="Verdana" w:cs="Arial"/>
          <w:bCs/>
          <w:color w:val="000000" w:themeColor="text1"/>
          <w:vertAlign w:val="superscript"/>
          <w:lang w:val="es-MX" w:eastAsia="es-MX"/>
        </w:rPr>
        <w:footnoteReference w:id="5"/>
      </w:r>
      <w:r w:rsidRPr="003B7CCD">
        <w:rPr>
          <w:rFonts w:ascii="Verdana" w:hAnsi="Verdana" w:cs="Arial"/>
          <w:bCs/>
          <w:color w:val="000000" w:themeColor="text1"/>
          <w:lang w:val="es-MX" w:eastAsia="es-MX"/>
        </w:rPr>
        <w:t xml:space="preserve">. Con el fin de cumplir el mandato legal indicado, el artículo 2 del Decreto 0142 de 2023 modificó el artículo </w:t>
      </w:r>
      <w:r w:rsidRPr="003B7CCD">
        <w:rPr>
          <w:rFonts w:ascii="Verdana" w:hAnsi="Verdana" w:cs="Arial"/>
          <w:bCs/>
          <w:color w:val="000000"/>
        </w:rPr>
        <w:t>2.2.1.1.1.4.1</w:t>
      </w:r>
      <w:r w:rsidRPr="003B7CCD">
        <w:rPr>
          <w:rFonts w:ascii="Verdana" w:hAnsi="Verdana" w:cs="Arial"/>
          <w:bCs/>
          <w:color w:val="000000" w:themeColor="text1"/>
          <w:lang w:val="es-MX" w:eastAsia="es-MX"/>
        </w:rPr>
        <w:t xml:space="preserve"> </w:t>
      </w:r>
      <w:r w:rsidRPr="003B7CCD">
        <w:rPr>
          <w:rFonts w:ascii="Verdana" w:hAnsi="Verdana" w:cs="Arial"/>
          <w:bCs/>
          <w:color w:val="000000"/>
        </w:rPr>
        <w:t>del Decreto 1082 de 2015</w:t>
      </w:r>
      <w:r w:rsidRPr="003B7CCD">
        <w:rPr>
          <w:rFonts w:ascii="Verdana" w:hAnsi="Verdana"/>
          <w:color w:val="000000"/>
          <w:vertAlign w:val="superscript"/>
        </w:rPr>
        <w:footnoteReference w:id="6"/>
      </w:r>
      <w:r w:rsidRPr="003B7CCD">
        <w:rPr>
          <w:rFonts w:ascii="Verdana" w:hAnsi="Verdana" w:cs="Arial"/>
          <w:bCs/>
          <w:i/>
          <w:iCs/>
          <w:color w:val="000000"/>
        </w:rPr>
        <w:t xml:space="preserve">, </w:t>
      </w:r>
      <w:r w:rsidRPr="003B7CCD">
        <w:rPr>
          <w:rFonts w:ascii="Verdana" w:hAnsi="Verdana" w:cs="Arial"/>
          <w:bCs/>
          <w:color w:val="000000"/>
        </w:rPr>
        <w:t xml:space="preserve">para </w:t>
      </w:r>
      <w:r w:rsidRPr="003B7CCD">
        <w:rPr>
          <w:rFonts w:ascii="Verdana" w:hAnsi="Verdana" w:cs="Arial"/>
          <w:bCs/>
        </w:rPr>
        <w:t xml:space="preserve">instar a las entidades públicas para que, desde la configuración del Plan Anual de Adquisiciones, propendan por planear su contratación de tal manera que promueva el adelantamiento de procesos de contratación por lotes o segmentos, a fin de promover la participación de las </w:t>
      </w:r>
      <w:proofErr w:type="spellStart"/>
      <w:r w:rsidRPr="003B7CCD">
        <w:rPr>
          <w:rFonts w:ascii="Verdana" w:hAnsi="Verdana" w:cs="Arial"/>
          <w:bCs/>
        </w:rPr>
        <w:t>Mipymes</w:t>
      </w:r>
      <w:proofErr w:type="spellEnd"/>
      <w:r w:rsidRPr="003B7CCD">
        <w:rPr>
          <w:rFonts w:ascii="Verdana" w:hAnsi="Verdana" w:cs="Arial"/>
          <w:bCs/>
        </w:rPr>
        <w:t xml:space="preserve"> en los procesos de contratación. En concordancia con lo anterior,</w:t>
      </w:r>
      <w:r w:rsidRPr="003B7CCD">
        <w:rPr>
          <w:rFonts w:ascii="Verdana" w:hAnsi="Verdana" w:cs="Arial"/>
          <w:bCs/>
          <w:i/>
          <w:iCs/>
        </w:rPr>
        <w:t xml:space="preserve"> </w:t>
      </w:r>
      <w:r w:rsidRPr="003B7CCD">
        <w:rPr>
          <w:rFonts w:ascii="Verdana" w:hAnsi="Verdana" w:cs="Arial"/>
          <w:bCs/>
        </w:rPr>
        <w:t xml:space="preserve">el artículo 6 del Decreto 142 de 2023, adicionó el </w:t>
      </w:r>
      <w:r w:rsidRPr="003B7CCD">
        <w:rPr>
          <w:rFonts w:ascii="Verdana" w:hAnsi="Verdana" w:cs="Arial"/>
          <w:bCs/>
          <w:color w:val="000000"/>
        </w:rPr>
        <w:t>2.2.1.2.4.2.19 </w:t>
      </w:r>
      <w:r w:rsidRPr="003B7CCD">
        <w:rPr>
          <w:rFonts w:ascii="Verdana" w:hAnsi="Verdana" w:cs="Arial"/>
          <w:bCs/>
          <w:iCs/>
          <w:color w:val="000000"/>
        </w:rPr>
        <w:t>al Decreto 1082 de 2015</w:t>
      </w:r>
      <w:r w:rsidRPr="003B7CCD">
        <w:rPr>
          <w:rFonts w:ascii="Verdana" w:hAnsi="Verdana" w:cs="Arial"/>
          <w:bCs/>
          <w:i/>
          <w:iCs/>
          <w:color w:val="000000"/>
        </w:rPr>
        <w:t xml:space="preserve">, </w:t>
      </w:r>
      <w:r w:rsidRPr="003B7CCD">
        <w:rPr>
          <w:rFonts w:ascii="Verdana" w:hAnsi="Verdana" w:cs="Arial"/>
          <w:bCs/>
          <w:color w:val="000000"/>
        </w:rPr>
        <w:t xml:space="preserve">ratificando en el reglamento el deber de las entidades estatales de promover la división de </w:t>
      </w:r>
      <w:r w:rsidRPr="003B7CCD">
        <w:rPr>
          <w:rFonts w:ascii="Verdana" w:eastAsia="Times New Roman" w:hAnsi="Verdana" w:cs="Arial"/>
          <w:bCs/>
          <w:color w:val="000000"/>
          <w:lang w:eastAsia="es-CO"/>
        </w:rPr>
        <w:t xml:space="preserve">procesos de contratación en lotes o segmentos, </w:t>
      </w:r>
      <w:r w:rsidRPr="003B7CCD">
        <w:rPr>
          <w:rFonts w:ascii="Verdana" w:eastAsia="Times New Roman" w:hAnsi="Verdana" w:cs="Arial"/>
          <w:bCs/>
          <w:color w:val="000000"/>
          <w:lang w:eastAsia="es-CO"/>
        </w:rPr>
        <w:lastRenderedPageBreak/>
        <w:t xml:space="preserve">ya establecido de manera expresa en el </w:t>
      </w:r>
      <w:r w:rsidRPr="003B7CCD">
        <w:rPr>
          <w:rFonts w:ascii="Verdana" w:hAnsi="Verdana" w:cs="Arial"/>
          <w:bCs/>
          <w:color w:val="000000" w:themeColor="text1"/>
          <w:lang w:val="es-MX" w:eastAsia="es-MX"/>
        </w:rPr>
        <w:t>numeral 6 del artículo 33 de la Ley 2069 de 2020. Esta última</w:t>
      </w:r>
      <w:r w:rsidRPr="003B7CCD">
        <w:rPr>
          <w:rFonts w:ascii="Verdana" w:hAnsi="Verdana" w:cs="Arial"/>
          <w:bCs/>
          <w:color w:val="000000"/>
        </w:rPr>
        <w:t xml:space="preserve"> obedece al siguiente tenor:  </w:t>
      </w:r>
    </w:p>
    <w:p w14:paraId="1900D490" w14:textId="77777777" w:rsidR="00443730" w:rsidRPr="003B7CCD" w:rsidRDefault="00443730" w:rsidP="00443730">
      <w:pPr>
        <w:spacing w:after="0" w:line="276" w:lineRule="auto"/>
        <w:ind w:firstLine="709"/>
        <w:jc w:val="both"/>
        <w:rPr>
          <w:rFonts w:ascii="Verdana" w:hAnsi="Verdana"/>
          <w:b/>
          <w:bCs/>
          <w:color w:val="333333"/>
          <w:shd w:val="clear" w:color="auto" w:fill="FFFFFF"/>
        </w:rPr>
      </w:pPr>
    </w:p>
    <w:p w14:paraId="4FE765CA" w14:textId="77777777" w:rsidR="00443730" w:rsidRPr="004A2ED0" w:rsidRDefault="00443730" w:rsidP="00443730">
      <w:pPr>
        <w:spacing w:after="120" w:line="240" w:lineRule="auto"/>
        <w:ind w:left="1416" w:right="709"/>
        <w:contextualSpacing/>
        <w:jc w:val="both"/>
        <w:rPr>
          <w:rFonts w:ascii="Verdana" w:eastAsia="Times New Roman" w:hAnsi="Verdana" w:cs="Arial"/>
          <w:color w:val="000000"/>
          <w:sz w:val="21"/>
          <w:szCs w:val="21"/>
          <w:lang w:eastAsia="es-CO"/>
        </w:rPr>
      </w:pPr>
      <w:r w:rsidRPr="003B7CCD">
        <w:rPr>
          <w:rFonts w:ascii="Verdana" w:eastAsia="Times New Roman" w:hAnsi="Verdana" w:cs="Arial"/>
          <w:color w:val="000000"/>
          <w:sz w:val="20"/>
          <w:szCs w:val="20"/>
          <w:lang w:eastAsia="es-CO"/>
        </w:rPr>
        <w:t>“Artículo 2.2.1.2.4.2.19. </w:t>
      </w:r>
      <w:r w:rsidRPr="003B7CCD">
        <w:rPr>
          <w:rFonts w:ascii="Verdana" w:eastAsia="Times New Roman" w:hAnsi="Verdana" w:cs="Arial"/>
          <w:i/>
          <w:iCs/>
          <w:color w:val="000000"/>
          <w:sz w:val="20"/>
          <w:szCs w:val="20"/>
          <w:lang w:eastAsia="es-CO"/>
        </w:rPr>
        <w:t>División en lotes o segmentos. </w:t>
      </w:r>
      <w:r w:rsidRPr="003B7CCD">
        <w:rPr>
          <w:rFonts w:ascii="Verdana" w:eastAsia="Times New Roman" w:hAnsi="Verdana" w:cs="Arial"/>
          <w:color w:val="000000"/>
          <w:sz w:val="20"/>
          <w:szCs w:val="20"/>
          <w:lang w:eastAsia="es-CO"/>
        </w:rPr>
        <w:t xml:space="preserve">Las entidades estatales promoverán la división de procesos de contratación en lotes o segmentos que faciliten la participación de </w:t>
      </w:r>
      <w:r w:rsidRPr="004A2ED0">
        <w:rPr>
          <w:rFonts w:ascii="Verdana" w:eastAsia="Times New Roman" w:hAnsi="Verdana" w:cs="Arial"/>
          <w:color w:val="000000"/>
          <w:sz w:val="21"/>
          <w:szCs w:val="21"/>
          <w:lang w:eastAsia="es-CO"/>
        </w:rPr>
        <w:t xml:space="preserve">las </w:t>
      </w:r>
      <w:proofErr w:type="spellStart"/>
      <w:r w:rsidRPr="004A2ED0">
        <w:rPr>
          <w:rFonts w:ascii="Verdana" w:eastAsia="Times New Roman" w:hAnsi="Verdana" w:cs="Arial"/>
          <w:color w:val="000000"/>
          <w:sz w:val="21"/>
          <w:szCs w:val="21"/>
          <w:lang w:eastAsia="es-CO"/>
        </w:rPr>
        <w:t>Mipymes</w:t>
      </w:r>
      <w:proofErr w:type="spellEnd"/>
      <w:r w:rsidRPr="004A2ED0">
        <w:rPr>
          <w:rFonts w:ascii="Verdana" w:eastAsia="Times New Roman" w:hAnsi="Verdana" w:cs="Arial"/>
          <w:color w:val="000000"/>
          <w:sz w:val="21"/>
          <w:szCs w:val="21"/>
          <w:lang w:eastAsia="es-CO"/>
        </w:rPr>
        <w:t xml:space="preserve"> atendiendo a criterios tales como: i) el tipo de entregable, </w:t>
      </w:r>
      <w:proofErr w:type="spellStart"/>
      <w:r w:rsidRPr="004A2ED0">
        <w:rPr>
          <w:rFonts w:ascii="Verdana" w:eastAsia="Times New Roman" w:hAnsi="Verdana" w:cs="Arial"/>
          <w:color w:val="000000"/>
          <w:sz w:val="21"/>
          <w:szCs w:val="21"/>
          <w:lang w:eastAsia="es-CO"/>
        </w:rPr>
        <w:t>ii</w:t>
      </w:r>
      <w:proofErr w:type="spellEnd"/>
      <w:r w:rsidRPr="004A2ED0">
        <w:rPr>
          <w:rFonts w:ascii="Verdana" w:eastAsia="Times New Roman" w:hAnsi="Verdana" w:cs="Arial"/>
          <w:color w:val="000000"/>
          <w:sz w:val="21"/>
          <w:szCs w:val="21"/>
          <w:lang w:eastAsia="es-CO"/>
        </w:rPr>
        <w:t xml:space="preserve">) el valor del contrato y </w:t>
      </w:r>
      <w:proofErr w:type="spellStart"/>
      <w:r w:rsidRPr="004A2ED0">
        <w:rPr>
          <w:rFonts w:ascii="Verdana" w:eastAsia="Times New Roman" w:hAnsi="Verdana" w:cs="Arial"/>
          <w:color w:val="000000"/>
          <w:sz w:val="21"/>
          <w:szCs w:val="21"/>
          <w:lang w:eastAsia="es-CO"/>
        </w:rPr>
        <w:t>iii</w:t>
      </w:r>
      <w:proofErr w:type="spellEnd"/>
      <w:r w:rsidRPr="004A2ED0">
        <w:rPr>
          <w:rFonts w:ascii="Verdana" w:eastAsia="Times New Roman" w:hAnsi="Verdana" w:cs="Arial"/>
          <w:color w:val="000000"/>
          <w:sz w:val="21"/>
          <w:szCs w:val="21"/>
          <w:lang w:eastAsia="es-CO"/>
        </w:rPr>
        <w:t>) el ámbito geográfico de la entrega. Para el efecto: las entidades estatales deberán tener en cuenta el análisis del sector económico y de los oferentes en los términos establecidos en el artículo 2.2.1.1.1.6.1. de presente decreto. </w:t>
      </w:r>
    </w:p>
    <w:p w14:paraId="7B38C92D" w14:textId="77777777" w:rsidR="00443730" w:rsidRPr="004A2ED0" w:rsidRDefault="00443730" w:rsidP="00443730">
      <w:pPr>
        <w:spacing w:after="120" w:line="240" w:lineRule="auto"/>
        <w:ind w:left="1416" w:right="709"/>
        <w:contextualSpacing/>
        <w:jc w:val="both"/>
        <w:rPr>
          <w:rFonts w:ascii="Verdana" w:eastAsia="Times New Roman" w:hAnsi="Verdana" w:cs="Arial"/>
          <w:color w:val="000000"/>
          <w:sz w:val="21"/>
          <w:szCs w:val="21"/>
          <w:lang w:eastAsia="es-CO"/>
        </w:rPr>
      </w:pPr>
      <w:r w:rsidRPr="004A2ED0">
        <w:rPr>
          <w:rFonts w:ascii="Verdana" w:eastAsia="Times New Roman" w:hAnsi="Verdana" w:cs="Arial"/>
          <w:color w:val="000000"/>
          <w:sz w:val="21"/>
          <w:szCs w:val="21"/>
          <w:lang w:eastAsia="es-CO"/>
        </w:rPr>
        <w:t>[…]  </w:t>
      </w:r>
    </w:p>
    <w:p w14:paraId="4C8AB889" w14:textId="77777777" w:rsidR="00443730" w:rsidRPr="004A2ED0" w:rsidRDefault="00443730" w:rsidP="00443730">
      <w:pPr>
        <w:spacing w:after="120" w:line="240" w:lineRule="auto"/>
        <w:ind w:left="1416" w:right="709"/>
        <w:contextualSpacing/>
        <w:jc w:val="both"/>
        <w:rPr>
          <w:rFonts w:ascii="Verdana" w:eastAsia="Times New Roman" w:hAnsi="Verdana" w:cs="Arial"/>
          <w:color w:val="000000"/>
          <w:sz w:val="21"/>
          <w:szCs w:val="21"/>
          <w:lang w:eastAsia="es-CO"/>
        </w:rPr>
      </w:pPr>
      <w:r w:rsidRPr="004A2ED0">
        <w:rPr>
          <w:rFonts w:ascii="Verdana" w:eastAsia="Times New Roman" w:hAnsi="Verdana" w:cs="Arial"/>
          <w:color w:val="000000"/>
          <w:sz w:val="21"/>
          <w:szCs w:val="21"/>
          <w:lang w:eastAsia="es-CO"/>
        </w:rPr>
        <w:t>Las entidades estatales podrán incluir en el pliego de condiciones mecanismos o reglas que limiten el número de lotes que se adjudican a un mismo proponente, con el fin de evitar que se concentre la contratación, sobre la base de criterios objetivos y no discriminatorios. La decisión de no adjudicar un contrato en lotes o segmentos podrá obedecer entre otras razones, a que mediante este mecanismo se pueda restringir la competencia o que la segmentación del mercado pueda conducir a que la ejecución del contrato sea imposible desde el punto de vista técnico o económico. </w:t>
      </w:r>
    </w:p>
    <w:p w14:paraId="00D63CE9" w14:textId="77777777" w:rsidR="00443730" w:rsidRPr="004A2ED0" w:rsidRDefault="00443730" w:rsidP="00443730">
      <w:pPr>
        <w:spacing w:after="0" w:line="240" w:lineRule="auto"/>
        <w:ind w:left="1416" w:right="709"/>
        <w:contextualSpacing/>
        <w:jc w:val="both"/>
        <w:rPr>
          <w:rFonts w:ascii="Verdana" w:eastAsia="Times New Roman" w:hAnsi="Verdana" w:cs="Arial"/>
          <w:color w:val="000000"/>
          <w:sz w:val="21"/>
          <w:szCs w:val="21"/>
          <w:lang w:eastAsia="es-CO"/>
        </w:rPr>
      </w:pPr>
      <w:r w:rsidRPr="004A2ED0">
        <w:rPr>
          <w:rFonts w:ascii="Verdana" w:eastAsia="Times New Roman" w:hAnsi="Verdana" w:cs="Arial"/>
          <w:color w:val="000000"/>
          <w:sz w:val="21"/>
          <w:szCs w:val="21"/>
          <w:lang w:eastAsia="es-CO"/>
        </w:rPr>
        <w:t>Parágrafo. En los Procesos de Contratación adelantados por lotes o grupos deberá aplicarse lo regulado en el artículo 2.2.1.2.4.2.2. del presente Decreto, tornando en consideración el valor del Proceso de Contratación imputable al respectivo lote en el que se solicite su aplicación. De igual manera será aplicable lo previsto en el artículo 2.2.1.2.4.2.3. a partir del lugar de ejecución del contrato asociado al respectivo lote o segmento”. </w:t>
      </w:r>
    </w:p>
    <w:p w14:paraId="35EB61A8" w14:textId="77777777" w:rsidR="00443730" w:rsidRPr="00B90119" w:rsidRDefault="00443730" w:rsidP="00443730">
      <w:pPr>
        <w:spacing w:after="0" w:line="276" w:lineRule="auto"/>
        <w:ind w:firstLine="709"/>
        <w:jc w:val="both"/>
        <w:rPr>
          <w:rFonts w:ascii="Arial" w:hAnsi="Arial" w:cs="Arial"/>
        </w:rPr>
      </w:pPr>
    </w:p>
    <w:p w14:paraId="220E278D" w14:textId="77777777" w:rsidR="00443730" w:rsidRPr="003B7CCD" w:rsidRDefault="00443730" w:rsidP="00443730">
      <w:pPr>
        <w:numPr>
          <w:ilvl w:val="0"/>
          <w:numId w:val="19"/>
        </w:numPr>
        <w:spacing w:after="120" w:line="276" w:lineRule="auto"/>
        <w:contextualSpacing/>
        <w:jc w:val="both"/>
        <w:rPr>
          <w:rFonts w:ascii="Verdana" w:hAnsi="Verdana" w:cs="Arial"/>
        </w:rPr>
      </w:pPr>
      <w:r w:rsidRPr="003B7CCD">
        <w:rPr>
          <w:rFonts w:ascii="Verdana" w:hAnsi="Verdana" w:cs="Arial"/>
          <w:color w:val="000000"/>
        </w:rPr>
        <w:t xml:space="preserve">Como se observa, el primer inciso de la norma establece los criterios que pueden tener en cuenta las entidades públicas para dividir los procesos por lotes o segmentos como lo son: i) el tipo de entregable, </w:t>
      </w:r>
      <w:proofErr w:type="spellStart"/>
      <w:r w:rsidRPr="003B7CCD">
        <w:rPr>
          <w:rFonts w:ascii="Verdana" w:hAnsi="Verdana" w:cs="Arial"/>
          <w:color w:val="000000"/>
        </w:rPr>
        <w:t>ii</w:t>
      </w:r>
      <w:proofErr w:type="spellEnd"/>
      <w:r w:rsidRPr="003B7CCD">
        <w:rPr>
          <w:rFonts w:ascii="Verdana" w:hAnsi="Verdana" w:cs="Arial"/>
          <w:color w:val="000000"/>
        </w:rPr>
        <w:t>) el valor del contrato y (</w:t>
      </w:r>
      <w:proofErr w:type="spellStart"/>
      <w:r w:rsidRPr="003B7CCD">
        <w:rPr>
          <w:rFonts w:ascii="Verdana" w:hAnsi="Verdana" w:cs="Arial"/>
          <w:color w:val="000000"/>
        </w:rPr>
        <w:t>iii</w:t>
      </w:r>
      <w:proofErr w:type="spellEnd"/>
      <w:r w:rsidRPr="003B7CCD">
        <w:rPr>
          <w:rFonts w:ascii="Verdana" w:hAnsi="Verdana" w:cs="Arial"/>
          <w:color w:val="000000"/>
        </w:rPr>
        <w:t>) el ámbito geográfico de la entrega</w:t>
      </w:r>
      <w:r w:rsidRPr="003B7CCD">
        <w:rPr>
          <w:rFonts w:ascii="Verdana" w:hAnsi="Verdana" w:cs="Arial"/>
        </w:rPr>
        <w:t xml:space="preserve">. Estos criterios se disponen, con el fin de facilitar la participación de las </w:t>
      </w:r>
      <w:proofErr w:type="spellStart"/>
      <w:r w:rsidRPr="003B7CCD">
        <w:rPr>
          <w:rFonts w:ascii="Verdana" w:hAnsi="Verdana" w:cs="Arial"/>
        </w:rPr>
        <w:t>Mipymes</w:t>
      </w:r>
      <w:proofErr w:type="spellEnd"/>
      <w:r w:rsidRPr="003B7CCD">
        <w:rPr>
          <w:rFonts w:ascii="Verdana" w:hAnsi="Verdana" w:cs="Arial"/>
        </w:rPr>
        <w:t xml:space="preserve"> en los procesos de contratación. </w:t>
      </w:r>
      <w:r w:rsidRPr="003B7CCD">
        <w:rPr>
          <w:rFonts w:ascii="Verdana" w:eastAsia="Times New Roman" w:hAnsi="Verdana" w:cs="Arial"/>
          <w:color w:val="000000"/>
          <w:lang w:eastAsia="es-CO"/>
        </w:rPr>
        <w:t>Asimismo, la norma señala que, para dar cumplimiento a lo indicado, las</w:t>
      </w:r>
      <w:r w:rsidRPr="003B7CCD">
        <w:rPr>
          <w:rFonts w:ascii="Verdana" w:hAnsi="Verdana" w:cs="Arial"/>
          <w:color w:val="000000"/>
        </w:rPr>
        <w:t xml:space="preserve"> entidades estatales deberán tener en cuenta el análisis del sector económico y de los oferentes en los términos establecidos en el artículo 2.2.1.1.1.6.1 del Decreto 1082 de 2015. </w:t>
      </w:r>
    </w:p>
    <w:p w14:paraId="14101009" w14:textId="77777777" w:rsidR="00443730" w:rsidRPr="003B7CCD" w:rsidRDefault="00443730" w:rsidP="00443730">
      <w:pPr>
        <w:numPr>
          <w:ilvl w:val="0"/>
          <w:numId w:val="19"/>
        </w:numPr>
        <w:spacing w:after="120" w:line="276" w:lineRule="auto"/>
        <w:contextualSpacing/>
        <w:jc w:val="both"/>
        <w:rPr>
          <w:rFonts w:ascii="Verdana" w:eastAsia="Times New Roman" w:hAnsi="Verdana" w:cs="Arial"/>
          <w:color w:val="000000"/>
          <w:lang w:eastAsia="es-CO"/>
        </w:rPr>
      </w:pPr>
      <w:r w:rsidRPr="003B7CCD">
        <w:rPr>
          <w:rFonts w:ascii="Verdana" w:hAnsi="Verdana" w:cs="Arial"/>
        </w:rPr>
        <w:t xml:space="preserve">Por su parte, el cuarto inciso de la disposición, habilita a las entidades públicas para que incluyan en los pliegos de condiciones mecanismos y </w:t>
      </w:r>
      <w:r w:rsidRPr="003B7CCD">
        <w:rPr>
          <w:rFonts w:ascii="Verdana" w:hAnsi="Verdana" w:cs="Arial"/>
        </w:rPr>
        <w:lastRenderedPageBreak/>
        <w:t xml:space="preserve">reglas que limiten el número de lotes que pueden ser adjudicados a un mismo oferente. En relación con este aspecto, se considera que, como la norma no determina que los </w:t>
      </w:r>
      <w:r w:rsidRPr="003B7CCD">
        <w:rPr>
          <w:rFonts w:ascii="Verdana" w:hAnsi="Verdana" w:cs="Arial"/>
          <w:i/>
          <w:iCs/>
        </w:rPr>
        <w:t>mecanismos y reglas</w:t>
      </w:r>
      <w:r w:rsidRPr="003B7CCD">
        <w:rPr>
          <w:rFonts w:ascii="Verdana" w:hAnsi="Verdana" w:cs="Arial"/>
        </w:rPr>
        <w:t xml:space="preserve"> que pueden establecer las entidades para limitar el número de lotes a adjudicarse a un mismo oferente, solo proceda respecto de los lotes o segmentos de un mismo proceso de contratación, la </w:t>
      </w:r>
      <w:r w:rsidRPr="003B7CCD">
        <w:rPr>
          <w:rFonts w:ascii="Verdana" w:eastAsia="Times New Roman" w:hAnsi="Verdana" w:cs="Arial"/>
          <w:color w:val="000000"/>
          <w:lang w:eastAsia="es-CO"/>
        </w:rPr>
        <w:t xml:space="preserve">restricción puede incluirse en relación con todos los lotes o segmentos de los diferentes procesos de selección que adelante la entidad estatal. </w:t>
      </w:r>
    </w:p>
    <w:p w14:paraId="4743EB82" w14:textId="77777777" w:rsidR="00443730" w:rsidRPr="003B7CCD" w:rsidRDefault="00443730" w:rsidP="00443730">
      <w:pPr>
        <w:numPr>
          <w:ilvl w:val="0"/>
          <w:numId w:val="19"/>
        </w:numPr>
        <w:spacing w:after="120" w:line="276" w:lineRule="auto"/>
        <w:contextualSpacing/>
        <w:jc w:val="both"/>
        <w:rPr>
          <w:rFonts w:ascii="Verdana" w:hAnsi="Verdana" w:cs="Arial"/>
        </w:rPr>
      </w:pPr>
      <w:r w:rsidRPr="003B7CCD">
        <w:rPr>
          <w:rFonts w:ascii="Verdana" w:eastAsia="Times New Roman" w:hAnsi="Verdana" w:cs="Arial"/>
          <w:color w:val="000000"/>
          <w:lang w:eastAsia="es-CO"/>
        </w:rPr>
        <w:t xml:space="preserve">De esta forma, la entidad estatal podrá limitar el número de lotes de los que puede resultar adjudicatario un mismo proponente, considerando los segmentos de los distintos procesos de selección que se encuentre adelantando. Esto, </w:t>
      </w:r>
      <w:r w:rsidRPr="003B7CCD">
        <w:rPr>
          <w:rFonts w:ascii="Verdana" w:hAnsi="Verdana" w:cs="Arial"/>
          <w:i/>
          <w:iCs/>
        </w:rPr>
        <w:t>“con la finalidad de evitar que se concentre la contratación”</w:t>
      </w:r>
      <w:r w:rsidRPr="003B7CCD">
        <w:rPr>
          <w:rFonts w:ascii="Verdana" w:hAnsi="Verdana" w:cs="Arial"/>
        </w:rPr>
        <w:t xml:space="preserve"> en un solo oferente, y siempre y cuando esta restricción se realice sobre la base de criterios objetivos y no discriminatorios. </w:t>
      </w:r>
    </w:p>
    <w:p w14:paraId="13AEA396" w14:textId="77777777" w:rsidR="00443730" w:rsidRPr="003B7CCD" w:rsidRDefault="00443730" w:rsidP="00443730">
      <w:pPr>
        <w:numPr>
          <w:ilvl w:val="0"/>
          <w:numId w:val="19"/>
        </w:numPr>
        <w:spacing w:after="120" w:line="276" w:lineRule="auto"/>
        <w:contextualSpacing/>
        <w:jc w:val="both"/>
        <w:rPr>
          <w:rFonts w:ascii="Verdana" w:eastAsia="Times New Roman" w:hAnsi="Verdana" w:cs="Arial"/>
          <w:color w:val="000000"/>
          <w:lang w:eastAsia="es-CO"/>
        </w:rPr>
      </w:pPr>
      <w:r w:rsidRPr="003B7CCD">
        <w:rPr>
          <w:rFonts w:ascii="Verdana" w:eastAsia="Times New Roman" w:hAnsi="Verdana" w:cs="Arial"/>
          <w:color w:val="000000"/>
          <w:lang w:eastAsia="es-CO"/>
        </w:rPr>
        <w:t xml:space="preserve">Conforme a lo anterior, le corresponde a la entidad estatal en ejercicio de su autonomía y discrecionalidad que le confiere el artículo 2.2.1.2.4.2.19 del Decreto 1082 de 2015, determinar en los pliegos de condiciones para los procesos estructurados por lotes o segmentos, si un proponente puede resultar adjudicatario en uno o varios de los lotes o segmentos en los que se dividen los distinto procesos de contratación que se encuentra adelantando. </w:t>
      </w:r>
    </w:p>
    <w:p w14:paraId="2DC65E4D" w14:textId="77777777" w:rsidR="00443730" w:rsidRPr="003B7CCD" w:rsidRDefault="00443730" w:rsidP="00443730">
      <w:pPr>
        <w:numPr>
          <w:ilvl w:val="0"/>
          <w:numId w:val="19"/>
        </w:numPr>
        <w:spacing w:after="120" w:line="276" w:lineRule="auto"/>
        <w:contextualSpacing/>
        <w:jc w:val="both"/>
        <w:rPr>
          <w:rFonts w:ascii="Verdana" w:eastAsia="Times New Roman" w:hAnsi="Verdana" w:cs="Arial"/>
          <w:color w:val="000000"/>
          <w:lang w:eastAsia="es-CO"/>
        </w:rPr>
      </w:pPr>
      <w:r w:rsidRPr="003B7CCD">
        <w:rPr>
          <w:rFonts w:ascii="Verdana" w:eastAsia="Times New Roman" w:hAnsi="Verdana" w:cs="Arial"/>
          <w:color w:val="000000"/>
          <w:lang w:eastAsia="es-CO"/>
        </w:rPr>
        <w:t xml:space="preserve">Esto supone la posibilidad de que la entidad estatal establezca en el pliego de condiciones reglas y/o causales de rechazo, dirigidas a excluir garantizar a evitar que se concentre la contratación en un único proponente.  </w:t>
      </w:r>
      <w:r w:rsidRPr="003B7CCD">
        <w:rPr>
          <w:rFonts w:ascii="Verdana" w:hAnsi="Verdana" w:cs="Arial"/>
        </w:rPr>
        <w:t xml:space="preserve">Además, el inciso en comento establece que, la decisión de la entidad </w:t>
      </w:r>
      <w:r w:rsidRPr="003B7CCD">
        <w:rPr>
          <w:rFonts w:ascii="Verdana" w:eastAsia="Times New Roman" w:hAnsi="Verdana" w:cs="Arial"/>
          <w:color w:val="000000"/>
          <w:lang w:eastAsia="es-CO"/>
        </w:rPr>
        <w:t xml:space="preserve">de no adjudicar un contrato puede obedecer −entre otras razones− a que: i) mediante este mecanismo se pueda restringir la competencia o </w:t>
      </w:r>
      <w:proofErr w:type="spellStart"/>
      <w:r w:rsidRPr="003B7CCD">
        <w:rPr>
          <w:rFonts w:ascii="Verdana" w:eastAsia="Times New Roman" w:hAnsi="Verdana" w:cs="Arial"/>
          <w:color w:val="000000"/>
          <w:lang w:eastAsia="es-CO"/>
        </w:rPr>
        <w:t>ii</w:t>
      </w:r>
      <w:proofErr w:type="spellEnd"/>
      <w:r w:rsidRPr="003B7CCD">
        <w:rPr>
          <w:rFonts w:ascii="Verdana" w:eastAsia="Times New Roman" w:hAnsi="Verdana" w:cs="Arial"/>
          <w:color w:val="000000"/>
          <w:lang w:eastAsia="es-CO"/>
        </w:rPr>
        <w:t>) que la segmentación del mercado pueda conducir a que la ejecución del contrato sea imposible desde el punto de vista técnico o económico.</w:t>
      </w:r>
    </w:p>
    <w:p w14:paraId="2E1C7B47" w14:textId="77777777" w:rsidR="00443730" w:rsidRPr="003B7CCD" w:rsidRDefault="00443730" w:rsidP="00443730">
      <w:pPr>
        <w:numPr>
          <w:ilvl w:val="0"/>
          <w:numId w:val="19"/>
        </w:numPr>
        <w:shd w:val="clear" w:color="auto" w:fill="FFFFFF"/>
        <w:spacing w:after="120" w:line="276" w:lineRule="auto"/>
        <w:contextualSpacing/>
        <w:jc w:val="both"/>
        <w:rPr>
          <w:rFonts w:ascii="Verdana" w:hAnsi="Verdana" w:cs="Arial"/>
        </w:rPr>
      </w:pPr>
      <w:r w:rsidRPr="003B7CCD">
        <w:rPr>
          <w:rFonts w:ascii="Verdana" w:hAnsi="Verdana" w:cs="Arial"/>
        </w:rPr>
        <w:t xml:space="preserve">Por otra parte, el parágrafo de la norma menciona que, en los procesos de contratación adelantados por lotes o grupos deberá aplicarse lo regulado en el artículo </w:t>
      </w:r>
      <w:r w:rsidRPr="003B7CCD">
        <w:rPr>
          <w:rFonts w:ascii="Verdana" w:hAnsi="Verdana" w:cs="Arial"/>
          <w:color w:val="000000"/>
        </w:rPr>
        <w:t>2.2.1.2.4.2.2</w:t>
      </w:r>
      <w:r w:rsidRPr="003B7CCD">
        <w:rPr>
          <w:rFonts w:ascii="Verdana" w:hAnsi="Verdana"/>
          <w:color w:val="000000"/>
          <w:vertAlign w:val="superscript"/>
        </w:rPr>
        <w:footnoteReference w:id="7"/>
      </w:r>
      <w:r w:rsidRPr="003B7CCD">
        <w:rPr>
          <w:rFonts w:ascii="Verdana" w:hAnsi="Verdana" w:cs="Arial"/>
          <w:color w:val="000000"/>
        </w:rPr>
        <w:t xml:space="preserve"> </w:t>
      </w:r>
      <w:r w:rsidRPr="003B7CCD">
        <w:rPr>
          <w:rFonts w:ascii="Verdana" w:hAnsi="Verdana" w:cs="Arial"/>
          <w:i/>
          <w:iCs/>
          <w:color w:val="000000"/>
        </w:rPr>
        <w:t xml:space="preserve">“convocatorias limitadas a </w:t>
      </w:r>
      <w:proofErr w:type="spellStart"/>
      <w:r w:rsidRPr="003B7CCD">
        <w:rPr>
          <w:rFonts w:ascii="Verdana" w:hAnsi="Verdana" w:cs="Arial"/>
          <w:i/>
          <w:iCs/>
          <w:color w:val="000000"/>
        </w:rPr>
        <w:t>Mipymes</w:t>
      </w:r>
      <w:proofErr w:type="spellEnd"/>
      <w:r w:rsidRPr="003B7CCD">
        <w:rPr>
          <w:rFonts w:ascii="Verdana" w:hAnsi="Verdana" w:cs="Arial"/>
          <w:i/>
          <w:iCs/>
          <w:color w:val="000000"/>
        </w:rPr>
        <w:t>”</w:t>
      </w:r>
      <w:r w:rsidRPr="003B7CCD">
        <w:rPr>
          <w:rFonts w:ascii="Verdana" w:hAnsi="Verdana" w:cs="Arial"/>
          <w:color w:val="000000"/>
        </w:rPr>
        <w:t xml:space="preserve"> </w:t>
      </w:r>
      <w:r w:rsidRPr="003B7CCD">
        <w:rPr>
          <w:rFonts w:ascii="Verdana" w:hAnsi="Verdana" w:cs="Arial"/>
          <w:color w:val="000000"/>
        </w:rPr>
        <w:lastRenderedPageBreak/>
        <w:t xml:space="preserve">del Decreto 1082 de 2015, tomando en consideración el valor del Proceso de Contratación imputable al respectivo lote en el que se solicite su aplicación. En relación con el aspecto señalado, es pertinente mencionar que, el numeral uno del artículo 2.2.1.2.4.2.2, establece como requisitos para limitar convocatorias a </w:t>
      </w:r>
      <w:proofErr w:type="spellStart"/>
      <w:r w:rsidRPr="003B7CCD">
        <w:rPr>
          <w:rFonts w:ascii="Verdana" w:hAnsi="Verdana" w:cs="Arial"/>
          <w:color w:val="000000"/>
        </w:rPr>
        <w:t>Mipymes</w:t>
      </w:r>
      <w:proofErr w:type="spellEnd"/>
      <w:r w:rsidRPr="003B7CCD">
        <w:rPr>
          <w:rFonts w:ascii="Verdana" w:hAnsi="Verdana" w:cs="Arial"/>
          <w:color w:val="000000"/>
        </w:rPr>
        <w:t xml:space="preserve"> que el valor del Proceso de Contratación sea menor a ciento veinticinco mil dólares de los Estados Unidos de América (US$125.000), liquidados con la tasa de cambio que para el efecto determina cada dos años el Ministerio de Comercio, Industria y Turismo. No obstante, de acuerdo con el parágrafo del </w:t>
      </w:r>
      <w:r w:rsidRPr="003B7CCD">
        <w:rPr>
          <w:rFonts w:ascii="Verdana" w:eastAsia="Times New Roman" w:hAnsi="Verdana" w:cs="Arial"/>
          <w:color w:val="000000"/>
          <w:lang w:eastAsia="es-CO"/>
        </w:rPr>
        <w:t xml:space="preserve">artículo 2.2.1.2.4.2.19, cuando el proceso se adelante por lotes el valor de los </w:t>
      </w:r>
      <w:r w:rsidRPr="003B7CCD">
        <w:rPr>
          <w:rFonts w:ascii="Verdana" w:hAnsi="Verdana" w:cs="Arial"/>
          <w:color w:val="000000"/>
        </w:rPr>
        <w:t>(US$125.000) debe establecerse en relación con el segmento, y no respecto del valor total del proceso de contratación −que se establecería con la sumatoria de todos los lotes o segmentos−.</w:t>
      </w:r>
    </w:p>
    <w:p w14:paraId="15B21B54" w14:textId="77777777" w:rsidR="00443730" w:rsidRPr="003B7CCD" w:rsidRDefault="00443730" w:rsidP="00443730">
      <w:pPr>
        <w:numPr>
          <w:ilvl w:val="0"/>
          <w:numId w:val="19"/>
        </w:numPr>
        <w:shd w:val="clear" w:color="auto" w:fill="FFFFFF"/>
        <w:spacing w:after="120" w:line="276" w:lineRule="auto"/>
        <w:contextualSpacing/>
        <w:jc w:val="both"/>
        <w:rPr>
          <w:rFonts w:ascii="Verdana" w:hAnsi="Verdana" w:cs="Arial"/>
        </w:rPr>
      </w:pPr>
      <w:r w:rsidRPr="003B7CCD">
        <w:rPr>
          <w:rFonts w:ascii="Verdana" w:hAnsi="Verdana" w:cs="Arial"/>
        </w:rPr>
        <w:t>Es pertinente mencionar que, el parágrafo en comento dispone que, en los procesos adelantados por lotes o grupos, también, se aplicará lo previsto en el artículo 2.2.1.2.4.2.3. del Decreto 1082 de 2015</w:t>
      </w:r>
      <w:r w:rsidRPr="003B7CCD">
        <w:rPr>
          <w:rFonts w:ascii="Verdana" w:hAnsi="Verdana"/>
          <w:vertAlign w:val="superscript"/>
        </w:rPr>
        <w:footnoteReference w:id="8"/>
      </w:r>
      <w:r w:rsidRPr="003B7CCD">
        <w:rPr>
          <w:rFonts w:ascii="Verdana" w:hAnsi="Verdana" w:cs="Arial"/>
        </w:rPr>
        <w:t>, a partir del lugar de ejecución del contrato asociado al respectivo lote o segmento. </w:t>
      </w:r>
    </w:p>
    <w:p w14:paraId="6CCF1265" w14:textId="77777777" w:rsidR="00443730" w:rsidRPr="003B7CCD" w:rsidRDefault="00443730" w:rsidP="00443730">
      <w:pPr>
        <w:numPr>
          <w:ilvl w:val="0"/>
          <w:numId w:val="19"/>
        </w:numPr>
        <w:shd w:val="clear" w:color="auto" w:fill="FFFFFF"/>
        <w:spacing w:after="120" w:line="276" w:lineRule="auto"/>
        <w:contextualSpacing/>
        <w:jc w:val="both"/>
        <w:rPr>
          <w:rFonts w:ascii="Verdana" w:hAnsi="Verdana" w:cs="Arial"/>
        </w:rPr>
      </w:pPr>
      <w:r w:rsidRPr="003B7CCD">
        <w:rPr>
          <w:rFonts w:ascii="Verdana" w:hAnsi="Verdana" w:cs="Arial"/>
        </w:rPr>
        <w:t xml:space="preserve">Para concluir, le corresponde a la entidad contratante estudiar la viabilidad de limitar los procesos de contratación a </w:t>
      </w:r>
      <w:proofErr w:type="spellStart"/>
      <w:r w:rsidRPr="003B7CCD">
        <w:rPr>
          <w:rFonts w:ascii="Verdana" w:hAnsi="Verdana" w:cs="Arial"/>
        </w:rPr>
        <w:t>Mipymes</w:t>
      </w:r>
      <w:proofErr w:type="spellEnd"/>
      <w:r w:rsidRPr="003B7CCD">
        <w:rPr>
          <w:rFonts w:ascii="Verdana" w:hAnsi="Verdana" w:cs="Arial"/>
        </w:rPr>
        <w:t xml:space="preserve"> cuando exista convergencia de los requisitos señalados en el artículo 2.2.1.2.4.2.2 del Decreto 1082 de 2015, así mismo, estas deben promover la  segmentación de los procesos de contratación, a fin de facilitar la participación de las </w:t>
      </w:r>
      <w:proofErr w:type="spellStart"/>
      <w:r w:rsidRPr="003B7CCD">
        <w:rPr>
          <w:rFonts w:ascii="Verdana" w:hAnsi="Verdana" w:cs="Arial"/>
        </w:rPr>
        <w:t>Mipymes</w:t>
      </w:r>
      <w:proofErr w:type="spellEnd"/>
      <w:r w:rsidRPr="003B7CCD">
        <w:rPr>
          <w:rFonts w:ascii="Verdana" w:hAnsi="Verdana" w:cs="Arial"/>
        </w:rPr>
        <w:t xml:space="preserve"> atendiendo a criterios tales como: i) el tipo de entregable, </w:t>
      </w:r>
      <w:proofErr w:type="spellStart"/>
      <w:r w:rsidRPr="003B7CCD">
        <w:rPr>
          <w:rFonts w:ascii="Verdana" w:hAnsi="Verdana" w:cs="Arial"/>
        </w:rPr>
        <w:t>ii</w:t>
      </w:r>
      <w:proofErr w:type="spellEnd"/>
      <w:r w:rsidRPr="003B7CCD">
        <w:rPr>
          <w:rFonts w:ascii="Verdana" w:hAnsi="Verdana" w:cs="Arial"/>
        </w:rPr>
        <w:t xml:space="preserve">) el valor del contrato y </w:t>
      </w:r>
      <w:proofErr w:type="spellStart"/>
      <w:r w:rsidRPr="003B7CCD">
        <w:rPr>
          <w:rFonts w:ascii="Verdana" w:hAnsi="Verdana" w:cs="Arial"/>
        </w:rPr>
        <w:t>iii</w:t>
      </w:r>
      <w:proofErr w:type="spellEnd"/>
      <w:r w:rsidRPr="003B7CCD">
        <w:rPr>
          <w:rFonts w:ascii="Verdana" w:hAnsi="Verdana" w:cs="Arial"/>
        </w:rPr>
        <w:t>) el ámbito geográfico de la entrega.</w:t>
      </w:r>
    </w:p>
    <w:p w14:paraId="5F01A553" w14:textId="77777777" w:rsidR="00443730" w:rsidRPr="00BD48B2" w:rsidRDefault="00443730" w:rsidP="00443730">
      <w:pPr>
        <w:shd w:val="clear" w:color="auto" w:fill="FFFFFF"/>
        <w:spacing w:after="120" w:line="276" w:lineRule="auto"/>
        <w:ind w:left="720"/>
        <w:contextualSpacing/>
        <w:jc w:val="both"/>
        <w:rPr>
          <w:rFonts w:ascii="Verdana" w:hAnsi="Verdana" w:cs="Arial"/>
        </w:rPr>
      </w:pPr>
    </w:p>
    <w:p w14:paraId="5D304C13" w14:textId="2FFF922B" w:rsidR="00443730" w:rsidRPr="00BD48B2" w:rsidRDefault="00443730" w:rsidP="00443730">
      <w:pPr>
        <w:shd w:val="clear" w:color="auto" w:fill="FFFFFF"/>
        <w:spacing w:after="120" w:line="276" w:lineRule="auto"/>
        <w:ind w:left="720"/>
        <w:contextualSpacing/>
        <w:jc w:val="both"/>
        <w:rPr>
          <w:rFonts w:ascii="Verdana" w:hAnsi="Verdana" w:cs="Arial"/>
        </w:rPr>
      </w:pPr>
      <w:r w:rsidRPr="00BD48B2">
        <w:rPr>
          <w:rFonts w:ascii="Verdana" w:hAnsi="Verdana" w:cs="Arial"/>
        </w:rPr>
        <w:t xml:space="preserve">Es por esto </w:t>
      </w:r>
      <w:proofErr w:type="gramStart"/>
      <w:r w:rsidRPr="00BD48B2">
        <w:rPr>
          <w:rFonts w:ascii="Verdana" w:hAnsi="Verdana" w:cs="Arial"/>
        </w:rPr>
        <w:t>que</w:t>
      </w:r>
      <w:proofErr w:type="gramEnd"/>
      <w:r w:rsidRPr="00BD48B2">
        <w:rPr>
          <w:rFonts w:ascii="Verdana" w:hAnsi="Verdana" w:cs="Arial"/>
        </w:rPr>
        <w:t>, cuando el proceso de contratación sea por lotes o grupos deberá aplicarse de forma lo regulado en el artículo 2.2.1.2.4.2.2. de la norma ibidem, ya que se toma en consideración el valor del Proceso de Contratación imputable al respectivo lote en el que se solicite su aplicación.</w:t>
      </w:r>
    </w:p>
    <w:p w14:paraId="66F68BE9" w14:textId="77777777" w:rsidR="004A0DB3" w:rsidRPr="00AE19B2" w:rsidRDefault="004A0DB3" w:rsidP="004A0DB3">
      <w:pPr>
        <w:pStyle w:val="Prrafodelista"/>
        <w:spacing w:line="276" w:lineRule="auto"/>
        <w:jc w:val="both"/>
        <w:rPr>
          <w:rFonts w:ascii="Verdana" w:eastAsia="Calibri" w:hAnsi="Verdana"/>
          <w:color w:val="7030A0"/>
        </w:rPr>
      </w:pPr>
    </w:p>
    <w:p w14:paraId="1B625804" w14:textId="77777777" w:rsidR="004A0DB3" w:rsidRPr="00593A5F" w:rsidRDefault="004A0DB3" w:rsidP="004A0DB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26D75A49" w14:textId="77777777" w:rsidR="004A0DB3" w:rsidRPr="00593A5F" w:rsidRDefault="004A0DB3" w:rsidP="004A0DB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A0DB3" w:rsidRPr="00593A5F" w14:paraId="1D51CA04" w14:textId="77777777" w:rsidTr="00D648AD">
        <w:trPr>
          <w:trHeight w:val="870"/>
        </w:trPr>
        <w:tc>
          <w:tcPr>
            <w:tcW w:w="8647" w:type="dxa"/>
          </w:tcPr>
          <w:p w14:paraId="2EAF6B47" w14:textId="77777777" w:rsidR="004A0DB3" w:rsidRDefault="004A0DB3" w:rsidP="004D401B">
            <w:pPr>
              <w:pStyle w:val="Prrafodelista"/>
              <w:widowControl w:val="0"/>
              <w:numPr>
                <w:ilvl w:val="0"/>
                <w:numId w:val="17"/>
              </w:numPr>
              <w:tabs>
                <w:tab w:val="left" w:pos="8419"/>
              </w:tabs>
              <w:autoSpaceDE w:val="0"/>
              <w:autoSpaceDN w:val="0"/>
              <w:contextualSpacing w:val="0"/>
              <w:jc w:val="both"/>
              <w:rPr>
                <w:rFonts w:ascii="Verdana" w:eastAsia="Calibri" w:hAnsi="Verdana" w:cs="Arial"/>
                <w:color w:val="000000"/>
              </w:rPr>
            </w:pPr>
            <w:r w:rsidRPr="007821C4">
              <w:rPr>
                <w:rFonts w:ascii="Verdana" w:eastAsia="Calibri" w:hAnsi="Verdana" w:cs="Arial"/>
                <w:color w:val="000000"/>
              </w:rPr>
              <w:t>Ley 1150 de 2007</w:t>
            </w:r>
          </w:p>
          <w:p w14:paraId="1AB34495" w14:textId="77777777" w:rsidR="004A0DB3" w:rsidRPr="007821C4" w:rsidRDefault="004A0DB3" w:rsidP="004D401B">
            <w:pPr>
              <w:pStyle w:val="Prrafodelista"/>
              <w:widowControl w:val="0"/>
              <w:numPr>
                <w:ilvl w:val="0"/>
                <w:numId w:val="17"/>
              </w:numPr>
              <w:tabs>
                <w:tab w:val="left" w:pos="8419"/>
              </w:tabs>
              <w:autoSpaceDE w:val="0"/>
              <w:autoSpaceDN w:val="0"/>
              <w:contextualSpacing w:val="0"/>
              <w:jc w:val="both"/>
              <w:rPr>
                <w:rFonts w:ascii="Verdana" w:eastAsia="Calibri" w:hAnsi="Verdana" w:cs="Arial"/>
                <w:color w:val="000000"/>
              </w:rPr>
            </w:pPr>
            <w:r w:rsidRPr="00F30657">
              <w:rPr>
                <w:rFonts w:ascii="Verdana" w:eastAsia="Calibri" w:hAnsi="Verdana" w:cs="Arial"/>
              </w:rPr>
              <w:t>Decreto 1082 de 2015</w:t>
            </w:r>
          </w:p>
          <w:p w14:paraId="6A5ACE09" w14:textId="77777777" w:rsidR="004A0DB3" w:rsidRPr="007821C4" w:rsidRDefault="004A0DB3" w:rsidP="004D401B">
            <w:pPr>
              <w:pStyle w:val="Prrafodelista"/>
              <w:widowControl w:val="0"/>
              <w:numPr>
                <w:ilvl w:val="0"/>
                <w:numId w:val="17"/>
              </w:numPr>
              <w:tabs>
                <w:tab w:val="left" w:pos="8419"/>
              </w:tabs>
              <w:autoSpaceDE w:val="0"/>
              <w:autoSpaceDN w:val="0"/>
              <w:contextualSpacing w:val="0"/>
              <w:jc w:val="both"/>
              <w:rPr>
                <w:rFonts w:ascii="Verdana" w:eastAsia="Calibri" w:hAnsi="Verdana" w:cs="Arial"/>
                <w:color w:val="000000"/>
              </w:rPr>
            </w:pPr>
            <w:r w:rsidRPr="007821C4">
              <w:rPr>
                <w:rFonts w:ascii="Verdana" w:eastAsia="Calibri" w:hAnsi="Verdana" w:cs="Arial"/>
              </w:rPr>
              <w:t>Ley 2069 de 2020</w:t>
            </w:r>
          </w:p>
          <w:p w14:paraId="389F1B2B" w14:textId="77777777" w:rsidR="004A0DB3" w:rsidRPr="007821C4" w:rsidRDefault="004A0DB3" w:rsidP="004D401B">
            <w:pPr>
              <w:pStyle w:val="Prrafodelista"/>
              <w:widowControl w:val="0"/>
              <w:numPr>
                <w:ilvl w:val="0"/>
                <w:numId w:val="17"/>
              </w:numPr>
              <w:tabs>
                <w:tab w:val="left" w:pos="8419"/>
              </w:tabs>
              <w:autoSpaceDE w:val="0"/>
              <w:autoSpaceDN w:val="0"/>
              <w:contextualSpacing w:val="0"/>
              <w:jc w:val="both"/>
              <w:rPr>
                <w:rFonts w:ascii="Verdana" w:eastAsia="Calibri" w:hAnsi="Verdana" w:cs="Arial"/>
                <w:color w:val="000000"/>
              </w:rPr>
            </w:pPr>
            <w:r w:rsidRPr="007821C4">
              <w:rPr>
                <w:rFonts w:ascii="Verdana" w:eastAsia="Calibri" w:hAnsi="Verdana" w:cs="Arial"/>
                <w:color w:val="000000"/>
              </w:rPr>
              <w:t>Decreto Único Reglamentario 1082 de 2015</w:t>
            </w:r>
          </w:p>
          <w:p w14:paraId="4AE209AD" w14:textId="77777777" w:rsidR="004A0DB3" w:rsidRPr="00340039" w:rsidRDefault="004A0DB3" w:rsidP="004D401B">
            <w:pPr>
              <w:pStyle w:val="Prrafodelista"/>
              <w:widowControl w:val="0"/>
              <w:numPr>
                <w:ilvl w:val="0"/>
                <w:numId w:val="17"/>
              </w:numPr>
              <w:autoSpaceDE w:val="0"/>
              <w:autoSpaceDN w:val="0"/>
              <w:contextualSpacing w:val="0"/>
              <w:jc w:val="both"/>
              <w:rPr>
                <w:rFonts w:ascii="Verdana" w:hAnsi="Verdana" w:cs="Arial"/>
              </w:rPr>
            </w:pPr>
            <w:r w:rsidRPr="004B2B8D">
              <w:rPr>
                <w:rFonts w:ascii="Verdana" w:hAnsi="Verdana" w:cs="Arial"/>
              </w:rPr>
              <w:t xml:space="preserve">Jurisprudencia del Consejo de Estado. Disponible en: </w:t>
            </w:r>
            <w:hyperlink r:id="rId13" w:history="1">
              <w:r w:rsidRPr="006C75AB">
                <w:rPr>
                  <w:rStyle w:val="Hipervnculo"/>
                  <w:rFonts w:ascii="Verdana" w:hAnsi="Verdana" w:cs="Arial"/>
                </w:rPr>
                <w:t>https://relatoria.colombiacompra.gov.co/providencias-consejo-de-estado/</w:t>
              </w:r>
            </w:hyperlink>
            <w:r>
              <w:rPr>
                <w:rFonts w:ascii="Verdana" w:hAnsi="Verdana" w:cs="Arial"/>
              </w:rPr>
              <w:t xml:space="preserve"> </w:t>
            </w:r>
          </w:p>
          <w:p w14:paraId="5C9A0F82" w14:textId="77777777" w:rsidR="004A0DB3" w:rsidRPr="00027814" w:rsidRDefault="004A0DB3" w:rsidP="004D401B">
            <w:pPr>
              <w:pStyle w:val="Prrafodelista"/>
              <w:widowControl w:val="0"/>
              <w:numPr>
                <w:ilvl w:val="0"/>
                <w:numId w:val="17"/>
              </w:numPr>
              <w:autoSpaceDE w:val="0"/>
              <w:autoSpaceDN w:val="0"/>
              <w:contextualSpacing w:val="0"/>
              <w:jc w:val="both"/>
              <w:rPr>
                <w:rFonts w:ascii="Verdana" w:hAnsi="Verdana" w:cs="Arial"/>
              </w:rPr>
            </w:pPr>
            <w:r w:rsidRPr="004B2B8D">
              <w:rPr>
                <w:rFonts w:ascii="Verdana" w:hAnsi="Verdana" w:cs="Arial"/>
              </w:rPr>
              <w:t>Guías y manuales expedidos por la ANCP-CCE. Disponible en:</w:t>
            </w:r>
            <w:r w:rsidRPr="004B2B8D">
              <w:t xml:space="preserve"> </w:t>
            </w:r>
            <w:hyperlink r:id="rId14" w:history="1">
              <w:r w:rsidRPr="00340039">
                <w:rPr>
                  <w:rStyle w:val="Hipervnculo"/>
                  <w:rFonts w:ascii="Verdana" w:hAnsi="Verdana" w:cs="Arial"/>
                </w:rPr>
                <w:t>https://www.colombiacompra.gov.co/manuales-guias-y-pliegos-tipo/manuales-y-guias</w:t>
              </w:r>
            </w:hyperlink>
            <w:r>
              <w:rPr>
                <w:rFonts w:ascii="Verdana" w:hAnsi="Verdana" w:cs="Arial"/>
              </w:rPr>
              <w:t xml:space="preserve"> </w:t>
            </w:r>
          </w:p>
        </w:tc>
      </w:tr>
    </w:tbl>
    <w:p w14:paraId="65BFC27C" w14:textId="77777777" w:rsidR="004A0DB3" w:rsidRPr="00593A5F" w:rsidRDefault="004A0DB3" w:rsidP="004A0DB3">
      <w:pPr>
        <w:widowControl w:val="0"/>
        <w:autoSpaceDE w:val="0"/>
        <w:autoSpaceDN w:val="0"/>
        <w:spacing w:after="0" w:line="276" w:lineRule="auto"/>
        <w:jc w:val="both"/>
        <w:rPr>
          <w:rFonts w:ascii="Verdana" w:hAnsi="Verdana" w:cs="Arial"/>
        </w:rPr>
      </w:pPr>
    </w:p>
    <w:p w14:paraId="0894F062" w14:textId="77777777" w:rsidR="004A0DB3" w:rsidRPr="00593A5F" w:rsidRDefault="004A0DB3" w:rsidP="004A0DB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4D69134" w14:textId="77777777" w:rsidR="004A0DB3" w:rsidRPr="00593A5F" w:rsidRDefault="004A0DB3" w:rsidP="004A0DB3">
      <w:pPr>
        <w:widowControl w:val="0"/>
        <w:autoSpaceDE w:val="0"/>
        <w:autoSpaceDN w:val="0"/>
        <w:spacing w:after="0" w:line="276" w:lineRule="auto"/>
        <w:jc w:val="both"/>
        <w:rPr>
          <w:rFonts w:ascii="Verdana" w:hAnsi="Verdana" w:cs="Arial"/>
        </w:rPr>
      </w:pPr>
    </w:p>
    <w:p w14:paraId="468D5B2C" w14:textId="57B8C478" w:rsidR="004A0DB3" w:rsidRDefault="004A0DB3" w:rsidP="004A0DB3">
      <w:pPr>
        <w:widowControl w:val="0"/>
        <w:autoSpaceDE w:val="0"/>
        <w:autoSpaceDN w:val="0"/>
        <w:spacing w:after="0" w:line="276" w:lineRule="auto"/>
        <w:jc w:val="both"/>
        <w:rPr>
          <w:rStyle w:val="normaltextrun"/>
          <w:rFonts w:ascii="Verdana" w:hAnsi="Verdana" w:cs="Arial"/>
          <w:shd w:val="clear" w:color="auto" w:fill="FFFFFF"/>
          <w:lang w:val="es-ES"/>
        </w:rPr>
      </w:pPr>
      <w:r w:rsidRPr="00FB2E89">
        <w:rPr>
          <w:rFonts w:ascii="Verdana" w:eastAsia="Calibri" w:hAnsi="Verdana" w:cs="Arial"/>
          <w:color w:val="000000"/>
        </w:rPr>
        <w:t>L</w:t>
      </w:r>
      <w:r w:rsidRPr="00FB2E89">
        <w:rPr>
          <w:rFonts w:ascii="Verdana" w:eastAsia="Calibri" w:hAnsi="Verdana" w:cs="Arial"/>
          <w:color w:val="000000"/>
          <w:lang w:val="es-ES"/>
        </w:rPr>
        <w:t>a Agencia Nacional de Contratación Pública – Colombia Compra Eficiente, en los Conceptos número Conceptos</w:t>
      </w:r>
      <w:r w:rsidRPr="00FB2E89">
        <w:rPr>
          <w:rFonts w:ascii="Verdana" w:hAnsi="Verdana"/>
        </w:rPr>
        <w:t xml:space="preserve"> </w:t>
      </w:r>
      <w:r w:rsidRPr="00FB2E89">
        <w:rPr>
          <w:rFonts w:ascii="Verdana" w:eastAsia="Calibri" w:hAnsi="Verdana" w:cs="Arial"/>
          <w:color w:val="000000"/>
        </w:rPr>
        <w:t>C-705 de 7 de diciembre de 2020, C-438 de 27 de septiembre de 2021, C-041 de 2 de marzo de 2022, C-361 de 20 de mayo de 2021, C-473 de 25 de julio de 2022, C-539 de 29 de agosto de 2022, C-585 del 19 de septiembre de 2022, C-587 del 21 de septiembre de 2022, C-597 del 9 de septiembre de 2022, C-627 del 12 de septiembre de 2022, C-643 del 10 de octubre de 2022 y C-662 del 13 de octubre de 2022</w:t>
      </w:r>
      <w:r w:rsidRPr="00FB2E89">
        <w:rPr>
          <w:rFonts w:ascii="Verdana" w:eastAsia="Calibri" w:hAnsi="Verdana" w:cs="Arial"/>
          <w:color w:val="000000"/>
          <w:lang w:val="es-ES"/>
        </w:rPr>
        <w:t xml:space="preserve">, </w:t>
      </w:r>
      <w:r w:rsidR="00C90B03" w:rsidRPr="00C90B03">
        <w:rPr>
          <w:rFonts w:ascii="Century Gothic" w:eastAsia="Calibri" w:hAnsi="Century Gothic" w:cs="Arial"/>
          <w:bCs/>
          <w:color w:val="000000" w:themeColor="text1"/>
          <w:lang w:val="es-ES_tradnl"/>
        </w:rPr>
        <w:t xml:space="preserve"> </w:t>
      </w:r>
      <w:r w:rsidR="00C90B03" w:rsidRPr="00C90B03">
        <w:rPr>
          <w:rFonts w:ascii="Verdana" w:eastAsia="Calibri" w:hAnsi="Verdana" w:cs="Arial"/>
          <w:bCs/>
          <w:color w:val="000000" w:themeColor="text1"/>
          <w:lang w:val="es-ES_tradnl"/>
        </w:rPr>
        <w:t>C-113 del 12 de mayo de 2023, C-194 del 18 de mayo de 2023 y C-064 del 5 de junio de 2023</w:t>
      </w:r>
      <w:r w:rsidR="00C90B03" w:rsidRPr="00C90B03">
        <w:rPr>
          <w:rFonts w:ascii="Verdana" w:eastAsia="Calibri" w:hAnsi="Verdana" w:cs="Arial"/>
          <w:color w:val="000000"/>
          <w:lang w:val="es-ES"/>
        </w:rPr>
        <w:t>,</w:t>
      </w:r>
      <w:r w:rsidR="00853067" w:rsidRPr="00C90B03">
        <w:rPr>
          <w:rFonts w:ascii="Verdana" w:eastAsia="Calibri" w:hAnsi="Verdana" w:cs="Arial"/>
          <w:color w:val="000000"/>
          <w:lang w:val="es-ES"/>
        </w:rPr>
        <w:t>C-</w:t>
      </w:r>
      <w:r w:rsidR="009B5C0D" w:rsidRPr="00C90B03">
        <w:rPr>
          <w:rFonts w:ascii="Verdana" w:eastAsia="Calibri" w:hAnsi="Verdana" w:cs="Arial"/>
          <w:color w:val="000000"/>
          <w:lang w:val="es-ES"/>
        </w:rPr>
        <w:t>338 de</w:t>
      </w:r>
      <w:r w:rsidR="00BA5F6D" w:rsidRPr="00C90B03">
        <w:rPr>
          <w:rFonts w:ascii="Verdana" w:eastAsia="Calibri" w:hAnsi="Verdana" w:cs="Arial"/>
          <w:color w:val="000000"/>
          <w:lang w:val="es-ES"/>
        </w:rPr>
        <w:t xml:space="preserve">l </w:t>
      </w:r>
      <w:r w:rsidR="00667E93" w:rsidRPr="00C90B03">
        <w:rPr>
          <w:rFonts w:ascii="Verdana" w:eastAsia="Calibri" w:hAnsi="Verdana" w:cs="Arial"/>
          <w:color w:val="000000"/>
          <w:lang w:val="es-ES"/>
        </w:rPr>
        <w:t xml:space="preserve">14 de agosto de </w:t>
      </w:r>
      <w:r w:rsidR="009B5C0D" w:rsidRPr="00C90B03">
        <w:rPr>
          <w:rFonts w:ascii="Verdana" w:eastAsia="Calibri" w:hAnsi="Verdana" w:cs="Arial"/>
          <w:color w:val="000000"/>
          <w:lang w:val="es-ES"/>
        </w:rPr>
        <w:t xml:space="preserve">2024 – C-253 </w:t>
      </w:r>
      <w:r w:rsidR="00362133" w:rsidRPr="00C90B03">
        <w:rPr>
          <w:rFonts w:ascii="Verdana" w:eastAsia="Calibri" w:hAnsi="Verdana" w:cs="Arial"/>
          <w:color w:val="000000"/>
          <w:lang w:val="es-ES"/>
        </w:rPr>
        <w:t>C -338 de 2024,</w:t>
      </w:r>
      <w:r w:rsidRPr="00C90B03">
        <w:rPr>
          <w:rFonts w:ascii="Verdana" w:eastAsia="Calibri" w:hAnsi="Verdana" w:cs="Arial"/>
          <w:color w:val="000000"/>
          <w:lang w:val="es-ES"/>
        </w:rPr>
        <w:t xml:space="preserve"> entre otros establ</w:t>
      </w:r>
      <w:r>
        <w:rPr>
          <w:rFonts w:ascii="Verdana" w:eastAsia="Calibri" w:hAnsi="Verdana" w:cs="Arial"/>
          <w:color w:val="000000"/>
          <w:lang w:val="es-ES"/>
        </w:rPr>
        <w:t xml:space="preserve">eció lineamientos sobre la Limitación a </w:t>
      </w:r>
      <w:proofErr w:type="spellStart"/>
      <w:r>
        <w:rPr>
          <w:rFonts w:ascii="Verdana" w:eastAsia="Calibri" w:hAnsi="Verdana" w:cs="Arial"/>
          <w:color w:val="000000"/>
          <w:lang w:val="es-ES"/>
        </w:rPr>
        <w:t>Mipymes</w:t>
      </w:r>
      <w:proofErr w:type="spellEnd"/>
      <w:r w:rsidRPr="00FB2E89">
        <w:rPr>
          <w:rFonts w:ascii="Verdana" w:eastAsia="Calibri" w:hAnsi="Verdana" w:cs="Arial"/>
          <w:color w:val="000000"/>
          <w:lang w:val="es-ES"/>
        </w:rPr>
        <w:t xml:space="preserve">. </w:t>
      </w:r>
      <w:r w:rsidRPr="00FB2E89">
        <w:rPr>
          <w:rStyle w:val="normaltextrun"/>
          <w:rFonts w:ascii="Verdana" w:hAnsi="Verdana" w:cs="Arial"/>
          <w:shd w:val="clear" w:color="auto" w:fill="FFFFFF"/>
          <w:lang w:val="es-ES"/>
        </w:rPr>
        <w:t>Es</w:t>
      </w:r>
      <w:r w:rsidRPr="00FB2E89">
        <w:rPr>
          <w:rFonts w:ascii="Verdana" w:hAnsi="Verdana"/>
        </w:rPr>
        <w:t>tos y otros conceptos se encuentran disponibles para consulta en el Sistema de relatoría de la Agencia, al cual se puede acceder a través del siguiente</w:t>
      </w:r>
      <w:r w:rsidR="00362133">
        <w:rPr>
          <w:rFonts w:ascii="Verdana" w:hAnsi="Verdana"/>
        </w:rPr>
        <w:t xml:space="preserve"> </w:t>
      </w:r>
      <w:r w:rsidRPr="00FB2E89">
        <w:rPr>
          <w:rFonts w:ascii="Verdana" w:hAnsi="Verdana"/>
        </w:rPr>
        <w:t>enlace:</w:t>
      </w:r>
      <w:r w:rsidRPr="00FB2E89">
        <w:rPr>
          <w:rStyle w:val="normaltextrun"/>
          <w:rFonts w:ascii="Verdana" w:hAnsi="Verdana" w:cs="Arial"/>
          <w:shd w:val="clear" w:color="auto" w:fill="FFFFFF"/>
          <w:lang w:val="es-ES"/>
        </w:rPr>
        <w:t xml:space="preserve"> </w:t>
      </w:r>
      <w:hyperlink r:id="rId15" w:history="1">
        <w:r w:rsidRPr="00FB2E89">
          <w:rPr>
            <w:rStyle w:val="Hipervnculo"/>
            <w:rFonts w:ascii="Verdana" w:hAnsi="Verdana" w:cs="Arial"/>
            <w:shd w:val="clear" w:color="auto" w:fill="FFFFFF"/>
            <w:lang w:val="es-ES"/>
          </w:rPr>
          <w:t>https://relatoria.colombiacompra.gov.co/busqueda/conceptos</w:t>
        </w:r>
      </w:hyperlink>
      <w:r w:rsidRPr="0079283E">
        <w:rPr>
          <w:rFonts w:ascii="Verdana" w:eastAsia="Calibri" w:hAnsi="Verdana" w:cs="Arial"/>
          <w:bCs/>
          <w:color w:val="000000"/>
          <w:lang w:eastAsia="es-ES_tradnl"/>
        </w:rPr>
        <w:t>.</w:t>
      </w:r>
      <w:r>
        <w:rPr>
          <w:rFonts w:ascii="Verdana" w:eastAsia="Calibri" w:hAnsi="Verdana" w:cs="Arial"/>
          <w:bCs/>
          <w:color w:val="000000"/>
          <w:lang w:eastAsia="es-ES_tradnl"/>
        </w:rPr>
        <w:t xml:space="preserve"> </w:t>
      </w:r>
    </w:p>
    <w:p w14:paraId="117E1B91" w14:textId="77777777" w:rsidR="00A0771D" w:rsidRPr="00FB2E89" w:rsidRDefault="00A0771D" w:rsidP="004A0DB3">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5F7A65CD" w14:textId="77777777" w:rsidR="004A0DB3" w:rsidRPr="003E2460" w:rsidRDefault="004A0DB3" w:rsidP="004A0DB3">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75A04602" w14:textId="77777777" w:rsidR="004A0DB3" w:rsidRPr="003E2460" w:rsidRDefault="004A0DB3" w:rsidP="004A0DB3">
      <w:pPr>
        <w:spacing w:after="0" w:line="240" w:lineRule="auto"/>
        <w:jc w:val="both"/>
        <w:rPr>
          <w:rFonts w:ascii="Verdana" w:hAnsi="Verdana"/>
        </w:rPr>
      </w:pPr>
    </w:p>
    <w:p w14:paraId="20AAA115" w14:textId="77777777" w:rsidR="004A0DB3" w:rsidRPr="003E2460" w:rsidRDefault="004A0DB3" w:rsidP="004A0DB3">
      <w:pPr>
        <w:spacing w:after="0" w:line="240" w:lineRule="auto"/>
        <w:jc w:val="both"/>
        <w:rPr>
          <w:rFonts w:ascii="Verdana" w:hAnsi="Verdana"/>
        </w:rPr>
      </w:pPr>
      <w:r w:rsidRPr="003E2460">
        <w:rPr>
          <w:rFonts w:ascii="Verdana" w:hAnsi="Verdana"/>
        </w:rPr>
        <w:lastRenderedPageBreak/>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4CF25AE6" w14:textId="77777777" w:rsidR="004A0DB3" w:rsidRPr="003E2460" w:rsidRDefault="004A0DB3" w:rsidP="004A0DB3">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08961335" w14:textId="77777777" w:rsidR="004A0DB3" w:rsidRPr="003E2460" w:rsidRDefault="004A0DB3" w:rsidP="004A0DB3">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006B9014" w14:textId="77777777" w:rsidR="004A0DB3" w:rsidRPr="00593A5F" w:rsidRDefault="004A0DB3" w:rsidP="004A0DB3">
      <w:pPr>
        <w:widowControl w:val="0"/>
        <w:autoSpaceDE w:val="0"/>
        <w:autoSpaceDN w:val="0"/>
        <w:spacing w:after="0" w:line="276" w:lineRule="auto"/>
        <w:jc w:val="both"/>
        <w:rPr>
          <w:rFonts w:ascii="Verdana" w:hAnsi="Verdana" w:cs="Arial"/>
        </w:rPr>
      </w:pPr>
    </w:p>
    <w:p w14:paraId="39830F1B" w14:textId="77777777" w:rsidR="004A0DB3" w:rsidRPr="00593A5F" w:rsidRDefault="004A0DB3" w:rsidP="004A0DB3">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3E74F5B" w14:textId="77777777" w:rsidR="004A0DB3" w:rsidRPr="00593A5F" w:rsidRDefault="004A0DB3" w:rsidP="004A0DB3">
      <w:pPr>
        <w:widowControl w:val="0"/>
        <w:autoSpaceDE w:val="0"/>
        <w:autoSpaceDN w:val="0"/>
        <w:spacing w:after="0" w:line="276" w:lineRule="auto"/>
        <w:jc w:val="both"/>
        <w:rPr>
          <w:rFonts w:ascii="Verdana" w:hAnsi="Verdana" w:cs="Arial"/>
        </w:rPr>
      </w:pPr>
    </w:p>
    <w:p w14:paraId="0BDC457B" w14:textId="77777777" w:rsidR="004A0DB3" w:rsidRPr="00593A5F" w:rsidRDefault="004A0DB3" w:rsidP="004A0DB3">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C62370F" w14:textId="45A276ED" w:rsidR="004A0DB3" w:rsidRPr="00593A5F" w:rsidRDefault="0062136D" w:rsidP="004A0DB3">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04B9393E" wp14:editId="50D5BC84">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A0DB3" w:rsidRPr="004B2B8D" w14:paraId="7964314D" w14:textId="77777777" w:rsidTr="00D648AD">
        <w:trPr>
          <w:trHeight w:val="315"/>
        </w:trPr>
        <w:tc>
          <w:tcPr>
            <w:tcW w:w="893" w:type="dxa"/>
            <w:vAlign w:val="center"/>
            <w:hideMark/>
          </w:tcPr>
          <w:p w14:paraId="7EE6F6D7" w14:textId="77777777" w:rsidR="004A0DB3" w:rsidRPr="004B2B8D" w:rsidRDefault="004A0DB3" w:rsidP="00D648AD">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D987F60" w14:textId="77777777" w:rsidR="004A0DB3" w:rsidRPr="004B2B8D" w:rsidRDefault="004A0DB3" w:rsidP="00D648AD">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5E5B8E05" w14:textId="77777777" w:rsidR="004A0DB3" w:rsidRPr="004B2B8D" w:rsidRDefault="004A0DB3" w:rsidP="00D648AD">
            <w:pPr>
              <w:contextualSpacing/>
              <w:rPr>
                <w:rFonts w:ascii="Verdana" w:eastAsia="Arial" w:hAnsi="Verdana" w:cs="Arial"/>
                <w:sz w:val="16"/>
                <w:szCs w:val="16"/>
              </w:rPr>
            </w:pPr>
            <w:r w:rsidRPr="004B2B8D">
              <w:rPr>
                <w:rStyle w:val="normaltextrun"/>
                <w:rFonts w:ascii="Verdana" w:eastAsia="Arial" w:hAnsi="Verdana" w:cs="Arial"/>
                <w:sz w:val="16"/>
                <w:szCs w:val="16"/>
              </w:rPr>
              <w:t>Contratista de la Subdirección de Gestión Contractual</w:t>
            </w:r>
          </w:p>
        </w:tc>
      </w:tr>
      <w:tr w:rsidR="004A0DB3" w:rsidRPr="004B2B8D" w14:paraId="251E5120" w14:textId="77777777" w:rsidTr="00D648AD">
        <w:trPr>
          <w:trHeight w:val="330"/>
        </w:trPr>
        <w:tc>
          <w:tcPr>
            <w:tcW w:w="893" w:type="dxa"/>
            <w:vAlign w:val="center"/>
            <w:hideMark/>
          </w:tcPr>
          <w:p w14:paraId="13C44EDC" w14:textId="77777777" w:rsidR="004A0DB3" w:rsidRPr="004B2B8D" w:rsidRDefault="004A0DB3" w:rsidP="00D648AD">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D12195F" w14:textId="77777777" w:rsidR="004A0DB3" w:rsidRPr="0079283E" w:rsidRDefault="004A0DB3" w:rsidP="00D648AD">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Martha Alicia Romero Vargas</w:t>
            </w:r>
          </w:p>
          <w:p w14:paraId="6A644E57" w14:textId="77777777" w:rsidR="004A0DB3" w:rsidRPr="004B2B8D" w:rsidRDefault="004A0DB3" w:rsidP="00D648AD">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Gestor T15-11</w:t>
            </w:r>
            <w:r w:rsidRPr="004B2B8D">
              <w:rPr>
                <w:rStyle w:val="normaltextrun"/>
                <w:rFonts w:ascii="Verdana" w:hAnsi="Verdana" w:cs="Arial"/>
                <w:sz w:val="16"/>
                <w:szCs w:val="16"/>
                <w:lang w:val="es-ES"/>
              </w:rPr>
              <w:t>de la Subdirección de Gestión Contractual</w:t>
            </w:r>
            <w:r w:rsidRPr="004B2B8D">
              <w:rPr>
                <w:rStyle w:val="eop"/>
                <w:rFonts w:ascii="Verdana" w:hAnsi="Verdana" w:cs="Arial"/>
                <w:sz w:val="16"/>
                <w:szCs w:val="16"/>
              </w:rPr>
              <w:t> </w:t>
            </w:r>
          </w:p>
        </w:tc>
      </w:tr>
      <w:tr w:rsidR="004A0DB3" w:rsidRPr="004B2B8D" w14:paraId="5CE7EB5F" w14:textId="77777777" w:rsidTr="00D648AD">
        <w:trPr>
          <w:trHeight w:val="300"/>
        </w:trPr>
        <w:tc>
          <w:tcPr>
            <w:tcW w:w="893" w:type="dxa"/>
            <w:vAlign w:val="center"/>
          </w:tcPr>
          <w:p w14:paraId="171AF339" w14:textId="77777777" w:rsidR="004A0DB3" w:rsidRPr="004B2B8D" w:rsidRDefault="004A0DB3" w:rsidP="00D648AD">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FF186D4" w14:textId="77777777" w:rsidR="004A0DB3" w:rsidRPr="004B2B8D" w:rsidRDefault="004A0DB3" w:rsidP="00D648AD">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6FCE6AE6" w14:textId="77777777" w:rsidR="004A0DB3" w:rsidRPr="004B2B8D" w:rsidRDefault="004A0DB3" w:rsidP="00D648AD">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Contratual ANCP – CCE</w:t>
            </w:r>
          </w:p>
        </w:tc>
      </w:tr>
    </w:tbl>
    <w:p w14:paraId="483D720E" w14:textId="77777777" w:rsidR="004A0DB3" w:rsidRPr="00593A5F" w:rsidRDefault="004A0DB3" w:rsidP="004A0DB3">
      <w:pPr>
        <w:spacing w:after="0" w:line="240" w:lineRule="auto"/>
        <w:rPr>
          <w:rFonts w:ascii="Verdana" w:eastAsia="Times New Roman" w:hAnsi="Verdana" w:cs="Arial"/>
          <w:sz w:val="24"/>
          <w:szCs w:val="24"/>
          <w:lang w:eastAsia="es-ES"/>
        </w:rPr>
      </w:pPr>
    </w:p>
    <w:p w14:paraId="784D550E" w14:textId="77777777" w:rsidR="004A0DB3" w:rsidRPr="00564CAF" w:rsidRDefault="004A0DB3" w:rsidP="004A0DB3"/>
    <w:p w14:paraId="0F293BF4" w14:textId="7BBFAB11" w:rsidR="00127233" w:rsidRPr="00A67491" w:rsidRDefault="00127233" w:rsidP="00A67491"/>
    <w:sectPr w:rsidR="00127233" w:rsidRPr="00A67491"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3421D" w14:textId="77777777" w:rsidR="00BA4392" w:rsidRDefault="00BA4392" w:rsidP="004A1847">
      <w:pPr>
        <w:spacing w:after="0" w:line="240" w:lineRule="auto"/>
      </w:pPr>
      <w:r>
        <w:separator/>
      </w:r>
    </w:p>
  </w:endnote>
  <w:endnote w:type="continuationSeparator" w:id="0">
    <w:p w14:paraId="74C14D92" w14:textId="77777777" w:rsidR="00BA4392" w:rsidRDefault="00BA4392" w:rsidP="004A1847">
      <w:pPr>
        <w:spacing w:after="0" w:line="240" w:lineRule="auto"/>
      </w:pPr>
      <w:r>
        <w:continuationSeparator/>
      </w:r>
    </w:p>
  </w:endnote>
  <w:endnote w:type="continuationNotice" w:id="1">
    <w:p w14:paraId="76004E23" w14:textId="77777777" w:rsidR="00BA4392" w:rsidRDefault="00BA4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MT">
    <w:altName w:val="Klee On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A2249" w14:textId="77777777" w:rsidR="00BA4392" w:rsidRDefault="00BA4392" w:rsidP="004A1847">
      <w:pPr>
        <w:spacing w:after="0" w:line="240" w:lineRule="auto"/>
      </w:pPr>
      <w:r>
        <w:separator/>
      </w:r>
    </w:p>
  </w:footnote>
  <w:footnote w:type="continuationSeparator" w:id="0">
    <w:p w14:paraId="68187A45" w14:textId="77777777" w:rsidR="00BA4392" w:rsidRDefault="00BA4392" w:rsidP="004A1847">
      <w:pPr>
        <w:spacing w:after="0" w:line="240" w:lineRule="auto"/>
      </w:pPr>
      <w:r>
        <w:continuationSeparator/>
      </w:r>
    </w:p>
  </w:footnote>
  <w:footnote w:type="continuationNotice" w:id="1">
    <w:p w14:paraId="3B02420B" w14:textId="77777777" w:rsidR="00BA4392" w:rsidRDefault="00BA4392">
      <w:pPr>
        <w:spacing w:after="0" w:line="240" w:lineRule="auto"/>
      </w:pPr>
    </w:p>
  </w:footnote>
  <w:footnote w:id="2">
    <w:p w14:paraId="05995426" w14:textId="77777777" w:rsidR="00960E2A" w:rsidRPr="005B158C" w:rsidRDefault="00960E2A" w:rsidP="00960E2A">
      <w:pPr>
        <w:pStyle w:val="Textonotapie"/>
      </w:pPr>
      <w:r>
        <w:rPr>
          <w:rStyle w:val="Refdenotaalpie"/>
        </w:rPr>
        <w:footnoteRef/>
      </w:r>
      <w:r>
        <w:t xml:space="preserve"> </w:t>
      </w:r>
      <w:r>
        <w:rPr>
          <w:rFonts w:ascii="Century Gothic" w:hAnsi="Century Gothic" w:cs="Arial"/>
          <w:color w:val="000000"/>
        </w:rPr>
        <w:t>Artículo 2.2.1.2.4.2.2 del Decreto 1082 de 2015</w:t>
      </w:r>
    </w:p>
  </w:footnote>
  <w:footnote w:id="3">
    <w:p w14:paraId="4C78B360" w14:textId="77777777" w:rsidR="00443730" w:rsidRPr="004A2ED0" w:rsidRDefault="00443730" w:rsidP="00443730">
      <w:pPr>
        <w:pStyle w:val="Textonotapie"/>
        <w:jc w:val="both"/>
        <w:rPr>
          <w:rFonts w:ascii="Verdana" w:hAnsi="Verdana"/>
          <w:sz w:val="14"/>
          <w:szCs w:val="14"/>
          <w:lang w:val="es-ES"/>
        </w:rPr>
      </w:pPr>
      <w:r w:rsidRPr="004A2ED0">
        <w:rPr>
          <w:rStyle w:val="Refdenotaalpie"/>
          <w:rFonts w:ascii="Verdana" w:hAnsi="Verdana"/>
          <w:sz w:val="14"/>
          <w:szCs w:val="14"/>
        </w:rPr>
        <w:footnoteRef/>
      </w:r>
      <w:r w:rsidRPr="004A2ED0">
        <w:rPr>
          <w:rFonts w:ascii="Verdana" w:hAnsi="Verdana"/>
          <w:sz w:val="14"/>
          <w:szCs w:val="14"/>
        </w:rPr>
        <w:t xml:space="preserve"> </w:t>
      </w:r>
      <w:r w:rsidRPr="004A2ED0">
        <w:rPr>
          <w:rFonts w:ascii="Verdana" w:hAnsi="Verdana"/>
          <w:sz w:val="14"/>
          <w:szCs w:val="14"/>
          <w:lang w:val="es-CO"/>
        </w:rPr>
        <w:t>Esta política se justifica en la medida que: “ Cuando una empresa decide ser formal se generan beneficios para la sociedad más allá de los que la empresa recibe (externalidades positivas). Estos beneficios [ …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 (Cfr. CONSEJO NACIONAL DE POLÍTICA ECONÓMICA Y SOCIAL. Documento 3956 del 8 de enero de 2019: “ Política de formalización empresarial ” . Archivo consultado el 8 de febrero de 2021 en la página web https://colaboracion.dnp.gov.co/CDT/Conpes/Econ%C3%B3micos/3956.pdf).</w:t>
      </w:r>
    </w:p>
  </w:footnote>
  <w:footnote w:id="4">
    <w:p w14:paraId="4D8640CB" w14:textId="77777777" w:rsidR="00443730" w:rsidRPr="00E60845" w:rsidRDefault="00443730" w:rsidP="00443730">
      <w:pPr>
        <w:pStyle w:val="Textonotapie"/>
        <w:ind w:firstLine="709"/>
        <w:jc w:val="both"/>
        <w:rPr>
          <w:rFonts w:ascii="Verdana" w:hAnsi="Verdana" w:cs="Arial"/>
          <w:sz w:val="14"/>
          <w:szCs w:val="14"/>
          <w:lang w:val="es-CO"/>
        </w:rPr>
      </w:pPr>
      <w:r w:rsidRPr="00E60845">
        <w:rPr>
          <w:rStyle w:val="Refdenotaalpie"/>
          <w:rFonts w:ascii="Verdana" w:hAnsi="Verdana" w:cs="Arial"/>
          <w:sz w:val="14"/>
          <w:szCs w:val="14"/>
        </w:rPr>
        <w:footnoteRef/>
      </w:r>
      <w:r w:rsidRPr="00E60845">
        <w:rPr>
          <w:rFonts w:ascii="Verdana" w:hAnsi="Verdana" w:cs="Arial"/>
          <w:sz w:val="14"/>
          <w:szCs w:val="14"/>
        </w:rPr>
        <w:t xml:space="preserve"> </w:t>
      </w:r>
      <w:r w:rsidRPr="00E60845">
        <w:rPr>
          <w:rFonts w:ascii="Verdana" w:hAnsi="Verdana" w:cs="Arial"/>
          <w:sz w:val="14"/>
          <w:szCs w:val="14"/>
          <w:lang w:eastAsia="es-MX"/>
        </w:rPr>
        <w:t xml:space="preserve">“Por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 w:id="5">
    <w:p w14:paraId="32707A32" w14:textId="77777777" w:rsidR="00443730" w:rsidRPr="00E60845" w:rsidRDefault="00443730" w:rsidP="00443730">
      <w:pPr>
        <w:pStyle w:val="Textonotapie"/>
        <w:ind w:firstLine="708"/>
        <w:rPr>
          <w:rFonts w:ascii="Verdana" w:hAnsi="Verdana"/>
          <w:sz w:val="14"/>
          <w:szCs w:val="14"/>
        </w:rPr>
      </w:pPr>
    </w:p>
    <w:p w14:paraId="200CB0D3" w14:textId="77777777" w:rsidR="00443730" w:rsidRPr="00E60845" w:rsidRDefault="00443730" w:rsidP="00443730">
      <w:pPr>
        <w:pStyle w:val="Textonotapie"/>
        <w:ind w:firstLine="708"/>
        <w:jc w:val="both"/>
        <w:rPr>
          <w:rFonts w:ascii="Verdana" w:hAnsi="Verdana"/>
          <w:sz w:val="14"/>
          <w:szCs w:val="14"/>
        </w:rPr>
      </w:pPr>
      <w:r w:rsidRPr="00E60845">
        <w:rPr>
          <w:rStyle w:val="Refdenotaalpie"/>
          <w:rFonts w:ascii="Verdana" w:hAnsi="Verdana"/>
          <w:sz w:val="14"/>
          <w:szCs w:val="14"/>
        </w:rPr>
        <w:footnoteRef/>
      </w:r>
      <w:r w:rsidRPr="00E60845">
        <w:rPr>
          <w:rFonts w:ascii="Verdana" w:hAnsi="Verdana"/>
          <w:sz w:val="14"/>
          <w:szCs w:val="14"/>
        </w:rPr>
        <w:t xml:space="preserve"> Decreto 2069 de 2020: “Artículo 33. PROMOCIÓN DEL ACCESO DE LAS MIPYMES AL MERCADO DE COMPRAS PÚBLICAS. Modifíquese el artículo 12 de la Ley 590 de 2000, el cual quedará así:  </w:t>
      </w:r>
    </w:p>
    <w:p w14:paraId="21E84E45" w14:textId="77777777" w:rsidR="00443730" w:rsidRPr="00E60845" w:rsidRDefault="00443730" w:rsidP="00443730">
      <w:pPr>
        <w:pStyle w:val="Textonotapie"/>
        <w:ind w:firstLine="708"/>
        <w:jc w:val="both"/>
        <w:rPr>
          <w:rFonts w:ascii="Verdana" w:hAnsi="Verdana"/>
          <w:sz w:val="14"/>
          <w:szCs w:val="14"/>
        </w:rPr>
      </w:pPr>
      <w:r w:rsidRPr="00E60845">
        <w:rPr>
          <w:rFonts w:ascii="Verdana" w:hAnsi="Verdana"/>
          <w:sz w:val="14"/>
          <w:szCs w:val="14"/>
        </w:rPr>
        <w:t xml:space="preserve">"Artículo 12. Promoción del acceso de las MIPYMES al mercado de Compras Públicas. Con el fin de promover el acceso de las MIPYMES al mercado de Compras Públicas, las Entidades Estatales indistintamente de su régimen de contratación, los patrimonios autónomos constituidos por Entidades Estatales y los particulares que ejecuten recursos públicos: </w:t>
      </w:r>
    </w:p>
    <w:p w14:paraId="680F68B5" w14:textId="77777777" w:rsidR="00443730" w:rsidRPr="00E60845" w:rsidRDefault="00443730" w:rsidP="00443730">
      <w:pPr>
        <w:pStyle w:val="Textonotapie"/>
        <w:ind w:firstLine="708"/>
        <w:jc w:val="both"/>
        <w:rPr>
          <w:rFonts w:ascii="Verdana" w:hAnsi="Verdana"/>
          <w:sz w:val="14"/>
          <w:szCs w:val="14"/>
        </w:rPr>
      </w:pPr>
      <w:r w:rsidRPr="00E60845">
        <w:rPr>
          <w:rFonts w:ascii="Verdana" w:hAnsi="Verdana"/>
          <w:sz w:val="14"/>
          <w:szCs w:val="14"/>
        </w:rPr>
        <w:t>[…]</w:t>
      </w:r>
    </w:p>
    <w:p w14:paraId="3230D813" w14:textId="77777777" w:rsidR="00443730" w:rsidRPr="00E60845" w:rsidRDefault="00443730" w:rsidP="00443730">
      <w:pPr>
        <w:pStyle w:val="Textonotapie"/>
        <w:ind w:firstLine="708"/>
        <w:jc w:val="both"/>
        <w:rPr>
          <w:rFonts w:ascii="Verdana" w:hAnsi="Verdana" w:cs="Arial"/>
          <w:color w:val="000000"/>
          <w:sz w:val="14"/>
          <w:szCs w:val="14"/>
        </w:rPr>
      </w:pPr>
      <w:r w:rsidRPr="00E60845">
        <w:rPr>
          <w:rFonts w:ascii="Verdana" w:hAnsi="Verdana" w:cs="Arial"/>
          <w:color w:val="000000"/>
          <w:sz w:val="14"/>
          <w:szCs w:val="14"/>
        </w:rPr>
        <w:t>6. Promoverán la división del Proceso de Contratación en lotes o segmentos que faciliten la participación de las MIPYMES en el Proceso de Contratación […]”.</w:t>
      </w:r>
    </w:p>
    <w:p w14:paraId="16DE0F18" w14:textId="77777777" w:rsidR="00443730" w:rsidRPr="00D518E0" w:rsidRDefault="00443730" w:rsidP="00443730">
      <w:pPr>
        <w:pStyle w:val="Textonotapie"/>
        <w:ind w:firstLine="708"/>
        <w:rPr>
          <w:rFonts w:ascii="Century Gothic" w:hAnsi="Century Gothic"/>
          <w:sz w:val="14"/>
          <w:szCs w:val="14"/>
        </w:rPr>
      </w:pPr>
      <w:r w:rsidRPr="00D518E0">
        <w:rPr>
          <w:rFonts w:ascii="Century Gothic" w:hAnsi="Century Gothic" w:cs="Arial"/>
          <w:color w:val="000000"/>
          <w:sz w:val="14"/>
          <w:szCs w:val="14"/>
        </w:rPr>
        <w:t xml:space="preserve">  </w:t>
      </w:r>
      <w:r w:rsidRPr="00D518E0">
        <w:rPr>
          <w:rFonts w:ascii="Century Gothic" w:hAnsi="Century Gothic"/>
          <w:sz w:val="14"/>
          <w:szCs w:val="14"/>
        </w:rPr>
        <w:t xml:space="preserve"> </w:t>
      </w:r>
    </w:p>
  </w:footnote>
  <w:footnote w:id="6">
    <w:p w14:paraId="5FF5DC6A" w14:textId="77777777" w:rsidR="00443730" w:rsidRPr="00E60845" w:rsidRDefault="00443730" w:rsidP="00443730">
      <w:pPr>
        <w:pStyle w:val="NormalWeb"/>
        <w:spacing w:after="0"/>
        <w:ind w:firstLine="709"/>
        <w:jc w:val="both"/>
        <w:rPr>
          <w:rFonts w:ascii="Verdana" w:hAnsi="Verdana" w:cs="Arial"/>
          <w:sz w:val="14"/>
          <w:szCs w:val="14"/>
        </w:rPr>
      </w:pPr>
      <w:r w:rsidRPr="00E60845">
        <w:rPr>
          <w:rStyle w:val="Refdenotaalpie"/>
          <w:rFonts w:ascii="Verdana" w:hAnsi="Verdana" w:cs="Arial"/>
          <w:sz w:val="14"/>
          <w:szCs w:val="14"/>
        </w:rPr>
        <w:footnoteRef/>
      </w:r>
      <w:r w:rsidRPr="00E60845">
        <w:rPr>
          <w:rFonts w:ascii="Verdana" w:hAnsi="Verdana" w:cs="Arial"/>
          <w:sz w:val="14"/>
          <w:szCs w:val="14"/>
        </w:rPr>
        <w:t xml:space="preserve"> Decreto 1082 de 2015 −modificado por el artículo 2 del Decreto 142 de 2023−: “Artículo 2.2.1.1.1.4.1. </w:t>
      </w:r>
      <w:r w:rsidRPr="00E60845">
        <w:rPr>
          <w:rFonts w:ascii="Verdana" w:hAnsi="Verdana" w:cs="Arial"/>
          <w:i/>
          <w:iCs/>
          <w:sz w:val="14"/>
          <w:szCs w:val="14"/>
        </w:rPr>
        <w:t>Plan Anual de Adquisiciones. </w:t>
      </w:r>
      <w:r w:rsidRPr="00E60845">
        <w:rPr>
          <w:rFonts w:ascii="Verdana" w:hAnsi="Verdana" w:cs="Arial"/>
          <w:sz w:val="14"/>
          <w:szCs w:val="14"/>
        </w:rPr>
        <w:t>Las entidades estatales 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w:t>
      </w:r>
      <w:r w:rsidRPr="00E60845">
        <w:rPr>
          <w:rFonts w:ascii="Verdana" w:hAnsi="Verdana" w:cs="Arial"/>
          <w:sz w:val="16"/>
          <w:szCs w:val="16"/>
        </w:rPr>
        <w:t xml:space="preserve"> </w:t>
      </w:r>
      <w:r w:rsidRPr="00E60845">
        <w:rPr>
          <w:rFonts w:ascii="Verdana" w:hAnsi="Verdana" w:cs="Arial"/>
          <w:sz w:val="14"/>
          <w:szCs w:val="14"/>
        </w:rPr>
        <w:t>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w:t>
      </w:r>
    </w:p>
    <w:p w14:paraId="7615C065" w14:textId="77777777" w:rsidR="00443730" w:rsidRPr="00E60845" w:rsidRDefault="00443730" w:rsidP="00443730">
      <w:pPr>
        <w:spacing w:after="0" w:line="240" w:lineRule="auto"/>
        <w:ind w:firstLine="708"/>
        <w:jc w:val="both"/>
        <w:rPr>
          <w:rFonts w:ascii="Verdana" w:eastAsia="Times New Roman" w:hAnsi="Verdana" w:cs="Arial"/>
          <w:sz w:val="14"/>
          <w:szCs w:val="14"/>
          <w:lang w:eastAsia="es-CO"/>
        </w:rPr>
      </w:pPr>
      <w:r w:rsidRPr="00E60845">
        <w:rPr>
          <w:rFonts w:ascii="Verdana" w:eastAsia="Times New Roman" w:hAnsi="Verdana" w:cs="Arial"/>
          <w:sz w:val="14"/>
          <w:szCs w:val="14"/>
          <w:lang w:eastAsia="es-CO"/>
        </w:rPr>
        <w:t>Las entidades estatales deberán planear su contratación de manera que se promueva la división de Procesos de Contratación en lotes o segmentos en los que se facilite la participación de las Mipymes. </w:t>
      </w:r>
    </w:p>
    <w:p w14:paraId="3B82E67E" w14:textId="77777777" w:rsidR="00443730" w:rsidRPr="00E60845" w:rsidRDefault="00443730" w:rsidP="00443730">
      <w:pPr>
        <w:spacing w:after="0" w:line="240" w:lineRule="auto"/>
        <w:ind w:firstLine="708"/>
        <w:jc w:val="both"/>
        <w:rPr>
          <w:rFonts w:ascii="Verdana" w:eastAsia="Times New Roman" w:hAnsi="Verdana" w:cs="Arial"/>
          <w:sz w:val="14"/>
          <w:szCs w:val="14"/>
          <w:lang w:eastAsia="es-CO"/>
        </w:rPr>
      </w:pPr>
      <w:r w:rsidRPr="00E60845">
        <w:rPr>
          <w:rFonts w:ascii="Verdana" w:eastAsia="Times New Roman" w:hAnsi="Verdana" w:cs="Arial"/>
          <w:sz w:val="14"/>
          <w:szCs w:val="14"/>
          <w:lang w:eastAsia="es-CO"/>
        </w:rPr>
        <w:t>Dentro de estas Mipymes se encuentran entre otras, las cooperativas de acuerdo con los requisitos del artículo 23 de la Ley 2069 de 2020 o las que se constituyan como entidades de economía solidaria de acuerdo con los requisitos del artículo 6° de la Ley 454 de 1998 o la norma que las modifique o sustituya. </w:t>
      </w:r>
    </w:p>
    <w:p w14:paraId="27D136BB" w14:textId="77777777" w:rsidR="00443730" w:rsidRPr="00E60845" w:rsidRDefault="00443730" w:rsidP="00443730">
      <w:pPr>
        <w:spacing w:after="0" w:line="240" w:lineRule="auto"/>
        <w:ind w:firstLine="708"/>
        <w:jc w:val="both"/>
        <w:rPr>
          <w:rFonts w:ascii="Verdana" w:eastAsia="Times New Roman" w:hAnsi="Verdana" w:cs="Arial"/>
          <w:sz w:val="14"/>
          <w:szCs w:val="14"/>
          <w:lang w:eastAsia="es-CO"/>
        </w:rPr>
      </w:pPr>
      <w:r w:rsidRPr="00E60845">
        <w:rPr>
          <w:rFonts w:ascii="Verdana" w:eastAsia="Times New Roman" w:hAnsi="Verdana" w:cs="Arial"/>
          <w:sz w:val="14"/>
          <w:szCs w:val="14"/>
          <w:lang w:eastAsia="es-CO"/>
        </w:rPr>
        <w:t>Las asociaciones conformadas por sujetos de especial protección constitucional, asociaciones de pequeños productores locales y productores locales agropecuarios cuyos sistemas productivos pertenezcan a la Agricultura Campesina, Familiar y Comunitaria podrán ser clasificadas como Mipymes en los términos previstos en el artículo 23 de la Ley 2069 de 2020, el artículo 2° de la Ley 590 de 2000 y por el Decreto número 957 de 2019 o las normas que los modifiquen”. </w:t>
      </w:r>
    </w:p>
    <w:p w14:paraId="202D7E4D" w14:textId="77777777" w:rsidR="00443730" w:rsidRPr="00D075D3" w:rsidRDefault="00443730" w:rsidP="00443730">
      <w:pPr>
        <w:pStyle w:val="Textonotapie"/>
        <w:jc w:val="both"/>
        <w:rPr>
          <w:rFonts w:ascii="Century Gothic" w:hAnsi="Century Gothic" w:cs="Arial"/>
          <w:sz w:val="16"/>
          <w:szCs w:val="16"/>
          <w:lang w:val="es-CO"/>
        </w:rPr>
      </w:pPr>
    </w:p>
  </w:footnote>
  <w:footnote w:id="7">
    <w:p w14:paraId="0C5305B3" w14:textId="77777777" w:rsidR="00443730" w:rsidRPr="00E60845" w:rsidRDefault="00443730" w:rsidP="00443730">
      <w:pPr>
        <w:pStyle w:val="NormalWeb"/>
        <w:shd w:val="clear" w:color="auto" w:fill="FFFFFF"/>
        <w:spacing w:after="0"/>
        <w:ind w:firstLine="708"/>
        <w:jc w:val="both"/>
        <w:rPr>
          <w:rFonts w:ascii="Verdana" w:hAnsi="Verdana" w:cs="Arial"/>
          <w:sz w:val="14"/>
          <w:szCs w:val="14"/>
        </w:rPr>
      </w:pPr>
      <w:r w:rsidRPr="00E60845">
        <w:rPr>
          <w:rStyle w:val="Refdenotaalpie"/>
          <w:rFonts w:ascii="Verdana" w:hAnsi="Verdana" w:cs="Arial"/>
          <w:sz w:val="14"/>
          <w:szCs w:val="14"/>
        </w:rPr>
        <w:footnoteRef/>
      </w:r>
      <w:r w:rsidRPr="00E60845">
        <w:rPr>
          <w:rFonts w:ascii="Verdana" w:hAnsi="Verdana" w:cs="Arial"/>
          <w:sz w:val="14"/>
          <w:szCs w:val="14"/>
        </w:rPr>
        <w:t xml:space="preserve"> Decreto 1082 de 2015: “Artículo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14:paraId="680E6091" w14:textId="77777777" w:rsidR="00443730" w:rsidRPr="00E60845" w:rsidRDefault="00443730" w:rsidP="00443730">
      <w:pPr>
        <w:shd w:val="clear" w:color="auto" w:fill="FFFFFF"/>
        <w:spacing w:after="0" w:line="240" w:lineRule="auto"/>
        <w:ind w:firstLine="708"/>
        <w:jc w:val="both"/>
        <w:rPr>
          <w:rFonts w:ascii="Verdana" w:eastAsia="Times New Roman" w:hAnsi="Verdana" w:cs="Arial"/>
          <w:sz w:val="14"/>
          <w:szCs w:val="14"/>
          <w:lang w:eastAsia="es-CO"/>
        </w:rPr>
      </w:pPr>
      <w:r w:rsidRPr="00E60845">
        <w:rPr>
          <w:rFonts w:ascii="Verdana" w:eastAsia="Times New Roman" w:hAnsi="Verdana" w:cs="Arial"/>
          <w:sz w:val="14"/>
          <w:szCs w:val="14"/>
          <w:lang w:eastAsia="es-CO"/>
        </w:rPr>
        <w:t>1. El valor del Proceso de Contratación sea menor a ciento veinticinco mil dólares de los Estados Unidos de América (US$125.000), liquidados con la tasa de cambio que para el efecto determina cada dos años el Ministerio de Comercio, Industria y Turismo.</w:t>
      </w:r>
    </w:p>
    <w:p w14:paraId="0A9B91E4" w14:textId="77777777" w:rsidR="00443730" w:rsidRPr="00E60845" w:rsidRDefault="00443730" w:rsidP="00443730">
      <w:pPr>
        <w:shd w:val="clear" w:color="auto" w:fill="FFFFFF"/>
        <w:spacing w:after="0" w:line="240" w:lineRule="auto"/>
        <w:ind w:firstLine="708"/>
        <w:jc w:val="both"/>
        <w:rPr>
          <w:rFonts w:ascii="Verdana" w:eastAsia="Times New Roman" w:hAnsi="Verdana" w:cs="Arial"/>
          <w:sz w:val="14"/>
          <w:szCs w:val="14"/>
          <w:lang w:eastAsia="es-CO"/>
        </w:rPr>
      </w:pPr>
      <w:r w:rsidRPr="00E60845">
        <w:rPr>
          <w:rFonts w:ascii="Verdana" w:eastAsia="Times New Roman" w:hAnsi="Verdana" w:cs="Arial"/>
          <w:sz w:val="14"/>
          <w:szCs w:val="14"/>
          <w:lang w:eastAsia="es-CO"/>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0D388AEF" w14:textId="77777777" w:rsidR="00443730" w:rsidRPr="00E60845" w:rsidRDefault="00443730" w:rsidP="00443730">
      <w:pPr>
        <w:shd w:val="clear" w:color="auto" w:fill="FFFFFF"/>
        <w:spacing w:after="0" w:line="240" w:lineRule="auto"/>
        <w:ind w:firstLine="708"/>
        <w:jc w:val="both"/>
        <w:rPr>
          <w:rFonts w:ascii="Verdana" w:eastAsia="Times New Roman" w:hAnsi="Verdana" w:cs="Arial"/>
          <w:sz w:val="14"/>
          <w:szCs w:val="14"/>
          <w:lang w:eastAsia="es-CO"/>
        </w:rPr>
      </w:pPr>
      <w:r w:rsidRPr="00E60845">
        <w:rPr>
          <w:rFonts w:ascii="Verdana" w:eastAsia="Times New Roman" w:hAnsi="Verdana" w:cs="Arial"/>
          <w:sz w:val="14"/>
          <w:szCs w:val="14"/>
          <w:lang w:eastAsia="es-CO"/>
        </w:rPr>
        <w:t>Tratándose de personas jurídicas, las solicitudes solo las podrán realizar Mipyme, cuyo objeto social les permita ejecutar el contrato relacionado con el proceso contractual.</w:t>
      </w:r>
    </w:p>
    <w:p w14:paraId="4D36A1A7" w14:textId="77777777" w:rsidR="00443730" w:rsidRPr="00E60845" w:rsidRDefault="00443730" w:rsidP="00443730">
      <w:pPr>
        <w:shd w:val="clear" w:color="auto" w:fill="FFFFFF"/>
        <w:spacing w:after="0" w:line="240" w:lineRule="auto"/>
        <w:ind w:firstLine="708"/>
        <w:jc w:val="both"/>
        <w:rPr>
          <w:rFonts w:ascii="Verdana" w:hAnsi="Verdana" w:cs="Arial"/>
          <w:sz w:val="14"/>
          <w:szCs w:val="14"/>
        </w:rPr>
      </w:pPr>
      <w:r w:rsidRPr="00E60845">
        <w:rPr>
          <w:rFonts w:ascii="Verdana" w:eastAsia="Times New Roman" w:hAnsi="Verdana" w:cs="Arial"/>
          <w:sz w:val="14"/>
          <w:szCs w:val="14"/>
          <w:lang w:eastAsia="es-CO"/>
        </w:rPr>
        <w:t>PARÁGRAFO. Las cooperativas y demás entidades de economía solidaria, siempre que tengan la calidad de Mípyme, podrán solicitar y participar en las convocatorias limitadas en las mismas condiciones dispuestas en el presente artículo”.</w:t>
      </w:r>
    </w:p>
  </w:footnote>
  <w:footnote w:id="8">
    <w:p w14:paraId="43E471AA" w14:textId="77777777" w:rsidR="00443730" w:rsidRPr="00D075D3" w:rsidRDefault="00443730" w:rsidP="00443730">
      <w:pPr>
        <w:pStyle w:val="Textonotapie"/>
        <w:ind w:firstLine="708"/>
        <w:jc w:val="both"/>
        <w:rPr>
          <w:rFonts w:ascii="Century Gothic" w:hAnsi="Century Gothic" w:cs="Arial"/>
          <w:sz w:val="16"/>
          <w:szCs w:val="16"/>
          <w:lang w:val="es-CO"/>
        </w:rPr>
      </w:pPr>
      <w:r w:rsidRPr="00E60845">
        <w:rPr>
          <w:rStyle w:val="Refdenotaalpie"/>
          <w:rFonts w:ascii="Verdana" w:hAnsi="Verdana" w:cs="Arial"/>
          <w:sz w:val="14"/>
          <w:szCs w:val="14"/>
        </w:rPr>
        <w:footnoteRef/>
      </w:r>
      <w:r w:rsidRPr="00E60845">
        <w:rPr>
          <w:rFonts w:ascii="Verdana" w:hAnsi="Verdana" w:cs="Arial"/>
          <w:sz w:val="14"/>
          <w:szCs w:val="14"/>
        </w:rPr>
        <w:t xml:space="preserve"> Decreto 1082 de 2015: “</w:t>
      </w:r>
      <w:r w:rsidRPr="00E60845">
        <w:rPr>
          <w:rFonts w:ascii="Verdana" w:hAnsi="Verdana" w:cs="Arial"/>
          <w:sz w:val="14"/>
          <w:szCs w:val="14"/>
          <w:lang w:val="es-CO"/>
        </w:rPr>
        <w:t>Artículo 2.2.1.2.4.2.3. Limitaciones territoriales. De conformidad con el parágrafo </w:t>
      </w:r>
      <w:hyperlink r:id="rId1" w:anchor="12.p1" w:history="1">
        <w:r w:rsidRPr="00E60845">
          <w:rPr>
            <w:rFonts w:ascii="Verdana" w:hAnsi="Verdana" w:cs="Arial"/>
            <w:sz w:val="14"/>
            <w:szCs w:val="14"/>
            <w:lang w:val="es-CO"/>
          </w:rPr>
          <w:t>1 </w:t>
        </w:r>
      </w:hyperlink>
      <w:r w:rsidRPr="00E60845">
        <w:rPr>
          <w:rFonts w:ascii="Verdana" w:hAnsi="Verdana" w:cs="Arial"/>
          <w:sz w:val="14"/>
          <w:szCs w:val="14"/>
          <w:lang w:val="es-CO"/>
        </w:rPr>
        <w:t>del artículo </w:t>
      </w:r>
      <w:hyperlink r:id="rId2" w:anchor="12" w:history="1">
        <w:r w:rsidRPr="00E60845">
          <w:rPr>
            <w:rFonts w:ascii="Verdana" w:hAnsi="Verdana" w:cs="Arial"/>
            <w:sz w:val="14"/>
            <w:szCs w:val="14"/>
            <w:lang w:val="es-CO"/>
          </w:rPr>
          <w:t>12 </w:t>
        </w:r>
      </w:hyperlink>
      <w:r w:rsidRPr="00E60845">
        <w:rPr>
          <w:rFonts w:ascii="Verdana" w:hAnsi="Verdana" w:cs="Arial"/>
          <w:sz w:val="14"/>
          <w:szCs w:val="14"/>
          <w:lang w:val="es-CO"/>
        </w:rPr>
        <w:t>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1pt;height:11.1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347A2E"/>
    <w:multiLevelType w:val="hybridMultilevel"/>
    <w:tmpl w:val="DE447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75C5A77"/>
    <w:multiLevelType w:val="hybridMultilevel"/>
    <w:tmpl w:val="F5321E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341274352">
    <w:abstractNumId w:val="0"/>
  </w:num>
  <w:num w:numId="17" w16cid:durableId="679089576">
    <w:abstractNumId w:val="10"/>
  </w:num>
  <w:num w:numId="18" w16cid:durableId="190606430">
    <w:abstractNumId w:val="3"/>
  </w:num>
  <w:num w:numId="19" w16cid:durableId="1300452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64EE2"/>
    <w:rsid w:val="00082362"/>
    <w:rsid w:val="000A683E"/>
    <w:rsid w:val="000B19B9"/>
    <w:rsid w:val="000D0334"/>
    <w:rsid w:val="000F6486"/>
    <w:rsid w:val="00106CD2"/>
    <w:rsid w:val="00125105"/>
    <w:rsid w:val="00127233"/>
    <w:rsid w:val="0019297F"/>
    <w:rsid w:val="001E4177"/>
    <w:rsid w:val="001F7DC6"/>
    <w:rsid w:val="002421BB"/>
    <w:rsid w:val="0025796E"/>
    <w:rsid w:val="002707A2"/>
    <w:rsid w:val="002951A0"/>
    <w:rsid w:val="002962BC"/>
    <w:rsid w:val="002A093D"/>
    <w:rsid w:val="002A0DD0"/>
    <w:rsid w:val="002A49AC"/>
    <w:rsid w:val="002A64FD"/>
    <w:rsid w:val="002A7BC9"/>
    <w:rsid w:val="002C7A84"/>
    <w:rsid w:val="002E2930"/>
    <w:rsid w:val="002E3777"/>
    <w:rsid w:val="002E4FD9"/>
    <w:rsid w:val="00322A85"/>
    <w:rsid w:val="00324168"/>
    <w:rsid w:val="00334337"/>
    <w:rsid w:val="003366F5"/>
    <w:rsid w:val="003448F4"/>
    <w:rsid w:val="00362133"/>
    <w:rsid w:val="00374F5E"/>
    <w:rsid w:val="00377E3E"/>
    <w:rsid w:val="00395ADD"/>
    <w:rsid w:val="003A26D1"/>
    <w:rsid w:val="003A779E"/>
    <w:rsid w:val="003B7CCD"/>
    <w:rsid w:val="003D0F4D"/>
    <w:rsid w:val="003D5B0D"/>
    <w:rsid w:val="003E0499"/>
    <w:rsid w:val="003F3941"/>
    <w:rsid w:val="00406575"/>
    <w:rsid w:val="0042722E"/>
    <w:rsid w:val="00443730"/>
    <w:rsid w:val="0044528D"/>
    <w:rsid w:val="004A0DB3"/>
    <w:rsid w:val="004A1847"/>
    <w:rsid w:val="004A2ED0"/>
    <w:rsid w:val="004A305D"/>
    <w:rsid w:val="004D401B"/>
    <w:rsid w:val="004F21C4"/>
    <w:rsid w:val="004F685F"/>
    <w:rsid w:val="00535C35"/>
    <w:rsid w:val="005566E8"/>
    <w:rsid w:val="00574867"/>
    <w:rsid w:val="00591460"/>
    <w:rsid w:val="00592628"/>
    <w:rsid w:val="005C3777"/>
    <w:rsid w:val="005C5CDC"/>
    <w:rsid w:val="005D476C"/>
    <w:rsid w:val="00610812"/>
    <w:rsid w:val="0062136D"/>
    <w:rsid w:val="006219F8"/>
    <w:rsid w:val="00636E85"/>
    <w:rsid w:val="00646BDF"/>
    <w:rsid w:val="00650FF7"/>
    <w:rsid w:val="00665D70"/>
    <w:rsid w:val="00667E93"/>
    <w:rsid w:val="00671DAC"/>
    <w:rsid w:val="006900D9"/>
    <w:rsid w:val="006D12F8"/>
    <w:rsid w:val="006E3CDD"/>
    <w:rsid w:val="00706C16"/>
    <w:rsid w:val="00756841"/>
    <w:rsid w:val="007649AB"/>
    <w:rsid w:val="00771D0C"/>
    <w:rsid w:val="00771F00"/>
    <w:rsid w:val="007833AC"/>
    <w:rsid w:val="007B268C"/>
    <w:rsid w:val="007B7171"/>
    <w:rsid w:val="007C0C0F"/>
    <w:rsid w:val="007C3DC2"/>
    <w:rsid w:val="007E41EC"/>
    <w:rsid w:val="007E5497"/>
    <w:rsid w:val="00806F5F"/>
    <w:rsid w:val="00820278"/>
    <w:rsid w:val="00853067"/>
    <w:rsid w:val="00863E72"/>
    <w:rsid w:val="008843B6"/>
    <w:rsid w:val="00891928"/>
    <w:rsid w:val="008A446D"/>
    <w:rsid w:val="008B455F"/>
    <w:rsid w:val="008D180B"/>
    <w:rsid w:val="008F0EA7"/>
    <w:rsid w:val="00907466"/>
    <w:rsid w:val="00923EEF"/>
    <w:rsid w:val="009419F9"/>
    <w:rsid w:val="0095685E"/>
    <w:rsid w:val="00960E2A"/>
    <w:rsid w:val="00961B09"/>
    <w:rsid w:val="00965334"/>
    <w:rsid w:val="0097093E"/>
    <w:rsid w:val="009A0DFA"/>
    <w:rsid w:val="009B2D26"/>
    <w:rsid w:val="009B5C0D"/>
    <w:rsid w:val="009C71FA"/>
    <w:rsid w:val="009C72E7"/>
    <w:rsid w:val="009D3058"/>
    <w:rsid w:val="009F3A13"/>
    <w:rsid w:val="00A0771D"/>
    <w:rsid w:val="00A122D3"/>
    <w:rsid w:val="00A17F13"/>
    <w:rsid w:val="00A20739"/>
    <w:rsid w:val="00A33C78"/>
    <w:rsid w:val="00A44495"/>
    <w:rsid w:val="00A67491"/>
    <w:rsid w:val="00AB0ADB"/>
    <w:rsid w:val="00AF40EF"/>
    <w:rsid w:val="00B01B1A"/>
    <w:rsid w:val="00B14DF9"/>
    <w:rsid w:val="00B72CD3"/>
    <w:rsid w:val="00B72FFF"/>
    <w:rsid w:val="00B82EBF"/>
    <w:rsid w:val="00BA4392"/>
    <w:rsid w:val="00BA5F6D"/>
    <w:rsid w:val="00BC3D36"/>
    <w:rsid w:val="00BD7F72"/>
    <w:rsid w:val="00C04FB3"/>
    <w:rsid w:val="00C330EB"/>
    <w:rsid w:val="00C754BE"/>
    <w:rsid w:val="00C76B1C"/>
    <w:rsid w:val="00C83521"/>
    <w:rsid w:val="00C90B03"/>
    <w:rsid w:val="00CB6357"/>
    <w:rsid w:val="00CC1B26"/>
    <w:rsid w:val="00D423A2"/>
    <w:rsid w:val="00D520D8"/>
    <w:rsid w:val="00D63AC2"/>
    <w:rsid w:val="00D7383B"/>
    <w:rsid w:val="00DA231B"/>
    <w:rsid w:val="00DA23A0"/>
    <w:rsid w:val="00DC39FC"/>
    <w:rsid w:val="00DF5254"/>
    <w:rsid w:val="00DF6BAD"/>
    <w:rsid w:val="00E16408"/>
    <w:rsid w:val="00E20894"/>
    <w:rsid w:val="00E245AB"/>
    <w:rsid w:val="00E2764C"/>
    <w:rsid w:val="00E27F2E"/>
    <w:rsid w:val="00E413EA"/>
    <w:rsid w:val="00E50AFE"/>
    <w:rsid w:val="00E60845"/>
    <w:rsid w:val="00E75C92"/>
    <w:rsid w:val="00E771DC"/>
    <w:rsid w:val="00E8772A"/>
    <w:rsid w:val="00E90F6B"/>
    <w:rsid w:val="00E92C27"/>
    <w:rsid w:val="00EA0E3D"/>
    <w:rsid w:val="00EC2D6D"/>
    <w:rsid w:val="00EC38A7"/>
    <w:rsid w:val="00EE1AA8"/>
    <w:rsid w:val="00F31EDC"/>
    <w:rsid w:val="00F34796"/>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0DB3"/>
    <w:rPr>
      <w:rFonts w:ascii="Geomanist Light" w:hAnsi="Geomanist Light"/>
      <w:lang w:val="es-ES"/>
    </w:rPr>
  </w:style>
  <w:style w:type="character" w:styleId="Refdecomentario">
    <w:name w:val="annotation reference"/>
    <w:basedOn w:val="Fuentedeprrafopredeter"/>
    <w:uiPriority w:val="99"/>
    <w:semiHidden/>
    <w:unhideWhenUsed/>
    <w:rsid w:val="00334337"/>
    <w:rPr>
      <w:sz w:val="16"/>
      <w:szCs w:val="16"/>
    </w:rPr>
  </w:style>
  <w:style w:type="paragraph" w:styleId="Textocomentario">
    <w:name w:val="annotation text"/>
    <w:basedOn w:val="Normal"/>
    <w:link w:val="TextocomentarioCar"/>
    <w:uiPriority w:val="99"/>
    <w:semiHidden/>
    <w:unhideWhenUsed/>
    <w:rsid w:val="003343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4337"/>
    <w:rPr>
      <w:sz w:val="20"/>
      <w:szCs w:val="20"/>
    </w:rPr>
  </w:style>
  <w:style w:type="paragraph" w:styleId="Asuntodelcomentario">
    <w:name w:val="annotation subject"/>
    <w:basedOn w:val="Textocomentario"/>
    <w:next w:val="Textocomentario"/>
    <w:link w:val="AsuntodelcomentarioCar"/>
    <w:uiPriority w:val="99"/>
    <w:semiHidden/>
    <w:unhideWhenUsed/>
    <w:rsid w:val="00334337"/>
    <w:rPr>
      <w:b/>
      <w:bCs/>
    </w:rPr>
  </w:style>
  <w:style w:type="character" w:customStyle="1" w:styleId="AsuntodelcomentarioCar">
    <w:name w:val="Asunto del comentario Car"/>
    <w:basedOn w:val="TextocomentarioCar"/>
    <w:link w:val="Asuntodelcomentario"/>
    <w:uiPriority w:val="99"/>
    <w:semiHidden/>
    <w:rsid w:val="00334337"/>
    <w:rPr>
      <w:b/>
      <w:bCs/>
      <w:sz w:val="20"/>
      <w:szCs w:val="20"/>
    </w:rPr>
  </w:style>
  <w:style w:type="paragraph" w:customStyle="1" w:styleId="Appelnotedebasde">
    <w:name w:val="Appel note de bas de..."/>
    <w:basedOn w:val="Normal"/>
    <w:link w:val="Refdenotaalpie"/>
    <w:uiPriority w:val="99"/>
    <w:rsid w:val="0033433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caramosp@hot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sisjur/home/Norma1.jsp?i=25678" TargetMode="External"/><Relationship Id="rId1" Type="http://schemas.openxmlformats.org/officeDocument/2006/relationships/hyperlink" Target="https://www.funcionpublica.gov.co/sisjur/home/Norma1.jsp?i=2567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4A025-E0CF-470C-87BE-6FACA692763F}">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openxmlformats.org/package/2006/metadata/core-properties"/>
    <ds:schemaRef ds:uri="9d85dbaf-23eb-4e57-a637-93dcacc8b1a1"/>
    <ds:schemaRef ds:uri="http://schemas.microsoft.com/office/2006/documentManagement/types"/>
    <ds:schemaRef ds:uri="http://purl.org/dc/dcmitype/"/>
    <ds:schemaRef ds:uri="http://purl.org/dc/elements/1.1/"/>
    <ds:schemaRef ds:uri="a6cb9e4b-f1d1-4245-83ec-6cad768d538a"/>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8F776A40-FB33-40BA-8F8D-79D2DF35E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3550</Words>
  <Characters>19530</Characters>
  <Application>Microsoft Office Word</Application>
  <DocSecurity>0</DocSecurity>
  <Lines>162</Lines>
  <Paragraphs>46</Paragraphs>
  <ScaleCrop>false</ScaleCrop>
  <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3</cp:revision>
  <cp:lastPrinted>2023-01-10T21:18:00Z</cp:lastPrinted>
  <dcterms:created xsi:type="dcterms:W3CDTF">2024-09-06T22:05:00Z</dcterms:created>
  <dcterms:modified xsi:type="dcterms:W3CDTF">2024-09-17T19:44:00Z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