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02CD" w14:textId="77777777" w:rsidR="00A06B76" w:rsidRPr="00A06B76" w:rsidRDefault="00A06B76">
      <w:pPr>
        <w:rPr>
          <w:rFonts w:ascii="Verdana" w:hAnsi="Verdana"/>
          <w:b/>
        </w:rPr>
      </w:pPr>
      <w:bookmarkStart w:id="0" w:name="_Hlk143780582"/>
      <w:r w:rsidRPr="00A06B76">
        <w:rPr>
          <w:rFonts w:ascii="Verdana" w:hAnsi="Verdana"/>
          <w:b/>
        </w:rPr>
        <w:t xml:space="preserve">PRINCIPIO DE PUBLICIDAD - Naturaleza </w:t>
      </w:r>
    </w:p>
    <w:p w14:paraId="2248530B" w14:textId="77777777" w:rsidR="00A06B76" w:rsidRPr="00A06B76" w:rsidRDefault="00A06B76" w:rsidP="00A06B76">
      <w:pPr>
        <w:jc w:val="both"/>
        <w:rPr>
          <w:rFonts w:ascii="Verdana" w:hAnsi="Verdana"/>
          <w:sz w:val="20"/>
        </w:rPr>
      </w:pPr>
      <w:r w:rsidRPr="00A06B76">
        <w:rPr>
          <w:rFonts w:ascii="Verdana" w:hAnsi="Verdana"/>
          <w:sz w:val="20"/>
        </w:rPr>
        <w:t xml:space="preserve">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 </w:t>
      </w:r>
    </w:p>
    <w:p w14:paraId="52BA38A8" w14:textId="77777777" w:rsidR="00A06B76" w:rsidRPr="00A06B76" w:rsidRDefault="00A06B76" w:rsidP="00A06B76">
      <w:pPr>
        <w:jc w:val="both"/>
        <w:rPr>
          <w:rFonts w:ascii="Verdana" w:hAnsi="Verdana"/>
          <w:b/>
        </w:rPr>
      </w:pPr>
      <w:r w:rsidRPr="00A06B76">
        <w:rPr>
          <w:rFonts w:ascii="Verdana" w:hAnsi="Verdana"/>
          <w:b/>
        </w:rPr>
        <w:t xml:space="preserve">SECOP II – Deber de publicidad – Entidades exceptuadas </w:t>
      </w:r>
    </w:p>
    <w:p w14:paraId="30F60BF0" w14:textId="4BA6A2A4" w:rsidR="00A06B76" w:rsidRPr="00A06B76" w:rsidRDefault="00A06B76" w:rsidP="00A06B76">
      <w:pPr>
        <w:jc w:val="both"/>
        <w:rPr>
          <w:rFonts w:ascii="Verdana" w:hAnsi="Verdana"/>
          <w:sz w:val="20"/>
        </w:rPr>
      </w:pPr>
      <w:r w:rsidRPr="00A06B76">
        <w:rPr>
          <w:rFonts w:ascii="Verdana" w:hAnsi="Verdana"/>
          <w:sz w:val="20"/>
        </w:rPr>
        <w:t xml:space="preserve">El artículo 5 ibidem,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 (…) (…)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w:t>
      </w:r>
      <w:bookmarkStart w:id="1" w:name="_GoBack"/>
      <w:bookmarkEnd w:id="1"/>
      <w:r w:rsidRPr="00A06B76">
        <w:rPr>
          <w:rFonts w:ascii="Verdana" w:hAnsi="Verdana"/>
          <w:sz w:val="20"/>
        </w:rPr>
        <w:t>a su ejecución. (…)</w:t>
      </w:r>
      <w:r w:rsidRPr="00A06B76">
        <w:rPr>
          <w:rFonts w:ascii="Verdana" w:hAnsi="Verdana"/>
          <w:sz w:val="20"/>
        </w:rPr>
        <w:br w:type="page"/>
      </w:r>
    </w:p>
    <w:p w14:paraId="3FE2184B" w14:textId="50A3A4CC" w:rsidR="00E245AB" w:rsidRPr="00BB368C" w:rsidRDefault="00E245AB" w:rsidP="00D43239">
      <w:pPr>
        <w:rPr>
          <w:rFonts w:ascii="Verdana" w:hAnsi="Verdana"/>
        </w:rPr>
      </w:pPr>
      <w:r w:rsidRPr="00BB368C">
        <w:rPr>
          <w:rFonts w:ascii="Verdana" w:hAnsi="Verdana"/>
        </w:rPr>
        <w:lastRenderedPageBreak/>
        <w:t xml:space="preserve">Bogotá D.C., </w:t>
      </w:r>
      <w:r w:rsidR="00990ABD">
        <w:rPr>
          <w:rFonts w:ascii="Verdana" w:hAnsi="Verdana"/>
        </w:rPr>
        <w:t>05 de septiembre de 2024</w:t>
      </w:r>
      <w:r w:rsidR="00891928" w:rsidRPr="00BB368C">
        <w:rPr>
          <w:rFonts w:ascii="Verdana" w:hAnsi="Verdana"/>
        </w:rPr>
        <w:tab/>
      </w:r>
    </w:p>
    <w:p w14:paraId="5FCADBF9" w14:textId="13FFF390" w:rsidR="00E245AB" w:rsidRPr="00BB368C" w:rsidRDefault="00990ABD" w:rsidP="00990ABD">
      <w:pPr>
        <w:spacing w:after="0"/>
        <w:jc w:val="right"/>
        <w:rPr>
          <w:rFonts w:ascii="Verdana" w:hAnsi="Verdana"/>
        </w:rPr>
      </w:pPr>
      <w:r w:rsidRPr="00990ABD">
        <w:rPr>
          <w:rFonts w:ascii="Verdana" w:hAnsi="Verdana"/>
        </w:rPr>
        <w:drawing>
          <wp:inline distT="0" distB="0" distL="0" distR="0" wp14:anchorId="5D2FA20B" wp14:editId="5AB804A8">
            <wp:extent cx="2860416" cy="86694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6460" cy="874835"/>
                    </a:xfrm>
                    <a:prstGeom prst="rect">
                      <a:avLst/>
                    </a:prstGeom>
                  </pic:spPr>
                </pic:pic>
              </a:graphicData>
            </a:graphic>
          </wp:inline>
        </w:drawing>
      </w:r>
    </w:p>
    <w:p w14:paraId="0EBCE418" w14:textId="54B8A1FD" w:rsidR="00891928" w:rsidRPr="00BB368C" w:rsidRDefault="00891928" w:rsidP="00891928">
      <w:pPr>
        <w:spacing w:after="0"/>
        <w:rPr>
          <w:rFonts w:ascii="Verdana" w:hAnsi="Verdana"/>
          <w:lang w:val="es-MX"/>
        </w:rPr>
      </w:pPr>
      <w:r w:rsidRPr="00BB368C">
        <w:rPr>
          <w:rFonts w:ascii="Verdana" w:hAnsi="Verdana"/>
          <w:lang w:val="es-MX"/>
        </w:rPr>
        <w:t>Señor</w:t>
      </w:r>
      <w:r w:rsidR="00160A82" w:rsidRPr="00BB368C">
        <w:rPr>
          <w:rFonts w:ascii="Verdana" w:hAnsi="Verdana"/>
          <w:lang w:val="es-MX"/>
        </w:rPr>
        <w:t>a</w:t>
      </w:r>
    </w:p>
    <w:p w14:paraId="7931AFEA" w14:textId="77777777" w:rsidR="00160A82" w:rsidRPr="00BB368C" w:rsidRDefault="00160A82" w:rsidP="00E413EA">
      <w:pPr>
        <w:spacing w:after="0"/>
        <w:rPr>
          <w:rFonts w:ascii="Verdana" w:hAnsi="Verdana"/>
          <w:b/>
          <w:bCs/>
        </w:rPr>
      </w:pPr>
      <w:r w:rsidRPr="00BB368C">
        <w:rPr>
          <w:rFonts w:ascii="Verdana" w:hAnsi="Verdana"/>
          <w:b/>
          <w:bCs/>
        </w:rPr>
        <w:t>ANGIE LIZETH CACHUA</w:t>
      </w:r>
    </w:p>
    <w:p w14:paraId="46D81EEE" w14:textId="57051634" w:rsidR="00160A82" w:rsidRPr="00BB368C" w:rsidRDefault="00160A82" w:rsidP="00E413EA">
      <w:pPr>
        <w:spacing w:after="0"/>
        <w:rPr>
          <w:rFonts w:ascii="Verdana" w:hAnsi="Verdana"/>
          <w:u w:val="single"/>
        </w:rPr>
      </w:pPr>
      <w:r w:rsidRPr="00BB368C">
        <w:rPr>
          <w:rFonts w:ascii="Verdana" w:hAnsi="Verdana"/>
          <w:u w:val="single"/>
        </w:rPr>
        <w:t xml:space="preserve">caangie@unicauca.edu.co </w:t>
      </w:r>
    </w:p>
    <w:p w14:paraId="1F423BF7" w14:textId="0F20FF69" w:rsidR="00E245AB" w:rsidRPr="00BB368C" w:rsidRDefault="00160A82" w:rsidP="00E245AB">
      <w:pPr>
        <w:spacing w:after="0"/>
        <w:rPr>
          <w:rFonts w:ascii="Verdana" w:hAnsi="Verdana"/>
          <w:lang w:val="es-MX"/>
        </w:rPr>
      </w:pPr>
      <w:r w:rsidRPr="00BB368C">
        <w:rPr>
          <w:rFonts w:ascii="Verdana" w:hAnsi="Verdana"/>
          <w:lang w:val="es-MX"/>
        </w:rPr>
        <w:t>Popayán</w:t>
      </w:r>
      <w:r w:rsidR="0069234C" w:rsidRPr="00BB368C">
        <w:rPr>
          <w:rFonts w:ascii="Verdana" w:hAnsi="Verdana"/>
          <w:lang w:val="es-MX"/>
        </w:rPr>
        <w:t xml:space="preserve">, </w:t>
      </w:r>
      <w:r w:rsidRPr="00BB368C">
        <w:rPr>
          <w:rFonts w:ascii="Verdana" w:hAnsi="Verdana"/>
          <w:lang w:val="es-MX"/>
        </w:rPr>
        <w:t xml:space="preserve">Cauca </w:t>
      </w:r>
    </w:p>
    <w:p w14:paraId="15562590" w14:textId="24EBB558" w:rsidR="00A44843" w:rsidRPr="00BB368C" w:rsidRDefault="00A44843" w:rsidP="00E245AB">
      <w:pPr>
        <w:spacing w:after="0"/>
        <w:rPr>
          <w:rFonts w:ascii="Verdana" w:hAnsi="Verdana"/>
        </w:rPr>
      </w:pPr>
    </w:p>
    <w:p w14:paraId="1048F624" w14:textId="25470064" w:rsidR="00A44843" w:rsidRPr="00BB368C" w:rsidRDefault="00A44843" w:rsidP="00A44843">
      <w:pPr>
        <w:spacing w:after="0" w:line="240" w:lineRule="auto"/>
        <w:ind w:left="1418" w:firstLine="709"/>
        <w:jc w:val="both"/>
        <w:rPr>
          <w:rFonts w:ascii="Verdana" w:eastAsia="Calibri" w:hAnsi="Verdana" w:cs="Arial"/>
          <w:b/>
          <w:bCs/>
          <w:lang w:val="es-ES" w:eastAsia="es-ES"/>
        </w:rPr>
      </w:pPr>
      <w:r w:rsidRPr="00BB368C">
        <w:rPr>
          <w:rFonts w:ascii="Verdana" w:hAnsi="Verdana"/>
        </w:rPr>
        <w:tab/>
      </w:r>
      <w:r w:rsidR="003940C1" w:rsidRPr="00BB368C">
        <w:rPr>
          <w:rFonts w:ascii="Verdana" w:hAnsi="Verdana"/>
        </w:rPr>
        <w:t xml:space="preserve">      </w:t>
      </w:r>
      <w:r w:rsidRPr="00BB368C">
        <w:rPr>
          <w:rFonts w:ascii="Verdana" w:eastAsia="Calibri" w:hAnsi="Verdana" w:cs="Arial"/>
          <w:b/>
          <w:bCs/>
          <w:lang w:val="es-ES" w:eastAsia="es-ES"/>
        </w:rPr>
        <w:t>Concepto C–379 de 2024</w:t>
      </w:r>
    </w:p>
    <w:p w14:paraId="0198B502" w14:textId="09EE2688" w:rsidR="00A44843" w:rsidRPr="00BB368C" w:rsidRDefault="00A44843" w:rsidP="00A44843">
      <w:pPr>
        <w:tabs>
          <w:tab w:val="left" w:pos="3417"/>
        </w:tabs>
        <w:spacing w:after="0"/>
        <w:rPr>
          <w:rFonts w:ascii="Verdana" w:hAnsi="Verdana"/>
        </w:rPr>
      </w:pPr>
      <w:r w:rsidRPr="00BB368C">
        <w:rPr>
          <w:rFonts w:ascii="Verdana" w:hAnsi="Verdana"/>
        </w:rPr>
        <w:tab/>
      </w:r>
    </w:p>
    <w:p w14:paraId="4B03230F" w14:textId="77777777" w:rsidR="00E245AB" w:rsidRPr="00BB368C" w:rsidRDefault="00E245AB" w:rsidP="00E245AB">
      <w:pPr>
        <w:spacing w:after="0"/>
        <w:rPr>
          <w:rFonts w:ascii="Verdana" w:hAnsi="Verdana"/>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2"/>
        <w:gridCol w:w="11901"/>
      </w:tblGrid>
      <w:tr w:rsidR="00AB4702" w:rsidRPr="00BB368C" w14:paraId="1913EF4F" w14:textId="77777777" w:rsidTr="000911D2">
        <w:trPr>
          <w:trHeight w:val="884"/>
        </w:trPr>
        <w:tc>
          <w:tcPr>
            <w:tcW w:w="3262" w:type="dxa"/>
            <w:hideMark/>
          </w:tcPr>
          <w:p w14:paraId="5AA9F2E9" w14:textId="77777777" w:rsidR="00C8312F" w:rsidRPr="00BB368C" w:rsidRDefault="00AB4702" w:rsidP="000F3BF9">
            <w:pPr>
              <w:jc w:val="both"/>
              <w:rPr>
                <w:rFonts w:ascii="Verdana" w:eastAsia="Calibri" w:hAnsi="Verdana" w:cs="Arial"/>
                <w:szCs w:val="24"/>
                <w:lang w:val="es-ES_tradnl" w:eastAsia="es-ES_tradnl"/>
              </w:rPr>
            </w:pPr>
            <w:r w:rsidRPr="00BB368C">
              <w:rPr>
                <w:rFonts w:ascii="Verdana" w:eastAsia="Calibri" w:hAnsi="Verdana" w:cs="Arial"/>
                <w:szCs w:val="24"/>
                <w:lang w:val="es-ES_tradnl" w:eastAsia="es-ES_tradnl"/>
              </w:rPr>
              <w:t xml:space="preserve">Temas: </w:t>
            </w:r>
          </w:p>
          <w:p w14:paraId="2C11D83C" w14:textId="56E0A676" w:rsidR="00C8312F" w:rsidRPr="00BB368C" w:rsidRDefault="00C8312F" w:rsidP="000911D2">
            <w:pPr>
              <w:ind w:right="-3403"/>
              <w:rPr>
                <w:rFonts w:ascii="Verdana" w:eastAsia="Calibri" w:hAnsi="Verdana" w:cs="Arial"/>
                <w:szCs w:val="24"/>
                <w:lang w:val="es-ES_tradnl" w:eastAsia="es-ES_tradnl"/>
              </w:rPr>
            </w:pPr>
          </w:p>
          <w:p w14:paraId="34A35EB7" w14:textId="77777777" w:rsidR="003517FC" w:rsidRPr="00BB368C" w:rsidRDefault="00AB4702" w:rsidP="000F3BF9">
            <w:pPr>
              <w:jc w:val="both"/>
              <w:rPr>
                <w:rFonts w:ascii="Verdana" w:eastAsia="Calibri" w:hAnsi="Verdana" w:cs="Arial"/>
                <w:szCs w:val="24"/>
                <w:lang w:val="es-ES_tradnl" w:eastAsia="es-ES_tradnl"/>
              </w:rPr>
            </w:pPr>
            <w:r w:rsidRPr="00BB368C">
              <w:rPr>
                <w:rFonts w:ascii="Verdana" w:eastAsia="Calibri" w:hAnsi="Verdana" w:cs="Arial"/>
                <w:szCs w:val="24"/>
                <w:lang w:val="es-ES_tradnl" w:eastAsia="es-ES_tradnl"/>
              </w:rPr>
              <w:t xml:space="preserve">  </w:t>
            </w:r>
          </w:p>
          <w:p w14:paraId="03145219" w14:textId="77777777" w:rsidR="003517FC" w:rsidRPr="00BB368C" w:rsidRDefault="003517FC" w:rsidP="000F3BF9">
            <w:pPr>
              <w:jc w:val="both"/>
              <w:rPr>
                <w:rFonts w:ascii="Verdana" w:eastAsia="Calibri" w:hAnsi="Verdana" w:cs="Arial"/>
                <w:szCs w:val="24"/>
                <w:lang w:val="es-ES_tradnl" w:eastAsia="es-ES_tradnl"/>
              </w:rPr>
            </w:pPr>
          </w:p>
          <w:p w14:paraId="4EAA6162" w14:textId="33B08C48" w:rsidR="003517FC" w:rsidRPr="00BB368C" w:rsidRDefault="00864139" w:rsidP="000F3BF9">
            <w:pPr>
              <w:jc w:val="both"/>
              <w:rPr>
                <w:rFonts w:ascii="Verdana" w:eastAsia="Calibri" w:hAnsi="Verdana" w:cs="Arial"/>
                <w:szCs w:val="24"/>
                <w:lang w:val="es-ES_tradnl" w:eastAsia="es-ES_tradnl"/>
              </w:rPr>
            </w:pPr>
            <w:r w:rsidRPr="00BB368C">
              <w:rPr>
                <w:rFonts w:ascii="Verdana" w:eastAsia="Calibri" w:hAnsi="Verdana" w:cs="Arial"/>
                <w:szCs w:val="24"/>
                <w:lang w:val="es-ES_tradnl" w:eastAsia="es-ES_tradnl"/>
              </w:rPr>
              <w:t>Radicación</w:t>
            </w:r>
          </w:p>
          <w:p w14:paraId="4065EB28" w14:textId="3C3CC9BE" w:rsidR="00AB4702" w:rsidRPr="00BB368C" w:rsidRDefault="00AB4702" w:rsidP="000F3BF9">
            <w:pPr>
              <w:jc w:val="both"/>
              <w:rPr>
                <w:rFonts w:ascii="Verdana" w:eastAsia="Calibri" w:hAnsi="Verdana" w:cs="Arial"/>
                <w:szCs w:val="24"/>
                <w:lang w:val="es-ES_tradnl" w:eastAsia="es-ES_tradnl"/>
              </w:rPr>
            </w:pPr>
            <w:r w:rsidRPr="00BB368C">
              <w:rPr>
                <w:rFonts w:ascii="Verdana" w:eastAsia="Calibri" w:hAnsi="Verdana" w:cs="Arial"/>
                <w:szCs w:val="24"/>
                <w:lang w:val="es-ES_tradnl" w:eastAsia="es-ES_tradnl"/>
              </w:rPr>
              <w:t xml:space="preserve">                </w:t>
            </w:r>
          </w:p>
        </w:tc>
        <w:tc>
          <w:tcPr>
            <w:tcW w:w="11901" w:type="dxa"/>
          </w:tcPr>
          <w:p w14:paraId="3550BEB2" w14:textId="477398FC" w:rsidR="00C8312F" w:rsidRPr="00BB368C" w:rsidRDefault="0071557A" w:rsidP="00A44843">
            <w:pPr>
              <w:tabs>
                <w:tab w:val="left" w:pos="5461"/>
              </w:tabs>
              <w:spacing w:line="276" w:lineRule="auto"/>
              <w:ind w:right="6374"/>
              <w:jc w:val="both"/>
              <w:rPr>
                <w:rFonts w:ascii="Verdana" w:hAnsi="Verdana"/>
              </w:rPr>
            </w:pPr>
            <w:r w:rsidRPr="00BB368C">
              <w:rPr>
                <w:rFonts w:ascii="Verdana" w:hAnsi="Verdana"/>
              </w:rPr>
              <w:t>PRINCIPIO DE PUBLICIDAD-Naturaleza/</w:t>
            </w:r>
            <w:r w:rsidR="00A44843" w:rsidRPr="00BB368C">
              <w:rPr>
                <w:rFonts w:ascii="Verdana" w:hAnsi="Verdana"/>
              </w:rPr>
              <w:t>SECOP II – Deber de publicidad – Entidades exceptuadas</w:t>
            </w:r>
          </w:p>
          <w:p w14:paraId="6927720F" w14:textId="77777777" w:rsidR="0069234C" w:rsidRPr="00BB368C" w:rsidRDefault="0069234C" w:rsidP="00A44843">
            <w:pPr>
              <w:tabs>
                <w:tab w:val="left" w:pos="5461"/>
              </w:tabs>
              <w:spacing w:line="276" w:lineRule="auto"/>
              <w:ind w:right="6374"/>
              <w:jc w:val="both"/>
              <w:rPr>
                <w:rFonts w:ascii="Verdana" w:hAnsi="Verdana"/>
              </w:rPr>
            </w:pPr>
          </w:p>
          <w:p w14:paraId="73FF18A0" w14:textId="435B6153" w:rsidR="00AB4702" w:rsidRPr="00BB368C" w:rsidRDefault="000911D2" w:rsidP="00A44843">
            <w:pPr>
              <w:tabs>
                <w:tab w:val="left" w:pos="5461"/>
              </w:tabs>
              <w:spacing w:line="276" w:lineRule="auto"/>
              <w:ind w:right="6374"/>
              <w:jc w:val="both"/>
              <w:rPr>
                <w:rFonts w:ascii="Verdana" w:hAnsi="Verdana" w:cs="Arial"/>
              </w:rPr>
            </w:pPr>
            <w:r w:rsidRPr="00BB368C">
              <w:rPr>
                <w:rFonts w:ascii="Verdana" w:hAnsi="Verdana" w:cs="Arial"/>
              </w:rPr>
              <w:t xml:space="preserve">Respuesta a consulta con radicado No. </w:t>
            </w:r>
            <w:r w:rsidR="00E165C2" w:rsidRPr="00BB368C">
              <w:rPr>
                <w:rFonts w:ascii="Verdana" w:hAnsi="Verdana" w:cs="Arial"/>
              </w:rPr>
              <w:t>P20240723007575</w:t>
            </w:r>
          </w:p>
          <w:p w14:paraId="5F8554D2" w14:textId="160F811F" w:rsidR="000911D2" w:rsidRPr="00BB368C" w:rsidRDefault="000911D2" w:rsidP="00A44843">
            <w:pPr>
              <w:tabs>
                <w:tab w:val="left" w:pos="5461"/>
              </w:tabs>
              <w:spacing w:line="276" w:lineRule="auto"/>
              <w:ind w:right="6374"/>
              <w:jc w:val="both"/>
              <w:rPr>
                <w:rFonts w:ascii="Verdana" w:hAnsi="Verdana"/>
              </w:rPr>
            </w:pPr>
          </w:p>
        </w:tc>
      </w:tr>
    </w:tbl>
    <w:p w14:paraId="2A3617A4" w14:textId="53007924" w:rsidR="00A44843" w:rsidRPr="00BB368C" w:rsidRDefault="00A44843" w:rsidP="00A44843">
      <w:pPr>
        <w:spacing w:after="0"/>
        <w:rPr>
          <w:rFonts w:ascii="Verdana" w:hAnsi="Verdana"/>
        </w:rPr>
      </w:pPr>
      <w:r w:rsidRPr="00BB368C">
        <w:rPr>
          <w:rFonts w:ascii="Verdana" w:eastAsia="Calibri" w:hAnsi="Verdana" w:cs="Arial"/>
          <w:lang w:val="es-ES" w:eastAsia="es-ES"/>
        </w:rPr>
        <w:t>Estimad</w:t>
      </w:r>
      <w:r w:rsidR="0069234C" w:rsidRPr="00BB368C">
        <w:rPr>
          <w:rFonts w:ascii="Verdana" w:eastAsia="Calibri" w:hAnsi="Verdana" w:cs="Arial"/>
          <w:lang w:val="es-ES" w:eastAsia="es-ES"/>
        </w:rPr>
        <w:t>a</w:t>
      </w:r>
      <w:r w:rsidRPr="00BB368C">
        <w:rPr>
          <w:rFonts w:ascii="Verdana" w:eastAsia="Calibri" w:hAnsi="Verdana" w:cs="Arial"/>
          <w:lang w:val="es-ES" w:eastAsia="es-ES"/>
        </w:rPr>
        <w:t xml:space="preserve"> señora</w:t>
      </w:r>
      <w:r w:rsidR="0069234C" w:rsidRPr="00BB368C">
        <w:rPr>
          <w:rFonts w:ascii="Verdana" w:eastAsia="Calibri" w:hAnsi="Verdana" w:cs="Arial"/>
          <w:lang w:val="es-ES" w:eastAsia="es-ES"/>
        </w:rPr>
        <w:t xml:space="preserve"> Cachua</w:t>
      </w:r>
      <w:r w:rsidRPr="00BB368C">
        <w:rPr>
          <w:rFonts w:ascii="Verdana" w:eastAsia="Calibri" w:hAnsi="Verdana" w:cs="Arial"/>
          <w:lang w:val="es-ES" w:eastAsia="es-ES"/>
        </w:rPr>
        <w:t xml:space="preserve">: </w:t>
      </w:r>
    </w:p>
    <w:bookmarkEnd w:id="0"/>
    <w:p w14:paraId="2F623119" w14:textId="77777777" w:rsidR="00A44843" w:rsidRPr="00BB368C" w:rsidRDefault="00A44843" w:rsidP="00A44843">
      <w:pPr>
        <w:spacing w:after="120" w:line="276" w:lineRule="auto"/>
        <w:jc w:val="both"/>
        <w:rPr>
          <w:rFonts w:ascii="Verdana" w:eastAsia="Calibri" w:hAnsi="Verdana" w:cs="Arial"/>
          <w:lang w:val="es-ES" w:eastAsia="es-ES"/>
        </w:rPr>
      </w:pPr>
    </w:p>
    <w:p w14:paraId="65024912" w14:textId="45DA51D1" w:rsidR="00A44843" w:rsidRPr="00BB368C" w:rsidRDefault="00A44843" w:rsidP="00A44843">
      <w:pPr>
        <w:spacing w:after="120" w:line="276" w:lineRule="auto"/>
        <w:jc w:val="both"/>
        <w:rPr>
          <w:rFonts w:ascii="Verdana" w:eastAsia="Calibri" w:hAnsi="Verdana" w:cs="Arial"/>
          <w:lang w:val="es-ES" w:eastAsia="es-ES"/>
        </w:rPr>
      </w:pPr>
      <w:r w:rsidRPr="00BB368C">
        <w:rPr>
          <w:rFonts w:ascii="Verdana" w:eastAsia="Calibri" w:hAnsi="Verdana" w:cs="Arial"/>
          <w:lang w:val="es-ES" w:eastAsia="es-ES"/>
        </w:rPr>
        <w:t>En ejercicio de la competencia otorgada por los artículos 3, numeral 5º, y 11, numeral 8º, del Decreto Ley 4170 de 2011,</w:t>
      </w:r>
      <w:r w:rsidRPr="00BB368C">
        <w:rPr>
          <w:rFonts w:ascii="Verdana" w:eastAsia="Arial MT" w:hAnsi="Verdana" w:cs="Arial MT"/>
          <w:lang w:val="es-ES" w:eastAsia="es-ES"/>
        </w:rPr>
        <w:t xml:space="preserve"> </w:t>
      </w:r>
      <w:r w:rsidRPr="00BB368C">
        <w:rPr>
          <w:rFonts w:ascii="Verdana" w:eastAsia="Calibri" w:hAnsi="Verdana" w:cs="Arial"/>
          <w:lang w:val="es-ES" w:eastAsia="es-ES"/>
        </w:rPr>
        <w:t>la Agencia Nacional de Contratación Pública – Colombia Compra Eficiente– responde su solicitud de consulta del 17 de julio de 2024, remitida por competencia por parte de la Función Pública mediante memorando 20242040479851 del 23 de julio de 2024. En la cual manifiesta lo siguiente:</w:t>
      </w:r>
    </w:p>
    <w:p w14:paraId="704FF3FE" w14:textId="160EE87A" w:rsidR="00A44843" w:rsidRPr="00BB368C" w:rsidRDefault="00A44843" w:rsidP="00A44843">
      <w:pPr>
        <w:spacing w:after="0" w:line="240" w:lineRule="auto"/>
        <w:ind w:left="709" w:right="709"/>
        <w:jc w:val="both"/>
        <w:rPr>
          <w:rFonts w:ascii="Verdana" w:eastAsia="Calibri" w:hAnsi="Verdana" w:cs="Arial"/>
          <w:sz w:val="20"/>
          <w:szCs w:val="20"/>
          <w:lang w:eastAsia="es-ES"/>
        </w:rPr>
      </w:pPr>
      <w:r w:rsidRPr="00BB368C">
        <w:rPr>
          <w:rFonts w:ascii="Verdana" w:eastAsia="Calibri" w:hAnsi="Verdana" w:cs="Arial"/>
          <w:sz w:val="20"/>
          <w:szCs w:val="20"/>
          <w:lang w:val="es-ES" w:eastAsia="es-ES"/>
        </w:rPr>
        <w:t>“</w:t>
      </w:r>
      <w:r w:rsidRPr="00BB368C">
        <w:rPr>
          <w:rFonts w:ascii="Verdana" w:eastAsia="Calibri" w:hAnsi="Verdana" w:cs="Arial"/>
          <w:sz w:val="20"/>
          <w:szCs w:val="20"/>
          <w:lang w:eastAsia="es-ES"/>
        </w:rPr>
        <w:t xml:space="preserve">Teniendo en cuenta que </w:t>
      </w:r>
      <w:proofErr w:type="gramStart"/>
      <w:r w:rsidRPr="00BB368C">
        <w:rPr>
          <w:rFonts w:ascii="Verdana" w:eastAsia="Calibri" w:hAnsi="Verdana" w:cs="Arial"/>
          <w:sz w:val="20"/>
          <w:szCs w:val="20"/>
          <w:lang w:eastAsia="es-ES"/>
        </w:rPr>
        <w:t>la entidades estatales</w:t>
      </w:r>
      <w:proofErr w:type="gramEnd"/>
      <w:r w:rsidRPr="00BB368C">
        <w:rPr>
          <w:rFonts w:ascii="Verdana" w:eastAsia="Calibri" w:hAnsi="Verdana" w:cs="Arial"/>
          <w:sz w:val="20"/>
          <w:szCs w:val="20"/>
          <w:lang w:eastAsia="es-ES"/>
        </w:rPr>
        <w:t xml:space="preserve"> de régimen especial no están sometidas a la Ley 80 de 1993 y la Ley 1150 de 2007, sino que están facultadas para aplicar en su actividad contractual unas reglas distintas, contenidas en la norma que crea el régimen especial y en su manual de contratación. </w:t>
      </w:r>
    </w:p>
    <w:p w14:paraId="1D5DEC74" w14:textId="77777777" w:rsidR="00A44843" w:rsidRPr="00BB368C" w:rsidRDefault="00A44843" w:rsidP="00A44843">
      <w:pPr>
        <w:spacing w:after="0" w:line="240" w:lineRule="auto"/>
        <w:ind w:left="709" w:right="709"/>
        <w:jc w:val="both"/>
        <w:rPr>
          <w:rFonts w:ascii="Verdana" w:eastAsia="Calibri" w:hAnsi="Verdana" w:cs="Arial"/>
          <w:sz w:val="20"/>
          <w:szCs w:val="20"/>
          <w:lang w:eastAsia="es-ES"/>
        </w:rPr>
      </w:pPr>
    </w:p>
    <w:p w14:paraId="68A9D850" w14:textId="24D869C2" w:rsidR="00A44843" w:rsidRPr="00BB368C" w:rsidRDefault="00A44843" w:rsidP="00A44843">
      <w:pPr>
        <w:spacing w:after="0" w:line="240" w:lineRule="auto"/>
        <w:ind w:left="709" w:right="709"/>
        <w:jc w:val="both"/>
        <w:rPr>
          <w:rFonts w:ascii="Verdana" w:eastAsia="Calibri" w:hAnsi="Verdana" w:cs="Arial"/>
          <w:sz w:val="20"/>
          <w:szCs w:val="20"/>
          <w:lang w:eastAsia="es-ES"/>
        </w:rPr>
      </w:pPr>
      <w:r w:rsidRPr="00BB368C">
        <w:rPr>
          <w:rFonts w:ascii="Verdana" w:eastAsia="Calibri" w:hAnsi="Verdana" w:cs="Arial"/>
          <w:sz w:val="20"/>
          <w:szCs w:val="20"/>
          <w:lang w:eastAsia="es-ES"/>
        </w:rPr>
        <w:t xml:space="preserve">Que el artículo 53 de la Ley 2195 del 2022, establece que las entidades estatales que por disposición legal cuenten con un régimen contractual excepcional al del Estatuto General de Contratación de la Administración </w:t>
      </w:r>
      <w:proofErr w:type="spellStart"/>
      <w:r w:rsidRPr="00BB368C">
        <w:rPr>
          <w:rFonts w:ascii="Verdana" w:eastAsia="Calibri" w:hAnsi="Verdana" w:cs="Arial"/>
          <w:sz w:val="20"/>
          <w:szCs w:val="20"/>
          <w:lang w:eastAsia="es-ES"/>
        </w:rPr>
        <w:t>Publica</w:t>
      </w:r>
      <w:proofErr w:type="spellEnd"/>
      <w:r w:rsidRPr="00BB368C">
        <w:rPr>
          <w:rFonts w:ascii="Verdana" w:eastAsia="Calibri" w:hAnsi="Verdana" w:cs="Arial"/>
          <w:sz w:val="20"/>
          <w:szCs w:val="20"/>
          <w:lang w:eastAsia="es-ES"/>
        </w:rPr>
        <w:t xml:space="preserve"> deberán publicar los documentos relacionados con su actividad contractual en el Sistema Electrónico para la Contratación </w:t>
      </w:r>
      <w:proofErr w:type="spellStart"/>
      <w:r w:rsidRPr="00BB368C">
        <w:rPr>
          <w:rFonts w:ascii="Verdana" w:eastAsia="Calibri" w:hAnsi="Verdana" w:cs="Arial"/>
          <w:sz w:val="20"/>
          <w:szCs w:val="20"/>
          <w:lang w:eastAsia="es-ES"/>
        </w:rPr>
        <w:t>Publica</w:t>
      </w:r>
      <w:proofErr w:type="spellEnd"/>
      <w:r w:rsidRPr="00BB368C">
        <w:rPr>
          <w:rFonts w:ascii="Verdana" w:eastAsia="Calibri" w:hAnsi="Verdana" w:cs="Arial"/>
          <w:sz w:val="20"/>
          <w:szCs w:val="20"/>
          <w:lang w:eastAsia="es-ES"/>
        </w:rPr>
        <w:t xml:space="preserve"> o la plataforma transaccional que haga sus veces.</w:t>
      </w:r>
    </w:p>
    <w:p w14:paraId="2DDA255F" w14:textId="77777777" w:rsidR="00A44843" w:rsidRPr="00BB368C" w:rsidRDefault="00A44843" w:rsidP="00A44843">
      <w:pPr>
        <w:spacing w:after="0" w:line="240" w:lineRule="auto"/>
        <w:ind w:left="709" w:right="709"/>
        <w:jc w:val="both"/>
        <w:rPr>
          <w:rFonts w:ascii="Verdana" w:eastAsia="Calibri" w:hAnsi="Verdana" w:cs="Arial"/>
          <w:sz w:val="20"/>
          <w:szCs w:val="20"/>
          <w:lang w:eastAsia="es-ES"/>
        </w:rPr>
      </w:pPr>
    </w:p>
    <w:p w14:paraId="6CF84316" w14:textId="465C9F83" w:rsidR="00A44843" w:rsidRPr="00BB368C" w:rsidRDefault="00A44843" w:rsidP="00A44843">
      <w:pPr>
        <w:spacing w:after="0" w:line="240" w:lineRule="auto"/>
        <w:ind w:left="709" w:right="709"/>
        <w:jc w:val="both"/>
        <w:rPr>
          <w:rFonts w:ascii="Verdana" w:eastAsia="Calibri" w:hAnsi="Verdana" w:cs="Arial"/>
          <w:sz w:val="20"/>
          <w:szCs w:val="20"/>
          <w:lang w:eastAsia="es-ES"/>
        </w:rPr>
      </w:pPr>
      <w:r w:rsidRPr="00BB368C">
        <w:rPr>
          <w:rFonts w:ascii="Verdana" w:eastAsia="Calibri" w:hAnsi="Verdana" w:cs="Arial"/>
          <w:sz w:val="20"/>
          <w:szCs w:val="20"/>
          <w:lang w:eastAsia="es-ES"/>
        </w:rPr>
        <w:lastRenderedPageBreak/>
        <w:t xml:space="preserve">Que </w:t>
      </w:r>
      <w:proofErr w:type="gramStart"/>
      <w:r w:rsidRPr="00BB368C">
        <w:rPr>
          <w:rFonts w:ascii="Verdana" w:eastAsia="Calibri" w:hAnsi="Verdana" w:cs="Arial"/>
          <w:sz w:val="20"/>
          <w:szCs w:val="20"/>
          <w:lang w:eastAsia="es-ES"/>
        </w:rPr>
        <w:t>la entidades estatales</w:t>
      </w:r>
      <w:proofErr w:type="gramEnd"/>
      <w:r w:rsidRPr="00BB368C">
        <w:rPr>
          <w:rFonts w:ascii="Verdana" w:eastAsia="Calibri" w:hAnsi="Verdana" w:cs="Arial"/>
          <w:sz w:val="20"/>
          <w:szCs w:val="20"/>
          <w:lang w:eastAsia="es-ES"/>
        </w:rPr>
        <w:t xml:space="preserve"> de régimen especial, tienen la faculta de decidir utilizar el SECOP II como herramienta de publicidad, creando el proceso de contratación en el SECOP II mediante la modalidad de régimen especial sin oferta, y publicar todos los documentos del proceso -incluido el contrato con firma manuscrita- en la fase de proceso.</w:t>
      </w:r>
    </w:p>
    <w:p w14:paraId="6A603223" w14:textId="77777777" w:rsidR="00A44843" w:rsidRPr="00BB368C" w:rsidRDefault="00A44843" w:rsidP="00A44843">
      <w:pPr>
        <w:spacing w:after="0" w:line="240" w:lineRule="auto"/>
        <w:ind w:left="709" w:right="709"/>
        <w:jc w:val="both"/>
        <w:rPr>
          <w:rFonts w:ascii="Verdana" w:eastAsia="Calibri" w:hAnsi="Verdana" w:cs="Arial"/>
          <w:sz w:val="20"/>
          <w:szCs w:val="20"/>
          <w:lang w:eastAsia="es-ES"/>
        </w:rPr>
      </w:pPr>
    </w:p>
    <w:p w14:paraId="3ABF4D30" w14:textId="3E6CABE0" w:rsidR="00A44843" w:rsidRPr="00BB368C" w:rsidRDefault="00A44843" w:rsidP="00A44843">
      <w:pPr>
        <w:spacing w:after="0" w:line="240" w:lineRule="auto"/>
        <w:ind w:left="709" w:right="709"/>
        <w:jc w:val="both"/>
        <w:rPr>
          <w:rFonts w:ascii="Verdana" w:eastAsia="Calibri" w:hAnsi="Verdana" w:cs="Arial"/>
          <w:sz w:val="20"/>
          <w:szCs w:val="20"/>
          <w:lang w:val="es-ES" w:eastAsia="es-ES"/>
        </w:rPr>
      </w:pPr>
      <w:r w:rsidRPr="00BB368C">
        <w:rPr>
          <w:rFonts w:ascii="Verdana" w:eastAsia="Calibri" w:hAnsi="Verdana" w:cs="Arial"/>
          <w:sz w:val="20"/>
          <w:szCs w:val="20"/>
          <w:lang w:eastAsia="es-ES"/>
        </w:rPr>
        <w:t>De acuerdo a la anterior, la presente es para consultar los efectos jurídicos en un proceso contractual en caso de que una entidad estatal de régimen especial, la cual decidió utilizar el Secop II como herramienta de publicidad, no crea ni publica un proceso contractual en dicha plataforma, pero el contrato se firmó por la partes y se ejecutó, y al momento del contratista presentar informe y la cuenta de cobro, la entidad alega que el contrato es inexistente por la no publicación en la plataforma del Secop II.</w:t>
      </w:r>
      <w:r w:rsidRPr="00BB368C">
        <w:rPr>
          <w:rFonts w:ascii="Verdana" w:eastAsia="Calibri" w:hAnsi="Verdana" w:cs="Arial"/>
          <w:sz w:val="20"/>
          <w:szCs w:val="20"/>
          <w:lang w:val="es-ES" w:eastAsia="es-ES"/>
        </w:rPr>
        <w:t>”</w:t>
      </w:r>
      <w:r w:rsidR="008E4813" w:rsidRPr="00BB368C">
        <w:rPr>
          <w:rFonts w:ascii="Verdana" w:eastAsia="Calibri" w:hAnsi="Verdana" w:cs="Arial"/>
          <w:sz w:val="20"/>
          <w:szCs w:val="20"/>
          <w:lang w:val="es-ES" w:eastAsia="es-ES"/>
        </w:rPr>
        <w:t>[sic]</w:t>
      </w:r>
    </w:p>
    <w:p w14:paraId="5800F18B" w14:textId="77777777" w:rsidR="00A44843" w:rsidRPr="00BB368C" w:rsidRDefault="00A44843" w:rsidP="00A44843">
      <w:pPr>
        <w:spacing w:after="0" w:line="240" w:lineRule="auto"/>
        <w:ind w:left="709" w:right="709"/>
        <w:jc w:val="both"/>
        <w:rPr>
          <w:rFonts w:ascii="Verdana" w:eastAsia="Calibri" w:hAnsi="Verdana" w:cs="Arial"/>
          <w:sz w:val="20"/>
          <w:szCs w:val="20"/>
          <w:lang w:val="es-ES" w:eastAsia="es-ES"/>
        </w:rPr>
      </w:pPr>
    </w:p>
    <w:p w14:paraId="373F49CC" w14:textId="77777777" w:rsidR="00A44843" w:rsidRPr="00BB368C" w:rsidRDefault="00A44843" w:rsidP="00A44843">
      <w:pPr>
        <w:spacing w:after="120" w:line="276" w:lineRule="auto"/>
        <w:jc w:val="both"/>
        <w:rPr>
          <w:rFonts w:ascii="Verdana" w:eastAsia="Calibri" w:hAnsi="Verdana" w:cs="Arial"/>
          <w:lang w:val="es-ES" w:eastAsia="es-ES"/>
        </w:rPr>
      </w:pPr>
      <w:r w:rsidRPr="00BB368C">
        <w:rPr>
          <w:rFonts w:ascii="Verdana" w:eastAsia="Calibri" w:hAnsi="Verdana" w:cs="Arial"/>
          <w:lang w:val="es-ES_tradnl" w:eastAsia="es-ES_tradnl"/>
        </w:rPr>
        <w:tab/>
      </w:r>
      <w:r w:rsidRPr="00BB368C">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1FEEAF5" w14:textId="77777777" w:rsidR="00A44843" w:rsidRPr="00BB368C" w:rsidRDefault="00A44843" w:rsidP="00A44843">
      <w:pPr>
        <w:spacing w:after="0" w:line="276" w:lineRule="auto"/>
        <w:jc w:val="both"/>
        <w:rPr>
          <w:rFonts w:ascii="Verdana" w:eastAsia="Calibri" w:hAnsi="Verdana" w:cs="Arial"/>
          <w:lang w:val="es-ES" w:eastAsia="es-ES"/>
        </w:rPr>
      </w:pPr>
      <w:r w:rsidRPr="00BB368C">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B88764B" w14:textId="77777777" w:rsidR="00A44843" w:rsidRPr="00BB368C" w:rsidRDefault="00A44843" w:rsidP="00A44843">
      <w:pPr>
        <w:spacing w:after="0" w:line="276" w:lineRule="auto"/>
        <w:jc w:val="both"/>
        <w:rPr>
          <w:rFonts w:ascii="Verdana" w:eastAsia="Calibri" w:hAnsi="Verdana" w:cs="Arial"/>
          <w:lang w:val="es-ES" w:eastAsia="es-ES"/>
        </w:rPr>
      </w:pPr>
    </w:p>
    <w:p w14:paraId="3D2F0B6A" w14:textId="77777777" w:rsidR="00A44843" w:rsidRPr="00BB368C" w:rsidRDefault="00A44843" w:rsidP="00A4484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B368C">
        <w:rPr>
          <w:rFonts w:ascii="Verdana" w:eastAsia="Century Gothic" w:hAnsi="Verdana" w:cs="Century Gothic"/>
          <w:b/>
          <w:bCs/>
        </w:rPr>
        <w:t>Problema planteado:</w:t>
      </w:r>
    </w:p>
    <w:p w14:paraId="50D5B833" w14:textId="77777777" w:rsidR="00A44843" w:rsidRPr="00BB368C" w:rsidRDefault="00A44843" w:rsidP="00A44843">
      <w:pPr>
        <w:spacing w:after="0" w:line="240" w:lineRule="auto"/>
        <w:jc w:val="both"/>
        <w:rPr>
          <w:rFonts w:ascii="Verdana" w:eastAsia="Century Gothic" w:hAnsi="Verdana" w:cs="Century Gothic"/>
        </w:rPr>
      </w:pPr>
    </w:p>
    <w:p w14:paraId="32085C70" w14:textId="2BB172DD" w:rsidR="00A44843" w:rsidRPr="00BB368C" w:rsidRDefault="00A44843" w:rsidP="00A44843">
      <w:pPr>
        <w:spacing w:after="0" w:line="276" w:lineRule="auto"/>
        <w:jc w:val="both"/>
        <w:rPr>
          <w:rFonts w:ascii="Verdana" w:eastAsia="Calibri" w:hAnsi="Verdana" w:cs="Arial"/>
          <w:lang w:eastAsia="es-ES"/>
        </w:rPr>
      </w:pPr>
      <w:r w:rsidRPr="00BB368C">
        <w:rPr>
          <w:rFonts w:ascii="Verdana" w:eastAsia="Century Gothic" w:hAnsi="Verdana" w:cs="Century Gothic"/>
        </w:rPr>
        <w:t>De acuerdo con el contenido de su solicitud, esta Agencia resolverá los siguientes problemas jurídicos:</w:t>
      </w:r>
      <w:r w:rsidR="00132015" w:rsidRPr="00BB368C">
        <w:rPr>
          <w:rFonts w:ascii="Verdana" w:eastAsia="Century Gothic" w:hAnsi="Verdana" w:cs="Century Gothic"/>
        </w:rPr>
        <w:t xml:space="preserve"> </w:t>
      </w:r>
      <w:r w:rsidRPr="00BB368C">
        <w:rPr>
          <w:rFonts w:ascii="Verdana" w:eastAsia="Calibri" w:hAnsi="Verdana" w:cs="Arial"/>
          <w:lang w:eastAsia="es-ES"/>
        </w:rPr>
        <w:t xml:space="preserve">¿Las entidades </w:t>
      </w:r>
      <w:r w:rsidR="0068424F" w:rsidRPr="00BB368C">
        <w:rPr>
          <w:rFonts w:ascii="Verdana" w:eastAsia="Calibri" w:hAnsi="Verdana" w:cs="Arial"/>
          <w:lang w:eastAsia="es-ES"/>
        </w:rPr>
        <w:t>exceptuadas</w:t>
      </w:r>
      <w:r w:rsidRPr="00BB368C">
        <w:rPr>
          <w:rFonts w:ascii="Verdana" w:eastAsia="Calibri" w:hAnsi="Verdana" w:cs="Arial"/>
          <w:lang w:eastAsia="es-ES"/>
        </w:rPr>
        <w:t xml:space="preserve"> se encuentran obligadas de adelantar sus procesos en </w:t>
      </w:r>
      <w:r w:rsidR="0068424F" w:rsidRPr="00BB368C">
        <w:rPr>
          <w:rFonts w:ascii="Verdana" w:eastAsia="Calibri" w:hAnsi="Verdana" w:cs="Arial"/>
          <w:lang w:eastAsia="es-ES"/>
        </w:rPr>
        <w:t>el Sistema Electrónico de Contratación Pública -</w:t>
      </w:r>
      <w:r w:rsidRPr="00BB368C">
        <w:rPr>
          <w:rFonts w:ascii="Verdana" w:eastAsia="Calibri" w:hAnsi="Verdana" w:cs="Arial"/>
          <w:lang w:eastAsia="es-ES"/>
        </w:rPr>
        <w:t xml:space="preserve"> SECOP II? </w:t>
      </w:r>
    </w:p>
    <w:p w14:paraId="05CEFB59" w14:textId="77777777" w:rsidR="00A44843" w:rsidRPr="00BB368C" w:rsidRDefault="00A44843" w:rsidP="00A44843">
      <w:pPr>
        <w:spacing w:after="0" w:line="240" w:lineRule="auto"/>
        <w:ind w:right="709"/>
        <w:jc w:val="both"/>
        <w:rPr>
          <w:rFonts w:ascii="Verdana" w:eastAsia="Calibri" w:hAnsi="Verdana" w:cs="Arial"/>
          <w:sz w:val="20"/>
          <w:szCs w:val="20"/>
          <w:lang w:eastAsia="es-ES"/>
        </w:rPr>
      </w:pPr>
    </w:p>
    <w:p w14:paraId="708D43D2" w14:textId="77777777" w:rsidR="00A44843" w:rsidRPr="00BB368C" w:rsidRDefault="00A44843" w:rsidP="00A4484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B368C">
        <w:rPr>
          <w:rFonts w:ascii="Verdana" w:eastAsia="Century Gothic" w:hAnsi="Verdana" w:cs="Century Gothic"/>
          <w:b/>
          <w:bCs/>
        </w:rPr>
        <w:t>Respuesta:</w:t>
      </w:r>
    </w:p>
    <w:p w14:paraId="766FBBDB" w14:textId="77777777" w:rsidR="00A44843" w:rsidRPr="00BB368C" w:rsidRDefault="00A44843" w:rsidP="00A44843">
      <w:pPr>
        <w:pStyle w:val="Prrafodelista"/>
        <w:tabs>
          <w:tab w:val="left" w:pos="142"/>
          <w:tab w:val="left" w:pos="284"/>
        </w:tabs>
        <w:spacing w:after="0" w:line="276" w:lineRule="auto"/>
        <w:ind w:left="0"/>
        <w:jc w:val="both"/>
        <w:rPr>
          <w:rFonts w:ascii="Verdana" w:eastAsia="Calibri" w:hAnsi="Verdana" w:cs="Arial"/>
          <w:color w:val="000000" w:themeColor="text1"/>
        </w:rPr>
      </w:pPr>
    </w:p>
    <w:p w14:paraId="3786C868" w14:textId="292ACD20" w:rsidR="00A44843" w:rsidRPr="00BB368C" w:rsidRDefault="00A44843" w:rsidP="00A44843">
      <w:pPr>
        <w:pStyle w:val="Prrafodelista"/>
        <w:tabs>
          <w:tab w:val="left" w:pos="142"/>
          <w:tab w:val="left" w:pos="284"/>
        </w:tabs>
        <w:spacing w:after="0" w:line="276" w:lineRule="auto"/>
        <w:ind w:left="0"/>
        <w:jc w:val="both"/>
        <w:rPr>
          <w:rFonts w:ascii="Verdana" w:eastAsia="Calibri" w:hAnsi="Verdana" w:cs="Arial"/>
        </w:rPr>
      </w:pPr>
      <w:r w:rsidRPr="00BB368C">
        <w:rPr>
          <w:rFonts w:ascii="Verdana" w:eastAsia="Calibri" w:hAnsi="Verdana" w:cs="Arial"/>
        </w:rPr>
        <w:t>Respecto al interrogante, referente a las entidades que se encuentran en la obligación de adelantar los procesos de contratación en la plataforma SECOP II, es preciso indicar que la Agencia Nacional de Contratación Pública ha emitido siete (7) Circulares Externas, en las cuales se establecen los lineamientos para el uso obligatorio del SECOP II. En este contexto, las Entidades Estatales sometidas al Estatuto General de Contratación de la Administración Pública</w:t>
      </w:r>
      <w:r w:rsidR="00BE0539">
        <w:rPr>
          <w:rFonts w:ascii="Verdana" w:eastAsia="Calibri" w:hAnsi="Verdana" w:cs="Arial"/>
        </w:rPr>
        <w:t>-EGCAP-</w:t>
      </w:r>
      <w:r w:rsidRPr="00BB368C">
        <w:rPr>
          <w:rFonts w:ascii="Verdana" w:eastAsia="Calibri" w:hAnsi="Verdana" w:cs="Arial"/>
        </w:rPr>
        <w:t xml:space="preserve"> que no se encuentran vinculadas en los Anexos de las Circulares Externas, no están obligadas a utilizar la plataforma SECOP II para gestionar o publicar en línea sus procesos de contratación, por lo tanto, pueden seguir gestionando los procesos de contratación a través del SECOP I. </w:t>
      </w:r>
    </w:p>
    <w:p w14:paraId="48C2FD65" w14:textId="77777777" w:rsidR="00A44843" w:rsidRPr="00BB368C" w:rsidRDefault="00A44843" w:rsidP="00A44843">
      <w:pPr>
        <w:pStyle w:val="Prrafodelista"/>
        <w:tabs>
          <w:tab w:val="left" w:pos="142"/>
          <w:tab w:val="left" w:pos="284"/>
        </w:tabs>
        <w:spacing w:after="0" w:line="276" w:lineRule="auto"/>
        <w:ind w:left="0"/>
        <w:jc w:val="both"/>
        <w:rPr>
          <w:rFonts w:ascii="Verdana" w:eastAsia="Calibri" w:hAnsi="Verdana" w:cs="Arial"/>
        </w:rPr>
      </w:pPr>
    </w:p>
    <w:p w14:paraId="7B7FEDB2" w14:textId="77777777" w:rsidR="00A44843" w:rsidRPr="00BB368C" w:rsidRDefault="00A44843" w:rsidP="00A44843">
      <w:pPr>
        <w:pStyle w:val="Prrafodelista"/>
        <w:tabs>
          <w:tab w:val="left" w:pos="142"/>
          <w:tab w:val="left" w:pos="284"/>
        </w:tabs>
        <w:spacing w:after="0" w:line="276" w:lineRule="auto"/>
        <w:ind w:left="0"/>
        <w:jc w:val="both"/>
        <w:rPr>
          <w:rFonts w:ascii="Verdana" w:eastAsia="Calibri" w:hAnsi="Verdana" w:cs="Arial"/>
        </w:rPr>
      </w:pPr>
      <w:r w:rsidRPr="00BB368C">
        <w:rPr>
          <w:rFonts w:ascii="Verdana" w:eastAsia="Calibri" w:hAnsi="Verdana" w:cs="Arial"/>
        </w:rPr>
        <w:tab/>
      </w:r>
      <w:r w:rsidRPr="00BB368C">
        <w:rPr>
          <w:rFonts w:ascii="Verdana" w:eastAsia="Calibri" w:hAnsi="Verdana" w:cs="Arial"/>
        </w:rPr>
        <w:tab/>
      </w:r>
      <w:r w:rsidRPr="00BB368C">
        <w:rPr>
          <w:rFonts w:ascii="Verdana" w:eastAsia="Calibri" w:hAnsi="Verdana" w:cs="Arial"/>
        </w:rPr>
        <w:tab/>
        <w:t>No obstante, es importante señalar que el registro y posterior acceso para la gestión de procesos de contratación a través del SECOP II no está limitado, esto significa que, si las Entidades Estatales de manera libre y voluntaria, aun no encontrándose dentro de los listados de los Anexos de las Circulares Externas de obligatoriedad expedidos cada vigencia, desean iniciar con la implementación de la plataforma, pueden hacerlo sin mayor inconveniente.</w:t>
      </w:r>
    </w:p>
    <w:p w14:paraId="75CEB5FB" w14:textId="77777777" w:rsidR="00A44843" w:rsidRPr="00BB368C" w:rsidRDefault="00A44843" w:rsidP="00A44843">
      <w:pPr>
        <w:pStyle w:val="Prrafodelista"/>
        <w:tabs>
          <w:tab w:val="left" w:pos="142"/>
          <w:tab w:val="left" w:pos="284"/>
        </w:tabs>
        <w:spacing w:after="0" w:line="276" w:lineRule="auto"/>
        <w:ind w:left="0"/>
        <w:jc w:val="both"/>
        <w:rPr>
          <w:rFonts w:ascii="Verdana" w:eastAsia="Calibri" w:hAnsi="Verdana" w:cs="Arial"/>
        </w:rPr>
      </w:pPr>
    </w:p>
    <w:p w14:paraId="64E10106" w14:textId="08A48283" w:rsidR="00D869E2" w:rsidRDefault="00A44843" w:rsidP="00A44843">
      <w:pPr>
        <w:pStyle w:val="Prrafodelista"/>
        <w:tabs>
          <w:tab w:val="left" w:pos="142"/>
          <w:tab w:val="left" w:pos="284"/>
        </w:tabs>
        <w:spacing w:after="0" w:line="276" w:lineRule="auto"/>
        <w:ind w:left="0"/>
        <w:jc w:val="both"/>
        <w:rPr>
          <w:rFonts w:ascii="Verdana" w:hAnsi="Verdana" w:cs="Arial"/>
          <w:bCs/>
          <w:lang w:val="es-MX"/>
        </w:rPr>
      </w:pPr>
      <w:r w:rsidRPr="00BB368C">
        <w:rPr>
          <w:rFonts w:ascii="Verdana" w:hAnsi="Verdana" w:cs="Arial"/>
          <w:bCs/>
          <w:lang w:val="es-MX"/>
        </w:rPr>
        <w:t>Ahora bien,</w:t>
      </w:r>
      <w:r w:rsidR="0025609B" w:rsidRPr="00BB368C">
        <w:rPr>
          <w:rFonts w:ascii="Verdana" w:hAnsi="Verdana" w:cs="Arial"/>
          <w:bCs/>
          <w:lang w:val="es-MX"/>
        </w:rPr>
        <w:t xml:space="preserve"> como segunda medida, es </w:t>
      </w:r>
      <w:r w:rsidR="00532F0D" w:rsidRPr="00BB368C">
        <w:rPr>
          <w:rFonts w:ascii="Verdana" w:hAnsi="Verdana" w:cs="Arial"/>
          <w:bCs/>
          <w:lang w:val="es-MX"/>
        </w:rPr>
        <w:t>pertinente precisar,</w:t>
      </w:r>
      <w:r w:rsidRPr="00BB368C">
        <w:rPr>
          <w:rFonts w:ascii="Verdana" w:hAnsi="Verdana" w:cs="Arial"/>
          <w:bCs/>
          <w:lang w:val="es-MX"/>
        </w:rPr>
        <w:t xml:space="preserve"> acerca de la obligación de publicación de las empresas sociales del estado, las instituciones educativas, entre otras, independientemente de que el régimen contractual que les aplica sea el derecho privado</w:t>
      </w:r>
      <w:r w:rsidR="007E138D">
        <w:rPr>
          <w:rFonts w:ascii="Verdana" w:hAnsi="Verdana" w:cs="Arial"/>
          <w:bCs/>
          <w:lang w:val="es-MX"/>
        </w:rPr>
        <w:t>,</w:t>
      </w:r>
      <w:r w:rsidR="009B4A29">
        <w:rPr>
          <w:rFonts w:ascii="Verdana" w:hAnsi="Verdana" w:cs="Arial"/>
          <w:bCs/>
          <w:lang w:val="es-MX"/>
        </w:rPr>
        <w:t xml:space="preserve"> entiéndase exceptuado del EGCAP, </w:t>
      </w:r>
      <w:r w:rsidRPr="00BB368C">
        <w:rPr>
          <w:rFonts w:ascii="Verdana" w:hAnsi="Verdana" w:cs="Arial"/>
          <w:bCs/>
          <w:lang w:val="es-MX"/>
        </w:rPr>
        <w:t>deben publicar su actividad en el SECOP II, para lo cual podrán acudir a los diferentes módulos dispuestos en la plataforma para la estructuración de sus procesos,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w:t>
      </w:r>
      <w:r w:rsidR="009B4A29">
        <w:rPr>
          <w:rFonts w:ascii="Verdana" w:hAnsi="Verdana" w:cs="Arial"/>
          <w:bCs/>
          <w:lang w:val="es-MX"/>
        </w:rPr>
        <w:t xml:space="preserve">. </w:t>
      </w:r>
    </w:p>
    <w:p w14:paraId="0C51CAB7" w14:textId="77777777" w:rsidR="00D869E2" w:rsidRDefault="00D869E2" w:rsidP="00A44843">
      <w:pPr>
        <w:pStyle w:val="Prrafodelista"/>
        <w:tabs>
          <w:tab w:val="left" w:pos="142"/>
          <w:tab w:val="left" w:pos="284"/>
        </w:tabs>
        <w:spacing w:after="0" w:line="276" w:lineRule="auto"/>
        <w:ind w:left="0"/>
        <w:jc w:val="both"/>
        <w:rPr>
          <w:rFonts w:ascii="Verdana" w:hAnsi="Verdana" w:cs="Arial"/>
          <w:bCs/>
          <w:lang w:val="es-MX"/>
        </w:rPr>
      </w:pPr>
    </w:p>
    <w:p w14:paraId="57E399A4" w14:textId="1C9727DF" w:rsidR="00D869E2" w:rsidRDefault="00D869E2" w:rsidP="00A44843">
      <w:pPr>
        <w:pStyle w:val="Prrafodelista"/>
        <w:tabs>
          <w:tab w:val="left" w:pos="142"/>
          <w:tab w:val="left" w:pos="284"/>
        </w:tabs>
        <w:spacing w:after="0" w:line="276" w:lineRule="auto"/>
        <w:ind w:left="0"/>
        <w:jc w:val="both"/>
        <w:rPr>
          <w:rFonts w:ascii="Verdana" w:hAnsi="Verdana" w:cs="Arial"/>
          <w:bCs/>
          <w:lang w:val="es-MX"/>
        </w:rPr>
      </w:pPr>
      <w:r>
        <w:rPr>
          <w:rFonts w:ascii="Verdana" w:hAnsi="Verdana" w:cs="Arial"/>
          <w:bCs/>
          <w:lang w:val="es-MX"/>
        </w:rPr>
        <w:tab/>
      </w:r>
      <w:r>
        <w:rPr>
          <w:rFonts w:ascii="Verdana" w:hAnsi="Verdana" w:cs="Arial"/>
          <w:bCs/>
          <w:lang w:val="es-MX"/>
        </w:rPr>
        <w:tab/>
      </w:r>
      <w:r>
        <w:rPr>
          <w:rFonts w:ascii="Verdana" w:hAnsi="Verdana" w:cs="Arial"/>
          <w:bCs/>
          <w:lang w:val="es-MX"/>
        </w:rPr>
        <w:tab/>
      </w:r>
      <w:r w:rsidR="009B4A29">
        <w:rPr>
          <w:rFonts w:ascii="Verdana" w:hAnsi="Verdana" w:cs="Arial"/>
          <w:bCs/>
          <w:lang w:val="es-MX"/>
        </w:rPr>
        <w:t xml:space="preserve">Lo anterior fue precisado por parte de la Agencia, en la </w:t>
      </w:r>
      <w:r w:rsidR="000437ED">
        <w:rPr>
          <w:rFonts w:ascii="Verdana" w:hAnsi="Verdana" w:cs="Arial"/>
          <w:bCs/>
          <w:lang w:val="es-MX"/>
        </w:rPr>
        <w:t xml:space="preserve">Circular Externa N° 002 de 2024, en donde se </w:t>
      </w:r>
      <w:r w:rsidR="00FB62C0">
        <w:rPr>
          <w:rFonts w:ascii="Verdana" w:hAnsi="Verdana" w:cs="Arial"/>
          <w:bCs/>
          <w:lang w:val="es-MX"/>
        </w:rPr>
        <w:t>expuso</w:t>
      </w:r>
      <w:r w:rsidR="000437ED">
        <w:rPr>
          <w:rFonts w:ascii="Verdana" w:hAnsi="Verdana" w:cs="Arial"/>
          <w:bCs/>
          <w:lang w:val="es-MX"/>
        </w:rPr>
        <w:t xml:space="preserve"> l</w:t>
      </w:r>
      <w:r>
        <w:rPr>
          <w:rFonts w:ascii="Verdana" w:hAnsi="Verdana" w:cs="Arial"/>
          <w:bCs/>
          <w:lang w:val="es-MX"/>
        </w:rPr>
        <w:t xml:space="preserve">a obligatoriedad </w:t>
      </w:r>
      <w:r w:rsidRPr="00D869E2">
        <w:rPr>
          <w:rFonts w:ascii="Verdana" w:hAnsi="Verdana" w:cs="Arial"/>
          <w:bCs/>
          <w:lang w:val="es-MX"/>
        </w:rPr>
        <w:t xml:space="preserve">a las Entidades Estatales de régimen contractual excepcional al del Estatuto General de Contratación de la Administración Pública a publicar los documentos relacionados con su actividad contractual – es decir, los expedidos tanto en la etapa precontractual, como en la contractual y la </w:t>
      </w:r>
      <w:proofErr w:type="spellStart"/>
      <w:r w:rsidRPr="00D869E2">
        <w:rPr>
          <w:rFonts w:ascii="Verdana" w:hAnsi="Verdana" w:cs="Arial"/>
          <w:bCs/>
          <w:lang w:val="es-MX"/>
        </w:rPr>
        <w:t>postcontractual</w:t>
      </w:r>
      <w:proofErr w:type="spellEnd"/>
      <w:r w:rsidRPr="00D869E2">
        <w:rPr>
          <w:rFonts w:ascii="Verdana" w:hAnsi="Verdana" w:cs="Arial"/>
          <w:bCs/>
          <w:lang w:val="es-MX"/>
        </w:rPr>
        <w:t xml:space="preserve"> – en el SECOP II o la plataforma </w:t>
      </w:r>
      <w:r w:rsidRPr="00D869E2">
        <w:rPr>
          <w:rFonts w:ascii="Verdana" w:hAnsi="Verdana" w:cs="Arial"/>
          <w:bCs/>
          <w:lang w:val="es-MX"/>
        </w:rPr>
        <w:lastRenderedPageBreak/>
        <w:t>transaccional que haga sus veces, salvo información sujeta a reserva</w:t>
      </w:r>
      <w:r>
        <w:rPr>
          <w:rFonts w:ascii="Verdana" w:hAnsi="Verdana" w:cs="Arial"/>
          <w:bCs/>
          <w:lang w:val="es-MX"/>
        </w:rPr>
        <w:t>, lo anterior en atención a lo establecido en el artículo 53 de la norma cit</w:t>
      </w:r>
      <w:r w:rsidR="00EE75CA">
        <w:rPr>
          <w:rFonts w:ascii="Verdana" w:hAnsi="Verdana" w:cs="Arial"/>
          <w:bCs/>
          <w:lang w:val="es-MX"/>
        </w:rPr>
        <w:t>ada.</w:t>
      </w:r>
    </w:p>
    <w:p w14:paraId="0DD15FE8" w14:textId="4BFA2ED6" w:rsidR="00A44843" w:rsidRPr="00BB368C" w:rsidRDefault="00A44843" w:rsidP="00A44843">
      <w:pPr>
        <w:pStyle w:val="Prrafodelista"/>
        <w:tabs>
          <w:tab w:val="left" w:pos="142"/>
          <w:tab w:val="left" w:pos="284"/>
        </w:tabs>
        <w:spacing w:after="0" w:line="276" w:lineRule="auto"/>
        <w:ind w:left="0"/>
        <w:jc w:val="both"/>
        <w:rPr>
          <w:rFonts w:ascii="Verdana" w:eastAsia="Calibri" w:hAnsi="Verdana" w:cs="Arial"/>
          <w:color w:val="000000" w:themeColor="text1"/>
        </w:rPr>
      </w:pPr>
      <w:r w:rsidRPr="00BB368C">
        <w:rPr>
          <w:rFonts w:ascii="Verdana" w:hAnsi="Verdana" w:cs="Arial"/>
          <w:bCs/>
          <w:lang w:val="es-MX"/>
        </w:rPr>
        <w:t xml:space="preserve">   </w:t>
      </w:r>
      <w:r w:rsidRPr="00BB368C">
        <w:rPr>
          <w:rFonts w:ascii="Verdana" w:eastAsia="Century Gothic" w:hAnsi="Verdana" w:cs="Century Gothic"/>
        </w:rPr>
        <w:tab/>
      </w:r>
    </w:p>
    <w:p w14:paraId="3458F3B7" w14:textId="77777777" w:rsidR="00A44843" w:rsidRPr="00BB368C" w:rsidRDefault="00A44843" w:rsidP="00A4484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B368C">
        <w:rPr>
          <w:rFonts w:ascii="Verdana" w:eastAsia="Century Gothic" w:hAnsi="Verdana" w:cs="Century Gothic"/>
          <w:b/>
          <w:bCs/>
        </w:rPr>
        <w:t>Razones de la respuesta:</w:t>
      </w:r>
    </w:p>
    <w:p w14:paraId="03B5C77A" w14:textId="77777777" w:rsidR="00A44843" w:rsidRPr="00BB368C" w:rsidRDefault="00A44843" w:rsidP="00A44843">
      <w:pPr>
        <w:spacing w:after="0" w:line="276" w:lineRule="auto"/>
        <w:jc w:val="both"/>
        <w:rPr>
          <w:rFonts w:ascii="Verdana" w:eastAsia="Calibri" w:hAnsi="Verdana" w:cs="Arial"/>
          <w:lang w:val="es-ES"/>
        </w:rPr>
      </w:pPr>
      <w:r w:rsidRPr="00BB368C">
        <w:rPr>
          <w:rFonts w:ascii="Verdana" w:eastAsia="Calibri" w:hAnsi="Verdana" w:cs="Arial"/>
          <w:lang w:val="es-ES"/>
        </w:rPr>
        <w:t>Lo anterior se sustenta en las siguientes consideraciones, teniendo en cuenta el esquema temático propuesto para el planteamiento de los problemas jurídicos, de la siguiente manera:</w:t>
      </w:r>
    </w:p>
    <w:p w14:paraId="6FB23E54" w14:textId="77777777" w:rsidR="00A44843" w:rsidRPr="00BB368C" w:rsidRDefault="00A44843" w:rsidP="00A44843">
      <w:pPr>
        <w:spacing w:after="0" w:line="276" w:lineRule="auto"/>
        <w:jc w:val="both"/>
        <w:rPr>
          <w:rFonts w:ascii="Verdana" w:eastAsia="Calibri" w:hAnsi="Verdana" w:cs="Arial"/>
          <w:lang w:val="es-ES"/>
        </w:rPr>
      </w:pPr>
    </w:p>
    <w:p w14:paraId="20F29682" w14:textId="77777777" w:rsidR="00C634CE" w:rsidRPr="00BB368C" w:rsidRDefault="00C634CE" w:rsidP="00C634CE">
      <w:pPr>
        <w:spacing w:after="0" w:line="276" w:lineRule="auto"/>
        <w:ind w:firstLine="708"/>
        <w:jc w:val="both"/>
        <w:rPr>
          <w:rFonts w:ascii="Verdana" w:hAnsi="Verdana" w:cs="Arial"/>
          <w:bCs/>
          <w:lang w:val="es-MX"/>
        </w:rPr>
      </w:pPr>
      <w:r w:rsidRPr="00BB368C">
        <w:rPr>
          <w:rFonts w:ascii="Verdana" w:hAnsi="Verdana" w:cs="Arial"/>
          <w:bCs/>
          <w:lang w:val="es-MX"/>
        </w:rPr>
        <w:t>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1584AD14" w14:textId="77777777" w:rsidR="00C634CE" w:rsidRPr="00BB368C" w:rsidRDefault="00C634CE" w:rsidP="00C634CE">
      <w:pPr>
        <w:spacing w:after="0" w:line="276" w:lineRule="auto"/>
        <w:ind w:firstLine="709"/>
        <w:contextualSpacing/>
        <w:jc w:val="both"/>
        <w:rPr>
          <w:rFonts w:ascii="Verdana" w:hAnsi="Verdana" w:cs="Arial"/>
          <w:bCs/>
          <w:lang w:val="es-MX"/>
        </w:rPr>
      </w:pPr>
    </w:p>
    <w:p w14:paraId="1DF0A66B" w14:textId="77777777" w:rsidR="00C634CE" w:rsidRPr="00BB368C" w:rsidRDefault="00C634CE" w:rsidP="00C634CE">
      <w:pPr>
        <w:tabs>
          <w:tab w:val="left" w:pos="3885"/>
        </w:tabs>
        <w:spacing w:after="0" w:line="240" w:lineRule="auto"/>
        <w:ind w:left="709" w:right="709"/>
        <w:contextualSpacing/>
        <w:jc w:val="both"/>
        <w:rPr>
          <w:rFonts w:ascii="Verdana" w:hAnsi="Verdana" w:cs="Arial"/>
          <w:bCs/>
          <w:sz w:val="21"/>
          <w:szCs w:val="21"/>
          <w:lang w:val="es-MX"/>
        </w:rPr>
      </w:pPr>
      <m:oMath>
        <m:r>
          <m:rPr>
            <m:sty m:val="p"/>
          </m:rPr>
          <w:rPr>
            <w:rFonts w:ascii="Cambria Math" w:hAnsi="Cambria Math" w:cs="Arial"/>
            <w:sz w:val="21"/>
            <w:szCs w:val="21"/>
            <w:lang w:val="es-MX"/>
          </w:rPr>
          <m:t>"</m:t>
        </m:r>
      </m:oMath>
      <w:r w:rsidRPr="00BB368C">
        <w:rPr>
          <w:rFonts w:ascii="Verdana" w:hAnsi="Verdana" w:cs="Arial"/>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42D1BA8" w14:textId="77777777" w:rsidR="00C634CE" w:rsidRPr="00BB368C" w:rsidRDefault="00C634CE" w:rsidP="00C634CE">
      <w:pPr>
        <w:tabs>
          <w:tab w:val="left" w:pos="3885"/>
        </w:tabs>
        <w:spacing w:after="0" w:line="240" w:lineRule="auto"/>
        <w:ind w:left="709" w:right="709"/>
        <w:contextualSpacing/>
        <w:jc w:val="both"/>
        <w:rPr>
          <w:rFonts w:ascii="Verdana" w:hAnsi="Verdana" w:cs="Arial"/>
          <w:bCs/>
          <w:sz w:val="21"/>
          <w:szCs w:val="21"/>
          <w:lang w:val="es-MX"/>
        </w:rPr>
      </w:pPr>
    </w:p>
    <w:p w14:paraId="418ACC21" w14:textId="77777777" w:rsidR="00C634CE" w:rsidRPr="00BB368C" w:rsidRDefault="00C634CE" w:rsidP="00C634CE">
      <w:pPr>
        <w:tabs>
          <w:tab w:val="left" w:pos="3885"/>
          <w:tab w:val="left" w:pos="8222"/>
        </w:tabs>
        <w:spacing w:after="0" w:line="240" w:lineRule="auto"/>
        <w:ind w:left="709" w:right="709"/>
        <w:contextualSpacing/>
        <w:jc w:val="both"/>
        <w:rPr>
          <w:rFonts w:ascii="Verdana" w:hAnsi="Verdana" w:cs="Arial"/>
          <w:bCs/>
          <w:sz w:val="21"/>
          <w:szCs w:val="21"/>
          <w:lang w:val="es-MX"/>
        </w:rPr>
      </w:pPr>
      <w:r w:rsidRPr="00BB368C">
        <w:rPr>
          <w:rFonts w:ascii="Verdana" w:hAnsi="Verdana" w:cs="Arial"/>
          <w:bCs/>
          <w:sz w:val="21"/>
          <w:szCs w:val="21"/>
          <w:lang w:val="es-MX"/>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BB368C">
        <w:rPr>
          <w:rFonts w:ascii="Verdana" w:hAnsi="Verdana" w:cs="Arial"/>
          <w:bCs/>
          <w:sz w:val="21"/>
          <w:szCs w:val="21"/>
          <w:vertAlign w:val="superscript"/>
          <w:lang w:val="es-MX"/>
        </w:rPr>
        <w:footnoteReference w:id="2"/>
      </w:r>
    </w:p>
    <w:p w14:paraId="04C5EE80" w14:textId="77777777" w:rsidR="00C634CE" w:rsidRPr="00BB368C" w:rsidRDefault="00C634CE" w:rsidP="00C634CE">
      <w:pPr>
        <w:spacing w:after="0" w:line="276" w:lineRule="auto"/>
        <w:ind w:firstLine="709"/>
        <w:contextualSpacing/>
        <w:jc w:val="both"/>
        <w:rPr>
          <w:rFonts w:ascii="Verdana" w:hAnsi="Verdana" w:cs="Arial"/>
          <w:bCs/>
          <w:lang w:val="es-MX"/>
        </w:rPr>
      </w:pPr>
    </w:p>
    <w:p w14:paraId="385B562E" w14:textId="77777777" w:rsidR="00C634CE" w:rsidRPr="00BB368C" w:rsidRDefault="00C634CE" w:rsidP="00C634CE">
      <w:pPr>
        <w:spacing w:after="120" w:line="276" w:lineRule="auto"/>
        <w:ind w:firstLine="709"/>
        <w:jc w:val="both"/>
        <w:rPr>
          <w:rFonts w:ascii="Verdana" w:hAnsi="Verdana" w:cs="Arial"/>
          <w:bCs/>
          <w:lang w:val="es-MX"/>
        </w:rPr>
      </w:pPr>
      <w:r w:rsidRPr="00BB368C">
        <w:rPr>
          <w:rFonts w:ascii="Verdana" w:hAnsi="Verdana" w:cs="Arial"/>
          <w:bCs/>
          <w:lang w:val="es-MX"/>
        </w:rPr>
        <w:t xml:space="preserve">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w:t>
      </w:r>
      <w:r w:rsidRPr="00BB368C">
        <w:rPr>
          <w:rFonts w:ascii="Verdana" w:hAnsi="Verdana" w:cs="Arial"/>
          <w:bCs/>
          <w:lang w:val="es-MX"/>
        </w:rPr>
        <w:lastRenderedPageBreak/>
        <w:t>como un mecanismo que “contará con la información oficial de la contratación realizada con dineros públicos, para lo cual establecerá los patrones a que haya lugar y se encargará de su difusión a través de canales electrónicos”</w:t>
      </w:r>
      <w:r w:rsidRPr="00BB368C">
        <w:rPr>
          <w:rFonts w:ascii="Verdana" w:hAnsi="Verdana" w:cs="Arial"/>
          <w:bCs/>
          <w:vertAlign w:val="superscript"/>
          <w:lang w:val="es-MX"/>
        </w:rPr>
        <w:footnoteReference w:id="3"/>
      </w:r>
      <w:r w:rsidRPr="00BB368C">
        <w:rPr>
          <w:rFonts w:ascii="Verdana" w:hAnsi="Verdana" w:cs="Arial"/>
          <w:bCs/>
          <w:lang w:val="es-MX"/>
        </w:rPr>
        <w:t xml:space="preserve">. </w:t>
      </w:r>
    </w:p>
    <w:p w14:paraId="2305E699" w14:textId="77777777" w:rsidR="00C634CE" w:rsidRPr="00BB368C" w:rsidRDefault="00C634CE" w:rsidP="00C634CE">
      <w:pPr>
        <w:spacing w:after="120" w:line="276" w:lineRule="auto"/>
        <w:ind w:firstLine="708"/>
        <w:jc w:val="both"/>
        <w:rPr>
          <w:rFonts w:ascii="Verdana" w:hAnsi="Verdana" w:cs="Arial"/>
          <w:bCs/>
          <w:lang w:val="es-MX"/>
        </w:rPr>
      </w:pPr>
      <w:r w:rsidRPr="00BB368C">
        <w:rPr>
          <w:rFonts w:ascii="Verdana" w:hAnsi="Verdana" w:cs="Arial"/>
          <w:bCs/>
          <w:lang w:val="es-MX"/>
        </w:rPr>
        <w:t>De otra parte, la Ley 1712 de 2014, “</w:t>
      </w:r>
      <w:r w:rsidRPr="00BB368C">
        <w:rPr>
          <w:rFonts w:ascii="Verdana" w:hAnsi="Verdana" w:cs="Arial"/>
        </w:rPr>
        <w:t>P</w:t>
      </w:r>
      <w:r w:rsidRPr="00BB368C">
        <w:rPr>
          <w:rFonts w:ascii="Verdana" w:hAnsi="Verdana" w:cs="Arial"/>
          <w:lang w:eastAsia="es-CO"/>
        </w:rPr>
        <w:t>or medio de la cual se crea la Ley de Transparencia y del Derecho de Acceso a la Información Pública Nacional y se dictan otras disposiciones</w:t>
      </w:r>
      <w:r w:rsidRPr="00BB368C">
        <w:rPr>
          <w:rFonts w:ascii="Verdana" w:hAnsi="Verdana"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BB368C">
        <w:rPr>
          <w:rFonts w:ascii="Verdana" w:hAnsi="Verdana" w:cs="Arial"/>
          <w:bCs/>
          <w:i/>
          <w:iCs/>
          <w:lang w:val="es-MX"/>
        </w:rPr>
        <w:t>máxima publicidad</w:t>
      </w:r>
      <w:r w:rsidRPr="00BB368C">
        <w:rPr>
          <w:rFonts w:ascii="Verdana" w:hAnsi="Verdana" w:cs="Arial"/>
          <w:bCs/>
          <w:lang w:val="es-MX"/>
        </w:rPr>
        <w:t xml:space="preserve"> establece que “toda información en posesión, bajo control o custodia de un sujeto obligado es pública y no podrá ser reservada o limitada sino por disposición constitucional o legal”</w:t>
      </w:r>
      <w:r w:rsidRPr="00BB368C">
        <w:rPr>
          <w:rFonts w:ascii="Verdana" w:hAnsi="Verdana" w:cs="Arial"/>
          <w:bCs/>
          <w:vertAlign w:val="superscript"/>
          <w:lang w:val="es-MX"/>
        </w:rPr>
        <w:footnoteReference w:id="4"/>
      </w:r>
      <w:r w:rsidRPr="00BB368C">
        <w:rPr>
          <w:rFonts w:ascii="Verdana" w:hAnsi="Verdana" w:cs="Arial"/>
          <w:bCs/>
          <w:lang w:val="es-MX"/>
        </w:rPr>
        <w:t xml:space="preserve">. El </w:t>
      </w:r>
      <w:r w:rsidRPr="00BB368C">
        <w:rPr>
          <w:rFonts w:ascii="Verdana" w:hAnsi="Verdana" w:cs="Arial"/>
          <w:bCs/>
          <w:i/>
          <w:iCs/>
          <w:lang w:val="es-MX"/>
        </w:rPr>
        <w:t>principio de transparencia</w:t>
      </w:r>
      <w:r w:rsidRPr="00BB368C">
        <w:rPr>
          <w:rFonts w:ascii="Verdana" w:hAnsi="Verdana" w:cs="Arial"/>
          <w:bCs/>
          <w:lang w:val="es-MX"/>
        </w:rPr>
        <w:t xml:space="preserve"> en la información alude al deber de los sujetos de proporcionar y facilitar el acceso a la misma en los términos más amplios posibles, a través de los medios y procedimientos legales</w:t>
      </w:r>
      <w:r w:rsidRPr="00BB368C">
        <w:rPr>
          <w:rFonts w:ascii="Verdana" w:hAnsi="Verdana" w:cs="Arial"/>
          <w:vertAlign w:val="superscript"/>
          <w:lang w:eastAsia="es-CO"/>
        </w:rPr>
        <w:footnoteReference w:id="5"/>
      </w:r>
      <w:r w:rsidRPr="00BB368C">
        <w:rPr>
          <w:rFonts w:ascii="Verdana" w:hAnsi="Verdana" w:cs="Arial"/>
          <w:bCs/>
          <w:lang w:val="es-MX"/>
        </w:rPr>
        <w:t xml:space="preserve">. Y el </w:t>
      </w:r>
      <w:r w:rsidRPr="00BB368C">
        <w:rPr>
          <w:rFonts w:ascii="Verdana" w:hAnsi="Verdana" w:cs="Arial"/>
          <w:bCs/>
          <w:i/>
          <w:iCs/>
          <w:lang w:val="es-MX"/>
        </w:rPr>
        <w:t>principio de buena fe</w:t>
      </w:r>
      <w:r w:rsidRPr="00BB368C">
        <w:rPr>
          <w:rFonts w:ascii="Verdana" w:hAnsi="Verdana"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BB368C">
        <w:rPr>
          <w:rFonts w:ascii="Verdana" w:hAnsi="Verdana" w:cs="Arial"/>
          <w:bCs/>
          <w:vertAlign w:val="superscript"/>
          <w:lang w:val="es-MX"/>
        </w:rPr>
        <w:footnoteReference w:id="6"/>
      </w:r>
      <w:r w:rsidRPr="00BB368C">
        <w:rPr>
          <w:rFonts w:ascii="Verdana" w:hAnsi="Verdana" w:cs="Arial"/>
          <w:bCs/>
          <w:lang w:val="es-MX"/>
        </w:rPr>
        <w:t xml:space="preserve">. </w:t>
      </w:r>
    </w:p>
    <w:p w14:paraId="346C44CA" w14:textId="77777777" w:rsidR="00C634CE" w:rsidRPr="00BB368C" w:rsidRDefault="00C634CE" w:rsidP="00BD6507">
      <w:pPr>
        <w:spacing w:after="120" w:line="276" w:lineRule="auto"/>
        <w:ind w:firstLine="708"/>
        <w:jc w:val="both"/>
        <w:rPr>
          <w:rFonts w:ascii="Verdana" w:hAnsi="Verdana" w:cs="Arial"/>
          <w:lang w:eastAsia="es-CO"/>
        </w:rPr>
      </w:pPr>
      <w:r w:rsidRPr="00BB368C">
        <w:rPr>
          <w:rFonts w:ascii="Verdana" w:hAnsi="Verdana" w:cs="Arial"/>
          <w:bCs/>
          <w:lang w:val="es-MX"/>
        </w:rPr>
        <w:lastRenderedPageBreak/>
        <w:t xml:space="preserve">La citada Ley establece, </w:t>
      </w:r>
      <w:bookmarkStart w:id="3" w:name="_Hlk112225357"/>
      <w:r w:rsidRPr="00BB368C">
        <w:rPr>
          <w:rFonts w:ascii="Verdana" w:hAnsi="Verdana" w:cs="Arial"/>
          <w:bCs/>
          <w:lang w:val="es-MX"/>
        </w:rPr>
        <w:t xml:space="preserve">en el literal e) del artículo 9, que los </w:t>
      </w:r>
      <w:r w:rsidRPr="00BB368C">
        <w:rPr>
          <w:rFonts w:ascii="Verdana" w:hAnsi="Verdana" w:cs="Arial"/>
          <w:bCs/>
          <w:i/>
          <w:iCs/>
          <w:lang w:val="es-MX"/>
        </w:rPr>
        <w:t>sujetos obligados</w:t>
      </w:r>
      <w:r w:rsidRPr="00BB368C">
        <w:rPr>
          <w:rFonts w:ascii="Verdana" w:hAnsi="Verdana" w:cs="Arial"/>
          <w:bCs/>
          <w:lang w:val="es-MX"/>
        </w:rPr>
        <w:t xml:space="preserve"> deben publicar la información relativa a su contratación</w:t>
      </w:r>
      <w:r w:rsidRPr="00BB368C">
        <w:rPr>
          <w:rFonts w:ascii="Verdana" w:hAnsi="Verdana" w:cs="Arial"/>
          <w:vertAlign w:val="superscript"/>
          <w:lang w:eastAsia="es-CO"/>
        </w:rPr>
        <w:footnoteReference w:id="7"/>
      </w:r>
      <w:r w:rsidRPr="00BB368C">
        <w:rPr>
          <w:rFonts w:ascii="Verdana" w:hAnsi="Verdana"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BB368C">
        <w:rPr>
          <w:rFonts w:ascii="Verdana" w:hAnsi="Verdana" w:cs="Arial"/>
          <w:lang w:val="es-ES"/>
        </w:rPr>
        <w:t>Igualmente, establece que son sujetos obligados las empresas públicas, las empresas del Estado y las sociedades en las que el Estado tenga participación, sin que importe su monto</w:t>
      </w:r>
      <w:r w:rsidRPr="00BB368C">
        <w:rPr>
          <w:rFonts w:ascii="Verdana" w:hAnsi="Verdana" w:cs="Arial"/>
          <w:vertAlign w:val="superscript"/>
          <w:lang w:eastAsia="es-CO"/>
        </w:rPr>
        <w:footnoteReference w:id="8"/>
      </w:r>
      <w:r w:rsidRPr="00BB368C">
        <w:rPr>
          <w:rFonts w:ascii="Verdana" w:hAnsi="Verdana" w:cs="Arial"/>
          <w:lang w:val="es-ES"/>
        </w:rPr>
        <w:t>.</w:t>
      </w:r>
      <w:r w:rsidRPr="00BB368C">
        <w:rPr>
          <w:rFonts w:ascii="Verdana" w:hAnsi="Verdana" w:cs="Arial"/>
          <w:lang w:eastAsia="es-CO"/>
        </w:rPr>
        <w:t xml:space="preserve"> </w:t>
      </w:r>
    </w:p>
    <w:p w14:paraId="3897BE9E" w14:textId="77777777" w:rsidR="00C634CE" w:rsidRPr="00BB368C" w:rsidRDefault="00C634CE" w:rsidP="00C634CE">
      <w:pPr>
        <w:spacing w:after="120" w:line="276" w:lineRule="auto"/>
        <w:ind w:firstLine="709"/>
        <w:jc w:val="both"/>
        <w:rPr>
          <w:rFonts w:ascii="Verdana" w:hAnsi="Verdana" w:cs="Arial"/>
          <w:lang w:eastAsia="es-CO"/>
        </w:rPr>
      </w:pPr>
      <w:r w:rsidRPr="00BB368C">
        <w:rPr>
          <w:rFonts w:ascii="Verdana" w:hAnsi="Verdana" w:cs="Arial"/>
          <w:lang w:eastAsia="es-CO"/>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3"/>
    <w:p w14:paraId="307886F2" w14:textId="77777777" w:rsidR="00C634CE" w:rsidRPr="00BB368C" w:rsidRDefault="00C634CE" w:rsidP="00C634CE">
      <w:pPr>
        <w:spacing w:after="120" w:line="276" w:lineRule="auto"/>
        <w:ind w:firstLine="708"/>
        <w:jc w:val="both"/>
        <w:rPr>
          <w:rFonts w:ascii="Verdana" w:hAnsi="Verdana" w:cs="Arial"/>
          <w:bCs/>
          <w:lang w:val="es-MX"/>
        </w:rPr>
      </w:pPr>
      <w:r w:rsidRPr="00BB368C">
        <w:rPr>
          <w:rFonts w:ascii="Verdana" w:hAnsi="Verdana" w:cs="Arial"/>
          <w:bCs/>
          <w:lang w:val="es-MX"/>
        </w:rPr>
        <w:t>Esta obligación fue desarrollada por el Artículo 2.1.1.2.1.7. del Decreto Único Reglamentario 1082 de 2015</w:t>
      </w:r>
      <w:r w:rsidRPr="00BB368C">
        <w:rPr>
          <w:rFonts w:ascii="Verdana" w:hAnsi="Verdana" w:cs="Arial"/>
          <w:bCs/>
          <w:vertAlign w:val="superscript"/>
          <w:lang w:val="es-MX"/>
        </w:rPr>
        <w:footnoteReference w:id="9"/>
      </w:r>
      <w:r w:rsidRPr="00BB368C">
        <w:rPr>
          <w:rFonts w:ascii="Verdana" w:hAnsi="Verdana" w:cs="Arial"/>
          <w:bCs/>
          <w:lang w:val="es-MX"/>
        </w:rPr>
        <w:t>, el cual dispuso que la publicación de la información contractual de los sujetos obligados, que contratan con cargo a recursos públicos, debe hacerse en el Sistema Electrónico para la Contratación Pública ─</w:t>
      </w:r>
      <w:r w:rsidRPr="00BB368C">
        <w:rPr>
          <w:rFonts w:ascii="Verdana" w:hAnsi="Verdana" w:cs="Arial"/>
          <w:bCs/>
          <w:lang w:val="es-MX"/>
        </w:rPr>
        <w:softHyphen/>
        <w:t xml:space="preserve"> </w:t>
      </w:r>
      <w:r w:rsidRPr="00BB368C">
        <w:rPr>
          <w:rFonts w:ascii="Verdana" w:hAnsi="Verdana" w:cs="Arial"/>
          <w:bCs/>
          <w:lang w:val="es-MX"/>
        </w:rPr>
        <w:softHyphen/>
        <w:t>SECOP–.</w:t>
      </w:r>
    </w:p>
    <w:p w14:paraId="5DB4826D" w14:textId="77777777" w:rsidR="004E4673" w:rsidRPr="00BB368C" w:rsidRDefault="00C634CE" w:rsidP="00C634CE">
      <w:pPr>
        <w:spacing w:after="0" w:line="276" w:lineRule="auto"/>
        <w:ind w:firstLine="709"/>
        <w:contextualSpacing/>
        <w:jc w:val="both"/>
        <w:rPr>
          <w:rFonts w:ascii="Verdana" w:hAnsi="Verdana" w:cs="Arial"/>
          <w:bCs/>
          <w:lang w:val="es-MX"/>
        </w:rPr>
      </w:pPr>
      <w:r w:rsidRPr="00BB368C">
        <w:rPr>
          <w:rFonts w:ascii="Verdana" w:hAnsi="Verdana" w:cs="Arial"/>
          <w:bCs/>
          <w:lang w:val="es-MX"/>
        </w:rPr>
        <w:t xml:space="preserve">Las anteriores disposiciones normativas fueron complementadas con la expedición de la </w:t>
      </w:r>
      <w:bookmarkStart w:id="4" w:name="_Hlk109111930"/>
      <w:r w:rsidRPr="00BB368C">
        <w:rPr>
          <w:rFonts w:ascii="Verdana" w:hAnsi="Verdana" w:cs="Arial"/>
          <w:bCs/>
          <w:lang w:val="es-MX"/>
        </w:rPr>
        <w:t>Ley 2195 de 2022, “</w:t>
      </w:r>
      <w:r w:rsidRPr="00BB368C">
        <w:rPr>
          <w:rFonts w:ascii="Verdana" w:hAnsi="Verdana" w:cs="Arial"/>
          <w:bCs/>
          <w:i/>
          <w:iCs/>
          <w:lang w:val="es-MX"/>
        </w:rPr>
        <w:t xml:space="preserve">Por medio de la cual se adoptan medidas </w:t>
      </w:r>
      <w:r w:rsidRPr="00BB368C">
        <w:rPr>
          <w:rFonts w:ascii="Verdana" w:hAnsi="Verdana" w:cs="Arial"/>
          <w:bCs/>
          <w:i/>
          <w:iCs/>
          <w:lang w:val="es-MX"/>
        </w:rPr>
        <w:lastRenderedPageBreak/>
        <w:t>en materia de transparencia, prevención y lucha contra la corrupción</w:t>
      </w:r>
      <w:r w:rsidRPr="00BB368C">
        <w:rPr>
          <w:rFonts w:ascii="Verdana" w:hAnsi="Verdana" w:cs="Arial"/>
          <w:bCs/>
          <w:lang w:val="es-MX"/>
        </w:rPr>
        <w:t>”</w:t>
      </w:r>
      <w:r w:rsidR="004E4673" w:rsidRPr="00BB368C">
        <w:rPr>
          <w:rFonts w:ascii="Verdana" w:hAnsi="Verdana" w:cs="Arial"/>
          <w:bCs/>
          <w:lang w:val="es-MX"/>
        </w:rPr>
        <w:t>; s</w:t>
      </w:r>
      <w:r w:rsidRPr="00BB368C">
        <w:rPr>
          <w:rFonts w:ascii="Verdana" w:hAnsi="Verdana" w:cs="Arial"/>
          <w:bCs/>
          <w:lang w:val="es-MX"/>
        </w:rPr>
        <w:t>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p>
    <w:p w14:paraId="1E0403C2" w14:textId="77777777" w:rsidR="004E4673" w:rsidRPr="00BB368C" w:rsidRDefault="004E4673" w:rsidP="00C634CE">
      <w:pPr>
        <w:spacing w:after="0" w:line="276" w:lineRule="auto"/>
        <w:ind w:firstLine="709"/>
        <w:contextualSpacing/>
        <w:jc w:val="both"/>
        <w:rPr>
          <w:rFonts w:ascii="Verdana" w:hAnsi="Verdana" w:cs="Arial"/>
          <w:bCs/>
          <w:lang w:val="es-MX"/>
        </w:rPr>
      </w:pPr>
    </w:p>
    <w:p w14:paraId="1ADDB9B3" w14:textId="1B10F588" w:rsidR="00C634CE" w:rsidRPr="00BB368C" w:rsidRDefault="00C634CE" w:rsidP="00C634CE">
      <w:pPr>
        <w:spacing w:after="0" w:line="276" w:lineRule="auto"/>
        <w:ind w:firstLine="709"/>
        <w:contextualSpacing/>
        <w:jc w:val="both"/>
        <w:rPr>
          <w:rFonts w:ascii="Verdana" w:hAnsi="Verdana" w:cs="Arial"/>
          <w:bCs/>
          <w:lang w:val="es-MX"/>
        </w:rPr>
      </w:pPr>
      <w:r w:rsidRPr="00BB368C">
        <w:rPr>
          <w:rFonts w:ascii="Verdana" w:hAnsi="Verdana" w:cs="Arial"/>
          <w:bCs/>
          <w:lang w:val="es-MX"/>
        </w:rPr>
        <w:t xml:space="preserve">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4"/>
    </w:p>
    <w:p w14:paraId="4729BBF4" w14:textId="77777777" w:rsidR="00C634CE" w:rsidRPr="00BB368C" w:rsidRDefault="00C634CE" w:rsidP="00C634CE">
      <w:pPr>
        <w:spacing w:after="0" w:line="276" w:lineRule="auto"/>
        <w:ind w:firstLine="709"/>
        <w:contextualSpacing/>
        <w:jc w:val="both"/>
        <w:rPr>
          <w:rFonts w:ascii="Verdana" w:hAnsi="Verdana" w:cs="Arial"/>
          <w:bCs/>
          <w:lang w:val="es-MX"/>
        </w:rPr>
      </w:pPr>
    </w:p>
    <w:p w14:paraId="271C54C3" w14:textId="77777777" w:rsidR="00C634CE" w:rsidRPr="00BB368C" w:rsidRDefault="00C634CE" w:rsidP="00C634CE">
      <w:pPr>
        <w:spacing w:after="0" w:line="276" w:lineRule="auto"/>
        <w:ind w:firstLine="709"/>
        <w:contextualSpacing/>
        <w:jc w:val="both"/>
        <w:rPr>
          <w:rFonts w:ascii="Verdana" w:hAnsi="Verdana" w:cs="Arial"/>
          <w:bCs/>
          <w:lang w:val="es-MX"/>
        </w:rPr>
      </w:pPr>
      <w:r w:rsidRPr="00BB368C">
        <w:rPr>
          <w:rFonts w:ascii="Verdana" w:hAnsi="Verdana" w:cs="Arial"/>
          <w:bCs/>
          <w:lang w:val="es-MX"/>
        </w:rPr>
        <w:t>Al respecto, la norma citada, de manera expresa, señala:</w:t>
      </w:r>
    </w:p>
    <w:p w14:paraId="04EC7D82" w14:textId="77777777" w:rsidR="00C634CE" w:rsidRPr="00BB368C" w:rsidRDefault="00C634CE" w:rsidP="00C634CE">
      <w:pPr>
        <w:spacing w:after="0" w:line="240" w:lineRule="auto"/>
        <w:ind w:firstLine="301"/>
        <w:contextualSpacing/>
        <w:rPr>
          <w:rFonts w:ascii="Verdana" w:hAnsi="Verdana" w:cs="Arial"/>
          <w:bCs/>
          <w:lang w:val="es-MX"/>
        </w:rPr>
      </w:pPr>
    </w:p>
    <w:p w14:paraId="7F978E55" w14:textId="77777777" w:rsidR="00C634CE" w:rsidRPr="00BB368C" w:rsidRDefault="00C634CE" w:rsidP="00C634CE">
      <w:pPr>
        <w:spacing w:after="0" w:line="240" w:lineRule="auto"/>
        <w:ind w:left="709" w:right="709"/>
        <w:contextualSpacing/>
        <w:jc w:val="both"/>
        <w:rPr>
          <w:rFonts w:ascii="Verdana" w:hAnsi="Verdana" w:cs="Arial"/>
          <w:bCs/>
          <w:sz w:val="20"/>
          <w:szCs w:val="20"/>
          <w:lang w:val="es-MX"/>
        </w:rPr>
      </w:pPr>
      <w:r w:rsidRPr="00BB368C">
        <w:rPr>
          <w:rFonts w:ascii="Verdana" w:hAnsi="Verdana" w:cs="Arial"/>
          <w:bCs/>
          <w:sz w:val="21"/>
          <w:szCs w:val="21"/>
          <w:lang w:val="es-MX"/>
        </w:rPr>
        <w:t>“</w:t>
      </w:r>
      <w:r w:rsidRPr="00BB368C">
        <w:rPr>
          <w:rFonts w:ascii="Verdana" w:hAnsi="Verdana" w:cs="Arial"/>
          <w:bCs/>
          <w:sz w:val="20"/>
          <w:szCs w:val="20"/>
          <w:lang w:val="es-MX"/>
        </w:rPr>
        <w:t>Adiciónese los siguientes incisos al artículo 13 de la Ley 1150 de 2007, el cual quedará así:</w:t>
      </w:r>
    </w:p>
    <w:p w14:paraId="743C563A" w14:textId="77777777" w:rsidR="00C634CE" w:rsidRPr="00BB368C" w:rsidRDefault="00C634CE" w:rsidP="00C634CE">
      <w:pPr>
        <w:spacing w:after="0" w:line="240" w:lineRule="auto"/>
        <w:ind w:left="709" w:right="709"/>
        <w:contextualSpacing/>
        <w:jc w:val="both"/>
        <w:rPr>
          <w:rFonts w:ascii="Verdana" w:hAnsi="Verdana" w:cs="Arial"/>
          <w:bCs/>
          <w:sz w:val="20"/>
          <w:szCs w:val="20"/>
          <w:lang w:val="es-MX"/>
        </w:rPr>
      </w:pPr>
    </w:p>
    <w:p w14:paraId="49C4D8F2" w14:textId="77777777" w:rsidR="00C634CE" w:rsidRPr="00BB368C" w:rsidRDefault="00C634CE" w:rsidP="00C634CE">
      <w:pPr>
        <w:spacing w:after="0" w:line="240" w:lineRule="auto"/>
        <w:ind w:left="709" w:right="709"/>
        <w:contextualSpacing/>
        <w:jc w:val="both"/>
        <w:rPr>
          <w:rFonts w:ascii="Verdana" w:hAnsi="Verdana" w:cs="Arial"/>
          <w:bCs/>
          <w:sz w:val="20"/>
          <w:szCs w:val="20"/>
          <w:lang w:val="es-MX"/>
        </w:rPr>
      </w:pPr>
      <w:r w:rsidRPr="00BB368C">
        <w:rPr>
          <w:rFonts w:ascii="Verdana" w:hAnsi="Verdana" w:cs="Arial"/>
          <w:bCs/>
          <w:sz w:val="20"/>
          <w:szCs w:val="20"/>
          <w:lang w:val="es-MX"/>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FC388B8" w14:textId="77777777" w:rsidR="00C634CE" w:rsidRPr="00BB368C" w:rsidRDefault="00C634CE" w:rsidP="00C634CE">
      <w:pPr>
        <w:spacing w:after="0" w:line="240" w:lineRule="auto"/>
        <w:ind w:left="709" w:right="709"/>
        <w:contextualSpacing/>
        <w:jc w:val="both"/>
        <w:rPr>
          <w:rFonts w:ascii="Verdana" w:hAnsi="Verdana" w:cs="Arial"/>
          <w:bCs/>
          <w:sz w:val="21"/>
          <w:szCs w:val="21"/>
          <w:lang w:val="es-MX"/>
        </w:rPr>
      </w:pPr>
    </w:p>
    <w:p w14:paraId="2B60B54A" w14:textId="77777777" w:rsidR="00C634CE" w:rsidRPr="00BB368C" w:rsidRDefault="00C634CE" w:rsidP="00C634CE">
      <w:pPr>
        <w:spacing w:after="0" w:line="240" w:lineRule="auto"/>
        <w:ind w:left="709" w:right="709"/>
        <w:contextualSpacing/>
        <w:jc w:val="both"/>
        <w:rPr>
          <w:rFonts w:ascii="Verdana" w:hAnsi="Verdana" w:cs="Arial"/>
          <w:bCs/>
          <w:i/>
          <w:iCs/>
          <w:sz w:val="21"/>
          <w:szCs w:val="21"/>
          <w:lang w:val="es-MX"/>
        </w:rPr>
      </w:pPr>
      <w:r w:rsidRPr="00BB368C">
        <w:rPr>
          <w:rFonts w:ascii="Verdana" w:hAnsi="Verdana" w:cs="Arial"/>
          <w:bCs/>
          <w:i/>
          <w:iCs/>
          <w:sz w:val="21"/>
          <w:szCs w:val="21"/>
          <w:lang w:val="es-MX"/>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BB368C">
        <w:rPr>
          <w:rFonts w:ascii="Verdana" w:hAnsi="Verdana" w:cs="Arial"/>
          <w:bCs/>
          <w:i/>
          <w:iCs/>
          <w:sz w:val="21"/>
          <w:szCs w:val="21"/>
          <w:lang w:val="es-MX"/>
        </w:rPr>
        <w:t>postcontractual</w:t>
      </w:r>
      <w:proofErr w:type="spellEnd"/>
      <w:r w:rsidRPr="00BB368C">
        <w:rPr>
          <w:rFonts w:ascii="Verdana" w:hAnsi="Verdana" w:cs="Arial"/>
          <w:bCs/>
          <w:i/>
          <w:iCs/>
          <w:sz w:val="21"/>
          <w:szCs w:val="21"/>
          <w:lang w:val="es-MX"/>
        </w:rPr>
        <w:t>.</w:t>
      </w:r>
    </w:p>
    <w:p w14:paraId="3817A56F" w14:textId="77777777" w:rsidR="00C634CE" w:rsidRPr="00BB368C" w:rsidRDefault="00C634CE" w:rsidP="00C634CE">
      <w:pPr>
        <w:spacing w:after="0" w:line="240" w:lineRule="auto"/>
        <w:ind w:left="709" w:right="709"/>
        <w:contextualSpacing/>
        <w:jc w:val="both"/>
        <w:rPr>
          <w:rFonts w:ascii="Verdana" w:hAnsi="Verdana" w:cs="Arial"/>
          <w:bCs/>
          <w:sz w:val="21"/>
          <w:szCs w:val="21"/>
          <w:lang w:val="es-MX"/>
        </w:rPr>
      </w:pPr>
    </w:p>
    <w:p w14:paraId="7E326D16" w14:textId="77777777" w:rsidR="00C634CE" w:rsidRPr="00BB368C" w:rsidRDefault="00C634CE" w:rsidP="00C634CE">
      <w:pPr>
        <w:spacing w:after="0" w:line="240" w:lineRule="auto"/>
        <w:ind w:left="709" w:right="709"/>
        <w:contextualSpacing/>
        <w:jc w:val="both"/>
        <w:rPr>
          <w:rFonts w:ascii="Verdana" w:hAnsi="Verdana" w:cs="Arial"/>
          <w:bCs/>
          <w:sz w:val="21"/>
          <w:szCs w:val="21"/>
          <w:lang w:val="es-MX"/>
        </w:rPr>
      </w:pPr>
      <w:r w:rsidRPr="00BB368C">
        <w:rPr>
          <w:rFonts w:ascii="Verdana" w:hAnsi="Verdana" w:cs="Arial"/>
          <w:bCs/>
          <w:sz w:val="21"/>
          <w:szCs w:val="21"/>
          <w:lang w:val="es-MX"/>
        </w:rPr>
        <w:lastRenderedPageBreak/>
        <w:t>A partir de la entrada en vigor de la presente Ley, se establecerá un periodo de transición de seis (6) meses, para que las entidades den cumplimiento efectivo a lo aquí establecido”. [Énfasis fuera de texto].</w:t>
      </w:r>
    </w:p>
    <w:p w14:paraId="6F8FD60E" w14:textId="77777777" w:rsidR="00C634CE" w:rsidRPr="00BB368C" w:rsidRDefault="00C634CE" w:rsidP="00C634CE">
      <w:pPr>
        <w:spacing w:after="0" w:line="276" w:lineRule="auto"/>
        <w:ind w:firstLine="709"/>
        <w:contextualSpacing/>
        <w:jc w:val="both"/>
        <w:rPr>
          <w:rFonts w:ascii="Verdana" w:hAnsi="Verdana" w:cs="Arial"/>
          <w:bCs/>
          <w:lang w:val="es-MX"/>
        </w:rPr>
      </w:pPr>
    </w:p>
    <w:p w14:paraId="7C13DB08" w14:textId="744B5205" w:rsidR="00C634CE" w:rsidRPr="00BB368C" w:rsidRDefault="00C634CE" w:rsidP="00C634CE">
      <w:pPr>
        <w:spacing w:after="120" w:line="276" w:lineRule="auto"/>
        <w:ind w:firstLine="709"/>
        <w:jc w:val="both"/>
        <w:rPr>
          <w:rFonts w:ascii="Verdana" w:hAnsi="Verdana" w:cs="Arial"/>
          <w:lang w:val="es-ES"/>
        </w:rPr>
      </w:pPr>
      <w:r w:rsidRPr="00BB368C">
        <w:rPr>
          <w:rFonts w:ascii="Verdana" w:hAnsi="Verdana" w:cs="Arial"/>
          <w:lang w:val="es-ES"/>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w:t>
      </w:r>
      <w:r w:rsidR="00702E56" w:rsidRPr="00BB368C">
        <w:rPr>
          <w:rFonts w:ascii="Verdana" w:hAnsi="Verdana" w:cs="Arial"/>
          <w:lang w:val="es-ES"/>
        </w:rPr>
        <w:t>legislador</w:t>
      </w:r>
      <w:r w:rsidRPr="00BB368C">
        <w:rPr>
          <w:rFonts w:ascii="Verdana" w:hAnsi="Verdana" w:cs="Arial"/>
          <w:lang w:val="es-ES"/>
        </w:rPr>
        <w:t xml:space="preserve"> dispone que las entidades estatales exceptuadas del EGCAP deben publicar en el SECOP II –es decir en la plataforma transaccional vigente– su actividad contractual. </w:t>
      </w:r>
    </w:p>
    <w:p w14:paraId="757D103D" w14:textId="77777777" w:rsidR="008316CB" w:rsidRPr="00BB368C" w:rsidRDefault="00C634CE" w:rsidP="00C634CE">
      <w:pPr>
        <w:spacing w:after="120" w:line="276" w:lineRule="auto"/>
        <w:ind w:firstLine="709"/>
        <w:jc w:val="both"/>
        <w:rPr>
          <w:rFonts w:ascii="Verdana" w:hAnsi="Verdana" w:cs="Arial"/>
          <w:bCs/>
          <w:lang w:val="es-MX"/>
        </w:rPr>
      </w:pPr>
      <w:r w:rsidRPr="00BB368C">
        <w:rPr>
          <w:rFonts w:ascii="Verdana" w:hAnsi="Verdana" w:cs="Arial"/>
          <w:bCs/>
          <w:lang w:val="es-MX"/>
        </w:rPr>
        <w:t xml:space="preserve">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w:t>
      </w:r>
    </w:p>
    <w:p w14:paraId="20C6BD2A" w14:textId="2A1B5448" w:rsidR="00C634CE" w:rsidRPr="00BB368C" w:rsidRDefault="00C634CE" w:rsidP="00C634CE">
      <w:pPr>
        <w:spacing w:after="120" w:line="276" w:lineRule="auto"/>
        <w:ind w:firstLine="709"/>
        <w:jc w:val="both"/>
        <w:rPr>
          <w:rFonts w:ascii="Verdana" w:hAnsi="Verdana" w:cs="Arial"/>
          <w:bCs/>
          <w:lang w:val="es-MX"/>
        </w:rPr>
      </w:pPr>
      <w:r w:rsidRPr="00BB368C">
        <w:rPr>
          <w:rFonts w:ascii="Verdana" w:hAnsi="Verdana" w:cs="Arial"/>
          <w:bCs/>
          <w:lang w:val="es-MX"/>
        </w:rPr>
        <w:t>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0353C675" w14:textId="77777777" w:rsidR="00C634CE" w:rsidRPr="00BB368C" w:rsidRDefault="00C634CE" w:rsidP="00C634CE">
      <w:pPr>
        <w:spacing w:after="120" w:line="276" w:lineRule="auto"/>
        <w:ind w:firstLine="709"/>
        <w:jc w:val="both"/>
        <w:rPr>
          <w:rFonts w:ascii="Verdana" w:hAnsi="Verdana" w:cs="Arial"/>
          <w:bCs/>
          <w:lang w:val="es-MX"/>
        </w:rPr>
      </w:pPr>
      <w:bookmarkStart w:id="5" w:name="_Hlk109111956"/>
      <w:r w:rsidRPr="00BB368C">
        <w:rPr>
          <w:rFonts w:ascii="Verdana" w:hAnsi="Verdana" w:cs="Arial"/>
          <w:bCs/>
          <w:lang w:val="es-MX"/>
        </w:rPr>
        <w:t xml:space="preserve">Por lo tanto, </w:t>
      </w:r>
      <w:bookmarkEnd w:id="5"/>
      <w:r w:rsidRPr="00BB368C">
        <w:rPr>
          <w:rFonts w:ascii="Verdana" w:hAnsi="Verdana"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3FF133F2" w14:textId="77777777" w:rsidR="00C634CE" w:rsidRPr="00BB368C" w:rsidRDefault="00C634CE" w:rsidP="00C634CE">
      <w:pPr>
        <w:spacing w:after="120" w:line="276" w:lineRule="auto"/>
        <w:ind w:firstLine="709"/>
        <w:jc w:val="both"/>
        <w:rPr>
          <w:rFonts w:ascii="Verdana" w:hAnsi="Verdana" w:cs="Arial"/>
          <w:bCs/>
          <w:lang w:val="es-MX"/>
        </w:rPr>
      </w:pPr>
      <w:r w:rsidRPr="00BB368C">
        <w:rPr>
          <w:rFonts w:ascii="Verdana" w:hAnsi="Verdana" w:cs="Arial"/>
          <w:bCs/>
          <w:lang w:val="es-MX"/>
        </w:rPr>
        <w:t xml:space="preserve">Teniendo en cuenta el marco normativo antes reseñado, la Circular Externa Única expedida por la Agencia Nacional de Contratación Pública - Colombia Compra Eficiente estableció que todas las entidades del Estado tienen </w:t>
      </w:r>
      <w:r w:rsidRPr="00BB368C">
        <w:rPr>
          <w:rFonts w:ascii="Verdana" w:hAnsi="Verdana" w:cs="Arial"/>
          <w:bCs/>
          <w:lang w:val="es-MX"/>
        </w:rPr>
        <w:lastRenderedPageBreak/>
        <w:t>el deber de publicar oportunamente la información oficial de la contratación en el SECOP, sin distinción de su régimen jurídico, naturaleza jurídica o la pertenencia a una u otra rama del poder público</w:t>
      </w:r>
      <w:r w:rsidRPr="00BB368C">
        <w:rPr>
          <w:rFonts w:ascii="Verdana" w:hAnsi="Verdana" w:cs="Arial"/>
          <w:bCs/>
          <w:vertAlign w:val="superscript"/>
          <w:lang w:val="es-MX"/>
        </w:rPr>
        <w:footnoteReference w:id="10"/>
      </w:r>
      <w:r w:rsidRPr="00BB368C">
        <w:rPr>
          <w:rFonts w:ascii="Verdana" w:hAnsi="Verdana" w:cs="Arial"/>
          <w:bCs/>
          <w:lang w:val="es-MX"/>
        </w:rPr>
        <w:t xml:space="preserve">. </w:t>
      </w:r>
    </w:p>
    <w:p w14:paraId="466F948E" w14:textId="77777777" w:rsidR="00FB62C0" w:rsidRDefault="00C634CE" w:rsidP="00C634CE">
      <w:pPr>
        <w:spacing w:after="120" w:line="276" w:lineRule="auto"/>
        <w:ind w:firstLine="709"/>
        <w:jc w:val="both"/>
        <w:rPr>
          <w:rFonts w:ascii="Verdana" w:hAnsi="Verdana" w:cs="Arial"/>
          <w:bCs/>
          <w:lang w:val="es-MX"/>
        </w:rPr>
      </w:pPr>
      <w:r w:rsidRPr="00BB368C">
        <w:rPr>
          <w:rFonts w:ascii="Verdana" w:hAnsi="Verdana" w:cs="Arial"/>
          <w:bCs/>
          <w:lang w:val="es-MX"/>
        </w:rPr>
        <w:t xml:space="preserve">De lo expuesto en los considerandos de este concepto, de cara a la consulta planteada acerca de la obligación de publicación de las empresas sociales del estado, las instituciones educativas, entre otras, independientemente de que el régimen contractual que les aplica sea el derecho privado, deben publicar su actividad en el SECOP II, para lo cual podrán acudir a los diferentes módulos dispuestos en la plataforma para la estructuración de sus procesos, de acuerdo con lo establecido en el artículo 53 de la Ley 2195 de 2022. </w:t>
      </w:r>
    </w:p>
    <w:p w14:paraId="2362A2A9" w14:textId="6CCE6E6F" w:rsidR="00C634CE" w:rsidRPr="00BB368C" w:rsidRDefault="00C634CE" w:rsidP="00C634CE">
      <w:pPr>
        <w:spacing w:after="120" w:line="276" w:lineRule="auto"/>
        <w:ind w:firstLine="709"/>
        <w:jc w:val="both"/>
        <w:rPr>
          <w:rFonts w:ascii="Verdana" w:hAnsi="Verdana" w:cs="Arial"/>
          <w:bCs/>
          <w:lang w:val="es-MX"/>
        </w:rPr>
      </w:pPr>
      <w:r w:rsidRPr="00BB368C">
        <w:rPr>
          <w:rFonts w:ascii="Verdana" w:hAnsi="Verdana" w:cs="Arial"/>
          <w:bCs/>
          <w:lang w:val="es-MX"/>
        </w:rPr>
        <w:t xml:space="preserve">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14:paraId="2239CD69" w14:textId="77777777" w:rsidR="00FB62C0" w:rsidRDefault="00DC7D6E" w:rsidP="00C634CE">
      <w:pPr>
        <w:spacing w:after="120" w:line="276" w:lineRule="auto"/>
        <w:ind w:firstLine="709"/>
        <w:jc w:val="both"/>
        <w:rPr>
          <w:rFonts w:ascii="Verdana" w:eastAsia="Calibri" w:hAnsi="Verdana" w:cs="Arial"/>
        </w:rPr>
      </w:pPr>
      <w:r w:rsidRPr="00BB368C">
        <w:rPr>
          <w:rFonts w:ascii="Verdana" w:eastAsia="Calibri" w:hAnsi="Verdana" w:cs="Arial"/>
        </w:rPr>
        <w:t>Ahora bien, es preciso indicar respecto a la o</w:t>
      </w:r>
      <w:r w:rsidR="00C634CE" w:rsidRPr="00BB368C">
        <w:rPr>
          <w:rFonts w:ascii="Verdana" w:eastAsia="Calibri" w:hAnsi="Verdana" w:cs="Arial"/>
        </w:rPr>
        <w:t xml:space="preserve">bligatoriedad del uso de SECOP II, la Agencia Nacional de Contratación Pública ha emitido siete (7) Circulares Externas, en las cuales se establecen los lineamientos para el uso obligatorio del SECOP II. En este contexto, las Entidades Estatales sometidas al </w:t>
      </w:r>
      <w:r w:rsidRPr="00BB368C">
        <w:rPr>
          <w:rFonts w:ascii="Verdana" w:eastAsia="Calibri" w:hAnsi="Verdana" w:cs="Arial"/>
        </w:rPr>
        <w:t>EGCAP</w:t>
      </w:r>
      <w:r w:rsidR="00C634CE" w:rsidRPr="00BB368C">
        <w:rPr>
          <w:rFonts w:ascii="Verdana" w:eastAsia="Calibri" w:hAnsi="Verdana" w:cs="Arial"/>
        </w:rPr>
        <w:t xml:space="preserve"> que no se encuentran vinculadas en los Anexos de las Circulares Externas, no están obligadas a utilizar la plataforma SECOP II para gestionar o publicar en línea sus procesos de contratación, por lo tanto, pueden seguir gestionando los procesos de contratación a través del SECOP I. </w:t>
      </w:r>
    </w:p>
    <w:p w14:paraId="1A06EC69" w14:textId="41A2EBB8" w:rsidR="00C634CE" w:rsidRPr="00BB368C" w:rsidRDefault="00C634CE" w:rsidP="00C634CE">
      <w:pPr>
        <w:spacing w:after="120" w:line="276" w:lineRule="auto"/>
        <w:ind w:firstLine="709"/>
        <w:jc w:val="both"/>
        <w:rPr>
          <w:rFonts w:ascii="Verdana" w:hAnsi="Verdana" w:cs="Arial"/>
          <w:bCs/>
          <w:lang w:val="es-MX"/>
        </w:rPr>
      </w:pPr>
      <w:r w:rsidRPr="00BB368C">
        <w:rPr>
          <w:rFonts w:ascii="Verdana" w:eastAsia="Calibri" w:hAnsi="Verdana" w:cs="Arial"/>
        </w:rPr>
        <w:t>No obstante, es importante señalar que el registro y posterior acceso para la gestión de procesos de contratación a través del SECOP II no está limitado, esto significa que, si las Entidades Estatales de manera libre y voluntaria, aun no encontrándose dentro de los listados de los Anexos de las Circulares Externas de obligatoriedad expedidos cada vigencia, desean iniciar con la implementación de la plataforma, pueden hacerlo sin mayor inconveniente.</w:t>
      </w:r>
    </w:p>
    <w:p w14:paraId="21A39E35" w14:textId="40A86034" w:rsidR="0058556C" w:rsidRPr="00BB368C" w:rsidRDefault="00BB368C" w:rsidP="00BB368C">
      <w:pPr>
        <w:spacing w:line="276" w:lineRule="auto"/>
        <w:jc w:val="both"/>
        <w:rPr>
          <w:rFonts w:ascii="Verdana" w:hAnsi="Verdana" w:cs="Arial"/>
          <w:bdr w:val="none" w:sz="0" w:space="0" w:color="auto" w:frame="1"/>
          <w:shd w:val="clear" w:color="auto" w:fill="FFFFFF"/>
          <w:lang w:val="es-ES" w:eastAsia="es-ES"/>
        </w:rPr>
      </w:pPr>
      <w:r w:rsidRPr="00BB368C">
        <w:rPr>
          <w:rFonts w:ascii="Verdana" w:hAnsi="Verdana" w:cs="Arial"/>
          <w:bdr w:val="none" w:sz="0" w:space="0" w:color="auto" w:frame="1"/>
          <w:shd w:val="clear" w:color="auto" w:fill="FFFFFF"/>
          <w:lang w:val="es-ES_tradnl" w:eastAsia="es-ES_tradnl"/>
        </w:rPr>
        <w:tab/>
      </w:r>
      <w:r w:rsidR="00B37865">
        <w:rPr>
          <w:rFonts w:ascii="Verdana" w:hAnsi="Verdana" w:cs="Arial"/>
          <w:bdr w:val="none" w:sz="0" w:space="0" w:color="auto" w:frame="1"/>
          <w:shd w:val="clear" w:color="auto" w:fill="FFFFFF"/>
          <w:lang w:val="es-ES_tradnl" w:eastAsia="es-ES_tradnl"/>
        </w:rPr>
        <w:t>En este sentido, es preciso</w:t>
      </w:r>
      <w:r>
        <w:rPr>
          <w:rFonts w:ascii="Verdana" w:hAnsi="Verdana" w:cs="Arial"/>
          <w:bdr w:val="none" w:sz="0" w:space="0" w:color="auto" w:frame="1"/>
          <w:shd w:val="clear" w:color="auto" w:fill="FFFFFF"/>
          <w:lang w:val="es-ES_tradnl" w:eastAsia="es-ES_tradnl"/>
        </w:rPr>
        <w:t xml:space="preserve"> reiterar que e</w:t>
      </w:r>
      <w:r w:rsidRPr="00BB368C">
        <w:rPr>
          <w:rFonts w:ascii="Verdana" w:hAnsi="Verdana" w:cs="Arial"/>
          <w:bdr w:val="none" w:sz="0" w:space="0" w:color="auto" w:frame="1"/>
          <w:shd w:val="clear" w:color="auto" w:fill="FFFFFF"/>
          <w:lang w:val="es-ES_tradnl" w:eastAsia="es-ES_tradnl"/>
        </w:rPr>
        <w:t xml:space="preserve">l artículo 53 de la </w:t>
      </w:r>
      <w:r w:rsidR="000F54F8" w:rsidRPr="000F54F8">
        <w:rPr>
          <w:rFonts w:ascii="Verdana" w:hAnsi="Verdana" w:cs="Arial"/>
          <w:bdr w:val="none" w:sz="0" w:space="0" w:color="auto" w:frame="1"/>
          <w:shd w:val="clear" w:color="auto" w:fill="FFFFFF"/>
          <w:lang w:val="es-ES_tradnl" w:eastAsia="es-ES_tradnl"/>
        </w:rPr>
        <w:t>Ley 2195 del 2022</w:t>
      </w:r>
      <w:r w:rsidRPr="00BB368C">
        <w:rPr>
          <w:rFonts w:ascii="Verdana" w:hAnsi="Verdana" w:cs="Arial"/>
          <w:bdr w:val="none" w:sz="0" w:space="0" w:color="auto" w:frame="1"/>
          <w:shd w:val="clear" w:color="auto" w:fill="FFFFFF"/>
          <w:lang w:val="es-ES_tradnl" w:eastAsia="es-ES_tradnl"/>
        </w:rPr>
        <w:t xml:space="preserve">, obligó a las Entidades Estatales de régimen contractual excepcional al del </w:t>
      </w:r>
      <w:r w:rsidR="008402DD">
        <w:rPr>
          <w:rFonts w:ascii="Verdana" w:hAnsi="Verdana" w:cs="Arial"/>
          <w:bdr w:val="none" w:sz="0" w:space="0" w:color="auto" w:frame="1"/>
          <w:shd w:val="clear" w:color="auto" w:fill="FFFFFF"/>
          <w:lang w:val="es-ES_tradnl" w:eastAsia="es-ES_tradnl"/>
        </w:rPr>
        <w:t>EGCAP</w:t>
      </w:r>
      <w:r w:rsidRPr="00BB368C">
        <w:rPr>
          <w:rFonts w:ascii="Verdana" w:hAnsi="Verdana" w:cs="Arial"/>
          <w:bdr w:val="none" w:sz="0" w:space="0" w:color="auto" w:frame="1"/>
          <w:shd w:val="clear" w:color="auto" w:fill="FFFFFF"/>
          <w:lang w:val="es-ES_tradnl" w:eastAsia="es-ES_tradnl"/>
        </w:rPr>
        <w:t xml:space="preserve"> a publicar los documentos relacionados con su actividad contractual – es </w:t>
      </w:r>
      <w:r w:rsidRPr="00BB368C">
        <w:rPr>
          <w:rFonts w:ascii="Verdana" w:hAnsi="Verdana" w:cs="Arial"/>
          <w:bdr w:val="none" w:sz="0" w:space="0" w:color="auto" w:frame="1"/>
          <w:shd w:val="clear" w:color="auto" w:fill="FFFFFF"/>
          <w:lang w:val="es-ES_tradnl" w:eastAsia="es-ES_tradnl"/>
        </w:rPr>
        <w:lastRenderedPageBreak/>
        <w:t xml:space="preserve">decir, los expedidos tanto en la etapa precontractual, como en la contractual y la </w:t>
      </w:r>
      <w:proofErr w:type="spellStart"/>
      <w:r w:rsidRPr="00BB368C">
        <w:rPr>
          <w:rFonts w:ascii="Verdana" w:hAnsi="Verdana" w:cs="Arial"/>
          <w:bdr w:val="none" w:sz="0" w:space="0" w:color="auto" w:frame="1"/>
          <w:shd w:val="clear" w:color="auto" w:fill="FFFFFF"/>
          <w:lang w:val="es-ES_tradnl" w:eastAsia="es-ES_tradnl"/>
        </w:rPr>
        <w:t>postcontractual</w:t>
      </w:r>
      <w:proofErr w:type="spellEnd"/>
      <w:r w:rsidRPr="00BB368C">
        <w:rPr>
          <w:rFonts w:ascii="Verdana" w:hAnsi="Verdana" w:cs="Arial"/>
          <w:bdr w:val="none" w:sz="0" w:space="0" w:color="auto" w:frame="1"/>
          <w:shd w:val="clear" w:color="auto" w:fill="FFFFFF"/>
          <w:lang w:val="es-ES_tradnl" w:eastAsia="es-ES_tradnl"/>
        </w:rPr>
        <w:t xml:space="preserve"> – en el SECOP II o la plataforma transaccional que haga sus veces, salvo información sujeta a reserva</w:t>
      </w:r>
      <w:r w:rsidR="00952509" w:rsidRPr="00BB368C">
        <w:rPr>
          <w:rFonts w:ascii="Verdana" w:hAnsi="Verdana" w:cs="Arial"/>
          <w:bdr w:val="none" w:sz="0" w:space="0" w:color="auto" w:frame="1"/>
          <w:shd w:val="clear" w:color="auto" w:fill="FFFFFF"/>
          <w:lang w:val="es-ES" w:eastAsia="es-ES"/>
        </w:rPr>
        <w:t>.</w:t>
      </w:r>
    </w:p>
    <w:p w14:paraId="6FD19364" w14:textId="77777777" w:rsidR="003245E8" w:rsidRPr="00BB368C" w:rsidRDefault="003245E8" w:rsidP="003245E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B368C">
        <w:rPr>
          <w:rFonts w:ascii="Verdana" w:eastAsia="Century Gothic" w:hAnsi="Verdana" w:cs="Century Gothic"/>
          <w:b/>
          <w:bCs/>
        </w:rPr>
        <w:t>Referencias normativas, jurisprudenciales y otras fuentes:</w:t>
      </w:r>
    </w:p>
    <w:p w14:paraId="56105884" w14:textId="77777777" w:rsidR="003245E8" w:rsidRPr="00BB368C" w:rsidRDefault="003245E8" w:rsidP="003245E8">
      <w:pPr>
        <w:spacing w:after="0" w:line="276" w:lineRule="auto"/>
        <w:ind w:right="709"/>
        <w:jc w:val="both"/>
        <w:textAlignment w:val="baseline"/>
        <w:rPr>
          <w:rFonts w:ascii="Verdana" w:eastAsia="Times New Roman" w:hAnsi="Verdana" w:cs="Arial"/>
          <w:bCs/>
          <w:lang w:val="es-ES_tradnl" w:eastAsia="es-CO"/>
        </w:rPr>
      </w:pPr>
    </w:p>
    <w:p w14:paraId="4C209D17" w14:textId="461B4F6E" w:rsidR="003245E8" w:rsidRPr="00BB368C" w:rsidRDefault="003245E8" w:rsidP="003245E8">
      <w:pPr>
        <w:pStyle w:val="Prrafodelista"/>
        <w:numPr>
          <w:ilvl w:val="0"/>
          <w:numId w:val="19"/>
        </w:numPr>
        <w:spacing w:after="120" w:line="276" w:lineRule="auto"/>
        <w:ind w:left="851"/>
        <w:jc w:val="both"/>
        <w:rPr>
          <w:rFonts w:ascii="Verdana" w:hAnsi="Verdana" w:cs="Arial"/>
          <w:color w:val="000000" w:themeColor="text1"/>
          <w:lang w:val="es-ES_tradnl"/>
        </w:rPr>
      </w:pPr>
      <w:r w:rsidRPr="00BB368C">
        <w:rPr>
          <w:rFonts w:ascii="Verdana" w:hAnsi="Verdana" w:cs="Arial"/>
          <w:color w:val="000000" w:themeColor="text1"/>
          <w:lang w:val="es-ES_tradnl"/>
        </w:rPr>
        <w:t xml:space="preserve">Constitución Política de Colombia, </w:t>
      </w:r>
      <w:r w:rsidR="000B1CB6" w:rsidRPr="00BB368C">
        <w:rPr>
          <w:rFonts w:ascii="Verdana" w:hAnsi="Verdana" w:cs="Arial"/>
          <w:color w:val="000000" w:themeColor="text1"/>
          <w:lang w:val="es-ES_tradnl"/>
        </w:rPr>
        <w:t>artículo 74,</w:t>
      </w:r>
      <w:r w:rsidRPr="00BB368C">
        <w:rPr>
          <w:rFonts w:ascii="Verdana" w:hAnsi="Verdana" w:cs="Arial"/>
          <w:color w:val="000000" w:themeColor="text1"/>
          <w:lang w:val="es-ES_tradnl"/>
        </w:rPr>
        <w:t xml:space="preserve">artículo </w:t>
      </w:r>
      <w:r w:rsidR="004566DE" w:rsidRPr="00BB368C">
        <w:rPr>
          <w:rFonts w:ascii="Verdana" w:hAnsi="Verdana" w:cs="Arial"/>
          <w:color w:val="000000" w:themeColor="text1"/>
          <w:lang w:val="es-ES_tradnl"/>
        </w:rPr>
        <w:t>209</w:t>
      </w:r>
      <w:r w:rsidRPr="00BB368C">
        <w:rPr>
          <w:rFonts w:ascii="Verdana" w:hAnsi="Verdana" w:cs="Arial"/>
          <w:color w:val="000000" w:themeColor="text1"/>
          <w:lang w:val="es-ES_tradnl"/>
        </w:rPr>
        <w:t>. Disponible en:</w:t>
      </w:r>
      <w:r w:rsidRPr="00BB368C">
        <w:rPr>
          <w:rFonts w:ascii="Verdana" w:hAnsi="Verdana"/>
        </w:rPr>
        <w:t xml:space="preserve"> </w:t>
      </w:r>
      <w:hyperlink r:id="rId12" w:history="1">
        <w:r w:rsidRPr="00BB368C">
          <w:rPr>
            <w:rStyle w:val="Hipervnculo"/>
            <w:rFonts w:ascii="Verdana" w:hAnsi="Verdana"/>
          </w:rPr>
          <w:t>https://relatoria.colombiacompra.gov.co/normativa/constitucion-politica-de-colombia/</w:t>
        </w:r>
      </w:hyperlink>
    </w:p>
    <w:p w14:paraId="1A374CBB" w14:textId="77777777" w:rsidR="003245E8" w:rsidRPr="00BB368C" w:rsidRDefault="003245E8" w:rsidP="003245E8">
      <w:pPr>
        <w:pStyle w:val="Prrafodelista"/>
        <w:spacing w:after="120" w:line="276" w:lineRule="auto"/>
        <w:ind w:left="851"/>
        <w:jc w:val="both"/>
        <w:rPr>
          <w:rFonts w:ascii="Verdana" w:hAnsi="Verdana" w:cs="Arial"/>
          <w:color w:val="000000" w:themeColor="text1"/>
          <w:lang w:val="es-ES_tradnl"/>
        </w:rPr>
      </w:pPr>
    </w:p>
    <w:p w14:paraId="56875F73" w14:textId="4B247115" w:rsidR="003245E8" w:rsidRPr="00BB368C" w:rsidRDefault="003245E8" w:rsidP="003245E8">
      <w:pPr>
        <w:pStyle w:val="Prrafodelista"/>
        <w:numPr>
          <w:ilvl w:val="0"/>
          <w:numId w:val="19"/>
        </w:numPr>
        <w:spacing w:after="120" w:line="276" w:lineRule="auto"/>
        <w:ind w:left="851"/>
        <w:jc w:val="both"/>
        <w:rPr>
          <w:rFonts w:ascii="Verdana" w:hAnsi="Verdana" w:cs="Arial"/>
          <w:color w:val="000000" w:themeColor="text1"/>
          <w:lang w:val="es-ES_tradnl"/>
        </w:rPr>
      </w:pPr>
      <w:r w:rsidRPr="00BB368C">
        <w:rPr>
          <w:rFonts w:ascii="Verdana" w:hAnsi="Verdana" w:cs="Arial"/>
          <w:color w:val="000000" w:themeColor="text1"/>
          <w:lang w:val="es-ES_tradnl"/>
        </w:rPr>
        <w:t>Ley 1150 de 2007, artículo 3</w:t>
      </w:r>
      <w:r w:rsidR="00A849FB" w:rsidRPr="00BB368C">
        <w:rPr>
          <w:rFonts w:ascii="Verdana" w:hAnsi="Verdana" w:cs="Arial"/>
          <w:color w:val="000000" w:themeColor="text1"/>
          <w:lang w:val="es-ES_tradnl"/>
        </w:rPr>
        <w:t>, artículo 13</w:t>
      </w:r>
      <w:r w:rsidRPr="00BB368C">
        <w:rPr>
          <w:rFonts w:ascii="Verdana" w:hAnsi="Verdana" w:cs="Arial"/>
          <w:color w:val="000000" w:themeColor="text1"/>
          <w:lang w:val="es-ES_tradnl"/>
        </w:rPr>
        <w:t xml:space="preserve">: Disponible en: </w:t>
      </w:r>
      <w:hyperlink r:id="rId13" w:history="1">
        <w:r w:rsidRPr="00BB368C">
          <w:rPr>
            <w:rStyle w:val="Hipervnculo"/>
            <w:rFonts w:ascii="Verdana" w:hAnsi="Verdana" w:cs="Arial"/>
            <w:lang w:val="es-ES_tradnl"/>
          </w:rPr>
          <w:t>https://relatoria.colombiacompra.gov.co/normativa/ley-1150-de-2007/</w:t>
        </w:r>
      </w:hyperlink>
    </w:p>
    <w:p w14:paraId="22659D7D" w14:textId="77777777" w:rsidR="003245E8" w:rsidRPr="00BB368C" w:rsidRDefault="003245E8" w:rsidP="003245E8">
      <w:pPr>
        <w:pStyle w:val="Prrafodelista"/>
        <w:rPr>
          <w:rFonts w:ascii="Verdana" w:hAnsi="Verdana" w:cs="Arial"/>
          <w:color w:val="000000" w:themeColor="text1"/>
          <w:lang w:val="es-ES_tradnl"/>
        </w:rPr>
      </w:pPr>
    </w:p>
    <w:p w14:paraId="078A4469" w14:textId="30738B3D" w:rsidR="00A849FB" w:rsidRPr="00BB368C" w:rsidRDefault="003245E8" w:rsidP="0076457C">
      <w:pPr>
        <w:pStyle w:val="Prrafodelista"/>
        <w:numPr>
          <w:ilvl w:val="0"/>
          <w:numId w:val="19"/>
        </w:numPr>
        <w:spacing w:after="120" w:line="276" w:lineRule="auto"/>
        <w:ind w:left="851"/>
        <w:jc w:val="both"/>
        <w:rPr>
          <w:rFonts w:ascii="Verdana" w:hAnsi="Verdana" w:cs="Arial"/>
          <w:color w:val="000000" w:themeColor="text1"/>
          <w:lang w:val="es-ES_tradnl"/>
        </w:rPr>
      </w:pPr>
      <w:r w:rsidRPr="00BB368C">
        <w:rPr>
          <w:rFonts w:ascii="Verdana" w:hAnsi="Verdana" w:cs="Arial"/>
          <w:color w:val="000000" w:themeColor="text1"/>
          <w:lang w:val="es-ES_tradnl"/>
        </w:rPr>
        <w:t xml:space="preserve">Ley </w:t>
      </w:r>
      <w:r w:rsidR="006577FC" w:rsidRPr="00BB368C">
        <w:rPr>
          <w:rFonts w:ascii="Verdana" w:hAnsi="Verdana" w:cs="Arial"/>
          <w:color w:val="000000" w:themeColor="text1"/>
          <w:lang w:val="es-ES_tradnl"/>
        </w:rPr>
        <w:t>1712 de 2014,</w:t>
      </w:r>
      <w:r w:rsidRPr="00BB368C">
        <w:rPr>
          <w:rFonts w:ascii="Verdana" w:hAnsi="Verdana" w:cs="Arial"/>
          <w:color w:val="000000" w:themeColor="text1"/>
          <w:lang w:val="es-ES_tradnl"/>
        </w:rPr>
        <w:t xml:space="preserve"> </w:t>
      </w:r>
      <w:r w:rsidR="00A849FB" w:rsidRPr="00BB368C">
        <w:rPr>
          <w:rFonts w:ascii="Verdana" w:hAnsi="Verdana" w:cs="Arial"/>
          <w:color w:val="000000" w:themeColor="text1"/>
          <w:lang w:val="es-ES_tradnl"/>
        </w:rPr>
        <w:t xml:space="preserve">artículo 5, </w:t>
      </w:r>
      <w:r w:rsidRPr="00BB368C">
        <w:rPr>
          <w:rFonts w:ascii="Verdana" w:hAnsi="Verdana" w:cs="Arial"/>
          <w:color w:val="000000" w:themeColor="text1"/>
          <w:lang w:val="es-ES_tradnl"/>
        </w:rPr>
        <w:t>artículo 9</w:t>
      </w:r>
      <w:r w:rsidR="00A849FB" w:rsidRPr="00BB368C">
        <w:rPr>
          <w:rFonts w:ascii="Verdana" w:hAnsi="Verdana" w:cs="Arial"/>
          <w:color w:val="000000" w:themeColor="text1"/>
          <w:lang w:val="es-ES_tradnl"/>
        </w:rPr>
        <w:t xml:space="preserve"> literal e, artículo 11 </w:t>
      </w:r>
      <w:r w:rsidR="00A849FB" w:rsidRPr="00BB368C">
        <w:rPr>
          <w:rFonts w:ascii="Verdana" w:hAnsi="Verdana" w:cs="Arial"/>
          <w:lang w:eastAsia="es-CO"/>
        </w:rPr>
        <w:t>literal g)</w:t>
      </w:r>
      <w:r w:rsidRPr="00BB368C">
        <w:rPr>
          <w:rFonts w:ascii="Verdana" w:hAnsi="Verdana" w:cs="Arial"/>
          <w:color w:val="000000" w:themeColor="text1"/>
          <w:lang w:val="es-ES_tradnl"/>
        </w:rPr>
        <w:t xml:space="preserve">. Disponible en: </w:t>
      </w:r>
      <w:hyperlink r:id="rId14" w:history="1">
        <w:r w:rsidR="000E12BD" w:rsidRPr="00BB368C">
          <w:rPr>
            <w:rStyle w:val="Hipervnculo"/>
            <w:rFonts w:ascii="Verdana" w:hAnsi="Verdana" w:cs="Arial"/>
            <w:lang w:val="es-ES_tradnl"/>
          </w:rPr>
          <w:t>https://relatoria.colombiacompra.gov.co/normativa/ley-1712-de-2014/</w:t>
        </w:r>
      </w:hyperlink>
    </w:p>
    <w:p w14:paraId="5BB17296" w14:textId="77777777" w:rsidR="000E12BD" w:rsidRPr="00BB368C" w:rsidRDefault="000E12BD" w:rsidP="000E12BD">
      <w:pPr>
        <w:pStyle w:val="Prrafodelista"/>
        <w:rPr>
          <w:rFonts w:ascii="Verdana" w:hAnsi="Verdana" w:cs="Arial"/>
          <w:color w:val="000000" w:themeColor="text1"/>
          <w:lang w:val="es-ES_tradnl"/>
        </w:rPr>
      </w:pPr>
    </w:p>
    <w:p w14:paraId="0660B2A8" w14:textId="07AE6B3C" w:rsidR="00A849FB" w:rsidRPr="00BB368C" w:rsidRDefault="00A849FB" w:rsidP="003245E8">
      <w:pPr>
        <w:pStyle w:val="Prrafodelista"/>
        <w:numPr>
          <w:ilvl w:val="0"/>
          <w:numId w:val="19"/>
        </w:numPr>
        <w:spacing w:after="120" w:line="276" w:lineRule="auto"/>
        <w:ind w:left="851"/>
        <w:jc w:val="both"/>
        <w:rPr>
          <w:rFonts w:ascii="Verdana" w:hAnsi="Verdana" w:cs="Arial"/>
          <w:color w:val="000000" w:themeColor="text1"/>
          <w:lang w:val="es-ES_tradnl"/>
        </w:rPr>
      </w:pPr>
      <w:r w:rsidRPr="00BB368C">
        <w:rPr>
          <w:rFonts w:ascii="Verdana" w:hAnsi="Verdana" w:cs="Arial"/>
          <w:color w:val="000000" w:themeColor="text1"/>
          <w:lang w:val="es-ES_tradnl"/>
        </w:rPr>
        <w:t>Ley 2195 de 2022, artículo 1, artículo 53</w:t>
      </w:r>
      <w:r w:rsidR="000E12BD" w:rsidRPr="00BB368C">
        <w:rPr>
          <w:rFonts w:ascii="Verdana" w:hAnsi="Verdana" w:cs="Arial"/>
          <w:color w:val="000000" w:themeColor="text1"/>
          <w:lang w:val="es-ES_tradnl"/>
        </w:rPr>
        <w:t xml:space="preserve">. Disponible en: </w:t>
      </w:r>
      <w:hyperlink r:id="rId15" w:history="1">
        <w:r w:rsidR="00FF5352" w:rsidRPr="00BB368C">
          <w:rPr>
            <w:rStyle w:val="Hipervnculo"/>
            <w:rFonts w:ascii="Verdana" w:hAnsi="Verdana" w:cs="Arial"/>
            <w:lang w:val="es-ES_tradnl"/>
          </w:rPr>
          <w:t>https://relatoria.colombiacompra.gov.co/normativa/ley-2195-de-2022/</w:t>
        </w:r>
      </w:hyperlink>
    </w:p>
    <w:p w14:paraId="49547EE4" w14:textId="77777777" w:rsidR="00FF5352" w:rsidRPr="00BB368C" w:rsidRDefault="00FF5352" w:rsidP="00FF5352">
      <w:pPr>
        <w:pStyle w:val="Prrafodelista"/>
        <w:rPr>
          <w:rFonts w:ascii="Verdana" w:hAnsi="Verdana" w:cs="Arial"/>
          <w:color w:val="000000" w:themeColor="text1"/>
          <w:lang w:val="es-ES_tradnl"/>
        </w:rPr>
      </w:pPr>
    </w:p>
    <w:p w14:paraId="69FF03DD" w14:textId="77687DC8" w:rsidR="003245E8" w:rsidRPr="00D01225" w:rsidRDefault="00A849FB" w:rsidP="003245E8">
      <w:pPr>
        <w:pStyle w:val="Prrafodelista"/>
        <w:numPr>
          <w:ilvl w:val="0"/>
          <w:numId w:val="19"/>
        </w:numPr>
        <w:spacing w:after="120" w:line="276" w:lineRule="auto"/>
        <w:ind w:left="851"/>
        <w:jc w:val="both"/>
        <w:rPr>
          <w:rStyle w:val="Hipervnculo"/>
          <w:rFonts w:ascii="Verdana" w:hAnsi="Verdana" w:cs="Arial"/>
          <w:color w:val="000000" w:themeColor="text1"/>
          <w:u w:val="none"/>
          <w:lang w:val="es-ES_tradnl"/>
        </w:rPr>
      </w:pPr>
      <w:r w:rsidRPr="00BB368C">
        <w:rPr>
          <w:rFonts w:ascii="Verdana" w:hAnsi="Verdana" w:cs="Arial"/>
          <w:color w:val="000000" w:themeColor="text1"/>
          <w:lang w:val="es-ES_tradnl"/>
        </w:rPr>
        <w:t xml:space="preserve">Decreto 1082 de 2015, artículo </w:t>
      </w:r>
      <w:r w:rsidRPr="00BB368C">
        <w:rPr>
          <w:rFonts w:ascii="Verdana" w:hAnsi="Verdana" w:cs="Arial"/>
          <w:bCs/>
          <w:lang w:val="es-MX"/>
        </w:rPr>
        <w:t xml:space="preserve">2.1.1.2.1.7. Disponible en: </w:t>
      </w:r>
      <w:hyperlink r:id="rId16" w:history="1">
        <w:r w:rsidR="002F3E87" w:rsidRPr="00BB368C">
          <w:rPr>
            <w:rStyle w:val="Hipervnculo"/>
            <w:rFonts w:ascii="Verdana" w:hAnsi="Verdana" w:cs="Arial"/>
            <w:bCs/>
            <w:lang w:val="es-MX"/>
          </w:rPr>
          <w:t>https://relatoria.colombiacompra.gov.co/normativa/decreto-1082-de-2015/</w:t>
        </w:r>
      </w:hyperlink>
    </w:p>
    <w:p w14:paraId="68DDCEAB" w14:textId="77777777" w:rsidR="00D01225" w:rsidRPr="00D01225" w:rsidRDefault="00D01225" w:rsidP="00D01225">
      <w:pPr>
        <w:pStyle w:val="Prrafodelista"/>
        <w:rPr>
          <w:rFonts w:ascii="Verdana" w:hAnsi="Verdana" w:cs="Arial"/>
          <w:color w:val="000000" w:themeColor="text1"/>
          <w:lang w:val="es-ES_tradnl"/>
        </w:rPr>
      </w:pPr>
    </w:p>
    <w:p w14:paraId="7BA0F4D7" w14:textId="5FE4ACCD" w:rsidR="00D01225" w:rsidRDefault="00913D0B" w:rsidP="1C160144">
      <w:pPr>
        <w:pStyle w:val="Prrafodelista"/>
        <w:numPr>
          <w:ilvl w:val="0"/>
          <w:numId w:val="19"/>
        </w:numPr>
        <w:spacing w:after="120" w:line="276" w:lineRule="auto"/>
        <w:ind w:left="851"/>
        <w:jc w:val="both"/>
        <w:rPr>
          <w:rFonts w:ascii="Verdana" w:hAnsi="Verdana" w:cs="Arial"/>
          <w:color w:val="000000" w:themeColor="text1"/>
        </w:rPr>
      </w:pPr>
      <w:r w:rsidRPr="1C160144">
        <w:rPr>
          <w:rFonts w:ascii="Verdana" w:hAnsi="Verdana" w:cs="Arial"/>
          <w:color w:val="000000" w:themeColor="text1"/>
        </w:rPr>
        <w:t>Circular externa N° 002 de 2024</w:t>
      </w:r>
      <w:r w:rsidR="005E668D" w:rsidRPr="1C160144">
        <w:rPr>
          <w:rFonts w:ascii="Verdana" w:hAnsi="Verdana" w:cs="Arial"/>
          <w:color w:val="000000" w:themeColor="text1"/>
        </w:rPr>
        <w:t xml:space="preserve">. Disponible en: </w:t>
      </w:r>
      <w:hyperlink r:id="rId17">
        <w:r w:rsidR="0058765F" w:rsidRPr="1C160144">
          <w:rPr>
            <w:rStyle w:val="Hipervnculo"/>
            <w:rFonts w:ascii="Verdana" w:hAnsi="Verdana" w:cs="Arial"/>
          </w:rPr>
          <w:t>https://www.colombiacompra.gov.co/sites/cce_public/files/cce_circulares/doc-20240823-wa0021.pdf</w:t>
        </w:r>
      </w:hyperlink>
    </w:p>
    <w:p w14:paraId="62C61CFF" w14:textId="77777777" w:rsidR="0058765F" w:rsidRPr="0058765F" w:rsidRDefault="0058765F" w:rsidP="0058765F">
      <w:pPr>
        <w:pStyle w:val="Prrafodelista"/>
        <w:rPr>
          <w:rFonts w:ascii="Verdana" w:hAnsi="Verdana" w:cs="Arial"/>
          <w:color w:val="000000" w:themeColor="text1"/>
          <w:lang w:val="es-ES_tradnl"/>
        </w:rPr>
      </w:pPr>
    </w:p>
    <w:p w14:paraId="061A19CB" w14:textId="78D57632" w:rsidR="003245E8" w:rsidRPr="00BB368C" w:rsidRDefault="00451926" w:rsidP="003245E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Pr>
          <w:rFonts w:ascii="Verdana" w:eastAsia="Century Gothic" w:hAnsi="Verdana" w:cs="Century Gothic"/>
          <w:b/>
          <w:bCs/>
        </w:rPr>
        <w:t xml:space="preserve"> </w:t>
      </w:r>
      <w:r w:rsidR="003245E8" w:rsidRPr="00BB368C">
        <w:rPr>
          <w:rFonts w:ascii="Verdana" w:eastAsia="Century Gothic" w:hAnsi="Verdana" w:cs="Century Gothic"/>
          <w:b/>
          <w:bCs/>
        </w:rPr>
        <w:t>Doctrina de la Agencia Nacional de Contratación Pública:</w:t>
      </w:r>
    </w:p>
    <w:p w14:paraId="325C3C3E" w14:textId="77777777" w:rsidR="003245E8" w:rsidRPr="00BB368C" w:rsidRDefault="003245E8" w:rsidP="003245E8">
      <w:pPr>
        <w:widowControl w:val="0"/>
        <w:autoSpaceDE w:val="0"/>
        <w:autoSpaceDN w:val="0"/>
        <w:spacing w:after="0" w:line="276" w:lineRule="auto"/>
        <w:jc w:val="both"/>
        <w:rPr>
          <w:rFonts w:ascii="Verdana" w:hAnsi="Verdana" w:cs="Arial"/>
          <w:color w:val="000000" w:themeColor="text1"/>
          <w:lang w:val="es-ES_tradnl"/>
        </w:rPr>
      </w:pPr>
    </w:p>
    <w:p w14:paraId="4314EE37" w14:textId="351C112E" w:rsidR="00604A7F" w:rsidRPr="000E7258" w:rsidRDefault="00BC5527" w:rsidP="000E7258">
      <w:pPr>
        <w:spacing w:after="0" w:line="276" w:lineRule="auto"/>
        <w:jc w:val="both"/>
        <w:rPr>
          <w:rFonts w:ascii="Verdana" w:eastAsia="Calibri" w:hAnsi="Verdana" w:cs="Arial"/>
          <w:color w:val="000000"/>
          <w:szCs w:val="24"/>
          <w:lang w:val="es-ES"/>
        </w:rPr>
      </w:pPr>
      <w:r w:rsidRPr="00BB368C">
        <w:rPr>
          <w:rFonts w:ascii="Verdana" w:eastAsia="Calibri" w:hAnsi="Verdana" w:cs="Arial"/>
          <w:color w:val="000000"/>
          <w:szCs w:val="24"/>
          <w:lang w:val="es-ES"/>
        </w:rPr>
        <w:t>La Agencia Nacional de Contratación Pública – Colombia Compra Eficiente, analizó el deber de publicar la documentación contractual en las Sistema Electrónico de Contratación Pública–SECOP,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w:t>
      </w:r>
      <w:r w:rsidRPr="00BB368C">
        <w:rPr>
          <w:rFonts w:ascii="Verdana" w:eastAsia="Calibri" w:hAnsi="Verdana" w:cs="Arial"/>
          <w:color w:val="000000"/>
          <w:szCs w:val="24"/>
          <w:lang w:val="es-ES"/>
        </w:rPr>
        <w:lastRenderedPageBreak/>
        <w:t>460 del 30 de noviembre de 2023</w:t>
      </w:r>
      <w:r w:rsidR="00B8701B" w:rsidRPr="00BB368C">
        <w:rPr>
          <w:rFonts w:ascii="Verdana" w:eastAsia="Calibri" w:hAnsi="Verdana" w:cs="Arial"/>
          <w:color w:val="000000"/>
          <w:szCs w:val="24"/>
          <w:lang w:val="es-ES"/>
        </w:rPr>
        <w:t>,</w:t>
      </w:r>
      <w:r w:rsidRPr="00BB368C">
        <w:rPr>
          <w:rFonts w:ascii="Verdana" w:eastAsia="Calibri" w:hAnsi="Verdana" w:cs="Arial"/>
          <w:color w:val="000000"/>
          <w:szCs w:val="24"/>
          <w:lang w:val="es-ES"/>
        </w:rPr>
        <w:t xml:space="preserve"> C-284 del 08 de julio de 202</w:t>
      </w:r>
      <w:r w:rsidR="00B8701B" w:rsidRPr="00BB368C">
        <w:rPr>
          <w:rFonts w:ascii="Verdana" w:eastAsia="Calibri" w:hAnsi="Verdana" w:cs="Arial"/>
          <w:color w:val="000000"/>
          <w:szCs w:val="24"/>
          <w:lang w:val="es-ES"/>
        </w:rPr>
        <w:t xml:space="preserve">4 y </w:t>
      </w:r>
      <w:r w:rsidR="00B834EB" w:rsidRPr="00BB368C">
        <w:rPr>
          <w:rFonts w:ascii="Verdana" w:eastAsia="Calibri" w:hAnsi="Verdana" w:cs="Arial"/>
          <w:color w:val="000000"/>
          <w:szCs w:val="24"/>
          <w:lang w:val="es-ES"/>
        </w:rPr>
        <w:t>C-</w:t>
      </w:r>
      <w:r w:rsidR="00442BF6" w:rsidRPr="00BB368C">
        <w:rPr>
          <w:rFonts w:ascii="Verdana" w:eastAsia="Calibri" w:hAnsi="Verdana" w:cs="Arial"/>
          <w:color w:val="000000"/>
          <w:szCs w:val="24"/>
          <w:lang w:val="es-ES"/>
        </w:rPr>
        <w:t xml:space="preserve">316 del </w:t>
      </w:r>
      <w:r w:rsidR="002364B8" w:rsidRPr="00BB368C">
        <w:rPr>
          <w:rFonts w:ascii="Verdana" w:eastAsia="Calibri" w:hAnsi="Verdana" w:cs="Arial"/>
          <w:color w:val="000000"/>
          <w:szCs w:val="24"/>
          <w:lang w:val="es-ES"/>
        </w:rPr>
        <w:t>23 de agosto de 2024.</w:t>
      </w:r>
      <w:r w:rsidR="000E7258">
        <w:rPr>
          <w:rFonts w:ascii="Verdana" w:eastAsia="Calibri" w:hAnsi="Verdana" w:cs="Arial"/>
          <w:color w:val="000000"/>
          <w:szCs w:val="24"/>
          <w:lang w:val="es-ES"/>
        </w:rPr>
        <w:t xml:space="preserve"> </w:t>
      </w:r>
      <w:r w:rsidR="00643F37" w:rsidRPr="00BB368C">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00643F37" w:rsidRPr="00BB368C">
        <w:rPr>
          <w:rFonts w:ascii="Verdana" w:hAnsi="Verdana"/>
        </w:rPr>
        <w:t>, accede a través del siguiente enlace:</w:t>
      </w:r>
    </w:p>
    <w:p w14:paraId="60C79683" w14:textId="15038595" w:rsidR="00643F37" w:rsidRPr="00BB368C" w:rsidRDefault="006914E1" w:rsidP="00643F37">
      <w:pPr>
        <w:widowControl w:val="0"/>
        <w:autoSpaceDE w:val="0"/>
        <w:autoSpaceDN w:val="0"/>
        <w:spacing w:after="0" w:line="276" w:lineRule="auto"/>
        <w:jc w:val="both"/>
        <w:rPr>
          <w:rStyle w:val="normaltextrun"/>
          <w:rFonts w:ascii="Verdana" w:hAnsi="Verdana"/>
        </w:rPr>
      </w:pPr>
      <w:hyperlink r:id="rId18" w:history="1">
        <w:r w:rsidR="00643F37" w:rsidRPr="00BB368C">
          <w:rPr>
            <w:rStyle w:val="Hipervnculo"/>
            <w:rFonts w:ascii="Verdana" w:hAnsi="Verdana" w:cs="Arial"/>
            <w:shd w:val="clear" w:color="auto" w:fill="FFFFFF"/>
            <w:lang w:val="es-ES"/>
          </w:rPr>
          <w:t>https://relatoria.colombiacompra.gov.co/busqueda/conceptos</w:t>
        </w:r>
      </w:hyperlink>
      <w:r w:rsidR="00643F37" w:rsidRPr="00BB368C">
        <w:rPr>
          <w:rStyle w:val="normaltextrun"/>
          <w:rFonts w:ascii="Verdana" w:hAnsi="Verdana" w:cs="Arial"/>
          <w:shd w:val="clear" w:color="auto" w:fill="FFFFFF"/>
        </w:rPr>
        <w:t xml:space="preserve">. </w:t>
      </w:r>
    </w:p>
    <w:p w14:paraId="0DD486A1" w14:textId="77777777" w:rsidR="00643F37" w:rsidRPr="00BB368C" w:rsidRDefault="00643F37" w:rsidP="00643F37">
      <w:pPr>
        <w:widowControl w:val="0"/>
        <w:autoSpaceDE w:val="0"/>
        <w:autoSpaceDN w:val="0"/>
        <w:spacing w:after="0" w:line="276" w:lineRule="auto"/>
        <w:jc w:val="both"/>
        <w:rPr>
          <w:rStyle w:val="normaltextrun"/>
          <w:rFonts w:ascii="Verdana" w:hAnsi="Verdana" w:cs="Arial"/>
          <w:shd w:val="clear" w:color="auto" w:fill="FFFFFF"/>
        </w:rPr>
      </w:pPr>
    </w:p>
    <w:p w14:paraId="6004C30E" w14:textId="63E61C32" w:rsidR="00643F37" w:rsidRPr="00BB368C" w:rsidRDefault="00643F37" w:rsidP="00643F37">
      <w:pPr>
        <w:widowControl w:val="0"/>
        <w:autoSpaceDE w:val="0"/>
        <w:autoSpaceDN w:val="0"/>
        <w:spacing w:after="0" w:line="276" w:lineRule="auto"/>
        <w:jc w:val="both"/>
        <w:rPr>
          <w:rStyle w:val="normaltextrun"/>
          <w:rFonts w:ascii="Verdana" w:hAnsi="Verdana" w:cs="Arial"/>
          <w:shd w:val="clear" w:color="auto" w:fill="FFFFFF"/>
        </w:rPr>
      </w:pPr>
      <w:r w:rsidRPr="00BB368C">
        <w:rPr>
          <w:rStyle w:val="normaltextrun"/>
          <w:rFonts w:ascii="Verdana" w:hAnsi="Verdana" w:cs="Arial"/>
          <w:shd w:val="clear" w:color="auto" w:fill="FFFFFF"/>
        </w:rPr>
        <w:t xml:space="preserve">También te </w:t>
      </w:r>
      <w:r w:rsidRPr="00BB368C">
        <w:rPr>
          <w:rFonts w:ascii="Verdana" w:hAnsi="Verdana" w:cs="Arial"/>
          <w:shd w:val="clear" w:color="auto" w:fill="FFFFFF"/>
        </w:rPr>
        <w:t>invitamos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BB368C">
          <w:rPr>
            <w:rStyle w:val="Hipervnculo"/>
            <w:rFonts w:ascii="Verdana" w:hAnsi="Verdana" w:cs="Arial"/>
            <w:shd w:val="clear" w:color="auto" w:fill="FFFFFF"/>
          </w:rPr>
          <w:t>https://www.colombiacompra.gov.co/sites/cce_public/files/files_2020/boletin_de_realtoria_iii.pdf</w:t>
        </w:r>
      </w:hyperlink>
      <w:r w:rsidRPr="00BB368C">
        <w:rPr>
          <w:rFonts w:ascii="Verdana" w:hAnsi="Verdana" w:cs="Arial"/>
          <w:shd w:val="clear" w:color="auto" w:fill="FFFFFF"/>
        </w:rPr>
        <w:t> ".  </w:t>
      </w:r>
    </w:p>
    <w:p w14:paraId="36CDDE3F" w14:textId="77777777" w:rsidR="00643F37" w:rsidRPr="00BB368C" w:rsidRDefault="00643F37" w:rsidP="00643F37">
      <w:pPr>
        <w:widowControl w:val="0"/>
        <w:autoSpaceDE w:val="0"/>
        <w:autoSpaceDN w:val="0"/>
        <w:spacing w:after="0" w:line="276" w:lineRule="auto"/>
        <w:jc w:val="both"/>
        <w:rPr>
          <w:rFonts w:ascii="Verdana" w:hAnsi="Verdana" w:cs="Arial"/>
          <w:shd w:val="clear" w:color="auto" w:fill="FFFFFF"/>
          <w:lang w:val="es-ES"/>
        </w:rPr>
      </w:pPr>
    </w:p>
    <w:p w14:paraId="12D3D72E" w14:textId="77777777" w:rsidR="00643F37" w:rsidRPr="00BB368C" w:rsidRDefault="00643F37" w:rsidP="00643F37">
      <w:pPr>
        <w:spacing w:after="0" w:line="240" w:lineRule="auto"/>
        <w:jc w:val="both"/>
        <w:rPr>
          <w:rFonts w:ascii="Verdana" w:hAnsi="Verdana"/>
        </w:rPr>
      </w:pPr>
      <w:r w:rsidRPr="00BB368C">
        <w:rPr>
          <w:rFonts w:ascii="Verdana" w:hAnsi="Verdana"/>
        </w:rPr>
        <w:t xml:space="preserve">Por último, lo invitamos a seguirnos en las redes sociales en las cuales se difunde información institucional: </w:t>
      </w:r>
    </w:p>
    <w:p w14:paraId="63F2AD57" w14:textId="77777777" w:rsidR="00643F37" w:rsidRPr="00BB368C" w:rsidRDefault="00643F37" w:rsidP="00643F37">
      <w:pPr>
        <w:spacing w:after="0" w:line="240" w:lineRule="auto"/>
        <w:jc w:val="both"/>
        <w:rPr>
          <w:rFonts w:ascii="Verdana" w:hAnsi="Verdana"/>
        </w:rPr>
      </w:pPr>
    </w:p>
    <w:p w14:paraId="6FF0D432" w14:textId="77777777" w:rsidR="00643F37" w:rsidRPr="00BB368C" w:rsidRDefault="00643F37" w:rsidP="00643F37">
      <w:pPr>
        <w:spacing w:after="0" w:line="240" w:lineRule="auto"/>
        <w:jc w:val="both"/>
        <w:rPr>
          <w:rFonts w:ascii="Verdana" w:hAnsi="Verdana"/>
        </w:rPr>
      </w:pPr>
      <w:r w:rsidRPr="00BB368C">
        <w:rPr>
          <w:rFonts w:ascii="Verdana" w:hAnsi="Verdana"/>
        </w:rPr>
        <w:t xml:space="preserve">Twitter: </w:t>
      </w:r>
      <w:r w:rsidRPr="00BB368C">
        <w:rPr>
          <w:rFonts w:ascii="Verdana" w:hAnsi="Verdana"/>
          <w:u w:val="single"/>
        </w:rPr>
        <w:t>@colombiacompra</w:t>
      </w:r>
      <w:r w:rsidRPr="00BB368C">
        <w:rPr>
          <w:rFonts w:ascii="Verdana" w:hAnsi="Verdana"/>
        </w:rPr>
        <w:t xml:space="preserve"> </w:t>
      </w:r>
    </w:p>
    <w:p w14:paraId="05096A18" w14:textId="77777777" w:rsidR="00643F37" w:rsidRPr="00BB368C" w:rsidRDefault="00643F37" w:rsidP="00643F37">
      <w:pPr>
        <w:spacing w:after="0" w:line="240" w:lineRule="auto"/>
        <w:jc w:val="both"/>
        <w:rPr>
          <w:rFonts w:ascii="Verdana" w:hAnsi="Verdana"/>
        </w:rPr>
      </w:pPr>
      <w:r w:rsidRPr="00BB368C">
        <w:rPr>
          <w:rFonts w:ascii="Verdana" w:hAnsi="Verdana"/>
        </w:rPr>
        <w:t xml:space="preserve">Facebook: </w:t>
      </w:r>
      <w:proofErr w:type="spellStart"/>
      <w:r w:rsidRPr="00BB368C">
        <w:rPr>
          <w:rFonts w:ascii="Verdana" w:hAnsi="Verdana"/>
          <w:u w:val="single"/>
        </w:rPr>
        <w:t>ColombiaCompraEficiente</w:t>
      </w:r>
      <w:proofErr w:type="spellEnd"/>
    </w:p>
    <w:p w14:paraId="5537CBCC" w14:textId="77777777" w:rsidR="00643F37" w:rsidRPr="00BB368C" w:rsidRDefault="00643F37" w:rsidP="00643F37">
      <w:pPr>
        <w:spacing w:after="0" w:line="240" w:lineRule="auto"/>
        <w:jc w:val="both"/>
        <w:rPr>
          <w:rFonts w:ascii="Verdana" w:hAnsi="Verdana"/>
        </w:rPr>
      </w:pPr>
      <w:r w:rsidRPr="00BB368C">
        <w:rPr>
          <w:rFonts w:ascii="Verdana" w:hAnsi="Verdana"/>
        </w:rPr>
        <w:t xml:space="preserve">LinkedIn: </w:t>
      </w:r>
      <w:r w:rsidRPr="00BB368C">
        <w:rPr>
          <w:rFonts w:ascii="Verdana" w:hAnsi="Verdana"/>
          <w:u w:val="single"/>
        </w:rPr>
        <w:t>Agencia Nacional de Contratación Pública - Colombia Compra Eficiente</w:t>
      </w:r>
      <w:r w:rsidRPr="00BB368C">
        <w:rPr>
          <w:rFonts w:ascii="Verdana" w:hAnsi="Verdana"/>
        </w:rPr>
        <w:t xml:space="preserve"> Instagram: </w:t>
      </w:r>
      <w:r w:rsidRPr="00BB368C">
        <w:rPr>
          <w:rFonts w:ascii="Verdana" w:hAnsi="Verdana"/>
          <w:u w:val="single"/>
        </w:rPr>
        <w:t>@colombiacompraeficiente_cce</w:t>
      </w:r>
    </w:p>
    <w:p w14:paraId="589229F9" w14:textId="77777777" w:rsidR="00643F37" w:rsidRPr="00BB368C" w:rsidRDefault="00643F37" w:rsidP="00643F37">
      <w:pPr>
        <w:widowControl w:val="0"/>
        <w:autoSpaceDE w:val="0"/>
        <w:autoSpaceDN w:val="0"/>
        <w:spacing w:after="0" w:line="276" w:lineRule="auto"/>
        <w:jc w:val="both"/>
        <w:rPr>
          <w:rFonts w:ascii="Verdana" w:hAnsi="Verdana" w:cs="Arial"/>
        </w:rPr>
      </w:pPr>
    </w:p>
    <w:p w14:paraId="7A611FA1" w14:textId="77777777" w:rsidR="00643F37" w:rsidRPr="00BB368C" w:rsidRDefault="00643F37" w:rsidP="00643F37">
      <w:pPr>
        <w:spacing w:before="120" w:after="0" w:line="276" w:lineRule="auto"/>
        <w:jc w:val="both"/>
        <w:textAlignment w:val="baseline"/>
        <w:rPr>
          <w:rFonts w:ascii="Verdana" w:eastAsia="Times New Roman" w:hAnsi="Verdana"/>
          <w:bCs/>
          <w:lang w:val="es-ES_tradnl" w:eastAsia="es-CO"/>
        </w:rPr>
      </w:pPr>
      <w:r w:rsidRPr="00BB368C">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BF37F15" w14:textId="77777777" w:rsidR="003245E8" w:rsidRPr="00BB368C" w:rsidRDefault="003245E8" w:rsidP="003245E8">
      <w:pPr>
        <w:spacing w:after="0" w:line="240" w:lineRule="auto"/>
        <w:rPr>
          <w:rFonts w:ascii="Verdana" w:eastAsia="Calibri" w:hAnsi="Verdana"/>
        </w:rPr>
      </w:pPr>
    </w:p>
    <w:p w14:paraId="08977D50" w14:textId="3C4A602C" w:rsidR="003245E8" w:rsidRPr="00BB368C" w:rsidRDefault="003245E8" w:rsidP="004242C4">
      <w:pPr>
        <w:spacing w:after="0" w:line="240" w:lineRule="auto"/>
        <w:rPr>
          <w:rFonts w:ascii="Verdana" w:eastAsia="Times New Roman" w:hAnsi="Verdana" w:cs="Arial"/>
          <w:color w:val="000000"/>
          <w:lang w:val="es-ES_tradnl" w:eastAsia="es-CO"/>
        </w:rPr>
      </w:pPr>
      <w:r w:rsidRPr="00BB368C">
        <w:rPr>
          <w:rFonts w:ascii="Verdana" w:eastAsia="Times New Roman" w:hAnsi="Verdana" w:cs="Arial"/>
          <w:lang w:eastAsia="es-CO"/>
        </w:rPr>
        <w:t>Atentamente,</w:t>
      </w:r>
    </w:p>
    <w:p w14:paraId="36AF0EAD" w14:textId="642B7C82" w:rsidR="003245E8" w:rsidRPr="00BB368C" w:rsidRDefault="00990ABD" w:rsidP="003245E8">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73546B2E" wp14:editId="08A0A96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245E8" w:rsidRPr="00BB368C" w14:paraId="5DB4B1DB" w14:textId="77777777" w:rsidTr="00E42B61">
        <w:trPr>
          <w:trHeight w:val="409"/>
        </w:trPr>
        <w:tc>
          <w:tcPr>
            <w:tcW w:w="817" w:type="dxa"/>
            <w:tcBorders>
              <w:top w:val="nil"/>
              <w:left w:val="nil"/>
              <w:bottom w:val="nil"/>
              <w:right w:val="nil"/>
            </w:tcBorders>
            <w:vAlign w:val="center"/>
            <w:hideMark/>
          </w:tcPr>
          <w:p w14:paraId="74D2C78E" w14:textId="77777777" w:rsidR="003245E8" w:rsidRPr="00BB368C" w:rsidRDefault="003245E8" w:rsidP="00E42B61">
            <w:pPr>
              <w:spacing w:after="0" w:line="240" w:lineRule="auto"/>
              <w:jc w:val="both"/>
              <w:rPr>
                <w:rFonts w:ascii="Verdana" w:hAnsi="Verdana" w:cs="Arial"/>
                <w:sz w:val="16"/>
                <w:szCs w:val="16"/>
              </w:rPr>
            </w:pPr>
            <w:r w:rsidRPr="00BB368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53E8214" w14:textId="77777777" w:rsidR="003245E8" w:rsidRPr="00BB368C" w:rsidRDefault="003245E8" w:rsidP="00E42B61">
            <w:pPr>
              <w:spacing w:after="0" w:line="240" w:lineRule="auto"/>
              <w:jc w:val="both"/>
              <w:rPr>
                <w:rFonts w:ascii="Verdana" w:hAnsi="Verdana" w:cs="Arial"/>
                <w:sz w:val="16"/>
                <w:szCs w:val="16"/>
              </w:rPr>
            </w:pPr>
            <w:r w:rsidRPr="00BB368C">
              <w:rPr>
                <w:rFonts w:ascii="Verdana" w:hAnsi="Verdana" w:cs="Arial"/>
                <w:sz w:val="16"/>
                <w:szCs w:val="16"/>
              </w:rPr>
              <w:t>Gustavo Hinestroza Martínez</w:t>
            </w:r>
          </w:p>
          <w:p w14:paraId="5A111DE5" w14:textId="77777777" w:rsidR="003245E8" w:rsidRPr="00BB368C" w:rsidRDefault="003245E8" w:rsidP="00E42B61">
            <w:pPr>
              <w:spacing w:after="0" w:line="240" w:lineRule="auto"/>
              <w:jc w:val="both"/>
              <w:rPr>
                <w:rFonts w:ascii="Verdana" w:hAnsi="Verdana" w:cs="Arial"/>
                <w:sz w:val="16"/>
                <w:szCs w:val="16"/>
              </w:rPr>
            </w:pPr>
            <w:r w:rsidRPr="00BB368C">
              <w:rPr>
                <w:rFonts w:ascii="Verdana" w:hAnsi="Verdana" w:cs="Arial"/>
                <w:sz w:val="16"/>
                <w:szCs w:val="16"/>
              </w:rPr>
              <w:t>Contratista de la Subdirección de Gestión Contractual</w:t>
            </w:r>
          </w:p>
        </w:tc>
      </w:tr>
      <w:tr w:rsidR="003245E8" w:rsidRPr="00BB368C" w14:paraId="5A121B87" w14:textId="77777777" w:rsidTr="00E42B61">
        <w:trPr>
          <w:trHeight w:val="409"/>
        </w:trPr>
        <w:tc>
          <w:tcPr>
            <w:tcW w:w="817" w:type="dxa"/>
            <w:tcBorders>
              <w:top w:val="nil"/>
              <w:left w:val="nil"/>
              <w:bottom w:val="nil"/>
              <w:right w:val="nil"/>
            </w:tcBorders>
            <w:vAlign w:val="center"/>
            <w:hideMark/>
          </w:tcPr>
          <w:p w14:paraId="78180C53" w14:textId="77777777" w:rsidR="003245E8" w:rsidRPr="00BB368C" w:rsidRDefault="003245E8" w:rsidP="00E42B61">
            <w:pPr>
              <w:spacing w:after="0"/>
              <w:jc w:val="both"/>
              <w:rPr>
                <w:rFonts w:ascii="Verdana" w:hAnsi="Verdana" w:cs="Arial"/>
                <w:sz w:val="16"/>
                <w:szCs w:val="16"/>
              </w:rPr>
            </w:pPr>
            <w:r w:rsidRPr="00BB368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D9DD053" w14:textId="5A48F7FD" w:rsidR="003245E8" w:rsidRPr="00BB368C" w:rsidRDefault="009F6DAF" w:rsidP="00E42B61">
            <w:pPr>
              <w:spacing w:after="0" w:line="276" w:lineRule="auto"/>
              <w:textAlignment w:val="baseline"/>
              <w:rPr>
                <w:rFonts w:ascii="Verdana" w:hAnsi="Verdana" w:cs="Arial"/>
                <w:sz w:val="16"/>
                <w:szCs w:val="16"/>
              </w:rPr>
            </w:pPr>
            <w:r w:rsidRPr="00BB368C">
              <w:rPr>
                <w:rFonts w:ascii="Verdana" w:hAnsi="Verdana" w:cs="Arial"/>
                <w:sz w:val="16"/>
                <w:szCs w:val="16"/>
              </w:rPr>
              <w:t>Martha Alicia Romero Vargas</w:t>
            </w:r>
          </w:p>
          <w:p w14:paraId="3A4DE9E0" w14:textId="4D4BF12D" w:rsidR="003245E8" w:rsidRPr="00BB368C" w:rsidRDefault="00506B47" w:rsidP="00506B47">
            <w:pPr>
              <w:spacing w:after="0" w:line="240" w:lineRule="auto"/>
              <w:jc w:val="both"/>
              <w:rPr>
                <w:rFonts w:ascii="Verdana" w:hAnsi="Verdana" w:cs="Arial"/>
                <w:sz w:val="16"/>
                <w:szCs w:val="16"/>
              </w:rPr>
            </w:pPr>
            <w:r w:rsidRPr="00BB368C">
              <w:rPr>
                <w:rFonts w:ascii="Verdana" w:hAnsi="Verdana" w:cs="Arial"/>
                <w:sz w:val="16"/>
                <w:szCs w:val="16"/>
              </w:rPr>
              <w:t>Gestor código T1 grado15 de la Subdirección de Gestión Contractual</w:t>
            </w:r>
          </w:p>
        </w:tc>
      </w:tr>
      <w:tr w:rsidR="003245E8" w:rsidRPr="00BB368C" w14:paraId="7BFFEA8F" w14:textId="77777777" w:rsidTr="00E42B61">
        <w:trPr>
          <w:trHeight w:val="389"/>
        </w:trPr>
        <w:tc>
          <w:tcPr>
            <w:tcW w:w="817" w:type="dxa"/>
            <w:tcBorders>
              <w:top w:val="nil"/>
              <w:left w:val="nil"/>
              <w:bottom w:val="nil"/>
              <w:right w:val="nil"/>
            </w:tcBorders>
            <w:vAlign w:val="center"/>
            <w:hideMark/>
          </w:tcPr>
          <w:p w14:paraId="34B0D2CC" w14:textId="77777777" w:rsidR="003245E8" w:rsidRPr="00BB368C" w:rsidRDefault="003245E8" w:rsidP="00E42B61">
            <w:pPr>
              <w:spacing w:after="0" w:line="240" w:lineRule="auto"/>
              <w:jc w:val="both"/>
              <w:rPr>
                <w:rFonts w:ascii="Verdana" w:hAnsi="Verdana" w:cs="Arial"/>
                <w:sz w:val="16"/>
                <w:szCs w:val="16"/>
              </w:rPr>
            </w:pPr>
            <w:r w:rsidRPr="00BB368C">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E93A4F0" w14:textId="77777777" w:rsidR="003245E8" w:rsidRPr="00BB368C" w:rsidRDefault="003245E8" w:rsidP="00E42B61">
            <w:pPr>
              <w:spacing w:after="0"/>
              <w:rPr>
                <w:rFonts w:ascii="Verdana" w:eastAsia="Calibri" w:hAnsi="Verdana" w:cs="Arial"/>
                <w:sz w:val="16"/>
                <w:szCs w:val="16"/>
                <w:lang w:val="pt-BR" w:eastAsia="es-ES"/>
              </w:rPr>
            </w:pPr>
            <w:r w:rsidRPr="00BB368C">
              <w:rPr>
                <w:rFonts w:ascii="Verdana" w:eastAsia="Calibri" w:hAnsi="Verdana" w:cs="Arial"/>
                <w:sz w:val="16"/>
                <w:szCs w:val="16"/>
                <w:lang w:val="pt-BR" w:eastAsia="es-ES"/>
              </w:rPr>
              <w:t>Carolina Quintero Gacharná</w:t>
            </w:r>
          </w:p>
          <w:p w14:paraId="012B7A4F" w14:textId="77777777" w:rsidR="003245E8" w:rsidRPr="00BB368C" w:rsidRDefault="003245E8" w:rsidP="00E42B61">
            <w:pPr>
              <w:spacing w:after="0" w:line="240" w:lineRule="auto"/>
              <w:jc w:val="both"/>
              <w:rPr>
                <w:rFonts w:ascii="Verdana" w:hAnsi="Verdana" w:cs="Arial"/>
                <w:sz w:val="16"/>
                <w:szCs w:val="16"/>
              </w:rPr>
            </w:pPr>
            <w:r w:rsidRPr="00BB368C">
              <w:rPr>
                <w:rFonts w:ascii="Verdana" w:hAnsi="Verdana" w:cs="Arial"/>
                <w:sz w:val="16"/>
                <w:szCs w:val="16"/>
              </w:rPr>
              <w:t>Subdirectora de Gestión Contractual ANCP – CCE</w:t>
            </w:r>
          </w:p>
        </w:tc>
      </w:tr>
    </w:tbl>
    <w:p w14:paraId="457FFDD1" w14:textId="77777777" w:rsidR="003245E8" w:rsidRPr="00BB368C" w:rsidRDefault="003245E8" w:rsidP="0058556C">
      <w:pPr>
        <w:spacing w:line="276" w:lineRule="auto"/>
        <w:ind w:right="758"/>
        <w:jc w:val="both"/>
        <w:rPr>
          <w:rFonts w:ascii="Verdana" w:hAnsi="Verdana" w:cs="Arial"/>
          <w:bdr w:val="none" w:sz="0" w:space="0" w:color="auto" w:frame="1"/>
          <w:shd w:val="clear" w:color="auto" w:fill="FFFFFF"/>
          <w:lang w:val="es-ES_tradnl" w:eastAsia="es-ES_tradnl"/>
        </w:rPr>
      </w:pPr>
    </w:p>
    <w:sectPr w:rsidR="003245E8" w:rsidRPr="00BB368C"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0C77" w14:textId="77777777" w:rsidR="006914E1" w:rsidRDefault="006914E1" w:rsidP="004A1847">
      <w:pPr>
        <w:spacing w:after="0" w:line="240" w:lineRule="auto"/>
      </w:pPr>
      <w:r>
        <w:separator/>
      </w:r>
    </w:p>
  </w:endnote>
  <w:endnote w:type="continuationSeparator" w:id="0">
    <w:p w14:paraId="13EE873D" w14:textId="77777777" w:rsidR="006914E1" w:rsidRDefault="006914E1" w:rsidP="004A1847">
      <w:pPr>
        <w:spacing w:after="0" w:line="240" w:lineRule="auto"/>
      </w:pPr>
      <w:r>
        <w:continuationSeparator/>
      </w:r>
    </w:p>
  </w:endnote>
  <w:endnote w:type="continuationNotice" w:id="1">
    <w:p w14:paraId="2BC5B84C" w14:textId="77777777" w:rsidR="006914E1" w:rsidRDefault="00691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7269" w14:textId="77777777" w:rsidR="006914E1" w:rsidRDefault="006914E1" w:rsidP="004A1847">
      <w:pPr>
        <w:spacing w:after="0" w:line="240" w:lineRule="auto"/>
      </w:pPr>
      <w:r>
        <w:separator/>
      </w:r>
    </w:p>
  </w:footnote>
  <w:footnote w:type="continuationSeparator" w:id="0">
    <w:p w14:paraId="551BA0F0" w14:textId="77777777" w:rsidR="006914E1" w:rsidRDefault="006914E1" w:rsidP="004A1847">
      <w:pPr>
        <w:spacing w:after="0" w:line="240" w:lineRule="auto"/>
      </w:pPr>
      <w:r>
        <w:continuationSeparator/>
      </w:r>
    </w:p>
  </w:footnote>
  <w:footnote w:type="continuationNotice" w:id="1">
    <w:p w14:paraId="56608005" w14:textId="77777777" w:rsidR="006914E1" w:rsidRDefault="006914E1">
      <w:pPr>
        <w:spacing w:after="0" w:line="240" w:lineRule="auto"/>
      </w:pPr>
    </w:p>
  </w:footnote>
  <w:footnote w:id="2">
    <w:p w14:paraId="16A848C5" w14:textId="77777777" w:rsidR="00C634CE" w:rsidRPr="00901BCF" w:rsidRDefault="00C634CE" w:rsidP="00C634CE">
      <w:pPr>
        <w:pStyle w:val="Textonotapie"/>
        <w:ind w:firstLine="708"/>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Corte Constitucional. Sentencia C- 341 del 4 de junio de 2014. M. P. Mauricio González Cuervo.</w:t>
      </w:r>
    </w:p>
    <w:p w14:paraId="50FC7220" w14:textId="77777777" w:rsidR="00C634CE" w:rsidRPr="00901BCF" w:rsidRDefault="00C634CE" w:rsidP="00C634CE">
      <w:pPr>
        <w:pStyle w:val="Textonotapie"/>
        <w:ind w:firstLine="708"/>
        <w:contextualSpacing/>
        <w:jc w:val="both"/>
        <w:rPr>
          <w:rFonts w:ascii="Verdana" w:hAnsi="Verdana"/>
          <w:sz w:val="16"/>
          <w:szCs w:val="16"/>
        </w:rPr>
      </w:pPr>
    </w:p>
  </w:footnote>
  <w:footnote w:id="3">
    <w:p w14:paraId="7FB3172E" w14:textId="77777777" w:rsidR="00C634CE" w:rsidRPr="00901BCF" w:rsidRDefault="00C634CE" w:rsidP="00C634CE">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48D2C96" w14:textId="77777777" w:rsidR="00C634CE" w:rsidRPr="00901BCF" w:rsidRDefault="00C634CE" w:rsidP="00C634CE">
      <w:pPr>
        <w:pStyle w:val="Textonotapie"/>
        <w:ind w:firstLine="709"/>
        <w:contextualSpacing/>
        <w:jc w:val="both"/>
        <w:rPr>
          <w:rFonts w:ascii="Verdana" w:hAnsi="Verdana" w:cs="Arial"/>
          <w:color w:val="000000"/>
          <w:sz w:val="16"/>
          <w:szCs w:val="16"/>
        </w:rPr>
      </w:pPr>
    </w:p>
    <w:p w14:paraId="06F42720" w14:textId="77777777" w:rsidR="00C634CE" w:rsidRPr="00901BCF" w:rsidRDefault="00C634CE" w:rsidP="00C634CE">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“Lo anterior, sin perjuicio de las publicaciones previstas en el numeral 3 del artículo 30 de la Ley 80 de 1993.</w:t>
      </w:r>
    </w:p>
    <w:p w14:paraId="5F8DA5AE" w14:textId="77777777" w:rsidR="00C634CE" w:rsidRPr="00901BCF" w:rsidRDefault="00C634CE" w:rsidP="00C634CE">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 xml:space="preserve">“Con el fin de materializar los objetivos a que se refiere el inciso anterior, el Gobierno Nacional desarrollará el Sistema Electrónico para la Contratación Pública, Secop, el cual: </w:t>
      </w:r>
    </w:p>
    <w:p w14:paraId="5819E0BF" w14:textId="77777777" w:rsidR="00C634CE" w:rsidRPr="00901BCF" w:rsidRDefault="00C634CE" w:rsidP="00C634CE">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rPr>
        <w:t>(…)</w:t>
      </w:r>
    </w:p>
    <w:p w14:paraId="73CFE5BC" w14:textId="77777777" w:rsidR="00C634CE" w:rsidRPr="00901BCF" w:rsidRDefault="00C634CE" w:rsidP="00C634CE">
      <w:pPr>
        <w:pStyle w:val="Textonotapie"/>
        <w:ind w:firstLine="709"/>
        <w:contextualSpacing/>
        <w:jc w:val="both"/>
        <w:rPr>
          <w:rFonts w:ascii="Verdana" w:hAnsi="Verdana"/>
          <w:sz w:val="16"/>
          <w:szCs w:val="16"/>
        </w:rPr>
      </w:pPr>
      <w:r w:rsidRPr="00901BCF">
        <w:rPr>
          <w:rFonts w:ascii="Verdana" w:hAnsi="Verdana" w:cs="Arial"/>
          <w:color w:val="000000"/>
          <w:sz w:val="16"/>
          <w:szCs w:val="16"/>
        </w:rPr>
        <w:t xml:space="preserve">“c) Contará con la información oficial de la contratación realizada con dineros públicos, para lo cual establecerá los patrones a que haya lugar y se encargará de su difusión a través de canales electrónico”. </w:t>
      </w:r>
    </w:p>
  </w:footnote>
  <w:footnote w:id="4">
    <w:p w14:paraId="09AD6226" w14:textId="77777777" w:rsidR="00C634CE" w:rsidRPr="00901BCF" w:rsidRDefault="00C634CE" w:rsidP="00C634CE">
      <w:pPr>
        <w:pStyle w:val="Textonotapie"/>
        <w:ind w:firstLine="709"/>
        <w:contextualSpacing/>
        <w:jc w:val="both"/>
        <w:rPr>
          <w:rFonts w:ascii="Verdana" w:hAnsi="Verdana"/>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5">
    <w:p w14:paraId="5B9B013A" w14:textId="77777777" w:rsidR="00C634CE" w:rsidRPr="00901BCF" w:rsidRDefault="00C634CE" w:rsidP="00C634CE">
      <w:pPr>
        <w:pStyle w:val="Textonotapie"/>
        <w:ind w:firstLine="707"/>
        <w:contextualSpacing/>
        <w:jc w:val="both"/>
        <w:rPr>
          <w:rFonts w:ascii="Verdana" w:hAnsi="Verdana" w:cs="Arial"/>
          <w:sz w:val="16"/>
          <w:szCs w:val="16"/>
          <w:lang w:val="es-CO"/>
        </w:rPr>
      </w:pPr>
      <w:r w:rsidRPr="00901BCF">
        <w:rPr>
          <w:rFonts w:ascii="Verdana" w:hAnsi="Verdana" w:cs="Arial"/>
          <w:sz w:val="16"/>
          <w:szCs w:val="16"/>
          <w:vertAlign w:val="superscript"/>
        </w:rPr>
        <w:footnoteRef/>
      </w:r>
      <w:r w:rsidRPr="00901BCF">
        <w:rPr>
          <w:rFonts w:ascii="Verdana" w:hAnsi="Verdana" w:cs="Arial"/>
          <w:sz w:val="16"/>
          <w:szCs w:val="16"/>
          <w:vertAlign w:val="superscript"/>
        </w:rPr>
        <w:t xml:space="preserve"> </w:t>
      </w:r>
      <w:r w:rsidRPr="00901BCF">
        <w:rPr>
          <w:rFonts w:ascii="Verdana" w:hAnsi="Verdana" w:cs="Arial"/>
          <w:sz w:val="16"/>
          <w:szCs w:val="16"/>
        </w:rPr>
        <w:t xml:space="preserve">Ley 1712 de 2014: «Artículo 3. </w:t>
      </w:r>
      <w:bookmarkStart w:id="2" w:name="3"/>
      <w:bookmarkEnd w:id="2"/>
      <w:r w:rsidRPr="00901BCF">
        <w:rPr>
          <w:rFonts w:ascii="Verdana" w:hAnsi="Verdana" w:cs="Arial"/>
          <w:sz w:val="16"/>
          <w:szCs w:val="16"/>
          <w:lang w:val="es-CO"/>
        </w:rPr>
        <w:t>Otros principios de la transparencia y acceso a la información pública. </w:t>
      </w:r>
    </w:p>
    <w:p w14:paraId="648AFB77" w14:textId="77777777" w:rsidR="00C634CE" w:rsidRPr="00901BCF" w:rsidRDefault="00C634CE" w:rsidP="00C634CE">
      <w:pPr>
        <w:pStyle w:val="Textonotapie"/>
        <w:ind w:firstLine="707"/>
        <w:contextualSpacing/>
        <w:jc w:val="both"/>
        <w:rPr>
          <w:rFonts w:ascii="Verdana" w:hAnsi="Verdana" w:cs="Arial"/>
          <w:sz w:val="16"/>
          <w:szCs w:val="16"/>
          <w:lang w:val="es-CO"/>
        </w:rPr>
      </w:pPr>
      <w:r w:rsidRPr="00901BCF">
        <w:rPr>
          <w:rFonts w:ascii="Verdana" w:hAnsi="Verdana" w:cs="Arial"/>
          <w:sz w:val="16"/>
          <w:szCs w:val="16"/>
          <w:lang w:val="es-CO"/>
        </w:rPr>
        <w:t>(…)</w:t>
      </w:r>
    </w:p>
    <w:p w14:paraId="42DDE590" w14:textId="77777777" w:rsidR="00C634CE" w:rsidRPr="00901BCF" w:rsidRDefault="00C634CE" w:rsidP="00C634CE">
      <w:pPr>
        <w:pStyle w:val="Textonotapie"/>
        <w:ind w:firstLine="707"/>
        <w:contextualSpacing/>
        <w:jc w:val="both"/>
        <w:rPr>
          <w:rFonts w:ascii="Verdana" w:hAnsi="Verdana" w:cs="Arial"/>
          <w:sz w:val="16"/>
          <w:szCs w:val="16"/>
        </w:rPr>
      </w:pPr>
      <w:r w:rsidRPr="00901BCF">
        <w:rPr>
          <w:rStyle w:val="baj"/>
          <w:rFonts w:ascii="Verdana" w:hAnsi="Verdana" w:cs="Arial"/>
          <w:sz w:val="16"/>
          <w:szCs w:val="16"/>
        </w:rPr>
        <w:t>Principio de transparencia</w:t>
      </w:r>
      <w:r w:rsidRPr="00901BCF">
        <w:rPr>
          <w:rFonts w:ascii="Verdana" w:hAnsi="Verdana" w:cs="Arial"/>
          <w:sz w:val="16"/>
          <w:szCs w:val="16"/>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6">
    <w:p w14:paraId="55BC9D47" w14:textId="77777777" w:rsidR="00C634CE" w:rsidRPr="00901BCF" w:rsidRDefault="00C634CE" w:rsidP="00C634CE">
      <w:pPr>
        <w:pStyle w:val="Textonotapie"/>
        <w:ind w:firstLine="707"/>
        <w:contextualSpacing/>
        <w:jc w:val="both"/>
        <w:rPr>
          <w:rFonts w:ascii="Verdana" w:hAnsi="Verdana" w:cs="Arial"/>
          <w:sz w:val="16"/>
          <w:szCs w:val="16"/>
          <w:lang w:val="es-CO"/>
        </w:rPr>
      </w:pPr>
      <w:r w:rsidRPr="00901BCF">
        <w:rPr>
          <w:rFonts w:ascii="Verdana" w:hAnsi="Verdana" w:cs="Arial"/>
          <w:sz w:val="16"/>
          <w:szCs w:val="16"/>
          <w:vertAlign w:val="superscript"/>
        </w:rPr>
        <w:footnoteRef/>
      </w:r>
      <w:r w:rsidRPr="00901BCF">
        <w:rPr>
          <w:rFonts w:ascii="Verdana" w:hAnsi="Verdana" w:cs="Arial"/>
          <w:sz w:val="16"/>
          <w:szCs w:val="16"/>
          <w:vertAlign w:val="superscript"/>
        </w:rPr>
        <w:t xml:space="preserve"> </w:t>
      </w:r>
      <w:r w:rsidRPr="00901BCF">
        <w:rPr>
          <w:rFonts w:ascii="Verdana" w:hAnsi="Verdana" w:cs="Arial"/>
          <w:sz w:val="16"/>
          <w:szCs w:val="16"/>
        </w:rPr>
        <w:t xml:space="preserve">Ley 1712 de 2014: “Artículo 3. </w:t>
      </w:r>
      <w:r w:rsidRPr="00901BCF">
        <w:rPr>
          <w:rFonts w:ascii="Verdana" w:hAnsi="Verdana" w:cs="Arial"/>
          <w:sz w:val="16"/>
          <w:szCs w:val="16"/>
          <w:lang w:val="es-CO"/>
        </w:rPr>
        <w:t>Otros principios de la transparencia y acceso a la información pública. </w:t>
      </w:r>
    </w:p>
    <w:p w14:paraId="3FEA9013" w14:textId="77777777" w:rsidR="00C634CE" w:rsidRPr="00901BCF" w:rsidRDefault="00C634CE" w:rsidP="00C634CE">
      <w:pPr>
        <w:pStyle w:val="Textonotapie"/>
        <w:ind w:firstLine="707"/>
        <w:contextualSpacing/>
        <w:jc w:val="both"/>
        <w:rPr>
          <w:rFonts w:ascii="Verdana" w:hAnsi="Verdana" w:cs="Arial"/>
          <w:sz w:val="16"/>
          <w:szCs w:val="16"/>
          <w:lang w:val="es-ES"/>
        </w:rPr>
      </w:pPr>
      <w:r w:rsidRPr="00901BCF">
        <w:rPr>
          <w:rFonts w:ascii="Verdana" w:hAnsi="Verdana" w:cs="Arial"/>
          <w:sz w:val="16"/>
          <w:szCs w:val="16"/>
          <w:lang w:val="es-ES"/>
        </w:rPr>
        <w:t>(…)</w:t>
      </w:r>
    </w:p>
    <w:p w14:paraId="24A5F63B" w14:textId="77777777" w:rsidR="00C634CE" w:rsidRPr="00901BCF" w:rsidRDefault="00C634CE" w:rsidP="00C634CE">
      <w:pPr>
        <w:pStyle w:val="Textonotapie"/>
        <w:ind w:firstLine="707"/>
        <w:contextualSpacing/>
        <w:jc w:val="both"/>
        <w:rPr>
          <w:rFonts w:ascii="Verdana" w:hAnsi="Verdana"/>
          <w:sz w:val="16"/>
          <w:szCs w:val="16"/>
        </w:rPr>
      </w:pPr>
      <w:r w:rsidRPr="00901BCF">
        <w:rPr>
          <w:rStyle w:val="baj"/>
          <w:rFonts w:ascii="Verdana" w:hAnsi="Verdana" w:cs="Arial"/>
          <w:b/>
          <w:bCs/>
          <w:sz w:val="16"/>
          <w:szCs w:val="16"/>
        </w:rPr>
        <w:t>Principio de buena fe</w:t>
      </w:r>
      <w:r w:rsidRPr="00901BCF">
        <w:rPr>
          <w:rFonts w:ascii="Verdana" w:hAnsi="Verdana" w:cs="Arial"/>
          <w:sz w:val="16"/>
          <w:szCs w:val="16"/>
        </w:rPr>
        <w:t>. En virtud del cual todo sujeto obligado, al cumplir con las obligaciones derivadas del derecho de acceso a la información pública, lo hará con motivación honesta, leal y desprovista de cualquier intención dolosa o culposa.</w:t>
      </w:r>
    </w:p>
  </w:footnote>
  <w:footnote w:id="7">
    <w:p w14:paraId="0DE3FA4C" w14:textId="77777777" w:rsidR="00C634CE" w:rsidRPr="00901BCF" w:rsidRDefault="00C634CE" w:rsidP="00C634CE">
      <w:pPr>
        <w:pStyle w:val="Textonotapie"/>
        <w:ind w:firstLine="707"/>
        <w:contextualSpacing/>
        <w:jc w:val="both"/>
        <w:rPr>
          <w:rFonts w:ascii="Verdana" w:hAnsi="Verdana" w:cs="Arial"/>
          <w:sz w:val="16"/>
          <w:szCs w:val="16"/>
          <w:shd w:val="clear" w:color="auto" w:fill="FFFFFF"/>
        </w:rPr>
      </w:pPr>
      <w:r w:rsidRPr="00901BCF">
        <w:rPr>
          <w:rFonts w:ascii="Verdana" w:hAnsi="Verdana" w:cs="Arial"/>
          <w:sz w:val="16"/>
          <w:szCs w:val="16"/>
          <w:vertAlign w:val="superscript"/>
        </w:rPr>
        <w:footnoteRef/>
      </w:r>
      <w:r w:rsidRPr="00901BCF">
        <w:rPr>
          <w:rFonts w:ascii="Verdana" w:hAnsi="Verdana" w:cs="Arial"/>
          <w:sz w:val="16"/>
          <w:szCs w:val="16"/>
        </w:rPr>
        <w:t xml:space="preserve"> Ley 1712 de 2014: “Artículo 9. </w:t>
      </w:r>
      <w:r w:rsidRPr="00901BCF">
        <w:rPr>
          <w:rFonts w:ascii="Verdana" w:hAnsi="Verdana" w:cs="Arial"/>
          <w:sz w:val="16"/>
          <w:szCs w:val="16"/>
          <w:shd w:val="clear" w:color="auto" w:fill="FFFFFF"/>
        </w:rPr>
        <w:t> </w:t>
      </w:r>
      <w:r w:rsidRPr="00901BCF">
        <w:rPr>
          <w:rStyle w:val="nfasis"/>
          <w:rFonts w:ascii="Verdana" w:hAnsi="Verdana" w:cs="Arial"/>
          <w:sz w:val="16"/>
          <w:szCs w:val="16"/>
          <w:shd w:val="clear" w:color="auto" w:fill="FFFFFF"/>
        </w:rPr>
        <w:t>Información mínima obligatoria respecto a la estructura del sujeto obligado. </w:t>
      </w:r>
      <w:r w:rsidRPr="00901BCF">
        <w:rPr>
          <w:rFonts w:ascii="Verdana" w:hAnsi="Verdana" w:cs="Arial"/>
          <w:sz w:val="16"/>
          <w:szCs w:val="16"/>
          <w:shd w:val="clear" w:color="auto" w:fill="FFFFFF"/>
        </w:rPr>
        <w:t>Todo sujeto obligado deberá publicar la siguiente información mínima obligatoria de manera proactiva en los sistemas de información del Estado o herramientas que lo sustituyan:</w:t>
      </w:r>
    </w:p>
    <w:p w14:paraId="7E05E64F" w14:textId="77777777" w:rsidR="00C634CE" w:rsidRPr="00901BCF" w:rsidRDefault="00C634CE" w:rsidP="00C634CE">
      <w:pPr>
        <w:pStyle w:val="Textonotapie"/>
        <w:ind w:firstLine="707"/>
        <w:contextualSpacing/>
        <w:jc w:val="both"/>
        <w:rPr>
          <w:rFonts w:ascii="Verdana" w:hAnsi="Verdana" w:cs="Arial"/>
          <w:sz w:val="16"/>
          <w:szCs w:val="16"/>
          <w:shd w:val="clear" w:color="auto" w:fill="FFFFFF"/>
        </w:rPr>
      </w:pPr>
      <w:r w:rsidRPr="00901BCF">
        <w:rPr>
          <w:rFonts w:ascii="Verdana" w:hAnsi="Verdana" w:cs="Arial"/>
          <w:sz w:val="16"/>
          <w:szCs w:val="16"/>
          <w:shd w:val="clear" w:color="auto" w:fill="FFFFFF"/>
        </w:rPr>
        <w:t>(…)</w:t>
      </w:r>
    </w:p>
    <w:p w14:paraId="43616773" w14:textId="77777777" w:rsidR="00C634CE" w:rsidRPr="00901BCF" w:rsidRDefault="00C634CE" w:rsidP="00C634CE">
      <w:pPr>
        <w:pStyle w:val="Textonotapie"/>
        <w:ind w:firstLine="707"/>
        <w:contextualSpacing/>
        <w:jc w:val="both"/>
        <w:rPr>
          <w:rFonts w:ascii="Verdana" w:hAnsi="Verdana"/>
          <w:sz w:val="16"/>
          <w:szCs w:val="16"/>
        </w:rPr>
      </w:pPr>
      <w:r w:rsidRPr="00901BCF">
        <w:rPr>
          <w:rFonts w:ascii="Verdana" w:hAnsi="Verdana" w:cs="Arial"/>
          <w:sz w:val="16"/>
          <w:szCs w:val="16"/>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901BCF">
        <w:rPr>
          <w:rFonts w:ascii="Verdana" w:hAnsi="Verdana" w:cs="Arial"/>
          <w:sz w:val="16"/>
          <w:szCs w:val="16"/>
        </w:rPr>
        <w:t xml:space="preserve"> </w:t>
      </w:r>
      <w:r w:rsidRPr="00901BCF">
        <w:rPr>
          <w:rFonts w:ascii="Verdana" w:hAnsi="Verdana" w:cs="Arial"/>
          <w:sz w:val="16"/>
          <w:szCs w:val="16"/>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901BCF">
        <w:rPr>
          <w:rFonts w:ascii="Verdana" w:hAnsi="Verdana" w:cs="Arial"/>
          <w:sz w:val="16"/>
          <w:szCs w:val="16"/>
        </w:rPr>
        <w:t>”.</w:t>
      </w:r>
    </w:p>
  </w:footnote>
  <w:footnote w:id="8">
    <w:p w14:paraId="0ACA7F45" w14:textId="77777777" w:rsidR="00C634CE" w:rsidRPr="00901BCF" w:rsidRDefault="00C634CE" w:rsidP="00C634CE">
      <w:pPr>
        <w:spacing w:after="0" w:line="240" w:lineRule="auto"/>
        <w:ind w:firstLine="707"/>
        <w:contextualSpacing/>
        <w:jc w:val="both"/>
        <w:rPr>
          <w:rFonts w:ascii="Verdana" w:hAnsi="Verdana" w:cs="Arial"/>
          <w:sz w:val="16"/>
          <w:szCs w:val="16"/>
        </w:rPr>
      </w:pPr>
      <w:r w:rsidRPr="00901BCF">
        <w:rPr>
          <w:rFonts w:ascii="Verdana" w:hAnsi="Verdana" w:cs="Arial"/>
          <w:sz w:val="16"/>
          <w:szCs w:val="16"/>
          <w:vertAlign w:val="superscript"/>
        </w:rPr>
        <w:footnoteRef/>
      </w:r>
      <w:r w:rsidRPr="00901BCF">
        <w:rPr>
          <w:rFonts w:ascii="Verdana" w:hAnsi="Verdana" w:cs="Arial"/>
          <w:sz w:val="16"/>
          <w:szCs w:val="16"/>
        </w:rPr>
        <w:t xml:space="preserve"> Ley 1712 de 2014: “Artículo 5. Ámbito de aplicación. Las disposiciones de esta ley serán aplicables a las siguientes personas en calidad de sujetos obligados:</w:t>
      </w:r>
    </w:p>
    <w:p w14:paraId="15814167" w14:textId="77777777" w:rsidR="00C634CE" w:rsidRPr="00901BCF" w:rsidRDefault="00C634CE" w:rsidP="00C634CE">
      <w:pPr>
        <w:spacing w:after="0" w:line="240" w:lineRule="auto"/>
        <w:ind w:firstLine="707"/>
        <w:contextualSpacing/>
        <w:jc w:val="both"/>
        <w:rPr>
          <w:rFonts w:ascii="Verdana" w:hAnsi="Verdana"/>
          <w:sz w:val="16"/>
          <w:szCs w:val="16"/>
        </w:rPr>
      </w:pPr>
      <w:r w:rsidRPr="00901BCF">
        <w:rPr>
          <w:rFonts w:ascii="Verdana" w:hAnsi="Verdana" w:cs="Arial"/>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9">
    <w:p w14:paraId="1AB6BCE6" w14:textId="77777777" w:rsidR="00C634CE" w:rsidRPr="00901BCF" w:rsidRDefault="00C634CE" w:rsidP="00C634CE">
      <w:pPr>
        <w:pStyle w:val="Textonotapie"/>
        <w:ind w:firstLine="707"/>
        <w:contextualSpacing/>
        <w:jc w:val="both"/>
        <w:rPr>
          <w:rFonts w:ascii="Verdana" w:hAnsi="Verdana" w:cs="Arial"/>
          <w:color w:val="000000"/>
          <w:sz w:val="16"/>
          <w:szCs w:val="16"/>
        </w:rPr>
      </w:pPr>
      <w:r w:rsidRPr="00901BCF">
        <w:rPr>
          <w:rFonts w:ascii="Verdana" w:hAnsi="Verdana" w:cs="Arial"/>
          <w:color w:val="000000"/>
          <w:sz w:val="16"/>
          <w:szCs w:val="16"/>
          <w:vertAlign w:val="superscript"/>
          <w:lang w:val="es-ES" w:eastAsia="es-ES"/>
        </w:rPr>
        <w:footnoteRef/>
      </w:r>
      <w:r w:rsidRPr="00901BCF">
        <w:rPr>
          <w:rFonts w:ascii="Verdana" w:hAnsi="Verdana" w:cs="Arial"/>
          <w:color w:val="000000"/>
          <w:sz w:val="16"/>
          <w:szCs w:val="16"/>
          <w:vertAlign w:val="superscript"/>
          <w:lang w:val="es-ES" w:eastAsia="es-ES"/>
        </w:rPr>
        <w:t xml:space="preserve"> </w:t>
      </w:r>
      <w:r w:rsidRPr="00901BCF">
        <w:rPr>
          <w:rFonts w:ascii="Verdana" w:hAnsi="Verdana" w:cs="Arial"/>
          <w:color w:val="000000"/>
          <w:sz w:val="16"/>
          <w:szCs w:val="16"/>
          <w:lang w:val="es-ES" w:eastAsia="es-ES"/>
        </w:rPr>
        <w:t>“</w:t>
      </w:r>
      <w:r w:rsidRPr="00901BCF">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F798B09" w14:textId="77777777" w:rsidR="00C634CE" w:rsidRPr="00901BCF" w:rsidRDefault="00C634CE" w:rsidP="00C634CE">
      <w:pPr>
        <w:pStyle w:val="Textonotapie"/>
        <w:ind w:firstLine="709"/>
        <w:contextualSpacing/>
        <w:jc w:val="both"/>
        <w:rPr>
          <w:rFonts w:ascii="Verdana" w:hAnsi="Verdana" w:cs="Arial"/>
          <w:color w:val="000000"/>
          <w:sz w:val="16"/>
          <w:szCs w:val="16"/>
          <w:lang w:val="es-ES" w:eastAsia="es-ES"/>
        </w:rPr>
      </w:pPr>
      <w:r w:rsidRPr="00901BCF">
        <w:rPr>
          <w:rFonts w:ascii="Verdana" w:hAnsi="Verdana" w:cs="Arial"/>
          <w:color w:val="000000"/>
          <w:sz w:val="16"/>
          <w:szCs w:val="16"/>
        </w:rPr>
        <w:t>(…).</w:t>
      </w:r>
    </w:p>
    <w:p w14:paraId="24D7BD0D" w14:textId="77777777" w:rsidR="00C634CE" w:rsidRPr="00901BCF" w:rsidRDefault="00C634CE" w:rsidP="00C634CE">
      <w:pPr>
        <w:pStyle w:val="Textonotapie"/>
        <w:ind w:firstLine="709"/>
        <w:contextualSpacing/>
        <w:jc w:val="both"/>
        <w:rPr>
          <w:rFonts w:ascii="Verdana" w:hAnsi="Verdana" w:cs="Arial"/>
          <w:color w:val="000000"/>
          <w:sz w:val="16"/>
          <w:szCs w:val="16"/>
          <w:lang w:val="es-ES" w:eastAsia="es-ES"/>
        </w:rPr>
      </w:pPr>
      <w:r w:rsidRPr="00901BCF">
        <w:rPr>
          <w:rFonts w:ascii="Verdana"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10">
    <w:p w14:paraId="037C5B0B" w14:textId="77777777" w:rsidR="00C634CE" w:rsidRPr="00DA6191" w:rsidRDefault="00C634CE" w:rsidP="00C634CE">
      <w:pPr>
        <w:pStyle w:val="Textonotapie"/>
        <w:ind w:firstLine="709"/>
        <w:contextualSpacing/>
        <w:jc w:val="both"/>
        <w:rPr>
          <w:rFonts w:ascii="Verdana" w:hAnsi="Verdana" w:cs="Arial"/>
          <w:color w:val="000000"/>
          <w:sz w:val="16"/>
          <w:szCs w:val="16"/>
        </w:rPr>
      </w:pPr>
      <w:r w:rsidRPr="00901BCF">
        <w:rPr>
          <w:rFonts w:ascii="Verdana" w:hAnsi="Verdana" w:cs="Arial"/>
          <w:color w:val="000000"/>
          <w:sz w:val="16"/>
          <w:szCs w:val="16"/>
          <w:vertAlign w:val="superscript"/>
        </w:rPr>
        <w:footnoteRef/>
      </w:r>
      <w:r w:rsidRPr="00901BCF">
        <w:rPr>
          <w:rFonts w:ascii="Verdana" w:hAnsi="Verdana" w:cs="Arial"/>
          <w:color w:val="000000"/>
          <w:sz w:val="16"/>
          <w:szCs w:val="16"/>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6pt;height:10.6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476273D"/>
    <w:multiLevelType w:val="hybridMultilevel"/>
    <w:tmpl w:val="4DD07E30"/>
    <w:lvl w:ilvl="0" w:tplc="50C2A6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517A65"/>
    <w:multiLevelType w:val="hybridMultilevel"/>
    <w:tmpl w:val="9B5A3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8A74AE"/>
    <w:multiLevelType w:val="hybridMultilevel"/>
    <w:tmpl w:val="223E2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7"/>
  </w:num>
  <w:num w:numId="8">
    <w:abstractNumId w:val="14"/>
  </w:num>
  <w:num w:numId="9">
    <w:abstractNumId w:val="9"/>
  </w:num>
  <w:num w:numId="10">
    <w:abstractNumId w:val="13"/>
  </w:num>
  <w:num w:numId="11">
    <w:abstractNumId w:val="10"/>
  </w:num>
  <w:num w:numId="12">
    <w:abstractNumId w:val="1"/>
  </w:num>
  <w:num w:numId="13">
    <w:abstractNumId w:val="5"/>
  </w:num>
  <w:num w:numId="14">
    <w:abstractNumId w:val="16"/>
  </w:num>
  <w:num w:numId="15">
    <w:abstractNumId w:val="12"/>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CF2"/>
    <w:rsid w:val="000437ED"/>
    <w:rsid w:val="000616AC"/>
    <w:rsid w:val="000619D4"/>
    <w:rsid w:val="00061B2A"/>
    <w:rsid w:val="00081D4A"/>
    <w:rsid w:val="00082362"/>
    <w:rsid w:val="00086FAA"/>
    <w:rsid w:val="000911D2"/>
    <w:rsid w:val="00092B61"/>
    <w:rsid w:val="000A683E"/>
    <w:rsid w:val="000B19B9"/>
    <w:rsid w:val="000B1CB6"/>
    <w:rsid w:val="000B1E80"/>
    <w:rsid w:val="000B51D4"/>
    <w:rsid w:val="000C100E"/>
    <w:rsid w:val="000D0334"/>
    <w:rsid w:val="000E12BD"/>
    <w:rsid w:val="000E7258"/>
    <w:rsid w:val="000E73C7"/>
    <w:rsid w:val="000F54F8"/>
    <w:rsid w:val="000F6486"/>
    <w:rsid w:val="00125105"/>
    <w:rsid w:val="0012615B"/>
    <w:rsid w:val="00127233"/>
    <w:rsid w:val="00132015"/>
    <w:rsid w:val="00160A82"/>
    <w:rsid w:val="001D0DC7"/>
    <w:rsid w:val="001E4177"/>
    <w:rsid w:val="001F7DC6"/>
    <w:rsid w:val="002364B8"/>
    <w:rsid w:val="002421BB"/>
    <w:rsid w:val="00243E2F"/>
    <w:rsid w:val="002543F4"/>
    <w:rsid w:val="0025609B"/>
    <w:rsid w:val="0025796E"/>
    <w:rsid w:val="00264AFC"/>
    <w:rsid w:val="002707A2"/>
    <w:rsid w:val="002951A0"/>
    <w:rsid w:val="002962BC"/>
    <w:rsid w:val="002A093D"/>
    <w:rsid w:val="002A0DD0"/>
    <w:rsid w:val="002A49AC"/>
    <w:rsid w:val="002A64FD"/>
    <w:rsid w:val="002C7A84"/>
    <w:rsid w:val="002D3C28"/>
    <w:rsid w:val="002E4FD9"/>
    <w:rsid w:val="002F3E87"/>
    <w:rsid w:val="0030624B"/>
    <w:rsid w:val="00321FB6"/>
    <w:rsid w:val="00322A85"/>
    <w:rsid w:val="00324168"/>
    <w:rsid w:val="003245E8"/>
    <w:rsid w:val="003310DA"/>
    <w:rsid w:val="003311E8"/>
    <w:rsid w:val="00343B3C"/>
    <w:rsid w:val="003448F4"/>
    <w:rsid w:val="003517FC"/>
    <w:rsid w:val="00354957"/>
    <w:rsid w:val="00356DF4"/>
    <w:rsid w:val="00362F3D"/>
    <w:rsid w:val="00374F5E"/>
    <w:rsid w:val="00375164"/>
    <w:rsid w:val="003771C7"/>
    <w:rsid w:val="00377E3E"/>
    <w:rsid w:val="003940C1"/>
    <w:rsid w:val="003A26D1"/>
    <w:rsid w:val="003A779E"/>
    <w:rsid w:val="003B356F"/>
    <w:rsid w:val="003D0F4D"/>
    <w:rsid w:val="003D4065"/>
    <w:rsid w:val="003D5B0D"/>
    <w:rsid w:val="003E0499"/>
    <w:rsid w:val="003F2FC0"/>
    <w:rsid w:val="003F3941"/>
    <w:rsid w:val="00406575"/>
    <w:rsid w:val="00414539"/>
    <w:rsid w:val="004153D0"/>
    <w:rsid w:val="004242C4"/>
    <w:rsid w:val="0042722E"/>
    <w:rsid w:val="00442BF6"/>
    <w:rsid w:val="0044528D"/>
    <w:rsid w:val="00451926"/>
    <w:rsid w:val="004566DE"/>
    <w:rsid w:val="004605F9"/>
    <w:rsid w:val="00460F3C"/>
    <w:rsid w:val="00491831"/>
    <w:rsid w:val="004A1847"/>
    <w:rsid w:val="004A305D"/>
    <w:rsid w:val="004C0956"/>
    <w:rsid w:val="004E4673"/>
    <w:rsid w:val="004F21C4"/>
    <w:rsid w:val="004F685F"/>
    <w:rsid w:val="00506B47"/>
    <w:rsid w:val="005151BD"/>
    <w:rsid w:val="00532F0D"/>
    <w:rsid w:val="005335BC"/>
    <w:rsid w:val="005400F9"/>
    <w:rsid w:val="00555C82"/>
    <w:rsid w:val="005566E8"/>
    <w:rsid w:val="00574867"/>
    <w:rsid w:val="0058556C"/>
    <w:rsid w:val="0058765F"/>
    <w:rsid w:val="00591460"/>
    <w:rsid w:val="00592628"/>
    <w:rsid w:val="005977CE"/>
    <w:rsid w:val="005C3777"/>
    <w:rsid w:val="005C5CDC"/>
    <w:rsid w:val="005D3C4C"/>
    <w:rsid w:val="005D476C"/>
    <w:rsid w:val="005E668D"/>
    <w:rsid w:val="006030E9"/>
    <w:rsid w:val="00604A7F"/>
    <w:rsid w:val="00610812"/>
    <w:rsid w:val="00621194"/>
    <w:rsid w:val="006219F8"/>
    <w:rsid w:val="0063432A"/>
    <w:rsid w:val="00643F37"/>
    <w:rsid w:val="00650FF7"/>
    <w:rsid w:val="006577FC"/>
    <w:rsid w:val="00665D70"/>
    <w:rsid w:val="00671DAC"/>
    <w:rsid w:val="0067278F"/>
    <w:rsid w:val="0068424F"/>
    <w:rsid w:val="006900D9"/>
    <w:rsid w:val="006914E1"/>
    <w:rsid w:val="0069234C"/>
    <w:rsid w:val="006D12F8"/>
    <w:rsid w:val="006D4BF9"/>
    <w:rsid w:val="006D6166"/>
    <w:rsid w:val="00702E56"/>
    <w:rsid w:val="00706C16"/>
    <w:rsid w:val="0071557A"/>
    <w:rsid w:val="00743F96"/>
    <w:rsid w:val="00756841"/>
    <w:rsid w:val="007649AB"/>
    <w:rsid w:val="00771D0C"/>
    <w:rsid w:val="007833AC"/>
    <w:rsid w:val="00796104"/>
    <w:rsid w:val="007A71C1"/>
    <w:rsid w:val="007B268C"/>
    <w:rsid w:val="007B7171"/>
    <w:rsid w:val="007C0C0F"/>
    <w:rsid w:val="007C3DC2"/>
    <w:rsid w:val="007E138D"/>
    <w:rsid w:val="007E5497"/>
    <w:rsid w:val="00800D0C"/>
    <w:rsid w:val="0080442E"/>
    <w:rsid w:val="00806F5F"/>
    <w:rsid w:val="00820278"/>
    <w:rsid w:val="008316CB"/>
    <w:rsid w:val="00837E0A"/>
    <w:rsid w:val="008402DD"/>
    <w:rsid w:val="00864139"/>
    <w:rsid w:val="0087637D"/>
    <w:rsid w:val="00884373"/>
    <w:rsid w:val="008843B6"/>
    <w:rsid w:val="00891928"/>
    <w:rsid w:val="008A446D"/>
    <w:rsid w:val="008D180B"/>
    <w:rsid w:val="008E00F0"/>
    <w:rsid w:val="008E4813"/>
    <w:rsid w:val="008E7155"/>
    <w:rsid w:val="008F0EA7"/>
    <w:rsid w:val="009006A8"/>
    <w:rsid w:val="00913D0B"/>
    <w:rsid w:val="00917C6A"/>
    <w:rsid w:val="00920B08"/>
    <w:rsid w:val="00923EEF"/>
    <w:rsid w:val="009419F9"/>
    <w:rsid w:val="00952509"/>
    <w:rsid w:val="0095685E"/>
    <w:rsid w:val="009570F3"/>
    <w:rsid w:val="00961B09"/>
    <w:rsid w:val="00965334"/>
    <w:rsid w:val="0097093E"/>
    <w:rsid w:val="0098641F"/>
    <w:rsid w:val="00990ABD"/>
    <w:rsid w:val="00995520"/>
    <w:rsid w:val="009A0DFA"/>
    <w:rsid w:val="009B2D26"/>
    <w:rsid w:val="009B4A29"/>
    <w:rsid w:val="009C71FA"/>
    <w:rsid w:val="009C72E7"/>
    <w:rsid w:val="009D3058"/>
    <w:rsid w:val="009F3A13"/>
    <w:rsid w:val="009F6DAF"/>
    <w:rsid w:val="00A00560"/>
    <w:rsid w:val="00A06B76"/>
    <w:rsid w:val="00A122D3"/>
    <w:rsid w:val="00A17F13"/>
    <w:rsid w:val="00A20739"/>
    <w:rsid w:val="00A33C78"/>
    <w:rsid w:val="00A44843"/>
    <w:rsid w:val="00A849FB"/>
    <w:rsid w:val="00A90FA0"/>
    <w:rsid w:val="00A91633"/>
    <w:rsid w:val="00AB0ADB"/>
    <w:rsid w:val="00AB4702"/>
    <w:rsid w:val="00AF03E0"/>
    <w:rsid w:val="00B01B1A"/>
    <w:rsid w:val="00B14778"/>
    <w:rsid w:val="00B37865"/>
    <w:rsid w:val="00B5621A"/>
    <w:rsid w:val="00B72CD3"/>
    <w:rsid w:val="00B72FFF"/>
    <w:rsid w:val="00B834EB"/>
    <w:rsid w:val="00B8667B"/>
    <w:rsid w:val="00B8701B"/>
    <w:rsid w:val="00B94862"/>
    <w:rsid w:val="00BA11A0"/>
    <w:rsid w:val="00BB368C"/>
    <w:rsid w:val="00BC3D36"/>
    <w:rsid w:val="00BC5527"/>
    <w:rsid w:val="00BD5573"/>
    <w:rsid w:val="00BD6507"/>
    <w:rsid w:val="00BD7F72"/>
    <w:rsid w:val="00BE0539"/>
    <w:rsid w:val="00BF73A3"/>
    <w:rsid w:val="00C04FB3"/>
    <w:rsid w:val="00C17335"/>
    <w:rsid w:val="00C208C0"/>
    <w:rsid w:val="00C330EB"/>
    <w:rsid w:val="00C634CE"/>
    <w:rsid w:val="00C70E92"/>
    <w:rsid w:val="00C754BE"/>
    <w:rsid w:val="00C76B1C"/>
    <w:rsid w:val="00C8101E"/>
    <w:rsid w:val="00C8312F"/>
    <w:rsid w:val="00C91DC6"/>
    <w:rsid w:val="00CB6357"/>
    <w:rsid w:val="00CB70C9"/>
    <w:rsid w:val="00CC1B26"/>
    <w:rsid w:val="00CC5716"/>
    <w:rsid w:val="00CF5422"/>
    <w:rsid w:val="00D01225"/>
    <w:rsid w:val="00D01471"/>
    <w:rsid w:val="00D07096"/>
    <w:rsid w:val="00D147A1"/>
    <w:rsid w:val="00D423A2"/>
    <w:rsid w:val="00D43239"/>
    <w:rsid w:val="00D520D8"/>
    <w:rsid w:val="00D63AC2"/>
    <w:rsid w:val="00D66118"/>
    <w:rsid w:val="00D66533"/>
    <w:rsid w:val="00D66C08"/>
    <w:rsid w:val="00D7383B"/>
    <w:rsid w:val="00D869E2"/>
    <w:rsid w:val="00DA231B"/>
    <w:rsid w:val="00DA23A0"/>
    <w:rsid w:val="00DB63E3"/>
    <w:rsid w:val="00DC320A"/>
    <w:rsid w:val="00DC32AE"/>
    <w:rsid w:val="00DC39FC"/>
    <w:rsid w:val="00DC7D6E"/>
    <w:rsid w:val="00DE02FC"/>
    <w:rsid w:val="00DE40F8"/>
    <w:rsid w:val="00DF5254"/>
    <w:rsid w:val="00E16408"/>
    <w:rsid w:val="00E165C2"/>
    <w:rsid w:val="00E20894"/>
    <w:rsid w:val="00E21A76"/>
    <w:rsid w:val="00E23F25"/>
    <w:rsid w:val="00E245AB"/>
    <w:rsid w:val="00E2764C"/>
    <w:rsid w:val="00E27F2E"/>
    <w:rsid w:val="00E413EA"/>
    <w:rsid w:val="00E50AFE"/>
    <w:rsid w:val="00E75C92"/>
    <w:rsid w:val="00E771DC"/>
    <w:rsid w:val="00E8772A"/>
    <w:rsid w:val="00E90F6B"/>
    <w:rsid w:val="00E92C27"/>
    <w:rsid w:val="00E97AEB"/>
    <w:rsid w:val="00EA0CCE"/>
    <w:rsid w:val="00EA0E3D"/>
    <w:rsid w:val="00EC38A7"/>
    <w:rsid w:val="00EE1AA8"/>
    <w:rsid w:val="00EE5B99"/>
    <w:rsid w:val="00EE75CA"/>
    <w:rsid w:val="00F31EDC"/>
    <w:rsid w:val="00F462B3"/>
    <w:rsid w:val="00F46F19"/>
    <w:rsid w:val="00F5664F"/>
    <w:rsid w:val="00F666C4"/>
    <w:rsid w:val="00F76AFC"/>
    <w:rsid w:val="00FA3D7E"/>
    <w:rsid w:val="00FA47C0"/>
    <w:rsid w:val="00FB2605"/>
    <w:rsid w:val="00FB5DD1"/>
    <w:rsid w:val="00FB62C0"/>
    <w:rsid w:val="00FC2B5D"/>
    <w:rsid w:val="00FC6731"/>
    <w:rsid w:val="00FF1449"/>
    <w:rsid w:val="00FF5352"/>
    <w:rsid w:val="10563D8B"/>
    <w:rsid w:val="1C160144"/>
    <w:rsid w:val="2C7222B3"/>
    <w:rsid w:val="35734A12"/>
    <w:rsid w:val="51F675CF"/>
    <w:rsid w:val="5CEADB7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4484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44843"/>
    <w:rPr>
      <w:rFonts w:ascii="Geomanist Light" w:hAnsi="Geomanist Light"/>
      <w:lang w:val="es-ES"/>
    </w:rPr>
  </w:style>
  <w:style w:type="character" w:styleId="nfasis">
    <w:name w:val="Emphasis"/>
    <w:basedOn w:val="Fuentedeprrafopredeter"/>
    <w:uiPriority w:val="20"/>
    <w:qFormat/>
    <w:rsid w:val="00C634CE"/>
    <w:rPr>
      <w:i/>
      <w:iCs/>
    </w:rPr>
  </w:style>
  <w:style w:type="character" w:customStyle="1" w:styleId="baj">
    <w:name w:val="b_aj"/>
    <w:basedOn w:val="Fuentedeprrafopredeter"/>
    <w:rsid w:val="00C634CE"/>
    <w:rPr>
      <w:rFonts w:cs="Times New Roman"/>
    </w:rPr>
  </w:style>
  <w:style w:type="character" w:styleId="Refdecomentario">
    <w:name w:val="annotation reference"/>
    <w:basedOn w:val="Fuentedeprrafopredeter"/>
    <w:uiPriority w:val="99"/>
    <w:semiHidden/>
    <w:unhideWhenUsed/>
    <w:rsid w:val="00B14778"/>
    <w:rPr>
      <w:sz w:val="16"/>
      <w:szCs w:val="16"/>
    </w:rPr>
  </w:style>
  <w:style w:type="paragraph" w:styleId="Textocomentario">
    <w:name w:val="annotation text"/>
    <w:basedOn w:val="Normal"/>
    <w:link w:val="TextocomentarioCar"/>
    <w:uiPriority w:val="99"/>
    <w:unhideWhenUsed/>
    <w:rsid w:val="00B14778"/>
    <w:pPr>
      <w:spacing w:line="240" w:lineRule="auto"/>
    </w:pPr>
    <w:rPr>
      <w:sz w:val="20"/>
      <w:szCs w:val="20"/>
    </w:rPr>
  </w:style>
  <w:style w:type="character" w:customStyle="1" w:styleId="TextocomentarioCar">
    <w:name w:val="Texto comentario Car"/>
    <w:basedOn w:val="Fuentedeprrafopredeter"/>
    <w:link w:val="Textocomentario"/>
    <w:uiPriority w:val="99"/>
    <w:rsid w:val="00B14778"/>
    <w:rPr>
      <w:sz w:val="20"/>
      <w:szCs w:val="20"/>
    </w:rPr>
  </w:style>
  <w:style w:type="paragraph" w:styleId="Asuntodelcomentario">
    <w:name w:val="annotation subject"/>
    <w:basedOn w:val="Textocomentario"/>
    <w:next w:val="Textocomentario"/>
    <w:link w:val="AsuntodelcomentarioCar"/>
    <w:uiPriority w:val="99"/>
    <w:semiHidden/>
    <w:unhideWhenUsed/>
    <w:rsid w:val="00B14778"/>
    <w:rPr>
      <w:b/>
      <w:bCs/>
    </w:rPr>
  </w:style>
  <w:style w:type="character" w:customStyle="1" w:styleId="AsuntodelcomentarioCar">
    <w:name w:val="Asunto del comentario Car"/>
    <w:basedOn w:val="TextocomentarioCar"/>
    <w:link w:val="Asuntodelcomentario"/>
    <w:uiPriority w:val="99"/>
    <w:semiHidden/>
    <w:rsid w:val="00B14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90464637">
      <w:bodyDiv w:val="1"/>
      <w:marLeft w:val="0"/>
      <w:marRight w:val="0"/>
      <w:marTop w:val="0"/>
      <w:marBottom w:val="0"/>
      <w:divBdr>
        <w:top w:val="none" w:sz="0" w:space="0" w:color="auto"/>
        <w:left w:val="none" w:sz="0" w:space="0" w:color="auto"/>
        <w:bottom w:val="none" w:sz="0" w:space="0" w:color="auto"/>
        <w:right w:val="none" w:sz="0" w:space="0" w:color="auto"/>
      </w:divBdr>
      <w:divsChild>
        <w:div w:id="984775643">
          <w:marLeft w:val="0"/>
          <w:marRight w:val="0"/>
          <w:marTop w:val="0"/>
          <w:marBottom w:val="0"/>
          <w:divBdr>
            <w:top w:val="none" w:sz="0" w:space="0" w:color="auto"/>
            <w:left w:val="none" w:sz="0" w:space="0" w:color="auto"/>
            <w:bottom w:val="none" w:sz="0" w:space="0" w:color="auto"/>
            <w:right w:val="none" w:sz="0" w:space="0" w:color="auto"/>
          </w:divBdr>
        </w:div>
        <w:div w:id="764692332">
          <w:marLeft w:val="60"/>
          <w:marRight w:val="60"/>
          <w:marTop w:val="0"/>
          <w:marBottom w:val="0"/>
          <w:divBdr>
            <w:top w:val="none" w:sz="0" w:space="0" w:color="auto"/>
            <w:left w:val="none" w:sz="0" w:space="0" w:color="auto"/>
            <w:bottom w:val="none" w:sz="0" w:space="0" w:color="auto"/>
            <w:right w:val="none" w:sz="0" w:space="0" w:color="auto"/>
          </w:divBdr>
        </w:div>
        <w:div w:id="255944592">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7952917">
      <w:bodyDiv w:val="1"/>
      <w:marLeft w:val="0"/>
      <w:marRight w:val="0"/>
      <w:marTop w:val="0"/>
      <w:marBottom w:val="0"/>
      <w:divBdr>
        <w:top w:val="none" w:sz="0" w:space="0" w:color="auto"/>
        <w:left w:val="none" w:sz="0" w:space="0" w:color="auto"/>
        <w:bottom w:val="none" w:sz="0" w:space="0" w:color="auto"/>
        <w:right w:val="none" w:sz="0" w:space="0" w:color="auto"/>
      </w:divBdr>
      <w:divsChild>
        <w:div w:id="592515643">
          <w:marLeft w:val="0"/>
          <w:marRight w:val="0"/>
          <w:marTop w:val="0"/>
          <w:marBottom w:val="0"/>
          <w:divBdr>
            <w:top w:val="none" w:sz="0" w:space="0" w:color="auto"/>
            <w:left w:val="none" w:sz="0" w:space="0" w:color="auto"/>
            <w:bottom w:val="none" w:sz="0" w:space="0" w:color="auto"/>
            <w:right w:val="none" w:sz="0" w:space="0" w:color="auto"/>
          </w:divBdr>
        </w:div>
        <w:div w:id="1544705821">
          <w:marLeft w:val="60"/>
          <w:marRight w:val="60"/>
          <w:marTop w:val="0"/>
          <w:marBottom w:val="0"/>
          <w:divBdr>
            <w:top w:val="none" w:sz="0" w:space="0" w:color="auto"/>
            <w:left w:val="none" w:sz="0" w:space="0" w:color="auto"/>
            <w:bottom w:val="none" w:sz="0" w:space="0" w:color="auto"/>
            <w:right w:val="none" w:sz="0" w:space="0" w:color="auto"/>
          </w:divBdr>
        </w:div>
        <w:div w:id="224538018">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www.colombiacompra.gov.co/sites/cce_public/files/cce_circulares/doc-20240823-wa0021.pdf"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ley-2195-de-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712-de-201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1029A27-D0EC-4FEC-8AAA-788E1675926A}"/>
</file>

<file path=customXml/itemProps4.xml><?xml version="1.0" encoding="utf-8"?>
<ds:datastoreItem xmlns:ds="http://schemas.openxmlformats.org/officeDocument/2006/customXml" ds:itemID="{C260B391-10B2-4E23-9776-20B5815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3835</Words>
  <Characters>21096</Characters>
  <Application>Microsoft Office Word</Application>
  <DocSecurity>0</DocSecurity>
  <Lines>175</Lines>
  <Paragraphs>49</Paragraphs>
  <ScaleCrop>false</ScaleCrop>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132</cp:revision>
  <cp:lastPrinted>2023-01-10T21:18:00Z</cp:lastPrinted>
  <dcterms:created xsi:type="dcterms:W3CDTF">2024-07-02T13:39:00Z</dcterms:created>
  <dcterms:modified xsi:type="dcterms:W3CDTF">2024-09-16T14:04:00Z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