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4995E" w14:textId="77777777" w:rsidR="00D94796" w:rsidRDefault="00D94796" w:rsidP="00290D28">
      <w:pPr>
        <w:spacing w:after="0"/>
        <w:rPr>
          <w:rFonts w:ascii="Verdana" w:hAnsi="Verdana"/>
          <w:lang w:val="es-ES_tradnl"/>
        </w:rPr>
      </w:pPr>
      <w:bookmarkStart w:id="0" w:name="_Hlk172124853"/>
      <w:bookmarkStart w:id="1" w:name="_Hlk143780582"/>
    </w:p>
    <w:p w14:paraId="309429C4" w14:textId="2FCF8C42" w:rsidR="00290D28" w:rsidRDefault="00290D28" w:rsidP="00290D28">
      <w:pPr>
        <w:spacing w:after="0"/>
        <w:rPr>
          <w:rFonts w:ascii="Arial" w:hAnsi="Arial" w:cs="Arial"/>
          <w:b/>
          <w:bCs/>
          <w:color w:val="000000" w:themeColor="text1"/>
          <w:sz w:val="21"/>
          <w:szCs w:val="21"/>
          <w:lang w:val="es-ES_tradnl"/>
        </w:rPr>
      </w:pPr>
      <w:r w:rsidRPr="00985BF7">
        <w:rPr>
          <w:rFonts w:ascii="Arial" w:hAnsi="Arial" w:cs="Arial"/>
          <w:b/>
          <w:bCs/>
          <w:color w:val="000000" w:themeColor="text1"/>
          <w:sz w:val="21"/>
          <w:szCs w:val="21"/>
          <w:lang w:val="es-ES_tradnl"/>
        </w:rPr>
        <w:t>CONVOCATORIAS LIMITADAS A MIPYME -limitación territorial</w:t>
      </w:r>
    </w:p>
    <w:p w14:paraId="7B8923A0" w14:textId="77777777" w:rsidR="00D94796" w:rsidRPr="001D30BE" w:rsidRDefault="00D94796" w:rsidP="00290D28">
      <w:pPr>
        <w:spacing w:after="0"/>
        <w:rPr>
          <w:rFonts w:ascii="Verdana" w:hAnsi="Verdana"/>
        </w:rPr>
      </w:pPr>
    </w:p>
    <w:p w14:paraId="3F1323F6" w14:textId="77777777" w:rsidR="00290D28" w:rsidRPr="00985BF7" w:rsidRDefault="00290D28" w:rsidP="00290D28">
      <w:pPr>
        <w:spacing w:after="120" w:line="276" w:lineRule="auto"/>
        <w:jc w:val="both"/>
        <w:rPr>
          <w:rFonts w:ascii="Verdana" w:hAnsi="Verdana" w:cs="Arial"/>
          <w:color w:val="000000" w:themeColor="text1"/>
          <w:sz w:val="21"/>
          <w:szCs w:val="21"/>
          <w:lang w:val="es-ES"/>
        </w:rPr>
      </w:pPr>
      <w:r w:rsidRPr="460F3C83">
        <w:rPr>
          <w:rFonts w:ascii="Verdana" w:hAnsi="Verdana" w:cs="Arial"/>
          <w:color w:val="000000" w:themeColor="text1"/>
          <w:sz w:val="21"/>
          <w:szCs w:val="21"/>
          <w:lang w:val="es-ES"/>
        </w:rPr>
        <w:t>El artículo 2.2.1.2.4.2.3. del Decreto 1082 de 2015, modificado por el artículo 5 del Decreto 1860 de 2021 se refiere a las “</w:t>
      </w:r>
      <w:proofErr w:type="spellStart"/>
      <w:r w:rsidRPr="460F3C83">
        <w:rPr>
          <w:rFonts w:ascii="Verdana" w:hAnsi="Verdana" w:cs="Arial"/>
          <w:color w:val="000000" w:themeColor="text1"/>
          <w:sz w:val="21"/>
          <w:szCs w:val="21"/>
          <w:lang w:val="es-ES"/>
        </w:rPr>
        <w:t>mipyme</w:t>
      </w:r>
      <w:proofErr w:type="spellEnd"/>
      <w:r w:rsidRPr="460F3C83">
        <w:rPr>
          <w:rFonts w:ascii="Verdana" w:hAnsi="Verdana" w:cs="Arial"/>
          <w:color w:val="000000" w:themeColor="text1"/>
          <w:sz w:val="21"/>
          <w:szCs w:val="21"/>
          <w:lang w:val="es-ES"/>
        </w:rPr>
        <w:t xml:space="preserve"> colombianas que tengan domicilio en los departamentos o municipios en donde se va a ejecutar el contrato”. Esta precisión es importante, pues el incentivo previsto en la norma únicamente aplica en el lugar de ejecución del contratado en el que la </w:t>
      </w:r>
      <w:proofErr w:type="spellStart"/>
      <w:r w:rsidRPr="460F3C83">
        <w:rPr>
          <w:rFonts w:ascii="Verdana" w:hAnsi="Verdana" w:cs="Arial"/>
          <w:color w:val="000000" w:themeColor="text1"/>
          <w:sz w:val="21"/>
          <w:szCs w:val="21"/>
          <w:lang w:val="es-ES"/>
        </w:rPr>
        <w:t>Mipyme</w:t>
      </w:r>
      <w:proofErr w:type="spellEnd"/>
      <w:r w:rsidRPr="460F3C83">
        <w:rPr>
          <w:rFonts w:ascii="Verdana" w:hAnsi="Verdana" w:cs="Arial"/>
          <w:color w:val="000000" w:themeColor="text1"/>
          <w:sz w:val="21"/>
          <w:szCs w:val="21"/>
          <w:lang w:val="es-ES"/>
        </w:rPr>
        <w:t xml:space="preserve"> tiene su “domicilio”.</w:t>
      </w:r>
    </w:p>
    <w:p w14:paraId="5C577373" w14:textId="77777777" w:rsidR="00290D28" w:rsidRPr="00985BF7" w:rsidRDefault="00290D28" w:rsidP="00290D28">
      <w:pPr>
        <w:spacing w:after="120" w:line="276" w:lineRule="auto"/>
        <w:jc w:val="both"/>
        <w:rPr>
          <w:rFonts w:ascii="Verdana" w:hAnsi="Verdana" w:cs="Arial"/>
          <w:color w:val="000000" w:themeColor="text1"/>
          <w:sz w:val="21"/>
          <w:szCs w:val="21"/>
          <w:lang w:val="es-ES_tradnl"/>
        </w:rPr>
      </w:pPr>
    </w:p>
    <w:p w14:paraId="21F4EFE0" w14:textId="77777777" w:rsidR="00290D28" w:rsidRPr="00985BF7" w:rsidRDefault="00290D28" w:rsidP="00290D28">
      <w:pPr>
        <w:spacing w:after="120" w:line="276" w:lineRule="auto"/>
        <w:jc w:val="both"/>
        <w:rPr>
          <w:rFonts w:ascii="Verdana" w:hAnsi="Verdana" w:cs="Arial"/>
          <w:color w:val="000000" w:themeColor="text1"/>
          <w:sz w:val="21"/>
          <w:szCs w:val="21"/>
          <w:lang w:val="es-ES"/>
        </w:rPr>
      </w:pPr>
      <w:r w:rsidRPr="460F3C83">
        <w:rPr>
          <w:rFonts w:ascii="Verdana" w:hAnsi="Verdana" w:cs="Arial"/>
          <w:color w:val="000000" w:themeColor="text1"/>
          <w:sz w:val="21"/>
          <w:szCs w:val="21"/>
          <w:lang w:val="es-ES"/>
        </w:rPr>
        <w:t xml:space="preserve">(..) no puede perderse de vista que la decisión de limitar “a </w:t>
      </w:r>
      <w:proofErr w:type="spellStart"/>
      <w:r w:rsidRPr="460F3C83">
        <w:rPr>
          <w:rFonts w:ascii="Verdana" w:hAnsi="Verdana" w:cs="Arial"/>
          <w:color w:val="000000" w:themeColor="text1"/>
          <w:sz w:val="21"/>
          <w:szCs w:val="21"/>
          <w:lang w:val="es-ES"/>
        </w:rPr>
        <w:t>Mipyme</w:t>
      </w:r>
      <w:proofErr w:type="spellEnd"/>
      <w:r w:rsidRPr="460F3C83">
        <w:rPr>
          <w:rFonts w:ascii="Verdana" w:hAnsi="Verdana" w:cs="Arial"/>
          <w:color w:val="000000" w:themeColor="text1"/>
          <w:sz w:val="21"/>
          <w:szCs w:val="21"/>
          <w:lang w:val="es-ES"/>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460F3C83">
        <w:rPr>
          <w:rFonts w:ascii="Verdana" w:hAnsi="Verdana" w:cs="Arial"/>
          <w:color w:val="000000" w:themeColor="text1"/>
          <w:sz w:val="21"/>
          <w:szCs w:val="21"/>
          <w:lang w:val="es-ES"/>
        </w:rPr>
        <w:t>Mipymes</w:t>
      </w:r>
      <w:proofErr w:type="spellEnd"/>
      <w:r w:rsidRPr="460F3C83">
        <w:rPr>
          <w:rFonts w:ascii="Verdana" w:hAnsi="Verdana" w:cs="Arial"/>
          <w:color w:val="000000" w:themeColor="text1"/>
          <w:sz w:val="21"/>
          <w:szCs w:val="21"/>
          <w:lang w:val="es-ES"/>
        </w:rPr>
        <w:t xml:space="preserve">, no puede motu propio proceder con la “limitación territorial” de que trata el artículo 2.2.1.2.4.2.3. del Decreto 1082 de 2015. Esto debido a que el ejercicio de esta facultad solo puede darse ante la “limitación a </w:t>
      </w:r>
      <w:proofErr w:type="spellStart"/>
      <w:r w:rsidRPr="460F3C83">
        <w:rPr>
          <w:rFonts w:ascii="Verdana" w:hAnsi="Verdana" w:cs="Arial"/>
          <w:color w:val="000000" w:themeColor="text1"/>
          <w:sz w:val="21"/>
          <w:szCs w:val="21"/>
          <w:lang w:val="es-ES"/>
        </w:rPr>
        <w:t>Mipymes</w:t>
      </w:r>
      <w:proofErr w:type="spellEnd"/>
      <w:r w:rsidRPr="460F3C83">
        <w:rPr>
          <w:rFonts w:ascii="Verdana" w:hAnsi="Verdana" w:cs="Arial"/>
          <w:color w:val="000000" w:themeColor="text1"/>
          <w:sz w:val="21"/>
          <w:szCs w:val="21"/>
          <w:lang w:val="es-ES"/>
        </w:rPr>
        <w:t xml:space="preserve"> colombianas”, lo cual supone verificar los supuestos legales establecidos en los mencionados numerales.</w:t>
      </w:r>
    </w:p>
    <w:p w14:paraId="4CA329D5" w14:textId="77777777" w:rsidR="00290D28" w:rsidRPr="00985BF7" w:rsidRDefault="00290D28" w:rsidP="00290D28">
      <w:pPr>
        <w:spacing w:after="0" w:line="276" w:lineRule="auto"/>
        <w:jc w:val="both"/>
        <w:rPr>
          <w:rFonts w:ascii="Verdana" w:eastAsia="Calibri" w:hAnsi="Verdana" w:cs="Arial"/>
          <w:sz w:val="21"/>
          <w:szCs w:val="21"/>
          <w:lang w:val="es-ES_tradnl" w:eastAsia="es-ES"/>
        </w:rPr>
      </w:pPr>
    </w:p>
    <w:p w14:paraId="2A88B8D5" w14:textId="77777777" w:rsidR="00290D28" w:rsidRPr="00985BF7" w:rsidRDefault="00290D28" w:rsidP="00290D28">
      <w:pPr>
        <w:spacing w:after="0" w:line="276" w:lineRule="auto"/>
        <w:jc w:val="both"/>
        <w:rPr>
          <w:rFonts w:ascii="Verdana" w:eastAsia="Calibri" w:hAnsi="Verdana" w:cs="Arial"/>
          <w:sz w:val="21"/>
          <w:szCs w:val="21"/>
          <w:lang w:val="es-ES_tradnl" w:eastAsia="es-ES"/>
        </w:rPr>
      </w:pPr>
    </w:p>
    <w:p w14:paraId="5A277ECC" w14:textId="77777777" w:rsidR="00290D28" w:rsidRPr="00985BF7" w:rsidRDefault="00290D28" w:rsidP="00290D28">
      <w:pPr>
        <w:spacing w:after="0" w:line="276" w:lineRule="auto"/>
        <w:jc w:val="both"/>
        <w:rPr>
          <w:rFonts w:ascii="Verdana" w:eastAsia="Calibri" w:hAnsi="Verdana" w:cs="Arial"/>
          <w:sz w:val="21"/>
          <w:szCs w:val="21"/>
          <w:lang w:val="es-ES_tradnl" w:eastAsia="es-ES"/>
        </w:rPr>
      </w:pPr>
    </w:p>
    <w:p w14:paraId="38383386" w14:textId="77777777" w:rsidR="00290D28" w:rsidRPr="00985BF7" w:rsidRDefault="00290D28" w:rsidP="00290D28">
      <w:pPr>
        <w:spacing w:after="0" w:line="276" w:lineRule="auto"/>
        <w:jc w:val="both"/>
        <w:rPr>
          <w:rFonts w:ascii="Verdana" w:eastAsia="Calibri" w:hAnsi="Verdana" w:cs="Arial"/>
          <w:sz w:val="21"/>
          <w:szCs w:val="21"/>
          <w:lang w:val="es-ES_tradnl" w:eastAsia="es-ES"/>
        </w:rPr>
      </w:pPr>
    </w:p>
    <w:p w14:paraId="5F1D663B" w14:textId="77777777" w:rsidR="00290D28" w:rsidRPr="00985BF7" w:rsidRDefault="00290D28" w:rsidP="00290D28">
      <w:pPr>
        <w:spacing w:after="0" w:line="276" w:lineRule="auto"/>
        <w:jc w:val="both"/>
        <w:rPr>
          <w:rFonts w:ascii="Verdana" w:eastAsia="Calibri" w:hAnsi="Verdana" w:cs="Arial"/>
          <w:sz w:val="21"/>
          <w:szCs w:val="21"/>
          <w:lang w:val="es-ES_tradnl" w:eastAsia="es-ES"/>
        </w:rPr>
      </w:pPr>
    </w:p>
    <w:p w14:paraId="05E7DB60" w14:textId="77777777" w:rsidR="00290D28" w:rsidRPr="00985BF7" w:rsidRDefault="00290D28" w:rsidP="00290D28">
      <w:pPr>
        <w:spacing w:after="0" w:line="276" w:lineRule="auto"/>
        <w:jc w:val="both"/>
        <w:rPr>
          <w:rFonts w:ascii="Verdana" w:eastAsia="Calibri" w:hAnsi="Verdana" w:cs="Arial"/>
          <w:sz w:val="21"/>
          <w:szCs w:val="21"/>
          <w:lang w:val="es-ES_tradnl" w:eastAsia="es-ES"/>
        </w:rPr>
      </w:pPr>
    </w:p>
    <w:p w14:paraId="2AD7A19B" w14:textId="77777777" w:rsidR="00290D28" w:rsidRPr="00985BF7" w:rsidRDefault="00290D28" w:rsidP="00290D28">
      <w:pPr>
        <w:spacing w:after="0" w:line="276" w:lineRule="auto"/>
        <w:jc w:val="both"/>
        <w:rPr>
          <w:rFonts w:ascii="Verdana" w:eastAsia="Calibri" w:hAnsi="Verdana" w:cs="Arial"/>
          <w:sz w:val="21"/>
          <w:szCs w:val="21"/>
          <w:lang w:val="es-ES_tradnl" w:eastAsia="es-ES"/>
        </w:rPr>
      </w:pPr>
    </w:p>
    <w:p w14:paraId="2D5F85D6" w14:textId="77777777" w:rsidR="00290D28" w:rsidRPr="00985BF7" w:rsidRDefault="00290D28" w:rsidP="00290D28">
      <w:pPr>
        <w:spacing w:after="0" w:line="276" w:lineRule="auto"/>
        <w:jc w:val="both"/>
        <w:rPr>
          <w:rFonts w:ascii="Verdana" w:eastAsia="Calibri" w:hAnsi="Verdana" w:cs="Arial"/>
          <w:sz w:val="21"/>
          <w:szCs w:val="21"/>
          <w:lang w:val="es-ES_tradnl" w:eastAsia="es-ES"/>
        </w:rPr>
      </w:pPr>
    </w:p>
    <w:p w14:paraId="449E2401" w14:textId="77777777" w:rsidR="00290D28" w:rsidRPr="00985BF7" w:rsidRDefault="00290D28" w:rsidP="00290D28">
      <w:pPr>
        <w:spacing w:after="0" w:line="276" w:lineRule="auto"/>
        <w:jc w:val="both"/>
        <w:rPr>
          <w:rFonts w:ascii="Verdana" w:eastAsia="Calibri" w:hAnsi="Verdana" w:cs="Arial"/>
          <w:sz w:val="21"/>
          <w:szCs w:val="21"/>
          <w:lang w:val="es-ES_tradnl" w:eastAsia="es-ES"/>
        </w:rPr>
      </w:pPr>
    </w:p>
    <w:p w14:paraId="01D81C39" w14:textId="77777777" w:rsidR="00290D28" w:rsidRPr="00985BF7" w:rsidRDefault="00290D28" w:rsidP="00290D28">
      <w:pPr>
        <w:spacing w:after="0" w:line="276" w:lineRule="auto"/>
        <w:jc w:val="both"/>
        <w:rPr>
          <w:rFonts w:ascii="Verdana" w:eastAsia="Calibri" w:hAnsi="Verdana" w:cs="Arial"/>
          <w:sz w:val="21"/>
          <w:szCs w:val="21"/>
          <w:lang w:val="es-ES_tradnl" w:eastAsia="es-ES"/>
        </w:rPr>
      </w:pPr>
    </w:p>
    <w:p w14:paraId="5ABF72B9" w14:textId="77777777" w:rsidR="00290D28" w:rsidRDefault="00290D28" w:rsidP="00290D28">
      <w:pPr>
        <w:spacing w:after="0" w:line="276" w:lineRule="auto"/>
        <w:jc w:val="both"/>
        <w:rPr>
          <w:rFonts w:ascii="Verdana" w:eastAsia="Calibri" w:hAnsi="Verdana" w:cs="Arial"/>
          <w:sz w:val="21"/>
          <w:szCs w:val="21"/>
          <w:lang w:val="es-ES_tradnl" w:eastAsia="es-ES"/>
        </w:rPr>
      </w:pPr>
    </w:p>
    <w:p w14:paraId="7DA11000" w14:textId="77777777" w:rsidR="00290D28" w:rsidRDefault="00290D28" w:rsidP="00290D28">
      <w:pPr>
        <w:spacing w:after="0" w:line="276" w:lineRule="auto"/>
        <w:jc w:val="both"/>
        <w:rPr>
          <w:rFonts w:ascii="Verdana" w:eastAsia="Calibri" w:hAnsi="Verdana" w:cs="Arial"/>
          <w:sz w:val="21"/>
          <w:szCs w:val="21"/>
          <w:lang w:val="es-ES_tradnl" w:eastAsia="es-ES"/>
        </w:rPr>
      </w:pPr>
    </w:p>
    <w:p w14:paraId="26EFDD51" w14:textId="77777777" w:rsidR="00290D28" w:rsidRDefault="00290D28" w:rsidP="00290D28">
      <w:pPr>
        <w:spacing w:after="0" w:line="276" w:lineRule="auto"/>
        <w:jc w:val="both"/>
        <w:rPr>
          <w:rFonts w:ascii="Verdana" w:eastAsia="Calibri" w:hAnsi="Verdana" w:cs="Arial"/>
          <w:sz w:val="21"/>
          <w:szCs w:val="21"/>
          <w:lang w:val="es-ES_tradnl" w:eastAsia="es-ES"/>
        </w:rPr>
      </w:pPr>
    </w:p>
    <w:p w14:paraId="5B0A3614" w14:textId="77777777" w:rsidR="00290D28" w:rsidRPr="00985BF7" w:rsidRDefault="00290D28" w:rsidP="00290D28">
      <w:pPr>
        <w:spacing w:after="0" w:line="276" w:lineRule="auto"/>
        <w:jc w:val="both"/>
        <w:rPr>
          <w:rFonts w:ascii="Verdana" w:eastAsia="Calibri" w:hAnsi="Verdana" w:cs="Arial"/>
          <w:sz w:val="21"/>
          <w:szCs w:val="21"/>
          <w:lang w:val="es-ES_tradnl" w:eastAsia="es-ES"/>
        </w:rPr>
      </w:pPr>
    </w:p>
    <w:p w14:paraId="18C2DD6C" w14:textId="77777777" w:rsidR="00D94796" w:rsidRDefault="00D94796" w:rsidP="00290D28">
      <w:pPr>
        <w:spacing w:after="0" w:line="276" w:lineRule="auto"/>
        <w:jc w:val="both"/>
        <w:rPr>
          <w:rFonts w:ascii="Verdana" w:hAnsi="Verdana"/>
        </w:rPr>
      </w:pPr>
    </w:p>
    <w:p w14:paraId="31C98C4F" w14:textId="67253082" w:rsidR="00290D28" w:rsidRDefault="00290D28" w:rsidP="00290D28">
      <w:pPr>
        <w:spacing w:after="0" w:line="276" w:lineRule="auto"/>
        <w:jc w:val="both"/>
        <w:rPr>
          <w:rFonts w:ascii="Verdana" w:hAnsi="Verdana"/>
        </w:rPr>
      </w:pPr>
      <w:r w:rsidRPr="0044528D">
        <w:rPr>
          <w:rFonts w:ascii="Verdana" w:hAnsi="Verdana"/>
        </w:rPr>
        <w:lastRenderedPageBreak/>
        <w:t xml:space="preserve">Bogotá D.C., </w:t>
      </w:r>
      <w:r>
        <w:rPr>
          <w:rFonts w:ascii="Verdana" w:hAnsi="Verdana"/>
        </w:rPr>
        <w:t>5 de septiembre de 2024</w:t>
      </w:r>
    </w:p>
    <w:p w14:paraId="2835155B" w14:textId="77777777" w:rsidR="00A030C4" w:rsidRDefault="00A030C4" w:rsidP="00290D28">
      <w:pPr>
        <w:spacing w:after="0" w:line="276" w:lineRule="auto"/>
        <w:jc w:val="both"/>
        <w:rPr>
          <w:rFonts w:ascii="Verdana" w:hAnsi="Verdana"/>
        </w:rPr>
      </w:pPr>
    </w:p>
    <w:p w14:paraId="4EA15B05" w14:textId="6DC477C3" w:rsidR="00A030C4" w:rsidRPr="00985BF7" w:rsidRDefault="00A030C4" w:rsidP="00A030C4">
      <w:pPr>
        <w:spacing w:after="0" w:line="276" w:lineRule="auto"/>
        <w:jc w:val="right"/>
        <w:rPr>
          <w:rFonts w:ascii="Verdana" w:eastAsia="Calibri" w:hAnsi="Verdana" w:cs="Arial"/>
          <w:sz w:val="21"/>
          <w:szCs w:val="21"/>
          <w:lang w:val="es-ES_tradnl" w:eastAsia="es-ES"/>
        </w:rPr>
      </w:pPr>
      <w:r w:rsidRPr="00A030C4">
        <w:rPr>
          <w:rFonts w:ascii="Verdana" w:eastAsia="Calibri" w:hAnsi="Verdana" w:cs="Arial"/>
          <w:noProof/>
          <w:sz w:val="21"/>
          <w:szCs w:val="21"/>
          <w:lang w:val="es-ES_tradnl" w:eastAsia="es-ES"/>
        </w:rPr>
        <w:drawing>
          <wp:inline distT="0" distB="0" distL="0" distR="0" wp14:anchorId="2533777E" wp14:editId="76197BDA">
            <wp:extent cx="3600953" cy="1019317"/>
            <wp:effectExtent l="0" t="0" r="0" b="9525"/>
            <wp:docPr id="54784774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847749" name="Imagen 1" descr="Texto&#10;&#10;Descripción generada automáticamente"/>
                    <pic:cNvPicPr/>
                  </pic:nvPicPr>
                  <pic:blipFill>
                    <a:blip r:embed="rId11"/>
                    <a:stretch>
                      <a:fillRect/>
                    </a:stretch>
                  </pic:blipFill>
                  <pic:spPr>
                    <a:xfrm>
                      <a:off x="0" y="0"/>
                      <a:ext cx="3600953" cy="1019317"/>
                    </a:xfrm>
                    <a:prstGeom prst="rect">
                      <a:avLst/>
                    </a:prstGeom>
                  </pic:spPr>
                </pic:pic>
              </a:graphicData>
            </a:graphic>
          </wp:inline>
        </w:drawing>
      </w:r>
    </w:p>
    <w:p w14:paraId="21687E3E" w14:textId="77777777" w:rsidR="00290D28" w:rsidRDefault="00290D28" w:rsidP="00290D28">
      <w:pPr>
        <w:spacing w:after="0" w:line="276" w:lineRule="auto"/>
        <w:jc w:val="both"/>
        <w:rPr>
          <w:rFonts w:ascii="Verdana" w:eastAsia="Calibri" w:hAnsi="Verdana" w:cs="Arial"/>
          <w:lang w:val="es-ES" w:eastAsia="es-ES"/>
        </w:rPr>
      </w:pPr>
    </w:p>
    <w:p w14:paraId="40BFE365" w14:textId="77777777" w:rsidR="00290D28" w:rsidRPr="005B3F16" w:rsidRDefault="00290D28" w:rsidP="00290D28">
      <w:pPr>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Señor</w:t>
      </w:r>
    </w:p>
    <w:p w14:paraId="1C836F7D" w14:textId="77777777" w:rsidR="00290D28" w:rsidRPr="000807E2" w:rsidRDefault="00290D28" w:rsidP="00290D28">
      <w:pPr>
        <w:spacing w:after="0" w:line="276" w:lineRule="auto"/>
        <w:rPr>
          <w:rFonts w:ascii="Verdana" w:eastAsia="Calibri" w:hAnsi="Verdana" w:cs="Arial"/>
          <w:b/>
          <w:bCs/>
          <w:lang w:eastAsia="es-ES_tradnl"/>
        </w:rPr>
      </w:pPr>
      <w:r w:rsidRPr="000807E2">
        <w:rPr>
          <w:rFonts w:ascii="Verdana" w:eastAsia="Calibri" w:hAnsi="Verdana" w:cs="Arial"/>
          <w:b/>
          <w:bCs/>
          <w:lang w:eastAsia="es-ES_tradnl"/>
        </w:rPr>
        <w:t>DANIEL FELIPE SANCHEZ TORRES</w:t>
      </w:r>
    </w:p>
    <w:p w14:paraId="7958C10F" w14:textId="77777777" w:rsidR="00290D28" w:rsidRPr="000807E2" w:rsidRDefault="0050414D" w:rsidP="00290D28">
      <w:pPr>
        <w:spacing w:after="0" w:line="276" w:lineRule="auto"/>
        <w:rPr>
          <w:rStyle w:val="Hipervnculo"/>
          <w:rFonts w:ascii="Verdana" w:eastAsia="Calibri" w:hAnsi="Verdana" w:cs="Arial"/>
          <w:lang w:eastAsia="es-ES_tradnl"/>
        </w:rPr>
      </w:pPr>
      <w:hyperlink r:id="rId12" w:history="1">
        <w:r w:rsidR="00290D28" w:rsidRPr="000807E2">
          <w:rPr>
            <w:rStyle w:val="Hipervnculo"/>
            <w:rFonts w:ascii="Verdana" w:eastAsia="Calibri" w:hAnsi="Verdana" w:cs="Arial"/>
            <w:lang w:eastAsia="es-ES_tradnl"/>
          </w:rPr>
          <w:t>danielschz16@gmail.com</w:t>
        </w:r>
      </w:hyperlink>
    </w:p>
    <w:p w14:paraId="5CF3548F" w14:textId="77777777" w:rsidR="00290D28" w:rsidRPr="000807E2" w:rsidRDefault="00290D28" w:rsidP="00290D28">
      <w:pPr>
        <w:spacing w:after="0" w:line="276" w:lineRule="auto"/>
        <w:rPr>
          <w:rFonts w:ascii="Verdana" w:eastAsia="Calibri" w:hAnsi="Verdana" w:cs="Arial"/>
          <w:lang w:eastAsia="es-ES_tradnl"/>
        </w:rPr>
      </w:pPr>
      <w:proofErr w:type="spellStart"/>
      <w:r w:rsidRPr="000807E2">
        <w:rPr>
          <w:rStyle w:val="Hipervnculo"/>
          <w:rFonts w:ascii="Verdana" w:eastAsia="Calibri" w:hAnsi="Verdana" w:cs="Arial"/>
          <w:lang w:eastAsia="es-ES_tradnl"/>
        </w:rPr>
        <w:t>Chia</w:t>
      </w:r>
      <w:proofErr w:type="spellEnd"/>
      <w:r w:rsidRPr="000807E2">
        <w:rPr>
          <w:rStyle w:val="Hipervnculo"/>
          <w:rFonts w:ascii="Verdana" w:eastAsia="Calibri" w:hAnsi="Verdana" w:cs="Arial"/>
          <w:lang w:eastAsia="es-ES_tradnl"/>
        </w:rPr>
        <w:t xml:space="preserve">- Cundinamarca </w:t>
      </w:r>
    </w:p>
    <w:p w14:paraId="7DFFD261" w14:textId="77777777" w:rsidR="00290D28" w:rsidRPr="000807E2" w:rsidRDefault="00290D28" w:rsidP="00290D28">
      <w:pPr>
        <w:spacing w:after="0" w:line="276" w:lineRule="auto"/>
        <w:rPr>
          <w:rFonts w:ascii="Verdana" w:eastAsia="Calibri" w:hAnsi="Verdana" w:cs="Arial"/>
          <w:b/>
          <w:bCs/>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90D28" w:rsidRPr="005B3F16" w14:paraId="35215822" w14:textId="77777777" w:rsidTr="001D204D">
        <w:trPr>
          <w:trHeight w:val="884"/>
        </w:trPr>
        <w:tc>
          <w:tcPr>
            <w:tcW w:w="2689" w:type="dxa"/>
          </w:tcPr>
          <w:p w14:paraId="5A36CAAC" w14:textId="77777777" w:rsidR="00290D28" w:rsidRPr="000807E2" w:rsidRDefault="00290D28" w:rsidP="001D204D">
            <w:pPr>
              <w:spacing w:line="276" w:lineRule="auto"/>
              <w:jc w:val="both"/>
              <w:rPr>
                <w:rFonts w:ascii="Verdana" w:eastAsia="Calibri" w:hAnsi="Verdana" w:cs="Arial"/>
                <w:b/>
                <w:bCs/>
                <w:lang w:eastAsia="es-ES_tradnl"/>
              </w:rPr>
            </w:pPr>
          </w:p>
        </w:tc>
        <w:tc>
          <w:tcPr>
            <w:tcW w:w="6100" w:type="dxa"/>
          </w:tcPr>
          <w:p w14:paraId="030A1702" w14:textId="77777777" w:rsidR="00290D28" w:rsidRPr="005B3F16" w:rsidRDefault="00290D28" w:rsidP="001D204D">
            <w:pPr>
              <w:spacing w:line="276" w:lineRule="auto"/>
              <w:jc w:val="both"/>
              <w:rPr>
                <w:rFonts w:ascii="Verdana" w:eastAsia="Calibri" w:hAnsi="Verdana" w:cs="Arial"/>
                <w:b/>
                <w:bCs/>
                <w:lang w:val="es-ES" w:eastAsia="es-ES"/>
              </w:rPr>
            </w:pPr>
            <w:r w:rsidRPr="005B3F16">
              <w:rPr>
                <w:rFonts w:ascii="Verdana" w:eastAsia="Calibri" w:hAnsi="Verdana" w:cs="Arial"/>
                <w:b/>
                <w:bCs/>
                <w:lang w:val="es-ES" w:eastAsia="es-ES"/>
              </w:rPr>
              <w:t xml:space="preserve">Concepto C- </w:t>
            </w:r>
            <w:r>
              <w:rPr>
                <w:rFonts w:ascii="Verdana" w:eastAsia="Calibri" w:hAnsi="Verdana" w:cs="Arial"/>
                <w:b/>
                <w:bCs/>
                <w:lang w:val="es-ES" w:eastAsia="es-ES"/>
              </w:rPr>
              <w:t>382</w:t>
            </w:r>
            <w:r w:rsidRPr="005B3F16">
              <w:rPr>
                <w:rFonts w:ascii="Verdana" w:eastAsia="Calibri" w:hAnsi="Verdana" w:cs="Arial"/>
                <w:b/>
                <w:bCs/>
                <w:lang w:val="es-ES" w:eastAsia="es-ES"/>
              </w:rPr>
              <w:t xml:space="preserve"> de 2024</w:t>
            </w:r>
          </w:p>
        </w:tc>
      </w:tr>
      <w:tr w:rsidR="00290D28" w:rsidRPr="005B3F16" w14:paraId="072A439A" w14:textId="77777777" w:rsidTr="001D204D">
        <w:trPr>
          <w:trHeight w:val="884"/>
        </w:trPr>
        <w:tc>
          <w:tcPr>
            <w:tcW w:w="2689" w:type="dxa"/>
          </w:tcPr>
          <w:p w14:paraId="5B3ED0DE" w14:textId="77777777" w:rsidR="00290D28" w:rsidRPr="005B3F16" w:rsidRDefault="00290D28" w:rsidP="001D204D">
            <w:pPr>
              <w:spacing w:line="276" w:lineRule="auto"/>
              <w:jc w:val="both"/>
              <w:rPr>
                <w:rFonts w:ascii="Verdana" w:eastAsia="Calibri" w:hAnsi="Verdana" w:cs="Arial"/>
                <w:lang w:val="es-ES_tradnl" w:eastAsia="es-ES_tradnl"/>
              </w:rPr>
            </w:pPr>
            <w:r w:rsidRPr="005B3F16">
              <w:rPr>
                <w:rFonts w:ascii="Verdana" w:eastAsia="Calibri" w:hAnsi="Verdana" w:cs="Arial"/>
                <w:b/>
                <w:lang w:val="es-ES_tradnl" w:eastAsia="es-ES_tradnl"/>
              </w:rPr>
              <w:t>Temas:</w:t>
            </w:r>
            <w:r w:rsidRPr="005B3F16">
              <w:rPr>
                <w:rFonts w:ascii="Verdana" w:eastAsia="Calibri" w:hAnsi="Verdana" w:cs="Arial"/>
                <w:lang w:val="es-ES_tradnl" w:eastAsia="es-ES_tradnl"/>
              </w:rPr>
              <w:t xml:space="preserve">                   </w:t>
            </w:r>
          </w:p>
        </w:tc>
        <w:tc>
          <w:tcPr>
            <w:tcW w:w="6100" w:type="dxa"/>
          </w:tcPr>
          <w:p w14:paraId="13DFAE31" w14:textId="77777777" w:rsidR="00290D28" w:rsidRPr="004D70E1" w:rsidRDefault="00290D28" w:rsidP="001D204D">
            <w:pPr>
              <w:pStyle w:val="paragraph"/>
              <w:shd w:val="clear" w:color="auto" w:fill="FFFFFF" w:themeFill="background1"/>
              <w:spacing w:after="120" w:line="276" w:lineRule="auto"/>
              <w:textAlignment w:val="baseline"/>
              <w:rPr>
                <w:rFonts w:ascii="Arial" w:eastAsiaTheme="minorHAnsi" w:hAnsi="Arial" w:cs="Arial"/>
                <w:b/>
                <w:bCs/>
                <w:color w:val="000000" w:themeColor="text1"/>
                <w:sz w:val="22"/>
                <w:szCs w:val="22"/>
                <w:lang w:val="es-ES_tradnl" w:eastAsia="en-US"/>
              </w:rPr>
            </w:pPr>
            <w:bookmarkStart w:id="2" w:name="_GoBack"/>
            <w:r w:rsidRPr="00AE7E93">
              <w:rPr>
                <w:rFonts w:ascii="Arial" w:eastAsiaTheme="minorHAnsi" w:hAnsi="Arial" w:cs="Arial"/>
                <w:b/>
                <w:bCs/>
                <w:color w:val="000000" w:themeColor="text1"/>
                <w:sz w:val="22"/>
                <w:szCs w:val="22"/>
                <w:lang w:val="es-ES_tradnl" w:eastAsia="en-US"/>
              </w:rPr>
              <w:t>CONVOCATORIAS LIMITADAS A MIPYME</w:t>
            </w:r>
            <w:bookmarkEnd w:id="2"/>
            <w:r w:rsidRPr="00AE7E93">
              <w:rPr>
                <w:rFonts w:ascii="Arial" w:eastAsiaTheme="minorHAnsi" w:hAnsi="Arial" w:cs="Arial"/>
                <w:b/>
                <w:bCs/>
                <w:color w:val="000000" w:themeColor="text1"/>
                <w:sz w:val="22"/>
                <w:szCs w:val="22"/>
                <w:lang w:val="es-ES_tradnl" w:eastAsia="en-US"/>
              </w:rPr>
              <w:t xml:space="preserve"> </w:t>
            </w:r>
            <w:r>
              <w:rPr>
                <w:rFonts w:ascii="Arial" w:eastAsiaTheme="minorHAnsi" w:hAnsi="Arial" w:cs="Arial"/>
                <w:b/>
                <w:bCs/>
                <w:color w:val="000000" w:themeColor="text1"/>
                <w:sz w:val="22"/>
                <w:szCs w:val="22"/>
                <w:lang w:val="es-ES_tradnl" w:eastAsia="en-US"/>
              </w:rPr>
              <w:t xml:space="preserve">-limitación territorial- </w:t>
            </w:r>
            <w:r w:rsidRPr="004D70E1">
              <w:rPr>
                <w:rFonts w:ascii="Arial" w:hAnsi="Arial" w:cs="Arial"/>
                <w:b/>
                <w:color w:val="000000"/>
                <w:sz w:val="22"/>
                <w:szCs w:val="22"/>
              </w:rPr>
              <w:t>Decreto 1860 de 2021</w:t>
            </w:r>
          </w:p>
        </w:tc>
      </w:tr>
      <w:tr w:rsidR="00290D28" w:rsidRPr="005B3F16" w14:paraId="04C2B047" w14:textId="77777777" w:rsidTr="001D204D">
        <w:tc>
          <w:tcPr>
            <w:tcW w:w="2689" w:type="dxa"/>
          </w:tcPr>
          <w:p w14:paraId="7B702E74" w14:textId="77777777" w:rsidR="00290D28" w:rsidRPr="005B3F16" w:rsidRDefault="00290D28" w:rsidP="001D204D">
            <w:pPr>
              <w:spacing w:line="276" w:lineRule="auto"/>
              <w:jc w:val="both"/>
              <w:rPr>
                <w:rFonts w:ascii="Verdana" w:eastAsia="Calibri" w:hAnsi="Verdana" w:cs="Arial"/>
                <w:b/>
                <w:lang w:val="es-ES_tradnl" w:eastAsia="es-ES_tradnl"/>
              </w:rPr>
            </w:pPr>
            <w:r w:rsidRPr="005B3F16">
              <w:rPr>
                <w:rFonts w:ascii="Verdana" w:eastAsia="Calibri" w:hAnsi="Verdana" w:cs="Arial"/>
                <w:b/>
                <w:lang w:val="es-ES_tradnl" w:eastAsia="es-ES_tradnl"/>
              </w:rPr>
              <w:t>Radicación:</w:t>
            </w:r>
            <w:r w:rsidRPr="005B3F16">
              <w:rPr>
                <w:rFonts w:ascii="Verdana" w:eastAsia="Calibri" w:hAnsi="Verdana" w:cs="Arial"/>
                <w:lang w:val="es-ES_tradnl" w:eastAsia="es-ES_tradnl"/>
              </w:rPr>
              <w:t xml:space="preserve">               </w:t>
            </w:r>
          </w:p>
        </w:tc>
        <w:tc>
          <w:tcPr>
            <w:tcW w:w="6100" w:type="dxa"/>
          </w:tcPr>
          <w:p w14:paraId="19B30B3C" w14:textId="77777777" w:rsidR="00290D28" w:rsidRPr="005B3F16" w:rsidRDefault="00290D28" w:rsidP="001D204D">
            <w:pPr>
              <w:spacing w:line="276" w:lineRule="auto"/>
              <w:jc w:val="both"/>
              <w:rPr>
                <w:rFonts w:ascii="Verdana" w:hAnsi="Verdana" w:cs="Arial"/>
              </w:rPr>
            </w:pPr>
            <w:r w:rsidRPr="005B3F16">
              <w:rPr>
                <w:rFonts w:ascii="Verdana" w:hAnsi="Verdana" w:cs="Arial"/>
              </w:rPr>
              <w:t xml:space="preserve">Respuesta a consulta con radicado No. </w:t>
            </w:r>
            <w:r w:rsidRPr="00B306BC">
              <w:rPr>
                <w:rFonts w:ascii="Verdana" w:hAnsi="Verdana" w:cs="Arial"/>
              </w:rPr>
              <w:t>P20240723007549</w:t>
            </w:r>
          </w:p>
        </w:tc>
      </w:tr>
    </w:tbl>
    <w:p w14:paraId="3BF13F1A" w14:textId="77777777" w:rsidR="00290D28" w:rsidRPr="005B3F16" w:rsidRDefault="00290D28" w:rsidP="00290D28">
      <w:pPr>
        <w:spacing w:after="0" w:line="276" w:lineRule="auto"/>
        <w:jc w:val="both"/>
        <w:rPr>
          <w:rFonts w:ascii="Verdana" w:eastAsia="Calibri" w:hAnsi="Verdana" w:cs="Arial"/>
          <w:lang w:val="es-ES_tradnl" w:eastAsia="es-ES_tradnl"/>
        </w:rPr>
      </w:pPr>
    </w:p>
    <w:p w14:paraId="310EA1D6" w14:textId="77777777" w:rsidR="00290D28" w:rsidRPr="005B3F16" w:rsidRDefault="00290D28" w:rsidP="00290D28">
      <w:pPr>
        <w:spacing w:after="0" w:line="276" w:lineRule="auto"/>
        <w:jc w:val="both"/>
        <w:rPr>
          <w:rFonts w:ascii="Verdana" w:eastAsia="Calibri" w:hAnsi="Verdana" w:cs="Arial"/>
          <w:lang w:val="es-ES_tradnl" w:eastAsia="es-ES_tradnl"/>
        </w:rPr>
      </w:pPr>
    </w:p>
    <w:p w14:paraId="19635CF8" w14:textId="77777777" w:rsidR="00290D28" w:rsidRPr="005B3F16" w:rsidRDefault="00290D28" w:rsidP="00290D28">
      <w:pPr>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 xml:space="preserve">Estimado señor </w:t>
      </w:r>
      <w:proofErr w:type="spellStart"/>
      <w:r>
        <w:rPr>
          <w:rFonts w:ascii="Verdana" w:eastAsia="Calibri" w:hAnsi="Verdana" w:cs="Arial"/>
          <w:lang w:val="es-ES" w:eastAsia="es-ES"/>
        </w:rPr>
        <w:t>Sanchez</w:t>
      </w:r>
      <w:proofErr w:type="spellEnd"/>
      <w:r>
        <w:rPr>
          <w:rFonts w:ascii="Verdana" w:eastAsia="Calibri" w:hAnsi="Verdana" w:cs="Arial"/>
          <w:lang w:val="es-ES" w:eastAsia="es-ES"/>
        </w:rPr>
        <w:t xml:space="preserve"> Torres</w:t>
      </w:r>
      <w:r w:rsidRPr="005B3F16">
        <w:rPr>
          <w:rFonts w:ascii="Verdana" w:eastAsia="Calibri" w:hAnsi="Verdana" w:cs="Arial"/>
          <w:lang w:val="es-ES" w:eastAsia="es-ES"/>
        </w:rPr>
        <w:t xml:space="preserve">: </w:t>
      </w:r>
    </w:p>
    <w:p w14:paraId="13F261D9" w14:textId="77777777" w:rsidR="00290D28" w:rsidRPr="005B3F16" w:rsidRDefault="00290D28" w:rsidP="00290D28">
      <w:pPr>
        <w:tabs>
          <w:tab w:val="left" w:pos="3768"/>
        </w:tabs>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ab/>
      </w:r>
    </w:p>
    <w:p w14:paraId="54A08DCF" w14:textId="77777777" w:rsidR="00290D28" w:rsidRPr="005B3F16" w:rsidRDefault="00290D28" w:rsidP="00290D28">
      <w:pPr>
        <w:spacing w:after="0" w:line="276" w:lineRule="auto"/>
        <w:jc w:val="both"/>
        <w:rPr>
          <w:rFonts w:ascii="Verdana" w:eastAsia="Calibri" w:hAnsi="Verdana" w:cs="Arial"/>
          <w:lang w:val="es-ES" w:eastAsia="es-ES"/>
        </w:rPr>
      </w:pPr>
      <w:r w:rsidRPr="005B3F16">
        <w:rPr>
          <w:rFonts w:ascii="Verdana" w:eastAsia="Calibri" w:hAnsi="Verdana" w:cs="Arial"/>
          <w:lang w:val="es-ES" w:eastAsia="es-ES"/>
        </w:rPr>
        <w:t>En ejercicio de la competencia otorgada por los artículos 3, numeral 5º, y 11, numeral 8º, del Decreto Ley 4170 de 2011,</w:t>
      </w:r>
      <w:r w:rsidRPr="005B3F16">
        <w:rPr>
          <w:rFonts w:ascii="Verdana" w:eastAsia="Arial MT" w:hAnsi="Verdana" w:cs="Arial MT"/>
          <w:lang w:val="es-ES" w:eastAsia="es-ES"/>
        </w:rPr>
        <w:t xml:space="preserve"> </w:t>
      </w:r>
      <w:r w:rsidRPr="005B3F16">
        <w:rPr>
          <w:rFonts w:ascii="Verdana" w:hAnsi="Verdana" w:cs="Arial"/>
        </w:rPr>
        <w:t xml:space="preserve">así como lo establecido en el artículo 4 de la Resolución 1707 de 2018 expedida por esta Entidad, </w:t>
      </w:r>
      <w:r w:rsidRPr="005B3F16">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 xml:space="preserve">23 </w:t>
      </w:r>
      <w:r w:rsidRPr="005B3F16">
        <w:rPr>
          <w:rFonts w:ascii="Verdana" w:eastAsia="Calibri" w:hAnsi="Verdana" w:cs="Arial"/>
          <w:lang w:val="es-ES" w:eastAsia="es-ES"/>
        </w:rPr>
        <w:t xml:space="preserve">de julio de 2024, en la cual manifiesta lo siguiente: </w:t>
      </w:r>
    </w:p>
    <w:p w14:paraId="2E6D1F15" w14:textId="77777777" w:rsidR="00290D28" w:rsidRPr="005B3F16" w:rsidRDefault="00290D28" w:rsidP="00290D28">
      <w:pPr>
        <w:pStyle w:val="Prrafodelista"/>
        <w:tabs>
          <w:tab w:val="left" w:pos="142"/>
          <w:tab w:val="left" w:pos="284"/>
        </w:tabs>
        <w:spacing w:line="276" w:lineRule="auto"/>
        <w:ind w:left="0"/>
        <w:jc w:val="both"/>
        <w:rPr>
          <w:rFonts w:ascii="Verdana" w:hAnsi="Verdana" w:cs="Arial"/>
        </w:rPr>
      </w:pPr>
    </w:p>
    <w:p w14:paraId="2B4E3D26" w14:textId="77777777" w:rsidR="00290D28" w:rsidRPr="005B3F16" w:rsidRDefault="00290D28" w:rsidP="00290D28">
      <w:pPr>
        <w:autoSpaceDE w:val="0"/>
        <w:autoSpaceDN w:val="0"/>
        <w:adjustRightInd w:val="0"/>
        <w:spacing w:after="0" w:line="276" w:lineRule="auto"/>
        <w:ind w:left="709" w:right="709"/>
        <w:jc w:val="both"/>
        <w:rPr>
          <w:rFonts w:ascii="Verdana" w:hAnsi="Verdana" w:cs="Arial"/>
          <w:sz w:val="21"/>
          <w:szCs w:val="21"/>
        </w:rPr>
      </w:pPr>
      <w:bookmarkStart w:id="3" w:name="_Hlk95313578"/>
      <w:r w:rsidRPr="005B3F16">
        <w:rPr>
          <w:rFonts w:ascii="Verdana" w:hAnsi="Verdana" w:cs="Arial"/>
          <w:sz w:val="21"/>
          <w:szCs w:val="21"/>
        </w:rPr>
        <w:t>“</w:t>
      </w:r>
      <w:bookmarkEnd w:id="3"/>
      <w:r w:rsidRPr="00221EA7">
        <w:rPr>
          <w:rFonts w:ascii="Verdana" w:hAnsi="Verdana" w:cs="Arial"/>
          <w:sz w:val="21"/>
          <w:szCs w:val="21"/>
        </w:rPr>
        <w:t>En un proceso de contratación estatal en Colombia, susceptible de ser limitado a</w:t>
      </w:r>
      <w:r>
        <w:rPr>
          <w:rFonts w:ascii="Verdana" w:hAnsi="Verdana" w:cs="Arial"/>
          <w:sz w:val="21"/>
          <w:szCs w:val="21"/>
        </w:rPr>
        <w:t xml:space="preserve"> </w:t>
      </w:r>
      <w:proofErr w:type="spellStart"/>
      <w:r w:rsidRPr="00221EA7">
        <w:rPr>
          <w:rFonts w:ascii="Verdana" w:hAnsi="Verdana" w:cs="Arial"/>
          <w:sz w:val="21"/>
          <w:szCs w:val="21"/>
        </w:rPr>
        <w:t>Mipymes</w:t>
      </w:r>
      <w:proofErr w:type="spellEnd"/>
      <w:r w:rsidRPr="00221EA7">
        <w:rPr>
          <w:rFonts w:ascii="Verdana" w:hAnsi="Verdana" w:cs="Arial"/>
          <w:sz w:val="21"/>
          <w:szCs w:val="21"/>
        </w:rPr>
        <w:t xml:space="preserve"> colombianas, si se presentan igual número de </w:t>
      </w:r>
      <w:r w:rsidRPr="00221EA7">
        <w:rPr>
          <w:rFonts w:ascii="Verdana" w:hAnsi="Verdana" w:cs="Arial"/>
          <w:sz w:val="21"/>
          <w:szCs w:val="21"/>
        </w:rPr>
        <w:lastRenderedPageBreak/>
        <w:t>limitaciones tanto a nivel</w:t>
      </w:r>
      <w:r>
        <w:rPr>
          <w:rFonts w:ascii="Verdana" w:hAnsi="Verdana" w:cs="Arial"/>
          <w:sz w:val="21"/>
          <w:szCs w:val="21"/>
        </w:rPr>
        <w:t xml:space="preserve"> </w:t>
      </w:r>
      <w:r w:rsidRPr="00221EA7">
        <w:rPr>
          <w:rFonts w:ascii="Verdana" w:hAnsi="Verdana" w:cs="Arial"/>
          <w:sz w:val="21"/>
          <w:szCs w:val="21"/>
        </w:rPr>
        <w:t>municipal como departamental, ¿cuáles son los criterios que debe seguir la entidad</w:t>
      </w:r>
      <w:r>
        <w:rPr>
          <w:rFonts w:ascii="Verdana" w:hAnsi="Verdana" w:cs="Arial"/>
          <w:sz w:val="21"/>
          <w:szCs w:val="21"/>
        </w:rPr>
        <w:t xml:space="preserve"> </w:t>
      </w:r>
      <w:r w:rsidRPr="00221EA7">
        <w:rPr>
          <w:rFonts w:ascii="Verdana" w:hAnsi="Verdana" w:cs="Arial"/>
          <w:sz w:val="21"/>
          <w:szCs w:val="21"/>
        </w:rPr>
        <w:t xml:space="preserve">contratante para decidir si limita el proceso a </w:t>
      </w:r>
      <w:proofErr w:type="spellStart"/>
      <w:r w:rsidRPr="00221EA7">
        <w:rPr>
          <w:rFonts w:ascii="Verdana" w:hAnsi="Verdana" w:cs="Arial"/>
          <w:sz w:val="21"/>
          <w:szCs w:val="21"/>
        </w:rPr>
        <w:t>Mipymes</w:t>
      </w:r>
      <w:proofErr w:type="spellEnd"/>
      <w:r w:rsidRPr="00221EA7">
        <w:rPr>
          <w:rFonts w:ascii="Verdana" w:hAnsi="Verdana" w:cs="Arial"/>
          <w:sz w:val="21"/>
          <w:szCs w:val="21"/>
        </w:rPr>
        <w:t xml:space="preserve"> municipales o</w:t>
      </w:r>
      <w:r>
        <w:rPr>
          <w:rFonts w:ascii="Verdana" w:hAnsi="Verdana" w:cs="Arial"/>
          <w:sz w:val="21"/>
          <w:szCs w:val="21"/>
        </w:rPr>
        <w:t xml:space="preserve"> </w:t>
      </w:r>
      <w:r w:rsidRPr="00221EA7">
        <w:rPr>
          <w:rFonts w:ascii="Verdana" w:hAnsi="Verdana" w:cs="Arial"/>
          <w:sz w:val="21"/>
          <w:szCs w:val="21"/>
        </w:rPr>
        <w:t>departamentales? ¿Existe alguna normativa específica o lineamiento general que</w:t>
      </w:r>
      <w:r>
        <w:rPr>
          <w:rFonts w:ascii="Verdana" w:hAnsi="Verdana" w:cs="Arial"/>
          <w:sz w:val="21"/>
          <w:szCs w:val="21"/>
        </w:rPr>
        <w:t xml:space="preserve"> </w:t>
      </w:r>
      <w:r w:rsidRPr="00221EA7">
        <w:rPr>
          <w:rFonts w:ascii="Verdana" w:hAnsi="Verdana" w:cs="Arial"/>
          <w:sz w:val="21"/>
          <w:szCs w:val="21"/>
        </w:rPr>
        <w:t>guíe esta decisión?:</w:t>
      </w:r>
      <w:r w:rsidRPr="005B3F16">
        <w:rPr>
          <w:rFonts w:ascii="Verdana" w:hAnsi="Verdana" w:cs="Arial"/>
          <w:sz w:val="21"/>
          <w:szCs w:val="21"/>
        </w:rPr>
        <w:t>”</w:t>
      </w:r>
    </w:p>
    <w:p w14:paraId="738CB072" w14:textId="77777777" w:rsidR="00290D28" w:rsidRPr="005B3F16" w:rsidRDefault="00290D28" w:rsidP="00290D28">
      <w:pPr>
        <w:autoSpaceDE w:val="0"/>
        <w:autoSpaceDN w:val="0"/>
        <w:adjustRightInd w:val="0"/>
        <w:spacing w:after="0" w:line="276" w:lineRule="auto"/>
        <w:ind w:left="709" w:right="709"/>
        <w:jc w:val="both"/>
        <w:rPr>
          <w:rFonts w:ascii="Verdana" w:hAnsi="Verdana" w:cs="Arial"/>
          <w:sz w:val="21"/>
          <w:szCs w:val="21"/>
        </w:rPr>
      </w:pPr>
      <w:r w:rsidRPr="005B3F16">
        <w:rPr>
          <w:rFonts w:ascii="Verdana" w:eastAsia="Calibri" w:hAnsi="Verdana" w:cs="Arial"/>
          <w:sz w:val="21"/>
          <w:szCs w:val="21"/>
          <w:lang w:val="es-ES" w:eastAsia="es-ES"/>
        </w:rPr>
        <w:t xml:space="preserve"> (sic).</w:t>
      </w:r>
    </w:p>
    <w:p w14:paraId="7759F6DA" w14:textId="77777777" w:rsidR="00290D28" w:rsidRPr="005B3F16" w:rsidRDefault="00290D28" w:rsidP="00290D28">
      <w:pPr>
        <w:pStyle w:val="Prrafodelista"/>
        <w:tabs>
          <w:tab w:val="left" w:pos="142"/>
          <w:tab w:val="left" w:pos="284"/>
        </w:tabs>
        <w:spacing w:line="276" w:lineRule="auto"/>
        <w:ind w:left="0"/>
        <w:jc w:val="both"/>
        <w:rPr>
          <w:rFonts w:ascii="Verdana" w:eastAsia="Century Gothic" w:hAnsi="Verdana" w:cs="Century Gothic"/>
          <w:b/>
          <w:bCs/>
        </w:rPr>
      </w:pPr>
    </w:p>
    <w:p w14:paraId="516009B2" w14:textId="77777777" w:rsidR="00290D28" w:rsidRPr="005B3F16" w:rsidRDefault="00290D28" w:rsidP="00290D28">
      <w:pPr>
        <w:spacing w:after="120" w:line="276" w:lineRule="auto"/>
        <w:ind w:firstLine="709"/>
        <w:jc w:val="both"/>
        <w:rPr>
          <w:rFonts w:ascii="Verdana" w:eastAsia="Calibri" w:hAnsi="Verdana" w:cs="Arial"/>
          <w:szCs w:val="24"/>
          <w:lang w:val="es-ES_tradnl" w:eastAsia="es-ES_tradnl"/>
        </w:rPr>
      </w:pPr>
      <w:r w:rsidRPr="005B3F1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B3F16">
        <w:rPr>
          <w:rFonts w:ascii="Verdana" w:eastAsia="Calibri" w:hAnsi="Verdana" w:cs="Arial"/>
          <w:szCs w:val="24"/>
          <w:lang w:val="es-ES_tradnl" w:eastAsia="es-ES_tradnl"/>
        </w:rPr>
        <w:tab/>
      </w:r>
    </w:p>
    <w:p w14:paraId="6C60DF48" w14:textId="77777777" w:rsidR="00290D28" w:rsidRPr="005B3F16" w:rsidRDefault="00290D28" w:rsidP="00290D28">
      <w:pPr>
        <w:spacing w:after="0" w:line="276" w:lineRule="auto"/>
        <w:ind w:firstLine="709"/>
        <w:jc w:val="both"/>
        <w:rPr>
          <w:rFonts w:ascii="Verdana" w:eastAsia="Calibri" w:hAnsi="Verdana" w:cs="Arial"/>
          <w:lang w:val="es-ES" w:eastAsia="es-ES"/>
        </w:rPr>
      </w:pPr>
      <w:r w:rsidRPr="005B3F1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B62C364" w14:textId="77777777" w:rsidR="00290D28" w:rsidRPr="005B3F16" w:rsidRDefault="00290D28" w:rsidP="00290D28">
      <w:pPr>
        <w:spacing w:after="0" w:line="276" w:lineRule="auto"/>
        <w:ind w:firstLine="709"/>
        <w:jc w:val="both"/>
        <w:rPr>
          <w:rFonts w:ascii="Verdana" w:eastAsia="Calibri" w:hAnsi="Verdana" w:cs="Arial"/>
          <w:lang w:val="es-ES" w:eastAsia="es-ES"/>
        </w:rPr>
      </w:pPr>
    </w:p>
    <w:p w14:paraId="76EEC571" w14:textId="77777777" w:rsidR="00290D28" w:rsidRPr="005B3F16" w:rsidRDefault="00290D28" w:rsidP="00290D28">
      <w:pPr>
        <w:pStyle w:val="Prrafodelista"/>
        <w:numPr>
          <w:ilvl w:val="0"/>
          <w:numId w:val="4"/>
        </w:numPr>
        <w:tabs>
          <w:tab w:val="left" w:pos="142"/>
          <w:tab w:val="left" w:pos="284"/>
        </w:tabs>
        <w:spacing w:after="0" w:line="276" w:lineRule="auto"/>
        <w:ind w:left="0" w:firstLine="0"/>
        <w:jc w:val="both"/>
        <w:rPr>
          <w:rFonts w:ascii="Verdana" w:eastAsia="Century Gothic" w:hAnsi="Verdana" w:cs="Century Gothic"/>
          <w:b/>
          <w:bCs/>
        </w:rPr>
      </w:pPr>
      <w:r w:rsidRPr="005B3F16">
        <w:rPr>
          <w:rFonts w:ascii="Verdana" w:eastAsia="Century Gothic" w:hAnsi="Verdana" w:cs="Century Gothic"/>
          <w:b/>
          <w:bCs/>
        </w:rPr>
        <w:t>Problema planteado:</w:t>
      </w:r>
    </w:p>
    <w:p w14:paraId="41197264" w14:textId="77777777" w:rsidR="00290D28" w:rsidRPr="005B3F16" w:rsidRDefault="00290D28" w:rsidP="00290D28">
      <w:pPr>
        <w:tabs>
          <w:tab w:val="left" w:pos="426"/>
        </w:tabs>
        <w:spacing w:after="0" w:line="276" w:lineRule="auto"/>
        <w:jc w:val="both"/>
        <w:rPr>
          <w:rFonts w:ascii="Verdana" w:eastAsia="Century Gothic" w:hAnsi="Verdana" w:cs="Century Gothic"/>
          <w:lang w:val="es-ES"/>
        </w:rPr>
      </w:pPr>
    </w:p>
    <w:p w14:paraId="0846475D" w14:textId="77777777" w:rsidR="00290D28" w:rsidRPr="005B3F16" w:rsidRDefault="00290D28" w:rsidP="00290D28">
      <w:pPr>
        <w:spacing w:after="0" w:line="276" w:lineRule="auto"/>
        <w:jc w:val="both"/>
        <w:rPr>
          <w:rFonts w:ascii="Verdana" w:eastAsia="Century Gothic" w:hAnsi="Verdana" w:cs="Century Gothic"/>
        </w:rPr>
      </w:pPr>
      <w:r w:rsidRPr="005B3F16">
        <w:rPr>
          <w:rFonts w:ascii="Verdana" w:eastAsia="Century Gothic" w:hAnsi="Verdana" w:cs="Century Gothic"/>
        </w:rPr>
        <w:t xml:space="preserve">De acuerdo con el contenido de su solicitud, esta Agencia resolverá el siguiente problema jurídico: </w:t>
      </w:r>
      <w:r w:rsidRPr="008D40C5">
        <w:rPr>
          <w:rFonts w:ascii="Verdana" w:eastAsia="Century Gothic" w:hAnsi="Verdana" w:cs="Century Gothic"/>
        </w:rPr>
        <w:t>¿</w:t>
      </w:r>
      <w:r w:rsidRPr="005307B9">
        <w:rPr>
          <w:rFonts w:ascii="Verdana" w:hAnsi="Verdana" w:cs="Arial"/>
          <w:sz w:val="21"/>
          <w:szCs w:val="21"/>
        </w:rPr>
        <w:t>Cuáles</w:t>
      </w:r>
      <w:r>
        <w:rPr>
          <w:rFonts w:ascii="Verdana" w:hAnsi="Verdana" w:cs="Arial"/>
          <w:sz w:val="21"/>
          <w:szCs w:val="21"/>
        </w:rPr>
        <w:t xml:space="preserve"> son los </w:t>
      </w:r>
      <w:r w:rsidRPr="00221EA7">
        <w:rPr>
          <w:rFonts w:ascii="Verdana" w:hAnsi="Verdana" w:cs="Arial"/>
          <w:sz w:val="21"/>
          <w:szCs w:val="21"/>
        </w:rPr>
        <w:t>criterios que debe seguir la entidad</w:t>
      </w:r>
      <w:r>
        <w:rPr>
          <w:rFonts w:ascii="Verdana" w:hAnsi="Verdana" w:cs="Arial"/>
          <w:sz w:val="21"/>
          <w:szCs w:val="21"/>
        </w:rPr>
        <w:t xml:space="preserve"> </w:t>
      </w:r>
      <w:r w:rsidRPr="00221EA7">
        <w:rPr>
          <w:rFonts w:ascii="Verdana" w:hAnsi="Verdana" w:cs="Arial"/>
          <w:sz w:val="21"/>
          <w:szCs w:val="21"/>
        </w:rPr>
        <w:t xml:space="preserve">contratante para decidir si limita el proceso a </w:t>
      </w:r>
      <w:proofErr w:type="spellStart"/>
      <w:r w:rsidRPr="00221EA7">
        <w:rPr>
          <w:rFonts w:ascii="Verdana" w:hAnsi="Verdana" w:cs="Arial"/>
          <w:sz w:val="21"/>
          <w:szCs w:val="21"/>
        </w:rPr>
        <w:t>Mipymes</w:t>
      </w:r>
      <w:proofErr w:type="spellEnd"/>
      <w:r w:rsidRPr="00221EA7">
        <w:rPr>
          <w:rFonts w:ascii="Verdana" w:hAnsi="Verdana" w:cs="Arial"/>
          <w:sz w:val="21"/>
          <w:szCs w:val="21"/>
        </w:rPr>
        <w:t xml:space="preserve"> municipales o</w:t>
      </w:r>
      <w:r>
        <w:rPr>
          <w:rFonts w:ascii="Verdana" w:hAnsi="Verdana" w:cs="Arial"/>
          <w:sz w:val="21"/>
          <w:szCs w:val="21"/>
        </w:rPr>
        <w:t xml:space="preserve"> </w:t>
      </w:r>
      <w:r w:rsidRPr="00221EA7">
        <w:rPr>
          <w:rFonts w:ascii="Verdana" w:hAnsi="Verdana" w:cs="Arial"/>
          <w:sz w:val="21"/>
          <w:szCs w:val="21"/>
        </w:rPr>
        <w:t>departamentales</w:t>
      </w:r>
      <w:r w:rsidRPr="008D40C5">
        <w:rPr>
          <w:rFonts w:ascii="Verdana" w:eastAsia="Century Gothic" w:hAnsi="Verdana" w:cs="Century Gothic"/>
        </w:rPr>
        <w:t>?</w:t>
      </w:r>
    </w:p>
    <w:p w14:paraId="0B2C76E2" w14:textId="77777777" w:rsidR="00290D28" w:rsidRPr="005B3F16" w:rsidRDefault="00290D28" w:rsidP="00290D28">
      <w:pPr>
        <w:spacing w:after="0" w:line="276" w:lineRule="auto"/>
        <w:jc w:val="both"/>
        <w:rPr>
          <w:rFonts w:ascii="Verdana" w:eastAsia="Calibri" w:hAnsi="Verdana" w:cs="Arial"/>
          <w:lang w:val="es-ES"/>
        </w:rPr>
      </w:pPr>
    </w:p>
    <w:p w14:paraId="43D96324" w14:textId="77777777" w:rsidR="00290D28" w:rsidRPr="005B3F16" w:rsidRDefault="00290D28" w:rsidP="00290D2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t>Respuesta:</w:t>
      </w:r>
    </w:p>
    <w:p w14:paraId="05BD27E9" w14:textId="77777777" w:rsidR="00290D28" w:rsidRPr="005B3F16" w:rsidRDefault="00290D28" w:rsidP="00290D2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90D28" w:rsidRPr="005B3F16" w14:paraId="0F269410" w14:textId="77777777" w:rsidTr="001D204D">
        <w:tc>
          <w:tcPr>
            <w:tcW w:w="8828" w:type="dxa"/>
            <w:shd w:val="clear" w:color="auto" w:fill="auto"/>
          </w:tcPr>
          <w:p w14:paraId="44B0C23A" w14:textId="77777777" w:rsidR="00290D28" w:rsidRPr="005B3F16" w:rsidRDefault="00290D28" w:rsidP="001D204D">
            <w:pPr>
              <w:spacing w:after="120" w:line="276" w:lineRule="auto"/>
              <w:jc w:val="both"/>
              <w:rPr>
                <w:rFonts w:ascii="Verdana" w:eastAsia="Century Gothic" w:hAnsi="Verdana" w:cs="Century Gothic"/>
              </w:rPr>
            </w:pPr>
            <w:r w:rsidRPr="005B3F16">
              <w:rPr>
                <w:rFonts w:ascii="Verdana" w:eastAsia="Century Gothic" w:hAnsi="Verdana" w:cs="Century Gothic"/>
              </w:rPr>
              <w:lastRenderedPageBreak/>
              <w:t xml:space="preserve"> </w:t>
            </w:r>
            <w:r>
              <w:rPr>
                <w:rFonts w:ascii="Verdana" w:eastAsia="Century Gothic" w:hAnsi="Verdana" w:cs="Century Gothic"/>
              </w:rPr>
              <w:t>L</w:t>
            </w:r>
            <w:r w:rsidRPr="005B3F16">
              <w:rPr>
                <w:rFonts w:ascii="Verdana" w:eastAsia="Century Gothic" w:hAnsi="Verdana" w:cs="Century Gothic"/>
              </w:rPr>
              <w:t xml:space="preserve">a facultad de limitar convocatorias territorialmente en favor de las </w:t>
            </w:r>
            <w:proofErr w:type="spellStart"/>
            <w:r w:rsidRPr="005B3F16">
              <w:rPr>
                <w:rFonts w:ascii="Verdana" w:eastAsia="Century Gothic" w:hAnsi="Verdana" w:cs="Century Gothic"/>
              </w:rPr>
              <w:t>Mipymes</w:t>
            </w:r>
            <w:proofErr w:type="spellEnd"/>
            <w:r w:rsidRPr="005B3F16">
              <w:rPr>
                <w:rFonts w:ascii="Verdana" w:eastAsia="Century Gothic" w:hAnsi="Verdana" w:cs="Century Gothic"/>
              </w:rPr>
              <w:t xml:space="preserve"> con domicilio en un municipio en un departamento específico debe ejercerse por las entidades estatales dentro del marco de lo regulado por el artículo 2.2.1.2.4.2.3 del Decreto 1082 de 2015, el cual establece como presupuesto para que las </w:t>
            </w:r>
            <w:proofErr w:type="spellStart"/>
            <w:r w:rsidRPr="005B3F16">
              <w:rPr>
                <w:rFonts w:ascii="Verdana" w:eastAsia="Century Gothic" w:hAnsi="Verdana" w:cs="Century Gothic"/>
              </w:rPr>
              <w:t>Mipymes</w:t>
            </w:r>
            <w:proofErr w:type="spellEnd"/>
            <w:r w:rsidRPr="005B3F16">
              <w:rPr>
                <w:rFonts w:ascii="Verdana" w:eastAsia="Century Gothic" w:hAnsi="Verdana" w:cs="Century Gothic"/>
              </w:rPr>
              <w:t xml:space="preserve"> tengan su domicilio en el lugar en donde se va a ejecutar el contrato. En ese sentido, en el marco de estas convocatorias, la exigibilidad de que el domicilio de las </w:t>
            </w:r>
            <w:proofErr w:type="spellStart"/>
            <w:r w:rsidRPr="005B3F16">
              <w:rPr>
                <w:rFonts w:ascii="Verdana" w:eastAsia="Century Gothic" w:hAnsi="Verdana" w:cs="Century Gothic"/>
              </w:rPr>
              <w:t>Mipymes</w:t>
            </w:r>
            <w:proofErr w:type="spellEnd"/>
            <w:r w:rsidRPr="005B3F16">
              <w:rPr>
                <w:rFonts w:ascii="Verdana" w:eastAsia="Century Gothic" w:hAnsi="Verdana" w:cs="Century Gothic"/>
              </w:rPr>
              <w:t xml:space="preserve"> se ubique en un único municipio en particular o en alguno de los municipios que conforman un departamento en concreto, depende del ámbito territorial en el que se va a desarrollar el objeto contractual. </w:t>
            </w:r>
          </w:p>
          <w:p w14:paraId="4C1807D5" w14:textId="77777777" w:rsidR="00290D28" w:rsidRDefault="00290D28" w:rsidP="001D204D">
            <w:pPr>
              <w:spacing w:after="120" w:line="276" w:lineRule="auto"/>
              <w:jc w:val="both"/>
              <w:rPr>
                <w:rFonts w:ascii="Verdana" w:eastAsia="Century Gothic" w:hAnsi="Verdana" w:cs="Century Gothic"/>
              </w:rPr>
            </w:pPr>
            <w:r w:rsidRPr="005B3F16">
              <w:rPr>
                <w:rFonts w:ascii="Verdana" w:eastAsia="Century Gothic" w:hAnsi="Verdana" w:cs="Century Gothic"/>
              </w:rPr>
              <w:t xml:space="preserve">Conforme a lo anterior, sí un contrato se va a ejecutar en un único municipio, las </w:t>
            </w:r>
            <w:proofErr w:type="spellStart"/>
            <w:r w:rsidRPr="005B3F16">
              <w:rPr>
                <w:rFonts w:ascii="Verdana" w:eastAsia="Century Gothic" w:hAnsi="Verdana" w:cs="Century Gothic"/>
              </w:rPr>
              <w:t>Mipymes</w:t>
            </w:r>
            <w:proofErr w:type="spellEnd"/>
            <w:r w:rsidRPr="005B3F16">
              <w:rPr>
                <w:rFonts w:ascii="Verdana" w:eastAsia="Century Gothic" w:hAnsi="Verdana" w:cs="Century Gothic"/>
              </w:rPr>
              <w:t xml:space="preserve"> que participen la convocatoria limitada por el factor territorial deberán tener su domicilio principal en dicha entidad territorial.  Asimismo, tratándose de un contrato cuya ejecución deberá desplegarse en el ámbito departamental, habiéndose limitado la convocatoria según lo dispuesto en el artículo 2.2.1.2.4.2.3, podrán participar </w:t>
            </w:r>
            <w:proofErr w:type="spellStart"/>
            <w:r w:rsidRPr="005B3F16">
              <w:rPr>
                <w:rFonts w:ascii="Verdana" w:eastAsia="Century Gothic" w:hAnsi="Verdana" w:cs="Century Gothic"/>
              </w:rPr>
              <w:t>Mipymes</w:t>
            </w:r>
            <w:proofErr w:type="spellEnd"/>
            <w:r w:rsidRPr="005B3F16">
              <w:rPr>
                <w:rFonts w:ascii="Verdana" w:eastAsia="Century Gothic" w:hAnsi="Verdana" w:cs="Century Gothic"/>
              </w:rPr>
              <w:t xml:space="preserve"> cuyos domicilios se encuentren establecidos en alguno de los municipios que conforman el departamento en el que se va a ejecutar el contrato.   </w:t>
            </w:r>
          </w:p>
          <w:p w14:paraId="50F14B46" w14:textId="77777777" w:rsidR="00290D28" w:rsidRPr="009D7DDD" w:rsidRDefault="00290D28" w:rsidP="001D204D">
            <w:pPr>
              <w:pStyle w:val="paragraph"/>
              <w:spacing w:after="0" w:line="276" w:lineRule="auto"/>
              <w:jc w:val="both"/>
              <w:textAlignment w:val="baseline"/>
              <w:rPr>
                <w:rFonts w:ascii="Verdana" w:eastAsia="Century Gothic" w:hAnsi="Verdana" w:cs="Century Gothic"/>
                <w:sz w:val="22"/>
                <w:szCs w:val="22"/>
                <w:lang w:eastAsia="en-US"/>
              </w:rPr>
            </w:pPr>
            <w:r w:rsidRPr="009D7DDD">
              <w:rPr>
                <w:rFonts w:ascii="Verdana" w:eastAsia="Century Gothic" w:hAnsi="Verdana" w:cs="Century Gothic"/>
                <w:sz w:val="22"/>
                <w:szCs w:val="22"/>
                <w:lang w:eastAsia="en-US"/>
              </w:rPr>
              <w:t xml:space="preserve">Adicionalmente, no puede perderse de vista que la decisión de limitar “a </w:t>
            </w:r>
            <w:proofErr w:type="spellStart"/>
            <w:r w:rsidRPr="009D7DDD">
              <w:rPr>
                <w:rFonts w:ascii="Verdana" w:eastAsia="Century Gothic" w:hAnsi="Verdana" w:cs="Century Gothic"/>
                <w:sz w:val="22"/>
                <w:szCs w:val="22"/>
                <w:lang w:eastAsia="en-US"/>
              </w:rPr>
              <w:t>Mipyme</w:t>
            </w:r>
            <w:proofErr w:type="spellEnd"/>
            <w:r w:rsidRPr="009D7DDD">
              <w:rPr>
                <w:rFonts w:ascii="Verdana" w:eastAsia="Century Gothic" w:hAnsi="Verdana" w:cs="Century Gothic"/>
                <w:sz w:val="22"/>
                <w:szCs w:val="22"/>
                <w:lang w:eastAsia="en-US"/>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w:t>
            </w:r>
          </w:p>
          <w:p w14:paraId="53E18E8D" w14:textId="77777777" w:rsidR="00290D28" w:rsidRPr="009D7DDD" w:rsidRDefault="00290D28" w:rsidP="001D204D">
            <w:pPr>
              <w:spacing w:after="120" w:line="276" w:lineRule="auto"/>
              <w:jc w:val="both"/>
              <w:rPr>
                <w:rFonts w:ascii="Verdana" w:eastAsia="Century Gothic" w:hAnsi="Verdana" w:cs="Century Gothic"/>
                <w:lang w:val="es-ES_tradnl"/>
              </w:rPr>
            </w:pPr>
          </w:p>
        </w:tc>
      </w:tr>
    </w:tbl>
    <w:p w14:paraId="560ADF4F" w14:textId="77777777" w:rsidR="00290D28" w:rsidRPr="005B3F16" w:rsidRDefault="00290D28" w:rsidP="00290D28">
      <w:pPr>
        <w:tabs>
          <w:tab w:val="left" w:pos="142"/>
          <w:tab w:val="left" w:pos="284"/>
        </w:tabs>
        <w:spacing w:after="0" w:line="276" w:lineRule="auto"/>
        <w:jc w:val="both"/>
        <w:rPr>
          <w:rFonts w:ascii="Verdana" w:eastAsia="Century Gothic" w:hAnsi="Verdana" w:cs="Century Gothic"/>
          <w:b/>
          <w:bCs/>
          <w:lang w:val="es-ES"/>
        </w:rPr>
      </w:pPr>
    </w:p>
    <w:p w14:paraId="7A25CE0F" w14:textId="77777777" w:rsidR="00290D28" w:rsidRPr="005B3F16" w:rsidRDefault="00290D28" w:rsidP="00290D28">
      <w:pPr>
        <w:spacing w:after="120" w:line="276" w:lineRule="auto"/>
        <w:ind w:firstLine="708"/>
        <w:jc w:val="both"/>
        <w:rPr>
          <w:rFonts w:ascii="Verdana" w:hAnsi="Verdana" w:cs="Arial"/>
          <w:color w:val="000000" w:themeColor="text1"/>
        </w:rPr>
      </w:pPr>
      <w:r w:rsidRPr="005B3F16">
        <w:rPr>
          <w:rFonts w:ascii="Verdana" w:eastAsia="Century Gothic" w:hAnsi="Verdana" w:cs="Century Gothic"/>
          <w:b/>
          <w:bCs/>
        </w:rPr>
        <w:t>Razones de la respuesta:</w:t>
      </w:r>
      <w:r w:rsidRPr="005B3F16">
        <w:rPr>
          <w:rFonts w:ascii="Verdana" w:hAnsi="Verdana" w:cs="Arial"/>
          <w:color w:val="000000" w:themeColor="text1"/>
        </w:rPr>
        <w:t xml:space="preserve"> </w:t>
      </w:r>
    </w:p>
    <w:p w14:paraId="175F1907" w14:textId="77777777" w:rsidR="00290D28" w:rsidRPr="005B3F16" w:rsidRDefault="00290D28" w:rsidP="00290D28">
      <w:pPr>
        <w:spacing w:after="120" w:line="276" w:lineRule="auto"/>
        <w:ind w:firstLine="708"/>
        <w:jc w:val="both"/>
        <w:rPr>
          <w:rFonts w:ascii="Verdana" w:eastAsia="Calibri" w:hAnsi="Verdana" w:cs="Arial"/>
          <w:lang w:val="es-ES"/>
        </w:rPr>
      </w:pPr>
      <w:r w:rsidRPr="005B3F16">
        <w:rPr>
          <w:rFonts w:ascii="Verdana" w:eastAsia="Calibri" w:hAnsi="Verdana" w:cs="Arial"/>
          <w:lang w:val="es-ES"/>
        </w:rPr>
        <w:t>Lo anterior se sustenta en las siguientes consideraciones:</w:t>
      </w:r>
    </w:p>
    <w:p w14:paraId="364FD385" w14:textId="77777777" w:rsidR="00290D28" w:rsidRDefault="00290D28" w:rsidP="00290D28">
      <w:pPr>
        <w:pStyle w:val="Prrafodelista"/>
        <w:numPr>
          <w:ilvl w:val="0"/>
          <w:numId w:val="16"/>
        </w:numPr>
        <w:spacing w:after="120" w:line="276" w:lineRule="auto"/>
        <w:jc w:val="both"/>
        <w:rPr>
          <w:rFonts w:ascii="Verdana" w:hAnsi="Verdana" w:cs="Arial"/>
          <w:color w:val="000000" w:themeColor="text1"/>
          <w:lang w:val="es-ES_tradnl"/>
        </w:rPr>
      </w:pPr>
      <w:r w:rsidRPr="00AE6A98">
        <w:rPr>
          <w:rFonts w:ascii="Verdana" w:hAnsi="Verdana" w:cs="Arial"/>
          <w:color w:val="000000" w:themeColor="text1"/>
          <w:lang w:val="es-ES_tradnl"/>
        </w:rPr>
        <w:t xml:space="preserve">El artículo 34 de la Ley 2069 de 2020 establece nuevas reglas sobre la promoción al desarrollo en la contratación estatal. Concretamente, </w:t>
      </w:r>
      <w:r w:rsidRPr="00AE6A98">
        <w:rPr>
          <w:rFonts w:ascii="Verdana" w:hAnsi="Verdana" w:cs="Arial"/>
          <w:color w:val="000000" w:themeColor="text1"/>
          <w:lang w:val="es-ES_tradnl"/>
        </w:rPr>
        <w:lastRenderedPageBreak/>
        <w:t>modifica el contenido del artículo 12 de la Ley 1150 de 2007, prescribiendo lo que se indica a continuación:</w:t>
      </w:r>
    </w:p>
    <w:p w14:paraId="2F727513" w14:textId="77777777" w:rsidR="00290D28" w:rsidRDefault="00290D28" w:rsidP="00290D28">
      <w:pPr>
        <w:pStyle w:val="Prrafodelista"/>
        <w:spacing w:after="120" w:line="276" w:lineRule="auto"/>
        <w:jc w:val="both"/>
        <w:rPr>
          <w:rFonts w:ascii="Verdana" w:hAnsi="Verdana" w:cs="Arial"/>
          <w:color w:val="000000" w:themeColor="text1"/>
          <w:lang w:val="es-ES_tradnl"/>
        </w:rPr>
      </w:pPr>
    </w:p>
    <w:p w14:paraId="550238FC" w14:textId="77777777" w:rsidR="00290D28" w:rsidRDefault="00290D28" w:rsidP="00290D28">
      <w:pPr>
        <w:pStyle w:val="Prrafodelista"/>
        <w:numPr>
          <w:ilvl w:val="0"/>
          <w:numId w:val="17"/>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en los procesos de contratación. Y agrega que estas convocatorias se pueden realizar también en el ámbito municipal o departamental en el que se ejecute el contrato. </w:t>
      </w:r>
    </w:p>
    <w:p w14:paraId="515108A4" w14:textId="77777777" w:rsidR="00290D28" w:rsidRDefault="00290D28" w:rsidP="00290D28">
      <w:pPr>
        <w:pStyle w:val="Prrafodelista"/>
        <w:numPr>
          <w:ilvl w:val="0"/>
          <w:numId w:val="17"/>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Indica que dichas convocatorias se deben efectuar siempre y cuando, antes del acto administrativo de apertura del proceso de selección, por lo menos dos (2)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hayan manifestado su interés.</w:t>
      </w:r>
    </w:p>
    <w:p w14:paraId="2CC56767" w14:textId="77777777" w:rsidR="00290D28" w:rsidRDefault="00290D28" w:rsidP="00290D28">
      <w:pPr>
        <w:pStyle w:val="Prrafodelista"/>
        <w:numPr>
          <w:ilvl w:val="0"/>
          <w:numId w:val="17"/>
        </w:numPr>
        <w:spacing w:after="120" w:line="276" w:lineRule="auto"/>
        <w:jc w:val="both"/>
        <w:rPr>
          <w:rFonts w:ascii="Verdana" w:hAnsi="Verdana" w:cs="Arial"/>
          <w:color w:val="000000" w:themeColor="text1"/>
        </w:rPr>
      </w:pPr>
      <w:r w:rsidRPr="2F5E6258">
        <w:rPr>
          <w:rFonts w:ascii="Verdana" w:hAnsi="Verdana" w:cs="Arial"/>
          <w:color w:val="000000" w:themeColor="text1"/>
        </w:rPr>
        <w:t>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2C1C9C82" w14:textId="77777777" w:rsidR="00290D28" w:rsidRDefault="00290D28" w:rsidP="00290D28">
      <w:pPr>
        <w:pStyle w:val="Prrafodelista"/>
        <w:numPr>
          <w:ilvl w:val="0"/>
          <w:numId w:val="17"/>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Establece que, en el reglamento, el gobierno nacional podría establecer condiciones preferenciales en favor de los bienes y servicios producidos por las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sin contrariar los compromisos internacionales vigentes.</w:t>
      </w:r>
    </w:p>
    <w:p w14:paraId="60ACE2A5" w14:textId="77777777" w:rsidR="00290D28" w:rsidRDefault="00290D28" w:rsidP="00290D28">
      <w:pPr>
        <w:pStyle w:val="Prrafodelista"/>
        <w:numPr>
          <w:ilvl w:val="0"/>
          <w:numId w:val="17"/>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Aclara que tanto las convocatorias limitadas 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como las condiciones preferenciales a favor de los bienes y servicios producidos por estas, no es óbice para que deban cumplir las exigencias técnicas y económicas del proceso de selección.</w:t>
      </w:r>
    </w:p>
    <w:p w14:paraId="637FAF5A" w14:textId="77777777" w:rsidR="00290D28" w:rsidRDefault="00290D28" w:rsidP="00290D28">
      <w:pPr>
        <w:pStyle w:val="Prrafodelista"/>
        <w:numPr>
          <w:ilvl w:val="0"/>
          <w:numId w:val="17"/>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 Señala que el reglamento a cargo del gobierno nacional, además de lo referente a las convocatorias limitadas 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deberá contener disposiciones normativas que permitan la provisión de bienes y servicios, a través de la celebración de contratos estatales con algunas personas que gozan de especial protección constitucional. Entre tales personas se encuentran las que tengan </w:t>
      </w:r>
      <w:r w:rsidRPr="460F3C83">
        <w:rPr>
          <w:rFonts w:ascii="Verdana" w:hAnsi="Verdana" w:cs="Arial"/>
          <w:color w:val="000000" w:themeColor="text1"/>
          <w:lang w:val="es-ES"/>
        </w:rPr>
        <w:lastRenderedPageBreak/>
        <w:t>condiciones de pobreza extrema, las desplazadas por la violencia y quienes estén en procesos de reintegración o reincorporación, entre otras que incluya el reglamento.</w:t>
      </w:r>
    </w:p>
    <w:p w14:paraId="3477009D" w14:textId="77777777" w:rsidR="00290D28" w:rsidRDefault="00290D28" w:rsidP="00290D28">
      <w:pPr>
        <w:pStyle w:val="Prrafodelista"/>
        <w:numPr>
          <w:ilvl w:val="0"/>
          <w:numId w:val="17"/>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Precisa que la posibilidad de participar en convocatorias limitadas 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se encuentra condicionada a que estas acrediten como mínimo un año de existencia, con el certificado expedido por la cámara de comercio respectiva o por la autoridad que sea competente para ello.</w:t>
      </w:r>
    </w:p>
    <w:p w14:paraId="545F569C" w14:textId="77777777" w:rsidR="00290D28" w:rsidRPr="00B67B55" w:rsidRDefault="00290D28" w:rsidP="00290D28">
      <w:pPr>
        <w:pStyle w:val="Prrafodelista"/>
        <w:numPr>
          <w:ilvl w:val="0"/>
          <w:numId w:val="17"/>
        </w:numPr>
        <w:spacing w:after="120" w:line="276" w:lineRule="auto"/>
        <w:jc w:val="both"/>
        <w:rPr>
          <w:rFonts w:ascii="Verdana" w:hAnsi="Verdana" w:cs="Arial"/>
          <w:color w:val="000000" w:themeColor="text1"/>
          <w:lang w:val="es-ES_tradnl"/>
        </w:rPr>
      </w:pPr>
      <w:r w:rsidRPr="00B67B55">
        <w:rPr>
          <w:rFonts w:ascii="Verdana" w:hAnsi="Verdana" w:cs="Arial"/>
          <w:color w:val="000000" w:themeColor="text1"/>
          <w:lang w:val="es-ES_tradnl"/>
        </w:rPr>
        <w:t>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688A74C3" w14:textId="77777777" w:rsidR="00290D28" w:rsidRDefault="00290D28" w:rsidP="00290D28">
      <w:pPr>
        <w:pStyle w:val="Prrafodelista"/>
        <w:numPr>
          <w:ilvl w:val="0"/>
          <w:numId w:val="16"/>
        </w:numPr>
        <w:spacing w:after="120" w:line="276" w:lineRule="auto"/>
        <w:jc w:val="both"/>
        <w:rPr>
          <w:rFonts w:ascii="Verdana" w:hAnsi="Verdana" w:cs="Arial"/>
          <w:color w:val="000000" w:themeColor="text1"/>
          <w:lang w:val="es-ES_tradnl"/>
        </w:rPr>
      </w:pPr>
      <w:r w:rsidRPr="00B67B55">
        <w:rPr>
          <w:rFonts w:ascii="Verdana" w:hAnsi="Verdana" w:cs="Arial"/>
          <w:color w:val="000000" w:themeColor="text1"/>
          <w:lang w:val="es-ES_tradnl"/>
        </w:rPr>
        <w:t>A partir de lo anterior, el artículo 34 de la Ley 2069 de 2020 sustituyó íntegramente el contenido del artículo 12 de la Ley 1150 de 2007. En este sentido, frente a esta última norma se produjo el fenómeno de la subrogación, dado que la disposición en estudio contiene una regulación diferente respecto de la promoción del desarrollo en la contratación estatal. Además, el primer inciso del artículo 34 de la Ley 2069 de 2020 dispone expresamente: “Modifíquese el artículo 12 de la Ley 1150 de 2007, el cual quedará así”, lo que significa que la voluntad del legislador no estuvo dirigida a efectuar una reforma parcial del artículo 12 de la Ley 1150 de 2007, sino a modificarlo completamente, sustituyéndolo por uno nuevo.</w:t>
      </w:r>
    </w:p>
    <w:p w14:paraId="22AE51BB" w14:textId="77777777" w:rsidR="00290D28" w:rsidRDefault="00290D28" w:rsidP="00290D28">
      <w:pPr>
        <w:pStyle w:val="Prrafodelista"/>
        <w:numPr>
          <w:ilvl w:val="0"/>
          <w:numId w:val="16"/>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Por otro lado, en cuanto a lo dispuesto por el antiguo artículo 2.2.1.2.4.2.3 del Decreto 1082 de 2015, que regulaba la posibilidad de limitar convocatorias 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domiciliadas en un determinado ámbito territorial, se estima que este, al igual que el artículo 2.2.1.2.4.2.2, también se afectó por el fenómeno del decaimiento y hoy quedó sustituido por lo dispuesto en el Decreto 1860 de 2021. </w:t>
      </w:r>
    </w:p>
    <w:p w14:paraId="14823433" w14:textId="77777777" w:rsidR="00290D28" w:rsidRDefault="00290D28" w:rsidP="00290D28">
      <w:pPr>
        <w:pStyle w:val="Prrafodelista"/>
        <w:numPr>
          <w:ilvl w:val="0"/>
          <w:numId w:val="16"/>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De otra parte, esta Agencia sobre las limitaciones territoriales para convocatorias de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a la luz del antiguo artículo 2.2.1.2.4.2.3 del Decreto 1082 de 2015, –había sostenido que, para que se permitiera la </w:t>
      </w:r>
      <w:r w:rsidRPr="460F3C83">
        <w:rPr>
          <w:rFonts w:ascii="Verdana" w:hAnsi="Verdana" w:cs="Arial"/>
          <w:color w:val="000000" w:themeColor="text1"/>
          <w:lang w:val="es-ES"/>
        </w:rPr>
        <w:lastRenderedPageBreak/>
        <w:t xml:space="preserve">participación de una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en uno de estos procesos, era necesario que esta demostrara estar domiciliada en el municipio o departamento en el que se ejecutaría el contrato, la tesis se expuso en los siguientes términos: </w:t>
      </w:r>
    </w:p>
    <w:p w14:paraId="62194405" w14:textId="77777777" w:rsidR="00290D28" w:rsidRDefault="00290D28" w:rsidP="00290D28">
      <w:pPr>
        <w:pStyle w:val="Prrafodelista"/>
        <w:spacing w:after="120" w:line="276" w:lineRule="auto"/>
        <w:jc w:val="both"/>
        <w:rPr>
          <w:rFonts w:ascii="Verdana" w:hAnsi="Verdana" w:cs="Arial"/>
          <w:color w:val="000000" w:themeColor="text1"/>
          <w:lang w:val="es-ES_tradnl"/>
        </w:rPr>
      </w:pPr>
    </w:p>
    <w:p w14:paraId="7E535632" w14:textId="77777777" w:rsidR="00290D28" w:rsidRDefault="00290D28" w:rsidP="00290D28">
      <w:pPr>
        <w:pStyle w:val="Prrafodelista"/>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“Es de resaltar que estas normas se refieren a las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nacionales genéricamente y, particularmente, a las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nacionales “domiciliadas en los departamentos o municipios en donde se va a ejecutar el contrato”. En ambos casos se refiere 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nacionales, distinguiéndolas de las empresas extranjeras. Del artículo 2.2.1.2.4.2.3. del Decreto 1082 de 2015 no se deriva que existan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del orden nacional. Otra cosa es que las normas de contratación permitan que las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nacionales con “domicilio” en un municipio o departamento puedan beneficiarse en la ejecución de un contrato dentro de la entidad territorial en la que tienen su “domicilio”. De todos modos, las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domiciliadas en un municipio o departamento son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nacionales. En consecuencia, no es procedente distinguir entre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nacionales y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municipales o departamentales, habida cuenta que estas últimas no existen como categoría dentro del ordenamiento normativo.</w:t>
      </w:r>
    </w:p>
    <w:p w14:paraId="5E1EA8F5" w14:textId="77777777" w:rsidR="00290D28" w:rsidRDefault="00290D28" w:rsidP="00290D28">
      <w:pPr>
        <w:pStyle w:val="Prrafodelista"/>
        <w:numPr>
          <w:ilvl w:val="0"/>
          <w:numId w:val="16"/>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Igualmente, se debe precisar que el artículo 2.2.1.2.4.2.3. del Decreto 1082 de 2015 se refiere a las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nacionales domiciliadas en los departamentos o municipios en donde se va a ejecutar el contrato” “cursivas propias”, esto es, al “domicilio” y no a las “sucursales”. Esta distinción es importante porque el beneficio normativo únicamente aplica en el lugar en el que la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tiene su “domicilio”, y no en donde tiene sucursales”. (Énfasis fuera de texto)</w:t>
      </w:r>
    </w:p>
    <w:p w14:paraId="5944B551" w14:textId="77777777" w:rsidR="00290D28" w:rsidRDefault="00290D28" w:rsidP="00290D28">
      <w:pPr>
        <w:pStyle w:val="Prrafodelista"/>
        <w:numPr>
          <w:ilvl w:val="0"/>
          <w:numId w:val="16"/>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Como se aprecia, la postura sostenida por esta Agencia en vigencia del artículo 2.2.1.2.4.2.3 del Decreto 1082 de 2015 no contemplaba la posibilidad de que una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domiciliada en un departamento o </w:t>
      </w:r>
      <w:r w:rsidRPr="460F3C83">
        <w:rPr>
          <w:rFonts w:ascii="Verdana" w:hAnsi="Verdana" w:cs="Arial"/>
          <w:color w:val="000000" w:themeColor="text1"/>
          <w:lang w:val="es-ES"/>
        </w:rPr>
        <w:lastRenderedPageBreak/>
        <w:t xml:space="preserve">municipio diferentes al lugar de ejecución del contrato, en atención al cual se realiza la limitación territorial, participara en un proceso de selección por el hecho de tener una sucursal en este, puesto que lo relevante es el domicilio de la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w:t>
      </w:r>
    </w:p>
    <w:p w14:paraId="3BECB6FF" w14:textId="77777777" w:rsidR="00290D28" w:rsidRDefault="00290D28" w:rsidP="00290D28">
      <w:pPr>
        <w:pStyle w:val="Prrafodelista"/>
        <w:numPr>
          <w:ilvl w:val="0"/>
          <w:numId w:val="16"/>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Ahora bien, el texto del actual artículo 2.2.1.2.4.2.3, modificado por el artículo 5 del Decreto 1860 de 2021, no cambia la tesis adoptada en conceptos anteriores de Colombia Compra Eficiente emitidos antes de la expedición de este reglamento. Lo anterior en la medida que, respecto del domicilio de las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en el departamento o municipio donde se ejecuta el contrato, la reglamentación no tuvo cambios. Así se desprende del texto de la nueva norma que es del siguiente tenor: </w:t>
      </w:r>
    </w:p>
    <w:p w14:paraId="033534EC" w14:textId="77777777" w:rsidR="00290D28" w:rsidRDefault="00290D28" w:rsidP="00290D28">
      <w:pPr>
        <w:pStyle w:val="Prrafodelista"/>
        <w:spacing w:after="120" w:line="276" w:lineRule="auto"/>
        <w:jc w:val="both"/>
        <w:rPr>
          <w:rFonts w:ascii="Verdana" w:hAnsi="Verdana" w:cs="Arial"/>
          <w:color w:val="000000" w:themeColor="text1"/>
          <w:lang w:val="es-ES_tradnl"/>
        </w:rPr>
      </w:pPr>
    </w:p>
    <w:p w14:paraId="2B3C04DF" w14:textId="77777777" w:rsidR="00290D28" w:rsidRPr="00895737" w:rsidRDefault="00290D28" w:rsidP="00290D28">
      <w:pPr>
        <w:pStyle w:val="Prrafodelista"/>
        <w:spacing w:after="120" w:line="276" w:lineRule="auto"/>
        <w:jc w:val="both"/>
        <w:rPr>
          <w:rFonts w:ascii="Verdana" w:hAnsi="Verdana" w:cs="Arial"/>
          <w:color w:val="000000" w:themeColor="text1"/>
          <w:lang w:val="es-ES_tradnl"/>
        </w:rPr>
      </w:pPr>
      <w:r w:rsidRPr="00895737">
        <w:rPr>
          <w:rFonts w:ascii="Verdana" w:hAnsi="Verdana" w:cs="Arial"/>
          <w:color w:val="000000" w:themeColor="text1"/>
          <w:lang w:val="es-ES_tradnl"/>
        </w:rPr>
        <w:t>“ARTÍCULO  5. Modificaci</w:t>
      </w:r>
      <w:r w:rsidRPr="00895737">
        <w:rPr>
          <w:rFonts w:ascii="Verdana" w:hAnsi="Verdana" w:cs="Century Gothic"/>
          <w:color w:val="000000" w:themeColor="text1"/>
          <w:lang w:val="es-ES_tradnl"/>
        </w:rPr>
        <w:t>ó</w:t>
      </w:r>
      <w:r w:rsidRPr="00895737">
        <w:rPr>
          <w:rFonts w:ascii="Verdana" w:hAnsi="Verdana" w:cs="Arial"/>
          <w:color w:val="000000" w:themeColor="text1"/>
          <w:lang w:val="es-ES_tradnl"/>
        </w:rPr>
        <w:t>n de la Subsecci</w:t>
      </w:r>
      <w:r w:rsidRPr="00895737">
        <w:rPr>
          <w:rFonts w:ascii="Verdana" w:hAnsi="Verdana" w:cs="Century Gothic"/>
          <w:color w:val="000000" w:themeColor="text1"/>
          <w:lang w:val="es-ES_tradnl"/>
        </w:rPr>
        <w:t>ó</w:t>
      </w:r>
      <w:r w:rsidRPr="00895737">
        <w:rPr>
          <w:rFonts w:ascii="Verdana" w:hAnsi="Verdana" w:cs="Arial"/>
          <w:color w:val="000000" w:themeColor="text1"/>
          <w:lang w:val="es-ES_tradnl"/>
        </w:rPr>
        <w:t>n 2 de la Secci</w:t>
      </w:r>
      <w:r w:rsidRPr="00895737">
        <w:rPr>
          <w:rFonts w:ascii="Verdana" w:hAnsi="Verdana" w:cs="Century Gothic"/>
          <w:color w:val="000000" w:themeColor="text1"/>
          <w:lang w:val="es-ES_tradnl"/>
        </w:rPr>
        <w:t>ó</w:t>
      </w:r>
      <w:r w:rsidRPr="00895737">
        <w:rPr>
          <w:rFonts w:ascii="Verdana" w:hAnsi="Verdana" w:cs="Arial"/>
          <w:color w:val="000000" w:themeColor="text1"/>
          <w:lang w:val="es-ES_tradnl"/>
        </w:rPr>
        <w:t>n 4 del Cap</w:t>
      </w:r>
      <w:r w:rsidRPr="00895737">
        <w:rPr>
          <w:rFonts w:ascii="Verdana" w:hAnsi="Verdana" w:cs="Century Gothic"/>
          <w:color w:val="000000" w:themeColor="text1"/>
          <w:lang w:val="es-ES_tradnl"/>
        </w:rPr>
        <w:t>í</w:t>
      </w:r>
      <w:r w:rsidRPr="00895737">
        <w:rPr>
          <w:rFonts w:ascii="Verdana" w:hAnsi="Verdana" w:cs="Arial"/>
          <w:color w:val="000000" w:themeColor="text1"/>
          <w:lang w:val="es-ES_tradnl"/>
        </w:rPr>
        <w:t>tulo 2 del T</w:t>
      </w:r>
      <w:r w:rsidRPr="00895737">
        <w:rPr>
          <w:rFonts w:ascii="Verdana" w:hAnsi="Verdana" w:cs="Century Gothic"/>
          <w:color w:val="000000" w:themeColor="text1"/>
          <w:lang w:val="es-ES_tradnl"/>
        </w:rPr>
        <w:t>í</w:t>
      </w:r>
      <w:r w:rsidRPr="00895737">
        <w:rPr>
          <w:rFonts w:ascii="Verdana" w:hAnsi="Verdana" w:cs="Arial"/>
          <w:color w:val="000000" w:themeColor="text1"/>
          <w:lang w:val="es-ES_tradnl"/>
        </w:rPr>
        <w:t>tulo 1 de la Parte 2 del Libro 2 del Decreto 1082 de 2015. Modif</w:t>
      </w:r>
      <w:r w:rsidRPr="00895737">
        <w:rPr>
          <w:rFonts w:ascii="Verdana" w:hAnsi="Verdana" w:cs="Century Gothic"/>
          <w:color w:val="000000" w:themeColor="text1"/>
          <w:lang w:val="es-ES_tradnl"/>
        </w:rPr>
        <w:t>í</w:t>
      </w:r>
      <w:r w:rsidRPr="00895737">
        <w:rPr>
          <w:rFonts w:ascii="Verdana" w:hAnsi="Verdana" w:cs="Arial"/>
          <w:color w:val="000000" w:themeColor="text1"/>
          <w:lang w:val="es-ES_tradnl"/>
        </w:rPr>
        <w:t>quense los art</w:t>
      </w:r>
      <w:r w:rsidRPr="00895737">
        <w:rPr>
          <w:rFonts w:ascii="Verdana" w:hAnsi="Verdana" w:cs="Century Gothic"/>
          <w:color w:val="000000" w:themeColor="text1"/>
          <w:lang w:val="es-ES_tradnl"/>
        </w:rPr>
        <w:t>í</w:t>
      </w:r>
      <w:r w:rsidRPr="00895737">
        <w:rPr>
          <w:rFonts w:ascii="Verdana" w:hAnsi="Verdana" w:cs="Arial"/>
          <w:color w:val="000000" w:themeColor="text1"/>
          <w:lang w:val="es-ES_tradnl"/>
        </w:rPr>
        <w:t>culos 2.2.1.2.4.2.2., 2.2.1.2.4.2.3. y 2.2.1.2.4.2.4. de la Subsecci</w:t>
      </w:r>
      <w:r w:rsidRPr="00895737">
        <w:rPr>
          <w:rFonts w:ascii="Verdana" w:hAnsi="Verdana" w:cs="Century Gothic"/>
          <w:color w:val="000000" w:themeColor="text1"/>
          <w:lang w:val="es-ES_tradnl"/>
        </w:rPr>
        <w:t>ó</w:t>
      </w:r>
      <w:r w:rsidRPr="00895737">
        <w:rPr>
          <w:rFonts w:ascii="Verdana" w:hAnsi="Verdana" w:cs="Arial"/>
          <w:color w:val="000000" w:themeColor="text1"/>
          <w:lang w:val="es-ES_tradnl"/>
        </w:rPr>
        <w:t>n 2 de la Secci</w:t>
      </w:r>
      <w:r w:rsidRPr="00895737">
        <w:rPr>
          <w:rFonts w:ascii="Verdana" w:hAnsi="Verdana" w:cs="Century Gothic"/>
          <w:color w:val="000000" w:themeColor="text1"/>
          <w:lang w:val="es-ES_tradnl"/>
        </w:rPr>
        <w:t>ó</w:t>
      </w:r>
      <w:r w:rsidRPr="00895737">
        <w:rPr>
          <w:rFonts w:ascii="Verdana" w:hAnsi="Verdana" w:cs="Arial"/>
          <w:color w:val="000000" w:themeColor="text1"/>
          <w:lang w:val="es-ES_tradnl"/>
        </w:rPr>
        <w:t>n 4 del Cap</w:t>
      </w:r>
      <w:r w:rsidRPr="00895737">
        <w:rPr>
          <w:rFonts w:ascii="Verdana" w:hAnsi="Verdana" w:cs="Century Gothic"/>
          <w:color w:val="000000" w:themeColor="text1"/>
          <w:lang w:val="es-ES_tradnl"/>
        </w:rPr>
        <w:t>í</w:t>
      </w:r>
      <w:r w:rsidRPr="00895737">
        <w:rPr>
          <w:rFonts w:ascii="Verdana" w:hAnsi="Verdana" w:cs="Arial"/>
          <w:color w:val="000000" w:themeColor="text1"/>
          <w:lang w:val="es-ES_tradnl"/>
        </w:rPr>
        <w:t>tulo 2 del T</w:t>
      </w:r>
      <w:r w:rsidRPr="00895737">
        <w:rPr>
          <w:rFonts w:ascii="Verdana" w:hAnsi="Verdana" w:cs="Century Gothic"/>
          <w:color w:val="000000" w:themeColor="text1"/>
          <w:lang w:val="es-ES_tradnl"/>
        </w:rPr>
        <w:t>í</w:t>
      </w:r>
      <w:r w:rsidRPr="00895737">
        <w:rPr>
          <w:rFonts w:ascii="Verdana" w:hAnsi="Verdana" w:cs="Arial"/>
          <w:color w:val="000000" w:themeColor="text1"/>
          <w:lang w:val="es-ES_tradnl"/>
        </w:rPr>
        <w:t>tulo 1 de la Parte 2 del Libro 2 del Decreto 1082 de 2015, los cuales quedar</w:t>
      </w:r>
      <w:r w:rsidRPr="00895737">
        <w:rPr>
          <w:rFonts w:ascii="Verdana" w:hAnsi="Verdana" w:cs="Century Gothic"/>
          <w:color w:val="000000" w:themeColor="text1"/>
          <w:lang w:val="es-ES_tradnl"/>
        </w:rPr>
        <w:t>á</w:t>
      </w:r>
      <w:r w:rsidRPr="00895737">
        <w:rPr>
          <w:rFonts w:ascii="Verdana" w:hAnsi="Verdana" w:cs="Arial"/>
          <w:color w:val="000000" w:themeColor="text1"/>
          <w:lang w:val="es-ES_tradnl"/>
        </w:rPr>
        <w:t>n as</w:t>
      </w:r>
      <w:r w:rsidRPr="00895737">
        <w:rPr>
          <w:rFonts w:ascii="Verdana" w:hAnsi="Verdana" w:cs="Century Gothic"/>
          <w:color w:val="000000" w:themeColor="text1"/>
          <w:lang w:val="es-ES_tradnl"/>
        </w:rPr>
        <w:t>í</w:t>
      </w:r>
      <w:r w:rsidRPr="00895737">
        <w:rPr>
          <w:rFonts w:ascii="Verdana" w:hAnsi="Verdana" w:cs="Arial"/>
          <w:color w:val="000000" w:themeColor="text1"/>
          <w:lang w:val="es-ES_tradnl"/>
        </w:rPr>
        <w:t>:</w:t>
      </w:r>
    </w:p>
    <w:p w14:paraId="3893AF43" w14:textId="77777777" w:rsidR="00290D28" w:rsidRPr="005B3F16" w:rsidRDefault="00290D28" w:rsidP="00290D28">
      <w:pPr>
        <w:spacing w:after="120" w:line="276" w:lineRule="auto"/>
        <w:ind w:left="709" w:right="709" w:firstLine="708"/>
        <w:jc w:val="both"/>
        <w:rPr>
          <w:rFonts w:ascii="Verdana" w:hAnsi="Verdana" w:cs="Arial"/>
          <w:color w:val="000000" w:themeColor="text1"/>
          <w:lang w:val="es-ES"/>
        </w:rPr>
      </w:pPr>
      <w:r w:rsidRPr="460F3C83">
        <w:rPr>
          <w:rFonts w:ascii="Verdana" w:hAnsi="Verdana" w:cs="Arial"/>
          <w:color w:val="000000" w:themeColor="text1"/>
          <w:lang w:val="es-ES"/>
        </w:rPr>
        <w:t>[…]ARTÍCULO 2.2.1.2.4.2.3. Limitaciones territoriales. De conformidad con el par</w:t>
      </w:r>
      <w:r w:rsidRPr="460F3C83">
        <w:rPr>
          <w:rFonts w:ascii="Verdana" w:hAnsi="Verdana" w:cs="Century Gothic"/>
          <w:color w:val="000000" w:themeColor="text1"/>
          <w:lang w:val="es-ES"/>
        </w:rPr>
        <w:t>á</w:t>
      </w:r>
      <w:r w:rsidRPr="460F3C83">
        <w:rPr>
          <w:rFonts w:ascii="Verdana" w:hAnsi="Verdana" w:cs="Arial"/>
          <w:color w:val="000000" w:themeColor="text1"/>
          <w:lang w:val="es-ES"/>
        </w:rPr>
        <w:t>grafo 1 del art</w:t>
      </w:r>
      <w:r w:rsidRPr="460F3C83">
        <w:rPr>
          <w:rFonts w:ascii="Verdana" w:hAnsi="Verdana" w:cs="Century Gothic"/>
          <w:color w:val="000000" w:themeColor="text1"/>
          <w:lang w:val="es-ES"/>
        </w:rPr>
        <w:t>í</w:t>
      </w:r>
      <w:r w:rsidRPr="460F3C83">
        <w:rPr>
          <w:rFonts w:ascii="Verdana" w:hAnsi="Verdana" w:cs="Arial"/>
          <w:color w:val="000000" w:themeColor="text1"/>
          <w:lang w:val="es-ES"/>
        </w:rPr>
        <w:t>culo 12 de la Ley 1150 de 2007, las Entidades Estatales, independientemente de su r</w:t>
      </w:r>
      <w:r w:rsidRPr="460F3C83">
        <w:rPr>
          <w:rFonts w:ascii="Verdana" w:hAnsi="Verdana" w:cs="Century Gothic"/>
          <w:color w:val="000000" w:themeColor="text1"/>
          <w:lang w:val="es-ES"/>
        </w:rPr>
        <w:t>é</w:t>
      </w:r>
      <w:r w:rsidRPr="460F3C83">
        <w:rPr>
          <w:rFonts w:ascii="Verdana" w:hAnsi="Verdana" w:cs="Arial"/>
          <w:color w:val="000000" w:themeColor="text1"/>
          <w:lang w:val="es-ES"/>
        </w:rPr>
        <w:t>gimen de contrataci</w:t>
      </w:r>
      <w:r w:rsidRPr="460F3C83">
        <w:rPr>
          <w:rFonts w:ascii="Verdana" w:hAnsi="Verdana" w:cs="Century Gothic"/>
          <w:color w:val="000000" w:themeColor="text1"/>
          <w:lang w:val="es-ES"/>
        </w:rPr>
        <w:t>ó</w:t>
      </w:r>
      <w:r w:rsidRPr="460F3C83">
        <w:rPr>
          <w:rFonts w:ascii="Verdana" w:hAnsi="Verdana" w:cs="Arial"/>
          <w:color w:val="000000" w:themeColor="text1"/>
          <w:lang w:val="es-ES"/>
        </w:rPr>
        <w:t>n, los patrimonios aut</w:t>
      </w:r>
      <w:r w:rsidRPr="460F3C83">
        <w:rPr>
          <w:rFonts w:ascii="Verdana" w:hAnsi="Verdana" w:cs="Century Gothic"/>
          <w:color w:val="000000" w:themeColor="text1"/>
          <w:lang w:val="es-ES"/>
        </w:rPr>
        <w:t>ó</w:t>
      </w:r>
      <w:r w:rsidRPr="460F3C83">
        <w:rPr>
          <w:rFonts w:ascii="Verdana" w:hAnsi="Verdana" w:cs="Arial"/>
          <w:color w:val="000000" w:themeColor="text1"/>
          <w:lang w:val="es-ES"/>
        </w:rPr>
        <w:t>nomos constituidos por Entidades Estatales y los particulares que ejecuten recursos p</w:t>
      </w:r>
      <w:r w:rsidRPr="460F3C83">
        <w:rPr>
          <w:rFonts w:ascii="Verdana" w:hAnsi="Verdana" w:cs="Century Gothic"/>
          <w:color w:val="000000" w:themeColor="text1"/>
          <w:lang w:val="es-ES"/>
        </w:rPr>
        <w:t>ú</w:t>
      </w:r>
      <w:r w:rsidRPr="460F3C83">
        <w:rPr>
          <w:rFonts w:ascii="Verdana" w:hAnsi="Verdana" w:cs="Arial"/>
          <w:color w:val="000000" w:themeColor="text1"/>
          <w:lang w:val="es-ES"/>
        </w:rPr>
        <w:t xml:space="preserve">blicos, pueden realizar convocatorias limitadas 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colombianas que tengan domicilio en los departamentos o municipios en donde se va a ejecutar el contrato. Cada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deber</w:t>
      </w:r>
      <w:r w:rsidRPr="460F3C83">
        <w:rPr>
          <w:rFonts w:ascii="Verdana" w:hAnsi="Verdana" w:cs="Century Gothic"/>
          <w:color w:val="000000" w:themeColor="text1"/>
          <w:lang w:val="es-ES"/>
        </w:rPr>
        <w:t>á</w:t>
      </w:r>
      <w:r w:rsidRPr="460F3C83">
        <w:rPr>
          <w:rFonts w:ascii="Verdana" w:hAnsi="Verdana" w:cs="Arial"/>
          <w:color w:val="000000" w:themeColor="text1"/>
          <w:lang w:val="es-ES"/>
        </w:rPr>
        <w:t xml:space="preserve"> acreditar su domicilio con los documentos a los que se refiere el siguiente artículo”. </w:t>
      </w:r>
    </w:p>
    <w:p w14:paraId="14B77C6D" w14:textId="77777777" w:rsidR="00290D28" w:rsidRDefault="00290D28" w:rsidP="00290D28">
      <w:pPr>
        <w:pStyle w:val="Prrafodelista"/>
        <w:numPr>
          <w:ilvl w:val="0"/>
          <w:numId w:val="19"/>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La norma reglamentaria coincide con la redacción del parágrafo 1 del artículo 34 de la Ley 2069 de 2020, según el cual, sí es posible limitar convocatorias a la participación de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 del ámbito municipal o departamental correspondiente al de la ejecución del contrato”. En tales términos, la norma citada sólo contempla la posibilidad de limitar </w:t>
      </w:r>
      <w:r w:rsidRPr="460F3C83">
        <w:rPr>
          <w:rFonts w:ascii="Verdana" w:hAnsi="Verdana" w:cs="Arial"/>
          <w:color w:val="000000" w:themeColor="text1"/>
          <w:lang w:val="es-ES"/>
        </w:rPr>
        <w:lastRenderedPageBreak/>
        <w:t xml:space="preserve">convocatorias 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con domicilio en esos dos tipos de entidades territoriales. </w:t>
      </w:r>
    </w:p>
    <w:p w14:paraId="5E2D2854" w14:textId="77777777" w:rsidR="00290D28" w:rsidRDefault="00290D28" w:rsidP="00290D28">
      <w:pPr>
        <w:pStyle w:val="Prrafodelista"/>
        <w:numPr>
          <w:ilvl w:val="0"/>
          <w:numId w:val="19"/>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nacional. Además, las normas de contratación permiten que las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nacionales puedan beneficiarse de la ejecución de un contrato dentro de la entidad territorial en la que tienen su “domicilio”. </w:t>
      </w:r>
    </w:p>
    <w:p w14:paraId="05710A57" w14:textId="77777777" w:rsidR="00290D28" w:rsidRDefault="00290D28" w:rsidP="00290D28">
      <w:pPr>
        <w:pStyle w:val="Prrafodelista"/>
        <w:numPr>
          <w:ilvl w:val="0"/>
          <w:numId w:val="19"/>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Ahora bien, el artículo 2.2.1.2.4.2.3. del Decreto 1082 de 2015, modificado por el artículo 5 del Decreto 1860 de 2021 se refiere a las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colombianas que tengan domicilio en los departamentos o municipios en donde se va a ejecutar el contrato”. Esta precisión es importante, pues el incentivo previsto en la norma únicamente aplica en el lugar de ejecución del contratado en el que la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tiene su “domicilio”.</w:t>
      </w:r>
    </w:p>
    <w:p w14:paraId="5CA66DB1" w14:textId="77777777" w:rsidR="00290D28" w:rsidRDefault="00290D28" w:rsidP="00290D28">
      <w:pPr>
        <w:pStyle w:val="Prrafodelista"/>
        <w:numPr>
          <w:ilvl w:val="0"/>
          <w:numId w:val="19"/>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Sin perjuicio de lo anterior, no puede perderse de vista que la decisión de limitar “a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no puede motu propio proceder con la “limitación territorial” de que trata el artículo 2.2.1.2.4.2.3. del Decreto 1082 de 2015. Esto debido a que el ejercicio de esta facultad solo puede darse ante la “limitación 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colombianas”, lo cual supone verificar los supuestos legales establecidos en los mencionados numerales.</w:t>
      </w:r>
    </w:p>
    <w:p w14:paraId="77CB0114" w14:textId="77777777" w:rsidR="00290D28" w:rsidRDefault="00290D28" w:rsidP="00290D28">
      <w:pPr>
        <w:pStyle w:val="Prrafodelista"/>
        <w:numPr>
          <w:ilvl w:val="0"/>
          <w:numId w:val="19"/>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Cumplidos los dos requisitos del artículo 2.2.1.2.4.2.2. </w:t>
      </w:r>
      <w:proofErr w:type="spellStart"/>
      <w:r w:rsidRPr="460F3C83">
        <w:rPr>
          <w:rFonts w:ascii="Verdana" w:hAnsi="Verdana" w:cs="Arial"/>
          <w:color w:val="000000" w:themeColor="text1"/>
          <w:lang w:val="es-ES"/>
        </w:rPr>
        <w:t>ibídem</w:t>
      </w:r>
      <w:proofErr w:type="spellEnd"/>
      <w:r w:rsidRPr="460F3C83">
        <w:rPr>
          <w:rFonts w:ascii="Verdana" w:hAnsi="Verdana" w:cs="Arial"/>
          <w:color w:val="000000" w:themeColor="text1"/>
          <w:lang w:val="es-ES"/>
        </w:rPr>
        <w:t xml:space="preserve">, la entidad estatal, independientemente de su régimen de contratación, los patrimonios autónomos constituidos por entidades estatales y los particulares que ejecuten recursos públicos, pueden ─no tienen que─ decidir si limitan la convocatoria a las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colombianas domiciliadas en el municipio o departamento en el que se ejecutará el contrato. Esto </w:t>
      </w:r>
      <w:r w:rsidRPr="460F3C83">
        <w:rPr>
          <w:rFonts w:ascii="Verdana" w:hAnsi="Verdana" w:cs="Arial"/>
          <w:color w:val="000000" w:themeColor="text1"/>
          <w:lang w:val="es-ES"/>
        </w:rPr>
        <w:lastRenderedPageBreak/>
        <w:t xml:space="preserve">de acuerdo con lo establecido en artículo 2.2.1.2.4.2.3. del Decreto 1082 de 2015 modificado por el Decreto 1860 de 2021, norma que se refiere a la facultad de la administración con el verbo infinitivo “poder”, no “deber”. </w:t>
      </w:r>
    </w:p>
    <w:p w14:paraId="41F55E0B" w14:textId="77777777" w:rsidR="00290D28" w:rsidRDefault="00290D28" w:rsidP="00290D28">
      <w:pPr>
        <w:pStyle w:val="Prrafodelista"/>
        <w:numPr>
          <w:ilvl w:val="0"/>
          <w:numId w:val="19"/>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Colombia Compra Eficiente ha sostenido que la decisión de limitar territorialmente una convocatoria 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es discrecional,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artículo 2.2.1.2.4.2.3. del Decreto 1082 de 2015, las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beneficiadas deben tener su domicilio principal en el municipio o departamento donde se ejecutará el contrato para poder participar en una convocatoria limitada territorialmente.  Esta tesis sigue vigente, puesto que el nuevo contenido del artículo 2.2.1.2.4.2.3. del Decreto 1082 de 2015, modificado por el artículo 5 del Decreto 1860 de 2021, mantiene la facultad de la Administración para limitar territorialmente la convocatoria teniendo en cuenta el domicilio de ejecución del contrato.</w:t>
      </w:r>
    </w:p>
    <w:p w14:paraId="7D25968C" w14:textId="77777777" w:rsidR="00290D28" w:rsidRPr="00FC3C8D" w:rsidRDefault="00290D28" w:rsidP="00290D28">
      <w:pPr>
        <w:pStyle w:val="Prrafodelista"/>
        <w:numPr>
          <w:ilvl w:val="0"/>
          <w:numId w:val="19"/>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 Se debe tener presente que lo que sucede de pleno derecho es la limitación 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colombianas a la que se refiere el artículo 2.2.1.2.4.2.2. del Decreto 1082 de 2015, pero no la “limitación territorial” referida en el artículo 2.2.1.2.4.2.3. </w:t>
      </w:r>
      <w:proofErr w:type="spellStart"/>
      <w:r w:rsidRPr="460F3C83">
        <w:rPr>
          <w:rFonts w:ascii="Verdana" w:hAnsi="Verdana" w:cs="Arial"/>
          <w:color w:val="000000" w:themeColor="text1"/>
          <w:lang w:val="es-ES"/>
        </w:rPr>
        <w:t>ibídem</w:t>
      </w:r>
      <w:proofErr w:type="spellEnd"/>
      <w:r w:rsidRPr="460F3C83">
        <w:rPr>
          <w:rFonts w:ascii="Verdana" w:hAnsi="Verdana" w:cs="Arial"/>
          <w:color w:val="000000" w:themeColor="text1"/>
          <w:lang w:val="es-ES"/>
        </w:rPr>
        <w:t xml:space="preserve">, pues esta, como ya se dijo, es facultativa para la entidad. Las únicas exigencias son que la convocatoria esté limitada a las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colombianas “domiciliadas en los departamentos o municipios en donde se va a ejecutar el contrato” y que la entidad justifique su decisión en los “estudios del sector”. No es procedente, entonces, que sean las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las que soliciten la “limitación territorial” a la que se refiere el artículo 2.2.1.2.4.2.3. del Decreto 1082 de 2015. </w:t>
      </w:r>
    </w:p>
    <w:p w14:paraId="260D6ECC" w14:textId="77777777" w:rsidR="00290D28" w:rsidRDefault="00290D28" w:rsidP="00290D28">
      <w:pPr>
        <w:pStyle w:val="Prrafodelista"/>
        <w:numPr>
          <w:ilvl w:val="0"/>
          <w:numId w:val="19"/>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El origen de las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que solicitan la “limitación territorial” no es relevante frente a dicha decisión, por dos razones: primero, porque las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no están habilitadas para pedir la “limitación territorial”, lo están para pedir la “convocatoria limitada a </w:t>
      </w:r>
      <w:proofErr w:type="spellStart"/>
      <w:r w:rsidRPr="460F3C83">
        <w:rPr>
          <w:rFonts w:ascii="Verdana" w:hAnsi="Verdana" w:cs="Arial"/>
          <w:color w:val="000000" w:themeColor="text1"/>
          <w:lang w:val="es-ES"/>
        </w:rPr>
        <w:t>Mipymes</w:t>
      </w:r>
      <w:proofErr w:type="spellEnd"/>
      <w:r w:rsidRPr="460F3C83">
        <w:rPr>
          <w:rFonts w:ascii="Verdana" w:hAnsi="Verdana" w:cs="Arial"/>
          <w:color w:val="000000" w:themeColor="text1"/>
          <w:lang w:val="es-ES"/>
        </w:rPr>
        <w:t xml:space="preserve">”, y, segundo, porque el único criterio a tener en cuenta, una vez se ha decidido justificadamente </w:t>
      </w:r>
      <w:r w:rsidRPr="460F3C83">
        <w:rPr>
          <w:rFonts w:ascii="Verdana" w:hAnsi="Verdana" w:cs="Arial"/>
          <w:color w:val="000000" w:themeColor="text1"/>
          <w:lang w:val="es-ES"/>
        </w:rPr>
        <w:lastRenderedPageBreak/>
        <w:t xml:space="preserve">limitar territorialmente la convocatoria previamente limitada 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es el lugar donde se va a ejecutar el contrato.</w:t>
      </w:r>
    </w:p>
    <w:p w14:paraId="6C605E59" w14:textId="77777777" w:rsidR="00290D28" w:rsidRDefault="00290D28" w:rsidP="00290D28">
      <w:pPr>
        <w:pStyle w:val="Prrafodelista"/>
        <w:numPr>
          <w:ilvl w:val="0"/>
          <w:numId w:val="19"/>
        </w:numPr>
        <w:spacing w:after="120" w:line="276" w:lineRule="auto"/>
        <w:jc w:val="both"/>
        <w:rPr>
          <w:rFonts w:ascii="Verdana" w:hAnsi="Verdana" w:cs="Arial"/>
          <w:color w:val="000000" w:themeColor="text1"/>
        </w:rPr>
      </w:pPr>
      <w:r w:rsidRPr="2F5E6258">
        <w:rPr>
          <w:rFonts w:ascii="Verdana" w:hAnsi="Verdana" w:cs="Arial"/>
          <w:color w:val="000000" w:themeColor="text1"/>
        </w:rPr>
        <w:t xml:space="preserve">Finalmente, resta precisar que el domicilio de la </w:t>
      </w:r>
      <w:proofErr w:type="spellStart"/>
      <w:r w:rsidRPr="2F5E6258">
        <w:rPr>
          <w:rFonts w:ascii="Verdana" w:hAnsi="Verdana" w:cs="Arial"/>
          <w:color w:val="000000" w:themeColor="text1"/>
        </w:rPr>
        <w:t>Mipymes</w:t>
      </w:r>
      <w:proofErr w:type="spellEnd"/>
      <w:r w:rsidRPr="2F5E6258">
        <w:rPr>
          <w:rFonts w:ascii="Verdana" w:hAnsi="Verdana" w:cs="Arial"/>
          <w:color w:val="000000" w:themeColor="text1"/>
        </w:rPr>
        <w:t xml:space="preserve"> que quiera participar en una convocatoria limitada territorialmente se acredita con los documentos definidos en el artículo 2.2.1.2.4.2.4. del Decreto 1082 de 2015, modificado por el Decreto 1860 de 2021. En consecuencia, el requisito podrá acreditarse con una certificación acompañada, ya sea, de una copia del registro mercantil –persona natural–, del certificado de existencia y representación legal –persona jurídica– o del Registro Único de Proponentes – RUP, en donde conste el domicilio de la </w:t>
      </w:r>
      <w:proofErr w:type="spellStart"/>
      <w:r w:rsidRPr="2F5E6258">
        <w:rPr>
          <w:rFonts w:ascii="Verdana" w:hAnsi="Verdana" w:cs="Arial"/>
          <w:color w:val="000000" w:themeColor="text1"/>
        </w:rPr>
        <w:t>mipyme</w:t>
      </w:r>
      <w:proofErr w:type="spellEnd"/>
      <w:r w:rsidRPr="2F5E6258">
        <w:rPr>
          <w:rFonts w:ascii="Verdana" w:hAnsi="Verdana" w:cs="Arial"/>
          <w:color w:val="000000" w:themeColor="text1"/>
        </w:rPr>
        <w:t xml:space="preserve"> interesada en la limitación territorial de la convocatoria pública para celebrar el contrato, que corresponda con el lugar de ejecución del mismo, ya sea departamento o municipio.  </w:t>
      </w:r>
    </w:p>
    <w:p w14:paraId="48107F28" w14:textId="77777777" w:rsidR="00290D28" w:rsidRPr="00FC3C8D" w:rsidRDefault="00290D28" w:rsidP="00290D28">
      <w:pPr>
        <w:pStyle w:val="Prrafodelista"/>
        <w:numPr>
          <w:ilvl w:val="0"/>
          <w:numId w:val="19"/>
        </w:numPr>
        <w:spacing w:after="120" w:line="276" w:lineRule="auto"/>
        <w:jc w:val="both"/>
        <w:rPr>
          <w:rFonts w:ascii="Verdana" w:hAnsi="Verdana" w:cs="Arial"/>
          <w:color w:val="000000" w:themeColor="text1"/>
        </w:rPr>
      </w:pPr>
      <w:r w:rsidRPr="460F3C83">
        <w:rPr>
          <w:rFonts w:ascii="Verdana" w:hAnsi="Verdana" w:cs="Arial"/>
          <w:color w:val="000000" w:themeColor="text1"/>
          <w:lang w:val="es-ES"/>
        </w:rPr>
        <w:t xml:space="preserve">De acuerdo con la explicación precedente, no puede perderse de vista que la decisión de limitar “a </w:t>
      </w:r>
      <w:proofErr w:type="spellStart"/>
      <w:r w:rsidRPr="460F3C83">
        <w:rPr>
          <w:rFonts w:ascii="Verdana" w:hAnsi="Verdana" w:cs="Arial"/>
          <w:color w:val="000000" w:themeColor="text1"/>
          <w:lang w:val="es-ES"/>
        </w:rPr>
        <w:t>Mipyme</w:t>
      </w:r>
      <w:proofErr w:type="spellEnd"/>
      <w:r w:rsidRPr="460F3C83">
        <w:rPr>
          <w:rFonts w:ascii="Verdana" w:hAnsi="Verdana" w:cs="Arial"/>
          <w:color w:val="000000" w:themeColor="text1"/>
          <w:lang w:val="es-ES"/>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p>
    <w:p w14:paraId="3BEB0111" w14:textId="77777777" w:rsidR="00290D28" w:rsidRPr="005B3F16" w:rsidRDefault="00290D28" w:rsidP="00290D28">
      <w:pPr>
        <w:spacing w:after="0" w:line="276" w:lineRule="auto"/>
        <w:jc w:val="both"/>
        <w:rPr>
          <w:rFonts w:ascii="Verdana" w:eastAsia="Calibri" w:hAnsi="Verdana" w:cs="Arial"/>
          <w:lang w:val="es-ES"/>
        </w:rPr>
      </w:pPr>
    </w:p>
    <w:p w14:paraId="4194B35B" w14:textId="77777777" w:rsidR="00290D28" w:rsidRPr="005B3F16" w:rsidRDefault="00290D28" w:rsidP="00290D28">
      <w:pPr>
        <w:widowControl w:val="0"/>
        <w:autoSpaceDE w:val="0"/>
        <w:autoSpaceDN w:val="0"/>
        <w:spacing w:after="0" w:line="276" w:lineRule="auto"/>
        <w:jc w:val="both"/>
        <w:rPr>
          <w:rFonts w:ascii="Verdana" w:hAnsi="Verdana" w:cs="Arial"/>
        </w:rPr>
      </w:pPr>
    </w:p>
    <w:p w14:paraId="00B17D29" w14:textId="77777777" w:rsidR="00290D28" w:rsidRDefault="00290D28" w:rsidP="00290D2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t>Referencias normativas, jurisprudenciales y otras fuentes:</w:t>
      </w:r>
    </w:p>
    <w:p w14:paraId="341B2BDE" w14:textId="77777777" w:rsidR="00290D28" w:rsidRPr="005B3F16" w:rsidRDefault="00290D28" w:rsidP="00290D28">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16EB04E" w14:textId="77777777" w:rsidR="00290D28" w:rsidRPr="005B3F16" w:rsidRDefault="00290D28" w:rsidP="00290D2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90D28" w:rsidRPr="005B3F16" w14:paraId="6D7A0C96" w14:textId="77777777" w:rsidTr="001D204D">
        <w:trPr>
          <w:trHeight w:val="870"/>
        </w:trPr>
        <w:tc>
          <w:tcPr>
            <w:tcW w:w="8647" w:type="dxa"/>
          </w:tcPr>
          <w:p w14:paraId="5E6E5858" w14:textId="77777777" w:rsidR="00290D28" w:rsidRPr="005B3F16" w:rsidRDefault="00290D28" w:rsidP="00290D28">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5B3F16">
              <w:rPr>
                <w:rFonts w:ascii="Verdana" w:hAnsi="Verdana" w:cs="Arial"/>
                <w:color w:val="000000" w:themeColor="text1"/>
                <w:lang w:val="es-ES_tradnl"/>
              </w:rPr>
              <w:t>Decreto 1860 de 2021</w:t>
            </w:r>
            <w:r>
              <w:rPr>
                <w:rFonts w:ascii="Verdana" w:hAnsi="Verdana" w:cs="Arial"/>
                <w:color w:val="000000" w:themeColor="text1"/>
                <w:lang w:val="es-ES_tradnl"/>
              </w:rPr>
              <w:t>,</w:t>
            </w:r>
            <w:r w:rsidRPr="005B3F16">
              <w:rPr>
                <w:rFonts w:ascii="Verdana" w:hAnsi="Verdana" w:cs="Arial"/>
                <w:color w:val="000000" w:themeColor="text1"/>
                <w:lang w:val="es-ES_tradnl"/>
              </w:rPr>
              <w:t xml:space="preserve"> numerales 1 y 2 del artículo 2.2.1.2.4.2.2</w:t>
            </w:r>
            <w:r>
              <w:rPr>
                <w:rFonts w:ascii="Verdana" w:hAnsi="Verdana" w:cs="Arial"/>
                <w:color w:val="000000" w:themeColor="text1"/>
                <w:lang w:val="es-ES_tradnl"/>
              </w:rPr>
              <w:t xml:space="preserve">. </w:t>
            </w:r>
            <w:r w:rsidRPr="005B3F16">
              <w:rPr>
                <w:rFonts w:ascii="Verdana" w:hAnsi="Verdana" w:cs="Arial"/>
                <w:color w:val="000000" w:themeColor="text1"/>
                <w:lang w:val="es-ES_tradnl"/>
              </w:rPr>
              <w:t>artículo</w:t>
            </w:r>
            <w:r>
              <w:rPr>
                <w:rFonts w:ascii="Verdana" w:hAnsi="Verdana" w:cs="Arial"/>
                <w:color w:val="000000" w:themeColor="text1"/>
                <w:lang w:val="es-ES_tradnl"/>
              </w:rPr>
              <w:t xml:space="preserve">s, </w:t>
            </w:r>
            <w:r w:rsidRPr="005B3F16">
              <w:rPr>
                <w:rFonts w:ascii="Verdana" w:hAnsi="Verdana" w:cs="Arial"/>
                <w:color w:val="000000" w:themeColor="text1"/>
                <w:lang w:val="es-ES_tradnl"/>
              </w:rPr>
              <w:t>2.2.1.2.4.2.3 2.2.1.2.4.2.4</w:t>
            </w:r>
            <w:r>
              <w:rPr>
                <w:rFonts w:ascii="Verdana" w:hAnsi="Verdana" w:cs="Arial"/>
                <w:color w:val="000000" w:themeColor="text1"/>
                <w:lang w:val="es-ES_tradnl"/>
              </w:rPr>
              <w:t xml:space="preserve">. </w:t>
            </w:r>
            <w:r w:rsidRPr="005B3F16">
              <w:rPr>
                <w:rFonts w:ascii="Verdana" w:hAnsi="Verdana" w:cs="Arial"/>
                <w:color w:val="000000" w:themeColor="text1"/>
                <w:lang w:val="es-ES_tradnl"/>
              </w:rPr>
              <w:t>Ley 1150 de 2007</w:t>
            </w:r>
            <w:r>
              <w:rPr>
                <w:rFonts w:ascii="Verdana" w:hAnsi="Verdana" w:cs="Arial"/>
                <w:color w:val="000000" w:themeColor="text1"/>
                <w:lang w:val="es-ES_tradnl"/>
              </w:rPr>
              <w:t xml:space="preserve"> artículo 12.</w:t>
            </w:r>
          </w:p>
          <w:p w14:paraId="4A400C69" w14:textId="77777777" w:rsidR="00290D28" w:rsidRPr="005B3F16" w:rsidRDefault="00290D28" w:rsidP="00290D28">
            <w:pPr>
              <w:pStyle w:val="Prrafodelista"/>
              <w:widowControl w:val="0"/>
              <w:numPr>
                <w:ilvl w:val="0"/>
                <w:numId w:val="8"/>
              </w:numPr>
              <w:tabs>
                <w:tab w:val="left" w:pos="8419"/>
              </w:tabs>
              <w:autoSpaceDE w:val="0"/>
              <w:autoSpaceDN w:val="0"/>
              <w:spacing w:after="120" w:line="276" w:lineRule="auto"/>
              <w:contextualSpacing w:val="0"/>
              <w:jc w:val="both"/>
              <w:rPr>
                <w:rFonts w:ascii="Verdana" w:hAnsi="Verdana" w:cs="Arial"/>
              </w:rPr>
            </w:pPr>
            <w:r w:rsidRPr="005B3F16">
              <w:rPr>
                <w:rFonts w:ascii="Verdana" w:hAnsi="Verdana" w:cs="Arial"/>
              </w:rPr>
              <w:t xml:space="preserve">Circular Externa Única del 27 de diciembre de 2023. Disponible en: </w:t>
            </w:r>
            <w:hyperlink r:id="rId13" w:history="1">
              <w:r w:rsidRPr="005B3F16">
                <w:rPr>
                  <w:rStyle w:val="Hipervnculo"/>
                  <w:rFonts w:ascii="Verdana" w:hAnsi="Verdana" w:cs="Arial"/>
                </w:rPr>
                <w:t>https://www.colombiacompra.gov.co/sites/cce_public/files/cce_circulares/circular_externa_unica_version_3_vf49.pdf</w:t>
              </w:r>
            </w:hyperlink>
            <w:r w:rsidRPr="005B3F16">
              <w:rPr>
                <w:rFonts w:ascii="Verdana" w:hAnsi="Verdana" w:cs="Arial"/>
              </w:rPr>
              <w:t xml:space="preserve"> </w:t>
            </w:r>
          </w:p>
          <w:p w14:paraId="1628F19D" w14:textId="77777777" w:rsidR="00290D28" w:rsidRPr="005B3F16" w:rsidRDefault="00290D28" w:rsidP="00290D28">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B3F16">
              <w:rPr>
                <w:rFonts w:ascii="Verdana" w:hAnsi="Verdana" w:cs="Arial"/>
              </w:rPr>
              <w:t xml:space="preserve">Resolución </w:t>
            </w:r>
            <w:r w:rsidRPr="005B3F16">
              <w:rPr>
                <w:rFonts w:ascii="Verdana" w:eastAsia="Times New Roman" w:hAnsi="Verdana" w:cs="Arial"/>
                <w:lang w:val="es-ES_tradnl" w:eastAsia="es-ES"/>
              </w:rPr>
              <w:t xml:space="preserve">219 de 2021 de la Agencia Nacional de Contratación Pública–Colombia Compra Eficiente–. Disponible en: </w:t>
            </w:r>
            <w:hyperlink r:id="rId14" w:history="1">
              <w:r w:rsidRPr="005B3F16">
                <w:rPr>
                  <w:rStyle w:val="Hipervnculo"/>
                  <w:rFonts w:ascii="Verdana" w:eastAsia="Times New Roman" w:hAnsi="Verdana" w:cs="Arial"/>
                  <w:lang w:val="es-ES_tradnl" w:eastAsia="es-ES"/>
                </w:rPr>
                <w:t>https://www.colombiacompra.gov.co/content/04-documentos-tipo-</w:t>
              </w:r>
              <w:r w:rsidRPr="005B3F16">
                <w:rPr>
                  <w:rStyle w:val="Hipervnculo"/>
                  <w:rFonts w:ascii="Verdana" w:eastAsia="Times New Roman" w:hAnsi="Verdana" w:cs="Arial"/>
                  <w:lang w:val="es-ES_tradnl" w:eastAsia="es-ES"/>
                </w:rPr>
                <w:lastRenderedPageBreak/>
                <w:t>de-licitacion-de-obra-publica-para-proyectos-de-infraestructura-social</w:t>
              </w:r>
            </w:hyperlink>
            <w:r w:rsidRPr="005B3F16">
              <w:rPr>
                <w:rFonts w:ascii="Verdana" w:eastAsia="Times New Roman" w:hAnsi="Verdana" w:cs="Arial"/>
                <w:lang w:val="es-ES_tradnl" w:eastAsia="es-ES"/>
              </w:rPr>
              <w:t xml:space="preserve"> </w:t>
            </w:r>
          </w:p>
          <w:p w14:paraId="3BC9C2DE" w14:textId="77777777" w:rsidR="00290D28" w:rsidRPr="005B3F16" w:rsidRDefault="00290D28" w:rsidP="00290D28">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B3F16">
              <w:rPr>
                <w:rFonts w:ascii="Verdana" w:hAnsi="Verdana" w:cs="Arial"/>
              </w:rPr>
              <w:t xml:space="preserve">Jurisprudencia del Consejo de Estado. Disponible en: </w:t>
            </w:r>
            <w:hyperlink r:id="rId15" w:history="1">
              <w:r w:rsidRPr="005B3F16">
                <w:rPr>
                  <w:rStyle w:val="Hipervnculo"/>
                  <w:rFonts w:ascii="Verdana" w:hAnsi="Verdana" w:cs="Arial"/>
                </w:rPr>
                <w:t>https://relatoria.colombiacompra.gov.co/providencias-consejo-de-estado/</w:t>
              </w:r>
            </w:hyperlink>
            <w:r w:rsidRPr="005B3F16">
              <w:rPr>
                <w:rFonts w:ascii="Verdana" w:hAnsi="Verdana" w:cs="Arial"/>
              </w:rPr>
              <w:t xml:space="preserve"> </w:t>
            </w:r>
          </w:p>
          <w:p w14:paraId="46458648" w14:textId="77777777" w:rsidR="00290D28" w:rsidRPr="005B3F16" w:rsidRDefault="00290D28" w:rsidP="00290D28">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B3F16">
              <w:rPr>
                <w:rFonts w:ascii="Verdana" w:hAnsi="Verdana" w:cs="Arial"/>
              </w:rPr>
              <w:t>Guías y manuales expedidos por la ANCP-CCE. Disponible en:</w:t>
            </w:r>
            <w:r w:rsidRPr="005B3F16">
              <w:rPr>
                <w:rFonts w:ascii="Verdana" w:hAnsi="Verdana"/>
              </w:rPr>
              <w:t xml:space="preserve"> </w:t>
            </w:r>
            <w:hyperlink r:id="rId16" w:history="1">
              <w:r w:rsidRPr="005B3F16">
                <w:rPr>
                  <w:rStyle w:val="Hipervnculo"/>
                  <w:rFonts w:ascii="Verdana" w:hAnsi="Verdana" w:cs="Arial"/>
                </w:rPr>
                <w:t>https://www.colombiacompra.gov.co/manuales-guias-y-pliegos-tipo/manuales-y-guias</w:t>
              </w:r>
            </w:hyperlink>
            <w:r w:rsidRPr="005B3F16">
              <w:rPr>
                <w:rFonts w:ascii="Verdana" w:hAnsi="Verdana" w:cs="Arial"/>
              </w:rPr>
              <w:t xml:space="preserve"> </w:t>
            </w:r>
          </w:p>
          <w:p w14:paraId="743D4481" w14:textId="77777777" w:rsidR="00290D28" w:rsidRPr="005B3F16" w:rsidRDefault="00290D28" w:rsidP="001D204D">
            <w:pPr>
              <w:widowControl w:val="0"/>
              <w:autoSpaceDE w:val="0"/>
              <w:autoSpaceDN w:val="0"/>
              <w:spacing w:after="120" w:line="276" w:lineRule="auto"/>
              <w:ind w:left="360"/>
              <w:jc w:val="both"/>
              <w:rPr>
                <w:rFonts w:ascii="Verdana" w:hAnsi="Verdana" w:cs="Arial"/>
              </w:rPr>
            </w:pPr>
          </w:p>
        </w:tc>
      </w:tr>
    </w:tbl>
    <w:p w14:paraId="7E41BCEA" w14:textId="77777777" w:rsidR="00290D28" w:rsidRPr="005B3F16" w:rsidRDefault="00290D28" w:rsidP="00290D28">
      <w:pPr>
        <w:widowControl w:val="0"/>
        <w:autoSpaceDE w:val="0"/>
        <w:autoSpaceDN w:val="0"/>
        <w:spacing w:after="0" w:line="276" w:lineRule="auto"/>
        <w:jc w:val="both"/>
        <w:rPr>
          <w:rFonts w:ascii="Verdana" w:hAnsi="Verdana" w:cs="Arial"/>
        </w:rPr>
      </w:pPr>
    </w:p>
    <w:p w14:paraId="3AF968E6" w14:textId="77777777" w:rsidR="00290D28" w:rsidRPr="005B3F16" w:rsidRDefault="00290D28" w:rsidP="00290D28">
      <w:pPr>
        <w:widowControl w:val="0"/>
        <w:autoSpaceDE w:val="0"/>
        <w:autoSpaceDN w:val="0"/>
        <w:spacing w:after="0" w:line="276" w:lineRule="auto"/>
        <w:jc w:val="both"/>
        <w:rPr>
          <w:rFonts w:ascii="Verdana" w:hAnsi="Verdana" w:cs="Arial"/>
        </w:rPr>
      </w:pPr>
    </w:p>
    <w:p w14:paraId="0D3A1E31" w14:textId="77777777" w:rsidR="00290D28" w:rsidRPr="005B3F16" w:rsidRDefault="00290D28" w:rsidP="00290D28">
      <w:pPr>
        <w:widowControl w:val="0"/>
        <w:autoSpaceDE w:val="0"/>
        <w:autoSpaceDN w:val="0"/>
        <w:spacing w:after="0" w:line="276" w:lineRule="auto"/>
        <w:jc w:val="both"/>
        <w:rPr>
          <w:rFonts w:ascii="Verdana" w:hAnsi="Verdana" w:cs="Arial"/>
        </w:rPr>
      </w:pPr>
    </w:p>
    <w:p w14:paraId="09A50117" w14:textId="77777777" w:rsidR="00290D28" w:rsidRPr="005B3F16" w:rsidRDefault="00290D28" w:rsidP="00290D28">
      <w:pPr>
        <w:pStyle w:val="Prrafodelista"/>
        <w:numPr>
          <w:ilvl w:val="0"/>
          <w:numId w:val="4"/>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B3F16">
        <w:rPr>
          <w:rFonts w:ascii="Verdana" w:eastAsia="Century Gothic" w:hAnsi="Verdana" w:cs="Century Gothic"/>
          <w:b/>
          <w:bCs/>
        </w:rPr>
        <w:t>Doctrina de la Agencia Nacional de Contratación Pública:</w:t>
      </w:r>
    </w:p>
    <w:p w14:paraId="1A27872E" w14:textId="77777777" w:rsidR="00290D28" w:rsidRPr="005B3F16" w:rsidRDefault="00290D28" w:rsidP="00290D28">
      <w:pPr>
        <w:widowControl w:val="0"/>
        <w:autoSpaceDE w:val="0"/>
        <w:autoSpaceDN w:val="0"/>
        <w:spacing w:after="0" w:line="276" w:lineRule="auto"/>
        <w:jc w:val="both"/>
        <w:rPr>
          <w:rFonts w:ascii="Verdana" w:hAnsi="Verdana" w:cs="Arial"/>
        </w:rPr>
      </w:pPr>
    </w:p>
    <w:p w14:paraId="7979AF8C" w14:textId="77777777" w:rsidR="00290D28" w:rsidRPr="005B3F16" w:rsidRDefault="00290D28" w:rsidP="00290D28">
      <w:pPr>
        <w:widowControl w:val="0"/>
        <w:autoSpaceDE w:val="0"/>
        <w:autoSpaceDN w:val="0"/>
        <w:spacing w:after="0" w:line="276" w:lineRule="auto"/>
        <w:jc w:val="both"/>
        <w:rPr>
          <w:rFonts w:ascii="Verdana" w:hAnsi="Verdana" w:cs="Arial"/>
        </w:rPr>
      </w:pPr>
      <w:r w:rsidRPr="005B3F16">
        <w:rPr>
          <w:rFonts w:ascii="Verdana" w:hAnsi="Verdana" w:cs="Arial"/>
        </w:rPr>
        <w:t xml:space="preserve">La Agencia Nacional de Contratación Pública – Colombia Compra Eficiente, se ha pronunciado sobre  las limitaciones territoriales de convocatorias a </w:t>
      </w:r>
      <w:proofErr w:type="spellStart"/>
      <w:r w:rsidRPr="005B3F16">
        <w:rPr>
          <w:rFonts w:ascii="Verdana" w:hAnsi="Verdana" w:cs="Arial"/>
        </w:rPr>
        <w:t>Mipyme</w:t>
      </w:r>
      <w:proofErr w:type="spellEnd"/>
      <w:r w:rsidRPr="005B3F16">
        <w:rPr>
          <w:rFonts w:ascii="Verdana" w:hAnsi="Verdana" w:cs="Arial"/>
        </w:rPr>
        <w:t xml:space="preserve"> en los concepto C-705 de 7 de diciembre de 2020, C-523 del 11 de agosto de 2020, C-438 de 27 de septiembre de 2021, C- 041 del 2 de marzo de 2022 y C-460 del 18 de julio de 2022, C-523 del 16 de agosto de 2022, C- 539 del 29 de agosto de 2022, C-585 del 19 de septiembre de 2022, C-587 del 21 de septiembre de 2022, C-597 del 9 de septiembre de 2022, C-627 del 12 de septiembre de 2022, C-643 del 10 de octubre de 2022, C-662 del 13 de octubre de 2022, C-699 del 25 de octubre de 2022, C-744 del 08 de noviembre de 2022 y C-758 del 10 de noviembre de 2022, C-089 del 28 de abril de 2023</w:t>
      </w:r>
      <w:r>
        <w:rPr>
          <w:rFonts w:ascii="Verdana" w:hAnsi="Verdana" w:cs="Arial"/>
        </w:rPr>
        <w:t xml:space="preserve">, C -094 del 19 de junio de 2024 </w:t>
      </w:r>
      <w:r w:rsidRPr="005B3F16">
        <w:rPr>
          <w:rFonts w:ascii="Verdana" w:eastAsia="Calibri" w:hAnsi="Verdana"/>
          <w:lang w:val="es-ES_tradnl"/>
        </w:rPr>
        <w:t>. Es</w:t>
      </w:r>
      <w:r w:rsidRPr="005B3F16">
        <w:rPr>
          <w:rFonts w:ascii="Verdana" w:eastAsia="Calibri" w:hAnsi="Verdana" w:cs="Arial"/>
          <w:lang w:val="es-ES_tradnl"/>
        </w:rPr>
        <w:t>tos y otros conceptos se encuentran disponibles para consulta en el Sistema de relatoría de la Agencia, al cual se puede acceder a través del siguiente enlace:</w:t>
      </w:r>
      <w:r w:rsidRPr="005B3F16">
        <w:rPr>
          <w:rFonts w:ascii="Verdana" w:eastAsia="Calibri" w:hAnsi="Verdana"/>
          <w:lang w:val="es-ES_tradnl"/>
        </w:rPr>
        <w:t xml:space="preserve"> </w:t>
      </w:r>
    </w:p>
    <w:p w14:paraId="4C5084C5" w14:textId="77777777" w:rsidR="00290D28" w:rsidRPr="005B3F16" w:rsidRDefault="00290D28" w:rsidP="00290D28">
      <w:pPr>
        <w:widowControl w:val="0"/>
        <w:autoSpaceDE w:val="0"/>
        <w:autoSpaceDN w:val="0"/>
        <w:spacing w:after="0" w:line="276" w:lineRule="auto"/>
        <w:jc w:val="both"/>
        <w:rPr>
          <w:rFonts w:ascii="Verdana" w:eastAsia="Calibri" w:hAnsi="Verdana"/>
          <w:lang w:val="es-ES_tradnl"/>
        </w:rPr>
      </w:pPr>
    </w:p>
    <w:p w14:paraId="48025D98" w14:textId="77777777" w:rsidR="00290D28" w:rsidRDefault="0050414D" w:rsidP="00290D28">
      <w:pPr>
        <w:widowControl w:val="0"/>
        <w:autoSpaceDE w:val="0"/>
        <w:autoSpaceDN w:val="0"/>
        <w:spacing w:after="0" w:line="276" w:lineRule="auto"/>
        <w:jc w:val="both"/>
        <w:rPr>
          <w:rFonts w:ascii="Verdana" w:eastAsia="Calibri" w:hAnsi="Verdana"/>
          <w:lang w:val="es-ES_tradnl"/>
        </w:rPr>
      </w:pPr>
      <w:hyperlink r:id="rId17" w:history="1">
        <w:r w:rsidR="00290D28" w:rsidRPr="005B3F16">
          <w:rPr>
            <w:rStyle w:val="Hipervnculo"/>
            <w:rFonts w:ascii="Verdana" w:eastAsia="Calibri" w:hAnsi="Verdana"/>
            <w:lang w:val="es-ES_tradnl"/>
          </w:rPr>
          <w:t>https://relatoria.colombiacompra.gov.co/busqueda/conceptos</w:t>
        </w:r>
      </w:hyperlink>
      <w:r w:rsidR="00290D28" w:rsidRPr="005B3F16">
        <w:rPr>
          <w:rFonts w:ascii="Verdana" w:eastAsia="Calibri" w:hAnsi="Verdana"/>
          <w:lang w:val="es-ES_tradnl"/>
        </w:rPr>
        <w:t xml:space="preserve">. </w:t>
      </w:r>
    </w:p>
    <w:p w14:paraId="1DCD7CDE" w14:textId="77777777" w:rsidR="00290D28" w:rsidRDefault="00290D28" w:rsidP="00290D28">
      <w:pPr>
        <w:widowControl w:val="0"/>
        <w:autoSpaceDE w:val="0"/>
        <w:autoSpaceDN w:val="0"/>
        <w:spacing w:after="0" w:line="276" w:lineRule="auto"/>
        <w:jc w:val="both"/>
        <w:rPr>
          <w:rFonts w:ascii="Verdana" w:eastAsia="Calibri" w:hAnsi="Verdana"/>
          <w:lang w:val="es-ES_tradnl"/>
        </w:rPr>
      </w:pPr>
    </w:p>
    <w:p w14:paraId="6F3C12A8" w14:textId="77777777" w:rsidR="00290D28" w:rsidRPr="00EB2AE4" w:rsidRDefault="00290D28" w:rsidP="00290D28">
      <w:pPr>
        <w:widowControl w:val="0"/>
        <w:autoSpaceDE w:val="0"/>
        <w:autoSpaceDN w:val="0"/>
        <w:spacing w:after="0" w:line="276" w:lineRule="auto"/>
        <w:jc w:val="both"/>
        <w:rPr>
          <w:rFonts w:ascii="Verdana" w:eastAsia="Calibri" w:hAnsi="Verdana"/>
        </w:rPr>
      </w:pPr>
      <w:r w:rsidRPr="00EB2AE4">
        <w:rPr>
          <w:rFonts w:ascii="Verdana" w:eastAsia="Calibri" w:hAnsi="Verdana"/>
        </w:rPr>
        <w:t xml:space="preserve">Estos y otros conceptos se encuentran disponibles para consulta en el Sistema de Relatoría de la Agencia, en el cual también podrás encontrar jurisprudencia </w:t>
      </w:r>
      <w:r w:rsidRPr="00EB2AE4">
        <w:rPr>
          <w:rFonts w:ascii="Verdana" w:eastAsia="Calibri" w:hAnsi="Verdana"/>
        </w:rPr>
        <w:lastRenderedPageBreak/>
        <w:t>del Consejo de Estado, laudos arbitrales y la normativa de la contratación concordada con la doctrina de la Subdirección de Gestión Contractual. Accede a través del siguiente enlace: </w:t>
      </w:r>
      <w:hyperlink r:id="rId18" w:tooltip="Dirección URL original: https://relatoria.colombiacompra.gov.co/. Haga clic o pulse si confía en este vínculo." w:history="1">
        <w:r w:rsidRPr="00EB2AE4">
          <w:rPr>
            <w:rStyle w:val="Hipervnculo"/>
            <w:rFonts w:ascii="Verdana" w:eastAsia="Calibri" w:hAnsi="Verdana"/>
          </w:rPr>
          <w:t>https://relatoria.colombiacompra.gov.co/</w:t>
        </w:r>
      </w:hyperlink>
      <w:r w:rsidRPr="00EB2AE4">
        <w:rPr>
          <w:rFonts w:ascii="Verdana" w:eastAsia="Calibri" w:hAnsi="Verdana"/>
        </w:rPr>
        <w:t> . Te invitamos también a revisar la tercera edición del  Boletín de Relatoría de 2024 en el cual podrás consultar en detalle el marco normativo de documentos tipo: </w:t>
      </w:r>
      <w:hyperlink r:id="rId19" w:tooltip="Dirección URL original: https://www.colombiacompra.gov.co/sites/cce_public/files/files_2020/boletin_de_realtoria_iii.pdf. Haga clic o pulse si confía en este vínculo." w:history="1">
        <w:r w:rsidRPr="00EB2AE4">
          <w:rPr>
            <w:rStyle w:val="Hipervnculo"/>
            <w:rFonts w:ascii="Verdana" w:eastAsia="Calibri" w:hAnsi="Verdana"/>
          </w:rPr>
          <w:t>https://www.colombiacompra.gov.co/sites/cce_public/files/files_2020/boletin_de_realtoria_iii.pdf</w:t>
        </w:r>
      </w:hyperlink>
      <w:r w:rsidRPr="00EB2AE4">
        <w:rPr>
          <w:rFonts w:ascii="Verdana" w:eastAsia="Calibri" w:hAnsi="Verdana"/>
        </w:rPr>
        <w:t> ".  </w:t>
      </w:r>
    </w:p>
    <w:p w14:paraId="6EA4B835" w14:textId="77777777" w:rsidR="00290D28" w:rsidRPr="005B3F16" w:rsidRDefault="00290D28" w:rsidP="00290D28">
      <w:pPr>
        <w:widowControl w:val="0"/>
        <w:autoSpaceDE w:val="0"/>
        <w:autoSpaceDN w:val="0"/>
        <w:spacing w:after="0" w:line="276" w:lineRule="auto"/>
        <w:jc w:val="both"/>
        <w:rPr>
          <w:rFonts w:ascii="Verdana" w:eastAsia="Calibri" w:hAnsi="Verdana"/>
          <w:lang w:val="es-ES_tradnl"/>
        </w:rPr>
      </w:pPr>
    </w:p>
    <w:p w14:paraId="403BA8CA" w14:textId="77777777" w:rsidR="00290D28" w:rsidRPr="005B3F16" w:rsidRDefault="00290D28" w:rsidP="00290D28">
      <w:pPr>
        <w:widowControl w:val="0"/>
        <w:autoSpaceDE w:val="0"/>
        <w:autoSpaceDN w:val="0"/>
        <w:spacing w:after="0" w:line="276" w:lineRule="auto"/>
        <w:jc w:val="both"/>
        <w:rPr>
          <w:rFonts w:ascii="Verdana" w:eastAsia="Calibri" w:hAnsi="Verdana" w:cs="Arial"/>
          <w:lang w:val="es-ES_tradnl"/>
        </w:rPr>
      </w:pPr>
    </w:p>
    <w:p w14:paraId="4BC717A3" w14:textId="77777777" w:rsidR="00290D28" w:rsidRPr="005B3F16" w:rsidRDefault="00290D28" w:rsidP="00290D28">
      <w:pPr>
        <w:spacing w:after="0" w:line="276" w:lineRule="auto"/>
        <w:jc w:val="both"/>
        <w:rPr>
          <w:rFonts w:ascii="Verdana" w:eastAsia="Calibri" w:hAnsi="Verdana" w:cs="Arial"/>
          <w:lang w:val="es-ES_tradnl"/>
        </w:rPr>
      </w:pPr>
      <w:r w:rsidRPr="005B3F16">
        <w:rPr>
          <w:rFonts w:ascii="Verdana" w:eastAsia="Calibri" w:hAnsi="Verdana" w:cs="Arial"/>
          <w:lang w:val="es-ES_tradnl"/>
        </w:rPr>
        <w:t xml:space="preserve">Por último, lo invitamos a seguirnos en las redes sociales en las cuales se difunde información institucional: </w:t>
      </w:r>
    </w:p>
    <w:p w14:paraId="2FE2A248" w14:textId="77777777" w:rsidR="00290D28" w:rsidRPr="005B3F16" w:rsidRDefault="00290D28" w:rsidP="00290D28">
      <w:pPr>
        <w:spacing w:after="0" w:line="276" w:lineRule="auto"/>
        <w:jc w:val="both"/>
        <w:rPr>
          <w:rFonts w:ascii="Verdana" w:eastAsia="Calibri" w:hAnsi="Verdana" w:cs="Arial"/>
          <w:lang w:val="es-ES_tradnl"/>
        </w:rPr>
      </w:pPr>
    </w:p>
    <w:p w14:paraId="2478645F" w14:textId="77777777" w:rsidR="00290D28" w:rsidRPr="005B3F16" w:rsidRDefault="00290D28" w:rsidP="00290D28">
      <w:pPr>
        <w:spacing w:after="0" w:line="276" w:lineRule="auto"/>
        <w:jc w:val="both"/>
        <w:rPr>
          <w:rFonts w:ascii="Verdana" w:eastAsia="Calibri" w:hAnsi="Verdana" w:cs="Arial"/>
          <w:lang w:val="es-ES_tradnl"/>
        </w:rPr>
      </w:pPr>
      <w:r w:rsidRPr="005B3F16">
        <w:rPr>
          <w:rFonts w:ascii="Verdana" w:eastAsia="Calibri" w:hAnsi="Verdana" w:cs="Arial"/>
          <w:lang w:val="es-ES_tradnl"/>
        </w:rPr>
        <w:t>Twitter: @</w:t>
      </w:r>
      <w:proofErr w:type="spellStart"/>
      <w:r w:rsidRPr="005B3F16">
        <w:rPr>
          <w:rFonts w:ascii="Verdana" w:eastAsia="Calibri" w:hAnsi="Verdana" w:cs="Arial"/>
          <w:lang w:val="es-ES_tradnl"/>
        </w:rPr>
        <w:t>colombiacompra</w:t>
      </w:r>
      <w:proofErr w:type="spellEnd"/>
      <w:r w:rsidRPr="005B3F16">
        <w:rPr>
          <w:rFonts w:ascii="Verdana" w:eastAsia="Calibri" w:hAnsi="Verdana" w:cs="Arial"/>
          <w:lang w:val="es-ES_tradnl"/>
        </w:rPr>
        <w:t xml:space="preserve"> </w:t>
      </w:r>
    </w:p>
    <w:p w14:paraId="39AF5D8A" w14:textId="77777777" w:rsidR="00290D28" w:rsidRPr="005B3F16" w:rsidRDefault="00290D28" w:rsidP="00290D28">
      <w:pPr>
        <w:spacing w:after="0" w:line="276" w:lineRule="auto"/>
        <w:jc w:val="both"/>
        <w:rPr>
          <w:rFonts w:ascii="Verdana" w:eastAsia="Calibri" w:hAnsi="Verdana" w:cs="Arial"/>
          <w:lang w:val="es-ES"/>
        </w:rPr>
      </w:pPr>
      <w:r w:rsidRPr="2F5E6258">
        <w:rPr>
          <w:rFonts w:ascii="Verdana" w:eastAsia="Calibri" w:hAnsi="Verdana" w:cs="Arial"/>
          <w:lang w:val="es-ES"/>
        </w:rPr>
        <w:t xml:space="preserve">Facebook: </w:t>
      </w:r>
      <w:proofErr w:type="spellStart"/>
      <w:r w:rsidRPr="2F5E6258">
        <w:rPr>
          <w:rFonts w:ascii="Verdana" w:eastAsia="Calibri" w:hAnsi="Verdana" w:cs="Arial"/>
          <w:lang w:val="es-ES"/>
        </w:rPr>
        <w:t>ColombiaCompraEficiente</w:t>
      </w:r>
      <w:proofErr w:type="spellEnd"/>
    </w:p>
    <w:p w14:paraId="17A4467C" w14:textId="77777777" w:rsidR="00290D28" w:rsidRPr="005B3F16" w:rsidRDefault="00290D28" w:rsidP="00290D28">
      <w:pPr>
        <w:spacing w:after="0" w:line="276" w:lineRule="auto"/>
        <w:jc w:val="both"/>
        <w:rPr>
          <w:rFonts w:ascii="Verdana" w:eastAsia="Calibri" w:hAnsi="Verdana" w:cs="Arial"/>
          <w:lang w:val="es-ES_tradnl"/>
        </w:rPr>
      </w:pPr>
      <w:r w:rsidRPr="005B3F16">
        <w:rPr>
          <w:rFonts w:ascii="Verdana" w:eastAsia="Calibri" w:hAnsi="Verdana" w:cs="Arial"/>
          <w:lang w:val="es-ES_tradnl"/>
        </w:rPr>
        <w:t>LinkedIn: Agencia Nacional de Contratación Pública - Colombia Compra Eficiente Instagram: @</w:t>
      </w:r>
      <w:proofErr w:type="spellStart"/>
      <w:r w:rsidRPr="005B3F16">
        <w:rPr>
          <w:rFonts w:ascii="Verdana" w:eastAsia="Calibri" w:hAnsi="Verdana" w:cs="Arial"/>
          <w:lang w:val="es-ES_tradnl"/>
        </w:rPr>
        <w:t>colombiacompraeficiente_cce</w:t>
      </w:r>
      <w:proofErr w:type="spellEnd"/>
    </w:p>
    <w:p w14:paraId="1430C43D" w14:textId="77777777" w:rsidR="00290D28" w:rsidRPr="005B3F16" w:rsidRDefault="00290D28" w:rsidP="00290D28">
      <w:pPr>
        <w:widowControl w:val="0"/>
        <w:autoSpaceDE w:val="0"/>
        <w:autoSpaceDN w:val="0"/>
        <w:spacing w:after="0" w:line="276" w:lineRule="auto"/>
        <w:jc w:val="both"/>
        <w:rPr>
          <w:rFonts w:ascii="Verdana" w:eastAsia="Calibri" w:hAnsi="Verdana" w:cs="Arial"/>
          <w:lang w:val="es-ES_tradnl"/>
        </w:rPr>
      </w:pPr>
    </w:p>
    <w:p w14:paraId="2DE50CB0" w14:textId="77777777" w:rsidR="00290D28" w:rsidRPr="005B3F16" w:rsidRDefault="00290D28" w:rsidP="00290D28">
      <w:pPr>
        <w:widowControl w:val="0"/>
        <w:autoSpaceDE w:val="0"/>
        <w:autoSpaceDN w:val="0"/>
        <w:spacing w:after="0" w:line="276" w:lineRule="auto"/>
        <w:jc w:val="both"/>
        <w:rPr>
          <w:rFonts w:ascii="Verdana" w:hAnsi="Verdana" w:cs="Arial"/>
          <w:lang w:val="es-ES_tradnl"/>
        </w:rPr>
      </w:pPr>
      <w:r w:rsidRPr="005B3F16">
        <w:rPr>
          <w:rFonts w:ascii="Verdana" w:eastAsia="Calibri"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w:t>
      </w:r>
      <w:r w:rsidRPr="005B3F16">
        <w:rPr>
          <w:rFonts w:ascii="Verdana" w:hAnsi="Verdana" w:cs="Arial"/>
          <w:lang w:val="es-ES_tradnl"/>
        </w:rPr>
        <w:t>2 de 2015.</w:t>
      </w:r>
    </w:p>
    <w:p w14:paraId="47247C13" w14:textId="77777777" w:rsidR="00290D28" w:rsidRPr="005B3F16" w:rsidRDefault="00290D28" w:rsidP="00290D28">
      <w:pPr>
        <w:widowControl w:val="0"/>
        <w:autoSpaceDE w:val="0"/>
        <w:autoSpaceDN w:val="0"/>
        <w:spacing w:after="0" w:line="276" w:lineRule="auto"/>
        <w:jc w:val="both"/>
        <w:rPr>
          <w:rFonts w:ascii="Verdana" w:hAnsi="Verdana" w:cs="Arial"/>
        </w:rPr>
      </w:pPr>
    </w:p>
    <w:p w14:paraId="5DB8D152" w14:textId="77777777" w:rsidR="00290D28" w:rsidRPr="005B3F16" w:rsidRDefault="00290D28" w:rsidP="00290D28">
      <w:pPr>
        <w:spacing w:after="0" w:line="276" w:lineRule="auto"/>
        <w:rPr>
          <w:rFonts w:ascii="Verdana" w:hAnsi="Verdana" w:cs="Arial"/>
          <w:lang w:eastAsia="es-CO"/>
        </w:rPr>
      </w:pPr>
      <w:r w:rsidRPr="005B3F16">
        <w:rPr>
          <w:rFonts w:ascii="Verdana" w:eastAsia="Times New Roman" w:hAnsi="Verdana" w:cs="Arial"/>
          <w:lang w:eastAsia="es-CO"/>
        </w:rPr>
        <w:t>Atentamente,</w:t>
      </w:r>
      <w:r w:rsidRPr="005B3F16">
        <w:rPr>
          <w:rFonts w:ascii="Verdana" w:hAnsi="Verdana" w:cs="Arial"/>
          <w:lang w:eastAsia="es-CO"/>
        </w:rPr>
        <w:t xml:space="preserve"> </w:t>
      </w:r>
    </w:p>
    <w:p w14:paraId="164330A0" w14:textId="77777777" w:rsidR="00290D28" w:rsidRPr="005B3F16" w:rsidRDefault="00290D28" w:rsidP="00290D28">
      <w:pPr>
        <w:spacing w:line="276" w:lineRule="auto"/>
        <w:rPr>
          <w:rFonts w:ascii="Verdana" w:hAnsi="Verdana"/>
          <w:noProof/>
          <w:lang w:val="es-ES_tradnl" w:eastAsia="es-CO"/>
        </w:rPr>
      </w:pPr>
    </w:p>
    <w:p w14:paraId="2AAD2AF1" w14:textId="2799847F" w:rsidR="00290D28" w:rsidRPr="00113CC5" w:rsidRDefault="00113CC5" w:rsidP="00290D28">
      <w:pPr>
        <w:spacing w:line="276" w:lineRule="auto"/>
        <w:jc w:val="center"/>
      </w:pPr>
      <w:r w:rsidRPr="0065791A">
        <w:rPr>
          <w:rFonts w:ascii="Century Gothic" w:hAnsi="Century Gothic"/>
          <w:noProof/>
        </w:rPr>
        <w:drawing>
          <wp:inline distT="0" distB="0" distL="0" distR="0" wp14:anchorId="477CD4DA" wp14:editId="1AFE8B6F">
            <wp:extent cx="3962953" cy="1867161"/>
            <wp:effectExtent l="0" t="0" r="0" b="0"/>
            <wp:docPr id="119417683" name="Imagen 1"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7683" name="Imagen 1" descr="Interfaz de usuario gráfica, Texto, Aplicación&#10;&#10;Descripción generada automáticamente con confianza media"/>
                    <pic:cNvPicPr/>
                  </pic:nvPicPr>
                  <pic:blipFill>
                    <a:blip r:embed="rId20"/>
                    <a:stretch>
                      <a:fillRect/>
                    </a:stretch>
                  </pic:blipFill>
                  <pic:spPr>
                    <a:xfrm>
                      <a:off x="0" y="0"/>
                      <a:ext cx="3962953" cy="1867161"/>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90D28" w:rsidRPr="005B3F16" w14:paraId="2AA82F42" w14:textId="77777777" w:rsidTr="38896179">
        <w:trPr>
          <w:trHeight w:val="315"/>
        </w:trPr>
        <w:tc>
          <w:tcPr>
            <w:tcW w:w="893" w:type="dxa"/>
            <w:vAlign w:val="center"/>
            <w:hideMark/>
          </w:tcPr>
          <w:p w14:paraId="50551799" w14:textId="77777777" w:rsidR="00290D28" w:rsidRPr="005B3F16" w:rsidRDefault="00290D28" w:rsidP="001D204D">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lastRenderedPageBreak/>
              <w:t>Elaboró:</w:t>
            </w:r>
          </w:p>
        </w:tc>
        <w:tc>
          <w:tcPr>
            <w:tcW w:w="5628" w:type="dxa"/>
            <w:tcBorders>
              <w:top w:val="nil"/>
              <w:left w:val="nil"/>
              <w:bottom w:val="dotted" w:sz="4" w:space="0" w:color="7F7F7F" w:themeColor="text1" w:themeTint="80"/>
              <w:right w:val="nil"/>
            </w:tcBorders>
            <w:vAlign w:val="center"/>
            <w:hideMark/>
          </w:tcPr>
          <w:p w14:paraId="6B771D53" w14:textId="77777777" w:rsidR="00290D28" w:rsidRPr="005B3F16" w:rsidRDefault="00290D28" w:rsidP="001D204D">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 xml:space="preserve">María Valeska Medellín Mora </w:t>
            </w:r>
          </w:p>
          <w:p w14:paraId="53ACE3B3" w14:textId="77777777" w:rsidR="00290D28" w:rsidRPr="005B3F16" w:rsidRDefault="00290D28" w:rsidP="001D204D">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Gestor T1-15</w:t>
            </w:r>
            <w:r w:rsidRPr="005B3F16">
              <w:rPr>
                <w:rFonts w:ascii="Verdana" w:eastAsia="Calibri" w:hAnsi="Verdana"/>
                <w:sz w:val="16"/>
                <w:szCs w:val="16"/>
                <w:lang w:val="es-ES_tradnl"/>
              </w:rPr>
              <w:t xml:space="preserve"> de la Subdirección de Gestión Contractual</w:t>
            </w:r>
          </w:p>
        </w:tc>
      </w:tr>
      <w:tr w:rsidR="00290D28" w:rsidRPr="005B3F16" w14:paraId="4447C907" w14:textId="77777777" w:rsidTr="38896179">
        <w:trPr>
          <w:trHeight w:val="330"/>
        </w:trPr>
        <w:tc>
          <w:tcPr>
            <w:tcW w:w="893" w:type="dxa"/>
            <w:vAlign w:val="center"/>
            <w:hideMark/>
          </w:tcPr>
          <w:p w14:paraId="1129B9AA" w14:textId="77777777" w:rsidR="00290D28" w:rsidRPr="005B3F16" w:rsidRDefault="00290D28" w:rsidP="001D204D">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8C47B90" w14:textId="77777777" w:rsidR="00290D28" w:rsidRPr="005B3F16" w:rsidRDefault="00290D28" w:rsidP="38896179">
            <w:pPr>
              <w:pStyle w:val="paragraph"/>
              <w:spacing w:before="0" w:beforeAutospacing="0" w:after="0" w:afterAutospacing="0" w:line="276" w:lineRule="auto"/>
              <w:contextualSpacing/>
              <w:textAlignment w:val="baseline"/>
              <w:rPr>
                <w:rFonts w:ascii="Verdana" w:eastAsia="Calibri" w:hAnsi="Verdana" w:cs="Arial"/>
                <w:sz w:val="16"/>
                <w:szCs w:val="16"/>
                <w:lang w:val="es-ES" w:eastAsia="en-US"/>
              </w:rPr>
            </w:pPr>
            <w:r w:rsidRPr="38896179">
              <w:rPr>
                <w:rFonts w:ascii="Verdana" w:eastAsia="Calibri" w:hAnsi="Verdana" w:cs="Arial"/>
                <w:sz w:val="16"/>
                <w:szCs w:val="16"/>
                <w:lang w:val="es-ES" w:eastAsia="en-US"/>
              </w:rPr>
              <w:t xml:space="preserve">Adriana </w:t>
            </w:r>
            <w:proofErr w:type="spellStart"/>
            <w:r w:rsidRPr="38896179">
              <w:rPr>
                <w:rFonts w:ascii="Verdana" w:eastAsia="Calibri" w:hAnsi="Verdana" w:cs="Arial"/>
                <w:sz w:val="16"/>
                <w:szCs w:val="16"/>
                <w:lang w:val="es-ES" w:eastAsia="en-US"/>
              </w:rPr>
              <w:t>Katerine</w:t>
            </w:r>
            <w:proofErr w:type="spellEnd"/>
            <w:r w:rsidRPr="38896179">
              <w:rPr>
                <w:rFonts w:ascii="Verdana" w:eastAsia="Calibri" w:hAnsi="Verdana" w:cs="Arial"/>
                <w:sz w:val="16"/>
                <w:szCs w:val="16"/>
                <w:lang w:val="es-ES" w:eastAsia="en-US"/>
              </w:rPr>
              <w:t xml:space="preserve"> </w:t>
            </w:r>
            <w:proofErr w:type="spellStart"/>
            <w:r w:rsidRPr="38896179">
              <w:rPr>
                <w:rFonts w:ascii="Verdana" w:eastAsia="Calibri" w:hAnsi="Verdana" w:cs="Arial"/>
                <w:sz w:val="16"/>
                <w:szCs w:val="16"/>
                <w:lang w:val="es-ES" w:eastAsia="en-US"/>
              </w:rPr>
              <w:t>Lopez</w:t>
            </w:r>
            <w:proofErr w:type="spellEnd"/>
            <w:r w:rsidRPr="38896179">
              <w:rPr>
                <w:rFonts w:ascii="Verdana" w:eastAsia="Calibri" w:hAnsi="Verdana" w:cs="Arial"/>
                <w:sz w:val="16"/>
                <w:szCs w:val="16"/>
                <w:lang w:val="es-ES" w:eastAsia="en-US"/>
              </w:rPr>
              <w:t xml:space="preserve"> </w:t>
            </w:r>
            <w:proofErr w:type="spellStart"/>
            <w:r w:rsidRPr="38896179">
              <w:rPr>
                <w:rFonts w:ascii="Verdana" w:eastAsia="Calibri" w:hAnsi="Verdana" w:cs="Arial"/>
                <w:sz w:val="16"/>
                <w:szCs w:val="16"/>
                <w:lang w:val="es-ES" w:eastAsia="en-US"/>
              </w:rPr>
              <w:t>Rodriguez</w:t>
            </w:r>
            <w:proofErr w:type="spellEnd"/>
          </w:p>
          <w:p w14:paraId="74C4FDC1" w14:textId="77777777" w:rsidR="00290D28" w:rsidRPr="005B3F16" w:rsidRDefault="00290D28" w:rsidP="001D204D">
            <w:pPr>
              <w:pStyle w:val="paragraph"/>
              <w:spacing w:before="0" w:beforeAutospacing="0" w:after="0" w:afterAutospacing="0" w:line="276" w:lineRule="auto"/>
              <w:contextualSpacing/>
              <w:textAlignment w:val="baseline"/>
              <w:rPr>
                <w:rFonts w:ascii="Verdana" w:eastAsia="Calibri" w:hAnsi="Verdana" w:cs="Arial"/>
                <w:sz w:val="16"/>
                <w:szCs w:val="16"/>
                <w:lang w:val="es-ES_tradnl" w:eastAsia="en-US"/>
              </w:rPr>
            </w:pPr>
            <w:r w:rsidRPr="005B3F16">
              <w:rPr>
                <w:rFonts w:ascii="Verdana" w:eastAsia="Calibri" w:hAnsi="Verdana"/>
                <w:sz w:val="16"/>
                <w:szCs w:val="16"/>
                <w:lang w:val="es-ES_tradnl" w:eastAsia="en-US"/>
              </w:rPr>
              <w:t>Contratista de la Subdirección de Gestión Contractual </w:t>
            </w:r>
          </w:p>
        </w:tc>
      </w:tr>
      <w:tr w:rsidR="00290D28" w:rsidRPr="005B3F16" w14:paraId="74AF6483" w14:textId="77777777" w:rsidTr="38896179">
        <w:trPr>
          <w:trHeight w:val="300"/>
        </w:trPr>
        <w:tc>
          <w:tcPr>
            <w:tcW w:w="893" w:type="dxa"/>
            <w:vAlign w:val="center"/>
          </w:tcPr>
          <w:p w14:paraId="10F7EB63" w14:textId="77777777" w:rsidR="00290D28" w:rsidRPr="005B3F16" w:rsidRDefault="00290D28" w:rsidP="001D204D">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20DE047" w14:textId="77777777" w:rsidR="00290D28" w:rsidRPr="005B3F16" w:rsidRDefault="00290D28" w:rsidP="001D204D">
            <w:pPr>
              <w:spacing w:line="276" w:lineRule="auto"/>
              <w:contextualSpacing/>
              <w:rPr>
                <w:rFonts w:ascii="Verdana" w:eastAsia="Calibri" w:hAnsi="Verdana" w:cs="Arial"/>
                <w:sz w:val="16"/>
                <w:szCs w:val="16"/>
                <w:lang w:val="es-ES"/>
              </w:rPr>
            </w:pPr>
            <w:r w:rsidRPr="460F3C83">
              <w:rPr>
                <w:rFonts w:ascii="Verdana" w:eastAsia="Calibri" w:hAnsi="Verdana" w:cs="Arial"/>
                <w:sz w:val="16"/>
                <w:szCs w:val="16"/>
                <w:lang w:val="es-ES"/>
              </w:rPr>
              <w:t xml:space="preserve">Carolina Quintero </w:t>
            </w:r>
            <w:proofErr w:type="spellStart"/>
            <w:r w:rsidRPr="460F3C83">
              <w:rPr>
                <w:rFonts w:ascii="Verdana" w:eastAsia="Calibri" w:hAnsi="Verdana" w:cs="Arial"/>
                <w:sz w:val="16"/>
                <w:szCs w:val="16"/>
                <w:lang w:val="es-ES"/>
              </w:rPr>
              <w:t>Gacharná</w:t>
            </w:r>
            <w:proofErr w:type="spellEnd"/>
          </w:p>
          <w:p w14:paraId="3961B6D2" w14:textId="77777777" w:rsidR="00290D28" w:rsidRPr="005B3F16" w:rsidRDefault="00290D28" w:rsidP="001D204D">
            <w:pPr>
              <w:spacing w:line="276" w:lineRule="auto"/>
              <w:contextualSpacing/>
              <w:rPr>
                <w:rFonts w:ascii="Verdana" w:eastAsia="Calibri" w:hAnsi="Verdana" w:cs="Arial"/>
                <w:sz w:val="16"/>
                <w:szCs w:val="16"/>
                <w:lang w:val="es-ES_tradnl"/>
              </w:rPr>
            </w:pPr>
            <w:r w:rsidRPr="005B3F16">
              <w:rPr>
                <w:rFonts w:ascii="Verdana" w:eastAsia="Calibri" w:hAnsi="Verdana" w:cs="Arial"/>
                <w:sz w:val="16"/>
                <w:szCs w:val="16"/>
                <w:lang w:val="es-ES_tradnl"/>
              </w:rPr>
              <w:t>Subdirectora de Gestión Contractual ANCP – CCE</w:t>
            </w:r>
          </w:p>
        </w:tc>
      </w:tr>
    </w:tbl>
    <w:p w14:paraId="07AFE7B6" w14:textId="77777777" w:rsidR="00290D28" w:rsidRPr="005B3F16" w:rsidRDefault="00290D28" w:rsidP="00290D28">
      <w:pPr>
        <w:spacing w:after="0" w:line="276" w:lineRule="auto"/>
        <w:rPr>
          <w:rFonts w:ascii="Verdana" w:eastAsia="Times New Roman" w:hAnsi="Verdana" w:cs="Arial"/>
          <w:sz w:val="24"/>
          <w:szCs w:val="24"/>
          <w:lang w:eastAsia="es-ES"/>
        </w:rPr>
      </w:pPr>
    </w:p>
    <w:p w14:paraId="0258D6CF" w14:textId="77777777" w:rsidR="00290D28" w:rsidRPr="005B3F16" w:rsidRDefault="00290D28" w:rsidP="00290D28">
      <w:pPr>
        <w:spacing w:line="276" w:lineRule="auto"/>
        <w:rPr>
          <w:rFonts w:ascii="Verdana" w:hAnsi="Verdana"/>
        </w:rPr>
      </w:pPr>
    </w:p>
    <w:p w14:paraId="253584B0" w14:textId="77777777" w:rsidR="00290D28" w:rsidRPr="005B3F16" w:rsidRDefault="00290D28" w:rsidP="00290D28">
      <w:pPr>
        <w:spacing w:after="0" w:line="276" w:lineRule="auto"/>
        <w:jc w:val="both"/>
        <w:rPr>
          <w:rFonts w:ascii="Verdana" w:hAnsi="Verdana"/>
        </w:rPr>
      </w:pPr>
    </w:p>
    <w:bookmarkEnd w:id="0"/>
    <w:p w14:paraId="11302457" w14:textId="77777777" w:rsidR="00290D28" w:rsidRPr="005B3F16" w:rsidRDefault="00290D28" w:rsidP="00290D28">
      <w:pPr>
        <w:spacing w:line="276" w:lineRule="auto"/>
        <w:rPr>
          <w:rFonts w:ascii="Verdana" w:hAnsi="Verdana"/>
        </w:rPr>
      </w:pPr>
    </w:p>
    <w:p w14:paraId="7EEEE442" w14:textId="77777777" w:rsidR="00290D28" w:rsidRPr="0044528D" w:rsidRDefault="00290D28" w:rsidP="00290D28">
      <w:pPr>
        <w:spacing w:after="0"/>
        <w:rPr>
          <w:rFonts w:ascii="Verdana" w:hAnsi="Verdana"/>
        </w:rPr>
      </w:pPr>
    </w:p>
    <w:p w14:paraId="2DB7C332" w14:textId="77777777" w:rsidR="00290D28" w:rsidRPr="00A815BF" w:rsidRDefault="00290D28" w:rsidP="00290D28"/>
    <w:p w14:paraId="7DC81B85" w14:textId="77777777" w:rsidR="00290D28" w:rsidRPr="0044528D" w:rsidRDefault="00290D28" w:rsidP="00290D28">
      <w:pPr>
        <w:spacing w:after="0"/>
        <w:rPr>
          <w:rFonts w:ascii="Verdana" w:hAnsi="Verdana"/>
        </w:rPr>
      </w:pPr>
    </w:p>
    <w:bookmarkEnd w:id="1"/>
    <w:p w14:paraId="0083C991" w14:textId="5C765C2F" w:rsidR="5D8505AD" w:rsidRPr="00290D28" w:rsidRDefault="5D8505AD" w:rsidP="00290D28"/>
    <w:sectPr w:rsidR="5D8505AD" w:rsidRPr="00290D28" w:rsidSect="00E45F4B">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516DC" w14:textId="77777777" w:rsidR="004313D3" w:rsidRDefault="004313D3" w:rsidP="00B30448">
      <w:pPr>
        <w:spacing w:after="0" w:line="240" w:lineRule="auto"/>
      </w:pPr>
      <w:r>
        <w:separator/>
      </w:r>
    </w:p>
  </w:endnote>
  <w:endnote w:type="continuationSeparator" w:id="0">
    <w:p w14:paraId="545B1645" w14:textId="77777777" w:rsidR="004313D3" w:rsidRDefault="004313D3" w:rsidP="00B30448">
      <w:pPr>
        <w:spacing w:after="0" w:line="240" w:lineRule="auto"/>
      </w:pPr>
      <w:r>
        <w:continuationSeparator/>
      </w:r>
    </w:p>
  </w:endnote>
  <w:endnote w:type="continuationNotice" w:id="1">
    <w:p w14:paraId="4B7249F1" w14:textId="77777777" w:rsidR="004313D3" w:rsidRDefault="00431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DACD" w14:textId="77777777" w:rsidR="000849D5" w:rsidRDefault="000849D5" w:rsidP="000849D5">
    <w:pPr>
      <w:spacing w:after="0"/>
      <w:rPr>
        <w:rFonts w:ascii="Verdana" w:hAnsi="Verdana"/>
        <w:b/>
        <w:bCs/>
        <w:sz w:val="20"/>
        <w:szCs w:val="20"/>
      </w:rPr>
    </w:pPr>
  </w:p>
  <w:p w14:paraId="6681ECB2" w14:textId="77777777" w:rsidR="000849D5" w:rsidRPr="00174B77" w:rsidRDefault="000849D5" w:rsidP="000849D5">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21625D2E" w14:textId="77777777" w:rsidR="000849D5" w:rsidRDefault="000849D5" w:rsidP="000849D5">
    <w:pPr>
      <w:spacing w:after="0"/>
      <w:jc w:val="both"/>
      <w:rPr>
        <w:rFonts w:ascii="Verdana" w:hAnsi="Verdana"/>
        <w:sz w:val="18"/>
        <w:szCs w:val="18"/>
      </w:rPr>
    </w:pPr>
    <w:r w:rsidRPr="00E41027">
      <w:rPr>
        <w:rFonts w:ascii="Verdana" w:hAnsi="Verdana"/>
        <w:sz w:val="18"/>
        <w:szCs w:val="18"/>
      </w:rPr>
      <w:t>Dirección: Carrera 7 # 26 – 20 - Bogotá, Colombia</w:t>
    </w:r>
  </w:p>
  <w:p w14:paraId="559D727E" w14:textId="77777777" w:rsidR="000849D5" w:rsidRPr="00E41027" w:rsidRDefault="000849D5" w:rsidP="000849D5">
    <w:pPr>
      <w:spacing w:after="0"/>
      <w:jc w:val="both"/>
      <w:rPr>
        <w:rFonts w:ascii="Verdana" w:hAnsi="Verdana"/>
        <w:sz w:val="18"/>
        <w:szCs w:val="18"/>
      </w:rPr>
    </w:pPr>
    <w:r w:rsidRPr="00E41027">
      <w:rPr>
        <w:rFonts w:ascii="Verdana" w:hAnsi="Verdana"/>
        <w:sz w:val="18"/>
        <w:szCs w:val="18"/>
      </w:rPr>
      <w:t>Mesa de servicio: (+57) 601 7456788</w:t>
    </w:r>
  </w:p>
  <w:p w14:paraId="143E423D" w14:textId="77777777" w:rsidR="000849D5" w:rsidRDefault="000849D5" w:rsidP="000849D5">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37FD84E" w14:textId="77777777" w:rsidR="000849D5" w:rsidRPr="007D04B2" w:rsidRDefault="000849D5" w:rsidP="000849D5">
    <w:pPr>
      <w:pStyle w:val="Piedepgina"/>
    </w:pPr>
  </w:p>
  <w:p w14:paraId="769219E2" w14:textId="77777777" w:rsidR="00B30448" w:rsidRPr="000849D5" w:rsidRDefault="00B30448" w:rsidP="0008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457CD" w14:textId="77777777" w:rsidR="004313D3" w:rsidRDefault="004313D3" w:rsidP="00B30448">
      <w:pPr>
        <w:spacing w:after="0" w:line="240" w:lineRule="auto"/>
      </w:pPr>
      <w:r>
        <w:separator/>
      </w:r>
    </w:p>
  </w:footnote>
  <w:footnote w:type="continuationSeparator" w:id="0">
    <w:p w14:paraId="67FDF3E4" w14:textId="77777777" w:rsidR="004313D3" w:rsidRDefault="004313D3" w:rsidP="00B30448">
      <w:pPr>
        <w:spacing w:after="0" w:line="240" w:lineRule="auto"/>
      </w:pPr>
      <w:r>
        <w:continuationSeparator/>
      </w:r>
    </w:p>
  </w:footnote>
  <w:footnote w:type="continuationNotice" w:id="1">
    <w:p w14:paraId="661C2B1A" w14:textId="77777777" w:rsidR="004313D3" w:rsidRDefault="004313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9537" w14:textId="2A6D5254" w:rsidR="00515FB5" w:rsidRDefault="00515FB5" w:rsidP="00515FB5">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5E688DB8" wp14:editId="6C11BD5C">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p>
  <w:p w14:paraId="635D63E7" w14:textId="77777777" w:rsidR="00515FB5" w:rsidRDefault="00515FB5" w:rsidP="00515FB5">
    <w:pPr>
      <w:pStyle w:val="Encabezado"/>
    </w:pPr>
  </w:p>
  <w:p w14:paraId="10CE77C0" w14:textId="77777777" w:rsidR="00515FB5" w:rsidRDefault="00515FB5" w:rsidP="00515FB5">
    <w:pPr>
      <w:pStyle w:val="Encabezado"/>
    </w:pPr>
  </w:p>
  <w:p w14:paraId="5BD4CAA1" w14:textId="77777777" w:rsidR="00515FB5" w:rsidRDefault="00515FB5" w:rsidP="00515FB5">
    <w:pPr>
      <w:pStyle w:val="Encabezado"/>
    </w:pPr>
  </w:p>
  <w:p w14:paraId="0D6E6014" w14:textId="77777777" w:rsidR="00515FB5" w:rsidRPr="00AB7B56" w:rsidRDefault="00515FB5" w:rsidP="00515FB5">
    <w:pPr>
      <w:pStyle w:val="Encabezado"/>
    </w:pPr>
  </w:p>
  <w:p w14:paraId="68E0C024" w14:textId="77777777" w:rsidR="00B30448" w:rsidRPr="00515FB5" w:rsidRDefault="00B30448" w:rsidP="00515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51E06B3"/>
    <w:multiLevelType w:val="multilevel"/>
    <w:tmpl w:val="654EE8CE"/>
    <w:lvl w:ilvl="0">
      <w:start w:val="1"/>
      <w:numFmt w:val="decimal"/>
      <w:lvlText w:val="%1."/>
      <w:lvlJc w:val="left"/>
      <w:pPr>
        <w:ind w:left="347" w:hanging="248"/>
      </w:pPr>
      <w:rPr>
        <w:rFonts w:ascii="Arial" w:eastAsia="Arial" w:hAnsi="Arial" w:cs="Arial" w:hint="default"/>
        <w:b/>
        <w:bCs/>
        <w:w w:val="100"/>
        <w:sz w:val="22"/>
        <w:szCs w:val="22"/>
        <w:lang w:val="es-ES" w:eastAsia="en-US" w:bidi="ar-SA"/>
      </w:rPr>
    </w:lvl>
    <w:lvl w:ilvl="1">
      <w:start w:val="1"/>
      <w:numFmt w:val="decimal"/>
      <w:lvlText w:val="%1.%2."/>
      <w:lvlJc w:val="left"/>
      <w:pPr>
        <w:ind w:left="529" w:hanging="430"/>
      </w:pPr>
      <w:rPr>
        <w:rFonts w:ascii="Arial" w:eastAsia="Arial" w:hAnsi="Arial" w:cs="Arial" w:hint="default"/>
        <w:b/>
        <w:bCs/>
        <w:w w:val="100"/>
        <w:sz w:val="22"/>
        <w:szCs w:val="22"/>
        <w:lang w:val="es-ES" w:eastAsia="en-US" w:bidi="ar-SA"/>
      </w:rPr>
    </w:lvl>
    <w:lvl w:ilvl="2">
      <w:numFmt w:val="bullet"/>
      <w:lvlText w:val="•"/>
      <w:lvlJc w:val="left"/>
      <w:pPr>
        <w:ind w:left="1526" w:hanging="430"/>
      </w:pPr>
      <w:rPr>
        <w:rFonts w:hint="default"/>
        <w:lang w:val="es-ES" w:eastAsia="en-US" w:bidi="ar-SA"/>
      </w:rPr>
    </w:lvl>
    <w:lvl w:ilvl="3">
      <w:numFmt w:val="bullet"/>
      <w:lvlText w:val="•"/>
      <w:lvlJc w:val="left"/>
      <w:pPr>
        <w:ind w:left="2533" w:hanging="430"/>
      </w:pPr>
      <w:rPr>
        <w:rFonts w:hint="default"/>
        <w:lang w:val="es-ES" w:eastAsia="en-US" w:bidi="ar-SA"/>
      </w:rPr>
    </w:lvl>
    <w:lvl w:ilvl="4">
      <w:numFmt w:val="bullet"/>
      <w:lvlText w:val="•"/>
      <w:lvlJc w:val="left"/>
      <w:pPr>
        <w:ind w:left="3540" w:hanging="430"/>
      </w:pPr>
      <w:rPr>
        <w:rFonts w:hint="default"/>
        <w:lang w:val="es-ES" w:eastAsia="en-US" w:bidi="ar-SA"/>
      </w:rPr>
    </w:lvl>
    <w:lvl w:ilvl="5">
      <w:numFmt w:val="bullet"/>
      <w:lvlText w:val="•"/>
      <w:lvlJc w:val="left"/>
      <w:pPr>
        <w:ind w:left="4546" w:hanging="430"/>
      </w:pPr>
      <w:rPr>
        <w:rFonts w:hint="default"/>
        <w:lang w:val="es-ES" w:eastAsia="en-US" w:bidi="ar-SA"/>
      </w:rPr>
    </w:lvl>
    <w:lvl w:ilvl="6">
      <w:numFmt w:val="bullet"/>
      <w:lvlText w:val="•"/>
      <w:lvlJc w:val="left"/>
      <w:pPr>
        <w:ind w:left="5553" w:hanging="430"/>
      </w:pPr>
      <w:rPr>
        <w:rFonts w:hint="default"/>
        <w:lang w:val="es-ES" w:eastAsia="en-US" w:bidi="ar-SA"/>
      </w:rPr>
    </w:lvl>
    <w:lvl w:ilvl="7">
      <w:numFmt w:val="bullet"/>
      <w:lvlText w:val="•"/>
      <w:lvlJc w:val="left"/>
      <w:pPr>
        <w:ind w:left="6560" w:hanging="430"/>
      </w:pPr>
      <w:rPr>
        <w:rFonts w:hint="default"/>
        <w:lang w:val="es-ES" w:eastAsia="en-US" w:bidi="ar-SA"/>
      </w:rPr>
    </w:lvl>
    <w:lvl w:ilvl="8">
      <w:numFmt w:val="bullet"/>
      <w:lvlText w:val="•"/>
      <w:lvlJc w:val="left"/>
      <w:pPr>
        <w:ind w:left="7566" w:hanging="430"/>
      </w:pPr>
      <w:rPr>
        <w:rFonts w:hint="default"/>
        <w:lang w:val="es-ES" w:eastAsia="en-US" w:bidi="ar-SA"/>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563B85"/>
    <w:multiLevelType w:val="hybridMultilevel"/>
    <w:tmpl w:val="8CFE8CF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2FD82040"/>
    <w:multiLevelType w:val="hybridMultilevel"/>
    <w:tmpl w:val="FEC0B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4B50F4"/>
    <w:multiLevelType w:val="hybridMultilevel"/>
    <w:tmpl w:val="3AF8BC34"/>
    <w:lvl w:ilvl="0" w:tplc="CA28013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2" w15:restartNumberingAfterBreak="0">
    <w:nsid w:val="53C32D26"/>
    <w:multiLevelType w:val="hybridMultilevel"/>
    <w:tmpl w:val="82D46C2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54290360"/>
    <w:multiLevelType w:val="hybridMultilevel"/>
    <w:tmpl w:val="35988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97E7732"/>
    <w:multiLevelType w:val="hybridMultilevel"/>
    <w:tmpl w:val="15583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CC8363F"/>
    <w:multiLevelType w:val="hybridMultilevel"/>
    <w:tmpl w:val="BD96C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E895A2E"/>
    <w:multiLevelType w:val="hybridMultilevel"/>
    <w:tmpl w:val="A52C0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825752D"/>
    <w:multiLevelType w:val="hybridMultilevel"/>
    <w:tmpl w:val="E23A8282"/>
    <w:lvl w:ilvl="0" w:tplc="99E6A86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7F6F2538"/>
    <w:multiLevelType w:val="hybridMultilevel"/>
    <w:tmpl w:val="A0267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1"/>
  </w:num>
  <w:num w:numId="6">
    <w:abstractNumId w:val="2"/>
  </w:num>
  <w:num w:numId="7">
    <w:abstractNumId w:val="7"/>
  </w:num>
  <w:num w:numId="8">
    <w:abstractNumId w:val="10"/>
  </w:num>
  <w:num w:numId="9">
    <w:abstractNumId w:val="14"/>
  </w:num>
  <w:num w:numId="10">
    <w:abstractNumId w:val="13"/>
  </w:num>
  <w:num w:numId="11">
    <w:abstractNumId w:val="15"/>
  </w:num>
  <w:num w:numId="12">
    <w:abstractNumId w:val="17"/>
  </w:num>
  <w:num w:numId="13">
    <w:abstractNumId w:val="16"/>
  </w:num>
  <w:num w:numId="14">
    <w:abstractNumId w:val="0"/>
  </w:num>
  <w:num w:numId="15">
    <w:abstractNumId w:val="5"/>
  </w:num>
  <w:num w:numId="16">
    <w:abstractNumId w:val="6"/>
  </w:num>
  <w:num w:numId="17">
    <w:abstractNumId w:val="9"/>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16F3"/>
    <w:rsid w:val="000037AE"/>
    <w:rsid w:val="00003F8F"/>
    <w:rsid w:val="00005BB0"/>
    <w:rsid w:val="0001025F"/>
    <w:rsid w:val="00011A77"/>
    <w:rsid w:val="0001222D"/>
    <w:rsid w:val="000135EB"/>
    <w:rsid w:val="00015D2B"/>
    <w:rsid w:val="00023823"/>
    <w:rsid w:val="0002558A"/>
    <w:rsid w:val="00031584"/>
    <w:rsid w:val="00032A0E"/>
    <w:rsid w:val="00037347"/>
    <w:rsid w:val="00040A35"/>
    <w:rsid w:val="000442CC"/>
    <w:rsid w:val="00045B79"/>
    <w:rsid w:val="00047A3C"/>
    <w:rsid w:val="000556D4"/>
    <w:rsid w:val="000716AB"/>
    <w:rsid w:val="00082E4C"/>
    <w:rsid w:val="000849D5"/>
    <w:rsid w:val="0008528F"/>
    <w:rsid w:val="00090E20"/>
    <w:rsid w:val="000A6E0C"/>
    <w:rsid w:val="000A70FA"/>
    <w:rsid w:val="000A7A56"/>
    <w:rsid w:val="000B1FF7"/>
    <w:rsid w:val="000B2513"/>
    <w:rsid w:val="000B4024"/>
    <w:rsid w:val="000B5FFE"/>
    <w:rsid w:val="000B7A87"/>
    <w:rsid w:val="000C3C51"/>
    <w:rsid w:val="000C7262"/>
    <w:rsid w:val="000D2A7F"/>
    <w:rsid w:val="000D49FB"/>
    <w:rsid w:val="000D4FCE"/>
    <w:rsid w:val="000E670C"/>
    <w:rsid w:val="000F2DCB"/>
    <w:rsid w:val="001079A9"/>
    <w:rsid w:val="0011037E"/>
    <w:rsid w:val="00113CC5"/>
    <w:rsid w:val="00124D0E"/>
    <w:rsid w:val="00126FA8"/>
    <w:rsid w:val="00127A6D"/>
    <w:rsid w:val="001363C7"/>
    <w:rsid w:val="00141AC5"/>
    <w:rsid w:val="00146B11"/>
    <w:rsid w:val="00147A04"/>
    <w:rsid w:val="00150EAB"/>
    <w:rsid w:val="0015476D"/>
    <w:rsid w:val="00161E13"/>
    <w:rsid w:val="00164AE0"/>
    <w:rsid w:val="00165E83"/>
    <w:rsid w:val="00166CD7"/>
    <w:rsid w:val="001706BC"/>
    <w:rsid w:val="0017120C"/>
    <w:rsid w:val="00172F3A"/>
    <w:rsid w:val="0019532A"/>
    <w:rsid w:val="0019670E"/>
    <w:rsid w:val="00197205"/>
    <w:rsid w:val="00197C18"/>
    <w:rsid w:val="001A5DD4"/>
    <w:rsid w:val="001A67E9"/>
    <w:rsid w:val="001B0DE5"/>
    <w:rsid w:val="001B143B"/>
    <w:rsid w:val="001B21CA"/>
    <w:rsid w:val="001B5566"/>
    <w:rsid w:val="001C04FC"/>
    <w:rsid w:val="001C25A3"/>
    <w:rsid w:val="001C5D03"/>
    <w:rsid w:val="001C7771"/>
    <w:rsid w:val="001D62FF"/>
    <w:rsid w:val="001E2B8E"/>
    <w:rsid w:val="001E588D"/>
    <w:rsid w:val="001E5CC4"/>
    <w:rsid w:val="001F3F48"/>
    <w:rsid w:val="001F51B2"/>
    <w:rsid w:val="002000AA"/>
    <w:rsid w:val="00203EBB"/>
    <w:rsid w:val="00204109"/>
    <w:rsid w:val="0021026D"/>
    <w:rsid w:val="00211E6E"/>
    <w:rsid w:val="00212A46"/>
    <w:rsid w:val="0021401D"/>
    <w:rsid w:val="002146B8"/>
    <w:rsid w:val="00214AB9"/>
    <w:rsid w:val="00215516"/>
    <w:rsid w:val="00221EA7"/>
    <w:rsid w:val="00223573"/>
    <w:rsid w:val="00235798"/>
    <w:rsid w:val="00244C79"/>
    <w:rsid w:val="002527C2"/>
    <w:rsid w:val="002536F1"/>
    <w:rsid w:val="00270443"/>
    <w:rsid w:val="00270EE2"/>
    <w:rsid w:val="00272972"/>
    <w:rsid w:val="0028252D"/>
    <w:rsid w:val="00285F49"/>
    <w:rsid w:val="00286491"/>
    <w:rsid w:val="00290D28"/>
    <w:rsid w:val="00291A05"/>
    <w:rsid w:val="002A097D"/>
    <w:rsid w:val="002A0F8D"/>
    <w:rsid w:val="002A65BB"/>
    <w:rsid w:val="002B2253"/>
    <w:rsid w:val="002B3F8E"/>
    <w:rsid w:val="002B6E44"/>
    <w:rsid w:val="002D5318"/>
    <w:rsid w:val="002D580F"/>
    <w:rsid w:val="002E1DB5"/>
    <w:rsid w:val="002F3468"/>
    <w:rsid w:val="002F378B"/>
    <w:rsid w:val="002F6CCB"/>
    <w:rsid w:val="00300925"/>
    <w:rsid w:val="0030126A"/>
    <w:rsid w:val="00304090"/>
    <w:rsid w:val="0030461E"/>
    <w:rsid w:val="0032756A"/>
    <w:rsid w:val="003304E0"/>
    <w:rsid w:val="00334EF8"/>
    <w:rsid w:val="00336408"/>
    <w:rsid w:val="00340DFB"/>
    <w:rsid w:val="0034404F"/>
    <w:rsid w:val="003471E6"/>
    <w:rsid w:val="00356980"/>
    <w:rsid w:val="00362845"/>
    <w:rsid w:val="003639DA"/>
    <w:rsid w:val="00367462"/>
    <w:rsid w:val="00371ECA"/>
    <w:rsid w:val="00372748"/>
    <w:rsid w:val="0037332A"/>
    <w:rsid w:val="0037524E"/>
    <w:rsid w:val="0038151A"/>
    <w:rsid w:val="0039082A"/>
    <w:rsid w:val="00390C21"/>
    <w:rsid w:val="003A37BD"/>
    <w:rsid w:val="003A4044"/>
    <w:rsid w:val="003B6D94"/>
    <w:rsid w:val="003C0DF9"/>
    <w:rsid w:val="003C4C96"/>
    <w:rsid w:val="003C55E0"/>
    <w:rsid w:val="003C70A0"/>
    <w:rsid w:val="003D111E"/>
    <w:rsid w:val="003E36FF"/>
    <w:rsid w:val="003F519B"/>
    <w:rsid w:val="00404EAA"/>
    <w:rsid w:val="0040544F"/>
    <w:rsid w:val="00406A19"/>
    <w:rsid w:val="0041222D"/>
    <w:rsid w:val="0041483E"/>
    <w:rsid w:val="00415369"/>
    <w:rsid w:val="004221C8"/>
    <w:rsid w:val="00430492"/>
    <w:rsid w:val="004313D3"/>
    <w:rsid w:val="00432FFE"/>
    <w:rsid w:val="00437D03"/>
    <w:rsid w:val="0044773D"/>
    <w:rsid w:val="00450BE7"/>
    <w:rsid w:val="00462D21"/>
    <w:rsid w:val="0046741E"/>
    <w:rsid w:val="00467611"/>
    <w:rsid w:val="00467EA6"/>
    <w:rsid w:val="00472CC6"/>
    <w:rsid w:val="0048026E"/>
    <w:rsid w:val="004807A9"/>
    <w:rsid w:val="004813EE"/>
    <w:rsid w:val="00484FBA"/>
    <w:rsid w:val="00490C3E"/>
    <w:rsid w:val="00493278"/>
    <w:rsid w:val="004943D9"/>
    <w:rsid w:val="004A0E7B"/>
    <w:rsid w:val="004A2F28"/>
    <w:rsid w:val="004A3498"/>
    <w:rsid w:val="004A4E52"/>
    <w:rsid w:val="004B02A1"/>
    <w:rsid w:val="004B0C45"/>
    <w:rsid w:val="004C0AB2"/>
    <w:rsid w:val="004C1619"/>
    <w:rsid w:val="004C1A26"/>
    <w:rsid w:val="004C1CC9"/>
    <w:rsid w:val="004C3755"/>
    <w:rsid w:val="004C4485"/>
    <w:rsid w:val="004D11AF"/>
    <w:rsid w:val="004D70E1"/>
    <w:rsid w:val="00500DFA"/>
    <w:rsid w:val="005019AA"/>
    <w:rsid w:val="005021BB"/>
    <w:rsid w:val="0050414D"/>
    <w:rsid w:val="005139E7"/>
    <w:rsid w:val="005147DA"/>
    <w:rsid w:val="00515FB5"/>
    <w:rsid w:val="005207F7"/>
    <w:rsid w:val="0052365C"/>
    <w:rsid w:val="00524FF4"/>
    <w:rsid w:val="005271EB"/>
    <w:rsid w:val="005307B9"/>
    <w:rsid w:val="005426DB"/>
    <w:rsid w:val="0055082B"/>
    <w:rsid w:val="00552503"/>
    <w:rsid w:val="00552B57"/>
    <w:rsid w:val="00557DA1"/>
    <w:rsid w:val="0056322C"/>
    <w:rsid w:val="00586562"/>
    <w:rsid w:val="0058743A"/>
    <w:rsid w:val="005928B4"/>
    <w:rsid w:val="00595F2E"/>
    <w:rsid w:val="005A4DB0"/>
    <w:rsid w:val="005A7B8E"/>
    <w:rsid w:val="005B012B"/>
    <w:rsid w:val="005B0C87"/>
    <w:rsid w:val="005B0E15"/>
    <w:rsid w:val="005B3F16"/>
    <w:rsid w:val="005B439B"/>
    <w:rsid w:val="005B56F6"/>
    <w:rsid w:val="005C273B"/>
    <w:rsid w:val="005C4978"/>
    <w:rsid w:val="005D23F6"/>
    <w:rsid w:val="005D2E4E"/>
    <w:rsid w:val="005D2FA8"/>
    <w:rsid w:val="005E2281"/>
    <w:rsid w:val="005E667C"/>
    <w:rsid w:val="005E6DB2"/>
    <w:rsid w:val="005F077C"/>
    <w:rsid w:val="005F50D7"/>
    <w:rsid w:val="005F5F33"/>
    <w:rsid w:val="005F63D0"/>
    <w:rsid w:val="005F7973"/>
    <w:rsid w:val="00606D1F"/>
    <w:rsid w:val="0061690E"/>
    <w:rsid w:val="00627361"/>
    <w:rsid w:val="0063017E"/>
    <w:rsid w:val="00631B28"/>
    <w:rsid w:val="0064094C"/>
    <w:rsid w:val="006450EE"/>
    <w:rsid w:val="00645B90"/>
    <w:rsid w:val="00650991"/>
    <w:rsid w:val="006511D7"/>
    <w:rsid w:val="006528D6"/>
    <w:rsid w:val="00653E3C"/>
    <w:rsid w:val="00663D75"/>
    <w:rsid w:val="0066531E"/>
    <w:rsid w:val="00670AEF"/>
    <w:rsid w:val="00673FF4"/>
    <w:rsid w:val="00675678"/>
    <w:rsid w:val="00676A8B"/>
    <w:rsid w:val="00677012"/>
    <w:rsid w:val="006825B4"/>
    <w:rsid w:val="00682AF2"/>
    <w:rsid w:val="006864DF"/>
    <w:rsid w:val="006A1D37"/>
    <w:rsid w:val="006A3C8A"/>
    <w:rsid w:val="006A7552"/>
    <w:rsid w:val="006B5953"/>
    <w:rsid w:val="006B7A81"/>
    <w:rsid w:val="006C4BAC"/>
    <w:rsid w:val="006C52F3"/>
    <w:rsid w:val="006D570B"/>
    <w:rsid w:val="006D702C"/>
    <w:rsid w:val="006E1F18"/>
    <w:rsid w:val="006E343E"/>
    <w:rsid w:val="006E7F37"/>
    <w:rsid w:val="006F3B81"/>
    <w:rsid w:val="006F4F79"/>
    <w:rsid w:val="00705B37"/>
    <w:rsid w:val="00711FD9"/>
    <w:rsid w:val="00735062"/>
    <w:rsid w:val="00745400"/>
    <w:rsid w:val="00746BA5"/>
    <w:rsid w:val="00750D05"/>
    <w:rsid w:val="00751D23"/>
    <w:rsid w:val="007534D1"/>
    <w:rsid w:val="00770577"/>
    <w:rsid w:val="00777666"/>
    <w:rsid w:val="0078159B"/>
    <w:rsid w:val="0078296B"/>
    <w:rsid w:val="00782E10"/>
    <w:rsid w:val="0078706B"/>
    <w:rsid w:val="00790836"/>
    <w:rsid w:val="00796F7F"/>
    <w:rsid w:val="00797131"/>
    <w:rsid w:val="007A3C1D"/>
    <w:rsid w:val="007A4193"/>
    <w:rsid w:val="007A7935"/>
    <w:rsid w:val="007B285D"/>
    <w:rsid w:val="007C6BC6"/>
    <w:rsid w:val="00807D79"/>
    <w:rsid w:val="00813634"/>
    <w:rsid w:val="00822821"/>
    <w:rsid w:val="00831C29"/>
    <w:rsid w:val="008430A8"/>
    <w:rsid w:val="008431EA"/>
    <w:rsid w:val="008431EF"/>
    <w:rsid w:val="008468E0"/>
    <w:rsid w:val="00865FBA"/>
    <w:rsid w:val="00871B59"/>
    <w:rsid w:val="00875457"/>
    <w:rsid w:val="00876251"/>
    <w:rsid w:val="00877D03"/>
    <w:rsid w:val="00877E96"/>
    <w:rsid w:val="008806CA"/>
    <w:rsid w:val="008815E5"/>
    <w:rsid w:val="00881D8B"/>
    <w:rsid w:val="00887B37"/>
    <w:rsid w:val="008909B9"/>
    <w:rsid w:val="00891DFC"/>
    <w:rsid w:val="00895737"/>
    <w:rsid w:val="008A49EE"/>
    <w:rsid w:val="008B12B4"/>
    <w:rsid w:val="008B7914"/>
    <w:rsid w:val="008C5D2A"/>
    <w:rsid w:val="008C7AF4"/>
    <w:rsid w:val="008D1EB8"/>
    <w:rsid w:val="008D40C5"/>
    <w:rsid w:val="008D529F"/>
    <w:rsid w:val="008D7EDD"/>
    <w:rsid w:val="008F02FB"/>
    <w:rsid w:val="008F5CC8"/>
    <w:rsid w:val="0090505B"/>
    <w:rsid w:val="009061B8"/>
    <w:rsid w:val="00906A90"/>
    <w:rsid w:val="0091008B"/>
    <w:rsid w:val="00911EA2"/>
    <w:rsid w:val="00916C7D"/>
    <w:rsid w:val="00923D6E"/>
    <w:rsid w:val="0092575D"/>
    <w:rsid w:val="009341DA"/>
    <w:rsid w:val="00937C6B"/>
    <w:rsid w:val="00937DE6"/>
    <w:rsid w:val="009430F9"/>
    <w:rsid w:val="009442E8"/>
    <w:rsid w:val="009457B6"/>
    <w:rsid w:val="009466BA"/>
    <w:rsid w:val="00946BD0"/>
    <w:rsid w:val="00951593"/>
    <w:rsid w:val="00952B88"/>
    <w:rsid w:val="00953F42"/>
    <w:rsid w:val="0095426C"/>
    <w:rsid w:val="00962196"/>
    <w:rsid w:val="00970087"/>
    <w:rsid w:val="00971074"/>
    <w:rsid w:val="0097374B"/>
    <w:rsid w:val="009802EE"/>
    <w:rsid w:val="0098266D"/>
    <w:rsid w:val="00985BF7"/>
    <w:rsid w:val="00987B8D"/>
    <w:rsid w:val="00993749"/>
    <w:rsid w:val="00995D86"/>
    <w:rsid w:val="009A5453"/>
    <w:rsid w:val="009B1186"/>
    <w:rsid w:val="009B4D94"/>
    <w:rsid w:val="009B5E47"/>
    <w:rsid w:val="009C2871"/>
    <w:rsid w:val="009C7CB5"/>
    <w:rsid w:val="009D2600"/>
    <w:rsid w:val="009D3C33"/>
    <w:rsid w:val="009D7DDD"/>
    <w:rsid w:val="009D7F3A"/>
    <w:rsid w:val="009E0355"/>
    <w:rsid w:val="009E4885"/>
    <w:rsid w:val="009F5A6D"/>
    <w:rsid w:val="009F778E"/>
    <w:rsid w:val="00A030C4"/>
    <w:rsid w:val="00A03E81"/>
    <w:rsid w:val="00A07DB6"/>
    <w:rsid w:val="00A101E9"/>
    <w:rsid w:val="00A10A73"/>
    <w:rsid w:val="00A115F6"/>
    <w:rsid w:val="00A170B3"/>
    <w:rsid w:val="00A223D5"/>
    <w:rsid w:val="00A37D1C"/>
    <w:rsid w:val="00A47318"/>
    <w:rsid w:val="00A5453E"/>
    <w:rsid w:val="00A55848"/>
    <w:rsid w:val="00A558E2"/>
    <w:rsid w:val="00A56F6C"/>
    <w:rsid w:val="00A679CB"/>
    <w:rsid w:val="00A76C8C"/>
    <w:rsid w:val="00A815BF"/>
    <w:rsid w:val="00A85F30"/>
    <w:rsid w:val="00A9099E"/>
    <w:rsid w:val="00A91FB7"/>
    <w:rsid w:val="00A9298F"/>
    <w:rsid w:val="00AA0351"/>
    <w:rsid w:val="00AA0DA9"/>
    <w:rsid w:val="00AA132B"/>
    <w:rsid w:val="00AA5F4A"/>
    <w:rsid w:val="00AB1984"/>
    <w:rsid w:val="00AB52B1"/>
    <w:rsid w:val="00AC1CAB"/>
    <w:rsid w:val="00AC4CB3"/>
    <w:rsid w:val="00AC780D"/>
    <w:rsid w:val="00AD036B"/>
    <w:rsid w:val="00AD1996"/>
    <w:rsid w:val="00AD4099"/>
    <w:rsid w:val="00AD4901"/>
    <w:rsid w:val="00AE3817"/>
    <w:rsid w:val="00AE5EC3"/>
    <w:rsid w:val="00AE6A98"/>
    <w:rsid w:val="00B02FE0"/>
    <w:rsid w:val="00B057B6"/>
    <w:rsid w:val="00B118C5"/>
    <w:rsid w:val="00B20C92"/>
    <w:rsid w:val="00B27516"/>
    <w:rsid w:val="00B30448"/>
    <w:rsid w:val="00B306BC"/>
    <w:rsid w:val="00B34786"/>
    <w:rsid w:val="00B400EC"/>
    <w:rsid w:val="00B40162"/>
    <w:rsid w:val="00B41ACE"/>
    <w:rsid w:val="00B50156"/>
    <w:rsid w:val="00B518AD"/>
    <w:rsid w:val="00B60A96"/>
    <w:rsid w:val="00B678EC"/>
    <w:rsid w:val="00B67B55"/>
    <w:rsid w:val="00B73DDD"/>
    <w:rsid w:val="00B75AC0"/>
    <w:rsid w:val="00B76C94"/>
    <w:rsid w:val="00B772D0"/>
    <w:rsid w:val="00B836EA"/>
    <w:rsid w:val="00B84C05"/>
    <w:rsid w:val="00B8722C"/>
    <w:rsid w:val="00B91B81"/>
    <w:rsid w:val="00B96147"/>
    <w:rsid w:val="00B97135"/>
    <w:rsid w:val="00BB3072"/>
    <w:rsid w:val="00BC7632"/>
    <w:rsid w:val="00BD45A0"/>
    <w:rsid w:val="00BD48A9"/>
    <w:rsid w:val="00BD630F"/>
    <w:rsid w:val="00BD7EC6"/>
    <w:rsid w:val="00BE3E91"/>
    <w:rsid w:val="00BE45FE"/>
    <w:rsid w:val="00BE50C7"/>
    <w:rsid w:val="00BE56E6"/>
    <w:rsid w:val="00BE73FA"/>
    <w:rsid w:val="00BF5218"/>
    <w:rsid w:val="00BF5C2A"/>
    <w:rsid w:val="00BF6B4B"/>
    <w:rsid w:val="00BF6E77"/>
    <w:rsid w:val="00C04F07"/>
    <w:rsid w:val="00C0511C"/>
    <w:rsid w:val="00C05DED"/>
    <w:rsid w:val="00C20ACF"/>
    <w:rsid w:val="00C22307"/>
    <w:rsid w:val="00C2270F"/>
    <w:rsid w:val="00C230AA"/>
    <w:rsid w:val="00C23469"/>
    <w:rsid w:val="00C30C62"/>
    <w:rsid w:val="00C315BE"/>
    <w:rsid w:val="00C371DF"/>
    <w:rsid w:val="00C42055"/>
    <w:rsid w:val="00C44B4C"/>
    <w:rsid w:val="00C46734"/>
    <w:rsid w:val="00C47A86"/>
    <w:rsid w:val="00C53220"/>
    <w:rsid w:val="00C65562"/>
    <w:rsid w:val="00C86C21"/>
    <w:rsid w:val="00CA3347"/>
    <w:rsid w:val="00CA41EF"/>
    <w:rsid w:val="00CA4C80"/>
    <w:rsid w:val="00CB28AD"/>
    <w:rsid w:val="00CB365F"/>
    <w:rsid w:val="00CB47BC"/>
    <w:rsid w:val="00CC15C9"/>
    <w:rsid w:val="00CC299A"/>
    <w:rsid w:val="00CD03E3"/>
    <w:rsid w:val="00CD3DF5"/>
    <w:rsid w:val="00CD4B04"/>
    <w:rsid w:val="00CD738B"/>
    <w:rsid w:val="00CE617B"/>
    <w:rsid w:val="00CE6BDA"/>
    <w:rsid w:val="00CF26FF"/>
    <w:rsid w:val="00D03DBE"/>
    <w:rsid w:val="00D072C0"/>
    <w:rsid w:val="00D131D2"/>
    <w:rsid w:val="00D33A2B"/>
    <w:rsid w:val="00D34C82"/>
    <w:rsid w:val="00D3515F"/>
    <w:rsid w:val="00D3757A"/>
    <w:rsid w:val="00D504A9"/>
    <w:rsid w:val="00D5206D"/>
    <w:rsid w:val="00D53CEB"/>
    <w:rsid w:val="00D60078"/>
    <w:rsid w:val="00D7177D"/>
    <w:rsid w:val="00D81311"/>
    <w:rsid w:val="00D8632B"/>
    <w:rsid w:val="00D9095F"/>
    <w:rsid w:val="00D93CA6"/>
    <w:rsid w:val="00D94796"/>
    <w:rsid w:val="00DB1F59"/>
    <w:rsid w:val="00DB201E"/>
    <w:rsid w:val="00DB5D94"/>
    <w:rsid w:val="00DC075F"/>
    <w:rsid w:val="00DC0E68"/>
    <w:rsid w:val="00DC5D8C"/>
    <w:rsid w:val="00DC744B"/>
    <w:rsid w:val="00DD25ED"/>
    <w:rsid w:val="00DD68B2"/>
    <w:rsid w:val="00DE0D6E"/>
    <w:rsid w:val="00DE3E5A"/>
    <w:rsid w:val="00DE70B4"/>
    <w:rsid w:val="00DF6F0B"/>
    <w:rsid w:val="00E02347"/>
    <w:rsid w:val="00E15AB6"/>
    <w:rsid w:val="00E1610C"/>
    <w:rsid w:val="00E16D73"/>
    <w:rsid w:val="00E23E9E"/>
    <w:rsid w:val="00E24098"/>
    <w:rsid w:val="00E25722"/>
    <w:rsid w:val="00E27851"/>
    <w:rsid w:val="00E27F0A"/>
    <w:rsid w:val="00E4231E"/>
    <w:rsid w:val="00E4302C"/>
    <w:rsid w:val="00E44AC7"/>
    <w:rsid w:val="00E45F4B"/>
    <w:rsid w:val="00E50E08"/>
    <w:rsid w:val="00E60A16"/>
    <w:rsid w:val="00E63247"/>
    <w:rsid w:val="00E82B6E"/>
    <w:rsid w:val="00E83657"/>
    <w:rsid w:val="00E92110"/>
    <w:rsid w:val="00E94258"/>
    <w:rsid w:val="00E947BD"/>
    <w:rsid w:val="00E96C18"/>
    <w:rsid w:val="00EA0B9C"/>
    <w:rsid w:val="00EA1DF7"/>
    <w:rsid w:val="00EA2E61"/>
    <w:rsid w:val="00EA2F35"/>
    <w:rsid w:val="00EA7D7F"/>
    <w:rsid w:val="00EB01B5"/>
    <w:rsid w:val="00EB02F4"/>
    <w:rsid w:val="00EB2FA2"/>
    <w:rsid w:val="00EB6E2D"/>
    <w:rsid w:val="00EB769A"/>
    <w:rsid w:val="00EC18E1"/>
    <w:rsid w:val="00EC3A35"/>
    <w:rsid w:val="00ED2BF0"/>
    <w:rsid w:val="00EE17F2"/>
    <w:rsid w:val="00EE3138"/>
    <w:rsid w:val="00EF2AC7"/>
    <w:rsid w:val="00EF400A"/>
    <w:rsid w:val="00EF6BE4"/>
    <w:rsid w:val="00EF6E5D"/>
    <w:rsid w:val="00F00499"/>
    <w:rsid w:val="00F02B61"/>
    <w:rsid w:val="00F07764"/>
    <w:rsid w:val="00F12517"/>
    <w:rsid w:val="00F131DD"/>
    <w:rsid w:val="00F16BA1"/>
    <w:rsid w:val="00F24435"/>
    <w:rsid w:val="00F30C0F"/>
    <w:rsid w:val="00F314E8"/>
    <w:rsid w:val="00F323A2"/>
    <w:rsid w:val="00F33B57"/>
    <w:rsid w:val="00F33D5C"/>
    <w:rsid w:val="00F345B7"/>
    <w:rsid w:val="00F34E90"/>
    <w:rsid w:val="00F356D6"/>
    <w:rsid w:val="00F4062F"/>
    <w:rsid w:val="00F47695"/>
    <w:rsid w:val="00F53BE2"/>
    <w:rsid w:val="00F55684"/>
    <w:rsid w:val="00F64D5A"/>
    <w:rsid w:val="00F675FB"/>
    <w:rsid w:val="00F709CD"/>
    <w:rsid w:val="00F906F4"/>
    <w:rsid w:val="00FA0716"/>
    <w:rsid w:val="00FA57A0"/>
    <w:rsid w:val="00FB4629"/>
    <w:rsid w:val="00FB6FB1"/>
    <w:rsid w:val="00FB7063"/>
    <w:rsid w:val="00FC302F"/>
    <w:rsid w:val="00FC3C8D"/>
    <w:rsid w:val="00FC5FA1"/>
    <w:rsid w:val="00FC7056"/>
    <w:rsid w:val="00FE1A00"/>
    <w:rsid w:val="00FE3091"/>
    <w:rsid w:val="024D7E2C"/>
    <w:rsid w:val="0D2EB883"/>
    <w:rsid w:val="0D8163B6"/>
    <w:rsid w:val="13A69650"/>
    <w:rsid w:val="1BB32F19"/>
    <w:rsid w:val="1F2C3AF5"/>
    <w:rsid w:val="1FF4886A"/>
    <w:rsid w:val="22D2584A"/>
    <w:rsid w:val="28751A95"/>
    <w:rsid w:val="29FA8189"/>
    <w:rsid w:val="2C00A012"/>
    <w:rsid w:val="38896179"/>
    <w:rsid w:val="389994B3"/>
    <w:rsid w:val="3B30A011"/>
    <w:rsid w:val="3B93C128"/>
    <w:rsid w:val="3CFBE104"/>
    <w:rsid w:val="510454D8"/>
    <w:rsid w:val="521E120A"/>
    <w:rsid w:val="5D8505AD"/>
    <w:rsid w:val="71443FBB"/>
    <w:rsid w:val="72EE784C"/>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22"/>
  </w:style>
  <w:style w:type="paragraph" w:styleId="Ttulo1">
    <w:name w:val="heading 1"/>
    <w:basedOn w:val="Normal"/>
    <w:link w:val="Ttulo1Car"/>
    <w:uiPriority w:val="1"/>
    <w:qFormat/>
    <w:rsid w:val="00B34786"/>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82E4C"/>
    <w:pPr>
      <w:ind w:left="720"/>
      <w:contextualSpacing/>
    </w:pPr>
  </w:style>
  <w:style w:type="character" w:customStyle="1" w:styleId="Hipervnculo1">
    <w:name w:val="Hipervínculo1"/>
    <w:basedOn w:val="Fuentedeprrafopredeter"/>
    <w:uiPriority w:val="99"/>
    <w:unhideWhenUsed/>
    <w:rsid w:val="000C3C51"/>
    <w:rPr>
      <w:color w:val="F2F2F2"/>
      <w:u w:val="single"/>
    </w:rPr>
  </w:style>
  <w:style w:type="paragraph" w:styleId="NormalWeb">
    <w:name w:val="Normal (Web)"/>
    <w:basedOn w:val="Normal"/>
    <w:uiPriority w:val="99"/>
    <w:unhideWhenUsed/>
    <w:rsid w:val="000C3C51"/>
    <w:rPr>
      <w:rFonts w:ascii="Times New Roman" w:hAnsi="Times New Roman" w:cs="Times New Roman"/>
      <w:sz w:val="24"/>
      <w:szCs w:val="24"/>
    </w:rPr>
  </w:style>
  <w:style w:type="character" w:styleId="Textoennegrita">
    <w:name w:val="Strong"/>
    <w:basedOn w:val="Fuentedeprrafopredeter"/>
    <w:uiPriority w:val="22"/>
    <w:qFormat/>
    <w:rsid w:val="000C3C51"/>
    <w:rPr>
      <w:b/>
      <w:bCs/>
    </w:rPr>
  </w:style>
  <w:style w:type="character" w:styleId="nfasis">
    <w:name w:val="Emphasis"/>
    <w:basedOn w:val="Fuentedeprrafopredeter"/>
    <w:uiPriority w:val="20"/>
    <w:qFormat/>
    <w:rsid w:val="000C3C51"/>
    <w:rPr>
      <w:i/>
      <w:iCs/>
    </w:rPr>
  </w:style>
  <w:style w:type="paragraph" w:styleId="Textoindependiente">
    <w:name w:val="Body Text"/>
    <w:basedOn w:val="Normal"/>
    <w:link w:val="TextoindependienteCar"/>
    <w:uiPriority w:val="1"/>
    <w:unhideWhenUsed/>
    <w:qFormat/>
    <w:rsid w:val="00430492"/>
    <w:pPr>
      <w:spacing w:after="120"/>
    </w:pPr>
  </w:style>
  <w:style w:type="character" w:customStyle="1" w:styleId="TextoindependienteCar">
    <w:name w:val="Texto independiente Car"/>
    <w:basedOn w:val="Fuentedeprrafopredeter"/>
    <w:link w:val="Textoindependiente"/>
    <w:uiPriority w:val="99"/>
    <w:rsid w:val="00430492"/>
  </w:style>
  <w:style w:type="paragraph" w:customStyle="1" w:styleId="Car1">
    <w:name w:val="Car1"/>
    <w:basedOn w:val="Normal"/>
    <w:next w:val="Textonotapie"/>
    <w:uiPriority w:val="99"/>
    <w:unhideWhenUsed/>
    <w:qFormat/>
    <w:rsid w:val="00430492"/>
    <w:pPr>
      <w:spacing w:after="0" w:line="240" w:lineRule="auto"/>
    </w:pPr>
    <w:rPr>
      <w:sz w:val="20"/>
      <w:szCs w:val="20"/>
      <w:lang w:val="es-MX"/>
    </w:rPr>
  </w:style>
  <w:style w:type="paragraph" w:customStyle="1" w:styleId="Cuadrculamedia1-nfasis21">
    <w:name w:val="Cuadrícula media 1 - Énfasis 21"/>
    <w:basedOn w:val="Normal"/>
    <w:uiPriority w:val="34"/>
    <w:qFormat/>
    <w:rsid w:val="009C2871"/>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1"/>
    <w:rsid w:val="00B34786"/>
    <w:rPr>
      <w:rFonts w:ascii="Arial" w:eastAsia="Arial" w:hAnsi="Arial" w:cs="Arial"/>
      <w:b/>
      <w:bCs/>
      <w:lang w:val="es-ES"/>
    </w:rPr>
  </w:style>
  <w:style w:type="paragraph" w:customStyle="1" w:styleId="Default">
    <w:name w:val="Default"/>
    <w:rsid w:val="00B34786"/>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B34786"/>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B34786"/>
    <w:rPr>
      <w:rFonts w:ascii="Geomanist" w:eastAsiaTheme="majorEastAsia" w:hAnsi="Geomanist" w:cstheme="majorBidi"/>
      <w:spacing w:val="-10"/>
      <w:kern w:val="28"/>
      <w:szCs w:val="56"/>
      <w:lang w:val="es-ES"/>
    </w:rPr>
  </w:style>
  <w:style w:type="table" w:customStyle="1" w:styleId="Tablaconcuadrcula1">
    <w:name w:val="Tabla con cuadrícula1"/>
    <w:basedOn w:val="Tablanormal"/>
    <w:next w:val="Tablaconcuadrcula"/>
    <w:uiPriority w:val="59"/>
    <w:qFormat/>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4786"/>
  </w:style>
  <w:style w:type="table" w:customStyle="1" w:styleId="TableNormal">
    <w:name w:val="Table Normal"/>
    <w:uiPriority w:val="2"/>
    <w:semiHidden/>
    <w:unhideWhenUsed/>
    <w:qFormat/>
    <w:rsid w:val="00B347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786"/>
    <w:pPr>
      <w:widowControl w:val="0"/>
      <w:autoSpaceDE w:val="0"/>
      <w:autoSpaceDN w:val="0"/>
      <w:spacing w:after="0" w:line="208" w:lineRule="exact"/>
      <w:ind w:left="119"/>
    </w:pPr>
    <w:rPr>
      <w:rFonts w:ascii="Calibri" w:eastAsia="Calibri" w:hAnsi="Calibri" w:cs="Calibri"/>
      <w:lang w:val="es-ES"/>
    </w:rPr>
  </w:style>
  <w:style w:type="table" w:customStyle="1" w:styleId="Tablaconcuadrcula2">
    <w:name w:val="Tabla con cuadrícula2"/>
    <w:basedOn w:val="Tablanormal"/>
    <w:next w:val="Tablaconcuadrcula"/>
    <w:uiPriority w:val="39"/>
    <w:rsid w:val="00B3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5DD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0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270">
      <w:bodyDiv w:val="1"/>
      <w:marLeft w:val="0"/>
      <w:marRight w:val="0"/>
      <w:marTop w:val="0"/>
      <w:marBottom w:val="0"/>
      <w:divBdr>
        <w:top w:val="none" w:sz="0" w:space="0" w:color="auto"/>
        <w:left w:val="none" w:sz="0" w:space="0" w:color="auto"/>
        <w:bottom w:val="none" w:sz="0" w:space="0" w:color="auto"/>
        <w:right w:val="none" w:sz="0" w:space="0" w:color="auto"/>
      </w:divBdr>
    </w:div>
    <w:div w:id="567960049">
      <w:bodyDiv w:val="1"/>
      <w:marLeft w:val="0"/>
      <w:marRight w:val="0"/>
      <w:marTop w:val="0"/>
      <w:marBottom w:val="0"/>
      <w:divBdr>
        <w:top w:val="none" w:sz="0" w:space="0" w:color="auto"/>
        <w:left w:val="none" w:sz="0" w:space="0" w:color="auto"/>
        <w:bottom w:val="none" w:sz="0" w:space="0" w:color="auto"/>
        <w:right w:val="none" w:sz="0" w:space="0" w:color="auto"/>
      </w:divBdr>
    </w:div>
    <w:div w:id="632058178">
      <w:bodyDiv w:val="1"/>
      <w:marLeft w:val="0"/>
      <w:marRight w:val="0"/>
      <w:marTop w:val="0"/>
      <w:marBottom w:val="0"/>
      <w:divBdr>
        <w:top w:val="none" w:sz="0" w:space="0" w:color="auto"/>
        <w:left w:val="none" w:sz="0" w:space="0" w:color="auto"/>
        <w:bottom w:val="none" w:sz="0" w:space="0" w:color="auto"/>
        <w:right w:val="none" w:sz="0" w:space="0" w:color="auto"/>
      </w:divBdr>
    </w:div>
    <w:div w:id="904800413">
      <w:bodyDiv w:val="1"/>
      <w:marLeft w:val="0"/>
      <w:marRight w:val="0"/>
      <w:marTop w:val="0"/>
      <w:marBottom w:val="0"/>
      <w:divBdr>
        <w:top w:val="none" w:sz="0" w:space="0" w:color="auto"/>
        <w:left w:val="none" w:sz="0" w:space="0" w:color="auto"/>
        <w:bottom w:val="none" w:sz="0" w:space="0" w:color="auto"/>
        <w:right w:val="none" w:sz="0" w:space="0" w:color="auto"/>
      </w:divBdr>
    </w:div>
    <w:div w:id="1190610056">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829058090">
      <w:bodyDiv w:val="1"/>
      <w:marLeft w:val="0"/>
      <w:marRight w:val="0"/>
      <w:marTop w:val="0"/>
      <w:marBottom w:val="0"/>
      <w:divBdr>
        <w:top w:val="none" w:sz="0" w:space="0" w:color="auto"/>
        <w:left w:val="none" w:sz="0" w:space="0" w:color="auto"/>
        <w:bottom w:val="none" w:sz="0" w:space="0" w:color="auto"/>
        <w:right w:val="none" w:sz="0" w:space="0" w:color="auto"/>
      </w:divBdr>
      <w:divsChild>
        <w:div w:id="127861344">
          <w:marLeft w:val="0"/>
          <w:marRight w:val="0"/>
          <w:marTop w:val="0"/>
          <w:marBottom w:val="0"/>
          <w:divBdr>
            <w:top w:val="none" w:sz="0" w:space="0" w:color="auto"/>
            <w:left w:val="none" w:sz="0" w:space="0" w:color="auto"/>
            <w:bottom w:val="none" w:sz="0" w:space="0" w:color="auto"/>
            <w:right w:val="none" w:sz="0" w:space="0" w:color="auto"/>
          </w:divBdr>
        </w:div>
        <w:div w:id="584609174">
          <w:marLeft w:val="0"/>
          <w:marRight w:val="0"/>
          <w:marTop w:val="0"/>
          <w:marBottom w:val="0"/>
          <w:divBdr>
            <w:top w:val="none" w:sz="0" w:space="0" w:color="auto"/>
            <w:left w:val="none" w:sz="0" w:space="0" w:color="auto"/>
            <w:bottom w:val="none" w:sz="0" w:space="0" w:color="auto"/>
            <w:right w:val="none" w:sz="0" w:space="0" w:color="auto"/>
          </w:divBdr>
        </w:div>
        <w:div w:id="1271086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circulares/circular_externa_unica_version_3_vf49.pdf" TargetMode="External"/><Relationship Id="rId18" Type="http://schemas.openxmlformats.org/officeDocument/2006/relationships/hyperlink" Target="https://nam02.safelinks.protection.outlook.com/?url=https%3A%2F%2Frelatoria.colombiacompra.gov.co%2F&amp;data=05%7C02%7Cmaria.medellin%40colombiacompra.gov.co%7C5aad36a736844ec87b2108dcc1fa4639%7C7b09041e245149d08cb179d5e3d8c1be%7C0%7C0%7C638598527917003470%7CUnknown%7CTWFpbGZsb3d8eyJWIjoiMC4wLjAwMDAiLCJQIjoiV2luMzIiLCJBTiI6Ik1haWwiLCJXVCI6Mn0%3D%7C0%7C%7C%7C&amp;sdata=Gl6rTZtPvlbLZ4eKTnHvz4iADQ34d4XNVaMGvyKcn%2Bo%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anielschz16@gmail.com" TargetMode="External"/><Relationship Id="rId17" Type="http://schemas.openxmlformats.org/officeDocument/2006/relationships/hyperlink" Target="https://relatoria.colombiacompra.gov.co/busqueda/conceptos" TargetMode="External"/><Relationship Id="rId2" Type="http://schemas.openxmlformats.org/officeDocument/2006/relationships/customXml" Target="../customXml/item2.xml"/><Relationship Id="rId16" Type="http://schemas.openxmlformats.org/officeDocument/2006/relationships/hyperlink" Target="https://www.colombiacompra.gov.co/manuales-guias-y-pliegos-tipo/manuales-y-guia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providencias-consejo-de-estad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ites%2Fcce_public%2Ffiles%2Ffiles_2020%2Fboletin_de_realtoria_iii.pdf&amp;data=05%7C02%7Cmaria.medellin%40colombiacompra.gov.co%7C5aad36a736844ec87b2108dcc1fa4639%7C7b09041e245149d08cb179d5e3d8c1be%7C0%7C0%7C638598527917016943%7CUnknown%7CTWFpbGZsb3d8eyJWIjoiMC4wLjAwMDAiLCJQIjoiV2luMzIiLCJBTiI6Ik1haWwiLCJXVCI6Mn0%3D%7C0%7C%7C%7C&amp;sdata=YdDMi%2FUgTqpLaJ4Uf%2BRDQQEaCBIxUhbm7Wae%2BvIeqH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content/04-documentos-tipo-de-licitacion-de-obra-publica-para-proyectos-de-infraestructura-socia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9d85dbaf-23eb-4e57-a637-93dcacc8b1a1"/>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a6cb9e4b-f1d1-4245-83ec-6cad768d538a"/>
    <ds:schemaRef ds:uri="http://purl.org/dc/dcmitype/"/>
  </ds:schemaRefs>
</ds:datastoreItem>
</file>

<file path=customXml/itemProps2.xml><?xml version="1.0" encoding="utf-8"?>
<ds:datastoreItem xmlns:ds="http://schemas.openxmlformats.org/officeDocument/2006/customXml" ds:itemID="{B2843723-D73A-40E9-95E7-857E24E9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A5E17F33-BA57-49EA-8690-50309EA1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3911</Words>
  <Characters>21516</Characters>
  <Application>Microsoft Office Word</Application>
  <DocSecurity>0</DocSecurity>
  <Lines>179</Lines>
  <Paragraphs>50</Paragraphs>
  <ScaleCrop>false</ScaleCrop>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Sergio Andrés Rivera Cano</cp:lastModifiedBy>
  <cp:revision>2</cp:revision>
  <dcterms:created xsi:type="dcterms:W3CDTF">2024-09-06T15:56:00Z</dcterms:created>
  <dcterms:modified xsi:type="dcterms:W3CDTF">2024-09-06T15:56:00Z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