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0D81" w14:textId="77777777" w:rsidR="003175B7" w:rsidRPr="00EC3197" w:rsidRDefault="003175B7" w:rsidP="003175B7">
      <w:pPr>
        <w:jc w:val="both"/>
        <w:rPr>
          <w:rFonts w:ascii="Arial" w:eastAsia="Calibri" w:hAnsi="Arial" w:cs="Arial"/>
          <w:b/>
          <w:color w:val="000000" w:themeColor="text1"/>
          <w:sz w:val="16"/>
          <w:szCs w:val="16"/>
        </w:rPr>
      </w:pPr>
    </w:p>
    <w:p w14:paraId="37B8ED79" w14:textId="77777777" w:rsidR="003175B7" w:rsidRPr="00EC3197" w:rsidRDefault="003175B7" w:rsidP="003175B7">
      <w:pPr>
        <w:pStyle w:val="Default"/>
        <w:rPr>
          <w:sz w:val="20"/>
          <w:szCs w:val="20"/>
          <w:lang w:val="es-MX"/>
        </w:rPr>
      </w:pPr>
    </w:p>
    <w:p w14:paraId="278C36C9" w14:textId="7371C500" w:rsidR="003175B7" w:rsidRPr="004577FB" w:rsidRDefault="003175B7" w:rsidP="003175B7">
      <w:pPr>
        <w:jc w:val="both"/>
        <w:rPr>
          <w:rFonts w:ascii="Arial" w:eastAsia="Calibri" w:hAnsi="Arial" w:cs="Arial"/>
          <w:b/>
          <w:color w:val="000000" w:themeColor="text1"/>
        </w:rPr>
      </w:pPr>
      <w:bookmarkStart w:id="0" w:name="_Hlk77082508"/>
      <w:r w:rsidRPr="00714B8A">
        <w:rPr>
          <w:rFonts w:ascii="Arial" w:eastAsia="Calibri" w:hAnsi="Arial" w:cs="Arial"/>
          <w:b/>
          <w:color w:val="000000" w:themeColor="text1"/>
        </w:rPr>
        <w:t>FONDO</w:t>
      </w:r>
      <w:r>
        <w:rPr>
          <w:rFonts w:ascii="Arial" w:eastAsia="Calibri" w:hAnsi="Arial" w:cs="Arial"/>
          <w:b/>
          <w:color w:val="000000" w:themeColor="text1"/>
        </w:rPr>
        <w:t xml:space="preserve">S MIXTOS DE LA CULTURA Y LAS </w:t>
      </w:r>
      <w:r w:rsidRPr="00714B8A">
        <w:rPr>
          <w:rFonts w:ascii="Arial" w:eastAsia="Calibri" w:hAnsi="Arial" w:cs="Arial"/>
          <w:b/>
          <w:color w:val="000000" w:themeColor="text1"/>
        </w:rPr>
        <w:t xml:space="preserve">ARTES – Naturaleza jurídica </w:t>
      </w:r>
      <w:bookmarkEnd w:id="0"/>
    </w:p>
    <w:p w14:paraId="491E81BB" w14:textId="77777777" w:rsidR="003175B7" w:rsidRPr="00777FED" w:rsidRDefault="003175B7" w:rsidP="003175B7">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El artículo 63 de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bookmarkStart w:id="1" w:name="_Hlk77083940"/>
      <w:r w:rsidRPr="00777FED">
        <w:rPr>
          <w:rFonts w:ascii="Arial" w:hAnsi="Arial" w:cs="Arial"/>
          <w:sz w:val="20"/>
          <w:szCs w:val="20"/>
        </w:rPr>
        <w:t xml:space="preserve"> </w:t>
      </w:r>
      <w:r w:rsidRPr="00777FED">
        <w:rPr>
          <w:rFonts w:ascii="Arial" w:eastAsia="Calibri" w:hAnsi="Arial" w:cs="Arial"/>
          <w:bCs/>
          <w:color w:val="000000" w:themeColor="text1"/>
          <w:sz w:val="20"/>
          <w:szCs w:val="20"/>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3263AC11" w14:textId="77777777" w:rsidR="003175B7" w:rsidRPr="00777FED" w:rsidRDefault="003175B7" w:rsidP="003175B7">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w:t>
      </w:r>
    </w:p>
    <w:bookmarkEnd w:id="1"/>
    <w:p w14:paraId="2EE5B4B8" w14:textId="42DB89C2" w:rsidR="003175B7" w:rsidRPr="00777FED" w:rsidRDefault="003175B7" w:rsidP="003175B7">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 […]</w:t>
      </w:r>
    </w:p>
    <w:p w14:paraId="3D52BE40" w14:textId="77777777" w:rsidR="003175B7" w:rsidRPr="00777FED" w:rsidRDefault="003175B7" w:rsidP="003175B7">
      <w:pPr>
        <w:jc w:val="both"/>
        <w:rPr>
          <w:rFonts w:ascii="Arial" w:eastAsia="Calibri" w:hAnsi="Arial" w:cs="Arial"/>
          <w:b/>
          <w:color w:val="000000" w:themeColor="text1"/>
          <w:sz w:val="20"/>
          <w:szCs w:val="20"/>
        </w:rPr>
      </w:pPr>
      <w:r w:rsidRPr="00777FED">
        <w:rPr>
          <w:rFonts w:ascii="Arial" w:eastAsia="Calibri" w:hAnsi="Arial" w:cs="Arial"/>
          <w:bCs/>
          <w:color w:val="000000" w:themeColor="text1"/>
          <w:sz w:val="20"/>
          <w:szCs w:val="20"/>
        </w:rPr>
        <w:t>Así pues, los fondos mixtos para la promoción de la cultura y de las artes son personas jurídicas sin ánimo de lucro, regidas por el derecho privado principalmente; hacen parte de la estructura de la Administración, como entidades descentralizadas indirectas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p w14:paraId="2A597B10" w14:textId="77777777" w:rsidR="003175B7" w:rsidRPr="00777FED" w:rsidRDefault="003175B7" w:rsidP="003175B7">
      <w:pPr>
        <w:jc w:val="both"/>
        <w:rPr>
          <w:rFonts w:ascii="Arial" w:eastAsia="Calibri" w:hAnsi="Arial" w:cs="Arial"/>
          <w:b/>
          <w:color w:val="000000" w:themeColor="text1"/>
          <w:sz w:val="20"/>
          <w:szCs w:val="20"/>
        </w:rPr>
      </w:pPr>
      <w:bookmarkStart w:id="2" w:name="_Hlk77090286"/>
    </w:p>
    <w:p w14:paraId="44BBF523" w14:textId="626ABEB0" w:rsidR="003175B7" w:rsidRPr="009B3296" w:rsidRDefault="003175B7" w:rsidP="009B3296">
      <w:pPr>
        <w:jc w:val="both"/>
        <w:rPr>
          <w:rFonts w:ascii="Arial" w:eastAsia="Calibri" w:hAnsi="Arial" w:cs="Arial"/>
          <w:b/>
          <w:color w:val="000000" w:themeColor="text1"/>
        </w:rPr>
      </w:pPr>
      <w:r w:rsidRPr="00714B8A">
        <w:rPr>
          <w:rFonts w:ascii="Arial" w:eastAsia="Calibri" w:hAnsi="Arial" w:cs="Arial"/>
          <w:b/>
          <w:color w:val="000000" w:themeColor="text1"/>
        </w:rPr>
        <w:t>FONDO</w:t>
      </w:r>
      <w:r>
        <w:rPr>
          <w:rFonts w:ascii="Arial" w:eastAsia="Calibri" w:hAnsi="Arial" w:cs="Arial"/>
          <w:b/>
          <w:color w:val="000000" w:themeColor="text1"/>
        </w:rPr>
        <w:t xml:space="preserve">S MIXTOS DE LA CULTURA Y LAS </w:t>
      </w:r>
      <w:r w:rsidRPr="00714B8A">
        <w:rPr>
          <w:rFonts w:ascii="Arial" w:eastAsia="Calibri" w:hAnsi="Arial" w:cs="Arial"/>
          <w:b/>
          <w:color w:val="000000" w:themeColor="text1"/>
        </w:rPr>
        <w:t xml:space="preserve">ARTES – Régimen de contratación </w:t>
      </w:r>
      <w:bookmarkEnd w:id="2"/>
    </w:p>
    <w:p w14:paraId="27F56009" w14:textId="38B75585" w:rsidR="003175B7" w:rsidRPr="00777FED" w:rsidRDefault="003175B7" w:rsidP="003175B7">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 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2D9121AE" w14:textId="66BA0B40" w:rsidR="003175B7" w:rsidRPr="002D1068" w:rsidRDefault="003175B7" w:rsidP="002D1068">
      <w:pPr>
        <w:jc w:val="both"/>
        <w:rPr>
          <w:rFonts w:ascii="Arial" w:eastAsia="Calibri" w:hAnsi="Arial" w:cs="Arial"/>
          <w:b/>
          <w:color w:val="000000" w:themeColor="text1"/>
        </w:rPr>
      </w:pPr>
      <w:r w:rsidRPr="00714B8A">
        <w:rPr>
          <w:rFonts w:ascii="Arial" w:eastAsia="Calibri" w:hAnsi="Arial" w:cs="Arial"/>
          <w:b/>
          <w:color w:val="000000" w:themeColor="text1"/>
        </w:rPr>
        <w:lastRenderedPageBreak/>
        <w:t xml:space="preserve">CONTRATOS Y </w:t>
      </w:r>
      <w:r w:rsidRPr="00714B8A">
        <w:rPr>
          <w:rFonts w:ascii="Arial" w:hAnsi="Arial" w:cs="Arial"/>
          <w:b/>
          <w:color w:val="000000" w:themeColor="text1"/>
        </w:rPr>
        <w:t xml:space="preserve">CONVENIOS INTERADMINISTRATIVOS </w:t>
      </w:r>
      <w:r w:rsidRPr="00714B8A">
        <w:rPr>
          <w:rFonts w:ascii="Arial" w:eastAsia="Calibri" w:hAnsi="Arial" w:cs="Arial"/>
          <w:b/>
          <w:color w:val="000000" w:themeColor="text1"/>
        </w:rPr>
        <w:t xml:space="preserve">– Definición – Criterio orgánico </w:t>
      </w:r>
    </w:p>
    <w:p w14:paraId="33C5D838" w14:textId="77777777" w:rsidR="003175B7" w:rsidRPr="00777FED" w:rsidRDefault="003175B7" w:rsidP="003175B7">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 el Decreto 1082 de 2015, «Por medio del cual se expide el Decreto único reglamentario del sector administrativo de planeación nacional», calificó a los convenios o contratos interadministrativos como aquella contratación entre entidades estatales. De esta manera, los convenios o contratos interadministrativos, nominados así en la Ley 80 de 1993 están determinados por un criterio orgánico o subjetivo, pues es necesario que los extremos de la relación contractual sean entidades estatales.</w:t>
      </w:r>
    </w:p>
    <w:p w14:paraId="34A4368D" w14:textId="4373DB7D" w:rsidR="002D1068" w:rsidRPr="002D1068" w:rsidRDefault="002D1068" w:rsidP="002D1068">
      <w:pPr>
        <w:jc w:val="both"/>
        <w:rPr>
          <w:rFonts w:ascii="Arial" w:eastAsia="Calibri" w:hAnsi="Arial" w:cs="Arial"/>
          <w:b/>
          <w:color w:val="000000" w:themeColor="text1"/>
        </w:rPr>
      </w:pPr>
      <w:r w:rsidRPr="00714B8A">
        <w:rPr>
          <w:rFonts w:ascii="Arial" w:eastAsia="Calibri" w:hAnsi="Arial" w:cs="Arial"/>
          <w:b/>
          <w:color w:val="000000" w:themeColor="text1"/>
        </w:rPr>
        <w:t>FONDO</w:t>
      </w:r>
      <w:r>
        <w:rPr>
          <w:rFonts w:ascii="Arial" w:eastAsia="Calibri" w:hAnsi="Arial" w:cs="Arial"/>
          <w:b/>
          <w:color w:val="000000" w:themeColor="text1"/>
        </w:rPr>
        <w:t xml:space="preserve">S MIXTOS DE LA CULTURA Y LAS </w:t>
      </w:r>
      <w:r w:rsidRPr="00714B8A">
        <w:rPr>
          <w:rFonts w:ascii="Arial" w:eastAsia="Calibri" w:hAnsi="Arial" w:cs="Arial"/>
          <w:b/>
          <w:color w:val="000000" w:themeColor="text1"/>
        </w:rPr>
        <w:t xml:space="preserve">ARTES – </w:t>
      </w:r>
      <w:r>
        <w:rPr>
          <w:rFonts w:ascii="Arial" w:eastAsia="Calibri" w:hAnsi="Arial" w:cs="Arial"/>
          <w:b/>
          <w:color w:val="000000" w:themeColor="text1"/>
        </w:rPr>
        <w:t>Celebración de convenios interadministrativos</w:t>
      </w:r>
    </w:p>
    <w:p w14:paraId="1ACD837C" w14:textId="77777777" w:rsidR="002D1068" w:rsidRDefault="002D1068" w:rsidP="002D1068">
      <w:pPr>
        <w:jc w:val="both"/>
        <w:rPr>
          <w:rFonts w:ascii="Arial" w:eastAsia="Calibri" w:hAnsi="Arial" w:cs="Arial"/>
          <w:color w:val="000000" w:themeColor="text1"/>
          <w:sz w:val="20"/>
          <w:szCs w:val="20"/>
        </w:rPr>
      </w:pPr>
      <w:r w:rsidRPr="00777FED">
        <w:rPr>
          <w:rFonts w:ascii="Arial" w:eastAsia="Calibri" w:hAnsi="Arial" w:cs="Arial"/>
          <w:bCs/>
          <w:color w:val="000000" w:themeColor="text1"/>
          <w:sz w:val="20"/>
          <w:szCs w:val="20"/>
        </w:rPr>
        <w:t xml:space="preserve">[…] </w:t>
      </w:r>
      <w:r w:rsidRPr="00777FED">
        <w:rPr>
          <w:rFonts w:ascii="Arial" w:eastAsia="Calibri" w:hAnsi="Arial" w:cs="Arial"/>
          <w:color w:val="000000" w:themeColor="text1"/>
          <w:sz w:val="20"/>
          <w:szCs w:val="20"/>
        </w:rPr>
        <w:t>Así pues, conforme a lo expuesto en el acápite anterior, los fondos mixtos al ser entidades descentralizadas indirectas tienen la calidad de entidades públicas, independientemente del porcentaje de participación pública que involucren, razón por la cual tienen la posibilidad de suscribir convenios y contratos interadministrativos con otras entidades públicas sin importar su régimen de contratación.</w:t>
      </w:r>
    </w:p>
    <w:p w14:paraId="1EA39496" w14:textId="77777777" w:rsidR="002D1068" w:rsidRDefault="002D1068" w:rsidP="002D1068">
      <w:pPr>
        <w:jc w:val="both"/>
        <w:rPr>
          <w:rFonts w:ascii="Arial" w:eastAsia="Calibri" w:hAnsi="Arial" w:cs="Arial"/>
          <w:color w:val="000000" w:themeColor="text1"/>
          <w:sz w:val="20"/>
          <w:szCs w:val="20"/>
        </w:rPr>
      </w:pPr>
    </w:p>
    <w:p w14:paraId="7037B34B" w14:textId="77777777" w:rsidR="002D1068" w:rsidRDefault="002D1068" w:rsidP="002D1068">
      <w:pPr>
        <w:jc w:val="both"/>
        <w:rPr>
          <w:rFonts w:ascii="Arial" w:eastAsia="Calibri" w:hAnsi="Arial" w:cs="Arial"/>
          <w:color w:val="000000" w:themeColor="text1"/>
          <w:sz w:val="20"/>
          <w:szCs w:val="20"/>
        </w:rPr>
      </w:pPr>
    </w:p>
    <w:p w14:paraId="54C2B72D" w14:textId="77777777" w:rsidR="002D1068" w:rsidRDefault="002D1068" w:rsidP="002D1068">
      <w:pPr>
        <w:jc w:val="both"/>
        <w:rPr>
          <w:rFonts w:ascii="Arial" w:eastAsia="Calibri" w:hAnsi="Arial" w:cs="Arial"/>
          <w:color w:val="000000" w:themeColor="text1"/>
          <w:sz w:val="20"/>
          <w:szCs w:val="20"/>
        </w:rPr>
      </w:pPr>
    </w:p>
    <w:p w14:paraId="340EE3F6" w14:textId="77777777" w:rsidR="002D1068" w:rsidRDefault="002D1068" w:rsidP="002D1068">
      <w:pPr>
        <w:jc w:val="both"/>
        <w:rPr>
          <w:rFonts w:ascii="Arial" w:eastAsia="Calibri" w:hAnsi="Arial" w:cs="Arial"/>
          <w:color w:val="000000" w:themeColor="text1"/>
          <w:sz w:val="20"/>
          <w:szCs w:val="20"/>
        </w:rPr>
      </w:pPr>
    </w:p>
    <w:p w14:paraId="138D875B" w14:textId="77777777" w:rsidR="002D1068" w:rsidRDefault="002D1068" w:rsidP="002D1068">
      <w:pPr>
        <w:jc w:val="both"/>
        <w:rPr>
          <w:rFonts w:ascii="Arial" w:eastAsia="Calibri" w:hAnsi="Arial" w:cs="Arial"/>
          <w:color w:val="000000" w:themeColor="text1"/>
          <w:sz w:val="20"/>
          <w:szCs w:val="20"/>
        </w:rPr>
      </w:pPr>
    </w:p>
    <w:p w14:paraId="6F6E11D7" w14:textId="77777777" w:rsidR="002D1068" w:rsidRDefault="002D1068" w:rsidP="002D1068">
      <w:pPr>
        <w:jc w:val="both"/>
        <w:rPr>
          <w:rFonts w:ascii="Arial" w:eastAsia="Calibri" w:hAnsi="Arial" w:cs="Arial"/>
          <w:color w:val="000000" w:themeColor="text1"/>
          <w:sz w:val="20"/>
          <w:szCs w:val="20"/>
        </w:rPr>
      </w:pPr>
    </w:p>
    <w:p w14:paraId="1D6FD4A9" w14:textId="77777777" w:rsidR="002D1068" w:rsidRDefault="002D1068" w:rsidP="002D1068">
      <w:pPr>
        <w:jc w:val="both"/>
        <w:rPr>
          <w:rFonts w:ascii="Arial" w:eastAsia="Calibri" w:hAnsi="Arial" w:cs="Arial"/>
          <w:color w:val="000000" w:themeColor="text1"/>
          <w:sz w:val="20"/>
          <w:szCs w:val="20"/>
        </w:rPr>
      </w:pPr>
    </w:p>
    <w:p w14:paraId="78F9B33A" w14:textId="77777777" w:rsidR="002D1068" w:rsidRDefault="002D1068" w:rsidP="002D1068">
      <w:pPr>
        <w:jc w:val="both"/>
        <w:rPr>
          <w:rFonts w:ascii="Arial" w:eastAsia="Calibri" w:hAnsi="Arial" w:cs="Arial"/>
          <w:color w:val="000000" w:themeColor="text1"/>
          <w:sz w:val="20"/>
          <w:szCs w:val="20"/>
        </w:rPr>
      </w:pPr>
    </w:p>
    <w:p w14:paraId="0C695B7C" w14:textId="77777777" w:rsidR="000F5E7A" w:rsidRDefault="000F5E7A" w:rsidP="002D1068">
      <w:pPr>
        <w:jc w:val="both"/>
        <w:rPr>
          <w:rFonts w:ascii="Arial" w:eastAsia="Calibri" w:hAnsi="Arial" w:cs="Arial"/>
          <w:color w:val="000000" w:themeColor="text1"/>
          <w:sz w:val="20"/>
          <w:szCs w:val="20"/>
        </w:rPr>
      </w:pPr>
    </w:p>
    <w:p w14:paraId="0BD7EE2A" w14:textId="77777777" w:rsidR="002D1068" w:rsidRDefault="002D1068" w:rsidP="002D1068">
      <w:pPr>
        <w:jc w:val="both"/>
        <w:rPr>
          <w:rFonts w:ascii="Arial" w:eastAsia="Calibri" w:hAnsi="Arial" w:cs="Arial"/>
          <w:color w:val="000000" w:themeColor="text1"/>
          <w:sz w:val="20"/>
          <w:szCs w:val="20"/>
        </w:rPr>
      </w:pPr>
    </w:p>
    <w:p w14:paraId="0BD803EA" w14:textId="77777777" w:rsidR="002D1068" w:rsidRDefault="002D1068" w:rsidP="002D1068">
      <w:pPr>
        <w:jc w:val="both"/>
        <w:rPr>
          <w:rFonts w:ascii="Arial" w:eastAsia="Calibri" w:hAnsi="Arial" w:cs="Arial"/>
          <w:color w:val="000000" w:themeColor="text1"/>
          <w:sz w:val="20"/>
          <w:szCs w:val="20"/>
        </w:rPr>
      </w:pPr>
    </w:p>
    <w:p w14:paraId="7EF83592" w14:textId="77777777" w:rsidR="009B3296" w:rsidRDefault="009B3296" w:rsidP="002D1068">
      <w:pPr>
        <w:jc w:val="both"/>
        <w:rPr>
          <w:rFonts w:ascii="Arial" w:eastAsia="Calibri" w:hAnsi="Arial" w:cs="Arial"/>
          <w:color w:val="000000" w:themeColor="text1"/>
          <w:sz w:val="20"/>
          <w:szCs w:val="20"/>
        </w:rPr>
      </w:pPr>
    </w:p>
    <w:p w14:paraId="45963B66" w14:textId="77777777" w:rsidR="002D1068" w:rsidRPr="00777FED" w:rsidRDefault="002D1068" w:rsidP="002D1068">
      <w:pPr>
        <w:jc w:val="both"/>
        <w:rPr>
          <w:rFonts w:ascii="Arial" w:eastAsia="Calibri" w:hAnsi="Arial" w:cs="Arial"/>
          <w:color w:val="000000" w:themeColor="text1"/>
          <w:sz w:val="20"/>
          <w:szCs w:val="20"/>
        </w:rPr>
      </w:pPr>
    </w:p>
    <w:p w14:paraId="43B34154" w14:textId="77777777" w:rsidR="003175B7" w:rsidRPr="003175B7" w:rsidRDefault="003175B7" w:rsidP="000F3F01">
      <w:pPr>
        <w:spacing w:after="0" w:line="240" w:lineRule="auto"/>
        <w:rPr>
          <w:rFonts w:ascii="Verdana" w:eastAsia="Geomanist Light" w:hAnsi="Verdana" w:cs="Arial"/>
          <w:color w:val="000000" w:themeColor="text1"/>
        </w:rPr>
      </w:pPr>
    </w:p>
    <w:p w14:paraId="24C0F28D" w14:textId="6E2E1523" w:rsidR="000F3F01" w:rsidRPr="003C0892" w:rsidRDefault="003C0892" w:rsidP="003C0892">
      <w:pPr>
        <w:spacing w:after="0" w:line="240" w:lineRule="auto"/>
        <w:jc w:val="both"/>
        <w:rPr>
          <w:rFonts w:ascii="Verdana" w:eastAsia="Geomanist Light" w:hAnsi="Verdana" w:cs="Arial"/>
          <w:color w:val="000000" w:themeColor="text1"/>
          <w:lang w:val="es-MX"/>
        </w:rPr>
      </w:pPr>
      <w:r w:rsidRPr="003C0892">
        <w:rPr>
          <w:rFonts w:ascii="Verdana" w:eastAsia="Geomanist Light" w:hAnsi="Verdana" w:cs="Arial"/>
          <w:color w:val="000000" w:themeColor="text1"/>
          <w:lang w:val="es-MX"/>
        </w:rPr>
        <w:lastRenderedPageBreak/>
        <w:t xml:space="preserve">Bogotá D.C., 06 de </w:t>
      </w:r>
      <w:proofErr w:type="gramStart"/>
      <w:r w:rsidRPr="003C0892">
        <w:rPr>
          <w:rFonts w:ascii="Verdana" w:eastAsia="Geomanist Light" w:hAnsi="Verdana" w:cs="Arial"/>
          <w:color w:val="000000" w:themeColor="text1"/>
          <w:lang w:val="es-MX"/>
        </w:rPr>
        <w:t>Septiembre</w:t>
      </w:r>
      <w:proofErr w:type="gramEnd"/>
      <w:r w:rsidRPr="003C0892">
        <w:rPr>
          <w:rFonts w:ascii="Verdana" w:eastAsia="Geomanist Light" w:hAnsi="Verdana" w:cs="Arial"/>
          <w:color w:val="000000" w:themeColor="text1"/>
          <w:lang w:val="es-MX"/>
        </w:rPr>
        <w:t xml:space="preserve"> de</w:t>
      </w:r>
      <w:r>
        <w:rPr>
          <w:rFonts w:ascii="Verdana" w:eastAsia="Geomanist Light" w:hAnsi="Verdana" w:cs="Arial"/>
          <w:color w:val="000000" w:themeColor="text1"/>
          <w:lang w:val="es-MX"/>
        </w:rPr>
        <w:t xml:space="preserve"> </w:t>
      </w:r>
      <w:r w:rsidRPr="003C0892">
        <w:rPr>
          <w:rFonts w:ascii="Verdana" w:eastAsia="Geomanist Light" w:hAnsi="Verdana" w:cs="Arial"/>
          <w:color w:val="000000" w:themeColor="text1"/>
          <w:lang w:val="es-MX"/>
        </w:rPr>
        <w:t>2024</w:t>
      </w:r>
      <w:r w:rsidRPr="003C0892">
        <w:rPr>
          <w:rFonts w:ascii="Verdana" w:eastAsia="Geomanist Light" w:hAnsi="Verdana" w:cs="Arial"/>
          <w:color w:val="000000" w:themeColor="text1"/>
          <w:lang w:val="es-MX"/>
        </w:rPr>
        <w:cr/>
      </w:r>
    </w:p>
    <w:p w14:paraId="1925E42A" w14:textId="77777777" w:rsidR="000F3F01" w:rsidRDefault="000F3F01" w:rsidP="000F3F01">
      <w:pPr>
        <w:spacing w:after="0" w:line="240" w:lineRule="auto"/>
        <w:jc w:val="both"/>
        <w:rPr>
          <w:rFonts w:ascii="Verdana" w:eastAsia="Calibri" w:hAnsi="Verdana" w:cs="Arial"/>
          <w:color w:val="000000"/>
          <w:lang w:val="es-ES"/>
        </w:rPr>
      </w:pPr>
    </w:p>
    <w:p w14:paraId="1A9AE78E" w14:textId="77777777" w:rsidR="000F5E7A" w:rsidRPr="007B7234" w:rsidRDefault="000F5E7A" w:rsidP="000F3F01">
      <w:pPr>
        <w:spacing w:after="0" w:line="240" w:lineRule="auto"/>
        <w:jc w:val="both"/>
        <w:rPr>
          <w:rFonts w:ascii="Verdana" w:eastAsia="Calibri" w:hAnsi="Verdana" w:cs="Arial"/>
          <w:color w:val="000000"/>
          <w:lang w:val="es-ES"/>
        </w:rPr>
      </w:pPr>
    </w:p>
    <w:p w14:paraId="5DAEEA09" w14:textId="77777777" w:rsidR="000F3F01" w:rsidRPr="007B7234" w:rsidRDefault="000F3F01" w:rsidP="000F3F01">
      <w:pPr>
        <w:spacing w:after="0" w:line="240" w:lineRule="auto"/>
        <w:jc w:val="both"/>
        <w:rPr>
          <w:rFonts w:ascii="Verdana" w:eastAsia="Calibri" w:hAnsi="Verdana" w:cs="Arial"/>
          <w:lang w:val="es-ES" w:eastAsia="es-ES"/>
        </w:rPr>
      </w:pPr>
      <w:r w:rsidRPr="007B7234">
        <w:rPr>
          <w:rFonts w:ascii="Verdana" w:eastAsia="Calibri" w:hAnsi="Verdana" w:cs="Arial"/>
          <w:lang w:val="es-ES" w:eastAsia="es-ES"/>
        </w:rPr>
        <w:t>Señora:</w:t>
      </w:r>
    </w:p>
    <w:p w14:paraId="1A553FC0" w14:textId="77777777" w:rsidR="000F3F01" w:rsidRPr="007B7234" w:rsidRDefault="000F3F01" w:rsidP="000F3F01">
      <w:pPr>
        <w:spacing w:after="0" w:line="240" w:lineRule="auto"/>
        <w:rPr>
          <w:rFonts w:ascii="Verdana" w:eastAsia="Calibri" w:hAnsi="Verdana" w:cs="Arial"/>
          <w:b/>
          <w:bCs/>
          <w:lang w:val="es-ES" w:eastAsia="es-ES"/>
        </w:rPr>
      </w:pPr>
      <w:r w:rsidRPr="007B7234">
        <w:rPr>
          <w:rFonts w:ascii="Verdana" w:eastAsia="Calibri" w:hAnsi="Verdana" w:cs="Arial"/>
          <w:b/>
          <w:bCs/>
          <w:lang w:val="es-ES" w:eastAsia="es-ES"/>
        </w:rPr>
        <w:t>Nathalie Arenas Flórez</w:t>
      </w:r>
    </w:p>
    <w:p w14:paraId="537B727B" w14:textId="06766B00" w:rsidR="000F3F01" w:rsidRPr="007B7234" w:rsidRDefault="000F5E7A" w:rsidP="000F3F01">
      <w:pPr>
        <w:spacing w:after="0" w:line="240" w:lineRule="auto"/>
        <w:rPr>
          <w:rFonts w:ascii="Verdana" w:eastAsia="Calibri" w:hAnsi="Verdana" w:cs="Arial"/>
          <w:lang w:val="es-ES" w:eastAsia="es-ES"/>
        </w:rPr>
      </w:pPr>
      <w:hyperlink r:id="rId11" w:history="1">
        <w:r w:rsidR="000F3F01" w:rsidRPr="007B7234">
          <w:rPr>
            <w:rStyle w:val="Hipervnculo"/>
            <w:rFonts w:ascii="Verdana" w:eastAsia="Calibri" w:hAnsi="Verdana" w:cs="Arial"/>
            <w:lang w:val="es-ES" w:eastAsia="es-ES"/>
          </w:rPr>
          <w:t>narenasflorez@gmail.com</w:t>
        </w:r>
      </w:hyperlink>
    </w:p>
    <w:p w14:paraId="41E3A855" w14:textId="680A2BC2" w:rsidR="000F3F01" w:rsidRPr="007B7234" w:rsidRDefault="003C0892" w:rsidP="000F3F01">
      <w:pPr>
        <w:spacing w:after="0" w:line="240" w:lineRule="auto"/>
        <w:rPr>
          <w:rFonts w:ascii="Verdana" w:eastAsia="Calibri" w:hAnsi="Verdana" w:cs="Arial"/>
          <w:lang w:val="es-ES" w:eastAsia="es-ES"/>
        </w:rPr>
      </w:pPr>
      <w:r w:rsidRPr="003C0892">
        <w:rPr>
          <w:rFonts w:ascii="Verdana" w:eastAsia="Calibri" w:hAnsi="Verdana" w:cs="Arial"/>
          <w:b/>
          <w:bCs/>
          <w:color w:val="000000"/>
          <w:lang w:val="es-ES_tradnl" w:eastAsia="es-ES_tradnl"/>
        </w:rPr>
        <w:drawing>
          <wp:anchor distT="0" distB="0" distL="114300" distR="114300" simplePos="0" relativeHeight="251658240" behindDoc="0" locked="0" layoutInCell="1" allowOverlap="1" wp14:anchorId="7073D785" wp14:editId="401FA7D4">
            <wp:simplePos x="0" y="0"/>
            <wp:positionH relativeFrom="column">
              <wp:posOffset>1895679</wp:posOffset>
            </wp:positionH>
            <wp:positionV relativeFrom="paragraph">
              <wp:posOffset>181239</wp:posOffset>
            </wp:positionV>
            <wp:extent cx="3248478" cy="990738"/>
            <wp:effectExtent l="0" t="0" r="9525" b="0"/>
            <wp:wrapTopAndBottom/>
            <wp:docPr id="15788910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91070" name="Imagen 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248478" cy="990738"/>
                    </a:xfrm>
                    <a:prstGeom prst="rect">
                      <a:avLst/>
                    </a:prstGeom>
                  </pic:spPr>
                </pic:pic>
              </a:graphicData>
            </a:graphic>
          </wp:anchor>
        </w:drawing>
      </w:r>
      <w:r w:rsidR="000F3F01" w:rsidRPr="007B7234">
        <w:rPr>
          <w:rFonts w:ascii="Verdana" w:eastAsia="Calibri" w:hAnsi="Verdana" w:cs="Arial"/>
          <w:lang w:val="es-ES" w:eastAsia="es-ES"/>
        </w:rPr>
        <w:t xml:space="preserve">Quimbaya - </w:t>
      </w:r>
      <w:proofErr w:type="spellStart"/>
      <w:r w:rsidR="000F3F01" w:rsidRPr="007B7234">
        <w:rPr>
          <w:rFonts w:ascii="Verdana" w:eastAsia="Calibri" w:hAnsi="Verdana" w:cs="Arial"/>
          <w:lang w:val="es-ES" w:eastAsia="es-ES"/>
        </w:rPr>
        <w:t>Quindio</w:t>
      </w:r>
      <w:proofErr w:type="spellEnd"/>
    </w:p>
    <w:p w14:paraId="55BDA1F0" w14:textId="116C2D84" w:rsidR="000F3F01" w:rsidRPr="007B7234" w:rsidRDefault="000F3F01" w:rsidP="000F3F01">
      <w:pPr>
        <w:spacing w:after="0" w:line="240" w:lineRule="auto"/>
        <w:rPr>
          <w:rFonts w:ascii="Verdana" w:eastAsia="Calibri" w:hAnsi="Verdana" w:cs="Arial"/>
          <w:b/>
          <w:bCs/>
          <w:color w:val="000000"/>
          <w:lang w:val="es-ES_tradnl" w:eastAsia="es-ES_tradnl"/>
        </w:rPr>
      </w:pPr>
    </w:p>
    <w:p w14:paraId="66FA64F4" w14:textId="53365FE8" w:rsidR="000F3F01" w:rsidRPr="007B7234" w:rsidRDefault="000F3F01" w:rsidP="000F3F01">
      <w:pPr>
        <w:spacing w:after="0" w:line="240" w:lineRule="auto"/>
        <w:rPr>
          <w:rFonts w:ascii="Verdana" w:eastAsia="Calibri" w:hAnsi="Verdana" w:cs="Arial"/>
          <w:b/>
          <w:bCs/>
          <w:color w:val="000000"/>
          <w:lang w:val="es-ES_tradnl" w:eastAsia="es-ES_tradnl"/>
        </w:rPr>
      </w:pPr>
    </w:p>
    <w:tbl>
      <w:tblPr>
        <w:tblStyle w:val="Tablaconcuadrcula"/>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812"/>
        <w:gridCol w:w="495"/>
      </w:tblGrid>
      <w:tr w:rsidR="000F3F01" w:rsidRPr="007B7234" w14:paraId="7B0317C8" w14:textId="77777777" w:rsidTr="00A9520F">
        <w:trPr>
          <w:trHeight w:val="1025"/>
        </w:trPr>
        <w:tc>
          <w:tcPr>
            <w:tcW w:w="2977" w:type="dxa"/>
          </w:tcPr>
          <w:p w14:paraId="2EFFCCA4" w14:textId="77777777" w:rsidR="000F3F01" w:rsidRPr="007B7234" w:rsidRDefault="000F3F01" w:rsidP="00A9520F">
            <w:pPr>
              <w:jc w:val="both"/>
              <w:rPr>
                <w:rFonts w:ascii="Verdana" w:eastAsia="Calibri" w:hAnsi="Verdana" w:cs="Arial"/>
                <w:b/>
                <w:bCs/>
                <w:color w:val="7030A0"/>
                <w:lang w:val="es-ES_tradnl" w:eastAsia="es-ES_tradnl"/>
              </w:rPr>
            </w:pPr>
          </w:p>
        </w:tc>
        <w:tc>
          <w:tcPr>
            <w:tcW w:w="6307" w:type="dxa"/>
            <w:gridSpan w:val="2"/>
            <w:hideMark/>
          </w:tcPr>
          <w:p w14:paraId="265A8DEA" w14:textId="77777777" w:rsidR="000F3F01" w:rsidRPr="007B7234" w:rsidRDefault="000F3F01" w:rsidP="00A9520F">
            <w:pPr>
              <w:jc w:val="both"/>
              <w:rPr>
                <w:rFonts w:ascii="Verdana" w:eastAsia="Calibri" w:hAnsi="Verdana" w:cs="Arial"/>
                <w:b/>
                <w:bCs/>
                <w:color w:val="7030A0"/>
                <w:lang w:val="es-ES" w:eastAsia="es-ES"/>
              </w:rPr>
            </w:pPr>
            <w:r w:rsidRPr="007B7234">
              <w:rPr>
                <w:rFonts w:ascii="Verdana" w:eastAsia="Calibri" w:hAnsi="Verdana" w:cs="Arial"/>
                <w:b/>
                <w:bCs/>
                <w:lang w:val="es-ES" w:eastAsia="es-ES"/>
              </w:rPr>
              <w:t xml:space="preserve">Concepto C- </w:t>
            </w:r>
            <w:proofErr w:type="gramStart"/>
            <w:r w:rsidRPr="007B7234">
              <w:rPr>
                <w:rFonts w:ascii="Verdana" w:eastAsia="Calibri" w:hAnsi="Verdana" w:cs="Arial"/>
                <w:b/>
                <w:bCs/>
                <w:lang w:val="es-ES" w:eastAsia="es-ES"/>
              </w:rPr>
              <w:t>384  de</w:t>
            </w:r>
            <w:proofErr w:type="gramEnd"/>
            <w:r w:rsidRPr="007B7234">
              <w:rPr>
                <w:rFonts w:ascii="Verdana" w:eastAsia="Calibri" w:hAnsi="Verdana" w:cs="Arial"/>
                <w:b/>
                <w:bCs/>
                <w:lang w:val="es-ES" w:eastAsia="es-ES"/>
              </w:rPr>
              <w:t xml:space="preserve"> 2024</w:t>
            </w:r>
          </w:p>
        </w:tc>
      </w:tr>
      <w:tr w:rsidR="000F3F01" w:rsidRPr="007B7234" w14:paraId="540FD957" w14:textId="77777777" w:rsidTr="00A9520F">
        <w:trPr>
          <w:gridAfter w:val="1"/>
          <w:wAfter w:w="495" w:type="dxa"/>
          <w:trHeight w:val="1025"/>
        </w:trPr>
        <w:tc>
          <w:tcPr>
            <w:tcW w:w="2977" w:type="dxa"/>
            <w:hideMark/>
          </w:tcPr>
          <w:p w14:paraId="40B44253" w14:textId="77777777" w:rsidR="000F3F01" w:rsidRPr="007B7234" w:rsidRDefault="000F3F01" w:rsidP="00A9520F">
            <w:pPr>
              <w:jc w:val="both"/>
              <w:rPr>
                <w:rFonts w:ascii="Verdana" w:eastAsia="Calibri" w:hAnsi="Verdana" w:cs="Arial"/>
                <w:lang w:val="es-ES_tradnl" w:eastAsia="es-ES_tradnl"/>
              </w:rPr>
            </w:pPr>
            <w:r w:rsidRPr="007B7234">
              <w:rPr>
                <w:rFonts w:ascii="Verdana" w:eastAsia="Calibri" w:hAnsi="Verdana" w:cs="Arial"/>
                <w:b/>
                <w:lang w:val="es-ES_tradnl" w:eastAsia="es-ES_tradnl"/>
              </w:rPr>
              <w:t>Temas:</w:t>
            </w:r>
            <w:r w:rsidRPr="007B7234">
              <w:rPr>
                <w:rFonts w:ascii="Verdana" w:eastAsia="Calibri" w:hAnsi="Verdana" w:cs="Arial"/>
                <w:lang w:val="es-ES_tradnl" w:eastAsia="es-ES_tradnl"/>
              </w:rPr>
              <w:t xml:space="preserve">                   </w:t>
            </w:r>
          </w:p>
        </w:tc>
        <w:tc>
          <w:tcPr>
            <w:tcW w:w="5812" w:type="dxa"/>
          </w:tcPr>
          <w:p w14:paraId="5E614EEE" w14:textId="6BE33A9B" w:rsidR="000F3F01" w:rsidRPr="007B7234" w:rsidRDefault="000F3F01" w:rsidP="000F3F01">
            <w:pPr>
              <w:pStyle w:val="Prrafodelista"/>
              <w:numPr>
                <w:ilvl w:val="0"/>
                <w:numId w:val="16"/>
              </w:numPr>
              <w:spacing w:line="276" w:lineRule="auto"/>
              <w:ind w:left="0"/>
              <w:jc w:val="both"/>
              <w:rPr>
                <w:rFonts w:ascii="Verdana" w:eastAsia="Calibri" w:hAnsi="Verdana" w:cs="Arial"/>
                <w:lang w:eastAsia="es-ES"/>
              </w:rPr>
            </w:pPr>
            <w:r w:rsidRPr="007B7234">
              <w:rPr>
                <w:rFonts w:ascii="Verdana" w:eastAsia="Calibri" w:hAnsi="Verdana" w:cs="Arial"/>
                <w:bCs/>
                <w:color w:val="000000" w:themeColor="text1"/>
              </w:rPr>
              <w:t xml:space="preserve">FONDOS MIXTOS PARA LA PROMOCIÓN DE LA CULTURA Y LAS ARTES – Naturaleza jurídica / FONDOS MIXTOS PARA LA PROMOCIÓN DE LA CULTURA Y LAS ARTES – Régimen de contratación </w:t>
            </w:r>
            <w:r w:rsidRPr="007B7234">
              <w:rPr>
                <w:rFonts w:ascii="Verdana" w:eastAsia="Calibri" w:hAnsi="Verdana" w:cs="Arial"/>
                <w:lang w:eastAsia="es-ES"/>
              </w:rPr>
              <w:t>/</w:t>
            </w:r>
            <w:r>
              <w:rPr>
                <w:rFonts w:ascii="Verdana" w:eastAsia="Calibri" w:hAnsi="Verdana" w:cs="Arial"/>
                <w:lang w:eastAsia="es-ES"/>
              </w:rPr>
              <w:t xml:space="preserve"> </w:t>
            </w:r>
            <w:r w:rsidRPr="007B7234">
              <w:rPr>
                <w:rFonts w:ascii="Verdana" w:eastAsia="Calibri" w:hAnsi="Verdana" w:cs="Arial"/>
                <w:kern w:val="2"/>
                <w:lang w:val="es-ES_tradnl"/>
                <w14:ligatures w14:val="standardContextual"/>
              </w:rPr>
              <w:t xml:space="preserve">CONVENIOS Y CONTRATOS INTERADMINISTRATIVOS – Régimen jurídico – Noción / </w:t>
            </w:r>
            <w:r w:rsidRPr="007B7234">
              <w:rPr>
                <w:rFonts w:ascii="Verdana" w:eastAsia="Times New Roman" w:hAnsi="Verdana" w:cs="Arial"/>
                <w:kern w:val="2"/>
                <w:lang w:val="es-ES_tradnl" w:eastAsia="es-CO"/>
                <w14:ligatures w14:val="standardContextual"/>
              </w:rPr>
              <w:t xml:space="preserve">CONVENIOS Y CONTRATOS INTERADMINISTRATIVOS – Conceptos </w:t>
            </w:r>
            <w:r w:rsidR="0059316A" w:rsidRPr="007B7234">
              <w:rPr>
                <w:rFonts w:ascii="Verdana" w:eastAsia="Calibri" w:hAnsi="Verdana" w:cs="Arial"/>
                <w:lang w:eastAsia="es-ES"/>
              </w:rPr>
              <w:t>/ DECRETO</w:t>
            </w:r>
            <w:r w:rsidRPr="007B7234">
              <w:rPr>
                <w:rFonts w:ascii="Verdana" w:eastAsia="Calibri" w:hAnsi="Verdana" w:cs="Arial"/>
                <w:lang w:eastAsia="es-ES"/>
              </w:rPr>
              <w:t xml:space="preserve"> 092</w:t>
            </w:r>
            <w:r>
              <w:rPr>
                <w:rFonts w:ascii="Verdana" w:eastAsia="Calibri" w:hAnsi="Verdana" w:cs="Arial"/>
                <w:lang w:eastAsia="es-ES"/>
              </w:rPr>
              <w:t xml:space="preserve"> de 2017</w:t>
            </w:r>
            <w:r w:rsidRPr="007B7234">
              <w:rPr>
                <w:rFonts w:ascii="Verdana" w:eastAsia="Calibri" w:hAnsi="Verdana" w:cs="Arial"/>
                <w:lang w:eastAsia="es-ES"/>
              </w:rPr>
              <w:t xml:space="preserve"> – </w:t>
            </w:r>
            <w:r>
              <w:rPr>
                <w:rFonts w:ascii="Verdana" w:eastAsia="Calibri" w:hAnsi="Verdana" w:cs="Arial"/>
                <w:lang w:eastAsia="es-ES"/>
              </w:rPr>
              <w:t>Naturaleza.</w:t>
            </w:r>
          </w:p>
          <w:p w14:paraId="561DE610" w14:textId="77777777" w:rsidR="000F3F01" w:rsidRPr="007B7234" w:rsidRDefault="000F3F01" w:rsidP="000F3F01">
            <w:pPr>
              <w:pStyle w:val="Prrafodelista"/>
              <w:numPr>
                <w:ilvl w:val="0"/>
                <w:numId w:val="16"/>
              </w:numPr>
              <w:spacing w:line="276" w:lineRule="auto"/>
              <w:ind w:left="0"/>
              <w:jc w:val="both"/>
              <w:rPr>
                <w:rFonts w:ascii="Verdana" w:eastAsia="Calibri" w:hAnsi="Verdana" w:cs="Arial"/>
                <w:lang w:eastAsia="es-ES"/>
              </w:rPr>
            </w:pPr>
          </w:p>
        </w:tc>
      </w:tr>
      <w:tr w:rsidR="000F3F01" w:rsidRPr="007B7234" w14:paraId="575F8278" w14:textId="77777777" w:rsidTr="00A9520F">
        <w:trPr>
          <w:gridAfter w:val="1"/>
          <w:wAfter w:w="495" w:type="dxa"/>
          <w:trHeight w:val="922"/>
        </w:trPr>
        <w:tc>
          <w:tcPr>
            <w:tcW w:w="2977" w:type="dxa"/>
            <w:hideMark/>
          </w:tcPr>
          <w:p w14:paraId="7F11BD29" w14:textId="77777777" w:rsidR="000F3F01" w:rsidRPr="007B7234" w:rsidRDefault="000F3F01" w:rsidP="00A9520F">
            <w:pPr>
              <w:jc w:val="both"/>
              <w:rPr>
                <w:rFonts w:ascii="Verdana" w:eastAsia="Calibri" w:hAnsi="Verdana" w:cs="Arial"/>
                <w:b/>
                <w:color w:val="7030A0"/>
                <w:lang w:val="es-ES_tradnl" w:eastAsia="es-ES_tradnl"/>
              </w:rPr>
            </w:pPr>
            <w:r w:rsidRPr="007B7234">
              <w:rPr>
                <w:rFonts w:ascii="Verdana" w:eastAsia="Calibri" w:hAnsi="Verdana" w:cs="Arial"/>
                <w:b/>
                <w:lang w:val="es-ES_tradnl" w:eastAsia="es-ES_tradnl"/>
              </w:rPr>
              <w:t>Radicación:</w:t>
            </w:r>
            <w:r w:rsidRPr="007B7234">
              <w:rPr>
                <w:rFonts w:ascii="Verdana" w:eastAsia="Calibri" w:hAnsi="Verdana" w:cs="Arial"/>
                <w:lang w:val="es-ES_tradnl" w:eastAsia="es-ES_tradnl"/>
              </w:rPr>
              <w:t xml:space="preserve">               </w:t>
            </w:r>
          </w:p>
        </w:tc>
        <w:tc>
          <w:tcPr>
            <w:tcW w:w="5812" w:type="dxa"/>
            <w:hideMark/>
          </w:tcPr>
          <w:p w14:paraId="6692D6F0" w14:textId="77777777" w:rsidR="000F3F01" w:rsidRPr="007B7234" w:rsidRDefault="000F3F01" w:rsidP="00A9520F">
            <w:pPr>
              <w:jc w:val="both"/>
              <w:rPr>
                <w:rFonts w:ascii="Verdana" w:eastAsia="Calibri" w:hAnsi="Verdana" w:cs="Arial"/>
                <w:color w:val="7030A0"/>
                <w:lang w:val="es-ES_tradnl" w:eastAsia="es-ES_tradnl"/>
              </w:rPr>
            </w:pPr>
            <w:r w:rsidRPr="007B7234">
              <w:rPr>
                <w:rFonts w:ascii="Verdana" w:eastAsia="Calibri" w:hAnsi="Verdana" w:cs="Arial"/>
                <w:lang w:val="es-ES_tradnl" w:eastAsia="es-ES_tradnl"/>
              </w:rPr>
              <w:t xml:space="preserve">Respuesta a consulta con radicado No. </w:t>
            </w:r>
            <w:r w:rsidRPr="007B7234">
              <w:rPr>
                <w:rFonts w:ascii="Verdana" w:hAnsi="Verdana" w:cs="Calibri"/>
                <w:color w:val="000000"/>
              </w:rPr>
              <w:t>P20240724007608</w:t>
            </w:r>
          </w:p>
          <w:p w14:paraId="2A4C9792" w14:textId="77777777" w:rsidR="000F3F01" w:rsidRPr="007B7234" w:rsidRDefault="000F3F01" w:rsidP="00A9520F">
            <w:pPr>
              <w:jc w:val="both"/>
              <w:rPr>
                <w:rFonts w:ascii="Verdana" w:eastAsia="Calibri" w:hAnsi="Verdana" w:cs="Arial"/>
                <w:color w:val="7030A0"/>
                <w:lang w:val="es-ES_tradnl" w:eastAsia="es-ES_tradnl"/>
              </w:rPr>
            </w:pPr>
          </w:p>
        </w:tc>
      </w:tr>
    </w:tbl>
    <w:p w14:paraId="061D2BE9" w14:textId="77777777" w:rsidR="000F3F01" w:rsidRPr="007B7234" w:rsidRDefault="000F3F01" w:rsidP="000F3F01">
      <w:pPr>
        <w:spacing w:after="0" w:line="240" w:lineRule="auto"/>
        <w:jc w:val="both"/>
        <w:rPr>
          <w:rFonts w:ascii="Verdana" w:eastAsia="Calibri" w:hAnsi="Verdana" w:cs="Arial"/>
          <w:color w:val="000000"/>
          <w:lang w:val="es-ES_tradnl" w:eastAsia="es-ES_tradnl"/>
        </w:rPr>
      </w:pPr>
    </w:p>
    <w:p w14:paraId="1C1896DF" w14:textId="77777777" w:rsidR="000F5E7A" w:rsidRDefault="000F5E7A" w:rsidP="000F3F01">
      <w:pPr>
        <w:spacing w:after="0" w:line="276" w:lineRule="auto"/>
        <w:jc w:val="both"/>
        <w:rPr>
          <w:rFonts w:ascii="Verdana" w:eastAsia="Calibri" w:hAnsi="Verdana" w:cs="Arial"/>
          <w:color w:val="000000" w:themeColor="text1"/>
          <w:lang w:val="es-ES" w:eastAsia="es-ES"/>
        </w:rPr>
      </w:pPr>
    </w:p>
    <w:p w14:paraId="7842A0D2" w14:textId="77777777" w:rsidR="000F5E7A" w:rsidRDefault="000F5E7A" w:rsidP="000F3F01">
      <w:pPr>
        <w:spacing w:after="0" w:line="276" w:lineRule="auto"/>
        <w:jc w:val="both"/>
        <w:rPr>
          <w:rFonts w:ascii="Verdana" w:eastAsia="Calibri" w:hAnsi="Verdana" w:cs="Arial"/>
          <w:color w:val="000000" w:themeColor="text1"/>
          <w:lang w:val="es-ES" w:eastAsia="es-ES"/>
        </w:rPr>
      </w:pPr>
    </w:p>
    <w:p w14:paraId="12081A32" w14:textId="77777777" w:rsidR="000F5E7A" w:rsidRDefault="000F5E7A" w:rsidP="000F3F01">
      <w:pPr>
        <w:spacing w:after="0" w:line="276" w:lineRule="auto"/>
        <w:jc w:val="both"/>
        <w:rPr>
          <w:rFonts w:ascii="Verdana" w:eastAsia="Calibri" w:hAnsi="Verdana" w:cs="Arial"/>
          <w:color w:val="000000" w:themeColor="text1"/>
          <w:lang w:val="es-ES" w:eastAsia="es-ES"/>
        </w:rPr>
      </w:pPr>
    </w:p>
    <w:p w14:paraId="282A35DB" w14:textId="2F20A288" w:rsidR="000F3F01" w:rsidRPr="007B7234" w:rsidRDefault="000F3F01" w:rsidP="000F3F01">
      <w:pPr>
        <w:spacing w:after="0" w:line="276" w:lineRule="auto"/>
        <w:jc w:val="both"/>
        <w:rPr>
          <w:rFonts w:ascii="Verdana" w:eastAsia="Calibri" w:hAnsi="Verdana" w:cs="Arial"/>
          <w:color w:val="000000" w:themeColor="text1"/>
          <w:lang w:val="es-ES" w:eastAsia="es-ES"/>
        </w:rPr>
      </w:pPr>
      <w:r w:rsidRPr="007B7234">
        <w:rPr>
          <w:rFonts w:ascii="Verdana" w:eastAsia="Calibri" w:hAnsi="Verdana" w:cs="Arial"/>
          <w:color w:val="000000" w:themeColor="text1"/>
          <w:lang w:val="es-ES" w:eastAsia="es-ES"/>
        </w:rPr>
        <w:lastRenderedPageBreak/>
        <w:t xml:space="preserve">Estimada señora Arenas:  </w:t>
      </w:r>
    </w:p>
    <w:p w14:paraId="7660CC7A" w14:textId="77777777" w:rsidR="000F3F01" w:rsidRPr="007B7234" w:rsidRDefault="000F3F01" w:rsidP="000F3F01">
      <w:pPr>
        <w:tabs>
          <w:tab w:val="left" w:pos="3768"/>
        </w:tabs>
        <w:spacing w:after="0" w:line="276" w:lineRule="auto"/>
        <w:jc w:val="both"/>
        <w:rPr>
          <w:rFonts w:ascii="Verdana" w:eastAsia="Calibri" w:hAnsi="Verdana" w:cs="Arial"/>
          <w:color w:val="000000" w:themeColor="text1"/>
          <w:lang w:val="es-ES" w:eastAsia="es-ES"/>
        </w:rPr>
      </w:pPr>
      <w:r w:rsidRPr="007B7234">
        <w:rPr>
          <w:rFonts w:ascii="Verdana" w:eastAsia="Calibri" w:hAnsi="Verdana" w:cs="Arial"/>
          <w:color w:val="000000" w:themeColor="text1"/>
          <w:lang w:val="es-ES" w:eastAsia="es-ES"/>
        </w:rPr>
        <w:tab/>
      </w:r>
    </w:p>
    <w:p w14:paraId="7A914DD1" w14:textId="77777777" w:rsidR="000F3F01" w:rsidRPr="007B7234" w:rsidRDefault="000F3F01" w:rsidP="000F3F01">
      <w:pPr>
        <w:spacing w:after="0" w:line="276" w:lineRule="auto"/>
        <w:jc w:val="both"/>
        <w:rPr>
          <w:rFonts w:ascii="Verdana" w:eastAsia="Calibri" w:hAnsi="Verdana" w:cs="Arial"/>
          <w:color w:val="7030A0"/>
          <w:lang w:val="es-ES" w:eastAsia="es-ES"/>
        </w:rPr>
      </w:pPr>
      <w:r w:rsidRPr="007B7234">
        <w:rPr>
          <w:rFonts w:ascii="Verdana" w:eastAsia="Calibri" w:hAnsi="Verdana" w:cs="Arial"/>
          <w:color w:val="000000" w:themeColor="text1"/>
          <w:lang w:val="es-ES" w:eastAsia="es-ES"/>
        </w:rPr>
        <w:t>En ejercicio de la competencia otorgada por los artículos 3, numeral 5º, y 11, numeral 8º, del Decreto Ley 4170 de 2011,</w:t>
      </w:r>
      <w:r w:rsidRPr="007B7234">
        <w:rPr>
          <w:rFonts w:ascii="Verdana" w:eastAsia="Arial MT" w:hAnsi="Verdana" w:cs="Arial MT"/>
          <w:lang w:val="es-ES" w:eastAsia="es-ES"/>
        </w:rPr>
        <w:t xml:space="preserve"> </w:t>
      </w:r>
      <w:r w:rsidRPr="007B7234">
        <w:rPr>
          <w:rFonts w:ascii="Verdana" w:hAnsi="Verdana" w:cs="Arial"/>
        </w:rPr>
        <w:t xml:space="preserve">así como lo establecido en el artículo 4 de la Resolución 1707 de 2018 expedida por esta Entidad, </w:t>
      </w:r>
      <w:r w:rsidRPr="007B7234">
        <w:rPr>
          <w:rFonts w:ascii="Verdana" w:eastAsia="Calibri" w:hAnsi="Verdana" w:cs="Arial"/>
          <w:color w:val="000000" w:themeColor="text1"/>
          <w:lang w:val="es-ES" w:eastAsia="es-ES"/>
        </w:rPr>
        <w:t xml:space="preserve">la Agencia Nacional </w:t>
      </w:r>
      <w:r w:rsidRPr="007B7234">
        <w:rPr>
          <w:rFonts w:ascii="Verdana" w:eastAsia="Calibri" w:hAnsi="Verdana" w:cs="Arial"/>
          <w:lang w:val="es-ES" w:eastAsia="es-ES"/>
        </w:rPr>
        <w:t xml:space="preserve">de Contratación Pública – Colombia Compra Eficiente– responde su solicitud de consulta de fecha 24 de julio de 2024, en la cual manifiesta lo siguiente: </w:t>
      </w:r>
    </w:p>
    <w:p w14:paraId="3363418A" w14:textId="77777777" w:rsidR="000F3F01" w:rsidRPr="007B7234" w:rsidRDefault="000F3F01" w:rsidP="000F3F01">
      <w:pPr>
        <w:spacing w:after="0" w:line="240" w:lineRule="auto"/>
        <w:ind w:left="426" w:right="709"/>
        <w:jc w:val="both"/>
        <w:rPr>
          <w:rFonts w:ascii="Verdana" w:eastAsia="Century Gothic" w:hAnsi="Verdana" w:cs="Century Gothic"/>
          <w:i/>
          <w:iCs/>
        </w:rPr>
      </w:pPr>
      <w:bookmarkStart w:id="3" w:name="_Hlk95313578"/>
    </w:p>
    <w:p w14:paraId="01D6134B" w14:textId="77777777" w:rsidR="000F3F01" w:rsidRPr="007B7234" w:rsidRDefault="000F3F01" w:rsidP="000F3F01">
      <w:pPr>
        <w:spacing w:after="0" w:line="240" w:lineRule="auto"/>
        <w:ind w:left="426" w:right="709"/>
        <w:jc w:val="both"/>
        <w:rPr>
          <w:rStyle w:val="normaltextrun"/>
          <w:rFonts w:ascii="Verdana" w:hAnsi="Verdana" w:cs="Arial"/>
          <w:i/>
          <w:iCs/>
          <w:shd w:val="clear" w:color="auto" w:fill="FFFFFF"/>
          <w:lang w:val="es-ES"/>
        </w:rPr>
      </w:pPr>
      <w:r w:rsidRPr="007B7234">
        <w:rPr>
          <w:rFonts w:ascii="Verdana" w:eastAsia="Century Gothic" w:hAnsi="Verdana" w:cs="Century Gothic"/>
          <w:i/>
          <w:iCs/>
        </w:rPr>
        <w:t>“</w:t>
      </w:r>
      <w:bookmarkEnd w:id="3"/>
      <w:r w:rsidRPr="007B7234">
        <w:rPr>
          <w:rStyle w:val="normaltextrun"/>
          <w:rFonts w:ascii="Verdana" w:hAnsi="Verdana" w:cs="Arial"/>
          <w:i/>
          <w:iCs/>
          <w:shd w:val="clear" w:color="auto" w:fill="FFFFFF"/>
          <w:lang w:val="es-ES"/>
        </w:rPr>
        <w:t>Es viable contratar de manera directa bajo la modalidad CONVENIO</w:t>
      </w:r>
    </w:p>
    <w:p w14:paraId="0CAED4A7" w14:textId="77777777" w:rsidR="000F3F01" w:rsidRPr="007B7234" w:rsidRDefault="000F3F01" w:rsidP="000F3F01">
      <w:pPr>
        <w:spacing w:after="0" w:line="240" w:lineRule="auto"/>
        <w:ind w:left="426" w:right="709"/>
        <w:jc w:val="both"/>
        <w:rPr>
          <w:rStyle w:val="normaltextrun"/>
          <w:rFonts w:ascii="Verdana" w:hAnsi="Verdana" w:cs="Arial"/>
          <w:i/>
          <w:iCs/>
          <w:shd w:val="clear" w:color="auto" w:fill="FFFFFF"/>
          <w:lang w:val="es-ES"/>
        </w:rPr>
      </w:pPr>
      <w:r w:rsidRPr="007B7234">
        <w:rPr>
          <w:rStyle w:val="normaltextrun"/>
          <w:rFonts w:ascii="Verdana" w:hAnsi="Verdana" w:cs="Arial"/>
          <w:i/>
          <w:iCs/>
          <w:shd w:val="clear" w:color="auto" w:fill="FFFFFF"/>
          <w:lang w:val="es-ES"/>
        </w:rPr>
        <w:t>INTERADMINISTRATIVO, para el desarrollo de actividades artísticas, culturales y deportivas con un fondo mixto SIN ANIMO DE LUCRO, cuya participación mayoritaria es pública. Si la respuesta anterior es negativa, debería adelantarse la contratación bajo el Decreto 092 de 2017”.</w:t>
      </w:r>
    </w:p>
    <w:p w14:paraId="2A20CB2F" w14:textId="77777777" w:rsidR="000F3F01" w:rsidRPr="007B7234" w:rsidRDefault="000F3F01" w:rsidP="000F3F01">
      <w:pPr>
        <w:spacing w:after="0" w:line="240" w:lineRule="auto"/>
        <w:ind w:left="426" w:right="709"/>
        <w:jc w:val="both"/>
        <w:rPr>
          <w:rFonts w:ascii="Verdana" w:hAnsi="Verdana" w:cs="Arial"/>
          <w:i/>
          <w:iCs/>
          <w:shd w:val="clear" w:color="auto" w:fill="FFFFFF"/>
          <w:lang w:val="es-ES"/>
        </w:rPr>
      </w:pPr>
    </w:p>
    <w:p w14:paraId="471FA39B" w14:textId="77777777" w:rsidR="000F3F01" w:rsidRPr="007B7234" w:rsidRDefault="000F3F01" w:rsidP="000F3F01">
      <w:pPr>
        <w:spacing w:after="120" w:line="276" w:lineRule="auto"/>
        <w:ind w:firstLine="426"/>
        <w:jc w:val="both"/>
        <w:rPr>
          <w:rFonts w:ascii="Verdana" w:eastAsia="Calibri" w:hAnsi="Verdana" w:cs="Arial"/>
          <w:lang w:val="es-ES_tradnl" w:eastAsia="es-ES_tradnl"/>
        </w:rPr>
      </w:pPr>
      <w:r w:rsidRPr="007B7234">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7B7234">
        <w:rPr>
          <w:rFonts w:ascii="Verdana" w:eastAsia="Calibri" w:hAnsi="Verdana" w:cs="Arial"/>
          <w:lang w:val="es-ES" w:eastAsia="es-ES"/>
        </w:rPr>
        <w:t xml:space="preserve">interpretación de normas generales, por definición, no puede extenderse a la resolución de controversias, ni a brindar asesorías sobre casos puntuales. </w:t>
      </w:r>
      <w:r w:rsidRPr="007B7234">
        <w:rPr>
          <w:rFonts w:ascii="Verdana" w:eastAsia="Calibri" w:hAnsi="Verdana" w:cs="Arial"/>
          <w:lang w:val="es-ES_tradnl" w:eastAsia="es-ES_tradnl"/>
        </w:rPr>
        <w:tab/>
      </w:r>
    </w:p>
    <w:p w14:paraId="23D43E39" w14:textId="77777777" w:rsidR="000F3F01" w:rsidRPr="007B7234" w:rsidRDefault="000F3F01" w:rsidP="000F3F01">
      <w:pPr>
        <w:spacing w:after="0" w:line="276" w:lineRule="auto"/>
        <w:ind w:firstLine="426"/>
        <w:jc w:val="both"/>
        <w:rPr>
          <w:rFonts w:ascii="Verdana" w:eastAsia="Calibri" w:hAnsi="Verdana" w:cs="Arial"/>
          <w:lang w:val="es-ES" w:eastAsia="es-ES"/>
        </w:rPr>
      </w:pPr>
      <w:r w:rsidRPr="007B723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063E8D3" w14:textId="77777777" w:rsidR="000F3F01" w:rsidRPr="007B7234" w:rsidRDefault="000F3F01" w:rsidP="000F3F01">
      <w:pPr>
        <w:spacing w:after="0" w:line="276" w:lineRule="auto"/>
        <w:ind w:firstLine="426"/>
        <w:jc w:val="both"/>
        <w:rPr>
          <w:rFonts w:ascii="Verdana" w:eastAsia="Calibri" w:hAnsi="Verdana" w:cs="Arial"/>
          <w:lang w:val="es-ES" w:eastAsia="es-ES"/>
        </w:rPr>
      </w:pPr>
    </w:p>
    <w:p w14:paraId="33E7B182" w14:textId="77777777" w:rsidR="000F3F01" w:rsidRPr="007B7234" w:rsidRDefault="000F3F01" w:rsidP="000F3F01">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7B7234">
        <w:rPr>
          <w:rFonts w:ascii="Verdana" w:eastAsia="Century Gothic" w:hAnsi="Verdana" w:cs="Century Gothic"/>
          <w:b/>
          <w:bCs/>
        </w:rPr>
        <w:t>Problema planteado:</w:t>
      </w:r>
    </w:p>
    <w:p w14:paraId="5A918D4F" w14:textId="77777777" w:rsidR="000F3F01" w:rsidRPr="007B7234" w:rsidRDefault="000F3F01" w:rsidP="000F3F01">
      <w:pPr>
        <w:pStyle w:val="Prrafodelista"/>
        <w:tabs>
          <w:tab w:val="left" w:pos="142"/>
          <w:tab w:val="left" w:pos="284"/>
        </w:tabs>
        <w:spacing w:after="0" w:line="276" w:lineRule="auto"/>
        <w:ind w:left="0"/>
        <w:jc w:val="both"/>
        <w:rPr>
          <w:rFonts w:ascii="Verdana" w:eastAsia="Century Gothic" w:hAnsi="Verdana" w:cs="Century Gothic"/>
          <w:b/>
          <w:bCs/>
        </w:rPr>
      </w:pPr>
    </w:p>
    <w:p w14:paraId="1CE6FBAC" w14:textId="77777777" w:rsidR="000F3F01" w:rsidRPr="007B7234" w:rsidRDefault="000F3F01" w:rsidP="000F3F01">
      <w:pPr>
        <w:spacing w:after="0" w:line="276" w:lineRule="auto"/>
        <w:jc w:val="both"/>
        <w:rPr>
          <w:rFonts w:ascii="Verdana" w:eastAsia="Century Gothic" w:hAnsi="Verdana" w:cs="Century Gothic"/>
        </w:rPr>
      </w:pPr>
      <w:r w:rsidRPr="007B7234">
        <w:rPr>
          <w:rFonts w:ascii="Verdana" w:eastAsia="Century Gothic" w:hAnsi="Verdana" w:cs="Century Gothic"/>
        </w:rPr>
        <w:t xml:space="preserve">De acuerdo con el contenido de su solicitud, esta Agencia resolverá el siguiente problema jurídico: </w:t>
      </w:r>
      <w:r w:rsidRPr="007B7234">
        <w:rPr>
          <w:rFonts w:ascii="Verdana" w:hAnsi="Verdana"/>
        </w:rPr>
        <w:t>¿Cuál es la modalidad de selección para contratar actividades artísticas, culturales y deportivas, entre una entidad estatal y un Fondo Mixto Sin Ánimo de Lucro, con participación mayoritariamente pública?</w:t>
      </w:r>
    </w:p>
    <w:p w14:paraId="6451C582" w14:textId="77777777" w:rsidR="000F3F01" w:rsidRPr="007B7234" w:rsidRDefault="000F3F01" w:rsidP="000F3F01">
      <w:pPr>
        <w:spacing w:after="0" w:line="360" w:lineRule="auto"/>
        <w:jc w:val="both"/>
        <w:rPr>
          <w:rFonts w:ascii="Verdana" w:hAnsi="Verdana"/>
        </w:rPr>
      </w:pPr>
    </w:p>
    <w:p w14:paraId="3012E5C4" w14:textId="77777777" w:rsidR="000F3F01" w:rsidRPr="007B7234" w:rsidRDefault="000F3F01" w:rsidP="000F3F01">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7B7234">
        <w:rPr>
          <w:rFonts w:ascii="Verdana" w:eastAsia="Century Gothic" w:hAnsi="Verdana" w:cs="Century Gothic"/>
          <w:b/>
          <w:bCs/>
        </w:rPr>
        <w:t>Respuesta:</w:t>
      </w:r>
    </w:p>
    <w:p w14:paraId="60056C5D" w14:textId="77777777" w:rsidR="000F3F01" w:rsidRPr="007B7234" w:rsidRDefault="000F3F01" w:rsidP="000F3F0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F3F01" w:rsidRPr="007B7234" w14:paraId="4CFBE0C7" w14:textId="77777777" w:rsidTr="00A9520F">
        <w:tc>
          <w:tcPr>
            <w:tcW w:w="8828" w:type="dxa"/>
            <w:tcBorders>
              <w:top w:val="dotted" w:sz="4" w:space="0" w:color="auto"/>
              <w:left w:val="dotted" w:sz="4" w:space="0" w:color="auto"/>
              <w:bottom w:val="dotted" w:sz="4" w:space="0" w:color="auto"/>
              <w:right w:val="dotted" w:sz="4" w:space="0" w:color="auto"/>
            </w:tcBorders>
          </w:tcPr>
          <w:p w14:paraId="4B1B15A9" w14:textId="77777777" w:rsidR="000F3F01" w:rsidRPr="009B0209" w:rsidRDefault="000F3F01" w:rsidP="00A9520F">
            <w:pPr>
              <w:spacing w:after="160" w:line="278" w:lineRule="auto"/>
              <w:jc w:val="both"/>
              <w:rPr>
                <w:rFonts w:ascii="Verdana" w:hAnsi="Verdana"/>
              </w:rPr>
            </w:pPr>
            <w:r w:rsidRPr="009B0209">
              <w:rPr>
                <w:rFonts w:ascii="Verdana" w:hAnsi="Verdana"/>
              </w:rPr>
              <w:t xml:space="preserve">Es importante destacar que existen </w:t>
            </w:r>
            <w:r w:rsidRPr="007B7234">
              <w:rPr>
                <w:rFonts w:ascii="Verdana" w:hAnsi="Verdana"/>
              </w:rPr>
              <w:t>cinco</w:t>
            </w:r>
            <w:r w:rsidRPr="009B0209">
              <w:rPr>
                <w:rFonts w:ascii="Verdana" w:hAnsi="Verdana"/>
              </w:rPr>
              <w:t xml:space="preserve"> modalidades de contratación, las cuales se enumeran a continuación:</w:t>
            </w:r>
          </w:p>
          <w:p w14:paraId="691AC11E" w14:textId="77777777" w:rsidR="000F3F01" w:rsidRPr="009B0209" w:rsidRDefault="000F3F01" w:rsidP="000F3F01">
            <w:pPr>
              <w:numPr>
                <w:ilvl w:val="0"/>
                <w:numId w:val="24"/>
              </w:numPr>
              <w:spacing w:after="160"/>
              <w:jc w:val="both"/>
              <w:rPr>
                <w:rFonts w:ascii="Verdana" w:hAnsi="Verdana"/>
              </w:rPr>
            </w:pPr>
            <w:r w:rsidRPr="009B0209">
              <w:rPr>
                <w:rFonts w:ascii="Verdana" w:hAnsi="Verdana"/>
              </w:rPr>
              <w:t>Licitación pública.</w:t>
            </w:r>
          </w:p>
          <w:p w14:paraId="426F9C1A" w14:textId="77777777" w:rsidR="000F3F01" w:rsidRPr="009B0209" w:rsidRDefault="000F3F01" w:rsidP="000F3F01">
            <w:pPr>
              <w:numPr>
                <w:ilvl w:val="0"/>
                <w:numId w:val="24"/>
              </w:numPr>
              <w:spacing w:after="160"/>
              <w:jc w:val="both"/>
              <w:rPr>
                <w:rFonts w:ascii="Verdana" w:hAnsi="Verdana"/>
              </w:rPr>
            </w:pPr>
            <w:r w:rsidRPr="009B0209">
              <w:rPr>
                <w:rFonts w:ascii="Verdana" w:hAnsi="Verdana"/>
              </w:rPr>
              <w:t>Selección abreviada.</w:t>
            </w:r>
          </w:p>
          <w:p w14:paraId="4EC4631E" w14:textId="77777777" w:rsidR="000F3F01" w:rsidRPr="009B0209" w:rsidRDefault="000F3F01" w:rsidP="000F3F01">
            <w:pPr>
              <w:numPr>
                <w:ilvl w:val="0"/>
                <w:numId w:val="24"/>
              </w:numPr>
              <w:spacing w:after="160"/>
              <w:jc w:val="both"/>
              <w:rPr>
                <w:rFonts w:ascii="Verdana" w:hAnsi="Verdana"/>
              </w:rPr>
            </w:pPr>
            <w:r w:rsidRPr="009B0209">
              <w:rPr>
                <w:rFonts w:ascii="Verdana" w:hAnsi="Verdana"/>
              </w:rPr>
              <w:t>Concurso de méritos.</w:t>
            </w:r>
          </w:p>
          <w:p w14:paraId="5F1B4F49" w14:textId="77777777" w:rsidR="000F3F01" w:rsidRPr="009B0209" w:rsidRDefault="000F3F01" w:rsidP="000F3F01">
            <w:pPr>
              <w:numPr>
                <w:ilvl w:val="0"/>
                <w:numId w:val="24"/>
              </w:numPr>
              <w:spacing w:after="160"/>
              <w:jc w:val="both"/>
              <w:rPr>
                <w:rFonts w:ascii="Verdana" w:hAnsi="Verdana"/>
              </w:rPr>
            </w:pPr>
            <w:r w:rsidRPr="009B0209">
              <w:rPr>
                <w:rFonts w:ascii="Verdana" w:hAnsi="Verdana"/>
              </w:rPr>
              <w:t>Contratación directa.</w:t>
            </w:r>
          </w:p>
          <w:p w14:paraId="35BD981C" w14:textId="77777777" w:rsidR="000F3F01" w:rsidRPr="009B0209" w:rsidRDefault="000F3F01" w:rsidP="000F3F01">
            <w:pPr>
              <w:numPr>
                <w:ilvl w:val="0"/>
                <w:numId w:val="24"/>
              </w:numPr>
              <w:spacing w:after="160"/>
              <w:jc w:val="both"/>
              <w:rPr>
                <w:rFonts w:ascii="Verdana" w:hAnsi="Verdana"/>
              </w:rPr>
            </w:pPr>
            <w:r w:rsidRPr="009B0209">
              <w:rPr>
                <w:rFonts w:ascii="Verdana" w:hAnsi="Verdana"/>
              </w:rPr>
              <w:t>Mínima cuantía.</w:t>
            </w:r>
          </w:p>
          <w:p w14:paraId="458135ED" w14:textId="77777777" w:rsidR="000F3F01" w:rsidRPr="007B7234" w:rsidRDefault="000F3F01" w:rsidP="00A9520F">
            <w:pPr>
              <w:spacing w:after="160" w:line="278" w:lineRule="auto"/>
              <w:jc w:val="both"/>
              <w:rPr>
                <w:rFonts w:ascii="Verdana" w:hAnsi="Verdana"/>
              </w:rPr>
            </w:pPr>
            <w:r w:rsidRPr="007B7234">
              <w:rPr>
                <w:rFonts w:ascii="Verdana" w:hAnsi="Verdana"/>
              </w:rPr>
              <w:t>Es así como l</w:t>
            </w:r>
            <w:r w:rsidRPr="009B0209">
              <w:rPr>
                <w:rFonts w:ascii="Verdana" w:hAnsi="Verdana"/>
              </w:rPr>
              <w:t>a elección de la modalidad de selección depende de los documentos de estudios previos, los cuales detallan la necesidad y la forma de satisfacerla.</w:t>
            </w:r>
          </w:p>
          <w:p w14:paraId="08FE9114" w14:textId="77777777" w:rsidR="000F3F01" w:rsidRPr="007B7234" w:rsidRDefault="000F3F01" w:rsidP="00A9520F">
            <w:pPr>
              <w:jc w:val="both"/>
              <w:rPr>
                <w:rFonts w:ascii="Verdana" w:hAnsi="Verdana"/>
              </w:rPr>
            </w:pPr>
            <w:r w:rsidRPr="007B7234">
              <w:rPr>
                <w:rFonts w:ascii="Verdana" w:hAnsi="Verdana"/>
              </w:rPr>
              <w:t>En cualquier caso, cuando se celebre un convenio entre dos entidades estatales, este se denominará Convenio Interadministrativo. Este tipo de acuerdo implica la manifestación de la voluntad de dos o más personas jurídicas de derecho público, con el objetivo de cumplir, en el marco de sus competencias y objetivos misionales, con los fines del Estado. Tal denominación responde a un criterio orgánico, que refleja la colaboración institucional en el cumplimiento de las funciones estatales.</w:t>
            </w:r>
          </w:p>
          <w:p w14:paraId="291066C9" w14:textId="77777777" w:rsidR="000F3F01" w:rsidRPr="009B0209" w:rsidRDefault="000F3F01" w:rsidP="00A9520F">
            <w:pPr>
              <w:spacing w:line="276" w:lineRule="auto"/>
              <w:contextualSpacing/>
              <w:jc w:val="both"/>
              <w:rPr>
                <w:rFonts w:ascii="Verdana" w:hAnsi="Verdana"/>
              </w:rPr>
            </w:pPr>
          </w:p>
          <w:p w14:paraId="75440189" w14:textId="77777777" w:rsidR="000F3F01" w:rsidRPr="007B7234" w:rsidRDefault="000F3F01" w:rsidP="00A9520F">
            <w:pPr>
              <w:spacing w:after="160" w:line="278" w:lineRule="auto"/>
              <w:jc w:val="both"/>
              <w:rPr>
                <w:rFonts w:ascii="Verdana" w:hAnsi="Verdana"/>
                <w:lang w:val="es-ES"/>
              </w:rPr>
            </w:pPr>
            <w:r w:rsidRPr="009B0209">
              <w:rPr>
                <w:rFonts w:ascii="Verdana" w:hAnsi="Verdana"/>
              </w:rPr>
              <w:t xml:space="preserve">Por otro lado, en relación con la aplicación del Decreto 092 de 2017, es importante aclarar que dicho convenio no es aplicable </w:t>
            </w:r>
            <w:r w:rsidRPr="007B7234">
              <w:rPr>
                <w:rFonts w:ascii="Verdana" w:hAnsi="Verdana"/>
              </w:rPr>
              <w:t>para</w:t>
            </w:r>
            <w:r w:rsidRPr="009B0209">
              <w:rPr>
                <w:rFonts w:ascii="Verdana" w:hAnsi="Verdana"/>
              </w:rPr>
              <w:t xml:space="preserve"> el caso de</w:t>
            </w:r>
            <w:r>
              <w:rPr>
                <w:rFonts w:ascii="Verdana" w:hAnsi="Verdana"/>
              </w:rPr>
              <w:t xml:space="preserve"> dos</w:t>
            </w:r>
            <w:r w:rsidRPr="009B0209">
              <w:rPr>
                <w:rFonts w:ascii="Verdana" w:hAnsi="Verdana"/>
              </w:rPr>
              <w:t xml:space="preserve"> entidades estatales</w:t>
            </w:r>
            <w:r>
              <w:rPr>
                <w:rFonts w:ascii="Verdana" w:hAnsi="Verdana"/>
              </w:rPr>
              <w:t>,</w:t>
            </w:r>
            <w:r w:rsidRPr="009B0209">
              <w:rPr>
                <w:rFonts w:ascii="Verdana" w:hAnsi="Verdana"/>
              </w:rPr>
              <w:t xml:space="preserve"> </w:t>
            </w:r>
            <w:r>
              <w:rPr>
                <w:rFonts w:ascii="Verdana" w:hAnsi="Verdana"/>
              </w:rPr>
              <w:t xml:space="preserve">puesto que las </w:t>
            </w:r>
            <w:r w:rsidRPr="009B0209">
              <w:rPr>
                <w:rFonts w:ascii="Verdana" w:hAnsi="Verdana"/>
              </w:rPr>
              <w:t xml:space="preserve">(ESALES), </w:t>
            </w:r>
            <w:r>
              <w:rPr>
                <w:rFonts w:ascii="Verdana" w:hAnsi="Verdana"/>
              </w:rPr>
              <w:t xml:space="preserve">están </w:t>
            </w:r>
            <w:r w:rsidRPr="001B58F3">
              <w:rPr>
                <w:rFonts w:ascii="Verdana" w:hAnsi="Verdana"/>
              </w:rPr>
              <w:t>enfocadas</w:t>
            </w:r>
            <w:r>
              <w:rPr>
                <w:rFonts w:ascii="Verdana" w:hAnsi="Verdana"/>
              </w:rPr>
              <w:t xml:space="preserve"> a Entidades con participación mayoritariamente de </w:t>
            </w:r>
            <w:r w:rsidRPr="009B0209">
              <w:rPr>
                <w:rFonts w:ascii="Verdana" w:hAnsi="Verdana"/>
              </w:rPr>
              <w:t>Derecho P</w:t>
            </w:r>
            <w:r w:rsidRPr="007B7234">
              <w:rPr>
                <w:rFonts w:ascii="Verdana" w:hAnsi="Verdana"/>
              </w:rPr>
              <w:t>rivado</w:t>
            </w:r>
            <w:r w:rsidRPr="009B0209">
              <w:rPr>
                <w:rFonts w:ascii="Verdana" w:hAnsi="Verdana"/>
              </w:rPr>
              <w:t>.</w:t>
            </w:r>
          </w:p>
        </w:tc>
      </w:tr>
    </w:tbl>
    <w:p w14:paraId="75EAFD71" w14:textId="77777777" w:rsidR="000F3F01" w:rsidRPr="007B7234" w:rsidRDefault="000F3F01" w:rsidP="000F3F01">
      <w:pPr>
        <w:tabs>
          <w:tab w:val="left" w:pos="142"/>
          <w:tab w:val="left" w:pos="284"/>
        </w:tabs>
        <w:spacing w:after="0" w:line="276" w:lineRule="auto"/>
        <w:jc w:val="both"/>
        <w:rPr>
          <w:rFonts w:ascii="Verdana" w:eastAsia="Century Gothic" w:hAnsi="Verdana" w:cs="Century Gothic"/>
          <w:b/>
          <w:bCs/>
          <w:lang w:val="es-ES"/>
        </w:rPr>
      </w:pPr>
    </w:p>
    <w:p w14:paraId="5309DF5F" w14:textId="77777777" w:rsidR="000F3F01" w:rsidRPr="007B7234" w:rsidRDefault="000F3F01" w:rsidP="000F3F01">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7B7234">
        <w:rPr>
          <w:rFonts w:ascii="Verdana" w:eastAsia="Century Gothic" w:hAnsi="Verdana" w:cs="Century Gothic"/>
          <w:b/>
          <w:bCs/>
        </w:rPr>
        <w:lastRenderedPageBreak/>
        <w:t>Razones de la respuesta:</w:t>
      </w:r>
    </w:p>
    <w:p w14:paraId="3CCB1B26" w14:textId="77777777" w:rsidR="000F3F01" w:rsidRPr="007B7234" w:rsidRDefault="000F3F01" w:rsidP="000F3F01">
      <w:pPr>
        <w:pStyle w:val="Prrafodelista"/>
        <w:tabs>
          <w:tab w:val="left" w:pos="142"/>
          <w:tab w:val="left" w:pos="284"/>
        </w:tabs>
        <w:spacing w:after="0" w:line="276" w:lineRule="auto"/>
        <w:ind w:left="0"/>
        <w:jc w:val="both"/>
        <w:rPr>
          <w:rFonts w:ascii="Verdana" w:eastAsia="Century Gothic" w:hAnsi="Verdana" w:cs="Century Gothic"/>
          <w:b/>
          <w:bCs/>
        </w:rPr>
      </w:pPr>
    </w:p>
    <w:p w14:paraId="56DD6043" w14:textId="77777777" w:rsidR="000F3F01" w:rsidRPr="007B7234" w:rsidRDefault="000F3F01" w:rsidP="000F3F01">
      <w:pPr>
        <w:spacing w:after="0" w:line="276" w:lineRule="auto"/>
        <w:jc w:val="both"/>
        <w:rPr>
          <w:rFonts w:ascii="Verdana" w:eastAsia="Calibri" w:hAnsi="Verdana" w:cs="Arial"/>
          <w:lang w:val="es-ES"/>
        </w:rPr>
      </w:pPr>
      <w:r w:rsidRPr="007B7234">
        <w:rPr>
          <w:rFonts w:ascii="Verdana" w:eastAsia="Calibri" w:hAnsi="Verdana" w:cs="Arial"/>
          <w:lang w:val="es-ES"/>
        </w:rPr>
        <w:t xml:space="preserve">Lo anterior se sustenta en las siguientes consideraciones: </w:t>
      </w:r>
    </w:p>
    <w:p w14:paraId="05C2D3EB" w14:textId="77777777" w:rsidR="000F3F01" w:rsidRDefault="000F3F01" w:rsidP="000F3F01">
      <w:pPr>
        <w:spacing w:after="0" w:line="276" w:lineRule="auto"/>
        <w:jc w:val="both"/>
        <w:rPr>
          <w:rFonts w:ascii="Verdana" w:eastAsia="Calibri" w:hAnsi="Verdana" w:cs="Arial"/>
          <w:lang w:val="es-ES"/>
        </w:rPr>
      </w:pPr>
    </w:p>
    <w:p w14:paraId="1E488F3A" w14:textId="77777777" w:rsidR="000F3F01" w:rsidRDefault="000F3F01" w:rsidP="000F3F01">
      <w:pPr>
        <w:spacing w:after="0" w:line="276" w:lineRule="auto"/>
        <w:jc w:val="both"/>
        <w:rPr>
          <w:rFonts w:ascii="Verdana" w:eastAsia="Calibri" w:hAnsi="Verdana" w:cs="Arial"/>
          <w:b/>
          <w:bCs/>
          <w:lang w:val="es-ES"/>
        </w:rPr>
      </w:pPr>
      <w:r w:rsidRPr="003625E6">
        <w:rPr>
          <w:rFonts w:ascii="Verdana" w:eastAsia="Calibri" w:hAnsi="Verdana" w:cs="Arial"/>
          <w:b/>
          <w:bCs/>
          <w:lang w:val="es-ES"/>
        </w:rPr>
        <w:t>3.1 Naturaleza jurídica de los fondos mixtos para los fondos mixtos de la cultura y de las artes:</w:t>
      </w:r>
    </w:p>
    <w:p w14:paraId="60AB6807" w14:textId="77777777" w:rsidR="000F3F01" w:rsidRPr="003625E6" w:rsidRDefault="000F3F01" w:rsidP="000F3F01">
      <w:pPr>
        <w:spacing w:after="0" w:line="276" w:lineRule="auto"/>
        <w:jc w:val="both"/>
        <w:rPr>
          <w:rFonts w:ascii="Verdana" w:eastAsia="Calibri" w:hAnsi="Verdana" w:cs="Arial"/>
          <w:b/>
          <w:bCs/>
          <w:lang w:val="es-ES"/>
        </w:rPr>
      </w:pPr>
    </w:p>
    <w:p w14:paraId="2AC2CB15" w14:textId="77777777" w:rsidR="000F3F01" w:rsidRPr="007B7234" w:rsidRDefault="000F3F01" w:rsidP="000F3F01">
      <w:pPr>
        <w:widowControl w:val="0"/>
        <w:autoSpaceDE w:val="0"/>
        <w:autoSpaceDN w:val="0"/>
        <w:spacing w:after="120" w:line="276" w:lineRule="auto"/>
        <w:ind w:firstLine="708"/>
        <w:jc w:val="both"/>
        <w:rPr>
          <w:rFonts w:ascii="Verdana" w:hAnsi="Verdana" w:cs="Arial"/>
          <w:color w:val="000000" w:themeColor="text1"/>
          <w:lang w:val="es-ES"/>
        </w:rPr>
      </w:pPr>
      <w:r w:rsidRPr="007B7234">
        <w:rPr>
          <w:rFonts w:ascii="Verdana" w:hAnsi="Verdana" w:cs="Arial"/>
          <w:color w:val="000000" w:themeColor="text1"/>
          <w:lang w:val="es-ES"/>
        </w:rPr>
        <w:t>Respecto de la naturaleza jurídica de los fondos mixtos para la promoción de la cultura y de las artes, y los convenios o contratos interadministrativos y su regulación, la Agencia Nacional de Contratación Pública –Colombia Compra Eficiente– se pronunció en las consultas con radicados 4201913000007595 del 7 de noviembre de 2019, 4202012000000237, C-055 del 15 de enero de 2020, C-086 del 16 de marzo de 2020 y C–101 del 13 de marzo de 2020. Igualmente, en los conceptos con radicados No. 4201913000006540 del 21 de octubre de 2019, C-023 del 13 de febrero de 2020, C-032 del 19 de febrero de 2020, C-086 del 16 de marzo de 2020, C-101 del 16 de marzo de 2020, C-575 del 27 de agosto de 2020, entre otros, se pronunció respecto de la naturaleza jurídica y características de los contratos y convenios interadministrativos.</w:t>
      </w:r>
    </w:p>
    <w:p w14:paraId="0DF5A5BF" w14:textId="77777777" w:rsidR="000F3F01" w:rsidRPr="003625E6" w:rsidRDefault="000F3F01" w:rsidP="000F3F01">
      <w:pPr>
        <w:widowControl w:val="0"/>
        <w:autoSpaceDE w:val="0"/>
        <w:autoSpaceDN w:val="0"/>
        <w:spacing w:after="120" w:line="276" w:lineRule="auto"/>
        <w:ind w:firstLine="708"/>
        <w:jc w:val="both"/>
        <w:rPr>
          <w:rFonts w:ascii="Verdana" w:hAnsi="Verdana" w:cs="Arial"/>
          <w:color w:val="000000" w:themeColor="text1"/>
          <w:lang w:val="es-ES"/>
        </w:rPr>
      </w:pPr>
      <w:r w:rsidRPr="007B7234">
        <w:rPr>
          <w:rFonts w:ascii="Verdana" w:hAnsi="Verdana" w:cs="Arial"/>
          <w:color w:val="000000" w:themeColor="text1"/>
          <w:lang w:val="es-ES"/>
        </w:rPr>
        <w:t>Finalmente, en cuanto a la posibilidad de que las cooperativas y asociaciones de entidades territoriales puedan celebrar convenios y contratos interadministrativos, esta Agencia emitió el concepto</w:t>
      </w:r>
      <w:r w:rsidRPr="007B7234">
        <w:rPr>
          <w:rFonts w:ascii="Verdana" w:hAnsi="Verdana" w:cs="Arial"/>
        </w:rPr>
        <w:t xml:space="preserve"> con radicado</w:t>
      </w:r>
      <w:r w:rsidRPr="007B7234">
        <w:rPr>
          <w:rFonts w:ascii="Verdana" w:hAnsi="Verdana"/>
        </w:rPr>
        <w:t xml:space="preserve"> </w:t>
      </w:r>
      <w:r w:rsidRPr="007B7234">
        <w:rPr>
          <w:rFonts w:ascii="Verdana" w:hAnsi="Verdana" w:cs="Arial"/>
          <w:color w:val="000000" w:themeColor="text1"/>
          <w:lang w:val="es-ES"/>
        </w:rPr>
        <w:t>4201912000007676 del 20 de diciembre de 2019 y el concepto C-116 de 30 de marzo de 2021, este último para precisar el alcance del artículo 10 de la Ley 1150 de 2007. En lo pertinente, se reiterarán las consideraciones de dichos conceptos.</w:t>
      </w:r>
    </w:p>
    <w:p w14:paraId="23E43DF2" w14:textId="77777777" w:rsidR="000F3F01" w:rsidRPr="007B7234" w:rsidRDefault="000F3F01" w:rsidP="000F3F01">
      <w:pPr>
        <w:widowControl w:val="0"/>
        <w:autoSpaceDE w:val="0"/>
        <w:autoSpaceDN w:val="0"/>
        <w:spacing w:after="120" w:line="276" w:lineRule="auto"/>
        <w:jc w:val="both"/>
        <w:rPr>
          <w:rFonts w:ascii="Verdana" w:hAnsi="Verdana" w:cs="Arial"/>
          <w:color w:val="000000" w:themeColor="text1"/>
          <w:lang w:val="es-ES"/>
        </w:rPr>
      </w:pPr>
      <w:r w:rsidRPr="007B7234">
        <w:rPr>
          <w:rFonts w:ascii="Verdana" w:hAnsi="Verdana" w:cs="Arial"/>
          <w:color w:val="000000" w:themeColor="text1"/>
          <w:lang w:val="es-ES"/>
        </w:rPr>
        <w:t xml:space="preserve">En desarrollo de los artículos 70, 71 y 72 de la Constitución Política, relativos al deber del Estado de promover, fomentar y proteger la cultura, el arte, la ciencia, la tecnología y el patrimonio cultural de la Nación, el legislador expidió la </w:t>
      </w:r>
      <w:bookmarkStart w:id="4" w:name="_Hlk77082315"/>
      <w:r w:rsidRPr="007B7234">
        <w:rPr>
          <w:rFonts w:ascii="Verdana" w:hAnsi="Verdana" w:cs="Arial"/>
          <w:color w:val="000000" w:themeColor="text1"/>
          <w:lang w:val="es-ES"/>
        </w:rPr>
        <w:t xml:space="preserve">Ley 397 de 1997 </w:t>
      </w:r>
      <w:bookmarkEnd w:id="4"/>
      <w:r w:rsidRPr="007B7234">
        <w:rPr>
          <w:rFonts w:ascii="Verdana" w:hAnsi="Verdana" w:cs="Arial"/>
          <w:color w:val="000000" w:themeColor="text1"/>
          <w:lang w:val="es-ES"/>
        </w:rPr>
        <w:t xml:space="preserve">por la cual se dictaron normas sobre patrimonio cultural, fomentos y estímulos a la cultura y acerca de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w:t>
      </w:r>
      <w:r w:rsidRPr="007B7234">
        <w:rPr>
          <w:rFonts w:ascii="Verdana" w:hAnsi="Verdana" w:cs="Arial"/>
          <w:color w:val="000000" w:themeColor="text1"/>
          <w:lang w:val="es-ES"/>
        </w:rPr>
        <w:lastRenderedPageBreak/>
        <w:t>comunidad a los bienes y servicios culturales, según los principios de descentralización, participación y autonomía</w:t>
      </w:r>
      <w:r w:rsidRPr="007B7234">
        <w:rPr>
          <w:rFonts w:ascii="Verdana" w:hAnsi="Verdana" w:cs="Arial"/>
          <w:color w:val="000000" w:themeColor="text1"/>
          <w:vertAlign w:val="superscript"/>
          <w:lang w:val="es-ES"/>
        </w:rPr>
        <w:footnoteReference w:id="2"/>
      </w:r>
      <w:r w:rsidRPr="007B7234">
        <w:rPr>
          <w:rFonts w:ascii="Verdana" w:hAnsi="Verdana" w:cs="Arial"/>
          <w:color w:val="000000" w:themeColor="text1"/>
          <w:lang w:val="es-ES"/>
        </w:rPr>
        <w:t xml:space="preserve">.  </w:t>
      </w:r>
    </w:p>
    <w:p w14:paraId="0629312D" w14:textId="77777777" w:rsidR="000F3F01" w:rsidRPr="007B7234" w:rsidRDefault="000F3F01" w:rsidP="000F3F01">
      <w:pPr>
        <w:widowControl w:val="0"/>
        <w:autoSpaceDE w:val="0"/>
        <w:autoSpaceDN w:val="0"/>
        <w:spacing w:after="120" w:line="276" w:lineRule="auto"/>
        <w:ind w:firstLine="708"/>
        <w:jc w:val="both"/>
        <w:rPr>
          <w:rFonts w:ascii="Verdana" w:hAnsi="Verdana" w:cs="Arial"/>
          <w:color w:val="000000" w:themeColor="text1"/>
          <w:lang w:val="es-ES"/>
        </w:rPr>
      </w:pPr>
      <w:r w:rsidRPr="007B7234">
        <w:rPr>
          <w:rFonts w:ascii="Verdana" w:hAnsi="Verdana" w:cs="Arial"/>
          <w:color w:val="000000" w:themeColor="text1"/>
          <w:lang w:val="es-ES"/>
        </w:rPr>
        <w:t xml:space="preserve">Este sistema está conformado por el Ministerio de Cultura, los concejos municipales, distritales y departamentales de cultura, </w:t>
      </w:r>
      <w:bookmarkStart w:id="5" w:name="_Hlk74756138"/>
      <w:r w:rsidRPr="007B7234">
        <w:rPr>
          <w:rFonts w:ascii="Verdana" w:hAnsi="Verdana" w:cs="Arial"/>
          <w:color w:val="000000" w:themeColor="text1"/>
          <w:lang w:val="es-ES"/>
        </w:rPr>
        <w:t xml:space="preserve">los fondos mixtos de promoción de la cultura y de las artes </w:t>
      </w:r>
      <w:bookmarkEnd w:id="5"/>
      <w:r w:rsidRPr="007B7234">
        <w:rPr>
          <w:rFonts w:ascii="Verdana" w:hAnsi="Verdana" w:cs="Arial"/>
          <w:color w:val="000000" w:themeColor="text1"/>
          <w:lang w:val="es-ES"/>
        </w:rPr>
        <w:t xml:space="preserve">y, en general por las entidades públicas y privadas que desarrollen, financien, fomenten o ejecuten actividades culturales. </w:t>
      </w:r>
    </w:p>
    <w:p w14:paraId="75505107" w14:textId="77777777" w:rsidR="000F3F01" w:rsidRPr="007B7234" w:rsidRDefault="000F3F01" w:rsidP="000F3F01">
      <w:pPr>
        <w:widowControl w:val="0"/>
        <w:autoSpaceDE w:val="0"/>
        <w:autoSpaceDN w:val="0"/>
        <w:spacing w:after="120" w:line="276" w:lineRule="auto"/>
        <w:ind w:firstLine="708"/>
        <w:jc w:val="both"/>
        <w:rPr>
          <w:rFonts w:ascii="Verdana" w:hAnsi="Verdana" w:cs="Arial"/>
          <w:color w:val="000000" w:themeColor="text1"/>
          <w:lang w:val="es-ES"/>
        </w:rPr>
      </w:pPr>
      <w:bookmarkStart w:id="6" w:name="_Hlk74855276"/>
      <w:bookmarkStart w:id="7" w:name="_Hlk77082342"/>
      <w:r w:rsidRPr="007B7234">
        <w:rPr>
          <w:rFonts w:ascii="Verdana" w:hAnsi="Verdana" w:cs="Arial"/>
          <w:color w:val="000000" w:themeColor="text1"/>
          <w:lang w:val="es-ES"/>
        </w:rPr>
        <w:t>El artículo 63 d</w:t>
      </w:r>
      <w:bookmarkEnd w:id="6"/>
      <w:r w:rsidRPr="007B7234">
        <w:rPr>
          <w:rFonts w:ascii="Verdana" w:hAnsi="Verdana" w:cs="Arial"/>
          <w:color w:val="000000" w:themeColor="text1"/>
          <w:lang w:val="es-ES"/>
        </w:rPr>
        <w:t xml:space="preserve">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254176E6" w14:textId="77777777" w:rsidR="000F3F01" w:rsidRPr="007B7234" w:rsidRDefault="000F3F01" w:rsidP="000F3F01">
      <w:pPr>
        <w:widowControl w:val="0"/>
        <w:autoSpaceDE w:val="0"/>
        <w:autoSpaceDN w:val="0"/>
        <w:spacing w:after="120" w:line="276" w:lineRule="auto"/>
        <w:ind w:firstLine="708"/>
        <w:jc w:val="both"/>
        <w:rPr>
          <w:rFonts w:ascii="Verdana" w:hAnsi="Verdana" w:cs="Arial"/>
          <w:color w:val="000000" w:themeColor="text1"/>
          <w:lang w:val="es-ES"/>
        </w:rPr>
      </w:pPr>
      <w:r w:rsidRPr="007B7234">
        <w:rPr>
          <w:rFonts w:ascii="Verdana" w:hAnsi="Verdana" w:cs="Arial"/>
          <w:color w:val="000000" w:themeColor="text1"/>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bookmarkEnd w:id="7"/>
    <w:p w14:paraId="5B7B2B0C" w14:textId="77777777" w:rsidR="000F3F01" w:rsidRPr="007B7234" w:rsidRDefault="000F3F01" w:rsidP="000F3F01">
      <w:pPr>
        <w:widowControl w:val="0"/>
        <w:autoSpaceDE w:val="0"/>
        <w:autoSpaceDN w:val="0"/>
        <w:spacing w:after="120" w:line="276" w:lineRule="auto"/>
        <w:ind w:firstLine="708"/>
        <w:jc w:val="both"/>
        <w:rPr>
          <w:rFonts w:ascii="Verdana" w:hAnsi="Verdana" w:cs="Arial"/>
          <w:color w:val="000000" w:themeColor="text1"/>
          <w:lang w:val="es-ES"/>
        </w:rPr>
      </w:pPr>
      <w:r w:rsidRPr="007B7234">
        <w:rPr>
          <w:rFonts w:ascii="Verdana" w:hAnsi="Verdana" w:cs="Arial"/>
          <w:color w:val="000000" w:themeColor="text1"/>
          <w:lang w:val="es-ES"/>
        </w:rPr>
        <w:t>La Corte Constitucional, al estudiar la constitucionalidad del artículo 63 de la Ley 397 de 1997</w:t>
      </w:r>
      <w:r w:rsidRPr="007B7234">
        <w:rPr>
          <w:rFonts w:ascii="Verdana" w:hAnsi="Verdana" w:cs="Arial"/>
          <w:color w:val="000000" w:themeColor="text1"/>
          <w:vertAlign w:val="superscript"/>
          <w:lang w:val="es-ES"/>
        </w:rPr>
        <w:footnoteReference w:id="3"/>
      </w:r>
      <w:r w:rsidRPr="007B7234">
        <w:rPr>
          <w:rFonts w:ascii="Verdana" w:hAnsi="Verdana" w:cs="Arial"/>
          <w:color w:val="000000" w:themeColor="text1"/>
          <w:lang w:val="es-ES"/>
        </w:rPr>
        <w:t>, lo encontró ajustado a la Constitución Política, por considerar que el 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1F2F4EDE" w14:textId="77777777" w:rsidR="000F3F01" w:rsidRPr="007B7234" w:rsidRDefault="000F3F01" w:rsidP="000F3F01">
      <w:pPr>
        <w:widowControl w:val="0"/>
        <w:autoSpaceDE w:val="0"/>
        <w:autoSpaceDN w:val="0"/>
        <w:spacing w:line="276" w:lineRule="auto"/>
        <w:ind w:firstLine="708"/>
        <w:jc w:val="both"/>
        <w:rPr>
          <w:rFonts w:ascii="Verdana" w:hAnsi="Verdana" w:cs="Arial"/>
          <w:color w:val="000000" w:themeColor="text1"/>
          <w:lang w:val="es-ES"/>
        </w:rPr>
      </w:pPr>
      <w:r w:rsidRPr="007B7234">
        <w:rPr>
          <w:rFonts w:ascii="Verdana" w:hAnsi="Verdana" w:cs="Arial"/>
          <w:color w:val="000000" w:themeColor="text1"/>
          <w:lang w:val="es-ES"/>
        </w:rPr>
        <w:t xml:space="preserve">La Corte Constitucional también los diferenció de los fondos cuenta creados por el legislador como un mecanismo de manejo de recursos públicos para el cumplimiento de un fin específico y que son administrados por un ente público bajo el régimen aplicable a este último. Al respecto, el Alto Tribunal consideró lo siguiente: </w:t>
      </w:r>
      <w:r w:rsidRPr="007B7234">
        <w:rPr>
          <w:rFonts w:ascii="Verdana" w:hAnsi="Verdana" w:cs="Arial"/>
          <w:color w:val="000000" w:themeColor="text1"/>
          <w:lang w:val="es-ES"/>
        </w:rPr>
        <w:tab/>
      </w:r>
    </w:p>
    <w:p w14:paraId="74F15683" w14:textId="77777777" w:rsidR="000F3F01" w:rsidRPr="003D0A6C" w:rsidRDefault="000F3F01" w:rsidP="000F3F01">
      <w:pPr>
        <w:ind w:left="709" w:right="709"/>
        <w:jc w:val="both"/>
        <w:rPr>
          <w:rFonts w:ascii="Verdana" w:hAnsi="Verdana" w:cs="Arial"/>
          <w:color w:val="000000" w:themeColor="text1"/>
          <w:sz w:val="20"/>
          <w:szCs w:val="20"/>
        </w:rPr>
      </w:pPr>
      <w:r w:rsidRPr="003D0A6C">
        <w:rPr>
          <w:rFonts w:ascii="Verdana" w:hAnsi="Verdana" w:cs="Arial"/>
          <w:color w:val="000000" w:themeColor="text1"/>
          <w:sz w:val="20"/>
          <w:szCs w:val="20"/>
        </w:rPr>
        <w:lastRenderedPageBreak/>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 Cultura.</w:t>
      </w:r>
    </w:p>
    <w:p w14:paraId="6990E4CF" w14:textId="77777777" w:rsidR="000F3F01" w:rsidRPr="003D0A6C" w:rsidRDefault="000F3F01" w:rsidP="000F3F01">
      <w:pPr>
        <w:ind w:left="709" w:right="709"/>
        <w:jc w:val="both"/>
        <w:rPr>
          <w:rFonts w:ascii="Verdana" w:hAnsi="Verdana" w:cs="Arial"/>
          <w:color w:val="000000" w:themeColor="text1"/>
          <w:sz w:val="20"/>
          <w:szCs w:val="20"/>
        </w:rPr>
      </w:pPr>
      <w:r w:rsidRPr="003D0A6C">
        <w:rPr>
          <w:rFonts w:ascii="Verdana" w:hAnsi="Verdana" w:cs="Arial"/>
          <w:color w:val="000000" w:themeColor="text1"/>
          <w:sz w:val="20"/>
          <w:szCs w:val="20"/>
        </w:rPr>
        <w:t>En cambio, el Fondo Mixto Manuel Mejía Vallejo de Promoción de la Cultura y las Artes (i) es una cuenta especial sin personería jurídica; (</w:t>
      </w:r>
      <w:proofErr w:type="spellStart"/>
      <w:r w:rsidRPr="003D0A6C">
        <w:rPr>
          <w:rFonts w:ascii="Verdana" w:hAnsi="Verdana" w:cs="Arial"/>
          <w:color w:val="000000" w:themeColor="text1"/>
          <w:sz w:val="20"/>
          <w:szCs w:val="20"/>
        </w:rPr>
        <w:t>ii</w:t>
      </w:r>
      <w:proofErr w:type="spellEnd"/>
      <w:r w:rsidRPr="003D0A6C">
        <w:rPr>
          <w:rFonts w:ascii="Verdana" w:hAnsi="Verdana" w:cs="Arial"/>
          <w:color w:val="000000" w:themeColor="text1"/>
          <w:sz w:val="20"/>
          <w:szCs w:val="20"/>
        </w:rPr>
        <w:t>) no puede, por ende, comprenderse como una “entidad”; y (</w:t>
      </w:r>
      <w:proofErr w:type="spellStart"/>
      <w:r w:rsidRPr="003D0A6C">
        <w:rPr>
          <w:rFonts w:ascii="Verdana" w:hAnsi="Verdana" w:cs="Arial"/>
          <w:color w:val="000000" w:themeColor="text1"/>
          <w:sz w:val="20"/>
          <w:szCs w:val="20"/>
        </w:rPr>
        <w:t>iii</w:t>
      </w:r>
      <w:proofErr w:type="spellEnd"/>
      <w:r w:rsidRPr="003D0A6C">
        <w:rPr>
          <w:rFonts w:ascii="Verdana" w:hAnsi="Verdana" w:cs="Arial"/>
          <w:color w:val="000000" w:themeColor="text1"/>
          <w:sz w:val="20"/>
          <w:szCs w:val="20"/>
        </w:rPr>
        <w:t>)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 jurídica</w:t>
      </w:r>
      <w:r w:rsidRPr="003D0A6C">
        <w:rPr>
          <w:rFonts w:ascii="Verdana" w:hAnsi="Verdana" w:cs="Arial"/>
          <w:color w:val="000000" w:themeColor="text1"/>
          <w:sz w:val="20"/>
          <w:szCs w:val="20"/>
          <w:vertAlign w:val="superscript"/>
        </w:rPr>
        <w:footnoteReference w:id="4"/>
      </w:r>
      <w:r w:rsidRPr="003D0A6C">
        <w:rPr>
          <w:rFonts w:ascii="Verdana" w:hAnsi="Verdana" w:cs="Arial"/>
          <w:color w:val="000000" w:themeColor="text1"/>
          <w:sz w:val="20"/>
          <w:szCs w:val="20"/>
        </w:rPr>
        <w:t xml:space="preserve">. </w:t>
      </w:r>
    </w:p>
    <w:p w14:paraId="76A6D7E6" w14:textId="77777777" w:rsidR="000F3F01" w:rsidRPr="007B7234" w:rsidRDefault="000F3F01" w:rsidP="000F3F01">
      <w:pPr>
        <w:widowControl w:val="0"/>
        <w:autoSpaceDE w:val="0"/>
        <w:autoSpaceDN w:val="0"/>
        <w:spacing w:line="276" w:lineRule="auto"/>
        <w:ind w:firstLine="709"/>
        <w:jc w:val="both"/>
        <w:rPr>
          <w:rFonts w:ascii="Verdana" w:hAnsi="Verdana" w:cs="Arial"/>
          <w:color w:val="000000" w:themeColor="text1"/>
          <w:lang w:val="es-ES"/>
        </w:rPr>
      </w:pPr>
      <w:r w:rsidRPr="007B7234">
        <w:rPr>
          <w:rFonts w:ascii="Verdana" w:hAnsi="Verdana" w:cs="Arial"/>
          <w:color w:val="000000" w:themeColor="text1"/>
          <w:lang w:val="es-ES"/>
        </w:rPr>
        <w:t xml:space="preserve">Debe señalarse que 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79B598AC"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46AF0415"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 xml:space="preserve">Artículo 2.2.2.2. Fondos Mixtos de Territorios Indígenas. Los Fondos Mixtos de los Territorios Indígenas sólo podrán crearse cuando se expida la Ley de Ordenamiento Territorial a que se refiere el artículo 329 de la </w:t>
      </w:r>
      <w:r w:rsidRPr="003625E6">
        <w:rPr>
          <w:rFonts w:ascii="Verdana" w:hAnsi="Verdana" w:cs="Arial"/>
          <w:i/>
          <w:iCs/>
          <w:color w:val="000000" w:themeColor="text1"/>
          <w:sz w:val="20"/>
          <w:szCs w:val="20"/>
          <w:lang w:val="es-ES"/>
        </w:rPr>
        <w:lastRenderedPageBreak/>
        <w:t xml:space="preserve">Constitución Política. </w:t>
      </w:r>
    </w:p>
    <w:p w14:paraId="433C6E5F"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w:t>
      </w:r>
    </w:p>
    <w:p w14:paraId="00631D10"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755EAD86" w14:textId="77777777" w:rsidR="000F3F01" w:rsidRPr="007B7234" w:rsidRDefault="000F3F01" w:rsidP="000F3F01">
      <w:pPr>
        <w:widowControl w:val="0"/>
        <w:autoSpaceDE w:val="0"/>
        <w:autoSpaceDN w:val="0"/>
        <w:spacing w:after="120" w:line="276" w:lineRule="auto"/>
        <w:ind w:firstLine="709"/>
        <w:jc w:val="both"/>
        <w:rPr>
          <w:rFonts w:ascii="Verdana" w:hAnsi="Verdana" w:cs="Arial"/>
          <w:color w:val="000000" w:themeColor="text1"/>
          <w:lang w:val="es-ES"/>
        </w:rPr>
      </w:pPr>
      <w:bookmarkStart w:id="8" w:name="_Hlk77948933"/>
      <w:bookmarkStart w:id="9" w:name="_Hlk77082747"/>
      <w:r w:rsidRPr="007B7234">
        <w:rPr>
          <w:rFonts w:ascii="Verdana" w:hAnsi="Verdana" w:cs="Arial"/>
          <w:color w:val="000000" w:themeColor="text1"/>
          <w:lang w:val="es-ES"/>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w:t>
      </w:r>
    </w:p>
    <w:p w14:paraId="4C33EF28" w14:textId="77777777" w:rsidR="000F3F01" w:rsidRPr="003625E6" w:rsidRDefault="000F3F01" w:rsidP="000F3F01">
      <w:pPr>
        <w:widowControl w:val="0"/>
        <w:autoSpaceDE w:val="0"/>
        <w:autoSpaceDN w:val="0"/>
        <w:spacing w:line="276" w:lineRule="auto"/>
        <w:ind w:firstLine="709"/>
        <w:jc w:val="both"/>
        <w:rPr>
          <w:rFonts w:ascii="Verdana" w:hAnsi="Verdana" w:cs="Arial"/>
          <w:color w:val="000000" w:themeColor="text1"/>
          <w:lang w:val="es-ES"/>
        </w:rPr>
      </w:pPr>
      <w:bookmarkStart w:id="10" w:name="_Hlk77082647"/>
      <w:bookmarkEnd w:id="8"/>
      <w:r w:rsidRPr="007B7234">
        <w:rPr>
          <w:rFonts w:ascii="Verdana" w:hAnsi="Verdana" w:cs="Arial"/>
          <w:color w:val="000000" w:themeColor="text1"/>
          <w:lang w:val="es-ES"/>
        </w:rPr>
        <w:t xml:space="preserve">La Corte Constitucional, en la sentencia C-230 de 1995, al estudiar la naturaleza jurídica de los fondos para la promoción de la cultura y de las artes, a pesar de su naturaleza mixta y su sometimiento al derecho privado, ha establecido que estos constituyen entidades descentralizadas indirectas o de segundo orden de conformidad con el artículo 96 de la Ley 489 de 1998. </w:t>
      </w:r>
      <w:bookmarkEnd w:id="9"/>
      <w:r w:rsidRPr="007B7234">
        <w:rPr>
          <w:rFonts w:ascii="Verdana" w:hAnsi="Verdana" w:cs="Arial"/>
          <w:color w:val="000000" w:themeColor="text1"/>
          <w:lang w:val="es-ES"/>
        </w:rPr>
        <w:t xml:space="preserve">En relación con ese punto, esa Corporación sostuvo: </w:t>
      </w:r>
      <w:bookmarkEnd w:id="10"/>
    </w:p>
    <w:p w14:paraId="7F6AB4F5"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3BAD1CA1"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 xml:space="preserve">La ley 80 de 1993 sometió a las corporaciones y fundaciones, en las cuales el Estado tenga una participación mayoritaria (art. 2o., </w:t>
      </w:r>
      <w:proofErr w:type="spellStart"/>
      <w:r w:rsidRPr="003625E6">
        <w:rPr>
          <w:rFonts w:ascii="Verdana" w:hAnsi="Verdana" w:cs="Arial"/>
          <w:i/>
          <w:iCs/>
          <w:color w:val="000000" w:themeColor="text1"/>
          <w:sz w:val="20"/>
          <w:szCs w:val="20"/>
          <w:lang w:val="es-ES"/>
        </w:rPr>
        <w:t>ord</w:t>
      </w:r>
      <w:proofErr w:type="spellEnd"/>
      <w:r w:rsidRPr="003625E6">
        <w:rPr>
          <w:rFonts w:ascii="Verdana" w:hAnsi="Verdana" w:cs="Arial"/>
          <w:i/>
          <w:iCs/>
          <w:color w:val="000000" w:themeColor="text1"/>
          <w:sz w:val="20"/>
          <w:szCs w:val="20"/>
          <w:lang w:val="es-ES"/>
        </w:rPr>
        <w:t xml:space="preserve">. 1o, </w:t>
      </w:r>
      <w:proofErr w:type="spellStart"/>
      <w:r w:rsidRPr="003625E6">
        <w:rPr>
          <w:rFonts w:ascii="Verdana" w:hAnsi="Verdana" w:cs="Arial"/>
          <w:i/>
          <w:iCs/>
          <w:color w:val="000000" w:themeColor="text1"/>
          <w:sz w:val="20"/>
          <w:szCs w:val="20"/>
          <w:lang w:val="es-ES"/>
        </w:rPr>
        <w:t>lit.</w:t>
      </w:r>
      <w:proofErr w:type="spellEnd"/>
      <w:r w:rsidRPr="003625E6">
        <w:rPr>
          <w:rFonts w:ascii="Verdana" w:hAnsi="Verdana" w:cs="Arial"/>
          <w:i/>
          <w:iCs/>
          <w:color w:val="000000" w:themeColor="text1"/>
          <w:sz w:val="20"/>
          <w:szCs w:val="20"/>
          <w:lang w:val="es-ES"/>
        </w:rPr>
        <w:t xml:space="preserve"> a.), a las reglas principios de la contratación de la administración pública y para ello las reconoció en el literal a) del ordinal 1 del art. 2 de dicha ley como entidades estatales. </w:t>
      </w:r>
    </w:p>
    <w:p w14:paraId="7B302F9D"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w:t>
      </w:r>
    </w:p>
    <w:p w14:paraId="029FA628"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 xml:space="preserve">El encuadramiento de las corporaciones y fundaciones en la condición de entidades estatales y la calificación de sus directivos como servidores públicos, para los efectos indicados, no modifica ni la naturaleza de </w:t>
      </w:r>
      <w:r w:rsidRPr="003625E6">
        <w:rPr>
          <w:rFonts w:ascii="Verdana" w:hAnsi="Verdana" w:cs="Arial"/>
          <w:i/>
          <w:iCs/>
          <w:color w:val="000000" w:themeColor="text1"/>
          <w:sz w:val="20"/>
          <w:szCs w:val="20"/>
          <w:lang w:val="es-ES"/>
        </w:rPr>
        <w:lastRenderedPageBreak/>
        <w:t>aquéllas ni la situación laboral particular de estos últimos con las referidas entidades, porque unas y otros siguen sometidos al régimen de derecho privado que les es aplicable…</w:t>
      </w:r>
    </w:p>
    <w:p w14:paraId="41B5F36B" w14:textId="77777777" w:rsidR="000F3F01" w:rsidRPr="003625E6"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w:t>
      </w:r>
    </w:p>
    <w:p w14:paraId="7C483420" w14:textId="77777777" w:rsidR="000F3F01" w:rsidRPr="00C001CB" w:rsidRDefault="000F3F01" w:rsidP="000F3F01">
      <w:pPr>
        <w:widowControl w:val="0"/>
        <w:autoSpaceDE w:val="0"/>
        <w:autoSpaceDN w:val="0"/>
        <w:ind w:left="709" w:right="709"/>
        <w:jc w:val="both"/>
        <w:rPr>
          <w:rFonts w:ascii="Verdana" w:hAnsi="Verdana" w:cs="Arial"/>
          <w:i/>
          <w:iCs/>
          <w:color w:val="000000" w:themeColor="text1"/>
          <w:sz w:val="20"/>
          <w:szCs w:val="20"/>
          <w:lang w:val="es-ES"/>
        </w:rPr>
      </w:pPr>
      <w:r w:rsidRPr="003625E6">
        <w:rPr>
          <w:rFonts w:ascii="Verdana" w:hAnsi="Verdana" w:cs="Arial"/>
          <w:i/>
          <w:iCs/>
          <w:color w:val="000000" w:themeColor="text1"/>
          <w:sz w:val="20"/>
          <w:szCs w:val="20"/>
          <w:lang w:val="es-ES"/>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 entrega a título de aporte o participación bienes o recursos públicos</w:t>
      </w:r>
      <w:r w:rsidRPr="003625E6">
        <w:rPr>
          <w:rFonts w:ascii="Verdana" w:hAnsi="Verdana" w:cs="Arial"/>
          <w:i/>
          <w:iCs/>
          <w:color w:val="000000" w:themeColor="text1"/>
          <w:sz w:val="20"/>
          <w:szCs w:val="20"/>
          <w:vertAlign w:val="superscript"/>
          <w:lang w:val="es-ES"/>
        </w:rPr>
        <w:footnoteReference w:id="5"/>
      </w:r>
      <w:r w:rsidRPr="003625E6">
        <w:rPr>
          <w:rFonts w:ascii="Verdana" w:hAnsi="Verdana" w:cs="Arial"/>
          <w:i/>
          <w:iCs/>
          <w:color w:val="000000" w:themeColor="text1"/>
          <w:sz w:val="20"/>
          <w:szCs w:val="20"/>
          <w:lang w:val="es-ES"/>
        </w:rPr>
        <w:t>.</w:t>
      </w:r>
    </w:p>
    <w:p w14:paraId="7904A1D0" w14:textId="77777777" w:rsidR="000F3F01" w:rsidRPr="007B7234" w:rsidRDefault="000F3F01" w:rsidP="000F3F01">
      <w:pPr>
        <w:widowControl w:val="0"/>
        <w:autoSpaceDE w:val="0"/>
        <w:autoSpaceDN w:val="0"/>
        <w:spacing w:after="120" w:line="276" w:lineRule="auto"/>
        <w:ind w:firstLine="709"/>
        <w:jc w:val="both"/>
        <w:rPr>
          <w:rFonts w:ascii="Verdana" w:hAnsi="Verdana" w:cs="Arial"/>
          <w:color w:val="000000" w:themeColor="text1"/>
          <w:lang w:val="es-ES"/>
        </w:rPr>
      </w:pPr>
      <w:bookmarkStart w:id="11" w:name="_Hlk77948965"/>
      <w:bookmarkStart w:id="12" w:name="_Hlk77084284"/>
      <w:r w:rsidRPr="007B7234">
        <w:rPr>
          <w:rFonts w:ascii="Verdana" w:hAnsi="Verdana" w:cs="Arial"/>
          <w:color w:val="000000" w:themeColor="text1"/>
          <w:lang w:val="es-ES"/>
        </w:rPr>
        <w:t>Así pues, los fondos mixtos para la promoción de la cultura y de las artes son personas jurídicas sin ánimo de lucro, regidas por el derecho privado principalmente; hacen parte de la estructura de la Administración, como entidades descentralizadas indirectas</w:t>
      </w:r>
      <w:r w:rsidRPr="007B7234">
        <w:rPr>
          <w:rStyle w:val="Refdenotaalpie"/>
          <w:rFonts w:ascii="Verdana" w:hAnsi="Verdana"/>
        </w:rPr>
        <w:footnoteReference w:id="6"/>
      </w:r>
      <w:r w:rsidRPr="007B7234">
        <w:rPr>
          <w:rFonts w:ascii="Verdana" w:hAnsi="Verdana" w:cs="Arial"/>
          <w:color w:val="000000" w:themeColor="text1"/>
          <w:lang w:val="es-ES"/>
        </w:rPr>
        <w:t xml:space="preserve">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bookmarkEnd w:id="11"/>
    <w:p w14:paraId="41C0A1DF" w14:textId="77777777" w:rsidR="000F3F01" w:rsidRPr="007B7234" w:rsidRDefault="000F3F01" w:rsidP="000F3F01">
      <w:pPr>
        <w:widowControl w:val="0"/>
        <w:autoSpaceDE w:val="0"/>
        <w:autoSpaceDN w:val="0"/>
        <w:spacing w:after="120" w:line="276" w:lineRule="auto"/>
        <w:ind w:firstLine="709"/>
        <w:jc w:val="both"/>
        <w:rPr>
          <w:rFonts w:ascii="Verdana" w:hAnsi="Verdana" w:cs="Arial"/>
          <w:color w:val="000000" w:themeColor="text1"/>
          <w:lang w:val="es-ES"/>
        </w:rPr>
      </w:pPr>
      <w:r w:rsidRPr="007B7234">
        <w:rPr>
          <w:rFonts w:ascii="Verdana" w:hAnsi="Verdana" w:cs="Arial"/>
          <w:color w:val="000000" w:themeColor="text1"/>
          <w:lang w:val="es-ES"/>
        </w:rPr>
        <w:t xml:space="preserve"> </w:t>
      </w:r>
      <w:bookmarkStart w:id="13" w:name="_Hlk77949006"/>
      <w:bookmarkEnd w:id="12"/>
      <w:r w:rsidRPr="007B7234">
        <w:rPr>
          <w:rFonts w:ascii="Verdana" w:hAnsi="Verdana" w:cs="Arial"/>
          <w:color w:val="000000" w:themeColor="text1"/>
          <w:lang w:val="es-ES" w:eastAsia="es-ES" w:bidi="es-ES"/>
        </w:rPr>
        <w:t>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w:t>
      </w:r>
      <w:r w:rsidRPr="007B7234">
        <w:rPr>
          <w:rFonts w:ascii="Verdana" w:hAnsi="Verdana" w:cs="Arial"/>
          <w:color w:val="000000" w:themeColor="text1"/>
          <w:vertAlign w:val="superscript"/>
          <w:lang w:val="es-ES" w:eastAsia="es-ES" w:bidi="es-ES"/>
        </w:rPr>
        <w:footnoteReference w:id="7"/>
      </w:r>
      <w:r w:rsidRPr="007B7234">
        <w:rPr>
          <w:rFonts w:ascii="Verdana" w:hAnsi="Verdana" w:cs="Arial"/>
          <w:color w:val="000000" w:themeColor="text1"/>
          <w:lang w:val="es-ES" w:eastAsia="es-ES" w:bidi="es-ES"/>
        </w:rPr>
        <w:t>, de conformidad con el artículo 13 de la Ley 1150 de 2007</w:t>
      </w:r>
      <w:r w:rsidRPr="007B7234">
        <w:rPr>
          <w:rFonts w:ascii="Verdana" w:hAnsi="Verdana" w:cs="Arial"/>
          <w:color w:val="000000" w:themeColor="text1"/>
          <w:vertAlign w:val="superscript"/>
          <w:lang w:val="es-ES" w:eastAsia="es-ES" w:bidi="es-ES"/>
        </w:rPr>
        <w:footnoteReference w:id="8"/>
      </w:r>
      <w:r w:rsidRPr="007B7234">
        <w:rPr>
          <w:rFonts w:ascii="Verdana" w:hAnsi="Verdana" w:cs="Arial"/>
          <w:color w:val="000000" w:themeColor="text1"/>
          <w:lang w:val="es-ES" w:eastAsia="es-ES" w:bidi="es-ES"/>
        </w:rPr>
        <w:t xml:space="preserve">. </w:t>
      </w:r>
    </w:p>
    <w:bookmarkEnd w:id="13"/>
    <w:p w14:paraId="160EC4DA" w14:textId="77777777" w:rsidR="000F3F01" w:rsidRPr="007B7234" w:rsidRDefault="000F3F01" w:rsidP="000F3F01">
      <w:pPr>
        <w:widowControl w:val="0"/>
        <w:autoSpaceDE w:val="0"/>
        <w:autoSpaceDN w:val="0"/>
        <w:spacing w:after="120" w:line="276" w:lineRule="auto"/>
        <w:ind w:firstLine="709"/>
        <w:jc w:val="both"/>
        <w:rPr>
          <w:rFonts w:ascii="Verdana" w:hAnsi="Verdana" w:cs="Arial"/>
          <w:color w:val="000000" w:themeColor="text1"/>
          <w:lang w:val="es-ES"/>
        </w:rPr>
      </w:pPr>
      <w:r w:rsidRPr="007B7234">
        <w:rPr>
          <w:rFonts w:ascii="Verdana" w:hAnsi="Verdana" w:cs="Arial"/>
          <w:color w:val="000000" w:themeColor="text1"/>
          <w:lang w:val="es-ES"/>
        </w:rPr>
        <w:lastRenderedPageBreak/>
        <w:t>La jurisprudencia del Consejo de Estado se ha pronunciado sobre la imbricación de ordenamientos que confluyen en el régimen contractual de las entidades excluidas del Estatuto General de Contratación de la Administración Pública y ha considerado que el régimen sustantivo del contrato ―derecho privado― no desvanece el sometimiento de la Administración al principio de legalidad y a los principios constitucionales.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 Pública</w:t>
      </w:r>
      <w:r w:rsidRPr="007B7234">
        <w:rPr>
          <w:rFonts w:ascii="Verdana" w:hAnsi="Verdana" w:cs="Arial"/>
          <w:color w:val="000000" w:themeColor="text1"/>
          <w:vertAlign w:val="superscript"/>
          <w:lang w:val="es-ES"/>
        </w:rPr>
        <w:footnoteReference w:id="9"/>
      </w:r>
      <w:r w:rsidRPr="007B7234">
        <w:rPr>
          <w:rFonts w:ascii="Verdana" w:hAnsi="Verdana" w:cs="Arial"/>
          <w:color w:val="000000" w:themeColor="text1"/>
          <w:lang w:val="es-ES"/>
        </w:rPr>
        <w:t xml:space="preserve">.     </w:t>
      </w:r>
    </w:p>
    <w:p w14:paraId="4FA294B2" w14:textId="77777777" w:rsidR="000F3F01" w:rsidRPr="007B7234" w:rsidRDefault="000F3F01" w:rsidP="000F3F01">
      <w:pPr>
        <w:widowControl w:val="0"/>
        <w:autoSpaceDE w:val="0"/>
        <w:autoSpaceDN w:val="0"/>
        <w:spacing w:line="276" w:lineRule="auto"/>
        <w:ind w:firstLine="709"/>
        <w:jc w:val="both"/>
        <w:rPr>
          <w:rFonts w:ascii="Verdana" w:hAnsi="Verdana" w:cs="Arial"/>
          <w:color w:val="000000" w:themeColor="text1"/>
          <w:lang w:val="es-ES"/>
        </w:rPr>
      </w:pPr>
      <w:bookmarkStart w:id="14" w:name="_Hlk77949048"/>
      <w:r w:rsidRPr="007B7234">
        <w:rPr>
          <w:rFonts w:ascii="Verdana" w:hAnsi="Verdana" w:cs="Arial"/>
          <w:color w:val="000000" w:themeColor="text1"/>
          <w:lang w:val="es-ES"/>
        </w:rPr>
        <w:t xml:space="preserve">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bookmarkEnd w:id="14"/>
    <w:p w14:paraId="2B2F3EAA" w14:textId="77777777" w:rsidR="000F3F01" w:rsidRPr="007B7234" w:rsidRDefault="000F3F01" w:rsidP="000F3F01">
      <w:pPr>
        <w:spacing w:line="276" w:lineRule="auto"/>
        <w:jc w:val="both"/>
        <w:rPr>
          <w:rFonts w:ascii="Verdana" w:eastAsia="Calibri" w:hAnsi="Verdana" w:cs="Arial"/>
          <w:b/>
          <w:color w:val="000000" w:themeColor="text1"/>
        </w:rPr>
      </w:pPr>
    </w:p>
    <w:p w14:paraId="4E83DCF8" w14:textId="77777777" w:rsidR="000F3F01" w:rsidRPr="007B7234" w:rsidRDefault="000F3F01" w:rsidP="000F3F01">
      <w:pPr>
        <w:spacing w:line="276" w:lineRule="auto"/>
        <w:jc w:val="both"/>
        <w:rPr>
          <w:rFonts w:ascii="Verdana" w:eastAsia="Calibri" w:hAnsi="Verdana" w:cs="Arial"/>
          <w:b/>
          <w:color w:val="000000" w:themeColor="text1"/>
        </w:rPr>
      </w:pPr>
      <w:r>
        <w:rPr>
          <w:rFonts w:ascii="Verdana" w:eastAsia="Calibri" w:hAnsi="Verdana" w:cs="Arial"/>
          <w:b/>
          <w:color w:val="000000" w:themeColor="text1"/>
        </w:rPr>
        <w:t>3</w:t>
      </w:r>
      <w:r w:rsidRPr="007B7234">
        <w:rPr>
          <w:rFonts w:ascii="Verdana" w:eastAsia="Calibri" w:hAnsi="Verdana" w:cs="Arial"/>
          <w:b/>
          <w:color w:val="000000" w:themeColor="text1"/>
        </w:rPr>
        <w:t>.</w:t>
      </w:r>
      <w:bookmarkStart w:id="15" w:name="_Hlk77085451"/>
      <w:r w:rsidRPr="007B7234">
        <w:rPr>
          <w:rFonts w:ascii="Verdana" w:eastAsia="Calibri" w:hAnsi="Verdana" w:cs="Arial"/>
          <w:b/>
          <w:color w:val="000000" w:themeColor="text1"/>
        </w:rPr>
        <w:t xml:space="preserve">2. Los convenios o contratos interadministrativos y su regulación </w:t>
      </w:r>
      <w:bookmarkEnd w:id="15"/>
    </w:p>
    <w:p w14:paraId="33C0EE6F" w14:textId="77777777" w:rsidR="000F3F01" w:rsidRPr="007B7234" w:rsidRDefault="000F3F01" w:rsidP="000F3F01">
      <w:pPr>
        <w:tabs>
          <w:tab w:val="left" w:pos="426"/>
        </w:tabs>
        <w:spacing w:after="120" w:line="276" w:lineRule="auto"/>
        <w:jc w:val="both"/>
        <w:rPr>
          <w:rFonts w:ascii="Verdana" w:eastAsia="Calibri" w:hAnsi="Verdana" w:cs="Arial"/>
          <w:bCs/>
        </w:rPr>
      </w:pPr>
      <w:r>
        <w:rPr>
          <w:rFonts w:ascii="Verdana" w:eastAsia="Calibri" w:hAnsi="Verdana" w:cs="Arial"/>
          <w:bCs/>
        </w:rPr>
        <w:tab/>
      </w:r>
      <w:r w:rsidRPr="007B7234">
        <w:rPr>
          <w:rFonts w:ascii="Verdana" w:eastAsia="Calibri" w:hAnsi="Verdana" w:cs="Arial"/>
          <w:bCs/>
        </w:rPr>
        <w:t>Los convenios o contratos interadministrativos son figuras contractuales mencionadas en la Ley 80 de 1993, aunque esta no las definió ni las desarrolló. En</w:t>
      </w:r>
      <w:r w:rsidRPr="007B7234">
        <w:rPr>
          <w:rFonts w:ascii="Verdana" w:eastAsia="Calibri" w:hAnsi="Verdana" w:cs="Arial"/>
        </w:rPr>
        <w:t xml:space="preserve"> sus disposiciones originales utilizó aisladamente la expresión </w:t>
      </w:r>
      <w:r>
        <w:rPr>
          <w:rFonts w:ascii="Verdana" w:eastAsia="Calibri" w:hAnsi="Verdana" w:cs="Arial"/>
        </w:rPr>
        <w:t>“</w:t>
      </w:r>
      <w:r w:rsidRPr="007B7234">
        <w:rPr>
          <w:rFonts w:ascii="Verdana" w:eastAsia="Calibri" w:hAnsi="Verdana" w:cs="Arial"/>
        </w:rPr>
        <w:t>interadministrativos</w:t>
      </w:r>
      <w:r>
        <w:rPr>
          <w:rFonts w:ascii="Verdana" w:eastAsia="Calibri" w:hAnsi="Verdana" w:cs="Arial"/>
        </w:rPr>
        <w:t>”</w:t>
      </w:r>
      <w:r w:rsidRPr="007B7234">
        <w:rPr>
          <w:rFonts w:ascii="Verdana" w:eastAsia="Calibri" w:hAnsi="Verdana" w:cs="Arial"/>
        </w:rPr>
        <w:t xml:space="preserve"> para indicar que la modalidad de selección para celebrar los convenios o contratos de esa denominación es la de contratación directa –en el artículo 24, núm. 1, literal c–; los eximió de la constitución de las garantías </w:t>
      </w:r>
      <w:r w:rsidRPr="007B7234">
        <w:rPr>
          <w:rFonts w:ascii="Verdana" w:eastAsia="Calibri" w:hAnsi="Verdana" w:cs="Arial"/>
        </w:rPr>
        <w:lastRenderedPageBreak/>
        <w:t>para cubrir los riesgos derivados del incumplimiento de las obligaciones surgidas de los mismos –artículo 25, núm. 19, subrogado por el artículo 7 de la Ley 1150 de 2007– y prohibió en ellos, la utilización de las cláusulas excepcionales al derecho común –en el artículo 14, numeral 2, parágrafo</w:t>
      </w:r>
      <w:r w:rsidRPr="007B7234">
        <w:rPr>
          <w:rFonts w:ascii="Verdana" w:eastAsia="Calibri" w:hAnsi="Verdana" w:cs="Arial"/>
          <w:vertAlign w:val="superscript"/>
        </w:rPr>
        <w:footnoteReference w:id="10"/>
      </w:r>
      <w:r w:rsidRPr="007B7234">
        <w:rPr>
          <w:rFonts w:ascii="Verdana" w:eastAsia="Calibri" w:hAnsi="Verdana" w:cs="Arial"/>
        </w:rPr>
        <w:t>–. Sin embargo, se reitera, en ninguna de sus disposiciones, definió los contratos y los convenios interadministrativos.</w:t>
      </w:r>
      <w:r w:rsidRPr="007B7234">
        <w:rPr>
          <w:rFonts w:ascii="Verdana" w:eastAsia="Calibri" w:hAnsi="Verdana" w:cs="Arial"/>
          <w:bCs/>
        </w:rPr>
        <w:t xml:space="preserve"> </w:t>
      </w:r>
    </w:p>
    <w:p w14:paraId="0B87F816" w14:textId="77777777" w:rsidR="000F3F01" w:rsidRPr="007B7234" w:rsidRDefault="000F3F01" w:rsidP="000F3F01">
      <w:pPr>
        <w:tabs>
          <w:tab w:val="left" w:pos="426"/>
        </w:tabs>
        <w:spacing w:after="120" w:line="276" w:lineRule="auto"/>
        <w:ind w:firstLine="709"/>
        <w:jc w:val="both"/>
        <w:rPr>
          <w:rFonts w:ascii="Verdana" w:eastAsia="Calibri" w:hAnsi="Verdana" w:cs="Arial"/>
          <w:bCs/>
        </w:rPr>
      </w:pPr>
      <w:r w:rsidRPr="007B7234">
        <w:rPr>
          <w:rFonts w:ascii="Verdana" w:hAnsi="Verdana" w:cs="Arial"/>
          <w:lang w:eastAsia="es-ES"/>
        </w:rPr>
        <w:t>Sin perjuicio de lo anterior,</w:t>
      </w:r>
      <w:r w:rsidRPr="007B7234">
        <w:rPr>
          <w:rFonts w:ascii="Verdana" w:eastAsia="Calibri" w:hAnsi="Verdana" w:cs="Arial"/>
          <w:bCs/>
        </w:rPr>
        <w:t xml:space="preserve"> el Decreto 1082 de 2015, </w:t>
      </w:r>
      <w:r>
        <w:rPr>
          <w:rFonts w:ascii="Verdana" w:eastAsia="Calibri" w:hAnsi="Verdana" w:cs="Arial"/>
        </w:rPr>
        <w:t>“</w:t>
      </w:r>
      <w:r w:rsidRPr="007B7234">
        <w:rPr>
          <w:rFonts w:ascii="Verdana" w:eastAsia="Calibri" w:hAnsi="Verdana" w:cs="Arial"/>
        </w:rPr>
        <w:t>Por medio del cual se expide el Decreto único reglamentario del sector administrativo de planeación nacional</w:t>
      </w:r>
      <w:r>
        <w:rPr>
          <w:rFonts w:ascii="Verdana" w:eastAsia="Calibri" w:hAnsi="Verdana" w:cs="Arial"/>
        </w:rPr>
        <w:t>”</w:t>
      </w:r>
      <w:r w:rsidRPr="007B7234">
        <w:rPr>
          <w:rFonts w:ascii="Verdana" w:eastAsia="Calibri" w:hAnsi="Verdana" w:cs="Arial"/>
        </w:rPr>
        <w:t xml:space="preserve">, </w:t>
      </w:r>
      <w:r w:rsidRPr="007B7234">
        <w:rPr>
          <w:rFonts w:ascii="Verdana" w:eastAsia="Calibri" w:hAnsi="Verdana" w:cs="Arial"/>
          <w:bCs/>
        </w:rPr>
        <w:t>calificó a los convenios o contratos interadministrativos como aquella contratación entre entidades estatales</w:t>
      </w:r>
      <w:r w:rsidRPr="007B7234">
        <w:rPr>
          <w:rFonts w:ascii="Verdana" w:eastAsia="Calibri" w:hAnsi="Verdana" w:cs="Arial"/>
          <w:vertAlign w:val="superscript"/>
        </w:rPr>
        <w:footnoteReference w:id="11"/>
      </w:r>
      <w:r w:rsidRPr="007B7234">
        <w:rPr>
          <w:rFonts w:ascii="Verdana" w:eastAsia="Calibri" w:hAnsi="Verdana" w:cs="Arial"/>
        </w:rPr>
        <w:t>.</w:t>
      </w:r>
      <w:r w:rsidRPr="007B7234">
        <w:rPr>
          <w:rFonts w:ascii="Verdana" w:eastAsia="Calibri" w:hAnsi="Verdana" w:cs="Arial"/>
          <w:bCs/>
        </w:rPr>
        <w:t xml:space="preserve"> </w:t>
      </w:r>
      <w:r w:rsidRPr="007B7234">
        <w:rPr>
          <w:rFonts w:ascii="Verdana" w:eastAsia="Calibri" w:hAnsi="Verdana" w:cs="Arial"/>
        </w:rPr>
        <w:t>De esta manera, los convenios o contratos interadministrativos, nominados así en la Ley 80 de 1993 están determinados por un criterio orgánico o subjetivo, pues es necesario que los extremos de la relación contractual sean entidades estatales.</w:t>
      </w:r>
    </w:p>
    <w:p w14:paraId="7A451CB6" w14:textId="77777777" w:rsidR="000F3F01" w:rsidRPr="00A32E49" w:rsidRDefault="000F3F01" w:rsidP="000F3F01">
      <w:pPr>
        <w:spacing w:line="276" w:lineRule="auto"/>
        <w:ind w:firstLine="709"/>
        <w:jc w:val="both"/>
        <w:rPr>
          <w:rFonts w:ascii="Verdana" w:eastAsia="Calibri" w:hAnsi="Verdana" w:cs="Arial"/>
          <w:color w:val="000000" w:themeColor="text1"/>
        </w:rPr>
      </w:pPr>
      <w:r w:rsidRPr="007B7234">
        <w:rPr>
          <w:rFonts w:ascii="Verdana" w:eastAsia="Calibri" w:hAnsi="Verdana" w:cs="Arial"/>
          <w:color w:val="000000" w:themeColor="text1"/>
        </w:rPr>
        <w:t xml:space="preserve">Ahora bien, </w:t>
      </w:r>
      <w:bookmarkStart w:id="16" w:name="_Hlk77949245"/>
      <w:r w:rsidRPr="007B7234">
        <w:rPr>
          <w:rFonts w:ascii="Verdana" w:eastAsia="Calibri" w:hAnsi="Verdana" w:cs="Arial"/>
          <w:color w:val="000000" w:themeColor="text1"/>
        </w:rPr>
        <w:t>el hecho de que estos negocios jurídicos estén previstos en el Estatuto General de Contratación de la Administración Pública y en el Decreto en el 1082 de 2015, no quiere decir que solo puedan celebrarse entre entidades estatales que apliquen el régimen de contratación allí previsto, pues bien puede una entidad estatal de Ley 80 de 1993 celebrar esta clase de convenios con una entidad estatal exceptuada de esta y con régimen especial de contratación y no por ello dejará de ser un contrato o convenio interadministrativo, conforme se establece en el literal c), numeral 4 del artículo 2 de la Ley 1150 de 2007</w:t>
      </w:r>
      <w:r w:rsidRPr="007B7234">
        <w:rPr>
          <w:rFonts w:ascii="Verdana" w:hAnsi="Verdana"/>
        </w:rPr>
        <w:t xml:space="preserve"> –</w:t>
      </w:r>
      <w:r w:rsidRPr="007B7234">
        <w:rPr>
          <w:rFonts w:ascii="Verdana" w:eastAsia="Calibri" w:hAnsi="Verdana" w:cs="Arial"/>
          <w:color w:val="000000" w:themeColor="text1"/>
        </w:rPr>
        <w:t>modificada por los artículos 92 y 95 de la Ley 1474 de 2011–:</w:t>
      </w:r>
      <w:bookmarkEnd w:id="16"/>
    </w:p>
    <w:p w14:paraId="486B5F36" w14:textId="77777777" w:rsidR="000F3F01" w:rsidRPr="007B7234" w:rsidRDefault="000F3F01" w:rsidP="000F3F01">
      <w:pPr>
        <w:ind w:left="709" w:right="709"/>
        <w:jc w:val="both"/>
        <w:rPr>
          <w:rFonts w:ascii="Verdana" w:hAnsi="Verdana" w:cs="Arial"/>
          <w:color w:val="000000" w:themeColor="text1"/>
        </w:rPr>
      </w:pPr>
      <w:r w:rsidRPr="007B7234">
        <w:rPr>
          <w:rStyle w:val="Textoennegrita"/>
          <w:rFonts w:ascii="Verdana" w:hAnsi="Verdana" w:cs="Arial"/>
          <w:color w:val="000000" w:themeColor="text1"/>
        </w:rPr>
        <w:lastRenderedPageBreak/>
        <w:t>Artículo 2</w:t>
      </w:r>
      <w:r w:rsidRPr="007B7234">
        <w:rPr>
          <w:rStyle w:val="Textoennegrita"/>
          <w:rFonts w:ascii="Verdana" w:hAnsi="Verdana" w:cs="Arial"/>
          <w:i/>
          <w:iCs/>
          <w:color w:val="000000" w:themeColor="text1"/>
        </w:rPr>
        <w:t>°.</w:t>
      </w:r>
      <w:r w:rsidRPr="007B7234">
        <w:rPr>
          <w:rStyle w:val="nfasis"/>
          <w:rFonts w:ascii="Verdana" w:hAnsi="Verdana" w:cs="Arial"/>
          <w:color w:val="000000" w:themeColor="text1"/>
        </w:rPr>
        <w:t xml:space="preserve"> De las modalidades de selección. </w:t>
      </w:r>
      <w:r w:rsidRPr="007B7234">
        <w:rPr>
          <w:rFonts w:ascii="Verdana" w:hAnsi="Verdana" w:cs="Arial"/>
          <w:color w:val="000000" w:themeColor="text1"/>
        </w:rPr>
        <w:t>La escogencia del contratista se efectuará con arreglo a las modalidades de selección de licitación pública, selección abreviada, concurso de méritos y contratación directa, con base en las siguientes reglas: </w:t>
      </w:r>
    </w:p>
    <w:p w14:paraId="5A308670" w14:textId="77777777" w:rsidR="000F3F01" w:rsidRPr="007B7234" w:rsidRDefault="000F3F01" w:rsidP="000F3F01">
      <w:pPr>
        <w:ind w:left="1" w:right="709" w:firstLine="708"/>
        <w:jc w:val="both"/>
        <w:rPr>
          <w:rFonts w:ascii="Verdana" w:hAnsi="Verdana" w:cs="Arial"/>
          <w:color w:val="000000" w:themeColor="text1"/>
        </w:rPr>
      </w:pPr>
      <w:r w:rsidRPr="007B7234">
        <w:rPr>
          <w:rFonts w:ascii="Verdana" w:hAnsi="Verdana" w:cs="Arial"/>
          <w:color w:val="000000" w:themeColor="text1"/>
        </w:rPr>
        <w:t>[…]</w:t>
      </w:r>
    </w:p>
    <w:p w14:paraId="12A25F24" w14:textId="77777777" w:rsidR="000F3F01" w:rsidRPr="007B7234" w:rsidRDefault="000F3F01" w:rsidP="000F3F01">
      <w:pPr>
        <w:ind w:left="709" w:right="709"/>
        <w:jc w:val="both"/>
        <w:rPr>
          <w:rFonts w:ascii="Verdana" w:hAnsi="Verdana" w:cs="Arial"/>
          <w:color w:val="000000" w:themeColor="text1"/>
        </w:rPr>
      </w:pPr>
      <w:r>
        <w:rPr>
          <w:rFonts w:ascii="Verdana" w:hAnsi="Verdana" w:cs="Arial"/>
          <w:color w:val="000000" w:themeColor="text1"/>
        </w:rPr>
        <w:t>“</w:t>
      </w:r>
      <w:r w:rsidRPr="007B7234">
        <w:rPr>
          <w:rFonts w:ascii="Verdana" w:hAnsi="Verdana" w:cs="Arial"/>
          <w:color w:val="000000" w:themeColor="text1"/>
        </w:rPr>
        <w:t>4. </w:t>
      </w:r>
      <w:r w:rsidRPr="007B7234">
        <w:rPr>
          <w:rStyle w:val="Textoennegrita"/>
          <w:rFonts w:ascii="Verdana" w:hAnsi="Verdana" w:cs="Arial"/>
          <w:color w:val="000000" w:themeColor="text1"/>
        </w:rPr>
        <w:t>Contratación directa. </w:t>
      </w:r>
      <w:r w:rsidRPr="007B7234">
        <w:rPr>
          <w:rFonts w:ascii="Verdana" w:hAnsi="Verdana" w:cs="Arial"/>
          <w:color w:val="000000" w:themeColor="text1"/>
        </w:rPr>
        <w:t>La modalidad de selección de contratación directa solamente procederá en los siguientes casos: </w:t>
      </w:r>
    </w:p>
    <w:p w14:paraId="7A28A37E" w14:textId="77777777" w:rsidR="000F3F01" w:rsidRPr="00E430B9" w:rsidRDefault="000F3F01" w:rsidP="000F3F01">
      <w:pPr>
        <w:ind w:right="709" w:firstLine="708"/>
        <w:jc w:val="both"/>
        <w:rPr>
          <w:rFonts w:ascii="Verdana" w:eastAsia="Calibri" w:hAnsi="Verdana" w:cs="Arial"/>
          <w:color w:val="000000" w:themeColor="text1"/>
        </w:rPr>
      </w:pPr>
      <w:r w:rsidRPr="007B7234">
        <w:rPr>
          <w:rFonts w:ascii="Verdana" w:eastAsia="Calibri" w:hAnsi="Verdana" w:cs="Arial"/>
          <w:color w:val="000000" w:themeColor="text1"/>
        </w:rPr>
        <w:t>[…]</w:t>
      </w:r>
    </w:p>
    <w:p w14:paraId="04151A8E" w14:textId="77777777" w:rsidR="000F3F01" w:rsidRPr="007B7234" w:rsidRDefault="000F3F01" w:rsidP="000F3F01">
      <w:pPr>
        <w:ind w:left="709" w:right="709"/>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w:t>
      </w:r>
      <w:r w:rsidRPr="007B7234">
        <w:rPr>
          <w:rFonts w:ascii="Verdana" w:eastAsia="Times New Roman" w:hAnsi="Verdana" w:cs="Arial"/>
          <w:color w:val="000000" w:themeColor="text1"/>
          <w:lang w:eastAsia="es-CO"/>
        </w:rPr>
        <w:t>c) Contratos interadministrativos, siempre que las obligaciones derivadas del mismo tengan relación directa con el objeto de la entidad ejecutora señalado en la ley o en sus reglamentos.  </w:t>
      </w:r>
    </w:p>
    <w:p w14:paraId="38A85DC7" w14:textId="77777777" w:rsidR="000F3F01" w:rsidRPr="007B7234" w:rsidRDefault="000F3F01" w:rsidP="000F3F01">
      <w:pPr>
        <w:ind w:left="709" w:right="709"/>
        <w:jc w:val="both"/>
        <w:rPr>
          <w:rFonts w:ascii="Verdana" w:eastAsia="Times New Roman" w:hAnsi="Verdana" w:cs="Arial"/>
          <w:color w:val="000000" w:themeColor="text1"/>
          <w:lang w:eastAsia="es-CO"/>
        </w:rPr>
      </w:pPr>
      <w:proofErr w:type="gramStart"/>
      <w:r>
        <w:rPr>
          <w:rFonts w:ascii="Verdana" w:eastAsia="Times New Roman" w:hAnsi="Verdana" w:cs="Arial"/>
          <w:color w:val="000000" w:themeColor="text1"/>
          <w:lang w:eastAsia="es-CO"/>
        </w:rPr>
        <w:t>“</w:t>
      </w:r>
      <w:r w:rsidRPr="007B7234">
        <w:rPr>
          <w:rFonts w:ascii="Verdana" w:eastAsia="Times New Roman" w:hAnsi="Verdana" w:cs="Arial"/>
          <w:color w:val="000000" w:themeColor="text1"/>
          <w:lang w:eastAsia="es-CO"/>
        </w:rPr>
        <w:t xml:space="preserve"> Se</w:t>
      </w:r>
      <w:proofErr w:type="gramEnd"/>
      <w:r w:rsidRPr="007B7234">
        <w:rPr>
          <w:rFonts w:ascii="Verdana" w:eastAsia="Times New Roman" w:hAnsi="Verdana" w:cs="Arial"/>
          <w:color w:val="000000" w:themeColor="text1"/>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w:t>
      </w:r>
      <w:bookmarkStart w:id="17" w:name="_Hlk74754842"/>
      <w:r w:rsidRPr="007B7234">
        <w:rPr>
          <w:rFonts w:ascii="Verdana" w:eastAsia="Times New Roman" w:hAnsi="Verdana" w:cs="Arial"/>
          <w:color w:val="000000" w:themeColor="text1"/>
          <w:lang w:eastAsia="es-CO"/>
        </w:rPr>
        <w:t xml:space="preserve">las personas jurídicas sin ánimo de lucro conformadas por la asociación de entidades públicas, o las federaciones de entidades territoriales sean las ejecutoras. </w:t>
      </w:r>
      <w:bookmarkEnd w:id="17"/>
      <w:r w:rsidRPr="007B7234">
        <w:rPr>
          <w:rFonts w:ascii="Verdana" w:eastAsia="Times New Roman" w:hAnsi="Verdana" w:cs="Arial"/>
          <w:color w:val="000000" w:themeColor="text1"/>
          <w:lang w:eastAsia="es-CO"/>
        </w:rPr>
        <w:t>Estos contratos podrán ser ejecutados por las mismas, siempre que participen en procesos de licitación pública o contratación abreviada de acuerdo con lo dispuesto por los numerales 1 y 2 del presente artículo.  </w:t>
      </w:r>
    </w:p>
    <w:p w14:paraId="2E226ADE" w14:textId="77777777" w:rsidR="000F3F01" w:rsidRPr="007B7234" w:rsidRDefault="000F3F01" w:rsidP="000F3F01">
      <w:pPr>
        <w:ind w:right="709" w:firstLine="708"/>
        <w:jc w:val="both"/>
        <w:rPr>
          <w:rFonts w:ascii="Verdana" w:eastAsia="Times New Roman" w:hAnsi="Verdana" w:cs="Arial"/>
          <w:color w:val="000000" w:themeColor="text1"/>
          <w:lang w:eastAsia="es-CO"/>
        </w:rPr>
      </w:pPr>
      <w:r w:rsidRPr="007B7234">
        <w:rPr>
          <w:rFonts w:ascii="Verdana" w:eastAsia="Times New Roman" w:hAnsi="Verdana" w:cs="Arial"/>
          <w:color w:val="000000" w:themeColor="text1"/>
          <w:lang w:eastAsia="es-C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796A9CBD" w14:textId="77777777" w:rsidR="000F3F01" w:rsidRPr="007B7234" w:rsidRDefault="000F3F01" w:rsidP="000F3F01">
      <w:pPr>
        <w:ind w:right="709" w:firstLine="708"/>
        <w:jc w:val="both"/>
        <w:rPr>
          <w:rFonts w:ascii="Verdana" w:eastAsia="Times New Roman" w:hAnsi="Verdana" w:cs="Arial"/>
          <w:color w:val="000000" w:themeColor="text1"/>
          <w:lang w:eastAsia="es-CO"/>
        </w:rPr>
      </w:pPr>
      <w:r w:rsidRPr="007B7234">
        <w:rPr>
          <w:rFonts w:ascii="Verdana" w:eastAsia="Times New Roman" w:hAnsi="Verdana" w:cs="Arial"/>
          <w:color w:val="000000" w:themeColor="text1"/>
          <w:lang w:eastAsia="es-CO"/>
        </w:rPr>
        <w:t xml:space="preserve">En aquellos casos en que la entidad estatal ejecutora deba subcontratar algunas de las actividades derivadas del contrato principal, no podrá ni ella ni el subcontratista, contratar o vincular a las personas naturales o jurídicas que hayan participado en la elaboración de los </w:t>
      </w:r>
      <w:r w:rsidRPr="007B7234">
        <w:rPr>
          <w:rFonts w:ascii="Verdana" w:eastAsia="Times New Roman" w:hAnsi="Verdana" w:cs="Arial"/>
          <w:color w:val="000000" w:themeColor="text1"/>
          <w:lang w:eastAsia="es-CO"/>
        </w:rPr>
        <w:lastRenderedPageBreak/>
        <w:t>estudios, diseños y proyectos que tengan relación directa con el objeto del contrato principal. </w:t>
      </w:r>
    </w:p>
    <w:p w14:paraId="0A0BF38D" w14:textId="77777777" w:rsidR="000F3F01" w:rsidRPr="007B7234" w:rsidRDefault="000F3F01" w:rsidP="000F3F01">
      <w:pPr>
        <w:spacing w:after="120" w:line="276" w:lineRule="auto"/>
        <w:ind w:firstLine="708"/>
        <w:jc w:val="both"/>
        <w:rPr>
          <w:rFonts w:ascii="Verdana" w:eastAsia="Calibri" w:hAnsi="Verdana" w:cs="Arial"/>
          <w:color w:val="000000" w:themeColor="text1"/>
        </w:rPr>
      </w:pPr>
      <w:r w:rsidRPr="007B7234">
        <w:rPr>
          <w:rFonts w:ascii="Verdana" w:eastAsia="Calibri" w:hAnsi="Verdana" w:cs="Arial"/>
          <w:color w:val="000000" w:themeColor="text1"/>
        </w:rPr>
        <w:t>El artículo 2 de la Ley 1150 de 2007 en principio está dirigido a regular las modalidades de selección aplicables a los diferentes tipos de contratos estatales. Sin embargo, al referirse a los contratos interadministrativos no solo dispone reglas de selección, sino que también establece la forma para determinar el régimen aplicable a la ejecución de los pactos celebrados bajo esta modalidad contractual.</w:t>
      </w:r>
    </w:p>
    <w:p w14:paraId="078B297D" w14:textId="77777777" w:rsidR="000F3F01" w:rsidRPr="007B7234" w:rsidRDefault="000F3F01" w:rsidP="000F3F01">
      <w:pPr>
        <w:spacing w:line="276" w:lineRule="auto"/>
        <w:ind w:firstLine="708"/>
        <w:jc w:val="both"/>
        <w:rPr>
          <w:rFonts w:ascii="Verdana" w:hAnsi="Verdana" w:cs="Arial"/>
        </w:rPr>
      </w:pPr>
      <w:r w:rsidRPr="007B7234">
        <w:rPr>
          <w:rFonts w:ascii="Verdana" w:eastAsia="Calibri" w:hAnsi="Verdana" w:cs="Arial"/>
          <w:color w:val="000000" w:themeColor="text1"/>
        </w:rPr>
        <w:t xml:space="preserve"> En efecto, la regla contenida en el numeral 4 –literal c., inciso tercero– indica que en los casos </w:t>
      </w:r>
      <w:r w:rsidRPr="007B7234">
        <w:rPr>
          <w:rFonts w:ascii="Verdana" w:hAnsi="Verdana" w:cs="Arial"/>
          <w:color w:val="000000" w:themeColor="text1"/>
        </w:rPr>
        <w:t xml:space="preserve">en que el régimen aplicable a la contratación de la entidad ejecutora no sea el de la Ley 80 de 1993, la ejecución de dichos contratos estará sometida a dicha ley, salvo que la entidad ejecutora desarrolle su actividad en competencia con el sector privado o cuando la ejecución del contrato interadministrativo tenga relación directa con el desarrollo de la actividad de la entidad ejecutora. </w:t>
      </w:r>
      <w:r w:rsidRPr="007B7234">
        <w:rPr>
          <w:rFonts w:ascii="Verdana" w:hAnsi="Verdana" w:cs="Arial"/>
        </w:rPr>
        <w:t>La Sala de Consulta y Servicio Civil del Consejo de Estado ha señalado, a propósito de las reglas para los contratos interadministrativos, lo siguiente</w:t>
      </w:r>
      <w:bookmarkStart w:id="18" w:name="_Hlk74824807"/>
      <w:r w:rsidRPr="007B7234">
        <w:rPr>
          <w:rStyle w:val="Refdenotaalpie"/>
          <w:rFonts w:ascii="Verdana" w:hAnsi="Verdana" w:cs="Arial"/>
        </w:rPr>
        <w:footnoteReference w:id="12"/>
      </w:r>
      <w:r w:rsidRPr="007B7234">
        <w:rPr>
          <w:rFonts w:ascii="Verdana" w:hAnsi="Verdana" w:cs="Arial"/>
        </w:rPr>
        <w:t>:</w:t>
      </w:r>
      <w:bookmarkEnd w:id="18"/>
      <w:r w:rsidRPr="007B7234">
        <w:rPr>
          <w:rFonts w:ascii="Verdana" w:hAnsi="Verdana" w:cs="Arial"/>
        </w:rPr>
        <w:t xml:space="preserve"> </w:t>
      </w:r>
    </w:p>
    <w:p w14:paraId="00C35BE8" w14:textId="77777777" w:rsidR="000F3F01" w:rsidRDefault="000F3F01" w:rsidP="000F3F01">
      <w:pPr>
        <w:pStyle w:val="Prrafodelista"/>
        <w:ind w:left="709" w:right="709"/>
        <w:jc w:val="both"/>
        <w:rPr>
          <w:rFonts w:ascii="Verdana" w:eastAsia="Times New Roman" w:hAnsi="Verdana" w:cs="Arial"/>
          <w:color w:val="000000" w:themeColor="text1"/>
          <w:sz w:val="20"/>
          <w:szCs w:val="20"/>
          <w:lang w:eastAsia="es-CO"/>
        </w:rPr>
      </w:pPr>
      <w:r w:rsidRPr="005F6743">
        <w:rPr>
          <w:rFonts w:ascii="Verdana" w:eastAsia="Times New Roman" w:hAnsi="Verdana" w:cs="Arial"/>
          <w:color w:val="000000" w:themeColor="text1"/>
          <w:sz w:val="20"/>
          <w:szCs w:val="20"/>
          <w:lang w:eastAsia="es-CO"/>
        </w:rPr>
        <w:t xml:space="preserve">“a. </w:t>
      </w:r>
      <w:r w:rsidRPr="005F6743">
        <w:rPr>
          <w:rFonts w:ascii="Verdana" w:eastAsia="Times New Roman" w:hAnsi="Verdana" w:cs="Arial"/>
          <w:b/>
          <w:bCs/>
          <w:color w:val="000000" w:themeColor="text1"/>
          <w:sz w:val="20"/>
          <w:szCs w:val="20"/>
          <w:lang w:eastAsia="es-CO"/>
        </w:rPr>
        <w:t>Los contratos interadministrativos, en todos los casos</w:t>
      </w:r>
      <w:r w:rsidRPr="005F6743">
        <w:rPr>
          <w:rFonts w:ascii="Verdana" w:eastAsia="Times New Roman" w:hAnsi="Verdana" w:cs="Arial"/>
          <w:color w:val="000000" w:themeColor="text1"/>
          <w:sz w:val="20"/>
          <w:szCs w:val="20"/>
          <w:lang w:eastAsia="es-CO"/>
        </w:rPr>
        <w:t xml:space="preserve"> (contratación directa y aún en los eventos en que se ordene que sean el resultado de una licitación pública o selección abreviada), deben tener relación directa con el objeto de la entidad ejecutora señalado en la ley o en sus reglamentos, los cuales, naturalmente, están sometidos a la ley (literal c, numeral 4, inciso primero del artículo 2º de la Ley 1150 de 2007). 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p>
    <w:p w14:paraId="61A98F4C" w14:textId="77777777" w:rsidR="000F3F01" w:rsidRPr="005F6743" w:rsidRDefault="000F3F01" w:rsidP="000F3F01">
      <w:pPr>
        <w:pStyle w:val="Prrafodelista"/>
        <w:ind w:left="709" w:right="709"/>
        <w:jc w:val="both"/>
        <w:rPr>
          <w:rFonts w:ascii="Verdana" w:eastAsia="Times New Roman" w:hAnsi="Verdana" w:cs="Arial"/>
          <w:color w:val="000000" w:themeColor="text1"/>
          <w:sz w:val="20"/>
          <w:szCs w:val="20"/>
          <w:lang w:eastAsia="es-CO"/>
        </w:rPr>
      </w:pPr>
    </w:p>
    <w:p w14:paraId="40EB4368" w14:textId="77777777" w:rsidR="000F3F01" w:rsidRPr="005F6743" w:rsidRDefault="000F3F01" w:rsidP="000F3F01">
      <w:pPr>
        <w:pStyle w:val="Prrafodelista"/>
        <w:ind w:left="709" w:right="709"/>
        <w:jc w:val="both"/>
        <w:rPr>
          <w:rFonts w:ascii="Verdana" w:eastAsia="Times New Roman" w:hAnsi="Verdana" w:cs="Arial"/>
          <w:color w:val="000000" w:themeColor="text1"/>
          <w:sz w:val="20"/>
          <w:szCs w:val="20"/>
          <w:lang w:eastAsia="es-CO"/>
        </w:rPr>
      </w:pPr>
      <w:r w:rsidRPr="005F6743">
        <w:rPr>
          <w:rFonts w:ascii="Verdana" w:eastAsia="Times New Roman" w:hAnsi="Verdana" w:cs="Arial"/>
          <w:color w:val="000000" w:themeColor="text1"/>
          <w:sz w:val="20"/>
          <w:szCs w:val="20"/>
          <w:lang w:eastAsia="es-CO"/>
        </w:rPr>
        <w:t>“ b.</w:t>
      </w:r>
      <w:r w:rsidRPr="005F6743">
        <w:rPr>
          <w:rFonts w:ascii="Verdana" w:eastAsia="Times New Roman" w:hAnsi="Verdana" w:cs="Arial"/>
          <w:b/>
          <w:bCs/>
          <w:color w:val="000000" w:themeColor="text1"/>
          <w:sz w:val="20"/>
          <w:szCs w:val="20"/>
          <w:lang w:eastAsia="es-CO"/>
        </w:rPr>
        <w:t xml:space="preserve"> La suscripción de contratos interadministrativos </w:t>
      </w:r>
      <w:bookmarkStart w:id="19" w:name="_Hlk74746442"/>
      <w:r w:rsidRPr="005F6743">
        <w:rPr>
          <w:rFonts w:ascii="Verdana" w:eastAsia="Times New Roman" w:hAnsi="Verdana" w:cs="Arial"/>
          <w:color w:val="000000" w:themeColor="text1"/>
          <w:sz w:val="20"/>
          <w:szCs w:val="20"/>
          <w:lang w:eastAsia="es-CO"/>
        </w:rPr>
        <w:t xml:space="preserve">“de obra, suministro, prestación de servicios de evaluación de conformidad respecto de las normas o reglamentos técnicos, encargos fiduciarios y fiducia </w:t>
      </w:r>
      <w:r w:rsidRPr="005F6743">
        <w:rPr>
          <w:rFonts w:ascii="Verdana" w:eastAsia="Times New Roman" w:hAnsi="Verdana" w:cs="Arial"/>
          <w:color w:val="000000" w:themeColor="text1"/>
          <w:sz w:val="20"/>
          <w:szCs w:val="20"/>
          <w:lang w:eastAsia="es-CO"/>
        </w:rPr>
        <w:lastRenderedPageBreak/>
        <w:t xml:space="preserve">pública </w:t>
      </w:r>
      <w:bookmarkStart w:id="20" w:name="_Hlk74746618"/>
      <w:bookmarkEnd w:id="19"/>
      <w:r w:rsidRPr="005F6743">
        <w:rPr>
          <w:rFonts w:ascii="Verdana" w:eastAsia="Times New Roman" w:hAnsi="Verdana" w:cs="Arial"/>
          <w:color w:val="000000" w:themeColor="text1"/>
          <w:sz w:val="20"/>
          <w:szCs w:val="20"/>
          <w:lang w:eastAsia="es-CO"/>
        </w:rPr>
        <w:t xml:space="preserve">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bookmarkEnd w:id="20"/>
      <w:r w:rsidRPr="005F6743">
        <w:rPr>
          <w:rFonts w:ascii="Verdana" w:eastAsia="Times New Roman" w:hAnsi="Verdana" w:cs="Arial"/>
          <w:color w:val="000000" w:themeColor="text1"/>
          <w:sz w:val="20"/>
          <w:szCs w:val="20"/>
          <w:lang w:eastAsia="es-CO"/>
        </w:rPr>
        <w:t xml:space="preserve">debe estar precedida de licitación pública o selección abreviada; es decir, se introdujo la prohibición para suscribir por contratación directa contratos interadministrativos de determinados objetos, de manera que para celebrar los citados contratos las entidades mencionadas deberán participar en condiciones de igualdad en cualquiera de los procesos de selección que impliquen convocatoria pública y solamente en los demás casos, podrá acudirse a la modalidad de contratación directa (literal c, inciso 2, </w:t>
      </w:r>
      <w:proofErr w:type="spellStart"/>
      <w:r w:rsidRPr="005F6743">
        <w:rPr>
          <w:rFonts w:ascii="Verdana" w:eastAsia="Times New Roman" w:hAnsi="Verdana" w:cs="Arial"/>
          <w:color w:val="000000" w:themeColor="text1"/>
          <w:sz w:val="20"/>
          <w:szCs w:val="20"/>
          <w:lang w:eastAsia="es-CO"/>
        </w:rPr>
        <w:t>ibídem</w:t>
      </w:r>
      <w:proofErr w:type="spellEnd"/>
      <w:r w:rsidRPr="005F6743">
        <w:rPr>
          <w:rFonts w:ascii="Verdana" w:eastAsia="Times New Roman" w:hAnsi="Verdana" w:cs="Arial"/>
          <w:color w:val="000000" w:themeColor="text1"/>
          <w:sz w:val="20"/>
          <w:szCs w:val="20"/>
          <w:lang w:eastAsia="es-CO"/>
        </w:rPr>
        <w:t xml:space="preserve">). </w:t>
      </w:r>
    </w:p>
    <w:p w14:paraId="1C85C832" w14:textId="77777777" w:rsidR="000F3F01" w:rsidRPr="005F6743" w:rsidRDefault="000F3F01" w:rsidP="000F3F01">
      <w:pPr>
        <w:pStyle w:val="Prrafodelista"/>
        <w:ind w:left="709" w:right="709"/>
        <w:jc w:val="both"/>
        <w:rPr>
          <w:rFonts w:ascii="Verdana" w:eastAsia="Times New Roman" w:hAnsi="Verdana" w:cs="Arial"/>
          <w:color w:val="000000" w:themeColor="text1"/>
          <w:sz w:val="20"/>
          <w:szCs w:val="20"/>
          <w:lang w:eastAsia="es-CO"/>
        </w:rPr>
      </w:pPr>
      <w:r w:rsidRPr="005F6743">
        <w:rPr>
          <w:rFonts w:ascii="Verdana" w:eastAsia="Times New Roman" w:hAnsi="Verdana" w:cs="Arial"/>
          <w:color w:val="000000" w:themeColor="text1"/>
          <w:sz w:val="20"/>
          <w:szCs w:val="20"/>
          <w:lang w:eastAsia="es-CO"/>
        </w:rPr>
        <w:t>[…]</w:t>
      </w:r>
    </w:p>
    <w:p w14:paraId="535DF0B8" w14:textId="77777777" w:rsidR="000F3F01" w:rsidRDefault="000F3F01" w:rsidP="000F3F01">
      <w:pPr>
        <w:pStyle w:val="Prrafodelista"/>
        <w:ind w:left="709" w:right="709"/>
        <w:jc w:val="both"/>
        <w:rPr>
          <w:rFonts w:ascii="Verdana" w:eastAsia="Times New Roman" w:hAnsi="Verdana" w:cs="Arial"/>
          <w:color w:val="000000" w:themeColor="text1"/>
          <w:sz w:val="20"/>
          <w:szCs w:val="20"/>
          <w:lang w:eastAsia="es-CO"/>
        </w:rPr>
      </w:pPr>
      <w:r w:rsidRPr="005F6743">
        <w:rPr>
          <w:rFonts w:ascii="Verdana" w:eastAsia="Times New Roman" w:hAnsi="Verdana" w:cs="Arial"/>
          <w:color w:val="000000" w:themeColor="text1"/>
          <w:sz w:val="20"/>
          <w:szCs w:val="20"/>
          <w:lang w:eastAsia="es-CO"/>
        </w:rPr>
        <w:t>“ c.</w:t>
      </w:r>
      <w:r w:rsidRPr="005F6743">
        <w:rPr>
          <w:rFonts w:ascii="Verdana" w:eastAsia="Times New Roman" w:hAnsi="Verdana" w:cs="Arial"/>
          <w:b/>
          <w:bCs/>
          <w:color w:val="000000" w:themeColor="text1"/>
          <w:sz w:val="20"/>
          <w:szCs w:val="20"/>
          <w:lang w:eastAsia="es-CO"/>
        </w:rPr>
        <w:t xml:space="preserve"> La ejecución de los contratos interadministrativos</w:t>
      </w:r>
      <w:r w:rsidRPr="005F6743">
        <w:rPr>
          <w:rFonts w:ascii="Verdana" w:eastAsia="Times New Roman" w:hAnsi="Verdana" w:cs="Arial"/>
          <w:color w:val="000000" w:themeColor="text1"/>
          <w:sz w:val="20"/>
          <w:szCs w:val="20"/>
          <w:lang w:eastAsia="es-CO"/>
        </w:rPr>
        <w:t xml:space="preserve"> quedó sometida, por regla general, al Estatuto General de Contratación Pública, salvo los casos en que la entidad ejecutora actúa en régimen de competencia con el sector privado o cuando el contrato tenga relación directa con su actividad (modificación introducida por el artículo 95 de la Ley 1474 de 2011 al inciso 2º literal c del numeral 4 del artículo 2 de la Ley 1150 de 2007); dicho de otro modo, solamente si se da esa relación inmediata entre el objeto del contrato y la actividad propia de la entidad ejecutora, tal como debe ser, la ejecución del respectivo contrato interadministrativo podrá hacerse bajo las reglas de derecho diferentes a la Ley 80 de 1993 y demás normas que la modifiquen o adicionen.</w:t>
      </w:r>
    </w:p>
    <w:p w14:paraId="55E8926B" w14:textId="77777777" w:rsidR="000F3F01" w:rsidRPr="005F6743" w:rsidRDefault="000F3F01" w:rsidP="000F3F01">
      <w:pPr>
        <w:pStyle w:val="Prrafodelista"/>
        <w:ind w:left="709" w:right="709"/>
        <w:jc w:val="both"/>
        <w:rPr>
          <w:rFonts w:ascii="Verdana" w:eastAsia="Times New Roman" w:hAnsi="Verdana" w:cs="Arial"/>
          <w:color w:val="000000" w:themeColor="text1"/>
          <w:sz w:val="20"/>
          <w:szCs w:val="20"/>
          <w:lang w:eastAsia="es-CO"/>
        </w:rPr>
      </w:pPr>
    </w:p>
    <w:p w14:paraId="5645E8F6" w14:textId="77777777" w:rsidR="000F3F01" w:rsidRDefault="000F3F01" w:rsidP="000F3F01">
      <w:pPr>
        <w:pStyle w:val="Prrafodelista"/>
        <w:ind w:left="709" w:right="709"/>
        <w:jc w:val="both"/>
        <w:rPr>
          <w:rFonts w:ascii="Verdana" w:eastAsia="Times New Roman" w:hAnsi="Verdana" w:cs="Arial"/>
          <w:color w:val="000000" w:themeColor="text1"/>
          <w:sz w:val="20"/>
          <w:szCs w:val="20"/>
          <w:lang w:eastAsia="es-CO"/>
        </w:rPr>
      </w:pPr>
      <w:proofErr w:type="gramStart"/>
      <w:r w:rsidRPr="005F6743">
        <w:rPr>
          <w:rFonts w:ascii="Verdana" w:eastAsia="Times New Roman" w:hAnsi="Verdana" w:cs="Arial"/>
          <w:color w:val="000000" w:themeColor="text1"/>
          <w:sz w:val="20"/>
          <w:szCs w:val="20"/>
          <w:lang w:eastAsia="es-CO"/>
        </w:rPr>
        <w:t>“ d.</w:t>
      </w:r>
      <w:proofErr w:type="gramEnd"/>
      <w:r w:rsidRPr="005F6743">
        <w:rPr>
          <w:rFonts w:ascii="Verdana" w:eastAsia="Times New Roman" w:hAnsi="Verdana" w:cs="Arial"/>
          <w:b/>
          <w:bCs/>
          <w:color w:val="000000" w:themeColor="text1"/>
          <w:sz w:val="20"/>
          <w:szCs w:val="20"/>
          <w:lang w:eastAsia="es-CO"/>
        </w:rPr>
        <w:t xml:space="preserve"> En cuanto a la subcontratación</w:t>
      </w:r>
      <w:r w:rsidRPr="005F6743">
        <w:rPr>
          <w:rFonts w:ascii="Verdana" w:eastAsia="Times New Roman" w:hAnsi="Verdana" w:cs="Arial"/>
          <w:color w:val="000000" w:themeColor="text1"/>
          <w:sz w:val="20"/>
          <w:szCs w:val="20"/>
          <w:lang w:eastAsia="es-CO"/>
        </w:rPr>
        <w:t xml:space="preserve"> se imponen restricciones. En aquellos casos en que la entidad estatal ejecutora debiera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53071A41" w14:textId="77777777" w:rsidR="000F3F01" w:rsidRPr="005F6743" w:rsidRDefault="000F3F01" w:rsidP="000F3F01">
      <w:pPr>
        <w:pStyle w:val="Prrafodelista"/>
        <w:ind w:left="709" w:right="709"/>
        <w:jc w:val="both"/>
        <w:rPr>
          <w:rFonts w:ascii="Verdana" w:eastAsia="Times New Roman" w:hAnsi="Verdana" w:cs="Arial"/>
          <w:color w:val="000000" w:themeColor="text1"/>
          <w:sz w:val="20"/>
          <w:szCs w:val="20"/>
          <w:lang w:eastAsia="es-CO"/>
        </w:rPr>
      </w:pPr>
    </w:p>
    <w:p w14:paraId="5287173D" w14:textId="77777777" w:rsidR="000F3F01" w:rsidRPr="005A18A5" w:rsidRDefault="000F3F01" w:rsidP="000F3F01">
      <w:pPr>
        <w:pStyle w:val="Prrafodelista"/>
        <w:ind w:left="709" w:right="709"/>
        <w:jc w:val="both"/>
        <w:rPr>
          <w:rFonts w:ascii="Verdana" w:eastAsia="Times New Roman" w:hAnsi="Verdana" w:cs="Arial"/>
          <w:color w:val="000000" w:themeColor="text1"/>
          <w:sz w:val="20"/>
          <w:szCs w:val="20"/>
          <w:lang w:eastAsia="es-CO"/>
        </w:rPr>
      </w:pPr>
      <w:proofErr w:type="gramStart"/>
      <w:r w:rsidRPr="005F6743">
        <w:rPr>
          <w:rFonts w:ascii="Verdana" w:eastAsia="Times New Roman" w:hAnsi="Verdana" w:cs="Arial"/>
          <w:color w:val="000000" w:themeColor="text1"/>
          <w:sz w:val="20"/>
          <w:szCs w:val="20"/>
          <w:lang w:eastAsia="es-CO"/>
        </w:rPr>
        <w:t>“ e.</w:t>
      </w:r>
      <w:proofErr w:type="gramEnd"/>
      <w:r w:rsidRPr="005F6743">
        <w:rPr>
          <w:rFonts w:ascii="Verdana" w:eastAsia="Times New Roman" w:hAnsi="Verdana" w:cs="Arial"/>
          <w:color w:val="000000" w:themeColor="text1"/>
          <w:sz w:val="20"/>
          <w:szCs w:val="20"/>
          <w:lang w:eastAsia="es-CO"/>
        </w:rPr>
        <w:t xml:space="preserve"> Quedaron </w:t>
      </w:r>
      <w:r w:rsidRPr="005F6743">
        <w:rPr>
          <w:rFonts w:ascii="Verdana" w:eastAsia="Times New Roman" w:hAnsi="Verdana" w:cs="Arial"/>
          <w:b/>
          <w:bCs/>
          <w:color w:val="000000" w:themeColor="text1"/>
          <w:sz w:val="20"/>
          <w:szCs w:val="20"/>
          <w:lang w:eastAsia="es-CO"/>
        </w:rPr>
        <w:t xml:space="preserve">exceptuados </w:t>
      </w:r>
      <w:r w:rsidRPr="005F6743">
        <w:rPr>
          <w:rFonts w:ascii="Verdana" w:eastAsia="Times New Roman" w:hAnsi="Verdana" w:cs="Arial"/>
          <w:color w:val="000000" w:themeColor="text1"/>
          <w:sz w:val="20"/>
          <w:szCs w:val="20"/>
          <w:lang w:eastAsia="es-CO"/>
        </w:rPr>
        <w:t>de la figura del contrato interadministrativo, los contratos de seguro de las entidades estatales.</w:t>
      </w:r>
    </w:p>
    <w:p w14:paraId="23936105" w14:textId="77777777" w:rsidR="000F3F01" w:rsidRPr="007B7234" w:rsidRDefault="000F3F01" w:rsidP="000F3F01">
      <w:pPr>
        <w:spacing w:after="120" w:line="276" w:lineRule="auto"/>
        <w:ind w:firstLine="708"/>
        <w:jc w:val="both"/>
        <w:rPr>
          <w:rFonts w:ascii="Verdana" w:eastAsia="Calibri" w:hAnsi="Verdana" w:cs="Arial"/>
          <w:color w:val="000000" w:themeColor="text1"/>
          <w:lang w:eastAsia="es-ES_tradnl"/>
        </w:rPr>
      </w:pPr>
      <w:r w:rsidRPr="007B7234">
        <w:rPr>
          <w:rFonts w:ascii="Verdana" w:eastAsia="Calibri" w:hAnsi="Verdana" w:cs="Arial"/>
          <w:color w:val="000000" w:themeColor="text1"/>
          <w:lang w:eastAsia="es-ES_tradnl"/>
        </w:rPr>
        <w:t>Como puede apreciarse,</w:t>
      </w:r>
      <w:bookmarkStart w:id="21" w:name="_Hlk77089828"/>
      <w:r w:rsidRPr="007B7234">
        <w:rPr>
          <w:rFonts w:ascii="Verdana" w:eastAsia="Calibri" w:hAnsi="Verdana" w:cs="Arial"/>
          <w:color w:val="000000" w:themeColor="text1"/>
          <w:lang w:eastAsia="es-ES_tradnl"/>
        </w:rPr>
        <w:t xml:space="preserve"> la Ley 1150 de 2007 establece que las entidades estatales pueden celebrar directamente contratos o convenios interadministrativos, </w:t>
      </w:r>
      <w:bookmarkStart w:id="22" w:name="_Hlk74747532"/>
      <w:r w:rsidRPr="007B7234">
        <w:rPr>
          <w:rFonts w:ascii="Verdana" w:eastAsia="Calibri" w:hAnsi="Verdana" w:cs="Arial"/>
          <w:color w:val="000000" w:themeColor="text1"/>
          <w:lang w:eastAsia="es-ES_tradnl"/>
        </w:rPr>
        <w:t>siempre que las obligaciones derivadas del mismo tengan relación directa con el objeto de la entidad ejecutora</w:t>
      </w:r>
      <w:bookmarkEnd w:id="22"/>
      <w:r w:rsidRPr="007B7234">
        <w:rPr>
          <w:rFonts w:ascii="Verdana" w:eastAsia="Calibri" w:hAnsi="Verdana" w:cs="Arial"/>
          <w:color w:val="000000" w:themeColor="text1"/>
          <w:lang w:eastAsia="es-ES_tradnl"/>
        </w:rPr>
        <w:t xml:space="preserve">. Se exceptúa de la anterior </w:t>
      </w:r>
      <w:r w:rsidRPr="007B7234">
        <w:rPr>
          <w:rFonts w:ascii="Verdana" w:eastAsia="Calibri" w:hAnsi="Verdana" w:cs="Arial"/>
          <w:color w:val="000000" w:themeColor="text1"/>
          <w:lang w:eastAsia="es-ES_tradnl"/>
        </w:rPr>
        <w:lastRenderedPageBreak/>
        <w:t xml:space="preserve">regla ciertas tipologías contractuales –obra, suministro, prestación de servicios de evaluación de conformidad respecto de las normas o reglamentos técnicos, encargos fiduciarios y fiducia pública–, cuando las ejecutoras de estos sean las entidades estatales allí previstas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caso en el cual deben contratarse mediante procesos competitivos –licitación pública, selección abreviada, concurso de méritos o mínima cuantía–. Nótese que en este evento la ley no restringió su denominación de contrato interadministrativo, sino que exceptuó ese tipo de contratos a celebrar con tales entidades del procedimiento de contratación directa del contratista. </w:t>
      </w:r>
      <w:r w:rsidRPr="007B7234">
        <w:rPr>
          <w:rFonts w:ascii="Verdana" w:eastAsia="Calibri" w:hAnsi="Verdana" w:cs="Arial"/>
          <w:color w:val="000000" w:themeColor="text1"/>
        </w:rPr>
        <w:t>La calidad de interadministrativo de un contrato o convenio no está determinada entonces por la modalidad de selección utilizada para celebrarlo.</w:t>
      </w:r>
    </w:p>
    <w:p w14:paraId="67FDB8D5" w14:textId="77777777" w:rsidR="000F3F01" w:rsidRPr="007B7234" w:rsidRDefault="000F3F01" w:rsidP="000F3F01">
      <w:pPr>
        <w:spacing w:after="120" w:line="276" w:lineRule="auto"/>
        <w:ind w:firstLine="709"/>
        <w:jc w:val="both"/>
        <w:rPr>
          <w:rFonts w:ascii="Verdana" w:hAnsi="Verdana" w:cs="Arial"/>
          <w:color w:val="000000" w:themeColor="text1"/>
        </w:rPr>
      </w:pPr>
      <w:bookmarkStart w:id="23" w:name="_Hlk77949578"/>
      <w:r w:rsidRPr="007B7234">
        <w:rPr>
          <w:rFonts w:ascii="Verdana" w:hAnsi="Verdana" w:cs="Arial"/>
          <w:color w:val="000000" w:themeColor="text1"/>
        </w:rPr>
        <w:t xml:space="preserve">Las anteriores consideraciones permiten inferir que, según el Estatuto General de la Contratación de la Administración Pública, los convenios interadministrativos son contratos estatales independientemente del régimen de contratación al que estén sometidas las partes entre quienes se celebra o de las normas por las que deba regirse su ejecución, siempre que se suscriban entre entidades que ostenten la calidad de estatales o de derecho público.  </w:t>
      </w:r>
    </w:p>
    <w:bookmarkEnd w:id="21"/>
    <w:bookmarkEnd w:id="23"/>
    <w:p w14:paraId="0BA8B02E" w14:textId="77777777" w:rsidR="000F3F01" w:rsidRPr="007B7234" w:rsidRDefault="000F3F01" w:rsidP="000F3F01">
      <w:pPr>
        <w:spacing w:after="120" w:line="276" w:lineRule="auto"/>
        <w:ind w:firstLine="709"/>
        <w:jc w:val="both"/>
        <w:rPr>
          <w:rFonts w:ascii="Verdana" w:eastAsia="Calibri" w:hAnsi="Verdana" w:cs="Arial"/>
          <w:color w:val="000000" w:themeColor="text1"/>
        </w:rPr>
      </w:pPr>
      <w:r w:rsidRPr="007B7234">
        <w:rPr>
          <w:rFonts w:ascii="Verdana" w:hAnsi="Verdana" w:cs="Arial"/>
          <w:color w:val="000000" w:themeColor="text1"/>
        </w:rPr>
        <w:t>En el mismo sentido, la</w:t>
      </w:r>
      <w:r w:rsidRPr="007B7234">
        <w:rPr>
          <w:rFonts w:ascii="Verdana" w:eastAsia="Calibri" w:hAnsi="Verdana" w:cs="Arial"/>
          <w:color w:val="000000" w:themeColor="text1"/>
        </w:rPr>
        <w:t xml:space="preserve"> Corte Constitucional, en Sentencia C–671 de 2015, manifestó: </w:t>
      </w:r>
      <w:r>
        <w:rPr>
          <w:rFonts w:ascii="Verdana" w:eastAsia="Calibri" w:hAnsi="Verdana" w:cs="Arial"/>
          <w:color w:val="000000" w:themeColor="text1"/>
        </w:rPr>
        <w:t>“</w:t>
      </w:r>
      <w:r w:rsidRPr="007B7234">
        <w:rPr>
          <w:rFonts w:ascii="Verdana" w:eastAsia="Calibri" w:hAnsi="Verdana" w:cs="Arial"/>
          <w:color w:val="000000" w:themeColor="text1"/>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Verdana" w:eastAsia="Calibri" w:hAnsi="Verdana" w:cs="Arial"/>
          <w:color w:val="000000" w:themeColor="text1"/>
        </w:rPr>
        <w:t>”</w:t>
      </w:r>
      <w:r w:rsidRPr="007B7234">
        <w:rPr>
          <w:rFonts w:ascii="Verdana" w:eastAsia="Calibri" w:hAnsi="Verdana" w:cs="Arial"/>
          <w:color w:val="000000" w:themeColor="text1"/>
        </w:rPr>
        <w:t xml:space="preserve">. </w:t>
      </w:r>
    </w:p>
    <w:p w14:paraId="617B7E4B" w14:textId="77777777" w:rsidR="000F3F01" w:rsidRPr="007B7234" w:rsidRDefault="000F3F01" w:rsidP="000F3F01">
      <w:pPr>
        <w:spacing w:after="120" w:line="276" w:lineRule="auto"/>
        <w:ind w:firstLine="709"/>
        <w:jc w:val="both"/>
        <w:rPr>
          <w:rFonts w:ascii="Verdana" w:eastAsia="Calibri" w:hAnsi="Verdana" w:cs="Arial"/>
          <w:color w:val="000000" w:themeColor="text1"/>
        </w:rPr>
      </w:pPr>
      <w:bookmarkStart w:id="24" w:name="_Hlk77949611"/>
      <w:r w:rsidRPr="007B7234">
        <w:rPr>
          <w:rFonts w:ascii="Verdana" w:eastAsia="Calibri" w:hAnsi="Verdana" w:cs="Arial"/>
          <w:color w:val="000000" w:themeColor="text1"/>
        </w:rPr>
        <w:t xml:space="preserve">Así pues, conforme a lo expuesto en el acápite anterior, </w:t>
      </w:r>
      <w:bookmarkStart w:id="25" w:name="_Hlk77089934"/>
      <w:r w:rsidRPr="007B7234">
        <w:rPr>
          <w:rFonts w:ascii="Verdana" w:eastAsia="Calibri" w:hAnsi="Verdana" w:cs="Arial"/>
          <w:color w:val="000000" w:themeColor="text1"/>
        </w:rPr>
        <w:t>los fondos mixtos al ser entidades descentralizadas indirectas tienen la calidad de entidades públicas, independientemente del porcentaje de participación pública que involucren, razón por la cual tienen la posibilidad de suscribir convenios y contratos interadministrativos con otras entidades públicas sin importar su régimen de contratación.</w:t>
      </w:r>
    </w:p>
    <w:bookmarkEnd w:id="24"/>
    <w:bookmarkEnd w:id="25"/>
    <w:p w14:paraId="59A8FC2E" w14:textId="77777777" w:rsidR="000F3F01" w:rsidRDefault="000F3F01" w:rsidP="000F3F01">
      <w:pPr>
        <w:spacing w:line="276" w:lineRule="auto"/>
        <w:ind w:firstLine="708"/>
        <w:jc w:val="both"/>
        <w:rPr>
          <w:rFonts w:ascii="Verdana" w:eastAsia="Calibri" w:hAnsi="Verdana" w:cs="Arial"/>
          <w:color w:val="000000" w:themeColor="text1"/>
        </w:rPr>
      </w:pPr>
      <w:r w:rsidRPr="007B7234">
        <w:rPr>
          <w:rFonts w:ascii="Verdana" w:eastAsia="Calibri" w:hAnsi="Verdana" w:cs="Arial"/>
          <w:color w:val="000000" w:themeColor="text1"/>
        </w:rPr>
        <w:lastRenderedPageBreak/>
        <w:t xml:space="preserve">Finalmente, es del caso señalar que el artículo 2.2.2.3 del Decreto 1080 de 2015, relativo al régimen de los convenios suscritos por los fondos mixtos para la promoción de la cultura y de las artes, establece una excepción a la regla anterior, por cuanto prescribe que </w:t>
      </w:r>
      <w:r>
        <w:rPr>
          <w:rFonts w:ascii="Verdana" w:eastAsia="Calibri" w:hAnsi="Verdana" w:cs="Arial"/>
          <w:color w:val="000000" w:themeColor="text1"/>
        </w:rPr>
        <w:t>“</w:t>
      </w:r>
      <w:r w:rsidRPr="007B7234">
        <w:rPr>
          <w:rFonts w:ascii="Verdana" w:eastAsia="Calibri" w:hAnsi="Verdana" w:cs="Arial"/>
          <w:color w:val="000000" w:themeColor="text1"/>
        </w:rPr>
        <w:t>Los convenios que suscriba el Ministerio de Cultura con los fondos mixtos para la promoción de la cultura y de las artes a nivel nacional se regirán por el artículo 355 de la Constitución Política</w:t>
      </w:r>
      <w:r>
        <w:rPr>
          <w:rFonts w:ascii="Verdana" w:eastAsia="Calibri" w:hAnsi="Verdana" w:cs="Arial"/>
          <w:color w:val="000000" w:themeColor="text1"/>
        </w:rPr>
        <w:t>”</w:t>
      </w:r>
      <w:r w:rsidRPr="007B7234">
        <w:rPr>
          <w:rFonts w:ascii="Verdana" w:eastAsia="Calibri" w:hAnsi="Verdana" w:cs="Arial"/>
          <w:color w:val="000000" w:themeColor="text1"/>
        </w:rPr>
        <w:t>. En este sentido, esta Agencia se remite a las consideraciones que en relación con la legalidad y aplicación de dicho artículo realizó en los Conceptos C-086 y C-101 de 16 de marzo de 2020, las cuales no se desarrollan por desbordar el objeto de la consulta.</w:t>
      </w:r>
    </w:p>
    <w:p w14:paraId="42DF50FE" w14:textId="77777777" w:rsidR="000F3F01" w:rsidRPr="000C49A7" w:rsidRDefault="000F3F01" w:rsidP="000F3F01">
      <w:pPr>
        <w:spacing w:line="276" w:lineRule="auto"/>
        <w:jc w:val="both"/>
        <w:rPr>
          <w:rFonts w:ascii="Verdana" w:eastAsia="Calibri" w:hAnsi="Verdana" w:cs="Arial"/>
          <w:b/>
          <w:bCs/>
          <w:color w:val="000000" w:themeColor="text1"/>
        </w:rPr>
      </w:pPr>
      <w:r w:rsidRPr="000C49A7">
        <w:rPr>
          <w:rFonts w:ascii="Verdana" w:eastAsia="Calibri" w:hAnsi="Verdana" w:cs="Arial"/>
          <w:b/>
          <w:bCs/>
          <w:color w:val="000000" w:themeColor="text1"/>
        </w:rPr>
        <w:t>3.3 Decreto 092 de 2017:</w:t>
      </w:r>
    </w:p>
    <w:p w14:paraId="0C3309C7" w14:textId="77777777" w:rsidR="000F3F01" w:rsidRPr="000C49A7" w:rsidRDefault="000F3F01" w:rsidP="000F3F01">
      <w:pPr>
        <w:tabs>
          <w:tab w:val="left" w:pos="709"/>
        </w:tabs>
        <w:snapToGrid w:val="0"/>
        <w:spacing w:after="0" w:line="276" w:lineRule="auto"/>
        <w:jc w:val="both"/>
        <w:rPr>
          <w:rFonts w:ascii="Verdana" w:eastAsia="Calibri" w:hAnsi="Verdana" w:cs="Arial"/>
          <w:color w:val="000000" w:themeColor="text1"/>
        </w:rPr>
      </w:pPr>
      <w:r>
        <w:rPr>
          <w:rFonts w:ascii="Verdana" w:eastAsia="Calibri" w:hAnsi="Verdana" w:cs="Arial"/>
          <w:color w:val="000000" w:themeColor="text1"/>
          <w:sz w:val="20"/>
          <w:szCs w:val="20"/>
        </w:rPr>
        <w:tab/>
      </w:r>
      <w:r w:rsidRPr="000C49A7">
        <w:rPr>
          <w:rFonts w:ascii="Verdana" w:eastAsia="Calibri" w:hAnsi="Verdana" w:cs="Arial"/>
          <w:color w:val="000000" w:themeColor="text1"/>
        </w:rPr>
        <w:t xml:space="preserve">Ahora, para el caso </w:t>
      </w:r>
      <w:bookmarkStart w:id="26" w:name="_Hlk38819155"/>
      <w:r w:rsidRPr="000C49A7">
        <w:rPr>
          <w:rFonts w:ascii="Verdana" w:eastAsia="Calibri" w:hAnsi="Verdana" w:cs="Arial"/>
          <w:color w:val="000000" w:themeColor="text1"/>
        </w:rPr>
        <w:t xml:space="preserve">del tema relacionado con el </w:t>
      </w:r>
      <w:r w:rsidRPr="000C49A7">
        <w:rPr>
          <w:rFonts w:ascii="Verdana" w:eastAsia="Calibri" w:hAnsi="Verdana" w:cs="Arial"/>
          <w:lang w:val="es-ES"/>
        </w:rPr>
        <w:t xml:space="preserve">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0C49A7">
        <w:rPr>
          <w:rFonts w:ascii="Verdana" w:eastAsia="Calibri" w:hAnsi="Verdana" w:cs="Arial"/>
          <w:lang w:val="es-ES"/>
        </w:rPr>
        <w:t>ii</w:t>
      </w:r>
      <w:proofErr w:type="spellEnd"/>
      <w:r w:rsidRPr="000C49A7">
        <w:rPr>
          <w:rFonts w:ascii="Verdana" w:eastAsia="Calibri" w:hAnsi="Verdana" w:cs="Arial"/>
          <w:lang w:val="es-ES"/>
        </w:rPr>
        <w:t xml:space="preserve">) los convenios de asociación, para el desarrollo conjunto de actividades relacionadas con las funciones de las entidades estatales, en desarrollo del artículo 96 de la Ley 489 de 1998. </w:t>
      </w:r>
    </w:p>
    <w:bookmarkEnd w:id="26"/>
    <w:p w14:paraId="1D0AC12E" w14:textId="77777777" w:rsidR="000F3F01" w:rsidRPr="005A18A5" w:rsidRDefault="000F3F01" w:rsidP="000F3F01">
      <w:pPr>
        <w:pStyle w:val="Prrafodelista"/>
        <w:numPr>
          <w:ilvl w:val="0"/>
          <w:numId w:val="27"/>
        </w:numPr>
        <w:spacing w:before="120" w:after="120" w:line="276" w:lineRule="auto"/>
        <w:jc w:val="both"/>
        <w:rPr>
          <w:rFonts w:ascii="Verdana" w:eastAsia="Calibri" w:hAnsi="Verdana" w:cs="Arial"/>
          <w:sz w:val="20"/>
          <w:szCs w:val="20"/>
        </w:rPr>
      </w:pPr>
      <w:r w:rsidRPr="005A18A5">
        <w:rPr>
          <w:rFonts w:ascii="Verdana" w:eastAsia="Calibri" w:hAnsi="Verdana" w:cs="Arial"/>
          <w:sz w:val="20"/>
          <w:szCs w:val="20"/>
        </w:rPr>
        <w:t xml:space="preserve">Los </w:t>
      </w:r>
      <w:r w:rsidRPr="005A18A5">
        <w:rPr>
          <w:rFonts w:ascii="Verdana" w:eastAsia="Calibri" w:hAnsi="Verdana" w:cs="Arial"/>
          <w:i/>
          <w:sz w:val="20"/>
          <w:szCs w:val="20"/>
        </w:rPr>
        <w:t>contratos del artículo 355 de la Constitución Política</w:t>
      </w:r>
      <w:r w:rsidRPr="005A18A5">
        <w:rPr>
          <w:rFonts w:ascii="Verdana" w:eastAsia="Calibri" w:hAnsi="Verdana" w:cs="Arial"/>
          <w:sz w:val="20"/>
          <w:szCs w:val="20"/>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40A1C9CB" w14:textId="77777777" w:rsidR="000F3F01" w:rsidRPr="005A18A5" w:rsidRDefault="000F3F01" w:rsidP="000F3F01">
      <w:pPr>
        <w:pStyle w:val="Prrafodelista"/>
        <w:numPr>
          <w:ilvl w:val="0"/>
          <w:numId w:val="27"/>
        </w:numPr>
        <w:spacing w:before="120" w:after="120" w:line="276" w:lineRule="auto"/>
        <w:jc w:val="both"/>
        <w:rPr>
          <w:rFonts w:ascii="Verdana" w:eastAsia="Calibri" w:hAnsi="Verdana" w:cs="Arial"/>
          <w:sz w:val="20"/>
          <w:szCs w:val="20"/>
        </w:rPr>
      </w:pPr>
      <w:r w:rsidRPr="005A18A5">
        <w:rPr>
          <w:rFonts w:ascii="Verdana" w:eastAsia="Calibri" w:hAnsi="Verdana" w:cs="Arial"/>
          <w:sz w:val="20"/>
          <w:szCs w:val="20"/>
        </w:rPr>
        <w:t xml:space="preserve">De otro lado, los </w:t>
      </w:r>
      <w:r w:rsidRPr="005A18A5">
        <w:rPr>
          <w:rFonts w:ascii="Verdana" w:eastAsia="Calibri" w:hAnsi="Verdana" w:cs="Arial"/>
          <w:i/>
          <w:sz w:val="20"/>
          <w:szCs w:val="20"/>
        </w:rPr>
        <w:t>convenios de asociación</w:t>
      </w:r>
      <w:r w:rsidRPr="005A18A5">
        <w:rPr>
          <w:rFonts w:ascii="Verdana" w:eastAsia="Calibri" w:hAnsi="Verdana" w:cs="Arial"/>
          <w:sz w:val="20"/>
          <w:szCs w:val="20"/>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w:t>
      </w:r>
      <w:r w:rsidRPr="005A18A5">
        <w:rPr>
          <w:rFonts w:ascii="Verdana" w:eastAsia="Calibri" w:hAnsi="Verdana" w:cs="Arial"/>
          <w:sz w:val="20"/>
          <w:szCs w:val="20"/>
        </w:rPr>
        <w:lastRenderedPageBreak/>
        <w:t>conforme a la Constitución y a la Ley”</w:t>
      </w:r>
      <w:r w:rsidRPr="005A18A5">
        <w:rPr>
          <w:rStyle w:val="Refdenotaalpie"/>
          <w:rFonts w:ascii="Verdana" w:hAnsi="Verdana" w:cs="Arial"/>
          <w:sz w:val="20"/>
          <w:szCs w:val="20"/>
        </w:rPr>
        <w:footnoteReference w:id="13"/>
      </w:r>
      <w:r w:rsidRPr="005A18A5">
        <w:rPr>
          <w:rFonts w:ascii="Verdana" w:eastAsia="Calibri" w:hAnsi="Verdana" w:cs="Arial"/>
          <w:sz w:val="20"/>
          <w:szCs w:val="20"/>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5A18A5">
        <w:rPr>
          <w:rStyle w:val="Refdenotaalpie"/>
          <w:rFonts w:ascii="Verdana" w:hAnsi="Verdana" w:cs="Arial"/>
          <w:sz w:val="20"/>
          <w:szCs w:val="20"/>
        </w:rPr>
        <w:footnoteReference w:id="14"/>
      </w:r>
      <w:r w:rsidRPr="005A18A5">
        <w:rPr>
          <w:rFonts w:ascii="Verdana" w:eastAsia="Calibri" w:hAnsi="Verdana" w:cs="Arial"/>
          <w:sz w:val="20"/>
          <w:szCs w:val="20"/>
        </w:rPr>
        <w:t>.</w:t>
      </w:r>
    </w:p>
    <w:p w14:paraId="19C7408C" w14:textId="77777777" w:rsidR="000F3F01" w:rsidRPr="005A18A5" w:rsidRDefault="000F3F01" w:rsidP="000F3F01">
      <w:pPr>
        <w:pStyle w:val="Prrafodelista"/>
        <w:numPr>
          <w:ilvl w:val="0"/>
          <w:numId w:val="27"/>
        </w:numPr>
        <w:spacing w:before="120" w:after="120" w:line="276" w:lineRule="auto"/>
        <w:jc w:val="both"/>
        <w:rPr>
          <w:rFonts w:ascii="Verdana" w:eastAsia="Calibri" w:hAnsi="Verdana" w:cs="Arial"/>
          <w:sz w:val="20"/>
          <w:szCs w:val="20"/>
          <w:lang w:val="es-ES_tradnl"/>
        </w:rPr>
      </w:pPr>
      <w:r w:rsidRPr="005A18A5">
        <w:rPr>
          <w:rFonts w:ascii="Verdana" w:eastAsia="Calibri" w:hAnsi="Verdana" w:cs="Arial"/>
          <w:sz w:val="20"/>
          <w:szCs w:val="20"/>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5A18A5">
        <w:rPr>
          <w:rStyle w:val="Refdenotaalpie"/>
          <w:rFonts w:ascii="Verdana" w:eastAsia="Calibri" w:hAnsi="Verdana" w:cs="Arial"/>
          <w:sz w:val="20"/>
          <w:szCs w:val="20"/>
          <w:lang w:val="es-ES_tradnl"/>
        </w:rPr>
        <w:footnoteReference w:id="15"/>
      </w:r>
      <w:r w:rsidRPr="005A18A5">
        <w:rPr>
          <w:rFonts w:ascii="Verdana" w:eastAsia="Calibri" w:hAnsi="Verdana" w:cs="Arial"/>
          <w:sz w:val="20"/>
          <w:szCs w:val="20"/>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0C03FF7F" w14:textId="77777777" w:rsidR="000F3F01" w:rsidRPr="005A18A5" w:rsidRDefault="000F3F01" w:rsidP="000F3F01">
      <w:pPr>
        <w:pStyle w:val="Prrafodelista"/>
        <w:numPr>
          <w:ilvl w:val="0"/>
          <w:numId w:val="27"/>
        </w:numPr>
        <w:spacing w:before="120" w:after="120" w:line="276" w:lineRule="auto"/>
        <w:jc w:val="both"/>
        <w:rPr>
          <w:rFonts w:ascii="Verdana" w:eastAsia="Calibri" w:hAnsi="Verdana" w:cs="Arial"/>
          <w:sz w:val="20"/>
          <w:szCs w:val="20"/>
          <w:lang w:val="es-ES_tradnl"/>
        </w:rPr>
      </w:pPr>
      <w:r w:rsidRPr="005A18A5">
        <w:rPr>
          <w:rFonts w:ascii="Verdana" w:eastAsia="Calibri" w:hAnsi="Verdana" w:cs="Arial"/>
          <w:sz w:val="20"/>
          <w:szCs w:val="20"/>
          <w:lang w:val="es-ES_tradnl"/>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w:t>
      </w:r>
      <w:r w:rsidRPr="005A18A5">
        <w:rPr>
          <w:rFonts w:ascii="Verdana" w:eastAsia="Calibri" w:hAnsi="Verdana" w:cs="Arial"/>
          <w:i/>
          <w:sz w:val="20"/>
          <w:szCs w:val="20"/>
          <w:lang w:val="es-ES_tradnl"/>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106D6D4D" w14:textId="77777777" w:rsidR="000F3F01" w:rsidRPr="005A18A5" w:rsidRDefault="000F3F01" w:rsidP="000F3F01">
      <w:pPr>
        <w:pStyle w:val="Prrafodelista"/>
        <w:numPr>
          <w:ilvl w:val="0"/>
          <w:numId w:val="27"/>
        </w:numPr>
        <w:spacing w:before="120" w:line="276" w:lineRule="auto"/>
        <w:jc w:val="both"/>
        <w:rPr>
          <w:rFonts w:ascii="Verdana" w:eastAsia="Calibri" w:hAnsi="Verdana" w:cs="Arial"/>
          <w:sz w:val="20"/>
          <w:szCs w:val="20"/>
        </w:rPr>
      </w:pPr>
      <w:r w:rsidRPr="005A18A5">
        <w:rPr>
          <w:rFonts w:ascii="Verdana" w:eastAsia="Calibri" w:hAnsi="Verdana" w:cs="Arial"/>
          <w:sz w:val="20"/>
          <w:szCs w:val="20"/>
        </w:rPr>
        <w:t xml:space="preserve">De conformidad con lo anterior, el citado artículo 355 establece el régimen de la contratación con ESALES, el cual –además de extenderse a los </w:t>
      </w:r>
      <w:r w:rsidRPr="005A18A5">
        <w:rPr>
          <w:rFonts w:ascii="Verdana" w:eastAsia="Calibri" w:hAnsi="Verdana" w:cs="Arial"/>
          <w:i/>
          <w:sz w:val="20"/>
          <w:szCs w:val="20"/>
        </w:rPr>
        <w:t>convenios de asociación</w:t>
      </w:r>
      <w:r w:rsidRPr="005A18A5">
        <w:rPr>
          <w:rFonts w:ascii="Verdana" w:eastAsia="Calibri" w:hAnsi="Verdana" w:cs="Arial"/>
          <w:sz w:val="20"/>
          <w:szCs w:val="20"/>
        </w:rPr>
        <w:t xml:space="preserve"> en virtud de lo dispuesto en el artículo 96 de la Ley 489 de 1998– se </w:t>
      </w:r>
      <w:r w:rsidRPr="005A18A5">
        <w:rPr>
          <w:rFonts w:ascii="Verdana" w:eastAsia="Calibri" w:hAnsi="Verdana" w:cs="Arial"/>
          <w:sz w:val="20"/>
          <w:szCs w:val="20"/>
        </w:rPr>
        <w:lastRenderedPageBreak/>
        <w:t>desarrolló a través del Decreto 092 de 2017. Esta contratación, si bien está regulada, principalmente, por dicho decreto autónomo, también está sometida a las prohibiciones, inhabilidades e incompatibilidades establecidas en la Constitución y en las Leyes 80 de 1993, 1150 de 2007 y 1474 de 2011, según reconoce el artículo 6 del decreto</w:t>
      </w:r>
      <w:r w:rsidRPr="005A18A5">
        <w:rPr>
          <w:rStyle w:val="Refdenotaalpie"/>
          <w:rFonts w:ascii="Verdana" w:eastAsia="Calibri" w:hAnsi="Verdana" w:cs="Arial"/>
          <w:sz w:val="20"/>
          <w:szCs w:val="20"/>
        </w:rPr>
        <w:footnoteReference w:id="16"/>
      </w:r>
      <w:r w:rsidRPr="005A18A5">
        <w:rPr>
          <w:rFonts w:ascii="Verdana" w:eastAsia="Calibri" w:hAnsi="Verdana" w:cs="Arial"/>
          <w:sz w:val="20"/>
          <w:szCs w:val="20"/>
        </w:rPr>
        <w:t>, así como a los principios de la contratación estatal y las normas presupuestales, según indica el artículo 7</w:t>
      </w:r>
      <w:r w:rsidRPr="005A18A5">
        <w:rPr>
          <w:rStyle w:val="Refdenotaalpie"/>
          <w:rFonts w:ascii="Verdana" w:eastAsia="Calibri" w:hAnsi="Verdana" w:cs="Arial"/>
          <w:sz w:val="20"/>
          <w:szCs w:val="20"/>
        </w:rPr>
        <w:footnoteReference w:id="17"/>
      </w:r>
      <w:r w:rsidRPr="005A18A5">
        <w:rPr>
          <w:rFonts w:ascii="Verdana" w:eastAsia="Calibri" w:hAnsi="Verdana" w:cs="Arial"/>
          <w:sz w:val="20"/>
          <w:szCs w:val="20"/>
        </w:rPr>
        <w:t xml:space="preserve">. </w:t>
      </w:r>
    </w:p>
    <w:p w14:paraId="5106E55C" w14:textId="77777777" w:rsidR="000F3F01" w:rsidRPr="00624081" w:rsidRDefault="000F3F01" w:rsidP="000F3F01">
      <w:pPr>
        <w:pStyle w:val="Prrafodelista"/>
        <w:numPr>
          <w:ilvl w:val="0"/>
          <w:numId w:val="27"/>
        </w:numPr>
        <w:spacing w:before="120" w:line="276" w:lineRule="auto"/>
        <w:jc w:val="both"/>
        <w:rPr>
          <w:rFonts w:ascii="Verdana" w:hAnsi="Verdana"/>
          <w:sz w:val="20"/>
          <w:szCs w:val="20"/>
        </w:rPr>
      </w:pPr>
      <w:r w:rsidRPr="005A18A5">
        <w:rPr>
          <w:rFonts w:ascii="Verdana" w:eastAsia="Calibri" w:hAnsi="Verdana" w:cs="Arial"/>
          <w:sz w:val="20"/>
          <w:szCs w:val="20"/>
          <w:lang w:val="es-ES_tradnl"/>
        </w:rPr>
        <w:t>A su vez, el artículo de esta normativa integra las disposiciones generales del sistema de compra pública, en lo no regulado por el Decreto 092 de 2017</w:t>
      </w:r>
      <w:r w:rsidRPr="005A18A5">
        <w:rPr>
          <w:rStyle w:val="Refdenotaalpie"/>
          <w:rFonts w:ascii="Verdana" w:eastAsia="Calibri" w:hAnsi="Verdana" w:cs="Arial"/>
          <w:sz w:val="20"/>
          <w:szCs w:val="20"/>
          <w:lang w:val="es-ES_tradnl"/>
        </w:rPr>
        <w:footnoteReference w:id="18"/>
      </w:r>
      <w:r w:rsidRPr="005A18A5">
        <w:rPr>
          <w:rFonts w:ascii="Verdana" w:eastAsia="Calibri" w:hAnsi="Verdana" w:cs="Arial"/>
          <w:sz w:val="20"/>
          <w:szCs w:val="20"/>
          <w:lang w:val="es-ES_tradnl"/>
        </w:rPr>
        <w:t xml:space="preserve">.  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5A18A5">
        <w:rPr>
          <w:rFonts w:ascii="Verdana" w:eastAsia="Calibri" w:hAnsi="Verdana" w:cs="Arial"/>
          <w:i/>
          <w:sz w:val="20"/>
          <w:szCs w:val="20"/>
          <w:lang w:val="es-ES_tradnl"/>
        </w:rPr>
        <w:t xml:space="preserve">contratos del artículo 355 de la Constitución </w:t>
      </w:r>
      <w:r w:rsidRPr="005A18A5">
        <w:rPr>
          <w:rFonts w:ascii="Verdana" w:eastAsia="Calibri" w:hAnsi="Verdana" w:cs="Arial"/>
          <w:sz w:val="20"/>
          <w:szCs w:val="20"/>
          <w:lang w:val="es-ES_tradnl"/>
        </w:rPr>
        <w:t xml:space="preserve">y la </w:t>
      </w:r>
      <w:proofErr w:type="spellStart"/>
      <w:r w:rsidRPr="005A18A5">
        <w:rPr>
          <w:rFonts w:ascii="Verdana" w:eastAsia="Calibri" w:hAnsi="Verdana" w:cs="Arial"/>
          <w:sz w:val="20"/>
          <w:szCs w:val="20"/>
          <w:lang w:val="es-ES_tradnl"/>
        </w:rPr>
        <w:t>indelegabilidad</w:t>
      </w:r>
      <w:proofErr w:type="spellEnd"/>
      <w:r w:rsidRPr="005A18A5">
        <w:rPr>
          <w:rFonts w:ascii="Verdana" w:eastAsia="Calibri" w:hAnsi="Verdana" w:cs="Arial"/>
          <w:sz w:val="20"/>
          <w:szCs w:val="20"/>
          <w:lang w:val="es-ES_tradnl"/>
        </w:rPr>
        <w:t xml:space="preserve"> de la autorización –art. 2–, la idoneidad de las ESAL –art. 3–, su registro en el SECOP –art. 9– y la inaplicación del registro único de proponentes –art. </w:t>
      </w:r>
    </w:p>
    <w:p w14:paraId="1099D1B7" w14:textId="77777777" w:rsidR="000F3F01" w:rsidRPr="00900E1B" w:rsidRDefault="000F3F01" w:rsidP="000F3F01">
      <w:pPr>
        <w:spacing w:before="120" w:line="276" w:lineRule="auto"/>
        <w:ind w:firstLine="360"/>
        <w:jc w:val="both"/>
        <w:rPr>
          <w:rFonts w:ascii="Verdana" w:hAnsi="Verdana"/>
        </w:rPr>
      </w:pPr>
      <w:r w:rsidRPr="00624081">
        <w:rPr>
          <w:rFonts w:ascii="Verdana" w:eastAsia="Century Gothic" w:hAnsi="Verdana" w:cs="Century Gothic"/>
        </w:rPr>
        <w:t>Ahora bien, la Agencia Nacional de Contratación Pública-Colombia Compra Eficiente, en atención a lo establecido en el Decreto 092 de 2017, expidió la Guía para la contratación con entidades sin ánimo de lucro y de reconocida idoneidad</w:t>
      </w:r>
      <w:r w:rsidRPr="00624081">
        <w:rPr>
          <w:rStyle w:val="Refdenotaalpie"/>
          <w:rFonts w:ascii="Verdana" w:eastAsia="Century Gothic" w:hAnsi="Verdana" w:cs="Century Gothic"/>
        </w:rPr>
        <w:footnoteReference w:id="19"/>
      </w:r>
      <w:r w:rsidRPr="00624081">
        <w:rPr>
          <w:rFonts w:ascii="Verdana" w:eastAsia="Century Gothic" w:hAnsi="Verdana" w:cs="Century Gothic"/>
        </w:rPr>
        <w:t xml:space="preserve">, en la cual se incluyeron definiciones y se establecieron pautas y criterios para definir las características que deben acreditar las entidades privadas sin ánimo de lucro que contratan con Entidades Estatales, para lo cual y de manera específica estableció en el numeral IV Determinación de la reconocida idoneidad de la ESAL, una serie de criterios para determinar este componente dentro de los procesos que se adelanten por parte de las entidades públicas, entendida esta como aquella cualidad de ser adecuado o apropiado </w:t>
      </w:r>
      <w:r w:rsidRPr="00624081">
        <w:rPr>
          <w:rFonts w:ascii="Verdana" w:eastAsia="Century Gothic" w:hAnsi="Verdana" w:cs="Century Gothic"/>
        </w:rPr>
        <w:lastRenderedPageBreak/>
        <w:t xml:space="preserve">para cumplir un fin y que debe ser reconocida; aquellos criterios son: A. Correspondencia del objeto de la entidad privada sin ánimo de lucro y el programa o actividad prevista en el plan de desarrollo; B. Capacidad del personal de la entidad privada sin ánimo de lucro; C. Experiencia; D. Estructura organizacional; E. Indicadores de la eficiencia de la organización y F. Reputación. </w:t>
      </w:r>
    </w:p>
    <w:p w14:paraId="780F2468" w14:textId="77777777" w:rsidR="000F3F01" w:rsidRPr="007B7234" w:rsidRDefault="000F3F01" w:rsidP="000F3F01">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7B7234">
        <w:rPr>
          <w:rFonts w:ascii="Verdana" w:eastAsia="Century Gothic" w:hAnsi="Verdana" w:cs="Century Gothic"/>
          <w:b/>
          <w:bCs/>
        </w:rPr>
        <w:t>Referencias normativas, jurisprudenciales y otras fuentes:</w:t>
      </w:r>
    </w:p>
    <w:p w14:paraId="77F49C32" w14:textId="77777777" w:rsidR="000F3F01" w:rsidRPr="007B7234" w:rsidRDefault="000F3F01" w:rsidP="000F3F01">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0F3F01" w:rsidRPr="007B7234" w14:paraId="485A9A57" w14:textId="77777777" w:rsidTr="00A9520F">
        <w:trPr>
          <w:trHeight w:val="870"/>
        </w:trPr>
        <w:tc>
          <w:tcPr>
            <w:tcW w:w="8647" w:type="dxa"/>
            <w:tcBorders>
              <w:top w:val="dotted" w:sz="4" w:space="0" w:color="auto"/>
              <w:left w:val="dotted" w:sz="4" w:space="0" w:color="auto"/>
              <w:bottom w:val="dotted" w:sz="4" w:space="0" w:color="auto"/>
              <w:right w:val="dotted" w:sz="4" w:space="0" w:color="auto"/>
            </w:tcBorders>
          </w:tcPr>
          <w:p w14:paraId="7E191216" w14:textId="77777777" w:rsidR="000F3F01" w:rsidRPr="007B7234" w:rsidRDefault="000F3F01" w:rsidP="000F3F01">
            <w:pPr>
              <w:pStyle w:val="Prrafodelista"/>
              <w:numPr>
                <w:ilvl w:val="0"/>
                <w:numId w:val="28"/>
              </w:numPr>
              <w:rPr>
                <w:rFonts w:ascii="Verdana" w:eastAsia="Aptos" w:hAnsi="Verdana" w:cs="Arial"/>
              </w:rPr>
            </w:pPr>
            <w:r w:rsidRPr="007B7234">
              <w:rPr>
                <w:rFonts w:ascii="Verdana" w:eastAsia="Aptos" w:hAnsi="Verdana" w:cs="Arial"/>
              </w:rPr>
              <w:t>Ley 80 de 1993, Articulo 6 y 7</w:t>
            </w:r>
          </w:p>
          <w:p w14:paraId="22D7D3CD" w14:textId="77777777" w:rsidR="000F3F01" w:rsidRPr="00194C42" w:rsidRDefault="000F3F01" w:rsidP="000F3F01">
            <w:pPr>
              <w:pStyle w:val="Prrafodelista"/>
              <w:numPr>
                <w:ilvl w:val="0"/>
                <w:numId w:val="28"/>
              </w:numPr>
              <w:rPr>
                <w:rFonts w:ascii="Verdana" w:eastAsia="Aptos" w:hAnsi="Verdana" w:cs="Arial"/>
              </w:rPr>
            </w:pPr>
            <w:r w:rsidRPr="007B7234">
              <w:rPr>
                <w:rFonts w:ascii="Verdana" w:eastAsia="Times New Roman" w:hAnsi="Verdana" w:cs="Arial"/>
                <w:lang w:eastAsia="es-CO"/>
              </w:rPr>
              <w:t>Ley 489 de 1995, artículo 95</w:t>
            </w:r>
          </w:p>
          <w:p w14:paraId="4CE5120C" w14:textId="77777777" w:rsidR="000F3F01" w:rsidRPr="00192B19" w:rsidRDefault="000F3F01" w:rsidP="000F3F01">
            <w:pPr>
              <w:pStyle w:val="Prrafodelista"/>
              <w:numPr>
                <w:ilvl w:val="0"/>
                <w:numId w:val="28"/>
              </w:numPr>
              <w:rPr>
                <w:rFonts w:ascii="Verdana" w:eastAsia="Aptos" w:hAnsi="Verdana" w:cs="Arial"/>
              </w:rPr>
            </w:pPr>
            <w:r>
              <w:rPr>
                <w:rFonts w:ascii="Verdana" w:eastAsia="Times New Roman" w:hAnsi="Verdana" w:cs="Arial"/>
                <w:lang w:eastAsia="es-CO"/>
              </w:rPr>
              <w:t>Sentencia C – 230 de 1995</w:t>
            </w:r>
          </w:p>
          <w:p w14:paraId="0AF24781" w14:textId="77777777" w:rsidR="000F3F01" w:rsidRPr="00367369" w:rsidRDefault="000F3F01" w:rsidP="000F3F01">
            <w:pPr>
              <w:pStyle w:val="Prrafodelista"/>
              <w:numPr>
                <w:ilvl w:val="0"/>
                <w:numId w:val="28"/>
              </w:numPr>
              <w:rPr>
                <w:rFonts w:ascii="Verdana" w:eastAsia="Aptos" w:hAnsi="Verdana" w:cs="Arial"/>
              </w:rPr>
            </w:pPr>
            <w:r w:rsidRPr="007B7234">
              <w:rPr>
                <w:rFonts w:ascii="Verdana" w:hAnsi="Verdana" w:cs="Arial"/>
                <w:color w:val="000000" w:themeColor="text1"/>
                <w:lang w:eastAsia="es-ES" w:bidi="es-ES"/>
              </w:rPr>
              <w:t>Ley 397 de 1997</w:t>
            </w:r>
            <w:r>
              <w:rPr>
                <w:rFonts w:ascii="Verdana" w:hAnsi="Verdana" w:cs="Arial"/>
                <w:color w:val="000000" w:themeColor="text1"/>
                <w:lang w:eastAsia="es-ES" w:bidi="es-ES"/>
              </w:rPr>
              <w:t>, articulo 63</w:t>
            </w:r>
          </w:p>
          <w:p w14:paraId="0BADDDFB" w14:textId="77777777" w:rsidR="000F3F01" w:rsidRPr="007B7234" w:rsidRDefault="000F3F01" w:rsidP="000F3F01">
            <w:pPr>
              <w:pStyle w:val="Prrafodelista"/>
              <w:numPr>
                <w:ilvl w:val="0"/>
                <w:numId w:val="28"/>
              </w:numPr>
              <w:rPr>
                <w:rFonts w:ascii="Verdana" w:eastAsia="Aptos" w:hAnsi="Verdana" w:cs="Arial"/>
              </w:rPr>
            </w:pPr>
            <w:r>
              <w:rPr>
                <w:rFonts w:ascii="Verdana" w:eastAsia="Aptos" w:hAnsi="Verdana" w:cs="Arial"/>
              </w:rPr>
              <w:t>Sentencia C- 617 de 2012</w:t>
            </w:r>
          </w:p>
          <w:p w14:paraId="2829AFEA" w14:textId="77777777" w:rsidR="000F3F01" w:rsidRPr="007B7234" w:rsidRDefault="000F3F01" w:rsidP="000F3F01">
            <w:pPr>
              <w:pStyle w:val="Prrafodelista"/>
              <w:numPr>
                <w:ilvl w:val="0"/>
                <w:numId w:val="28"/>
              </w:numPr>
              <w:rPr>
                <w:rFonts w:ascii="Verdana" w:eastAsia="Aptos" w:hAnsi="Verdana" w:cs="Arial"/>
              </w:rPr>
            </w:pPr>
            <w:r w:rsidRPr="007B7234">
              <w:rPr>
                <w:rFonts w:ascii="Verdana" w:eastAsia="Aptos" w:hAnsi="Verdana" w:cs="Arial"/>
              </w:rPr>
              <w:t xml:space="preserve">Decreto 1082 de 2015 </w:t>
            </w:r>
            <w:r w:rsidRPr="007B7234">
              <w:rPr>
                <w:rFonts w:ascii="Verdana" w:hAnsi="Verdana" w:cs="Arial"/>
              </w:rPr>
              <w:t>Artículo 2.2.1.2.1.4.4</w:t>
            </w:r>
          </w:p>
          <w:p w14:paraId="624E73A8" w14:textId="77777777" w:rsidR="000F3F01" w:rsidRPr="007B7234" w:rsidRDefault="000F3F01" w:rsidP="000F3F01">
            <w:pPr>
              <w:pStyle w:val="Prrafodelista"/>
              <w:numPr>
                <w:ilvl w:val="0"/>
                <w:numId w:val="28"/>
              </w:numPr>
              <w:rPr>
                <w:rFonts w:ascii="Verdana" w:hAnsi="Verdana" w:cs="Arial"/>
              </w:rPr>
            </w:pPr>
            <w:r w:rsidRPr="007B7234">
              <w:rPr>
                <w:rFonts w:ascii="Verdana" w:eastAsia="Aptos" w:hAnsi="Verdana" w:cs="Arial"/>
              </w:rPr>
              <w:t xml:space="preserve">Ley 1150 de 2007 </w:t>
            </w:r>
            <w:r w:rsidRPr="007B7234">
              <w:rPr>
                <w:rFonts w:ascii="Verdana" w:hAnsi="Verdana" w:cs="Arial"/>
              </w:rPr>
              <w:t>Artículo 2, numeral 4, literal c</w:t>
            </w:r>
          </w:p>
          <w:p w14:paraId="76B7D117" w14:textId="77777777" w:rsidR="000F3F01" w:rsidRPr="007B7234" w:rsidRDefault="000F3F01" w:rsidP="000F3F01">
            <w:pPr>
              <w:pStyle w:val="Prrafodelista"/>
              <w:numPr>
                <w:ilvl w:val="0"/>
                <w:numId w:val="28"/>
              </w:numPr>
              <w:rPr>
                <w:rFonts w:ascii="Verdana" w:hAnsi="Verdana" w:cs="Arial"/>
              </w:rPr>
            </w:pPr>
            <w:r w:rsidRPr="007B7234">
              <w:rPr>
                <w:rFonts w:ascii="Verdana" w:hAnsi="Verdana" w:cs="Arial"/>
              </w:rPr>
              <w:t>Consejo de Estado. Sección Tercera. Sentencia del 23 de junio de 2010. Radicación No. 66001-23-31-000-1998-00261-01(17.860). C. P. Mauricio Fajardo Gómez.</w:t>
            </w:r>
          </w:p>
          <w:p w14:paraId="04DD5020" w14:textId="77777777" w:rsidR="000F3F01" w:rsidRPr="007B7234" w:rsidRDefault="000F3F01" w:rsidP="000F3F01">
            <w:pPr>
              <w:pStyle w:val="Prrafodelista"/>
              <w:numPr>
                <w:ilvl w:val="0"/>
                <w:numId w:val="28"/>
              </w:numPr>
              <w:rPr>
                <w:rFonts w:ascii="Verdana" w:eastAsia="Aptos" w:hAnsi="Verdana" w:cs="Arial"/>
              </w:rPr>
            </w:pPr>
            <w:r w:rsidRPr="007B7234">
              <w:rPr>
                <w:rFonts w:ascii="Verdana" w:eastAsia="Aptos" w:hAnsi="Verdana" w:cs="Arial"/>
              </w:rPr>
              <w:t>Sentencia C-671 de 2015</w:t>
            </w:r>
          </w:p>
          <w:p w14:paraId="39579D56" w14:textId="77777777" w:rsidR="000F3F01" w:rsidRPr="00CB2266" w:rsidRDefault="000F3F01" w:rsidP="000F3F01">
            <w:pPr>
              <w:pStyle w:val="Prrafodelista"/>
              <w:numPr>
                <w:ilvl w:val="0"/>
                <w:numId w:val="28"/>
              </w:numPr>
              <w:spacing w:line="276" w:lineRule="auto"/>
              <w:ind w:right="709"/>
              <w:rPr>
                <w:rFonts w:ascii="Verdana" w:hAnsi="Verdana" w:cs="Arial"/>
                <w:lang w:val="es-ES_tradnl"/>
              </w:rPr>
            </w:pPr>
            <w:r w:rsidRPr="00CB2266">
              <w:rPr>
                <w:rFonts w:ascii="Verdana" w:hAnsi="Verdana" w:cs="Arial"/>
                <w:lang w:val="es-ES_tradnl"/>
              </w:rPr>
              <w:t xml:space="preserve">Constitución Política de Colombia, artículo 355. Disponible en:  </w:t>
            </w:r>
          </w:p>
          <w:p w14:paraId="713BD18B" w14:textId="77777777" w:rsidR="000F3F01" w:rsidRPr="00CB2266" w:rsidRDefault="000F5E7A" w:rsidP="00A9520F">
            <w:pPr>
              <w:pStyle w:val="Prrafodelista"/>
              <w:spacing w:line="276" w:lineRule="auto"/>
              <w:ind w:right="709"/>
              <w:jc w:val="both"/>
              <w:rPr>
                <w:rFonts w:ascii="Verdana" w:hAnsi="Verdana" w:cs="Arial"/>
                <w:lang w:val="es-ES_tradnl"/>
              </w:rPr>
            </w:pPr>
            <w:hyperlink r:id="rId13" w:history="1">
              <w:r w:rsidR="000F3F01" w:rsidRPr="00CB2266">
                <w:rPr>
                  <w:rStyle w:val="Hipervnculo"/>
                  <w:rFonts w:ascii="Verdana" w:hAnsi="Verdana" w:cs="Arial"/>
                  <w:lang w:val="es-ES_tradnl"/>
                </w:rPr>
                <w:t>https://relatoria.colombiacompra.gov.co/normativa/constitucion-politica-de-colombia/</w:t>
              </w:r>
            </w:hyperlink>
          </w:p>
          <w:p w14:paraId="1EE2B184" w14:textId="77777777" w:rsidR="000F3F01" w:rsidRPr="00CB2266" w:rsidRDefault="000F3F01" w:rsidP="000F3F01">
            <w:pPr>
              <w:pStyle w:val="Prrafodelista"/>
              <w:numPr>
                <w:ilvl w:val="0"/>
                <w:numId w:val="28"/>
              </w:numPr>
              <w:spacing w:line="276" w:lineRule="auto"/>
              <w:ind w:right="709"/>
              <w:jc w:val="both"/>
              <w:rPr>
                <w:rFonts w:ascii="Verdana" w:hAnsi="Verdana" w:cs="Arial"/>
                <w:lang w:val="es-ES_tradnl"/>
              </w:rPr>
            </w:pPr>
            <w:r w:rsidRPr="00CB2266">
              <w:rPr>
                <w:rFonts w:ascii="Verdana" w:hAnsi="Verdana" w:cs="Arial"/>
                <w:lang w:val="es-ES_tradnl"/>
              </w:rPr>
              <w:t xml:space="preserve">Artículo 2, 4, 5 y 8 del Decreto 092 de 2017. </w:t>
            </w:r>
            <w:hyperlink r:id="rId14" w:history="1">
              <w:r w:rsidRPr="00CB2266">
                <w:rPr>
                  <w:rStyle w:val="Hipervnculo"/>
                  <w:rFonts w:ascii="Verdana" w:hAnsi="Verdana" w:cs="Arial"/>
                  <w:lang w:val="es-ES_tradnl"/>
                </w:rPr>
                <w:t>https://relatoria.colombiacompra.gov.co/normativa/decreto-092-de-2017/</w:t>
              </w:r>
            </w:hyperlink>
          </w:p>
          <w:p w14:paraId="79C0DDB5" w14:textId="77777777" w:rsidR="000F3F01" w:rsidRPr="007B7234" w:rsidRDefault="000F3F01" w:rsidP="000F3F01">
            <w:pPr>
              <w:pStyle w:val="Prrafodelista"/>
              <w:numPr>
                <w:ilvl w:val="0"/>
                <w:numId w:val="28"/>
              </w:numPr>
              <w:rPr>
                <w:rFonts w:ascii="Verdana" w:hAnsi="Verdana"/>
              </w:rPr>
            </w:pPr>
          </w:p>
          <w:p w14:paraId="770650E7" w14:textId="77777777" w:rsidR="000F3F01" w:rsidRPr="007B7234" w:rsidRDefault="000F3F01" w:rsidP="00A9520F">
            <w:pPr>
              <w:pStyle w:val="Prrafodelista"/>
              <w:widowControl w:val="0"/>
              <w:tabs>
                <w:tab w:val="left" w:pos="8419"/>
              </w:tabs>
              <w:autoSpaceDE w:val="0"/>
              <w:autoSpaceDN w:val="0"/>
              <w:spacing w:line="276" w:lineRule="auto"/>
              <w:jc w:val="both"/>
              <w:rPr>
                <w:rFonts w:ascii="Verdana" w:hAnsi="Verdana"/>
                <w:color w:val="000000" w:themeColor="text1"/>
              </w:rPr>
            </w:pPr>
          </w:p>
        </w:tc>
      </w:tr>
    </w:tbl>
    <w:p w14:paraId="56DFCF26" w14:textId="77777777" w:rsidR="000F3F01" w:rsidRPr="007B7234" w:rsidRDefault="000F3F01" w:rsidP="000F3F01">
      <w:pPr>
        <w:widowControl w:val="0"/>
        <w:autoSpaceDE w:val="0"/>
        <w:autoSpaceDN w:val="0"/>
        <w:spacing w:after="0" w:line="276" w:lineRule="auto"/>
        <w:jc w:val="both"/>
        <w:rPr>
          <w:rFonts w:ascii="Verdana" w:hAnsi="Verdana" w:cs="Arial"/>
        </w:rPr>
      </w:pPr>
    </w:p>
    <w:p w14:paraId="631AD2F3" w14:textId="77777777" w:rsidR="000F3F01" w:rsidRPr="007B7234" w:rsidRDefault="000F3F01" w:rsidP="000F3F01">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7B7234">
        <w:rPr>
          <w:rFonts w:ascii="Verdana" w:eastAsia="Century Gothic" w:hAnsi="Verdana" w:cs="Century Gothic"/>
          <w:b/>
          <w:bCs/>
        </w:rPr>
        <w:t>Doctrina de la Agencia Nacional de Contratación Pública:</w:t>
      </w:r>
    </w:p>
    <w:p w14:paraId="171B8E92" w14:textId="77777777" w:rsidR="000F3F01" w:rsidRPr="007B7234" w:rsidRDefault="000F3F01" w:rsidP="000F3F01">
      <w:pPr>
        <w:spacing w:after="0" w:line="276" w:lineRule="auto"/>
        <w:jc w:val="both"/>
        <w:rPr>
          <w:rFonts w:ascii="Verdana" w:hAnsi="Verdana" w:cs="Arial"/>
        </w:rPr>
      </w:pPr>
    </w:p>
    <w:p w14:paraId="173925CC" w14:textId="77777777" w:rsidR="000F3F01" w:rsidRPr="007B7234" w:rsidRDefault="000F3F01" w:rsidP="000F3F0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997F78">
        <w:rPr>
          <w:rFonts w:ascii="Verdana" w:eastAsia="Calibri" w:hAnsi="Verdana" w:cs="Arial"/>
          <w:shd w:val="clear" w:color="auto" w:fill="FFFFFF"/>
          <w:lang w:val="es-ES"/>
        </w:rPr>
        <w:t>La Agencia Nacional de Contratación Pública – Colombia Compra Eficiente</w:t>
      </w:r>
      <w:r w:rsidRPr="001B58F3">
        <w:rPr>
          <w:rFonts w:ascii="Verdana" w:eastAsia="Aptos" w:hAnsi="Verdana" w:cs="Times New Roman"/>
          <w:kern w:val="2"/>
          <w:sz w:val="24"/>
          <w:szCs w:val="24"/>
          <w:lang w:val="es-ES_tradnl"/>
          <w14:ligatures w14:val="standardContextual"/>
        </w:rPr>
        <w:t xml:space="preserve"> </w:t>
      </w:r>
      <w:r w:rsidRPr="00997F78">
        <w:rPr>
          <w:rFonts w:ascii="Verdana" w:eastAsia="Calibri" w:hAnsi="Verdana" w:cs="Arial"/>
          <w:shd w:val="clear" w:color="auto" w:fill="FFFFFF"/>
          <w:lang w:val="es-ES"/>
        </w:rPr>
        <w:t>analizó el régimen de jurídico de los convenios y/o contratos interadministrativos</w:t>
      </w:r>
      <w:r>
        <w:rPr>
          <w:rFonts w:ascii="Verdana" w:eastAsia="Calibri" w:hAnsi="Verdana" w:cs="Arial"/>
          <w:shd w:val="clear" w:color="auto" w:fill="FFFFFF"/>
          <w:lang w:val="es-ES"/>
        </w:rPr>
        <w:t>, el Decreto 092 de 2017</w:t>
      </w:r>
      <w:r w:rsidRPr="00997F78">
        <w:rPr>
          <w:rFonts w:ascii="Verdana" w:eastAsia="Calibri" w:hAnsi="Verdana" w:cs="Arial"/>
          <w:shd w:val="clear" w:color="auto" w:fill="FFFFFF"/>
          <w:lang w:val="es-ES"/>
        </w:rPr>
        <w:t>, entre otros, en los conceptos</w:t>
      </w:r>
      <w:r>
        <w:rPr>
          <w:rFonts w:ascii="Verdana" w:eastAsia="Calibri" w:hAnsi="Verdana" w:cs="Arial"/>
          <w:shd w:val="clear" w:color="auto" w:fill="FFFFFF"/>
          <w:lang w:val="es-ES"/>
        </w:rPr>
        <w:t xml:space="preserve"> </w:t>
      </w:r>
      <w:r w:rsidRPr="000942CA">
        <w:rPr>
          <w:rStyle w:val="normaltextrun"/>
          <w:rFonts w:ascii="Verdana" w:hAnsi="Verdana" w:cs="Arial"/>
          <w:shd w:val="clear" w:color="auto" w:fill="FFFFFF"/>
        </w:rPr>
        <w:t xml:space="preserve">conceptos con radicado 4201912000008310 del 26 de diciembre de 2019, 4201912000007899 del 27 de diciembre de 2019, 4201912000007901 del 27 de diciembre de 2019, C-070 04 de marzo de 2020, C-094 del 04 de marzo de 2020, C-086 del 16 de marzo </w:t>
      </w:r>
      <w:r w:rsidRPr="000942CA">
        <w:rPr>
          <w:rStyle w:val="normaltextrun"/>
          <w:rFonts w:ascii="Verdana" w:hAnsi="Verdana" w:cs="Arial"/>
          <w:shd w:val="clear" w:color="auto" w:fill="FFFFFF"/>
        </w:rPr>
        <w:lastRenderedPageBreak/>
        <w:t>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y C-115 del 16 de julio de 2024</w:t>
      </w:r>
      <w:r w:rsidRPr="007B7234">
        <w:rPr>
          <w:rFonts w:ascii="Verdana" w:eastAsia="Calibri" w:hAnsi="Verdana" w:cs="Arial"/>
          <w:lang w:val="es-ES" w:eastAsia="es-ES_tradnl"/>
        </w:rPr>
        <w:t>. Estos</w:t>
      </w:r>
      <w:r w:rsidRPr="007B7234">
        <w:rPr>
          <w:rFonts w:ascii="Verdana" w:hAnsi="Verdana"/>
        </w:rPr>
        <w:t xml:space="preserve"> y otros conceptos se encuentran disponibles para consulta en el Sistema de relatoría de la Agencia, al cual se puede acceder a través del siguiente enlace:</w:t>
      </w:r>
      <w:r w:rsidRPr="007B7234">
        <w:rPr>
          <w:rStyle w:val="normaltextrun"/>
          <w:rFonts w:ascii="Verdana" w:hAnsi="Verdana" w:cs="Arial"/>
          <w:shd w:val="clear" w:color="auto" w:fill="FFFFFF"/>
          <w:lang w:val="es-ES"/>
        </w:rPr>
        <w:t xml:space="preserve"> </w:t>
      </w:r>
      <w:hyperlink r:id="rId15" w:history="1">
        <w:r w:rsidRPr="007B7234">
          <w:rPr>
            <w:rStyle w:val="Hipervnculo"/>
            <w:rFonts w:ascii="Verdana" w:hAnsi="Verdana" w:cs="Arial"/>
            <w:shd w:val="clear" w:color="auto" w:fill="FFFFFF"/>
            <w:lang w:val="es-ES"/>
          </w:rPr>
          <w:t>https://relatoria.colombiacompra.gov.co/busqueda/conceptos</w:t>
        </w:r>
      </w:hyperlink>
    </w:p>
    <w:p w14:paraId="066BC3C7" w14:textId="77777777" w:rsidR="000F3F01" w:rsidRPr="007B7234" w:rsidRDefault="000F3F01" w:rsidP="000F3F0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6F425366" w14:textId="77777777" w:rsidR="000F3F01" w:rsidRPr="007B7234" w:rsidRDefault="000F3F01" w:rsidP="000F3F01">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7B723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7B7234">
        <w:rPr>
          <w:rStyle w:val="normaltextrun"/>
          <w:rFonts w:ascii="Verdana" w:hAnsi="Verdana" w:cs="Arial"/>
          <w:color w:val="FF0000"/>
          <w:shd w:val="clear" w:color="auto" w:fill="FFFFFF"/>
          <w:lang w:val="es-ES"/>
        </w:rPr>
        <w:t xml:space="preserve"> </w:t>
      </w:r>
      <w:hyperlink r:id="rId16" w:history="1">
        <w:r w:rsidRPr="007B7234">
          <w:rPr>
            <w:rStyle w:val="Hipervnculo"/>
            <w:rFonts w:ascii="Verdana" w:hAnsi="Verdana" w:cs="Arial"/>
            <w:shd w:val="clear" w:color="auto" w:fill="FFFFFF"/>
            <w:lang w:val="es-ES"/>
          </w:rPr>
          <w:t>https://www.colombiacompra.gov.co/sala-de-prensa/boletin-digital</w:t>
        </w:r>
      </w:hyperlink>
      <w:r w:rsidRPr="007B7234">
        <w:rPr>
          <w:rStyle w:val="normaltextrun"/>
          <w:rFonts w:ascii="Verdana" w:hAnsi="Verdana" w:cs="Arial"/>
          <w:color w:val="FF0000"/>
          <w:shd w:val="clear" w:color="auto" w:fill="FFFFFF"/>
          <w:lang w:val="es-ES"/>
        </w:rPr>
        <w:t xml:space="preserve">      </w:t>
      </w:r>
    </w:p>
    <w:p w14:paraId="5E867367" w14:textId="77777777" w:rsidR="000F3F01" w:rsidRPr="007B7234" w:rsidRDefault="000F3F01" w:rsidP="000F3F0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6706204A" w14:textId="77777777" w:rsidR="000F3F01" w:rsidRPr="007B7234" w:rsidRDefault="000F3F01" w:rsidP="000F3F01">
      <w:pPr>
        <w:spacing w:after="0" w:line="240" w:lineRule="auto"/>
        <w:jc w:val="both"/>
        <w:rPr>
          <w:rFonts w:ascii="Verdana" w:hAnsi="Verdana"/>
        </w:rPr>
      </w:pPr>
      <w:r w:rsidRPr="007B7234">
        <w:rPr>
          <w:rFonts w:ascii="Verdana" w:hAnsi="Verdana"/>
        </w:rPr>
        <w:t xml:space="preserve">Por último, lo invitamos a seguirnos en las redes sociales en las cuales se difunde información institucional: </w:t>
      </w:r>
    </w:p>
    <w:p w14:paraId="7111A9F8" w14:textId="77777777" w:rsidR="000F3F01" w:rsidRPr="007B7234" w:rsidRDefault="000F3F01" w:rsidP="000F3F01">
      <w:pPr>
        <w:spacing w:after="0" w:line="240" w:lineRule="auto"/>
        <w:jc w:val="both"/>
        <w:rPr>
          <w:rFonts w:ascii="Verdana" w:hAnsi="Verdana"/>
        </w:rPr>
      </w:pPr>
      <w:r w:rsidRPr="007B7234">
        <w:rPr>
          <w:rFonts w:ascii="Verdana" w:hAnsi="Verdana"/>
        </w:rPr>
        <w:t xml:space="preserve">Twitter: </w:t>
      </w:r>
      <w:r w:rsidRPr="007B7234">
        <w:rPr>
          <w:rStyle w:val="Hipervnculo"/>
          <w:rFonts w:ascii="Verdana" w:hAnsi="Verdana"/>
          <w:color w:val="4472C4" w:themeColor="accent1"/>
        </w:rPr>
        <w:t>@colombiacompra</w:t>
      </w:r>
      <w:r w:rsidRPr="007B7234">
        <w:rPr>
          <w:rFonts w:ascii="Verdana" w:hAnsi="Verdana"/>
          <w:color w:val="4472C4" w:themeColor="accent1"/>
        </w:rPr>
        <w:t xml:space="preserve"> </w:t>
      </w:r>
    </w:p>
    <w:p w14:paraId="4DB28F4C" w14:textId="77777777" w:rsidR="000F3F01" w:rsidRPr="007B7234" w:rsidRDefault="000F3F01" w:rsidP="000F3F01">
      <w:pPr>
        <w:spacing w:after="0" w:line="240" w:lineRule="auto"/>
        <w:jc w:val="both"/>
        <w:rPr>
          <w:rFonts w:ascii="Verdana" w:hAnsi="Verdana"/>
        </w:rPr>
      </w:pPr>
      <w:r w:rsidRPr="007B7234">
        <w:rPr>
          <w:rFonts w:ascii="Verdana" w:hAnsi="Verdana"/>
        </w:rPr>
        <w:t xml:space="preserve">Facebook: </w:t>
      </w:r>
      <w:r w:rsidRPr="007B7234">
        <w:rPr>
          <w:rStyle w:val="Hipervnculo"/>
          <w:rFonts w:ascii="Verdana" w:hAnsi="Verdana"/>
          <w:color w:val="4472C4" w:themeColor="accent1"/>
        </w:rPr>
        <w:t>ColombiaCompraEficiente</w:t>
      </w:r>
    </w:p>
    <w:p w14:paraId="5630285B" w14:textId="77777777" w:rsidR="000F3F01" w:rsidRPr="007B7234" w:rsidRDefault="000F3F01" w:rsidP="000F3F01">
      <w:pPr>
        <w:spacing w:after="0" w:line="240" w:lineRule="auto"/>
        <w:jc w:val="both"/>
        <w:rPr>
          <w:rFonts w:ascii="Verdana" w:hAnsi="Verdana"/>
        </w:rPr>
      </w:pPr>
      <w:r w:rsidRPr="007B7234">
        <w:rPr>
          <w:rFonts w:ascii="Verdana" w:hAnsi="Verdana"/>
        </w:rPr>
        <w:t xml:space="preserve">LinkedIn: </w:t>
      </w:r>
      <w:r w:rsidRPr="007B7234">
        <w:rPr>
          <w:rStyle w:val="Hipervnculo"/>
          <w:rFonts w:ascii="Verdana" w:hAnsi="Verdana"/>
          <w:color w:val="4472C4" w:themeColor="accent1"/>
        </w:rPr>
        <w:t>Agencia Nacional de Contratación Pública - Colombia Compra Eficiente</w:t>
      </w:r>
      <w:r w:rsidRPr="007B7234">
        <w:rPr>
          <w:rFonts w:ascii="Verdana" w:hAnsi="Verdana"/>
          <w:color w:val="4472C4" w:themeColor="accent1"/>
        </w:rPr>
        <w:t xml:space="preserve"> </w:t>
      </w:r>
      <w:r w:rsidRPr="007B7234">
        <w:rPr>
          <w:rFonts w:ascii="Verdana" w:hAnsi="Verdana"/>
        </w:rPr>
        <w:t xml:space="preserve">Instagram: </w:t>
      </w:r>
      <w:r w:rsidRPr="007B7234">
        <w:rPr>
          <w:rStyle w:val="Hipervnculo"/>
          <w:rFonts w:ascii="Verdana" w:hAnsi="Verdana"/>
          <w:color w:val="4472C4" w:themeColor="accent1"/>
        </w:rPr>
        <w:t>@colombiacompraeficiente_cce</w:t>
      </w:r>
    </w:p>
    <w:p w14:paraId="10890B6B" w14:textId="77777777" w:rsidR="000F3F01" w:rsidRPr="007B7234" w:rsidRDefault="000F3F01" w:rsidP="000F3F01">
      <w:pPr>
        <w:widowControl w:val="0"/>
        <w:autoSpaceDE w:val="0"/>
        <w:autoSpaceDN w:val="0"/>
        <w:spacing w:after="0" w:line="276" w:lineRule="auto"/>
        <w:jc w:val="both"/>
        <w:rPr>
          <w:rFonts w:ascii="Verdana" w:hAnsi="Verdana"/>
        </w:rPr>
      </w:pPr>
    </w:p>
    <w:p w14:paraId="7487D1F9" w14:textId="77777777" w:rsidR="000F3F01" w:rsidRPr="007B7234" w:rsidRDefault="000F3F01" w:rsidP="000F3F01">
      <w:pPr>
        <w:widowControl w:val="0"/>
        <w:autoSpaceDE w:val="0"/>
        <w:autoSpaceDN w:val="0"/>
        <w:spacing w:after="0" w:line="276" w:lineRule="auto"/>
        <w:jc w:val="both"/>
        <w:rPr>
          <w:rFonts w:ascii="Verdana" w:hAnsi="Verdana" w:cs="Arial"/>
          <w:lang w:val="es-ES_tradnl"/>
        </w:rPr>
      </w:pPr>
      <w:r w:rsidRPr="007B7234">
        <w:rPr>
          <w:rFonts w:ascii="Verdana" w:hAnsi="Verdana" w:cs="Arial"/>
        </w:rPr>
        <w:t xml:space="preserve">Este concepto tiene el alcance previsto en el artículo 28 del Código de Procedimiento Administrativo y de lo Contencioso Administrativo </w:t>
      </w:r>
      <w:r w:rsidRPr="007B7234">
        <w:rPr>
          <w:rFonts w:ascii="Verdana" w:hAnsi="Verdana" w:cs="Arial"/>
          <w:lang w:val="es-ES_tradnl"/>
        </w:rPr>
        <w:t>y las expresiones aquí utilizadas con mayúscula inicial deben ser entendidas con el significado que les otorga el artículo 2.2.1.1.1.3.1. del Decreto 1082 de 2015.</w:t>
      </w:r>
    </w:p>
    <w:p w14:paraId="090C5F37" w14:textId="77777777" w:rsidR="000F5E7A" w:rsidRDefault="000F5E7A" w:rsidP="000F3F01">
      <w:pPr>
        <w:widowControl w:val="0"/>
        <w:autoSpaceDE w:val="0"/>
        <w:autoSpaceDN w:val="0"/>
        <w:spacing w:after="0" w:line="276" w:lineRule="auto"/>
        <w:jc w:val="both"/>
        <w:rPr>
          <w:rFonts w:ascii="Verdana" w:hAnsi="Verdana" w:cs="Arial"/>
        </w:rPr>
      </w:pPr>
    </w:p>
    <w:p w14:paraId="0457635D" w14:textId="77777777" w:rsidR="000F5E7A" w:rsidRDefault="000F5E7A" w:rsidP="000F3F01">
      <w:pPr>
        <w:widowControl w:val="0"/>
        <w:autoSpaceDE w:val="0"/>
        <w:autoSpaceDN w:val="0"/>
        <w:spacing w:after="0" w:line="276" w:lineRule="auto"/>
        <w:jc w:val="both"/>
        <w:rPr>
          <w:rFonts w:ascii="Verdana" w:hAnsi="Verdana" w:cs="Arial"/>
        </w:rPr>
      </w:pPr>
    </w:p>
    <w:p w14:paraId="32170919" w14:textId="77777777" w:rsidR="000F5E7A" w:rsidRDefault="000F5E7A" w:rsidP="000F3F01">
      <w:pPr>
        <w:widowControl w:val="0"/>
        <w:autoSpaceDE w:val="0"/>
        <w:autoSpaceDN w:val="0"/>
        <w:spacing w:after="0" w:line="276" w:lineRule="auto"/>
        <w:jc w:val="both"/>
        <w:rPr>
          <w:rFonts w:ascii="Verdana" w:hAnsi="Verdana" w:cs="Arial"/>
        </w:rPr>
      </w:pPr>
    </w:p>
    <w:p w14:paraId="72F87E9C" w14:textId="77777777" w:rsidR="000F5E7A" w:rsidRPr="007B7234" w:rsidRDefault="000F5E7A" w:rsidP="000F3F01">
      <w:pPr>
        <w:widowControl w:val="0"/>
        <w:autoSpaceDE w:val="0"/>
        <w:autoSpaceDN w:val="0"/>
        <w:spacing w:after="0" w:line="276" w:lineRule="auto"/>
        <w:jc w:val="both"/>
        <w:rPr>
          <w:rFonts w:ascii="Verdana" w:hAnsi="Verdana" w:cs="Arial"/>
        </w:rPr>
      </w:pPr>
    </w:p>
    <w:p w14:paraId="252F45BC" w14:textId="77777777" w:rsidR="000F3F01" w:rsidRPr="007B7234" w:rsidRDefault="000F3F01" w:rsidP="000F3F01">
      <w:pPr>
        <w:spacing w:after="0" w:line="240" w:lineRule="auto"/>
        <w:rPr>
          <w:rFonts w:ascii="Verdana" w:hAnsi="Verdana" w:cs="Arial"/>
          <w:lang w:eastAsia="es-CO"/>
        </w:rPr>
      </w:pPr>
      <w:r w:rsidRPr="007B7234">
        <w:rPr>
          <w:rFonts w:ascii="Verdana" w:eastAsia="Times New Roman" w:hAnsi="Verdana" w:cs="Arial"/>
          <w:lang w:eastAsia="es-CO"/>
        </w:rPr>
        <w:lastRenderedPageBreak/>
        <w:t>Atentamente,</w:t>
      </w:r>
      <w:r w:rsidRPr="007B7234">
        <w:rPr>
          <w:rFonts w:ascii="Verdana" w:hAnsi="Verdana" w:cs="Arial"/>
          <w:lang w:eastAsia="es-CO"/>
        </w:rPr>
        <w:t xml:space="preserve"> </w:t>
      </w:r>
    </w:p>
    <w:p w14:paraId="21930993" w14:textId="041BDDB1" w:rsidR="000F3F01" w:rsidRPr="007B7234" w:rsidRDefault="0036389F" w:rsidP="000F3F01">
      <w:pPr>
        <w:spacing w:line="276" w:lineRule="auto"/>
        <w:jc w:val="center"/>
        <w:rPr>
          <w:rFonts w:ascii="Verdana" w:hAnsi="Verdana" w:cs="Arial"/>
          <w:lang w:val="es-ES_tradnl" w:eastAsia="es-CO"/>
        </w:rPr>
      </w:pPr>
      <w:r>
        <w:rPr>
          <w:noProof/>
        </w:rPr>
        <w:drawing>
          <wp:inline distT="0" distB="0" distL="0" distR="0" wp14:anchorId="3C146FE5" wp14:editId="1901ADFD">
            <wp:extent cx="3771429" cy="1400000"/>
            <wp:effectExtent l="0" t="0" r="635" b="0"/>
            <wp:docPr id="145170457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04574"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5375"/>
      </w:tblGrid>
      <w:tr w:rsidR="000F3F01" w:rsidRPr="007B7234" w14:paraId="45E1017C" w14:textId="77777777" w:rsidTr="00A9520F">
        <w:trPr>
          <w:trHeight w:val="315"/>
        </w:trPr>
        <w:tc>
          <w:tcPr>
            <w:tcW w:w="893" w:type="dxa"/>
            <w:vAlign w:val="center"/>
            <w:hideMark/>
          </w:tcPr>
          <w:p w14:paraId="20E322CC" w14:textId="77777777" w:rsidR="000F3F01" w:rsidRPr="007B7234" w:rsidRDefault="000F3F01" w:rsidP="00A9520F">
            <w:pPr>
              <w:spacing w:after="255"/>
              <w:contextualSpacing/>
              <w:rPr>
                <w:rFonts w:ascii="Verdana" w:hAnsi="Verdana" w:cs="Arial"/>
                <w:lang w:val="es-ES" w:eastAsia="es-ES"/>
              </w:rPr>
            </w:pPr>
            <w:r w:rsidRPr="007B7234">
              <w:rPr>
                <w:rFonts w:ascii="Verdana" w:hAnsi="Verdana" w:cs="Arial"/>
                <w:lang w:val="es-ES" w:eastAsia="es-ES"/>
              </w:rPr>
              <w:t>Elaboró:</w:t>
            </w:r>
          </w:p>
        </w:tc>
        <w:tc>
          <w:tcPr>
            <w:tcW w:w="5628" w:type="dxa"/>
            <w:tcBorders>
              <w:top w:val="nil"/>
              <w:left w:val="nil"/>
              <w:bottom w:val="dotted" w:sz="4" w:space="0" w:color="7F7F7F" w:themeColor="text1" w:themeTint="80"/>
              <w:right w:val="nil"/>
            </w:tcBorders>
            <w:vAlign w:val="center"/>
            <w:hideMark/>
          </w:tcPr>
          <w:p w14:paraId="44BAB025" w14:textId="77777777" w:rsidR="000F3F01" w:rsidRPr="00EC1EBC" w:rsidRDefault="000F3F01" w:rsidP="00A9520F">
            <w:pPr>
              <w:spacing w:after="255"/>
              <w:contextualSpacing/>
              <w:rPr>
                <w:rFonts w:ascii="Verdana" w:eastAsia="Arial" w:hAnsi="Verdana" w:cs="Arial"/>
                <w:sz w:val="16"/>
                <w:szCs w:val="16"/>
              </w:rPr>
            </w:pPr>
            <w:r w:rsidRPr="00EC1EBC">
              <w:rPr>
                <w:rStyle w:val="normaltextrun"/>
                <w:rFonts w:ascii="Verdana" w:hAnsi="Verdana"/>
                <w:sz w:val="16"/>
                <w:szCs w:val="16"/>
              </w:rPr>
              <w:t>Gloria Ximena Moreno Guio</w:t>
            </w:r>
          </w:p>
          <w:p w14:paraId="49045295" w14:textId="77777777" w:rsidR="000F3F01" w:rsidRPr="00EC1EBC" w:rsidRDefault="000F3F01" w:rsidP="00A9520F">
            <w:pPr>
              <w:spacing w:after="255"/>
              <w:contextualSpacing/>
              <w:rPr>
                <w:rFonts w:ascii="Verdana" w:eastAsia="Arial" w:hAnsi="Verdana" w:cs="Arial"/>
                <w:sz w:val="16"/>
                <w:szCs w:val="16"/>
              </w:rPr>
            </w:pPr>
            <w:r w:rsidRPr="00EC1EBC">
              <w:rPr>
                <w:rStyle w:val="normaltextrun"/>
                <w:rFonts w:ascii="Verdana" w:eastAsia="Arial" w:hAnsi="Verdana" w:cs="Arial"/>
                <w:sz w:val="16"/>
                <w:szCs w:val="16"/>
              </w:rPr>
              <w:t>Contratista de la Subdirección de Gestión Contractual</w:t>
            </w:r>
          </w:p>
        </w:tc>
      </w:tr>
      <w:tr w:rsidR="000F3F01" w:rsidRPr="007B7234" w14:paraId="358E6008" w14:textId="77777777" w:rsidTr="00A9520F">
        <w:trPr>
          <w:trHeight w:val="330"/>
        </w:trPr>
        <w:tc>
          <w:tcPr>
            <w:tcW w:w="893" w:type="dxa"/>
            <w:vAlign w:val="center"/>
            <w:hideMark/>
          </w:tcPr>
          <w:p w14:paraId="6402C657" w14:textId="77777777" w:rsidR="000F3F01" w:rsidRPr="007B7234" w:rsidRDefault="000F3F01" w:rsidP="00A9520F">
            <w:pPr>
              <w:spacing w:after="255"/>
              <w:contextualSpacing/>
              <w:rPr>
                <w:rFonts w:ascii="Verdana" w:hAnsi="Verdana" w:cs="Arial"/>
                <w:lang w:val="es-ES" w:eastAsia="es-ES"/>
              </w:rPr>
            </w:pPr>
            <w:r w:rsidRPr="007B7234">
              <w:rPr>
                <w:rFonts w:ascii="Verdana" w:hAnsi="Verdana" w:cs="Arial"/>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97FDEB5" w14:textId="77777777" w:rsidR="000F3F01" w:rsidRPr="00EC1EBC" w:rsidRDefault="000F3F01" w:rsidP="00A9520F">
            <w:pPr>
              <w:pStyle w:val="paragraph"/>
              <w:spacing w:after="0"/>
              <w:contextualSpacing/>
              <w:textAlignment w:val="baseline"/>
              <w:rPr>
                <w:rStyle w:val="normaltextrun"/>
                <w:rFonts w:ascii="Verdana" w:hAnsi="Verdana" w:cs="Arial"/>
                <w:sz w:val="16"/>
                <w:szCs w:val="16"/>
                <w:lang w:val="es-ES"/>
              </w:rPr>
            </w:pPr>
            <w:r w:rsidRPr="00EC1EBC">
              <w:rPr>
                <w:rStyle w:val="normaltextrun"/>
                <w:rFonts w:ascii="Verdana" w:hAnsi="Verdana" w:cs="Arial"/>
                <w:sz w:val="16"/>
                <w:szCs w:val="16"/>
                <w:lang w:val="es-ES"/>
              </w:rPr>
              <w:t>Juan David Cárdenas Cabeza</w:t>
            </w:r>
          </w:p>
          <w:p w14:paraId="198F9D33" w14:textId="77777777" w:rsidR="000F3F01" w:rsidRPr="00EC1EBC" w:rsidRDefault="000F3F01" w:rsidP="00A9520F">
            <w:pPr>
              <w:pStyle w:val="paragraph"/>
              <w:spacing w:before="0" w:beforeAutospacing="0" w:after="0" w:afterAutospacing="0"/>
              <w:contextualSpacing/>
              <w:textAlignment w:val="baseline"/>
              <w:rPr>
                <w:rFonts w:ascii="Verdana" w:hAnsi="Verdana" w:cs="Segoe UI"/>
                <w:sz w:val="16"/>
                <w:szCs w:val="16"/>
              </w:rPr>
            </w:pPr>
            <w:r w:rsidRPr="00EC1EBC">
              <w:rPr>
                <w:rStyle w:val="normaltextrun"/>
                <w:rFonts w:ascii="Verdana" w:hAnsi="Verdana" w:cs="Arial"/>
                <w:sz w:val="16"/>
                <w:szCs w:val="16"/>
                <w:lang w:val="es-ES"/>
              </w:rPr>
              <w:t>Contratista de la Subdirección de Gestión Contractual</w:t>
            </w:r>
          </w:p>
        </w:tc>
      </w:tr>
      <w:tr w:rsidR="000F3F01" w:rsidRPr="007B7234" w14:paraId="050DF7B9" w14:textId="77777777" w:rsidTr="00A9520F">
        <w:trPr>
          <w:trHeight w:val="300"/>
        </w:trPr>
        <w:tc>
          <w:tcPr>
            <w:tcW w:w="893" w:type="dxa"/>
            <w:vAlign w:val="center"/>
            <w:hideMark/>
          </w:tcPr>
          <w:p w14:paraId="3206D6B8" w14:textId="77777777" w:rsidR="000F3F01" w:rsidRPr="007B7234" w:rsidRDefault="000F3F01" w:rsidP="00A9520F">
            <w:pPr>
              <w:spacing w:after="255"/>
              <w:contextualSpacing/>
              <w:rPr>
                <w:rFonts w:ascii="Verdana" w:hAnsi="Verdana" w:cs="Arial"/>
                <w:lang w:val="es-ES" w:eastAsia="es-ES"/>
              </w:rPr>
            </w:pPr>
            <w:r w:rsidRPr="007B7234">
              <w:rPr>
                <w:rFonts w:ascii="Verdana" w:hAnsi="Verdana" w:cs="Arial"/>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B681314" w14:textId="77777777" w:rsidR="000F3F01" w:rsidRPr="00EC1EBC" w:rsidRDefault="000F3F01" w:rsidP="00A9520F">
            <w:pPr>
              <w:spacing w:after="255"/>
              <w:contextualSpacing/>
              <w:rPr>
                <w:rFonts w:ascii="Verdana" w:eastAsia="Calibri" w:hAnsi="Verdana" w:cs="Arial"/>
                <w:sz w:val="16"/>
                <w:szCs w:val="16"/>
                <w:lang w:val="pt-BR" w:eastAsia="es-ES"/>
              </w:rPr>
            </w:pPr>
            <w:r w:rsidRPr="00EC1EBC">
              <w:rPr>
                <w:rFonts w:ascii="Verdana" w:eastAsia="Calibri" w:hAnsi="Verdana" w:cs="Arial"/>
                <w:sz w:val="16"/>
                <w:szCs w:val="16"/>
                <w:lang w:val="pt-BR" w:eastAsia="es-ES"/>
              </w:rPr>
              <w:t>Carolina Quintero Gacharná</w:t>
            </w:r>
          </w:p>
          <w:p w14:paraId="72B0D5FB" w14:textId="77777777" w:rsidR="000F3F01" w:rsidRPr="00EC1EBC" w:rsidRDefault="000F3F01" w:rsidP="00A9520F">
            <w:pPr>
              <w:spacing w:after="255"/>
              <w:contextualSpacing/>
              <w:rPr>
                <w:rFonts w:ascii="Verdana" w:eastAsia="Calibri" w:hAnsi="Verdana" w:cs="Arial"/>
                <w:sz w:val="16"/>
                <w:szCs w:val="16"/>
                <w:lang w:val="pt-BR" w:eastAsia="es-ES"/>
              </w:rPr>
            </w:pPr>
            <w:r w:rsidRPr="00EC1EBC">
              <w:rPr>
                <w:rFonts w:ascii="Verdana" w:eastAsia="Calibri" w:hAnsi="Verdana" w:cs="Arial"/>
                <w:sz w:val="16"/>
                <w:szCs w:val="16"/>
                <w:lang w:eastAsia="es-ES"/>
              </w:rPr>
              <w:t>Subdirectora</w:t>
            </w:r>
            <w:r w:rsidRPr="00EC1EBC">
              <w:rPr>
                <w:rFonts w:ascii="Verdana" w:eastAsia="Calibri" w:hAnsi="Verdana" w:cs="Arial"/>
                <w:sz w:val="16"/>
                <w:szCs w:val="16"/>
                <w:lang w:val="pt-BR" w:eastAsia="es-ES"/>
              </w:rPr>
              <w:t xml:space="preserve"> de Gestión Contratual ANCP – CCE</w:t>
            </w:r>
          </w:p>
        </w:tc>
      </w:tr>
    </w:tbl>
    <w:p w14:paraId="03E5194D" w14:textId="77777777" w:rsidR="000F3F01" w:rsidRPr="001B58F3" w:rsidRDefault="000F3F01" w:rsidP="000F3F01">
      <w:pPr>
        <w:spacing w:after="0" w:line="240" w:lineRule="auto"/>
        <w:rPr>
          <w:rFonts w:ascii="Verdana" w:eastAsia="Times New Roman" w:hAnsi="Verdana" w:cs="Arial"/>
          <w:lang w:eastAsia="es-ES"/>
        </w:rPr>
      </w:pPr>
    </w:p>
    <w:p w14:paraId="3B31177E" w14:textId="77777777" w:rsidR="00FA41B9" w:rsidRPr="000F3F01" w:rsidRDefault="00FA41B9" w:rsidP="000F3F01"/>
    <w:sectPr w:rsidR="00FA41B9" w:rsidRPr="000F3F01"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6C283" w14:textId="77777777" w:rsidR="00D76869" w:rsidRDefault="00D76869" w:rsidP="00B30448">
      <w:pPr>
        <w:spacing w:after="0" w:line="240" w:lineRule="auto"/>
      </w:pPr>
      <w:r>
        <w:separator/>
      </w:r>
    </w:p>
  </w:endnote>
  <w:endnote w:type="continuationSeparator" w:id="0">
    <w:p w14:paraId="1CD2DFA6" w14:textId="77777777" w:rsidR="00D76869" w:rsidRDefault="00D76869" w:rsidP="00B30448">
      <w:pPr>
        <w:spacing w:after="0" w:line="240" w:lineRule="auto"/>
      </w:pPr>
      <w:r>
        <w:continuationSeparator/>
      </w:r>
    </w:p>
  </w:endnote>
  <w:endnote w:type="continuationNotice" w:id="1">
    <w:p w14:paraId="40DF39E6" w14:textId="77777777" w:rsidR="00D76869" w:rsidRDefault="00D76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4CC4" w14:textId="77777777" w:rsidR="00D76869" w:rsidRDefault="00D76869" w:rsidP="00B30448">
      <w:pPr>
        <w:spacing w:after="0" w:line="240" w:lineRule="auto"/>
      </w:pPr>
      <w:r>
        <w:separator/>
      </w:r>
    </w:p>
  </w:footnote>
  <w:footnote w:type="continuationSeparator" w:id="0">
    <w:p w14:paraId="7E10C81C" w14:textId="77777777" w:rsidR="00D76869" w:rsidRDefault="00D76869" w:rsidP="00B30448">
      <w:pPr>
        <w:spacing w:after="0" w:line="240" w:lineRule="auto"/>
      </w:pPr>
      <w:r>
        <w:continuationSeparator/>
      </w:r>
    </w:p>
  </w:footnote>
  <w:footnote w:type="continuationNotice" w:id="1">
    <w:p w14:paraId="15FFD697" w14:textId="77777777" w:rsidR="00D76869" w:rsidRDefault="00D76869">
      <w:pPr>
        <w:spacing w:after="0" w:line="240" w:lineRule="auto"/>
      </w:pPr>
    </w:p>
  </w:footnote>
  <w:footnote w:id="2">
    <w:p w14:paraId="60A89316" w14:textId="77777777" w:rsidR="000F3F01" w:rsidRPr="00652E52" w:rsidRDefault="000F3F01" w:rsidP="000F3F01">
      <w:pPr>
        <w:pStyle w:val="Textonotapie"/>
        <w:ind w:firstLine="709"/>
        <w:jc w:val="both"/>
        <w:rPr>
          <w:rFonts w:ascii="Verdana" w:hAnsi="Verdana" w:cs="Arial"/>
          <w:color w:val="000000" w:themeColor="text1"/>
          <w:sz w:val="12"/>
          <w:szCs w:val="12"/>
          <w:lang w:val="es-CO"/>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w:t>
      </w:r>
      <w:r w:rsidRPr="00652E52">
        <w:rPr>
          <w:rFonts w:ascii="Verdana" w:hAnsi="Verdana" w:cs="Arial"/>
          <w:iCs/>
          <w:color w:val="000000" w:themeColor="text1"/>
          <w:sz w:val="12"/>
          <w:szCs w:val="12"/>
        </w:rPr>
        <w:t>Artículo 57 de la Ley 397 de 1997.</w:t>
      </w:r>
    </w:p>
    <w:p w14:paraId="3E1F96B9" w14:textId="77777777" w:rsidR="000F3F01" w:rsidRPr="00652E52" w:rsidRDefault="000F3F01" w:rsidP="000F3F01">
      <w:pPr>
        <w:pStyle w:val="Textonotapie"/>
        <w:ind w:firstLine="709"/>
        <w:jc w:val="both"/>
        <w:rPr>
          <w:rFonts w:ascii="Verdana" w:hAnsi="Verdana" w:cs="Arial"/>
          <w:color w:val="000000" w:themeColor="text1"/>
          <w:sz w:val="12"/>
          <w:szCs w:val="12"/>
          <w:lang w:val="es-CO"/>
        </w:rPr>
      </w:pPr>
    </w:p>
  </w:footnote>
  <w:footnote w:id="3">
    <w:p w14:paraId="5CE607FA"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Sentencia C-671 de 1999. M.P. Alfredo Beltrán Sierra.</w:t>
      </w:r>
    </w:p>
    <w:p w14:paraId="7FCCFAAD" w14:textId="77777777" w:rsidR="000F3F01" w:rsidRPr="00652E52" w:rsidRDefault="000F3F01" w:rsidP="000F3F01">
      <w:pPr>
        <w:pStyle w:val="Textonotapie"/>
        <w:ind w:firstLine="709"/>
        <w:jc w:val="both"/>
        <w:rPr>
          <w:rFonts w:ascii="Verdana" w:hAnsi="Verdana" w:cs="Arial"/>
          <w:color w:val="000000" w:themeColor="text1"/>
          <w:sz w:val="12"/>
          <w:szCs w:val="12"/>
          <w:lang w:val="es-CO"/>
        </w:rPr>
      </w:pPr>
    </w:p>
  </w:footnote>
  <w:footnote w:id="4">
    <w:p w14:paraId="75B9BE86" w14:textId="77777777" w:rsidR="000F3F01" w:rsidRPr="00652E52" w:rsidRDefault="000F3F01" w:rsidP="000F3F01">
      <w:pPr>
        <w:pStyle w:val="Textonotapie"/>
        <w:ind w:firstLine="709"/>
        <w:jc w:val="both"/>
        <w:rPr>
          <w:rFonts w:ascii="Verdana" w:hAnsi="Verdana" w:cs="Arial"/>
          <w:color w:val="000000" w:themeColor="text1"/>
          <w:sz w:val="12"/>
          <w:szCs w:val="12"/>
          <w:lang w:val="es-CO"/>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Corte Constitucional. </w:t>
      </w:r>
      <w:r w:rsidRPr="00652E52">
        <w:rPr>
          <w:rFonts w:ascii="Verdana" w:hAnsi="Verdana" w:cs="Arial"/>
          <w:iCs/>
          <w:color w:val="000000" w:themeColor="text1"/>
          <w:sz w:val="12"/>
          <w:szCs w:val="12"/>
        </w:rPr>
        <w:t>Sentencia C-617 de 2012, M.P. Luis Ernesto Vargas Silva.</w:t>
      </w:r>
    </w:p>
  </w:footnote>
  <w:footnote w:id="5">
    <w:p w14:paraId="71CF084C"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Corte Constitucional. Sentencia C-230 de 1995. M.P. Antonio Barrera Carbonell.</w:t>
      </w:r>
    </w:p>
    <w:p w14:paraId="2E7E41EC" w14:textId="77777777" w:rsidR="000F3F01" w:rsidRPr="00652E52" w:rsidRDefault="000F3F01" w:rsidP="000F3F01">
      <w:pPr>
        <w:pStyle w:val="Textonotapie"/>
        <w:jc w:val="both"/>
        <w:rPr>
          <w:rFonts w:ascii="Verdana" w:hAnsi="Verdana" w:cs="Arial"/>
          <w:color w:val="000000" w:themeColor="text1"/>
          <w:sz w:val="12"/>
          <w:szCs w:val="12"/>
          <w:lang w:val="es-CO"/>
        </w:rPr>
      </w:pPr>
    </w:p>
  </w:footnote>
  <w:footnote w:id="6">
    <w:p w14:paraId="3CB3CD61" w14:textId="77777777" w:rsidR="000F3F01" w:rsidRPr="00652E52" w:rsidRDefault="000F3F01" w:rsidP="000F3F01">
      <w:pPr>
        <w:pStyle w:val="Textonotapie"/>
        <w:ind w:firstLine="709"/>
        <w:jc w:val="both"/>
        <w:rPr>
          <w:rFonts w:ascii="Verdana" w:hAnsi="Verdana" w:cs="Arial"/>
          <w:iCs/>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iCs/>
          <w:color w:val="000000" w:themeColor="text1"/>
          <w:sz w:val="12"/>
          <w:szCs w:val="12"/>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 Civil. Concepto del 16 de febrero de 2016, rad. 2015-00110-00(2259). C.P. Álvaro </w:t>
      </w:r>
      <w:proofErr w:type="spellStart"/>
      <w:r w:rsidRPr="00652E52">
        <w:rPr>
          <w:rFonts w:ascii="Verdana" w:hAnsi="Verdana" w:cs="Arial"/>
          <w:iCs/>
          <w:color w:val="000000" w:themeColor="text1"/>
          <w:sz w:val="12"/>
          <w:szCs w:val="12"/>
        </w:rPr>
        <w:t>Namén</w:t>
      </w:r>
      <w:proofErr w:type="spellEnd"/>
      <w:r w:rsidRPr="00652E52">
        <w:rPr>
          <w:rFonts w:ascii="Verdana" w:hAnsi="Verdana" w:cs="Arial"/>
          <w:iCs/>
          <w:color w:val="000000" w:themeColor="text1"/>
          <w:sz w:val="12"/>
          <w:szCs w:val="12"/>
        </w:rPr>
        <w:t xml:space="preserve"> Vargas.</w:t>
      </w:r>
    </w:p>
    <w:p w14:paraId="58DAE97D" w14:textId="77777777" w:rsidR="000F3F01" w:rsidRPr="00652E52" w:rsidRDefault="000F3F01" w:rsidP="000F3F01">
      <w:pPr>
        <w:pStyle w:val="Textonotapie"/>
        <w:ind w:firstLine="709"/>
        <w:jc w:val="both"/>
        <w:rPr>
          <w:rFonts w:ascii="Verdana" w:hAnsi="Verdana" w:cs="Arial"/>
          <w:color w:val="000000" w:themeColor="text1"/>
          <w:sz w:val="12"/>
          <w:szCs w:val="12"/>
          <w:lang w:val="es-CO"/>
        </w:rPr>
      </w:pPr>
    </w:p>
  </w:footnote>
  <w:footnote w:id="7">
    <w:p w14:paraId="613C45C9" w14:textId="77777777" w:rsidR="000F3F01" w:rsidRPr="00652E52" w:rsidRDefault="000F3F01" w:rsidP="000F3F01">
      <w:pPr>
        <w:pStyle w:val="Textonotapie"/>
        <w:ind w:firstLine="709"/>
        <w:jc w:val="both"/>
        <w:rPr>
          <w:rFonts w:ascii="Verdana" w:hAnsi="Verdana" w:cs="Arial"/>
          <w:iCs/>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iCs/>
          <w:color w:val="000000" w:themeColor="text1"/>
          <w:sz w:val="12"/>
          <w:szCs w:val="12"/>
        </w:rPr>
        <w:t xml:space="preserve"> Definición legal que hoy puede encontrarse en el artículo 3 del CPACA.</w:t>
      </w:r>
    </w:p>
    <w:p w14:paraId="604E2701" w14:textId="77777777" w:rsidR="000F3F01" w:rsidRPr="00652E52" w:rsidRDefault="000F3F01" w:rsidP="000F3F01">
      <w:pPr>
        <w:pStyle w:val="Textonotapie"/>
        <w:ind w:firstLine="709"/>
        <w:jc w:val="both"/>
        <w:rPr>
          <w:rFonts w:ascii="Verdana" w:hAnsi="Verdana" w:cs="Arial"/>
          <w:iCs/>
          <w:color w:val="000000" w:themeColor="text1"/>
          <w:sz w:val="12"/>
          <w:szCs w:val="12"/>
        </w:rPr>
      </w:pPr>
    </w:p>
  </w:footnote>
  <w:footnote w:id="8">
    <w:p w14:paraId="313B3C4A"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8849E13" w14:textId="77777777" w:rsidR="000F3F01" w:rsidRPr="00652E52" w:rsidRDefault="000F3F01" w:rsidP="000F3F01">
      <w:pPr>
        <w:pStyle w:val="Textonotapie"/>
        <w:ind w:firstLine="709"/>
        <w:jc w:val="both"/>
        <w:rPr>
          <w:rFonts w:ascii="Verdana" w:hAnsi="Verdana" w:cs="Arial"/>
          <w:color w:val="000000" w:themeColor="text1"/>
          <w:sz w:val="12"/>
          <w:szCs w:val="12"/>
          <w:lang w:val="es-CO"/>
        </w:rPr>
      </w:pPr>
    </w:p>
  </w:footnote>
  <w:footnote w:id="9">
    <w:p w14:paraId="22B12BC6" w14:textId="77777777" w:rsidR="000F3F01" w:rsidRPr="00652E52" w:rsidRDefault="000F3F01" w:rsidP="000F3F01">
      <w:pPr>
        <w:pStyle w:val="Textonotapie"/>
        <w:ind w:firstLine="709"/>
        <w:jc w:val="both"/>
        <w:rPr>
          <w:rFonts w:ascii="Verdana" w:hAnsi="Verdana" w:cs="Arial"/>
          <w:iCs/>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w:t>
      </w:r>
      <w:r w:rsidRPr="00652E52">
        <w:rPr>
          <w:rFonts w:ascii="Verdana" w:hAnsi="Verdana" w:cs="Arial"/>
          <w:iCs/>
          <w:color w:val="000000" w:themeColor="text1"/>
          <w:sz w:val="12"/>
          <w:szCs w:val="12"/>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p w14:paraId="01E921DA" w14:textId="77777777" w:rsidR="000F3F01" w:rsidRPr="00652E52" w:rsidRDefault="000F3F01" w:rsidP="000F3F01">
      <w:pPr>
        <w:pStyle w:val="Textonotapie"/>
        <w:ind w:firstLine="709"/>
        <w:jc w:val="both"/>
        <w:rPr>
          <w:rFonts w:ascii="Verdana" w:hAnsi="Verdana" w:cs="Arial"/>
          <w:color w:val="000000" w:themeColor="text1"/>
          <w:sz w:val="12"/>
          <w:szCs w:val="12"/>
        </w:rPr>
      </w:pPr>
    </w:p>
  </w:footnote>
  <w:footnote w:id="10">
    <w:p w14:paraId="67C45048"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“Artículo 14. De los medios que pueden utilizar las entidades estatales para el cumplimiento del objeto contractual. Para el cumplimiento de los fines de la contratación, las entidades estatales al celebrar un contrato: </w:t>
      </w:r>
    </w:p>
    <w:p w14:paraId="7148BAD0"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Fonts w:ascii="Verdana" w:hAnsi="Verdana" w:cs="Arial"/>
          <w:color w:val="000000" w:themeColor="text1"/>
          <w:sz w:val="12"/>
          <w:szCs w:val="12"/>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0E33BA8C"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Fonts w:ascii="Verdana" w:hAnsi="Verdana" w:cs="Arial"/>
          <w:color w:val="000000" w:themeColor="text1"/>
          <w:sz w:val="12"/>
          <w:szCs w:val="12"/>
        </w:rPr>
        <w:t>[…]</w:t>
      </w:r>
    </w:p>
    <w:p w14:paraId="71883F6F"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Fonts w:ascii="Verdana" w:hAnsi="Verdana" w:cs="Arial"/>
          <w:color w:val="000000" w:themeColor="text1"/>
          <w:sz w:val="12"/>
          <w:szCs w:val="12"/>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12F67678" w14:textId="77777777" w:rsidR="000F3F01" w:rsidRPr="00652E52" w:rsidRDefault="000F3F01" w:rsidP="000F3F01">
      <w:pPr>
        <w:pStyle w:val="Textonotapie"/>
        <w:ind w:firstLine="709"/>
        <w:jc w:val="both"/>
        <w:rPr>
          <w:rFonts w:ascii="Verdana" w:hAnsi="Verdana" w:cs="Arial"/>
          <w:color w:val="000000" w:themeColor="text1"/>
          <w:sz w:val="12"/>
          <w:szCs w:val="12"/>
        </w:rPr>
      </w:pPr>
    </w:p>
  </w:footnote>
  <w:footnote w:id="11">
    <w:p w14:paraId="142B97DD" w14:textId="77777777" w:rsidR="000F3F01" w:rsidRPr="00652E52" w:rsidRDefault="000F3F01" w:rsidP="000F3F01">
      <w:pPr>
        <w:pStyle w:val="Textonotapie"/>
        <w:ind w:firstLine="709"/>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76DAA96" w14:textId="77777777" w:rsidR="000F3F01" w:rsidRPr="00652E52" w:rsidRDefault="000F3F01" w:rsidP="000F3F01">
      <w:pPr>
        <w:pStyle w:val="Textonotapie"/>
        <w:ind w:firstLine="709"/>
        <w:rPr>
          <w:rFonts w:ascii="Verdana" w:hAnsi="Verdana" w:cs="Arial"/>
          <w:color w:val="000000" w:themeColor="text1"/>
          <w:sz w:val="12"/>
          <w:szCs w:val="12"/>
        </w:rPr>
      </w:pPr>
      <w:r w:rsidRPr="00652E52">
        <w:rPr>
          <w:rFonts w:ascii="Verdana" w:hAnsi="Verdana" w:cs="Arial"/>
          <w:color w:val="000000" w:themeColor="text1"/>
          <w:sz w:val="12"/>
          <w:szCs w:val="12"/>
        </w:rPr>
        <w:t xml:space="preserve">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75362A42" w14:textId="77777777" w:rsidR="000F3F01" w:rsidRPr="00652E52" w:rsidRDefault="000F3F01" w:rsidP="000F3F01">
      <w:pPr>
        <w:pStyle w:val="Textonotapie"/>
        <w:ind w:firstLine="709"/>
        <w:rPr>
          <w:rFonts w:ascii="Verdana" w:hAnsi="Verdana" w:cs="Arial"/>
          <w:color w:val="000000" w:themeColor="text1"/>
          <w:sz w:val="12"/>
          <w:szCs w:val="12"/>
        </w:rPr>
      </w:pPr>
    </w:p>
  </w:footnote>
  <w:footnote w:id="12">
    <w:p w14:paraId="3A002A27" w14:textId="77777777" w:rsidR="000F3F01" w:rsidRPr="00652E52" w:rsidRDefault="000F3F01" w:rsidP="000F3F01">
      <w:pPr>
        <w:pStyle w:val="Textonotapie"/>
        <w:ind w:firstLine="709"/>
        <w:jc w:val="both"/>
        <w:rPr>
          <w:rFonts w:ascii="Verdana" w:hAnsi="Verdana" w:cs="Arial"/>
          <w:sz w:val="12"/>
          <w:szCs w:val="12"/>
        </w:rPr>
      </w:pPr>
      <w:r w:rsidRPr="00652E52">
        <w:rPr>
          <w:rStyle w:val="Refdenotaalpie"/>
          <w:rFonts w:ascii="Verdana" w:hAnsi="Verdana" w:cs="Arial"/>
          <w:sz w:val="12"/>
          <w:szCs w:val="12"/>
        </w:rPr>
        <w:footnoteRef/>
      </w:r>
      <w:r w:rsidRPr="00652E52">
        <w:rPr>
          <w:rFonts w:ascii="Verdana" w:hAnsi="Verdana" w:cs="Arial"/>
          <w:sz w:val="12"/>
          <w:szCs w:val="12"/>
        </w:rPr>
        <w:t xml:space="preserve"> Consejo de Estado, Sala de Consulta y Servicio Civil, Concepto de 26 de julio de 2016. Radicado 11001-03-06-000-2015-00102-00 (2257). Consejero Ponente: Álvaro </w:t>
      </w:r>
      <w:proofErr w:type="spellStart"/>
      <w:r w:rsidRPr="00652E52">
        <w:rPr>
          <w:rFonts w:ascii="Verdana" w:hAnsi="Verdana" w:cs="Arial"/>
          <w:sz w:val="12"/>
          <w:szCs w:val="12"/>
        </w:rPr>
        <w:t>Namén</w:t>
      </w:r>
      <w:proofErr w:type="spellEnd"/>
      <w:r w:rsidRPr="00652E52">
        <w:rPr>
          <w:rFonts w:ascii="Verdana" w:hAnsi="Verdana" w:cs="Arial"/>
          <w:sz w:val="12"/>
          <w:szCs w:val="12"/>
        </w:rPr>
        <w:t xml:space="preserve"> Vargas.</w:t>
      </w:r>
    </w:p>
  </w:footnote>
  <w:footnote w:id="13">
    <w:p w14:paraId="335DDD88"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Concepto del 3 de septiembre de 2019, con radicado No. 2201913000006512.</w:t>
      </w:r>
    </w:p>
    <w:p w14:paraId="33086933" w14:textId="77777777" w:rsidR="000F3F01" w:rsidRPr="00652E52" w:rsidRDefault="000F3F01" w:rsidP="000F3F01">
      <w:pPr>
        <w:pStyle w:val="Textonotapie"/>
        <w:ind w:firstLine="709"/>
        <w:jc w:val="both"/>
        <w:rPr>
          <w:rFonts w:ascii="Verdana" w:hAnsi="Verdana" w:cs="Arial"/>
          <w:color w:val="000000" w:themeColor="text1"/>
          <w:sz w:val="12"/>
          <w:szCs w:val="12"/>
        </w:rPr>
      </w:pPr>
    </w:p>
  </w:footnote>
  <w:footnote w:id="14">
    <w:p w14:paraId="64B8853E"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Sobre la naturaleza de los convenios de asociación, se reitera lo expuesto en el concepto del 19 de noviembre de 2019, con radicado No. 2201913000008611.</w:t>
      </w:r>
    </w:p>
    <w:p w14:paraId="15DC92D0" w14:textId="77777777" w:rsidR="000F3F01" w:rsidRPr="00652E52" w:rsidRDefault="000F3F01" w:rsidP="000F3F01">
      <w:pPr>
        <w:pStyle w:val="Textonotapie"/>
        <w:ind w:firstLine="709"/>
        <w:jc w:val="both"/>
        <w:rPr>
          <w:rFonts w:ascii="Verdana" w:hAnsi="Verdana" w:cs="Arial"/>
          <w:color w:val="000000" w:themeColor="text1"/>
          <w:sz w:val="12"/>
          <w:szCs w:val="12"/>
        </w:rPr>
      </w:pPr>
    </w:p>
  </w:footnote>
  <w:footnote w:id="15">
    <w:p w14:paraId="49F8EFA2" w14:textId="77777777" w:rsidR="000F3F01" w:rsidRPr="00652E52" w:rsidRDefault="000F3F01" w:rsidP="000F3F01">
      <w:pPr>
        <w:pStyle w:val="Textonotapie"/>
        <w:ind w:firstLine="709"/>
        <w:jc w:val="both"/>
        <w:rPr>
          <w:rFonts w:ascii="Verdana" w:hAnsi="Verdana" w:cs="Arial"/>
          <w:color w:val="000000" w:themeColor="text1"/>
          <w:sz w:val="12"/>
          <w:szCs w:val="12"/>
        </w:rPr>
      </w:pPr>
      <w:r w:rsidRPr="00652E52">
        <w:rPr>
          <w:rStyle w:val="Refdenotaalpie"/>
          <w:rFonts w:ascii="Verdana" w:hAnsi="Verdana" w:cs="Arial"/>
          <w:color w:val="000000" w:themeColor="text1"/>
          <w:sz w:val="12"/>
          <w:szCs w:val="12"/>
        </w:rPr>
        <w:footnoteRef/>
      </w:r>
      <w:r w:rsidRPr="00652E52">
        <w:rPr>
          <w:rFonts w:ascii="Verdana" w:hAnsi="Verdana" w:cs="Arial"/>
          <w:color w:val="000000" w:themeColor="text1"/>
          <w:sz w:val="12"/>
          <w:szCs w:val="12"/>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6E0DEAEC" w14:textId="77777777" w:rsidR="000F3F01" w:rsidRPr="00652E52" w:rsidRDefault="000F3F01" w:rsidP="000F3F01">
      <w:pPr>
        <w:pStyle w:val="Textonotapie"/>
        <w:ind w:firstLine="709"/>
        <w:jc w:val="both"/>
        <w:rPr>
          <w:rFonts w:ascii="Verdana" w:hAnsi="Verdana" w:cs="Arial"/>
          <w:color w:val="000000" w:themeColor="text1"/>
          <w:sz w:val="12"/>
          <w:szCs w:val="12"/>
          <w:lang w:val="es-ES"/>
        </w:rPr>
      </w:pPr>
    </w:p>
  </w:footnote>
  <w:footnote w:id="16">
    <w:p w14:paraId="26FA4E1B" w14:textId="77777777" w:rsidR="000F3F01" w:rsidRPr="00652E52" w:rsidRDefault="000F3F01" w:rsidP="000F3F01">
      <w:pPr>
        <w:pStyle w:val="Textonotapie"/>
        <w:ind w:firstLine="708"/>
        <w:jc w:val="both"/>
        <w:rPr>
          <w:rFonts w:ascii="Verdana" w:hAnsi="Verdana"/>
          <w:sz w:val="12"/>
          <w:szCs w:val="12"/>
        </w:rPr>
      </w:pPr>
      <w:r w:rsidRPr="00652E52">
        <w:rPr>
          <w:rStyle w:val="Refdenotaalpie"/>
          <w:rFonts w:ascii="Verdana" w:hAnsi="Verdana"/>
          <w:sz w:val="12"/>
          <w:szCs w:val="12"/>
        </w:rPr>
        <w:footnoteRef/>
      </w:r>
      <w:r w:rsidRPr="00652E52">
        <w:rPr>
          <w:rFonts w:ascii="Verdana" w:hAnsi="Verdana"/>
          <w:sz w:val="12"/>
          <w:szCs w:val="12"/>
        </w:rPr>
        <w:t xml:space="preserve">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17">
    <w:p w14:paraId="6B932AB6" w14:textId="77777777" w:rsidR="000F3F01" w:rsidRPr="00652E52" w:rsidRDefault="000F3F01" w:rsidP="000F3F01">
      <w:pPr>
        <w:pStyle w:val="Textonotapie"/>
        <w:ind w:firstLine="708"/>
        <w:jc w:val="both"/>
        <w:rPr>
          <w:rFonts w:ascii="Verdana" w:hAnsi="Verdana"/>
          <w:sz w:val="12"/>
          <w:szCs w:val="12"/>
        </w:rPr>
      </w:pPr>
    </w:p>
    <w:p w14:paraId="07DA7E35" w14:textId="77777777" w:rsidR="000F3F01" w:rsidRPr="00652E52" w:rsidRDefault="000F3F01" w:rsidP="000F3F01">
      <w:pPr>
        <w:pStyle w:val="Textonotapie"/>
        <w:ind w:firstLine="708"/>
        <w:jc w:val="both"/>
        <w:rPr>
          <w:rFonts w:ascii="Verdana" w:hAnsi="Verdana"/>
          <w:sz w:val="12"/>
          <w:szCs w:val="12"/>
          <w:lang w:val="es-CO"/>
        </w:rPr>
      </w:pPr>
      <w:r w:rsidRPr="00652E52">
        <w:rPr>
          <w:rStyle w:val="Refdenotaalpie"/>
          <w:rFonts w:ascii="Verdana" w:hAnsi="Verdana"/>
          <w:sz w:val="12"/>
          <w:szCs w:val="12"/>
        </w:rPr>
        <w:footnoteRef/>
      </w:r>
      <w:r w:rsidRPr="00652E52">
        <w:rPr>
          <w:rFonts w:ascii="Verdana" w:hAnsi="Verdana"/>
          <w:sz w:val="12"/>
          <w:szCs w:val="12"/>
        </w:rPr>
        <w:t xml:space="preserve"> “</w:t>
      </w:r>
      <w:r w:rsidRPr="00652E52">
        <w:rPr>
          <w:rFonts w:ascii="Verdana" w:hAnsi="Verdana"/>
          <w:sz w:val="12"/>
          <w:szCs w:val="12"/>
          <w:lang w:val="es-CO"/>
        </w:rPr>
        <w:t>Artículo 7º.</w:t>
      </w:r>
      <w:r w:rsidRPr="00652E52">
        <w:rPr>
          <w:rFonts w:ascii="Verdana" w:hAnsi="Verdana"/>
          <w:b/>
          <w:bCs/>
          <w:i/>
          <w:iCs/>
          <w:sz w:val="12"/>
          <w:szCs w:val="12"/>
          <w:lang w:val="es-CO"/>
        </w:rPr>
        <w:t> </w:t>
      </w:r>
      <w:r w:rsidRPr="00652E52">
        <w:rPr>
          <w:rFonts w:ascii="Verdana" w:hAnsi="Verdana"/>
          <w:sz w:val="12"/>
          <w:szCs w:val="12"/>
          <w:lang w:val="es-CO"/>
        </w:rPr>
        <w:t xml:space="preserve">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652E52">
        <w:rPr>
          <w:rFonts w:ascii="Verdana" w:hAnsi="Verdana"/>
          <w:sz w:val="12"/>
          <w:szCs w:val="12"/>
          <w:lang w:val="es-CO"/>
        </w:rPr>
        <w:t>que</w:t>
      </w:r>
      <w:proofErr w:type="spellEnd"/>
      <w:r w:rsidRPr="00652E52">
        <w:rPr>
          <w:rFonts w:ascii="Verdana" w:hAnsi="Verdana"/>
          <w:sz w:val="12"/>
          <w:szCs w:val="12"/>
          <w:lang w:val="es-CO"/>
        </w:rPr>
        <w:t xml:space="preserv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642874EB" w14:textId="77777777" w:rsidR="000F3F01" w:rsidRPr="00652E52" w:rsidRDefault="000F3F01" w:rsidP="000F3F01">
      <w:pPr>
        <w:pStyle w:val="Textonotapie"/>
        <w:ind w:firstLine="708"/>
        <w:jc w:val="both"/>
        <w:rPr>
          <w:rFonts w:ascii="Verdana" w:hAnsi="Verdana"/>
          <w:sz w:val="12"/>
          <w:szCs w:val="12"/>
        </w:rPr>
      </w:pPr>
      <w:r w:rsidRPr="00652E52">
        <w:rPr>
          <w:rFonts w:ascii="Verdana" w:hAnsi="Verdana"/>
          <w:sz w:val="12"/>
          <w:szCs w:val="12"/>
        </w:rPr>
        <w:t xml:space="preserve"> </w:t>
      </w:r>
    </w:p>
  </w:footnote>
  <w:footnote w:id="18">
    <w:p w14:paraId="7F1A4803" w14:textId="77777777" w:rsidR="000F3F01" w:rsidRPr="00652E52" w:rsidRDefault="000F3F01" w:rsidP="000F3F01">
      <w:pPr>
        <w:pStyle w:val="Textonotapie"/>
        <w:ind w:firstLine="708"/>
        <w:jc w:val="both"/>
        <w:rPr>
          <w:rFonts w:ascii="Verdana" w:hAnsi="Verdana"/>
          <w:sz w:val="12"/>
          <w:szCs w:val="12"/>
        </w:rPr>
      </w:pPr>
      <w:r w:rsidRPr="00652E52">
        <w:rPr>
          <w:rStyle w:val="Refdenotaalpie"/>
          <w:rFonts w:ascii="Verdana" w:hAnsi="Verdana"/>
          <w:sz w:val="12"/>
          <w:szCs w:val="12"/>
        </w:rPr>
        <w:footnoteRef/>
      </w:r>
      <w:r w:rsidRPr="00652E52">
        <w:rPr>
          <w:rFonts w:ascii="Verdana" w:hAnsi="Verdana"/>
          <w:sz w:val="12"/>
          <w:szCs w:val="12"/>
        </w:rPr>
        <w:t xml:space="preserve"> “Artículo 8º. Aplicación de normas generales del sistema de contratación pública. La contratación a la que hace referencia el presente decreto está sujeta a las normas generales aplicables a la contratación pública excepto en lo reglamentado en el presente decreto”. </w:t>
      </w:r>
    </w:p>
  </w:footnote>
  <w:footnote w:id="19">
    <w:p w14:paraId="2E49A9D4" w14:textId="77777777" w:rsidR="000F3F01" w:rsidRPr="00652E52" w:rsidRDefault="000F3F01" w:rsidP="000F3F01">
      <w:pPr>
        <w:pStyle w:val="Textonotapie"/>
        <w:rPr>
          <w:rFonts w:ascii="Verdana" w:hAnsi="Verdana"/>
          <w:sz w:val="12"/>
          <w:szCs w:val="12"/>
        </w:rPr>
      </w:pPr>
    </w:p>
    <w:p w14:paraId="5B0504E7" w14:textId="77777777" w:rsidR="000F3F01" w:rsidRPr="00652E52" w:rsidRDefault="000F3F01" w:rsidP="000F3F01">
      <w:pPr>
        <w:pStyle w:val="Textonotapie"/>
        <w:ind w:firstLine="708"/>
        <w:rPr>
          <w:rFonts w:ascii="Verdana" w:hAnsi="Verdana"/>
          <w:sz w:val="12"/>
          <w:szCs w:val="12"/>
        </w:rPr>
      </w:pPr>
      <w:r w:rsidRPr="00652E52">
        <w:rPr>
          <w:rFonts w:ascii="Verdana" w:hAnsi="Verdana"/>
          <w:sz w:val="12"/>
          <w:szCs w:val="12"/>
          <w:lang w:val="es-CO"/>
        </w:rPr>
        <w:footnoteRef/>
      </w:r>
      <w:r w:rsidRPr="00652E52">
        <w:rPr>
          <w:rFonts w:ascii="Verdana" w:hAnsi="Verdana"/>
          <w:sz w:val="12"/>
          <w:szCs w:val="12"/>
          <w:lang w:val="es-CO"/>
        </w:rPr>
        <w:t xml:space="preserve">Se puede consultar en el siguiente enlace: </w:t>
      </w:r>
      <w:hyperlink r:id="rId1" w:history="1">
        <w:r w:rsidRPr="00652E52">
          <w:rPr>
            <w:rStyle w:val="Hipervnculo"/>
            <w:rFonts w:ascii="Verdana" w:hAnsi="Verdana"/>
            <w:sz w:val="12"/>
            <w:szCs w:val="12"/>
          </w:rPr>
          <w:t>https://www.colombiacompra.gov.co/sites/cce_public/files/cce_documents/cce_guia_esal.pdf</w:t>
        </w:r>
      </w:hyperlink>
      <w:r w:rsidRPr="00652E52">
        <w:rPr>
          <w:rFonts w:ascii="Verdana" w:hAnsi="Verdana"/>
          <w:sz w:val="12"/>
          <w:szCs w:val="12"/>
        </w:rPr>
        <w:t xml:space="preserve"> </w:t>
      </w:r>
    </w:p>
    <w:p w14:paraId="6A99F86B" w14:textId="77777777" w:rsidR="000F3F01" w:rsidRPr="00652E52" w:rsidRDefault="000F3F01" w:rsidP="000F3F01">
      <w:pPr>
        <w:pStyle w:val="Textonotapie"/>
        <w:ind w:firstLine="708"/>
        <w:rPr>
          <w:rFonts w:ascii="Verdana" w:hAnsi="Verdana"/>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4B2448"/>
    <w:multiLevelType w:val="multilevel"/>
    <w:tmpl w:val="1F9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D807785"/>
    <w:multiLevelType w:val="hybridMultilevel"/>
    <w:tmpl w:val="F956D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BC59B1"/>
    <w:multiLevelType w:val="hybridMultilevel"/>
    <w:tmpl w:val="9B9AECF8"/>
    <w:lvl w:ilvl="0" w:tplc="7AF69CD2">
      <w:start w:val="1"/>
      <w:numFmt w:val="lowerRoman"/>
      <w:lvlText w:val="%1)"/>
      <w:lvlJc w:val="left"/>
      <w:pPr>
        <w:ind w:left="1440" w:hanging="720"/>
      </w:pPr>
      <w:rPr>
        <w:rFonts w:ascii="Verdana" w:hAnsi="Verdana"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DD61541"/>
    <w:multiLevelType w:val="hybridMultilevel"/>
    <w:tmpl w:val="4A3E9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6F64BE"/>
    <w:multiLevelType w:val="hybridMultilevel"/>
    <w:tmpl w:val="F5A09EF0"/>
    <w:lvl w:ilvl="0" w:tplc="92788410">
      <w:start w:val="1"/>
      <w:numFmt w:val="decimal"/>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1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2B5634A"/>
    <w:multiLevelType w:val="hybridMultilevel"/>
    <w:tmpl w:val="2A4AE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2501D3"/>
    <w:multiLevelType w:val="hybridMultilevel"/>
    <w:tmpl w:val="37460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B30A72"/>
    <w:multiLevelType w:val="hybridMultilevel"/>
    <w:tmpl w:val="F40AE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8" w15:restartNumberingAfterBreak="0">
    <w:nsid w:val="4D050BF0"/>
    <w:multiLevelType w:val="hybridMultilevel"/>
    <w:tmpl w:val="8FD8F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F47D1A"/>
    <w:multiLevelType w:val="multilevel"/>
    <w:tmpl w:val="30D6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DD0257"/>
    <w:multiLevelType w:val="hybridMultilevel"/>
    <w:tmpl w:val="CA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C50FF7"/>
    <w:multiLevelType w:val="hybridMultilevel"/>
    <w:tmpl w:val="559E1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23" w15:restartNumberingAfterBreak="0">
    <w:nsid w:val="68886460"/>
    <w:multiLevelType w:val="hybridMultilevel"/>
    <w:tmpl w:val="59BAC92C"/>
    <w:lvl w:ilvl="0" w:tplc="6556F346">
      <w:start w:val="1"/>
      <w:numFmt w:val="decimal"/>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24"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781C0F7C"/>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0F3274"/>
    <w:multiLevelType w:val="hybridMultilevel"/>
    <w:tmpl w:val="0A524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835ABD"/>
    <w:multiLevelType w:val="multilevel"/>
    <w:tmpl w:val="9D2C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0670214">
    <w:abstractNumId w:val="12"/>
  </w:num>
  <w:num w:numId="2" w16cid:durableId="4285022">
    <w:abstractNumId w:val="3"/>
  </w:num>
  <w:num w:numId="3" w16cid:durableId="881983949">
    <w:abstractNumId w:val="4"/>
  </w:num>
  <w:num w:numId="4" w16cid:durableId="341274352">
    <w:abstractNumId w:val="0"/>
  </w:num>
  <w:num w:numId="5" w16cid:durableId="1887524674">
    <w:abstractNumId w:val="17"/>
  </w:num>
  <w:num w:numId="6" w16cid:durableId="1082990391">
    <w:abstractNumId w:val="2"/>
  </w:num>
  <w:num w:numId="7" w16cid:durableId="1492209491">
    <w:abstractNumId w:val="11"/>
  </w:num>
  <w:num w:numId="8" w16cid:durableId="679089576">
    <w:abstractNumId w:val="13"/>
  </w:num>
  <w:num w:numId="9" w16cid:durableId="38668947">
    <w:abstractNumId w:val="24"/>
  </w:num>
  <w:num w:numId="10" w16cid:durableId="530729171">
    <w:abstractNumId w:val="25"/>
  </w:num>
  <w:num w:numId="11" w16cid:durableId="1332373419">
    <w:abstractNumId w:val="10"/>
  </w:num>
  <w:num w:numId="12" w16cid:durableId="1335765048">
    <w:abstractNumId w:val="23"/>
  </w:num>
  <w:num w:numId="13" w16cid:durableId="260576391">
    <w:abstractNumId w:val="15"/>
  </w:num>
  <w:num w:numId="14"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355891">
    <w:abstractNumId w:val="8"/>
  </w:num>
  <w:num w:numId="16" w16cid:durableId="1474638032">
    <w:abstractNumId w:val="22"/>
  </w:num>
  <w:num w:numId="17" w16cid:durableId="372116021">
    <w:abstractNumId w:val="16"/>
  </w:num>
  <w:num w:numId="18" w16cid:durableId="856845149">
    <w:abstractNumId w:val="19"/>
  </w:num>
  <w:num w:numId="19" w16cid:durableId="61874046">
    <w:abstractNumId w:val="21"/>
  </w:num>
  <w:num w:numId="20" w16cid:durableId="794831771">
    <w:abstractNumId w:val="6"/>
  </w:num>
  <w:num w:numId="21" w16cid:durableId="328875954">
    <w:abstractNumId w:val="20"/>
  </w:num>
  <w:num w:numId="22" w16cid:durableId="1942368513">
    <w:abstractNumId w:val="7"/>
  </w:num>
  <w:num w:numId="23" w16cid:durableId="666519263">
    <w:abstractNumId w:val="1"/>
  </w:num>
  <w:num w:numId="24" w16cid:durableId="459492120">
    <w:abstractNumId w:val="27"/>
  </w:num>
  <w:num w:numId="25" w16cid:durableId="1757631431">
    <w:abstractNumId w:val="14"/>
  </w:num>
  <w:num w:numId="26" w16cid:durableId="1347054778">
    <w:abstractNumId w:val="26"/>
  </w:num>
  <w:num w:numId="27" w16cid:durableId="1984659389">
    <w:abstractNumId w:val="18"/>
  </w:num>
  <w:num w:numId="28" w16cid:durableId="1238785151">
    <w:abstractNumId w:val="9"/>
  </w:num>
  <w:num w:numId="29" w16cid:durableId="209015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05F81"/>
    <w:rsid w:val="0000775D"/>
    <w:rsid w:val="0001025F"/>
    <w:rsid w:val="0001222D"/>
    <w:rsid w:val="000135EB"/>
    <w:rsid w:val="0001363C"/>
    <w:rsid w:val="00015D2B"/>
    <w:rsid w:val="00031584"/>
    <w:rsid w:val="00032A0E"/>
    <w:rsid w:val="00033C4D"/>
    <w:rsid w:val="00037347"/>
    <w:rsid w:val="0004039F"/>
    <w:rsid w:val="0004221D"/>
    <w:rsid w:val="0004327D"/>
    <w:rsid w:val="000442CC"/>
    <w:rsid w:val="000556D4"/>
    <w:rsid w:val="00055F34"/>
    <w:rsid w:val="00061AA2"/>
    <w:rsid w:val="000716AB"/>
    <w:rsid w:val="00080BEF"/>
    <w:rsid w:val="00082E4C"/>
    <w:rsid w:val="000849D5"/>
    <w:rsid w:val="0008528F"/>
    <w:rsid w:val="00093779"/>
    <w:rsid w:val="00093914"/>
    <w:rsid w:val="000A563E"/>
    <w:rsid w:val="000A6B1F"/>
    <w:rsid w:val="000A6E0C"/>
    <w:rsid w:val="000A7A56"/>
    <w:rsid w:val="000B1FF7"/>
    <w:rsid w:val="000B2513"/>
    <w:rsid w:val="000B3A49"/>
    <w:rsid w:val="000B4024"/>
    <w:rsid w:val="000B6EA6"/>
    <w:rsid w:val="000C3C51"/>
    <w:rsid w:val="000C49A7"/>
    <w:rsid w:val="000C7262"/>
    <w:rsid w:val="000D2A7F"/>
    <w:rsid w:val="000D4FCE"/>
    <w:rsid w:val="000E24CE"/>
    <w:rsid w:val="000F21A6"/>
    <w:rsid w:val="000F3F01"/>
    <w:rsid w:val="000F553C"/>
    <w:rsid w:val="000F5E7A"/>
    <w:rsid w:val="00100E61"/>
    <w:rsid w:val="001069C5"/>
    <w:rsid w:val="0011037E"/>
    <w:rsid w:val="001363C7"/>
    <w:rsid w:val="00137463"/>
    <w:rsid w:val="00141AC5"/>
    <w:rsid w:val="001453D4"/>
    <w:rsid w:val="00146B11"/>
    <w:rsid w:val="00147A04"/>
    <w:rsid w:val="0015476D"/>
    <w:rsid w:val="00161E13"/>
    <w:rsid w:val="00164AE0"/>
    <w:rsid w:val="00165E83"/>
    <w:rsid w:val="00166CD7"/>
    <w:rsid w:val="001673A9"/>
    <w:rsid w:val="0017120C"/>
    <w:rsid w:val="00172F3A"/>
    <w:rsid w:val="001765C3"/>
    <w:rsid w:val="00192B19"/>
    <w:rsid w:val="00192C56"/>
    <w:rsid w:val="00194C42"/>
    <w:rsid w:val="0019532A"/>
    <w:rsid w:val="0019670E"/>
    <w:rsid w:val="00197205"/>
    <w:rsid w:val="001A2B94"/>
    <w:rsid w:val="001A5DD4"/>
    <w:rsid w:val="001A67E9"/>
    <w:rsid w:val="001A7A97"/>
    <w:rsid w:val="001B143B"/>
    <w:rsid w:val="001B21CA"/>
    <w:rsid w:val="001C04FC"/>
    <w:rsid w:val="001C25A3"/>
    <w:rsid w:val="001C5D03"/>
    <w:rsid w:val="001C774C"/>
    <w:rsid w:val="001C7771"/>
    <w:rsid w:val="001D117D"/>
    <w:rsid w:val="001D62FF"/>
    <w:rsid w:val="001E40A4"/>
    <w:rsid w:val="001F2E86"/>
    <w:rsid w:val="001F3F48"/>
    <w:rsid w:val="002000AA"/>
    <w:rsid w:val="00204109"/>
    <w:rsid w:val="00211E6E"/>
    <w:rsid w:val="00212A46"/>
    <w:rsid w:val="0021401D"/>
    <w:rsid w:val="002146B8"/>
    <w:rsid w:val="00215516"/>
    <w:rsid w:val="002268FE"/>
    <w:rsid w:val="00246693"/>
    <w:rsid w:val="002515CF"/>
    <w:rsid w:val="002527C2"/>
    <w:rsid w:val="002619E9"/>
    <w:rsid w:val="002625B9"/>
    <w:rsid w:val="00263BB6"/>
    <w:rsid w:val="00270443"/>
    <w:rsid w:val="00270EE2"/>
    <w:rsid w:val="00272972"/>
    <w:rsid w:val="00276D00"/>
    <w:rsid w:val="00286491"/>
    <w:rsid w:val="002A0F8D"/>
    <w:rsid w:val="002A1C03"/>
    <w:rsid w:val="002A6102"/>
    <w:rsid w:val="002B6E44"/>
    <w:rsid w:val="002C2DE8"/>
    <w:rsid w:val="002C44DA"/>
    <w:rsid w:val="002D1068"/>
    <w:rsid w:val="002E1DB5"/>
    <w:rsid w:val="002E36AF"/>
    <w:rsid w:val="002E70C0"/>
    <w:rsid w:val="002F6CCB"/>
    <w:rsid w:val="0030001A"/>
    <w:rsid w:val="00300AC6"/>
    <w:rsid w:val="0030461E"/>
    <w:rsid w:val="003175B7"/>
    <w:rsid w:val="00322559"/>
    <w:rsid w:val="0032756A"/>
    <w:rsid w:val="00334EF8"/>
    <w:rsid w:val="00336408"/>
    <w:rsid w:val="00340DFB"/>
    <w:rsid w:val="00341913"/>
    <w:rsid w:val="0034404F"/>
    <w:rsid w:val="00356980"/>
    <w:rsid w:val="003625E6"/>
    <w:rsid w:val="0036389F"/>
    <w:rsid w:val="00366CB2"/>
    <w:rsid w:val="00367369"/>
    <w:rsid w:val="00367462"/>
    <w:rsid w:val="0037185E"/>
    <w:rsid w:val="00371ECA"/>
    <w:rsid w:val="00372748"/>
    <w:rsid w:val="0037332A"/>
    <w:rsid w:val="00373639"/>
    <w:rsid w:val="0038151A"/>
    <w:rsid w:val="0039082A"/>
    <w:rsid w:val="00390C21"/>
    <w:rsid w:val="00391884"/>
    <w:rsid w:val="003A27C5"/>
    <w:rsid w:val="003A37BD"/>
    <w:rsid w:val="003B64D4"/>
    <w:rsid w:val="003B6A61"/>
    <w:rsid w:val="003B6D94"/>
    <w:rsid w:val="003C0892"/>
    <w:rsid w:val="003C4C96"/>
    <w:rsid w:val="003C55E0"/>
    <w:rsid w:val="003C7F39"/>
    <w:rsid w:val="003D0A6C"/>
    <w:rsid w:val="003E486B"/>
    <w:rsid w:val="003E5E30"/>
    <w:rsid w:val="003F5088"/>
    <w:rsid w:val="003F519B"/>
    <w:rsid w:val="0040544F"/>
    <w:rsid w:val="00406A19"/>
    <w:rsid w:val="0041222D"/>
    <w:rsid w:val="0041483E"/>
    <w:rsid w:val="00415369"/>
    <w:rsid w:val="00430492"/>
    <w:rsid w:val="00430AC6"/>
    <w:rsid w:val="00434A93"/>
    <w:rsid w:val="00450BE7"/>
    <w:rsid w:val="00450FDB"/>
    <w:rsid w:val="004577FB"/>
    <w:rsid w:val="0046741E"/>
    <w:rsid w:val="00472CC6"/>
    <w:rsid w:val="0048026E"/>
    <w:rsid w:val="004807A9"/>
    <w:rsid w:val="004813EE"/>
    <w:rsid w:val="0048758A"/>
    <w:rsid w:val="00493278"/>
    <w:rsid w:val="004943D9"/>
    <w:rsid w:val="004A0E7B"/>
    <w:rsid w:val="004A2FB2"/>
    <w:rsid w:val="004A3498"/>
    <w:rsid w:val="004A78C0"/>
    <w:rsid w:val="004B0C45"/>
    <w:rsid w:val="004C0AB2"/>
    <w:rsid w:val="004C1619"/>
    <w:rsid w:val="004C1A26"/>
    <w:rsid w:val="004C1CC9"/>
    <w:rsid w:val="004C3755"/>
    <w:rsid w:val="004C4485"/>
    <w:rsid w:val="004C5BCE"/>
    <w:rsid w:val="004C6E7B"/>
    <w:rsid w:val="004D11AF"/>
    <w:rsid w:val="004F1A75"/>
    <w:rsid w:val="004F1CE2"/>
    <w:rsid w:val="00500DFA"/>
    <w:rsid w:val="005019AA"/>
    <w:rsid w:val="005021BB"/>
    <w:rsid w:val="005116D4"/>
    <w:rsid w:val="005139E7"/>
    <w:rsid w:val="005147DA"/>
    <w:rsid w:val="00515FB5"/>
    <w:rsid w:val="00521D66"/>
    <w:rsid w:val="0052365C"/>
    <w:rsid w:val="005249B4"/>
    <w:rsid w:val="005271EB"/>
    <w:rsid w:val="00534567"/>
    <w:rsid w:val="005426DB"/>
    <w:rsid w:val="005446FB"/>
    <w:rsid w:val="0055082B"/>
    <w:rsid w:val="00552503"/>
    <w:rsid w:val="00552B57"/>
    <w:rsid w:val="00557DA1"/>
    <w:rsid w:val="0056322C"/>
    <w:rsid w:val="005772D5"/>
    <w:rsid w:val="005778B2"/>
    <w:rsid w:val="005809DA"/>
    <w:rsid w:val="00587174"/>
    <w:rsid w:val="0058743A"/>
    <w:rsid w:val="0059316A"/>
    <w:rsid w:val="00597B7B"/>
    <w:rsid w:val="005A18A5"/>
    <w:rsid w:val="005A4DB0"/>
    <w:rsid w:val="005A5257"/>
    <w:rsid w:val="005A6AB4"/>
    <w:rsid w:val="005A7B8E"/>
    <w:rsid w:val="005B012B"/>
    <w:rsid w:val="005B0C87"/>
    <w:rsid w:val="005B5614"/>
    <w:rsid w:val="005C35E5"/>
    <w:rsid w:val="005C5DE8"/>
    <w:rsid w:val="005D0384"/>
    <w:rsid w:val="005D23F6"/>
    <w:rsid w:val="005D2FA8"/>
    <w:rsid w:val="005E2281"/>
    <w:rsid w:val="005E5A9C"/>
    <w:rsid w:val="005E65C8"/>
    <w:rsid w:val="005E667C"/>
    <w:rsid w:val="005F077C"/>
    <w:rsid w:val="005F63D0"/>
    <w:rsid w:val="005F6743"/>
    <w:rsid w:val="005F7973"/>
    <w:rsid w:val="0060228E"/>
    <w:rsid w:val="00606123"/>
    <w:rsid w:val="00610E87"/>
    <w:rsid w:val="0061690E"/>
    <w:rsid w:val="00616AA3"/>
    <w:rsid w:val="00624081"/>
    <w:rsid w:val="006240FA"/>
    <w:rsid w:val="00626B80"/>
    <w:rsid w:val="00627361"/>
    <w:rsid w:val="0063017E"/>
    <w:rsid w:val="00631B28"/>
    <w:rsid w:val="0063760F"/>
    <w:rsid w:val="00643FE6"/>
    <w:rsid w:val="006455DB"/>
    <w:rsid w:val="00645B90"/>
    <w:rsid w:val="00650991"/>
    <w:rsid w:val="006511D7"/>
    <w:rsid w:val="006621A9"/>
    <w:rsid w:val="00662AF0"/>
    <w:rsid w:val="00663D75"/>
    <w:rsid w:val="00670AEF"/>
    <w:rsid w:val="0067304C"/>
    <w:rsid w:val="00675678"/>
    <w:rsid w:val="00677012"/>
    <w:rsid w:val="006825B4"/>
    <w:rsid w:val="006828FB"/>
    <w:rsid w:val="00682AF2"/>
    <w:rsid w:val="006864DF"/>
    <w:rsid w:val="006A3C8A"/>
    <w:rsid w:val="006A7552"/>
    <w:rsid w:val="006B215C"/>
    <w:rsid w:val="006B4C20"/>
    <w:rsid w:val="006B5953"/>
    <w:rsid w:val="006B778A"/>
    <w:rsid w:val="006B7A81"/>
    <w:rsid w:val="006C4BAC"/>
    <w:rsid w:val="006C52F3"/>
    <w:rsid w:val="006E38F0"/>
    <w:rsid w:val="006E7F37"/>
    <w:rsid w:val="006F14BF"/>
    <w:rsid w:val="006F3B81"/>
    <w:rsid w:val="006F46A5"/>
    <w:rsid w:val="006F4F79"/>
    <w:rsid w:val="006F77C3"/>
    <w:rsid w:val="006F7AAA"/>
    <w:rsid w:val="00700C53"/>
    <w:rsid w:val="00705B37"/>
    <w:rsid w:val="0070785D"/>
    <w:rsid w:val="00711FD9"/>
    <w:rsid w:val="00726872"/>
    <w:rsid w:val="00734DD2"/>
    <w:rsid w:val="00735062"/>
    <w:rsid w:val="007373D7"/>
    <w:rsid w:val="007463F8"/>
    <w:rsid w:val="00746BA5"/>
    <w:rsid w:val="007474D3"/>
    <w:rsid w:val="00751D23"/>
    <w:rsid w:val="0075728B"/>
    <w:rsid w:val="00757732"/>
    <w:rsid w:val="00761608"/>
    <w:rsid w:val="00764CC7"/>
    <w:rsid w:val="00770443"/>
    <w:rsid w:val="00770577"/>
    <w:rsid w:val="00777666"/>
    <w:rsid w:val="0078159B"/>
    <w:rsid w:val="00782E10"/>
    <w:rsid w:val="0078706B"/>
    <w:rsid w:val="00790836"/>
    <w:rsid w:val="00791A65"/>
    <w:rsid w:val="00793B81"/>
    <w:rsid w:val="00795E1D"/>
    <w:rsid w:val="00797131"/>
    <w:rsid w:val="007A3C1D"/>
    <w:rsid w:val="007B0E89"/>
    <w:rsid w:val="007B285D"/>
    <w:rsid w:val="007B7234"/>
    <w:rsid w:val="007C5A61"/>
    <w:rsid w:val="007C6BC6"/>
    <w:rsid w:val="007C75FA"/>
    <w:rsid w:val="007F021B"/>
    <w:rsid w:val="00800F9F"/>
    <w:rsid w:val="00804861"/>
    <w:rsid w:val="00804DF2"/>
    <w:rsid w:val="00807D79"/>
    <w:rsid w:val="00811B0F"/>
    <w:rsid w:val="00813634"/>
    <w:rsid w:val="00822821"/>
    <w:rsid w:val="00831C29"/>
    <w:rsid w:val="00840839"/>
    <w:rsid w:val="00841945"/>
    <w:rsid w:val="008431EF"/>
    <w:rsid w:val="008468E0"/>
    <w:rsid w:val="00871B59"/>
    <w:rsid w:val="00872CAC"/>
    <w:rsid w:val="00877D03"/>
    <w:rsid w:val="00877E96"/>
    <w:rsid w:val="008806CA"/>
    <w:rsid w:val="008815E5"/>
    <w:rsid w:val="008877BA"/>
    <w:rsid w:val="00887B37"/>
    <w:rsid w:val="0089038D"/>
    <w:rsid w:val="008909B9"/>
    <w:rsid w:val="00891DFC"/>
    <w:rsid w:val="0089294B"/>
    <w:rsid w:val="008A1313"/>
    <w:rsid w:val="008B12B4"/>
    <w:rsid w:val="008B7914"/>
    <w:rsid w:val="008C5D2A"/>
    <w:rsid w:val="008C7AF4"/>
    <w:rsid w:val="008D4E57"/>
    <w:rsid w:val="008D529F"/>
    <w:rsid w:val="008E0D84"/>
    <w:rsid w:val="008E43AF"/>
    <w:rsid w:val="008F5CC8"/>
    <w:rsid w:val="009061B8"/>
    <w:rsid w:val="0091008B"/>
    <w:rsid w:val="00911EA2"/>
    <w:rsid w:val="0091494E"/>
    <w:rsid w:val="00916C7D"/>
    <w:rsid w:val="0092575D"/>
    <w:rsid w:val="0093041B"/>
    <w:rsid w:val="009341DA"/>
    <w:rsid w:val="00941D90"/>
    <w:rsid w:val="009430F9"/>
    <w:rsid w:val="009442E8"/>
    <w:rsid w:val="00946BD0"/>
    <w:rsid w:val="0095426C"/>
    <w:rsid w:val="0096263D"/>
    <w:rsid w:val="00970087"/>
    <w:rsid w:val="00971074"/>
    <w:rsid w:val="0097275C"/>
    <w:rsid w:val="00975FAD"/>
    <w:rsid w:val="00993F34"/>
    <w:rsid w:val="00995D86"/>
    <w:rsid w:val="009A35EB"/>
    <w:rsid w:val="009A4F19"/>
    <w:rsid w:val="009A5453"/>
    <w:rsid w:val="009A5506"/>
    <w:rsid w:val="009B2585"/>
    <w:rsid w:val="009B3296"/>
    <w:rsid w:val="009B4D94"/>
    <w:rsid w:val="009C0C4A"/>
    <w:rsid w:val="009C2871"/>
    <w:rsid w:val="009C499F"/>
    <w:rsid w:val="009D3C33"/>
    <w:rsid w:val="009D7F3A"/>
    <w:rsid w:val="009E433F"/>
    <w:rsid w:val="009E4885"/>
    <w:rsid w:val="009E7DC2"/>
    <w:rsid w:val="009F56D5"/>
    <w:rsid w:val="00A012BD"/>
    <w:rsid w:val="00A07D76"/>
    <w:rsid w:val="00A07DB6"/>
    <w:rsid w:val="00A10A73"/>
    <w:rsid w:val="00A144C3"/>
    <w:rsid w:val="00A170B3"/>
    <w:rsid w:val="00A223D5"/>
    <w:rsid w:val="00A32E49"/>
    <w:rsid w:val="00A34593"/>
    <w:rsid w:val="00A37D1C"/>
    <w:rsid w:val="00A5453E"/>
    <w:rsid w:val="00A547DD"/>
    <w:rsid w:val="00A56F6C"/>
    <w:rsid w:val="00A76C8C"/>
    <w:rsid w:val="00A85F30"/>
    <w:rsid w:val="00A9099E"/>
    <w:rsid w:val="00A91FB7"/>
    <w:rsid w:val="00A9298F"/>
    <w:rsid w:val="00A97878"/>
    <w:rsid w:val="00AA0351"/>
    <w:rsid w:val="00AA5F4A"/>
    <w:rsid w:val="00AA6109"/>
    <w:rsid w:val="00AB1984"/>
    <w:rsid w:val="00AB52B1"/>
    <w:rsid w:val="00AC4CB3"/>
    <w:rsid w:val="00AC5EAF"/>
    <w:rsid w:val="00AC780D"/>
    <w:rsid w:val="00AD036B"/>
    <w:rsid w:val="00AD1996"/>
    <w:rsid w:val="00AD4099"/>
    <w:rsid w:val="00AD4901"/>
    <w:rsid w:val="00B01F10"/>
    <w:rsid w:val="00B02FE0"/>
    <w:rsid w:val="00B04105"/>
    <w:rsid w:val="00B057B6"/>
    <w:rsid w:val="00B070CC"/>
    <w:rsid w:val="00B24942"/>
    <w:rsid w:val="00B24CFD"/>
    <w:rsid w:val="00B30448"/>
    <w:rsid w:val="00B3109C"/>
    <w:rsid w:val="00B34786"/>
    <w:rsid w:val="00B400EC"/>
    <w:rsid w:val="00B40162"/>
    <w:rsid w:val="00B41ACE"/>
    <w:rsid w:val="00B44076"/>
    <w:rsid w:val="00B47470"/>
    <w:rsid w:val="00B50156"/>
    <w:rsid w:val="00B518AD"/>
    <w:rsid w:val="00B52A94"/>
    <w:rsid w:val="00B532D9"/>
    <w:rsid w:val="00B60A96"/>
    <w:rsid w:val="00B64373"/>
    <w:rsid w:val="00B678EC"/>
    <w:rsid w:val="00B74F13"/>
    <w:rsid w:val="00B766D3"/>
    <w:rsid w:val="00B76C94"/>
    <w:rsid w:val="00B772D0"/>
    <w:rsid w:val="00B836EA"/>
    <w:rsid w:val="00B84C05"/>
    <w:rsid w:val="00B91B81"/>
    <w:rsid w:val="00B962DD"/>
    <w:rsid w:val="00B97135"/>
    <w:rsid w:val="00BA0E25"/>
    <w:rsid w:val="00BB3072"/>
    <w:rsid w:val="00BC199E"/>
    <w:rsid w:val="00BC7632"/>
    <w:rsid w:val="00BD48A9"/>
    <w:rsid w:val="00BD630F"/>
    <w:rsid w:val="00BD7EC6"/>
    <w:rsid w:val="00BE73FA"/>
    <w:rsid w:val="00BF0956"/>
    <w:rsid w:val="00BF670D"/>
    <w:rsid w:val="00BF6B4B"/>
    <w:rsid w:val="00C001CB"/>
    <w:rsid w:val="00C0511C"/>
    <w:rsid w:val="00C16D27"/>
    <w:rsid w:val="00C20ACF"/>
    <w:rsid w:val="00C22307"/>
    <w:rsid w:val="00C23469"/>
    <w:rsid w:val="00C30C62"/>
    <w:rsid w:val="00C371DF"/>
    <w:rsid w:val="00C42055"/>
    <w:rsid w:val="00C44B4C"/>
    <w:rsid w:val="00C46734"/>
    <w:rsid w:val="00C47A86"/>
    <w:rsid w:val="00C53220"/>
    <w:rsid w:val="00C60381"/>
    <w:rsid w:val="00C6561F"/>
    <w:rsid w:val="00C91364"/>
    <w:rsid w:val="00C96909"/>
    <w:rsid w:val="00CA3347"/>
    <w:rsid w:val="00CB58E7"/>
    <w:rsid w:val="00CC299A"/>
    <w:rsid w:val="00CD03E3"/>
    <w:rsid w:val="00CE3ACA"/>
    <w:rsid w:val="00CE40F7"/>
    <w:rsid w:val="00CE4D89"/>
    <w:rsid w:val="00CE6BDA"/>
    <w:rsid w:val="00CF72F1"/>
    <w:rsid w:val="00D03DBE"/>
    <w:rsid w:val="00D072C0"/>
    <w:rsid w:val="00D10BCC"/>
    <w:rsid w:val="00D120AE"/>
    <w:rsid w:val="00D20721"/>
    <w:rsid w:val="00D3077B"/>
    <w:rsid w:val="00D34C82"/>
    <w:rsid w:val="00D374B5"/>
    <w:rsid w:val="00D3757A"/>
    <w:rsid w:val="00D442D6"/>
    <w:rsid w:val="00D45EFD"/>
    <w:rsid w:val="00D504A9"/>
    <w:rsid w:val="00D5206D"/>
    <w:rsid w:val="00D52C59"/>
    <w:rsid w:val="00D6662D"/>
    <w:rsid w:val="00D7177D"/>
    <w:rsid w:val="00D74013"/>
    <w:rsid w:val="00D76869"/>
    <w:rsid w:val="00D76BF0"/>
    <w:rsid w:val="00D81311"/>
    <w:rsid w:val="00D96B96"/>
    <w:rsid w:val="00DB201E"/>
    <w:rsid w:val="00DB4356"/>
    <w:rsid w:val="00DC0E68"/>
    <w:rsid w:val="00DC4920"/>
    <w:rsid w:val="00DD25ED"/>
    <w:rsid w:val="00DD31C7"/>
    <w:rsid w:val="00DE0D6E"/>
    <w:rsid w:val="00DE402D"/>
    <w:rsid w:val="00E0003B"/>
    <w:rsid w:val="00E1610C"/>
    <w:rsid w:val="00E163ED"/>
    <w:rsid w:val="00E16D73"/>
    <w:rsid w:val="00E23E9E"/>
    <w:rsid w:val="00E25722"/>
    <w:rsid w:val="00E26368"/>
    <w:rsid w:val="00E27F0A"/>
    <w:rsid w:val="00E309F5"/>
    <w:rsid w:val="00E368C0"/>
    <w:rsid w:val="00E404E5"/>
    <w:rsid w:val="00E4231E"/>
    <w:rsid w:val="00E42DCA"/>
    <w:rsid w:val="00E4302C"/>
    <w:rsid w:val="00E44AC7"/>
    <w:rsid w:val="00E45F4B"/>
    <w:rsid w:val="00E4602C"/>
    <w:rsid w:val="00E4617A"/>
    <w:rsid w:val="00E53145"/>
    <w:rsid w:val="00E60A16"/>
    <w:rsid w:val="00E61334"/>
    <w:rsid w:val="00E6251C"/>
    <w:rsid w:val="00E62D90"/>
    <w:rsid w:val="00E74678"/>
    <w:rsid w:val="00E7749E"/>
    <w:rsid w:val="00E82B6E"/>
    <w:rsid w:val="00E92B49"/>
    <w:rsid w:val="00E94258"/>
    <w:rsid w:val="00E9513D"/>
    <w:rsid w:val="00E96C18"/>
    <w:rsid w:val="00EA0B15"/>
    <w:rsid w:val="00EA2232"/>
    <w:rsid w:val="00EA2E61"/>
    <w:rsid w:val="00EA7D7F"/>
    <w:rsid w:val="00EB02F4"/>
    <w:rsid w:val="00EB1F43"/>
    <w:rsid w:val="00EB2FA2"/>
    <w:rsid w:val="00EB5315"/>
    <w:rsid w:val="00EB769A"/>
    <w:rsid w:val="00EC1EBC"/>
    <w:rsid w:val="00EC380B"/>
    <w:rsid w:val="00EC3929"/>
    <w:rsid w:val="00EC3A35"/>
    <w:rsid w:val="00EC5D85"/>
    <w:rsid w:val="00EE17F2"/>
    <w:rsid w:val="00EE3138"/>
    <w:rsid w:val="00EF2AC7"/>
    <w:rsid w:val="00EF400A"/>
    <w:rsid w:val="00EF46B1"/>
    <w:rsid w:val="00EF52D3"/>
    <w:rsid w:val="00EF5699"/>
    <w:rsid w:val="00EF6BE4"/>
    <w:rsid w:val="00EF6E5D"/>
    <w:rsid w:val="00F034EA"/>
    <w:rsid w:val="00F07764"/>
    <w:rsid w:val="00F12517"/>
    <w:rsid w:val="00F131DD"/>
    <w:rsid w:val="00F16BA1"/>
    <w:rsid w:val="00F21E83"/>
    <w:rsid w:val="00F24435"/>
    <w:rsid w:val="00F30C0F"/>
    <w:rsid w:val="00F314E8"/>
    <w:rsid w:val="00F323A2"/>
    <w:rsid w:val="00F33B57"/>
    <w:rsid w:val="00F33D5C"/>
    <w:rsid w:val="00F34E90"/>
    <w:rsid w:val="00F356D6"/>
    <w:rsid w:val="00F35C31"/>
    <w:rsid w:val="00F53BE2"/>
    <w:rsid w:val="00F55684"/>
    <w:rsid w:val="00F56196"/>
    <w:rsid w:val="00F64D5A"/>
    <w:rsid w:val="00F7025D"/>
    <w:rsid w:val="00F709CD"/>
    <w:rsid w:val="00F8768B"/>
    <w:rsid w:val="00F906F4"/>
    <w:rsid w:val="00F93A15"/>
    <w:rsid w:val="00FA0716"/>
    <w:rsid w:val="00FA1465"/>
    <w:rsid w:val="00FA41B9"/>
    <w:rsid w:val="00FA5063"/>
    <w:rsid w:val="00FB4629"/>
    <w:rsid w:val="00FB509F"/>
    <w:rsid w:val="00FB6FB1"/>
    <w:rsid w:val="00FB7063"/>
    <w:rsid w:val="00FB7C94"/>
    <w:rsid w:val="00FC7056"/>
    <w:rsid w:val="00FD1E42"/>
    <w:rsid w:val="00FD3747"/>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139731468">
      <w:bodyDiv w:val="1"/>
      <w:marLeft w:val="0"/>
      <w:marRight w:val="0"/>
      <w:marTop w:val="0"/>
      <w:marBottom w:val="0"/>
      <w:divBdr>
        <w:top w:val="none" w:sz="0" w:space="0" w:color="auto"/>
        <w:left w:val="none" w:sz="0" w:space="0" w:color="auto"/>
        <w:bottom w:val="none" w:sz="0" w:space="0" w:color="auto"/>
        <w:right w:val="none" w:sz="0" w:space="0" w:color="auto"/>
      </w:divBdr>
    </w:div>
    <w:div w:id="165631694">
      <w:bodyDiv w:val="1"/>
      <w:marLeft w:val="0"/>
      <w:marRight w:val="0"/>
      <w:marTop w:val="0"/>
      <w:marBottom w:val="0"/>
      <w:divBdr>
        <w:top w:val="none" w:sz="0" w:space="0" w:color="auto"/>
        <w:left w:val="none" w:sz="0" w:space="0" w:color="auto"/>
        <w:bottom w:val="none" w:sz="0" w:space="0" w:color="auto"/>
        <w:right w:val="none" w:sz="0" w:space="0" w:color="auto"/>
      </w:divBdr>
    </w:div>
    <w:div w:id="547650582">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576669621">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668211244">
      <w:bodyDiv w:val="1"/>
      <w:marLeft w:val="0"/>
      <w:marRight w:val="0"/>
      <w:marTop w:val="0"/>
      <w:marBottom w:val="0"/>
      <w:divBdr>
        <w:top w:val="none" w:sz="0" w:space="0" w:color="auto"/>
        <w:left w:val="none" w:sz="0" w:space="0" w:color="auto"/>
        <w:bottom w:val="none" w:sz="0" w:space="0" w:color="auto"/>
        <w:right w:val="none" w:sz="0" w:space="0" w:color="auto"/>
      </w:divBdr>
    </w:div>
    <w:div w:id="852453290">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85692309">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15850391">
      <w:bodyDiv w:val="1"/>
      <w:marLeft w:val="0"/>
      <w:marRight w:val="0"/>
      <w:marTop w:val="0"/>
      <w:marBottom w:val="0"/>
      <w:divBdr>
        <w:top w:val="none" w:sz="0" w:space="0" w:color="auto"/>
        <w:left w:val="none" w:sz="0" w:space="0" w:color="auto"/>
        <w:bottom w:val="none" w:sz="0" w:space="0" w:color="auto"/>
        <w:right w:val="none" w:sz="0" w:space="0" w:color="auto"/>
      </w:divBdr>
    </w:div>
    <w:div w:id="1234850631">
      <w:bodyDiv w:val="1"/>
      <w:marLeft w:val="0"/>
      <w:marRight w:val="0"/>
      <w:marTop w:val="0"/>
      <w:marBottom w:val="0"/>
      <w:divBdr>
        <w:top w:val="none" w:sz="0" w:space="0" w:color="auto"/>
        <w:left w:val="none" w:sz="0" w:space="0" w:color="auto"/>
        <w:bottom w:val="none" w:sz="0" w:space="0" w:color="auto"/>
        <w:right w:val="none" w:sz="0" w:space="0" w:color="auto"/>
      </w:divBdr>
    </w:div>
    <w:div w:id="1293747498">
      <w:bodyDiv w:val="1"/>
      <w:marLeft w:val="0"/>
      <w:marRight w:val="0"/>
      <w:marTop w:val="0"/>
      <w:marBottom w:val="0"/>
      <w:divBdr>
        <w:top w:val="none" w:sz="0" w:space="0" w:color="auto"/>
        <w:left w:val="none" w:sz="0" w:space="0" w:color="auto"/>
        <w:bottom w:val="none" w:sz="0" w:space="0" w:color="auto"/>
        <w:right w:val="none" w:sz="0" w:space="0" w:color="auto"/>
      </w:divBdr>
    </w:div>
    <w:div w:id="1392072004">
      <w:bodyDiv w:val="1"/>
      <w:marLeft w:val="0"/>
      <w:marRight w:val="0"/>
      <w:marTop w:val="0"/>
      <w:marBottom w:val="0"/>
      <w:divBdr>
        <w:top w:val="none" w:sz="0" w:space="0" w:color="auto"/>
        <w:left w:val="none" w:sz="0" w:space="0" w:color="auto"/>
        <w:bottom w:val="none" w:sz="0" w:space="0" w:color="auto"/>
        <w:right w:val="none" w:sz="0" w:space="0" w:color="auto"/>
      </w:divBdr>
      <w:divsChild>
        <w:div w:id="2068407240">
          <w:marLeft w:val="0"/>
          <w:marRight w:val="0"/>
          <w:marTop w:val="0"/>
          <w:marBottom w:val="160"/>
          <w:divBdr>
            <w:top w:val="none" w:sz="0" w:space="0" w:color="auto"/>
            <w:left w:val="none" w:sz="0" w:space="0" w:color="auto"/>
            <w:bottom w:val="none" w:sz="0" w:space="0" w:color="auto"/>
            <w:right w:val="none" w:sz="0" w:space="0" w:color="auto"/>
          </w:divBdr>
        </w:div>
        <w:div w:id="297759433">
          <w:marLeft w:val="0"/>
          <w:marRight w:val="0"/>
          <w:marTop w:val="0"/>
          <w:marBottom w:val="160"/>
          <w:divBdr>
            <w:top w:val="none" w:sz="0" w:space="0" w:color="auto"/>
            <w:left w:val="none" w:sz="0" w:space="0" w:color="auto"/>
            <w:bottom w:val="none" w:sz="0" w:space="0" w:color="auto"/>
            <w:right w:val="none" w:sz="0" w:space="0" w:color="auto"/>
          </w:divBdr>
        </w:div>
        <w:div w:id="996881984">
          <w:marLeft w:val="0"/>
          <w:marRight w:val="0"/>
          <w:marTop w:val="0"/>
          <w:marBottom w:val="160"/>
          <w:divBdr>
            <w:top w:val="none" w:sz="0" w:space="0" w:color="auto"/>
            <w:left w:val="none" w:sz="0" w:space="0" w:color="auto"/>
            <w:bottom w:val="none" w:sz="0" w:space="0" w:color="auto"/>
            <w:right w:val="none" w:sz="0" w:space="0" w:color="auto"/>
          </w:divBdr>
        </w:div>
        <w:div w:id="1507865227">
          <w:marLeft w:val="0"/>
          <w:marRight w:val="0"/>
          <w:marTop w:val="0"/>
          <w:marBottom w:val="160"/>
          <w:divBdr>
            <w:top w:val="none" w:sz="0" w:space="0" w:color="auto"/>
            <w:left w:val="none" w:sz="0" w:space="0" w:color="auto"/>
            <w:bottom w:val="none" w:sz="0" w:space="0" w:color="auto"/>
            <w:right w:val="none" w:sz="0" w:space="0" w:color="auto"/>
          </w:divBdr>
        </w:div>
        <w:div w:id="179897408">
          <w:marLeft w:val="0"/>
          <w:marRight w:val="0"/>
          <w:marTop w:val="0"/>
          <w:marBottom w:val="160"/>
          <w:divBdr>
            <w:top w:val="none" w:sz="0" w:space="0" w:color="auto"/>
            <w:left w:val="none" w:sz="0" w:space="0" w:color="auto"/>
            <w:bottom w:val="none" w:sz="0" w:space="0" w:color="auto"/>
            <w:right w:val="none" w:sz="0" w:space="0" w:color="auto"/>
          </w:divBdr>
        </w:div>
        <w:div w:id="327634447">
          <w:marLeft w:val="0"/>
          <w:marRight w:val="0"/>
          <w:marTop w:val="0"/>
          <w:marBottom w:val="160"/>
          <w:divBdr>
            <w:top w:val="none" w:sz="0" w:space="0" w:color="auto"/>
            <w:left w:val="none" w:sz="0" w:space="0" w:color="auto"/>
            <w:bottom w:val="none" w:sz="0" w:space="0" w:color="auto"/>
            <w:right w:val="none" w:sz="0" w:space="0" w:color="auto"/>
          </w:divBdr>
        </w:div>
        <w:div w:id="883249927">
          <w:marLeft w:val="0"/>
          <w:marRight w:val="0"/>
          <w:marTop w:val="0"/>
          <w:marBottom w:val="160"/>
          <w:divBdr>
            <w:top w:val="none" w:sz="0" w:space="0" w:color="auto"/>
            <w:left w:val="none" w:sz="0" w:space="0" w:color="auto"/>
            <w:bottom w:val="none" w:sz="0" w:space="0" w:color="auto"/>
            <w:right w:val="none" w:sz="0" w:space="0" w:color="auto"/>
          </w:divBdr>
        </w:div>
        <w:div w:id="656805125">
          <w:marLeft w:val="0"/>
          <w:marRight w:val="0"/>
          <w:marTop w:val="0"/>
          <w:marBottom w:val="160"/>
          <w:divBdr>
            <w:top w:val="none" w:sz="0" w:space="0" w:color="auto"/>
            <w:left w:val="none" w:sz="0" w:space="0" w:color="auto"/>
            <w:bottom w:val="none" w:sz="0" w:space="0" w:color="auto"/>
            <w:right w:val="none" w:sz="0" w:space="0" w:color="auto"/>
          </w:divBdr>
        </w:div>
        <w:div w:id="2038772318">
          <w:marLeft w:val="0"/>
          <w:marRight w:val="0"/>
          <w:marTop w:val="0"/>
          <w:marBottom w:val="160"/>
          <w:divBdr>
            <w:top w:val="none" w:sz="0" w:space="0" w:color="auto"/>
            <w:left w:val="none" w:sz="0" w:space="0" w:color="auto"/>
            <w:bottom w:val="none" w:sz="0" w:space="0" w:color="auto"/>
            <w:right w:val="none" w:sz="0" w:space="0" w:color="auto"/>
          </w:divBdr>
        </w:div>
        <w:div w:id="1360624538">
          <w:marLeft w:val="0"/>
          <w:marRight w:val="0"/>
          <w:marTop w:val="0"/>
          <w:marBottom w:val="160"/>
          <w:divBdr>
            <w:top w:val="none" w:sz="0" w:space="0" w:color="auto"/>
            <w:left w:val="none" w:sz="0" w:space="0" w:color="auto"/>
            <w:bottom w:val="none" w:sz="0" w:space="0" w:color="auto"/>
            <w:right w:val="none" w:sz="0" w:space="0" w:color="auto"/>
          </w:divBdr>
        </w:div>
        <w:div w:id="25522857">
          <w:marLeft w:val="0"/>
          <w:marRight w:val="0"/>
          <w:marTop w:val="0"/>
          <w:marBottom w:val="160"/>
          <w:divBdr>
            <w:top w:val="none" w:sz="0" w:space="0" w:color="auto"/>
            <w:left w:val="none" w:sz="0" w:space="0" w:color="auto"/>
            <w:bottom w:val="none" w:sz="0" w:space="0" w:color="auto"/>
            <w:right w:val="none" w:sz="0" w:space="0" w:color="auto"/>
          </w:divBdr>
        </w:div>
        <w:div w:id="2036350138">
          <w:marLeft w:val="0"/>
          <w:marRight w:val="0"/>
          <w:marTop w:val="0"/>
          <w:marBottom w:val="160"/>
          <w:divBdr>
            <w:top w:val="none" w:sz="0" w:space="0" w:color="auto"/>
            <w:left w:val="none" w:sz="0" w:space="0" w:color="auto"/>
            <w:bottom w:val="none" w:sz="0" w:space="0" w:color="auto"/>
            <w:right w:val="none" w:sz="0" w:space="0" w:color="auto"/>
          </w:divBdr>
        </w:div>
      </w:divsChild>
    </w:div>
    <w:div w:id="1539590889">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709336330">
      <w:bodyDiv w:val="1"/>
      <w:marLeft w:val="0"/>
      <w:marRight w:val="0"/>
      <w:marTop w:val="0"/>
      <w:marBottom w:val="0"/>
      <w:divBdr>
        <w:top w:val="none" w:sz="0" w:space="0" w:color="auto"/>
        <w:left w:val="none" w:sz="0" w:space="0" w:color="auto"/>
        <w:bottom w:val="none" w:sz="0" w:space="0" w:color="auto"/>
        <w:right w:val="none" w:sz="0" w:space="0" w:color="auto"/>
      </w:divBdr>
    </w:div>
    <w:div w:id="1726760080">
      <w:bodyDiv w:val="1"/>
      <w:marLeft w:val="0"/>
      <w:marRight w:val="0"/>
      <w:marTop w:val="0"/>
      <w:marBottom w:val="0"/>
      <w:divBdr>
        <w:top w:val="none" w:sz="0" w:space="0" w:color="auto"/>
        <w:left w:val="none" w:sz="0" w:space="0" w:color="auto"/>
        <w:bottom w:val="none" w:sz="0" w:space="0" w:color="auto"/>
        <w:right w:val="none" w:sz="0" w:space="0" w:color="auto"/>
      </w:divBdr>
      <w:divsChild>
        <w:div w:id="1329598100">
          <w:marLeft w:val="0"/>
          <w:marRight w:val="0"/>
          <w:marTop w:val="0"/>
          <w:marBottom w:val="160"/>
          <w:divBdr>
            <w:top w:val="none" w:sz="0" w:space="0" w:color="auto"/>
            <w:left w:val="none" w:sz="0" w:space="0" w:color="auto"/>
            <w:bottom w:val="none" w:sz="0" w:space="0" w:color="auto"/>
            <w:right w:val="none" w:sz="0" w:space="0" w:color="auto"/>
          </w:divBdr>
        </w:div>
        <w:div w:id="1608125278">
          <w:marLeft w:val="0"/>
          <w:marRight w:val="0"/>
          <w:marTop w:val="0"/>
          <w:marBottom w:val="160"/>
          <w:divBdr>
            <w:top w:val="none" w:sz="0" w:space="0" w:color="auto"/>
            <w:left w:val="none" w:sz="0" w:space="0" w:color="auto"/>
            <w:bottom w:val="none" w:sz="0" w:space="0" w:color="auto"/>
            <w:right w:val="none" w:sz="0" w:space="0" w:color="auto"/>
          </w:divBdr>
        </w:div>
        <w:div w:id="566843197">
          <w:marLeft w:val="0"/>
          <w:marRight w:val="0"/>
          <w:marTop w:val="0"/>
          <w:marBottom w:val="160"/>
          <w:divBdr>
            <w:top w:val="none" w:sz="0" w:space="0" w:color="auto"/>
            <w:left w:val="none" w:sz="0" w:space="0" w:color="auto"/>
            <w:bottom w:val="none" w:sz="0" w:space="0" w:color="auto"/>
            <w:right w:val="none" w:sz="0" w:space="0" w:color="auto"/>
          </w:divBdr>
        </w:div>
        <w:div w:id="1650742476">
          <w:marLeft w:val="0"/>
          <w:marRight w:val="0"/>
          <w:marTop w:val="0"/>
          <w:marBottom w:val="160"/>
          <w:divBdr>
            <w:top w:val="none" w:sz="0" w:space="0" w:color="auto"/>
            <w:left w:val="none" w:sz="0" w:space="0" w:color="auto"/>
            <w:bottom w:val="none" w:sz="0" w:space="0" w:color="auto"/>
            <w:right w:val="none" w:sz="0" w:space="0" w:color="auto"/>
          </w:divBdr>
        </w:div>
        <w:div w:id="1249578308">
          <w:marLeft w:val="0"/>
          <w:marRight w:val="0"/>
          <w:marTop w:val="0"/>
          <w:marBottom w:val="160"/>
          <w:divBdr>
            <w:top w:val="none" w:sz="0" w:space="0" w:color="auto"/>
            <w:left w:val="none" w:sz="0" w:space="0" w:color="auto"/>
            <w:bottom w:val="none" w:sz="0" w:space="0" w:color="auto"/>
            <w:right w:val="none" w:sz="0" w:space="0" w:color="auto"/>
          </w:divBdr>
        </w:div>
        <w:div w:id="2116247966">
          <w:marLeft w:val="0"/>
          <w:marRight w:val="0"/>
          <w:marTop w:val="0"/>
          <w:marBottom w:val="160"/>
          <w:divBdr>
            <w:top w:val="none" w:sz="0" w:space="0" w:color="auto"/>
            <w:left w:val="none" w:sz="0" w:space="0" w:color="auto"/>
            <w:bottom w:val="none" w:sz="0" w:space="0" w:color="auto"/>
            <w:right w:val="none" w:sz="0" w:space="0" w:color="auto"/>
          </w:divBdr>
        </w:div>
        <w:div w:id="2128579">
          <w:marLeft w:val="0"/>
          <w:marRight w:val="0"/>
          <w:marTop w:val="0"/>
          <w:marBottom w:val="160"/>
          <w:divBdr>
            <w:top w:val="none" w:sz="0" w:space="0" w:color="auto"/>
            <w:left w:val="none" w:sz="0" w:space="0" w:color="auto"/>
            <w:bottom w:val="none" w:sz="0" w:space="0" w:color="auto"/>
            <w:right w:val="none" w:sz="0" w:space="0" w:color="auto"/>
          </w:divBdr>
        </w:div>
        <w:div w:id="1260063255">
          <w:marLeft w:val="0"/>
          <w:marRight w:val="0"/>
          <w:marTop w:val="0"/>
          <w:marBottom w:val="160"/>
          <w:divBdr>
            <w:top w:val="none" w:sz="0" w:space="0" w:color="auto"/>
            <w:left w:val="none" w:sz="0" w:space="0" w:color="auto"/>
            <w:bottom w:val="none" w:sz="0" w:space="0" w:color="auto"/>
            <w:right w:val="none" w:sz="0" w:space="0" w:color="auto"/>
          </w:divBdr>
        </w:div>
        <w:div w:id="345332971">
          <w:marLeft w:val="0"/>
          <w:marRight w:val="0"/>
          <w:marTop w:val="0"/>
          <w:marBottom w:val="160"/>
          <w:divBdr>
            <w:top w:val="none" w:sz="0" w:space="0" w:color="auto"/>
            <w:left w:val="none" w:sz="0" w:space="0" w:color="auto"/>
            <w:bottom w:val="none" w:sz="0" w:space="0" w:color="auto"/>
            <w:right w:val="none" w:sz="0" w:space="0" w:color="auto"/>
          </w:divBdr>
        </w:div>
        <w:div w:id="1140458700">
          <w:marLeft w:val="0"/>
          <w:marRight w:val="0"/>
          <w:marTop w:val="0"/>
          <w:marBottom w:val="160"/>
          <w:divBdr>
            <w:top w:val="none" w:sz="0" w:space="0" w:color="auto"/>
            <w:left w:val="none" w:sz="0" w:space="0" w:color="auto"/>
            <w:bottom w:val="none" w:sz="0" w:space="0" w:color="auto"/>
            <w:right w:val="none" w:sz="0" w:space="0" w:color="auto"/>
          </w:divBdr>
        </w:div>
        <w:div w:id="389765316">
          <w:marLeft w:val="0"/>
          <w:marRight w:val="0"/>
          <w:marTop w:val="0"/>
          <w:marBottom w:val="160"/>
          <w:divBdr>
            <w:top w:val="none" w:sz="0" w:space="0" w:color="auto"/>
            <w:left w:val="none" w:sz="0" w:space="0" w:color="auto"/>
            <w:bottom w:val="none" w:sz="0" w:space="0" w:color="auto"/>
            <w:right w:val="none" w:sz="0" w:space="0" w:color="auto"/>
          </w:divBdr>
        </w:div>
        <w:div w:id="1971747387">
          <w:marLeft w:val="0"/>
          <w:marRight w:val="0"/>
          <w:marTop w:val="0"/>
          <w:marBottom w:val="160"/>
          <w:divBdr>
            <w:top w:val="none" w:sz="0" w:space="0" w:color="auto"/>
            <w:left w:val="none" w:sz="0" w:space="0" w:color="auto"/>
            <w:bottom w:val="none" w:sz="0" w:space="0" w:color="auto"/>
            <w:right w:val="none" w:sz="0" w:space="0" w:color="auto"/>
          </w:divBdr>
        </w:div>
      </w:divsChild>
    </w:div>
    <w:div w:id="1749502230">
      <w:bodyDiv w:val="1"/>
      <w:marLeft w:val="0"/>
      <w:marRight w:val="0"/>
      <w:marTop w:val="0"/>
      <w:marBottom w:val="0"/>
      <w:divBdr>
        <w:top w:val="none" w:sz="0" w:space="0" w:color="auto"/>
        <w:left w:val="none" w:sz="0" w:space="0" w:color="auto"/>
        <w:bottom w:val="none" w:sz="0" w:space="0" w:color="auto"/>
        <w:right w:val="none" w:sz="0" w:space="0" w:color="auto"/>
      </w:divBdr>
    </w:div>
    <w:div w:id="1965690402">
      <w:bodyDiv w:val="1"/>
      <w:marLeft w:val="0"/>
      <w:marRight w:val="0"/>
      <w:marTop w:val="0"/>
      <w:marBottom w:val="0"/>
      <w:divBdr>
        <w:top w:val="none" w:sz="0" w:space="0" w:color="auto"/>
        <w:left w:val="none" w:sz="0" w:space="0" w:color="auto"/>
        <w:bottom w:val="none" w:sz="0" w:space="0" w:color="auto"/>
        <w:right w:val="none" w:sz="0" w:space="0" w:color="auto"/>
      </w:divBdr>
    </w:div>
    <w:div w:id="212634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ga9008@hotmail.com" TargetMode="External"/><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092-de-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es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6401</Words>
  <Characters>35210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115</cp:revision>
  <dcterms:created xsi:type="dcterms:W3CDTF">2024-08-30T22:14:00Z</dcterms:created>
  <dcterms:modified xsi:type="dcterms:W3CDTF">2024-09-11T22:31:00Z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