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5F4F0B" w:rsidR="005F4F0B" w:rsidP="005F4F0B" w:rsidRDefault="005F4F0B" w14:paraId="469CE2F5" w14:textId="2927737B">
      <w:pPr>
        <w:spacing w:after="0" w:line="240" w:lineRule="auto"/>
        <w:jc w:val="both"/>
        <w:rPr>
          <w:rFonts w:ascii="Verdana" w:hAnsi="Verdana" w:eastAsia="Times New Roman" w:cs="Arial"/>
          <w:b/>
          <w:bCs/>
          <w:sz w:val="20"/>
          <w:szCs w:val="20"/>
          <w:lang w:eastAsia="es-ES_tradnl"/>
        </w:rPr>
      </w:pPr>
      <w:bookmarkStart w:name="_Hlk176430744" w:id="0"/>
      <w:r w:rsidRPr="005F4F0B">
        <w:rPr>
          <w:rFonts w:ascii="Verdana" w:hAnsi="Verdana" w:eastAsia="Times New Roman" w:cs="Arial"/>
          <w:b/>
          <w:bCs/>
          <w:sz w:val="20"/>
          <w:szCs w:val="20"/>
          <w:lang w:eastAsia="es-ES_tradnl"/>
        </w:rPr>
        <w:t>PLANEACIÓN – Estudios previos</w:t>
      </w:r>
    </w:p>
    <w:p w:rsidRPr="005F4F0B" w:rsidR="005F4F0B" w:rsidP="005F4F0B" w:rsidRDefault="005F4F0B" w14:paraId="5403B447" w14:textId="77777777">
      <w:pPr>
        <w:spacing w:after="0" w:line="240" w:lineRule="auto"/>
        <w:jc w:val="both"/>
        <w:rPr>
          <w:rFonts w:ascii="Verdana" w:hAnsi="Verdana" w:eastAsia="Times New Roman" w:cs="Arial"/>
          <w:sz w:val="20"/>
          <w:szCs w:val="20"/>
          <w:lang w:eastAsia="es-ES_tradnl"/>
        </w:rPr>
      </w:pPr>
    </w:p>
    <w:p w:rsidR="005F4F0B" w:rsidP="005F4F0B" w:rsidRDefault="005F4F0B" w14:paraId="479637D1" w14:textId="77777777">
      <w:pPr>
        <w:spacing w:after="120" w:line="240" w:lineRule="auto"/>
        <w:jc w:val="both"/>
        <w:rPr>
          <w:rFonts w:ascii="Verdana" w:hAnsi="Verdana" w:eastAsia="Calibri" w:cs="Arial"/>
          <w:bCs/>
          <w:sz w:val="20"/>
          <w:szCs w:val="20"/>
          <w:lang w:val="es-ES_tradnl" w:eastAsia="es-MX"/>
        </w:rPr>
      </w:pPr>
      <w:r w:rsidRPr="005F4F0B">
        <w:rPr>
          <w:rFonts w:ascii="Verdana" w:hAnsi="Verdana" w:eastAsia="Calibri" w:cs="Arial"/>
          <w:bCs/>
          <w:sz w:val="20"/>
          <w:szCs w:val="20"/>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rsidRPr="005F4F0B" w:rsidR="005F4F0B" w:rsidP="005F4F0B" w:rsidRDefault="005F4F0B" w14:paraId="3C1DB526" w14:textId="77777777">
      <w:pPr>
        <w:spacing w:after="120" w:line="240" w:lineRule="auto"/>
        <w:jc w:val="both"/>
        <w:rPr>
          <w:rFonts w:ascii="Verdana" w:hAnsi="Verdana" w:eastAsia="Times New Roman" w:cs="Arial"/>
          <w:sz w:val="20"/>
          <w:szCs w:val="20"/>
          <w:lang w:val="es-ES_tradnl" w:eastAsia="es-MX"/>
        </w:rPr>
      </w:pPr>
    </w:p>
    <w:p w:rsidRPr="005F4F0B" w:rsidR="005F4F0B" w:rsidP="005F4F0B" w:rsidRDefault="005F4F0B" w14:paraId="6D21DFDE" w14:textId="445B0F2D">
      <w:pPr>
        <w:spacing w:after="0" w:line="240" w:lineRule="auto"/>
        <w:jc w:val="both"/>
        <w:rPr>
          <w:rFonts w:ascii="Verdana" w:hAnsi="Verdana" w:eastAsia="Calibri" w:cs="Arial"/>
          <w:b/>
          <w:bCs/>
          <w:sz w:val="20"/>
          <w:szCs w:val="20"/>
          <w:lang w:val="es-ES_tradnl" w:eastAsia="es-ES_tradnl"/>
        </w:rPr>
      </w:pPr>
      <w:r w:rsidRPr="005F4F0B">
        <w:rPr>
          <w:rFonts w:ascii="Verdana" w:hAnsi="Verdana" w:eastAsia="Times New Roman" w:cs="Arial"/>
          <w:b/>
          <w:bCs/>
          <w:sz w:val="20"/>
          <w:szCs w:val="20"/>
          <w:lang w:eastAsia="es-ES_tradnl"/>
        </w:rPr>
        <w:t>ESTUDIOS PREVIOS – Estudio del mercado / GUÍAS Y MANUALES – Obligatoriedad</w:t>
      </w:r>
    </w:p>
    <w:p w:rsidR="005F4F0B" w:rsidP="005F4F0B" w:rsidRDefault="005F4F0B" w14:paraId="394E1560" w14:textId="77777777">
      <w:pPr>
        <w:spacing w:after="0" w:line="240" w:lineRule="auto"/>
        <w:jc w:val="both"/>
        <w:rPr>
          <w:rFonts w:ascii="Verdana" w:hAnsi="Verdana" w:eastAsia="Calibri" w:cs="Arial"/>
          <w:lang w:val="es-ES" w:eastAsia="es-ES_tradnl"/>
        </w:rPr>
      </w:pPr>
    </w:p>
    <w:p w:rsidR="005F4F0B" w:rsidP="005F4F0B" w:rsidRDefault="005F4F0B" w14:paraId="57AE0DAD" w14:textId="77777777">
      <w:pPr>
        <w:spacing w:after="120" w:line="240" w:lineRule="auto"/>
        <w:jc w:val="both"/>
        <w:rPr>
          <w:rFonts w:ascii="Verdana" w:hAnsi="Verdana" w:eastAsia="Calibri" w:cs="Arial"/>
          <w:sz w:val="20"/>
          <w:szCs w:val="20"/>
          <w:lang w:eastAsia="es-MX"/>
        </w:rPr>
      </w:pPr>
      <w:r w:rsidRPr="005F4F0B">
        <w:rPr>
          <w:rFonts w:ascii="Verdana" w:hAnsi="Verdana" w:eastAsia="Times New Roman" w:cs="Arial"/>
          <w:sz w:val="20"/>
          <w:szCs w:val="20"/>
          <w:lang w:eastAsia="es-MX"/>
        </w:rPr>
        <w:t xml:space="preserve">Ahora bien, conforme se desprende de los numerales 2 y 4 del artículo 2.2.1.1.2.1.1 del Decreto 1082 de 2015, uno de los aspectos principales que deben abarcar los estudios previos es la determinación del objeto a contratar con sus especificaciones y el valor estimado del contrato aparejado de su respectiva justificación. </w:t>
      </w:r>
      <w:r w:rsidRPr="005F4F0B">
        <w:rPr>
          <w:rFonts w:ascii="Verdana" w:hAnsi="Verdana" w:eastAsia="Calibri" w:cs="Arial"/>
          <w:sz w:val="20"/>
          <w:szCs w:val="20"/>
          <w:lang w:eastAsia="es-MX"/>
        </w:rPr>
        <w:t xml:space="preserve">Para estos efectos resulta relevante la información recolectada en el marco del </w:t>
      </w:r>
      <w:r w:rsidRPr="005F4F0B">
        <w:rPr>
          <w:rFonts w:ascii="Verdana" w:hAnsi="Verdana" w:eastAsia="Calibri" w:cs="Arial"/>
          <w:i/>
          <w:iCs/>
          <w:sz w:val="20"/>
          <w:szCs w:val="20"/>
          <w:lang w:eastAsia="es-MX"/>
        </w:rPr>
        <w:t>estudio del mercado</w:t>
      </w:r>
      <w:r w:rsidRPr="005F4F0B">
        <w:rPr>
          <w:rFonts w:ascii="Verdana" w:hAnsi="Verdana" w:eastAsia="Calibri" w:cs="Arial"/>
          <w:sz w:val="20"/>
          <w:szCs w:val="20"/>
          <w:lang w:eastAsia="es-MX"/>
        </w:rPr>
        <w:t xml:space="preserve">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w:t>
      </w:r>
    </w:p>
    <w:p w:rsidR="005F4F0B" w:rsidP="005F4F0B" w:rsidRDefault="005F4F0B" w14:paraId="7DFB53A5" w14:textId="77777777">
      <w:pPr>
        <w:spacing w:after="120" w:line="240" w:lineRule="auto"/>
        <w:jc w:val="both"/>
        <w:rPr>
          <w:rFonts w:ascii="Verdana" w:hAnsi="Verdana" w:eastAsia="Calibri" w:cs="Arial"/>
          <w:sz w:val="20"/>
          <w:szCs w:val="20"/>
          <w:lang w:eastAsia="es-MX"/>
        </w:rPr>
      </w:pPr>
    </w:p>
    <w:p w:rsidRPr="005F4F0B" w:rsidR="005F4F0B" w:rsidP="005F4F0B" w:rsidRDefault="005F4F0B" w14:paraId="45EF4759" w14:textId="759C7A59">
      <w:pPr>
        <w:spacing w:after="120" w:line="240" w:lineRule="auto"/>
        <w:jc w:val="both"/>
        <w:rPr>
          <w:rFonts w:ascii="Verdana" w:hAnsi="Verdana" w:eastAsia="Calibri" w:cs="Arial"/>
          <w:bCs/>
          <w:sz w:val="20"/>
          <w:szCs w:val="20"/>
          <w:lang w:val="es-ES_tradnl" w:eastAsia="es-MX"/>
        </w:rPr>
      </w:pPr>
      <w:r w:rsidRPr="005F4F0B">
        <w:rPr>
          <w:rFonts w:ascii="Verdana" w:hAnsi="Verdana" w:eastAsia="Calibri" w:cs="Arial"/>
          <w:bCs/>
          <w:sz w:val="20"/>
          <w:szCs w:val="20"/>
          <w:lang w:val="es-ES_tradnl" w:eastAsia="es-MX"/>
        </w:rPr>
        <w:t xml:space="preserve">En este sentido, el análisis del sector de las perspectivas legal, comercial, financiera, organizacional, técnica, y de análisis de Riesgo, al que se refiere el artículo 2.2.1.1.1.6.1 del Decreto 1082 de 2015, constituye un insumo importante para determinar factores que pudieran determinar el valor del contrato y orientar a la entidad en torno al monto de la disponibilidad presupuestal que requiere para realizar la contratación. </w:t>
      </w:r>
    </w:p>
    <w:p w:rsidRPr="005F4F0B" w:rsidR="005F4F0B" w:rsidP="005F4F0B" w:rsidRDefault="005F4F0B" w14:paraId="07910045" w14:textId="77777777">
      <w:pPr>
        <w:pStyle w:val="Prrafodelista"/>
        <w:spacing w:after="120" w:line="240" w:lineRule="auto"/>
        <w:jc w:val="both"/>
        <w:rPr>
          <w:rFonts w:ascii="Verdana" w:hAnsi="Verdana" w:eastAsia="Calibri" w:cs="Arial"/>
          <w:bCs/>
          <w:sz w:val="20"/>
          <w:szCs w:val="20"/>
          <w:lang w:val="es-ES_tradnl" w:eastAsia="es-MX"/>
        </w:rPr>
      </w:pPr>
      <w:r w:rsidRPr="005F4F0B">
        <w:rPr>
          <w:rFonts w:ascii="Verdana" w:hAnsi="Verdana" w:eastAsia="Calibri" w:cs="Arial"/>
          <w:bCs/>
          <w:sz w:val="20"/>
          <w:szCs w:val="20"/>
          <w:lang w:val="es-ES_tradnl" w:eastAsia="es-MX"/>
        </w:rPr>
        <w:t xml:space="preserve"> </w:t>
      </w:r>
    </w:p>
    <w:p w:rsidRPr="005F4F0B" w:rsidR="005F4F0B" w:rsidP="005F4F0B" w:rsidRDefault="005F4F0B" w14:paraId="60C40FDC" w14:textId="77777777">
      <w:pPr>
        <w:spacing w:after="120" w:line="240" w:lineRule="auto"/>
        <w:jc w:val="both"/>
        <w:rPr>
          <w:rFonts w:ascii="Verdana" w:hAnsi="Verdana" w:eastAsia="Calibri" w:cs="Arial"/>
          <w:sz w:val="20"/>
          <w:szCs w:val="20"/>
          <w:lang w:eastAsia="es-MX"/>
        </w:rPr>
      </w:pPr>
      <w:r w:rsidRPr="005F4F0B">
        <w:rPr>
          <w:rFonts w:ascii="Verdana" w:hAnsi="Verdana" w:eastAsia="Calibri" w:cs="Arial"/>
          <w:sz w:val="20"/>
          <w:szCs w:val="20"/>
          <w:lang w:eastAsia="es-MX"/>
        </w:rPr>
        <w:t xml:space="preserve">De acuerdo con la norma señalada, la entidad debe realizar el análisis necesario para conocer el sector relativo al objeto del Proceso de Contratación, sin que sea relevante la modalidad de selección. </w:t>
      </w:r>
    </w:p>
    <w:p w:rsidRPr="005F4F0B" w:rsidR="005F4F0B" w:rsidP="005F4F0B" w:rsidRDefault="005F4F0B" w14:paraId="7229BAC7" w14:textId="77777777">
      <w:pPr>
        <w:spacing w:after="120" w:line="276" w:lineRule="auto"/>
        <w:jc w:val="both"/>
        <w:rPr>
          <w:rFonts w:ascii="Verdana" w:hAnsi="Verdana" w:eastAsia="Calibri" w:cs="Arial"/>
          <w:sz w:val="20"/>
          <w:szCs w:val="20"/>
          <w:lang w:val="es-ES" w:eastAsia="es-MX"/>
        </w:rPr>
      </w:pPr>
    </w:p>
    <w:p w:rsidR="005F4F0B" w:rsidP="00DB7CAA" w:rsidRDefault="005F4F0B" w14:paraId="4BE47CC0" w14:textId="77777777">
      <w:pPr>
        <w:spacing w:after="0" w:line="240" w:lineRule="auto"/>
        <w:jc w:val="both"/>
        <w:rPr>
          <w:rFonts w:ascii="Verdana" w:hAnsi="Verdana" w:eastAsia="Calibri" w:cs="Arial"/>
          <w:lang w:val="es-ES" w:eastAsia="es-ES_tradnl"/>
        </w:rPr>
      </w:pPr>
    </w:p>
    <w:p w:rsidR="005F4F0B" w:rsidP="00DB7CAA" w:rsidRDefault="005F4F0B" w14:paraId="7063364F" w14:textId="77777777">
      <w:pPr>
        <w:spacing w:after="0" w:line="240" w:lineRule="auto"/>
        <w:jc w:val="both"/>
        <w:rPr>
          <w:rFonts w:ascii="Verdana" w:hAnsi="Verdana" w:eastAsia="Calibri" w:cs="Arial"/>
          <w:lang w:val="es-ES" w:eastAsia="es-ES_tradnl"/>
        </w:rPr>
      </w:pPr>
    </w:p>
    <w:p w:rsidR="005F4F0B" w:rsidP="00DB7CAA" w:rsidRDefault="005F4F0B" w14:paraId="75FBAC8A" w14:textId="77777777">
      <w:pPr>
        <w:spacing w:after="0" w:line="240" w:lineRule="auto"/>
        <w:jc w:val="both"/>
        <w:rPr>
          <w:rFonts w:ascii="Verdana" w:hAnsi="Verdana" w:eastAsia="Calibri" w:cs="Arial"/>
          <w:lang w:val="es-ES" w:eastAsia="es-ES_tradnl"/>
        </w:rPr>
      </w:pPr>
    </w:p>
    <w:p w:rsidR="005F4F0B" w:rsidP="00DB7CAA" w:rsidRDefault="005F4F0B" w14:paraId="38A38F4E" w14:textId="77777777">
      <w:pPr>
        <w:spacing w:after="0" w:line="240" w:lineRule="auto"/>
        <w:jc w:val="both"/>
        <w:rPr>
          <w:rFonts w:ascii="Verdana" w:hAnsi="Verdana" w:eastAsia="Calibri" w:cs="Arial"/>
          <w:lang w:val="es-ES" w:eastAsia="es-ES_tradnl"/>
        </w:rPr>
      </w:pPr>
    </w:p>
    <w:p w:rsidR="005F4F0B" w:rsidP="00DB7CAA" w:rsidRDefault="005F4F0B" w14:paraId="7DD1C30C" w14:textId="77777777">
      <w:pPr>
        <w:spacing w:after="0" w:line="240" w:lineRule="auto"/>
        <w:jc w:val="both"/>
        <w:rPr>
          <w:rFonts w:ascii="Verdana" w:hAnsi="Verdana" w:eastAsia="Calibri" w:cs="Arial"/>
          <w:lang w:val="es-ES" w:eastAsia="es-ES_tradnl"/>
        </w:rPr>
      </w:pPr>
    </w:p>
    <w:p w:rsidR="005F4F0B" w:rsidP="00DB7CAA" w:rsidRDefault="005F4F0B" w14:paraId="44E3E387" w14:textId="77777777">
      <w:pPr>
        <w:spacing w:after="0" w:line="240" w:lineRule="auto"/>
        <w:jc w:val="both"/>
        <w:rPr>
          <w:rFonts w:ascii="Verdana" w:hAnsi="Verdana" w:eastAsia="Calibri" w:cs="Arial"/>
          <w:lang w:val="es-ES" w:eastAsia="es-ES_tradnl"/>
        </w:rPr>
      </w:pPr>
    </w:p>
    <w:p w:rsidR="005F4F0B" w:rsidP="00DB7CAA" w:rsidRDefault="005F4F0B" w14:paraId="3C4570E8" w14:textId="77777777">
      <w:pPr>
        <w:spacing w:after="0" w:line="240" w:lineRule="auto"/>
        <w:jc w:val="both"/>
        <w:rPr>
          <w:rFonts w:ascii="Verdana" w:hAnsi="Verdana" w:eastAsia="Calibri" w:cs="Arial"/>
          <w:lang w:val="es-ES" w:eastAsia="es-ES_tradnl"/>
        </w:rPr>
      </w:pPr>
    </w:p>
    <w:p w:rsidR="005F4F0B" w:rsidP="00DB7CAA" w:rsidRDefault="005F4F0B" w14:paraId="2FA593DD" w14:textId="77777777">
      <w:pPr>
        <w:spacing w:after="0" w:line="240" w:lineRule="auto"/>
        <w:jc w:val="both"/>
        <w:rPr>
          <w:rFonts w:ascii="Verdana" w:hAnsi="Verdana" w:eastAsia="Calibri" w:cs="Arial"/>
          <w:lang w:val="es-ES" w:eastAsia="es-ES_tradnl"/>
        </w:rPr>
      </w:pPr>
    </w:p>
    <w:p w:rsidR="005F4F0B" w:rsidP="00DB7CAA" w:rsidRDefault="005F4F0B" w14:paraId="1D36AD2D" w14:textId="77777777">
      <w:pPr>
        <w:spacing w:after="0" w:line="240" w:lineRule="auto"/>
        <w:jc w:val="both"/>
        <w:rPr>
          <w:rFonts w:ascii="Verdana" w:hAnsi="Verdana" w:eastAsia="Calibri" w:cs="Arial"/>
          <w:lang w:val="es-ES" w:eastAsia="es-ES_tradnl"/>
        </w:rPr>
      </w:pPr>
    </w:p>
    <w:p w:rsidR="005F4F0B" w:rsidP="00DB7CAA" w:rsidRDefault="005F4F0B" w14:paraId="363040BD" w14:textId="77777777">
      <w:pPr>
        <w:spacing w:after="0" w:line="240" w:lineRule="auto"/>
        <w:jc w:val="both"/>
        <w:rPr>
          <w:rFonts w:ascii="Verdana" w:hAnsi="Verdana" w:eastAsia="Calibri" w:cs="Arial"/>
          <w:lang w:val="es-ES" w:eastAsia="es-ES_tradnl"/>
        </w:rPr>
      </w:pPr>
    </w:p>
    <w:p w:rsidR="005F4F0B" w:rsidP="005F4F0B" w:rsidRDefault="005F4F0B" w14:paraId="600FAAE2" w14:textId="77777777">
      <w:pPr>
        <w:spacing w:after="0" w:line="240" w:lineRule="auto"/>
        <w:ind w:right="-661"/>
        <w:rPr>
          <w:rFonts w:ascii="Verdana" w:hAnsi="Verdana" w:eastAsia="Calibri" w:cs="Arial"/>
          <w:lang w:val="es-ES" w:eastAsia="es-ES_tradnl"/>
        </w:rPr>
      </w:pPr>
    </w:p>
    <w:p w:rsidR="005F4F0B" w:rsidP="005F4F0B" w:rsidRDefault="005F4F0B" w14:paraId="3FBCC638" w14:textId="44A55006">
      <w:pPr>
        <w:spacing w:after="0" w:line="240" w:lineRule="auto"/>
        <w:ind w:right="-661"/>
        <w:rPr>
          <w:rFonts w:ascii="Verdana" w:hAnsi="Verdana" w:eastAsia="Calibri" w:cs="Arial"/>
          <w:lang w:val="es-ES" w:eastAsia="es-ES_tradnl"/>
        </w:rPr>
      </w:pPr>
      <w:r w:rsidRPr="005F4F0B">
        <w:rPr>
          <w:rFonts w:ascii="Verdana" w:hAnsi="Verdana" w:eastAsia="Calibri" w:cs="Arial"/>
          <w:lang w:eastAsia="es-ES_tradnl"/>
        </w:rPr>
        <w:t xml:space="preserve">Bogotá D.C., 05 </w:t>
      </w:r>
      <w:proofErr w:type="gramStart"/>
      <w:r w:rsidRPr="005F4F0B">
        <w:rPr>
          <w:rFonts w:ascii="Verdana" w:hAnsi="Verdana" w:eastAsia="Calibri" w:cs="Arial"/>
          <w:lang w:eastAsia="es-ES_tradnl"/>
        </w:rPr>
        <w:t>Septiembre</w:t>
      </w:r>
      <w:proofErr w:type="gramEnd"/>
      <w:r w:rsidRPr="005F4F0B">
        <w:rPr>
          <w:rFonts w:ascii="Verdana" w:hAnsi="Verdana" w:eastAsia="Calibri" w:cs="Arial"/>
          <w:lang w:eastAsia="es-ES_tradnl"/>
        </w:rPr>
        <w:t xml:space="preserve"> 2024</w:t>
      </w:r>
    </w:p>
    <w:p w:rsidR="005F4F0B" w:rsidP="005F4F0B" w:rsidRDefault="005F4F0B" w14:paraId="7D2D254B" w14:textId="541B8B53">
      <w:pPr>
        <w:spacing w:after="0" w:line="240" w:lineRule="auto"/>
        <w:ind w:right="-661"/>
        <w:jc w:val="right"/>
        <w:rPr>
          <w:rFonts w:ascii="Verdana" w:hAnsi="Verdana" w:eastAsia="Calibri" w:cs="Arial"/>
          <w:lang w:val="es-ES" w:eastAsia="es-ES_tradnl"/>
        </w:rPr>
      </w:pPr>
      <w:r w:rsidRPr="005F4F0B">
        <w:rPr>
          <w:rFonts w:ascii="Verdana" w:hAnsi="Verdana" w:eastAsia="Calibri" w:cs="Arial"/>
          <w:lang w:val="es-ES" w:eastAsia="es-ES_tradnl"/>
        </w:rPr>
        <w:drawing>
          <wp:inline distT="0" distB="0" distL="0" distR="0" wp14:anchorId="6862665F" wp14:editId="21FE3CC8">
            <wp:extent cx="3477110" cy="895475"/>
            <wp:effectExtent l="0" t="0" r="9525" b="0"/>
            <wp:docPr id="832974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74185" name=""/>
                    <pic:cNvPicPr/>
                  </pic:nvPicPr>
                  <pic:blipFill>
                    <a:blip r:embed="rId11"/>
                    <a:stretch>
                      <a:fillRect/>
                    </a:stretch>
                  </pic:blipFill>
                  <pic:spPr>
                    <a:xfrm>
                      <a:off x="0" y="0"/>
                      <a:ext cx="3477110" cy="895475"/>
                    </a:xfrm>
                    <a:prstGeom prst="rect">
                      <a:avLst/>
                    </a:prstGeom>
                  </pic:spPr>
                </pic:pic>
              </a:graphicData>
            </a:graphic>
          </wp:inline>
        </w:drawing>
      </w:r>
    </w:p>
    <w:p w:rsidR="005F4F0B" w:rsidP="00DB7CAA" w:rsidRDefault="005F4F0B" w14:paraId="4497B9B2" w14:textId="77777777">
      <w:pPr>
        <w:spacing w:after="0" w:line="240" w:lineRule="auto"/>
        <w:jc w:val="both"/>
        <w:rPr>
          <w:rFonts w:ascii="Verdana" w:hAnsi="Verdana" w:eastAsia="Calibri" w:cs="Arial"/>
          <w:lang w:val="es-ES" w:eastAsia="es-ES_tradnl"/>
        </w:rPr>
      </w:pPr>
    </w:p>
    <w:p w:rsidRPr="006D4F5F" w:rsidR="00DB7CAA" w:rsidP="00DB7CAA" w:rsidRDefault="004F2321" w14:paraId="3C0B96F9" w14:textId="47FCB425">
      <w:pPr>
        <w:spacing w:after="0" w:line="240" w:lineRule="auto"/>
        <w:jc w:val="both"/>
        <w:rPr>
          <w:rFonts w:ascii="Verdana" w:hAnsi="Verdana" w:eastAsia="Calibri" w:cs="Arial"/>
          <w:lang w:val="es-ES" w:eastAsia="es-ES_tradnl"/>
        </w:rPr>
      </w:pPr>
      <w:r>
        <w:rPr>
          <w:rFonts w:ascii="Verdana" w:hAnsi="Verdana" w:eastAsia="Calibri" w:cs="Arial"/>
          <w:lang w:val="es-ES" w:eastAsia="es-ES_tradnl"/>
        </w:rPr>
        <w:t>Doctora</w:t>
      </w:r>
    </w:p>
    <w:p w:rsidR="004F2321" w:rsidP="00DB7CAA" w:rsidRDefault="004F2321" w14:paraId="3667D4CC" w14:textId="4B04C107">
      <w:pPr>
        <w:spacing w:after="0" w:line="240" w:lineRule="auto"/>
        <w:rPr>
          <w:rFonts w:ascii="Verdana" w:hAnsi="Verdana" w:eastAsia="Calibri" w:cs="Arial"/>
          <w:b/>
          <w:bCs/>
          <w:lang w:val="es-ES" w:eastAsia="es-ES_tradnl"/>
        </w:rPr>
      </w:pPr>
      <w:r>
        <w:rPr>
          <w:rFonts w:ascii="Verdana" w:hAnsi="Verdana" w:eastAsia="Calibri" w:cs="Arial"/>
          <w:b/>
          <w:bCs/>
          <w:lang w:val="es-ES" w:eastAsia="es-ES_tradnl"/>
        </w:rPr>
        <w:t>LIZETH JAHIRA GONZALEZ VARGAS</w:t>
      </w:r>
    </w:p>
    <w:p w:rsidR="00DB7CAA" w:rsidP="00DB7CAA" w:rsidRDefault="004F2321" w14:paraId="0A111802" w14:textId="54EFE861">
      <w:pPr>
        <w:spacing w:after="0" w:line="240" w:lineRule="auto"/>
        <w:rPr>
          <w:rFonts w:ascii="Verdana" w:hAnsi="Verdana" w:eastAsia="Calibri" w:cs="Arial"/>
          <w:bCs/>
          <w:lang w:val="es-ES_tradnl" w:eastAsia="es-ES_tradnl"/>
        </w:rPr>
      </w:pPr>
      <w:r>
        <w:rPr>
          <w:rFonts w:ascii="Verdana" w:hAnsi="Verdana" w:eastAsia="Calibri" w:cs="Arial"/>
          <w:bCs/>
          <w:lang w:val="es-ES_tradnl" w:eastAsia="es-ES_tradnl"/>
        </w:rPr>
        <w:t>Alcaldesa Local de Bosa</w:t>
      </w:r>
    </w:p>
    <w:p w:rsidRPr="006D4F5F" w:rsidR="004F2321" w:rsidP="00DB7CAA" w:rsidRDefault="004F2321" w14:paraId="6DB594C7" w14:textId="396CE70D">
      <w:pPr>
        <w:spacing w:after="0" w:line="240" w:lineRule="auto"/>
        <w:rPr>
          <w:rFonts w:ascii="Verdana" w:hAnsi="Verdana" w:eastAsia="Calibri" w:cs="Arial"/>
          <w:lang w:val="es-ES_tradnl" w:eastAsia="es-ES_tradnl"/>
        </w:rPr>
      </w:pPr>
      <w:r>
        <w:rPr>
          <w:rFonts w:ascii="Verdana" w:hAnsi="Verdana" w:eastAsia="Calibri" w:cs="Arial"/>
          <w:bCs/>
          <w:lang w:val="es-ES_tradnl" w:eastAsia="es-ES_tradnl"/>
        </w:rPr>
        <w:t>Ciudad</w:t>
      </w:r>
    </w:p>
    <w:p w:rsidRPr="006D4F5F" w:rsidR="00DB7CAA" w:rsidP="00DB7CAA" w:rsidRDefault="00DB7CAA" w14:paraId="4CD2C9A9" w14:textId="77777777">
      <w:pPr>
        <w:spacing w:after="0" w:line="240" w:lineRule="auto"/>
        <w:rPr>
          <w:rFonts w:ascii="Verdana" w:hAnsi="Verdana" w:eastAsia="Calibri" w:cs="Arial"/>
          <w:lang w:val="es-ES_tradnl" w:eastAsia="es-ES_tradnl"/>
        </w:rPr>
      </w:pPr>
    </w:p>
    <w:p w:rsidRPr="006D4F5F" w:rsidR="00DB7CAA" w:rsidP="00DB7CAA" w:rsidRDefault="00DB7CAA" w14:paraId="4D8F366E" w14:textId="77777777">
      <w:pPr>
        <w:spacing w:after="0" w:line="240" w:lineRule="auto"/>
        <w:rPr>
          <w:rFonts w:ascii="Verdana" w:hAnsi="Verdana" w:eastAsia="Calibri" w:cs="Arial"/>
          <w:lang w:val="es-ES_tradnl" w:eastAsia="es-ES_tradnl"/>
        </w:rPr>
      </w:pPr>
    </w:p>
    <w:p w:rsidRPr="006D4F5F" w:rsidR="00DB7CAA" w:rsidP="00DB7CAA" w:rsidRDefault="00DB7CAA" w14:paraId="0A27F23B" w14:textId="6D9CE0A0">
      <w:pPr>
        <w:spacing w:after="0" w:line="240" w:lineRule="auto"/>
        <w:ind w:left="2694"/>
        <w:rPr>
          <w:rFonts w:ascii="Verdana" w:hAnsi="Verdana" w:eastAsia="Calibri" w:cs="Arial"/>
          <w:b/>
          <w:bCs/>
          <w:lang w:val="es-ES" w:eastAsia="es-ES_tradnl"/>
        </w:rPr>
      </w:pPr>
      <w:r w:rsidRPr="006D4F5F">
        <w:rPr>
          <w:rFonts w:ascii="Verdana" w:hAnsi="Verdana" w:eastAsia="Calibri" w:cs="Arial"/>
          <w:b/>
          <w:bCs/>
          <w:lang w:val="es-ES" w:eastAsia="es-ES_tradnl"/>
        </w:rPr>
        <w:t>Concepto C-</w:t>
      </w:r>
      <w:r w:rsidRPr="004F2321" w:rsidR="004F2321">
        <w:rPr>
          <w:rFonts w:ascii="Verdana" w:hAnsi="Verdana" w:eastAsia="Calibri" w:cs="Arial"/>
          <w:b/>
          <w:bCs/>
          <w:lang w:val="es-ES" w:eastAsia="es-ES_tradnl"/>
        </w:rPr>
        <w:t>386</w:t>
      </w:r>
      <w:r w:rsidRPr="006D4F5F">
        <w:rPr>
          <w:rFonts w:ascii="Verdana" w:hAnsi="Verdana" w:eastAsia="Calibri" w:cs="Arial"/>
          <w:b/>
          <w:bCs/>
          <w:lang w:val="es-ES" w:eastAsia="es-ES_tradnl"/>
        </w:rPr>
        <w:t>de 2024</w:t>
      </w:r>
    </w:p>
    <w:p w:rsidRPr="006D4F5F" w:rsidR="00DB7CAA" w:rsidP="00DB7CAA" w:rsidRDefault="00DB7CAA" w14:paraId="398473DC" w14:textId="77777777">
      <w:pPr>
        <w:spacing w:after="0" w:line="240" w:lineRule="auto"/>
        <w:jc w:val="both"/>
        <w:rPr>
          <w:rFonts w:ascii="Verdana" w:hAnsi="Verdana" w:eastAsia="Calibri" w:cs="Arial"/>
          <w:lang w:val="es-ES_tradnl" w:eastAsia="es-ES_tradnl"/>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6D4F5F" w:rsidR="00DB7CAA" w:rsidTr="009C1076" w14:paraId="6D55B8C1" w14:textId="77777777">
        <w:trPr>
          <w:jc w:val="right"/>
        </w:trPr>
        <w:tc>
          <w:tcPr>
            <w:tcW w:w="1838" w:type="dxa"/>
          </w:tcPr>
          <w:p w:rsidRPr="006D4F5F" w:rsidR="00DB7CAA" w:rsidP="009C1076" w:rsidRDefault="00DB7CAA" w14:paraId="295DA221" w14:textId="77777777">
            <w:pPr>
              <w:jc w:val="center"/>
              <w:rPr>
                <w:rFonts w:ascii="Verdana" w:hAnsi="Verdana" w:eastAsia="Calibri" w:cs="Arial"/>
                <w:lang w:val="es-ES_tradnl" w:eastAsia="es-ES_tradnl"/>
              </w:rPr>
            </w:pPr>
            <w:r w:rsidRPr="006D4F5F">
              <w:rPr>
                <w:rFonts w:ascii="Verdana" w:hAnsi="Verdana" w:eastAsia="Calibri" w:cs="Arial"/>
                <w:b/>
                <w:lang w:val="es-ES_tradnl" w:eastAsia="es-ES_tradnl"/>
              </w:rPr>
              <w:t>Temas:</w:t>
            </w:r>
          </w:p>
        </w:tc>
        <w:tc>
          <w:tcPr>
            <w:tcW w:w="6237" w:type="dxa"/>
          </w:tcPr>
          <w:p w:rsidRPr="00A34454" w:rsidR="00DB7CAA" w:rsidP="009C1076" w:rsidRDefault="00DB7CAA" w14:paraId="0821925A" w14:textId="5AEE884E">
            <w:pPr>
              <w:jc w:val="both"/>
              <w:textAlignment w:val="baseline"/>
              <w:rPr>
                <w:rFonts w:ascii="Verdana" w:hAnsi="Verdana" w:eastAsia="Times New Roman" w:cs="Arial"/>
                <w:lang w:eastAsia="es-ES_tradnl"/>
              </w:rPr>
            </w:pPr>
            <w:r w:rsidRPr="006D4F5F">
              <w:rPr>
                <w:rFonts w:ascii="Verdana" w:hAnsi="Verdana" w:eastAsia="Times New Roman" w:cs="Arial"/>
                <w:lang w:eastAsia="es-ES_tradnl"/>
              </w:rPr>
              <w:t>PLANEACIÓN – Estudios previos / ESTUDIOS PREVIOS – Análisis del sector – Planeación en los procesos de contratación pública / ESTUDIOS PREVIOS – Estudio del mercado</w:t>
            </w:r>
            <w:r w:rsidR="00A34454">
              <w:rPr>
                <w:rFonts w:ascii="Verdana" w:hAnsi="Verdana" w:eastAsia="Times New Roman" w:cs="Arial"/>
                <w:lang w:eastAsia="es-ES_tradnl"/>
              </w:rPr>
              <w:t xml:space="preserve"> / </w:t>
            </w:r>
            <w:r w:rsidRPr="00A34454" w:rsidR="00A34454">
              <w:rPr>
                <w:rFonts w:ascii="Verdana" w:hAnsi="Verdana" w:eastAsia="Times New Roman" w:cs="Arial"/>
                <w:lang w:eastAsia="es-ES_tradnl"/>
              </w:rPr>
              <w:t>GUÍAS Y MANUALES – Obligatoriedad</w:t>
            </w:r>
          </w:p>
          <w:p w:rsidRPr="006D4F5F" w:rsidR="00DB7CAA" w:rsidP="009C1076" w:rsidRDefault="00DB7CAA" w14:paraId="0AF82951" w14:textId="77777777">
            <w:pPr>
              <w:jc w:val="both"/>
              <w:rPr>
                <w:rFonts w:ascii="Verdana" w:hAnsi="Verdana" w:eastAsia="Times New Roman" w:cs="Arial"/>
                <w:lang w:val="es-ES_tradnl" w:eastAsia="es-ES_tradnl"/>
              </w:rPr>
            </w:pPr>
          </w:p>
        </w:tc>
      </w:tr>
      <w:tr w:rsidRPr="006D4F5F" w:rsidR="00DB7CAA" w:rsidTr="009C1076" w14:paraId="1C863699" w14:textId="77777777">
        <w:trPr>
          <w:jc w:val="right"/>
        </w:trPr>
        <w:tc>
          <w:tcPr>
            <w:tcW w:w="1838" w:type="dxa"/>
          </w:tcPr>
          <w:p w:rsidRPr="006D4F5F" w:rsidR="00DB7CAA" w:rsidP="009C1076" w:rsidRDefault="00DB7CAA" w14:paraId="0C9DA406" w14:textId="77777777">
            <w:pPr>
              <w:jc w:val="center"/>
              <w:rPr>
                <w:rFonts w:ascii="Verdana" w:hAnsi="Verdana" w:eastAsia="Calibri" w:cs="Arial"/>
                <w:b/>
                <w:lang w:val="es-ES" w:eastAsia="es-ES_tradnl"/>
              </w:rPr>
            </w:pPr>
            <w:r w:rsidRPr="006D4F5F">
              <w:rPr>
                <w:rFonts w:ascii="Verdana" w:hAnsi="Verdana" w:eastAsia="Calibri" w:cs="Arial"/>
                <w:b/>
                <w:lang w:val="es-ES" w:eastAsia="es-ES_tradnl"/>
              </w:rPr>
              <w:t>Radicación:</w:t>
            </w:r>
          </w:p>
        </w:tc>
        <w:tc>
          <w:tcPr>
            <w:tcW w:w="6237" w:type="dxa"/>
          </w:tcPr>
          <w:p w:rsidRPr="006D4F5F" w:rsidR="00DB7CAA" w:rsidP="009C1076" w:rsidRDefault="00DB7CAA" w14:paraId="16AA40D7" w14:textId="273CF19D">
            <w:pPr>
              <w:jc w:val="both"/>
              <w:rPr>
                <w:rFonts w:ascii="Verdana" w:hAnsi="Verdana" w:eastAsia="Calibri" w:cs="Arial"/>
                <w:lang w:val="es-ES" w:eastAsia="es-ES_tradnl"/>
              </w:rPr>
            </w:pPr>
            <w:r w:rsidRPr="006D4F5F">
              <w:rPr>
                <w:rFonts w:ascii="Verdana" w:hAnsi="Verdana" w:eastAsia="Calibri" w:cs="Arial"/>
                <w:lang w:val="es-ES" w:eastAsia="es-ES_tradnl"/>
              </w:rPr>
              <w:t xml:space="preserve">Respuesta a consulta radicado No. </w:t>
            </w:r>
            <w:r w:rsidRPr="004F2321" w:rsidR="004F2321">
              <w:rPr>
                <w:rFonts w:ascii="Verdana" w:hAnsi="Verdana" w:eastAsia="Times New Roman" w:cs="Arial"/>
                <w:lang w:eastAsia="es-ES_tradnl"/>
              </w:rPr>
              <w:t>P20240724007617</w:t>
            </w:r>
          </w:p>
        </w:tc>
      </w:tr>
    </w:tbl>
    <w:p w:rsidRPr="006D4F5F" w:rsidR="00DB7CAA" w:rsidP="00DB7CAA" w:rsidRDefault="00DB7CAA" w14:paraId="63E951CA" w14:textId="77777777">
      <w:pPr>
        <w:spacing w:after="0" w:line="240" w:lineRule="auto"/>
        <w:jc w:val="both"/>
        <w:rPr>
          <w:rFonts w:ascii="Verdana" w:hAnsi="Verdana" w:eastAsia="Calibri" w:cs="Arial"/>
          <w:lang w:val="es-ES_tradnl" w:eastAsia="es-ES_tradnl"/>
        </w:rPr>
      </w:pPr>
    </w:p>
    <w:p w:rsidRPr="006D4F5F" w:rsidR="00DB7CAA" w:rsidP="00DB7CAA" w:rsidRDefault="00DB7CAA" w14:paraId="08F393CB" w14:textId="77777777">
      <w:pPr>
        <w:spacing w:after="0" w:line="240" w:lineRule="auto"/>
        <w:jc w:val="both"/>
        <w:rPr>
          <w:rFonts w:ascii="Verdana" w:hAnsi="Verdana" w:eastAsia="Calibri" w:cs="Arial"/>
          <w:lang w:val="es-ES_tradnl" w:eastAsia="es-ES_tradnl"/>
        </w:rPr>
      </w:pPr>
    </w:p>
    <w:p w:rsidRPr="006D4F5F" w:rsidR="00DB7CAA" w:rsidP="00DB7CAA" w:rsidRDefault="00DB7CAA" w14:paraId="03798B52" w14:textId="151C680E">
      <w:pPr>
        <w:spacing w:after="0" w:line="276" w:lineRule="auto"/>
        <w:contextualSpacing/>
        <w:jc w:val="both"/>
        <w:rPr>
          <w:rFonts w:ascii="Verdana" w:hAnsi="Verdana" w:eastAsia="Calibri" w:cs="Arial"/>
          <w:lang w:val="es-ES" w:eastAsia="es-ES"/>
        </w:rPr>
      </w:pPr>
      <w:r w:rsidRPr="3A444C6A">
        <w:rPr>
          <w:rFonts w:ascii="Verdana" w:hAnsi="Verdana" w:eastAsia="Calibri" w:cs="Arial"/>
          <w:lang w:val="es-ES" w:eastAsia="es-ES"/>
        </w:rPr>
        <w:t xml:space="preserve">Estimada </w:t>
      </w:r>
      <w:r w:rsidR="004F2321">
        <w:rPr>
          <w:rFonts w:ascii="Verdana" w:hAnsi="Verdana" w:eastAsia="Calibri" w:cs="Arial"/>
          <w:lang w:val="es-ES" w:eastAsia="es-ES"/>
        </w:rPr>
        <w:t>doctora</w:t>
      </w:r>
      <w:r w:rsidRPr="3A444C6A">
        <w:rPr>
          <w:rFonts w:ascii="Verdana" w:hAnsi="Verdana" w:eastAsia="Calibri" w:cs="Arial"/>
          <w:lang w:val="es-ES" w:eastAsia="es-ES"/>
        </w:rPr>
        <w:t xml:space="preserve"> </w:t>
      </w:r>
      <w:r w:rsidRPr="3A444C6A" w:rsidR="00A5720C">
        <w:rPr>
          <w:rFonts w:ascii="Verdana" w:hAnsi="Verdana" w:eastAsia="Calibri" w:cs="Arial"/>
          <w:lang w:val="es-ES" w:eastAsia="es-ES"/>
        </w:rPr>
        <w:t>G</w:t>
      </w:r>
      <w:r w:rsidR="00A5720C">
        <w:rPr>
          <w:rFonts w:ascii="Verdana" w:hAnsi="Verdana" w:eastAsia="Calibri" w:cs="Arial"/>
          <w:lang w:val="es-ES" w:eastAsia="es-ES"/>
        </w:rPr>
        <w:t>onzález</w:t>
      </w:r>
      <w:r w:rsidRPr="3A444C6A">
        <w:rPr>
          <w:rFonts w:ascii="Verdana" w:hAnsi="Verdana" w:eastAsia="Calibri" w:cs="Arial"/>
          <w:lang w:val="es-ES" w:eastAsia="es-ES"/>
        </w:rPr>
        <w:t>:</w:t>
      </w:r>
    </w:p>
    <w:p w:rsidRPr="006D4F5F" w:rsidR="00DB7CAA" w:rsidP="00DB7CAA" w:rsidRDefault="00DB7CAA" w14:paraId="68E28195" w14:textId="77777777">
      <w:pPr>
        <w:spacing w:after="0" w:line="276" w:lineRule="auto"/>
        <w:contextualSpacing/>
        <w:jc w:val="both"/>
        <w:rPr>
          <w:rFonts w:ascii="Verdana" w:hAnsi="Verdana" w:eastAsia="Calibri" w:cs="Arial"/>
          <w:lang w:val="es-ES_tradnl" w:eastAsia="es-ES_tradnl"/>
        </w:rPr>
      </w:pPr>
    </w:p>
    <w:p w:rsidR="00DB7CAA" w:rsidP="00DB7CAA" w:rsidRDefault="00DB7CAA" w14:paraId="54922531" w14:textId="33D1EACB">
      <w:pPr>
        <w:spacing w:after="0" w:line="276" w:lineRule="auto"/>
        <w:contextualSpacing/>
        <w:jc w:val="both"/>
        <w:rPr>
          <w:rFonts w:ascii="Verdana" w:hAnsi="Verdana" w:eastAsia="Calibri" w:cs="Arial"/>
          <w:lang w:val="es-ES" w:eastAsia="es-ES_tradnl"/>
        </w:rPr>
      </w:pPr>
      <w:r w:rsidRPr="006D4F5F">
        <w:rPr>
          <w:rFonts w:ascii="Verdana" w:hAnsi="Verdana" w:eastAsia="Calibri" w:cs="Arial"/>
          <w:lang w:val="es-ES" w:eastAsia="es-ES_tradnl"/>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w:t>
      </w:r>
      <w:r w:rsidR="00A5720C">
        <w:rPr>
          <w:rFonts w:ascii="Verdana" w:hAnsi="Verdana" w:eastAsia="Calibri" w:cs="Arial"/>
          <w:lang w:val="es-ES" w:eastAsia="es-ES_tradnl"/>
        </w:rPr>
        <w:t>24</w:t>
      </w:r>
      <w:r w:rsidRPr="006D4F5F">
        <w:rPr>
          <w:rFonts w:ascii="Verdana" w:hAnsi="Verdana" w:eastAsia="Calibri" w:cs="Arial"/>
          <w:lang w:val="es-ES" w:eastAsia="es-ES_tradnl"/>
        </w:rPr>
        <w:t xml:space="preserve"> de ju</w:t>
      </w:r>
      <w:r w:rsidR="00A5720C">
        <w:rPr>
          <w:rFonts w:ascii="Verdana" w:hAnsi="Verdana" w:eastAsia="Calibri" w:cs="Arial"/>
          <w:lang w:val="es-ES" w:eastAsia="es-ES_tradnl"/>
        </w:rPr>
        <w:t>l</w:t>
      </w:r>
      <w:r w:rsidRPr="006D4F5F">
        <w:rPr>
          <w:rFonts w:ascii="Verdana" w:hAnsi="Verdana" w:eastAsia="Calibri" w:cs="Arial"/>
          <w:lang w:val="es-ES" w:eastAsia="es-ES_tradnl"/>
        </w:rPr>
        <w:t>io de 2024</w:t>
      </w:r>
      <w:r>
        <w:rPr>
          <w:rFonts w:ascii="Verdana" w:hAnsi="Verdana" w:eastAsia="Calibri" w:cs="Arial"/>
          <w:lang w:val="es-ES" w:eastAsia="es-ES_tradnl"/>
        </w:rPr>
        <w:t>, en la cual manifiesta lo siguiente:</w:t>
      </w:r>
    </w:p>
    <w:p w:rsidR="004F2321" w:rsidP="00DB7CAA" w:rsidRDefault="004F2321" w14:paraId="63D8A7F0" w14:textId="77777777">
      <w:pPr>
        <w:spacing w:after="0" w:line="276" w:lineRule="auto"/>
        <w:contextualSpacing/>
        <w:jc w:val="both"/>
        <w:rPr>
          <w:rFonts w:ascii="Verdana" w:hAnsi="Verdana" w:eastAsia="Calibri" w:cs="Arial"/>
          <w:lang w:val="es-ES" w:eastAsia="es-ES_tradnl"/>
        </w:rPr>
      </w:pPr>
    </w:p>
    <w:p w:rsidRPr="004F2321" w:rsidR="004F2321" w:rsidP="004F2321" w:rsidRDefault="004F2321" w14:paraId="2EE4EB4F" w14:textId="664A4626">
      <w:pPr>
        <w:spacing w:after="0" w:line="240" w:lineRule="auto"/>
        <w:ind w:left="709" w:right="709"/>
        <w:contextualSpacing/>
        <w:jc w:val="both"/>
        <w:rPr>
          <w:rFonts w:ascii="Verdana" w:hAnsi="Verdana" w:eastAsia="Calibri" w:cs="Arial"/>
          <w:i/>
          <w:iCs/>
          <w:sz w:val="21"/>
          <w:szCs w:val="21"/>
          <w:lang w:val="es-ES" w:eastAsia="es-ES_tradnl"/>
        </w:rPr>
      </w:pPr>
      <w:r w:rsidRPr="004F2321">
        <w:rPr>
          <w:rFonts w:ascii="Verdana" w:hAnsi="Verdana" w:eastAsia="Calibri" w:cs="Arial"/>
          <w:i/>
          <w:iCs/>
          <w:sz w:val="21"/>
          <w:szCs w:val="21"/>
          <w:lang w:val="es-ES" w:eastAsia="es-ES_tradnl"/>
        </w:rPr>
        <w:t xml:space="preserve">“1. ¿Se puede </w:t>
      </w:r>
      <w:r w:rsidRPr="004F2321">
        <w:rPr>
          <w:rFonts w:ascii="Verdana" w:hAnsi="Verdana" w:eastAsia="Times New Roman" w:cs="Arial"/>
          <w:i/>
          <w:iCs/>
          <w:sz w:val="21"/>
          <w:szCs w:val="21"/>
          <w:lang w:eastAsia="es-ES_tradnl"/>
        </w:rPr>
        <w:t>entender</w:t>
      </w:r>
      <w:r w:rsidRPr="004F2321">
        <w:rPr>
          <w:rFonts w:ascii="Verdana" w:hAnsi="Verdana" w:eastAsia="Calibri" w:cs="Arial"/>
          <w:i/>
          <w:iCs/>
          <w:sz w:val="21"/>
          <w:szCs w:val="21"/>
          <w:lang w:val="es-ES" w:eastAsia="es-ES_tradnl"/>
        </w:rPr>
        <w:t xml:space="preserve"> que un estudio de mercado es determinante para establecer precios del mercado cuando se realiza con una sola cotización? </w:t>
      </w:r>
    </w:p>
    <w:p w:rsidRPr="004F2321" w:rsidR="004F2321" w:rsidP="004F2321" w:rsidRDefault="004F2321" w14:paraId="1590B1EE" w14:textId="4F8B5605">
      <w:pPr>
        <w:spacing w:after="0" w:line="240" w:lineRule="auto"/>
        <w:ind w:left="709" w:right="709"/>
        <w:contextualSpacing/>
        <w:jc w:val="both"/>
        <w:rPr>
          <w:rFonts w:ascii="Verdana" w:hAnsi="Verdana" w:eastAsia="Calibri" w:cs="Arial"/>
          <w:i/>
          <w:iCs/>
          <w:sz w:val="21"/>
          <w:szCs w:val="21"/>
          <w:lang w:val="es-ES" w:eastAsia="es-ES_tradnl"/>
        </w:rPr>
      </w:pPr>
      <w:r w:rsidRPr="004F2321">
        <w:rPr>
          <w:rFonts w:ascii="Verdana" w:hAnsi="Verdana" w:eastAsia="Calibri" w:cs="Arial"/>
          <w:i/>
          <w:iCs/>
          <w:sz w:val="21"/>
          <w:szCs w:val="21"/>
          <w:lang w:val="es-ES" w:eastAsia="es-ES_tradnl"/>
        </w:rPr>
        <w:t xml:space="preserve">2. ¿Teniendo en cuenta que Colombia Compra Eficiente estableció la guía para elaboración de estudios del sector dentro de los procesos de contratación, existe algún </w:t>
      </w:r>
      <w:r w:rsidRPr="004F2321">
        <w:rPr>
          <w:rFonts w:ascii="Verdana" w:hAnsi="Verdana" w:eastAsia="Times New Roman" w:cs="Arial"/>
          <w:i/>
          <w:iCs/>
          <w:sz w:val="21"/>
          <w:szCs w:val="21"/>
          <w:lang w:eastAsia="es-ES_tradnl"/>
        </w:rPr>
        <w:t>procedimiento</w:t>
      </w:r>
      <w:r w:rsidRPr="004F2321">
        <w:rPr>
          <w:rFonts w:ascii="Verdana" w:hAnsi="Verdana" w:eastAsia="Calibri" w:cs="Arial"/>
          <w:i/>
          <w:iCs/>
          <w:sz w:val="21"/>
          <w:szCs w:val="21"/>
          <w:lang w:val="es-ES" w:eastAsia="es-ES_tradnl"/>
        </w:rPr>
        <w:t xml:space="preserve"> similar durante la ejecución del contrato, que obligue al contratista la elaboración de un nuevo estudio del mercado para la entrega de bienes y/o servicios?</w:t>
      </w:r>
    </w:p>
    <w:p w:rsidRPr="004F2321" w:rsidR="004F2321" w:rsidP="004F2321" w:rsidRDefault="004F2321" w14:paraId="383E6A83" w14:textId="3DE4C296">
      <w:pPr>
        <w:spacing w:after="0" w:line="240" w:lineRule="auto"/>
        <w:ind w:left="709" w:right="709"/>
        <w:contextualSpacing/>
        <w:jc w:val="both"/>
        <w:rPr>
          <w:rFonts w:ascii="Verdana" w:hAnsi="Verdana" w:eastAsia="Calibri" w:cs="Arial"/>
          <w:i/>
          <w:iCs/>
          <w:sz w:val="21"/>
          <w:szCs w:val="21"/>
          <w:lang w:val="es-ES" w:eastAsia="es-ES_tradnl"/>
        </w:rPr>
      </w:pPr>
      <w:r w:rsidRPr="004F2321">
        <w:rPr>
          <w:rFonts w:ascii="Verdana" w:hAnsi="Verdana" w:eastAsia="Calibri" w:cs="Arial"/>
          <w:i/>
          <w:iCs/>
          <w:sz w:val="21"/>
          <w:szCs w:val="21"/>
          <w:lang w:val="es-ES" w:eastAsia="es-ES_tradnl"/>
        </w:rPr>
        <w:lastRenderedPageBreak/>
        <w:t xml:space="preserve">3. ¿En el ejercicio de la supervisión puede existir alguna extralimitación en las </w:t>
      </w:r>
      <w:r w:rsidRPr="004F2321">
        <w:rPr>
          <w:rFonts w:ascii="Verdana" w:hAnsi="Verdana" w:eastAsia="Times New Roman" w:cs="Arial"/>
          <w:i/>
          <w:iCs/>
          <w:sz w:val="21"/>
          <w:szCs w:val="21"/>
          <w:lang w:eastAsia="es-ES_tradnl"/>
        </w:rPr>
        <w:t>funciones</w:t>
      </w:r>
      <w:r w:rsidRPr="004F2321">
        <w:rPr>
          <w:rFonts w:ascii="Verdana" w:hAnsi="Verdana" w:eastAsia="Calibri" w:cs="Arial"/>
          <w:i/>
          <w:iCs/>
          <w:sz w:val="21"/>
          <w:szCs w:val="21"/>
          <w:lang w:val="es-ES" w:eastAsia="es-ES_tradnl"/>
        </w:rPr>
        <w:t xml:space="preserve"> al solicitar requisitos que no fueron descritos en los documentos previos del contrato? “</w:t>
      </w:r>
    </w:p>
    <w:p w:rsidR="00DB7CAA" w:rsidP="004F2321" w:rsidRDefault="00DB7CAA" w14:paraId="4256D96A" w14:textId="77777777">
      <w:pPr>
        <w:spacing w:after="0" w:line="240" w:lineRule="auto"/>
        <w:ind w:right="709"/>
        <w:contextualSpacing/>
        <w:jc w:val="both"/>
        <w:rPr>
          <w:rFonts w:ascii="Verdana" w:hAnsi="Verdana" w:eastAsia="Times New Roman" w:cs="Arial"/>
          <w:sz w:val="21"/>
          <w:szCs w:val="21"/>
          <w:lang w:eastAsia="es-ES_tradnl"/>
        </w:rPr>
      </w:pPr>
    </w:p>
    <w:p w:rsidR="00DB7CAA" w:rsidP="00DB7CAA" w:rsidRDefault="00DB7CAA" w14:paraId="18DF7E51" w14:textId="77777777">
      <w:pPr>
        <w:spacing w:after="120" w:line="276" w:lineRule="auto"/>
        <w:ind w:firstLine="709"/>
        <w:jc w:val="both"/>
        <w:rPr>
          <w:rFonts w:ascii="Verdana" w:hAnsi="Verdana" w:eastAsia="Calibri" w:cs="Arial"/>
          <w:color w:val="000000"/>
          <w:szCs w:val="24"/>
          <w:lang w:val="es-ES_tradnl" w:eastAsia="es-ES_tradnl"/>
        </w:rPr>
      </w:pPr>
      <w:r w:rsidRPr="00593A5F">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hAnsi="Verdana" w:eastAsia="Calibri" w:cs="Arial"/>
          <w:color w:val="000000"/>
          <w:szCs w:val="24"/>
          <w:lang w:val="es-ES_tradnl" w:eastAsia="es-ES_tradnl"/>
        </w:rPr>
        <w:tab/>
      </w:r>
    </w:p>
    <w:p w:rsidRPr="00D96AFA" w:rsidR="00DB7CAA" w:rsidP="00DB7CAA" w:rsidRDefault="00DB7CAA" w14:paraId="50FDB5DA" w14:textId="77777777">
      <w:pPr>
        <w:spacing w:after="0" w:line="276" w:lineRule="auto"/>
        <w:ind w:firstLine="709"/>
        <w:jc w:val="both"/>
        <w:rPr>
          <w:rFonts w:ascii="Verdana" w:hAnsi="Verdana" w:eastAsia="Calibri" w:cs="Arial"/>
          <w:lang w:val="es-ES" w:eastAsia="es-ES"/>
        </w:rPr>
      </w:pPr>
      <w:r w:rsidRPr="00D96AFA">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Pr>
          <w:rFonts w:ascii="Verdana" w:hAnsi="Verdana" w:eastAsia="Calibri" w:cs="Arial"/>
          <w:lang w:val="es-ES" w:eastAsia="es-ES"/>
        </w:rPr>
        <w:t>los</w:t>
      </w:r>
      <w:r w:rsidRPr="00D96AFA">
        <w:rPr>
          <w:rFonts w:ascii="Verdana" w:hAnsi="Verdana" w:eastAsia="Calibri" w:cs="Arial"/>
          <w:lang w:val="es-ES" w:eastAsia="es-ES"/>
        </w:rPr>
        <w:t xml:space="preserve"> problema</w:t>
      </w:r>
      <w:r>
        <w:rPr>
          <w:rFonts w:ascii="Verdana" w:hAnsi="Verdana" w:eastAsia="Calibri" w:cs="Arial"/>
          <w:lang w:val="es-ES" w:eastAsia="es-ES"/>
        </w:rPr>
        <w:t>s</w:t>
      </w:r>
      <w:r w:rsidRPr="00D96AFA">
        <w:rPr>
          <w:rFonts w:ascii="Verdana" w:hAnsi="Verdana" w:eastAsia="Calibri" w:cs="Arial"/>
          <w:lang w:val="es-ES" w:eastAsia="es-ES"/>
        </w:rPr>
        <w:t xml:space="preserve"> jurídico</w:t>
      </w:r>
      <w:r>
        <w:rPr>
          <w:rFonts w:ascii="Verdana" w:hAnsi="Verdana" w:eastAsia="Calibri" w:cs="Arial"/>
          <w:lang w:val="es-ES" w:eastAsia="es-ES"/>
        </w:rPr>
        <w:t>s</w:t>
      </w:r>
      <w:r w:rsidRPr="00D96AFA">
        <w:rPr>
          <w:rFonts w:ascii="Verdana" w:hAnsi="Verdana" w:eastAsia="Calibri" w:cs="Arial"/>
          <w:lang w:val="es-ES" w:eastAsia="es-ES"/>
        </w:rPr>
        <w:t xml:space="preserve"> de su consulta. </w:t>
      </w:r>
    </w:p>
    <w:p w:rsidRPr="006D4F5F" w:rsidR="00DB7CAA" w:rsidP="00DB7CAA" w:rsidRDefault="00DB7CAA" w14:paraId="30365087" w14:textId="77777777">
      <w:pPr>
        <w:spacing w:after="0" w:line="276" w:lineRule="auto"/>
        <w:contextualSpacing/>
        <w:jc w:val="both"/>
        <w:rPr>
          <w:rFonts w:ascii="Verdana" w:hAnsi="Verdana" w:eastAsia="Times New Roman" w:cs="Arial"/>
          <w:szCs w:val="24"/>
          <w:lang w:val="es-ES_tradnl" w:eastAsia="es-ES_tradnl"/>
        </w:rPr>
      </w:pPr>
    </w:p>
    <w:p w:rsidRPr="006D4F5F" w:rsidR="00DB7CAA" w:rsidP="00DB7CAA" w:rsidRDefault="00DB7CAA" w14:paraId="2EBC06D6" w14:textId="77777777">
      <w:pPr>
        <w:tabs>
          <w:tab w:val="left" w:pos="0"/>
          <w:tab w:val="left" w:pos="284"/>
        </w:tabs>
        <w:spacing w:after="0" w:line="276" w:lineRule="auto"/>
        <w:contextualSpacing/>
        <w:jc w:val="both"/>
        <w:rPr>
          <w:rFonts w:ascii="Verdana" w:hAnsi="Verdana" w:eastAsia="Calibri" w:cs="Arial"/>
          <w:b/>
          <w:lang w:val="es-ES_tradnl"/>
        </w:rPr>
      </w:pPr>
      <w:r>
        <w:rPr>
          <w:rFonts w:ascii="Verdana" w:hAnsi="Verdana" w:eastAsia="Calibri" w:cs="Arial"/>
          <w:b/>
          <w:lang w:val="es-ES_tradnl"/>
        </w:rPr>
        <w:t>1. Problema planteado:</w:t>
      </w:r>
    </w:p>
    <w:p w:rsidRPr="006D4F5F" w:rsidR="00DB7CAA" w:rsidP="00DB7CAA" w:rsidRDefault="00DB7CAA" w14:paraId="7E5F17A1" w14:textId="77777777">
      <w:pPr>
        <w:tabs>
          <w:tab w:val="left" w:pos="0"/>
          <w:tab w:val="left" w:pos="284"/>
        </w:tabs>
        <w:spacing w:after="0" w:line="276" w:lineRule="auto"/>
        <w:contextualSpacing/>
        <w:jc w:val="both"/>
        <w:rPr>
          <w:rFonts w:ascii="Verdana" w:hAnsi="Verdana" w:eastAsia="Calibri" w:cs="Arial"/>
          <w:b/>
          <w:lang w:val="es-ES_tradnl"/>
        </w:rPr>
      </w:pPr>
    </w:p>
    <w:p w:rsidR="00A5720C" w:rsidP="00DB7CAA" w:rsidRDefault="00DB7CAA" w14:paraId="48BD8CE8" w14:textId="77777777">
      <w:pPr>
        <w:spacing w:after="0" w:line="276" w:lineRule="auto"/>
        <w:jc w:val="both"/>
        <w:rPr>
          <w:rFonts w:ascii="Verdana" w:hAnsi="Verdana" w:eastAsia="Century Gothic" w:cs="Century Gothic"/>
        </w:rPr>
      </w:pPr>
      <w:r w:rsidRPr="00D96AFA">
        <w:rPr>
          <w:rFonts w:ascii="Verdana" w:hAnsi="Verdana" w:eastAsia="Century Gothic" w:cs="Century Gothic"/>
        </w:rPr>
        <w:t xml:space="preserve">De acuerdo con el contenido de su solicitud, esta Agencia resolverá </w:t>
      </w:r>
      <w:r>
        <w:rPr>
          <w:rFonts w:ascii="Verdana" w:hAnsi="Verdana" w:eastAsia="Century Gothic" w:cs="Century Gothic"/>
        </w:rPr>
        <w:t xml:space="preserve">los </w:t>
      </w:r>
      <w:r w:rsidRPr="00D96AFA">
        <w:rPr>
          <w:rFonts w:ascii="Verdana" w:hAnsi="Verdana" w:eastAsia="Century Gothic" w:cs="Century Gothic"/>
        </w:rPr>
        <w:t>siguiente</w:t>
      </w:r>
      <w:r>
        <w:rPr>
          <w:rFonts w:ascii="Verdana" w:hAnsi="Verdana" w:eastAsia="Century Gothic" w:cs="Century Gothic"/>
        </w:rPr>
        <w:t>s</w:t>
      </w:r>
      <w:r w:rsidRPr="00D96AFA">
        <w:rPr>
          <w:rFonts w:ascii="Verdana" w:hAnsi="Verdana" w:eastAsia="Century Gothic" w:cs="Century Gothic"/>
        </w:rPr>
        <w:t xml:space="preserve"> problemas jurídic</w:t>
      </w:r>
      <w:r>
        <w:rPr>
          <w:rFonts w:ascii="Verdana" w:hAnsi="Verdana" w:eastAsia="Century Gothic" w:cs="Century Gothic"/>
        </w:rPr>
        <w:t>os</w:t>
      </w:r>
      <w:r w:rsidRPr="00D96AFA">
        <w:rPr>
          <w:rFonts w:ascii="Verdana" w:hAnsi="Verdana" w:eastAsia="Century Gothic" w:cs="Century Gothic"/>
        </w:rPr>
        <w:t>:</w:t>
      </w:r>
    </w:p>
    <w:p w:rsidR="00A5720C" w:rsidP="00DB7CAA" w:rsidRDefault="00A5720C" w14:paraId="0E87E2DC" w14:textId="77777777">
      <w:pPr>
        <w:spacing w:after="0" w:line="276" w:lineRule="auto"/>
        <w:jc w:val="both"/>
        <w:rPr>
          <w:rFonts w:ascii="Verdana" w:hAnsi="Verdana" w:eastAsia="Century Gothic" w:cs="Century Gothic"/>
        </w:rPr>
      </w:pPr>
    </w:p>
    <w:p w:rsidR="00A5720C" w:rsidP="00667286" w:rsidRDefault="00667286" w14:paraId="0D32A0F2" w14:textId="3599E40F">
      <w:pPr>
        <w:pStyle w:val="Prrafodelista"/>
        <w:numPr>
          <w:ilvl w:val="0"/>
          <w:numId w:val="13"/>
        </w:numPr>
        <w:spacing w:after="0" w:line="276" w:lineRule="auto"/>
        <w:jc w:val="both"/>
        <w:rPr>
          <w:rFonts w:ascii="Verdana" w:hAnsi="Verdana" w:eastAsia="Century Gothic" w:cs="Century Gothic"/>
        </w:rPr>
      </w:pPr>
      <w:r w:rsidRPr="00667286">
        <w:rPr>
          <w:rFonts w:ascii="Verdana" w:hAnsi="Verdana" w:eastAsia="Century Gothic" w:cs="Century Gothic"/>
        </w:rPr>
        <w:t>¿Es posible que un estudio de mercado sea efectivo para establecer los precios en el mercado si se basa únicamente en una sola cotización?</w:t>
      </w:r>
    </w:p>
    <w:p w:rsidRPr="00667286" w:rsidR="00667286" w:rsidP="00667286" w:rsidRDefault="00667286" w14:paraId="7A6C98D5" w14:textId="77777777">
      <w:pPr>
        <w:pStyle w:val="Prrafodelista"/>
        <w:spacing w:after="0" w:line="276" w:lineRule="auto"/>
        <w:jc w:val="both"/>
        <w:rPr>
          <w:rFonts w:ascii="Verdana" w:hAnsi="Verdana" w:eastAsia="Century Gothic" w:cs="Century Gothic"/>
        </w:rPr>
      </w:pPr>
    </w:p>
    <w:p w:rsidR="00DB7CAA" w:rsidP="00A5720C" w:rsidRDefault="00DB7CAA" w14:paraId="211A7E2A" w14:textId="787E8FAF">
      <w:pPr>
        <w:pStyle w:val="Prrafodelista"/>
        <w:numPr>
          <w:ilvl w:val="0"/>
          <w:numId w:val="13"/>
        </w:numPr>
        <w:spacing w:after="0" w:line="276" w:lineRule="auto"/>
        <w:jc w:val="both"/>
        <w:rPr>
          <w:rFonts w:ascii="Verdana" w:hAnsi="Verdana" w:eastAsia="Century Gothic" w:cs="Century Gothic"/>
        </w:rPr>
      </w:pPr>
      <w:r w:rsidRPr="00A5720C">
        <w:rPr>
          <w:rFonts w:ascii="Verdana" w:hAnsi="Verdana" w:eastAsia="Century Gothic" w:cs="Century Gothic"/>
        </w:rPr>
        <w:t>¿Existen otras metodologías para realizar estudios del mercado además de las señaladas en la Guía de C</w:t>
      </w:r>
      <w:r w:rsidRPr="00A5720C" w:rsidR="00A900B2">
        <w:rPr>
          <w:rFonts w:ascii="Verdana" w:hAnsi="Verdana" w:eastAsia="Century Gothic" w:cs="Century Gothic"/>
        </w:rPr>
        <w:t>olombia Compra Eficiente</w:t>
      </w:r>
      <w:r w:rsidRPr="00A5720C">
        <w:rPr>
          <w:rFonts w:ascii="Verdana" w:hAnsi="Verdana" w:eastAsia="Century Gothic" w:cs="Century Gothic"/>
        </w:rPr>
        <w:t>?</w:t>
      </w:r>
    </w:p>
    <w:p w:rsidRPr="00EC170F" w:rsidR="00EC170F" w:rsidP="00EC170F" w:rsidRDefault="00EC170F" w14:paraId="571589C9" w14:textId="77777777">
      <w:pPr>
        <w:pStyle w:val="Prrafodelista"/>
        <w:rPr>
          <w:rFonts w:ascii="Verdana" w:hAnsi="Verdana" w:eastAsia="Century Gothic" w:cs="Century Gothic"/>
        </w:rPr>
      </w:pPr>
    </w:p>
    <w:p w:rsidRPr="00EC170F" w:rsidR="00EC170F" w:rsidP="00A5720C" w:rsidRDefault="00EC170F" w14:paraId="1D5B6A9B" w14:textId="02A425AF">
      <w:pPr>
        <w:pStyle w:val="Prrafodelista"/>
        <w:numPr>
          <w:ilvl w:val="0"/>
          <w:numId w:val="13"/>
        </w:numPr>
        <w:spacing w:after="0" w:line="276" w:lineRule="auto"/>
        <w:jc w:val="both"/>
        <w:rPr>
          <w:rFonts w:ascii="Verdana" w:hAnsi="Verdana" w:eastAsia="Century Gothic" w:cs="Century Gothic"/>
        </w:rPr>
      </w:pPr>
      <w:r w:rsidRPr="00EC170F">
        <w:rPr>
          <w:rFonts w:ascii="Verdana" w:hAnsi="Verdana" w:eastAsia="Calibri" w:cs="Arial"/>
          <w:lang w:eastAsia="es-ES_tradnl"/>
        </w:rPr>
        <w:t xml:space="preserve">¿En el ejercicio de la supervisión puede existir alguna extralimitación en las </w:t>
      </w:r>
      <w:r w:rsidRPr="00EC170F">
        <w:rPr>
          <w:rFonts w:ascii="Verdana" w:hAnsi="Verdana" w:eastAsia="Times New Roman" w:cs="Arial"/>
          <w:lang w:eastAsia="es-ES_tradnl"/>
        </w:rPr>
        <w:t>funciones</w:t>
      </w:r>
      <w:r w:rsidRPr="00EC170F">
        <w:rPr>
          <w:rFonts w:ascii="Verdana" w:hAnsi="Verdana" w:eastAsia="Calibri" w:cs="Arial"/>
          <w:lang w:eastAsia="es-ES_tradnl"/>
        </w:rPr>
        <w:t xml:space="preserve"> al solicitar requisitos que no fueron descritos en los documentos previos del contrato? </w:t>
      </w:r>
    </w:p>
    <w:p w:rsidR="00DB7CAA" w:rsidP="00DB7CAA" w:rsidRDefault="00DB7CAA" w14:paraId="1066E2B5" w14:textId="77777777">
      <w:pPr>
        <w:spacing w:after="0" w:line="276" w:lineRule="auto"/>
        <w:ind w:firstLine="709"/>
        <w:jc w:val="both"/>
        <w:rPr>
          <w:rFonts w:ascii="Verdana" w:hAnsi="Verdana" w:eastAsia="Calibri" w:cs="Arial"/>
          <w:lang w:val="es-ES" w:eastAsia="es-ES_tradnl"/>
        </w:rPr>
      </w:pPr>
    </w:p>
    <w:p w:rsidRPr="006D4F5F" w:rsidR="00DB7CAA" w:rsidP="00DB7CAA" w:rsidRDefault="00DB7CAA" w14:paraId="5613FE3D" w14:textId="77777777">
      <w:pPr>
        <w:tabs>
          <w:tab w:val="left" w:pos="142"/>
          <w:tab w:val="left" w:pos="284"/>
        </w:tabs>
        <w:spacing w:after="0" w:line="276" w:lineRule="auto"/>
        <w:jc w:val="both"/>
        <w:rPr>
          <w:rFonts w:ascii="Verdana" w:hAnsi="Verdana" w:eastAsia="Century Gothic" w:cs="Century Gothic"/>
          <w:b/>
          <w:bCs/>
        </w:rPr>
      </w:pPr>
      <w:r>
        <w:rPr>
          <w:rFonts w:ascii="Verdana" w:hAnsi="Verdana" w:eastAsia="Century Gothic" w:cs="Century Gothic"/>
          <w:b/>
          <w:bCs/>
        </w:rPr>
        <w:lastRenderedPageBreak/>
        <w:t xml:space="preserve">2. </w:t>
      </w:r>
      <w:r w:rsidRPr="006D4F5F">
        <w:rPr>
          <w:rFonts w:ascii="Verdana" w:hAnsi="Verdana" w:eastAsia="Century Gothic" w:cs="Century Gothic"/>
          <w:b/>
          <w:bCs/>
        </w:rPr>
        <w:t>Respuesta:</w:t>
      </w:r>
    </w:p>
    <w:p w:rsidRPr="00593A5F" w:rsidR="00DB7CAA" w:rsidP="00DB7CAA" w:rsidRDefault="00DB7CAA" w14:paraId="580D44BF"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DB7CAA" w:rsidTr="009C1076" w14:paraId="0C9FDEA7" w14:textId="77777777">
        <w:tc>
          <w:tcPr>
            <w:tcW w:w="8828" w:type="dxa"/>
            <w:shd w:val="clear" w:color="auto" w:fill="auto"/>
          </w:tcPr>
          <w:p w:rsidRPr="00EC170F" w:rsidR="008A306B" w:rsidP="00EC170F" w:rsidRDefault="00A900B2" w14:paraId="4196C9FE" w14:textId="44D349F3">
            <w:pPr>
              <w:spacing w:after="120" w:line="276" w:lineRule="auto"/>
              <w:jc w:val="both"/>
              <w:rPr>
                <w:rFonts w:ascii="Verdana" w:hAnsi="Verdana" w:eastAsia="Calibri" w:cs="Arial"/>
                <w:szCs w:val="24"/>
                <w:lang w:eastAsia="es-ES_tradnl"/>
              </w:rPr>
            </w:pPr>
            <w:r w:rsidRPr="00EC170F">
              <w:rPr>
                <w:rFonts w:ascii="Verdana" w:hAnsi="Verdana" w:eastAsia="Calibri" w:cs="Arial"/>
                <w:szCs w:val="24"/>
                <w:lang w:eastAsia="es-ES_tradnl"/>
              </w:rPr>
              <w:t xml:space="preserve">Respecto al primer interrogante, </w:t>
            </w:r>
            <w:r w:rsidRPr="00EC170F" w:rsidR="00EC170F">
              <w:rPr>
                <w:rFonts w:ascii="Verdana" w:hAnsi="Verdana" w:eastAsia="Calibri" w:cs="Arial"/>
                <w:szCs w:val="24"/>
                <w:lang w:eastAsia="es-ES_tradnl"/>
              </w:rPr>
              <w:t xml:space="preserve">queremos mencionar que </w:t>
            </w:r>
            <w:r w:rsidRPr="00EC170F" w:rsidR="00DB7CAA">
              <w:rPr>
                <w:rFonts w:ascii="Verdana" w:hAnsi="Verdana" w:eastAsia="Calibri" w:cs="Arial"/>
                <w:szCs w:val="24"/>
                <w:lang w:eastAsia="es-ES_tradnl"/>
              </w:rPr>
              <w:t xml:space="preserve"> las metodologías señaladas en la Guía </w:t>
            </w:r>
            <w:r w:rsidRPr="00EC170F">
              <w:rPr>
                <w:rFonts w:ascii="Verdana" w:hAnsi="Verdana" w:eastAsia="Times New Roman" w:cs="Arial"/>
                <w:sz w:val="21"/>
                <w:szCs w:val="21"/>
                <w:lang w:eastAsia="es-ES_tradnl"/>
              </w:rPr>
              <w:t xml:space="preserve">para la Elaboración de Estudios del Sector expedida por esta entidad, </w:t>
            </w:r>
            <w:r w:rsidRPr="00EC170F" w:rsidR="00DB7CAA">
              <w:rPr>
                <w:rFonts w:ascii="Verdana" w:hAnsi="Verdana" w:eastAsia="Calibri" w:cs="Arial"/>
                <w:szCs w:val="24"/>
                <w:lang w:eastAsia="es-ES_tradnl"/>
              </w:rPr>
              <w:t>son un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w:t>
            </w:r>
            <w:r w:rsidRPr="00EC170F" w:rsidR="008A306B">
              <w:rPr>
                <w:rFonts w:ascii="Verdana" w:hAnsi="Verdana" w:eastAsia="Calibri" w:cs="Arial"/>
                <w:szCs w:val="24"/>
                <w:lang w:eastAsia="es-ES_tradnl"/>
              </w:rPr>
              <w:t>; no obstante, las Entidades Públicas gozan de autonomía razonada, a la hora de aplicar una metodología para elaborar el Estudio del Sector, para lo cual dentro de su Manual de Contratación establecerán aquella que consideren pertinente,  siempre y cuando acaten la Ley 1150 de 2007 y el Decreto 1082 de 2015 frente a esta materia.</w:t>
            </w:r>
          </w:p>
          <w:p w:rsidRPr="006D4F5F" w:rsidR="00DB7CAA" w:rsidP="009C1076" w:rsidRDefault="007B447C" w14:paraId="188AB1A1" w14:textId="26197717">
            <w:pPr>
              <w:spacing w:after="120" w:line="276" w:lineRule="auto"/>
              <w:ind w:firstLine="851"/>
              <w:jc w:val="both"/>
              <w:rPr>
                <w:rFonts w:ascii="Verdana" w:hAnsi="Verdana" w:eastAsia="Calibri" w:cs="Arial"/>
                <w:szCs w:val="24"/>
                <w:lang w:val="es-ES" w:eastAsia="es-ES_tradnl"/>
              </w:rPr>
            </w:pPr>
            <w:r>
              <w:rPr>
                <w:rFonts w:ascii="Verdana" w:hAnsi="Verdana" w:eastAsia="Calibri" w:cs="Arial"/>
                <w:szCs w:val="24"/>
                <w:lang w:val="es-ES" w:eastAsia="es-ES_tradnl"/>
              </w:rPr>
              <w:t xml:space="preserve">De igual manera, vale la pena señalar que </w:t>
            </w:r>
            <w:r w:rsidRPr="006D4F5F" w:rsidR="00DB7CAA">
              <w:rPr>
                <w:rFonts w:ascii="Verdana" w:hAnsi="Verdana" w:eastAsia="Calibri" w:cs="Arial"/>
                <w:szCs w:val="24"/>
                <w:lang w:val="es-ES" w:eastAsia="es-ES_tradnl"/>
              </w:rPr>
              <w:t>la Guía</w:t>
            </w:r>
            <w:r>
              <w:rPr>
                <w:rFonts w:ascii="Verdana" w:hAnsi="Verdana" w:eastAsia="Calibri" w:cs="Arial"/>
                <w:szCs w:val="24"/>
                <w:lang w:val="es-ES" w:eastAsia="es-ES_tradnl"/>
              </w:rPr>
              <w:t xml:space="preserve"> expedida por esta entidad, </w:t>
            </w:r>
            <w:r w:rsidRPr="006D4F5F" w:rsidR="00DB7CAA">
              <w:rPr>
                <w:rFonts w:ascii="Verdana" w:hAnsi="Verdana" w:eastAsia="Calibri" w:cs="Arial"/>
                <w:szCs w:val="24"/>
                <w:lang w:val="es-ES" w:eastAsia="es-ES_tradnl"/>
              </w:rPr>
              <w:t>contiene recomendaciones generales por lo que no debe aplicarse de manera mecánica, pues la profundidad del estudio del sector depende de la complejidad y particularidades de cada Proceso de Contratación.</w:t>
            </w:r>
          </w:p>
          <w:p w:rsidR="00EC170F" w:rsidP="00EC170F" w:rsidRDefault="00DB7CAA" w14:paraId="6EA20ADE" w14:textId="16FC9927">
            <w:pPr>
              <w:spacing w:after="120" w:line="276" w:lineRule="auto"/>
              <w:jc w:val="both"/>
              <w:rPr>
                <w:rFonts w:ascii="Verdana" w:hAnsi="Verdana" w:eastAsia="Times New Roman" w:cs="Arial"/>
                <w:lang w:eastAsia="es-ES_tradnl"/>
              </w:rPr>
            </w:pPr>
            <w:r w:rsidRPr="00D96AFA">
              <w:rPr>
                <w:rFonts w:ascii="Verdana" w:hAnsi="Verdana" w:eastAsia="Calibri" w:cs="Arial"/>
                <w:szCs w:val="24"/>
                <w:lang w:val="es-ES" w:eastAsia="es-ES_tradnl"/>
              </w:rPr>
              <w:t xml:space="preserve">Por otra parte, respecto </w:t>
            </w:r>
            <w:r w:rsidR="007B447C">
              <w:rPr>
                <w:rFonts w:ascii="Verdana" w:hAnsi="Verdana" w:eastAsia="Calibri" w:cs="Arial"/>
                <w:szCs w:val="24"/>
                <w:lang w:val="es-ES" w:eastAsia="es-ES_tradnl"/>
              </w:rPr>
              <w:t xml:space="preserve">al segundo interrogante </w:t>
            </w:r>
            <w:r w:rsidR="009225A7">
              <w:rPr>
                <w:rFonts w:ascii="Verdana" w:hAnsi="Verdana" w:eastAsia="Calibri" w:cs="Arial"/>
                <w:szCs w:val="24"/>
                <w:lang w:val="es-ES" w:eastAsia="es-ES_tradnl"/>
              </w:rPr>
              <w:t xml:space="preserve">planteado, </w:t>
            </w:r>
            <w:r w:rsidRPr="00D96AFA" w:rsidR="009225A7">
              <w:rPr>
                <w:rFonts w:ascii="Verdana" w:hAnsi="Verdana" w:eastAsia="Calibri" w:cs="Arial"/>
                <w:szCs w:val="24"/>
                <w:lang w:val="es-ES" w:eastAsia="es-ES_tradnl"/>
              </w:rPr>
              <w:t>sobre</w:t>
            </w:r>
            <w:r w:rsidRPr="00D96AFA">
              <w:rPr>
                <w:rFonts w:ascii="Verdana" w:hAnsi="Verdana" w:eastAsia="Calibri" w:cs="Arial"/>
                <w:szCs w:val="24"/>
                <w:lang w:val="es-ES" w:eastAsia="es-ES_tradnl"/>
              </w:rPr>
              <w:t xml:space="preserve"> </w:t>
            </w:r>
            <w:r w:rsidR="00EC170F">
              <w:rPr>
                <w:rFonts w:ascii="Verdana" w:hAnsi="Verdana" w:eastAsia="Calibri" w:cs="Arial"/>
                <w:szCs w:val="24"/>
                <w:lang w:val="es-ES" w:eastAsia="es-ES_tradnl"/>
              </w:rPr>
              <w:t xml:space="preserve">si hay otras alternativas para realizar estudios del mercado además de las contempladas en la guía expedida por Colombia Compra Eficiente, </w:t>
            </w:r>
            <w:r w:rsidRPr="006D4F5F">
              <w:rPr>
                <w:rFonts w:ascii="Verdana" w:hAnsi="Verdana" w:eastAsia="Times New Roman" w:cs="Arial"/>
                <w:lang w:eastAsia="es-ES_tradnl"/>
              </w:rPr>
              <w:t>debe advertirse</w:t>
            </w:r>
            <w:r w:rsidR="00EC170F">
              <w:rPr>
                <w:rFonts w:ascii="Verdana" w:hAnsi="Verdana" w:eastAsia="Times New Roman" w:cs="Arial"/>
                <w:lang w:eastAsia="es-ES_tradnl"/>
              </w:rPr>
              <w:t xml:space="preserve">, </w:t>
            </w:r>
            <w:r w:rsidRPr="006D4F5F">
              <w:rPr>
                <w:rFonts w:ascii="Verdana" w:hAnsi="Verdana" w:eastAsia="Times New Roman" w:cs="Arial"/>
                <w:lang w:eastAsia="es-ES_tradnl"/>
              </w:rPr>
              <w:t>que es la entidad contratante, al momento de adelantar su actividad contractual, quien debe determinar lo correspondiente a las metodologías a aplicar en el estudio del mercado. Dado esto, y en atención al alcance la función consultiva atribuida a esta Agencia, lo aquí mencionado no constituye un juicio de valor sobre un proceso contractual particular.</w:t>
            </w:r>
          </w:p>
          <w:p w:rsidR="00EC170F" w:rsidP="00EC170F" w:rsidRDefault="00EC170F" w14:paraId="02D86AA0" w14:textId="77777777">
            <w:pPr>
              <w:spacing w:after="120" w:line="276" w:lineRule="auto"/>
              <w:jc w:val="both"/>
              <w:rPr>
                <w:rFonts w:ascii="Verdana" w:hAnsi="Verdana"/>
                <w:lang w:eastAsia="es-ES_tradnl"/>
              </w:rPr>
            </w:pPr>
            <w:r w:rsidRPr="00EC170F">
              <w:rPr>
                <w:rFonts w:ascii="Verdana" w:hAnsi="Verdana"/>
                <w:lang w:eastAsia="es-ES_tradnl"/>
              </w:rPr>
              <w:t>Y por último</w:t>
            </w:r>
            <w:r>
              <w:rPr>
                <w:rFonts w:ascii="Verdana" w:hAnsi="Verdana"/>
                <w:lang w:eastAsia="es-ES_tradnl"/>
              </w:rPr>
              <w:t xml:space="preserve">, </w:t>
            </w:r>
            <w:r w:rsidR="003036DC">
              <w:rPr>
                <w:rFonts w:ascii="Verdana" w:hAnsi="Verdana"/>
                <w:lang w:eastAsia="es-ES_tradnl"/>
              </w:rPr>
              <w:t>al tercer interrogante, como primera medida se dispone que l</w:t>
            </w:r>
            <w:r w:rsidRPr="003036DC" w:rsidR="003036DC">
              <w:rPr>
                <w:rFonts w:ascii="Verdana" w:hAnsi="Verdana"/>
                <w:lang w:eastAsia="es-ES_tradnl"/>
              </w:rPr>
              <w:t>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rsidR="003036DC" w:rsidP="00EC170F" w:rsidRDefault="003036DC" w14:paraId="556BB938" w14:textId="0102665A">
            <w:pPr>
              <w:spacing w:after="120" w:line="276" w:lineRule="auto"/>
              <w:jc w:val="both"/>
              <w:rPr>
                <w:rFonts w:ascii="Verdana" w:hAnsi="Verdana"/>
                <w:lang w:eastAsia="es-ES_tradnl"/>
              </w:rPr>
            </w:pPr>
            <w:r>
              <w:rPr>
                <w:rFonts w:ascii="Verdana" w:hAnsi="Verdana"/>
                <w:lang w:eastAsia="es-ES_tradnl"/>
              </w:rPr>
              <w:lastRenderedPageBreak/>
              <w:t xml:space="preserve">Sin embargo, como bien es sabido, durante la ejecución contractual dicho contrato este sujeto a modificaciones las cuales pueden ser utilizadas para modificar algún precepto de los estudios previos, lo cual debe ser analizado bajo una delgada línea pues dicha modificación podría estar en contravía del principio de planeación. </w:t>
            </w:r>
          </w:p>
          <w:p w:rsidRPr="00EC170F" w:rsidR="003036DC" w:rsidP="00EC170F" w:rsidRDefault="003036DC" w14:paraId="05AE592E" w14:textId="1FB79E77">
            <w:pPr>
              <w:spacing w:after="120" w:line="276" w:lineRule="auto"/>
              <w:jc w:val="both"/>
              <w:rPr>
                <w:rFonts w:ascii="Verdana" w:hAnsi="Verdana"/>
                <w:lang w:eastAsia="es-ES_tradnl"/>
              </w:rPr>
            </w:pPr>
            <w:r>
              <w:rPr>
                <w:rFonts w:ascii="Verdana" w:hAnsi="Verdana"/>
                <w:lang w:eastAsia="es-ES_tradnl"/>
              </w:rPr>
              <w:t xml:space="preserve">Mencionado lo anterior, y en aras de contestar este interrogante, para esta Agencia es potestativo de cada Entidad entrar a evaluar si el funcionario designado como supervisor, estaría extralimitando sus funciones solicitando unos requisitos no contemplados en los estudios previos (previa modificación contractual) y es la misma la que entrará a determinar analizando todos los presupuestos facticos si hubo o no una falta disciplinaria por parte del designado supervisor del contrato. </w:t>
            </w:r>
          </w:p>
        </w:tc>
      </w:tr>
    </w:tbl>
    <w:p w:rsidR="00DB7CAA" w:rsidP="00DB7CAA" w:rsidRDefault="00DB7CAA" w14:paraId="6C2D7532" w14:textId="77777777">
      <w:pPr>
        <w:spacing w:after="0" w:line="276" w:lineRule="auto"/>
        <w:contextualSpacing/>
        <w:jc w:val="both"/>
        <w:rPr>
          <w:rFonts w:ascii="Verdana" w:hAnsi="Verdana" w:eastAsia="Times New Roman" w:cs="Arial"/>
          <w:lang w:eastAsia="es-ES_tradnl"/>
        </w:rPr>
      </w:pPr>
    </w:p>
    <w:p w:rsidRPr="00593A5F" w:rsidR="00DB7CAA" w:rsidP="00DB7CAA" w:rsidRDefault="00DB7CAA" w14:paraId="26F5F8C6" w14:textId="77777777">
      <w:pPr>
        <w:pStyle w:val="Prrafodelista"/>
        <w:tabs>
          <w:tab w:val="left" w:pos="142"/>
          <w:tab w:val="left" w:pos="284"/>
        </w:tabs>
        <w:spacing w:after="0" w:line="276" w:lineRule="auto"/>
        <w:ind w:left="0"/>
        <w:contextualSpacing w:val="0"/>
        <w:jc w:val="both"/>
        <w:rPr>
          <w:rFonts w:ascii="Verdana" w:hAnsi="Verdana" w:eastAsia="Century Gothic" w:cs="Century Gothic"/>
          <w:b/>
          <w:bCs/>
        </w:rPr>
      </w:pPr>
      <w:r>
        <w:rPr>
          <w:rFonts w:ascii="Verdana" w:hAnsi="Verdana" w:eastAsia="Century Gothic" w:cs="Century Gothic"/>
          <w:b/>
          <w:bCs/>
        </w:rPr>
        <w:t xml:space="preserve">3. </w:t>
      </w:r>
      <w:r w:rsidRPr="00593A5F">
        <w:rPr>
          <w:rFonts w:ascii="Verdana" w:hAnsi="Verdana" w:eastAsia="Century Gothic" w:cs="Century Gothic"/>
          <w:b/>
          <w:bCs/>
        </w:rPr>
        <w:t>Razones de la respuesta:</w:t>
      </w:r>
    </w:p>
    <w:p w:rsidRPr="00593A5F" w:rsidR="00DB7CAA" w:rsidP="00DB7CAA" w:rsidRDefault="00DB7CAA" w14:paraId="45559647" w14:textId="77777777">
      <w:pPr>
        <w:spacing w:after="0" w:line="276" w:lineRule="auto"/>
        <w:jc w:val="both"/>
        <w:rPr>
          <w:rFonts w:ascii="Verdana" w:hAnsi="Verdana" w:eastAsia="Calibri" w:cs="Arial"/>
          <w:color w:val="7030A0"/>
          <w:lang w:val="es-ES"/>
        </w:rPr>
      </w:pPr>
    </w:p>
    <w:p w:rsidRPr="00B96799" w:rsidR="00DB7CAA" w:rsidP="00DB7CAA" w:rsidRDefault="00DB7CAA" w14:paraId="7F72ED2B" w14:textId="77777777">
      <w:pPr>
        <w:spacing w:after="0" w:line="276" w:lineRule="auto"/>
        <w:jc w:val="both"/>
        <w:rPr>
          <w:rFonts w:ascii="Verdana" w:hAnsi="Verdana" w:eastAsia="Calibri" w:cs="Arial"/>
          <w:lang w:val="es-ES"/>
        </w:rPr>
      </w:pPr>
      <w:r w:rsidRPr="00B96799">
        <w:rPr>
          <w:rFonts w:ascii="Verdana" w:hAnsi="Verdana" w:eastAsia="Calibri" w:cs="Arial"/>
          <w:lang w:val="es-ES"/>
        </w:rPr>
        <w:t xml:space="preserve">Lo anterior se sustenta en las siguientes consideraciones: </w:t>
      </w:r>
    </w:p>
    <w:p w:rsidRPr="006D4F5F" w:rsidR="00DB7CAA" w:rsidP="00DB7CAA" w:rsidRDefault="00DB7CAA" w14:paraId="7701807B" w14:textId="77777777">
      <w:pPr>
        <w:spacing w:after="0" w:line="276" w:lineRule="auto"/>
        <w:contextualSpacing/>
        <w:jc w:val="both"/>
        <w:rPr>
          <w:rFonts w:ascii="Verdana" w:hAnsi="Verdana" w:eastAsia="Times New Roman" w:cs="Arial"/>
          <w:lang w:val="es-ES" w:eastAsia="es-ES_tradnl"/>
        </w:rPr>
      </w:pPr>
    </w:p>
    <w:p w:rsidRPr="006D7828" w:rsidR="00DB7CAA" w:rsidP="00DB7CAA" w:rsidRDefault="00DB7CAA" w14:paraId="0FAAE440" w14:textId="77777777">
      <w:pPr>
        <w:pStyle w:val="Prrafodelista"/>
        <w:numPr>
          <w:ilvl w:val="0"/>
          <w:numId w:val="9"/>
        </w:numPr>
        <w:spacing w:after="120" w:line="276" w:lineRule="auto"/>
        <w:jc w:val="both"/>
        <w:rPr>
          <w:rFonts w:ascii="Verdana" w:hAnsi="Verdana" w:eastAsia="Times New Roman" w:cs="Arial"/>
          <w:lang w:val="es-ES_tradnl" w:eastAsia="es-MX"/>
        </w:rPr>
      </w:pPr>
      <w:bookmarkStart w:name="_Hlk54011258" w:id="1"/>
      <w:r w:rsidRPr="006D7828">
        <w:rPr>
          <w:rFonts w:ascii="Verdana" w:hAnsi="Verdana" w:eastAsia="Calibri" w:cs="Arial"/>
          <w:bCs/>
          <w:lang w:val="es-ES_tradnl" w:eastAsia="es-MX"/>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1"/>
      <w:r w:rsidRPr="006D7828">
        <w:rPr>
          <w:rFonts w:ascii="Verdana" w:hAnsi="Verdana" w:eastAsia="Calibri" w:cs="Arial"/>
          <w:bCs/>
          <w:lang w:val="es-ES_tradnl" w:eastAsia="es-MX"/>
        </w:rPr>
        <w:t>.</w:t>
      </w:r>
    </w:p>
    <w:p w:rsidRPr="006D7828" w:rsidR="00DB7CAA" w:rsidP="00DB7CAA" w:rsidRDefault="00DB7CAA" w14:paraId="2A031E94" w14:textId="77777777">
      <w:pPr>
        <w:pStyle w:val="Prrafodelista"/>
        <w:spacing w:after="120" w:line="276" w:lineRule="auto"/>
        <w:jc w:val="both"/>
        <w:rPr>
          <w:rFonts w:ascii="Verdana" w:hAnsi="Verdana" w:eastAsia="Times New Roman" w:cs="Arial"/>
          <w:lang w:val="es-ES_tradnl" w:eastAsia="es-MX"/>
        </w:rPr>
      </w:pPr>
    </w:p>
    <w:p w:rsidRPr="009225A7" w:rsidR="00DB7CAA" w:rsidP="009225A7" w:rsidRDefault="00DB7CAA" w14:paraId="05328CDE" w14:textId="43DC7132">
      <w:pPr>
        <w:pStyle w:val="Prrafodelista"/>
        <w:numPr>
          <w:ilvl w:val="0"/>
          <w:numId w:val="9"/>
        </w:numPr>
        <w:spacing w:after="0" w:line="276" w:lineRule="auto"/>
        <w:jc w:val="both"/>
        <w:rPr>
          <w:rFonts w:ascii="Verdana" w:hAnsi="Verdana" w:eastAsia="Times New Roman" w:cs="Arial"/>
          <w:lang w:val="es-ES_tradnl" w:eastAsia="es-MX"/>
        </w:rPr>
      </w:pPr>
      <w:r w:rsidRPr="009225A7">
        <w:rPr>
          <w:rFonts w:ascii="Verdana" w:hAnsi="Verdana" w:eastAsia="Calibri" w:cs="Arial"/>
          <w:bCs/>
          <w:lang w:val="es-MX" w:eastAsia="es-ES_tradnl"/>
        </w:rPr>
        <w:t xml:space="preserve">El Estatuto General de Contratación de la Administración Pública – EGCAP –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rsidRPr="009225A7" w:rsidR="009225A7" w:rsidP="009225A7" w:rsidRDefault="009225A7" w14:paraId="2B3C1587" w14:textId="77777777">
      <w:pPr>
        <w:pStyle w:val="Prrafodelista"/>
        <w:rPr>
          <w:rFonts w:ascii="Verdana" w:hAnsi="Verdana" w:eastAsia="Times New Roman" w:cs="Arial"/>
          <w:lang w:val="es-ES_tradnl" w:eastAsia="es-MX"/>
        </w:rPr>
      </w:pPr>
    </w:p>
    <w:p w:rsidR="0036065A" w:rsidP="00DB7CAA" w:rsidRDefault="00DB7CAA" w14:paraId="2FC84100" w14:textId="0416747A">
      <w:pPr>
        <w:pStyle w:val="Prrafodelista"/>
        <w:numPr>
          <w:ilvl w:val="0"/>
          <w:numId w:val="10"/>
        </w:numPr>
        <w:spacing w:after="0" w:line="276" w:lineRule="auto"/>
        <w:jc w:val="both"/>
        <w:rPr>
          <w:rFonts w:ascii="Verdana" w:hAnsi="Verdana" w:eastAsia="Times New Roman" w:cs="Arial"/>
          <w:lang w:val="es-ES_tradnl" w:eastAsia="es-MX"/>
        </w:rPr>
      </w:pPr>
      <w:r w:rsidRPr="006D7828">
        <w:rPr>
          <w:rFonts w:ascii="Verdana" w:hAnsi="Verdana" w:eastAsia="Times New Roman" w:cs="Arial"/>
          <w:lang w:val="es-ES_tradnl" w:eastAsia="es-MX"/>
        </w:rPr>
        <w:lastRenderedPageBreak/>
        <w:t>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6D4F5F">
        <w:rPr>
          <w:vertAlign w:val="superscript"/>
          <w:lang w:eastAsia="es-MX"/>
        </w:rPr>
        <w:footnoteReference w:id="2"/>
      </w:r>
      <w:r w:rsidRPr="006D7828">
        <w:rPr>
          <w:rFonts w:ascii="Verdana" w:hAnsi="Verdana" w:eastAsia="Times New Roman" w:cs="Arial"/>
          <w:lang w:val="es-ES_tradnl" w:eastAsia="es-MX"/>
        </w:rPr>
        <w:t xml:space="preserve">. </w:t>
      </w:r>
    </w:p>
    <w:p w:rsidR="009225A7" w:rsidP="009225A7" w:rsidRDefault="009225A7" w14:paraId="782088EC" w14:textId="77777777">
      <w:pPr>
        <w:pStyle w:val="Prrafodelista"/>
        <w:spacing w:after="0" w:line="276" w:lineRule="auto"/>
        <w:jc w:val="both"/>
        <w:rPr>
          <w:rFonts w:ascii="Verdana" w:hAnsi="Verdana" w:eastAsia="Times New Roman" w:cs="Arial"/>
          <w:lang w:val="es-ES_tradnl" w:eastAsia="es-MX"/>
        </w:rPr>
      </w:pPr>
    </w:p>
    <w:p w:rsidRPr="006D7828" w:rsidR="00DB7CAA" w:rsidP="15BDDE31" w:rsidRDefault="00DB7CAA" w14:paraId="7F52E295" w14:textId="7669A69B">
      <w:pPr>
        <w:pStyle w:val="Prrafodelista"/>
        <w:numPr>
          <w:ilvl w:val="0"/>
          <w:numId w:val="10"/>
        </w:numPr>
        <w:spacing w:after="0" w:line="276" w:lineRule="auto"/>
        <w:jc w:val="both"/>
        <w:rPr>
          <w:rFonts w:ascii="Verdana" w:hAnsi="Verdana" w:eastAsia="Times New Roman" w:cs="Arial"/>
          <w:lang w:eastAsia="es-MX"/>
        </w:rPr>
      </w:pPr>
      <w:r w:rsidRPr="15BDDE31">
        <w:rPr>
          <w:rFonts w:ascii="Verdana" w:hAnsi="Verdana" w:eastAsia="Times New Roman" w:cs="Arial"/>
          <w:lang w:eastAsia="es-MX"/>
        </w:rPr>
        <w:t>E</w:t>
      </w:r>
      <w:r w:rsidRPr="15BDDE31" w:rsidR="0036065A">
        <w:rPr>
          <w:rFonts w:ascii="Verdana" w:hAnsi="Verdana" w:eastAsia="Times New Roman" w:cs="Arial"/>
          <w:lang w:eastAsia="es-MX"/>
        </w:rPr>
        <w:t xml:space="preserve">s por esto </w:t>
      </w:r>
      <w:proofErr w:type="gramStart"/>
      <w:r w:rsidRPr="15BDDE31" w:rsidR="009225A7">
        <w:rPr>
          <w:rFonts w:ascii="Verdana" w:hAnsi="Verdana" w:eastAsia="Times New Roman" w:cs="Arial"/>
          <w:lang w:eastAsia="es-MX"/>
        </w:rPr>
        <w:t>que</w:t>
      </w:r>
      <w:proofErr w:type="gramEnd"/>
      <w:r w:rsidRPr="15BDDE31" w:rsidR="009225A7">
        <w:rPr>
          <w:rFonts w:ascii="Verdana" w:hAnsi="Verdana" w:eastAsia="Times New Roman" w:cs="Arial"/>
          <w:lang w:eastAsia="es-MX"/>
        </w:rPr>
        <w:t>,</w:t>
      </w:r>
      <w:r w:rsidRPr="15BDDE31" w:rsidR="0036065A">
        <w:rPr>
          <w:rFonts w:ascii="Verdana" w:hAnsi="Verdana" w:eastAsia="Times New Roman" w:cs="Arial"/>
          <w:lang w:eastAsia="es-MX"/>
        </w:rPr>
        <w:t xml:space="preserve"> así como el artículo 2.2.1.1.2.1.1 del </w:t>
      </w:r>
      <w:r w:rsidRPr="15BDDE31">
        <w:rPr>
          <w:rFonts w:ascii="Verdana" w:hAnsi="Verdana" w:eastAsia="Times New Roman" w:cs="Arial"/>
          <w:lang w:eastAsia="es-MX"/>
        </w:rPr>
        <w:t>Decreto 1082 de 2015–, dispone el contenido mínimo de los estudios y documentos previos:</w:t>
      </w:r>
    </w:p>
    <w:p w:rsidRPr="006D4F5F" w:rsidR="00DB7CAA" w:rsidP="00DB7CAA" w:rsidRDefault="00DB7CAA" w14:paraId="29CB6857" w14:textId="77777777">
      <w:pPr>
        <w:spacing w:after="0" w:line="276" w:lineRule="auto"/>
        <w:rPr>
          <w:rFonts w:ascii="Verdana" w:hAnsi="Verdana" w:eastAsia="Times New Roman" w:cs="Arial"/>
          <w:lang w:val="es-ES_tradnl" w:eastAsia="es-CO"/>
        </w:rPr>
      </w:pPr>
    </w:p>
    <w:p w:rsidRPr="00A34454" w:rsidR="00DB7CAA" w:rsidP="00DB7CAA" w:rsidRDefault="00DB7CAA" w14:paraId="7B6E8EF8"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rsidRPr="00A34454" w:rsidR="00DB7CAA" w:rsidP="00DB7CAA" w:rsidRDefault="00DB7CAA" w14:paraId="5B6FB73A"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67D52514"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1. La descripción de la necesidad que la Entidad Estatal pretende satisfacer con el Proceso de Contratación. </w:t>
      </w:r>
      <w:r w:rsidRPr="00A34454">
        <w:rPr>
          <w:rFonts w:ascii="Arial" w:hAnsi="Arial" w:eastAsia="Times New Roman" w:cs="Arial"/>
          <w:i/>
          <w:iCs/>
          <w:sz w:val="21"/>
          <w:szCs w:val="21"/>
          <w:lang w:val="es-ES_tradnl" w:eastAsia="es-MX"/>
        </w:rPr>
        <w:t>​</w:t>
      </w:r>
    </w:p>
    <w:p w:rsidRPr="00A34454" w:rsidR="00DB7CAA" w:rsidP="00DB7CAA" w:rsidRDefault="00DB7CAA" w14:paraId="76FC5784"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49B64855"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rsidRPr="00A34454" w:rsidR="00DB7CAA" w:rsidP="00DB7CAA" w:rsidRDefault="00DB7CAA" w14:paraId="7101B593"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699FBA4B"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3. La modalidad de selección del contratista y su justificación, incluyendo los fundamentos jurídicos. </w:t>
      </w:r>
    </w:p>
    <w:p w:rsidRPr="00A34454" w:rsidR="00DB7CAA" w:rsidP="00DB7CAA" w:rsidRDefault="00DB7CAA" w14:paraId="2FBAACAF"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277F7C75" w14:textId="77777777">
      <w:pPr>
        <w:spacing w:after="0" w:line="240" w:lineRule="auto"/>
        <w:ind w:left="709" w:right="709"/>
        <w:contextualSpacing/>
        <w:jc w:val="both"/>
        <w:rPr>
          <w:rFonts w:ascii="Verdana" w:hAnsi="Verdana" w:eastAsia="Times New Roman" w:cs="Arial"/>
          <w:i/>
          <w:iCs/>
          <w:sz w:val="21"/>
          <w:szCs w:val="21"/>
          <w:lang w:val="es-ES" w:eastAsia="es-MX"/>
        </w:rPr>
      </w:pPr>
      <w:r w:rsidRPr="00A34454">
        <w:rPr>
          <w:rFonts w:ascii="Verdana" w:hAnsi="Verdana" w:eastAsia="Times New Roman" w:cs="Arial"/>
          <w:i/>
          <w:iCs/>
          <w:sz w:val="21"/>
          <w:szCs w:val="21"/>
          <w:lang w:val="es-ES" w:eastAsia="es-MX"/>
        </w:rPr>
        <w:t xml:space="preserve">4. El valor estimado del contrato y la justificación </w:t>
      </w:r>
      <w:proofErr w:type="gramStart"/>
      <w:r w:rsidRPr="00A34454">
        <w:rPr>
          <w:rFonts w:ascii="Verdana" w:hAnsi="Verdana" w:eastAsia="Times New Roman" w:cs="Arial"/>
          <w:i/>
          <w:iCs/>
          <w:sz w:val="21"/>
          <w:szCs w:val="21"/>
          <w:lang w:val="es-ES" w:eastAsia="es-MX"/>
        </w:rPr>
        <w:t>del mismo</w:t>
      </w:r>
      <w:proofErr w:type="gramEnd"/>
      <w:r w:rsidRPr="00A34454">
        <w:rPr>
          <w:rFonts w:ascii="Verdana" w:hAnsi="Verdana" w:eastAsia="Times New Roman" w:cs="Arial"/>
          <w:i/>
          <w:iCs/>
          <w:sz w:val="21"/>
          <w:szCs w:val="21"/>
          <w:lang w:val="es-ES" w:eastAsia="es-MX"/>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rsidRPr="00A34454" w:rsidR="00DB7CAA" w:rsidP="00DB7CAA" w:rsidRDefault="00DB7CAA" w14:paraId="60D667E6"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1C5CC2C4"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5. Los criterios para seleccionar la oferta más favorable. </w:t>
      </w:r>
    </w:p>
    <w:p w:rsidRPr="00A34454" w:rsidR="00DB7CAA" w:rsidP="00DB7CAA" w:rsidRDefault="00DB7CAA" w14:paraId="2DA8955F"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377731E2"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6. El análisis de Riesgo y la forma de mitigarlo. </w:t>
      </w:r>
    </w:p>
    <w:p w:rsidRPr="00A34454" w:rsidR="00DB7CAA" w:rsidP="00DB7CAA" w:rsidRDefault="00DB7CAA" w14:paraId="72C172CE"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025E4286"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 xml:space="preserve">7. Las garantías que la Entidad Estatal contempla exigir en el proceso de contratación. </w:t>
      </w:r>
    </w:p>
    <w:p w:rsidRPr="00A34454" w:rsidR="00DB7CAA" w:rsidP="00DB7CAA" w:rsidRDefault="00DB7CAA" w14:paraId="752AC18E"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04504B3E"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lastRenderedPageBreak/>
        <w:t xml:space="preserve">8. La indicación de si el proceso de contratación está cobijado por un acuerdo comercial. </w:t>
      </w:r>
    </w:p>
    <w:p w:rsidRPr="00A34454" w:rsidR="00DB7CAA" w:rsidP="00DB7CAA" w:rsidRDefault="00DB7CAA" w14:paraId="17634E3C" w14:textId="77777777">
      <w:pPr>
        <w:spacing w:after="0" w:line="240" w:lineRule="auto"/>
        <w:ind w:left="709" w:right="709"/>
        <w:contextualSpacing/>
        <w:jc w:val="both"/>
        <w:rPr>
          <w:rFonts w:ascii="Verdana" w:hAnsi="Verdana" w:eastAsia="Times New Roman" w:cs="Arial"/>
          <w:i/>
          <w:iCs/>
          <w:sz w:val="21"/>
          <w:szCs w:val="21"/>
          <w:lang w:val="es-ES_tradnl" w:eastAsia="es-MX"/>
        </w:rPr>
      </w:pPr>
    </w:p>
    <w:p w:rsidRPr="00A34454" w:rsidR="00DB7CAA" w:rsidP="00DB7CAA" w:rsidRDefault="00DB7CAA" w14:paraId="57BD1CED" w14:textId="77777777">
      <w:pPr>
        <w:spacing w:after="0" w:line="240" w:lineRule="auto"/>
        <w:ind w:left="709" w:right="709"/>
        <w:contextualSpacing/>
        <w:jc w:val="both"/>
        <w:rPr>
          <w:rFonts w:ascii="Verdana" w:hAnsi="Verdana" w:eastAsia="Times New Roman" w:cs="Arial"/>
          <w:i/>
          <w:iCs/>
          <w:sz w:val="21"/>
          <w:szCs w:val="21"/>
          <w:lang w:val="es-ES_tradnl" w:eastAsia="es-MX"/>
        </w:rPr>
      </w:pPr>
      <w:r w:rsidRPr="00A34454">
        <w:rPr>
          <w:rFonts w:ascii="Verdana" w:hAnsi="Verdana" w:eastAsia="Times New Roman" w:cs="Arial"/>
          <w:i/>
          <w:iCs/>
          <w:sz w:val="21"/>
          <w:szCs w:val="21"/>
          <w:lang w:val="es-ES_tradnl" w:eastAsia="es-MX"/>
        </w:rPr>
        <w:t>El presente artículo no es aplicable a la contratación por mínima cuantía”.</w:t>
      </w:r>
    </w:p>
    <w:p w:rsidRPr="006D4F5F" w:rsidR="00DB7CAA" w:rsidP="00DB7CAA" w:rsidRDefault="00DB7CAA" w14:paraId="0D0B94BB" w14:textId="77777777">
      <w:pPr>
        <w:widowControl w:val="0"/>
        <w:tabs>
          <w:tab w:val="left" w:pos="1305"/>
        </w:tabs>
        <w:autoSpaceDE w:val="0"/>
        <w:autoSpaceDN w:val="0"/>
        <w:spacing w:after="0" w:line="276" w:lineRule="auto"/>
        <w:ind w:left="828" w:right="822"/>
        <w:rPr>
          <w:rFonts w:ascii="Verdana" w:hAnsi="Verdana" w:eastAsia="Calibri" w:cs="Arial"/>
          <w:lang w:val="es-MX" w:eastAsia="es-ES_tradnl"/>
        </w:rPr>
      </w:pPr>
    </w:p>
    <w:p w:rsidRPr="006D7828" w:rsidR="00DB7CAA" w:rsidP="00DB7CAA" w:rsidRDefault="00DB7CAA" w14:paraId="3A659A91" w14:textId="77777777">
      <w:pPr>
        <w:pStyle w:val="Prrafodelista"/>
        <w:spacing w:after="120" w:line="276" w:lineRule="auto"/>
        <w:jc w:val="both"/>
        <w:rPr>
          <w:rFonts w:ascii="Verdana" w:hAnsi="Verdana" w:eastAsia="Times New Roman" w:cs="Arial"/>
          <w:lang w:val="es-ES_tradnl" w:eastAsia="es-MX"/>
        </w:rPr>
      </w:pPr>
    </w:p>
    <w:p w:rsidR="00DB7CAA" w:rsidP="00DB7CAA" w:rsidRDefault="00DB7CAA" w14:paraId="66E78A7C" w14:textId="7993A51F">
      <w:pPr>
        <w:pStyle w:val="Prrafodelista"/>
        <w:numPr>
          <w:ilvl w:val="0"/>
          <w:numId w:val="10"/>
        </w:numPr>
        <w:spacing w:after="120" w:line="276" w:lineRule="auto"/>
        <w:ind w:right="102"/>
        <w:jc w:val="both"/>
        <w:rPr>
          <w:rFonts w:ascii="Verdana" w:hAnsi="Verdana" w:eastAsia="Times New Roman" w:cs="Arial"/>
          <w:lang w:val="es-ES_tradnl" w:eastAsia="es-MX"/>
        </w:rPr>
      </w:pPr>
      <w:r w:rsidRPr="006D7828">
        <w:rPr>
          <w:rFonts w:ascii="Verdana" w:hAnsi="Verdana" w:eastAsia="Times New Roman" w:cs="Arial"/>
          <w:lang w:val="es-ES_tradnl" w:eastAsia="es-MX"/>
        </w:rPr>
        <w:t>Más allá del cumplimiento de la normativa, “los estudios y documentos previos son el soporte para elaborar el proyecto de pliegos, los pliegos de condiciones, y el contrato”</w:t>
      </w:r>
      <w:r w:rsidRPr="006D4F5F">
        <w:rPr>
          <w:vertAlign w:val="superscript"/>
          <w:lang w:eastAsia="es-MX"/>
        </w:rPr>
        <w:footnoteReference w:id="3"/>
      </w:r>
      <w:r w:rsidRPr="006D7828">
        <w:rPr>
          <w:rFonts w:ascii="Verdana" w:hAnsi="Verdana" w:eastAsia="Times New Roman" w:cs="Arial"/>
          <w:lang w:val="es-ES_tradnl" w:eastAsia="es-MX"/>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rsidRPr="006D7828" w:rsidR="00DB7CAA" w:rsidP="00DB7CAA" w:rsidRDefault="00DB7CAA" w14:paraId="5BB8A0C5" w14:textId="77777777">
      <w:pPr>
        <w:pStyle w:val="Prrafodelista"/>
        <w:rPr>
          <w:rFonts w:ascii="Verdana" w:hAnsi="Verdana" w:eastAsia="Times New Roman" w:cs="Arial"/>
          <w:lang w:val="es-ES_tradnl" w:eastAsia="es-MX"/>
        </w:rPr>
      </w:pPr>
    </w:p>
    <w:p w:rsidRPr="006D7828" w:rsidR="00DB7CAA" w:rsidP="00DB7CAA" w:rsidRDefault="00DB7CAA" w14:paraId="776296EC" w14:textId="77777777">
      <w:pPr>
        <w:pStyle w:val="Prrafodelista"/>
        <w:rPr>
          <w:rFonts w:ascii="Verdana" w:hAnsi="Verdana" w:eastAsia="Times New Roman" w:cs="Arial"/>
          <w:szCs w:val="24"/>
          <w:lang w:eastAsia="es-ES_tradnl"/>
        </w:rPr>
      </w:pPr>
    </w:p>
    <w:p w:rsidR="006A1C43" w:rsidP="15BDDE31" w:rsidRDefault="006A1C43" w14:paraId="70D090D9" w14:textId="1DF459E0">
      <w:pPr>
        <w:pStyle w:val="Prrafodelista"/>
        <w:numPr>
          <w:ilvl w:val="0"/>
          <w:numId w:val="10"/>
        </w:numPr>
        <w:spacing w:after="120" w:line="276" w:lineRule="auto"/>
        <w:jc w:val="both"/>
        <w:rPr>
          <w:rFonts w:ascii="Verdana" w:hAnsi="Verdana" w:eastAsia="Calibri" w:cs="Arial"/>
          <w:lang w:eastAsia="es-MX"/>
        </w:rPr>
      </w:pPr>
      <w:r w:rsidRPr="15BDDE31">
        <w:rPr>
          <w:rFonts w:ascii="Verdana" w:hAnsi="Verdana" w:eastAsia="Times New Roman" w:cs="Arial"/>
          <w:lang w:eastAsia="es-MX"/>
        </w:rPr>
        <w:t>Ahora bien</w:t>
      </w:r>
      <w:r w:rsidRPr="15BDDE31" w:rsidR="00DB7CAA">
        <w:rPr>
          <w:rFonts w:ascii="Verdana" w:hAnsi="Verdana" w:eastAsia="Times New Roman" w:cs="Arial"/>
          <w:lang w:eastAsia="es-MX"/>
        </w:rPr>
        <w:t xml:space="preserve">, conforme se desprende de los numerales 2 y 4 del artículo 2.2.1.1.2.1.1 del Decreto 1082 de 2015, uno de los aspectos principales que deben abarcar los estudios previos es la determinación del objeto a contratar con sus especificaciones y el valor estimado del contrato aparejado de su respectiva justificación. </w:t>
      </w:r>
      <w:r w:rsidRPr="15BDDE31" w:rsidR="00DB7CAA">
        <w:rPr>
          <w:rFonts w:ascii="Verdana" w:hAnsi="Verdana" w:eastAsia="Calibri" w:cs="Arial"/>
          <w:lang w:eastAsia="es-MX"/>
        </w:rPr>
        <w:t xml:space="preserve">Para estos efectos resulta relevante </w:t>
      </w:r>
      <w:bookmarkStart w:name="_Hlk139465916" w:id="3"/>
      <w:r w:rsidRPr="15BDDE31" w:rsidR="00DB7CAA">
        <w:rPr>
          <w:rFonts w:ascii="Verdana" w:hAnsi="Verdana" w:eastAsia="Calibri" w:cs="Arial"/>
          <w:lang w:eastAsia="es-MX"/>
        </w:rPr>
        <w:t xml:space="preserve">la información recolectada en el marco del </w:t>
      </w:r>
      <w:r w:rsidRPr="15BDDE31" w:rsidR="00DB7CAA">
        <w:rPr>
          <w:rFonts w:ascii="Verdana" w:hAnsi="Verdana" w:eastAsia="Calibri" w:cs="Arial"/>
          <w:i/>
          <w:iCs/>
          <w:lang w:eastAsia="es-MX"/>
        </w:rPr>
        <w:t>estudio del mercado</w:t>
      </w:r>
      <w:r w:rsidRPr="15BDDE31" w:rsidR="00DB7CAA">
        <w:rPr>
          <w:rFonts w:ascii="Verdana" w:hAnsi="Verdana" w:eastAsia="Calibri" w:cs="Arial"/>
          <w:lang w:eastAsia="es-MX"/>
        </w:rPr>
        <w:t xml:space="preserve"> y el análisis del sector económico y de los potenciales oferentes, actividades de planeación previa que sirven para identificar aspectos concretos del mercado que pueden afectar el proceso de selección o las condiciones del negocio a realizar mediante el proceso de contratación. </w:t>
      </w:r>
    </w:p>
    <w:p w:rsidRPr="00A34454" w:rsidR="006A1C43" w:rsidP="00A34454" w:rsidRDefault="006A1C43" w14:paraId="0C51BD36" w14:textId="77777777">
      <w:pPr>
        <w:pStyle w:val="Prrafodelista"/>
        <w:rPr>
          <w:rFonts w:ascii="Verdana" w:hAnsi="Verdana" w:eastAsia="Calibri" w:cs="Arial"/>
          <w:bCs/>
          <w:lang w:val="es-ES_tradnl" w:eastAsia="es-MX"/>
        </w:rPr>
      </w:pPr>
    </w:p>
    <w:p w:rsidR="00DB7CAA" w:rsidP="00DB7CAA" w:rsidRDefault="00DB7CAA" w14:paraId="1C44D306" w14:textId="473C5689">
      <w:pPr>
        <w:pStyle w:val="Prrafodelista"/>
        <w:numPr>
          <w:ilvl w:val="0"/>
          <w:numId w:val="10"/>
        </w:numPr>
        <w:spacing w:after="120" w:line="276" w:lineRule="auto"/>
        <w:jc w:val="both"/>
        <w:rPr>
          <w:rFonts w:ascii="Verdana" w:hAnsi="Verdana" w:eastAsia="Calibri" w:cs="Arial"/>
          <w:bCs/>
          <w:lang w:val="es-ES_tradnl" w:eastAsia="es-MX"/>
        </w:rPr>
      </w:pPr>
      <w:r w:rsidRPr="006D7828">
        <w:rPr>
          <w:rFonts w:ascii="Verdana" w:hAnsi="Verdana" w:eastAsia="Calibri" w:cs="Arial"/>
          <w:bCs/>
          <w:lang w:val="es-ES_tradnl" w:eastAsia="es-MX"/>
        </w:rPr>
        <w:t xml:space="preserve">En este sentido, el análisis del sector de las perspectivas legal, comercial, financiera, organizacional, técnica, y de análisis de Riesgo, al que se refiere el artículo </w:t>
      </w:r>
      <w:bookmarkStart w:name="_Hlk36117416" w:id="4"/>
      <w:r w:rsidRPr="006D7828">
        <w:rPr>
          <w:rFonts w:ascii="Verdana" w:hAnsi="Verdana" w:eastAsia="Calibri" w:cs="Arial"/>
          <w:bCs/>
          <w:lang w:val="es-ES_tradnl" w:eastAsia="es-MX"/>
        </w:rPr>
        <w:t>2.2.1.1.1.6.1 del Decreto 1082 de 2015</w:t>
      </w:r>
      <w:bookmarkEnd w:id="4"/>
      <w:r w:rsidRPr="006D7828">
        <w:rPr>
          <w:rFonts w:ascii="Verdana" w:hAnsi="Verdana" w:eastAsia="Calibri" w:cs="Arial"/>
          <w:bCs/>
          <w:lang w:val="es-ES_tradnl" w:eastAsia="es-MX"/>
        </w:rPr>
        <w:t>, constituye un insumo importante para determinar factores que pudieran determinar el valor del contrato y orientar a la entidad en torno al monto de la disponibilidad presupuestal que requiere para realizar la contratación</w:t>
      </w:r>
      <w:bookmarkEnd w:id="3"/>
      <w:r w:rsidRPr="006D4F5F">
        <w:rPr>
          <w:rFonts w:eastAsia="Calibri"/>
          <w:bCs/>
          <w:vertAlign w:val="superscript"/>
          <w:lang w:eastAsia="es-MX"/>
        </w:rPr>
        <w:footnoteReference w:id="4"/>
      </w:r>
      <w:r w:rsidRPr="006D7828">
        <w:rPr>
          <w:rFonts w:ascii="Verdana" w:hAnsi="Verdana" w:eastAsia="Calibri" w:cs="Arial"/>
          <w:bCs/>
          <w:lang w:val="es-ES_tradnl" w:eastAsia="es-MX"/>
        </w:rPr>
        <w:t xml:space="preserve">. </w:t>
      </w:r>
    </w:p>
    <w:p w:rsidRPr="006D7828" w:rsidR="00DB7CAA" w:rsidP="00DB7CAA" w:rsidRDefault="00DB7CAA" w14:paraId="17604740" w14:textId="77777777">
      <w:pPr>
        <w:pStyle w:val="Prrafodelista"/>
        <w:spacing w:after="120" w:line="276" w:lineRule="auto"/>
        <w:jc w:val="both"/>
        <w:rPr>
          <w:rFonts w:ascii="Verdana" w:hAnsi="Verdana" w:eastAsia="Calibri" w:cs="Arial"/>
          <w:bCs/>
          <w:lang w:val="es-ES_tradnl" w:eastAsia="es-MX"/>
        </w:rPr>
      </w:pPr>
      <w:r w:rsidRPr="006D7828">
        <w:rPr>
          <w:rFonts w:ascii="Verdana" w:hAnsi="Verdana" w:eastAsia="Calibri" w:cs="Arial"/>
          <w:bCs/>
          <w:lang w:val="es-ES_tradnl" w:eastAsia="es-MX"/>
        </w:rPr>
        <w:t xml:space="preserve"> </w:t>
      </w:r>
    </w:p>
    <w:p w:rsidR="00C24CA3" w:rsidP="00DB7CAA" w:rsidRDefault="00DB7CAA" w14:paraId="19AC6B22" w14:textId="1B72C046">
      <w:pPr>
        <w:pStyle w:val="Prrafodelista"/>
        <w:numPr>
          <w:ilvl w:val="0"/>
          <w:numId w:val="10"/>
        </w:numPr>
        <w:spacing w:after="120" w:line="276" w:lineRule="auto"/>
        <w:jc w:val="both"/>
        <w:rPr>
          <w:rFonts w:ascii="Verdana" w:hAnsi="Verdana" w:eastAsia="Calibri" w:cs="Arial"/>
          <w:lang w:eastAsia="es-MX"/>
        </w:rPr>
      </w:pPr>
      <w:r w:rsidRPr="3A444C6A">
        <w:rPr>
          <w:rFonts w:ascii="Verdana" w:hAnsi="Verdana" w:eastAsia="Calibri" w:cs="Arial"/>
          <w:lang w:eastAsia="es-MX"/>
        </w:rPr>
        <w:lastRenderedPageBreak/>
        <w:t xml:space="preserve">De acuerdo con la </w:t>
      </w:r>
      <w:r w:rsidRPr="3A444C6A" w:rsidR="00C24CA3">
        <w:rPr>
          <w:rFonts w:ascii="Verdana" w:hAnsi="Verdana" w:eastAsia="Calibri" w:cs="Arial"/>
          <w:lang w:eastAsia="es-MX"/>
        </w:rPr>
        <w:t>norma</w:t>
      </w:r>
      <w:r w:rsidR="00C24CA3">
        <w:rPr>
          <w:rFonts w:ascii="Verdana" w:hAnsi="Verdana" w:eastAsia="Calibri" w:cs="Arial"/>
          <w:lang w:eastAsia="es-MX"/>
        </w:rPr>
        <w:t xml:space="preserve"> señalada</w:t>
      </w:r>
      <w:r w:rsidRPr="3A444C6A">
        <w:rPr>
          <w:rFonts w:ascii="Verdana" w:hAnsi="Verdana" w:eastAsia="Calibri" w:cs="Arial"/>
          <w:lang w:eastAsia="es-MX"/>
        </w:rPr>
        <w:t xml:space="preserve">, </w:t>
      </w:r>
      <w:bookmarkStart w:name="_Hlk36140682" w:id="5"/>
      <w:r w:rsidRPr="3A444C6A">
        <w:rPr>
          <w:rFonts w:ascii="Verdana" w:hAnsi="Verdana" w:eastAsia="Calibri" w:cs="Arial"/>
          <w:lang w:eastAsia="es-MX"/>
        </w:rPr>
        <w:t xml:space="preserve">la entidad debe realizar el análisis necesario para conocer el sector relativo al objeto del Proceso de Contratación, sin que sea relevante la modalidad de selección. </w:t>
      </w:r>
    </w:p>
    <w:p w:rsidRPr="00A34454" w:rsidR="00C24CA3" w:rsidP="00A34454" w:rsidRDefault="00C24CA3" w14:paraId="0696BA1E" w14:textId="77777777">
      <w:pPr>
        <w:pStyle w:val="Prrafodelista"/>
        <w:rPr>
          <w:rFonts w:ascii="Verdana" w:hAnsi="Verdana" w:eastAsia="Calibri" w:cs="Arial"/>
          <w:lang w:eastAsia="es-MX"/>
        </w:rPr>
      </w:pPr>
    </w:p>
    <w:p w:rsidR="00B46027" w:rsidP="00DB7CAA" w:rsidRDefault="00C24CA3" w14:paraId="4CB32A40" w14:textId="77777777">
      <w:pPr>
        <w:pStyle w:val="Prrafodelista"/>
        <w:numPr>
          <w:ilvl w:val="0"/>
          <w:numId w:val="10"/>
        </w:numPr>
        <w:spacing w:after="120" w:line="276" w:lineRule="auto"/>
        <w:jc w:val="both"/>
        <w:rPr>
          <w:rFonts w:ascii="Verdana" w:hAnsi="Verdana" w:eastAsia="Calibri" w:cs="Arial"/>
          <w:lang w:eastAsia="es-MX"/>
        </w:rPr>
      </w:pPr>
      <w:r>
        <w:rPr>
          <w:rFonts w:ascii="Verdana" w:hAnsi="Verdana" w:eastAsia="Calibri" w:cs="Arial"/>
          <w:lang w:eastAsia="es-MX"/>
        </w:rPr>
        <w:t xml:space="preserve">En ese orden de ideas se </w:t>
      </w:r>
      <w:r w:rsidR="00B46027">
        <w:rPr>
          <w:rFonts w:ascii="Verdana" w:hAnsi="Verdana" w:eastAsia="Calibri" w:cs="Arial"/>
          <w:lang w:eastAsia="es-MX"/>
        </w:rPr>
        <w:t>deber hacer un análisis desde las diferentes perspectivas:</w:t>
      </w:r>
    </w:p>
    <w:p w:rsidRPr="00A34454" w:rsidR="00B46027" w:rsidP="00A34454" w:rsidRDefault="00B46027" w14:paraId="1068BC15" w14:textId="77777777">
      <w:pPr>
        <w:pStyle w:val="Prrafodelista"/>
        <w:rPr>
          <w:rFonts w:ascii="Verdana" w:hAnsi="Verdana" w:eastAsia="Calibri" w:cs="Arial"/>
          <w:lang w:eastAsia="es-MX"/>
        </w:rPr>
      </w:pPr>
    </w:p>
    <w:p w:rsidR="00B46027" w:rsidP="00B46027" w:rsidRDefault="00DB7CAA" w14:paraId="63B594EA" w14:textId="5BB558CC">
      <w:pPr>
        <w:pStyle w:val="Prrafodelista"/>
        <w:numPr>
          <w:ilvl w:val="0"/>
          <w:numId w:val="11"/>
        </w:numPr>
        <w:spacing w:after="120" w:line="276" w:lineRule="auto"/>
        <w:jc w:val="both"/>
        <w:rPr>
          <w:rFonts w:ascii="Verdana" w:hAnsi="Verdana" w:eastAsia="Calibri" w:cs="Arial"/>
          <w:lang w:eastAsia="es-MX"/>
        </w:rPr>
      </w:pPr>
      <w:r w:rsidRPr="3A444C6A">
        <w:rPr>
          <w:rFonts w:ascii="Verdana" w:hAnsi="Verdana" w:eastAsia="Calibri" w:cs="Arial"/>
          <w:lang w:eastAsia="es-MX"/>
        </w:rPr>
        <w:t xml:space="preserve">a </w:t>
      </w:r>
      <w:r w:rsidR="00B46027">
        <w:rPr>
          <w:rFonts w:ascii="Verdana" w:hAnsi="Verdana" w:eastAsia="Calibri" w:cs="Arial"/>
          <w:lang w:eastAsia="es-MX"/>
        </w:rPr>
        <w:t>L</w:t>
      </w:r>
      <w:r w:rsidRPr="3A444C6A">
        <w:rPr>
          <w:rFonts w:ascii="Verdana" w:hAnsi="Verdana" w:eastAsia="Calibri" w:cs="Arial"/>
          <w:lang w:eastAsia="es-MX"/>
        </w:rPr>
        <w:t>egal</w:t>
      </w:r>
      <w:r w:rsidR="00B46027">
        <w:rPr>
          <w:rFonts w:ascii="Verdana" w:hAnsi="Verdana" w:eastAsia="Calibri" w:cs="Arial"/>
          <w:lang w:eastAsia="es-MX"/>
        </w:rPr>
        <w:t xml:space="preserve">: </w:t>
      </w:r>
      <w:r w:rsidRPr="3A444C6A">
        <w:rPr>
          <w:rFonts w:ascii="Verdana" w:hAnsi="Verdana" w:eastAsia="Calibri" w:cs="Arial"/>
          <w:lang w:eastAsia="es-MX"/>
        </w:rPr>
        <w:t xml:space="preserve">implica la revisión de la regulación vigente para el mercado dentro del que se encuentra el objeto del contrato. </w:t>
      </w:r>
    </w:p>
    <w:p w:rsidR="00B46027" w:rsidP="00B46027" w:rsidRDefault="00B46027" w14:paraId="503FFB4D" w14:textId="2AA63247">
      <w:pPr>
        <w:pStyle w:val="Prrafodelista"/>
        <w:numPr>
          <w:ilvl w:val="0"/>
          <w:numId w:val="11"/>
        </w:numPr>
        <w:spacing w:after="120" w:line="276" w:lineRule="auto"/>
        <w:jc w:val="both"/>
        <w:rPr>
          <w:rFonts w:ascii="Verdana" w:hAnsi="Verdana" w:eastAsia="Calibri" w:cs="Arial"/>
          <w:lang w:eastAsia="es-MX"/>
        </w:rPr>
      </w:pPr>
      <w:r>
        <w:rPr>
          <w:rFonts w:ascii="Verdana" w:hAnsi="Verdana" w:eastAsia="Calibri" w:cs="Arial"/>
          <w:lang w:eastAsia="es-MX"/>
        </w:rPr>
        <w:t>c</w:t>
      </w:r>
      <w:r w:rsidRPr="3A444C6A" w:rsidR="00DB7CAA">
        <w:rPr>
          <w:rFonts w:ascii="Verdana" w:hAnsi="Verdana" w:eastAsia="Calibri" w:cs="Arial"/>
          <w:lang w:eastAsia="es-MX"/>
        </w:rPr>
        <w:t>omercial hace referencia a analizar quiénes pueden ofrecer el bien o servicio que se quiere contratar, cuáles son sus condiciones, si tienen condiciones especiales que sean relevantes para determinar los requisitos habilitantes, entre otros.</w:t>
      </w:r>
    </w:p>
    <w:p w:rsidR="00B46027" w:rsidP="00B46027" w:rsidRDefault="00DB7CAA" w14:paraId="47191B6C" w14:textId="4B06771D">
      <w:pPr>
        <w:pStyle w:val="Prrafodelista"/>
        <w:numPr>
          <w:ilvl w:val="0"/>
          <w:numId w:val="11"/>
        </w:numPr>
        <w:spacing w:after="120" w:line="276" w:lineRule="auto"/>
        <w:jc w:val="both"/>
        <w:rPr>
          <w:rFonts w:ascii="Verdana" w:hAnsi="Verdana" w:eastAsia="Calibri" w:cs="Arial"/>
          <w:lang w:eastAsia="es-MX"/>
        </w:rPr>
      </w:pPr>
      <w:r w:rsidRPr="3A444C6A">
        <w:rPr>
          <w:rFonts w:ascii="Verdana" w:hAnsi="Verdana" w:eastAsia="Calibri" w:cs="Arial"/>
          <w:lang w:eastAsia="es-MX"/>
        </w:rPr>
        <w:t xml:space="preserve"> </w:t>
      </w:r>
      <w:proofErr w:type="spellStart"/>
      <w:proofErr w:type="gramStart"/>
      <w:r w:rsidR="00B46027">
        <w:rPr>
          <w:rFonts w:ascii="Verdana" w:hAnsi="Verdana" w:eastAsia="Calibri" w:cs="Arial"/>
          <w:lang w:eastAsia="es-MX"/>
        </w:rPr>
        <w:t>f</w:t>
      </w:r>
      <w:r w:rsidRPr="3A444C6A">
        <w:rPr>
          <w:rFonts w:ascii="Verdana" w:hAnsi="Verdana" w:eastAsia="Calibri" w:cs="Arial"/>
          <w:lang w:eastAsia="es-MX"/>
        </w:rPr>
        <w:t>inanciera</w:t>
      </w:r>
      <w:r w:rsidR="00B46027">
        <w:rPr>
          <w:rFonts w:ascii="Verdana" w:hAnsi="Verdana" w:eastAsia="Calibri" w:cs="Arial"/>
          <w:lang w:eastAsia="es-MX"/>
        </w:rPr>
        <w:t>:</w:t>
      </w:r>
      <w:r w:rsidRPr="3A444C6A">
        <w:rPr>
          <w:rFonts w:ascii="Verdana" w:hAnsi="Verdana" w:eastAsia="Calibri" w:cs="Arial"/>
          <w:lang w:eastAsia="es-MX"/>
        </w:rPr>
        <w:t>el</w:t>
      </w:r>
      <w:proofErr w:type="spellEnd"/>
      <w:proofErr w:type="gramEnd"/>
      <w:r w:rsidRPr="3A444C6A">
        <w:rPr>
          <w:rFonts w:ascii="Verdana" w:hAnsi="Verdana" w:eastAsia="Calibri" w:cs="Arial"/>
          <w:lang w:eastAsia="es-MX"/>
        </w:rPr>
        <w:t xml:space="preserve"> análisis conlleva una revisión de las características financieras que se presentan dentro del mercado del bien o servicio, como por ejemplo el índice de endeudamiento que tienen las empresas o personas naturales que ofrecen dicho bien o servicio. </w:t>
      </w:r>
    </w:p>
    <w:p w:rsidR="00DB7CAA" w:rsidP="00A34454" w:rsidRDefault="00B46027" w14:paraId="639A3352" w14:textId="6E8D7271">
      <w:pPr>
        <w:pStyle w:val="Prrafodelista"/>
        <w:numPr>
          <w:ilvl w:val="0"/>
          <w:numId w:val="11"/>
        </w:numPr>
        <w:spacing w:after="120" w:line="276" w:lineRule="auto"/>
        <w:jc w:val="both"/>
        <w:rPr>
          <w:rFonts w:ascii="Verdana" w:hAnsi="Verdana" w:eastAsia="Calibri" w:cs="Arial"/>
          <w:lang w:eastAsia="es-MX"/>
        </w:rPr>
      </w:pPr>
      <w:proofErr w:type="spellStart"/>
      <w:proofErr w:type="gramStart"/>
      <w:r>
        <w:rPr>
          <w:rFonts w:ascii="Verdana" w:hAnsi="Verdana" w:eastAsia="Calibri" w:cs="Arial"/>
          <w:lang w:eastAsia="es-MX"/>
        </w:rPr>
        <w:t>O</w:t>
      </w:r>
      <w:r w:rsidRPr="3A444C6A" w:rsidR="00DB7CAA">
        <w:rPr>
          <w:rFonts w:ascii="Verdana" w:hAnsi="Verdana" w:eastAsia="Calibri" w:cs="Arial"/>
          <w:lang w:eastAsia="es-MX"/>
        </w:rPr>
        <w:t>rganizacional</w:t>
      </w:r>
      <w:r>
        <w:rPr>
          <w:rFonts w:ascii="Verdana" w:hAnsi="Verdana" w:eastAsia="Calibri" w:cs="Arial"/>
          <w:lang w:eastAsia="es-MX"/>
        </w:rPr>
        <w:t>:</w:t>
      </w:r>
      <w:r w:rsidRPr="3A444C6A" w:rsidR="00DB7CAA">
        <w:rPr>
          <w:rFonts w:ascii="Verdana" w:hAnsi="Verdana" w:eastAsia="Calibri" w:cs="Arial"/>
          <w:lang w:eastAsia="es-MX"/>
        </w:rPr>
        <w:t>pretende</w:t>
      </w:r>
      <w:proofErr w:type="spellEnd"/>
      <w:proofErr w:type="gramEnd"/>
      <w:r w:rsidRPr="3A444C6A" w:rsidR="00DB7CAA">
        <w:rPr>
          <w:rFonts w:ascii="Verdana" w:hAnsi="Verdana" w:eastAsia="Calibri" w:cs="Arial"/>
          <w:lang w:eastAsia="es-MX"/>
        </w:rPr>
        <w:t xml:space="preserve"> que la Entidad Estatal entienda cómo están organizados internamente los posibles oferentes y de qué manera realizan sus negocios y operaciones.</w:t>
      </w:r>
    </w:p>
    <w:p w:rsidRPr="006D7828" w:rsidR="00DB7CAA" w:rsidP="00DB7CAA" w:rsidRDefault="00DB7CAA" w14:paraId="6F2BE63E" w14:textId="77777777">
      <w:pPr>
        <w:pStyle w:val="Prrafodelista"/>
        <w:rPr>
          <w:rFonts w:ascii="Verdana" w:hAnsi="Verdana" w:eastAsia="Calibri" w:cs="Arial"/>
          <w:bCs/>
          <w:lang w:val="es-ES_tradnl" w:eastAsia="es-MX"/>
        </w:rPr>
      </w:pPr>
    </w:p>
    <w:p w:rsidRPr="006D7828" w:rsidR="00DB7CAA" w:rsidP="00DB7CAA" w:rsidRDefault="00DB7CAA" w14:paraId="022CC46D" w14:textId="77777777">
      <w:pPr>
        <w:pStyle w:val="Prrafodelista"/>
        <w:numPr>
          <w:ilvl w:val="0"/>
          <w:numId w:val="10"/>
        </w:numPr>
        <w:spacing w:after="120" w:line="276" w:lineRule="auto"/>
        <w:jc w:val="both"/>
        <w:rPr>
          <w:rFonts w:ascii="Verdana" w:hAnsi="Verdana" w:eastAsia="Calibri" w:cs="Arial"/>
          <w:bCs/>
          <w:lang w:val="es-ES_tradnl" w:eastAsia="es-MX"/>
        </w:rPr>
      </w:pPr>
      <w:r w:rsidRPr="006D7828">
        <w:rPr>
          <w:rFonts w:ascii="Verdana" w:hAnsi="Verdana" w:eastAsia="Calibri" w:cs="Arial"/>
          <w:bCs/>
          <w:lang w:val="es-ES_tradnl" w:eastAsia="es-MX"/>
        </w:rPr>
        <w:t xml:space="preserve">Si bien la normativa en materia de contratación estatal establece la obligatoriedad de realizar el análisis necesario para conocer el sector relativo al objeto del Proceso de Contratación, no determinan un procedimiento específico para efectuar dicho análisis por lo que las entidades </w:t>
      </w:r>
      <w:r w:rsidRPr="006D7828">
        <w:rPr>
          <w:rFonts w:ascii="Verdana" w:hAnsi="Verdana" w:eastAsia="Times New Roman" w:cs="Arial"/>
          <w:lang w:val="es-ES_tradnl" w:eastAsia="es-CO"/>
        </w:rPr>
        <w:t xml:space="preserve">son autónomas para estructurarlo, para lo cual deberán cumplir lo dispuesto en el artículo </w:t>
      </w:r>
      <w:r w:rsidRPr="006D7828">
        <w:rPr>
          <w:rFonts w:ascii="Verdana" w:hAnsi="Verdana" w:eastAsia="Calibri" w:cs="Arial"/>
          <w:bCs/>
          <w:lang w:val="es-ES_tradnl" w:eastAsia="es-MX"/>
        </w:rPr>
        <w:t xml:space="preserve">2.2.1.1.1.6.1 del Decreto 1082 de 2015 y realizar un análisis integral de planeación que </w:t>
      </w:r>
      <w:r w:rsidRPr="006D7828">
        <w:rPr>
          <w:rFonts w:ascii="Verdana" w:hAnsi="Verdana" w:eastAsia="Times New Roman" w:cs="Arial"/>
          <w:lang w:val="es-ES_tradnl" w:eastAsia="es-MX"/>
        </w:rPr>
        <w:t xml:space="preserve">sirva de sustento a la decisión de </w:t>
      </w:r>
      <w:r w:rsidRPr="006D7828">
        <w:rPr>
          <w:rFonts w:ascii="Verdana" w:hAnsi="Verdana" w:eastAsia="Times New Roman" w:cs="Arial"/>
          <w:bCs/>
          <w:lang w:val="es-ES_tradnl" w:eastAsia="es-MX"/>
        </w:rPr>
        <w:t>realizar un Proceso de Contratación.</w:t>
      </w:r>
    </w:p>
    <w:p w:rsidRPr="006D7828" w:rsidR="00DB7CAA" w:rsidP="00DB7CAA" w:rsidRDefault="00DB7CAA" w14:paraId="0A782C4B" w14:textId="77777777">
      <w:pPr>
        <w:pStyle w:val="Prrafodelista"/>
        <w:rPr>
          <w:rFonts w:ascii="Verdana" w:hAnsi="Verdana" w:eastAsia="Calibri" w:cs="Arial"/>
          <w:bCs/>
          <w:lang w:val="es-ES_tradnl" w:eastAsia="es-MX"/>
        </w:rPr>
      </w:pPr>
    </w:p>
    <w:p w:rsidRPr="009225A7" w:rsidR="00DB7CAA" w:rsidP="00A34454" w:rsidRDefault="00DB7CAA" w14:paraId="45E3F747" w14:textId="4173A97F">
      <w:pPr>
        <w:pStyle w:val="Prrafodelista"/>
        <w:numPr>
          <w:ilvl w:val="0"/>
          <w:numId w:val="10"/>
        </w:numPr>
        <w:spacing w:after="120" w:line="276" w:lineRule="auto"/>
        <w:jc w:val="both"/>
        <w:rPr>
          <w:rFonts w:ascii="Verdana" w:hAnsi="Verdana" w:eastAsia="Calibri" w:cs="Arial"/>
          <w:bCs/>
          <w:szCs w:val="24"/>
          <w:lang w:eastAsia="es-ES_tradnl"/>
        </w:rPr>
      </w:pPr>
      <w:bookmarkStart w:name="_Hlk139466113" w:id="6"/>
      <w:bookmarkEnd w:id="5"/>
      <w:r w:rsidRPr="00B46027">
        <w:rPr>
          <w:rFonts w:ascii="Verdana" w:hAnsi="Verdana" w:eastAsia="Calibri" w:cs="Arial"/>
          <w:bCs/>
          <w:lang w:val="es-ES_tradnl" w:eastAsia="es-MX"/>
        </w:rPr>
        <w:t>La Agencia Nacional de Contratación Pública – Colombia Compra Eficiente dispone de una “Guía para la Elaboración de Estudios del Sector”</w:t>
      </w:r>
      <w:r w:rsidRPr="00B46027">
        <w:rPr>
          <w:rFonts w:ascii="Verdana" w:hAnsi="Verdana" w:eastAsia="Times New Roman" w:cs="Arial"/>
          <w:vertAlign w:val="superscript"/>
          <w:lang w:val="es-ES_tradnl" w:eastAsia="es-CO"/>
        </w:rPr>
        <w:t xml:space="preserve"> </w:t>
      </w:r>
      <w:r w:rsidRPr="006D4F5F">
        <w:rPr>
          <w:rFonts w:eastAsia="Times New Roman"/>
          <w:vertAlign w:val="superscript"/>
          <w:lang w:eastAsia="es-CO"/>
        </w:rPr>
        <w:footnoteReference w:id="5"/>
      </w:r>
      <w:r w:rsidRPr="00B46027">
        <w:rPr>
          <w:rFonts w:ascii="Verdana" w:hAnsi="Verdana" w:eastAsia="Calibri" w:cs="Arial"/>
          <w:bCs/>
          <w:lang w:val="es-ES_tradnl" w:eastAsia="es-MX"/>
        </w:rPr>
        <w:t xml:space="preserve">, instrumento que sirve de apoyo para entender el mercado del bien, obra o servicio que la Entidad Estatal pretende adquirir para diseñar el Proceso de Contratación con </w:t>
      </w:r>
      <w:r w:rsidRPr="00B46027">
        <w:rPr>
          <w:rFonts w:ascii="Verdana" w:hAnsi="Verdana" w:eastAsia="Calibri" w:cs="Arial"/>
          <w:bCs/>
          <w:lang w:val="es-ES_tradnl" w:eastAsia="es-MX"/>
        </w:rPr>
        <w:lastRenderedPageBreak/>
        <w:t>la información necesaria para alcanzar los objetivos de eficacia, eficiencia, economía, promoción de la competencia y manejo del riesgo.</w:t>
      </w:r>
      <w:bookmarkEnd w:id="6"/>
      <w:r w:rsidRPr="00B46027">
        <w:rPr>
          <w:rFonts w:ascii="Verdana" w:hAnsi="Verdana" w:eastAsia="Calibri" w:cs="Arial"/>
          <w:bCs/>
          <w:lang w:val="es-ES_tradnl" w:eastAsia="es-MX"/>
        </w:rPr>
        <w:t xml:space="preserve"> </w:t>
      </w:r>
      <w:r w:rsidRPr="00B46027">
        <w:rPr>
          <w:rFonts w:ascii="Verdana" w:hAnsi="Verdana" w:eastAsia="Calibri" w:cs="Arial"/>
          <w:bCs/>
          <w:szCs w:val="24"/>
          <w:lang w:val="es-ES_tradnl" w:eastAsia="es-ES_tradnl"/>
        </w:rPr>
        <w:t xml:space="preserve">Esta Guía es un insumo para realizar el estudio del sector relativo al Proceso de Contratación, ya que comprende pautas sobre los aspectos generales del mercado, el análisis de la demanda y de la oferta y constituye un instrumento de orientación, por lo que –al carecer de fuerza vinculante– su aplicación no exime a las entidades de acatar las normas vigentes. </w:t>
      </w:r>
    </w:p>
    <w:p w:rsidRPr="009225A7" w:rsidR="009225A7" w:rsidP="009225A7" w:rsidRDefault="009225A7" w14:paraId="5ABFCD44" w14:textId="77777777">
      <w:pPr>
        <w:pStyle w:val="Prrafodelista"/>
        <w:rPr>
          <w:rFonts w:ascii="Verdana" w:hAnsi="Verdana" w:eastAsia="Calibri" w:cs="Arial"/>
          <w:bCs/>
          <w:szCs w:val="24"/>
          <w:lang w:eastAsia="es-ES_tradnl"/>
        </w:rPr>
      </w:pPr>
    </w:p>
    <w:p w:rsidR="00DB7CAA" w:rsidP="00DB7CAA" w:rsidRDefault="00DB7CAA" w14:paraId="559233D6" w14:textId="77777777">
      <w:pPr>
        <w:pStyle w:val="Prrafodelista"/>
        <w:numPr>
          <w:ilvl w:val="0"/>
          <w:numId w:val="10"/>
        </w:numPr>
        <w:spacing w:after="120" w:line="276" w:lineRule="auto"/>
        <w:jc w:val="both"/>
        <w:rPr>
          <w:rFonts w:ascii="Verdana" w:hAnsi="Verdana" w:eastAsia="Calibri" w:cs="Arial"/>
          <w:bCs/>
          <w:lang w:val="es-ES_tradnl" w:eastAsia="es-MX"/>
        </w:rPr>
      </w:pPr>
      <w:r w:rsidRPr="006D7828">
        <w:rPr>
          <w:rFonts w:ascii="Verdana" w:hAnsi="Verdana" w:eastAsia="Calibri" w:cs="Arial"/>
          <w:bCs/>
          <w:lang w:val="es-ES_tradnl" w:eastAsia="es-MX"/>
        </w:rPr>
        <w:t xml:space="preserve">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 </w:t>
      </w:r>
    </w:p>
    <w:p w:rsidRPr="006D7828" w:rsidR="00DB7CAA" w:rsidP="00DB7CAA" w:rsidRDefault="00DB7CAA" w14:paraId="64DB78CC" w14:textId="77777777">
      <w:pPr>
        <w:pStyle w:val="Prrafodelista"/>
        <w:rPr>
          <w:rFonts w:ascii="Verdana" w:hAnsi="Verdana" w:eastAsia="Calibri" w:cs="Arial"/>
          <w:bCs/>
          <w:lang w:val="es-ES_tradnl" w:eastAsia="es-MX"/>
        </w:rPr>
      </w:pPr>
    </w:p>
    <w:p w:rsidRPr="009225A7" w:rsidR="00DB7CAA" w:rsidP="009225A7" w:rsidRDefault="00DB7CAA" w14:paraId="1418262F" w14:textId="5CBB4BD6">
      <w:pPr>
        <w:pStyle w:val="Prrafodelista"/>
        <w:numPr>
          <w:ilvl w:val="0"/>
          <w:numId w:val="10"/>
        </w:numPr>
        <w:spacing w:after="120" w:line="276" w:lineRule="auto"/>
        <w:jc w:val="both"/>
        <w:rPr>
          <w:rFonts w:ascii="Verdana" w:hAnsi="Verdana"/>
          <w:lang w:val="es-CO" w:eastAsia="es-ES_tradnl"/>
        </w:rPr>
      </w:pPr>
      <w:r w:rsidRPr="009225A7">
        <w:rPr>
          <w:rFonts w:ascii="Verdana" w:hAnsi="Verdana" w:eastAsia="Calibri" w:cs="Arial"/>
          <w:bCs/>
          <w:szCs w:val="24"/>
          <w:lang w:val="es-ES_tradnl" w:eastAsia="es-ES_tradnl"/>
        </w:rPr>
        <w:t xml:space="preserve">Así mismo, en </w:t>
      </w:r>
      <w:bookmarkStart w:name="_Hlk139466181" w:id="7"/>
      <w:r w:rsidRPr="009225A7">
        <w:rPr>
          <w:rFonts w:ascii="Verdana" w:hAnsi="Verdana" w:eastAsia="Calibri" w:cs="Arial"/>
          <w:bCs/>
          <w:szCs w:val="24"/>
          <w:lang w:val="es-ES_tradnl" w:eastAsia="es-ES_tradnl"/>
        </w:rPr>
        <w:t xml:space="preserve">la Guía se indica que como parte de la estructura del estudio del sector se debe realizar un análisis del comportamiento del gasto histórico, el estudio de la oferta y el estudio del mercado. </w:t>
      </w:r>
      <w:bookmarkStart w:name="_Hlk78204338" w:id="8"/>
      <w:bookmarkEnd w:id="7"/>
      <w:r w:rsidRPr="009225A7" w:rsidR="00970935">
        <w:rPr>
          <w:rFonts w:ascii="Verdana" w:hAnsi="Verdana" w:eastAsia="Calibri" w:cs="Arial"/>
          <w:lang w:eastAsia="es-ES_tradnl"/>
        </w:rPr>
        <w:t>D</w:t>
      </w:r>
      <w:proofErr w:type="spellStart"/>
      <w:r w:rsidRPr="009225A7" w:rsidR="00970935">
        <w:rPr>
          <w:rFonts w:ascii="Verdana" w:hAnsi="Verdana"/>
          <w:lang w:val="es-CO" w:eastAsia="es-ES_tradnl"/>
        </w:rPr>
        <w:t>e</w:t>
      </w:r>
      <w:proofErr w:type="spellEnd"/>
      <w:r w:rsidRPr="009225A7" w:rsidR="00970935">
        <w:rPr>
          <w:rFonts w:ascii="Verdana" w:hAnsi="Verdana"/>
          <w:lang w:val="es-CO" w:eastAsia="es-ES_tradnl"/>
        </w:rPr>
        <w:t xml:space="preserve"> forma puntual, l</w:t>
      </w:r>
      <w:r w:rsidRPr="009225A7">
        <w:rPr>
          <w:rFonts w:ascii="Verdana" w:hAnsi="Verdana"/>
          <w:lang w:val="es-CO" w:eastAsia="es-ES_tradnl"/>
        </w:rPr>
        <w:t>a Guía indica que “la Entidad Estatal debe identificar los proveedores en el mercado del bien o servicio, así como sus principales características como tamaño empresarial, ubicación, esquemas de producción y comportamiento financiero”.</w:t>
      </w:r>
      <w:bookmarkEnd w:id="8"/>
      <w:r w:rsidRPr="009225A7">
        <w:rPr>
          <w:rFonts w:ascii="Verdana" w:hAnsi="Verdana"/>
          <w:lang w:val="es-CO" w:eastAsia="es-ES_tradnl"/>
        </w:rPr>
        <w:t xml:space="preserve"> </w:t>
      </w:r>
    </w:p>
    <w:p w:rsidRPr="006D7828" w:rsidR="00DB7CAA" w:rsidP="00DB7CAA" w:rsidRDefault="00DB7CAA" w14:paraId="7D7D95B0" w14:textId="77777777">
      <w:pPr>
        <w:pStyle w:val="Prrafodelista"/>
        <w:rPr>
          <w:rFonts w:ascii="Verdana" w:hAnsi="Verdana" w:eastAsia="Calibri" w:cs="Arial"/>
          <w:szCs w:val="24"/>
          <w:lang w:eastAsia="es-ES_tradnl"/>
        </w:rPr>
      </w:pPr>
    </w:p>
    <w:p w:rsidR="009E579A" w:rsidP="00DB7CAA" w:rsidRDefault="00970935" w14:paraId="157E7D65" w14:textId="76657E7C">
      <w:pPr>
        <w:pStyle w:val="Prrafodelista"/>
        <w:numPr>
          <w:ilvl w:val="0"/>
          <w:numId w:val="10"/>
        </w:numPr>
        <w:spacing w:after="120" w:line="276" w:lineRule="auto"/>
        <w:jc w:val="both"/>
        <w:rPr>
          <w:rFonts w:ascii="Verdana" w:hAnsi="Verdana" w:eastAsia="Calibri" w:cs="Arial"/>
          <w:szCs w:val="24"/>
          <w:lang w:eastAsia="es-ES_tradnl"/>
        </w:rPr>
      </w:pPr>
      <w:r>
        <w:rPr>
          <w:rFonts w:ascii="Verdana" w:hAnsi="Verdana" w:eastAsia="Calibri" w:cs="Arial"/>
          <w:szCs w:val="24"/>
          <w:lang w:eastAsia="es-ES_tradnl"/>
        </w:rPr>
        <w:t>Ahora bien</w:t>
      </w:r>
      <w:r w:rsidRPr="006D7828" w:rsidR="00DB7CAA">
        <w:rPr>
          <w:rFonts w:ascii="Verdana" w:hAnsi="Verdana" w:eastAsia="Calibri" w:cs="Arial"/>
          <w:szCs w:val="24"/>
          <w:lang w:eastAsia="es-ES_tradnl"/>
        </w:rPr>
        <w:t xml:space="preserve">, </w:t>
      </w:r>
      <w:bookmarkStart w:name="_Hlk139466204" w:id="9"/>
      <w:r>
        <w:rPr>
          <w:rFonts w:ascii="Verdana" w:hAnsi="Verdana" w:eastAsia="Calibri" w:cs="Arial"/>
          <w:szCs w:val="24"/>
          <w:lang w:eastAsia="es-ES_tradnl"/>
        </w:rPr>
        <w:t xml:space="preserve">respecto a </w:t>
      </w:r>
      <w:r w:rsidRPr="006D7828" w:rsidR="00DB7CAA">
        <w:rPr>
          <w:rFonts w:ascii="Verdana" w:hAnsi="Verdana" w:eastAsia="Calibri" w:cs="Arial"/>
          <w:szCs w:val="24"/>
          <w:lang w:eastAsia="es-ES_tradnl"/>
        </w:rPr>
        <w:t xml:space="preserve">el </w:t>
      </w:r>
      <w:r w:rsidRPr="006D7828" w:rsidR="00DB7CAA">
        <w:rPr>
          <w:rFonts w:ascii="Verdana" w:hAnsi="Verdana" w:eastAsia="Calibri" w:cs="Arial"/>
          <w:i/>
          <w:iCs/>
          <w:szCs w:val="24"/>
          <w:lang w:eastAsia="es-ES_tradnl"/>
        </w:rPr>
        <w:t xml:space="preserve">estudio del mercado, </w:t>
      </w:r>
      <w:r w:rsidRPr="006D7828" w:rsidR="00DB7CAA">
        <w:rPr>
          <w:rFonts w:ascii="Verdana" w:hAnsi="Verdana" w:eastAsia="Calibri" w:cs="Arial"/>
          <w:szCs w:val="24"/>
          <w:lang w:eastAsia="es-ES_tradnl"/>
        </w:rPr>
        <w:t xml:space="preserve">al cual hace referencia en su consulta, </w:t>
      </w:r>
      <w:r>
        <w:rPr>
          <w:rFonts w:ascii="Verdana" w:hAnsi="Verdana" w:eastAsia="Calibri" w:cs="Arial"/>
          <w:szCs w:val="24"/>
          <w:lang w:eastAsia="es-ES_tradnl"/>
        </w:rPr>
        <w:t xml:space="preserve">este se encuentra inmerso dentro del análisis del sector y </w:t>
      </w:r>
      <w:r w:rsidRPr="006D7828" w:rsidR="00DB7CAA">
        <w:rPr>
          <w:rFonts w:ascii="Verdana" w:hAnsi="Verdana" w:eastAsia="Calibri" w:cs="Arial"/>
          <w:szCs w:val="24"/>
          <w:lang w:eastAsia="es-ES_tradnl"/>
        </w:rPr>
        <w:t xml:space="preserve">permite comprender la dinámica de los precios y establecer el presupuesto oficial de la contratación, el cual </w:t>
      </w:r>
      <w:r w:rsidR="00E6213D">
        <w:rPr>
          <w:rFonts w:ascii="Verdana" w:hAnsi="Verdana" w:eastAsia="Calibri" w:cs="Arial"/>
          <w:szCs w:val="24"/>
          <w:lang w:eastAsia="es-ES_tradnl"/>
        </w:rPr>
        <w:t>incluye</w:t>
      </w:r>
      <w:r w:rsidRPr="006D7828" w:rsidR="00E6213D">
        <w:rPr>
          <w:rFonts w:ascii="Verdana" w:hAnsi="Verdana" w:eastAsia="Calibri" w:cs="Arial"/>
          <w:szCs w:val="24"/>
          <w:lang w:eastAsia="es-ES_tradnl"/>
        </w:rPr>
        <w:t xml:space="preserve"> </w:t>
      </w:r>
      <w:r w:rsidRPr="006D7828" w:rsidR="00DB7CAA">
        <w:rPr>
          <w:rFonts w:ascii="Verdana" w:hAnsi="Verdana" w:eastAsia="Calibri" w:cs="Arial"/>
          <w:szCs w:val="24"/>
          <w:lang w:eastAsia="es-ES_tradnl"/>
        </w:rPr>
        <w:t>la realización de un análisis de los diferentes precios de los bienes o servicios a contratar que se registran en el mercado, los cuales pueden consultarse a través de mecanismos como</w:t>
      </w:r>
      <w:r w:rsidR="009E579A">
        <w:rPr>
          <w:rFonts w:ascii="Verdana" w:hAnsi="Verdana" w:eastAsia="Calibri" w:cs="Arial"/>
          <w:szCs w:val="24"/>
          <w:lang w:eastAsia="es-ES_tradnl"/>
        </w:rPr>
        <w:t>:</w:t>
      </w:r>
    </w:p>
    <w:p w:rsidR="009E579A" w:rsidP="009E579A" w:rsidRDefault="009E579A" w14:paraId="4F503D17" w14:textId="74FF9DC6">
      <w:pPr>
        <w:pStyle w:val="Prrafodelista"/>
        <w:numPr>
          <w:ilvl w:val="0"/>
          <w:numId w:val="12"/>
        </w:numPr>
        <w:spacing w:after="120" w:line="276" w:lineRule="auto"/>
        <w:jc w:val="both"/>
        <w:rPr>
          <w:rFonts w:ascii="Verdana" w:hAnsi="Verdana" w:eastAsia="Calibri" w:cs="Arial"/>
          <w:szCs w:val="24"/>
          <w:lang w:eastAsia="es-ES_tradnl"/>
        </w:rPr>
      </w:pPr>
      <w:r>
        <w:rPr>
          <w:rFonts w:ascii="Verdana" w:hAnsi="Verdana" w:eastAsia="Calibri" w:cs="Arial"/>
          <w:szCs w:val="24"/>
          <w:lang w:eastAsia="es-ES_tradnl"/>
        </w:rPr>
        <w:t>R</w:t>
      </w:r>
      <w:r w:rsidRPr="00A34454">
        <w:rPr>
          <w:rFonts w:ascii="Verdana" w:hAnsi="Verdana" w:eastAsia="Calibri" w:cs="Arial"/>
          <w:szCs w:val="24"/>
          <w:lang w:eastAsia="es-ES_tradnl"/>
        </w:rPr>
        <w:t>evisión de precios</w:t>
      </w:r>
      <w:r w:rsidRPr="006D7828">
        <w:rPr>
          <w:rFonts w:ascii="Verdana" w:hAnsi="Verdana" w:eastAsia="Calibri" w:cs="Arial"/>
          <w:szCs w:val="24"/>
          <w:lang w:eastAsia="es-ES_tradnl"/>
        </w:rPr>
        <w:t xml:space="preserve"> por solicitud de cotizaciones</w:t>
      </w:r>
      <w:r>
        <w:rPr>
          <w:rFonts w:ascii="Verdana" w:hAnsi="Verdana" w:eastAsia="Calibri" w:cs="Arial"/>
          <w:szCs w:val="24"/>
          <w:lang w:eastAsia="es-ES_tradnl"/>
        </w:rPr>
        <w:t xml:space="preserve">: </w:t>
      </w:r>
      <w:r w:rsidRPr="006D7828">
        <w:rPr>
          <w:rFonts w:ascii="Verdana" w:hAnsi="Verdana" w:eastAsia="Calibri" w:cs="Arial"/>
          <w:szCs w:val="24"/>
          <w:lang w:eastAsia="es-ES_tradnl"/>
        </w:rPr>
        <w:t>la Guía recomienda requerir a los potenciales proveedores de los bienes o servicios para que remitan la información necesaria para determinar, entre otros aspectos, el valor del servicio o del bien correspondiente. Para estos efectos, se sugiere incluir en la comunicación toda aquella información pertinente del contrato a ejecutar que permita a los potenciales proveedores estructurar una cotización integral y ajustada a las necesidades de la entidad</w:t>
      </w:r>
      <w:r>
        <w:rPr>
          <w:rFonts w:ascii="Verdana" w:hAnsi="Verdana" w:eastAsia="Calibri" w:cs="Arial"/>
          <w:szCs w:val="24"/>
          <w:lang w:eastAsia="es-ES_tradnl"/>
        </w:rPr>
        <w:t>.</w:t>
      </w:r>
    </w:p>
    <w:p w:rsidRPr="00A34454" w:rsidR="009E579A" w:rsidP="00A34454" w:rsidRDefault="009E579A" w14:paraId="0F4521F5" w14:textId="785AD2A7">
      <w:pPr>
        <w:pStyle w:val="Prrafodelista"/>
        <w:spacing w:after="120" w:line="276" w:lineRule="auto"/>
        <w:ind w:left="2220"/>
        <w:jc w:val="both"/>
        <w:rPr>
          <w:rFonts w:ascii="Verdana" w:hAnsi="Verdana" w:eastAsia="Calibri" w:cs="Arial"/>
          <w:szCs w:val="24"/>
          <w:lang w:eastAsia="es-ES_tradnl"/>
        </w:rPr>
      </w:pPr>
      <w:r w:rsidRPr="00A34454">
        <w:rPr>
          <w:rFonts w:ascii="Verdana" w:hAnsi="Verdana" w:eastAsia="Calibri" w:cs="Arial"/>
          <w:szCs w:val="24"/>
          <w:lang w:eastAsia="es-ES_tradnl"/>
        </w:rPr>
        <w:lastRenderedPageBreak/>
        <w:t xml:space="preserve">Así mismo, se indica que, al recibir las cotizaciones, debe verificarse la ocurrencia de circunstancias que eventualmente pueden distorsionar los precios del mercado, como ofertas especiales de almacenes de cadena, fenómenos de escasez o abundancia del producto, entre otros aspectos. </w:t>
      </w:r>
    </w:p>
    <w:p w:rsidR="009E579A" w:rsidP="00A34454" w:rsidRDefault="009E579A" w14:paraId="477E3F29" w14:textId="77777777">
      <w:pPr>
        <w:pStyle w:val="Prrafodelista"/>
        <w:spacing w:after="120" w:line="276" w:lineRule="auto"/>
        <w:ind w:left="2220"/>
        <w:jc w:val="both"/>
        <w:rPr>
          <w:rFonts w:ascii="Verdana" w:hAnsi="Verdana" w:eastAsia="Calibri" w:cs="Arial"/>
          <w:szCs w:val="24"/>
          <w:lang w:eastAsia="es-ES_tradnl"/>
        </w:rPr>
      </w:pPr>
    </w:p>
    <w:p w:rsidR="009E579A" w:rsidP="009E579A" w:rsidRDefault="009E579A" w14:paraId="60E5355A" w14:textId="0AF06E01">
      <w:pPr>
        <w:pStyle w:val="Prrafodelista"/>
        <w:numPr>
          <w:ilvl w:val="0"/>
          <w:numId w:val="12"/>
        </w:numPr>
        <w:spacing w:after="120" w:line="276" w:lineRule="auto"/>
        <w:jc w:val="both"/>
        <w:rPr>
          <w:rFonts w:ascii="Verdana" w:hAnsi="Verdana" w:eastAsia="Calibri" w:cs="Arial"/>
          <w:szCs w:val="24"/>
          <w:lang w:eastAsia="es-ES_tradnl"/>
        </w:rPr>
      </w:pPr>
      <w:r>
        <w:rPr>
          <w:rFonts w:ascii="Verdana" w:hAnsi="Verdana" w:eastAsia="Calibri" w:cs="Arial"/>
          <w:szCs w:val="24"/>
          <w:lang w:eastAsia="es-ES_tradnl"/>
        </w:rPr>
        <w:t>R</w:t>
      </w:r>
      <w:r w:rsidRPr="00A34454">
        <w:rPr>
          <w:rFonts w:ascii="Verdana" w:hAnsi="Verdana" w:eastAsia="Calibri" w:cs="Arial"/>
          <w:szCs w:val="24"/>
          <w:lang w:eastAsia="es-ES_tradnl"/>
        </w:rPr>
        <w:t>evisión de bases de datos especializadas</w:t>
      </w:r>
      <w:r>
        <w:rPr>
          <w:rFonts w:ascii="Verdana" w:hAnsi="Verdana" w:eastAsia="Calibri" w:cs="Arial"/>
          <w:szCs w:val="24"/>
          <w:lang w:eastAsia="es-ES_tradnl"/>
        </w:rPr>
        <w:t>:</w:t>
      </w:r>
      <w:r w:rsidRPr="006D7828">
        <w:rPr>
          <w:rFonts w:ascii="Verdana" w:hAnsi="Verdana" w:eastAsia="Calibri" w:cs="Arial"/>
          <w:szCs w:val="24"/>
          <w:lang w:eastAsia="es-ES_tradnl"/>
        </w:rPr>
        <w:t xml:space="preserve"> la Guía señala que es conveniente adelantarla cuando por las condiciones del mercado del bien o servicio a contratar se requiera, y el responsable deberá dejar constancia de las consultas realizadas y de los precios que soportan su estudio. Las bases de datos consultadas deben ser especializadas y representativas en el mercado del bien o servicio a contratar. </w:t>
      </w:r>
    </w:p>
    <w:p w:rsidR="009E579A" w:rsidP="00A34454" w:rsidRDefault="009E579A" w14:paraId="45FD1325" w14:textId="77777777">
      <w:pPr>
        <w:pStyle w:val="Prrafodelista"/>
        <w:spacing w:after="120" w:line="276" w:lineRule="auto"/>
        <w:ind w:left="2220"/>
        <w:jc w:val="both"/>
        <w:rPr>
          <w:rFonts w:ascii="Verdana" w:hAnsi="Verdana" w:eastAsia="Calibri" w:cs="Arial"/>
          <w:szCs w:val="24"/>
          <w:lang w:eastAsia="es-ES_tradnl"/>
        </w:rPr>
      </w:pPr>
    </w:p>
    <w:p w:rsidR="009E579A" w:rsidP="009E579A" w:rsidRDefault="009E579A" w14:paraId="2F82527F" w14:textId="5332C23B">
      <w:pPr>
        <w:pStyle w:val="Prrafodelista"/>
        <w:numPr>
          <w:ilvl w:val="0"/>
          <w:numId w:val="12"/>
        </w:numPr>
        <w:spacing w:after="120" w:line="276" w:lineRule="auto"/>
        <w:jc w:val="both"/>
        <w:rPr>
          <w:rFonts w:ascii="Verdana" w:hAnsi="Verdana" w:eastAsia="Calibri" w:cs="Arial"/>
          <w:szCs w:val="24"/>
          <w:lang w:eastAsia="es-ES_tradnl"/>
        </w:rPr>
      </w:pPr>
      <w:r>
        <w:rPr>
          <w:rFonts w:ascii="Verdana" w:hAnsi="Verdana" w:eastAsia="Calibri" w:cs="Arial"/>
          <w:szCs w:val="24"/>
          <w:lang w:eastAsia="es-ES_tradnl"/>
        </w:rPr>
        <w:t>R</w:t>
      </w:r>
      <w:r w:rsidRPr="006D7828">
        <w:rPr>
          <w:rFonts w:ascii="Verdana" w:hAnsi="Verdana" w:eastAsia="Calibri" w:cs="Arial"/>
          <w:szCs w:val="24"/>
          <w:lang w:eastAsia="es-ES_tradnl"/>
        </w:rPr>
        <w:t xml:space="preserve">evisión de precios históricos se sugiere verificar la variación de los precios históricos derivados del índice de precios al consumidor en cada año, examinando si se han presentado fenómenos económicos que hayan implicado fluctuaciones importantes en el comercio del bien o servicio, siempre que las características del bien o servicio sean las mismas entre una contratación y otra.  </w:t>
      </w:r>
    </w:p>
    <w:bookmarkEnd w:id="9"/>
    <w:p w:rsidRPr="009E579A" w:rsidR="00DB7CAA" w:rsidP="009225A7" w:rsidRDefault="00DB7CAA" w14:paraId="54E1A496" w14:textId="77777777">
      <w:pPr>
        <w:pStyle w:val="Prrafodelista"/>
        <w:spacing w:after="120" w:line="276" w:lineRule="auto"/>
        <w:jc w:val="both"/>
        <w:rPr>
          <w:rFonts w:ascii="Verdana" w:hAnsi="Verdana" w:eastAsia="Calibri" w:cs="Arial"/>
          <w:szCs w:val="24"/>
          <w:lang w:eastAsia="es-ES_tradnl"/>
        </w:rPr>
      </w:pPr>
    </w:p>
    <w:p w:rsidR="00DB7CAA" w:rsidP="00DB7CAA" w:rsidRDefault="00DB7CAA" w14:paraId="6F73DF43" w14:textId="77777777">
      <w:pPr>
        <w:pStyle w:val="Prrafodelista"/>
        <w:numPr>
          <w:ilvl w:val="0"/>
          <w:numId w:val="10"/>
        </w:numPr>
        <w:spacing w:after="120" w:line="276" w:lineRule="auto"/>
        <w:jc w:val="both"/>
        <w:rPr>
          <w:rFonts w:ascii="Verdana" w:hAnsi="Verdana" w:eastAsia="Calibri" w:cs="Arial"/>
          <w:szCs w:val="24"/>
          <w:lang w:eastAsia="es-ES_tradnl"/>
        </w:rPr>
      </w:pPr>
      <w:bookmarkStart w:name="_Hlk139466471" w:id="10"/>
      <w:r w:rsidRPr="006D7828">
        <w:rPr>
          <w:rFonts w:ascii="Verdana" w:hAnsi="Verdana" w:eastAsia="Calibri" w:cs="Arial"/>
          <w:szCs w:val="24"/>
          <w:lang w:eastAsia="es-ES_tradnl"/>
        </w:rPr>
        <w:t xml:space="preserve">Como se observa, la “Guía de Elaboración de Estudios del Sector” recomienda como mecanismo para la elaboración de </w:t>
      </w:r>
      <w:r w:rsidRPr="006D7828">
        <w:rPr>
          <w:rFonts w:ascii="Verdana" w:hAnsi="Verdana" w:eastAsia="Calibri" w:cs="Arial"/>
          <w:i/>
          <w:iCs/>
          <w:szCs w:val="24"/>
          <w:lang w:eastAsia="es-ES_tradnl"/>
        </w:rPr>
        <w:t>estudios del mercado</w:t>
      </w:r>
      <w:r w:rsidRPr="006D7828">
        <w:rPr>
          <w:rFonts w:ascii="Verdana" w:hAnsi="Verdana" w:eastAsia="Calibri" w:cs="Arial"/>
          <w:szCs w:val="24"/>
          <w:lang w:eastAsia="es-ES_tradnl"/>
        </w:rPr>
        <w:t>, que sirvan para entender la dinámica de los precios y establecer el presupuesto oficial de la contratación, requerir a los potenciales proveedores a fin de que remitan la información necesaria para determinar diversos aspectos de los bienes o servicios a contratar, entre ellos su valor, especificaciones técnicas, el plazo, entre otra información relevante. En principio, que un potencial proveedor participe en estos estudios del mercado, remitiendo cotizaciones por citar un ejemplo, no implica que en el futuro no pueda participar del Proceso de Contratación que se adelante.</w:t>
      </w:r>
      <w:bookmarkEnd w:id="10"/>
    </w:p>
    <w:p w:rsidRPr="006D7828" w:rsidR="00DB7CAA" w:rsidP="00DB7CAA" w:rsidRDefault="00DB7CAA" w14:paraId="4B490633" w14:textId="77777777">
      <w:pPr>
        <w:pStyle w:val="Prrafodelista"/>
        <w:rPr>
          <w:rFonts w:ascii="Verdana" w:hAnsi="Verdana" w:eastAsia="Calibri" w:cs="Arial"/>
          <w:szCs w:val="24"/>
          <w:lang w:eastAsia="es-ES_tradnl"/>
        </w:rPr>
      </w:pPr>
    </w:p>
    <w:p w:rsidR="003C2402" w:rsidP="003C2402" w:rsidRDefault="003C2402" w14:paraId="3A3241C8" w14:textId="31E11530">
      <w:pPr>
        <w:pStyle w:val="Prrafodelista"/>
        <w:numPr>
          <w:ilvl w:val="0"/>
          <w:numId w:val="10"/>
        </w:numPr>
        <w:spacing w:after="0" w:line="276" w:lineRule="auto"/>
        <w:jc w:val="both"/>
        <w:rPr>
          <w:rFonts w:ascii="Verdana" w:hAnsi="Verdana" w:eastAsia="Times New Roman" w:cs="Arial"/>
          <w:szCs w:val="24"/>
          <w:lang w:eastAsia="es-ES_tradnl"/>
        </w:rPr>
      </w:pPr>
      <w:r>
        <w:rPr>
          <w:rFonts w:ascii="Verdana" w:hAnsi="Verdana" w:eastAsia="Calibri" w:cs="Arial"/>
          <w:szCs w:val="24"/>
          <w:lang w:eastAsia="es-ES_tradnl"/>
        </w:rPr>
        <w:t>En ese orden de ideas,</w:t>
      </w:r>
      <w:r w:rsidRPr="006D7828" w:rsidR="00DB7CAA">
        <w:rPr>
          <w:rFonts w:ascii="Verdana" w:hAnsi="Verdana" w:eastAsia="Calibri" w:cs="Arial"/>
          <w:bCs/>
          <w:szCs w:val="24"/>
          <w:lang w:val="es-ES_tradnl" w:eastAsia="es-ES_tradnl"/>
        </w:rPr>
        <w:t xml:space="preserve"> el análisis del sector </w:t>
      </w:r>
      <w:r w:rsidRPr="006D7828" w:rsidR="00DB7CAA">
        <w:rPr>
          <w:rFonts w:ascii="Verdana" w:hAnsi="Verdana" w:eastAsia="Times New Roman" w:cs="Arial"/>
          <w:bCs/>
          <w:szCs w:val="24"/>
          <w:lang w:val="es-ES_tradnl" w:eastAsia="es-ES_tradnl"/>
        </w:rPr>
        <w:t xml:space="preserve">parte de un estudio desde una perspectiva multidisciplinaria, que implica los aspectos generales del mercado, el análisis de la demanda y de la oferta, así como el estudio del mercado que le permite a la entidad entender el mercado del bien, obra o servicio que </w:t>
      </w:r>
      <w:r w:rsidRPr="006D7828" w:rsidR="00DB7CAA">
        <w:rPr>
          <w:rFonts w:ascii="Verdana" w:hAnsi="Verdana" w:eastAsia="Times New Roman" w:cs="Arial"/>
          <w:bCs/>
          <w:szCs w:val="24"/>
          <w:lang w:val="es-ES_tradnl" w:eastAsia="es-ES_tradnl"/>
        </w:rPr>
        <w:lastRenderedPageBreak/>
        <w:t xml:space="preserve">pretenden adquirir, así como identificar los factores que inciden en el valor del contrato, tales como el análisis de precios, las cargas tributarias, la tasa de cambio, las garantías, los gastos de transporte, etc. Este análisis se </w:t>
      </w:r>
      <w:r w:rsidRPr="006D7828" w:rsidR="00DB7CAA">
        <w:rPr>
          <w:rFonts w:ascii="Verdana" w:hAnsi="Verdana" w:eastAsia="Times New Roman" w:cs="Arial"/>
          <w:szCs w:val="24"/>
          <w:lang w:eastAsia="es-ES_tradnl"/>
        </w:rPr>
        <w:t xml:space="preserve">debe consignar en los Documentos del Proceso, bien sea en los estudios previos o en la información soporte de </w:t>
      </w:r>
      <w:r w:rsidRPr="006D7828" w:rsidR="009225A7">
        <w:rPr>
          <w:rFonts w:ascii="Verdana" w:hAnsi="Verdana" w:eastAsia="Times New Roman" w:cs="Arial"/>
          <w:szCs w:val="24"/>
          <w:lang w:eastAsia="es-ES_tradnl"/>
        </w:rPr>
        <w:t>estos</w:t>
      </w:r>
      <w:r w:rsidRPr="006D7828" w:rsidR="00DB7CAA">
        <w:rPr>
          <w:rFonts w:ascii="Verdana" w:hAnsi="Verdana" w:eastAsia="Times New Roman" w:cs="Arial"/>
          <w:szCs w:val="24"/>
          <w:lang w:eastAsia="es-ES_tradnl"/>
        </w:rPr>
        <w:t xml:space="preserve">. </w:t>
      </w:r>
    </w:p>
    <w:p w:rsidRPr="00A34454" w:rsidR="003C2402" w:rsidP="00A34454" w:rsidRDefault="003C2402" w14:paraId="35125978" w14:textId="77777777">
      <w:pPr>
        <w:pStyle w:val="Prrafodelista"/>
        <w:rPr>
          <w:rFonts w:ascii="Verdana" w:hAnsi="Verdana" w:eastAsia="Times New Roman" w:cs="Arial"/>
          <w:szCs w:val="24"/>
          <w:lang w:val="es-CO" w:eastAsia="es-ES_tradnl"/>
        </w:rPr>
      </w:pPr>
    </w:p>
    <w:p w:rsidRPr="00A34454" w:rsidR="003C2402" w:rsidP="009225A7" w:rsidRDefault="003C2402" w14:paraId="326868BF" w14:textId="68E917BE">
      <w:pPr>
        <w:pStyle w:val="Prrafodelista"/>
        <w:numPr>
          <w:ilvl w:val="0"/>
          <w:numId w:val="10"/>
        </w:numPr>
        <w:spacing w:after="0" w:line="276" w:lineRule="auto"/>
        <w:jc w:val="both"/>
        <w:rPr>
          <w:rFonts w:ascii="Verdana" w:hAnsi="Verdana" w:eastAsia="Times New Roman" w:cs="Arial"/>
          <w:szCs w:val="24"/>
          <w:lang w:eastAsia="es-ES_tradnl"/>
        </w:rPr>
      </w:pPr>
      <w:r w:rsidRPr="00A34454">
        <w:rPr>
          <w:rFonts w:ascii="Verdana" w:hAnsi="Verdana" w:eastAsia="Times New Roman" w:cs="Arial"/>
          <w:szCs w:val="24"/>
          <w:lang w:val="es-CO" w:eastAsia="es-ES_tradnl"/>
        </w:rPr>
        <w:t xml:space="preserve">En conclusión, las entidades estales son autónomas para establecer en su Manual de Contratación la </w:t>
      </w:r>
      <w:r w:rsidRPr="00A34454">
        <w:rPr>
          <w:rFonts w:ascii="Verdana" w:hAnsi="Verdana" w:eastAsia="Calibri" w:cs="Arial"/>
          <w:szCs w:val="24"/>
          <w:lang w:eastAsia="es-ES_tradnl"/>
        </w:rPr>
        <w:t xml:space="preserve">metodología para elaborar el Estudio del Sector y en especial la forma como desarrollar los estudios de </w:t>
      </w:r>
      <w:r w:rsidRPr="00A34454" w:rsidR="009225A7">
        <w:rPr>
          <w:rFonts w:ascii="Verdana" w:hAnsi="Verdana" w:eastAsia="Calibri" w:cs="Arial"/>
          <w:szCs w:val="24"/>
          <w:lang w:eastAsia="es-ES_tradnl"/>
        </w:rPr>
        <w:t>mercado, siempre</w:t>
      </w:r>
      <w:r w:rsidRPr="00A34454">
        <w:rPr>
          <w:rFonts w:ascii="Verdana" w:hAnsi="Verdana" w:eastAsia="Calibri" w:cs="Arial"/>
          <w:szCs w:val="24"/>
          <w:lang w:eastAsia="es-ES_tradnl"/>
        </w:rPr>
        <w:t xml:space="preserve"> y cuando acaten la Ley 1150 de 2007 y el Decreto 1082 de 2015 frente a esta materia, estableciendo siempre </w:t>
      </w:r>
      <w:r w:rsidRPr="00A34454">
        <w:rPr>
          <w:rFonts w:ascii="Verdana" w:hAnsi="Verdana" w:eastAsia="Times New Roman" w:cs="Arial"/>
          <w:szCs w:val="24"/>
          <w:lang w:eastAsia="es-ES_tradnl"/>
        </w:rPr>
        <w:t>argumentos financieros que permitirán escoger el mejor precio de conformidad con los criterios establecidos por la misma.</w:t>
      </w:r>
    </w:p>
    <w:p w:rsidR="00DB7CAA" w:rsidP="00DB7CAA" w:rsidRDefault="00DB7CAA" w14:paraId="7BF32498" w14:textId="77777777">
      <w:pPr>
        <w:spacing w:after="0" w:line="276" w:lineRule="auto"/>
        <w:ind w:firstLine="709"/>
        <w:jc w:val="both"/>
        <w:rPr>
          <w:rFonts w:ascii="Verdana" w:hAnsi="Verdana" w:eastAsia="Times New Roman" w:cs="Arial"/>
          <w:szCs w:val="24"/>
          <w:lang w:val="es-ES" w:eastAsia="es-ES_tradnl"/>
        </w:rPr>
      </w:pPr>
    </w:p>
    <w:p w:rsidRPr="006D4F5F" w:rsidR="00DB7CAA" w:rsidP="00DB7CAA" w:rsidRDefault="00DB7CAA" w14:paraId="39CFCD56" w14:textId="77777777">
      <w:pPr>
        <w:tabs>
          <w:tab w:val="left" w:pos="142"/>
          <w:tab w:val="left" w:pos="284"/>
        </w:tabs>
        <w:spacing w:after="0" w:line="276" w:lineRule="auto"/>
        <w:jc w:val="both"/>
        <w:rPr>
          <w:rFonts w:ascii="Verdana" w:hAnsi="Verdana" w:eastAsia="Century Gothic" w:cs="Century Gothic"/>
          <w:b/>
          <w:bCs/>
        </w:rPr>
      </w:pPr>
      <w:r>
        <w:rPr>
          <w:rFonts w:ascii="Verdana" w:hAnsi="Verdana" w:eastAsia="Century Gothic" w:cs="Century Gothic"/>
          <w:b/>
          <w:bCs/>
        </w:rPr>
        <w:t xml:space="preserve">4. </w:t>
      </w:r>
      <w:r w:rsidRPr="006D4F5F">
        <w:rPr>
          <w:rFonts w:ascii="Verdana" w:hAnsi="Verdana" w:eastAsia="Century Gothic" w:cs="Century Gothic"/>
          <w:b/>
          <w:bCs/>
        </w:rPr>
        <w:t>Referencias normativas, jurisprudenciales y otras fuentes:</w:t>
      </w:r>
    </w:p>
    <w:p w:rsidRPr="00593A5F" w:rsidR="00DB7CAA" w:rsidP="00DB7CAA" w:rsidRDefault="00DB7CAA" w14:paraId="7405284B"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DB7CAA" w:rsidTr="009C1076" w14:paraId="2786F29E" w14:textId="77777777">
        <w:trPr>
          <w:trHeight w:val="870"/>
        </w:trPr>
        <w:tc>
          <w:tcPr>
            <w:tcW w:w="8647" w:type="dxa"/>
          </w:tcPr>
          <w:p w:rsidR="00DB7CAA" w:rsidP="009C1076" w:rsidRDefault="00DB7CAA" w14:paraId="04E7AD1A" w14:textId="77777777">
            <w:pPr>
              <w:pStyle w:val="Prrafodelista"/>
              <w:widowControl w:val="0"/>
              <w:numPr>
                <w:ilvl w:val="0"/>
                <w:numId w:val="8"/>
              </w:numPr>
              <w:autoSpaceDE w:val="0"/>
              <w:autoSpaceDN w:val="0"/>
              <w:spacing w:after="120" w:line="276" w:lineRule="auto"/>
              <w:jc w:val="both"/>
              <w:rPr>
                <w:rFonts w:ascii="Verdana" w:hAnsi="Verdana" w:cs="Arial"/>
              </w:rPr>
            </w:pPr>
            <w:r w:rsidRPr="00E704D7">
              <w:rPr>
                <w:rFonts w:ascii="Verdana" w:hAnsi="Verdana" w:cs="Arial"/>
              </w:rPr>
              <w:t xml:space="preserve">Ley 80 de 1993, artículo 25. </w:t>
            </w:r>
          </w:p>
          <w:p w:rsidR="00DB7CAA" w:rsidP="009C1076" w:rsidRDefault="00DB7CAA" w14:paraId="46E868A1" w14:textId="77777777">
            <w:pPr>
              <w:pStyle w:val="Prrafodelista"/>
              <w:widowControl w:val="0"/>
              <w:numPr>
                <w:ilvl w:val="0"/>
                <w:numId w:val="8"/>
              </w:numPr>
              <w:autoSpaceDE w:val="0"/>
              <w:autoSpaceDN w:val="0"/>
              <w:spacing w:after="120" w:line="276" w:lineRule="auto"/>
              <w:jc w:val="both"/>
              <w:rPr>
                <w:rFonts w:ascii="Verdana" w:hAnsi="Verdana" w:cs="Arial"/>
              </w:rPr>
            </w:pPr>
            <w:r w:rsidRPr="00E704D7">
              <w:rPr>
                <w:rFonts w:ascii="Verdana" w:hAnsi="Verdana" w:cs="Arial"/>
              </w:rPr>
              <w:t>Decreto 1082 de 2015</w:t>
            </w:r>
            <w:r>
              <w:rPr>
                <w:rFonts w:ascii="Verdana" w:hAnsi="Verdana" w:cs="Arial"/>
              </w:rPr>
              <w:t>,</w:t>
            </w:r>
            <w:r w:rsidRPr="00E704D7">
              <w:rPr>
                <w:rFonts w:ascii="Verdana" w:hAnsi="Verdana" w:cs="Arial"/>
              </w:rPr>
              <w:t xml:space="preserve"> artículo</w:t>
            </w:r>
            <w:r>
              <w:rPr>
                <w:rFonts w:ascii="Verdana" w:hAnsi="Verdana" w:cs="Arial"/>
              </w:rPr>
              <w:t>s</w:t>
            </w:r>
            <w:r w:rsidRPr="00E704D7">
              <w:rPr>
                <w:rFonts w:ascii="Verdana" w:hAnsi="Verdana" w:cs="Arial"/>
              </w:rPr>
              <w:t xml:space="preserve"> 2.2.1.1.2.1.1</w:t>
            </w:r>
            <w:r>
              <w:rPr>
                <w:rFonts w:ascii="Verdana" w:hAnsi="Verdana" w:cs="Arial"/>
              </w:rPr>
              <w:t xml:space="preserve">. y </w:t>
            </w:r>
            <w:r w:rsidRPr="00E704D7">
              <w:rPr>
                <w:rFonts w:ascii="Verdana" w:hAnsi="Verdana" w:cs="Arial"/>
              </w:rPr>
              <w:t>artículo 2.2.1.1.1.6.1</w:t>
            </w:r>
            <w:r>
              <w:rPr>
                <w:rFonts w:ascii="Verdana" w:hAnsi="Verdana" w:cs="Arial"/>
              </w:rPr>
              <w:t>.</w:t>
            </w:r>
          </w:p>
          <w:p w:rsidR="00DB7CAA" w:rsidP="009C1076" w:rsidRDefault="00DB7CAA" w14:paraId="5D02CC71" w14:textId="77777777">
            <w:pPr>
              <w:pStyle w:val="Prrafodelista"/>
              <w:widowControl w:val="0"/>
              <w:numPr>
                <w:ilvl w:val="0"/>
                <w:numId w:val="8"/>
              </w:numPr>
              <w:autoSpaceDE w:val="0"/>
              <w:autoSpaceDN w:val="0"/>
              <w:spacing w:after="120" w:line="276" w:lineRule="auto"/>
              <w:jc w:val="both"/>
              <w:rPr>
                <w:rFonts w:ascii="Verdana" w:hAnsi="Verdana" w:cs="Arial"/>
              </w:rPr>
            </w:pPr>
            <w:r w:rsidRPr="003D37FC">
              <w:rPr>
                <w:rFonts w:ascii="Verdana" w:hAnsi="Verdana" w:cs="Arial"/>
                <w:lang w:val="es-CO"/>
              </w:rPr>
              <w:t xml:space="preserve">Consejo de Estado. Sección Tercera. Subsección B. Sentencia del 31 de agosto de 2011. </w:t>
            </w:r>
            <w:proofErr w:type="spellStart"/>
            <w:r w:rsidRPr="003D37FC">
              <w:rPr>
                <w:rFonts w:ascii="Verdana" w:hAnsi="Verdana" w:cs="Arial"/>
                <w:lang w:val="es-CO"/>
              </w:rPr>
              <w:t>Exp</w:t>
            </w:r>
            <w:proofErr w:type="spellEnd"/>
            <w:r w:rsidRPr="003D37FC">
              <w:rPr>
                <w:rFonts w:ascii="Verdana" w:hAnsi="Verdana" w:cs="Arial"/>
                <w:lang w:val="es-CO"/>
              </w:rPr>
              <w:t>. 18.080</w:t>
            </w:r>
            <w:r w:rsidRPr="00E704D7">
              <w:rPr>
                <w:rFonts w:ascii="Verdana" w:hAnsi="Verdana" w:cs="Arial"/>
                <w:lang w:val="es-CO"/>
              </w:rPr>
              <w:t>.</w:t>
            </w:r>
          </w:p>
          <w:p w:rsidR="00DB7CAA" w:rsidP="009C1076" w:rsidRDefault="00DB7CAA" w14:paraId="4F69F0BA" w14:textId="77777777">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08521E">
              <w:rPr>
                <w:rFonts w:ascii="Verdana" w:hAnsi="Verdana" w:cs="Arial"/>
              </w:rPr>
              <w:t xml:space="preserve">Guía de Elaboración de Estudios de Sector - GEES del 24 de junio de 2022. Disponible en: </w:t>
            </w:r>
            <w:r w:rsidRPr="0008521E">
              <w:t xml:space="preserve"> </w:t>
            </w:r>
            <w:r w:rsidRPr="0008521E">
              <w:rPr>
                <w:rFonts w:ascii="Verdana" w:hAnsi="Verdana" w:cs="Arial"/>
              </w:rPr>
              <w:t>chrome-extension://efaidnbmnnnibpcajpcglclefindmkaj/https://www.colombiacompra.gov.co/sites/cce_public/files/cce_documentos/cce-eicp-gi-18._gees_v.2_2.pdf</w:t>
            </w:r>
          </w:p>
          <w:p w:rsidRPr="00911BC5" w:rsidR="00DB7CAA" w:rsidP="009C1076" w:rsidRDefault="00DB7CAA" w14:paraId="2E44FC11" w14:textId="77777777">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3D37FC">
              <w:rPr>
                <w:rFonts w:ascii="Verdana" w:hAnsi="Verdana" w:cs="Arial"/>
              </w:rPr>
              <w:t>DEIK ACOSTAMADIEDO, Carolina, Guía de Contratación Estatal: Deber de planeación y modalidades de selección, Buenos Aires, 2015</w:t>
            </w:r>
            <w:r>
              <w:rPr>
                <w:rFonts w:ascii="Verdana" w:hAnsi="Verdana" w:cs="Arial"/>
              </w:rPr>
              <w:t>.</w:t>
            </w:r>
          </w:p>
        </w:tc>
      </w:tr>
    </w:tbl>
    <w:p w:rsidR="00DB7CAA" w:rsidP="00DB7CAA" w:rsidRDefault="00DB7CAA" w14:paraId="7F165416" w14:textId="77777777">
      <w:pPr>
        <w:pStyle w:val="Prrafodelista"/>
        <w:tabs>
          <w:tab w:val="left" w:pos="142"/>
          <w:tab w:val="left" w:pos="284"/>
        </w:tabs>
        <w:spacing w:after="0" w:line="276" w:lineRule="auto"/>
        <w:ind w:left="0"/>
        <w:contextualSpacing w:val="0"/>
        <w:jc w:val="both"/>
        <w:rPr>
          <w:rFonts w:ascii="Verdana" w:hAnsi="Verdana" w:eastAsia="Century Gothic" w:cs="Century Gothic"/>
          <w:b/>
          <w:bCs/>
          <w:lang w:val="es-CO"/>
        </w:rPr>
      </w:pPr>
    </w:p>
    <w:p w:rsidRPr="00593A5F" w:rsidR="00DB7CAA" w:rsidP="00DB7CAA" w:rsidRDefault="00DB7CAA" w14:paraId="16A4D525" w14:textId="77777777">
      <w:pPr>
        <w:pStyle w:val="Prrafodelista"/>
        <w:tabs>
          <w:tab w:val="left" w:pos="142"/>
          <w:tab w:val="left" w:pos="284"/>
        </w:tabs>
        <w:spacing w:after="0" w:line="276" w:lineRule="auto"/>
        <w:ind w:left="0"/>
        <w:contextualSpacing w:val="0"/>
        <w:jc w:val="both"/>
        <w:rPr>
          <w:rFonts w:ascii="Verdana" w:hAnsi="Verdana" w:eastAsia="Century Gothic" w:cs="Century Gothic"/>
          <w:b/>
          <w:bCs/>
        </w:rPr>
      </w:pPr>
      <w:r>
        <w:rPr>
          <w:rFonts w:ascii="Verdana" w:hAnsi="Verdana" w:eastAsia="Century Gothic" w:cs="Century Gothic"/>
          <w:b/>
          <w:bCs/>
          <w:lang w:val="es-CO"/>
        </w:rPr>
        <w:t xml:space="preserve">5. </w:t>
      </w: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00DB7CAA" w:rsidP="00DB7CAA" w:rsidRDefault="00DB7CAA" w14:paraId="4C919760" w14:textId="77777777">
      <w:pPr>
        <w:spacing w:after="0" w:line="276" w:lineRule="auto"/>
        <w:ind w:firstLine="709"/>
        <w:jc w:val="both"/>
        <w:rPr>
          <w:rFonts w:ascii="Verdana" w:hAnsi="Verdana" w:eastAsia="Times New Roman" w:cs="Arial"/>
          <w:szCs w:val="24"/>
          <w:lang w:val="es-ES" w:eastAsia="es-ES_tradnl"/>
        </w:rPr>
      </w:pPr>
    </w:p>
    <w:p w:rsidR="00DB7CAA" w:rsidP="00DB7CAA" w:rsidRDefault="00DB7CAA" w14:paraId="08691ACA" w14:textId="7777777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Pr>
          <w:rFonts w:ascii="Verdana" w:hAnsi="Verdana" w:eastAsia="Calibri" w:cs="Arial"/>
          <w:lang w:val="es-ES_tradnl" w:eastAsia="es-ES_tradnl"/>
        </w:rPr>
        <w:t>S</w:t>
      </w:r>
      <w:r w:rsidRPr="006D4F5F">
        <w:rPr>
          <w:rFonts w:ascii="Verdana" w:hAnsi="Verdana" w:eastAsia="Calibri" w:cs="Arial"/>
          <w:lang w:val="es-ES_tradnl" w:eastAsia="es-ES_tradnl"/>
        </w:rPr>
        <w:t xml:space="preserve">obre el deber de elaborar análisis del sector frente a procesos de contratación </w:t>
      </w:r>
      <w:r>
        <w:rPr>
          <w:rFonts w:ascii="Verdana" w:hAnsi="Verdana" w:eastAsia="Calibri" w:cs="Arial"/>
          <w:lang w:val="es-ES_tradnl" w:eastAsia="es-ES_tradnl"/>
        </w:rPr>
        <w:t xml:space="preserve">se pronunció esta Subdirección </w:t>
      </w:r>
      <w:r w:rsidRPr="006D4F5F">
        <w:rPr>
          <w:rFonts w:ascii="Verdana" w:hAnsi="Verdana" w:eastAsia="Calibri" w:cs="Arial"/>
          <w:lang w:val="es-ES_tradnl" w:eastAsia="es-ES_tradnl"/>
        </w:rPr>
        <w:t xml:space="preserve">en los conceptos 2202013000000037 del 7 de enero de 2020, C-223 del 29 de abril de 2020 y C-148 de 2021. Igualmente, se reiteran los Conceptos C-387 del 23 de junio de 2020, </w:t>
      </w:r>
      <w:r w:rsidRPr="006D4F5F">
        <w:rPr>
          <w:rFonts w:ascii="Verdana" w:hAnsi="Verdana" w:eastAsia="Calibri" w:cs="Arial"/>
          <w:lang w:eastAsia="es-ES_tradnl"/>
        </w:rPr>
        <w:t xml:space="preserve">C-415 del 7 de julio </w:t>
      </w:r>
      <w:r w:rsidRPr="006D4F5F">
        <w:rPr>
          <w:rFonts w:ascii="Verdana" w:hAnsi="Verdana" w:eastAsia="Calibri" w:cs="Arial"/>
          <w:lang w:val="es-ES_tradnl" w:eastAsia="es-ES_tradnl"/>
        </w:rPr>
        <w:t>de 2020</w:t>
      </w:r>
      <w:r w:rsidRPr="006D4F5F">
        <w:rPr>
          <w:rFonts w:ascii="Verdana" w:hAnsi="Verdana" w:eastAsia="Calibri" w:cs="Arial"/>
          <w:lang w:eastAsia="es-ES_tradnl"/>
        </w:rPr>
        <w:t xml:space="preserve">, C-443 del 7 de julio de 2020, </w:t>
      </w:r>
      <w:r w:rsidRPr="006D4F5F">
        <w:rPr>
          <w:rFonts w:ascii="Verdana" w:hAnsi="Verdana" w:eastAsia="Times New Roman" w:cs="Arial"/>
          <w:lang w:eastAsia="es-ES_tradnl"/>
        </w:rPr>
        <w:t>C-387 del 23 de junio de 2020</w:t>
      </w:r>
      <w:r w:rsidRPr="006D4F5F">
        <w:rPr>
          <w:rFonts w:ascii="Verdana" w:hAnsi="Verdana" w:eastAsia="Calibri" w:cs="Arial"/>
          <w:lang w:val="es-ES_tradnl" w:eastAsia="es-ES_tradnl"/>
        </w:rPr>
        <w:t xml:space="preserve">, C-223 del 29 de abril de 2020, C-671 de 2020 de 23 de noviembre de 2020, C-215 del 12 de mayo de 2021, C-742 del </w:t>
      </w:r>
      <w:r w:rsidRPr="006D4F5F">
        <w:rPr>
          <w:rFonts w:ascii="Verdana" w:hAnsi="Verdana" w:eastAsia="Calibri" w:cs="Arial"/>
          <w:lang w:val="es-ES_tradnl" w:eastAsia="es-ES_tradnl"/>
        </w:rPr>
        <w:lastRenderedPageBreak/>
        <w:t xml:space="preserve">27 de diciembre de 2021, </w:t>
      </w:r>
      <w:r w:rsidRPr="006D4F5F">
        <w:rPr>
          <w:rFonts w:ascii="Verdana" w:hAnsi="Verdana" w:eastAsia="Calibri" w:cs="Arial"/>
          <w:lang w:val="es-ES" w:eastAsia="es-ES_tradnl"/>
        </w:rPr>
        <w:t>C-519 del 13 de septiembre de 2022, C-716 del 15 de noviembre de 2022, C-856 del 13 de diciembre de 2022, y C-235 del 5 de julio de 202</w:t>
      </w:r>
      <w:r>
        <w:rPr>
          <w:rFonts w:ascii="Verdana" w:hAnsi="Verdana" w:eastAsia="Calibri" w:cs="Arial"/>
          <w:lang w:val="es-ES" w:eastAsia="es-ES_tradnl"/>
        </w:rPr>
        <w:t>3. Estos</w:t>
      </w:r>
      <w:r w:rsidRPr="00435993">
        <w:rPr>
          <w:rFonts w:ascii="Verdana" w:hAnsi="Verdana"/>
        </w:rPr>
        <w:t xml:space="preserve"> </w:t>
      </w:r>
      <w:r w:rsidRPr="00A1554D">
        <w:rPr>
          <w:rFonts w:ascii="Verdana" w:hAnsi="Verdana"/>
        </w:rPr>
        <w:t xml:space="preserve">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w:history="1" r:id="rId12">
        <w:r w:rsidRPr="00A1554D">
          <w:rPr>
            <w:rStyle w:val="Hipervnculo"/>
            <w:rFonts w:ascii="Verdana" w:hAnsi="Verdana" w:cs="Arial"/>
            <w:shd w:val="clear" w:color="auto" w:fill="FFFFFF"/>
            <w:lang w:val="es-ES"/>
          </w:rPr>
          <w:t>https://relatoria.colombiacompra.gov.co/busqueda/conceptos</w:t>
        </w:r>
      </w:hyperlink>
    </w:p>
    <w:p w:rsidR="00DB7CAA" w:rsidP="00DB7CAA" w:rsidRDefault="00DB7CAA" w14:paraId="433573DA" w14:textId="7777777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rsidR="00DB7CAA" w:rsidP="00DB7CAA" w:rsidRDefault="00DB7CAA" w14:paraId="74AA3C12"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3">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DB7CAA" w:rsidP="00DB7CAA" w:rsidRDefault="00DB7CAA" w14:paraId="41CF827D" w14:textId="77777777">
      <w:pPr>
        <w:spacing w:after="0" w:line="240" w:lineRule="auto"/>
        <w:jc w:val="both"/>
        <w:rPr>
          <w:rFonts w:ascii="Verdana" w:hAnsi="Verdana"/>
        </w:rPr>
      </w:pPr>
    </w:p>
    <w:p w:rsidRPr="003E2460" w:rsidR="00DB7CAA" w:rsidP="00DB7CAA" w:rsidRDefault="00DB7CAA" w14:paraId="50CDCA4E" w14:textId="7777777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DB7CAA" w:rsidP="00DB7CAA" w:rsidRDefault="00DB7CAA" w14:paraId="01D6E476" w14:textId="77777777">
      <w:pPr>
        <w:spacing w:after="0" w:line="240" w:lineRule="auto"/>
        <w:jc w:val="both"/>
        <w:rPr>
          <w:rFonts w:ascii="Verdana" w:hAnsi="Verdana"/>
        </w:rPr>
      </w:pPr>
    </w:p>
    <w:p w:rsidRPr="003E2460" w:rsidR="00DB7CAA" w:rsidP="00DB7CAA" w:rsidRDefault="00DB7CAA" w14:paraId="2C073957"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DB7CAA" w:rsidP="00DB7CAA" w:rsidRDefault="00DB7CAA" w14:paraId="2C2F9A79" w14:textId="77777777">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rsidRPr="003E2460" w:rsidR="00DB7CAA" w:rsidP="00DB7CAA" w:rsidRDefault="00DB7CAA" w14:paraId="3945D299"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DB7CAA" w:rsidP="00DB7CAA" w:rsidRDefault="00DB7CAA" w14:paraId="46AD0BBA" w14:textId="77777777">
      <w:pPr>
        <w:widowControl w:val="0"/>
        <w:autoSpaceDE w:val="0"/>
        <w:autoSpaceDN w:val="0"/>
        <w:spacing w:after="0" w:line="276" w:lineRule="auto"/>
        <w:jc w:val="both"/>
        <w:rPr>
          <w:rFonts w:ascii="Verdana" w:hAnsi="Verdana" w:cs="Arial"/>
        </w:rPr>
      </w:pPr>
    </w:p>
    <w:p w:rsidRPr="00593A5F" w:rsidR="00DB7CAA" w:rsidP="00DB7CAA" w:rsidRDefault="00DB7CAA" w14:paraId="77A7B7BB"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6D4F5F" w:rsidR="00DB7CAA" w:rsidP="00DB7CAA" w:rsidRDefault="00DB7CAA" w14:paraId="784086FA" w14:textId="77777777">
      <w:pPr>
        <w:spacing w:after="0" w:line="276" w:lineRule="auto"/>
        <w:ind w:firstLine="709"/>
        <w:jc w:val="both"/>
        <w:rPr>
          <w:rFonts w:ascii="Verdana" w:hAnsi="Verdana" w:eastAsia="Times New Roman" w:cs="Arial"/>
          <w:szCs w:val="24"/>
          <w:lang w:val="es-ES_tradnl" w:eastAsia="es-ES_tradnl"/>
        </w:rPr>
      </w:pPr>
    </w:p>
    <w:p w:rsidRPr="006D4F5F" w:rsidR="00DB7CAA" w:rsidP="00DB7CAA" w:rsidRDefault="00DB7CAA" w14:paraId="5E87235F" w14:textId="77777777">
      <w:pPr>
        <w:spacing w:after="0" w:line="276" w:lineRule="auto"/>
        <w:jc w:val="both"/>
        <w:rPr>
          <w:rFonts w:ascii="Verdana" w:hAnsi="Verdana" w:eastAsia="Times New Roman" w:cs="Arial"/>
          <w:lang w:val="es-ES_tradnl" w:eastAsia="es-CO"/>
        </w:rPr>
      </w:pPr>
      <w:bookmarkStart w:name="_Hlk117695077" w:id="11"/>
      <w:r w:rsidRPr="006D4F5F">
        <w:rPr>
          <w:rFonts w:ascii="Verdana" w:hAnsi="Verdana" w:eastAsia="Times New Roman" w:cs="Arial"/>
          <w:lang w:val="es-ES_tradnl" w:eastAsia="es-CO"/>
        </w:rPr>
        <w:t>Atentamente,</w:t>
      </w:r>
    </w:p>
    <w:bookmarkEnd w:id="11"/>
    <w:p w:rsidRPr="006D4F5F" w:rsidR="00DB7CAA" w:rsidP="00DB7CAA" w:rsidRDefault="005F4F0B" w14:paraId="0164EBC7" w14:textId="6B9741F8">
      <w:pPr>
        <w:spacing w:after="18" w:line="240" w:lineRule="auto"/>
        <w:jc w:val="center"/>
        <w:rPr>
          <w:rFonts w:ascii="Verdana" w:hAnsi="Verdana" w:eastAsia="Times New Roman" w:cs="Arial"/>
          <w:sz w:val="24"/>
          <w:szCs w:val="24"/>
          <w:lang w:eastAsia="es-CO"/>
        </w:rPr>
      </w:pPr>
      <w:r w:rsidRPr="002C3AD6">
        <w:rPr>
          <w:rFonts w:ascii="Century Gothic" w:hAnsi="Century Gothic"/>
          <w:noProof/>
        </w:rPr>
        <w:drawing>
          <wp:inline distT="0" distB="0" distL="0" distR="0" wp14:anchorId="00C46850" wp14:editId="09E264C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p w:rsidRPr="006D4F5F" w:rsidR="00DB7CAA" w:rsidP="00DB7CAA" w:rsidRDefault="00DB7CAA" w14:paraId="17B5D2DD" w14:textId="77777777">
      <w:pPr>
        <w:spacing w:after="18" w:line="240" w:lineRule="auto"/>
        <w:jc w:val="center"/>
        <w:rPr>
          <w:rFonts w:ascii="Verdana" w:hAnsi="Verdana" w:eastAsia="Times New Roman" w:cs="Arial"/>
          <w:sz w:val="24"/>
          <w:szCs w:val="24"/>
          <w:lang w:eastAsia="es-CO"/>
        </w:rPr>
      </w:pPr>
    </w:p>
    <w:tbl>
      <w:tblPr>
        <w:tblStyle w:val="Tablaconcuadrcula1"/>
        <w:tblpPr w:leftFromText="141" w:rightFromText="141" w:vertAnchor="text" w:horzAnchor="margin" w:tblpY="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31"/>
        <w:gridCol w:w="5816"/>
      </w:tblGrid>
      <w:tr w:rsidRPr="006D4F5F" w:rsidR="00DB7CAA" w:rsidTr="235A4959" w14:paraId="0D0D53A0" w14:textId="77777777">
        <w:trPr>
          <w:trHeight w:val="351"/>
        </w:trPr>
        <w:tc>
          <w:tcPr>
            <w:tcW w:w="1231" w:type="dxa"/>
            <w:tcMar/>
            <w:vAlign w:val="center"/>
            <w:hideMark/>
          </w:tcPr>
          <w:p w:rsidRPr="006D4F5F" w:rsidR="00DB7CAA" w:rsidP="009C1076" w:rsidRDefault="00DB7CAA" w14:paraId="35672A26"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Elaboró:</w:t>
            </w:r>
          </w:p>
        </w:tc>
        <w:tc>
          <w:tcPr>
            <w:tcW w:w="5816" w:type="dxa"/>
            <w:tcBorders>
              <w:top w:val="nil"/>
              <w:left w:val="nil"/>
              <w:bottom w:val="dotted" w:color="7F7F7F" w:themeColor="text1" w:themeTint="80" w:sz="4" w:space="0"/>
              <w:right w:val="nil"/>
            </w:tcBorders>
            <w:tcMar/>
            <w:vAlign w:val="center"/>
            <w:hideMark/>
          </w:tcPr>
          <w:p w:rsidRPr="006D4F5F" w:rsidR="00DB7CAA" w:rsidP="235A4959" w:rsidRDefault="003036DC" w14:paraId="51C8CC2F" w14:textId="0BF6AC4A" w14:noSpellErr="1">
            <w:pPr>
              <w:rPr>
                <w:rFonts w:ascii="Verdana" w:hAnsi="Verdana" w:eastAsia="Times New Roman" w:cs="Arial"/>
                <w:sz w:val="16"/>
                <w:szCs w:val="16"/>
                <w:lang w:val="es-ES" w:eastAsia="es-ES"/>
              </w:rPr>
            </w:pPr>
            <w:r w:rsidRPr="235A4959" w:rsidR="003036DC">
              <w:rPr>
                <w:rFonts w:ascii="Verdana" w:hAnsi="Verdana" w:eastAsia="Times New Roman" w:cs="Arial"/>
                <w:sz w:val="16"/>
                <w:szCs w:val="16"/>
                <w:lang w:val="es-ES" w:eastAsia="es-ES"/>
              </w:rPr>
              <w:t>Richard Andrés Montenegro Siefken</w:t>
            </w:r>
          </w:p>
          <w:p w:rsidRPr="006D4F5F" w:rsidR="00DB7CAA" w:rsidP="009C1076" w:rsidRDefault="003036DC" w14:paraId="1F4DF71A" w14:textId="7BE2F178">
            <w:pPr>
              <w:rPr>
                <w:rFonts w:ascii="Verdana" w:hAnsi="Verdana" w:eastAsia="Times New Roman" w:cs="Arial"/>
                <w:sz w:val="14"/>
                <w:szCs w:val="14"/>
                <w:lang w:eastAsia="es-ES"/>
              </w:rPr>
            </w:pPr>
            <w:r>
              <w:rPr>
                <w:rFonts w:ascii="Verdana" w:hAnsi="Verdana" w:eastAsia="Times New Roman" w:cs="Arial"/>
                <w:sz w:val="16"/>
                <w:szCs w:val="16"/>
                <w:lang w:eastAsia="es-ES"/>
              </w:rPr>
              <w:t>Contratista</w:t>
            </w:r>
            <w:r w:rsidRPr="006D4F5F" w:rsidR="00DB7CAA">
              <w:rPr>
                <w:rFonts w:ascii="Verdana" w:hAnsi="Verdana" w:eastAsia="Times New Roman" w:cs="Arial"/>
                <w:sz w:val="16"/>
                <w:szCs w:val="16"/>
                <w:lang w:eastAsia="es-ES"/>
              </w:rPr>
              <w:t xml:space="preserve"> de la Subdirección de Gestión Contractual</w:t>
            </w:r>
          </w:p>
        </w:tc>
      </w:tr>
      <w:tr w:rsidRPr="006D4F5F" w:rsidR="00DB7CAA" w:rsidTr="235A4959" w14:paraId="1DF668E5" w14:textId="77777777">
        <w:trPr>
          <w:trHeight w:val="367"/>
        </w:trPr>
        <w:tc>
          <w:tcPr>
            <w:tcW w:w="1231" w:type="dxa"/>
            <w:tcMar/>
            <w:vAlign w:val="center"/>
            <w:hideMark/>
          </w:tcPr>
          <w:p w:rsidRPr="006D4F5F" w:rsidR="00DB7CAA" w:rsidP="009C1076" w:rsidRDefault="00DB7CAA" w14:paraId="534DD6EC"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Revisó:</w:t>
            </w:r>
          </w:p>
        </w:tc>
        <w:tc>
          <w:tcPr>
            <w:tcW w:w="5816" w:type="dxa"/>
            <w:tcBorders>
              <w:top w:val="dotted" w:color="7F7F7F" w:themeColor="text1" w:themeTint="80" w:sz="4" w:space="0"/>
              <w:left w:val="nil"/>
              <w:bottom w:val="dotted" w:color="7F7F7F" w:themeColor="text1" w:themeTint="80" w:sz="4" w:space="0"/>
              <w:right w:val="nil"/>
            </w:tcBorders>
            <w:tcMar/>
            <w:vAlign w:val="center"/>
            <w:hideMark/>
          </w:tcPr>
          <w:p w:rsidRPr="006D4F5F" w:rsidR="00DB7CAA" w:rsidP="235A4959" w:rsidRDefault="003036DC" w14:paraId="6C3B059B" w14:textId="78BD59A8">
            <w:pPr>
              <w:rPr>
                <w:rFonts w:ascii="Verdana" w:hAnsi="Verdana" w:eastAsia="Times New Roman" w:cs="Arial"/>
                <w:sz w:val="16"/>
                <w:szCs w:val="16"/>
                <w:lang w:val="es-ES" w:eastAsia="es-ES"/>
              </w:rPr>
            </w:pPr>
            <w:r w:rsidRPr="235A4959" w:rsidR="003036DC">
              <w:rPr>
                <w:rFonts w:ascii="Verdana" w:hAnsi="Verdana" w:eastAsia="Times New Roman" w:cs="Arial"/>
                <w:sz w:val="16"/>
                <w:szCs w:val="16"/>
                <w:lang w:val="es-ES" w:eastAsia="es-ES"/>
              </w:rPr>
              <w:t xml:space="preserve">Libardo Alberto </w:t>
            </w:r>
            <w:r w:rsidRPr="235A4959" w:rsidR="003036DC">
              <w:rPr>
                <w:rFonts w:ascii="Verdana" w:hAnsi="Verdana" w:eastAsia="Times New Roman" w:cs="Arial"/>
                <w:sz w:val="16"/>
                <w:szCs w:val="16"/>
                <w:lang w:val="es-ES" w:eastAsia="es-ES"/>
              </w:rPr>
              <w:t>Verjel</w:t>
            </w:r>
            <w:r w:rsidRPr="235A4959" w:rsidR="003036DC">
              <w:rPr>
                <w:rFonts w:ascii="Verdana" w:hAnsi="Verdana" w:eastAsia="Times New Roman" w:cs="Arial"/>
                <w:sz w:val="16"/>
                <w:szCs w:val="16"/>
                <w:lang w:val="es-ES" w:eastAsia="es-ES"/>
              </w:rPr>
              <w:t xml:space="preserve"> di </w:t>
            </w:r>
            <w:r w:rsidRPr="235A4959" w:rsidR="003036DC">
              <w:rPr>
                <w:rFonts w:ascii="Verdana" w:hAnsi="Verdana" w:eastAsia="Times New Roman" w:cs="Arial"/>
                <w:sz w:val="16"/>
                <w:szCs w:val="16"/>
                <w:lang w:val="es-ES" w:eastAsia="es-ES"/>
              </w:rPr>
              <w:t>Filippis</w:t>
            </w:r>
          </w:p>
          <w:p w:rsidRPr="006D4F5F" w:rsidR="00DB7CAA" w:rsidP="009C1076" w:rsidRDefault="003036DC" w14:paraId="2F52FE66" w14:textId="7F240B1D">
            <w:pPr>
              <w:rPr>
                <w:rFonts w:ascii="Verdana" w:hAnsi="Verdana" w:eastAsia="Times New Roman" w:cs="Arial"/>
                <w:sz w:val="14"/>
                <w:szCs w:val="14"/>
                <w:lang w:eastAsia="es-ES"/>
              </w:rPr>
            </w:pPr>
            <w:r>
              <w:rPr>
                <w:rFonts w:ascii="Verdana" w:hAnsi="Verdana" w:eastAsia="Times New Roman" w:cs="Arial"/>
                <w:sz w:val="16"/>
                <w:szCs w:val="16"/>
                <w:lang w:eastAsia="es-ES"/>
              </w:rPr>
              <w:t xml:space="preserve">Asesor Experto </w:t>
            </w:r>
            <w:r w:rsidRPr="006D4F5F" w:rsidR="00DB7CAA">
              <w:rPr>
                <w:rFonts w:ascii="Verdana" w:hAnsi="Verdana" w:eastAsia="Times New Roman" w:cs="Arial"/>
                <w:sz w:val="16"/>
                <w:szCs w:val="16"/>
                <w:lang w:eastAsia="es-ES"/>
              </w:rPr>
              <w:t>de la Subdirección de Gestión Contractual</w:t>
            </w:r>
          </w:p>
        </w:tc>
      </w:tr>
      <w:tr w:rsidRPr="006D4F5F" w:rsidR="00DB7CAA" w:rsidTr="235A4959" w14:paraId="41D414A8" w14:textId="77777777">
        <w:trPr>
          <w:trHeight w:val="334"/>
        </w:trPr>
        <w:tc>
          <w:tcPr>
            <w:tcW w:w="1231" w:type="dxa"/>
            <w:tcMar/>
            <w:vAlign w:val="center"/>
            <w:hideMark/>
          </w:tcPr>
          <w:p w:rsidRPr="006D4F5F" w:rsidR="00DB7CAA" w:rsidP="009C1076" w:rsidRDefault="00DB7CAA" w14:paraId="1122EADE"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Aprobó:</w:t>
            </w:r>
          </w:p>
        </w:tc>
        <w:tc>
          <w:tcPr>
            <w:tcW w:w="5816" w:type="dxa"/>
            <w:tcBorders>
              <w:top w:val="dotted" w:color="7F7F7F" w:themeColor="text1" w:themeTint="80" w:sz="4" w:space="0"/>
              <w:left w:val="nil"/>
              <w:bottom w:val="dotted" w:color="7F7F7F" w:themeColor="text1" w:themeTint="80" w:sz="4" w:space="0"/>
              <w:right w:val="nil"/>
            </w:tcBorders>
            <w:tcMar/>
            <w:vAlign w:val="center"/>
            <w:hideMark/>
          </w:tcPr>
          <w:p w:rsidRPr="006D4F5F" w:rsidR="00DB7CAA" w:rsidP="009C1076" w:rsidRDefault="00DB7CAA" w14:paraId="0398F9AE" w14:textId="77777777">
            <w:pPr>
              <w:rPr>
                <w:rFonts w:ascii="Verdana" w:hAnsi="Verdana" w:eastAsia="Times New Roman" w:cs="Arial"/>
                <w:sz w:val="16"/>
                <w:szCs w:val="16"/>
                <w:lang w:eastAsia="es-ES"/>
              </w:rPr>
            </w:pPr>
            <w:r w:rsidRPr="006D4F5F">
              <w:rPr>
                <w:rFonts w:ascii="Verdana" w:hAnsi="Verdana" w:eastAsia="Times New Roman" w:cs="Arial"/>
                <w:sz w:val="16"/>
                <w:szCs w:val="16"/>
                <w:lang w:eastAsia="es-ES"/>
              </w:rPr>
              <w:t xml:space="preserve">Carolina Quintero </w:t>
            </w:r>
            <w:proofErr w:type="spellStart"/>
            <w:r w:rsidRPr="006D4F5F">
              <w:rPr>
                <w:rFonts w:ascii="Verdana" w:hAnsi="Verdana" w:eastAsia="Times New Roman" w:cs="Arial"/>
                <w:sz w:val="16"/>
                <w:szCs w:val="16"/>
                <w:lang w:eastAsia="es-ES"/>
              </w:rPr>
              <w:t>Gacharná</w:t>
            </w:r>
            <w:proofErr w:type="spellEnd"/>
          </w:p>
          <w:p w:rsidRPr="006D4F5F" w:rsidR="00DB7CAA" w:rsidP="009C1076" w:rsidRDefault="00DB7CAA" w14:paraId="1EAF3013" w14:textId="77777777">
            <w:pPr>
              <w:rPr>
                <w:rFonts w:ascii="Verdana" w:hAnsi="Verdana" w:eastAsia="Times New Roman" w:cs="Arial"/>
                <w:sz w:val="14"/>
                <w:szCs w:val="14"/>
                <w:lang w:eastAsia="es-ES"/>
              </w:rPr>
            </w:pPr>
            <w:r w:rsidRPr="006D4F5F">
              <w:rPr>
                <w:rFonts w:ascii="Verdana" w:hAnsi="Verdana" w:eastAsia="Times New Roman" w:cs="Arial"/>
                <w:sz w:val="16"/>
                <w:szCs w:val="16"/>
                <w:lang w:eastAsia="es-ES"/>
              </w:rPr>
              <w:t>Subdirectora de Gestión Contractual ANCP – CCE</w:t>
            </w:r>
          </w:p>
        </w:tc>
      </w:tr>
    </w:tbl>
    <w:p w:rsidRPr="006D4F5F" w:rsidR="00DB7CAA" w:rsidP="00DB7CAA" w:rsidRDefault="00DB7CAA" w14:paraId="00293D03" w14:textId="77777777">
      <w:pPr>
        <w:spacing w:after="0" w:line="276" w:lineRule="auto"/>
        <w:jc w:val="both"/>
        <w:rPr>
          <w:rFonts w:ascii="Verdana" w:hAnsi="Verdana" w:eastAsia="Times New Roman" w:cs="Arial"/>
          <w:lang w:val="es-ES_tradnl"/>
        </w:rPr>
      </w:pPr>
    </w:p>
    <w:p w:rsidRPr="006D4F5F" w:rsidR="00DB7CAA" w:rsidP="00DB7CAA" w:rsidRDefault="00DB7CAA" w14:paraId="4916569C" w14:textId="77777777">
      <w:pPr>
        <w:spacing w:after="0" w:line="240" w:lineRule="auto"/>
        <w:rPr>
          <w:rFonts w:ascii="Verdana" w:hAnsi="Verdana" w:eastAsia="Times New Roman" w:cs="Arial"/>
          <w:sz w:val="24"/>
          <w:szCs w:val="24"/>
          <w:lang w:eastAsia="es-ES_tradnl"/>
        </w:rPr>
      </w:pPr>
    </w:p>
    <w:p w:rsidRPr="006D4F5F" w:rsidR="00DB7CAA" w:rsidP="00DB7CAA" w:rsidRDefault="00DB7CAA" w14:paraId="79057330" w14:textId="77777777">
      <w:pPr>
        <w:rPr>
          <w:rFonts w:ascii="Verdana" w:hAnsi="Verdana"/>
        </w:rPr>
      </w:pPr>
    </w:p>
    <w:p w:rsidRPr="00506765" w:rsidR="00C330EB" w:rsidP="00C330EB" w:rsidRDefault="00C330EB" w14:paraId="6D20F886" w14:textId="77777777">
      <w:pPr>
        <w:pStyle w:val="Prrafodelista"/>
        <w:spacing w:after="0"/>
        <w:jc w:val="both"/>
        <w:rPr>
          <w:rFonts w:ascii="Verdana" w:hAnsi="Verdana" w:eastAsia="Times New Roman" w:cs="Arial"/>
          <w:color w:val="4E4D4D"/>
          <w:lang w:val="es-CO" w:eastAsia="es-ES"/>
        </w:rPr>
      </w:pPr>
    </w:p>
    <w:p w:rsidRPr="00A211EE" w:rsidR="00C330EB" w:rsidP="00C330EB" w:rsidRDefault="00C330EB" w14:paraId="24EB2BFC" w14:textId="77777777">
      <w:pPr>
        <w:jc w:val="both"/>
        <w:rPr>
          <w:rFonts w:ascii="Verdana" w:hAnsi="Verdana"/>
        </w:rPr>
      </w:pPr>
    </w:p>
    <w:p w:rsidRPr="00A211EE" w:rsidR="00C330EB" w:rsidP="00C330EB" w:rsidRDefault="00C330EB" w14:paraId="6D032D66" w14:textId="77777777">
      <w:pPr>
        <w:spacing w:after="0" w:line="240" w:lineRule="auto"/>
        <w:rPr>
          <w:rFonts w:ascii="Verdana" w:hAnsi="Verdana"/>
          <w:b/>
          <w:color w:val="404040" w:themeColor="text1" w:themeTint="BF"/>
        </w:rPr>
      </w:pPr>
    </w:p>
    <w:p w:rsidRPr="00A211EE" w:rsidR="008F0EA7" w:rsidP="00C330EB" w:rsidRDefault="008F0EA7" w14:paraId="5003D95C" w14:textId="77777777">
      <w:pPr>
        <w:spacing w:after="0" w:line="240" w:lineRule="auto"/>
        <w:rPr>
          <w:rFonts w:ascii="Verdana" w:hAnsi="Verdana"/>
          <w:b/>
          <w:color w:val="404040" w:themeColor="text1" w:themeTint="BF"/>
        </w:rPr>
      </w:pPr>
    </w:p>
    <w:p w:rsidRPr="00A211EE" w:rsidR="008F0EA7" w:rsidP="00C330EB" w:rsidRDefault="008F0EA7" w14:paraId="7C18F283" w14:textId="77777777">
      <w:pPr>
        <w:spacing w:after="0" w:line="240" w:lineRule="auto"/>
        <w:rPr>
          <w:rFonts w:ascii="Verdana" w:hAnsi="Verdana"/>
          <w:b/>
          <w:color w:val="404040" w:themeColor="text1" w:themeTint="BF"/>
        </w:rPr>
      </w:pPr>
    </w:p>
    <w:tbl>
      <w:tblPr>
        <w:tblW w:w="8931" w:type="dxa"/>
        <w:tblInd w:w="-5" w:type="dxa"/>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Look w:val="04A0" w:firstRow="1" w:lastRow="0" w:firstColumn="1" w:lastColumn="0" w:noHBand="0" w:noVBand="1"/>
      </w:tblPr>
      <w:tblGrid>
        <w:gridCol w:w="970"/>
        <w:gridCol w:w="2188"/>
        <w:gridCol w:w="1157"/>
        <w:gridCol w:w="1068"/>
        <w:gridCol w:w="1585"/>
        <w:gridCol w:w="1963"/>
      </w:tblGrid>
      <w:tr w:rsidRPr="00A211EE" w:rsidR="008F0EA7" w:rsidTr="00A211EE" w14:paraId="6C9A2FCC" w14:textId="77777777">
        <w:trPr>
          <w:trHeight w:val="300"/>
        </w:trPr>
        <w:tc>
          <w:tcPr>
            <w:tcW w:w="8931" w:type="dxa"/>
            <w:gridSpan w:val="6"/>
            <w:shd w:val="clear" w:color="auto" w:fill="7F7F7F" w:themeFill="text1" w:themeFillTint="80"/>
            <w:vAlign w:val="center"/>
            <w:hideMark/>
          </w:tcPr>
          <w:p w:rsidRPr="00A211EE" w:rsidR="008F0EA7" w:rsidP="00B83CFC" w:rsidRDefault="008F0EA7" w14:paraId="644956F7" w14:textId="53572E30">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CONTROL DE CAMBIOS</w:t>
            </w:r>
            <w:r w:rsidRPr="00A211EE" w:rsidR="001E4177">
              <w:rPr>
                <w:rFonts w:ascii="Verdana" w:hAnsi="Verdana" w:eastAsia="Times New Roman" w:cs="Calibri"/>
                <w:b/>
                <w:bCs/>
                <w:color w:val="FFFFFF"/>
                <w:sz w:val="16"/>
                <w:szCs w:val="16"/>
                <w:lang w:eastAsia="es-CO"/>
              </w:rPr>
              <w:t xml:space="preserve"> DEL DOCUEMTO </w:t>
            </w:r>
          </w:p>
        </w:tc>
      </w:tr>
      <w:tr w:rsidRPr="00A211EE" w:rsidR="008F0EA7" w:rsidTr="00A211EE" w14:paraId="7B4F5368" w14:textId="77777777">
        <w:trPr>
          <w:trHeight w:val="300"/>
        </w:trPr>
        <w:tc>
          <w:tcPr>
            <w:tcW w:w="810" w:type="dxa"/>
            <w:shd w:val="clear" w:color="auto" w:fill="7F7F7F" w:themeFill="text1" w:themeFillTint="80"/>
            <w:vAlign w:val="center"/>
            <w:hideMark/>
          </w:tcPr>
          <w:p w:rsidRPr="00A211EE" w:rsidR="008F0EA7" w:rsidP="00B83CFC" w:rsidRDefault="008F0EA7" w14:paraId="72289ECA"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VERSION</w:t>
            </w:r>
          </w:p>
        </w:tc>
        <w:tc>
          <w:tcPr>
            <w:tcW w:w="2256" w:type="dxa"/>
            <w:shd w:val="clear" w:color="auto" w:fill="7F7F7F" w:themeFill="text1" w:themeFillTint="80"/>
            <w:vAlign w:val="center"/>
            <w:hideMark/>
          </w:tcPr>
          <w:p w:rsidRPr="00A211EE" w:rsidR="008F0EA7" w:rsidP="00B83CFC" w:rsidRDefault="008F0EA7" w14:paraId="1B60AAFD"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AJUSTES</w:t>
            </w:r>
          </w:p>
        </w:tc>
        <w:tc>
          <w:tcPr>
            <w:tcW w:w="1160" w:type="dxa"/>
            <w:shd w:val="clear" w:color="auto" w:fill="7F7F7F" w:themeFill="text1" w:themeFillTint="80"/>
            <w:vAlign w:val="center"/>
            <w:hideMark/>
          </w:tcPr>
          <w:p w:rsidRPr="00A211EE" w:rsidR="008F0EA7" w:rsidP="00B83CFC" w:rsidRDefault="008F0EA7" w14:paraId="668C6C46"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FECHA</w:t>
            </w:r>
          </w:p>
        </w:tc>
        <w:tc>
          <w:tcPr>
            <w:tcW w:w="2692" w:type="dxa"/>
            <w:gridSpan w:val="2"/>
            <w:shd w:val="clear" w:color="auto" w:fill="7F7F7F" w:themeFill="text1" w:themeFillTint="80"/>
            <w:vAlign w:val="center"/>
            <w:hideMark/>
          </w:tcPr>
          <w:p w:rsidRPr="00A211EE" w:rsidR="008F0EA7" w:rsidP="00B83CFC" w:rsidRDefault="008F0EA7" w14:paraId="34229465"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VERSIÓN</w:t>
            </w:r>
          </w:p>
        </w:tc>
        <w:tc>
          <w:tcPr>
            <w:tcW w:w="2013" w:type="dxa"/>
            <w:shd w:val="clear" w:color="000000" w:fill="FFFFFF"/>
            <w:vAlign w:val="center"/>
            <w:hideMark/>
          </w:tcPr>
          <w:p w:rsidRPr="00A211EE" w:rsidR="008F0EA7" w:rsidP="00B83CFC" w:rsidRDefault="008F0EA7" w14:paraId="2DA3ADCD" w14:textId="18F1D3BF">
            <w:pPr>
              <w:spacing w:after="0" w:line="240" w:lineRule="auto"/>
              <w:jc w:val="center"/>
              <w:rPr>
                <w:rFonts w:ascii="Verdana" w:hAnsi="Verdana" w:eastAsia="Times New Roman" w:cs="Calibri"/>
                <w:b/>
                <w:bCs/>
                <w:color w:val="46589C"/>
                <w:sz w:val="16"/>
                <w:szCs w:val="16"/>
                <w:lang w:eastAsia="es-CO"/>
              </w:rPr>
            </w:pPr>
            <w:r w:rsidRPr="00A211EE">
              <w:rPr>
                <w:rFonts w:ascii="Verdana" w:hAnsi="Verdana" w:eastAsia="Times New Roman" w:cs="Calibri"/>
                <w:b/>
                <w:bCs/>
                <w:sz w:val="16"/>
                <w:szCs w:val="16"/>
                <w:lang w:eastAsia="es-CO"/>
              </w:rPr>
              <w:t>0</w:t>
            </w:r>
            <w:r w:rsidRPr="00A211EE" w:rsidR="003A779E">
              <w:rPr>
                <w:rFonts w:ascii="Verdana" w:hAnsi="Verdana" w:eastAsia="Times New Roman" w:cs="Calibri"/>
                <w:b/>
                <w:bCs/>
                <w:sz w:val="16"/>
                <w:szCs w:val="16"/>
                <w:lang w:eastAsia="es-CO"/>
              </w:rPr>
              <w:t>1</w:t>
            </w:r>
          </w:p>
        </w:tc>
      </w:tr>
      <w:tr w:rsidRPr="00A211EE" w:rsidR="008F0EA7" w:rsidTr="00A211EE" w14:paraId="14E74F51" w14:textId="77777777">
        <w:trPr>
          <w:trHeight w:val="300"/>
        </w:trPr>
        <w:tc>
          <w:tcPr>
            <w:tcW w:w="810" w:type="dxa"/>
            <w:vMerge w:val="restart"/>
            <w:shd w:val="clear" w:color="auto" w:fill="auto"/>
            <w:vAlign w:val="center"/>
            <w:hideMark/>
          </w:tcPr>
          <w:p w:rsidRPr="00A211EE" w:rsidR="008F0EA7" w:rsidP="00B83CFC" w:rsidRDefault="008F0EA7" w14:paraId="2D3FB6FE" w14:textId="7181A92A">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01</w:t>
            </w:r>
          </w:p>
        </w:tc>
        <w:tc>
          <w:tcPr>
            <w:tcW w:w="2256" w:type="dxa"/>
            <w:vMerge w:val="restart"/>
            <w:shd w:val="clear" w:color="auto" w:fill="auto"/>
            <w:vAlign w:val="center"/>
            <w:hideMark/>
          </w:tcPr>
          <w:p w:rsidRPr="00A211EE" w:rsidR="008F0EA7" w:rsidP="00B83CFC" w:rsidRDefault="008F0EA7" w14:paraId="005BEBA5" w14:textId="4E7936F4">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Creación de formato</w:t>
            </w:r>
          </w:p>
        </w:tc>
        <w:tc>
          <w:tcPr>
            <w:tcW w:w="1160" w:type="dxa"/>
            <w:vMerge w:val="restart"/>
            <w:shd w:val="clear" w:color="auto" w:fill="auto"/>
            <w:vAlign w:val="center"/>
            <w:hideMark/>
          </w:tcPr>
          <w:p w:rsidRPr="00A211EE" w:rsidR="008F0EA7" w:rsidP="00B83CFC" w:rsidRDefault="008F0EA7" w14:paraId="7E322630" w14:textId="6DDC6998">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15/06/2023</w:t>
            </w:r>
          </w:p>
        </w:tc>
        <w:tc>
          <w:tcPr>
            <w:tcW w:w="1081" w:type="dxa"/>
            <w:shd w:val="clear" w:color="auto" w:fill="7F7F7F" w:themeFill="text1" w:themeFillTint="80"/>
            <w:vAlign w:val="center"/>
            <w:hideMark/>
          </w:tcPr>
          <w:p w:rsidRPr="00A211EE" w:rsidR="008F0EA7" w:rsidP="00B83CFC" w:rsidRDefault="008F0EA7" w14:paraId="64F00D80"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Elaboró</w:t>
            </w:r>
          </w:p>
        </w:tc>
        <w:tc>
          <w:tcPr>
            <w:tcW w:w="1611" w:type="dxa"/>
            <w:shd w:val="clear" w:color="auto" w:fill="auto"/>
            <w:vAlign w:val="center"/>
            <w:hideMark/>
          </w:tcPr>
          <w:p w:rsidRPr="00A211EE" w:rsidR="008F0EA7" w:rsidP="008F0EA7" w:rsidRDefault="008F0EA7" w14:paraId="16004DEC" w14:textId="77777777">
            <w:pPr>
              <w:spacing w:line="254" w:lineRule="auto"/>
              <w:jc w:val="center"/>
              <w:rPr>
                <w:rFonts w:ascii="Verdana" w:hAnsi="Verdana"/>
                <w:sz w:val="16"/>
                <w:szCs w:val="16"/>
              </w:rPr>
            </w:pPr>
            <w:r w:rsidRPr="00A211EE">
              <w:rPr>
                <w:rFonts w:ascii="Verdana" w:hAnsi="Verdana"/>
                <w:sz w:val="16"/>
                <w:szCs w:val="16"/>
              </w:rPr>
              <w:t xml:space="preserve">Diana Carolina Montenegro </w:t>
            </w:r>
          </w:p>
          <w:p w:rsidRPr="00A211EE" w:rsidR="008F0EA7" w:rsidP="00B83CFC" w:rsidRDefault="008F0EA7" w14:paraId="6842D053" w14:textId="2625DF9D">
            <w:pPr>
              <w:spacing w:after="0" w:line="240" w:lineRule="auto"/>
              <w:jc w:val="center"/>
              <w:rPr>
                <w:rFonts w:ascii="Verdana" w:hAnsi="Verdana" w:eastAsia="Times New Roman" w:cs="Calibri"/>
                <w:sz w:val="16"/>
                <w:szCs w:val="16"/>
                <w:lang w:eastAsia="es-CO"/>
              </w:rPr>
            </w:pPr>
          </w:p>
        </w:tc>
        <w:tc>
          <w:tcPr>
            <w:tcW w:w="2013" w:type="dxa"/>
            <w:shd w:val="clear" w:color="auto" w:fill="auto"/>
            <w:vAlign w:val="center"/>
            <w:hideMark/>
          </w:tcPr>
          <w:p w:rsidRPr="00A211EE" w:rsidR="008F0EA7" w:rsidP="00B83CFC" w:rsidRDefault="008F0EA7" w14:paraId="663EDE69" w14:textId="77777777">
            <w:pPr>
              <w:spacing w:after="0" w:line="240" w:lineRule="auto"/>
              <w:jc w:val="center"/>
              <w:rPr>
                <w:rFonts w:ascii="Verdana" w:hAnsi="Verdana" w:eastAsia="Times New Roman" w:cs="Calibri"/>
                <w:sz w:val="16"/>
                <w:szCs w:val="16"/>
                <w:lang w:eastAsia="es-CO"/>
              </w:rPr>
            </w:pPr>
            <w:r w:rsidRPr="00A211EE">
              <w:rPr>
                <w:rFonts w:ascii="Verdana" w:hAnsi="Verdana" w:eastAsia="Times New Roman" w:cs="Calibri"/>
                <w:sz w:val="16"/>
                <w:szCs w:val="16"/>
                <w:lang w:eastAsia="es-CO"/>
              </w:rPr>
              <w:t>Contratista Dirección General</w:t>
            </w:r>
          </w:p>
        </w:tc>
      </w:tr>
      <w:tr w:rsidRPr="00A211EE" w:rsidR="008F0EA7" w:rsidTr="00A211EE" w14:paraId="5A7D8D21" w14:textId="77777777">
        <w:trPr>
          <w:trHeight w:val="300"/>
        </w:trPr>
        <w:tc>
          <w:tcPr>
            <w:tcW w:w="810" w:type="dxa"/>
            <w:vMerge/>
            <w:vAlign w:val="center"/>
            <w:hideMark/>
          </w:tcPr>
          <w:p w:rsidRPr="00A211EE" w:rsidR="008F0EA7" w:rsidP="00B83CFC" w:rsidRDefault="008F0EA7" w14:paraId="08DAA2DB" w14:textId="77777777">
            <w:pPr>
              <w:spacing w:after="0" w:line="240" w:lineRule="auto"/>
              <w:rPr>
                <w:rFonts w:ascii="Verdana" w:hAnsi="Verdana" w:eastAsia="Times New Roman" w:cs="Calibri"/>
                <w:color w:val="404040"/>
                <w:sz w:val="16"/>
                <w:szCs w:val="16"/>
                <w:lang w:eastAsia="es-CO"/>
              </w:rPr>
            </w:pPr>
          </w:p>
        </w:tc>
        <w:tc>
          <w:tcPr>
            <w:tcW w:w="2256" w:type="dxa"/>
            <w:vMerge/>
            <w:vAlign w:val="center"/>
            <w:hideMark/>
          </w:tcPr>
          <w:p w:rsidRPr="00A211EE" w:rsidR="008F0EA7" w:rsidP="00B83CFC" w:rsidRDefault="008F0EA7" w14:paraId="46A66986" w14:textId="77777777">
            <w:pPr>
              <w:spacing w:after="0" w:line="240" w:lineRule="auto"/>
              <w:rPr>
                <w:rFonts w:ascii="Verdana" w:hAnsi="Verdana" w:eastAsia="Times New Roman" w:cs="Calibri"/>
                <w:color w:val="404040"/>
                <w:sz w:val="16"/>
                <w:szCs w:val="16"/>
                <w:lang w:eastAsia="es-CO"/>
              </w:rPr>
            </w:pPr>
          </w:p>
        </w:tc>
        <w:tc>
          <w:tcPr>
            <w:tcW w:w="1160" w:type="dxa"/>
            <w:vMerge/>
            <w:vAlign w:val="center"/>
            <w:hideMark/>
          </w:tcPr>
          <w:p w:rsidRPr="00A211EE" w:rsidR="008F0EA7" w:rsidP="00B83CFC" w:rsidRDefault="008F0EA7" w14:paraId="792B1BD5" w14:textId="77777777">
            <w:pPr>
              <w:spacing w:after="0" w:line="240" w:lineRule="auto"/>
              <w:rPr>
                <w:rFonts w:ascii="Verdana" w:hAnsi="Verdana" w:eastAsia="Times New Roman" w:cs="Calibri"/>
                <w:color w:val="404040"/>
                <w:sz w:val="16"/>
                <w:szCs w:val="16"/>
                <w:lang w:eastAsia="es-CO"/>
              </w:rPr>
            </w:pPr>
          </w:p>
        </w:tc>
        <w:tc>
          <w:tcPr>
            <w:tcW w:w="1081" w:type="dxa"/>
            <w:shd w:val="clear" w:color="auto" w:fill="7F7F7F" w:themeFill="text1" w:themeFillTint="80"/>
            <w:vAlign w:val="center"/>
            <w:hideMark/>
          </w:tcPr>
          <w:p w:rsidRPr="00A211EE" w:rsidR="008F0EA7" w:rsidP="00B83CFC" w:rsidRDefault="008F0EA7" w14:paraId="05D7B8A3"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Revisó</w:t>
            </w:r>
          </w:p>
        </w:tc>
        <w:tc>
          <w:tcPr>
            <w:tcW w:w="1611" w:type="dxa"/>
            <w:shd w:val="clear" w:color="auto" w:fill="auto"/>
            <w:vAlign w:val="center"/>
            <w:hideMark/>
          </w:tcPr>
          <w:p w:rsidRPr="00A211EE" w:rsidR="003A779E" w:rsidP="003A779E" w:rsidRDefault="003A779E" w14:paraId="17B06C02" w14:textId="77777777">
            <w:pPr>
              <w:spacing w:line="254" w:lineRule="auto"/>
              <w:jc w:val="center"/>
              <w:rPr>
                <w:rFonts w:ascii="Verdana" w:hAnsi="Verdana"/>
                <w:sz w:val="16"/>
                <w:szCs w:val="16"/>
                <w:lang w:val="it-IT"/>
              </w:rPr>
            </w:pPr>
            <w:r w:rsidRPr="00A211EE">
              <w:rPr>
                <w:rFonts w:ascii="Verdana" w:hAnsi="Verdana"/>
                <w:sz w:val="16"/>
                <w:szCs w:val="16"/>
                <w:lang w:val="it-IT"/>
              </w:rPr>
              <w:t xml:space="preserve">Lisseth Tatiana Melo Parra </w:t>
            </w:r>
          </w:p>
          <w:p w:rsidRPr="00A211EE" w:rsidR="008F0EA7" w:rsidP="00B83CFC" w:rsidRDefault="008F0EA7" w14:paraId="3FD2FB3D" w14:textId="7372D709">
            <w:pPr>
              <w:spacing w:after="0" w:line="240" w:lineRule="auto"/>
              <w:jc w:val="center"/>
              <w:rPr>
                <w:rFonts w:ascii="Verdana" w:hAnsi="Verdana" w:eastAsia="Times New Roman" w:cs="Calibri"/>
                <w:sz w:val="16"/>
                <w:szCs w:val="16"/>
                <w:lang w:eastAsia="es-CO"/>
              </w:rPr>
            </w:pPr>
          </w:p>
        </w:tc>
        <w:tc>
          <w:tcPr>
            <w:tcW w:w="2013" w:type="dxa"/>
            <w:shd w:val="clear" w:color="auto" w:fill="auto"/>
            <w:vAlign w:val="center"/>
            <w:hideMark/>
          </w:tcPr>
          <w:p w:rsidRPr="00A211EE" w:rsidR="003A779E" w:rsidP="003A779E" w:rsidRDefault="003A779E" w14:paraId="33773AB9" w14:textId="77777777">
            <w:pPr>
              <w:spacing w:line="254" w:lineRule="auto"/>
              <w:jc w:val="center"/>
              <w:rPr>
                <w:rFonts w:ascii="Verdana" w:hAnsi="Verdana"/>
                <w:sz w:val="16"/>
                <w:szCs w:val="16"/>
                <w:lang w:val="it-IT"/>
              </w:rPr>
            </w:pPr>
            <w:r w:rsidRPr="00A211EE">
              <w:rPr>
                <w:rFonts w:ascii="Verdana" w:hAnsi="Verdana"/>
                <w:sz w:val="16"/>
                <w:szCs w:val="16"/>
                <w:lang w:val="it-IT"/>
              </w:rPr>
              <w:t>Analista T2 - 6</w:t>
            </w:r>
          </w:p>
          <w:p w:rsidRPr="00A211EE" w:rsidR="008F0EA7" w:rsidP="003A779E" w:rsidRDefault="003A779E" w14:paraId="1BFD2B94" w14:textId="0014A101">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Secretaria General</w:t>
            </w:r>
          </w:p>
        </w:tc>
      </w:tr>
      <w:tr w:rsidRPr="00A211EE" w:rsidR="008F0EA7" w:rsidTr="00A211EE" w14:paraId="6A9D6D27" w14:textId="77777777">
        <w:trPr>
          <w:trHeight w:val="231"/>
        </w:trPr>
        <w:tc>
          <w:tcPr>
            <w:tcW w:w="810" w:type="dxa"/>
            <w:vMerge/>
            <w:vAlign w:val="center"/>
            <w:hideMark/>
          </w:tcPr>
          <w:p w:rsidRPr="00A211EE" w:rsidR="008F0EA7" w:rsidP="00B83CFC" w:rsidRDefault="008F0EA7" w14:paraId="1D9C05F4" w14:textId="77777777">
            <w:pPr>
              <w:spacing w:after="0" w:line="240" w:lineRule="auto"/>
              <w:rPr>
                <w:rFonts w:ascii="Verdana" w:hAnsi="Verdana" w:eastAsia="Times New Roman" w:cs="Calibri"/>
                <w:color w:val="404040"/>
                <w:sz w:val="16"/>
                <w:szCs w:val="16"/>
                <w:lang w:eastAsia="es-CO"/>
              </w:rPr>
            </w:pPr>
          </w:p>
        </w:tc>
        <w:tc>
          <w:tcPr>
            <w:tcW w:w="2256" w:type="dxa"/>
            <w:vMerge/>
            <w:vAlign w:val="center"/>
            <w:hideMark/>
          </w:tcPr>
          <w:p w:rsidRPr="00A211EE" w:rsidR="008F0EA7" w:rsidP="00B83CFC" w:rsidRDefault="008F0EA7" w14:paraId="059D28C0" w14:textId="77777777">
            <w:pPr>
              <w:spacing w:after="0" w:line="240" w:lineRule="auto"/>
              <w:rPr>
                <w:rFonts w:ascii="Verdana" w:hAnsi="Verdana" w:eastAsia="Times New Roman" w:cs="Calibri"/>
                <w:color w:val="404040"/>
                <w:sz w:val="16"/>
                <w:szCs w:val="16"/>
                <w:lang w:eastAsia="es-CO"/>
              </w:rPr>
            </w:pPr>
          </w:p>
        </w:tc>
        <w:tc>
          <w:tcPr>
            <w:tcW w:w="1160" w:type="dxa"/>
            <w:vMerge/>
            <w:vAlign w:val="center"/>
            <w:hideMark/>
          </w:tcPr>
          <w:p w:rsidRPr="00A211EE" w:rsidR="008F0EA7" w:rsidP="00B83CFC" w:rsidRDefault="008F0EA7" w14:paraId="79310FAF" w14:textId="77777777">
            <w:pPr>
              <w:spacing w:after="0" w:line="240" w:lineRule="auto"/>
              <w:rPr>
                <w:rFonts w:ascii="Verdana" w:hAnsi="Verdana" w:eastAsia="Times New Roman" w:cs="Calibri"/>
                <w:color w:val="404040"/>
                <w:sz w:val="16"/>
                <w:szCs w:val="16"/>
                <w:lang w:eastAsia="es-CO"/>
              </w:rPr>
            </w:pPr>
          </w:p>
        </w:tc>
        <w:tc>
          <w:tcPr>
            <w:tcW w:w="1081" w:type="dxa"/>
            <w:shd w:val="clear" w:color="auto" w:fill="7F7F7F" w:themeFill="text1" w:themeFillTint="80"/>
            <w:vAlign w:val="center"/>
            <w:hideMark/>
          </w:tcPr>
          <w:p w:rsidRPr="00A211EE" w:rsidR="008F0EA7" w:rsidP="00B83CFC" w:rsidRDefault="008F0EA7" w14:paraId="6A33A6C8" w14:textId="77777777">
            <w:pPr>
              <w:spacing w:after="0" w:line="240" w:lineRule="auto"/>
              <w:jc w:val="center"/>
              <w:rPr>
                <w:rFonts w:ascii="Verdana" w:hAnsi="Verdana" w:eastAsia="Times New Roman" w:cs="Calibri"/>
                <w:b/>
                <w:bCs/>
                <w:color w:val="FFFFFF"/>
                <w:sz w:val="16"/>
                <w:szCs w:val="16"/>
                <w:lang w:eastAsia="es-CO"/>
              </w:rPr>
            </w:pPr>
            <w:r w:rsidRPr="00A211EE">
              <w:rPr>
                <w:rFonts w:ascii="Verdana" w:hAnsi="Verdana" w:eastAsia="Times New Roman" w:cs="Calibri"/>
                <w:b/>
                <w:bCs/>
                <w:color w:val="FFFFFF"/>
                <w:sz w:val="16"/>
                <w:szCs w:val="16"/>
                <w:lang w:eastAsia="es-CO"/>
              </w:rPr>
              <w:t>Aprobó</w:t>
            </w:r>
          </w:p>
        </w:tc>
        <w:tc>
          <w:tcPr>
            <w:tcW w:w="1611" w:type="dxa"/>
            <w:shd w:val="clear" w:color="auto" w:fill="auto"/>
            <w:vAlign w:val="center"/>
            <w:hideMark/>
          </w:tcPr>
          <w:p w:rsidRPr="00A211EE" w:rsidR="003A779E" w:rsidP="003A779E" w:rsidRDefault="003A779E" w14:paraId="3B3676D5" w14:textId="77777777">
            <w:pPr>
              <w:spacing w:line="254" w:lineRule="auto"/>
              <w:jc w:val="center"/>
              <w:rPr>
                <w:rFonts w:ascii="Verdana" w:hAnsi="Verdana"/>
                <w:sz w:val="16"/>
                <w:szCs w:val="16"/>
              </w:rPr>
            </w:pPr>
            <w:r w:rsidRPr="00A211EE">
              <w:rPr>
                <w:rFonts w:ascii="Verdana" w:hAnsi="Verdana"/>
                <w:sz w:val="16"/>
                <w:szCs w:val="16"/>
              </w:rPr>
              <w:t xml:space="preserve">William Renan </w:t>
            </w:r>
            <w:proofErr w:type="spellStart"/>
            <w:r w:rsidRPr="00A211EE">
              <w:rPr>
                <w:rFonts w:ascii="Verdana" w:hAnsi="Verdana"/>
                <w:sz w:val="16"/>
                <w:szCs w:val="16"/>
              </w:rPr>
              <w:t>Rodriguez</w:t>
            </w:r>
            <w:proofErr w:type="spellEnd"/>
            <w:r w:rsidRPr="00A211EE">
              <w:rPr>
                <w:rFonts w:ascii="Verdana" w:hAnsi="Verdana"/>
                <w:sz w:val="16"/>
                <w:szCs w:val="16"/>
              </w:rPr>
              <w:t xml:space="preserve"> </w:t>
            </w:r>
          </w:p>
          <w:p w:rsidRPr="00A211EE" w:rsidR="008F0EA7" w:rsidP="00B83CFC" w:rsidRDefault="008F0EA7" w14:paraId="5A922A62" w14:textId="4B9556F9">
            <w:pPr>
              <w:spacing w:after="0" w:line="240" w:lineRule="auto"/>
              <w:jc w:val="center"/>
              <w:rPr>
                <w:rFonts w:ascii="Verdana" w:hAnsi="Verdana" w:eastAsia="Times New Roman" w:cs="Calibri"/>
                <w:sz w:val="16"/>
                <w:szCs w:val="16"/>
                <w:lang w:eastAsia="es-CO"/>
              </w:rPr>
            </w:pPr>
          </w:p>
        </w:tc>
        <w:tc>
          <w:tcPr>
            <w:tcW w:w="2013" w:type="dxa"/>
            <w:shd w:val="clear" w:color="auto" w:fill="auto"/>
            <w:vAlign w:val="center"/>
            <w:hideMark/>
          </w:tcPr>
          <w:p w:rsidRPr="00A211EE" w:rsidR="008F0EA7" w:rsidP="00B83CFC" w:rsidRDefault="003A779E" w14:paraId="3470E8BD" w14:textId="63349C08">
            <w:pPr>
              <w:spacing w:after="0" w:line="240" w:lineRule="auto"/>
              <w:jc w:val="center"/>
              <w:rPr>
                <w:rFonts w:ascii="Verdana" w:hAnsi="Verdana" w:eastAsia="Times New Roman" w:cs="Calibri"/>
                <w:sz w:val="16"/>
                <w:szCs w:val="16"/>
                <w:lang w:eastAsia="es-CO"/>
              </w:rPr>
            </w:pPr>
            <w:r w:rsidRPr="00A211EE">
              <w:rPr>
                <w:rFonts w:ascii="Verdana" w:hAnsi="Verdana"/>
                <w:sz w:val="16"/>
                <w:szCs w:val="16"/>
              </w:rPr>
              <w:t>Secretario General</w:t>
            </w:r>
          </w:p>
        </w:tc>
      </w:tr>
    </w:tbl>
    <w:p w:rsidRPr="00A211EE" w:rsidR="008F0EA7" w:rsidP="00C330EB" w:rsidRDefault="008F0EA7" w14:paraId="3720116D" w14:textId="77777777">
      <w:pPr>
        <w:spacing w:after="0" w:line="240" w:lineRule="auto"/>
        <w:rPr>
          <w:rFonts w:ascii="Verdana" w:hAnsi="Verdana"/>
          <w:b/>
          <w:color w:val="404040" w:themeColor="text1" w:themeTint="BF"/>
        </w:rPr>
      </w:pPr>
    </w:p>
    <w:p w:rsidRPr="00A211EE" w:rsidR="00C330EB" w:rsidP="00C330EB" w:rsidRDefault="00C330EB" w14:paraId="2DF18D81" w14:textId="77777777">
      <w:pPr>
        <w:pStyle w:val="Default"/>
        <w:tabs>
          <w:tab w:val="left" w:pos="2864"/>
        </w:tabs>
        <w:jc w:val="both"/>
        <w:rPr>
          <w:rFonts w:ascii="Verdana" w:hAnsi="Verdana"/>
          <w:sz w:val="22"/>
          <w:szCs w:val="22"/>
          <w:lang w:val="es-ES"/>
        </w:rPr>
      </w:pPr>
      <w:r w:rsidRPr="00A211EE">
        <w:rPr>
          <w:rFonts w:ascii="Verdana" w:hAnsi="Verdana"/>
          <w:sz w:val="22"/>
          <w:szCs w:val="22"/>
          <w:lang w:val="es-ES"/>
        </w:rPr>
        <w:tab/>
      </w:r>
    </w:p>
    <w:p w:rsidRPr="00A211EE" w:rsidR="00891928" w:rsidP="00891928" w:rsidRDefault="00891928" w14:paraId="7CED3ABA" w14:textId="77777777">
      <w:pPr>
        <w:spacing w:after="0"/>
        <w:jc w:val="both"/>
        <w:rPr>
          <w:rFonts w:ascii="Verdana" w:hAnsi="Verdana"/>
          <w:b/>
          <w:lang w:val="es-MX"/>
        </w:rPr>
      </w:pPr>
    </w:p>
    <w:p w:rsidRPr="00A211EE" w:rsidR="00D7383B" w:rsidP="00E245AB" w:rsidRDefault="00D7383B" w14:paraId="595D4756" w14:textId="77777777">
      <w:pPr>
        <w:spacing w:after="0"/>
        <w:jc w:val="both"/>
        <w:rPr>
          <w:rFonts w:ascii="Verdana" w:hAnsi="Verdana"/>
        </w:rPr>
      </w:pPr>
    </w:p>
    <w:p w:rsidRPr="00A211EE" w:rsidR="00D7383B" w:rsidP="00E245AB" w:rsidRDefault="00D7383B" w14:paraId="5CE21514" w14:textId="77777777">
      <w:pPr>
        <w:spacing w:after="0"/>
        <w:jc w:val="both"/>
        <w:rPr>
          <w:rFonts w:ascii="Verdana" w:hAnsi="Verdana"/>
        </w:rPr>
      </w:pPr>
    </w:p>
    <w:p w:rsidRPr="00A211EE" w:rsidR="00127233" w:rsidP="00665D70" w:rsidRDefault="00E245AB" w14:paraId="0F293BF4" w14:textId="4E630EB9">
      <w:pPr>
        <w:spacing w:after="0"/>
        <w:jc w:val="both"/>
        <w:rPr>
          <w:rFonts w:ascii="Verdana" w:hAnsi="Verdana"/>
        </w:rPr>
      </w:pPr>
      <w:r w:rsidRPr="00A211EE">
        <w:rPr>
          <w:rFonts w:ascii="Verdana" w:hAnsi="Verdana"/>
        </w:rPr>
        <w:t xml:space="preserve"> </w:t>
      </w:r>
      <w:bookmarkEnd w:id="0"/>
    </w:p>
    <w:sectPr w:rsidRPr="00A211EE" w:rsidR="00127233" w:rsidSect="00A211EE">
      <w:headerReference w:type="default" r:id="rId15"/>
      <w:footerReference w:type="default" r:id="rId16"/>
      <w:pgSz w:w="12240" w:h="15840" w:orient="portrait"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7231" w:rsidP="004A1847" w:rsidRDefault="00E67231" w14:paraId="2A9273D3" w14:textId="77777777">
      <w:pPr>
        <w:spacing w:after="0" w:line="240" w:lineRule="auto"/>
      </w:pPr>
      <w:r>
        <w:separator/>
      </w:r>
    </w:p>
  </w:endnote>
  <w:endnote w:type="continuationSeparator" w:id="0">
    <w:p w:rsidR="00E67231" w:rsidP="004A1847" w:rsidRDefault="00E67231" w14:paraId="6D1D14E4" w14:textId="77777777">
      <w:pPr>
        <w:spacing w:after="0" w:line="240" w:lineRule="auto"/>
      </w:pPr>
      <w:r>
        <w:continuationSeparator/>
      </w:r>
    </w:p>
  </w:endnote>
  <w:endnote w:type="continuationNotice" w:id="1">
    <w:p w:rsidR="00E67231" w:rsidRDefault="00E67231" w14:paraId="0970AB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1EE" w:rsidP="00A211EE" w:rsidRDefault="00A211EE" w14:paraId="60ADAF56" w14:textId="77777777">
    <w:pPr>
      <w:spacing w:after="0"/>
      <w:rPr>
        <w:rFonts w:ascii="Verdana" w:hAnsi="Verdana"/>
        <w:b/>
        <w:bCs/>
        <w:sz w:val="20"/>
        <w:szCs w:val="20"/>
      </w:rPr>
    </w:pPr>
  </w:p>
  <w:p w:rsidRPr="00174B77" w:rsidR="00A211EE" w:rsidP="00A211EE" w:rsidRDefault="00A211EE" w14:paraId="4DAEE7DC" w14:textId="43FD1F7C">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A211EE" w:rsidP="00A211EE" w:rsidRDefault="00A211EE" w14:paraId="4A01C741"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A211EE" w:rsidP="00A211EE" w:rsidRDefault="00A211EE" w14:paraId="4145D2CB" w14:textId="77777777">
    <w:pPr>
      <w:spacing w:after="0"/>
      <w:jc w:val="both"/>
      <w:rPr>
        <w:rFonts w:ascii="Verdana" w:hAnsi="Verdana"/>
        <w:sz w:val="18"/>
        <w:szCs w:val="18"/>
      </w:rPr>
    </w:pPr>
    <w:r w:rsidRPr="00E41027">
      <w:rPr>
        <w:rFonts w:ascii="Verdana" w:hAnsi="Verdana"/>
        <w:sz w:val="18"/>
        <w:szCs w:val="18"/>
      </w:rPr>
      <w:t>Mesa de servicio: (+57) 601 7456788</w:t>
    </w:r>
  </w:p>
  <w:p w:rsidRPr="00A211EE" w:rsidR="00A211EE" w:rsidP="00A211EE" w:rsidRDefault="00A211EE" w14:paraId="73EB2D37" w14:textId="3BAD4CB6">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hAnsi="Verdana" w:eastAsia="Geo" w:cs="Geo"/>
        <w:bCs/>
        <w:color w:val="000000"/>
        <w:sz w:val="16"/>
        <w:szCs w:val="16"/>
        <w:lang w:eastAsia="es-CO"/>
      </w:rPr>
      <w:t>Código: CCE-REC-FM-13 Versión</w:t>
    </w:r>
    <w:r w:rsidRPr="00A211EE">
      <w:rPr>
        <w:rFonts w:ascii="Verdana" w:hAnsi="Verdana" w:eastAsia="Arial Nova" w:cs="Arial Nova"/>
        <w:bCs/>
        <w:color w:val="000000"/>
        <w:sz w:val="16"/>
        <w:szCs w:val="16"/>
        <w:lang w:eastAsia="es-CO"/>
      </w:rPr>
      <w:t>:</w:t>
    </w:r>
    <w:r w:rsidRPr="00A211EE">
      <w:rPr>
        <w:rFonts w:ascii="Verdana" w:hAnsi="Verdana" w:eastAsia="Arial Nova" w:cs="Arial Nova"/>
        <w:b/>
        <w:color w:val="000000"/>
        <w:sz w:val="16"/>
        <w:szCs w:val="16"/>
        <w:lang w:eastAsia="es-CO"/>
      </w:rPr>
      <w:t xml:space="preserve"> </w:t>
    </w:r>
    <w:r w:rsidRPr="00A211EE">
      <w:rPr>
        <w:rFonts w:ascii="Verdana" w:hAnsi="Verdana" w:eastAsia="Geo" w:cs="Geo"/>
        <w:sz w:val="16"/>
        <w:szCs w:val="16"/>
        <w:lang w:eastAsia="es-CO"/>
      </w:rPr>
      <w:t>01 Fecha:15-06-2023</w:t>
    </w:r>
  </w:p>
  <w:p w:rsidR="006219F8" w:rsidP="00A211EE" w:rsidRDefault="006219F8" w14:paraId="744661F5" w14:textId="203285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7231" w:rsidP="004A1847" w:rsidRDefault="00E67231" w14:paraId="0D3CDC81" w14:textId="77777777">
      <w:pPr>
        <w:spacing w:after="0" w:line="240" w:lineRule="auto"/>
      </w:pPr>
      <w:r>
        <w:separator/>
      </w:r>
    </w:p>
  </w:footnote>
  <w:footnote w:type="continuationSeparator" w:id="0">
    <w:p w:rsidR="00E67231" w:rsidP="004A1847" w:rsidRDefault="00E67231" w14:paraId="2DE801DE" w14:textId="77777777">
      <w:pPr>
        <w:spacing w:after="0" w:line="240" w:lineRule="auto"/>
      </w:pPr>
      <w:r>
        <w:continuationSeparator/>
      </w:r>
    </w:p>
  </w:footnote>
  <w:footnote w:type="continuationNotice" w:id="1">
    <w:p w:rsidR="00E67231" w:rsidRDefault="00E67231" w14:paraId="614974FC" w14:textId="77777777">
      <w:pPr>
        <w:spacing w:after="0" w:line="240" w:lineRule="auto"/>
      </w:pPr>
    </w:p>
  </w:footnote>
  <w:footnote w:id="2">
    <w:p w:rsidRPr="007C130F" w:rsidR="00DB7CAA" w:rsidP="00DB7CAA" w:rsidRDefault="00DB7CAA" w14:paraId="3C0FFAA4" w14:textId="77777777">
      <w:pPr>
        <w:spacing w:after="0" w:line="240" w:lineRule="auto"/>
        <w:ind w:firstLine="707"/>
        <w:contextualSpacing/>
        <w:jc w:val="both"/>
        <w:rPr>
          <w:rFonts w:ascii="Arial" w:hAnsi="Arial" w:cs="Arial"/>
          <w:sz w:val="14"/>
          <w:szCs w:val="14"/>
        </w:rPr>
      </w:pPr>
      <w:r w:rsidRPr="007C130F">
        <w:rPr>
          <w:rStyle w:val="Refdenotaalpie"/>
          <w:rFonts w:ascii="Arial" w:hAnsi="Arial" w:cs="Arial"/>
          <w:sz w:val="14"/>
          <w:szCs w:val="14"/>
        </w:rPr>
        <w:footnoteRef/>
      </w:r>
      <w:r w:rsidRPr="007C130F">
        <w:rPr>
          <w:rFonts w:ascii="Arial" w:hAnsi="Arial" w:cs="Arial"/>
          <w:position w:val="6"/>
          <w:sz w:val="14"/>
          <w:szCs w:val="14"/>
        </w:rPr>
        <w:t xml:space="preserve"> </w:t>
      </w:r>
      <w:r w:rsidRPr="007C130F">
        <w:rPr>
          <w:rFonts w:ascii="Arial" w:hAnsi="Arial" w:cs="Arial"/>
          <w:sz w:val="14"/>
          <w:szCs w:val="14"/>
        </w:rPr>
        <w:t>DEIK ACOSTAMADIEDO, Carolina, Guía de Contratación Estatal: Deber de planeación y modalidades de selección, Buenos Aires, 2015, p. 59.</w:t>
      </w:r>
    </w:p>
    <w:p w:rsidRPr="007C130F" w:rsidR="00DB7CAA" w:rsidP="00DB7CAA" w:rsidRDefault="00DB7CAA" w14:paraId="4C0F3C45" w14:textId="77777777">
      <w:pPr>
        <w:pStyle w:val="Textonotapie"/>
        <w:contextualSpacing/>
        <w:jc w:val="both"/>
        <w:rPr>
          <w:rFonts w:ascii="Arial" w:hAnsi="Arial" w:cs="Arial"/>
          <w:sz w:val="14"/>
          <w:szCs w:val="14"/>
        </w:rPr>
      </w:pPr>
    </w:p>
  </w:footnote>
  <w:footnote w:id="3">
    <w:p w:rsidR="00DB7CAA" w:rsidP="00DB7CAA" w:rsidRDefault="00DB7CAA" w14:paraId="7F8802F9" w14:textId="77777777">
      <w:pPr>
        <w:pStyle w:val="Textoindependiente"/>
        <w:spacing w:after="0" w:line="240" w:lineRule="auto"/>
        <w:ind w:firstLine="709"/>
        <w:contextualSpacing/>
        <w:jc w:val="both"/>
        <w:rPr>
          <w:rFonts w:ascii="Arial" w:hAnsi="Arial" w:cs="Arial"/>
          <w:sz w:val="14"/>
          <w:szCs w:val="14"/>
        </w:rPr>
      </w:pPr>
      <w:r w:rsidRPr="007C130F">
        <w:rPr>
          <w:rStyle w:val="Refdenotaalpie"/>
          <w:rFonts w:ascii="Arial" w:hAnsi="Arial" w:cs="Arial"/>
          <w:sz w:val="14"/>
          <w:szCs w:val="14"/>
        </w:rPr>
        <w:footnoteRef/>
      </w:r>
      <w:r w:rsidRPr="007C130F">
        <w:rPr>
          <w:rFonts w:ascii="Arial" w:hAnsi="Arial" w:cs="Arial"/>
          <w:sz w:val="14"/>
          <w:szCs w:val="14"/>
        </w:rPr>
        <w:t xml:space="preserve"> “Artículo </w:t>
      </w:r>
      <w:bookmarkStart w:name="_Hlk54173885" w:id="2"/>
      <w:r w:rsidRPr="007C130F">
        <w:rPr>
          <w:rFonts w:ascii="Arial" w:hAnsi="Arial" w:cs="Arial"/>
          <w:sz w:val="14"/>
          <w:szCs w:val="14"/>
        </w:rPr>
        <w:t>2.2.1.1.2.1.1</w:t>
      </w:r>
      <w:bookmarkEnd w:id="2"/>
      <w:r w:rsidRPr="007C130F">
        <w:rPr>
          <w:rFonts w:ascii="Arial" w:hAnsi="Arial" w:cs="Arial"/>
          <w:sz w:val="14"/>
          <w:szCs w:val="14"/>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rsidRPr="007C130F" w:rsidR="00DB7CAA" w:rsidP="00DB7CAA" w:rsidRDefault="00DB7CAA" w14:paraId="1FE6F77B" w14:textId="77777777">
      <w:pPr>
        <w:pStyle w:val="Textoindependiente"/>
        <w:spacing w:after="0" w:line="240" w:lineRule="auto"/>
        <w:ind w:firstLine="709"/>
        <w:contextualSpacing/>
        <w:jc w:val="both"/>
        <w:rPr>
          <w:rFonts w:ascii="Arial" w:hAnsi="Arial" w:cs="Arial"/>
          <w:sz w:val="14"/>
          <w:szCs w:val="14"/>
        </w:rPr>
      </w:pPr>
    </w:p>
    <w:p w:rsidRPr="007C130F" w:rsidR="00DB7CAA" w:rsidP="00DB7CAA" w:rsidRDefault="00DB7CAA" w14:paraId="7AB0E83F" w14:textId="77777777">
      <w:pPr>
        <w:pStyle w:val="Textonotapie"/>
        <w:ind w:firstLine="709"/>
        <w:contextualSpacing/>
        <w:jc w:val="both"/>
        <w:rPr>
          <w:rFonts w:ascii="Arial" w:hAnsi="Arial" w:cs="Arial"/>
          <w:sz w:val="14"/>
          <w:szCs w:val="14"/>
        </w:rPr>
      </w:pPr>
    </w:p>
  </w:footnote>
  <w:footnote w:id="4">
    <w:p w:rsidRPr="007C130F" w:rsidR="00DB7CAA" w:rsidP="00DB7CAA" w:rsidRDefault="00DB7CAA" w14:paraId="0558B33B" w14:textId="77777777">
      <w:pPr>
        <w:pStyle w:val="Textonotapie"/>
        <w:ind w:firstLine="708"/>
        <w:contextualSpacing/>
        <w:jc w:val="both"/>
        <w:rPr>
          <w:rFonts w:ascii="Arial" w:hAnsi="Arial" w:cs="Arial"/>
          <w:sz w:val="14"/>
          <w:szCs w:val="14"/>
        </w:rPr>
      </w:pPr>
      <w:r w:rsidRPr="007C130F">
        <w:rPr>
          <w:rStyle w:val="Refdenotaalpie"/>
          <w:rFonts w:ascii="Arial" w:hAnsi="Arial" w:cs="Arial"/>
          <w:sz w:val="14"/>
          <w:szCs w:val="14"/>
        </w:rPr>
        <w:footnoteRef/>
      </w:r>
      <w:r w:rsidRPr="007C130F">
        <w:rPr>
          <w:rFonts w:ascii="Arial" w:hAnsi="Arial" w:cs="Arial"/>
          <w:sz w:val="14"/>
          <w:szCs w:val="14"/>
        </w:rPr>
        <w:t xml:space="preserve"> Decreto 1082 de 2015: “Artículo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footnote>
  <w:footnote w:id="5">
    <w:p w:rsidRPr="007C130F" w:rsidR="00DB7CAA" w:rsidP="00DB7CAA" w:rsidRDefault="00DB7CAA" w14:paraId="36E0926F" w14:textId="77777777">
      <w:pPr>
        <w:pStyle w:val="Textonotapie"/>
        <w:ind w:firstLine="708"/>
        <w:contextualSpacing/>
        <w:jc w:val="both"/>
        <w:rPr>
          <w:rFonts w:ascii="Arial" w:hAnsi="Arial" w:cs="Arial"/>
          <w:sz w:val="14"/>
          <w:szCs w:val="14"/>
        </w:rPr>
      </w:pPr>
      <w:r w:rsidRPr="007C130F">
        <w:rPr>
          <w:rStyle w:val="Refdenotaalpie"/>
          <w:rFonts w:ascii="Arial" w:hAnsi="Arial" w:cs="Arial"/>
          <w:sz w:val="14"/>
          <w:szCs w:val="14"/>
        </w:rPr>
        <w:footnoteRef/>
      </w:r>
      <w:r w:rsidRPr="007C130F">
        <w:rPr>
          <w:rFonts w:ascii="Arial" w:hAnsi="Arial" w:cs="Arial"/>
          <w:sz w:val="14"/>
          <w:szCs w:val="14"/>
        </w:rPr>
        <w:t xml:space="preserve"> Agencia Nacional de Contratación Pública – Colombia Compra Eficiente. </w:t>
      </w:r>
      <w:r w:rsidRPr="007C130F">
        <w:rPr>
          <w:rFonts w:ascii="Arial" w:hAnsi="Arial" w:eastAsia="Calibri" w:cs="Arial"/>
          <w:bCs/>
          <w:sz w:val="14"/>
          <w:szCs w:val="14"/>
          <w:lang w:val="es-ES_tradnl" w:eastAsia="es-ES_tradnl"/>
        </w:rPr>
        <w:t>Guía de Elaboración de Estudios del Sector</w:t>
      </w:r>
      <w:r w:rsidRPr="007C130F">
        <w:rPr>
          <w:rFonts w:ascii="Arial" w:hAnsi="Arial" w:cs="Arial"/>
          <w:sz w:val="14"/>
          <w:szCs w:val="14"/>
        </w:rPr>
        <w:t xml:space="preserve">. Disponible en: </w:t>
      </w:r>
      <w:hyperlink w:history="1" r:id="rId1">
        <w:r w:rsidRPr="007C130F">
          <w:rPr>
            <w:rStyle w:val="Hipervnculo"/>
            <w:rFonts w:ascii="Arial" w:hAnsi="Arial" w:cs="Arial"/>
            <w:sz w:val="14"/>
            <w:szCs w:val="14"/>
          </w:rPr>
          <w:t>https://www.colombiacompra.gov.co/manuales-guias-y-pliegos-tipo/manuales-y-guias</w:t>
        </w:r>
      </w:hyperlink>
      <w:r w:rsidRPr="007C130F">
        <w:rPr>
          <w:rFonts w:ascii="Arial" w:hAnsi="Arial" w:cs="Arial"/>
          <w:sz w:val="14"/>
          <w:szCs w:val="14"/>
        </w:rPr>
        <w:t xml:space="preserve">. </w:t>
      </w:r>
    </w:p>
    <w:p w:rsidRPr="007C130F" w:rsidR="00DB7CAA" w:rsidP="00DB7CAA" w:rsidRDefault="00DB7CAA" w14:paraId="605E8869" w14:textId="77777777">
      <w:pPr>
        <w:pStyle w:val="Textonotapie"/>
        <w:ind w:firstLine="708"/>
        <w:contextualSpacing/>
        <w:jc w:val="both"/>
        <w:rPr>
          <w:rFonts w:ascii="Arial" w:hAnsi="Arial" w:cs="Arial"/>
          <w:sz w:val="14"/>
          <w:szCs w:val="14"/>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A211EE" w14:paraId="6ED12154" w14:textId="26E0CE9D">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P="00A211EE" w:rsidRDefault="00756841" w14:paraId="435F4D03" w14:textId="67DABC48">
    <w:pPr>
      <w:pStyle w:val="Encabezado"/>
      <w:jc w:val="center"/>
    </w:pPr>
  </w:p>
  <w:p w:rsidR="00756841" w:rsidRDefault="00756841" w14:paraId="1BE2B9AE" w14:textId="4B94DB3B">
    <w:pPr>
      <w:pStyle w:val="Encabezado"/>
    </w:pPr>
  </w:p>
  <w:p w:rsidR="00A211EE" w:rsidP="00A211EE" w:rsidRDefault="00A211EE" w14:paraId="66537681" w14:textId="77777777">
    <w:pPr>
      <w:spacing w:after="0"/>
      <w:rPr>
        <w:rFonts w:ascii="Verdana" w:hAnsi="Verdana"/>
        <w:b/>
        <w:bCs/>
        <w:sz w:val="24"/>
        <w:szCs w:val="24"/>
      </w:rPr>
    </w:pPr>
  </w:p>
  <w:p w:rsidR="008A446D" w:rsidP="00A211EE" w:rsidRDefault="004A305D" w14:paraId="1FD1C243" w14:textId="10E3EDD9">
    <w:pPr>
      <w:spacing w:after="0"/>
      <w:rPr>
        <w:rFonts w:ascii="Verdana" w:hAnsi="Verdana"/>
        <w:b/>
        <w:bCs/>
        <w:sz w:val="24"/>
        <w:szCs w:val="24"/>
      </w:rPr>
    </w:pPr>
    <w:r w:rsidRPr="00A211EE">
      <w:rPr>
        <w:rFonts w:ascii="Verdana" w:hAnsi="Verdana"/>
        <w:b/>
        <w:bCs/>
        <w:sz w:val="24"/>
        <w:szCs w:val="24"/>
      </w:rPr>
      <w:t>FORMATO PQRSD</w:t>
    </w:r>
  </w:p>
  <w:p w:rsidRPr="00A211EE" w:rsidR="00A211EE" w:rsidP="00A211EE" w:rsidRDefault="00A211EE" w14:paraId="56E67371" w14:textId="77777777">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07A202F9"/>
    <w:multiLevelType w:val="hybridMultilevel"/>
    <w:tmpl w:val="81F4F0B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70F4636"/>
    <w:multiLevelType w:val="hybridMultilevel"/>
    <w:tmpl w:val="A404AF7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616F9A"/>
    <w:multiLevelType w:val="hybridMultilevel"/>
    <w:tmpl w:val="48C41F52"/>
    <w:lvl w:ilvl="0" w:tplc="240A0001">
      <w:start w:val="1"/>
      <w:numFmt w:val="bullet"/>
      <w:lvlText w:val=""/>
      <w:lvlJc w:val="left"/>
      <w:pPr>
        <w:ind w:left="1571" w:hanging="360"/>
      </w:pPr>
      <w:rPr>
        <w:rFonts w:hint="default" w:ascii="Symbol" w:hAnsi="Symbol"/>
      </w:rPr>
    </w:lvl>
    <w:lvl w:ilvl="1" w:tplc="240A0003" w:tentative="1">
      <w:start w:val="1"/>
      <w:numFmt w:val="bullet"/>
      <w:lvlText w:val="o"/>
      <w:lvlJc w:val="left"/>
      <w:pPr>
        <w:ind w:left="2291" w:hanging="360"/>
      </w:pPr>
      <w:rPr>
        <w:rFonts w:hint="default" w:ascii="Courier New" w:hAnsi="Courier New" w:cs="Courier New"/>
      </w:rPr>
    </w:lvl>
    <w:lvl w:ilvl="2" w:tplc="240A0005" w:tentative="1">
      <w:start w:val="1"/>
      <w:numFmt w:val="bullet"/>
      <w:lvlText w:val=""/>
      <w:lvlJc w:val="left"/>
      <w:pPr>
        <w:ind w:left="3011" w:hanging="360"/>
      </w:pPr>
      <w:rPr>
        <w:rFonts w:hint="default" w:ascii="Wingdings" w:hAnsi="Wingdings"/>
      </w:rPr>
    </w:lvl>
    <w:lvl w:ilvl="3" w:tplc="240A0001" w:tentative="1">
      <w:start w:val="1"/>
      <w:numFmt w:val="bullet"/>
      <w:lvlText w:val=""/>
      <w:lvlJc w:val="left"/>
      <w:pPr>
        <w:ind w:left="3731" w:hanging="360"/>
      </w:pPr>
      <w:rPr>
        <w:rFonts w:hint="default" w:ascii="Symbol" w:hAnsi="Symbol"/>
      </w:rPr>
    </w:lvl>
    <w:lvl w:ilvl="4" w:tplc="240A0003" w:tentative="1">
      <w:start w:val="1"/>
      <w:numFmt w:val="bullet"/>
      <w:lvlText w:val="o"/>
      <w:lvlJc w:val="left"/>
      <w:pPr>
        <w:ind w:left="4451" w:hanging="360"/>
      </w:pPr>
      <w:rPr>
        <w:rFonts w:hint="default" w:ascii="Courier New" w:hAnsi="Courier New" w:cs="Courier New"/>
      </w:rPr>
    </w:lvl>
    <w:lvl w:ilvl="5" w:tplc="240A0005" w:tentative="1">
      <w:start w:val="1"/>
      <w:numFmt w:val="bullet"/>
      <w:lvlText w:val=""/>
      <w:lvlJc w:val="left"/>
      <w:pPr>
        <w:ind w:left="5171" w:hanging="360"/>
      </w:pPr>
      <w:rPr>
        <w:rFonts w:hint="default" w:ascii="Wingdings" w:hAnsi="Wingdings"/>
      </w:rPr>
    </w:lvl>
    <w:lvl w:ilvl="6" w:tplc="240A0001" w:tentative="1">
      <w:start w:val="1"/>
      <w:numFmt w:val="bullet"/>
      <w:lvlText w:val=""/>
      <w:lvlJc w:val="left"/>
      <w:pPr>
        <w:ind w:left="5891" w:hanging="360"/>
      </w:pPr>
      <w:rPr>
        <w:rFonts w:hint="default" w:ascii="Symbol" w:hAnsi="Symbol"/>
      </w:rPr>
    </w:lvl>
    <w:lvl w:ilvl="7" w:tplc="240A0003" w:tentative="1">
      <w:start w:val="1"/>
      <w:numFmt w:val="bullet"/>
      <w:lvlText w:val="o"/>
      <w:lvlJc w:val="left"/>
      <w:pPr>
        <w:ind w:left="6611" w:hanging="360"/>
      </w:pPr>
      <w:rPr>
        <w:rFonts w:hint="default" w:ascii="Courier New" w:hAnsi="Courier New" w:cs="Courier New"/>
      </w:rPr>
    </w:lvl>
    <w:lvl w:ilvl="8" w:tplc="240A0005" w:tentative="1">
      <w:start w:val="1"/>
      <w:numFmt w:val="bullet"/>
      <w:lvlText w:val=""/>
      <w:lvlJc w:val="left"/>
      <w:pPr>
        <w:ind w:left="7331" w:hanging="360"/>
      </w:pPr>
      <w:rPr>
        <w:rFonts w:hint="default" w:ascii="Wingdings" w:hAnsi="Wingdings"/>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46404242"/>
    <w:multiLevelType w:val="hybridMultilevel"/>
    <w:tmpl w:val="190410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8E47EF"/>
    <w:multiLevelType w:val="hybridMultilevel"/>
    <w:tmpl w:val="54EEC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466FB6"/>
    <w:multiLevelType w:val="hybridMultilevel"/>
    <w:tmpl w:val="E168DEFA"/>
    <w:lvl w:ilvl="0" w:tplc="240A0017">
      <w:start w:val="1"/>
      <w:numFmt w:val="lowerLetter"/>
      <w:lvlText w:val="%1)"/>
      <w:lvlJc w:val="left"/>
      <w:pPr>
        <w:ind w:left="2220" w:hanging="360"/>
      </w:pPr>
    </w:lvl>
    <w:lvl w:ilvl="1" w:tplc="240A0019" w:tentative="1">
      <w:start w:val="1"/>
      <w:numFmt w:val="lowerLetter"/>
      <w:lvlText w:val="%2."/>
      <w:lvlJc w:val="left"/>
      <w:pPr>
        <w:ind w:left="2940" w:hanging="360"/>
      </w:pPr>
    </w:lvl>
    <w:lvl w:ilvl="2" w:tplc="240A001B" w:tentative="1">
      <w:start w:val="1"/>
      <w:numFmt w:val="lowerRoman"/>
      <w:lvlText w:val="%3."/>
      <w:lvlJc w:val="right"/>
      <w:pPr>
        <w:ind w:left="3660" w:hanging="180"/>
      </w:pPr>
    </w:lvl>
    <w:lvl w:ilvl="3" w:tplc="240A000F" w:tentative="1">
      <w:start w:val="1"/>
      <w:numFmt w:val="decimal"/>
      <w:lvlText w:val="%4."/>
      <w:lvlJc w:val="left"/>
      <w:pPr>
        <w:ind w:left="4380" w:hanging="360"/>
      </w:pPr>
    </w:lvl>
    <w:lvl w:ilvl="4" w:tplc="240A0019" w:tentative="1">
      <w:start w:val="1"/>
      <w:numFmt w:val="lowerLetter"/>
      <w:lvlText w:val="%5."/>
      <w:lvlJc w:val="left"/>
      <w:pPr>
        <w:ind w:left="5100" w:hanging="360"/>
      </w:pPr>
    </w:lvl>
    <w:lvl w:ilvl="5" w:tplc="240A001B" w:tentative="1">
      <w:start w:val="1"/>
      <w:numFmt w:val="lowerRoman"/>
      <w:lvlText w:val="%6."/>
      <w:lvlJc w:val="right"/>
      <w:pPr>
        <w:ind w:left="5820" w:hanging="180"/>
      </w:pPr>
    </w:lvl>
    <w:lvl w:ilvl="6" w:tplc="240A000F" w:tentative="1">
      <w:start w:val="1"/>
      <w:numFmt w:val="decimal"/>
      <w:lvlText w:val="%7."/>
      <w:lvlJc w:val="left"/>
      <w:pPr>
        <w:ind w:left="6540" w:hanging="360"/>
      </w:pPr>
    </w:lvl>
    <w:lvl w:ilvl="7" w:tplc="240A0019" w:tentative="1">
      <w:start w:val="1"/>
      <w:numFmt w:val="lowerLetter"/>
      <w:lvlText w:val="%8."/>
      <w:lvlJc w:val="left"/>
      <w:pPr>
        <w:ind w:left="7260" w:hanging="360"/>
      </w:pPr>
    </w:lvl>
    <w:lvl w:ilvl="8" w:tplc="240A001B" w:tentative="1">
      <w:start w:val="1"/>
      <w:numFmt w:val="lowerRoman"/>
      <w:lvlText w:val="%9."/>
      <w:lvlJc w:val="right"/>
      <w:pPr>
        <w:ind w:left="7980" w:hanging="180"/>
      </w:pPr>
    </w:lvl>
  </w:abstractNum>
  <w:abstractNum w:abstractNumId="11" w15:restartNumberingAfterBreak="0">
    <w:nsid w:val="53D97B18"/>
    <w:multiLevelType w:val="hybridMultilevel"/>
    <w:tmpl w:val="7766E76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948779781">
    <w:abstractNumId w:val="6"/>
  </w:num>
  <w:num w:numId="2" w16cid:durableId="19822139">
    <w:abstractNumId w:val="1"/>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14643475">
    <w:abstractNumId w:val="0"/>
  </w:num>
  <w:num w:numId="7" w16cid:durableId="100759801">
    <w:abstractNumId w:val="5"/>
  </w:num>
  <w:num w:numId="8" w16cid:durableId="679089576">
    <w:abstractNumId w:val="7"/>
  </w:num>
  <w:num w:numId="9" w16cid:durableId="986321315">
    <w:abstractNumId w:val="11"/>
  </w:num>
  <w:num w:numId="10" w16cid:durableId="894588073">
    <w:abstractNumId w:val="3"/>
  </w:num>
  <w:num w:numId="11" w16cid:durableId="1502163293">
    <w:abstractNumId w:val="2"/>
  </w:num>
  <w:num w:numId="12" w16cid:durableId="472218517">
    <w:abstractNumId w:val="10"/>
  </w:num>
  <w:num w:numId="13" w16cid:durableId="1399129745">
    <w:abstractNumId w:val="8"/>
  </w:num>
  <w:num w:numId="14" w16cid:durableId="1298024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F50"/>
    <w:rsid w:val="000A683E"/>
    <w:rsid w:val="000B19B9"/>
    <w:rsid w:val="000B57DE"/>
    <w:rsid w:val="000D0334"/>
    <w:rsid w:val="000E2B72"/>
    <w:rsid w:val="000F6486"/>
    <w:rsid w:val="00127233"/>
    <w:rsid w:val="00186DA7"/>
    <w:rsid w:val="001B52B0"/>
    <w:rsid w:val="001E4177"/>
    <w:rsid w:val="001E7BF6"/>
    <w:rsid w:val="00203C15"/>
    <w:rsid w:val="002474A5"/>
    <w:rsid w:val="00252ABD"/>
    <w:rsid w:val="002951A0"/>
    <w:rsid w:val="002962BC"/>
    <w:rsid w:val="002A49AC"/>
    <w:rsid w:val="002A64FD"/>
    <w:rsid w:val="002C7430"/>
    <w:rsid w:val="002C7A84"/>
    <w:rsid w:val="002F3FC8"/>
    <w:rsid w:val="002F4432"/>
    <w:rsid w:val="003036DC"/>
    <w:rsid w:val="0036065A"/>
    <w:rsid w:val="00360E7C"/>
    <w:rsid w:val="003A779E"/>
    <w:rsid w:val="003C2402"/>
    <w:rsid w:val="003D0F4D"/>
    <w:rsid w:val="003E0499"/>
    <w:rsid w:val="003F3941"/>
    <w:rsid w:val="004A1847"/>
    <w:rsid w:val="004A305D"/>
    <w:rsid w:val="004B45F3"/>
    <w:rsid w:val="004F21C4"/>
    <w:rsid w:val="004F2321"/>
    <w:rsid w:val="004F685F"/>
    <w:rsid w:val="00506765"/>
    <w:rsid w:val="00511228"/>
    <w:rsid w:val="0051587D"/>
    <w:rsid w:val="00516F79"/>
    <w:rsid w:val="00535C35"/>
    <w:rsid w:val="005406A6"/>
    <w:rsid w:val="005566E8"/>
    <w:rsid w:val="00574867"/>
    <w:rsid w:val="00594DCF"/>
    <w:rsid w:val="005C5CDC"/>
    <w:rsid w:val="005D1F35"/>
    <w:rsid w:val="005D476C"/>
    <w:rsid w:val="005E0EE9"/>
    <w:rsid w:val="005E5DA4"/>
    <w:rsid w:val="005E70D1"/>
    <w:rsid w:val="005F4F0B"/>
    <w:rsid w:val="00601C7C"/>
    <w:rsid w:val="006219F8"/>
    <w:rsid w:val="00665D70"/>
    <w:rsid w:val="00667286"/>
    <w:rsid w:val="006A1C43"/>
    <w:rsid w:val="006D5678"/>
    <w:rsid w:val="006F1A1E"/>
    <w:rsid w:val="006F4E98"/>
    <w:rsid w:val="00706C16"/>
    <w:rsid w:val="00756841"/>
    <w:rsid w:val="007649AB"/>
    <w:rsid w:val="007833AC"/>
    <w:rsid w:val="007A45E0"/>
    <w:rsid w:val="007B2235"/>
    <w:rsid w:val="007B447C"/>
    <w:rsid w:val="007C3DC2"/>
    <w:rsid w:val="007D375C"/>
    <w:rsid w:val="007E5497"/>
    <w:rsid w:val="00806F5F"/>
    <w:rsid w:val="00820278"/>
    <w:rsid w:val="00840E11"/>
    <w:rsid w:val="008843B6"/>
    <w:rsid w:val="00891928"/>
    <w:rsid w:val="008A306B"/>
    <w:rsid w:val="008A446D"/>
    <w:rsid w:val="008A4FE2"/>
    <w:rsid w:val="008B4D6A"/>
    <w:rsid w:val="008B5C99"/>
    <w:rsid w:val="008F0EA7"/>
    <w:rsid w:val="008F171A"/>
    <w:rsid w:val="009225A7"/>
    <w:rsid w:val="00923EEF"/>
    <w:rsid w:val="009419F9"/>
    <w:rsid w:val="009446E2"/>
    <w:rsid w:val="00961B09"/>
    <w:rsid w:val="00965334"/>
    <w:rsid w:val="00970935"/>
    <w:rsid w:val="0097093E"/>
    <w:rsid w:val="009C71FA"/>
    <w:rsid w:val="009C72E7"/>
    <w:rsid w:val="009E579A"/>
    <w:rsid w:val="00A01DC7"/>
    <w:rsid w:val="00A17F13"/>
    <w:rsid w:val="00A20739"/>
    <w:rsid w:val="00A211EE"/>
    <w:rsid w:val="00A33C78"/>
    <w:rsid w:val="00A34454"/>
    <w:rsid w:val="00A5720C"/>
    <w:rsid w:val="00A83396"/>
    <w:rsid w:val="00A900B2"/>
    <w:rsid w:val="00AB0ADB"/>
    <w:rsid w:val="00AB10EC"/>
    <w:rsid w:val="00AF01DF"/>
    <w:rsid w:val="00B46027"/>
    <w:rsid w:val="00B72CD3"/>
    <w:rsid w:val="00B72FFF"/>
    <w:rsid w:val="00BA0B0A"/>
    <w:rsid w:val="00BD7F72"/>
    <w:rsid w:val="00C124F8"/>
    <w:rsid w:val="00C24CA3"/>
    <w:rsid w:val="00C330EB"/>
    <w:rsid w:val="00C754BE"/>
    <w:rsid w:val="00CB6357"/>
    <w:rsid w:val="00CC0B9C"/>
    <w:rsid w:val="00CC1B26"/>
    <w:rsid w:val="00D423A2"/>
    <w:rsid w:val="00D57B68"/>
    <w:rsid w:val="00D63AC2"/>
    <w:rsid w:val="00D7383B"/>
    <w:rsid w:val="00D83831"/>
    <w:rsid w:val="00DA2807"/>
    <w:rsid w:val="00DB7CAA"/>
    <w:rsid w:val="00DD28D8"/>
    <w:rsid w:val="00E05E8D"/>
    <w:rsid w:val="00E10726"/>
    <w:rsid w:val="00E16408"/>
    <w:rsid w:val="00E20894"/>
    <w:rsid w:val="00E245AB"/>
    <w:rsid w:val="00E340BE"/>
    <w:rsid w:val="00E50AFE"/>
    <w:rsid w:val="00E6213D"/>
    <w:rsid w:val="00E67231"/>
    <w:rsid w:val="00E771DC"/>
    <w:rsid w:val="00E8772A"/>
    <w:rsid w:val="00E90F6B"/>
    <w:rsid w:val="00E92C27"/>
    <w:rsid w:val="00EA0E3D"/>
    <w:rsid w:val="00EC170F"/>
    <w:rsid w:val="00EE1AA8"/>
    <w:rsid w:val="00EF4AAB"/>
    <w:rsid w:val="00F3165F"/>
    <w:rsid w:val="00F31EDC"/>
    <w:rsid w:val="00F5664F"/>
    <w:rsid w:val="00F75640"/>
    <w:rsid w:val="00F7635A"/>
    <w:rsid w:val="00F76AFC"/>
    <w:rsid w:val="00F76FB5"/>
    <w:rsid w:val="00FB5DD1"/>
    <w:rsid w:val="00FC1053"/>
    <w:rsid w:val="00FC2B5D"/>
    <w:rsid w:val="00FF1449"/>
    <w:rsid w:val="00FF4685"/>
    <w:rsid w:val="15BDDE31"/>
    <w:rsid w:val="235A4959"/>
    <w:rsid w:val="2DE0BC14"/>
    <w:rsid w:val="3A444C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paragraph" w:styleId="Textoindependiente">
    <w:name w:val="Body Text"/>
    <w:basedOn w:val="Normal"/>
    <w:link w:val="TextoindependienteCar"/>
    <w:uiPriority w:val="99"/>
    <w:semiHidden/>
    <w:unhideWhenUsed/>
    <w:rsid w:val="00506765"/>
    <w:pPr>
      <w:spacing w:after="120"/>
    </w:pPr>
  </w:style>
  <w:style w:type="character" w:styleId="TextoindependienteCar" w:customStyle="1">
    <w:name w:val="Texto independiente Car"/>
    <w:basedOn w:val="Fuentedeprrafopredeter"/>
    <w:link w:val="Textoindependiente"/>
    <w:uiPriority w:val="99"/>
    <w:semiHidden/>
    <w:rsid w:val="00506765"/>
  </w:style>
  <w:style w:type="character" w:styleId="Hipervnculo">
    <w:name w:val="Hyperlink"/>
    <w:basedOn w:val="Fuentedeprrafopredeter"/>
    <w:uiPriority w:val="99"/>
    <w:unhideWhenUsed/>
    <w:rsid w:val="00506765"/>
    <w:rPr>
      <w:color w:val="0563C1" w:themeColor="hyperlink"/>
      <w:u w:val="single"/>
    </w:rPr>
  </w:style>
  <w:style w:type="table" w:styleId="Tablaconcuadrcula1" w:customStyle="1">
    <w:name w:val="Tabla con cuadrícula1"/>
    <w:basedOn w:val="Tablanormal"/>
    <w:next w:val="Tablaconcuadrcula"/>
    <w:uiPriority w:val="59"/>
    <w:rsid w:val="00506765"/>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506765"/>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B7CAA"/>
    <w:rPr>
      <w:rFonts w:ascii="Geomanist Light" w:hAnsi="Geomanist Light"/>
      <w:lang w:val="es-ES"/>
    </w:rPr>
  </w:style>
  <w:style w:type="paragraph" w:styleId="Revisin">
    <w:name w:val="Revision"/>
    <w:hidden/>
    <w:uiPriority w:val="99"/>
    <w:semiHidden/>
    <w:rsid w:val="00A90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lombiacompra.gov.co/sala-de-prensa/boletin-digita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latoria.colombiacompra.gov.co/busqueda/concepto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Ximena Ríos López</DisplayName>
        <AccountId>48</AccountId>
        <AccountType/>
      </UserInfo>
      <UserInfo>
        <DisplayName>Cielo Victoria Gonzalez Meza</DisplayName>
        <AccountId>7679</AccountId>
        <AccountType/>
      </UserInfo>
    </SharedWithUsers>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48F9745-127E-4933-99DE-9A0D963E03AE}">
  <ds:schemaRefs>
    <ds:schemaRef ds:uri="http://schemas.openxmlformats.org/officeDocument/2006/bibliography"/>
  </ds:schemaRefs>
</ds:datastoreItem>
</file>

<file path=customXml/itemProps3.xml><?xml version="1.0" encoding="utf-8"?>
<ds:datastoreItem xmlns:ds="http://schemas.openxmlformats.org/officeDocument/2006/customXml" ds:itemID="{4BE9437C-BE28-401D-BD25-37E547383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Rey David Saido Quintero</lastModifiedBy>
  <revision>3</revision>
  <lastPrinted>2023-01-10T21:18:00.0000000Z</lastPrinted>
  <dcterms:created xsi:type="dcterms:W3CDTF">2024-09-10T04:26:00.0000000Z</dcterms:created>
  <dcterms:modified xsi:type="dcterms:W3CDTF">2024-09-17T05:17:28.5235447Z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