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42D49" w14:textId="77777777" w:rsidR="001435E5" w:rsidRPr="00995E3D" w:rsidRDefault="001435E5" w:rsidP="001435E5">
      <w:pPr>
        <w:spacing w:after="0" w:line="240" w:lineRule="auto"/>
        <w:jc w:val="both"/>
        <w:rPr>
          <w:rFonts w:ascii="Verdana" w:eastAsia="Geomanist Light" w:hAnsi="Verdana" w:cs="Arial"/>
          <w:b/>
          <w:bCs/>
          <w:lang w:val="es-ES_tradnl"/>
        </w:rPr>
      </w:pPr>
      <w:r w:rsidRPr="00995E3D">
        <w:rPr>
          <w:rFonts w:ascii="Verdana" w:eastAsia="Geomanist Light" w:hAnsi="Verdana" w:cs="Arial"/>
          <w:b/>
          <w:bCs/>
          <w:lang w:val="es-ES_tradnl"/>
        </w:rPr>
        <w:t>PUBLICACIÓN EN SECOP – Principio de publicidad – Principio de transparencia –</w:t>
      </w:r>
    </w:p>
    <w:p w14:paraId="317A1007" w14:textId="77777777" w:rsidR="001435E5" w:rsidRPr="00995E3D" w:rsidRDefault="001435E5" w:rsidP="001435E5">
      <w:pPr>
        <w:spacing w:after="0" w:line="240" w:lineRule="auto"/>
        <w:jc w:val="both"/>
        <w:rPr>
          <w:rFonts w:ascii="Verdana" w:eastAsia="Geomanist Light" w:hAnsi="Verdana" w:cs="Arial"/>
          <w:lang w:val="es-ES_tradnl"/>
        </w:rPr>
      </w:pPr>
    </w:p>
    <w:p w14:paraId="32C5B376" w14:textId="77777777" w:rsidR="001435E5" w:rsidRPr="00995E3D" w:rsidRDefault="001435E5" w:rsidP="001435E5">
      <w:pPr>
        <w:spacing w:after="0" w:line="240" w:lineRule="auto"/>
        <w:jc w:val="both"/>
        <w:rPr>
          <w:rFonts w:ascii="Verdana" w:eastAsia="Geomanist Light" w:hAnsi="Verdana" w:cs="Arial"/>
          <w:lang w:val="es-ES"/>
        </w:rPr>
      </w:pPr>
      <w:r w:rsidRPr="605AA482">
        <w:rPr>
          <w:rFonts w:ascii="Verdana" w:eastAsia="Geomanist Light" w:hAnsi="Verdana" w:cs="Arial"/>
          <w:lang w:val="es-ES"/>
        </w:rPr>
        <w:t xml:space="preserve">El principio de publicidad impone a las autoridades el deber de dar a conocer sus actos, contratos y decisiones, para que se divulguen y eventualmente se controlen dichas actuaciones. Es por eso </w:t>
      </w:r>
      <w:proofErr w:type="gramStart"/>
      <w:r w:rsidRPr="605AA482">
        <w:rPr>
          <w:rFonts w:ascii="Verdana" w:eastAsia="Geomanist Light" w:hAnsi="Verdana" w:cs="Arial"/>
          <w:lang w:val="es-ES"/>
        </w:rPr>
        <w:t>que</w:t>
      </w:r>
      <w:proofErr w:type="gramEnd"/>
      <w:r w:rsidRPr="605AA482">
        <w:rPr>
          <w:rFonts w:ascii="Verdana" w:eastAsia="Geomanist Light" w:hAnsi="Verdana" w:cs="Arial"/>
          <w:lang w:val="es-ES"/>
        </w:rPr>
        <w:t>,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p>
    <w:p w14:paraId="65828451" w14:textId="77777777" w:rsidR="001435E5" w:rsidRPr="00995E3D" w:rsidRDefault="001435E5" w:rsidP="001435E5">
      <w:pPr>
        <w:spacing w:after="0" w:line="240" w:lineRule="auto"/>
        <w:jc w:val="both"/>
        <w:rPr>
          <w:rFonts w:ascii="Verdana" w:eastAsia="Geomanist Light" w:hAnsi="Verdana" w:cs="Arial"/>
          <w:lang w:val="es-ES_tradnl"/>
        </w:rPr>
      </w:pPr>
      <w:r w:rsidRPr="00995E3D">
        <w:rPr>
          <w:rFonts w:ascii="Verdana" w:eastAsia="Geomanist Light" w:hAnsi="Verdana" w:cs="Arial"/>
          <w:lang w:val="es-ES_tradnl"/>
        </w:rPr>
        <w:t>[…]</w:t>
      </w:r>
    </w:p>
    <w:p w14:paraId="5B1AF815" w14:textId="77777777" w:rsidR="001435E5" w:rsidRDefault="001435E5" w:rsidP="001435E5">
      <w:pPr>
        <w:spacing w:after="0" w:line="240" w:lineRule="auto"/>
        <w:jc w:val="both"/>
        <w:rPr>
          <w:rFonts w:ascii="Verdana" w:eastAsia="Geomanist Light" w:hAnsi="Verdana" w:cs="Arial"/>
          <w:lang w:val="es-ES_tradnl"/>
        </w:rPr>
      </w:pPr>
      <w:r w:rsidRPr="00995E3D">
        <w:rPr>
          <w:rFonts w:ascii="Verdana" w:eastAsia="Geomanist Light" w:hAnsi="Verdana" w:cs="Arial"/>
          <w:lang w:val="es-ES_tradnl"/>
        </w:rPr>
        <w:t>[…]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legales.</w:t>
      </w:r>
    </w:p>
    <w:p w14:paraId="34AC239B" w14:textId="77777777" w:rsidR="001435E5" w:rsidRDefault="001435E5" w:rsidP="001435E5">
      <w:pPr>
        <w:spacing w:after="0" w:line="240" w:lineRule="auto"/>
        <w:jc w:val="both"/>
        <w:rPr>
          <w:rFonts w:ascii="Verdana" w:eastAsia="Geomanist Light" w:hAnsi="Verdana" w:cs="Arial"/>
          <w:lang w:val="es-ES_tradnl"/>
        </w:rPr>
      </w:pPr>
    </w:p>
    <w:p w14:paraId="4ADED351" w14:textId="77777777" w:rsidR="001435E5" w:rsidRPr="00995E3D" w:rsidRDefault="001435E5" w:rsidP="001435E5">
      <w:pPr>
        <w:spacing w:after="0" w:line="240" w:lineRule="auto"/>
        <w:jc w:val="both"/>
        <w:rPr>
          <w:rFonts w:ascii="Verdana" w:eastAsia="Geomanist Light" w:hAnsi="Verdana" w:cs="Arial"/>
          <w:b/>
        </w:rPr>
      </w:pPr>
      <w:r w:rsidRPr="00995E3D">
        <w:rPr>
          <w:rFonts w:ascii="Verdana" w:eastAsia="Geomanist Light" w:hAnsi="Verdana" w:cs="Arial"/>
          <w:b/>
        </w:rPr>
        <w:t xml:space="preserve">ADENDAS – Modificación al cronograma </w:t>
      </w:r>
    </w:p>
    <w:p w14:paraId="615D9461" w14:textId="77777777" w:rsidR="001435E5" w:rsidRPr="00995E3D" w:rsidRDefault="001435E5" w:rsidP="001435E5">
      <w:pPr>
        <w:spacing w:after="0" w:line="240" w:lineRule="auto"/>
        <w:jc w:val="both"/>
        <w:rPr>
          <w:rFonts w:ascii="Verdana" w:eastAsia="Geomanist Light" w:hAnsi="Verdana" w:cs="Arial"/>
          <w:b/>
        </w:rPr>
      </w:pPr>
    </w:p>
    <w:p w14:paraId="5E1231CA" w14:textId="77777777" w:rsidR="001435E5" w:rsidRPr="00995E3D" w:rsidRDefault="001435E5" w:rsidP="001435E5">
      <w:pPr>
        <w:spacing w:after="0" w:line="240" w:lineRule="auto"/>
        <w:jc w:val="both"/>
        <w:rPr>
          <w:rFonts w:ascii="Verdana" w:eastAsia="Geomanist Light" w:hAnsi="Verdana" w:cs="Arial"/>
          <w:bCs/>
        </w:rPr>
      </w:pPr>
      <w:r w:rsidRPr="00995E3D">
        <w:rPr>
          <w:rFonts w:ascii="Verdana" w:eastAsia="Geomanist Light" w:hAnsi="Verdana" w:cs="Arial"/>
          <w:bCs/>
        </w:rPr>
        <w:t>[…] el artículo 2.2.1.1.2.2.1 de Decreto 1082 de 2015 dispone que la entidad estatal puede expedir adendas para modificar el cronograma una vez vencido el término para la presentación de las ofertas y antes de la adjudicación del contrato. La interpretación de esta norma supone que pueden dar lugar a la expedición de adendas al cronograma del proceso de selección una vez vencido el plazo para la recepción de ofertas y antes de la adjudicación del contrato, en las que solo se permite modificar los plazos de las etapas siguientes.</w:t>
      </w:r>
    </w:p>
    <w:p w14:paraId="7B0D0971" w14:textId="77777777" w:rsidR="001435E5" w:rsidRPr="00995E3D" w:rsidRDefault="001435E5" w:rsidP="001435E5">
      <w:pPr>
        <w:spacing w:after="0" w:line="240" w:lineRule="auto"/>
        <w:jc w:val="both"/>
        <w:rPr>
          <w:rFonts w:ascii="Verdana" w:eastAsia="Geomanist Light" w:hAnsi="Verdana" w:cs="Arial"/>
          <w:bCs/>
        </w:rPr>
      </w:pPr>
    </w:p>
    <w:p w14:paraId="3E3025F1" w14:textId="77777777" w:rsidR="001435E5" w:rsidRPr="00995E3D" w:rsidRDefault="001435E5" w:rsidP="001435E5">
      <w:pPr>
        <w:spacing w:after="0" w:line="240" w:lineRule="auto"/>
        <w:jc w:val="both"/>
        <w:rPr>
          <w:rFonts w:ascii="Verdana" w:eastAsia="Geomanist Light" w:hAnsi="Verdana" w:cs="Arial"/>
          <w:bCs/>
        </w:rPr>
      </w:pPr>
      <w:r w:rsidRPr="00995E3D">
        <w:rPr>
          <w:rFonts w:ascii="Verdana" w:eastAsia="Geomanist Light" w:hAnsi="Verdana" w:cs="Arial"/>
          <w:bCs/>
        </w:rPr>
        <w:t xml:space="preserve">De lo anterior, se puede concluir que las entidades estatales pueden modificar el cronograma mediante adendas en dos momentos: i) antes del vencimiento del plazo para presentar ofertas, pues se entiende que el cronograma hace parte integral del pliego de condiciones, y </w:t>
      </w:r>
      <w:proofErr w:type="spellStart"/>
      <w:r w:rsidRPr="00995E3D">
        <w:rPr>
          <w:rFonts w:ascii="Verdana" w:eastAsia="Geomanist Light" w:hAnsi="Verdana" w:cs="Arial"/>
          <w:bCs/>
        </w:rPr>
        <w:t>ii</w:t>
      </w:r>
      <w:proofErr w:type="spellEnd"/>
      <w:r w:rsidRPr="00995E3D">
        <w:rPr>
          <w:rFonts w:ascii="Verdana" w:eastAsia="Geomanist Light" w:hAnsi="Verdana" w:cs="Arial"/>
          <w:bCs/>
        </w:rPr>
        <w:t xml:space="preserve">) una vez vencido el término para la presentación de ofertas y antes de la adjudicación del contrato. Al respecto, resulta del caso precisar que cada modalidad de selección tiene establecido un </w:t>
      </w:r>
      <w:r w:rsidRPr="00995E3D">
        <w:rPr>
          <w:rFonts w:ascii="Verdana" w:eastAsia="Geomanist Light" w:hAnsi="Verdana" w:cs="Arial"/>
          <w:bCs/>
        </w:rPr>
        <w:lastRenderedPageBreak/>
        <w:t>procedimiento propio que rige su estructuración y, en este sentido, las etapas y el acto final del proceso de selección dependerá de cada modalidad de selección. Por ejemplo, en la mínima cuantía el acto por medio del cual se escoge al futuro contratista es la comunicación de aceptación de la oferta.</w:t>
      </w:r>
    </w:p>
    <w:p w14:paraId="6F4C1FA5" w14:textId="77777777" w:rsidR="00764CC7" w:rsidRPr="00E26368" w:rsidRDefault="00764CC7" w:rsidP="007F021B">
      <w:pPr>
        <w:spacing w:before="100" w:beforeAutospacing="1" w:after="0" w:afterAutospacing="1" w:line="240" w:lineRule="auto"/>
        <w:jc w:val="both"/>
        <w:textAlignment w:val="baseline"/>
        <w:rPr>
          <w:rFonts w:ascii="Verdana" w:eastAsia="Times New Roman" w:hAnsi="Verdana" w:cs="Arial"/>
          <w:lang w:eastAsia="es-MX"/>
        </w:rPr>
      </w:pPr>
    </w:p>
    <w:p w14:paraId="75EE2C83" w14:textId="77777777" w:rsidR="00872CAC" w:rsidRPr="00E26368" w:rsidRDefault="00872CAC" w:rsidP="00E4617A">
      <w:pPr>
        <w:spacing w:before="100" w:beforeAutospacing="1" w:after="0" w:afterAutospacing="1" w:line="240" w:lineRule="auto"/>
        <w:jc w:val="both"/>
        <w:textAlignment w:val="baseline"/>
        <w:rPr>
          <w:rFonts w:ascii="Verdana" w:eastAsia="Times New Roman" w:hAnsi="Verdana" w:cs="Arial"/>
          <w:lang w:eastAsia="es-MX"/>
        </w:rPr>
      </w:pPr>
    </w:p>
    <w:p w14:paraId="59B22164" w14:textId="77777777" w:rsidR="00EB1F43" w:rsidRDefault="00EB1F43" w:rsidP="00E4617A">
      <w:pPr>
        <w:spacing w:before="100" w:beforeAutospacing="1" w:after="0" w:afterAutospacing="1" w:line="240" w:lineRule="auto"/>
        <w:jc w:val="both"/>
        <w:textAlignment w:val="baseline"/>
        <w:rPr>
          <w:rFonts w:ascii="Verdana" w:eastAsia="Times New Roman" w:hAnsi="Verdana" w:cs="Arial"/>
          <w:lang w:eastAsia="es-MX"/>
        </w:rPr>
      </w:pPr>
    </w:p>
    <w:p w14:paraId="55368041" w14:textId="77777777" w:rsidR="001435E5" w:rsidRDefault="001435E5" w:rsidP="00E4617A">
      <w:pPr>
        <w:spacing w:before="100" w:beforeAutospacing="1" w:after="0" w:afterAutospacing="1" w:line="240" w:lineRule="auto"/>
        <w:jc w:val="both"/>
        <w:textAlignment w:val="baseline"/>
        <w:rPr>
          <w:rFonts w:ascii="Verdana" w:eastAsia="Times New Roman" w:hAnsi="Verdana" w:cs="Arial"/>
          <w:lang w:eastAsia="es-MX"/>
        </w:rPr>
      </w:pPr>
    </w:p>
    <w:p w14:paraId="71F06456" w14:textId="77777777" w:rsidR="001435E5" w:rsidRDefault="001435E5" w:rsidP="00E4617A">
      <w:pPr>
        <w:spacing w:before="100" w:beforeAutospacing="1" w:after="0" w:afterAutospacing="1" w:line="240" w:lineRule="auto"/>
        <w:jc w:val="both"/>
        <w:textAlignment w:val="baseline"/>
        <w:rPr>
          <w:rFonts w:ascii="Verdana" w:eastAsia="Times New Roman" w:hAnsi="Verdana" w:cs="Arial"/>
          <w:lang w:eastAsia="es-MX"/>
        </w:rPr>
      </w:pPr>
    </w:p>
    <w:p w14:paraId="52B0B170" w14:textId="77777777" w:rsidR="001435E5" w:rsidRDefault="001435E5" w:rsidP="00E4617A">
      <w:pPr>
        <w:spacing w:before="100" w:beforeAutospacing="1" w:after="0" w:afterAutospacing="1" w:line="240" w:lineRule="auto"/>
        <w:jc w:val="both"/>
        <w:textAlignment w:val="baseline"/>
        <w:rPr>
          <w:rFonts w:ascii="Verdana" w:eastAsia="Times New Roman" w:hAnsi="Verdana" w:cs="Arial"/>
          <w:lang w:eastAsia="es-MX"/>
        </w:rPr>
      </w:pPr>
    </w:p>
    <w:p w14:paraId="4C91DA99" w14:textId="77777777" w:rsidR="001435E5" w:rsidRDefault="001435E5" w:rsidP="00E4617A">
      <w:pPr>
        <w:spacing w:before="100" w:beforeAutospacing="1" w:after="0" w:afterAutospacing="1" w:line="240" w:lineRule="auto"/>
        <w:jc w:val="both"/>
        <w:textAlignment w:val="baseline"/>
        <w:rPr>
          <w:rFonts w:ascii="Verdana" w:eastAsia="Times New Roman" w:hAnsi="Verdana" w:cs="Arial"/>
          <w:lang w:eastAsia="es-MX"/>
        </w:rPr>
      </w:pPr>
    </w:p>
    <w:p w14:paraId="3A054B6E" w14:textId="77777777" w:rsidR="001435E5" w:rsidRDefault="001435E5" w:rsidP="00E4617A">
      <w:pPr>
        <w:spacing w:before="100" w:beforeAutospacing="1" w:after="0" w:afterAutospacing="1" w:line="240" w:lineRule="auto"/>
        <w:jc w:val="both"/>
        <w:textAlignment w:val="baseline"/>
        <w:rPr>
          <w:rFonts w:ascii="Verdana" w:eastAsia="Times New Roman" w:hAnsi="Verdana" w:cs="Arial"/>
          <w:lang w:eastAsia="es-MX"/>
        </w:rPr>
      </w:pPr>
    </w:p>
    <w:p w14:paraId="3C9EDB22" w14:textId="77777777" w:rsidR="001435E5" w:rsidRDefault="001435E5" w:rsidP="00E4617A">
      <w:pPr>
        <w:spacing w:before="100" w:beforeAutospacing="1" w:after="0" w:afterAutospacing="1" w:line="240" w:lineRule="auto"/>
        <w:jc w:val="both"/>
        <w:textAlignment w:val="baseline"/>
        <w:rPr>
          <w:rFonts w:ascii="Verdana" w:eastAsia="Times New Roman" w:hAnsi="Verdana" w:cs="Arial"/>
          <w:lang w:eastAsia="es-MX"/>
        </w:rPr>
      </w:pPr>
    </w:p>
    <w:p w14:paraId="61133948" w14:textId="77777777" w:rsidR="001435E5" w:rsidRDefault="001435E5" w:rsidP="00E4617A">
      <w:pPr>
        <w:spacing w:before="100" w:beforeAutospacing="1" w:after="0" w:afterAutospacing="1" w:line="240" w:lineRule="auto"/>
        <w:jc w:val="both"/>
        <w:textAlignment w:val="baseline"/>
        <w:rPr>
          <w:rFonts w:ascii="Verdana" w:eastAsia="Times New Roman" w:hAnsi="Verdana" w:cs="Arial"/>
          <w:lang w:eastAsia="es-MX"/>
        </w:rPr>
      </w:pPr>
    </w:p>
    <w:p w14:paraId="6555FE3D" w14:textId="77777777" w:rsidR="001435E5" w:rsidRDefault="001435E5" w:rsidP="00E4617A">
      <w:pPr>
        <w:spacing w:before="100" w:beforeAutospacing="1" w:after="0" w:afterAutospacing="1" w:line="240" w:lineRule="auto"/>
        <w:jc w:val="both"/>
        <w:textAlignment w:val="baseline"/>
        <w:rPr>
          <w:rFonts w:ascii="Verdana" w:eastAsia="Times New Roman" w:hAnsi="Verdana" w:cs="Arial"/>
          <w:lang w:eastAsia="es-MX"/>
        </w:rPr>
      </w:pPr>
    </w:p>
    <w:p w14:paraId="465533D3" w14:textId="77777777" w:rsidR="001435E5" w:rsidRDefault="001435E5" w:rsidP="00E4617A">
      <w:pPr>
        <w:spacing w:before="100" w:beforeAutospacing="1" w:after="0" w:afterAutospacing="1" w:line="240" w:lineRule="auto"/>
        <w:jc w:val="both"/>
        <w:textAlignment w:val="baseline"/>
        <w:rPr>
          <w:rFonts w:ascii="Verdana" w:eastAsia="Times New Roman" w:hAnsi="Verdana" w:cs="Arial"/>
          <w:lang w:eastAsia="es-MX"/>
        </w:rPr>
      </w:pPr>
    </w:p>
    <w:p w14:paraId="4194CB95" w14:textId="77777777" w:rsidR="001435E5" w:rsidRDefault="001435E5" w:rsidP="00E4617A">
      <w:pPr>
        <w:spacing w:before="100" w:beforeAutospacing="1" w:after="0" w:afterAutospacing="1" w:line="240" w:lineRule="auto"/>
        <w:jc w:val="both"/>
        <w:textAlignment w:val="baseline"/>
        <w:rPr>
          <w:rFonts w:ascii="Verdana" w:eastAsia="Times New Roman" w:hAnsi="Verdana" w:cs="Arial"/>
          <w:lang w:eastAsia="es-MX"/>
        </w:rPr>
      </w:pPr>
    </w:p>
    <w:p w14:paraId="7C25FA17" w14:textId="77777777" w:rsidR="001435E5" w:rsidRDefault="001435E5" w:rsidP="00E4617A">
      <w:pPr>
        <w:spacing w:before="100" w:beforeAutospacing="1" w:after="0" w:afterAutospacing="1" w:line="240" w:lineRule="auto"/>
        <w:jc w:val="both"/>
        <w:textAlignment w:val="baseline"/>
        <w:rPr>
          <w:rFonts w:ascii="Verdana" w:eastAsia="Times New Roman" w:hAnsi="Verdana" w:cs="Arial"/>
          <w:lang w:eastAsia="es-MX"/>
        </w:rPr>
      </w:pPr>
    </w:p>
    <w:p w14:paraId="69F7F8DE" w14:textId="77777777" w:rsidR="001435E5" w:rsidRPr="00E26368" w:rsidRDefault="001435E5" w:rsidP="00E4617A">
      <w:pPr>
        <w:spacing w:before="100" w:beforeAutospacing="1" w:after="0" w:afterAutospacing="1" w:line="240" w:lineRule="auto"/>
        <w:jc w:val="both"/>
        <w:textAlignment w:val="baseline"/>
        <w:rPr>
          <w:rFonts w:ascii="Verdana" w:eastAsia="Times New Roman" w:hAnsi="Verdana" w:cs="Arial"/>
          <w:lang w:eastAsia="es-MX"/>
        </w:rPr>
      </w:pPr>
    </w:p>
    <w:p w14:paraId="28433B38" w14:textId="77777777" w:rsidR="00EB1F43" w:rsidRPr="00E26368" w:rsidRDefault="00EB1F43" w:rsidP="00E4617A">
      <w:pPr>
        <w:spacing w:before="100" w:beforeAutospacing="1" w:after="0" w:afterAutospacing="1" w:line="240" w:lineRule="auto"/>
        <w:jc w:val="both"/>
        <w:textAlignment w:val="baseline"/>
        <w:rPr>
          <w:rFonts w:ascii="Verdana" w:eastAsia="Times New Roman" w:hAnsi="Verdana" w:cs="Arial"/>
          <w:lang w:eastAsia="es-MX"/>
        </w:rPr>
      </w:pPr>
    </w:p>
    <w:p w14:paraId="0F7FB748" w14:textId="77777777" w:rsidR="00597B7B" w:rsidRDefault="00597B7B" w:rsidP="00E4617A">
      <w:pPr>
        <w:spacing w:before="100" w:beforeAutospacing="1" w:after="0" w:afterAutospacing="1" w:line="240" w:lineRule="auto"/>
        <w:jc w:val="both"/>
        <w:textAlignment w:val="baseline"/>
        <w:rPr>
          <w:rFonts w:ascii="Verdana" w:eastAsia="Times New Roman" w:hAnsi="Verdana" w:cs="Arial"/>
          <w:lang w:eastAsia="es-MX"/>
        </w:rPr>
      </w:pPr>
    </w:p>
    <w:p w14:paraId="445A2F65" w14:textId="77433431" w:rsidR="00FA41B9" w:rsidRDefault="00000D85" w:rsidP="00FA41B9">
      <w:pPr>
        <w:spacing w:after="0" w:line="240" w:lineRule="auto"/>
        <w:jc w:val="both"/>
        <w:rPr>
          <w:rFonts w:ascii="Verdana" w:eastAsia="Calibri" w:hAnsi="Verdana" w:cs="Arial"/>
          <w:color w:val="000000"/>
          <w:lang w:val="es-ES"/>
        </w:rPr>
      </w:pPr>
      <w:r w:rsidRPr="00000D85">
        <w:rPr>
          <w:rFonts w:ascii="Verdana" w:eastAsia="Geomanist Light" w:hAnsi="Verdana" w:cs="Arial"/>
          <w:color w:val="000000" w:themeColor="text1"/>
        </w:rPr>
        <w:lastRenderedPageBreak/>
        <w:t xml:space="preserve">Bogotá D.C., 09 de </w:t>
      </w:r>
      <w:proofErr w:type="gramStart"/>
      <w:r w:rsidRPr="00000D85">
        <w:rPr>
          <w:rFonts w:ascii="Verdana" w:eastAsia="Geomanist Light" w:hAnsi="Verdana" w:cs="Arial"/>
          <w:color w:val="000000" w:themeColor="text1"/>
        </w:rPr>
        <w:t>Septiembre</w:t>
      </w:r>
      <w:proofErr w:type="gramEnd"/>
      <w:r w:rsidRPr="00000D85">
        <w:rPr>
          <w:rFonts w:ascii="Verdana" w:eastAsia="Geomanist Light" w:hAnsi="Verdana" w:cs="Arial"/>
          <w:color w:val="000000" w:themeColor="text1"/>
        </w:rPr>
        <w:t xml:space="preserve"> de 2024</w:t>
      </w:r>
    </w:p>
    <w:p w14:paraId="52D91047" w14:textId="00CFDF50" w:rsidR="00FA41B9" w:rsidRPr="00AB261C" w:rsidRDefault="00FA41B9" w:rsidP="00FA41B9">
      <w:pPr>
        <w:spacing w:after="0" w:line="240" w:lineRule="auto"/>
        <w:jc w:val="both"/>
        <w:rPr>
          <w:rFonts w:ascii="Verdana" w:eastAsia="Calibri" w:hAnsi="Verdana" w:cs="Arial"/>
          <w:color w:val="000000"/>
          <w:lang w:val="es-ES"/>
        </w:rPr>
      </w:pPr>
    </w:p>
    <w:p w14:paraId="6C5264C8" w14:textId="09E9B69B" w:rsidR="00FA41B9" w:rsidRPr="00AB261C" w:rsidRDefault="00FA41B9" w:rsidP="00FA41B9">
      <w:pPr>
        <w:spacing w:after="0" w:line="240" w:lineRule="auto"/>
        <w:jc w:val="both"/>
        <w:rPr>
          <w:rFonts w:ascii="Verdana" w:eastAsia="Calibri" w:hAnsi="Verdana" w:cs="Arial"/>
          <w:lang w:val="es-ES" w:eastAsia="es-ES"/>
        </w:rPr>
      </w:pPr>
      <w:r w:rsidRPr="00AB261C">
        <w:rPr>
          <w:rFonts w:ascii="Verdana" w:eastAsia="Calibri" w:hAnsi="Verdana" w:cs="Arial"/>
          <w:lang w:val="es-ES" w:eastAsia="es-ES"/>
        </w:rPr>
        <w:t>Señor:</w:t>
      </w:r>
    </w:p>
    <w:p w14:paraId="43B19CEE" w14:textId="032D677D" w:rsidR="006220D7" w:rsidRPr="00AB261C" w:rsidRDefault="006220D7" w:rsidP="00FA41B9">
      <w:pPr>
        <w:spacing w:after="0" w:line="240" w:lineRule="auto"/>
        <w:rPr>
          <w:rFonts w:ascii="Verdana" w:eastAsia="Calibri" w:hAnsi="Verdana" w:cs="Arial"/>
          <w:b/>
          <w:bCs/>
          <w:lang w:val="es-ES" w:eastAsia="es-ES"/>
        </w:rPr>
      </w:pPr>
      <w:r w:rsidRPr="00AB261C">
        <w:rPr>
          <w:rFonts w:ascii="Verdana" w:eastAsia="Calibri" w:hAnsi="Verdana" w:cs="Arial"/>
          <w:b/>
          <w:bCs/>
          <w:lang w:val="es-ES" w:eastAsia="es-ES"/>
        </w:rPr>
        <w:t xml:space="preserve">JOSE DOMINGO CHARRASQUIEL </w:t>
      </w:r>
      <w:proofErr w:type="spellStart"/>
      <w:r w:rsidRPr="00AB261C">
        <w:rPr>
          <w:rFonts w:ascii="Verdana" w:eastAsia="Calibri" w:hAnsi="Verdana" w:cs="Arial"/>
          <w:b/>
          <w:bCs/>
          <w:lang w:val="es-ES" w:eastAsia="es-ES"/>
        </w:rPr>
        <w:t>CHARRASQUIEL</w:t>
      </w:r>
      <w:proofErr w:type="spellEnd"/>
    </w:p>
    <w:p w14:paraId="13EF2FEE" w14:textId="2B549886" w:rsidR="00000D85" w:rsidRDefault="00000000" w:rsidP="00FA41B9">
      <w:pPr>
        <w:spacing w:after="0" w:line="240" w:lineRule="auto"/>
        <w:rPr>
          <w:rFonts w:ascii="Verdana" w:hAnsi="Verdana"/>
        </w:rPr>
      </w:pPr>
      <w:hyperlink r:id="rId11" w:history="1">
        <w:r w:rsidR="00C17A59" w:rsidRPr="00AB261C">
          <w:rPr>
            <w:rStyle w:val="Hipervnculo"/>
            <w:rFonts w:ascii="Verdana" w:hAnsi="Verdana"/>
          </w:rPr>
          <w:t>jdcharrasquiel@gmail.com</w:t>
        </w:r>
      </w:hyperlink>
    </w:p>
    <w:p w14:paraId="5014FE4A" w14:textId="676C1FEC" w:rsidR="00FA41B9" w:rsidRPr="00000D85" w:rsidRDefault="00991270" w:rsidP="00FA41B9">
      <w:pPr>
        <w:spacing w:after="0" w:line="240" w:lineRule="auto"/>
        <w:rPr>
          <w:rFonts w:ascii="Verdana" w:hAnsi="Verdana"/>
        </w:rPr>
      </w:pPr>
      <w:r w:rsidRPr="003B7CEE">
        <w:rPr>
          <w:rFonts w:ascii="Verdana" w:eastAsia="Calibri" w:hAnsi="Verdana" w:cs="Arial"/>
          <w:b/>
          <w:bCs/>
          <w:color w:val="000000"/>
          <w:lang w:val="es-ES_tradnl" w:eastAsia="es-ES_tradnl"/>
        </w:rPr>
        <w:drawing>
          <wp:anchor distT="0" distB="0" distL="114300" distR="114300" simplePos="0" relativeHeight="251658240" behindDoc="0" locked="0" layoutInCell="1" allowOverlap="1" wp14:anchorId="11E1ADBF" wp14:editId="2D484524">
            <wp:simplePos x="0" y="0"/>
            <wp:positionH relativeFrom="margin">
              <wp:posOffset>2385231</wp:posOffset>
            </wp:positionH>
            <wp:positionV relativeFrom="paragraph">
              <wp:posOffset>261444</wp:posOffset>
            </wp:positionV>
            <wp:extent cx="2558415" cy="692150"/>
            <wp:effectExtent l="0" t="0" r="0" b="0"/>
            <wp:wrapTopAndBottom/>
            <wp:docPr id="28405635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056353" name="Imagen 1"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58415" cy="692150"/>
                    </a:xfrm>
                    <a:prstGeom prst="rect">
                      <a:avLst/>
                    </a:prstGeom>
                  </pic:spPr>
                </pic:pic>
              </a:graphicData>
            </a:graphic>
            <wp14:sizeRelH relativeFrom="margin">
              <wp14:pctWidth>0</wp14:pctWidth>
            </wp14:sizeRelH>
            <wp14:sizeRelV relativeFrom="margin">
              <wp14:pctHeight>0</wp14:pctHeight>
            </wp14:sizeRelV>
          </wp:anchor>
        </w:drawing>
      </w:r>
      <w:r w:rsidR="00C17A59" w:rsidRPr="00AB261C">
        <w:rPr>
          <w:rFonts w:ascii="Verdana" w:eastAsia="Calibri" w:hAnsi="Verdana" w:cs="Arial"/>
          <w:lang w:val="es-ES" w:eastAsia="es-ES"/>
        </w:rPr>
        <w:t>Bogotá D.C.</w:t>
      </w:r>
    </w:p>
    <w:p w14:paraId="22C7042A" w14:textId="77777777" w:rsidR="00FA41B9" w:rsidRPr="00E26368" w:rsidRDefault="00FA41B9" w:rsidP="00FA41B9">
      <w:pPr>
        <w:spacing w:after="0" w:line="240" w:lineRule="auto"/>
        <w:rPr>
          <w:rFonts w:ascii="Verdana" w:eastAsia="Calibri" w:hAnsi="Verdana" w:cs="Arial"/>
          <w:b/>
          <w:bCs/>
          <w:color w:val="000000"/>
          <w:lang w:val="es-ES_tradnl" w:eastAsia="es-ES_tradnl"/>
        </w:rPr>
      </w:pPr>
    </w:p>
    <w:tbl>
      <w:tblPr>
        <w:tblStyle w:val="Tablaconcuadrcula"/>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38"/>
        <w:gridCol w:w="6100"/>
      </w:tblGrid>
      <w:tr w:rsidR="00FA41B9" w:rsidRPr="00E26368" w14:paraId="2539E89B" w14:textId="77777777" w:rsidTr="002A392E">
        <w:trPr>
          <w:trHeight w:val="884"/>
        </w:trPr>
        <w:tc>
          <w:tcPr>
            <w:tcW w:w="2738" w:type="dxa"/>
          </w:tcPr>
          <w:p w14:paraId="47F785D7" w14:textId="77777777" w:rsidR="00FA41B9" w:rsidRPr="00E26368" w:rsidRDefault="00FA41B9" w:rsidP="00367512">
            <w:pPr>
              <w:jc w:val="both"/>
              <w:rPr>
                <w:rFonts w:ascii="Verdana" w:eastAsia="Calibri" w:hAnsi="Verdana" w:cs="Arial"/>
                <w:b/>
                <w:bCs/>
                <w:color w:val="7030A0"/>
                <w:lang w:val="es-ES_tradnl" w:eastAsia="es-ES_tradnl"/>
              </w:rPr>
            </w:pPr>
          </w:p>
        </w:tc>
        <w:tc>
          <w:tcPr>
            <w:tcW w:w="6100" w:type="dxa"/>
            <w:hideMark/>
          </w:tcPr>
          <w:p w14:paraId="7DD666FD" w14:textId="4BD028D3" w:rsidR="00FA41B9" w:rsidRPr="00E26368" w:rsidRDefault="00FA41B9" w:rsidP="00367512">
            <w:pPr>
              <w:jc w:val="both"/>
              <w:rPr>
                <w:rFonts w:ascii="Verdana" w:eastAsia="Calibri" w:hAnsi="Verdana" w:cs="Arial"/>
                <w:b/>
                <w:bCs/>
                <w:color w:val="7030A0"/>
                <w:lang w:val="es-ES" w:eastAsia="es-ES"/>
              </w:rPr>
            </w:pPr>
            <w:r w:rsidRPr="00E26368">
              <w:rPr>
                <w:rFonts w:ascii="Verdana" w:eastAsia="Calibri" w:hAnsi="Verdana" w:cs="Arial"/>
                <w:b/>
                <w:bCs/>
                <w:lang w:val="es-ES" w:eastAsia="es-ES"/>
              </w:rPr>
              <w:t>Concepto C- 3</w:t>
            </w:r>
            <w:r w:rsidR="005447A6">
              <w:rPr>
                <w:rFonts w:ascii="Verdana" w:eastAsia="Calibri" w:hAnsi="Verdana" w:cs="Arial"/>
                <w:b/>
                <w:bCs/>
                <w:lang w:val="es-ES" w:eastAsia="es-ES"/>
              </w:rPr>
              <w:t xml:space="preserve">93 </w:t>
            </w:r>
            <w:r w:rsidRPr="00E26368">
              <w:rPr>
                <w:rFonts w:ascii="Verdana" w:eastAsia="Calibri" w:hAnsi="Verdana" w:cs="Arial"/>
                <w:b/>
                <w:bCs/>
                <w:lang w:val="es-ES" w:eastAsia="es-ES"/>
              </w:rPr>
              <w:t>de 2024</w:t>
            </w:r>
          </w:p>
        </w:tc>
      </w:tr>
      <w:tr w:rsidR="00FA41B9" w:rsidRPr="00E26368" w14:paraId="0B57E233" w14:textId="77777777" w:rsidTr="002A392E">
        <w:trPr>
          <w:trHeight w:val="884"/>
        </w:trPr>
        <w:tc>
          <w:tcPr>
            <w:tcW w:w="2738" w:type="dxa"/>
            <w:hideMark/>
          </w:tcPr>
          <w:p w14:paraId="399D3CFA" w14:textId="77777777" w:rsidR="00FA41B9" w:rsidRPr="00E26368" w:rsidRDefault="00FA41B9" w:rsidP="00367512">
            <w:pPr>
              <w:jc w:val="both"/>
              <w:rPr>
                <w:rFonts w:ascii="Verdana" w:eastAsia="Calibri" w:hAnsi="Verdana" w:cs="Arial"/>
                <w:lang w:val="es-ES_tradnl" w:eastAsia="es-ES_tradnl"/>
              </w:rPr>
            </w:pPr>
            <w:r w:rsidRPr="00E26368">
              <w:rPr>
                <w:rFonts w:ascii="Verdana" w:eastAsia="Calibri" w:hAnsi="Verdana" w:cs="Arial"/>
                <w:b/>
                <w:lang w:val="es-ES_tradnl" w:eastAsia="es-ES_tradnl"/>
              </w:rPr>
              <w:t>Temas:</w:t>
            </w:r>
            <w:r w:rsidRPr="00E26368">
              <w:rPr>
                <w:rFonts w:ascii="Verdana" w:eastAsia="Calibri" w:hAnsi="Verdana" w:cs="Arial"/>
                <w:lang w:val="es-ES_tradnl" w:eastAsia="es-ES_tradnl"/>
              </w:rPr>
              <w:t xml:space="preserve">                   </w:t>
            </w:r>
          </w:p>
        </w:tc>
        <w:tc>
          <w:tcPr>
            <w:tcW w:w="6100" w:type="dxa"/>
          </w:tcPr>
          <w:p w14:paraId="60392546" w14:textId="51FA3E26" w:rsidR="00FA41B9" w:rsidRPr="00E26368" w:rsidRDefault="00333FE6" w:rsidP="00FA41B9">
            <w:pPr>
              <w:pStyle w:val="Prrafodelista"/>
              <w:numPr>
                <w:ilvl w:val="0"/>
                <w:numId w:val="16"/>
              </w:numPr>
              <w:spacing w:line="276" w:lineRule="auto"/>
              <w:ind w:left="0"/>
              <w:jc w:val="both"/>
              <w:rPr>
                <w:rFonts w:ascii="Verdana" w:eastAsia="Calibri" w:hAnsi="Verdana" w:cs="Arial"/>
                <w:lang w:eastAsia="es-ES"/>
              </w:rPr>
            </w:pPr>
            <w:r w:rsidRPr="00333FE6">
              <w:rPr>
                <w:rFonts w:ascii="Verdana" w:eastAsia="Calibri" w:hAnsi="Verdana" w:cs="Arial"/>
                <w:lang w:eastAsia="es-ES"/>
              </w:rPr>
              <w:t>PUBLICACIÓN EN SECOP - Principio de transparencia / ADENDAS – Modificación al cronograma</w:t>
            </w:r>
          </w:p>
        </w:tc>
      </w:tr>
      <w:tr w:rsidR="00FA41B9" w:rsidRPr="00E26368" w14:paraId="655D731A" w14:textId="77777777" w:rsidTr="002A392E">
        <w:tc>
          <w:tcPr>
            <w:tcW w:w="2738" w:type="dxa"/>
            <w:hideMark/>
          </w:tcPr>
          <w:p w14:paraId="458D63FE" w14:textId="77777777" w:rsidR="00FA41B9" w:rsidRPr="00E26368" w:rsidRDefault="00FA41B9" w:rsidP="00367512">
            <w:pPr>
              <w:jc w:val="both"/>
              <w:rPr>
                <w:rFonts w:ascii="Verdana" w:eastAsia="Calibri" w:hAnsi="Verdana" w:cs="Arial"/>
                <w:b/>
                <w:color w:val="7030A0"/>
                <w:lang w:val="es-ES_tradnl" w:eastAsia="es-ES_tradnl"/>
              </w:rPr>
            </w:pPr>
            <w:r w:rsidRPr="00E26368">
              <w:rPr>
                <w:rFonts w:ascii="Verdana" w:eastAsia="Calibri" w:hAnsi="Verdana" w:cs="Arial"/>
                <w:b/>
                <w:lang w:val="es-ES_tradnl" w:eastAsia="es-ES_tradnl"/>
              </w:rPr>
              <w:t>Radicación:</w:t>
            </w:r>
            <w:r w:rsidRPr="00E26368">
              <w:rPr>
                <w:rFonts w:ascii="Verdana" w:eastAsia="Calibri" w:hAnsi="Verdana" w:cs="Arial"/>
                <w:lang w:val="es-ES_tradnl" w:eastAsia="es-ES_tradnl"/>
              </w:rPr>
              <w:t xml:space="preserve">               </w:t>
            </w:r>
          </w:p>
        </w:tc>
        <w:tc>
          <w:tcPr>
            <w:tcW w:w="6100" w:type="dxa"/>
            <w:hideMark/>
          </w:tcPr>
          <w:p w14:paraId="5C41DA38" w14:textId="747A34E4" w:rsidR="00FA41B9" w:rsidRPr="00E26368" w:rsidRDefault="00FA41B9" w:rsidP="00367512">
            <w:pPr>
              <w:jc w:val="both"/>
              <w:rPr>
                <w:rFonts w:ascii="Verdana" w:eastAsia="Calibri" w:hAnsi="Verdana" w:cs="Arial"/>
                <w:color w:val="7030A0"/>
                <w:lang w:val="es-ES_tradnl" w:eastAsia="es-ES_tradnl"/>
              </w:rPr>
            </w:pPr>
            <w:r w:rsidRPr="00E26368">
              <w:rPr>
                <w:rFonts w:ascii="Verdana" w:eastAsia="Calibri" w:hAnsi="Verdana" w:cs="Arial"/>
                <w:lang w:val="es-ES_tradnl" w:eastAsia="es-ES_tradnl"/>
              </w:rPr>
              <w:t xml:space="preserve">Respuesta a consulta con radicado No. </w:t>
            </w:r>
            <w:r w:rsidR="00F850D4" w:rsidRPr="00F850D4">
              <w:rPr>
                <w:rFonts w:ascii="Verdana" w:eastAsia="Calibri" w:hAnsi="Verdana" w:cs="Arial"/>
                <w:lang w:val="es-ES_tradnl" w:eastAsia="es-ES_tradnl"/>
              </w:rPr>
              <w:t>P20240725007668</w:t>
            </w:r>
          </w:p>
        </w:tc>
      </w:tr>
    </w:tbl>
    <w:p w14:paraId="4D15A7B4" w14:textId="77777777" w:rsidR="00FA41B9" w:rsidRPr="00E26368" w:rsidRDefault="00FA41B9" w:rsidP="00FA41B9">
      <w:pPr>
        <w:spacing w:after="0" w:line="240" w:lineRule="auto"/>
        <w:jc w:val="both"/>
        <w:rPr>
          <w:rFonts w:ascii="Verdana" w:eastAsia="Calibri" w:hAnsi="Verdana" w:cs="Arial"/>
          <w:color w:val="000000"/>
          <w:lang w:val="es-ES_tradnl" w:eastAsia="es-ES_tradnl"/>
        </w:rPr>
      </w:pPr>
    </w:p>
    <w:p w14:paraId="52CF7683" w14:textId="77777777" w:rsidR="00FA41B9" w:rsidRPr="00E26368" w:rsidRDefault="00FA41B9" w:rsidP="00FA41B9">
      <w:pPr>
        <w:spacing w:after="0" w:line="240" w:lineRule="auto"/>
        <w:jc w:val="both"/>
        <w:rPr>
          <w:rFonts w:ascii="Verdana" w:eastAsia="Calibri" w:hAnsi="Verdana" w:cs="Arial"/>
          <w:color w:val="000000"/>
          <w:lang w:val="es-ES_tradnl" w:eastAsia="es-ES_tradnl"/>
        </w:rPr>
      </w:pPr>
    </w:p>
    <w:p w14:paraId="7C025C6C" w14:textId="77777777" w:rsidR="00FA41B9" w:rsidRPr="00E26368" w:rsidRDefault="00FA41B9" w:rsidP="00FA41B9">
      <w:pPr>
        <w:spacing w:after="0" w:line="276" w:lineRule="auto"/>
        <w:jc w:val="both"/>
        <w:rPr>
          <w:rFonts w:ascii="Verdana" w:eastAsia="Calibri" w:hAnsi="Verdana" w:cs="Arial"/>
          <w:color w:val="000000" w:themeColor="text1"/>
          <w:lang w:val="es-ES" w:eastAsia="es-ES"/>
        </w:rPr>
      </w:pPr>
      <w:r w:rsidRPr="00E26368">
        <w:rPr>
          <w:rFonts w:ascii="Verdana" w:eastAsia="Calibri" w:hAnsi="Verdana" w:cs="Arial"/>
          <w:color w:val="000000" w:themeColor="text1"/>
          <w:lang w:val="es-ES" w:eastAsia="es-ES"/>
        </w:rPr>
        <w:t xml:space="preserve">Estimada señor </w:t>
      </w:r>
      <w:r>
        <w:rPr>
          <w:rFonts w:ascii="Verdana" w:eastAsia="Calibri" w:hAnsi="Verdana" w:cs="Arial"/>
          <w:color w:val="000000" w:themeColor="text1"/>
          <w:lang w:val="es-ES" w:eastAsia="es-ES"/>
        </w:rPr>
        <w:t>Vega</w:t>
      </w:r>
      <w:r w:rsidRPr="00E26368">
        <w:rPr>
          <w:rFonts w:ascii="Verdana" w:eastAsia="Calibri" w:hAnsi="Verdana" w:cs="Arial"/>
          <w:color w:val="000000" w:themeColor="text1"/>
          <w:lang w:val="es-ES" w:eastAsia="es-ES"/>
        </w:rPr>
        <w:t xml:space="preserve">:  </w:t>
      </w:r>
    </w:p>
    <w:p w14:paraId="01A09D77" w14:textId="77777777" w:rsidR="00FA41B9" w:rsidRPr="00E26368" w:rsidRDefault="00FA41B9" w:rsidP="00FA41B9">
      <w:pPr>
        <w:tabs>
          <w:tab w:val="left" w:pos="3768"/>
        </w:tabs>
        <w:spacing w:after="0" w:line="276" w:lineRule="auto"/>
        <w:jc w:val="both"/>
        <w:rPr>
          <w:rFonts w:ascii="Verdana" w:eastAsia="Calibri" w:hAnsi="Verdana" w:cs="Arial"/>
          <w:color w:val="000000" w:themeColor="text1"/>
          <w:lang w:val="es-ES" w:eastAsia="es-ES"/>
        </w:rPr>
      </w:pPr>
      <w:r w:rsidRPr="00E26368">
        <w:rPr>
          <w:rFonts w:ascii="Verdana" w:eastAsia="Calibri" w:hAnsi="Verdana" w:cs="Arial"/>
          <w:color w:val="000000" w:themeColor="text1"/>
          <w:lang w:val="es-ES" w:eastAsia="es-ES"/>
        </w:rPr>
        <w:tab/>
      </w:r>
    </w:p>
    <w:p w14:paraId="09C58605" w14:textId="6D7B70D2" w:rsidR="00FA41B9" w:rsidRPr="00E26368" w:rsidRDefault="00FA41B9" w:rsidP="00FA41B9">
      <w:pPr>
        <w:spacing w:after="0" w:line="276" w:lineRule="auto"/>
        <w:jc w:val="both"/>
        <w:rPr>
          <w:rFonts w:ascii="Verdana" w:eastAsia="Calibri" w:hAnsi="Verdana" w:cs="Arial"/>
          <w:color w:val="7030A0"/>
          <w:lang w:val="es-ES" w:eastAsia="es-ES"/>
        </w:rPr>
      </w:pPr>
      <w:r w:rsidRPr="00E26368">
        <w:rPr>
          <w:rFonts w:ascii="Verdana" w:eastAsia="Calibri" w:hAnsi="Verdana" w:cs="Arial"/>
          <w:color w:val="000000" w:themeColor="text1"/>
          <w:lang w:val="es-ES" w:eastAsia="es-ES"/>
        </w:rPr>
        <w:t>En ejercicio de la competencia otorgada por los artículos 3, numeral 5º, y 11, numeral 8º, del Decreto Ley 4170 de 2011,</w:t>
      </w:r>
      <w:r w:rsidRPr="00E26368">
        <w:rPr>
          <w:rFonts w:ascii="Verdana" w:eastAsia="Arial MT" w:hAnsi="Verdana" w:cs="Arial MT"/>
          <w:lang w:val="es-ES" w:eastAsia="es-ES"/>
        </w:rPr>
        <w:t xml:space="preserve"> </w:t>
      </w:r>
      <w:r w:rsidRPr="00E26368">
        <w:rPr>
          <w:rFonts w:ascii="Verdana" w:hAnsi="Verdana" w:cs="Arial"/>
        </w:rPr>
        <w:t xml:space="preserve">así como lo establecido en el artículo 4 de la Resolución 1707 de 2018 expedida por esta Entidad, </w:t>
      </w:r>
      <w:r w:rsidRPr="00E26368">
        <w:rPr>
          <w:rFonts w:ascii="Verdana" w:eastAsia="Calibri" w:hAnsi="Verdana" w:cs="Arial"/>
          <w:color w:val="000000" w:themeColor="text1"/>
          <w:lang w:val="es-ES" w:eastAsia="es-ES"/>
        </w:rPr>
        <w:t xml:space="preserve">la Agencia Nacional </w:t>
      </w:r>
      <w:r w:rsidRPr="00E26368">
        <w:rPr>
          <w:rFonts w:ascii="Verdana" w:eastAsia="Calibri" w:hAnsi="Verdana" w:cs="Arial"/>
          <w:lang w:val="es-ES" w:eastAsia="es-ES"/>
        </w:rPr>
        <w:t xml:space="preserve">de Contratación Pública – Colombia Compra Eficiente– responde su solicitud de consulta de fecha </w:t>
      </w:r>
      <w:r w:rsidR="00F02290">
        <w:rPr>
          <w:rFonts w:ascii="Verdana" w:eastAsia="Calibri" w:hAnsi="Verdana" w:cs="Arial"/>
          <w:lang w:val="es-ES" w:eastAsia="es-ES"/>
        </w:rPr>
        <w:t>25</w:t>
      </w:r>
      <w:r w:rsidRPr="00E26368">
        <w:rPr>
          <w:rFonts w:ascii="Verdana" w:eastAsia="Calibri" w:hAnsi="Verdana" w:cs="Arial"/>
          <w:lang w:val="es-ES" w:eastAsia="es-ES"/>
        </w:rPr>
        <w:t xml:space="preserve"> de julio de 2024, en la cual manifiesta lo siguiente: </w:t>
      </w:r>
    </w:p>
    <w:p w14:paraId="79B33299" w14:textId="77777777" w:rsidR="00FA41B9" w:rsidRPr="00E26368" w:rsidRDefault="00FA41B9" w:rsidP="00FA41B9">
      <w:pPr>
        <w:spacing w:after="0" w:line="240" w:lineRule="auto"/>
        <w:ind w:left="426" w:right="709"/>
        <w:jc w:val="both"/>
        <w:rPr>
          <w:rFonts w:ascii="Verdana" w:eastAsia="Century Gothic" w:hAnsi="Verdana" w:cs="Century Gothic"/>
          <w:i/>
          <w:iCs/>
        </w:rPr>
      </w:pPr>
      <w:bookmarkStart w:id="0" w:name="_Hlk95313578"/>
    </w:p>
    <w:p w14:paraId="09F405A3" w14:textId="54D6D7D2" w:rsidR="00DE2151" w:rsidRPr="00DE2151" w:rsidRDefault="00FA41B9" w:rsidP="00DE2151">
      <w:pPr>
        <w:spacing w:after="0" w:line="240" w:lineRule="auto"/>
        <w:ind w:left="426" w:right="709"/>
        <w:jc w:val="both"/>
        <w:rPr>
          <w:rStyle w:val="normaltextrun"/>
          <w:rFonts w:ascii="Verdana" w:hAnsi="Verdana" w:cs="Arial"/>
          <w:i/>
          <w:iCs/>
          <w:sz w:val="20"/>
          <w:szCs w:val="20"/>
          <w:shd w:val="clear" w:color="auto" w:fill="FFFFFF"/>
          <w:lang w:val="es-ES"/>
        </w:rPr>
      </w:pPr>
      <w:r w:rsidRPr="00E26368">
        <w:rPr>
          <w:rFonts w:ascii="Verdana" w:eastAsia="Century Gothic" w:hAnsi="Verdana" w:cs="Century Gothic"/>
          <w:i/>
          <w:iCs/>
          <w:sz w:val="20"/>
          <w:szCs w:val="20"/>
        </w:rPr>
        <w:t>“</w:t>
      </w:r>
      <w:r w:rsidRPr="00E26368">
        <w:rPr>
          <w:rStyle w:val="normaltextrun"/>
          <w:rFonts w:ascii="Verdana" w:hAnsi="Verdana" w:cs="Arial"/>
          <w:i/>
          <w:iCs/>
          <w:sz w:val="20"/>
          <w:szCs w:val="20"/>
          <w:shd w:val="clear" w:color="auto" w:fill="FFFFFF"/>
          <w:lang w:val="es-ES"/>
        </w:rPr>
        <w:t>[…]</w:t>
      </w:r>
      <w:bookmarkEnd w:id="0"/>
      <w:r w:rsidR="00DE2151" w:rsidRPr="00DE2151">
        <w:rPr>
          <w:rStyle w:val="normaltextrun"/>
          <w:rFonts w:ascii="Verdana" w:hAnsi="Verdana" w:cs="Arial"/>
          <w:i/>
          <w:iCs/>
          <w:sz w:val="20"/>
          <w:szCs w:val="20"/>
          <w:shd w:val="clear" w:color="auto" w:fill="FFFFFF"/>
          <w:lang w:val="es-ES"/>
        </w:rPr>
        <w:t>Se llevo a cabo la firma de un contrato en el SECOP II, pero al momento de firmarlo</w:t>
      </w:r>
      <w:r w:rsidR="00DE2151">
        <w:rPr>
          <w:rStyle w:val="normaltextrun"/>
          <w:rFonts w:ascii="Verdana" w:hAnsi="Verdana" w:cs="Arial"/>
          <w:i/>
          <w:iCs/>
          <w:sz w:val="20"/>
          <w:szCs w:val="20"/>
          <w:shd w:val="clear" w:color="auto" w:fill="FFFFFF"/>
          <w:lang w:val="es-ES"/>
        </w:rPr>
        <w:t xml:space="preserve"> </w:t>
      </w:r>
      <w:r w:rsidR="00DE2151" w:rsidRPr="00DE2151">
        <w:rPr>
          <w:rStyle w:val="normaltextrun"/>
          <w:rFonts w:ascii="Verdana" w:hAnsi="Verdana" w:cs="Arial"/>
          <w:i/>
          <w:iCs/>
          <w:sz w:val="20"/>
          <w:szCs w:val="20"/>
          <w:shd w:val="clear" w:color="auto" w:fill="FFFFFF"/>
          <w:lang w:val="es-ES"/>
        </w:rPr>
        <w:t xml:space="preserve">por el ordenador del gasto, </w:t>
      </w:r>
      <w:proofErr w:type="spellStart"/>
      <w:r w:rsidR="00DE2151" w:rsidRPr="00DE2151">
        <w:rPr>
          <w:rStyle w:val="normaltextrun"/>
          <w:rFonts w:ascii="Verdana" w:hAnsi="Verdana" w:cs="Arial"/>
          <w:i/>
          <w:iCs/>
          <w:sz w:val="20"/>
          <w:szCs w:val="20"/>
          <w:shd w:val="clear" w:color="auto" w:fill="FFFFFF"/>
          <w:lang w:val="es-ES"/>
        </w:rPr>
        <w:t>existio</w:t>
      </w:r>
      <w:proofErr w:type="spellEnd"/>
      <w:r w:rsidR="00DE2151" w:rsidRPr="00DE2151">
        <w:rPr>
          <w:rStyle w:val="normaltextrun"/>
          <w:rFonts w:ascii="Verdana" w:hAnsi="Verdana" w:cs="Arial"/>
          <w:i/>
          <w:iCs/>
          <w:sz w:val="20"/>
          <w:szCs w:val="20"/>
          <w:shd w:val="clear" w:color="auto" w:fill="FFFFFF"/>
          <w:lang w:val="es-ES"/>
        </w:rPr>
        <w:t xml:space="preserve"> un error involuntario del abogado que llevaba el</w:t>
      </w:r>
      <w:r w:rsidR="00DE2151">
        <w:rPr>
          <w:rStyle w:val="normaltextrun"/>
          <w:rFonts w:ascii="Verdana" w:hAnsi="Verdana" w:cs="Arial"/>
          <w:i/>
          <w:iCs/>
          <w:sz w:val="20"/>
          <w:szCs w:val="20"/>
          <w:shd w:val="clear" w:color="auto" w:fill="FFFFFF"/>
          <w:lang w:val="es-ES"/>
        </w:rPr>
        <w:t xml:space="preserve"> </w:t>
      </w:r>
      <w:r w:rsidR="00DE2151" w:rsidRPr="00DE2151">
        <w:rPr>
          <w:rStyle w:val="normaltextrun"/>
          <w:rFonts w:ascii="Verdana" w:hAnsi="Verdana" w:cs="Arial"/>
          <w:i/>
          <w:iCs/>
          <w:sz w:val="20"/>
          <w:szCs w:val="20"/>
          <w:shd w:val="clear" w:color="auto" w:fill="FFFFFF"/>
          <w:lang w:val="es-ES"/>
        </w:rPr>
        <w:t>proceso en la plataforma. El abogado responsable de llevar el proceso en</w:t>
      </w:r>
      <w:r w:rsidR="00DE2151">
        <w:rPr>
          <w:rStyle w:val="normaltextrun"/>
          <w:rFonts w:ascii="Verdana" w:hAnsi="Verdana" w:cs="Arial"/>
          <w:i/>
          <w:iCs/>
          <w:sz w:val="20"/>
          <w:szCs w:val="20"/>
          <w:shd w:val="clear" w:color="auto" w:fill="FFFFFF"/>
          <w:lang w:val="es-ES"/>
        </w:rPr>
        <w:t xml:space="preserve"> </w:t>
      </w:r>
      <w:r w:rsidR="00DE2151" w:rsidRPr="00DE2151">
        <w:rPr>
          <w:rStyle w:val="normaltextrun"/>
          <w:rFonts w:ascii="Verdana" w:hAnsi="Verdana" w:cs="Arial"/>
          <w:i/>
          <w:iCs/>
          <w:sz w:val="20"/>
          <w:szCs w:val="20"/>
          <w:shd w:val="clear" w:color="auto" w:fill="FFFFFF"/>
          <w:lang w:val="es-ES"/>
        </w:rPr>
        <w:t>plataforma firmo como si fuera el ordenador del gasto.</w:t>
      </w:r>
    </w:p>
    <w:p w14:paraId="7188E94C" w14:textId="77777777" w:rsidR="00DE2151" w:rsidRDefault="00DE2151" w:rsidP="00DE2151">
      <w:pPr>
        <w:spacing w:after="0" w:line="240" w:lineRule="auto"/>
        <w:ind w:left="426" w:right="709"/>
        <w:jc w:val="both"/>
        <w:rPr>
          <w:rStyle w:val="normaltextrun"/>
          <w:rFonts w:ascii="Verdana" w:hAnsi="Verdana" w:cs="Arial"/>
          <w:i/>
          <w:iCs/>
          <w:sz w:val="20"/>
          <w:szCs w:val="20"/>
          <w:shd w:val="clear" w:color="auto" w:fill="FFFFFF"/>
          <w:lang w:val="es-ES"/>
        </w:rPr>
      </w:pPr>
      <w:r w:rsidRPr="00DE2151">
        <w:rPr>
          <w:rStyle w:val="normaltextrun"/>
          <w:rFonts w:ascii="Verdana" w:hAnsi="Verdana" w:cs="Arial"/>
          <w:i/>
          <w:iCs/>
          <w:sz w:val="20"/>
          <w:szCs w:val="20"/>
          <w:shd w:val="clear" w:color="auto" w:fill="FFFFFF"/>
          <w:lang w:val="es-ES"/>
        </w:rPr>
        <w:t>por lo anterior, consultamos a mesa de ayuda y nos orientan de la siguiente manera:</w:t>
      </w:r>
    </w:p>
    <w:p w14:paraId="332B60DB" w14:textId="77777777" w:rsidR="00DE2151" w:rsidRPr="00DE2151" w:rsidRDefault="00DE2151" w:rsidP="00DE2151">
      <w:pPr>
        <w:spacing w:after="0" w:line="240" w:lineRule="auto"/>
        <w:ind w:left="426" w:right="709"/>
        <w:jc w:val="both"/>
        <w:rPr>
          <w:rStyle w:val="normaltextrun"/>
          <w:rFonts w:ascii="Verdana" w:hAnsi="Verdana" w:cs="Arial"/>
          <w:i/>
          <w:iCs/>
          <w:sz w:val="20"/>
          <w:szCs w:val="20"/>
          <w:shd w:val="clear" w:color="auto" w:fill="FFFFFF"/>
          <w:lang w:val="es-ES"/>
        </w:rPr>
      </w:pPr>
    </w:p>
    <w:p w14:paraId="2C6AF375" w14:textId="77777777" w:rsidR="00DE2151" w:rsidRPr="00DE2151" w:rsidRDefault="00DE2151" w:rsidP="00DE2151">
      <w:pPr>
        <w:spacing w:after="0" w:line="240" w:lineRule="auto"/>
        <w:ind w:left="426" w:right="709"/>
        <w:jc w:val="both"/>
        <w:rPr>
          <w:rStyle w:val="normaltextrun"/>
          <w:rFonts w:ascii="Verdana" w:hAnsi="Verdana" w:cs="Arial"/>
          <w:i/>
          <w:iCs/>
          <w:sz w:val="20"/>
          <w:szCs w:val="20"/>
          <w:shd w:val="clear" w:color="auto" w:fill="FFFFFF"/>
          <w:lang w:val="es-ES"/>
        </w:rPr>
      </w:pPr>
      <w:r w:rsidRPr="00DE2151">
        <w:rPr>
          <w:rStyle w:val="normaltextrun"/>
          <w:rFonts w:ascii="Verdana" w:hAnsi="Verdana" w:cs="Arial"/>
          <w:i/>
          <w:iCs/>
          <w:sz w:val="20"/>
          <w:szCs w:val="20"/>
          <w:shd w:val="clear" w:color="auto" w:fill="FFFFFF"/>
          <w:lang w:val="es-ES"/>
        </w:rPr>
        <w:t xml:space="preserve">1. Se puede realizar en el momento de la </w:t>
      </w:r>
      <w:proofErr w:type="spellStart"/>
      <w:r w:rsidRPr="00DE2151">
        <w:rPr>
          <w:rStyle w:val="normaltextrun"/>
          <w:rFonts w:ascii="Verdana" w:hAnsi="Verdana" w:cs="Arial"/>
          <w:i/>
          <w:iCs/>
          <w:sz w:val="20"/>
          <w:szCs w:val="20"/>
          <w:shd w:val="clear" w:color="auto" w:fill="FFFFFF"/>
          <w:lang w:val="es-ES"/>
        </w:rPr>
        <w:t>ejecucion</w:t>
      </w:r>
      <w:proofErr w:type="spellEnd"/>
      <w:r w:rsidRPr="00DE2151">
        <w:rPr>
          <w:rStyle w:val="normaltextrun"/>
          <w:rFonts w:ascii="Verdana" w:hAnsi="Verdana" w:cs="Arial"/>
          <w:i/>
          <w:iCs/>
          <w:sz w:val="20"/>
          <w:szCs w:val="20"/>
          <w:shd w:val="clear" w:color="auto" w:fill="FFFFFF"/>
          <w:lang w:val="es-ES"/>
        </w:rPr>
        <w:t xml:space="preserve"> del contrato un aclaratorio</w:t>
      </w:r>
    </w:p>
    <w:p w14:paraId="1E0AAA3F" w14:textId="77777777" w:rsidR="00DE2151" w:rsidRPr="00DE2151" w:rsidRDefault="00DE2151" w:rsidP="00DE2151">
      <w:pPr>
        <w:spacing w:after="0" w:line="240" w:lineRule="auto"/>
        <w:ind w:left="426" w:right="709"/>
        <w:jc w:val="both"/>
        <w:rPr>
          <w:rStyle w:val="normaltextrun"/>
          <w:rFonts w:ascii="Verdana" w:hAnsi="Verdana" w:cs="Arial"/>
          <w:i/>
          <w:iCs/>
          <w:sz w:val="20"/>
          <w:szCs w:val="20"/>
          <w:shd w:val="clear" w:color="auto" w:fill="FFFFFF"/>
          <w:lang w:val="es-ES"/>
        </w:rPr>
      </w:pPr>
      <w:r w:rsidRPr="00DE2151">
        <w:rPr>
          <w:rStyle w:val="normaltextrun"/>
          <w:rFonts w:ascii="Verdana" w:hAnsi="Verdana" w:cs="Arial"/>
          <w:i/>
          <w:iCs/>
          <w:sz w:val="20"/>
          <w:szCs w:val="20"/>
          <w:shd w:val="clear" w:color="auto" w:fill="FFFFFF"/>
          <w:lang w:val="es-ES"/>
        </w:rPr>
        <w:lastRenderedPageBreak/>
        <w:t>informando el error involuntario y subsanando con la firma del ordenador del gasto.</w:t>
      </w:r>
    </w:p>
    <w:p w14:paraId="7445D8C3" w14:textId="1EFFCD7D" w:rsidR="00FA41B9" w:rsidRDefault="00DE2151" w:rsidP="00DE2151">
      <w:pPr>
        <w:spacing w:after="0" w:line="240" w:lineRule="auto"/>
        <w:ind w:right="709"/>
        <w:jc w:val="both"/>
        <w:rPr>
          <w:rFonts w:ascii="Verdana" w:hAnsi="Verdana" w:cs="Arial"/>
          <w:i/>
          <w:iCs/>
          <w:sz w:val="20"/>
          <w:szCs w:val="20"/>
          <w:shd w:val="clear" w:color="auto" w:fill="FFFFFF"/>
          <w:lang w:val="es-ES"/>
        </w:rPr>
      </w:pPr>
      <w:r>
        <w:rPr>
          <w:rStyle w:val="normaltextrun"/>
          <w:rFonts w:ascii="Verdana" w:hAnsi="Verdana" w:cs="Arial"/>
          <w:i/>
          <w:iCs/>
          <w:sz w:val="20"/>
          <w:szCs w:val="20"/>
          <w:shd w:val="clear" w:color="auto" w:fill="FFFFFF"/>
          <w:lang w:val="es-ES"/>
        </w:rPr>
        <w:t xml:space="preserve">      </w:t>
      </w:r>
      <w:r w:rsidRPr="00DE2151">
        <w:rPr>
          <w:rStyle w:val="normaltextrun"/>
          <w:rFonts w:ascii="Verdana" w:hAnsi="Verdana" w:cs="Arial"/>
          <w:i/>
          <w:iCs/>
          <w:sz w:val="20"/>
          <w:szCs w:val="20"/>
          <w:shd w:val="clear" w:color="auto" w:fill="FFFFFF"/>
          <w:lang w:val="es-ES"/>
        </w:rPr>
        <w:t xml:space="preserve">2. terminar anticipadamente el contrato e iniciar el proceso de </w:t>
      </w:r>
      <w:proofErr w:type="spellStart"/>
      <w:r w:rsidRPr="00DE2151">
        <w:rPr>
          <w:rStyle w:val="normaltextrun"/>
          <w:rFonts w:ascii="Verdana" w:hAnsi="Verdana" w:cs="Arial"/>
          <w:i/>
          <w:iCs/>
          <w:sz w:val="20"/>
          <w:szCs w:val="20"/>
          <w:shd w:val="clear" w:color="auto" w:fill="FFFFFF"/>
          <w:lang w:val="es-ES"/>
        </w:rPr>
        <w:t>contratacion</w:t>
      </w:r>
      <w:proofErr w:type="spellEnd"/>
      <w:r>
        <w:rPr>
          <w:rStyle w:val="normaltextrun"/>
          <w:rFonts w:ascii="Verdana" w:hAnsi="Verdana" w:cs="Arial"/>
          <w:i/>
          <w:iCs/>
          <w:sz w:val="20"/>
          <w:szCs w:val="20"/>
          <w:shd w:val="clear" w:color="auto" w:fill="FFFFFF"/>
          <w:lang w:val="es-ES"/>
        </w:rPr>
        <w:t>”</w:t>
      </w:r>
    </w:p>
    <w:p w14:paraId="493206AE" w14:textId="77777777" w:rsidR="00DE2151" w:rsidRPr="00DE2151" w:rsidRDefault="00DE2151" w:rsidP="00DE2151">
      <w:pPr>
        <w:spacing w:after="0" w:line="240" w:lineRule="auto"/>
        <w:ind w:right="709"/>
        <w:jc w:val="both"/>
        <w:rPr>
          <w:rFonts w:ascii="Verdana" w:hAnsi="Verdana" w:cs="Arial"/>
          <w:i/>
          <w:iCs/>
          <w:sz w:val="20"/>
          <w:szCs w:val="20"/>
          <w:shd w:val="clear" w:color="auto" w:fill="FFFFFF"/>
          <w:lang w:val="es-ES"/>
        </w:rPr>
      </w:pPr>
    </w:p>
    <w:p w14:paraId="3699A6ED" w14:textId="77777777" w:rsidR="00FA41B9" w:rsidRPr="00E26368" w:rsidRDefault="00FA41B9" w:rsidP="00FA41B9">
      <w:pPr>
        <w:spacing w:after="120" w:line="276" w:lineRule="auto"/>
        <w:ind w:firstLine="426"/>
        <w:jc w:val="both"/>
        <w:rPr>
          <w:rFonts w:ascii="Verdana" w:eastAsia="Calibri" w:hAnsi="Verdana" w:cs="Arial"/>
          <w:lang w:val="es-ES_tradnl" w:eastAsia="es-ES_tradnl"/>
        </w:rPr>
      </w:pPr>
      <w:r w:rsidRPr="00E26368">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w:t>
      </w:r>
      <w:r w:rsidRPr="00E26368">
        <w:rPr>
          <w:rFonts w:ascii="Verdana" w:eastAsia="Calibri" w:hAnsi="Verdana" w:cs="Arial"/>
          <w:lang w:val="es-ES" w:eastAsia="es-ES"/>
        </w:rPr>
        <w:t xml:space="preserve">interpretación de normas generales, por definición, no puede extenderse a la resolución de controversias, ni a brindar asesorías sobre casos puntuales. </w:t>
      </w:r>
      <w:r w:rsidRPr="00E26368">
        <w:rPr>
          <w:rFonts w:ascii="Verdana" w:eastAsia="Calibri" w:hAnsi="Verdana" w:cs="Arial"/>
          <w:lang w:val="es-ES_tradnl" w:eastAsia="es-ES_tradnl"/>
        </w:rPr>
        <w:tab/>
      </w:r>
    </w:p>
    <w:p w14:paraId="3FA5B621" w14:textId="77777777" w:rsidR="00FA41B9" w:rsidRPr="00E26368" w:rsidRDefault="00FA41B9" w:rsidP="00FA41B9">
      <w:pPr>
        <w:spacing w:after="0" w:line="276" w:lineRule="auto"/>
        <w:ind w:firstLine="426"/>
        <w:jc w:val="both"/>
        <w:rPr>
          <w:rFonts w:ascii="Verdana" w:eastAsia="Calibri" w:hAnsi="Verdana" w:cs="Arial"/>
          <w:lang w:val="es-ES" w:eastAsia="es-ES"/>
        </w:rPr>
      </w:pPr>
      <w:r w:rsidRPr="00E26368">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5348D645" w14:textId="77777777" w:rsidR="00FA41B9" w:rsidRPr="00E26368" w:rsidRDefault="00FA41B9" w:rsidP="00FA41B9">
      <w:pPr>
        <w:spacing w:after="0" w:line="276" w:lineRule="auto"/>
        <w:ind w:firstLine="426"/>
        <w:jc w:val="both"/>
        <w:rPr>
          <w:rFonts w:ascii="Verdana" w:eastAsia="Calibri" w:hAnsi="Verdana" w:cs="Arial"/>
          <w:lang w:val="es-ES" w:eastAsia="es-ES"/>
        </w:rPr>
      </w:pPr>
    </w:p>
    <w:p w14:paraId="2C50FD71" w14:textId="77777777" w:rsidR="00FA41B9" w:rsidRPr="00E26368" w:rsidRDefault="00FA41B9" w:rsidP="00FA41B9">
      <w:pPr>
        <w:pStyle w:val="Prrafodelista"/>
        <w:numPr>
          <w:ilvl w:val="0"/>
          <w:numId w:val="14"/>
        </w:numPr>
        <w:tabs>
          <w:tab w:val="left" w:pos="142"/>
          <w:tab w:val="left" w:pos="284"/>
        </w:tabs>
        <w:spacing w:after="0" w:line="276" w:lineRule="auto"/>
        <w:ind w:left="0" w:firstLine="0"/>
        <w:jc w:val="both"/>
        <w:rPr>
          <w:rFonts w:ascii="Verdana" w:eastAsia="Century Gothic" w:hAnsi="Verdana" w:cs="Century Gothic"/>
          <w:b/>
          <w:bCs/>
        </w:rPr>
      </w:pPr>
      <w:r w:rsidRPr="00E26368">
        <w:rPr>
          <w:rFonts w:ascii="Verdana" w:eastAsia="Century Gothic" w:hAnsi="Verdana" w:cs="Century Gothic"/>
          <w:b/>
          <w:bCs/>
        </w:rPr>
        <w:t>Problema planteado:</w:t>
      </w:r>
    </w:p>
    <w:p w14:paraId="3A17B2DD" w14:textId="77777777" w:rsidR="00FA41B9" w:rsidRPr="00E26368" w:rsidRDefault="00FA41B9" w:rsidP="00FA41B9">
      <w:pPr>
        <w:pStyle w:val="Prrafodelista"/>
        <w:tabs>
          <w:tab w:val="left" w:pos="142"/>
          <w:tab w:val="left" w:pos="284"/>
        </w:tabs>
        <w:spacing w:after="0" w:line="276" w:lineRule="auto"/>
        <w:ind w:left="0"/>
        <w:jc w:val="both"/>
        <w:rPr>
          <w:rFonts w:ascii="Verdana" w:eastAsia="Century Gothic" w:hAnsi="Verdana" w:cs="Century Gothic"/>
          <w:b/>
          <w:bCs/>
        </w:rPr>
      </w:pPr>
    </w:p>
    <w:p w14:paraId="3773ED78" w14:textId="45429907" w:rsidR="00FA41B9" w:rsidRDefault="00FA41B9" w:rsidP="001A0CBA">
      <w:pPr>
        <w:spacing w:after="0" w:line="276" w:lineRule="auto"/>
        <w:jc w:val="both"/>
        <w:rPr>
          <w:rFonts w:ascii="Verdana" w:eastAsia="Century Gothic" w:hAnsi="Verdana" w:cs="Century Gothic"/>
        </w:rPr>
      </w:pPr>
      <w:r w:rsidRPr="00E26368">
        <w:rPr>
          <w:rFonts w:ascii="Verdana" w:eastAsia="Century Gothic" w:hAnsi="Verdana" w:cs="Century Gothic"/>
        </w:rPr>
        <w:t>De acuerdo con el contenido de su solicitud, esta Agencia resolverá el siguiente problema jurídico:</w:t>
      </w:r>
      <w:r>
        <w:rPr>
          <w:rFonts w:ascii="Verdana" w:eastAsia="Century Gothic" w:hAnsi="Verdana" w:cs="Century Gothic"/>
        </w:rPr>
        <w:t xml:space="preserve"> </w:t>
      </w:r>
      <w:r w:rsidR="001A0CBA">
        <w:rPr>
          <w:rFonts w:ascii="Verdana" w:eastAsia="Century Gothic" w:hAnsi="Verdana" w:cs="Century Gothic"/>
        </w:rPr>
        <w:t>¿Cuándo se crea un proceso contractual en la plataforma SECOP II, es posible subsanar el contrato que se está creando una vez se avance en esta plataforma de la etapa del proceso a la etapa de contrato</w:t>
      </w:r>
      <w:r w:rsidR="001A0CBA" w:rsidRPr="008E2466">
        <w:rPr>
          <w:rFonts w:ascii="Verdana" w:eastAsia="Century Gothic" w:hAnsi="Verdana" w:cs="Century Gothic"/>
        </w:rPr>
        <w:t>?</w:t>
      </w:r>
    </w:p>
    <w:p w14:paraId="67BB0501" w14:textId="77777777" w:rsidR="001A0CBA" w:rsidRPr="00E26368" w:rsidRDefault="001A0CBA" w:rsidP="001A0CBA">
      <w:pPr>
        <w:spacing w:after="0" w:line="276" w:lineRule="auto"/>
        <w:jc w:val="both"/>
        <w:rPr>
          <w:rFonts w:ascii="Verdana" w:hAnsi="Verdana"/>
        </w:rPr>
      </w:pPr>
    </w:p>
    <w:p w14:paraId="7569E7B0" w14:textId="77777777" w:rsidR="00FA41B9" w:rsidRPr="00E26368" w:rsidRDefault="00FA41B9" w:rsidP="00FA41B9">
      <w:pPr>
        <w:pStyle w:val="Prrafodelista"/>
        <w:numPr>
          <w:ilvl w:val="0"/>
          <w:numId w:val="14"/>
        </w:numPr>
        <w:tabs>
          <w:tab w:val="left" w:pos="142"/>
          <w:tab w:val="left" w:pos="284"/>
        </w:tabs>
        <w:spacing w:after="0" w:line="276" w:lineRule="auto"/>
        <w:ind w:left="0" w:firstLine="0"/>
        <w:jc w:val="both"/>
        <w:rPr>
          <w:rFonts w:ascii="Verdana" w:eastAsia="Century Gothic" w:hAnsi="Verdana" w:cs="Century Gothic"/>
          <w:b/>
          <w:bCs/>
        </w:rPr>
      </w:pPr>
      <w:r w:rsidRPr="00E26368">
        <w:rPr>
          <w:rFonts w:ascii="Verdana" w:eastAsia="Century Gothic" w:hAnsi="Verdana" w:cs="Century Gothic"/>
          <w:b/>
          <w:bCs/>
        </w:rPr>
        <w:t>Respuesta:</w:t>
      </w:r>
    </w:p>
    <w:p w14:paraId="7AEA35A2" w14:textId="77777777" w:rsidR="00FA41B9" w:rsidRPr="00E26368" w:rsidRDefault="00FA41B9" w:rsidP="00FA41B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A41B9" w:rsidRPr="00E26368" w14:paraId="1E7F34FC" w14:textId="77777777" w:rsidTr="00367512">
        <w:tc>
          <w:tcPr>
            <w:tcW w:w="8828" w:type="dxa"/>
            <w:tcBorders>
              <w:top w:val="dotted" w:sz="4" w:space="0" w:color="auto"/>
              <w:left w:val="dotted" w:sz="4" w:space="0" w:color="auto"/>
              <w:bottom w:val="dotted" w:sz="4" w:space="0" w:color="auto"/>
              <w:right w:val="dotted" w:sz="4" w:space="0" w:color="auto"/>
            </w:tcBorders>
          </w:tcPr>
          <w:p w14:paraId="78FEA0A5" w14:textId="39E72F2B" w:rsidR="006B5191" w:rsidRDefault="006B5191" w:rsidP="006B5191">
            <w:pPr>
              <w:spacing w:line="276" w:lineRule="auto"/>
              <w:jc w:val="both"/>
              <w:rPr>
                <w:rFonts w:ascii="Verdana" w:eastAsia="Calibri" w:hAnsi="Verdana" w:cs="Arial"/>
                <w:lang w:val="es-ES"/>
              </w:rPr>
            </w:pPr>
            <w:r>
              <w:rPr>
                <w:rFonts w:ascii="Verdana" w:eastAsia="Calibri" w:hAnsi="Verdana" w:cs="Arial"/>
                <w:lang w:val="es-ES"/>
              </w:rPr>
              <w:t xml:space="preserve">Técnicamente no es posible subsanar o editar la información principal del pliego por medio de una adenda una vez este publicado el proceso contractual, </w:t>
            </w:r>
            <w:r>
              <w:rPr>
                <w:rFonts w:ascii="Verdana" w:eastAsia="Calibri" w:hAnsi="Verdana" w:cs="Arial"/>
                <w:lang w:val="es-ES"/>
              </w:rPr>
              <w:lastRenderedPageBreak/>
              <w:t>en estos casos lo que podría hacer la entidad al no poder modificar la descripción de este proceso, es crear un mensaje dando claridad de la descripción del proceso o en su defecto generar otro proceso de contratación y suspender el que se venía realizando debido al error de fondo que trae consigo.</w:t>
            </w:r>
          </w:p>
          <w:p w14:paraId="3AC479BE" w14:textId="1AEB24BD" w:rsidR="00FA41B9" w:rsidRPr="00E26368" w:rsidRDefault="006B5191" w:rsidP="006B5191">
            <w:pPr>
              <w:spacing w:after="120" w:line="276" w:lineRule="auto"/>
              <w:jc w:val="both"/>
              <w:rPr>
                <w:rFonts w:ascii="Verdana" w:eastAsia="Calibri" w:hAnsi="Verdana" w:cs="Arial"/>
                <w:color w:val="000000" w:themeColor="text1"/>
              </w:rPr>
            </w:pPr>
            <w:r>
              <w:rPr>
                <w:rFonts w:ascii="Verdana" w:eastAsia="Calibri" w:hAnsi="Verdana" w:cs="Arial"/>
              </w:rPr>
              <w:t>Esto se plantea teniendo en cuenta lo que establece e</w:t>
            </w:r>
            <w:r w:rsidRPr="001A5605">
              <w:rPr>
                <w:rFonts w:ascii="Verdana" w:eastAsia="Calibri" w:hAnsi="Verdana" w:cs="Arial"/>
              </w:rPr>
              <w:t>l artículo 2.2.1.1.2.2.1 del Decreto 1082 de 2015</w:t>
            </w:r>
            <w:r>
              <w:rPr>
                <w:rFonts w:ascii="Verdana" w:eastAsia="Calibri" w:hAnsi="Verdana" w:cs="Arial"/>
              </w:rPr>
              <w:t xml:space="preserve"> el cual plantea que las adendas que se pueden realizar, pero para la modificación del cronograma del proceso mas no para la modificación del objeto </w:t>
            </w:r>
            <w:r w:rsidR="00FB51EF">
              <w:rPr>
                <w:rFonts w:ascii="Verdana" w:eastAsia="Calibri" w:hAnsi="Verdana" w:cs="Arial"/>
              </w:rPr>
              <w:t>de este</w:t>
            </w:r>
            <w:r>
              <w:rPr>
                <w:rFonts w:ascii="Verdana" w:eastAsia="Calibri" w:hAnsi="Verdana" w:cs="Arial"/>
              </w:rPr>
              <w:t>.</w:t>
            </w:r>
          </w:p>
        </w:tc>
      </w:tr>
    </w:tbl>
    <w:p w14:paraId="11205B8D" w14:textId="77777777" w:rsidR="00FA41B9" w:rsidRPr="00E26368" w:rsidRDefault="00FA41B9" w:rsidP="00FA41B9">
      <w:pPr>
        <w:tabs>
          <w:tab w:val="left" w:pos="142"/>
          <w:tab w:val="left" w:pos="284"/>
        </w:tabs>
        <w:spacing w:after="0" w:line="276" w:lineRule="auto"/>
        <w:jc w:val="both"/>
        <w:rPr>
          <w:rFonts w:ascii="Verdana" w:eastAsia="Century Gothic" w:hAnsi="Verdana" w:cs="Century Gothic"/>
          <w:b/>
          <w:bCs/>
          <w:lang w:val="es-ES"/>
        </w:rPr>
      </w:pPr>
    </w:p>
    <w:p w14:paraId="2164E5F3" w14:textId="77777777" w:rsidR="00FA41B9" w:rsidRPr="00E26368" w:rsidRDefault="00FA41B9" w:rsidP="00FA41B9">
      <w:pPr>
        <w:pStyle w:val="Prrafodelista"/>
        <w:numPr>
          <w:ilvl w:val="0"/>
          <w:numId w:val="14"/>
        </w:numPr>
        <w:tabs>
          <w:tab w:val="left" w:pos="142"/>
          <w:tab w:val="left" w:pos="284"/>
        </w:tabs>
        <w:spacing w:after="0" w:line="276" w:lineRule="auto"/>
        <w:ind w:left="0" w:firstLine="0"/>
        <w:jc w:val="both"/>
        <w:rPr>
          <w:rFonts w:ascii="Verdana" w:eastAsia="Century Gothic" w:hAnsi="Verdana" w:cs="Century Gothic"/>
          <w:b/>
          <w:bCs/>
        </w:rPr>
      </w:pPr>
      <w:r w:rsidRPr="00E26368">
        <w:rPr>
          <w:rFonts w:ascii="Verdana" w:eastAsia="Century Gothic" w:hAnsi="Verdana" w:cs="Century Gothic"/>
          <w:b/>
          <w:bCs/>
        </w:rPr>
        <w:t>Razones de la respuesta:</w:t>
      </w:r>
    </w:p>
    <w:p w14:paraId="36D657D2" w14:textId="77777777" w:rsidR="00FA41B9" w:rsidRDefault="00FA41B9" w:rsidP="00FA41B9">
      <w:pPr>
        <w:spacing w:after="0" w:line="276" w:lineRule="auto"/>
        <w:jc w:val="both"/>
        <w:rPr>
          <w:rFonts w:ascii="Verdana" w:eastAsia="Calibri" w:hAnsi="Verdana" w:cs="Arial"/>
          <w:lang w:val="es-ES"/>
        </w:rPr>
      </w:pPr>
      <w:r w:rsidRPr="00E26368">
        <w:rPr>
          <w:rFonts w:ascii="Verdana" w:eastAsia="Calibri" w:hAnsi="Verdana" w:cs="Arial"/>
          <w:lang w:val="es-ES"/>
        </w:rPr>
        <w:t xml:space="preserve">Lo anterior se sustenta en las siguientes consideraciones: </w:t>
      </w:r>
    </w:p>
    <w:p w14:paraId="0C17B78E" w14:textId="77777777" w:rsidR="006B5191" w:rsidRDefault="006B5191" w:rsidP="00FA41B9">
      <w:pPr>
        <w:spacing w:after="0" w:line="276" w:lineRule="auto"/>
        <w:jc w:val="both"/>
        <w:rPr>
          <w:rFonts w:ascii="Verdana" w:eastAsia="Calibri" w:hAnsi="Verdana" w:cs="Arial"/>
          <w:lang w:val="es-ES"/>
        </w:rPr>
      </w:pPr>
    </w:p>
    <w:p w14:paraId="7699792B" w14:textId="77777777" w:rsidR="001F5FF1" w:rsidRPr="009322DA" w:rsidRDefault="001F5FF1" w:rsidP="001F5FF1">
      <w:pPr>
        <w:spacing w:after="0" w:line="276" w:lineRule="auto"/>
        <w:jc w:val="both"/>
        <w:rPr>
          <w:rFonts w:ascii="Verdana" w:eastAsia="Calibri" w:hAnsi="Verdana" w:cs="Arial"/>
          <w:lang w:val="es-ES"/>
        </w:rPr>
      </w:pPr>
      <w:r w:rsidRPr="009322DA">
        <w:rPr>
          <w:rFonts w:ascii="Verdana" w:eastAsia="Calibri" w:hAnsi="Verdana" w:cs="Arial"/>
          <w:lang w:val="es-ES"/>
        </w:rPr>
        <w:t xml:space="preserve">Lo anterior se sustenta en las siguientes consideraciones: </w:t>
      </w:r>
    </w:p>
    <w:p w14:paraId="78CA57D6" w14:textId="77777777" w:rsidR="001F5FF1" w:rsidRPr="009322DA" w:rsidRDefault="001F5FF1" w:rsidP="001F5FF1">
      <w:pPr>
        <w:spacing w:after="0" w:line="276" w:lineRule="auto"/>
        <w:jc w:val="both"/>
        <w:rPr>
          <w:rFonts w:ascii="Verdana" w:eastAsia="Calibri" w:hAnsi="Verdana" w:cs="Arial"/>
          <w:lang w:val="es-ES"/>
        </w:rPr>
      </w:pPr>
    </w:p>
    <w:p w14:paraId="05989845" w14:textId="77777777" w:rsidR="001F5FF1" w:rsidRPr="00F751FC" w:rsidRDefault="001F5FF1" w:rsidP="001F5FF1">
      <w:pPr>
        <w:numPr>
          <w:ilvl w:val="0"/>
          <w:numId w:val="24"/>
        </w:numPr>
        <w:contextualSpacing/>
        <w:jc w:val="both"/>
        <w:rPr>
          <w:rFonts w:ascii="Verdana" w:eastAsia="Calibri" w:hAnsi="Verdana" w:cs="Arial"/>
          <w:lang w:val="es-ES"/>
        </w:rPr>
      </w:pPr>
      <w:r w:rsidRPr="00F751FC">
        <w:rPr>
          <w:rFonts w:ascii="Verdana" w:eastAsia="Calibri" w:hAnsi="Verdana" w:cs="Arial"/>
          <w:lang w:val="es-ES"/>
        </w:rPr>
        <w:t xml:space="preserve">La Ley 1712 de 2014, por medio de la cual se regula la transparencia el derecho de acceso a la información pública nacional y se dictan otras disposiciones, identifica como principios que orientan el derecho de acceso a la información pública el de máxima publicidad y el de transparencia en la información. De acuerdo con el primero, toda información en posesión, bajo control o custodia de un sujeto obligado es pública y no podrá ser reservada o limitada sino por disposición constitucional o legal. Por su parte, el segundo alude al deber de los sujetos de proporcionar y facilitar el acceso a la misma en los términos más amplios posibles, y a través de los medios y procedimientos que establezca la ley. </w:t>
      </w:r>
    </w:p>
    <w:p w14:paraId="4A16355B" w14:textId="77777777" w:rsidR="001F5FF1" w:rsidRPr="00F751FC" w:rsidRDefault="001F5FF1" w:rsidP="001F5FF1">
      <w:pPr>
        <w:ind w:left="720"/>
        <w:contextualSpacing/>
        <w:jc w:val="both"/>
        <w:rPr>
          <w:rFonts w:ascii="Verdana" w:eastAsia="Calibri" w:hAnsi="Verdana" w:cs="Arial"/>
          <w:lang w:val="es-ES"/>
        </w:rPr>
      </w:pPr>
    </w:p>
    <w:p w14:paraId="5109B6EE" w14:textId="77777777" w:rsidR="001F5FF1" w:rsidRPr="00F751FC" w:rsidRDefault="001F5FF1" w:rsidP="001F5FF1">
      <w:pPr>
        <w:numPr>
          <w:ilvl w:val="0"/>
          <w:numId w:val="24"/>
        </w:numPr>
        <w:contextualSpacing/>
        <w:jc w:val="both"/>
        <w:rPr>
          <w:rFonts w:ascii="Verdana" w:eastAsia="Calibri" w:hAnsi="Verdana" w:cs="Arial"/>
          <w:lang w:val="es-ES"/>
        </w:rPr>
      </w:pPr>
      <w:r w:rsidRPr="00F751FC">
        <w:rPr>
          <w:rFonts w:ascii="Verdana" w:eastAsia="Calibri" w:hAnsi="Verdana" w:cs="Arial"/>
          <w:lang w:val="es-ES"/>
        </w:rPr>
        <w:t>La ley citada establece, en el literal e) del artículo 9, que los sujetos obligados, que son todas las entidades públicas, deben publicar la información relativa a su contratación</w:t>
      </w:r>
      <w:r w:rsidRPr="00F751FC">
        <w:rPr>
          <w:rFonts w:ascii="Verdana" w:eastAsia="Calibri" w:hAnsi="Verdana" w:cs="Arial"/>
          <w:vertAlign w:val="superscript"/>
          <w:lang w:val="es-ES"/>
        </w:rPr>
        <w:footnoteReference w:id="2"/>
      </w:r>
      <w:r w:rsidRPr="00F751FC">
        <w:rPr>
          <w:rFonts w:ascii="Verdana" w:eastAsia="Calibri" w:hAnsi="Verdana" w:cs="Arial"/>
          <w:lang w:val="es-ES"/>
        </w:rPr>
        <w:t xml:space="preserve">. Esta obligación fue en principio desarrollada por el Decreto 103 de 2015, hoy compilado en el Decreto </w:t>
      </w:r>
      <w:r w:rsidRPr="00F751FC">
        <w:rPr>
          <w:rFonts w:ascii="Verdana" w:eastAsia="Calibri" w:hAnsi="Verdana" w:cs="Arial"/>
          <w:lang w:val="es-ES"/>
        </w:rPr>
        <w:lastRenderedPageBreak/>
        <w:t>Único Reglamentario 1081 de 2015, el cual dispuso que la publicación de la información contractual de los sujetos obligados, que contratan con cargo a recursos públicos, debe hacerse en el Sistema Electrónico de Contratación Pública –SECOP–</w:t>
      </w:r>
      <w:r w:rsidRPr="00F751FC">
        <w:rPr>
          <w:rFonts w:ascii="Verdana" w:eastAsia="Calibri" w:hAnsi="Verdana" w:cs="Arial"/>
          <w:vertAlign w:val="superscript"/>
          <w:lang w:val="es-ES"/>
        </w:rPr>
        <w:footnoteReference w:id="3"/>
      </w:r>
      <w:r w:rsidRPr="00F751FC">
        <w:rPr>
          <w:rFonts w:ascii="Verdana" w:eastAsia="Calibri" w:hAnsi="Verdana" w:cs="Arial"/>
          <w:lang w:val="es-ES"/>
        </w:rPr>
        <w:t>.</w:t>
      </w:r>
    </w:p>
    <w:p w14:paraId="7CBB9E40" w14:textId="77777777" w:rsidR="001F5FF1" w:rsidRPr="00F751FC" w:rsidRDefault="001F5FF1" w:rsidP="001F5FF1">
      <w:pPr>
        <w:ind w:left="720"/>
        <w:contextualSpacing/>
        <w:jc w:val="both"/>
        <w:rPr>
          <w:rFonts w:ascii="Verdana" w:eastAsia="Calibri" w:hAnsi="Verdana" w:cs="Arial"/>
          <w:lang w:val="es-MX"/>
        </w:rPr>
      </w:pPr>
    </w:p>
    <w:p w14:paraId="44B2FCA1" w14:textId="77777777" w:rsidR="001F5FF1" w:rsidRPr="00F751FC" w:rsidRDefault="001F5FF1" w:rsidP="001F5FF1">
      <w:pPr>
        <w:numPr>
          <w:ilvl w:val="0"/>
          <w:numId w:val="24"/>
        </w:numPr>
        <w:contextualSpacing/>
        <w:jc w:val="both"/>
        <w:rPr>
          <w:rFonts w:ascii="Verdana" w:eastAsia="Calibri" w:hAnsi="Verdana" w:cs="Arial"/>
          <w:lang w:val="es-MX"/>
        </w:rPr>
      </w:pPr>
      <w:r w:rsidRPr="00F751FC">
        <w:rPr>
          <w:rFonts w:ascii="Verdana" w:eastAsia="Calibri" w:hAnsi="Verdana" w:cs="Arial"/>
          <w:lang w:val="es-MX"/>
        </w:rPr>
        <w:t>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Pr="00F751FC">
        <w:rPr>
          <w:rFonts w:ascii="Verdana" w:eastAsia="Calibri" w:hAnsi="Verdana" w:cs="Arial"/>
          <w:vertAlign w:val="superscript"/>
          <w:lang w:val="es-MX"/>
        </w:rPr>
        <w:footnoteReference w:id="4"/>
      </w:r>
      <w:r w:rsidRPr="00F751FC">
        <w:rPr>
          <w:rFonts w:ascii="Verdana" w:eastAsia="Calibri" w:hAnsi="Verdana" w:cs="Arial"/>
          <w:lang w:val="es-MX"/>
        </w:rPr>
        <w:t>, lo que permite controlar las actuaciones y decisiones de la Administración y el cumplimiento de los demás principios de la contratación pública. Así lo confirma el Consejo de Estado, en los siguientes términos:</w:t>
      </w:r>
    </w:p>
    <w:p w14:paraId="21927E3D" w14:textId="77777777" w:rsidR="001F5FF1" w:rsidRPr="00F751FC" w:rsidRDefault="001F5FF1" w:rsidP="001F5FF1">
      <w:pPr>
        <w:ind w:left="720"/>
        <w:contextualSpacing/>
        <w:jc w:val="both"/>
        <w:rPr>
          <w:rFonts w:ascii="Verdana" w:eastAsia="Calibri" w:hAnsi="Verdana" w:cs="Arial"/>
          <w:sz w:val="20"/>
          <w:szCs w:val="20"/>
          <w:lang w:val="es-MX"/>
        </w:rPr>
      </w:pPr>
    </w:p>
    <w:p w14:paraId="0C01A428" w14:textId="77777777" w:rsidR="001F5FF1" w:rsidRDefault="001F5FF1" w:rsidP="001F5FF1">
      <w:pPr>
        <w:ind w:left="1416"/>
        <w:contextualSpacing/>
        <w:jc w:val="both"/>
        <w:rPr>
          <w:rFonts w:ascii="Verdana" w:eastAsia="Calibri" w:hAnsi="Verdana" w:cs="Arial"/>
          <w:sz w:val="20"/>
          <w:szCs w:val="20"/>
          <w:lang w:val="es-MX"/>
        </w:rPr>
      </w:pPr>
      <w:r w:rsidRPr="00F751FC">
        <w:rPr>
          <w:rFonts w:ascii="Verdana" w:eastAsia="Calibri" w:hAnsi="Verdana" w:cs="Arial"/>
          <w:sz w:val="20"/>
          <w:szCs w:val="20"/>
          <w:lang w:val="es-MX"/>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36035CA3" w14:textId="77777777" w:rsidR="001F5FF1" w:rsidRPr="00F751FC" w:rsidRDefault="001F5FF1" w:rsidP="001F5FF1">
      <w:pPr>
        <w:ind w:left="1416"/>
        <w:contextualSpacing/>
        <w:jc w:val="both"/>
        <w:rPr>
          <w:rFonts w:ascii="Verdana" w:eastAsia="Calibri" w:hAnsi="Verdana" w:cs="Arial"/>
          <w:sz w:val="20"/>
          <w:szCs w:val="20"/>
          <w:lang w:val="es-MX"/>
        </w:rPr>
      </w:pPr>
    </w:p>
    <w:p w14:paraId="3A05A558" w14:textId="77777777" w:rsidR="001F5FF1" w:rsidRDefault="001F5FF1" w:rsidP="001F5FF1">
      <w:pPr>
        <w:ind w:left="1416"/>
        <w:contextualSpacing/>
        <w:jc w:val="both"/>
        <w:rPr>
          <w:rFonts w:ascii="Verdana" w:eastAsia="Calibri" w:hAnsi="Verdana" w:cs="Arial"/>
          <w:sz w:val="20"/>
          <w:szCs w:val="20"/>
          <w:lang w:val="es-MX"/>
        </w:rPr>
      </w:pPr>
      <w:r w:rsidRPr="00F751FC">
        <w:rPr>
          <w:rFonts w:ascii="Verdana" w:eastAsia="Calibri" w:hAnsi="Verdana" w:cs="Arial"/>
          <w:sz w:val="20"/>
          <w:szCs w:val="20"/>
          <w:lang w:val="es-MX"/>
        </w:rPr>
        <w:t xml:space="preserve">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w:t>
      </w:r>
      <w:r w:rsidRPr="00F751FC">
        <w:rPr>
          <w:rFonts w:ascii="Verdana" w:eastAsia="Calibri" w:hAnsi="Verdana" w:cs="Arial"/>
          <w:sz w:val="20"/>
          <w:szCs w:val="20"/>
          <w:lang w:val="es-MX"/>
        </w:rPr>
        <w:lastRenderedPageBreak/>
        <w:t xml:space="preserve">derecho a la audiencia pública (art. 24 No. 3 </w:t>
      </w:r>
      <w:proofErr w:type="spellStart"/>
      <w:r w:rsidRPr="00F751FC">
        <w:rPr>
          <w:rFonts w:ascii="Verdana" w:eastAsia="Calibri" w:hAnsi="Verdana" w:cs="Arial"/>
          <w:sz w:val="20"/>
          <w:szCs w:val="20"/>
          <w:lang w:val="es-MX"/>
        </w:rPr>
        <w:t>ibídem</w:t>
      </w:r>
      <w:proofErr w:type="spellEnd"/>
      <w:r w:rsidRPr="00F751FC">
        <w:rPr>
          <w:rFonts w:ascii="Verdana" w:eastAsia="Calibri" w:hAnsi="Verdana" w:cs="Arial"/>
          <w:sz w:val="20"/>
          <w:szCs w:val="20"/>
          <w:lang w:val="es-MX"/>
        </w:rPr>
        <w:t xml:space="preserve"> en armonía con el artículo 273 de la Constitución Política).</w:t>
      </w:r>
    </w:p>
    <w:p w14:paraId="05A4E96E" w14:textId="77777777" w:rsidR="001F5FF1" w:rsidRPr="00F751FC" w:rsidRDefault="001F5FF1" w:rsidP="001F5FF1">
      <w:pPr>
        <w:ind w:left="1416"/>
        <w:contextualSpacing/>
        <w:jc w:val="both"/>
        <w:rPr>
          <w:rFonts w:ascii="Verdana" w:eastAsia="Calibri" w:hAnsi="Verdana" w:cs="Arial"/>
          <w:sz w:val="20"/>
          <w:szCs w:val="20"/>
          <w:lang w:val="es-MX"/>
        </w:rPr>
      </w:pPr>
    </w:p>
    <w:p w14:paraId="229BC6E0" w14:textId="77777777" w:rsidR="001F5FF1" w:rsidRDefault="001F5FF1" w:rsidP="001F5FF1">
      <w:pPr>
        <w:ind w:left="1416"/>
        <w:contextualSpacing/>
        <w:jc w:val="both"/>
        <w:rPr>
          <w:rFonts w:ascii="Verdana" w:eastAsia="Calibri" w:hAnsi="Verdana" w:cs="Arial"/>
          <w:sz w:val="20"/>
          <w:szCs w:val="20"/>
          <w:lang w:val="es-MX"/>
        </w:rPr>
      </w:pPr>
      <w:r w:rsidRPr="00F751FC">
        <w:rPr>
          <w:rFonts w:ascii="Verdana" w:eastAsia="Calibri" w:hAnsi="Verdana" w:cs="Arial"/>
          <w:sz w:val="20"/>
          <w:szCs w:val="20"/>
          <w:lang w:val="es-MX"/>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F751FC">
        <w:rPr>
          <w:rFonts w:ascii="Verdana" w:eastAsia="Calibri" w:hAnsi="Verdana" w:cs="Arial"/>
          <w:sz w:val="20"/>
          <w:szCs w:val="20"/>
          <w:vertAlign w:val="superscript"/>
          <w:lang w:val="es-MX"/>
        </w:rPr>
        <w:footnoteReference w:id="5"/>
      </w:r>
      <w:r w:rsidRPr="00F751FC">
        <w:rPr>
          <w:rFonts w:ascii="Verdana" w:eastAsia="Calibri" w:hAnsi="Verdana" w:cs="Arial"/>
          <w:sz w:val="20"/>
          <w:szCs w:val="20"/>
          <w:lang w:val="es-MX"/>
        </w:rPr>
        <w:t>.</w:t>
      </w:r>
    </w:p>
    <w:p w14:paraId="4D2955C4" w14:textId="77777777" w:rsidR="001F5FF1" w:rsidRPr="00F751FC" w:rsidRDefault="001F5FF1" w:rsidP="001F5FF1">
      <w:pPr>
        <w:ind w:left="720"/>
        <w:contextualSpacing/>
        <w:jc w:val="both"/>
        <w:rPr>
          <w:rFonts w:ascii="Verdana" w:eastAsia="Calibri" w:hAnsi="Verdana" w:cs="Arial"/>
          <w:sz w:val="20"/>
          <w:szCs w:val="20"/>
          <w:lang w:val="es-MX"/>
        </w:rPr>
      </w:pPr>
    </w:p>
    <w:p w14:paraId="45CC2A9A" w14:textId="77777777" w:rsidR="001F5FF1" w:rsidRPr="00F751FC" w:rsidRDefault="001F5FF1" w:rsidP="001F5FF1">
      <w:pPr>
        <w:pStyle w:val="Prrafodelista"/>
        <w:numPr>
          <w:ilvl w:val="0"/>
          <w:numId w:val="24"/>
        </w:numPr>
        <w:jc w:val="both"/>
        <w:rPr>
          <w:rFonts w:ascii="Verdana" w:eastAsia="Calibri" w:hAnsi="Verdana" w:cs="Arial"/>
          <w:lang w:val="es-MX"/>
        </w:rPr>
      </w:pPr>
      <w:r w:rsidRPr="00F751FC">
        <w:rPr>
          <w:rFonts w:ascii="Verdana" w:eastAsia="Calibri" w:hAnsi="Verdana" w:cs="Arial"/>
          <w:lang w:val="es-MX"/>
        </w:rPr>
        <w:t>El artículo 2.2.1.1.1.7.1. del Decreto 1082 de 2015, el cual establece los documentos que se deben publicar y el SECOP como medio de publicación, lo que permite controlar las actuaciones y decisiones de la Administración y el cumplimiento de los demás principios de la contratación pública</w:t>
      </w:r>
    </w:p>
    <w:p w14:paraId="448B2D16" w14:textId="77777777" w:rsidR="001F5FF1" w:rsidRDefault="001F5FF1" w:rsidP="001F5FF1">
      <w:pPr>
        <w:numPr>
          <w:ilvl w:val="0"/>
          <w:numId w:val="23"/>
        </w:numPr>
        <w:contextualSpacing/>
        <w:jc w:val="both"/>
        <w:rPr>
          <w:rFonts w:ascii="Verdana" w:eastAsia="Calibri" w:hAnsi="Verdana" w:cs="Arial"/>
        </w:rPr>
      </w:pPr>
      <w:r>
        <w:rPr>
          <w:rFonts w:ascii="Verdana" w:eastAsia="Calibri" w:hAnsi="Verdana" w:cs="Arial"/>
        </w:rPr>
        <w:t>Ahora bien, con respecto a las adendas se tiene entonces que l</w:t>
      </w:r>
      <w:r w:rsidRPr="00EB3000">
        <w:rPr>
          <w:rFonts w:ascii="Verdana" w:eastAsia="Calibri" w:hAnsi="Verdana" w:cs="Arial"/>
        </w:rPr>
        <w:t>as entidades estatales, una vez publicados los pliegos de condiciones definitivos o la invitación pública para los procesos de mínima cuantía, pueden realizar modificaciones a los documentos del procedimiento de contratación como consecuencia de las observaciones recibidas por parte de los interesados o por iniciativa unilateral de la entidad, al evidenciar la necesidad de modificar, ajustar o aclarar algún aspecto o condición.</w:t>
      </w:r>
    </w:p>
    <w:p w14:paraId="2A4D8859" w14:textId="77777777" w:rsidR="001F5FF1" w:rsidRDefault="001F5FF1" w:rsidP="001F5FF1">
      <w:pPr>
        <w:ind w:left="720"/>
        <w:contextualSpacing/>
        <w:jc w:val="both"/>
        <w:rPr>
          <w:rFonts w:ascii="Verdana" w:eastAsia="Calibri" w:hAnsi="Verdana" w:cs="Arial"/>
        </w:rPr>
      </w:pPr>
    </w:p>
    <w:p w14:paraId="7B7492A0" w14:textId="77777777" w:rsidR="001F5FF1" w:rsidRDefault="001F5FF1" w:rsidP="001F5FF1">
      <w:pPr>
        <w:numPr>
          <w:ilvl w:val="0"/>
          <w:numId w:val="23"/>
        </w:numPr>
        <w:contextualSpacing/>
        <w:jc w:val="both"/>
        <w:rPr>
          <w:rFonts w:ascii="Verdana" w:eastAsia="Calibri" w:hAnsi="Verdana" w:cs="Arial"/>
        </w:rPr>
      </w:pPr>
      <w:r w:rsidRPr="00EB3000">
        <w:rPr>
          <w:rFonts w:ascii="Verdana" w:eastAsia="Calibri" w:hAnsi="Verdana" w:cs="Arial"/>
        </w:rPr>
        <w:t>Estas modificaciones deben realizarse a través de adendas o como lo ha reconocido la jurisprudencia del Consejo de Estado, por medio de cualquier otro documento que contenga la manifestación de voluntad de la entidad de aclarar, añadir, adicionar, reemplazar o cambiar un aspecto o condición incluida en los documentos del procedimiento de contratación.</w:t>
      </w:r>
    </w:p>
    <w:p w14:paraId="4229EB3A" w14:textId="77777777" w:rsidR="001F5FF1" w:rsidRPr="001A5605" w:rsidRDefault="001F5FF1" w:rsidP="001F5FF1">
      <w:pPr>
        <w:pStyle w:val="Prrafodelista"/>
        <w:numPr>
          <w:ilvl w:val="0"/>
          <w:numId w:val="23"/>
        </w:numPr>
        <w:jc w:val="both"/>
        <w:rPr>
          <w:rFonts w:ascii="Verdana" w:eastAsia="Calibri" w:hAnsi="Verdana" w:cs="Arial"/>
        </w:rPr>
      </w:pPr>
      <w:r w:rsidRPr="00EB3000">
        <w:rPr>
          <w:rFonts w:ascii="Verdana" w:eastAsia="Calibri" w:hAnsi="Verdana" w:cs="Arial"/>
        </w:rPr>
        <w:t>La adenda o modificación, al contener la voluntad de la Administración de variar, ajustar o aclarar algún aspecto o condición de los pliegos de condiciones</w:t>
      </w:r>
      <w:r w:rsidRPr="00EB3000">
        <w:rPr>
          <w:rFonts w:ascii="Verdana" w:eastAsia="Calibri" w:hAnsi="Verdana" w:cs="Arial"/>
          <w:lang w:val="es-ES_tradnl"/>
        </w:rPr>
        <w:t xml:space="preserve"> o la invitación pública para procesos de mínima cuantía</w:t>
      </w:r>
      <w:r w:rsidRPr="00EB3000">
        <w:rPr>
          <w:rFonts w:ascii="Verdana" w:eastAsia="Calibri" w:hAnsi="Verdana" w:cs="Arial"/>
        </w:rPr>
        <w:t xml:space="preserve">, tiene la naturaleza de acto administrativo de contenido general, que, al ser incorporado al contenido de los pliegos de condiciones </w:t>
      </w:r>
      <w:r w:rsidRPr="00EB3000">
        <w:rPr>
          <w:rFonts w:ascii="Verdana" w:eastAsia="Calibri" w:hAnsi="Verdana" w:cs="Arial"/>
          <w:lang w:val="es-ES_tradnl"/>
        </w:rPr>
        <w:t>o a la invitación pública para procesos de mínima cuantía</w:t>
      </w:r>
      <w:r w:rsidRPr="00EB3000">
        <w:rPr>
          <w:rFonts w:ascii="Verdana" w:eastAsia="Calibri" w:hAnsi="Verdana" w:cs="Arial"/>
        </w:rPr>
        <w:t xml:space="preserve"> tiene, al igual que estos, la </w:t>
      </w:r>
      <w:r w:rsidRPr="00EB3000">
        <w:rPr>
          <w:rFonts w:ascii="Verdana" w:eastAsia="Calibri" w:hAnsi="Verdana" w:cs="Arial"/>
        </w:rPr>
        <w:lastRenderedPageBreak/>
        <w:t>posibilidad de transformarse en parte del texto del negocio jurídico</w:t>
      </w:r>
      <w:r w:rsidRPr="00EB3000">
        <w:rPr>
          <w:rFonts w:ascii="Verdana" w:eastAsia="Calibri" w:hAnsi="Verdana" w:cs="Arial"/>
          <w:vertAlign w:val="superscript"/>
        </w:rPr>
        <w:footnoteReference w:id="6"/>
      </w:r>
      <w:r w:rsidRPr="00EB3000">
        <w:rPr>
          <w:rFonts w:ascii="Verdana" w:eastAsia="Calibri" w:hAnsi="Verdana" w:cs="Arial"/>
        </w:rPr>
        <w:t>. Por lo tanto, las adendas, al ser actos administrativos de contenido general, deben ser publicadas para que sean obligatorias, esto es para que sus efectos sean vinculantes a los interesados en el procedimiento de contratación.</w:t>
      </w:r>
    </w:p>
    <w:p w14:paraId="5D31E783" w14:textId="77777777" w:rsidR="001F5FF1" w:rsidRPr="00EB3000" w:rsidRDefault="001F5FF1" w:rsidP="001F5FF1">
      <w:pPr>
        <w:pStyle w:val="Prrafodelista"/>
        <w:jc w:val="both"/>
        <w:rPr>
          <w:rFonts w:ascii="Verdana" w:eastAsia="Calibri" w:hAnsi="Verdana" w:cs="Arial"/>
        </w:rPr>
      </w:pPr>
    </w:p>
    <w:p w14:paraId="5E8B6574" w14:textId="77777777" w:rsidR="001F5FF1" w:rsidRPr="00EB3000" w:rsidRDefault="001F5FF1" w:rsidP="001F5FF1">
      <w:pPr>
        <w:pStyle w:val="Prrafodelista"/>
        <w:numPr>
          <w:ilvl w:val="0"/>
          <w:numId w:val="23"/>
        </w:numPr>
        <w:jc w:val="both"/>
        <w:rPr>
          <w:rFonts w:ascii="Verdana" w:eastAsia="Calibri" w:hAnsi="Verdana" w:cs="Arial"/>
        </w:rPr>
      </w:pPr>
      <w:r w:rsidRPr="00EB3000">
        <w:rPr>
          <w:rFonts w:ascii="Verdana" w:eastAsia="Calibri" w:hAnsi="Verdana" w:cs="Arial"/>
        </w:rPr>
        <w:t>El artículo 2.2.1.1.2.2.1 del Decreto 1082 de 2015, reglamenta la posibilidad que tienen las entidades de modificar los pliegos de condiciones a través de adendas y señala que deben expedirse a más tarde un día hábil anterior a la fecha fijada para la presentación de ofertas, salvo para el caso de licitación que debe hacerse con tres (3) días de anticipación. Al respecto señala la norma:</w:t>
      </w:r>
    </w:p>
    <w:p w14:paraId="24BFFD51" w14:textId="77777777" w:rsidR="001F5FF1" w:rsidRPr="00EB3000" w:rsidRDefault="001F5FF1" w:rsidP="001F5FF1">
      <w:pPr>
        <w:pStyle w:val="Prrafodelista"/>
        <w:jc w:val="both"/>
        <w:rPr>
          <w:rFonts w:ascii="Verdana" w:eastAsia="Calibri" w:hAnsi="Verdana" w:cs="Arial"/>
        </w:rPr>
      </w:pPr>
    </w:p>
    <w:p w14:paraId="7465CEA9" w14:textId="77777777" w:rsidR="001F5FF1" w:rsidRPr="00EB3000" w:rsidRDefault="001F5FF1" w:rsidP="001F5FF1">
      <w:pPr>
        <w:pStyle w:val="Prrafodelista"/>
        <w:ind w:left="1416"/>
        <w:jc w:val="both"/>
        <w:rPr>
          <w:rFonts w:ascii="Verdana" w:eastAsia="Calibri" w:hAnsi="Verdana" w:cs="Arial"/>
          <w:sz w:val="20"/>
          <w:szCs w:val="20"/>
        </w:rPr>
      </w:pPr>
      <w:r w:rsidRPr="00EB3000">
        <w:rPr>
          <w:rFonts w:ascii="Verdana" w:eastAsia="Calibri" w:hAnsi="Verdana" w:cs="Arial"/>
          <w:sz w:val="20"/>
          <w:szCs w:val="20"/>
        </w:rPr>
        <w:t>“Artículo 2.2.1.1.2.2.1. Modificación de los pliegos de condiciones. La Entidad Estatal puede modificar los pliegos de condiciones a través de Adendas expedidas antes del vencimiento del plazo para presentar ofertas.</w:t>
      </w:r>
    </w:p>
    <w:p w14:paraId="00B6191E" w14:textId="77777777" w:rsidR="001F5FF1" w:rsidRPr="00EB3000" w:rsidRDefault="001F5FF1" w:rsidP="001F5FF1">
      <w:pPr>
        <w:pStyle w:val="Prrafodelista"/>
        <w:jc w:val="both"/>
        <w:rPr>
          <w:rFonts w:ascii="Verdana" w:eastAsia="Calibri" w:hAnsi="Verdana" w:cs="Arial"/>
          <w:sz w:val="20"/>
          <w:szCs w:val="20"/>
        </w:rPr>
      </w:pPr>
    </w:p>
    <w:p w14:paraId="64EE40C7" w14:textId="77777777" w:rsidR="001F5FF1" w:rsidRPr="00EB3000" w:rsidRDefault="001F5FF1" w:rsidP="001F5FF1">
      <w:pPr>
        <w:pStyle w:val="Prrafodelista"/>
        <w:ind w:left="1416"/>
        <w:jc w:val="both"/>
        <w:rPr>
          <w:rFonts w:ascii="Verdana" w:eastAsia="Calibri" w:hAnsi="Verdana" w:cs="Arial"/>
          <w:sz w:val="20"/>
          <w:szCs w:val="20"/>
        </w:rPr>
      </w:pPr>
      <w:r w:rsidRPr="00EB3000">
        <w:rPr>
          <w:rFonts w:ascii="Verdana" w:eastAsia="Calibri" w:hAnsi="Verdana" w:cs="Arial"/>
          <w:sz w:val="20"/>
          <w:szCs w:val="20"/>
        </w:rPr>
        <w:t>La Entidad Estatal puede expedir Adendas para modificar el Cronograma una vez vencido el término para la presentación de las ofertas y antes de la adjudicación del contrato.</w:t>
      </w:r>
    </w:p>
    <w:p w14:paraId="23380AEE" w14:textId="77777777" w:rsidR="001F5FF1" w:rsidRPr="00EB3000" w:rsidRDefault="001F5FF1" w:rsidP="001F5FF1">
      <w:pPr>
        <w:pStyle w:val="Prrafodelista"/>
        <w:jc w:val="both"/>
        <w:rPr>
          <w:rFonts w:ascii="Verdana" w:eastAsia="Calibri" w:hAnsi="Verdana" w:cs="Arial"/>
          <w:sz w:val="20"/>
          <w:szCs w:val="20"/>
        </w:rPr>
      </w:pPr>
    </w:p>
    <w:p w14:paraId="38081C56" w14:textId="77777777" w:rsidR="001F5FF1" w:rsidRPr="00EB3000" w:rsidRDefault="001F5FF1" w:rsidP="001F5FF1">
      <w:pPr>
        <w:pStyle w:val="Prrafodelista"/>
        <w:ind w:left="1416"/>
        <w:jc w:val="both"/>
        <w:rPr>
          <w:rFonts w:ascii="Verdana" w:eastAsia="Calibri" w:hAnsi="Verdana" w:cs="Arial"/>
          <w:sz w:val="20"/>
          <w:szCs w:val="20"/>
        </w:rPr>
      </w:pPr>
      <w:r w:rsidRPr="00EB3000">
        <w:rPr>
          <w:rFonts w:ascii="Verdana" w:eastAsia="Calibri" w:hAnsi="Verdana" w:cs="Arial"/>
          <w:sz w:val="20"/>
          <w:szCs w:val="20"/>
        </w:rPr>
        <w:t>La Entidad Estatal debe publicar las Adendas en los días hábiles, entre las 7:00 a.m. y las 7:00 p. m., a más tardar el día hábil anterior al vencimiento del plazo para presentar ofertas a la hora fijada para tal presentación, salvo en la licitación pública pues de conformidad con la ley la publicación debe hacerse con tres (3) días de anticipación”.</w:t>
      </w:r>
    </w:p>
    <w:p w14:paraId="2A33DAD9" w14:textId="77777777" w:rsidR="001F5FF1" w:rsidRPr="00EB3000" w:rsidRDefault="001F5FF1" w:rsidP="001F5FF1">
      <w:pPr>
        <w:pStyle w:val="Prrafodelista"/>
        <w:jc w:val="both"/>
        <w:rPr>
          <w:rFonts w:ascii="Verdana" w:eastAsia="Calibri" w:hAnsi="Verdana" w:cs="Arial"/>
        </w:rPr>
      </w:pPr>
    </w:p>
    <w:p w14:paraId="225F74E0" w14:textId="77777777" w:rsidR="001F5FF1" w:rsidRDefault="001F5FF1" w:rsidP="001F5FF1">
      <w:pPr>
        <w:pStyle w:val="Prrafodelista"/>
        <w:numPr>
          <w:ilvl w:val="0"/>
          <w:numId w:val="23"/>
        </w:numPr>
        <w:jc w:val="both"/>
        <w:rPr>
          <w:rFonts w:ascii="Verdana" w:eastAsia="Calibri" w:hAnsi="Verdana" w:cs="Arial"/>
        </w:rPr>
      </w:pPr>
      <w:r w:rsidRPr="00EB3000">
        <w:rPr>
          <w:rFonts w:ascii="Verdana" w:eastAsia="Calibri" w:hAnsi="Verdana" w:cs="Arial"/>
        </w:rPr>
        <w:t xml:space="preserve">De lo anterior se observa que el artículo 2.2.1.1.2.2.1 de Decreto 1082 de 2015 dispone que la entidad estatal puede expedir adendas para modificar el cronograma una vez vencido el término para la presentación de las ofertas y antes de la adjudicación del contrato. La interpretación de </w:t>
      </w:r>
      <w:r w:rsidRPr="00EB3000">
        <w:rPr>
          <w:rFonts w:ascii="Verdana" w:eastAsia="Calibri" w:hAnsi="Verdana" w:cs="Arial"/>
        </w:rPr>
        <w:lastRenderedPageBreak/>
        <w:t>esta norma supone que pueden dar lugar a la expedición de adendas al cronograma del proceso de selección una vez vencido el plazo para la recepción de ofertas y antes de la adjudicación del contrato, en las que solo se permite modificar los plazos de las etapas siguientes.</w:t>
      </w:r>
    </w:p>
    <w:p w14:paraId="43137823" w14:textId="77777777" w:rsidR="001F5FF1" w:rsidRPr="00EB3000" w:rsidRDefault="001F5FF1" w:rsidP="001F5FF1">
      <w:pPr>
        <w:pStyle w:val="Prrafodelista"/>
        <w:jc w:val="both"/>
        <w:rPr>
          <w:rFonts w:ascii="Verdana" w:eastAsia="Calibri" w:hAnsi="Verdana" w:cs="Arial"/>
        </w:rPr>
      </w:pPr>
    </w:p>
    <w:p w14:paraId="5CF4AA7C" w14:textId="77777777" w:rsidR="001F5FF1" w:rsidRDefault="001F5FF1" w:rsidP="001F5FF1">
      <w:pPr>
        <w:pStyle w:val="Prrafodelista"/>
        <w:numPr>
          <w:ilvl w:val="0"/>
          <w:numId w:val="23"/>
        </w:numPr>
        <w:jc w:val="both"/>
        <w:rPr>
          <w:rFonts w:ascii="Verdana" w:eastAsia="Calibri" w:hAnsi="Verdana" w:cs="Arial"/>
        </w:rPr>
      </w:pPr>
      <w:r w:rsidRPr="00EB3000">
        <w:rPr>
          <w:rFonts w:ascii="Verdana" w:eastAsia="Calibri" w:hAnsi="Verdana" w:cs="Arial"/>
        </w:rPr>
        <w:t xml:space="preserve">Así las cosas, se puede concluir que las entidades estatales pueden modificar el cronograma mediante adendas en dos momentos: i) antes del vencimiento del plazo para presentar ofertas, pues se entiende que el cronograma hace parte integral del pliego de condiciones, y </w:t>
      </w:r>
      <w:proofErr w:type="spellStart"/>
      <w:r w:rsidRPr="00EB3000">
        <w:rPr>
          <w:rFonts w:ascii="Verdana" w:eastAsia="Calibri" w:hAnsi="Verdana" w:cs="Arial"/>
        </w:rPr>
        <w:t>ii</w:t>
      </w:r>
      <w:proofErr w:type="spellEnd"/>
      <w:r w:rsidRPr="00EB3000">
        <w:rPr>
          <w:rFonts w:ascii="Verdana" w:eastAsia="Calibri" w:hAnsi="Verdana" w:cs="Arial"/>
        </w:rPr>
        <w:t>) una vez vencido el término para la presentación de ofertas y antes de la adjudicación del contrato. Al respecto, resulta del caso precisar que cada modalidad de selección tiene establecido un procedimiento propio que rige su estructuración y, en este sentido, las etapas y el acto final del proceso de selección dependerá de cada modalidad de selección. De este modo, por ejemplo, en la mínima cuantía el acto por medio del cual se escoge al futuro contratista es la comunicación de aceptación de la oferta.</w:t>
      </w:r>
    </w:p>
    <w:p w14:paraId="0AB0DD82" w14:textId="77777777" w:rsidR="006B5191" w:rsidRPr="001F5FF1" w:rsidRDefault="006B5191" w:rsidP="00FA41B9">
      <w:pPr>
        <w:spacing w:after="0" w:line="276" w:lineRule="auto"/>
        <w:jc w:val="both"/>
        <w:rPr>
          <w:rFonts w:ascii="Verdana" w:eastAsia="Calibri" w:hAnsi="Verdana" w:cs="Arial"/>
        </w:rPr>
      </w:pPr>
    </w:p>
    <w:p w14:paraId="4DF7E104" w14:textId="26CFAFF9" w:rsidR="00FA41B9" w:rsidRPr="00E26368" w:rsidRDefault="00FA41B9" w:rsidP="006B5191">
      <w:pPr>
        <w:spacing w:after="0" w:line="276" w:lineRule="auto"/>
        <w:jc w:val="both"/>
        <w:rPr>
          <w:rFonts w:ascii="Verdana" w:eastAsia="Century Gothic" w:hAnsi="Verdana" w:cs="Century Gothic"/>
          <w:b/>
          <w:bCs/>
        </w:rPr>
      </w:pPr>
      <w:r w:rsidRPr="00E26368">
        <w:rPr>
          <w:rFonts w:ascii="Verdana" w:eastAsia="Calibri" w:hAnsi="Verdana" w:cs="Arial"/>
          <w:lang w:val="es-ES"/>
        </w:rPr>
        <w:t xml:space="preserve"> </w:t>
      </w:r>
      <w:r w:rsidRPr="00E26368">
        <w:rPr>
          <w:rFonts w:ascii="Verdana" w:eastAsia="Century Gothic" w:hAnsi="Verdana" w:cs="Century Gothic"/>
          <w:b/>
          <w:bCs/>
        </w:rPr>
        <w:t>Referencias normativas, jurisprudenciales y otras fuentes:</w:t>
      </w:r>
    </w:p>
    <w:p w14:paraId="39804294" w14:textId="77777777" w:rsidR="00FA41B9" w:rsidRPr="00E26368" w:rsidRDefault="00FA41B9" w:rsidP="00FA41B9">
      <w:pPr>
        <w:widowControl w:val="0"/>
        <w:autoSpaceDE w:val="0"/>
        <w:autoSpaceDN w:val="0"/>
        <w:spacing w:after="0" w:line="276" w:lineRule="auto"/>
        <w:jc w:val="both"/>
        <w:rPr>
          <w:rFonts w:ascii="Verdana" w:hAnsi="Verdana" w:cs="Arial"/>
        </w:rPr>
      </w:pPr>
    </w:p>
    <w:tbl>
      <w:tblPr>
        <w:tblStyle w:val="Tablaconcuadrcula"/>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FA41B9" w:rsidRPr="00E26368" w14:paraId="4FE2E1BC" w14:textId="77777777" w:rsidTr="00367512">
        <w:trPr>
          <w:trHeight w:val="870"/>
        </w:trPr>
        <w:tc>
          <w:tcPr>
            <w:tcW w:w="8647" w:type="dxa"/>
            <w:tcBorders>
              <w:top w:val="dotted" w:sz="4" w:space="0" w:color="auto"/>
              <w:left w:val="dotted" w:sz="4" w:space="0" w:color="auto"/>
              <w:bottom w:val="dotted" w:sz="4" w:space="0" w:color="auto"/>
              <w:right w:val="dotted" w:sz="4" w:space="0" w:color="auto"/>
            </w:tcBorders>
          </w:tcPr>
          <w:p w14:paraId="62C727BF" w14:textId="77777777" w:rsidR="008F7D37" w:rsidRPr="00775458" w:rsidRDefault="008F7D37" w:rsidP="008F7D37">
            <w:pPr>
              <w:widowControl w:val="0"/>
              <w:numPr>
                <w:ilvl w:val="0"/>
                <w:numId w:val="8"/>
              </w:numPr>
              <w:autoSpaceDE w:val="0"/>
              <w:autoSpaceDN w:val="0"/>
              <w:spacing w:line="276" w:lineRule="auto"/>
              <w:contextualSpacing/>
              <w:jc w:val="both"/>
              <w:rPr>
                <w:rFonts w:ascii="Verdana" w:hAnsi="Verdana" w:cs="Arial"/>
              </w:rPr>
            </w:pPr>
            <w:r w:rsidRPr="00775458">
              <w:rPr>
                <w:rFonts w:ascii="Verdana" w:hAnsi="Verdana" w:cs="Arial"/>
              </w:rPr>
              <w:t>Ley 1150 de 2007</w:t>
            </w:r>
          </w:p>
          <w:p w14:paraId="0D4CB2C4" w14:textId="77777777" w:rsidR="008F7D37" w:rsidRPr="00775458" w:rsidRDefault="008F7D37" w:rsidP="008F7D37">
            <w:pPr>
              <w:widowControl w:val="0"/>
              <w:numPr>
                <w:ilvl w:val="0"/>
                <w:numId w:val="8"/>
              </w:numPr>
              <w:autoSpaceDE w:val="0"/>
              <w:autoSpaceDN w:val="0"/>
              <w:spacing w:line="276" w:lineRule="auto"/>
              <w:contextualSpacing/>
              <w:jc w:val="both"/>
              <w:rPr>
                <w:rFonts w:ascii="Verdana" w:hAnsi="Verdana" w:cs="Arial"/>
              </w:rPr>
            </w:pPr>
            <w:r w:rsidRPr="00775458">
              <w:rPr>
                <w:rFonts w:ascii="Verdana" w:hAnsi="Verdana" w:cs="Arial"/>
              </w:rPr>
              <w:t>Decreto 1082 de 2015, artículo 2.2.1.1.1.7.1. y 2.2.1.1.2.2.1</w:t>
            </w:r>
          </w:p>
          <w:p w14:paraId="5272BDA7" w14:textId="77777777" w:rsidR="008F7D37" w:rsidRPr="00775458" w:rsidRDefault="008F7D37" w:rsidP="008F7D37">
            <w:pPr>
              <w:widowControl w:val="0"/>
              <w:numPr>
                <w:ilvl w:val="0"/>
                <w:numId w:val="8"/>
              </w:numPr>
              <w:autoSpaceDE w:val="0"/>
              <w:autoSpaceDN w:val="0"/>
              <w:spacing w:line="276" w:lineRule="auto"/>
              <w:contextualSpacing/>
              <w:jc w:val="both"/>
              <w:rPr>
                <w:rFonts w:ascii="Verdana" w:hAnsi="Verdana" w:cs="Arial"/>
              </w:rPr>
            </w:pPr>
            <w:r w:rsidRPr="00775458">
              <w:rPr>
                <w:rFonts w:ascii="Verdana" w:hAnsi="Verdana" w:cs="Arial"/>
              </w:rPr>
              <w:t>Circular Única Externa. Disponible en: https://www.colombiacompra.gov.co/content/circular-unica-externa</w:t>
            </w:r>
          </w:p>
          <w:p w14:paraId="16E28F34" w14:textId="77777777" w:rsidR="008F7D37" w:rsidRPr="00775458" w:rsidRDefault="008F7D37" w:rsidP="008F7D37">
            <w:pPr>
              <w:widowControl w:val="0"/>
              <w:numPr>
                <w:ilvl w:val="0"/>
                <w:numId w:val="8"/>
              </w:numPr>
              <w:autoSpaceDE w:val="0"/>
              <w:autoSpaceDN w:val="0"/>
              <w:spacing w:line="276" w:lineRule="auto"/>
              <w:contextualSpacing/>
              <w:jc w:val="both"/>
              <w:rPr>
                <w:rFonts w:ascii="Verdana" w:hAnsi="Verdana" w:cs="Arial"/>
              </w:rPr>
            </w:pPr>
            <w:r w:rsidRPr="00775458">
              <w:rPr>
                <w:rFonts w:ascii="Verdana" w:hAnsi="Verdana" w:cs="Arial"/>
              </w:rPr>
              <w:t xml:space="preserve">Jurisprudencia del Consejo de Estado. Disponible en: https://relatoria.colombiacompra.gov.co/providencias-consejo-de-estado/ </w:t>
            </w:r>
          </w:p>
          <w:p w14:paraId="41C4C92D" w14:textId="0C9C8813" w:rsidR="00FA41B9" w:rsidRPr="00E26368" w:rsidRDefault="008F7D37" w:rsidP="008F7D37">
            <w:pPr>
              <w:pStyle w:val="Prrafodelista"/>
              <w:widowControl w:val="0"/>
              <w:numPr>
                <w:ilvl w:val="0"/>
                <w:numId w:val="8"/>
              </w:numPr>
              <w:tabs>
                <w:tab w:val="left" w:pos="8419"/>
              </w:tabs>
              <w:autoSpaceDE w:val="0"/>
              <w:autoSpaceDN w:val="0"/>
              <w:spacing w:line="276" w:lineRule="auto"/>
              <w:contextualSpacing w:val="0"/>
              <w:jc w:val="both"/>
              <w:rPr>
                <w:rFonts w:ascii="Verdana" w:hAnsi="Verdana" w:cs="Arial"/>
              </w:rPr>
            </w:pPr>
            <w:r w:rsidRPr="00775458">
              <w:rPr>
                <w:rFonts w:ascii="Verdana" w:hAnsi="Verdana" w:cs="Arial"/>
              </w:rPr>
              <w:t xml:space="preserve">Guías y manuales expedidos por la ANCP-CCE. Disponible en: https://www.colombiacompra.gov.co/manuales-guias-y-pliegos-tipo/manuales-y-guias </w:t>
            </w:r>
            <w:r w:rsidR="00FA41B9" w:rsidRPr="00E26368">
              <w:rPr>
                <w:rFonts w:ascii="Verdana" w:hAnsi="Verdana" w:cs="Arial"/>
              </w:rPr>
              <w:t xml:space="preserve">Volumen I. Buenos Aires: </w:t>
            </w:r>
            <w:proofErr w:type="spellStart"/>
            <w:r w:rsidR="00FA41B9" w:rsidRPr="00E26368">
              <w:rPr>
                <w:rFonts w:ascii="Verdana" w:hAnsi="Verdana" w:cs="Arial"/>
              </w:rPr>
              <w:t>Depalma</w:t>
            </w:r>
            <w:proofErr w:type="spellEnd"/>
            <w:r w:rsidR="00FA41B9" w:rsidRPr="00E26368">
              <w:rPr>
                <w:rFonts w:ascii="Verdana" w:hAnsi="Verdana" w:cs="Arial"/>
              </w:rPr>
              <w:t>, 2012.</w:t>
            </w:r>
          </w:p>
          <w:p w14:paraId="35669FCF" w14:textId="77777777" w:rsidR="00FA41B9" w:rsidRPr="00E26368" w:rsidRDefault="00FA41B9" w:rsidP="008F7D37">
            <w:pPr>
              <w:pStyle w:val="Prrafodelista"/>
              <w:widowControl w:val="0"/>
              <w:numPr>
                <w:ilvl w:val="0"/>
                <w:numId w:val="8"/>
              </w:numPr>
              <w:tabs>
                <w:tab w:val="left" w:pos="8419"/>
              </w:tabs>
              <w:autoSpaceDE w:val="0"/>
              <w:autoSpaceDN w:val="0"/>
              <w:spacing w:line="276" w:lineRule="auto"/>
              <w:jc w:val="both"/>
              <w:rPr>
                <w:rFonts w:ascii="Verdana" w:hAnsi="Verdana" w:cs="Arial"/>
              </w:rPr>
            </w:pPr>
            <w:r w:rsidRPr="00E26368">
              <w:rPr>
                <w:rFonts w:ascii="Verdana" w:hAnsi="Verdana" w:cs="Arial"/>
              </w:rPr>
              <w:t>MARIENHOFF, Miguel S. Tratado de derecho administrativo. Tomo IIIA. Cuarta Edición. Buenos Aires: Abeledo Perrot, 1998.</w:t>
            </w:r>
          </w:p>
          <w:p w14:paraId="3D0DA795" w14:textId="77777777" w:rsidR="00FA41B9" w:rsidRPr="00D31134" w:rsidRDefault="00FA41B9" w:rsidP="008F7D37">
            <w:pPr>
              <w:pStyle w:val="Prrafodelista"/>
              <w:widowControl w:val="0"/>
              <w:numPr>
                <w:ilvl w:val="0"/>
                <w:numId w:val="8"/>
              </w:numPr>
              <w:tabs>
                <w:tab w:val="left" w:pos="8419"/>
              </w:tabs>
              <w:autoSpaceDE w:val="0"/>
              <w:autoSpaceDN w:val="0"/>
              <w:spacing w:line="276" w:lineRule="auto"/>
              <w:jc w:val="both"/>
              <w:rPr>
                <w:rFonts w:ascii="Verdana" w:hAnsi="Verdana"/>
                <w:color w:val="000000" w:themeColor="text1"/>
              </w:rPr>
            </w:pPr>
            <w:r w:rsidRPr="00D31134">
              <w:rPr>
                <w:rFonts w:ascii="Verdana" w:hAnsi="Verdana" w:cs="Arial"/>
              </w:rPr>
              <w:t>RAMÍREZ GRISALES, Richard. La cesión. Serie: Las cláusulas del contrato estatal. Medellín: Centro de Estudios de Derecho Administrativo –CEDA– y Librería Jurídica Sánchez R., 2014.</w:t>
            </w:r>
          </w:p>
        </w:tc>
      </w:tr>
    </w:tbl>
    <w:p w14:paraId="4DFAC4A2" w14:textId="77777777" w:rsidR="00FA41B9" w:rsidRPr="00E26368" w:rsidRDefault="00FA41B9" w:rsidP="00FA41B9">
      <w:pPr>
        <w:widowControl w:val="0"/>
        <w:autoSpaceDE w:val="0"/>
        <w:autoSpaceDN w:val="0"/>
        <w:spacing w:after="0" w:line="276" w:lineRule="auto"/>
        <w:jc w:val="both"/>
        <w:rPr>
          <w:rFonts w:ascii="Verdana" w:hAnsi="Verdana" w:cs="Arial"/>
        </w:rPr>
      </w:pPr>
    </w:p>
    <w:p w14:paraId="285664CD" w14:textId="77777777" w:rsidR="00FA41B9" w:rsidRPr="00E26368" w:rsidRDefault="00FA41B9" w:rsidP="00FA41B9">
      <w:pPr>
        <w:pStyle w:val="Prrafodelista"/>
        <w:numPr>
          <w:ilvl w:val="0"/>
          <w:numId w:val="14"/>
        </w:numPr>
        <w:tabs>
          <w:tab w:val="left" w:pos="142"/>
          <w:tab w:val="left" w:pos="284"/>
        </w:tabs>
        <w:spacing w:after="0" w:line="276" w:lineRule="auto"/>
        <w:ind w:left="0" w:firstLine="0"/>
        <w:jc w:val="both"/>
        <w:rPr>
          <w:rFonts w:ascii="Verdana" w:eastAsia="Century Gothic" w:hAnsi="Verdana" w:cs="Century Gothic"/>
          <w:b/>
          <w:bCs/>
        </w:rPr>
      </w:pPr>
      <w:r w:rsidRPr="00E26368">
        <w:rPr>
          <w:rFonts w:ascii="Verdana" w:eastAsia="Century Gothic" w:hAnsi="Verdana" w:cs="Century Gothic"/>
          <w:b/>
          <w:bCs/>
        </w:rPr>
        <w:t>Doctrina de la Agencia Nacional de Contratación Pública:</w:t>
      </w:r>
    </w:p>
    <w:p w14:paraId="1565E02C" w14:textId="77777777" w:rsidR="00FA41B9" w:rsidRPr="00E26368" w:rsidRDefault="00FA41B9" w:rsidP="00FA41B9">
      <w:pPr>
        <w:spacing w:after="0" w:line="276" w:lineRule="auto"/>
        <w:jc w:val="both"/>
        <w:rPr>
          <w:rFonts w:ascii="Verdana" w:hAnsi="Verdana" w:cs="Arial"/>
        </w:rPr>
      </w:pPr>
    </w:p>
    <w:p w14:paraId="0055A758" w14:textId="18124AD0" w:rsidR="00FA41B9" w:rsidRPr="00E26368" w:rsidRDefault="00FA41B9" w:rsidP="00FA41B9">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sidRPr="00E26368">
        <w:rPr>
          <w:rFonts w:ascii="Verdana" w:eastAsia="Calibri" w:hAnsi="Verdana" w:cs="Arial"/>
          <w:lang w:val="es-ES_tradnl" w:eastAsia="es-ES_tradnl"/>
        </w:rPr>
        <w:t xml:space="preserve">Sobre la cesión del contrato estatal se pronunció esta Subdirección en los conceptos </w:t>
      </w:r>
      <w:r w:rsidR="00242A71" w:rsidRPr="00C269C0">
        <w:rPr>
          <w:rFonts w:ascii="Verdana" w:eastAsia="Calibri" w:hAnsi="Verdana" w:cs="Arial"/>
          <w:shd w:val="clear" w:color="auto" w:fill="FFFFFF"/>
          <w:lang w:val="es-ES"/>
        </w:rPr>
        <w:t xml:space="preserve">CU-003 del 15 de enero de 2020, </w:t>
      </w:r>
      <w:r w:rsidR="00242A71" w:rsidRPr="00C269C0">
        <w:rPr>
          <w:rFonts w:ascii="Verdana" w:eastAsia="Calibri" w:hAnsi="Verdana" w:cs="Arial"/>
          <w:shd w:val="clear" w:color="auto" w:fill="FFFFFF"/>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C-472 del 6 de septiembre de 2021, C-074 del 10 de marzo de 2022, C-083 del 18 de marzo de 2022, C-135 del 28 de marzo de 2022, C-332 del 24 de mayo de 2022, C-337 del 25 de mayo de 2022, C-355 del 2 de junio de 2022, C-379 del 22 de junio de 2022 y algunos otros</w:t>
      </w:r>
      <w:r w:rsidR="00242A71" w:rsidRPr="00C269C0">
        <w:rPr>
          <w:rFonts w:ascii="Verdana" w:eastAsia="Calibri" w:hAnsi="Verdana" w:cs="Arial"/>
          <w:shd w:val="clear" w:color="auto" w:fill="FFFFFF"/>
          <w:lang w:val="es-ES"/>
        </w:rPr>
        <w:t>. De igual manera, esta Subdirección se ha referido al alcance de lo dispuesto en el artículo 53 de la Ley 2195 de 2022 en los conceptos C-049 del 7 de marzo de 2022, C-120 del 22 de marzo de 2022, C-124 del 22 de marzo de 2022, C-132 del 28 de marzo de 2022, C-337 del 25 de mayo de 2022, C-348 del 13 de junio de 2022, C-357 del 13 de junio de 2022, C-422 del 13 de julio de 2022, C-475 del 26 de julio de 2022, C-480 del 18 de julio de 2022, C-492 del 2 de agosto de 2022, C-495 del 2 de agosto de 2022, C-510 del 8 de agosto de 2022, C-508 de 30 de agosto de 2022, C-457 del 24 de octubre de 2023, C-460 del 30 de noviembre de 2023</w:t>
      </w:r>
      <w:r w:rsidR="00EA6727">
        <w:rPr>
          <w:rFonts w:ascii="Verdana" w:eastAsia="Calibri" w:hAnsi="Verdana" w:cs="Arial"/>
          <w:shd w:val="clear" w:color="auto" w:fill="FFFFFF"/>
          <w:lang w:val="es-ES"/>
        </w:rPr>
        <w:t xml:space="preserve">, C-299 del </w:t>
      </w:r>
      <w:r w:rsidR="00FB51EF">
        <w:rPr>
          <w:rFonts w:ascii="Verdana" w:eastAsia="Calibri" w:hAnsi="Verdana" w:cs="Arial"/>
          <w:shd w:val="clear" w:color="auto" w:fill="FFFFFF"/>
          <w:lang w:val="es-ES"/>
        </w:rPr>
        <w:t>21 de agosto de 2024</w:t>
      </w:r>
      <w:r w:rsidR="00242A71" w:rsidRPr="00C269C0">
        <w:rPr>
          <w:rFonts w:ascii="Verdana" w:eastAsia="Calibri" w:hAnsi="Verdana" w:cs="Arial"/>
          <w:shd w:val="clear" w:color="auto" w:fill="FFFFFF"/>
          <w:lang w:val="es-ES"/>
        </w:rPr>
        <w:t>, analizó el deber de publicar la documentación contractual en las Sistema Electrónico de Contratación Pública–SECOP-.</w:t>
      </w:r>
      <w:r w:rsidRPr="00E26368">
        <w:rPr>
          <w:rFonts w:ascii="Verdana" w:eastAsia="Calibri" w:hAnsi="Verdana" w:cs="Arial"/>
          <w:lang w:val="es-ES" w:eastAsia="es-ES_tradnl"/>
        </w:rPr>
        <w:t xml:space="preserve"> Estos</w:t>
      </w:r>
      <w:r w:rsidRPr="00E26368">
        <w:rPr>
          <w:rFonts w:ascii="Verdana" w:hAnsi="Verdana"/>
        </w:rPr>
        <w:t xml:space="preserve"> y otros conceptos se encuentran disponibles para consulta en el Sistema de relatoría de la Agencia, al cual se puede acceder a través del siguiente enlace:</w:t>
      </w:r>
      <w:r w:rsidRPr="00E26368">
        <w:rPr>
          <w:rStyle w:val="normaltextrun"/>
          <w:rFonts w:ascii="Verdana" w:hAnsi="Verdana" w:cs="Arial"/>
          <w:shd w:val="clear" w:color="auto" w:fill="FFFFFF"/>
          <w:lang w:val="es-ES"/>
        </w:rPr>
        <w:t xml:space="preserve"> </w:t>
      </w:r>
      <w:hyperlink r:id="rId13" w:history="1">
        <w:r w:rsidRPr="00E26368">
          <w:rPr>
            <w:rStyle w:val="Hipervnculo"/>
            <w:rFonts w:ascii="Verdana" w:hAnsi="Verdana" w:cs="Arial"/>
            <w:shd w:val="clear" w:color="auto" w:fill="FFFFFF"/>
            <w:lang w:val="es-ES"/>
          </w:rPr>
          <w:t>https://relatoria.colombiacompra.gov.co/busqueda/conceptos</w:t>
        </w:r>
      </w:hyperlink>
    </w:p>
    <w:p w14:paraId="710186A6" w14:textId="77777777" w:rsidR="00FA41B9" w:rsidRPr="00E26368" w:rsidRDefault="00FA41B9" w:rsidP="00FA41B9">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62978A89" w14:textId="77777777" w:rsidR="00FA41B9" w:rsidRPr="00E26368" w:rsidRDefault="00FA41B9" w:rsidP="00FA41B9">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E26368">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E26368">
        <w:rPr>
          <w:rStyle w:val="normaltextrun"/>
          <w:rFonts w:ascii="Verdana" w:hAnsi="Verdana" w:cs="Arial"/>
          <w:color w:val="FF0000"/>
          <w:shd w:val="clear" w:color="auto" w:fill="FFFFFF"/>
          <w:lang w:val="es-ES"/>
        </w:rPr>
        <w:t xml:space="preserve"> </w:t>
      </w:r>
      <w:hyperlink r:id="rId14" w:history="1">
        <w:r w:rsidRPr="00E26368">
          <w:rPr>
            <w:rStyle w:val="Hipervnculo"/>
            <w:rFonts w:ascii="Verdana" w:hAnsi="Verdana" w:cs="Arial"/>
            <w:shd w:val="clear" w:color="auto" w:fill="FFFFFF"/>
            <w:lang w:val="es-ES"/>
          </w:rPr>
          <w:t>https://www.colombiacompra.gov.co/sala-de-prensa/boletin-digital</w:t>
        </w:r>
      </w:hyperlink>
      <w:r w:rsidRPr="00E26368">
        <w:rPr>
          <w:rStyle w:val="normaltextrun"/>
          <w:rFonts w:ascii="Verdana" w:hAnsi="Verdana" w:cs="Arial"/>
          <w:color w:val="FF0000"/>
          <w:shd w:val="clear" w:color="auto" w:fill="FFFFFF"/>
          <w:lang w:val="es-ES"/>
        </w:rPr>
        <w:t xml:space="preserve">      </w:t>
      </w:r>
    </w:p>
    <w:p w14:paraId="6AAA9823" w14:textId="77777777" w:rsidR="00FA41B9" w:rsidRPr="00E26368" w:rsidRDefault="00FA41B9" w:rsidP="00FA41B9">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2D9B65E9" w14:textId="77777777" w:rsidR="00FA41B9" w:rsidRPr="00E26368" w:rsidRDefault="00FA41B9" w:rsidP="00FA41B9">
      <w:pPr>
        <w:spacing w:after="0" w:line="240" w:lineRule="auto"/>
        <w:jc w:val="both"/>
        <w:rPr>
          <w:rFonts w:ascii="Verdana" w:hAnsi="Verdana"/>
        </w:rPr>
      </w:pPr>
      <w:r w:rsidRPr="00E26368">
        <w:rPr>
          <w:rFonts w:ascii="Verdana" w:hAnsi="Verdana"/>
        </w:rPr>
        <w:lastRenderedPageBreak/>
        <w:t xml:space="preserve">Por último, lo invitamos a seguirnos en las redes sociales en las cuales se difunde información institucional: </w:t>
      </w:r>
    </w:p>
    <w:p w14:paraId="3DA16466" w14:textId="77777777" w:rsidR="00FA41B9" w:rsidRPr="00E26368" w:rsidRDefault="00FA41B9" w:rsidP="00FA41B9">
      <w:pPr>
        <w:spacing w:after="0" w:line="240" w:lineRule="auto"/>
        <w:jc w:val="both"/>
        <w:rPr>
          <w:rFonts w:ascii="Verdana" w:hAnsi="Verdana"/>
        </w:rPr>
      </w:pPr>
      <w:r w:rsidRPr="00E26368">
        <w:rPr>
          <w:rFonts w:ascii="Verdana" w:hAnsi="Verdana"/>
        </w:rPr>
        <w:t xml:space="preserve">Twitter: </w:t>
      </w:r>
      <w:r w:rsidRPr="00E26368">
        <w:rPr>
          <w:rStyle w:val="Hipervnculo"/>
          <w:rFonts w:ascii="Verdana" w:hAnsi="Verdana"/>
          <w:color w:val="4472C4" w:themeColor="accent1"/>
        </w:rPr>
        <w:t>@colombiacompra</w:t>
      </w:r>
      <w:r w:rsidRPr="00E26368">
        <w:rPr>
          <w:rFonts w:ascii="Verdana" w:hAnsi="Verdana"/>
          <w:color w:val="4472C4" w:themeColor="accent1"/>
        </w:rPr>
        <w:t xml:space="preserve"> </w:t>
      </w:r>
    </w:p>
    <w:p w14:paraId="73958534" w14:textId="77777777" w:rsidR="00FA41B9" w:rsidRPr="00E26368" w:rsidRDefault="00FA41B9" w:rsidP="00FA41B9">
      <w:pPr>
        <w:spacing w:after="0" w:line="240" w:lineRule="auto"/>
        <w:jc w:val="both"/>
        <w:rPr>
          <w:rFonts w:ascii="Verdana" w:hAnsi="Verdana"/>
        </w:rPr>
      </w:pPr>
      <w:r w:rsidRPr="00E26368">
        <w:rPr>
          <w:rFonts w:ascii="Verdana" w:hAnsi="Verdana"/>
        </w:rPr>
        <w:t xml:space="preserve">Facebook: </w:t>
      </w:r>
      <w:r w:rsidRPr="00E26368">
        <w:rPr>
          <w:rStyle w:val="Hipervnculo"/>
          <w:rFonts w:ascii="Verdana" w:hAnsi="Verdana"/>
          <w:color w:val="4472C4" w:themeColor="accent1"/>
        </w:rPr>
        <w:t>ColombiaCompraEficiente</w:t>
      </w:r>
    </w:p>
    <w:p w14:paraId="4A240829" w14:textId="77777777" w:rsidR="00FA41B9" w:rsidRPr="00E26368" w:rsidRDefault="00FA41B9" w:rsidP="00FA41B9">
      <w:pPr>
        <w:spacing w:after="0" w:line="240" w:lineRule="auto"/>
        <w:jc w:val="both"/>
        <w:rPr>
          <w:rFonts w:ascii="Verdana" w:hAnsi="Verdana"/>
        </w:rPr>
      </w:pPr>
      <w:r w:rsidRPr="00E26368">
        <w:rPr>
          <w:rFonts w:ascii="Verdana" w:hAnsi="Verdana"/>
        </w:rPr>
        <w:t xml:space="preserve">LinkedIn: </w:t>
      </w:r>
      <w:r w:rsidRPr="00E26368">
        <w:rPr>
          <w:rStyle w:val="Hipervnculo"/>
          <w:rFonts w:ascii="Verdana" w:hAnsi="Verdana"/>
          <w:color w:val="4472C4" w:themeColor="accent1"/>
        </w:rPr>
        <w:t>Agencia Nacional de Contratación Pública - Colombia Compra Eficiente</w:t>
      </w:r>
      <w:r w:rsidRPr="00E26368">
        <w:rPr>
          <w:rFonts w:ascii="Verdana" w:hAnsi="Verdana"/>
          <w:color w:val="4472C4" w:themeColor="accent1"/>
        </w:rPr>
        <w:t xml:space="preserve"> </w:t>
      </w:r>
      <w:r w:rsidRPr="00E26368">
        <w:rPr>
          <w:rFonts w:ascii="Verdana" w:hAnsi="Verdana"/>
        </w:rPr>
        <w:t xml:space="preserve">Instagram: </w:t>
      </w:r>
      <w:r w:rsidRPr="00E26368">
        <w:rPr>
          <w:rStyle w:val="Hipervnculo"/>
          <w:rFonts w:ascii="Verdana" w:hAnsi="Verdana"/>
          <w:color w:val="4472C4" w:themeColor="accent1"/>
        </w:rPr>
        <w:t>@colombiacompraeficiente_cce</w:t>
      </w:r>
    </w:p>
    <w:p w14:paraId="6359F8DD" w14:textId="77777777" w:rsidR="00FA41B9" w:rsidRPr="00E26368" w:rsidRDefault="00FA41B9" w:rsidP="00FA41B9">
      <w:pPr>
        <w:widowControl w:val="0"/>
        <w:autoSpaceDE w:val="0"/>
        <w:autoSpaceDN w:val="0"/>
        <w:spacing w:after="0" w:line="276" w:lineRule="auto"/>
        <w:jc w:val="both"/>
        <w:rPr>
          <w:rFonts w:ascii="Verdana" w:hAnsi="Verdana"/>
        </w:rPr>
      </w:pPr>
    </w:p>
    <w:p w14:paraId="0DAD2CAD" w14:textId="77777777" w:rsidR="00FA41B9" w:rsidRPr="00E26368" w:rsidRDefault="00FA41B9" w:rsidP="00FA41B9">
      <w:pPr>
        <w:widowControl w:val="0"/>
        <w:autoSpaceDE w:val="0"/>
        <w:autoSpaceDN w:val="0"/>
        <w:spacing w:after="0" w:line="276" w:lineRule="auto"/>
        <w:jc w:val="both"/>
        <w:rPr>
          <w:rFonts w:ascii="Verdana" w:hAnsi="Verdana" w:cs="Arial"/>
          <w:lang w:val="es-ES_tradnl"/>
        </w:rPr>
      </w:pPr>
      <w:r w:rsidRPr="00E26368">
        <w:rPr>
          <w:rFonts w:ascii="Verdana" w:hAnsi="Verdana" w:cs="Arial"/>
        </w:rPr>
        <w:t xml:space="preserve">Este concepto tiene el alcance previsto en el artículo 28 del Código de Procedimiento Administrativo y de lo Contencioso Administrativo </w:t>
      </w:r>
      <w:r w:rsidRPr="00E26368">
        <w:rPr>
          <w:rFonts w:ascii="Verdana" w:hAnsi="Verdana" w:cs="Arial"/>
          <w:lang w:val="es-ES_tradnl"/>
        </w:rPr>
        <w:t>y las expresiones aquí utilizadas con mayúscula inicial deben ser entendidas con el significado que les otorga el artículo 2.2.1.1.1.3.1. del Decreto 1082 de 2015.</w:t>
      </w:r>
    </w:p>
    <w:p w14:paraId="47979C06" w14:textId="77777777" w:rsidR="00FA41B9" w:rsidRDefault="00FA41B9" w:rsidP="00FA41B9">
      <w:pPr>
        <w:widowControl w:val="0"/>
        <w:autoSpaceDE w:val="0"/>
        <w:autoSpaceDN w:val="0"/>
        <w:spacing w:after="0" w:line="276" w:lineRule="auto"/>
        <w:jc w:val="both"/>
        <w:rPr>
          <w:rFonts w:ascii="Verdana" w:hAnsi="Verdana" w:cs="Arial"/>
        </w:rPr>
      </w:pPr>
    </w:p>
    <w:p w14:paraId="1E496E58" w14:textId="77777777" w:rsidR="00FA41B9" w:rsidRPr="00E26368" w:rsidRDefault="00FA41B9" w:rsidP="00FA41B9">
      <w:pPr>
        <w:widowControl w:val="0"/>
        <w:autoSpaceDE w:val="0"/>
        <w:autoSpaceDN w:val="0"/>
        <w:spacing w:after="0" w:line="276" w:lineRule="auto"/>
        <w:jc w:val="both"/>
        <w:rPr>
          <w:rFonts w:ascii="Verdana" w:hAnsi="Verdana" w:cs="Arial"/>
        </w:rPr>
      </w:pPr>
    </w:p>
    <w:p w14:paraId="021AE97C" w14:textId="77777777" w:rsidR="00FA41B9" w:rsidRPr="00E26368" w:rsidRDefault="00FA41B9" w:rsidP="00FA41B9">
      <w:pPr>
        <w:spacing w:after="0" w:line="240" w:lineRule="auto"/>
        <w:rPr>
          <w:rFonts w:ascii="Verdana" w:hAnsi="Verdana" w:cs="Arial"/>
          <w:lang w:eastAsia="es-CO"/>
        </w:rPr>
      </w:pPr>
      <w:r w:rsidRPr="00E26368">
        <w:rPr>
          <w:rFonts w:ascii="Verdana" w:eastAsia="Times New Roman" w:hAnsi="Verdana" w:cs="Arial"/>
          <w:lang w:eastAsia="es-CO"/>
        </w:rPr>
        <w:t>Atentamente,</w:t>
      </w:r>
      <w:r w:rsidRPr="00E26368">
        <w:rPr>
          <w:rFonts w:ascii="Verdana" w:hAnsi="Verdana" w:cs="Arial"/>
          <w:lang w:eastAsia="es-CO"/>
        </w:rPr>
        <w:t xml:space="preserve"> </w:t>
      </w:r>
    </w:p>
    <w:p w14:paraId="5D7BE069" w14:textId="26AC9F5C" w:rsidR="00FA41B9" w:rsidRPr="004F05E2" w:rsidRDefault="004F05E2" w:rsidP="004F05E2">
      <w:pPr>
        <w:spacing w:line="276" w:lineRule="auto"/>
        <w:jc w:val="center"/>
        <w:rPr>
          <w:rFonts w:ascii="Verdana" w:hAnsi="Verdana" w:cs="Arial"/>
          <w:lang w:val="es-MX" w:eastAsia="es-CO"/>
        </w:rPr>
      </w:pPr>
      <w:r w:rsidRPr="004F05E2">
        <w:rPr>
          <w:rFonts w:ascii="Verdana" w:hAnsi="Verdana" w:cs="Arial"/>
          <w:lang w:val="es-MX" w:eastAsia="es-CO"/>
        </w:rPr>
        <w:drawing>
          <wp:inline distT="0" distB="0" distL="0" distR="0" wp14:anchorId="3FC8CAF6" wp14:editId="26A38277">
            <wp:extent cx="3771900" cy="1400175"/>
            <wp:effectExtent l="0" t="0" r="0" b="9525"/>
            <wp:docPr id="183845679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56799" name="Imagen 2"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A41B9" w:rsidRPr="00E26368" w14:paraId="0952C5D4" w14:textId="77777777" w:rsidTr="00367512">
        <w:trPr>
          <w:trHeight w:val="315"/>
        </w:trPr>
        <w:tc>
          <w:tcPr>
            <w:tcW w:w="893" w:type="dxa"/>
            <w:vAlign w:val="center"/>
            <w:hideMark/>
          </w:tcPr>
          <w:p w14:paraId="745CF5FC" w14:textId="77777777" w:rsidR="00FA41B9" w:rsidRPr="00E26368" w:rsidRDefault="00FA41B9" w:rsidP="00367512">
            <w:pPr>
              <w:spacing w:after="255"/>
              <w:contextualSpacing/>
              <w:rPr>
                <w:rFonts w:ascii="Verdana" w:hAnsi="Verdana" w:cs="Arial"/>
                <w:sz w:val="16"/>
                <w:szCs w:val="16"/>
                <w:lang w:val="es-ES" w:eastAsia="es-ES"/>
              </w:rPr>
            </w:pPr>
            <w:r w:rsidRPr="00E26368">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D55AD39" w14:textId="77777777" w:rsidR="00FA41B9" w:rsidRPr="00E26368" w:rsidRDefault="00FA41B9" w:rsidP="00367512">
            <w:pPr>
              <w:spacing w:after="255"/>
              <w:contextualSpacing/>
              <w:rPr>
                <w:rFonts w:ascii="Verdana" w:eastAsia="Arial" w:hAnsi="Verdana" w:cs="Arial"/>
                <w:sz w:val="16"/>
                <w:szCs w:val="16"/>
              </w:rPr>
            </w:pPr>
            <w:r w:rsidRPr="00E26368">
              <w:rPr>
                <w:rStyle w:val="normaltextrun"/>
                <w:rFonts w:ascii="Verdana" w:hAnsi="Verdana"/>
                <w:sz w:val="16"/>
                <w:szCs w:val="16"/>
              </w:rPr>
              <w:t>Gloria Ximena Moreno Guio</w:t>
            </w:r>
          </w:p>
          <w:p w14:paraId="4AE3341B" w14:textId="77777777" w:rsidR="00FA41B9" w:rsidRPr="00E26368" w:rsidRDefault="00FA41B9" w:rsidP="00367512">
            <w:pPr>
              <w:spacing w:after="255"/>
              <w:contextualSpacing/>
              <w:rPr>
                <w:rFonts w:ascii="Verdana" w:eastAsia="Arial" w:hAnsi="Verdana" w:cs="Arial"/>
                <w:sz w:val="16"/>
                <w:szCs w:val="16"/>
              </w:rPr>
            </w:pPr>
            <w:r w:rsidRPr="00E26368">
              <w:rPr>
                <w:rStyle w:val="normaltextrun"/>
                <w:rFonts w:ascii="Verdana" w:eastAsia="Arial" w:hAnsi="Verdana" w:cs="Arial"/>
                <w:sz w:val="16"/>
                <w:szCs w:val="16"/>
              </w:rPr>
              <w:t>Contratista de la Subdirección de Gestión Contractual</w:t>
            </w:r>
          </w:p>
        </w:tc>
      </w:tr>
      <w:tr w:rsidR="00FA41B9" w:rsidRPr="00E26368" w14:paraId="51C1D17A" w14:textId="77777777" w:rsidTr="00367512">
        <w:trPr>
          <w:trHeight w:val="330"/>
        </w:trPr>
        <w:tc>
          <w:tcPr>
            <w:tcW w:w="893" w:type="dxa"/>
            <w:vAlign w:val="center"/>
            <w:hideMark/>
          </w:tcPr>
          <w:p w14:paraId="477C1D92" w14:textId="77777777" w:rsidR="00FA41B9" w:rsidRPr="00E26368" w:rsidRDefault="00FA41B9" w:rsidP="00367512">
            <w:pPr>
              <w:spacing w:after="255"/>
              <w:contextualSpacing/>
              <w:rPr>
                <w:rFonts w:ascii="Verdana" w:hAnsi="Verdana" w:cs="Arial"/>
                <w:sz w:val="16"/>
                <w:szCs w:val="16"/>
                <w:lang w:val="es-ES" w:eastAsia="es-ES"/>
              </w:rPr>
            </w:pPr>
            <w:r w:rsidRPr="00E26368">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889DB52" w14:textId="77777777" w:rsidR="00FB1B34" w:rsidRDefault="00FB1B34" w:rsidP="00367512">
            <w:pPr>
              <w:pStyle w:val="paragraph"/>
              <w:spacing w:before="0" w:beforeAutospacing="0" w:after="0" w:afterAutospacing="0"/>
              <w:contextualSpacing/>
              <w:textAlignment w:val="baseline"/>
              <w:rPr>
                <w:rStyle w:val="normaltextrun"/>
                <w:rFonts w:ascii="Verdana" w:hAnsi="Verdana" w:cs="Arial"/>
                <w:sz w:val="16"/>
                <w:szCs w:val="16"/>
                <w:lang w:val="es-ES"/>
              </w:rPr>
            </w:pPr>
            <w:r w:rsidRPr="00FB1B34">
              <w:rPr>
                <w:rStyle w:val="normaltextrun"/>
                <w:rFonts w:ascii="Verdana" w:hAnsi="Verdana" w:cs="Arial"/>
                <w:sz w:val="16"/>
                <w:szCs w:val="16"/>
                <w:lang w:val="es-ES"/>
              </w:rPr>
              <w:t>Adriana Katerine López Rodríguez</w:t>
            </w:r>
          </w:p>
          <w:p w14:paraId="05F2E181" w14:textId="5D2110AE" w:rsidR="00FA41B9" w:rsidRPr="00E26368" w:rsidRDefault="00FA41B9" w:rsidP="00367512">
            <w:pPr>
              <w:pStyle w:val="paragraph"/>
              <w:spacing w:before="0" w:beforeAutospacing="0" w:after="0" w:afterAutospacing="0"/>
              <w:contextualSpacing/>
              <w:textAlignment w:val="baseline"/>
              <w:rPr>
                <w:rFonts w:ascii="Verdana" w:hAnsi="Verdana" w:cs="Segoe UI"/>
                <w:sz w:val="16"/>
                <w:szCs w:val="16"/>
              </w:rPr>
            </w:pPr>
            <w:r w:rsidRPr="00E26368">
              <w:rPr>
                <w:rStyle w:val="normaltextrun"/>
                <w:rFonts w:ascii="Verdana" w:hAnsi="Verdana" w:cs="Arial"/>
                <w:sz w:val="16"/>
                <w:szCs w:val="16"/>
                <w:lang w:val="es-ES"/>
              </w:rPr>
              <w:t>Contratista de la Subdirección de Gestión Contractual</w:t>
            </w:r>
          </w:p>
        </w:tc>
      </w:tr>
      <w:tr w:rsidR="00FA41B9" w:rsidRPr="00E26368" w14:paraId="0614B582" w14:textId="77777777" w:rsidTr="00367512">
        <w:trPr>
          <w:trHeight w:val="300"/>
        </w:trPr>
        <w:tc>
          <w:tcPr>
            <w:tcW w:w="893" w:type="dxa"/>
            <w:vAlign w:val="center"/>
            <w:hideMark/>
          </w:tcPr>
          <w:p w14:paraId="138E1754" w14:textId="77777777" w:rsidR="00FA41B9" w:rsidRPr="00E26368" w:rsidRDefault="00FA41B9" w:rsidP="00367512">
            <w:pPr>
              <w:spacing w:after="255"/>
              <w:contextualSpacing/>
              <w:rPr>
                <w:rFonts w:ascii="Verdana" w:hAnsi="Verdana" w:cs="Arial"/>
                <w:sz w:val="16"/>
                <w:szCs w:val="16"/>
                <w:lang w:val="es-ES" w:eastAsia="es-ES"/>
              </w:rPr>
            </w:pPr>
            <w:r w:rsidRPr="00E26368">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D21BB78" w14:textId="77777777" w:rsidR="00FA41B9" w:rsidRPr="00E26368" w:rsidRDefault="00FA41B9" w:rsidP="00367512">
            <w:pPr>
              <w:spacing w:after="255"/>
              <w:contextualSpacing/>
              <w:rPr>
                <w:rFonts w:ascii="Verdana" w:eastAsia="Calibri" w:hAnsi="Verdana" w:cs="Arial"/>
                <w:sz w:val="16"/>
                <w:szCs w:val="16"/>
                <w:lang w:val="pt-BR" w:eastAsia="es-ES"/>
              </w:rPr>
            </w:pPr>
            <w:r w:rsidRPr="00E26368">
              <w:rPr>
                <w:rFonts w:ascii="Verdana" w:eastAsia="Calibri" w:hAnsi="Verdana" w:cs="Arial"/>
                <w:sz w:val="16"/>
                <w:szCs w:val="16"/>
                <w:lang w:val="pt-BR" w:eastAsia="es-ES"/>
              </w:rPr>
              <w:t>Carolina Quintero Gacharná</w:t>
            </w:r>
          </w:p>
          <w:p w14:paraId="2221CF26" w14:textId="77777777" w:rsidR="00FA41B9" w:rsidRPr="00E26368" w:rsidRDefault="00FA41B9" w:rsidP="00367512">
            <w:pPr>
              <w:spacing w:after="255"/>
              <w:contextualSpacing/>
              <w:rPr>
                <w:rFonts w:ascii="Verdana" w:eastAsia="Calibri" w:hAnsi="Verdana" w:cs="Arial"/>
                <w:sz w:val="16"/>
                <w:szCs w:val="16"/>
                <w:lang w:val="pt-BR" w:eastAsia="es-ES"/>
              </w:rPr>
            </w:pPr>
            <w:r w:rsidRPr="00E26368">
              <w:rPr>
                <w:rFonts w:ascii="Verdana" w:eastAsia="Calibri" w:hAnsi="Verdana" w:cs="Arial"/>
                <w:sz w:val="16"/>
                <w:szCs w:val="16"/>
                <w:lang w:eastAsia="es-ES"/>
              </w:rPr>
              <w:t>Subdirectora</w:t>
            </w:r>
            <w:r w:rsidRPr="00E26368">
              <w:rPr>
                <w:rFonts w:ascii="Verdana" w:eastAsia="Calibri" w:hAnsi="Verdana" w:cs="Arial"/>
                <w:sz w:val="16"/>
                <w:szCs w:val="16"/>
                <w:lang w:val="pt-BR" w:eastAsia="es-ES"/>
              </w:rPr>
              <w:t xml:space="preserve"> de Gestión Contratual ANCP – CCE</w:t>
            </w:r>
          </w:p>
        </w:tc>
      </w:tr>
    </w:tbl>
    <w:p w14:paraId="6383E164" w14:textId="77777777" w:rsidR="00FA41B9" w:rsidRPr="00E26368" w:rsidRDefault="00FA41B9" w:rsidP="00FA41B9">
      <w:pPr>
        <w:spacing w:after="0" w:line="240" w:lineRule="auto"/>
        <w:rPr>
          <w:rFonts w:ascii="Verdana" w:eastAsia="Times New Roman" w:hAnsi="Verdana" w:cs="Arial"/>
          <w:lang w:eastAsia="es-ES"/>
        </w:rPr>
      </w:pPr>
    </w:p>
    <w:p w14:paraId="556A96C3" w14:textId="77777777" w:rsidR="00FA41B9" w:rsidRPr="00E26368" w:rsidRDefault="00FA41B9" w:rsidP="00FA41B9">
      <w:pPr>
        <w:rPr>
          <w:rFonts w:ascii="Verdana" w:hAnsi="Verdana"/>
        </w:rPr>
      </w:pPr>
    </w:p>
    <w:p w14:paraId="7526A415" w14:textId="77777777" w:rsidR="00FA41B9" w:rsidRPr="00E26368" w:rsidRDefault="00FA41B9" w:rsidP="00FA41B9">
      <w:pPr>
        <w:spacing w:after="0" w:line="240" w:lineRule="auto"/>
        <w:rPr>
          <w:rFonts w:ascii="Verdana" w:eastAsia="Geomanist Light" w:hAnsi="Verdana" w:cs="Arial"/>
          <w:color w:val="000000" w:themeColor="text1"/>
        </w:rPr>
      </w:pPr>
    </w:p>
    <w:p w14:paraId="6671B363" w14:textId="77777777" w:rsidR="00FA41B9" w:rsidRPr="00E26368" w:rsidRDefault="00FA41B9" w:rsidP="00FA41B9">
      <w:pPr>
        <w:rPr>
          <w:rFonts w:ascii="Verdana" w:hAnsi="Verdana"/>
          <w:lang w:val="es-MX"/>
        </w:rPr>
      </w:pPr>
    </w:p>
    <w:p w14:paraId="32FBBD40" w14:textId="77777777" w:rsidR="00FA41B9" w:rsidRPr="00625D2F" w:rsidRDefault="00FA41B9" w:rsidP="00FA41B9">
      <w:pPr>
        <w:rPr>
          <w:lang w:val="es-MX"/>
        </w:rPr>
      </w:pPr>
    </w:p>
    <w:p w14:paraId="7E980362" w14:textId="77777777" w:rsidR="00FA41B9" w:rsidRPr="0014696C" w:rsidRDefault="00FA41B9" w:rsidP="00FA41B9">
      <w:pPr>
        <w:rPr>
          <w:lang w:val="es-MX"/>
        </w:rPr>
      </w:pPr>
    </w:p>
    <w:p w14:paraId="3B31177E" w14:textId="77777777" w:rsidR="00FA41B9" w:rsidRPr="00FA41B9" w:rsidRDefault="00FA41B9" w:rsidP="00E4617A">
      <w:pPr>
        <w:spacing w:before="100" w:beforeAutospacing="1" w:after="0" w:afterAutospacing="1" w:line="240" w:lineRule="auto"/>
        <w:jc w:val="both"/>
        <w:textAlignment w:val="baseline"/>
        <w:rPr>
          <w:rFonts w:ascii="Verdana" w:eastAsia="Times New Roman" w:hAnsi="Verdana" w:cs="Arial"/>
          <w:lang w:val="es-MX" w:eastAsia="es-MX"/>
        </w:rPr>
      </w:pPr>
    </w:p>
    <w:sectPr w:rsidR="00FA41B9" w:rsidRPr="00FA41B9" w:rsidSect="00E45F4B">
      <w:headerReference w:type="default" r:id="rId16"/>
      <w:footerReference w:type="default" r:id="rId1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4E257" w14:textId="77777777" w:rsidR="00466206" w:rsidRDefault="00466206" w:rsidP="00B30448">
      <w:pPr>
        <w:spacing w:after="0" w:line="240" w:lineRule="auto"/>
      </w:pPr>
      <w:r>
        <w:separator/>
      </w:r>
    </w:p>
  </w:endnote>
  <w:endnote w:type="continuationSeparator" w:id="0">
    <w:p w14:paraId="24F22410" w14:textId="77777777" w:rsidR="00466206" w:rsidRDefault="00466206" w:rsidP="00B30448">
      <w:pPr>
        <w:spacing w:after="0" w:line="240" w:lineRule="auto"/>
      </w:pPr>
      <w:r>
        <w:continuationSeparator/>
      </w:r>
    </w:p>
  </w:endnote>
  <w:endnote w:type="continuationNotice" w:id="1">
    <w:p w14:paraId="4FF961AF" w14:textId="77777777" w:rsidR="00466206" w:rsidRDefault="00466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24465" w14:textId="77777777" w:rsidR="00466206" w:rsidRDefault="00466206" w:rsidP="00B30448">
      <w:pPr>
        <w:spacing w:after="0" w:line="240" w:lineRule="auto"/>
      </w:pPr>
      <w:r>
        <w:separator/>
      </w:r>
    </w:p>
  </w:footnote>
  <w:footnote w:type="continuationSeparator" w:id="0">
    <w:p w14:paraId="01656FC2" w14:textId="77777777" w:rsidR="00466206" w:rsidRDefault="00466206" w:rsidP="00B30448">
      <w:pPr>
        <w:spacing w:after="0" w:line="240" w:lineRule="auto"/>
      </w:pPr>
      <w:r>
        <w:continuationSeparator/>
      </w:r>
    </w:p>
  </w:footnote>
  <w:footnote w:type="continuationNotice" w:id="1">
    <w:p w14:paraId="766A3A62" w14:textId="77777777" w:rsidR="00466206" w:rsidRDefault="00466206">
      <w:pPr>
        <w:spacing w:after="0" w:line="240" w:lineRule="auto"/>
      </w:pPr>
    </w:p>
  </w:footnote>
  <w:footnote w:id="2">
    <w:p w14:paraId="313D33BC" w14:textId="77777777" w:rsidR="001F5FF1" w:rsidRPr="00730106" w:rsidRDefault="001F5FF1" w:rsidP="001F5FF1">
      <w:pPr>
        <w:pStyle w:val="Textonotapie"/>
        <w:ind w:right="49" w:firstLine="709"/>
        <w:jc w:val="both"/>
        <w:rPr>
          <w:rFonts w:ascii="Verdana" w:hAnsi="Verdana" w:cs="Arial"/>
          <w:color w:val="000000" w:themeColor="text1"/>
          <w:sz w:val="16"/>
          <w:szCs w:val="16"/>
        </w:rPr>
      </w:pPr>
      <w:r w:rsidRPr="00730106">
        <w:rPr>
          <w:rStyle w:val="Refdenotaalpie"/>
          <w:rFonts w:ascii="Verdana" w:hAnsi="Verdana" w:cs="Arial"/>
          <w:color w:val="000000" w:themeColor="text1"/>
          <w:sz w:val="16"/>
          <w:szCs w:val="16"/>
        </w:rPr>
        <w:footnoteRef/>
      </w:r>
      <w:r w:rsidRPr="00730106">
        <w:rPr>
          <w:rFonts w:ascii="Verdana" w:hAnsi="Verdana" w:cs="Arial"/>
          <w:color w:val="000000" w:themeColor="text1"/>
          <w:sz w:val="16"/>
          <w:szCs w:val="16"/>
        </w:rPr>
        <w:t xml:space="preserve"> Ley 1712 de 2014: “Artículo 5. Ámbito de aplicación. Las disposiciones de esta ley serán aplicables a las siguientes personas en calidad de sujetos obligados: </w:t>
      </w:r>
    </w:p>
    <w:p w14:paraId="13F6813A" w14:textId="77777777" w:rsidR="001F5FF1" w:rsidRPr="00730106" w:rsidRDefault="001F5FF1" w:rsidP="001F5FF1">
      <w:pPr>
        <w:pStyle w:val="Textonotapie"/>
        <w:ind w:right="49" w:firstLine="709"/>
        <w:jc w:val="both"/>
        <w:rPr>
          <w:rFonts w:ascii="Verdana" w:hAnsi="Verdana" w:cs="Arial"/>
          <w:color w:val="000000" w:themeColor="text1"/>
          <w:sz w:val="16"/>
          <w:szCs w:val="16"/>
        </w:rPr>
      </w:pPr>
      <w:r w:rsidRPr="00730106">
        <w:rPr>
          <w:rFonts w:ascii="Verdana" w:hAnsi="Verdana" w:cs="Arial"/>
          <w:color w:val="000000" w:themeColor="text1"/>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footnote>
  <w:footnote w:id="3">
    <w:p w14:paraId="72C83DF2" w14:textId="77777777" w:rsidR="001F5FF1" w:rsidRPr="00730106" w:rsidRDefault="001F5FF1" w:rsidP="001F5FF1">
      <w:pPr>
        <w:pStyle w:val="Textonotapie"/>
        <w:ind w:right="49" w:firstLine="709"/>
        <w:jc w:val="both"/>
        <w:rPr>
          <w:rFonts w:ascii="Verdana" w:hAnsi="Verdana" w:cs="Arial"/>
          <w:color w:val="000000" w:themeColor="text1"/>
          <w:sz w:val="16"/>
          <w:szCs w:val="16"/>
        </w:rPr>
      </w:pPr>
      <w:r w:rsidRPr="00730106">
        <w:rPr>
          <w:rFonts w:ascii="Verdana" w:hAnsi="Verdana" w:cs="Arial"/>
          <w:color w:val="000000" w:themeColor="text1"/>
          <w:sz w:val="16"/>
          <w:szCs w:val="16"/>
          <w:vertAlign w:val="superscript"/>
          <w:lang w:val="es-ES" w:eastAsia="es-ES"/>
        </w:rPr>
        <w:footnoteRef/>
      </w:r>
      <w:r w:rsidRPr="00730106">
        <w:rPr>
          <w:rFonts w:ascii="Verdana" w:hAnsi="Verdana" w:cs="Arial"/>
          <w:color w:val="000000" w:themeColor="text1"/>
          <w:sz w:val="16"/>
          <w:szCs w:val="16"/>
          <w:vertAlign w:val="superscript"/>
          <w:lang w:val="es-ES" w:eastAsia="es-ES"/>
        </w:rPr>
        <w:t xml:space="preserve"> </w:t>
      </w:r>
      <w:r w:rsidRPr="00730106">
        <w:rPr>
          <w:rFonts w:ascii="Verdana" w:hAnsi="Verdana" w:cs="Arial"/>
          <w:color w:val="000000" w:themeColor="text1"/>
          <w:sz w:val="16"/>
          <w:szCs w:val="16"/>
          <w:lang w:val="es-ES" w:eastAsia="es-ES"/>
        </w:rPr>
        <w:t>“</w:t>
      </w:r>
      <w:r w:rsidRPr="00730106">
        <w:rPr>
          <w:rFonts w:ascii="Verdana" w:hAnsi="Verdana" w:cs="Arial"/>
          <w:color w:val="000000" w:themeColor="text1"/>
          <w:sz w:val="16"/>
          <w:szCs w:val="16"/>
        </w:rPr>
        <w:t xml:space="preserve">Artículo </w:t>
      </w:r>
      <w:bookmarkStart w:id="1" w:name="_Hlk153373407"/>
      <w:r w:rsidRPr="00730106">
        <w:rPr>
          <w:rFonts w:ascii="Verdana" w:hAnsi="Verdana" w:cs="Arial"/>
          <w:color w:val="000000" w:themeColor="text1"/>
          <w:sz w:val="16"/>
          <w:szCs w:val="16"/>
        </w:rPr>
        <w:t>2.1.1.2.1.7</w:t>
      </w:r>
      <w:bookmarkEnd w:id="1"/>
      <w:r w:rsidRPr="00730106">
        <w:rPr>
          <w:rFonts w:ascii="Verdana" w:hAnsi="Verdana" w:cs="Arial"/>
          <w:color w:val="000000" w:themeColor="text1"/>
          <w:sz w:val="16"/>
          <w:szCs w:val="16"/>
        </w:rPr>
        <w:t xml:space="preserve">.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6FD6FBE" w14:textId="77777777" w:rsidR="001F5FF1" w:rsidRPr="00730106" w:rsidRDefault="001F5FF1" w:rsidP="001F5FF1">
      <w:pPr>
        <w:pStyle w:val="Textonotapie"/>
        <w:ind w:right="49" w:firstLine="709"/>
        <w:jc w:val="both"/>
        <w:rPr>
          <w:rFonts w:ascii="Verdana" w:hAnsi="Verdana" w:cs="Arial"/>
          <w:color w:val="000000" w:themeColor="text1"/>
          <w:sz w:val="16"/>
          <w:szCs w:val="16"/>
          <w:lang w:val="es-ES" w:eastAsia="es-ES"/>
        </w:rPr>
      </w:pPr>
      <w:r w:rsidRPr="00730106">
        <w:rPr>
          <w:rFonts w:ascii="Verdana" w:hAnsi="Verdana" w:cs="Arial"/>
          <w:color w:val="000000" w:themeColor="text1"/>
          <w:sz w:val="16"/>
          <w:szCs w:val="16"/>
        </w:rPr>
        <w:t>[…].</w:t>
      </w:r>
    </w:p>
    <w:p w14:paraId="43B48532" w14:textId="77777777" w:rsidR="001F5FF1" w:rsidRPr="00730106" w:rsidRDefault="001F5FF1" w:rsidP="001F5FF1">
      <w:pPr>
        <w:pStyle w:val="Textonotapie"/>
        <w:ind w:right="49" w:firstLine="709"/>
        <w:jc w:val="both"/>
        <w:rPr>
          <w:rFonts w:ascii="Verdana" w:hAnsi="Verdana" w:cs="Arial"/>
          <w:color w:val="000000" w:themeColor="text1"/>
          <w:sz w:val="16"/>
          <w:szCs w:val="16"/>
          <w:lang w:val="es-ES" w:eastAsia="es-ES"/>
        </w:rPr>
      </w:pPr>
      <w:r w:rsidRPr="00730106">
        <w:rPr>
          <w:rFonts w:ascii="Verdana" w:hAnsi="Verdana" w:cs="Arial"/>
          <w:color w:val="000000" w:themeColor="text1"/>
          <w:sz w:val="16"/>
          <w:szCs w:val="16"/>
          <w:lang w:val="es-ES" w:eastAsia="es-ES"/>
        </w:rPr>
        <w:t xml:space="preserve">Los sujetos obligados que contratan con recursos públicos y recursos </w:t>
      </w:r>
      <w:proofErr w:type="gramStart"/>
      <w:r w:rsidRPr="00730106">
        <w:rPr>
          <w:rFonts w:ascii="Verdana" w:hAnsi="Verdana" w:cs="Arial"/>
          <w:color w:val="000000" w:themeColor="text1"/>
          <w:sz w:val="16"/>
          <w:szCs w:val="16"/>
          <w:lang w:val="es-ES" w:eastAsia="es-ES"/>
        </w:rPr>
        <w:t>privados,</w:t>
      </w:r>
      <w:proofErr w:type="gramEnd"/>
      <w:r w:rsidRPr="00730106">
        <w:rPr>
          <w:rFonts w:ascii="Verdana" w:hAnsi="Verdana" w:cs="Arial"/>
          <w:color w:val="000000" w:themeColor="text1"/>
          <w:sz w:val="16"/>
          <w:szCs w:val="16"/>
          <w:lang w:val="es-ES" w:eastAsia="es-ES"/>
        </w:rPr>
        <w:t xml:space="preserve"> deben publicar la información de su gestión contractual con cargo a recursos públicos en el Sistema Electrónico para la Contratación Pública [SECOP]”.</w:t>
      </w:r>
    </w:p>
  </w:footnote>
  <w:footnote w:id="4">
    <w:p w14:paraId="7F669957" w14:textId="77777777" w:rsidR="001F5FF1" w:rsidRPr="00730106" w:rsidRDefault="001F5FF1" w:rsidP="001F5FF1">
      <w:pPr>
        <w:pStyle w:val="Textonotapie"/>
        <w:spacing w:after="120"/>
        <w:ind w:right="51" w:firstLine="709"/>
        <w:jc w:val="both"/>
        <w:rPr>
          <w:rFonts w:ascii="Verdana" w:hAnsi="Verdana" w:cs="Arial"/>
          <w:color w:val="000000"/>
          <w:sz w:val="16"/>
          <w:szCs w:val="16"/>
          <w:lang w:val="es-ES"/>
        </w:rPr>
      </w:pPr>
    </w:p>
  </w:footnote>
  <w:footnote w:id="5">
    <w:p w14:paraId="1E159811" w14:textId="77777777" w:rsidR="001F5FF1" w:rsidRPr="00730106" w:rsidRDefault="001F5FF1" w:rsidP="001F5FF1">
      <w:pPr>
        <w:pStyle w:val="Textonotapie"/>
        <w:ind w:firstLine="708"/>
        <w:jc w:val="both"/>
        <w:rPr>
          <w:rFonts w:ascii="Verdana" w:hAnsi="Verdana" w:cs="Arial"/>
          <w:sz w:val="16"/>
          <w:szCs w:val="16"/>
          <w:lang w:val="es-ES"/>
        </w:rPr>
      </w:pPr>
    </w:p>
  </w:footnote>
  <w:footnote w:id="6">
    <w:p w14:paraId="3D778896" w14:textId="77777777" w:rsidR="001F5FF1" w:rsidRPr="0073219D" w:rsidRDefault="001F5FF1" w:rsidP="001F5FF1">
      <w:pPr>
        <w:spacing w:after="0" w:line="240" w:lineRule="auto"/>
        <w:ind w:left="300" w:right="306"/>
        <w:jc w:val="both"/>
        <w:rPr>
          <w:rFonts w:ascii="Arial" w:hAnsi="Arial" w:cs="Arial"/>
          <w:sz w:val="18"/>
          <w:szCs w:val="18"/>
        </w:rPr>
      </w:pPr>
      <w:r w:rsidRPr="00730106">
        <w:rPr>
          <w:rStyle w:val="Refdenotaalpie"/>
          <w:rFonts w:ascii="Verdana" w:hAnsi="Verdana" w:cs="Arial"/>
          <w:sz w:val="18"/>
          <w:szCs w:val="18"/>
        </w:rPr>
        <w:footnoteRef/>
      </w:r>
      <w:r w:rsidRPr="00730106">
        <w:rPr>
          <w:rFonts w:ascii="Verdana" w:hAnsi="Verdana" w:cs="Arial"/>
          <w:sz w:val="18"/>
          <w:szCs w:val="18"/>
        </w:rPr>
        <w:t xml:space="preserve"> En la sentencia de la Sección Tercera, Subsección C, del 24 de julio de 2013, expediente No. 25.642, C.P. Enrique Gil Botero, el Consejo de Estado se refirió a la naturaleza jurídica de los pliegos de condiciones: “los pliegos de condiciones han sido definidos como un acto jurídico mixto que nace como un acto administrativo de contenido general, y que, con la adjudicación y suscripción del contrato estatal, algunos de sus contenidos se transforman para incorporarse al texto del negocio jurídico y, por consiguiente, se convierten en cláusulas vinculantes del</w:t>
      </w:r>
      <w:r w:rsidRPr="00730106">
        <w:rPr>
          <w:rFonts w:ascii="Verdana" w:hAnsi="Verdana" w:cs="Arial"/>
          <w:spacing w:val="-3"/>
          <w:sz w:val="18"/>
          <w:szCs w:val="18"/>
        </w:rPr>
        <w:t xml:space="preserve"> </w:t>
      </w:r>
      <w:r w:rsidRPr="00730106">
        <w:rPr>
          <w:rFonts w:ascii="Verdana" w:hAnsi="Verdana" w:cs="Arial"/>
          <w:sz w:val="18"/>
          <w:szCs w:val="18"/>
        </w:rPr>
        <w:t>mismo”.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445982"/>
    <w:multiLevelType w:val="hybridMultilevel"/>
    <w:tmpl w:val="489ABE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807785"/>
    <w:multiLevelType w:val="hybridMultilevel"/>
    <w:tmpl w:val="F956DF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BC59B1"/>
    <w:multiLevelType w:val="hybridMultilevel"/>
    <w:tmpl w:val="9B9AECF8"/>
    <w:lvl w:ilvl="0" w:tplc="7AF69CD2">
      <w:start w:val="1"/>
      <w:numFmt w:val="lowerRoman"/>
      <w:lvlText w:val="%1)"/>
      <w:lvlJc w:val="left"/>
      <w:pPr>
        <w:ind w:left="1440" w:hanging="720"/>
      </w:pPr>
      <w:rPr>
        <w:rFonts w:ascii="Verdana" w:hAnsi="Verdana"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D2527E0"/>
    <w:multiLevelType w:val="hybridMultilevel"/>
    <w:tmpl w:val="DD7EB5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F6F64BE"/>
    <w:multiLevelType w:val="hybridMultilevel"/>
    <w:tmpl w:val="F5A09EF0"/>
    <w:lvl w:ilvl="0" w:tplc="92788410">
      <w:start w:val="1"/>
      <w:numFmt w:val="decimal"/>
      <w:lvlText w:val="%1."/>
      <w:lvlJc w:val="left"/>
      <w:pPr>
        <w:ind w:left="1425" w:hanging="360"/>
      </w:pPr>
      <w:rPr>
        <w:rFonts w:hint="default"/>
      </w:r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9"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42501D3"/>
    <w:multiLevelType w:val="hybridMultilevel"/>
    <w:tmpl w:val="37460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9B30A72"/>
    <w:multiLevelType w:val="hybridMultilevel"/>
    <w:tmpl w:val="F40AE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5" w15:restartNumberingAfterBreak="0">
    <w:nsid w:val="4FF47D1A"/>
    <w:multiLevelType w:val="multilevel"/>
    <w:tmpl w:val="30D6D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DD0257"/>
    <w:multiLevelType w:val="hybridMultilevel"/>
    <w:tmpl w:val="CA6C1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DC50FF7"/>
    <w:multiLevelType w:val="hybridMultilevel"/>
    <w:tmpl w:val="559E1A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2D0928"/>
    <w:multiLevelType w:val="hybridMultilevel"/>
    <w:tmpl w:val="1460E82C"/>
    <w:lvl w:ilvl="0" w:tplc="B5643C1A">
      <w:numFmt w:val="bullet"/>
      <w:lvlText w:val="-"/>
      <w:lvlJc w:val="left"/>
      <w:pPr>
        <w:ind w:left="435" w:hanging="360"/>
      </w:pPr>
      <w:rPr>
        <w:rFonts w:ascii="Verdana" w:eastAsia="Calibri" w:hAnsi="Verdana" w:cs="Arial" w:hint="default"/>
      </w:rPr>
    </w:lvl>
    <w:lvl w:ilvl="1" w:tplc="080A0003" w:tentative="1">
      <w:start w:val="1"/>
      <w:numFmt w:val="bullet"/>
      <w:lvlText w:val="o"/>
      <w:lvlJc w:val="left"/>
      <w:pPr>
        <w:ind w:left="1155" w:hanging="360"/>
      </w:pPr>
      <w:rPr>
        <w:rFonts w:ascii="Courier New" w:hAnsi="Courier New" w:cs="Courier New" w:hint="default"/>
      </w:rPr>
    </w:lvl>
    <w:lvl w:ilvl="2" w:tplc="080A0005" w:tentative="1">
      <w:start w:val="1"/>
      <w:numFmt w:val="bullet"/>
      <w:lvlText w:val=""/>
      <w:lvlJc w:val="left"/>
      <w:pPr>
        <w:ind w:left="1875" w:hanging="360"/>
      </w:pPr>
      <w:rPr>
        <w:rFonts w:ascii="Wingdings" w:hAnsi="Wingdings" w:hint="default"/>
      </w:rPr>
    </w:lvl>
    <w:lvl w:ilvl="3" w:tplc="080A0001" w:tentative="1">
      <w:start w:val="1"/>
      <w:numFmt w:val="bullet"/>
      <w:lvlText w:val=""/>
      <w:lvlJc w:val="left"/>
      <w:pPr>
        <w:ind w:left="2595" w:hanging="360"/>
      </w:pPr>
      <w:rPr>
        <w:rFonts w:ascii="Symbol" w:hAnsi="Symbol" w:hint="default"/>
      </w:rPr>
    </w:lvl>
    <w:lvl w:ilvl="4" w:tplc="080A0003" w:tentative="1">
      <w:start w:val="1"/>
      <w:numFmt w:val="bullet"/>
      <w:lvlText w:val="o"/>
      <w:lvlJc w:val="left"/>
      <w:pPr>
        <w:ind w:left="3315" w:hanging="360"/>
      </w:pPr>
      <w:rPr>
        <w:rFonts w:ascii="Courier New" w:hAnsi="Courier New" w:cs="Courier New" w:hint="default"/>
      </w:rPr>
    </w:lvl>
    <w:lvl w:ilvl="5" w:tplc="080A0005" w:tentative="1">
      <w:start w:val="1"/>
      <w:numFmt w:val="bullet"/>
      <w:lvlText w:val=""/>
      <w:lvlJc w:val="left"/>
      <w:pPr>
        <w:ind w:left="4035" w:hanging="360"/>
      </w:pPr>
      <w:rPr>
        <w:rFonts w:ascii="Wingdings" w:hAnsi="Wingdings" w:hint="default"/>
      </w:rPr>
    </w:lvl>
    <w:lvl w:ilvl="6" w:tplc="080A0001" w:tentative="1">
      <w:start w:val="1"/>
      <w:numFmt w:val="bullet"/>
      <w:lvlText w:val=""/>
      <w:lvlJc w:val="left"/>
      <w:pPr>
        <w:ind w:left="4755" w:hanging="360"/>
      </w:pPr>
      <w:rPr>
        <w:rFonts w:ascii="Symbol" w:hAnsi="Symbol" w:hint="default"/>
      </w:rPr>
    </w:lvl>
    <w:lvl w:ilvl="7" w:tplc="080A0003" w:tentative="1">
      <w:start w:val="1"/>
      <w:numFmt w:val="bullet"/>
      <w:lvlText w:val="o"/>
      <w:lvlJc w:val="left"/>
      <w:pPr>
        <w:ind w:left="5475" w:hanging="360"/>
      </w:pPr>
      <w:rPr>
        <w:rFonts w:ascii="Courier New" w:hAnsi="Courier New" w:cs="Courier New" w:hint="default"/>
      </w:rPr>
    </w:lvl>
    <w:lvl w:ilvl="8" w:tplc="080A0005" w:tentative="1">
      <w:start w:val="1"/>
      <w:numFmt w:val="bullet"/>
      <w:lvlText w:val=""/>
      <w:lvlJc w:val="left"/>
      <w:pPr>
        <w:ind w:left="6195" w:hanging="360"/>
      </w:pPr>
      <w:rPr>
        <w:rFonts w:ascii="Wingdings" w:hAnsi="Wingdings" w:hint="default"/>
      </w:rPr>
    </w:lvl>
  </w:abstractNum>
  <w:abstractNum w:abstractNumId="19" w15:restartNumberingAfterBreak="0">
    <w:nsid w:val="68886460"/>
    <w:multiLevelType w:val="hybridMultilevel"/>
    <w:tmpl w:val="59BAC92C"/>
    <w:lvl w:ilvl="0" w:tplc="6556F346">
      <w:start w:val="1"/>
      <w:numFmt w:val="decimal"/>
      <w:lvlText w:val="%1."/>
      <w:lvlJc w:val="left"/>
      <w:pPr>
        <w:ind w:left="972" w:hanging="360"/>
      </w:pPr>
      <w:rPr>
        <w:rFonts w:hint="default"/>
      </w:rPr>
    </w:lvl>
    <w:lvl w:ilvl="1" w:tplc="240A0019" w:tentative="1">
      <w:start w:val="1"/>
      <w:numFmt w:val="lowerLetter"/>
      <w:lvlText w:val="%2."/>
      <w:lvlJc w:val="left"/>
      <w:pPr>
        <w:ind w:left="1692" w:hanging="360"/>
      </w:pPr>
    </w:lvl>
    <w:lvl w:ilvl="2" w:tplc="240A001B" w:tentative="1">
      <w:start w:val="1"/>
      <w:numFmt w:val="lowerRoman"/>
      <w:lvlText w:val="%3."/>
      <w:lvlJc w:val="right"/>
      <w:pPr>
        <w:ind w:left="2412" w:hanging="180"/>
      </w:pPr>
    </w:lvl>
    <w:lvl w:ilvl="3" w:tplc="240A000F" w:tentative="1">
      <w:start w:val="1"/>
      <w:numFmt w:val="decimal"/>
      <w:lvlText w:val="%4."/>
      <w:lvlJc w:val="left"/>
      <w:pPr>
        <w:ind w:left="3132" w:hanging="360"/>
      </w:pPr>
    </w:lvl>
    <w:lvl w:ilvl="4" w:tplc="240A0019" w:tentative="1">
      <w:start w:val="1"/>
      <w:numFmt w:val="lowerLetter"/>
      <w:lvlText w:val="%5."/>
      <w:lvlJc w:val="left"/>
      <w:pPr>
        <w:ind w:left="3852" w:hanging="360"/>
      </w:pPr>
    </w:lvl>
    <w:lvl w:ilvl="5" w:tplc="240A001B" w:tentative="1">
      <w:start w:val="1"/>
      <w:numFmt w:val="lowerRoman"/>
      <w:lvlText w:val="%6."/>
      <w:lvlJc w:val="right"/>
      <w:pPr>
        <w:ind w:left="4572" w:hanging="180"/>
      </w:pPr>
    </w:lvl>
    <w:lvl w:ilvl="6" w:tplc="240A000F" w:tentative="1">
      <w:start w:val="1"/>
      <w:numFmt w:val="decimal"/>
      <w:lvlText w:val="%7."/>
      <w:lvlJc w:val="left"/>
      <w:pPr>
        <w:ind w:left="5292" w:hanging="360"/>
      </w:pPr>
    </w:lvl>
    <w:lvl w:ilvl="7" w:tplc="240A0019" w:tentative="1">
      <w:start w:val="1"/>
      <w:numFmt w:val="lowerLetter"/>
      <w:lvlText w:val="%8."/>
      <w:lvlJc w:val="left"/>
      <w:pPr>
        <w:ind w:left="6012" w:hanging="360"/>
      </w:pPr>
    </w:lvl>
    <w:lvl w:ilvl="8" w:tplc="240A001B" w:tentative="1">
      <w:start w:val="1"/>
      <w:numFmt w:val="lowerRoman"/>
      <w:lvlText w:val="%9."/>
      <w:lvlJc w:val="right"/>
      <w:pPr>
        <w:ind w:left="6732" w:hanging="180"/>
      </w:pPr>
    </w:lvl>
  </w:abstractNum>
  <w:abstractNum w:abstractNumId="20" w15:restartNumberingAfterBreak="0">
    <w:nsid w:val="6D471CDA"/>
    <w:multiLevelType w:val="hybridMultilevel"/>
    <w:tmpl w:val="643E2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E353CA8"/>
    <w:multiLevelType w:val="hybridMultilevel"/>
    <w:tmpl w:val="8556CC82"/>
    <w:lvl w:ilvl="0" w:tplc="147AD612">
      <w:start w:val="1"/>
      <w:numFmt w:val="decimal"/>
      <w:lvlText w:val="%1."/>
      <w:lvlJc w:val="left"/>
      <w:pPr>
        <w:ind w:left="1065" w:hanging="360"/>
      </w:pPr>
      <w:rPr>
        <w:rFonts w:ascii="Arial" w:hAnsi="Arial" w:cs="Arial" w:hint="default"/>
        <w:b w:val="0"/>
        <w:bCs/>
        <w:sz w:val="22"/>
        <w:szCs w:val="22"/>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2" w15:restartNumberingAfterBreak="0">
    <w:nsid w:val="781C0F7C"/>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0D0972"/>
    <w:multiLevelType w:val="hybridMultilevel"/>
    <w:tmpl w:val="C4F214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90670214">
    <w:abstractNumId w:val="10"/>
  </w:num>
  <w:num w:numId="2" w16cid:durableId="4285022">
    <w:abstractNumId w:val="2"/>
  </w:num>
  <w:num w:numId="3" w16cid:durableId="881983949">
    <w:abstractNumId w:val="4"/>
  </w:num>
  <w:num w:numId="4" w16cid:durableId="341274352">
    <w:abstractNumId w:val="0"/>
  </w:num>
  <w:num w:numId="5" w16cid:durableId="1887524674">
    <w:abstractNumId w:val="14"/>
  </w:num>
  <w:num w:numId="6" w16cid:durableId="1082990391">
    <w:abstractNumId w:val="1"/>
  </w:num>
  <w:num w:numId="7" w16cid:durableId="1492209491">
    <w:abstractNumId w:val="9"/>
  </w:num>
  <w:num w:numId="8" w16cid:durableId="679089576">
    <w:abstractNumId w:val="11"/>
  </w:num>
  <w:num w:numId="9" w16cid:durableId="38668947">
    <w:abstractNumId w:val="21"/>
  </w:num>
  <w:num w:numId="10" w16cid:durableId="530729171">
    <w:abstractNumId w:val="22"/>
  </w:num>
  <w:num w:numId="11" w16cid:durableId="1332373419">
    <w:abstractNumId w:val="8"/>
  </w:num>
  <w:num w:numId="12" w16cid:durableId="1335765048">
    <w:abstractNumId w:val="19"/>
  </w:num>
  <w:num w:numId="13" w16cid:durableId="260576391">
    <w:abstractNumId w:val="12"/>
  </w:num>
  <w:num w:numId="14" w16cid:durableId="18451212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2355891">
    <w:abstractNumId w:val="7"/>
  </w:num>
  <w:num w:numId="16" w16cid:durableId="1474638032">
    <w:abstractNumId w:val="18"/>
  </w:num>
  <w:num w:numId="17" w16cid:durableId="372116021">
    <w:abstractNumId w:val="13"/>
  </w:num>
  <w:num w:numId="18" w16cid:durableId="856845149">
    <w:abstractNumId w:val="15"/>
  </w:num>
  <w:num w:numId="19" w16cid:durableId="61874046">
    <w:abstractNumId w:val="17"/>
  </w:num>
  <w:num w:numId="20" w16cid:durableId="794831771">
    <w:abstractNumId w:val="5"/>
  </w:num>
  <w:num w:numId="21" w16cid:durableId="328875954">
    <w:abstractNumId w:val="16"/>
  </w:num>
  <w:num w:numId="22" w16cid:durableId="1942368513">
    <w:abstractNumId w:val="6"/>
  </w:num>
  <w:num w:numId="23" w16cid:durableId="1449543150">
    <w:abstractNumId w:val="23"/>
  </w:num>
  <w:num w:numId="24" w16cid:durableId="1606425312">
    <w:abstractNumId w:val="3"/>
  </w:num>
  <w:num w:numId="25" w16cid:durableId="9990432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0D85"/>
    <w:rsid w:val="000016F3"/>
    <w:rsid w:val="000037AE"/>
    <w:rsid w:val="00005BB0"/>
    <w:rsid w:val="00005F81"/>
    <w:rsid w:val="0001025F"/>
    <w:rsid w:val="0001222D"/>
    <w:rsid w:val="000135EB"/>
    <w:rsid w:val="0001363C"/>
    <w:rsid w:val="00015D2B"/>
    <w:rsid w:val="00031584"/>
    <w:rsid w:val="00032A0E"/>
    <w:rsid w:val="00033C4D"/>
    <w:rsid w:val="00037347"/>
    <w:rsid w:val="0004221D"/>
    <w:rsid w:val="000442CC"/>
    <w:rsid w:val="000556D4"/>
    <w:rsid w:val="00061AA2"/>
    <w:rsid w:val="000716AB"/>
    <w:rsid w:val="00080BEF"/>
    <w:rsid w:val="00082E4C"/>
    <w:rsid w:val="000849D5"/>
    <w:rsid w:val="0008528F"/>
    <w:rsid w:val="000A563E"/>
    <w:rsid w:val="000A6E0C"/>
    <w:rsid w:val="000A7A56"/>
    <w:rsid w:val="000B1FF7"/>
    <w:rsid w:val="000B2513"/>
    <w:rsid w:val="000B4024"/>
    <w:rsid w:val="000B6EA6"/>
    <w:rsid w:val="000C3C51"/>
    <w:rsid w:val="000C7262"/>
    <w:rsid w:val="000D2A7F"/>
    <w:rsid w:val="000D4FCE"/>
    <w:rsid w:val="000E7945"/>
    <w:rsid w:val="0011037E"/>
    <w:rsid w:val="001363C7"/>
    <w:rsid w:val="00137463"/>
    <w:rsid w:val="00141AC5"/>
    <w:rsid w:val="001435E5"/>
    <w:rsid w:val="001453D4"/>
    <w:rsid w:val="00146B11"/>
    <w:rsid w:val="00147A04"/>
    <w:rsid w:val="0015476D"/>
    <w:rsid w:val="00161E13"/>
    <w:rsid w:val="00164AE0"/>
    <w:rsid w:val="00165E83"/>
    <w:rsid w:val="00166CD7"/>
    <w:rsid w:val="001673A9"/>
    <w:rsid w:val="0017120C"/>
    <w:rsid w:val="00172F3A"/>
    <w:rsid w:val="001765C3"/>
    <w:rsid w:val="0019532A"/>
    <w:rsid w:val="0019670E"/>
    <w:rsid w:val="00197205"/>
    <w:rsid w:val="001A0CBA"/>
    <w:rsid w:val="001A2B94"/>
    <w:rsid w:val="001A5DD4"/>
    <w:rsid w:val="001A67E9"/>
    <w:rsid w:val="001A7A97"/>
    <w:rsid w:val="001B143B"/>
    <w:rsid w:val="001B21CA"/>
    <w:rsid w:val="001C04FC"/>
    <w:rsid w:val="001C25A3"/>
    <w:rsid w:val="001C5D03"/>
    <w:rsid w:val="001C7771"/>
    <w:rsid w:val="001D117D"/>
    <w:rsid w:val="001D62FF"/>
    <w:rsid w:val="001E40A4"/>
    <w:rsid w:val="001F3F48"/>
    <w:rsid w:val="001F5FF1"/>
    <w:rsid w:val="002000AA"/>
    <w:rsid w:val="00204109"/>
    <w:rsid w:val="00211E6E"/>
    <w:rsid w:val="00212A46"/>
    <w:rsid w:val="0021401D"/>
    <w:rsid w:val="002146B8"/>
    <w:rsid w:val="00215516"/>
    <w:rsid w:val="00242A71"/>
    <w:rsid w:val="00246693"/>
    <w:rsid w:val="002515CF"/>
    <w:rsid w:val="002527C2"/>
    <w:rsid w:val="00263BB6"/>
    <w:rsid w:val="00270443"/>
    <w:rsid w:val="00270EE2"/>
    <w:rsid w:val="00272972"/>
    <w:rsid w:val="00276D00"/>
    <w:rsid w:val="00286491"/>
    <w:rsid w:val="002A0F8D"/>
    <w:rsid w:val="002A1C03"/>
    <w:rsid w:val="002A392E"/>
    <w:rsid w:val="002B6E44"/>
    <w:rsid w:val="002C2DE8"/>
    <w:rsid w:val="002C44DA"/>
    <w:rsid w:val="002E1DB5"/>
    <w:rsid w:val="002E70C0"/>
    <w:rsid w:val="002F6CCB"/>
    <w:rsid w:val="0030001A"/>
    <w:rsid w:val="00300AC6"/>
    <w:rsid w:val="00302ECF"/>
    <w:rsid w:val="0030461E"/>
    <w:rsid w:val="00322559"/>
    <w:rsid w:val="0032756A"/>
    <w:rsid w:val="00333FE6"/>
    <w:rsid w:val="00334EF8"/>
    <w:rsid w:val="00336408"/>
    <w:rsid w:val="00340DFB"/>
    <w:rsid w:val="00341913"/>
    <w:rsid w:val="0034404F"/>
    <w:rsid w:val="00356980"/>
    <w:rsid w:val="00366CB2"/>
    <w:rsid w:val="00366F19"/>
    <w:rsid w:val="00367462"/>
    <w:rsid w:val="00371ECA"/>
    <w:rsid w:val="00372748"/>
    <w:rsid w:val="0037332A"/>
    <w:rsid w:val="00373639"/>
    <w:rsid w:val="0038151A"/>
    <w:rsid w:val="0039082A"/>
    <w:rsid w:val="00390C21"/>
    <w:rsid w:val="00391884"/>
    <w:rsid w:val="003A27C5"/>
    <w:rsid w:val="003A37BD"/>
    <w:rsid w:val="003B6A61"/>
    <w:rsid w:val="003B6D94"/>
    <w:rsid w:val="003B7CEE"/>
    <w:rsid w:val="003C4C96"/>
    <w:rsid w:val="003C55E0"/>
    <w:rsid w:val="003E486B"/>
    <w:rsid w:val="003E5E30"/>
    <w:rsid w:val="003F519B"/>
    <w:rsid w:val="0040544F"/>
    <w:rsid w:val="00406A19"/>
    <w:rsid w:val="0041222D"/>
    <w:rsid w:val="0041483E"/>
    <w:rsid w:val="00415369"/>
    <w:rsid w:val="00430492"/>
    <w:rsid w:val="00430AC6"/>
    <w:rsid w:val="00434A93"/>
    <w:rsid w:val="00450BE7"/>
    <w:rsid w:val="00466206"/>
    <w:rsid w:val="0046741E"/>
    <w:rsid w:val="00472CC6"/>
    <w:rsid w:val="0048026E"/>
    <w:rsid w:val="004807A9"/>
    <w:rsid w:val="004813EE"/>
    <w:rsid w:val="00493278"/>
    <w:rsid w:val="004943D9"/>
    <w:rsid w:val="004A0E7B"/>
    <w:rsid w:val="004A3498"/>
    <w:rsid w:val="004A78C0"/>
    <w:rsid w:val="004B0C45"/>
    <w:rsid w:val="004B6FE1"/>
    <w:rsid w:val="004C0AB2"/>
    <w:rsid w:val="004C1619"/>
    <w:rsid w:val="004C1A26"/>
    <w:rsid w:val="004C1CC9"/>
    <w:rsid w:val="004C3755"/>
    <w:rsid w:val="004C4485"/>
    <w:rsid w:val="004C5BCE"/>
    <w:rsid w:val="004D11AF"/>
    <w:rsid w:val="004F05E2"/>
    <w:rsid w:val="004F1CE2"/>
    <w:rsid w:val="00500DFA"/>
    <w:rsid w:val="005019AA"/>
    <w:rsid w:val="005021BB"/>
    <w:rsid w:val="005116D4"/>
    <w:rsid w:val="005139E7"/>
    <w:rsid w:val="005147DA"/>
    <w:rsid w:val="00515FB5"/>
    <w:rsid w:val="00521D66"/>
    <w:rsid w:val="0052365C"/>
    <w:rsid w:val="005249B4"/>
    <w:rsid w:val="005271EB"/>
    <w:rsid w:val="005426DB"/>
    <w:rsid w:val="005446FB"/>
    <w:rsid w:val="005447A6"/>
    <w:rsid w:val="0055082B"/>
    <w:rsid w:val="00552503"/>
    <w:rsid w:val="00552B57"/>
    <w:rsid w:val="00557DA1"/>
    <w:rsid w:val="0056322C"/>
    <w:rsid w:val="0058743A"/>
    <w:rsid w:val="00597B7B"/>
    <w:rsid w:val="005A4DB0"/>
    <w:rsid w:val="005A6AB4"/>
    <w:rsid w:val="005A7B8E"/>
    <w:rsid w:val="005B012B"/>
    <w:rsid w:val="005B0C87"/>
    <w:rsid w:val="005B5614"/>
    <w:rsid w:val="005D23F6"/>
    <w:rsid w:val="005D2FA8"/>
    <w:rsid w:val="005E2281"/>
    <w:rsid w:val="005E5A9C"/>
    <w:rsid w:val="005E667C"/>
    <w:rsid w:val="005F077C"/>
    <w:rsid w:val="005F63D0"/>
    <w:rsid w:val="005F7973"/>
    <w:rsid w:val="00606123"/>
    <w:rsid w:val="00610E87"/>
    <w:rsid w:val="0061690E"/>
    <w:rsid w:val="00616AA3"/>
    <w:rsid w:val="006220D7"/>
    <w:rsid w:val="006240FA"/>
    <w:rsid w:val="00627361"/>
    <w:rsid w:val="0063017E"/>
    <w:rsid w:val="00631B28"/>
    <w:rsid w:val="0063760F"/>
    <w:rsid w:val="00643FE6"/>
    <w:rsid w:val="00645B90"/>
    <w:rsid w:val="00650991"/>
    <w:rsid w:val="006511D7"/>
    <w:rsid w:val="00663D75"/>
    <w:rsid w:val="00670AEF"/>
    <w:rsid w:val="0067304C"/>
    <w:rsid w:val="00675678"/>
    <w:rsid w:val="00677012"/>
    <w:rsid w:val="006825B4"/>
    <w:rsid w:val="006828FB"/>
    <w:rsid w:val="00682AF2"/>
    <w:rsid w:val="006864DF"/>
    <w:rsid w:val="006A3C8A"/>
    <w:rsid w:val="006A7552"/>
    <w:rsid w:val="006B215C"/>
    <w:rsid w:val="006B5191"/>
    <w:rsid w:val="006B5953"/>
    <w:rsid w:val="006B7A81"/>
    <w:rsid w:val="006C4BAC"/>
    <w:rsid w:val="006C52F3"/>
    <w:rsid w:val="006E38F0"/>
    <w:rsid w:val="006E78F5"/>
    <w:rsid w:val="006E7F37"/>
    <w:rsid w:val="006F3B81"/>
    <w:rsid w:val="006F46A5"/>
    <w:rsid w:val="006F4F79"/>
    <w:rsid w:val="006F7AAA"/>
    <w:rsid w:val="00705B37"/>
    <w:rsid w:val="00711FD9"/>
    <w:rsid w:val="00726872"/>
    <w:rsid w:val="00735062"/>
    <w:rsid w:val="007373D7"/>
    <w:rsid w:val="007463F8"/>
    <w:rsid w:val="00746BA5"/>
    <w:rsid w:val="00751D23"/>
    <w:rsid w:val="0075728B"/>
    <w:rsid w:val="00757732"/>
    <w:rsid w:val="00761608"/>
    <w:rsid w:val="00764CC7"/>
    <w:rsid w:val="00770577"/>
    <w:rsid w:val="00777666"/>
    <w:rsid w:val="0078159B"/>
    <w:rsid w:val="00782E10"/>
    <w:rsid w:val="0078706B"/>
    <w:rsid w:val="00790836"/>
    <w:rsid w:val="00793B81"/>
    <w:rsid w:val="00797131"/>
    <w:rsid w:val="007A3C1D"/>
    <w:rsid w:val="007B0E89"/>
    <w:rsid w:val="007B285D"/>
    <w:rsid w:val="007C4151"/>
    <w:rsid w:val="007C6BC6"/>
    <w:rsid w:val="007F021B"/>
    <w:rsid w:val="00804861"/>
    <w:rsid w:val="00807D79"/>
    <w:rsid w:val="00811B0F"/>
    <w:rsid w:val="00813634"/>
    <w:rsid w:val="00822821"/>
    <w:rsid w:val="00831C29"/>
    <w:rsid w:val="00841945"/>
    <w:rsid w:val="008431EF"/>
    <w:rsid w:val="008468E0"/>
    <w:rsid w:val="00871B59"/>
    <w:rsid w:val="00872CAC"/>
    <w:rsid w:val="00877D03"/>
    <w:rsid w:val="00877E96"/>
    <w:rsid w:val="008806CA"/>
    <w:rsid w:val="008815E5"/>
    <w:rsid w:val="008877BA"/>
    <w:rsid w:val="00887B37"/>
    <w:rsid w:val="0089038D"/>
    <w:rsid w:val="008909B9"/>
    <w:rsid w:val="00891DFC"/>
    <w:rsid w:val="008A1313"/>
    <w:rsid w:val="008B12B4"/>
    <w:rsid w:val="008B7914"/>
    <w:rsid w:val="008C5D2A"/>
    <w:rsid w:val="008C7AF4"/>
    <w:rsid w:val="008D4E12"/>
    <w:rsid w:val="008D4E57"/>
    <w:rsid w:val="008D529F"/>
    <w:rsid w:val="008E0D84"/>
    <w:rsid w:val="008E43AF"/>
    <w:rsid w:val="008F5CC8"/>
    <w:rsid w:val="008F7D37"/>
    <w:rsid w:val="009061B8"/>
    <w:rsid w:val="0091008B"/>
    <w:rsid w:val="00911EA2"/>
    <w:rsid w:val="00916C7D"/>
    <w:rsid w:val="0092575D"/>
    <w:rsid w:val="009341DA"/>
    <w:rsid w:val="009430F9"/>
    <w:rsid w:val="009442E8"/>
    <w:rsid w:val="00946BD0"/>
    <w:rsid w:val="0095426C"/>
    <w:rsid w:val="0096263D"/>
    <w:rsid w:val="00970087"/>
    <w:rsid w:val="00971074"/>
    <w:rsid w:val="0097275C"/>
    <w:rsid w:val="00975FAD"/>
    <w:rsid w:val="00991270"/>
    <w:rsid w:val="00995D86"/>
    <w:rsid w:val="009A35EB"/>
    <w:rsid w:val="009A4F19"/>
    <w:rsid w:val="009A5453"/>
    <w:rsid w:val="009B2585"/>
    <w:rsid w:val="009B4D94"/>
    <w:rsid w:val="009C0C4A"/>
    <w:rsid w:val="009C2871"/>
    <w:rsid w:val="009D3C33"/>
    <w:rsid w:val="009D7F3A"/>
    <w:rsid w:val="009E433F"/>
    <w:rsid w:val="009E4885"/>
    <w:rsid w:val="009E7DC2"/>
    <w:rsid w:val="009F56D5"/>
    <w:rsid w:val="00A012BD"/>
    <w:rsid w:val="00A07D76"/>
    <w:rsid w:val="00A07DB6"/>
    <w:rsid w:val="00A10A73"/>
    <w:rsid w:val="00A144C3"/>
    <w:rsid w:val="00A170B3"/>
    <w:rsid w:val="00A223D5"/>
    <w:rsid w:val="00A37D1C"/>
    <w:rsid w:val="00A5453E"/>
    <w:rsid w:val="00A547DD"/>
    <w:rsid w:val="00A56F6C"/>
    <w:rsid w:val="00A71D59"/>
    <w:rsid w:val="00A76C8C"/>
    <w:rsid w:val="00A85F30"/>
    <w:rsid w:val="00A9099E"/>
    <w:rsid w:val="00A91FB7"/>
    <w:rsid w:val="00A9298F"/>
    <w:rsid w:val="00A97878"/>
    <w:rsid w:val="00AA0351"/>
    <w:rsid w:val="00AA5F4A"/>
    <w:rsid w:val="00AB1984"/>
    <w:rsid w:val="00AB261C"/>
    <w:rsid w:val="00AB52B1"/>
    <w:rsid w:val="00AC4CB3"/>
    <w:rsid w:val="00AC780D"/>
    <w:rsid w:val="00AD036B"/>
    <w:rsid w:val="00AD1996"/>
    <w:rsid w:val="00AD4099"/>
    <w:rsid w:val="00AD4901"/>
    <w:rsid w:val="00B01F10"/>
    <w:rsid w:val="00B02FE0"/>
    <w:rsid w:val="00B057B6"/>
    <w:rsid w:val="00B24CFD"/>
    <w:rsid w:val="00B30448"/>
    <w:rsid w:val="00B34786"/>
    <w:rsid w:val="00B400EC"/>
    <w:rsid w:val="00B40162"/>
    <w:rsid w:val="00B41ACE"/>
    <w:rsid w:val="00B44076"/>
    <w:rsid w:val="00B50156"/>
    <w:rsid w:val="00B518AD"/>
    <w:rsid w:val="00B52A94"/>
    <w:rsid w:val="00B532D9"/>
    <w:rsid w:val="00B60A96"/>
    <w:rsid w:val="00B678EC"/>
    <w:rsid w:val="00B76C94"/>
    <w:rsid w:val="00B772D0"/>
    <w:rsid w:val="00B836EA"/>
    <w:rsid w:val="00B84C05"/>
    <w:rsid w:val="00B91B81"/>
    <w:rsid w:val="00B97135"/>
    <w:rsid w:val="00BA0E25"/>
    <w:rsid w:val="00BB3072"/>
    <w:rsid w:val="00BC199E"/>
    <w:rsid w:val="00BC7632"/>
    <w:rsid w:val="00BD48A9"/>
    <w:rsid w:val="00BD630F"/>
    <w:rsid w:val="00BD7EC6"/>
    <w:rsid w:val="00BE73FA"/>
    <w:rsid w:val="00BF6B4B"/>
    <w:rsid w:val="00C0511C"/>
    <w:rsid w:val="00C17A59"/>
    <w:rsid w:val="00C20ACF"/>
    <w:rsid w:val="00C22307"/>
    <w:rsid w:val="00C23469"/>
    <w:rsid w:val="00C25F9F"/>
    <w:rsid w:val="00C30C62"/>
    <w:rsid w:val="00C371DF"/>
    <w:rsid w:val="00C42055"/>
    <w:rsid w:val="00C44B4C"/>
    <w:rsid w:val="00C46734"/>
    <w:rsid w:val="00C47A86"/>
    <w:rsid w:val="00C53220"/>
    <w:rsid w:val="00C60381"/>
    <w:rsid w:val="00C91364"/>
    <w:rsid w:val="00CA3347"/>
    <w:rsid w:val="00CC299A"/>
    <w:rsid w:val="00CD03E3"/>
    <w:rsid w:val="00CE40F7"/>
    <w:rsid w:val="00CE4D89"/>
    <w:rsid w:val="00CE6BDA"/>
    <w:rsid w:val="00CF72F1"/>
    <w:rsid w:val="00D03DBE"/>
    <w:rsid w:val="00D072C0"/>
    <w:rsid w:val="00D120AE"/>
    <w:rsid w:val="00D3077B"/>
    <w:rsid w:val="00D34C82"/>
    <w:rsid w:val="00D3757A"/>
    <w:rsid w:val="00D442D6"/>
    <w:rsid w:val="00D45EFD"/>
    <w:rsid w:val="00D504A9"/>
    <w:rsid w:val="00D5206D"/>
    <w:rsid w:val="00D52C59"/>
    <w:rsid w:val="00D6662D"/>
    <w:rsid w:val="00D7177D"/>
    <w:rsid w:val="00D74013"/>
    <w:rsid w:val="00D76BF0"/>
    <w:rsid w:val="00D81311"/>
    <w:rsid w:val="00D96B96"/>
    <w:rsid w:val="00DB201E"/>
    <w:rsid w:val="00DB4356"/>
    <w:rsid w:val="00DC0E68"/>
    <w:rsid w:val="00DC4920"/>
    <w:rsid w:val="00DD25ED"/>
    <w:rsid w:val="00DD31C7"/>
    <w:rsid w:val="00DE0D6E"/>
    <w:rsid w:val="00DE2151"/>
    <w:rsid w:val="00DE402D"/>
    <w:rsid w:val="00E0003B"/>
    <w:rsid w:val="00E1610C"/>
    <w:rsid w:val="00E16D73"/>
    <w:rsid w:val="00E23E9E"/>
    <w:rsid w:val="00E25722"/>
    <w:rsid w:val="00E26368"/>
    <w:rsid w:val="00E27F0A"/>
    <w:rsid w:val="00E309F5"/>
    <w:rsid w:val="00E368C0"/>
    <w:rsid w:val="00E404E5"/>
    <w:rsid w:val="00E4231E"/>
    <w:rsid w:val="00E42DCA"/>
    <w:rsid w:val="00E4302C"/>
    <w:rsid w:val="00E44AC7"/>
    <w:rsid w:val="00E45518"/>
    <w:rsid w:val="00E45F4B"/>
    <w:rsid w:val="00E4617A"/>
    <w:rsid w:val="00E53145"/>
    <w:rsid w:val="00E60A16"/>
    <w:rsid w:val="00E61334"/>
    <w:rsid w:val="00E62D90"/>
    <w:rsid w:val="00E74678"/>
    <w:rsid w:val="00E7749E"/>
    <w:rsid w:val="00E807EB"/>
    <w:rsid w:val="00E82B6E"/>
    <w:rsid w:val="00E92B49"/>
    <w:rsid w:val="00E94258"/>
    <w:rsid w:val="00E9513D"/>
    <w:rsid w:val="00E96C18"/>
    <w:rsid w:val="00EA0B15"/>
    <w:rsid w:val="00EA2232"/>
    <w:rsid w:val="00EA2E61"/>
    <w:rsid w:val="00EA6727"/>
    <w:rsid w:val="00EA7D7F"/>
    <w:rsid w:val="00EB02F4"/>
    <w:rsid w:val="00EB1F43"/>
    <w:rsid w:val="00EB2FA2"/>
    <w:rsid w:val="00EB5315"/>
    <w:rsid w:val="00EB769A"/>
    <w:rsid w:val="00EC3929"/>
    <w:rsid w:val="00EC3A35"/>
    <w:rsid w:val="00EC5D85"/>
    <w:rsid w:val="00EE17F2"/>
    <w:rsid w:val="00EE3138"/>
    <w:rsid w:val="00EF2AC7"/>
    <w:rsid w:val="00EF400A"/>
    <w:rsid w:val="00EF46B1"/>
    <w:rsid w:val="00EF5699"/>
    <w:rsid w:val="00EF6BE4"/>
    <w:rsid w:val="00EF6E5D"/>
    <w:rsid w:val="00F02290"/>
    <w:rsid w:val="00F07764"/>
    <w:rsid w:val="00F12517"/>
    <w:rsid w:val="00F131DD"/>
    <w:rsid w:val="00F16BA1"/>
    <w:rsid w:val="00F21E83"/>
    <w:rsid w:val="00F24435"/>
    <w:rsid w:val="00F30C0F"/>
    <w:rsid w:val="00F314E8"/>
    <w:rsid w:val="00F323A2"/>
    <w:rsid w:val="00F33B57"/>
    <w:rsid w:val="00F33D5C"/>
    <w:rsid w:val="00F34E90"/>
    <w:rsid w:val="00F356D6"/>
    <w:rsid w:val="00F35C31"/>
    <w:rsid w:val="00F53BE2"/>
    <w:rsid w:val="00F55684"/>
    <w:rsid w:val="00F56196"/>
    <w:rsid w:val="00F64D5A"/>
    <w:rsid w:val="00F7025D"/>
    <w:rsid w:val="00F709CD"/>
    <w:rsid w:val="00F850D4"/>
    <w:rsid w:val="00F8768B"/>
    <w:rsid w:val="00F906F4"/>
    <w:rsid w:val="00FA0716"/>
    <w:rsid w:val="00FA1465"/>
    <w:rsid w:val="00FA41B9"/>
    <w:rsid w:val="00FA5063"/>
    <w:rsid w:val="00FB1B34"/>
    <w:rsid w:val="00FB4629"/>
    <w:rsid w:val="00FB509F"/>
    <w:rsid w:val="00FB51EF"/>
    <w:rsid w:val="00FB6FB1"/>
    <w:rsid w:val="00FB7063"/>
    <w:rsid w:val="00FB7C94"/>
    <w:rsid w:val="00FC7056"/>
    <w:rsid w:val="00FD1E42"/>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1"/>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165631694">
      <w:bodyDiv w:val="1"/>
      <w:marLeft w:val="0"/>
      <w:marRight w:val="0"/>
      <w:marTop w:val="0"/>
      <w:marBottom w:val="0"/>
      <w:divBdr>
        <w:top w:val="none" w:sz="0" w:space="0" w:color="auto"/>
        <w:left w:val="none" w:sz="0" w:space="0" w:color="auto"/>
        <w:bottom w:val="none" w:sz="0" w:space="0" w:color="auto"/>
        <w:right w:val="none" w:sz="0" w:space="0" w:color="auto"/>
      </w:divBdr>
    </w:div>
    <w:div w:id="270474997">
      <w:bodyDiv w:val="1"/>
      <w:marLeft w:val="0"/>
      <w:marRight w:val="0"/>
      <w:marTop w:val="0"/>
      <w:marBottom w:val="0"/>
      <w:divBdr>
        <w:top w:val="none" w:sz="0" w:space="0" w:color="auto"/>
        <w:left w:val="none" w:sz="0" w:space="0" w:color="auto"/>
        <w:bottom w:val="none" w:sz="0" w:space="0" w:color="auto"/>
        <w:right w:val="none" w:sz="0" w:space="0" w:color="auto"/>
      </w:divBdr>
    </w:div>
    <w:div w:id="349651026">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576669621">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085692309">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215850391">
      <w:bodyDiv w:val="1"/>
      <w:marLeft w:val="0"/>
      <w:marRight w:val="0"/>
      <w:marTop w:val="0"/>
      <w:marBottom w:val="0"/>
      <w:divBdr>
        <w:top w:val="none" w:sz="0" w:space="0" w:color="auto"/>
        <w:left w:val="none" w:sz="0" w:space="0" w:color="auto"/>
        <w:bottom w:val="none" w:sz="0" w:space="0" w:color="auto"/>
        <w:right w:val="none" w:sz="0" w:space="0" w:color="auto"/>
      </w:divBdr>
    </w:div>
    <w:div w:id="1233007613">
      <w:bodyDiv w:val="1"/>
      <w:marLeft w:val="0"/>
      <w:marRight w:val="0"/>
      <w:marTop w:val="0"/>
      <w:marBottom w:val="0"/>
      <w:divBdr>
        <w:top w:val="none" w:sz="0" w:space="0" w:color="auto"/>
        <w:left w:val="none" w:sz="0" w:space="0" w:color="auto"/>
        <w:bottom w:val="none" w:sz="0" w:space="0" w:color="auto"/>
        <w:right w:val="none" w:sz="0" w:space="0" w:color="auto"/>
      </w:divBdr>
    </w:div>
    <w:div w:id="1234850631">
      <w:bodyDiv w:val="1"/>
      <w:marLeft w:val="0"/>
      <w:marRight w:val="0"/>
      <w:marTop w:val="0"/>
      <w:marBottom w:val="0"/>
      <w:divBdr>
        <w:top w:val="none" w:sz="0" w:space="0" w:color="auto"/>
        <w:left w:val="none" w:sz="0" w:space="0" w:color="auto"/>
        <w:bottom w:val="none" w:sz="0" w:space="0" w:color="auto"/>
        <w:right w:val="none" w:sz="0" w:space="0" w:color="auto"/>
      </w:divBdr>
    </w:div>
    <w:div w:id="1293747498">
      <w:bodyDiv w:val="1"/>
      <w:marLeft w:val="0"/>
      <w:marRight w:val="0"/>
      <w:marTop w:val="0"/>
      <w:marBottom w:val="0"/>
      <w:divBdr>
        <w:top w:val="none" w:sz="0" w:space="0" w:color="auto"/>
        <w:left w:val="none" w:sz="0" w:space="0" w:color="auto"/>
        <w:bottom w:val="none" w:sz="0" w:space="0" w:color="auto"/>
        <w:right w:val="none" w:sz="0" w:space="0" w:color="auto"/>
      </w:divBdr>
    </w:div>
    <w:div w:id="1392072004">
      <w:bodyDiv w:val="1"/>
      <w:marLeft w:val="0"/>
      <w:marRight w:val="0"/>
      <w:marTop w:val="0"/>
      <w:marBottom w:val="0"/>
      <w:divBdr>
        <w:top w:val="none" w:sz="0" w:space="0" w:color="auto"/>
        <w:left w:val="none" w:sz="0" w:space="0" w:color="auto"/>
        <w:bottom w:val="none" w:sz="0" w:space="0" w:color="auto"/>
        <w:right w:val="none" w:sz="0" w:space="0" w:color="auto"/>
      </w:divBdr>
      <w:divsChild>
        <w:div w:id="2068407240">
          <w:marLeft w:val="0"/>
          <w:marRight w:val="0"/>
          <w:marTop w:val="0"/>
          <w:marBottom w:val="160"/>
          <w:divBdr>
            <w:top w:val="none" w:sz="0" w:space="0" w:color="auto"/>
            <w:left w:val="none" w:sz="0" w:space="0" w:color="auto"/>
            <w:bottom w:val="none" w:sz="0" w:space="0" w:color="auto"/>
            <w:right w:val="none" w:sz="0" w:space="0" w:color="auto"/>
          </w:divBdr>
        </w:div>
        <w:div w:id="297759433">
          <w:marLeft w:val="0"/>
          <w:marRight w:val="0"/>
          <w:marTop w:val="0"/>
          <w:marBottom w:val="160"/>
          <w:divBdr>
            <w:top w:val="none" w:sz="0" w:space="0" w:color="auto"/>
            <w:left w:val="none" w:sz="0" w:space="0" w:color="auto"/>
            <w:bottom w:val="none" w:sz="0" w:space="0" w:color="auto"/>
            <w:right w:val="none" w:sz="0" w:space="0" w:color="auto"/>
          </w:divBdr>
        </w:div>
        <w:div w:id="996881984">
          <w:marLeft w:val="0"/>
          <w:marRight w:val="0"/>
          <w:marTop w:val="0"/>
          <w:marBottom w:val="160"/>
          <w:divBdr>
            <w:top w:val="none" w:sz="0" w:space="0" w:color="auto"/>
            <w:left w:val="none" w:sz="0" w:space="0" w:color="auto"/>
            <w:bottom w:val="none" w:sz="0" w:space="0" w:color="auto"/>
            <w:right w:val="none" w:sz="0" w:space="0" w:color="auto"/>
          </w:divBdr>
        </w:div>
        <w:div w:id="1507865227">
          <w:marLeft w:val="0"/>
          <w:marRight w:val="0"/>
          <w:marTop w:val="0"/>
          <w:marBottom w:val="160"/>
          <w:divBdr>
            <w:top w:val="none" w:sz="0" w:space="0" w:color="auto"/>
            <w:left w:val="none" w:sz="0" w:space="0" w:color="auto"/>
            <w:bottom w:val="none" w:sz="0" w:space="0" w:color="auto"/>
            <w:right w:val="none" w:sz="0" w:space="0" w:color="auto"/>
          </w:divBdr>
        </w:div>
        <w:div w:id="179897408">
          <w:marLeft w:val="0"/>
          <w:marRight w:val="0"/>
          <w:marTop w:val="0"/>
          <w:marBottom w:val="160"/>
          <w:divBdr>
            <w:top w:val="none" w:sz="0" w:space="0" w:color="auto"/>
            <w:left w:val="none" w:sz="0" w:space="0" w:color="auto"/>
            <w:bottom w:val="none" w:sz="0" w:space="0" w:color="auto"/>
            <w:right w:val="none" w:sz="0" w:space="0" w:color="auto"/>
          </w:divBdr>
        </w:div>
        <w:div w:id="327634447">
          <w:marLeft w:val="0"/>
          <w:marRight w:val="0"/>
          <w:marTop w:val="0"/>
          <w:marBottom w:val="160"/>
          <w:divBdr>
            <w:top w:val="none" w:sz="0" w:space="0" w:color="auto"/>
            <w:left w:val="none" w:sz="0" w:space="0" w:color="auto"/>
            <w:bottom w:val="none" w:sz="0" w:space="0" w:color="auto"/>
            <w:right w:val="none" w:sz="0" w:space="0" w:color="auto"/>
          </w:divBdr>
        </w:div>
        <w:div w:id="883249927">
          <w:marLeft w:val="0"/>
          <w:marRight w:val="0"/>
          <w:marTop w:val="0"/>
          <w:marBottom w:val="160"/>
          <w:divBdr>
            <w:top w:val="none" w:sz="0" w:space="0" w:color="auto"/>
            <w:left w:val="none" w:sz="0" w:space="0" w:color="auto"/>
            <w:bottom w:val="none" w:sz="0" w:space="0" w:color="auto"/>
            <w:right w:val="none" w:sz="0" w:space="0" w:color="auto"/>
          </w:divBdr>
        </w:div>
        <w:div w:id="656805125">
          <w:marLeft w:val="0"/>
          <w:marRight w:val="0"/>
          <w:marTop w:val="0"/>
          <w:marBottom w:val="160"/>
          <w:divBdr>
            <w:top w:val="none" w:sz="0" w:space="0" w:color="auto"/>
            <w:left w:val="none" w:sz="0" w:space="0" w:color="auto"/>
            <w:bottom w:val="none" w:sz="0" w:space="0" w:color="auto"/>
            <w:right w:val="none" w:sz="0" w:space="0" w:color="auto"/>
          </w:divBdr>
        </w:div>
        <w:div w:id="2038772318">
          <w:marLeft w:val="0"/>
          <w:marRight w:val="0"/>
          <w:marTop w:val="0"/>
          <w:marBottom w:val="160"/>
          <w:divBdr>
            <w:top w:val="none" w:sz="0" w:space="0" w:color="auto"/>
            <w:left w:val="none" w:sz="0" w:space="0" w:color="auto"/>
            <w:bottom w:val="none" w:sz="0" w:space="0" w:color="auto"/>
            <w:right w:val="none" w:sz="0" w:space="0" w:color="auto"/>
          </w:divBdr>
        </w:div>
        <w:div w:id="1360624538">
          <w:marLeft w:val="0"/>
          <w:marRight w:val="0"/>
          <w:marTop w:val="0"/>
          <w:marBottom w:val="160"/>
          <w:divBdr>
            <w:top w:val="none" w:sz="0" w:space="0" w:color="auto"/>
            <w:left w:val="none" w:sz="0" w:space="0" w:color="auto"/>
            <w:bottom w:val="none" w:sz="0" w:space="0" w:color="auto"/>
            <w:right w:val="none" w:sz="0" w:space="0" w:color="auto"/>
          </w:divBdr>
        </w:div>
        <w:div w:id="25522857">
          <w:marLeft w:val="0"/>
          <w:marRight w:val="0"/>
          <w:marTop w:val="0"/>
          <w:marBottom w:val="160"/>
          <w:divBdr>
            <w:top w:val="none" w:sz="0" w:space="0" w:color="auto"/>
            <w:left w:val="none" w:sz="0" w:space="0" w:color="auto"/>
            <w:bottom w:val="none" w:sz="0" w:space="0" w:color="auto"/>
            <w:right w:val="none" w:sz="0" w:space="0" w:color="auto"/>
          </w:divBdr>
        </w:div>
        <w:div w:id="2036350138">
          <w:marLeft w:val="0"/>
          <w:marRight w:val="0"/>
          <w:marTop w:val="0"/>
          <w:marBottom w:val="160"/>
          <w:divBdr>
            <w:top w:val="none" w:sz="0" w:space="0" w:color="auto"/>
            <w:left w:val="none" w:sz="0" w:space="0" w:color="auto"/>
            <w:bottom w:val="none" w:sz="0" w:space="0" w:color="auto"/>
            <w:right w:val="none" w:sz="0" w:space="0" w:color="auto"/>
          </w:divBdr>
        </w:div>
      </w:divsChild>
    </w:div>
    <w:div w:id="1539590889">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709336330">
      <w:bodyDiv w:val="1"/>
      <w:marLeft w:val="0"/>
      <w:marRight w:val="0"/>
      <w:marTop w:val="0"/>
      <w:marBottom w:val="0"/>
      <w:divBdr>
        <w:top w:val="none" w:sz="0" w:space="0" w:color="auto"/>
        <w:left w:val="none" w:sz="0" w:space="0" w:color="auto"/>
        <w:bottom w:val="none" w:sz="0" w:space="0" w:color="auto"/>
        <w:right w:val="none" w:sz="0" w:space="0" w:color="auto"/>
      </w:divBdr>
    </w:div>
    <w:div w:id="1726760080">
      <w:bodyDiv w:val="1"/>
      <w:marLeft w:val="0"/>
      <w:marRight w:val="0"/>
      <w:marTop w:val="0"/>
      <w:marBottom w:val="0"/>
      <w:divBdr>
        <w:top w:val="none" w:sz="0" w:space="0" w:color="auto"/>
        <w:left w:val="none" w:sz="0" w:space="0" w:color="auto"/>
        <w:bottom w:val="none" w:sz="0" w:space="0" w:color="auto"/>
        <w:right w:val="none" w:sz="0" w:space="0" w:color="auto"/>
      </w:divBdr>
      <w:divsChild>
        <w:div w:id="1329598100">
          <w:marLeft w:val="0"/>
          <w:marRight w:val="0"/>
          <w:marTop w:val="0"/>
          <w:marBottom w:val="160"/>
          <w:divBdr>
            <w:top w:val="none" w:sz="0" w:space="0" w:color="auto"/>
            <w:left w:val="none" w:sz="0" w:space="0" w:color="auto"/>
            <w:bottom w:val="none" w:sz="0" w:space="0" w:color="auto"/>
            <w:right w:val="none" w:sz="0" w:space="0" w:color="auto"/>
          </w:divBdr>
        </w:div>
        <w:div w:id="1608125278">
          <w:marLeft w:val="0"/>
          <w:marRight w:val="0"/>
          <w:marTop w:val="0"/>
          <w:marBottom w:val="160"/>
          <w:divBdr>
            <w:top w:val="none" w:sz="0" w:space="0" w:color="auto"/>
            <w:left w:val="none" w:sz="0" w:space="0" w:color="auto"/>
            <w:bottom w:val="none" w:sz="0" w:space="0" w:color="auto"/>
            <w:right w:val="none" w:sz="0" w:space="0" w:color="auto"/>
          </w:divBdr>
        </w:div>
        <w:div w:id="566843197">
          <w:marLeft w:val="0"/>
          <w:marRight w:val="0"/>
          <w:marTop w:val="0"/>
          <w:marBottom w:val="160"/>
          <w:divBdr>
            <w:top w:val="none" w:sz="0" w:space="0" w:color="auto"/>
            <w:left w:val="none" w:sz="0" w:space="0" w:color="auto"/>
            <w:bottom w:val="none" w:sz="0" w:space="0" w:color="auto"/>
            <w:right w:val="none" w:sz="0" w:space="0" w:color="auto"/>
          </w:divBdr>
        </w:div>
        <w:div w:id="1650742476">
          <w:marLeft w:val="0"/>
          <w:marRight w:val="0"/>
          <w:marTop w:val="0"/>
          <w:marBottom w:val="160"/>
          <w:divBdr>
            <w:top w:val="none" w:sz="0" w:space="0" w:color="auto"/>
            <w:left w:val="none" w:sz="0" w:space="0" w:color="auto"/>
            <w:bottom w:val="none" w:sz="0" w:space="0" w:color="auto"/>
            <w:right w:val="none" w:sz="0" w:space="0" w:color="auto"/>
          </w:divBdr>
        </w:div>
        <w:div w:id="1249578308">
          <w:marLeft w:val="0"/>
          <w:marRight w:val="0"/>
          <w:marTop w:val="0"/>
          <w:marBottom w:val="160"/>
          <w:divBdr>
            <w:top w:val="none" w:sz="0" w:space="0" w:color="auto"/>
            <w:left w:val="none" w:sz="0" w:space="0" w:color="auto"/>
            <w:bottom w:val="none" w:sz="0" w:space="0" w:color="auto"/>
            <w:right w:val="none" w:sz="0" w:space="0" w:color="auto"/>
          </w:divBdr>
        </w:div>
        <w:div w:id="2116247966">
          <w:marLeft w:val="0"/>
          <w:marRight w:val="0"/>
          <w:marTop w:val="0"/>
          <w:marBottom w:val="160"/>
          <w:divBdr>
            <w:top w:val="none" w:sz="0" w:space="0" w:color="auto"/>
            <w:left w:val="none" w:sz="0" w:space="0" w:color="auto"/>
            <w:bottom w:val="none" w:sz="0" w:space="0" w:color="auto"/>
            <w:right w:val="none" w:sz="0" w:space="0" w:color="auto"/>
          </w:divBdr>
        </w:div>
        <w:div w:id="2128579">
          <w:marLeft w:val="0"/>
          <w:marRight w:val="0"/>
          <w:marTop w:val="0"/>
          <w:marBottom w:val="160"/>
          <w:divBdr>
            <w:top w:val="none" w:sz="0" w:space="0" w:color="auto"/>
            <w:left w:val="none" w:sz="0" w:space="0" w:color="auto"/>
            <w:bottom w:val="none" w:sz="0" w:space="0" w:color="auto"/>
            <w:right w:val="none" w:sz="0" w:space="0" w:color="auto"/>
          </w:divBdr>
        </w:div>
        <w:div w:id="1260063255">
          <w:marLeft w:val="0"/>
          <w:marRight w:val="0"/>
          <w:marTop w:val="0"/>
          <w:marBottom w:val="160"/>
          <w:divBdr>
            <w:top w:val="none" w:sz="0" w:space="0" w:color="auto"/>
            <w:left w:val="none" w:sz="0" w:space="0" w:color="auto"/>
            <w:bottom w:val="none" w:sz="0" w:space="0" w:color="auto"/>
            <w:right w:val="none" w:sz="0" w:space="0" w:color="auto"/>
          </w:divBdr>
        </w:div>
        <w:div w:id="345332971">
          <w:marLeft w:val="0"/>
          <w:marRight w:val="0"/>
          <w:marTop w:val="0"/>
          <w:marBottom w:val="160"/>
          <w:divBdr>
            <w:top w:val="none" w:sz="0" w:space="0" w:color="auto"/>
            <w:left w:val="none" w:sz="0" w:space="0" w:color="auto"/>
            <w:bottom w:val="none" w:sz="0" w:space="0" w:color="auto"/>
            <w:right w:val="none" w:sz="0" w:space="0" w:color="auto"/>
          </w:divBdr>
        </w:div>
        <w:div w:id="1140458700">
          <w:marLeft w:val="0"/>
          <w:marRight w:val="0"/>
          <w:marTop w:val="0"/>
          <w:marBottom w:val="160"/>
          <w:divBdr>
            <w:top w:val="none" w:sz="0" w:space="0" w:color="auto"/>
            <w:left w:val="none" w:sz="0" w:space="0" w:color="auto"/>
            <w:bottom w:val="none" w:sz="0" w:space="0" w:color="auto"/>
            <w:right w:val="none" w:sz="0" w:space="0" w:color="auto"/>
          </w:divBdr>
        </w:div>
        <w:div w:id="389765316">
          <w:marLeft w:val="0"/>
          <w:marRight w:val="0"/>
          <w:marTop w:val="0"/>
          <w:marBottom w:val="160"/>
          <w:divBdr>
            <w:top w:val="none" w:sz="0" w:space="0" w:color="auto"/>
            <w:left w:val="none" w:sz="0" w:space="0" w:color="auto"/>
            <w:bottom w:val="none" w:sz="0" w:space="0" w:color="auto"/>
            <w:right w:val="none" w:sz="0" w:space="0" w:color="auto"/>
          </w:divBdr>
        </w:div>
        <w:div w:id="1971747387">
          <w:marLeft w:val="0"/>
          <w:marRight w:val="0"/>
          <w:marTop w:val="0"/>
          <w:marBottom w:val="160"/>
          <w:divBdr>
            <w:top w:val="none" w:sz="0" w:space="0" w:color="auto"/>
            <w:left w:val="none" w:sz="0" w:space="0" w:color="auto"/>
            <w:bottom w:val="none" w:sz="0" w:space="0" w:color="auto"/>
            <w:right w:val="none" w:sz="0" w:space="0" w:color="auto"/>
          </w:divBdr>
        </w:div>
      </w:divsChild>
    </w:div>
    <w:div w:id="1749502230">
      <w:bodyDiv w:val="1"/>
      <w:marLeft w:val="0"/>
      <w:marRight w:val="0"/>
      <w:marTop w:val="0"/>
      <w:marBottom w:val="0"/>
      <w:divBdr>
        <w:top w:val="none" w:sz="0" w:space="0" w:color="auto"/>
        <w:left w:val="none" w:sz="0" w:space="0" w:color="auto"/>
        <w:bottom w:val="none" w:sz="0" w:space="0" w:color="auto"/>
        <w:right w:val="none" w:sz="0" w:space="0" w:color="auto"/>
      </w:divBdr>
    </w:div>
    <w:div w:id="2010911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dcharrasquiel@gmail.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ala-de-prensa/boletin-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2.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4EFD2-6506-4654-A0AC-DEF36450F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2822</Words>
  <Characters>15522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Gloria Ximena Moreno Guio</cp:lastModifiedBy>
  <cp:revision>26</cp:revision>
  <dcterms:created xsi:type="dcterms:W3CDTF">2024-09-06T20:56:00Z</dcterms:created>
  <dcterms:modified xsi:type="dcterms:W3CDTF">2024-09-19T21:04:00Z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