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64EA3" w14:textId="77777777" w:rsidR="00390877" w:rsidRPr="00390877" w:rsidRDefault="00390877" w:rsidP="00390877">
      <w:pPr>
        <w:jc w:val="both"/>
        <w:rPr>
          <w:rFonts w:ascii="Verdana" w:eastAsia="Calibri" w:hAnsi="Verdana" w:cs="Arial"/>
          <w:b/>
          <w:bCs/>
          <w:lang w:val="es-ES_tradnl" w:eastAsia="es-ES"/>
        </w:rPr>
      </w:pPr>
      <w:bookmarkStart w:id="0" w:name="_Hlk143780582"/>
      <w:r w:rsidRPr="00390877">
        <w:rPr>
          <w:rFonts w:ascii="Verdana" w:eastAsia="Calibri" w:hAnsi="Verdana" w:cs="Arial"/>
          <w:b/>
          <w:bCs/>
          <w:lang w:val="es-ES_tradnl" w:eastAsia="es-ES"/>
        </w:rPr>
        <w:t>LEY 2069 DE 2020 – Finalidad</w:t>
      </w:r>
    </w:p>
    <w:p w14:paraId="0B23ADD7" w14:textId="77777777" w:rsidR="00390877" w:rsidRPr="00390877" w:rsidRDefault="00390877" w:rsidP="00390877">
      <w:pPr>
        <w:spacing w:after="0" w:line="276" w:lineRule="auto"/>
        <w:contextualSpacing/>
        <w:jc w:val="both"/>
        <w:rPr>
          <w:rFonts w:ascii="Verdana" w:eastAsia="Calibri" w:hAnsi="Verdana" w:cs="Times New Roman"/>
          <w:lang w:val="es-ES"/>
        </w:rPr>
      </w:pPr>
      <w:r w:rsidRPr="00390877">
        <w:rPr>
          <w:rFonts w:ascii="Verdana" w:eastAsia="Calibri" w:hAnsi="Verdana" w:cs="Times New Roman"/>
          <w:lang w:val="es-ES"/>
        </w:rPr>
        <w:t xml:space="preserve">Ley 2069 de 2020 “Por medio de la cual se impulsa el emprendimiento en Colombia”.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un enfoque regionalizado </w:t>
      </w:r>
      <w:proofErr w:type="gramStart"/>
      <w:r w:rsidRPr="00390877">
        <w:rPr>
          <w:rFonts w:ascii="Verdana" w:eastAsia="Calibri" w:hAnsi="Verdana" w:cs="Times New Roman"/>
          <w:lang w:val="es-ES"/>
        </w:rPr>
        <w:t>de acuerdo a</w:t>
      </w:r>
      <w:proofErr w:type="gramEnd"/>
      <w:r w:rsidRPr="00390877">
        <w:rPr>
          <w:rFonts w:ascii="Verdana" w:eastAsia="Calibri" w:hAnsi="Verdana" w:cs="Times New Roman"/>
          <w:lang w:val="es-ES"/>
        </w:rPr>
        <w:t xml:space="preserve"> las realidades socioeconómicas de cada región”.</w:t>
      </w:r>
    </w:p>
    <w:p w14:paraId="72D0D6C9" w14:textId="77777777" w:rsidR="00390877" w:rsidRPr="00390877" w:rsidRDefault="00390877" w:rsidP="00390877">
      <w:pPr>
        <w:spacing w:after="0" w:line="276" w:lineRule="auto"/>
        <w:contextualSpacing/>
        <w:jc w:val="both"/>
        <w:rPr>
          <w:rFonts w:ascii="Verdana" w:eastAsia="Calibri" w:hAnsi="Verdana" w:cs="Arial"/>
          <w:color w:val="7030A0"/>
          <w:lang w:val="es-ES"/>
        </w:rPr>
      </w:pPr>
    </w:p>
    <w:p w14:paraId="50CCDA60" w14:textId="77777777" w:rsidR="00390877" w:rsidRPr="00390877" w:rsidRDefault="00390877" w:rsidP="00390877">
      <w:pPr>
        <w:jc w:val="both"/>
        <w:rPr>
          <w:rFonts w:ascii="Verdana" w:eastAsia="Calibri" w:hAnsi="Verdana" w:cs="Arial"/>
          <w:b/>
          <w:bCs/>
          <w:lang w:val="es-ES_tradnl" w:eastAsia="es-ES"/>
        </w:rPr>
      </w:pPr>
      <w:r w:rsidRPr="00390877">
        <w:rPr>
          <w:rFonts w:ascii="Verdana" w:eastAsia="Calibri" w:hAnsi="Verdana" w:cs="Arial"/>
          <w:b/>
          <w:bCs/>
          <w:lang w:val="es-ES_tradnl" w:eastAsia="es-ES"/>
        </w:rPr>
        <w:t>MIPYMES – Convocatorias limitadas – Ley 2069 de 2020 –</w:t>
      </w:r>
      <w:r w:rsidRPr="00390877">
        <w:rPr>
          <w:rFonts w:ascii="Verdana" w:eastAsia="Calibri" w:hAnsi="Verdana" w:cs="Arial"/>
          <w:b/>
          <w:bCs/>
          <w:kern w:val="2"/>
          <w:lang w:val="es-ES_tradnl" w:eastAsia="es-ES"/>
          <w14:ligatures w14:val="standardContextual"/>
        </w:rPr>
        <w:t>Criterios diferenciales</w:t>
      </w:r>
    </w:p>
    <w:p w14:paraId="5DE26A5E" w14:textId="77777777" w:rsidR="00390877" w:rsidRPr="00390877" w:rsidRDefault="00390877" w:rsidP="00390877">
      <w:pPr>
        <w:jc w:val="both"/>
        <w:rPr>
          <w:rFonts w:ascii="Verdana" w:eastAsia="Calibri" w:hAnsi="Verdana" w:cs="Times New Roman"/>
          <w:lang w:val="es-ES"/>
        </w:rPr>
      </w:pPr>
      <w:r w:rsidRPr="00390877">
        <w:rPr>
          <w:rFonts w:ascii="Verdana" w:eastAsia="Calibri" w:hAnsi="Verdana" w:cs="Times New Roman"/>
          <w:lang w:val="es-ES"/>
        </w:rPr>
        <w:t xml:space="preserve">Solo podrán ser </w:t>
      </w:r>
      <w:proofErr w:type="spellStart"/>
      <w:r w:rsidRPr="00390877">
        <w:rPr>
          <w:rFonts w:ascii="Verdana" w:eastAsia="Calibri" w:hAnsi="Verdana" w:cs="Times New Roman"/>
          <w:lang w:val="es-ES"/>
        </w:rPr>
        <w:t>Mipymes</w:t>
      </w:r>
      <w:proofErr w:type="spellEnd"/>
      <w:r w:rsidRPr="00390877">
        <w:rPr>
          <w:rFonts w:ascii="Verdana" w:eastAsia="Calibri" w:hAnsi="Verdana" w:cs="Times New Roman"/>
          <w:lang w:val="es-ES"/>
        </w:rPr>
        <w:t xml:space="preserve"> las empresas, entendidas estas como las unidades de explotación económica que buscan el reparto de utilidades entre los miembros de la empresa, en razón a que las ESAL no persiguen el reparto de utilidades entre sus miembros, y por regla general, no podrían participar en los procesos de contratación limitados a </w:t>
      </w:r>
      <w:proofErr w:type="spellStart"/>
      <w:r w:rsidRPr="00390877">
        <w:rPr>
          <w:rFonts w:ascii="Verdana" w:eastAsia="Calibri" w:hAnsi="Verdana" w:cs="Times New Roman"/>
          <w:lang w:val="es-ES"/>
        </w:rPr>
        <w:t>Mipymes</w:t>
      </w:r>
      <w:proofErr w:type="spellEnd"/>
      <w:r w:rsidRPr="00390877">
        <w:rPr>
          <w:rFonts w:ascii="Verdana" w:eastAsia="Calibri" w:hAnsi="Verdana" w:cs="Times New Roman"/>
          <w:lang w:val="es-ES"/>
        </w:rPr>
        <w:t xml:space="preserve">; lo anterior no quiere significar que las ESAL no sean personas jurídicas o que no tengan capacidad contractual. De hecho, el Decreto 092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a </w:t>
      </w:r>
      <w:proofErr w:type="spellStart"/>
      <w:r w:rsidRPr="00390877">
        <w:rPr>
          <w:rFonts w:ascii="Verdana" w:eastAsia="Calibri" w:hAnsi="Verdana" w:cs="Times New Roman"/>
          <w:lang w:val="es-ES"/>
        </w:rPr>
        <w:t>Mipymes</w:t>
      </w:r>
      <w:proofErr w:type="spellEnd"/>
      <w:r w:rsidRPr="00390877">
        <w:rPr>
          <w:rFonts w:ascii="Verdana" w:eastAsia="Calibri" w:hAnsi="Verdana" w:cs="Times New Roman"/>
          <w:lang w:val="es-ES"/>
        </w:rPr>
        <w:t>.</w:t>
      </w:r>
    </w:p>
    <w:p w14:paraId="52177BA7" w14:textId="77777777" w:rsidR="00390877" w:rsidRPr="00390877" w:rsidRDefault="00390877" w:rsidP="00390877">
      <w:pPr>
        <w:jc w:val="both"/>
        <w:rPr>
          <w:rFonts w:ascii="Verdana" w:eastAsia="Calibri" w:hAnsi="Verdana" w:cs="Times New Roman"/>
          <w:lang w:val="es-ES"/>
        </w:rPr>
      </w:pPr>
    </w:p>
    <w:p w14:paraId="69EF97E6" w14:textId="77777777" w:rsidR="00390877" w:rsidRPr="00390877" w:rsidRDefault="00390877" w:rsidP="00390877">
      <w:pPr>
        <w:spacing w:line="276" w:lineRule="auto"/>
        <w:jc w:val="both"/>
        <w:rPr>
          <w:rFonts w:ascii="Verdana" w:eastAsia="Calibri" w:hAnsi="Verdana" w:cs="Arial"/>
          <w:b/>
          <w:bCs/>
          <w:lang w:val="es-ES_tradnl" w:eastAsia="es-ES"/>
        </w:rPr>
      </w:pPr>
      <w:r w:rsidRPr="00390877">
        <w:rPr>
          <w:rFonts w:ascii="Verdana" w:eastAsia="Calibri" w:hAnsi="Verdana" w:cs="Arial"/>
          <w:b/>
          <w:bCs/>
          <w:lang w:val="es-ES_tradnl" w:eastAsia="es-ES"/>
        </w:rPr>
        <w:t>ESAL – Convocatorias limitadas a MiPymes – Imposibilidad – Participación.</w:t>
      </w:r>
    </w:p>
    <w:p w14:paraId="27A3316A" w14:textId="77777777" w:rsidR="00390877" w:rsidRPr="00390877" w:rsidRDefault="00390877" w:rsidP="00390877">
      <w:pPr>
        <w:spacing w:after="120" w:line="276" w:lineRule="auto"/>
        <w:contextualSpacing/>
        <w:jc w:val="both"/>
        <w:rPr>
          <w:rFonts w:ascii="Verdana" w:eastAsia="Calibri" w:hAnsi="Verdana" w:cs="Times New Roman"/>
          <w:lang w:val="es-ES"/>
        </w:rPr>
      </w:pPr>
      <w:r w:rsidRPr="00390877">
        <w:rPr>
          <w:rFonts w:ascii="Verdana" w:eastAsia="Calibri" w:hAnsi="Verdana" w:cs="Times New Roman"/>
          <w:lang w:val="es-ES"/>
        </w:rPr>
        <w:t xml:space="preserve">Se precisa que las ESAL no pueden solicitar la limitación de los procesos contractuales </w:t>
      </w:r>
      <w:proofErr w:type="spellStart"/>
      <w:r w:rsidRPr="00390877">
        <w:rPr>
          <w:rFonts w:ascii="Verdana" w:eastAsia="Calibri" w:hAnsi="Verdana" w:cs="Times New Roman"/>
          <w:lang w:val="es-ES"/>
        </w:rPr>
        <w:t>Mipyme</w:t>
      </w:r>
      <w:proofErr w:type="spellEnd"/>
      <w:r w:rsidRPr="00390877">
        <w:rPr>
          <w:rFonts w:ascii="Verdana" w:eastAsia="Calibri" w:hAnsi="Verdana" w:cs="Times New Roman"/>
          <w:lang w:val="es-ES"/>
        </w:rPr>
        <w:t>, ni participar en procesos en los que se hubiese realizado la limitación, considerando que en atención del artículo 43 de la Ley 1450 de 2011, que modificó el artículo 2 de la Ley 590 de 2000.</w:t>
      </w:r>
    </w:p>
    <w:p w14:paraId="3AAB87B3" w14:textId="77777777" w:rsidR="00390877" w:rsidRPr="00390877" w:rsidRDefault="00390877" w:rsidP="00390877">
      <w:pPr>
        <w:jc w:val="both"/>
        <w:rPr>
          <w:rFonts w:ascii="Aptos" w:eastAsia="Aptos" w:hAnsi="Aptos" w:cs="Times New Roman"/>
          <w:kern w:val="2"/>
          <w14:ligatures w14:val="standardContextual"/>
        </w:rPr>
      </w:pPr>
    </w:p>
    <w:p w14:paraId="734BD234" w14:textId="77777777" w:rsidR="00390877" w:rsidRDefault="00390877" w:rsidP="00E245AB">
      <w:pPr>
        <w:spacing w:after="0"/>
        <w:rPr>
          <w:rFonts w:ascii="Verdana" w:hAnsi="Verdana"/>
        </w:rPr>
      </w:pPr>
    </w:p>
    <w:p w14:paraId="6BD41DF5" w14:textId="77777777" w:rsidR="00390877" w:rsidRDefault="00390877" w:rsidP="00E245AB">
      <w:pPr>
        <w:spacing w:after="0"/>
        <w:rPr>
          <w:rFonts w:ascii="Verdana" w:hAnsi="Verdana"/>
        </w:rPr>
      </w:pPr>
    </w:p>
    <w:p w14:paraId="43506247" w14:textId="77777777" w:rsidR="00390877" w:rsidRDefault="00390877" w:rsidP="00E245AB">
      <w:pPr>
        <w:spacing w:after="0"/>
        <w:rPr>
          <w:rFonts w:ascii="Verdana" w:hAnsi="Verdana"/>
        </w:rPr>
      </w:pPr>
    </w:p>
    <w:p w14:paraId="424A75A6" w14:textId="77777777" w:rsidR="00390877" w:rsidRDefault="00390877" w:rsidP="00E245AB">
      <w:pPr>
        <w:spacing w:after="0"/>
        <w:rPr>
          <w:rFonts w:ascii="Verdana" w:hAnsi="Verdana"/>
        </w:rPr>
      </w:pPr>
    </w:p>
    <w:p w14:paraId="623C8079" w14:textId="77777777" w:rsidR="00390877" w:rsidRDefault="00390877" w:rsidP="00E245AB">
      <w:pPr>
        <w:spacing w:after="0"/>
        <w:rPr>
          <w:rFonts w:ascii="Verdana" w:hAnsi="Verdana"/>
        </w:rPr>
      </w:pPr>
    </w:p>
    <w:p w14:paraId="5C867D92" w14:textId="77777777" w:rsidR="00390877" w:rsidRDefault="00390877" w:rsidP="00E245AB">
      <w:pPr>
        <w:spacing w:after="0"/>
        <w:rPr>
          <w:rFonts w:ascii="Verdana" w:hAnsi="Verdana"/>
        </w:rPr>
      </w:pPr>
    </w:p>
    <w:p w14:paraId="360D0E92" w14:textId="77777777" w:rsidR="00390877" w:rsidRDefault="00390877" w:rsidP="00E245AB">
      <w:pPr>
        <w:spacing w:after="0"/>
        <w:rPr>
          <w:rFonts w:ascii="Verdana" w:hAnsi="Verdana"/>
        </w:rPr>
      </w:pPr>
    </w:p>
    <w:p w14:paraId="228B4A18" w14:textId="77777777" w:rsidR="00390877" w:rsidRDefault="00390877" w:rsidP="00E245AB">
      <w:pPr>
        <w:spacing w:after="0"/>
        <w:rPr>
          <w:rFonts w:ascii="Verdana" w:hAnsi="Verdana"/>
        </w:rPr>
      </w:pPr>
    </w:p>
    <w:p w14:paraId="3FE2184B" w14:textId="2DF4C737" w:rsidR="00E245AB" w:rsidRPr="0044528D" w:rsidRDefault="00E245AB" w:rsidP="00E245AB">
      <w:pPr>
        <w:spacing w:after="0"/>
        <w:rPr>
          <w:rFonts w:ascii="Verdana" w:hAnsi="Verdana"/>
        </w:rPr>
      </w:pPr>
      <w:r w:rsidRPr="0044528D">
        <w:rPr>
          <w:rFonts w:ascii="Verdana" w:hAnsi="Verdana"/>
        </w:rPr>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p w14:paraId="5FCADBF9" w14:textId="039BB9E2" w:rsidR="00E245AB" w:rsidRPr="0044528D" w:rsidRDefault="000761A9" w:rsidP="00E245AB">
      <w:pPr>
        <w:spacing w:after="0"/>
        <w:rPr>
          <w:rFonts w:ascii="Verdana" w:hAnsi="Verdana"/>
        </w:rPr>
      </w:pPr>
      <w:r w:rsidRPr="000761A9">
        <w:rPr>
          <w:rFonts w:ascii="Verdana" w:hAnsi="Verdana"/>
          <w:color w:val="000000" w:themeColor="text1"/>
          <w:lang w:val="es-ES_tradnl"/>
        </w:rPr>
        <w:drawing>
          <wp:anchor distT="0" distB="0" distL="114300" distR="114300" simplePos="0" relativeHeight="251658240" behindDoc="1" locked="0" layoutInCell="1" allowOverlap="1" wp14:anchorId="14E7A1EC" wp14:editId="7A7F9A1B">
            <wp:simplePos x="0" y="0"/>
            <wp:positionH relativeFrom="column">
              <wp:posOffset>3101340</wp:posOffset>
            </wp:positionH>
            <wp:positionV relativeFrom="paragraph">
              <wp:posOffset>90805</wp:posOffset>
            </wp:positionV>
            <wp:extent cx="3134360" cy="1068397"/>
            <wp:effectExtent l="0" t="0" r="0" b="0"/>
            <wp:wrapNone/>
            <wp:docPr id="203087965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79654"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134360" cy="1068397"/>
                    </a:xfrm>
                    <a:prstGeom prst="rect">
                      <a:avLst/>
                    </a:prstGeom>
                  </pic:spPr>
                </pic:pic>
              </a:graphicData>
            </a:graphic>
            <wp14:sizeRelH relativeFrom="page">
              <wp14:pctWidth>0</wp14:pctWidth>
            </wp14:sizeRelH>
            <wp14:sizeRelV relativeFrom="page">
              <wp14:pctHeight>0</wp14:pctHeight>
            </wp14:sizeRelV>
          </wp:anchor>
        </w:drawing>
      </w:r>
    </w:p>
    <w:p w14:paraId="7B61836A" w14:textId="77777777" w:rsidR="00FF349D" w:rsidRPr="00FF349D" w:rsidRDefault="00FF349D" w:rsidP="00FF349D">
      <w:pPr>
        <w:spacing w:after="0" w:line="240" w:lineRule="auto"/>
        <w:jc w:val="both"/>
        <w:rPr>
          <w:rFonts w:ascii="Verdana" w:eastAsia="Calibri" w:hAnsi="Verdana" w:cs="Arial"/>
          <w:color w:val="000000" w:themeColor="text1"/>
          <w:lang w:val="es-ES_tradnl" w:eastAsia="es-ES"/>
        </w:rPr>
      </w:pPr>
      <w:r w:rsidRPr="00FF349D">
        <w:rPr>
          <w:rFonts w:ascii="Verdana" w:eastAsia="Calibri" w:hAnsi="Verdana" w:cs="Arial"/>
          <w:color w:val="000000" w:themeColor="text1"/>
          <w:lang w:val="es-ES_tradnl" w:eastAsia="es-ES"/>
        </w:rPr>
        <w:t>Señora</w:t>
      </w:r>
    </w:p>
    <w:p w14:paraId="66FB67E0" w14:textId="65FBAFFF" w:rsidR="00FF349D" w:rsidRPr="00FF349D" w:rsidRDefault="00FF349D" w:rsidP="00FF349D">
      <w:pPr>
        <w:spacing w:after="0" w:line="240" w:lineRule="auto"/>
        <w:rPr>
          <w:rFonts w:ascii="Verdana" w:hAnsi="Verdana"/>
          <w:color w:val="000000" w:themeColor="text1"/>
          <w:lang w:val="es-ES_tradnl"/>
        </w:rPr>
      </w:pPr>
      <w:r w:rsidRPr="00FF349D">
        <w:rPr>
          <w:rFonts w:ascii="Verdana" w:hAnsi="Verdana"/>
          <w:color w:val="000000" w:themeColor="text1"/>
          <w:lang w:val="es-ES_tradnl"/>
        </w:rPr>
        <w:t>Deysi Alejandra Castro Beltrán</w:t>
      </w:r>
      <w:r w:rsidR="000761A9" w:rsidRPr="000761A9">
        <w:rPr>
          <w:noProof/>
        </w:rPr>
        <w:t xml:space="preserve"> </w:t>
      </w:r>
    </w:p>
    <w:p w14:paraId="55CCEBA4" w14:textId="769ACA62" w:rsidR="00FF349D" w:rsidRPr="00FF349D" w:rsidRDefault="00000000" w:rsidP="00FF349D">
      <w:pPr>
        <w:spacing w:after="0" w:line="240" w:lineRule="auto"/>
        <w:rPr>
          <w:rFonts w:ascii="Verdana" w:hAnsi="Verdana"/>
          <w:color w:val="000000" w:themeColor="text1"/>
          <w:lang w:val="es-ES_tradnl"/>
        </w:rPr>
      </w:pPr>
      <w:hyperlink r:id="rId11" w:history="1">
        <w:r w:rsidR="00FF349D" w:rsidRPr="00FF349D">
          <w:rPr>
            <w:rFonts w:ascii="Verdana" w:hAnsi="Verdana"/>
            <w:color w:val="0563C1" w:themeColor="hyperlink"/>
            <w:u w:val="single"/>
            <w:lang w:val="es-ES_tradnl"/>
          </w:rPr>
          <w:t>deysialejandra_castro@hotmail.com</w:t>
        </w:r>
      </w:hyperlink>
    </w:p>
    <w:p w14:paraId="3178E8AB" w14:textId="78C55399" w:rsidR="00FF349D" w:rsidRPr="00FF349D" w:rsidRDefault="00FF349D" w:rsidP="00FF349D">
      <w:pPr>
        <w:spacing w:after="0" w:line="240" w:lineRule="auto"/>
        <w:rPr>
          <w:rFonts w:ascii="Verdana" w:eastAsia="Calibri" w:hAnsi="Verdana" w:cs="Arial"/>
          <w:b/>
          <w:bCs/>
          <w:color w:val="000000" w:themeColor="text1"/>
          <w:lang w:val="es-ES_tradnl" w:eastAsia="es-ES"/>
        </w:rPr>
      </w:pPr>
      <w:r w:rsidRPr="00FF349D">
        <w:rPr>
          <w:rFonts w:ascii="Verdana" w:eastAsia="Calibri" w:hAnsi="Verdana" w:cs="Arial"/>
          <w:color w:val="000000" w:themeColor="text1"/>
          <w:lang w:val="es-ES_tradnl" w:eastAsia="es-ES"/>
        </w:rPr>
        <w:t>San Gil, Santander</w:t>
      </w:r>
    </w:p>
    <w:p w14:paraId="0682A5CA" w14:textId="6E9F144E" w:rsidR="00FF349D" w:rsidRPr="00FF349D" w:rsidRDefault="00FF349D" w:rsidP="00FF349D">
      <w:pPr>
        <w:spacing w:after="0" w:line="240" w:lineRule="auto"/>
        <w:rPr>
          <w:rFonts w:ascii="Verdana" w:eastAsia="Calibri" w:hAnsi="Verdana" w:cs="Arial"/>
          <w:b/>
          <w:bCs/>
          <w:color w:val="000000"/>
          <w:lang w:val="es-ES_tradnl" w:eastAsia="es-ES_tradnl"/>
        </w:rPr>
      </w:pPr>
    </w:p>
    <w:p w14:paraId="5D1EFCAA" w14:textId="35E168F0" w:rsidR="00FF349D" w:rsidRPr="00FF349D" w:rsidRDefault="00FF349D" w:rsidP="00FF349D">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FF349D" w:rsidRPr="00FF349D" w14:paraId="1AA24FCB" w14:textId="77777777" w:rsidTr="00E36505">
        <w:trPr>
          <w:trHeight w:val="884"/>
        </w:trPr>
        <w:tc>
          <w:tcPr>
            <w:tcW w:w="2689" w:type="dxa"/>
          </w:tcPr>
          <w:p w14:paraId="08CFEE23" w14:textId="77777777" w:rsidR="00FF349D" w:rsidRPr="00FF349D" w:rsidRDefault="00FF349D" w:rsidP="00FF349D">
            <w:pPr>
              <w:jc w:val="both"/>
              <w:rPr>
                <w:rFonts w:ascii="Verdana" w:eastAsia="Calibri" w:hAnsi="Verdana" w:cs="Arial"/>
                <w:b/>
                <w:bCs/>
                <w:color w:val="7030A0"/>
                <w:lang w:val="es-ES_tradnl" w:eastAsia="es-ES_tradnl"/>
              </w:rPr>
            </w:pPr>
          </w:p>
        </w:tc>
        <w:tc>
          <w:tcPr>
            <w:tcW w:w="6100" w:type="dxa"/>
          </w:tcPr>
          <w:p w14:paraId="2BEF692B" w14:textId="406DB3D4" w:rsidR="00FF349D" w:rsidRPr="00FF349D" w:rsidRDefault="00FF349D" w:rsidP="00FF349D">
            <w:pPr>
              <w:jc w:val="both"/>
              <w:rPr>
                <w:rFonts w:ascii="Verdana" w:eastAsia="Calibri" w:hAnsi="Verdana" w:cs="Arial"/>
                <w:b/>
                <w:bCs/>
                <w:color w:val="7030A0"/>
                <w:lang w:val="es-ES_tradnl" w:eastAsia="es-ES"/>
              </w:rPr>
            </w:pPr>
            <w:r w:rsidRPr="00FF349D">
              <w:rPr>
                <w:rFonts w:ascii="Verdana" w:eastAsia="Calibri" w:hAnsi="Verdana" w:cs="Arial"/>
                <w:b/>
                <w:bCs/>
                <w:color w:val="000000" w:themeColor="text1"/>
                <w:lang w:val="es-ES_tradnl" w:eastAsia="es-ES"/>
              </w:rPr>
              <w:t>Concepto C- 406 de 2024</w:t>
            </w:r>
          </w:p>
        </w:tc>
      </w:tr>
      <w:tr w:rsidR="00FF349D" w:rsidRPr="00FF349D" w14:paraId="4A02CC27" w14:textId="77777777" w:rsidTr="00E36505">
        <w:trPr>
          <w:trHeight w:val="884"/>
        </w:trPr>
        <w:tc>
          <w:tcPr>
            <w:tcW w:w="2689" w:type="dxa"/>
          </w:tcPr>
          <w:p w14:paraId="5FDBE8EC" w14:textId="77777777" w:rsidR="00FF349D" w:rsidRPr="00FF349D" w:rsidRDefault="00FF349D" w:rsidP="00FF349D">
            <w:pPr>
              <w:jc w:val="both"/>
              <w:rPr>
                <w:rFonts w:ascii="Verdana" w:eastAsia="Calibri" w:hAnsi="Verdana" w:cs="Arial"/>
                <w:color w:val="000000"/>
                <w:lang w:val="es-ES_tradnl" w:eastAsia="es-ES_tradnl"/>
              </w:rPr>
            </w:pPr>
            <w:r w:rsidRPr="00FF349D">
              <w:rPr>
                <w:rFonts w:ascii="Verdana" w:eastAsia="Calibri" w:hAnsi="Verdana" w:cs="Arial"/>
                <w:b/>
                <w:color w:val="000000"/>
                <w:lang w:val="es-ES_tradnl" w:eastAsia="es-ES_tradnl"/>
              </w:rPr>
              <w:t>Temas:</w:t>
            </w:r>
            <w:r w:rsidRPr="00FF349D">
              <w:rPr>
                <w:rFonts w:ascii="Verdana" w:eastAsia="Calibri" w:hAnsi="Verdana" w:cs="Arial"/>
                <w:color w:val="000000"/>
                <w:lang w:val="es-ES_tradnl" w:eastAsia="es-ES_tradnl"/>
              </w:rPr>
              <w:t xml:space="preserve">                   </w:t>
            </w:r>
          </w:p>
        </w:tc>
        <w:tc>
          <w:tcPr>
            <w:tcW w:w="6100" w:type="dxa"/>
          </w:tcPr>
          <w:p w14:paraId="12839F32" w14:textId="77777777" w:rsidR="00FF349D" w:rsidRPr="00FF349D" w:rsidRDefault="00FF349D" w:rsidP="00FF349D">
            <w:pPr>
              <w:spacing w:line="276" w:lineRule="auto"/>
              <w:jc w:val="both"/>
              <w:rPr>
                <w:rFonts w:ascii="Verdana" w:eastAsia="Calibri" w:hAnsi="Verdana" w:cs="Arial"/>
                <w:lang w:val="es-ES_tradnl" w:eastAsia="es-ES"/>
              </w:rPr>
            </w:pPr>
            <w:r w:rsidRPr="00FF349D">
              <w:rPr>
                <w:rFonts w:ascii="Verdana" w:eastAsia="Calibri" w:hAnsi="Verdana" w:cs="Arial"/>
                <w:lang w:val="es-ES_tradnl" w:eastAsia="es-ES"/>
              </w:rPr>
              <w:t>LEY 2069 DE 2020 – Finalidad / MIPYMES – Convocatorias limitadas – Ley 2069 de 2020 – Artículo 34 / MIPYMES – Criterios diferenciales / ESAL – Convocatorias limitadas a MiPymes – Imposibilidad – Participación.</w:t>
            </w:r>
          </w:p>
          <w:p w14:paraId="5E7F057F" w14:textId="77777777" w:rsidR="00FF349D" w:rsidRPr="00FF349D" w:rsidRDefault="00FF349D" w:rsidP="00FF349D">
            <w:pPr>
              <w:spacing w:line="276" w:lineRule="auto"/>
              <w:jc w:val="both"/>
              <w:rPr>
                <w:rFonts w:ascii="Verdana" w:eastAsia="Calibri" w:hAnsi="Verdana" w:cs="Arial"/>
                <w:lang w:val="es-ES_tradnl" w:eastAsia="es-ES"/>
              </w:rPr>
            </w:pPr>
          </w:p>
        </w:tc>
      </w:tr>
      <w:tr w:rsidR="00FF349D" w:rsidRPr="00FF349D" w14:paraId="21E5AEC9" w14:textId="77777777" w:rsidTr="00E36505">
        <w:tc>
          <w:tcPr>
            <w:tcW w:w="2689" w:type="dxa"/>
          </w:tcPr>
          <w:p w14:paraId="685EC709" w14:textId="77777777" w:rsidR="00FF349D" w:rsidRPr="00FF349D" w:rsidRDefault="00FF349D" w:rsidP="00FF349D">
            <w:pPr>
              <w:jc w:val="both"/>
              <w:rPr>
                <w:rFonts w:ascii="Verdana" w:eastAsia="Calibri" w:hAnsi="Verdana" w:cs="Arial"/>
                <w:b/>
                <w:color w:val="7030A0"/>
                <w:lang w:val="es-ES_tradnl" w:eastAsia="es-ES_tradnl"/>
              </w:rPr>
            </w:pPr>
            <w:r w:rsidRPr="00FF349D">
              <w:rPr>
                <w:rFonts w:ascii="Verdana" w:eastAsia="Calibri" w:hAnsi="Verdana" w:cs="Arial"/>
                <w:b/>
                <w:color w:val="000000" w:themeColor="text1"/>
                <w:lang w:val="es-ES_tradnl" w:eastAsia="es-ES_tradnl"/>
              </w:rPr>
              <w:t>Radicación:</w:t>
            </w:r>
            <w:r w:rsidRPr="00FF349D">
              <w:rPr>
                <w:rFonts w:ascii="Verdana" w:eastAsia="Calibri" w:hAnsi="Verdana" w:cs="Arial"/>
                <w:color w:val="000000" w:themeColor="text1"/>
                <w:lang w:val="es-ES_tradnl" w:eastAsia="es-ES_tradnl"/>
              </w:rPr>
              <w:t xml:space="preserve">               </w:t>
            </w:r>
          </w:p>
        </w:tc>
        <w:tc>
          <w:tcPr>
            <w:tcW w:w="6100" w:type="dxa"/>
          </w:tcPr>
          <w:p w14:paraId="1706A06E" w14:textId="77777777" w:rsidR="00FF349D" w:rsidRPr="00FF349D" w:rsidRDefault="00FF349D" w:rsidP="00FF349D">
            <w:pPr>
              <w:jc w:val="both"/>
              <w:rPr>
                <w:rFonts w:ascii="Verdana" w:eastAsia="Calibri" w:hAnsi="Verdana" w:cs="Arial"/>
                <w:lang w:val="es-ES_tradnl" w:eastAsia="es-ES_tradnl"/>
              </w:rPr>
            </w:pPr>
            <w:r w:rsidRPr="00FF349D">
              <w:rPr>
                <w:rFonts w:ascii="Verdana" w:eastAsia="Calibri" w:hAnsi="Verdana" w:cs="Arial"/>
                <w:lang w:val="es-ES_tradnl" w:eastAsia="es-ES_tradnl"/>
              </w:rPr>
              <w:t>Respuesta a consulta con radicado No. P20240727007726.</w:t>
            </w:r>
          </w:p>
          <w:p w14:paraId="74454E9C" w14:textId="77777777" w:rsidR="00FF349D" w:rsidRPr="00FF349D" w:rsidRDefault="00FF349D" w:rsidP="00FF349D">
            <w:pPr>
              <w:jc w:val="both"/>
              <w:rPr>
                <w:rFonts w:ascii="Verdana" w:eastAsia="Calibri" w:hAnsi="Verdana" w:cs="Arial"/>
                <w:lang w:val="es-ES_tradnl" w:eastAsia="es-ES_tradnl"/>
              </w:rPr>
            </w:pPr>
          </w:p>
        </w:tc>
      </w:tr>
    </w:tbl>
    <w:p w14:paraId="036F0F18" w14:textId="77777777" w:rsidR="00FF349D" w:rsidRPr="00FF349D" w:rsidRDefault="00FF349D" w:rsidP="00FF349D">
      <w:pPr>
        <w:spacing w:after="0" w:line="240" w:lineRule="auto"/>
        <w:jc w:val="both"/>
        <w:rPr>
          <w:rFonts w:ascii="Verdana" w:eastAsia="Calibri" w:hAnsi="Verdana" w:cs="Arial"/>
          <w:color w:val="000000"/>
          <w:lang w:val="es-ES_tradnl" w:eastAsia="es-ES_tradnl"/>
        </w:rPr>
      </w:pPr>
    </w:p>
    <w:p w14:paraId="56A2B66D" w14:textId="117577AE" w:rsidR="00FF349D" w:rsidRPr="00FF349D" w:rsidRDefault="00FF349D" w:rsidP="00FF349D">
      <w:pPr>
        <w:spacing w:after="0" w:line="276" w:lineRule="auto"/>
        <w:jc w:val="both"/>
        <w:rPr>
          <w:rFonts w:ascii="Verdana" w:eastAsia="Calibri" w:hAnsi="Verdana" w:cs="Arial"/>
          <w:color w:val="000000" w:themeColor="text1"/>
          <w:lang w:val="es-ES_tradnl" w:eastAsia="es-ES"/>
        </w:rPr>
      </w:pPr>
      <w:r w:rsidRPr="00FF349D">
        <w:rPr>
          <w:rFonts w:ascii="Verdana" w:eastAsia="Calibri" w:hAnsi="Verdana" w:cs="Arial"/>
          <w:color w:val="000000" w:themeColor="text1"/>
          <w:lang w:val="es-ES_tradnl" w:eastAsia="es-ES"/>
        </w:rPr>
        <w:t>Estimad</w:t>
      </w:r>
      <w:r w:rsidR="002566D2">
        <w:rPr>
          <w:rFonts w:ascii="Verdana" w:eastAsia="Calibri" w:hAnsi="Verdana" w:cs="Arial"/>
          <w:color w:val="000000" w:themeColor="text1"/>
          <w:lang w:val="es-ES_tradnl" w:eastAsia="es-ES"/>
        </w:rPr>
        <w:t>a</w:t>
      </w:r>
      <w:r w:rsidRPr="00FF349D">
        <w:rPr>
          <w:rFonts w:ascii="Verdana" w:eastAsia="Calibri" w:hAnsi="Verdana" w:cs="Arial"/>
          <w:color w:val="000000" w:themeColor="text1"/>
          <w:lang w:val="es-ES_tradnl" w:eastAsia="es-ES"/>
        </w:rPr>
        <w:t xml:space="preserve"> </w:t>
      </w:r>
      <w:r w:rsidRPr="00FF349D">
        <w:rPr>
          <w:rFonts w:ascii="Verdana" w:eastAsia="Calibri" w:hAnsi="Verdana" w:cs="Arial"/>
          <w:lang w:val="es-ES_tradnl" w:eastAsia="es-ES"/>
        </w:rPr>
        <w:t xml:space="preserve">señora Castro: </w:t>
      </w:r>
    </w:p>
    <w:p w14:paraId="3B3D61F8" w14:textId="77777777" w:rsidR="00FF349D" w:rsidRPr="00FF349D" w:rsidRDefault="00FF349D" w:rsidP="00FF349D">
      <w:pPr>
        <w:tabs>
          <w:tab w:val="left" w:pos="3768"/>
        </w:tabs>
        <w:spacing w:after="0" w:line="276" w:lineRule="auto"/>
        <w:jc w:val="both"/>
        <w:rPr>
          <w:rFonts w:ascii="Verdana" w:eastAsia="Calibri" w:hAnsi="Verdana" w:cs="Arial"/>
          <w:color w:val="000000" w:themeColor="text1"/>
          <w:lang w:val="es-ES_tradnl" w:eastAsia="es-ES"/>
        </w:rPr>
      </w:pPr>
      <w:r w:rsidRPr="00FF349D">
        <w:rPr>
          <w:rFonts w:ascii="Verdana" w:eastAsia="Calibri" w:hAnsi="Verdana" w:cs="Arial"/>
          <w:color w:val="000000" w:themeColor="text1"/>
          <w:lang w:val="es-ES_tradnl" w:eastAsia="es-ES"/>
        </w:rPr>
        <w:tab/>
      </w:r>
    </w:p>
    <w:p w14:paraId="3CE42FED" w14:textId="77777777" w:rsidR="00FF349D" w:rsidRPr="00FF349D" w:rsidRDefault="00FF349D" w:rsidP="00FF349D">
      <w:pPr>
        <w:spacing w:after="0" w:line="276" w:lineRule="auto"/>
        <w:jc w:val="both"/>
        <w:rPr>
          <w:rFonts w:ascii="Verdana" w:eastAsia="Calibri" w:hAnsi="Verdana" w:cs="Arial"/>
          <w:lang w:val="es-ES_tradnl" w:eastAsia="es-ES"/>
        </w:rPr>
      </w:pPr>
      <w:r w:rsidRPr="00FF349D">
        <w:rPr>
          <w:rFonts w:ascii="Verdana" w:eastAsia="Calibri" w:hAnsi="Verdana" w:cs="Arial"/>
          <w:lang w:val="es-ES_tradnl" w:eastAsia="es-ES"/>
        </w:rPr>
        <w:t>En ejercicio de la competencia otorgada por los artículos 3, numeral 5º, y 11, numeral 8º, del Decreto Ley 4170 de 2011,</w:t>
      </w:r>
      <w:r w:rsidRPr="00FF349D">
        <w:rPr>
          <w:rFonts w:ascii="Verdana" w:eastAsia="Arial MT" w:hAnsi="Verdana" w:cs="Arial MT"/>
          <w:lang w:val="es-ES_tradnl" w:eastAsia="es-ES"/>
        </w:rPr>
        <w:t xml:space="preserve"> </w:t>
      </w:r>
      <w:r w:rsidRPr="00FF349D">
        <w:rPr>
          <w:rFonts w:ascii="Verdana" w:hAnsi="Verdana" w:cs="Arial"/>
          <w:lang w:val="es-ES_tradnl"/>
        </w:rPr>
        <w:t xml:space="preserve">así como lo establecido en el artículo 4 de la Resolución 1707 de 2018 expedida por esta Entidad, </w:t>
      </w:r>
      <w:r w:rsidRPr="00FF349D">
        <w:rPr>
          <w:rFonts w:ascii="Verdana" w:eastAsia="Calibri" w:hAnsi="Verdana" w:cs="Arial"/>
          <w:lang w:val="es-ES_tradnl" w:eastAsia="es-ES"/>
        </w:rPr>
        <w:t xml:space="preserve">la Agencia Nacional de Contratación Pública – Colombia Compra Eficiente– responde su solicitud de consulta de fecha 27 de julio de 2024, en la cual manifiesta lo siguiente: </w:t>
      </w:r>
    </w:p>
    <w:p w14:paraId="190F5FDB" w14:textId="77777777" w:rsidR="00FF349D" w:rsidRPr="00FF349D" w:rsidRDefault="00FF349D" w:rsidP="00FF349D">
      <w:pPr>
        <w:tabs>
          <w:tab w:val="left" w:pos="142"/>
          <w:tab w:val="left" w:pos="284"/>
        </w:tabs>
        <w:spacing w:line="276" w:lineRule="auto"/>
        <w:contextualSpacing/>
        <w:jc w:val="both"/>
        <w:rPr>
          <w:rFonts w:ascii="Verdana" w:eastAsia="Century Gothic" w:hAnsi="Verdana" w:cs="Century Gothic"/>
          <w:b/>
          <w:bCs/>
          <w:lang w:val="es-ES_tradnl"/>
        </w:rPr>
      </w:pPr>
    </w:p>
    <w:p w14:paraId="7DDD1658" w14:textId="5DD8A044" w:rsidR="00FF349D" w:rsidRPr="00FF349D" w:rsidRDefault="00FF349D" w:rsidP="00FF349D">
      <w:pPr>
        <w:spacing w:after="0" w:line="240" w:lineRule="auto"/>
        <w:ind w:left="709" w:right="709"/>
        <w:jc w:val="both"/>
        <w:rPr>
          <w:rFonts w:ascii="Verdana" w:eastAsia="Century Gothic" w:hAnsi="Verdana" w:cs="Century Gothic"/>
          <w:color w:val="7030A0"/>
          <w:sz w:val="20"/>
          <w:szCs w:val="20"/>
          <w:lang w:val="es-ES_tradnl"/>
        </w:rPr>
      </w:pPr>
      <w:bookmarkStart w:id="1" w:name="_Hlk95313578"/>
      <w:r w:rsidRPr="00FF349D">
        <w:rPr>
          <w:rFonts w:ascii="Verdana" w:eastAsia="Century Gothic" w:hAnsi="Verdana" w:cs="Century Gothic"/>
          <w:color w:val="7030A0"/>
          <w:sz w:val="20"/>
          <w:szCs w:val="20"/>
          <w:lang w:val="es-ES_tradnl"/>
        </w:rPr>
        <w:t>“</w:t>
      </w:r>
      <w:bookmarkEnd w:id="1"/>
      <w:r w:rsidRPr="00FF349D">
        <w:rPr>
          <w:rFonts w:ascii="Verdana" w:hAnsi="Verdana"/>
          <w:lang w:val="es-ES_tradnl"/>
        </w:rPr>
        <w:t>¿Las Organizaciones Solidarias de Desarrollo (Asociaciones y Corporaciones, Fundaciones y Voluntariado), cuya inspección, vigilancia y control la ejercen las gobernaciones, ¿pueden participar en convocatorias limitadas a MiPymes y obtener los beneficios de MiPymes respecto a factores diferenciales y puntajes?”</w:t>
      </w:r>
    </w:p>
    <w:p w14:paraId="25AF1A3E" w14:textId="77777777" w:rsidR="00FF349D" w:rsidRPr="00FF349D" w:rsidRDefault="00FF349D" w:rsidP="00FF349D">
      <w:pPr>
        <w:tabs>
          <w:tab w:val="left" w:pos="142"/>
          <w:tab w:val="left" w:pos="284"/>
        </w:tabs>
        <w:spacing w:line="276" w:lineRule="auto"/>
        <w:contextualSpacing/>
        <w:jc w:val="both"/>
        <w:rPr>
          <w:rFonts w:ascii="Verdana" w:eastAsia="Century Gothic" w:hAnsi="Verdana" w:cs="Century Gothic"/>
          <w:b/>
          <w:bCs/>
          <w:lang w:val="es-ES_tradnl"/>
        </w:rPr>
      </w:pPr>
    </w:p>
    <w:p w14:paraId="498E8222" w14:textId="77777777" w:rsidR="00FF349D" w:rsidRPr="00FF349D" w:rsidRDefault="00FF349D" w:rsidP="532598F3">
      <w:pPr>
        <w:spacing w:after="120" w:line="276" w:lineRule="auto"/>
        <w:ind w:firstLine="709"/>
        <w:jc w:val="both"/>
        <w:rPr>
          <w:rFonts w:ascii="Verdana" w:eastAsia="Calibri" w:hAnsi="Verdana" w:cs="Arial"/>
          <w:color w:val="000000"/>
          <w:lang w:val="es-ES" w:eastAsia="es-ES"/>
        </w:rPr>
      </w:pPr>
      <w:r w:rsidRPr="532598F3">
        <w:rPr>
          <w:rFonts w:ascii="Verdana" w:eastAsia="Calibri" w:hAnsi="Verdana" w:cs="Arial"/>
          <w:color w:val="000000" w:themeColor="text1"/>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w:t>
      </w:r>
      <w:r w:rsidRPr="532598F3">
        <w:rPr>
          <w:rFonts w:ascii="Verdana" w:eastAsia="Calibri" w:hAnsi="Verdana" w:cs="Arial"/>
          <w:color w:val="000000" w:themeColor="text1"/>
          <w:lang w:val="es-ES" w:eastAsia="es-ES"/>
        </w:rPr>
        <w:lastRenderedPageBreak/>
        <w:t xml:space="preserve">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tab/>
      </w:r>
    </w:p>
    <w:p w14:paraId="7B23225F" w14:textId="0DBC6D88" w:rsidR="00FF349D" w:rsidRPr="00FF349D" w:rsidRDefault="00FF349D" w:rsidP="00FF349D">
      <w:pPr>
        <w:spacing w:after="0" w:line="276" w:lineRule="auto"/>
        <w:ind w:firstLine="709"/>
        <w:jc w:val="both"/>
        <w:rPr>
          <w:rFonts w:ascii="Verdana" w:eastAsia="Calibri" w:hAnsi="Verdana" w:cs="Arial"/>
          <w:color w:val="000000"/>
          <w:lang w:val="es-ES_tradnl" w:eastAsia="es-ES"/>
        </w:rPr>
      </w:pPr>
      <w:r w:rsidRPr="00FF349D">
        <w:rPr>
          <w:rFonts w:ascii="Verdana" w:eastAsia="Calibri" w:hAnsi="Verdana" w:cs="Arial"/>
          <w:color w:val="000000"/>
          <w:lang w:val="es-ES_tradnl"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w:t>
      </w:r>
      <w:r w:rsidR="000761A9" w:rsidRPr="00FF349D">
        <w:rPr>
          <w:rFonts w:ascii="Verdana" w:eastAsia="Calibri" w:hAnsi="Verdana" w:cs="Arial"/>
          <w:color w:val="000000"/>
          <w:lang w:val="es-ES_tradnl" w:eastAsia="es-ES"/>
        </w:rPr>
        <w:t xml:space="preserve">el </w:t>
      </w:r>
      <w:r w:rsidR="000761A9" w:rsidRPr="000761A9">
        <w:rPr>
          <w:rFonts w:ascii="Verdana" w:eastAsia="Calibri" w:hAnsi="Verdana" w:cs="Arial"/>
          <w:color w:val="000000" w:themeColor="text1"/>
          <w:lang w:val="es-ES_tradnl" w:eastAsia="es-ES"/>
        </w:rPr>
        <w:t>problema</w:t>
      </w:r>
      <w:r w:rsidRPr="00FF349D">
        <w:rPr>
          <w:rFonts w:ascii="Verdana" w:eastAsia="Calibri" w:hAnsi="Verdana" w:cs="Arial"/>
          <w:color w:val="7030A0"/>
          <w:lang w:val="es-ES_tradnl" w:eastAsia="es-ES"/>
        </w:rPr>
        <w:t xml:space="preserve"> </w:t>
      </w:r>
      <w:r w:rsidRPr="00FF349D">
        <w:rPr>
          <w:rFonts w:ascii="Verdana" w:eastAsia="Calibri" w:hAnsi="Verdana" w:cs="Arial"/>
          <w:color w:val="000000"/>
          <w:lang w:val="es-ES_tradnl" w:eastAsia="es-ES"/>
        </w:rPr>
        <w:t>jurídico</w:t>
      </w:r>
      <w:r w:rsidRPr="00FF349D">
        <w:rPr>
          <w:rFonts w:ascii="Verdana" w:eastAsia="Calibri" w:hAnsi="Verdana" w:cs="Arial"/>
          <w:color w:val="7030A0"/>
          <w:lang w:val="es-ES_tradnl" w:eastAsia="es-ES"/>
        </w:rPr>
        <w:t xml:space="preserve"> </w:t>
      </w:r>
      <w:r w:rsidRPr="00FF349D">
        <w:rPr>
          <w:rFonts w:ascii="Verdana" w:eastAsia="Calibri" w:hAnsi="Verdana" w:cs="Arial"/>
          <w:color w:val="000000"/>
          <w:lang w:val="es-ES_tradnl" w:eastAsia="es-ES"/>
        </w:rPr>
        <w:t xml:space="preserve">de su consulta. </w:t>
      </w:r>
    </w:p>
    <w:p w14:paraId="0DEA966B" w14:textId="77777777" w:rsidR="00FF349D" w:rsidRPr="00FF349D" w:rsidRDefault="00FF349D" w:rsidP="00FF349D">
      <w:pPr>
        <w:spacing w:after="0" w:line="276" w:lineRule="auto"/>
        <w:ind w:firstLine="709"/>
        <w:jc w:val="both"/>
        <w:rPr>
          <w:rFonts w:ascii="Verdana" w:eastAsia="Calibri" w:hAnsi="Verdana" w:cs="Arial"/>
          <w:color w:val="000000"/>
          <w:lang w:val="es-ES_tradnl" w:eastAsia="es-ES"/>
        </w:rPr>
      </w:pPr>
    </w:p>
    <w:p w14:paraId="7B993CBE" w14:textId="77777777" w:rsidR="00FF349D" w:rsidRPr="00FF349D" w:rsidRDefault="00FF349D" w:rsidP="00FF349D">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_tradnl"/>
        </w:rPr>
      </w:pPr>
      <w:r w:rsidRPr="00FF349D">
        <w:rPr>
          <w:rFonts w:ascii="Verdana" w:eastAsia="Century Gothic" w:hAnsi="Verdana" w:cs="Century Gothic"/>
          <w:b/>
          <w:bCs/>
          <w:lang w:val="es-ES_tradnl"/>
        </w:rPr>
        <w:t>Problema planteado:</w:t>
      </w:r>
    </w:p>
    <w:p w14:paraId="40BC35DE" w14:textId="77777777" w:rsidR="00FF349D" w:rsidRPr="00FF349D" w:rsidRDefault="00FF349D" w:rsidP="00FF349D">
      <w:pPr>
        <w:tabs>
          <w:tab w:val="left" w:pos="426"/>
        </w:tabs>
        <w:spacing w:after="0" w:line="276" w:lineRule="auto"/>
        <w:jc w:val="both"/>
        <w:rPr>
          <w:rFonts w:ascii="Verdana" w:eastAsia="Century Gothic" w:hAnsi="Verdana" w:cs="Century Gothic"/>
          <w:lang w:val="es-ES_tradnl"/>
        </w:rPr>
      </w:pPr>
    </w:p>
    <w:p w14:paraId="0F6B4E68" w14:textId="77777777" w:rsidR="00FF349D" w:rsidRPr="00FF349D" w:rsidRDefault="00FF349D" w:rsidP="532598F3">
      <w:pPr>
        <w:spacing w:after="0" w:line="276" w:lineRule="auto"/>
        <w:jc w:val="both"/>
        <w:rPr>
          <w:rFonts w:ascii="Verdana" w:eastAsia="Century Gothic" w:hAnsi="Verdana" w:cs="Century Gothic"/>
          <w:lang w:val="es-ES"/>
        </w:rPr>
      </w:pPr>
      <w:r w:rsidRPr="532598F3">
        <w:rPr>
          <w:rFonts w:ascii="Verdana" w:eastAsia="Century Gothic" w:hAnsi="Verdana" w:cs="Century Gothic"/>
          <w:lang w:val="es-ES"/>
        </w:rPr>
        <w:t xml:space="preserve">De acuerdo con el contenido de su solicitud, esta Agencia resolverá el siguiente problema jurídico: ¿Pueden las entidades sin ánimo de lucro (ESAL) participar en procesos de contratación limitados para </w:t>
      </w:r>
      <w:proofErr w:type="spellStart"/>
      <w:proofErr w:type="gramStart"/>
      <w:r w:rsidRPr="532598F3">
        <w:rPr>
          <w:rFonts w:ascii="Verdana" w:eastAsia="Century Gothic" w:hAnsi="Verdana" w:cs="Century Gothic"/>
          <w:lang w:val="es-ES"/>
        </w:rPr>
        <w:t>Mipymes</w:t>
      </w:r>
      <w:proofErr w:type="spellEnd"/>
      <w:r w:rsidRPr="532598F3">
        <w:rPr>
          <w:rFonts w:ascii="Verdana" w:eastAsia="Century Gothic" w:hAnsi="Verdana" w:cs="Century Gothic"/>
          <w:lang w:val="es-ES"/>
        </w:rPr>
        <w:t xml:space="preserve">  y</w:t>
      </w:r>
      <w:proofErr w:type="gramEnd"/>
      <w:r w:rsidRPr="532598F3">
        <w:rPr>
          <w:rFonts w:ascii="Verdana" w:eastAsia="Century Gothic" w:hAnsi="Verdana" w:cs="Century Gothic"/>
          <w:lang w:val="es-ES"/>
        </w:rPr>
        <w:t xml:space="preserve"> </w:t>
      </w:r>
      <w:r w:rsidRPr="532598F3">
        <w:rPr>
          <w:rFonts w:ascii="Verdana" w:hAnsi="Verdana"/>
          <w:lang w:val="es-ES"/>
        </w:rPr>
        <w:t>obtener los beneficios de estas respecto a factores diferenciales y puntajes</w:t>
      </w:r>
      <w:r w:rsidRPr="532598F3">
        <w:rPr>
          <w:rFonts w:ascii="Verdana" w:eastAsia="Century Gothic" w:hAnsi="Verdana" w:cs="Century Gothic"/>
          <w:lang w:val="es-ES"/>
        </w:rPr>
        <w:t xml:space="preserve">? </w:t>
      </w:r>
    </w:p>
    <w:p w14:paraId="22ABAD92" w14:textId="77777777" w:rsidR="00FF349D" w:rsidRPr="00FF349D" w:rsidRDefault="00FF349D" w:rsidP="00FF349D">
      <w:pPr>
        <w:spacing w:after="0" w:line="276" w:lineRule="auto"/>
        <w:jc w:val="both"/>
        <w:rPr>
          <w:rFonts w:ascii="Verdana" w:eastAsia="Calibri" w:hAnsi="Verdana" w:cs="Arial"/>
          <w:color w:val="7030A0"/>
          <w:lang w:val="es-ES_tradnl"/>
        </w:rPr>
      </w:pPr>
    </w:p>
    <w:p w14:paraId="2F2E7FF3" w14:textId="77777777" w:rsidR="00FF349D" w:rsidRPr="00FF349D" w:rsidRDefault="00FF349D" w:rsidP="00FF349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_tradnl"/>
        </w:rPr>
      </w:pPr>
      <w:r w:rsidRPr="00FF349D">
        <w:rPr>
          <w:rFonts w:ascii="Verdana" w:eastAsia="Century Gothic" w:hAnsi="Verdana" w:cs="Century Gothic"/>
          <w:b/>
          <w:bCs/>
          <w:lang w:val="es-ES_tradnl"/>
        </w:rPr>
        <w:t>Respuesta:</w:t>
      </w:r>
    </w:p>
    <w:p w14:paraId="25EF52D0" w14:textId="77777777" w:rsidR="00FF349D" w:rsidRPr="00FF349D" w:rsidRDefault="00FF349D" w:rsidP="00FF349D">
      <w:pPr>
        <w:tabs>
          <w:tab w:val="left" w:pos="142"/>
          <w:tab w:val="left" w:pos="284"/>
        </w:tabs>
        <w:spacing w:after="0" w:line="276" w:lineRule="auto"/>
        <w:jc w:val="both"/>
        <w:rPr>
          <w:rFonts w:ascii="Verdana" w:eastAsia="Century Gothic" w:hAnsi="Verdana" w:cs="Century Gothic"/>
          <w:b/>
          <w:bCs/>
          <w:lang w:val="es-ES_tradnl"/>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FF349D" w:rsidRPr="00FF349D" w14:paraId="29C09332" w14:textId="77777777" w:rsidTr="00E36505">
        <w:tc>
          <w:tcPr>
            <w:tcW w:w="8828" w:type="dxa"/>
            <w:shd w:val="clear" w:color="auto" w:fill="auto"/>
          </w:tcPr>
          <w:p w14:paraId="6948BE9E" w14:textId="77777777" w:rsidR="00FF349D" w:rsidRPr="00FF349D" w:rsidRDefault="00FF349D" w:rsidP="00FF349D">
            <w:pPr>
              <w:spacing w:before="120" w:line="276" w:lineRule="auto"/>
              <w:ind w:right="49"/>
              <w:jc w:val="both"/>
              <w:rPr>
                <w:rFonts w:ascii="Verdana" w:eastAsia="Calibri" w:hAnsi="Verdana" w:cs="Arial"/>
                <w:lang w:val="es-ES_tradnl"/>
              </w:rPr>
            </w:pPr>
            <w:r w:rsidRPr="00FF349D">
              <w:rPr>
                <w:rFonts w:ascii="Verdana" w:hAnsi="Verdana" w:cs="Arial"/>
                <w:lang w:val="es-ES_tradnl"/>
              </w:rPr>
              <w:t>Las entidades sin ánimo de lucro desde ahora ESAL</w:t>
            </w:r>
            <w:r w:rsidRPr="00FF349D">
              <w:rPr>
                <w:rFonts w:ascii="Verdana" w:eastAsia="Calibri" w:hAnsi="Verdana" w:cs="Arial"/>
                <w:lang w:val="es-ES_tradnl"/>
              </w:rPr>
              <w:t xml:space="preserve"> no pueden participar en procesos en los que se hubiese realizado la limitación para </w:t>
            </w:r>
            <w:proofErr w:type="spellStart"/>
            <w:r w:rsidRPr="00FF349D">
              <w:rPr>
                <w:rFonts w:ascii="Verdana" w:eastAsia="Calibri" w:hAnsi="Verdana" w:cs="Arial"/>
                <w:lang w:val="es-ES_tradnl"/>
              </w:rPr>
              <w:t>Mypimes</w:t>
            </w:r>
            <w:proofErr w:type="spellEnd"/>
            <w:r w:rsidRPr="00FF349D">
              <w:rPr>
                <w:rFonts w:ascii="Verdana" w:eastAsia="Calibri" w:hAnsi="Verdana" w:cs="Arial"/>
                <w:lang w:val="es-ES_tradnl"/>
              </w:rPr>
              <w:t xml:space="preserve">, considerando que en atención del artículo 43 de la Ley 1450 de 2011, que modificó el artículo 2 de la Ley 590 de 2000, puede decirse que solo podrán ser </w:t>
            </w:r>
            <w:proofErr w:type="spellStart"/>
            <w:r w:rsidRPr="00FF349D">
              <w:rPr>
                <w:rFonts w:ascii="Verdana" w:eastAsia="Calibri" w:hAnsi="Verdana" w:cs="Arial"/>
                <w:lang w:val="es-ES_tradnl"/>
              </w:rPr>
              <w:t>Mipymes</w:t>
            </w:r>
            <w:proofErr w:type="spellEnd"/>
            <w:r w:rsidRPr="00FF349D">
              <w:rPr>
                <w:rFonts w:ascii="Verdana" w:eastAsia="Calibri" w:hAnsi="Verdana" w:cs="Arial"/>
                <w:lang w:val="es-ES_tradnl"/>
              </w:rPr>
              <w:t xml:space="preserve"> las empresas, entendidas estas como las unidades de explotación económica que buscan el reparto de utilidades entre los miembros de la empresa. </w:t>
            </w:r>
          </w:p>
          <w:p w14:paraId="045AC83E" w14:textId="4B46565A" w:rsidR="00FF349D" w:rsidRPr="002566D2" w:rsidRDefault="00FF349D" w:rsidP="002566D2">
            <w:pPr>
              <w:spacing w:before="120" w:line="276" w:lineRule="auto"/>
              <w:ind w:right="49" w:firstLine="708"/>
              <w:jc w:val="both"/>
              <w:rPr>
                <w:rFonts w:ascii="Verdana" w:eastAsia="Calibri" w:hAnsi="Verdana" w:cs="Times New Roman"/>
                <w:lang w:val="es-ES_tradnl"/>
              </w:rPr>
            </w:pPr>
            <w:r w:rsidRPr="00FF349D">
              <w:rPr>
                <w:rFonts w:ascii="Verdana" w:eastAsia="Calibri" w:hAnsi="Verdana" w:cs="Arial"/>
                <w:lang w:val="es-ES_tradnl"/>
              </w:rPr>
              <w:t xml:space="preserve">De esta forma, en razón a que las ESAL no persiguen el reparto de utilidades entre sus miembros, en el entendido en que no tienen ánimo de lucro, y que su objeto está destinado a realizar actividades de interés general sin esperar a cambio un reparto de ganancia en proporción a sus utilidades, lo cierto es que estas no podrán participar en los procesos de contratación limitados a </w:t>
            </w:r>
            <w:proofErr w:type="spellStart"/>
            <w:r w:rsidRPr="00FF349D">
              <w:rPr>
                <w:rFonts w:ascii="Verdana" w:eastAsia="Calibri" w:hAnsi="Verdana" w:cs="Arial"/>
                <w:lang w:val="es-ES_tradnl"/>
              </w:rPr>
              <w:t>Mipymes</w:t>
            </w:r>
            <w:proofErr w:type="spellEnd"/>
            <w:r w:rsidRPr="00FF349D">
              <w:rPr>
                <w:rFonts w:ascii="Verdana" w:eastAsia="Calibri" w:hAnsi="Verdana" w:cs="Arial"/>
                <w:lang w:val="es-ES_tradnl"/>
              </w:rPr>
              <w:t xml:space="preserve">. Lo anterior teniendo en cuenta que no responden al concepto de empresa que involucra dicha categoría, por lo que no resulta jurídicamente válido aplicar a las ESAL las normas dirigidas a las </w:t>
            </w:r>
            <w:proofErr w:type="spellStart"/>
            <w:r w:rsidRPr="00FF349D">
              <w:rPr>
                <w:rFonts w:ascii="Verdana" w:eastAsia="Calibri" w:hAnsi="Verdana" w:cs="Arial"/>
                <w:lang w:val="es-ES_tradnl"/>
              </w:rPr>
              <w:t>Mipymes</w:t>
            </w:r>
            <w:proofErr w:type="spellEnd"/>
            <w:r w:rsidRPr="00FF349D">
              <w:rPr>
                <w:rFonts w:ascii="Verdana" w:eastAsia="Calibri" w:hAnsi="Verdana" w:cs="Arial"/>
                <w:lang w:val="es-ES_tradnl"/>
              </w:rPr>
              <w:t>.</w:t>
            </w:r>
          </w:p>
        </w:tc>
      </w:tr>
    </w:tbl>
    <w:p w14:paraId="5BDBA022" w14:textId="77777777" w:rsidR="00FF349D" w:rsidRPr="00FF349D" w:rsidRDefault="00FF349D" w:rsidP="00FF349D">
      <w:pPr>
        <w:tabs>
          <w:tab w:val="left" w:pos="142"/>
          <w:tab w:val="left" w:pos="284"/>
        </w:tabs>
        <w:spacing w:after="0" w:line="276" w:lineRule="auto"/>
        <w:jc w:val="both"/>
        <w:rPr>
          <w:rFonts w:ascii="Verdana" w:eastAsia="Century Gothic" w:hAnsi="Verdana" w:cs="Century Gothic"/>
          <w:b/>
          <w:bCs/>
          <w:lang w:val="es-ES_tradnl"/>
        </w:rPr>
      </w:pPr>
    </w:p>
    <w:p w14:paraId="139B1052" w14:textId="77777777" w:rsidR="00FF349D" w:rsidRPr="00FF349D" w:rsidRDefault="00FF349D" w:rsidP="00FF349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_tradnl"/>
        </w:rPr>
      </w:pPr>
      <w:r w:rsidRPr="00FF349D">
        <w:rPr>
          <w:rFonts w:ascii="Verdana" w:eastAsia="Century Gothic" w:hAnsi="Verdana" w:cs="Century Gothic"/>
          <w:b/>
          <w:bCs/>
          <w:lang w:val="es-ES_tradnl"/>
        </w:rPr>
        <w:lastRenderedPageBreak/>
        <w:t>Razones de la respuesta:</w:t>
      </w:r>
    </w:p>
    <w:p w14:paraId="3ECDD6B5" w14:textId="77777777" w:rsidR="00FF349D" w:rsidRPr="00FF349D" w:rsidRDefault="00FF349D" w:rsidP="00FF349D">
      <w:pPr>
        <w:spacing w:after="0" w:line="276" w:lineRule="auto"/>
        <w:jc w:val="both"/>
        <w:rPr>
          <w:rFonts w:ascii="Verdana" w:eastAsia="Calibri" w:hAnsi="Verdana" w:cs="Arial"/>
          <w:color w:val="7030A0"/>
          <w:lang w:val="es-ES_tradnl"/>
        </w:rPr>
      </w:pPr>
    </w:p>
    <w:p w14:paraId="79B2AB14" w14:textId="77777777" w:rsidR="00FF349D" w:rsidRPr="00FF349D" w:rsidRDefault="00FF349D" w:rsidP="00FF349D">
      <w:pPr>
        <w:spacing w:after="0" w:line="276" w:lineRule="auto"/>
        <w:jc w:val="both"/>
        <w:rPr>
          <w:rFonts w:ascii="Verdana" w:eastAsia="Calibri" w:hAnsi="Verdana" w:cs="Arial"/>
          <w:lang w:val="es-ES_tradnl"/>
        </w:rPr>
      </w:pPr>
      <w:r w:rsidRPr="00FF349D">
        <w:rPr>
          <w:rFonts w:ascii="Verdana" w:eastAsia="Calibri" w:hAnsi="Verdana" w:cs="Arial"/>
          <w:lang w:val="es-ES_tradnl"/>
        </w:rPr>
        <w:t xml:space="preserve">Lo anterior se sustenta en las siguientes consideraciones: </w:t>
      </w:r>
    </w:p>
    <w:p w14:paraId="565A097D" w14:textId="77777777" w:rsidR="00FF349D" w:rsidRPr="00FF349D" w:rsidRDefault="00FF349D" w:rsidP="00FF349D">
      <w:pPr>
        <w:spacing w:after="0" w:line="276" w:lineRule="auto"/>
        <w:jc w:val="both"/>
        <w:rPr>
          <w:rFonts w:ascii="Verdana" w:eastAsia="Calibri" w:hAnsi="Verdana" w:cs="Arial"/>
          <w:lang w:val="es-ES_tradnl"/>
        </w:rPr>
      </w:pPr>
    </w:p>
    <w:p w14:paraId="572AD78D" w14:textId="77777777" w:rsidR="00FF349D" w:rsidRPr="00FF349D" w:rsidRDefault="00FF349D" w:rsidP="29DDF2A8">
      <w:pPr>
        <w:numPr>
          <w:ilvl w:val="0"/>
          <w:numId w:val="18"/>
        </w:numPr>
        <w:spacing w:after="0" w:line="276" w:lineRule="auto"/>
        <w:contextualSpacing/>
        <w:jc w:val="both"/>
        <w:rPr>
          <w:rFonts w:ascii="Verdana" w:eastAsia="Calibri" w:hAnsi="Verdana" w:cs="Arial"/>
          <w:color w:val="7030A0"/>
          <w:lang w:val="es-ES"/>
        </w:rPr>
      </w:pPr>
      <w:r w:rsidRPr="29DDF2A8">
        <w:rPr>
          <w:rFonts w:ascii="Verdana" w:hAnsi="Verdana"/>
          <w:lang w:val="es-ES"/>
        </w:rPr>
        <w:t xml:space="preserve">Ley 2069 de 2020 “Por medio de la cual se impulsa el emprendimiento en Colombia”. En cuanto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un enfoque regionalizado </w:t>
      </w:r>
      <w:proofErr w:type="gramStart"/>
      <w:r w:rsidRPr="29DDF2A8">
        <w:rPr>
          <w:rFonts w:ascii="Verdana" w:hAnsi="Verdana"/>
          <w:lang w:val="es-ES"/>
        </w:rPr>
        <w:t>de acuerdo a</w:t>
      </w:r>
      <w:proofErr w:type="gramEnd"/>
      <w:r w:rsidRPr="29DDF2A8">
        <w:rPr>
          <w:rFonts w:ascii="Verdana" w:hAnsi="Verdana"/>
          <w:lang w:val="es-ES"/>
        </w:rPr>
        <w:t xml:space="preserve"> las realidades socioeconómicas de cada región”.</w:t>
      </w:r>
    </w:p>
    <w:p w14:paraId="219C1F94" w14:textId="77777777" w:rsidR="00FF349D" w:rsidRPr="00FF349D" w:rsidRDefault="00FF349D" w:rsidP="00FF349D">
      <w:pPr>
        <w:ind w:left="720"/>
        <w:contextualSpacing/>
        <w:jc w:val="both"/>
        <w:rPr>
          <w:rFonts w:ascii="Verdana" w:eastAsia="Calibri" w:hAnsi="Verdana" w:cs="Arial"/>
          <w:bCs/>
          <w:lang w:val="es-ES_tradnl"/>
        </w:rPr>
      </w:pPr>
    </w:p>
    <w:p w14:paraId="7D74450E" w14:textId="77777777" w:rsidR="00FF349D" w:rsidRPr="00FF349D" w:rsidRDefault="00FF349D" w:rsidP="29DDF2A8">
      <w:pPr>
        <w:numPr>
          <w:ilvl w:val="0"/>
          <w:numId w:val="18"/>
        </w:numPr>
        <w:spacing w:after="120" w:line="276" w:lineRule="auto"/>
        <w:contextualSpacing/>
        <w:jc w:val="both"/>
        <w:rPr>
          <w:rFonts w:ascii="Verdana" w:eastAsia="Calibri" w:hAnsi="Verdana" w:cs="Times New Roman"/>
          <w:lang w:val="es-ES"/>
        </w:rPr>
      </w:pPr>
      <w:r w:rsidRPr="29DDF2A8">
        <w:rPr>
          <w:rFonts w:ascii="Verdana" w:eastAsia="Calibri" w:hAnsi="Verdana" w:cs="Times New Roman"/>
          <w:lang w:val="es-ES"/>
        </w:rPr>
        <w:t xml:space="preserve">Solo podrán ser </w:t>
      </w:r>
      <w:proofErr w:type="spellStart"/>
      <w:r w:rsidRPr="29DDF2A8">
        <w:rPr>
          <w:rFonts w:ascii="Verdana" w:eastAsia="Calibri" w:hAnsi="Verdana" w:cs="Times New Roman"/>
          <w:lang w:val="es-ES"/>
        </w:rPr>
        <w:t>Mipymes</w:t>
      </w:r>
      <w:proofErr w:type="spellEnd"/>
      <w:r w:rsidRPr="29DDF2A8">
        <w:rPr>
          <w:rFonts w:ascii="Verdana" w:eastAsia="Calibri" w:hAnsi="Verdana" w:cs="Times New Roman"/>
          <w:lang w:val="es-ES"/>
        </w:rPr>
        <w:t xml:space="preserve"> las empresas, entendidas estas como las unidades de explotación económica que buscan el reparto de utilidades entre los miembros de la empresa, en razón a que las ESAL no persiguen el reparto de utilidades entre sus miembros, y por regla general, no podrían participar en los procesos de contratación limitados a </w:t>
      </w:r>
      <w:proofErr w:type="spellStart"/>
      <w:r w:rsidRPr="29DDF2A8">
        <w:rPr>
          <w:rFonts w:ascii="Verdana" w:eastAsia="Calibri" w:hAnsi="Verdana" w:cs="Times New Roman"/>
          <w:lang w:val="es-ES"/>
        </w:rPr>
        <w:t>Mipymes</w:t>
      </w:r>
      <w:proofErr w:type="spellEnd"/>
      <w:r w:rsidRPr="29DDF2A8">
        <w:rPr>
          <w:rFonts w:ascii="Verdana" w:eastAsia="Calibri" w:hAnsi="Verdana" w:cs="Times New Roman"/>
          <w:lang w:val="es-ES"/>
        </w:rPr>
        <w:t xml:space="preserve">; lo anterior no quiere significar que las ESAL no sean personas jurídicas o que no tengan capacidad contractual. De hecho, el Decreto 092 de 2017 reguló su régimen especial de contratación e, incluso, nada obsta para que las ESAL participen, en términos de igualdad con los demás oferentes, en los diferentes procesos contractuales que regula el Estatuto General de Contratación de la Administración Pública, salvo aquellos procesos contractuales limitados a </w:t>
      </w:r>
      <w:proofErr w:type="spellStart"/>
      <w:r w:rsidRPr="29DDF2A8">
        <w:rPr>
          <w:rFonts w:ascii="Verdana" w:eastAsia="Calibri" w:hAnsi="Verdana" w:cs="Times New Roman"/>
          <w:lang w:val="es-ES"/>
        </w:rPr>
        <w:t>Mipymes</w:t>
      </w:r>
      <w:proofErr w:type="spellEnd"/>
      <w:r w:rsidRPr="29DDF2A8">
        <w:rPr>
          <w:rFonts w:ascii="Verdana" w:eastAsia="Calibri" w:hAnsi="Verdana" w:cs="Times New Roman"/>
          <w:lang w:val="es-ES"/>
        </w:rPr>
        <w:t>.</w:t>
      </w:r>
    </w:p>
    <w:p w14:paraId="708A378C" w14:textId="77777777" w:rsidR="00FF349D" w:rsidRPr="00FF349D" w:rsidRDefault="00FF349D" w:rsidP="00FF349D">
      <w:pPr>
        <w:ind w:left="720"/>
        <w:contextualSpacing/>
        <w:rPr>
          <w:rFonts w:ascii="Verdana" w:eastAsia="Calibri" w:hAnsi="Verdana" w:cs="Times New Roman"/>
          <w:lang w:val="es-ES_tradnl"/>
        </w:rPr>
      </w:pPr>
    </w:p>
    <w:p w14:paraId="0181F3AB" w14:textId="77777777" w:rsidR="00FF349D" w:rsidRPr="00FF349D" w:rsidRDefault="00FF349D" w:rsidP="29DDF2A8">
      <w:pPr>
        <w:numPr>
          <w:ilvl w:val="0"/>
          <w:numId w:val="18"/>
        </w:numPr>
        <w:spacing w:after="120" w:line="276" w:lineRule="auto"/>
        <w:contextualSpacing/>
        <w:jc w:val="both"/>
        <w:rPr>
          <w:rFonts w:ascii="Verdana" w:eastAsia="Calibri" w:hAnsi="Verdana" w:cs="Times New Roman"/>
          <w:lang w:val="es-ES"/>
        </w:rPr>
      </w:pPr>
      <w:r w:rsidRPr="29DDF2A8">
        <w:rPr>
          <w:rFonts w:ascii="Verdana" w:eastAsia="Calibri" w:hAnsi="Verdana" w:cs="Times New Roman"/>
          <w:lang w:val="es-ES"/>
        </w:rPr>
        <w:t xml:space="preserve">Se precisa que las ESAL no pueden solicitar la limitación de los procesos contractuales </w:t>
      </w:r>
      <w:proofErr w:type="spellStart"/>
      <w:r w:rsidRPr="29DDF2A8">
        <w:rPr>
          <w:rFonts w:ascii="Verdana" w:eastAsia="Calibri" w:hAnsi="Verdana" w:cs="Times New Roman"/>
          <w:lang w:val="es-ES"/>
        </w:rPr>
        <w:t>Mipyme</w:t>
      </w:r>
      <w:proofErr w:type="spellEnd"/>
      <w:r w:rsidRPr="29DDF2A8">
        <w:rPr>
          <w:rFonts w:ascii="Verdana" w:eastAsia="Calibri" w:hAnsi="Verdana" w:cs="Times New Roman"/>
          <w:lang w:val="es-ES"/>
        </w:rPr>
        <w:t>, ni participar en procesos en los que se hubiese realizado la limitación, considerando que en atención del artículo 43 de la Ley 1450 de 2011, que modificó el artículo 2 de la Ley 590 de 2000.</w:t>
      </w:r>
    </w:p>
    <w:p w14:paraId="14AE32CF" w14:textId="77777777" w:rsidR="00FF349D" w:rsidRPr="00FF349D" w:rsidRDefault="00FF349D" w:rsidP="000761A9">
      <w:pPr>
        <w:widowControl w:val="0"/>
        <w:autoSpaceDE w:val="0"/>
        <w:autoSpaceDN w:val="0"/>
        <w:spacing w:after="0" w:line="276" w:lineRule="auto"/>
        <w:jc w:val="both"/>
        <w:rPr>
          <w:rFonts w:ascii="Verdana" w:hAnsi="Verdana" w:cs="Arial"/>
          <w:lang w:val="es-ES_tradnl"/>
        </w:rPr>
      </w:pPr>
    </w:p>
    <w:p w14:paraId="79DFF8DA" w14:textId="77777777" w:rsidR="00FF349D" w:rsidRPr="00FF349D" w:rsidRDefault="00FF349D" w:rsidP="00FF349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_tradnl"/>
        </w:rPr>
      </w:pPr>
      <w:r w:rsidRPr="00FF349D">
        <w:rPr>
          <w:rFonts w:ascii="Verdana" w:eastAsia="Century Gothic" w:hAnsi="Verdana" w:cs="Century Gothic"/>
          <w:b/>
          <w:bCs/>
          <w:lang w:val="es-ES_tradnl"/>
        </w:rPr>
        <w:t>Referencias normativas, jurisprudenciales y otras fuentes:</w:t>
      </w:r>
    </w:p>
    <w:p w14:paraId="205AB23E" w14:textId="77777777" w:rsidR="00FF349D" w:rsidRPr="00FF349D" w:rsidRDefault="00FF349D" w:rsidP="00FF349D">
      <w:pPr>
        <w:widowControl w:val="0"/>
        <w:autoSpaceDE w:val="0"/>
        <w:autoSpaceDN w:val="0"/>
        <w:spacing w:after="0" w:line="276" w:lineRule="auto"/>
        <w:jc w:val="both"/>
        <w:rPr>
          <w:rFonts w:ascii="Verdana" w:hAnsi="Verdana" w:cs="Arial"/>
          <w:lang w:val="es-ES_tradn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FF349D" w:rsidRPr="00FF349D" w14:paraId="468F0349" w14:textId="77777777" w:rsidTr="29DDF2A8">
        <w:trPr>
          <w:trHeight w:val="870"/>
        </w:trPr>
        <w:tc>
          <w:tcPr>
            <w:tcW w:w="8647" w:type="dxa"/>
          </w:tcPr>
          <w:p w14:paraId="5274AF7E" w14:textId="77777777" w:rsidR="00FF349D" w:rsidRPr="00FF349D" w:rsidRDefault="00FF349D" w:rsidP="00FF349D">
            <w:pPr>
              <w:numPr>
                <w:ilvl w:val="0"/>
                <w:numId w:val="19"/>
              </w:numPr>
              <w:contextualSpacing/>
              <w:jc w:val="both"/>
              <w:rPr>
                <w:rFonts w:ascii="Verdana" w:hAnsi="Verdana"/>
                <w:lang w:val="es-ES_tradnl"/>
              </w:rPr>
            </w:pPr>
            <w:r w:rsidRPr="00FF349D">
              <w:rPr>
                <w:rFonts w:ascii="Verdana" w:hAnsi="Verdana"/>
                <w:lang w:val="es-ES_tradnl"/>
              </w:rPr>
              <w:t xml:space="preserve">Decreto 092 de 2017. Disponible en: </w:t>
            </w:r>
            <w:hyperlink r:id="rId12" w:history="1">
              <w:r w:rsidRPr="00FF349D">
                <w:rPr>
                  <w:rFonts w:ascii="Verdana" w:hAnsi="Verdana"/>
                  <w:color w:val="0563C1" w:themeColor="hyperlink"/>
                  <w:u w:val="single"/>
                  <w:lang w:val="es-ES_tradnl"/>
                </w:rPr>
                <w:t>https://relatoria.colombiacompra.gov.co/normativa/decreto-092-de-2017/</w:t>
              </w:r>
            </w:hyperlink>
          </w:p>
          <w:p w14:paraId="617D4CBD" w14:textId="77777777" w:rsidR="00FF349D" w:rsidRPr="00FF349D" w:rsidRDefault="00FF349D" w:rsidP="00FF349D">
            <w:pPr>
              <w:ind w:left="720"/>
              <w:contextualSpacing/>
              <w:jc w:val="both"/>
              <w:rPr>
                <w:rFonts w:ascii="Verdana" w:hAnsi="Verdana"/>
                <w:lang w:val="es-ES_tradnl"/>
              </w:rPr>
            </w:pPr>
          </w:p>
          <w:p w14:paraId="1EF5D1F1" w14:textId="77777777" w:rsidR="00FF349D" w:rsidRPr="00FF349D" w:rsidRDefault="00FF349D" w:rsidP="00FF349D">
            <w:pPr>
              <w:numPr>
                <w:ilvl w:val="0"/>
                <w:numId w:val="19"/>
              </w:numPr>
              <w:contextualSpacing/>
              <w:jc w:val="both"/>
              <w:rPr>
                <w:rFonts w:ascii="Verdana" w:hAnsi="Verdana"/>
                <w:lang w:val="es-ES_tradnl"/>
              </w:rPr>
            </w:pPr>
            <w:r w:rsidRPr="00FF349D">
              <w:rPr>
                <w:rFonts w:ascii="Verdana" w:hAnsi="Verdana"/>
                <w:lang w:val="es-ES_tradnl"/>
              </w:rPr>
              <w:t xml:space="preserve">Ley 2069 de 2020. Disponible en: </w:t>
            </w:r>
            <w:hyperlink r:id="rId13" w:history="1">
              <w:r w:rsidRPr="00FF349D">
                <w:rPr>
                  <w:rFonts w:ascii="Verdana" w:hAnsi="Verdana"/>
                  <w:color w:val="0070C0"/>
                  <w:u w:val="single"/>
                  <w:lang w:val="es-ES_tradnl"/>
                </w:rPr>
                <w:t>https://relatoria.colombiacompra.gov.co/normativa/ley-2069-de-2020/</w:t>
              </w:r>
            </w:hyperlink>
          </w:p>
          <w:p w14:paraId="5783D7E0" w14:textId="77777777" w:rsidR="00FF349D" w:rsidRPr="00FF349D" w:rsidRDefault="00FF349D" w:rsidP="00FF349D">
            <w:pPr>
              <w:ind w:left="720"/>
              <w:contextualSpacing/>
              <w:jc w:val="both"/>
              <w:rPr>
                <w:rFonts w:ascii="Verdana" w:hAnsi="Verdana"/>
                <w:lang w:val="es-ES_tradnl"/>
              </w:rPr>
            </w:pPr>
          </w:p>
          <w:p w14:paraId="77FD9798" w14:textId="77777777" w:rsidR="00FF349D" w:rsidRPr="00FF349D" w:rsidRDefault="00FF349D" w:rsidP="00FF349D">
            <w:pPr>
              <w:numPr>
                <w:ilvl w:val="0"/>
                <w:numId w:val="19"/>
              </w:numPr>
              <w:contextualSpacing/>
              <w:jc w:val="both"/>
              <w:rPr>
                <w:rFonts w:ascii="Verdana" w:hAnsi="Verdana"/>
                <w:lang w:val="es-ES_tradnl"/>
              </w:rPr>
            </w:pPr>
            <w:r w:rsidRPr="00FF349D">
              <w:rPr>
                <w:rFonts w:ascii="Verdana" w:hAnsi="Verdana"/>
                <w:lang w:val="es-ES_tradnl"/>
              </w:rPr>
              <w:lastRenderedPageBreak/>
              <w:t xml:space="preserve">Ley 1450 de 2011. Disponible en: </w:t>
            </w:r>
            <w:hyperlink r:id="rId14" w:history="1">
              <w:r w:rsidRPr="00FF349D">
                <w:rPr>
                  <w:rFonts w:ascii="Verdana" w:hAnsi="Verdana"/>
                  <w:color w:val="0070C0"/>
                  <w:u w:val="single"/>
                  <w:lang w:val="es-ES_tradnl"/>
                </w:rPr>
                <w:t>https://relatoria.colombiacompra.gov.co/normativa/ley-1450-de-2011/</w:t>
              </w:r>
            </w:hyperlink>
          </w:p>
          <w:p w14:paraId="56AD9FA6" w14:textId="77777777" w:rsidR="00FF349D" w:rsidRPr="00FF349D" w:rsidRDefault="00FF349D" w:rsidP="00FF349D">
            <w:pPr>
              <w:ind w:left="720"/>
              <w:contextualSpacing/>
              <w:jc w:val="both"/>
              <w:rPr>
                <w:rFonts w:ascii="Verdana" w:hAnsi="Verdana"/>
                <w:lang w:val="es-ES_tradnl"/>
              </w:rPr>
            </w:pPr>
          </w:p>
          <w:p w14:paraId="5DD27FD7" w14:textId="77777777" w:rsidR="00FF349D" w:rsidRPr="00FF349D" w:rsidRDefault="00FF349D" w:rsidP="00FF349D">
            <w:pPr>
              <w:numPr>
                <w:ilvl w:val="0"/>
                <w:numId w:val="19"/>
              </w:numPr>
              <w:contextualSpacing/>
              <w:jc w:val="both"/>
              <w:rPr>
                <w:rFonts w:ascii="Verdana" w:hAnsi="Verdana"/>
                <w:lang w:val="es-ES_tradnl"/>
              </w:rPr>
            </w:pPr>
            <w:r w:rsidRPr="00FF349D">
              <w:rPr>
                <w:rFonts w:ascii="Verdana" w:hAnsi="Verdana"/>
                <w:lang w:val="es-ES_tradnl"/>
              </w:rPr>
              <w:t xml:space="preserve">Ley 590 de 2000. Disponible en: </w:t>
            </w:r>
            <w:hyperlink r:id="rId15" w:history="1">
              <w:r w:rsidRPr="00FF349D">
                <w:rPr>
                  <w:rFonts w:ascii="Verdana" w:hAnsi="Verdana"/>
                  <w:color w:val="0070C0"/>
                  <w:u w:val="single"/>
                  <w:lang w:val="es-ES_tradnl"/>
                </w:rPr>
                <w:t>https://relatoria.colombiacompra.gov.co/normativa/ley-590-de-2000/</w:t>
              </w:r>
            </w:hyperlink>
          </w:p>
          <w:p w14:paraId="6F7F4174" w14:textId="77777777" w:rsidR="00FF349D" w:rsidRPr="00FF349D" w:rsidRDefault="00FF349D" w:rsidP="00FF349D">
            <w:pPr>
              <w:ind w:left="720"/>
              <w:contextualSpacing/>
              <w:jc w:val="both"/>
              <w:rPr>
                <w:rFonts w:ascii="Verdana" w:hAnsi="Verdana"/>
                <w:lang w:val="es-ES_tradnl"/>
              </w:rPr>
            </w:pPr>
          </w:p>
          <w:p w14:paraId="7FFF03FC" w14:textId="77777777" w:rsidR="00FF349D" w:rsidRPr="00FF349D" w:rsidRDefault="00FF349D" w:rsidP="29DDF2A8">
            <w:pPr>
              <w:numPr>
                <w:ilvl w:val="0"/>
                <w:numId w:val="19"/>
              </w:numPr>
              <w:contextualSpacing/>
              <w:jc w:val="both"/>
              <w:rPr>
                <w:rFonts w:ascii="Verdana" w:hAnsi="Verdana"/>
                <w:lang w:val="es-ES"/>
              </w:rPr>
            </w:pPr>
            <w:r w:rsidRPr="29DDF2A8">
              <w:rPr>
                <w:rFonts w:ascii="Verdana" w:hAnsi="Verdana"/>
                <w:lang w:val="es-ES"/>
              </w:rPr>
              <w:t xml:space="preserve">Guía para la contratación con entidades privadas sin ánimo de lucro y de reconocida idoneidad de la Agencia Nacional de Contratación Pública–Colombia Compra Eficiente–. Disponible </w:t>
            </w:r>
            <w:proofErr w:type="gramStart"/>
            <w:r w:rsidRPr="29DDF2A8">
              <w:rPr>
                <w:rFonts w:ascii="Verdana" w:hAnsi="Verdana"/>
                <w:lang w:val="es-ES"/>
              </w:rPr>
              <w:t>en :</w:t>
            </w:r>
            <w:proofErr w:type="gramEnd"/>
            <w:r w:rsidRPr="29DDF2A8">
              <w:rPr>
                <w:rFonts w:ascii="Verdana" w:hAnsi="Verdana"/>
                <w:lang w:val="es-ES"/>
              </w:rPr>
              <w:t xml:space="preserve"> </w:t>
            </w:r>
            <w:hyperlink r:id="rId16">
              <w:r w:rsidRPr="29DDF2A8">
                <w:rPr>
                  <w:rFonts w:ascii="Verdana" w:hAnsi="Verdana"/>
                  <w:color w:val="0070C0"/>
                  <w:u w:val="single"/>
                  <w:lang w:val="es-ES"/>
                </w:rPr>
                <w:t>https://www.colombiacompra.gov.co/sites/cce_public/files/cce_documents/cce_guia_esal.pdf</w:t>
              </w:r>
            </w:hyperlink>
          </w:p>
          <w:p w14:paraId="7548DCB2" w14:textId="77777777" w:rsidR="00FF349D" w:rsidRPr="00FF349D" w:rsidRDefault="00FF349D" w:rsidP="00FF349D">
            <w:pPr>
              <w:ind w:left="720"/>
              <w:contextualSpacing/>
              <w:jc w:val="both"/>
              <w:rPr>
                <w:rFonts w:ascii="Verdana" w:hAnsi="Verdana"/>
                <w:lang w:val="es-ES_tradnl"/>
              </w:rPr>
            </w:pPr>
          </w:p>
          <w:p w14:paraId="07478623" w14:textId="77777777" w:rsidR="00FF349D" w:rsidRPr="00FF349D" w:rsidRDefault="00FF349D" w:rsidP="29DDF2A8">
            <w:pPr>
              <w:numPr>
                <w:ilvl w:val="0"/>
                <w:numId w:val="19"/>
              </w:numPr>
              <w:contextualSpacing/>
              <w:jc w:val="both"/>
              <w:rPr>
                <w:rFonts w:ascii="Verdana" w:hAnsi="Verdana"/>
                <w:lang w:val="es-ES"/>
              </w:rPr>
            </w:pPr>
            <w:r w:rsidRPr="29DDF2A8">
              <w:rPr>
                <w:rFonts w:ascii="Verdana" w:hAnsi="Verdana"/>
                <w:lang w:val="es-ES"/>
              </w:rPr>
              <w:t xml:space="preserve">Guía para promover la participación de las </w:t>
            </w:r>
            <w:proofErr w:type="spellStart"/>
            <w:r w:rsidRPr="29DDF2A8">
              <w:rPr>
                <w:rFonts w:ascii="Verdana" w:hAnsi="Verdana"/>
                <w:lang w:val="es-ES"/>
              </w:rPr>
              <w:t>Mipymes</w:t>
            </w:r>
            <w:proofErr w:type="spellEnd"/>
            <w:r w:rsidRPr="29DDF2A8">
              <w:rPr>
                <w:rFonts w:ascii="Verdana" w:hAnsi="Verdana"/>
                <w:lang w:val="es-ES"/>
              </w:rPr>
              <w:t xml:space="preserve"> en los procesos de compra pública de la Agencia Nacional de Contratación Pública–Colombia Compra Eficiente–. Disponible </w:t>
            </w:r>
            <w:proofErr w:type="gramStart"/>
            <w:r w:rsidRPr="29DDF2A8">
              <w:rPr>
                <w:rFonts w:ascii="Verdana" w:hAnsi="Verdana"/>
                <w:lang w:val="es-ES"/>
              </w:rPr>
              <w:t>en :</w:t>
            </w:r>
            <w:proofErr w:type="gramEnd"/>
            <w:r w:rsidRPr="29DDF2A8">
              <w:rPr>
                <w:rFonts w:ascii="Verdana" w:hAnsi="Verdana"/>
                <w:lang w:val="es-ES"/>
              </w:rPr>
              <w:t xml:space="preserve"> </w:t>
            </w:r>
            <w:hyperlink r:id="rId17">
              <w:r w:rsidRPr="29DDF2A8">
                <w:rPr>
                  <w:rFonts w:ascii="Verdana" w:hAnsi="Verdana"/>
                  <w:color w:val="0563C1"/>
                  <w:u w:val="single"/>
                  <w:lang w:val="es-ES"/>
                </w:rPr>
                <w:t>https://www.colombiacompra.gov.co/sites/cce_public/files/cce_tienda_virtual/propuesta_guia_vf_-mipymes.pdf</w:t>
              </w:r>
            </w:hyperlink>
          </w:p>
          <w:p w14:paraId="5DF1AEBA" w14:textId="77777777" w:rsidR="00FF349D" w:rsidRPr="00FF349D" w:rsidRDefault="00FF349D" w:rsidP="00FF349D">
            <w:pPr>
              <w:widowControl w:val="0"/>
              <w:autoSpaceDE w:val="0"/>
              <w:autoSpaceDN w:val="0"/>
              <w:spacing w:after="120" w:line="276" w:lineRule="auto"/>
              <w:ind w:left="720"/>
              <w:jc w:val="both"/>
              <w:rPr>
                <w:rFonts w:ascii="Verdana" w:hAnsi="Verdana" w:cs="Arial"/>
                <w:color w:val="000000" w:themeColor="text1"/>
                <w:lang w:val="es-ES_tradnl"/>
              </w:rPr>
            </w:pPr>
            <w:r w:rsidRPr="00FF349D">
              <w:rPr>
                <w:rFonts w:ascii="Verdana" w:hAnsi="Verdana" w:cs="Arial"/>
                <w:lang w:val="es-ES_tradnl"/>
              </w:rPr>
              <w:t xml:space="preserve"> </w:t>
            </w:r>
          </w:p>
          <w:p w14:paraId="1BC8F063" w14:textId="77777777" w:rsidR="00FF349D" w:rsidRPr="00FF349D" w:rsidRDefault="00FF349D" w:rsidP="00FF349D">
            <w:pPr>
              <w:widowControl w:val="0"/>
              <w:numPr>
                <w:ilvl w:val="0"/>
                <w:numId w:val="17"/>
              </w:numPr>
              <w:autoSpaceDE w:val="0"/>
              <w:autoSpaceDN w:val="0"/>
              <w:spacing w:after="120" w:line="276" w:lineRule="auto"/>
              <w:jc w:val="both"/>
              <w:rPr>
                <w:rFonts w:ascii="Verdana" w:hAnsi="Verdana" w:cs="Arial"/>
                <w:lang w:val="es-ES_tradnl"/>
              </w:rPr>
            </w:pPr>
            <w:r w:rsidRPr="00FF349D">
              <w:rPr>
                <w:rFonts w:ascii="Verdana" w:hAnsi="Verdana" w:cs="Arial"/>
                <w:color w:val="000000" w:themeColor="text1"/>
                <w:lang w:val="es-ES_tradnl"/>
              </w:rPr>
              <w:t xml:space="preserve">Jurisprudencia del Consejo de Estado. Disponible en: </w:t>
            </w:r>
            <w:hyperlink r:id="rId18" w:history="1">
              <w:r w:rsidRPr="00FF349D">
                <w:rPr>
                  <w:rFonts w:ascii="Verdana" w:hAnsi="Verdana" w:cs="Arial"/>
                  <w:color w:val="0563C1" w:themeColor="hyperlink"/>
                  <w:u w:val="single"/>
                  <w:lang w:val="es-ES_tradnl"/>
                </w:rPr>
                <w:t>https://relatoria.colombiacompra.gov.co/providencias-consejo-de-estado/</w:t>
              </w:r>
            </w:hyperlink>
            <w:r w:rsidRPr="00FF349D">
              <w:rPr>
                <w:rFonts w:ascii="Verdana" w:hAnsi="Verdana" w:cs="Arial"/>
                <w:lang w:val="es-ES_tradnl"/>
              </w:rPr>
              <w:t xml:space="preserve"> </w:t>
            </w:r>
          </w:p>
          <w:p w14:paraId="06BABF24" w14:textId="77777777" w:rsidR="00FF349D" w:rsidRPr="00FF349D" w:rsidRDefault="00FF349D" w:rsidP="00FF349D">
            <w:pPr>
              <w:widowControl w:val="0"/>
              <w:numPr>
                <w:ilvl w:val="0"/>
                <w:numId w:val="17"/>
              </w:numPr>
              <w:autoSpaceDE w:val="0"/>
              <w:autoSpaceDN w:val="0"/>
              <w:spacing w:after="120" w:line="276" w:lineRule="auto"/>
              <w:jc w:val="both"/>
              <w:rPr>
                <w:rFonts w:ascii="Verdana" w:hAnsi="Verdana" w:cs="Arial"/>
                <w:lang w:val="es-ES_tradnl"/>
              </w:rPr>
            </w:pPr>
            <w:r w:rsidRPr="00FF349D">
              <w:rPr>
                <w:rFonts w:ascii="Verdana" w:hAnsi="Verdana" w:cs="Arial"/>
                <w:color w:val="000000" w:themeColor="text1"/>
                <w:lang w:val="es-ES_tradnl"/>
              </w:rPr>
              <w:t>Guías y manuales expedidos por la ANCP-CCE. Disponible en:</w:t>
            </w:r>
            <w:r w:rsidRPr="00FF349D">
              <w:rPr>
                <w:color w:val="000000" w:themeColor="text1"/>
                <w:lang w:val="es-ES_tradnl"/>
              </w:rPr>
              <w:t xml:space="preserve"> </w:t>
            </w:r>
            <w:hyperlink r:id="rId19" w:history="1">
              <w:r w:rsidRPr="00FF349D">
                <w:rPr>
                  <w:rFonts w:ascii="Verdana" w:hAnsi="Verdana" w:cs="Arial"/>
                  <w:color w:val="0563C1" w:themeColor="hyperlink"/>
                  <w:u w:val="single"/>
                  <w:lang w:val="es-ES_tradnl"/>
                </w:rPr>
                <w:t>https://www.colombiacompra.gov.co/manuales-guias-y-pliegos-tipo/manuales-y-guias</w:t>
              </w:r>
            </w:hyperlink>
            <w:r w:rsidRPr="00FF349D">
              <w:rPr>
                <w:rFonts w:ascii="Verdana" w:hAnsi="Verdana" w:cs="Arial"/>
                <w:lang w:val="es-ES_tradnl"/>
              </w:rPr>
              <w:t xml:space="preserve"> </w:t>
            </w:r>
          </w:p>
          <w:p w14:paraId="45436BE5" w14:textId="77777777" w:rsidR="00FF349D" w:rsidRPr="00FF349D" w:rsidRDefault="00FF349D" w:rsidP="00FF349D">
            <w:pPr>
              <w:widowControl w:val="0"/>
              <w:autoSpaceDE w:val="0"/>
              <w:autoSpaceDN w:val="0"/>
              <w:spacing w:after="120" w:line="276" w:lineRule="auto"/>
              <w:ind w:left="360"/>
              <w:jc w:val="both"/>
              <w:rPr>
                <w:rFonts w:ascii="Verdana" w:hAnsi="Verdana" w:cs="Arial"/>
                <w:lang w:val="es-ES_tradnl"/>
              </w:rPr>
            </w:pPr>
          </w:p>
        </w:tc>
      </w:tr>
    </w:tbl>
    <w:p w14:paraId="777DF237" w14:textId="77777777" w:rsidR="00FF349D" w:rsidRPr="00FF349D" w:rsidRDefault="00FF349D" w:rsidP="00FF349D">
      <w:pPr>
        <w:widowControl w:val="0"/>
        <w:autoSpaceDE w:val="0"/>
        <w:autoSpaceDN w:val="0"/>
        <w:spacing w:after="0" w:line="276" w:lineRule="auto"/>
        <w:jc w:val="both"/>
        <w:rPr>
          <w:rFonts w:ascii="Verdana" w:hAnsi="Verdana" w:cs="Arial"/>
          <w:lang w:val="es-ES_tradnl"/>
        </w:rPr>
      </w:pPr>
    </w:p>
    <w:p w14:paraId="35C21AFF" w14:textId="77777777" w:rsidR="00FF349D" w:rsidRPr="00FF349D" w:rsidRDefault="00FF349D" w:rsidP="00FF349D">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_tradnl"/>
        </w:rPr>
      </w:pPr>
      <w:r w:rsidRPr="00FF349D">
        <w:rPr>
          <w:rFonts w:ascii="Verdana" w:eastAsia="Century Gothic" w:hAnsi="Verdana" w:cs="Century Gothic"/>
          <w:b/>
          <w:bCs/>
          <w:lang w:val="es-ES_tradnl"/>
        </w:rPr>
        <w:t>Doctrina de la Agencia Nacional de Contratación Pública:</w:t>
      </w:r>
    </w:p>
    <w:p w14:paraId="72927B94" w14:textId="77777777" w:rsidR="00FF349D" w:rsidRPr="00FF349D" w:rsidRDefault="00FF349D" w:rsidP="00FF349D">
      <w:pPr>
        <w:widowControl w:val="0"/>
        <w:autoSpaceDE w:val="0"/>
        <w:autoSpaceDN w:val="0"/>
        <w:spacing w:after="0" w:line="276" w:lineRule="auto"/>
        <w:jc w:val="both"/>
        <w:rPr>
          <w:rFonts w:ascii="Verdana" w:hAnsi="Verdana" w:cs="Arial"/>
          <w:lang w:val="es-ES_tradnl"/>
        </w:rPr>
      </w:pPr>
    </w:p>
    <w:p w14:paraId="789BDFE3" w14:textId="39BFCCEE" w:rsidR="00FF349D" w:rsidRPr="00FF349D" w:rsidRDefault="00FF349D" w:rsidP="00FF349D">
      <w:pPr>
        <w:widowControl w:val="0"/>
        <w:autoSpaceDE w:val="0"/>
        <w:autoSpaceDN w:val="0"/>
        <w:spacing w:after="0" w:line="276" w:lineRule="auto"/>
        <w:jc w:val="both"/>
        <w:rPr>
          <w:rFonts w:ascii="Verdana" w:hAnsi="Verdana" w:cs="Arial"/>
          <w:color w:val="FF0000"/>
          <w:shd w:val="clear" w:color="auto" w:fill="FFFFFF"/>
          <w:lang w:val="es-ES_tradnl"/>
        </w:rPr>
      </w:pPr>
      <w:r w:rsidRPr="00FF349D">
        <w:rPr>
          <w:rFonts w:ascii="Verdana" w:hAnsi="Verdana" w:cs="Arial"/>
          <w:lang w:val="es-ES_tradnl"/>
        </w:rPr>
        <w:t>Esta Agencia se ha pronunciado en diferentes conceptos sobre la participación de las entidades sin ánimo de lucro – desde ahora ESAL – en procesos contractuales limitados a MiPymes. Al respecto expidió el concepto del 21 de julio de 2016 −radicado No. E20161300000072−, reiterado en los conceptos del 20, 21 y 22 de agosto y el 17 de septiembre de 2019 −radicados Nos. 2201913000006007</w:t>
      </w:r>
      <w:r>
        <w:rPr>
          <w:rFonts w:ascii="Verdana" w:hAnsi="Verdana" w:cs="Arial"/>
          <w:lang w:val="es-ES_tradnl"/>
        </w:rPr>
        <w:t>,</w:t>
      </w:r>
      <w:r w:rsidRPr="00FF349D">
        <w:rPr>
          <w:rFonts w:ascii="Verdana" w:hAnsi="Verdana" w:cs="Arial"/>
          <w:lang w:val="es-ES_tradnl"/>
        </w:rPr>
        <w:t>2201913000006081,</w:t>
      </w:r>
      <w:r>
        <w:rPr>
          <w:rFonts w:ascii="Verdana" w:hAnsi="Verdana" w:cs="Arial"/>
          <w:lang w:val="es-ES_tradnl"/>
        </w:rPr>
        <w:t xml:space="preserve"> </w:t>
      </w:r>
      <w:r w:rsidRPr="00FF349D">
        <w:rPr>
          <w:rFonts w:ascii="Verdana" w:hAnsi="Verdana" w:cs="Arial"/>
          <w:lang w:val="es-ES_tradnl"/>
        </w:rPr>
        <w:t xml:space="preserve">2201913000006151 y 2201913000006895−, C-258 del 17 de abril, C-413 de 30 de junio de 2020, C-705 del 7 de diciembre de 2020, C-728 del 14 de diciembre de 2020, C-160 del 20 de abril de 2021, C-474 del 26 de julio de 2022, C-020 del 14 de febrero de 2023 Y C-094 de 19 de julio de 2024. </w:t>
      </w:r>
      <w:r w:rsidRPr="00FF349D">
        <w:rPr>
          <w:rFonts w:ascii="Verdana" w:hAnsi="Verdana" w:cs="Arial"/>
          <w:shd w:val="clear" w:color="auto" w:fill="FFFFFF"/>
          <w:lang w:val="es-ES_tradnl"/>
        </w:rPr>
        <w:t>Es</w:t>
      </w:r>
      <w:r w:rsidRPr="00FF349D">
        <w:rPr>
          <w:rFonts w:ascii="Verdana" w:hAnsi="Verdana"/>
          <w:lang w:val="es-ES_tradnl"/>
        </w:rPr>
        <w:t xml:space="preserve">tos y otros conceptos se encuentran </w:t>
      </w:r>
      <w:r w:rsidRPr="00FF349D">
        <w:rPr>
          <w:rFonts w:ascii="Verdana" w:hAnsi="Verdana"/>
          <w:lang w:val="es-ES_tradnl"/>
        </w:rPr>
        <w:lastRenderedPageBreak/>
        <w:t>disponibles para consulta en el Sistema de relatoría de la Agencia, al cual se puede acceder a través del siguiente enlace:</w:t>
      </w:r>
      <w:r w:rsidRPr="00FF349D">
        <w:rPr>
          <w:rFonts w:ascii="Verdana" w:hAnsi="Verdana" w:cs="Arial"/>
          <w:shd w:val="clear" w:color="auto" w:fill="FFFFFF"/>
          <w:lang w:val="es-ES_tradnl"/>
        </w:rPr>
        <w:t xml:space="preserve"> </w:t>
      </w:r>
      <w:hyperlink r:id="rId20" w:history="1">
        <w:r w:rsidRPr="00FF349D">
          <w:rPr>
            <w:rFonts w:ascii="Verdana" w:hAnsi="Verdana" w:cs="Arial"/>
            <w:color w:val="0563C1" w:themeColor="hyperlink"/>
            <w:u w:val="single"/>
            <w:shd w:val="clear" w:color="auto" w:fill="FFFFFF"/>
            <w:lang w:val="es-ES_tradnl"/>
          </w:rPr>
          <w:t>https://relatoria.colombiacompra.gov.co/busqueda/conceptos</w:t>
        </w:r>
      </w:hyperlink>
      <w:r w:rsidRPr="00FF349D">
        <w:rPr>
          <w:rFonts w:ascii="Verdana" w:hAnsi="Verdana" w:cs="Arial"/>
          <w:color w:val="FF0000"/>
          <w:shd w:val="clear" w:color="auto" w:fill="FFFFFF"/>
          <w:lang w:val="es-ES_tradnl"/>
        </w:rPr>
        <w:t xml:space="preserve">. </w:t>
      </w:r>
    </w:p>
    <w:p w14:paraId="0EE902E0" w14:textId="77777777" w:rsidR="00FF349D" w:rsidRPr="00FF349D" w:rsidRDefault="00FF349D" w:rsidP="00FF349D">
      <w:pPr>
        <w:widowControl w:val="0"/>
        <w:autoSpaceDE w:val="0"/>
        <w:autoSpaceDN w:val="0"/>
        <w:spacing w:after="0" w:line="276" w:lineRule="auto"/>
        <w:jc w:val="both"/>
        <w:rPr>
          <w:rFonts w:ascii="Verdana" w:hAnsi="Verdana" w:cs="Arial"/>
          <w:color w:val="FF0000"/>
          <w:shd w:val="clear" w:color="auto" w:fill="FFFFFF"/>
          <w:lang w:val="es-ES_tradnl"/>
        </w:rPr>
      </w:pPr>
    </w:p>
    <w:p w14:paraId="1C200526" w14:textId="77777777" w:rsidR="00FF349D" w:rsidRPr="00FF349D" w:rsidRDefault="00FF349D" w:rsidP="00FF349D">
      <w:pPr>
        <w:widowControl w:val="0"/>
        <w:autoSpaceDE w:val="0"/>
        <w:autoSpaceDN w:val="0"/>
        <w:spacing w:after="0" w:line="276" w:lineRule="auto"/>
        <w:jc w:val="both"/>
        <w:rPr>
          <w:rFonts w:ascii="Verdana" w:hAnsi="Verdana" w:cs="Arial"/>
          <w:color w:val="FF0000"/>
          <w:shd w:val="clear" w:color="auto" w:fill="FFFFFF"/>
          <w:lang w:val="es-ES_tradnl"/>
        </w:rPr>
      </w:pPr>
      <w:r w:rsidRPr="00FF349D">
        <w:rPr>
          <w:rFonts w:ascii="Verdana" w:hAnsi="Verdana" w:cs="Arial"/>
          <w:color w:val="000000" w:themeColor="text1"/>
          <w:shd w:val="clear" w:color="auto" w:fill="FFFFFF"/>
          <w:lang w:val="es-ES_tradnl"/>
        </w:rPr>
        <w:t>También le invitamos a consultar las versiones I y II de 2024 del Boletín de Relatoría de la Subdirección de Gestión Contractual, las cuales puede descargar en la página web de la Agencia:</w:t>
      </w:r>
      <w:r w:rsidRPr="00FF349D">
        <w:rPr>
          <w:rFonts w:ascii="Verdana" w:hAnsi="Verdana" w:cs="Arial"/>
          <w:color w:val="FF0000"/>
          <w:shd w:val="clear" w:color="auto" w:fill="FFFFFF"/>
          <w:lang w:val="es-ES_tradnl"/>
        </w:rPr>
        <w:t xml:space="preserve"> </w:t>
      </w:r>
      <w:hyperlink r:id="rId21" w:history="1">
        <w:r w:rsidRPr="00FF349D">
          <w:rPr>
            <w:rFonts w:ascii="Verdana" w:hAnsi="Verdana" w:cs="Arial"/>
            <w:color w:val="0563C1" w:themeColor="hyperlink"/>
            <w:u w:val="single"/>
            <w:shd w:val="clear" w:color="auto" w:fill="FFFFFF"/>
            <w:lang w:val="es-ES_tradnl"/>
          </w:rPr>
          <w:t>https://www.colombiacompra.gov.co/sala-de-prensa/boletin-digital</w:t>
        </w:r>
      </w:hyperlink>
      <w:r w:rsidRPr="00FF349D">
        <w:rPr>
          <w:rFonts w:ascii="Verdana" w:hAnsi="Verdana" w:cs="Arial"/>
          <w:color w:val="FF0000"/>
          <w:shd w:val="clear" w:color="auto" w:fill="FFFFFF"/>
          <w:lang w:val="es-ES_tradnl"/>
        </w:rPr>
        <w:t xml:space="preserve">      </w:t>
      </w:r>
    </w:p>
    <w:p w14:paraId="13723802" w14:textId="77777777" w:rsidR="00FF349D" w:rsidRPr="00FF349D" w:rsidRDefault="00FF349D" w:rsidP="00FF349D">
      <w:pPr>
        <w:spacing w:after="0" w:line="240" w:lineRule="auto"/>
        <w:jc w:val="both"/>
        <w:rPr>
          <w:rFonts w:ascii="Verdana" w:hAnsi="Verdana"/>
          <w:lang w:val="es-ES_tradnl"/>
        </w:rPr>
      </w:pPr>
      <w:r w:rsidRPr="00FF349D">
        <w:rPr>
          <w:rFonts w:ascii="Verdana" w:hAnsi="Verdana"/>
          <w:lang w:val="es-ES_tradnl"/>
        </w:rPr>
        <w:t xml:space="preserve">Por último, lo invitamos a seguirnos en las redes sociales en las cuales se difunde información institucional: </w:t>
      </w:r>
    </w:p>
    <w:p w14:paraId="1FDB56DB" w14:textId="77777777" w:rsidR="00FF349D" w:rsidRPr="00FF349D" w:rsidRDefault="00FF349D" w:rsidP="00FF349D">
      <w:pPr>
        <w:spacing w:after="0" w:line="240" w:lineRule="auto"/>
        <w:jc w:val="both"/>
        <w:rPr>
          <w:rFonts w:ascii="Verdana" w:hAnsi="Verdana"/>
          <w:lang w:val="es-ES_tradnl"/>
        </w:rPr>
      </w:pPr>
    </w:p>
    <w:p w14:paraId="3C9FD6E4" w14:textId="77777777" w:rsidR="00FF349D" w:rsidRPr="00FF349D" w:rsidRDefault="00FF349D" w:rsidP="00FF349D">
      <w:pPr>
        <w:spacing w:after="0" w:line="240" w:lineRule="auto"/>
        <w:jc w:val="both"/>
        <w:rPr>
          <w:rFonts w:ascii="Verdana" w:hAnsi="Verdana"/>
          <w:lang w:val="es-ES_tradnl"/>
        </w:rPr>
      </w:pPr>
      <w:r w:rsidRPr="00FF349D">
        <w:rPr>
          <w:rFonts w:ascii="Verdana" w:hAnsi="Verdana"/>
          <w:lang w:val="es-ES_tradnl"/>
        </w:rPr>
        <w:t xml:space="preserve">Twitter: </w:t>
      </w:r>
      <w:r w:rsidRPr="00FF349D">
        <w:rPr>
          <w:rFonts w:ascii="Verdana" w:hAnsi="Verdana"/>
          <w:color w:val="4472C4" w:themeColor="accent1"/>
          <w:u w:val="single"/>
          <w:lang w:val="es-ES_tradnl"/>
        </w:rPr>
        <w:t>@colombiacompra</w:t>
      </w:r>
      <w:r w:rsidRPr="00FF349D">
        <w:rPr>
          <w:rFonts w:ascii="Verdana" w:hAnsi="Verdana"/>
          <w:color w:val="4472C4" w:themeColor="accent1"/>
          <w:lang w:val="es-ES_tradnl"/>
        </w:rPr>
        <w:t xml:space="preserve"> </w:t>
      </w:r>
    </w:p>
    <w:p w14:paraId="5B03BFAB" w14:textId="77777777" w:rsidR="00FF349D" w:rsidRPr="00FF349D" w:rsidRDefault="00FF349D" w:rsidP="29DDF2A8">
      <w:pPr>
        <w:spacing w:after="0" w:line="240" w:lineRule="auto"/>
        <w:jc w:val="both"/>
        <w:rPr>
          <w:rFonts w:ascii="Verdana" w:hAnsi="Verdana"/>
          <w:lang w:val="es-ES"/>
        </w:rPr>
      </w:pPr>
      <w:r w:rsidRPr="29DDF2A8">
        <w:rPr>
          <w:rFonts w:ascii="Verdana" w:hAnsi="Verdana"/>
          <w:lang w:val="es-ES"/>
        </w:rPr>
        <w:t xml:space="preserve">Facebook: </w:t>
      </w:r>
      <w:proofErr w:type="spellStart"/>
      <w:r w:rsidRPr="29DDF2A8">
        <w:rPr>
          <w:rFonts w:ascii="Verdana" w:hAnsi="Verdana"/>
          <w:color w:val="4472C4" w:themeColor="accent1"/>
          <w:u w:val="single"/>
          <w:lang w:val="es-ES"/>
        </w:rPr>
        <w:t>ColombiaCompraEficiente</w:t>
      </w:r>
      <w:proofErr w:type="spellEnd"/>
    </w:p>
    <w:p w14:paraId="39DCF0F7" w14:textId="77777777" w:rsidR="00FF349D" w:rsidRPr="00FF349D" w:rsidRDefault="00FF349D" w:rsidP="00FF349D">
      <w:pPr>
        <w:spacing w:after="0" w:line="240" w:lineRule="auto"/>
        <w:jc w:val="both"/>
        <w:rPr>
          <w:rFonts w:ascii="Verdana" w:hAnsi="Verdana"/>
          <w:lang w:val="es-ES_tradnl"/>
        </w:rPr>
      </w:pPr>
      <w:r w:rsidRPr="00FF349D">
        <w:rPr>
          <w:rFonts w:ascii="Verdana" w:hAnsi="Verdana"/>
          <w:lang w:val="es-ES_tradnl"/>
        </w:rPr>
        <w:t xml:space="preserve">LinkedIn: </w:t>
      </w:r>
      <w:r w:rsidRPr="00FF349D">
        <w:rPr>
          <w:rFonts w:ascii="Verdana" w:hAnsi="Verdana"/>
          <w:color w:val="4472C4" w:themeColor="accent1"/>
          <w:u w:val="single"/>
          <w:lang w:val="es-ES_tradnl"/>
        </w:rPr>
        <w:t>Agencia Nacional de Contratación Pública - Colombia Compra Eficiente</w:t>
      </w:r>
      <w:r w:rsidRPr="00FF349D">
        <w:rPr>
          <w:rFonts w:ascii="Verdana" w:hAnsi="Verdana"/>
          <w:color w:val="4472C4" w:themeColor="accent1"/>
          <w:lang w:val="es-ES_tradnl"/>
        </w:rPr>
        <w:t xml:space="preserve"> </w:t>
      </w:r>
      <w:r w:rsidRPr="00FF349D">
        <w:rPr>
          <w:rFonts w:ascii="Verdana" w:hAnsi="Verdana"/>
          <w:lang w:val="es-ES_tradnl"/>
        </w:rPr>
        <w:t xml:space="preserve">Instagram: </w:t>
      </w:r>
      <w:r w:rsidRPr="00FF349D">
        <w:rPr>
          <w:rFonts w:ascii="Verdana" w:hAnsi="Verdana"/>
          <w:color w:val="4472C4" w:themeColor="accent1"/>
          <w:u w:val="single"/>
          <w:lang w:val="es-ES_tradnl"/>
        </w:rPr>
        <w:t>@colombiacompraeficiente_cce</w:t>
      </w:r>
    </w:p>
    <w:p w14:paraId="6C151882" w14:textId="77777777" w:rsidR="00FF349D" w:rsidRPr="00FF349D" w:rsidRDefault="00FF349D" w:rsidP="00FF349D">
      <w:pPr>
        <w:widowControl w:val="0"/>
        <w:autoSpaceDE w:val="0"/>
        <w:autoSpaceDN w:val="0"/>
        <w:spacing w:after="0" w:line="276" w:lineRule="auto"/>
        <w:jc w:val="both"/>
        <w:rPr>
          <w:rFonts w:ascii="Verdana" w:hAnsi="Verdana" w:cs="Arial"/>
          <w:lang w:val="es-ES_tradnl"/>
        </w:rPr>
      </w:pPr>
    </w:p>
    <w:p w14:paraId="005A18D5" w14:textId="77777777" w:rsidR="00FF349D" w:rsidRPr="00FF349D" w:rsidRDefault="00FF349D" w:rsidP="00FF349D">
      <w:pPr>
        <w:widowControl w:val="0"/>
        <w:autoSpaceDE w:val="0"/>
        <w:autoSpaceDN w:val="0"/>
        <w:spacing w:after="0" w:line="276" w:lineRule="auto"/>
        <w:jc w:val="both"/>
        <w:rPr>
          <w:rFonts w:ascii="Verdana" w:hAnsi="Verdana" w:cs="Arial"/>
          <w:lang w:val="es-ES_tradnl"/>
        </w:rPr>
      </w:pPr>
      <w:r w:rsidRPr="00FF349D">
        <w:rPr>
          <w:rFonts w:ascii="Verdana" w:hAnsi="Verdana"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B77628C" w14:textId="77777777" w:rsidR="00FF349D" w:rsidRPr="00FF349D" w:rsidRDefault="00FF349D" w:rsidP="00FF349D">
      <w:pPr>
        <w:widowControl w:val="0"/>
        <w:autoSpaceDE w:val="0"/>
        <w:autoSpaceDN w:val="0"/>
        <w:spacing w:after="0" w:line="276" w:lineRule="auto"/>
        <w:jc w:val="both"/>
        <w:rPr>
          <w:rFonts w:ascii="Verdana" w:hAnsi="Verdana" w:cs="Arial"/>
          <w:lang w:val="es-ES_tradnl"/>
        </w:rPr>
      </w:pPr>
    </w:p>
    <w:p w14:paraId="4E0C4D0E" w14:textId="77777777" w:rsidR="00FF349D" w:rsidRPr="00FF349D" w:rsidRDefault="00FF349D" w:rsidP="00FF349D">
      <w:pPr>
        <w:spacing w:after="0" w:line="240" w:lineRule="auto"/>
        <w:rPr>
          <w:rFonts w:ascii="Verdana" w:hAnsi="Verdana" w:cs="Arial"/>
          <w:lang w:val="es-ES_tradnl" w:eastAsia="es-CO"/>
        </w:rPr>
      </w:pPr>
      <w:r w:rsidRPr="00FF349D">
        <w:rPr>
          <w:rFonts w:ascii="Verdana" w:eastAsia="Times New Roman" w:hAnsi="Verdana" w:cs="Arial"/>
          <w:lang w:val="es-ES_tradnl" w:eastAsia="es-CO"/>
        </w:rPr>
        <w:t>Atentamente,</w:t>
      </w:r>
      <w:r w:rsidRPr="00FF349D">
        <w:rPr>
          <w:rFonts w:ascii="Verdana" w:hAnsi="Verdana" w:cs="Arial"/>
          <w:lang w:val="es-ES_tradnl" w:eastAsia="es-CO"/>
        </w:rPr>
        <w:t xml:space="preserve"> </w:t>
      </w:r>
    </w:p>
    <w:p w14:paraId="48F50327" w14:textId="78FA4794" w:rsidR="00FF349D" w:rsidRPr="00FF349D" w:rsidRDefault="000761A9" w:rsidP="00FF349D">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3498E3FD" wp14:editId="686F380D">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2"/>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FF349D" w:rsidRPr="00FF349D" w14:paraId="6E1CF271" w14:textId="77777777" w:rsidTr="29DDF2A8">
        <w:trPr>
          <w:trHeight w:val="315"/>
        </w:trPr>
        <w:tc>
          <w:tcPr>
            <w:tcW w:w="893" w:type="dxa"/>
            <w:vAlign w:val="center"/>
            <w:hideMark/>
          </w:tcPr>
          <w:p w14:paraId="7A86CCAD" w14:textId="77777777" w:rsidR="00FF349D" w:rsidRPr="00FF349D" w:rsidRDefault="00FF349D" w:rsidP="00FF349D">
            <w:pPr>
              <w:contextualSpacing/>
              <w:rPr>
                <w:rFonts w:ascii="Verdana" w:hAnsi="Verdana" w:cs="Arial"/>
                <w:color w:val="000000" w:themeColor="text1"/>
                <w:sz w:val="16"/>
                <w:szCs w:val="16"/>
                <w:lang w:val="es-ES_tradnl" w:eastAsia="es-ES"/>
              </w:rPr>
            </w:pPr>
            <w:r w:rsidRPr="00FF349D">
              <w:rPr>
                <w:rFonts w:ascii="Verdana" w:hAnsi="Verdana" w:cs="Arial"/>
                <w:color w:val="000000" w:themeColor="text1"/>
                <w:sz w:val="16"/>
                <w:szCs w:val="16"/>
                <w:lang w:val="es-ES_tradnl" w:eastAsia="es-ES"/>
              </w:rPr>
              <w:t>Elaboró:</w:t>
            </w:r>
          </w:p>
        </w:tc>
        <w:tc>
          <w:tcPr>
            <w:tcW w:w="5628" w:type="dxa"/>
            <w:tcBorders>
              <w:top w:val="nil"/>
              <w:left w:val="nil"/>
              <w:bottom w:val="dotted" w:sz="4" w:space="0" w:color="7F7F7F" w:themeColor="text1" w:themeTint="80"/>
              <w:right w:val="nil"/>
            </w:tcBorders>
            <w:vAlign w:val="center"/>
            <w:hideMark/>
          </w:tcPr>
          <w:p w14:paraId="2066FD10" w14:textId="77777777" w:rsidR="00FF349D" w:rsidRPr="00FF349D" w:rsidRDefault="00FF349D" w:rsidP="00FF349D">
            <w:pPr>
              <w:contextualSpacing/>
              <w:rPr>
                <w:rFonts w:ascii="Verdana" w:eastAsia="Arial" w:hAnsi="Verdana" w:cs="Arial"/>
                <w:color w:val="000000" w:themeColor="text1"/>
                <w:sz w:val="16"/>
                <w:szCs w:val="16"/>
                <w:lang w:val="es-ES_tradnl"/>
              </w:rPr>
            </w:pPr>
            <w:r w:rsidRPr="00FF349D">
              <w:rPr>
                <w:rFonts w:ascii="Verdana" w:eastAsia="Arial" w:hAnsi="Verdana" w:cs="Arial"/>
                <w:color w:val="000000" w:themeColor="text1"/>
                <w:sz w:val="16"/>
                <w:szCs w:val="16"/>
                <w:lang w:val="es-ES_tradnl"/>
              </w:rPr>
              <w:t>Keila Margarita Reyes Cassiani</w:t>
            </w:r>
          </w:p>
          <w:p w14:paraId="2A071E2A" w14:textId="77777777" w:rsidR="00FF349D" w:rsidRPr="00FF349D" w:rsidRDefault="00FF349D" w:rsidP="00FF349D">
            <w:pPr>
              <w:contextualSpacing/>
              <w:rPr>
                <w:rFonts w:ascii="Verdana" w:eastAsia="Arial" w:hAnsi="Verdana" w:cs="Arial"/>
                <w:color w:val="000000" w:themeColor="text1"/>
                <w:sz w:val="16"/>
                <w:szCs w:val="16"/>
                <w:lang w:val="es-ES_tradnl"/>
              </w:rPr>
            </w:pPr>
            <w:r w:rsidRPr="00FF349D">
              <w:rPr>
                <w:rFonts w:ascii="Verdana" w:eastAsia="Arial" w:hAnsi="Verdana" w:cs="Arial"/>
                <w:color w:val="000000" w:themeColor="text1"/>
                <w:sz w:val="16"/>
                <w:szCs w:val="16"/>
                <w:lang w:val="es-ES_tradnl"/>
              </w:rPr>
              <w:t>Contratista de la Subdirección de Gestión Contractual</w:t>
            </w:r>
          </w:p>
        </w:tc>
      </w:tr>
      <w:tr w:rsidR="00FF349D" w:rsidRPr="00FF349D" w14:paraId="66B30E99" w14:textId="77777777" w:rsidTr="29DDF2A8">
        <w:trPr>
          <w:trHeight w:val="330"/>
        </w:trPr>
        <w:tc>
          <w:tcPr>
            <w:tcW w:w="893" w:type="dxa"/>
            <w:vAlign w:val="center"/>
            <w:hideMark/>
          </w:tcPr>
          <w:p w14:paraId="678DDA4D" w14:textId="77777777" w:rsidR="00FF349D" w:rsidRPr="00FF349D" w:rsidRDefault="00FF349D" w:rsidP="00FF349D">
            <w:pPr>
              <w:contextualSpacing/>
              <w:rPr>
                <w:rFonts w:ascii="Verdana" w:hAnsi="Verdana" w:cs="Arial"/>
                <w:color w:val="000000" w:themeColor="text1"/>
                <w:sz w:val="16"/>
                <w:szCs w:val="16"/>
                <w:lang w:val="es-ES_tradnl" w:eastAsia="es-ES"/>
              </w:rPr>
            </w:pPr>
            <w:r w:rsidRPr="00FF349D">
              <w:rPr>
                <w:rFonts w:ascii="Verdana" w:hAnsi="Verdana" w:cs="Arial"/>
                <w:color w:val="000000" w:themeColor="text1"/>
                <w:sz w:val="16"/>
                <w:szCs w:val="16"/>
                <w:lang w:val="es-ES_tradnl"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7FCA28D" w14:textId="77777777" w:rsidR="00FF349D" w:rsidRPr="00FF349D" w:rsidRDefault="00FF349D" w:rsidP="00FF349D">
            <w:pPr>
              <w:contextualSpacing/>
              <w:textAlignment w:val="baseline"/>
              <w:rPr>
                <w:rFonts w:ascii="Verdana" w:eastAsia="Times New Roman" w:hAnsi="Verdana" w:cs="Segoe UI"/>
                <w:color w:val="000000" w:themeColor="text1"/>
                <w:sz w:val="16"/>
                <w:szCs w:val="16"/>
                <w:lang w:val="es-ES_tradnl" w:eastAsia="es-ES_tradnl"/>
              </w:rPr>
            </w:pPr>
            <w:r w:rsidRPr="00FF349D">
              <w:rPr>
                <w:rFonts w:ascii="Verdana" w:eastAsia="Times New Roman" w:hAnsi="Verdana" w:cs="Segoe UI"/>
                <w:color w:val="000000" w:themeColor="text1"/>
                <w:sz w:val="16"/>
                <w:szCs w:val="16"/>
                <w:lang w:val="es-ES_tradnl" w:eastAsia="es-ES_tradnl"/>
              </w:rPr>
              <w:t>Juan David Cárdenas</w:t>
            </w:r>
          </w:p>
          <w:p w14:paraId="41F4C840" w14:textId="77777777" w:rsidR="00FF349D" w:rsidRPr="00FF349D" w:rsidRDefault="00FF349D" w:rsidP="00FF349D">
            <w:pPr>
              <w:contextualSpacing/>
              <w:textAlignment w:val="baseline"/>
              <w:rPr>
                <w:rFonts w:ascii="Verdana" w:eastAsia="Times New Roman" w:hAnsi="Verdana" w:cs="Segoe UI"/>
                <w:color w:val="000000" w:themeColor="text1"/>
                <w:sz w:val="16"/>
                <w:szCs w:val="16"/>
                <w:lang w:val="es-ES_tradnl" w:eastAsia="es-ES_tradnl"/>
              </w:rPr>
            </w:pPr>
            <w:r w:rsidRPr="00FF349D">
              <w:rPr>
                <w:rFonts w:ascii="Verdana" w:eastAsia="Times New Roman" w:hAnsi="Verdana" w:cs="Arial"/>
                <w:color w:val="000000" w:themeColor="text1"/>
                <w:sz w:val="16"/>
                <w:szCs w:val="16"/>
                <w:lang w:val="es-ES_tradnl" w:eastAsia="es-ES_tradnl"/>
              </w:rPr>
              <w:t>Contratista de la Subdirección de Gestión Contractual </w:t>
            </w:r>
          </w:p>
        </w:tc>
      </w:tr>
      <w:tr w:rsidR="00FF349D" w:rsidRPr="00FF349D" w14:paraId="3E1123B0" w14:textId="77777777" w:rsidTr="29DDF2A8">
        <w:trPr>
          <w:trHeight w:val="300"/>
        </w:trPr>
        <w:tc>
          <w:tcPr>
            <w:tcW w:w="893" w:type="dxa"/>
            <w:vAlign w:val="center"/>
          </w:tcPr>
          <w:p w14:paraId="7E43EB21" w14:textId="77777777" w:rsidR="00FF349D" w:rsidRPr="00FF349D" w:rsidRDefault="00FF349D" w:rsidP="00FF349D">
            <w:pPr>
              <w:contextualSpacing/>
              <w:rPr>
                <w:rFonts w:ascii="Verdana" w:hAnsi="Verdana" w:cs="Arial"/>
                <w:color w:val="000000" w:themeColor="text1"/>
                <w:sz w:val="16"/>
                <w:szCs w:val="16"/>
                <w:lang w:val="es-ES_tradnl" w:eastAsia="es-ES"/>
              </w:rPr>
            </w:pPr>
            <w:r w:rsidRPr="00FF349D">
              <w:rPr>
                <w:rFonts w:ascii="Verdana" w:hAnsi="Verdana" w:cs="Arial"/>
                <w:color w:val="000000" w:themeColor="text1"/>
                <w:sz w:val="16"/>
                <w:szCs w:val="16"/>
                <w:lang w:val="es-ES_tradnl"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EA0523E" w14:textId="77777777" w:rsidR="00FF349D" w:rsidRPr="00FF349D" w:rsidRDefault="00FF349D" w:rsidP="29DDF2A8">
            <w:pPr>
              <w:contextualSpacing/>
              <w:rPr>
                <w:rFonts w:ascii="Verdana" w:eastAsia="Calibri" w:hAnsi="Verdana" w:cs="Arial"/>
                <w:color w:val="000000" w:themeColor="text1"/>
                <w:sz w:val="16"/>
                <w:szCs w:val="16"/>
                <w:lang w:val="es-ES" w:eastAsia="es-ES"/>
              </w:rPr>
            </w:pPr>
            <w:r w:rsidRPr="29DDF2A8">
              <w:rPr>
                <w:rFonts w:ascii="Verdana" w:eastAsia="Calibri" w:hAnsi="Verdana" w:cs="Arial"/>
                <w:color w:val="000000" w:themeColor="text1"/>
                <w:sz w:val="16"/>
                <w:szCs w:val="16"/>
                <w:lang w:val="es-ES" w:eastAsia="es-ES"/>
              </w:rPr>
              <w:t xml:space="preserve">Carolina Quintero </w:t>
            </w:r>
            <w:proofErr w:type="spellStart"/>
            <w:r w:rsidRPr="29DDF2A8">
              <w:rPr>
                <w:rFonts w:ascii="Verdana" w:eastAsia="Calibri" w:hAnsi="Verdana" w:cs="Arial"/>
                <w:color w:val="000000" w:themeColor="text1"/>
                <w:sz w:val="16"/>
                <w:szCs w:val="16"/>
                <w:lang w:val="es-ES" w:eastAsia="es-ES"/>
              </w:rPr>
              <w:t>Gacharná</w:t>
            </w:r>
            <w:proofErr w:type="spellEnd"/>
          </w:p>
          <w:p w14:paraId="377FD4BD" w14:textId="77777777" w:rsidR="00FF349D" w:rsidRPr="00FF349D" w:rsidRDefault="00FF349D" w:rsidP="00FF349D">
            <w:pPr>
              <w:contextualSpacing/>
              <w:rPr>
                <w:rFonts w:ascii="Verdana" w:eastAsia="Calibri" w:hAnsi="Verdana" w:cs="Arial"/>
                <w:color w:val="000000" w:themeColor="text1"/>
                <w:sz w:val="16"/>
                <w:szCs w:val="16"/>
                <w:lang w:val="es-ES_tradnl" w:eastAsia="es-ES"/>
              </w:rPr>
            </w:pPr>
            <w:r w:rsidRPr="00FF349D">
              <w:rPr>
                <w:rFonts w:ascii="Verdana" w:eastAsia="Calibri" w:hAnsi="Verdana" w:cs="Arial"/>
                <w:color w:val="000000" w:themeColor="text1"/>
                <w:sz w:val="16"/>
                <w:szCs w:val="16"/>
                <w:lang w:val="es-ES_tradnl" w:eastAsia="es-ES"/>
              </w:rPr>
              <w:t>Subdirectora de Gestión Contractual ANCP – CCE</w:t>
            </w:r>
          </w:p>
        </w:tc>
      </w:tr>
      <w:bookmarkEnd w:id="0"/>
    </w:tbl>
    <w:p w14:paraId="0465BA6D" w14:textId="5AE77AAB" w:rsidR="00E245AB" w:rsidRPr="0044528D" w:rsidRDefault="00E245AB" w:rsidP="00E245AB">
      <w:pPr>
        <w:spacing w:after="0"/>
        <w:rPr>
          <w:rFonts w:ascii="Verdana" w:hAnsi="Verdana"/>
        </w:rPr>
      </w:pPr>
    </w:p>
    <w:sectPr w:rsidR="00E245AB" w:rsidRPr="0044528D" w:rsidSect="002566D2">
      <w:headerReference w:type="default" r:id="rId23"/>
      <w:footerReference w:type="default" r:id="rId24"/>
      <w:pgSz w:w="12240" w:h="15840" w:code="1"/>
      <w:pgMar w:top="1417" w:right="1701" w:bottom="1417" w:left="170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8C5AC" w14:textId="77777777" w:rsidR="00412FCB" w:rsidRDefault="00412FCB" w:rsidP="004A1847">
      <w:pPr>
        <w:spacing w:after="0" w:line="240" w:lineRule="auto"/>
      </w:pPr>
      <w:r>
        <w:separator/>
      </w:r>
    </w:p>
  </w:endnote>
  <w:endnote w:type="continuationSeparator" w:id="0">
    <w:p w14:paraId="326FA434" w14:textId="77777777" w:rsidR="00412FCB" w:rsidRDefault="00412FCB"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390877">
      <w:rPr>
        <w:rFonts w:ascii="Verdana" w:eastAsia="Times New Roman" w:hAnsi="Verdana" w:cs="Times New Roman"/>
        <w:b/>
        <w:bCs/>
        <w:sz w:val="16"/>
        <w:szCs w:val="16"/>
        <w:lang w:val="es-ES"/>
      </w:rPr>
      <w:t xml:space="preserve">pág. </w:t>
    </w:r>
    <w:r w:rsidRPr="00390877">
      <w:rPr>
        <w:rFonts w:ascii="Verdana" w:eastAsia="Times New Roman" w:hAnsi="Verdana"/>
        <w:b/>
        <w:bCs/>
        <w:sz w:val="16"/>
        <w:szCs w:val="16"/>
      </w:rPr>
      <w:fldChar w:fldCharType="begin"/>
    </w:r>
    <w:r w:rsidRPr="002E1330">
      <w:rPr>
        <w:rFonts w:ascii="Verdana" w:hAnsi="Verdana"/>
        <w:b/>
        <w:bCs/>
        <w:sz w:val="16"/>
        <w:szCs w:val="16"/>
      </w:rPr>
      <w:instrText>PAGE    \* MERGEFORMAT</w:instrText>
    </w:r>
    <w:r w:rsidRPr="00390877">
      <w:rPr>
        <w:rFonts w:ascii="Verdana" w:eastAsia="Times New Roman" w:hAnsi="Verdana"/>
        <w:b/>
        <w:bCs/>
        <w:sz w:val="16"/>
        <w:szCs w:val="16"/>
      </w:rPr>
      <w:fldChar w:fldCharType="separate"/>
    </w:r>
    <w:r w:rsidRPr="00390877">
      <w:rPr>
        <w:rFonts w:ascii="Verdana" w:eastAsia="Times New Roman" w:hAnsi="Verdana"/>
        <w:b/>
        <w:bCs/>
        <w:sz w:val="16"/>
        <w:szCs w:val="16"/>
      </w:rPr>
      <w:t>1</w:t>
    </w:r>
    <w:r w:rsidRPr="00390877">
      <w:rPr>
        <w:rFonts w:ascii="Verdana" w:eastAsia="Times New Roman" w:hAnsi="Verdana" w:cs="Times New Roman"/>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C7E7F" w14:textId="77777777" w:rsidR="00412FCB" w:rsidRDefault="00412FCB" w:rsidP="004A1847">
      <w:pPr>
        <w:spacing w:after="0" w:line="240" w:lineRule="auto"/>
      </w:pPr>
      <w:r>
        <w:separator/>
      </w:r>
    </w:p>
  </w:footnote>
  <w:footnote w:type="continuationSeparator" w:id="0">
    <w:p w14:paraId="4D2B6681" w14:textId="77777777" w:rsidR="00412FCB" w:rsidRDefault="00412FCB" w:rsidP="004A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1312"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57216"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92B65"/>
    <w:multiLevelType w:val="hybridMultilevel"/>
    <w:tmpl w:val="19485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DD38FF"/>
    <w:multiLevelType w:val="hybridMultilevel"/>
    <w:tmpl w:val="836A1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3"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5"/>
  </w:num>
  <w:num w:numId="7" w16cid:durableId="1946422806">
    <w:abstractNumId w:val="6"/>
  </w:num>
  <w:num w:numId="8" w16cid:durableId="152644682">
    <w:abstractNumId w:val="14"/>
  </w:num>
  <w:num w:numId="9" w16cid:durableId="1317221377">
    <w:abstractNumId w:val="9"/>
  </w:num>
  <w:num w:numId="10" w16cid:durableId="1471245386">
    <w:abstractNumId w:val="13"/>
  </w:num>
  <w:num w:numId="11" w16cid:durableId="289172385">
    <w:abstractNumId w:val="10"/>
  </w:num>
  <w:num w:numId="12" w16cid:durableId="1470781324">
    <w:abstractNumId w:val="1"/>
  </w:num>
  <w:num w:numId="13" w16cid:durableId="1512908409">
    <w:abstractNumId w:val="3"/>
  </w:num>
  <w:num w:numId="14" w16cid:durableId="895897244">
    <w:abstractNumId w:val="16"/>
  </w:num>
  <w:num w:numId="15" w16cid:durableId="390349800">
    <w:abstractNumId w:val="12"/>
  </w:num>
  <w:num w:numId="16" w16cid:durableId="341274352">
    <w:abstractNumId w:val="0"/>
  </w:num>
  <w:num w:numId="17" w16cid:durableId="679089576">
    <w:abstractNumId w:val="11"/>
  </w:num>
  <w:num w:numId="18" w16cid:durableId="718089256">
    <w:abstractNumId w:val="4"/>
  </w:num>
  <w:num w:numId="19" w16cid:durableId="140464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761A9"/>
    <w:rsid w:val="00082362"/>
    <w:rsid w:val="000A683E"/>
    <w:rsid w:val="000B19B9"/>
    <w:rsid w:val="000D0334"/>
    <w:rsid w:val="000F6486"/>
    <w:rsid w:val="00125105"/>
    <w:rsid w:val="00127233"/>
    <w:rsid w:val="001E4177"/>
    <w:rsid w:val="001F7DC6"/>
    <w:rsid w:val="00203696"/>
    <w:rsid w:val="002421BB"/>
    <w:rsid w:val="002566D2"/>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90877"/>
    <w:rsid w:val="003A26D1"/>
    <w:rsid w:val="003A779E"/>
    <w:rsid w:val="003D0F4D"/>
    <w:rsid w:val="003D5B0D"/>
    <w:rsid w:val="003E0499"/>
    <w:rsid w:val="003F3941"/>
    <w:rsid w:val="00406575"/>
    <w:rsid w:val="00407903"/>
    <w:rsid w:val="00412FCB"/>
    <w:rsid w:val="0042722E"/>
    <w:rsid w:val="0044528D"/>
    <w:rsid w:val="004A1847"/>
    <w:rsid w:val="004A305D"/>
    <w:rsid w:val="004B3239"/>
    <w:rsid w:val="004F21C4"/>
    <w:rsid w:val="004F685F"/>
    <w:rsid w:val="005566E8"/>
    <w:rsid w:val="00574867"/>
    <w:rsid w:val="00591460"/>
    <w:rsid w:val="00592628"/>
    <w:rsid w:val="005C3777"/>
    <w:rsid w:val="005C5CDC"/>
    <w:rsid w:val="005D476C"/>
    <w:rsid w:val="00603017"/>
    <w:rsid w:val="00610812"/>
    <w:rsid w:val="006219F8"/>
    <w:rsid w:val="00650FF7"/>
    <w:rsid w:val="00665D70"/>
    <w:rsid w:val="00671DAC"/>
    <w:rsid w:val="00686393"/>
    <w:rsid w:val="006900D9"/>
    <w:rsid w:val="006D12F8"/>
    <w:rsid w:val="00706C16"/>
    <w:rsid w:val="00756841"/>
    <w:rsid w:val="007649AB"/>
    <w:rsid w:val="00771D0C"/>
    <w:rsid w:val="007833AC"/>
    <w:rsid w:val="007B268C"/>
    <w:rsid w:val="007B7171"/>
    <w:rsid w:val="007C0C0F"/>
    <w:rsid w:val="007C3DC2"/>
    <w:rsid w:val="007E5497"/>
    <w:rsid w:val="00806F5F"/>
    <w:rsid w:val="00820278"/>
    <w:rsid w:val="008843B6"/>
    <w:rsid w:val="00891928"/>
    <w:rsid w:val="008A446D"/>
    <w:rsid w:val="008D180B"/>
    <w:rsid w:val="008F0EA7"/>
    <w:rsid w:val="00923EEF"/>
    <w:rsid w:val="009419F9"/>
    <w:rsid w:val="0095685E"/>
    <w:rsid w:val="00961B09"/>
    <w:rsid w:val="00965334"/>
    <w:rsid w:val="0097093E"/>
    <w:rsid w:val="009A0DFA"/>
    <w:rsid w:val="009B2D26"/>
    <w:rsid w:val="009C71FA"/>
    <w:rsid w:val="009C72E7"/>
    <w:rsid w:val="009D3058"/>
    <w:rsid w:val="009F3A13"/>
    <w:rsid w:val="00A122D3"/>
    <w:rsid w:val="00A17F13"/>
    <w:rsid w:val="00A20739"/>
    <w:rsid w:val="00A33C78"/>
    <w:rsid w:val="00AB0ADB"/>
    <w:rsid w:val="00AD03A1"/>
    <w:rsid w:val="00B01B1A"/>
    <w:rsid w:val="00B72CD3"/>
    <w:rsid w:val="00B72FFF"/>
    <w:rsid w:val="00BC3D36"/>
    <w:rsid w:val="00BD7F72"/>
    <w:rsid w:val="00C04FB3"/>
    <w:rsid w:val="00C330EB"/>
    <w:rsid w:val="00C754BE"/>
    <w:rsid w:val="00C76B1C"/>
    <w:rsid w:val="00CB6357"/>
    <w:rsid w:val="00CC1B26"/>
    <w:rsid w:val="00D33238"/>
    <w:rsid w:val="00D423A2"/>
    <w:rsid w:val="00D520D8"/>
    <w:rsid w:val="00D63AC2"/>
    <w:rsid w:val="00D7383B"/>
    <w:rsid w:val="00DA231B"/>
    <w:rsid w:val="00DA23A0"/>
    <w:rsid w:val="00DC39FC"/>
    <w:rsid w:val="00DC7A44"/>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C38A7"/>
    <w:rsid w:val="00EE1AA8"/>
    <w:rsid w:val="00F245DA"/>
    <w:rsid w:val="00F31EDC"/>
    <w:rsid w:val="00F462B3"/>
    <w:rsid w:val="00F5664F"/>
    <w:rsid w:val="00F666C4"/>
    <w:rsid w:val="00F76AFC"/>
    <w:rsid w:val="00FA47C0"/>
    <w:rsid w:val="00FB5DD1"/>
    <w:rsid w:val="00FC2B5D"/>
    <w:rsid w:val="00FF1449"/>
    <w:rsid w:val="00FF349D"/>
    <w:rsid w:val="29DDF2A8"/>
    <w:rsid w:val="532598F3"/>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latoria.colombiacompra.gov.co/normativa/ley-2069-de-2020/" TargetMode="External"/><Relationship Id="rId18" Type="http://schemas.openxmlformats.org/officeDocument/2006/relationships/hyperlink" Target="https://relatoria.colombiacompra.gov.co/providencias-consejo-de-estad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olombiacompra.gov.co/sala-de-prensa/boletin-digital" TargetMode="External"/><Relationship Id="rId7" Type="http://schemas.openxmlformats.org/officeDocument/2006/relationships/webSettings" Target="webSettings.xml"/><Relationship Id="rId12" Type="http://schemas.openxmlformats.org/officeDocument/2006/relationships/hyperlink" Target="https://relatoria.colombiacompra.gov.co/normativa/decreto-092-de-2017/" TargetMode="External"/><Relationship Id="rId17" Type="http://schemas.openxmlformats.org/officeDocument/2006/relationships/hyperlink" Target="https://www.colombiacompra.gov.co/sites/cce_public/files/cce_tienda_virtual/propuesta_guia_vf_-mipym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lombiacompra.gov.co/sites/cce_public/files/cce_documents/cce_guia_esal.pdf" TargetMode="External"/><Relationship Id="rId20" Type="http://schemas.openxmlformats.org/officeDocument/2006/relationships/hyperlink" Target="https://relatoria.colombiacompra.gov.co/busqueda/concepto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ysialejandra_castro@hotmail.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latoria.colombiacompra.gov.co/normativa/ley-590-de-2000/"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colombiacompra.gov.co/manuales-guias-y-pliegos-tipo/manuales-y-gui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normativa/ley-1450-de-2011/"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3A440CEA-E488-4D26-9754-A7077FC99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1804</Words>
  <Characters>9923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3</cp:revision>
  <cp:lastPrinted>2023-01-10T21:18:00Z</cp:lastPrinted>
  <dcterms:created xsi:type="dcterms:W3CDTF">2024-09-05T14:16:00Z</dcterms:created>
  <dcterms:modified xsi:type="dcterms:W3CDTF">2024-09-06T16:51:00Z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