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DDBD" w14:textId="77777777" w:rsidR="000C4DE3" w:rsidRDefault="000C4DE3" w:rsidP="000E1E79">
      <w:pPr>
        <w:spacing w:after="0" w:line="240" w:lineRule="auto"/>
        <w:jc w:val="both"/>
        <w:rPr>
          <w:rFonts w:ascii="Verdana" w:eastAsia="Times New Roman" w:hAnsi="Verdana" w:cs="Arial"/>
          <w:color w:val="000000"/>
          <w14:ligatures w14:val="none"/>
        </w:rPr>
      </w:pPr>
    </w:p>
    <w:p w14:paraId="0296E5B4" w14:textId="77777777" w:rsidR="000C4DE3" w:rsidRDefault="000C4DE3" w:rsidP="000E1E79">
      <w:pPr>
        <w:spacing w:after="0" w:line="240" w:lineRule="auto"/>
        <w:jc w:val="both"/>
        <w:rPr>
          <w:rFonts w:ascii="Verdana" w:eastAsia="Times New Roman" w:hAnsi="Verdana" w:cs="Arial"/>
          <w:color w:val="000000"/>
          <w14:ligatures w14:val="none"/>
        </w:rPr>
      </w:pPr>
    </w:p>
    <w:p w14:paraId="1F0642FB" w14:textId="446F72E0" w:rsidR="000E1E79" w:rsidRPr="000E1E79" w:rsidRDefault="000E1E79" w:rsidP="000E1E79">
      <w:pPr>
        <w:spacing w:after="0" w:line="240" w:lineRule="auto"/>
        <w:jc w:val="both"/>
        <w:rPr>
          <w:rFonts w:ascii="Verdana" w:eastAsia="Times New Roman" w:hAnsi="Verdana" w:cs="Arial"/>
          <w:color w:val="000000"/>
          <w14:ligatures w14:val="none"/>
        </w:rPr>
      </w:pPr>
      <w:r w:rsidRPr="000E1E79">
        <w:rPr>
          <w:rFonts w:ascii="Verdana" w:eastAsia="Times New Roman" w:hAnsi="Verdana" w:cs="Arial"/>
          <w:b/>
          <w:bCs/>
          <w:color w:val="000000"/>
          <w14:ligatures w14:val="none"/>
        </w:rPr>
        <w:t>CONTRATO DE PRESTACION DE SERVICIOS – Definición</w:t>
      </w:r>
    </w:p>
    <w:p w14:paraId="4E444B8F" w14:textId="77777777" w:rsidR="000E1E79" w:rsidRPr="000E1E79" w:rsidRDefault="000E1E79" w:rsidP="000E1E79">
      <w:pPr>
        <w:spacing w:after="0" w:line="240" w:lineRule="auto"/>
        <w:rPr>
          <w:rFonts w:ascii="Verdana" w:eastAsia="Times New Roman" w:hAnsi="Verdana" w:cs="Arial"/>
          <w:color w:val="000000"/>
          <w14:ligatures w14:val="none"/>
        </w:rPr>
      </w:pPr>
      <w:r w:rsidRPr="000E1E79">
        <w:rPr>
          <w:rFonts w:ascii="Verdana" w:eastAsia="Times New Roman" w:hAnsi="Verdana" w:cs="Arial"/>
          <w:b/>
          <w:bCs/>
          <w:color w:val="000000"/>
          <w14:ligatures w14:val="none"/>
        </w:rPr>
        <w:t> </w:t>
      </w:r>
    </w:p>
    <w:p w14:paraId="2D138584" w14:textId="77777777" w:rsidR="000E1E79" w:rsidRPr="000E1E79" w:rsidRDefault="000E1E79" w:rsidP="000E1E79">
      <w:pPr>
        <w:spacing w:after="0" w:line="240" w:lineRule="auto"/>
        <w:jc w:val="both"/>
        <w:rPr>
          <w:rFonts w:ascii="Verdana" w:eastAsia="Times New Roman" w:hAnsi="Verdana" w:cs="Arial"/>
          <w:color w:val="000000"/>
          <w:sz w:val="20"/>
          <w:szCs w:val="20"/>
          <w14:ligatures w14:val="none"/>
        </w:rPr>
      </w:pPr>
      <w:r w:rsidRPr="000E1E79">
        <w:rPr>
          <w:rFonts w:ascii="Verdana" w:eastAsia="Times New Roman" w:hAnsi="Verdana" w:cs="Arial"/>
          <w:color w:val="000000"/>
          <w:sz w:val="20"/>
          <w:szCs w:val="20"/>
          <w14:ligatures w14:val="none"/>
        </w:rPr>
        <w:t>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numeral 3 del artículo 32, de la Ley 80 de 1993, el cual establece:</w:t>
      </w:r>
    </w:p>
    <w:p w14:paraId="60F5E740" w14:textId="77777777" w:rsidR="000E1E79" w:rsidRPr="000E1E79" w:rsidRDefault="000E1E79" w:rsidP="000E1E79">
      <w:pPr>
        <w:spacing w:after="0" w:line="240" w:lineRule="auto"/>
        <w:jc w:val="both"/>
        <w:rPr>
          <w:rFonts w:ascii="Verdana" w:eastAsia="Times New Roman" w:hAnsi="Verdana" w:cs="Arial"/>
          <w:color w:val="000000"/>
          <w:sz w:val="20"/>
          <w:szCs w:val="20"/>
          <w14:ligatures w14:val="none"/>
        </w:rPr>
      </w:pPr>
      <w:r w:rsidRPr="000E1E79">
        <w:rPr>
          <w:rFonts w:ascii="Verdana" w:eastAsia="Times New Roman" w:hAnsi="Verdana" w:cs="Arial"/>
          <w:color w:val="000000"/>
          <w:sz w:val="20"/>
          <w:szCs w:val="20"/>
          <w14:ligatures w14:val="none"/>
        </w:rPr>
        <w:t>[…]</w:t>
      </w:r>
    </w:p>
    <w:p w14:paraId="54B57B55" w14:textId="77777777" w:rsidR="000E1E79" w:rsidRPr="000E1E79" w:rsidRDefault="000E1E79" w:rsidP="000E1E79">
      <w:pPr>
        <w:spacing w:after="0" w:line="240" w:lineRule="auto"/>
        <w:jc w:val="both"/>
        <w:rPr>
          <w:rFonts w:ascii="Verdana" w:eastAsia="Times New Roman" w:hAnsi="Verdana" w:cs="Arial"/>
          <w:color w:val="000000"/>
          <w:sz w:val="20"/>
          <w:szCs w:val="20"/>
          <w14:ligatures w14:val="none"/>
        </w:rPr>
      </w:pPr>
      <w:r w:rsidRPr="000E1E79">
        <w:rPr>
          <w:rFonts w:ascii="Verdana" w:eastAsia="Times New Roman" w:hAnsi="Verdana" w:cs="Arial"/>
          <w:color w:val="000000"/>
          <w:sz w:val="20"/>
          <w:szCs w:val="20"/>
          <w14:ligatures w14:val="none"/>
        </w:rPr>
        <w:t>La celebración de dicho contrato se debe efectuar a través de la modalidad de la contratación directa. Así lo prevé el literal h numeral 4 del artículo 2, de la Ley 1150 de 2007, […]</w:t>
      </w:r>
    </w:p>
    <w:p w14:paraId="591847EC" w14:textId="77777777" w:rsidR="00D11A4A" w:rsidRDefault="00D11A4A" w:rsidP="00D11A4A">
      <w:pPr>
        <w:spacing w:after="0" w:line="240" w:lineRule="auto"/>
        <w:rPr>
          <w:rFonts w:ascii="Verdana" w:eastAsia="Times New Roman" w:hAnsi="Verdana" w:cs="Arial"/>
          <w:color w:val="000000"/>
          <w:lang w:val="es-MX"/>
          <w14:ligatures w14:val="none"/>
        </w:rPr>
      </w:pPr>
    </w:p>
    <w:p w14:paraId="25379002" w14:textId="77777777" w:rsidR="000C4DE3" w:rsidRDefault="000C4DE3" w:rsidP="00D11A4A">
      <w:pPr>
        <w:spacing w:after="0" w:line="240" w:lineRule="auto"/>
        <w:rPr>
          <w:rFonts w:ascii="Verdana" w:eastAsia="Times New Roman" w:hAnsi="Verdana" w:cs="Arial"/>
          <w:color w:val="000000"/>
          <w:lang w:val="es-MX"/>
          <w14:ligatures w14:val="none"/>
        </w:rPr>
      </w:pPr>
    </w:p>
    <w:p w14:paraId="3BA1772E" w14:textId="71FBC75B" w:rsidR="000C087C" w:rsidRPr="000C087C" w:rsidRDefault="000C087C" w:rsidP="000C087C">
      <w:pPr>
        <w:spacing w:after="0" w:line="240" w:lineRule="auto"/>
        <w:jc w:val="both"/>
        <w:rPr>
          <w:rFonts w:ascii="Verdana" w:eastAsia="Times New Roman" w:hAnsi="Verdana" w:cs="Arial"/>
          <w:b/>
          <w:bCs/>
          <w:color w:val="000000"/>
          <w:lang w:val="es-MX"/>
          <w14:ligatures w14:val="none"/>
        </w:rPr>
      </w:pPr>
      <w:r w:rsidRPr="000C087C">
        <w:rPr>
          <w:rFonts w:ascii="Verdana" w:eastAsia="Times New Roman" w:hAnsi="Verdana" w:cs="Arial"/>
          <w:b/>
          <w:bCs/>
          <w:color w:val="000000"/>
          <w:lang w:val="es-MX"/>
          <w14:ligatures w14:val="none"/>
        </w:rPr>
        <w:t xml:space="preserve">CONTRATO DE PRESTACIÓN DE SERVICIOS – </w:t>
      </w:r>
      <w:r w:rsidRPr="00D11A4A">
        <w:rPr>
          <w:rFonts w:ascii="Verdana" w:eastAsia="Times New Roman" w:hAnsi="Verdana" w:cs="Arial"/>
          <w:b/>
          <w:bCs/>
          <w14:ligatures w14:val="none"/>
        </w:rPr>
        <w:t>Generalidades – incapacidades – Estabilidad Laboral Reforzada</w:t>
      </w:r>
    </w:p>
    <w:p w14:paraId="4AFA2FE7" w14:textId="77777777" w:rsidR="000C087C" w:rsidRPr="000C087C" w:rsidRDefault="000C087C" w:rsidP="000C087C">
      <w:pPr>
        <w:spacing w:after="0" w:line="240" w:lineRule="auto"/>
        <w:jc w:val="both"/>
        <w:rPr>
          <w:rFonts w:ascii="Verdana" w:eastAsia="Times New Roman" w:hAnsi="Verdana" w:cs="Arial"/>
          <w:b/>
          <w:bCs/>
          <w:color w:val="000000"/>
          <w:lang w:val="es-MX"/>
          <w14:ligatures w14:val="none"/>
        </w:rPr>
      </w:pPr>
    </w:p>
    <w:p w14:paraId="3C65FFD8" w14:textId="77777777" w:rsidR="000C087C" w:rsidRPr="000C087C" w:rsidRDefault="000C087C" w:rsidP="000C087C">
      <w:pPr>
        <w:spacing w:after="0" w:line="240" w:lineRule="auto"/>
        <w:jc w:val="both"/>
        <w:rPr>
          <w:rFonts w:ascii="Verdana" w:eastAsia="Times New Roman" w:hAnsi="Verdana" w:cs="Arial"/>
          <w:color w:val="000000"/>
          <w:lang w:val="es-MX"/>
          <w14:ligatures w14:val="none"/>
        </w:rPr>
      </w:pPr>
      <w:r w:rsidRPr="000C087C">
        <w:rPr>
          <w:rFonts w:ascii="Verdana" w:eastAsia="Times New Roman" w:hAnsi="Verdana" w:cs="Arial"/>
          <w:color w:val="000000"/>
          <w:sz w:val="20"/>
          <w:szCs w:val="20"/>
          <w:lang w:val="es-MX"/>
          <w14:ligatures w14:val="none"/>
        </w:rPr>
        <w:t>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0C087C">
        <w:rPr>
          <w:rFonts w:ascii="Verdana" w:eastAsia="Times New Roman" w:hAnsi="Verdana" w:cs="Arial"/>
          <w:i/>
          <w:iCs/>
          <w:color w:val="000000"/>
          <w:sz w:val="20"/>
          <w:szCs w:val="20"/>
          <w:lang w:val="es-MX"/>
          <w14:ligatures w14:val="none"/>
        </w:rPr>
        <w:t>subordinación y dependencia</w:t>
      </w:r>
      <w:r w:rsidRPr="000C087C">
        <w:rPr>
          <w:rFonts w:ascii="Verdana" w:eastAsia="Times New Roman" w:hAnsi="Verdana" w:cs="Arial"/>
          <w:color w:val="000000"/>
          <w:sz w:val="20"/>
          <w:szCs w:val="20"/>
          <w:lang w:val="es-MX"/>
          <w14:ligatures w14:val="none"/>
        </w:rPr>
        <w:t> que es uno de los elementos constitutivos del vínculo laboral; iv)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algunos casos no es obligatoria la liquidación; x) para su celebración no se requiere inscripción en el Registro Único de Proponentes (RUP); xi) en él no son necesarias las garantías</w:t>
      </w:r>
      <w:r w:rsidRPr="000C087C">
        <w:rPr>
          <w:rFonts w:ascii="Verdana" w:eastAsia="Times New Roman" w:hAnsi="Verdana" w:cs="Arial"/>
          <w:color w:val="000000"/>
          <w:lang w:val="es-MX"/>
          <w14:ligatures w14:val="none"/>
        </w:rPr>
        <w:t>.</w:t>
      </w:r>
    </w:p>
    <w:p w14:paraId="7FDAF596" w14:textId="77777777" w:rsidR="00D11A4A" w:rsidRDefault="00D11A4A" w:rsidP="00D11A4A">
      <w:pPr>
        <w:spacing w:after="0" w:line="240" w:lineRule="auto"/>
        <w:rPr>
          <w:rFonts w:ascii="Verdana" w:eastAsia="Times New Roman" w:hAnsi="Verdana" w:cs="Arial"/>
          <w:color w:val="000000"/>
          <w:lang w:val="es-MX"/>
          <w14:ligatures w14:val="none"/>
        </w:rPr>
      </w:pPr>
    </w:p>
    <w:p w14:paraId="0D0C8EC8" w14:textId="77777777" w:rsidR="00D11A4A" w:rsidRDefault="00D11A4A" w:rsidP="00D11A4A">
      <w:pPr>
        <w:spacing w:after="0" w:line="240" w:lineRule="auto"/>
        <w:rPr>
          <w:rFonts w:ascii="Verdana" w:eastAsia="Times New Roman" w:hAnsi="Verdana" w:cs="Arial"/>
          <w:color w:val="000000"/>
          <w:lang w:val="es-MX"/>
          <w14:ligatures w14:val="none"/>
        </w:rPr>
      </w:pPr>
    </w:p>
    <w:p w14:paraId="44224BA7" w14:textId="77777777" w:rsidR="00D11A4A" w:rsidRDefault="00D11A4A" w:rsidP="00D11A4A">
      <w:pPr>
        <w:spacing w:after="0" w:line="240" w:lineRule="auto"/>
        <w:rPr>
          <w:rFonts w:ascii="Verdana" w:eastAsia="Times New Roman" w:hAnsi="Verdana" w:cs="Arial"/>
          <w:color w:val="000000"/>
          <w:lang w:val="es-MX"/>
          <w14:ligatures w14:val="none"/>
        </w:rPr>
      </w:pPr>
    </w:p>
    <w:p w14:paraId="5E4E9A4D" w14:textId="77777777" w:rsidR="00D11A4A" w:rsidRDefault="00D11A4A" w:rsidP="00D11A4A">
      <w:pPr>
        <w:spacing w:after="0" w:line="240" w:lineRule="auto"/>
        <w:rPr>
          <w:rFonts w:ascii="Verdana" w:eastAsia="Times New Roman" w:hAnsi="Verdana" w:cs="Arial"/>
          <w:color w:val="000000"/>
          <w:lang w:val="es-MX"/>
          <w14:ligatures w14:val="none"/>
        </w:rPr>
      </w:pPr>
    </w:p>
    <w:p w14:paraId="0B6D9AE0" w14:textId="77777777" w:rsidR="00D11A4A" w:rsidRDefault="00D11A4A" w:rsidP="00D11A4A">
      <w:pPr>
        <w:spacing w:after="0" w:line="240" w:lineRule="auto"/>
        <w:rPr>
          <w:rFonts w:ascii="Verdana" w:eastAsia="Times New Roman" w:hAnsi="Verdana" w:cs="Arial"/>
          <w:color w:val="000000"/>
          <w:lang w:val="es-MX"/>
          <w14:ligatures w14:val="none"/>
        </w:rPr>
      </w:pPr>
    </w:p>
    <w:p w14:paraId="23F38DF0" w14:textId="77777777" w:rsidR="00D11A4A" w:rsidRDefault="00D11A4A" w:rsidP="00D11A4A">
      <w:pPr>
        <w:spacing w:after="0" w:line="240" w:lineRule="auto"/>
        <w:rPr>
          <w:rFonts w:ascii="Verdana" w:eastAsia="Times New Roman" w:hAnsi="Verdana" w:cs="Arial"/>
          <w:color w:val="000000"/>
          <w:lang w:val="es-MX"/>
          <w14:ligatures w14:val="none"/>
        </w:rPr>
      </w:pPr>
    </w:p>
    <w:p w14:paraId="72CCF222" w14:textId="77777777" w:rsidR="00D11A4A" w:rsidRDefault="00D11A4A" w:rsidP="00D11A4A">
      <w:pPr>
        <w:spacing w:after="0" w:line="240" w:lineRule="auto"/>
        <w:rPr>
          <w:rFonts w:ascii="Verdana" w:eastAsia="Times New Roman" w:hAnsi="Verdana" w:cs="Arial"/>
          <w:color w:val="000000"/>
          <w:lang w:val="es-MX"/>
          <w14:ligatures w14:val="none"/>
        </w:rPr>
      </w:pPr>
    </w:p>
    <w:p w14:paraId="1CB3F78C" w14:textId="77777777" w:rsidR="00D11A4A" w:rsidRDefault="00D11A4A" w:rsidP="00D11A4A">
      <w:pPr>
        <w:spacing w:after="0" w:line="240" w:lineRule="auto"/>
        <w:rPr>
          <w:rFonts w:ascii="Verdana" w:eastAsia="Times New Roman" w:hAnsi="Verdana" w:cs="Arial"/>
          <w:color w:val="000000"/>
          <w:lang w:val="es-MX"/>
          <w14:ligatures w14:val="none"/>
        </w:rPr>
      </w:pPr>
    </w:p>
    <w:p w14:paraId="273EE97E" w14:textId="77777777" w:rsidR="00D11A4A" w:rsidRDefault="00D11A4A" w:rsidP="00D11A4A">
      <w:pPr>
        <w:spacing w:after="0" w:line="240" w:lineRule="auto"/>
        <w:rPr>
          <w:rFonts w:ascii="Verdana" w:eastAsia="Times New Roman" w:hAnsi="Verdana" w:cs="Arial"/>
          <w:color w:val="000000"/>
          <w:lang w:val="es-MX"/>
          <w14:ligatures w14:val="none"/>
        </w:rPr>
      </w:pPr>
    </w:p>
    <w:p w14:paraId="41144408" w14:textId="77777777" w:rsidR="00D11A4A" w:rsidRDefault="00D11A4A" w:rsidP="00D11A4A">
      <w:pPr>
        <w:spacing w:after="0" w:line="240" w:lineRule="auto"/>
        <w:rPr>
          <w:rFonts w:ascii="Verdana" w:eastAsia="Times New Roman" w:hAnsi="Verdana" w:cs="Arial"/>
          <w:color w:val="000000"/>
          <w:lang w:val="es-MX"/>
          <w14:ligatures w14:val="none"/>
        </w:rPr>
      </w:pPr>
    </w:p>
    <w:p w14:paraId="01AD221A" w14:textId="7CC418AE" w:rsidR="00D11A4A" w:rsidRPr="00D11A4A" w:rsidRDefault="00D11A4A" w:rsidP="00D11A4A">
      <w:pPr>
        <w:spacing w:after="0" w:line="240" w:lineRule="auto"/>
        <w:rPr>
          <w:rFonts w:ascii="Verdana" w:eastAsia="Times New Roman" w:hAnsi="Verdana" w:cs="Arial"/>
          <w:color w:val="201F1E"/>
          <w:lang w:val="es-MX"/>
          <w14:ligatures w14:val="none"/>
        </w:rPr>
      </w:pPr>
      <w:r w:rsidRPr="00D11A4A">
        <w:rPr>
          <w:rFonts w:ascii="Verdana" w:eastAsia="Times New Roman" w:hAnsi="Verdana" w:cs="Arial"/>
          <w:color w:val="000000"/>
          <w:lang w:val="es-MX"/>
          <w14:ligatures w14:val="none"/>
        </w:rPr>
        <w:lastRenderedPageBreak/>
        <w:t>Bogotá D.C., </w:t>
      </w:r>
      <w:r w:rsidRPr="00D11A4A">
        <w:rPr>
          <w:rFonts w:ascii="Verdana" w:eastAsia="Times New Roman" w:hAnsi="Verdana" w:cs="Arial"/>
          <w:color w:val="201F1E"/>
          <w:lang w:val="es-MX"/>
          <w14:ligatures w14:val="none"/>
        </w:rPr>
        <w:t>[Día] de [Mes.NombreCapitalizado] de [Año]</w:t>
      </w:r>
    </w:p>
    <w:p w14:paraId="6A01DF23" w14:textId="19E77E95" w:rsidR="00D11A4A" w:rsidRPr="00D11A4A" w:rsidRDefault="00B8138A" w:rsidP="00D11A4A">
      <w:pPr>
        <w:spacing w:after="0" w:line="240" w:lineRule="auto"/>
        <w:jc w:val="both"/>
        <w:rPr>
          <w:rFonts w:ascii="Verdana" w:eastAsia="Times New Roman" w:hAnsi="Verdana" w:cs="Arial"/>
          <w:color w:val="000000"/>
          <w:lang w:val="es-ES"/>
          <w14:ligatures w14:val="none"/>
        </w:rPr>
      </w:pPr>
      <w:r w:rsidRPr="00B8138A">
        <w:rPr>
          <w:rFonts w:ascii="Verdana" w:eastAsia="Times New Roman" w:hAnsi="Verdana" w:cs="Arial"/>
          <w:noProof/>
          <w:color w:val="000000"/>
          <w:lang w:val="es-ES"/>
          <w14:ligatures w14:val="none"/>
        </w:rPr>
        <w:drawing>
          <wp:anchor distT="0" distB="0" distL="114300" distR="114300" simplePos="0" relativeHeight="251657216" behindDoc="1" locked="0" layoutInCell="1" allowOverlap="1" wp14:anchorId="4079B6AB" wp14:editId="38F93C1F">
            <wp:simplePos x="0" y="0"/>
            <wp:positionH relativeFrom="column">
              <wp:posOffset>2452370</wp:posOffset>
            </wp:positionH>
            <wp:positionV relativeFrom="paragraph">
              <wp:posOffset>73660</wp:posOffset>
            </wp:positionV>
            <wp:extent cx="3429000" cy="1028700"/>
            <wp:effectExtent l="0" t="0" r="0" b="0"/>
            <wp:wrapTight wrapText="bothSides">
              <wp:wrapPolygon edited="0">
                <wp:start x="0" y="0"/>
                <wp:lineTo x="0" y="21200"/>
                <wp:lineTo x="21480" y="21200"/>
                <wp:lineTo x="21480" y="0"/>
                <wp:lineTo x="0" y="0"/>
              </wp:wrapPolygon>
            </wp:wrapTight>
            <wp:docPr id="15417171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17144"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429000" cy="1028700"/>
                    </a:xfrm>
                    <a:prstGeom prst="rect">
                      <a:avLst/>
                    </a:prstGeom>
                  </pic:spPr>
                </pic:pic>
              </a:graphicData>
            </a:graphic>
          </wp:anchor>
        </w:drawing>
      </w:r>
    </w:p>
    <w:p w14:paraId="64DA3B8C" w14:textId="0F5A6529" w:rsidR="00D11A4A" w:rsidRDefault="00D11A4A" w:rsidP="00D11A4A">
      <w:pPr>
        <w:spacing w:after="0" w:line="240" w:lineRule="auto"/>
        <w:jc w:val="both"/>
        <w:rPr>
          <w:rFonts w:ascii="Verdana" w:eastAsia="Times New Roman" w:hAnsi="Verdana" w:cs="Arial"/>
          <w:color w:val="000000"/>
          <w:lang w:val="es-ES"/>
          <w14:ligatures w14:val="none"/>
        </w:rPr>
      </w:pPr>
      <w:bookmarkStart w:id="0" w:name="_Hlk175917643"/>
    </w:p>
    <w:p w14:paraId="411A0A90" w14:textId="77777777" w:rsidR="00605A43" w:rsidRDefault="00605A43" w:rsidP="00D11A4A">
      <w:pPr>
        <w:spacing w:after="0" w:line="240" w:lineRule="auto"/>
        <w:jc w:val="both"/>
        <w:rPr>
          <w:rFonts w:ascii="Verdana" w:eastAsia="Times New Roman" w:hAnsi="Verdana" w:cs="Arial"/>
          <w:color w:val="000000"/>
          <w:lang w:val="es-ES"/>
          <w14:ligatures w14:val="none"/>
        </w:rPr>
      </w:pPr>
    </w:p>
    <w:p w14:paraId="5DAB91A2" w14:textId="77777777" w:rsidR="00605A43" w:rsidRDefault="00605A43" w:rsidP="00D11A4A">
      <w:pPr>
        <w:spacing w:after="0" w:line="240" w:lineRule="auto"/>
        <w:jc w:val="both"/>
        <w:rPr>
          <w:rFonts w:ascii="Verdana" w:eastAsia="Times New Roman" w:hAnsi="Verdana" w:cs="Arial"/>
          <w:color w:val="000000"/>
          <w:lang w:val="es-ES"/>
          <w14:ligatures w14:val="none"/>
        </w:rPr>
      </w:pPr>
    </w:p>
    <w:p w14:paraId="637B5F0D" w14:textId="77777777" w:rsidR="00605A43" w:rsidRPr="00D11A4A" w:rsidRDefault="00605A43" w:rsidP="00D11A4A">
      <w:pPr>
        <w:spacing w:after="0" w:line="240" w:lineRule="auto"/>
        <w:jc w:val="both"/>
        <w:rPr>
          <w:rFonts w:ascii="Verdana" w:eastAsia="Times New Roman" w:hAnsi="Verdana" w:cs="Arial"/>
          <w:color w:val="000000"/>
          <w:lang w:val="es-ES"/>
          <w14:ligatures w14:val="none"/>
        </w:rPr>
      </w:pPr>
    </w:p>
    <w:p w14:paraId="6E4FFB35" w14:textId="77777777" w:rsidR="00B8138A" w:rsidRDefault="00B8138A" w:rsidP="00D11A4A">
      <w:pPr>
        <w:spacing w:after="0" w:line="240" w:lineRule="auto"/>
        <w:jc w:val="both"/>
        <w:rPr>
          <w:rFonts w:ascii="Verdana" w:eastAsia="Times New Roman" w:hAnsi="Verdana" w:cs="Arial"/>
          <w:lang w:val="es-ES" w:eastAsia="es-ES"/>
          <w14:ligatures w14:val="none"/>
        </w:rPr>
      </w:pPr>
    </w:p>
    <w:p w14:paraId="7787891E" w14:textId="77777777" w:rsidR="00B8138A" w:rsidRDefault="00B8138A" w:rsidP="00D11A4A">
      <w:pPr>
        <w:spacing w:after="0" w:line="240" w:lineRule="auto"/>
        <w:jc w:val="both"/>
        <w:rPr>
          <w:rFonts w:ascii="Verdana" w:eastAsia="Times New Roman" w:hAnsi="Verdana" w:cs="Arial"/>
          <w:lang w:val="es-ES" w:eastAsia="es-ES"/>
          <w14:ligatures w14:val="none"/>
        </w:rPr>
      </w:pPr>
    </w:p>
    <w:p w14:paraId="232B680A" w14:textId="0D650543" w:rsidR="00D11A4A" w:rsidRPr="00D11A4A" w:rsidRDefault="00D11A4A" w:rsidP="00D11A4A">
      <w:pPr>
        <w:spacing w:after="0" w:line="240" w:lineRule="auto"/>
        <w:jc w:val="both"/>
        <w:rPr>
          <w:rFonts w:ascii="Verdana" w:eastAsia="Times New Roman" w:hAnsi="Verdana" w:cs="Arial"/>
          <w:lang w:val="es-ES" w:eastAsia="es-ES"/>
          <w14:ligatures w14:val="none"/>
        </w:rPr>
      </w:pPr>
      <w:r w:rsidRPr="00D11A4A">
        <w:rPr>
          <w:rFonts w:ascii="Verdana" w:eastAsia="Times New Roman" w:hAnsi="Verdana" w:cs="Arial"/>
          <w:lang w:val="es-ES" w:eastAsia="es-ES"/>
          <w14:ligatures w14:val="none"/>
        </w:rPr>
        <w:t>Doctora</w:t>
      </w:r>
    </w:p>
    <w:p w14:paraId="53431CFA" w14:textId="77777777" w:rsidR="00D11A4A" w:rsidRPr="00D11A4A" w:rsidRDefault="00D11A4A" w:rsidP="00D11A4A">
      <w:pPr>
        <w:spacing w:after="0" w:line="240" w:lineRule="auto"/>
        <w:rPr>
          <w:rFonts w:ascii="Verdana" w:eastAsia="Times New Roman" w:hAnsi="Verdana" w:cs="Arial"/>
          <w:b/>
          <w:bCs/>
          <w:lang w:eastAsia="es-ES"/>
          <w14:ligatures w14:val="none"/>
        </w:rPr>
      </w:pPr>
      <w:r w:rsidRPr="00D11A4A">
        <w:rPr>
          <w:rFonts w:ascii="Verdana" w:eastAsia="Times New Roman" w:hAnsi="Verdana" w:cs="Arial"/>
          <w:b/>
          <w:bCs/>
          <w:lang w:eastAsia="es-ES"/>
          <w14:ligatures w14:val="none"/>
        </w:rPr>
        <w:t>MAYERLIS CARVAJAL ROBLES</w:t>
      </w:r>
    </w:p>
    <w:p w14:paraId="50BB7863" w14:textId="77777777" w:rsidR="00D11A4A" w:rsidRPr="00D11A4A" w:rsidRDefault="00D11A4A" w:rsidP="00D11A4A">
      <w:pPr>
        <w:spacing w:after="0" w:line="240" w:lineRule="auto"/>
        <w:rPr>
          <w:rFonts w:ascii="Verdana" w:eastAsia="Times New Roman" w:hAnsi="Verdana" w:cs="Arial"/>
          <w:lang w:eastAsia="es-ES"/>
          <w14:ligatures w14:val="none"/>
        </w:rPr>
      </w:pPr>
      <w:r w:rsidRPr="00D11A4A">
        <w:rPr>
          <w:rFonts w:ascii="Verdana" w:eastAsia="Times New Roman" w:hAnsi="Verdana" w:cs="Arial"/>
          <w:lang w:eastAsia="es-ES"/>
          <w14:ligatures w14:val="none"/>
        </w:rPr>
        <w:t>Gerente E.S.E. Edmundo German Arias Duarte</w:t>
      </w:r>
    </w:p>
    <w:p w14:paraId="43065870" w14:textId="77777777" w:rsidR="00D11A4A" w:rsidRPr="00D11A4A" w:rsidRDefault="00000000" w:rsidP="00D11A4A">
      <w:pPr>
        <w:spacing w:after="0" w:line="240" w:lineRule="auto"/>
        <w:rPr>
          <w:rFonts w:ascii="Verdana" w:eastAsia="Times New Roman" w:hAnsi="Verdana" w:cs="Times New Roman"/>
          <w14:ligatures w14:val="none"/>
        </w:rPr>
      </w:pPr>
      <w:hyperlink r:id="rId8" w:history="1">
        <w:r w:rsidR="00D11A4A" w:rsidRPr="00D11A4A">
          <w:rPr>
            <w:rFonts w:ascii="Verdana" w:eastAsia="Times New Roman" w:hAnsi="Verdana" w:cs="Times New Roman"/>
            <w:color w:val="0000FF"/>
            <w:u w:val="single"/>
            <w14:ligatures w14:val="none"/>
          </w:rPr>
          <w:t>hospitalwilches@gmail.com</w:t>
        </w:r>
      </w:hyperlink>
      <w:r w:rsidR="00D11A4A" w:rsidRPr="00D11A4A">
        <w:rPr>
          <w:rFonts w:ascii="Verdana" w:eastAsia="Times New Roman" w:hAnsi="Verdana" w:cs="Times New Roman"/>
          <w14:ligatures w14:val="none"/>
        </w:rPr>
        <w:t xml:space="preserve">;  </w:t>
      </w:r>
    </w:p>
    <w:p w14:paraId="657B9ECC" w14:textId="77777777" w:rsidR="00D11A4A" w:rsidRPr="00D11A4A" w:rsidRDefault="00D11A4A" w:rsidP="00D11A4A">
      <w:pPr>
        <w:spacing w:after="0" w:line="240" w:lineRule="auto"/>
        <w:rPr>
          <w:rFonts w:ascii="Verdana" w:eastAsia="Times New Roman" w:hAnsi="Verdana" w:cs="Arial"/>
          <w:b/>
          <w:bCs/>
          <w:color w:val="000000"/>
          <w:lang w:val="es-ES_tradnl" w:eastAsia="es-ES_tradnl"/>
          <w14:ligatures w14:val="none"/>
        </w:rPr>
      </w:pPr>
      <w:r w:rsidRPr="00D11A4A">
        <w:rPr>
          <w:rFonts w:ascii="Verdana" w:eastAsia="Times New Roman" w:hAnsi="Verdana" w:cs="Arial"/>
          <w:lang w:val="es-ES" w:eastAsia="es-ES"/>
          <w14:ligatures w14:val="none"/>
        </w:rPr>
        <w:t>Puerto Wilches, Santander</w:t>
      </w:r>
    </w:p>
    <w:p w14:paraId="5287D758" w14:textId="77777777" w:rsidR="00D11A4A" w:rsidRPr="00D11A4A" w:rsidRDefault="00D11A4A" w:rsidP="00D11A4A">
      <w:pPr>
        <w:spacing w:after="0" w:line="240" w:lineRule="auto"/>
        <w:ind w:right="-1368"/>
        <w:jc w:val="right"/>
        <w:rPr>
          <w:rFonts w:ascii="Verdana" w:eastAsia="Times New Roman" w:hAnsi="Verdana" w:cs="Arial"/>
          <w:b/>
          <w:bCs/>
          <w:color w:val="000000"/>
          <w:lang w:val="es-ES_tradnl" w:eastAsia="es-ES_tradnl"/>
          <w14:ligatures w14:val="none"/>
        </w:rPr>
      </w:pPr>
    </w:p>
    <w:p w14:paraId="405D1FA3" w14:textId="77777777" w:rsidR="00D11A4A" w:rsidRPr="00D11A4A" w:rsidRDefault="00D11A4A" w:rsidP="00D11A4A">
      <w:pPr>
        <w:spacing w:after="0" w:line="240" w:lineRule="auto"/>
        <w:rPr>
          <w:rFonts w:ascii="Verdana" w:eastAsia="Times New Roman" w:hAnsi="Verdana" w:cs="Arial"/>
          <w:b/>
          <w:bCs/>
          <w:color w:val="000000"/>
          <w:lang w:val="es-ES_tradnl" w:eastAsia="es-ES_tradnl"/>
          <w14:ligatures w14:val="none"/>
        </w:rPr>
      </w:pPr>
    </w:p>
    <w:tbl>
      <w:tblPr>
        <w:tblStyle w:val="Tablaconcuadrcula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237"/>
      </w:tblGrid>
      <w:tr w:rsidR="00D11A4A" w:rsidRPr="00D11A4A" w14:paraId="03CC0DA8" w14:textId="77777777" w:rsidTr="00AA0E90">
        <w:trPr>
          <w:trHeight w:val="884"/>
        </w:trPr>
        <w:tc>
          <w:tcPr>
            <w:tcW w:w="2268" w:type="dxa"/>
          </w:tcPr>
          <w:p w14:paraId="4F9393CB" w14:textId="77777777" w:rsidR="00D11A4A" w:rsidRPr="00D11A4A" w:rsidRDefault="00D11A4A" w:rsidP="00D11A4A">
            <w:pPr>
              <w:jc w:val="both"/>
              <w:rPr>
                <w:rFonts w:ascii="Verdana" w:hAnsi="Verdana" w:cs="Arial"/>
                <w:b/>
                <w:bCs/>
                <w:color w:val="7030A0"/>
                <w:lang w:val="es-ES_tradnl" w:eastAsia="es-ES_tradnl"/>
              </w:rPr>
            </w:pPr>
          </w:p>
        </w:tc>
        <w:tc>
          <w:tcPr>
            <w:tcW w:w="6237" w:type="dxa"/>
          </w:tcPr>
          <w:p w14:paraId="6B99BBF1" w14:textId="77777777" w:rsidR="00D11A4A" w:rsidRPr="00D11A4A" w:rsidRDefault="00D11A4A" w:rsidP="00D11A4A">
            <w:pPr>
              <w:jc w:val="both"/>
              <w:rPr>
                <w:rFonts w:ascii="Verdana" w:hAnsi="Verdana" w:cs="Arial"/>
                <w:b/>
                <w:bCs/>
                <w:color w:val="7030A0"/>
                <w:lang w:val="es-ES" w:eastAsia="es-ES"/>
              </w:rPr>
            </w:pPr>
            <w:r w:rsidRPr="00D11A4A">
              <w:rPr>
                <w:rFonts w:ascii="Verdana" w:hAnsi="Verdana" w:cs="Arial"/>
                <w:b/>
                <w:bCs/>
                <w:lang w:val="es-ES" w:eastAsia="es-ES"/>
              </w:rPr>
              <w:t>Concepto C- 414</w:t>
            </w:r>
            <w:r w:rsidRPr="00D11A4A">
              <w:rPr>
                <w:rFonts w:ascii="Verdana" w:hAnsi="Verdana" w:cs="Arial"/>
                <w:b/>
                <w:bCs/>
                <w:color w:val="7030A0"/>
                <w:lang w:val="es-ES" w:eastAsia="es-ES"/>
              </w:rPr>
              <w:t xml:space="preserve"> </w:t>
            </w:r>
            <w:r w:rsidRPr="00D11A4A">
              <w:rPr>
                <w:rFonts w:ascii="Verdana" w:hAnsi="Verdana" w:cs="Arial"/>
                <w:b/>
                <w:bCs/>
                <w:lang w:val="es-ES" w:eastAsia="es-ES"/>
              </w:rPr>
              <w:t>de 2024</w:t>
            </w:r>
          </w:p>
        </w:tc>
      </w:tr>
      <w:tr w:rsidR="00D11A4A" w:rsidRPr="00D11A4A" w14:paraId="3682C7E5" w14:textId="77777777" w:rsidTr="00AA0E90">
        <w:trPr>
          <w:trHeight w:val="884"/>
        </w:trPr>
        <w:tc>
          <w:tcPr>
            <w:tcW w:w="2268" w:type="dxa"/>
          </w:tcPr>
          <w:p w14:paraId="4634984F" w14:textId="77777777" w:rsidR="00D11A4A" w:rsidRPr="00D11A4A" w:rsidRDefault="00D11A4A" w:rsidP="00D11A4A">
            <w:pPr>
              <w:jc w:val="both"/>
              <w:rPr>
                <w:rFonts w:ascii="Verdana" w:hAnsi="Verdana" w:cs="Arial"/>
                <w:color w:val="000000"/>
                <w:lang w:val="es-ES_tradnl" w:eastAsia="es-ES_tradnl"/>
              </w:rPr>
            </w:pPr>
            <w:r w:rsidRPr="00D11A4A">
              <w:rPr>
                <w:rFonts w:ascii="Verdana" w:hAnsi="Verdana" w:cs="Arial"/>
                <w:b/>
                <w:color w:val="000000"/>
                <w:lang w:val="es-ES_tradnl" w:eastAsia="es-ES_tradnl"/>
              </w:rPr>
              <w:t>Temas:</w:t>
            </w:r>
            <w:r w:rsidRPr="00D11A4A">
              <w:rPr>
                <w:rFonts w:ascii="Verdana" w:hAnsi="Verdana" w:cs="Arial"/>
                <w:color w:val="000000"/>
                <w:lang w:val="es-ES_tradnl" w:eastAsia="es-ES_tradnl"/>
              </w:rPr>
              <w:t xml:space="preserve">                   </w:t>
            </w:r>
          </w:p>
        </w:tc>
        <w:tc>
          <w:tcPr>
            <w:tcW w:w="6237" w:type="dxa"/>
          </w:tcPr>
          <w:p w14:paraId="6AC3E3F7" w14:textId="77777777" w:rsidR="00D11A4A" w:rsidRPr="00D11A4A" w:rsidRDefault="00D11A4A" w:rsidP="00D11A4A">
            <w:pPr>
              <w:spacing w:line="276" w:lineRule="auto"/>
              <w:jc w:val="both"/>
              <w:rPr>
                <w:rFonts w:ascii="Verdana" w:hAnsi="Verdana" w:cs="Arial"/>
                <w:noProof/>
                <w:lang w:val="es-ES_tradnl"/>
              </w:rPr>
            </w:pPr>
            <w:r w:rsidRPr="00D11A4A">
              <w:rPr>
                <w:rFonts w:ascii="Verdana" w:hAnsi="Verdana" w:cs="Arial"/>
              </w:rPr>
              <w:t>CONTRATO DE PRESTACION DE SERVICIOS – Definición - Generalidades – incapacidades – Estabilidad Laboral Reforzada</w:t>
            </w:r>
          </w:p>
          <w:p w14:paraId="780D6FB1" w14:textId="77777777" w:rsidR="00D11A4A" w:rsidRPr="00D11A4A" w:rsidRDefault="00D11A4A" w:rsidP="00D11A4A">
            <w:pPr>
              <w:spacing w:line="276" w:lineRule="auto"/>
              <w:jc w:val="both"/>
              <w:rPr>
                <w:rFonts w:ascii="Verdana" w:hAnsi="Verdana" w:cs="Arial"/>
                <w:lang w:val="es-ES" w:eastAsia="es-ES"/>
              </w:rPr>
            </w:pPr>
          </w:p>
        </w:tc>
      </w:tr>
      <w:tr w:rsidR="00D11A4A" w:rsidRPr="00D11A4A" w14:paraId="39A5144D" w14:textId="77777777" w:rsidTr="00AA0E90">
        <w:tc>
          <w:tcPr>
            <w:tcW w:w="2268" w:type="dxa"/>
          </w:tcPr>
          <w:p w14:paraId="523B79ED" w14:textId="77777777" w:rsidR="00D11A4A" w:rsidRPr="00D11A4A" w:rsidRDefault="00D11A4A" w:rsidP="00D11A4A">
            <w:pPr>
              <w:jc w:val="both"/>
              <w:rPr>
                <w:rFonts w:ascii="Verdana" w:hAnsi="Verdana" w:cs="Arial"/>
                <w:b/>
                <w:color w:val="7030A0"/>
                <w:lang w:val="es-ES_tradnl" w:eastAsia="es-ES_tradnl"/>
              </w:rPr>
            </w:pPr>
            <w:r w:rsidRPr="00D11A4A">
              <w:rPr>
                <w:rFonts w:ascii="Verdana" w:hAnsi="Verdana" w:cs="Arial"/>
                <w:b/>
                <w:lang w:val="es-ES_tradnl" w:eastAsia="es-ES_tradnl"/>
              </w:rPr>
              <w:t xml:space="preserve">Radicación:               </w:t>
            </w:r>
          </w:p>
        </w:tc>
        <w:tc>
          <w:tcPr>
            <w:tcW w:w="6237" w:type="dxa"/>
          </w:tcPr>
          <w:p w14:paraId="4EC15BDA" w14:textId="77777777" w:rsidR="00D11A4A" w:rsidRPr="00D11A4A" w:rsidRDefault="00D11A4A" w:rsidP="00D11A4A">
            <w:pPr>
              <w:jc w:val="both"/>
              <w:rPr>
                <w:rFonts w:ascii="Verdana" w:hAnsi="Verdana" w:cs="Arial"/>
                <w:color w:val="7030A0"/>
                <w:lang w:val="es-ES_tradnl" w:eastAsia="es-ES_tradnl"/>
              </w:rPr>
            </w:pPr>
            <w:r w:rsidRPr="00D11A4A">
              <w:rPr>
                <w:rFonts w:ascii="Verdana" w:hAnsi="Verdana" w:cs="Arial"/>
                <w:lang w:val="es-ES_tradnl" w:eastAsia="es-ES_tradnl"/>
              </w:rPr>
              <w:t xml:space="preserve">Respuesta a consulta con radicado No. </w:t>
            </w:r>
            <w:r w:rsidRPr="00D11A4A">
              <w:rPr>
                <w:rFonts w:ascii="Verdana" w:hAnsi="Verdana" w:cs="Calibri"/>
                <w:color w:val="000000"/>
              </w:rPr>
              <w:t>P20240730007791</w:t>
            </w:r>
          </w:p>
          <w:p w14:paraId="6AEDA378" w14:textId="77777777" w:rsidR="00D11A4A" w:rsidRPr="00D11A4A" w:rsidRDefault="00D11A4A" w:rsidP="00D11A4A">
            <w:pPr>
              <w:jc w:val="both"/>
              <w:rPr>
                <w:rFonts w:ascii="Verdana" w:hAnsi="Verdana" w:cs="Arial"/>
                <w:color w:val="7030A0"/>
                <w:lang w:val="es-ES_tradnl" w:eastAsia="es-ES_tradnl"/>
              </w:rPr>
            </w:pPr>
          </w:p>
        </w:tc>
      </w:tr>
    </w:tbl>
    <w:p w14:paraId="0D08A26C" w14:textId="77777777" w:rsidR="00D11A4A" w:rsidRPr="00D11A4A" w:rsidRDefault="00D11A4A" w:rsidP="00D11A4A">
      <w:pPr>
        <w:spacing w:after="0" w:line="240" w:lineRule="auto"/>
        <w:jc w:val="both"/>
        <w:rPr>
          <w:rFonts w:ascii="Verdana" w:eastAsia="Times New Roman" w:hAnsi="Verdana" w:cs="Arial"/>
          <w:color w:val="000000"/>
          <w:lang w:val="es-ES_tradnl" w:eastAsia="es-ES_tradnl"/>
          <w14:ligatures w14:val="none"/>
        </w:rPr>
      </w:pPr>
    </w:p>
    <w:p w14:paraId="1F4BB18C" w14:textId="77777777" w:rsidR="00D11A4A" w:rsidRPr="00D11A4A" w:rsidRDefault="00D11A4A" w:rsidP="00D11A4A">
      <w:pPr>
        <w:spacing w:after="0" w:line="276" w:lineRule="auto"/>
        <w:jc w:val="both"/>
        <w:rPr>
          <w:rFonts w:ascii="Verdana" w:eastAsia="Times New Roman" w:hAnsi="Verdana" w:cs="Arial"/>
          <w:color w:val="000000"/>
          <w:lang w:val="es-ES" w:eastAsia="es-ES"/>
          <w14:ligatures w14:val="none"/>
        </w:rPr>
      </w:pPr>
      <w:r w:rsidRPr="00D11A4A">
        <w:rPr>
          <w:rFonts w:ascii="Verdana" w:eastAsia="Times New Roman" w:hAnsi="Verdana" w:cs="Arial"/>
          <w:color w:val="000000"/>
          <w:lang w:val="es-ES" w:eastAsia="es-ES"/>
          <w14:ligatures w14:val="none"/>
        </w:rPr>
        <w:t xml:space="preserve">Estimada </w:t>
      </w:r>
      <w:r w:rsidRPr="00D11A4A">
        <w:rPr>
          <w:rFonts w:ascii="Verdana" w:eastAsia="Times New Roman" w:hAnsi="Verdana" w:cs="Arial"/>
          <w:lang w:val="es-ES" w:eastAsia="es-ES"/>
          <w14:ligatures w14:val="none"/>
        </w:rPr>
        <w:t xml:space="preserve">Doctora Carvajal: </w:t>
      </w:r>
    </w:p>
    <w:p w14:paraId="35E7170F" w14:textId="77777777" w:rsidR="00D11A4A" w:rsidRPr="00D11A4A" w:rsidRDefault="00D11A4A" w:rsidP="00D11A4A">
      <w:pPr>
        <w:tabs>
          <w:tab w:val="left" w:pos="3768"/>
        </w:tabs>
        <w:spacing w:after="0" w:line="276" w:lineRule="auto"/>
        <w:jc w:val="both"/>
        <w:rPr>
          <w:rFonts w:ascii="Verdana" w:eastAsia="Times New Roman" w:hAnsi="Verdana" w:cs="Arial"/>
          <w:color w:val="000000"/>
          <w:lang w:val="es-ES" w:eastAsia="es-ES"/>
          <w14:ligatures w14:val="none"/>
        </w:rPr>
      </w:pPr>
      <w:r w:rsidRPr="00D11A4A">
        <w:rPr>
          <w:rFonts w:ascii="Verdana" w:eastAsia="Times New Roman" w:hAnsi="Verdana" w:cs="Arial"/>
          <w:color w:val="000000"/>
          <w:lang w:val="es-ES" w:eastAsia="es-ES"/>
          <w14:ligatures w14:val="none"/>
        </w:rPr>
        <w:tab/>
      </w:r>
    </w:p>
    <w:p w14:paraId="7D6C740F" w14:textId="77777777" w:rsidR="00D11A4A" w:rsidRPr="00D11A4A" w:rsidRDefault="00D11A4A" w:rsidP="00D11A4A">
      <w:pPr>
        <w:spacing w:after="0" w:line="276" w:lineRule="auto"/>
        <w:jc w:val="both"/>
        <w:rPr>
          <w:rFonts w:ascii="Verdana" w:eastAsia="Times New Roman" w:hAnsi="Verdana" w:cs="Arial"/>
          <w:lang w:val="es-ES" w:eastAsia="es-ES"/>
          <w14:ligatures w14:val="none"/>
        </w:rPr>
      </w:pPr>
      <w:r w:rsidRPr="00D11A4A">
        <w:rPr>
          <w:rFonts w:ascii="Verdana" w:eastAsia="Times New Roman" w:hAnsi="Verdana" w:cs="Arial"/>
          <w:color w:val="000000"/>
          <w:lang w:val="es-ES" w:eastAsia="es-ES"/>
          <w14:ligatures w14:val="none"/>
        </w:rPr>
        <w:t>En ejercicio de la competencia otorgada por los artículos 3, numeral 5º, y 11, numeral 8º, del Decreto Ley 4170 de 2011,</w:t>
      </w:r>
      <w:r w:rsidRPr="00D11A4A">
        <w:rPr>
          <w:rFonts w:ascii="Verdana" w:eastAsia="Times New Roman" w:hAnsi="Verdana" w:cs="Arial MT"/>
          <w:lang w:val="es-ES" w:eastAsia="es-ES"/>
          <w14:ligatures w14:val="none"/>
        </w:rPr>
        <w:t xml:space="preserve"> </w:t>
      </w:r>
      <w:r w:rsidRPr="00D11A4A">
        <w:rPr>
          <w:rFonts w:ascii="Verdana" w:eastAsia="Times New Roman" w:hAnsi="Verdana" w:cs="Arial"/>
          <w14:ligatures w14:val="none"/>
        </w:rPr>
        <w:t xml:space="preserve">así como lo establecido en el artículo 4 de la Resolución 1707 de 2018 expedida por esta Entidad, </w:t>
      </w:r>
      <w:r w:rsidRPr="00D11A4A">
        <w:rPr>
          <w:rFonts w:ascii="Verdana" w:eastAsia="Times New Roman" w:hAnsi="Verdana" w:cs="Arial"/>
          <w:color w:val="000000"/>
          <w:lang w:val="es-ES" w:eastAsia="es-ES"/>
          <w14:ligatures w14:val="none"/>
        </w:rPr>
        <w:t xml:space="preserve">la Agencia Nacional de Contratación Pública – Colombia Compra Eficiente– responde su solicitud de </w:t>
      </w:r>
      <w:r w:rsidRPr="00D11A4A">
        <w:rPr>
          <w:rFonts w:ascii="Verdana" w:eastAsia="Times New Roman" w:hAnsi="Verdana" w:cs="Arial"/>
          <w:lang w:val="es-ES" w:eastAsia="es-ES"/>
          <w14:ligatures w14:val="none"/>
        </w:rPr>
        <w:t xml:space="preserve">consulta de fecha 30 de julio de 2024, en la cual manifiesta lo siguiente: </w:t>
      </w:r>
    </w:p>
    <w:p w14:paraId="44AD6CF1" w14:textId="77777777" w:rsidR="00D11A4A" w:rsidRPr="00D11A4A" w:rsidRDefault="00D11A4A" w:rsidP="00D11A4A">
      <w:pPr>
        <w:spacing w:after="0" w:line="276" w:lineRule="auto"/>
        <w:jc w:val="both"/>
        <w:rPr>
          <w:rFonts w:ascii="Verdana" w:eastAsia="Times New Roman" w:hAnsi="Verdana" w:cs="Arial"/>
          <w:color w:val="7030A0"/>
          <w:lang w:val="es-ES" w:eastAsia="es-ES"/>
          <w14:ligatures w14:val="none"/>
        </w:rPr>
      </w:pPr>
    </w:p>
    <w:p w14:paraId="4C393F61" w14:textId="77777777" w:rsidR="00D11A4A" w:rsidRPr="00D11A4A" w:rsidRDefault="00D11A4A" w:rsidP="00D11A4A">
      <w:pPr>
        <w:spacing w:after="0" w:line="240" w:lineRule="auto"/>
        <w:ind w:left="720" w:right="709"/>
        <w:contextualSpacing/>
        <w:jc w:val="both"/>
        <w:textAlignment w:val="baseline"/>
        <w:rPr>
          <w:rFonts w:ascii="Verdana" w:eastAsia="Times New Roman" w:hAnsi="Verdana" w:cs="Arial"/>
          <w:i/>
          <w:iCs/>
          <w:sz w:val="21"/>
          <w:szCs w:val="21"/>
          <w:shd w:val="clear" w:color="auto" w:fill="FFFFFF"/>
          <w14:ligatures w14:val="none"/>
        </w:rPr>
      </w:pPr>
      <w:r w:rsidRPr="00D11A4A">
        <w:rPr>
          <w:rFonts w:ascii="Verdana" w:eastAsia="Times New Roman" w:hAnsi="Verdana" w:cs="Arial"/>
          <w:i/>
          <w:iCs/>
          <w:sz w:val="21"/>
          <w:szCs w:val="21"/>
          <w:shd w:val="clear" w:color="auto" w:fill="FFFFFF"/>
          <w14:ligatures w14:val="none"/>
        </w:rPr>
        <w:t xml:space="preserve">“[…] se </w:t>
      </w:r>
      <w:r w:rsidRPr="00D11A4A">
        <w:rPr>
          <w:rFonts w:ascii="Verdana" w:eastAsia="Times New Roman" w:hAnsi="Verdana" w:cs="Arial"/>
          <w:i/>
          <w:iCs/>
          <w:sz w:val="21"/>
          <w:szCs w:val="21"/>
          <w:shd w:val="clear" w:color="auto" w:fill="FFFFFF"/>
          <w:lang w:val="es-ES"/>
          <w14:ligatures w14:val="none"/>
        </w:rPr>
        <w:t>requiere</w:t>
      </w:r>
      <w:r w:rsidRPr="00D11A4A">
        <w:rPr>
          <w:rFonts w:ascii="Verdana" w:eastAsia="Times New Roman" w:hAnsi="Verdana" w:cs="Arial"/>
          <w:i/>
          <w:iCs/>
          <w:sz w:val="21"/>
          <w:szCs w:val="21"/>
          <w:shd w:val="clear" w:color="auto" w:fill="FFFFFF"/>
          <w14:ligatures w14:val="none"/>
        </w:rPr>
        <w:t xml:space="preserve"> conocer cuál es el procedimiento que debe adelantar la entidad en el caso de las incapacidades del personal contratado por</w:t>
      </w:r>
    </w:p>
    <w:p w14:paraId="4B41404F" w14:textId="77777777" w:rsidR="00D11A4A" w:rsidRPr="00D11A4A" w:rsidRDefault="00D11A4A" w:rsidP="00D11A4A">
      <w:pPr>
        <w:spacing w:after="0" w:line="240" w:lineRule="auto"/>
        <w:ind w:left="720" w:right="709"/>
        <w:contextualSpacing/>
        <w:jc w:val="both"/>
        <w:textAlignment w:val="baseline"/>
        <w:rPr>
          <w:rFonts w:ascii="Verdana" w:eastAsia="Times New Roman" w:hAnsi="Verdana" w:cs="Arial"/>
          <w:i/>
          <w:iCs/>
          <w:sz w:val="21"/>
          <w:szCs w:val="21"/>
          <w:shd w:val="clear" w:color="auto" w:fill="FFFFFF"/>
          <w14:ligatures w14:val="none"/>
        </w:rPr>
      </w:pPr>
      <w:r w:rsidRPr="00D11A4A">
        <w:rPr>
          <w:rFonts w:ascii="Verdana" w:eastAsia="Times New Roman" w:hAnsi="Verdana" w:cs="Arial"/>
          <w:i/>
          <w:iCs/>
          <w:sz w:val="21"/>
          <w:szCs w:val="21"/>
          <w:shd w:val="clear" w:color="auto" w:fill="FFFFFF"/>
          <w14:ligatures w14:val="none"/>
        </w:rPr>
        <w:t xml:space="preserve">orden de prestación de servicios: ¿se suspende el contrato?, ¿se pagan solo los </w:t>
      </w:r>
      <w:r w:rsidRPr="00D11A4A">
        <w:rPr>
          <w:rFonts w:ascii="Verdana" w:eastAsia="Times New Roman" w:hAnsi="Verdana" w:cs="Arial"/>
          <w:i/>
          <w:iCs/>
          <w:sz w:val="21"/>
          <w:szCs w:val="21"/>
          <w:shd w:val="clear" w:color="auto" w:fill="FFFFFF"/>
          <w:lang w:val="es-ES"/>
          <w14:ligatures w14:val="none"/>
        </w:rPr>
        <w:t xml:space="preserve">días laborados y el restante de la incapacidad la debe cobrar directamente el contratista? o ¿cuál es el procedimiento que debe adelantarse, con el marco legal </w:t>
      </w:r>
      <w:r w:rsidRPr="00D11A4A">
        <w:rPr>
          <w:rFonts w:ascii="Verdana" w:eastAsia="Times New Roman" w:hAnsi="Verdana" w:cs="Arial"/>
          <w:i/>
          <w:iCs/>
          <w:sz w:val="21"/>
          <w:szCs w:val="21"/>
          <w:shd w:val="clear" w:color="auto" w:fill="FFFFFF"/>
          <w14:ligatures w14:val="none"/>
        </w:rPr>
        <w:t xml:space="preserve">que sustente el procedimiento a seguir?, para avanzar con el trámite dentro de la entidad y no incurrir en un error que pueda traer consigo hallazgos fiscales o disciplinarios por parte de los entes de control. </w:t>
      </w:r>
      <w:r w:rsidRPr="00D11A4A">
        <w:rPr>
          <w:rFonts w:ascii="Verdana" w:eastAsia="Times New Roman" w:hAnsi="Verdana" w:cs="Arial"/>
          <w:i/>
          <w:iCs/>
          <w:sz w:val="21"/>
          <w:szCs w:val="21"/>
          <w:shd w:val="clear" w:color="auto" w:fill="FFFFFF"/>
          <w:lang w:val="es-ES"/>
          <w14:ligatures w14:val="none"/>
        </w:rPr>
        <w:t xml:space="preserve">[ …]” </w:t>
      </w:r>
    </w:p>
    <w:p w14:paraId="214CE8E6" w14:textId="77777777" w:rsidR="00D11A4A" w:rsidRPr="00D11A4A" w:rsidRDefault="00D11A4A" w:rsidP="00D11A4A">
      <w:pPr>
        <w:spacing w:after="0" w:line="240" w:lineRule="auto"/>
        <w:ind w:left="709" w:right="709"/>
        <w:jc w:val="both"/>
        <w:textAlignment w:val="baseline"/>
        <w:rPr>
          <w:rFonts w:ascii="Verdana" w:eastAsia="Times New Roman" w:hAnsi="Verdana" w:cs="Arial"/>
          <w:i/>
          <w:iCs/>
          <w:sz w:val="20"/>
          <w:szCs w:val="20"/>
          <w:shd w:val="clear" w:color="auto" w:fill="FFFFFF"/>
          <w14:ligatures w14:val="none"/>
        </w:rPr>
      </w:pPr>
    </w:p>
    <w:p w14:paraId="1E8F7D00" w14:textId="77777777" w:rsidR="00D11A4A" w:rsidRPr="00D11A4A" w:rsidRDefault="00D11A4A" w:rsidP="00D11A4A">
      <w:pPr>
        <w:spacing w:after="120" w:line="276" w:lineRule="auto"/>
        <w:ind w:firstLine="709"/>
        <w:jc w:val="both"/>
        <w:rPr>
          <w:rFonts w:ascii="Verdana" w:eastAsia="Times New Roman" w:hAnsi="Verdana" w:cs="Arial"/>
          <w:color w:val="000000"/>
          <w:szCs w:val="24"/>
          <w:lang w:val="es-ES_tradnl" w:eastAsia="es-ES_tradnl"/>
          <w14:ligatures w14:val="none"/>
        </w:rPr>
      </w:pPr>
      <w:r w:rsidRPr="00D11A4A">
        <w:rPr>
          <w:rFonts w:ascii="Verdana" w:eastAsia="Times New Roman" w:hAnsi="Verdana" w:cs="Arial"/>
          <w:color w:val="000000"/>
          <w:lang w:val="es-ES" w:eastAsia="es-ES"/>
          <w14:ligatures w14:val="none"/>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11A4A">
        <w:rPr>
          <w:rFonts w:ascii="Verdana" w:eastAsia="Times New Roman" w:hAnsi="Verdana" w:cs="Arial"/>
          <w:color w:val="000000"/>
          <w:szCs w:val="24"/>
          <w:lang w:val="es-ES_tradnl" w:eastAsia="es-ES_tradnl"/>
          <w14:ligatures w14:val="none"/>
        </w:rPr>
        <w:tab/>
      </w:r>
    </w:p>
    <w:p w14:paraId="01BB1A62" w14:textId="77777777" w:rsidR="00D11A4A" w:rsidRPr="00D11A4A" w:rsidRDefault="00D11A4A" w:rsidP="00D11A4A">
      <w:pPr>
        <w:spacing w:after="0" w:line="276" w:lineRule="auto"/>
        <w:ind w:firstLine="709"/>
        <w:jc w:val="both"/>
        <w:rPr>
          <w:rFonts w:ascii="Verdana" w:eastAsia="Times New Roman" w:hAnsi="Verdana" w:cs="Arial"/>
          <w:lang w:val="es-ES" w:eastAsia="es-ES"/>
          <w14:ligatures w14:val="none"/>
        </w:rPr>
      </w:pPr>
      <w:r w:rsidRPr="00D11A4A">
        <w:rPr>
          <w:rFonts w:ascii="Verdana" w:eastAsia="Times New Roman" w:hAnsi="Verdana" w:cs="Arial"/>
          <w:lang w:val="es-ES" w:eastAsia="es-ES"/>
          <w14:ligatures w14:val="none"/>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01EFC99E" w14:textId="77777777" w:rsidR="00D11A4A" w:rsidRPr="00D11A4A" w:rsidRDefault="00D11A4A" w:rsidP="00D11A4A">
      <w:pPr>
        <w:spacing w:after="0" w:line="276" w:lineRule="auto"/>
        <w:ind w:firstLine="709"/>
        <w:jc w:val="both"/>
        <w:rPr>
          <w:rFonts w:ascii="Verdana" w:eastAsia="Times New Roman" w:hAnsi="Verdana" w:cs="Arial"/>
          <w:color w:val="000000"/>
          <w:lang w:val="es-ES" w:eastAsia="es-ES"/>
          <w14:ligatures w14:val="none"/>
        </w:rPr>
      </w:pPr>
    </w:p>
    <w:p w14:paraId="671665B9" w14:textId="77777777" w:rsidR="00D11A4A" w:rsidRPr="00D11A4A" w:rsidRDefault="00D11A4A" w:rsidP="00D11A4A">
      <w:pPr>
        <w:numPr>
          <w:ilvl w:val="0"/>
          <w:numId w:val="3"/>
        </w:numPr>
        <w:tabs>
          <w:tab w:val="left" w:pos="142"/>
          <w:tab w:val="left" w:pos="284"/>
        </w:tabs>
        <w:spacing w:after="0" w:line="276" w:lineRule="auto"/>
        <w:ind w:left="0" w:firstLine="0"/>
        <w:contextualSpacing/>
        <w:jc w:val="both"/>
        <w:rPr>
          <w:rFonts w:ascii="Verdana" w:eastAsia="Times New Roman" w:hAnsi="Verdana" w:cs="Century Gothic"/>
          <w:b/>
          <w:bCs/>
          <w:lang w:val="es-ES"/>
          <w14:ligatures w14:val="none"/>
        </w:rPr>
      </w:pPr>
      <w:r w:rsidRPr="00D11A4A">
        <w:rPr>
          <w:rFonts w:ascii="Verdana" w:eastAsia="Times New Roman" w:hAnsi="Verdana" w:cs="Century Gothic"/>
          <w:b/>
          <w:bCs/>
          <w:lang w:val="es-ES"/>
          <w14:ligatures w14:val="none"/>
        </w:rPr>
        <w:t>Problema planteado:</w:t>
      </w:r>
    </w:p>
    <w:p w14:paraId="61496B4D" w14:textId="77777777" w:rsidR="00D11A4A" w:rsidRPr="00D11A4A" w:rsidRDefault="00D11A4A" w:rsidP="00D11A4A">
      <w:pPr>
        <w:tabs>
          <w:tab w:val="left" w:pos="426"/>
        </w:tabs>
        <w:spacing w:after="0" w:line="276" w:lineRule="auto"/>
        <w:jc w:val="both"/>
        <w:rPr>
          <w:rFonts w:ascii="Verdana" w:eastAsia="Times New Roman" w:hAnsi="Verdana" w:cs="Century Gothic"/>
          <w:lang w:val="es-ES"/>
          <w14:ligatures w14:val="none"/>
        </w:rPr>
      </w:pPr>
    </w:p>
    <w:p w14:paraId="58A66042" w14:textId="77777777" w:rsidR="00D11A4A" w:rsidRPr="00D11A4A" w:rsidRDefault="00D11A4A" w:rsidP="00D11A4A">
      <w:pPr>
        <w:spacing w:after="0" w:line="276" w:lineRule="auto"/>
        <w:jc w:val="both"/>
        <w:rPr>
          <w:rFonts w:ascii="Verdana" w:eastAsia="Times New Roman" w:hAnsi="Verdana" w:cs="Century Gothic"/>
          <w:i/>
          <w:iCs/>
          <w14:ligatures w14:val="none"/>
        </w:rPr>
      </w:pPr>
      <w:r w:rsidRPr="00D11A4A">
        <w:rPr>
          <w:rFonts w:ascii="Verdana" w:eastAsia="Times New Roman" w:hAnsi="Verdana" w:cs="Century Gothic"/>
          <w14:ligatures w14:val="none"/>
        </w:rPr>
        <w:t>De acuerdo con el contenido de su solicitud, esta Agencia resolverá el siguiente problema jurídicos:</w:t>
      </w:r>
      <w:r w:rsidRPr="00D11A4A">
        <w:rPr>
          <w:rFonts w:ascii="Verdana" w:eastAsia="Times New Roman" w:hAnsi="Verdana" w:cs="Century Gothic"/>
          <w:i/>
          <w:iCs/>
          <w14:ligatures w14:val="none"/>
        </w:rPr>
        <w:t xml:space="preserve"> ¿</w:t>
      </w:r>
      <w:r w:rsidRPr="00D11A4A">
        <w:rPr>
          <w:rFonts w:ascii="Verdana" w:eastAsia="Times New Roman" w:hAnsi="Verdana" w:cs="Century Gothic"/>
          <w14:ligatures w14:val="none"/>
        </w:rPr>
        <w:t>Qué lineamientos jurídicos debe seguir la entidad estatal en el caso de que en un Contrato de prestación de Servicios se presente una incapacidad por parte del Contratista?</w:t>
      </w:r>
    </w:p>
    <w:p w14:paraId="01C7A46A" w14:textId="77777777" w:rsidR="00D11A4A" w:rsidRPr="00D11A4A" w:rsidRDefault="00D11A4A" w:rsidP="00D11A4A">
      <w:pPr>
        <w:spacing w:after="0" w:line="276" w:lineRule="auto"/>
        <w:jc w:val="both"/>
        <w:rPr>
          <w:rFonts w:ascii="Verdana" w:eastAsia="Times New Roman" w:hAnsi="Verdana" w:cs="Arial"/>
          <w:color w:val="7030A0"/>
          <w14:ligatures w14:val="none"/>
        </w:rPr>
      </w:pPr>
    </w:p>
    <w:p w14:paraId="62FB2137" w14:textId="77777777" w:rsidR="00D11A4A" w:rsidRPr="00D11A4A" w:rsidRDefault="00D11A4A" w:rsidP="00D11A4A">
      <w:pPr>
        <w:numPr>
          <w:ilvl w:val="0"/>
          <w:numId w:val="3"/>
        </w:numPr>
        <w:tabs>
          <w:tab w:val="left" w:pos="142"/>
          <w:tab w:val="left" w:pos="284"/>
        </w:tabs>
        <w:spacing w:after="0" w:line="276" w:lineRule="auto"/>
        <w:ind w:left="0" w:firstLine="0"/>
        <w:jc w:val="both"/>
        <w:rPr>
          <w:rFonts w:ascii="Verdana" w:eastAsia="Times New Roman" w:hAnsi="Verdana" w:cs="Century Gothic"/>
          <w:b/>
          <w:bCs/>
          <w:lang w:val="es-ES"/>
          <w14:ligatures w14:val="none"/>
        </w:rPr>
      </w:pPr>
      <w:r w:rsidRPr="00D11A4A">
        <w:rPr>
          <w:rFonts w:ascii="Verdana" w:eastAsia="Times New Roman" w:hAnsi="Verdana" w:cs="Century Gothic"/>
          <w:b/>
          <w:bCs/>
          <w:lang w:val="es-ES"/>
          <w14:ligatures w14:val="none"/>
        </w:rPr>
        <w:t>Respuesta:</w:t>
      </w:r>
    </w:p>
    <w:p w14:paraId="5736295A" w14:textId="77777777" w:rsidR="00D11A4A" w:rsidRPr="00D11A4A" w:rsidRDefault="00D11A4A" w:rsidP="00D11A4A">
      <w:pPr>
        <w:tabs>
          <w:tab w:val="left" w:pos="142"/>
          <w:tab w:val="left" w:pos="284"/>
        </w:tabs>
        <w:spacing w:after="0" w:line="276" w:lineRule="auto"/>
        <w:jc w:val="both"/>
        <w:rPr>
          <w:rFonts w:ascii="Verdana" w:eastAsia="Times New Roman" w:hAnsi="Verdana" w:cs="Century Gothic"/>
          <w:b/>
          <w:bCs/>
          <w:lang w:val="es-ES"/>
          <w14:ligatures w14:val="none"/>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11A4A" w:rsidRPr="00D11A4A" w14:paraId="2B36B3BF" w14:textId="77777777" w:rsidTr="00AA0E90">
        <w:tc>
          <w:tcPr>
            <w:tcW w:w="8828" w:type="dxa"/>
          </w:tcPr>
          <w:p w14:paraId="53DD4187" w14:textId="77777777" w:rsidR="00D11A4A" w:rsidRPr="00D11A4A" w:rsidRDefault="00D11A4A" w:rsidP="00D11A4A">
            <w:pPr>
              <w:widowControl w:val="0"/>
              <w:autoSpaceDE w:val="0"/>
              <w:autoSpaceDN w:val="0"/>
              <w:spacing w:line="276" w:lineRule="auto"/>
              <w:ind w:right="304"/>
              <w:jc w:val="both"/>
              <w:rPr>
                <w:rFonts w:ascii="Verdana" w:hAnsi="Verdana" w:cs="Arial"/>
                <w:color w:val="000000"/>
                <w:sz w:val="21"/>
                <w:szCs w:val="21"/>
                <w:lang w:val="es-ES_tradnl"/>
              </w:rPr>
            </w:pPr>
            <w:r w:rsidRPr="00D11A4A">
              <w:rPr>
                <w:rFonts w:ascii="Verdana" w:hAnsi="Verdana" w:cs="Arial"/>
              </w:rPr>
              <w:t xml:space="preserve">Frente al interrogante planteado, es menester señalar que el contrato de prestación de servicios es un contrato típico, el cual  busca </w:t>
            </w:r>
            <w:r w:rsidRPr="00D11A4A">
              <w:rPr>
                <w:rFonts w:ascii="Verdana" w:hAnsi="Verdana" w:cs="Arial"/>
                <w:color w:val="000000"/>
                <w:sz w:val="21"/>
                <w:szCs w:val="21"/>
                <w:lang w:val="es-ES_tradnl"/>
              </w:rPr>
              <w:t>desarrollar actividades relacionadas con la administración o funcionamiento de la entidad y de la cual no existe personal de planta que pueda ejecutar la actividad, en este no se configuran los elementos del contrato laboral</w:t>
            </w:r>
            <w:r w:rsidRPr="00D11A4A">
              <w:rPr>
                <w:rFonts w:ascii="Verdana" w:hAnsi="Verdana" w:cs="Arial"/>
                <w:color w:val="000000"/>
                <w:sz w:val="21"/>
                <w:szCs w:val="21"/>
                <w:vertAlign w:val="superscript"/>
                <w:lang w:val="es-ES_tradnl"/>
              </w:rPr>
              <w:footnoteReference w:id="1"/>
            </w:r>
            <w:r w:rsidRPr="00D11A4A">
              <w:rPr>
                <w:rFonts w:ascii="Verdana" w:hAnsi="Verdana" w:cs="Arial"/>
                <w:color w:val="000000"/>
                <w:sz w:val="21"/>
                <w:szCs w:val="21"/>
                <w:lang w:val="es-ES_tradnl"/>
              </w:rPr>
              <w:t>, es decir, no marcan horario, no existe subordinación y no existe salario como retribución de la actividad desarrollada.</w:t>
            </w:r>
          </w:p>
          <w:p w14:paraId="6A27BE18" w14:textId="77777777" w:rsidR="00D11A4A" w:rsidRPr="00D11A4A" w:rsidRDefault="00D11A4A" w:rsidP="00D11A4A">
            <w:pPr>
              <w:widowControl w:val="0"/>
              <w:autoSpaceDE w:val="0"/>
              <w:autoSpaceDN w:val="0"/>
              <w:spacing w:line="276" w:lineRule="auto"/>
              <w:ind w:right="304"/>
              <w:jc w:val="both"/>
              <w:rPr>
                <w:rFonts w:ascii="Verdana" w:hAnsi="Verdana" w:cs="Arial"/>
              </w:rPr>
            </w:pPr>
          </w:p>
          <w:p w14:paraId="11B487B2" w14:textId="77777777" w:rsidR="00D11A4A" w:rsidRPr="00D11A4A" w:rsidRDefault="00D11A4A" w:rsidP="00D11A4A">
            <w:pPr>
              <w:widowControl w:val="0"/>
              <w:autoSpaceDE w:val="0"/>
              <w:autoSpaceDN w:val="0"/>
              <w:spacing w:line="276" w:lineRule="auto"/>
              <w:ind w:right="304"/>
              <w:jc w:val="both"/>
              <w:rPr>
                <w:rFonts w:ascii="Verdana" w:hAnsi="Verdana" w:cs="Arial"/>
              </w:rPr>
            </w:pPr>
            <w:r w:rsidRPr="00D11A4A">
              <w:rPr>
                <w:rFonts w:ascii="Verdana" w:hAnsi="Verdana" w:cs="Arial"/>
              </w:rPr>
              <w:t xml:space="preserve">En el contrato de prestación de servicios, las actividades que ejecuta el </w:t>
            </w:r>
            <w:r w:rsidRPr="00D11A4A">
              <w:rPr>
                <w:rFonts w:ascii="Verdana" w:hAnsi="Verdana" w:cs="Arial"/>
              </w:rPr>
              <w:lastRenderedPageBreak/>
              <w:t>contratista son conforme a lo establecido en el contrato y de forma autónoma e independiente, y dentro de sus obligaciones se encuentra asumir el pago correspondiente a seguridad social.</w:t>
            </w:r>
          </w:p>
          <w:p w14:paraId="55C67D7F" w14:textId="77777777" w:rsidR="00D11A4A" w:rsidRPr="00D11A4A" w:rsidRDefault="00D11A4A" w:rsidP="00D11A4A">
            <w:pPr>
              <w:widowControl w:val="0"/>
              <w:autoSpaceDE w:val="0"/>
              <w:autoSpaceDN w:val="0"/>
              <w:spacing w:line="276" w:lineRule="auto"/>
              <w:ind w:right="304"/>
              <w:jc w:val="both"/>
              <w:rPr>
                <w:rFonts w:ascii="Verdana" w:hAnsi="Verdana" w:cs="Arial"/>
              </w:rPr>
            </w:pPr>
          </w:p>
          <w:p w14:paraId="3AC95611" w14:textId="77777777" w:rsidR="00D11A4A" w:rsidRPr="00D11A4A" w:rsidRDefault="00D11A4A" w:rsidP="00D11A4A">
            <w:pPr>
              <w:widowControl w:val="0"/>
              <w:autoSpaceDE w:val="0"/>
              <w:autoSpaceDN w:val="0"/>
              <w:spacing w:line="276" w:lineRule="auto"/>
              <w:ind w:right="304"/>
              <w:jc w:val="both"/>
              <w:rPr>
                <w:rFonts w:ascii="Verdana" w:hAnsi="Verdana" w:cs="Arial"/>
              </w:rPr>
            </w:pPr>
            <w:r w:rsidRPr="00D11A4A">
              <w:rPr>
                <w:rFonts w:ascii="Verdana" w:hAnsi="Verdana" w:cs="Arial"/>
              </w:rPr>
              <w:t>En ese sentido, cuando el contratista se encuentra inmerso en una incapacidad, deberá tramitarla ante su entidad prestadora de salud- EPS, debido a que es este quien tiene la obligación de afiliarse al sistema de salud. Téngase presente que, al no existir relación laboral, el contratante no tiene la obligación de gestionar ni validar las incapacidades; este proceso es responsabilidad exclusiva de la entidad prestadora del contratista.</w:t>
            </w:r>
          </w:p>
          <w:p w14:paraId="58F7975A" w14:textId="77777777" w:rsidR="00D11A4A" w:rsidRPr="00D11A4A" w:rsidRDefault="00D11A4A" w:rsidP="00D11A4A">
            <w:pPr>
              <w:widowControl w:val="0"/>
              <w:autoSpaceDE w:val="0"/>
              <w:autoSpaceDN w:val="0"/>
              <w:spacing w:line="276" w:lineRule="auto"/>
              <w:ind w:right="304"/>
              <w:jc w:val="both"/>
              <w:rPr>
                <w:rFonts w:ascii="Verdana" w:hAnsi="Verdana" w:cs="Arial"/>
              </w:rPr>
            </w:pPr>
          </w:p>
          <w:p w14:paraId="2D7634FC" w14:textId="77777777" w:rsidR="00D11A4A" w:rsidRPr="00D11A4A" w:rsidRDefault="00D11A4A" w:rsidP="00D11A4A">
            <w:pPr>
              <w:widowControl w:val="0"/>
              <w:autoSpaceDE w:val="0"/>
              <w:autoSpaceDN w:val="0"/>
              <w:spacing w:line="276" w:lineRule="auto"/>
              <w:ind w:right="304"/>
              <w:jc w:val="both"/>
              <w:rPr>
                <w:rFonts w:ascii="Verdana" w:hAnsi="Verdana" w:cs="Arial"/>
                <w:lang w:val="es-ES"/>
              </w:rPr>
            </w:pPr>
            <w:r w:rsidRPr="00D11A4A">
              <w:rPr>
                <w:rFonts w:ascii="Verdana" w:hAnsi="Verdana" w:cs="Arial"/>
                <w:lang w:val="es-ES"/>
              </w:rPr>
              <w:t xml:space="preserve">Por otro lado, es menester señalar que las partes del contrato son autónomas en suspender la ejecución del mismo, siempre y cuando exista una causal que lo justifique, lo anterior, teniendo en cuenta la remisión que incorporan los artículos 13 y 40 de la Ley 80 de 1993. De tal manera que, la suspensión del contrato está encaminada a para solucionar los obstáculos que pudieren presentarse en la ejecución, deben corresponder a casos de fuerza mayor, caso fortuito o por motivos de interés público, y tiene efectos directos en el plazo y obligaciones del contrato. </w:t>
            </w:r>
          </w:p>
          <w:p w14:paraId="2ADB607E" w14:textId="77777777" w:rsidR="00D11A4A" w:rsidRPr="00D11A4A" w:rsidRDefault="00D11A4A" w:rsidP="00D11A4A">
            <w:pPr>
              <w:widowControl w:val="0"/>
              <w:autoSpaceDE w:val="0"/>
              <w:autoSpaceDN w:val="0"/>
              <w:spacing w:line="276" w:lineRule="auto"/>
              <w:ind w:right="304"/>
              <w:rPr>
                <w:rFonts w:ascii="Verdana" w:hAnsi="Verdana" w:cs="Arial"/>
                <w:lang w:val="es-ES"/>
              </w:rPr>
            </w:pPr>
          </w:p>
          <w:p w14:paraId="3D119D69" w14:textId="77777777" w:rsidR="00D11A4A" w:rsidRPr="00D11A4A" w:rsidRDefault="00D11A4A" w:rsidP="00D11A4A">
            <w:pPr>
              <w:widowControl w:val="0"/>
              <w:autoSpaceDE w:val="0"/>
              <w:autoSpaceDN w:val="0"/>
              <w:spacing w:line="276" w:lineRule="auto"/>
              <w:ind w:right="304"/>
              <w:jc w:val="both"/>
              <w:rPr>
                <w:rFonts w:ascii="Verdana" w:hAnsi="Verdana" w:cs="Arial"/>
                <w:lang w:val="es-ES"/>
              </w:rPr>
            </w:pPr>
            <w:r w:rsidRPr="00D11A4A">
              <w:rPr>
                <w:rFonts w:ascii="Verdana" w:hAnsi="Verdana" w:cs="Arial"/>
                <w:lang w:val="es-ES"/>
              </w:rPr>
              <w:t>Debe tenerse claridad respecto a que la suspensión del contrato no es indefinida y para suspenderse debe entenderse ha iniciado, pues procede su reiniciación una vez se logre vencer el impedimento que logró su plena ejecución. La decisión de suspender el contrato ha de ser a través de un escrito, donde se exprese en forma clara la razón que justifica la misma y la fijación de la fecha de reinicio o la condición para tal efecto. Igualmente la suspensión no puede ser una decisión unilateral, de cualquiera de las partes, ya sea de la entidad pública o del contratista, en otras palabras, esta decisión de suspender la ejecución del contrato debe ser de común acuerdo.</w:t>
            </w:r>
          </w:p>
          <w:p w14:paraId="67D0A49A" w14:textId="77777777" w:rsidR="00D11A4A" w:rsidRPr="00D11A4A" w:rsidRDefault="00D11A4A" w:rsidP="00D11A4A">
            <w:pPr>
              <w:widowControl w:val="0"/>
              <w:autoSpaceDE w:val="0"/>
              <w:autoSpaceDN w:val="0"/>
              <w:spacing w:line="276" w:lineRule="auto"/>
              <w:ind w:right="304"/>
              <w:jc w:val="both"/>
              <w:rPr>
                <w:rFonts w:ascii="Verdana" w:hAnsi="Verdana" w:cs="Arial"/>
                <w:lang w:val="es-ES"/>
              </w:rPr>
            </w:pPr>
          </w:p>
          <w:p w14:paraId="4A479185" w14:textId="77777777" w:rsidR="00D11A4A" w:rsidRPr="00D11A4A" w:rsidRDefault="00D11A4A" w:rsidP="00D11A4A">
            <w:pPr>
              <w:widowControl w:val="0"/>
              <w:autoSpaceDE w:val="0"/>
              <w:autoSpaceDN w:val="0"/>
              <w:spacing w:line="276" w:lineRule="auto"/>
              <w:ind w:right="304"/>
              <w:jc w:val="both"/>
              <w:rPr>
                <w:rFonts w:ascii="Verdana" w:hAnsi="Verdana" w:cs="Arial"/>
              </w:rPr>
            </w:pPr>
            <w:r w:rsidRPr="00D11A4A">
              <w:rPr>
                <w:rFonts w:ascii="Verdana" w:hAnsi="Verdana" w:cs="Arial"/>
                <w:lang w:val="es-ES"/>
              </w:rPr>
              <w:t xml:space="preserve">Ahora bien, para suspender el contrato en virtud de una incapacidad médica, deberán las partes señalar los motivos, debido a que el contrato de prestación de servicios </w:t>
            </w:r>
            <w:r w:rsidRPr="00D11A4A">
              <w:rPr>
                <w:rFonts w:ascii="Verdana" w:hAnsi="Verdana" w:cs="Arial"/>
              </w:rPr>
              <w:t xml:space="preserve">no está sujeto a un horario fijo ni a una subordinación directa, la incapacidad del contratista no implica una suspensión automática del contrato en los términos en que se aplicaría en un contrato laboral. Lo anterior, partiendo de que el contratista no requiere estar físicamente presente en la oficina ni cumplir con un horario específico, </w:t>
            </w:r>
            <w:r w:rsidRPr="00D11A4A">
              <w:rPr>
                <w:rFonts w:ascii="Verdana" w:hAnsi="Verdana" w:cs="Arial"/>
              </w:rPr>
              <w:lastRenderedPageBreak/>
              <w:t>ya que su trabajo puede estar orientado a la entrega de resultados o productos conforme a lo pactado en el contrato. En este sentido, el cumplimiento del contrato se evalúa en función de los entregables y los resultados acordados, no en base a la presencia física o a la disponibilidad horaria.</w:t>
            </w:r>
          </w:p>
          <w:p w14:paraId="36A67289" w14:textId="77777777" w:rsidR="00D11A4A" w:rsidRPr="00D11A4A" w:rsidRDefault="00D11A4A" w:rsidP="00D11A4A">
            <w:pPr>
              <w:widowControl w:val="0"/>
              <w:autoSpaceDE w:val="0"/>
              <w:autoSpaceDN w:val="0"/>
              <w:spacing w:line="276" w:lineRule="auto"/>
              <w:ind w:right="304"/>
              <w:jc w:val="both"/>
              <w:rPr>
                <w:rFonts w:ascii="Arial" w:hAnsi="Arial" w:cs="Arial"/>
              </w:rPr>
            </w:pPr>
          </w:p>
          <w:p w14:paraId="2A84B5BB" w14:textId="77777777" w:rsidR="00D11A4A" w:rsidRPr="00D11A4A" w:rsidRDefault="00D11A4A" w:rsidP="00D11A4A">
            <w:pPr>
              <w:widowControl w:val="0"/>
              <w:autoSpaceDE w:val="0"/>
              <w:autoSpaceDN w:val="0"/>
              <w:spacing w:line="276" w:lineRule="auto"/>
              <w:ind w:right="304"/>
              <w:jc w:val="both"/>
              <w:rPr>
                <w:rFonts w:ascii="Verdana" w:hAnsi="Verdana" w:cs="Arial"/>
                <w:bCs/>
                <w:color w:val="000000"/>
                <w:lang w:val="es-ES_tradnl"/>
              </w:rPr>
            </w:pPr>
            <w:r w:rsidRPr="00D11A4A">
              <w:rPr>
                <w:rFonts w:ascii="Verdana" w:hAnsi="Verdana" w:cs="Arial"/>
                <w:bCs/>
                <w:color w:val="000000"/>
                <w:lang w:val="es-ES_tradnl"/>
              </w:rPr>
              <w:t xml:space="preserve">En todo caso, son las entidades contratantes y sus contratistas los cuales deberán establecer cuando se reúnen las condiciones para brindar y gozar de una incapacidad. Lo anterior ya que no existe un tratamiento normativo de esta situación en el Estatuto General de Contratación de la Administración Pública ni en su reglamentación. </w:t>
            </w:r>
          </w:p>
          <w:p w14:paraId="403C971B" w14:textId="77777777" w:rsidR="00D11A4A" w:rsidRPr="00D11A4A" w:rsidRDefault="00D11A4A" w:rsidP="00D11A4A">
            <w:pPr>
              <w:widowControl w:val="0"/>
              <w:autoSpaceDE w:val="0"/>
              <w:autoSpaceDN w:val="0"/>
              <w:spacing w:line="276" w:lineRule="auto"/>
              <w:ind w:right="304"/>
              <w:jc w:val="both"/>
              <w:rPr>
                <w:rFonts w:ascii="Verdana" w:hAnsi="Verdana" w:cs="Arial"/>
                <w:bCs/>
                <w:color w:val="000000"/>
                <w:lang w:val="es-ES_tradnl"/>
              </w:rPr>
            </w:pPr>
          </w:p>
          <w:p w14:paraId="6F7DCE48" w14:textId="77777777" w:rsidR="00D11A4A" w:rsidRPr="00D11A4A" w:rsidRDefault="00D11A4A" w:rsidP="00D11A4A">
            <w:pPr>
              <w:widowControl w:val="0"/>
              <w:autoSpaceDE w:val="0"/>
              <w:autoSpaceDN w:val="0"/>
              <w:spacing w:line="276" w:lineRule="auto"/>
              <w:ind w:right="304"/>
              <w:jc w:val="both"/>
              <w:rPr>
                <w:rFonts w:ascii="Verdana" w:hAnsi="Verdana" w:cs="Arial"/>
                <w:bCs/>
                <w:color w:val="000000"/>
                <w:lang w:val="es-ES_tradnl"/>
              </w:rPr>
            </w:pPr>
            <w:r w:rsidRPr="00D11A4A">
              <w:rPr>
                <w:rFonts w:ascii="Verdana" w:hAnsi="Verdana" w:cs="Arial"/>
                <w:bCs/>
                <w:color w:val="000000"/>
                <w:lang w:val="es-ES_tradnl"/>
              </w:rPr>
              <w:t xml:space="preserve">En tal sentido, esta Agencia considera que las partes del contrato cuentan con autonomía de la voluntad para acordar lo que </w:t>
            </w:r>
            <w:r w:rsidRPr="00D11A4A">
              <w:rPr>
                <w:rFonts w:ascii="Verdana" w:hAnsi="Verdana" w:cs="Arial"/>
              </w:rPr>
              <w:t>resulte</w:t>
            </w:r>
            <w:r w:rsidRPr="00D11A4A">
              <w:rPr>
                <w:rFonts w:ascii="Verdana" w:hAnsi="Verdana" w:cs="Arial"/>
                <w:bCs/>
                <w:color w:val="000000"/>
                <w:lang w:val="es-ES_tradnl"/>
              </w:rPr>
              <w:t xml:space="preserve"> adecuado para los fines que deben satisfacerse con la contratación y lo que buscan salvaguardar con la incapacidad. Lo anterior, amparado el segundo inciso del artículo 40 de la Ley 80 de 1993 que establece que </w:t>
            </w:r>
            <w:r w:rsidRPr="00D11A4A">
              <w:rPr>
                <w:rFonts w:ascii="Verdana" w:hAnsi="Verdana" w:cs="Arial"/>
                <w:b/>
                <w:color w:val="000000"/>
                <w:lang w:val="es-ES_tradnl"/>
              </w:rPr>
              <w:t>“Las entidades podrán celebrar los contratos y acuerdos que permitan la autonomía de la voluntad y requieran el cumplimiento de los fines estatales”.</w:t>
            </w:r>
            <w:r w:rsidRPr="00D11A4A">
              <w:rPr>
                <w:rFonts w:ascii="Verdana" w:hAnsi="Verdana" w:cs="Arial"/>
                <w:bCs/>
                <w:color w:val="000000"/>
                <w:lang w:val="es-ES_tradnl"/>
              </w:rPr>
              <w:t xml:space="preserve"> </w:t>
            </w:r>
          </w:p>
          <w:p w14:paraId="485F9A70" w14:textId="77777777" w:rsidR="00D11A4A" w:rsidRPr="00D11A4A" w:rsidRDefault="00D11A4A" w:rsidP="00D11A4A">
            <w:pPr>
              <w:widowControl w:val="0"/>
              <w:autoSpaceDE w:val="0"/>
              <w:autoSpaceDN w:val="0"/>
              <w:spacing w:line="276" w:lineRule="auto"/>
              <w:ind w:right="304"/>
              <w:jc w:val="both"/>
              <w:rPr>
                <w:rFonts w:ascii="Verdana" w:hAnsi="Verdana" w:cs="Arial"/>
                <w:bCs/>
                <w:color w:val="000000"/>
                <w:lang w:val="es-ES_tradnl"/>
              </w:rPr>
            </w:pPr>
          </w:p>
          <w:p w14:paraId="16B4A550" w14:textId="77777777" w:rsidR="00D11A4A" w:rsidRPr="00D11A4A" w:rsidRDefault="00D11A4A" w:rsidP="00D11A4A">
            <w:pPr>
              <w:widowControl w:val="0"/>
              <w:autoSpaceDE w:val="0"/>
              <w:autoSpaceDN w:val="0"/>
              <w:spacing w:line="276" w:lineRule="auto"/>
              <w:ind w:right="304"/>
              <w:jc w:val="both"/>
              <w:rPr>
                <w:rFonts w:ascii="Verdana" w:hAnsi="Verdana" w:cs="Arial"/>
                <w:bCs/>
                <w:color w:val="000000"/>
                <w:lang w:val="es-ES_tradnl"/>
              </w:rPr>
            </w:pPr>
            <w:r w:rsidRPr="00D11A4A">
              <w:rPr>
                <w:rFonts w:ascii="Verdana" w:hAnsi="Verdana" w:cs="Arial"/>
                <w:bCs/>
                <w:color w:val="000000"/>
                <w:lang w:val="es-ES_tradnl"/>
              </w:rPr>
              <w:t xml:space="preserve">De tal manera que, en ejercicio de esta autonomía las partes podrían acordar, por ejemplo, bien que el contratista continúe ejecutando el contrato, siempre que su incapacidad lo permita –lo cual dependerá de la naturaleza de las obligaciones a su cargo– o bien suspender el contrato de prestación de servicios, mientras cesa la incapacidad. No obstante lo anterior, debe tener presente la entidad contratante los derechos fundamentales del contratista, en aras de garantizar la Estabilidad </w:t>
            </w:r>
            <w:r w:rsidRPr="00D11A4A">
              <w:rPr>
                <w:rFonts w:ascii="Verdana" w:hAnsi="Verdana" w:cs="Arial"/>
                <w:color w:val="000000"/>
                <w:lang w:val="es-ES"/>
              </w:rPr>
              <w:t>reforzada de personas en situación de debilidad manifiesta por razones de salud, lo  cual goza de protección constitucional.</w:t>
            </w:r>
          </w:p>
        </w:tc>
      </w:tr>
    </w:tbl>
    <w:p w14:paraId="6C9A7D60" w14:textId="77777777" w:rsidR="00D11A4A" w:rsidRPr="00D11A4A" w:rsidRDefault="00D11A4A" w:rsidP="00D11A4A">
      <w:pPr>
        <w:tabs>
          <w:tab w:val="left" w:pos="142"/>
          <w:tab w:val="left" w:pos="284"/>
        </w:tabs>
        <w:spacing w:after="0" w:line="276" w:lineRule="auto"/>
        <w:jc w:val="both"/>
        <w:rPr>
          <w:rFonts w:ascii="Verdana" w:eastAsia="Times New Roman" w:hAnsi="Verdana" w:cs="Century Gothic"/>
          <w:b/>
          <w:bCs/>
          <w:lang w:val="es-ES"/>
          <w14:ligatures w14:val="none"/>
        </w:rPr>
      </w:pPr>
    </w:p>
    <w:p w14:paraId="7DC8C7A7" w14:textId="77777777" w:rsidR="00D11A4A" w:rsidRPr="00D11A4A" w:rsidRDefault="00D11A4A" w:rsidP="00D11A4A">
      <w:pPr>
        <w:tabs>
          <w:tab w:val="left" w:pos="142"/>
          <w:tab w:val="left" w:pos="284"/>
        </w:tabs>
        <w:spacing w:after="0" w:line="276" w:lineRule="auto"/>
        <w:jc w:val="both"/>
        <w:rPr>
          <w:rFonts w:ascii="Verdana" w:eastAsia="Times New Roman" w:hAnsi="Verdana" w:cs="Century Gothic"/>
          <w:b/>
          <w:bCs/>
          <w:lang w:val="es-ES"/>
          <w14:ligatures w14:val="none"/>
        </w:rPr>
      </w:pPr>
      <w:r w:rsidRPr="00D11A4A">
        <w:rPr>
          <w:rFonts w:ascii="Verdana" w:eastAsia="Times New Roman" w:hAnsi="Verdana" w:cs="Century Gothic"/>
          <w:b/>
          <w:bCs/>
          <w14:ligatures w14:val="none"/>
        </w:rPr>
        <w:t>3.Razones de la respuesta:</w:t>
      </w:r>
    </w:p>
    <w:p w14:paraId="1AA05492" w14:textId="77777777" w:rsidR="00D11A4A" w:rsidRPr="00D11A4A" w:rsidRDefault="00D11A4A" w:rsidP="00D11A4A">
      <w:pPr>
        <w:spacing w:after="0" w:line="276" w:lineRule="auto"/>
        <w:jc w:val="both"/>
        <w:rPr>
          <w:rFonts w:ascii="Verdana" w:eastAsia="Times New Roman" w:hAnsi="Verdana" w:cs="Arial"/>
          <w:lang w:val="es-ES"/>
          <w14:ligatures w14:val="none"/>
        </w:rPr>
      </w:pPr>
    </w:p>
    <w:p w14:paraId="13D9251B" w14:textId="77777777" w:rsidR="00D11A4A" w:rsidRPr="00D11A4A" w:rsidRDefault="00D11A4A" w:rsidP="00D11A4A">
      <w:pPr>
        <w:spacing w:after="0" w:line="276" w:lineRule="auto"/>
        <w:jc w:val="both"/>
        <w:rPr>
          <w:rFonts w:ascii="Verdana" w:eastAsia="Times New Roman" w:hAnsi="Verdana" w:cs="Arial"/>
          <w:lang w:val="es-ES"/>
          <w14:ligatures w14:val="none"/>
        </w:rPr>
      </w:pPr>
      <w:r w:rsidRPr="00D11A4A">
        <w:rPr>
          <w:rFonts w:ascii="Verdana" w:eastAsia="Times New Roman" w:hAnsi="Verdana" w:cs="Arial"/>
          <w:lang w:val="es-ES"/>
          <w14:ligatures w14:val="none"/>
        </w:rPr>
        <w:t xml:space="preserve">Lo anterior se sustenta en las siguientes consideraciones: </w:t>
      </w:r>
    </w:p>
    <w:p w14:paraId="0C713BE7" w14:textId="77777777" w:rsidR="00D11A4A" w:rsidRPr="00D11A4A" w:rsidRDefault="00D11A4A" w:rsidP="00D11A4A">
      <w:pPr>
        <w:spacing w:after="0" w:line="240" w:lineRule="auto"/>
        <w:jc w:val="both"/>
        <w:rPr>
          <w:rFonts w:ascii="Verdana" w:eastAsia="Times New Roman" w:hAnsi="Verdana" w:cs="Arial"/>
          <w:color w:val="000000"/>
          <w14:ligatures w14:val="none"/>
        </w:rPr>
      </w:pPr>
    </w:p>
    <w:p w14:paraId="6F13BE25" w14:textId="77777777" w:rsidR="00D11A4A" w:rsidRPr="00D11A4A" w:rsidRDefault="00D11A4A" w:rsidP="00D11A4A">
      <w:pPr>
        <w:numPr>
          <w:ilvl w:val="0"/>
          <w:numId w:val="5"/>
        </w:numPr>
        <w:spacing w:after="0" w:line="276" w:lineRule="auto"/>
        <w:contextualSpacing/>
        <w:jc w:val="both"/>
        <w:rPr>
          <w:rFonts w:ascii="Verdana" w:eastAsia="Times New Roman" w:hAnsi="Verdana" w:cs="Arial"/>
          <w:color w:val="000000"/>
          <w:lang w:val="es-ES"/>
          <w14:ligatures w14:val="none"/>
        </w:rPr>
      </w:pPr>
      <w:r w:rsidRPr="00D11A4A">
        <w:rPr>
          <w:rFonts w:ascii="Verdana" w:eastAsia="Times New Roman" w:hAnsi="Verdana" w:cs="Arial"/>
          <w:color w:val="000000"/>
          <w:lang w:val="es-ES"/>
          <w14:ligatures w14:val="none"/>
        </w:rPr>
        <w:t xml:space="preserve">El contrato de prestación de servicios es uno de los tipos contractuales consagrados en el Estatuto General de Contratación de la Administración Pública, que pueden celebrar las entidades estatales. Se trata de un contrato </w:t>
      </w:r>
      <w:r w:rsidRPr="00D11A4A">
        <w:rPr>
          <w:rFonts w:ascii="Verdana" w:eastAsia="Times New Roman" w:hAnsi="Verdana" w:cs="Arial"/>
          <w:color w:val="000000"/>
          <w:lang w:val="es-ES"/>
          <w14:ligatures w14:val="none"/>
        </w:rPr>
        <w:lastRenderedPageBreak/>
        <w:t xml:space="preserve">típico, ya que se encuentra definido en la ley. Concretamente, el numeral 3 del </w:t>
      </w:r>
      <w:bookmarkStart w:id="1" w:name="_Hlk176814493"/>
      <w:r w:rsidRPr="00D11A4A">
        <w:rPr>
          <w:rFonts w:ascii="Verdana" w:eastAsia="Times New Roman" w:hAnsi="Verdana" w:cs="Arial"/>
          <w:color w:val="000000"/>
          <w:lang w:val="es-ES"/>
          <w14:ligatures w14:val="none"/>
        </w:rPr>
        <w:t xml:space="preserve">artículo 32, de la </w:t>
      </w:r>
      <w:bookmarkStart w:id="2" w:name="_Hlk176438300"/>
      <w:r w:rsidRPr="00D11A4A">
        <w:rPr>
          <w:rFonts w:ascii="Verdana" w:eastAsia="Times New Roman" w:hAnsi="Verdana" w:cs="Arial"/>
          <w:color w:val="000000"/>
          <w:lang w:val="es-ES"/>
          <w14:ligatures w14:val="none"/>
        </w:rPr>
        <w:t>Ley 80 de 1993</w:t>
      </w:r>
      <w:bookmarkEnd w:id="1"/>
      <w:bookmarkEnd w:id="2"/>
      <w:r w:rsidRPr="00D11A4A">
        <w:rPr>
          <w:rFonts w:ascii="Verdana" w:eastAsia="Times New Roman" w:hAnsi="Verdana" w:cs="Arial"/>
          <w:color w:val="000000"/>
          <w:lang w:val="es-ES"/>
          <w14:ligatures w14:val="none"/>
        </w:rPr>
        <w:t>, el cual establece:</w:t>
      </w:r>
    </w:p>
    <w:p w14:paraId="6372783E" w14:textId="77777777" w:rsidR="00D11A4A" w:rsidRPr="00D11A4A" w:rsidRDefault="00D11A4A" w:rsidP="00D11A4A">
      <w:pPr>
        <w:spacing w:after="0" w:line="240" w:lineRule="auto"/>
        <w:jc w:val="both"/>
        <w:rPr>
          <w:rFonts w:ascii="Verdana" w:eastAsia="Times New Roman" w:hAnsi="Verdana" w:cs="Arial"/>
          <w:color w:val="000000"/>
          <w:lang w:val="es-ES_tradnl"/>
          <w14:ligatures w14:val="none"/>
        </w:rPr>
      </w:pPr>
    </w:p>
    <w:p w14:paraId="397BC475" w14:textId="77777777" w:rsidR="00D11A4A" w:rsidRPr="00D11A4A" w:rsidRDefault="00D11A4A" w:rsidP="00D11A4A">
      <w:pPr>
        <w:spacing w:after="0" w:line="240" w:lineRule="auto"/>
        <w:ind w:left="709" w:right="709"/>
        <w:jc w:val="both"/>
        <w:rPr>
          <w:rFonts w:ascii="Verdana" w:eastAsia="Times New Roman" w:hAnsi="Verdana" w:cs="Arial"/>
          <w:color w:val="000000"/>
          <w:sz w:val="21"/>
          <w:szCs w:val="21"/>
          <w:lang w:val="es-ES_tradnl"/>
          <w14:ligatures w14:val="none"/>
        </w:rPr>
      </w:pPr>
      <w:r w:rsidRPr="00D11A4A">
        <w:rPr>
          <w:rFonts w:ascii="Verdana" w:eastAsia="Times New Roman" w:hAnsi="Verdana" w:cs="Arial"/>
          <w:color w:val="000000"/>
          <w:sz w:val="21"/>
          <w:szCs w:val="21"/>
          <w:lang w:val="es-ES_tradnl"/>
          <w14:ligatures w14:val="none"/>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C2C7F7D" w14:textId="77777777" w:rsidR="00D11A4A" w:rsidRPr="00D11A4A" w:rsidRDefault="00D11A4A" w:rsidP="00D11A4A">
      <w:pPr>
        <w:spacing w:after="0" w:line="240" w:lineRule="auto"/>
        <w:ind w:left="709" w:right="709"/>
        <w:jc w:val="both"/>
        <w:rPr>
          <w:rFonts w:ascii="Verdana" w:eastAsia="Times New Roman" w:hAnsi="Verdana" w:cs="Arial"/>
          <w:color w:val="000000"/>
          <w:sz w:val="21"/>
          <w:szCs w:val="21"/>
          <w:lang w:val="es-ES_tradnl"/>
          <w14:ligatures w14:val="none"/>
        </w:rPr>
      </w:pPr>
    </w:p>
    <w:p w14:paraId="3223C716" w14:textId="77777777" w:rsidR="00D11A4A" w:rsidRPr="00D11A4A" w:rsidRDefault="00D11A4A" w:rsidP="00D11A4A">
      <w:pPr>
        <w:spacing w:after="0" w:line="240" w:lineRule="auto"/>
        <w:ind w:left="709" w:right="709"/>
        <w:jc w:val="both"/>
        <w:rPr>
          <w:rFonts w:ascii="Verdana" w:eastAsia="Times New Roman" w:hAnsi="Verdana" w:cs="Arial"/>
          <w:color w:val="000000"/>
          <w:sz w:val="21"/>
          <w:szCs w:val="21"/>
          <w:lang w:val="es-ES_tradnl"/>
          <w14:ligatures w14:val="none"/>
        </w:rPr>
      </w:pPr>
      <w:r w:rsidRPr="00D11A4A">
        <w:rPr>
          <w:rFonts w:ascii="Verdana" w:eastAsia="Times New Roman" w:hAnsi="Verdana" w:cs="Arial"/>
          <w:color w:val="000000"/>
          <w:sz w:val="21"/>
          <w:szCs w:val="21"/>
          <w:lang w:val="es-ES_tradnl"/>
          <w14:ligatures w14:val="none"/>
        </w:rPr>
        <w:t>En ningún caso estos contratos generan relación laboral ni prestaciones sociales y se celebrarán por el término estrictamente indispensable”.</w:t>
      </w:r>
    </w:p>
    <w:p w14:paraId="21996751" w14:textId="77777777" w:rsidR="00D11A4A" w:rsidRPr="00D11A4A" w:rsidRDefault="00D11A4A" w:rsidP="00D11A4A">
      <w:pPr>
        <w:tabs>
          <w:tab w:val="left" w:pos="284"/>
        </w:tabs>
        <w:spacing w:after="0" w:line="240" w:lineRule="auto"/>
        <w:contextualSpacing/>
        <w:jc w:val="both"/>
        <w:rPr>
          <w:rFonts w:ascii="Verdana" w:eastAsia="Times New Roman" w:hAnsi="Verdana" w:cs="Arial"/>
          <w:b/>
          <w:color w:val="000000"/>
          <w:lang w:val="es-ES_tradnl"/>
          <w14:ligatures w14:val="none"/>
        </w:rPr>
      </w:pPr>
    </w:p>
    <w:p w14:paraId="151D5D7A" w14:textId="77777777" w:rsidR="00D11A4A" w:rsidRPr="00D11A4A" w:rsidRDefault="00D11A4A" w:rsidP="00D11A4A">
      <w:pPr>
        <w:numPr>
          <w:ilvl w:val="0"/>
          <w:numId w:val="5"/>
        </w:numPr>
        <w:spacing w:after="0" w:line="276" w:lineRule="auto"/>
        <w:contextualSpacing/>
        <w:jc w:val="both"/>
        <w:rPr>
          <w:rFonts w:ascii="Verdana" w:eastAsia="Times New Roman" w:hAnsi="Verdana" w:cs="Arial"/>
          <w:color w:val="000000"/>
          <w:lang w:val="es-ES"/>
          <w14:ligatures w14:val="none"/>
        </w:rPr>
      </w:pPr>
      <w:r w:rsidRPr="00D11A4A">
        <w:rPr>
          <w:rFonts w:ascii="Verdana" w:eastAsia="Times New Roman" w:hAnsi="Verdana" w:cs="Arial"/>
          <w:color w:val="000000"/>
          <w:lang w:val="es-ES"/>
          <w14:ligatures w14:val="none"/>
        </w:rPr>
        <w:t xml:space="preserve">La celebración de dicho contrato se debe efectuar a través de la modalidad de la contratación directa. Así lo prevé el literal </w:t>
      </w:r>
      <w:bookmarkStart w:id="3" w:name="_Hlk176814508"/>
      <w:r w:rsidRPr="00D11A4A">
        <w:rPr>
          <w:rFonts w:ascii="Verdana" w:eastAsia="Times New Roman" w:hAnsi="Verdana" w:cs="Arial"/>
          <w:color w:val="000000"/>
          <w:lang w:val="es-ES"/>
          <w14:ligatures w14:val="none"/>
        </w:rPr>
        <w:t xml:space="preserve">h numeral 4 del artículo 2, de </w:t>
      </w:r>
      <w:bookmarkStart w:id="4" w:name="_Hlk176438313"/>
      <w:r w:rsidRPr="00D11A4A">
        <w:rPr>
          <w:rFonts w:ascii="Verdana" w:eastAsia="Times New Roman" w:hAnsi="Verdana" w:cs="Arial"/>
          <w:color w:val="000000"/>
          <w:lang w:val="es-ES"/>
          <w14:ligatures w14:val="none"/>
        </w:rPr>
        <w:t>la Ley 1150 de 2007</w:t>
      </w:r>
      <w:bookmarkEnd w:id="3"/>
      <w:bookmarkEnd w:id="4"/>
      <w:r w:rsidRPr="00D11A4A">
        <w:rPr>
          <w:rFonts w:ascii="Verdana" w:eastAsia="Times New Roman" w:hAnsi="Verdana" w:cs="Arial"/>
          <w:color w:val="000000"/>
          <w:lang w:val="es-ES"/>
          <w14:ligatures w14:val="none"/>
        </w:rPr>
        <w:t>, que dispone:</w:t>
      </w:r>
    </w:p>
    <w:p w14:paraId="2297DD00" w14:textId="77777777" w:rsidR="00D11A4A" w:rsidRPr="00D11A4A" w:rsidRDefault="00D11A4A" w:rsidP="00D11A4A">
      <w:pPr>
        <w:spacing w:after="0" w:line="276" w:lineRule="auto"/>
        <w:ind w:firstLine="709"/>
        <w:jc w:val="both"/>
        <w:rPr>
          <w:rFonts w:ascii="Verdana" w:eastAsia="Times New Roman" w:hAnsi="Verdana" w:cs="Arial"/>
          <w:color w:val="000000"/>
          <w:lang w:val="es-ES_tradnl"/>
          <w14:ligatures w14:val="none"/>
        </w:rPr>
      </w:pPr>
    </w:p>
    <w:p w14:paraId="37060E03" w14:textId="77777777" w:rsidR="00D11A4A" w:rsidRPr="00D11A4A" w:rsidRDefault="00D11A4A" w:rsidP="00D11A4A">
      <w:pPr>
        <w:spacing w:after="0" w:line="240" w:lineRule="auto"/>
        <w:ind w:left="709" w:right="709"/>
        <w:jc w:val="both"/>
        <w:rPr>
          <w:rFonts w:ascii="Verdana" w:eastAsia="Times New Roman" w:hAnsi="Verdana" w:cs="Arial"/>
          <w:i/>
          <w:iCs/>
          <w:color w:val="000000"/>
          <w:sz w:val="20"/>
          <w:szCs w:val="20"/>
          <w:lang w:val="es-ES_tradnl"/>
          <w14:ligatures w14:val="none"/>
        </w:rPr>
      </w:pPr>
      <w:r w:rsidRPr="00D11A4A">
        <w:rPr>
          <w:rFonts w:ascii="Verdana" w:eastAsia="Times New Roman" w:hAnsi="Verdana" w:cs="Arial"/>
          <w:i/>
          <w:iCs/>
          <w:color w:val="000000"/>
          <w:sz w:val="20"/>
          <w:szCs w:val="20"/>
          <w:lang w:val="es-ES_tradnl"/>
          <w14:ligatures w14:val="none"/>
        </w:rPr>
        <w:t xml:space="preserve">“[…] </w:t>
      </w:r>
      <w:r w:rsidRPr="00D11A4A">
        <w:rPr>
          <w:rFonts w:ascii="Verdana" w:eastAsia="Times New Roman" w:hAnsi="Verdana" w:cs="Arial"/>
          <w:i/>
          <w:iCs/>
          <w:color w:val="000000"/>
          <w:sz w:val="20"/>
          <w:szCs w:val="20"/>
          <w:lang w:val="es-ES"/>
          <w14:ligatures w14:val="none"/>
        </w:rPr>
        <w:t>Contratación directa. La modalidad de selección de contratación directa solamente procederá en los siguientes casos:</w:t>
      </w:r>
    </w:p>
    <w:p w14:paraId="7E5447BA" w14:textId="77777777" w:rsidR="00D11A4A" w:rsidRPr="00D11A4A" w:rsidRDefault="00D11A4A" w:rsidP="00D11A4A">
      <w:pPr>
        <w:spacing w:after="0" w:line="240" w:lineRule="auto"/>
        <w:ind w:left="709" w:right="709"/>
        <w:jc w:val="both"/>
        <w:rPr>
          <w:rFonts w:ascii="Verdana" w:eastAsia="Times New Roman" w:hAnsi="Verdana" w:cs="Arial"/>
          <w:i/>
          <w:iCs/>
          <w:color w:val="000000"/>
          <w:sz w:val="20"/>
          <w:szCs w:val="20"/>
          <w:lang w:val="es-ES_tradnl"/>
          <w14:ligatures w14:val="none"/>
        </w:rPr>
      </w:pPr>
    </w:p>
    <w:p w14:paraId="0250A515" w14:textId="77777777" w:rsidR="00D11A4A" w:rsidRPr="00D11A4A" w:rsidRDefault="00D11A4A" w:rsidP="00D11A4A">
      <w:pPr>
        <w:spacing w:after="0" w:line="240" w:lineRule="auto"/>
        <w:ind w:left="709" w:right="709"/>
        <w:jc w:val="both"/>
        <w:rPr>
          <w:rFonts w:ascii="Verdana" w:eastAsia="Times New Roman" w:hAnsi="Verdana" w:cs="Arial"/>
          <w:i/>
          <w:iCs/>
          <w:color w:val="000000"/>
          <w:sz w:val="20"/>
          <w:szCs w:val="20"/>
          <w:lang w:val="es-ES_tradnl"/>
          <w14:ligatures w14:val="none"/>
        </w:rPr>
      </w:pPr>
      <w:r w:rsidRPr="00D11A4A">
        <w:rPr>
          <w:rFonts w:ascii="Verdana" w:eastAsia="Times New Roman" w:hAnsi="Verdana" w:cs="Arial"/>
          <w:i/>
          <w:iCs/>
          <w:color w:val="000000"/>
          <w:sz w:val="20"/>
          <w:szCs w:val="20"/>
          <w:lang w:val="es-ES_tradnl"/>
          <w14:ligatures w14:val="none"/>
        </w:rPr>
        <w:t>[…]</w:t>
      </w:r>
    </w:p>
    <w:p w14:paraId="6AD9C981" w14:textId="77777777" w:rsidR="00D11A4A" w:rsidRPr="00D11A4A" w:rsidRDefault="00D11A4A" w:rsidP="00D11A4A">
      <w:pPr>
        <w:spacing w:after="0" w:line="240" w:lineRule="auto"/>
        <w:ind w:left="709" w:right="709"/>
        <w:jc w:val="both"/>
        <w:rPr>
          <w:rFonts w:ascii="Verdana" w:eastAsia="Times New Roman" w:hAnsi="Verdana" w:cs="Arial"/>
          <w:i/>
          <w:iCs/>
          <w:color w:val="000000"/>
          <w:sz w:val="20"/>
          <w:szCs w:val="20"/>
          <w:lang w:val="es-ES_tradnl"/>
          <w14:ligatures w14:val="none"/>
        </w:rPr>
      </w:pPr>
    </w:p>
    <w:p w14:paraId="40144085" w14:textId="77777777" w:rsidR="00D11A4A" w:rsidRPr="00D11A4A" w:rsidRDefault="00D11A4A" w:rsidP="00D11A4A">
      <w:pPr>
        <w:spacing w:after="0" w:line="240" w:lineRule="auto"/>
        <w:ind w:left="709" w:right="709"/>
        <w:jc w:val="both"/>
        <w:rPr>
          <w:rFonts w:ascii="Verdana" w:eastAsia="Times New Roman" w:hAnsi="Verdana" w:cs="Arial"/>
          <w:i/>
          <w:iCs/>
          <w:color w:val="000000"/>
          <w:sz w:val="20"/>
          <w:szCs w:val="20"/>
          <w:lang w:val="es-ES_tradnl"/>
          <w14:ligatures w14:val="none"/>
        </w:rPr>
      </w:pPr>
      <w:r w:rsidRPr="00D11A4A">
        <w:rPr>
          <w:rFonts w:ascii="Verdana" w:eastAsia="Times New Roman" w:hAnsi="Verdana" w:cs="Arial"/>
          <w:i/>
          <w:iCs/>
          <w:color w:val="000000"/>
          <w:sz w:val="20"/>
          <w:szCs w:val="20"/>
          <w:lang w:val="es-ES_tradnl"/>
          <w14:ligatures w14:val="none"/>
        </w:rPr>
        <w:t>h) Para la prestación de servicios profesionales y de apoyo a la gestión, o para la ejecución de trabajos artísticos que sólo puedan encomendarse a determinadas personas naturales”.</w:t>
      </w:r>
    </w:p>
    <w:p w14:paraId="63FBF306" w14:textId="77777777" w:rsidR="00D11A4A" w:rsidRPr="00D11A4A" w:rsidRDefault="00D11A4A" w:rsidP="00D11A4A">
      <w:pPr>
        <w:spacing w:after="0" w:line="240" w:lineRule="auto"/>
        <w:ind w:right="709"/>
        <w:jc w:val="both"/>
        <w:rPr>
          <w:rFonts w:ascii="Verdana" w:eastAsia="Times New Roman" w:hAnsi="Verdana" w:cs="Arial"/>
          <w:color w:val="000000"/>
          <w:lang w:val="es-ES_tradnl"/>
          <w14:ligatures w14:val="none"/>
        </w:rPr>
      </w:pPr>
    </w:p>
    <w:p w14:paraId="53A71CAC" w14:textId="77777777" w:rsidR="00D11A4A" w:rsidRPr="00D11A4A" w:rsidRDefault="00D11A4A" w:rsidP="00D11A4A">
      <w:pPr>
        <w:numPr>
          <w:ilvl w:val="0"/>
          <w:numId w:val="5"/>
        </w:numPr>
        <w:spacing w:after="0" w:line="276" w:lineRule="auto"/>
        <w:contextualSpacing/>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4D03D71D"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i) Solo puede celebrarse para realizar “actividades relacionadas con la administración o funcionamiento de la entidad”, es decir, que hagan parte de su giro ordinario o quehacer cotidiano.</w:t>
      </w:r>
    </w:p>
    <w:p w14:paraId="27604B34"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
          <w14:ligatures w14:val="none"/>
        </w:rPr>
      </w:pPr>
      <w:r w:rsidRPr="00D11A4A">
        <w:rPr>
          <w:rFonts w:ascii="Verdana" w:eastAsia="Times New Roman" w:hAnsi="Verdana" w:cs="Arial"/>
          <w:color w:val="000000"/>
          <w:lang w:val="es-ES"/>
          <w14:ligatures w14:val="none"/>
        </w:rPr>
        <w:t>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D11A4A">
        <w:rPr>
          <w:rFonts w:ascii="Verdana" w:eastAsia="Times New Roman" w:hAnsi="Verdana" w:cs="Arial"/>
          <w:color w:val="000000"/>
          <w:vertAlign w:val="superscript"/>
          <w:lang w:val="es-ES"/>
          <w14:ligatures w14:val="none"/>
        </w:rPr>
        <w:footnoteReference w:id="2"/>
      </w:r>
      <w:r w:rsidRPr="00D11A4A">
        <w:rPr>
          <w:rFonts w:ascii="Verdana" w:eastAsia="Times New Roman" w:hAnsi="Verdana" w:cs="Arial"/>
          <w:color w:val="000000"/>
          <w:lang w:val="es-ES"/>
          <w14:ligatures w14:val="none"/>
        </w:rPr>
        <w:t xml:space="preserve"> </w:t>
      </w:r>
    </w:p>
    <w:p w14:paraId="3431D14C"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
          <w14:ligatures w14:val="none"/>
        </w:rPr>
      </w:pPr>
      <w:r w:rsidRPr="00D11A4A">
        <w:rPr>
          <w:rFonts w:ascii="Verdana" w:eastAsia="Times New Roman" w:hAnsi="Verdana" w:cs="Arial"/>
          <w:color w:val="000000"/>
          <w:lang w:val="es-ES"/>
          <w14:ligatures w14:val="none"/>
        </w:rPr>
        <w:lastRenderedPageBreak/>
        <w:t>iii) Si bien se celebran para obtener la prestación personal de un servicio, se diferencian del contrato de trabajo</w:t>
      </w:r>
      <w:r w:rsidRPr="00D11A4A">
        <w:rPr>
          <w:rFonts w:ascii="Verdana" w:eastAsia="Times New Roman" w:hAnsi="Verdana" w:cs="Arial"/>
          <w:vertAlign w:val="superscript"/>
          <w14:ligatures w14:val="none"/>
        </w:rPr>
        <w:footnoteReference w:id="3"/>
      </w:r>
      <w:r w:rsidRPr="00D11A4A">
        <w:rPr>
          <w:rFonts w:ascii="Verdana" w:eastAsia="Times New Roman" w:hAnsi="Verdana" w:cs="Arial"/>
          <w:color w:val="000000"/>
          <w:lang w:val="es-ES"/>
          <w14:ligatures w14:val="none"/>
        </w:rPr>
        <w:t xml:space="preserve"> en que quien celebra el contrato de prestación de servicios debe mantener autonomía e independencia en la ejecución de la labor, lo que significa que no puede existir la </w:t>
      </w:r>
      <w:r w:rsidRPr="00D11A4A">
        <w:rPr>
          <w:rFonts w:ascii="Verdana" w:eastAsia="Times New Roman" w:hAnsi="Verdana" w:cs="Arial"/>
          <w:i/>
          <w:color w:val="000000"/>
          <w:lang w:val="es-ES"/>
          <w14:ligatures w14:val="none"/>
        </w:rPr>
        <w:t>subordinación y dependencia</w:t>
      </w:r>
      <w:r w:rsidRPr="00D11A4A">
        <w:rPr>
          <w:rFonts w:ascii="Verdana" w:eastAsia="Times New Roman" w:hAnsi="Verdana" w:cs="Arial"/>
          <w:color w:val="000000"/>
          <w:lang w:val="es-ES"/>
          <w14:ligatures w14:val="none"/>
        </w:rPr>
        <w:t xml:space="preserve">, que es uno de los elementos constitutivos del vínculo laboral. </w:t>
      </w:r>
    </w:p>
    <w:p w14:paraId="76372E6B"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
          <w14:ligatures w14:val="none"/>
        </w:rPr>
      </w:pPr>
      <w:r w:rsidRPr="00D11A4A">
        <w:rPr>
          <w:rFonts w:ascii="Verdana" w:eastAsia="Times New Roman" w:hAnsi="Verdana" w:cs="Arial"/>
          <w:color w:val="000000"/>
          <w:lang w:val="es-ES"/>
          <w14:ligatures w14:val="none"/>
        </w:rPr>
        <w:t xml:space="preserve">Por ello el </w:t>
      </w:r>
      <w:bookmarkStart w:id="7" w:name="_Hlk176814532"/>
      <w:r w:rsidRPr="00D11A4A">
        <w:rPr>
          <w:rFonts w:ascii="Verdana" w:eastAsia="Times New Roman" w:hAnsi="Verdana" w:cs="Arial"/>
          <w:color w:val="000000"/>
          <w:lang w:val="es-ES"/>
          <w14:ligatures w14:val="none"/>
        </w:rPr>
        <w:t xml:space="preserve">numeral 3º del artículo 32, de la Ley 80 de 1993 </w:t>
      </w:r>
      <w:bookmarkEnd w:id="7"/>
      <w:r w:rsidRPr="00D11A4A">
        <w:rPr>
          <w:rFonts w:ascii="Verdana" w:eastAsia="Times New Roman" w:hAnsi="Verdana" w:cs="Arial"/>
          <w:color w:val="000000"/>
          <w:lang w:val="es-ES"/>
          <w14:ligatures w14:val="none"/>
        </w:rPr>
        <w:t xml:space="preserve">establece que “En ningún caso estos contratos generan relación laboral ni prestaciones sociales”, inciso que debe interpretarse en el sentido de que los contratos de prestación de servicios profesionales </w:t>
      </w:r>
      <w:r w:rsidRPr="00D11A4A">
        <w:rPr>
          <w:rFonts w:ascii="Verdana" w:eastAsia="Times New Roman" w:hAnsi="Verdana" w:cs="Arial"/>
          <w:i/>
          <w:color w:val="000000"/>
          <w:lang w:val="es-ES"/>
          <w14:ligatures w14:val="none"/>
        </w:rPr>
        <w:t>no pueden</w:t>
      </w:r>
      <w:r w:rsidRPr="00D11A4A">
        <w:rPr>
          <w:rFonts w:ascii="Verdana" w:eastAsia="Times New Roman" w:hAnsi="Verdana" w:cs="Arial"/>
          <w:color w:val="000000"/>
          <w:lang w:val="es-ES"/>
          <w14:ligatures w14:val="none"/>
        </w:rPr>
        <w:t xml:space="preserve"> generar relación laboral, ni dar lugar a que las entidades estatales paguen por su cuenta los aportes al Sistema de Seguridad Social Integral del contratista. </w:t>
      </w:r>
    </w:p>
    <w:p w14:paraId="3DFCA898" w14:textId="77777777" w:rsidR="00D11A4A" w:rsidRPr="00D11A4A" w:rsidRDefault="00D11A4A" w:rsidP="00D11A4A">
      <w:pPr>
        <w:spacing w:after="120" w:line="276" w:lineRule="auto"/>
        <w:ind w:left="709"/>
        <w:jc w:val="both"/>
        <w:rPr>
          <w:rFonts w:ascii="Verdana" w:eastAsia="Times New Roman" w:hAnsi="Verdana" w:cs="Arial"/>
          <w:color w:val="000000"/>
          <w:sz w:val="21"/>
          <w:szCs w:val="21"/>
          <w:lang w:val="es-ES_tradnl"/>
          <w14:ligatures w14:val="none"/>
        </w:rPr>
      </w:pPr>
      <w:r w:rsidRPr="00D11A4A">
        <w:rPr>
          <w:rFonts w:ascii="Verdana" w:eastAsia="Times New Roman" w:hAnsi="Verdana" w:cs="Arial"/>
          <w:color w:val="000000"/>
          <w:lang w:val="es-ES_tradnl"/>
          <w14:ligatures w14:val="none"/>
        </w:rPr>
        <w:t>iv) Deben ser temporales. Así lo señaló la Corte Constitucional expresando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D11A4A">
        <w:rPr>
          <w:rFonts w:ascii="Verdana" w:eastAsia="Times New Roman" w:hAnsi="Verdana" w:cs="Arial"/>
          <w:vertAlign w:val="superscript"/>
          <w14:ligatures w14:val="none"/>
        </w:rPr>
        <w:footnoteReference w:id="4"/>
      </w:r>
      <w:r w:rsidRPr="00D11A4A">
        <w:rPr>
          <w:rFonts w:ascii="Verdana" w:eastAsia="Times New Roman" w:hAnsi="Verdana" w:cs="Arial"/>
          <w:color w:val="000000"/>
          <w:sz w:val="21"/>
          <w:szCs w:val="21"/>
          <w:lang w:val="es-ES_tradnl"/>
          <w14:ligatures w14:val="none"/>
        </w:rPr>
        <w:t>.</w:t>
      </w:r>
    </w:p>
    <w:p w14:paraId="20DCB473" w14:textId="77777777" w:rsidR="00D11A4A" w:rsidRPr="00D11A4A" w:rsidRDefault="00D11A4A" w:rsidP="00D11A4A">
      <w:pPr>
        <w:spacing w:after="0" w:line="240" w:lineRule="auto"/>
        <w:ind w:left="709" w:right="49"/>
        <w:jc w:val="both"/>
        <w:rPr>
          <w:rFonts w:ascii="Verdana" w:eastAsia="Times New Roman" w:hAnsi="Verdana" w:cs="Arial"/>
          <w:color w:val="000000"/>
          <w:sz w:val="21"/>
          <w:szCs w:val="21"/>
          <w:lang w:val="es-ES_tradnl"/>
          <w14:ligatures w14:val="none"/>
        </w:rPr>
      </w:pPr>
      <w:r w:rsidRPr="00D11A4A">
        <w:rPr>
          <w:rFonts w:ascii="Verdana" w:eastAsia="Times New Roman" w:hAnsi="Verdana" w:cs="Arial"/>
          <w:color w:val="000000"/>
          <w:lang w:val="es-ES"/>
          <w14:ligatures w14:val="none"/>
        </w:rPr>
        <w:t xml:space="preserve">v) Los contratos de prestación de servicios constituyen un </w:t>
      </w:r>
      <w:r w:rsidRPr="00D11A4A">
        <w:rPr>
          <w:rFonts w:ascii="Verdana" w:eastAsia="Times New Roman" w:hAnsi="Verdana" w:cs="Arial"/>
          <w:i/>
          <w:color w:val="000000"/>
          <w:lang w:val="es-ES"/>
          <w14:ligatures w14:val="none"/>
        </w:rPr>
        <w:t>género</w:t>
      </w:r>
      <w:r w:rsidRPr="00D11A4A">
        <w:rPr>
          <w:rFonts w:ascii="Verdana" w:eastAsia="Times New Roman" w:hAnsi="Verdana" w:cs="Arial"/>
          <w:color w:val="000000"/>
          <w:lang w:val="es-ES"/>
          <w14:ligatures w14:val="none"/>
        </w:rPr>
        <w:t xml:space="preserve"> que incluye, como </w:t>
      </w:r>
      <w:r w:rsidRPr="00D11A4A">
        <w:rPr>
          <w:rFonts w:ascii="Verdana" w:eastAsia="Times New Roman" w:hAnsi="Verdana" w:cs="Arial"/>
          <w:i/>
          <w:color w:val="000000"/>
          <w:lang w:val="es-ES"/>
          <w14:ligatures w14:val="none"/>
        </w:rPr>
        <w:t>especies</w:t>
      </w:r>
      <w:r w:rsidRPr="00D11A4A">
        <w:rPr>
          <w:rFonts w:ascii="Verdana" w:eastAsia="Times New Roman" w:hAnsi="Verdana" w:cs="Arial"/>
          <w:color w:val="000000"/>
          <w:lang w:val="es-ES"/>
          <w14:ligatures w14:val="none"/>
        </w:rPr>
        <w:t>, los contratos de prestación de servicios profesionales, los contratos de prestación de servicios de apoyo a la gestión y los contratos de prestación de servicios artísticos que solo pueden encomendarse a determinadas personas naturales</w:t>
      </w:r>
      <w:r w:rsidRPr="00D11A4A">
        <w:rPr>
          <w:rFonts w:ascii="Verdana" w:eastAsia="Times New Roman" w:hAnsi="Verdana" w:cs="Arial"/>
          <w:vertAlign w:val="superscript"/>
          <w14:ligatures w14:val="none"/>
        </w:rPr>
        <w:footnoteReference w:id="5"/>
      </w:r>
      <w:r w:rsidRPr="00D11A4A">
        <w:rPr>
          <w:rFonts w:ascii="Verdana" w:eastAsia="Times New Roman" w:hAnsi="Verdana" w:cs="Arial"/>
          <w:color w:val="000000"/>
          <w:lang w:val="es-ES"/>
          <w14:ligatures w14:val="none"/>
        </w:rPr>
        <w:t>.</w:t>
      </w:r>
    </w:p>
    <w:p w14:paraId="4E036277" w14:textId="77777777" w:rsidR="00D11A4A" w:rsidRPr="00D11A4A" w:rsidRDefault="00D11A4A" w:rsidP="00D11A4A">
      <w:pPr>
        <w:spacing w:after="0" w:line="276" w:lineRule="auto"/>
        <w:ind w:left="709"/>
        <w:jc w:val="both"/>
        <w:rPr>
          <w:rFonts w:ascii="Verdana" w:eastAsia="Times New Roman" w:hAnsi="Verdana" w:cs="Arial"/>
          <w:color w:val="000000"/>
          <w:lang w:val="es-ES_tradnl"/>
          <w14:ligatures w14:val="none"/>
        </w:rPr>
      </w:pPr>
    </w:p>
    <w:p w14:paraId="72E53C07" w14:textId="77777777" w:rsidR="00D11A4A" w:rsidRPr="00D11A4A" w:rsidRDefault="00D11A4A" w:rsidP="00D11A4A">
      <w:pPr>
        <w:spacing w:after="0" w:line="276" w:lineRule="auto"/>
        <w:ind w:left="709"/>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vi) Su celebración debe realizarse a través de la modalidad de contratación directa, independientemente de la cuantía y del tipo de servicio, siempre que este no ingrese dentro del objeto del contrato de consultoría</w:t>
      </w:r>
    </w:p>
    <w:p w14:paraId="5F3CDFB6" w14:textId="77777777" w:rsidR="00D11A4A" w:rsidRPr="00D11A4A" w:rsidRDefault="00D11A4A" w:rsidP="00D11A4A">
      <w:pPr>
        <w:spacing w:after="0" w:line="276" w:lineRule="auto"/>
        <w:ind w:left="709"/>
        <w:jc w:val="both"/>
        <w:rPr>
          <w:rFonts w:ascii="Verdana" w:eastAsia="Times New Roman" w:hAnsi="Verdana" w:cs="Arial"/>
          <w:color w:val="000000"/>
          <w:lang w:val="es-ES_tradnl"/>
          <w14:ligatures w14:val="none"/>
        </w:rPr>
      </w:pPr>
    </w:p>
    <w:p w14:paraId="3D5F3D08" w14:textId="77777777" w:rsidR="00D11A4A" w:rsidRPr="00D11A4A" w:rsidRDefault="00D11A4A" w:rsidP="00D11A4A">
      <w:pPr>
        <w:spacing w:after="0" w:line="276" w:lineRule="auto"/>
        <w:ind w:left="709"/>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vii) Para su celebración no se requiere en algunos casos la expedición del acto administrativo de justificación de la contratación directa</w:t>
      </w:r>
      <w:r w:rsidRPr="00D11A4A">
        <w:rPr>
          <w:rFonts w:ascii="Verdana" w:eastAsia="Times New Roman" w:hAnsi="Verdana" w:cs="Arial"/>
          <w:vertAlign w:val="superscript"/>
          <w14:ligatures w14:val="none"/>
        </w:rPr>
        <w:footnoteReference w:id="6"/>
      </w:r>
      <w:r w:rsidRPr="00D11A4A">
        <w:rPr>
          <w:rFonts w:ascii="Verdana" w:eastAsia="Times New Roman" w:hAnsi="Verdana" w:cs="Arial"/>
          <w:color w:val="000000"/>
          <w:lang w:val="es-ES_tradnl"/>
          <w14:ligatures w14:val="none"/>
        </w:rPr>
        <w:t xml:space="preserve">. </w:t>
      </w:r>
    </w:p>
    <w:p w14:paraId="09B535AD"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viii)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D11A4A">
        <w:rPr>
          <w:rFonts w:ascii="Verdana" w:eastAsia="Times New Roman" w:hAnsi="Verdana" w:cs="Arial"/>
          <w:vertAlign w:val="superscript"/>
          <w14:ligatures w14:val="none"/>
        </w:rPr>
        <w:footnoteReference w:id="7"/>
      </w:r>
      <w:r w:rsidRPr="00D11A4A">
        <w:rPr>
          <w:rFonts w:ascii="Verdana" w:eastAsia="Times New Roman" w:hAnsi="Verdana" w:cs="Arial"/>
          <w:color w:val="000000"/>
          <w:lang w:val="es-ES_tradnl"/>
          <w14:ligatures w14:val="none"/>
        </w:rPr>
        <w:t>.</w:t>
      </w:r>
    </w:p>
    <w:p w14:paraId="07D8D231"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 xml:space="preserve">ix) En algunos casos no es obligatoria la liquidación, pues así lo estableció el </w:t>
      </w:r>
      <w:bookmarkStart w:id="10" w:name="_Hlk176814631"/>
      <w:r w:rsidRPr="00D11A4A">
        <w:rPr>
          <w:rFonts w:ascii="Verdana" w:eastAsia="Times New Roman" w:hAnsi="Verdana" w:cs="Arial"/>
          <w:color w:val="000000"/>
          <w:lang w:val="es-ES_tradnl"/>
          <w14:ligatures w14:val="none"/>
        </w:rPr>
        <w:t>artículo 217 del Decreto 019 de 2012</w:t>
      </w:r>
      <w:bookmarkEnd w:id="10"/>
      <w:r w:rsidRPr="00D11A4A">
        <w:rPr>
          <w:rFonts w:ascii="Verdana" w:eastAsia="Times New Roman" w:hAnsi="Verdana" w:cs="Arial"/>
          <w:color w:val="000000"/>
          <w:lang w:val="es-ES_tradnl"/>
          <w14:ligatures w14:val="none"/>
        </w:rPr>
        <w:t>, que modificó el artículo 60 de la Ley 80 de 1993</w:t>
      </w:r>
      <w:r w:rsidRPr="00D11A4A">
        <w:rPr>
          <w:rFonts w:ascii="Verdana" w:eastAsia="Times New Roman" w:hAnsi="Verdana" w:cs="Arial"/>
          <w:vertAlign w:val="superscript"/>
          <w14:ligatures w14:val="none"/>
        </w:rPr>
        <w:footnoteReference w:id="8"/>
      </w:r>
      <w:r w:rsidRPr="00D11A4A">
        <w:rPr>
          <w:rFonts w:ascii="Verdana" w:eastAsia="Times New Roman" w:hAnsi="Verdana" w:cs="Arial"/>
          <w:color w:val="000000"/>
          <w:lang w:val="es-ES_tradnl"/>
          <w14:ligatures w14:val="none"/>
        </w:rPr>
        <w:t>, refiriéndose a los contratos de prestación de servicios profesionales y de apoyo a la gestión.</w:t>
      </w:r>
    </w:p>
    <w:p w14:paraId="240458F3"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x) Para su celebración no se requiere inscripción en el Registro Único de Proponentes (RUP), según lo prevé el artículo 6 de la Ley 1150 de 2007</w:t>
      </w:r>
      <w:r w:rsidRPr="00D11A4A">
        <w:rPr>
          <w:rFonts w:ascii="Verdana" w:eastAsia="Times New Roman" w:hAnsi="Verdana" w:cs="Arial"/>
          <w:vertAlign w:val="superscript"/>
          <w14:ligatures w14:val="none"/>
        </w:rPr>
        <w:footnoteReference w:id="9"/>
      </w:r>
      <w:r w:rsidRPr="00D11A4A">
        <w:rPr>
          <w:rFonts w:ascii="Verdana" w:eastAsia="Times New Roman" w:hAnsi="Verdana" w:cs="Arial"/>
          <w:color w:val="000000"/>
          <w:lang w:val="es-ES_tradnl"/>
          <w14:ligatures w14:val="none"/>
        </w:rPr>
        <w:t>.</w:t>
      </w:r>
    </w:p>
    <w:p w14:paraId="55D53020" w14:textId="77777777" w:rsidR="00D11A4A" w:rsidRPr="00D11A4A" w:rsidRDefault="00D11A4A" w:rsidP="00D11A4A">
      <w:pPr>
        <w:spacing w:before="120" w:after="120" w:line="276" w:lineRule="auto"/>
        <w:ind w:left="709"/>
        <w:jc w:val="both"/>
        <w:rPr>
          <w:rFonts w:ascii="Verdana" w:eastAsia="Times New Roman" w:hAnsi="Verdana" w:cs="Arial"/>
          <w:color w:val="000000"/>
          <w:lang w:val="es-ES_tradnl"/>
          <w14:ligatures w14:val="none"/>
        </w:rPr>
      </w:pPr>
      <w:r w:rsidRPr="00D11A4A">
        <w:rPr>
          <w:rFonts w:ascii="Verdana" w:eastAsia="Times New Roman" w:hAnsi="Verdana" w:cs="Arial"/>
          <w:color w:val="000000"/>
          <w:lang w:val="es-ES_tradnl"/>
          <w14:ligatures w14:val="none"/>
        </w:rPr>
        <w:t>xi) En ellos no son necesarias las garantías</w:t>
      </w:r>
      <w:r w:rsidRPr="00D11A4A">
        <w:rPr>
          <w:rFonts w:ascii="Verdana" w:eastAsia="Times New Roman" w:hAnsi="Verdana" w:cs="Arial"/>
          <w:vertAlign w:val="superscript"/>
          <w14:ligatures w14:val="none"/>
        </w:rPr>
        <w:footnoteReference w:id="10"/>
      </w:r>
      <w:r w:rsidRPr="00D11A4A">
        <w:rPr>
          <w:rFonts w:ascii="Verdana" w:eastAsia="Times New Roman" w:hAnsi="Verdana" w:cs="Arial"/>
          <w:color w:val="000000"/>
          <w:lang w:val="es-ES_tradnl"/>
          <w14:ligatures w14:val="none"/>
        </w:rPr>
        <w:t>.</w:t>
      </w:r>
    </w:p>
    <w:p w14:paraId="6EA43143" w14:textId="77777777" w:rsidR="00D11A4A" w:rsidRPr="00D11A4A" w:rsidRDefault="00D11A4A" w:rsidP="00D11A4A">
      <w:pPr>
        <w:numPr>
          <w:ilvl w:val="0"/>
          <w:numId w:val="5"/>
        </w:numPr>
        <w:spacing w:before="120" w:after="120" w:line="276" w:lineRule="auto"/>
        <w:contextualSpacing/>
        <w:jc w:val="both"/>
        <w:rPr>
          <w:rFonts w:ascii="Verdana" w:eastAsia="Times New Roman" w:hAnsi="Verdana" w:cs="Arial"/>
          <w:color w:val="000000"/>
          <w:lang w:val="es-ES_tradnl" w:eastAsia="es-ES_tradnl"/>
          <w14:ligatures w14:val="none"/>
        </w:rPr>
      </w:pPr>
      <w:r w:rsidRPr="00D11A4A">
        <w:rPr>
          <w:rFonts w:ascii="Verdana" w:eastAsia="Times New Roman" w:hAnsi="Verdana" w:cs="Arial"/>
          <w:color w:val="000000"/>
          <w:lang w:val="es-ES_tradnl" w:eastAsia="es-ES_tradnl"/>
          <w14:ligatures w14:val="none"/>
        </w:rPr>
        <w:t>Vale mencionar, como ya se dijo que, 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subordinación y dependencia, que es uno de los elementos constitutivos del vínculo laboral.</w:t>
      </w:r>
    </w:p>
    <w:p w14:paraId="2C02B7ED" w14:textId="77777777" w:rsidR="00D11A4A" w:rsidRPr="00D11A4A" w:rsidRDefault="00D11A4A" w:rsidP="00D11A4A">
      <w:pPr>
        <w:numPr>
          <w:ilvl w:val="0"/>
          <w:numId w:val="5"/>
        </w:numPr>
        <w:spacing w:before="120" w:after="120" w:line="276" w:lineRule="auto"/>
        <w:contextualSpacing/>
        <w:jc w:val="both"/>
        <w:rPr>
          <w:rFonts w:ascii="Verdana" w:eastAsia="Times New Roman" w:hAnsi="Verdana" w:cs="Arial"/>
          <w:color w:val="000000"/>
          <w:lang w:val="es-ES_tradnl" w:eastAsia="es-ES_tradnl"/>
          <w14:ligatures w14:val="none"/>
        </w:rPr>
      </w:pPr>
      <w:r w:rsidRPr="00D11A4A">
        <w:rPr>
          <w:rFonts w:ascii="Verdana" w:eastAsia="Times New Roman" w:hAnsi="Verdana" w:cs="Arial"/>
          <w:color w:val="000000"/>
          <w:lang w:val="es-ES_tradnl" w:eastAsia="es-ES_tradnl"/>
          <w14:ligatures w14:val="none"/>
        </w:rPr>
        <w:lastRenderedPageBreak/>
        <w:t xml:space="preserve"> Por ello el numeral 3 del artículo 32de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w:t>
      </w:r>
    </w:p>
    <w:p w14:paraId="7F56B7D1" w14:textId="77777777" w:rsidR="00D11A4A" w:rsidRPr="00D11A4A" w:rsidRDefault="00D11A4A" w:rsidP="00D11A4A">
      <w:pPr>
        <w:numPr>
          <w:ilvl w:val="0"/>
          <w:numId w:val="5"/>
        </w:numPr>
        <w:spacing w:before="120" w:after="120" w:line="276" w:lineRule="auto"/>
        <w:contextualSpacing/>
        <w:jc w:val="both"/>
        <w:rPr>
          <w:rFonts w:ascii="Verdana" w:eastAsia="Times New Roman" w:hAnsi="Verdana" w:cs="Arial"/>
          <w:color w:val="000000"/>
          <w:lang w:val="es-ES_tradnl" w:eastAsia="es-ES_tradnl"/>
          <w14:ligatures w14:val="none"/>
        </w:rPr>
      </w:pPr>
      <w:r w:rsidRPr="00D11A4A">
        <w:rPr>
          <w:rFonts w:ascii="Verdana" w:eastAsia="Times New Roman" w:hAnsi="Verdana" w:cs="Arial"/>
          <w:color w:val="000000"/>
          <w:lang w:val="es-ES_tradnl" w:eastAsia="es-ES_tradnl"/>
          <w14:ligatures w14:val="none"/>
        </w:rPr>
        <w:t xml:space="preserve">Lo anterior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w:t>
      </w:r>
    </w:p>
    <w:p w14:paraId="3CD6BA06" w14:textId="77777777" w:rsidR="00D11A4A" w:rsidRPr="00D11A4A" w:rsidRDefault="00D11A4A" w:rsidP="00D11A4A">
      <w:pPr>
        <w:numPr>
          <w:ilvl w:val="0"/>
          <w:numId w:val="5"/>
        </w:numPr>
        <w:spacing w:before="120" w:after="120" w:line="276" w:lineRule="auto"/>
        <w:contextualSpacing/>
        <w:jc w:val="both"/>
        <w:rPr>
          <w:rFonts w:ascii="Verdana" w:eastAsia="Times New Roman" w:hAnsi="Verdana" w:cs="Arial"/>
          <w:color w:val="000000"/>
          <w:lang w:val="es-ES_tradnl" w:eastAsia="es-ES_tradnl"/>
          <w14:ligatures w14:val="none"/>
        </w:rPr>
      </w:pPr>
      <w:r w:rsidRPr="00D11A4A">
        <w:rPr>
          <w:rFonts w:ascii="Verdana" w:eastAsia="Times New Roman" w:hAnsi="Verdana" w:cs="Arial"/>
          <w:color w:val="000000"/>
          <w:lang w:val="es-ES_tradnl" w:eastAsia="es-ES_tradnl"/>
          <w14:ligatures w14:val="none"/>
        </w:rPr>
        <w:t>Ahora bien, a pesar de este mandato deontológico, es posible que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p>
    <w:p w14:paraId="14AB3DA4" w14:textId="77777777" w:rsidR="00D11A4A" w:rsidRPr="00D11A4A" w:rsidRDefault="00D11A4A" w:rsidP="00D11A4A">
      <w:pPr>
        <w:spacing w:before="120" w:after="120" w:line="276" w:lineRule="auto"/>
        <w:ind w:left="720"/>
        <w:contextualSpacing/>
        <w:jc w:val="both"/>
        <w:rPr>
          <w:rFonts w:ascii="Verdana" w:eastAsia="Times New Roman" w:hAnsi="Verdana" w:cs="Arial"/>
          <w:color w:val="000000"/>
          <w:lang w:val="es-ES_tradnl" w:eastAsia="es-ES_tradnl"/>
          <w14:ligatures w14:val="none"/>
        </w:rPr>
      </w:pPr>
    </w:p>
    <w:p w14:paraId="08687EAB" w14:textId="77777777" w:rsidR="00D11A4A" w:rsidRPr="00D11A4A" w:rsidRDefault="00D11A4A" w:rsidP="00D11A4A">
      <w:pPr>
        <w:numPr>
          <w:ilvl w:val="0"/>
          <w:numId w:val="5"/>
        </w:numPr>
        <w:spacing w:after="120" w:line="276" w:lineRule="auto"/>
        <w:contextualSpacing/>
        <w:jc w:val="both"/>
        <w:rPr>
          <w:rFonts w:ascii="Verdana" w:eastAsia="Times New Roman" w:hAnsi="Verdana" w:cs="Arial"/>
          <w:lang w:val="es-ES"/>
          <w14:ligatures w14:val="none"/>
        </w:rPr>
      </w:pPr>
      <w:r w:rsidRPr="00D11A4A">
        <w:rPr>
          <w:rFonts w:ascii="Verdana" w:eastAsia="Times New Roman" w:hAnsi="Verdana" w:cs="Arial"/>
          <w:color w:val="000000"/>
          <w:lang w:val="es-ES_tradnl" w:eastAsia="es-ES_tradnl"/>
          <w14:ligatures w14:val="none"/>
        </w:rPr>
        <w:t xml:space="preserve">Por </w:t>
      </w:r>
      <w:bookmarkStart w:id="11" w:name="_Hlk135923867"/>
      <w:r w:rsidRPr="00D11A4A">
        <w:rPr>
          <w:rFonts w:ascii="Verdana" w:eastAsia="Times New Roman" w:hAnsi="Verdana" w:cs="Arial"/>
          <w:color w:val="000000"/>
          <w:lang w:val="es-ES_tradnl" w:eastAsia="es-ES_tradnl"/>
          <w14:ligatures w14:val="none"/>
        </w:rPr>
        <w:t xml:space="preserve">otro lado,  de acuerdo a la situación fáctica que se le presente a una entidad dependiendo del estado de salud del contratista, es dable traer a colación lo referente a la </w:t>
      </w:r>
      <w:r w:rsidRPr="00D11A4A">
        <w:rPr>
          <w:rFonts w:ascii="Verdana" w:eastAsia="Times New Roman" w:hAnsi="Verdana" w:cs="Arial"/>
          <w:color w:val="000000"/>
          <w:lang w:val="es-ES"/>
          <w14:ligatures w14:val="none"/>
        </w:rPr>
        <w:t>estabilidad ocupacional reforzada de personas en situación de debilidad manifiesta por razones de salud</w:t>
      </w:r>
      <w:bookmarkEnd w:id="11"/>
      <w:r w:rsidRPr="00D11A4A">
        <w:rPr>
          <w:rFonts w:ascii="Verdana" w:eastAsia="Times New Roman" w:hAnsi="Verdana" w:cs="Arial"/>
          <w:color w:val="000000"/>
          <w:lang w:val="es-ES"/>
          <w14:ligatures w14:val="none"/>
        </w:rPr>
        <w:t xml:space="preserve">, que  </w:t>
      </w:r>
      <w:r w:rsidRPr="00D11A4A">
        <w:rPr>
          <w:rFonts w:ascii="Verdana" w:eastAsia="Times New Roman" w:hAnsi="Verdana" w:cs="Arial"/>
          <w:lang w:val="es-ES"/>
          <w14:ligatures w14:val="none"/>
        </w:rPr>
        <w:t xml:space="preserve">con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w:t>
      </w:r>
    </w:p>
    <w:p w14:paraId="2BD0218A" w14:textId="77777777" w:rsidR="00D11A4A" w:rsidRPr="00D11A4A" w:rsidRDefault="00D11A4A" w:rsidP="00D11A4A">
      <w:pPr>
        <w:numPr>
          <w:ilvl w:val="0"/>
          <w:numId w:val="5"/>
        </w:numPr>
        <w:spacing w:before="100" w:beforeAutospacing="1" w:after="100" w:afterAutospacing="1" w:line="240" w:lineRule="auto"/>
        <w:jc w:val="both"/>
        <w:rPr>
          <w:rFonts w:ascii="Verdana" w:eastAsia="Times New Roman" w:hAnsi="Verdana" w:cs="Times New Roman"/>
          <w:lang w:eastAsia="es-MX"/>
          <w14:ligatures w14:val="none"/>
        </w:rPr>
      </w:pPr>
      <w:r w:rsidRPr="00D11A4A">
        <w:rPr>
          <w:rFonts w:ascii="Verdana" w:eastAsia="Times New Roman" w:hAnsi="Verdana" w:cs="Times New Roman"/>
          <w:lang w:eastAsia="es-MX"/>
          <w14:ligatures w14:val="none"/>
        </w:rPr>
        <w:t xml:space="preserve">En ese orden de ideas, en sentencia de unificación 049 del 2 de febrero de 2017, magistrada ponente: María Victoria Calle Correa, en Sala Plena, se unificó su jurisprudencia sobre la protección de estabilidad laboral reforzada que deben tener las personas en condición de debilidad manifiesta por cuestiones de salud en los contratos de prestación de servicios, con fundamento en el principio de solidaridad que supone asumir como propias causas en principio ajenas, cuando el titular de ellas no puede por razones objetivas ejercer su defensa y la protección individualmente de forma integral y en el mandato de no discriminación que prohíbe establecer tratamientos </w:t>
      </w:r>
      <w:r w:rsidRPr="00D11A4A">
        <w:rPr>
          <w:rFonts w:ascii="Verdana" w:eastAsia="Times New Roman" w:hAnsi="Verdana" w:cs="Times New Roman"/>
          <w:lang w:eastAsia="es-MX"/>
          <w14:ligatures w14:val="none"/>
        </w:rPr>
        <w:lastRenderedPageBreak/>
        <w:t>diferenciales injustificados entre dos personas o situaciones de hecho; y como en principio todas las personas se presumen iguales ante el derecho y en los derechos, cuando se pretende defender un trato distinto entre estas deben existir razones, constitucionalmente válidas, que lo justifiquen.</w:t>
      </w:r>
    </w:p>
    <w:p w14:paraId="6AA3868B" w14:textId="77777777" w:rsidR="00D11A4A" w:rsidRPr="00D11A4A" w:rsidRDefault="00D11A4A" w:rsidP="00D11A4A">
      <w:pPr>
        <w:spacing w:before="100" w:beforeAutospacing="1" w:after="100" w:afterAutospacing="1" w:line="240" w:lineRule="auto"/>
        <w:ind w:left="720"/>
        <w:jc w:val="both"/>
        <w:rPr>
          <w:rFonts w:ascii="Verdana" w:eastAsia="Times New Roman" w:hAnsi="Verdana" w:cs="Times New Roman"/>
          <w:lang w:eastAsia="es-MX"/>
          <w14:ligatures w14:val="none"/>
        </w:rPr>
      </w:pPr>
    </w:p>
    <w:p w14:paraId="1E6D736A" w14:textId="77777777" w:rsidR="00D11A4A" w:rsidRPr="00D11A4A" w:rsidRDefault="00D11A4A" w:rsidP="00D11A4A">
      <w:pPr>
        <w:numPr>
          <w:ilvl w:val="0"/>
          <w:numId w:val="5"/>
        </w:numPr>
        <w:spacing w:before="100" w:beforeAutospacing="1" w:after="100" w:afterAutospacing="1" w:line="240" w:lineRule="auto"/>
        <w:jc w:val="both"/>
        <w:rPr>
          <w:rFonts w:ascii="Verdana" w:eastAsia="Times New Roman" w:hAnsi="Verdana" w:cs="Times New Roman"/>
          <w:lang w:eastAsia="es-MX"/>
          <w14:ligatures w14:val="none"/>
        </w:rPr>
      </w:pPr>
      <w:r w:rsidRPr="00D11A4A">
        <w:rPr>
          <w:rFonts w:ascii="Verdana" w:eastAsia="Times New Roman" w:hAnsi="Verdana" w:cs="Times New Roman"/>
          <w:lang w:eastAsia="es-MX"/>
          <w14:ligatures w14:val="none"/>
        </w:rPr>
        <w:t xml:space="preserve">Ahora bien, en lo que respecta al tema de consulta, la </w:t>
      </w:r>
      <w:r w:rsidRPr="00D11A4A">
        <w:rPr>
          <w:rFonts w:ascii="Verdana" w:eastAsia="Times New Roman" w:hAnsi="Verdana" w:cs="Arial"/>
          <w:i/>
          <w:iCs/>
          <w:lang w:eastAsia="es-MX"/>
          <w14:ligatures w14:val="none"/>
        </w:rPr>
        <w:t>estabilidad ocupacional reforzada de personas en situación de debilidad manifiesta por razones de salud</w:t>
      </w:r>
      <w:r w:rsidRPr="00D11A4A">
        <w:rPr>
          <w:rFonts w:ascii="Verdana" w:eastAsia="Times New Roman" w:hAnsi="Verdana" w:cs="Times New Roman"/>
          <w:lang w:eastAsia="es-MX"/>
          <w14:ligatures w14:val="none"/>
        </w:rPr>
        <w:t xml:space="preserve">, encuentra sustento en la Ley 361 de 1997, </w:t>
      </w:r>
      <w:r w:rsidRPr="00D11A4A">
        <w:rPr>
          <w:rFonts w:ascii="Verdana" w:eastAsia="Times New Roman" w:hAnsi="Verdana" w:cs="Arial"/>
          <w:i/>
          <w:iCs/>
          <w:lang w:eastAsia="es-MX"/>
          <w14:ligatures w14:val="none"/>
        </w:rPr>
        <w:t xml:space="preserve">“Por la cual se establecen mecanismos de integración social de las personas en situación de discapacidad y se dictan otras disposiciones”, </w:t>
      </w:r>
      <w:r w:rsidRPr="00D11A4A">
        <w:rPr>
          <w:rFonts w:ascii="Verdana" w:eastAsia="Times New Roman" w:hAnsi="Verdana" w:cs="Times New Roman"/>
          <w:lang w:eastAsia="es-MX"/>
          <w14:ligatures w14:val="none"/>
        </w:rPr>
        <w:t xml:space="preserve">especialmente en su artículo 26 que dispuso que en ningún caso la discapacidad de una persona podrá ser un motivo para terminar su contrato, en los siguientes términos: </w:t>
      </w:r>
    </w:p>
    <w:p w14:paraId="67F17914" w14:textId="77777777" w:rsidR="00D11A4A" w:rsidRPr="00D11A4A" w:rsidRDefault="00D11A4A" w:rsidP="00D11A4A">
      <w:pPr>
        <w:spacing w:before="100" w:beforeAutospacing="1" w:after="100" w:afterAutospacing="1" w:line="240" w:lineRule="auto"/>
        <w:ind w:left="720"/>
        <w:jc w:val="both"/>
        <w:rPr>
          <w:rFonts w:ascii="Verdana" w:eastAsia="Times New Roman" w:hAnsi="Verdana" w:cs="Times New Roman"/>
          <w:lang w:eastAsia="es-MX"/>
          <w14:ligatures w14:val="none"/>
        </w:rPr>
      </w:pPr>
      <w:r w:rsidRPr="00D11A4A">
        <w:rPr>
          <w:rFonts w:ascii="Verdana" w:eastAsia="Times New Roman" w:hAnsi="Verdana" w:cs="Times New Roman"/>
          <w:lang w:eastAsia="es-MX"/>
          <w14:ligatures w14:val="none"/>
        </w:rPr>
        <w:t xml:space="preserve">“Artículo 26. No discriminación a persona en situación de discapacidad. En ningún caso la discapacidad de una persona podrá ser motivo para obstaculizar una vinculación laboral, a menos que dicha discapacidad sea claramente demostrada como incompatible e insuperable en el cargo que se va a desempeñar. Así mismo, ninguna persona en situación de discapacidad podrá ser despedida o su contrato terminado por razón de su discapacidad, salvo que medie autorización de la oficina de Trabajo. </w:t>
      </w:r>
    </w:p>
    <w:p w14:paraId="35BEF0B9" w14:textId="77777777" w:rsidR="00D11A4A" w:rsidRPr="00D11A4A" w:rsidRDefault="00D11A4A" w:rsidP="00D11A4A">
      <w:pPr>
        <w:spacing w:before="100" w:beforeAutospacing="1" w:after="100" w:afterAutospacing="1" w:line="240" w:lineRule="auto"/>
        <w:ind w:left="720"/>
        <w:jc w:val="both"/>
        <w:rPr>
          <w:rFonts w:ascii="Verdana" w:eastAsia="Times New Roman" w:hAnsi="Verdana" w:cs="Times New Roman"/>
          <w:lang w:eastAsia="es-MX"/>
          <w14:ligatures w14:val="none"/>
        </w:rPr>
      </w:pPr>
      <w:r w:rsidRPr="00D11A4A">
        <w:rPr>
          <w:rFonts w:ascii="Verdana" w:eastAsia="Times New Roman" w:hAnsi="Verdana" w:cs="Times New Roman"/>
          <w:lang w:eastAsia="es-MX"/>
          <w14:ligatures w14:val="none"/>
        </w:rPr>
        <w:t xml:space="preserve">No obstante, quienes fueren despedidos o su contrato terminado por razón de su discapacidad, sin el cumplimiento del requisito previsto en el inciso anterior, tendrán derecho a una indemnización equivalente a ciento ochenta días del salario, sin perjuicio de las demás prestaciones e indemnizaciones a que hubiere lugar de acuerdo con el Código Sustantivo del Trabajo y demás normas que lo modifiquen, adicionen, complementen o aclaren.” </w:t>
      </w:r>
    </w:p>
    <w:p w14:paraId="7925B7BB" w14:textId="77777777" w:rsidR="00D11A4A" w:rsidRPr="00D11A4A" w:rsidRDefault="00D11A4A" w:rsidP="00D11A4A">
      <w:pPr>
        <w:numPr>
          <w:ilvl w:val="0"/>
          <w:numId w:val="7"/>
        </w:numPr>
        <w:spacing w:before="100" w:beforeAutospacing="1" w:after="100" w:afterAutospacing="1" w:line="240" w:lineRule="auto"/>
        <w:jc w:val="both"/>
        <w:rPr>
          <w:rFonts w:ascii="Verdana" w:eastAsia="Times New Roman" w:hAnsi="Verdana" w:cs="Arial"/>
          <w:lang w:eastAsia="es-MX"/>
          <w14:ligatures w14:val="none"/>
        </w:rPr>
      </w:pPr>
      <w:r w:rsidRPr="00D11A4A">
        <w:rPr>
          <w:rFonts w:ascii="Verdana" w:eastAsia="Times New Roman" w:hAnsi="Verdana" w:cs="Arial"/>
          <w:lang w:eastAsia="es-MX"/>
          <w14:ligatures w14:val="none"/>
        </w:rPr>
        <w:t xml:space="preserve">La aplicación de la norma ibidem, en los contratos prestación de servicios tiene origen jurisprudencial, a través de sentencias de la Corte Constitucional como la sentencia de Tutela 1210 del 5 de diciembre de 2008, Magistrada ponente Clara Inés Vargas Hernández, que previó la posibilidad que se prediquen ciertas garantías de la relación laboral a los contratos de prestación de servicios tales como, el principio de estabilidad laboral. </w:t>
      </w:r>
      <w:r w:rsidRPr="00D11A4A">
        <w:rPr>
          <w:rFonts w:ascii="Verdana" w:eastAsia="Times New Roman" w:hAnsi="Verdana" w:cs="Arial"/>
          <w:vertAlign w:val="superscript"/>
          <w:lang w:eastAsia="es-MX"/>
          <w14:ligatures w14:val="none"/>
        </w:rPr>
        <w:footnoteReference w:id="11"/>
      </w:r>
    </w:p>
    <w:p w14:paraId="3706688F" w14:textId="77777777" w:rsidR="00D11A4A" w:rsidRPr="00D11A4A" w:rsidRDefault="00D11A4A" w:rsidP="00D11A4A">
      <w:pPr>
        <w:spacing w:before="100" w:beforeAutospacing="1" w:after="100" w:afterAutospacing="1" w:line="240" w:lineRule="auto"/>
        <w:ind w:left="720"/>
        <w:jc w:val="both"/>
        <w:rPr>
          <w:rFonts w:ascii="Verdana" w:eastAsia="Times New Roman" w:hAnsi="Verdana" w:cs="Arial"/>
          <w:lang w:eastAsia="es-MX"/>
          <w14:ligatures w14:val="none"/>
        </w:rPr>
      </w:pPr>
    </w:p>
    <w:p w14:paraId="0BE617E2" w14:textId="77777777" w:rsidR="00D11A4A" w:rsidRPr="00D11A4A" w:rsidRDefault="00D11A4A" w:rsidP="00D11A4A">
      <w:pPr>
        <w:numPr>
          <w:ilvl w:val="0"/>
          <w:numId w:val="7"/>
        </w:numPr>
        <w:spacing w:before="100" w:beforeAutospacing="1" w:after="100" w:afterAutospacing="1" w:line="240" w:lineRule="auto"/>
        <w:jc w:val="both"/>
        <w:rPr>
          <w:rFonts w:ascii="Verdana" w:eastAsia="Times New Roman" w:hAnsi="Verdana" w:cs="Arial"/>
          <w:lang w:eastAsia="es-MX"/>
          <w14:ligatures w14:val="none"/>
        </w:rPr>
      </w:pPr>
      <w:r w:rsidRPr="00D11A4A">
        <w:rPr>
          <w:rFonts w:ascii="Verdana" w:eastAsia="Times New Roman" w:hAnsi="Verdana" w:cs="Arial"/>
          <w:lang w:eastAsia="es-MX"/>
          <w14:ligatures w14:val="none"/>
        </w:rPr>
        <w:t xml:space="preserve">Asi mismo, en la sentencia T-040 de 2016, Magistrado ponente Alejandro Linares Cantillo, protegió́ el derecho a la estabilidad laboral reforzada a una persona que se le terminó el contrato de prestación de servicios, mientras estaba afectado su estado de salud por encontrarse en una situación de debilidad manifiesta. </w:t>
      </w:r>
      <w:r w:rsidRPr="00D11A4A">
        <w:rPr>
          <w:rFonts w:ascii="Verdana" w:eastAsia="Times New Roman" w:hAnsi="Verdana" w:cs="Arial"/>
          <w:vertAlign w:val="superscript"/>
          <w:lang w:eastAsia="es-MX"/>
          <w14:ligatures w14:val="none"/>
        </w:rPr>
        <w:footnoteReference w:id="12"/>
      </w:r>
      <w:r w:rsidRPr="00D11A4A">
        <w:rPr>
          <w:rFonts w:ascii="Verdana" w:eastAsia="Times New Roman" w:hAnsi="Verdana" w:cs="Arial"/>
          <w:lang w:eastAsia="es-MX"/>
          <w14:ligatures w14:val="none"/>
        </w:rPr>
        <w:t xml:space="preserve"> De igual manera, en sentencia de unificación SU-380 del 3 de noviembre de 2021  la Corte Constitucional dispuso que: </w:t>
      </w:r>
    </w:p>
    <w:p w14:paraId="152EFC17" w14:textId="77777777" w:rsidR="00D11A4A" w:rsidRPr="00D11A4A" w:rsidRDefault="00D11A4A" w:rsidP="00D11A4A">
      <w:pPr>
        <w:spacing w:before="100" w:beforeAutospacing="1" w:after="100" w:afterAutospacing="1" w:line="240" w:lineRule="auto"/>
        <w:ind w:left="720"/>
        <w:jc w:val="both"/>
        <w:rPr>
          <w:rFonts w:ascii="Verdana" w:eastAsia="Times New Roman" w:hAnsi="Verdana" w:cs="Arial"/>
          <w:lang w:eastAsia="es-MX"/>
          <w14:ligatures w14:val="none"/>
        </w:rPr>
      </w:pPr>
      <w:r w:rsidRPr="00D11A4A">
        <w:rPr>
          <w:rFonts w:ascii="Verdana" w:eastAsia="Times New Roman" w:hAnsi="Verdana" w:cs="Arial"/>
          <w:lang w:eastAsia="es-MX"/>
          <w14:ligatures w14:val="none"/>
        </w:rPr>
        <w:t>“(i) la estabilidad laboral reforzada tiene fundamento constitucional en los mandatos de no discriminación, solidaridad social, integración de las personas en situación de discapacidad y estabilidad en el empleo; (ii) este derecho cobija tanto a personas con una discapacidad calificada por los órganos competentes, como a aquellas que enfrentan una situación de debilidad manifiesta por razones de salud que repercuta intensamente en el desempeño de sus funciones; (iii) la violación de la estabilidad laboral reforzada incluye (a) la presunción de un móvil discriminatorio siempre que el despido se dé sin autorización de la Oficina o inspección del trabajo; (b) una valoración razonada de los distintos elementos a partir de los cuales es posible inferir el conocimiento del empleador y que, en principio, operan para comprobar la presunción de despido injusto y, excepcionalmente, permiten desvirtuarla; (c) en el segundo evento, corresponde al empleador asumir la carga de demostrar la existencia de una causa justa para la terminación del vínculo. Por último, (iv) el despido en estas circunstancias es ineficaz y tiene como consecuencia, (a) la ineficacia de la desvinculación, (b) el pago de una indemnización equivalente a 180 días de salario y (c) el pago de los salarios, prestaciones y emolumentos dejados de percibir.”</w:t>
      </w:r>
    </w:p>
    <w:p w14:paraId="4689C0AB" w14:textId="77777777" w:rsidR="00D11A4A" w:rsidRPr="00D11A4A" w:rsidRDefault="00D11A4A" w:rsidP="00D11A4A">
      <w:pPr>
        <w:numPr>
          <w:ilvl w:val="0"/>
          <w:numId w:val="7"/>
        </w:numPr>
        <w:spacing w:before="100" w:beforeAutospacing="1" w:after="100" w:afterAutospacing="1" w:line="240" w:lineRule="auto"/>
        <w:jc w:val="both"/>
        <w:rPr>
          <w:rFonts w:ascii="Verdana" w:eastAsia="Times New Roman" w:hAnsi="Verdana" w:cs="Arial"/>
          <w:lang w:eastAsia="es-MX"/>
          <w14:ligatures w14:val="none"/>
        </w:rPr>
      </w:pPr>
      <w:r w:rsidRPr="00D11A4A">
        <w:rPr>
          <w:rFonts w:ascii="Verdana" w:eastAsia="Times New Roman" w:hAnsi="Verdana" w:cs="Arial"/>
          <w:lang w:eastAsia="es-MX"/>
          <w14:ligatures w14:val="none"/>
        </w:rPr>
        <w:t xml:space="preserve">De esta manera, nuestro ordenamiento jurídico actual contempla que una persona en debilidad manifiesta por razones de salud no se le podrá́ terminar </w:t>
      </w:r>
      <w:r w:rsidRPr="00D11A4A">
        <w:rPr>
          <w:rFonts w:ascii="Verdana" w:eastAsia="Times New Roman" w:hAnsi="Verdana" w:cs="Arial"/>
          <w:lang w:eastAsia="es-MX"/>
          <w14:ligatures w14:val="none"/>
        </w:rPr>
        <w:lastRenderedPageBreak/>
        <w:t>su contrato de prestación de servicios por razón de su discapacidad o enfermedad, salvo que medie autorización de la oficina de Trabajo, teniendo en cuenta que en dichos casos la presunción de discriminación debe ser desvirtuada por la entidad contratante.</w:t>
      </w:r>
    </w:p>
    <w:p w14:paraId="2DB13072" w14:textId="77777777" w:rsidR="00D11A4A" w:rsidRPr="00D11A4A" w:rsidRDefault="00D11A4A" w:rsidP="00D11A4A">
      <w:pPr>
        <w:spacing w:before="100" w:beforeAutospacing="1" w:after="100" w:afterAutospacing="1" w:line="240" w:lineRule="auto"/>
        <w:ind w:left="720"/>
        <w:jc w:val="both"/>
        <w:rPr>
          <w:rFonts w:ascii="Verdana" w:eastAsia="Times New Roman" w:hAnsi="Verdana" w:cs="Arial"/>
          <w:lang w:eastAsia="es-MX"/>
          <w14:ligatures w14:val="none"/>
        </w:rPr>
      </w:pPr>
    </w:p>
    <w:p w14:paraId="019C5478" w14:textId="77777777" w:rsidR="00D11A4A" w:rsidRPr="00D11A4A" w:rsidRDefault="00D11A4A" w:rsidP="00D11A4A">
      <w:pPr>
        <w:numPr>
          <w:ilvl w:val="0"/>
          <w:numId w:val="7"/>
        </w:numPr>
        <w:spacing w:before="100" w:beforeAutospacing="1" w:after="100" w:afterAutospacing="1" w:line="240" w:lineRule="auto"/>
        <w:jc w:val="both"/>
        <w:rPr>
          <w:rFonts w:ascii="Verdana" w:eastAsia="Times New Roman" w:hAnsi="Verdana" w:cs="Arial"/>
          <w:lang w:eastAsia="es-MX"/>
          <w14:ligatures w14:val="none"/>
        </w:rPr>
      </w:pPr>
      <w:r w:rsidRPr="00D11A4A">
        <w:rPr>
          <w:rFonts w:ascii="Verdana" w:eastAsia="Times New Roman" w:hAnsi="Verdana" w:cs="Arial"/>
          <w:lang w:eastAsia="es-MX"/>
          <w14:ligatures w14:val="none"/>
        </w:rPr>
        <w:t xml:space="preserve">En conclusión, esta Agencia ratifica lo señalado en Concepto 135 de 2023, en donde se indica que “si la Entidad Estatal contratante conoce de la situación de debilidad manifiesta del contratista por razones de su salud y subsiste la causa del contrato, es decir la necesidad que originó la celebración del contrato prestación de servicios sigue existiendo para la Entidad Estatal, no podrá́ dar por terminado el vínculo contractual, sin que medie permiso del inspector del trabajo, aun cuando se haya configurado su terminación por cumplimiento de plazo contractual. </w:t>
      </w:r>
    </w:p>
    <w:p w14:paraId="656124E8" w14:textId="77777777" w:rsidR="00D11A4A" w:rsidRPr="00D11A4A" w:rsidRDefault="00D11A4A" w:rsidP="00D11A4A">
      <w:pPr>
        <w:spacing w:before="100" w:beforeAutospacing="1" w:after="100" w:afterAutospacing="1" w:line="240" w:lineRule="auto"/>
        <w:ind w:left="720"/>
        <w:jc w:val="both"/>
        <w:rPr>
          <w:rFonts w:ascii="Verdana" w:eastAsia="Times New Roman" w:hAnsi="Verdana" w:cs="Arial"/>
          <w:lang w:eastAsia="es-MX"/>
          <w14:ligatures w14:val="none"/>
        </w:rPr>
      </w:pPr>
      <w:r w:rsidRPr="00D11A4A">
        <w:rPr>
          <w:rFonts w:ascii="Verdana" w:eastAsia="Times New Roman" w:hAnsi="Verdana" w:cs="Arial"/>
          <w:lang w:eastAsia="es-MX"/>
          <w14:ligatures w14:val="none"/>
        </w:rPr>
        <w:t>El no acatamiento de dichas directrices puede dar a lugar a que un juez ordene, previo estudio de las particularidades del caso en concreto, la procedencia de cada una de las siguientes medidas de protección: i) La renovación de la relación contractual; ii) El pago de los honorarios dejados de percibir desde la fecha de no renovación del contrato, hasta la renovación del mismo; y, iii) El pago por concepto de la indemnización por despido previsto en el artículo 26 de la Ley 361 de 1997”.</w:t>
      </w:r>
    </w:p>
    <w:p w14:paraId="5AD1C3A7" w14:textId="77777777" w:rsidR="00D11A4A" w:rsidRPr="00D11A4A" w:rsidRDefault="00D11A4A" w:rsidP="00D11A4A">
      <w:pPr>
        <w:numPr>
          <w:ilvl w:val="1"/>
          <w:numId w:val="6"/>
        </w:numPr>
        <w:tabs>
          <w:tab w:val="left" w:pos="142"/>
          <w:tab w:val="left" w:pos="284"/>
        </w:tabs>
        <w:spacing w:after="0" w:line="276" w:lineRule="auto"/>
        <w:jc w:val="both"/>
        <w:rPr>
          <w:rFonts w:ascii="Verdana" w:eastAsia="Times New Roman" w:hAnsi="Verdana" w:cs="Century Gothic"/>
          <w:b/>
          <w:bCs/>
          <w:lang w:val="es-ES"/>
          <w14:ligatures w14:val="none"/>
        </w:rPr>
      </w:pPr>
      <w:r w:rsidRPr="00D11A4A">
        <w:rPr>
          <w:rFonts w:ascii="Verdana" w:eastAsia="Times New Roman" w:hAnsi="Verdana" w:cs="Century Gothic"/>
          <w:b/>
          <w:bCs/>
          <w:lang w:val="es-ES"/>
          <w14:ligatures w14:val="none"/>
        </w:rPr>
        <w:t>Referencias normativas, jurisprudenciales y otras fuentes:</w:t>
      </w:r>
    </w:p>
    <w:p w14:paraId="3C4BCE23"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14:ligatures w14:val="none"/>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11A4A" w:rsidRPr="00D11A4A" w14:paraId="044AD400" w14:textId="77777777" w:rsidTr="00AA0E90">
        <w:trPr>
          <w:trHeight w:val="870"/>
        </w:trPr>
        <w:tc>
          <w:tcPr>
            <w:tcW w:w="8647" w:type="dxa"/>
          </w:tcPr>
          <w:p w14:paraId="432FE0D8" w14:textId="77777777" w:rsidR="00D11A4A" w:rsidRPr="00D11A4A" w:rsidRDefault="00D11A4A" w:rsidP="003D39B0">
            <w:pPr>
              <w:numPr>
                <w:ilvl w:val="0"/>
                <w:numId w:val="4"/>
              </w:numPr>
              <w:spacing w:line="278" w:lineRule="auto"/>
              <w:contextualSpacing/>
              <w:rPr>
                <w:rFonts w:ascii="Verdana" w:hAnsi="Verdana"/>
                <w:lang w:val="es-ES"/>
              </w:rPr>
            </w:pPr>
            <w:r w:rsidRPr="00D11A4A">
              <w:rPr>
                <w:rFonts w:ascii="Verdana" w:hAnsi="Verdana" w:cs="Arial"/>
                <w:color w:val="000000"/>
                <w:lang w:val="es-ES"/>
              </w:rPr>
              <w:t>Artículo 32, de la Ley 80 de 1993</w:t>
            </w:r>
          </w:p>
          <w:p w14:paraId="1ED186ED" w14:textId="77777777" w:rsidR="00D11A4A" w:rsidRPr="00D11A4A" w:rsidRDefault="00D11A4A" w:rsidP="003D39B0">
            <w:pPr>
              <w:numPr>
                <w:ilvl w:val="0"/>
                <w:numId w:val="4"/>
              </w:numPr>
              <w:spacing w:line="278" w:lineRule="auto"/>
              <w:contextualSpacing/>
              <w:rPr>
                <w:rFonts w:ascii="Verdana" w:hAnsi="Verdana"/>
                <w:lang w:val="es-ES"/>
              </w:rPr>
            </w:pPr>
            <w:r w:rsidRPr="00D11A4A">
              <w:rPr>
                <w:rFonts w:ascii="Verdana" w:hAnsi="Verdana" w:cs="Arial"/>
                <w:color w:val="000000"/>
                <w:lang w:val="es-ES"/>
              </w:rPr>
              <w:t>Numeral 4 del artículo 2, de la Ley 1150 de 2007</w:t>
            </w:r>
          </w:p>
          <w:p w14:paraId="6731FE5F" w14:textId="77777777" w:rsidR="00D11A4A" w:rsidRPr="00D11A4A" w:rsidRDefault="00D11A4A" w:rsidP="003D39B0">
            <w:pPr>
              <w:numPr>
                <w:ilvl w:val="0"/>
                <w:numId w:val="4"/>
              </w:numPr>
              <w:spacing w:line="278" w:lineRule="auto"/>
              <w:contextualSpacing/>
              <w:rPr>
                <w:rFonts w:ascii="Verdana" w:hAnsi="Verdana"/>
              </w:rPr>
            </w:pPr>
            <w:r w:rsidRPr="00D11A4A">
              <w:rPr>
                <w:rFonts w:ascii="Verdana" w:hAnsi="Verdana" w:cs="Arial"/>
                <w:color w:val="000000"/>
                <w:lang w:val="es-ES"/>
              </w:rPr>
              <w:t>Artículo 22 y 23 del Código Sustantivo del Trabajo</w:t>
            </w:r>
          </w:p>
          <w:p w14:paraId="03F87F45" w14:textId="77777777" w:rsidR="00D11A4A" w:rsidRPr="00D11A4A" w:rsidRDefault="00D11A4A" w:rsidP="003D39B0">
            <w:pPr>
              <w:numPr>
                <w:ilvl w:val="0"/>
                <w:numId w:val="4"/>
              </w:numPr>
              <w:spacing w:line="278" w:lineRule="auto"/>
              <w:contextualSpacing/>
              <w:rPr>
                <w:rFonts w:ascii="Verdana" w:hAnsi="Verdana"/>
              </w:rPr>
            </w:pPr>
            <w:r w:rsidRPr="00D11A4A">
              <w:rPr>
                <w:rFonts w:ascii="Verdana" w:hAnsi="Verdana" w:cs="Arial"/>
                <w:color w:val="000000"/>
                <w:lang w:val="es-ES"/>
              </w:rPr>
              <w:t xml:space="preserve">Artículo 26 de la </w:t>
            </w:r>
            <w:r w:rsidRPr="00D11A4A">
              <w:rPr>
                <w:rFonts w:ascii="Verdana" w:hAnsi="Verdana"/>
                <w:lang w:val="es-ES"/>
              </w:rPr>
              <w:t>Ley 361 de 1997</w:t>
            </w:r>
          </w:p>
          <w:p w14:paraId="6F373E19" w14:textId="77777777" w:rsidR="00D11A4A" w:rsidRPr="00D11A4A" w:rsidRDefault="00D11A4A" w:rsidP="003D39B0">
            <w:pPr>
              <w:spacing w:line="278" w:lineRule="auto"/>
              <w:rPr>
                <w:rFonts w:ascii="Verdana" w:hAnsi="Verdana"/>
              </w:rPr>
            </w:pPr>
            <w:r w:rsidRPr="00D11A4A">
              <w:rPr>
                <w:rFonts w:ascii="Verdana" w:hAnsi="Verdana" w:cs="Arial"/>
              </w:rPr>
              <w:t xml:space="preserve">sentencia de unificación SU-380 del 3 de noviembre de 2021  la Corte Constitucional </w:t>
            </w:r>
          </w:p>
          <w:p w14:paraId="10E432FB" w14:textId="77777777" w:rsidR="003D39B0" w:rsidRDefault="00D11A4A" w:rsidP="003D39B0">
            <w:pPr>
              <w:rPr>
                <w:rFonts w:ascii="Calibri" w:hAnsi="Calibri"/>
              </w:rPr>
            </w:pPr>
            <w:r w:rsidRPr="00D11A4A">
              <w:rPr>
                <w:rFonts w:ascii="Calibri" w:hAnsi="Calibri"/>
              </w:rPr>
              <w:t xml:space="preserve">Jurisprudencia del Consejo de Estado. Disponible en: </w:t>
            </w:r>
          </w:p>
          <w:p w14:paraId="36A09198" w14:textId="7D66CFAC" w:rsidR="003D39B0" w:rsidRPr="00D11A4A" w:rsidRDefault="003D39B0" w:rsidP="003D39B0">
            <w:pPr>
              <w:rPr>
                <w:rFonts w:ascii="Calibri" w:hAnsi="Calibri"/>
              </w:rPr>
            </w:pPr>
            <w:hyperlink r:id="rId9" w:history="1">
              <w:r w:rsidRPr="00126750">
                <w:rPr>
                  <w:rStyle w:val="Hipervnculo"/>
                  <w:rFonts w:ascii="Calibri" w:hAnsi="Calibri"/>
                </w:rPr>
                <w:t>https://relatoria.colombiacompra.gov.co/providencias-consejo-de-estado/</w:t>
              </w:r>
            </w:hyperlink>
            <w:r w:rsidR="00D11A4A" w:rsidRPr="00D11A4A">
              <w:rPr>
                <w:rFonts w:ascii="Calibri" w:hAnsi="Calibri"/>
              </w:rPr>
              <w:t xml:space="preserve"> </w:t>
            </w:r>
          </w:p>
          <w:p w14:paraId="494557EC" w14:textId="77777777" w:rsidR="00D11A4A" w:rsidRPr="00D11A4A" w:rsidRDefault="00D11A4A" w:rsidP="003D39B0">
            <w:pPr>
              <w:widowControl w:val="0"/>
              <w:numPr>
                <w:ilvl w:val="0"/>
                <w:numId w:val="4"/>
              </w:numPr>
              <w:autoSpaceDE w:val="0"/>
              <w:autoSpaceDN w:val="0"/>
              <w:spacing w:after="120" w:line="276" w:lineRule="auto"/>
              <w:rPr>
                <w:rFonts w:ascii="Verdana" w:hAnsi="Verdana" w:cs="Arial"/>
                <w:lang w:val="es-ES"/>
              </w:rPr>
            </w:pPr>
            <w:r w:rsidRPr="00D11A4A">
              <w:rPr>
                <w:rFonts w:ascii="Verdana" w:hAnsi="Verdana" w:cs="Arial"/>
                <w:lang w:val="es-ES"/>
              </w:rPr>
              <w:t xml:space="preserve">Guías y manuales expedidos por la ANCP-CCE. Disponible en: </w:t>
            </w:r>
            <w:hyperlink r:id="rId10" w:history="1">
              <w:r w:rsidRPr="00D11A4A">
                <w:rPr>
                  <w:rFonts w:ascii="Verdana" w:hAnsi="Verdana" w:cs="Arial"/>
                  <w:lang w:val="es-ES"/>
                </w:rPr>
                <w:t>https://www.colombiacompra.gov.co/manuales-guias-y-pliegos-tipo/manuales-y-guias</w:t>
              </w:r>
            </w:hyperlink>
            <w:r w:rsidRPr="00D11A4A">
              <w:rPr>
                <w:rFonts w:ascii="Verdana" w:hAnsi="Verdana" w:cs="Arial"/>
                <w:lang w:val="es-ES"/>
              </w:rPr>
              <w:t xml:space="preserve"> </w:t>
            </w:r>
          </w:p>
        </w:tc>
      </w:tr>
    </w:tbl>
    <w:p w14:paraId="45B3C09E"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14:ligatures w14:val="none"/>
        </w:rPr>
      </w:pPr>
    </w:p>
    <w:p w14:paraId="1BF14538" w14:textId="77777777" w:rsidR="00D11A4A" w:rsidRPr="00D11A4A" w:rsidRDefault="00D11A4A" w:rsidP="00D11A4A">
      <w:pPr>
        <w:numPr>
          <w:ilvl w:val="0"/>
          <w:numId w:val="6"/>
        </w:numPr>
        <w:tabs>
          <w:tab w:val="left" w:pos="142"/>
          <w:tab w:val="left" w:pos="284"/>
        </w:tabs>
        <w:spacing w:after="0" w:line="276" w:lineRule="auto"/>
        <w:jc w:val="both"/>
        <w:rPr>
          <w:rFonts w:ascii="Verdana" w:eastAsia="Times New Roman" w:hAnsi="Verdana" w:cs="Century Gothic"/>
          <w:b/>
          <w:bCs/>
          <w:lang w:val="es-ES"/>
          <w14:ligatures w14:val="none"/>
        </w:rPr>
      </w:pPr>
      <w:r w:rsidRPr="00D11A4A">
        <w:rPr>
          <w:rFonts w:ascii="Verdana" w:eastAsia="Times New Roman" w:hAnsi="Verdana" w:cs="Century Gothic"/>
          <w:b/>
          <w:bCs/>
          <w:lang w:val="es-ES"/>
          <w14:ligatures w14:val="none"/>
        </w:rPr>
        <w:t>Doctrina de la Agencia Nacional de Contratación Pública:</w:t>
      </w:r>
    </w:p>
    <w:p w14:paraId="11F92454"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14:ligatures w14:val="none"/>
        </w:rPr>
      </w:pPr>
    </w:p>
    <w:p w14:paraId="1DF359B9" w14:textId="77777777" w:rsidR="00D11A4A" w:rsidRPr="00D11A4A" w:rsidRDefault="00D11A4A" w:rsidP="00D11A4A">
      <w:pPr>
        <w:spacing w:after="0" w:line="276" w:lineRule="auto"/>
        <w:ind w:firstLine="709"/>
        <w:jc w:val="both"/>
        <w:rPr>
          <w:rFonts w:ascii="Verdana" w:eastAsia="Times New Roman" w:hAnsi="Verdana" w:cs="Arial"/>
          <w14:ligatures w14:val="none"/>
        </w:rPr>
      </w:pPr>
      <w:r w:rsidRPr="00D11A4A">
        <w:rPr>
          <w:rFonts w:ascii="Verdana" w:eastAsia="Times New Roman" w:hAnsi="Verdana" w:cs="Arial"/>
          <w:color w:val="000000"/>
          <w:lang w:val="es-ES"/>
          <w14:ligatures w14:val="none"/>
        </w:rPr>
        <w:lastRenderedPageBreak/>
        <w:t xml:space="preserve">La Agencia Nacional de Contratación Pública – Colombia Compra Eficiente se pronunció </w:t>
      </w:r>
      <w:r w:rsidRPr="00D11A4A">
        <w:rPr>
          <w:rFonts w:ascii="Verdana" w:eastAsia="Times New Roman" w:hAnsi="Verdana" w:cs="Arial"/>
          <w14:ligatures w14:val="none"/>
        </w:rPr>
        <w:t>en relación a los contratos prestación de servicios en los Concepto 4201912000006026 de 1° de octubre de 2019, C–047 del 18 de febrero de 2020</w:t>
      </w:r>
      <w:r w:rsidRPr="00D11A4A">
        <w:rPr>
          <w:rFonts w:ascii="Verdana" w:eastAsia="Times New Roman" w:hAnsi="Verdana" w:cs="Arial"/>
          <w:noProof/>
          <w:lang w:val="es-ES_tradnl"/>
          <w14:ligatures w14:val="none"/>
        </w:rPr>
        <w:t xml:space="preserve">, </w:t>
      </w:r>
      <w:r w:rsidRPr="00D11A4A">
        <w:rPr>
          <w:rFonts w:ascii="Verdana" w:eastAsia="Times New Roman" w:hAnsi="Verdana" w:cs="Arial"/>
          <w14:ligatures w14:val="none"/>
        </w:rPr>
        <w:t>C–071 del 4 de marzo de 2020,</w:t>
      </w:r>
      <w:r w:rsidRPr="00D11A4A">
        <w:rPr>
          <w:rFonts w:ascii="Verdana" w:eastAsia="Times New Roman" w:hAnsi="Verdana" w:cs="Arial"/>
          <w:noProof/>
          <w:lang w:val="es-ES_tradnl"/>
          <w14:ligatures w14:val="none"/>
        </w:rPr>
        <w:t xml:space="preserve"> </w:t>
      </w:r>
      <w:r w:rsidRPr="00D11A4A">
        <w:rPr>
          <w:rFonts w:ascii="Verdana" w:eastAsia="Times New Roman" w:hAnsi="Verdana" w:cs="Arial"/>
          <w14:ligatures w14:val="none"/>
        </w:rPr>
        <w:t xml:space="preserve">C–188 del 13 de abril de 2020, C–005, 006, 018 y 138 del 11 de mayo de 2020, </w:t>
      </w:r>
      <w:r w:rsidRPr="00D11A4A">
        <w:rPr>
          <w:rFonts w:ascii="Verdana" w:eastAsia="Times New Roman" w:hAnsi="Verdana" w:cs="Arial"/>
          <w:noProof/>
          <w:lang w:val="es-ES_tradnl"/>
          <w14:ligatures w14:val="none"/>
        </w:rPr>
        <w:t>C</w:t>
      </w:r>
      <w:r w:rsidRPr="00D11A4A">
        <w:rPr>
          <w:rFonts w:ascii="Verdana" w:eastAsia="Times New Roman" w:hAnsi="Verdana" w:cs="Arial"/>
          <w14:ligatures w14:val="none"/>
        </w:rPr>
        <w:t>–</w:t>
      </w:r>
      <w:r w:rsidRPr="00D11A4A">
        <w:rPr>
          <w:rFonts w:ascii="Verdana" w:eastAsia="Times New Roman" w:hAnsi="Verdana" w:cs="Arial"/>
          <w:noProof/>
          <w:lang w:val="es-ES_tradnl"/>
          <w14:ligatures w14:val="none"/>
        </w:rPr>
        <w:t>053, 175, 255, 282, 293 y 320 del 12 de mayo de 2020, C</w:t>
      </w:r>
      <w:r w:rsidRPr="00D11A4A">
        <w:rPr>
          <w:rFonts w:ascii="Verdana" w:eastAsia="Times New Roman" w:hAnsi="Verdana" w:cs="Arial"/>
          <w14:ligatures w14:val="none"/>
        </w:rPr>
        <w:t>–</w:t>
      </w:r>
      <w:r w:rsidRPr="00D11A4A">
        <w:rPr>
          <w:rFonts w:ascii="Verdana" w:eastAsia="Times New Roman" w:hAnsi="Verdana" w:cs="Arial"/>
          <w:noProof/>
          <w:lang w:val="es-ES_tradnl"/>
          <w14:ligatures w14:val="none"/>
        </w:rPr>
        <w:t>288 del 27 de mayo de 2020, C</w:t>
      </w:r>
      <w:r w:rsidRPr="00D11A4A">
        <w:rPr>
          <w:rFonts w:ascii="Verdana" w:eastAsia="Times New Roman" w:hAnsi="Verdana" w:cs="Arial"/>
          <w14:ligatures w14:val="none"/>
        </w:rPr>
        <w:t>–</w:t>
      </w:r>
      <w:r w:rsidRPr="00D11A4A">
        <w:rPr>
          <w:rFonts w:ascii="Verdana" w:eastAsia="Times New Roman" w:hAnsi="Verdana" w:cs="Arial"/>
          <w:noProof/>
          <w:lang w:val="es-ES_tradnl"/>
          <w14:ligatures w14:val="none"/>
        </w:rPr>
        <w:t>345 del 23 de junio de 2020, C</w:t>
      </w:r>
      <w:r w:rsidRPr="00D11A4A">
        <w:rPr>
          <w:rFonts w:ascii="Verdana" w:eastAsia="Times New Roman" w:hAnsi="Verdana" w:cs="Arial"/>
          <w14:ligatures w14:val="none"/>
        </w:rPr>
        <w:t>–</w:t>
      </w:r>
      <w:r w:rsidRPr="00D11A4A">
        <w:rPr>
          <w:rFonts w:ascii="Verdana" w:eastAsia="Times New Roman" w:hAnsi="Verdana" w:cs="Arial"/>
          <w:noProof/>
          <w:lang w:val="es-ES_tradnl"/>
          <w14:ligatures w14:val="none"/>
        </w:rPr>
        <w:t>484 del 6 de agosto de 2020, C</w:t>
      </w:r>
      <w:r w:rsidRPr="00D11A4A">
        <w:rPr>
          <w:rFonts w:ascii="Verdana" w:eastAsia="Times New Roman" w:hAnsi="Verdana" w:cs="Arial"/>
          <w14:ligatures w14:val="none"/>
        </w:rPr>
        <w:t>–</w:t>
      </w:r>
      <w:r w:rsidRPr="00D11A4A">
        <w:rPr>
          <w:rFonts w:ascii="Verdana" w:eastAsia="Times New Roman" w:hAnsi="Verdana" w:cs="Arial"/>
          <w:noProof/>
          <w:lang w:val="es-ES_tradnl"/>
          <w14:ligatures w14:val="none"/>
        </w:rPr>
        <w:t>608 del 1 de octubre de 2020, C-145 del 8 de abril del 2021, C-491 del 14 de septiembre de 2021, C-517 del 30 de septiembre de 2021, C – 654 de 22 de noveimbre de</w:t>
      </w:r>
      <w:r w:rsidRPr="00D11A4A">
        <w:rPr>
          <w:rFonts w:ascii="Verdana" w:eastAsia="Times New Roman" w:hAnsi="Verdana" w:cs="Arial"/>
          <w14:ligatures w14:val="none"/>
        </w:rPr>
        <w:t xml:space="preserve">, C-181 del 7 de abril de 2022, C-773 del 17 de noviembre de 2022, C- 953 del 25 de enero de 2023 y C-966 del 1 de febrero de 2023, entre otros. </w:t>
      </w:r>
    </w:p>
    <w:p w14:paraId="1BC5D252" w14:textId="77777777" w:rsidR="00D11A4A" w:rsidRPr="00D11A4A" w:rsidRDefault="00D11A4A" w:rsidP="00D11A4A">
      <w:pPr>
        <w:spacing w:after="0" w:line="276" w:lineRule="auto"/>
        <w:ind w:firstLine="709"/>
        <w:jc w:val="both"/>
        <w:rPr>
          <w:rFonts w:ascii="Verdana" w:eastAsia="Times New Roman" w:hAnsi="Verdana" w:cs="Arial"/>
          <w14:ligatures w14:val="none"/>
        </w:rPr>
      </w:pPr>
    </w:p>
    <w:p w14:paraId="0F224B8A" w14:textId="77777777" w:rsidR="00D11A4A" w:rsidRPr="00D11A4A" w:rsidRDefault="00D11A4A" w:rsidP="00D11A4A">
      <w:pPr>
        <w:spacing w:after="0" w:line="276" w:lineRule="auto"/>
        <w:ind w:firstLine="709"/>
        <w:jc w:val="both"/>
        <w:rPr>
          <w:rFonts w:ascii="Verdana" w:eastAsia="Times New Roman" w:hAnsi="Verdana" w:cs="Arial"/>
          <w:color w:val="000000"/>
          <w14:ligatures w14:val="none"/>
        </w:rPr>
      </w:pPr>
      <w:r w:rsidRPr="00D11A4A">
        <w:rPr>
          <w:rFonts w:ascii="Verdana" w:eastAsia="Times New Roman" w:hAnsi="Verdana" w:cs="Arial"/>
          <w14:ligatures w14:val="none"/>
        </w:rPr>
        <w:t xml:space="preserve">Por su parte, </w:t>
      </w:r>
      <w:r w:rsidRPr="00D11A4A">
        <w:rPr>
          <w:rFonts w:ascii="Verdana" w:eastAsia="Yu Gothic UI Semibold" w:hAnsi="Verdana" w:cs="Arial"/>
          <w14:ligatures w14:val="none"/>
        </w:rPr>
        <w:t xml:space="preserve">sobre la estabilidad ocupacional reforzada esta Agencia ha emitido los siguientes conceptos: 2201913000006142 del 22 de agosto de 2019, </w:t>
      </w:r>
      <w:r w:rsidRPr="00D11A4A">
        <w:rPr>
          <w:rFonts w:ascii="Verdana" w:eastAsia="Times New Roman" w:hAnsi="Verdana" w:cs="Arial"/>
          <w14:ligatures w14:val="none"/>
        </w:rPr>
        <w:t xml:space="preserve">2201913000009150 del 11 de diciembre de 2019, 2201913000009571 del 24 de diciembre de 2019, </w:t>
      </w:r>
      <w:r w:rsidRPr="00D11A4A">
        <w:rPr>
          <w:rFonts w:ascii="Verdana" w:eastAsia="Yu Gothic UI Semibold" w:hAnsi="Verdana" w:cs="Arial"/>
          <w:shd w:val="clear" w:color="auto" w:fill="FFFFFF"/>
          <w14:ligatures w14:val="none"/>
        </w:rPr>
        <w:t xml:space="preserve">C-712 del 7 de diciembre de 2022, C-789 del 22 de noviembre de 2022, C-920 del 14 de febrero de 2023 y C-031 del 17 de marzo de 2023. </w:t>
      </w:r>
      <w:r w:rsidRPr="00D11A4A">
        <w:rPr>
          <w:rFonts w:ascii="Verdana" w:eastAsia="Times New Roman" w:hAnsi="Verdana" w:cs="Arial"/>
          <w:color w:val="000000"/>
          <w14:ligatures w14:val="none"/>
        </w:rPr>
        <w:t>Las tesis expuestas en estos conceptos se reiteran y se complementan en lo pertinente a continuación.</w:t>
      </w:r>
    </w:p>
    <w:p w14:paraId="31B8A601" w14:textId="77777777" w:rsidR="00D11A4A" w:rsidRPr="00D11A4A" w:rsidRDefault="00D11A4A" w:rsidP="00D11A4A">
      <w:pPr>
        <w:spacing w:after="0" w:line="276" w:lineRule="auto"/>
        <w:ind w:firstLine="709"/>
        <w:jc w:val="both"/>
        <w:rPr>
          <w:rFonts w:ascii="Verdana" w:eastAsia="Times New Roman" w:hAnsi="Verdana" w:cs="Arial"/>
          <w14:ligatures w14:val="none"/>
        </w:rPr>
      </w:pPr>
    </w:p>
    <w:p w14:paraId="13C54909"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14:ligatures w14:val="none"/>
        </w:rPr>
      </w:pPr>
    </w:p>
    <w:p w14:paraId="128F9B7D"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14:ligatures w14:val="none"/>
        </w:rPr>
      </w:pPr>
      <w:r w:rsidRPr="00D11A4A">
        <w:rPr>
          <w:rFonts w:ascii="Verdana" w:eastAsia="Times New Roman" w:hAnsi="Verdana" w:cs="Arial"/>
          <w:lang w:val="es-ES"/>
          <w14:ligatures w14:val="none"/>
        </w:rPr>
        <w:t>Estos y otros conceptos se encuentran disponibles para consulta en el Sistema de Relatoría de la Agencia, en el c</w:t>
      </w:r>
      <w:r w:rsidRPr="00D11A4A">
        <w:rPr>
          <w:rFonts w:ascii="Verdana" w:eastAsia="Times New Roman" w:hAnsi="Verdana" w:cs="Arial"/>
          <w14:ligatures w14:val="none"/>
        </w:rPr>
        <w:t>ual también podrás encontrar jurisprudencia del Consejo de Estado, laudos arbitrales y la normativa de la contratación concordada con la doctrina de la Subdirección de Gestión Contractual. Accede a través del siguiente enlace: </w:t>
      </w:r>
      <w:hyperlink r:id="rId11" w:tgtFrame="_blank" w:tooltip="Dirección URL original: https://relatoria.colombiacompra.gov.co/. Haga clic o pulse si confía en este vínculo." w:history="1">
        <w:r w:rsidRPr="00D11A4A">
          <w:rPr>
            <w:rFonts w:ascii="Verdana" w:eastAsia="Times New Roman" w:hAnsi="Verdana" w:cs="Arial"/>
            <w:color w:val="0563C1"/>
            <w:u w:val="single"/>
            <w14:ligatures w14:val="none"/>
          </w:rPr>
          <w:t>https://relatoria.colombiacompra.gov.co/</w:t>
        </w:r>
      </w:hyperlink>
      <w:r w:rsidRPr="00D11A4A">
        <w:rPr>
          <w:rFonts w:ascii="Verdana" w:eastAsia="Times New Roman" w:hAnsi="Verdana" w:cs="Arial"/>
          <w14:ligatures w14:val="none"/>
        </w:rPr>
        <w:t> . Te invitamos también a revisar la tercera edición del  Boletín de Relatoría de 2024 en el cual podrás consultar en detalle el marco normativo de documentos tipo: </w:t>
      </w:r>
      <w:hyperlink r:id="rId12" w:tgtFrame="_blank" w:tooltip="Dirección URL original: https://www.colombiacompra.gov.co/sites/cce_public/files/files_2020/boletin_de_realtoria_iii.pdf. Haga clic o pulse si confía en este vínculo." w:history="1">
        <w:r w:rsidRPr="00D11A4A">
          <w:rPr>
            <w:rFonts w:ascii="Verdana" w:eastAsia="Times New Roman" w:hAnsi="Verdana" w:cs="Arial"/>
            <w:color w:val="0563C1"/>
            <w:u w:val="single"/>
            <w14:ligatures w14:val="none"/>
          </w:rPr>
          <w:t>https://www.colombiacompra.gov.co/sites/cce_public/files/files_2020/boletin_de_realtoria_iii.pdf</w:t>
        </w:r>
      </w:hyperlink>
      <w:r w:rsidRPr="00D11A4A">
        <w:rPr>
          <w:rFonts w:ascii="Verdana" w:eastAsia="Times New Roman" w:hAnsi="Verdana" w:cs="Arial"/>
          <w14:ligatures w14:val="none"/>
        </w:rPr>
        <w:t>.</w:t>
      </w:r>
    </w:p>
    <w:p w14:paraId="2A4CCD3F"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14:ligatures w14:val="none"/>
        </w:rPr>
      </w:pPr>
    </w:p>
    <w:p w14:paraId="5F6AC4A0" w14:textId="77777777" w:rsidR="00D11A4A" w:rsidRPr="00D11A4A" w:rsidRDefault="00D11A4A" w:rsidP="00D11A4A">
      <w:pPr>
        <w:spacing w:after="0" w:line="240" w:lineRule="auto"/>
        <w:jc w:val="both"/>
        <w:rPr>
          <w:rFonts w:ascii="Verdana" w:eastAsia="Times New Roman" w:hAnsi="Verdana" w:cs="Arial"/>
          <w14:ligatures w14:val="none"/>
        </w:rPr>
      </w:pPr>
      <w:r w:rsidRPr="00D11A4A">
        <w:rPr>
          <w:rFonts w:ascii="Verdana" w:eastAsia="Times New Roman" w:hAnsi="Verdana" w:cs="Arial"/>
          <w14:ligatures w14:val="none"/>
        </w:rPr>
        <w:t xml:space="preserve">Por último, lo invitamos a seguirnos en las redes sociales en las cuales se difunde información institucional: </w:t>
      </w:r>
    </w:p>
    <w:p w14:paraId="1E0606B1" w14:textId="77777777" w:rsidR="00D11A4A" w:rsidRPr="00D11A4A" w:rsidRDefault="00D11A4A" w:rsidP="00D11A4A">
      <w:pPr>
        <w:spacing w:after="0" w:line="240" w:lineRule="auto"/>
        <w:jc w:val="both"/>
        <w:rPr>
          <w:rFonts w:ascii="Verdana" w:eastAsia="Times New Roman" w:hAnsi="Verdana" w:cs="Arial"/>
          <w14:ligatures w14:val="none"/>
        </w:rPr>
      </w:pPr>
    </w:p>
    <w:p w14:paraId="683B8299" w14:textId="77777777" w:rsidR="00D11A4A" w:rsidRPr="00D11A4A" w:rsidRDefault="00D11A4A" w:rsidP="00D11A4A">
      <w:pPr>
        <w:spacing w:after="0" w:line="240" w:lineRule="auto"/>
        <w:jc w:val="both"/>
        <w:rPr>
          <w:rFonts w:ascii="Verdana" w:eastAsia="Times New Roman" w:hAnsi="Verdana" w:cs="Arial"/>
          <w14:ligatures w14:val="none"/>
        </w:rPr>
      </w:pPr>
    </w:p>
    <w:p w14:paraId="4E0E20AA" w14:textId="77777777" w:rsidR="00D11A4A" w:rsidRPr="00D11A4A" w:rsidRDefault="00D11A4A" w:rsidP="00D11A4A">
      <w:pPr>
        <w:spacing w:after="0" w:line="240" w:lineRule="auto"/>
        <w:jc w:val="both"/>
        <w:rPr>
          <w:rFonts w:ascii="Verdana" w:eastAsia="Times New Roman" w:hAnsi="Verdana" w:cs="Arial"/>
          <w14:ligatures w14:val="none"/>
        </w:rPr>
      </w:pPr>
      <w:r w:rsidRPr="00D11A4A">
        <w:rPr>
          <w:rFonts w:ascii="Verdana" w:eastAsia="Times New Roman" w:hAnsi="Verdana" w:cs="Arial"/>
          <w14:ligatures w14:val="none"/>
        </w:rPr>
        <w:t xml:space="preserve">Twitter: </w:t>
      </w:r>
      <w:r w:rsidRPr="00D11A4A">
        <w:rPr>
          <w:rFonts w:ascii="Verdana" w:eastAsia="Times New Roman" w:hAnsi="Verdana" w:cs="Arial"/>
          <w:color w:val="4472C4"/>
          <w:u w:val="single"/>
          <w14:ligatures w14:val="none"/>
        </w:rPr>
        <w:t>@colombiacompra</w:t>
      </w:r>
      <w:r w:rsidRPr="00D11A4A">
        <w:rPr>
          <w:rFonts w:ascii="Verdana" w:eastAsia="Times New Roman" w:hAnsi="Verdana" w:cs="Arial"/>
          <w:color w:val="4472C4"/>
          <w14:ligatures w14:val="none"/>
        </w:rPr>
        <w:t xml:space="preserve"> </w:t>
      </w:r>
    </w:p>
    <w:p w14:paraId="0F0807FB" w14:textId="77777777" w:rsidR="00D11A4A" w:rsidRPr="00D11A4A" w:rsidRDefault="00D11A4A" w:rsidP="00D11A4A">
      <w:pPr>
        <w:spacing w:after="0" w:line="240" w:lineRule="auto"/>
        <w:jc w:val="both"/>
        <w:rPr>
          <w:rFonts w:ascii="Verdana" w:eastAsia="Times New Roman" w:hAnsi="Verdana" w:cs="Arial"/>
          <w14:ligatures w14:val="none"/>
        </w:rPr>
      </w:pPr>
      <w:r w:rsidRPr="00D11A4A">
        <w:rPr>
          <w:rFonts w:ascii="Verdana" w:eastAsia="Times New Roman" w:hAnsi="Verdana" w:cs="Arial"/>
          <w14:ligatures w14:val="none"/>
        </w:rPr>
        <w:t xml:space="preserve">Facebook: </w:t>
      </w:r>
      <w:r w:rsidRPr="00D11A4A">
        <w:rPr>
          <w:rFonts w:ascii="Verdana" w:eastAsia="Times New Roman" w:hAnsi="Verdana" w:cs="Arial"/>
          <w:color w:val="4472C4"/>
          <w:u w:val="single"/>
          <w14:ligatures w14:val="none"/>
        </w:rPr>
        <w:t>ColombiaCompraEficiente</w:t>
      </w:r>
    </w:p>
    <w:p w14:paraId="4226E314" w14:textId="77777777" w:rsidR="00D11A4A" w:rsidRPr="00D11A4A" w:rsidRDefault="00D11A4A" w:rsidP="00D11A4A">
      <w:pPr>
        <w:spacing w:after="0" w:line="240" w:lineRule="auto"/>
        <w:jc w:val="both"/>
        <w:rPr>
          <w:rFonts w:ascii="Verdana" w:eastAsia="Times New Roman" w:hAnsi="Verdana" w:cs="Arial"/>
          <w14:ligatures w14:val="none"/>
        </w:rPr>
      </w:pPr>
      <w:r w:rsidRPr="00D11A4A">
        <w:rPr>
          <w:rFonts w:ascii="Verdana" w:eastAsia="Times New Roman" w:hAnsi="Verdana" w:cs="Arial"/>
          <w14:ligatures w14:val="none"/>
        </w:rPr>
        <w:t xml:space="preserve">LinkedIn: </w:t>
      </w:r>
      <w:r w:rsidRPr="00D11A4A">
        <w:rPr>
          <w:rFonts w:ascii="Verdana" w:eastAsia="Times New Roman" w:hAnsi="Verdana" w:cs="Arial"/>
          <w:color w:val="4472C4"/>
          <w:u w:val="single"/>
          <w14:ligatures w14:val="none"/>
        </w:rPr>
        <w:t>Agencia Nacional de Contratación Pública - Colombia Compra Eficiente</w:t>
      </w:r>
      <w:r w:rsidRPr="00D11A4A">
        <w:rPr>
          <w:rFonts w:ascii="Verdana" w:eastAsia="Times New Roman" w:hAnsi="Verdana" w:cs="Arial"/>
          <w:color w:val="4472C4"/>
          <w14:ligatures w14:val="none"/>
        </w:rPr>
        <w:t xml:space="preserve"> </w:t>
      </w:r>
      <w:r w:rsidRPr="00D11A4A">
        <w:rPr>
          <w:rFonts w:ascii="Verdana" w:eastAsia="Times New Roman" w:hAnsi="Verdana" w:cs="Arial"/>
          <w14:ligatures w14:val="none"/>
        </w:rPr>
        <w:t xml:space="preserve">Instagram: </w:t>
      </w:r>
      <w:r w:rsidRPr="00D11A4A">
        <w:rPr>
          <w:rFonts w:ascii="Verdana" w:eastAsia="Times New Roman" w:hAnsi="Verdana" w:cs="Arial"/>
          <w:color w:val="4472C4"/>
          <w:u w:val="single"/>
          <w14:ligatures w14:val="none"/>
        </w:rPr>
        <w:t>@colombiacompraeficiente_cce</w:t>
      </w:r>
    </w:p>
    <w:p w14:paraId="68E24743"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14:ligatures w14:val="none"/>
        </w:rPr>
      </w:pPr>
    </w:p>
    <w:p w14:paraId="4BD4BCBE"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lang w:val="es-ES_tradnl"/>
          <w14:ligatures w14:val="none"/>
        </w:rPr>
      </w:pPr>
      <w:r w:rsidRPr="00D11A4A">
        <w:rPr>
          <w:rFonts w:ascii="Verdana" w:eastAsia="Times New Roman" w:hAnsi="Verdana" w:cs="Arial"/>
          <w14:ligatures w14:val="none"/>
        </w:rPr>
        <w:t xml:space="preserve">Este concepto tiene el alcance previsto en el artículo 28 del Código de Procedimiento </w:t>
      </w:r>
      <w:r w:rsidRPr="00D11A4A">
        <w:rPr>
          <w:rFonts w:ascii="Verdana" w:eastAsia="Times New Roman" w:hAnsi="Verdana" w:cs="Arial"/>
          <w14:ligatures w14:val="none"/>
        </w:rPr>
        <w:lastRenderedPageBreak/>
        <w:t xml:space="preserve">Administrativo y de lo Contencioso Administrativo </w:t>
      </w:r>
      <w:r w:rsidRPr="00D11A4A">
        <w:rPr>
          <w:rFonts w:ascii="Verdana" w:eastAsia="Times New Roman" w:hAnsi="Verdana" w:cs="Arial"/>
          <w:lang w:val="es-ES_tradnl"/>
          <w14:ligatures w14:val="none"/>
        </w:rPr>
        <w:t>y las expresiones aquí utilizadas con mayúscula inicial deben ser entendidas con el significado que les otorga el artículo 2.2.1.1.1.3.1. del Decreto 1082 de 2015.</w:t>
      </w:r>
    </w:p>
    <w:p w14:paraId="3B5991FA" w14:textId="77777777" w:rsidR="00D11A4A" w:rsidRPr="00D11A4A" w:rsidRDefault="00D11A4A" w:rsidP="00D11A4A">
      <w:pPr>
        <w:widowControl w:val="0"/>
        <w:autoSpaceDE w:val="0"/>
        <w:autoSpaceDN w:val="0"/>
        <w:spacing w:after="0" w:line="276" w:lineRule="auto"/>
        <w:jc w:val="both"/>
        <w:rPr>
          <w:rFonts w:ascii="Verdana" w:eastAsia="Times New Roman" w:hAnsi="Verdana" w:cs="Arial"/>
          <w:lang w:val="es-ES_tradnl"/>
          <w14:ligatures w14:val="none"/>
        </w:rPr>
      </w:pPr>
    </w:p>
    <w:p w14:paraId="7641EC33" w14:textId="77777777" w:rsidR="00D11A4A" w:rsidRPr="00D11A4A" w:rsidRDefault="00D11A4A" w:rsidP="00D11A4A">
      <w:pPr>
        <w:spacing w:after="0" w:line="240" w:lineRule="auto"/>
        <w:rPr>
          <w:rFonts w:ascii="Verdana" w:eastAsia="Times New Roman" w:hAnsi="Verdana" w:cs="Arial"/>
          <w:lang w:eastAsia="es-CO"/>
          <w14:ligatures w14:val="none"/>
        </w:rPr>
      </w:pPr>
      <w:r w:rsidRPr="00D11A4A">
        <w:rPr>
          <w:rFonts w:ascii="Verdana" w:eastAsia="Times New Roman" w:hAnsi="Verdana" w:cs="Arial"/>
          <w:lang w:eastAsia="es-CO"/>
          <w14:ligatures w14:val="none"/>
        </w:rPr>
        <w:t xml:space="preserve">Atentamente, </w:t>
      </w:r>
    </w:p>
    <w:p w14:paraId="5A0F4C33" w14:textId="47D517A2" w:rsidR="00D11A4A" w:rsidRPr="00D11A4A" w:rsidRDefault="00B6559E" w:rsidP="00D11A4A">
      <w:pPr>
        <w:spacing w:line="276" w:lineRule="auto"/>
        <w:jc w:val="center"/>
        <w:rPr>
          <w:rFonts w:ascii="Verdana" w:eastAsia="Times New Roman" w:hAnsi="Verdana" w:cs="Arial"/>
          <w:sz w:val="16"/>
          <w:szCs w:val="16"/>
          <w:lang w:eastAsia="es-CO"/>
          <w14:ligatures w14:val="none"/>
        </w:rPr>
      </w:pPr>
      <w:r>
        <w:rPr>
          <w:noProof/>
        </w:rPr>
        <w:drawing>
          <wp:inline distT="0" distB="0" distL="0" distR="0" wp14:anchorId="54F88F19" wp14:editId="5E96857A">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11A4A" w:rsidRPr="00D11A4A" w14:paraId="3ED35177" w14:textId="77777777" w:rsidTr="00D11A4A">
        <w:trPr>
          <w:trHeight w:val="315"/>
        </w:trPr>
        <w:tc>
          <w:tcPr>
            <w:tcW w:w="893" w:type="dxa"/>
            <w:vAlign w:val="center"/>
            <w:hideMark/>
          </w:tcPr>
          <w:p w14:paraId="17EB1B1E" w14:textId="77777777" w:rsidR="00D11A4A" w:rsidRPr="00D11A4A" w:rsidRDefault="00D11A4A" w:rsidP="00D11A4A">
            <w:pPr>
              <w:contextualSpacing/>
              <w:rPr>
                <w:rFonts w:ascii="Verdana" w:hAnsi="Verdana" w:cs="Arial"/>
                <w:sz w:val="16"/>
                <w:szCs w:val="16"/>
                <w:lang w:eastAsia="es-CO"/>
              </w:rPr>
            </w:pPr>
            <w:r w:rsidRPr="00D11A4A">
              <w:rPr>
                <w:rFonts w:ascii="Verdana" w:hAnsi="Verdana" w:cs="Arial"/>
                <w:sz w:val="16"/>
                <w:szCs w:val="16"/>
                <w:lang w:eastAsia="es-CO"/>
              </w:rPr>
              <w:t>Elaboró:</w:t>
            </w:r>
          </w:p>
        </w:tc>
        <w:tc>
          <w:tcPr>
            <w:tcW w:w="5628" w:type="dxa"/>
            <w:tcBorders>
              <w:top w:val="nil"/>
              <w:left w:val="nil"/>
              <w:bottom w:val="dotted" w:sz="4" w:space="0" w:color="7F7F7F"/>
              <w:right w:val="nil"/>
            </w:tcBorders>
            <w:vAlign w:val="center"/>
            <w:hideMark/>
          </w:tcPr>
          <w:p w14:paraId="317C1887" w14:textId="77777777" w:rsidR="00D11A4A" w:rsidRPr="00D11A4A" w:rsidRDefault="00D11A4A" w:rsidP="00D11A4A">
            <w:pPr>
              <w:contextualSpacing/>
              <w:rPr>
                <w:rFonts w:ascii="Verdana" w:hAnsi="Verdana" w:cs="Arial"/>
                <w:sz w:val="16"/>
                <w:szCs w:val="16"/>
                <w:lang w:eastAsia="es-CO"/>
              </w:rPr>
            </w:pPr>
            <w:r w:rsidRPr="00D11A4A">
              <w:rPr>
                <w:rFonts w:ascii="Verdana" w:hAnsi="Verdana" w:cs="Arial"/>
                <w:sz w:val="16"/>
                <w:szCs w:val="16"/>
                <w:lang w:eastAsia="es-CO"/>
              </w:rPr>
              <w:t>Richard Andrés Montenegro Siefken</w:t>
            </w:r>
          </w:p>
          <w:p w14:paraId="00C5C997" w14:textId="77777777" w:rsidR="00D11A4A" w:rsidRPr="00D11A4A" w:rsidRDefault="00D11A4A" w:rsidP="00D11A4A">
            <w:pPr>
              <w:contextualSpacing/>
              <w:rPr>
                <w:rFonts w:ascii="Verdana" w:hAnsi="Verdana" w:cs="Arial"/>
                <w:sz w:val="16"/>
                <w:szCs w:val="16"/>
                <w:lang w:eastAsia="es-CO"/>
              </w:rPr>
            </w:pPr>
            <w:r w:rsidRPr="00D11A4A">
              <w:rPr>
                <w:rFonts w:ascii="Verdana" w:hAnsi="Verdana" w:cs="Arial"/>
                <w:sz w:val="16"/>
                <w:szCs w:val="16"/>
                <w:lang w:eastAsia="es-CO"/>
              </w:rPr>
              <w:t>Contratista de la Subdirección de Gestión Contractual</w:t>
            </w:r>
          </w:p>
        </w:tc>
      </w:tr>
      <w:tr w:rsidR="00D11A4A" w:rsidRPr="00D11A4A" w14:paraId="710E639E" w14:textId="77777777" w:rsidTr="00D11A4A">
        <w:trPr>
          <w:trHeight w:val="330"/>
        </w:trPr>
        <w:tc>
          <w:tcPr>
            <w:tcW w:w="893" w:type="dxa"/>
            <w:vAlign w:val="center"/>
            <w:hideMark/>
          </w:tcPr>
          <w:p w14:paraId="4BE91121" w14:textId="77777777" w:rsidR="00D11A4A" w:rsidRPr="00D11A4A" w:rsidRDefault="00D11A4A" w:rsidP="00D11A4A">
            <w:pPr>
              <w:contextualSpacing/>
              <w:rPr>
                <w:rFonts w:ascii="Verdana" w:hAnsi="Verdana" w:cs="Arial"/>
                <w:sz w:val="16"/>
                <w:szCs w:val="16"/>
                <w:lang w:eastAsia="es-CO"/>
              </w:rPr>
            </w:pPr>
            <w:r w:rsidRPr="00D11A4A">
              <w:rPr>
                <w:rFonts w:ascii="Verdana" w:hAnsi="Verdana" w:cs="Arial"/>
                <w:sz w:val="16"/>
                <w:szCs w:val="16"/>
                <w:lang w:eastAsia="es-CO"/>
              </w:rPr>
              <w:t>Revisó:</w:t>
            </w:r>
          </w:p>
        </w:tc>
        <w:tc>
          <w:tcPr>
            <w:tcW w:w="5628" w:type="dxa"/>
            <w:tcBorders>
              <w:top w:val="dotted" w:sz="4" w:space="0" w:color="7F7F7F"/>
              <w:left w:val="nil"/>
              <w:bottom w:val="dotted" w:sz="4" w:space="0" w:color="7F7F7F"/>
              <w:right w:val="nil"/>
            </w:tcBorders>
            <w:vAlign w:val="center"/>
            <w:hideMark/>
          </w:tcPr>
          <w:p w14:paraId="47430E8E" w14:textId="77777777" w:rsidR="00D11A4A" w:rsidRPr="00D11A4A" w:rsidRDefault="00D11A4A" w:rsidP="00D11A4A">
            <w:pPr>
              <w:contextualSpacing/>
              <w:textAlignment w:val="baseline"/>
              <w:rPr>
                <w:rFonts w:ascii="Verdana" w:hAnsi="Verdana" w:cs="Arial"/>
                <w:sz w:val="16"/>
                <w:szCs w:val="16"/>
                <w:lang w:eastAsia="es-CO"/>
              </w:rPr>
            </w:pPr>
            <w:r w:rsidRPr="00D11A4A">
              <w:rPr>
                <w:rFonts w:ascii="Verdana" w:hAnsi="Verdana" w:cs="Arial"/>
                <w:sz w:val="16"/>
                <w:szCs w:val="16"/>
                <w:lang w:eastAsia="es-CO"/>
              </w:rPr>
              <w:t>Cielo Victoria González Meza</w:t>
            </w:r>
          </w:p>
          <w:p w14:paraId="7292492E" w14:textId="77777777" w:rsidR="00D11A4A" w:rsidRPr="00D11A4A" w:rsidRDefault="00D11A4A" w:rsidP="00D11A4A">
            <w:pPr>
              <w:contextualSpacing/>
              <w:textAlignment w:val="baseline"/>
              <w:rPr>
                <w:rFonts w:ascii="Verdana" w:hAnsi="Verdana" w:cs="Arial"/>
                <w:sz w:val="16"/>
                <w:szCs w:val="16"/>
                <w:lang w:eastAsia="es-CO"/>
              </w:rPr>
            </w:pPr>
            <w:r w:rsidRPr="00D11A4A">
              <w:rPr>
                <w:rFonts w:ascii="Verdana" w:hAnsi="Verdana" w:cs="Arial"/>
                <w:sz w:val="16"/>
                <w:szCs w:val="16"/>
                <w:lang w:eastAsia="es-CO"/>
              </w:rPr>
              <w:t>Contratista de la Subdirección de Gestión Contractual </w:t>
            </w:r>
          </w:p>
        </w:tc>
      </w:tr>
      <w:tr w:rsidR="00D11A4A" w:rsidRPr="00D11A4A" w14:paraId="20C1FBD6" w14:textId="77777777" w:rsidTr="00D11A4A">
        <w:trPr>
          <w:trHeight w:val="300"/>
        </w:trPr>
        <w:tc>
          <w:tcPr>
            <w:tcW w:w="893" w:type="dxa"/>
            <w:vAlign w:val="center"/>
          </w:tcPr>
          <w:p w14:paraId="5010929E" w14:textId="77777777" w:rsidR="00D11A4A" w:rsidRPr="00D11A4A" w:rsidRDefault="00D11A4A" w:rsidP="00D11A4A">
            <w:pPr>
              <w:contextualSpacing/>
              <w:rPr>
                <w:rFonts w:ascii="Verdana" w:hAnsi="Verdana" w:cs="Arial"/>
                <w:sz w:val="16"/>
                <w:szCs w:val="16"/>
                <w:lang w:eastAsia="es-CO"/>
              </w:rPr>
            </w:pPr>
            <w:r w:rsidRPr="00D11A4A">
              <w:rPr>
                <w:rFonts w:ascii="Verdana" w:hAnsi="Verdana" w:cs="Arial"/>
                <w:sz w:val="16"/>
                <w:szCs w:val="16"/>
                <w:lang w:eastAsia="es-CO"/>
              </w:rPr>
              <w:t>Aprobó:</w:t>
            </w:r>
          </w:p>
        </w:tc>
        <w:tc>
          <w:tcPr>
            <w:tcW w:w="5628" w:type="dxa"/>
            <w:tcBorders>
              <w:top w:val="dotted" w:sz="4" w:space="0" w:color="7F7F7F"/>
              <w:left w:val="nil"/>
              <w:bottom w:val="dotted" w:sz="4" w:space="0" w:color="7F7F7F"/>
              <w:right w:val="nil"/>
            </w:tcBorders>
            <w:vAlign w:val="center"/>
          </w:tcPr>
          <w:p w14:paraId="26D598BB" w14:textId="77777777" w:rsidR="00D11A4A" w:rsidRPr="00D11A4A" w:rsidRDefault="00D11A4A" w:rsidP="00D11A4A">
            <w:pPr>
              <w:contextualSpacing/>
              <w:rPr>
                <w:rFonts w:ascii="Verdana" w:hAnsi="Verdana" w:cs="Arial"/>
                <w:sz w:val="16"/>
                <w:szCs w:val="16"/>
                <w:lang w:eastAsia="es-CO"/>
              </w:rPr>
            </w:pPr>
            <w:r w:rsidRPr="00D11A4A">
              <w:rPr>
                <w:rFonts w:ascii="Verdana" w:hAnsi="Verdana" w:cs="Arial"/>
                <w:sz w:val="16"/>
                <w:szCs w:val="16"/>
                <w:lang w:eastAsia="es-CO"/>
              </w:rPr>
              <w:t>Carolina Quintero Gacharná</w:t>
            </w:r>
          </w:p>
          <w:p w14:paraId="6B5115E6" w14:textId="77777777" w:rsidR="00D11A4A" w:rsidRPr="00D11A4A" w:rsidRDefault="00D11A4A" w:rsidP="00D11A4A">
            <w:pPr>
              <w:contextualSpacing/>
              <w:rPr>
                <w:rFonts w:ascii="Verdana" w:hAnsi="Verdana" w:cs="Arial"/>
                <w:sz w:val="16"/>
                <w:szCs w:val="16"/>
                <w:lang w:eastAsia="es-CO"/>
              </w:rPr>
            </w:pPr>
            <w:r w:rsidRPr="00D11A4A">
              <w:rPr>
                <w:rFonts w:ascii="Verdana" w:hAnsi="Verdana" w:cs="Arial"/>
                <w:sz w:val="16"/>
                <w:szCs w:val="16"/>
                <w:lang w:eastAsia="es-CO"/>
              </w:rPr>
              <w:t>Subdirectora de Gestión Contractual ANCP – CCE</w:t>
            </w:r>
          </w:p>
        </w:tc>
      </w:tr>
      <w:bookmarkEnd w:id="0"/>
    </w:tbl>
    <w:p w14:paraId="4CE70E25" w14:textId="77777777" w:rsidR="00D11A4A" w:rsidRPr="00D11A4A" w:rsidRDefault="00D11A4A" w:rsidP="00D11A4A">
      <w:pPr>
        <w:rPr>
          <w:rFonts w:ascii="Calibri" w:eastAsia="Times New Roman" w:hAnsi="Calibri" w:cs="Times New Roman"/>
          <w14:ligatures w14:val="none"/>
        </w:rPr>
      </w:pPr>
    </w:p>
    <w:p w14:paraId="4AEB0AF9" w14:textId="77777777" w:rsidR="000F5A42" w:rsidRPr="00804528" w:rsidRDefault="000F5A42" w:rsidP="00804528"/>
    <w:sectPr w:rsidR="000F5A42" w:rsidRPr="00804528" w:rsidSect="0040181A">
      <w:headerReference w:type="default" r:id="rId14"/>
      <w:footerReference w:type="default" r:id="rId15"/>
      <w:pgSz w:w="12240" w:h="15840" w:code="1"/>
      <w:pgMar w:top="1418" w:right="1418" w:bottom="1418"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8441" w14:textId="77777777" w:rsidR="00940167" w:rsidRDefault="00940167" w:rsidP="0040181A">
      <w:pPr>
        <w:spacing w:after="0" w:line="240" w:lineRule="auto"/>
      </w:pPr>
      <w:r>
        <w:separator/>
      </w:r>
    </w:p>
  </w:endnote>
  <w:endnote w:type="continuationSeparator" w:id="0">
    <w:p w14:paraId="0482E47B" w14:textId="77777777" w:rsidR="00940167" w:rsidRDefault="00940167" w:rsidP="0040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3135" w14:textId="77777777" w:rsidR="00C14838" w:rsidRDefault="00C14838" w:rsidP="007D04B2">
    <w:pPr>
      <w:spacing w:after="0"/>
      <w:rPr>
        <w:rFonts w:ascii="Verdana" w:hAnsi="Verdana"/>
        <w:b/>
        <w:bCs/>
        <w:sz w:val="20"/>
        <w:szCs w:val="20"/>
      </w:rPr>
    </w:pPr>
  </w:p>
  <w:p w14:paraId="39F772EE" w14:textId="77777777" w:rsidR="00C14838" w:rsidRPr="00174B77" w:rsidRDefault="00C14838" w:rsidP="007D04B2">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D11A4A">
      <w:rPr>
        <w:rFonts w:ascii="Verdana" w:eastAsia="Times New Roman" w:hAnsi="Verdana" w:cs="Times New Roman"/>
        <w:b/>
        <w:bCs/>
        <w:sz w:val="16"/>
        <w:szCs w:val="16"/>
        <w:lang w:val="es-ES"/>
      </w:rPr>
      <w:t xml:space="preserve">pág. </w:t>
    </w:r>
    <w:r w:rsidRPr="00D11A4A">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D11A4A">
      <w:rPr>
        <w:rFonts w:ascii="Verdana" w:eastAsia="Times New Roman" w:hAnsi="Verdana"/>
        <w:b/>
        <w:bCs/>
        <w:sz w:val="16"/>
        <w:szCs w:val="16"/>
      </w:rPr>
      <w:fldChar w:fldCharType="separate"/>
    </w:r>
    <w:r w:rsidRPr="00D11A4A">
      <w:rPr>
        <w:rFonts w:ascii="Verdana" w:eastAsia="Times New Roman" w:hAnsi="Verdana"/>
        <w:b/>
        <w:bCs/>
        <w:sz w:val="16"/>
        <w:szCs w:val="16"/>
      </w:rPr>
      <w:t>1</w:t>
    </w:r>
    <w:r w:rsidRPr="00D11A4A">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500E289" w14:textId="77777777" w:rsidR="00C14838" w:rsidRDefault="00C14838" w:rsidP="007D04B2">
    <w:pPr>
      <w:spacing w:after="0"/>
      <w:jc w:val="both"/>
      <w:rPr>
        <w:rFonts w:ascii="Verdana" w:hAnsi="Verdana"/>
        <w:sz w:val="18"/>
        <w:szCs w:val="18"/>
      </w:rPr>
    </w:pPr>
    <w:r w:rsidRPr="00E41027">
      <w:rPr>
        <w:rFonts w:ascii="Verdana" w:hAnsi="Verdana"/>
        <w:sz w:val="18"/>
        <w:szCs w:val="18"/>
      </w:rPr>
      <w:t>Dirección: Carrera 7 # 26 – 20 - Bogotá, Colombia</w:t>
    </w:r>
  </w:p>
  <w:p w14:paraId="6DFF85F2" w14:textId="77777777" w:rsidR="00C14838" w:rsidRPr="00E41027" w:rsidRDefault="00C14838" w:rsidP="007D04B2">
    <w:pPr>
      <w:spacing w:after="0"/>
      <w:jc w:val="both"/>
      <w:rPr>
        <w:rFonts w:ascii="Verdana" w:hAnsi="Verdana"/>
        <w:sz w:val="18"/>
        <w:szCs w:val="18"/>
      </w:rPr>
    </w:pPr>
    <w:r w:rsidRPr="00E41027">
      <w:rPr>
        <w:rFonts w:ascii="Verdana" w:hAnsi="Verdana"/>
        <w:sz w:val="18"/>
        <w:szCs w:val="18"/>
      </w:rPr>
      <w:t>Mesa de servicio: (+57) 601 7456788</w:t>
    </w:r>
  </w:p>
  <w:p w14:paraId="7EC28F7E" w14:textId="77777777" w:rsidR="00C14838" w:rsidRDefault="00C14838" w:rsidP="007D04B2">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0907DB46" w14:textId="77777777" w:rsidR="00C14838" w:rsidRPr="007D04B2" w:rsidRDefault="00C14838" w:rsidP="007D04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A2A8" w14:textId="77777777" w:rsidR="00940167" w:rsidRDefault="00940167" w:rsidP="0040181A">
      <w:pPr>
        <w:spacing w:after="0" w:line="240" w:lineRule="auto"/>
      </w:pPr>
      <w:r>
        <w:separator/>
      </w:r>
    </w:p>
  </w:footnote>
  <w:footnote w:type="continuationSeparator" w:id="0">
    <w:p w14:paraId="4D5FBAB1" w14:textId="77777777" w:rsidR="00940167" w:rsidRDefault="00940167" w:rsidP="0040181A">
      <w:pPr>
        <w:spacing w:after="0" w:line="240" w:lineRule="auto"/>
      </w:pPr>
      <w:r>
        <w:continuationSeparator/>
      </w:r>
    </w:p>
  </w:footnote>
  <w:footnote w:id="1">
    <w:p w14:paraId="57166D45" w14:textId="77777777" w:rsidR="00D11A4A" w:rsidRDefault="00D11A4A" w:rsidP="00D11A4A">
      <w:pPr>
        <w:pStyle w:val="Textonotapie"/>
      </w:pPr>
      <w:r>
        <w:rPr>
          <w:vertAlign w:val="superscript"/>
        </w:rPr>
        <w:footnoteRef/>
      </w:r>
      <w:r>
        <w:t xml:space="preserve"> </w:t>
      </w:r>
      <w:r>
        <w:rPr>
          <w:lang w:val="es-ES"/>
        </w:rPr>
        <w:t>Artículo 23 del CST</w:t>
      </w:r>
    </w:p>
  </w:footnote>
  <w:footnote w:id="2">
    <w:p w14:paraId="126AC304" w14:textId="77777777" w:rsidR="00D11A4A" w:rsidRPr="00D11A4A" w:rsidRDefault="00D11A4A" w:rsidP="00D11A4A">
      <w:pPr>
        <w:pStyle w:val="Textonotapie"/>
        <w:ind w:firstLine="709"/>
        <w:jc w:val="both"/>
        <w:rPr>
          <w:rFonts w:ascii="Verdana" w:hAnsi="Verdana" w:cs="Arial"/>
          <w:color w:val="000000"/>
          <w:sz w:val="10"/>
          <w:szCs w:val="10"/>
        </w:rPr>
      </w:pPr>
      <w:r w:rsidRPr="0070557D">
        <w:rPr>
          <w:rFonts w:ascii="Verdana" w:hAnsi="Verdana" w:cs="Arial"/>
          <w:sz w:val="10"/>
          <w:szCs w:val="10"/>
          <w:vertAlign w:val="superscript"/>
        </w:rPr>
        <w:footnoteRef/>
      </w:r>
      <w:r w:rsidRPr="0070557D">
        <w:rPr>
          <w:rFonts w:ascii="Verdana" w:hAnsi="Verdana" w:cs="Arial"/>
          <w:sz w:val="10"/>
          <w:szCs w:val="10"/>
        </w:rPr>
        <w:t xml:space="preserve"> </w:t>
      </w:r>
      <w:bookmarkStart w:id="5" w:name="_Hlk176814547"/>
      <w:r w:rsidRPr="0070557D">
        <w:rPr>
          <w:rFonts w:ascii="Verdana" w:hAnsi="Verdana" w:cs="Arial"/>
          <w:sz w:val="10"/>
          <w:szCs w:val="10"/>
        </w:rPr>
        <w:t>Decreto 1068 de 2015: “</w:t>
      </w:r>
      <w:r w:rsidRPr="00D11A4A">
        <w:rPr>
          <w:rFonts w:ascii="Verdana" w:hAnsi="Verdana" w:cs="Arial"/>
          <w:color w:val="000000"/>
          <w:sz w:val="10"/>
          <w:szCs w:val="10"/>
        </w:rPr>
        <w:t>Artículo 2.8.4.4.5</w:t>
      </w:r>
      <w:bookmarkEnd w:id="5"/>
      <w:r w:rsidRPr="00D11A4A">
        <w:rPr>
          <w:rFonts w:ascii="Verdana" w:hAnsi="Verdana" w:cs="Arial"/>
          <w:color w:val="000000"/>
          <w:sz w:val="10"/>
          <w:szCs w:val="10"/>
        </w:rPr>
        <w:t xml:space="preserve">.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24C826DA" w14:textId="77777777" w:rsidR="00D11A4A" w:rsidRPr="00D11A4A" w:rsidRDefault="00D11A4A" w:rsidP="00D11A4A">
      <w:pPr>
        <w:pStyle w:val="Textonotapie"/>
        <w:ind w:firstLine="709"/>
        <w:jc w:val="both"/>
        <w:rPr>
          <w:rFonts w:ascii="Verdana" w:hAnsi="Verdana" w:cs="Arial"/>
          <w:color w:val="000000"/>
          <w:sz w:val="10"/>
          <w:szCs w:val="10"/>
        </w:rPr>
      </w:pPr>
      <w:r w:rsidRPr="00D11A4A">
        <w:rPr>
          <w:rFonts w:ascii="Verdana" w:hAnsi="Verdana" w:cs="Arial"/>
          <w:color w:val="000000"/>
          <w:sz w:val="10"/>
          <w:szCs w:val="10"/>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2D874E17" w14:textId="77777777" w:rsidR="00D11A4A" w:rsidRPr="00D11A4A" w:rsidRDefault="00D11A4A" w:rsidP="00D11A4A">
      <w:pPr>
        <w:pStyle w:val="Textonotapie"/>
        <w:ind w:firstLine="708"/>
        <w:jc w:val="both"/>
        <w:rPr>
          <w:rFonts w:ascii="Verdana" w:hAnsi="Verdana" w:cs="Arial"/>
          <w:color w:val="000000"/>
          <w:sz w:val="10"/>
          <w:szCs w:val="10"/>
        </w:rPr>
      </w:pPr>
      <w:r w:rsidRPr="00D11A4A">
        <w:rPr>
          <w:rFonts w:ascii="Verdana" w:hAnsi="Verdana" w:cs="Arial"/>
          <w:color w:val="000000"/>
          <w:sz w:val="10"/>
          <w:szCs w:val="10"/>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3ACB9A7A" w14:textId="77777777" w:rsidR="00D11A4A" w:rsidRDefault="00D11A4A" w:rsidP="00D11A4A">
      <w:pPr>
        <w:pStyle w:val="Textonotapie"/>
        <w:ind w:firstLine="708"/>
        <w:jc w:val="both"/>
      </w:pPr>
    </w:p>
  </w:footnote>
  <w:footnote w:id="3">
    <w:p w14:paraId="2FF21728" w14:textId="77777777" w:rsidR="00D11A4A" w:rsidRPr="0070557D" w:rsidRDefault="00D11A4A" w:rsidP="00D11A4A">
      <w:pPr>
        <w:pStyle w:val="Textonotapie"/>
        <w:snapToGrid w:val="0"/>
        <w:ind w:firstLine="709"/>
        <w:jc w:val="both"/>
        <w:rPr>
          <w:rFonts w:ascii="Verdana" w:hAnsi="Verdana" w:cs="Arial"/>
          <w:color w:val="000000"/>
          <w:sz w:val="10"/>
          <w:szCs w:val="10"/>
          <w:lang w:val="es-ES"/>
        </w:rPr>
      </w:pPr>
      <w:r w:rsidRPr="0070557D">
        <w:rPr>
          <w:rFonts w:ascii="Verdana" w:hAnsi="Verdana" w:cs="Arial"/>
          <w:sz w:val="10"/>
          <w:szCs w:val="10"/>
          <w:vertAlign w:val="superscript"/>
        </w:rPr>
        <w:footnoteRef/>
      </w:r>
      <w:r w:rsidRPr="0070557D">
        <w:rPr>
          <w:rFonts w:ascii="Verdana" w:hAnsi="Verdana" w:cs="Arial"/>
          <w:color w:val="000000"/>
          <w:sz w:val="10"/>
          <w:szCs w:val="10"/>
        </w:rPr>
        <w:t xml:space="preserve"> </w:t>
      </w:r>
      <w:r w:rsidRPr="0070557D">
        <w:rPr>
          <w:rFonts w:ascii="Verdana" w:hAnsi="Verdana" w:cs="Arial"/>
          <w:color w:val="000000"/>
          <w:sz w:val="10"/>
          <w:szCs w:val="10"/>
          <w:lang w:val="es-ES"/>
        </w:rPr>
        <w:t xml:space="preserve">El </w:t>
      </w:r>
      <w:bookmarkStart w:id="6" w:name="_Hlk176814562"/>
      <w:r w:rsidRPr="0070557D">
        <w:rPr>
          <w:rFonts w:ascii="Verdana" w:hAnsi="Verdana" w:cs="Arial"/>
          <w:color w:val="000000"/>
          <w:sz w:val="10"/>
          <w:szCs w:val="10"/>
          <w:lang w:val="es-ES"/>
        </w:rPr>
        <w:t xml:space="preserve">artículo 22 del Código Sustantivo del Trabajo </w:t>
      </w:r>
      <w:bookmarkEnd w:id="6"/>
      <w:r w:rsidRPr="0070557D">
        <w:rPr>
          <w:rFonts w:ascii="Verdana" w:hAnsi="Verdana" w:cs="Arial"/>
          <w:color w:val="000000"/>
          <w:sz w:val="10"/>
          <w:szCs w:val="10"/>
          <w:lang w:val="es-ES"/>
        </w:rPr>
        <w:t>establece: “1. Contrato de trabajo es aquel por el cual una persona natural se obliga a prestar un servicio personal a otra persona, natural o jurídica, bajo la continuada dependencia o subordinación de la segunda y mediante remuneración.</w:t>
      </w:r>
    </w:p>
    <w:p w14:paraId="756F3564" w14:textId="77777777" w:rsidR="00D11A4A" w:rsidRPr="0070557D" w:rsidRDefault="00D11A4A" w:rsidP="00D11A4A">
      <w:pPr>
        <w:pStyle w:val="Textonotapie"/>
        <w:snapToGrid w:val="0"/>
        <w:ind w:firstLine="709"/>
        <w:jc w:val="both"/>
        <w:rPr>
          <w:rFonts w:ascii="Verdana" w:hAnsi="Verdana" w:cs="Arial"/>
          <w:color w:val="000000"/>
          <w:sz w:val="10"/>
          <w:szCs w:val="10"/>
          <w:lang w:val="es-ES"/>
        </w:rPr>
      </w:pPr>
      <w:r w:rsidRPr="0070557D">
        <w:rPr>
          <w:rFonts w:ascii="Verdana" w:hAnsi="Verdana" w:cs="Arial"/>
          <w:color w:val="000000"/>
          <w:sz w:val="10"/>
          <w:szCs w:val="10"/>
          <w:lang w:val="es-ES"/>
        </w:rPr>
        <w:t>2. Quien presta el servicio se denomina trabajador, quien lo recibe y remunera, empleador, y la remuneración, cualquiera que sea su forma, salario”.</w:t>
      </w:r>
    </w:p>
    <w:p w14:paraId="466031B1" w14:textId="77777777" w:rsidR="00D11A4A" w:rsidRDefault="00D11A4A" w:rsidP="00D11A4A">
      <w:pPr>
        <w:pStyle w:val="Textonotapie"/>
        <w:snapToGrid w:val="0"/>
        <w:ind w:firstLine="709"/>
        <w:jc w:val="both"/>
      </w:pPr>
    </w:p>
  </w:footnote>
  <w:footnote w:id="4">
    <w:p w14:paraId="735F3095"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Corte Constitucional Sentencia C-154 de 1997, Magistrado Ponente Dr. Hernando Herrera Vergara</w:t>
      </w:r>
    </w:p>
    <w:p w14:paraId="25D7C9CE" w14:textId="77777777" w:rsidR="00D11A4A" w:rsidRDefault="00D11A4A" w:rsidP="00D11A4A">
      <w:pPr>
        <w:pStyle w:val="Textonotapie"/>
        <w:snapToGrid w:val="0"/>
        <w:ind w:firstLine="709"/>
        <w:jc w:val="both"/>
      </w:pPr>
    </w:p>
  </w:footnote>
  <w:footnote w:id="5">
    <w:p w14:paraId="6265991C"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bookmarkStart w:id="8" w:name="_Hlk176814586"/>
      <w:r w:rsidRPr="00C977E0">
        <w:rPr>
          <w:rFonts w:ascii="Arial" w:hAnsi="Arial" w:cs="Arial"/>
          <w:color w:val="000000"/>
          <w:sz w:val="10"/>
          <w:szCs w:val="10"/>
          <w:lang w:val="es-ES"/>
        </w:rPr>
        <w:t xml:space="preserve">El Decreto 1082 de 2015 lo establece así: “Artículo 2.2.1.2.1.4.9. </w:t>
      </w:r>
      <w:bookmarkEnd w:id="8"/>
      <w:r w:rsidRPr="00C977E0">
        <w:rPr>
          <w:rFonts w:ascii="Arial" w:hAnsi="Arial" w:cs="Arial"/>
          <w:color w:val="000000"/>
          <w:sz w:val="10"/>
          <w:szCs w:val="10"/>
          <w:lang w:val="es-ES"/>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EAFA6A1"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398580F" w14:textId="77777777" w:rsidR="00D11A4A" w:rsidRDefault="00D11A4A" w:rsidP="00D11A4A">
      <w:pPr>
        <w:pStyle w:val="Textonotapie"/>
        <w:snapToGrid w:val="0"/>
        <w:ind w:firstLine="709"/>
        <w:jc w:val="both"/>
      </w:pPr>
      <w:r w:rsidRPr="00C977E0">
        <w:rPr>
          <w:rFonts w:ascii="Arial" w:hAnsi="Arial" w:cs="Arial"/>
          <w:color w:val="000000"/>
          <w:sz w:val="10"/>
          <w:szCs w:val="10"/>
          <w:lang w:val="es-ES"/>
        </w:rPr>
        <w:t>La Entidad Estatal, para la contratación de trabajos artísticos que solamente puedan en­comendarse a determinadas personas naturales, debe justificar esta situación en los estudios y documentos previos”.</w:t>
      </w:r>
    </w:p>
  </w:footnote>
  <w:footnote w:id="6">
    <w:p w14:paraId="6677351A" w14:textId="77777777" w:rsidR="00D11A4A" w:rsidRPr="00C977E0" w:rsidRDefault="00D11A4A" w:rsidP="00D11A4A">
      <w:pPr>
        <w:pStyle w:val="Textonotapie"/>
        <w:snapToGrid w:val="0"/>
        <w:ind w:firstLine="709"/>
        <w:jc w:val="both"/>
        <w:rPr>
          <w:rFonts w:ascii="Arial" w:hAnsi="Arial" w:cs="Arial"/>
          <w:color w:val="000000"/>
          <w:sz w:val="10"/>
          <w:szCs w:val="10"/>
        </w:rPr>
      </w:pPr>
    </w:p>
    <w:p w14:paraId="063D17BE"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 xml:space="preserve">Así lo prevé el </w:t>
      </w:r>
      <w:bookmarkStart w:id="9" w:name="_Hlk176814610"/>
      <w:r w:rsidRPr="00C977E0">
        <w:rPr>
          <w:rFonts w:ascii="Arial" w:hAnsi="Arial" w:cs="Arial"/>
          <w:color w:val="000000"/>
          <w:sz w:val="10"/>
          <w:szCs w:val="10"/>
          <w:lang w:val="es-ES"/>
        </w:rPr>
        <w:t>artículo 2.2.1.2.1.4.1. del Decreto 1082 de 2015</w:t>
      </w:r>
      <w:bookmarkEnd w:id="9"/>
      <w:r w:rsidRPr="00C977E0">
        <w:rPr>
          <w:rFonts w:ascii="Arial" w:hAnsi="Arial" w:cs="Arial"/>
          <w:color w:val="000000"/>
          <w:sz w:val="10"/>
          <w:szCs w:val="10"/>
          <w:lang w:val="es-ES"/>
        </w:rPr>
        <w:t>: “La Entidad Estatal debe señalar en un acto administrativo la justificación para contratar bajo la modalidad de contratación directa, el cual debe contener:</w:t>
      </w:r>
    </w:p>
    <w:p w14:paraId="70C479B6"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1. La causal que invoca para contratar directamente.</w:t>
      </w:r>
    </w:p>
    <w:p w14:paraId="3C7E22F8"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2. El objeto del contrato.</w:t>
      </w:r>
    </w:p>
    <w:p w14:paraId="4E1054A4"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3. El presupuesto para la contratación y las condiciones que exigirá al contratista.</w:t>
      </w:r>
    </w:p>
    <w:p w14:paraId="638BFB88"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4. El lugar en el cual los interesados pueden consultar los estudios y documentos previos.</w:t>
      </w:r>
    </w:p>
    <w:p w14:paraId="0C3D7616" w14:textId="77777777" w:rsidR="00D11A4A" w:rsidRDefault="00D11A4A" w:rsidP="00D11A4A">
      <w:pPr>
        <w:pStyle w:val="Textonotapie"/>
        <w:snapToGrid w:val="0"/>
        <w:ind w:firstLine="709"/>
        <w:jc w:val="both"/>
      </w:pPr>
      <w:r w:rsidRPr="00C977E0">
        <w:rPr>
          <w:rFonts w:ascii="Arial" w:hAnsi="Arial" w:cs="Arial"/>
          <w:color w:val="000000"/>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7">
    <w:p w14:paraId="2CE7F020" w14:textId="77777777" w:rsidR="00D11A4A" w:rsidRPr="00C977E0" w:rsidRDefault="00D11A4A" w:rsidP="00D11A4A">
      <w:pPr>
        <w:pStyle w:val="Textonotapie"/>
        <w:snapToGrid w:val="0"/>
        <w:ind w:firstLine="709"/>
        <w:jc w:val="both"/>
        <w:rPr>
          <w:rFonts w:ascii="Arial" w:hAnsi="Arial" w:cs="Arial"/>
          <w:color w:val="000000"/>
          <w:sz w:val="10"/>
          <w:szCs w:val="10"/>
        </w:rPr>
      </w:pPr>
    </w:p>
    <w:p w14:paraId="58F3D610"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Esta norma expresa: “</w:t>
      </w:r>
      <w:r w:rsidRPr="00C977E0">
        <w:rPr>
          <w:rFonts w:ascii="Arial" w:hAnsi="Arial" w:cs="Arial"/>
          <w:color w:val="000000"/>
          <w:sz w:val="10"/>
          <w:szCs w:val="10"/>
        </w:rPr>
        <w:t>P</w:t>
      </w:r>
      <w:r w:rsidRPr="00C977E0">
        <w:rPr>
          <w:rFonts w:ascii="Arial" w:hAnsi="Arial" w:cs="Arial"/>
          <w:color w:val="000000"/>
          <w:sz w:val="10"/>
          <w:szCs w:val="10"/>
          <w:lang w:val="es-ES"/>
        </w:rPr>
        <w:t>ara el cumplimiento de los fines de la contratación, las entidades estatales al celebrar un contrato:</w:t>
      </w:r>
    </w:p>
    <w:p w14:paraId="1D6806DF"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w:t>
      </w:r>
    </w:p>
    <w:p w14:paraId="3ADC516F"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w:t>
      </w:r>
      <w:r w:rsidRPr="00DF359B">
        <w:rPr>
          <w:rFonts w:ascii="Arial" w:hAnsi="Arial" w:cs="Arial"/>
          <w:color w:val="000000"/>
          <w:sz w:val="14"/>
          <w:szCs w:val="14"/>
          <w:lang w:val="es-ES"/>
        </w:rPr>
        <w:t xml:space="preserve"> </w:t>
      </w:r>
      <w:r w:rsidRPr="00C977E0">
        <w:rPr>
          <w:rFonts w:ascii="Arial" w:hAnsi="Arial" w:cs="Arial"/>
          <w:color w:val="000000"/>
          <w:sz w:val="10"/>
          <w:szCs w:val="10"/>
          <w:lang w:val="es-ES"/>
        </w:rPr>
        <w:t>estatal, la prestación de servicios públicos o la explotación y concesión de bienes del Estado, así como en los contratos de obra. En los contratos de explotación y concesión de bienes del Estado se incluirá la cláusula de reversión.</w:t>
      </w:r>
    </w:p>
    <w:p w14:paraId="312CE08C"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Las entidades estatales podrán pactar estas cláusulas en los contratos de suministro y de prestación de servicios.</w:t>
      </w:r>
    </w:p>
    <w:p w14:paraId="21AF30CE" w14:textId="77777777" w:rsidR="00D11A4A" w:rsidRDefault="00D11A4A" w:rsidP="00D11A4A">
      <w:pPr>
        <w:pStyle w:val="Textonotapie"/>
        <w:snapToGrid w:val="0"/>
        <w:ind w:firstLine="709"/>
        <w:jc w:val="both"/>
      </w:pPr>
      <w:r w:rsidRPr="00C977E0">
        <w:rPr>
          <w:rFonts w:ascii="Arial" w:hAnsi="Arial" w:cs="Arial"/>
          <w:color w:val="000000"/>
          <w:sz w:val="10"/>
          <w:szCs w:val="10"/>
          <w:lang w:val="es-ES"/>
        </w:rPr>
        <w:t>[…]”.</w:t>
      </w:r>
    </w:p>
  </w:footnote>
  <w:footnote w:id="8">
    <w:p w14:paraId="58F00F6C"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La norma dispone: “La liquidación a que se refiere el presente artículo no será obligatoria en los contratos de prestación de servicios profesionales y de apoyo a la gestión”.</w:t>
      </w:r>
    </w:p>
    <w:p w14:paraId="0C8C921B" w14:textId="77777777" w:rsidR="00D11A4A" w:rsidRDefault="00D11A4A" w:rsidP="00D11A4A">
      <w:pPr>
        <w:pStyle w:val="Textonotapie"/>
        <w:snapToGrid w:val="0"/>
        <w:ind w:firstLine="709"/>
        <w:jc w:val="both"/>
      </w:pPr>
    </w:p>
  </w:footnote>
  <w:footnote w:id="9">
    <w:p w14:paraId="07CDD08E" w14:textId="77777777" w:rsidR="00D11A4A" w:rsidRPr="00C977E0" w:rsidRDefault="00D11A4A" w:rsidP="00D11A4A">
      <w:pPr>
        <w:pStyle w:val="Textonotapie"/>
        <w:snapToGrid w:val="0"/>
        <w:ind w:firstLine="709"/>
        <w:jc w:val="both"/>
        <w:rPr>
          <w:rFonts w:ascii="Arial" w:hAnsi="Arial" w:cs="Arial"/>
          <w:color w:val="000000"/>
          <w:sz w:val="10"/>
          <w:szCs w:val="10"/>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DC69AA5" w14:textId="77777777" w:rsidR="00D11A4A" w:rsidRPr="00C977E0" w:rsidRDefault="00D11A4A" w:rsidP="00D11A4A">
      <w:pPr>
        <w:pStyle w:val="Textonotapie"/>
        <w:snapToGrid w:val="0"/>
        <w:ind w:firstLine="709"/>
        <w:jc w:val="both"/>
        <w:rPr>
          <w:rFonts w:ascii="Arial" w:hAnsi="Arial" w:cs="Arial"/>
          <w:color w:val="000000"/>
          <w:sz w:val="10"/>
          <w:szCs w:val="10"/>
        </w:rPr>
      </w:pPr>
      <w:r w:rsidRPr="00C977E0">
        <w:rPr>
          <w:rFonts w:ascii="Arial" w:hAnsi="Arial" w:cs="Arial"/>
          <w:color w:val="000000"/>
          <w:sz w:val="10"/>
          <w:szCs w:val="10"/>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7279B96" w14:textId="77777777" w:rsidR="00D11A4A" w:rsidRPr="00C977E0" w:rsidRDefault="00D11A4A" w:rsidP="00D11A4A">
      <w:pPr>
        <w:pStyle w:val="Textonotapie"/>
        <w:snapToGrid w:val="0"/>
        <w:ind w:firstLine="709"/>
        <w:jc w:val="both"/>
        <w:rPr>
          <w:rFonts w:ascii="Arial" w:hAnsi="Arial" w:cs="Arial"/>
          <w:color w:val="000000"/>
          <w:sz w:val="10"/>
          <w:szCs w:val="10"/>
        </w:rPr>
      </w:pPr>
      <w:r w:rsidRPr="00C977E0">
        <w:rPr>
          <w:rFonts w:ascii="Arial" w:hAnsi="Arial" w:cs="Arial"/>
          <w:color w:val="000000"/>
          <w:sz w:val="10"/>
          <w:szCs w:val="10"/>
        </w:rPr>
        <w:t>[…]”.</w:t>
      </w:r>
    </w:p>
    <w:p w14:paraId="558895D8" w14:textId="77777777" w:rsidR="00D11A4A" w:rsidRDefault="00D11A4A" w:rsidP="00D11A4A">
      <w:pPr>
        <w:pStyle w:val="Textonotapie"/>
        <w:snapToGrid w:val="0"/>
        <w:ind w:firstLine="709"/>
        <w:jc w:val="both"/>
      </w:pPr>
    </w:p>
  </w:footnote>
  <w:footnote w:id="10">
    <w:p w14:paraId="73E95CD4" w14:textId="77777777" w:rsidR="00D11A4A" w:rsidRPr="00C977E0" w:rsidRDefault="00D11A4A" w:rsidP="00D11A4A">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5A9B174B" w14:textId="77777777" w:rsidR="00D11A4A" w:rsidRDefault="00D11A4A" w:rsidP="00D11A4A">
      <w:pPr>
        <w:pStyle w:val="Textonotapie"/>
        <w:snapToGrid w:val="0"/>
        <w:ind w:firstLine="709"/>
        <w:jc w:val="both"/>
      </w:pPr>
    </w:p>
  </w:footnote>
  <w:footnote w:id="11">
    <w:p w14:paraId="0AD96FD7" w14:textId="77777777" w:rsidR="00D11A4A" w:rsidRPr="007B0F3E" w:rsidRDefault="00D11A4A" w:rsidP="00D11A4A">
      <w:pPr>
        <w:pStyle w:val="Textonotapie"/>
        <w:jc w:val="both"/>
        <w:rPr>
          <w:lang w:val="es-CO"/>
        </w:rPr>
      </w:pPr>
      <w:r>
        <w:rPr>
          <w:vertAlign w:val="superscript"/>
        </w:rPr>
        <w:footnoteRef/>
      </w:r>
      <w:r>
        <w:t xml:space="preserve"> </w:t>
      </w:r>
      <w:r w:rsidRPr="007B0F3E">
        <w:rPr>
          <w:lang w:val="es-CO"/>
        </w:rPr>
        <w:t xml:space="preserve">Corte Constitucional. Sentencia T-1210 del 2008 “Desde este panorama, puede concluirse que, aún en el seno del contrato de prestación de servicios, puede predicarse ciertas garantías de la que gozan las relaciones laborales, al cobrar importancia los principios de estabilidad laboral a ciertos sujetos y de primacía de la realidad sobre las formalidades establecidas por las partes del contrato laboral, y en los eventos en que se pueda advertir la desnaturalización del contrato de prestación de servicios”. </w:t>
      </w:r>
    </w:p>
    <w:p w14:paraId="52A44B8B" w14:textId="77777777" w:rsidR="00D11A4A" w:rsidRPr="007B0F3E" w:rsidRDefault="00D11A4A" w:rsidP="00D11A4A">
      <w:pPr>
        <w:pStyle w:val="Textonotapie"/>
        <w:jc w:val="both"/>
        <w:rPr>
          <w:lang w:val="es-CO"/>
        </w:rPr>
      </w:pPr>
    </w:p>
    <w:p w14:paraId="03F2F56E" w14:textId="77777777" w:rsidR="00D11A4A" w:rsidRDefault="00D11A4A" w:rsidP="00D11A4A">
      <w:pPr>
        <w:pStyle w:val="Textonotapie"/>
        <w:jc w:val="both"/>
      </w:pPr>
    </w:p>
  </w:footnote>
  <w:footnote w:id="12">
    <w:p w14:paraId="1ABE3FF3" w14:textId="77777777" w:rsidR="00D11A4A" w:rsidRPr="007B0F3E" w:rsidRDefault="00D11A4A" w:rsidP="00D11A4A">
      <w:pPr>
        <w:pStyle w:val="Textonotapie"/>
        <w:jc w:val="both"/>
        <w:rPr>
          <w:lang w:val="es-CO"/>
        </w:rPr>
      </w:pPr>
      <w:r>
        <w:rPr>
          <w:vertAlign w:val="superscript"/>
        </w:rPr>
        <w:footnoteRef/>
      </w:r>
      <w:r>
        <w:t xml:space="preserve"> </w:t>
      </w:r>
      <w:r w:rsidRPr="007B0F3E">
        <w:rPr>
          <w:lang w:val="es-CO"/>
        </w:rPr>
        <w:t>“En efecto, la Corte Constitucional definió que sin importar el tipo de relación laboral y la naturaleza de la discapacidad, todo trabajador en esta situación tiene derecho a que se le garantice la estabilidad laboral reforzada por estar en una condición de debilidad manifiesta. Por tanto, el empleador podrá únicamente mediante autorización del inspector de trabajo y por una justa causa objetiva desvincular al trabajador que presente una disminución física o psíquica en su organismo.</w:t>
      </w:r>
      <w:r w:rsidRPr="007B0F3E">
        <w:rPr>
          <w:lang w:val="es-CO"/>
        </w:rPr>
        <w:br/>
        <w:t xml:space="preserve">“(...) </w:t>
      </w:r>
    </w:p>
    <w:p w14:paraId="0FA80F98" w14:textId="77777777" w:rsidR="00D11A4A" w:rsidRPr="007B0F3E" w:rsidRDefault="00D11A4A" w:rsidP="00D11A4A">
      <w:pPr>
        <w:pStyle w:val="Textonotapie"/>
        <w:jc w:val="both"/>
        <w:rPr>
          <w:lang w:val="es-CO"/>
        </w:rPr>
      </w:pPr>
      <w:r w:rsidRPr="007B0F3E">
        <w:rPr>
          <w:lang w:val="es-CO"/>
        </w:rPr>
        <w:t xml:space="preserve">“Ahora bien, la relevancia que tiene el determinar o no la existencia de un contrato realidad tiene como consecuencia las órdenes a impartir en el caso concreto, (i) si se declara el contrato realidad y se configura un despido en razón de la discapacidad, se deberá ordenar el reintegro y se condenará al pago de la indemnización de 180 días de salario; y (ii) si no se demuestra la existencia de un contrato laboral, es necesario probar que: (a) la situación de debilidad manifiesta del accionante requiere la actuación urgente del juez de tutela con el fin de evitar la ocurrencia de un perjuicio irremediable y (b) que sea evidente que la no renovación del contrato fue consecuencia del estado de salud del contratista; cumplidos los requisitos, el juez de tutela proferirá las órdenes que considere necesarias para superar la vulneración”. </w:t>
      </w:r>
    </w:p>
    <w:p w14:paraId="3D6AE42E" w14:textId="77777777" w:rsidR="00D11A4A" w:rsidRDefault="00D11A4A" w:rsidP="00D11A4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F911" w14:textId="77777777" w:rsidR="00C14838" w:rsidRDefault="00C14838" w:rsidP="00AB7B56">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2CDAF5DA" wp14:editId="67166F67">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2BCBFFF" wp14:editId="7E1E83F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0C6FC8BC" w14:textId="77777777" w:rsidR="00C14838" w:rsidRDefault="00C14838" w:rsidP="00AB7B56">
    <w:pPr>
      <w:pStyle w:val="Encabezado"/>
    </w:pPr>
  </w:p>
  <w:p w14:paraId="377499AE" w14:textId="77777777" w:rsidR="00C14838" w:rsidRPr="00AB7B56" w:rsidRDefault="00C14838" w:rsidP="00AB7B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mso7376"/>
      </v:shape>
    </w:pict>
  </w:numPicBullet>
  <w:abstractNum w:abstractNumId="0" w15:restartNumberingAfterBreak="0">
    <w:nsid w:val="01C06310"/>
    <w:multiLevelType w:val="multilevel"/>
    <w:tmpl w:val="FFFFFFFF"/>
    <w:lvl w:ilvl="0">
      <w:start w:val="1"/>
      <w:numFmt w:val="decimal"/>
      <w:lvlText w:val="%1."/>
      <w:lvlJc w:val="left"/>
      <w:pPr>
        <w:ind w:left="6601" w:hanging="360"/>
      </w:pPr>
      <w:rPr>
        <w:rFonts w:cs="Times New Roman"/>
        <w:b/>
        <w:color w:val="000000" w:themeColor="text1"/>
      </w:rPr>
    </w:lvl>
    <w:lvl w:ilvl="1">
      <w:start w:val="2"/>
      <w:numFmt w:val="decimal"/>
      <w:isLgl/>
      <w:lvlText w:val="%1.%2"/>
      <w:lvlJc w:val="left"/>
      <w:pPr>
        <w:ind w:left="6241" w:hanging="360"/>
      </w:pPr>
      <w:rPr>
        <w:rFonts w:cs="Times New Roman"/>
      </w:rPr>
    </w:lvl>
    <w:lvl w:ilvl="2">
      <w:start w:val="1"/>
      <w:numFmt w:val="decimal"/>
      <w:isLgl/>
      <w:lvlText w:val="%1.%2.%3"/>
      <w:lvlJc w:val="left"/>
      <w:pPr>
        <w:ind w:left="6961" w:hanging="720"/>
      </w:pPr>
      <w:rPr>
        <w:rFonts w:cs="Times New Roman"/>
      </w:rPr>
    </w:lvl>
    <w:lvl w:ilvl="3">
      <w:start w:val="1"/>
      <w:numFmt w:val="decimal"/>
      <w:isLgl/>
      <w:lvlText w:val="%1.%2.%3.%4"/>
      <w:lvlJc w:val="left"/>
      <w:pPr>
        <w:ind w:left="6961" w:hanging="720"/>
      </w:pPr>
      <w:rPr>
        <w:rFonts w:cs="Times New Roman"/>
      </w:rPr>
    </w:lvl>
    <w:lvl w:ilvl="4">
      <w:start w:val="1"/>
      <w:numFmt w:val="decimal"/>
      <w:isLgl/>
      <w:lvlText w:val="%1.%2.%3.%4.%5"/>
      <w:lvlJc w:val="left"/>
      <w:pPr>
        <w:ind w:left="7321" w:hanging="1080"/>
      </w:pPr>
      <w:rPr>
        <w:rFonts w:cs="Times New Roman"/>
      </w:rPr>
    </w:lvl>
    <w:lvl w:ilvl="5">
      <w:start w:val="1"/>
      <w:numFmt w:val="decimal"/>
      <w:isLgl/>
      <w:lvlText w:val="%1.%2.%3.%4.%5.%6"/>
      <w:lvlJc w:val="left"/>
      <w:pPr>
        <w:ind w:left="7321" w:hanging="1080"/>
      </w:pPr>
      <w:rPr>
        <w:rFonts w:cs="Times New Roman"/>
      </w:rPr>
    </w:lvl>
    <w:lvl w:ilvl="6">
      <w:start w:val="1"/>
      <w:numFmt w:val="decimal"/>
      <w:isLgl/>
      <w:lvlText w:val="%1.%2.%3.%4.%5.%6.%7"/>
      <w:lvlJc w:val="left"/>
      <w:pPr>
        <w:ind w:left="7681" w:hanging="1440"/>
      </w:pPr>
      <w:rPr>
        <w:rFonts w:cs="Times New Roman"/>
      </w:rPr>
    </w:lvl>
    <w:lvl w:ilvl="7">
      <w:start w:val="1"/>
      <w:numFmt w:val="decimal"/>
      <w:isLgl/>
      <w:lvlText w:val="%1.%2.%3.%4.%5.%6.%7.%8"/>
      <w:lvlJc w:val="left"/>
      <w:pPr>
        <w:ind w:left="7681" w:hanging="1440"/>
      </w:pPr>
      <w:rPr>
        <w:rFonts w:cs="Times New Roman"/>
      </w:rPr>
    </w:lvl>
    <w:lvl w:ilvl="8">
      <w:start w:val="1"/>
      <w:numFmt w:val="decimal"/>
      <w:isLgl/>
      <w:lvlText w:val="%1.%2.%3.%4.%5.%6.%7.%8.%9"/>
      <w:lvlJc w:val="left"/>
      <w:pPr>
        <w:ind w:left="8041" w:hanging="1800"/>
      </w:pPr>
      <w:rPr>
        <w:rFonts w:cs="Times New Roman"/>
      </w:rPr>
    </w:lvl>
  </w:abstractNum>
  <w:abstractNum w:abstractNumId="1" w15:restartNumberingAfterBreak="0">
    <w:nsid w:val="300B609C"/>
    <w:multiLevelType w:val="multilevel"/>
    <w:tmpl w:val="FFFFFFFF"/>
    <w:lvl w:ilvl="0">
      <w:start w:val="3"/>
      <w:numFmt w:val="decimal"/>
      <w:lvlText w:val="%1"/>
      <w:lvlJc w:val="left"/>
      <w:pPr>
        <w:ind w:left="405" w:hanging="40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 w15:restartNumberingAfterBreak="0">
    <w:nsid w:val="39D726F5"/>
    <w:multiLevelType w:val="hybridMultilevel"/>
    <w:tmpl w:val="FFFFFFFF"/>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53234AA"/>
    <w:multiLevelType w:val="hybridMultilevel"/>
    <w:tmpl w:val="6010CB72"/>
    <w:lvl w:ilvl="0" w:tplc="D4AA1A76">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5D6710E3"/>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6" w15:restartNumberingAfterBreak="0">
    <w:nsid w:val="6FD3394C"/>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3737983">
    <w:abstractNumId w:val="5"/>
  </w:num>
  <w:num w:numId="2" w16cid:durableId="712775026">
    <w:abstractNumId w:val="3"/>
  </w:num>
  <w:num w:numId="3" w16cid:durableId="30689115">
    <w:abstractNumId w:val="0"/>
  </w:num>
  <w:num w:numId="4" w16cid:durableId="577639815">
    <w:abstractNumId w:val="2"/>
  </w:num>
  <w:num w:numId="5" w16cid:durableId="193731864">
    <w:abstractNumId w:val="4"/>
  </w:num>
  <w:num w:numId="6" w16cid:durableId="1780877275">
    <w:abstractNumId w:val="1"/>
  </w:num>
  <w:num w:numId="7" w16cid:durableId="211015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1A"/>
    <w:rsid w:val="000C087C"/>
    <w:rsid w:val="000C4DE3"/>
    <w:rsid w:val="000E1E79"/>
    <w:rsid w:val="000F5A42"/>
    <w:rsid w:val="003D39B0"/>
    <w:rsid w:val="0040181A"/>
    <w:rsid w:val="005004B3"/>
    <w:rsid w:val="00605A43"/>
    <w:rsid w:val="00754F32"/>
    <w:rsid w:val="00804528"/>
    <w:rsid w:val="00940167"/>
    <w:rsid w:val="00A12218"/>
    <w:rsid w:val="00A90678"/>
    <w:rsid w:val="00AC5157"/>
    <w:rsid w:val="00B6559E"/>
    <w:rsid w:val="00B8138A"/>
    <w:rsid w:val="00C14838"/>
    <w:rsid w:val="00D11A4A"/>
    <w:rsid w:val="00D81E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5D46"/>
  <w15:chartTrackingRefBased/>
  <w15:docId w15:val="{040FCEF1-9FCC-44CA-A7CF-E8A2BA90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1A"/>
    <w:rPr>
      <w:kern w:val="0"/>
    </w:rPr>
  </w:style>
  <w:style w:type="paragraph" w:styleId="Ttulo1">
    <w:name w:val="heading 1"/>
    <w:basedOn w:val="Normal"/>
    <w:next w:val="Normal"/>
    <w:link w:val="Ttulo1Car"/>
    <w:uiPriority w:val="9"/>
    <w:qFormat/>
    <w:rsid w:val="00401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1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18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18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18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18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18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18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18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18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18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18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18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18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18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18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18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181A"/>
    <w:rPr>
      <w:rFonts w:eastAsiaTheme="majorEastAsia" w:cstheme="majorBidi"/>
      <w:color w:val="272727" w:themeColor="text1" w:themeTint="D8"/>
    </w:rPr>
  </w:style>
  <w:style w:type="paragraph" w:styleId="Ttulo">
    <w:name w:val="Title"/>
    <w:basedOn w:val="Normal"/>
    <w:next w:val="Normal"/>
    <w:link w:val="TtuloCar"/>
    <w:uiPriority w:val="10"/>
    <w:qFormat/>
    <w:rsid w:val="00401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18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18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18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181A"/>
    <w:pPr>
      <w:spacing w:before="160"/>
      <w:jc w:val="center"/>
    </w:pPr>
    <w:rPr>
      <w:i/>
      <w:iCs/>
      <w:color w:val="404040" w:themeColor="text1" w:themeTint="BF"/>
    </w:rPr>
  </w:style>
  <w:style w:type="character" w:customStyle="1" w:styleId="CitaCar">
    <w:name w:val="Cita Car"/>
    <w:basedOn w:val="Fuentedeprrafopredeter"/>
    <w:link w:val="Cita"/>
    <w:uiPriority w:val="29"/>
    <w:rsid w:val="0040181A"/>
    <w:rPr>
      <w:i/>
      <w:iCs/>
      <w:color w:val="404040" w:themeColor="text1" w:themeTint="BF"/>
    </w:rPr>
  </w:style>
  <w:style w:type="paragraph" w:styleId="Prrafodelista">
    <w:name w:val="List Paragraph"/>
    <w:basedOn w:val="Normal"/>
    <w:uiPriority w:val="34"/>
    <w:qFormat/>
    <w:rsid w:val="0040181A"/>
    <w:pPr>
      <w:ind w:left="720"/>
      <w:contextualSpacing/>
    </w:pPr>
  </w:style>
  <w:style w:type="character" w:styleId="nfasisintenso">
    <w:name w:val="Intense Emphasis"/>
    <w:basedOn w:val="Fuentedeprrafopredeter"/>
    <w:uiPriority w:val="21"/>
    <w:qFormat/>
    <w:rsid w:val="0040181A"/>
    <w:rPr>
      <w:i/>
      <w:iCs/>
      <w:color w:val="0F4761" w:themeColor="accent1" w:themeShade="BF"/>
    </w:rPr>
  </w:style>
  <w:style w:type="paragraph" w:styleId="Citadestacada">
    <w:name w:val="Intense Quote"/>
    <w:basedOn w:val="Normal"/>
    <w:next w:val="Normal"/>
    <w:link w:val="CitadestacadaCar"/>
    <w:uiPriority w:val="30"/>
    <w:qFormat/>
    <w:rsid w:val="00401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181A"/>
    <w:rPr>
      <w:i/>
      <w:iCs/>
      <w:color w:val="0F4761" w:themeColor="accent1" w:themeShade="BF"/>
    </w:rPr>
  </w:style>
  <w:style w:type="character" w:styleId="Referenciaintensa">
    <w:name w:val="Intense Reference"/>
    <w:basedOn w:val="Fuentedeprrafopredeter"/>
    <w:uiPriority w:val="32"/>
    <w:qFormat/>
    <w:rsid w:val="0040181A"/>
    <w:rPr>
      <w:b/>
      <w:bCs/>
      <w:smallCaps/>
      <w:color w:val="0F4761" w:themeColor="accent1" w:themeShade="BF"/>
      <w:spacing w:val="5"/>
    </w:rPr>
  </w:style>
  <w:style w:type="paragraph" w:styleId="Encabezado">
    <w:name w:val="header"/>
    <w:basedOn w:val="Normal"/>
    <w:link w:val="EncabezadoCar"/>
    <w:uiPriority w:val="99"/>
    <w:unhideWhenUsed/>
    <w:rsid w:val="004018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81A"/>
    <w:rPr>
      <w:kern w:val="0"/>
    </w:rPr>
  </w:style>
  <w:style w:type="paragraph" w:styleId="Piedepgina">
    <w:name w:val="footer"/>
    <w:basedOn w:val="Normal"/>
    <w:link w:val="PiedepginaCar"/>
    <w:uiPriority w:val="99"/>
    <w:unhideWhenUsed/>
    <w:rsid w:val="004018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81A"/>
    <w:rPr>
      <w:kern w:val="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0181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0181A"/>
    <w:pPr>
      <w:spacing w:after="0" w:line="240" w:lineRule="auto"/>
    </w:pPr>
    <w:rPr>
      <w:kern w:val="2"/>
      <w:sz w:val="20"/>
      <w:szCs w:val="20"/>
      <w:lang w:val="es-MX"/>
    </w:rPr>
  </w:style>
  <w:style w:type="character" w:customStyle="1" w:styleId="TextonotapieCar1">
    <w:name w:val="Texto nota pie Car1"/>
    <w:basedOn w:val="Fuentedeprrafopredeter"/>
    <w:uiPriority w:val="99"/>
    <w:semiHidden/>
    <w:rsid w:val="0040181A"/>
    <w:rPr>
      <w:kern w:val="0"/>
      <w:sz w:val="20"/>
      <w:szCs w:val="20"/>
    </w:rPr>
  </w:style>
  <w:style w:type="character" w:customStyle="1" w:styleId="normaltextrun">
    <w:name w:val="normaltextrun"/>
    <w:basedOn w:val="Fuentedeprrafopredeter"/>
    <w:rsid w:val="0040181A"/>
  </w:style>
  <w:style w:type="character" w:styleId="Hipervnculo">
    <w:name w:val="Hyperlink"/>
    <w:basedOn w:val="Fuentedeprrafopredeter"/>
    <w:uiPriority w:val="99"/>
    <w:unhideWhenUsed/>
    <w:rsid w:val="0040181A"/>
    <w:rPr>
      <w:color w:val="467886" w:themeColor="hyperlink"/>
      <w:u w:val="single"/>
    </w:rPr>
  </w:style>
  <w:style w:type="paragraph" w:customStyle="1" w:styleId="paragraph">
    <w:name w:val="paragraph"/>
    <w:basedOn w:val="Normal"/>
    <w:rsid w:val="0040181A"/>
    <w:pPr>
      <w:spacing w:before="100" w:beforeAutospacing="1" w:after="100" w:afterAutospacing="1" w:line="240" w:lineRule="auto"/>
    </w:pPr>
    <w:rPr>
      <w:rFonts w:ascii="Times New Roman" w:eastAsia="Times New Roman" w:hAnsi="Times New Roman" w:cs="Times New Roman"/>
      <w:sz w:val="24"/>
      <w:szCs w:val="24"/>
      <w:lang w:eastAsia="es-ES_tradnl"/>
      <w14:ligatures w14:val="none"/>
    </w:rPr>
  </w:style>
  <w:style w:type="table" w:styleId="Tablaconcuadrcula">
    <w:name w:val="Table Grid"/>
    <w:basedOn w:val="Tablanormal"/>
    <w:uiPriority w:val="39"/>
    <w:qFormat/>
    <w:rsid w:val="004018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0181A"/>
    <w:rPr>
      <w:color w:val="605E5C"/>
      <w:shd w:val="clear" w:color="auto" w:fill="E1DFDD"/>
    </w:rPr>
  </w:style>
  <w:style w:type="table" w:customStyle="1" w:styleId="Tablaconcuadrcula1">
    <w:name w:val="Tabla con cuadrícula1"/>
    <w:basedOn w:val="Tablanormal"/>
    <w:next w:val="Tablaconcuadrcula"/>
    <w:uiPriority w:val="39"/>
    <w:qFormat/>
    <w:rsid w:val="00D11A4A"/>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11222">
      <w:bodyDiv w:val="1"/>
      <w:marLeft w:val="0"/>
      <w:marRight w:val="0"/>
      <w:marTop w:val="0"/>
      <w:marBottom w:val="0"/>
      <w:divBdr>
        <w:top w:val="none" w:sz="0" w:space="0" w:color="auto"/>
        <w:left w:val="none" w:sz="0" w:space="0" w:color="auto"/>
        <w:bottom w:val="none" w:sz="0" w:space="0" w:color="auto"/>
        <w:right w:val="none" w:sz="0" w:space="0" w:color="auto"/>
      </w:divBdr>
    </w:div>
    <w:div w:id="1257863249">
      <w:bodyDiv w:val="1"/>
      <w:marLeft w:val="0"/>
      <w:marRight w:val="0"/>
      <w:marTop w:val="0"/>
      <w:marBottom w:val="0"/>
      <w:divBdr>
        <w:top w:val="none" w:sz="0" w:space="0" w:color="auto"/>
        <w:left w:val="none" w:sz="0" w:space="0" w:color="auto"/>
        <w:bottom w:val="none" w:sz="0" w:space="0" w:color="auto"/>
        <w:right w:val="none" w:sz="0" w:space="0" w:color="auto"/>
      </w:divBdr>
      <w:divsChild>
        <w:div w:id="2055422977">
          <w:marLeft w:val="0"/>
          <w:marRight w:val="0"/>
          <w:marTop w:val="0"/>
          <w:marBottom w:val="0"/>
          <w:divBdr>
            <w:top w:val="none" w:sz="0" w:space="0" w:color="auto"/>
            <w:left w:val="none" w:sz="0" w:space="0" w:color="auto"/>
            <w:bottom w:val="none" w:sz="0" w:space="0" w:color="auto"/>
            <w:right w:val="none" w:sz="0" w:space="0" w:color="auto"/>
          </w:divBdr>
        </w:div>
      </w:divsChild>
    </w:div>
    <w:div w:id="19716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talwilches@gmail.com" TargetMode="External"/><Relationship Id="rId13" Type="http://schemas.openxmlformats.org/officeDocument/2006/relationships/image" Target="media/image3.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lombiacompra.gov.co/manuales-guias-y-pliegos-tipo/manuales-y-guia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elatoria.colombiacompra.gov.co/providencias-consejo-de-esta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F96BA4-1A7D-4BE7-87C8-58D867C3EF1F}"/>
</file>

<file path=customXml/itemProps2.xml><?xml version="1.0" encoding="utf-8"?>
<ds:datastoreItem xmlns:ds="http://schemas.openxmlformats.org/officeDocument/2006/customXml" ds:itemID="{8D8C4102-AB6A-4E1E-9B21-3BBC2CFB0EB4}"/>
</file>

<file path=customXml/itemProps3.xml><?xml version="1.0" encoding="utf-8"?>
<ds:datastoreItem xmlns:ds="http://schemas.openxmlformats.org/officeDocument/2006/customXml" ds:itemID="{FB34C1B4-63C1-472A-9857-E1A22B0C7F61}"/>
</file>

<file path=docProps/app.xml><?xml version="1.0" encoding="utf-8"?>
<Properties xmlns="http://schemas.openxmlformats.org/officeDocument/2006/extended-properties" xmlns:vt="http://schemas.openxmlformats.org/officeDocument/2006/docPropsVTypes">
  <Template>Normal</Template>
  <TotalTime>2</TotalTime>
  <Pages>14</Pages>
  <Words>4532</Words>
  <Characters>24926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4</cp:revision>
  <dcterms:created xsi:type="dcterms:W3CDTF">2024-09-18T16:28:00Z</dcterms:created>
  <dcterms:modified xsi:type="dcterms:W3CDTF">2024-09-18T16:30:00Z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