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AD566" w14:textId="77777777" w:rsidR="00C37B22" w:rsidRPr="00630561" w:rsidRDefault="00C37B22" w:rsidP="002F344F">
      <w:pPr>
        <w:spacing w:after="0" w:line="240" w:lineRule="auto"/>
        <w:rPr>
          <w:rFonts w:ascii="Verdana" w:hAnsi="Verdana"/>
          <w:b/>
          <w:bCs/>
        </w:rPr>
      </w:pPr>
      <w:bookmarkStart w:id="0" w:name="_Hlk143780582"/>
    </w:p>
    <w:p w14:paraId="0AFB7C72" w14:textId="268A8232" w:rsidR="002F344F" w:rsidRPr="00630561" w:rsidRDefault="008935F4" w:rsidP="002F344F">
      <w:pPr>
        <w:spacing w:after="0" w:line="240" w:lineRule="auto"/>
        <w:jc w:val="both"/>
        <w:rPr>
          <w:rFonts w:ascii="Verdana" w:hAnsi="Verdana"/>
          <w:b/>
          <w:bCs/>
        </w:rPr>
      </w:pPr>
      <w:r w:rsidRPr="00630561">
        <w:rPr>
          <w:rFonts w:ascii="Verdana" w:hAnsi="Verdana"/>
          <w:b/>
          <w:bCs/>
        </w:rPr>
        <w:t xml:space="preserve">CONSORCIOS Y UNIONES TEMPORALES – Capacidad jurídica – Concepto  </w:t>
      </w:r>
    </w:p>
    <w:p w14:paraId="65F9DE1B" w14:textId="77777777" w:rsidR="002F344F" w:rsidRPr="00630561" w:rsidRDefault="002F344F" w:rsidP="002F344F">
      <w:pPr>
        <w:spacing w:after="0" w:line="240" w:lineRule="auto"/>
        <w:jc w:val="both"/>
        <w:rPr>
          <w:rFonts w:ascii="Verdana" w:hAnsi="Verdana"/>
          <w:b/>
          <w:bCs/>
        </w:rPr>
      </w:pPr>
    </w:p>
    <w:p w14:paraId="434860B2" w14:textId="666A189F" w:rsidR="002F344F" w:rsidRPr="00630561" w:rsidRDefault="002F344F" w:rsidP="002F344F">
      <w:pPr>
        <w:spacing w:after="0" w:line="240" w:lineRule="auto"/>
        <w:jc w:val="both"/>
        <w:rPr>
          <w:rFonts w:ascii="Verdana" w:eastAsia="Calibri" w:hAnsi="Verdana" w:cs="Arial"/>
          <w:bCs/>
          <w:color w:val="000000"/>
          <w:sz w:val="20"/>
          <w:szCs w:val="20"/>
          <w:lang w:val="es-ES_tradnl" w:eastAsia="es-ES_tradnl"/>
        </w:rPr>
      </w:pPr>
      <w:r w:rsidRPr="00630561">
        <w:rPr>
          <w:rFonts w:ascii="Verdana" w:hAnsi="Verdana"/>
          <w:sz w:val="20"/>
          <w:szCs w:val="20"/>
        </w:rPr>
        <w:t xml:space="preserve">“[…] </w:t>
      </w:r>
      <w:r w:rsidRPr="00630561">
        <w:rPr>
          <w:rFonts w:ascii="Verdana" w:eastAsia="Calibri" w:hAnsi="Verdana" w:cs="Arial"/>
          <w:bCs/>
          <w:color w:val="000000"/>
          <w:sz w:val="20"/>
          <w:szCs w:val="20"/>
          <w:lang w:val="es-ES_tradnl" w:eastAsia="es-ES_tradnl"/>
        </w:rPr>
        <w:t>En consecuencia, por virtud de la ley en mención, también pueden celebrar contratos estatales los consorcios y uniones temporales. No obstante, estos sujetos no son personas jurídicas conforme lo establece el artículo 7 de la Ley 80 de 1993, el cual a su vez los define como un número plural de interesados unidos para la presentación de una oferta en el marco de una contratación administrativa. […] Los consorcios y uniones temporales son convenios de asociación provenientes de la colaboración empresarial, mediante los cuales sus integrantes se unen y organizan mancomunadamente para lograr con mayor eficacia un fin común de contenido patrimonial y lucrativo, como lo es la obtención del derecho a ser adjudicatarios de un contrato estatal. Estos sujetos comparten recursos de toda índole con el propósito de lograr la ejecución del contrato y, al mismo tiempo, compartir las utilidades y los riesgos. La diferencia entre los consorcios y las uniones temporales radica en la responsabilidad frente a las eventuales sanciones que lleguen a generarse por el incumplimiento de las obligaciones del contrato, toda vez que, tratándose de una unión temporal, éstas se individualizan según el grado de participación de sus miembros, mientras que en el consorcio dicha individualización no opera, ya que sus miembros responderán solidariamente frente a las sanciones que correspondan. […] Al no ser los consorcios y uniones temporales personas jurídicas, su creación convencional se logra mediante un acuerdo privado en el que concurre la voluntad de sus integrantes para regular su objeto, la participación de los miembros, las obligaciones frente al proyecto que los une, la responsabilidad de los miembros y la forma en que regirán sus relaciones internas y el relacionamiento con la entidad contratante, mediante la designación de un representante. Así lo exige el parágrafo del artículo 7 de la Ley 80 de 1993 para que el órgano creado con la constitución del consorcio o unión temporal tenga vocación de resultar el adjudicatario del contrato estatal.</w:t>
      </w:r>
      <w:r w:rsidRPr="00630561">
        <w:rPr>
          <w:rFonts w:ascii="Verdana" w:hAnsi="Verdana"/>
          <w:sz w:val="20"/>
          <w:szCs w:val="20"/>
        </w:rPr>
        <w:t xml:space="preserve"> </w:t>
      </w:r>
      <w:r w:rsidRPr="00630561">
        <w:rPr>
          <w:rFonts w:ascii="Verdana" w:hAnsi="Verdana"/>
          <w:sz w:val="20"/>
          <w:szCs w:val="20"/>
        </w:rPr>
        <w:t>[…]</w:t>
      </w:r>
      <w:r w:rsidRPr="00630561">
        <w:rPr>
          <w:rFonts w:ascii="Verdana" w:hAnsi="Verdana"/>
          <w:sz w:val="20"/>
          <w:szCs w:val="20"/>
        </w:rPr>
        <w:t>”</w:t>
      </w:r>
    </w:p>
    <w:p w14:paraId="2C9D386D" w14:textId="77777777" w:rsidR="002F344F" w:rsidRPr="00630561" w:rsidRDefault="002F344F" w:rsidP="002F344F">
      <w:pPr>
        <w:spacing w:after="0" w:line="240" w:lineRule="auto"/>
        <w:jc w:val="both"/>
        <w:rPr>
          <w:rFonts w:ascii="Verdana" w:hAnsi="Verdana"/>
          <w:b/>
          <w:bCs/>
        </w:rPr>
      </w:pPr>
    </w:p>
    <w:p w14:paraId="15B95A7D" w14:textId="73E59F76" w:rsidR="008935F4" w:rsidRPr="00630561" w:rsidRDefault="008935F4" w:rsidP="002F344F">
      <w:pPr>
        <w:spacing w:after="0" w:line="240" w:lineRule="auto"/>
        <w:jc w:val="both"/>
        <w:rPr>
          <w:rFonts w:ascii="Verdana" w:hAnsi="Verdana"/>
          <w:b/>
          <w:bCs/>
        </w:rPr>
      </w:pPr>
      <w:r w:rsidRPr="00630561">
        <w:rPr>
          <w:rFonts w:ascii="Verdana" w:hAnsi="Verdana"/>
          <w:b/>
          <w:bCs/>
        </w:rPr>
        <w:t xml:space="preserve">SUBSANABILIDAD – Alcance – procedencia </w:t>
      </w:r>
    </w:p>
    <w:p w14:paraId="2B0FDFD6" w14:textId="77777777" w:rsidR="008935F4" w:rsidRPr="00630561" w:rsidRDefault="008935F4" w:rsidP="002F344F">
      <w:pPr>
        <w:spacing w:after="0" w:line="240" w:lineRule="auto"/>
        <w:jc w:val="both"/>
        <w:rPr>
          <w:rFonts w:ascii="Verdana" w:hAnsi="Verdana"/>
          <w:b/>
          <w:bCs/>
        </w:rPr>
      </w:pPr>
    </w:p>
    <w:p w14:paraId="4EA20D6C" w14:textId="725FFCC5" w:rsidR="002F344F" w:rsidRPr="00630561" w:rsidRDefault="002F344F" w:rsidP="002F344F">
      <w:pPr>
        <w:spacing w:after="0" w:line="240" w:lineRule="auto"/>
        <w:jc w:val="both"/>
        <w:rPr>
          <w:rFonts w:ascii="Verdana" w:eastAsia="Times New Roman" w:hAnsi="Verdana" w:cs="Arial"/>
          <w:bCs/>
          <w:sz w:val="20"/>
          <w:szCs w:val="20"/>
        </w:rPr>
      </w:pPr>
      <w:r w:rsidRPr="00630561">
        <w:rPr>
          <w:rFonts w:ascii="Verdana" w:hAnsi="Verdana"/>
          <w:sz w:val="20"/>
          <w:szCs w:val="20"/>
        </w:rPr>
        <w:t xml:space="preserve">“[…] </w:t>
      </w:r>
      <w:r w:rsidRPr="00630561">
        <w:rPr>
          <w:rFonts w:ascii="Verdana" w:eastAsia="Times New Roman" w:hAnsi="Verdana" w:cs="Arial"/>
          <w:bCs/>
          <w:sz w:val="20"/>
          <w:szCs w:val="20"/>
        </w:rPr>
        <w:t xml:space="preserve">Por regla general, i) la falta de entrega o </w:t>
      </w:r>
      <w:proofErr w:type="spellStart"/>
      <w:r w:rsidRPr="00630561">
        <w:rPr>
          <w:rFonts w:ascii="Verdana" w:eastAsia="Times New Roman" w:hAnsi="Verdana" w:cs="Arial"/>
          <w:bCs/>
          <w:sz w:val="20"/>
          <w:szCs w:val="20"/>
        </w:rPr>
        <w:t>ii</w:t>
      </w:r>
      <w:proofErr w:type="spellEnd"/>
      <w:r w:rsidRPr="00630561">
        <w:rPr>
          <w:rFonts w:ascii="Verdana" w:eastAsia="Times New Roman" w:hAnsi="Verdana" w:cs="Arial"/>
          <w:bCs/>
          <w:sz w:val="20"/>
          <w:szCs w:val="20"/>
        </w:rPr>
        <w:t>) los defectos, de los requisitos habilitantes, son subsanables. La excepción se encuentra en los casos, previstos en la ley, que limitan la subsanabilidad, es decir, en la prohibición de permitir la entrega de la garantía de seriedad de la oferta que no fue aportada con la propuesta y de valer la acreditación de circunstancias ocurridas con posterioridad al cierre del proceso. De modo que, el límite para el ejercicio del derecho a subsanar los requisitos habilitantes y para el deber de las entidades públicas de permitir su ejercicio está definido en la ley, lo que indica que las situaciones en las cuales está restringido fueron previstas por el legislador de forma expresa. […] la subsanabilidad procede sobre todos aquellos requisitos que no otorguen puntaje, siempre que no se trate de entregar la garantía de seriedad de la oferta no aportada antes del cierre del procedimiento de selección, y bajo la condición de que no se acrediten hechos ocurridos con posterioridad a dicho momento.</w:t>
      </w:r>
      <w:r w:rsidRPr="00630561">
        <w:rPr>
          <w:rFonts w:ascii="Verdana" w:eastAsia="Times New Roman" w:hAnsi="Verdana" w:cs="Arial"/>
          <w:bCs/>
          <w:sz w:val="20"/>
          <w:szCs w:val="20"/>
        </w:rPr>
        <w:t xml:space="preserve"> </w:t>
      </w:r>
      <w:r w:rsidRPr="00630561">
        <w:rPr>
          <w:rFonts w:ascii="Verdana" w:hAnsi="Verdana"/>
          <w:sz w:val="20"/>
          <w:szCs w:val="20"/>
        </w:rPr>
        <w:t>[…]</w:t>
      </w:r>
      <w:r w:rsidRPr="00630561">
        <w:rPr>
          <w:rFonts w:ascii="Verdana" w:hAnsi="Verdana"/>
          <w:sz w:val="20"/>
          <w:szCs w:val="20"/>
        </w:rPr>
        <w:t>”</w:t>
      </w:r>
    </w:p>
    <w:p w14:paraId="0D6A2DBA" w14:textId="77777777" w:rsidR="002F344F" w:rsidRPr="00630561" w:rsidRDefault="002F344F" w:rsidP="002F344F">
      <w:pPr>
        <w:spacing w:after="0" w:line="240" w:lineRule="auto"/>
        <w:jc w:val="both"/>
        <w:rPr>
          <w:rFonts w:ascii="Verdana" w:hAnsi="Verdana"/>
          <w:b/>
          <w:bCs/>
        </w:rPr>
      </w:pPr>
    </w:p>
    <w:p w14:paraId="71DBCDF2" w14:textId="02D11B45" w:rsidR="00AA693B" w:rsidRPr="00630561" w:rsidRDefault="008935F4" w:rsidP="002F344F">
      <w:pPr>
        <w:spacing w:after="0" w:line="240" w:lineRule="auto"/>
        <w:jc w:val="both"/>
        <w:rPr>
          <w:rFonts w:ascii="Verdana" w:hAnsi="Verdana"/>
          <w:b/>
          <w:bCs/>
        </w:rPr>
      </w:pPr>
      <w:r w:rsidRPr="00630561">
        <w:rPr>
          <w:rFonts w:ascii="Verdana" w:hAnsi="Verdana"/>
          <w:b/>
          <w:bCs/>
        </w:rPr>
        <w:t>APOYO A LA INDUSTRIA NACIONAL – Documentos tipo – Documentos tipo para licitación de obra pública de infraestructura de transporte – Resolución Nro. 465 del 10 de septiembre del 2024</w:t>
      </w:r>
    </w:p>
    <w:p w14:paraId="37DDD6BA" w14:textId="77777777" w:rsidR="008935F4" w:rsidRPr="00630561" w:rsidRDefault="008935F4" w:rsidP="002F344F">
      <w:pPr>
        <w:spacing w:after="0" w:line="240" w:lineRule="auto"/>
        <w:jc w:val="both"/>
        <w:rPr>
          <w:rFonts w:ascii="Verdana" w:hAnsi="Verdana"/>
          <w:sz w:val="20"/>
          <w:szCs w:val="20"/>
        </w:rPr>
      </w:pPr>
    </w:p>
    <w:p w14:paraId="085CABC2" w14:textId="72C1FB9C" w:rsidR="00B56959" w:rsidRPr="00630561" w:rsidRDefault="00B56959" w:rsidP="002F344F">
      <w:pPr>
        <w:spacing w:after="0" w:line="240" w:lineRule="auto"/>
        <w:jc w:val="both"/>
        <w:rPr>
          <w:rFonts w:ascii="Verdana" w:hAnsi="Verdana"/>
          <w:sz w:val="20"/>
          <w:szCs w:val="20"/>
        </w:rPr>
      </w:pPr>
      <w:r w:rsidRPr="00630561">
        <w:rPr>
          <w:rFonts w:ascii="Verdana" w:hAnsi="Verdana"/>
          <w:sz w:val="20"/>
          <w:szCs w:val="20"/>
        </w:rPr>
        <w:t xml:space="preserve">“[…] </w:t>
      </w:r>
      <w:r w:rsidRPr="00630561">
        <w:rPr>
          <w:rFonts w:ascii="Verdana" w:hAnsi="Verdana"/>
          <w:sz w:val="20"/>
          <w:szCs w:val="20"/>
        </w:rPr>
        <w:t>frente al formato Nro. 9, la Agencia Nacional de Contratación Pública – Colombia Compra Eficiente, mediante la Resolución Nro. 465 del 10 de septiembre del 2024 derogo la Resolución 240 de 2020 y sus modificaciones posteriores. Así las cosas, lo invitados a consultar los nuevos documentos base, formatos y matrices de los documentos tipo.</w:t>
      </w:r>
    </w:p>
    <w:p w14:paraId="6635F582" w14:textId="77777777" w:rsidR="00B56959" w:rsidRPr="00630561" w:rsidRDefault="00B56959" w:rsidP="002F344F">
      <w:pPr>
        <w:spacing w:after="0" w:line="240" w:lineRule="auto"/>
        <w:jc w:val="both"/>
        <w:rPr>
          <w:rFonts w:ascii="Verdana" w:hAnsi="Verdana"/>
          <w:sz w:val="20"/>
          <w:szCs w:val="20"/>
        </w:rPr>
      </w:pPr>
    </w:p>
    <w:p w14:paraId="4DFCF7CF" w14:textId="6D0A8E29" w:rsidR="005416A3" w:rsidRPr="00630561" w:rsidRDefault="005416A3" w:rsidP="002F344F">
      <w:pPr>
        <w:spacing w:after="0" w:line="240" w:lineRule="auto"/>
        <w:jc w:val="both"/>
        <w:rPr>
          <w:rFonts w:ascii="Verdana" w:hAnsi="Verdana"/>
          <w:sz w:val="20"/>
          <w:szCs w:val="20"/>
        </w:rPr>
      </w:pPr>
      <w:r w:rsidRPr="00630561">
        <w:rPr>
          <w:rFonts w:ascii="Verdana" w:hAnsi="Verdana"/>
          <w:sz w:val="20"/>
          <w:szCs w:val="20"/>
        </w:rPr>
        <w:t>[…]</w:t>
      </w:r>
    </w:p>
    <w:p w14:paraId="7DF42D09" w14:textId="77777777" w:rsidR="005416A3" w:rsidRPr="00630561" w:rsidRDefault="005416A3" w:rsidP="002F344F">
      <w:pPr>
        <w:spacing w:after="0" w:line="240" w:lineRule="auto"/>
        <w:jc w:val="both"/>
        <w:rPr>
          <w:rFonts w:ascii="Verdana" w:hAnsi="Verdana"/>
          <w:sz w:val="20"/>
          <w:szCs w:val="20"/>
        </w:rPr>
      </w:pPr>
    </w:p>
    <w:p w14:paraId="393B1C2C" w14:textId="68541257" w:rsidR="00B56959" w:rsidRPr="00630561" w:rsidRDefault="002F344F" w:rsidP="002F344F">
      <w:pPr>
        <w:spacing w:after="0" w:line="240" w:lineRule="auto"/>
        <w:jc w:val="both"/>
        <w:rPr>
          <w:rFonts w:ascii="Verdana" w:hAnsi="Verdana"/>
          <w:sz w:val="20"/>
          <w:szCs w:val="20"/>
        </w:rPr>
      </w:pPr>
      <w:r w:rsidRPr="00630561">
        <w:rPr>
          <w:rFonts w:ascii="Verdana" w:hAnsi="Verdana"/>
          <w:sz w:val="20"/>
          <w:szCs w:val="20"/>
        </w:rPr>
        <w:t>T</w:t>
      </w:r>
      <w:r w:rsidR="00B56959" w:rsidRPr="00630561">
        <w:rPr>
          <w:rFonts w:ascii="Verdana" w:hAnsi="Verdana"/>
          <w:sz w:val="20"/>
          <w:szCs w:val="20"/>
        </w:rPr>
        <w:t>ratándose de los documentos tipo para licitación de obra pública de infraestructura de transporte, el Capítulo IV, numeral 4.3. del documento base explica cómo el proponente se hace acreedor para el otorgamiento de puntaje, las reglas que las Entidades deben tener en cuenta para definir los Bienes Nacionales Relevantes y el porcentaje de empleados o contratistas por prestación de servicios colombianos al que deberán comprometerse los proponentes en caso de que ninguno de los bienes relevantes esté incluido en el Registro de Productores de Bienes Nacionales, con el fin de que la Entidad Estatal otorgue el puntaje. Igualmente, brinda pautas para el diligenciamiento de los Formatos 9A “Puntaje de Industria Nacional” y 9B “Incorporación de componente Nacional en servicios extranjeros”</w:t>
      </w:r>
      <w:r w:rsidR="00B56959" w:rsidRPr="00630561">
        <w:rPr>
          <w:rFonts w:ascii="Verdana" w:hAnsi="Verdana"/>
          <w:sz w:val="20"/>
          <w:szCs w:val="20"/>
        </w:rPr>
        <w:t xml:space="preserve">. </w:t>
      </w:r>
      <w:r w:rsidR="00B56959" w:rsidRPr="00630561">
        <w:rPr>
          <w:rFonts w:ascii="Verdana" w:hAnsi="Verdana"/>
          <w:sz w:val="20"/>
          <w:szCs w:val="20"/>
        </w:rPr>
        <w:t>[…]</w:t>
      </w:r>
      <w:r w:rsidR="00B56959" w:rsidRPr="00630561">
        <w:rPr>
          <w:rFonts w:ascii="Verdana" w:hAnsi="Verdana"/>
          <w:sz w:val="20"/>
          <w:szCs w:val="20"/>
        </w:rPr>
        <w:t xml:space="preserve">” </w:t>
      </w:r>
    </w:p>
    <w:p w14:paraId="4F21D000" w14:textId="77777777" w:rsidR="008935F4" w:rsidRPr="00630561" w:rsidRDefault="008935F4" w:rsidP="00E245AB">
      <w:pPr>
        <w:spacing w:after="0"/>
        <w:rPr>
          <w:rFonts w:ascii="Verdana" w:hAnsi="Verdana"/>
        </w:rPr>
      </w:pPr>
    </w:p>
    <w:p w14:paraId="2240AB37" w14:textId="77777777" w:rsidR="008935F4" w:rsidRPr="00630561" w:rsidRDefault="008935F4" w:rsidP="00E245AB">
      <w:pPr>
        <w:spacing w:after="0"/>
        <w:rPr>
          <w:rFonts w:ascii="Verdana" w:hAnsi="Verdana"/>
        </w:rPr>
      </w:pPr>
    </w:p>
    <w:p w14:paraId="526FD118" w14:textId="77777777" w:rsidR="006C6E4A" w:rsidRPr="00630561" w:rsidRDefault="006C6E4A" w:rsidP="00E245AB">
      <w:pPr>
        <w:spacing w:after="0"/>
        <w:rPr>
          <w:rFonts w:ascii="Verdana" w:hAnsi="Verdana"/>
        </w:rPr>
      </w:pPr>
    </w:p>
    <w:p w14:paraId="1916CBFE" w14:textId="77777777" w:rsidR="006C6E4A" w:rsidRPr="00630561" w:rsidRDefault="006C6E4A" w:rsidP="00E245AB">
      <w:pPr>
        <w:spacing w:after="0"/>
        <w:rPr>
          <w:rFonts w:ascii="Verdana" w:hAnsi="Verdana"/>
        </w:rPr>
      </w:pPr>
    </w:p>
    <w:p w14:paraId="0267A4E2" w14:textId="77777777" w:rsidR="006C6E4A" w:rsidRPr="00630561" w:rsidRDefault="006C6E4A" w:rsidP="00E245AB">
      <w:pPr>
        <w:spacing w:after="0"/>
        <w:rPr>
          <w:rFonts w:ascii="Verdana" w:hAnsi="Verdana"/>
        </w:rPr>
      </w:pPr>
    </w:p>
    <w:p w14:paraId="258C2D06" w14:textId="77777777" w:rsidR="006C6E4A" w:rsidRPr="00630561" w:rsidRDefault="006C6E4A" w:rsidP="00E245AB">
      <w:pPr>
        <w:spacing w:after="0"/>
        <w:rPr>
          <w:rFonts w:ascii="Verdana" w:hAnsi="Verdana"/>
        </w:rPr>
      </w:pPr>
    </w:p>
    <w:p w14:paraId="00F7D2FB" w14:textId="77777777" w:rsidR="006C6E4A" w:rsidRPr="00630561" w:rsidRDefault="006C6E4A" w:rsidP="00E245AB">
      <w:pPr>
        <w:spacing w:after="0"/>
        <w:rPr>
          <w:rFonts w:ascii="Verdana" w:hAnsi="Verdana"/>
        </w:rPr>
      </w:pPr>
    </w:p>
    <w:p w14:paraId="5A94DAF2" w14:textId="77777777" w:rsidR="006C6E4A" w:rsidRPr="00630561" w:rsidRDefault="006C6E4A" w:rsidP="00E245AB">
      <w:pPr>
        <w:spacing w:after="0"/>
        <w:rPr>
          <w:rFonts w:ascii="Verdana" w:hAnsi="Verdana"/>
        </w:rPr>
      </w:pPr>
    </w:p>
    <w:p w14:paraId="730EAF07" w14:textId="77777777" w:rsidR="006C6E4A" w:rsidRPr="00630561" w:rsidRDefault="006C6E4A" w:rsidP="00E245AB">
      <w:pPr>
        <w:spacing w:after="0"/>
        <w:rPr>
          <w:rFonts w:ascii="Verdana" w:hAnsi="Verdana"/>
        </w:rPr>
      </w:pPr>
    </w:p>
    <w:p w14:paraId="437E5771" w14:textId="77777777" w:rsidR="006C6E4A" w:rsidRPr="00630561" w:rsidRDefault="006C6E4A" w:rsidP="00E245AB">
      <w:pPr>
        <w:spacing w:after="0"/>
        <w:rPr>
          <w:rFonts w:ascii="Verdana" w:hAnsi="Verdana"/>
        </w:rPr>
      </w:pPr>
    </w:p>
    <w:p w14:paraId="0E54910C" w14:textId="77777777" w:rsidR="006C6E4A" w:rsidRPr="00630561" w:rsidRDefault="006C6E4A" w:rsidP="00E245AB">
      <w:pPr>
        <w:spacing w:after="0"/>
        <w:rPr>
          <w:rFonts w:ascii="Verdana" w:hAnsi="Verdana"/>
        </w:rPr>
      </w:pPr>
    </w:p>
    <w:p w14:paraId="747042E7" w14:textId="77777777" w:rsidR="006C6E4A" w:rsidRPr="00630561" w:rsidRDefault="006C6E4A" w:rsidP="00E245AB">
      <w:pPr>
        <w:spacing w:after="0"/>
        <w:rPr>
          <w:rFonts w:ascii="Verdana" w:hAnsi="Verdana"/>
        </w:rPr>
      </w:pPr>
    </w:p>
    <w:p w14:paraId="170BD675" w14:textId="77777777" w:rsidR="006C6E4A" w:rsidRPr="00630561" w:rsidRDefault="006C6E4A" w:rsidP="00E245AB">
      <w:pPr>
        <w:spacing w:after="0"/>
        <w:rPr>
          <w:rFonts w:ascii="Verdana" w:hAnsi="Verdana"/>
        </w:rPr>
      </w:pPr>
    </w:p>
    <w:p w14:paraId="73F3646D" w14:textId="77777777" w:rsidR="006C6E4A" w:rsidRPr="00630561" w:rsidRDefault="006C6E4A" w:rsidP="00E245AB">
      <w:pPr>
        <w:spacing w:after="0"/>
        <w:rPr>
          <w:rFonts w:ascii="Verdana" w:hAnsi="Verdana"/>
        </w:rPr>
      </w:pPr>
    </w:p>
    <w:p w14:paraId="25B556C7" w14:textId="77777777" w:rsidR="006C6E4A" w:rsidRPr="00630561" w:rsidRDefault="006C6E4A" w:rsidP="00E245AB">
      <w:pPr>
        <w:spacing w:after="0"/>
        <w:rPr>
          <w:rFonts w:ascii="Verdana" w:hAnsi="Verdana"/>
        </w:rPr>
      </w:pPr>
    </w:p>
    <w:p w14:paraId="711938A3" w14:textId="77777777" w:rsidR="006C6E4A" w:rsidRPr="00630561" w:rsidRDefault="006C6E4A" w:rsidP="00E245AB">
      <w:pPr>
        <w:spacing w:after="0"/>
        <w:rPr>
          <w:rFonts w:ascii="Verdana" w:hAnsi="Verdana"/>
        </w:rPr>
      </w:pPr>
    </w:p>
    <w:p w14:paraId="3950484F" w14:textId="77777777" w:rsidR="006C6E4A" w:rsidRPr="00630561" w:rsidRDefault="006C6E4A" w:rsidP="00E245AB">
      <w:pPr>
        <w:spacing w:after="0"/>
        <w:rPr>
          <w:rFonts w:ascii="Verdana" w:hAnsi="Verdana"/>
        </w:rPr>
      </w:pPr>
    </w:p>
    <w:p w14:paraId="1C2A63A2" w14:textId="77777777" w:rsidR="006C6E4A" w:rsidRPr="00630561" w:rsidRDefault="006C6E4A" w:rsidP="00E245AB">
      <w:pPr>
        <w:spacing w:after="0"/>
        <w:rPr>
          <w:rFonts w:ascii="Verdana" w:hAnsi="Verdana"/>
        </w:rPr>
      </w:pPr>
    </w:p>
    <w:p w14:paraId="3B5625ED" w14:textId="77777777" w:rsidR="006C6E4A" w:rsidRPr="00630561" w:rsidRDefault="006C6E4A" w:rsidP="00E245AB">
      <w:pPr>
        <w:spacing w:after="0"/>
        <w:rPr>
          <w:rFonts w:ascii="Verdana" w:hAnsi="Verdana"/>
        </w:rPr>
      </w:pPr>
    </w:p>
    <w:p w14:paraId="76508A2A" w14:textId="77777777" w:rsidR="006C6E4A" w:rsidRPr="00630561" w:rsidRDefault="006C6E4A" w:rsidP="00E245AB">
      <w:pPr>
        <w:spacing w:after="0"/>
        <w:rPr>
          <w:rFonts w:ascii="Verdana" w:hAnsi="Verdana"/>
        </w:rPr>
      </w:pPr>
    </w:p>
    <w:p w14:paraId="1E41A68D" w14:textId="77777777" w:rsidR="006C6E4A" w:rsidRPr="00630561" w:rsidRDefault="006C6E4A" w:rsidP="00E245AB">
      <w:pPr>
        <w:spacing w:after="0"/>
        <w:rPr>
          <w:rFonts w:ascii="Verdana" w:hAnsi="Verdana"/>
        </w:rPr>
      </w:pPr>
    </w:p>
    <w:p w14:paraId="0E81A486" w14:textId="77777777" w:rsidR="006C6E4A" w:rsidRPr="00630561" w:rsidRDefault="006C6E4A" w:rsidP="00E245AB">
      <w:pPr>
        <w:spacing w:after="0"/>
        <w:rPr>
          <w:rFonts w:ascii="Verdana" w:hAnsi="Verdana"/>
        </w:rPr>
      </w:pPr>
    </w:p>
    <w:p w14:paraId="4883A7F9" w14:textId="77777777" w:rsidR="006C6E4A" w:rsidRPr="00630561" w:rsidRDefault="006C6E4A" w:rsidP="00E245AB">
      <w:pPr>
        <w:spacing w:after="0"/>
        <w:rPr>
          <w:rFonts w:ascii="Verdana" w:hAnsi="Verdana"/>
        </w:rPr>
      </w:pPr>
    </w:p>
    <w:p w14:paraId="27DAC5EE" w14:textId="77777777" w:rsidR="006C6E4A" w:rsidRPr="00630561" w:rsidRDefault="006C6E4A" w:rsidP="00E245AB">
      <w:pPr>
        <w:spacing w:after="0"/>
        <w:rPr>
          <w:rFonts w:ascii="Verdana" w:hAnsi="Verdana"/>
        </w:rPr>
      </w:pPr>
    </w:p>
    <w:p w14:paraId="7874BD6B" w14:textId="77777777" w:rsidR="006C6E4A" w:rsidRPr="00630561" w:rsidRDefault="006C6E4A" w:rsidP="00E245AB">
      <w:pPr>
        <w:spacing w:after="0"/>
        <w:rPr>
          <w:rFonts w:ascii="Verdana" w:hAnsi="Verdana"/>
        </w:rPr>
      </w:pPr>
    </w:p>
    <w:p w14:paraId="3670DEA3" w14:textId="77777777" w:rsidR="00D92E48" w:rsidRDefault="00D92E48" w:rsidP="00E245AB">
      <w:pPr>
        <w:spacing w:after="0"/>
        <w:rPr>
          <w:rFonts w:ascii="Verdana" w:hAnsi="Verdana"/>
        </w:rPr>
      </w:pPr>
    </w:p>
    <w:p w14:paraId="3FE2184B" w14:textId="4B3E773B" w:rsidR="00E245AB" w:rsidRPr="00630561" w:rsidRDefault="00E245AB" w:rsidP="00E245AB">
      <w:pPr>
        <w:spacing w:after="0"/>
        <w:rPr>
          <w:rFonts w:ascii="Verdana" w:hAnsi="Verdana"/>
        </w:rPr>
      </w:pPr>
      <w:r w:rsidRPr="00630561">
        <w:rPr>
          <w:rFonts w:ascii="Verdana" w:hAnsi="Verdana"/>
        </w:rPr>
        <w:t xml:space="preserve">Bogotá D.C., </w:t>
      </w:r>
      <w:r w:rsidR="00FA5C33" w:rsidRPr="00630561">
        <w:rPr>
          <w:rFonts w:ascii="Verdana" w:hAnsi="Verdana"/>
        </w:rPr>
        <w:t>13 de septiembre del 2024</w:t>
      </w:r>
    </w:p>
    <w:p w14:paraId="5FCADBF9" w14:textId="77777777" w:rsidR="00E245AB" w:rsidRPr="00630561" w:rsidRDefault="00E245AB" w:rsidP="00E245AB">
      <w:pPr>
        <w:spacing w:after="0"/>
        <w:rPr>
          <w:rFonts w:ascii="Verdana" w:hAnsi="Verdana"/>
        </w:rPr>
      </w:pPr>
    </w:p>
    <w:p w14:paraId="4D3928DA" w14:textId="435A2A61" w:rsidR="00671A74" w:rsidRPr="00630561" w:rsidRDefault="00671A74" w:rsidP="00671A74">
      <w:pPr>
        <w:spacing w:after="0"/>
        <w:jc w:val="right"/>
        <w:rPr>
          <w:rFonts w:ascii="Verdana" w:hAnsi="Verdana"/>
        </w:rPr>
      </w:pPr>
      <w:r w:rsidRPr="00630561">
        <w:rPr>
          <w:rFonts w:ascii="Verdana" w:hAnsi="Verdana"/>
        </w:rPr>
        <w:drawing>
          <wp:inline distT="0" distB="0" distL="0" distR="0" wp14:anchorId="7518B183" wp14:editId="7CA9C747">
            <wp:extent cx="3314700" cy="990600"/>
            <wp:effectExtent l="0" t="0" r="0" b="0"/>
            <wp:docPr id="7384925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49258" name="Imagen 1" descr="Texto&#10;&#10;Descripción generada automáticamente"/>
                    <pic:cNvPicPr/>
                  </pic:nvPicPr>
                  <pic:blipFill>
                    <a:blip r:embed="rId10"/>
                    <a:stretch>
                      <a:fillRect/>
                    </a:stretch>
                  </pic:blipFill>
                  <pic:spPr>
                    <a:xfrm>
                      <a:off x="0" y="0"/>
                      <a:ext cx="3314700" cy="990600"/>
                    </a:xfrm>
                    <a:prstGeom prst="rect">
                      <a:avLst/>
                    </a:prstGeom>
                  </pic:spPr>
                </pic:pic>
              </a:graphicData>
            </a:graphic>
          </wp:inline>
        </w:drawing>
      </w:r>
    </w:p>
    <w:bookmarkEnd w:id="0"/>
    <w:p w14:paraId="67AFE08E" w14:textId="6B100B49" w:rsidR="00C37B22" w:rsidRPr="00630561" w:rsidRDefault="00C37B22" w:rsidP="00C37B22">
      <w:pPr>
        <w:spacing w:after="0" w:line="240" w:lineRule="auto"/>
        <w:jc w:val="both"/>
        <w:rPr>
          <w:rFonts w:ascii="Verdana" w:eastAsia="Calibri" w:hAnsi="Verdana" w:cs="Arial"/>
          <w:lang w:val="es-ES" w:eastAsia="es-ES"/>
        </w:rPr>
      </w:pPr>
      <w:r w:rsidRPr="00630561">
        <w:rPr>
          <w:rFonts w:ascii="Verdana" w:eastAsia="Calibri" w:hAnsi="Verdana" w:cs="Arial"/>
          <w:lang w:val="es-ES" w:eastAsia="es-ES"/>
        </w:rPr>
        <w:t>Señor</w:t>
      </w:r>
      <w:r w:rsidR="004E6B29" w:rsidRPr="00630561">
        <w:rPr>
          <w:rFonts w:ascii="Verdana" w:eastAsia="Calibri" w:hAnsi="Verdana" w:cs="Arial"/>
          <w:lang w:val="es-ES" w:eastAsia="es-ES"/>
        </w:rPr>
        <w:t>a:</w:t>
      </w:r>
    </w:p>
    <w:p w14:paraId="61469B46" w14:textId="7F6E5622" w:rsidR="00C37B22" w:rsidRPr="00630561" w:rsidRDefault="004E6B29" w:rsidP="00C37B22">
      <w:pPr>
        <w:spacing w:after="0" w:line="240" w:lineRule="auto"/>
        <w:rPr>
          <w:rFonts w:ascii="Verdana" w:eastAsia="Calibri" w:hAnsi="Verdana" w:cs="Arial"/>
          <w:b/>
          <w:lang w:val="es-ES" w:eastAsia="es-ES"/>
        </w:rPr>
      </w:pPr>
      <w:r w:rsidRPr="00630561">
        <w:rPr>
          <w:rFonts w:ascii="Verdana" w:eastAsia="Calibri" w:hAnsi="Verdana" w:cs="Arial"/>
          <w:b/>
          <w:lang w:val="es-ES" w:eastAsia="es-ES"/>
        </w:rPr>
        <w:t>Carolina Maldonado</w:t>
      </w:r>
    </w:p>
    <w:p w14:paraId="460CB05D" w14:textId="06D1A350" w:rsidR="00C75631" w:rsidRPr="00630561" w:rsidRDefault="00C75631" w:rsidP="00C37B22">
      <w:pPr>
        <w:spacing w:after="0" w:line="240" w:lineRule="auto"/>
        <w:rPr>
          <w:rFonts w:ascii="Verdana" w:hAnsi="Verdana"/>
        </w:rPr>
      </w:pPr>
      <w:hyperlink r:id="rId11" w:history="1">
        <w:r w:rsidRPr="00630561">
          <w:rPr>
            <w:rStyle w:val="Hipervnculo"/>
            <w:rFonts w:ascii="Verdana" w:hAnsi="Verdana"/>
          </w:rPr>
          <w:t>ingcarolina79@yahoo.com</w:t>
        </w:r>
      </w:hyperlink>
    </w:p>
    <w:p w14:paraId="11F558BD" w14:textId="5568018F" w:rsidR="00C37B22" w:rsidRPr="00630561" w:rsidRDefault="00C37B22" w:rsidP="00C37B22">
      <w:pPr>
        <w:spacing w:after="0" w:line="240" w:lineRule="auto"/>
        <w:rPr>
          <w:rFonts w:ascii="Verdana" w:hAnsi="Verdana"/>
        </w:rPr>
      </w:pPr>
      <w:r w:rsidRPr="00630561">
        <w:rPr>
          <w:rFonts w:ascii="Verdana" w:eastAsia="Calibri" w:hAnsi="Verdana" w:cs="Arial"/>
          <w:lang w:val="es-ES" w:eastAsia="es-ES"/>
        </w:rPr>
        <w:t>Bogotá D.C.</w:t>
      </w:r>
    </w:p>
    <w:p w14:paraId="0C5A00D6" w14:textId="77777777" w:rsidR="00C37B22" w:rsidRPr="00630561" w:rsidRDefault="00C37B22" w:rsidP="00C37B22">
      <w:pPr>
        <w:spacing w:after="0" w:line="240" w:lineRule="auto"/>
        <w:rPr>
          <w:rFonts w:ascii="Verdana" w:eastAsia="Calibri" w:hAnsi="Verdana" w:cs="Arial"/>
          <w:b/>
          <w:bCs/>
          <w:lang w:val="es-ES_tradnl" w:eastAsia="es-ES_tradnl"/>
        </w:rPr>
      </w:pPr>
    </w:p>
    <w:p w14:paraId="73DED1BA" w14:textId="77777777" w:rsidR="00C37B22" w:rsidRPr="00630561" w:rsidRDefault="00C37B22" w:rsidP="00C37B22">
      <w:pPr>
        <w:spacing w:after="0" w:line="240" w:lineRule="auto"/>
        <w:rPr>
          <w:rFonts w:ascii="Verdana" w:eastAsia="Calibri" w:hAnsi="Verdana" w:cs="Arial"/>
          <w:b/>
          <w:bCs/>
          <w:lang w:val="es-ES_tradnl" w:eastAsia="es-ES_tradnl"/>
        </w:rPr>
      </w:pPr>
    </w:p>
    <w:p w14:paraId="4620D16B" w14:textId="77777777" w:rsidR="00C37B22" w:rsidRPr="00630561" w:rsidRDefault="00C37B22" w:rsidP="00C37B22">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37B22" w:rsidRPr="00630561" w14:paraId="1EBFC1EF" w14:textId="77777777" w:rsidTr="00B91F45">
        <w:trPr>
          <w:trHeight w:val="884"/>
        </w:trPr>
        <w:tc>
          <w:tcPr>
            <w:tcW w:w="2689" w:type="dxa"/>
          </w:tcPr>
          <w:p w14:paraId="740ED1A8" w14:textId="77777777" w:rsidR="00C37B22" w:rsidRPr="00630561" w:rsidRDefault="00C37B22" w:rsidP="00B91F45">
            <w:pPr>
              <w:jc w:val="both"/>
              <w:rPr>
                <w:rFonts w:ascii="Verdana" w:eastAsia="Calibri" w:hAnsi="Verdana" w:cs="Arial"/>
                <w:b/>
                <w:bCs/>
                <w:lang w:val="es-ES_tradnl" w:eastAsia="es-ES_tradnl"/>
              </w:rPr>
            </w:pPr>
          </w:p>
        </w:tc>
        <w:tc>
          <w:tcPr>
            <w:tcW w:w="6100" w:type="dxa"/>
          </w:tcPr>
          <w:p w14:paraId="778E076C" w14:textId="79089B9E" w:rsidR="00C37B22" w:rsidRPr="00630561" w:rsidRDefault="00C37B22" w:rsidP="00B91F45">
            <w:pPr>
              <w:jc w:val="both"/>
              <w:rPr>
                <w:rFonts w:ascii="Verdana" w:eastAsia="Calibri" w:hAnsi="Verdana" w:cs="Arial"/>
                <w:b/>
                <w:bCs/>
                <w:lang w:val="es-ES" w:eastAsia="es-ES"/>
              </w:rPr>
            </w:pPr>
            <w:r w:rsidRPr="00630561">
              <w:rPr>
                <w:rFonts w:ascii="Verdana" w:eastAsia="Calibri" w:hAnsi="Verdana" w:cs="Arial"/>
                <w:b/>
                <w:bCs/>
                <w:lang w:val="es-ES" w:eastAsia="es-ES"/>
              </w:rPr>
              <w:t xml:space="preserve">Concepto </w:t>
            </w:r>
            <w:r w:rsidRPr="00630561">
              <w:rPr>
                <w:rFonts w:ascii="Verdana" w:eastAsia="Calibri" w:hAnsi="Verdana" w:cs="Arial"/>
                <w:b/>
                <w:bCs/>
                <w:lang w:eastAsia="es-ES"/>
              </w:rPr>
              <w:t>C-</w:t>
            </w:r>
            <w:r w:rsidR="0021228D" w:rsidRPr="00630561">
              <w:rPr>
                <w:rFonts w:ascii="Verdana" w:eastAsia="Calibri" w:hAnsi="Verdana" w:cs="Arial"/>
                <w:b/>
                <w:bCs/>
                <w:lang w:eastAsia="es-ES"/>
              </w:rPr>
              <w:t>422</w:t>
            </w:r>
            <w:r w:rsidRPr="00630561">
              <w:rPr>
                <w:rFonts w:ascii="Verdana" w:eastAsia="Calibri" w:hAnsi="Verdana" w:cs="Arial"/>
                <w:b/>
                <w:bCs/>
                <w:lang w:eastAsia="es-ES"/>
              </w:rPr>
              <w:t xml:space="preserve"> </w:t>
            </w:r>
            <w:r w:rsidRPr="00630561">
              <w:rPr>
                <w:rFonts w:ascii="Verdana" w:eastAsia="Calibri" w:hAnsi="Verdana" w:cs="Arial"/>
                <w:b/>
                <w:bCs/>
                <w:lang w:val="es-ES" w:eastAsia="es-ES"/>
              </w:rPr>
              <w:t>de 2024</w:t>
            </w:r>
          </w:p>
        </w:tc>
      </w:tr>
      <w:tr w:rsidR="00C37B22" w:rsidRPr="00630561" w14:paraId="7EFF053C" w14:textId="77777777" w:rsidTr="00B91F45">
        <w:trPr>
          <w:trHeight w:val="884"/>
        </w:trPr>
        <w:tc>
          <w:tcPr>
            <w:tcW w:w="2689" w:type="dxa"/>
            <w:shd w:val="clear" w:color="auto" w:fill="auto"/>
          </w:tcPr>
          <w:p w14:paraId="3D7F9F81" w14:textId="77777777" w:rsidR="00C37B22" w:rsidRPr="00630561" w:rsidRDefault="00C37B22" w:rsidP="00B91F45">
            <w:pPr>
              <w:jc w:val="both"/>
              <w:rPr>
                <w:rFonts w:ascii="Verdana" w:eastAsia="Calibri" w:hAnsi="Verdana" w:cs="Arial"/>
                <w:b/>
                <w:lang w:val="es-ES_tradnl" w:eastAsia="es-ES_tradnl"/>
              </w:rPr>
            </w:pPr>
            <w:r w:rsidRPr="00630561">
              <w:rPr>
                <w:rFonts w:ascii="Verdana" w:eastAsia="Calibri" w:hAnsi="Verdana" w:cs="Arial"/>
                <w:b/>
                <w:lang w:val="es-ES_tradnl" w:eastAsia="es-ES_tradnl"/>
              </w:rPr>
              <w:t xml:space="preserve">Temas:                   </w:t>
            </w:r>
          </w:p>
        </w:tc>
        <w:tc>
          <w:tcPr>
            <w:tcW w:w="6100" w:type="dxa"/>
          </w:tcPr>
          <w:p w14:paraId="177A192C" w14:textId="1FC070D4" w:rsidR="003F7B41" w:rsidRPr="00630561" w:rsidRDefault="003F7B41" w:rsidP="00D40119">
            <w:pPr>
              <w:spacing w:line="276" w:lineRule="auto"/>
              <w:jc w:val="both"/>
              <w:rPr>
                <w:rFonts w:ascii="Verdana" w:eastAsia="Calibri" w:hAnsi="Verdana" w:cs="Arial"/>
                <w:lang w:val="es-ES" w:eastAsia="es-ES"/>
              </w:rPr>
            </w:pPr>
            <w:r w:rsidRPr="00630561">
              <w:rPr>
                <w:rFonts w:ascii="Verdana" w:eastAsia="Calibri" w:hAnsi="Verdana" w:cs="Arial"/>
                <w:lang w:val="es-ES" w:eastAsia="es-ES"/>
              </w:rPr>
              <w:t xml:space="preserve">CONSORCIOS Y UNIONES TEMPORALES – Capacidad jurídica – Concepto / SUBSANABILIDAD – Alcance – procedencia </w:t>
            </w:r>
            <w:r w:rsidR="00A26B8E" w:rsidRPr="00630561">
              <w:rPr>
                <w:rFonts w:ascii="Verdana" w:eastAsia="Calibri" w:hAnsi="Verdana" w:cs="Arial"/>
                <w:lang w:val="es-ES" w:eastAsia="es-ES"/>
              </w:rPr>
              <w:t xml:space="preserve">/ </w:t>
            </w:r>
            <w:r w:rsidR="00D40119" w:rsidRPr="00630561">
              <w:rPr>
                <w:rFonts w:ascii="Verdana" w:eastAsia="Calibri" w:hAnsi="Verdana" w:cs="Arial"/>
                <w:lang w:val="es-ES" w:eastAsia="es-ES"/>
              </w:rPr>
              <w:t>APOYO A LA INDUSTRIA NACIONAL</w:t>
            </w:r>
            <w:r w:rsidR="00B9044E" w:rsidRPr="00630561">
              <w:rPr>
                <w:rFonts w:ascii="Verdana" w:eastAsia="Calibri" w:hAnsi="Verdana" w:cs="Arial"/>
                <w:lang w:val="es-ES" w:eastAsia="es-ES"/>
              </w:rPr>
              <w:t xml:space="preserve"> – Documentos tipo – Documentos tipo para licitación de obra pública de infraestructura de transporte –</w:t>
            </w:r>
            <w:r w:rsidR="00D40119" w:rsidRPr="00630561">
              <w:rPr>
                <w:rFonts w:ascii="Verdana" w:eastAsia="Century Gothic" w:hAnsi="Verdana" w:cs="Century Gothic"/>
              </w:rPr>
              <w:t xml:space="preserve"> Resolución Nro. 465 del 10 de septiembre del 2024</w:t>
            </w:r>
          </w:p>
          <w:p w14:paraId="5BF91DF4" w14:textId="32CBE87C" w:rsidR="00D40119" w:rsidRPr="00630561" w:rsidRDefault="00D40119" w:rsidP="00D40119">
            <w:pPr>
              <w:spacing w:line="276" w:lineRule="auto"/>
              <w:jc w:val="both"/>
              <w:rPr>
                <w:rFonts w:ascii="Verdana" w:eastAsia="Calibri" w:hAnsi="Verdana" w:cs="Arial"/>
                <w:lang w:val="es-ES" w:eastAsia="es-ES"/>
              </w:rPr>
            </w:pPr>
          </w:p>
        </w:tc>
      </w:tr>
      <w:tr w:rsidR="00C37B22" w:rsidRPr="00630561" w14:paraId="7F6A34ED" w14:textId="77777777" w:rsidTr="00B91F45">
        <w:tc>
          <w:tcPr>
            <w:tcW w:w="2689" w:type="dxa"/>
          </w:tcPr>
          <w:p w14:paraId="1878C8B5" w14:textId="77777777" w:rsidR="00C37B22" w:rsidRPr="00630561" w:rsidRDefault="00C37B22" w:rsidP="00B91F45">
            <w:pPr>
              <w:jc w:val="both"/>
              <w:rPr>
                <w:rFonts w:ascii="Verdana" w:eastAsia="Calibri" w:hAnsi="Verdana" w:cs="Arial"/>
                <w:b/>
                <w:lang w:val="es-ES_tradnl" w:eastAsia="es-ES_tradnl"/>
              </w:rPr>
            </w:pPr>
            <w:r w:rsidRPr="00630561">
              <w:rPr>
                <w:rFonts w:ascii="Verdana" w:eastAsia="Calibri" w:hAnsi="Verdana" w:cs="Arial"/>
                <w:b/>
                <w:lang w:val="es-ES_tradnl" w:eastAsia="es-ES_tradnl"/>
              </w:rPr>
              <w:t>Radicación:</w:t>
            </w:r>
            <w:r w:rsidRPr="00630561">
              <w:rPr>
                <w:rFonts w:ascii="Verdana" w:eastAsia="Calibri" w:hAnsi="Verdana" w:cs="Arial"/>
                <w:lang w:val="es-ES_tradnl" w:eastAsia="es-ES_tradnl"/>
              </w:rPr>
              <w:t xml:space="preserve">               </w:t>
            </w:r>
          </w:p>
        </w:tc>
        <w:tc>
          <w:tcPr>
            <w:tcW w:w="6100" w:type="dxa"/>
          </w:tcPr>
          <w:p w14:paraId="6CB88F9C" w14:textId="596AC167" w:rsidR="00C37B22" w:rsidRPr="00630561" w:rsidRDefault="00C37B22" w:rsidP="00B91F45">
            <w:pPr>
              <w:jc w:val="both"/>
              <w:rPr>
                <w:rFonts w:ascii="Verdana" w:eastAsia="Calibri" w:hAnsi="Verdana" w:cs="Arial"/>
                <w:lang w:val="es-ES_tradnl" w:eastAsia="es-ES_tradnl"/>
              </w:rPr>
            </w:pPr>
            <w:r w:rsidRPr="00630561">
              <w:rPr>
                <w:rFonts w:ascii="Verdana" w:eastAsia="Calibri" w:hAnsi="Verdana" w:cs="Arial"/>
                <w:lang w:val="es-ES_tradnl" w:eastAsia="es-ES_tradnl"/>
              </w:rPr>
              <w:t xml:space="preserve">Respuesta a consulta con radicado No. </w:t>
            </w:r>
            <w:r w:rsidR="00417981" w:rsidRPr="00630561">
              <w:rPr>
                <w:rFonts w:ascii="Verdana" w:eastAsia="Calibri" w:hAnsi="Verdana" w:cs="Arial"/>
                <w:lang w:eastAsia="es-ES_tradnl"/>
              </w:rPr>
              <w:t>P20240731007860</w:t>
            </w:r>
            <w:r w:rsidRPr="00630561">
              <w:rPr>
                <w:rFonts w:ascii="Verdana" w:eastAsia="Calibri" w:hAnsi="Verdana" w:cs="Arial"/>
                <w:lang w:eastAsia="es-ES_tradnl"/>
              </w:rPr>
              <w:t>.</w:t>
            </w:r>
          </w:p>
        </w:tc>
      </w:tr>
    </w:tbl>
    <w:p w14:paraId="287D5F9C" w14:textId="77777777" w:rsidR="00C37B22" w:rsidRPr="00630561" w:rsidRDefault="00C37B22" w:rsidP="00C37B22">
      <w:pPr>
        <w:spacing w:after="0" w:line="240" w:lineRule="auto"/>
        <w:jc w:val="both"/>
        <w:rPr>
          <w:rFonts w:ascii="Verdana" w:eastAsia="Calibri" w:hAnsi="Verdana" w:cs="Arial"/>
          <w:lang w:val="es-ES_tradnl" w:eastAsia="es-ES_tradnl"/>
        </w:rPr>
      </w:pPr>
    </w:p>
    <w:p w14:paraId="6CC9B2B8" w14:textId="77777777" w:rsidR="00C37B22" w:rsidRPr="00630561" w:rsidRDefault="00C37B22" w:rsidP="00C37B22">
      <w:pPr>
        <w:spacing w:after="0" w:line="240" w:lineRule="auto"/>
        <w:jc w:val="both"/>
        <w:rPr>
          <w:rFonts w:ascii="Verdana" w:eastAsia="Calibri" w:hAnsi="Verdana" w:cs="Arial"/>
          <w:lang w:val="es-ES_tradnl" w:eastAsia="es-ES_tradnl"/>
        </w:rPr>
      </w:pPr>
    </w:p>
    <w:p w14:paraId="10DA2EE3" w14:textId="5FDF307C" w:rsidR="00C37B22" w:rsidRPr="00630561" w:rsidRDefault="00C37B22" w:rsidP="00C37B22">
      <w:pPr>
        <w:spacing w:after="0" w:line="276" w:lineRule="auto"/>
        <w:jc w:val="both"/>
        <w:rPr>
          <w:rFonts w:ascii="Verdana" w:eastAsia="Calibri" w:hAnsi="Verdana" w:cs="Arial"/>
          <w:lang w:val="es-ES" w:eastAsia="es-ES"/>
        </w:rPr>
      </w:pPr>
      <w:r w:rsidRPr="00630561">
        <w:rPr>
          <w:rFonts w:ascii="Verdana" w:eastAsia="Calibri" w:hAnsi="Verdana" w:cs="Arial"/>
          <w:lang w:val="es-ES" w:eastAsia="es-ES"/>
        </w:rPr>
        <w:t>Estimad</w:t>
      </w:r>
      <w:r w:rsidR="004E6B29" w:rsidRPr="00630561">
        <w:rPr>
          <w:rFonts w:ascii="Verdana" w:eastAsia="Calibri" w:hAnsi="Verdana" w:cs="Arial"/>
          <w:lang w:val="es-ES" w:eastAsia="es-ES"/>
        </w:rPr>
        <w:t>a</w:t>
      </w:r>
      <w:r w:rsidRPr="00630561">
        <w:rPr>
          <w:rFonts w:ascii="Verdana" w:eastAsia="Calibri" w:hAnsi="Verdana" w:cs="Arial"/>
          <w:lang w:val="es-ES" w:eastAsia="es-ES"/>
        </w:rPr>
        <w:t xml:space="preserve"> señor</w:t>
      </w:r>
      <w:r w:rsidR="004E6B29" w:rsidRPr="00630561">
        <w:rPr>
          <w:rFonts w:ascii="Verdana" w:eastAsia="Calibri" w:hAnsi="Verdana" w:cs="Arial"/>
          <w:lang w:val="es-ES" w:eastAsia="es-ES"/>
        </w:rPr>
        <w:t>a</w:t>
      </w:r>
      <w:r w:rsidRPr="00630561">
        <w:rPr>
          <w:rFonts w:ascii="Verdana" w:eastAsia="Calibri" w:hAnsi="Verdana" w:cs="Arial"/>
          <w:lang w:val="es-ES" w:eastAsia="es-ES"/>
        </w:rPr>
        <w:t xml:space="preserve"> </w:t>
      </w:r>
      <w:r w:rsidR="004E6B29" w:rsidRPr="00630561">
        <w:rPr>
          <w:rFonts w:ascii="Verdana" w:eastAsia="Calibri" w:hAnsi="Verdana" w:cs="Arial"/>
          <w:lang w:val="es-ES" w:eastAsia="es-ES"/>
        </w:rPr>
        <w:t>Maldonado</w:t>
      </w:r>
      <w:r w:rsidRPr="00630561">
        <w:rPr>
          <w:rFonts w:ascii="Verdana" w:eastAsia="Calibri" w:hAnsi="Verdana" w:cs="Arial"/>
          <w:lang w:val="es-ES" w:eastAsia="es-ES"/>
        </w:rPr>
        <w:t>;</w:t>
      </w:r>
    </w:p>
    <w:p w14:paraId="1D457FA0" w14:textId="77777777" w:rsidR="00C37B22" w:rsidRPr="00630561" w:rsidRDefault="00C37B22" w:rsidP="00C37B22">
      <w:pPr>
        <w:tabs>
          <w:tab w:val="left" w:pos="3768"/>
        </w:tabs>
        <w:spacing w:after="0" w:line="276" w:lineRule="auto"/>
        <w:jc w:val="both"/>
        <w:rPr>
          <w:rFonts w:ascii="Verdana" w:eastAsia="Calibri" w:hAnsi="Verdana" w:cs="Arial"/>
          <w:lang w:val="es-ES" w:eastAsia="es-ES"/>
        </w:rPr>
      </w:pPr>
      <w:r w:rsidRPr="00630561">
        <w:rPr>
          <w:rFonts w:ascii="Verdana" w:eastAsia="Calibri" w:hAnsi="Verdana" w:cs="Arial"/>
          <w:lang w:val="es-ES" w:eastAsia="es-ES"/>
        </w:rPr>
        <w:tab/>
      </w:r>
    </w:p>
    <w:p w14:paraId="0E3DE9B5" w14:textId="6C3514C6" w:rsidR="00C37B22" w:rsidRPr="00630561" w:rsidRDefault="00C37B22" w:rsidP="00C37B22">
      <w:pPr>
        <w:spacing w:after="0" w:line="276" w:lineRule="auto"/>
        <w:jc w:val="both"/>
        <w:rPr>
          <w:rFonts w:ascii="Verdana" w:eastAsia="Calibri" w:hAnsi="Verdana" w:cs="Arial"/>
          <w:lang w:val="es-ES" w:eastAsia="es-ES"/>
        </w:rPr>
      </w:pPr>
      <w:r w:rsidRPr="00630561">
        <w:rPr>
          <w:rFonts w:ascii="Verdana" w:eastAsia="Calibri" w:hAnsi="Verdana" w:cs="Arial"/>
          <w:lang w:val="es-ES" w:eastAsia="es-ES"/>
        </w:rPr>
        <w:t>En ejercicio de la competencia otorgada por los artículos 3, numeral 5º, y 11, numeral 8º, del Decreto Ley 4170 de 2011,</w:t>
      </w:r>
      <w:r w:rsidRPr="00630561">
        <w:rPr>
          <w:rFonts w:ascii="Verdana" w:eastAsia="Arial MT" w:hAnsi="Verdana" w:cs="Arial MT"/>
          <w:lang w:val="es-ES" w:eastAsia="es-ES"/>
        </w:rPr>
        <w:t xml:space="preserve"> </w:t>
      </w:r>
      <w:r w:rsidRPr="00630561">
        <w:rPr>
          <w:rFonts w:ascii="Verdana" w:hAnsi="Verdana" w:cs="Arial"/>
        </w:rPr>
        <w:t xml:space="preserve">así como lo establecido en el artículo 4 de la Resolución 1707 de 2018 expedida por esta Entidad, </w:t>
      </w:r>
      <w:r w:rsidRPr="00630561">
        <w:rPr>
          <w:rFonts w:ascii="Verdana" w:eastAsia="Calibri" w:hAnsi="Verdana" w:cs="Arial"/>
          <w:lang w:val="es-ES" w:eastAsia="es-ES"/>
        </w:rPr>
        <w:t xml:space="preserve">la Agencia Nacional de Contratación Pública – Colombia Compra Eficiente– responde su solicitud de consulta de fecha </w:t>
      </w:r>
      <w:r w:rsidR="00535609" w:rsidRPr="00630561">
        <w:rPr>
          <w:rFonts w:ascii="Verdana" w:eastAsia="Calibri" w:hAnsi="Verdana" w:cs="Arial"/>
          <w:lang w:val="es-ES" w:eastAsia="es-ES"/>
        </w:rPr>
        <w:t>31 de julio del 2024</w:t>
      </w:r>
      <w:r w:rsidRPr="00630561">
        <w:rPr>
          <w:rFonts w:ascii="Verdana" w:eastAsia="Calibri" w:hAnsi="Verdana" w:cs="Arial"/>
          <w:lang w:val="es-ES" w:eastAsia="es-ES"/>
        </w:rPr>
        <w:t xml:space="preserve">, en la cual manifiesta lo siguiente: </w:t>
      </w:r>
    </w:p>
    <w:p w14:paraId="0F293BF4" w14:textId="78239F94" w:rsidR="00127233" w:rsidRPr="00630561" w:rsidRDefault="00127233" w:rsidP="00665D70">
      <w:pPr>
        <w:spacing w:after="0"/>
        <w:jc w:val="both"/>
        <w:rPr>
          <w:rFonts w:ascii="Verdana" w:hAnsi="Verdana"/>
          <w:lang w:val="es-ES"/>
        </w:rPr>
      </w:pPr>
    </w:p>
    <w:p w14:paraId="571DD8AA" w14:textId="68DFF2D8" w:rsidR="000663F2" w:rsidRPr="00630561" w:rsidRDefault="000663F2" w:rsidP="000663F2">
      <w:pPr>
        <w:spacing w:after="0" w:line="240" w:lineRule="auto"/>
        <w:ind w:left="709" w:right="709"/>
        <w:jc w:val="both"/>
        <w:rPr>
          <w:rFonts w:ascii="Verdana" w:eastAsia="Century Gothic" w:hAnsi="Verdana" w:cs="Century Gothic"/>
          <w:sz w:val="20"/>
          <w:szCs w:val="20"/>
          <w:lang w:val="es-ES"/>
        </w:rPr>
      </w:pPr>
      <w:r w:rsidRPr="00630561">
        <w:rPr>
          <w:rFonts w:ascii="Verdana" w:eastAsia="Century Gothic" w:hAnsi="Verdana" w:cs="Century Gothic"/>
          <w:sz w:val="20"/>
          <w:szCs w:val="20"/>
          <w:lang w:val="es-ES"/>
        </w:rPr>
        <w:t xml:space="preserve">“[…] </w:t>
      </w:r>
      <w:r w:rsidR="00FB3AB1" w:rsidRPr="00630561">
        <w:rPr>
          <w:rFonts w:ascii="Verdana" w:eastAsia="Century Gothic" w:hAnsi="Verdana" w:cs="Century Gothic"/>
          <w:sz w:val="20"/>
          <w:szCs w:val="20"/>
          <w:lang w:val="es-ES"/>
        </w:rPr>
        <w:t>1. Solicito que me aclaren</w:t>
      </w:r>
      <w:r w:rsidR="005763D0" w:rsidRPr="00630561">
        <w:rPr>
          <w:rFonts w:ascii="Verdana" w:eastAsia="Century Gothic" w:hAnsi="Verdana" w:cs="Century Gothic"/>
          <w:sz w:val="20"/>
          <w:szCs w:val="20"/>
          <w:lang w:val="es-ES"/>
        </w:rPr>
        <w:t xml:space="preserve"> </w:t>
      </w:r>
      <w:r w:rsidR="00FB27F7" w:rsidRPr="00630561">
        <w:rPr>
          <w:rFonts w:ascii="Verdana" w:eastAsia="Century Gothic" w:hAnsi="Verdana" w:cs="Century Gothic"/>
          <w:sz w:val="20"/>
          <w:szCs w:val="20"/>
          <w:lang w:val="es-ES"/>
        </w:rPr>
        <w:t xml:space="preserve">si en un proceso de licitación pública, le pueden quitar el puntaje, a un proponente, que acredito los requisitos puntuables </w:t>
      </w:r>
      <w:r w:rsidR="00305A97" w:rsidRPr="00630561">
        <w:rPr>
          <w:rFonts w:ascii="Verdana" w:eastAsia="Century Gothic" w:hAnsi="Verdana" w:cs="Century Gothic"/>
          <w:sz w:val="20"/>
          <w:szCs w:val="20"/>
          <w:lang w:val="es-ES"/>
        </w:rPr>
        <w:t xml:space="preserve">exigidos en el proceso de licitación, pero por un error en </w:t>
      </w:r>
      <w:r w:rsidR="00305A97" w:rsidRPr="00630561">
        <w:rPr>
          <w:rFonts w:ascii="Verdana" w:eastAsia="Century Gothic" w:hAnsi="Verdana" w:cs="Century Gothic"/>
          <w:sz w:val="20"/>
          <w:szCs w:val="20"/>
          <w:lang w:val="es-ES"/>
        </w:rPr>
        <w:lastRenderedPageBreak/>
        <w:t>digitación</w:t>
      </w:r>
      <w:r w:rsidR="0015033C" w:rsidRPr="00630561">
        <w:rPr>
          <w:rFonts w:ascii="Verdana" w:eastAsia="Century Gothic" w:hAnsi="Verdana" w:cs="Century Gothic"/>
          <w:sz w:val="20"/>
          <w:szCs w:val="20"/>
          <w:lang w:val="es-ES"/>
        </w:rPr>
        <w:t>, se me f</w:t>
      </w:r>
      <w:r w:rsidR="00AF746C" w:rsidRPr="00630561">
        <w:rPr>
          <w:rFonts w:ascii="Verdana" w:eastAsia="Century Gothic" w:hAnsi="Verdana" w:cs="Century Gothic"/>
          <w:sz w:val="20"/>
          <w:szCs w:val="20"/>
          <w:lang w:val="es-ES"/>
        </w:rPr>
        <w:t xml:space="preserve">ue mal el nombre del consorcio en los formatos, eso </w:t>
      </w:r>
      <w:r w:rsidR="0090547B" w:rsidRPr="00630561">
        <w:rPr>
          <w:rFonts w:ascii="Verdana" w:eastAsia="Century Gothic" w:hAnsi="Verdana" w:cs="Century Gothic"/>
          <w:sz w:val="20"/>
          <w:szCs w:val="20"/>
          <w:lang w:val="es-ES"/>
        </w:rPr>
        <w:t>se considera como un error de forma y no de fondo, ya que el documento y la acreditación fue hecha de manera debida, pero en todos los documentos generados a nivel mundial, se pueden presentar errores de digitación, los cuales pueden subsanarse, no estamos haciendo un mejoramiento de la oferta  y nos están quitando los puntos por este error de digitación.</w:t>
      </w:r>
    </w:p>
    <w:p w14:paraId="6D211930" w14:textId="77777777" w:rsidR="0090547B" w:rsidRPr="00630561" w:rsidRDefault="0090547B" w:rsidP="000663F2">
      <w:pPr>
        <w:spacing w:after="0" w:line="240" w:lineRule="auto"/>
        <w:ind w:left="709" w:right="709"/>
        <w:jc w:val="both"/>
        <w:rPr>
          <w:rFonts w:ascii="Verdana" w:eastAsia="Century Gothic" w:hAnsi="Verdana" w:cs="Century Gothic"/>
          <w:sz w:val="20"/>
          <w:szCs w:val="20"/>
          <w:lang w:val="es-ES"/>
        </w:rPr>
      </w:pPr>
    </w:p>
    <w:p w14:paraId="3289BD7C" w14:textId="41AF5C80" w:rsidR="0090547B" w:rsidRPr="00630561" w:rsidRDefault="0090547B" w:rsidP="000663F2">
      <w:pPr>
        <w:spacing w:after="0" w:line="240" w:lineRule="auto"/>
        <w:ind w:left="709" w:right="709"/>
        <w:jc w:val="both"/>
        <w:rPr>
          <w:rFonts w:ascii="Verdana" w:eastAsia="Century Gothic" w:hAnsi="Verdana" w:cs="Century Gothic"/>
          <w:sz w:val="20"/>
          <w:szCs w:val="20"/>
          <w:lang w:val="es-ES"/>
        </w:rPr>
      </w:pPr>
      <w:r w:rsidRPr="00630561">
        <w:rPr>
          <w:rFonts w:ascii="Verdana" w:eastAsia="Century Gothic" w:hAnsi="Verdana" w:cs="Century Gothic"/>
          <w:sz w:val="20"/>
          <w:szCs w:val="20"/>
          <w:lang w:val="es-ES"/>
        </w:rPr>
        <w:t xml:space="preserve">2. De igual </w:t>
      </w:r>
      <w:r w:rsidR="00A0139D" w:rsidRPr="00630561">
        <w:rPr>
          <w:rFonts w:ascii="Verdana" w:eastAsia="Century Gothic" w:hAnsi="Verdana" w:cs="Century Gothic"/>
          <w:sz w:val="20"/>
          <w:szCs w:val="20"/>
          <w:lang w:val="es-ES"/>
        </w:rPr>
        <w:t>manera solicitamos</w:t>
      </w:r>
      <w:r w:rsidRPr="00630561">
        <w:rPr>
          <w:rFonts w:ascii="Verdana" w:eastAsia="Century Gothic" w:hAnsi="Verdana" w:cs="Century Gothic"/>
          <w:sz w:val="20"/>
          <w:szCs w:val="20"/>
          <w:lang w:val="es-ES"/>
        </w:rPr>
        <w:t xml:space="preserve"> que nos aclaren, en el Formato No </w:t>
      </w:r>
      <w:r w:rsidR="00A0139D" w:rsidRPr="00630561">
        <w:rPr>
          <w:rFonts w:ascii="Verdana" w:eastAsia="Century Gothic" w:hAnsi="Verdana" w:cs="Century Gothic"/>
          <w:sz w:val="20"/>
          <w:szCs w:val="20"/>
          <w:lang w:val="es-ES"/>
        </w:rPr>
        <w:t>9 de</w:t>
      </w:r>
      <w:r w:rsidRPr="00630561">
        <w:rPr>
          <w:rFonts w:ascii="Verdana" w:eastAsia="Century Gothic" w:hAnsi="Verdana" w:cs="Century Gothic"/>
          <w:sz w:val="20"/>
          <w:szCs w:val="20"/>
          <w:lang w:val="es-ES"/>
        </w:rPr>
        <w:t xml:space="preserve"> Industria Nacional de los pliegos tipo, cuando se acredita este formato hay varias circunstancias </w:t>
      </w:r>
      <w:proofErr w:type="gramStart"/>
      <w:r w:rsidRPr="00630561">
        <w:rPr>
          <w:rFonts w:ascii="Verdana" w:eastAsia="Century Gothic" w:hAnsi="Verdana" w:cs="Century Gothic"/>
          <w:sz w:val="20"/>
          <w:szCs w:val="20"/>
          <w:lang w:val="es-ES"/>
        </w:rPr>
        <w:t>de acuerdo a</w:t>
      </w:r>
      <w:proofErr w:type="gramEnd"/>
      <w:r w:rsidRPr="00630561">
        <w:rPr>
          <w:rFonts w:ascii="Verdana" w:eastAsia="Century Gothic" w:hAnsi="Verdana" w:cs="Century Gothic"/>
          <w:sz w:val="20"/>
          <w:szCs w:val="20"/>
          <w:lang w:val="es-ES"/>
        </w:rPr>
        <w:t xml:space="preserve"> lo establecido en el formato la entidad escoge la opción a la cual le va a asignar el </w:t>
      </w:r>
      <w:r w:rsidR="00A0139D" w:rsidRPr="00630561">
        <w:rPr>
          <w:rFonts w:ascii="Verdana" w:eastAsia="Century Gothic" w:hAnsi="Verdana" w:cs="Century Gothic"/>
          <w:sz w:val="20"/>
          <w:szCs w:val="20"/>
          <w:lang w:val="es-ES"/>
        </w:rPr>
        <w:t>puntaje,</w:t>
      </w:r>
      <w:r w:rsidRPr="00630561">
        <w:rPr>
          <w:rFonts w:ascii="Verdana" w:eastAsia="Century Gothic" w:hAnsi="Verdana" w:cs="Century Gothic"/>
          <w:sz w:val="20"/>
          <w:szCs w:val="20"/>
          <w:lang w:val="es-ES"/>
        </w:rPr>
        <w:t xml:space="preserve"> cual es la información que se debe consignar en el formato, si el factor de puntuación es destinar </w:t>
      </w:r>
      <w:r w:rsidR="001B6EAF" w:rsidRPr="00630561">
        <w:rPr>
          <w:rFonts w:ascii="Verdana" w:eastAsia="Century Gothic" w:hAnsi="Verdana" w:cs="Century Gothic"/>
          <w:sz w:val="20"/>
          <w:szCs w:val="20"/>
          <w:lang w:val="es-ES"/>
        </w:rPr>
        <w:t>un porcentaje</w:t>
      </w:r>
      <w:r w:rsidRPr="00630561">
        <w:rPr>
          <w:rFonts w:ascii="Verdana" w:eastAsia="Century Gothic" w:hAnsi="Verdana" w:cs="Century Gothic"/>
          <w:sz w:val="20"/>
          <w:szCs w:val="20"/>
          <w:lang w:val="es-ES"/>
        </w:rPr>
        <w:t xml:space="preserve"> de empleados o contratistas por prestación de servicios colombianos o nacionales. </w:t>
      </w:r>
      <w:r w:rsidR="00687BC9" w:rsidRPr="00630561">
        <w:rPr>
          <w:rFonts w:ascii="Verdana" w:eastAsia="Century Gothic" w:hAnsi="Verdana" w:cs="Century Gothic"/>
          <w:sz w:val="20"/>
          <w:szCs w:val="20"/>
          <w:lang w:val="es-ES"/>
        </w:rPr>
        <w:t>[…]”</w:t>
      </w:r>
    </w:p>
    <w:p w14:paraId="3AF4A9AB" w14:textId="5B7C4311" w:rsidR="000663F2" w:rsidRPr="00630561" w:rsidRDefault="000663F2" w:rsidP="00665D70">
      <w:pPr>
        <w:spacing w:after="0"/>
        <w:jc w:val="both"/>
        <w:rPr>
          <w:rFonts w:ascii="Verdana" w:hAnsi="Verdana"/>
          <w:lang w:val="es-ES"/>
        </w:rPr>
      </w:pPr>
    </w:p>
    <w:p w14:paraId="7F9C1FAC" w14:textId="77777777" w:rsidR="00517852" w:rsidRPr="00630561" w:rsidRDefault="00517852" w:rsidP="00517852">
      <w:pPr>
        <w:spacing w:after="120" w:line="276" w:lineRule="auto"/>
        <w:ind w:firstLine="709"/>
        <w:jc w:val="both"/>
        <w:rPr>
          <w:rFonts w:ascii="Verdana" w:eastAsia="Calibri" w:hAnsi="Verdana" w:cs="Arial"/>
          <w:color w:val="000000"/>
          <w:lang w:val="es-ES_tradnl" w:eastAsia="es-ES_tradnl"/>
        </w:rPr>
      </w:pPr>
      <w:r w:rsidRPr="00630561">
        <w:rPr>
          <w:rFonts w:ascii="Verdana" w:eastAsia="Calibri" w:hAnsi="Verdana" w:cs="Arial"/>
          <w:color w:val="000000"/>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2377F89B" w14:textId="58F370A4" w:rsidR="00517852" w:rsidRPr="00630561" w:rsidRDefault="00517852" w:rsidP="00517852">
      <w:pPr>
        <w:spacing w:after="0" w:line="276" w:lineRule="auto"/>
        <w:ind w:firstLine="709"/>
        <w:jc w:val="both"/>
        <w:rPr>
          <w:rFonts w:ascii="Verdana" w:eastAsia="Calibri" w:hAnsi="Verdana" w:cs="Arial"/>
          <w:color w:val="000000"/>
          <w:lang w:val="es-ES" w:eastAsia="es-ES"/>
        </w:rPr>
      </w:pPr>
      <w:r w:rsidRPr="00630561">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w:t>
      </w:r>
      <w:r w:rsidR="008B1B21" w:rsidRPr="00630561">
        <w:rPr>
          <w:rFonts w:ascii="Verdana" w:eastAsia="Calibri" w:hAnsi="Verdana" w:cs="Arial"/>
          <w:color w:val="000000"/>
          <w:lang w:val="es-ES" w:eastAsia="es-ES"/>
        </w:rPr>
        <w:t>el problema jurídico</w:t>
      </w:r>
      <w:r w:rsidRPr="00630561">
        <w:rPr>
          <w:rFonts w:ascii="Verdana" w:eastAsia="Calibri" w:hAnsi="Verdana" w:cs="Arial"/>
          <w:color w:val="000000"/>
          <w:lang w:val="es-ES" w:eastAsia="es-ES"/>
        </w:rPr>
        <w:t xml:space="preserve"> de su consulta.  </w:t>
      </w:r>
    </w:p>
    <w:p w14:paraId="4C89142C" w14:textId="77777777" w:rsidR="00517852" w:rsidRPr="00630561" w:rsidRDefault="00517852" w:rsidP="00517852">
      <w:pPr>
        <w:spacing w:after="0"/>
        <w:jc w:val="both"/>
        <w:rPr>
          <w:rFonts w:ascii="Verdana" w:hAnsi="Verdana"/>
          <w:lang w:val="es-ES"/>
        </w:rPr>
      </w:pPr>
    </w:p>
    <w:p w14:paraId="41D7A8DC" w14:textId="77777777" w:rsidR="00517852" w:rsidRPr="00630561" w:rsidRDefault="00517852" w:rsidP="00517852">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630561">
        <w:rPr>
          <w:rFonts w:ascii="Verdana" w:eastAsia="Century Gothic" w:hAnsi="Verdana" w:cs="Century Gothic"/>
          <w:b/>
          <w:bCs/>
        </w:rPr>
        <w:t>Problema planteado:</w:t>
      </w:r>
    </w:p>
    <w:p w14:paraId="0975E7B4" w14:textId="77777777" w:rsidR="00517852" w:rsidRPr="00630561" w:rsidRDefault="00517852" w:rsidP="00517852">
      <w:pPr>
        <w:tabs>
          <w:tab w:val="left" w:pos="426"/>
        </w:tabs>
        <w:spacing w:after="0" w:line="276" w:lineRule="auto"/>
        <w:jc w:val="both"/>
        <w:rPr>
          <w:rFonts w:ascii="Verdana" w:eastAsia="Century Gothic" w:hAnsi="Verdana" w:cs="Century Gothic"/>
          <w:lang w:val="es-ES"/>
        </w:rPr>
      </w:pPr>
    </w:p>
    <w:p w14:paraId="0B468776" w14:textId="1388934C" w:rsidR="00517852" w:rsidRPr="00630561" w:rsidRDefault="00517852" w:rsidP="00517852">
      <w:pPr>
        <w:spacing w:after="0" w:line="276" w:lineRule="auto"/>
        <w:jc w:val="both"/>
        <w:rPr>
          <w:rFonts w:ascii="Verdana" w:eastAsia="Calibri" w:hAnsi="Verdana" w:cs="Arial"/>
          <w:lang w:val="es-ES" w:eastAsia="es-ES"/>
        </w:rPr>
      </w:pPr>
      <w:r w:rsidRPr="00630561">
        <w:rPr>
          <w:rFonts w:ascii="Verdana" w:eastAsia="Century Gothic" w:hAnsi="Verdana" w:cs="Century Gothic"/>
        </w:rPr>
        <w:t xml:space="preserve">De acuerdo con el contenido de su solicitud, esta Agencia resolverá </w:t>
      </w:r>
      <w:r w:rsidR="008B1B21" w:rsidRPr="00630561">
        <w:rPr>
          <w:rFonts w:ascii="Verdana" w:eastAsia="Century Gothic" w:hAnsi="Verdana" w:cs="Century Gothic"/>
        </w:rPr>
        <w:t>el siguiente problema jurídico</w:t>
      </w:r>
      <w:r w:rsidRPr="00630561">
        <w:rPr>
          <w:rFonts w:ascii="Verdana" w:eastAsia="Century Gothic" w:hAnsi="Verdana" w:cs="Century Gothic"/>
        </w:rPr>
        <w:t xml:space="preserve">: </w:t>
      </w:r>
      <w:r w:rsidR="008027C2" w:rsidRPr="00630561">
        <w:rPr>
          <w:rFonts w:ascii="Verdana" w:eastAsia="Century Gothic" w:hAnsi="Verdana" w:cs="Century Gothic"/>
        </w:rPr>
        <w:t xml:space="preserve">¿Puede un consocio subsanar documentos que presenten errores de </w:t>
      </w:r>
      <w:r w:rsidR="00014563" w:rsidRPr="00630561">
        <w:rPr>
          <w:rFonts w:ascii="Verdana" w:eastAsia="Century Gothic" w:hAnsi="Verdana" w:cs="Century Gothic"/>
        </w:rPr>
        <w:t>forma?</w:t>
      </w:r>
    </w:p>
    <w:p w14:paraId="2BC76DA5" w14:textId="77777777" w:rsidR="00517852" w:rsidRPr="00630561" w:rsidRDefault="00517852" w:rsidP="00517852">
      <w:pPr>
        <w:spacing w:after="0"/>
        <w:jc w:val="both"/>
        <w:rPr>
          <w:rFonts w:ascii="Verdana" w:hAnsi="Verdana"/>
          <w:lang w:val="es-ES"/>
        </w:rPr>
      </w:pPr>
    </w:p>
    <w:p w14:paraId="1CC61A20" w14:textId="77777777" w:rsidR="00517852" w:rsidRPr="00630561" w:rsidRDefault="00517852" w:rsidP="00517852">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30561">
        <w:rPr>
          <w:rFonts w:ascii="Verdana" w:eastAsia="Century Gothic" w:hAnsi="Verdana" w:cs="Century Gothic"/>
          <w:b/>
          <w:bCs/>
        </w:rPr>
        <w:t>Respuesta:</w:t>
      </w:r>
    </w:p>
    <w:p w14:paraId="76E50687" w14:textId="77777777" w:rsidR="00517852" w:rsidRPr="00630561" w:rsidRDefault="00517852" w:rsidP="00517852">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517852" w:rsidRPr="00630561" w14:paraId="24B1DB1A" w14:textId="77777777" w:rsidTr="007C323A">
        <w:tc>
          <w:tcPr>
            <w:tcW w:w="8828" w:type="dxa"/>
            <w:shd w:val="clear" w:color="auto" w:fill="auto"/>
          </w:tcPr>
          <w:p w14:paraId="3DFE9532" w14:textId="77777777" w:rsidR="00EF1652" w:rsidRPr="00630561" w:rsidRDefault="00EF1652" w:rsidP="00EF1652">
            <w:pPr>
              <w:pBdr>
                <w:top w:val="nil"/>
                <w:left w:val="nil"/>
                <w:bottom w:val="nil"/>
                <w:right w:val="nil"/>
                <w:between w:val="nil"/>
              </w:pBdr>
              <w:spacing w:after="120" w:line="276" w:lineRule="auto"/>
              <w:jc w:val="both"/>
              <w:rPr>
                <w:rFonts w:ascii="Verdana" w:eastAsia="Arial" w:hAnsi="Verdana" w:cs="Arial"/>
                <w:color w:val="000000"/>
              </w:rPr>
            </w:pPr>
            <w:r w:rsidRPr="00630561">
              <w:rPr>
                <w:rFonts w:ascii="Verdana" w:eastAsia="Calibri" w:hAnsi="Verdana" w:cs="Arial"/>
                <w:lang w:val="es-ES"/>
              </w:rPr>
              <w:lastRenderedPageBreak/>
              <w:t>En respuesta a los problemas antes planteados esta Subdirección manifiesta lo siguiente:</w:t>
            </w:r>
          </w:p>
          <w:p w14:paraId="3FBF09C5" w14:textId="77777777" w:rsidR="0081713E" w:rsidRPr="00630561" w:rsidRDefault="006B4157" w:rsidP="006B4157">
            <w:pPr>
              <w:spacing w:after="120" w:line="276" w:lineRule="auto"/>
              <w:jc w:val="both"/>
              <w:rPr>
                <w:rFonts w:ascii="Verdana" w:eastAsia="Century Gothic" w:hAnsi="Verdana" w:cs="Century Gothic"/>
              </w:rPr>
            </w:pPr>
            <w:r w:rsidRPr="00630561">
              <w:rPr>
                <w:rFonts w:ascii="Verdana" w:eastAsia="Century Gothic" w:hAnsi="Verdana" w:cs="Century Gothic"/>
              </w:rPr>
              <w:t xml:space="preserve">i) </w:t>
            </w:r>
            <w:r w:rsidR="00250813" w:rsidRPr="00630561">
              <w:rPr>
                <w:rFonts w:ascii="Verdana" w:eastAsia="Century Gothic" w:hAnsi="Verdana" w:cs="Century Gothic"/>
              </w:rPr>
              <w:t>En relación con el</w:t>
            </w:r>
            <w:r w:rsidRPr="00630561">
              <w:rPr>
                <w:rFonts w:ascii="Verdana" w:eastAsia="Century Gothic" w:hAnsi="Verdana" w:cs="Century Gothic"/>
              </w:rPr>
              <w:t xml:space="preserve"> primer problema jurídico planteado</w:t>
            </w:r>
            <w:r w:rsidR="005819FE" w:rsidRPr="00630561">
              <w:rPr>
                <w:rFonts w:ascii="Verdana" w:eastAsia="Century Gothic" w:hAnsi="Verdana" w:cs="Century Gothic"/>
              </w:rPr>
              <w:t xml:space="preserve"> se</w:t>
            </w:r>
            <w:r w:rsidRPr="00630561">
              <w:rPr>
                <w:rFonts w:ascii="Verdana" w:eastAsia="Century Gothic" w:hAnsi="Verdana" w:cs="Century Gothic"/>
              </w:rPr>
              <w:t xml:space="preserve"> </w:t>
            </w:r>
            <w:r w:rsidR="00702B24" w:rsidRPr="00630561">
              <w:rPr>
                <w:rFonts w:ascii="Verdana" w:eastAsia="Century Gothic" w:hAnsi="Verdana" w:cs="Century Gothic"/>
              </w:rPr>
              <w:t xml:space="preserve">debe indicar que </w:t>
            </w:r>
            <w:r w:rsidRPr="00630561">
              <w:rPr>
                <w:rFonts w:ascii="Verdana" w:eastAsia="Century Gothic" w:hAnsi="Verdana" w:cs="Century Gothic"/>
              </w:rPr>
              <w:t xml:space="preserve">conforme a las reglas subsanabilidad y a la postura de esta Agencia, </w:t>
            </w:r>
            <w:r w:rsidRPr="00630561">
              <w:rPr>
                <w:rFonts w:ascii="Verdana" w:eastAsia="Century Gothic" w:hAnsi="Verdana" w:cs="Century Gothic"/>
                <w:i/>
                <w:iCs/>
              </w:rPr>
              <w:t>los requisitos o documentos que no sean necesarios para la comparación de las ofertas pueden subsanarse y todo lo que no sea necesario para la comparación de</w:t>
            </w:r>
            <w:r w:rsidR="00D61870" w:rsidRPr="00630561">
              <w:rPr>
                <w:rFonts w:ascii="Verdana" w:eastAsia="Century Gothic" w:hAnsi="Verdana" w:cs="Century Gothic"/>
                <w:i/>
                <w:iCs/>
              </w:rPr>
              <w:t xml:space="preserve"> las</w:t>
            </w:r>
            <w:r w:rsidRPr="00630561">
              <w:rPr>
                <w:rFonts w:ascii="Verdana" w:eastAsia="Century Gothic" w:hAnsi="Verdana" w:cs="Century Gothic"/>
                <w:i/>
                <w:iCs/>
              </w:rPr>
              <w:t xml:space="preserve"> propuestas no es título suficiente para su rechazo</w:t>
            </w:r>
            <w:r w:rsidRPr="00630561">
              <w:rPr>
                <w:rFonts w:ascii="Verdana" w:eastAsia="Century Gothic" w:hAnsi="Verdana" w:cs="Century Gothic"/>
              </w:rPr>
              <w:t>; de manera que, si un oferente anexó los formatos con error en el nombre del consorcio o unión temporal, podrá subsanar su entrega, siempre y cuando, el documento aportado con posterioridad de cuenta de que el consorcio o unión temporal existía antes del cierre del proceso.</w:t>
            </w:r>
          </w:p>
          <w:p w14:paraId="4CA65904" w14:textId="6F33702A" w:rsidR="00330029" w:rsidRPr="00630561" w:rsidRDefault="000D63E5" w:rsidP="007C323A">
            <w:pPr>
              <w:spacing w:after="120" w:line="276" w:lineRule="auto"/>
              <w:jc w:val="both"/>
              <w:rPr>
                <w:rFonts w:ascii="Verdana" w:eastAsia="Century Gothic" w:hAnsi="Verdana" w:cs="Century Gothic"/>
              </w:rPr>
            </w:pPr>
            <w:r w:rsidRPr="00630561">
              <w:rPr>
                <w:rFonts w:ascii="Verdana" w:eastAsia="Century Gothic" w:hAnsi="Verdana" w:cs="Century Gothic"/>
              </w:rPr>
              <w:t>Frente a</w:t>
            </w:r>
            <w:r w:rsidR="00014563" w:rsidRPr="00630561">
              <w:rPr>
                <w:rFonts w:ascii="Verdana" w:eastAsia="Century Gothic" w:hAnsi="Verdana" w:cs="Century Gothic"/>
              </w:rPr>
              <w:t>l formato Nro. 9.</w:t>
            </w:r>
            <w:r w:rsidR="005244D7" w:rsidRPr="00630561">
              <w:rPr>
                <w:rFonts w:ascii="Verdana" w:eastAsia="Century Gothic" w:hAnsi="Verdana" w:cs="Century Gothic"/>
              </w:rPr>
              <w:t xml:space="preserve"> Correspondiente al puntaje de industria Nacional, </w:t>
            </w:r>
            <w:r w:rsidRPr="00630561">
              <w:rPr>
                <w:rFonts w:ascii="Verdana" w:eastAsia="Century Gothic" w:hAnsi="Verdana" w:cs="Century Gothic"/>
              </w:rPr>
              <w:t>es preciso advertir que mediante</w:t>
            </w:r>
            <w:r w:rsidR="001B71E0" w:rsidRPr="00630561">
              <w:rPr>
                <w:rFonts w:ascii="Verdana" w:eastAsia="Century Gothic" w:hAnsi="Verdana" w:cs="Century Gothic"/>
              </w:rPr>
              <w:t xml:space="preserve"> la</w:t>
            </w:r>
            <w:r w:rsidRPr="00630561">
              <w:rPr>
                <w:rFonts w:ascii="Verdana" w:eastAsia="Century Gothic" w:hAnsi="Verdana" w:cs="Century Gothic"/>
              </w:rPr>
              <w:t xml:space="preserve"> Resolución Nro. 465 del 10 de septiembre del 2024, la Agencia Nacional de Contratación Pública</w:t>
            </w:r>
            <w:r w:rsidR="001B71E0" w:rsidRPr="00630561">
              <w:rPr>
                <w:rFonts w:ascii="Verdana" w:eastAsia="Century Gothic" w:hAnsi="Verdana" w:cs="Century Gothic"/>
              </w:rPr>
              <w:t>, de conformidad con las competencias y funciones dispuestas en el Decreto Ley 4170 de 2011 y la ley 2022 de 2020</w:t>
            </w:r>
            <w:r w:rsidR="00627D45" w:rsidRPr="00630561">
              <w:rPr>
                <w:rFonts w:ascii="Verdana" w:eastAsia="Century Gothic" w:hAnsi="Verdana" w:cs="Century Gothic"/>
              </w:rPr>
              <w:t xml:space="preserve">, adopto la versión </w:t>
            </w:r>
            <w:r w:rsidR="00494997" w:rsidRPr="00630561">
              <w:rPr>
                <w:rFonts w:ascii="Verdana" w:eastAsia="Century Gothic" w:hAnsi="Verdana" w:cs="Century Gothic"/>
              </w:rPr>
              <w:t>-4- de los documentos tipo para los procesos de obra pública de infraestructura de transporte que se adelanten bajo la modalidad de licitación pública</w:t>
            </w:r>
            <w:r w:rsidR="00D104AA" w:rsidRPr="00630561">
              <w:rPr>
                <w:rFonts w:ascii="Verdana" w:eastAsia="Century Gothic" w:hAnsi="Verdana" w:cs="Century Gothic"/>
              </w:rPr>
              <w:t xml:space="preserve">, </w:t>
            </w:r>
            <w:r w:rsidR="00040291" w:rsidRPr="00630561">
              <w:rPr>
                <w:rFonts w:ascii="Verdana" w:eastAsia="Century Gothic" w:hAnsi="Verdana" w:cs="Century Gothic"/>
              </w:rPr>
              <w:t>en el cual se encuentra la última versión del formato Nro. 9</w:t>
            </w:r>
            <w:r w:rsidR="001B38EC" w:rsidRPr="00630561">
              <w:rPr>
                <w:rFonts w:ascii="Verdana" w:eastAsia="Century Gothic" w:hAnsi="Verdana" w:cs="Century Gothic"/>
              </w:rPr>
              <w:t xml:space="preserve">, así las cosas, lo invitamos a consultar la nueva versión. </w:t>
            </w:r>
            <w:r w:rsidR="00040291" w:rsidRPr="00630561">
              <w:rPr>
                <w:rFonts w:ascii="Verdana" w:eastAsia="Century Gothic" w:hAnsi="Verdana" w:cs="Century Gothic"/>
              </w:rPr>
              <w:t>Sin perjuicio de lo anterior, resulta necesario aclara</w:t>
            </w:r>
            <w:r w:rsidR="008F242B" w:rsidRPr="00630561">
              <w:rPr>
                <w:rFonts w:ascii="Verdana" w:eastAsia="Century Gothic" w:hAnsi="Verdana" w:cs="Century Gothic"/>
              </w:rPr>
              <w:t xml:space="preserve">r que esta modificación </w:t>
            </w:r>
            <w:r w:rsidR="00B33424" w:rsidRPr="00630561">
              <w:rPr>
                <w:rFonts w:ascii="Verdana" w:eastAsia="Century Gothic" w:hAnsi="Verdana" w:cs="Century Gothic"/>
              </w:rPr>
              <w:t>aplica a los procesos de selección de licitación de obra pública de infraestructura de transporte, cuyo aviso de convocatoria se publique a partir del 03 de febrero del 2025.</w:t>
            </w:r>
          </w:p>
        </w:tc>
      </w:tr>
    </w:tbl>
    <w:p w14:paraId="557A1A37" w14:textId="77777777" w:rsidR="00CE2BBD" w:rsidRPr="00630561" w:rsidRDefault="00CE2BBD" w:rsidP="00517852">
      <w:pPr>
        <w:tabs>
          <w:tab w:val="left" w:pos="142"/>
          <w:tab w:val="left" w:pos="284"/>
        </w:tabs>
        <w:spacing w:after="0" w:line="276" w:lineRule="auto"/>
        <w:jc w:val="both"/>
        <w:rPr>
          <w:rFonts w:ascii="Verdana" w:eastAsia="Century Gothic" w:hAnsi="Verdana" w:cs="Century Gothic"/>
          <w:b/>
          <w:bCs/>
          <w:lang w:val="es-ES"/>
        </w:rPr>
      </w:pPr>
    </w:p>
    <w:p w14:paraId="6C490151" w14:textId="77777777" w:rsidR="00517852" w:rsidRPr="00630561" w:rsidRDefault="00517852" w:rsidP="00517852">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30561">
        <w:rPr>
          <w:rFonts w:ascii="Verdana" w:eastAsia="Century Gothic" w:hAnsi="Verdana" w:cs="Century Gothic"/>
          <w:b/>
          <w:bCs/>
        </w:rPr>
        <w:t>Razones de la respuesta:</w:t>
      </w:r>
    </w:p>
    <w:p w14:paraId="47C45FF6" w14:textId="77777777" w:rsidR="00517852" w:rsidRPr="00630561" w:rsidRDefault="00517852" w:rsidP="00517852">
      <w:pPr>
        <w:spacing w:after="0" w:line="276" w:lineRule="auto"/>
        <w:jc w:val="both"/>
        <w:rPr>
          <w:rFonts w:ascii="Verdana" w:eastAsia="Calibri" w:hAnsi="Verdana" w:cs="Arial"/>
          <w:color w:val="7030A0"/>
          <w:lang w:val="es-ES"/>
        </w:rPr>
      </w:pPr>
    </w:p>
    <w:p w14:paraId="53A22A9F" w14:textId="77777777" w:rsidR="00517852" w:rsidRPr="00630561" w:rsidRDefault="00517852" w:rsidP="00517852">
      <w:pPr>
        <w:spacing w:after="0"/>
        <w:jc w:val="both"/>
        <w:rPr>
          <w:rFonts w:ascii="Verdana" w:eastAsia="Calibri" w:hAnsi="Verdana" w:cs="Arial"/>
          <w:lang w:val="es-ES"/>
        </w:rPr>
      </w:pPr>
      <w:r w:rsidRPr="00630561">
        <w:rPr>
          <w:rFonts w:ascii="Verdana" w:eastAsia="Calibri" w:hAnsi="Verdana" w:cs="Arial"/>
          <w:lang w:val="es-ES"/>
        </w:rPr>
        <w:t>Lo anterior se sustenta en las siguientes consideraciones:</w:t>
      </w:r>
    </w:p>
    <w:p w14:paraId="40C64BAB" w14:textId="77777777" w:rsidR="00D40F5A" w:rsidRPr="00630561" w:rsidRDefault="00D40F5A" w:rsidP="00517852">
      <w:pPr>
        <w:spacing w:after="0"/>
        <w:jc w:val="both"/>
        <w:rPr>
          <w:rFonts w:ascii="Verdana" w:eastAsia="Calibri" w:hAnsi="Verdana" w:cs="Arial"/>
          <w:lang w:val="es-ES"/>
        </w:rPr>
      </w:pPr>
    </w:p>
    <w:p w14:paraId="6248DD06" w14:textId="549F3806" w:rsidR="00D40F5A" w:rsidRPr="00630561" w:rsidRDefault="0047344A" w:rsidP="00D40F5A">
      <w:pPr>
        <w:pStyle w:val="Prrafodelista"/>
        <w:numPr>
          <w:ilvl w:val="0"/>
          <w:numId w:val="18"/>
        </w:numPr>
        <w:spacing w:after="0"/>
        <w:jc w:val="both"/>
        <w:rPr>
          <w:rFonts w:ascii="Verdana" w:eastAsia="Calibri" w:hAnsi="Verdana" w:cs="Arial"/>
        </w:rPr>
      </w:pPr>
      <w:r w:rsidRPr="00630561">
        <w:rPr>
          <w:rFonts w:ascii="Verdana" w:eastAsia="Calibri" w:hAnsi="Verdana" w:cs="Arial"/>
        </w:rPr>
        <w:t xml:space="preserve">Uno de los presupuestos para celebrar un contrato estatal, al igual que para celebrar cualquier otro negocio jurídico de forma válida, es el de gozar de capacidad jurídica, entendida como la aptitud de un sujeto para ser titular de derecho y obligaciones, de ejercer o exigir los primeros y contraer las segundas en forma personal y de comparecer en </w:t>
      </w:r>
      <w:r w:rsidR="0050365E" w:rsidRPr="00630561">
        <w:rPr>
          <w:rFonts w:ascii="Verdana" w:eastAsia="Calibri" w:hAnsi="Verdana" w:cs="Arial"/>
        </w:rPr>
        <w:t>juicio.</w:t>
      </w:r>
    </w:p>
    <w:p w14:paraId="41E8BE61" w14:textId="77777777" w:rsidR="00B77D0D" w:rsidRPr="00630561" w:rsidRDefault="00B77D0D" w:rsidP="00B77D0D">
      <w:pPr>
        <w:pStyle w:val="Prrafodelista"/>
        <w:spacing w:after="0"/>
        <w:jc w:val="both"/>
        <w:rPr>
          <w:rFonts w:ascii="Verdana" w:eastAsia="Calibri" w:hAnsi="Verdana" w:cs="Arial"/>
        </w:rPr>
      </w:pPr>
    </w:p>
    <w:p w14:paraId="58FC4B5B" w14:textId="77777777" w:rsidR="00D6564E" w:rsidRPr="00630561" w:rsidRDefault="00285F96" w:rsidP="00D6564E">
      <w:pPr>
        <w:pStyle w:val="Prrafodelista"/>
        <w:numPr>
          <w:ilvl w:val="0"/>
          <w:numId w:val="18"/>
        </w:numPr>
        <w:spacing w:after="0"/>
        <w:jc w:val="both"/>
        <w:rPr>
          <w:rFonts w:ascii="Verdana" w:eastAsia="Calibri" w:hAnsi="Verdana" w:cs="Arial"/>
        </w:rPr>
      </w:pPr>
      <w:r w:rsidRPr="00630561">
        <w:rPr>
          <w:rFonts w:ascii="Verdana" w:eastAsia="Calibri" w:hAnsi="Verdana" w:cs="Arial"/>
        </w:rPr>
        <w:t xml:space="preserve">El Estatuto General de Contratación de la Administración Pública –artículo 6 Ley 80 de 1993–, </w:t>
      </w:r>
      <w:r w:rsidR="00EF192F" w:rsidRPr="00630561">
        <w:rPr>
          <w:rFonts w:ascii="Verdana" w:eastAsia="Calibri" w:hAnsi="Verdana" w:cs="Arial"/>
        </w:rPr>
        <w:t xml:space="preserve">dispone que pueden celebrar </w:t>
      </w:r>
      <w:r w:rsidR="00F94AA1" w:rsidRPr="00630561">
        <w:rPr>
          <w:rFonts w:ascii="Verdana" w:eastAsia="Calibri" w:hAnsi="Verdana" w:cs="Arial"/>
        </w:rPr>
        <w:t xml:space="preserve">contratos estatales los consorcios y uniones temporales. No obstante, estos sujetos no son personas jurídicas conforme lo establece el artículo 7 de la Ley 80 de </w:t>
      </w:r>
      <w:r w:rsidR="00F94AA1" w:rsidRPr="00630561">
        <w:rPr>
          <w:rFonts w:ascii="Verdana" w:eastAsia="Calibri" w:hAnsi="Verdana" w:cs="Arial"/>
        </w:rPr>
        <w:lastRenderedPageBreak/>
        <w:t>1993, el cual a su vez los define como un número plural de interesados unidos para la presentación de una oferta en un procedimiento de selección, para la adjudicación, celebración y ejecución de un contrato estatal.</w:t>
      </w:r>
    </w:p>
    <w:p w14:paraId="61E3CB7B" w14:textId="77777777" w:rsidR="00D6564E" w:rsidRPr="00630561" w:rsidRDefault="00D6564E" w:rsidP="00D6564E">
      <w:pPr>
        <w:pStyle w:val="Prrafodelista"/>
        <w:rPr>
          <w:rFonts w:ascii="Verdana" w:eastAsia="Calibri" w:hAnsi="Verdana" w:cs="Arial"/>
          <w:bCs/>
          <w:color w:val="000000"/>
          <w:lang w:val="es-ES_tradnl" w:eastAsia="es-ES_tradnl" w:bidi="es-ES"/>
        </w:rPr>
      </w:pPr>
    </w:p>
    <w:p w14:paraId="4D0F8046" w14:textId="77777777" w:rsidR="00D6564E" w:rsidRPr="00630561" w:rsidRDefault="00D6564E" w:rsidP="00D6564E">
      <w:pPr>
        <w:pStyle w:val="Prrafodelista"/>
        <w:numPr>
          <w:ilvl w:val="0"/>
          <w:numId w:val="18"/>
        </w:numPr>
        <w:spacing w:after="0"/>
        <w:jc w:val="both"/>
        <w:rPr>
          <w:rFonts w:ascii="Verdana" w:eastAsia="Calibri" w:hAnsi="Verdana" w:cs="Arial"/>
        </w:rPr>
      </w:pPr>
      <w:r w:rsidRPr="00630561">
        <w:rPr>
          <w:rFonts w:ascii="Verdana" w:eastAsia="Calibri" w:hAnsi="Verdana" w:cs="Arial"/>
          <w:bCs/>
          <w:color w:val="000000"/>
          <w:lang w:val="es-ES_tradnl" w:eastAsia="es-ES_tradnl" w:bidi="es-ES"/>
        </w:rPr>
        <w:t>Así pues, los consorcios</w:t>
      </w:r>
      <w:r w:rsidRPr="00630561">
        <w:rPr>
          <w:rFonts w:ascii="Verdana" w:hAnsi="Verdana"/>
          <w:vertAlign w:val="superscript"/>
          <w:lang w:eastAsia="es-ES_tradnl" w:bidi="es-ES"/>
        </w:rPr>
        <w:footnoteReference w:id="2"/>
      </w:r>
      <w:r w:rsidRPr="00630561">
        <w:rPr>
          <w:rFonts w:ascii="Verdana" w:eastAsia="Calibri" w:hAnsi="Verdana" w:cs="Arial"/>
          <w:bCs/>
          <w:color w:val="000000"/>
          <w:lang w:val="es-ES_tradnl" w:eastAsia="es-ES_tradnl" w:bidi="es-ES"/>
        </w:rPr>
        <w:t xml:space="preserve"> y uniones temporales son convenios de asociación provenientes de la colaboración empresarial, mediante los cuales sus integrantes se unen y organizan mancomunadamente para lograr con mayor eficacia un fin común de contenido patrimonial y lucrativo, como lo es la obtención del derecho a ser adjudicatarios de un contrato estatal. Estos sujetos comparten recursos de toda índole con el propósito de lograr la ejecución del contrato y, al mismo tiempo, compartir las utilidades y los riesgos. </w:t>
      </w:r>
    </w:p>
    <w:p w14:paraId="66B8C8CE" w14:textId="77777777" w:rsidR="00D6564E" w:rsidRPr="00630561" w:rsidRDefault="00D6564E" w:rsidP="00D6564E">
      <w:pPr>
        <w:pStyle w:val="Prrafodelista"/>
        <w:rPr>
          <w:rFonts w:ascii="Verdana" w:eastAsia="Calibri" w:hAnsi="Verdana" w:cs="Arial"/>
          <w:bCs/>
          <w:color w:val="000000"/>
          <w:lang w:val="es-ES_tradnl" w:eastAsia="es-ES_tradnl" w:bidi="es-ES"/>
        </w:rPr>
      </w:pPr>
    </w:p>
    <w:p w14:paraId="0C0EC2B6" w14:textId="61030CD0" w:rsidR="00D6564E" w:rsidRPr="00630561" w:rsidRDefault="00D6564E" w:rsidP="00D6564E">
      <w:pPr>
        <w:pStyle w:val="Prrafodelista"/>
        <w:numPr>
          <w:ilvl w:val="0"/>
          <w:numId w:val="18"/>
        </w:numPr>
        <w:spacing w:after="0"/>
        <w:jc w:val="both"/>
        <w:rPr>
          <w:rFonts w:ascii="Verdana" w:eastAsia="Calibri" w:hAnsi="Verdana" w:cs="Arial"/>
        </w:rPr>
      </w:pPr>
      <w:r w:rsidRPr="00630561">
        <w:rPr>
          <w:rFonts w:ascii="Verdana" w:eastAsia="Calibri" w:hAnsi="Verdana" w:cs="Arial"/>
          <w:bCs/>
          <w:color w:val="000000"/>
          <w:lang w:val="es-ES_tradnl" w:eastAsia="es-ES_tradnl" w:bidi="es-ES"/>
        </w:rPr>
        <w:t>La diferencia entre los consorcios y las uniones temporales radica en la responsabilidad frente a las eventuales sanciones que lleguen a generarse por el incumplimiento de las obligaciones del contrato, toda vez que, tratándose de una unión temporal, éstas se individualizan según el grado de participación de sus miembros, mientras que en el consorcio dicha individualización no opera, ya que sus miembros responderán solidariamente frente a las sanciones que correspondan. Sobre el particular la Corte Constitucional en sentencia C – 949 de 2001</w:t>
      </w:r>
      <w:r w:rsidRPr="00630561">
        <w:rPr>
          <w:rFonts w:ascii="Verdana" w:hAnsi="Verdana"/>
          <w:vertAlign w:val="superscript"/>
          <w:lang w:eastAsia="es-ES_tradnl" w:bidi="es-ES"/>
        </w:rPr>
        <w:footnoteReference w:id="3"/>
      </w:r>
    </w:p>
    <w:p w14:paraId="2265CD56" w14:textId="77777777" w:rsidR="004D5149" w:rsidRPr="00630561" w:rsidRDefault="004D5149" w:rsidP="004D5149">
      <w:pPr>
        <w:pStyle w:val="Prrafodelista"/>
        <w:rPr>
          <w:rFonts w:ascii="Verdana" w:eastAsia="Calibri" w:hAnsi="Verdana" w:cs="Arial"/>
        </w:rPr>
      </w:pPr>
    </w:p>
    <w:p w14:paraId="41135CBC" w14:textId="77777777" w:rsidR="00604D76" w:rsidRPr="00630561" w:rsidRDefault="004D5149" w:rsidP="00604D76">
      <w:pPr>
        <w:pStyle w:val="Prrafodelista"/>
        <w:numPr>
          <w:ilvl w:val="0"/>
          <w:numId w:val="18"/>
        </w:numPr>
        <w:tabs>
          <w:tab w:val="left" w:pos="0"/>
        </w:tabs>
        <w:spacing w:after="120" w:line="276" w:lineRule="auto"/>
        <w:jc w:val="both"/>
        <w:rPr>
          <w:rFonts w:ascii="Verdana" w:eastAsia="Calibri" w:hAnsi="Verdana" w:cs="Arial"/>
          <w:bCs/>
          <w:color w:val="000000"/>
          <w:lang w:val="es-ES_tradnl" w:eastAsia="es-ES_tradnl" w:bidi="es-ES"/>
        </w:rPr>
      </w:pPr>
      <w:r w:rsidRPr="00630561">
        <w:rPr>
          <w:rFonts w:ascii="Verdana" w:eastAsia="Calibri" w:hAnsi="Verdana" w:cs="Arial"/>
          <w:bCs/>
          <w:color w:val="000000"/>
          <w:lang w:val="es-ES_tradnl" w:eastAsia="es-ES_tradnl" w:bidi="es-ES"/>
        </w:rPr>
        <w:t xml:space="preserve">Al no ser los consorcios y uniones temporales personas jurídicas, su creación convencional se logra mediante un acuerdo privado en el que concurre la voluntad de sus integrantes para regular su objeto, la participación de los miembros, las obligaciones frente al proyecto que los une, la responsabilidad de los miembros y la forma en que regirán sus relaciones internas y el relacionamiento con la entidad contratante, mediante la designación de un representante. Así lo exige el parágrafo del artículo 7 de la Ley 80 de 1993 para que el órgano creado con la </w:t>
      </w:r>
      <w:r w:rsidRPr="00630561">
        <w:rPr>
          <w:rFonts w:ascii="Verdana" w:eastAsia="Calibri" w:hAnsi="Verdana" w:cs="Arial"/>
          <w:bCs/>
          <w:color w:val="000000"/>
          <w:lang w:val="es-ES_tradnl" w:eastAsia="es-ES_tradnl" w:bidi="es-ES"/>
        </w:rPr>
        <w:lastRenderedPageBreak/>
        <w:t xml:space="preserve">constitución del consorcio o unión temporal tenga vocación de resultar el adjudicatario del contrato estatal. </w:t>
      </w:r>
    </w:p>
    <w:p w14:paraId="1ED98277" w14:textId="77777777" w:rsidR="00604D76" w:rsidRPr="00630561" w:rsidRDefault="00604D76" w:rsidP="00604D76">
      <w:pPr>
        <w:pStyle w:val="Prrafodelista"/>
        <w:rPr>
          <w:rFonts w:ascii="Verdana" w:eastAsia="Calibri" w:hAnsi="Verdana" w:cs="Arial"/>
          <w:bCs/>
          <w:color w:val="000000"/>
          <w:lang w:val="es-ES_tradnl" w:eastAsia="es-ES_tradnl" w:bidi="es-ES"/>
        </w:rPr>
      </w:pPr>
    </w:p>
    <w:p w14:paraId="25FE95E9" w14:textId="77777777" w:rsidR="003A73DC" w:rsidRPr="00630561" w:rsidRDefault="004D5149" w:rsidP="003A73DC">
      <w:pPr>
        <w:pStyle w:val="Prrafodelista"/>
        <w:numPr>
          <w:ilvl w:val="0"/>
          <w:numId w:val="18"/>
        </w:numPr>
        <w:tabs>
          <w:tab w:val="left" w:pos="0"/>
        </w:tabs>
        <w:spacing w:after="120" w:line="276" w:lineRule="auto"/>
        <w:jc w:val="both"/>
        <w:rPr>
          <w:rFonts w:ascii="Verdana" w:eastAsia="Calibri" w:hAnsi="Verdana" w:cs="Arial"/>
          <w:bCs/>
          <w:color w:val="000000"/>
          <w:lang w:val="es-ES_tradnl" w:eastAsia="es-ES_tradnl" w:bidi="es-ES"/>
        </w:rPr>
      </w:pPr>
      <w:r w:rsidRPr="00630561">
        <w:rPr>
          <w:rFonts w:ascii="Verdana" w:eastAsia="Calibri" w:hAnsi="Verdana" w:cs="Arial"/>
          <w:bCs/>
          <w:color w:val="000000"/>
          <w:lang w:val="es-ES_tradnl" w:eastAsia="es-ES_tradnl" w:bidi="es-ES"/>
        </w:rPr>
        <w:t xml:space="preserve">Por lo anterior, cabe mencionar que el contrato de constitución del consorcio o unión temporal debe designar las facultades del </w:t>
      </w:r>
      <w:r w:rsidR="00604D76" w:rsidRPr="00630561">
        <w:rPr>
          <w:rFonts w:ascii="Verdana" w:eastAsia="Calibri" w:hAnsi="Verdana" w:cs="Arial"/>
          <w:bCs/>
          <w:color w:val="000000"/>
          <w:lang w:val="es-ES_tradnl" w:eastAsia="es-ES_tradnl" w:bidi="es-ES"/>
        </w:rPr>
        <w:t>“</w:t>
      </w:r>
      <w:r w:rsidRPr="00630561">
        <w:rPr>
          <w:rFonts w:ascii="Verdana" w:eastAsia="Calibri" w:hAnsi="Verdana" w:cs="Arial"/>
          <w:bCs/>
          <w:color w:val="000000"/>
          <w:lang w:val="es-ES_tradnl" w:eastAsia="es-ES_tradnl" w:bidi="es-ES"/>
        </w:rPr>
        <w:t>representante</w:t>
      </w:r>
      <w:r w:rsidR="00604D76" w:rsidRPr="00630561">
        <w:rPr>
          <w:rFonts w:ascii="Verdana" w:eastAsia="Calibri" w:hAnsi="Verdana" w:cs="Arial"/>
          <w:bCs/>
          <w:color w:val="000000"/>
          <w:lang w:val="es-ES_tradnl" w:eastAsia="es-ES_tradnl" w:bidi="es-ES"/>
        </w:rPr>
        <w:t>”</w:t>
      </w:r>
      <w:r w:rsidRPr="00630561">
        <w:rPr>
          <w:rFonts w:ascii="Verdana" w:eastAsia="Calibri" w:hAnsi="Verdana" w:cs="Arial"/>
          <w:bCs/>
          <w:color w:val="000000"/>
          <w:lang w:val="es-ES_tradnl" w:eastAsia="es-ES_tradnl" w:bidi="es-ES"/>
        </w:rPr>
        <w:t xml:space="preserve"> del ente asociado, designación que tendrá los efectos de la representación previstos en el artículo 1505 del Código Civil</w:t>
      </w:r>
      <w:r w:rsidRPr="00630561">
        <w:rPr>
          <w:rFonts w:ascii="Verdana" w:hAnsi="Verdana"/>
          <w:vertAlign w:val="superscript"/>
          <w:lang w:eastAsia="es-ES_tradnl" w:bidi="es-ES"/>
        </w:rPr>
        <w:footnoteReference w:id="4"/>
      </w:r>
      <w:r w:rsidRPr="00630561">
        <w:rPr>
          <w:rFonts w:ascii="Verdana" w:eastAsia="Calibri" w:hAnsi="Verdana" w:cs="Arial"/>
          <w:bCs/>
          <w:color w:val="000000"/>
          <w:lang w:val="es-ES_tradnl" w:eastAsia="es-ES_tradnl" w:bidi="es-ES"/>
        </w:rPr>
        <w:t xml:space="preserve">: </w:t>
      </w:r>
      <w:r w:rsidR="003A73DC" w:rsidRPr="00630561">
        <w:rPr>
          <w:rFonts w:ascii="Verdana" w:eastAsia="Calibri" w:hAnsi="Verdana" w:cs="Arial"/>
          <w:bCs/>
          <w:color w:val="000000"/>
          <w:lang w:val="es-ES_tradnl" w:eastAsia="es-ES_tradnl" w:bidi="es-ES"/>
        </w:rPr>
        <w:t>“</w:t>
      </w:r>
      <w:r w:rsidRPr="00630561">
        <w:rPr>
          <w:rFonts w:ascii="Verdana" w:eastAsia="Calibri" w:hAnsi="Verdana" w:cs="Arial"/>
          <w:bCs/>
          <w:color w:val="000000"/>
          <w:lang w:val="es-ES_tradnl" w:eastAsia="es-ES_tradnl" w:bidi="es-ES"/>
        </w:rPr>
        <w:t>Lo que una persona ejecuta a nombre de otra, estando facultada por ella o por la ley para representarla, produce respecto del representado iguales efectos que si hubiese contratado él mismo</w:t>
      </w:r>
      <w:r w:rsidR="003A73DC" w:rsidRPr="00630561">
        <w:rPr>
          <w:rFonts w:ascii="Verdana" w:eastAsia="Calibri" w:hAnsi="Verdana" w:cs="Arial"/>
          <w:bCs/>
          <w:color w:val="000000"/>
          <w:lang w:val="es-ES_tradnl" w:eastAsia="es-ES_tradnl" w:bidi="es-ES"/>
        </w:rPr>
        <w:t>”</w:t>
      </w:r>
      <w:r w:rsidRPr="00630561">
        <w:rPr>
          <w:rFonts w:ascii="Verdana" w:eastAsia="Calibri" w:hAnsi="Verdana" w:cs="Arial"/>
          <w:bCs/>
          <w:color w:val="000000"/>
          <w:lang w:val="es-ES_tradnl" w:eastAsia="es-ES_tradnl" w:bidi="es-ES"/>
        </w:rPr>
        <w:t>.</w:t>
      </w:r>
    </w:p>
    <w:p w14:paraId="32C9D288" w14:textId="77777777" w:rsidR="003A73DC" w:rsidRPr="00630561" w:rsidRDefault="003A73DC" w:rsidP="003A73DC">
      <w:pPr>
        <w:pStyle w:val="Prrafodelista"/>
        <w:rPr>
          <w:rFonts w:ascii="Verdana" w:eastAsia="Calibri" w:hAnsi="Verdana" w:cs="Arial"/>
          <w:color w:val="000000"/>
          <w:lang w:eastAsia="es-ES" w:bidi="es-ES"/>
        </w:rPr>
      </w:pPr>
    </w:p>
    <w:p w14:paraId="34672E19" w14:textId="77777777" w:rsidR="002038C0" w:rsidRPr="00630561" w:rsidRDefault="004D5149" w:rsidP="002038C0">
      <w:pPr>
        <w:pStyle w:val="Prrafodelista"/>
        <w:numPr>
          <w:ilvl w:val="0"/>
          <w:numId w:val="18"/>
        </w:numPr>
        <w:tabs>
          <w:tab w:val="left" w:pos="0"/>
        </w:tabs>
        <w:spacing w:after="120" w:line="276" w:lineRule="auto"/>
        <w:jc w:val="both"/>
        <w:rPr>
          <w:rFonts w:ascii="Verdana" w:eastAsia="Calibri" w:hAnsi="Verdana" w:cs="Arial"/>
          <w:bCs/>
          <w:color w:val="000000"/>
          <w:lang w:val="es-ES_tradnl" w:eastAsia="es-ES_tradnl" w:bidi="es-ES"/>
        </w:rPr>
      </w:pPr>
      <w:r w:rsidRPr="00630561">
        <w:rPr>
          <w:rFonts w:ascii="Verdana" w:eastAsia="Calibri" w:hAnsi="Verdana" w:cs="Arial"/>
          <w:color w:val="000000"/>
          <w:lang w:eastAsia="es-ES" w:bidi="es-ES"/>
        </w:rPr>
        <w:t xml:space="preserve">El acuerdo de voluntades que constituye el consorcio o unión temporal se reconoce doctrinalmente como contrato consorcial o de </w:t>
      </w:r>
      <w:r w:rsidR="003A73DC" w:rsidRPr="00630561">
        <w:rPr>
          <w:rFonts w:ascii="Verdana" w:eastAsia="Calibri" w:hAnsi="Verdana" w:cs="Arial"/>
          <w:color w:val="000000"/>
          <w:lang w:eastAsia="es-ES" w:bidi="es-ES"/>
        </w:rPr>
        <w:t>“</w:t>
      </w:r>
      <w:proofErr w:type="spellStart"/>
      <w:proofErr w:type="gramStart"/>
      <w:r w:rsidRPr="00630561">
        <w:rPr>
          <w:rFonts w:ascii="Verdana" w:eastAsia="Calibri" w:hAnsi="Verdana" w:cs="Arial"/>
          <w:i/>
          <w:iCs/>
          <w:color w:val="000000"/>
          <w:lang w:eastAsia="es-ES" w:bidi="es-ES"/>
        </w:rPr>
        <w:t>joint</w:t>
      </w:r>
      <w:proofErr w:type="spellEnd"/>
      <w:r w:rsidRPr="00630561">
        <w:rPr>
          <w:rFonts w:ascii="Verdana" w:eastAsia="Calibri" w:hAnsi="Verdana" w:cs="Arial"/>
          <w:i/>
          <w:iCs/>
          <w:color w:val="000000"/>
          <w:lang w:eastAsia="es-ES" w:bidi="es-ES"/>
        </w:rPr>
        <w:t xml:space="preserve"> venture</w:t>
      </w:r>
      <w:proofErr w:type="gramEnd"/>
      <w:r w:rsidR="003A73DC" w:rsidRPr="00630561">
        <w:rPr>
          <w:rFonts w:ascii="Verdana" w:eastAsia="Calibri" w:hAnsi="Verdana" w:cs="Arial"/>
          <w:color w:val="000000"/>
          <w:lang w:eastAsia="es-ES" w:bidi="es-ES"/>
        </w:rPr>
        <w:t>”</w:t>
      </w:r>
      <w:r w:rsidRPr="00630561">
        <w:rPr>
          <w:rFonts w:ascii="Verdana" w:eastAsia="Calibri" w:hAnsi="Verdana" w:cs="Arial"/>
          <w:color w:val="000000"/>
          <w:lang w:eastAsia="es-ES" w:bidi="es-ES"/>
        </w:rPr>
        <w:t>, que se reconoce como un contrato principal, oneroso, conmutativo, bilateral o plurilateral</w:t>
      </w:r>
      <w:r w:rsidRPr="00630561">
        <w:rPr>
          <w:rFonts w:ascii="Verdana" w:hAnsi="Verdana"/>
          <w:vertAlign w:val="superscript"/>
          <w:lang w:eastAsia="es-ES" w:bidi="es-ES"/>
        </w:rPr>
        <w:footnoteReference w:id="5"/>
      </w:r>
      <w:r w:rsidRPr="00630561">
        <w:rPr>
          <w:rFonts w:ascii="Verdana" w:eastAsia="Calibri" w:hAnsi="Verdana" w:cs="Arial"/>
          <w:color w:val="000000"/>
          <w:lang w:eastAsia="es-ES" w:bidi="es-ES"/>
        </w:rPr>
        <w:t xml:space="preserve">. El ente debidamente constituido, entonces, será un sujeto contractual con capacidad para contratar, para ejecutar las obligaciones y recibir los derechos que emanan del contrato y para interrelacionarse con la </w:t>
      </w:r>
      <w:r w:rsidR="00D96C28" w:rsidRPr="00630561">
        <w:rPr>
          <w:rFonts w:ascii="Verdana" w:eastAsia="Calibri" w:hAnsi="Verdana" w:cs="Arial"/>
          <w:color w:val="000000"/>
          <w:lang w:eastAsia="es-ES" w:bidi="es-ES"/>
        </w:rPr>
        <w:t>E</w:t>
      </w:r>
      <w:r w:rsidRPr="00630561">
        <w:rPr>
          <w:rFonts w:ascii="Verdana" w:eastAsia="Calibri" w:hAnsi="Verdana" w:cs="Arial"/>
          <w:color w:val="000000"/>
          <w:lang w:eastAsia="es-ES" w:bidi="es-ES"/>
        </w:rPr>
        <w:t xml:space="preserve">ntidad </w:t>
      </w:r>
      <w:r w:rsidR="00D96C28" w:rsidRPr="00630561">
        <w:rPr>
          <w:rFonts w:ascii="Verdana" w:eastAsia="Calibri" w:hAnsi="Verdana" w:cs="Arial"/>
          <w:color w:val="000000"/>
          <w:lang w:eastAsia="es-ES" w:bidi="es-ES"/>
        </w:rPr>
        <w:t>E</w:t>
      </w:r>
      <w:r w:rsidRPr="00630561">
        <w:rPr>
          <w:rFonts w:ascii="Verdana" w:eastAsia="Calibri" w:hAnsi="Verdana" w:cs="Arial"/>
          <w:color w:val="000000"/>
          <w:lang w:eastAsia="es-ES" w:bidi="es-ES"/>
        </w:rPr>
        <w:t>statal contratante en todo lo relacionado con el objeto del contrato y su desarrollo. Inclusive, los consorcios y uniones temporales, por conducto de su representante, tienen capacidad y están legitimados para comparecer al proceso, con el fin de hacer valer sus derechos o responder por el incumplimiento de sus obligaciones, en lo relacionado con el procedimiento de selección y el contrato estatal</w:t>
      </w:r>
      <w:r w:rsidRPr="00630561">
        <w:rPr>
          <w:rFonts w:ascii="Verdana" w:hAnsi="Verdana"/>
          <w:vertAlign w:val="superscript"/>
          <w:lang w:eastAsia="es-ES" w:bidi="es-ES"/>
        </w:rPr>
        <w:footnoteReference w:id="6"/>
      </w:r>
      <w:r w:rsidRPr="00630561">
        <w:rPr>
          <w:rFonts w:ascii="Verdana" w:eastAsia="Calibri" w:hAnsi="Verdana" w:cs="Arial"/>
          <w:color w:val="000000"/>
          <w:lang w:eastAsia="es-ES" w:bidi="es-ES"/>
        </w:rPr>
        <w:t>. Así lo ha reconocido la jurisprudencia del Consejo de Estado</w:t>
      </w:r>
      <w:r w:rsidRPr="00630561">
        <w:rPr>
          <w:rFonts w:ascii="Verdana" w:hAnsi="Verdana"/>
          <w:vertAlign w:val="superscript"/>
          <w:lang w:eastAsia="es-ES" w:bidi="es-ES"/>
        </w:rPr>
        <w:footnoteReference w:id="7"/>
      </w:r>
      <w:r w:rsidRPr="00630561">
        <w:rPr>
          <w:rFonts w:ascii="Verdana" w:eastAsia="Calibri" w:hAnsi="Verdana" w:cs="Arial"/>
          <w:color w:val="000000"/>
          <w:lang w:eastAsia="es-ES" w:bidi="es-ES"/>
        </w:rPr>
        <w:t>:</w:t>
      </w:r>
    </w:p>
    <w:p w14:paraId="75603957" w14:textId="77777777" w:rsidR="002038C0" w:rsidRPr="00630561" w:rsidRDefault="002038C0" w:rsidP="002038C0">
      <w:pPr>
        <w:pStyle w:val="Prrafodelista"/>
        <w:rPr>
          <w:rFonts w:ascii="Verdana" w:eastAsia="Calibri" w:hAnsi="Verdana" w:cs="Arial"/>
          <w:bCs/>
          <w:color w:val="000000"/>
          <w:lang w:val="es-ES_tradnl" w:eastAsia="es-ES_tradnl" w:bidi="es-ES"/>
        </w:rPr>
      </w:pPr>
    </w:p>
    <w:p w14:paraId="48BAFEEE" w14:textId="42AF5258" w:rsidR="004D5149" w:rsidRPr="00630561" w:rsidRDefault="002038C0" w:rsidP="005920EE">
      <w:pPr>
        <w:pStyle w:val="Prrafodelista"/>
        <w:numPr>
          <w:ilvl w:val="0"/>
          <w:numId w:val="18"/>
        </w:numPr>
        <w:tabs>
          <w:tab w:val="left" w:pos="0"/>
        </w:tabs>
        <w:spacing w:after="120" w:line="276" w:lineRule="auto"/>
        <w:jc w:val="both"/>
        <w:rPr>
          <w:rFonts w:ascii="Verdana" w:eastAsia="Calibri" w:hAnsi="Verdana" w:cs="Arial"/>
          <w:bCs/>
          <w:color w:val="000000"/>
          <w:lang w:val="es-ES_tradnl" w:eastAsia="es-ES_tradnl" w:bidi="es-ES"/>
        </w:rPr>
      </w:pPr>
      <w:r w:rsidRPr="00630561">
        <w:rPr>
          <w:rFonts w:ascii="Verdana" w:eastAsia="Calibri" w:hAnsi="Verdana" w:cs="Arial"/>
          <w:bCs/>
          <w:color w:val="000000"/>
          <w:lang w:val="es-ES_tradnl" w:eastAsia="es-ES_tradnl" w:bidi="es-ES"/>
        </w:rPr>
        <w:t xml:space="preserve">En conclusión, y para efectos de la consulta se precisa que los consorcios y uniones temporales no son personas jurídicas, pero son entes creados </w:t>
      </w:r>
      <w:r w:rsidRPr="00630561">
        <w:rPr>
          <w:rFonts w:ascii="Verdana" w:eastAsia="Calibri" w:hAnsi="Verdana" w:cs="Arial"/>
          <w:bCs/>
          <w:color w:val="000000"/>
          <w:lang w:val="es-ES_tradnl" w:eastAsia="es-ES_tradnl" w:bidi="es-ES"/>
        </w:rPr>
        <w:lastRenderedPageBreak/>
        <w:t xml:space="preserve">por el acuerdo de voluntades de sus miembros, los cuales están facultados, en virtud de la ley y del contrato consorcial, para celebrar y ejecutar contratos con </w:t>
      </w:r>
      <w:r w:rsidR="000B4E7C" w:rsidRPr="00630561">
        <w:rPr>
          <w:rFonts w:ascii="Verdana" w:eastAsia="Calibri" w:hAnsi="Verdana" w:cs="Arial"/>
          <w:bCs/>
          <w:color w:val="000000"/>
          <w:lang w:val="es-ES_tradnl" w:eastAsia="es-ES_tradnl" w:bidi="es-ES"/>
        </w:rPr>
        <w:t>E</w:t>
      </w:r>
      <w:r w:rsidRPr="00630561">
        <w:rPr>
          <w:rFonts w:ascii="Verdana" w:eastAsia="Calibri" w:hAnsi="Verdana" w:cs="Arial"/>
          <w:bCs/>
          <w:color w:val="000000"/>
          <w:lang w:val="es-ES_tradnl" w:eastAsia="es-ES_tradnl" w:bidi="es-ES"/>
        </w:rPr>
        <w:t xml:space="preserve">ntidades </w:t>
      </w:r>
      <w:r w:rsidR="000B4E7C" w:rsidRPr="00630561">
        <w:rPr>
          <w:rFonts w:ascii="Verdana" w:eastAsia="Calibri" w:hAnsi="Verdana" w:cs="Arial"/>
          <w:bCs/>
          <w:color w:val="000000"/>
          <w:lang w:val="es-ES_tradnl" w:eastAsia="es-ES_tradnl" w:bidi="es-ES"/>
        </w:rPr>
        <w:t>E</w:t>
      </w:r>
      <w:r w:rsidRPr="00630561">
        <w:rPr>
          <w:rFonts w:ascii="Verdana" w:eastAsia="Calibri" w:hAnsi="Verdana" w:cs="Arial"/>
          <w:bCs/>
          <w:color w:val="000000"/>
          <w:lang w:val="es-ES_tradnl" w:eastAsia="es-ES_tradnl" w:bidi="es-ES"/>
        </w:rPr>
        <w:t xml:space="preserve">statales. Así, el ente debidamente constituido, entonces, será un sujeto contractual con capacidad para contratar, para ejecutar las obligaciones y recibir los derechos que emanan del contrato y para interrelacionarse con la entidad estatal contratante en todo lo relacionado con el objeto del contrato y su desarrollo; y en tal virtud, en atención a su creación convencional, el acuerdo de voluntades que constituye el consorcio o unión temporal o contrato consorcial se convierte en el documento idóneo para verificar su capacidad jurídica, como quiera que regula su objeto, la participación de los miembros, las obligaciones frente al proyecto que los une, la responsabilidad de los miembros y la forma en que regirán sus relaciones internas y el relacionamiento con la entidad contratante, mediante la designación de un representante.  </w:t>
      </w:r>
    </w:p>
    <w:p w14:paraId="24DD1C52" w14:textId="77777777" w:rsidR="005920EE" w:rsidRPr="00630561" w:rsidRDefault="005920EE" w:rsidP="005920EE">
      <w:pPr>
        <w:pStyle w:val="Prrafodelista"/>
        <w:tabs>
          <w:tab w:val="left" w:pos="0"/>
        </w:tabs>
        <w:spacing w:after="120" w:line="276" w:lineRule="auto"/>
        <w:jc w:val="both"/>
        <w:rPr>
          <w:rFonts w:ascii="Verdana" w:eastAsia="Calibri" w:hAnsi="Verdana" w:cs="Arial"/>
          <w:bCs/>
          <w:color w:val="000000"/>
          <w:lang w:val="es-ES_tradnl" w:eastAsia="es-ES_tradnl" w:bidi="es-ES"/>
        </w:rPr>
      </w:pPr>
    </w:p>
    <w:p w14:paraId="1A7E9731" w14:textId="77777777" w:rsidR="0094281D" w:rsidRPr="00630561" w:rsidRDefault="007F43D6" w:rsidP="4EF47107">
      <w:pPr>
        <w:pStyle w:val="Prrafodelista"/>
        <w:numPr>
          <w:ilvl w:val="0"/>
          <w:numId w:val="18"/>
        </w:numPr>
        <w:spacing w:after="120" w:line="276" w:lineRule="auto"/>
        <w:jc w:val="both"/>
        <w:rPr>
          <w:rFonts w:ascii="Verdana" w:eastAsia="Calibri" w:hAnsi="Verdana" w:cs="Arial"/>
          <w:color w:val="000000"/>
          <w:lang w:eastAsia="es-ES" w:bidi="es-ES"/>
        </w:rPr>
      </w:pPr>
      <w:r w:rsidRPr="00630561">
        <w:rPr>
          <w:rFonts w:ascii="Verdana" w:eastAsia="Calibri" w:hAnsi="Verdana" w:cs="Arial"/>
          <w:color w:val="000000" w:themeColor="text1"/>
          <w:lang w:eastAsia="es-ES" w:bidi="es-ES"/>
        </w:rPr>
        <w:t xml:space="preserve">Ahora bien, frente a la regla general de </w:t>
      </w:r>
      <w:proofErr w:type="spellStart"/>
      <w:r w:rsidRPr="00630561">
        <w:rPr>
          <w:rFonts w:ascii="Verdana" w:eastAsia="Calibri" w:hAnsi="Verdana" w:cs="Arial"/>
          <w:color w:val="000000" w:themeColor="text1"/>
          <w:lang w:eastAsia="es-ES" w:bidi="es-ES"/>
        </w:rPr>
        <w:t>subsabilidad</w:t>
      </w:r>
      <w:proofErr w:type="spellEnd"/>
      <w:r w:rsidRPr="00630561">
        <w:rPr>
          <w:rFonts w:ascii="Verdana" w:eastAsia="Calibri" w:hAnsi="Verdana" w:cs="Arial"/>
          <w:color w:val="000000" w:themeColor="text1"/>
          <w:lang w:eastAsia="es-ES" w:bidi="es-ES"/>
        </w:rPr>
        <w:t xml:space="preserve">, se tiene que </w:t>
      </w:r>
      <w:r w:rsidR="00347252" w:rsidRPr="00630561">
        <w:rPr>
          <w:rFonts w:ascii="Verdana" w:eastAsia="Calibri" w:hAnsi="Verdana" w:cs="Arial"/>
          <w:color w:val="000000" w:themeColor="text1"/>
          <w:lang w:eastAsia="es-ES" w:bidi="es-ES"/>
        </w:rPr>
        <w:t xml:space="preserve">la falta de entrega y los defectos, en la acreditación de los requisitos habilitantes son aspectos subsanables. La excepción se encuentra en los casos, previstos en la ley, que limitan la </w:t>
      </w:r>
      <w:proofErr w:type="spellStart"/>
      <w:r w:rsidR="00347252" w:rsidRPr="00630561">
        <w:rPr>
          <w:rFonts w:ascii="Verdana" w:eastAsia="Calibri" w:hAnsi="Verdana" w:cs="Arial"/>
          <w:color w:val="000000" w:themeColor="text1"/>
          <w:lang w:eastAsia="es-ES" w:bidi="es-ES"/>
        </w:rPr>
        <w:t>subsanabilidad</w:t>
      </w:r>
      <w:proofErr w:type="spellEnd"/>
      <w:r w:rsidR="00347252" w:rsidRPr="00630561">
        <w:rPr>
          <w:rFonts w:ascii="Verdana" w:eastAsia="Calibri" w:hAnsi="Verdana" w:cs="Arial"/>
          <w:color w:val="000000" w:themeColor="text1"/>
          <w:lang w:eastAsia="es-ES" w:bidi="es-ES"/>
        </w:rPr>
        <w:t xml:space="preserve">, es decir, en la prohibición de permitir la entrega de la garantía de seriedad de la oferta que no fue aportada con la propuesta y de valer la acreditación de circunstancias ocurridas con posterioridad al cierre del proceso. En esta línea, </w:t>
      </w:r>
      <w:r w:rsidR="00A22A9B" w:rsidRPr="00630561">
        <w:rPr>
          <w:rFonts w:ascii="Verdana" w:eastAsia="Calibri" w:hAnsi="Verdana" w:cs="Arial"/>
          <w:color w:val="000000" w:themeColor="text1"/>
          <w:lang w:eastAsia="es-ES" w:bidi="es-ES"/>
        </w:rPr>
        <w:t xml:space="preserve">se </w:t>
      </w:r>
      <w:r w:rsidR="00020ED1" w:rsidRPr="00630561">
        <w:rPr>
          <w:rFonts w:ascii="Verdana" w:eastAsia="Calibri" w:hAnsi="Verdana" w:cs="Arial"/>
          <w:color w:val="000000" w:themeColor="text1"/>
          <w:lang w:eastAsia="es-ES" w:bidi="es-ES"/>
        </w:rPr>
        <w:t xml:space="preserve">brinda la </w:t>
      </w:r>
      <w:r w:rsidR="00347252" w:rsidRPr="00630561">
        <w:rPr>
          <w:rFonts w:ascii="Verdana" w:eastAsia="Calibri" w:hAnsi="Verdana" w:cs="Arial"/>
          <w:color w:val="000000" w:themeColor="text1"/>
          <w:lang w:eastAsia="es-ES" w:bidi="es-ES"/>
        </w:rPr>
        <w:t>posibilidad de enmendar, corregir o subsanar los errores en los que se incurre en los documentos contentivos de la oferta es un tema que ha tenido diferentes momentos o etapas en el ordenamiento jurídico colombiano.</w:t>
      </w:r>
    </w:p>
    <w:p w14:paraId="7A26F8E4" w14:textId="77777777" w:rsidR="000B538D" w:rsidRPr="00630561" w:rsidRDefault="000B538D" w:rsidP="000B538D">
      <w:pPr>
        <w:pStyle w:val="Prrafodelista"/>
        <w:rPr>
          <w:rFonts w:ascii="Verdana" w:eastAsia="Calibri" w:hAnsi="Verdana" w:cs="Arial"/>
          <w:bCs/>
          <w:color w:val="000000"/>
          <w:lang w:val="es-ES_tradnl" w:eastAsia="es-ES_tradnl" w:bidi="es-ES"/>
        </w:rPr>
      </w:pPr>
    </w:p>
    <w:p w14:paraId="02C65FEC" w14:textId="77777777" w:rsidR="00386BEB" w:rsidRPr="00630561" w:rsidRDefault="005A1F76" w:rsidP="4EF47107">
      <w:pPr>
        <w:pStyle w:val="Prrafodelista"/>
        <w:numPr>
          <w:ilvl w:val="0"/>
          <w:numId w:val="18"/>
        </w:numPr>
        <w:spacing w:after="120" w:line="276" w:lineRule="auto"/>
        <w:jc w:val="both"/>
        <w:rPr>
          <w:rFonts w:ascii="Verdana" w:eastAsia="Calibri" w:hAnsi="Verdana" w:cs="Arial"/>
          <w:color w:val="000000"/>
          <w:lang w:eastAsia="es-ES" w:bidi="es-ES"/>
        </w:rPr>
      </w:pPr>
      <w:r w:rsidRPr="00630561">
        <w:rPr>
          <w:rFonts w:ascii="Verdana" w:eastAsia="Calibri" w:hAnsi="Verdana" w:cs="Arial"/>
          <w:color w:val="000000" w:themeColor="text1"/>
          <w:lang w:eastAsia="es-ES" w:bidi="es-ES"/>
        </w:rPr>
        <w:t xml:space="preserve">En un </w:t>
      </w:r>
      <w:r w:rsidRPr="00630561">
        <w:rPr>
          <w:rFonts w:ascii="Verdana" w:eastAsia="Calibri" w:hAnsi="Verdana" w:cs="Arial"/>
          <w:i/>
          <w:iCs/>
          <w:color w:val="000000" w:themeColor="text1"/>
          <w:lang w:eastAsia="es-ES" w:bidi="es-ES"/>
        </w:rPr>
        <w:t>primer momento</w:t>
      </w:r>
      <w:r w:rsidRPr="00630561">
        <w:rPr>
          <w:rFonts w:ascii="Verdana" w:eastAsia="Calibri" w:hAnsi="Verdana" w:cs="Arial"/>
          <w:color w:val="000000" w:themeColor="text1"/>
          <w:lang w:eastAsia="es-ES" w:bidi="es-ES"/>
        </w:rPr>
        <w:t xml:space="preserve">, antes de la entrada en vigor de la Constitución Política de 1991, el régimen jurídico de la </w:t>
      </w:r>
      <w:proofErr w:type="spellStart"/>
      <w:r w:rsidRPr="00630561">
        <w:rPr>
          <w:rFonts w:ascii="Verdana" w:eastAsia="Calibri" w:hAnsi="Verdana" w:cs="Arial"/>
          <w:color w:val="000000" w:themeColor="text1"/>
          <w:lang w:eastAsia="es-ES" w:bidi="es-ES"/>
        </w:rPr>
        <w:t>subsanabilidad</w:t>
      </w:r>
      <w:proofErr w:type="spellEnd"/>
      <w:r w:rsidRPr="00630561">
        <w:rPr>
          <w:rFonts w:ascii="Verdana" w:eastAsia="Calibri" w:hAnsi="Verdana" w:cs="Arial"/>
          <w:color w:val="000000" w:themeColor="text1"/>
          <w:lang w:eastAsia="es-ES" w:bidi="es-ES"/>
        </w:rPr>
        <w:t xml:space="preserve">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w:t>
      </w:r>
    </w:p>
    <w:p w14:paraId="0F5A9364" w14:textId="77777777" w:rsidR="00386BEB" w:rsidRPr="00630561" w:rsidRDefault="00386BEB" w:rsidP="00386BEB">
      <w:pPr>
        <w:pStyle w:val="Prrafodelista"/>
        <w:rPr>
          <w:rFonts w:ascii="Verdana" w:eastAsia="Times New Roman" w:hAnsi="Verdana" w:cs="Arial"/>
          <w:lang w:val="es-ES_tradnl" w:eastAsia="es-ES_tradnl"/>
        </w:rPr>
      </w:pPr>
    </w:p>
    <w:p w14:paraId="1EAA7C2D" w14:textId="77777777" w:rsidR="003148AE" w:rsidRPr="00630561" w:rsidRDefault="00386BEB" w:rsidP="003148AE">
      <w:pPr>
        <w:pStyle w:val="Prrafodelista"/>
        <w:numPr>
          <w:ilvl w:val="0"/>
          <w:numId w:val="18"/>
        </w:numPr>
        <w:tabs>
          <w:tab w:val="left" w:pos="0"/>
        </w:tabs>
        <w:spacing w:after="120" w:line="276" w:lineRule="auto"/>
        <w:jc w:val="both"/>
        <w:rPr>
          <w:rFonts w:ascii="Verdana" w:eastAsia="Calibri" w:hAnsi="Verdana" w:cs="Arial"/>
          <w:bCs/>
          <w:color w:val="000000"/>
          <w:lang w:val="es-ES_tradnl" w:eastAsia="es-ES_tradnl" w:bidi="es-ES"/>
        </w:rPr>
      </w:pPr>
      <w:r w:rsidRPr="00630561">
        <w:rPr>
          <w:rFonts w:ascii="Verdana" w:eastAsia="Times New Roman" w:hAnsi="Verdana" w:cs="Arial"/>
          <w:lang w:val="es-ES_tradnl" w:eastAsia="es-ES_tradnl"/>
        </w:rPr>
        <w:lastRenderedPageBreak/>
        <w:t xml:space="preserve">En un </w:t>
      </w:r>
      <w:r w:rsidRPr="00630561">
        <w:rPr>
          <w:rFonts w:ascii="Verdana" w:eastAsia="Times New Roman" w:hAnsi="Verdana" w:cs="Arial"/>
          <w:i/>
          <w:lang w:val="es-ES_tradnl" w:eastAsia="es-ES_tradnl"/>
        </w:rPr>
        <w:t>segundo momento</w:t>
      </w:r>
      <w:r w:rsidRPr="00630561">
        <w:rPr>
          <w:rFonts w:ascii="Verdana" w:eastAsia="Times New Roman" w:hAnsi="Verdana" w:cs="Arial"/>
          <w:lang w:val="es-ES_tradnl" w:eastAsia="es-ES_tradnl"/>
        </w:rPr>
        <w:t xml:space="preserve"> se expidió la Ley 80 de 1993, bajo el nuevo paradigma que supuso la Constitución de 1991, particularmente en la forma como se relaciona lo formal y lo sustancial en las actuaciones judiciales y administrativas. Este cambio quedó consignado en el artículo 228, que introdujo un principio de supremacía o prevalencia del derecho sustancial sobre lo procedimental.</w:t>
      </w:r>
      <w:r w:rsidR="002F61D1" w:rsidRPr="00630561">
        <w:rPr>
          <w:rFonts w:ascii="Verdana" w:hAnsi="Verdana"/>
        </w:rPr>
        <w:t xml:space="preserve"> </w:t>
      </w:r>
      <w:r w:rsidR="002F61D1" w:rsidRPr="00630561">
        <w:rPr>
          <w:rFonts w:ascii="Verdana" w:eastAsia="Times New Roman" w:hAnsi="Verdana" w:cs="Arial"/>
          <w:lang w:val="es-ES_tradnl" w:eastAsia="es-ES_tradnl"/>
        </w:rPr>
        <w:t xml:space="preserve">Bajo el amparo de esta norma, el régimen jurídico de </w:t>
      </w:r>
      <w:proofErr w:type="spellStart"/>
      <w:r w:rsidR="002F61D1" w:rsidRPr="00630561">
        <w:rPr>
          <w:rFonts w:ascii="Verdana" w:eastAsia="Times New Roman" w:hAnsi="Verdana" w:cs="Arial"/>
          <w:lang w:val="es-ES_tradnl" w:eastAsia="es-ES_tradnl"/>
        </w:rPr>
        <w:t>subsanabilidad</w:t>
      </w:r>
      <w:proofErr w:type="spellEnd"/>
      <w:r w:rsidR="002F61D1" w:rsidRPr="00630561">
        <w:rPr>
          <w:rFonts w:ascii="Verdana" w:eastAsia="Times New Roman" w:hAnsi="Verdana" w:cs="Arial"/>
          <w:lang w:val="es-ES_tradnl" w:eastAsia="es-ES_tradnl"/>
        </w:rPr>
        <w:t xml:space="preserve"> de las ofertas sufre un cambio fundamental, pues ya no era posible rechazar las ofertas por falta de requisitos o documentos que no fueran “necesarios para la comparación de propuestas”.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w:t>
      </w:r>
    </w:p>
    <w:p w14:paraId="0D6A8C96" w14:textId="77777777" w:rsidR="003148AE" w:rsidRPr="00630561" w:rsidRDefault="003148AE" w:rsidP="003148AE">
      <w:pPr>
        <w:pStyle w:val="Prrafodelista"/>
        <w:rPr>
          <w:rFonts w:ascii="Verdana" w:eastAsia="Times New Roman" w:hAnsi="Verdana" w:cs="Arial"/>
          <w:lang w:val="es-ES_tradnl" w:eastAsia="es-ES_tradnl"/>
        </w:rPr>
      </w:pPr>
    </w:p>
    <w:p w14:paraId="710EEC53" w14:textId="2E195A67" w:rsidR="003F6E6C" w:rsidRPr="00630561" w:rsidRDefault="003148AE" w:rsidP="00843067">
      <w:pPr>
        <w:pStyle w:val="Prrafodelista"/>
        <w:numPr>
          <w:ilvl w:val="0"/>
          <w:numId w:val="18"/>
        </w:numPr>
        <w:tabs>
          <w:tab w:val="left" w:pos="0"/>
        </w:tabs>
        <w:spacing w:after="120" w:line="276" w:lineRule="auto"/>
        <w:jc w:val="both"/>
        <w:rPr>
          <w:rFonts w:ascii="Verdana" w:eastAsia="Calibri" w:hAnsi="Verdana" w:cs="Arial"/>
          <w:bCs/>
          <w:color w:val="000000"/>
          <w:lang w:val="es-ES_tradnl" w:eastAsia="es-ES_tradnl" w:bidi="es-ES"/>
        </w:rPr>
      </w:pPr>
      <w:r w:rsidRPr="00630561">
        <w:rPr>
          <w:rFonts w:ascii="Verdana" w:eastAsia="Times New Roman" w:hAnsi="Verdana" w:cs="Arial"/>
          <w:lang w:val="es-ES_tradnl" w:eastAsia="es-ES_tradnl"/>
        </w:rPr>
        <w:t xml:space="preserve">En un </w:t>
      </w:r>
      <w:r w:rsidRPr="00630561">
        <w:rPr>
          <w:rFonts w:ascii="Verdana" w:eastAsia="Times New Roman" w:hAnsi="Verdana" w:cs="Arial"/>
          <w:i/>
          <w:lang w:val="es-ES_tradnl" w:eastAsia="es-ES_tradnl"/>
        </w:rPr>
        <w:t>tercer momento</w:t>
      </w:r>
      <w:r w:rsidRPr="00630561">
        <w:rPr>
          <w:rFonts w:ascii="Verdana" w:eastAsia="Times New Roman" w:hAnsi="Verdana" w:cs="Arial"/>
          <w:lang w:val="es-ES_tradnl" w:eastAsia="es-ES_tradnl"/>
        </w:rPr>
        <w:t xml:space="preserve">, siguiendo la línea trazada por la Ley 80 de 1993, el legislador expidió la Ley 1150 de 2007, </w:t>
      </w:r>
      <w:r w:rsidR="00FC5902" w:rsidRPr="00630561">
        <w:rPr>
          <w:rFonts w:ascii="Verdana" w:eastAsia="Times New Roman" w:hAnsi="Verdana" w:cs="Arial"/>
          <w:lang w:val="es-ES_tradnl" w:eastAsia="es-ES_tradnl"/>
        </w:rPr>
        <w:t xml:space="preserve">la cual </w:t>
      </w:r>
      <w:r w:rsidR="00556E0B" w:rsidRPr="00630561">
        <w:rPr>
          <w:rFonts w:ascii="Verdana" w:eastAsia="Times New Roman" w:hAnsi="Verdana" w:cs="Arial"/>
          <w:lang w:val="es-ES_tradnl" w:eastAsia="es-ES_tradnl"/>
        </w:rPr>
        <w:t>brinda</w:t>
      </w:r>
      <w:r w:rsidR="00843067" w:rsidRPr="00630561">
        <w:rPr>
          <w:rFonts w:ascii="Verdana" w:eastAsia="Times New Roman" w:hAnsi="Verdana" w:cs="Arial"/>
          <w:lang w:val="es-ES_tradnl" w:eastAsia="es-ES_tradnl"/>
        </w:rPr>
        <w:t xml:space="preserve"> a la </w:t>
      </w:r>
      <w:r w:rsidR="0094281D" w:rsidRPr="00630561">
        <w:rPr>
          <w:rFonts w:ascii="Verdana" w:eastAsia="Calibri" w:hAnsi="Verdana" w:cs="Arial"/>
          <w:bCs/>
          <w:color w:val="000000"/>
          <w:lang w:val="es-ES_tradnl" w:eastAsia="es-ES_tradnl" w:bidi="es-ES"/>
        </w:rPr>
        <w:t>Administración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Si la Administración encuentra que lo omitido por el proponente es un aspecto que otorga puntaje, no es posible subsanarlo; pero, si lo omitido no otorga puntaje, la Administración debe requerir al proponente para que lo subsane.</w:t>
      </w:r>
      <w:r w:rsidR="000D1841" w:rsidRPr="00630561">
        <w:rPr>
          <w:rFonts w:ascii="Verdana" w:eastAsia="Calibri" w:hAnsi="Verdana" w:cs="Arial"/>
          <w:bCs/>
          <w:color w:val="000000"/>
          <w:lang w:val="es-ES_tradnl" w:eastAsia="es-ES_tradnl" w:bidi="es-ES"/>
        </w:rPr>
        <w:t xml:space="preserve"> </w:t>
      </w:r>
      <w:r w:rsidR="001539FA" w:rsidRPr="00630561">
        <w:rPr>
          <w:rFonts w:ascii="Verdana" w:eastAsia="Calibri" w:hAnsi="Verdana" w:cs="Arial"/>
          <w:bCs/>
          <w:color w:val="000000"/>
          <w:lang w:val="es-ES_tradnl" w:eastAsia="es-ES_tradnl" w:bidi="es-ES"/>
        </w:rPr>
        <w:t>Sobre el particular, e</w:t>
      </w:r>
      <w:r w:rsidR="00181FE1" w:rsidRPr="00630561">
        <w:rPr>
          <w:rFonts w:ascii="Verdana" w:eastAsia="Calibri" w:hAnsi="Verdana" w:cs="Arial"/>
          <w:bCs/>
          <w:color w:val="000000"/>
          <w:lang w:val="es-ES_tradnl" w:eastAsia="es-ES_tradnl" w:bidi="es-ES"/>
        </w:rPr>
        <w:t xml:space="preserve">l artículo 5 de la Ley 1150 de 2007, además de consagrar un criterio más claro, y, de paso, reducir la discrecionalidad de la Administración, fijó un ámbito temporal para que las </w:t>
      </w:r>
      <w:r w:rsidR="005037A0" w:rsidRPr="00630561">
        <w:rPr>
          <w:rFonts w:ascii="Verdana" w:eastAsia="Calibri" w:hAnsi="Verdana" w:cs="Arial"/>
          <w:bCs/>
          <w:color w:val="000000"/>
          <w:lang w:val="es-ES_tradnl" w:eastAsia="es-ES_tradnl" w:bidi="es-ES"/>
        </w:rPr>
        <w:t>E</w:t>
      </w:r>
      <w:r w:rsidR="00181FE1" w:rsidRPr="00630561">
        <w:rPr>
          <w:rFonts w:ascii="Verdana" w:eastAsia="Calibri" w:hAnsi="Verdana" w:cs="Arial"/>
          <w:bCs/>
          <w:color w:val="000000"/>
          <w:lang w:val="es-ES_tradnl" w:eastAsia="es-ES_tradnl" w:bidi="es-ES"/>
        </w:rPr>
        <w:t>ntidades requirieran la subsanación de las ofertas: “en cualquier momento, hasta la adjudicación”.</w:t>
      </w:r>
    </w:p>
    <w:p w14:paraId="737CD151" w14:textId="77777777" w:rsidR="002C14C4" w:rsidRPr="00630561" w:rsidRDefault="002C14C4" w:rsidP="002C14C4">
      <w:pPr>
        <w:pStyle w:val="Prrafodelista"/>
        <w:rPr>
          <w:rFonts w:ascii="Verdana" w:eastAsia="Calibri" w:hAnsi="Verdana" w:cs="Arial"/>
          <w:bCs/>
          <w:color w:val="000000"/>
          <w:lang w:val="es-ES_tradnl" w:eastAsia="es-ES_tradnl" w:bidi="es-ES"/>
        </w:rPr>
      </w:pPr>
    </w:p>
    <w:p w14:paraId="7A016CF8" w14:textId="77777777" w:rsidR="00240D9C" w:rsidRPr="00630561" w:rsidRDefault="004C6B47" w:rsidP="00240D9C">
      <w:pPr>
        <w:pStyle w:val="Prrafodelista"/>
        <w:numPr>
          <w:ilvl w:val="0"/>
          <w:numId w:val="18"/>
        </w:numPr>
        <w:tabs>
          <w:tab w:val="left" w:pos="0"/>
        </w:tabs>
        <w:spacing w:after="0" w:line="276" w:lineRule="auto"/>
        <w:jc w:val="both"/>
        <w:rPr>
          <w:rFonts w:ascii="Verdana" w:eastAsia="Calibri" w:hAnsi="Verdana" w:cs="Arial"/>
        </w:rPr>
      </w:pPr>
      <w:r w:rsidRPr="00630561">
        <w:rPr>
          <w:rFonts w:ascii="Verdana" w:eastAsia="Calibri" w:hAnsi="Verdana" w:cs="Arial"/>
          <w:bCs/>
          <w:color w:val="000000"/>
          <w:lang w:val="es-ES_tradnl" w:eastAsia="es-ES_tradnl" w:bidi="es-ES"/>
        </w:rPr>
        <w:t xml:space="preserve">En armonía con lo expuesto, la </w:t>
      </w:r>
      <w:r w:rsidR="00F70F35" w:rsidRPr="00630561">
        <w:rPr>
          <w:rFonts w:ascii="Verdana" w:eastAsia="Calibri" w:hAnsi="Verdana" w:cs="Arial"/>
          <w:bCs/>
          <w:color w:val="000000"/>
          <w:lang w:val="es-ES_tradnl" w:eastAsia="es-ES_tradnl" w:bidi="es-ES"/>
        </w:rPr>
        <w:t xml:space="preserve">Agencia Nacional de Contratación Pública – Colombia Compra Eficiente, en la Circular Externa Única, precisó </w:t>
      </w:r>
      <w:r w:rsidR="00502C5A" w:rsidRPr="00630561">
        <w:rPr>
          <w:rFonts w:ascii="Verdana" w:eastAsia="Calibri" w:hAnsi="Verdana" w:cs="Arial"/>
          <w:bCs/>
          <w:color w:val="000000"/>
          <w:lang w:val="es-ES_tradnl" w:eastAsia="es-ES_tradnl" w:bidi="es-ES"/>
        </w:rPr>
        <w:t>que,</w:t>
      </w:r>
      <w:r w:rsidR="00F70F35" w:rsidRPr="00630561">
        <w:rPr>
          <w:rFonts w:ascii="Verdana" w:eastAsia="Calibri" w:hAnsi="Verdana" w:cs="Arial"/>
          <w:bCs/>
          <w:color w:val="000000"/>
          <w:lang w:val="es-ES_tradnl" w:eastAsia="es-ES_tradnl" w:bidi="es-ES"/>
        </w:rPr>
        <w:t xml:space="preserve"> si durante un Proceso de Contratación hay proponentes que no acreditaron en sus ofertas requisitos que no afectan la asignación de puntaje o la comparación de </w:t>
      </w:r>
      <w:proofErr w:type="gramStart"/>
      <w:r w:rsidR="00F70F35" w:rsidRPr="00630561">
        <w:rPr>
          <w:rFonts w:ascii="Verdana" w:eastAsia="Calibri" w:hAnsi="Verdana" w:cs="Arial"/>
          <w:bCs/>
          <w:color w:val="000000"/>
          <w:lang w:val="es-ES_tradnl" w:eastAsia="es-ES_tradnl" w:bidi="es-ES"/>
        </w:rPr>
        <w:t>las mismas</w:t>
      </w:r>
      <w:proofErr w:type="gramEnd"/>
      <w:r w:rsidR="00F70F35" w:rsidRPr="00630561">
        <w:rPr>
          <w:rFonts w:ascii="Verdana" w:eastAsia="Calibri" w:hAnsi="Verdana" w:cs="Arial"/>
          <w:bCs/>
          <w:color w:val="000000"/>
          <w:lang w:val="es-ES_tradnl" w:eastAsia="es-ES_tradnl" w:bidi="es-ES"/>
        </w:rPr>
        <w:t xml:space="preserve">, la Entidad Estatal deberá indicarlo en el </w:t>
      </w:r>
      <w:r w:rsidR="00F70F35" w:rsidRPr="00630561">
        <w:rPr>
          <w:rFonts w:ascii="Verdana" w:eastAsia="Calibri" w:hAnsi="Verdana" w:cs="Arial"/>
          <w:bCs/>
          <w:color w:val="000000"/>
          <w:lang w:val="es-ES_tradnl" w:eastAsia="es-ES_tradnl" w:bidi="es-ES"/>
        </w:rPr>
        <w:lastRenderedPageBreak/>
        <w:t>informe de evaluación y advertir que la correspondiente oferta puede ser subsanada.</w:t>
      </w:r>
    </w:p>
    <w:p w14:paraId="23BE5D28" w14:textId="77777777" w:rsidR="00240D9C" w:rsidRPr="00630561" w:rsidRDefault="00240D9C" w:rsidP="00240D9C">
      <w:pPr>
        <w:pStyle w:val="Prrafodelista"/>
        <w:rPr>
          <w:rFonts w:ascii="Verdana" w:eastAsia="Calibri" w:hAnsi="Verdana" w:cs="Arial"/>
        </w:rPr>
      </w:pPr>
    </w:p>
    <w:p w14:paraId="360A6077" w14:textId="77777777" w:rsidR="004D5606" w:rsidRPr="00630561" w:rsidRDefault="00240D9C" w:rsidP="004D5606">
      <w:pPr>
        <w:pStyle w:val="Prrafodelista"/>
        <w:numPr>
          <w:ilvl w:val="0"/>
          <w:numId w:val="18"/>
        </w:numPr>
        <w:tabs>
          <w:tab w:val="left" w:pos="0"/>
        </w:tabs>
        <w:spacing w:after="0" w:line="276" w:lineRule="auto"/>
        <w:jc w:val="both"/>
        <w:rPr>
          <w:rFonts w:ascii="Verdana" w:eastAsia="Calibri" w:hAnsi="Verdana" w:cs="Arial"/>
        </w:rPr>
      </w:pPr>
      <w:r w:rsidRPr="00630561">
        <w:rPr>
          <w:rFonts w:ascii="Verdana" w:eastAsia="Calibri" w:hAnsi="Verdana" w:cs="Arial"/>
        </w:rPr>
        <w:t xml:space="preserve">Finalmente, en un cuarto momento, el legislador expidió la </w:t>
      </w:r>
      <w:r w:rsidR="00BC56EE" w:rsidRPr="00630561">
        <w:rPr>
          <w:rFonts w:ascii="Verdana" w:eastAsia="Calibri" w:hAnsi="Verdana" w:cs="Arial"/>
        </w:rPr>
        <w:t>Ley 1882 de 2018</w:t>
      </w:r>
      <w:r w:rsidRPr="00630561">
        <w:rPr>
          <w:rFonts w:ascii="Verdana" w:eastAsia="Calibri" w:hAnsi="Verdana" w:cs="Arial"/>
        </w:rPr>
        <w:t>, con la finalidad de introducir cambios y ajustes para fortalecer la contratación pública. El artículo 5 modificó el parágrafo 1º y adicionó algunos otros, entre ellos el 4° del artículo 5 de la Ley 1150 de 2007</w:t>
      </w:r>
      <w:r w:rsidR="00E576B4" w:rsidRPr="00630561">
        <w:rPr>
          <w:rFonts w:ascii="Verdana" w:eastAsia="Calibri" w:hAnsi="Verdana" w:cs="Arial"/>
        </w:rPr>
        <w:t xml:space="preserve"> el cual </w:t>
      </w:r>
      <w:r w:rsidR="00EF3D51" w:rsidRPr="00630561">
        <w:rPr>
          <w:rFonts w:ascii="Verdana" w:eastAsia="Calibri" w:hAnsi="Verdana" w:cs="Arial"/>
        </w:rPr>
        <w:t xml:space="preserve">i) mantiene el criterio de la Ley 80 de 1993, relativo a que todo lo que no sea necesario para la comparación de propuestas no es título suficiente para su rechazo; </w:t>
      </w:r>
      <w:proofErr w:type="spellStart"/>
      <w:r w:rsidR="00EF3D51" w:rsidRPr="00630561">
        <w:rPr>
          <w:rFonts w:ascii="Verdana" w:eastAsia="Calibri" w:hAnsi="Verdana" w:cs="Arial"/>
        </w:rPr>
        <w:t>ii</w:t>
      </w:r>
      <w:proofErr w:type="spellEnd"/>
      <w:r w:rsidR="00EF3D51" w:rsidRPr="00630561">
        <w:rPr>
          <w:rFonts w:ascii="Verdana" w:eastAsia="Calibri" w:hAnsi="Verdana" w:cs="Arial"/>
        </w:rPr>
        <w:t xml:space="preserve">) mantiene el criterio aclaratorio de la Ley 1150 de 2007, según el cual todo lo que no afecte la asignación de puntaje puede subsanarse; y, </w:t>
      </w:r>
      <w:proofErr w:type="spellStart"/>
      <w:r w:rsidR="00EF3D51" w:rsidRPr="00630561">
        <w:rPr>
          <w:rFonts w:ascii="Verdana" w:eastAsia="Calibri" w:hAnsi="Verdana" w:cs="Arial"/>
        </w:rPr>
        <w:t>iii</w:t>
      </w:r>
      <w:proofErr w:type="spellEnd"/>
      <w:r w:rsidR="00EF3D51" w:rsidRPr="00630561">
        <w:rPr>
          <w:rFonts w:ascii="Verdana" w:eastAsia="Calibri" w:hAnsi="Verdana" w:cs="Arial"/>
        </w:rPr>
        <w:t xml:space="preserve">) introduce modificaciones en relación </w:t>
      </w:r>
      <w:r w:rsidR="009D4949" w:rsidRPr="00630561">
        <w:rPr>
          <w:rFonts w:ascii="Verdana" w:eastAsia="Calibri" w:hAnsi="Verdana" w:cs="Arial"/>
        </w:rPr>
        <w:t>con</w:t>
      </w:r>
      <w:r w:rsidR="00415425" w:rsidRPr="00630561">
        <w:rPr>
          <w:rFonts w:ascii="Verdana" w:eastAsia="Calibri" w:hAnsi="Verdana" w:cs="Arial"/>
        </w:rPr>
        <w:t xml:space="preserve"> </w:t>
      </w:r>
      <w:r w:rsidR="009D4949" w:rsidRPr="00630561">
        <w:rPr>
          <w:rFonts w:ascii="Verdana" w:eastAsia="Calibri" w:hAnsi="Verdana" w:cs="Arial"/>
        </w:rPr>
        <w:t>el</w:t>
      </w:r>
      <w:r w:rsidR="00F12E56" w:rsidRPr="00630561">
        <w:rPr>
          <w:rFonts w:ascii="Verdana" w:eastAsia="Calibri" w:hAnsi="Verdana" w:cs="Arial"/>
        </w:rPr>
        <w:t xml:space="preserve"> </w:t>
      </w:r>
      <w:r w:rsidR="002D0F59" w:rsidRPr="00630561">
        <w:rPr>
          <w:rFonts w:ascii="Verdana" w:eastAsia="Calibri" w:hAnsi="Verdana" w:cs="Arial"/>
        </w:rPr>
        <w:t>ámbito temporal para ejercer la facultad de subsanar la oferta</w:t>
      </w:r>
      <w:r w:rsidR="00415425" w:rsidRPr="00630561">
        <w:rPr>
          <w:rFonts w:ascii="Verdana" w:eastAsia="Calibri" w:hAnsi="Verdana" w:cs="Arial"/>
        </w:rPr>
        <w:t xml:space="preserve"> y</w:t>
      </w:r>
      <w:r w:rsidR="00D76EE5" w:rsidRPr="00630561">
        <w:rPr>
          <w:rFonts w:ascii="Verdana" w:eastAsia="Calibri" w:hAnsi="Verdana" w:cs="Arial"/>
        </w:rPr>
        <w:t xml:space="preserve"> </w:t>
      </w:r>
      <w:r w:rsidR="00121BA8" w:rsidRPr="00630561">
        <w:rPr>
          <w:rFonts w:ascii="Verdana" w:eastAsia="Calibri" w:hAnsi="Verdana" w:cs="Arial"/>
        </w:rPr>
        <w:t>la introducción de un criterio material, directamente relacionado con los aspectos subsanables: “los proponentes no podrán acreditar circunstancias ocurridas con posterioridad al cierre del proceso”.</w:t>
      </w:r>
    </w:p>
    <w:p w14:paraId="47237BAA" w14:textId="77777777" w:rsidR="004D5606" w:rsidRPr="00630561" w:rsidRDefault="004D5606" w:rsidP="004D5606">
      <w:pPr>
        <w:pStyle w:val="Prrafodelista"/>
        <w:rPr>
          <w:rFonts w:ascii="Verdana" w:eastAsia="Calibri" w:hAnsi="Verdana" w:cs="Arial"/>
        </w:rPr>
      </w:pPr>
    </w:p>
    <w:p w14:paraId="7535E5FB" w14:textId="77777777" w:rsidR="009F1611" w:rsidRPr="00630561" w:rsidRDefault="004D5606" w:rsidP="009F1611">
      <w:pPr>
        <w:pStyle w:val="Prrafodelista"/>
        <w:numPr>
          <w:ilvl w:val="0"/>
          <w:numId w:val="18"/>
        </w:numPr>
        <w:tabs>
          <w:tab w:val="left" w:pos="0"/>
        </w:tabs>
        <w:spacing w:after="0" w:line="276" w:lineRule="auto"/>
        <w:jc w:val="both"/>
        <w:rPr>
          <w:rFonts w:ascii="Verdana" w:eastAsia="Calibri" w:hAnsi="Verdana" w:cs="Arial"/>
        </w:rPr>
      </w:pPr>
      <w:r w:rsidRPr="00630561">
        <w:rPr>
          <w:rFonts w:ascii="Verdana" w:eastAsia="Calibri" w:hAnsi="Verdana" w:cs="Arial"/>
        </w:rPr>
        <w:t xml:space="preserve">Bajo este contexto, conforme a las reglas </w:t>
      </w:r>
      <w:proofErr w:type="spellStart"/>
      <w:r w:rsidRPr="00630561">
        <w:rPr>
          <w:rFonts w:ascii="Verdana" w:eastAsia="Calibri" w:hAnsi="Verdana" w:cs="Arial"/>
        </w:rPr>
        <w:t>subsanabilidad</w:t>
      </w:r>
      <w:proofErr w:type="spellEnd"/>
      <w:r w:rsidRPr="00630561">
        <w:rPr>
          <w:rFonts w:ascii="Verdana" w:eastAsia="Calibri" w:hAnsi="Verdana" w:cs="Arial"/>
        </w:rPr>
        <w:t xml:space="preserve"> ya expuestas en este documento y a la postura de esta Agencia, </w:t>
      </w:r>
      <w:r w:rsidRPr="00630561">
        <w:rPr>
          <w:rFonts w:ascii="Verdana" w:eastAsia="Calibri" w:hAnsi="Verdana" w:cs="Arial"/>
          <w:i/>
          <w:iCs/>
        </w:rPr>
        <w:t>los requisitos o documentos que no sean necesarios para la comparación de las ofertas pueden subsanarse y todo lo que no sea necesario para la comparación de propuestas no es título suficiente para su rechazo</w:t>
      </w:r>
      <w:r w:rsidRPr="00630561">
        <w:rPr>
          <w:rFonts w:ascii="Verdana" w:eastAsia="Calibri" w:hAnsi="Verdana" w:cs="Arial"/>
        </w:rPr>
        <w:t xml:space="preserve">; de manera que, si un oferente anexó </w:t>
      </w:r>
      <w:r w:rsidR="00A77D95" w:rsidRPr="00630561">
        <w:rPr>
          <w:rFonts w:ascii="Verdana" w:eastAsia="Calibri" w:hAnsi="Verdana" w:cs="Arial"/>
        </w:rPr>
        <w:t xml:space="preserve">los formatos con error en el nombre </w:t>
      </w:r>
      <w:r w:rsidRPr="00630561">
        <w:rPr>
          <w:rFonts w:ascii="Verdana" w:eastAsia="Calibri" w:hAnsi="Verdana" w:cs="Arial"/>
        </w:rPr>
        <w:t>del consorcio o unión temporal, podrá subsanar su entrega, siempre y cuando, el documento aportado con posterioridad de cuenta de que el consorcio o unión temporal existía antes del cierre del proceso.</w:t>
      </w:r>
    </w:p>
    <w:p w14:paraId="2FC4CFE3" w14:textId="77777777" w:rsidR="009F1611" w:rsidRPr="00630561" w:rsidRDefault="009F1611" w:rsidP="009F1611">
      <w:pPr>
        <w:pStyle w:val="Prrafodelista"/>
        <w:rPr>
          <w:rFonts w:ascii="Verdana" w:eastAsia="Century Gothic" w:hAnsi="Verdana" w:cs="Century Gothic"/>
          <w:lang w:val="es-ES_tradnl"/>
        </w:rPr>
      </w:pPr>
    </w:p>
    <w:p w14:paraId="7EA9D2E3" w14:textId="743AEE91" w:rsidR="00EF3D51" w:rsidRPr="00630561" w:rsidRDefault="009F1611" w:rsidP="00E1245E">
      <w:pPr>
        <w:pStyle w:val="Prrafodelista"/>
        <w:numPr>
          <w:ilvl w:val="0"/>
          <w:numId w:val="18"/>
        </w:numPr>
        <w:tabs>
          <w:tab w:val="left" w:pos="0"/>
        </w:tabs>
        <w:spacing w:after="0" w:line="276" w:lineRule="auto"/>
        <w:jc w:val="both"/>
        <w:rPr>
          <w:rFonts w:ascii="Verdana" w:eastAsia="Calibri" w:hAnsi="Verdana" w:cs="Arial"/>
        </w:rPr>
      </w:pPr>
      <w:r w:rsidRPr="00630561">
        <w:rPr>
          <w:rFonts w:ascii="Verdana" w:eastAsia="Century Gothic" w:hAnsi="Verdana" w:cs="Century Gothic"/>
          <w:lang w:val="es-ES_tradnl"/>
        </w:rPr>
        <w:t>Lo anterior, como quiera que a la luz del artículo 5 de la Ley 1882 de 2018, lo subsanable es la prueba de todas las circunstancias ocurridas antes del vencimiento del término para presentar las ofertas, pues una cosa es el requisito habilitante o el elemento de la propuesta y otra su prueba. De tal modo que lo que prohíbe la norma es que se subsanen requisitos que no estaban materialmente cumplidos al momento de presentación de la oferta, o en palabras de la ley, que se acrediten hechos que ocurrieron después del cierre del proceso.</w:t>
      </w:r>
    </w:p>
    <w:p w14:paraId="1E24BA0D" w14:textId="77777777" w:rsidR="00A56F28" w:rsidRPr="00630561" w:rsidRDefault="00A56F28" w:rsidP="00A56F28">
      <w:pPr>
        <w:pStyle w:val="Prrafodelista"/>
        <w:rPr>
          <w:rFonts w:ascii="Verdana" w:eastAsia="Calibri" w:hAnsi="Verdana" w:cs="Arial"/>
        </w:rPr>
      </w:pPr>
    </w:p>
    <w:p w14:paraId="172DE450" w14:textId="77777777" w:rsidR="007C323A" w:rsidRPr="00630561" w:rsidRDefault="00702194" w:rsidP="00445D1C">
      <w:pPr>
        <w:pStyle w:val="Prrafodelista"/>
        <w:numPr>
          <w:ilvl w:val="0"/>
          <w:numId w:val="18"/>
        </w:numPr>
        <w:tabs>
          <w:tab w:val="left" w:pos="0"/>
        </w:tabs>
        <w:spacing w:after="0" w:line="276" w:lineRule="auto"/>
        <w:jc w:val="both"/>
        <w:rPr>
          <w:rFonts w:ascii="Verdana" w:eastAsia="Calibri" w:hAnsi="Verdana" w:cs="Arial"/>
        </w:rPr>
      </w:pPr>
      <w:r w:rsidRPr="00630561">
        <w:rPr>
          <w:rFonts w:ascii="Verdana" w:eastAsia="Calibri" w:hAnsi="Verdana" w:cs="Arial"/>
        </w:rPr>
        <w:t>Ahora bien, frente al formato Nro. 9</w:t>
      </w:r>
      <w:r w:rsidR="00402C5D" w:rsidRPr="00630561">
        <w:rPr>
          <w:rFonts w:ascii="Verdana" w:eastAsia="Calibri" w:hAnsi="Verdana" w:cs="Arial"/>
        </w:rPr>
        <w:t xml:space="preserve">, la </w:t>
      </w:r>
      <w:r w:rsidR="00AA4160" w:rsidRPr="00630561">
        <w:rPr>
          <w:rFonts w:ascii="Verdana" w:eastAsia="Calibri" w:hAnsi="Verdana" w:cs="Arial"/>
        </w:rPr>
        <w:t>Agencia Nacional de Contratación Pública – Colombia Compra Eficiente,</w:t>
      </w:r>
      <w:r w:rsidR="00B7684B" w:rsidRPr="00630561">
        <w:rPr>
          <w:rFonts w:ascii="Verdana" w:eastAsia="Calibri" w:hAnsi="Verdana" w:cs="Arial"/>
        </w:rPr>
        <w:t xml:space="preserve"> </w:t>
      </w:r>
      <w:r w:rsidR="00BD7918" w:rsidRPr="00630561">
        <w:rPr>
          <w:rFonts w:ascii="Verdana" w:eastAsia="Calibri" w:hAnsi="Verdana" w:cs="Arial"/>
        </w:rPr>
        <w:t xml:space="preserve">mediante la Resolución Nro. 465 del </w:t>
      </w:r>
      <w:r w:rsidR="00BD7918" w:rsidRPr="00630561">
        <w:rPr>
          <w:rFonts w:ascii="Verdana" w:eastAsia="Calibri" w:hAnsi="Verdana" w:cs="Arial"/>
        </w:rPr>
        <w:lastRenderedPageBreak/>
        <w:t>10 de septiembre del 2024</w:t>
      </w:r>
      <w:r w:rsidR="00F62F57" w:rsidRPr="00630561">
        <w:rPr>
          <w:rFonts w:ascii="Verdana" w:eastAsia="Calibri" w:hAnsi="Verdana" w:cs="Arial"/>
        </w:rPr>
        <w:t xml:space="preserve"> derog</w:t>
      </w:r>
      <w:r w:rsidR="00601338" w:rsidRPr="00630561">
        <w:rPr>
          <w:rFonts w:ascii="Verdana" w:eastAsia="Calibri" w:hAnsi="Verdana" w:cs="Arial"/>
        </w:rPr>
        <w:t>o</w:t>
      </w:r>
      <w:r w:rsidR="00F62F57" w:rsidRPr="00630561">
        <w:rPr>
          <w:rFonts w:ascii="Verdana" w:eastAsia="Calibri" w:hAnsi="Verdana" w:cs="Arial"/>
        </w:rPr>
        <w:t xml:space="preserve"> la Resolución 240 de 2020 y sus modificaciones posteriores</w:t>
      </w:r>
      <w:r w:rsidR="00D230EF" w:rsidRPr="00630561">
        <w:rPr>
          <w:rFonts w:ascii="Verdana" w:eastAsia="Calibri" w:hAnsi="Verdana" w:cs="Arial"/>
        </w:rPr>
        <w:t xml:space="preserve">. Así las cosas, </w:t>
      </w:r>
      <w:r w:rsidR="000B6C7A" w:rsidRPr="00630561">
        <w:rPr>
          <w:rFonts w:ascii="Verdana" w:eastAsia="Calibri" w:hAnsi="Verdana" w:cs="Arial"/>
        </w:rPr>
        <w:t xml:space="preserve">lo invitados a consultar los nuevos </w:t>
      </w:r>
      <w:r w:rsidR="00B65758" w:rsidRPr="00630561">
        <w:rPr>
          <w:rFonts w:ascii="Verdana" w:eastAsia="Calibri" w:hAnsi="Verdana" w:cs="Arial"/>
        </w:rPr>
        <w:t>documentos base, formatos y matrices de los documentos tipo</w:t>
      </w:r>
      <w:r w:rsidR="00DD3ECF" w:rsidRPr="00630561">
        <w:rPr>
          <w:rFonts w:ascii="Verdana" w:eastAsia="Calibri" w:hAnsi="Verdana" w:cs="Arial"/>
        </w:rPr>
        <w:t>.</w:t>
      </w:r>
    </w:p>
    <w:p w14:paraId="569C7D58" w14:textId="77777777" w:rsidR="007C323A" w:rsidRPr="00630561" w:rsidRDefault="007C323A" w:rsidP="007C323A">
      <w:pPr>
        <w:pStyle w:val="Prrafodelista"/>
        <w:rPr>
          <w:rFonts w:ascii="Verdana" w:eastAsia="Calibri" w:hAnsi="Verdana" w:cs="Arial"/>
        </w:rPr>
      </w:pPr>
    </w:p>
    <w:p w14:paraId="45FB6FC0" w14:textId="3641D8FB" w:rsidR="00445D1C" w:rsidRPr="00630561" w:rsidRDefault="00815F70" w:rsidP="00445D1C">
      <w:pPr>
        <w:pStyle w:val="Prrafodelista"/>
        <w:numPr>
          <w:ilvl w:val="0"/>
          <w:numId w:val="18"/>
        </w:numPr>
        <w:tabs>
          <w:tab w:val="left" w:pos="0"/>
        </w:tabs>
        <w:spacing w:after="0" w:line="276" w:lineRule="auto"/>
        <w:jc w:val="both"/>
        <w:rPr>
          <w:rFonts w:ascii="Verdana" w:eastAsia="Calibri" w:hAnsi="Verdana" w:cs="Arial"/>
        </w:rPr>
      </w:pPr>
      <w:r w:rsidRPr="00630561">
        <w:rPr>
          <w:rFonts w:ascii="Verdana" w:eastAsia="Calibri" w:hAnsi="Verdana" w:cs="Arial"/>
        </w:rPr>
        <w:t xml:space="preserve">Sin perjuicio de lo anterior, </w:t>
      </w:r>
      <w:r w:rsidR="000435FA" w:rsidRPr="00630561">
        <w:rPr>
          <w:rFonts w:ascii="Verdana" w:eastAsia="Calibri" w:hAnsi="Verdana" w:cs="Arial"/>
        </w:rPr>
        <w:t>y frente a la</w:t>
      </w:r>
      <w:r w:rsidR="00392290" w:rsidRPr="00630561">
        <w:rPr>
          <w:rFonts w:ascii="Verdana" w:eastAsia="Calibri" w:hAnsi="Verdana" w:cs="Arial"/>
        </w:rPr>
        <w:t xml:space="preserve"> aclaración solicitada</w:t>
      </w:r>
      <w:r w:rsidR="00D50616" w:rsidRPr="00630561">
        <w:rPr>
          <w:rFonts w:ascii="Verdana" w:eastAsia="Calibri" w:hAnsi="Verdana" w:cs="Arial"/>
        </w:rPr>
        <w:t xml:space="preserve">, esta es, respecto </w:t>
      </w:r>
      <w:r w:rsidR="00D760B1" w:rsidRPr="00630561">
        <w:rPr>
          <w:rFonts w:ascii="Verdana" w:eastAsia="Calibri" w:hAnsi="Verdana" w:cs="Arial"/>
        </w:rPr>
        <w:t>al formato Nro. 9</w:t>
      </w:r>
      <w:r w:rsidR="00001C1F" w:rsidRPr="00630561">
        <w:rPr>
          <w:rFonts w:ascii="Verdana" w:eastAsia="Calibri" w:hAnsi="Verdana" w:cs="Arial"/>
        </w:rPr>
        <w:t xml:space="preserve">, </w:t>
      </w:r>
      <w:r w:rsidR="000F3E80" w:rsidRPr="00630561">
        <w:rPr>
          <w:rFonts w:ascii="Verdana" w:eastAsia="Calibri" w:hAnsi="Verdana" w:cs="Arial"/>
        </w:rPr>
        <w:t xml:space="preserve">tratándose </w:t>
      </w:r>
      <w:r w:rsidR="00D32A69" w:rsidRPr="00630561">
        <w:rPr>
          <w:rFonts w:ascii="Verdana" w:eastAsia="Calibri" w:hAnsi="Verdana" w:cs="Arial"/>
        </w:rPr>
        <w:t>de</w:t>
      </w:r>
      <w:r w:rsidR="000F3E80" w:rsidRPr="00630561">
        <w:rPr>
          <w:rFonts w:ascii="Verdana" w:eastAsia="Calibri" w:hAnsi="Verdana" w:cs="Arial"/>
        </w:rPr>
        <w:t xml:space="preserve"> los documentos tipo para licitación de obra pública de infraestructura de transporte, el Capítulo IV, numeral 4.3.</w:t>
      </w:r>
      <w:r w:rsidR="0092757C" w:rsidRPr="00630561">
        <w:rPr>
          <w:rFonts w:ascii="Verdana" w:eastAsia="Calibri" w:hAnsi="Verdana" w:cs="Arial"/>
          <w:b/>
          <w:bCs/>
        </w:rPr>
        <w:t xml:space="preserve"> </w:t>
      </w:r>
      <w:r w:rsidR="000F3E80" w:rsidRPr="00630561">
        <w:rPr>
          <w:rFonts w:ascii="Verdana" w:eastAsia="Calibri" w:hAnsi="Verdana" w:cs="Arial"/>
        </w:rPr>
        <w:t xml:space="preserve">del documento base </w:t>
      </w:r>
      <w:r w:rsidR="00FE6500" w:rsidRPr="00630561">
        <w:rPr>
          <w:rFonts w:ascii="Verdana" w:eastAsia="Calibri" w:hAnsi="Verdana" w:cs="Arial"/>
        </w:rPr>
        <w:t xml:space="preserve">explica cómo el proponente se hace acreedor para el otorgamiento de puntaje, las reglas que las </w:t>
      </w:r>
      <w:r w:rsidR="00313994" w:rsidRPr="00630561">
        <w:rPr>
          <w:rFonts w:ascii="Verdana" w:eastAsia="Calibri" w:hAnsi="Verdana" w:cs="Arial"/>
        </w:rPr>
        <w:t>E</w:t>
      </w:r>
      <w:r w:rsidR="00FE6500" w:rsidRPr="00630561">
        <w:rPr>
          <w:rFonts w:ascii="Verdana" w:eastAsia="Calibri" w:hAnsi="Verdana" w:cs="Arial"/>
        </w:rPr>
        <w:t xml:space="preserve">ntidades deben tener en cuenta para definir los Bienes Nacionales Relevantes y el porcentaje de empleados o contratistas por prestación de servicios colombianos al que deberán comprometerse los proponentes en caso de que </w:t>
      </w:r>
      <w:r w:rsidR="0092757C" w:rsidRPr="00630561">
        <w:rPr>
          <w:rFonts w:ascii="Verdana" w:eastAsia="Calibri" w:hAnsi="Verdana" w:cs="Arial"/>
        </w:rPr>
        <w:t>ninguno de los bienes relevantes esté</w:t>
      </w:r>
      <w:r w:rsidR="00FE6500" w:rsidRPr="00630561">
        <w:rPr>
          <w:rFonts w:ascii="Verdana" w:eastAsia="Calibri" w:hAnsi="Verdana" w:cs="Arial"/>
        </w:rPr>
        <w:t xml:space="preserve"> </w:t>
      </w:r>
      <w:r w:rsidR="00F57CF6" w:rsidRPr="00630561">
        <w:rPr>
          <w:rFonts w:ascii="Verdana" w:eastAsia="Calibri" w:hAnsi="Verdana" w:cs="Arial"/>
        </w:rPr>
        <w:t>incluido</w:t>
      </w:r>
      <w:r w:rsidR="00FE6500" w:rsidRPr="00630561">
        <w:rPr>
          <w:rFonts w:ascii="Verdana" w:eastAsia="Calibri" w:hAnsi="Verdana" w:cs="Arial"/>
        </w:rPr>
        <w:t xml:space="preserve"> en el Registro de Productores de Bienes Nacionales, con el fin de que la </w:t>
      </w:r>
      <w:r w:rsidR="001244E0" w:rsidRPr="00630561">
        <w:rPr>
          <w:rFonts w:ascii="Verdana" w:eastAsia="Calibri" w:hAnsi="Verdana" w:cs="Arial"/>
        </w:rPr>
        <w:t>E</w:t>
      </w:r>
      <w:r w:rsidR="00FE6500" w:rsidRPr="00630561">
        <w:rPr>
          <w:rFonts w:ascii="Verdana" w:eastAsia="Calibri" w:hAnsi="Verdana" w:cs="Arial"/>
        </w:rPr>
        <w:t xml:space="preserve">ntidad </w:t>
      </w:r>
      <w:r w:rsidR="001244E0" w:rsidRPr="00630561">
        <w:rPr>
          <w:rFonts w:ascii="Verdana" w:eastAsia="Calibri" w:hAnsi="Verdana" w:cs="Arial"/>
        </w:rPr>
        <w:t>E</w:t>
      </w:r>
      <w:r w:rsidR="00FE6500" w:rsidRPr="00630561">
        <w:rPr>
          <w:rFonts w:ascii="Verdana" w:eastAsia="Calibri" w:hAnsi="Verdana" w:cs="Arial"/>
        </w:rPr>
        <w:t>statal otorgue el puntaje.</w:t>
      </w:r>
      <w:r w:rsidR="00A90BFE" w:rsidRPr="00630561">
        <w:rPr>
          <w:rFonts w:ascii="Verdana" w:eastAsia="Calibri" w:hAnsi="Verdana" w:cs="Arial"/>
        </w:rPr>
        <w:t xml:space="preserve"> Igualmente, </w:t>
      </w:r>
      <w:r w:rsidR="003427C0" w:rsidRPr="00630561">
        <w:rPr>
          <w:rFonts w:ascii="Verdana" w:eastAsia="Calibri" w:hAnsi="Verdana" w:cs="Arial"/>
        </w:rPr>
        <w:t xml:space="preserve">brinda pautas para </w:t>
      </w:r>
      <w:r w:rsidR="00C14B72" w:rsidRPr="00630561">
        <w:rPr>
          <w:rFonts w:ascii="Verdana" w:eastAsia="Calibri" w:hAnsi="Verdana" w:cs="Arial"/>
        </w:rPr>
        <w:t>el diligenciamiento de los Formatos 9A</w:t>
      </w:r>
      <w:r w:rsidR="00FC60C9" w:rsidRPr="00630561">
        <w:rPr>
          <w:rFonts w:ascii="Verdana" w:eastAsia="Calibri" w:hAnsi="Verdana" w:cs="Arial"/>
        </w:rPr>
        <w:t xml:space="preserve"> “</w:t>
      </w:r>
      <w:r w:rsidR="00FC60C9" w:rsidRPr="00630561">
        <w:rPr>
          <w:rFonts w:ascii="Verdana" w:eastAsia="Calibri" w:hAnsi="Verdana" w:cs="Arial"/>
          <w:i/>
          <w:iCs/>
        </w:rPr>
        <w:t>Puntaje de Industria Nacional</w:t>
      </w:r>
      <w:r w:rsidR="00FC60C9" w:rsidRPr="00630561">
        <w:rPr>
          <w:rFonts w:ascii="Verdana" w:eastAsia="Calibri" w:hAnsi="Verdana" w:cs="Arial"/>
        </w:rPr>
        <w:t>”</w:t>
      </w:r>
      <w:r w:rsidR="00C14B72" w:rsidRPr="00630561">
        <w:rPr>
          <w:rFonts w:ascii="Verdana" w:eastAsia="Calibri" w:hAnsi="Verdana" w:cs="Arial"/>
        </w:rPr>
        <w:t xml:space="preserve"> </w:t>
      </w:r>
      <w:r w:rsidR="006E1C73" w:rsidRPr="00630561">
        <w:rPr>
          <w:rFonts w:ascii="Verdana" w:eastAsia="Calibri" w:hAnsi="Verdana" w:cs="Arial"/>
        </w:rPr>
        <w:t>y 9B</w:t>
      </w:r>
      <w:r w:rsidR="00FC60C9" w:rsidRPr="00630561">
        <w:rPr>
          <w:rFonts w:ascii="Verdana" w:eastAsia="Calibri" w:hAnsi="Verdana" w:cs="Arial"/>
        </w:rPr>
        <w:t xml:space="preserve"> “</w:t>
      </w:r>
      <w:r w:rsidR="00A042A2" w:rsidRPr="00630561">
        <w:rPr>
          <w:rFonts w:ascii="Verdana" w:eastAsia="Calibri" w:hAnsi="Verdana" w:cs="Arial"/>
          <w:i/>
          <w:iCs/>
        </w:rPr>
        <w:t>Incorporación de componente Nacional en servicios extranjeros”</w:t>
      </w:r>
      <w:r w:rsidR="006E1C73" w:rsidRPr="00630561">
        <w:rPr>
          <w:rFonts w:ascii="Verdana" w:eastAsia="Calibri" w:hAnsi="Verdana" w:cs="Arial"/>
        </w:rPr>
        <w:t xml:space="preserve">. </w:t>
      </w:r>
    </w:p>
    <w:p w14:paraId="4A7B9B49" w14:textId="77777777" w:rsidR="00A047C5" w:rsidRPr="00630561" w:rsidRDefault="00A047C5" w:rsidP="00A047C5">
      <w:pPr>
        <w:tabs>
          <w:tab w:val="left" w:pos="0"/>
        </w:tabs>
        <w:spacing w:after="0" w:line="276" w:lineRule="auto"/>
        <w:jc w:val="both"/>
        <w:rPr>
          <w:rFonts w:ascii="Verdana" w:eastAsia="Calibri" w:hAnsi="Verdana" w:cs="Arial"/>
        </w:rPr>
      </w:pPr>
    </w:p>
    <w:p w14:paraId="66BAD595" w14:textId="77777777" w:rsidR="00C2212E" w:rsidRPr="00630561" w:rsidRDefault="00C2212E" w:rsidP="00C2212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30561">
        <w:rPr>
          <w:rFonts w:ascii="Verdana" w:eastAsia="Century Gothic" w:hAnsi="Verdana" w:cs="Century Gothic"/>
          <w:b/>
          <w:bCs/>
        </w:rPr>
        <w:t>Referencias normativas, jurisprudenciales y otras fuentes:</w:t>
      </w:r>
    </w:p>
    <w:p w14:paraId="28A09FD4" w14:textId="77777777" w:rsidR="00C2212E" w:rsidRPr="00630561" w:rsidRDefault="00C2212E" w:rsidP="00C2212E">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C2212E" w:rsidRPr="00630561" w14:paraId="2BBF6138" w14:textId="77777777" w:rsidTr="007C323A">
        <w:trPr>
          <w:trHeight w:val="870"/>
        </w:trPr>
        <w:tc>
          <w:tcPr>
            <w:tcW w:w="8647" w:type="dxa"/>
          </w:tcPr>
          <w:p w14:paraId="71A4DF78" w14:textId="74CB4EF6" w:rsidR="00323353" w:rsidRPr="00630561" w:rsidRDefault="00323353" w:rsidP="00C2212E">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630561">
              <w:rPr>
                <w:rFonts w:ascii="Verdana" w:hAnsi="Verdana" w:cs="Arial"/>
              </w:rPr>
              <w:t>Ley 80 de 1993</w:t>
            </w:r>
            <w:r w:rsidR="000B5418" w:rsidRPr="00630561">
              <w:rPr>
                <w:rFonts w:ascii="Verdana" w:hAnsi="Verdana" w:cs="Arial"/>
              </w:rPr>
              <w:t>, Artículo 7.</w:t>
            </w:r>
          </w:p>
          <w:p w14:paraId="0B2A78E6" w14:textId="23755CC2" w:rsidR="000B5418" w:rsidRPr="00630561" w:rsidRDefault="00587255" w:rsidP="00C2212E">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630561">
              <w:rPr>
                <w:rFonts w:ascii="Verdana" w:hAnsi="Verdana" w:cs="Arial"/>
              </w:rPr>
              <w:t>Código Civil, Artículo 1505.</w:t>
            </w:r>
          </w:p>
          <w:p w14:paraId="086B1EE2" w14:textId="566345DC" w:rsidR="00587255" w:rsidRPr="00630561" w:rsidRDefault="00122C5D" w:rsidP="00C2212E">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630561">
              <w:rPr>
                <w:rFonts w:ascii="Verdana" w:hAnsi="Verdana" w:cs="Arial"/>
              </w:rPr>
              <w:t>Decreto Ley 150 de 1976.</w:t>
            </w:r>
          </w:p>
          <w:p w14:paraId="4205F33D" w14:textId="4CDFD871" w:rsidR="00122C5D" w:rsidRPr="00630561" w:rsidRDefault="00122C5D" w:rsidP="00C2212E">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630561">
              <w:rPr>
                <w:rFonts w:ascii="Verdana" w:hAnsi="Verdana" w:cs="Arial"/>
              </w:rPr>
              <w:t>Decreto Ley 222 de 1983.</w:t>
            </w:r>
          </w:p>
          <w:p w14:paraId="2639E464" w14:textId="48E1C0DF" w:rsidR="00122C5D" w:rsidRPr="00630561" w:rsidRDefault="0070389A" w:rsidP="00C2212E">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630561">
              <w:rPr>
                <w:rFonts w:ascii="Verdana" w:hAnsi="Verdana" w:cs="Arial"/>
              </w:rPr>
              <w:t>Constitución Política, Artículo 228.</w:t>
            </w:r>
          </w:p>
          <w:p w14:paraId="7F475784" w14:textId="5AB4B893" w:rsidR="0070389A" w:rsidRPr="00630561" w:rsidRDefault="009B56FC" w:rsidP="00C2212E">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630561">
              <w:rPr>
                <w:rFonts w:ascii="Verdana" w:hAnsi="Verdana" w:cs="Arial"/>
              </w:rPr>
              <w:t>Ley 1150 de 2007, Artículo 5.</w:t>
            </w:r>
          </w:p>
          <w:p w14:paraId="6785A242" w14:textId="3C35010E" w:rsidR="0004012D" w:rsidRPr="00630561" w:rsidRDefault="0004012D" w:rsidP="0004012D">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630561">
              <w:rPr>
                <w:rFonts w:ascii="Verdana" w:hAnsi="Verdana" w:cs="Arial"/>
              </w:rPr>
              <w:t>Ley 1882 de 2018.</w:t>
            </w:r>
          </w:p>
          <w:p w14:paraId="6F50360D" w14:textId="5FA3F084" w:rsidR="00E44950" w:rsidRPr="00630561" w:rsidRDefault="00E44950" w:rsidP="00E44950">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630561">
              <w:rPr>
                <w:rFonts w:ascii="Verdana" w:hAnsi="Verdana" w:cs="Arial"/>
              </w:rPr>
              <w:t xml:space="preserve">Sentencia </w:t>
            </w:r>
            <w:r w:rsidRPr="00630561">
              <w:rPr>
                <w:rFonts w:ascii="Verdana" w:eastAsia="Calibri" w:hAnsi="Verdana" w:cs="Arial"/>
                <w:bCs/>
                <w:color w:val="000000"/>
                <w:lang w:val="es-ES_tradnl" w:eastAsia="es-ES_tradnl" w:bidi="es-ES"/>
              </w:rPr>
              <w:t xml:space="preserve">C-949 de 2001. Corte Constitucional. </w:t>
            </w:r>
            <w:r w:rsidR="00962DEE" w:rsidRPr="00630561">
              <w:rPr>
                <w:rFonts w:ascii="Verdana" w:eastAsia="Calibri" w:hAnsi="Verdana" w:cs="Arial"/>
                <w:bCs/>
                <w:color w:val="000000"/>
                <w:lang w:val="es-ES_tradnl" w:eastAsia="es-ES_tradnl" w:bidi="es-ES"/>
              </w:rPr>
              <w:t>M.P. Clara Inés Vargas Hernández.</w:t>
            </w:r>
          </w:p>
          <w:p w14:paraId="445493EB" w14:textId="77777777" w:rsidR="007D6DC0" w:rsidRPr="00630561" w:rsidRDefault="007D6DC0" w:rsidP="007D6DC0">
            <w:pPr>
              <w:pStyle w:val="Prrafodelista"/>
              <w:widowControl w:val="0"/>
              <w:numPr>
                <w:ilvl w:val="0"/>
                <w:numId w:val="17"/>
              </w:numPr>
              <w:tabs>
                <w:tab w:val="left" w:pos="8419"/>
              </w:tabs>
              <w:autoSpaceDE w:val="0"/>
              <w:autoSpaceDN w:val="0"/>
              <w:spacing w:after="120" w:line="276" w:lineRule="auto"/>
              <w:contextualSpacing w:val="0"/>
              <w:jc w:val="both"/>
              <w:rPr>
                <w:rFonts w:ascii="Verdana" w:hAnsi="Verdana" w:cs="Arial"/>
              </w:rPr>
            </w:pPr>
            <w:r w:rsidRPr="00630561">
              <w:rPr>
                <w:rFonts w:ascii="Verdana" w:hAnsi="Verdana" w:cs="Arial"/>
              </w:rPr>
              <w:t xml:space="preserve">Circular Externa Única del 27 de diciembre de 2023. Disponible en: </w:t>
            </w:r>
            <w:hyperlink r:id="rId12" w:history="1">
              <w:r w:rsidRPr="00630561">
                <w:rPr>
                  <w:rStyle w:val="Hipervnculo"/>
                  <w:rFonts w:ascii="Verdana" w:hAnsi="Verdana" w:cs="Arial"/>
                </w:rPr>
                <w:t>https://www.colombiacompra.gov.co/sites/cce_public/files/cce_circulares/circular_externa_unica_version_3_vf49.pdf</w:t>
              </w:r>
            </w:hyperlink>
            <w:r w:rsidRPr="00630561">
              <w:rPr>
                <w:rFonts w:ascii="Verdana" w:hAnsi="Verdana" w:cs="Arial"/>
              </w:rPr>
              <w:t xml:space="preserve"> </w:t>
            </w:r>
          </w:p>
          <w:p w14:paraId="0168B432" w14:textId="3B1311BD" w:rsidR="00B70B75" w:rsidRPr="00630561" w:rsidRDefault="00EA24BF" w:rsidP="00EA24BF">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630561">
              <w:rPr>
                <w:rFonts w:ascii="Verdana" w:eastAsia="Calibri" w:hAnsi="Verdana" w:cs="Arial"/>
                <w:lang w:val="es-ES_tradnl"/>
              </w:rPr>
              <w:t xml:space="preserve">Documentos Tipo para licitación de obra pública de infraestructura de </w:t>
            </w:r>
            <w:r w:rsidRPr="00630561">
              <w:rPr>
                <w:rFonts w:ascii="Verdana" w:eastAsia="Calibri" w:hAnsi="Verdana" w:cs="Arial"/>
                <w:lang w:val="es-ES_tradnl"/>
              </w:rPr>
              <w:lastRenderedPageBreak/>
              <w:t xml:space="preserve">transporte – Versión 4. Disponible en: </w:t>
            </w:r>
            <w:hyperlink r:id="rId13" w:history="1">
              <w:r w:rsidRPr="00630561">
                <w:rPr>
                  <w:rStyle w:val="Hipervnculo"/>
                  <w:rFonts w:ascii="Verdana" w:eastAsia="Calibri" w:hAnsi="Verdana" w:cs="Arial"/>
                  <w:lang w:val="es-ES_tradnl"/>
                </w:rPr>
                <w:t>https://www.colombiacompra.gov.co/content/documentos-tipo-para-licitacion-de-obra-publica-de-infraestructura-de-transporte-version-04</w:t>
              </w:r>
            </w:hyperlink>
            <w:r w:rsidRPr="00630561">
              <w:rPr>
                <w:rFonts w:ascii="Verdana" w:eastAsia="Calibri" w:hAnsi="Verdana" w:cs="Arial"/>
                <w:lang w:val="es-ES_tradnl"/>
              </w:rPr>
              <w:t xml:space="preserve"> </w:t>
            </w:r>
          </w:p>
          <w:p w14:paraId="11A1F26F" w14:textId="35E68112" w:rsidR="006E1C9E" w:rsidRPr="00630561" w:rsidRDefault="006E1C9E" w:rsidP="00C2212E">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630561">
              <w:rPr>
                <w:rFonts w:ascii="Verdana" w:hAnsi="Verdana" w:cs="Arial"/>
              </w:rPr>
              <w:t xml:space="preserve">Resolución Nro. 465 del </w:t>
            </w:r>
            <w:r w:rsidR="009F0648" w:rsidRPr="00630561">
              <w:rPr>
                <w:rFonts w:ascii="Verdana" w:hAnsi="Verdana" w:cs="Arial"/>
              </w:rPr>
              <w:t xml:space="preserve">10 de septiembre del 2024. Disponible en: </w:t>
            </w:r>
            <w:hyperlink r:id="rId14" w:history="1">
              <w:r w:rsidR="009F0648" w:rsidRPr="00630561">
                <w:rPr>
                  <w:rStyle w:val="Hipervnculo"/>
                  <w:rFonts w:ascii="Verdana" w:hAnsi="Verdana" w:cs="Arial"/>
                </w:rPr>
                <w:t>https://www.colombiacompra.gov.co/sites/cce_public/files/files_2020/465_resolucion465.pdf</w:t>
              </w:r>
            </w:hyperlink>
            <w:r w:rsidR="009F0648" w:rsidRPr="00630561">
              <w:rPr>
                <w:rFonts w:ascii="Verdana" w:hAnsi="Verdana" w:cs="Arial"/>
              </w:rPr>
              <w:t xml:space="preserve"> </w:t>
            </w:r>
          </w:p>
          <w:p w14:paraId="534C1931" w14:textId="77777777" w:rsidR="00C2212E" w:rsidRPr="00630561" w:rsidRDefault="00C2212E" w:rsidP="00C2212E">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630561">
              <w:rPr>
                <w:rFonts w:ascii="Verdana" w:hAnsi="Verdana" w:cs="Arial"/>
              </w:rPr>
              <w:t xml:space="preserve">Jurisprudencia del Consejo de Estado. Disponible en: </w:t>
            </w:r>
            <w:hyperlink r:id="rId15" w:history="1">
              <w:r w:rsidRPr="00630561">
                <w:rPr>
                  <w:rStyle w:val="Hipervnculo"/>
                  <w:rFonts w:ascii="Verdana" w:hAnsi="Verdana" w:cs="Arial"/>
                </w:rPr>
                <w:t>https://relatoria.colombiacompra.gov.co/providencias-consejo-de-estado/</w:t>
              </w:r>
            </w:hyperlink>
            <w:r w:rsidRPr="00630561">
              <w:rPr>
                <w:rFonts w:ascii="Verdana" w:hAnsi="Verdana" w:cs="Arial"/>
              </w:rPr>
              <w:t xml:space="preserve"> </w:t>
            </w:r>
          </w:p>
          <w:p w14:paraId="296F3E8D" w14:textId="77777777" w:rsidR="00C2212E" w:rsidRPr="00630561" w:rsidRDefault="00C2212E" w:rsidP="00C2212E">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630561">
              <w:rPr>
                <w:rFonts w:ascii="Verdana" w:hAnsi="Verdana" w:cs="Arial"/>
              </w:rPr>
              <w:t>Guías y manuales expedidos por la ANCP-CCE. Disponible en</w:t>
            </w:r>
            <w:r w:rsidRPr="00630561">
              <w:rPr>
                <w:rFonts w:ascii="Verdana" w:hAnsi="Verdana" w:cs="Arial"/>
                <w:color w:val="7030A0"/>
              </w:rPr>
              <w:t>:</w:t>
            </w:r>
            <w:r w:rsidRPr="00630561">
              <w:rPr>
                <w:rFonts w:ascii="Verdana" w:hAnsi="Verdana"/>
                <w:color w:val="7030A0"/>
              </w:rPr>
              <w:t xml:space="preserve"> </w:t>
            </w:r>
            <w:hyperlink r:id="rId16" w:history="1">
              <w:r w:rsidRPr="00630561">
                <w:rPr>
                  <w:rStyle w:val="Hipervnculo"/>
                  <w:rFonts w:ascii="Verdana" w:hAnsi="Verdana" w:cs="Arial"/>
                </w:rPr>
                <w:t>https://www.colombiacompra.gov.co/manuales-guias-y-pliegos-tipo/manuales-y-guias</w:t>
              </w:r>
            </w:hyperlink>
            <w:r w:rsidRPr="00630561">
              <w:rPr>
                <w:rFonts w:ascii="Verdana" w:hAnsi="Verdana" w:cs="Arial"/>
              </w:rPr>
              <w:t xml:space="preserve"> </w:t>
            </w:r>
          </w:p>
        </w:tc>
      </w:tr>
    </w:tbl>
    <w:p w14:paraId="68016B72" w14:textId="77777777" w:rsidR="00C2212E" w:rsidRPr="00630561" w:rsidRDefault="00C2212E" w:rsidP="00C2212E">
      <w:pPr>
        <w:widowControl w:val="0"/>
        <w:autoSpaceDE w:val="0"/>
        <w:autoSpaceDN w:val="0"/>
        <w:spacing w:after="0" w:line="276" w:lineRule="auto"/>
        <w:jc w:val="both"/>
        <w:rPr>
          <w:rFonts w:ascii="Verdana" w:hAnsi="Verdana" w:cs="Arial"/>
        </w:rPr>
      </w:pPr>
    </w:p>
    <w:p w14:paraId="1983E6E8" w14:textId="77777777" w:rsidR="00C2212E" w:rsidRPr="00630561" w:rsidRDefault="00C2212E" w:rsidP="00C2212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30561">
        <w:rPr>
          <w:rFonts w:ascii="Verdana" w:eastAsia="Century Gothic" w:hAnsi="Verdana" w:cs="Century Gothic"/>
          <w:b/>
          <w:bCs/>
        </w:rPr>
        <w:t>Doctrina de la Agencia Nacional de Contratación Pública:</w:t>
      </w:r>
    </w:p>
    <w:p w14:paraId="743E1ABC" w14:textId="77777777" w:rsidR="00C2212E" w:rsidRPr="00630561" w:rsidRDefault="00C2212E" w:rsidP="00C2212E">
      <w:pPr>
        <w:widowControl w:val="0"/>
        <w:autoSpaceDE w:val="0"/>
        <w:autoSpaceDN w:val="0"/>
        <w:spacing w:after="0" w:line="276" w:lineRule="auto"/>
        <w:jc w:val="both"/>
        <w:rPr>
          <w:rFonts w:ascii="Verdana" w:hAnsi="Verdana" w:cs="Arial"/>
        </w:rPr>
      </w:pPr>
    </w:p>
    <w:p w14:paraId="024660E9" w14:textId="3CFB0590" w:rsidR="00C2212E" w:rsidRPr="00630561" w:rsidRDefault="00C2212E" w:rsidP="00C2212E">
      <w:pPr>
        <w:widowControl w:val="0"/>
        <w:autoSpaceDE w:val="0"/>
        <w:autoSpaceDN w:val="0"/>
        <w:spacing w:after="0" w:line="276" w:lineRule="auto"/>
        <w:jc w:val="both"/>
        <w:rPr>
          <w:rFonts w:ascii="Verdana" w:hAnsi="Verdana" w:cs="Arial"/>
          <w:shd w:val="clear" w:color="auto" w:fill="FFFFFF"/>
          <w:lang w:val="es-ES"/>
        </w:rPr>
      </w:pPr>
      <w:r w:rsidRPr="00630561">
        <w:rPr>
          <w:rStyle w:val="normaltextrun"/>
          <w:rFonts w:ascii="Verdana" w:hAnsi="Verdana" w:cs="Arial"/>
          <w:shd w:val="clear" w:color="auto" w:fill="FFFFFF"/>
          <w:lang w:val="es-ES"/>
        </w:rPr>
        <w:t xml:space="preserve">Sobre </w:t>
      </w:r>
      <w:r w:rsidR="00E8184A" w:rsidRPr="00630561">
        <w:rPr>
          <w:rStyle w:val="normaltextrun"/>
          <w:rFonts w:ascii="Verdana" w:hAnsi="Verdana" w:cs="Arial"/>
          <w:shd w:val="clear" w:color="auto" w:fill="FFFFFF"/>
          <w:lang w:val="es-ES"/>
        </w:rPr>
        <w:t xml:space="preserve">las reglas de </w:t>
      </w:r>
      <w:proofErr w:type="spellStart"/>
      <w:r w:rsidR="00E8184A" w:rsidRPr="00630561">
        <w:rPr>
          <w:rStyle w:val="normaltextrun"/>
          <w:rFonts w:ascii="Verdana" w:hAnsi="Verdana" w:cs="Arial"/>
          <w:shd w:val="clear" w:color="auto" w:fill="FFFFFF"/>
          <w:lang w:val="es-ES"/>
        </w:rPr>
        <w:t>subsanabilidad</w:t>
      </w:r>
      <w:proofErr w:type="spellEnd"/>
      <w:r w:rsidR="00E8184A" w:rsidRPr="00630561">
        <w:rPr>
          <w:rStyle w:val="normaltextrun"/>
          <w:rFonts w:ascii="Verdana" w:hAnsi="Verdana" w:cs="Arial"/>
          <w:shd w:val="clear" w:color="auto" w:fill="FFFFFF"/>
          <w:lang w:val="es-ES"/>
        </w:rPr>
        <w:t xml:space="preserve"> de las ofertas</w:t>
      </w:r>
      <w:r w:rsidR="0051418F" w:rsidRPr="00630561">
        <w:rPr>
          <w:rStyle w:val="normaltextrun"/>
          <w:rFonts w:ascii="Verdana" w:hAnsi="Verdana" w:cs="Arial"/>
          <w:shd w:val="clear" w:color="auto" w:fill="FFFFFF"/>
          <w:lang w:val="es-ES"/>
        </w:rPr>
        <w:t xml:space="preserve">, esta subdirección se ha pronunciado en los conceptos Nro. </w:t>
      </w:r>
      <w:r w:rsidR="00E8184A" w:rsidRPr="00630561">
        <w:rPr>
          <w:rStyle w:val="normaltextrun"/>
          <w:rFonts w:ascii="Verdana" w:hAnsi="Verdana" w:cs="Arial"/>
          <w:shd w:val="clear" w:color="auto" w:fill="FFFFFF"/>
          <w:lang w:val="es-ES"/>
        </w:rPr>
        <w:t>C-802 del 1 de febrero de 2021, C-010 del 16 de febrero de 2021, C-217 del 14 de mayo de 2021, C-250 del 2 de junio de 2021, C-877 del 22 de diciembre de 2022, C-058 del 10 de mayo de 2023, C-125 del 11 de mayo de 2023 y C-265 del 26 de julio de 2023 y C-409 del 20 de noviembre de 2023</w:t>
      </w:r>
      <w:r w:rsidR="0010590C" w:rsidRPr="00630561">
        <w:rPr>
          <w:rStyle w:val="normaltextrun"/>
          <w:rFonts w:ascii="Verdana" w:hAnsi="Verdana" w:cs="Arial"/>
          <w:shd w:val="clear" w:color="auto" w:fill="FFFFFF"/>
          <w:lang w:val="es-ES"/>
        </w:rPr>
        <w:t xml:space="preserve">, </w:t>
      </w:r>
      <w:r w:rsidR="004A77A0" w:rsidRPr="00630561">
        <w:rPr>
          <w:rStyle w:val="normaltextrun"/>
          <w:rFonts w:ascii="Verdana" w:hAnsi="Verdana" w:cs="Arial"/>
          <w:shd w:val="clear" w:color="auto" w:fill="FFFFFF"/>
          <w:lang w:val="es-ES"/>
        </w:rPr>
        <w:t xml:space="preserve">C-230 del 06 de agosto del 2024, </w:t>
      </w:r>
      <w:r w:rsidR="007E1E21" w:rsidRPr="00630561">
        <w:rPr>
          <w:rStyle w:val="normaltextrun"/>
          <w:rFonts w:ascii="Verdana" w:hAnsi="Verdana" w:cs="Arial"/>
          <w:shd w:val="clear" w:color="auto" w:fill="FFFFFF"/>
          <w:lang w:val="es-ES"/>
        </w:rPr>
        <w:t xml:space="preserve">C-290 del 15 de agosto del 2024, </w:t>
      </w:r>
      <w:r w:rsidR="005043FB" w:rsidRPr="00630561">
        <w:rPr>
          <w:rStyle w:val="normaltextrun"/>
          <w:rFonts w:ascii="Verdana" w:hAnsi="Verdana" w:cs="Arial"/>
          <w:shd w:val="clear" w:color="auto" w:fill="FFFFFF"/>
          <w:lang w:val="es-ES"/>
        </w:rPr>
        <w:t>C-</w:t>
      </w:r>
      <w:r w:rsidR="001A194A" w:rsidRPr="00630561">
        <w:rPr>
          <w:rStyle w:val="normaltextrun"/>
          <w:rFonts w:ascii="Verdana" w:hAnsi="Verdana" w:cs="Arial"/>
          <w:shd w:val="clear" w:color="auto" w:fill="FFFFFF"/>
          <w:lang w:val="es-ES"/>
        </w:rPr>
        <w:t xml:space="preserve">316 del 23 de agosto del 2024 y </w:t>
      </w:r>
      <w:r w:rsidR="001B3CB0" w:rsidRPr="00630561">
        <w:rPr>
          <w:rStyle w:val="normaltextrun"/>
          <w:rFonts w:ascii="Verdana" w:hAnsi="Verdana" w:cs="Arial"/>
          <w:shd w:val="clear" w:color="auto" w:fill="FFFFFF"/>
          <w:lang w:val="es-ES"/>
        </w:rPr>
        <w:t>C-369 del 03 de septiembre del 2024.</w:t>
      </w:r>
      <w:r w:rsidR="00730B3F" w:rsidRPr="00630561">
        <w:rPr>
          <w:rStyle w:val="normaltextrun"/>
          <w:rFonts w:ascii="Verdana" w:hAnsi="Verdana" w:cs="Arial"/>
          <w:shd w:val="clear" w:color="auto" w:fill="FFFFFF"/>
          <w:lang w:val="es-ES"/>
        </w:rPr>
        <w:t xml:space="preserve"> </w:t>
      </w:r>
      <w:r w:rsidRPr="00630561">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7" w:tgtFrame="_blank" w:tooltip="Dirección URL original: https://relatoria.colombiacompra.gov.co/. Haga clic o pulse si confía en este vínculo." w:history="1">
        <w:r w:rsidRPr="00630561">
          <w:rPr>
            <w:rStyle w:val="Hipervnculo"/>
            <w:rFonts w:ascii="Verdana" w:hAnsi="Verdana" w:cs="Arial"/>
            <w:shd w:val="clear" w:color="auto" w:fill="FFFFFF"/>
          </w:rPr>
          <w:t>https://relatoria.colombiacompra.gov.co/</w:t>
        </w:r>
      </w:hyperlink>
      <w:r w:rsidRPr="00630561">
        <w:rPr>
          <w:rFonts w:ascii="Verdana" w:hAnsi="Verdana" w:cs="Arial"/>
          <w:shd w:val="clear" w:color="auto" w:fill="FFFFFF"/>
        </w:rPr>
        <w:t xml:space="preserve"> . </w:t>
      </w:r>
    </w:p>
    <w:p w14:paraId="6100732E" w14:textId="77777777" w:rsidR="00C2212E" w:rsidRPr="00630561" w:rsidRDefault="00C2212E" w:rsidP="00C2212E">
      <w:pPr>
        <w:widowControl w:val="0"/>
        <w:autoSpaceDE w:val="0"/>
        <w:autoSpaceDN w:val="0"/>
        <w:spacing w:after="0" w:line="276" w:lineRule="auto"/>
        <w:jc w:val="both"/>
        <w:rPr>
          <w:rFonts w:ascii="Verdana" w:hAnsi="Verdana" w:cs="Arial"/>
          <w:shd w:val="clear" w:color="auto" w:fill="FFFFFF"/>
        </w:rPr>
      </w:pPr>
    </w:p>
    <w:p w14:paraId="694F8FD1" w14:textId="77777777" w:rsidR="00C2212E" w:rsidRPr="00630561" w:rsidRDefault="00C2212E" w:rsidP="00C2212E">
      <w:pPr>
        <w:widowControl w:val="0"/>
        <w:autoSpaceDE w:val="0"/>
        <w:autoSpaceDN w:val="0"/>
        <w:spacing w:after="0" w:line="276" w:lineRule="auto"/>
        <w:jc w:val="both"/>
        <w:rPr>
          <w:rFonts w:ascii="Verdana" w:hAnsi="Verdana" w:cs="Arial"/>
          <w:shd w:val="clear" w:color="auto" w:fill="FFFFFF"/>
        </w:rPr>
      </w:pPr>
      <w:r w:rsidRPr="00630561">
        <w:rPr>
          <w:rFonts w:ascii="Verdana" w:hAnsi="Verdana" w:cs="Arial"/>
          <w:shd w:val="clear" w:color="auto" w:fill="FFFFFF"/>
        </w:rPr>
        <w:t>Te invitamos también a revisar la tercera edición del  Boletín de Relatoría de 2024 en el cual podrás consultar en detalle el marco normativo de documentos tipo: </w:t>
      </w:r>
      <w:hyperlink r:id="rId18" w:tgtFrame="_blank" w:tooltip="Dirección URL original: https://www.colombiacompra.gov.co/sites/cce_public/files/files_2020/boletin_de_realtoria_iii.pdf. Haga clic o pulse si confía en este vínculo." w:history="1">
        <w:r w:rsidRPr="00630561">
          <w:rPr>
            <w:rStyle w:val="Hipervnculo"/>
            <w:rFonts w:ascii="Verdana" w:hAnsi="Verdana" w:cs="Arial"/>
            <w:shd w:val="clear" w:color="auto" w:fill="FFFFFF"/>
          </w:rPr>
          <w:t>https://www.colombiacompra.gov.co/sites/cce_public/files/files_2020/boletin_de_realtoria_iii.pdf</w:t>
        </w:r>
      </w:hyperlink>
      <w:r w:rsidRPr="00630561">
        <w:rPr>
          <w:rFonts w:ascii="Verdana" w:hAnsi="Verdana" w:cs="Arial"/>
          <w:shd w:val="clear" w:color="auto" w:fill="FFFFFF"/>
        </w:rPr>
        <w:t> "</w:t>
      </w:r>
    </w:p>
    <w:p w14:paraId="2C4D292E" w14:textId="77777777" w:rsidR="00C2212E" w:rsidRPr="00630561" w:rsidRDefault="00C2212E" w:rsidP="00C2212E">
      <w:pPr>
        <w:spacing w:after="0" w:line="240" w:lineRule="auto"/>
        <w:jc w:val="both"/>
        <w:rPr>
          <w:rStyle w:val="normaltextrun"/>
          <w:rFonts w:ascii="Verdana" w:hAnsi="Verdana" w:cs="Arial"/>
          <w:color w:val="000000" w:themeColor="text1"/>
          <w:shd w:val="clear" w:color="auto" w:fill="FFFFFF"/>
          <w:lang w:val="es-ES"/>
        </w:rPr>
      </w:pPr>
    </w:p>
    <w:p w14:paraId="2731A4E7" w14:textId="77777777" w:rsidR="00C2212E" w:rsidRPr="00630561" w:rsidRDefault="00C2212E" w:rsidP="00C2212E">
      <w:pPr>
        <w:spacing w:after="0" w:line="240" w:lineRule="auto"/>
        <w:jc w:val="both"/>
        <w:rPr>
          <w:rFonts w:ascii="Verdana" w:hAnsi="Verdana"/>
        </w:rPr>
      </w:pPr>
      <w:r w:rsidRPr="00630561">
        <w:rPr>
          <w:rFonts w:ascii="Verdana" w:hAnsi="Verdana"/>
        </w:rPr>
        <w:lastRenderedPageBreak/>
        <w:t xml:space="preserve">Por último, lo invitamos a seguirnos en las redes sociales en las cuales se difunde información institucional: </w:t>
      </w:r>
    </w:p>
    <w:p w14:paraId="368FE791" w14:textId="77777777" w:rsidR="00C2212E" w:rsidRPr="00630561" w:rsidRDefault="00C2212E" w:rsidP="00C2212E">
      <w:pPr>
        <w:spacing w:after="0" w:line="240" w:lineRule="auto"/>
        <w:jc w:val="both"/>
        <w:rPr>
          <w:rFonts w:ascii="Verdana" w:hAnsi="Verdana"/>
        </w:rPr>
      </w:pPr>
    </w:p>
    <w:p w14:paraId="49B3819D" w14:textId="77777777" w:rsidR="00C2212E" w:rsidRPr="00630561" w:rsidRDefault="00C2212E" w:rsidP="00C2212E">
      <w:pPr>
        <w:spacing w:after="0" w:line="240" w:lineRule="auto"/>
        <w:jc w:val="both"/>
        <w:rPr>
          <w:rFonts w:ascii="Verdana" w:hAnsi="Verdana"/>
        </w:rPr>
      </w:pPr>
      <w:r w:rsidRPr="00630561">
        <w:rPr>
          <w:rFonts w:ascii="Verdana" w:hAnsi="Verdana"/>
        </w:rPr>
        <w:t xml:space="preserve">Twitter: </w:t>
      </w:r>
      <w:r w:rsidRPr="00630561">
        <w:rPr>
          <w:rStyle w:val="Hipervnculo"/>
          <w:rFonts w:ascii="Verdana" w:hAnsi="Verdana"/>
          <w:color w:val="4472C4" w:themeColor="accent1"/>
        </w:rPr>
        <w:t>@colombiacompra</w:t>
      </w:r>
      <w:r w:rsidRPr="00630561">
        <w:rPr>
          <w:rFonts w:ascii="Verdana" w:hAnsi="Verdana"/>
          <w:color w:val="4472C4" w:themeColor="accent1"/>
        </w:rPr>
        <w:t xml:space="preserve"> </w:t>
      </w:r>
    </w:p>
    <w:p w14:paraId="06803902" w14:textId="77777777" w:rsidR="00C2212E" w:rsidRPr="00630561" w:rsidRDefault="00C2212E" w:rsidP="00C2212E">
      <w:pPr>
        <w:spacing w:after="0" w:line="240" w:lineRule="auto"/>
        <w:jc w:val="both"/>
        <w:rPr>
          <w:rFonts w:ascii="Verdana" w:hAnsi="Verdana"/>
        </w:rPr>
      </w:pPr>
      <w:r w:rsidRPr="00630561">
        <w:rPr>
          <w:rFonts w:ascii="Verdana" w:hAnsi="Verdana"/>
        </w:rPr>
        <w:t xml:space="preserve">Facebook: </w:t>
      </w:r>
      <w:proofErr w:type="spellStart"/>
      <w:r w:rsidRPr="00630561">
        <w:rPr>
          <w:rStyle w:val="Hipervnculo"/>
          <w:rFonts w:ascii="Verdana" w:hAnsi="Verdana"/>
          <w:color w:val="4472C4" w:themeColor="accent1"/>
        </w:rPr>
        <w:t>ColombiaCompraEficiente</w:t>
      </w:r>
      <w:proofErr w:type="spellEnd"/>
    </w:p>
    <w:p w14:paraId="0017B475" w14:textId="77777777" w:rsidR="00C2212E" w:rsidRPr="00630561" w:rsidRDefault="00C2212E" w:rsidP="00C2212E">
      <w:pPr>
        <w:spacing w:after="0" w:line="240" w:lineRule="auto"/>
        <w:jc w:val="both"/>
        <w:rPr>
          <w:rFonts w:ascii="Verdana" w:hAnsi="Verdana"/>
        </w:rPr>
      </w:pPr>
      <w:r w:rsidRPr="00630561">
        <w:rPr>
          <w:rFonts w:ascii="Verdana" w:hAnsi="Verdana"/>
        </w:rPr>
        <w:t xml:space="preserve">LinkedIn: </w:t>
      </w:r>
      <w:r w:rsidRPr="00630561">
        <w:rPr>
          <w:rStyle w:val="Hipervnculo"/>
          <w:rFonts w:ascii="Verdana" w:hAnsi="Verdana"/>
          <w:color w:val="4472C4" w:themeColor="accent1"/>
        </w:rPr>
        <w:t>Agencia Nacional de Contratación Pública - Colombia Compra Eficiente</w:t>
      </w:r>
      <w:r w:rsidRPr="00630561">
        <w:rPr>
          <w:rFonts w:ascii="Verdana" w:hAnsi="Verdana"/>
          <w:color w:val="4472C4" w:themeColor="accent1"/>
        </w:rPr>
        <w:t xml:space="preserve"> </w:t>
      </w:r>
      <w:r w:rsidRPr="00630561">
        <w:rPr>
          <w:rFonts w:ascii="Verdana" w:hAnsi="Verdana"/>
        </w:rPr>
        <w:t xml:space="preserve">Instagram: </w:t>
      </w:r>
      <w:r w:rsidRPr="00630561">
        <w:rPr>
          <w:rStyle w:val="Hipervnculo"/>
          <w:rFonts w:ascii="Verdana" w:hAnsi="Verdana"/>
          <w:color w:val="4472C4" w:themeColor="accent1"/>
        </w:rPr>
        <w:t>@colombiacompraeficiente_cce</w:t>
      </w:r>
    </w:p>
    <w:p w14:paraId="28729EDC" w14:textId="77777777" w:rsidR="00C2212E" w:rsidRPr="00630561" w:rsidRDefault="00C2212E" w:rsidP="00C2212E">
      <w:pPr>
        <w:widowControl w:val="0"/>
        <w:autoSpaceDE w:val="0"/>
        <w:autoSpaceDN w:val="0"/>
        <w:spacing w:after="0" w:line="276" w:lineRule="auto"/>
        <w:jc w:val="both"/>
        <w:rPr>
          <w:rFonts w:ascii="Verdana" w:hAnsi="Verdana" w:cs="Arial"/>
        </w:rPr>
      </w:pPr>
    </w:p>
    <w:p w14:paraId="504513CC" w14:textId="77777777" w:rsidR="00C2212E" w:rsidRPr="00630561" w:rsidRDefault="00C2212E" w:rsidP="00C2212E">
      <w:pPr>
        <w:widowControl w:val="0"/>
        <w:autoSpaceDE w:val="0"/>
        <w:autoSpaceDN w:val="0"/>
        <w:spacing w:after="0" w:line="276" w:lineRule="auto"/>
        <w:jc w:val="both"/>
        <w:rPr>
          <w:rFonts w:ascii="Verdana" w:hAnsi="Verdana" w:cs="Arial"/>
          <w:lang w:val="es-ES_tradnl"/>
        </w:rPr>
      </w:pPr>
      <w:r w:rsidRPr="00630561">
        <w:rPr>
          <w:rFonts w:ascii="Verdana" w:hAnsi="Verdana" w:cs="Arial"/>
        </w:rPr>
        <w:t xml:space="preserve">Este concepto tiene el alcance previsto en el artículo 28 del Código de Procedimiento Administrativo y de lo Contencioso Administrativo </w:t>
      </w:r>
      <w:r w:rsidRPr="00630561">
        <w:rPr>
          <w:rFonts w:ascii="Verdana" w:hAnsi="Verdana" w:cs="Arial"/>
          <w:lang w:val="es-ES_tradnl"/>
        </w:rPr>
        <w:t>y las expresiones aquí utilizadas con mayúscula inicial deben ser entendidas con el significado que les otorga el artículo 2.2.1.1.1.3.1. del Decreto 1082 de 2015.</w:t>
      </w:r>
    </w:p>
    <w:p w14:paraId="0515513B" w14:textId="77777777" w:rsidR="00C2212E" w:rsidRPr="00630561" w:rsidRDefault="00C2212E" w:rsidP="00C2212E">
      <w:pPr>
        <w:widowControl w:val="0"/>
        <w:autoSpaceDE w:val="0"/>
        <w:autoSpaceDN w:val="0"/>
        <w:spacing w:after="0" w:line="276" w:lineRule="auto"/>
        <w:jc w:val="both"/>
        <w:rPr>
          <w:rFonts w:ascii="Verdana" w:hAnsi="Verdana" w:cs="Arial"/>
        </w:rPr>
      </w:pPr>
    </w:p>
    <w:p w14:paraId="1DD9E8ED" w14:textId="77777777" w:rsidR="00C2212E" w:rsidRPr="00630561" w:rsidRDefault="00C2212E" w:rsidP="00C2212E">
      <w:pPr>
        <w:spacing w:after="0" w:line="240" w:lineRule="auto"/>
        <w:rPr>
          <w:rFonts w:ascii="Verdana" w:hAnsi="Verdana" w:cs="Arial"/>
          <w:lang w:eastAsia="es-CO"/>
        </w:rPr>
      </w:pPr>
      <w:r w:rsidRPr="00630561">
        <w:rPr>
          <w:rFonts w:ascii="Verdana" w:eastAsia="Times New Roman" w:hAnsi="Verdana" w:cs="Arial"/>
          <w:lang w:eastAsia="es-CO"/>
        </w:rPr>
        <w:t>Atentamente,</w:t>
      </w:r>
      <w:r w:rsidRPr="00630561">
        <w:rPr>
          <w:rFonts w:ascii="Verdana" w:hAnsi="Verdana" w:cs="Arial"/>
          <w:lang w:eastAsia="es-CO"/>
        </w:rPr>
        <w:t xml:space="preserve"> </w:t>
      </w:r>
    </w:p>
    <w:p w14:paraId="4BC9912E" w14:textId="3DB95620" w:rsidR="00C2212E" w:rsidRPr="00630561" w:rsidRDefault="00B67453" w:rsidP="00C2212E">
      <w:pPr>
        <w:spacing w:line="276" w:lineRule="auto"/>
        <w:jc w:val="center"/>
        <w:rPr>
          <w:rFonts w:ascii="Verdana" w:hAnsi="Verdana" w:cs="Arial"/>
          <w:color w:val="000000"/>
          <w:lang w:val="es-ES_tradnl" w:eastAsia="es-CO"/>
        </w:rPr>
      </w:pPr>
      <w:r w:rsidRPr="00630561">
        <w:rPr>
          <w:rFonts w:ascii="Verdana" w:hAnsi="Verdana"/>
          <w:noProof/>
        </w:rPr>
        <w:drawing>
          <wp:inline distT="0" distB="0" distL="0" distR="0" wp14:anchorId="0A29DFB9" wp14:editId="0378645F">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9"/>
                    <a:stretch>
                      <a:fillRect/>
                    </a:stretch>
                  </pic:blipFill>
                  <pic:spPr>
                    <a:xfrm>
                      <a:off x="0" y="0"/>
                      <a:ext cx="3705742" cy="1590897"/>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C2212E" w:rsidRPr="00630561" w14:paraId="2BAF4E6D" w14:textId="77777777" w:rsidTr="007C323A">
        <w:trPr>
          <w:trHeight w:val="315"/>
        </w:trPr>
        <w:tc>
          <w:tcPr>
            <w:tcW w:w="893" w:type="dxa"/>
            <w:vAlign w:val="center"/>
            <w:hideMark/>
          </w:tcPr>
          <w:p w14:paraId="0ED37DB0" w14:textId="77777777" w:rsidR="00C2212E" w:rsidRPr="00630561" w:rsidRDefault="00C2212E" w:rsidP="007C323A">
            <w:pPr>
              <w:contextualSpacing/>
              <w:rPr>
                <w:rFonts w:ascii="Verdana" w:hAnsi="Verdana" w:cs="Arial"/>
                <w:sz w:val="16"/>
                <w:szCs w:val="16"/>
                <w:lang w:val="es-ES" w:eastAsia="es-ES"/>
              </w:rPr>
            </w:pPr>
            <w:r w:rsidRPr="00630561">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62897299" w14:textId="77777777" w:rsidR="00C2212E" w:rsidRPr="00630561" w:rsidRDefault="00C2212E" w:rsidP="007C323A">
            <w:pPr>
              <w:contextualSpacing/>
              <w:rPr>
                <w:rFonts w:ascii="Verdana" w:eastAsia="Arial" w:hAnsi="Verdana" w:cs="Arial"/>
                <w:sz w:val="16"/>
                <w:szCs w:val="16"/>
              </w:rPr>
            </w:pPr>
            <w:r w:rsidRPr="00630561">
              <w:rPr>
                <w:rFonts w:ascii="Verdana" w:eastAsia="Arial" w:hAnsi="Verdana" w:cs="Arial"/>
                <w:sz w:val="16"/>
                <w:szCs w:val="16"/>
              </w:rPr>
              <w:t>Ana María Ortiz Ballesteros</w:t>
            </w:r>
          </w:p>
          <w:p w14:paraId="4DFE311F" w14:textId="77777777" w:rsidR="00C2212E" w:rsidRPr="00630561" w:rsidRDefault="00C2212E" w:rsidP="007C323A">
            <w:pPr>
              <w:contextualSpacing/>
              <w:rPr>
                <w:rFonts w:ascii="Verdana" w:eastAsia="Arial" w:hAnsi="Verdana" w:cs="Arial"/>
                <w:sz w:val="16"/>
                <w:szCs w:val="16"/>
              </w:rPr>
            </w:pPr>
            <w:r w:rsidRPr="00630561">
              <w:rPr>
                <w:rStyle w:val="normaltextrun"/>
                <w:rFonts w:ascii="Verdana" w:eastAsia="Arial" w:hAnsi="Verdana" w:cs="Arial"/>
                <w:sz w:val="16"/>
                <w:szCs w:val="16"/>
              </w:rPr>
              <w:t>C</w:t>
            </w:r>
            <w:r w:rsidRPr="00630561">
              <w:rPr>
                <w:rStyle w:val="normaltextrun"/>
                <w:rFonts w:ascii="Verdana" w:hAnsi="Verdana"/>
                <w:sz w:val="16"/>
                <w:szCs w:val="16"/>
              </w:rPr>
              <w:t>ontratista</w:t>
            </w:r>
            <w:r w:rsidRPr="00630561">
              <w:rPr>
                <w:rStyle w:val="normaltextrun"/>
                <w:rFonts w:ascii="Verdana" w:eastAsia="Arial" w:hAnsi="Verdana" w:cs="Arial"/>
                <w:sz w:val="16"/>
                <w:szCs w:val="16"/>
              </w:rPr>
              <w:t xml:space="preserve"> de la Subdirección de Gestión Contractual</w:t>
            </w:r>
          </w:p>
        </w:tc>
      </w:tr>
      <w:tr w:rsidR="00C2212E" w:rsidRPr="00630561" w14:paraId="1FC9FA5E" w14:textId="77777777" w:rsidTr="007C323A">
        <w:trPr>
          <w:trHeight w:val="330"/>
        </w:trPr>
        <w:tc>
          <w:tcPr>
            <w:tcW w:w="893" w:type="dxa"/>
            <w:vAlign w:val="center"/>
            <w:hideMark/>
          </w:tcPr>
          <w:p w14:paraId="7F606F1B" w14:textId="77777777" w:rsidR="00C2212E" w:rsidRPr="00630561" w:rsidRDefault="00C2212E" w:rsidP="007C323A">
            <w:pPr>
              <w:contextualSpacing/>
              <w:rPr>
                <w:rFonts w:ascii="Verdana" w:hAnsi="Verdana" w:cs="Arial"/>
                <w:sz w:val="16"/>
                <w:szCs w:val="16"/>
                <w:lang w:val="es-ES" w:eastAsia="es-ES"/>
              </w:rPr>
            </w:pPr>
            <w:r w:rsidRPr="00630561">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19351E6" w14:textId="06A424C3" w:rsidR="00C2212E" w:rsidRPr="00630561" w:rsidRDefault="00B3159B" w:rsidP="007C323A">
            <w:pPr>
              <w:pStyle w:val="paragraph"/>
              <w:spacing w:after="0"/>
              <w:contextualSpacing/>
              <w:textAlignment w:val="baseline"/>
              <w:rPr>
                <w:rStyle w:val="normaltextrun"/>
                <w:rFonts w:ascii="Verdana" w:hAnsi="Verdana" w:cs="Arial"/>
                <w:sz w:val="16"/>
                <w:szCs w:val="16"/>
                <w:lang w:val="es-ES"/>
              </w:rPr>
            </w:pPr>
            <w:r w:rsidRPr="00630561">
              <w:rPr>
                <w:rStyle w:val="normaltextrun"/>
                <w:rFonts w:ascii="Verdana" w:hAnsi="Verdana" w:cs="Arial"/>
                <w:sz w:val="16"/>
                <w:szCs w:val="16"/>
                <w:lang w:val="es-ES"/>
              </w:rPr>
              <w:t xml:space="preserve">Juan David Cárdenas </w:t>
            </w:r>
            <w:r w:rsidR="003F3844" w:rsidRPr="00630561">
              <w:rPr>
                <w:rStyle w:val="normaltextrun"/>
                <w:rFonts w:ascii="Verdana" w:hAnsi="Verdana" w:cs="Arial"/>
                <w:sz w:val="16"/>
                <w:szCs w:val="16"/>
                <w:lang w:val="es-ES"/>
              </w:rPr>
              <w:t xml:space="preserve">Cabeza </w:t>
            </w:r>
          </w:p>
          <w:p w14:paraId="7BB9BE64" w14:textId="0A000428" w:rsidR="00C2212E" w:rsidRPr="00630561" w:rsidRDefault="00B3159B" w:rsidP="007C323A">
            <w:pPr>
              <w:pStyle w:val="paragraph"/>
              <w:spacing w:before="0" w:beforeAutospacing="0" w:after="0" w:afterAutospacing="0"/>
              <w:contextualSpacing/>
              <w:textAlignment w:val="baseline"/>
              <w:rPr>
                <w:rFonts w:ascii="Verdana" w:hAnsi="Verdana" w:cs="Segoe UI"/>
                <w:sz w:val="16"/>
                <w:szCs w:val="16"/>
              </w:rPr>
            </w:pPr>
            <w:r w:rsidRPr="00630561">
              <w:rPr>
                <w:rStyle w:val="normaltextrun"/>
                <w:rFonts w:ascii="Verdana" w:eastAsia="Arial" w:hAnsi="Verdana" w:cs="Arial"/>
                <w:sz w:val="16"/>
                <w:szCs w:val="16"/>
              </w:rPr>
              <w:t>C</w:t>
            </w:r>
            <w:r w:rsidRPr="00630561">
              <w:rPr>
                <w:rStyle w:val="normaltextrun"/>
                <w:rFonts w:ascii="Verdana" w:hAnsi="Verdana"/>
                <w:sz w:val="16"/>
                <w:szCs w:val="16"/>
              </w:rPr>
              <w:t>ontratista</w:t>
            </w:r>
            <w:r w:rsidRPr="00630561">
              <w:rPr>
                <w:rStyle w:val="normaltextrun"/>
                <w:rFonts w:ascii="Verdana" w:eastAsia="Arial" w:hAnsi="Verdana" w:cs="Arial"/>
                <w:sz w:val="16"/>
                <w:szCs w:val="16"/>
              </w:rPr>
              <w:t xml:space="preserve"> de la Subdirección de Gestión Contractual</w:t>
            </w:r>
          </w:p>
        </w:tc>
      </w:tr>
      <w:tr w:rsidR="00C2212E" w:rsidRPr="00630561" w14:paraId="646204EA" w14:textId="77777777" w:rsidTr="007C323A">
        <w:trPr>
          <w:trHeight w:val="300"/>
        </w:trPr>
        <w:tc>
          <w:tcPr>
            <w:tcW w:w="893" w:type="dxa"/>
            <w:vAlign w:val="center"/>
          </w:tcPr>
          <w:p w14:paraId="22969B54" w14:textId="77777777" w:rsidR="00C2212E" w:rsidRPr="00630561" w:rsidRDefault="00C2212E" w:rsidP="007C323A">
            <w:pPr>
              <w:contextualSpacing/>
              <w:rPr>
                <w:rFonts w:ascii="Verdana" w:hAnsi="Verdana" w:cs="Arial"/>
                <w:sz w:val="16"/>
                <w:szCs w:val="16"/>
                <w:lang w:val="es-ES" w:eastAsia="es-ES"/>
              </w:rPr>
            </w:pPr>
            <w:r w:rsidRPr="00630561">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6D19B51" w14:textId="77777777" w:rsidR="00C2212E" w:rsidRPr="00630561" w:rsidRDefault="00C2212E" w:rsidP="007C323A">
            <w:pPr>
              <w:contextualSpacing/>
              <w:rPr>
                <w:rFonts w:ascii="Verdana" w:eastAsia="Calibri" w:hAnsi="Verdana" w:cs="Arial"/>
                <w:sz w:val="16"/>
                <w:szCs w:val="16"/>
                <w:lang w:val="pt-BR" w:eastAsia="es-ES"/>
              </w:rPr>
            </w:pPr>
            <w:r w:rsidRPr="00630561">
              <w:rPr>
                <w:rFonts w:ascii="Verdana" w:eastAsia="Calibri" w:hAnsi="Verdana" w:cs="Arial"/>
                <w:sz w:val="16"/>
                <w:szCs w:val="16"/>
                <w:lang w:val="pt-BR" w:eastAsia="es-ES"/>
              </w:rPr>
              <w:t>Carolina Quintero Gacharná</w:t>
            </w:r>
          </w:p>
          <w:p w14:paraId="324035F0" w14:textId="77777777" w:rsidR="00C2212E" w:rsidRPr="00630561" w:rsidRDefault="00C2212E" w:rsidP="007C323A">
            <w:pPr>
              <w:contextualSpacing/>
              <w:rPr>
                <w:rFonts w:ascii="Verdana" w:eastAsia="Calibri" w:hAnsi="Verdana" w:cs="Arial"/>
                <w:sz w:val="16"/>
                <w:szCs w:val="16"/>
                <w:lang w:val="pt-BR" w:eastAsia="es-ES"/>
              </w:rPr>
            </w:pPr>
            <w:r w:rsidRPr="00630561">
              <w:rPr>
                <w:rFonts w:ascii="Verdana" w:eastAsia="Calibri" w:hAnsi="Verdana" w:cs="Arial"/>
                <w:sz w:val="16"/>
                <w:szCs w:val="16"/>
                <w:lang w:eastAsia="es-ES"/>
              </w:rPr>
              <w:t>Subdirectora</w:t>
            </w:r>
            <w:r w:rsidRPr="00630561">
              <w:rPr>
                <w:rFonts w:ascii="Verdana" w:eastAsia="Calibri" w:hAnsi="Verdana" w:cs="Arial"/>
                <w:sz w:val="16"/>
                <w:szCs w:val="16"/>
                <w:lang w:val="pt-BR" w:eastAsia="es-ES"/>
              </w:rPr>
              <w:t xml:space="preserve"> de Gestión Contractual ANCP – CCE</w:t>
            </w:r>
          </w:p>
        </w:tc>
      </w:tr>
    </w:tbl>
    <w:p w14:paraId="3E44A6F8" w14:textId="588F9C23" w:rsidR="000663F2" w:rsidRPr="00C37B22" w:rsidRDefault="000663F2" w:rsidP="00665D70">
      <w:pPr>
        <w:spacing w:after="0"/>
        <w:jc w:val="both"/>
        <w:rPr>
          <w:rFonts w:ascii="Verdana" w:hAnsi="Verdana"/>
          <w:lang w:val="es-ES"/>
        </w:rPr>
      </w:pPr>
    </w:p>
    <w:sectPr w:rsidR="000663F2" w:rsidRPr="00C37B22" w:rsidSect="007C0C0F">
      <w:headerReference w:type="default" r:id="rId20"/>
      <w:footerReference w:type="default" r:id="rId2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DB0B4" w14:textId="77777777" w:rsidR="000D04D6" w:rsidRDefault="000D04D6" w:rsidP="004A1847">
      <w:pPr>
        <w:spacing w:after="0" w:line="240" w:lineRule="auto"/>
      </w:pPr>
      <w:r>
        <w:separator/>
      </w:r>
    </w:p>
  </w:endnote>
  <w:endnote w:type="continuationSeparator" w:id="0">
    <w:p w14:paraId="7D84FCB0" w14:textId="77777777" w:rsidR="000D04D6" w:rsidRDefault="000D04D6" w:rsidP="004A1847">
      <w:pPr>
        <w:spacing w:after="0" w:line="240" w:lineRule="auto"/>
      </w:pPr>
      <w:r>
        <w:continuationSeparator/>
      </w:r>
    </w:p>
  </w:endnote>
  <w:endnote w:type="continuationNotice" w:id="1">
    <w:p w14:paraId="0EFF1F73" w14:textId="77777777" w:rsidR="000D04D6" w:rsidRDefault="000D04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Yu Mincho">
    <w:altName w:val="游明朝"/>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2317E" w14:textId="77777777" w:rsidR="000D04D6" w:rsidRDefault="000D04D6" w:rsidP="004A1847">
      <w:pPr>
        <w:spacing w:after="0" w:line="240" w:lineRule="auto"/>
      </w:pPr>
      <w:r>
        <w:separator/>
      </w:r>
    </w:p>
  </w:footnote>
  <w:footnote w:type="continuationSeparator" w:id="0">
    <w:p w14:paraId="305BED41" w14:textId="77777777" w:rsidR="000D04D6" w:rsidRDefault="000D04D6" w:rsidP="004A1847">
      <w:pPr>
        <w:spacing w:after="0" w:line="240" w:lineRule="auto"/>
      </w:pPr>
      <w:r>
        <w:continuationSeparator/>
      </w:r>
    </w:p>
  </w:footnote>
  <w:footnote w:type="continuationNotice" w:id="1">
    <w:p w14:paraId="727F0ADE" w14:textId="77777777" w:rsidR="000D04D6" w:rsidRDefault="000D04D6">
      <w:pPr>
        <w:spacing w:after="0" w:line="240" w:lineRule="auto"/>
      </w:pPr>
    </w:p>
  </w:footnote>
  <w:footnote w:id="2">
    <w:p w14:paraId="66CB5D0E" w14:textId="4931B0BF" w:rsidR="00D6564E" w:rsidRPr="00630561" w:rsidRDefault="00D6564E" w:rsidP="00D6564E">
      <w:pPr>
        <w:pStyle w:val="Textonotapie"/>
        <w:ind w:firstLine="708"/>
        <w:jc w:val="both"/>
        <w:rPr>
          <w:rFonts w:ascii="Verdana" w:hAnsi="Verdana" w:cs="Arial"/>
          <w:sz w:val="18"/>
          <w:szCs w:val="18"/>
        </w:rPr>
      </w:pPr>
      <w:r w:rsidRPr="00630561">
        <w:rPr>
          <w:rStyle w:val="Refdenotaalpie"/>
          <w:rFonts w:ascii="Verdana" w:hAnsi="Verdana" w:cs="Arial"/>
          <w:sz w:val="18"/>
          <w:szCs w:val="18"/>
        </w:rPr>
        <w:footnoteRef/>
      </w:r>
      <w:r w:rsidRPr="00630561">
        <w:rPr>
          <w:rFonts w:ascii="Verdana" w:hAnsi="Verdana" w:cs="Arial"/>
          <w:sz w:val="18"/>
          <w:szCs w:val="18"/>
        </w:rPr>
        <w:t xml:space="preserve"> </w:t>
      </w:r>
      <w:r w:rsidR="00604D76" w:rsidRPr="00630561">
        <w:rPr>
          <w:rFonts w:ascii="Verdana" w:hAnsi="Verdana" w:cs="Arial"/>
          <w:sz w:val="18"/>
          <w:szCs w:val="18"/>
        </w:rPr>
        <w:t>“</w:t>
      </w:r>
      <w:r w:rsidRPr="00630561">
        <w:rPr>
          <w:rFonts w:ascii="Verdana" w:hAnsi="Verdana" w:cs="Arial"/>
          <w:sz w:val="18"/>
          <w:szCs w:val="18"/>
        </w:rPr>
        <w:t>El consorcio es una figura propia del derecho privado, utilizado ordinariamente como un instrumento de cooperación entre empresas, cuando requieren asumir una tarea económica particularmente importante, que les permita distribuirse de algún modo los riesgos que pueda implicar la actividad que se acomete, aunar recursos financieros y tecnológicos, y mejorar la disponibilidad de equipos, según el caso, pero conservando los consorciados su independencia jurídica</w:t>
      </w:r>
      <w:r w:rsidR="00604D76" w:rsidRPr="00630561">
        <w:rPr>
          <w:rFonts w:ascii="Verdana" w:hAnsi="Verdana" w:cs="Arial"/>
          <w:sz w:val="18"/>
          <w:szCs w:val="18"/>
        </w:rPr>
        <w:t>”</w:t>
      </w:r>
      <w:r w:rsidRPr="00630561">
        <w:rPr>
          <w:rFonts w:ascii="Verdana" w:hAnsi="Verdana" w:cs="Arial"/>
          <w:sz w:val="18"/>
          <w:szCs w:val="18"/>
        </w:rPr>
        <w:t>. (Corte Constitucional, Sentencia C-414 de 1994, M.P. Antonio Barrera</w:t>
      </w:r>
      <w:r w:rsidRPr="00630561">
        <w:rPr>
          <w:rFonts w:ascii="Verdana" w:hAnsi="Verdana" w:cs="Arial"/>
          <w:spacing w:val="-2"/>
          <w:sz w:val="18"/>
          <w:szCs w:val="18"/>
        </w:rPr>
        <w:t xml:space="preserve"> </w:t>
      </w:r>
      <w:r w:rsidRPr="00630561">
        <w:rPr>
          <w:rFonts w:ascii="Verdana" w:hAnsi="Verdana" w:cs="Arial"/>
          <w:sz w:val="18"/>
          <w:szCs w:val="18"/>
        </w:rPr>
        <w:t>Carbonell).</w:t>
      </w:r>
    </w:p>
    <w:p w14:paraId="22BDC212" w14:textId="77777777" w:rsidR="00D6564E" w:rsidRPr="00630561" w:rsidRDefault="00D6564E" w:rsidP="00D6564E">
      <w:pPr>
        <w:pStyle w:val="Textonotapie"/>
        <w:ind w:firstLine="708"/>
        <w:jc w:val="both"/>
        <w:rPr>
          <w:rFonts w:ascii="Verdana" w:hAnsi="Verdana" w:cs="Arial"/>
          <w:sz w:val="18"/>
          <w:szCs w:val="18"/>
        </w:rPr>
      </w:pPr>
    </w:p>
  </w:footnote>
  <w:footnote w:id="3">
    <w:p w14:paraId="64CAFA2A" w14:textId="77777777" w:rsidR="00D6564E" w:rsidRPr="00630561" w:rsidRDefault="00D6564E" w:rsidP="00D6564E">
      <w:pPr>
        <w:spacing w:after="0" w:line="240" w:lineRule="auto"/>
        <w:ind w:firstLine="708"/>
        <w:jc w:val="both"/>
        <w:rPr>
          <w:rFonts w:ascii="Verdana" w:hAnsi="Verdana" w:cs="Arial"/>
          <w:sz w:val="18"/>
          <w:szCs w:val="18"/>
        </w:rPr>
      </w:pPr>
      <w:r w:rsidRPr="00630561">
        <w:rPr>
          <w:rStyle w:val="Refdenotaalpie"/>
          <w:rFonts w:ascii="Verdana" w:hAnsi="Verdana" w:cs="Arial"/>
          <w:sz w:val="18"/>
          <w:szCs w:val="18"/>
        </w:rPr>
        <w:footnoteRef/>
      </w:r>
      <w:r w:rsidRPr="00630561">
        <w:rPr>
          <w:rFonts w:ascii="Verdana" w:hAnsi="Verdana" w:cs="Arial"/>
          <w:sz w:val="18"/>
          <w:szCs w:val="18"/>
        </w:rPr>
        <w:t xml:space="preserve"> Sentencia del 5 de septiembre de 2001. M.P. Clara Inés Vargas Hernández. </w:t>
      </w:r>
    </w:p>
    <w:p w14:paraId="19D2F371" w14:textId="77777777" w:rsidR="00604D76" w:rsidRPr="00630561" w:rsidRDefault="00604D76" w:rsidP="00D6564E">
      <w:pPr>
        <w:spacing w:after="0" w:line="240" w:lineRule="auto"/>
        <w:ind w:firstLine="708"/>
        <w:jc w:val="both"/>
        <w:rPr>
          <w:rFonts w:ascii="Arial" w:hAnsi="Arial" w:cs="Arial"/>
          <w:sz w:val="18"/>
          <w:szCs w:val="18"/>
        </w:rPr>
      </w:pPr>
    </w:p>
  </w:footnote>
  <w:footnote w:id="4">
    <w:p w14:paraId="1477AADE" w14:textId="4240C9F5" w:rsidR="004D5149" w:rsidRPr="00630561" w:rsidRDefault="004D5149" w:rsidP="004D5149">
      <w:pPr>
        <w:pStyle w:val="Textonotapie"/>
        <w:ind w:firstLine="708"/>
        <w:jc w:val="both"/>
        <w:rPr>
          <w:rFonts w:ascii="Verdana" w:hAnsi="Verdana" w:cs="Arial"/>
          <w:sz w:val="18"/>
          <w:szCs w:val="18"/>
        </w:rPr>
      </w:pPr>
      <w:r w:rsidRPr="00630561">
        <w:rPr>
          <w:rStyle w:val="Refdenotaalpie"/>
          <w:rFonts w:ascii="Verdana" w:hAnsi="Verdana" w:cs="Arial"/>
          <w:sz w:val="18"/>
          <w:szCs w:val="18"/>
        </w:rPr>
        <w:footnoteRef/>
      </w:r>
      <w:r w:rsidRPr="00630561">
        <w:rPr>
          <w:rFonts w:ascii="Verdana" w:hAnsi="Verdana" w:cs="Arial"/>
          <w:sz w:val="18"/>
          <w:szCs w:val="18"/>
        </w:rPr>
        <w:t xml:space="preserve"> Sin perjuicio de </w:t>
      </w:r>
      <w:r w:rsidR="00554D8F" w:rsidRPr="00630561">
        <w:rPr>
          <w:rFonts w:ascii="Verdana" w:hAnsi="Verdana" w:cs="Arial"/>
          <w:sz w:val="18"/>
          <w:szCs w:val="18"/>
        </w:rPr>
        <w:t xml:space="preserve">lo </w:t>
      </w:r>
      <w:r w:rsidRPr="00630561">
        <w:rPr>
          <w:rFonts w:ascii="Verdana" w:hAnsi="Verdana" w:cs="Arial"/>
          <w:sz w:val="18"/>
          <w:szCs w:val="18"/>
        </w:rPr>
        <w:t>también dispuesto en el artículo 832 y siguientes del Código de Comercio.</w:t>
      </w:r>
    </w:p>
    <w:p w14:paraId="4DE2D03A" w14:textId="77777777" w:rsidR="004D5149" w:rsidRPr="00630561" w:rsidRDefault="004D5149" w:rsidP="004D5149">
      <w:pPr>
        <w:pStyle w:val="Textonotapie"/>
        <w:ind w:firstLine="708"/>
        <w:jc w:val="both"/>
        <w:rPr>
          <w:rFonts w:ascii="Verdana" w:hAnsi="Verdana" w:cs="Arial"/>
          <w:sz w:val="18"/>
          <w:szCs w:val="18"/>
        </w:rPr>
      </w:pPr>
    </w:p>
  </w:footnote>
  <w:footnote w:id="5">
    <w:p w14:paraId="115B2926" w14:textId="77777777" w:rsidR="004D5149" w:rsidRPr="00630561" w:rsidRDefault="004D5149" w:rsidP="004D5149">
      <w:pPr>
        <w:spacing w:after="0" w:line="240" w:lineRule="auto"/>
        <w:ind w:firstLine="708"/>
        <w:jc w:val="both"/>
        <w:rPr>
          <w:rFonts w:ascii="Verdana" w:hAnsi="Verdana" w:cs="Arial"/>
          <w:sz w:val="18"/>
          <w:szCs w:val="18"/>
        </w:rPr>
      </w:pPr>
      <w:r w:rsidRPr="00630561">
        <w:rPr>
          <w:rStyle w:val="Refdenotaalpie"/>
          <w:rFonts w:ascii="Verdana" w:hAnsi="Verdana" w:cs="Arial"/>
          <w:sz w:val="18"/>
          <w:szCs w:val="18"/>
        </w:rPr>
        <w:footnoteRef/>
      </w:r>
      <w:r w:rsidRPr="00630561">
        <w:rPr>
          <w:rFonts w:ascii="Verdana" w:hAnsi="Verdana" w:cs="Arial"/>
          <w:sz w:val="18"/>
          <w:szCs w:val="18"/>
        </w:rPr>
        <w:t xml:space="preserve"> LAFONT PIANETTA, Pedro. Manual de contratos, Tomo I, Ediciones Librería del Profesional, 1 Ed, 2001, p.508.</w:t>
      </w:r>
    </w:p>
    <w:p w14:paraId="1631B8E9" w14:textId="77777777" w:rsidR="00244562" w:rsidRPr="00630561" w:rsidRDefault="00244562" w:rsidP="004D5149">
      <w:pPr>
        <w:spacing w:after="0" w:line="240" w:lineRule="auto"/>
        <w:ind w:firstLine="708"/>
        <w:jc w:val="both"/>
        <w:rPr>
          <w:rFonts w:ascii="Verdana" w:hAnsi="Verdana" w:cs="Arial"/>
          <w:sz w:val="18"/>
          <w:szCs w:val="18"/>
        </w:rPr>
      </w:pPr>
    </w:p>
  </w:footnote>
  <w:footnote w:id="6">
    <w:p w14:paraId="714655BE" w14:textId="77777777" w:rsidR="004D5149" w:rsidRPr="00630561" w:rsidRDefault="004D5149" w:rsidP="004D5149">
      <w:pPr>
        <w:pStyle w:val="Textonotapie"/>
        <w:ind w:firstLine="708"/>
        <w:jc w:val="both"/>
        <w:rPr>
          <w:rFonts w:ascii="Verdana" w:hAnsi="Verdana" w:cs="Arial"/>
          <w:sz w:val="18"/>
          <w:szCs w:val="18"/>
        </w:rPr>
      </w:pPr>
      <w:r w:rsidRPr="00630561">
        <w:rPr>
          <w:rStyle w:val="Refdenotaalpie"/>
          <w:rFonts w:ascii="Verdana" w:hAnsi="Verdana" w:cs="Arial"/>
          <w:sz w:val="18"/>
          <w:szCs w:val="18"/>
        </w:rPr>
        <w:footnoteRef/>
      </w:r>
      <w:r w:rsidRPr="00630561">
        <w:rPr>
          <w:rFonts w:ascii="Verdana" w:hAnsi="Verdana" w:cs="Arial"/>
          <w:sz w:val="18"/>
          <w:szCs w:val="18"/>
        </w:rPr>
        <w:t xml:space="preserve"> La Corte Constitucional ha reconocido a los consorcios y uniones temporales como titulares de derechos fundamentales, tales como el debido proceso, de forma que están legitimados para ejercer la acción de tutela. En otras palabras, gozan de capacidad jurídica para comparecer en procesos judiciales ya sea como demandantes o como demandados. Sentencia T-150/16 del 31 de marzo de 2016. M.P. Gabriel Eduardo Mendoza Martelo.</w:t>
      </w:r>
    </w:p>
    <w:p w14:paraId="76405A1B" w14:textId="77777777" w:rsidR="00244562" w:rsidRPr="00630561" w:rsidRDefault="00244562" w:rsidP="004D5149">
      <w:pPr>
        <w:pStyle w:val="Textonotapie"/>
        <w:ind w:firstLine="708"/>
        <w:jc w:val="both"/>
        <w:rPr>
          <w:rFonts w:ascii="Verdana" w:hAnsi="Verdana" w:cs="Arial"/>
          <w:sz w:val="18"/>
          <w:szCs w:val="18"/>
        </w:rPr>
      </w:pPr>
    </w:p>
  </w:footnote>
  <w:footnote w:id="7">
    <w:p w14:paraId="32544A0B" w14:textId="77777777" w:rsidR="004D5149" w:rsidRPr="0073219D" w:rsidRDefault="004D5149" w:rsidP="004D5149">
      <w:pPr>
        <w:spacing w:after="0" w:line="240" w:lineRule="auto"/>
        <w:ind w:firstLine="708"/>
        <w:jc w:val="both"/>
        <w:rPr>
          <w:rFonts w:ascii="Arial" w:hAnsi="Arial" w:cs="Arial"/>
          <w:sz w:val="18"/>
          <w:szCs w:val="18"/>
        </w:rPr>
      </w:pPr>
      <w:r w:rsidRPr="00630561">
        <w:rPr>
          <w:rStyle w:val="Refdenotaalpie"/>
          <w:rFonts w:ascii="Verdana" w:hAnsi="Verdana" w:cs="Arial"/>
          <w:sz w:val="18"/>
          <w:szCs w:val="18"/>
        </w:rPr>
        <w:footnoteRef/>
      </w:r>
      <w:r w:rsidRPr="00630561">
        <w:rPr>
          <w:rFonts w:ascii="Verdana" w:hAnsi="Verdana" w:cs="Arial"/>
          <w:sz w:val="18"/>
          <w:szCs w:val="18"/>
        </w:rPr>
        <w:t xml:space="preserve"> Consejo de Estado, Sala Plena Sección 3ª, sentencia de unificación de 25 de septiembre de 2013, M.P. Mauricio Fajardo Gómez, rad. 19.933.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2061" w:hanging="360"/>
      </w:pPr>
      <w:rPr>
        <w:b/>
        <w:color w:val="000000" w:themeColor="text1"/>
      </w:rPr>
    </w:lvl>
    <w:lvl w:ilvl="1">
      <w:start w:val="2"/>
      <w:numFmt w:val="decimal"/>
      <w:isLgl/>
      <w:lvlText w:val="%1.%2"/>
      <w:lvlJc w:val="left"/>
      <w:pPr>
        <w:ind w:left="1701" w:hanging="360"/>
      </w:pPr>
    </w:lvl>
    <w:lvl w:ilvl="2">
      <w:start w:val="1"/>
      <w:numFmt w:val="decimal"/>
      <w:isLgl/>
      <w:lvlText w:val="%1.%2.%3"/>
      <w:lvlJc w:val="left"/>
      <w:pPr>
        <w:ind w:left="2421" w:hanging="720"/>
      </w:pPr>
    </w:lvl>
    <w:lvl w:ilvl="3">
      <w:start w:val="1"/>
      <w:numFmt w:val="decimal"/>
      <w:isLgl/>
      <w:lvlText w:val="%1.%2.%3.%4"/>
      <w:lvlJc w:val="left"/>
      <w:pPr>
        <w:ind w:left="2421" w:hanging="720"/>
      </w:pPr>
    </w:lvl>
    <w:lvl w:ilvl="4">
      <w:start w:val="1"/>
      <w:numFmt w:val="decimal"/>
      <w:isLgl/>
      <w:lvlText w:val="%1.%2.%3.%4.%5"/>
      <w:lvlJc w:val="left"/>
      <w:pPr>
        <w:ind w:left="2781" w:hanging="1080"/>
      </w:pPr>
    </w:lvl>
    <w:lvl w:ilvl="5">
      <w:start w:val="1"/>
      <w:numFmt w:val="decimal"/>
      <w:isLgl/>
      <w:lvlText w:val="%1.%2.%3.%4.%5.%6"/>
      <w:lvlJc w:val="left"/>
      <w:pPr>
        <w:ind w:left="2781" w:hanging="1080"/>
      </w:pPr>
    </w:lvl>
    <w:lvl w:ilvl="6">
      <w:start w:val="1"/>
      <w:numFmt w:val="decimal"/>
      <w:isLgl/>
      <w:lvlText w:val="%1.%2.%3.%4.%5.%6.%7"/>
      <w:lvlJc w:val="left"/>
      <w:pPr>
        <w:ind w:left="3141" w:hanging="1440"/>
      </w:pPr>
    </w:lvl>
    <w:lvl w:ilvl="7">
      <w:start w:val="1"/>
      <w:numFmt w:val="decimal"/>
      <w:isLgl/>
      <w:lvlText w:val="%1.%2.%3.%4.%5.%6.%7.%8"/>
      <w:lvlJc w:val="left"/>
      <w:pPr>
        <w:ind w:left="3141" w:hanging="1440"/>
      </w:pPr>
    </w:lvl>
    <w:lvl w:ilvl="8">
      <w:start w:val="1"/>
      <w:numFmt w:val="decimal"/>
      <w:isLgl/>
      <w:lvlText w:val="%1.%2.%3.%4.%5.%6.%7.%8.%9"/>
      <w:lvlJc w:val="left"/>
      <w:pPr>
        <w:ind w:left="350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93547E0"/>
    <w:multiLevelType w:val="hybridMultilevel"/>
    <w:tmpl w:val="3D7C3C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FE543BC"/>
    <w:multiLevelType w:val="hybridMultilevel"/>
    <w:tmpl w:val="6E80BA0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645133"/>
    <w:multiLevelType w:val="hybridMultilevel"/>
    <w:tmpl w:val="A2DC3E76"/>
    <w:lvl w:ilvl="0" w:tplc="FBF810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5"/>
  </w:num>
  <w:num w:numId="7" w16cid:durableId="1946422806">
    <w:abstractNumId w:val="5"/>
  </w:num>
  <w:num w:numId="8" w16cid:durableId="152644682">
    <w:abstractNumId w:val="14"/>
  </w:num>
  <w:num w:numId="9" w16cid:durableId="1317221377">
    <w:abstractNumId w:val="7"/>
  </w:num>
  <w:num w:numId="10" w16cid:durableId="1471245386">
    <w:abstractNumId w:val="13"/>
  </w:num>
  <w:num w:numId="11" w16cid:durableId="289172385">
    <w:abstractNumId w:val="8"/>
  </w:num>
  <w:num w:numId="12" w16cid:durableId="1470781324">
    <w:abstractNumId w:val="1"/>
  </w:num>
  <w:num w:numId="13" w16cid:durableId="1512908409">
    <w:abstractNumId w:val="3"/>
  </w:num>
  <w:num w:numId="14" w16cid:durableId="895897244">
    <w:abstractNumId w:val="16"/>
  </w:num>
  <w:num w:numId="15" w16cid:durableId="390349800">
    <w:abstractNumId w:val="12"/>
  </w:num>
  <w:num w:numId="16" w16cid:durableId="341274352">
    <w:abstractNumId w:val="0"/>
  </w:num>
  <w:num w:numId="17" w16cid:durableId="679089576">
    <w:abstractNumId w:val="9"/>
  </w:num>
  <w:num w:numId="18" w16cid:durableId="1690374483">
    <w:abstractNumId w:val="10"/>
  </w:num>
  <w:num w:numId="19" w16cid:durableId="1681660682">
    <w:abstractNumId w:val="17"/>
  </w:num>
  <w:num w:numId="20" w16cid:durableId="10881182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1C1F"/>
    <w:rsid w:val="00013E59"/>
    <w:rsid w:val="00014563"/>
    <w:rsid w:val="000176FD"/>
    <w:rsid w:val="00020ED1"/>
    <w:rsid w:val="00027C57"/>
    <w:rsid w:val="000325B1"/>
    <w:rsid w:val="0004012D"/>
    <w:rsid w:val="00040291"/>
    <w:rsid w:val="000435FA"/>
    <w:rsid w:val="00050BC7"/>
    <w:rsid w:val="00052D2B"/>
    <w:rsid w:val="000531C1"/>
    <w:rsid w:val="00061B2A"/>
    <w:rsid w:val="000659E8"/>
    <w:rsid w:val="000663F2"/>
    <w:rsid w:val="00082362"/>
    <w:rsid w:val="00087934"/>
    <w:rsid w:val="00093463"/>
    <w:rsid w:val="000A683E"/>
    <w:rsid w:val="000B19B9"/>
    <w:rsid w:val="000B285A"/>
    <w:rsid w:val="000B4E7C"/>
    <w:rsid w:val="000B538D"/>
    <w:rsid w:val="000B5418"/>
    <w:rsid w:val="000B6C7A"/>
    <w:rsid w:val="000C5225"/>
    <w:rsid w:val="000D0334"/>
    <w:rsid w:val="000D04D6"/>
    <w:rsid w:val="000D1841"/>
    <w:rsid w:val="000D63E5"/>
    <w:rsid w:val="000E6AD9"/>
    <w:rsid w:val="000F3E80"/>
    <w:rsid w:val="000F4C3C"/>
    <w:rsid w:val="000F6486"/>
    <w:rsid w:val="00100143"/>
    <w:rsid w:val="0010590C"/>
    <w:rsid w:val="00121BA8"/>
    <w:rsid w:val="00122C5D"/>
    <w:rsid w:val="001244E0"/>
    <w:rsid w:val="00125105"/>
    <w:rsid w:val="00127233"/>
    <w:rsid w:val="00146BD4"/>
    <w:rsid w:val="0015033C"/>
    <w:rsid w:val="001539FA"/>
    <w:rsid w:val="00166DD6"/>
    <w:rsid w:val="00181369"/>
    <w:rsid w:val="00181FE1"/>
    <w:rsid w:val="0018284E"/>
    <w:rsid w:val="00186F3C"/>
    <w:rsid w:val="0019111F"/>
    <w:rsid w:val="00196943"/>
    <w:rsid w:val="00197558"/>
    <w:rsid w:val="001A0E99"/>
    <w:rsid w:val="001A194A"/>
    <w:rsid w:val="001B38EC"/>
    <w:rsid w:val="001B3CB0"/>
    <w:rsid w:val="001B4D82"/>
    <w:rsid w:val="001B6EAF"/>
    <w:rsid w:val="001B71E0"/>
    <w:rsid w:val="001C0C1E"/>
    <w:rsid w:val="001E15F5"/>
    <w:rsid w:val="001E4177"/>
    <w:rsid w:val="001F2902"/>
    <w:rsid w:val="001F53C6"/>
    <w:rsid w:val="001F7DC6"/>
    <w:rsid w:val="00200ED9"/>
    <w:rsid w:val="002038C0"/>
    <w:rsid w:val="00204F0F"/>
    <w:rsid w:val="0021228D"/>
    <w:rsid w:val="0022180B"/>
    <w:rsid w:val="002250CD"/>
    <w:rsid w:val="002276F8"/>
    <w:rsid w:val="00240D9C"/>
    <w:rsid w:val="002421BB"/>
    <w:rsid w:val="00244562"/>
    <w:rsid w:val="00250813"/>
    <w:rsid w:val="00254EAC"/>
    <w:rsid w:val="0025796E"/>
    <w:rsid w:val="00270306"/>
    <w:rsid w:val="002707A2"/>
    <w:rsid w:val="00280066"/>
    <w:rsid w:val="00285F96"/>
    <w:rsid w:val="002951A0"/>
    <w:rsid w:val="002955E0"/>
    <w:rsid w:val="002962BC"/>
    <w:rsid w:val="00297060"/>
    <w:rsid w:val="002A093D"/>
    <w:rsid w:val="002A0DD0"/>
    <w:rsid w:val="002A49AC"/>
    <w:rsid w:val="002A64FD"/>
    <w:rsid w:val="002B2BE4"/>
    <w:rsid w:val="002C14C4"/>
    <w:rsid w:val="002C3636"/>
    <w:rsid w:val="002C7A84"/>
    <w:rsid w:val="002D0F59"/>
    <w:rsid w:val="002D132A"/>
    <w:rsid w:val="002D3B29"/>
    <w:rsid w:val="002E20A5"/>
    <w:rsid w:val="002E31DF"/>
    <w:rsid w:val="002E4FD9"/>
    <w:rsid w:val="002E62C5"/>
    <w:rsid w:val="002F213C"/>
    <w:rsid w:val="002F344F"/>
    <w:rsid w:val="002F61D1"/>
    <w:rsid w:val="00302C59"/>
    <w:rsid w:val="00305A3D"/>
    <w:rsid w:val="00305A97"/>
    <w:rsid w:val="00313994"/>
    <w:rsid w:val="003148AE"/>
    <w:rsid w:val="00322A85"/>
    <w:rsid w:val="00323353"/>
    <w:rsid w:val="00324168"/>
    <w:rsid w:val="00330029"/>
    <w:rsid w:val="00331365"/>
    <w:rsid w:val="0033432E"/>
    <w:rsid w:val="003427C0"/>
    <w:rsid w:val="00344395"/>
    <w:rsid w:val="003448F4"/>
    <w:rsid w:val="00347252"/>
    <w:rsid w:val="00371FD1"/>
    <w:rsid w:val="00374F5E"/>
    <w:rsid w:val="00377E3E"/>
    <w:rsid w:val="00386BEB"/>
    <w:rsid w:val="00392290"/>
    <w:rsid w:val="003A26D1"/>
    <w:rsid w:val="003A54FF"/>
    <w:rsid w:val="003A73DC"/>
    <w:rsid w:val="003A779E"/>
    <w:rsid w:val="003B09FD"/>
    <w:rsid w:val="003D0F4D"/>
    <w:rsid w:val="003D2C53"/>
    <w:rsid w:val="003D5B0D"/>
    <w:rsid w:val="003E0499"/>
    <w:rsid w:val="003E55BA"/>
    <w:rsid w:val="003F3844"/>
    <w:rsid w:val="003F3941"/>
    <w:rsid w:val="003F481A"/>
    <w:rsid w:val="003F6E6C"/>
    <w:rsid w:val="003F7B41"/>
    <w:rsid w:val="00402C5D"/>
    <w:rsid w:val="00406575"/>
    <w:rsid w:val="00415425"/>
    <w:rsid w:val="00417981"/>
    <w:rsid w:val="0042722E"/>
    <w:rsid w:val="0044528D"/>
    <w:rsid w:val="0044588F"/>
    <w:rsid w:val="00445D1C"/>
    <w:rsid w:val="004625C9"/>
    <w:rsid w:val="0047344A"/>
    <w:rsid w:val="0048458A"/>
    <w:rsid w:val="00494997"/>
    <w:rsid w:val="004A0C76"/>
    <w:rsid w:val="004A1847"/>
    <w:rsid w:val="004A305D"/>
    <w:rsid w:val="004A77A0"/>
    <w:rsid w:val="004B0CED"/>
    <w:rsid w:val="004C586C"/>
    <w:rsid w:val="004C6B47"/>
    <w:rsid w:val="004D5149"/>
    <w:rsid w:val="004D5606"/>
    <w:rsid w:val="004E5D9D"/>
    <w:rsid w:val="004E6B29"/>
    <w:rsid w:val="004F21C4"/>
    <w:rsid w:val="004F685F"/>
    <w:rsid w:val="004F7E9B"/>
    <w:rsid w:val="00502C5A"/>
    <w:rsid w:val="0050365E"/>
    <w:rsid w:val="005037A0"/>
    <w:rsid w:val="00504368"/>
    <w:rsid w:val="005043FB"/>
    <w:rsid w:val="0051418F"/>
    <w:rsid w:val="005152DE"/>
    <w:rsid w:val="00517852"/>
    <w:rsid w:val="00522547"/>
    <w:rsid w:val="005244D7"/>
    <w:rsid w:val="00535609"/>
    <w:rsid w:val="005416A3"/>
    <w:rsid w:val="0054756E"/>
    <w:rsid w:val="00554D8F"/>
    <w:rsid w:val="005566E8"/>
    <w:rsid w:val="00556E0B"/>
    <w:rsid w:val="00566764"/>
    <w:rsid w:val="00574867"/>
    <w:rsid w:val="00575AB6"/>
    <w:rsid w:val="005763D0"/>
    <w:rsid w:val="0058044F"/>
    <w:rsid w:val="005812E8"/>
    <w:rsid w:val="005819FE"/>
    <w:rsid w:val="00581AA6"/>
    <w:rsid w:val="00587255"/>
    <w:rsid w:val="00591460"/>
    <w:rsid w:val="005920EE"/>
    <w:rsid w:val="00592628"/>
    <w:rsid w:val="00596BFA"/>
    <w:rsid w:val="005A1F76"/>
    <w:rsid w:val="005A2487"/>
    <w:rsid w:val="005B17EC"/>
    <w:rsid w:val="005B20CC"/>
    <w:rsid w:val="005B53F4"/>
    <w:rsid w:val="005C3777"/>
    <w:rsid w:val="005C4A11"/>
    <w:rsid w:val="005C5CDC"/>
    <w:rsid w:val="005C6B58"/>
    <w:rsid w:val="005C6D10"/>
    <w:rsid w:val="005D0DDD"/>
    <w:rsid w:val="005D0F1F"/>
    <w:rsid w:val="005D105D"/>
    <w:rsid w:val="005D476C"/>
    <w:rsid w:val="005D7BE0"/>
    <w:rsid w:val="00601338"/>
    <w:rsid w:val="00604D76"/>
    <w:rsid w:val="00610812"/>
    <w:rsid w:val="00611AB7"/>
    <w:rsid w:val="00613441"/>
    <w:rsid w:val="006138FF"/>
    <w:rsid w:val="00617B21"/>
    <w:rsid w:val="006219F8"/>
    <w:rsid w:val="006264B2"/>
    <w:rsid w:val="00627907"/>
    <w:rsid w:val="00627D45"/>
    <w:rsid w:val="00630561"/>
    <w:rsid w:val="00642538"/>
    <w:rsid w:val="00650FF7"/>
    <w:rsid w:val="006545B5"/>
    <w:rsid w:val="00665D70"/>
    <w:rsid w:val="00665E37"/>
    <w:rsid w:val="00671A74"/>
    <w:rsid w:val="00671DAC"/>
    <w:rsid w:val="00687BC9"/>
    <w:rsid w:val="00687D0C"/>
    <w:rsid w:val="006900D9"/>
    <w:rsid w:val="00695056"/>
    <w:rsid w:val="006A563A"/>
    <w:rsid w:val="006B4157"/>
    <w:rsid w:val="006B688D"/>
    <w:rsid w:val="006C6E4A"/>
    <w:rsid w:val="006D12F8"/>
    <w:rsid w:val="006E11A8"/>
    <w:rsid w:val="006E1C73"/>
    <w:rsid w:val="006E1C9E"/>
    <w:rsid w:val="006E2686"/>
    <w:rsid w:val="006E4E4C"/>
    <w:rsid w:val="006F2C24"/>
    <w:rsid w:val="006F6FD2"/>
    <w:rsid w:val="00702194"/>
    <w:rsid w:val="00702B24"/>
    <w:rsid w:val="0070389A"/>
    <w:rsid w:val="00706C16"/>
    <w:rsid w:val="0071084F"/>
    <w:rsid w:val="00730B3F"/>
    <w:rsid w:val="007470F3"/>
    <w:rsid w:val="00756841"/>
    <w:rsid w:val="007649AB"/>
    <w:rsid w:val="00765ACE"/>
    <w:rsid w:val="00771D0C"/>
    <w:rsid w:val="00771DFB"/>
    <w:rsid w:val="007833AC"/>
    <w:rsid w:val="007A5A7A"/>
    <w:rsid w:val="007B268C"/>
    <w:rsid w:val="007B7171"/>
    <w:rsid w:val="007C0C0F"/>
    <w:rsid w:val="007C2F17"/>
    <w:rsid w:val="007C323A"/>
    <w:rsid w:val="007C3DC2"/>
    <w:rsid w:val="007C7F83"/>
    <w:rsid w:val="007D6DC0"/>
    <w:rsid w:val="007E1E21"/>
    <w:rsid w:val="007E5497"/>
    <w:rsid w:val="007F43D6"/>
    <w:rsid w:val="00800271"/>
    <w:rsid w:val="008027C2"/>
    <w:rsid w:val="00802E90"/>
    <w:rsid w:val="00806F5F"/>
    <w:rsid w:val="00815F70"/>
    <w:rsid w:val="0081713E"/>
    <w:rsid w:val="008179ED"/>
    <w:rsid w:val="00820278"/>
    <w:rsid w:val="00830094"/>
    <w:rsid w:val="008309CF"/>
    <w:rsid w:val="00830D8E"/>
    <w:rsid w:val="00832E68"/>
    <w:rsid w:val="00843067"/>
    <w:rsid w:val="008470CA"/>
    <w:rsid w:val="00847151"/>
    <w:rsid w:val="00847C20"/>
    <w:rsid w:val="00852A37"/>
    <w:rsid w:val="00861EC7"/>
    <w:rsid w:val="008745D8"/>
    <w:rsid w:val="00875D56"/>
    <w:rsid w:val="008843B6"/>
    <w:rsid w:val="00885C4D"/>
    <w:rsid w:val="00891928"/>
    <w:rsid w:val="008935F4"/>
    <w:rsid w:val="00894296"/>
    <w:rsid w:val="008A446D"/>
    <w:rsid w:val="008A5131"/>
    <w:rsid w:val="008B1B21"/>
    <w:rsid w:val="008C3797"/>
    <w:rsid w:val="008C5AFC"/>
    <w:rsid w:val="008C5D44"/>
    <w:rsid w:val="008D180B"/>
    <w:rsid w:val="008E5CAE"/>
    <w:rsid w:val="008F0EA7"/>
    <w:rsid w:val="008F1148"/>
    <w:rsid w:val="008F242B"/>
    <w:rsid w:val="00902553"/>
    <w:rsid w:val="00904382"/>
    <w:rsid w:val="0090547B"/>
    <w:rsid w:val="00923EEF"/>
    <w:rsid w:val="00925215"/>
    <w:rsid w:val="009271D8"/>
    <w:rsid w:val="0092757C"/>
    <w:rsid w:val="00930CD0"/>
    <w:rsid w:val="00937F42"/>
    <w:rsid w:val="009419F9"/>
    <w:rsid w:val="0094281D"/>
    <w:rsid w:val="00947096"/>
    <w:rsid w:val="009507F2"/>
    <w:rsid w:val="00955E01"/>
    <w:rsid w:val="0095685E"/>
    <w:rsid w:val="00961B09"/>
    <w:rsid w:val="00962DEE"/>
    <w:rsid w:val="00964015"/>
    <w:rsid w:val="00965334"/>
    <w:rsid w:val="00966A54"/>
    <w:rsid w:val="0097093E"/>
    <w:rsid w:val="00982C89"/>
    <w:rsid w:val="00987856"/>
    <w:rsid w:val="009A0DFA"/>
    <w:rsid w:val="009A29D9"/>
    <w:rsid w:val="009A5321"/>
    <w:rsid w:val="009B2D26"/>
    <w:rsid w:val="009B56FC"/>
    <w:rsid w:val="009C35A2"/>
    <w:rsid w:val="009C71FA"/>
    <w:rsid w:val="009C72E7"/>
    <w:rsid w:val="009D266B"/>
    <w:rsid w:val="009D3058"/>
    <w:rsid w:val="009D4949"/>
    <w:rsid w:val="009E75F8"/>
    <w:rsid w:val="009F0648"/>
    <w:rsid w:val="009F1611"/>
    <w:rsid w:val="009F3A13"/>
    <w:rsid w:val="00A01278"/>
    <w:rsid w:val="00A0139D"/>
    <w:rsid w:val="00A0221F"/>
    <w:rsid w:val="00A03730"/>
    <w:rsid w:val="00A042A2"/>
    <w:rsid w:val="00A047C5"/>
    <w:rsid w:val="00A122D3"/>
    <w:rsid w:val="00A17F13"/>
    <w:rsid w:val="00A20739"/>
    <w:rsid w:val="00A22A9B"/>
    <w:rsid w:val="00A23D49"/>
    <w:rsid w:val="00A26B8E"/>
    <w:rsid w:val="00A33C78"/>
    <w:rsid w:val="00A56F28"/>
    <w:rsid w:val="00A6171F"/>
    <w:rsid w:val="00A64B01"/>
    <w:rsid w:val="00A756BD"/>
    <w:rsid w:val="00A77D95"/>
    <w:rsid w:val="00A83F30"/>
    <w:rsid w:val="00A90BFE"/>
    <w:rsid w:val="00AA4160"/>
    <w:rsid w:val="00AA693B"/>
    <w:rsid w:val="00AB0ADB"/>
    <w:rsid w:val="00AB3A84"/>
    <w:rsid w:val="00AC7CD1"/>
    <w:rsid w:val="00AD0EDD"/>
    <w:rsid w:val="00AE261A"/>
    <w:rsid w:val="00AF29DD"/>
    <w:rsid w:val="00AF5155"/>
    <w:rsid w:val="00AF746C"/>
    <w:rsid w:val="00AF776F"/>
    <w:rsid w:val="00B01B1A"/>
    <w:rsid w:val="00B21934"/>
    <w:rsid w:val="00B25526"/>
    <w:rsid w:val="00B3159B"/>
    <w:rsid w:val="00B33424"/>
    <w:rsid w:val="00B5419A"/>
    <w:rsid w:val="00B56959"/>
    <w:rsid w:val="00B644FB"/>
    <w:rsid w:val="00B65758"/>
    <w:rsid w:val="00B67453"/>
    <w:rsid w:val="00B70B75"/>
    <w:rsid w:val="00B72CD3"/>
    <w:rsid w:val="00B72FFF"/>
    <w:rsid w:val="00B7684B"/>
    <w:rsid w:val="00B77D0D"/>
    <w:rsid w:val="00B858E9"/>
    <w:rsid w:val="00B9044E"/>
    <w:rsid w:val="00B91F45"/>
    <w:rsid w:val="00B92E8F"/>
    <w:rsid w:val="00BA2D96"/>
    <w:rsid w:val="00BB3BEB"/>
    <w:rsid w:val="00BC3D36"/>
    <w:rsid w:val="00BC4B9D"/>
    <w:rsid w:val="00BC56EE"/>
    <w:rsid w:val="00BD7918"/>
    <w:rsid w:val="00BD7F72"/>
    <w:rsid w:val="00BE63E9"/>
    <w:rsid w:val="00BF47D4"/>
    <w:rsid w:val="00BF61D5"/>
    <w:rsid w:val="00C04FB3"/>
    <w:rsid w:val="00C14B72"/>
    <w:rsid w:val="00C15FDD"/>
    <w:rsid w:val="00C2212E"/>
    <w:rsid w:val="00C22B72"/>
    <w:rsid w:val="00C2346A"/>
    <w:rsid w:val="00C23DA6"/>
    <w:rsid w:val="00C2637B"/>
    <w:rsid w:val="00C3057C"/>
    <w:rsid w:val="00C330EB"/>
    <w:rsid w:val="00C37B22"/>
    <w:rsid w:val="00C44690"/>
    <w:rsid w:val="00C747D9"/>
    <w:rsid w:val="00C754BE"/>
    <w:rsid w:val="00C75631"/>
    <w:rsid w:val="00C76B1C"/>
    <w:rsid w:val="00CA2F59"/>
    <w:rsid w:val="00CB6357"/>
    <w:rsid w:val="00CB7A51"/>
    <w:rsid w:val="00CC1B26"/>
    <w:rsid w:val="00CD307A"/>
    <w:rsid w:val="00CE2BBD"/>
    <w:rsid w:val="00CE2D24"/>
    <w:rsid w:val="00CE3EDE"/>
    <w:rsid w:val="00CE50F5"/>
    <w:rsid w:val="00CF2D33"/>
    <w:rsid w:val="00CF5F61"/>
    <w:rsid w:val="00CF7BCF"/>
    <w:rsid w:val="00D03B9A"/>
    <w:rsid w:val="00D104AA"/>
    <w:rsid w:val="00D230EF"/>
    <w:rsid w:val="00D2678F"/>
    <w:rsid w:val="00D32A69"/>
    <w:rsid w:val="00D40119"/>
    <w:rsid w:val="00D40F5A"/>
    <w:rsid w:val="00D423A2"/>
    <w:rsid w:val="00D50616"/>
    <w:rsid w:val="00D520D8"/>
    <w:rsid w:val="00D5613F"/>
    <w:rsid w:val="00D57876"/>
    <w:rsid w:val="00D61870"/>
    <w:rsid w:val="00D62E77"/>
    <w:rsid w:val="00D63AC2"/>
    <w:rsid w:val="00D64651"/>
    <w:rsid w:val="00D6564E"/>
    <w:rsid w:val="00D669E3"/>
    <w:rsid w:val="00D6723D"/>
    <w:rsid w:val="00D675F1"/>
    <w:rsid w:val="00D7383B"/>
    <w:rsid w:val="00D7450A"/>
    <w:rsid w:val="00D758AF"/>
    <w:rsid w:val="00D760B1"/>
    <w:rsid w:val="00D764DA"/>
    <w:rsid w:val="00D76EE5"/>
    <w:rsid w:val="00D81425"/>
    <w:rsid w:val="00D9039D"/>
    <w:rsid w:val="00D92E48"/>
    <w:rsid w:val="00D96C28"/>
    <w:rsid w:val="00DA231B"/>
    <w:rsid w:val="00DA23A0"/>
    <w:rsid w:val="00DB3D61"/>
    <w:rsid w:val="00DB545A"/>
    <w:rsid w:val="00DC39FC"/>
    <w:rsid w:val="00DC6DCF"/>
    <w:rsid w:val="00DD3ECF"/>
    <w:rsid w:val="00DF5254"/>
    <w:rsid w:val="00DF7826"/>
    <w:rsid w:val="00E1245E"/>
    <w:rsid w:val="00E1296C"/>
    <w:rsid w:val="00E16408"/>
    <w:rsid w:val="00E20894"/>
    <w:rsid w:val="00E245AB"/>
    <w:rsid w:val="00E2764C"/>
    <w:rsid w:val="00E27F2E"/>
    <w:rsid w:val="00E31478"/>
    <w:rsid w:val="00E413EA"/>
    <w:rsid w:val="00E44950"/>
    <w:rsid w:val="00E50AFE"/>
    <w:rsid w:val="00E52069"/>
    <w:rsid w:val="00E55692"/>
    <w:rsid w:val="00E568FB"/>
    <w:rsid w:val="00E576B4"/>
    <w:rsid w:val="00E61181"/>
    <w:rsid w:val="00E631EF"/>
    <w:rsid w:val="00E75C92"/>
    <w:rsid w:val="00E771DC"/>
    <w:rsid w:val="00E7728A"/>
    <w:rsid w:val="00E8184A"/>
    <w:rsid w:val="00E8772A"/>
    <w:rsid w:val="00E90F6B"/>
    <w:rsid w:val="00E92C27"/>
    <w:rsid w:val="00EA0E3D"/>
    <w:rsid w:val="00EA10B3"/>
    <w:rsid w:val="00EA24BF"/>
    <w:rsid w:val="00EB388F"/>
    <w:rsid w:val="00EC1D41"/>
    <w:rsid w:val="00EC38A7"/>
    <w:rsid w:val="00ED2EA6"/>
    <w:rsid w:val="00EE1AA8"/>
    <w:rsid w:val="00EE6F94"/>
    <w:rsid w:val="00EE7A72"/>
    <w:rsid w:val="00EF13E0"/>
    <w:rsid w:val="00EF1652"/>
    <w:rsid w:val="00EF192F"/>
    <w:rsid w:val="00EF3D51"/>
    <w:rsid w:val="00EF5D50"/>
    <w:rsid w:val="00F04F51"/>
    <w:rsid w:val="00F078E1"/>
    <w:rsid w:val="00F12E56"/>
    <w:rsid w:val="00F15160"/>
    <w:rsid w:val="00F31EDC"/>
    <w:rsid w:val="00F462B3"/>
    <w:rsid w:val="00F50756"/>
    <w:rsid w:val="00F54524"/>
    <w:rsid w:val="00F5664F"/>
    <w:rsid w:val="00F57CF6"/>
    <w:rsid w:val="00F62F57"/>
    <w:rsid w:val="00F63E23"/>
    <w:rsid w:val="00F64D59"/>
    <w:rsid w:val="00F666C4"/>
    <w:rsid w:val="00F70F35"/>
    <w:rsid w:val="00F76AFC"/>
    <w:rsid w:val="00F812D4"/>
    <w:rsid w:val="00F94AA1"/>
    <w:rsid w:val="00FA3EEF"/>
    <w:rsid w:val="00FA47C0"/>
    <w:rsid w:val="00FA5C33"/>
    <w:rsid w:val="00FB27F7"/>
    <w:rsid w:val="00FB3AB1"/>
    <w:rsid w:val="00FB5C90"/>
    <w:rsid w:val="00FB5DD1"/>
    <w:rsid w:val="00FC144D"/>
    <w:rsid w:val="00FC2B5D"/>
    <w:rsid w:val="00FC329A"/>
    <w:rsid w:val="00FC3347"/>
    <w:rsid w:val="00FC5902"/>
    <w:rsid w:val="00FC602A"/>
    <w:rsid w:val="00FC60C9"/>
    <w:rsid w:val="00FD645A"/>
    <w:rsid w:val="00FE1668"/>
    <w:rsid w:val="00FE6500"/>
    <w:rsid w:val="00FE7892"/>
    <w:rsid w:val="00FF1449"/>
    <w:rsid w:val="4EF47107"/>
    <w:rsid w:val="5CEADB7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C646A89B-93B8-4ED8-BDA7-26790756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13E59"/>
    <w:rPr>
      <w:rFonts w:ascii="Geomanist Light" w:hAnsi="Geomanist Light"/>
      <w:lang w:val="es-ES"/>
    </w:rPr>
  </w:style>
  <w:style w:type="paragraph" w:customStyle="1" w:styleId="Appelnotedebasde">
    <w:name w:val="Appel note de bas de..."/>
    <w:basedOn w:val="Normal"/>
    <w:link w:val="Refdenotaalpie"/>
    <w:uiPriority w:val="99"/>
    <w:rsid w:val="00D6564E"/>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50819">
      <w:bodyDiv w:val="1"/>
      <w:marLeft w:val="0"/>
      <w:marRight w:val="0"/>
      <w:marTop w:val="0"/>
      <w:marBottom w:val="0"/>
      <w:divBdr>
        <w:top w:val="none" w:sz="0" w:space="0" w:color="auto"/>
        <w:left w:val="none" w:sz="0" w:space="0" w:color="auto"/>
        <w:bottom w:val="none" w:sz="0" w:space="0" w:color="auto"/>
        <w:right w:val="none" w:sz="0" w:space="0" w:color="auto"/>
      </w:divBdr>
    </w:div>
    <w:div w:id="117116063">
      <w:bodyDiv w:val="1"/>
      <w:marLeft w:val="0"/>
      <w:marRight w:val="0"/>
      <w:marTop w:val="0"/>
      <w:marBottom w:val="0"/>
      <w:divBdr>
        <w:top w:val="none" w:sz="0" w:space="0" w:color="auto"/>
        <w:left w:val="none" w:sz="0" w:space="0" w:color="auto"/>
        <w:bottom w:val="none" w:sz="0" w:space="0" w:color="auto"/>
        <w:right w:val="none" w:sz="0" w:space="0" w:color="auto"/>
      </w:divBdr>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353847995">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content/documentos-tipo-para-licitacion-de-obra-publica-de-infraestructura-de-transporte-version-04" TargetMode="External"/><Relationship Id="rId18" Type="http://schemas.openxmlformats.org/officeDocument/2006/relationships/hyperlink" Target="https://nam02.safelinks.protection.outlook.com/?url=https%3A%2F%2Fwww.colombiacompra.gov.co%2Fsites%2Fcce_public%2Ffiles%2Ffiles_2020%2Fboletin_de_realtoria_iii.pdf&amp;data=05%7C02%7Cana.ortizb%40colombiacompra.gov.co%7C5aad36a736844ec87b2108dcc1fa4639%7C7b09041e245149d08cb179d5e3d8c1be%7C0%7C0%7C638598527916501665%7CUnknown%7CTWFpbGZsb3d8eyJWIjoiMC4wLjAwMDAiLCJQIjoiV2luMzIiLCJBTiI6Ik1haWwiLCJXVCI6Mn0%3D%7C0%7C%7C%7C&amp;sdata=Xt5KL%2F0GJYkS2i6TTfJyLtz9Ein9fwrAQ39aJDBwY5o%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colombiacompra.gov.co/sites/cce_public/files/cce_circulares/circular_externa_unica_version_3_vf49.pdf" TargetMode="External"/><Relationship Id="rId17"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 Id="rId2" Type="http://schemas.openxmlformats.org/officeDocument/2006/relationships/customXml" Target="../customXml/item2.xml"/><Relationship Id="rId16" Type="http://schemas.openxmlformats.org/officeDocument/2006/relationships/hyperlink" Target="https://www.colombiacompra.gov.co/manuales-guias-y-pliegos-tipo/manuales-y-guia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gcarolina79@yahoo.com" TargetMode="External"/><Relationship Id="rId5" Type="http://schemas.openxmlformats.org/officeDocument/2006/relationships/styles" Target="styles.xml"/><Relationship Id="rId15" Type="http://schemas.openxmlformats.org/officeDocument/2006/relationships/hyperlink" Target="https://relatoria.colombiacompra.gov.co/providencias-consejo-de-estado/"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sites/cce_public/files/files_2020/465_resolucion465.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FAC4F71D-E487-445B-B80D-D969753E02DF}"/>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4196</Words>
  <Characters>23083</Characters>
  <Application>Microsoft Office Word</Application>
  <DocSecurity>0</DocSecurity>
  <Lines>192</Lines>
  <Paragraphs>54</Paragraphs>
  <ScaleCrop>false</ScaleCrop>
  <Company/>
  <LinksUpToDate>false</LinksUpToDate>
  <CharactersWithSpaces>27225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Agencia Nacional de Contratación Pública</cp:lastModifiedBy>
  <cp:revision>86</cp:revision>
  <cp:lastPrinted>2023-01-11T00:18:00Z</cp:lastPrinted>
  <dcterms:created xsi:type="dcterms:W3CDTF">2024-09-13T16:59:00Z</dcterms:created>
  <dcterms:modified xsi:type="dcterms:W3CDTF">2024-09-13T17:54:00Z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