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BCA0" w14:textId="77777777" w:rsidR="00047218" w:rsidRPr="00AB11C1" w:rsidRDefault="00047218" w:rsidP="00047218">
      <w:pPr>
        <w:jc w:val="both"/>
        <w:rPr>
          <w:rFonts w:ascii="Verdana" w:eastAsia="Calibri" w:hAnsi="Verdana" w:cs="Arial"/>
          <w:b/>
          <w:bCs/>
          <w:lang w:val="es-MX"/>
        </w:rPr>
      </w:pPr>
      <w:r w:rsidRPr="00AB11C1">
        <w:rPr>
          <w:rFonts w:ascii="Verdana" w:eastAsia="Calibri" w:hAnsi="Verdana" w:cs="Arial"/>
          <w:b/>
          <w:bCs/>
          <w:lang w:val="es-MX"/>
        </w:rPr>
        <w:t>EXPERIENCIA – Transferencia – Accionistas, socios o constituyentes – Decreto 1082 de 2015</w:t>
      </w:r>
    </w:p>
    <w:p w14:paraId="51840C7B" w14:textId="77777777" w:rsidR="00047218" w:rsidRPr="00AB11C1" w:rsidRDefault="00047218" w:rsidP="00047218">
      <w:pPr>
        <w:jc w:val="both"/>
        <w:rPr>
          <w:rFonts w:ascii="Verdana" w:eastAsia="Calibri" w:hAnsi="Verdana" w:cs="Arial"/>
          <w:lang w:val="es-MX"/>
        </w:rPr>
      </w:pPr>
      <w:r w:rsidRPr="00AB11C1">
        <w:rPr>
          <w:rFonts w:ascii="Verdana" w:eastAsia="Calibri" w:hAnsi="Verdana" w:cs="Arial"/>
          <w:lang w:val="es-MX"/>
        </w:rPr>
        <w:t>La parte final del numeral 2.5 del artículo 2.2.1.1.1.5.2. del Decreto 1082 de 2015 incluye una medida diferenciada para las personas jurídicas cuya constitución sea menor a 3 años al momento del registro. Esta prerrogativa, que puede ser entendida como de fomento a la participación de los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w:t>
      </w:r>
    </w:p>
    <w:p w14:paraId="51DFBA07" w14:textId="77777777" w:rsidR="00047218" w:rsidRPr="00AB11C1" w:rsidRDefault="00047218" w:rsidP="00047218">
      <w:pPr>
        <w:jc w:val="both"/>
        <w:rPr>
          <w:rFonts w:ascii="Verdana" w:eastAsia="Calibri" w:hAnsi="Verdana" w:cs="Arial"/>
          <w:lang w:val="es-MX"/>
        </w:rPr>
      </w:pPr>
      <w:r w:rsidRPr="00AB11C1">
        <w:rPr>
          <w:rFonts w:ascii="Verdana" w:eastAsia="Calibri" w:hAnsi="Verdana" w:cs="Arial"/>
          <w:lang w:val="es-MX"/>
        </w:rPr>
        <w:t xml:space="preserve">[…] </w:t>
      </w:r>
    </w:p>
    <w:p w14:paraId="0EF0753D" w14:textId="77777777" w:rsidR="00047218" w:rsidRPr="00AB11C1" w:rsidRDefault="00047218" w:rsidP="00047218">
      <w:pPr>
        <w:jc w:val="both"/>
        <w:rPr>
          <w:rFonts w:ascii="Verdana" w:eastAsia="Calibri" w:hAnsi="Verdana" w:cs="Arial"/>
          <w:lang w:val="es-MX"/>
        </w:rPr>
      </w:pPr>
      <w:r w:rsidRPr="00AB11C1">
        <w:rPr>
          <w:rFonts w:ascii="Verdana" w:eastAsia="Calibri" w:hAnsi="Verdana" w:cs="Arial"/>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su experiencia a la sociedad de la que es parte, para que ésta, como persona jurídica independiente, cumpla los requisitos habilitantes o puntuables que establezcan las entidades estatales en sus procesos de contratación, y de esta forma promover el desarrollo de la empresa y la pluralidad de oferentes en la contratación pública.</w:t>
      </w:r>
    </w:p>
    <w:p w14:paraId="39CE5EB5" w14:textId="77777777" w:rsidR="00047218" w:rsidRPr="00AB11C1" w:rsidRDefault="00047218" w:rsidP="00047218">
      <w:pPr>
        <w:jc w:val="both"/>
        <w:rPr>
          <w:rFonts w:ascii="Verdana" w:eastAsia="Calibri" w:hAnsi="Verdana" w:cs="Arial"/>
          <w:b/>
          <w:bCs/>
          <w:lang w:val="es-MX"/>
        </w:rPr>
      </w:pPr>
    </w:p>
    <w:p w14:paraId="3D140C69" w14:textId="77777777" w:rsidR="00047218" w:rsidRDefault="00047218" w:rsidP="00047218">
      <w:pPr>
        <w:jc w:val="both"/>
        <w:rPr>
          <w:rFonts w:ascii="Verdana" w:eastAsia="Calibri" w:hAnsi="Verdana" w:cs="Arial"/>
          <w:lang w:val="es-MX"/>
        </w:rPr>
      </w:pPr>
      <w:r w:rsidRPr="00AB11C1">
        <w:rPr>
          <w:rFonts w:ascii="Verdana" w:eastAsia="Calibri" w:hAnsi="Verdana" w:cs="Arial"/>
          <w:b/>
          <w:bCs/>
          <w:lang w:val="es-MX"/>
        </w:rPr>
        <w:t>EXPERIENCIA ‒ Conservación ‒ Renovación RUP ‒ Cesación efectos RUP</w:t>
      </w:r>
    </w:p>
    <w:p w14:paraId="452CFCFF" w14:textId="77777777" w:rsidR="00047218" w:rsidRPr="00AB11C1" w:rsidRDefault="00047218" w:rsidP="00047218">
      <w:pPr>
        <w:jc w:val="both"/>
        <w:rPr>
          <w:rFonts w:ascii="Verdana" w:eastAsia="Calibri" w:hAnsi="Verdana" w:cs="Arial"/>
          <w:lang w:val="es-MX"/>
        </w:rPr>
      </w:pPr>
      <w:r w:rsidRPr="00AB11C1">
        <w:rPr>
          <w:rFonts w:ascii="Verdana" w:eastAsia="Calibri" w:hAnsi="Verdana" w:cs="Arial"/>
          <w:lang w:val="es-MX"/>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w:t>
      </w:r>
      <w:r>
        <w:rPr>
          <w:rFonts w:ascii="Verdana" w:eastAsia="Calibri" w:hAnsi="Verdana" w:cs="Arial"/>
          <w:lang w:val="es-MX"/>
        </w:rPr>
        <w:t xml:space="preserve">en </w:t>
      </w:r>
      <w:r w:rsidRPr="005821E0">
        <w:rPr>
          <w:rFonts w:ascii="Verdana" w:eastAsia="Calibri" w:hAnsi="Verdana" w:cs="Arial"/>
          <w:lang w:val="es-MX"/>
        </w:rPr>
        <w:t>sus efectos y la cámara de comercio tiene que hacer nuevamente la verificación documental de la información presentada al momento de inscribirse en el registro.</w:t>
      </w:r>
    </w:p>
    <w:p w14:paraId="69F2AF35" w14:textId="77777777" w:rsidR="00047218" w:rsidRPr="005821E0" w:rsidRDefault="00047218" w:rsidP="00047218">
      <w:pPr>
        <w:spacing w:after="0"/>
        <w:rPr>
          <w:rFonts w:ascii="Verdana" w:hAnsi="Verdana"/>
          <w:lang w:val="es-MX"/>
        </w:rPr>
      </w:pPr>
    </w:p>
    <w:p w14:paraId="1E3865AA" w14:textId="77777777" w:rsidR="00047218" w:rsidRPr="005821E0" w:rsidRDefault="00047218" w:rsidP="00047218">
      <w:pPr>
        <w:jc w:val="both"/>
        <w:rPr>
          <w:rFonts w:ascii="Verdana" w:eastAsia="Calibri" w:hAnsi="Verdana" w:cs="Arial"/>
          <w:b/>
          <w:bCs/>
          <w:lang w:val="es-MX"/>
        </w:rPr>
      </w:pPr>
      <w:r w:rsidRPr="005821E0">
        <w:rPr>
          <w:rFonts w:ascii="Verdana" w:eastAsia="Calibri" w:hAnsi="Verdana" w:cs="Arial"/>
          <w:b/>
          <w:bCs/>
          <w:lang w:val="es-MX"/>
        </w:rPr>
        <w:t xml:space="preserve">EXPERIENCIA – Transferencia – Accionistas, socios o constituyentes – </w:t>
      </w:r>
      <w:r>
        <w:rPr>
          <w:rFonts w:ascii="Verdana" w:eastAsia="Calibri" w:hAnsi="Verdana" w:cs="Arial"/>
          <w:b/>
          <w:bCs/>
          <w:lang w:val="es-MX"/>
        </w:rPr>
        <w:t>Pé</w:t>
      </w:r>
      <w:r w:rsidRPr="005821E0">
        <w:rPr>
          <w:rFonts w:ascii="Verdana" w:eastAsia="Calibri" w:hAnsi="Verdana" w:cs="Arial"/>
          <w:b/>
          <w:bCs/>
          <w:lang w:val="es-MX"/>
        </w:rPr>
        <w:t xml:space="preserve">rdida de la </w:t>
      </w:r>
      <w:r>
        <w:rPr>
          <w:rFonts w:ascii="Verdana" w:eastAsia="Calibri" w:hAnsi="Verdana" w:cs="Arial"/>
          <w:b/>
          <w:bCs/>
          <w:lang w:val="es-MX"/>
        </w:rPr>
        <w:t>e</w:t>
      </w:r>
      <w:r w:rsidRPr="005821E0">
        <w:rPr>
          <w:rFonts w:ascii="Verdana" w:eastAsia="Calibri" w:hAnsi="Verdana" w:cs="Arial"/>
          <w:b/>
          <w:bCs/>
          <w:lang w:val="es-MX"/>
        </w:rPr>
        <w:t xml:space="preserve">xperiencia </w:t>
      </w:r>
      <w:r>
        <w:rPr>
          <w:rFonts w:ascii="Verdana" w:eastAsia="Calibri" w:hAnsi="Verdana" w:cs="Arial"/>
          <w:b/>
          <w:bCs/>
          <w:lang w:val="es-MX"/>
        </w:rPr>
        <w:t>por retiro</w:t>
      </w:r>
      <w:r w:rsidRPr="005821E0">
        <w:rPr>
          <w:rFonts w:ascii="Verdana" w:eastAsia="Calibri" w:hAnsi="Verdana" w:cs="Arial"/>
          <w:b/>
          <w:bCs/>
          <w:lang w:val="es-MX"/>
        </w:rPr>
        <w:t xml:space="preserve"> </w:t>
      </w:r>
    </w:p>
    <w:p w14:paraId="74A0E353" w14:textId="77777777" w:rsidR="00047218" w:rsidRPr="005821E0" w:rsidRDefault="00047218" w:rsidP="00047218">
      <w:pPr>
        <w:spacing w:after="120" w:line="276" w:lineRule="auto"/>
        <w:jc w:val="both"/>
        <w:rPr>
          <w:rFonts w:ascii="Verdana" w:eastAsia="Calibri" w:hAnsi="Verdana" w:cs="Arial"/>
          <w:lang w:val="es-MX"/>
        </w:rPr>
      </w:pPr>
      <w:r w:rsidRPr="005821E0">
        <w:rPr>
          <w:rFonts w:ascii="Verdana" w:eastAsia="Calibri" w:hAnsi="Verdana" w:cs="Arial"/>
          <w:lang w:val="es-MX"/>
        </w:rPr>
        <w:t xml:space="preserve">El </w:t>
      </w:r>
      <w:r w:rsidRPr="005821E0">
        <w:rPr>
          <w:rFonts w:ascii="Verdana" w:eastAsia="Century Gothic" w:hAnsi="Verdana" w:cs="Century Gothic"/>
        </w:rPr>
        <w:t xml:space="preserve">numeral 2.5 del artículo 2.2.1.1.1.5.2 de </w:t>
      </w:r>
      <w:r w:rsidRPr="005821E0">
        <w:rPr>
          <w:rFonts w:ascii="Verdana" w:eastAsia="Calibri" w:hAnsi="Verdana" w:cs="Arial"/>
          <w:lang w:val="es-MX"/>
        </w:rPr>
        <w:t xml:space="preserve">Decreto 1082 de 2015 solo permite que una sociedad acredite la experiencia de quienes tienen la calidad de accionistas, </w:t>
      </w:r>
      <w:r w:rsidRPr="005821E0">
        <w:rPr>
          <w:rFonts w:ascii="Verdana" w:eastAsia="Calibri" w:hAnsi="Verdana" w:cs="Arial"/>
          <w:lang w:val="es-MX"/>
        </w:rPr>
        <w:lastRenderedPageBreak/>
        <w:t xml:space="preserve">socios o constituyentes durante los primeros tres años de su constitución. Por tanto, si no se tiene o se pierden estas calidades, como sucedería cuando un socio se retira por venta o cesión de su participación y pierde su calidad de socio y/o fallece, ya no sería posible que la sociedad acredite la experiencia aportada por dicha persona, toda vez que la experiencia es inherente a la persona que la ha obtenido, razón por la cual es intransferible en virtud de su carácter personalísimo, pero por disposición legal o reglamentaria, en casos excepcionales, como el descrito por el </w:t>
      </w:r>
      <w:r w:rsidRPr="005821E0">
        <w:rPr>
          <w:rFonts w:ascii="Verdana" w:eastAsia="Century Gothic" w:hAnsi="Verdana" w:cs="Century Gothic"/>
        </w:rPr>
        <w:t>numeral 2.5 del artículo 2.2.1.1.1.5.2 del Decreto 1082 de 2015</w:t>
      </w:r>
      <w:r w:rsidRPr="005821E0">
        <w:rPr>
          <w:rFonts w:ascii="Verdana" w:eastAsia="Calibri" w:hAnsi="Verdana" w:cs="Arial"/>
          <w:lang w:val="es-MX"/>
        </w:rPr>
        <w:t>, se permite hacerlo</w:t>
      </w:r>
      <w:r>
        <w:rPr>
          <w:rFonts w:ascii="Verdana" w:eastAsia="Calibri" w:hAnsi="Verdana" w:cs="Arial"/>
          <w:lang w:val="es-MX"/>
        </w:rPr>
        <w:t xml:space="preserve">. </w:t>
      </w:r>
      <w:r w:rsidRPr="005821E0">
        <w:rPr>
          <w:rFonts w:ascii="Verdana" w:eastAsia="Calibri" w:hAnsi="Verdana" w:cs="Arial"/>
          <w:lang w:val="es-MX"/>
        </w:rPr>
        <w:t>Lo propio pasa con la muerte de uno de los socios, dado que, será jurídicamente inviable pretender que la experiencia de un sujeto que no existe sea transferida.</w:t>
      </w:r>
    </w:p>
    <w:p w14:paraId="5B3DECAC" w14:textId="77777777" w:rsidR="00047218" w:rsidRPr="005821E0" w:rsidRDefault="00047218" w:rsidP="00047218">
      <w:pPr>
        <w:spacing w:after="0"/>
        <w:rPr>
          <w:rFonts w:ascii="Verdana" w:hAnsi="Verdana"/>
          <w:b/>
          <w:bCs/>
          <w:lang w:val="es-MX"/>
        </w:rPr>
      </w:pPr>
    </w:p>
    <w:p w14:paraId="71AD76B2" w14:textId="77777777" w:rsidR="00047218" w:rsidRPr="00990517" w:rsidRDefault="00047218" w:rsidP="00047218">
      <w:pPr>
        <w:spacing w:after="0"/>
        <w:jc w:val="both"/>
        <w:rPr>
          <w:rFonts w:ascii="Verdana" w:hAnsi="Verdana"/>
          <w:b/>
          <w:bCs/>
          <w:lang w:val="es-MX"/>
        </w:rPr>
      </w:pPr>
      <w:r w:rsidRPr="00471489">
        <w:rPr>
          <w:rFonts w:ascii="Verdana" w:eastAsia="Century Gothic" w:hAnsi="Verdana" w:cs="Century Gothic"/>
          <w:b/>
          <w:bCs/>
        </w:rPr>
        <w:t xml:space="preserve">DECRETO 1082 DE 2015 – Factor de </w:t>
      </w:r>
      <w:r>
        <w:rPr>
          <w:rFonts w:ascii="Verdana" w:eastAsia="Century Gothic" w:hAnsi="Verdana" w:cs="Century Gothic"/>
          <w:b/>
          <w:bCs/>
        </w:rPr>
        <w:t>e</w:t>
      </w:r>
      <w:r w:rsidRPr="00471489">
        <w:rPr>
          <w:rFonts w:ascii="Verdana" w:eastAsia="Century Gothic" w:hAnsi="Verdana" w:cs="Century Gothic"/>
          <w:b/>
          <w:bCs/>
        </w:rPr>
        <w:t xml:space="preserve">xperiencia – Tratamiento </w:t>
      </w:r>
      <w:r>
        <w:rPr>
          <w:rFonts w:ascii="Verdana" w:eastAsia="Century Gothic" w:hAnsi="Verdana" w:cs="Century Gothic"/>
          <w:b/>
          <w:bCs/>
        </w:rPr>
        <w:t>d</w:t>
      </w:r>
      <w:r w:rsidRPr="00471489">
        <w:rPr>
          <w:rFonts w:ascii="Verdana" w:eastAsia="Century Gothic" w:hAnsi="Verdana" w:cs="Century Gothic"/>
          <w:b/>
          <w:bCs/>
        </w:rPr>
        <w:t>iferencial</w:t>
      </w:r>
    </w:p>
    <w:p w14:paraId="26AF804E" w14:textId="77777777" w:rsidR="00047218" w:rsidRPr="005821E0" w:rsidRDefault="00047218" w:rsidP="00047218">
      <w:pPr>
        <w:spacing w:after="0"/>
        <w:rPr>
          <w:rFonts w:ascii="Verdana" w:hAnsi="Verdana"/>
          <w:lang w:val="es-MX"/>
        </w:rPr>
      </w:pPr>
    </w:p>
    <w:p w14:paraId="35D9EAB5" w14:textId="77777777" w:rsidR="00047218" w:rsidRPr="00315F79" w:rsidRDefault="00047218" w:rsidP="00047218">
      <w:pPr>
        <w:spacing w:after="0"/>
        <w:jc w:val="both"/>
        <w:rPr>
          <w:rFonts w:ascii="Verdana" w:hAnsi="Verdana"/>
        </w:rPr>
      </w:pPr>
      <w:r w:rsidRPr="00315F79">
        <w:rPr>
          <w:rFonts w:ascii="Verdana" w:hAnsi="Verdana" w:cs="Arial"/>
          <w:bCs/>
          <w:lang w:val="es-ES_tradnl"/>
        </w:rPr>
        <w:t xml:space="preserve">El numeral </w:t>
      </w:r>
      <w:r w:rsidRPr="00315F79">
        <w:rPr>
          <w:rFonts w:ascii="Verdana" w:eastAsia="Century Gothic" w:hAnsi="Verdana" w:cs="Century Gothic"/>
        </w:rPr>
        <w:t xml:space="preserve">2.5 del artículo 2.2.1.1.1.5.2 del Decreto 1082 de 2015 </w:t>
      </w:r>
      <w:r w:rsidRPr="00315F79">
        <w:rPr>
          <w:rFonts w:ascii="Verdana" w:hAnsi="Verdana" w:cs="Arial"/>
          <w:bCs/>
          <w:lang w:val="es-ES_tradnl"/>
        </w:rPr>
        <w:t>no hace tratamiento diferencial respecto de las S.A., S.A.S o de cualquier otro tipo societario reglado, con relación al factor de experiencia regulado en esta disposición.</w:t>
      </w:r>
      <w:r w:rsidRPr="00315F79">
        <w:rPr>
          <w:rFonts w:ascii="Verdana" w:hAnsi="Verdana"/>
        </w:rPr>
        <w:t xml:space="preserve"> Por lo tanto, no habiendo sido regulado por el legislador ámbito de aplicación diferencial</w:t>
      </w:r>
      <w:r w:rsidRPr="00315F79">
        <w:rPr>
          <w:rFonts w:ascii="Verdana" w:hAnsi="Verdana" w:cs="Arial"/>
          <w:bCs/>
          <w:lang w:val="es-ES_tradnl"/>
        </w:rPr>
        <w:t>, en el artículo precedente</w:t>
      </w:r>
      <w:r>
        <w:rPr>
          <w:rFonts w:ascii="Verdana" w:hAnsi="Verdana" w:cs="Arial"/>
          <w:bCs/>
          <w:lang w:val="es-ES_tradnl"/>
        </w:rPr>
        <w:t>;</w:t>
      </w:r>
      <w:r w:rsidRPr="00315F79">
        <w:rPr>
          <w:rFonts w:ascii="Verdana" w:hAnsi="Verdana"/>
        </w:rPr>
        <w:t xml:space="preserve"> opera el principio general de interpretación, según el cual, donde el legislador no distingue, no le es dado hacerlo al interprete</w:t>
      </w:r>
      <w:r>
        <w:rPr>
          <w:rFonts w:ascii="Verdana" w:hAnsi="Verdana"/>
        </w:rPr>
        <w:t>;</w:t>
      </w:r>
      <w:r w:rsidRPr="00315F79">
        <w:rPr>
          <w:rFonts w:ascii="Verdana" w:hAnsi="Verdana"/>
        </w:rPr>
        <w:t xml:space="preserve"> </w:t>
      </w:r>
      <w:r w:rsidRPr="00315F79">
        <w:rPr>
          <w:rFonts w:ascii="Verdana" w:hAnsi="Verdana"/>
          <w:color w:val="333333"/>
          <w:shd w:val="clear" w:color="auto" w:fill="FFFFFF"/>
        </w:rPr>
        <w:t xml:space="preserve">lo anterior cobra relevante connotación para la seguridad jurídica pues evita que el sentido de la ley esté sujeto a la interpretación subjetivas de diferentes actores, esto con el fin de mantener un equilibrio de todos los partícipes de la contratación, </w:t>
      </w:r>
      <w:r>
        <w:rPr>
          <w:rFonts w:ascii="Verdana" w:hAnsi="Verdana"/>
          <w:color w:val="333333"/>
          <w:shd w:val="clear" w:color="auto" w:fill="FFFFFF"/>
        </w:rPr>
        <w:t xml:space="preserve">y </w:t>
      </w:r>
      <w:r w:rsidRPr="00315F79">
        <w:rPr>
          <w:rFonts w:ascii="Verdana" w:hAnsi="Verdana"/>
          <w:color w:val="333333"/>
          <w:shd w:val="clear" w:color="auto" w:fill="FFFFFF"/>
        </w:rPr>
        <w:t>en la práctica darle efectiva aplicabilidad al derecho a la igualdad</w:t>
      </w:r>
      <w:r>
        <w:rPr>
          <w:rFonts w:ascii="Verdana" w:hAnsi="Verdana"/>
          <w:color w:val="333333"/>
          <w:shd w:val="clear" w:color="auto" w:fill="FFFFFF"/>
        </w:rPr>
        <w:t>.</w:t>
      </w:r>
      <w:r w:rsidRPr="00315F79">
        <w:rPr>
          <w:rFonts w:ascii="Verdana" w:hAnsi="Verdana"/>
          <w:color w:val="333333"/>
          <w:shd w:val="clear" w:color="auto" w:fill="FFFFFF"/>
        </w:rPr>
        <w:t xml:space="preserve"> </w:t>
      </w:r>
    </w:p>
    <w:p w14:paraId="040DE857" w14:textId="77777777" w:rsidR="00047218" w:rsidRPr="00315F79" w:rsidRDefault="00047218" w:rsidP="00047218">
      <w:pPr>
        <w:spacing w:after="0"/>
        <w:jc w:val="both"/>
        <w:rPr>
          <w:rFonts w:ascii="Verdana" w:hAnsi="Verdana"/>
        </w:rPr>
      </w:pPr>
    </w:p>
    <w:p w14:paraId="24970921" w14:textId="77777777" w:rsidR="00047218" w:rsidRPr="00315F79" w:rsidRDefault="00047218" w:rsidP="00047218">
      <w:pPr>
        <w:spacing w:after="0"/>
        <w:jc w:val="both"/>
        <w:rPr>
          <w:rFonts w:ascii="Verdana" w:hAnsi="Verdana" w:cs="Arial"/>
          <w:b/>
          <w:lang w:val="es-ES_tradnl" w:eastAsia="es-ES"/>
        </w:rPr>
      </w:pPr>
      <w:r>
        <w:rPr>
          <w:rFonts w:ascii="Verdana" w:hAnsi="Verdana"/>
        </w:rPr>
        <w:t>En ese sentido, l</w:t>
      </w:r>
      <w:r w:rsidRPr="00315F79">
        <w:rPr>
          <w:rFonts w:ascii="Verdana" w:hAnsi="Verdana"/>
        </w:rPr>
        <w:t>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w:t>
      </w:r>
      <w:r w:rsidRPr="00315F79">
        <w:rPr>
          <w:rFonts w:ascii="Verdana" w:hAnsi="Verdana"/>
          <w:spacing w:val="2"/>
        </w:rPr>
        <w:t xml:space="preserve"> </w:t>
      </w:r>
      <w:r w:rsidRPr="00315F79">
        <w:rPr>
          <w:rFonts w:ascii="Verdana" w:hAnsi="Verdana"/>
        </w:rPr>
        <w:t>e interpretación del derecho.</w:t>
      </w:r>
    </w:p>
    <w:p w14:paraId="51460151" w14:textId="77777777" w:rsidR="00047218" w:rsidRDefault="00047218" w:rsidP="00047218">
      <w:pPr>
        <w:jc w:val="both"/>
        <w:rPr>
          <w:rFonts w:ascii="Verdana" w:hAnsi="Verdana"/>
        </w:rPr>
      </w:pPr>
    </w:p>
    <w:p w14:paraId="05AD6176" w14:textId="77777777" w:rsidR="00047218" w:rsidRDefault="00047218" w:rsidP="00047218">
      <w:pPr>
        <w:spacing w:after="0"/>
        <w:rPr>
          <w:rFonts w:ascii="Verdana" w:hAnsi="Verdana"/>
        </w:rPr>
      </w:pPr>
    </w:p>
    <w:p w14:paraId="6780A7F5" w14:textId="77777777" w:rsidR="00155599" w:rsidRDefault="00155599" w:rsidP="00047218">
      <w:pPr>
        <w:spacing w:after="0"/>
        <w:rPr>
          <w:rFonts w:ascii="Verdana" w:hAnsi="Verdana"/>
        </w:rPr>
      </w:pPr>
    </w:p>
    <w:p w14:paraId="4DB855C5" w14:textId="77777777" w:rsidR="00155599" w:rsidRDefault="00155599" w:rsidP="00047218">
      <w:pPr>
        <w:spacing w:after="0"/>
        <w:rPr>
          <w:rFonts w:ascii="Verdana" w:hAnsi="Verdana"/>
        </w:rPr>
      </w:pPr>
    </w:p>
    <w:p w14:paraId="33BF3265" w14:textId="77777777" w:rsidR="00155599" w:rsidRDefault="00155599" w:rsidP="00047218">
      <w:pPr>
        <w:spacing w:after="0"/>
        <w:rPr>
          <w:rFonts w:ascii="Verdana" w:hAnsi="Verdana"/>
        </w:rPr>
      </w:pPr>
    </w:p>
    <w:p w14:paraId="48FD1FA3" w14:textId="77777777" w:rsidR="00155599" w:rsidRDefault="00155599" w:rsidP="00047218">
      <w:pPr>
        <w:spacing w:after="0"/>
        <w:rPr>
          <w:rFonts w:ascii="Verdana" w:hAnsi="Verdana"/>
        </w:rPr>
      </w:pPr>
    </w:p>
    <w:p w14:paraId="31B38CFA" w14:textId="77777777" w:rsidR="00155599" w:rsidRDefault="00155599" w:rsidP="00047218">
      <w:pPr>
        <w:spacing w:after="0"/>
        <w:rPr>
          <w:rFonts w:ascii="Verdana" w:hAnsi="Verdana"/>
        </w:rPr>
      </w:pPr>
    </w:p>
    <w:p w14:paraId="503427B7" w14:textId="77777777" w:rsidR="00155599" w:rsidRDefault="00155599" w:rsidP="00047218">
      <w:pPr>
        <w:spacing w:after="0"/>
        <w:rPr>
          <w:rFonts w:ascii="Verdana" w:hAnsi="Verdana"/>
        </w:rPr>
      </w:pPr>
    </w:p>
    <w:p w14:paraId="7BE46999" w14:textId="77777777" w:rsidR="00047218" w:rsidRPr="00AB11C1" w:rsidRDefault="00047218" w:rsidP="00047218">
      <w:pPr>
        <w:spacing w:after="0"/>
        <w:rPr>
          <w:rFonts w:ascii="Verdana" w:hAnsi="Verdana"/>
        </w:rPr>
      </w:pPr>
      <w:r w:rsidRPr="00AB11C1">
        <w:rPr>
          <w:rFonts w:ascii="Verdana" w:hAnsi="Verdana"/>
        </w:rPr>
        <w:t>Bogotá D.C., [Día] [</w:t>
      </w:r>
      <w:proofErr w:type="spellStart"/>
      <w:r w:rsidRPr="00AB11C1">
        <w:rPr>
          <w:rFonts w:ascii="Verdana" w:hAnsi="Verdana"/>
        </w:rPr>
        <w:t>Mes.NombreCapitalizado</w:t>
      </w:r>
      <w:proofErr w:type="spellEnd"/>
      <w:r w:rsidRPr="00AB11C1">
        <w:rPr>
          <w:rFonts w:ascii="Verdana" w:hAnsi="Verdana"/>
        </w:rPr>
        <w:t>] [Año]</w:t>
      </w:r>
    </w:p>
    <w:p w14:paraId="04B415C9" w14:textId="77777777" w:rsidR="00047218" w:rsidRPr="00AB11C1" w:rsidRDefault="00155599" w:rsidP="00047218">
      <w:pPr>
        <w:spacing w:after="0"/>
        <w:rPr>
          <w:rFonts w:ascii="Verdana" w:hAnsi="Verdana"/>
        </w:rPr>
      </w:pPr>
      <w:r w:rsidRPr="00155599">
        <w:rPr>
          <w:rFonts w:ascii="Verdana" w:eastAsia="Calibri" w:hAnsi="Verdana" w:cs="Arial"/>
          <w:noProof/>
          <w:lang w:val="es-ES"/>
        </w:rPr>
        <w:drawing>
          <wp:anchor distT="0" distB="0" distL="114300" distR="114300" simplePos="0" relativeHeight="251658240" behindDoc="1" locked="0" layoutInCell="1" allowOverlap="1" wp14:anchorId="57378080">
            <wp:simplePos x="0" y="0"/>
            <wp:positionH relativeFrom="column">
              <wp:posOffset>3633322</wp:posOffset>
            </wp:positionH>
            <wp:positionV relativeFrom="paragraph">
              <wp:posOffset>28988</wp:posOffset>
            </wp:positionV>
            <wp:extent cx="2916250" cy="811028"/>
            <wp:effectExtent l="0" t="0" r="5080" b="1905"/>
            <wp:wrapNone/>
            <wp:docPr id="44084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4683" name=""/>
                    <pic:cNvPicPr/>
                  </pic:nvPicPr>
                  <pic:blipFill>
                    <a:blip r:embed="rId11">
                      <a:extLst>
                        <a:ext uri="{28A0092B-C50C-407E-A947-70E740481C1C}">
                          <a14:useLocalDpi xmlns:a14="http://schemas.microsoft.com/office/drawing/2010/main" val="0"/>
                        </a:ext>
                      </a:extLst>
                    </a:blip>
                    <a:stretch>
                      <a:fillRect/>
                    </a:stretch>
                  </pic:blipFill>
                  <pic:spPr>
                    <a:xfrm>
                      <a:off x="0" y="0"/>
                      <a:ext cx="2916250" cy="811028"/>
                    </a:xfrm>
                    <a:prstGeom prst="rect">
                      <a:avLst/>
                    </a:prstGeom>
                  </pic:spPr>
                </pic:pic>
              </a:graphicData>
            </a:graphic>
            <wp14:sizeRelH relativeFrom="page">
              <wp14:pctWidth>0</wp14:pctWidth>
            </wp14:sizeRelH>
            <wp14:sizeRelV relativeFrom="page">
              <wp14:pctHeight>0</wp14:pctHeight>
            </wp14:sizeRelV>
          </wp:anchor>
        </w:drawing>
      </w:r>
    </w:p>
    <w:p w14:paraId="0BB47599" w14:textId="77777777" w:rsidR="00047218" w:rsidRPr="005821E0" w:rsidRDefault="00047218" w:rsidP="00047218">
      <w:pPr>
        <w:spacing w:after="0" w:line="276" w:lineRule="auto"/>
        <w:rPr>
          <w:rFonts w:ascii="Verdana" w:hAnsi="Verdana"/>
        </w:rPr>
      </w:pPr>
    </w:p>
    <w:p w14:paraId="25101D30" w14:textId="77777777" w:rsidR="00047218" w:rsidRPr="005821E0" w:rsidRDefault="00047218" w:rsidP="00047218">
      <w:pPr>
        <w:spacing w:after="0" w:line="276" w:lineRule="auto"/>
        <w:rPr>
          <w:rFonts w:ascii="Verdana" w:eastAsia="Calibri" w:hAnsi="Verdana" w:cs="Arial"/>
          <w:lang w:val="es-ES"/>
        </w:rPr>
      </w:pPr>
    </w:p>
    <w:p w14:paraId="763C9386" w14:textId="77777777" w:rsidR="00047218" w:rsidRPr="00AB11C1" w:rsidRDefault="00047218" w:rsidP="00047218">
      <w:pPr>
        <w:spacing w:after="0" w:line="240" w:lineRule="auto"/>
        <w:jc w:val="both"/>
        <w:rPr>
          <w:rFonts w:ascii="Verdana" w:eastAsia="Calibri" w:hAnsi="Verdana" w:cs="Arial"/>
          <w:lang w:val="es-ES" w:eastAsia="es-ES"/>
        </w:rPr>
      </w:pPr>
      <w:r w:rsidRPr="00AB11C1">
        <w:rPr>
          <w:rFonts w:ascii="Verdana" w:eastAsia="Calibri" w:hAnsi="Verdana" w:cs="Arial"/>
          <w:lang w:val="es-ES" w:eastAsia="es-ES"/>
        </w:rPr>
        <w:t>Señora</w:t>
      </w:r>
    </w:p>
    <w:p w14:paraId="0CF47AC3" w14:textId="77777777" w:rsidR="00047218" w:rsidRPr="00AB11C1" w:rsidRDefault="00047218" w:rsidP="00047218">
      <w:pPr>
        <w:spacing w:after="0" w:line="240" w:lineRule="auto"/>
        <w:jc w:val="both"/>
        <w:rPr>
          <w:rFonts w:ascii="Verdana" w:eastAsia="Calibri" w:hAnsi="Verdana" w:cs="Arial"/>
          <w:b/>
          <w:bCs/>
          <w:lang w:eastAsia="es-ES"/>
        </w:rPr>
      </w:pPr>
      <w:r w:rsidRPr="00AB11C1">
        <w:rPr>
          <w:rFonts w:ascii="Verdana" w:eastAsia="Calibri" w:hAnsi="Verdana" w:cs="Arial"/>
          <w:b/>
          <w:bCs/>
          <w:lang w:eastAsia="es-ES"/>
        </w:rPr>
        <w:t xml:space="preserve">María Fernanda Rodríguez Gutiérrez </w:t>
      </w:r>
    </w:p>
    <w:p w14:paraId="1A1640B7" w14:textId="77777777" w:rsidR="00047218" w:rsidRPr="00AB11C1" w:rsidRDefault="0051343E" w:rsidP="00047218">
      <w:pPr>
        <w:spacing w:after="0" w:line="240" w:lineRule="auto"/>
        <w:jc w:val="both"/>
        <w:rPr>
          <w:rFonts w:ascii="Verdana" w:hAnsi="Verdana"/>
        </w:rPr>
      </w:pPr>
      <w:hyperlink r:id="rId12" w:history="1">
        <w:r w:rsidR="00047218" w:rsidRPr="00AB11C1">
          <w:rPr>
            <w:rStyle w:val="Hipervnculo"/>
            <w:rFonts w:ascii="Verdana" w:hAnsi="Verdana"/>
          </w:rPr>
          <w:t>grupojuridicomr@gmail.com</w:t>
        </w:r>
      </w:hyperlink>
    </w:p>
    <w:p w14:paraId="62BD76F5" w14:textId="77777777" w:rsidR="00047218" w:rsidRPr="00AB11C1" w:rsidRDefault="00047218" w:rsidP="00047218">
      <w:pPr>
        <w:spacing w:after="0" w:line="240" w:lineRule="auto"/>
        <w:jc w:val="both"/>
        <w:rPr>
          <w:rFonts w:ascii="Verdana" w:eastAsia="Calibri" w:hAnsi="Verdana" w:cs="Arial"/>
          <w:szCs w:val="24"/>
          <w:lang w:val="es-ES_tradnl" w:eastAsia="es-ES_tradnl"/>
        </w:rPr>
      </w:pPr>
      <w:r w:rsidRPr="00AB11C1">
        <w:rPr>
          <w:rFonts w:ascii="Verdana" w:eastAsia="Calibri" w:hAnsi="Verdana" w:cs="Arial"/>
          <w:szCs w:val="24"/>
          <w:lang w:val="es-ES_tradnl" w:eastAsia="es-ES_tradnl"/>
        </w:rPr>
        <w:t xml:space="preserve">Cali – Valle </w:t>
      </w:r>
    </w:p>
    <w:p w14:paraId="198983FA" w14:textId="77777777" w:rsidR="00047218" w:rsidRPr="00AB11C1" w:rsidRDefault="00047218" w:rsidP="00047218">
      <w:pPr>
        <w:spacing w:after="0" w:line="240" w:lineRule="auto"/>
        <w:rPr>
          <w:rFonts w:ascii="Verdana" w:eastAsia="Calibri" w:hAnsi="Verdana" w:cs="Arial"/>
          <w:szCs w:val="24"/>
          <w:lang w:val="es-ES_tradnl" w:eastAsia="es-ES_tradnl"/>
        </w:rPr>
      </w:pPr>
    </w:p>
    <w:p w14:paraId="4B98C1AC" w14:textId="77777777" w:rsidR="00047218" w:rsidRPr="00AB11C1" w:rsidRDefault="00047218" w:rsidP="00047218">
      <w:pPr>
        <w:spacing w:after="0" w:line="240" w:lineRule="auto"/>
        <w:ind w:left="2694"/>
        <w:rPr>
          <w:rFonts w:ascii="Verdana" w:eastAsia="Calibri" w:hAnsi="Verdana" w:cs="Arial"/>
          <w:b/>
          <w:bCs/>
          <w:lang w:val="es-ES" w:eastAsia="es-ES"/>
        </w:rPr>
      </w:pPr>
      <w:r w:rsidRPr="00AB11C1">
        <w:rPr>
          <w:rFonts w:ascii="Verdana" w:eastAsia="Calibri" w:hAnsi="Verdana" w:cs="Arial"/>
          <w:b/>
          <w:bCs/>
          <w:lang w:val="es-ES" w:eastAsia="es-ES"/>
        </w:rPr>
        <w:t>Concepto C-424 de 2024</w:t>
      </w:r>
    </w:p>
    <w:p w14:paraId="3E4AB1A3" w14:textId="77777777" w:rsidR="00047218" w:rsidRPr="00AB11C1" w:rsidRDefault="00047218" w:rsidP="00047218">
      <w:pPr>
        <w:spacing w:after="0" w:line="240" w:lineRule="auto"/>
        <w:ind w:left="2694"/>
        <w:rPr>
          <w:rFonts w:ascii="Verdana" w:eastAsia="Calibri" w:hAnsi="Verdana" w:cs="Arial"/>
          <w:szCs w:val="24"/>
          <w:lang w:val="es-ES_tradnl" w:eastAsia="es-ES_tradnl"/>
        </w:rPr>
      </w:pPr>
    </w:p>
    <w:p w14:paraId="528D7F00" w14:textId="77777777" w:rsidR="00047218" w:rsidRPr="00AB11C1" w:rsidRDefault="00047218" w:rsidP="00047218">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047218" w:rsidRPr="005821E0" w14:paraId="0EAF6971" w14:textId="77777777" w:rsidTr="00F567E8">
        <w:trPr>
          <w:trHeight w:val="884"/>
        </w:trPr>
        <w:tc>
          <w:tcPr>
            <w:tcW w:w="2689" w:type="dxa"/>
          </w:tcPr>
          <w:p w14:paraId="194DF31A" w14:textId="77777777" w:rsidR="00047218" w:rsidRPr="005821E0" w:rsidRDefault="00047218" w:rsidP="00F567E8">
            <w:pPr>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 xml:space="preserve">Temas:                   </w:t>
            </w:r>
          </w:p>
        </w:tc>
        <w:tc>
          <w:tcPr>
            <w:tcW w:w="6237" w:type="dxa"/>
          </w:tcPr>
          <w:p w14:paraId="5E73E697" w14:textId="77777777" w:rsidR="00047218" w:rsidRPr="00AE6C03" w:rsidRDefault="00047218" w:rsidP="00F567E8">
            <w:pPr>
              <w:spacing w:after="120"/>
              <w:contextualSpacing/>
              <w:jc w:val="both"/>
              <w:rPr>
                <w:rFonts w:ascii="Verdana" w:eastAsia="Calibri" w:hAnsi="Verdana" w:cs="Arial"/>
                <w:lang w:eastAsia="es-ES"/>
              </w:rPr>
            </w:pPr>
            <w:r w:rsidRPr="005821E0">
              <w:rPr>
                <w:rFonts w:ascii="Verdana" w:eastAsia="Calibri" w:hAnsi="Verdana" w:cs="Arial"/>
                <w:bCs/>
                <w:lang w:val="es-ES_tradnl"/>
              </w:rPr>
              <w:t xml:space="preserve">EXPERIENCIA – Transferencia – Accionistas, socios o constituyentes – Decreto 1082 de 2015 / EXPERIENCIA ‒ Conservación ‒ Renovación RUP ‒ Cesación efectos RUP / </w:t>
            </w:r>
            <w:r w:rsidRPr="003D43CF">
              <w:rPr>
                <w:rFonts w:ascii="Verdana" w:eastAsia="Calibri" w:hAnsi="Verdana" w:cs="Arial"/>
                <w:bCs/>
                <w:lang w:val="es-ES_tradnl"/>
              </w:rPr>
              <w:t xml:space="preserve">EXPERIENCIA – Transferencia – Perdida de la Experiencia de Accionistas, socios o constituyentes / </w:t>
            </w:r>
            <w:r w:rsidRPr="00AB711B">
              <w:rPr>
                <w:rFonts w:ascii="Verdana" w:eastAsia="Calibri" w:hAnsi="Verdana" w:cs="Arial"/>
                <w:bCs/>
                <w:lang w:val="es-ES_tradnl"/>
              </w:rPr>
              <w:t xml:space="preserve">DECRETO 1082 DE 2015 – Factor de </w:t>
            </w:r>
            <w:r>
              <w:rPr>
                <w:rFonts w:ascii="Verdana" w:eastAsia="Calibri" w:hAnsi="Verdana" w:cs="Arial"/>
                <w:bCs/>
                <w:lang w:val="es-ES_tradnl"/>
              </w:rPr>
              <w:t>e</w:t>
            </w:r>
            <w:r w:rsidRPr="00AB711B">
              <w:rPr>
                <w:rFonts w:ascii="Verdana" w:eastAsia="Calibri" w:hAnsi="Verdana" w:cs="Arial"/>
                <w:bCs/>
                <w:lang w:val="es-ES_tradnl"/>
              </w:rPr>
              <w:t xml:space="preserve">xperiencia – Tratamiento </w:t>
            </w:r>
            <w:r>
              <w:rPr>
                <w:rFonts w:ascii="Verdana" w:eastAsia="Calibri" w:hAnsi="Verdana" w:cs="Arial"/>
                <w:bCs/>
                <w:lang w:val="es-ES_tradnl"/>
              </w:rPr>
              <w:t>d</w:t>
            </w:r>
            <w:r w:rsidRPr="00AB711B">
              <w:rPr>
                <w:rFonts w:ascii="Verdana" w:eastAsia="Calibri" w:hAnsi="Verdana" w:cs="Arial"/>
                <w:bCs/>
                <w:lang w:val="es-ES_tradnl"/>
              </w:rPr>
              <w:t>iferencial</w:t>
            </w:r>
          </w:p>
        </w:tc>
        <w:tc>
          <w:tcPr>
            <w:tcW w:w="6237" w:type="dxa"/>
          </w:tcPr>
          <w:p w14:paraId="1F6206E6" w14:textId="77777777" w:rsidR="00047218" w:rsidRPr="00D02586" w:rsidRDefault="00047218" w:rsidP="00F567E8">
            <w:pPr>
              <w:jc w:val="both"/>
              <w:rPr>
                <w:rFonts w:ascii="Verdana" w:hAnsi="Verdana" w:cs="Arial"/>
              </w:rPr>
            </w:pPr>
          </w:p>
        </w:tc>
      </w:tr>
      <w:tr w:rsidR="00047218" w:rsidRPr="005821E0" w14:paraId="3AE6740A" w14:textId="77777777" w:rsidTr="00F567E8">
        <w:tc>
          <w:tcPr>
            <w:tcW w:w="2689" w:type="dxa"/>
          </w:tcPr>
          <w:p w14:paraId="7A6CDD41" w14:textId="77777777" w:rsidR="00047218" w:rsidRPr="005821E0" w:rsidRDefault="00047218" w:rsidP="00F567E8">
            <w:pPr>
              <w:spacing w:before="120"/>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 xml:space="preserve">Radicación:               </w:t>
            </w:r>
          </w:p>
        </w:tc>
        <w:tc>
          <w:tcPr>
            <w:tcW w:w="6237" w:type="dxa"/>
          </w:tcPr>
          <w:p w14:paraId="3D70F236" w14:textId="77777777" w:rsidR="00047218" w:rsidRPr="005821E0" w:rsidRDefault="00047218" w:rsidP="00F567E8">
            <w:pPr>
              <w:spacing w:before="120"/>
              <w:jc w:val="both"/>
              <w:rPr>
                <w:rFonts w:ascii="Verdana" w:eastAsia="Calibri" w:hAnsi="Verdana" w:cs="Arial"/>
                <w:szCs w:val="24"/>
                <w:lang w:val="es-ES_tradnl" w:eastAsia="es-ES_tradnl"/>
              </w:rPr>
            </w:pPr>
            <w:r w:rsidRPr="005821E0">
              <w:rPr>
                <w:rFonts w:ascii="Verdana" w:eastAsia="Calibri" w:hAnsi="Verdana" w:cs="Arial"/>
                <w:szCs w:val="24"/>
                <w:lang w:val="es-ES_tradnl" w:eastAsia="es-ES_tradnl"/>
              </w:rPr>
              <w:t>Respuesta a consulta con radicado No. P20240731007865</w:t>
            </w:r>
          </w:p>
        </w:tc>
        <w:tc>
          <w:tcPr>
            <w:tcW w:w="6237" w:type="dxa"/>
          </w:tcPr>
          <w:p w14:paraId="3108D52A" w14:textId="77777777" w:rsidR="00047218" w:rsidRPr="005821E0" w:rsidRDefault="00047218" w:rsidP="00F567E8">
            <w:pPr>
              <w:spacing w:before="120"/>
              <w:jc w:val="both"/>
              <w:rPr>
                <w:rFonts w:ascii="Verdana" w:eastAsia="Calibri" w:hAnsi="Verdana" w:cs="Arial"/>
                <w:szCs w:val="24"/>
                <w:lang w:val="es-ES_tradnl" w:eastAsia="es-ES_tradnl"/>
              </w:rPr>
            </w:pPr>
          </w:p>
        </w:tc>
      </w:tr>
    </w:tbl>
    <w:p w14:paraId="35FE7DEC" w14:textId="77777777" w:rsidR="00047218" w:rsidRPr="00AB11C1" w:rsidRDefault="00047218" w:rsidP="00047218">
      <w:pPr>
        <w:spacing w:after="0" w:line="240" w:lineRule="auto"/>
        <w:jc w:val="both"/>
        <w:rPr>
          <w:rFonts w:ascii="Verdana" w:eastAsia="Calibri" w:hAnsi="Verdana" w:cs="Arial"/>
          <w:szCs w:val="24"/>
          <w:lang w:val="es-ES_tradnl" w:eastAsia="es-ES_tradnl"/>
        </w:rPr>
      </w:pPr>
    </w:p>
    <w:p w14:paraId="7F319BD9" w14:textId="77777777" w:rsidR="00047218" w:rsidRPr="00AB11C1" w:rsidRDefault="00047218" w:rsidP="00047218">
      <w:pPr>
        <w:spacing w:after="0" w:line="240" w:lineRule="auto"/>
        <w:jc w:val="both"/>
        <w:rPr>
          <w:rFonts w:ascii="Verdana" w:eastAsia="Calibri" w:hAnsi="Verdana" w:cs="Arial"/>
          <w:szCs w:val="24"/>
          <w:lang w:val="es-ES_tradnl" w:eastAsia="es-ES_tradnl"/>
        </w:rPr>
      </w:pPr>
    </w:p>
    <w:p w14:paraId="2D34E139" w14:textId="77777777" w:rsidR="00047218" w:rsidRPr="00AB11C1" w:rsidRDefault="00047218" w:rsidP="00047218">
      <w:pPr>
        <w:spacing w:after="0" w:line="240" w:lineRule="auto"/>
        <w:jc w:val="both"/>
        <w:rPr>
          <w:rFonts w:ascii="Verdana" w:eastAsia="Calibri" w:hAnsi="Verdana" w:cs="Arial"/>
          <w:lang w:val="es-ES" w:eastAsia="es-ES"/>
        </w:rPr>
      </w:pPr>
      <w:r w:rsidRPr="00AB11C1">
        <w:rPr>
          <w:rFonts w:ascii="Verdana" w:eastAsia="Calibri" w:hAnsi="Verdana" w:cs="Arial"/>
          <w:lang w:val="es-ES" w:eastAsia="es-ES"/>
        </w:rPr>
        <w:t xml:space="preserve">Estimada María Fernanda: </w:t>
      </w:r>
    </w:p>
    <w:p w14:paraId="60B11841" w14:textId="77777777" w:rsidR="00047218" w:rsidRPr="00AB11C1" w:rsidRDefault="00047218" w:rsidP="00047218">
      <w:pPr>
        <w:spacing w:after="0" w:line="240" w:lineRule="auto"/>
        <w:jc w:val="both"/>
        <w:rPr>
          <w:rFonts w:ascii="Verdana" w:eastAsia="Calibri" w:hAnsi="Verdana" w:cs="Arial"/>
          <w:lang w:val="es-ES" w:eastAsia="es-ES"/>
        </w:rPr>
      </w:pPr>
    </w:p>
    <w:p w14:paraId="04FC5992" w14:textId="77777777" w:rsidR="00047218" w:rsidRPr="00AB11C1" w:rsidRDefault="00047218" w:rsidP="00047218">
      <w:pPr>
        <w:spacing w:after="0" w:line="240" w:lineRule="auto"/>
        <w:jc w:val="both"/>
        <w:rPr>
          <w:rFonts w:ascii="Verdana" w:eastAsia="Calibri" w:hAnsi="Verdana" w:cs="Arial"/>
          <w:szCs w:val="24"/>
          <w:lang w:val="es-ES_tradnl" w:eastAsia="es-ES_tradnl"/>
        </w:rPr>
      </w:pPr>
    </w:p>
    <w:p w14:paraId="6004F55A" w14:textId="77777777" w:rsidR="00047218" w:rsidRPr="00AB11C1" w:rsidRDefault="00047218" w:rsidP="00047218">
      <w:pPr>
        <w:spacing w:after="120" w:line="276" w:lineRule="auto"/>
        <w:jc w:val="both"/>
        <w:rPr>
          <w:rFonts w:ascii="Verdana" w:eastAsia="Calibri" w:hAnsi="Verdana" w:cs="Arial"/>
          <w:lang w:val="es-ES" w:eastAsia="es-ES"/>
        </w:rPr>
      </w:pPr>
      <w:r w:rsidRPr="00AB11C1">
        <w:rPr>
          <w:rFonts w:ascii="Verdana" w:eastAsia="Calibri" w:hAnsi="Verdana" w:cs="Arial"/>
          <w:lang w:val="es-ES" w:eastAsia="es-ES"/>
        </w:rPr>
        <w:t>En ejercicio de la competencia otorgada por los artículos 3, numeral 5º, y 11, numeral 8º, del Decreto Ley 4170 de 2011,</w:t>
      </w:r>
      <w:r w:rsidRPr="00AB11C1">
        <w:rPr>
          <w:rFonts w:ascii="Verdana" w:eastAsia="Arial MT" w:hAnsi="Verdana" w:cs="Arial MT"/>
          <w:lang w:val="es-ES" w:eastAsia="es-ES"/>
        </w:rPr>
        <w:t xml:space="preserve"> </w:t>
      </w:r>
      <w:r w:rsidRPr="00AB11C1">
        <w:rPr>
          <w:rFonts w:ascii="Verdana" w:eastAsia="Calibri" w:hAnsi="Verdana" w:cs="Arial"/>
          <w:lang w:val="es-ES" w:eastAsia="es-ES"/>
        </w:rPr>
        <w:t>la Agencia Nacional de Contratación Pública – Colombia Compra Eficiente– responde sus solicitudes del 31 de julio de 2024. En las cuales manifiesta lo siguiente:</w:t>
      </w:r>
    </w:p>
    <w:p w14:paraId="39456A31" w14:textId="77777777" w:rsidR="00047218" w:rsidRPr="00AB11C1" w:rsidRDefault="00047218" w:rsidP="00047218">
      <w:pPr>
        <w:spacing w:after="120" w:line="276" w:lineRule="auto"/>
        <w:jc w:val="both"/>
        <w:rPr>
          <w:rFonts w:ascii="Verdana" w:eastAsia="Calibri" w:hAnsi="Verdana" w:cs="Arial"/>
          <w:sz w:val="21"/>
          <w:szCs w:val="21"/>
          <w:lang w:val="es-ES" w:eastAsia="es-ES"/>
        </w:rPr>
      </w:pPr>
    </w:p>
    <w:p w14:paraId="3707B43D"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“De conformidad con lo previsto en el artículo 2.2.1.1.1.5.2 del Decreto 1082 de 2015, en relación con la acreditación de experiencia que pueden presentar las empresas durante sus primeros tres años, respetuosamente solicito su opinión e interpretación sobre el alcance del mismo, particularmente en relación con los siguientes interrogantes:</w:t>
      </w:r>
    </w:p>
    <w:p w14:paraId="3D9A6B37"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680FFBC3"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lastRenderedPageBreak/>
        <w:t>A. Si una sociedad anónima o por acciones simplificada, constituida hace menos de tres años, incorpora la experiencia de sus socios en el RUP, ¿puede seguir acreditando la idoneidad en el cuarto año y en los años posteriores de constitución, con la misma experiencia registrada durante esos primeros tres años? (teniendo en cuenta que no ha dejado de renovar el RUP en ningún momento).</w:t>
      </w:r>
    </w:p>
    <w:p w14:paraId="483A5F6D"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026BAE8B"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B. ¿Qué ocurre si una sociedad utiliza la potestad de registrar en el RUP la experiencia de un socio durante los primeros tres años de constitución y ese socio fallece?</w:t>
      </w:r>
    </w:p>
    <w:p w14:paraId="7813CB15"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2A62D480"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B.1. Si el socio que aportó la experiencia fallece, ¿puede la sociedad seguir acreditando el requisito habilitante con base en la experiencia del socio fallecido, la cual fue debidamente registrada en el RUP antes de su fallecimiento y durante los primeros tres años de constitución?</w:t>
      </w:r>
    </w:p>
    <w:p w14:paraId="2C7F0440"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1FD2C53F"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B.2. ¿Qué ocurre si el socio fallece luego de haber transcurrido los tres primeros años en los cuales se incorporó su experiencia correctamente al RUP? ¿Puede la sociedad seguir utilizándola para presentar ofertas?</w:t>
      </w:r>
    </w:p>
    <w:p w14:paraId="73E5CBFD"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51CF9B66"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C. ¿Qué sucede si una sociedad que tiene registrada la experiencia de un socio, por haber hecho uso de la posibilidad que plantea el artículo 2.2.1.1.1.5.2 del Decreto 1082 de 2015, continúa reportando ante la Cámara de Comercio la experiencia, sin dejar que el RUP pierda efectos, durante los años posteriores al tercer año?</w:t>
      </w:r>
    </w:p>
    <w:p w14:paraId="248986E0"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4B080BA7"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C.1. ¿Puede la sociedad continuar soportando su experiencia en la de su socio durante el cuarto año y los siguientes, teniendo en cuenta que el socio sigue vivo y vinculado a la sociedad?</w:t>
      </w:r>
    </w:p>
    <w:p w14:paraId="0EB3DC10"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250E15D9"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C.2. ¿Puede la sociedad continuar soportando su idoneidad con esa experiencia si el socio se retira de la empresa, ya sea por venta de su participación en la sociedad?</w:t>
      </w:r>
    </w:p>
    <w:p w14:paraId="2868FCFA"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5EBDBFCF"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C.3. ¿Puede la sociedad continuar soportando su idoneidad con esa experiencia si el socio fallece?</w:t>
      </w:r>
    </w:p>
    <w:p w14:paraId="307462DC"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7C0152A8"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C.4. ¿Puede la sociedad continuar soportando su idoneidad con esa experiencia si el socio vende, cede o intercambia su participación accionaria?</w:t>
      </w:r>
    </w:p>
    <w:p w14:paraId="59CCF4D6"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p>
    <w:p w14:paraId="26D98EAF" w14:textId="77777777" w:rsidR="00047218" w:rsidRPr="00AB11C1" w:rsidRDefault="00047218" w:rsidP="00047218">
      <w:pPr>
        <w:spacing w:after="0" w:line="240" w:lineRule="auto"/>
        <w:ind w:left="709" w:right="709"/>
        <w:jc w:val="both"/>
        <w:rPr>
          <w:rFonts w:ascii="Verdana" w:eastAsia="Calibri" w:hAnsi="Verdana" w:cs="Arial"/>
          <w:sz w:val="21"/>
          <w:szCs w:val="21"/>
          <w:lang w:val="es-ES" w:eastAsia="es-ES"/>
        </w:rPr>
      </w:pPr>
      <w:r w:rsidRPr="00AB11C1">
        <w:rPr>
          <w:rFonts w:ascii="Verdana" w:eastAsia="Calibri" w:hAnsi="Verdana" w:cs="Arial"/>
          <w:sz w:val="21"/>
          <w:szCs w:val="21"/>
          <w:lang w:val="es-ES" w:eastAsia="es-ES"/>
        </w:rPr>
        <w:t xml:space="preserve">En general, solicito respetuosamente que se interprete el alcance del supuesto contemplado en el numeral 2.5 del artículo 2.2.1.1.1.5.2 del Decreto 1082 de 2015. Si es procedente, también solicito que se distinga si </w:t>
      </w:r>
      <w:proofErr w:type="gramStart"/>
      <w:r w:rsidRPr="00AB11C1">
        <w:rPr>
          <w:rFonts w:ascii="Verdana" w:eastAsia="Calibri" w:hAnsi="Verdana" w:cs="Arial"/>
          <w:sz w:val="21"/>
          <w:szCs w:val="21"/>
          <w:lang w:val="es-ES" w:eastAsia="es-ES"/>
        </w:rPr>
        <w:lastRenderedPageBreak/>
        <w:t>habría</w:t>
      </w:r>
      <w:proofErr w:type="gramEnd"/>
      <w:r w:rsidRPr="00AB11C1">
        <w:rPr>
          <w:rFonts w:ascii="Verdana" w:eastAsia="Calibri" w:hAnsi="Verdana" w:cs="Arial"/>
          <w:sz w:val="21"/>
          <w:szCs w:val="21"/>
          <w:lang w:val="es-ES" w:eastAsia="es-ES"/>
        </w:rPr>
        <w:t xml:space="preserve"> un tratamiento diferente tratándose de una sociedad anónima y una tipo S.A.S.”</w:t>
      </w:r>
    </w:p>
    <w:p w14:paraId="03439A5B" w14:textId="77777777" w:rsidR="00047218" w:rsidRPr="00AB11C1" w:rsidRDefault="00047218" w:rsidP="00047218">
      <w:pPr>
        <w:spacing w:after="0" w:line="240" w:lineRule="auto"/>
        <w:ind w:left="709" w:right="709"/>
        <w:jc w:val="both"/>
        <w:rPr>
          <w:rFonts w:ascii="Verdana" w:eastAsia="Calibri" w:hAnsi="Verdana" w:cs="Arial"/>
          <w:sz w:val="20"/>
          <w:szCs w:val="20"/>
          <w:lang w:val="es-ES" w:eastAsia="es-ES"/>
        </w:rPr>
      </w:pPr>
    </w:p>
    <w:p w14:paraId="5385532C" w14:textId="77777777" w:rsidR="00047218" w:rsidRPr="00AB11C1" w:rsidRDefault="00047218" w:rsidP="00047218">
      <w:pPr>
        <w:spacing w:after="0" w:line="240" w:lineRule="auto"/>
        <w:ind w:left="709" w:right="709"/>
        <w:jc w:val="both"/>
        <w:rPr>
          <w:rFonts w:ascii="Verdana" w:eastAsia="Calibri" w:hAnsi="Verdana" w:cs="Arial"/>
          <w:lang w:val="es-ES_tradnl" w:eastAsia="es-ES_tradnl"/>
        </w:rPr>
      </w:pPr>
    </w:p>
    <w:p w14:paraId="3CD4AF14" w14:textId="77777777" w:rsidR="00047218" w:rsidRPr="00AB11C1" w:rsidRDefault="00047218" w:rsidP="00047218">
      <w:pPr>
        <w:spacing w:after="120" w:line="276" w:lineRule="auto"/>
        <w:jc w:val="both"/>
        <w:rPr>
          <w:rFonts w:ascii="Verdana" w:eastAsia="Calibri" w:hAnsi="Verdana" w:cs="Arial"/>
          <w:lang w:val="es-ES" w:eastAsia="es-ES"/>
        </w:rPr>
      </w:pPr>
      <w:r w:rsidRPr="00AB11C1">
        <w:rPr>
          <w:rFonts w:ascii="Verdana" w:eastAsia="Calibri" w:hAnsi="Verdana" w:cs="Arial"/>
          <w:lang w:val="es-ES_tradnl" w:eastAsia="es-ES_tradnl"/>
        </w:rPr>
        <w:tab/>
      </w:r>
      <w:r w:rsidRPr="00AB11C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B11C1">
        <w:rPr>
          <w:rFonts w:ascii="Verdana" w:eastAsia="Calibri" w:hAnsi="Verdana" w:cs="Arial"/>
          <w:lang w:val="es-ES" w:eastAsia="es-ES"/>
        </w:rPr>
        <w:tab/>
      </w:r>
    </w:p>
    <w:p w14:paraId="464D78EB" w14:textId="77777777" w:rsidR="00047218" w:rsidRPr="00AB11C1" w:rsidRDefault="00047218" w:rsidP="00047218">
      <w:pPr>
        <w:spacing w:after="0" w:line="276" w:lineRule="auto"/>
        <w:ind w:firstLine="708"/>
        <w:jc w:val="both"/>
        <w:rPr>
          <w:rFonts w:ascii="Verdana" w:eastAsia="Calibri" w:hAnsi="Verdana" w:cs="Arial"/>
          <w:lang w:val="es-ES" w:eastAsia="es-ES"/>
        </w:rPr>
      </w:pPr>
      <w:r w:rsidRPr="00AB11C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524A35E" w14:textId="77777777" w:rsidR="00047218" w:rsidRPr="00AB11C1" w:rsidRDefault="00047218" w:rsidP="00047218">
      <w:pPr>
        <w:spacing w:after="0" w:line="276" w:lineRule="auto"/>
        <w:ind w:firstLine="708"/>
        <w:jc w:val="both"/>
        <w:rPr>
          <w:rFonts w:ascii="Verdana" w:eastAsia="Calibri" w:hAnsi="Verdana" w:cs="Arial"/>
          <w:lang w:val="es-ES" w:eastAsia="es-ES"/>
        </w:rPr>
      </w:pPr>
    </w:p>
    <w:p w14:paraId="099C1861" w14:textId="77777777" w:rsidR="00047218" w:rsidRPr="00AB11C1" w:rsidRDefault="00047218" w:rsidP="00047218">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B11C1">
        <w:rPr>
          <w:rFonts w:ascii="Verdana" w:eastAsia="Century Gothic" w:hAnsi="Verdana" w:cs="Century Gothic"/>
          <w:b/>
          <w:bCs/>
        </w:rPr>
        <w:t>Problema</w:t>
      </w:r>
      <w:r>
        <w:rPr>
          <w:rFonts w:ascii="Verdana" w:eastAsia="Century Gothic" w:hAnsi="Verdana" w:cs="Century Gothic"/>
          <w:b/>
          <w:bCs/>
        </w:rPr>
        <w:t>s</w:t>
      </w:r>
      <w:r w:rsidRPr="00AB11C1">
        <w:rPr>
          <w:rFonts w:ascii="Verdana" w:eastAsia="Century Gothic" w:hAnsi="Verdana" w:cs="Century Gothic"/>
          <w:b/>
          <w:bCs/>
        </w:rPr>
        <w:t xml:space="preserve"> planteado</w:t>
      </w:r>
      <w:r>
        <w:rPr>
          <w:rFonts w:ascii="Verdana" w:eastAsia="Century Gothic" w:hAnsi="Verdana" w:cs="Century Gothic"/>
          <w:b/>
          <w:bCs/>
        </w:rPr>
        <w:t>s</w:t>
      </w:r>
      <w:r w:rsidRPr="00AB11C1">
        <w:rPr>
          <w:rFonts w:ascii="Verdana" w:eastAsia="Century Gothic" w:hAnsi="Verdana" w:cs="Century Gothic"/>
          <w:b/>
          <w:bCs/>
        </w:rPr>
        <w:t>:</w:t>
      </w:r>
    </w:p>
    <w:p w14:paraId="446002CD" w14:textId="77777777" w:rsidR="00047218" w:rsidRPr="00AB11C1" w:rsidRDefault="00047218" w:rsidP="00047218">
      <w:pPr>
        <w:spacing w:after="120" w:line="276" w:lineRule="auto"/>
        <w:jc w:val="both"/>
        <w:rPr>
          <w:rFonts w:ascii="Verdana" w:eastAsia="Century Gothic" w:hAnsi="Verdana" w:cs="Century Gothic"/>
        </w:rPr>
      </w:pPr>
    </w:p>
    <w:p w14:paraId="325849D7" w14:textId="77777777" w:rsidR="00047218" w:rsidRPr="001504A0" w:rsidRDefault="00047218" w:rsidP="00047218">
      <w:pPr>
        <w:spacing w:after="120" w:line="276" w:lineRule="auto"/>
        <w:jc w:val="both"/>
        <w:rPr>
          <w:rFonts w:ascii="Verdana" w:hAnsi="Verdana" w:cs="Arial"/>
          <w:lang w:val="es-ES_tradnl"/>
        </w:rPr>
      </w:pPr>
      <w:r w:rsidRPr="00AB11C1">
        <w:rPr>
          <w:rFonts w:ascii="Verdana" w:eastAsia="Century Gothic" w:hAnsi="Verdana" w:cs="Century Gothic"/>
        </w:rPr>
        <w:t xml:space="preserve">De acuerdo con el contenido de su solicitud, esta Agencia resolverá </w:t>
      </w:r>
      <w:r>
        <w:rPr>
          <w:rFonts w:ascii="Verdana" w:eastAsia="Century Gothic" w:hAnsi="Verdana" w:cs="Century Gothic"/>
        </w:rPr>
        <w:t>los</w:t>
      </w:r>
      <w:r w:rsidRPr="00AB11C1">
        <w:rPr>
          <w:rFonts w:ascii="Verdana" w:eastAsia="Century Gothic" w:hAnsi="Verdana" w:cs="Century Gothic"/>
        </w:rPr>
        <w:t xml:space="preserve"> siguiente</w:t>
      </w:r>
      <w:r>
        <w:rPr>
          <w:rFonts w:ascii="Verdana" w:eastAsia="Century Gothic" w:hAnsi="Verdana" w:cs="Century Gothic"/>
        </w:rPr>
        <w:t>s</w:t>
      </w:r>
      <w:r w:rsidRPr="00AB11C1">
        <w:rPr>
          <w:rFonts w:ascii="Verdana" w:eastAsia="Century Gothic" w:hAnsi="Verdana" w:cs="Century Gothic"/>
        </w:rPr>
        <w:t xml:space="preserve"> problema</w:t>
      </w:r>
      <w:r>
        <w:rPr>
          <w:rFonts w:ascii="Verdana" w:eastAsia="Century Gothic" w:hAnsi="Verdana" w:cs="Century Gothic"/>
        </w:rPr>
        <w:t>s</w:t>
      </w:r>
      <w:r w:rsidRPr="00AB11C1">
        <w:rPr>
          <w:rFonts w:ascii="Verdana" w:eastAsia="Century Gothic" w:hAnsi="Verdana" w:cs="Century Gothic"/>
        </w:rPr>
        <w:t xml:space="preserve"> jurídico</w:t>
      </w:r>
      <w:r>
        <w:rPr>
          <w:rFonts w:ascii="Verdana" w:eastAsia="Century Gothic" w:hAnsi="Verdana" w:cs="Century Gothic"/>
        </w:rPr>
        <w:t>s</w:t>
      </w:r>
      <w:r w:rsidRPr="00AB11C1">
        <w:rPr>
          <w:rFonts w:ascii="Verdana" w:eastAsia="Century Gothic" w:hAnsi="Verdana" w:cs="Century Gothic"/>
        </w:rPr>
        <w:t>: i.</w:t>
      </w:r>
      <w:r>
        <w:rPr>
          <w:rFonts w:ascii="Verdana" w:eastAsia="Century Gothic" w:hAnsi="Verdana" w:cs="Century Gothic"/>
        </w:rPr>
        <w:t xml:space="preserve"> </w:t>
      </w:r>
      <w:r w:rsidRPr="005821E0">
        <w:rPr>
          <w:rFonts w:ascii="Verdana" w:hAnsi="Verdana" w:cs="Arial"/>
          <w:bCs/>
          <w:lang w:val="es-ES_tradnl"/>
        </w:rPr>
        <w:t>¿</w:t>
      </w:r>
      <w:r w:rsidRPr="005821E0">
        <w:rPr>
          <w:rFonts w:ascii="Verdana" w:hAnsi="Verdana"/>
        </w:rPr>
        <w:t xml:space="preserve">Una sociedad después de tres (3) años de constituida, puede seguir haciendo uso de la experiencia del </w:t>
      </w:r>
      <w:r w:rsidRPr="005821E0">
        <w:rPr>
          <w:rFonts w:ascii="Verdana" w:hAnsi="Verdana"/>
          <w:color w:val="333333"/>
          <w:shd w:val="clear" w:color="auto" w:fill="FFFFFF"/>
        </w:rPr>
        <w:t xml:space="preserve">accionista, socio o constituyente, </w:t>
      </w:r>
      <w:r w:rsidRPr="005821E0">
        <w:rPr>
          <w:rFonts w:ascii="Verdana" w:hAnsi="Verdana"/>
        </w:rPr>
        <w:t xml:space="preserve">de la que trata el </w:t>
      </w:r>
      <w:r w:rsidRPr="005821E0">
        <w:rPr>
          <w:rFonts w:ascii="Verdana" w:hAnsi="Verdana" w:cs="Arial"/>
          <w:bCs/>
          <w:lang w:val="es-ES_tradnl"/>
        </w:rPr>
        <w:t xml:space="preserve">numeral </w:t>
      </w:r>
      <w:r w:rsidRPr="005821E0">
        <w:rPr>
          <w:rFonts w:ascii="Verdana" w:eastAsia="Century Gothic" w:hAnsi="Verdana" w:cs="Century Gothic"/>
        </w:rPr>
        <w:t xml:space="preserve">2.5 del artículo 2.2.1.1.1.5.2 del Decreto 1082 de 2015? </w:t>
      </w:r>
      <w:r w:rsidRPr="005821E0">
        <w:rPr>
          <w:rFonts w:ascii="Verdana" w:hAnsi="Verdana" w:cs="Arial"/>
          <w:bCs/>
          <w:lang w:val="es-ES_tradnl"/>
        </w:rPr>
        <w:t xml:space="preserve"> ii. ¿Si el accionista, socio o constituyente que aporta la experiencia en una sociedad, de que trata el numeral </w:t>
      </w:r>
      <w:r w:rsidRPr="005821E0">
        <w:rPr>
          <w:rFonts w:ascii="Verdana" w:eastAsia="Century Gothic" w:hAnsi="Verdana" w:cs="Century Gothic"/>
        </w:rPr>
        <w:t xml:space="preserve">2.5 del artículo 2.2.1.1.1.5.2 del Decreto 1082 de 2015, </w:t>
      </w:r>
      <w:r w:rsidRPr="005821E0">
        <w:rPr>
          <w:rFonts w:ascii="Verdana" w:hAnsi="Verdana" w:cs="Arial"/>
          <w:bCs/>
          <w:lang w:val="es-ES_tradnl"/>
        </w:rPr>
        <w:t xml:space="preserve">se retira por venta, cesión o fallece y pierde la calidad de socio, es posible mantener esa acreditación de la experiencia? iii. ¿Contempla trato diferencial el numeral </w:t>
      </w:r>
      <w:r w:rsidRPr="005821E0">
        <w:rPr>
          <w:rFonts w:ascii="Verdana" w:eastAsia="Century Gothic" w:hAnsi="Verdana" w:cs="Century Gothic"/>
        </w:rPr>
        <w:t>2.5 del artículo 2.2.1.1.1.5.2 del Decreto 1082 de 2015</w:t>
      </w:r>
      <w:r w:rsidRPr="005821E0">
        <w:rPr>
          <w:rFonts w:ascii="Verdana" w:hAnsi="Verdana" w:cs="Arial"/>
          <w:bCs/>
          <w:lang w:val="es-ES_tradnl"/>
        </w:rPr>
        <w:t xml:space="preserve">, </w:t>
      </w:r>
      <w:r w:rsidRPr="005821E0">
        <w:rPr>
          <w:rFonts w:ascii="Verdana" w:eastAsia="Century Gothic" w:hAnsi="Verdana" w:cs="Century Gothic"/>
        </w:rPr>
        <w:t>entre Sociedades Anónimas y S.A.S.,</w:t>
      </w:r>
      <w:r w:rsidRPr="005821E0">
        <w:rPr>
          <w:rFonts w:ascii="Verdana" w:hAnsi="Verdana" w:cs="Arial"/>
          <w:bCs/>
          <w:lang w:val="es-ES_tradnl"/>
        </w:rPr>
        <w:t xml:space="preserve"> con relación al factor de experiencia regulado</w:t>
      </w:r>
      <w:r>
        <w:rPr>
          <w:rFonts w:ascii="Verdana" w:hAnsi="Verdana" w:cs="Arial"/>
          <w:bCs/>
          <w:lang w:val="es-ES_tradnl"/>
        </w:rPr>
        <w:t xml:space="preserve"> en este</w:t>
      </w:r>
      <w:r w:rsidRPr="005821E0">
        <w:rPr>
          <w:rFonts w:ascii="Verdana" w:eastAsia="Century Gothic" w:hAnsi="Verdana" w:cs="Century Gothic"/>
        </w:rPr>
        <w:t>?</w:t>
      </w:r>
    </w:p>
    <w:p w14:paraId="00158F02" w14:textId="77777777" w:rsidR="00047218" w:rsidRPr="00715707" w:rsidRDefault="00047218" w:rsidP="00047218">
      <w:pPr>
        <w:spacing w:after="120" w:line="276" w:lineRule="auto"/>
        <w:jc w:val="both"/>
        <w:rPr>
          <w:rFonts w:ascii="Verdana" w:eastAsia="Century Gothic" w:hAnsi="Verdana" w:cs="Century Gothic"/>
          <w:lang w:val="es-ES_tradnl"/>
        </w:rPr>
      </w:pPr>
    </w:p>
    <w:p w14:paraId="561BE14B" w14:textId="77777777" w:rsidR="00047218" w:rsidRPr="00AB11C1" w:rsidRDefault="00047218" w:rsidP="0004721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t>Respuesta</w:t>
      </w:r>
      <w:r>
        <w:rPr>
          <w:rFonts w:ascii="Verdana" w:eastAsia="Century Gothic" w:hAnsi="Verdana" w:cs="Century Gothic"/>
          <w:b/>
          <w:bCs/>
        </w:rPr>
        <w:t>s</w:t>
      </w:r>
      <w:r w:rsidRPr="00AB11C1">
        <w:rPr>
          <w:rFonts w:ascii="Verdana" w:eastAsia="Century Gothic" w:hAnsi="Verdana" w:cs="Century Gothic"/>
          <w:b/>
          <w:bCs/>
        </w:rPr>
        <w:t>:</w:t>
      </w:r>
    </w:p>
    <w:p w14:paraId="069EE27A" w14:textId="77777777" w:rsidR="00047218" w:rsidRPr="00AB11C1" w:rsidRDefault="00047218" w:rsidP="0004721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8631679" w14:textId="77777777" w:rsidR="00047218" w:rsidRDefault="00047218" w:rsidP="00047218">
      <w:pPr>
        <w:spacing w:after="120" w:line="276" w:lineRule="auto"/>
        <w:jc w:val="both"/>
        <w:rPr>
          <w:rFonts w:ascii="Verdana" w:hAnsi="Verdana"/>
        </w:rPr>
      </w:pPr>
      <w:r w:rsidRPr="00AB11C1">
        <w:rPr>
          <w:rFonts w:ascii="Verdana" w:eastAsia="Calibri" w:hAnsi="Verdana" w:cs="Arial"/>
          <w:lang w:val="es-MX"/>
        </w:rPr>
        <w:t xml:space="preserve">i. </w:t>
      </w:r>
      <w:r>
        <w:rPr>
          <w:rStyle w:val="normaltextrun"/>
          <w:rFonts w:ascii="Verdana" w:hAnsi="Verdana" w:cs="Arial"/>
          <w:lang w:val="es-MX"/>
        </w:rPr>
        <w:t>Una sociedad si puede seguir haciendo uso de</w:t>
      </w:r>
      <w:r w:rsidRPr="005821E0">
        <w:rPr>
          <w:rStyle w:val="normaltextrun"/>
          <w:rFonts w:ascii="Verdana" w:hAnsi="Verdana" w:cs="Arial"/>
          <w:lang w:val="es-MX"/>
        </w:rPr>
        <w:t xml:space="preserve">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r>
        <w:rPr>
          <w:rStyle w:val="normaltextrun"/>
          <w:rFonts w:ascii="Verdana" w:hAnsi="Verdana" w:cs="Arial"/>
          <w:lang w:val="es-MX"/>
        </w:rPr>
        <w:t>Lo anterior, s</w:t>
      </w:r>
      <w:r w:rsidRPr="005821E0">
        <w:rPr>
          <w:rStyle w:val="normaltextrun"/>
          <w:rFonts w:ascii="Verdana" w:hAnsi="Verdana" w:cs="Arial"/>
          <w:lang w:val="es-MX"/>
        </w:rPr>
        <w:t xml:space="preserve">iempre y cuando </w:t>
      </w:r>
      <w:r w:rsidRPr="005821E0">
        <w:rPr>
          <w:rFonts w:ascii="Verdana" w:hAnsi="Verdana"/>
        </w:rPr>
        <w:t xml:space="preserve">la persona jurídica con menos de tres años de constituida registre la experiencia de sus socios en el RUP, y éste </w:t>
      </w:r>
      <w:r>
        <w:rPr>
          <w:rFonts w:ascii="Verdana" w:hAnsi="Verdana"/>
        </w:rPr>
        <w:t>sea</w:t>
      </w:r>
      <w:r w:rsidRPr="005821E0">
        <w:rPr>
          <w:rFonts w:ascii="Verdana" w:hAnsi="Verdana"/>
        </w:rPr>
        <w:t xml:space="preserve"> renovado constantemente de forma oportuna, </w:t>
      </w:r>
      <w:r>
        <w:rPr>
          <w:rFonts w:ascii="Verdana" w:hAnsi="Verdana"/>
        </w:rPr>
        <w:t>para que pueda continuar</w:t>
      </w:r>
      <w:r w:rsidRPr="005821E0">
        <w:rPr>
          <w:rFonts w:ascii="Verdana" w:hAnsi="Verdana"/>
        </w:rPr>
        <w:t xml:space="preserve"> utilizando la experiencia inscrita mientras no cesen los efectos del RUP, incluso después de transcurridos los tres años</w:t>
      </w:r>
      <w:r>
        <w:rPr>
          <w:rFonts w:ascii="Verdana" w:hAnsi="Verdana"/>
        </w:rPr>
        <w:t xml:space="preserve"> mencionados</w:t>
      </w:r>
      <w:r w:rsidRPr="005821E0">
        <w:rPr>
          <w:rFonts w:ascii="Verdana" w:hAnsi="Verdana"/>
        </w:rPr>
        <w:t>. Por el contrario, si no se renueva</w:t>
      </w:r>
      <w:r>
        <w:rPr>
          <w:rFonts w:ascii="Verdana" w:hAnsi="Verdana"/>
        </w:rPr>
        <w:t xml:space="preserve"> el RUP</w:t>
      </w:r>
      <w:r w:rsidRPr="005821E0">
        <w:rPr>
          <w:rFonts w:ascii="Verdana" w:hAnsi="Verdana"/>
        </w:rPr>
        <w:t xml:space="preserve"> y la persona jurídica supera los tres años de constituida, la experiencia que registró de sus socios no puede ser inscrita nuevamente, puesto que el RUP ha cesado</w:t>
      </w:r>
      <w:r>
        <w:rPr>
          <w:rFonts w:ascii="Verdana" w:hAnsi="Verdana"/>
        </w:rPr>
        <w:t xml:space="preserve"> en</w:t>
      </w:r>
      <w:r w:rsidRPr="005821E0">
        <w:rPr>
          <w:rFonts w:ascii="Verdana" w:hAnsi="Verdana"/>
        </w:rPr>
        <w:t xml:space="preserve"> sus efectos y la cámara de comercio tiene que hacer nuevamente la verificación documental de la información presentada al momento de inscribirse en el registro. Lo anterior, tiene fundamento en la Circular Única de la Superintendencia de Industria y Comercio</w:t>
      </w:r>
      <w:r>
        <w:rPr>
          <w:rFonts w:ascii="Verdana" w:hAnsi="Verdana"/>
        </w:rPr>
        <w:t xml:space="preserve"> que</w:t>
      </w:r>
      <w:r w:rsidRPr="005821E0">
        <w:rPr>
          <w:rFonts w:ascii="Verdana" w:hAnsi="Verdana"/>
        </w:rPr>
        <w:t xml:space="preserve"> dispuso en el numeral 4.2</w:t>
      </w:r>
      <w:r w:rsidRPr="005821E0">
        <w:rPr>
          <w:rStyle w:val="Refdenotaalpie"/>
          <w:rFonts w:ascii="Verdana" w:hAnsi="Verdana"/>
        </w:rPr>
        <w:footnoteReference w:id="1"/>
      </w:r>
      <w:r w:rsidRPr="005821E0">
        <w:rPr>
          <w:rFonts w:ascii="Verdana" w:hAnsi="Verdana"/>
        </w:rPr>
        <w:t>, el procedimiento para llevar el registro único de proponentes.</w:t>
      </w:r>
      <w:r w:rsidRPr="005821E0">
        <w:rPr>
          <w:rStyle w:val="normaltextrun"/>
          <w:rFonts w:ascii="Verdana" w:hAnsi="Verdana" w:cs="Arial"/>
          <w:lang w:val="es-MX"/>
        </w:rPr>
        <w:t> </w:t>
      </w:r>
      <w:r w:rsidRPr="005821E0">
        <w:rPr>
          <w:rStyle w:val="eop"/>
          <w:rFonts w:ascii="Verdana" w:hAnsi="Verdana" w:cs="Arial"/>
        </w:rPr>
        <w:t> </w:t>
      </w:r>
    </w:p>
    <w:p w14:paraId="5DF6DA68" w14:textId="77777777" w:rsidR="00047218" w:rsidRPr="005821E0" w:rsidRDefault="00047218" w:rsidP="00047218">
      <w:pPr>
        <w:spacing w:after="120" w:line="276" w:lineRule="auto"/>
        <w:ind w:firstLine="708"/>
        <w:jc w:val="both"/>
        <w:rPr>
          <w:rFonts w:ascii="Verdana" w:eastAsia="Calibri" w:hAnsi="Verdana" w:cs="Arial"/>
          <w:lang w:val="es-MX"/>
        </w:rPr>
      </w:pPr>
      <w:r w:rsidRPr="005821E0">
        <w:rPr>
          <w:rFonts w:ascii="Verdana" w:eastAsia="Calibri" w:hAnsi="Verdana" w:cs="Arial"/>
          <w:lang w:val="es-MX"/>
        </w:rPr>
        <w:t xml:space="preserve">ii. </w:t>
      </w:r>
      <w:r>
        <w:rPr>
          <w:rFonts w:ascii="Verdana" w:eastAsia="Calibri" w:hAnsi="Verdana" w:cs="Arial"/>
          <w:lang w:val="es-MX"/>
        </w:rPr>
        <w:t>No</w:t>
      </w:r>
      <w:r w:rsidRPr="009F6D52">
        <w:rPr>
          <w:rFonts w:ascii="Verdana" w:hAnsi="Verdana" w:cs="Arial"/>
          <w:bCs/>
          <w:lang w:val="es-ES_tradnl"/>
        </w:rPr>
        <w:t xml:space="preserve"> </w:t>
      </w:r>
      <w:r w:rsidRPr="005821E0">
        <w:rPr>
          <w:rFonts w:ascii="Verdana" w:hAnsi="Verdana" w:cs="Arial"/>
          <w:bCs/>
          <w:lang w:val="es-ES_tradnl"/>
        </w:rPr>
        <w:t xml:space="preserve">es posible mantener </w:t>
      </w:r>
      <w:r>
        <w:rPr>
          <w:rFonts w:ascii="Verdana" w:hAnsi="Verdana" w:cs="Arial"/>
          <w:bCs/>
          <w:lang w:val="es-ES_tradnl"/>
        </w:rPr>
        <w:t xml:space="preserve">la </w:t>
      </w:r>
      <w:r w:rsidRPr="005821E0">
        <w:rPr>
          <w:rFonts w:ascii="Verdana" w:hAnsi="Verdana" w:cs="Arial"/>
          <w:bCs/>
          <w:lang w:val="es-ES_tradnl"/>
        </w:rPr>
        <w:t>acreditación de la experiencia</w:t>
      </w:r>
      <w:r>
        <w:rPr>
          <w:rFonts w:ascii="Verdana" w:hAnsi="Verdana" w:cs="Arial"/>
          <w:bCs/>
          <w:lang w:val="es-ES_tradnl"/>
        </w:rPr>
        <w:t xml:space="preserve"> del </w:t>
      </w:r>
      <w:r w:rsidRPr="005821E0">
        <w:rPr>
          <w:rFonts w:ascii="Verdana" w:hAnsi="Verdana" w:cs="Arial"/>
          <w:bCs/>
          <w:lang w:val="es-ES_tradnl"/>
        </w:rPr>
        <w:t>accionista, socio o constituyente</w:t>
      </w:r>
      <w:r>
        <w:rPr>
          <w:rFonts w:ascii="Verdana" w:hAnsi="Verdana" w:cs="Arial"/>
          <w:bCs/>
          <w:lang w:val="es-ES_tradnl"/>
        </w:rPr>
        <w:t>, si este se retira por venta, cesión o fallece</w:t>
      </w:r>
      <w:r>
        <w:rPr>
          <w:rFonts w:ascii="Verdana" w:eastAsia="Calibri" w:hAnsi="Verdana" w:cs="Arial"/>
          <w:lang w:val="es-MX"/>
        </w:rPr>
        <w:t xml:space="preserve">. </w:t>
      </w:r>
      <w:r w:rsidRPr="005821E0">
        <w:rPr>
          <w:rFonts w:ascii="Verdana" w:eastAsia="Calibri" w:hAnsi="Verdana" w:cs="Arial"/>
          <w:lang w:val="es-MX"/>
        </w:rPr>
        <w:t xml:space="preserve">El </w:t>
      </w:r>
      <w:r w:rsidRPr="005821E0">
        <w:rPr>
          <w:rFonts w:ascii="Verdana" w:eastAsia="Century Gothic" w:hAnsi="Verdana" w:cs="Century Gothic"/>
        </w:rPr>
        <w:t xml:space="preserve">numeral 2.5 del artículo 2.2.1.1.1.5.2 de </w:t>
      </w:r>
      <w:r w:rsidRPr="005821E0">
        <w:rPr>
          <w:rFonts w:ascii="Verdana" w:eastAsia="Calibri" w:hAnsi="Verdana" w:cs="Arial"/>
          <w:lang w:val="es-MX"/>
        </w:rPr>
        <w:t>Decreto 1082 de 2015 solo permite que una sociedad acredite la experiencia de quienes tienen la calidad de accionistas, socios o constituyentes durante los primeros tres años de su constitución. Por tanto, si no se tiene o se pierden estas calidades, como sucedería cuando un socio se retira por venta o cesión de su participación y pierde su calidad de socio y/o fallece, ya no sería posible que la sociedad acredite la experiencia aportada por dicha persona, toda vez que la experiencia es inherente a la persona que la ha obtenido, razón por la cual es intransferible en virtud de su carácter personalísimo, pero por disposición legal o reglamentaria, en casos excepcionales</w:t>
      </w:r>
      <w:r>
        <w:rPr>
          <w:rFonts w:ascii="Verdana" w:eastAsia="Calibri" w:hAnsi="Verdana" w:cs="Arial"/>
          <w:lang w:val="es-MX"/>
        </w:rPr>
        <w:t xml:space="preserve"> se permite transferirla</w:t>
      </w:r>
      <w:r w:rsidRPr="005821E0">
        <w:rPr>
          <w:rFonts w:ascii="Verdana" w:eastAsia="Calibri" w:hAnsi="Verdana" w:cs="Arial"/>
          <w:lang w:val="es-MX"/>
        </w:rPr>
        <w:t xml:space="preserve">, como el descrito por el </w:t>
      </w:r>
      <w:r w:rsidRPr="005821E0">
        <w:rPr>
          <w:rFonts w:ascii="Verdana" w:eastAsia="Century Gothic" w:hAnsi="Verdana" w:cs="Century Gothic"/>
        </w:rPr>
        <w:t>numeral 2.5 del artículo 2.2.1.1.1.5.2 del Decreto 1082 de 2015</w:t>
      </w:r>
      <w:r>
        <w:rPr>
          <w:rFonts w:ascii="Verdana" w:eastAsia="Calibri" w:hAnsi="Verdana" w:cs="Arial"/>
          <w:lang w:val="es-MX"/>
        </w:rPr>
        <w:t>.</w:t>
      </w:r>
      <w:r w:rsidRPr="005821E0">
        <w:rPr>
          <w:rFonts w:ascii="Verdana" w:eastAsia="Calibri" w:hAnsi="Verdana" w:cs="Arial"/>
          <w:lang w:val="es-MX"/>
        </w:rPr>
        <w:t xml:space="preserve"> Lo propio pasa con la muerte de uno de los socios, dado que, será jurídicamente inviable pretender que la experiencia de un sujeto que no existe sea transferida.</w:t>
      </w:r>
    </w:p>
    <w:p w14:paraId="6225C090" w14:textId="77777777" w:rsidR="00047218" w:rsidRPr="00315F79" w:rsidRDefault="00047218" w:rsidP="00047218">
      <w:pPr>
        <w:ind w:firstLine="708"/>
        <w:jc w:val="both"/>
        <w:rPr>
          <w:rFonts w:ascii="Verdana" w:hAnsi="Verdana"/>
        </w:rPr>
      </w:pPr>
      <w:r w:rsidRPr="005821E0">
        <w:rPr>
          <w:rFonts w:ascii="Verdana" w:eastAsia="Calibri" w:hAnsi="Verdana" w:cs="Arial"/>
          <w:lang w:val="es-MX"/>
        </w:rPr>
        <w:t xml:space="preserve">iii. </w:t>
      </w:r>
      <w:r w:rsidRPr="00315F79">
        <w:rPr>
          <w:rFonts w:ascii="Verdana" w:hAnsi="Verdana" w:cs="Arial"/>
          <w:bCs/>
          <w:lang w:val="es-ES_tradnl"/>
        </w:rPr>
        <w:t xml:space="preserve">El numeral </w:t>
      </w:r>
      <w:r w:rsidRPr="00315F79">
        <w:rPr>
          <w:rFonts w:ascii="Verdana" w:eastAsia="Century Gothic" w:hAnsi="Verdana" w:cs="Century Gothic"/>
        </w:rPr>
        <w:t xml:space="preserve">2.5 del artículo 2.2.1.1.1.5.2 del Decreto 1082 de 2015 </w:t>
      </w:r>
      <w:r w:rsidRPr="00315F79">
        <w:rPr>
          <w:rFonts w:ascii="Verdana" w:hAnsi="Verdana" w:cs="Arial"/>
          <w:bCs/>
          <w:lang w:val="es-ES_tradnl"/>
        </w:rPr>
        <w:t>no hace tratamiento diferencial respecto de las S.A., S.A.S o de cualquier otro tipo societario reglado, con relación al factor de experiencia regulado en esta disposición.</w:t>
      </w:r>
      <w:r w:rsidRPr="00315F79">
        <w:rPr>
          <w:rFonts w:ascii="Verdana" w:hAnsi="Verdana"/>
        </w:rPr>
        <w:t xml:space="preserve"> Por lo </w:t>
      </w:r>
      <w:r w:rsidRPr="00315F79">
        <w:rPr>
          <w:rFonts w:ascii="Verdana" w:hAnsi="Verdana"/>
        </w:rPr>
        <w:lastRenderedPageBreak/>
        <w:t>tanto, no habiendo sido regulado por el legislador ámbito de aplicación diferencial</w:t>
      </w:r>
      <w:r w:rsidRPr="00315F79">
        <w:rPr>
          <w:rFonts w:ascii="Verdana" w:hAnsi="Verdana" w:cs="Arial"/>
          <w:bCs/>
          <w:lang w:val="es-ES_tradnl"/>
        </w:rPr>
        <w:t>, en el artículo precedente</w:t>
      </w:r>
      <w:r>
        <w:rPr>
          <w:rFonts w:ascii="Verdana" w:hAnsi="Verdana" w:cs="Arial"/>
          <w:bCs/>
          <w:lang w:val="es-ES_tradnl"/>
        </w:rPr>
        <w:t>;</w:t>
      </w:r>
      <w:r w:rsidRPr="00315F79">
        <w:rPr>
          <w:rFonts w:ascii="Verdana" w:hAnsi="Verdana"/>
        </w:rPr>
        <w:t xml:space="preserve"> opera el principio general de interpretación, según el cual, donde el legislador no distingue, no le es dado hacerlo al interprete</w:t>
      </w:r>
      <w:r>
        <w:rPr>
          <w:rFonts w:ascii="Verdana" w:hAnsi="Verdana"/>
        </w:rPr>
        <w:t>;</w:t>
      </w:r>
      <w:r w:rsidRPr="00315F79">
        <w:rPr>
          <w:rFonts w:ascii="Verdana" w:hAnsi="Verdana"/>
        </w:rPr>
        <w:t xml:space="preserve"> </w:t>
      </w:r>
      <w:r w:rsidRPr="00315F79">
        <w:rPr>
          <w:rFonts w:ascii="Verdana" w:hAnsi="Verdana"/>
          <w:color w:val="333333"/>
          <w:shd w:val="clear" w:color="auto" w:fill="FFFFFF"/>
        </w:rPr>
        <w:t>lo anterior cobra relevante connotación para la seguridad jurídica pues evita que el sentido de la ley esté sujeto a la interpretación subjetivas de diferentes actores, esto con el fin de mantener un equilibrio de todos los partícipes de la contratación,</w:t>
      </w:r>
      <w:r>
        <w:rPr>
          <w:rFonts w:ascii="Verdana" w:hAnsi="Verdana"/>
          <w:color w:val="333333"/>
          <w:shd w:val="clear" w:color="auto" w:fill="FFFFFF"/>
        </w:rPr>
        <w:t xml:space="preserve"> y</w:t>
      </w:r>
      <w:r w:rsidRPr="00315F79">
        <w:rPr>
          <w:rFonts w:ascii="Verdana" w:hAnsi="Verdana"/>
          <w:color w:val="333333"/>
          <w:shd w:val="clear" w:color="auto" w:fill="FFFFFF"/>
        </w:rPr>
        <w:t xml:space="preserve"> en la práctica darle efectiva aplicabilidad al derecho a la igualdad </w:t>
      </w:r>
    </w:p>
    <w:p w14:paraId="5D594D05" w14:textId="77777777" w:rsidR="00047218" w:rsidRPr="00315F79" w:rsidRDefault="00047218" w:rsidP="00047218">
      <w:pPr>
        <w:ind w:firstLine="708"/>
        <w:jc w:val="both"/>
        <w:rPr>
          <w:rFonts w:ascii="Verdana" w:hAnsi="Verdana" w:cs="Arial"/>
          <w:b/>
          <w:lang w:val="es-ES_tradnl" w:eastAsia="es-ES"/>
        </w:rPr>
      </w:pPr>
      <w:r>
        <w:rPr>
          <w:rFonts w:ascii="Verdana" w:hAnsi="Verdana"/>
        </w:rPr>
        <w:t>En ese sentido, l</w:t>
      </w:r>
      <w:r w:rsidRPr="00315F79">
        <w:rPr>
          <w:rFonts w:ascii="Verdana" w:hAnsi="Verdana"/>
        </w:rPr>
        <w:t>a anterior consideración tiene su principal sustento en el principio de igualdad de trato que orienta e irradia la actividad contractual del Estado. El principio de igualdad, consagrado en el artículo 13 de la Constitución Política, es un valor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w:t>
      </w:r>
      <w:r w:rsidRPr="00315F79">
        <w:rPr>
          <w:rFonts w:ascii="Verdana" w:hAnsi="Verdana"/>
          <w:spacing w:val="2"/>
        </w:rPr>
        <w:t xml:space="preserve"> </w:t>
      </w:r>
      <w:r w:rsidRPr="00315F79">
        <w:rPr>
          <w:rFonts w:ascii="Verdana" w:hAnsi="Verdana"/>
        </w:rPr>
        <w:t>e interpretación del derecho.</w:t>
      </w:r>
    </w:p>
    <w:p w14:paraId="45ECAA8F" w14:textId="77777777" w:rsidR="00047218" w:rsidRPr="005821E0" w:rsidRDefault="00047218" w:rsidP="00047218">
      <w:pPr>
        <w:ind w:firstLine="708"/>
        <w:jc w:val="both"/>
        <w:rPr>
          <w:rFonts w:ascii="Verdana" w:eastAsia="Century Gothic" w:hAnsi="Verdana" w:cs="Century Gothic"/>
          <w:lang w:val="es-ES_tradnl"/>
        </w:rPr>
      </w:pPr>
    </w:p>
    <w:p w14:paraId="2357FF73" w14:textId="77777777" w:rsidR="00047218" w:rsidRPr="00AB11C1" w:rsidRDefault="00047218" w:rsidP="0004721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t>Razones de la respuesta:</w:t>
      </w:r>
    </w:p>
    <w:p w14:paraId="01EFADE8" w14:textId="77777777" w:rsidR="00047218" w:rsidRPr="00AB11C1" w:rsidRDefault="00047218" w:rsidP="00047218">
      <w:pPr>
        <w:spacing w:after="0" w:line="276" w:lineRule="auto"/>
        <w:jc w:val="both"/>
        <w:rPr>
          <w:rFonts w:ascii="Verdana" w:eastAsia="Calibri" w:hAnsi="Verdana" w:cs="Arial"/>
          <w:color w:val="7030A0"/>
          <w:lang w:val="es-ES"/>
        </w:rPr>
      </w:pPr>
    </w:p>
    <w:p w14:paraId="62EF4990" w14:textId="77777777" w:rsidR="00047218" w:rsidRPr="00AB11C1" w:rsidRDefault="00047218" w:rsidP="00047218">
      <w:pPr>
        <w:spacing w:after="0" w:line="276" w:lineRule="auto"/>
        <w:jc w:val="both"/>
        <w:rPr>
          <w:rFonts w:ascii="Verdana" w:eastAsia="Calibri" w:hAnsi="Verdana" w:cs="Arial"/>
          <w:lang w:val="es-ES"/>
        </w:rPr>
      </w:pPr>
      <w:r w:rsidRPr="00AB11C1">
        <w:rPr>
          <w:rFonts w:ascii="Verdana" w:eastAsia="Calibri" w:hAnsi="Verdana" w:cs="Arial"/>
          <w:lang w:val="es-ES"/>
        </w:rPr>
        <w:t xml:space="preserve">Lo anterior se sustenta en las siguientes consideraciones: </w:t>
      </w:r>
    </w:p>
    <w:p w14:paraId="10E60092" w14:textId="77777777" w:rsidR="00047218" w:rsidRPr="004B05FB" w:rsidRDefault="00047218" w:rsidP="00047218">
      <w:pPr>
        <w:spacing w:after="0" w:line="276" w:lineRule="auto"/>
        <w:jc w:val="both"/>
        <w:rPr>
          <w:rFonts w:ascii="Verdana" w:eastAsia="Calibri" w:hAnsi="Verdana" w:cs="Arial"/>
          <w:lang w:val="es-ES"/>
        </w:rPr>
      </w:pPr>
    </w:p>
    <w:p w14:paraId="62B090B1" w14:textId="77777777" w:rsidR="00047218" w:rsidRPr="00AB11C1" w:rsidRDefault="00047218" w:rsidP="00047218">
      <w:pPr>
        <w:spacing w:after="120" w:line="276" w:lineRule="auto"/>
        <w:jc w:val="both"/>
        <w:rPr>
          <w:rFonts w:ascii="Verdana" w:eastAsia="Calibri" w:hAnsi="Verdana" w:cs="Arial"/>
        </w:rPr>
      </w:pPr>
      <w:r>
        <w:rPr>
          <w:rFonts w:ascii="Verdana" w:eastAsia="Calibri" w:hAnsi="Verdana" w:cs="Arial"/>
          <w:lang w:val="es-MX"/>
        </w:rPr>
        <w:t>L</w:t>
      </w:r>
      <w:r w:rsidRPr="00AB11C1">
        <w:rPr>
          <w:rFonts w:ascii="Verdana" w:eastAsia="Calibri" w:hAnsi="Verdana" w:cs="Arial"/>
          <w:lang w:val="es-MX"/>
        </w:rPr>
        <w:t>a experiencia tiene un carácter personal, lo cual significa que esta se obtiene por la participación, con anterioridad, en actividades que le permitieron a alguien conocer cómo ejecutar determinado objeto contractual que la entidad ahora pretende desarrollar</w:t>
      </w:r>
      <w:r w:rsidRPr="00AB11C1">
        <w:rPr>
          <w:rStyle w:val="Refdenotaalpie"/>
          <w:rFonts w:ascii="Verdana" w:eastAsia="Calibri" w:hAnsi="Verdana" w:cs="Arial"/>
        </w:rPr>
        <w:footnoteReference w:id="2"/>
      </w:r>
      <w:r w:rsidRPr="00AB11C1">
        <w:rPr>
          <w:rFonts w:ascii="Verdana" w:eastAsia="Calibri" w:hAnsi="Verdana" w:cs="Arial"/>
        </w:rPr>
        <w:t>.</w:t>
      </w:r>
    </w:p>
    <w:p w14:paraId="1A938418" w14:textId="77777777" w:rsidR="00047218"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lastRenderedPageBreak/>
        <w:t xml:space="preserve">Lo anterior es determinante, porque no es posible adquirir la experiencia si en la práctica no se han ejecutado actividades previas. Precisamente, de la experiencia se deriva el conocimiento del proponente, lo cual es importante para la contratación pública, pues ello garantiza que no habrá improvisación ni mayores costos por errores o dificultades originadas en realizar una actividad por primera vez. Adicionalmente, la experiencia puede obtenerse directamente o por participar asociado con otra persona, como es el caso de los proponentes plurales, en cuyo evento la experiencia no deja de ser personal, sino que es proporcional a la participación como miembro de un consorcio o unión temporal. Por tratarse de esquemas asociativos, en estos casos la experiencia es compartida. </w:t>
      </w:r>
    </w:p>
    <w:p w14:paraId="283F47D7" w14:textId="77777777" w:rsidR="00047218" w:rsidRPr="005877AE"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a copias de los contratos, cuando el interesado no puede obtener tal certificado</w:t>
      </w:r>
      <w:r w:rsidRPr="00AB11C1">
        <w:rPr>
          <w:rStyle w:val="Refdenotaalpie"/>
          <w:rFonts w:ascii="Verdana" w:eastAsia="Calibri" w:hAnsi="Verdana" w:cs="Arial"/>
        </w:rPr>
        <w:footnoteReference w:id="3"/>
      </w:r>
      <w:r w:rsidRPr="00AB11C1">
        <w:rPr>
          <w:rFonts w:ascii="Verdana" w:eastAsia="Calibri" w:hAnsi="Verdana" w:cs="Arial"/>
        </w:rPr>
        <w:t xml:space="preserve">.  </w:t>
      </w:r>
    </w:p>
    <w:p w14:paraId="713F0EFA" w14:textId="77777777" w:rsidR="00047218" w:rsidRPr="00AB11C1"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t>El numeral 2.5</w:t>
      </w:r>
      <w:r w:rsidRPr="00AB11C1">
        <w:rPr>
          <w:rStyle w:val="Refdenotaalpie"/>
          <w:rFonts w:ascii="Verdana" w:eastAsia="Calibri" w:hAnsi="Verdana" w:cs="Arial"/>
        </w:rPr>
        <w:footnoteReference w:id="4"/>
      </w:r>
      <w:r w:rsidRPr="00AB11C1">
        <w:rPr>
          <w:rFonts w:ascii="Verdana" w:eastAsia="Calibri" w:hAnsi="Verdana" w:cs="Arial"/>
        </w:rPr>
        <w:t xml:space="preserve"> </w:t>
      </w:r>
      <w:r w:rsidRPr="00AB11C1">
        <w:rPr>
          <w:rFonts w:ascii="Verdana" w:eastAsia="Calibri" w:hAnsi="Verdana" w:cs="Arial"/>
          <w:lang w:val="es-MX"/>
        </w:rPr>
        <w:t>del mismo artículo señala que</w:t>
      </w:r>
      <w:r>
        <w:rPr>
          <w:rFonts w:ascii="Verdana" w:eastAsia="Calibri" w:hAnsi="Verdana" w:cs="Arial"/>
          <w:lang w:val="es-MX"/>
        </w:rPr>
        <w:t>,</w:t>
      </w:r>
      <w:r w:rsidRPr="00AB11C1">
        <w:rPr>
          <w:rFonts w:ascii="Verdana" w:eastAsia="Calibri" w:hAnsi="Verdana" w:cs="Arial"/>
          <w:lang w:val="es-MX"/>
        </w:rPr>
        <w:t xml:space="preserv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w:t>
      </w:r>
      <w:r w:rsidRPr="00AB11C1">
        <w:rPr>
          <w:rFonts w:ascii="Verdana" w:eastAsia="Calibri" w:hAnsi="Verdana" w:cs="Arial"/>
          <w:lang w:val="es-MX"/>
        </w:rPr>
        <w:lastRenderedPageBreak/>
        <w:t xml:space="preserve">contratos ejecutados o copias de los contratos cuando el interesado no puede obtener tal certificado. </w:t>
      </w:r>
    </w:p>
    <w:p w14:paraId="6221A54E" w14:textId="77777777" w:rsidR="00047218" w:rsidRPr="00AB11C1"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t>El interesado debe indicar en cada certificado, o en cada copia de los contratos, los bienes, obras y servicios a los cuales corresponde la experiencia que pretende acreditar, identificándolos con el Clasificador de Bienes y Servicios, en el tercer nivel. Además, dicho numeral establece que, si la constitución del interesado es menor a 3 años, puede acreditar la experiencia de sus accionistas, socios o constituyentes.</w:t>
      </w:r>
    </w:p>
    <w:p w14:paraId="3FCF837E" w14:textId="77777777" w:rsidR="00047218" w:rsidRPr="005821E0" w:rsidRDefault="00047218" w:rsidP="00047218">
      <w:pPr>
        <w:spacing w:after="120" w:line="276" w:lineRule="auto"/>
        <w:ind w:firstLine="708"/>
        <w:jc w:val="both"/>
        <w:rPr>
          <w:rFonts w:ascii="Verdana" w:eastAsia="Calibri" w:hAnsi="Verdana" w:cs="Arial"/>
          <w:lang w:val="es-MX"/>
        </w:rPr>
      </w:pPr>
      <w:r w:rsidRPr="005821E0">
        <w:rPr>
          <w:rFonts w:ascii="Verdana" w:eastAsia="Calibri" w:hAnsi="Verdana" w:cs="Arial"/>
          <w:lang w:val="es-MX"/>
        </w:rPr>
        <w:t xml:space="preserve">Esta prerrogativa, puede entenderse como una medida de fomento a la participación de pequeños oferentes en la contratación estatal, permite que las sociedades relativamente nuevas ─ con menos de 3 años de constitución ─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permite hacerlo. </w:t>
      </w:r>
    </w:p>
    <w:p w14:paraId="16F450AB" w14:textId="77777777" w:rsidR="00047218" w:rsidRPr="00AB11C1"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accionista, socio o constituyente transfiere la experiencia adquirida directamente a la sociedad de la que es parte, para que esta, como persona jurídica independiente, pueda cumplir con los requisitos que establezcan las entidades estatales en sus procesos de contratación, y de esta forma promover el desarrollo de la empresa y la pluralidad de oferentes en la contratación pública.</w:t>
      </w:r>
    </w:p>
    <w:p w14:paraId="35C76612" w14:textId="77777777" w:rsidR="00047218" w:rsidRPr="00AB11C1" w:rsidRDefault="00047218" w:rsidP="00047218">
      <w:pPr>
        <w:spacing w:after="120" w:line="276" w:lineRule="auto"/>
        <w:ind w:firstLine="708"/>
        <w:jc w:val="both"/>
        <w:rPr>
          <w:rFonts w:ascii="Verdana" w:hAnsi="Verdana" w:cs="Arial"/>
          <w:lang w:val="es-MX" w:eastAsia="es-ES_tradnl"/>
        </w:rPr>
      </w:pPr>
      <w:r w:rsidRPr="005821E0">
        <w:rPr>
          <w:rFonts w:ascii="Verdana" w:hAnsi="Verdana"/>
        </w:rPr>
        <w:t>Ahora bien, si</w:t>
      </w:r>
      <w:r w:rsidRPr="001504A0">
        <w:rPr>
          <w:rFonts w:ascii="Verdana" w:hAnsi="Verdana"/>
        </w:rPr>
        <w:t xml:space="preserve"> la persona jurídica con menos de tres años de constituida registra la experiencia de sus socios en el RUP, y éste es renovado constantemente de forma oportuna, puede continuar utilizando la experiencia inscrita mientras no cesen los efectos del RUP, incluso después de transcurridos los tres años. Por el contrario, si no se renueva y la persona jurídica supera los tres años de constituida, la experiencia que registró de sus socios no puede ser inscrita nuevamente, puesto que el RUP ha cesado </w:t>
      </w:r>
      <w:r>
        <w:rPr>
          <w:rFonts w:ascii="Verdana" w:hAnsi="Verdana"/>
        </w:rPr>
        <w:t xml:space="preserve">en </w:t>
      </w:r>
      <w:r w:rsidRPr="001504A0">
        <w:rPr>
          <w:rFonts w:ascii="Verdana" w:hAnsi="Verdana"/>
        </w:rPr>
        <w:t xml:space="preserve">sus efectos y la cámara de comercio tiene que hacer nuevamente la verificación documental de la información presentada al momento de inscribirse en el registro. Lo anterior, tiene fundamento en la Circular Única de la Superintendencia de Industria y Comercio, </w:t>
      </w:r>
      <w:r>
        <w:rPr>
          <w:rFonts w:ascii="Verdana" w:hAnsi="Verdana"/>
        </w:rPr>
        <w:t>en el</w:t>
      </w:r>
      <w:r w:rsidRPr="001504A0">
        <w:rPr>
          <w:rFonts w:ascii="Verdana" w:hAnsi="Verdana"/>
        </w:rPr>
        <w:t xml:space="preserve"> numeral 4.2, </w:t>
      </w:r>
      <w:r w:rsidRPr="00AB11C1">
        <w:rPr>
          <w:rFonts w:ascii="Verdana" w:eastAsia="Calibri" w:hAnsi="Verdana" w:cs="Arial"/>
          <w:lang w:val="es-MX"/>
        </w:rPr>
        <w:t>sobre el procedimiento para llevar el registro único de proponentes, dispone lo siguiente:</w:t>
      </w:r>
      <w:r w:rsidRPr="00AB11C1">
        <w:rPr>
          <w:rFonts w:ascii="Verdana" w:hAnsi="Verdana" w:cs="Arial"/>
          <w:lang w:val="es-MX" w:eastAsia="es-ES_tradnl"/>
        </w:rPr>
        <w:t xml:space="preserve">  </w:t>
      </w:r>
    </w:p>
    <w:p w14:paraId="3DA391FD" w14:textId="77777777" w:rsidR="00047218" w:rsidRPr="00AB11C1" w:rsidRDefault="00047218" w:rsidP="00047218">
      <w:pPr>
        <w:ind w:firstLine="708"/>
        <w:jc w:val="both"/>
        <w:rPr>
          <w:rFonts w:ascii="Verdana" w:hAnsi="Verdana" w:cs="Arial"/>
          <w:lang w:val="es-MX" w:eastAsia="es-ES_tradnl"/>
        </w:rPr>
      </w:pPr>
    </w:p>
    <w:p w14:paraId="47245B65" w14:textId="77777777" w:rsidR="00047218" w:rsidRPr="00AB11C1" w:rsidRDefault="00047218" w:rsidP="00047218">
      <w:pPr>
        <w:ind w:left="709" w:right="709"/>
        <w:contextualSpacing/>
        <w:jc w:val="both"/>
        <w:rPr>
          <w:rFonts w:ascii="Verdana" w:hAnsi="Verdana" w:cs="Arial"/>
          <w:sz w:val="21"/>
          <w:szCs w:val="21"/>
          <w:lang w:val="es-MX" w:eastAsia="es-ES_tradnl"/>
        </w:rPr>
      </w:pPr>
      <w:r w:rsidRPr="00AB11C1">
        <w:rPr>
          <w:rFonts w:ascii="Verdana" w:hAnsi="Verdana" w:cs="Arial"/>
          <w:sz w:val="21"/>
          <w:szCs w:val="21"/>
          <w:lang w:val="es-MX" w:eastAsia="es-ES_tradnl"/>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8D30C47" w14:textId="77777777" w:rsidR="00047218" w:rsidRDefault="00047218" w:rsidP="00047218">
      <w:pPr>
        <w:spacing w:after="120" w:line="276" w:lineRule="auto"/>
        <w:ind w:firstLine="708"/>
        <w:jc w:val="both"/>
        <w:rPr>
          <w:rFonts w:ascii="Verdana" w:hAnsi="Verdana"/>
        </w:rPr>
      </w:pPr>
    </w:p>
    <w:p w14:paraId="338AF0C9" w14:textId="77777777" w:rsidR="00047218" w:rsidRPr="00AB11C1" w:rsidRDefault="00047218" w:rsidP="00047218">
      <w:pPr>
        <w:spacing w:after="120" w:line="276" w:lineRule="auto"/>
        <w:ind w:firstLine="708"/>
        <w:jc w:val="both"/>
        <w:rPr>
          <w:rFonts w:ascii="Verdana" w:eastAsia="Calibri" w:hAnsi="Verdana" w:cs="Arial"/>
          <w:lang w:val="es-MX"/>
        </w:rPr>
      </w:pPr>
      <w:r w:rsidRPr="00AB11C1">
        <w:rPr>
          <w:rFonts w:ascii="Verdana" w:eastAsia="Calibri" w:hAnsi="Verdana" w:cs="Arial"/>
          <w:lang w:val="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AB11C1">
        <w:rPr>
          <w:rFonts w:ascii="Verdana" w:hAnsi="Verdana" w:cs="Arial"/>
          <w:vertAlign w:val="superscript"/>
          <w:lang w:val="es-MX" w:eastAsia="es-ES_tradnl"/>
        </w:rPr>
        <w:footnoteReference w:id="5"/>
      </w:r>
      <w:r w:rsidRPr="00AB11C1">
        <w:rPr>
          <w:rFonts w:ascii="Verdana" w:hAnsi="Verdana" w:cs="Arial"/>
          <w:lang w:val="es-MX" w:eastAsia="es-ES_tradnl"/>
        </w:rPr>
        <w:t xml:space="preserve">. </w:t>
      </w:r>
      <w:r w:rsidRPr="00AB11C1">
        <w:rPr>
          <w:rFonts w:ascii="Verdana" w:eastAsia="Calibri" w:hAnsi="Verdana" w:cs="Arial"/>
          <w:lang w:val="es-MX"/>
        </w:rPr>
        <w:t xml:space="preserve">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7561D748" w14:textId="77777777" w:rsidR="00047218" w:rsidRPr="001360F8" w:rsidRDefault="00047218" w:rsidP="00047218">
      <w:pPr>
        <w:ind w:firstLine="708"/>
        <w:jc w:val="both"/>
        <w:rPr>
          <w:rFonts w:ascii="Verdana" w:hAnsi="Verdana"/>
        </w:rPr>
      </w:pPr>
      <w:r w:rsidRPr="001360F8">
        <w:rPr>
          <w:rFonts w:ascii="Verdana" w:eastAsia="Calibri" w:hAnsi="Verdana" w:cs="Arial"/>
          <w:lang w:val="es-MX"/>
        </w:rPr>
        <w:t xml:space="preserve">Ahora bien, con el fin de resolver la consulta sobre si existe trato diferencial entre las S.A y S.A.S con relación a </w:t>
      </w:r>
      <w:r w:rsidRPr="001360F8">
        <w:rPr>
          <w:rFonts w:ascii="Verdana" w:hAnsi="Verdana" w:cs="Arial"/>
          <w:bCs/>
          <w:lang w:val="es-ES_tradnl"/>
        </w:rPr>
        <w:t xml:space="preserve">la acreditación de la experiencia de que trata el </w:t>
      </w:r>
      <w:r w:rsidRPr="001360F8">
        <w:rPr>
          <w:rFonts w:ascii="Verdana" w:eastAsia="Century Gothic" w:hAnsi="Verdana" w:cs="Century Gothic"/>
        </w:rPr>
        <w:t xml:space="preserve">numeral 2.5 del artículo 2.2.1.1.1.5.2 del Decreto 1082 de 2015, la norma en cita </w:t>
      </w:r>
      <w:r w:rsidRPr="001360F8">
        <w:rPr>
          <w:rFonts w:ascii="Verdana" w:hAnsi="Verdana" w:cs="Arial"/>
          <w:bCs/>
          <w:lang w:val="es-ES_tradnl"/>
        </w:rPr>
        <w:t>no hace tratamiento diferencial respecto de las S.A., S.A.S o de cualquier otro tipo societario reglado, con relación al factor de experiencia regulado en esta disposición.</w:t>
      </w:r>
      <w:r w:rsidRPr="001360F8">
        <w:rPr>
          <w:rFonts w:ascii="Verdana" w:hAnsi="Verdana"/>
        </w:rPr>
        <w:t xml:space="preserve"> Por lo tanto, no habiendo sido </w:t>
      </w:r>
      <w:r>
        <w:rPr>
          <w:rFonts w:ascii="Verdana" w:hAnsi="Verdana"/>
        </w:rPr>
        <w:t>incorporado</w:t>
      </w:r>
      <w:r w:rsidRPr="001360F8">
        <w:rPr>
          <w:rFonts w:ascii="Verdana" w:hAnsi="Verdana"/>
        </w:rPr>
        <w:t xml:space="preserve"> por el legislador ámbito de aplicación diferencial</w:t>
      </w:r>
      <w:r w:rsidRPr="001360F8">
        <w:rPr>
          <w:rFonts w:ascii="Verdana" w:hAnsi="Verdana" w:cs="Arial"/>
          <w:bCs/>
          <w:lang w:val="es-ES_tradnl"/>
        </w:rPr>
        <w:t>, en el artículo precedente;</w:t>
      </w:r>
      <w:r w:rsidRPr="001360F8">
        <w:rPr>
          <w:rFonts w:ascii="Verdana" w:hAnsi="Verdana"/>
        </w:rPr>
        <w:t xml:space="preserve"> opera el principio general de interpretación, según el cual, donde el legislador no distingue, no le es dado hacerlo al interprete</w:t>
      </w:r>
      <w:r>
        <w:rPr>
          <w:rFonts w:ascii="Verdana" w:hAnsi="Verdana"/>
        </w:rPr>
        <w:t>.</w:t>
      </w:r>
      <w:r w:rsidRPr="001360F8">
        <w:rPr>
          <w:rFonts w:ascii="Verdana" w:hAnsi="Verdana"/>
        </w:rPr>
        <w:t xml:space="preserve"> </w:t>
      </w:r>
      <w:r w:rsidRPr="004F3FA0">
        <w:rPr>
          <w:rFonts w:ascii="Verdana" w:hAnsi="Verdana"/>
        </w:rPr>
        <w:t xml:space="preserve">Dicho de otra manera, </w:t>
      </w:r>
      <w:r>
        <w:rPr>
          <w:rFonts w:ascii="Verdana" w:hAnsi="Verdana"/>
        </w:rPr>
        <w:t>“</w:t>
      </w:r>
      <w:r w:rsidRPr="004F3FA0">
        <w:rPr>
          <w:rFonts w:ascii="Verdana" w:hAnsi="Verdana"/>
        </w:rPr>
        <w:t xml:space="preserve">la búsqueda de un sentido distinto al que se desprende </w:t>
      </w:r>
      <w:r w:rsidRPr="004F3FA0">
        <w:rPr>
          <w:rFonts w:ascii="Verdana" w:hAnsi="Verdana"/>
          <w:i/>
          <w:iCs/>
        </w:rPr>
        <w:t>prima facie</w:t>
      </w:r>
      <w:r w:rsidRPr="004F3FA0">
        <w:rPr>
          <w:rFonts w:ascii="Verdana" w:hAnsi="Verdana"/>
        </w:rPr>
        <w:t xml:space="preserve"> del tenor literal de las normas, es subsidiaria, en la medida que solamente procede cuando el lenguaje del legislador no ha sido claro y existen expresiones oscuras que generan incertidumbre sobre su verdadero alcance</w:t>
      </w:r>
      <w:r>
        <w:rPr>
          <w:rFonts w:ascii="Verdana" w:hAnsi="Verdana"/>
        </w:rPr>
        <w:t>”</w:t>
      </w:r>
      <w:r>
        <w:rPr>
          <w:rStyle w:val="Refdenotaalpie"/>
          <w:rFonts w:ascii="Verdana" w:hAnsi="Verdana"/>
        </w:rPr>
        <w:footnoteReference w:id="6"/>
      </w:r>
      <w:r w:rsidRPr="004F3FA0">
        <w:rPr>
          <w:rFonts w:ascii="Verdana" w:hAnsi="Verdana"/>
        </w:rPr>
        <w:t xml:space="preserve">. </w:t>
      </w:r>
      <w:r>
        <w:rPr>
          <w:rFonts w:ascii="Verdana" w:hAnsi="Verdana"/>
          <w:color w:val="333333"/>
          <w:shd w:val="clear" w:color="auto" w:fill="FFFFFF"/>
        </w:rPr>
        <w:t>L</w:t>
      </w:r>
      <w:r w:rsidRPr="001360F8">
        <w:rPr>
          <w:rFonts w:ascii="Verdana" w:hAnsi="Verdana"/>
          <w:color w:val="333333"/>
          <w:shd w:val="clear" w:color="auto" w:fill="FFFFFF"/>
        </w:rPr>
        <w:t xml:space="preserve">o anterior cobra </w:t>
      </w:r>
      <w:r w:rsidRPr="001360F8">
        <w:rPr>
          <w:rFonts w:ascii="Verdana" w:hAnsi="Verdana"/>
          <w:color w:val="333333"/>
          <w:shd w:val="clear" w:color="auto" w:fill="FFFFFF"/>
        </w:rPr>
        <w:lastRenderedPageBreak/>
        <w:t>relevante connotación para la seguridad jurídica</w:t>
      </w:r>
      <w:r>
        <w:rPr>
          <w:rStyle w:val="Refdenotaalpie"/>
          <w:rFonts w:ascii="Verdana" w:hAnsi="Verdana"/>
          <w:color w:val="333333"/>
          <w:shd w:val="clear" w:color="auto" w:fill="FFFFFF"/>
        </w:rPr>
        <w:footnoteReference w:id="7"/>
      </w:r>
      <w:r w:rsidRPr="001360F8">
        <w:rPr>
          <w:rFonts w:ascii="Verdana" w:hAnsi="Verdana"/>
          <w:color w:val="333333"/>
          <w:shd w:val="clear" w:color="auto" w:fill="FFFFFF"/>
        </w:rPr>
        <w:t>, pues evita que el sentido de la ley esté sujeto a la interpretación subjetivas de diferentes actores</w:t>
      </w:r>
      <w:r>
        <w:rPr>
          <w:rFonts w:ascii="Verdana" w:hAnsi="Verdana"/>
          <w:color w:val="333333"/>
          <w:shd w:val="clear" w:color="auto" w:fill="FFFFFF"/>
        </w:rPr>
        <w:t>, así lo dispuso el artículo 27 del Código Civil</w:t>
      </w:r>
      <w:r>
        <w:rPr>
          <w:rStyle w:val="Refdenotaalpie"/>
          <w:rFonts w:ascii="Verdana" w:hAnsi="Verdana"/>
          <w:color w:val="333333"/>
          <w:shd w:val="clear" w:color="auto" w:fill="FFFFFF"/>
        </w:rPr>
        <w:footnoteReference w:id="8"/>
      </w:r>
      <w:r>
        <w:rPr>
          <w:rFonts w:ascii="Verdana" w:hAnsi="Verdana"/>
          <w:color w:val="333333"/>
          <w:shd w:val="clear" w:color="auto" w:fill="FFFFFF"/>
        </w:rPr>
        <w:t>, al establecer que “</w:t>
      </w:r>
      <w:r w:rsidRPr="004F3FA0">
        <w:rPr>
          <w:rFonts w:ascii="Verdana" w:hAnsi="Verdana"/>
          <w:color w:val="333333"/>
          <w:shd w:val="clear" w:color="auto" w:fill="FFFFFF"/>
        </w:rPr>
        <w:t>Cuando el sentido de la ley sea claro, no se desatenderá su tenor literal</w:t>
      </w:r>
      <w:r>
        <w:rPr>
          <w:rFonts w:ascii="Verdana" w:hAnsi="Verdana"/>
          <w:color w:val="333333"/>
          <w:shd w:val="clear" w:color="auto" w:fill="FFFFFF"/>
        </w:rPr>
        <w:t xml:space="preserve"> […]”;</w:t>
      </w:r>
      <w:r w:rsidRPr="001360F8">
        <w:rPr>
          <w:rFonts w:ascii="Verdana" w:hAnsi="Verdana"/>
          <w:color w:val="333333"/>
          <w:shd w:val="clear" w:color="auto" w:fill="FFFFFF"/>
        </w:rPr>
        <w:t xml:space="preserve"> esto con el fin de mantener un equilibrio de todos los partícipes de la contratación,</w:t>
      </w:r>
      <w:r>
        <w:rPr>
          <w:rFonts w:ascii="Verdana" w:hAnsi="Verdana"/>
          <w:color w:val="333333"/>
          <w:shd w:val="clear" w:color="auto" w:fill="FFFFFF"/>
        </w:rPr>
        <w:t xml:space="preserve"> y</w:t>
      </w:r>
      <w:r w:rsidRPr="001360F8">
        <w:rPr>
          <w:rFonts w:ascii="Verdana" w:hAnsi="Verdana"/>
          <w:color w:val="333333"/>
          <w:shd w:val="clear" w:color="auto" w:fill="FFFFFF"/>
        </w:rPr>
        <w:t xml:space="preserve"> en la práctica darle efectiva aplicabilidad al derecho a la igualdad</w:t>
      </w:r>
      <w:r>
        <w:rPr>
          <w:rFonts w:ascii="Verdana" w:hAnsi="Verdana"/>
          <w:color w:val="333333"/>
          <w:shd w:val="clear" w:color="auto" w:fill="FFFFFF"/>
        </w:rPr>
        <w:t>.</w:t>
      </w:r>
      <w:r w:rsidRPr="001360F8">
        <w:rPr>
          <w:rFonts w:ascii="Verdana" w:hAnsi="Verdana"/>
          <w:color w:val="333333"/>
          <w:shd w:val="clear" w:color="auto" w:fill="FFFFFF"/>
        </w:rPr>
        <w:t xml:space="preserve"> </w:t>
      </w:r>
    </w:p>
    <w:p w14:paraId="334AE317" w14:textId="77777777" w:rsidR="00047218" w:rsidRPr="00C15203" w:rsidRDefault="00047218" w:rsidP="00047218">
      <w:pPr>
        <w:ind w:firstLine="708"/>
        <w:jc w:val="both"/>
        <w:rPr>
          <w:rFonts w:ascii="Verdana" w:hAnsi="Verdana" w:cs="Arial"/>
          <w:b/>
          <w:lang w:val="es-ES_tradnl" w:eastAsia="es-ES"/>
        </w:rPr>
      </w:pPr>
      <w:r w:rsidRPr="00315F79">
        <w:rPr>
          <w:rFonts w:ascii="Verdana" w:hAnsi="Verdana"/>
        </w:rPr>
        <w:t>La igualdad, según la Corte Constitucional, tiene la connotación de principio, valor y derecho, por lo que representa un criterio de obligatoria observancia tanto para la producción como para la aplicación</w:t>
      </w:r>
      <w:r w:rsidRPr="00315F79">
        <w:rPr>
          <w:rFonts w:ascii="Verdana" w:hAnsi="Verdana"/>
          <w:spacing w:val="2"/>
        </w:rPr>
        <w:t xml:space="preserve"> </w:t>
      </w:r>
      <w:r w:rsidRPr="00315F79">
        <w:rPr>
          <w:rFonts w:ascii="Verdana" w:hAnsi="Verdana"/>
        </w:rPr>
        <w:t>e interpretación del derecho.</w:t>
      </w:r>
      <w:r>
        <w:rPr>
          <w:rFonts w:ascii="Verdana" w:hAnsi="Verdana" w:cs="Arial"/>
          <w:b/>
          <w:lang w:val="es-ES_tradnl" w:eastAsia="es-ES"/>
        </w:rPr>
        <w:t xml:space="preserve"> </w:t>
      </w:r>
      <w:r w:rsidRPr="001504A0">
        <w:rPr>
          <w:rFonts w:ascii="Verdana" w:hAnsi="Verdana"/>
        </w:rPr>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14:paraId="5AF6BDE0" w14:textId="77777777" w:rsidR="00047218" w:rsidRPr="005821E0" w:rsidRDefault="00047218" w:rsidP="00047218">
      <w:pPr>
        <w:spacing w:after="120" w:line="276" w:lineRule="auto"/>
        <w:ind w:firstLine="708"/>
        <w:jc w:val="both"/>
        <w:rPr>
          <w:rFonts w:ascii="Verdana" w:eastAsia="Calibri" w:hAnsi="Verdana" w:cs="Arial"/>
          <w:lang w:val="es-MX"/>
        </w:rPr>
      </w:pPr>
      <w:r w:rsidRPr="001504A0">
        <w:rPr>
          <w:rFonts w:ascii="Verdana" w:hAnsi="Verdana"/>
        </w:rPr>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14:paraId="46DF1005" w14:textId="77777777" w:rsidR="00047218" w:rsidRPr="005821E0" w:rsidRDefault="00047218" w:rsidP="00047218">
      <w:pPr>
        <w:spacing w:after="120" w:line="276" w:lineRule="auto"/>
        <w:ind w:firstLine="708"/>
        <w:jc w:val="both"/>
        <w:rPr>
          <w:rFonts w:ascii="Verdana" w:eastAsia="Calibri" w:hAnsi="Verdana" w:cs="Arial"/>
          <w:lang w:val="es-MX"/>
        </w:rPr>
      </w:pPr>
      <w:r w:rsidRPr="001504A0">
        <w:rPr>
          <w:rFonts w:ascii="Verdana" w:hAnsi="Verdana"/>
        </w:rPr>
        <w:t>Es por ello que el Consejo de Estado ha determinado que la aplicación del principio de igualdad en la contratación pública materializa otros principios de similar importancia, como la selección objetiva y la transparencia:</w:t>
      </w:r>
    </w:p>
    <w:p w14:paraId="76765AE4" w14:textId="77777777" w:rsidR="00047218" w:rsidRPr="005821E0" w:rsidRDefault="00047218" w:rsidP="00047218">
      <w:pPr>
        <w:spacing w:after="120" w:line="276" w:lineRule="auto"/>
        <w:ind w:left="709" w:right="709"/>
        <w:jc w:val="both"/>
        <w:rPr>
          <w:rFonts w:ascii="Verdana" w:eastAsia="Calibri" w:hAnsi="Verdana" w:cs="Arial"/>
          <w:lang w:val="es-MX"/>
        </w:rPr>
      </w:pPr>
      <w:r w:rsidRPr="001504A0">
        <w:rPr>
          <w:rFonts w:ascii="Verdana" w:hAnsi="Verdana"/>
          <w:sz w:val="21"/>
        </w:rPr>
        <w:t>La igualdad de los licitadores, presupuesto fundamental que garantiza la selección</w:t>
      </w:r>
      <w:r>
        <w:rPr>
          <w:rFonts w:ascii="Verdana" w:hAnsi="Verdana"/>
          <w:sz w:val="21"/>
        </w:rPr>
        <w:t xml:space="preserve"> </w:t>
      </w:r>
      <w:r w:rsidRPr="001504A0">
        <w:rPr>
          <w:rFonts w:ascii="Verdana" w:hAnsi="Verdana"/>
          <w:sz w:val="21"/>
        </w:rPr>
        <w:t xml:space="preserve">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w:t>
      </w:r>
      <w:r w:rsidRPr="001504A0">
        <w:rPr>
          <w:rFonts w:ascii="Verdana" w:hAnsi="Verdana"/>
          <w:sz w:val="21"/>
        </w:rPr>
        <w:lastRenderedPageBreak/>
        <w:t>consideración a que el pliego es fuente principal de los derechos y obligaciones de la administración y de los proponentes</w:t>
      </w:r>
      <w:r w:rsidRPr="001504A0">
        <w:rPr>
          <w:rStyle w:val="Refdenotaalpie"/>
          <w:rFonts w:ascii="Verdana" w:hAnsi="Verdana"/>
          <w:sz w:val="21"/>
        </w:rPr>
        <w:footnoteReference w:id="9"/>
      </w:r>
      <w:r w:rsidRPr="001504A0">
        <w:rPr>
          <w:rFonts w:ascii="Verdana" w:hAnsi="Verdana"/>
          <w:sz w:val="21"/>
        </w:rPr>
        <w:t>.</w:t>
      </w:r>
    </w:p>
    <w:p w14:paraId="04F70D66" w14:textId="77777777" w:rsidR="00047218" w:rsidRPr="005821E0" w:rsidRDefault="00047218" w:rsidP="00047218">
      <w:pPr>
        <w:spacing w:after="120" w:line="276" w:lineRule="auto"/>
        <w:ind w:left="709" w:right="709" w:firstLine="708"/>
        <w:jc w:val="both"/>
        <w:rPr>
          <w:rFonts w:ascii="Verdana" w:eastAsia="Calibri" w:hAnsi="Verdana" w:cs="Arial"/>
          <w:lang w:val="es-MX"/>
        </w:rPr>
      </w:pPr>
    </w:p>
    <w:p w14:paraId="14C9B3CF" w14:textId="77777777" w:rsidR="00047218" w:rsidRPr="00EA6590" w:rsidRDefault="00047218" w:rsidP="00047218">
      <w:pPr>
        <w:pStyle w:val="Prrafodelista"/>
        <w:numPr>
          <w:ilvl w:val="0"/>
          <w:numId w:val="1"/>
        </w:numPr>
        <w:spacing w:after="120" w:line="276" w:lineRule="auto"/>
        <w:ind w:left="425" w:hanging="425"/>
        <w:jc w:val="both"/>
        <w:rPr>
          <w:rFonts w:ascii="Verdana" w:eastAsia="Calibri" w:hAnsi="Verdana" w:cs="Arial"/>
          <w:lang w:val="es-MX"/>
        </w:rPr>
      </w:pPr>
      <w:r w:rsidRPr="00AB11C1">
        <w:rPr>
          <w:rFonts w:ascii="Verdana" w:eastAsia="Century Gothic" w:hAnsi="Verdana" w:cs="Century Gothic"/>
          <w:b/>
          <w:bCs/>
        </w:rPr>
        <w:t>Referencias normativas, jurisprudenciales y otras fuentes:</w:t>
      </w:r>
    </w:p>
    <w:p w14:paraId="1903D70E" w14:textId="77777777" w:rsidR="00047218" w:rsidRPr="005821E0" w:rsidRDefault="00047218" w:rsidP="00047218">
      <w:pPr>
        <w:pStyle w:val="Prrafodelista"/>
        <w:spacing w:after="120" w:line="276" w:lineRule="auto"/>
        <w:ind w:left="425"/>
        <w:jc w:val="both"/>
        <w:rPr>
          <w:rFonts w:ascii="Verdana" w:eastAsia="Calibri" w:hAnsi="Verdana" w:cs="Arial"/>
          <w:lang w:val="es-MX"/>
        </w:rPr>
      </w:pPr>
    </w:p>
    <w:p w14:paraId="435DF92C" w14:textId="77777777" w:rsidR="00047218" w:rsidRPr="00F92065" w:rsidRDefault="00047218" w:rsidP="00047218">
      <w:pPr>
        <w:pStyle w:val="Prrafodelista"/>
        <w:numPr>
          <w:ilvl w:val="0"/>
          <w:numId w:val="8"/>
        </w:numPr>
        <w:spacing w:after="120"/>
        <w:ind w:left="647"/>
        <w:jc w:val="both"/>
        <w:rPr>
          <w:rFonts w:ascii="Verdana" w:hAnsi="Verdana"/>
        </w:rPr>
      </w:pPr>
      <w:r>
        <w:rPr>
          <w:rFonts w:ascii="Verdana" w:hAnsi="Verdana"/>
        </w:rPr>
        <w:t>A</w:t>
      </w:r>
      <w:r w:rsidRPr="005821E0">
        <w:rPr>
          <w:rFonts w:ascii="Verdana" w:hAnsi="Verdana"/>
        </w:rPr>
        <w:t>rtículo 209</w:t>
      </w:r>
      <w:r>
        <w:rPr>
          <w:rFonts w:ascii="Verdana" w:hAnsi="Verdana"/>
        </w:rPr>
        <w:t xml:space="preserve"> </w:t>
      </w:r>
      <w:r w:rsidRPr="005821E0">
        <w:rPr>
          <w:rFonts w:ascii="Verdana" w:hAnsi="Verdana"/>
        </w:rPr>
        <w:t>Constitución Política</w:t>
      </w:r>
      <w:r>
        <w:rPr>
          <w:rFonts w:ascii="Verdana" w:hAnsi="Verdana"/>
        </w:rPr>
        <w:t xml:space="preserve">. Disponible en: </w:t>
      </w:r>
      <w:hyperlink r:id="rId13" w:history="1">
        <w:r w:rsidRPr="0079147C">
          <w:rPr>
            <w:rStyle w:val="Hipervnculo"/>
            <w:rFonts w:ascii="Verdana" w:hAnsi="Verdana"/>
          </w:rPr>
          <w:t>https://relatoria.colombiacompra.gov.co/normativa/constitucion-politica-de-colombia/</w:t>
        </w:r>
      </w:hyperlink>
      <w:r>
        <w:rPr>
          <w:rFonts w:ascii="Verdana" w:hAnsi="Verdana"/>
        </w:rPr>
        <w:t xml:space="preserve"> </w:t>
      </w:r>
    </w:p>
    <w:p w14:paraId="072CD299" w14:textId="77777777" w:rsidR="00047218" w:rsidRDefault="00047218" w:rsidP="00047218">
      <w:pPr>
        <w:pStyle w:val="Prrafodelista"/>
        <w:spacing w:after="120"/>
        <w:ind w:left="647"/>
        <w:jc w:val="both"/>
        <w:rPr>
          <w:rFonts w:ascii="Verdana" w:hAnsi="Verdana"/>
        </w:rPr>
      </w:pPr>
    </w:p>
    <w:p w14:paraId="5D97E13E" w14:textId="77777777" w:rsidR="00047218" w:rsidRDefault="00047218" w:rsidP="00047218">
      <w:pPr>
        <w:pStyle w:val="Prrafodelista"/>
        <w:numPr>
          <w:ilvl w:val="0"/>
          <w:numId w:val="8"/>
        </w:numPr>
        <w:spacing w:after="120"/>
        <w:ind w:left="647"/>
        <w:jc w:val="both"/>
        <w:rPr>
          <w:rFonts w:ascii="Verdana" w:hAnsi="Verdana"/>
        </w:rPr>
      </w:pPr>
      <w:r w:rsidRPr="00CB12B4">
        <w:rPr>
          <w:rFonts w:ascii="Verdana" w:hAnsi="Verdana"/>
        </w:rPr>
        <w:t xml:space="preserve">Numeral 6.1 del artículo 6 de la Ley 1150 de 2007. Disponible en: </w:t>
      </w:r>
      <w:hyperlink r:id="rId14" w:history="1">
        <w:r w:rsidRPr="00CB12B4">
          <w:rPr>
            <w:rStyle w:val="Hipervnculo"/>
            <w:rFonts w:ascii="Verdana" w:eastAsia="Calibri" w:hAnsi="Verdana" w:cs="Arial"/>
          </w:rPr>
          <w:t>https://relatoria.colombiacompra.gov.co/normativa/ley-1150-de-2007/</w:t>
        </w:r>
      </w:hyperlink>
      <w:r w:rsidRPr="00CB12B4">
        <w:rPr>
          <w:rFonts w:ascii="Verdana" w:hAnsi="Verdana"/>
        </w:rPr>
        <w:t xml:space="preserve"> </w:t>
      </w:r>
    </w:p>
    <w:p w14:paraId="26A8E111" w14:textId="77777777" w:rsidR="00047218" w:rsidRPr="00CB12B4" w:rsidRDefault="00047218" w:rsidP="00047218">
      <w:pPr>
        <w:pStyle w:val="Prrafodelista"/>
        <w:spacing w:after="120"/>
        <w:ind w:left="647"/>
        <w:jc w:val="both"/>
        <w:rPr>
          <w:rFonts w:ascii="Verdana" w:hAnsi="Verdana"/>
        </w:rPr>
      </w:pPr>
    </w:p>
    <w:p w14:paraId="37CEFEFA" w14:textId="77777777" w:rsidR="00047218" w:rsidRPr="00CB12B4" w:rsidRDefault="00047218" w:rsidP="00047218">
      <w:pPr>
        <w:pStyle w:val="Prrafodelista"/>
        <w:numPr>
          <w:ilvl w:val="0"/>
          <w:numId w:val="8"/>
        </w:numPr>
        <w:spacing w:after="120"/>
        <w:ind w:left="647"/>
        <w:jc w:val="both"/>
        <w:rPr>
          <w:rFonts w:ascii="Verdana" w:hAnsi="Verdana"/>
        </w:rPr>
      </w:pPr>
      <w:r w:rsidRPr="00CB12B4">
        <w:rPr>
          <w:rFonts w:ascii="Verdana" w:hAnsi="Verdana"/>
        </w:rPr>
        <w:t xml:space="preserve">Numeral 2º del artículo 3º de la Ley 1437 de 2011. Disponible en:  </w:t>
      </w:r>
      <w:hyperlink r:id="rId15" w:history="1">
        <w:r w:rsidRPr="00CB12B4">
          <w:rPr>
            <w:rStyle w:val="Hipervnculo"/>
            <w:rFonts w:ascii="Verdana" w:eastAsia="Calibri" w:hAnsi="Verdana" w:cs="Arial"/>
          </w:rPr>
          <w:t>https://relatoria.colombiacompra.gov.co/normativa/ley-1437-de-2011/</w:t>
        </w:r>
      </w:hyperlink>
      <w:r w:rsidRPr="00CB12B4">
        <w:rPr>
          <w:rFonts w:ascii="Verdana" w:hAnsi="Verdana"/>
        </w:rPr>
        <w:t xml:space="preserve">   </w:t>
      </w:r>
    </w:p>
    <w:p w14:paraId="1B188055" w14:textId="77777777" w:rsidR="00047218" w:rsidRDefault="00047218" w:rsidP="00047218">
      <w:pPr>
        <w:pStyle w:val="Prrafodelista"/>
        <w:spacing w:after="120"/>
        <w:ind w:left="647"/>
        <w:jc w:val="both"/>
        <w:rPr>
          <w:rFonts w:ascii="Verdana" w:hAnsi="Verdana"/>
        </w:rPr>
      </w:pPr>
    </w:p>
    <w:p w14:paraId="1600099C" w14:textId="77777777" w:rsidR="00047218" w:rsidRPr="00CB12B4" w:rsidRDefault="00047218" w:rsidP="00047218">
      <w:pPr>
        <w:pStyle w:val="Prrafodelista"/>
        <w:numPr>
          <w:ilvl w:val="0"/>
          <w:numId w:val="8"/>
        </w:numPr>
        <w:spacing w:after="120"/>
        <w:ind w:left="647"/>
        <w:jc w:val="both"/>
        <w:rPr>
          <w:rFonts w:ascii="Verdana" w:hAnsi="Verdana"/>
        </w:rPr>
      </w:pPr>
      <w:r w:rsidRPr="00CB12B4">
        <w:rPr>
          <w:rFonts w:ascii="Verdana" w:hAnsi="Verdana"/>
        </w:rPr>
        <w:t xml:space="preserve">Artículo 13 y 209 de la Constitución Política. Disponible en:  </w:t>
      </w:r>
      <w:hyperlink r:id="rId16" w:history="1">
        <w:r w:rsidRPr="00CB12B4">
          <w:rPr>
            <w:rStyle w:val="Hipervnculo"/>
            <w:rFonts w:ascii="Verdana" w:eastAsia="Calibri" w:hAnsi="Verdana" w:cs="Arial"/>
          </w:rPr>
          <w:t>https://relatoria.colombiacompra.gov.co/normativa/constitucion-politica-de-colombia/</w:t>
        </w:r>
      </w:hyperlink>
    </w:p>
    <w:p w14:paraId="1A7D5926" w14:textId="77777777" w:rsidR="00047218" w:rsidRPr="005821E0" w:rsidRDefault="00047218" w:rsidP="00047218">
      <w:pPr>
        <w:pStyle w:val="Prrafodelista"/>
        <w:spacing w:after="120"/>
        <w:ind w:left="647"/>
        <w:jc w:val="both"/>
        <w:rPr>
          <w:rFonts w:ascii="Verdana" w:hAnsi="Verdana"/>
        </w:rPr>
      </w:pPr>
    </w:p>
    <w:p w14:paraId="55D1D87A" w14:textId="77777777" w:rsidR="00047218" w:rsidRPr="00F92065" w:rsidRDefault="00047218" w:rsidP="00047218">
      <w:pPr>
        <w:pStyle w:val="Prrafodelista"/>
        <w:numPr>
          <w:ilvl w:val="0"/>
          <w:numId w:val="8"/>
        </w:numPr>
        <w:spacing w:after="120"/>
        <w:ind w:left="647"/>
        <w:jc w:val="both"/>
        <w:rPr>
          <w:rStyle w:val="Hipervnculo"/>
          <w:rFonts w:ascii="Verdana" w:hAnsi="Verdana"/>
        </w:rPr>
      </w:pPr>
      <w:r>
        <w:rPr>
          <w:rFonts w:ascii="Verdana" w:hAnsi="Verdana"/>
        </w:rPr>
        <w:t>A</w:t>
      </w:r>
      <w:r w:rsidRPr="005821E0">
        <w:rPr>
          <w:rFonts w:ascii="Verdana" w:hAnsi="Verdana"/>
        </w:rPr>
        <w:t xml:space="preserve">rtículo 2.2.1.1.1.5.2 del Decreto 1082 de 2015. Disponible en: </w:t>
      </w:r>
      <w:hyperlink r:id="rId17" w:history="1">
        <w:r w:rsidRPr="00CB12B4">
          <w:rPr>
            <w:rStyle w:val="Hipervnculo"/>
            <w:rFonts w:ascii="Verdana" w:eastAsia="Calibri" w:hAnsi="Verdana" w:cs="Arial"/>
          </w:rPr>
          <w:t>https://relatoria.colombiacompra.gov.co/normativa/decreto-1082-de-2015/</w:t>
        </w:r>
      </w:hyperlink>
    </w:p>
    <w:p w14:paraId="6E6A99B5" w14:textId="77777777" w:rsidR="00047218" w:rsidRPr="00F92065" w:rsidRDefault="00047218" w:rsidP="00047218">
      <w:pPr>
        <w:pStyle w:val="Prrafodelista"/>
        <w:rPr>
          <w:rFonts w:ascii="Verdana" w:hAnsi="Verdana"/>
        </w:rPr>
      </w:pPr>
    </w:p>
    <w:p w14:paraId="0A97A959" w14:textId="77777777" w:rsidR="00047218" w:rsidRPr="005821E0" w:rsidRDefault="00047218" w:rsidP="00047218">
      <w:pPr>
        <w:pStyle w:val="Prrafodelista"/>
        <w:numPr>
          <w:ilvl w:val="0"/>
          <w:numId w:val="8"/>
        </w:numPr>
        <w:spacing w:after="120"/>
        <w:ind w:left="647"/>
        <w:jc w:val="both"/>
        <w:rPr>
          <w:rFonts w:ascii="Verdana" w:hAnsi="Verdana"/>
        </w:rPr>
      </w:pPr>
      <w:r>
        <w:rPr>
          <w:rFonts w:ascii="Verdana" w:hAnsi="Verdana"/>
        </w:rPr>
        <w:t xml:space="preserve">Artículo 27 del Código Civil. Disponible en:  </w:t>
      </w:r>
      <w:hyperlink r:id="rId18" w:history="1">
        <w:r w:rsidRPr="0079147C">
          <w:rPr>
            <w:rStyle w:val="Hipervnculo"/>
            <w:rFonts w:ascii="Verdana" w:hAnsi="Verdana"/>
          </w:rPr>
          <w:t>https://relatoria.colombiacompra.gov.co/normativa/codigo-civil-ley-84-de-1873/</w:t>
        </w:r>
      </w:hyperlink>
      <w:r>
        <w:rPr>
          <w:rFonts w:ascii="Verdana" w:hAnsi="Verdana"/>
        </w:rPr>
        <w:t xml:space="preserve"> </w:t>
      </w:r>
    </w:p>
    <w:p w14:paraId="774860B8" w14:textId="77777777" w:rsidR="00047218" w:rsidRPr="00CB12B4" w:rsidRDefault="00047218" w:rsidP="00047218">
      <w:pPr>
        <w:pStyle w:val="Prrafodelista"/>
        <w:spacing w:after="120"/>
        <w:ind w:left="647"/>
        <w:jc w:val="both"/>
        <w:rPr>
          <w:rFonts w:ascii="Verdana" w:hAnsi="Verdana"/>
        </w:rPr>
      </w:pPr>
    </w:p>
    <w:p w14:paraId="2EB36530" w14:textId="77777777" w:rsidR="00047218" w:rsidRDefault="00047218" w:rsidP="00047218">
      <w:pPr>
        <w:pStyle w:val="Prrafodelista"/>
        <w:numPr>
          <w:ilvl w:val="0"/>
          <w:numId w:val="8"/>
        </w:numPr>
        <w:spacing w:after="120"/>
        <w:ind w:left="647"/>
        <w:jc w:val="both"/>
        <w:rPr>
          <w:rFonts w:ascii="Verdana" w:hAnsi="Verdana"/>
        </w:rPr>
      </w:pPr>
      <w:r w:rsidRPr="00CB12B4">
        <w:rPr>
          <w:rFonts w:ascii="Verdana" w:hAnsi="Verdana"/>
        </w:rPr>
        <w:t xml:space="preserve">Jurisprudencia del Consejo de Estado </w:t>
      </w:r>
    </w:p>
    <w:p w14:paraId="333D9D1C" w14:textId="77777777" w:rsidR="00047218" w:rsidRPr="00F92065" w:rsidRDefault="00047218" w:rsidP="00047218">
      <w:pPr>
        <w:pStyle w:val="Prrafodelista"/>
        <w:rPr>
          <w:rFonts w:ascii="Verdana" w:hAnsi="Verdana"/>
        </w:rPr>
      </w:pPr>
    </w:p>
    <w:p w14:paraId="5DC0F743" w14:textId="77777777" w:rsidR="00047218" w:rsidRDefault="00047218" w:rsidP="00047218">
      <w:pPr>
        <w:pStyle w:val="Prrafodelista"/>
        <w:spacing w:after="120"/>
        <w:ind w:left="647"/>
        <w:jc w:val="both"/>
        <w:rPr>
          <w:rFonts w:ascii="Verdana" w:hAnsi="Verdana"/>
        </w:rPr>
      </w:pPr>
      <w:r w:rsidRPr="00CB12B4">
        <w:rPr>
          <w:rFonts w:ascii="Verdana" w:hAnsi="Verdana"/>
        </w:rPr>
        <w:t xml:space="preserve">Sección Tercera, Sentencia del 19 de julio de 2001, Exp. 12.037, C.P. Alier Eduardo Hernández Enríquez. </w:t>
      </w:r>
    </w:p>
    <w:p w14:paraId="4EDAB91A" w14:textId="77777777" w:rsidR="00047218" w:rsidRPr="00F92065" w:rsidRDefault="00047218" w:rsidP="00047218">
      <w:pPr>
        <w:pStyle w:val="Prrafodelista"/>
        <w:rPr>
          <w:rFonts w:ascii="Verdana" w:hAnsi="Verdana"/>
        </w:rPr>
      </w:pPr>
    </w:p>
    <w:p w14:paraId="37FC0CA3" w14:textId="77777777" w:rsidR="00047218" w:rsidRDefault="00047218" w:rsidP="00047218">
      <w:pPr>
        <w:pStyle w:val="Prrafodelista"/>
        <w:spacing w:after="120"/>
        <w:ind w:left="647"/>
        <w:jc w:val="both"/>
        <w:rPr>
          <w:rFonts w:ascii="Verdana" w:hAnsi="Verdana"/>
        </w:rPr>
      </w:pPr>
      <w:r w:rsidRPr="0047173C">
        <w:rPr>
          <w:rFonts w:ascii="Verdana" w:hAnsi="Verdana"/>
        </w:rPr>
        <w:t xml:space="preserve">Consejo de Estado, Sala de lo Contencioso Administrativo, Sección Quinta, C.P. Rocío Araújo Oñate, radicado 25000-23-24-000-2009-00348-01 </w:t>
      </w:r>
      <w:r w:rsidRPr="00CB12B4">
        <w:rPr>
          <w:rFonts w:ascii="Verdana" w:hAnsi="Verdana"/>
        </w:rPr>
        <w:t xml:space="preserve">Disponible en: </w:t>
      </w:r>
      <w:hyperlink r:id="rId19" w:history="1">
        <w:r w:rsidRPr="00CB12B4">
          <w:rPr>
            <w:rStyle w:val="Hipervnculo"/>
            <w:rFonts w:ascii="Verdana" w:eastAsia="Calibri" w:hAnsi="Verdana" w:cs="Arial"/>
          </w:rPr>
          <w:t>https://relatoria.colombiacompra.gov.co/providencias-consejo-de-estado/</w:t>
        </w:r>
      </w:hyperlink>
      <w:r w:rsidRPr="00CB12B4">
        <w:rPr>
          <w:rFonts w:ascii="Verdana" w:hAnsi="Verdana"/>
        </w:rPr>
        <w:t xml:space="preserve">  </w:t>
      </w:r>
    </w:p>
    <w:p w14:paraId="5B7D9C29" w14:textId="77777777" w:rsidR="00047218" w:rsidRPr="00CB12B4" w:rsidRDefault="00047218" w:rsidP="00047218">
      <w:pPr>
        <w:pStyle w:val="Prrafodelista"/>
        <w:spacing w:after="120"/>
        <w:ind w:left="647"/>
        <w:jc w:val="both"/>
        <w:rPr>
          <w:rFonts w:ascii="Verdana" w:hAnsi="Verdana"/>
        </w:rPr>
      </w:pPr>
    </w:p>
    <w:p w14:paraId="7CDCADA7" w14:textId="77777777" w:rsidR="00047218" w:rsidRDefault="00047218" w:rsidP="00047218">
      <w:pPr>
        <w:pStyle w:val="Prrafodelista"/>
        <w:numPr>
          <w:ilvl w:val="0"/>
          <w:numId w:val="8"/>
        </w:numPr>
        <w:spacing w:after="120"/>
        <w:ind w:left="647"/>
        <w:jc w:val="both"/>
        <w:rPr>
          <w:rFonts w:ascii="Verdana" w:hAnsi="Verdana"/>
        </w:rPr>
      </w:pPr>
      <w:r w:rsidRPr="005821E0">
        <w:rPr>
          <w:rFonts w:ascii="Verdana" w:hAnsi="Verdana"/>
        </w:rPr>
        <w:t xml:space="preserve">Jurisprudencia </w:t>
      </w:r>
      <w:r>
        <w:rPr>
          <w:rFonts w:ascii="Verdana" w:hAnsi="Verdana"/>
        </w:rPr>
        <w:t xml:space="preserve">de la </w:t>
      </w:r>
      <w:r w:rsidRPr="00CB12B4">
        <w:rPr>
          <w:rFonts w:ascii="Verdana" w:hAnsi="Verdana"/>
        </w:rPr>
        <w:t xml:space="preserve">Corte Constitucional </w:t>
      </w:r>
    </w:p>
    <w:p w14:paraId="38FEDAED" w14:textId="77777777" w:rsidR="00047218" w:rsidRDefault="00047218" w:rsidP="00047218">
      <w:pPr>
        <w:pStyle w:val="Prrafodelista"/>
        <w:spacing w:after="120"/>
        <w:ind w:left="647"/>
        <w:jc w:val="both"/>
        <w:rPr>
          <w:rFonts w:ascii="Verdana" w:hAnsi="Verdana"/>
        </w:rPr>
      </w:pPr>
    </w:p>
    <w:p w14:paraId="2421884C" w14:textId="77777777" w:rsidR="00047218" w:rsidRPr="00CB12B4" w:rsidRDefault="00047218" w:rsidP="00047218">
      <w:pPr>
        <w:pStyle w:val="Prrafodelista"/>
        <w:spacing w:after="120"/>
        <w:ind w:left="647"/>
        <w:jc w:val="both"/>
        <w:rPr>
          <w:rFonts w:ascii="Verdana" w:hAnsi="Verdana"/>
        </w:rPr>
      </w:pPr>
      <w:r w:rsidRPr="00CB12B4">
        <w:rPr>
          <w:rFonts w:ascii="Verdana" w:hAnsi="Verdana"/>
        </w:rPr>
        <w:t>sentencia C-811 de 2014, M.P. Mauricio González Cuervo</w:t>
      </w:r>
    </w:p>
    <w:p w14:paraId="3576890D" w14:textId="77777777" w:rsidR="00047218" w:rsidRDefault="00047218" w:rsidP="00047218">
      <w:pPr>
        <w:pStyle w:val="Prrafodelista"/>
        <w:spacing w:after="120"/>
        <w:ind w:left="647"/>
        <w:jc w:val="both"/>
        <w:rPr>
          <w:rFonts w:ascii="Verdana" w:hAnsi="Verdana"/>
        </w:rPr>
      </w:pPr>
    </w:p>
    <w:p w14:paraId="1F748F77" w14:textId="77777777" w:rsidR="00047218" w:rsidRPr="00F92065" w:rsidRDefault="00047218" w:rsidP="00047218">
      <w:pPr>
        <w:pStyle w:val="Prrafodelista"/>
        <w:spacing w:after="120"/>
        <w:ind w:left="647"/>
        <w:jc w:val="both"/>
        <w:rPr>
          <w:rFonts w:ascii="Verdana" w:hAnsi="Verdana"/>
        </w:rPr>
      </w:pPr>
      <w:r w:rsidRPr="00F92065">
        <w:rPr>
          <w:rFonts w:ascii="Verdana" w:hAnsi="Verdana"/>
        </w:rPr>
        <w:t>sentencia C-804 de 2006, M.P. Humberto Antonio Sierra Porto</w:t>
      </w:r>
      <w:r>
        <w:rPr>
          <w:rFonts w:ascii="Verdana" w:hAnsi="Verdana"/>
        </w:rPr>
        <w:t xml:space="preserve">. </w:t>
      </w:r>
    </w:p>
    <w:p w14:paraId="55B0969B" w14:textId="77777777" w:rsidR="00047218" w:rsidRPr="00F92065" w:rsidRDefault="00047218" w:rsidP="00047218">
      <w:pPr>
        <w:pStyle w:val="Prrafodelista"/>
        <w:rPr>
          <w:rFonts w:ascii="Verdana" w:hAnsi="Verdana"/>
        </w:rPr>
      </w:pPr>
    </w:p>
    <w:p w14:paraId="728E91FF" w14:textId="77777777" w:rsidR="00047218" w:rsidRPr="005821E0" w:rsidRDefault="00047218" w:rsidP="00047218">
      <w:pPr>
        <w:pStyle w:val="Prrafodelista"/>
        <w:numPr>
          <w:ilvl w:val="0"/>
          <w:numId w:val="8"/>
        </w:numPr>
        <w:spacing w:after="120"/>
        <w:ind w:left="647"/>
        <w:jc w:val="both"/>
        <w:rPr>
          <w:rFonts w:ascii="Verdana" w:hAnsi="Verdana"/>
        </w:rPr>
      </w:pPr>
      <w:r w:rsidRPr="0047173C">
        <w:rPr>
          <w:rFonts w:ascii="Verdana" w:hAnsi="Verdana"/>
        </w:rPr>
        <w:t>Manual para determinar y verificar requisitos habilitantes en los Procesos de Contratación</w:t>
      </w:r>
      <w:r>
        <w:rPr>
          <w:rFonts w:ascii="Verdana" w:hAnsi="Verdana"/>
        </w:rPr>
        <w:t xml:space="preserve">. Disponible en: </w:t>
      </w:r>
      <w:hyperlink r:id="rId20" w:history="1">
        <w:r w:rsidRPr="0079147C">
          <w:rPr>
            <w:rStyle w:val="Hipervnculo"/>
            <w:rFonts w:ascii="Verdana" w:hAnsi="Verdana"/>
          </w:rPr>
          <w:t>https://www.colombiacompra.gov.co/sites/cce_public/files/cce_documents/cce-eicp-ma-04._manual_requisitos_habilitantes_v3_29-09-2023.pdf</w:t>
        </w:r>
      </w:hyperlink>
      <w:r>
        <w:rPr>
          <w:rFonts w:ascii="Verdana" w:hAnsi="Verdana"/>
        </w:rPr>
        <w:t xml:space="preserve"> </w:t>
      </w:r>
    </w:p>
    <w:p w14:paraId="6283CDBC" w14:textId="77777777" w:rsidR="00047218" w:rsidRPr="005821E0" w:rsidRDefault="00047218" w:rsidP="00047218">
      <w:pPr>
        <w:spacing w:after="120"/>
        <w:jc w:val="both"/>
        <w:rPr>
          <w:rFonts w:ascii="Verdana" w:hAnsi="Verdana" w:cs="Arial"/>
          <w:noProof/>
          <w:lang w:val="es-ES"/>
        </w:rPr>
      </w:pPr>
    </w:p>
    <w:p w14:paraId="757886ED" w14:textId="77777777" w:rsidR="00047218" w:rsidRPr="00AB11C1" w:rsidRDefault="00047218" w:rsidP="00047218">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B11C1">
        <w:rPr>
          <w:rFonts w:ascii="Verdana" w:eastAsia="Century Gothic" w:hAnsi="Verdana" w:cs="Century Gothic"/>
          <w:b/>
          <w:bCs/>
        </w:rPr>
        <w:t>Doctrina de la Agencia Nacional de Contratación Pública:</w:t>
      </w:r>
    </w:p>
    <w:p w14:paraId="2BDD25F0" w14:textId="77777777" w:rsidR="00047218" w:rsidRDefault="00047218" w:rsidP="00047218">
      <w:pPr>
        <w:pStyle w:val="Textonotapie"/>
        <w:spacing w:after="120"/>
        <w:jc w:val="both"/>
        <w:rPr>
          <w:rFonts w:ascii="Verdana" w:eastAsia="Calibri" w:hAnsi="Verdana" w:cs="Arial"/>
          <w:sz w:val="22"/>
          <w:szCs w:val="22"/>
          <w:lang w:val="es-ES" w:eastAsia="es-ES"/>
        </w:rPr>
      </w:pPr>
    </w:p>
    <w:p w14:paraId="5E053B22" w14:textId="77777777" w:rsidR="00047218" w:rsidRPr="00AB11C1" w:rsidRDefault="00047218" w:rsidP="00047218">
      <w:pPr>
        <w:pStyle w:val="Textonotapie"/>
        <w:spacing w:line="276" w:lineRule="auto"/>
        <w:jc w:val="both"/>
        <w:rPr>
          <w:rFonts w:ascii="Verdana" w:hAnsi="Verdana" w:cs="Arial"/>
          <w:sz w:val="22"/>
          <w:szCs w:val="22"/>
          <w:shd w:val="clear" w:color="auto" w:fill="E6E6E6"/>
        </w:rPr>
      </w:pPr>
      <w:r w:rsidRPr="007827FD">
        <w:rPr>
          <w:rFonts w:ascii="Verdana" w:eastAsia="Calibri" w:hAnsi="Verdana" w:cs="Arial"/>
          <w:sz w:val="22"/>
          <w:szCs w:val="22"/>
          <w:lang w:val="es-ES" w:eastAsia="es-ES"/>
        </w:rPr>
        <w:t xml:space="preserve">Sobre </w:t>
      </w:r>
      <w:r w:rsidRPr="007827FD">
        <w:rPr>
          <w:rFonts w:ascii="Verdana" w:eastAsia="Calibri" w:hAnsi="Verdana" w:cs="Arial"/>
          <w:color w:val="000000" w:themeColor="text1"/>
          <w:sz w:val="22"/>
          <w:szCs w:val="22"/>
          <w:lang w:val="es-ES"/>
        </w:rPr>
        <w:t xml:space="preserve">la </w:t>
      </w:r>
      <w:r w:rsidRPr="007827FD">
        <w:rPr>
          <w:rFonts w:ascii="Verdana" w:hAnsi="Verdana" w:cs="Arial"/>
          <w:color w:val="000000" w:themeColor="text1"/>
          <w:sz w:val="22"/>
          <w:szCs w:val="22"/>
          <w:lang w:val="es-ES_tradnl"/>
        </w:rPr>
        <w:t>acreditación de experiencia de socios por parte de sociedades con menos de tres años de constitución</w:t>
      </w:r>
      <w:r w:rsidRPr="007827FD">
        <w:rPr>
          <w:rFonts w:ascii="Verdana" w:eastAsia="Calibri" w:hAnsi="Verdana" w:cs="Arial"/>
          <w:color w:val="000000"/>
          <w:sz w:val="22"/>
          <w:szCs w:val="22"/>
          <w:lang w:val="es-ES_tradnl"/>
        </w:rPr>
        <w:t xml:space="preserve">, </w:t>
      </w:r>
      <w:r w:rsidRPr="007827FD">
        <w:rPr>
          <w:rStyle w:val="normaltextrun"/>
          <w:rFonts w:ascii="Verdana" w:hAnsi="Verdana" w:cs="Arial"/>
          <w:sz w:val="22"/>
          <w:szCs w:val="22"/>
          <w:shd w:val="clear" w:color="auto" w:fill="FFFFFF"/>
          <w:lang w:val="es-ES"/>
        </w:rPr>
        <w:t xml:space="preserve">se pronunció esta Subdirección </w:t>
      </w:r>
      <w:r w:rsidRPr="007827FD">
        <w:rPr>
          <w:rFonts w:ascii="Verdana" w:eastAsia="Calibri" w:hAnsi="Verdana" w:cs="Arial"/>
          <w:sz w:val="22"/>
          <w:szCs w:val="22"/>
          <w:lang w:val="es-ES"/>
        </w:rPr>
        <w:t xml:space="preserve">en los conceptos </w:t>
      </w:r>
      <w:r w:rsidRPr="007827FD">
        <w:rPr>
          <w:rFonts w:ascii="Verdana" w:eastAsia="Calibri" w:hAnsi="Verdana" w:cs="Arial"/>
          <w:color w:val="000000" w:themeColor="text1"/>
          <w:sz w:val="22"/>
          <w:szCs w:val="22"/>
          <w:lang w:val="es-ES"/>
        </w:rPr>
        <w:t xml:space="preserve">4201913000006797 del 19 de noviembre de 2019, </w:t>
      </w:r>
      <w:r w:rsidRPr="007827FD">
        <w:rPr>
          <w:rFonts w:ascii="Verdana" w:eastAsia="Calibri" w:hAnsi="Verdana" w:cs="Arial"/>
          <w:color w:val="000000" w:themeColor="text1"/>
          <w:sz w:val="22"/>
          <w:szCs w:val="22"/>
        </w:rPr>
        <w:t>C-025 del 16 de marzo de 2020, C-051 del 2 de marzo de 2020, C-113 del 25 de marzo de 2020, C-165 del 1 de abril de 2020, C-233 del 16 de abril de 2020, C-350 del 1° de junio de 2020, C-407 de 12 de junio de 2020, C-398 de 30 de junio de 2020, C-470 del 14 de julio de 2020 C-584 de 31 de agosto 2020, C-619 de 21 de septiembre 2020, C-662 del 9 de noviembre de 2020, C-710 del 9 de diciembre de 2020, C-717 del 10 de diciembre de 2020, C-729 del del 11 de diciembre de 2020, C-008 del 15 de febrero de 2021, C-103 del 24 de marzo de 2021, C-230 del 25 de mayo de 2021, C-316 del 29 de junio de 2021, C-318 del 29 de junio de 2021, C-474 del 6 de septiembre de 2021, C-589 del 19 de octubre de 2021, C-608 del 29 de octubre de 2021, C-696 del 31 de diciembre de 2021, C-725 del 25 de enero de 2022, C-034 del 2 de marzo de 2022, C-144 del 1° de abril de 2022, C-239 del 26 de julio de 2022, C-324 del 19 de mayo de 2022, C-447 del 19 de julio de 2022, C-456 del 15 de julio de 2022, C-592 del 20 de septiembre de 2022, C-623 del 29 de septiembre de 2022, C-837 del 6 de diciembre de 2022, C-841 del 6 de diciembre de 2022, C-929 del 30 de diciembre de 2022</w:t>
      </w:r>
      <w:r w:rsidRPr="007827FD">
        <w:rPr>
          <w:rFonts w:ascii="Verdana" w:eastAsia="Calibri" w:hAnsi="Verdana" w:cs="Arial"/>
          <w:color w:val="000000" w:themeColor="text1"/>
          <w:sz w:val="22"/>
          <w:szCs w:val="22"/>
          <w:lang w:val="es-ES"/>
        </w:rPr>
        <w:t>, C-128 del 18 de mayo de 2023, C-450 del 3 de noviembre de 2023</w:t>
      </w:r>
      <w:r>
        <w:rPr>
          <w:rFonts w:ascii="Verdana" w:eastAsia="Calibri" w:hAnsi="Verdana" w:cs="Arial"/>
          <w:color w:val="000000" w:themeColor="text1"/>
          <w:sz w:val="22"/>
          <w:szCs w:val="22"/>
          <w:lang w:val="es-ES"/>
        </w:rPr>
        <w:t xml:space="preserve"> y</w:t>
      </w:r>
      <w:r w:rsidRPr="007827FD">
        <w:rPr>
          <w:rFonts w:ascii="Verdana" w:eastAsia="Calibri" w:hAnsi="Verdana" w:cs="Arial"/>
          <w:color w:val="000000" w:themeColor="text1"/>
          <w:sz w:val="22"/>
          <w:szCs w:val="22"/>
          <w:lang w:val="es-ES"/>
        </w:rPr>
        <w:t xml:space="preserve"> C-088 del 13 de junio de 2024</w:t>
      </w:r>
      <w:r>
        <w:rPr>
          <w:rFonts w:ascii="Verdana" w:hAnsi="Verdana"/>
          <w:color w:val="000000"/>
          <w:sz w:val="22"/>
          <w:szCs w:val="22"/>
          <w:shd w:val="clear" w:color="auto" w:fill="FFFFFF"/>
        </w:rPr>
        <w:t xml:space="preserve">. </w:t>
      </w:r>
      <w:r w:rsidRPr="007827FD">
        <w:rPr>
          <w:rFonts w:ascii="Verdana" w:hAnsi="Verdana"/>
          <w:color w:val="000000"/>
          <w:sz w:val="22"/>
          <w:szCs w:val="22"/>
          <w:shd w:val="clear" w:color="auto" w:fill="FFFFFF"/>
        </w:rPr>
        <w:t xml:space="preserve">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w:t>
      </w:r>
      <w:r w:rsidRPr="007827FD">
        <w:rPr>
          <w:rFonts w:ascii="Verdana" w:hAnsi="Verdana"/>
          <w:color w:val="000000"/>
          <w:sz w:val="22"/>
          <w:szCs w:val="22"/>
          <w:shd w:val="clear" w:color="auto" w:fill="FFFFFF"/>
        </w:rPr>
        <w:lastRenderedPageBreak/>
        <w:t>Accede a través del siguiente enlace: </w:t>
      </w:r>
      <w:hyperlink r:id="rId21" w:tgtFrame="_blank" w:tooltip="Dirección URL original: https://relatoria.colombiacompra.gov.co/. Haga clic o pulse si confía en este vínculo." w:history="1">
        <w:r w:rsidRPr="007827FD">
          <w:rPr>
            <w:rStyle w:val="Hipervnculo"/>
            <w:rFonts w:ascii="Verdana" w:hAnsi="Verdana"/>
            <w:bdr w:val="none" w:sz="0" w:space="0" w:color="auto" w:frame="1"/>
            <w:shd w:val="clear" w:color="auto" w:fill="FFFFFF"/>
          </w:rPr>
          <w:t>https://relatoria.colombiacompra.gov.co/</w:t>
        </w:r>
      </w:hyperlink>
      <w:r>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22" w:tgtFrame="_blank" w:tooltip="Dirección URL original: https://www.colombiacompra.gov.co/sites/cce_public/files/files_2020/boletin_de_realtoria_iii.pdf. Haga clic o pulse si confía en este vínculo." w:history="1">
        <w:r w:rsidRPr="007827FD">
          <w:rPr>
            <w:rStyle w:val="Hipervnculo"/>
            <w:rFonts w:ascii="Verdana" w:hAnsi="Verdana"/>
            <w:bdr w:val="none" w:sz="0" w:space="0" w:color="auto" w:frame="1"/>
            <w:shd w:val="clear" w:color="auto" w:fill="FFFFFF"/>
          </w:rPr>
          <w:t>https://www.colombiacompra.gov.co/sites/cce_public/files/files_2020/boletin_de_realtoria_iii.pdf</w:t>
        </w:r>
      </w:hyperlink>
      <w:r>
        <w:rPr>
          <w:rFonts w:ascii="Verdana" w:hAnsi="Verdana"/>
          <w:color w:val="000000"/>
          <w:sz w:val="22"/>
          <w:szCs w:val="22"/>
          <w:shd w:val="clear" w:color="auto" w:fill="FFFFFF"/>
        </w:rPr>
        <w:t> ".</w:t>
      </w:r>
    </w:p>
    <w:p w14:paraId="09BA641E" w14:textId="77777777" w:rsidR="00047218" w:rsidRPr="00EA6590" w:rsidRDefault="00047218" w:rsidP="00047218">
      <w:pPr>
        <w:spacing w:after="120" w:line="276" w:lineRule="auto"/>
        <w:jc w:val="both"/>
        <w:rPr>
          <w:rFonts w:ascii="Verdana" w:hAnsi="Verdana" w:cs="Arial"/>
        </w:rPr>
      </w:pPr>
    </w:p>
    <w:p w14:paraId="4E9F816E" w14:textId="77777777" w:rsidR="00047218" w:rsidRPr="00AB11C1" w:rsidRDefault="00047218" w:rsidP="00047218">
      <w:pPr>
        <w:spacing w:after="0" w:line="240" w:lineRule="auto"/>
        <w:jc w:val="both"/>
        <w:rPr>
          <w:rFonts w:ascii="Verdana" w:hAnsi="Verdana"/>
        </w:rPr>
      </w:pPr>
      <w:r w:rsidRPr="00AB11C1">
        <w:rPr>
          <w:rFonts w:ascii="Verdana" w:hAnsi="Verdana"/>
        </w:rPr>
        <w:t xml:space="preserve">Por último, lo invitamos a seguirnos en las redes sociales en las cuales se difunde información institucional: </w:t>
      </w:r>
    </w:p>
    <w:p w14:paraId="58352B15" w14:textId="77777777" w:rsidR="00047218" w:rsidRPr="00AB11C1" w:rsidRDefault="00047218" w:rsidP="00047218">
      <w:pPr>
        <w:spacing w:after="0" w:line="240" w:lineRule="auto"/>
        <w:jc w:val="both"/>
        <w:rPr>
          <w:rFonts w:ascii="Verdana" w:hAnsi="Verdana"/>
        </w:rPr>
      </w:pPr>
    </w:p>
    <w:p w14:paraId="0AC2A178" w14:textId="77777777" w:rsidR="00047218" w:rsidRPr="00AB11C1" w:rsidRDefault="00047218" w:rsidP="00047218">
      <w:pPr>
        <w:spacing w:after="0" w:line="240" w:lineRule="auto"/>
        <w:jc w:val="both"/>
        <w:rPr>
          <w:rFonts w:ascii="Verdana" w:hAnsi="Verdana"/>
        </w:rPr>
      </w:pPr>
      <w:r w:rsidRPr="00AB11C1">
        <w:rPr>
          <w:rFonts w:ascii="Verdana" w:hAnsi="Verdana"/>
        </w:rPr>
        <w:t xml:space="preserve">Twitter: </w:t>
      </w:r>
      <w:r w:rsidRPr="00AB11C1">
        <w:rPr>
          <w:rStyle w:val="Hipervnculo"/>
          <w:rFonts w:ascii="Verdana" w:hAnsi="Verdana"/>
          <w:color w:val="4472C4" w:themeColor="accent1"/>
        </w:rPr>
        <w:t>@colombiacompra</w:t>
      </w:r>
      <w:r w:rsidRPr="00AB11C1">
        <w:rPr>
          <w:rFonts w:ascii="Verdana" w:hAnsi="Verdana"/>
          <w:color w:val="4472C4" w:themeColor="accent1"/>
        </w:rPr>
        <w:t xml:space="preserve"> </w:t>
      </w:r>
    </w:p>
    <w:p w14:paraId="67B92E17" w14:textId="77777777" w:rsidR="00047218" w:rsidRPr="00AB11C1" w:rsidRDefault="00047218" w:rsidP="00047218">
      <w:pPr>
        <w:spacing w:after="0" w:line="240" w:lineRule="auto"/>
        <w:jc w:val="both"/>
        <w:rPr>
          <w:rFonts w:ascii="Verdana" w:hAnsi="Verdana"/>
        </w:rPr>
      </w:pPr>
      <w:r w:rsidRPr="00AB11C1">
        <w:rPr>
          <w:rFonts w:ascii="Verdana" w:hAnsi="Verdana"/>
        </w:rPr>
        <w:t xml:space="preserve">Facebook: </w:t>
      </w:r>
      <w:r w:rsidRPr="00AB11C1">
        <w:rPr>
          <w:rStyle w:val="Hipervnculo"/>
          <w:rFonts w:ascii="Verdana" w:hAnsi="Verdana"/>
          <w:color w:val="4472C4" w:themeColor="accent1"/>
        </w:rPr>
        <w:t>ColombiaCompraEficiente</w:t>
      </w:r>
    </w:p>
    <w:p w14:paraId="462A1CB8" w14:textId="77777777" w:rsidR="00047218" w:rsidRPr="00AB11C1" w:rsidRDefault="00047218" w:rsidP="00047218">
      <w:pPr>
        <w:spacing w:after="0" w:line="240" w:lineRule="auto"/>
        <w:jc w:val="both"/>
        <w:rPr>
          <w:rFonts w:ascii="Verdana" w:hAnsi="Verdana"/>
        </w:rPr>
      </w:pPr>
      <w:r w:rsidRPr="00AB11C1">
        <w:rPr>
          <w:rFonts w:ascii="Verdana" w:hAnsi="Verdana"/>
        </w:rPr>
        <w:t xml:space="preserve">LinkedIn: </w:t>
      </w:r>
      <w:r w:rsidRPr="00AB11C1">
        <w:rPr>
          <w:rStyle w:val="Hipervnculo"/>
          <w:rFonts w:ascii="Verdana" w:hAnsi="Verdana"/>
          <w:color w:val="4472C4" w:themeColor="accent1"/>
        </w:rPr>
        <w:t>Agencia Nacional de Contratación Pública - Colombia Compra Eficiente</w:t>
      </w:r>
      <w:r w:rsidRPr="00AB11C1">
        <w:rPr>
          <w:rFonts w:ascii="Verdana" w:hAnsi="Verdana"/>
          <w:color w:val="4472C4" w:themeColor="accent1"/>
        </w:rPr>
        <w:t xml:space="preserve"> </w:t>
      </w:r>
      <w:r w:rsidRPr="00AB11C1">
        <w:rPr>
          <w:rFonts w:ascii="Verdana" w:hAnsi="Verdana"/>
        </w:rPr>
        <w:t xml:space="preserve">Instagram: </w:t>
      </w:r>
      <w:r w:rsidRPr="00AB11C1">
        <w:rPr>
          <w:rStyle w:val="Hipervnculo"/>
          <w:rFonts w:ascii="Verdana" w:hAnsi="Verdana"/>
          <w:color w:val="4472C4" w:themeColor="accent1"/>
        </w:rPr>
        <w:t>@colombiacompraeficiente_cce</w:t>
      </w:r>
    </w:p>
    <w:p w14:paraId="589C9C0E" w14:textId="77777777" w:rsidR="00047218" w:rsidRPr="00AB11C1" w:rsidRDefault="00047218" w:rsidP="00047218">
      <w:pPr>
        <w:spacing w:after="120" w:line="276" w:lineRule="auto"/>
        <w:jc w:val="both"/>
        <w:rPr>
          <w:rFonts w:ascii="Verdana" w:hAnsi="Verdana" w:cs="Arial"/>
          <w:lang w:val="es-ES"/>
        </w:rPr>
      </w:pPr>
    </w:p>
    <w:p w14:paraId="0B1B9D6E" w14:textId="77777777" w:rsidR="00047218" w:rsidRPr="00AB11C1" w:rsidRDefault="00047218" w:rsidP="00047218">
      <w:pPr>
        <w:spacing w:after="120" w:line="276" w:lineRule="auto"/>
        <w:jc w:val="both"/>
        <w:rPr>
          <w:rFonts w:ascii="Verdana" w:hAnsi="Verdana" w:cs="Arial"/>
          <w:color w:val="000000" w:themeColor="text1"/>
          <w:lang w:val="es-ES_tradnl"/>
        </w:rPr>
      </w:pPr>
      <w:r w:rsidRPr="00AB11C1">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D733E5B" w14:textId="77777777" w:rsidR="00047218" w:rsidRPr="00AB11C1" w:rsidRDefault="00047218" w:rsidP="00047218">
      <w:pPr>
        <w:spacing w:after="120" w:line="276" w:lineRule="auto"/>
        <w:jc w:val="both"/>
        <w:rPr>
          <w:rFonts w:ascii="Verdana" w:eastAsia="Times New Roman" w:hAnsi="Verdana" w:cs="Arial"/>
          <w:i/>
          <w:lang w:val="es-ES" w:eastAsia="es-ES"/>
        </w:rPr>
      </w:pPr>
    </w:p>
    <w:p w14:paraId="092C0825" w14:textId="77777777" w:rsidR="00047218" w:rsidRPr="00AB11C1" w:rsidRDefault="00047218" w:rsidP="00047218">
      <w:pPr>
        <w:spacing w:after="0" w:line="240" w:lineRule="auto"/>
        <w:rPr>
          <w:rFonts w:ascii="Verdana" w:eastAsia="Times New Roman" w:hAnsi="Verdana" w:cs="Arial"/>
          <w:lang w:eastAsia="es-CO"/>
        </w:rPr>
      </w:pPr>
      <w:r w:rsidRPr="00AB11C1">
        <w:rPr>
          <w:rFonts w:ascii="Verdana" w:eastAsia="Times New Roman" w:hAnsi="Verdana" w:cs="Arial"/>
          <w:lang w:eastAsia="es-CO"/>
        </w:rPr>
        <w:t>Atentamente,</w:t>
      </w:r>
    </w:p>
    <w:p w14:paraId="79413A2C" w14:textId="77777777" w:rsidR="00047218" w:rsidRPr="00AB11C1" w:rsidRDefault="00047218" w:rsidP="00047218">
      <w:pPr>
        <w:spacing w:after="0" w:line="276" w:lineRule="auto"/>
        <w:jc w:val="center"/>
        <w:rPr>
          <w:rFonts w:ascii="Verdana" w:eastAsia="Times New Roman" w:hAnsi="Verdana" w:cs="Arial"/>
          <w:color w:val="000000"/>
          <w:lang w:val="es-ES_tradnl" w:eastAsia="es-CO"/>
        </w:rPr>
      </w:pPr>
    </w:p>
    <w:p w14:paraId="566195CE" w14:textId="77777777" w:rsidR="00047218" w:rsidRPr="00AB11C1" w:rsidRDefault="00155599" w:rsidP="00047218">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07672439" wp14:editId="1AE5528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3"/>
                    <a:stretch>
                      <a:fillRect/>
                    </a:stretch>
                  </pic:blipFill>
                  <pic:spPr>
                    <a:xfrm>
                      <a:off x="0" y="0"/>
                      <a:ext cx="3705742" cy="1590897"/>
                    </a:xfrm>
                    <a:prstGeom prst="rect">
                      <a:avLst/>
                    </a:prstGeom>
                  </pic:spPr>
                </pic:pic>
              </a:graphicData>
            </a:graphic>
          </wp:inline>
        </w:drawing>
      </w:r>
    </w:p>
    <w:p w14:paraId="78BCE85C" w14:textId="77777777" w:rsidR="00047218" w:rsidRPr="00AB11C1" w:rsidRDefault="00047218" w:rsidP="00047218">
      <w:pPr>
        <w:spacing w:after="0" w:line="276" w:lineRule="auto"/>
        <w:jc w:val="center"/>
        <w:rPr>
          <w:rFonts w:ascii="Verdana" w:eastAsia="Times New Roman" w:hAnsi="Verdana" w:cs="Arial"/>
          <w:color w:val="000000"/>
          <w:sz w:val="18"/>
          <w:szCs w:val="18"/>
          <w:lang w:val="es-ES" w:eastAsia="es-CO"/>
        </w:rPr>
      </w:pPr>
    </w:p>
    <w:tbl>
      <w:tblPr>
        <w:tblW w:w="6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5916"/>
      </w:tblGrid>
      <w:tr w:rsidR="00047218" w:rsidRPr="00AB11C1" w14:paraId="61E86F0B" w14:textId="77777777" w:rsidTr="00F567E8">
        <w:trPr>
          <w:trHeight w:val="409"/>
        </w:trPr>
        <w:tc>
          <w:tcPr>
            <w:tcW w:w="979" w:type="dxa"/>
            <w:tcBorders>
              <w:top w:val="nil"/>
              <w:left w:val="nil"/>
              <w:bottom w:val="nil"/>
              <w:right w:val="nil"/>
            </w:tcBorders>
            <w:vAlign w:val="center"/>
            <w:hideMark/>
          </w:tcPr>
          <w:p w14:paraId="022AFA2D" w14:textId="77777777" w:rsidR="00047218" w:rsidRPr="00AB11C1" w:rsidRDefault="00047218" w:rsidP="00F567E8">
            <w:pPr>
              <w:spacing w:after="0" w:line="240" w:lineRule="auto"/>
              <w:jc w:val="both"/>
              <w:rPr>
                <w:rFonts w:ascii="Verdana" w:hAnsi="Verdana" w:cs="Arial"/>
                <w:sz w:val="16"/>
                <w:szCs w:val="16"/>
              </w:rPr>
            </w:pPr>
            <w:r w:rsidRPr="00AB11C1">
              <w:rPr>
                <w:rFonts w:ascii="Verdana" w:hAnsi="Verdana" w:cs="Arial"/>
                <w:sz w:val="16"/>
                <w:szCs w:val="16"/>
              </w:rPr>
              <w:t>Elaboró: </w:t>
            </w:r>
          </w:p>
        </w:tc>
        <w:tc>
          <w:tcPr>
            <w:tcW w:w="5916" w:type="dxa"/>
            <w:tcBorders>
              <w:top w:val="nil"/>
              <w:left w:val="nil"/>
              <w:bottom w:val="dotted" w:sz="6" w:space="0" w:color="7F7F7F" w:themeColor="text1" w:themeTint="80"/>
              <w:right w:val="nil"/>
            </w:tcBorders>
            <w:vAlign w:val="center"/>
            <w:hideMark/>
          </w:tcPr>
          <w:p w14:paraId="45CC416D" w14:textId="77777777" w:rsidR="00047218" w:rsidRPr="00AB11C1" w:rsidRDefault="00047218" w:rsidP="00F567E8">
            <w:pPr>
              <w:spacing w:after="0" w:line="240" w:lineRule="auto"/>
              <w:jc w:val="both"/>
              <w:rPr>
                <w:rFonts w:ascii="Verdana" w:hAnsi="Verdana" w:cs="Arial"/>
                <w:sz w:val="16"/>
                <w:szCs w:val="16"/>
              </w:rPr>
            </w:pPr>
            <w:proofErr w:type="spellStart"/>
            <w:r w:rsidRPr="00AB11C1">
              <w:rPr>
                <w:rFonts w:ascii="Verdana" w:hAnsi="Verdana" w:cs="Arial"/>
                <w:sz w:val="16"/>
                <w:szCs w:val="16"/>
              </w:rPr>
              <w:t>Jhonattan</w:t>
            </w:r>
            <w:proofErr w:type="spellEnd"/>
            <w:r w:rsidRPr="00AB11C1">
              <w:rPr>
                <w:rFonts w:ascii="Verdana" w:hAnsi="Verdana" w:cs="Arial"/>
                <w:sz w:val="16"/>
                <w:szCs w:val="16"/>
              </w:rPr>
              <w:t xml:space="preserve"> </w:t>
            </w:r>
            <w:proofErr w:type="spellStart"/>
            <w:r w:rsidRPr="00AB11C1">
              <w:rPr>
                <w:rFonts w:ascii="Verdana" w:hAnsi="Verdana" w:cs="Arial"/>
                <w:sz w:val="16"/>
                <w:szCs w:val="16"/>
              </w:rPr>
              <w:t>Gualdrón</w:t>
            </w:r>
            <w:proofErr w:type="spellEnd"/>
            <w:r w:rsidRPr="00AB11C1">
              <w:rPr>
                <w:rFonts w:ascii="Verdana" w:hAnsi="Verdana" w:cs="Arial"/>
                <w:sz w:val="16"/>
                <w:szCs w:val="16"/>
              </w:rPr>
              <w:t xml:space="preserve"> Salazar</w:t>
            </w:r>
          </w:p>
          <w:p w14:paraId="47F6CB77" w14:textId="77777777" w:rsidR="00047218" w:rsidRPr="00AB11C1" w:rsidRDefault="00047218" w:rsidP="00F567E8">
            <w:pPr>
              <w:spacing w:after="0" w:line="240" w:lineRule="auto"/>
              <w:jc w:val="both"/>
              <w:rPr>
                <w:rFonts w:ascii="Verdana" w:hAnsi="Verdana" w:cs="Arial"/>
                <w:sz w:val="16"/>
                <w:szCs w:val="16"/>
              </w:rPr>
            </w:pPr>
            <w:r w:rsidRPr="00AB11C1">
              <w:rPr>
                <w:rFonts w:ascii="Verdana" w:hAnsi="Verdana" w:cs="Arial"/>
                <w:sz w:val="16"/>
                <w:szCs w:val="16"/>
              </w:rPr>
              <w:t>Contratista de la Subdirección de Gestión Contractual</w:t>
            </w:r>
          </w:p>
        </w:tc>
      </w:tr>
      <w:tr w:rsidR="00047218" w:rsidRPr="00AB11C1" w14:paraId="64CA5930" w14:textId="77777777" w:rsidTr="00F567E8">
        <w:trPr>
          <w:trHeight w:val="409"/>
        </w:trPr>
        <w:tc>
          <w:tcPr>
            <w:tcW w:w="979" w:type="dxa"/>
            <w:tcBorders>
              <w:top w:val="nil"/>
              <w:left w:val="nil"/>
              <w:right w:val="nil"/>
            </w:tcBorders>
            <w:vAlign w:val="center"/>
          </w:tcPr>
          <w:p w14:paraId="2CF8D888" w14:textId="77777777" w:rsidR="00047218" w:rsidRPr="00AB11C1" w:rsidRDefault="00047218" w:rsidP="00F567E8">
            <w:pPr>
              <w:spacing w:after="0"/>
              <w:jc w:val="both"/>
              <w:rPr>
                <w:rFonts w:ascii="Verdana" w:hAnsi="Verdana" w:cs="Arial"/>
                <w:sz w:val="16"/>
                <w:szCs w:val="16"/>
              </w:rPr>
            </w:pPr>
            <w:r w:rsidRPr="00AB11C1">
              <w:rPr>
                <w:rFonts w:ascii="Verdana" w:hAnsi="Verdana" w:cs="Arial"/>
                <w:sz w:val="16"/>
                <w:szCs w:val="16"/>
              </w:rPr>
              <w:t>Revisó</w:t>
            </w:r>
          </w:p>
        </w:tc>
        <w:tc>
          <w:tcPr>
            <w:tcW w:w="5916" w:type="dxa"/>
            <w:tcBorders>
              <w:top w:val="dotted" w:sz="6" w:space="0" w:color="7F7F7F" w:themeColor="text1" w:themeTint="80"/>
              <w:left w:val="nil"/>
              <w:bottom w:val="dotted" w:sz="6" w:space="0" w:color="7F7F7F" w:themeColor="text1" w:themeTint="80"/>
              <w:right w:val="nil"/>
            </w:tcBorders>
            <w:vAlign w:val="center"/>
          </w:tcPr>
          <w:p w14:paraId="6197A395" w14:textId="77777777" w:rsidR="00047218" w:rsidRPr="00AB11C1" w:rsidRDefault="00047218" w:rsidP="00F567E8">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5821E0">
              <w:rPr>
                <w:rStyle w:val="normaltextrun"/>
                <w:rFonts w:ascii="Verdana" w:eastAsia="Arial" w:hAnsi="Verdana"/>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116B8497" w14:textId="77777777" w:rsidR="00047218" w:rsidRPr="00AB11C1" w:rsidRDefault="00047218" w:rsidP="00F567E8">
            <w:pPr>
              <w:spacing w:after="0" w:line="240" w:lineRule="auto"/>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047218" w:rsidRPr="00AB11C1" w14:paraId="4D10D91E" w14:textId="77777777" w:rsidTr="00F567E8">
        <w:trPr>
          <w:trHeight w:val="389"/>
        </w:trPr>
        <w:tc>
          <w:tcPr>
            <w:tcW w:w="979" w:type="dxa"/>
            <w:tcBorders>
              <w:top w:val="nil"/>
              <w:left w:val="nil"/>
              <w:bottom w:val="nil"/>
              <w:right w:val="nil"/>
            </w:tcBorders>
            <w:vAlign w:val="center"/>
            <w:hideMark/>
          </w:tcPr>
          <w:p w14:paraId="41CC7974" w14:textId="77777777" w:rsidR="00047218" w:rsidRPr="00AB11C1" w:rsidRDefault="00047218" w:rsidP="00F567E8">
            <w:pPr>
              <w:spacing w:after="0" w:line="240" w:lineRule="auto"/>
              <w:jc w:val="both"/>
              <w:rPr>
                <w:rFonts w:ascii="Verdana" w:hAnsi="Verdana" w:cs="Arial"/>
                <w:sz w:val="16"/>
                <w:szCs w:val="16"/>
              </w:rPr>
            </w:pPr>
            <w:r w:rsidRPr="00AB11C1">
              <w:rPr>
                <w:rFonts w:ascii="Verdana" w:hAnsi="Verdana" w:cs="Arial"/>
                <w:sz w:val="16"/>
                <w:szCs w:val="16"/>
              </w:rPr>
              <w:t>Aprobó: </w:t>
            </w:r>
          </w:p>
        </w:tc>
        <w:tc>
          <w:tcPr>
            <w:tcW w:w="5916" w:type="dxa"/>
            <w:tcBorders>
              <w:top w:val="dotted" w:sz="6" w:space="0" w:color="7F7F7F" w:themeColor="text1" w:themeTint="80"/>
              <w:left w:val="nil"/>
              <w:bottom w:val="dotted" w:sz="6" w:space="0" w:color="7F7F7F" w:themeColor="text1" w:themeTint="80"/>
              <w:right w:val="nil"/>
            </w:tcBorders>
            <w:vAlign w:val="center"/>
            <w:hideMark/>
          </w:tcPr>
          <w:p w14:paraId="5C5C2A03" w14:textId="77777777" w:rsidR="00047218" w:rsidRPr="00AB11C1" w:rsidRDefault="00047218" w:rsidP="00F567E8">
            <w:pPr>
              <w:spacing w:after="0"/>
              <w:rPr>
                <w:rFonts w:ascii="Verdana" w:eastAsia="Calibri" w:hAnsi="Verdana" w:cs="Arial"/>
                <w:sz w:val="16"/>
                <w:szCs w:val="16"/>
                <w:lang w:val="pt-BR" w:eastAsia="es-ES"/>
              </w:rPr>
            </w:pPr>
            <w:r w:rsidRPr="00AB11C1">
              <w:rPr>
                <w:rFonts w:ascii="Verdana" w:eastAsia="Calibri" w:hAnsi="Verdana" w:cs="Arial"/>
                <w:sz w:val="16"/>
                <w:szCs w:val="16"/>
                <w:lang w:val="pt-BR" w:eastAsia="es-ES"/>
              </w:rPr>
              <w:t>Carolina Quintero Gacharná</w:t>
            </w:r>
          </w:p>
          <w:p w14:paraId="56C48AE2" w14:textId="77777777" w:rsidR="00047218" w:rsidRPr="00AB11C1" w:rsidRDefault="00047218" w:rsidP="00F567E8">
            <w:pPr>
              <w:spacing w:after="0" w:line="240" w:lineRule="auto"/>
              <w:jc w:val="both"/>
              <w:rPr>
                <w:rFonts w:ascii="Verdana" w:hAnsi="Verdana" w:cs="Arial"/>
                <w:sz w:val="16"/>
                <w:szCs w:val="16"/>
              </w:rPr>
            </w:pPr>
            <w:r w:rsidRPr="00AB11C1">
              <w:rPr>
                <w:rFonts w:ascii="Verdana" w:hAnsi="Verdana" w:cs="Arial"/>
                <w:sz w:val="16"/>
                <w:szCs w:val="16"/>
              </w:rPr>
              <w:t>Subdirectora de Gestión Contractual ANCP – CCE</w:t>
            </w:r>
          </w:p>
        </w:tc>
      </w:tr>
    </w:tbl>
    <w:p w14:paraId="1A6625A6" w14:textId="77777777" w:rsidR="00047218" w:rsidRPr="00840377" w:rsidRDefault="00047218" w:rsidP="00047218">
      <w:pPr>
        <w:rPr>
          <w:lang w:val="es-ES"/>
        </w:rPr>
      </w:pPr>
    </w:p>
    <w:p w14:paraId="5BBF0B4C" w14:textId="77777777" w:rsidR="00ED11B4" w:rsidRPr="00047218" w:rsidRDefault="00ED11B4" w:rsidP="00047218">
      <w:pPr>
        <w:rPr>
          <w:lang w:val="es-ES"/>
        </w:rPr>
      </w:pPr>
    </w:p>
    <w:sectPr w:rsidR="00ED11B4" w:rsidRPr="00047218" w:rsidSect="00A211EE">
      <w:headerReference w:type="default" r:id="rId24"/>
      <w:footerReference w:type="default" r:id="rId25"/>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7AC3" w14:textId="77777777" w:rsidR="00D41123" w:rsidRDefault="00D41123" w:rsidP="0021028D">
      <w:pPr>
        <w:spacing w:after="0" w:line="240" w:lineRule="auto"/>
      </w:pPr>
      <w:r>
        <w:separator/>
      </w:r>
    </w:p>
  </w:endnote>
  <w:endnote w:type="continuationSeparator" w:id="0">
    <w:p w14:paraId="5EBB4BA7" w14:textId="77777777" w:rsidR="00D41123" w:rsidRDefault="00D41123" w:rsidP="0021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23DC6" w14:textId="77777777" w:rsidR="00ED11B4" w:rsidRDefault="00ED11B4" w:rsidP="00A211EE">
    <w:pPr>
      <w:spacing w:after="0"/>
      <w:rPr>
        <w:rFonts w:ascii="Verdana" w:hAnsi="Verdana"/>
        <w:b/>
        <w:bCs/>
        <w:sz w:val="20"/>
        <w:szCs w:val="20"/>
      </w:rPr>
    </w:pPr>
  </w:p>
  <w:p w14:paraId="6CA8C2EC" w14:textId="77777777" w:rsidR="00ED11B4" w:rsidRPr="00174B77" w:rsidRDefault="0051343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4ACA74" w14:textId="77777777" w:rsidR="00ED11B4" w:rsidRDefault="0051343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D457B36" w14:textId="77777777" w:rsidR="00ED11B4" w:rsidRPr="00E41027" w:rsidRDefault="0051343E" w:rsidP="00A211EE">
    <w:pPr>
      <w:spacing w:after="0"/>
      <w:jc w:val="both"/>
      <w:rPr>
        <w:rFonts w:ascii="Verdana" w:hAnsi="Verdana"/>
        <w:sz w:val="18"/>
        <w:szCs w:val="18"/>
      </w:rPr>
    </w:pPr>
    <w:r w:rsidRPr="00E41027">
      <w:rPr>
        <w:rFonts w:ascii="Verdana" w:hAnsi="Verdana"/>
        <w:sz w:val="18"/>
        <w:szCs w:val="18"/>
      </w:rPr>
      <w:t>Mesa de servicio: (+57) 601 7456788</w:t>
    </w:r>
  </w:p>
  <w:p w14:paraId="7D94B3DC" w14:textId="77777777" w:rsidR="00ED11B4" w:rsidRPr="00A211EE" w:rsidRDefault="0051343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4CC4F8AE" w14:textId="77777777" w:rsidR="00ED11B4" w:rsidRDefault="00ED11B4"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50B7F" w14:textId="77777777" w:rsidR="00D41123" w:rsidRDefault="00D41123" w:rsidP="0021028D">
      <w:pPr>
        <w:spacing w:after="0" w:line="240" w:lineRule="auto"/>
      </w:pPr>
      <w:r>
        <w:separator/>
      </w:r>
    </w:p>
  </w:footnote>
  <w:footnote w:type="continuationSeparator" w:id="0">
    <w:p w14:paraId="7A16CA45" w14:textId="77777777" w:rsidR="00D41123" w:rsidRDefault="00D41123" w:rsidP="0021028D">
      <w:pPr>
        <w:spacing w:after="0" w:line="240" w:lineRule="auto"/>
      </w:pPr>
      <w:r>
        <w:continuationSeparator/>
      </w:r>
    </w:p>
  </w:footnote>
  <w:footnote w:id="1">
    <w:p w14:paraId="575AAFAD" w14:textId="77777777" w:rsidR="00047218" w:rsidRPr="0047173C" w:rsidRDefault="00047218" w:rsidP="00047218">
      <w:pPr>
        <w:pStyle w:val="Textonotapie"/>
        <w:ind w:firstLine="300"/>
        <w:jc w:val="both"/>
        <w:rPr>
          <w:rFonts w:ascii="Verdana" w:hAnsi="Verdana"/>
          <w:sz w:val="16"/>
          <w:szCs w:val="16"/>
        </w:rPr>
      </w:pPr>
      <w:r w:rsidRPr="0047173C">
        <w:rPr>
          <w:rStyle w:val="Refdenotaalpie"/>
          <w:rFonts w:ascii="Verdana" w:hAnsi="Verdana"/>
          <w:sz w:val="16"/>
          <w:szCs w:val="16"/>
        </w:rPr>
        <w:footnoteRef/>
      </w:r>
      <w:r w:rsidRPr="0047173C">
        <w:rPr>
          <w:rFonts w:ascii="Verdana" w:hAnsi="Verdana"/>
          <w:sz w:val="16"/>
          <w:szCs w:val="16"/>
        </w:rPr>
        <w:t xml:space="preserve"> 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w:t>
      </w:r>
    </w:p>
  </w:footnote>
  <w:footnote w:id="2">
    <w:p w14:paraId="4D126E5E"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Style w:val="Refdenotaalpie"/>
          <w:rFonts w:ascii="Verdana" w:hAnsi="Verdana" w:cs="Arial"/>
          <w:sz w:val="16"/>
          <w:szCs w:val="16"/>
        </w:rPr>
        <w:footnoteRef/>
      </w:r>
      <w:r w:rsidRPr="0047173C">
        <w:rPr>
          <w:rFonts w:ascii="Verdana" w:hAnsi="Verdana" w:cs="Arial"/>
          <w:sz w:val="16"/>
          <w:szCs w:val="16"/>
        </w:rPr>
        <w:t xml:space="preserve"> </w:t>
      </w:r>
      <w:r w:rsidRPr="0047173C">
        <w:rPr>
          <w:rFonts w:ascii="Verdana" w:hAnsi="Verdana" w:cs="Arial"/>
          <w:color w:val="000000" w:themeColor="text1"/>
          <w:sz w:val="16"/>
          <w:szCs w:val="16"/>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720E2EA"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23AE11E3"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w:t>
      </w:r>
    </w:p>
    <w:p w14:paraId="67F0F400"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21CD893B"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65165F1E"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w:t>
      </w:r>
    </w:p>
    <w:p w14:paraId="264BF511" w14:textId="77777777" w:rsidR="00047218" w:rsidRPr="0047173C" w:rsidRDefault="00047218" w:rsidP="00047218">
      <w:pPr>
        <w:pStyle w:val="Textonotapie"/>
        <w:ind w:firstLine="709"/>
        <w:jc w:val="both"/>
        <w:rPr>
          <w:rFonts w:ascii="Verdana" w:hAnsi="Verdana" w:cs="Arial"/>
          <w:sz w:val="16"/>
          <w:szCs w:val="16"/>
        </w:rPr>
      </w:pPr>
    </w:p>
  </w:footnote>
  <w:footnote w:id="3">
    <w:p w14:paraId="4B05479F"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Style w:val="Refdenotaalpie"/>
          <w:rFonts w:ascii="Verdana" w:hAnsi="Verdana" w:cs="Arial"/>
          <w:sz w:val="16"/>
          <w:szCs w:val="16"/>
        </w:rPr>
        <w:footnoteRef/>
      </w:r>
      <w:r w:rsidRPr="0047173C">
        <w:rPr>
          <w:rFonts w:ascii="Verdana" w:hAnsi="Verdana" w:cs="Arial"/>
          <w:sz w:val="16"/>
          <w:szCs w:val="16"/>
          <w:vertAlign w:val="superscript"/>
        </w:rPr>
        <w:t xml:space="preserve"> </w:t>
      </w:r>
      <w:r w:rsidRPr="0047173C">
        <w:rPr>
          <w:rFonts w:ascii="Verdana" w:hAnsi="Verdana" w:cs="Arial"/>
          <w:sz w:val="16"/>
          <w:szCs w:val="16"/>
        </w:rPr>
        <w:t>“</w:t>
      </w:r>
      <w:r w:rsidRPr="0047173C">
        <w:rPr>
          <w:rFonts w:ascii="Verdana" w:hAnsi="Verdana" w:cs="Arial"/>
          <w:color w:val="000000" w:themeColor="text1"/>
          <w:sz w:val="16"/>
          <w:szCs w:val="16"/>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4996C51"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w:t>
      </w:r>
    </w:p>
    <w:p w14:paraId="2CDD12D4"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“2.1.   Bienes, obras y servicios que ofrecerá a las Entidades Estatales, identificados con el Clasificador de Bienes y Servicios en el tercer nivel”.</w:t>
      </w:r>
    </w:p>
    <w:p w14:paraId="382819B8" w14:textId="77777777" w:rsidR="00047218" w:rsidRPr="0047173C" w:rsidRDefault="00047218" w:rsidP="00047218">
      <w:pPr>
        <w:pStyle w:val="Textonotapie"/>
        <w:ind w:firstLine="709"/>
        <w:jc w:val="both"/>
        <w:rPr>
          <w:rFonts w:ascii="Verdana" w:hAnsi="Verdana" w:cs="Arial"/>
          <w:color w:val="000000" w:themeColor="text1"/>
          <w:sz w:val="16"/>
          <w:szCs w:val="16"/>
        </w:rPr>
      </w:pPr>
    </w:p>
  </w:footnote>
  <w:footnote w:id="4">
    <w:p w14:paraId="756F855A"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vertAlign w:val="superscript"/>
        </w:rPr>
        <w:footnoteRef/>
      </w:r>
      <w:r w:rsidRPr="0047173C">
        <w:rPr>
          <w:rFonts w:ascii="Verdana" w:hAnsi="Verdana" w:cs="Arial"/>
          <w:color w:val="000000" w:themeColor="text1"/>
          <w:sz w:val="16"/>
          <w:szCs w:val="16"/>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25BC1E9"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w:t>
      </w:r>
    </w:p>
    <w:p w14:paraId="252AD6FF" w14:textId="77777777" w:rsidR="00047218" w:rsidRPr="0047173C" w:rsidRDefault="00047218" w:rsidP="00047218">
      <w:pPr>
        <w:pStyle w:val="Textonotapie"/>
        <w:ind w:firstLine="709"/>
        <w:jc w:val="both"/>
        <w:rPr>
          <w:rFonts w:ascii="Verdana" w:hAnsi="Verdana" w:cs="Arial"/>
          <w:color w:val="000000" w:themeColor="text1"/>
          <w:sz w:val="16"/>
          <w:szCs w:val="16"/>
        </w:rPr>
      </w:pPr>
      <w:r w:rsidRPr="0047173C">
        <w:rPr>
          <w:rFonts w:ascii="Verdana" w:hAnsi="Verdana" w:cs="Arial"/>
          <w:color w:val="000000" w:themeColor="text1"/>
          <w:sz w:val="16"/>
          <w:szCs w:val="16"/>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7173C">
        <w:rPr>
          <w:rFonts w:ascii="Verdana" w:hAnsi="Verdana" w:cs="Arial"/>
          <w:color w:val="000000" w:themeColor="text1"/>
          <w:sz w:val="16"/>
          <w:szCs w:val="16"/>
        </w:rPr>
        <w:softHyphen/>
        <w:t>ficador de Bienes y Servicios en el tercer nivel. Si la constitución del interesado es menor a 3 años, puede acreditar la experiencia de sus accionistas, socios o constituyentes”.</w:t>
      </w:r>
    </w:p>
  </w:footnote>
  <w:footnote w:id="5">
    <w:p w14:paraId="7786B5D2" w14:textId="77777777" w:rsidR="00047218" w:rsidRPr="00A76D69" w:rsidRDefault="00047218" w:rsidP="00047218">
      <w:pPr>
        <w:pStyle w:val="Textocomentario"/>
        <w:spacing w:after="0"/>
        <w:ind w:firstLine="708"/>
        <w:jc w:val="both"/>
        <w:rPr>
          <w:rFonts w:ascii="Verdana" w:hAnsi="Verdana" w:cs="Arial"/>
          <w:color w:val="000000" w:themeColor="text1"/>
          <w:sz w:val="16"/>
          <w:szCs w:val="16"/>
        </w:rPr>
      </w:pPr>
      <w:r w:rsidRPr="0047173C">
        <w:rPr>
          <w:rStyle w:val="Refdenotaalpie"/>
          <w:rFonts w:ascii="Verdana" w:hAnsi="Verdana" w:cs="Arial"/>
          <w:sz w:val="16"/>
          <w:szCs w:val="16"/>
        </w:rPr>
        <w:footnoteRef/>
      </w:r>
      <w:r w:rsidRPr="0047173C">
        <w:rPr>
          <w:rFonts w:ascii="Verdana" w:hAnsi="Verdana" w:cs="Arial"/>
          <w:sz w:val="16"/>
          <w:szCs w:val="16"/>
        </w:rPr>
        <w:t xml:space="preserve"> </w:t>
      </w:r>
      <w:r w:rsidRPr="0047173C">
        <w:rPr>
          <w:rFonts w:ascii="Verdana" w:hAnsi="Verdana" w:cs="Arial"/>
          <w:color w:val="000000" w:themeColor="text1"/>
          <w:sz w:val="16"/>
          <w:szCs w:val="16"/>
        </w:rPr>
        <w:t>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05FA3A8B" w14:textId="77777777" w:rsidR="00047218" w:rsidRPr="00A76D69" w:rsidRDefault="00047218" w:rsidP="00047218">
      <w:pPr>
        <w:pStyle w:val="Textocomentario"/>
        <w:spacing w:after="0"/>
        <w:ind w:firstLine="708"/>
        <w:jc w:val="both"/>
        <w:rPr>
          <w:rFonts w:ascii="Verdana" w:hAnsi="Verdana" w:cs="Arial"/>
          <w:color w:val="000000" w:themeColor="text1"/>
          <w:sz w:val="16"/>
          <w:szCs w:val="16"/>
        </w:rPr>
      </w:pPr>
    </w:p>
  </w:footnote>
  <w:footnote w:id="6">
    <w:p w14:paraId="6BA4A6B5" w14:textId="77777777" w:rsidR="00047218" w:rsidRPr="0047173C" w:rsidRDefault="00047218" w:rsidP="00047218">
      <w:pPr>
        <w:pStyle w:val="Textonotapie"/>
        <w:ind w:firstLine="300"/>
        <w:rPr>
          <w:rFonts w:ascii="Verdana" w:hAnsi="Verdana"/>
          <w:sz w:val="16"/>
          <w:szCs w:val="16"/>
        </w:rPr>
      </w:pPr>
      <w:r w:rsidRPr="0047173C">
        <w:rPr>
          <w:rStyle w:val="Refdenotaalpie"/>
          <w:rFonts w:ascii="Verdana" w:hAnsi="Verdana"/>
          <w:sz w:val="16"/>
          <w:szCs w:val="16"/>
        </w:rPr>
        <w:footnoteRef/>
      </w:r>
      <w:r w:rsidRPr="0047173C">
        <w:rPr>
          <w:rFonts w:ascii="Verdana" w:hAnsi="Verdana"/>
          <w:sz w:val="16"/>
          <w:szCs w:val="16"/>
        </w:rPr>
        <w:t xml:space="preserve"> Corte Constitucional, </w:t>
      </w:r>
      <w:r>
        <w:rPr>
          <w:rFonts w:ascii="Verdana" w:hAnsi="Verdana"/>
          <w:sz w:val="16"/>
          <w:szCs w:val="16"/>
        </w:rPr>
        <w:t>S</w:t>
      </w:r>
      <w:r w:rsidRPr="0047173C">
        <w:rPr>
          <w:rFonts w:ascii="Verdana" w:hAnsi="Verdana"/>
          <w:sz w:val="16"/>
          <w:szCs w:val="16"/>
        </w:rPr>
        <w:t>entencia C-804 de 2006.</w:t>
      </w:r>
    </w:p>
    <w:p w14:paraId="269C6125" w14:textId="77777777" w:rsidR="00047218" w:rsidRPr="0047173C" w:rsidRDefault="00047218" w:rsidP="00047218">
      <w:pPr>
        <w:pStyle w:val="Textonotapie"/>
        <w:ind w:firstLine="300"/>
        <w:rPr>
          <w:rFonts w:ascii="Verdana" w:hAnsi="Verdana"/>
          <w:sz w:val="16"/>
          <w:szCs w:val="16"/>
        </w:rPr>
      </w:pPr>
    </w:p>
  </w:footnote>
  <w:footnote w:id="7">
    <w:p w14:paraId="584797CA" w14:textId="77777777" w:rsidR="00047218" w:rsidRPr="0047173C" w:rsidRDefault="00047218" w:rsidP="00047218">
      <w:pPr>
        <w:pStyle w:val="Textonotapie"/>
        <w:ind w:firstLine="300"/>
        <w:jc w:val="both"/>
        <w:rPr>
          <w:rFonts w:ascii="Verdana" w:hAnsi="Verdana"/>
          <w:sz w:val="16"/>
          <w:szCs w:val="16"/>
        </w:rPr>
      </w:pPr>
      <w:r w:rsidRPr="0047173C">
        <w:rPr>
          <w:rStyle w:val="Refdenotaalpie"/>
          <w:rFonts w:ascii="Verdana" w:hAnsi="Verdana"/>
          <w:sz w:val="16"/>
          <w:szCs w:val="16"/>
        </w:rPr>
        <w:footnoteRef/>
      </w:r>
      <w:r w:rsidRPr="0047173C">
        <w:rPr>
          <w:rFonts w:ascii="Verdana" w:hAnsi="Verdana"/>
          <w:sz w:val="16"/>
          <w:szCs w:val="16"/>
        </w:rPr>
        <w:t xml:space="preserve"> Consejo de Estado, Sala de lo Contencioso Administrativo, Sección Quinta, C.P. Rocío Araújo Oñate, radiccado 25000-23-24-000-2009-00348-01 “el principio de la seguridad jurídica también ostenta rango constitucional el cual ha sido derivado, por la Corte Constitucional, del preámbulo de la Constitución y de los artículos 1, 2, 4, 5 y 6 de la Carta, en términos generales supone una garantía de certeza la cual acompaña otros principios y derechos en el ordenamiento, como el de confianza legítima y buena fe”.</w:t>
      </w:r>
    </w:p>
    <w:p w14:paraId="4D9707EF" w14:textId="77777777" w:rsidR="00047218" w:rsidRPr="0047173C" w:rsidRDefault="00047218" w:rsidP="00047218">
      <w:pPr>
        <w:pStyle w:val="Textonotapie"/>
        <w:ind w:firstLine="300"/>
        <w:jc w:val="both"/>
        <w:rPr>
          <w:rFonts w:ascii="Verdana" w:hAnsi="Verdana"/>
          <w:sz w:val="16"/>
          <w:szCs w:val="16"/>
        </w:rPr>
      </w:pPr>
    </w:p>
  </w:footnote>
  <w:footnote w:id="8">
    <w:p w14:paraId="361836B7" w14:textId="77777777" w:rsidR="00047218" w:rsidRPr="0047173C" w:rsidRDefault="00047218" w:rsidP="00047218">
      <w:pPr>
        <w:pStyle w:val="Textonotapie"/>
        <w:ind w:firstLine="300"/>
        <w:rPr>
          <w:rFonts w:ascii="Verdana" w:hAnsi="Verdana"/>
          <w:sz w:val="16"/>
          <w:szCs w:val="16"/>
          <w:lang w:val="es-ES"/>
        </w:rPr>
      </w:pPr>
      <w:r w:rsidRPr="0047173C">
        <w:rPr>
          <w:rStyle w:val="Refdenotaalpie"/>
          <w:rFonts w:ascii="Verdana" w:hAnsi="Verdana"/>
          <w:sz w:val="16"/>
          <w:szCs w:val="16"/>
        </w:rPr>
        <w:footnoteRef/>
      </w:r>
      <w:r w:rsidRPr="0047173C">
        <w:rPr>
          <w:rFonts w:ascii="Verdana" w:hAnsi="Verdana"/>
          <w:sz w:val="16"/>
          <w:szCs w:val="16"/>
        </w:rPr>
        <w:t xml:space="preserve"> ARTÍCULO 27. Del Código Civil. Cuando el sentido de la ley sea claro, no se desatenderá su tenor literal […]</w:t>
      </w:r>
    </w:p>
  </w:footnote>
  <w:footnote w:id="9">
    <w:p w14:paraId="59F7CA9E" w14:textId="77777777" w:rsidR="00047218" w:rsidRPr="0047173C" w:rsidRDefault="00047218" w:rsidP="00047218">
      <w:pPr>
        <w:spacing w:before="87" w:line="254" w:lineRule="auto"/>
        <w:ind w:left="300" w:right="292" w:firstLine="707"/>
        <w:jc w:val="both"/>
        <w:rPr>
          <w:rFonts w:ascii="Verdana" w:hAnsi="Verdana"/>
          <w:sz w:val="16"/>
          <w:szCs w:val="16"/>
        </w:rPr>
      </w:pPr>
      <w:r w:rsidRPr="0047173C">
        <w:rPr>
          <w:rStyle w:val="Refdenotaalpie"/>
          <w:rFonts w:ascii="Verdana" w:hAnsi="Verdana"/>
          <w:sz w:val="16"/>
          <w:szCs w:val="16"/>
        </w:rPr>
        <w:footnoteRef/>
      </w:r>
      <w:r w:rsidRPr="0047173C">
        <w:rPr>
          <w:rFonts w:ascii="Verdana" w:hAnsi="Verdana"/>
          <w:sz w:val="16"/>
          <w:szCs w:val="16"/>
        </w:rPr>
        <w:t xml:space="preserve"> Consejo de Estado. Sección Tercera, Sentencia del 19 de julio de 2001, C.P. Alier Eduardo Hernández Enríquez. Rad. 1996-3771-01 (12.037).</w:t>
      </w:r>
    </w:p>
    <w:p w14:paraId="1224FBD3" w14:textId="77777777" w:rsidR="00047218" w:rsidRPr="0047173C" w:rsidRDefault="00047218" w:rsidP="00047218">
      <w:pPr>
        <w:pStyle w:val="Textonotapie"/>
        <w:ind w:left="300"/>
        <w:jc w:val="both"/>
        <w:rPr>
          <w:rFonts w:ascii="Verdana" w:hAnsi="Verdana"/>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91E1" w14:textId="77777777" w:rsidR="00ED11B4" w:rsidRDefault="0051343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D6EFECF" wp14:editId="76320591">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80C789E" wp14:editId="117C49A6">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60A2BB3" w14:textId="77777777" w:rsidR="00ED11B4" w:rsidRDefault="00ED11B4" w:rsidP="00A211EE">
    <w:pPr>
      <w:pStyle w:val="Encabezado"/>
      <w:jc w:val="center"/>
    </w:pPr>
  </w:p>
  <w:p w14:paraId="1F3B2608" w14:textId="77777777" w:rsidR="00ED11B4" w:rsidRDefault="00ED11B4">
    <w:pPr>
      <w:pStyle w:val="Encabezado"/>
    </w:pPr>
  </w:p>
  <w:p w14:paraId="3B2EB6A1" w14:textId="77777777" w:rsidR="00ED11B4" w:rsidRDefault="00ED11B4" w:rsidP="00A211EE">
    <w:pPr>
      <w:spacing w:after="0"/>
      <w:rPr>
        <w:rFonts w:ascii="Verdana" w:hAnsi="Verdana"/>
        <w:b/>
        <w:bCs/>
        <w:sz w:val="24"/>
        <w:szCs w:val="24"/>
      </w:rPr>
    </w:pPr>
  </w:p>
  <w:p w14:paraId="0A212166" w14:textId="77777777" w:rsidR="00ED11B4" w:rsidRDefault="0051343E" w:rsidP="00A211EE">
    <w:pPr>
      <w:spacing w:after="0"/>
      <w:rPr>
        <w:rFonts w:ascii="Verdana" w:hAnsi="Verdana"/>
        <w:b/>
        <w:bCs/>
        <w:sz w:val="24"/>
        <w:szCs w:val="24"/>
      </w:rPr>
    </w:pPr>
    <w:r w:rsidRPr="00A211EE">
      <w:rPr>
        <w:rFonts w:ascii="Verdana" w:hAnsi="Verdana"/>
        <w:b/>
        <w:bCs/>
        <w:sz w:val="24"/>
        <w:szCs w:val="24"/>
      </w:rPr>
      <w:t>FORMATO PQRSD</w:t>
    </w:r>
  </w:p>
  <w:p w14:paraId="340AF08A" w14:textId="77777777" w:rsidR="00ED11B4" w:rsidRPr="00A211EE" w:rsidRDefault="00ED11B4"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C72664"/>
    <w:multiLevelType w:val="hybridMultilevel"/>
    <w:tmpl w:val="21A8B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160EF"/>
    <w:multiLevelType w:val="hybridMultilevel"/>
    <w:tmpl w:val="F190ADC8"/>
    <w:lvl w:ilvl="0" w:tplc="9AE82EAC">
      <w:numFmt w:val="bullet"/>
      <w:lvlText w:val="•"/>
      <w:lvlJc w:val="left"/>
      <w:pPr>
        <w:ind w:left="1412" w:hanging="420"/>
      </w:pPr>
      <w:rPr>
        <w:rFonts w:ascii="Verdana" w:eastAsia="Calibri" w:hAnsi="Verdana" w:cs="Arial"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3" w15:restartNumberingAfterBreak="0">
    <w:nsid w:val="44246CA1"/>
    <w:multiLevelType w:val="hybridMultilevel"/>
    <w:tmpl w:val="7C207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265D1D"/>
    <w:multiLevelType w:val="multilevel"/>
    <w:tmpl w:val="442CD3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4755A"/>
    <w:multiLevelType w:val="hybridMultilevel"/>
    <w:tmpl w:val="8A00C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7"/>
  </w:num>
  <w:num w:numId="3" w16cid:durableId="450248607">
    <w:abstractNumId w:val="6"/>
  </w:num>
  <w:num w:numId="4" w16cid:durableId="398868489">
    <w:abstractNumId w:val="4"/>
  </w:num>
  <w:num w:numId="5" w16cid:durableId="1945307045">
    <w:abstractNumId w:val="5"/>
  </w:num>
  <w:num w:numId="6" w16cid:durableId="1206022957">
    <w:abstractNumId w:val="3"/>
  </w:num>
  <w:num w:numId="7" w16cid:durableId="1713532309">
    <w:abstractNumId w:val="2"/>
  </w:num>
  <w:num w:numId="8" w16cid:durableId="22245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8D"/>
    <w:rsid w:val="0002600C"/>
    <w:rsid w:val="00047218"/>
    <w:rsid w:val="00155599"/>
    <w:rsid w:val="001635C5"/>
    <w:rsid w:val="001C2BC2"/>
    <w:rsid w:val="001C7D26"/>
    <w:rsid w:val="002005BE"/>
    <w:rsid w:val="0021028D"/>
    <w:rsid w:val="00234F53"/>
    <w:rsid w:val="002870A5"/>
    <w:rsid w:val="003618B1"/>
    <w:rsid w:val="003D43CF"/>
    <w:rsid w:val="0043496D"/>
    <w:rsid w:val="004B05FB"/>
    <w:rsid w:val="004C2AC6"/>
    <w:rsid w:val="004D498E"/>
    <w:rsid w:val="0051343E"/>
    <w:rsid w:val="00542163"/>
    <w:rsid w:val="005631F4"/>
    <w:rsid w:val="005821E0"/>
    <w:rsid w:val="006113E1"/>
    <w:rsid w:val="006653B4"/>
    <w:rsid w:val="00715707"/>
    <w:rsid w:val="00742F58"/>
    <w:rsid w:val="00803224"/>
    <w:rsid w:val="00840377"/>
    <w:rsid w:val="008D1ED8"/>
    <w:rsid w:val="009C71A1"/>
    <w:rsid w:val="009E368A"/>
    <w:rsid w:val="009E41B1"/>
    <w:rsid w:val="00AB11C1"/>
    <w:rsid w:val="00AD0F27"/>
    <w:rsid w:val="00B46FB0"/>
    <w:rsid w:val="00B92F35"/>
    <w:rsid w:val="00BB5C49"/>
    <w:rsid w:val="00C94C14"/>
    <w:rsid w:val="00CB12B4"/>
    <w:rsid w:val="00D41123"/>
    <w:rsid w:val="00D90DF1"/>
    <w:rsid w:val="00D96B61"/>
    <w:rsid w:val="00EA6590"/>
    <w:rsid w:val="00ED11B4"/>
    <w:rsid w:val="00ED2675"/>
    <w:rsid w:val="00EE0F71"/>
    <w:rsid w:val="00F46BF8"/>
    <w:rsid w:val="00F60B12"/>
    <w:rsid w:val="00FF19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D279"/>
  <w15:chartTrackingRefBased/>
  <w15:docId w15:val="{7216409D-4978-0942-BEA5-8017EE42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8D"/>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2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28D"/>
    <w:rPr>
      <w:kern w:val="0"/>
      <w:sz w:val="22"/>
      <w:szCs w:val="22"/>
      <w14:ligatures w14:val="none"/>
    </w:rPr>
  </w:style>
  <w:style w:type="paragraph" w:styleId="Piedepgina">
    <w:name w:val="footer"/>
    <w:basedOn w:val="Normal"/>
    <w:link w:val="PiedepginaCar"/>
    <w:uiPriority w:val="99"/>
    <w:unhideWhenUsed/>
    <w:rsid w:val="002102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28D"/>
    <w:rPr>
      <w:kern w:val="0"/>
      <w:sz w:val="22"/>
      <w:szCs w:val="22"/>
      <w14:ligatures w14:val="none"/>
    </w:rPr>
  </w:style>
  <w:style w:type="paragraph" w:customStyle="1" w:styleId="Default">
    <w:name w:val="Default"/>
    <w:rsid w:val="0021028D"/>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1028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21028D"/>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21028D"/>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21028D"/>
    <w:rPr>
      <w:vertAlign w:val="superscript"/>
    </w:rPr>
  </w:style>
  <w:style w:type="character" w:customStyle="1" w:styleId="normaltextrun">
    <w:name w:val="normaltextrun"/>
    <w:basedOn w:val="Fuentedeprrafopredeter"/>
    <w:rsid w:val="0021028D"/>
  </w:style>
  <w:style w:type="table" w:styleId="Tablaconcuadrcula">
    <w:name w:val="Table Grid"/>
    <w:basedOn w:val="Tablanormal"/>
    <w:uiPriority w:val="39"/>
    <w:qFormat/>
    <w:rsid w:val="0021028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028D"/>
    <w:rPr>
      <w:color w:val="0000FF"/>
      <w:u w:val="single"/>
    </w:rPr>
  </w:style>
  <w:style w:type="paragraph" w:customStyle="1" w:styleId="Appelnotedebasde">
    <w:name w:val="Appel note de bas de..."/>
    <w:basedOn w:val="Normal"/>
    <w:link w:val="Refdenotaalpie"/>
    <w:uiPriority w:val="99"/>
    <w:rsid w:val="0021028D"/>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21028D"/>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1028D"/>
    <w:rPr>
      <w:kern w:val="0"/>
      <w:sz w:val="22"/>
      <w:szCs w:val="22"/>
      <w14:ligatures w14:val="none"/>
    </w:rPr>
  </w:style>
  <w:style w:type="paragraph" w:styleId="Textoindependiente">
    <w:name w:val="Body Text"/>
    <w:basedOn w:val="Normal"/>
    <w:link w:val="TextoindependienteCar"/>
    <w:uiPriority w:val="99"/>
    <w:unhideWhenUsed/>
    <w:rsid w:val="0021028D"/>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21028D"/>
    <w:rPr>
      <w:rFonts w:eastAsiaTheme="minorEastAsia"/>
      <w:kern w:val="0"/>
      <w:sz w:val="22"/>
      <w:szCs w:val="22"/>
      <w:lang w:eastAsia="es-CO"/>
      <w14:ligatures w14:val="none"/>
    </w:rPr>
  </w:style>
  <w:style w:type="paragraph" w:styleId="Sinespaciado">
    <w:name w:val="No Spacing"/>
    <w:aliases w:val="No Indent"/>
    <w:uiPriority w:val="3"/>
    <w:qFormat/>
    <w:rsid w:val="0021028D"/>
    <w:rPr>
      <w:kern w:val="0"/>
      <w:szCs w:val="22"/>
      <w:lang w:val="es-MX"/>
      <w14:ligatures w14:val="none"/>
    </w:rPr>
  </w:style>
  <w:style w:type="character" w:styleId="Mencinsinresolver">
    <w:name w:val="Unresolved Mention"/>
    <w:basedOn w:val="Fuentedeprrafopredeter"/>
    <w:uiPriority w:val="99"/>
    <w:semiHidden/>
    <w:unhideWhenUsed/>
    <w:rsid w:val="0021028D"/>
    <w:rPr>
      <w:color w:val="605E5C"/>
      <w:shd w:val="clear" w:color="auto" w:fill="E1DFDD"/>
    </w:rPr>
  </w:style>
  <w:style w:type="paragraph" w:styleId="Textocomentario">
    <w:name w:val="annotation text"/>
    <w:basedOn w:val="Normal"/>
    <w:link w:val="TextocomentarioCar"/>
    <w:uiPriority w:val="99"/>
    <w:unhideWhenUsed/>
    <w:rsid w:val="005631F4"/>
    <w:pPr>
      <w:spacing w:line="240" w:lineRule="auto"/>
    </w:pPr>
    <w:rPr>
      <w:sz w:val="20"/>
      <w:szCs w:val="20"/>
    </w:rPr>
  </w:style>
  <w:style w:type="character" w:customStyle="1" w:styleId="TextocomentarioCar">
    <w:name w:val="Texto comentario Car"/>
    <w:basedOn w:val="Fuentedeprrafopredeter"/>
    <w:link w:val="Textocomentario"/>
    <w:uiPriority w:val="99"/>
    <w:rsid w:val="005631F4"/>
    <w:rPr>
      <w:kern w:val="0"/>
      <w:sz w:val="20"/>
      <w:szCs w:val="20"/>
      <w14:ligatures w14:val="none"/>
    </w:rPr>
  </w:style>
  <w:style w:type="character" w:customStyle="1" w:styleId="eop">
    <w:name w:val="eop"/>
    <w:basedOn w:val="Fuentedeprrafopredeter"/>
    <w:rsid w:val="0071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9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normativa/codigo-civil-ley-84-de-187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7" Type="http://schemas.openxmlformats.org/officeDocument/2006/relationships/settings" Target="settings.xml"/><Relationship Id="rId12" Type="http://schemas.openxmlformats.org/officeDocument/2006/relationships/hyperlink" Target="mailto:grupojuridicomr@gmail.com" TargetMode="External"/><Relationship Id="rId17" Type="http://schemas.openxmlformats.org/officeDocument/2006/relationships/hyperlink" Target="https://relatoria.colombiacompra.gov.co/normativa/decreto-1082-de-201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normativa/constitucion-politica-de-colombia/" TargetMode="External"/><Relationship Id="rId20" Type="http://schemas.openxmlformats.org/officeDocument/2006/relationships/hyperlink" Target="https://www.colombiacompra.gov.co/sites/cce_public/files/cce_documents/cce-eicp-ma-04._manual_requisitos_habilitantes_v3_29-09-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ley-1437-de-2011/"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relatoria.colombiacompra.gov.co/providencias-consejo-de-esta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2B50-BC91-4D29-9D4E-9A546A694265}">
  <ds:schemaRefs>
    <ds:schemaRef ds:uri="http://schemas.microsoft.com/office/2006/metadata/properties"/>
    <ds:schemaRef ds:uri="http://www.w3.org/XML/1998/namespace"/>
    <ds:schemaRef ds:uri="a6cb9e4b-f1d1-4245-83ec-6cad768d538a"/>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d85dbaf-23eb-4e57-a637-93dcacc8b1a1"/>
  </ds:schemaRefs>
</ds:datastoreItem>
</file>

<file path=customXml/itemProps2.xml><?xml version="1.0" encoding="utf-8"?>
<ds:datastoreItem xmlns:ds="http://schemas.openxmlformats.org/officeDocument/2006/customXml" ds:itemID="{D64BA599-8C20-BE46-8192-D702A343E738}">
  <ds:schemaRefs>
    <ds:schemaRef ds:uri="http://schemas.openxmlformats.org/officeDocument/2006/bibliography"/>
  </ds:schemaRefs>
</ds:datastoreItem>
</file>

<file path=customXml/itemProps3.xml><?xml version="1.0" encoding="utf-8"?>
<ds:datastoreItem xmlns:ds="http://schemas.openxmlformats.org/officeDocument/2006/customXml" ds:itemID="{DF27295E-C9FB-4056-9E9B-6E9FCF452F7B}">
  <ds:schemaRefs>
    <ds:schemaRef ds:uri="http://schemas.microsoft.com/sharepoint/v3/contenttype/forms"/>
  </ds:schemaRefs>
</ds:datastoreItem>
</file>

<file path=customXml/itemProps4.xml><?xml version="1.0" encoding="utf-8"?>
<ds:datastoreItem xmlns:ds="http://schemas.openxmlformats.org/officeDocument/2006/customXml" ds:itemID="{6CB1B6C0-D712-4384-9249-DE532E9E4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4627</Words>
  <Characters>25449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2024-09-05T15:34:00Z</dcterms:created>
  <dcterms:modified xsi:type="dcterms:W3CDTF">2024-09-05T15:34:00Z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