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7503" w:rsidR="00C47503" w:rsidP="00AA6FC9" w:rsidRDefault="00C47503" w14:paraId="51905A2E" w14:textId="6583FF93">
      <w:pPr>
        <w:spacing w:line="276" w:lineRule="auto"/>
        <w:jc w:val="both"/>
        <w:rPr>
          <w:rFonts w:ascii="Verdana" w:hAnsi="Verdana" w:eastAsia="Calibri" w:cs="Arial"/>
          <w:b/>
          <w:bCs/>
          <w:lang w:val="es-ES" w:eastAsia="es-ES"/>
        </w:rPr>
      </w:pPr>
      <w:r w:rsidRPr="00C47503">
        <w:rPr>
          <w:rFonts w:ascii="Verdana" w:hAnsi="Verdana" w:eastAsia="Geomanist Light" w:cs="Arial"/>
          <w:b/>
          <w:bCs/>
          <w:color w:val="000000" w:themeColor="text1"/>
        </w:rPr>
        <w:t xml:space="preserve">LICITACIÓN PÚBLICA </w:t>
      </w:r>
      <w:r w:rsidRPr="00C47503">
        <w:rPr>
          <w:rFonts w:ascii="Verdana" w:hAnsi="Verdana" w:eastAsia="Geomanist Light" w:cs="Arial"/>
          <w:b/>
          <w:bCs/>
          <w:color w:val="000000" w:themeColor="text1"/>
        </w:rPr>
        <w:t xml:space="preserve">– </w:t>
      </w:r>
      <w:r w:rsidRPr="00C47503">
        <w:rPr>
          <w:rFonts w:ascii="Verdana" w:hAnsi="Verdana" w:cs="Arial"/>
          <w:b/>
          <w:bCs/>
          <w:noProof/>
          <w:lang w:val="es-ES_tradnl"/>
        </w:rPr>
        <w:t>Etapas</w:t>
      </w:r>
      <w:r w:rsidRPr="00C47503">
        <w:rPr>
          <w:rFonts w:ascii="Verdana" w:hAnsi="Verdana" w:cs="Arial"/>
          <w:b/>
          <w:bCs/>
          <w:noProof/>
          <w:lang w:val="es-ES_tradnl"/>
        </w:rPr>
        <w:t xml:space="preserve"> - </w:t>
      </w:r>
      <w:r w:rsidRPr="00C47503">
        <w:rPr>
          <w:rFonts w:ascii="Verdana" w:hAnsi="Verdana" w:eastAsia="Times New Roman" w:cs="Arial"/>
          <w:b/>
          <w:bCs/>
        </w:rPr>
        <w:t>Procedimiento reglado – Etapas – Términos perentorios y preclusivos</w:t>
      </w:r>
      <w:r w:rsidRPr="00C47503">
        <w:rPr>
          <w:rFonts w:ascii="Verdana" w:hAnsi="Verdana" w:eastAsia="Times New Roman" w:cs="Arial"/>
          <w:b/>
          <w:bCs/>
        </w:rPr>
        <w:t xml:space="preserve"> - </w:t>
      </w:r>
      <w:r w:rsidRPr="00C47503">
        <w:rPr>
          <w:rFonts w:ascii="Verdana" w:hAnsi="Verdana" w:eastAsia="Times New Roman" w:cs="Arial"/>
          <w:b/>
          <w:bCs/>
        </w:rPr>
        <w:t>Procedimiento – Estructura y etapas generales</w:t>
      </w:r>
    </w:p>
    <w:p w:rsidRPr="00C47503" w:rsidR="00C47503" w:rsidP="00C47503" w:rsidRDefault="00C47503" w14:paraId="73425D2B" w14:textId="3E7398E8">
      <w:pPr>
        <w:spacing w:after="0" w:line="240" w:lineRule="auto"/>
        <w:jc w:val="both"/>
        <w:rPr>
          <w:rFonts w:ascii="Verdana" w:hAnsi="Verdana" w:eastAsia="Geomanist Light" w:cs="Arial"/>
          <w:color w:val="000000" w:themeColor="text1"/>
          <w:sz w:val="20"/>
          <w:szCs w:val="20"/>
          <w:lang w:val="es-MX"/>
        </w:rPr>
      </w:pPr>
      <w:r w:rsidRPr="00C47503">
        <w:rPr>
          <w:rFonts w:ascii="Verdana" w:hAnsi="Verdana" w:eastAsia="Geomanist Light" w:cs="Arial"/>
          <w:color w:val="000000" w:themeColor="text1"/>
          <w:sz w:val="20"/>
          <w:szCs w:val="20"/>
          <w:lang w:val="es-ES_tradnl"/>
        </w:rPr>
        <w:t xml:space="preserve">En lo que tiene que ver con la licitación pública, procedimiento que constituye la </w:t>
      </w:r>
      <w:r w:rsidRPr="00C47503">
        <w:rPr>
          <w:rFonts w:ascii="Verdana" w:hAnsi="Verdana" w:eastAsia="Geomanist Light" w:cs="Arial"/>
          <w:color w:val="000000" w:themeColor="text1"/>
          <w:sz w:val="20"/>
          <w:szCs w:val="20"/>
          <w:lang w:val="es-ES_tradnl"/>
        </w:rPr>
        <w:t>“</w:t>
      </w:r>
      <w:r w:rsidRPr="00C47503">
        <w:rPr>
          <w:rFonts w:ascii="Verdana" w:hAnsi="Verdana" w:eastAsia="Geomanist Light" w:cs="Arial"/>
          <w:color w:val="000000" w:themeColor="text1"/>
          <w:sz w:val="20"/>
          <w:szCs w:val="20"/>
          <w:lang w:val="es-ES_tradnl"/>
        </w:rPr>
        <w:t>regla general</w:t>
      </w:r>
      <w:r w:rsidRPr="00C47503">
        <w:rPr>
          <w:rFonts w:ascii="Verdana" w:hAnsi="Verdana" w:eastAsia="Geomanist Light" w:cs="Arial"/>
          <w:color w:val="000000" w:themeColor="text1"/>
          <w:sz w:val="20"/>
          <w:szCs w:val="20"/>
          <w:lang w:val="es-ES_tradnl"/>
        </w:rPr>
        <w:t>”</w:t>
      </w:r>
      <w:r w:rsidRPr="00C47503">
        <w:rPr>
          <w:rFonts w:ascii="Verdana" w:hAnsi="Verdana" w:eastAsia="Geomanist Light" w:cs="Arial"/>
          <w:color w:val="000000" w:themeColor="text1"/>
          <w:sz w:val="20"/>
          <w:szCs w:val="20"/>
          <w:lang w:val="es-ES_tradnl"/>
        </w:rPr>
        <w:t xml:space="preserve">,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 </w:t>
      </w:r>
      <w:r w:rsidRPr="00C47503">
        <w:rPr>
          <w:rFonts w:ascii="Verdana" w:hAnsi="Verdana" w:eastAsia="Geomanist Light" w:cs="Arial"/>
          <w:color w:val="000000" w:themeColor="text1"/>
          <w:sz w:val="20"/>
          <w:szCs w:val="20"/>
          <w:lang w:val="es-ES"/>
        </w:rPr>
        <w:t>[…]</w:t>
      </w:r>
    </w:p>
    <w:p w:rsidRPr="0007375E" w:rsidR="009368E8" w:rsidP="009368E8" w:rsidRDefault="009368E8" w14:paraId="34B2E561" w14:textId="77777777">
      <w:pPr>
        <w:spacing w:after="0" w:line="240" w:lineRule="auto"/>
        <w:rPr>
          <w:rFonts w:ascii="Verdana" w:hAnsi="Verdana" w:eastAsia="Geomanist Light" w:cs="Arial"/>
          <w:color w:val="000000" w:themeColor="text1"/>
          <w:lang w:val="es-MX"/>
        </w:rPr>
      </w:pPr>
    </w:p>
    <w:p w:rsidRPr="00C47503" w:rsidR="00C47503" w:rsidP="00C47503" w:rsidRDefault="00C47503" w14:paraId="0D8A9BD6" w14:textId="77777777">
      <w:pPr>
        <w:spacing w:after="0" w:line="240" w:lineRule="auto"/>
        <w:jc w:val="both"/>
        <w:rPr>
          <w:rFonts w:ascii="Verdana" w:hAnsi="Verdana" w:eastAsia="Geomanist Light" w:cs="Arial"/>
          <w:color w:val="000000" w:themeColor="text1"/>
          <w:lang w:val="es-ES_tradnl"/>
        </w:rPr>
      </w:pPr>
      <w:r w:rsidRPr="00C47503">
        <w:rPr>
          <w:rFonts w:ascii="Verdana" w:hAnsi="Verdana" w:eastAsia="Geomanist Light" w:cs="Arial"/>
          <w:color w:val="000000" w:themeColor="text1"/>
          <w:lang w:val="es-ES"/>
        </w:rPr>
        <w:t xml:space="preserve">[…] </w:t>
      </w:r>
      <w:r w:rsidRPr="00C47503">
        <w:rPr>
          <w:rFonts w:ascii="Verdana" w:hAnsi="Verdana" w:eastAsia="Geomanist Light" w:cs="Arial"/>
          <w:color w:val="000000" w:themeColor="text1"/>
          <w:lang w:val="es-ES_tradnl"/>
        </w:rPr>
        <w:t>Una vez precluida la oportunidad para presentar ofertas, en el plazo que señala el pliego de condiciones −numeral 7−, el comité evaluador de la entidad realizará “los estudios técnicos, económicos y jurídicos necesarios para la evaluación de las propuestas” y además podrá pedir a los proponentes las aclaraciones y explicaciones que considere pertinentes.</w:t>
      </w:r>
    </w:p>
    <w:p w:rsidRPr="00C47503" w:rsidR="00C47503" w:rsidP="350CA61C" w:rsidRDefault="00C47503" w14:paraId="198907A2" w14:textId="77777777" w14:noSpellErr="1">
      <w:pPr>
        <w:spacing w:after="0" w:line="240" w:lineRule="auto"/>
        <w:jc w:val="both"/>
        <w:rPr>
          <w:rFonts w:ascii="Verdana" w:hAnsi="Verdana" w:eastAsia="Geomanist Light" w:cs="Arial"/>
          <w:color w:val="000000" w:themeColor="text1"/>
          <w:lang w:val="es-ES"/>
        </w:rPr>
      </w:pPr>
      <w:r w:rsidRPr="350CA61C" w:rsidR="00C47503">
        <w:rPr>
          <w:rFonts w:ascii="Verdana" w:hAnsi="Verdana" w:eastAsia="Geomanist Light" w:cs="Arial"/>
          <w:color w:val="000000" w:themeColor="text1" w:themeTint="FF" w:themeShade="FF"/>
          <w:lang w:val="es-ES"/>
        </w:rPr>
        <w:t>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w:t>
      </w:r>
    </w:p>
    <w:p w:rsidRPr="00C47503" w:rsidR="00C47503" w:rsidP="00C47503" w:rsidRDefault="00C47503" w14:paraId="38F68FBE" w14:textId="77777777">
      <w:pPr>
        <w:spacing w:after="0" w:line="240" w:lineRule="auto"/>
        <w:jc w:val="both"/>
        <w:rPr>
          <w:rFonts w:ascii="Verdana" w:hAnsi="Verdana" w:eastAsia="Geomanist Light" w:cs="Arial"/>
          <w:color w:val="000000" w:themeColor="text1"/>
          <w:lang w:val="es-ES_tradnl"/>
        </w:rPr>
      </w:pPr>
      <w:r w:rsidRPr="00C47503">
        <w:rPr>
          <w:rFonts w:ascii="Verdana" w:hAnsi="Verdana" w:eastAsia="Geomanist Light" w:cs="Arial"/>
          <w:color w:val="000000" w:themeColor="text1"/>
          <w:lang w:val="es-ES_tradnl"/>
        </w:rPr>
        <w:t xml:space="preserve">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w:t>
      </w:r>
    </w:p>
    <w:p w:rsidRPr="00C47503" w:rsidR="00C47503" w:rsidP="00C47503" w:rsidRDefault="00C47503" w14:paraId="65F54736" w14:textId="22FED4D8">
      <w:pPr>
        <w:spacing w:after="0" w:line="240" w:lineRule="auto"/>
        <w:jc w:val="both"/>
        <w:rPr>
          <w:rFonts w:ascii="Verdana" w:hAnsi="Verdana" w:eastAsia="Geomanist Light" w:cs="Arial"/>
          <w:color w:val="000000" w:themeColor="text1"/>
          <w:lang w:val="es-ES_tradnl"/>
        </w:rPr>
      </w:pPr>
      <w:r w:rsidRPr="00C47503">
        <w:rPr>
          <w:rFonts w:ascii="Verdana" w:hAnsi="Verdana" w:eastAsia="Geomanist Light" w:cs="Arial"/>
          <w:color w:val="000000" w:themeColor="text1"/>
          <w:lang w:val="es-ES_tradnl"/>
        </w:rPr>
        <w:t xml:space="preserve">Esta instancia está prevista para corregir errores en la evaluación y su fin esencial es </w:t>
      </w:r>
      <w:r>
        <w:rPr>
          <w:rFonts w:ascii="Verdana" w:hAnsi="Verdana" w:eastAsia="Geomanist Light" w:cs="Arial"/>
          <w:color w:val="000000" w:themeColor="text1"/>
          <w:lang w:val="es-ES_tradnl"/>
        </w:rPr>
        <w:t>“</w:t>
      </w:r>
      <w:r w:rsidRPr="00C47503">
        <w:rPr>
          <w:rFonts w:ascii="Verdana" w:hAnsi="Verdana" w:eastAsia="Geomanist Light" w:cs="Arial"/>
          <w:color w:val="000000" w:themeColor="text1"/>
          <w:lang w:val="es-ES_tradnl"/>
        </w:rPr>
        <w:t xml:space="preserve">hacerle ver a la entidad los errores que pudo haber cometido en procura de corregirlos y así adoptar la decisión que realmente se ajuste a derecho”. </w:t>
      </w:r>
    </w:p>
    <w:p w:rsidRPr="00C47503" w:rsidR="00C47503" w:rsidP="00C47503" w:rsidRDefault="00C47503" w14:paraId="0DB9BEA2" w14:textId="77777777">
      <w:pPr>
        <w:spacing w:after="0" w:line="240" w:lineRule="auto"/>
        <w:jc w:val="both"/>
        <w:rPr>
          <w:rFonts w:ascii="Verdana" w:hAnsi="Verdana" w:eastAsia="Geomanist Light" w:cs="Arial"/>
          <w:color w:val="000000" w:themeColor="text1"/>
          <w:lang w:val="es-ES_tradnl"/>
        </w:rPr>
      </w:pPr>
      <w:r w:rsidRPr="00C47503">
        <w:rPr>
          <w:rFonts w:ascii="Verdana" w:hAnsi="Verdana" w:eastAsia="Geomanist Light" w:cs="Arial"/>
          <w:color w:val="000000" w:themeColor="text1"/>
          <w:lang w:val="es-ES_tradnl"/>
        </w:rPr>
        <w:t xml:space="preserve">En la primera hipótesis, regulada por el parágrafo 3 del artículo 30 de la Ley 80 de 1993, adicionado por el artículo 1 de la Ley 1882 de 2018, la entidad deberá publicar el informe de evaluación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w:t>
      </w:r>
      <w:r w:rsidRPr="00C47503">
        <w:rPr>
          <w:rFonts w:ascii="Verdana" w:hAnsi="Verdana" w:eastAsia="Geomanist Light" w:cs="Arial"/>
          <w:color w:val="000000" w:themeColor="text1"/>
          <w:lang w:val="es-ES_tradnl"/>
        </w:rPr>
        <w:lastRenderedPageBreak/>
        <w:t>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informe final de evaluación de los requisitos habilitantes y los requisitos objeto de puntuación, distintos a la oferta económica.</w:t>
      </w:r>
    </w:p>
    <w:p w:rsidRPr="00C47503" w:rsidR="00C47503" w:rsidP="009368E8" w:rsidRDefault="00C47503" w14:paraId="099613C7" w14:textId="77777777">
      <w:pPr>
        <w:spacing w:after="0" w:line="240" w:lineRule="auto"/>
        <w:rPr>
          <w:rFonts w:ascii="Verdana" w:hAnsi="Verdana" w:eastAsia="Geomanist Light" w:cs="Arial"/>
          <w:color w:val="000000" w:themeColor="text1"/>
          <w:lang w:val="es-ES_tradnl"/>
        </w:rPr>
      </w:pPr>
    </w:p>
    <w:p w:rsidR="00C47503" w:rsidP="009368E8" w:rsidRDefault="00C47503" w14:paraId="4B9517F3" w14:textId="77777777">
      <w:pPr>
        <w:spacing w:after="0" w:line="240" w:lineRule="auto"/>
        <w:rPr>
          <w:rFonts w:ascii="Verdana" w:hAnsi="Verdana" w:eastAsia="Geomanist Light" w:cs="Arial"/>
          <w:color w:val="000000" w:themeColor="text1"/>
          <w:lang w:val="es-MX"/>
        </w:rPr>
      </w:pPr>
    </w:p>
    <w:p w:rsidR="00C47503" w:rsidP="009368E8" w:rsidRDefault="00C47503" w14:paraId="60F35E3B" w14:textId="77777777">
      <w:pPr>
        <w:spacing w:after="0" w:line="240" w:lineRule="auto"/>
        <w:rPr>
          <w:rFonts w:ascii="Verdana" w:hAnsi="Verdana" w:eastAsia="Geomanist Light" w:cs="Arial"/>
          <w:color w:val="000000" w:themeColor="text1"/>
          <w:lang w:val="es-MX"/>
        </w:rPr>
      </w:pPr>
    </w:p>
    <w:p w:rsidR="00C47503" w:rsidP="009368E8" w:rsidRDefault="00C47503" w14:paraId="193D78A5" w14:textId="77777777">
      <w:pPr>
        <w:spacing w:after="0" w:line="240" w:lineRule="auto"/>
        <w:rPr>
          <w:rFonts w:ascii="Verdana" w:hAnsi="Verdana" w:eastAsia="Geomanist Light" w:cs="Arial"/>
          <w:color w:val="000000" w:themeColor="text1"/>
          <w:lang w:val="es-MX"/>
        </w:rPr>
      </w:pPr>
    </w:p>
    <w:p w:rsidR="00C47503" w:rsidP="009368E8" w:rsidRDefault="00C47503" w14:paraId="438D4B36" w14:textId="77777777">
      <w:pPr>
        <w:spacing w:after="0" w:line="240" w:lineRule="auto"/>
        <w:rPr>
          <w:rFonts w:ascii="Verdana" w:hAnsi="Verdana" w:eastAsia="Geomanist Light" w:cs="Arial"/>
          <w:color w:val="000000" w:themeColor="text1"/>
          <w:lang w:val="es-MX"/>
        </w:rPr>
      </w:pPr>
    </w:p>
    <w:p w:rsidR="00C47503" w:rsidP="009368E8" w:rsidRDefault="00C47503" w14:paraId="5D924161" w14:textId="77777777">
      <w:pPr>
        <w:spacing w:after="0" w:line="240" w:lineRule="auto"/>
        <w:rPr>
          <w:rFonts w:ascii="Verdana" w:hAnsi="Verdana" w:eastAsia="Geomanist Light" w:cs="Arial"/>
          <w:color w:val="000000" w:themeColor="text1"/>
          <w:lang w:val="es-MX"/>
        </w:rPr>
      </w:pPr>
    </w:p>
    <w:p w:rsidR="00C47503" w:rsidP="009368E8" w:rsidRDefault="00C47503" w14:paraId="7974E3AC" w14:textId="77777777">
      <w:pPr>
        <w:spacing w:after="0" w:line="240" w:lineRule="auto"/>
        <w:rPr>
          <w:rFonts w:ascii="Verdana" w:hAnsi="Verdana" w:eastAsia="Geomanist Light" w:cs="Arial"/>
          <w:color w:val="000000" w:themeColor="text1"/>
          <w:lang w:val="es-MX"/>
        </w:rPr>
      </w:pPr>
    </w:p>
    <w:p w:rsidR="00C47503" w:rsidP="009368E8" w:rsidRDefault="00C47503" w14:paraId="3B7D8309" w14:textId="77777777">
      <w:pPr>
        <w:spacing w:after="0" w:line="240" w:lineRule="auto"/>
        <w:rPr>
          <w:rFonts w:ascii="Verdana" w:hAnsi="Verdana" w:eastAsia="Geomanist Light" w:cs="Arial"/>
          <w:color w:val="000000" w:themeColor="text1"/>
          <w:lang w:val="es-MX"/>
        </w:rPr>
      </w:pPr>
    </w:p>
    <w:p w:rsidR="00C47503" w:rsidP="009368E8" w:rsidRDefault="00C47503" w14:paraId="253F9AAB" w14:textId="77777777">
      <w:pPr>
        <w:spacing w:after="0" w:line="240" w:lineRule="auto"/>
        <w:rPr>
          <w:rFonts w:ascii="Verdana" w:hAnsi="Verdana" w:eastAsia="Geomanist Light" w:cs="Arial"/>
          <w:color w:val="000000" w:themeColor="text1"/>
          <w:lang w:val="es-MX"/>
        </w:rPr>
      </w:pPr>
    </w:p>
    <w:p w:rsidR="00C47503" w:rsidP="009368E8" w:rsidRDefault="00C47503" w14:paraId="43A49D80" w14:textId="77777777">
      <w:pPr>
        <w:spacing w:after="0" w:line="240" w:lineRule="auto"/>
        <w:rPr>
          <w:rFonts w:ascii="Verdana" w:hAnsi="Verdana" w:eastAsia="Geomanist Light" w:cs="Arial"/>
          <w:color w:val="000000" w:themeColor="text1"/>
          <w:lang w:val="es-MX"/>
        </w:rPr>
      </w:pPr>
    </w:p>
    <w:p w:rsidR="00C47503" w:rsidP="009368E8" w:rsidRDefault="00C47503" w14:paraId="00738CFE" w14:textId="77777777">
      <w:pPr>
        <w:spacing w:after="0" w:line="240" w:lineRule="auto"/>
        <w:rPr>
          <w:rFonts w:ascii="Verdana" w:hAnsi="Verdana" w:eastAsia="Geomanist Light" w:cs="Arial"/>
          <w:color w:val="000000" w:themeColor="text1"/>
          <w:lang w:val="es-MX"/>
        </w:rPr>
      </w:pPr>
    </w:p>
    <w:p w:rsidR="00C47503" w:rsidP="009368E8" w:rsidRDefault="00C47503" w14:paraId="247BA516" w14:textId="77777777">
      <w:pPr>
        <w:spacing w:after="0" w:line="240" w:lineRule="auto"/>
        <w:rPr>
          <w:rFonts w:ascii="Verdana" w:hAnsi="Verdana" w:eastAsia="Geomanist Light" w:cs="Arial"/>
          <w:color w:val="000000" w:themeColor="text1"/>
          <w:lang w:val="es-MX"/>
        </w:rPr>
      </w:pPr>
    </w:p>
    <w:p w:rsidR="00C47503" w:rsidP="009368E8" w:rsidRDefault="00C47503" w14:paraId="5BEF97C2" w14:textId="77777777">
      <w:pPr>
        <w:spacing w:after="0" w:line="240" w:lineRule="auto"/>
        <w:rPr>
          <w:rFonts w:ascii="Verdana" w:hAnsi="Verdana" w:eastAsia="Geomanist Light" w:cs="Arial"/>
          <w:color w:val="000000" w:themeColor="text1"/>
          <w:lang w:val="es-MX"/>
        </w:rPr>
      </w:pPr>
    </w:p>
    <w:p w:rsidR="00C47503" w:rsidP="009368E8" w:rsidRDefault="00C47503" w14:paraId="71C288BE" w14:textId="77777777">
      <w:pPr>
        <w:spacing w:after="0" w:line="240" w:lineRule="auto"/>
        <w:rPr>
          <w:rFonts w:ascii="Verdana" w:hAnsi="Verdana" w:eastAsia="Geomanist Light" w:cs="Arial"/>
          <w:color w:val="000000" w:themeColor="text1"/>
          <w:lang w:val="es-MX"/>
        </w:rPr>
      </w:pPr>
    </w:p>
    <w:p w:rsidR="00C47503" w:rsidP="009368E8" w:rsidRDefault="00C47503" w14:paraId="09527F0B" w14:textId="77777777">
      <w:pPr>
        <w:spacing w:after="0" w:line="240" w:lineRule="auto"/>
        <w:rPr>
          <w:rFonts w:ascii="Verdana" w:hAnsi="Verdana" w:eastAsia="Geomanist Light" w:cs="Arial"/>
          <w:color w:val="000000" w:themeColor="text1"/>
          <w:lang w:val="es-MX"/>
        </w:rPr>
      </w:pPr>
    </w:p>
    <w:p w:rsidR="00C47503" w:rsidP="009368E8" w:rsidRDefault="00C47503" w14:paraId="0E193CD8" w14:textId="77777777">
      <w:pPr>
        <w:spacing w:after="0" w:line="240" w:lineRule="auto"/>
        <w:rPr>
          <w:rFonts w:ascii="Verdana" w:hAnsi="Verdana" w:eastAsia="Geomanist Light" w:cs="Arial"/>
          <w:color w:val="000000" w:themeColor="text1"/>
          <w:lang w:val="es-MX"/>
        </w:rPr>
      </w:pPr>
    </w:p>
    <w:p w:rsidR="00C47503" w:rsidP="009368E8" w:rsidRDefault="00C47503" w14:paraId="22B97882" w14:textId="77777777">
      <w:pPr>
        <w:spacing w:after="0" w:line="240" w:lineRule="auto"/>
        <w:rPr>
          <w:rFonts w:ascii="Verdana" w:hAnsi="Verdana" w:eastAsia="Geomanist Light" w:cs="Arial"/>
          <w:color w:val="000000" w:themeColor="text1"/>
          <w:lang w:val="es-MX"/>
        </w:rPr>
      </w:pPr>
    </w:p>
    <w:p w:rsidR="00C47503" w:rsidP="009368E8" w:rsidRDefault="00C47503" w14:paraId="7B4D3AB9" w14:textId="77777777">
      <w:pPr>
        <w:spacing w:after="0" w:line="240" w:lineRule="auto"/>
        <w:rPr>
          <w:rFonts w:ascii="Verdana" w:hAnsi="Verdana" w:eastAsia="Geomanist Light" w:cs="Arial"/>
          <w:color w:val="000000" w:themeColor="text1"/>
          <w:lang w:val="es-MX"/>
        </w:rPr>
      </w:pPr>
    </w:p>
    <w:p w:rsidR="00C47503" w:rsidP="009368E8" w:rsidRDefault="00C47503" w14:paraId="1F08BEED" w14:textId="77777777">
      <w:pPr>
        <w:spacing w:after="0" w:line="240" w:lineRule="auto"/>
        <w:rPr>
          <w:rFonts w:ascii="Verdana" w:hAnsi="Verdana" w:eastAsia="Geomanist Light" w:cs="Arial"/>
          <w:color w:val="000000" w:themeColor="text1"/>
          <w:lang w:val="es-MX"/>
        </w:rPr>
      </w:pPr>
    </w:p>
    <w:p w:rsidR="00C47503" w:rsidP="009368E8" w:rsidRDefault="00C47503" w14:paraId="3B387C71" w14:textId="77777777">
      <w:pPr>
        <w:spacing w:after="0" w:line="240" w:lineRule="auto"/>
        <w:rPr>
          <w:rFonts w:ascii="Verdana" w:hAnsi="Verdana" w:eastAsia="Geomanist Light" w:cs="Arial"/>
          <w:color w:val="000000" w:themeColor="text1"/>
          <w:lang w:val="es-MX"/>
        </w:rPr>
      </w:pPr>
    </w:p>
    <w:p w:rsidR="00C47503" w:rsidP="009368E8" w:rsidRDefault="00C47503" w14:paraId="1606727B" w14:textId="77777777">
      <w:pPr>
        <w:spacing w:after="0" w:line="240" w:lineRule="auto"/>
        <w:rPr>
          <w:rFonts w:ascii="Verdana" w:hAnsi="Verdana" w:eastAsia="Geomanist Light" w:cs="Arial"/>
          <w:color w:val="000000" w:themeColor="text1"/>
          <w:lang w:val="es-MX"/>
        </w:rPr>
      </w:pPr>
    </w:p>
    <w:p w:rsidR="00C47503" w:rsidP="009368E8" w:rsidRDefault="00C47503" w14:paraId="2F32035F" w14:textId="77777777">
      <w:pPr>
        <w:spacing w:after="0" w:line="240" w:lineRule="auto"/>
        <w:rPr>
          <w:rFonts w:ascii="Verdana" w:hAnsi="Verdana" w:eastAsia="Geomanist Light" w:cs="Arial"/>
          <w:color w:val="000000" w:themeColor="text1"/>
          <w:lang w:val="es-MX"/>
        </w:rPr>
      </w:pPr>
    </w:p>
    <w:p w:rsidR="00C47503" w:rsidP="009368E8" w:rsidRDefault="00C47503" w14:paraId="2F64A64E" w14:textId="77777777">
      <w:pPr>
        <w:spacing w:after="0" w:line="240" w:lineRule="auto"/>
        <w:rPr>
          <w:rFonts w:ascii="Verdana" w:hAnsi="Verdana" w:eastAsia="Geomanist Light" w:cs="Arial"/>
          <w:color w:val="000000" w:themeColor="text1"/>
          <w:lang w:val="es-MX"/>
        </w:rPr>
      </w:pPr>
    </w:p>
    <w:p w:rsidR="00C47503" w:rsidP="009368E8" w:rsidRDefault="00C47503" w14:paraId="75743EEF" w14:textId="77777777">
      <w:pPr>
        <w:spacing w:after="0" w:line="240" w:lineRule="auto"/>
        <w:rPr>
          <w:rFonts w:ascii="Verdana" w:hAnsi="Verdana" w:eastAsia="Geomanist Light" w:cs="Arial"/>
          <w:color w:val="000000" w:themeColor="text1"/>
          <w:lang w:val="es-MX"/>
        </w:rPr>
      </w:pPr>
    </w:p>
    <w:p w:rsidR="00C47503" w:rsidP="009368E8" w:rsidRDefault="00C47503" w14:paraId="08364992" w14:textId="77777777">
      <w:pPr>
        <w:spacing w:after="0" w:line="240" w:lineRule="auto"/>
        <w:rPr>
          <w:rFonts w:ascii="Verdana" w:hAnsi="Verdana" w:eastAsia="Geomanist Light" w:cs="Arial"/>
          <w:color w:val="000000" w:themeColor="text1"/>
          <w:lang w:val="es-MX"/>
        </w:rPr>
      </w:pPr>
    </w:p>
    <w:p w:rsidR="00C47503" w:rsidP="009368E8" w:rsidRDefault="00C47503" w14:paraId="161E4F46" w14:textId="77777777">
      <w:pPr>
        <w:spacing w:after="0" w:line="240" w:lineRule="auto"/>
        <w:rPr>
          <w:rFonts w:ascii="Verdana" w:hAnsi="Verdana" w:eastAsia="Geomanist Light" w:cs="Arial"/>
          <w:color w:val="000000" w:themeColor="text1"/>
          <w:lang w:val="es-MX"/>
        </w:rPr>
      </w:pPr>
    </w:p>
    <w:p w:rsidR="00C47503" w:rsidP="009368E8" w:rsidRDefault="00C47503" w14:paraId="15E04A2B" w14:textId="77777777">
      <w:pPr>
        <w:spacing w:after="0" w:line="240" w:lineRule="auto"/>
        <w:rPr>
          <w:rFonts w:ascii="Verdana" w:hAnsi="Verdana" w:eastAsia="Geomanist Light" w:cs="Arial"/>
          <w:color w:val="000000" w:themeColor="text1"/>
          <w:lang w:val="es-MX"/>
        </w:rPr>
      </w:pPr>
    </w:p>
    <w:p w:rsidR="00C47503" w:rsidP="009368E8" w:rsidRDefault="00C47503" w14:paraId="42C635AD" w14:textId="77777777">
      <w:pPr>
        <w:spacing w:after="0" w:line="240" w:lineRule="auto"/>
        <w:rPr>
          <w:rFonts w:ascii="Verdana" w:hAnsi="Verdana" w:eastAsia="Geomanist Light" w:cs="Arial"/>
          <w:color w:val="000000" w:themeColor="text1"/>
          <w:lang w:val="es-MX"/>
        </w:rPr>
      </w:pPr>
    </w:p>
    <w:p w:rsidR="00C47503" w:rsidP="009368E8" w:rsidRDefault="00C47503" w14:paraId="0708A09F" w14:textId="77777777">
      <w:pPr>
        <w:spacing w:after="0" w:line="240" w:lineRule="auto"/>
        <w:rPr>
          <w:rFonts w:ascii="Verdana" w:hAnsi="Verdana" w:eastAsia="Geomanist Light" w:cs="Arial"/>
          <w:color w:val="000000" w:themeColor="text1"/>
          <w:lang w:val="es-MX"/>
        </w:rPr>
      </w:pPr>
    </w:p>
    <w:p w:rsidR="00C47503" w:rsidP="009368E8" w:rsidRDefault="00C47503" w14:paraId="291F2BC1" w14:textId="77777777">
      <w:pPr>
        <w:spacing w:after="0" w:line="240" w:lineRule="auto"/>
        <w:rPr>
          <w:rFonts w:ascii="Verdana" w:hAnsi="Verdana" w:eastAsia="Geomanist Light" w:cs="Arial"/>
          <w:color w:val="000000" w:themeColor="text1"/>
          <w:lang w:val="es-MX"/>
        </w:rPr>
      </w:pPr>
    </w:p>
    <w:p w:rsidR="00C47503" w:rsidP="009368E8" w:rsidRDefault="00C47503" w14:paraId="0AD718B7" w14:textId="77777777">
      <w:pPr>
        <w:spacing w:after="0" w:line="240" w:lineRule="auto"/>
        <w:rPr>
          <w:rFonts w:ascii="Verdana" w:hAnsi="Verdana" w:eastAsia="Geomanist Light" w:cs="Arial"/>
          <w:color w:val="000000" w:themeColor="text1"/>
          <w:lang w:val="es-MX"/>
        </w:rPr>
      </w:pPr>
    </w:p>
    <w:p w:rsidR="00C47503" w:rsidP="009368E8" w:rsidRDefault="00C47503" w14:paraId="28347E6F" w14:textId="77777777">
      <w:pPr>
        <w:spacing w:after="0" w:line="240" w:lineRule="auto"/>
        <w:rPr>
          <w:rFonts w:ascii="Verdana" w:hAnsi="Verdana" w:eastAsia="Geomanist Light" w:cs="Arial"/>
          <w:color w:val="000000" w:themeColor="text1"/>
          <w:lang w:val="es-MX"/>
        </w:rPr>
      </w:pPr>
    </w:p>
    <w:p w:rsidR="00C47503" w:rsidP="009368E8" w:rsidRDefault="00C47503" w14:paraId="23FED587" w14:textId="77777777">
      <w:pPr>
        <w:spacing w:after="0" w:line="240" w:lineRule="auto"/>
        <w:rPr>
          <w:rFonts w:ascii="Verdana" w:hAnsi="Verdana" w:eastAsia="Geomanist Light" w:cs="Arial"/>
          <w:color w:val="000000" w:themeColor="text1"/>
          <w:lang w:val="es-MX"/>
        </w:rPr>
      </w:pPr>
    </w:p>
    <w:p w:rsidR="00C47503" w:rsidP="009368E8" w:rsidRDefault="00C47503" w14:paraId="2AA4BFC9" w14:textId="77777777">
      <w:pPr>
        <w:spacing w:after="0" w:line="240" w:lineRule="auto"/>
        <w:rPr>
          <w:rFonts w:ascii="Verdana" w:hAnsi="Verdana" w:eastAsia="Geomanist Light" w:cs="Arial"/>
          <w:color w:val="000000" w:themeColor="text1"/>
          <w:lang w:val="es-MX"/>
        </w:rPr>
      </w:pPr>
    </w:p>
    <w:p w:rsidR="00C47503" w:rsidP="009368E8" w:rsidRDefault="00C47503" w14:paraId="74C52463" w14:textId="77777777">
      <w:pPr>
        <w:spacing w:after="0" w:line="240" w:lineRule="auto"/>
        <w:rPr>
          <w:rFonts w:ascii="Verdana" w:hAnsi="Verdana" w:eastAsia="Geomanist Light" w:cs="Arial"/>
          <w:color w:val="000000" w:themeColor="text1"/>
          <w:lang w:val="es-MX"/>
        </w:rPr>
      </w:pPr>
    </w:p>
    <w:p w:rsidR="00C47503" w:rsidP="009368E8" w:rsidRDefault="00C47503" w14:paraId="2B3EC1AF" w14:textId="77777777">
      <w:pPr>
        <w:spacing w:after="0" w:line="240" w:lineRule="auto"/>
        <w:rPr>
          <w:rFonts w:ascii="Verdana" w:hAnsi="Verdana" w:eastAsia="Geomanist Light" w:cs="Arial"/>
          <w:color w:val="000000" w:themeColor="text1"/>
          <w:lang w:val="es-MX"/>
        </w:rPr>
      </w:pPr>
    </w:p>
    <w:p w:rsidR="00C47503" w:rsidP="009368E8" w:rsidRDefault="00C47503" w14:paraId="0914B006" w14:textId="77777777">
      <w:pPr>
        <w:spacing w:after="0" w:line="240" w:lineRule="auto"/>
        <w:rPr>
          <w:rFonts w:ascii="Verdana" w:hAnsi="Verdana" w:eastAsia="Geomanist Light" w:cs="Arial"/>
          <w:color w:val="000000" w:themeColor="text1"/>
          <w:lang w:val="es-MX"/>
        </w:rPr>
      </w:pPr>
    </w:p>
    <w:p w:rsidR="00C47503" w:rsidP="009368E8" w:rsidRDefault="00C47503" w14:paraId="426168C9" w14:textId="77777777">
      <w:pPr>
        <w:spacing w:after="0" w:line="240" w:lineRule="auto"/>
        <w:rPr>
          <w:rFonts w:ascii="Verdana" w:hAnsi="Verdana" w:eastAsia="Geomanist Light" w:cs="Arial"/>
          <w:color w:val="000000" w:themeColor="text1"/>
          <w:lang w:val="es-MX"/>
        </w:rPr>
      </w:pPr>
    </w:p>
    <w:p w:rsidR="00AA6FC9" w:rsidP="009368E8" w:rsidRDefault="00AA6FC9" w14:paraId="1F30F87A" w14:textId="77777777">
      <w:pPr>
        <w:spacing w:after="0" w:line="240" w:lineRule="auto"/>
        <w:rPr>
          <w:rFonts w:ascii="Verdana" w:hAnsi="Verdana" w:eastAsia="Geomanist Light" w:cs="Arial"/>
          <w:color w:val="000000" w:themeColor="text1"/>
          <w:lang w:val="es-MX"/>
        </w:rPr>
      </w:pPr>
    </w:p>
    <w:p w:rsidRPr="00CF64C0" w:rsidR="009368E8" w:rsidP="009368E8" w:rsidRDefault="009368E8" w14:paraId="4E168039" w14:textId="7DA0DC51">
      <w:pPr>
        <w:spacing w:after="0" w:line="240" w:lineRule="auto"/>
        <w:rPr>
          <w:rFonts w:ascii="Verdana" w:hAnsi="Verdana" w:eastAsia="Geomanist Light" w:cs="Arial"/>
          <w:color w:val="201F1E"/>
          <w:lang w:val="es-MX"/>
        </w:rPr>
      </w:pPr>
      <w:r w:rsidRPr="00CF64C0">
        <w:rPr>
          <w:rFonts w:ascii="Verdana" w:hAnsi="Verdana" w:eastAsia="Geomanist Light" w:cs="Arial"/>
          <w:color w:val="000000" w:themeColor="text1"/>
          <w:lang w:val="es-MX"/>
        </w:rPr>
        <w:t>Bogotá D.C., </w:t>
      </w:r>
      <w:r w:rsidRPr="00CF64C0">
        <w:rPr>
          <w:rFonts w:ascii="Verdana" w:hAnsi="Verdana" w:eastAsia="Geomanist Light" w:cs="Arial"/>
          <w:color w:val="201F1E"/>
          <w:lang w:val="es-MX"/>
        </w:rPr>
        <w:t>[Día] de [</w:t>
      </w:r>
      <w:proofErr w:type="spellStart"/>
      <w:r w:rsidRPr="00CF64C0">
        <w:rPr>
          <w:rFonts w:ascii="Verdana" w:hAnsi="Verdana" w:eastAsia="Geomanist Light" w:cs="Arial"/>
          <w:color w:val="201F1E"/>
          <w:lang w:val="es-MX"/>
        </w:rPr>
        <w:t>Mes.NombreCapitalizado</w:t>
      </w:r>
      <w:proofErr w:type="spellEnd"/>
      <w:r w:rsidRPr="00CF64C0">
        <w:rPr>
          <w:rFonts w:ascii="Verdana" w:hAnsi="Verdana" w:eastAsia="Geomanist Light" w:cs="Arial"/>
          <w:color w:val="201F1E"/>
          <w:lang w:val="es-MX"/>
        </w:rPr>
        <w:t>] de [Año]</w:t>
      </w:r>
    </w:p>
    <w:p w:rsidR="009368E8" w:rsidP="009368E8" w:rsidRDefault="00C47503" w14:paraId="5041D735" w14:textId="2D156BE1">
      <w:pPr>
        <w:spacing w:after="0" w:line="240" w:lineRule="auto"/>
        <w:jc w:val="both"/>
        <w:rPr>
          <w:rFonts w:ascii="Verdana" w:hAnsi="Verdana" w:eastAsia="Calibri" w:cs="Arial"/>
          <w:color w:val="000000"/>
          <w:lang w:val="es-ES"/>
        </w:rPr>
      </w:pPr>
      <w:r w:rsidRPr="00C47503">
        <w:rPr>
          <w:rFonts w:ascii="Verdana" w:hAnsi="Verdana" w:eastAsia="Calibri" w:cs="Arial"/>
          <w:color w:val="000000"/>
          <w:lang w:val="es-ES"/>
        </w:rPr>
        <w:drawing>
          <wp:anchor distT="0" distB="0" distL="114300" distR="114300" simplePos="0" relativeHeight="251658240" behindDoc="1" locked="0" layoutInCell="1" allowOverlap="1" wp14:anchorId="2E5F2AAE" wp14:editId="6C8F5006">
            <wp:simplePos x="0" y="0"/>
            <wp:positionH relativeFrom="column">
              <wp:posOffset>2920365</wp:posOffset>
            </wp:positionH>
            <wp:positionV relativeFrom="paragraph">
              <wp:posOffset>71755</wp:posOffset>
            </wp:positionV>
            <wp:extent cx="3429000" cy="1057275"/>
            <wp:effectExtent l="0" t="0" r="0" b="9525"/>
            <wp:wrapTight wrapText="bothSides">
              <wp:wrapPolygon edited="0">
                <wp:start x="0" y="0"/>
                <wp:lineTo x="0" y="21405"/>
                <wp:lineTo x="21480" y="21405"/>
                <wp:lineTo x="21480" y="0"/>
                <wp:lineTo x="0" y="0"/>
              </wp:wrapPolygon>
            </wp:wrapTight>
            <wp:docPr id="921745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45498" name=""/>
                    <pic:cNvPicPr/>
                  </pic:nvPicPr>
                  <pic:blipFill>
                    <a:blip r:embed="rId10">
                      <a:extLst>
                        <a:ext uri="{28A0092B-C50C-407E-A947-70E740481C1C}">
                          <a14:useLocalDpi xmlns:a14="http://schemas.microsoft.com/office/drawing/2010/main" val="0"/>
                        </a:ext>
                      </a:extLst>
                    </a:blip>
                    <a:stretch>
                      <a:fillRect/>
                    </a:stretch>
                  </pic:blipFill>
                  <pic:spPr>
                    <a:xfrm>
                      <a:off x="0" y="0"/>
                      <a:ext cx="3429000" cy="1057275"/>
                    </a:xfrm>
                    <a:prstGeom prst="rect">
                      <a:avLst/>
                    </a:prstGeom>
                  </pic:spPr>
                </pic:pic>
              </a:graphicData>
            </a:graphic>
          </wp:anchor>
        </w:drawing>
      </w:r>
    </w:p>
    <w:p w:rsidR="00C47503" w:rsidP="009368E8" w:rsidRDefault="00C47503" w14:paraId="7138B158" w14:textId="77777777">
      <w:pPr>
        <w:spacing w:after="0" w:line="240" w:lineRule="auto"/>
        <w:jc w:val="both"/>
        <w:rPr>
          <w:rFonts w:ascii="Verdana" w:hAnsi="Verdana" w:eastAsia="Calibri" w:cs="Arial"/>
          <w:color w:val="000000"/>
          <w:lang w:val="es-ES"/>
        </w:rPr>
      </w:pPr>
    </w:p>
    <w:p w:rsidR="00C47503" w:rsidP="009368E8" w:rsidRDefault="00C47503" w14:paraId="217765BE" w14:textId="1CA2D015">
      <w:pPr>
        <w:spacing w:after="0" w:line="240" w:lineRule="auto"/>
        <w:jc w:val="both"/>
        <w:rPr>
          <w:rFonts w:ascii="Verdana" w:hAnsi="Verdana" w:eastAsia="Calibri" w:cs="Arial"/>
          <w:color w:val="000000"/>
          <w:lang w:val="es-ES"/>
        </w:rPr>
      </w:pPr>
    </w:p>
    <w:p w:rsidR="00C47503" w:rsidP="009368E8" w:rsidRDefault="00C47503" w14:paraId="7CE8EE6B" w14:textId="77777777">
      <w:pPr>
        <w:spacing w:after="0" w:line="240" w:lineRule="auto"/>
        <w:jc w:val="both"/>
        <w:rPr>
          <w:rFonts w:ascii="Verdana" w:hAnsi="Verdana" w:eastAsia="Calibri" w:cs="Arial"/>
          <w:color w:val="000000"/>
          <w:lang w:val="es-ES"/>
        </w:rPr>
      </w:pPr>
    </w:p>
    <w:p w:rsidR="00C47503" w:rsidP="009368E8" w:rsidRDefault="00C47503" w14:paraId="26920AE3" w14:textId="77777777">
      <w:pPr>
        <w:spacing w:after="0" w:line="240" w:lineRule="auto"/>
        <w:jc w:val="both"/>
        <w:rPr>
          <w:rFonts w:ascii="Verdana" w:hAnsi="Verdana" w:eastAsia="Calibri" w:cs="Arial"/>
          <w:color w:val="000000"/>
          <w:lang w:val="es-ES"/>
        </w:rPr>
      </w:pPr>
    </w:p>
    <w:p w:rsidR="00C47503" w:rsidP="009368E8" w:rsidRDefault="00C47503" w14:paraId="2721B876" w14:textId="77777777">
      <w:pPr>
        <w:spacing w:after="0" w:line="240" w:lineRule="auto"/>
        <w:jc w:val="both"/>
        <w:rPr>
          <w:rFonts w:ascii="Verdana" w:hAnsi="Verdana" w:eastAsia="Calibri" w:cs="Arial"/>
          <w:color w:val="000000"/>
          <w:lang w:val="es-ES"/>
        </w:rPr>
      </w:pPr>
    </w:p>
    <w:p w:rsidR="00C47503" w:rsidP="009368E8" w:rsidRDefault="00C47503" w14:paraId="3E5C1BF7" w14:textId="77777777">
      <w:pPr>
        <w:spacing w:after="0" w:line="240" w:lineRule="auto"/>
        <w:jc w:val="both"/>
        <w:rPr>
          <w:rFonts w:ascii="Verdana" w:hAnsi="Verdana" w:eastAsia="Calibri" w:cs="Arial"/>
          <w:color w:val="000000"/>
          <w:lang w:val="es-ES"/>
        </w:rPr>
      </w:pPr>
    </w:p>
    <w:p w:rsidRPr="00CF64C0" w:rsidR="00C47503" w:rsidP="009368E8" w:rsidRDefault="00C47503" w14:paraId="3953090C" w14:textId="77777777">
      <w:pPr>
        <w:spacing w:after="0" w:line="240" w:lineRule="auto"/>
        <w:jc w:val="both"/>
        <w:rPr>
          <w:rFonts w:ascii="Verdana" w:hAnsi="Verdana" w:eastAsia="Calibri" w:cs="Arial"/>
          <w:color w:val="000000"/>
          <w:lang w:val="es-ES"/>
        </w:rPr>
      </w:pPr>
    </w:p>
    <w:p w:rsidRPr="00CF64C0" w:rsidR="009368E8" w:rsidP="009368E8" w:rsidRDefault="009368E8" w14:paraId="12CABA43" w14:textId="77777777">
      <w:pPr>
        <w:spacing w:after="0" w:line="240" w:lineRule="auto"/>
        <w:jc w:val="both"/>
        <w:rPr>
          <w:rFonts w:ascii="Verdana" w:hAnsi="Verdana" w:eastAsia="Calibri" w:cs="Arial"/>
          <w:lang w:val="es-ES" w:eastAsia="es-ES"/>
        </w:rPr>
      </w:pPr>
      <w:bookmarkStart w:name="_Hlk175917643" w:id="0"/>
      <w:r w:rsidRPr="00CF64C0">
        <w:rPr>
          <w:rFonts w:ascii="Verdana" w:hAnsi="Verdana" w:eastAsia="Calibri" w:cs="Arial"/>
          <w:lang w:val="es-ES" w:eastAsia="es-ES"/>
        </w:rPr>
        <w:t>Señor</w:t>
      </w:r>
    </w:p>
    <w:p w:rsidRPr="00C47503" w:rsidR="009368E8" w:rsidP="009368E8" w:rsidRDefault="005550B0" w14:paraId="06584E3F" w14:textId="4C1C5691">
      <w:pPr>
        <w:spacing w:after="0" w:line="240" w:lineRule="auto"/>
        <w:rPr>
          <w:rFonts w:ascii="Verdana" w:hAnsi="Verdana" w:eastAsia="Calibri" w:cs="Arial"/>
          <w:b/>
          <w:bCs/>
          <w:lang w:eastAsia="es-ES"/>
        </w:rPr>
      </w:pPr>
      <w:r w:rsidRPr="00C47503">
        <w:rPr>
          <w:rFonts w:ascii="Verdana" w:hAnsi="Verdana" w:eastAsia="Calibri" w:cs="Arial"/>
          <w:b/>
          <w:bCs/>
          <w:lang w:eastAsia="es-ES"/>
        </w:rPr>
        <w:t>Germán Humberto Medellín Mora</w:t>
      </w:r>
    </w:p>
    <w:p w:rsidRPr="00CF64C0" w:rsidR="009368E8" w:rsidP="009368E8" w:rsidRDefault="00AA6FC9" w14:paraId="04BE7951" w14:textId="6103A9FA">
      <w:pPr>
        <w:spacing w:after="0" w:line="240" w:lineRule="auto"/>
        <w:rPr>
          <w:rFonts w:ascii="Verdana" w:hAnsi="Verdana" w:eastAsia="Calibri" w:cs="Arial"/>
          <w:lang w:eastAsia="es-ES"/>
        </w:rPr>
      </w:pPr>
      <w:hyperlink w:history="1" r:id="rId11">
        <w:r w:rsidRPr="00CF64C0" w:rsidR="009368E8">
          <w:rPr>
            <w:rStyle w:val="Hipervnculo"/>
            <w:rFonts w:ascii="Verdana" w:hAnsi="Verdana" w:eastAsia="Calibri" w:cs="Arial"/>
            <w:lang w:eastAsia="es-ES"/>
          </w:rPr>
          <w:t>germanmedallo@gmail.com</w:t>
        </w:r>
      </w:hyperlink>
      <w:r w:rsidRPr="00CF64C0" w:rsidR="009368E8">
        <w:rPr>
          <w:rFonts w:ascii="Verdana" w:hAnsi="Verdana" w:eastAsia="Calibri" w:cs="Arial"/>
          <w:lang w:eastAsia="es-ES"/>
        </w:rPr>
        <w:t xml:space="preserve"> </w:t>
      </w:r>
    </w:p>
    <w:p w:rsidRPr="00CF64C0" w:rsidR="009368E8" w:rsidP="0050528D" w:rsidRDefault="009368E8" w14:paraId="44427E6D" w14:textId="093BF834">
      <w:pPr>
        <w:spacing w:after="0" w:line="240" w:lineRule="auto"/>
        <w:rPr>
          <w:rFonts w:ascii="Verdana" w:hAnsi="Verdana" w:eastAsia="Calibri" w:cs="Arial"/>
          <w:b/>
          <w:bCs/>
          <w:color w:val="000000"/>
          <w:lang w:val="es-ES_tradnl" w:eastAsia="es-ES_tradnl"/>
        </w:rPr>
      </w:pPr>
      <w:r w:rsidRPr="00CF64C0">
        <w:rPr>
          <w:rFonts w:ascii="Verdana" w:hAnsi="Verdana" w:eastAsia="Calibri" w:cs="Arial"/>
          <w:lang w:val="es-ES" w:eastAsia="es-ES"/>
        </w:rPr>
        <w:t>Bogotá D.C.</w:t>
      </w:r>
    </w:p>
    <w:p w:rsidRPr="00CF64C0" w:rsidR="009368E8" w:rsidP="009368E8" w:rsidRDefault="009368E8" w14:paraId="45F8E494" w14:textId="77777777">
      <w:pPr>
        <w:spacing w:after="0" w:line="240" w:lineRule="auto"/>
        <w:rPr>
          <w:rFonts w:ascii="Verdana" w:hAnsi="Verdana" w:eastAsia="Calibri" w:cs="Arial"/>
          <w:b/>
          <w:bCs/>
          <w:color w:val="000000"/>
          <w:lang w:val="es-ES_tradnl" w:eastAsia="es-ES_tradnl"/>
        </w:rPr>
      </w:pPr>
    </w:p>
    <w:tbl>
      <w:tblPr>
        <w:tblStyle w:val="Tablaconcuadrcula"/>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268"/>
        <w:gridCol w:w="6237"/>
      </w:tblGrid>
      <w:tr w:rsidRPr="00CF64C0" w:rsidR="009368E8" w:rsidTr="0050528D" w14:paraId="5907092A" w14:textId="77777777">
        <w:trPr>
          <w:trHeight w:val="519"/>
        </w:trPr>
        <w:tc>
          <w:tcPr>
            <w:tcW w:w="2268" w:type="dxa"/>
          </w:tcPr>
          <w:p w:rsidRPr="00CF64C0" w:rsidR="009368E8" w:rsidRDefault="009368E8" w14:paraId="7865D874" w14:textId="77777777">
            <w:pPr>
              <w:jc w:val="both"/>
              <w:rPr>
                <w:rFonts w:ascii="Verdana" w:hAnsi="Verdana" w:eastAsia="Calibri" w:cs="Arial"/>
                <w:b/>
                <w:bCs/>
                <w:color w:val="7030A0"/>
                <w:lang w:val="es-ES_tradnl" w:eastAsia="es-ES_tradnl"/>
              </w:rPr>
            </w:pPr>
          </w:p>
        </w:tc>
        <w:tc>
          <w:tcPr>
            <w:tcW w:w="6237" w:type="dxa"/>
          </w:tcPr>
          <w:p w:rsidRPr="00CF64C0" w:rsidR="009368E8" w:rsidRDefault="009368E8" w14:paraId="762DE069" w14:textId="77777777">
            <w:pPr>
              <w:jc w:val="both"/>
              <w:rPr>
                <w:rFonts w:ascii="Verdana" w:hAnsi="Verdana" w:eastAsia="Calibri" w:cs="Arial"/>
                <w:b/>
                <w:bCs/>
                <w:color w:val="7030A0"/>
                <w:lang w:val="es-ES" w:eastAsia="es-ES"/>
              </w:rPr>
            </w:pPr>
            <w:r w:rsidRPr="00CF64C0">
              <w:rPr>
                <w:rFonts w:ascii="Verdana" w:hAnsi="Verdana" w:eastAsia="Calibri" w:cs="Arial"/>
                <w:b/>
                <w:bCs/>
                <w:lang w:val="es-ES" w:eastAsia="es-ES"/>
              </w:rPr>
              <w:t>Concepto C- 431</w:t>
            </w:r>
            <w:r w:rsidRPr="00CF64C0">
              <w:rPr>
                <w:rFonts w:ascii="Verdana" w:hAnsi="Verdana" w:eastAsia="Calibri" w:cs="Arial"/>
                <w:b/>
                <w:bCs/>
                <w:color w:val="7030A0"/>
                <w:lang w:val="es-ES" w:eastAsia="es-ES"/>
              </w:rPr>
              <w:t xml:space="preserve"> </w:t>
            </w:r>
            <w:r w:rsidRPr="00CF64C0">
              <w:rPr>
                <w:rFonts w:ascii="Verdana" w:hAnsi="Verdana" w:eastAsia="Calibri" w:cs="Arial"/>
                <w:b/>
                <w:bCs/>
                <w:lang w:val="es-ES" w:eastAsia="es-ES"/>
              </w:rPr>
              <w:t>de 2024</w:t>
            </w:r>
          </w:p>
        </w:tc>
      </w:tr>
      <w:tr w:rsidRPr="00CF64C0" w:rsidR="009368E8" w14:paraId="1DA4F3D7" w14:textId="77777777">
        <w:trPr>
          <w:trHeight w:val="884"/>
        </w:trPr>
        <w:tc>
          <w:tcPr>
            <w:tcW w:w="2268" w:type="dxa"/>
          </w:tcPr>
          <w:p w:rsidRPr="00CF64C0" w:rsidR="009368E8" w:rsidRDefault="009368E8" w14:paraId="7DF7752F" w14:textId="77777777">
            <w:pPr>
              <w:jc w:val="both"/>
              <w:rPr>
                <w:rFonts w:ascii="Verdana" w:hAnsi="Verdana" w:eastAsia="Calibri" w:cs="Arial"/>
                <w:color w:val="000000"/>
                <w:lang w:val="es-ES_tradnl" w:eastAsia="es-ES_tradnl"/>
              </w:rPr>
            </w:pPr>
            <w:r w:rsidRPr="00CF64C0">
              <w:rPr>
                <w:rFonts w:ascii="Verdana" w:hAnsi="Verdana" w:eastAsia="Calibri" w:cs="Arial"/>
                <w:b/>
                <w:color w:val="000000"/>
                <w:lang w:val="es-ES_tradnl" w:eastAsia="es-ES_tradnl"/>
              </w:rPr>
              <w:t>Temas:</w:t>
            </w:r>
            <w:r w:rsidRPr="00CF64C0">
              <w:rPr>
                <w:rFonts w:ascii="Verdana" w:hAnsi="Verdana" w:eastAsia="Calibri" w:cs="Arial"/>
                <w:color w:val="000000"/>
                <w:lang w:val="es-ES_tradnl" w:eastAsia="es-ES_tradnl"/>
              </w:rPr>
              <w:t xml:space="preserve">                   </w:t>
            </w:r>
          </w:p>
        </w:tc>
        <w:tc>
          <w:tcPr>
            <w:tcW w:w="6237" w:type="dxa"/>
          </w:tcPr>
          <w:p w:rsidR="009368E8" w:rsidP="00CF64C0" w:rsidRDefault="009368E8" w14:paraId="10BF4F64" w14:textId="4439C8C4">
            <w:pPr>
              <w:spacing w:line="276" w:lineRule="auto"/>
              <w:jc w:val="both"/>
              <w:rPr>
                <w:rFonts w:ascii="Verdana" w:hAnsi="Verdana" w:eastAsia="Calibri" w:cs="Arial"/>
                <w:lang w:val="es-ES" w:eastAsia="es-ES"/>
              </w:rPr>
            </w:pPr>
            <w:r w:rsidRPr="00CF64C0">
              <w:rPr>
                <w:rFonts w:ascii="Verdana" w:hAnsi="Verdana" w:cs="Arial"/>
                <w:noProof/>
                <w:lang w:val="es-ES_tradnl"/>
              </w:rPr>
              <w:t xml:space="preserve">LICITACION PÚBLICA – Etapas - </w:t>
            </w:r>
            <w:r w:rsidRPr="0050528D">
              <w:rPr>
                <w:rFonts w:ascii="Verdana" w:hAnsi="Verdana" w:eastAsia="Times New Roman" w:cs="Arial"/>
              </w:rPr>
              <w:t>Procedimiento reglado – Etapas – Términos perentorios y preclusivos / LICITACIÓN PÚBLICA – Procedimiento – Estructura y etapas generales</w:t>
            </w:r>
          </w:p>
          <w:p w:rsidRPr="00CF64C0" w:rsidR="00CF64C0" w:rsidP="00CF64C0" w:rsidRDefault="00CF64C0" w14:paraId="4CC78778" w14:textId="77777777">
            <w:pPr>
              <w:spacing w:line="276" w:lineRule="auto"/>
              <w:jc w:val="both"/>
              <w:rPr>
                <w:rFonts w:ascii="Verdana" w:hAnsi="Verdana" w:eastAsia="Calibri" w:cs="Arial"/>
                <w:lang w:val="es-ES" w:eastAsia="es-ES"/>
              </w:rPr>
            </w:pPr>
          </w:p>
        </w:tc>
      </w:tr>
      <w:tr w:rsidRPr="00CF64C0" w:rsidR="009368E8" w14:paraId="0C5616E4" w14:textId="77777777">
        <w:tc>
          <w:tcPr>
            <w:tcW w:w="2268" w:type="dxa"/>
          </w:tcPr>
          <w:p w:rsidRPr="00CF64C0" w:rsidR="009368E8" w:rsidRDefault="009368E8" w14:paraId="5C2B5280" w14:textId="77777777">
            <w:pPr>
              <w:jc w:val="both"/>
              <w:rPr>
                <w:rFonts w:ascii="Verdana" w:hAnsi="Verdana" w:eastAsia="Calibri" w:cs="Arial"/>
                <w:b/>
                <w:color w:val="7030A0"/>
                <w:lang w:val="es-ES_tradnl" w:eastAsia="es-ES_tradnl"/>
              </w:rPr>
            </w:pPr>
            <w:r w:rsidRPr="00CF64C0">
              <w:rPr>
                <w:rFonts w:ascii="Verdana" w:hAnsi="Verdana" w:eastAsia="Calibri" w:cs="Arial"/>
                <w:b/>
                <w:lang w:val="es-ES_tradnl" w:eastAsia="es-ES_tradnl"/>
              </w:rPr>
              <w:t xml:space="preserve">Radicación:               </w:t>
            </w:r>
          </w:p>
        </w:tc>
        <w:tc>
          <w:tcPr>
            <w:tcW w:w="6237" w:type="dxa"/>
          </w:tcPr>
          <w:p w:rsidRPr="00CF64C0" w:rsidR="009368E8" w:rsidRDefault="009368E8" w14:paraId="0508D8B6" w14:textId="77777777">
            <w:pPr>
              <w:jc w:val="both"/>
              <w:rPr>
                <w:rFonts w:ascii="Verdana" w:hAnsi="Verdana" w:eastAsia="Calibri" w:cs="Arial"/>
                <w:color w:val="7030A0"/>
                <w:lang w:val="es-ES_tradnl" w:eastAsia="es-ES_tradnl"/>
              </w:rPr>
            </w:pPr>
            <w:r w:rsidRPr="00CF64C0">
              <w:rPr>
                <w:rFonts w:ascii="Verdana" w:hAnsi="Verdana" w:eastAsia="Calibri" w:cs="Arial"/>
                <w:lang w:val="es-ES_tradnl" w:eastAsia="es-ES_tradnl"/>
              </w:rPr>
              <w:t xml:space="preserve">Respuesta a consulta con radicado No. </w:t>
            </w:r>
            <w:r w:rsidRPr="00CF64C0">
              <w:rPr>
                <w:rFonts w:ascii="Verdana" w:hAnsi="Verdana" w:cs="Calibri"/>
                <w:color w:val="000000"/>
              </w:rPr>
              <w:t>P20240801007922</w:t>
            </w:r>
          </w:p>
          <w:p w:rsidRPr="00CF64C0" w:rsidR="009368E8" w:rsidRDefault="009368E8" w14:paraId="3F6E7A49" w14:textId="77777777">
            <w:pPr>
              <w:jc w:val="both"/>
              <w:rPr>
                <w:rFonts w:ascii="Verdana" w:hAnsi="Verdana" w:eastAsia="Calibri" w:cs="Arial"/>
                <w:color w:val="7030A0"/>
                <w:lang w:val="es-ES_tradnl" w:eastAsia="es-ES_tradnl"/>
              </w:rPr>
            </w:pPr>
          </w:p>
        </w:tc>
      </w:tr>
    </w:tbl>
    <w:p w:rsidRPr="0007375E" w:rsidR="009368E8" w:rsidP="009368E8" w:rsidRDefault="009368E8" w14:paraId="5DB8F088" w14:textId="77777777">
      <w:pPr>
        <w:spacing w:after="0" w:line="240" w:lineRule="auto"/>
        <w:jc w:val="both"/>
        <w:rPr>
          <w:rFonts w:ascii="Verdana" w:hAnsi="Verdana" w:eastAsia="Calibri" w:cs="Arial"/>
          <w:color w:val="000000"/>
          <w:lang w:val="es-ES_tradnl" w:eastAsia="es-ES_tradnl"/>
        </w:rPr>
      </w:pPr>
    </w:p>
    <w:p w:rsidRPr="0007375E" w:rsidR="009368E8" w:rsidP="009368E8" w:rsidRDefault="009368E8" w14:paraId="1AF08B18" w14:textId="77777777">
      <w:pPr>
        <w:spacing w:after="0" w:line="276" w:lineRule="auto"/>
        <w:jc w:val="both"/>
        <w:rPr>
          <w:rFonts w:ascii="Verdana" w:hAnsi="Verdana" w:eastAsia="Calibri" w:cs="Arial"/>
          <w:color w:val="000000" w:themeColor="text1"/>
          <w:lang w:val="es-ES" w:eastAsia="es-ES"/>
        </w:rPr>
      </w:pPr>
      <w:r w:rsidRPr="0007375E">
        <w:rPr>
          <w:rFonts w:ascii="Verdana" w:hAnsi="Verdana" w:eastAsia="Calibri" w:cs="Arial"/>
          <w:color w:val="000000" w:themeColor="text1"/>
          <w:lang w:val="es-ES" w:eastAsia="es-ES"/>
        </w:rPr>
        <w:t xml:space="preserve">Estimado </w:t>
      </w:r>
      <w:r w:rsidRPr="0007375E">
        <w:rPr>
          <w:rFonts w:ascii="Verdana" w:hAnsi="Verdana" w:eastAsia="Calibri" w:cs="Arial"/>
          <w:lang w:val="es-ES" w:eastAsia="es-ES"/>
        </w:rPr>
        <w:t xml:space="preserve">señor Medellín: </w:t>
      </w:r>
    </w:p>
    <w:p w:rsidRPr="0007375E" w:rsidR="009368E8" w:rsidP="009368E8" w:rsidRDefault="009368E8" w14:paraId="1914CA99" w14:textId="77777777">
      <w:pPr>
        <w:tabs>
          <w:tab w:val="left" w:pos="3768"/>
        </w:tabs>
        <w:spacing w:after="0" w:line="276" w:lineRule="auto"/>
        <w:jc w:val="both"/>
        <w:rPr>
          <w:rFonts w:ascii="Verdana" w:hAnsi="Verdana" w:eastAsia="Calibri" w:cs="Arial"/>
          <w:color w:val="000000" w:themeColor="text1"/>
          <w:lang w:val="es-ES" w:eastAsia="es-ES"/>
        </w:rPr>
      </w:pPr>
      <w:r w:rsidRPr="0007375E">
        <w:rPr>
          <w:rFonts w:ascii="Verdana" w:hAnsi="Verdana" w:eastAsia="Calibri" w:cs="Arial"/>
          <w:color w:val="000000" w:themeColor="text1"/>
          <w:lang w:val="es-ES" w:eastAsia="es-ES"/>
        </w:rPr>
        <w:tab/>
      </w:r>
    </w:p>
    <w:p w:rsidRPr="0050528D" w:rsidR="009368E8" w:rsidP="0050528D" w:rsidRDefault="009368E8" w14:paraId="659ECA0B" w14:textId="2E9FD033">
      <w:pPr>
        <w:pStyle w:val="Prrafodelista"/>
        <w:spacing w:after="0" w:line="276" w:lineRule="auto"/>
        <w:ind w:left="0"/>
        <w:contextualSpacing w:val="0"/>
        <w:jc w:val="both"/>
        <w:textAlignment w:val="baseline"/>
        <w:rPr>
          <w:rFonts w:ascii="Verdana" w:hAnsi="Verdana" w:cs="Arial"/>
          <w:i/>
          <w:iCs/>
          <w:shd w:val="clear" w:color="auto" w:fill="FFFFFF"/>
          <w:lang w:val="es-CO"/>
        </w:rPr>
      </w:pPr>
      <w:r w:rsidRPr="00B6062C">
        <w:rPr>
          <w:rFonts w:ascii="Verdana" w:hAnsi="Verdana" w:eastAsia="Calibri" w:cs="Arial"/>
          <w:color w:val="000000" w:themeColor="text1"/>
          <w:lang w:eastAsia="es-ES"/>
        </w:rPr>
        <w:t>En ejercicio de la competencia otorgada por los artículos 3, numeral 5º, y 11, numeral 8º, del Decreto Ley 4170 de 2011,</w:t>
      </w:r>
      <w:r w:rsidRPr="00B6062C">
        <w:rPr>
          <w:rFonts w:ascii="Verdana" w:hAnsi="Verdana" w:eastAsia="Arial MT" w:cs="Arial MT"/>
          <w:lang w:eastAsia="es-ES"/>
        </w:rPr>
        <w:t xml:space="preserve"> </w:t>
      </w:r>
      <w:r w:rsidRPr="00B6062C">
        <w:rPr>
          <w:rFonts w:ascii="Verdana" w:hAnsi="Verdana" w:cs="Arial"/>
        </w:rPr>
        <w:t xml:space="preserve">así como lo establecido en el artículo 4 de la Resolución 1707 de 2018 expedida por esta Entidad, </w:t>
      </w:r>
      <w:r w:rsidRPr="00B6062C">
        <w:rPr>
          <w:rFonts w:ascii="Verdana" w:hAnsi="Verdana" w:eastAsia="Calibri" w:cs="Arial"/>
          <w:color w:val="000000" w:themeColor="text1"/>
          <w:lang w:eastAsia="es-ES"/>
        </w:rPr>
        <w:t xml:space="preserve">la Agencia Nacional de Contratación Pública – Colombia Compra Eficiente– responde su solicitud de </w:t>
      </w:r>
      <w:r w:rsidRPr="00B6062C">
        <w:rPr>
          <w:rFonts w:ascii="Verdana" w:hAnsi="Verdana" w:eastAsia="Calibri" w:cs="Arial"/>
          <w:lang w:eastAsia="es-ES"/>
        </w:rPr>
        <w:t xml:space="preserve">consulta de fecha 01 de agosto de 2024, en la cual manifiesta lo siguiente: </w:t>
      </w:r>
      <w:r w:rsidRPr="0050528D">
        <w:rPr>
          <w:rFonts w:ascii="Verdana" w:hAnsi="Verdana" w:cs="Arial"/>
          <w:i/>
          <w:iCs/>
          <w:shd w:val="clear" w:color="auto" w:fill="FFFFFF"/>
        </w:rPr>
        <w:t xml:space="preserve">“[…] Buenos días, de manera atenta y teniendo en cuenta los términos del derecho de petición, solicitó amablemente me informe si una licitación puede llegar a etapa de suscripción de contrato sin haber agotado todas las etapas del </w:t>
      </w:r>
      <w:proofErr w:type="spellStart"/>
      <w:r w:rsidRPr="0050528D">
        <w:rPr>
          <w:rFonts w:ascii="Verdana" w:hAnsi="Verdana" w:cs="Arial"/>
          <w:i/>
          <w:iCs/>
          <w:shd w:val="clear" w:color="auto" w:fill="FFFFFF"/>
        </w:rPr>
        <w:t>secop</w:t>
      </w:r>
      <w:proofErr w:type="spellEnd"/>
      <w:r w:rsidRPr="0050528D">
        <w:rPr>
          <w:rFonts w:ascii="Verdana" w:hAnsi="Verdana" w:cs="Arial"/>
          <w:i/>
          <w:iCs/>
          <w:shd w:val="clear" w:color="auto" w:fill="FFFFFF"/>
        </w:rPr>
        <w:t>. </w:t>
      </w:r>
      <w:r w:rsidRPr="0050528D">
        <w:rPr>
          <w:rFonts w:ascii="Verdana" w:hAnsi="Verdana" w:cs="Arial"/>
          <w:i/>
          <w:iCs/>
          <w:shd w:val="clear" w:color="auto" w:fill="FFFFFF"/>
          <w:lang w:val="es-CO"/>
        </w:rPr>
        <w:t xml:space="preserve">Más específicamente me informe si una licitación pública puede llegar a la suscripción de contrato y expedición de póliza sin tener pliego de condiciones </w:t>
      </w:r>
      <w:r w:rsidRPr="0050528D">
        <w:rPr>
          <w:rFonts w:ascii="Verdana" w:hAnsi="Verdana" w:cs="Arial"/>
          <w:i/>
          <w:iCs/>
          <w:shd w:val="clear" w:color="auto" w:fill="FFFFFF"/>
        </w:rPr>
        <w:t>[ …]”</w:t>
      </w:r>
      <w:r w:rsidRPr="0050528D" w:rsidR="00B6062C">
        <w:rPr>
          <w:rFonts w:ascii="Verdana" w:hAnsi="Verdana" w:cs="Arial"/>
          <w:i/>
          <w:iCs/>
          <w:shd w:val="clear" w:color="auto" w:fill="FFFFFF"/>
        </w:rPr>
        <w:t>.</w:t>
      </w:r>
      <w:r w:rsidRPr="0050528D">
        <w:rPr>
          <w:rFonts w:ascii="Verdana" w:hAnsi="Verdana" w:cs="Arial"/>
          <w:i/>
          <w:iCs/>
          <w:shd w:val="clear" w:color="auto" w:fill="FFFFFF"/>
        </w:rPr>
        <w:t xml:space="preserve"> </w:t>
      </w:r>
    </w:p>
    <w:p w:rsidRPr="0007375E" w:rsidR="009368E8" w:rsidP="009368E8" w:rsidRDefault="009368E8" w14:paraId="544FBB6D" w14:textId="69CAA50A">
      <w:pPr>
        <w:spacing w:after="120" w:line="276" w:lineRule="auto"/>
        <w:ind w:firstLine="709"/>
        <w:jc w:val="both"/>
        <w:rPr>
          <w:rFonts w:ascii="Verdana" w:hAnsi="Verdana" w:eastAsia="Calibri" w:cs="Arial"/>
          <w:color w:val="000000"/>
          <w:szCs w:val="24"/>
          <w:lang w:val="es-ES_tradnl" w:eastAsia="es-ES_tradnl"/>
        </w:rPr>
      </w:pPr>
      <w:r w:rsidRPr="0007375E">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w:t>
      </w:r>
      <w:r w:rsidRPr="0007375E">
        <w:rPr>
          <w:rFonts w:ascii="Verdana" w:hAnsi="Verdana" w:eastAsia="Calibri"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7375E">
        <w:rPr>
          <w:rFonts w:ascii="Verdana" w:hAnsi="Verdana" w:eastAsia="Calibri" w:cs="Arial"/>
          <w:color w:val="000000"/>
          <w:szCs w:val="24"/>
          <w:lang w:val="es-ES_tradnl" w:eastAsia="es-ES_tradnl"/>
        </w:rPr>
        <w:tab/>
      </w:r>
    </w:p>
    <w:p w:rsidRPr="0007375E" w:rsidR="009368E8" w:rsidP="009368E8" w:rsidRDefault="009368E8" w14:paraId="11D628A1" w14:textId="77777777">
      <w:pPr>
        <w:spacing w:after="0" w:line="276" w:lineRule="auto"/>
        <w:ind w:firstLine="709"/>
        <w:jc w:val="both"/>
        <w:rPr>
          <w:rFonts w:ascii="Verdana" w:hAnsi="Verdana" w:eastAsia="Calibri" w:cs="Arial"/>
          <w:lang w:val="es-ES" w:eastAsia="es-ES"/>
        </w:rPr>
      </w:pPr>
      <w:r w:rsidRPr="0007375E">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rsidRPr="0007375E" w:rsidR="009368E8" w:rsidP="009368E8" w:rsidRDefault="009368E8" w14:paraId="5FE16EC5" w14:textId="77777777">
      <w:pPr>
        <w:spacing w:after="0" w:line="276" w:lineRule="auto"/>
        <w:ind w:firstLine="709"/>
        <w:jc w:val="both"/>
        <w:rPr>
          <w:rFonts w:ascii="Verdana" w:hAnsi="Verdana" w:eastAsia="Calibri" w:cs="Arial"/>
          <w:color w:val="000000"/>
          <w:lang w:val="es-ES" w:eastAsia="es-ES"/>
        </w:rPr>
      </w:pPr>
    </w:p>
    <w:p w:rsidRPr="0007375E" w:rsidR="009368E8" w:rsidP="009368E8" w:rsidRDefault="009368E8" w14:paraId="666363F1"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7375E">
        <w:rPr>
          <w:rFonts w:ascii="Verdana" w:hAnsi="Verdana" w:eastAsia="Century Gothic" w:cs="Century Gothic"/>
          <w:b/>
          <w:bCs/>
        </w:rPr>
        <w:t>Problema planteado:</w:t>
      </w:r>
    </w:p>
    <w:p w:rsidRPr="0007375E" w:rsidR="009368E8" w:rsidP="009368E8" w:rsidRDefault="009368E8" w14:paraId="0DFDEF5E" w14:textId="77777777">
      <w:pPr>
        <w:tabs>
          <w:tab w:val="left" w:pos="426"/>
        </w:tabs>
        <w:spacing w:after="0" w:line="276" w:lineRule="auto"/>
        <w:jc w:val="both"/>
        <w:rPr>
          <w:rFonts w:ascii="Verdana" w:hAnsi="Verdana" w:eastAsia="Century Gothic" w:cs="Century Gothic"/>
          <w:lang w:val="es-ES"/>
        </w:rPr>
      </w:pPr>
    </w:p>
    <w:p w:rsidRPr="0007375E" w:rsidR="009368E8" w:rsidP="009368E8" w:rsidRDefault="009368E8" w14:paraId="61D4A251" w14:textId="5FE56E69">
      <w:pPr>
        <w:spacing w:after="0" w:line="276" w:lineRule="auto"/>
        <w:jc w:val="both"/>
        <w:rPr>
          <w:rFonts w:ascii="Verdana" w:hAnsi="Verdana" w:eastAsia="Century Gothic" w:cs="Century Gothic"/>
          <w:i/>
          <w:iCs/>
        </w:rPr>
      </w:pPr>
      <w:r w:rsidRPr="0007375E">
        <w:rPr>
          <w:rFonts w:ascii="Verdana" w:hAnsi="Verdana" w:eastAsia="Century Gothic" w:cs="Century Gothic"/>
        </w:rPr>
        <w:t xml:space="preserve">De acuerdo con el contenido de su solicitud, esta Agencia resolverá el siguiente problema </w:t>
      </w:r>
      <w:r w:rsidRPr="005939FB">
        <w:rPr>
          <w:rFonts w:ascii="Verdana" w:hAnsi="Verdana" w:eastAsia="Century Gothic" w:cs="Century Gothic"/>
        </w:rPr>
        <w:t>jurídicos:</w:t>
      </w:r>
      <w:r w:rsidRPr="005939FB">
        <w:rPr>
          <w:rFonts w:ascii="Verdana" w:hAnsi="Verdana" w:eastAsia="Century Gothic" w:cs="Century Gothic"/>
          <w:i/>
          <w:iCs/>
        </w:rPr>
        <w:t xml:space="preserve"> </w:t>
      </w:r>
      <w:r w:rsidRPr="005939FB">
        <w:rPr>
          <w:rFonts w:ascii="Verdana" w:hAnsi="Verdana" w:eastAsia="Century Gothic" w:cs="Century Gothic"/>
        </w:rPr>
        <w:t>¿</w:t>
      </w:r>
      <w:r w:rsidR="0041522E">
        <w:rPr>
          <w:rFonts w:ascii="Verdana" w:hAnsi="Verdana" w:eastAsia="Century Gothic" w:cs="Century Gothic"/>
        </w:rPr>
        <w:t>Es viable que un Proceso de Contratación llegue a</w:t>
      </w:r>
      <w:r w:rsidR="00C67BEA">
        <w:rPr>
          <w:rFonts w:ascii="Verdana" w:hAnsi="Verdana" w:eastAsia="Century Gothic" w:cs="Century Gothic"/>
        </w:rPr>
        <w:t xml:space="preserve">l momento de la suscripción del contrato </w:t>
      </w:r>
      <w:r w:rsidR="00224082">
        <w:rPr>
          <w:rFonts w:ascii="Verdana" w:hAnsi="Verdana" w:eastAsia="Century Gothic" w:cs="Century Gothic"/>
        </w:rPr>
        <w:t>sin que previamente se hayan agotado las etapas previas en el SECOP</w:t>
      </w:r>
      <w:r w:rsidRPr="005939FB">
        <w:rPr>
          <w:rFonts w:ascii="Verdana" w:hAnsi="Verdana" w:eastAsia="Century Gothic" w:cs="Century Gothic"/>
        </w:rPr>
        <w:t>?</w:t>
      </w:r>
    </w:p>
    <w:p w:rsidRPr="0007375E" w:rsidR="009368E8" w:rsidP="009368E8" w:rsidRDefault="009368E8" w14:paraId="3563EDF8" w14:textId="77777777">
      <w:pPr>
        <w:spacing w:after="0" w:line="276" w:lineRule="auto"/>
        <w:jc w:val="both"/>
        <w:rPr>
          <w:rFonts w:ascii="Verdana" w:hAnsi="Verdana" w:eastAsia="Calibri" w:cs="Arial"/>
          <w:color w:val="7030A0"/>
        </w:rPr>
      </w:pPr>
    </w:p>
    <w:p w:rsidRPr="0007375E" w:rsidR="009368E8" w:rsidP="009368E8" w:rsidRDefault="009368E8" w14:paraId="55AD1630"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07375E">
        <w:rPr>
          <w:rFonts w:ascii="Verdana" w:hAnsi="Verdana" w:eastAsia="Century Gothic" w:cs="Century Gothic"/>
          <w:b/>
          <w:bCs/>
        </w:rPr>
        <w:t>Respuesta:</w:t>
      </w:r>
    </w:p>
    <w:p w:rsidRPr="0007375E" w:rsidR="009368E8" w:rsidP="009368E8" w:rsidRDefault="009368E8" w14:paraId="6C391A22"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07375E" w:rsidR="009368E8" w14:paraId="556C5BD7" w14:textId="77777777">
        <w:tc>
          <w:tcPr>
            <w:tcW w:w="8828" w:type="dxa"/>
            <w:shd w:val="clear" w:color="auto" w:fill="auto"/>
          </w:tcPr>
          <w:p w:rsidR="00B74C43" w:rsidP="0050528D" w:rsidRDefault="008D513A" w14:paraId="5EEFEFAA" w14:textId="307A9736">
            <w:pPr>
              <w:spacing w:after="120" w:line="276" w:lineRule="auto"/>
              <w:jc w:val="both"/>
              <w:rPr>
                <w:rFonts w:ascii="Verdana" w:hAnsi="Verdana" w:eastAsia="Calibri" w:cs="Arial"/>
                <w:color w:val="000000" w:themeColor="text1"/>
              </w:rPr>
            </w:pPr>
            <w:r>
              <w:rPr>
                <w:rFonts w:ascii="Verdana" w:hAnsi="Verdana"/>
              </w:rPr>
              <w:t xml:space="preserve">Los Procesos de Contratación que </w:t>
            </w:r>
            <w:r w:rsidR="00A56695">
              <w:rPr>
                <w:rFonts w:ascii="Verdana" w:hAnsi="Verdana"/>
              </w:rPr>
              <w:t>deben adelantar las Entidades Estatales para</w:t>
            </w:r>
            <w:r w:rsidRPr="0007375E" w:rsidR="009368E8">
              <w:rPr>
                <w:rFonts w:ascii="Verdana" w:hAnsi="Verdana" w:eastAsia="Calibri" w:cs="Arial"/>
                <w:color w:val="000000" w:themeColor="text1"/>
              </w:rPr>
              <w:t xml:space="preserve"> adquirir </w:t>
            </w:r>
            <w:r w:rsidR="00A56695">
              <w:rPr>
                <w:rFonts w:ascii="Verdana" w:hAnsi="Verdana" w:eastAsia="Calibri" w:cs="Arial"/>
                <w:color w:val="000000" w:themeColor="text1"/>
              </w:rPr>
              <w:t xml:space="preserve">los </w:t>
            </w:r>
            <w:r w:rsidRPr="0007375E" w:rsidR="009368E8">
              <w:rPr>
                <w:rFonts w:ascii="Verdana" w:hAnsi="Verdana" w:eastAsia="Calibri" w:cs="Arial"/>
                <w:color w:val="000000" w:themeColor="text1"/>
              </w:rPr>
              <w:t>bienes</w:t>
            </w:r>
            <w:r w:rsidR="00A56695">
              <w:rPr>
                <w:rFonts w:ascii="Verdana" w:hAnsi="Verdana" w:eastAsia="Calibri" w:cs="Arial"/>
                <w:color w:val="000000" w:themeColor="text1"/>
              </w:rPr>
              <w:t>,</w:t>
            </w:r>
            <w:r w:rsidRPr="0007375E" w:rsidR="009368E8">
              <w:rPr>
                <w:rFonts w:ascii="Verdana" w:hAnsi="Verdana" w:eastAsia="Calibri" w:cs="Arial"/>
                <w:color w:val="000000" w:themeColor="text1"/>
              </w:rPr>
              <w:t xml:space="preserve"> o</w:t>
            </w:r>
            <w:r w:rsidR="00A56695">
              <w:rPr>
                <w:rFonts w:ascii="Verdana" w:hAnsi="Verdana" w:eastAsia="Calibri" w:cs="Arial"/>
                <w:color w:val="000000" w:themeColor="text1"/>
              </w:rPr>
              <w:t xml:space="preserve">bras o </w:t>
            </w:r>
            <w:r w:rsidRPr="0007375E" w:rsidR="009368E8">
              <w:rPr>
                <w:rFonts w:ascii="Verdana" w:hAnsi="Verdana" w:eastAsia="Calibri" w:cs="Arial"/>
                <w:color w:val="000000" w:themeColor="text1"/>
              </w:rPr>
              <w:t xml:space="preserve">servicios </w:t>
            </w:r>
            <w:r w:rsidR="00A56695">
              <w:rPr>
                <w:rFonts w:ascii="Verdana" w:hAnsi="Verdana" w:eastAsia="Calibri" w:cs="Arial"/>
                <w:color w:val="000000" w:themeColor="text1"/>
              </w:rPr>
              <w:t>que se requieren</w:t>
            </w:r>
            <w:r w:rsidR="00DB5A29">
              <w:rPr>
                <w:rFonts w:ascii="Verdana" w:hAnsi="Verdana" w:eastAsia="Calibri" w:cs="Arial"/>
                <w:color w:val="000000" w:themeColor="text1"/>
              </w:rPr>
              <w:t xml:space="preserve">, </w:t>
            </w:r>
            <w:r w:rsidR="00EC4BAF">
              <w:rPr>
                <w:rFonts w:ascii="Verdana" w:hAnsi="Verdana" w:eastAsia="Calibri" w:cs="Arial"/>
                <w:color w:val="000000" w:themeColor="text1"/>
              </w:rPr>
              <w:t>se rigen por procedimientos reglados</w:t>
            </w:r>
            <w:r w:rsidR="009E7C24">
              <w:rPr>
                <w:rFonts w:ascii="Verdana" w:hAnsi="Verdana" w:eastAsia="Calibri" w:cs="Arial"/>
                <w:color w:val="000000" w:themeColor="text1"/>
              </w:rPr>
              <w:t xml:space="preserve"> establecidos por la ley y el reglamento</w:t>
            </w:r>
            <w:r w:rsidRPr="0007375E" w:rsidR="009368E8">
              <w:rPr>
                <w:rFonts w:ascii="Verdana" w:hAnsi="Verdana" w:eastAsia="Calibri" w:cs="Arial"/>
                <w:color w:val="000000" w:themeColor="text1"/>
              </w:rPr>
              <w:t>.</w:t>
            </w:r>
            <w:r w:rsidR="005E7C08">
              <w:rPr>
                <w:rFonts w:ascii="Verdana" w:hAnsi="Verdana" w:eastAsia="Calibri" w:cs="Arial"/>
                <w:color w:val="000000" w:themeColor="text1"/>
              </w:rPr>
              <w:t xml:space="preserve"> Si bien el artículo</w:t>
            </w:r>
            <w:r w:rsidR="009C5F57">
              <w:rPr>
                <w:rFonts w:ascii="Verdana" w:hAnsi="Verdana" w:eastAsia="Calibri" w:cs="Arial"/>
                <w:color w:val="000000" w:themeColor="text1"/>
              </w:rPr>
              <w:t xml:space="preserve"> 2 de la Ley 1150 de 2007 prevé distintas modalidades de selección, </w:t>
            </w:r>
            <w:r w:rsidR="00BD3EEC">
              <w:rPr>
                <w:rFonts w:ascii="Verdana" w:hAnsi="Verdana" w:eastAsia="Calibri" w:cs="Arial"/>
                <w:color w:val="000000" w:themeColor="text1"/>
              </w:rPr>
              <w:t xml:space="preserve">competitivas y no competitivas, sujetas a procedimientos distintos, todas deben </w:t>
            </w:r>
            <w:r w:rsidR="00EE1FE5">
              <w:rPr>
                <w:rFonts w:ascii="Verdana" w:hAnsi="Verdana" w:eastAsia="Calibri" w:cs="Arial"/>
                <w:color w:val="000000" w:themeColor="text1"/>
              </w:rPr>
              <w:t>agotar una etapa precontractual e</w:t>
            </w:r>
            <w:r w:rsidR="00B7682C">
              <w:rPr>
                <w:rFonts w:ascii="Verdana" w:hAnsi="Verdana" w:eastAsia="Calibri" w:cs="Arial"/>
                <w:color w:val="000000" w:themeColor="text1"/>
              </w:rPr>
              <w:t xml:space="preserve">n la que se realiza la planeación del contrato, lo cual se refleja en </w:t>
            </w:r>
            <w:r w:rsidR="00977242">
              <w:rPr>
                <w:rFonts w:ascii="Verdana" w:hAnsi="Verdana" w:eastAsia="Calibri" w:cs="Arial"/>
                <w:color w:val="000000" w:themeColor="text1"/>
              </w:rPr>
              <w:t>el análisis del sector económico y en los estudios previos</w:t>
            </w:r>
            <w:r w:rsidR="00CE77CB">
              <w:rPr>
                <w:rFonts w:ascii="Verdana" w:hAnsi="Verdana" w:eastAsia="Calibri" w:cs="Arial"/>
                <w:color w:val="000000" w:themeColor="text1"/>
              </w:rPr>
              <w:t>.</w:t>
            </w:r>
            <w:r w:rsidR="00B74C43">
              <w:rPr>
                <w:rFonts w:ascii="Verdana" w:hAnsi="Verdana" w:eastAsia="Calibri" w:cs="Arial"/>
                <w:color w:val="000000" w:themeColor="text1"/>
              </w:rPr>
              <w:t xml:space="preserve"> </w:t>
            </w:r>
          </w:p>
          <w:p w:rsidR="00054B9C" w:rsidP="0050528D" w:rsidRDefault="003A3893" w14:paraId="7C194E77" w14:textId="304A9383">
            <w:pPr>
              <w:spacing w:line="276" w:lineRule="auto"/>
              <w:ind w:firstLine="709"/>
              <w:jc w:val="both"/>
              <w:rPr>
                <w:rFonts w:ascii="Verdana" w:hAnsi="Verdana" w:eastAsia="Calibri" w:cs="Arial"/>
                <w:color w:val="000000" w:themeColor="text1"/>
              </w:rPr>
            </w:pPr>
            <w:r>
              <w:rPr>
                <w:rFonts w:ascii="Verdana" w:hAnsi="Verdana" w:eastAsia="Calibri" w:cs="Arial"/>
                <w:color w:val="000000" w:themeColor="text1"/>
              </w:rPr>
              <w:t>Tratándose de las modalidades competitivas</w:t>
            </w:r>
            <w:r w:rsidR="008231C3">
              <w:rPr>
                <w:rFonts w:ascii="Verdana" w:hAnsi="Verdana" w:eastAsia="Calibri" w:cs="Arial"/>
                <w:color w:val="000000" w:themeColor="text1"/>
              </w:rPr>
              <w:t>, como</w:t>
            </w:r>
            <w:r w:rsidR="00C06DE3">
              <w:rPr>
                <w:rFonts w:ascii="Verdana" w:hAnsi="Verdana" w:eastAsia="Calibri" w:cs="Arial"/>
                <w:color w:val="000000" w:themeColor="text1"/>
              </w:rPr>
              <w:t>, por ejemplo,</w:t>
            </w:r>
            <w:r w:rsidR="008231C3">
              <w:rPr>
                <w:rFonts w:ascii="Verdana" w:hAnsi="Verdana" w:eastAsia="Calibri" w:cs="Arial"/>
                <w:color w:val="000000" w:themeColor="text1"/>
              </w:rPr>
              <w:t xml:space="preserve"> la licitación pública,</w:t>
            </w:r>
            <w:r>
              <w:rPr>
                <w:rFonts w:ascii="Verdana" w:hAnsi="Verdana" w:eastAsia="Calibri" w:cs="Arial"/>
                <w:color w:val="000000" w:themeColor="text1"/>
              </w:rPr>
              <w:t xml:space="preserve"> </w:t>
            </w:r>
            <w:r w:rsidR="0051481F">
              <w:rPr>
                <w:rFonts w:ascii="Verdana" w:hAnsi="Verdana" w:eastAsia="Calibri" w:cs="Arial"/>
                <w:color w:val="000000" w:themeColor="text1"/>
              </w:rPr>
              <w:t xml:space="preserve">la etapa precontractual </w:t>
            </w:r>
            <w:r w:rsidR="00D174CA">
              <w:rPr>
                <w:rFonts w:ascii="Verdana" w:hAnsi="Verdana" w:eastAsia="Calibri" w:cs="Arial"/>
                <w:color w:val="000000" w:themeColor="text1"/>
              </w:rPr>
              <w:t>además</w:t>
            </w:r>
            <w:r w:rsidR="00C06DE3">
              <w:rPr>
                <w:rFonts w:ascii="Verdana" w:hAnsi="Verdana" w:eastAsia="Calibri" w:cs="Arial"/>
                <w:color w:val="000000" w:themeColor="text1"/>
              </w:rPr>
              <w:t xml:space="preserve"> debe</w:t>
            </w:r>
            <w:r w:rsidR="008231C3">
              <w:rPr>
                <w:rFonts w:ascii="Verdana" w:hAnsi="Verdana" w:eastAsia="Calibri" w:cs="Arial"/>
                <w:color w:val="000000" w:themeColor="text1"/>
              </w:rPr>
              <w:t xml:space="preserve"> agotar hitos como</w:t>
            </w:r>
            <w:r w:rsidR="00D174CA">
              <w:rPr>
                <w:rFonts w:ascii="Verdana" w:hAnsi="Verdana" w:eastAsia="Calibri" w:cs="Arial"/>
                <w:color w:val="000000" w:themeColor="text1"/>
              </w:rPr>
              <w:t xml:space="preserve"> la publicación del </w:t>
            </w:r>
            <w:r w:rsidR="008231C3">
              <w:rPr>
                <w:rFonts w:ascii="Verdana" w:hAnsi="Verdana" w:eastAsia="Calibri" w:cs="Arial"/>
                <w:color w:val="000000" w:themeColor="text1"/>
              </w:rPr>
              <w:t>pliego de condiciones,</w:t>
            </w:r>
            <w:r w:rsidR="00D174CA">
              <w:rPr>
                <w:rFonts w:ascii="Verdana" w:hAnsi="Verdana" w:eastAsia="Calibri" w:cs="Arial"/>
                <w:color w:val="000000" w:themeColor="text1"/>
              </w:rPr>
              <w:t xml:space="preserve"> </w:t>
            </w:r>
            <w:r w:rsidR="008231C3">
              <w:rPr>
                <w:rFonts w:ascii="Verdana" w:hAnsi="Verdana" w:eastAsia="Calibri" w:cs="Arial"/>
                <w:color w:val="000000" w:themeColor="text1"/>
              </w:rPr>
              <w:t xml:space="preserve">la recepción </w:t>
            </w:r>
            <w:r w:rsidR="00D174CA">
              <w:rPr>
                <w:rFonts w:ascii="Verdana" w:hAnsi="Verdana" w:eastAsia="Calibri" w:cs="Arial"/>
                <w:color w:val="000000" w:themeColor="text1"/>
              </w:rPr>
              <w:t xml:space="preserve">de ofertas, </w:t>
            </w:r>
            <w:r w:rsidR="00C318C0">
              <w:rPr>
                <w:rFonts w:ascii="Verdana" w:hAnsi="Verdana" w:eastAsia="Calibri" w:cs="Arial"/>
                <w:color w:val="000000" w:themeColor="text1"/>
              </w:rPr>
              <w:t xml:space="preserve">la evaluación de </w:t>
            </w:r>
            <w:r w:rsidR="00C318C0">
              <w:rPr>
                <w:rFonts w:ascii="Verdana" w:hAnsi="Verdana" w:eastAsia="Calibri" w:cs="Arial"/>
                <w:color w:val="000000" w:themeColor="text1"/>
              </w:rPr>
              <w:lastRenderedPageBreak/>
              <w:t>las propuestas</w:t>
            </w:r>
            <w:r w:rsidR="00C06DE3">
              <w:rPr>
                <w:rFonts w:ascii="Verdana" w:hAnsi="Verdana" w:eastAsia="Calibri" w:cs="Arial"/>
                <w:color w:val="000000" w:themeColor="text1"/>
              </w:rPr>
              <w:t xml:space="preserve"> y</w:t>
            </w:r>
            <w:r w:rsidR="00C318C0">
              <w:rPr>
                <w:rFonts w:ascii="Verdana" w:hAnsi="Verdana" w:eastAsia="Calibri" w:cs="Arial"/>
                <w:color w:val="000000" w:themeColor="text1"/>
              </w:rPr>
              <w:t xml:space="preserve"> la adjudicación</w:t>
            </w:r>
            <w:r w:rsidR="00C06DE3">
              <w:rPr>
                <w:rFonts w:ascii="Verdana" w:hAnsi="Verdana" w:eastAsia="Calibri" w:cs="Arial"/>
                <w:color w:val="000000" w:themeColor="text1"/>
              </w:rPr>
              <w:t>,</w:t>
            </w:r>
            <w:r w:rsidR="00B74C43">
              <w:rPr>
                <w:rFonts w:ascii="Verdana" w:hAnsi="Verdana" w:eastAsia="Calibri" w:cs="Arial"/>
                <w:color w:val="000000" w:themeColor="text1"/>
              </w:rPr>
              <w:t xml:space="preserve"> para luego dar paso a la suscripción del contrato. Cad</w:t>
            </w:r>
            <w:r w:rsidR="00B45D6E">
              <w:rPr>
                <w:rFonts w:ascii="Verdana" w:hAnsi="Verdana" w:eastAsia="Calibri" w:cs="Arial"/>
                <w:color w:val="000000" w:themeColor="text1"/>
              </w:rPr>
              <w:t>a una de estas etapas y los documentos que se produzcan en el marco de estas deben ser publicados en el SECOP</w:t>
            </w:r>
            <w:r w:rsidR="005A5620">
              <w:rPr>
                <w:rFonts w:ascii="Verdana" w:hAnsi="Verdana" w:eastAsia="Calibri" w:cs="Arial"/>
                <w:color w:val="000000" w:themeColor="text1"/>
              </w:rPr>
              <w:t xml:space="preserve">, de conformidad con </w:t>
            </w:r>
            <w:r w:rsidR="007E6592">
              <w:rPr>
                <w:rFonts w:ascii="Verdana" w:hAnsi="Verdana" w:eastAsia="Calibri" w:cs="Arial"/>
                <w:color w:val="000000" w:themeColor="text1"/>
              </w:rPr>
              <w:t>los</w:t>
            </w:r>
            <w:r w:rsidR="005A5620">
              <w:rPr>
                <w:rFonts w:ascii="Verdana" w:hAnsi="Verdana" w:eastAsia="Calibri" w:cs="Arial"/>
                <w:color w:val="000000" w:themeColor="text1"/>
              </w:rPr>
              <w:t xml:space="preserve"> artículo</w:t>
            </w:r>
            <w:r w:rsidR="007E6592">
              <w:rPr>
                <w:rFonts w:ascii="Verdana" w:hAnsi="Verdana" w:eastAsia="Calibri" w:cs="Arial"/>
                <w:color w:val="000000" w:themeColor="text1"/>
              </w:rPr>
              <w:t>s</w:t>
            </w:r>
            <w:r w:rsidR="005A5620">
              <w:rPr>
                <w:rFonts w:ascii="Verdana" w:hAnsi="Verdana" w:eastAsia="Calibri" w:cs="Arial"/>
                <w:color w:val="000000" w:themeColor="text1"/>
              </w:rPr>
              <w:t xml:space="preserve"> 3 de la Ley 1150 de 2007</w:t>
            </w:r>
            <w:r w:rsidR="007E6592">
              <w:rPr>
                <w:rFonts w:ascii="Verdana" w:hAnsi="Verdana" w:eastAsia="Calibri" w:cs="Arial"/>
                <w:color w:val="000000" w:themeColor="text1"/>
              </w:rPr>
              <w:t xml:space="preserve"> y</w:t>
            </w:r>
            <w:r w:rsidR="005A5620">
              <w:rPr>
                <w:rFonts w:ascii="Verdana" w:hAnsi="Verdana" w:eastAsia="Calibri" w:cs="Arial"/>
                <w:color w:val="000000" w:themeColor="text1"/>
              </w:rPr>
              <w:t xml:space="preserve"> </w:t>
            </w:r>
            <w:r w:rsidRPr="007E6592" w:rsidR="007E6592">
              <w:rPr>
                <w:rFonts w:ascii="Verdana" w:hAnsi="Verdana" w:eastAsia="Calibri" w:cs="Arial"/>
                <w:color w:val="000000" w:themeColor="text1"/>
              </w:rPr>
              <w:t>2.2.1.1.1.7.1</w:t>
            </w:r>
            <w:r w:rsidR="007E6592">
              <w:rPr>
                <w:rFonts w:ascii="Verdana" w:hAnsi="Verdana" w:eastAsia="Calibri" w:cs="Arial"/>
                <w:color w:val="000000" w:themeColor="text1"/>
              </w:rPr>
              <w:t xml:space="preserve"> del Decreto 1082 de 2015. </w:t>
            </w:r>
            <w:r w:rsidR="00C06DE3">
              <w:rPr>
                <w:rFonts w:ascii="Verdana" w:hAnsi="Verdana" w:eastAsia="Calibri" w:cs="Arial"/>
                <w:color w:val="000000" w:themeColor="text1"/>
              </w:rPr>
              <w:t xml:space="preserve"> </w:t>
            </w:r>
            <w:r w:rsidR="00C318C0">
              <w:rPr>
                <w:rFonts w:ascii="Verdana" w:hAnsi="Verdana" w:eastAsia="Calibri" w:cs="Arial"/>
                <w:color w:val="000000" w:themeColor="text1"/>
              </w:rPr>
              <w:t xml:space="preserve"> </w:t>
            </w:r>
          </w:p>
          <w:p w:rsidRPr="0007375E" w:rsidR="009368E8" w:rsidP="0050528D" w:rsidRDefault="009368E8" w14:paraId="36C8EE57" w14:textId="64EDCE3F">
            <w:pPr>
              <w:spacing w:line="276" w:lineRule="auto"/>
              <w:ind w:firstLine="708"/>
              <w:jc w:val="both"/>
              <w:rPr>
                <w:rFonts w:ascii="Verdana" w:hAnsi="Verdana" w:eastAsia="Calibri"/>
                <w:bCs/>
                <w:color w:val="000000" w:themeColor="text1"/>
                <w:lang w:val="es-ES_tradnl"/>
              </w:rPr>
            </w:pPr>
          </w:p>
        </w:tc>
      </w:tr>
      <w:tr w:rsidRPr="0007375E" w:rsidR="009368E8" w14:paraId="24CB2DE3" w14:textId="77777777">
        <w:tc>
          <w:tcPr>
            <w:tcW w:w="8828" w:type="dxa"/>
            <w:shd w:val="clear" w:color="auto" w:fill="auto"/>
          </w:tcPr>
          <w:p w:rsidRPr="0007375E" w:rsidR="009368E8" w:rsidRDefault="009368E8" w14:paraId="390C37F3" w14:textId="77777777">
            <w:pPr>
              <w:spacing w:line="276" w:lineRule="auto"/>
              <w:ind w:firstLine="708"/>
              <w:jc w:val="both"/>
              <w:rPr>
                <w:rFonts w:ascii="Verdana" w:hAnsi="Verdana"/>
              </w:rPr>
            </w:pPr>
          </w:p>
        </w:tc>
      </w:tr>
    </w:tbl>
    <w:p w:rsidR="009368E8" w:rsidP="009368E8" w:rsidRDefault="009368E8" w14:paraId="21AC1151"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rPr>
      </w:pPr>
    </w:p>
    <w:p w:rsidRPr="0007375E" w:rsidR="009368E8" w:rsidP="009368E8" w:rsidRDefault="009368E8" w14:paraId="61211E93"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rPr>
      </w:pPr>
    </w:p>
    <w:p w:rsidRPr="0007375E" w:rsidR="009368E8" w:rsidP="009368E8" w:rsidRDefault="009368E8" w14:paraId="4E9ED88D" w14:textId="77777777">
      <w:pPr>
        <w:tabs>
          <w:tab w:val="left" w:pos="142"/>
          <w:tab w:val="left" w:pos="284"/>
        </w:tabs>
        <w:spacing w:after="0" w:line="276" w:lineRule="auto"/>
        <w:jc w:val="both"/>
        <w:rPr>
          <w:rFonts w:ascii="Verdana" w:hAnsi="Verdana" w:eastAsia="Century Gothic" w:cs="Century Gothic"/>
          <w:b/>
          <w:bCs/>
          <w:lang w:val="es-ES"/>
        </w:rPr>
      </w:pPr>
      <w:r w:rsidRPr="0007375E">
        <w:rPr>
          <w:rFonts w:ascii="Verdana" w:hAnsi="Verdana" w:eastAsia="Century Gothic" w:cs="Century Gothic"/>
          <w:b/>
          <w:bCs/>
        </w:rPr>
        <w:t>3.Razones de la respuesta:</w:t>
      </w:r>
    </w:p>
    <w:p w:rsidRPr="0007375E" w:rsidR="009368E8" w:rsidP="009368E8" w:rsidRDefault="009368E8" w14:paraId="3EE66952" w14:textId="77777777">
      <w:pPr>
        <w:spacing w:after="0" w:line="276" w:lineRule="auto"/>
        <w:jc w:val="both"/>
        <w:rPr>
          <w:rFonts w:ascii="Verdana" w:hAnsi="Verdana" w:eastAsia="Calibri" w:cs="Arial"/>
          <w:lang w:val="es-ES"/>
        </w:rPr>
      </w:pPr>
    </w:p>
    <w:p w:rsidRPr="0007375E" w:rsidR="009368E8" w:rsidP="009368E8" w:rsidRDefault="009368E8" w14:paraId="28634F4C" w14:textId="77777777">
      <w:pPr>
        <w:spacing w:after="0" w:line="276" w:lineRule="auto"/>
        <w:jc w:val="both"/>
        <w:rPr>
          <w:rFonts w:ascii="Verdana" w:hAnsi="Verdana" w:eastAsia="Calibri" w:cs="Arial"/>
          <w:lang w:val="es-ES"/>
        </w:rPr>
      </w:pPr>
      <w:r w:rsidRPr="0007375E">
        <w:rPr>
          <w:rFonts w:ascii="Verdana" w:hAnsi="Verdana" w:eastAsia="Calibri" w:cs="Arial"/>
          <w:lang w:val="es-ES"/>
        </w:rPr>
        <w:t>Lo anterior se sustenta en las siguientes consideraciones:</w:t>
      </w:r>
    </w:p>
    <w:p w:rsidR="009368E8" w:rsidP="009368E8" w:rsidRDefault="009368E8" w14:paraId="04E5EEA7" w14:textId="77777777">
      <w:pPr>
        <w:spacing w:after="0" w:line="276" w:lineRule="auto"/>
        <w:jc w:val="both"/>
        <w:rPr>
          <w:rFonts w:ascii="Verdana" w:hAnsi="Verdana" w:eastAsia="Calibri" w:cs="Arial"/>
          <w:lang w:val="es-ES"/>
        </w:rPr>
      </w:pPr>
    </w:p>
    <w:p w:rsidR="00B423E7" w:rsidP="00B423E7" w:rsidRDefault="00B423E7" w14:paraId="70ECDD6C" w14:textId="77777777">
      <w:pPr>
        <w:spacing w:after="120" w:line="276" w:lineRule="auto"/>
        <w:jc w:val="both"/>
        <w:rPr>
          <w:rFonts w:ascii="Verdana" w:hAnsi="Verdana" w:eastAsia="Calibri" w:cs="Arial"/>
          <w:color w:val="000000" w:themeColor="text1"/>
        </w:rPr>
      </w:pPr>
      <w:r>
        <w:rPr>
          <w:rFonts w:ascii="Verdana" w:hAnsi="Verdana"/>
        </w:rPr>
        <w:t>Los Procesos de Contratación que deben adelantar las Entidades Estatales para</w:t>
      </w:r>
      <w:r w:rsidRPr="0007375E">
        <w:rPr>
          <w:rFonts w:ascii="Verdana" w:hAnsi="Verdana" w:eastAsia="Calibri" w:cs="Arial"/>
          <w:color w:val="000000" w:themeColor="text1"/>
        </w:rPr>
        <w:t xml:space="preserve"> adquirir </w:t>
      </w:r>
      <w:r>
        <w:rPr>
          <w:rFonts w:ascii="Verdana" w:hAnsi="Verdana" w:eastAsia="Calibri" w:cs="Arial"/>
          <w:color w:val="000000" w:themeColor="text1"/>
        </w:rPr>
        <w:t xml:space="preserve">los </w:t>
      </w:r>
      <w:r w:rsidRPr="0007375E">
        <w:rPr>
          <w:rFonts w:ascii="Verdana" w:hAnsi="Verdana" w:eastAsia="Calibri" w:cs="Arial"/>
          <w:color w:val="000000" w:themeColor="text1"/>
        </w:rPr>
        <w:t>bienes</w:t>
      </w:r>
      <w:r>
        <w:rPr>
          <w:rFonts w:ascii="Verdana" w:hAnsi="Verdana" w:eastAsia="Calibri" w:cs="Arial"/>
          <w:color w:val="000000" w:themeColor="text1"/>
        </w:rPr>
        <w:t>,</w:t>
      </w:r>
      <w:r w:rsidRPr="0007375E">
        <w:rPr>
          <w:rFonts w:ascii="Verdana" w:hAnsi="Verdana" w:eastAsia="Calibri" w:cs="Arial"/>
          <w:color w:val="000000" w:themeColor="text1"/>
        </w:rPr>
        <w:t xml:space="preserve"> o</w:t>
      </w:r>
      <w:r>
        <w:rPr>
          <w:rFonts w:ascii="Verdana" w:hAnsi="Verdana" w:eastAsia="Calibri" w:cs="Arial"/>
          <w:color w:val="000000" w:themeColor="text1"/>
        </w:rPr>
        <w:t xml:space="preserve">bras o </w:t>
      </w:r>
      <w:r w:rsidRPr="0007375E">
        <w:rPr>
          <w:rFonts w:ascii="Verdana" w:hAnsi="Verdana" w:eastAsia="Calibri" w:cs="Arial"/>
          <w:color w:val="000000" w:themeColor="text1"/>
        </w:rPr>
        <w:t xml:space="preserve">servicios </w:t>
      </w:r>
      <w:r>
        <w:rPr>
          <w:rFonts w:ascii="Verdana" w:hAnsi="Verdana" w:eastAsia="Calibri" w:cs="Arial"/>
          <w:color w:val="000000" w:themeColor="text1"/>
        </w:rPr>
        <w:t>que se requieren, se rigen por procedimientos reglados establecidos por la ley y el reglamento</w:t>
      </w:r>
      <w:r w:rsidRPr="0007375E">
        <w:rPr>
          <w:rFonts w:ascii="Verdana" w:hAnsi="Verdana" w:eastAsia="Calibri" w:cs="Arial"/>
          <w:color w:val="000000" w:themeColor="text1"/>
        </w:rPr>
        <w:t>.</w:t>
      </w:r>
      <w:r>
        <w:rPr>
          <w:rFonts w:ascii="Verdana" w:hAnsi="Verdana" w:eastAsia="Calibri" w:cs="Arial"/>
          <w:color w:val="000000" w:themeColor="text1"/>
        </w:rPr>
        <w:t xml:space="preserve"> Si bien el artículo 2 de la Ley 1150 de 2007 prevé distintas modalidades de selección, competitivas y no competitivas, sujetas a procedimientos distintos, todas deben agotar una etapa precontractual en la que se realiza la planeación del contrato, lo cual se refleja en el análisis del sector económico y en los estudios previos. </w:t>
      </w:r>
    </w:p>
    <w:p w:rsidRPr="0007375E" w:rsidR="009368E8" w:rsidP="009368E8" w:rsidRDefault="00B423E7" w14:paraId="0401408F" w14:textId="2551EEB8">
      <w:pPr>
        <w:tabs>
          <w:tab w:val="left" w:pos="851"/>
          <w:tab w:val="left" w:pos="1134"/>
        </w:tabs>
        <w:spacing w:before="120" w:after="120" w:line="276" w:lineRule="auto"/>
        <w:jc w:val="both"/>
        <w:rPr>
          <w:rFonts w:ascii="Verdana" w:hAnsi="Verdana" w:cs="Arial"/>
          <w:color w:val="000000" w:themeColor="text1"/>
        </w:rPr>
      </w:pPr>
      <w:r>
        <w:rPr>
          <w:rFonts w:ascii="Verdana" w:hAnsi="Verdana" w:cs="Arial"/>
          <w:color w:val="000000" w:themeColor="text1"/>
          <w:lang w:val="es-ES"/>
        </w:rPr>
        <w:tab/>
      </w:r>
      <w:r w:rsidRPr="0007375E" w:rsidR="009368E8">
        <w:rPr>
          <w:rFonts w:ascii="Verdana" w:hAnsi="Verdana" w:cs="Arial"/>
          <w:color w:val="000000" w:themeColor="text1"/>
        </w:rPr>
        <w:t xml:space="preserve">En relación con la licitación pública, el artículo 30 de la Ley 80 de 1993 definió la estructura del proceso y estableció sus fases. Según esta normativa, se puede distinguir entre la fase de planificación o preparatoria y la licitación propiamente dicha. El inciso 1 del artículo mencionado establece dos momentos en el procedimiento de licitación: por un lado, el relacionado con la planificación, ya que la entidad, antes de iniciar el proceso de selección, debe desarrollar los estudios previos que fundamenten técnica y jurídicamente la contratación, de acuerdo con el inciso 12 del artículo 25 de esa ley y el artículo 2.2.1.1.2.1.1 del Decreto 1082 de 2015; por otro lado, se encuentra la etapa de inicio del proceso de selección en sí, que se inicia con el acto administrativo de apertura del proceso. Además, el inciso 2 del artículo 30 de la Ley 80 de 1993 impone la obligación de preparar un pliego de condiciones, conforme a lo estipulado en el inciso 5 del artículo 24 de la misma ley y en el artículo 2.2.1.1.2.1.3 del Decreto 1082 de 2015. </w:t>
      </w:r>
    </w:p>
    <w:p w:rsidRPr="0007375E" w:rsidR="009368E8" w:rsidP="009368E8" w:rsidRDefault="009368E8" w14:paraId="3F1650CB" w14:textId="77777777">
      <w:pPr>
        <w:tabs>
          <w:tab w:val="left" w:pos="851"/>
          <w:tab w:val="left" w:pos="1134"/>
        </w:tabs>
        <w:spacing w:before="120" w:after="120" w:line="276" w:lineRule="auto"/>
        <w:ind w:firstLine="709"/>
        <w:jc w:val="both"/>
        <w:rPr>
          <w:rFonts w:ascii="Verdana" w:hAnsi="Verdana" w:cs="Arial"/>
          <w:color w:val="000000" w:themeColor="text1"/>
        </w:rPr>
      </w:pPr>
      <w:r w:rsidRPr="0007375E">
        <w:rPr>
          <w:rFonts w:ascii="Verdana" w:hAnsi="Verdana" w:cs="Arial"/>
          <w:color w:val="000000" w:themeColor="text1"/>
        </w:rPr>
        <w:t xml:space="preserve">Por su parte, el numeral 3 señala que dentro de los 10 o 20 días calendario antes de la apertura de la licitación, la entidad debe publicar hasta 3 avisos para invitar a participar en el proceso de licitación. Los avisos deberán publicarse con intervalos de 2 a 5 días calendario entre cada uno, en la página web de la entidad </w:t>
      </w:r>
      <w:r w:rsidRPr="0007375E">
        <w:rPr>
          <w:rFonts w:ascii="Verdana" w:hAnsi="Verdana" w:cs="Arial"/>
          <w:color w:val="000000" w:themeColor="text1"/>
        </w:rPr>
        <w:lastRenderedPageBreak/>
        <w:t xml:space="preserve">y en el SECOP; en defecto de los mecanismos anteriores, en los pequeños poblados, esta publicación debe realizarse por bando o en los principales lugares públicos, por un término de 7 días calendario, uno de los cuales será en el «día de mercado» de la respectiva población. Además, se debe publicar otro aviso que contendrá la información señalada en el artículo 2.2.1.1.2.1.2. del Decreto 1082 de 2015.  </w:t>
      </w:r>
    </w:p>
    <w:p w:rsidRPr="0007375E" w:rsidR="009368E8" w:rsidP="009368E8" w:rsidRDefault="009368E8" w14:paraId="562640FB" w14:textId="77777777">
      <w:pPr>
        <w:tabs>
          <w:tab w:val="left" w:pos="851"/>
          <w:tab w:val="left" w:pos="1134"/>
        </w:tabs>
        <w:spacing w:before="120" w:after="120" w:line="276" w:lineRule="auto"/>
        <w:ind w:firstLine="709"/>
        <w:jc w:val="both"/>
        <w:rPr>
          <w:rFonts w:ascii="Verdana" w:hAnsi="Verdana" w:cs="Arial"/>
          <w:color w:val="000000" w:themeColor="text1"/>
        </w:rPr>
      </w:pPr>
      <w:r w:rsidRPr="0007375E">
        <w:rPr>
          <w:rFonts w:ascii="Verdana" w:hAnsi="Verdana" w:cs="Arial"/>
          <w:color w:val="000000" w:themeColor="text1"/>
        </w:rPr>
        <w:t xml:space="preserve">De igual manera, debe elaborarse el proyecto de pliego de condiciones con base en el contenido de los documentos y estudios previos que, con anterioridad, estructuró la entidad para justificar la necesidad de la contratación. Los requisitos del pliego se encuentran en el artículo 2.2.1.1.2.1.3. del Decreto 1082 de 2015. Este documento debe publicarse en el SECOP </w:t>
      </w:r>
      <w:proofErr w:type="gramStart"/>
      <w:r w:rsidRPr="0007375E">
        <w:rPr>
          <w:rFonts w:ascii="Verdana" w:hAnsi="Verdana" w:cs="Arial"/>
          <w:color w:val="000000" w:themeColor="text1"/>
        </w:rPr>
        <w:t>conjuntamente con</w:t>
      </w:r>
      <w:proofErr w:type="gramEnd"/>
      <w:r w:rsidRPr="0007375E">
        <w:rPr>
          <w:rFonts w:ascii="Verdana" w:hAnsi="Verdana" w:cs="Arial"/>
          <w:color w:val="000000" w:themeColor="text1"/>
        </w:rPr>
        <w:t xml:space="preserve"> los estudios y documentos previos, por no menos de 10 días hábiles anteriores a la apertura del proceso de licitación, –</w:t>
      </w:r>
      <w:bookmarkStart w:name="_Hlk177288477" w:id="1"/>
      <w:r w:rsidRPr="0007375E">
        <w:rPr>
          <w:rFonts w:ascii="Verdana" w:hAnsi="Verdana" w:cs="Arial"/>
          <w:color w:val="000000" w:themeColor="text1"/>
        </w:rPr>
        <w:t>artículos 8</w:t>
      </w:r>
      <w:bookmarkEnd w:id="1"/>
      <w:r w:rsidRPr="0007375E">
        <w:rPr>
          <w:rFonts w:ascii="Verdana" w:hAnsi="Verdana" w:cs="Arial"/>
          <w:color w:val="000000" w:themeColor="text1"/>
        </w:rPr>
        <w:t xml:space="preserve"> de la Ley 1150 de 2007 y 2.2.1.1.2.1.4. del Decreto 1082 de 2015–.  </w:t>
      </w:r>
    </w:p>
    <w:p w:rsidRPr="0007375E" w:rsidR="009368E8" w:rsidP="009368E8" w:rsidRDefault="009368E8" w14:paraId="1497B0BB" w14:textId="77777777">
      <w:pPr>
        <w:tabs>
          <w:tab w:val="left" w:pos="851"/>
          <w:tab w:val="left" w:pos="1134"/>
        </w:tabs>
        <w:spacing w:before="120" w:after="120" w:line="276" w:lineRule="auto"/>
        <w:ind w:firstLine="709"/>
        <w:jc w:val="both"/>
        <w:rPr>
          <w:rFonts w:ascii="Verdana" w:hAnsi="Verdana" w:cs="Arial"/>
          <w:color w:val="000000" w:themeColor="text1"/>
        </w:rPr>
      </w:pPr>
      <w:r w:rsidRPr="0007375E">
        <w:rPr>
          <w:rFonts w:ascii="Verdana" w:hAnsi="Verdana" w:cs="Arial"/>
          <w:color w:val="000000" w:themeColor="text1"/>
        </w:rPr>
        <w:t xml:space="preserve">En armonía con lo anterior, los artículos </w:t>
      </w:r>
      <w:bookmarkStart w:name="_Hlk177288748" w:id="2"/>
      <w:r w:rsidRPr="0007375E">
        <w:rPr>
          <w:rFonts w:ascii="Verdana" w:hAnsi="Verdana" w:cs="Arial"/>
          <w:color w:val="000000" w:themeColor="text1"/>
        </w:rPr>
        <w:t>2.2.1.1.1.7.1</w:t>
      </w:r>
      <w:bookmarkEnd w:id="2"/>
      <w:r w:rsidRPr="0007375E">
        <w:rPr>
          <w:rFonts w:ascii="Verdana" w:hAnsi="Verdana" w:cs="Arial"/>
          <w:color w:val="000000" w:themeColor="text1"/>
        </w:rPr>
        <w:t xml:space="preserve">. y </w:t>
      </w:r>
      <w:bookmarkStart w:name="_Hlk177288766" w:id="3"/>
      <w:r w:rsidRPr="0007375E">
        <w:rPr>
          <w:rFonts w:ascii="Verdana" w:hAnsi="Verdana" w:cs="Arial"/>
          <w:color w:val="000000" w:themeColor="text1"/>
        </w:rPr>
        <w:t>2.2.1.1.2.1.4</w:t>
      </w:r>
      <w:bookmarkEnd w:id="3"/>
      <w:r w:rsidRPr="0007375E">
        <w:rPr>
          <w:rFonts w:ascii="Verdana" w:hAnsi="Verdana" w:cs="Arial"/>
          <w:color w:val="000000" w:themeColor="text1"/>
        </w:rPr>
        <w:t xml:space="preserve">.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del proyecto de pliego de condiciones. Además, conforme a los tiempos establecidos en el cronograma del proceso contenido en el “aviso de convocatoria” y en el “proyecto de pliego de condiciones”, la entidad debe responder, de forma motivada, cada una de las observaciones y publicarlas en el SECOP. Posteriormente, la entidad ajustará el pliego de condiciones, de ser procedente, tomando en cuenta, en lo pertinente, las aclaraciones que fueron solicitadas por los interesados y las observaciones. Debe tenerse en cuenta que las respuestas a dichas observaciones se integran al pliego de condiciones, en tanto precisan su alcance y se constituye en una fuente interpretativa del mismo.  </w:t>
      </w:r>
    </w:p>
    <w:p w:rsidRPr="0007375E" w:rsidR="009368E8" w:rsidP="009368E8" w:rsidRDefault="009368E8" w14:paraId="1A63BDB8" w14:textId="77777777">
      <w:pPr>
        <w:spacing w:before="120" w:after="120" w:line="276" w:lineRule="auto"/>
        <w:ind w:firstLine="709"/>
        <w:jc w:val="both"/>
        <w:rPr>
          <w:rStyle w:val="normaltextrun"/>
          <w:rFonts w:ascii="Verdana" w:hAnsi="Verdana" w:cs="Arial"/>
          <w:color w:val="000000"/>
          <w:shd w:val="clear" w:color="auto" w:fill="FFFFFF"/>
        </w:rPr>
      </w:pPr>
      <w:r w:rsidRPr="0007375E">
        <w:rPr>
          <w:rFonts w:ascii="Verdana" w:hAnsi="Verdana" w:cs="Arial"/>
          <w:color w:val="000000" w:themeColor="text1"/>
        </w:rPr>
        <w:t xml:space="preserve">El artículo 30.1 de la Ley 80 establece que el jefe o representante de la entidad ordenará la apertura mediante un acto administrativo, en la forma prevista en el artículo </w:t>
      </w:r>
      <w:bookmarkStart w:name="_Hlk177288819" w:id="4"/>
      <w:r w:rsidRPr="0007375E">
        <w:rPr>
          <w:rFonts w:ascii="Verdana" w:hAnsi="Verdana" w:cs="Arial"/>
          <w:color w:val="000000" w:themeColor="text1"/>
        </w:rPr>
        <w:t xml:space="preserve">2.2.1.1.2.1.5. </w:t>
      </w:r>
      <w:bookmarkEnd w:id="4"/>
      <w:r w:rsidRPr="0007375E">
        <w:rPr>
          <w:rFonts w:ascii="Verdana" w:hAnsi="Verdana" w:cs="Arial"/>
          <w:color w:val="000000" w:themeColor="text1"/>
        </w:rPr>
        <w:t xml:space="preserve">del Decreto 1082 de 2015, y deberá expedirse el pliego de condiciones definitivo. Con este acto de apertura inicia la etapa de licitación propiamente dicha, en la que –previa resolución de las observaciones que se realicen– los interesados podrán presentar ofertas. </w:t>
      </w:r>
      <w:r w:rsidRPr="0007375E">
        <w:rPr>
          <w:rStyle w:val="normaltextrun"/>
          <w:rFonts w:ascii="Verdana" w:hAnsi="Verdana" w:cs="Arial"/>
          <w:color w:val="000000"/>
          <w:shd w:val="clear" w:color="auto" w:fill="FFFFFF"/>
        </w:rPr>
        <w:t>Esta etapa fue denominada por el legislador como </w:t>
      </w:r>
      <w:r w:rsidRPr="0007375E">
        <w:rPr>
          <w:rStyle w:val="normaltextrun"/>
          <w:rFonts w:ascii="Verdana" w:hAnsi="Verdana" w:cs="Arial"/>
          <w:i/>
          <w:iCs/>
          <w:color w:val="000000"/>
          <w:shd w:val="clear" w:color="auto" w:fill="FFFFFF"/>
        </w:rPr>
        <w:t>plazo de licitación, </w:t>
      </w:r>
      <w:r w:rsidRPr="0007375E">
        <w:rPr>
          <w:rStyle w:val="normaltextrun"/>
          <w:rFonts w:ascii="Verdana" w:hAnsi="Verdana" w:cs="Arial"/>
          <w:color w:val="000000"/>
          <w:shd w:val="clear" w:color="auto" w:fill="FFFFFF"/>
        </w:rPr>
        <w:t xml:space="preserve">y alude a la oportunidad que tienen los proponentes para presentar ofertas. Este plazo, según el numeral 5 del inciso del artículo 30 de la Ley 80 de 1993, se computa </w:t>
      </w:r>
      <w:r w:rsidRPr="0007375E">
        <w:rPr>
          <w:rStyle w:val="normaltextrun"/>
          <w:rFonts w:ascii="Verdana" w:hAnsi="Verdana" w:cs="Arial"/>
          <w:color w:val="000000"/>
          <w:shd w:val="clear" w:color="auto" w:fill="FFFFFF"/>
        </w:rPr>
        <w:lastRenderedPageBreak/>
        <w:t>desde la fecha a partir de la cual se pueden presentar propuestas y hasta la de su cierre, según lo defina el pliego de condiciones. </w:t>
      </w:r>
    </w:p>
    <w:p w:rsidRPr="0007375E" w:rsidR="009368E8" w:rsidP="009368E8" w:rsidRDefault="009368E8" w14:paraId="7F71EFC4" w14:textId="77777777">
      <w:pPr>
        <w:spacing w:before="120" w:after="120" w:line="276" w:lineRule="auto"/>
        <w:ind w:firstLine="708"/>
        <w:jc w:val="both"/>
        <w:rPr>
          <w:rFonts w:ascii="Verdana" w:hAnsi="Verdana" w:cs="Arial"/>
          <w:color w:val="000000" w:themeColor="text1"/>
        </w:rPr>
      </w:pPr>
      <w:r w:rsidRPr="0007375E">
        <w:rPr>
          <w:rFonts w:ascii="Verdana" w:hAnsi="Verdana" w:cs="Arial"/>
          <w:color w:val="000000" w:themeColor="text1"/>
        </w:rPr>
        <w:t>Así las cosas, la entidad pública es quien define el término con que contarán los oferentes para preparar y 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adenda dentro de los 3 días anteriores al cierre de la licitación. De todos modos, el término fijado es perentorio y de obligatorio cumplimiento para los oferentes, como se explicará más adelante en el numeral b de este documento.</w:t>
      </w:r>
    </w:p>
    <w:p w:rsidRPr="0007375E" w:rsidR="009368E8" w:rsidP="009368E8" w:rsidRDefault="009368E8" w14:paraId="51082DAF" w14:textId="77777777">
      <w:pPr>
        <w:spacing w:before="120" w:after="120" w:line="276" w:lineRule="auto"/>
        <w:ind w:firstLine="709"/>
        <w:jc w:val="both"/>
        <w:rPr>
          <w:rFonts w:ascii="Verdana" w:hAnsi="Verdana" w:cs="Arial"/>
          <w:color w:val="000000" w:themeColor="text1"/>
        </w:rPr>
      </w:pPr>
      <w:r w:rsidRPr="0007375E">
        <w:rPr>
          <w:rFonts w:ascii="Verdana" w:hAnsi="Verdana" w:cs="Arial"/>
          <w:color w:val="000000" w:themeColor="text1"/>
        </w:rPr>
        <w:t>Es pertinente señalar que en esta etapa de presentación de propuestas se surtirán otras actuaciones. El numeral 4 de la misma disposición establece una de ellas: la audiencia para precisar el alcance de los pliegos de condiciones y de asignación de riesgos. La oportunidad para celebrar esta audiencia es dentro de los tres (3) días hábiles siguientes al inicio del plazo de licitación.</w:t>
      </w:r>
    </w:p>
    <w:p w:rsidRPr="0007375E" w:rsidR="009368E8" w:rsidP="009368E8" w:rsidRDefault="009368E8" w14:paraId="41CD799A" w14:textId="77777777">
      <w:pPr>
        <w:tabs>
          <w:tab w:val="left" w:pos="851"/>
          <w:tab w:val="left" w:pos="1134"/>
        </w:tabs>
        <w:spacing w:before="120" w:after="120" w:line="276" w:lineRule="auto"/>
        <w:ind w:firstLine="709"/>
        <w:jc w:val="both"/>
        <w:rPr>
          <w:rFonts w:ascii="Verdana" w:hAnsi="Verdana" w:cs="Arial"/>
          <w:color w:val="000000" w:themeColor="text1"/>
        </w:rPr>
      </w:pPr>
      <w:r w:rsidRPr="0007375E">
        <w:rPr>
          <w:rFonts w:ascii="Verdana" w:hAnsi="Verdana" w:cs="Arial"/>
          <w:color w:val="000000" w:themeColor="text1"/>
        </w:rPr>
        <w:t xml:space="preserve">Una vez precluida la oportunidad para presentar ofertas, en el plazo que señala el pliego de condiciones </w:t>
      </w:r>
      <w:r w:rsidRPr="0007375E">
        <w:rPr>
          <w:rFonts w:ascii="Verdana" w:hAnsi="Verdana" w:eastAsia="Calibri" w:cs="Arial"/>
          <w:bCs/>
          <w:color w:val="000000" w:themeColor="text1"/>
        </w:rPr>
        <w:t>conforme al artículo 30.7 de la Ley 80 de 1993</w:t>
      </w:r>
      <w:r w:rsidRPr="0007375E">
        <w:rPr>
          <w:rFonts w:ascii="Verdana" w:hAnsi="Verdana" w:cs="Arial"/>
          <w:bCs/>
          <w:color w:val="000000" w:themeColor="text1"/>
        </w:rPr>
        <w:t>,</w:t>
      </w:r>
      <w:r w:rsidRPr="0007375E">
        <w:rPr>
          <w:rFonts w:ascii="Verdana" w:hAnsi="Verdana" w:cs="Arial"/>
          <w:color w:val="000000" w:themeColor="text1"/>
        </w:rPr>
        <w:t xml:space="preserve"> el comité evaluador de la entidad realizará “los estudios técnicos, económicos y jurídicos necesarios para la evaluación de las propuestas” y además podrá pedir a los proponentes las aclaraciones y explicaciones que considere pertinentes.  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w:t>
      </w:r>
    </w:p>
    <w:p w:rsidRPr="0007375E" w:rsidR="009368E8" w:rsidP="009368E8" w:rsidRDefault="009368E8" w14:paraId="6EA7BADB" w14:textId="77777777">
      <w:pPr>
        <w:spacing w:line="276" w:lineRule="auto"/>
        <w:ind w:firstLine="708"/>
        <w:jc w:val="both"/>
        <w:rPr>
          <w:rFonts w:ascii="Verdana" w:hAnsi="Verdana" w:cs="Arial"/>
          <w:i/>
          <w:iCs/>
          <w:color w:val="000000" w:themeColor="text1"/>
        </w:rPr>
      </w:pPr>
      <w:r w:rsidRPr="0007375E">
        <w:rPr>
          <w:rFonts w:ascii="Verdana" w:hAnsi="Verdana" w:cs="Arial"/>
          <w:color w:val="000000" w:themeColor="text1"/>
        </w:rPr>
        <w:t xml:space="preserve">Luego, los oferentes podrán presentar las observaciones que crean pertinentes al mencionado informe de evaluación </w:t>
      </w:r>
      <w:r w:rsidRPr="0007375E">
        <w:rPr>
          <w:rFonts w:ascii="Verdana" w:hAnsi="Verdana" w:cs="Arial"/>
          <w:i/>
          <w:iCs/>
          <w:color w:val="000000" w:themeColor="text1"/>
        </w:rPr>
        <w:t xml:space="preserve">En todo caso, vencido el término para presentar observaciones al informe de evaluación, empieza a correr el plazo para adjudicar el contrato, que hace referencia a la oportunidad que tiene la entidad para seleccionar o escoger la mejor oferta, cuyo término, según el numeral 9 del artículo 30 de la Ley 80 de 1993, es de libre configuración del pliego de condiciones. Durante este lapso se resuelven las observaciones presentadas por los oferentes, es decir, la entidad responderá las observaciones </w:t>
      </w:r>
      <w:r w:rsidRPr="0007375E">
        <w:rPr>
          <w:rFonts w:ascii="Verdana" w:hAnsi="Verdana" w:cs="Arial"/>
          <w:i/>
          <w:iCs/>
          <w:color w:val="000000" w:themeColor="text1"/>
        </w:rPr>
        <w:lastRenderedPageBreak/>
        <w:t>durante esta oportunidad y a más tardar hasta el momento de la adjudicación. La norma anteriormente citada también permite al jefe de la entidad prorrogar el plazo para la adjudicación y para la firma del contrato, pero antes del vencimiento de dichos plazos y por un término no mayor a la mitad del inicialmente fijado.</w:t>
      </w:r>
    </w:p>
    <w:p w:rsidRPr="0007375E" w:rsidR="009368E8" w:rsidP="009368E8" w:rsidRDefault="009368E8" w14:paraId="33B84D5C" w14:textId="77777777">
      <w:pPr>
        <w:spacing w:line="276" w:lineRule="auto"/>
        <w:ind w:firstLine="708"/>
        <w:jc w:val="both"/>
        <w:rPr>
          <w:rFonts w:ascii="Verdana" w:hAnsi="Verdana" w:cs="Arial"/>
          <w:color w:val="000000" w:themeColor="text1"/>
        </w:rPr>
      </w:pPr>
      <w:r w:rsidRPr="0007375E">
        <w:rPr>
          <w:rFonts w:ascii="Verdana" w:hAnsi="Verdana" w:cs="Arial"/>
          <w:i/>
          <w:iCs/>
          <w:color w:val="000000" w:themeColor="text1"/>
        </w:rPr>
        <w:t>El numeral 9 del artículo 30 de la Ley 80 de 1993 permite al jefe de la entidad prorrogar el plazo para efectuar la adjudicación, y para la firma del contrato, pero dentro de una oportunidad específica,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w:t>
      </w:r>
    </w:p>
    <w:p w:rsidRPr="0007375E" w:rsidR="009368E8" w:rsidP="009368E8" w:rsidRDefault="009368E8" w14:paraId="407C9F42" w14:textId="77777777">
      <w:pPr>
        <w:spacing w:before="120" w:after="120" w:line="276" w:lineRule="auto"/>
        <w:ind w:firstLine="709"/>
        <w:jc w:val="both"/>
        <w:rPr>
          <w:rFonts w:ascii="Verdana" w:hAnsi="Verdana" w:cs="Arial"/>
          <w:color w:val="000000" w:themeColor="text1"/>
        </w:rPr>
      </w:pPr>
      <w:r w:rsidRPr="0007375E">
        <w:rPr>
          <w:rFonts w:ascii="Verdana" w:hAnsi="Verdana" w:cs="Arial"/>
          <w:i/>
          <w:iCs/>
          <w:color w:val="000000" w:themeColor="text1"/>
        </w:rPr>
        <w:t>Dentro del plazo para adjudicar el contrato, debe celebrarse la audiencia de</w:t>
      </w:r>
      <w:r w:rsidRPr="0007375E">
        <w:rPr>
          <w:rFonts w:ascii="Verdana" w:hAnsi="Verdana" w:cs="Arial"/>
          <w:color w:val="000000" w:themeColor="text1"/>
        </w:rPr>
        <w:t xml:space="preserv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esta.</w:t>
      </w:r>
    </w:p>
    <w:p w:rsidRPr="0007375E" w:rsidR="009368E8" w:rsidP="009368E8" w:rsidRDefault="009368E8" w14:paraId="07F682D8" w14:textId="77777777">
      <w:pPr>
        <w:spacing w:before="120" w:after="120" w:line="276" w:lineRule="auto"/>
        <w:ind w:firstLine="709"/>
        <w:jc w:val="both"/>
        <w:rPr>
          <w:rFonts w:ascii="Verdana" w:hAnsi="Verdana" w:cs="Arial"/>
          <w:color w:val="000000" w:themeColor="text1"/>
        </w:rPr>
      </w:pPr>
      <w:r w:rsidRPr="0007375E">
        <w:rPr>
          <w:rFonts w:ascii="Verdana" w:hAnsi="Verdana" w:cs="Arial"/>
          <w:color w:val="000000" w:themeColor="text1"/>
        </w:rPr>
        <w:t xml:space="preserve">Finalmente, una vez se adjudica, empieza a correr el </w:t>
      </w:r>
      <w:r w:rsidRPr="0007375E">
        <w:rPr>
          <w:rFonts w:ascii="Verdana" w:hAnsi="Verdana" w:cs="Arial"/>
          <w:i/>
          <w:color w:val="000000" w:themeColor="text1"/>
        </w:rPr>
        <w:t>plazo para firmar el contrato</w:t>
      </w:r>
      <w:r w:rsidRPr="0007375E">
        <w:rPr>
          <w:rFonts w:ascii="Verdana" w:hAnsi="Verdana" w:cs="Arial"/>
          <w:b/>
          <w:color w:val="000000" w:themeColor="text1"/>
        </w:rPr>
        <w:t xml:space="preserve">, </w:t>
      </w:r>
      <w:r w:rsidRPr="0007375E">
        <w:rPr>
          <w:rFonts w:ascii="Verdana" w:hAnsi="Verdana" w:cs="Arial"/>
          <w:color w:val="000000" w:themeColor="text1"/>
        </w:rPr>
        <w:t>que es otra etapa del proceso de licitación, cuyo término es también de libre configuración del pliego de condiciones y al que le aplican las mismas reglas de prórroga del plazo para efectuar la adjudicación que se explicaron, así como también aquellas consideraciones precedentes en materia de razonabilidad y proporcionalidad.</w:t>
      </w:r>
    </w:p>
    <w:p w:rsidRPr="0007375E" w:rsidR="009368E8" w:rsidP="009368E8" w:rsidRDefault="009368E8" w14:paraId="1706401C" w14:textId="77777777">
      <w:pPr>
        <w:pStyle w:val="Prrafodelista"/>
        <w:spacing w:line="276" w:lineRule="auto"/>
        <w:ind w:left="0" w:right="51" w:firstLine="708"/>
        <w:contextualSpacing w:val="0"/>
        <w:jc w:val="both"/>
        <w:rPr>
          <w:rFonts w:ascii="Verdana" w:hAnsi="Verdana" w:cs="Arial"/>
          <w:color w:val="000000" w:themeColor="text1"/>
        </w:rPr>
      </w:pPr>
      <w:r w:rsidRPr="0007375E">
        <w:rPr>
          <w:rFonts w:ascii="Verdana" w:hAnsi="Verdana" w:cs="Arial"/>
          <w:color w:val="000000" w:themeColor="text1"/>
        </w:rPr>
        <w:t xml:space="preserve">Por lo demás, se debe tener en cuenta que,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en virtud de los principios de preclusión y perentoriedad, establecidos en el inciso primero </w:t>
      </w:r>
      <w:r w:rsidRPr="0007375E">
        <w:rPr>
          <w:rFonts w:ascii="Verdana" w:hAnsi="Verdana" w:cs="Arial"/>
          <w:i/>
          <w:iCs/>
          <w:color w:val="000000" w:themeColor="text1"/>
        </w:rPr>
        <w:t>ibidem</w:t>
      </w:r>
      <w:r w:rsidRPr="0007375E">
        <w:rPr>
          <w:rFonts w:ascii="Verdana" w:hAnsi="Verdana" w:cs="Arial"/>
          <w:color w:val="000000" w:themeColor="text1"/>
        </w:rPr>
        <w:t xml:space="preserve">, las partes </w:t>
      </w:r>
      <w:r w:rsidRPr="0007375E">
        <w:rPr>
          <w:rFonts w:ascii="Verdana" w:hAnsi="Verdana" w:cs="Arial"/>
          <w:color w:val="000000" w:themeColor="text1"/>
        </w:rPr>
        <w:lastRenderedPageBreak/>
        <w:t>del proceso de contratación, así como los funcionarios públicos, se encuentran obligados a respetar y acatar tales etapas y términos, sin que puedan desconocerlos o pasarlos por alto.</w:t>
      </w:r>
    </w:p>
    <w:p w:rsidRPr="0007375E" w:rsidR="009368E8" w:rsidP="0050528D" w:rsidRDefault="009368E8" w14:paraId="63F07D28" w14:textId="47AD0862">
      <w:pPr>
        <w:spacing w:line="276" w:lineRule="auto"/>
        <w:ind w:right="51" w:firstLine="708"/>
        <w:jc w:val="both"/>
        <w:rPr>
          <w:rFonts w:ascii="Verdana" w:hAnsi="Verdana" w:cs="Arial"/>
          <w:color w:val="000000" w:themeColor="text1"/>
        </w:rPr>
      </w:pPr>
      <w:r w:rsidRPr="0007375E">
        <w:rPr>
          <w:rFonts w:ascii="Verdana" w:hAnsi="Verdana" w:cs="Arial"/>
          <w:color w:val="000000" w:themeColor="text1"/>
        </w:rPr>
        <w:t xml:space="preserve">Así mismo, esta Agencia quiere manifestar que lo anteriormente manifestado, tiene como fundamento, como se </w:t>
      </w:r>
      <w:r w:rsidRPr="0007375E" w:rsidR="00B71537">
        <w:rPr>
          <w:rFonts w:ascii="Verdana" w:hAnsi="Verdana" w:cs="Arial"/>
          <w:color w:val="000000" w:themeColor="text1"/>
        </w:rPr>
        <w:t>mencionó</w:t>
      </w:r>
      <w:r w:rsidRPr="0007375E">
        <w:rPr>
          <w:rFonts w:ascii="Verdana" w:hAnsi="Verdana" w:cs="Arial"/>
          <w:color w:val="000000" w:themeColor="text1"/>
        </w:rPr>
        <w:t xml:space="preserve"> el principio de economía, pero además el principios de planeación, el cua</w:t>
      </w:r>
      <w:r w:rsidR="00B91CF2">
        <w:rPr>
          <w:rFonts w:ascii="Verdana" w:hAnsi="Verdana" w:cs="Arial"/>
          <w:color w:val="000000" w:themeColor="text1"/>
        </w:rPr>
        <w:t>l</w:t>
      </w:r>
      <w:r w:rsidRPr="0007375E">
        <w:rPr>
          <w:rFonts w:ascii="Verdana" w:hAnsi="Verdana" w:cs="Arial"/>
          <w:color w:val="000000" w:themeColor="text1"/>
        </w:rPr>
        <w:t xml:space="preserve">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 </w:t>
      </w:r>
    </w:p>
    <w:p w:rsidR="009368E8" w:rsidP="00B71537" w:rsidRDefault="009368E8" w14:paraId="1BFE474B" w14:textId="2F736077">
      <w:pPr>
        <w:spacing w:line="276" w:lineRule="auto"/>
        <w:ind w:right="51" w:firstLine="708"/>
        <w:jc w:val="both"/>
        <w:rPr>
          <w:rFonts w:ascii="Verdana" w:hAnsi="Verdana" w:cs="Arial"/>
          <w:color w:val="000000" w:themeColor="text1"/>
        </w:rPr>
      </w:pPr>
      <w:r w:rsidRPr="0007375E">
        <w:rPr>
          <w:rFonts w:ascii="Verdana" w:hAnsi="Verdana" w:cs="Arial"/>
          <w:color w:val="000000" w:themeColor="text1"/>
        </w:rPr>
        <w:t>El Estatuto General de Contratación de la Administración Pública</w:t>
      </w:r>
      <w:r w:rsidR="00B71537">
        <w:rPr>
          <w:rFonts w:ascii="Verdana" w:hAnsi="Verdana" w:cs="Arial"/>
          <w:color w:val="000000" w:themeColor="text1"/>
        </w:rPr>
        <w:t xml:space="preserve"> </w:t>
      </w:r>
      <w:r w:rsidRPr="0007375E">
        <w:rPr>
          <w:rFonts w:ascii="Verdana" w:hAnsi="Verdana" w:cs="Arial"/>
          <w:color w:val="000000" w:themeColor="text1"/>
        </w:rPr>
        <w:t>contiene disposiciones que exigen a las Entidades Estatales el deber de realizar planeación en la etapa precontractual, esto con el fin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w:t>
      </w:r>
    </w:p>
    <w:p w:rsidR="00B91CF2" w:rsidP="00B91CF2" w:rsidRDefault="00B91CF2" w14:paraId="74DB6C3D" w14:textId="0D388F93">
      <w:pPr>
        <w:spacing w:line="276" w:lineRule="auto"/>
        <w:ind w:firstLine="709"/>
        <w:jc w:val="both"/>
        <w:rPr>
          <w:rFonts w:ascii="Verdana" w:hAnsi="Verdana" w:eastAsia="Calibri" w:cs="Arial"/>
          <w:color w:val="000000" w:themeColor="text1"/>
        </w:rPr>
      </w:pPr>
      <w:r>
        <w:rPr>
          <w:rFonts w:ascii="Verdana" w:hAnsi="Verdana" w:eastAsia="Calibri" w:cs="Arial"/>
          <w:color w:val="000000" w:themeColor="text1"/>
        </w:rPr>
        <w:t xml:space="preserve">Conforme a lo anterior, es claro que, tratándose de las modalidades competitivas, como, por ejemplo, la licitación pública, la etapa precontractual además debe agotar hitos como la publicación del pliego de condiciones, la recepción de ofertas, la evaluación de las propuestas y la adjudicación, para luego dar paso a la suscripción del contrato. Cada una de estas etapas y los documentos que se produzcan en el marco de estas deben ser publicados en el SECOP, de conformidad con los artículos 3 de la Ley 1150 de 2007 y </w:t>
      </w:r>
      <w:r w:rsidRPr="007E6592">
        <w:rPr>
          <w:rFonts w:ascii="Verdana" w:hAnsi="Verdana" w:eastAsia="Calibri" w:cs="Arial"/>
          <w:color w:val="000000" w:themeColor="text1"/>
        </w:rPr>
        <w:t>2.2.1.1.1.7.1</w:t>
      </w:r>
      <w:r>
        <w:rPr>
          <w:rFonts w:ascii="Verdana" w:hAnsi="Verdana" w:eastAsia="Calibri" w:cs="Arial"/>
          <w:color w:val="000000" w:themeColor="text1"/>
        </w:rPr>
        <w:t xml:space="preserve"> del Decreto 1082 de 2015.   </w:t>
      </w:r>
    </w:p>
    <w:p w:rsidRPr="0050528D" w:rsidR="009368E8" w:rsidP="0050528D" w:rsidRDefault="00B91CF2" w14:paraId="2F54B0D4" w14:textId="31D07790">
      <w:pPr>
        <w:tabs>
          <w:tab w:val="left" w:pos="142"/>
          <w:tab w:val="left" w:pos="284"/>
        </w:tabs>
        <w:spacing w:after="0" w:line="276" w:lineRule="auto"/>
        <w:jc w:val="both"/>
        <w:rPr>
          <w:rFonts w:ascii="Verdana" w:hAnsi="Verdana" w:eastAsia="Century Gothic" w:cs="Century Gothic"/>
          <w:b/>
          <w:bCs/>
        </w:rPr>
      </w:pPr>
      <w:r w:rsidRPr="0050528D">
        <w:rPr>
          <w:rFonts w:ascii="Verdana" w:hAnsi="Verdana" w:cs="Arial"/>
          <w:b/>
          <w:bCs/>
          <w:color w:val="000000" w:themeColor="text1"/>
        </w:rPr>
        <w:t xml:space="preserve">4. </w:t>
      </w:r>
      <w:r w:rsidRPr="0050528D" w:rsidR="009368E8">
        <w:rPr>
          <w:rFonts w:ascii="Verdana" w:hAnsi="Verdana" w:eastAsia="Century Gothic" w:cs="Century Gothic"/>
          <w:b/>
          <w:bCs/>
        </w:rPr>
        <w:t>Referencias normativas, jurisprudenciales y otras fuentes:</w:t>
      </w:r>
    </w:p>
    <w:p w:rsidRPr="0007375E" w:rsidR="009368E8" w:rsidP="009368E8" w:rsidRDefault="009368E8" w14:paraId="5F107A79"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07375E" w:rsidR="009368E8" w14:paraId="4FCBF333" w14:textId="77777777">
        <w:trPr>
          <w:trHeight w:val="870"/>
        </w:trPr>
        <w:tc>
          <w:tcPr>
            <w:tcW w:w="8647" w:type="dxa"/>
          </w:tcPr>
          <w:p w:rsidRPr="0007375E" w:rsidR="009368E8" w:rsidP="009368E8" w:rsidRDefault="009368E8" w14:paraId="16375C69" w14:textId="77777777">
            <w:pPr>
              <w:pStyle w:val="Prrafodelista"/>
              <w:numPr>
                <w:ilvl w:val="0"/>
                <w:numId w:val="19"/>
              </w:numPr>
              <w:spacing w:line="278" w:lineRule="auto"/>
              <w:rPr>
                <w:rFonts w:ascii="Verdana" w:hAnsi="Verdana" w:eastAsia="Calibri" w:cs="Arial"/>
                <w:color w:val="000000" w:themeColor="text1"/>
              </w:rPr>
            </w:pPr>
            <w:r w:rsidRPr="0007375E">
              <w:rPr>
                <w:rFonts w:ascii="Verdana" w:hAnsi="Verdana" w:eastAsia="Calibri" w:cs="Arial"/>
                <w:color w:val="000000" w:themeColor="text1"/>
              </w:rPr>
              <w:t>Artículo 24, 25 y 30 de la Ley 80 de 1993</w:t>
            </w:r>
          </w:p>
          <w:p w:rsidRPr="0007375E" w:rsidR="009368E8" w:rsidP="009368E8" w:rsidRDefault="009368E8" w14:paraId="64E0E390" w14:textId="77777777">
            <w:pPr>
              <w:pStyle w:val="Prrafodelista"/>
              <w:numPr>
                <w:ilvl w:val="0"/>
                <w:numId w:val="19"/>
              </w:numPr>
              <w:spacing w:line="278" w:lineRule="auto"/>
              <w:rPr>
                <w:rFonts w:ascii="Verdana" w:hAnsi="Verdana" w:eastAsia="Calibri" w:cs="Arial"/>
                <w:color w:val="000000" w:themeColor="text1"/>
              </w:rPr>
            </w:pPr>
            <w:r w:rsidRPr="0007375E">
              <w:rPr>
                <w:rFonts w:ascii="Verdana" w:hAnsi="Verdana" w:cs="Arial"/>
                <w:color w:val="000000" w:themeColor="text1"/>
              </w:rPr>
              <w:t xml:space="preserve">Artículo 8 de la </w:t>
            </w:r>
            <w:r w:rsidRPr="0007375E">
              <w:rPr>
                <w:rFonts w:ascii="Verdana" w:hAnsi="Verdana" w:eastAsia="Calibri" w:cs="Arial"/>
                <w:color w:val="000000" w:themeColor="text1"/>
              </w:rPr>
              <w:t>Ley 1150 de 2007</w:t>
            </w:r>
          </w:p>
          <w:p w:rsidRPr="0007375E" w:rsidR="009368E8" w:rsidP="009368E8" w:rsidRDefault="009368E8" w14:paraId="2286E6BA" w14:textId="77777777">
            <w:pPr>
              <w:pStyle w:val="Prrafodelista"/>
              <w:numPr>
                <w:ilvl w:val="0"/>
                <w:numId w:val="19"/>
              </w:numPr>
              <w:spacing w:line="278" w:lineRule="auto"/>
              <w:rPr>
                <w:rFonts w:ascii="Verdana" w:hAnsi="Verdana"/>
              </w:rPr>
            </w:pPr>
            <w:r w:rsidRPr="0007375E">
              <w:rPr>
                <w:rFonts w:ascii="Verdana" w:hAnsi="Verdana" w:eastAsia="Calibri" w:cs="Arial"/>
                <w:color w:val="000000" w:themeColor="text1"/>
              </w:rPr>
              <w:t xml:space="preserve">Artículo 2.2.1.1.2.1.1, </w:t>
            </w:r>
            <w:r w:rsidRPr="0007375E">
              <w:rPr>
                <w:rFonts w:ascii="Verdana" w:hAnsi="Verdana" w:cs="Arial"/>
                <w:color w:val="000000" w:themeColor="text1"/>
              </w:rPr>
              <w:t>2.2.1.1.2.1.3, 2.2.1.1.2.1.4, 2.2.1.1.2.1.5.y 2.2.1.1.1.7.1</w:t>
            </w:r>
            <w:r w:rsidRPr="0007375E">
              <w:rPr>
                <w:rFonts w:ascii="Verdana" w:hAnsi="Verdana" w:eastAsia="Calibri" w:cs="Arial"/>
                <w:color w:val="000000" w:themeColor="text1"/>
              </w:rPr>
              <w:t xml:space="preserve"> del Decreto 1082 de 2015</w:t>
            </w:r>
          </w:p>
          <w:p w:rsidRPr="0007375E" w:rsidR="009368E8" w:rsidP="009368E8" w:rsidRDefault="009368E8" w14:paraId="2C4E3820" w14:textId="77777777">
            <w:pPr>
              <w:pStyle w:val="Prrafodelista"/>
              <w:widowControl w:val="0"/>
              <w:numPr>
                <w:ilvl w:val="0"/>
                <w:numId w:val="17"/>
              </w:numPr>
              <w:autoSpaceDE w:val="0"/>
              <w:autoSpaceDN w:val="0"/>
              <w:spacing w:after="120" w:line="276" w:lineRule="auto"/>
              <w:contextualSpacing w:val="0"/>
              <w:jc w:val="both"/>
              <w:rPr>
                <w:rFonts w:ascii="Verdana" w:hAnsi="Verdana" w:eastAsia="Arial" w:cs="Arial"/>
              </w:rPr>
            </w:pPr>
            <w:r w:rsidRPr="0007375E">
              <w:rPr>
                <w:rFonts w:ascii="Verdana" w:hAnsi="Verdana" w:eastAsia="Arial" w:cs="Arial"/>
              </w:rPr>
              <w:t xml:space="preserve">Guías y manuales expedidos por la ANCP-CCE. Disponible en: </w:t>
            </w:r>
            <w:hyperlink w:history="1" r:id="rId12">
              <w:r w:rsidRPr="0007375E">
                <w:rPr>
                  <w:rFonts w:ascii="Verdana" w:hAnsi="Verdana" w:eastAsia="Arial" w:cs="Arial"/>
                </w:rPr>
                <w:t>https://www.colombiacompra.gov.co/manuales-guias-y-pliegos-tipo/manuales-y-guias</w:t>
              </w:r>
            </w:hyperlink>
            <w:r w:rsidRPr="0007375E">
              <w:rPr>
                <w:rFonts w:ascii="Verdana" w:hAnsi="Verdana" w:eastAsia="Arial" w:cs="Arial"/>
              </w:rPr>
              <w:t xml:space="preserve"> </w:t>
            </w:r>
          </w:p>
        </w:tc>
      </w:tr>
    </w:tbl>
    <w:p w:rsidRPr="0007375E" w:rsidR="009368E8" w:rsidP="009368E8" w:rsidRDefault="009368E8" w14:paraId="5E3DC19E" w14:textId="77777777">
      <w:pPr>
        <w:widowControl w:val="0"/>
        <w:autoSpaceDE w:val="0"/>
        <w:autoSpaceDN w:val="0"/>
        <w:spacing w:after="0" w:line="276" w:lineRule="auto"/>
        <w:jc w:val="both"/>
        <w:rPr>
          <w:rFonts w:ascii="Verdana" w:hAnsi="Verdana" w:cs="Arial"/>
        </w:rPr>
      </w:pPr>
    </w:p>
    <w:p w:rsidRPr="0050528D" w:rsidR="009368E8" w:rsidP="0050528D" w:rsidRDefault="009368E8" w14:paraId="0239BF4A" w14:textId="612C05E4">
      <w:pPr>
        <w:pStyle w:val="Prrafodelista"/>
        <w:numPr>
          <w:ilvl w:val="0"/>
          <w:numId w:val="21"/>
        </w:numPr>
        <w:tabs>
          <w:tab w:val="left" w:pos="142"/>
          <w:tab w:val="left" w:pos="284"/>
        </w:tabs>
        <w:spacing w:after="0" w:line="276" w:lineRule="auto"/>
        <w:jc w:val="both"/>
        <w:rPr>
          <w:rFonts w:ascii="Verdana" w:hAnsi="Verdana" w:eastAsia="Century Gothic" w:cs="Century Gothic"/>
          <w:b/>
          <w:bCs/>
        </w:rPr>
      </w:pPr>
      <w:r w:rsidRPr="0050528D">
        <w:rPr>
          <w:rFonts w:ascii="Verdana" w:hAnsi="Verdana" w:eastAsia="Century Gothic" w:cs="Century Gothic"/>
          <w:b/>
          <w:bCs/>
        </w:rPr>
        <w:t>Doctrina de la Agencia Nacional de Contratación Pública:</w:t>
      </w:r>
    </w:p>
    <w:p w:rsidRPr="0007375E" w:rsidR="009368E8" w:rsidP="009368E8" w:rsidRDefault="009368E8" w14:paraId="7C6C3B24" w14:textId="77777777">
      <w:pPr>
        <w:widowControl w:val="0"/>
        <w:autoSpaceDE w:val="0"/>
        <w:autoSpaceDN w:val="0"/>
        <w:spacing w:after="0" w:line="276" w:lineRule="auto"/>
        <w:jc w:val="both"/>
        <w:rPr>
          <w:rFonts w:ascii="Verdana" w:hAnsi="Verdana" w:cs="Arial"/>
        </w:rPr>
      </w:pPr>
    </w:p>
    <w:p w:rsidRPr="0007375E" w:rsidR="009368E8" w:rsidP="009368E8" w:rsidRDefault="009368E8" w14:paraId="24B78D07" w14:textId="05D6B29E">
      <w:pPr>
        <w:widowControl w:val="0"/>
        <w:autoSpaceDE w:val="0"/>
        <w:autoSpaceDN w:val="0"/>
        <w:spacing w:after="0" w:line="276" w:lineRule="auto"/>
        <w:jc w:val="both"/>
        <w:rPr>
          <w:rFonts w:ascii="Verdana" w:hAnsi="Verdana" w:cs="Arial"/>
        </w:rPr>
      </w:pPr>
      <w:r w:rsidRPr="0007375E">
        <w:rPr>
          <w:rFonts w:ascii="Verdana" w:hAnsi="Verdana" w:eastAsia="Calibri" w:cs="Arial"/>
        </w:rPr>
        <w:t>La Agencia Nacional de Contratación Pública − Colombia Compra Eficiente se ha pronunciado en diferentes conceptos sobre las etapas de las actuaciones adelantadas por las entidades estatales en materia contractual. En el Concepto C-201 del 13 de mayo de 2020 lo hizo en relación con las fases o etapas del proceso de selección, y en el Concepto del 23 de diciembre de 2019 −radicado No. 2201913000009524− lo hizo frente a la audiencia de adjudicación en licitaciones púbicas. Los argumentos desarrollados en dichos conceptos fueron desarrollados en los Conceptos C-007 del 4 de mayo de 2020, C-334 del 26 de mayo de 2020 y C-513 del 23 de septiembre de 2021</w:t>
      </w:r>
      <w:r>
        <w:rPr>
          <w:rFonts w:ascii="Verdana" w:hAnsi="Verdana" w:eastAsia="Calibri" w:cs="Arial"/>
        </w:rPr>
        <w:t>.</w:t>
      </w:r>
      <w:r w:rsidR="00B91CF2">
        <w:rPr>
          <w:rFonts w:ascii="Verdana" w:hAnsi="Verdana" w:eastAsia="Arial" w:cs="Arial"/>
          <w:lang w:val="es-ES"/>
        </w:rPr>
        <w:t xml:space="preserve"> </w:t>
      </w:r>
      <w:r w:rsidRPr="0007375E">
        <w:rPr>
          <w:rFonts w:ascii="Verdana" w:hAnsi="Verdana" w:eastAsia="Arial" w:cs="Arial"/>
          <w:lang w:val="es-ES"/>
        </w:rPr>
        <w:t>Estos y otros conceptos se encuentran disponibles para consulta en el Sistema de Relatoría de la Agencia, en el c</w:t>
      </w:r>
      <w:proofErr w:type="spellStart"/>
      <w:r w:rsidRPr="0007375E">
        <w:rPr>
          <w:rFonts w:ascii="Verdana" w:hAnsi="Verdana" w:cs="Arial"/>
        </w:rPr>
        <w:t>ual</w:t>
      </w:r>
      <w:proofErr w:type="spellEnd"/>
      <w:r w:rsidRPr="0007375E">
        <w:rPr>
          <w:rFonts w:ascii="Verdana" w:hAnsi="Verdana" w:cs="Arial"/>
        </w:rPr>
        <w:t xml:space="preserve">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3">
        <w:r w:rsidRPr="0007375E">
          <w:rPr>
            <w:rFonts w:ascii="Verdana" w:hAnsi="Verdana" w:cs="Arial"/>
            <w:color w:val="0563C1" w:themeColor="hyperlink"/>
            <w:u w:val="single"/>
          </w:rPr>
          <w:t>https://relatoria.colombiacompra.gov.co/</w:t>
        </w:r>
      </w:hyperlink>
      <w:r w:rsidRPr="0007375E">
        <w:rPr>
          <w:rFonts w:ascii="Verdana" w:hAnsi="Verdana" w:cs="Arial"/>
        </w:rPr>
        <w:t> .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4">
        <w:r w:rsidRPr="0007375E">
          <w:rPr>
            <w:rFonts w:ascii="Verdana" w:hAnsi="Verdana" w:cs="Arial"/>
            <w:color w:val="0563C1" w:themeColor="hyperlink"/>
            <w:u w:val="single"/>
          </w:rPr>
          <w:t>https://www.colombiacompra.gov.co/sites/cce_public/files/files_2020/boletin_de_realtoria_iii.pdf</w:t>
        </w:r>
      </w:hyperlink>
      <w:r w:rsidRPr="0007375E">
        <w:rPr>
          <w:rFonts w:ascii="Verdana" w:hAnsi="Verdana" w:cs="Arial"/>
        </w:rPr>
        <w:t>.</w:t>
      </w:r>
    </w:p>
    <w:p w:rsidRPr="0007375E" w:rsidR="009368E8" w:rsidP="009368E8" w:rsidRDefault="009368E8" w14:paraId="30AA186A" w14:textId="77777777">
      <w:pPr>
        <w:widowControl w:val="0"/>
        <w:autoSpaceDE w:val="0"/>
        <w:autoSpaceDN w:val="0"/>
        <w:spacing w:after="0" w:line="276" w:lineRule="auto"/>
        <w:jc w:val="both"/>
        <w:rPr>
          <w:rFonts w:ascii="Verdana" w:hAnsi="Verdana" w:cs="Arial"/>
        </w:rPr>
      </w:pPr>
    </w:p>
    <w:p w:rsidRPr="0007375E" w:rsidR="009368E8" w:rsidP="009368E8" w:rsidRDefault="009368E8" w14:paraId="0877704E" w14:textId="77777777">
      <w:pPr>
        <w:spacing w:after="0" w:line="240" w:lineRule="auto"/>
        <w:jc w:val="both"/>
        <w:rPr>
          <w:rFonts w:ascii="Verdana" w:hAnsi="Verdana" w:cs="Arial"/>
        </w:rPr>
      </w:pPr>
      <w:r w:rsidRPr="0007375E">
        <w:rPr>
          <w:rFonts w:ascii="Verdana" w:hAnsi="Verdana" w:cs="Arial"/>
        </w:rPr>
        <w:t xml:space="preserve">Por último, lo invitamos a seguirnos en las redes sociales en las cuales se difunde información institucional: </w:t>
      </w:r>
    </w:p>
    <w:p w:rsidRPr="0007375E" w:rsidR="009368E8" w:rsidP="009368E8" w:rsidRDefault="009368E8" w14:paraId="751145A7" w14:textId="77777777">
      <w:pPr>
        <w:spacing w:after="0" w:line="240" w:lineRule="auto"/>
        <w:jc w:val="both"/>
        <w:rPr>
          <w:rFonts w:ascii="Verdana" w:hAnsi="Verdana" w:cs="Arial"/>
        </w:rPr>
      </w:pPr>
    </w:p>
    <w:p w:rsidRPr="0007375E" w:rsidR="009368E8" w:rsidP="009368E8" w:rsidRDefault="009368E8" w14:paraId="32AA1E64" w14:textId="77777777">
      <w:pPr>
        <w:spacing w:after="0" w:line="240" w:lineRule="auto"/>
        <w:jc w:val="both"/>
        <w:rPr>
          <w:rFonts w:ascii="Verdana" w:hAnsi="Verdana" w:cs="Arial"/>
        </w:rPr>
      </w:pPr>
      <w:r w:rsidRPr="0007375E">
        <w:rPr>
          <w:rFonts w:ascii="Verdana" w:hAnsi="Verdana" w:cs="Arial"/>
        </w:rPr>
        <w:t xml:space="preserve">Twitter: </w:t>
      </w:r>
      <w:r w:rsidRPr="0007375E">
        <w:rPr>
          <w:rFonts w:ascii="Verdana" w:hAnsi="Verdana" w:cs="Arial"/>
          <w:color w:val="4472C4" w:themeColor="accent1"/>
          <w:u w:val="single"/>
        </w:rPr>
        <w:t>@colombiacompra</w:t>
      </w:r>
      <w:r w:rsidRPr="0007375E">
        <w:rPr>
          <w:rFonts w:ascii="Verdana" w:hAnsi="Verdana" w:cs="Arial"/>
          <w:color w:val="4472C4" w:themeColor="accent1"/>
        </w:rPr>
        <w:t xml:space="preserve"> </w:t>
      </w:r>
    </w:p>
    <w:p w:rsidRPr="0007375E" w:rsidR="009368E8" w:rsidP="009368E8" w:rsidRDefault="009368E8" w14:paraId="435CAC95" w14:textId="77777777">
      <w:pPr>
        <w:spacing w:after="0" w:line="240" w:lineRule="auto"/>
        <w:jc w:val="both"/>
        <w:rPr>
          <w:rFonts w:ascii="Verdana" w:hAnsi="Verdana" w:cs="Arial"/>
        </w:rPr>
      </w:pPr>
      <w:r w:rsidRPr="0007375E">
        <w:rPr>
          <w:rFonts w:ascii="Verdana" w:hAnsi="Verdana" w:cs="Arial"/>
        </w:rPr>
        <w:t xml:space="preserve">Facebook: </w:t>
      </w:r>
      <w:proofErr w:type="spellStart"/>
      <w:r w:rsidRPr="0007375E">
        <w:rPr>
          <w:rFonts w:ascii="Verdana" w:hAnsi="Verdana" w:cs="Arial"/>
          <w:color w:val="4472C4" w:themeColor="accent1"/>
          <w:u w:val="single"/>
        </w:rPr>
        <w:t>ColombiaCompraEficiente</w:t>
      </w:r>
      <w:proofErr w:type="spellEnd"/>
    </w:p>
    <w:p w:rsidRPr="0007375E" w:rsidR="009368E8" w:rsidP="009368E8" w:rsidRDefault="009368E8" w14:paraId="5555AA31" w14:textId="77777777">
      <w:pPr>
        <w:spacing w:after="0" w:line="240" w:lineRule="auto"/>
        <w:jc w:val="both"/>
        <w:rPr>
          <w:rFonts w:ascii="Verdana" w:hAnsi="Verdana" w:cs="Arial"/>
        </w:rPr>
      </w:pPr>
      <w:r w:rsidRPr="0007375E">
        <w:rPr>
          <w:rFonts w:ascii="Verdana" w:hAnsi="Verdana" w:cs="Arial"/>
        </w:rPr>
        <w:t xml:space="preserve">LinkedIn: </w:t>
      </w:r>
      <w:r w:rsidRPr="0007375E">
        <w:rPr>
          <w:rFonts w:ascii="Verdana" w:hAnsi="Verdana" w:cs="Arial"/>
          <w:color w:val="4472C4" w:themeColor="accent1"/>
          <w:u w:val="single"/>
        </w:rPr>
        <w:t>Agencia Nacional de Contratación Pública - Colombia Compra Eficiente</w:t>
      </w:r>
      <w:r w:rsidRPr="0007375E">
        <w:rPr>
          <w:rFonts w:ascii="Verdana" w:hAnsi="Verdana" w:cs="Arial"/>
          <w:color w:val="4472C4" w:themeColor="accent1"/>
        </w:rPr>
        <w:t xml:space="preserve"> </w:t>
      </w:r>
      <w:r w:rsidRPr="0007375E">
        <w:rPr>
          <w:rFonts w:ascii="Verdana" w:hAnsi="Verdana" w:cs="Arial"/>
        </w:rPr>
        <w:t xml:space="preserve">Instagram: </w:t>
      </w:r>
      <w:r w:rsidRPr="0007375E">
        <w:rPr>
          <w:rFonts w:ascii="Verdana" w:hAnsi="Verdana" w:cs="Arial"/>
          <w:color w:val="4472C4" w:themeColor="accent1"/>
          <w:u w:val="single"/>
        </w:rPr>
        <w:t>@colombiacompraeficiente_cce</w:t>
      </w:r>
    </w:p>
    <w:p w:rsidRPr="0007375E" w:rsidR="009368E8" w:rsidP="009368E8" w:rsidRDefault="009368E8" w14:paraId="526F0060" w14:textId="77777777">
      <w:pPr>
        <w:widowControl w:val="0"/>
        <w:autoSpaceDE w:val="0"/>
        <w:autoSpaceDN w:val="0"/>
        <w:spacing w:after="0" w:line="276" w:lineRule="auto"/>
        <w:jc w:val="both"/>
        <w:rPr>
          <w:rFonts w:ascii="Verdana" w:hAnsi="Verdana" w:cs="Arial"/>
        </w:rPr>
      </w:pPr>
    </w:p>
    <w:p w:rsidRPr="0007375E" w:rsidR="009368E8" w:rsidP="009368E8" w:rsidRDefault="009368E8" w14:paraId="076E5645" w14:textId="77777777">
      <w:pPr>
        <w:widowControl w:val="0"/>
        <w:autoSpaceDE w:val="0"/>
        <w:autoSpaceDN w:val="0"/>
        <w:spacing w:after="0" w:line="276" w:lineRule="auto"/>
        <w:jc w:val="both"/>
        <w:rPr>
          <w:rFonts w:ascii="Verdana" w:hAnsi="Verdana" w:cs="Arial"/>
          <w:lang w:val="es-ES_tradnl"/>
        </w:rPr>
      </w:pPr>
      <w:r w:rsidRPr="0007375E">
        <w:rPr>
          <w:rFonts w:ascii="Verdana" w:hAnsi="Verdana" w:cs="Arial"/>
        </w:rPr>
        <w:t xml:space="preserve">Este concepto tiene el alcance previsto en el artículo 28 del Código de Procedimiento Administrativo y de lo Contencioso Administrativo </w:t>
      </w:r>
      <w:r w:rsidRPr="0007375E">
        <w:rPr>
          <w:rFonts w:ascii="Verdana" w:hAnsi="Verdana" w:cs="Arial"/>
          <w:lang w:val="es-ES_tradnl"/>
        </w:rPr>
        <w:t>y las expresiones aquí utilizadas con mayúscula inicial deben ser entendidas con el significado que les otorga el artículo 2.2.1.1.1.3.1. del Decreto 1082 de 2015.</w:t>
      </w:r>
    </w:p>
    <w:p w:rsidRPr="0007375E" w:rsidR="009368E8" w:rsidP="009368E8" w:rsidRDefault="009368E8" w14:paraId="2EF03E0E" w14:textId="77777777">
      <w:pPr>
        <w:widowControl w:val="0"/>
        <w:autoSpaceDE w:val="0"/>
        <w:autoSpaceDN w:val="0"/>
        <w:spacing w:after="0" w:line="276" w:lineRule="auto"/>
        <w:jc w:val="both"/>
        <w:rPr>
          <w:rFonts w:ascii="Verdana" w:hAnsi="Verdana" w:cs="Arial"/>
          <w:lang w:val="es-ES_tradnl"/>
        </w:rPr>
      </w:pPr>
    </w:p>
    <w:p w:rsidRPr="0007375E" w:rsidR="009368E8" w:rsidP="009368E8" w:rsidRDefault="009368E8" w14:paraId="51896046" w14:textId="77777777">
      <w:pPr>
        <w:spacing w:after="0" w:line="240" w:lineRule="auto"/>
        <w:rPr>
          <w:rFonts w:ascii="Verdana" w:hAnsi="Verdana" w:cs="Arial"/>
          <w:lang w:eastAsia="es-CO"/>
        </w:rPr>
      </w:pPr>
      <w:r w:rsidRPr="0007375E">
        <w:rPr>
          <w:rFonts w:ascii="Verdana" w:hAnsi="Verdana" w:cs="Arial"/>
          <w:lang w:eastAsia="es-CO"/>
        </w:rPr>
        <w:t xml:space="preserve">Atentamente, </w:t>
      </w:r>
    </w:p>
    <w:p w:rsidRPr="0007375E" w:rsidR="009368E8" w:rsidP="009368E8" w:rsidRDefault="00C47503" w14:paraId="1E3F3852" w14:textId="36CAAF52">
      <w:pPr>
        <w:spacing w:line="276" w:lineRule="auto"/>
        <w:jc w:val="center"/>
        <w:rPr>
          <w:rFonts w:ascii="Verdana" w:hAnsi="Verdana" w:cs="Arial"/>
          <w:sz w:val="16"/>
          <w:szCs w:val="16"/>
          <w:lang w:eastAsia="es-CO"/>
        </w:rPr>
      </w:pPr>
      <w:r>
        <w:rPr>
          <w:noProof/>
        </w:rPr>
        <w:lastRenderedPageBreak/>
        <w:drawing>
          <wp:inline distT="0" distB="0" distL="0" distR="0" wp14:anchorId="18B49C1B" wp14:editId="63D57DF1">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07375E" w:rsidR="009368E8" w14:paraId="211BD812" w14:textId="77777777">
        <w:trPr>
          <w:trHeight w:val="315"/>
        </w:trPr>
        <w:tc>
          <w:tcPr>
            <w:tcW w:w="893" w:type="dxa"/>
            <w:vAlign w:val="center"/>
            <w:hideMark/>
          </w:tcPr>
          <w:p w:rsidRPr="0007375E" w:rsidR="009368E8" w:rsidRDefault="009368E8" w14:paraId="7A6061ED" w14:textId="77777777">
            <w:pPr>
              <w:contextualSpacing/>
              <w:rPr>
                <w:rFonts w:ascii="Verdana" w:hAnsi="Verdana" w:cs="Arial"/>
                <w:sz w:val="16"/>
                <w:szCs w:val="16"/>
                <w:lang w:eastAsia="es-CO"/>
              </w:rPr>
            </w:pPr>
            <w:r w:rsidRPr="0007375E">
              <w:rPr>
                <w:rFonts w:ascii="Verdana" w:hAnsi="Verdana" w:cs="Arial"/>
                <w:sz w:val="16"/>
                <w:szCs w:val="16"/>
                <w:lang w:eastAsia="es-CO"/>
              </w:rPr>
              <w:t>Elaboró:</w:t>
            </w:r>
          </w:p>
        </w:tc>
        <w:tc>
          <w:tcPr>
            <w:tcW w:w="5628" w:type="dxa"/>
            <w:tcBorders>
              <w:top w:val="nil"/>
              <w:left w:val="nil"/>
              <w:bottom w:val="dotted" w:color="7F7F7F" w:themeColor="text1" w:themeTint="80" w:sz="4" w:space="0"/>
              <w:right w:val="nil"/>
            </w:tcBorders>
            <w:vAlign w:val="center"/>
            <w:hideMark/>
          </w:tcPr>
          <w:p w:rsidRPr="0007375E" w:rsidR="009368E8" w:rsidRDefault="009368E8" w14:paraId="5E99AD84" w14:textId="77777777">
            <w:pPr>
              <w:contextualSpacing/>
              <w:rPr>
                <w:rFonts w:ascii="Verdana" w:hAnsi="Verdana" w:cs="Arial"/>
                <w:sz w:val="16"/>
                <w:szCs w:val="16"/>
                <w:lang w:eastAsia="es-CO"/>
              </w:rPr>
            </w:pPr>
            <w:r w:rsidRPr="0007375E">
              <w:rPr>
                <w:rFonts w:ascii="Verdana" w:hAnsi="Verdana" w:cs="Arial"/>
                <w:sz w:val="16"/>
                <w:szCs w:val="16"/>
                <w:lang w:eastAsia="es-CO"/>
              </w:rPr>
              <w:t xml:space="preserve">Richard Andrés Montenegro </w:t>
            </w:r>
            <w:proofErr w:type="spellStart"/>
            <w:r w:rsidRPr="0007375E">
              <w:rPr>
                <w:rFonts w:ascii="Verdana" w:hAnsi="Verdana" w:cs="Arial"/>
                <w:sz w:val="16"/>
                <w:szCs w:val="16"/>
                <w:lang w:eastAsia="es-CO"/>
              </w:rPr>
              <w:t>Siefken</w:t>
            </w:r>
            <w:proofErr w:type="spellEnd"/>
          </w:p>
          <w:p w:rsidRPr="0007375E" w:rsidR="009368E8" w:rsidRDefault="009368E8" w14:paraId="48A29ADC" w14:textId="77777777">
            <w:pPr>
              <w:contextualSpacing/>
              <w:rPr>
                <w:rFonts w:ascii="Verdana" w:hAnsi="Verdana" w:cs="Arial"/>
                <w:sz w:val="16"/>
                <w:szCs w:val="16"/>
                <w:lang w:eastAsia="es-CO"/>
              </w:rPr>
            </w:pPr>
            <w:r w:rsidRPr="0007375E">
              <w:rPr>
                <w:rFonts w:ascii="Verdana" w:hAnsi="Verdana" w:cs="Arial"/>
                <w:sz w:val="16"/>
                <w:szCs w:val="16"/>
                <w:lang w:eastAsia="es-CO"/>
              </w:rPr>
              <w:t>Contratista de la Subdirección de Gestión Contractual</w:t>
            </w:r>
          </w:p>
        </w:tc>
      </w:tr>
      <w:tr w:rsidRPr="0007375E" w:rsidR="009368E8" w14:paraId="79E692F7" w14:textId="77777777">
        <w:trPr>
          <w:trHeight w:val="330"/>
        </w:trPr>
        <w:tc>
          <w:tcPr>
            <w:tcW w:w="893" w:type="dxa"/>
            <w:vAlign w:val="center"/>
            <w:hideMark/>
          </w:tcPr>
          <w:p w:rsidRPr="0007375E" w:rsidR="009368E8" w:rsidRDefault="009368E8" w14:paraId="443CDE77" w14:textId="77777777">
            <w:pPr>
              <w:contextualSpacing/>
              <w:rPr>
                <w:rFonts w:ascii="Verdana" w:hAnsi="Verdana" w:cs="Arial"/>
                <w:sz w:val="16"/>
                <w:szCs w:val="16"/>
                <w:lang w:eastAsia="es-CO"/>
              </w:rPr>
            </w:pPr>
            <w:r w:rsidRPr="0007375E">
              <w:rPr>
                <w:rFonts w:ascii="Verdana" w:hAnsi="Verdana" w:cs="Arial"/>
                <w:sz w:val="16"/>
                <w:szCs w:val="16"/>
                <w:lang w:eastAsia="es-CO"/>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07375E" w:rsidR="009368E8" w:rsidRDefault="009368E8" w14:paraId="6E2F5059" w14:textId="77777777">
            <w:pPr>
              <w:contextualSpacing/>
              <w:textAlignment w:val="baseline"/>
              <w:rPr>
                <w:rFonts w:ascii="Verdana" w:hAnsi="Verdana" w:cs="Arial"/>
                <w:sz w:val="16"/>
                <w:szCs w:val="16"/>
                <w:lang w:eastAsia="es-CO"/>
              </w:rPr>
            </w:pPr>
            <w:r>
              <w:rPr>
                <w:rFonts w:ascii="Verdana" w:hAnsi="Verdana" w:cs="Arial"/>
                <w:sz w:val="16"/>
                <w:szCs w:val="16"/>
                <w:lang w:eastAsia="es-CO"/>
              </w:rPr>
              <w:t>Alejandro Raúl Sarmiento</w:t>
            </w:r>
          </w:p>
          <w:p w:rsidRPr="0007375E" w:rsidR="009368E8" w:rsidRDefault="009368E8" w14:paraId="282A4D5C" w14:textId="77777777">
            <w:pPr>
              <w:contextualSpacing/>
              <w:textAlignment w:val="baseline"/>
              <w:rPr>
                <w:rFonts w:ascii="Verdana" w:hAnsi="Verdana" w:cs="Arial"/>
                <w:sz w:val="16"/>
                <w:szCs w:val="16"/>
                <w:lang w:eastAsia="es-CO"/>
              </w:rPr>
            </w:pPr>
            <w:r w:rsidRPr="00173EB7">
              <w:rPr>
                <w:rFonts w:ascii="Arial" w:hAnsi="Arial" w:cs="Arial"/>
                <w:sz w:val="16"/>
                <w:szCs w:val="16"/>
                <w:lang w:eastAsia="es-ES"/>
              </w:rPr>
              <w:t>Gestor T1-15 de la Subdirección de Gestión Contractual</w:t>
            </w:r>
          </w:p>
        </w:tc>
      </w:tr>
      <w:tr w:rsidRPr="0007375E" w:rsidR="009368E8" w14:paraId="06FD586D" w14:textId="77777777">
        <w:trPr>
          <w:trHeight w:val="300"/>
        </w:trPr>
        <w:tc>
          <w:tcPr>
            <w:tcW w:w="893" w:type="dxa"/>
            <w:vAlign w:val="center"/>
          </w:tcPr>
          <w:p w:rsidRPr="0007375E" w:rsidR="009368E8" w:rsidRDefault="009368E8" w14:paraId="1DA1180D" w14:textId="77777777">
            <w:pPr>
              <w:contextualSpacing/>
              <w:rPr>
                <w:rFonts w:ascii="Verdana" w:hAnsi="Verdana" w:cs="Arial"/>
                <w:sz w:val="16"/>
                <w:szCs w:val="16"/>
                <w:lang w:eastAsia="es-CO"/>
              </w:rPr>
            </w:pPr>
            <w:r w:rsidRPr="0007375E">
              <w:rPr>
                <w:rFonts w:ascii="Verdana" w:hAnsi="Verdana" w:cs="Arial"/>
                <w:sz w:val="16"/>
                <w:szCs w:val="16"/>
                <w:lang w:eastAsia="es-CO"/>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07375E" w:rsidR="009368E8" w:rsidRDefault="009368E8" w14:paraId="48246A30" w14:textId="77777777">
            <w:pPr>
              <w:contextualSpacing/>
              <w:rPr>
                <w:rFonts w:ascii="Verdana" w:hAnsi="Verdana" w:cs="Arial"/>
                <w:sz w:val="16"/>
                <w:szCs w:val="16"/>
                <w:lang w:eastAsia="es-CO"/>
              </w:rPr>
            </w:pPr>
            <w:r w:rsidRPr="0007375E">
              <w:rPr>
                <w:rFonts w:ascii="Verdana" w:hAnsi="Verdana" w:cs="Arial"/>
                <w:sz w:val="16"/>
                <w:szCs w:val="16"/>
                <w:lang w:eastAsia="es-CO"/>
              </w:rPr>
              <w:t xml:space="preserve">Carolina Quintero </w:t>
            </w:r>
            <w:proofErr w:type="spellStart"/>
            <w:r w:rsidRPr="0007375E">
              <w:rPr>
                <w:rFonts w:ascii="Verdana" w:hAnsi="Verdana" w:cs="Arial"/>
                <w:sz w:val="16"/>
                <w:szCs w:val="16"/>
                <w:lang w:eastAsia="es-CO"/>
              </w:rPr>
              <w:t>Gacharná</w:t>
            </w:r>
            <w:proofErr w:type="spellEnd"/>
          </w:p>
          <w:p w:rsidRPr="0007375E" w:rsidR="009368E8" w:rsidRDefault="009368E8" w14:paraId="380A8782" w14:textId="77777777">
            <w:pPr>
              <w:contextualSpacing/>
              <w:rPr>
                <w:rFonts w:ascii="Verdana" w:hAnsi="Verdana" w:cs="Arial"/>
                <w:sz w:val="16"/>
                <w:szCs w:val="16"/>
                <w:lang w:eastAsia="es-CO"/>
              </w:rPr>
            </w:pPr>
            <w:r w:rsidRPr="0007375E">
              <w:rPr>
                <w:rFonts w:ascii="Verdana" w:hAnsi="Verdana" w:cs="Arial"/>
                <w:sz w:val="16"/>
                <w:szCs w:val="16"/>
                <w:lang w:eastAsia="es-CO"/>
              </w:rPr>
              <w:t>Subdirectora de Gestión Contractual ANCP – CCE</w:t>
            </w:r>
          </w:p>
        </w:tc>
      </w:tr>
      <w:bookmarkEnd w:id="0"/>
    </w:tbl>
    <w:p w:rsidRPr="0007375E" w:rsidR="009368E8" w:rsidP="009368E8" w:rsidRDefault="009368E8" w14:paraId="40360B0A" w14:textId="77777777">
      <w:pPr>
        <w:rPr>
          <w:rFonts w:ascii="Verdana" w:hAnsi="Verdana"/>
        </w:rPr>
      </w:pPr>
    </w:p>
    <w:p w:rsidRPr="00BD27A2" w:rsidR="00127233" w:rsidP="00BD27A2" w:rsidRDefault="00127233" w14:paraId="0F293BF4" w14:textId="7BBFAB11"/>
    <w:sectPr w:rsidRPr="00BD27A2" w:rsidR="00127233" w:rsidSect="007C0C0F">
      <w:headerReference w:type="default" r:id="rId16"/>
      <w:footerReference w:type="default" r:id="rId17"/>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004" w:rsidP="004A1847" w:rsidRDefault="00E40004" w14:paraId="269BF2C5" w14:textId="77777777">
      <w:pPr>
        <w:spacing w:after="0" w:line="240" w:lineRule="auto"/>
      </w:pPr>
      <w:r>
        <w:separator/>
      </w:r>
    </w:p>
  </w:endnote>
  <w:endnote w:type="continuationSeparator" w:id="0">
    <w:p w:rsidR="00E40004" w:rsidP="004A1847" w:rsidRDefault="00E40004" w14:paraId="4370EF8F" w14:textId="77777777">
      <w:pPr>
        <w:spacing w:after="0" w:line="240" w:lineRule="auto"/>
      </w:pPr>
      <w:r>
        <w:continuationSeparator/>
      </w:r>
    </w:p>
  </w:endnote>
  <w:endnote w:type="continuationNotice" w:id="1">
    <w:p w:rsidR="00E40004" w:rsidRDefault="00E40004" w14:paraId="2FC965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Arial"/>
    <w:panose1 w:val="00000000000000000000"/>
    <w:charset w:val="00"/>
    <w:family w:val="modern"/>
    <w:notTrueType/>
    <w:pitch w:val="variable"/>
    <w:sig w:usb0="00000001" w:usb1="1000004A" w:usb2="00000000" w:usb3="00000000" w:csb0="00000193" w:csb1="00000000"/>
  </w:font>
  <w:font w:name="Geomanist">
    <w:altName w:val="Arial"/>
    <w:panose1 w:val="00000000000000000000"/>
    <w:charset w:val="00"/>
    <w:family w:val="modern"/>
    <w:notTrueType/>
    <w:pitch w:val="variable"/>
    <w:sig w:usb0="00000001"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847" w:rsidRDefault="004A1847" w14:paraId="18911A32" w14:textId="6CE791A4">
    <w:pPr>
      <w:pStyle w:val="Piedepgina"/>
    </w:pPr>
  </w:p>
  <w:p w:rsidRPr="00174B77" w:rsidR="00D520D8" w:rsidP="00D520D8" w:rsidRDefault="00D520D8" w14:paraId="594D6D9F" w14:textId="73D4627E">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sidRPr="00A6204B" w:rsidR="00A6204B">
      <w:rPr>
        <w:rFonts w:ascii="Verdana" w:hAnsi="Verdana" w:eastAsiaTheme="minorEastAsia"/>
        <w:b/>
        <w:bCs/>
        <w:noProof/>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004" w:rsidP="004A1847" w:rsidRDefault="00E40004" w14:paraId="427975A1" w14:textId="77777777">
      <w:pPr>
        <w:spacing w:after="0" w:line="240" w:lineRule="auto"/>
      </w:pPr>
      <w:r>
        <w:separator/>
      </w:r>
    </w:p>
  </w:footnote>
  <w:footnote w:type="continuationSeparator" w:id="0">
    <w:p w:rsidR="00E40004" w:rsidP="004A1847" w:rsidRDefault="00E40004" w14:paraId="19A7A47A" w14:textId="77777777">
      <w:pPr>
        <w:spacing w:after="0" w:line="240" w:lineRule="auto"/>
      </w:pPr>
      <w:r>
        <w:continuationSeparator/>
      </w:r>
    </w:p>
  </w:footnote>
  <w:footnote w:type="continuationNotice" w:id="1">
    <w:p w:rsidR="00E40004" w:rsidRDefault="00E40004" w14:paraId="5761A8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D3058" w14:paraId="435F4D03" w14:textId="0903BF04">
    <w:pPr>
      <w:pStyle w:val="Encabezado"/>
    </w:pPr>
    <w:r>
      <w:rPr>
        <w:rFonts w:ascii="Geomanist Bold" w:hAnsi="Geomanist Bold"/>
        <w:b/>
        <w:bCs/>
        <w:noProof/>
        <w:color w:val="002060"/>
        <w:sz w:val="24"/>
        <w:szCs w:val="24"/>
        <w:lang w:eastAsia="es-CO"/>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F45C0"/>
    <w:multiLevelType w:val="hybridMultilevel"/>
    <w:tmpl w:val="FD1002E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0B609C"/>
    <w:multiLevelType w:val="multilevel"/>
    <w:tmpl w:val="04046D78"/>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62D01A10"/>
    <w:multiLevelType w:val="hybridMultilevel"/>
    <w:tmpl w:val="DF86C062"/>
    <w:lvl w:ilvl="0" w:tplc="34FE628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06D78"/>
    <w:multiLevelType w:val="hybridMultilevel"/>
    <w:tmpl w:val="DDBC06D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007240399">
    <w:abstractNumId w:val="8"/>
  </w:num>
  <w:num w:numId="2" w16cid:durableId="1280526364">
    <w:abstractNumId w:val="2"/>
  </w:num>
  <w:num w:numId="3" w16cid:durableId="1748838111">
    <w:abstractNumId w:val="6"/>
  </w:num>
  <w:num w:numId="4" w16cid:durableId="167643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546055">
    <w:abstractNumId w:val="2"/>
  </w:num>
  <w:num w:numId="6" w16cid:durableId="35932180">
    <w:abstractNumId w:val="16"/>
  </w:num>
  <w:num w:numId="7" w16cid:durableId="49622659">
    <w:abstractNumId w:val="7"/>
  </w:num>
  <w:num w:numId="8" w16cid:durableId="362100591">
    <w:abstractNumId w:val="15"/>
  </w:num>
  <w:num w:numId="9" w16cid:durableId="1770659259">
    <w:abstractNumId w:val="9"/>
  </w:num>
  <w:num w:numId="10" w16cid:durableId="1898317643">
    <w:abstractNumId w:val="14"/>
  </w:num>
  <w:num w:numId="11" w16cid:durableId="951089886">
    <w:abstractNumId w:val="10"/>
  </w:num>
  <w:num w:numId="12" w16cid:durableId="633411485">
    <w:abstractNumId w:val="1"/>
  </w:num>
  <w:num w:numId="13" w16cid:durableId="2076977024">
    <w:abstractNumId w:val="3"/>
  </w:num>
  <w:num w:numId="14" w16cid:durableId="143085725">
    <w:abstractNumId w:val="17"/>
  </w:num>
  <w:num w:numId="15" w16cid:durableId="228276342">
    <w:abstractNumId w:val="13"/>
  </w:num>
  <w:num w:numId="16" w16cid:durableId="1244417980">
    <w:abstractNumId w:val="0"/>
  </w:num>
  <w:num w:numId="17" w16cid:durableId="825972635">
    <w:abstractNumId w:val="11"/>
  </w:num>
  <w:num w:numId="18" w16cid:durableId="965434029">
    <w:abstractNumId w:val="5"/>
  </w:num>
  <w:num w:numId="19" w16cid:durableId="1986617052">
    <w:abstractNumId w:val="18"/>
  </w:num>
  <w:num w:numId="20" w16cid:durableId="1500728255">
    <w:abstractNumId w:val="12"/>
  </w:num>
  <w:num w:numId="21" w16cid:durableId="2052605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54B9C"/>
    <w:rsid w:val="00061B2A"/>
    <w:rsid w:val="00082362"/>
    <w:rsid w:val="000A683E"/>
    <w:rsid w:val="000B19B9"/>
    <w:rsid w:val="000D0334"/>
    <w:rsid w:val="000F6486"/>
    <w:rsid w:val="001111E1"/>
    <w:rsid w:val="00125105"/>
    <w:rsid w:val="00127233"/>
    <w:rsid w:val="00162386"/>
    <w:rsid w:val="001E4177"/>
    <w:rsid w:val="001E5D11"/>
    <w:rsid w:val="001F7DC6"/>
    <w:rsid w:val="00224082"/>
    <w:rsid w:val="002421BB"/>
    <w:rsid w:val="0025796E"/>
    <w:rsid w:val="002707A2"/>
    <w:rsid w:val="002951A0"/>
    <w:rsid w:val="002962BC"/>
    <w:rsid w:val="002A093D"/>
    <w:rsid w:val="002A0DD0"/>
    <w:rsid w:val="002A49AC"/>
    <w:rsid w:val="002A64FD"/>
    <w:rsid w:val="002B1A42"/>
    <w:rsid w:val="002C7A84"/>
    <w:rsid w:val="002E4FD9"/>
    <w:rsid w:val="00322A85"/>
    <w:rsid w:val="00324168"/>
    <w:rsid w:val="003448F4"/>
    <w:rsid w:val="00374F5E"/>
    <w:rsid w:val="00377E3E"/>
    <w:rsid w:val="003A26D1"/>
    <w:rsid w:val="003A3893"/>
    <w:rsid w:val="003A779E"/>
    <w:rsid w:val="003D0F4D"/>
    <w:rsid w:val="003D5B0D"/>
    <w:rsid w:val="003E0499"/>
    <w:rsid w:val="003F3941"/>
    <w:rsid w:val="00406575"/>
    <w:rsid w:val="0041522E"/>
    <w:rsid w:val="0042722E"/>
    <w:rsid w:val="0044528D"/>
    <w:rsid w:val="004A1847"/>
    <w:rsid w:val="004A305D"/>
    <w:rsid w:val="004E2296"/>
    <w:rsid w:val="004F21C4"/>
    <w:rsid w:val="004F685F"/>
    <w:rsid w:val="0050528D"/>
    <w:rsid w:val="0051481F"/>
    <w:rsid w:val="005550B0"/>
    <w:rsid w:val="005566E8"/>
    <w:rsid w:val="00570823"/>
    <w:rsid w:val="00574867"/>
    <w:rsid w:val="00591460"/>
    <w:rsid w:val="00592628"/>
    <w:rsid w:val="005A5620"/>
    <w:rsid w:val="005A6D90"/>
    <w:rsid w:val="005C3777"/>
    <w:rsid w:val="005C5CDC"/>
    <w:rsid w:val="005D476C"/>
    <w:rsid w:val="005E7C08"/>
    <w:rsid w:val="00610812"/>
    <w:rsid w:val="006219F8"/>
    <w:rsid w:val="00650FF7"/>
    <w:rsid w:val="00655608"/>
    <w:rsid w:val="00665D70"/>
    <w:rsid w:val="00671DAC"/>
    <w:rsid w:val="006900D9"/>
    <w:rsid w:val="006D12F8"/>
    <w:rsid w:val="00706C16"/>
    <w:rsid w:val="00756841"/>
    <w:rsid w:val="007649AB"/>
    <w:rsid w:val="00771D0C"/>
    <w:rsid w:val="00773D87"/>
    <w:rsid w:val="007833AC"/>
    <w:rsid w:val="007B268C"/>
    <w:rsid w:val="007B7171"/>
    <w:rsid w:val="007C0C0F"/>
    <w:rsid w:val="007C3DC2"/>
    <w:rsid w:val="007D0E4C"/>
    <w:rsid w:val="007E5497"/>
    <w:rsid w:val="007E6592"/>
    <w:rsid w:val="00806F5F"/>
    <w:rsid w:val="00820278"/>
    <w:rsid w:val="008231C3"/>
    <w:rsid w:val="0082590F"/>
    <w:rsid w:val="008843B6"/>
    <w:rsid w:val="00891928"/>
    <w:rsid w:val="008A446D"/>
    <w:rsid w:val="008D180B"/>
    <w:rsid w:val="008D513A"/>
    <w:rsid w:val="008F0EA7"/>
    <w:rsid w:val="008F7553"/>
    <w:rsid w:val="00923EEF"/>
    <w:rsid w:val="009368E8"/>
    <w:rsid w:val="009419F9"/>
    <w:rsid w:val="0095685E"/>
    <w:rsid w:val="00961B09"/>
    <w:rsid w:val="00965334"/>
    <w:rsid w:val="0097093E"/>
    <w:rsid w:val="00977242"/>
    <w:rsid w:val="0098039D"/>
    <w:rsid w:val="009A0DFA"/>
    <w:rsid w:val="009B2D26"/>
    <w:rsid w:val="009C5F57"/>
    <w:rsid w:val="009C71FA"/>
    <w:rsid w:val="009C72E7"/>
    <w:rsid w:val="009D3058"/>
    <w:rsid w:val="009E41AF"/>
    <w:rsid w:val="009E7C24"/>
    <w:rsid w:val="009F3A13"/>
    <w:rsid w:val="00A122D3"/>
    <w:rsid w:val="00A17F13"/>
    <w:rsid w:val="00A20739"/>
    <w:rsid w:val="00A33C78"/>
    <w:rsid w:val="00A56695"/>
    <w:rsid w:val="00A6204B"/>
    <w:rsid w:val="00A95A1D"/>
    <w:rsid w:val="00AA6FC9"/>
    <w:rsid w:val="00AB0ADB"/>
    <w:rsid w:val="00B01B1A"/>
    <w:rsid w:val="00B423E7"/>
    <w:rsid w:val="00B45D6E"/>
    <w:rsid w:val="00B6062C"/>
    <w:rsid w:val="00B71537"/>
    <w:rsid w:val="00B72CD3"/>
    <w:rsid w:val="00B72FFF"/>
    <w:rsid w:val="00B74C43"/>
    <w:rsid w:val="00B7682C"/>
    <w:rsid w:val="00B91CF2"/>
    <w:rsid w:val="00BC3D36"/>
    <w:rsid w:val="00BD27A2"/>
    <w:rsid w:val="00BD3EEC"/>
    <w:rsid w:val="00BD7F72"/>
    <w:rsid w:val="00C04FB3"/>
    <w:rsid w:val="00C06DE3"/>
    <w:rsid w:val="00C318C0"/>
    <w:rsid w:val="00C330EB"/>
    <w:rsid w:val="00C47503"/>
    <w:rsid w:val="00C67BEA"/>
    <w:rsid w:val="00C754BE"/>
    <w:rsid w:val="00C76B1C"/>
    <w:rsid w:val="00CB6357"/>
    <w:rsid w:val="00CC1B26"/>
    <w:rsid w:val="00CE77CB"/>
    <w:rsid w:val="00CF64C0"/>
    <w:rsid w:val="00D01A03"/>
    <w:rsid w:val="00D0445E"/>
    <w:rsid w:val="00D174CA"/>
    <w:rsid w:val="00D423A2"/>
    <w:rsid w:val="00D520D8"/>
    <w:rsid w:val="00D63AC2"/>
    <w:rsid w:val="00D7383B"/>
    <w:rsid w:val="00DA231B"/>
    <w:rsid w:val="00DA23A0"/>
    <w:rsid w:val="00DB5A29"/>
    <w:rsid w:val="00DC39FC"/>
    <w:rsid w:val="00DF5254"/>
    <w:rsid w:val="00E16408"/>
    <w:rsid w:val="00E20894"/>
    <w:rsid w:val="00E243F5"/>
    <w:rsid w:val="00E245AB"/>
    <w:rsid w:val="00E2764C"/>
    <w:rsid w:val="00E27F2E"/>
    <w:rsid w:val="00E40004"/>
    <w:rsid w:val="00E413EA"/>
    <w:rsid w:val="00E50AFE"/>
    <w:rsid w:val="00E729D4"/>
    <w:rsid w:val="00E735ED"/>
    <w:rsid w:val="00E75C92"/>
    <w:rsid w:val="00E771DC"/>
    <w:rsid w:val="00E8772A"/>
    <w:rsid w:val="00E90F6B"/>
    <w:rsid w:val="00E92C27"/>
    <w:rsid w:val="00EA0E3D"/>
    <w:rsid w:val="00EC38A7"/>
    <w:rsid w:val="00EC4BAF"/>
    <w:rsid w:val="00EE1AA8"/>
    <w:rsid w:val="00EE1FE5"/>
    <w:rsid w:val="00F31EDC"/>
    <w:rsid w:val="00F462B3"/>
    <w:rsid w:val="00F505F1"/>
    <w:rsid w:val="00F5664F"/>
    <w:rsid w:val="00F666C4"/>
    <w:rsid w:val="00F76AFC"/>
    <w:rsid w:val="00F90BF0"/>
    <w:rsid w:val="00FA47C0"/>
    <w:rsid w:val="00FB5DD1"/>
    <w:rsid w:val="00FC0FFC"/>
    <w:rsid w:val="00FC2B5D"/>
    <w:rsid w:val="00FF1449"/>
    <w:rsid w:val="350CA61C"/>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D4069CDF-BC5B-4385-8012-20E62F34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7503"/>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1" w:customStyle="1">
    <w:name w:val="Mención sin resolver1"/>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368E8"/>
    <w:rPr>
      <w:rFonts w:ascii="Geomanist Light" w:hAnsi="Geomanist Light"/>
      <w:lang w:val="es-ES"/>
    </w:rPr>
  </w:style>
  <w:style w:type="paragraph" w:styleId="Textoindependiente">
    <w:name w:val="Body Text"/>
    <w:basedOn w:val="Normal"/>
    <w:link w:val="TextoindependienteCar"/>
    <w:uiPriority w:val="1"/>
    <w:qFormat/>
    <w:rsid w:val="009368E8"/>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9368E8"/>
    <w:rPr>
      <w:rFonts w:ascii="Arial" w:hAnsi="Arial" w:eastAsia="Arial" w:cs="Arial"/>
      <w:lang w:val="es-ES"/>
    </w:rPr>
  </w:style>
  <w:style w:type="paragraph" w:styleId="Textodeglobo">
    <w:name w:val="Balloon Text"/>
    <w:basedOn w:val="Normal"/>
    <w:link w:val="TextodegloboCar"/>
    <w:uiPriority w:val="99"/>
    <w:semiHidden/>
    <w:unhideWhenUsed/>
    <w:rsid w:val="0050528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05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lombiacompra.gov.co/manuales-guias-y-pliegos-tipo/manuales-y-guia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ermanmedallo@gmail.com" TargetMode="External" Id="rId11"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0F10B863-07EE-408F-AA6E-35657567004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3</revision>
  <lastPrinted>2023-01-11T00:18:00.0000000Z</lastPrinted>
  <dcterms:created xsi:type="dcterms:W3CDTF">2024-09-18T16:45:00.0000000Z</dcterms:created>
  <dcterms:modified xsi:type="dcterms:W3CDTF">2024-09-19T20:37:14.7373814Z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