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5A14" w14:textId="77777777" w:rsidR="00CB1B40" w:rsidRPr="00BB7952" w:rsidRDefault="00CB1B40" w:rsidP="00CB1B40">
      <w:pPr>
        <w:widowControl w:val="0"/>
        <w:autoSpaceDE w:val="0"/>
        <w:autoSpaceDN w:val="0"/>
        <w:spacing w:after="0" w:line="276" w:lineRule="auto"/>
        <w:jc w:val="both"/>
        <w:rPr>
          <w:rFonts w:ascii="Verdana" w:eastAsia="Arial" w:hAnsi="Verdana" w:cs="Arial"/>
          <w:b/>
          <w:bCs/>
          <w:lang w:val="es-ES"/>
        </w:rPr>
      </w:pPr>
      <w:bookmarkStart w:id="0" w:name="_Hlk143780582"/>
      <w:bookmarkStart w:id="1" w:name="_GoBack"/>
      <w:r w:rsidRPr="00BB7952">
        <w:rPr>
          <w:rFonts w:ascii="Verdana" w:eastAsia="Arial" w:hAnsi="Verdana" w:cs="Arial"/>
          <w:b/>
          <w:bCs/>
          <w:lang w:val="es-ES"/>
        </w:rPr>
        <w:t xml:space="preserve">PROFESIONAL EN INGENIERÍA </w:t>
      </w:r>
      <w:r w:rsidRPr="00BB7952">
        <w:rPr>
          <w:rFonts w:ascii="Verdana" w:eastAsia="Arial" w:hAnsi="Verdana" w:cs="Arial"/>
          <w:b/>
          <w:lang w:val="es-ES"/>
        </w:rPr>
        <w:t>–</w:t>
      </w:r>
      <w:r w:rsidRPr="00BB7952">
        <w:rPr>
          <w:rFonts w:ascii="Verdana" w:eastAsia="Arial" w:hAnsi="Verdana" w:cs="Arial"/>
          <w:b/>
          <w:bCs/>
          <w:lang w:val="es-ES"/>
        </w:rPr>
        <w:t xml:space="preserve"> Ejercicio de la ingeniería – Aval – Procesos de contratación – </w:t>
      </w:r>
    </w:p>
    <w:p w14:paraId="2FF4A4BB" w14:textId="77777777" w:rsidR="00CB1B40" w:rsidRPr="00BB7952" w:rsidRDefault="00CB1B40" w:rsidP="00CB1B40">
      <w:pPr>
        <w:widowControl w:val="0"/>
        <w:autoSpaceDE w:val="0"/>
        <w:autoSpaceDN w:val="0"/>
        <w:spacing w:before="5" w:after="0" w:line="276" w:lineRule="auto"/>
        <w:rPr>
          <w:rFonts w:ascii="Verdana" w:eastAsia="Arial" w:hAnsi="Verdana" w:cs="Arial"/>
          <w:lang w:val="es-ES"/>
        </w:rPr>
      </w:pPr>
    </w:p>
    <w:p w14:paraId="57607040" w14:textId="77777777" w:rsidR="00CB1B40" w:rsidRPr="00BB7952" w:rsidRDefault="00CB1B40" w:rsidP="00CB1B40">
      <w:pPr>
        <w:spacing w:after="0" w:line="240" w:lineRule="auto"/>
        <w:jc w:val="both"/>
        <w:rPr>
          <w:rFonts w:ascii="Verdana" w:hAnsi="Verdana" w:cs="Arial"/>
          <w:sz w:val="20"/>
          <w:szCs w:val="20"/>
          <w:lang w:val="es-MX"/>
        </w:rPr>
      </w:pPr>
      <w:r w:rsidRPr="00BB7952">
        <w:rPr>
          <w:rFonts w:ascii="Verdana" w:eastAsia="Arial" w:hAnsi="Verdana" w:cs="Arial"/>
          <w:sz w:val="20"/>
          <w:szCs w:val="20"/>
          <w:lang w:val="es-ES"/>
        </w:rPr>
        <w:t>[…] el Tribunal Constitucional también señaló que la persona idónea y habilitada legalmente para ejercer la ingeniería, en actividades catalogadas como ejercicio de dicha profesión, es la matriculada o inscrita en el Registro Profesional de Ingenieros y que por ende cuenta con un título profesional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 diferente.</w:t>
      </w:r>
    </w:p>
    <w:p w14:paraId="29BF2AAE" w14:textId="77777777" w:rsidR="00CB1B40" w:rsidRPr="00BB7952" w:rsidRDefault="00CB1B40" w:rsidP="00CB1B40">
      <w:pPr>
        <w:spacing w:after="0" w:line="240" w:lineRule="auto"/>
        <w:jc w:val="both"/>
        <w:rPr>
          <w:rFonts w:ascii="Verdana" w:hAnsi="Verdana" w:cs="Arial"/>
          <w:sz w:val="20"/>
          <w:szCs w:val="20"/>
          <w:lang w:val="es-ES"/>
        </w:rPr>
      </w:pPr>
      <w:r w:rsidRPr="00BB7952">
        <w:rPr>
          <w:rFonts w:ascii="Verdana" w:hAnsi="Verdana" w:cs="Arial"/>
          <w:sz w:val="20"/>
          <w:szCs w:val="20"/>
          <w:lang w:val="es-ES"/>
        </w:rPr>
        <w:t>[…]</w:t>
      </w:r>
    </w:p>
    <w:p w14:paraId="25D5307A" w14:textId="77777777" w:rsidR="00CB1B40" w:rsidRPr="00BB7952" w:rsidRDefault="00CB1B40" w:rsidP="00CB1B40">
      <w:pPr>
        <w:spacing w:after="0" w:line="240" w:lineRule="auto"/>
        <w:jc w:val="both"/>
        <w:rPr>
          <w:rFonts w:ascii="Verdana" w:hAnsi="Verdana" w:cs="Arial"/>
          <w:sz w:val="20"/>
          <w:szCs w:val="20"/>
          <w:lang w:val="es-MX"/>
        </w:rPr>
      </w:pPr>
      <w:r w:rsidRPr="00BB7952">
        <w:rPr>
          <w:rFonts w:ascii="Verdana" w:hAnsi="Verdana" w:cs="Arial"/>
          <w:sz w:val="20"/>
          <w:szCs w:val="20"/>
          <w:lang w:val="es-ES"/>
        </w:rPr>
        <w:t>En efecto,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bookmarkEnd w:id="1"/>
    <w:p w14:paraId="7EB174EF" w14:textId="77777777" w:rsidR="00CB1B40" w:rsidRPr="00BB7952" w:rsidRDefault="00CB1B40" w:rsidP="00CB1B40">
      <w:pPr>
        <w:widowControl w:val="0"/>
        <w:autoSpaceDE w:val="0"/>
        <w:autoSpaceDN w:val="0"/>
        <w:spacing w:after="0" w:line="276" w:lineRule="auto"/>
        <w:jc w:val="both"/>
        <w:rPr>
          <w:rFonts w:ascii="Verdana" w:eastAsia="Arial" w:hAnsi="Verdana" w:cs="Arial"/>
          <w:b/>
          <w:bCs/>
          <w:lang w:val="es-ES"/>
        </w:rPr>
      </w:pPr>
    </w:p>
    <w:p w14:paraId="78DFF300" w14:textId="77777777" w:rsidR="00CB1B40" w:rsidRDefault="00CB1B40" w:rsidP="00CB1B40">
      <w:pPr>
        <w:spacing w:after="0" w:line="240" w:lineRule="auto"/>
        <w:jc w:val="both"/>
        <w:rPr>
          <w:rFonts w:ascii="Verdana" w:eastAsia="Calibri" w:hAnsi="Verdana" w:cs="Times New Roman"/>
        </w:rPr>
      </w:pPr>
    </w:p>
    <w:p w14:paraId="427A42B5" w14:textId="77777777" w:rsidR="00CB1B40" w:rsidRDefault="00CB1B40" w:rsidP="00CB1B40">
      <w:pPr>
        <w:spacing w:after="0" w:line="240" w:lineRule="auto"/>
        <w:jc w:val="both"/>
        <w:rPr>
          <w:rFonts w:ascii="Verdana" w:eastAsia="Calibri" w:hAnsi="Verdana" w:cs="Times New Roman"/>
        </w:rPr>
      </w:pPr>
    </w:p>
    <w:p w14:paraId="675DEF65" w14:textId="77777777" w:rsidR="00CB1B40" w:rsidRDefault="00CB1B40" w:rsidP="00CB1B40">
      <w:pPr>
        <w:spacing w:after="0" w:line="240" w:lineRule="auto"/>
        <w:jc w:val="both"/>
        <w:rPr>
          <w:rFonts w:ascii="Verdana" w:eastAsia="Calibri" w:hAnsi="Verdana" w:cs="Times New Roman"/>
        </w:rPr>
      </w:pPr>
    </w:p>
    <w:p w14:paraId="19B5E723" w14:textId="77777777" w:rsidR="00CB1B40" w:rsidRDefault="00CB1B40" w:rsidP="00CB1B40">
      <w:pPr>
        <w:spacing w:after="0" w:line="240" w:lineRule="auto"/>
        <w:jc w:val="both"/>
        <w:rPr>
          <w:rFonts w:ascii="Verdana" w:eastAsia="Calibri" w:hAnsi="Verdana" w:cs="Times New Roman"/>
        </w:rPr>
      </w:pPr>
    </w:p>
    <w:p w14:paraId="7270DD56" w14:textId="77777777" w:rsidR="00CB1B40" w:rsidRDefault="00CB1B40" w:rsidP="00CB1B40">
      <w:pPr>
        <w:spacing w:after="0" w:line="240" w:lineRule="auto"/>
        <w:jc w:val="both"/>
        <w:rPr>
          <w:rFonts w:ascii="Verdana" w:eastAsia="Calibri" w:hAnsi="Verdana" w:cs="Times New Roman"/>
        </w:rPr>
      </w:pPr>
    </w:p>
    <w:p w14:paraId="6EE83236" w14:textId="77777777" w:rsidR="00CB1B40" w:rsidRDefault="00CB1B40" w:rsidP="00CB1B40">
      <w:pPr>
        <w:spacing w:after="0" w:line="240" w:lineRule="auto"/>
        <w:jc w:val="both"/>
        <w:rPr>
          <w:rFonts w:ascii="Verdana" w:eastAsia="Calibri" w:hAnsi="Verdana" w:cs="Times New Roman"/>
        </w:rPr>
      </w:pPr>
    </w:p>
    <w:p w14:paraId="5CDB3920" w14:textId="77777777" w:rsidR="00CB1B40" w:rsidRDefault="00CB1B40" w:rsidP="00CB1B40">
      <w:pPr>
        <w:spacing w:after="0" w:line="240" w:lineRule="auto"/>
        <w:jc w:val="both"/>
        <w:rPr>
          <w:rFonts w:ascii="Verdana" w:eastAsia="Calibri" w:hAnsi="Verdana" w:cs="Times New Roman"/>
        </w:rPr>
      </w:pPr>
    </w:p>
    <w:p w14:paraId="612B7609" w14:textId="77777777" w:rsidR="00CB1B40" w:rsidRDefault="00CB1B40" w:rsidP="00CB1B40">
      <w:pPr>
        <w:spacing w:after="0" w:line="240" w:lineRule="auto"/>
        <w:jc w:val="both"/>
        <w:rPr>
          <w:rFonts w:ascii="Verdana" w:eastAsia="Calibri" w:hAnsi="Verdana" w:cs="Times New Roman"/>
        </w:rPr>
      </w:pPr>
    </w:p>
    <w:p w14:paraId="5B5C294F" w14:textId="77777777" w:rsidR="00CB1B40" w:rsidRDefault="00CB1B40" w:rsidP="00CB1B40">
      <w:pPr>
        <w:spacing w:after="0" w:line="240" w:lineRule="auto"/>
        <w:jc w:val="both"/>
        <w:rPr>
          <w:rFonts w:ascii="Verdana" w:eastAsia="Calibri" w:hAnsi="Verdana" w:cs="Times New Roman"/>
        </w:rPr>
      </w:pPr>
    </w:p>
    <w:p w14:paraId="79A9A711" w14:textId="77777777" w:rsidR="00CB1B40" w:rsidRDefault="00CB1B40" w:rsidP="00CB1B40">
      <w:pPr>
        <w:spacing w:after="0" w:line="240" w:lineRule="auto"/>
        <w:jc w:val="both"/>
        <w:rPr>
          <w:rFonts w:ascii="Verdana" w:eastAsia="Calibri" w:hAnsi="Verdana" w:cs="Times New Roman"/>
        </w:rPr>
      </w:pPr>
    </w:p>
    <w:p w14:paraId="7C7B428A" w14:textId="77777777" w:rsidR="00CB1B40" w:rsidRDefault="00CB1B40" w:rsidP="00CB1B40">
      <w:pPr>
        <w:spacing w:after="0" w:line="240" w:lineRule="auto"/>
        <w:jc w:val="both"/>
        <w:rPr>
          <w:rFonts w:ascii="Verdana" w:eastAsia="Calibri" w:hAnsi="Verdana" w:cs="Times New Roman"/>
        </w:rPr>
      </w:pPr>
    </w:p>
    <w:p w14:paraId="1FB4A2A5" w14:textId="77777777" w:rsidR="00CB1B40" w:rsidRDefault="00CB1B40" w:rsidP="00CB1B40">
      <w:pPr>
        <w:spacing w:after="0" w:line="240" w:lineRule="auto"/>
        <w:jc w:val="both"/>
        <w:rPr>
          <w:rFonts w:ascii="Verdana" w:eastAsia="Calibri" w:hAnsi="Verdana" w:cs="Times New Roman"/>
        </w:rPr>
      </w:pPr>
    </w:p>
    <w:p w14:paraId="6FD046D1" w14:textId="77777777" w:rsidR="00CB1B40" w:rsidRDefault="00CB1B40" w:rsidP="00CB1B40">
      <w:pPr>
        <w:spacing w:after="0" w:line="240" w:lineRule="auto"/>
        <w:jc w:val="both"/>
        <w:rPr>
          <w:rFonts w:ascii="Verdana" w:eastAsia="Calibri" w:hAnsi="Verdana" w:cs="Times New Roman"/>
        </w:rPr>
      </w:pPr>
    </w:p>
    <w:p w14:paraId="2439A694" w14:textId="77777777" w:rsidR="00CB1B40" w:rsidRDefault="00CB1B40" w:rsidP="00CB1B40">
      <w:pPr>
        <w:spacing w:after="0" w:line="240" w:lineRule="auto"/>
        <w:jc w:val="both"/>
        <w:rPr>
          <w:rFonts w:ascii="Verdana" w:eastAsia="Calibri" w:hAnsi="Verdana" w:cs="Times New Roman"/>
        </w:rPr>
      </w:pPr>
    </w:p>
    <w:p w14:paraId="52B84FE9" w14:textId="77777777" w:rsidR="00CB1B40" w:rsidRDefault="00CB1B40" w:rsidP="00CB1B40">
      <w:pPr>
        <w:spacing w:after="0" w:line="240" w:lineRule="auto"/>
        <w:jc w:val="both"/>
        <w:rPr>
          <w:rFonts w:ascii="Verdana" w:eastAsia="Calibri" w:hAnsi="Verdana" w:cs="Times New Roman"/>
        </w:rPr>
      </w:pPr>
    </w:p>
    <w:p w14:paraId="03DE76D0" w14:textId="77777777" w:rsidR="00CB1B40" w:rsidRPr="00D95D35" w:rsidRDefault="00CB1B40" w:rsidP="00CB1B40">
      <w:pPr>
        <w:spacing w:after="0" w:line="240" w:lineRule="auto"/>
        <w:jc w:val="both"/>
        <w:rPr>
          <w:rFonts w:ascii="Verdana" w:eastAsia="Calibri" w:hAnsi="Verdana" w:cs="Arial"/>
          <w:lang w:val="es-ES"/>
        </w:rPr>
      </w:pPr>
    </w:p>
    <w:p w14:paraId="0880C2E3" w14:textId="77777777" w:rsidR="00CB1B40" w:rsidRPr="00D95D35" w:rsidRDefault="00CB1B40" w:rsidP="00CB1B40">
      <w:pPr>
        <w:spacing w:after="0" w:line="240" w:lineRule="auto"/>
        <w:jc w:val="both"/>
        <w:rPr>
          <w:rFonts w:ascii="Verdana" w:eastAsia="Calibri" w:hAnsi="Verdana" w:cs="Arial"/>
          <w:lang w:val="es-ES"/>
        </w:rPr>
      </w:pPr>
    </w:p>
    <w:p w14:paraId="4EC13037" w14:textId="77777777" w:rsidR="00CB1B40" w:rsidRDefault="00CB1B40" w:rsidP="00CB1B40">
      <w:pPr>
        <w:spacing w:after="0" w:line="240" w:lineRule="auto"/>
        <w:jc w:val="both"/>
        <w:rPr>
          <w:rFonts w:ascii="Verdana" w:eastAsia="Calibri" w:hAnsi="Verdana" w:cs="Arial"/>
          <w:lang w:val="es-ES" w:eastAsia="es-ES"/>
        </w:rPr>
      </w:pPr>
    </w:p>
    <w:p w14:paraId="7D3791CB" w14:textId="72287638" w:rsidR="005E4EC9" w:rsidRDefault="005E4EC9" w:rsidP="005E4EC9">
      <w:pPr>
        <w:spacing w:after="0"/>
        <w:rPr>
          <w:rFonts w:ascii="Verdana" w:hAnsi="Verdana"/>
        </w:rPr>
      </w:pPr>
      <w:r w:rsidRPr="0044528D">
        <w:rPr>
          <w:rFonts w:ascii="Verdana" w:hAnsi="Verdana"/>
        </w:rPr>
        <w:t xml:space="preserve">Bogotá D.C., </w:t>
      </w:r>
      <w:r>
        <w:rPr>
          <w:rFonts w:ascii="Verdana" w:hAnsi="Verdana"/>
        </w:rPr>
        <w:t xml:space="preserve">16 de septiembre de 2024 </w:t>
      </w:r>
    </w:p>
    <w:p w14:paraId="2A625E05" w14:textId="77777777" w:rsidR="005E4EC9" w:rsidRPr="0044528D" w:rsidRDefault="005E4EC9" w:rsidP="005E4EC9">
      <w:pPr>
        <w:spacing w:after="0"/>
        <w:rPr>
          <w:rFonts w:ascii="Verdana" w:hAnsi="Verdana"/>
        </w:rPr>
      </w:pPr>
    </w:p>
    <w:p w14:paraId="78BF48A4" w14:textId="27E053B8" w:rsidR="00CB1B40" w:rsidRPr="0044528D" w:rsidRDefault="00CB1B40" w:rsidP="00CB1B40">
      <w:pPr>
        <w:spacing w:after="0"/>
        <w:rPr>
          <w:rFonts w:ascii="Verdana" w:hAnsi="Verdana"/>
        </w:rPr>
      </w:pPr>
      <w:r w:rsidRPr="0044528D">
        <w:rPr>
          <w:rFonts w:ascii="Verdana" w:hAnsi="Verdana"/>
        </w:rPr>
        <w:tab/>
      </w:r>
    </w:p>
    <w:p w14:paraId="7791B9B3" w14:textId="77777777" w:rsidR="005E4EC9" w:rsidRDefault="005E4EC9" w:rsidP="005E4EC9">
      <w:pPr>
        <w:spacing w:after="0" w:line="240" w:lineRule="auto"/>
        <w:jc w:val="right"/>
        <w:rPr>
          <w:rFonts w:ascii="Verdana" w:eastAsia="Calibri" w:hAnsi="Verdana" w:cs="Arial"/>
          <w:b/>
          <w:bCs/>
          <w:lang w:eastAsia="es-ES_tradnl"/>
        </w:rPr>
      </w:pPr>
    </w:p>
    <w:p w14:paraId="5D52B1F7" w14:textId="1ABD9F37" w:rsidR="00CB1B40" w:rsidRDefault="005E4EC9" w:rsidP="005E4EC9">
      <w:pPr>
        <w:spacing w:after="0" w:line="240" w:lineRule="auto"/>
        <w:jc w:val="right"/>
        <w:rPr>
          <w:rFonts w:ascii="Verdana" w:eastAsia="Calibri" w:hAnsi="Verdana" w:cs="Arial"/>
          <w:b/>
          <w:bCs/>
          <w:lang w:eastAsia="es-ES_tradnl"/>
        </w:rPr>
      </w:pPr>
      <w:r w:rsidRPr="005E4EC9">
        <w:rPr>
          <w:rFonts w:ascii="Verdana" w:eastAsia="Calibri" w:hAnsi="Verdana" w:cs="Arial"/>
          <w:b/>
          <w:bCs/>
          <w:noProof/>
          <w:lang w:eastAsia="es-ES_tradnl"/>
        </w:rPr>
        <w:drawing>
          <wp:inline distT="0" distB="0" distL="0" distR="0" wp14:anchorId="04187DA1" wp14:editId="7C53ADD0">
            <wp:extent cx="3810532" cy="1038370"/>
            <wp:effectExtent l="0" t="0" r="0" b="9525"/>
            <wp:docPr id="6670166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682" name="Imagen 1" descr="Texto&#10;&#10;Descripción generada automáticamente"/>
                    <pic:cNvPicPr/>
                  </pic:nvPicPr>
                  <pic:blipFill>
                    <a:blip r:embed="rId10"/>
                    <a:stretch>
                      <a:fillRect/>
                    </a:stretch>
                  </pic:blipFill>
                  <pic:spPr>
                    <a:xfrm>
                      <a:off x="0" y="0"/>
                      <a:ext cx="3810532" cy="1038370"/>
                    </a:xfrm>
                    <a:prstGeom prst="rect">
                      <a:avLst/>
                    </a:prstGeom>
                  </pic:spPr>
                </pic:pic>
              </a:graphicData>
            </a:graphic>
          </wp:inline>
        </w:drawing>
      </w:r>
    </w:p>
    <w:p w14:paraId="48822A45" w14:textId="30269DF7" w:rsidR="00CB1B40" w:rsidRDefault="005E4EC9" w:rsidP="00CB1B40">
      <w:pPr>
        <w:spacing w:after="0" w:line="240" w:lineRule="auto"/>
        <w:rPr>
          <w:rFonts w:ascii="Verdana" w:eastAsia="Calibri" w:hAnsi="Verdana" w:cs="Arial"/>
          <w:b/>
          <w:bCs/>
          <w:lang w:eastAsia="es-ES_tradnl"/>
        </w:rPr>
      </w:pPr>
      <w:r>
        <w:rPr>
          <w:rFonts w:ascii="Verdana" w:eastAsia="Calibri" w:hAnsi="Verdana" w:cs="Arial"/>
          <w:b/>
          <w:bCs/>
          <w:lang w:eastAsia="es-ES_tradnl"/>
        </w:rPr>
        <w:t xml:space="preserve">Señor </w:t>
      </w:r>
    </w:p>
    <w:p w14:paraId="449C753A" w14:textId="77777777" w:rsidR="00CB1B40" w:rsidRPr="0059493C" w:rsidRDefault="00CB1B40" w:rsidP="00CB1B40">
      <w:pPr>
        <w:spacing w:after="0" w:line="240" w:lineRule="auto"/>
        <w:rPr>
          <w:rFonts w:ascii="Verdana" w:eastAsia="Calibri" w:hAnsi="Verdana" w:cs="Arial"/>
          <w:b/>
          <w:bCs/>
          <w:lang w:eastAsia="es-ES_tradnl"/>
        </w:rPr>
      </w:pPr>
      <w:r w:rsidRPr="0059493C">
        <w:rPr>
          <w:rFonts w:ascii="Verdana" w:eastAsia="Calibri" w:hAnsi="Verdana" w:cs="Arial"/>
          <w:b/>
          <w:bCs/>
          <w:lang w:eastAsia="es-ES_tradnl"/>
        </w:rPr>
        <w:t>JUAN PABLO BUSTOS</w:t>
      </w:r>
    </w:p>
    <w:p w14:paraId="414A1BF2" w14:textId="77777777" w:rsidR="00CB1B40" w:rsidRPr="00D95D35" w:rsidRDefault="00CB1B40" w:rsidP="00CB1B40">
      <w:pPr>
        <w:spacing w:after="0" w:line="240" w:lineRule="auto"/>
        <w:rPr>
          <w:rFonts w:ascii="Verdana" w:eastAsia="Calibri" w:hAnsi="Verdana" w:cs="Arial"/>
          <w:b/>
          <w:bCs/>
          <w:lang w:val="es-ES_tradnl" w:eastAsia="es-ES_tradnl"/>
        </w:rPr>
      </w:pPr>
      <w:r w:rsidRPr="0059493C">
        <w:rPr>
          <w:rFonts w:ascii="Verdana" w:eastAsia="Calibri" w:hAnsi="Verdana" w:cs="Arial"/>
          <w:b/>
          <w:bCs/>
          <w:lang w:eastAsia="es-ES_tradnl"/>
        </w:rPr>
        <w:t>jpbustosj@dane.gov.co</w:t>
      </w:r>
    </w:p>
    <w:p w14:paraId="531EDFA4" w14:textId="77777777" w:rsidR="00CB1B40" w:rsidRPr="00D95D35" w:rsidRDefault="00CB1B40" w:rsidP="00CB1B4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B1B40" w:rsidRPr="00D95D35" w14:paraId="0CA6CFE4" w14:textId="77777777" w:rsidTr="003B193F">
        <w:trPr>
          <w:trHeight w:val="884"/>
        </w:trPr>
        <w:tc>
          <w:tcPr>
            <w:tcW w:w="2689" w:type="dxa"/>
          </w:tcPr>
          <w:p w14:paraId="6276706A" w14:textId="77777777" w:rsidR="00CB1B40" w:rsidRPr="00D95D35" w:rsidRDefault="00CB1B40" w:rsidP="003B193F">
            <w:pPr>
              <w:jc w:val="both"/>
              <w:rPr>
                <w:rFonts w:ascii="Verdana" w:eastAsia="Calibri" w:hAnsi="Verdana" w:cs="Arial"/>
                <w:b/>
                <w:bCs/>
                <w:lang w:val="es-ES_tradnl" w:eastAsia="es-ES_tradnl"/>
              </w:rPr>
            </w:pPr>
          </w:p>
        </w:tc>
        <w:tc>
          <w:tcPr>
            <w:tcW w:w="6100" w:type="dxa"/>
          </w:tcPr>
          <w:p w14:paraId="74C38A8A" w14:textId="77777777" w:rsidR="00CB1B40" w:rsidRPr="00D95D35" w:rsidRDefault="00CB1B40" w:rsidP="003B193F">
            <w:pPr>
              <w:jc w:val="both"/>
              <w:rPr>
                <w:rFonts w:ascii="Verdana" w:eastAsia="Calibri" w:hAnsi="Verdana" w:cs="Arial"/>
                <w:b/>
                <w:bCs/>
                <w:lang w:val="es-ES" w:eastAsia="es-ES"/>
              </w:rPr>
            </w:pPr>
            <w:r w:rsidRPr="00D95D35">
              <w:rPr>
                <w:rFonts w:ascii="Verdana" w:eastAsia="Calibri" w:hAnsi="Verdana" w:cs="Arial"/>
                <w:b/>
                <w:bCs/>
                <w:lang w:val="es-ES" w:eastAsia="es-ES"/>
              </w:rPr>
              <w:t xml:space="preserve">Concepto C – </w:t>
            </w:r>
            <w:r>
              <w:rPr>
                <w:rFonts w:ascii="Verdana" w:eastAsia="Calibri" w:hAnsi="Verdana" w:cs="Arial"/>
                <w:b/>
                <w:bCs/>
                <w:lang w:val="es-ES" w:eastAsia="es-ES"/>
              </w:rPr>
              <w:t>435</w:t>
            </w:r>
            <w:r w:rsidRPr="00D95D35">
              <w:rPr>
                <w:rFonts w:ascii="Verdana" w:eastAsia="Calibri" w:hAnsi="Verdana" w:cs="Arial"/>
                <w:b/>
                <w:bCs/>
                <w:lang w:val="es-ES" w:eastAsia="es-ES"/>
              </w:rPr>
              <w:t xml:space="preserve"> de 2024</w:t>
            </w:r>
          </w:p>
        </w:tc>
      </w:tr>
      <w:tr w:rsidR="00CB1B40" w:rsidRPr="00D95D35" w14:paraId="019105F5" w14:textId="77777777" w:rsidTr="003B193F">
        <w:trPr>
          <w:trHeight w:val="884"/>
        </w:trPr>
        <w:tc>
          <w:tcPr>
            <w:tcW w:w="2689" w:type="dxa"/>
          </w:tcPr>
          <w:p w14:paraId="768205C3" w14:textId="77777777" w:rsidR="00CB1B40" w:rsidRPr="00D95D35" w:rsidRDefault="00CB1B40" w:rsidP="003B193F">
            <w:pPr>
              <w:jc w:val="both"/>
              <w:rPr>
                <w:rFonts w:ascii="Verdana" w:eastAsia="Calibri" w:hAnsi="Verdana" w:cs="Arial"/>
                <w:lang w:val="es-ES_tradnl" w:eastAsia="es-ES_tradnl"/>
              </w:rPr>
            </w:pPr>
            <w:r w:rsidRPr="00D95D35">
              <w:rPr>
                <w:rFonts w:ascii="Verdana" w:eastAsia="Calibri" w:hAnsi="Verdana" w:cs="Arial"/>
                <w:b/>
                <w:lang w:val="es-ES_tradnl" w:eastAsia="es-ES_tradnl"/>
              </w:rPr>
              <w:t>Temas:</w:t>
            </w:r>
            <w:r w:rsidRPr="00D95D35">
              <w:rPr>
                <w:rFonts w:ascii="Verdana" w:eastAsia="Calibri" w:hAnsi="Verdana" w:cs="Arial"/>
                <w:lang w:val="es-ES_tradnl" w:eastAsia="es-ES_tradnl"/>
              </w:rPr>
              <w:t xml:space="preserve">                   </w:t>
            </w:r>
          </w:p>
        </w:tc>
        <w:tc>
          <w:tcPr>
            <w:tcW w:w="6100" w:type="dxa"/>
          </w:tcPr>
          <w:p w14:paraId="752402EC" w14:textId="77777777" w:rsidR="00CB1B40" w:rsidRPr="00BB7952" w:rsidRDefault="00CB1B40" w:rsidP="003B193F">
            <w:pPr>
              <w:spacing w:line="276" w:lineRule="auto"/>
              <w:jc w:val="both"/>
              <w:rPr>
                <w:rFonts w:ascii="Verdana" w:eastAsia="Calibri" w:hAnsi="Verdana" w:cs="Arial"/>
                <w:highlight w:val="yellow"/>
                <w:lang w:val="es-ES" w:eastAsia="es-ES"/>
              </w:rPr>
            </w:pPr>
            <w:r w:rsidRPr="00BB7952">
              <w:rPr>
                <w:rFonts w:ascii="Verdana" w:eastAsia="Arial" w:hAnsi="Verdana" w:cs="Arial"/>
                <w:lang w:val="es-ES"/>
              </w:rPr>
              <w:t xml:space="preserve">PROFESIONAL EN INGENIERÍA – Ejercicio de la ingeniería – Aval </w:t>
            </w:r>
          </w:p>
        </w:tc>
      </w:tr>
      <w:tr w:rsidR="00CB1B40" w:rsidRPr="00D95D35" w14:paraId="0A417805" w14:textId="77777777" w:rsidTr="003B193F">
        <w:tc>
          <w:tcPr>
            <w:tcW w:w="2689" w:type="dxa"/>
          </w:tcPr>
          <w:p w14:paraId="339E42F9" w14:textId="77777777" w:rsidR="00CB1B40" w:rsidRPr="00D95D35" w:rsidRDefault="00CB1B40" w:rsidP="003B193F">
            <w:pPr>
              <w:jc w:val="both"/>
              <w:rPr>
                <w:rFonts w:ascii="Verdana" w:eastAsia="Calibri" w:hAnsi="Verdana" w:cs="Arial"/>
                <w:b/>
                <w:lang w:val="es-ES_tradnl" w:eastAsia="es-ES_tradnl"/>
              </w:rPr>
            </w:pPr>
            <w:r w:rsidRPr="00D95D35">
              <w:rPr>
                <w:rFonts w:ascii="Verdana" w:eastAsia="Calibri" w:hAnsi="Verdana" w:cs="Arial"/>
                <w:b/>
                <w:lang w:val="es-ES_tradnl" w:eastAsia="es-ES_tradnl"/>
              </w:rPr>
              <w:t>Radicación:</w:t>
            </w:r>
            <w:r w:rsidRPr="00D95D35">
              <w:rPr>
                <w:rFonts w:ascii="Verdana" w:eastAsia="Calibri" w:hAnsi="Verdana" w:cs="Arial"/>
                <w:lang w:val="es-ES_tradnl" w:eastAsia="es-ES_tradnl"/>
              </w:rPr>
              <w:t xml:space="preserve">               </w:t>
            </w:r>
          </w:p>
        </w:tc>
        <w:tc>
          <w:tcPr>
            <w:tcW w:w="6100" w:type="dxa"/>
          </w:tcPr>
          <w:p w14:paraId="597C226C" w14:textId="77777777" w:rsidR="00CB1B40" w:rsidRPr="00D95D35" w:rsidRDefault="00CB1B40" w:rsidP="003B193F">
            <w:pPr>
              <w:jc w:val="both"/>
              <w:rPr>
                <w:rFonts w:ascii="Verdana" w:eastAsia="Calibri" w:hAnsi="Verdana" w:cs="Arial"/>
                <w:lang w:val="es-ES_tradnl" w:eastAsia="es-ES_tradnl"/>
              </w:rPr>
            </w:pPr>
            <w:r w:rsidRPr="00D95D35">
              <w:rPr>
                <w:rFonts w:ascii="Verdana" w:eastAsia="Calibri" w:hAnsi="Verdana" w:cs="Arial"/>
                <w:lang w:val="es-ES_tradnl" w:eastAsia="es-ES_tradnl"/>
              </w:rPr>
              <w:t xml:space="preserve">Respuesta a consulta con radicado No. </w:t>
            </w:r>
            <w:r w:rsidRPr="00C10AFB">
              <w:rPr>
                <w:rFonts w:ascii="Verdana" w:eastAsia="Calibri" w:hAnsi="Verdana" w:cs="Arial"/>
                <w:lang w:val="es-ES_tradnl" w:eastAsia="es-ES_tradnl"/>
              </w:rPr>
              <w:t>P20240801007945</w:t>
            </w:r>
            <w:r>
              <w:rPr>
                <w:rFonts w:ascii="Verdana" w:eastAsia="Calibri" w:hAnsi="Verdana" w:cs="Arial"/>
                <w:lang w:val="es-ES_tradnl" w:eastAsia="es-ES_tradnl"/>
              </w:rPr>
              <w:t xml:space="preserve"> </w:t>
            </w:r>
          </w:p>
        </w:tc>
      </w:tr>
    </w:tbl>
    <w:p w14:paraId="0CA60D78" w14:textId="77777777" w:rsidR="00CB1B40" w:rsidRPr="00D95D35" w:rsidRDefault="00CB1B40" w:rsidP="00CB1B40">
      <w:pPr>
        <w:spacing w:after="0" w:line="240" w:lineRule="auto"/>
        <w:jc w:val="both"/>
        <w:rPr>
          <w:rFonts w:ascii="Verdana" w:eastAsia="Calibri" w:hAnsi="Verdana" w:cs="Arial"/>
          <w:lang w:val="es-ES_tradnl" w:eastAsia="es-ES_tradnl"/>
        </w:rPr>
      </w:pPr>
    </w:p>
    <w:p w14:paraId="595F6A2B" w14:textId="77777777" w:rsidR="00CB1B40" w:rsidRPr="00D95D35" w:rsidRDefault="00CB1B40" w:rsidP="00CB1B40">
      <w:pPr>
        <w:spacing w:after="0" w:line="240" w:lineRule="auto"/>
        <w:jc w:val="both"/>
        <w:rPr>
          <w:rFonts w:ascii="Verdana" w:eastAsia="Calibri" w:hAnsi="Verdana" w:cs="Arial"/>
          <w:lang w:val="es-ES_tradnl" w:eastAsia="es-ES_tradnl"/>
        </w:rPr>
      </w:pPr>
    </w:p>
    <w:p w14:paraId="3C78C897" w14:textId="390A7DC1" w:rsidR="00CB1B40" w:rsidRPr="00D95D35" w:rsidRDefault="00CB1B40" w:rsidP="00CB1B40">
      <w:pPr>
        <w:spacing w:after="0" w:line="276" w:lineRule="auto"/>
        <w:jc w:val="both"/>
        <w:rPr>
          <w:rFonts w:ascii="Verdana" w:eastAsia="Calibri" w:hAnsi="Verdana" w:cs="Arial"/>
          <w:lang w:val="es-ES" w:eastAsia="es-ES"/>
        </w:rPr>
      </w:pPr>
      <w:r w:rsidRPr="00D95D35">
        <w:rPr>
          <w:rFonts w:ascii="Verdana" w:eastAsia="Calibri" w:hAnsi="Verdana" w:cs="Arial"/>
          <w:lang w:val="es-ES" w:eastAsia="es-ES"/>
        </w:rPr>
        <w:t>Estima</w:t>
      </w:r>
      <w:r>
        <w:rPr>
          <w:rFonts w:ascii="Verdana" w:eastAsia="Calibri" w:hAnsi="Verdana" w:cs="Arial"/>
          <w:lang w:val="es-ES" w:eastAsia="es-ES"/>
        </w:rPr>
        <w:t>do señor Busto</w:t>
      </w:r>
      <w:r w:rsidR="00022E6E">
        <w:rPr>
          <w:rFonts w:ascii="Verdana" w:eastAsia="Calibri" w:hAnsi="Verdana" w:cs="Arial"/>
          <w:lang w:val="es-ES" w:eastAsia="es-ES"/>
        </w:rPr>
        <w:t>s</w:t>
      </w:r>
      <w:r w:rsidRPr="00D95D35">
        <w:rPr>
          <w:rFonts w:ascii="Verdana" w:eastAsia="Calibri" w:hAnsi="Verdana" w:cs="Arial"/>
          <w:lang w:val="es-ES" w:eastAsia="es-ES"/>
        </w:rPr>
        <w:t xml:space="preserve">: </w:t>
      </w:r>
    </w:p>
    <w:p w14:paraId="00B421F3" w14:textId="77777777" w:rsidR="00CB1B40" w:rsidRPr="00D95D35" w:rsidRDefault="00CB1B40" w:rsidP="00CB1B40">
      <w:pPr>
        <w:tabs>
          <w:tab w:val="left" w:pos="3768"/>
        </w:tabs>
        <w:spacing w:after="0" w:line="276" w:lineRule="auto"/>
        <w:jc w:val="both"/>
        <w:rPr>
          <w:rFonts w:ascii="Verdana" w:eastAsia="Calibri" w:hAnsi="Verdana" w:cs="Arial"/>
          <w:lang w:val="es-ES" w:eastAsia="es-ES"/>
        </w:rPr>
      </w:pPr>
      <w:r w:rsidRPr="00D95D35">
        <w:rPr>
          <w:rFonts w:ascii="Verdana" w:eastAsia="Calibri" w:hAnsi="Verdana" w:cs="Arial"/>
          <w:lang w:val="es-ES" w:eastAsia="es-ES"/>
        </w:rPr>
        <w:tab/>
      </w:r>
    </w:p>
    <w:p w14:paraId="198719A2" w14:textId="77777777" w:rsidR="00CB1B40" w:rsidRPr="00D95D35" w:rsidRDefault="00CB1B40" w:rsidP="00CB1B40">
      <w:pPr>
        <w:spacing w:after="0" w:line="276" w:lineRule="auto"/>
        <w:jc w:val="both"/>
        <w:rPr>
          <w:rFonts w:ascii="Verdana" w:eastAsia="Calibri" w:hAnsi="Verdana" w:cs="Arial"/>
          <w:lang w:val="es-ES" w:eastAsia="es-ES"/>
        </w:rPr>
      </w:pPr>
      <w:r w:rsidRPr="00D95D35">
        <w:rPr>
          <w:rFonts w:ascii="Verdana" w:eastAsia="Calibri" w:hAnsi="Verdana" w:cs="Arial"/>
          <w:lang w:val="es-ES" w:eastAsia="es-ES"/>
        </w:rPr>
        <w:t>En ejercicio de la competencia otorgada por los artículos 3, numeral 5º, y 11, numeral 8º, del Decreto Ley 4170 de 2011,</w:t>
      </w:r>
      <w:r w:rsidRPr="00D95D35">
        <w:rPr>
          <w:rFonts w:ascii="Verdana" w:eastAsia="Arial MT" w:hAnsi="Verdana" w:cs="Arial MT"/>
          <w:lang w:val="es-ES" w:eastAsia="es-ES"/>
        </w:rPr>
        <w:t xml:space="preserve"> </w:t>
      </w:r>
      <w:r w:rsidRPr="00D95D35">
        <w:rPr>
          <w:rFonts w:ascii="Verdana" w:eastAsia="Calibri" w:hAnsi="Verdana" w:cs="Arial"/>
        </w:rPr>
        <w:t xml:space="preserve">así como lo establecido en el artículo 4 de la Resolución 1707 de 2018 expedida por esta Entidad, </w:t>
      </w:r>
      <w:r w:rsidRPr="00D95D35">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8</w:t>
      </w:r>
      <w:r w:rsidRPr="00D95D35">
        <w:rPr>
          <w:rFonts w:ascii="Verdana" w:eastAsia="Calibri" w:hAnsi="Verdana" w:cs="Arial"/>
          <w:lang w:val="es-ES" w:eastAsia="es-ES"/>
        </w:rPr>
        <w:t xml:space="preserve"> de </w:t>
      </w:r>
      <w:r>
        <w:rPr>
          <w:rFonts w:ascii="Verdana" w:eastAsia="Calibri" w:hAnsi="Verdana" w:cs="Arial"/>
          <w:lang w:val="es-ES" w:eastAsia="es-ES"/>
        </w:rPr>
        <w:t>agosto</w:t>
      </w:r>
      <w:r w:rsidRPr="00D95D35">
        <w:rPr>
          <w:rFonts w:ascii="Verdana" w:eastAsia="Calibri" w:hAnsi="Verdana" w:cs="Arial"/>
          <w:lang w:val="es-ES" w:eastAsia="es-ES"/>
        </w:rPr>
        <w:t xml:space="preserve"> de 2024</w:t>
      </w:r>
      <w:r>
        <w:rPr>
          <w:rFonts w:ascii="Verdana" w:eastAsia="Calibri" w:hAnsi="Verdana" w:cs="Arial"/>
          <w:lang w:val="es-ES" w:eastAsia="es-ES"/>
        </w:rPr>
        <w:t xml:space="preserve">. En relación con el artículo 20 de la Ley 842 de 2003 y los documentos tipo de obra pública de infraestructura de transporte, usted </w:t>
      </w:r>
      <w:r w:rsidRPr="00D95D35">
        <w:rPr>
          <w:rFonts w:ascii="Verdana" w:eastAsia="Calibri" w:hAnsi="Verdana" w:cs="Arial"/>
          <w:lang w:val="es-ES" w:eastAsia="es-ES"/>
        </w:rPr>
        <w:t>manifiesta lo siguiente:</w:t>
      </w:r>
    </w:p>
    <w:p w14:paraId="6EEF11B9" w14:textId="77777777" w:rsidR="00CB1B40" w:rsidRPr="00D95D35" w:rsidRDefault="00CB1B40" w:rsidP="00CB1B40">
      <w:pPr>
        <w:tabs>
          <w:tab w:val="left" w:pos="142"/>
          <w:tab w:val="left" w:pos="284"/>
        </w:tabs>
        <w:spacing w:line="276" w:lineRule="auto"/>
        <w:contextualSpacing/>
        <w:jc w:val="both"/>
        <w:rPr>
          <w:rFonts w:ascii="Verdana" w:eastAsia="Century Gothic" w:hAnsi="Verdana" w:cs="Century Gothic"/>
          <w:b/>
          <w:bCs/>
          <w:lang w:val="es-ES"/>
        </w:rPr>
      </w:pPr>
    </w:p>
    <w:p w14:paraId="6487E28C" w14:textId="77777777" w:rsidR="00CB1B40" w:rsidRPr="00D95D35" w:rsidRDefault="00CB1B40" w:rsidP="00CB1B40">
      <w:pPr>
        <w:spacing w:after="0" w:line="240" w:lineRule="auto"/>
        <w:ind w:left="709" w:right="709"/>
        <w:jc w:val="both"/>
        <w:rPr>
          <w:rFonts w:ascii="Verdana" w:eastAsia="Century Gothic" w:hAnsi="Verdana" w:cs="Century Gothic"/>
          <w:sz w:val="21"/>
          <w:szCs w:val="21"/>
          <w:lang w:val="es-ES"/>
        </w:rPr>
      </w:pPr>
      <w:r w:rsidRPr="00D95D35">
        <w:rPr>
          <w:rFonts w:ascii="Verdana" w:eastAsia="Century Gothic" w:hAnsi="Verdana" w:cs="Century Gothic"/>
          <w:sz w:val="21"/>
          <w:szCs w:val="21"/>
          <w:lang w:val="es-ES"/>
        </w:rPr>
        <w:t>“</w:t>
      </w:r>
      <w:r w:rsidRPr="001E5C69">
        <w:rPr>
          <w:rFonts w:ascii="Verdana" w:eastAsia="Century Gothic" w:hAnsi="Verdana" w:cs="Century Gothic"/>
          <w:sz w:val="21"/>
          <w:szCs w:val="21"/>
          <w:lang w:val="es-ES"/>
        </w:rPr>
        <w:t>¿La obligación establecida en el artículo 20 de la Ley 842 de 2003, aplica para todas</w:t>
      </w:r>
      <w:r>
        <w:rPr>
          <w:rFonts w:ascii="Verdana" w:eastAsia="Century Gothic" w:hAnsi="Verdana" w:cs="Century Gothic"/>
          <w:sz w:val="21"/>
          <w:szCs w:val="21"/>
          <w:lang w:val="es-ES"/>
        </w:rPr>
        <w:t xml:space="preserve"> </w:t>
      </w:r>
      <w:r w:rsidRPr="001E5C69">
        <w:rPr>
          <w:rFonts w:ascii="Verdana" w:eastAsia="Century Gothic" w:hAnsi="Verdana" w:cs="Century Gothic"/>
          <w:sz w:val="21"/>
          <w:szCs w:val="21"/>
          <w:lang w:val="es-ES"/>
        </w:rPr>
        <w:t xml:space="preserve">las modalidades de contratación establecidas en el </w:t>
      </w:r>
      <w:r w:rsidRPr="001E5C69">
        <w:rPr>
          <w:rFonts w:ascii="Verdana" w:eastAsia="Century Gothic" w:hAnsi="Verdana" w:cs="Century Gothic"/>
          <w:sz w:val="21"/>
          <w:szCs w:val="21"/>
          <w:lang w:val="es-ES"/>
        </w:rPr>
        <w:lastRenderedPageBreak/>
        <w:t>estatuto general de contratación?</w:t>
      </w:r>
      <w:r>
        <w:rPr>
          <w:rFonts w:ascii="Verdana" w:eastAsia="Century Gothic" w:hAnsi="Verdana" w:cs="Century Gothic"/>
          <w:sz w:val="21"/>
          <w:szCs w:val="21"/>
          <w:lang w:val="es-ES"/>
        </w:rPr>
        <w:t xml:space="preserve"> </w:t>
      </w:r>
      <w:r w:rsidRPr="001E5C69">
        <w:rPr>
          <w:rFonts w:ascii="Verdana" w:eastAsia="Century Gothic" w:hAnsi="Verdana" w:cs="Century Gothic"/>
          <w:sz w:val="21"/>
          <w:szCs w:val="21"/>
          <w:lang w:val="es-ES"/>
        </w:rPr>
        <w:t>¿o si solo aplica para las modalidades de licitación pública y concurso de méritos?</w:t>
      </w:r>
      <w:r w:rsidRPr="006A649A">
        <w:rPr>
          <w:rFonts w:ascii="Verdana" w:eastAsia="Century Gothic" w:hAnsi="Verdana" w:cs="Century Gothic"/>
          <w:sz w:val="21"/>
          <w:szCs w:val="21"/>
          <w:lang w:val="es-ES"/>
        </w:rPr>
        <w:t>”</w:t>
      </w:r>
    </w:p>
    <w:p w14:paraId="4C0B1284" w14:textId="77777777" w:rsidR="00CB1B40" w:rsidRPr="00576223" w:rsidRDefault="00CB1B40" w:rsidP="00CB1B40">
      <w:pPr>
        <w:spacing w:after="0" w:line="240" w:lineRule="auto"/>
        <w:ind w:left="709" w:right="709"/>
        <w:jc w:val="both"/>
        <w:rPr>
          <w:rFonts w:ascii="Verdana" w:eastAsia="Century Gothic" w:hAnsi="Verdana" w:cs="Century Gothic"/>
          <w:lang w:val="es-ES"/>
        </w:rPr>
      </w:pPr>
      <w:r w:rsidRPr="00D95D35">
        <w:rPr>
          <w:rFonts w:ascii="Verdana" w:eastAsia="Century Gothic" w:hAnsi="Verdana" w:cs="Century Gothic"/>
          <w:sz w:val="20"/>
          <w:szCs w:val="20"/>
          <w:lang w:val="es-ES"/>
        </w:rPr>
        <w:t xml:space="preserve">   </w:t>
      </w:r>
    </w:p>
    <w:p w14:paraId="5FD21CE1" w14:textId="77777777" w:rsidR="00CB1B40" w:rsidRPr="00D95D35" w:rsidRDefault="00CB1B40" w:rsidP="00CB1B40">
      <w:pPr>
        <w:spacing w:after="120" w:line="276" w:lineRule="auto"/>
        <w:ind w:firstLine="709"/>
        <w:jc w:val="both"/>
        <w:rPr>
          <w:rFonts w:ascii="Verdana" w:eastAsia="Calibri" w:hAnsi="Verdana" w:cs="Arial"/>
          <w:lang w:val="es-ES_tradnl" w:eastAsia="es-ES_tradnl"/>
        </w:rPr>
      </w:pPr>
      <w:r w:rsidRPr="00D95D3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95D35">
        <w:rPr>
          <w:rFonts w:ascii="Verdana" w:eastAsia="Calibri" w:hAnsi="Verdana" w:cs="Arial"/>
          <w:lang w:val="es-ES_tradnl" w:eastAsia="es-ES_tradnl"/>
        </w:rPr>
        <w:tab/>
      </w:r>
    </w:p>
    <w:p w14:paraId="1AAAD628" w14:textId="77777777" w:rsidR="00CB1B40" w:rsidRPr="00D95D35" w:rsidRDefault="00CB1B40" w:rsidP="00CB1B40">
      <w:pPr>
        <w:spacing w:after="0" w:line="276" w:lineRule="auto"/>
        <w:ind w:firstLine="709"/>
        <w:jc w:val="both"/>
        <w:rPr>
          <w:rFonts w:ascii="Verdana" w:eastAsia="Calibri" w:hAnsi="Verdana" w:cs="Arial"/>
          <w:lang w:val="es-ES" w:eastAsia="es-ES"/>
        </w:rPr>
      </w:pPr>
      <w:r w:rsidRPr="00D95D35">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y que no se refieren a normas de contratación estatal, pero haciendo unas consideraciones sobre las normas generales relacionadas con el problema jurídico de su consulta. </w:t>
      </w:r>
    </w:p>
    <w:p w14:paraId="26E67E05" w14:textId="77777777" w:rsidR="00CB1B40" w:rsidRPr="00D95D35" w:rsidRDefault="00CB1B40" w:rsidP="00CB1B40">
      <w:pPr>
        <w:spacing w:after="0" w:line="276" w:lineRule="auto"/>
        <w:ind w:firstLine="709"/>
        <w:jc w:val="both"/>
        <w:rPr>
          <w:rFonts w:ascii="Verdana" w:eastAsia="Calibri" w:hAnsi="Verdana" w:cs="Arial"/>
          <w:lang w:val="es-ES" w:eastAsia="es-ES"/>
        </w:rPr>
      </w:pPr>
    </w:p>
    <w:p w14:paraId="737D5636" w14:textId="77777777" w:rsidR="00CB1B40" w:rsidRPr="00D95D35" w:rsidRDefault="00CB1B40" w:rsidP="00CB1B40">
      <w:pPr>
        <w:numPr>
          <w:ilvl w:val="0"/>
          <w:numId w:val="1"/>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D95D35">
        <w:rPr>
          <w:rFonts w:ascii="Verdana" w:eastAsia="Century Gothic" w:hAnsi="Verdana" w:cs="Century Gothic"/>
          <w:b/>
          <w:bCs/>
          <w:lang w:val="es-ES"/>
        </w:rPr>
        <w:t>Problema planteado:</w:t>
      </w:r>
    </w:p>
    <w:p w14:paraId="2A615200" w14:textId="77777777" w:rsidR="00CB1B40" w:rsidRPr="00D95D35" w:rsidRDefault="00CB1B40" w:rsidP="00CB1B40">
      <w:pPr>
        <w:tabs>
          <w:tab w:val="left" w:pos="426"/>
        </w:tabs>
        <w:spacing w:after="0" w:line="276" w:lineRule="auto"/>
        <w:jc w:val="both"/>
        <w:rPr>
          <w:rFonts w:ascii="Verdana" w:eastAsia="Century Gothic" w:hAnsi="Verdana" w:cs="Century Gothic"/>
          <w:lang w:val="es-ES"/>
        </w:rPr>
      </w:pPr>
    </w:p>
    <w:p w14:paraId="7293918E" w14:textId="77777777" w:rsidR="00CB1B40" w:rsidRPr="00D95D35" w:rsidRDefault="00CB1B40" w:rsidP="00CB1B40">
      <w:pPr>
        <w:snapToGrid w:val="0"/>
        <w:spacing w:after="0" w:line="276" w:lineRule="auto"/>
        <w:jc w:val="both"/>
        <w:rPr>
          <w:rFonts w:ascii="Verdana" w:eastAsia="Century Gothic" w:hAnsi="Verdana" w:cs="Century Gothic"/>
        </w:rPr>
      </w:pPr>
      <w:r w:rsidRPr="00D95D35">
        <w:rPr>
          <w:rFonts w:ascii="Verdana" w:eastAsia="Century Gothic" w:hAnsi="Verdana" w:cs="Century Gothic"/>
        </w:rPr>
        <w:t xml:space="preserve">De acuerdo con el contenido de su solicitud, esta Agencia resolverá el siguiente problema jurídico: </w:t>
      </w:r>
      <w:r>
        <w:rPr>
          <w:rFonts w:ascii="Verdana" w:eastAsia="Century Gothic" w:hAnsi="Verdana" w:cs="Century Gothic"/>
        </w:rPr>
        <w:t>tratándose d</w:t>
      </w:r>
      <w:r w:rsidRPr="005F6304">
        <w:rPr>
          <w:rFonts w:ascii="Verdana" w:eastAsia="Calibri" w:hAnsi="Verdana" w:cs="Arial"/>
          <w:shd w:val="clear" w:color="auto" w:fill="FFFFFF"/>
          <w:lang w:val="es-ES"/>
        </w:rPr>
        <w:t>el aval y la participación de profesionales de la ingeniería en los procesos de contratación</w:t>
      </w:r>
      <w:r>
        <w:rPr>
          <w:rFonts w:ascii="Verdana" w:eastAsia="Calibri" w:hAnsi="Verdana" w:cs="Arial"/>
          <w:shd w:val="clear" w:color="auto" w:fill="FFFFFF"/>
          <w:lang w:val="es-ES"/>
        </w:rPr>
        <w:t xml:space="preserve">, ¿Para qué modalidades contractuales aplica que </w:t>
      </w:r>
      <w:r w:rsidRPr="001866A5">
        <w:rPr>
          <w:rFonts w:ascii="Verdana" w:eastAsia="Calibri" w:hAnsi="Verdana" w:cs="Arial"/>
          <w:shd w:val="clear" w:color="auto" w:fill="FFFFFF"/>
        </w:rPr>
        <w:t>la adjudicación de contratos cuyo objeto implique el desarrollo de las actividades catalogadas como ejercicio de la ingeniería, deberán estar avalados, por un ingeniero inscrito y con tarjeta de matrícula profesional</w:t>
      </w:r>
      <w:r>
        <w:rPr>
          <w:rFonts w:ascii="Verdana" w:eastAsia="Calibri" w:hAnsi="Verdana" w:cs="Arial"/>
          <w:shd w:val="clear" w:color="auto" w:fill="FFFFFF"/>
          <w:lang w:val="es-ES"/>
        </w:rPr>
        <w:t>?</w:t>
      </w:r>
    </w:p>
    <w:p w14:paraId="2243E056" w14:textId="77777777" w:rsidR="00CB1B40" w:rsidRPr="00D95D35" w:rsidRDefault="00CB1B40" w:rsidP="00CB1B40">
      <w:pPr>
        <w:snapToGrid w:val="0"/>
        <w:spacing w:after="0" w:line="276" w:lineRule="auto"/>
        <w:jc w:val="both"/>
        <w:rPr>
          <w:rFonts w:ascii="Verdana" w:eastAsia="Calibri" w:hAnsi="Verdana" w:cs="Arial"/>
          <w:lang w:val="es-ES"/>
        </w:rPr>
      </w:pPr>
    </w:p>
    <w:p w14:paraId="2101FE83" w14:textId="77777777" w:rsidR="00CB1B40" w:rsidRPr="00D95D35" w:rsidRDefault="00CB1B40" w:rsidP="00CB1B40">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D95D35">
        <w:rPr>
          <w:rFonts w:ascii="Verdana" w:eastAsia="Century Gothic" w:hAnsi="Verdana" w:cs="Century Gothic"/>
          <w:b/>
          <w:bCs/>
          <w:lang w:val="es-ES"/>
        </w:rPr>
        <w:t>Respuesta:</w:t>
      </w:r>
    </w:p>
    <w:p w14:paraId="648DB510" w14:textId="77777777" w:rsidR="00CB1B40" w:rsidRPr="00D95D35" w:rsidRDefault="00CB1B40" w:rsidP="00CB1B40">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B1B40" w:rsidRPr="00D95D35" w14:paraId="549F6248" w14:textId="77777777" w:rsidTr="003B193F">
        <w:tc>
          <w:tcPr>
            <w:tcW w:w="8828" w:type="dxa"/>
            <w:shd w:val="clear" w:color="auto" w:fill="auto"/>
          </w:tcPr>
          <w:p w14:paraId="2B681FF9" w14:textId="77777777" w:rsidR="00CB1B40" w:rsidRPr="00D95D35" w:rsidRDefault="00CB1B40" w:rsidP="003B193F">
            <w:pPr>
              <w:widowControl w:val="0"/>
              <w:autoSpaceDE w:val="0"/>
              <w:autoSpaceDN w:val="0"/>
              <w:spacing w:line="276" w:lineRule="auto"/>
              <w:ind w:right="51"/>
              <w:jc w:val="both"/>
              <w:rPr>
                <w:rFonts w:ascii="Arial" w:eastAsia="Arial" w:hAnsi="Arial" w:cs="Arial"/>
                <w:lang w:val="es-ES"/>
              </w:rPr>
            </w:pPr>
            <w:r>
              <w:rPr>
                <w:rFonts w:ascii="Verdana" w:eastAsia="Arial" w:hAnsi="Verdana" w:cs="Arial"/>
                <w:lang w:val="es-ES"/>
              </w:rPr>
              <w:t>L</w:t>
            </w:r>
            <w:r w:rsidRPr="00C76ECB">
              <w:rPr>
                <w:rFonts w:ascii="Verdana" w:eastAsia="Arial" w:hAnsi="Verdana" w:cs="Arial"/>
                <w:lang w:val="es-ES"/>
              </w:rPr>
              <w:t>a obligatoriedad de presentar las propuestas con el aval de un ingeniero en licitaciones y concursos abiertos en los contratos que impliquen el desarrollo de actividades catalogadas como ejercicio de la ingeniería es objetiva y proporcional en la medida que el aval de un ingeniero únicamente se debe realizar tratándose de procesos de contratación que involucren actividades catalogadas como ejercicio de la ingeniería.</w:t>
            </w:r>
            <w:r>
              <w:rPr>
                <w:rFonts w:ascii="Verdana" w:eastAsia="Arial" w:hAnsi="Verdana" w:cs="Arial"/>
                <w:lang w:val="es-ES"/>
              </w:rPr>
              <w:t xml:space="preserve"> Por otra parte, cabe mencionar que el </w:t>
            </w:r>
            <w:r w:rsidRPr="001E5C69">
              <w:rPr>
                <w:rFonts w:ascii="Verdana" w:eastAsia="Century Gothic" w:hAnsi="Verdana" w:cs="Century Gothic"/>
                <w:sz w:val="21"/>
                <w:szCs w:val="21"/>
                <w:lang w:val="es-ES"/>
              </w:rPr>
              <w:t>artículo 20 de la Ley 842 de 2003</w:t>
            </w:r>
            <w:r>
              <w:rPr>
                <w:rFonts w:ascii="Verdana" w:eastAsia="Century Gothic" w:hAnsi="Verdana" w:cs="Century Gothic"/>
                <w:sz w:val="21"/>
                <w:szCs w:val="21"/>
                <w:lang w:val="es-ES"/>
              </w:rPr>
              <w:t xml:space="preserve">, señala que lo antes indicado aplicará a todas las modalidades de contratación que tengan un proceso competitivo ya que la normativa de manera expresa habla de concursos abiertos y no lo limita a una modalidad de contratación. </w:t>
            </w:r>
          </w:p>
        </w:tc>
      </w:tr>
    </w:tbl>
    <w:p w14:paraId="018A414C" w14:textId="77777777" w:rsidR="00CB1B40" w:rsidRPr="00D95D35" w:rsidRDefault="00CB1B40" w:rsidP="00CB1B40">
      <w:pPr>
        <w:tabs>
          <w:tab w:val="left" w:pos="142"/>
          <w:tab w:val="left" w:pos="284"/>
        </w:tabs>
        <w:snapToGrid w:val="0"/>
        <w:spacing w:after="0" w:line="276" w:lineRule="auto"/>
        <w:jc w:val="both"/>
        <w:rPr>
          <w:rFonts w:ascii="Verdana" w:eastAsia="Century Gothic" w:hAnsi="Verdana" w:cs="Century Gothic"/>
          <w:b/>
          <w:bCs/>
          <w:lang w:val="es-ES"/>
        </w:rPr>
      </w:pPr>
    </w:p>
    <w:p w14:paraId="2FF7AB9F" w14:textId="77777777" w:rsidR="00CB1B40" w:rsidRPr="00D95D35" w:rsidRDefault="00CB1B40" w:rsidP="00CB1B40">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D95D35">
        <w:rPr>
          <w:rFonts w:ascii="Verdana" w:eastAsia="Century Gothic" w:hAnsi="Verdana" w:cs="Century Gothic"/>
          <w:b/>
          <w:bCs/>
          <w:lang w:val="es-ES"/>
        </w:rPr>
        <w:t>Razones de la respuesta:</w:t>
      </w:r>
    </w:p>
    <w:p w14:paraId="4B7FB047" w14:textId="77777777" w:rsidR="00CB1B40" w:rsidRPr="00D95D35" w:rsidRDefault="00CB1B40" w:rsidP="00CB1B40">
      <w:pPr>
        <w:tabs>
          <w:tab w:val="left" w:pos="142"/>
          <w:tab w:val="left" w:pos="284"/>
        </w:tabs>
        <w:snapToGrid w:val="0"/>
        <w:spacing w:after="0" w:line="276" w:lineRule="auto"/>
        <w:ind w:left="357"/>
        <w:jc w:val="both"/>
        <w:rPr>
          <w:rFonts w:ascii="Verdana" w:eastAsia="Century Gothic" w:hAnsi="Verdana" w:cs="Century Gothic"/>
          <w:b/>
          <w:bCs/>
          <w:lang w:val="es-ES"/>
        </w:rPr>
      </w:pPr>
    </w:p>
    <w:p w14:paraId="7C9A7E00" w14:textId="77777777" w:rsidR="00CB1B40" w:rsidRPr="00D95D35" w:rsidRDefault="00CB1B40" w:rsidP="00CB1B40">
      <w:pPr>
        <w:snapToGrid w:val="0"/>
        <w:spacing w:after="0" w:line="276" w:lineRule="auto"/>
        <w:jc w:val="both"/>
        <w:rPr>
          <w:rFonts w:ascii="Verdana" w:eastAsia="Calibri" w:hAnsi="Verdana" w:cs="Arial"/>
          <w:lang w:val="es-ES"/>
        </w:rPr>
      </w:pPr>
      <w:r w:rsidRPr="00D95D35">
        <w:rPr>
          <w:rFonts w:ascii="Verdana" w:eastAsia="Calibri" w:hAnsi="Verdana" w:cs="Arial"/>
          <w:lang w:val="es-ES"/>
        </w:rPr>
        <w:t xml:space="preserve">Lo anterior se sustenta en las siguientes consideraciones: </w:t>
      </w:r>
    </w:p>
    <w:p w14:paraId="4DE0C53A" w14:textId="77777777" w:rsidR="00CB1B40" w:rsidRPr="00D95D35" w:rsidRDefault="00CB1B40" w:rsidP="00CB1B40">
      <w:pPr>
        <w:spacing w:after="0" w:line="276" w:lineRule="auto"/>
        <w:jc w:val="both"/>
        <w:rPr>
          <w:rFonts w:ascii="Verdana" w:eastAsia="Calibri" w:hAnsi="Verdana" w:cs="Arial"/>
          <w:lang w:val="es-ES"/>
        </w:rPr>
      </w:pPr>
    </w:p>
    <w:p w14:paraId="42FB2C65" w14:textId="77777777" w:rsidR="00CB1B40" w:rsidRPr="00A50BD9" w:rsidRDefault="00CB1B40" w:rsidP="00CB1B40">
      <w:pPr>
        <w:pStyle w:val="Prrafodelista"/>
        <w:widowControl w:val="0"/>
        <w:numPr>
          <w:ilvl w:val="0"/>
          <w:numId w:val="4"/>
        </w:numPr>
        <w:autoSpaceDE w:val="0"/>
        <w:autoSpaceDN w:val="0"/>
        <w:spacing w:after="0" w:line="276" w:lineRule="auto"/>
        <w:ind w:right="49"/>
        <w:contextualSpacing w:val="0"/>
        <w:jc w:val="both"/>
        <w:rPr>
          <w:rFonts w:ascii="Verdana" w:eastAsia="Arial" w:hAnsi="Verdana" w:cs="Arial"/>
          <w:lang w:eastAsia="es-ES" w:bidi="es-ES"/>
        </w:rPr>
      </w:pPr>
      <w:r w:rsidRPr="00A50BD9">
        <w:rPr>
          <w:rFonts w:ascii="Verdana" w:eastAsia="Arial" w:hAnsi="Verdana" w:cs="Arial"/>
          <w:lang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38E2EEDE" w14:textId="77777777" w:rsidR="00CB1B40" w:rsidRPr="00A50BD9" w:rsidRDefault="00CB1B40" w:rsidP="00CB1B40">
      <w:pPr>
        <w:widowControl w:val="0"/>
        <w:autoSpaceDE w:val="0"/>
        <w:autoSpaceDN w:val="0"/>
        <w:spacing w:after="0" w:line="276" w:lineRule="auto"/>
        <w:rPr>
          <w:rFonts w:ascii="Verdana" w:eastAsia="Arial" w:hAnsi="Verdana" w:cs="Arial"/>
          <w:lang w:val="es-ES" w:eastAsia="es-ES" w:bidi="es-ES"/>
        </w:rPr>
      </w:pPr>
    </w:p>
    <w:p w14:paraId="74F27BC2" w14:textId="77777777" w:rsidR="00CB1B40" w:rsidRPr="00FD305B" w:rsidRDefault="00CB1B40" w:rsidP="00CB1B40">
      <w:pPr>
        <w:pStyle w:val="Prrafodelista"/>
        <w:widowControl w:val="0"/>
        <w:autoSpaceDE w:val="0"/>
        <w:autoSpaceDN w:val="0"/>
        <w:spacing w:after="0" w:line="240" w:lineRule="auto"/>
        <w:ind w:right="709"/>
        <w:jc w:val="both"/>
        <w:rPr>
          <w:rFonts w:ascii="Verdana" w:eastAsia="Arial" w:hAnsi="Verdana" w:cs="Arial"/>
          <w:sz w:val="21"/>
          <w:szCs w:val="21"/>
          <w:lang w:eastAsia="es-ES" w:bidi="es-ES"/>
        </w:rPr>
      </w:pPr>
      <w:r w:rsidRPr="00FD305B">
        <w:rPr>
          <w:rFonts w:ascii="Verdana" w:eastAsia="Arial" w:hAnsi="Verdana" w:cs="Arial"/>
          <w:sz w:val="21"/>
          <w:szCs w:val="21"/>
          <w:lang w:eastAsia="es-ES" w:bidi="es-ES"/>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1582BBC3" w14:textId="77777777" w:rsidR="00CB1B40" w:rsidRPr="00FD305B" w:rsidRDefault="00CB1B40" w:rsidP="00CB1B40">
      <w:pPr>
        <w:widowControl w:val="0"/>
        <w:autoSpaceDE w:val="0"/>
        <w:autoSpaceDN w:val="0"/>
        <w:spacing w:after="0" w:line="240" w:lineRule="auto"/>
        <w:ind w:left="709" w:right="709"/>
        <w:rPr>
          <w:rFonts w:ascii="Verdana" w:eastAsia="Arial" w:hAnsi="Verdana" w:cs="Arial"/>
          <w:sz w:val="21"/>
          <w:szCs w:val="21"/>
          <w:lang w:val="es-ES" w:eastAsia="es-ES" w:bidi="es-ES"/>
        </w:rPr>
      </w:pPr>
      <w:r w:rsidRPr="00FD305B">
        <w:rPr>
          <w:rFonts w:ascii="Verdana" w:eastAsia="Arial" w:hAnsi="Verdana" w:cs="Arial"/>
          <w:sz w:val="21"/>
          <w:szCs w:val="21"/>
          <w:lang w:val="es-ES" w:eastAsia="es-ES" w:bidi="es-ES"/>
        </w:rPr>
        <w:t>[…]</w:t>
      </w:r>
    </w:p>
    <w:p w14:paraId="5369EC19" w14:textId="77777777" w:rsidR="00CB1B40" w:rsidRPr="00FD305B" w:rsidRDefault="00CB1B40" w:rsidP="00CB1B40">
      <w:pPr>
        <w:widowControl w:val="0"/>
        <w:autoSpaceDE w:val="0"/>
        <w:autoSpaceDN w:val="0"/>
        <w:spacing w:after="0" w:line="240" w:lineRule="auto"/>
        <w:ind w:left="709" w:right="709"/>
        <w:jc w:val="both"/>
        <w:rPr>
          <w:rFonts w:ascii="Verdana" w:eastAsia="Arial" w:hAnsi="Verdana" w:cs="Arial"/>
          <w:sz w:val="21"/>
          <w:szCs w:val="21"/>
          <w:lang w:val="es-ES" w:eastAsia="es-ES" w:bidi="es-ES"/>
        </w:rPr>
      </w:pPr>
      <w:r w:rsidRPr="00FD305B">
        <w:rPr>
          <w:rFonts w:ascii="Verdana" w:eastAsia="Arial" w:hAnsi="Verdana" w:cs="Arial"/>
          <w:sz w:val="21"/>
          <w:szCs w:val="21"/>
          <w:lang w:val="es-ES" w:eastAsia="es-ES" w:bidi="es-ES"/>
        </w:rPr>
        <w:t xml:space="preserve">La exigencia de títulos de idoneidad y tarjetas profesionales, constituye una excepción al principio de libertad e igualdad en materia laboral y, </w:t>
      </w:r>
      <w:r w:rsidRPr="00FD305B">
        <w:rPr>
          <w:rFonts w:ascii="Verdana" w:eastAsia="Arial" w:hAnsi="Verdana" w:cs="Arial"/>
          <w:sz w:val="21"/>
          <w:szCs w:val="21"/>
          <w:lang w:val="es-ES" w:eastAsia="es-ES" w:bidi="es-ES"/>
        </w:rPr>
        <w:lastRenderedPageBreak/>
        <w:t>por lo tanto, es necesario demostrar que la formación intelectual y técnica requerida es un medio idóneo y proporción”</w:t>
      </w:r>
      <w:r w:rsidRPr="00FD305B">
        <w:rPr>
          <w:rFonts w:ascii="Verdana" w:eastAsia="Arial" w:hAnsi="Verdana" w:cs="Arial"/>
          <w:sz w:val="21"/>
          <w:szCs w:val="21"/>
          <w:vertAlign w:val="superscript"/>
          <w:lang w:val="es-ES" w:eastAsia="es-ES" w:bidi="es-ES"/>
        </w:rPr>
        <w:footnoteReference w:id="1"/>
      </w:r>
      <w:r w:rsidRPr="00FD305B">
        <w:rPr>
          <w:rFonts w:ascii="Verdana" w:eastAsia="Arial" w:hAnsi="Verdana" w:cs="Arial"/>
          <w:sz w:val="21"/>
          <w:szCs w:val="21"/>
          <w:lang w:val="es-ES" w:eastAsia="es-ES" w:bidi="es-ES"/>
        </w:rPr>
        <w:t>.</w:t>
      </w:r>
    </w:p>
    <w:p w14:paraId="21936721" w14:textId="77777777" w:rsidR="00CB1B40" w:rsidRPr="00A50BD9" w:rsidRDefault="00CB1B40" w:rsidP="00CB1B40">
      <w:pPr>
        <w:widowControl w:val="0"/>
        <w:autoSpaceDE w:val="0"/>
        <w:autoSpaceDN w:val="0"/>
        <w:spacing w:after="0" w:line="276" w:lineRule="auto"/>
        <w:ind w:right="304"/>
        <w:jc w:val="both"/>
        <w:rPr>
          <w:rFonts w:ascii="Verdana" w:eastAsia="Calibri" w:hAnsi="Verdana" w:cs="Arial"/>
          <w:b/>
          <w:bCs/>
          <w:lang w:val="es-MX"/>
        </w:rPr>
      </w:pPr>
    </w:p>
    <w:p w14:paraId="2EE833FB" w14:textId="77777777" w:rsidR="00CB1B40" w:rsidRPr="00FD305B" w:rsidRDefault="00CB1B40" w:rsidP="00CB1B40">
      <w:pPr>
        <w:pStyle w:val="Prrafodelista"/>
        <w:widowControl w:val="0"/>
        <w:numPr>
          <w:ilvl w:val="0"/>
          <w:numId w:val="4"/>
        </w:numPr>
        <w:autoSpaceDE w:val="0"/>
        <w:autoSpaceDN w:val="0"/>
        <w:spacing w:after="0" w:line="276" w:lineRule="auto"/>
        <w:jc w:val="both"/>
        <w:rPr>
          <w:rFonts w:ascii="Verdana" w:hAnsi="Verdana" w:cs="Arial"/>
          <w:lang w:val="es-MX"/>
        </w:rPr>
      </w:pPr>
      <w:r w:rsidRPr="00FD305B">
        <w:rPr>
          <w:rFonts w:ascii="Verdana" w:eastAsia="Arial" w:hAnsi="Verdana" w:cs="Arial"/>
          <w:lang w:val="es-MX"/>
        </w:rPr>
        <w:t xml:space="preserve">Haciendo uso de la mencionada prerrogativa, el legislador reguló el </w:t>
      </w:r>
      <w:r w:rsidRPr="00FD305B">
        <w:rPr>
          <w:rFonts w:ascii="Verdana" w:eastAsia="Arial" w:hAnsi="Verdana" w:cs="Arial"/>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FD305B">
        <w:rPr>
          <w:rFonts w:ascii="Verdana" w:eastAsia="Arial" w:hAnsi="Verdana" w:cs="Arial"/>
          <w:spacing w:val="8"/>
        </w:rPr>
        <w:t xml:space="preserve"> </w:t>
      </w:r>
      <w:r w:rsidRPr="00FD305B">
        <w:rPr>
          <w:rFonts w:ascii="Verdana" w:eastAsia="Arial" w:hAnsi="Verdana" w:cs="Arial"/>
        </w:rPr>
        <w:t>respectivo,</w:t>
      </w:r>
      <w:r w:rsidRPr="00FD305B">
        <w:rPr>
          <w:rFonts w:ascii="Verdana" w:eastAsia="Arial" w:hAnsi="Verdana" w:cs="Arial"/>
          <w:spacing w:val="8"/>
        </w:rPr>
        <w:t xml:space="preserve"> </w:t>
      </w:r>
      <w:r w:rsidRPr="00FD305B">
        <w:rPr>
          <w:rFonts w:ascii="Verdana" w:eastAsia="Arial" w:hAnsi="Verdana" w:cs="Arial"/>
        </w:rPr>
        <w:t>lo</w:t>
      </w:r>
      <w:r w:rsidRPr="00FD305B">
        <w:rPr>
          <w:rFonts w:ascii="Verdana" w:eastAsia="Arial" w:hAnsi="Verdana" w:cs="Arial"/>
          <w:spacing w:val="9"/>
        </w:rPr>
        <w:t xml:space="preserve"> </w:t>
      </w:r>
      <w:r w:rsidRPr="00FD305B">
        <w:rPr>
          <w:rFonts w:ascii="Verdana" w:eastAsia="Arial" w:hAnsi="Verdana" w:cs="Arial"/>
        </w:rPr>
        <w:t>cual</w:t>
      </w:r>
      <w:r w:rsidRPr="00FD305B">
        <w:rPr>
          <w:rFonts w:ascii="Verdana" w:eastAsia="Arial" w:hAnsi="Verdana" w:cs="Arial"/>
          <w:spacing w:val="8"/>
        </w:rPr>
        <w:t xml:space="preserve"> </w:t>
      </w:r>
      <w:r w:rsidRPr="00FD305B">
        <w:rPr>
          <w:rFonts w:ascii="Verdana" w:eastAsia="Arial" w:hAnsi="Verdana" w:cs="Arial"/>
        </w:rPr>
        <w:t>se</w:t>
      </w:r>
      <w:r w:rsidRPr="00FD305B">
        <w:rPr>
          <w:rFonts w:ascii="Verdana" w:eastAsia="Arial" w:hAnsi="Verdana" w:cs="Arial"/>
          <w:spacing w:val="8"/>
        </w:rPr>
        <w:t xml:space="preserve"> </w:t>
      </w:r>
      <w:r w:rsidRPr="00FD305B">
        <w:rPr>
          <w:rFonts w:ascii="Verdana" w:eastAsia="Arial" w:hAnsi="Verdana" w:cs="Arial"/>
        </w:rPr>
        <w:t>acredita</w:t>
      </w:r>
      <w:r w:rsidRPr="00FD305B">
        <w:rPr>
          <w:rFonts w:ascii="Verdana" w:eastAsia="Arial" w:hAnsi="Verdana" w:cs="Arial"/>
          <w:spacing w:val="6"/>
        </w:rPr>
        <w:t xml:space="preserve"> </w:t>
      </w:r>
      <w:r w:rsidRPr="00FD305B">
        <w:rPr>
          <w:rFonts w:ascii="Verdana" w:eastAsia="Arial" w:hAnsi="Verdana" w:cs="Arial"/>
        </w:rPr>
        <w:t>con</w:t>
      </w:r>
      <w:r w:rsidRPr="00FD305B">
        <w:rPr>
          <w:rFonts w:ascii="Verdana" w:eastAsia="Arial" w:hAnsi="Verdana" w:cs="Arial"/>
          <w:spacing w:val="7"/>
        </w:rPr>
        <w:t xml:space="preserve"> </w:t>
      </w:r>
      <w:r w:rsidRPr="00FD305B">
        <w:rPr>
          <w:rFonts w:ascii="Verdana" w:eastAsia="Arial" w:hAnsi="Verdana" w:cs="Arial"/>
        </w:rPr>
        <w:t>la</w:t>
      </w:r>
      <w:r w:rsidRPr="00FD305B">
        <w:rPr>
          <w:rFonts w:ascii="Verdana" w:eastAsia="Arial" w:hAnsi="Verdana" w:cs="Arial"/>
          <w:spacing w:val="8"/>
        </w:rPr>
        <w:t xml:space="preserve"> </w:t>
      </w:r>
      <w:r w:rsidRPr="00FD305B">
        <w:rPr>
          <w:rFonts w:ascii="Verdana" w:eastAsia="Arial" w:hAnsi="Verdana" w:cs="Arial"/>
        </w:rPr>
        <w:t>tarjeta</w:t>
      </w:r>
      <w:r w:rsidRPr="00FD305B">
        <w:rPr>
          <w:rFonts w:ascii="Verdana" w:eastAsia="Arial" w:hAnsi="Verdana" w:cs="Arial"/>
          <w:spacing w:val="9"/>
        </w:rPr>
        <w:t xml:space="preserve"> </w:t>
      </w:r>
      <w:r w:rsidRPr="00FD305B">
        <w:rPr>
          <w:rFonts w:ascii="Verdana" w:eastAsia="Arial" w:hAnsi="Verdana" w:cs="Arial"/>
        </w:rPr>
        <w:t>o</w:t>
      </w:r>
      <w:r w:rsidRPr="00FD305B">
        <w:rPr>
          <w:rFonts w:ascii="Verdana" w:eastAsia="Arial" w:hAnsi="Verdana" w:cs="Arial"/>
          <w:spacing w:val="7"/>
        </w:rPr>
        <w:t xml:space="preserve"> </w:t>
      </w:r>
      <w:r w:rsidRPr="00FD305B">
        <w:rPr>
          <w:rFonts w:ascii="Verdana" w:eastAsia="Arial" w:hAnsi="Verdana" w:cs="Arial"/>
        </w:rPr>
        <w:t>documento adoptado por este para tal fin.</w:t>
      </w:r>
      <w:r w:rsidRPr="00FD305B">
        <w:rPr>
          <w:rFonts w:ascii="Verdana" w:hAnsi="Verdana" w:cs="Arial"/>
          <w:lang w:val="es-MX"/>
        </w:rPr>
        <w:t xml:space="preserve">  Conforme a esto, el artículo 2 de la Ley 842 de 2003 enlista una serie de actividades que constituyen ejercicio de la ingeniería:</w:t>
      </w:r>
    </w:p>
    <w:p w14:paraId="1D1EF99B" w14:textId="77777777" w:rsidR="00CB1B40" w:rsidRPr="00A50BD9" w:rsidRDefault="00CB1B40" w:rsidP="00CB1B40">
      <w:pPr>
        <w:widowControl w:val="0"/>
        <w:autoSpaceDE w:val="0"/>
        <w:autoSpaceDN w:val="0"/>
        <w:spacing w:after="0" w:line="276" w:lineRule="auto"/>
        <w:ind w:firstLine="708"/>
        <w:jc w:val="both"/>
        <w:rPr>
          <w:rFonts w:ascii="Verdana" w:hAnsi="Verdana" w:cs="Arial"/>
          <w:lang w:val="es-MX"/>
        </w:rPr>
      </w:pPr>
    </w:p>
    <w:p w14:paraId="485A657B"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“Artículo 2o. </w:t>
      </w:r>
      <w:r w:rsidRPr="00FD305B">
        <w:rPr>
          <w:rFonts w:ascii="Verdana" w:hAnsi="Verdana" w:cs="Arial"/>
          <w:i/>
          <w:iCs/>
          <w:sz w:val="21"/>
          <w:szCs w:val="21"/>
          <w:lang w:val="es-MX"/>
        </w:rPr>
        <w:t>Ejercicio de la ingeniería</w:t>
      </w:r>
      <w:r w:rsidRPr="00FD305B">
        <w:rPr>
          <w:rFonts w:ascii="Verdana" w:hAnsi="Verdana" w:cs="Arial"/>
          <w:sz w:val="21"/>
          <w:szCs w:val="21"/>
          <w:lang w:val="es-MX"/>
        </w:rPr>
        <w:t>. Para los efectos de la presente ley, se entiende como ejercicio de la ingeniería, el desempeño de actividades tales como:</w:t>
      </w:r>
    </w:p>
    <w:p w14:paraId="4EF40609" w14:textId="77777777" w:rsidR="00CB1B40" w:rsidRPr="00FD305B" w:rsidRDefault="00CB1B40" w:rsidP="00CB1B40">
      <w:pPr>
        <w:widowControl w:val="0"/>
        <w:autoSpaceDE w:val="0"/>
        <w:autoSpaceDN w:val="0"/>
        <w:spacing w:after="0" w:line="240" w:lineRule="auto"/>
        <w:ind w:left="709" w:right="709"/>
        <w:rPr>
          <w:rFonts w:ascii="Verdana" w:hAnsi="Verdana" w:cs="Arial"/>
          <w:sz w:val="21"/>
          <w:szCs w:val="21"/>
          <w:lang w:val="es-MX"/>
        </w:rPr>
      </w:pPr>
    </w:p>
    <w:p w14:paraId="029865C2"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 </w:t>
      </w:r>
    </w:p>
    <w:p w14:paraId="2B8478D4"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p>
    <w:p w14:paraId="141C1D16"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b) Los estudios, proyectos, diseños y procesos industriales, textiles, electromecánicos, termoeléctricos, energéticos, mecánicos, eléctricos, electrónicos, de computación, de sistemas, </w:t>
      </w:r>
      <w:proofErr w:type="spellStart"/>
      <w:r w:rsidRPr="00FD305B">
        <w:rPr>
          <w:rFonts w:ascii="Verdana" w:hAnsi="Verdana" w:cs="Arial"/>
          <w:sz w:val="21"/>
          <w:szCs w:val="21"/>
          <w:lang w:val="es-MX"/>
        </w:rPr>
        <w:t>teleinformáticos</w:t>
      </w:r>
      <w:proofErr w:type="spellEnd"/>
      <w:r w:rsidRPr="00FD305B">
        <w:rPr>
          <w:rFonts w:ascii="Verdana" w:hAnsi="Verdana" w:cs="Arial"/>
          <w:sz w:val="21"/>
          <w:szCs w:val="21"/>
          <w:lang w:val="es-MX"/>
        </w:rPr>
        <w:t xml:space="preserve">, agroindustriales, agronómicos, agrícolas, agrológicos, de alimentos, agrometeorológicos, ambientales, geofísicos, forestales, químicos, metalúrgicos, mineros, de petróleos, geológicos, geodésicos, geográficos, topográficos e hidrológicos; </w:t>
      </w:r>
    </w:p>
    <w:p w14:paraId="159484B9"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p>
    <w:p w14:paraId="7DB47BBA"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 xml:space="preserve">c) La planeación del transporte aéreo, terrestre y náutico y en general, todo asunto relacionado con la ejecución o desarrollo de las tareas o actividades de las profesiones especificadas en los subgrupos 02 y 03 </w:t>
      </w:r>
      <w:r w:rsidRPr="00FD305B">
        <w:rPr>
          <w:rFonts w:ascii="Verdana" w:hAnsi="Verdana" w:cs="Arial"/>
          <w:sz w:val="21"/>
          <w:szCs w:val="21"/>
          <w:lang w:val="es-MX"/>
        </w:rPr>
        <w:lastRenderedPageBreak/>
        <w:t xml:space="preserve">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 </w:t>
      </w:r>
    </w:p>
    <w:p w14:paraId="0FFB9C90"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p>
    <w:p w14:paraId="42B1FBE1" w14:textId="77777777" w:rsidR="00CB1B40" w:rsidRPr="00FD305B" w:rsidRDefault="00CB1B40" w:rsidP="00CB1B40">
      <w:pPr>
        <w:widowControl w:val="0"/>
        <w:autoSpaceDE w:val="0"/>
        <w:autoSpaceDN w:val="0"/>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 […]”</w:t>
      </w:r>
    </w:p>
    <w:p w14:paraId="4118D016" w14:textId="77777777" w:rsidR="00CB1B40" w:rsidRPr="00A50BD9" w:rsidRDefault="00CB1B40" w:rsidP="00CB1B40">
      <w:pPr>
        <w:widowControl w:val="0"/>
        <w:autoSpaceDE w:val="0"/>
        <w:autoSpaceDN w:val="0"/>
        <w:spacing w:after="0" w:line="276" w:lineRule="auto"/>
        <w:ind w:left="709" w:right="709"/>
        <w:jc w:val="both"/>
        <w:rPr>
          <w:rFonts w:ascii="Verdana" w:hAnsi="Verdana" w:cs="Arial"/>
          <w:lang w:val="es-MX"/>
        </w:rPr>
      </w:pPr>
    </w:p>
    <w:p w14:paraId="6FF3C4AA" w14:textId="77777777" w:rsidR="00CB1B40" w:rsidRPr="00FD305B" w:rsidRDefault="00CB1B40" w:rsidP="00CB1B40">
      <w:pPr>
        <w:pStyle w:val="Prrafodelista"/>
        <w:widowControl w:val="0"/>
        <w:numPr>
          <w:ilvl w:val="0"/>
          <w:numId w:val="4"/>
        </w:numPr>
        <w:autoSpaceDE w:val="0"/>
        <w:autoSpaceDN w:val="0"/>
        <w:spacing w:after="0" w:line="276" w:lineRule="auto"/>
        <w:jc w:val="both"/>
        <w:rPr>
          <w:rFonts w:ascii="Verdana" w:hAnsi="Verdana" w:cs="Arial"/>
          <w:lang w:val="es-MX"/>
        </w:rPr>
      </w:pPr>
      <w:r w:rsidRPr="00FD305B">
        <w:rPr>
          <w:rFonts w:ascii="Verdana" w:hAnsi="Verdana" w:cs="Arial"/>
          <w:lang w:val="es-MX"/>
        </w:rPr>
        <w:t xml:space="preserve">Como se evidencia, la norma transcrita refiere varias actividades relacionadas con diferentes tipos de proyectos e infraestructuras. Se destaca como en el literal a) se hace referencia a objetos contractuales como la consultoría y la interventoría, asociados a diversos tipos de infraestructura de transporte, de lo que se colige que la ejecución de estos, según lo establecido en la ley, constituye ejercicio de la ingeniería. </w:t>
      </w:r>
    </w:p>
    <w:p w14:paraId="75CCA471" w14:textId="77777777" w:rsidR="00CB1B40" w:rsidRDefault="00CB1B40" w:rsidP="00CB1B40">
      <w:pPr>
        <w:widowControl w:val="0"/>
        <w:autoSpaceDE w:val="0"/>
        <w:autoSpaceDN w:val="0"/>
        <w:spacing w:after="0" w:line="276" w:lineRule="auto"/>
        <w:jc w:val="both"/>
        <w:rPr>
          <w:rFonts w:ascii="Verdana" w:eastAsia="Arial" w:hAnsi="Verdana" w:cs="Arial"/>
          <w:lang w:val="es-ES"/>
        </w:rPr>
      </w:pPr>
    </w:p>
    <w:p w14:paraId="46CD7877" w14:textId="77777777" w:rsidR="00CB1B40" w:rsidRPr="00FD305B" w:rsidRDefault="00CB1B40" w:rsidP="00CB1B40">
      <w:pPr>
        <w:pStyle w:val="Prrafodelista"/>
        <w:widowControl w:val="0"/>
        <w:numPr>
          <w:ilvl w:val="0"/>
          <w:numId w:val="4"/>
        </w:numPr>
        <w:autoSpaceDE w:val="0"/>
        <w:autoSpaceDN w:val="0"/>
        <w:spacing w:after="0" w:line="276" w:lineRule="auto"/>
        <w:jc w:val="both"/>
        <w:rPr>
          <w:rFonts w:ascii="Verdana" w:eastAsia="Arial" w:hAnsi="Verdana" w:cs="Arial"/>
        </w:rPr>
      </w:pPr>
      <w:r w:rsidRPr="00FD305B">
        <w:rPr>
          <w:rFonts w:ascii="Verdana" w:eastAsia="Arial" w:hAnsi="Verdana" w:cs="Arial"/>
        </w:rPr>
        <w:t xml:space="preserve">En atención a lo anterior, cobra importancia el estudio </w:t>
      </w:r>
      <w:r>
        <w:rPr>
          <w:rFonts w:ascii="Verdana" w:eastAsia="Arial" w:hAnsi="Verdana" w:cs="Arial"/>
        </w:rPr>
        <w:t xml:space="preserve">de </w:t>
      </w:r>
      <w:r w:rsidRPr="00FD305B">
        <w:rPr>
          <w:rFonts w:ascii="Verdana" w:eastAsia="Arial" w:hAnsi="Verdana" w:cs="Arial"/>
        </w:rPr>
        <w:t>lo contemplado por la referida ley en el capítulo relativo al ejercicio ilegal de la ingeniera,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w:t>
      </w:r>
      <w:r w:rsidRPr="00FD305B">
        <w:rPr>
          <w:rFonts w:ascii="Verdana" w:eastAsia="Arial" w:hAnsi="Verdana" w:cs="Arial"/>
          <w:spacing w:val="-16"/>
        </w:rPr>
        <w:t xml:space="preserve"> </w:t>
      </w:r>
      <w:r w:rsidRPr="00FD305B">
        <w:rPr>
          <w:rFonts w:ascii="Verdana" w:eastAsia="Arial" w:hAnsi="Verdana" w:cs="Arial"/>
        </w:rPr>
        <w:t>ingeniería. Al siguiente tenor reza:</w:t>
      </w:r>
    </w:p>
    <w:p w14:paraId="539338FB" w14:textId="77777777" w:rsidR="00CB1B40" w:rsidRPr="00A50BD9" w:rsidRDefault="00CB1B40" w:rsidP="00CB1B40">
      <w:pPr>
        <w:widowControl w:val="0"/>
        <w:autoSpaceDE w:val="0"/>
        <w:autoSpaceDN w:val="0"/>
        <w:spacing w:after="0" w:line="276" w:lineRule="auto"/>
        <w:ind w:firstLine="709"/>
        <w:jc w:val="both"/>
        <w:rPr>
          <w:rFonts w:ascii="Verdana" w:eastAsia="Arial" w:hAnsi="Verdana" w:cs="Arial"/>
          <w:lang w:val="es-ES"/>
        </w:rPr>
      </w:pPr>
    </w:p>
    <w:p w14:paraId="51FDE786" w14:textId="77777777" w:rsidR="00CB1B40" w:rsidRPr="00FD305B" w:rsidRDefault="00CB1B40" w:rsidP="00CB1B40">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14A7E091" w14:textId="77777777" w:rsidR="00CB1B40" w:rsidRPr="00FD305B" w:rsidRDefault="00CB1B40" w:rsidP="00CB1B40">
      <w:pPr>
        <w:spacing w:after="0" w:line="240" w:lineRule="auto"/>
        <w:ind w:left="709" w:right="709"/>
        <w:jc w:val="both"/>
        <w:rPr>
          <w:rFonts w:ascii="Verdana" w:hAnsi="Verdana" w:cs="Arial"/>
          <w:sz w:val="21"/>
          <w:szCs w:val="21"/>
          <w:lang w:val="es-MX"/>
        </w:rPr>
      </w:pPr>
    </w:p>
    <w:p w14:paraId="075EC8D6" w14:textId="77777777" w:rsidR="00CB1B40" w:rsidRPr="00FD305B" w:rsidRDefault="00CB1B40" w:rsidP="00CB1B40">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w:t>
      </w:r>
      <w:r w:rsidRPr="00FD305B">
        <w:rPr>
          <w:rFonts w:ascii="Verdana" w:hAnsi="Verdana" w:cs="Arial"/>
          <w:spacing w:val="-26"/>
          <w:sz w:val="21"/>
          <w:szCs w:val="21"/>
          <w:lang w:val="es-MX"/>
        </w:rPr>
        <w:t xml:space="preserve"> </w:t>
      </w:r>
      <w:r w:rsidRPr="00FD305B">
        <w:rPr>
          <w:rFonts w:ascii="Verdana" w:hAnsi="Verdana" w:cs="Arial"/>
          <w:sz w:val="21"/>
          <w:szCs w:val="21"/>
          <w:lang w:val="es-MX"/>
        </w:rPr>
        <w:t>vigencia.</w:t>
      </w:r>
    </w:p>
    <w:p w14:paraId="5A4B6905" w14:textId="77777777" w:rsidR="00CB1B40" w:rsidRPr="00FD305B" w:rsidRDefault="00CB1B40" w:rsidP="00CB1B40">
      <w:pPr>
        <w:widowControl w:val="0"/>
        <w:autoSpaceDE w:val="0"/>
        <w:autoSpaceDN w:val="0"/>
        <w:spacing w:after="0" w:line="240" w:lineRule="auto"/>
        <w:ind w:left="709" w:right="709"/>
        <w:rPr>
          <w:rFonts w:ascii="Verdana" w:eastAsia="Arial" w:hAnsi="Verdana" w:cs="Arial"/>
          <w:sz w:val="21"/>
          <w:szCs w:val="21"/>
          <w:lang w:val="es-ES"/>
        </w:rPr>
      </w:pPr>
    </w:p>
    <w:p w14:paraId="1A08D643" w14:textId="77777777" w:rsidR="00CB1B40" w:rsidRPr="00FD305B" w:rsidRDefault="00CB1B40" w:rsidP="00CB1B40">
      <w:pPr>
        <w:spacing w:after="0" w:line="240" w:lineRule="auto"/>
        <w:ind w:left="709" w:right="709"/>
        <w:jc w:val="both"/>
        <w:rPr>
          <w:rFonts w:ascii="Verdana" w:hAnsi="Verdana" w:cs="Arial"/>
          <w:sz w:val="21"/>
          <w:szCs w:val="21"/>
          <w:lang w:val="es-MX"/>
        </w:rPr>
      </w:pPr>
      <w:r w:rsidRPr="00FD305B">
        <w:rPr>
          <w:rFonts w:ascii="Verdana" w:hAnsi="Verdana" w:cs="Arial"/>
          <w:sz w:val="21"/>
          <w:szCs w:val="21"/>
          <w:lang w:val="es-MX"/>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0107BF7" w14:textId="77777777" w:rsidR="00CB1B40" w:rsidRPr="00A50BD9" w:rsidRDefault="00CB1B40" w:rsidP="00CB1B40">
      <w:pPr>
        <w:spacing w:after="0" w:line="276" w:lineRule="auto"/>
        <w:ind w:left="709" w:right="709"/>
        <w:jc w:val="both"/>
        <w:rPr>
          <w:rFonts w:ascii="Verdana" w:hAnsi="Verdana" w:cs="Arial"/>
          <w:lang w:val="es-MX"/>
        </w:rPr>
      </w:pPr>
    </w:p>
    <w:p w14:paraId="73709256" w14:textId="77777777" w:rsidR="00CB1B40" w:rsidRPr="00A41597" w:rsidRDefault="00CB1B40" w:rsidP="00CB1B40">
      <w:pPr>
        <w:pStyle w:val="Prrafodelista"/>
        <w:widowControl w:val="0"/>
        <w:numPr>
          <w:ilvl w:val="0"/>
          <w:numId w:val="5"/>
        </w:numPr>
        <w:autoSpaceDE w:val="0"/>
        <w:autoSpaceDN w:val="0"/>
        <w:spacing w:after="0" w:line="276" w:lineRule="auto"/>
        <w:jc w:val="both"/>
        <w:rPr>
          <w:rFonts w:ascii="Verdana" w:eastAsia="Arial" w:hAnsi="Verdana" w:cs="Arial"/>
        </w:rPr>
      </w:pPr>
      <w:r w:rsidRPr="00A41597">
        <w:rPr>
          <w:rFonts w:ascii="Verdana" w:eastAsia="Arial" w:hAnsi="Verdana" w:cs="Arial"/>
        </w:rPr>
        <w:t>La disposición transcrita fue objeto de estudio por la Corte Constitucional en la sentencia C-191 de 2005. El demandante consideró que dicha norma desconocía la libertad de escoger y ejercer profesión u oficio al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separando a los arquitectos de la ejecución de tales labores.</w:t>
      </w:r>
    </w:p>
    <w:p w14:paraId="40AAE4C1" w14:textId="77777777" w:rsidR="00CB1B40" w:rsidRPr="00A50BD9" w:rsidRDefault="00CB1B40" w:rsidP="00CB1B40">
      <w:pPr>
        <w:widowControl w:val="0"/>
        <w:autoSpaceDE w:val="0"/>
        <w:autoSpaceDN w:val="0"/>
        <w:spacing w:after="0" w:line="276" w:lineRule="auto"/>
        <w:jc w:val="both"/>
        <w:rPr>
          <w:rFonts w:ascii="Verdana" w:eastAsia="Arial" w:hAnsi="Verdana" w:cs="Arial"/>
          <w:lang w:val="es-ES"/>
        </w:rPr>
      </w:pPr>
    </w:p>
    <w:p w14:paraId="77168F29" w14:textId="77777777" w:rsidR="00CB1B40" w:rsidRPr="00A41597" w:rsidRDefault="00CB1B40" w:rsidP="00CB1B40">
      <w:pPr>
        <w:pStyle w:val="Prrafodelista"/>
        <w:widowControl w:val="0"/>
        <w:numPr>
          <w:ilvl w:val="0"/>
          <w:numId w:val="5"/>
        </w:numPr>
        <w:autoSpaceDE w:val="0"/>
        <w:autoSpaceDN w:val="0"/>
        <w:spacing w:after="0" w:line="276" w:lineRule="auto"/>
        <w:jc w:val="both"/>
        <w:rPr>
          <w:rFonts w:ascii="Verdana" w:eastAsia="Arial" w:hAnsi="Verdana" w:cs="Arial"/>
        </w:rPr>
      </w:pPr>
      <w:r w:rsidRPr="00A41597">
        <w:rPr>
          <w:rFonts w:ascii="Verdana" w:eastAsia="Arial" w:hAnsi="Verdana" w:cs="Arial"/>
        </w:rPr>
        <w:t>La Corte Constitucional en su análisis consideró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w:t>
      </w:r>
      <w:r>
        <w:rPr>
          <w:rFonts w:ascii="Verdana" w:eastAsia="Arial" w:hAnsi="Verdana" w:cs="Arial"/>
        </w:rPr>
        <w:t>í</w:t>
      </w:r>
      <w:r w:rsidRPr="00A41597">
        <w:rPr>
          <w:rFonts w:ascii="Verdana" w:eastAsia="Arial" w:hAnsi="Verdana" w:cs="Arial"/>
        </w:rPr>
        <w:t xml:space="preserve">a es objetiva y proporcional, en la medida que el aval de un ingeniero únicamente se debe realizar tratándose de procesos de contratación que </w:t>
      </w:r>
      <w:r w:rsidRPr="00A41597">
        <w:rPr>
          <w:rFonts w:ascii="Verdana" w:eastAsia="Arial" w:hAnsi="Verdana" w:cs="Arial"/>
        </w:rPr>
        <w:lastRenderedPageBreak/>
        <w:t>involucren actividades catalogadas como ejercicio de la ingeniería</w:t>
      </w:r>
      <w:r w:rsidRPr="00A50BD9">
        <w:rPr>
          <w:vertAlign w:val="superscript"/>
        </w:rPr>
        <w:footnoteReference w:id="2"/>
      </w:r>
      <w:r w:rsidRPr="00A41597">
        <w:rPr>
          <w:rFonts w:ascii="Verdana" w:eastAsia="Arial" w:hAnsi="Verdana" w:cs="Arial"/>
        </w:rPr>
        <w:t>.</w:t>
      </w:r>
    </w:p>
    <w:p w14:paraId="377F09F0" w14:textId="77777777" w:rsidR="00CB1B40" w:rsidRDefault="00CB1B40" w:rsidP="00CB1B40">
      <w:pPr>
        <w:widowControl w:val="0"/>
        <w:tabs>
          <w:tab w:val="left" w:pos="2745"/>
        </w:tabs>
        <w:autoSpaceDE w:val="0"/>
        <w:autoSpaceDN w:val="0"/>
        <w:spacing w:after="0" w:line="276" w:lineRule="auto"/>
        <w:jc w:val="both"/>
        <w:rPr>
          <w:rFonts w:ascii="Verdana" w:eastAsia="Arial" w:hAnsi="Verdana" w:cs="Arial"/>
          <w:lang w:val="es-ES"/>
        </w:rPr>
      </w:pPr>
      <w:r>
        <w:rPr>
          <w:rFonts w:ascii="Verdana" w:eastAsia="Arial" w:hAnsi="Verdana" w:cs="Arial"/>
          <w:lang w:val="es-ES"/>
        </w:rPr>
        <w:tab/>
      </w:r>
    </w:p>
    <w:p w14:paraId="1FAD0159" w14:textId="77777777" w:rsidR="00CB1B40" w:rsidRDefault="00CB1B40" w:rsidP="00CB1B40">
      <w:pPr>
        <w:pStyle w:val="Prrafodelista"/>
        <w:widowControl w:val="0"/>
        <w:numPr>
          <w:ilvl w:val="0"/>
          <w:numId w:val="5"/>
        </w:numPr>
        <w:autoSpaceDE w:val="0"/>
        <w:autoSpaceDN w:val="0"/>
        <w:spacing w:after="0" w:line="276" w:lineRule="auto"/>
        <w:jc w:val="both"/>
        <w:rPr>
          <w:rFonts w:ascii="Verdana" w:eastAsia="Arial" w:hAnsi="Verdana" w:cs="Arial"/>
        </w:rPr>
      </w:pPr>
      <w:r w:rsidRPr="00AE4F63">
        <w:rPr>
          <w:rFonts w:ascii="Verdana" w:eastAsia="Arial" w:hAnsi="Verdana" w:cs="Arial"/>
        </w:rPr>
        <w:t>Aunado a lo anterior, el Tribunal Constitucional también señaló que la persona idónea y habilitada legalmente para ejercer la ingeniería, en actividades catalogadas como</w:t>
      </w:r>
      <w:r>
        <w:rPr>
          <w:rFonts w:ascii="Verdana" w:eastAsia="Arial" w:hAnsi="Verdana" w:cs="Arial"/>
        </w:rPr>
        <w:t xml:space="preserve"> </w:t>
      </w:r>
      <w:r w:rsidRPr="00AE4F63">
        <w:rPr>
          <w:rFonts w:ascii="Verdana" w:eastAsia="Arial" w:hAnsi="Verdana" w:cs="Arial"/>
        </w:rPr>
        <w:t>ejercicio de dicha profesión, es la matriculada o inscrita en el Registro Profesional de Ingenieros y que por ende cuenta con un título</w:t>
      </w:r>
      <w:r w:rsidRPr="00AE4F63">
        <w:rPr>
          <w:rFonts w:ascii="Verdana" w:eastAsia="Arial" w:hAnsi="Verdana" w:cs="Arial"/>
          <w:spacing w:val="-3"/>
        </w:rPr>
        <w:t xml:space="preserve"> </w:t>
      </w:r>
      <w:r w:rsidRPr="00AE4F63">
        <w:rPr>
          <w:rFonts w:ascii="Verdana" w:eastAsia="Arial" w:hAnsi="Verdana" w:cs="Arial"/>
        </w:rPr>
        <w:t>profesional</w:t>
      </w:r>
      <w:r w:rsidRPr="00A50BD9">
        <w:rPr>
          <w:vertAlign w:val="superscript"/>
        </w:rPr>
        <w:footnoteReference w:id="3"/>
      </w:r>
      <w:r w:rsidRPr="00AE4F63">
        <w:rPr>
          <w:rFonts w:ascii="Verdana" w:eastAsia="Arial" w:hAnsi="Verdana" w:cs="Arial"/>
        </w:rPr>
        <w:t xml:space="preserve"> y con la idoneidad que no se predica de otras profesiones –como es el caso de la arquitectura–. Esta idoneidad se requiere para la ejecución de ciertas actividades relacionadas particularmente con el ejercicio de la ingeniería, como son los proyectos de obra de infraestructura de transporte, pues su formación es distinta y no existe habilitación legal para el ejercicio de actividades de ingeniería ostentando una profesión</w:t>
      </w:r>
      <w:r w:rsidRPr="00AE4F63">
        <w:rPr>
          <w:rFonts w:ascii="Verdana" w:eastAsia="Arial" w:hAnsi="Verdana" w:cs="Arial"/>
          <w:spacing w:val="-2"/>
        </w:rPr>
        <w:t xml:space="preserve"> </w:t>
      </w:r>
      <w:r w:rsidRPr="00AE4F63">
        <w:rPr>
          <w:rFonts w:ascii="Verdana" w:eastAsia="Arial" w:hAnsi="Verdana" w:cs="Arial"/>
        </w:rPr>
        <w:t>diferente.</w:t>
      </w:r>
    </w:p>
    <w:p w14:paraId="4B197FE9" w14:textId="77777777" w:rsidR="00CB1B40" w:rsidRPr="0049446F" w:rsidRDefault="00CB1B40" w:rsidP="00CB1B40">
      <w:pPr>
        <w:widowControl w:val="0"/>
        <w:autoSpaceDE w:val="0"/>
        <w:autoSpaceDN w:val="0"/>
        <w:spacing w:after="0" w:line="276" w:lineRule="auto"/>
        <w:jc w:val="both"/>
        <w:rPr>
          <w:rFonts w:ascii="Verdana" w:eastAsia="Arial" w:hAnsi="Verdana" w:cs="Arial"/>
          <w:lang w:val="es-ES"/>
        </w:rPr>
      </w:pPr>
    </w:p>
    <w:p w14:paraId="2C4CD98C" w14:textId="77777777" w:rsidR="00CB1B40" w:rsidRPr="0049446F" w:rsidRDefault="00CB1B40" w:rsidP="00CB1B40">
      <w:pPr>
        <w:pStyle w:val="Prrafodelista"/>
        <w:widowControl w:val="0"/>
        <w:numPr>
          <w:ilvl w:val="0"/>
          <w:numId w:val="5"/>
        </w:numPr>
        <w:autoSpaceDE w:val="0"/>
        <w:autoSpaceDN w:val="0"/>
        <w:spacing w:after="0" w:line="276" w:lineRule="auto"/>
        <w:jc w:val="both"/>
        <w:rPr>
          <w:rFonts w:ascii="Verdana" w:eastAsia="Arial" w:hAnsi="Verdana" w:cs="Arial"/>
        </w:rPr>
      </w:pPr>
      <w:r w:rsidRPr="0049446F">
        <w:rPr>
          <w:rFonts w:ascii="Verdana" w:eastAsia="Arial" w:hAnsi="Verdana" w:cs="Arial"/>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 profesión.</w:t>
      </w:r>
    </w:p>
    <w:p w14:paraId="1B42A9C7" w14:textId="77777777" w:rsidR="00CB1B40" w:rsidRDefault="00CB1B40" w:rsidP="00CB1B40">
      <w:pPr>
        <w:spacing w:after="0" w:line="276" w:lineRule="auto"/>
        <w:jc w:val="both"/>
        <w:rPr>
          <w:rFonts w:ascii="Verdana" w:hAnsi="Verdana" w:cs="Arial"/>
          <w:lang w:val="es-ES"/>
        </w:rPr>
      </w:pPr>
    </w:p>
    <w:p w14:paraId="6777E991" w14:textId="77777777" w:rsidR="00CB1B40" w:rsidRPr="00866710" w:rsidRDefault="00CB1B40" w:rsidP="00CB1B40">
      <w:pPr>
        <w:pStyle w:val="Prrafodelista"/>
        <w:numPr>
          <w:ilvl w:val="0"/>
          <w:numId w:val="5"/>
        </w:numPr>
        <w:spacing w:after="0" w:line="276" w:lineRule="auto"/>
        <w:jc w:val="both"/>
        <w:rPr>
          <w:rFonts w:ascii="Verdana" w:hAnsi="Verdana" w:cs="Arial"/>
        </w:rPr>
      </w:pPr>
      <w:r w:rsidRPr="00866710">
        <w:rPr>
          <w:rFonts w:ascii="Verdana" w:hAnsi="Verdana" w:cs="Arial"/>
        </w:rPr>
        <w:t>De igual forma, el Consejo Profesional Nacional de Ingeniería –COPNIA–, de acuerdo con la competencia consagrada en el artículo 26 de la Ley 842 de 2003</w:t>
      </w:r>
      <w:r w:rsidRPr="00A50BD9">
        <w:rPr>
          <w:rStyle w:val="Refdenotaalpie"/>
          <w:rFonts w:ascii="Verdana" w:hAnsi="Verdana" w:cs="Arial"/>
        </w:rPr>
        <w:footnoteReference w:id="4"/>
      </w:r>
      <w:r w:rsidRPr="00866710">
        <w:rPr>
          <w:rFonts w:ascii="Verdana" w:hAnsi="Verdana" w:cs="Arial"/>
        </w:rPr>
        <w:t xml:space="preserve">, ha conceptuado sobre la participación </w:t>
      </w:r>
      <w:r w:rsidRPr="00866710">
        <w:rPr>
          <w:rFonts w:ascii="Verdana" w:hAnsi="Verdana" w:cs="Arial"/>
        </w:rPr>
        <w:lastRenderedPageBreak/>
        <w:t>en procesos de selección relacionados con el ejercicio de actividades de la ingeniería, destacando el riesgo social que podría representar el uso inadecuado de la profesión por personas que no cuenten con la idoneidad para su ejercicio:</w:t>
      </w:r>
    </w:p>
    <w:p w14:paraId="7E485B4E" w14:textId="77777777" w:rsidR="00CB1B40" w:rsidRPr="00A50BD9" w:rsidRDefault="00CB1B40" w:rsidP="00CB1B40">
      <w:pPr>
        <w:spacing w:after="0" w:line="276" w:lineRule="auto"/>
        <w:jc w:val="both"/>
        <w:rPr>
          <w:rFonts w:ascii="Verdana" w:hAnsi="Verdana" w:cs="Arial"/>
          <w:lang w:val="es-MX"/>
        </w:rPr>
      </w:pPr>
    </w:p>
    <w:p w14:paraId="38E3B44D" w14:textId="77777777" w:rsidR="00CB1B40" w:rsidRPr="00CB247B" w:rsidRDefault="00CB1B40" w:rsidP="00CB1B40">
      <w:pPr>
        <w:spacing w:after="0" w:line="240" w:lineRule="auto"/>
        <w:ind w:left="709" w:right="709"/>
        <w:jc w:val="both"/>
        <w:rPr>
          <w:rFonts w:ascii="Verdana" w:hAnsi="Verdana" w:cs="Arial"/>
          <w:sz w:val="21"/>
          <w:szCs w:val="21"/>
          <w:lang w:val="es-MX"/>
        </w:rPr>
      </w:pPr>
      <w:r w:rsidRPr="00CB247B">
        <w:rPr>
          <w:rFonts w:ascii="Verdana" w:hAnsi="Verdana" w:cs="Arial"/>
          <w:sz w:val="21"/>
          <w:szCs w:val="21"/>
          <w:lang w:val="es-MX"/>
        </w:rPr>
        <w:t>“Así, las personas jurídicas, los consorcios y las uniones temporales que presenten una propuesta para participar en un procedimiento administrativo de contratación estatal, cuyo objeto desarrolle actividades de la ingeniería, requieren que un profesional debidamente matriculado avale la oferta, debido a que por su naturaleza jurídica dichos entes no son idóneos académicamente, no pueden obtener la Matrícula Profesional y no pueden ejercer directamente la ingeniería, por lo que es necesario que, por el riesgo social que implica dicho ejercicio, sea el ingeniero debidamente matriculado la persona respecto de la cual se pueda establecer la responsabilidad, en caso de configurarse un indebido ejercicio de la profesión.</w:t>
      </w:r>
    </w:p>
    <w:p w14:paraId="1288B648" w14:textId="77777777" w:rsidR="00CB1B40" w:rsidRPr="00CB247B" w:rsidRDefault="00CB1B40" w:rsidP="00CB1B40">
      <w:pPr>
        <w:spacing w:after="0" w:line="240" w:lineRule="auto"/>
        <w:ind w:left="709" w:right="709"/>
        <w:jc w:val="both"/>
        <w:rPr>
          <w:rFonts w:ascii="Verdana" w:hAnsi="Verdana" w:cs="Arial"/>
          <w:sz w:val="21"/>
          <w:szCs w:val="21"/>
          <w:lang w:val="es-MX"/>
        </w:rPr>
      </w:pPr>
    </w:p>
    <w:p w14:paraId="21C5A680" w14:textId="77777777" w:rsidR="00CB1B40" w:rsidRPr="00CB247B" w:rsidRDefault="00CB1B40" w:rsidP="00CB1B40">
      <w:pPr>
        <w:spacing w:after="0" w:line="240" w:lineRule="auto"/>
        <w:ind w:left="709" w:right="709"/>
        <w:jc w:val="both"/>
        <w:rPr>
          <w:rFonts w:ascii="Verdana" w:hAnsi="Verdana" w:cs="Arial"/>
          <w:sz w:val="21"/>
          <w:szCs w:val="21"/>
          <w:lang w:val="es-MX"/>
        </w:rPr>
      </w:pPr>
      <w:r w:rsidRPr="00CB247B">
        <w:rPr>
          <w:rFonts w:ascii="Verdana" w:hAnsi="Verdana" w:cs="Arial"/>
          <w:sz w:val="21"/>
          <w:szCs w:val="21"/>
          <w:lang w:val="es-MX"/>
        </w:rPr>
        <w:t xml:space="preserve">Permitir que una persona natural no idónea, es decir, sin título profesional y sin Matrícula Profesional ejerza actividades de la ingeniería cuando la Constitución y la ley exigen que sólo personas idóneas y con la respectiva autorización la ejerzan, es vaciar de contenido el sentido y la finalidad de la reglamentación de las profesiones y constituye vulneración a las prohibiciones de i) ejercer profesión reglamentada sin autorización […] o ii) permitir, tolerar o facilitar el ejercicio ilegal de profesión reglamentada […] e incluso podría constituir violación a los principios de la contratación estatal que entre otros implican que la adjudicación y celebración de tales contrato es intuito </w:t>
      </w:r>
      <w:proofErr w:type="spellStart"/>
      <w:r w:rsidRPr="00CB247B">
        <w:rPr>
          <w:rFonts w:ascii="Verdana" w:hAnsi="Verdana" w:cs="Arial"/>
          <w:sz w:val="21"/>
          <w:szCs w:val="21"/>
          <w:lang w:val="es-MX"/>
        </w:rPr>
        <w:t>personae</w:t>
      </w:r>
      <w:proofErr w:type="spellEnd"/>
      <w:r w:rsidRPr="00CB247B">
        <w:rPr>
          <w:rFonts w:ascii="Verdana" w:hAnsi="Verdana" w:cs="Arial"/>
          <w:sz w:val="21"/>
          <w:szCs w:val="21"/>
          <w:lang w:val="es-MX"/>
        </w:rPr>
        <w:t>”</w:t>
      </w:r>
      <w:r w:rsidRPr="00CB247B">
        <w:rPr>
          <w:rFonts w:ascii="Verdana" w:hAnsi="Verdana" w:cs="Arial"/>
          <w:sz w:val="21"/>
          <w:szCs w:val="21"/>
          <w:vertAlign w:val="superscript"/>
          <w:lang w:val="es-ES"/>
        </w:rPr>
        <w:footnoteReference w:id="5"/>
      </w:r>
      <w:r w:rsidRPr="00CB247B">
        <w:rPr>
          <w:rFonts w:ascii="Verdana" w:hAnsi="Verdana" w:cs="Arial"/>
          <w:sz w:val="21"/>
          <w:szCs w:val="21"/>
          <w:lang w:val="es-MX"/>
        </w:rPr>
        <w:t>.</w:t>
      </w:r>
    </w:p>
    <w:p w14:paraId="369134C6" w14:textId="77777777" w:rsidR="00CB1B40" w:rsidRPr="00A50BD9" w:rsidRDefault="00CB1B40" w:rsidP="00CB1B40">
      <w:pPr>
        <w:spacing w:after="0" w:line="276" w:lineRule="auto"/>
        <w:ind w:left="720"/>
        <w:jc w:val="both"/>
        <w:rPr>
          <w:rFonts w:ascii="Verdana" w:hAnsi="Verdana" w:cs="Arial"/>
          <w:lang w:val="es-MX"/>
        </w:rPr>
      </w:pPr>
    </w:p>
    <w:p w14:paraId="7BA25336" w14:textId="77777777" w:rsidR="00CB1B40" w:rsidRDefault="00CB1B40" w:rsidP="00CB1B40">
      <w:pPr>
        <w:pStyle w:val="Prrafodelista"/>
        <w:numPr>
          <w:ilvl w:val="0"/>
          <w:numId w:val="6"/>
        </w:numPr>
        <w:spacing w:after="0" w:line="276" w:lineRule="auto"/>
        <w:jc w:val="both"/>
        <w:rPr>
          <w:rFonts w:ascii="Verdana" w:hAnsi="Verdana" w:cs="Arial"/>
          <w:lang w:val="es-MX"/>
        </w:rPr>
      </w:pPr>
      <w:r w:rsidRPr="00D8633B">
        <w:rPr>
          <w:rFonts w:ascii="Verdana" w:hAnsi="Verdana" w:cs="Arial"/>
          <w:lang w:val="es-MX"/>
        </w:rPr>
        <w:t>En efecto,  dado que las personas jurídicas no pueden y, por tanto, no les es exigible contar con una profesión, la ley previó dicha situación y las habilitó para contar con el apoyo de un profesional que avalara la</w:t>
      </w:r>
      <w:r>
        <w:rPr>
          <w:rFonts w:ascii="Verdana" w:hAnsi="Verdana" w:cs="Arial"/>
          <w:lang w:val="es-MX"/>
        </w:rPr>
        <w:t>s</w:t>
      </w:r>
      <w:r w:rsidRPr="00D8633B">
        <w:rPr>
          <w:rFonts w:ascii="Verdana" w:hAnsi="Verdana" w:cs="Arial"/>
          <w:lang w:val="es-MX"/>
        </w:rPr>
        <w:t xml:space="preserve"> propuestas relacionadas con ingeniería, pues si ello no hubiese ocurrido, a pesar</w:t>
      </w:r>
      <w:r>
        <w:rPr>
          <w:rFonts w:ascii="Verdana" w:hAnsi="Verdana" w:cs="Arial"/>
          <w:lang w:val="es-MX"/>
        </w:rPr>
        <w:t xml:space="preserve"> de</w:t>
      </w:r>
      <w:r w:rsidRPr="00D8633B">
        <w:rPr>
          <w:rFonts w:ascii="Verdana" w:hAnsi="Verdana" w:cs="Arial"/>
          <w:lang w:val="es-MX"/>
        </w:rPr>
        <w:t xml:space="preserve"> que pueden desarrollar y </w:t>
      </w:r>
      <w:r w:rsidRPr="00D8633B">
        <w:rPr>
          <w:rFonts w:ascii="Verdana" w:hAnsi="Verdana" w:cs="Arial"/>
          <w:lang w:val="es-MX"/>
        </w:rPr>
        <w:lastRenderedPageBreak/>
        <w:t xml:space="preserve">desempeñar actividades catalogadas como el ejercicio de la ingeniería por encontrarse en el marco de su objeto social, ante la ausencia de una matrícula o tarjeta profesional no lo podrían hacer. También es importante agregar que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 </w:t>
      </w:r>
    </w:p>
    <w:p w14:paraId="1D5F432B" w14:textId="77777777" w:rsidR="00CB1B40" w:rsidRPr="00D8633B" w:rsidRDefault="00CB1B40" w:rsidP="00CB1B40">
      <w:pPr>
        <w:pStyle w:val="Prrafodelista"/>
        <w:spacing w:after="0" w:line="276" w:lineRule="auto"/>
        <w:jc w:val="both"/>
        <w:rPr>
          <w:rFonts w:ascii="Verdana" w:hAnsi="Verdana" w:cs="Arial"/>
          <w:lang w:val="es-MX"/>
        </w:rPr>
      </w:pPr>
    </w:p>
    <w:p w14:paraId="6AA08888" w14:textId="77777777" w:rsidR="00CB1B40" w:rsidRPr="00F9364E" w:rsidRDefault="00CB1B40" w:rsidP="00CB1B40">
      <w:pPr>
        <w:pStyle w:val="Prrafodelista"/>
        <w:numPr>
          <w:ilvl w:val="0"/>
          <w:numId w:val="6"/>
        </w:numPr>
        <w:spacing w:after="0" w:line="276" w:lineRule="auto"/>
        <w:jc w:val="both"/>
        <w:rPr>
          <w:rFonts w:ascii="Verdana" w:hAnsi="Verdana" w:cs="Arial"/>
          <w:lang w:val="es-MX"/>
        </w:rPr>
      </w:pPr>
      <w:r w:rsidRPr="00F9364E">
        <w:rPr>
          <w:rFonts w:ascii="Verdana" w:hAnsi="Verdana" w:cs="Arial"/>
          <w:lang w:val="es-MX"/>
        </w:rPr>
        <w:t>En el mismo sentido, al analizar lo ordenado en el artículo 20 de la Ley 842 de 2003, haciendo énfasis en la responsabilidad de los profesionales de la ingeniería en los procesos adelantados por las entidades estatales, mediante concepto No</w:t>
      </w:r>
      <w:r>
        <w:rPr>
          <w:rFonts w:ascii="Verdana" w:hAnsi="Verdana" w:cs="Arial"/>
          <w:lang w:val="es-MX"/>
        </w:rPr>
        <w:t>.</w:t>
      </w:r>
      <w:r w:rsidRPr="00F9364E">
        <w:rPr>
          <w:rFonts w:ascii="Verdana" w:hAnsi="Verdana" w:cs="Arial"/>
          <w:lang w:val="es-MX"/>
        </w:rPr>
        <w:t xml:space="preserve"> 64 de 2020, el – COPNIA – señaló:</w:t>
      </w:r>
    </w:p>
    <w:p w14:paraId="2BA2C74A" w14:textId="77777777" w:rsidR="00CB1B40" w:rsidRPr="00A50BD9" w:rsidRDefault="00CB1B40" w:rsidP="00CB1B40">
      <w:pPr>
        <w:spacing w:after="0" w:line="276" w:lineRule="auto"/>
        <w:ind w:firstLine="709"/>
        <w:jc w:val="both"/>
        <w:rPr>
          <w:rFonts w:ascii="Verdana" w:hAnsi="Verdana" w:cs="Arial"/>
          <w:lang w:val="es-MX"/>
        </w:rPr>
      </w:pPr>
    </w:p>
    <w:p w14:paraId="1EC41B5B" w14:textId="77777777" w:rsidR="00CB1B40" w:rsidRPr="00004D43" w:rsidRDefault="00CB1B40" w:rsidP="00CB1B40">
      <w:pPr>
        <w:spacing w:after="0" w:line="240" w:lineRule="auto"/>
        <w:ind w:left="709" w:right="709"/>
        <w:jc w:val="both"/>
        <w:rPr>
          <w:rFonts w:ascii="Verdana" w:hAnsi="Verdana" w:cs="Arial"/>
          <w:sz w:val="21"/>
          <w:szCs w:val="21"/>
          <w:lang w:val="es-MX"/>
        </w:rPr>
      </w:pPr>
      <w:r w:rsidRPr="00004D43">
        <w:rPr>
          <w:rFonts w:ascii="Verdana" w:hAnsi="Verdana" w:cs="Arial"/>
          <w:sz w:val="21"/>
          <w:szCs w:val="21"/>
          <w:lang w:val="es-MX"/>
        </w:rPr>
        <w:t xml:space="preserve">“Del tenor de la disposición trascrita, se desprende que todas las personas jurídicas cuyo objeto comprenda el desempeño de actividades catalogadas como ejercicio de la ingeniería, si presentan propuestas en procesos de licitación o concursos ante el Estado para desarrollar dichas tareas, como es el caso de las obras públicas, debe entonces contar con el aval de un ingeniero civil debidamente matriculado ante el </w:t>
      </w:r>
      <w:proofErr w:type="spellStart"/>
      <w:r w:rsidRPr="00004D43">
        <w:rPr>
          <w:rFonts w:ascii="Verdana" w:hAnsi="Verdana" w:cs="Arial"/>
          <w:sz w:val="21"/>
          <w:szCs w:val="21"/>
          <w:lang w:val="es-MX"/>
        </w:rPr>
        <w:t>Copnia</w:t>
      </w:r>
      <w:proofErr w:type="spellEnd"/>
      <w:r w:rsidRPr="00004D43">
        <w:rPr>
          <w:rFonts w:ascii="Verdana" w:hAnsi="Verdana" w:cs="Arial"/>
          <w:sz w:val="21"/>
          <w:szCs w:val="21"/>
          <w:lang w:val="es-MX"/>
        </w:rPr>
        <w:t>, independientemente de la cuantía o modalidad de contratación, dado que la norma no hace distinción alguna en ese aspecto, esto en aras de que dicho profesional asuma la responsabilidad deontológica por el adecuado ejercicio de la ingeniería, sobre la propuesta que refrenda con su firma, y verifique, controle y direccione las actividades ingenieriles que refrenda en caso de ser adjudicado, y asuma como consecuencia la responsabilidad ético profesional por el inadecuado ejercicio de la profesión, deber que no puede ser soslayado, so pena de exponerse de igual modo a la sociedad al riesgo que implica la ejecución de estas actividades.”</w:t>
      </w:r>
    </w:p>
    <w:p w14:paraId="645A31BF" w14:textId="77777777" w:rsidR="00CB1B40" w:rsidRPr="00A50BD9" w:rsidRDefault="00CB1B40" w:rsidP="00CB1B40">
      <w:pPr>
        <w:widowControl w:val="0"/>
        <w:autoSpaceDE w:val="0"/>
        <w:autoSpaceDN w:val="0"/>
        <w:spacing w:after="0" w:line="276" w:lineRule="auto"/>
        <w:ind w:right="448"/>
        <w:jc w:val="both"/>
        <w:rPr>
          <w:rFonts w:ascii="Verdana" w:eastAsia="Arial" w:hAnsi="Verdana" w:cs="Arial"/>
          <w:color w:val="000000" w:themeColor="text1"/>
          <w:lang w:val="es-MX"/>
        </w:rPr>
      </w:pPr>
    </w:p>
    <w:p w14:paraId="7333555C" w14:textId="77777777" w:rsidR="00CB1B40" w:rsidRPr="00004D43" w:rsidRDefault="00CB1B40" w:rsidP="00CB1B40">
      <w:pPr>
        <w:pStyle w:val="Prrafodelista"/>
        <w:widowControl w:val="0"/>
        <w:numPr>
          <w:ilvl w:val="0"/>
          <w:numId w:val="7"/>
        </w:numPr>
        <w:autoSpaceDE w:val="0"/>
        <w:autoSpaceDN w:val="0"/>
        <w:spacing w:after="0" w:line="276" w:lineRule="auto"/>
        <w:jc w:val="both"/>
        <w:rPr>
          <w:rFonts w:ascii="Verdana" w:eastAsia="Arial" w:hAnsi="Verdana" w:cs="Arial"/>
          <w:color w:val="000000" w:themeColor="text1"/>
        </w:rPr>
      </w:pPr>
      <w:r w:rsidRPr="00004D43">
        <w:rPr>
          <w:rFonts w:ascii="Verdana" w:eastAsia="Arial" w:hAnsi="Verdana" w:cs="Arial"/>
          <w:color w:val="000000" w:themeColor="text1"/>
        </w:rPr>
        <w:t xml:space="preserve">De acuerdo con lo expuesto, en concordancia con el Consejo Profesional Nacional de Ingeniería –COPNIA–, la persona natural que presente propuesta en un proceso de contratación desarrollado en virtud de los documentos tipo de obra de infraestructura de </w:t>
      </w:r>
      <w:r w:rsidRPr="00004D43">
        <w:rPr>
          <w:rFonts w:ascii="Verdana" w:eastAsia="Arial" w:hAnsi="Verdana" w:cs="Arial"/>
          <w:color w:val="000000" w:themeColor="text1"/>
        </w:rPr>
        <w:lastRenderedPageBreak/>
        <w:t>transporte deberá acreditar título profesional en ingeniería de la rama correspondiente a la ejecución del objeto a contratar, sin que sea posible que ante la ausencia de dicho título participe con el aval de un ingeniero. En efecto, de acuerdo con los apartes citados, dicho aval por parte de un ingeniero solo es posible realizarlo en favor de una persona jurídica o un proponente plural, por lo que, tratándose de personas naturales, ellas directamente deberán ser ingenieros.</w:t>
      </w:r>
    </w:p>
    <w:p w14:paraId="135E969F" w14:textId="77777777" w:rsidR="00CB1B40" w:rsidRDefault="00CB1B40" w:rsidP="00CB1B40">
      <w:pPr>
        <w:widowControl w:val="0"/>
        <w:tabs>
          <w:tab w:val="left" w:pos="1680"/>
        </w:tabs>
        <w:autoSpaceDE w:val="0"/>
        <w:autoSpaceDN w:val="0"/>
        <w:spacing w:after="0" w:line="276" w:lineRule="auto"/>
        <w:jc w:val="both"/>
        <w:rPr>
          <w:rFonts w:ascii="Verdana" w:eastAsia="Arial" w:hAnsi="Verdana" w:cs="Arial"/>
          <w:color w:val="000000" w:themeColor="text1"/>
          <w:lang w:val="es-ES"/>
        </w:rPr>
      </w:pPr>
      <w:r>
        <w:rPr>
          <w:rFonts w:ascii="Verdana" w:eastAsia="Arial" w:hAnsi="Verdana" w:cs="Arial"/>
          <w:color w:val="000000" w:themeColor="text1"/>
          <w:lang w:val="es-ES"/>
        </w:rPr>
        <w:tab/>
      </w:r>
    </w:p>
    <w:p w14:paraId="2EC51054" w14:textId="77777777" w:rsidR="00CB1B40" w:rsidRPr="00C24BD8" w:rsidRDefault="00CB1B40" w:rsidP="00CB1B40">
      <w:pPr>
        <w:pStyle w:val="Prrafodelista"/>
        <w:widowControl w:val="0"/>
        <w:numPr>
          <w:ilvl w:val="0"/>
          <w:numId w:val="7"/>
        </w:numPr>
        <w:autoSpaceDE w:val="0"/>
        <w:autoSpaceDN w:val="0"/>
        <w:spacing w:after="0" w:line="276" w:lineRule="auto"/>
        <w:jc w:val="both"/>
        <w:rPr>
          <w:rFonts w:ascii="Verdana" w:eastAsia="Arial" w:hAnsi="Verdana" w:cs="Arial"/>
          <w:color w:val="000000" w:themeColor="text1"/>
        </w:rPr>
      </w:pPr>
      <w:r w:rsidRPr="00C24BD8">
        <w:rPr>
          <w:rFonts w:ascii="Verdana" w:eastAsia="Arial" w:hAnsi="Verdana" w:cs="Arial"/>
          <w:color w:val="000000" w:themeColor="text1"/>
        </w:rPr>
        <w:t>Sin perjuicio de lo anterior,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como es el caso de los arquitectos, la entidad estatal deberá permitir que dicha persona natural se presente como proponente, toda vez que restringir actividades que pueden ser realizadas por diferentes profesionales a uno específico atentaría contra la libertad de escoger y ejercer profesión u oficio</w:t>
      </w:r>
      <w:r w:rsidRPr="00A50BD9">
        <w:rPr>
          <w:vertAlign w:val="superscript"/>
        </w:rPr>
        <w:footnoteReference w:id="6"/>
      </w:r>
      <w:r w:rsidRPr="00C24BD8">
        <w:rPr>
          <w:rFonts w:ascii="Verdana" w:eastAsia="Arial" w:hAnsi="Verdana" w:cs="Arial"/>
          <w:color w:val="000000" w:themeColor="text1"/>
        </w:rPr>
        <w:t>.</w:t>
      </w:r>
      <w:bookmarkStart w:id="2" w:name="_Hlk83884845"/>
    </w:p>
    <w:p w14:paraId="591033B1" w14:textId="77777777" w:rsidR="00CB1B40" w:rsidRPr="00A50BD9" w:rsidRDefault="00CB1B40" w:rsidP="00CB1B40">
      <w:pPr>
        <w:widowControl w:val="0"/>
        <w:autoSpaceDE w:val="0"/>
        <w:autoSpaceDN w:val="0"/>
        <w:spacing w:after="0" w:line="276" w:lineRule="auto"/>
        <w:rPr>
          <w:rFonts w:ascii="Verdana" w:eastAsia="Arial" w:hAnsi="Verdana" w:cs="Arial"/>
          <w:color w:val="000000" w:themeColor="text1"/>
          <w:lang w:val="es-ES"/>
        </w:rPr>
      </w:pPr>
    </w:p>
    <w:bookmarkEnd w:id="2"/>
    <w:p w14:paraId="5D9BEA96" w14:textId="77777777" w:rsidR="00CB1B40" w:rsidRPr="00D95D35" w:rsidRDefault="00CB1B40" w:rsidP="00CB1B40">
      <w:pPr>
        <w:numPr>
          <w:ilvl w:val="0"/>
          <w:numId w:val="1"/>
        </w:numPr>
        <w:tabs>
          <w:tab w:val="left" w:pos="142"/>
          <w:tab w:val="left" w:pos="284"/>
        </w:tabs>
        <w:spacing w:after="0" w:line="276" w:lineRule="auto"/>
        <w:ind w:left="357" w:hanging="357"/>
        <w:jc w:val="both"/>
        <w:rPr>
          <w:rFonts w:ascii="Verdana" w:eastAsia="Century Gothic" w:hAnsi="Verdana" w:cs="Century Gothic"/>
          <w:b/>
          <w:bCs/>
          <w:lang w:val="es-ES"/>
        </w:rPr>
      </w:pPr>
      <w:r w:rsidRPr="00D95D35">
        <w:rPr>
          <w:rFonts w:ascii="Verdana" w:eastAsia="Century Gothic" w:hAnsi="Verdana" w:cs="Century Gothic"/>
          <w:b/>
          <w:bCs/>
          <w:lang w:val="es-ES"/>
        </w:rPr>
        <w:t>Referencias normativas, jurisprudenciales y otras fuentes:</w:t>
      </w:r>
    </w:p>
    <w:p w14:paraId="41835BCD" w14:textId="77777777" w:rsidR="00CB1B40" w:rsidRPr="00D95D35" w:rsidRDefault="00CB1B40" w:rsidP="00CB1B40">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B1B40" w:rsidRPr="00D95D35" w14:paraId="5F4861DD" w14:textId="77777777" w:rsidTr="003B193F">
        <w:trPr>
          <w:trHeight w:val="870"/>
        </w:trPr>
        <w:tc>
          <w:tcPr>
            <w:tcW w:w="8647" w:type="dxa"/>
          </w:tcPr>
          <w:p w14:paraId="6765A31C" w14:textId="77777777" w:rsidR="00CB1B40" w:rsidRDefault="00CB1B40" w:rsidP="00CB1B40">
            <w:pPr>
              <w:widowControl w:val="0"/>
              <w:numPr>
                <w:ilvl w:val="0"/>
                <w:numId w:val="2"/>
              </w:numPr>
              <w:autoSpaceDE w:val="0"/>
              <w:autoSpaceDN w:val="0"/>
              <w:spacing w:after="120" w:line="276" w:lineRule="auto"/>
              <w:jc w:val="both"/>
              <w:rPr>
                <w:rFonts w:ascii="Verdana" w:eastAsia="Calibri" w:hAnsi="Verdana" w:cs="Arial"/>
              </w:rPr>
            </w:pPr>
            <w:r>
              <w:rPr>
                <w:rFonts w:ascii="Verdana" w:eastAsia="Calibri" w:hAnsi="Verdana" w:cs="Arial"/>
              </w:rPr>
              <w:t>Constitución Política, artículo 26.</w:t>
            </w:r>
          </w:p>
          <w:p w14:paraId="412F48A1" w14:textId="77777777" w:rsidR="00CB1B40" w:rsidRDefault="00CB1B40" w:rsidP="00CB1B40">
            <w:pPr>
              <w:widowControl w:val="0"/>
              <w:numPr>
                <w:ilvl w:val="0"/>
                <w:numId w:val="2"/>
              </w:numPr>
              <w:autoSpaceDE w:val="0"/>
              <w:autoSpaceDN w:val="0"/>
              <w:spacing w:after="120" w:line="276" w:lineRule="auto"/>
              <w:jc w:val="both"/>
              <w:rPr>
                <w:rFonts w:ascii="Verdana" w:eastAsia="Calibri" w:hAnsi="Verdana" w:cs="Arial"/>
              </w:rPr>
            </w:pPr>
            <w:r w:rsidRPr="00530B60">
              <w:rPr>
                <w:rFonts w:ascii="Verdana" w:eastAsia="Calibri" w:hAnsi="Verdana" w:cs="Arial"/>
              </w:rPr>
              <w:t>Ley 842 de 2003, artículos 2, 6 y 20.</w:t>
            </w:r>
          </w:p>
          <w:p w14:paraId="4E023210" w14:textId="77777777" w:rsidR="00CB1B40" w:rsidRPr="00530B60" w:rsidRDefault="00CB1B40" w:rsidP="00CB1B40">
            <w:pPr>
              <w:widowControl w:val="0"/>
              <w:numPr>
                <w:ilvl w:val="0"/>
                <w:numId w:val="2"/>
              </w:numPr>
              <w:autoSpaceDE w:val="0"/>
              <w:autoSpaceDN w:val="0"/>
              <w:spacing w:after="120" w:line="276" w:lineRule="auto"/>
              <w:jc w:val="both"/>
              <w:rPr>
                <w:rFonts w:ascii="Verdana" w:eastAsia="Calibri" w:hAnsi="Verdana" w:cs="Arial"/>
              </w:rPr>
            </w:pPr>
            <w:r w:rsidRPr="00530B60">
              <w:rPr>
                <w:rFonts w:ascii="Verdana" w:eastAsia="Calibri" w:hAnsi="Verdana" w:cs="Arial"/>
              </w:rPr>
              <w:t>Corte Constitucional, sentencia C-697 de 2000, M.P. Eduardo Cifuentes Muñoz.</w:t>
            </w:r>
          </w:p>
          <w:p w14:paraId="45476707" w14:textId="77777777" w:rsidR="00CB1B40" w:rsidRPr="00F914EB" w:rsidRDefault="00CB1B40" w:rsidP="00CB1B40">
            <w:pPr>
              <w:widowControl w:val="0"/>
              <w:numPr>
                <w:ilvl w:val="0"/>
                <w:numId w:val="2"/>
              </w:numPr>
              <w:autoSpaceDE w:val="0"/>
              <w:autoSpaceDN w:val="0"/>
              <w:spacing w:after="120" w:line="276" w:lineRule="auto"/>
              <w:jc w:val="both"/>
              <w:rPr>
                <w:rFonts w:ascii="Verdana" w:eastAsia="Calibri" w:hAnsi="Verdana" w:cs="Arial"/>
              </w:rPr>
            </w:pPr>
            <w:r>
              <w:rPr>
                <w:rFonts w:ascii="Verdana" w:eastAsia="Calibri" w:hAnsi="Verdana" w:cs="Arial"/>
              </w:rPr>
              <w:t xml:space="preserve">Corte Constitucional, sentencia C-191 de 2005, M.P. Manuel José Cepeda Espinosa. </w:t>
            </w:r>
          </w:p>
        </w:tc>
      </w:tr>
    </w:tbl>
    <w:p w14:paraId="76DF51D2" w14:textId="77777777" w:rsidR="00CB1B40" w:rsidRPr="00D95D35" w:rsidRDefault="00CB1B40" w:rsidP="00CB1B40">
      <w:pPr>
        <w:widowControl w:val="0"/>
        <w:autoSpaceDE w:val="0"/>
        <w:autoSpaceDN w:val="0"/>
        <w:spacing w:after="0" w:line="276" w:lineRule="auto"/>
        <w:jc w:val="both"/>
        <w:rPr>
          <w:rFonts w:ascii="Verdana" w:eastAsia="Calibri" w:hAnsi="Verdana" w:cs="Arial"/>
        </w:rPr>
      </w:pPr>
    </w:p>
    <w:p w14:paraId="7052CCC3" w14:textId="77777777" w:rsidR="00CB1B40" w:rsidRPr="00D95D35" w:rsidRDefault="00CB1B40" w:rsidP="00CB1B40">
      <w:pPr>
        <w:numPr>
          <w:ilvl w:val="0"/>
          <w:numId w:val="1"/>
        </w:numPr>
        <w:tabs>
          <w:tab w:val="left" w:pos="142"/>
          <w:tab w:val="left" w:pos="284"/>
        </w:tabs>
        <w:spacing w:after="0" w:line="276" w:lineRule="auto"/>
        <w:ind w:left="357" w:hanging="357"/>
        <w:jc w:val="both"/>
        <w:rPr>
          <w:rFonts w:ascii="Verdana" w:eastAsia="Century Gothic" w:hAnsi="Verdana" w:cs="Century Gothic"/>
          <w:b/>
          <w:bCs/>
          <w:lang w:val="es-ES"/>
        </w:rPr>
      </w:pPr>
      <w:r w:rsidRPr="00D95D35">
        <w:rPr>
          <w:rFonts w:ascii="Verdana" w:eastAsia="Century Gothic" w:hAnsi="Verdana" w:cs="Century Gothic"/>
          <w:b/>
          <w:bCs/>
          <w:lang w:val="es-ES"/>
        </w:rPr>
        <w:t>Doctrina de la Agencia Nacional de Contratación Pública:</w:t>
      </w:r>
    </w:p>
    <w:p w14:paraId="33864F33" w14:textId="77777777" w:rsidR="00CB1B40" w:rsidRPr="00D95D35" w:rsidRDefault="00CB1B40" w:rsidP="00CB1B40">
      <w:pPr>
        <w:widowControl w:val="0"/>
        <w:autoSpaceDE w:val="0"/>
        <w:autoSpaceDN w:val="0"/>
        <w:spacing w:after="0" w:line="276" w:lineRule="auto"/>
        <w:jc w:val="both"/>
        <w:rPr>
          <w:rFonts w:ascii="Verdana" w:eastAsia="Calibri" w:hAnsi="Verdana" w:cs="Arial"/>
        </w:rPr>
      </w:pPr>
    </w:p>
    <w:p w14:paraId="429922D5" w14:textId="77777777" w:rsidR="00CB1B40" w:rsidRPr="00D95D35" w:rsidRDefault="00CB1B40" w:rsidP="00CB1B40">
      <w:pPr>
        <w:widowControl w:val="0"/>
        <w:autoSpaceDE w:val="0"/>
        <w:autoSpaceDN w:val="0"/>
        <w:spacing w:after="0" w:line="276" w:lineRule="auto"/>
        <w:jc w:val="both"/>
        <w:rPr>
          <w:rFonts w:ascii="Verdana" w:eastAsia="Calibri" w:hAnsi="Verdana" w:cs="Arial"/>
          <w:shd w:val="clear" w:color="auto" w:fill="FFFFFF"/>
          <w:lang w:val="es-ES"/>
        </w:rPr>
      </w:pPr>
      <w:r w:rsidRPr="00D95D35">
        <w:rPr>
          <w:rFonts w:ascii="Verdana" w:eastAsia="Calibri" w:hAnsi="Verdana" w:cs="Arial"/>
          <w:shd w:val="clear" w:color="auto" w:fill="FFFFFF"/>
          <w:lang w:val="es-ES"/>
        </w:rPr>
        <w:t>La Agencia Nacional de Contratación Pública – Colombia Compra Eficiente</w:t>
      </w:r>
      <w:r>
        <w:rPr>
          <w:rFonts w:ascii="Verdana" w:eastAsia="Calibri" w:hAnsi="Verdana" w:cs="Arial"/>
          <w:shd w:val="clear" w:color="auto" w:fill="FFFFFF"/>
          <w:lang w:val="es-ES"/>
        </w:rPr>
        <w:t xml:space="preserve"> se ha pronunciado </w:t>
      </w:r>
      <w:r w:rsidRPr="005F6304">
        <w:rPr>
          <w:rFonts w:ascii="Verdana" w:eastAsia="Calibri" w:hAnsi="Verdana" w:cs="Arial"/>
          <w:shd w:val="clear" w:color="auto" w:fill="FFFFFF"/>
          <w:lang w:val="es-ES"/>
        </w:rPr>
        <w:t xml:space="preserve">sobre el aval y la participación de profesionales de la ingeniería en los procesos de contratación en los conceptos: </w:t>
      </w:r>
      <w:r w:rsidRPr="006F2456">
        <w:rPr>
          <w:rFonts w:ascii="Verdana" w:eastAsia="Calibri" w:hAnsi="Verdana" w:cs="Arial"/>
          <w:shd w:val="clear" w:color="auto" w:fill="FFFFFF"/>
          <w:lang w:val="es-ES"/>
        </w:rPr>
        <w:t>2201913000006376 del 30 de agosto de 2019, 2201913000009554 del 24 de diciembre de 2019, C-054 del 19 de febrero de 2020, C-703 del 7 de diciembre de 2020, C-752 del 30 de noviembre de 2020, C-800 del 1 de febrero de 2021, C-105 del 26 de marzo de 2021, C-216 del 4 de mayo de 2021, C-298 del 22 de junio de 2021, C-360 del 2 de agosto de 2021, C-447 del 30 de agosto de 2021, C-659 del 30 de agosto de 2021, C-613 del 2 de noviembre de 2021, C-167 del 29 de marzo de 2022, C-893 del 27 de diciembre de 2022</w:t>
      </w:r>
      <w:r>
        <w:rPr>
          <w:rFonts w:ascii="Verdana" w:eastAsia="Calibri" w:hAnsi="Verdana" w:cs="Arial"/>
          <w:shd w:val="clear" w:color="auto" w:fill="FFFFFF"/>
          <w:lang w:val="es-ES"/>
        </w:rPr>
        <w:t xml:space="preserve"> y </w:t>
      </w:r>
      <w:r w:rsidRPr="006F2456">
        <w:rPr>
          <w:rFonts w:ascii="Verdana" w:eastAsia="Calibri" w:hAnsi="Verdana" w:cs="Arial"/>
          <w:shd w:val="clear" w:color="auto" w:fill="FFFFFF"/>
          <w:lang w:val="es-ES"/>
        </w:rPr>
        <w:t xml:space="preserve"> C-254 del 18 de agosto de 2023</w:t>
      </w:r>
      <w:r>
        <w:rPr>
          <w:rFonts w:ascii="Verdana" w:eastAsia="Calibri" w:hAnsi="Verdana" w:cs="Arial"/>
          <w:shd w:val="clear" w:color="auto" w:fill="FFFFFF"/>
          <w:lang w:val="es-ES"/>
        </w:rPr>
        <w:t xml:space="preserve"> </w:t>
      </w:r>
      <w:r w:rsidRPr="005F6304">
        <w:rPr>
          <w:rFonts w:ascii="Verdana" w:eastAsia="Calibri" w:hAnsi="Verdana" w:cs="Arial"/>
          <w:shd w:val="clear" w:color="auto" w:fill="FFFFFF"/>
          <w:lang w:val="es-ES"/>
        </w:rPr>
        <w:t xml:space="preserve">. </w:t>
      </w:r>
      <w:r w:rsidRPr="00D95D35">
        <w:rPr>
          <w:rFonts w:ascii="Verdana" w:eastAsia="Calibri" w:hAnsi="Verdana" w:cs="Arial"/>
          <w:shd w:val="clear" w:color="auto" w:fill="FFFFFF"/>
          <w:lang w:val="es-ES"/>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7DA0DEA" w14:textId="77777777" w:rsidR="00CB1B40" w:rsidRPr="00D95D35" w:rsidRDefault="00CB1B40" w:rsidP="00CB1B40">
      <w:pPr>
        <w:widowControl w:val="0"/>
        <w:autoSpaceDE w:val="0"/>
        <w:autoSpaceDN w:val="0"/>
        <w:spacing w:after="0" w:line="276" w:lineRule="auto"/>
        <w:jc w:val="both"/>
        <w:rPr>
          <w:rFonts w:ascii="Verdana" w:eastAsia="Calibri" w:hAnsi="Verdana" w:cs="Arial"/>
          <w:shd w:val="clear" w:color="auto" w:fill="FFFFFF"/>
          <w:lang w:val="es-ES"/>
        </w:rPr>
      </w:pPr>
    </w:p>
    <w:p w14:paraId="535476E4" w14:textId="77777777" w:rsidR="00CB1B40" w:rsidRPr="00D95D35" w:rsidRDefault="00CB1B40" w:rsidP="00CB1B40">
      <w:pPr>
        <w:widowControl w:val="0"/>
        <w:autoSpaceDE w:val="0"/>
        <w:autoSpaceDN w:val="0"/>
        <w:spacing w:after="0" w:line="276" w:lineRule="auto"/>
        <w:jc w:val="both"/>
        <w:rPr>
          <w:rFonts w:ascii="Verdana" w:eastAsia="Calibri" w:hAnsi="Verdana" w:cs="Arial"/>
          <w:shd w:val="clear" w:color="auto" w:fill="FFFFFF"/>
          <w:lang w:val="es-ES"/>
        </w:rPr>
      </w:pPr>
      <w:r w:rsidRPr="00D95D35">
        <w:rPr>
          <w:rFonts w:ascii="Verdana" w:eastAsia="Calibri" w:hAnsi="Verdana" w:cs="Arial"/>
          <w:shd w:val="clear" w:color="auto" w:fill="FFFFFF"/>
          <w:lang w:val="es-ES"/>
        </w:rPr>
        <w:t>También, le invitamos a revisar la tercera edición del Boletín de Relatoría de 2024, en el cual podrá encontrar en detalle el marco normativo de documentos tipo:</w:t>
      </w:r>
      <w:hyperlink r:id="rId11" w:history="1">
        <w:r w:rsidRPr="00D95D35">
          <w:rPr>
            <w:rFonts w:ascii="Verdana" w:eastAsia="Calibri" w:hAnsi="Verdana" w:cs="Arial"/>
            <w:color w:val="467886"/>
            <w:u w:val="single"/>
            <w:shd w:val="clear" w:color="auto" w:fill="FFFFFF"/>
            <w:lang w:val="es-ES"/>
          </w:rPr>
          <w:t>https://www.colombiacompra.gov.co/sites/cce_public/files/files_2020/boletin_de_realtoria_iii.pdf</w:t>
        </w:r>
      </w:hyperlink>
      <w:r w:rsidRPr="00D95D35">
        <w:rPr>
          <w:rFonts w:ascii="Verdana" w:eastAsia="Calibri" w:hAnsi="Verdana" w:cs="Arial"/>
          <w:shd w:val="clear" w:color="auto" w:fill="FFFFFF"/>
          <w:lang w:val="es-ES"/>
        </w:rPr>
        <w:t xml:space="preserve">. </w:t>
      </w:r>
    </w:p>
    <w:p w14:paraId="6A61DB19" w14:textId="77777777" w:rsidR="00CB1B40" w:rsidRPr="00D95D35" w:rsidRDefault="00CB1B40" w:rsidP="00CB1B40">
      <w:pPr>
        <w:widowControl w:val="0"/>
        <w:autoSpaceDE w:val="0"/>
        <w:autoSpaceDN w:val="0"/>
        <w:spacing w:after="0" w:line="276" w:lineRule="auto"/>
        <w:jc w:val="both"/>
        <w:rPr>
          <w:rFonts w:ascii="Verdana" w:eastAsia="Calibri" w:hAnsi="Verdana" w:cs="Arial"/>
          <w:shd w:val="clear" w:color="auto" w:fill="FFFFFF"/>
          <w:lang w:val="es-ES"/>
        </w:rPr>
      </w:pPr>
    </w:p>
    <w:p w14:paraId="471F38DB" w14:textId="77777777" w:rsidR="00CB1B40" w:rsidRPr="00D95D35" w:rsidRDefault="00CB1B40" w:rsidP="00CB1B40">
      <w:pPr>
        <w:spacing w:after="0" w:line="240" w:lineRule="auto"/>
        <w:jc w:val="both"/>
        <w:rPr>
          <w:rFonts w:ascii="Verdana" w:eastAsia="Calibri" w:hAnsi="Verdana" w:cs="Times New Roman"/>
        </w:rPr>
      </w:pPr>
      <w:r w:rsidRPr="00D95D35">
        <w:rPr>
          <w:rFonts w:ascii="Verdana" w:eastAsia="Calibri" w:hAnsi="Verdana" w:cs="Times New Roman"/>
        </w:rPr>
        <w:t xml:space="preserve">Por último, los invitamos a seguirnos en las redes sociales, en las cuales se difunde información institucional: </w:t>
      </w:r>
    </w:p>
    <w:p w14:paraId="13D4FD2E" w14:textId="77777777" w:rsidR="00CB1B40" w:rsidRPr="00D95D35" w:rsidRDefault="00CB1B40" w:rsidP="00CB1B40">
      <w:pPr>
        <w:spacing w:after="0" w:line="240" w:lineRule="auto"/>
        <w:jc w:val="both"/>
        <w:rPr>
          <w:rFonts w:ascii="Verdana" w:eastAsia="Calibri" w:hAnsi="Verdana" w:cs="Times New Roman"/>
        </w:rPr>
      </w:pPr>
    </w:p>
    <w:p w14:paraId="6D019C75" w14:textId="77777777" w:rsidR="00CB1B40" w:rsidRPr="00D95D35" w:rsidRDefault="00CB1B40" w:rsidP="00CB1B40">
      <w:pPr>
        <w:spacing w:after="0" w:line="240" w:lineRule="auto"/>
        <w:jc w:val="both"/>
        <w:rPr>
          <w:rFonts w:ascii="Verdana" w:eastAsia="Calibri" w:hAnsi="Verdana" w:cs="Times New Roman"/>
        </w:rPr>
      </w:pPr>
      <w:r w:rsidRPr="00D95D35">
        <w:rPr>
          <w:rFonts w:ascii="Verdana" w:eastAsia="Calibri" w:hAnsi="Verdana" w:cs="Times New Roman"/>
        </w:rPr>
        <w:t xml:space="preserve">Twitter: </w:t>
      </w:r>
      <w:r w:rsidRPr="00D95D35">
        <w:rPr>
          <w:rFonts w:ascii="Verdana" w:eastAsia="Calibri" w:hAnsi="Verdana" w:cs="Times New Roman"/>
          <w:u w:val="single"/>
        </w:rPr>
        <w:t>@colombiacompra</w:t>
      </w:r>
      <w:r w:rsidRPr="00D95D35">
        <w:rPr>
          <w:rFonts w:ascii="Verdana" w:eastAsia="Calibri" w:hAnsi="Verdana" w:cs="Times New Roman"/>
        </w:rPr>
        <w:t xml:space="preserve"> </w:t>
      </w:r>
    </w:p>
    <w:p w14:paraId="71DC3108" w14:textId="77777777" w:rsidR="00CB1B40" w:rsidRPr="00D95D35" w:rsidRDefault="00CB1B40" w:rsidP="00CB1B40">
      <w:pPr>
        <w:spacing w:after="0" w:line="240" w:lineRule="auto"/>
        <w:jc w:val="both"/>
        <w:rPr>
          <w:rFonts w:ascii="Verdana" w:eastAsia="Calibri" w:hAnsi="Verdana" w:cs="Times New Roman"/>
        </w:rPr>
      </w:pPr>
      <w:r w:rsidRPr="00D95D35">
        <w:rPr>
          <w:rFonts w:ascii="Verdana" w:eastAsia="Calibri" w:hAnsi="Verdana" w:cs="Times New Roman"/>
        </w:rPr>
        <w:t xml:space="preserve">Facebook: </w:t>
      </w:r>
      <w:proofErr w:type="spellStart"/>
      <w:r w:rsidRPr="00D95D35">
        <w:rPr>
          <w:rFonts w:ascii="Verdana" w:eastAsia="Calibri" w:hAnsi="Verdana" w:cs="Times New Roman"/>
          <w:u w:val="single"/>
        </w:rPr>
        <w:t>ColombiaCompraEficiente</w:t>
      </w:r>
      <w:proofErr w:type="spellEnd"/>
    </w:p>
    <w:p w14:paraId="2751FBEA" w14:textId="77777777" w:rsidR="00CB1B40" w:rsidRPr="00D95D35" w:rsidRDefault="00CB1B40" w:rsidP="00CB1B40">
      <w:pPr>
        <w:spacing w:after="0" w:line="240" w:lineRule="auto"/>
        <w:jc w:val="both"/>
        <w:rPr>
          <w:rFonts w:ascii="Verdana" w:eastAsia="Calibri" w:hAnsi="Verdana" w:cs="Times New Roman"/>
        </w:rPr>
      </w:pPr>
      <w:r w:rsidRPr="00D95D35">
        <w:rPr>
          <w:rFonts w:ascii="Verdana" w:eastAsia="Calibri" w:hAnsi="Verdana" w:cs="Times New Roman"/>
        </w:rPr>
        <w:t xml:space="preserve">LinkedIn: </w:t>
      </w:r>
      <w:r w:rsidRPr="00D95D35">
        <w:rPr>
          <w:rFonts w:ascii="Verdana" w:eastAsia="Calibri" w:hAnsi="Verdana" w:cs="Times New Roman"/>
          <w:u w:val="single"/>
        </w:rPr>
        <w:t>Agencia Nacional de Contratación Pública - Colombia Compra Eficiente</w:t>
      </w:r>
      <w:r w:rsidRPr="00D95D35">
        <w:rPr>
          <w:rFonts w:ascii="Verdana" w:eastAsia="Calibri" w:hAnsi="Verdana" w:cs="Times New Roman"/>
        </w:rPr>
        <w:t xml:space="preserve"> Instagram: </w:t>
      </w:r>
      <w:r w:rsidRPr="00D95D35">
        <w:rPr>
          <w:rFonts w:ascii="Verdana" w:eastAsia="Calibri" w:hAnsi="Verdana" w:cs="Times New Roman"/>
          <w:u w:val="single"/>
        </w:rPr>
        <w:t>@colombiacompraeficiente_cce</w:t>
      </w:r>
    </w:p>
    <w:p w14:paraId="0F3A0B2A" w14:textId="77777777" w:rsidR="00CB1B40" w:rsidRDefault="00CB1B40" w:rsidP="00CB1B40">
      <w:pPr>
        <w:widowControl w:val="0"/>
        <w:autoSpaceDE w:val="0"/>
        <w:autoSpaceDN w:val="0"/>
        <w:spacing w:after="0" w:line="276" w:lineRule="auto"/>
        <w:jc w:val="both"/>
        <w:rPr>
          <w:rFonts w:ascii="Verdana" w:eastAsia="Calibri" w:hAnsi="Verdana" w:cs="Arial"/>
        </w:rPr>
      </w:pPr>
    </w:p>
    <w:p w14:paraId="40CB04DA" w14:textId="77777777" w:rsidR="00CB1B40" w:rsidRPr="00D95D35" w:rsidRDefault="00CB1B40" w:rsidP="00CB1B40">
      <w:pPr>
        <w:widowControl w:val="0"/>
        <w:autoSpaceDE w:val="0"/>
        <w:autoSpaceDN w:val="0"/>
        <w:spacing w:after="0" w:line="276" w:lineRule="auto"/>
        <w:jc w:val="both"/>
        <w:rPr>
          <w:rFonts w:ascii="Verdana" w:eastAsia="Calibri" w:hAnsi="Verdana" w:cs="Arial"/>
          <w:lang w:val="es-ES_tradnl"/>
        </w:rPr>
      </w:pPr>
      <w:r w:rsidRPr="00D95D35">
        <w:rPr>
          <w:rFonts w:ascii="Verdana" w:eastAsia="Calibri" w:hAnsi="Verdana" w:cs="Arial"/>
        </w:rPr>
        <w:t xml:space="preserve">Este concepto tiene el alcance previsto en el artículo 28 del Código de Procedimiento Administrativo y de lo Contencioso Administrativo </w:t>
      </w:r>
      <w:r w:rsidRPr="00D95D35">
        <w:rPr>
          <w:rFonts w:ascii="Verdana" w:eastAsia="Calibri" w:hAnsi="Verdana" w:cs="Arial"/>
          <w:lang w:val="es-ES_tradnl"/>
        </w:rPr>
        <w:t xml:space="preserve">y las </w:t>
      </w:r>
      <w:r w:rsidRPr="00D95D35">
        <w:rPr>
          <w:rFonts w:ascii="Verdana" w:eastAsia="Calibri" w:hAnsi="Verdana" w:cs="Arial"/>
          <w:lang w:val="es-ES_tradnl"/>
        </w:rPr>
        <w:lastRenderedPageBreak/>
        <w:t>expresiones aquí utilizadas con mayúscula inicial deben ser entendidas con el significado que les otorga el artículo 2.2.1.1.1.3.1. del Decreto 1082 de 2015.</w:t>
      </w:r>
    </w:p>
    <w:p w14:paraId="4785FAAF" w14:textId="77777777" w:rsidR="00CB1B40" w:rsidRPr="00D95D35" w:rsidRDefault="00CB1B40" w:rsidP="00CB1B40">
      <w:pPr>
        <w:widowControl w:val="0"/>
        <w:autoSpaceDE w:val="0"/>
        <w:autoSpaceDN w:val="0"/>
        <w:spacing w:after="0" w:line="276" w:lineRule="auto"/>
        <w:jc w:val="both"/>
        <w:rPr>
          <w:rFonts w:ascii="Verdana" w:eastAsia="Calibri" w:hAnsi="Verdana" w:cs="Arial"/>
        </w:rPr>
      </w:pPr>
    </w:p>
    <w:p w14:paraId="79EEDD18" w14:textId="77777777" w:rsidR="00CB1B40" w:rsidRPr="00D95D35" w:rsidRDefault="00CB1B40" w:rsidP="00CB1B40">
      <w:pPr>
        <w:spacing w:after="0" w:line="240" w:lineRule="auto"/>
        <w:rPr>
          <w:rFonts w:ascii="Verdana" w:eastAsia="Calibri" w:hAnsi="Verdana" w:cs="Arial"/>
          <w:lang w:eastAsia="es-CO"/>
        </w:rPr>
      </w:pPr>
      <w:r w:rsidRPr="00D95D35">
        <w:rPr>
          <w:rFonts w:ascii="Verdana" w:eastAsia="Times New Roman" w:hAnsi="Verdana" w:cs="Arial"/>
          <w:lang w:eastAsia="es-CO"/>
        </w:rPr>
        <w:t>Atentamente,</w:t>
      </w:r>
      <w:r w:rsidRPr="00D95D35">
        <w:rPr>
          <w:rFonts w:ascii="Verdana" w:eastAsia="Calibri" w:hAnsi="Verdana" w:cs="Arial"/>
          <w:lang w:eastAsia="es-CO"/>
        </w:rPr>
        <w:t xml:space="preserve"> </w:t>
      </w:r>
    </w:p>
    <w:p w14:paraId="5BA4D389" w14:textId="44BE44CD" w:rsidR="00CB1B40" w:rsidRPr="00D95D35" w:rsidRDefault="003F517B" w:rsidP="00CB1B40">
      <w:pPr>
        <w:spacing w:line="276" w:lineRule="auto"/>
        <w:jc w:val="center"/>
        <w:rPr>
          <w:rFonts w:ascii="Verdana" w:eastAsia="Calibri" w:hAnsi="Verdana" w:cs="Arial"/>
          <w:lang w:val="es-ES_tradnl" w:eastAsia="es-CO"/>
        </w:rPr>
      </w:pPr>
      <w:r w:rsidRPr="0065791A">
        <w:rPr>
          <w:rFonts w:ascii="Century Gothic" w:hAnsi="Century Gothic"/>
          <w:noProof/>
        </w:rPr>
        <w:drawing>
          <wp:inline distT="0" distB="0" distL="0" distR="0" wp14:anchorId="52623D78" wp14:editId="1DDD0BFF">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2"/>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B1B40" w:rsidRPr="005B3F16" w14:paraId="27017DCD" w14:textId="77777777" w:rsidTr="003B193F">
        <w:trPr>
          <w:trHeight w:val="315"/>
        </w:trPr>
        <w:tc>
          <w:tcPr>
            <w:tcW w:w="893" w:type="dxa"/>
            <w:vAlign w:val="center"/>
            <w:hideMark/>
          </w:tcPr>
          <w:p w14:paraId="5D54054F"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7B5CA008"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 xml:space="preserve">María Valeska Medellín Mora </w:t>
            </w:r>
          </w:p>
          <w:p w14:paraId="2B74482C"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Gestor T1-15</w:t>
            </w:r>
            <w:r w:rsidRPr="005B3F16">
              <w:rPr>
                <w:rFonts w:ascii="Verdana" w:eastAsia="Calibri" w:hAnsi="Verdana"/>
                <w:sz w:val="16"/>
                <w:szCs w:val="16"/>
                <w:lang w:val="es-ES_tradnl"/>
              </w:rPr>
              <w:t xml:space="preserve"> de la Subdirección de Gestión Contractual</w:t>
            </w:r>
          </w:p>
        </w:tc>
      </w:tr>
      <w:tr w:rsidR="00CB1B40" w:rsidRPr="005B3F16" w14:paraId="5A6F04E6" w14:textId="77777777" w:rsidTr="003B193F">
        <w:trPr>
          <w:trHeight w:val="330"/>
        </w:trPr>
        <w:tc>
          <w:tcPr>
            <w:tcW w:w="893" w:type="dxa"/>
            <w:vAlign w:val="center"/>
            <w:hideMark/>
          </w:tcPr>
          <w:p w14:paraId="7F43F5B0"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D35676E" w14:textId="77777777" w:rsidR="00CB1B40" w:rsidRPr="005B3F16" w:rsidRDefault="00CB1B40" w:rsidP="003B193F">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Pr>
                <w:rFonts w:ascii="Verdana" w:eastAsia="Calibri" w:hAnsi="Verdana" w:cs="Arial"/>
                <w:sz w:val="16"/>
                <w:szCs w:val="16"/>
                <w:lang w:val="es-ES_tradnl" w:eastAsia="en-US"/>
              </w:rPr>
              <w:t>Juan David Cardenas Cabeza</w:t>
            </w:r>
          </w:p>
          <w:p w14:paraId="34CDE8F6" w14:textId="77777777" w:rsidR="00CB1B40" w:rsidRPr="005B3F16" w:rsidRDefault="00CB1B40" w:rsidP="003B193F">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5B3F16">
              <w:rPr>
                <w:rFonts w:ascii="Verdana" w:eastAsia="Calibri" w:hAnsi="Verdana"/>
                <w:sz w:val="16"/>
                <w:szCs w:val="16"/>
                <w:lang w:val="es-ES_tradnl" w:eastAsia="en-US"/>
              </w:rPr>
              <w:t>Contratista de la Subdirección de Gestión Contractual </w:t>
            </w:r>
          </w:p>
        </w:tc>
      </w:tr>
      <w:tr w:rsidR="00CB1B40" w:rsidRPr="005B3F16" w14:paraId="0E83CBF6" w14:textId="77777777" w:rsidTr="003B193F">
        <w:trPr>
          <w:trHeight w:val="300"/>
        </w:trPr>
        <w:tc>
          <w:tcPr>
            <w:tcW w:w="893" w:type="dxa"/>
            <w:vAlign w:val="center"/>
          </w:tcPr>
          <w:p w14:paraId="701BDC18"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7D77E2D" w14:textId="77777777" w:rsidR="00CB1B40" w:rsidRPr="005B3F16" w:rsidRDefault="00CB1B40" w:rsidP="003B193F">
            <w:pPr>
              <w:spacing w:line="276" w:lineRule="auto"/>
              <w:contextualSpacing/>
              <w:rPr>
                <w:rFonts w:ascii="Verdana" w:eastAsia="Calibri" w:hAnsi="Verdana" w:cs="Arial"/>
                <w:sz w:val="16"/>
                <w:szCs w:val="16"/>
                <w:lang w:val="es-ES"/>
              </w:rPr>
            </w:pPr>
            <w:r w:rsidRPr="460F3C83">
              <w:rPr>
                <w:rFonts w:ascii="Verdana" w:eastAsia="Calibri" w:hAnsi="Verdana" w:cs="Arial"/>
                <w:sz w:val="16"/>
                <w:szCs w:val="16"/>
                <w:lang w:val="es-ES"/>
              </w:rPr>
              <w:t>Carolina Quintero Gacharná</w:t>
            </w:r>
          </w:p>
          <w:p w14:paraId="21106F1F" w14:textId="77777777" w:rsidR="00CB1B40" w:rsidRPr="005B3F16" w:rsidRDefault="00CB1B40" w:rsidP="003B193F">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Subdirectora de Gestión Contractual ANCP – CCE</w:t>
            </w:r>
          </w:p>
        </w:tc>
      </w:tr>
      <w:bookmarkEnd w:id="0"/>
    </w:tbl>
    <w:p w14:paraId="71344BB8" w14:textId="77777777" w:rsidR="00CB1B40" w:rsidRPr="0044528D" w:rsidRDefault="00CB1B40" w:rsidP="00CB1B40">
      <w:pPr>
        <w:spacing w:after="0"/>
        <w:rPr>
          <w:rFonts w:ascii="Verdana" w:hAnsi="Verdana"/>
        </w:rPr>
      </w:pPr>
    </w:p>
    <w:p w14:paraId="530661DE" w14:textId="77777777" w:rsidR="00D95D35" w:rsidRPr="00CB1B40" w:rsidRDefault="00D95D35" w:rsidP="00CB1B40"/>
    <w:sectPr w:rsidR="00D95D35" w:rsidRPr="00CB1B40" w:rsidSect="00D95D35">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989D2" w14:textId="77777777" w:rsidR="000A20C3" w:rsidRDefault="000A20C3" w:rsidP="00D95D35">
      <w:pPr>
        <w:spacing w:after="0" w:line="240" w:lineRule="auto"/>
      </w:pPr>
      <w:r>
        <w:separator/>
      </w:r>
    </w:p>
  </w:endnote>
  <w:endnote w:type="continuationSeparator" w:id="0">
    <w:p w14:paraId="5800C583" w14:textId="77777777" w:rsidR="000A20C3" w:rsidRDefault="000A20C3" w:rsidP="00D9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9F87" w14:textId="77777777" w:rsidR="006A649A" w:rsidRDefault="006A649A">
    <w:pPr>
      <w:pStyle w:val="Piedepgina"/>
    </w:pPr>
  </w:p>
  <w:p w14:paraId="6DB5E870" w14:textId="77777777" w:rsidR="006A649A" w:rsidRPr="00174B77" w:rsidRDefault="006A649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9A4543">
      <w:rPr>
        <w:rFonts w:ascii="Verdana" w:eastAsia="Times New Roman" w:hAnsi="Verdana" w:cs="Times New Roman"/>
        <w:b/>
        <w:bCs/>
        <w:sz w:val="16"/>
        <w:szCs w:val="16"/>
        <w:lang w:val="es-ES"/>
      </w:rPr>
      <w:t xml:space="preserve">pág. </w:t>
    </w:r>
    <w:r w:rsidRPr="009A4543">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9A4543">
      <w:rPr>
        <w:rFonts w:ascii="Verdana" w:eastAsia="Times New Roman" w:hAnsi="Verdana"/>
        <w:b/>
        <w:bCs/>
        <w:sz w:val="16"/>
        <w:szCs w:val="16"/>
      </w:rPr>
      <w:fldChar w:fldCharType="separate"/>
    </w:r>
    <w:r w:rsidRPr="009A4543">
      <w:rPr>
        <w:rFonts w:ascii="Verdana" w:eastAsia="Times New Roman" w:hAnsi="Verdana"/>
        <w:b/>
        <w:bCs/>
        <w:sz w:val="16"/>
        <w:szCs w:val="16"/>
      </w:rPr>
      <w:t>1</w:t>
    </w:r>
    <w:r w:rsidRPr="009A4543">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6A30E30" w14:textId="77777777" w:rsidR="006A649A" w:rsidRDefault="006A649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864513A" w14:textId="77777777" w:rsidR="006A649A" w:rsidRPr="00E41027" w:rsidRDefault="006A649A" w:rsidP="00D520D8">
    <w:pPr>
      <w:spacing w:after="0"/>
      <w:jc w:val="both"/>
      <w:rPr>
        <w:rFonts w:ascii="Verdana" w:hAnsi="Verdana"/>
        <w:sz w:val="18"/>
        <w:szCs w:val="18"/>
      </w:rPr>
    </w:pPr>
    <w:r w:rsidRPr="00E41027">
      <w:rPr>
        <w:rFonts w:ascii="Verdana" w:hAnsi="Verdana"/>
        <w:sz w:val="18"/>
        <w:szCs w:val="18"/>
      </w:rPr>
      <w:t>Mesa de servicio: (+57) 601 7456788</w:t>
    </w:r>
  </w:p>
  <w:p w14:paraId="6B8D1FC5" w14:textId="77777777" w:rsidR="006A649A" w:rsidRDefault="006A649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7DAF" w14:textId="77777777" w:rsidR="000A20C3" w:rsidRDefault="000A20C3" w:rsidP="00D95D35">
      <w:pPr>
        <w:spacing w:after="0" w:line="240" w:lineRule="auto"/>
      </w:pPr>
      <w:r>
        <w:separator/>
      </w:r>
    </w:p>
  </w:footnote>
  <w:footnote w:type="continuationSeparator" w:id="0">
    <w:p w14:paraId="02B65EB4" w14:textId="77777777" w:rsidR="000A20C3" w:rsidRDefault="000A20C3" w:rsidP="00D95D35">
      <w:pPr>
        <w:spacing w:after="0" w:line="240" w:lineRule="auto"/>
      </w:pPr>
      <w:r>
        <w:continuationSeparator/>
      </w:r>
    </w:p>
  </w:footnote>
  <w:footnote w:id="1">
    <w:p w14:paraId="24392F9D" w14:textId="77777777" w:rsidR="00CB1B40" w:rsidRPr="00B045B1" w:rsidRDefault="00CB1B40" w:rsidP="00CB1B40">
      <w:pPr>
        <w:spacing w:after="0" w:line="240" w:lineRule="auto"/>
        <w:ind w:right="49" w:firstLine="709"/>
        <w:jc w:val="both"/>
        <w:rPr>
          <w:rFonts w:ascii="Arial" w:hAnsi="Arial" w:cs="Arial"/>
          <w:sz w:val="19"/>
          <w:szCs w:val="19"/>
        </w:rPr>
      </w:pPr>
      <w:r w:rsidRPr="00213FA7">
        <w:rPr>
          <w:rStyle w:val="Refdenotaalpie"/>
          <w:rFonts w:ascii="Arial" w:hAnsi="Arial" w:cs="Arial"/>
          <w:sz w:val="19"/>
          <w:szCs w:val="19"/>
        </w:rPr>
        <w:footnoteRef/>
      </w:r>
      <w:r w:rsidRPr="00B045B1">
        <w:rPr>
          <w:rFonts w:ascii="Arial" w:hAnsi="Arial" w:cs="Arial"/>
          <w:sz w:val="19"/>
          <w:szCs w:val="19"/>
        </w:rPr>
        <w:t xml:space="preserve"> Corte Constitucional. Sentencia C-697 del 14 de junio de 2000. M.P: Eduardo Cifuentes Muñoz.</w:t>
      </w:r>
    </w:p>
    <w:p w14:paraId="40E46A95" w14:textId="77777777" w:rsidR="00CB1B40" w:rsidRPr="00524866" w:rsidRDefault="00CB1B40" w:rsidP="00CB1B40">
      <w:pPr>
        <w:pStyle w:val="Textonotapie"/>
        <w:ind w:right="49"/>
        <w:jc w:val="both"/>
        <w:rPr>
          <w:rFonts w:ascii="Arial" w:hAnsi="Arial" w:cs="Arial"/>
          <w:sz w:val="19"/>
          <w:szCs w:val="19"/>
          <w:lang w:val="es-CO"/>
        </w:rPr>
      </w:pPr>
    </w:p>
  </w:footnote>
  <w:footnote w:id="2">
    <w:p w14:paraId="15D9BA16" w14:textId="77777777" w:rsidR="00CB1B40" w:rsidRDefault="00CB1B40" w:rsidP="00CB1B40">
      <w:pPr>
        <w:pStyle w:val="Textonotapie"/>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w:t>
      </w:r>
      <w:r>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Pr>
          <w:rFonts w:ascii="Arial" w:hAnsi="Arial" w:cs="Arial"/>
          <w:color w:val="000000" w:themeColor="text1"/>
          <w:sz w:val="19"/>
          <w:szCs w:val="19"/>
        </w:rPr>
        <w:t>S</w:t>
      </w:r>
      <w:r w:rsidRPr="00B045B1">
        <w:rPr>
          <w:rFonts w:ascii="Arial" w:hAnsi="Arial" w:cs="Arial"/>
          <w:color w:val="000000" w:themeColor="text1"/>
          <w:sz w:val="19"/>
          <w:szCs w:val="19"/>
        </w:rPr>
        <w:t>entencia C-191 de 2005</w:t>
      </w:r>
      <w:r>
        <w:rPr>
          <w:rFonts w:ascii="Arial" w:hAnsi="Arial" w:cs="Arial"/>
          <w:color w:val="000000" w:themeColor="text1"/>
          <w:sz w:val="19"/>
          <w:szCs w:val="19"/>
        </w:rPr>
        <w:t>:</w:t>
      </w:r>
      <w:r w:rsidRPr="00B045B1">
        <w:rPr>
          <w:rFonts w:ascii="Arial" w:hAnsi="Arial" w:cs="Arial"/>
          <w:color w:val="000000" w:themeColor="text1"/>
          <w:sz w:val="19"/>
          <w:szCs w:val="19"/>
        </w:rPr>
        <w:t xml:space="preserve"> </w:t>
      </w:r>
      <w:r>
        <w:rPr>
          <w:rFonts w:ascii="Arial" w:hAnsi="Arial" w:cs="Arial"/>
          <w:color w:val="000000" w:themeColor="text1"/>
          <w:sz w:val="19"/>
          <w:szCs w:val="19"/>
        </w:rPr>
        <w:t>“</w:t>
      </w:r>
      <w:r w:rsidRPr="00B045B1">
        <w:rPr>
          <w:rFonts w:ascii="Arial" w:hAnsi="Arial" w:cs="Arial"/>
          <w:color w:val="000000" w:themeColor="text1"/>
          <w:sz w:val="19"/>
          <w:szCs w:val="19"/>
        </w:rPr>
        <w:t>Además, el parámetro empleado por el legislador en el inciso primero del artículo es objetivo, claro e inteligi</w:t>
      </w:r>
      <w:r w:rsidRPr="00524866">
        <w:rPr>
          <w:rFonts w:ascii="Arial" w:hAnsi="Arial" w:cs="Arial"/>
          <w:color w:val="000000" w:themeColor="text1"/>
          <w:sz w:val="19"/>
          <w:szCs w:val="19"/>
        </w:rPr>
        <w:t>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w:t>
      </w:r>
      <w:r w:rsidRPr="00524866">
        <w:rPr>
          <w:rFonts w:ascii="Arial" w:hAnsi="Arial" w:cs="Arial"/>
          <w:color w:val="000000" w:themeColor="text1"/>
          <w:spacing w:val="-13"/>
          <w:sz w:val="19"/>
          <w:szCs w:val="19"/>
        </w:rPr>
        <w:t xml:space="preserve"> </w:t>
      </w:r>
      <w:r w:rsidRPr="00524866">
        <w:rPr>
          <w:rFonts w:ascii="Arial" w:hAnsi="Arial" w:cs="Arial"/>
          <w:color w:val="000000" w:themeColor="text1"/>
          <w:sz w:val="19"/>
          <w:szCs w:val="19"/>
        </w:rPr>
        <w:t>ingeniería</w:t>
      </w:r>
      <w:r>
        <w:rPr>
          <w:rFonts w:ascii="Arial" w:hAnsi="Arial" w:cs="Arial"/>
          <w:color w:val="000000" w:themeColor="text1"/>
          <w:sz w:val="19"/>
          <w:szCs w:val="19"/>
        </w:rPr>
        <w:t>”</w:t>
      </w:r>
      <w:r w:rsidRPr="00524866">
        <w:rPr>
          <w:rFonts w:ascii="Arial" w:hAnsi="Arial" w:cs="Arial"/>
          <w:color w:val="000000" w:themeColor="text1"/>
          <w:sz w:val="19"/>
          <w:szCs w:val="19"/>
        </w:rPr>
        <w:t>.</w:t>
      </w:r>
      <w:r>
        <w:rPr>
          <w:rFonts w:ascii="Arial" w:hAnsi="Arial" w:cs="Arial"/>
          <w:color w:val="000000" w:themeColor="text1"/>
          <w:sz w:val="19"/>
          <w:szCs w:val="19"/>
        </w:rPr>
        <w:t xml:space="preserve"> </w:t>
      </w:r>
    </w:p>
    <w:p w14:paraId="5CC49D4E" w14:textId="77777777" w:rsidR="00CB1B40" w:rsidRPr="00524866" w:rsidRDefault="00CB1B40" w:rsidP="00CB1B40">
      <w:pPr>
        <w:pStyle w:val="Textonotapie"/>
        <w:ind w:right="49" w:firstLine="720"/>
        <w:jc w:val="both"/>
        <w:rPr>
          <w:rFonts w:ascii="Arial" w:hAnsi="Arial" w:cs="Arial"/>
          <w:color w:val="000000" w:themeColor="text1"/>
          <w:sz w:val="19"/>
          <w:szCs w:val="19"/>
          <w:lang w:val="es-CO"/>
        </w:rPr>
      </w:pPr>
    </w:p>
  </w:footnote>
  <w:footnote w:id="3">
    <w:p w14:paraId="7DD3A5D4" w14:textId="77777777" w:rsidR="00CB1B40" w:rsidRDefault="00CB1B40" w:rsidP="00CB1B40">
      <w:pPr>
        <w:spacing w:after="0" w:line="240" w:lineRule="auto"/>
        <w:ind w:right="49" w:firstLine="720"/>
        <w:jc w:val="both"/>
        <w:rPr>
          <w:rFonts w:ascii="Arial" w:hAnsi="Arial" w:cs="Arial"/>
          <w:color w:val="000000" w:themeColor="text1"/>
          <w:sz w:val="19"/>
          <w:szCs w:val="19"/>
        </w:rPr>
      </w:pPr>
      <w:r w:rsidRPr="00B045B1">
        <w:rPr>
          <w:rStyle w:val="Refdenotaalpie"/>
          <w:rFonts w:ascii="Arial" w:hAnsi="Arial" w:cs="Arial"/>
          <w:color w:val="000000" w:themeColor="text1"/>
          <w:sz w:val="19"/>
          <w:szCs w:val="19"/>
        </w:rPr>
        <w:footnoteRef/>
      </w:r>
      <w:r w:rsidRPr="00524866">
        <w:rPr>
          <w:rFonts w:ascii="Arial" w:hAnsi="Arial" w:cs="Arial"/>
          <w:color w:val="000000" w:themeColor="text1"/>
          <w:sz w:val="19"/>
          <w:szCs w:val="19"/>
        </w:rPr>
        <w:t xml:space="preserve"> Ley 842 de 2003</w:t>
      </w:r>
      <w:r>
        <w:rPr>
          <w:rFonts w:ascii="Arial" w:hAnsi="Arial" w:cs="Arial"/>
          <w:color w:val="000000" w:themeColor="text1"/>
          <w:sz w:val="19"/>
          <w:szCs w:val="19"/>
        </w:rPr>
        <w:t xml:space="preserve">. Artículo </w:t>
      </w:r>
      <w:r w:rsidRPr="00524866">
        <w:rPr>
          <w:rFonts w:ascii="Arial" w:hAnsi="Arial" w:cs="Arial"/>
          <w:color w:val="000000" w:themeColor="text1"/>
          <w:sz w:val="19"/>
          <w:szCs w:val="19"/>
        </w:rPr>
        <w:t xml:space="preserve">6: </w:t>
      </w:r>
      <w:r>
        <w:rPr>
          <w:rFonts w:ascii="Arial" w:hAnsi="Arial" w:cs="Arial"/>
          <w:color w:val="000000" w:themeColor="text1"/>
          <w:sz w:val="19"/>
          <w:szCs w:val="19"/>
        </w:rPr>
        <w:t>“</w:t>
      </w:r>
      <w:r w:rsidRPr="00524866">
        <w:rPr>
          <w:rFonts w:ascii="Arial" w:hAnsi="Arial" w:cs="Arial"/>
          <w:color w:val="000000" w:themeColor="text1"/>
          <w:sz w:val="19"/>
          <w:szCs w:val="19"/>
        </w:rPr>
        <w:t>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r>
        <w:rPr>
          <w:rFonts w:ascii="Arial" w:hAnsi="Arial" w:cs="Arial"/>
          <w:color w:val="000000" w:themeColor="text1"/>
          <w:sz w:val="19"/>
          <w:szCs w:val="19"/>
        </w:rPr>
        <w:t>”</w:t>
      </w:r>
      <w:r w:rsidRPr="00524866">
        <w:rPr>
          <w:rFonts w:ascii="Arial" w:hAnsi="Arial" w:cs="Arial"/>
          <w:color w:val="000000" w:themeColor="text1"/>
          <w:sz w:val="19"/>
          <w:szCs w:val="19"/>
        </w:rPr>
        <w:t>.</w:t>
      </w:r>
    </w:p>
    <w:p w14:paraId="3B8DB6D1" w14:textId="77777777" w:rsidR="00CB1B40" w:rsidRPr="00524866" w:rsidRDefault="00CB1B40" w:rsidP="00CB1B40">
      <w:pPr>
        <w:spacing w:after="0" w:line="240" w:lineRule="auto"/>
        <w:ind w:right="49" w:firstLine="720"/>
        <w:jc w:val="both"/>
        <w:rPr>
          <w:rFonts w:ascii="Arial" w:hAnsi="Arial" w:cs="Arial"/>
          <w:color w:val="000000" w:themeColor="text1"/>
          <w:sz w:val="19"/>
          <w:szCs w:val="19"/>
        </w:rPr>
      </w:pPr>
    </w:p>
  </w:footnote>
  <w:footnote w:id="4">
    <w:p w14:paraId="46AB530E" w14:textId="77777777" w:rsidR="00CB1B40" w:rsidRPr="00182045" w:rsidRDefault="00CB1B40" w:rsidP="00CB1B40">
      <w:pPr>
        <w:pStyle w:val="Textonotapie"/>
        <w:ind w:right="49" w:firstLine="708"/>
        <w:jc w:val="both"/>
        <w:rPr>
          <w:lang w:val="es-CO"/>
        </w:rPr>
      </w:pPr>
      <w:r>
        <w:rPr>
          <w:rStyle w:val="Refdenotaalpie"/>
        </w:rPr>
        <w:footnoteRef/>
      </w:r>
      <w:r>
        <w:t xml:space="preserve"> </w:t>
      </w:r>
      <w:r w:rsidRPr="00B045B1">
        <w:rPr>
          <w:rFonts w:ascii="Arial" w:hAnsi="Arial" w:cs="Arial"/>
          <w:sz w:val="19"/>
          <w:szCs w:val="19"/>
          <w:lang w:val="es-CO"/>
        </w:rPr>
        <w:t>El Consejo Profesional Nacional de Ingeniería -COPNIA-, como entidad encargada de controlar, inspeccionar y vigilar el ejercicio de la ingeniería, de sus profesiones afines y de sus profesiones auxiliares, de acuerdo con lo dispuesto por el artículo 26 de la Ley 842 de 2003, tiene como función emitir conceptos y responder consultas sobre aspectos relacionados con el ejercicio de la ingeniería, sus profesiones afines y sus profesiones auxiliares, cuando así se le solicite para cualquier efecto legal o profesional</w:t>
      </w:r>
      <w:r>
        <w:rPr>
          <w:rFonts w:ascii="Arial" w:hAnsi="Arial" w:cs="Arial"/>
          <w:sz w:val="19"/>
          <w:szCs w:val="19"/>
          <w:lang w:val="es-CO"/>
        </w:rPr>
        <w:t>.</w:t>
      </w:r>
    </w:p>
  </w:footnote>
  <w:footnote w:id="5">
    <w:p w14:paraId="359E25D7" w14:textId="77777777" w:rsidR="00CB1B40" w:rsidRPr="00524866" w:rsidRDefault="00CB1B40" w:rsidP="00CB1B40">
      <w:pPr>
        <w:pStyle w:val="Textonotapie"/>
        <w:ind w:right="49" w:firstLine="709"/>
        <w:jc w:val="both"/>
        <w:rPr>
          <w:rFonts w:ascii="Arial" w:hAnsi="Arial" w:cs="Arial"/>
          <w:sz w:val="19"/>
          <w:szCs w:val="19"/>
        </w:rPr>
      </w:pPr>
      <w:r w:rsidRPr="00B045B1">
        <w:rPr>
          <w:rStyle w:val="Refdenotaalpie"/>
          <w:rFonts w:ascii="Arial" w:hAnsi="Arial" w:cs="Arial"/>
          <w:sz w:val="19"/>
          <w:szCs w:val="19"/>
        </w:rPr>
        <w:footnoteRef/>
      </w:r>
      <w:r w:rsidRPr="00B045B1">
        <w:rPr>
          <w:rFonts w:ascii="Arial" w:hAnsi="Arial" w:cs="Arial"/>
          <w:sz w:val="19"/>
          <w:szCs w:val="19"/>
        </w:rPr>
        <w:t xml:space="preserve"> El Consejo Profesional Nacional de Ingeniería ha reiterado esta tesis en los conceptos </w:t>
      </w:r>
      <w:r w:rsidRPr="00B045B1">
        <w:rPr>
          <w:rFonts w:ascii="Arial" w:hAnsi="Arial" w:cs="Arial"/>
          <w:sz w:val="19"/>
          <w:szCs w:val="19"/>
          <w:lang w:val="es-ES"/>
        </w:rPr>
        <w:t>14, 15, y 68 de 2005; 18 de 2010, 39 de 2011; 78, 109 de 2012; 103 de 2013; 9 y 210 de 2015; 115 de 2016; 20 y 98 de 2018,</w:t>
      </w:r>
      <w:r w:rsidRPr="00524866">
        <w:rPr>
          <w:rFonts w:ascii="Arial" w:hAnsi="Arial" w:cs="Arial"/>
          <w:sz w:val="19"/>
          <w:szCs w:val="19"/>
        </w:rPr>
        <w:t xml:space="preserve"> 34 de 2015, 39 de 2019.</w:t>
      </w:r>
    </w:p>
    <w:p w14:paraId="0F1E7636" w14:textId="77777777" w:rsidR="00CB1B40" w:rsidRPr="00524866" w:rsidRDefault="00CB1B40" w:rsidP="00CB1B40">
      <w:pPr>
        <w:pStyle w:val="Textonotapie"/>
        <w:ind w:right="49" w:firstLine="709"/>
        <w:jc w:val="both"/>
        <w:rPr>
          <w:rFonts w:ascii="Arial" w:hAnsi="Arial" w:cs="Arial"/>
          <w:sz w:val="19"/>
          <w:szCs w:val="19"/>
          <w:lang w:val="es-CO"/>
        </w:rPr>
      </w:pPr>
    </w:p>
  </w:footnote>
  <w:footnote w:id="6">
    <w:p w14:paraId="1EA9A593" w14:textId="77777777" w:rsidR="00CB1B40" w:rsidRPr="00524866" w:rsidRDefault="00CB1B40" w:rsidP="00CB1B40">
      <w:pPr>
        <w:pStyle w:val="Textonotapie"/>
        <w:ind w:right="49" w:firstLine="720"/>
        <w:jc w:val="both"/>
        <w:rPr>
          <w:rFonts w:ascii="Arial" w:hAnsi="Arial" w:cs="Arial"/>
          <w:color w:val="000000" w:themeColor="text1"/>
          <w:sz w:val="19"/>
          <w:szCs w:val="19"/>
          <w:lang w:val="es-CO"/>
        </w:rPr>
      </w:pPr>
      <w:r w:rsidRPr="00B045B1">
        <w:rPr>
          <w:rStyle w:val="Refdenotaalpie"/>
          <w:rFonts w:ascii="Arial" w:hAnsi="Arial" w:cs="Arial"/>
          <w:color w:val="000000" w:themeColor="text1"/>
          <w:sz w:val="19"/>
          <w:szCs w:val="19"/>
        </w:rPr>
        <w:footnoteRef/>
      </w:r>
      <w:r w:rsidRPr="00B045B1">
        <w:rPr>
          <w:rFonts w:ascii="Arial" w:hAnsi="Arial" w:cs="Arial"/>
          <w:color w:val="000000" w:themeColor="text1"/>
          <w:sz w:val="19"/>
          <w:szCs w:val="19"/>
        </w:rPr>
        <w:t xml:space="preserve"> Corte Constitucional. Sentencia C-191 de 2005: </w:t>
      </w:r>
      <w:r>
        <w:rPr>
          <w:rFonts w:ascii="Arial" w:hAnsi="Arial" w:cs="Arial"/>
          <w:color w:val="000000" w:themeColor="text1"/>
          <w:sz w:val="19"/>
          <w:szCs w:val="19"/>
        </w:rPr>
        <w:t>“</w:t>
      </w:r>
      <w:r w:rsidRPr="00B045B1">
        <w:rPr>
          <w:rFonts w:ascii="Arial" w:hAnsi="Arial" w:cs="Arial"/>
          <w:color w:val="000000" w:themeColor="text1"/>
          <w:sz w:val="19"/>
          <w:szCs w:val="19"/>
        </w:rPr>
        <w:t>Para la jurisprudencia, por ejemplo, no es razonable que si existen varios profesionales que pueden ejercer idóneamente una labor (por ejemplo, la vigilancia concreta de una construcción), se obligue a que s</w:t>
      </w:r>
      <w:r w:rsidRPr="00524866">
        <w:rPr>
          <w:rFonts w:ascii="Arial" w:hAnsi="Arial" w:cs="Arial"/>
          <w:color w:val="000000" w:themeColor="text1"/>
          <w:sz w:val="19"/>
          <w:szCs w:val="19"/>
        </w:rPr>
        <w:t>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r>
        <w:rPr>
          <w:rFonts w:ascii="Arial" w:hAnsi="Arial" w:cs="Arial"/>
          <w:color w:val="000000" w:themeColor="text1"/>
          <w:sz w:val="19"/>
          <w:szCs w:val="19"/>
        </w:rPr>
        <w:t>”</w:t>
      </w:r>
      <w:r w:rsidRPr="00524866">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CED4" w14:textId="77777777" w:rsidR="006A649A" w:rsidRDefault="006A649A">
    <w:pPr>
      <w:pStyle w:val="Encabezado"/>
    </w:pPr>
    <w:r>
      <w:rPr>
        <w:rFonts w:ascii="Geomanist Bold" w:hAnsi="Geomanist Bold"/>
        <w:b/>
        <w:bCs/>
        <w:noProof/>
        <w:color w:val="002060"/>
      </w:rPr>
      <w:drawing>
        <wp:anchor distT="0" distB="0" distL="114300" distR="114300" simplePos="0" relativeHeight="251660288" behindDoc="1" locked="0" layoutInCell="1" allowOverlap="1" wp14:anchorId="08B545CD" wp14:editId="2D4386C4">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9264" behindDoc="0" locked="0" layoutInCell="1" allowOverlap="1" wp14:anchorId="1295D703" wp14:editId="19663E5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47784AB" w14:textId="77777777" w:rsidR="006A649A" w:rsidRDefault="006A649A">
    <w:pPr>
      <w:pStyle w:val="Encabezado"/>
    </w:pPr>
  </w:p>
  <w:p w14:paraId="78294C17" w14:textId="77777777" w:rsidR="006A649A" w:rsidRDefault="006A649A" w:rsidP="004A305D">
    <w:pPr>
      <w:spacing w:after="0"/>
      <w:rPr>
        <w:rFonts w:ascii="Verdana" w:hAnsi="Verdana"/>
        <w:b/>
        <w:bCs/>
      </w:rPr>
    </w:pPr>
  </w:p>
  <w:p w14:paraId="6359027E" w14:textId="77777777" w:rsidR="006A649A" w:rsidRPr="004A305D" w:rsidRDefault="006A649A" w:rsidP="00B01B1A">
    <w:pPr>
      <w:spacing w:after="0" w:line="120" w:lineRule="auto"/>
      <w:rPr>
        <w:rFonts w:ascii="Century Gothic" w:eastAsia="Geo" w:hAnsi="Century Gothic" w:cs="Geo"/>
        <w:sz w:val="16"/>
        <w:szCs w:val="16"/>
        <w:lang w:eastAsia="es-CO"/>
      </w:rPr>
    </w:pPr>
  </w:p>
  <w:p w14:paraId="68C18A97" w14:textId="77777777" w:rsidR="006A649A" w:rsidRDefault="006A649A"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B163F27"/>
    <w:multiLevelType w:val="hybridMultilevel"/>
    <w:tmpl w:val="0FD01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04842CE"/>
    <w:multiLevelType w:val="hybridMultilevel"/>
    <w:tmpl w:val="6054E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C739ED"/>
    <w:multiLevelType w:val="hybridMultilevel"/>
    <w:tmpl w:val="0030A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400B48"/>
    <w:multiLevelType w:val="hybridMultilevel"/>
    <w:tmpl w:val="EACAF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35"/>
    <w:rsid w:val="00001672"/>
    <w:rsid w:val="00004D43"/>
    <w:rsid w:val="00022E6E"/>
    <w:rsid w:val="00066376"/>
    <w:rsid w:val="000A20C3"/>
    <w:rsid w:val="000A31C1"/>
    <w:rsid w:val="000D27EE"/>
    <w:rsid w:val="000E3E6A"/>
    <w:rsid w:val="00111A95"/>
    <w:rsid w:val="00170984"/>
    <w:rsid w:val="001866A5"/>
    <w:rsid w:val="00194783"/>
    <w:rsid w:val="001E5C69"/>
    <w:rsid w:val="001F57BB"/>
    <w:rsid w:val="00212BB2"/>
    <w:rsid w:val="0021519D"/>
    <w:rsid w:val="002467FD"/>
    <w:rsid w:val="00252211"/>
    <w:rsid w:val="0025257B"/>
    <w:rsid w:val="002651A0"/>
    <w:rsid w:val="0028440D"/>
    <w:rsid w:val="003C24D7"/>
    <w:rsid w:val="003E7690"/>
    <w:rsid w:val="003F517B"/>
    <w:rsid w:val="00467881"/>
    <w:rsid w:val="004861AB"/>
    <w:rsid w:val="0049446F"/>
    <w:rsid w:val="004F368C"/>
    <w:rsid w:val="00530B60"/>
    <w:rsid w:val="00563427"/>
    <w:rsid w:val="00576223"/>
    <w:rsid w:val="00592C81"/>
    <w:rsid w:val="0059493C"/>
    <w:rsid w:val="00595365"/>
    <w:rsid w:val="005B56BE"/>
    <w:rsid w:val="005D6972"/>
    <w:rsid w:val="005E4EC9"/>
    <w:rsid w:val="005E7535"/>
    <w:rsid w:val="005F6304"/>
    <w:rsid w:val="00657571"/>
    <w:rsid w:val="00687032"/>
    <w:rsid w:val="006943BC"/>
    <w:rsid w:val="006A649A"/>
    <w:rsid w:val="006B4F06"/>
    <w:rsid w:val="006F2456"/>
    <w:rsid w:val="007322D5"/>
    <w:rsid w:val="00763D4B"/>
    <w:rsid w:val="00765B9C"/>
    <w:rsid w:val="007A2F87"/>
    <w:rsid w:val="00830C64"/>
    <w:rsid w:val="00842ACB"/>
    <w:rsid w:val="00866710"/>
    <w:rsid w:val="00874CF1"/>
    <w:rsid w:val="00884B57"/>
    <w:rsid w:val="00886870"/>
    <w:rsid w:val="009530B3"/>
    <w:rsid w:val="00990053"/>
    <w:rsid w:val="009906EC"/>
    <w:rsid w:val="009B37F0"/>
    <w:rsid w:val="00A37727"/>
    <w:rsid w:val="00A41597"/>
    <w:rsid w:val="00A50BD9"/>
    <w:rsid w:val="00A9054F"/>
    <w:rsid w:val="00AE4F63"/>
    <w:rsid w:val="00B77227"/>
    <w:rsid w:val="00BB7952"/>
    <w:rsid w:val="00BD5A50"/>
    <w:rsid w:val="00BF51BC"/>
    <w:rsid w:val="00C0659C"/>
    <w:rsid w:val="00C07DC0"/>
    <w:rsid w:val="00C10AFB"/>
    <w:rsid w:val="00C24BD8"/>
    <w:rsid w:val="00C318D4"/>
    <w:rsid w:val="00C76ECB"/>
    <w:rsid w:val="00CA2DCD"/>
    <w:rsid w:val="00CB1B40"/>
    <w:rsid w:val="00CB247B"/>
    <w:rsid w:val="00D16D35"/>
    <w:rsid w:val="00D25BFD"/>
    <w:rsid w:val="00D76350"/>
    <w:rsid w:val="00D76E25"/>
    <w:rsid w:val="00D8633B"/>
    <w:rsid w:val="00D86719"/>
    <w:rsid w:val="00D92279"/>
    <w:rsid w:val="00D95D35"/>
    <w:rsid w:val="00DC76F1"/>
    <w:rsid w:val="00DC7754"/>
    <w:rsid w:val="00DE768E"/>
    <w:rsid w:val="00DF7FC7"/>
    <w:rsid w:val="00E05C6D"/>
    <w:rsid w:val="00E05F06"/>
    <w:rsid w:val="00E308DC"/>
    <w:rsid w:val="00E62651"/>
    <w:rsid w:val="00EA2980"/>
    <w:rsid w:val="00EF29CB"/>
    <w:rsid w:val="00EF7BB1"/>
    <w:rsid w:val="00F100E2"/>
    <w:rsid w:val="00F54537"/>
    <w:rsid w:val="00F55EA2"/>
    <w:rsid w:val="00F739F6"/>
    <w:rsid w:val="00F914EB"/>
    <w:rsid w:val="00F9364E"/>
    <w:rsid w:val="00FD3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DA5"/>
  <w15:chartTrackingRefBased/>
  <w15:docId w15:val="{DC671B1E-125A-4148-AD11-E46899F0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5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5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5D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5D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5D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5D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5D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5D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5D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5D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5D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5D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5D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5D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5D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5D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5D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5D35"/>
    <w:rPr>
      <w:rFonts w:eastAsiaTheme="majorEastAsia" w:cstheme="majorBidi"/>
      <w:color w:val="272727" w:themeColor="text1" w:themeTint="D8"/>
    </w:rPr>
  </w:style>
  <w:style w:type="paragraph" w:styleId="Ttulo">
    <w:name w:val="Title"/>
    <w:basedOn w:val="Normal"/>
    <w:next w:val="Normal"/>
    <w:link w:val="TtuloCar"/>
    <w:uiPriority w:val="10"/>
    <w:qFormat/>
    <w:rsid w:val="00D95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5D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5D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5D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5D35"/>
    <w:pPr>
      <w:spacing w:before="160"/>
      <w:jc w:val="center"/>
    </w:pPr>
    <w:rPr>
      <w:i/>
      <w:iCs/>
      <w:color w:val="404040" w:themeColor="text1" w:themeTint="BF"/>
    </w:rPr>
  </w:style>
  <w:style w:type="character" w:customStyle="1" w:styleId="CitaCar">
    <w:name w:val="Cita Car"/>
    <w:basedOn w:val="Fuentedeprrafopredeter"/>
    <w:link w:val="Cita"/>
    <w:uiPriority w:val="29"/>
    <w:rsid w:val="00D95D35"/>
    <w:rPr>
      <w:i/>
      <w:iCs/>
      <w:color w:val="404040" w:themeColor="text1" w:themeTint="BF"/>
    </w:rPr>
  </w:style>
  <w:style w:type="paragraph" w:styleId="Prrafodelista">
    <w:name w:val="List Paragraph"/>
    <w:basedOn w:val="Normal"/>
    <w:uiPriority w:val="34"/>
    <w:qFormat/>
    <w:rsid w:val="00D95D35"/>
    <w:pPr>
      <w:ind w:left="720"/>
      <w:contextualSpacing/>
    </w:pPr>
  </w:style>
  <w:style w:type="character" w:styleId="nfasisintenso">
    <w:name w:val="Intense Emphasis"/>
    <w:basedOn w:val="Fuentedeprrafopredeter"/>
    <w:uiPriority w:val="21"/>
    <w:qFormat/>
    <w:rsid w:val="00D95D35"/>
    <w:rPr>
      <w:i/>
      <w:iCs/>
      <w:color w:val="0F4761" w:themeColor="accent1" w:themeShade="BF"/>
    </w:rPr>
  </w:style>
  <w:style w:type="paragraph" w:styleId="Citadestacada">
    <w:name w:val="Intense Quote"/>
    <w:basedOn w:val="Normal"/>
    <w:next w:val="Normal"/>
    <w:link w:val="CitadestacadaCar"/>
    <w:uiPriority w:val="30"/>
    <w:qFormat/>
    <w:rsid w:val="00D95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5D35"/>
    <w:rPr>
      <w:i/>
      <w:iCs/>
      <w:color w:val="0F4761" w:themeColor="accent1" w:themeShade="BF"/>
    </w:rPr>
  </w:style>
  <w:style w:type="character" w:styleId="Referenciaintensa">
    <w:name w:val="Intense Reference"/>
    <w:basedOn w:val="Fuentedeprrafopredeter"/>
    <w:uiPriority w:val="32"/>
    <w:qFormat/>
    <w:rsid w:val="00D95D35"/>
    <w:rPr>
      <w:b/>
      <w:bCs/>
      <w:smallCaps/>
      <w:color w:val="0F4761" w:themeColor="accent1" w:themeShade="BF"/>
      <w:spacing w:val="5"/>
    </w:rPr>
  </w:style>
  <w:style w:type="paragraph" w:styleId="Encabezado">
    <w:name w:val="header"/>
    <w:basedOn w:val="Normal"/>
    <w:link w:val="EncabezadoCar"/>
    <w:uiPriority w:val="99"/>
    <w:semiHidden/>
    <w:unhideWhenUsed/>
    <w:rsid w:val="00D95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5D35"/>
  </w:style>
  <w:style w:type="paragraph" w:styleId="Piedepgina">
    <w:name w:val="footer"/>
    <w:basedOn w:val="Normal"/>
    <w:link w:val="PiedepginaCar"/>
    <w:uiPriority w:val="99"/>
    <w:semiHidden/>
    <w:unhideWhenUsed/>
    <w:rsid w:val="00D95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95D3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95D3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95D35"/>
    <w:pPr>
      <w:spacing w:after="0" w:line="240" w:lineRule="auto"/>
    </w:pPr>
    <w:rPr>
      <w:sz w:val="20"/>
      <w:szCs w:val="20"/>
      <w:lang w:val="es-MX"/>
    </w:rPr>
  </w:style>
  <w:style w:type="character" w:customStyle="1" w:styleId="TextonotapieCar1">
    <w:name w:val="Texto nota pie Car1"/>
    <w:basedOn w:val="Fuentedeprrafopredeter"/>
    <w:uiPriority w:val="99"/>
    <w:semiHidden/>
    <w:rsid w:val="00D95D35"/>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95D35"/>
    <w:rPr>
      <w:vertAlign w:val="superscript"/>
    </w:rPr>
  </w:style>
  <w:style w:type="table" w:styleId="Tablaconcuadrcula">
    <w:name w:val="Table Grid"/>
    <w:basedOn w:val="Tablanormal"/>
    <w:uiPriority w:val="39"/>
    <w:qFormat/>
    <w:rsid w:val="00D95D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5D35"/>
    <w:rPr>
      <w:color w:val="0000FF"/>
      <w:u w:val="single"/>
    </w:rPr>
  </w:style>
  <w:style w:type="paragraph" w:customStyle="1" w:styleId="Appelnotedebasde">
    <w:name w:val="Appel note de bas de..."/>
    <w:basedOn w:val="Normal"/>
    <w:link w:val="Refdenotaalpie"/>
    <w:uiPriority w:val="99"/>
    <w:rsid w:val="00D95D35"/>
    <w:pPr>
      <w:spacing w:line="240" w:lineRule="exact"/>
    </w:pPr>
    <w:rPr>
      <w:vertAlign w:val="superscript"/>
    </w:rPr>
  </w:style>
  <w:style w:type="character" w:styleId="Textoennegrita">
    <w:name w:val="Strong"/>
    <w:basedOn w:val="Fuentedeprrafopredeter"/>
    <w:uiPriority w:val="22"/>
    <w:qFormat/>
    <w:rsid w:val="00D95D35"/>
    <w:rPr>
      <w:b/>
      <w:bCs/>
    </w:rPr>
  </w:style>
  <w:style w:type="character" w:styleId="Mencinsinresolver">
    <w:name w:val="Unresolved Mention"/>
    <w:basedOn w:val="Fuentedeprrafopredeter"/>
    <w:uiPriority w:val="99"/>
    <w:semiHidden/>
    <w:unhideWhenUsed/>
    <w:rsid w:val="00DF7FC7"/>
    <w:rPr>
      <w:color w:val="605E5C"/>
      <w:shd w:val="clear" w:color="auto" w:fill="E1DFDD"/>
    </w:rPr>
  </w:style>
  <w:style w:type="paragraph" w:customStyle="1" w:styleId="paragraph">
    <w:name w:val="paragraph"/>
    <w:basedOn w:val="Normal"/>
    <w:rsid w:val="00467881"/>
    <w:pPr>
      <w:spacing w:before="100" w:beforeAutospacing="1" w:after="100" w:afterAutospacing="1" w:line="240" w:lineRule="auto"/>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boletin_de_realtoria_iii.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5E0E1-6DF1-48B1-9782-C729A79C9325}">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a6cb9e4b-f1d1-4245-83ec-6cad768d538a"/>
    <ds:schemaRef ds:uri="http://purl.org/dc/dcmitype/"/>
    <ds:schemaRef ds:uri="http://schemas.openxmlformats.org/package/2006/metadata/core-properties"/>
    <ds:schemaRef ds:uri="9d85dbaf-23eb-4e57-a637-93dcacc8b1a1"/>
    <ds:schemaRef ds:uri="http://www.w3.org/XML/1998/namespace"/>
  </ds:schemaRefs>
</ds:datastoreItem>
</file>

<file path=customXml/itemProps2.xml><?xml version="1.0" encoding="utf-8"?>
<ds:datastoreItem xmlns:ds="http://schemas.openxmlformats.org/officeDocument/2006/customXml" ds:itemID="{72D511ED-A181-4925-8857-3FA7791B4F8B}">
  <ds:schemaRefs>
    <ds:schemaRef ds:uri="http://schemas.microsoft.com/sharepoint/v3/contenttype/forms"/>
  </ds:schemaRefs>
</ds:datastoreItem>
</file>

<file path=customXml/itemProps3.xml><?xml version="1.0" encoding="utf-8"?>
<ds:datastoreItem xmlns:ds="http://schemas.openxmlformats.org/officeDocument/2006/customXml" ds:itemID="{EC2FF77A-2092-4B56-9C02-6B87DA19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3448</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Sergio Andrés Rivera Cano</cp:lastModifiedBy>
  <cp:revision>2</cp:revision>
  <dcterms:created xsi:type="dcterms:W3CDTF">2024-09-17T19:21:00Z</dcterms:created>
  <dcterms:modified xsi:type="dcterms:W3CDTF">2024-09-17T19:21:00Z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