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C304E" w14:textId="77777777" w:rsidR="0038548D" w:rsidRPr="00A65973" w:rsidRDefault="0038548D" w:rsidP="0038548D">
      <w:pPr>
        <w:spacing w:after="120"/>
        <w:contextualSpacing/>
        <w:jc w:val="both"/>
        <w:rPr>
          <w:rFonts w:ascii="Verdana" w:eastAsia="Calibri" w:hAnsi="Verdana" w:cs="Arial"/>
          <w:b/>
          <w:lang w:val="es-ES_tradnl" w:eastAsia="es-ES_tradnl"/>
        </w:rPr>
      </w:pPr>
      <w:r w:rsidRPr="00A65973">
        <w:rPr>
          <w:rFonts w:ascii="Verdana" w:eastAsia="Calibri" w:hAnsi="Verdana" w:cs="Arial"/>
          <w:b/>
          <w:lang w:val="es-ES_tradnl" w:eastAsia="es-ES_tradnl"/>
        </w:rPr>
        <w:t xml:space="preserve">CONVOCATORIAS LIMITADAS A MIPYMES </w:t>
      </w:r>
      <w:r w:rsidRPr="00A65973" w:rsidDel="000E7CF4">
        <w:rPr>
          <w:rFonts w:ascii="Verdana" w:eastAsia="Calibri" w:hAnsi="Verdana" w:cs="Arial"/>
          <w:b/>
          <w:lang w:val="es-ES_tradnl" w:eastAsia="es-ES_tradnl"/>
        </w:rPr>
        <w:t>–</w:t>
      </w:r>
      <w:r w:rsidRPr="001076D9" w:rsidDel="000E7CF4">
        <w:rPr>
          <w:rFonts w:ascii="Verdana" w:eastAsia="Calibri" w:hAnsi="Verdana" w:cs="Arial"/>
          <w:b/>
          <w:lang w:val="es-ES_tradnl" w:eastAsia="es-ES_tradnl"/>
        </w:rPr>
        <w:t xml:space="preserve"> </w:t>
      </w:r>
      <w:r w:rsidRPr="00A65973">
        <w:rPr>
          <w:rFonts w:ascii="Verdana" w:eastAsia="Calibri" w:hAnsi="Verdana" w:cs="Arial"/>
          <w:b/>
          <w:lang w:val="es-ES_tradnl" w:eastAsia="es-ES_tradnl"/>
        </w:rPr>
        <w:t>Requisitos</w:t>
      </w:r>
      <w:r>
        <w:rPr>
          <w:rFonts w:ascii="Verdana" w:eastAsia="Calibri" w:hAnsi="Verdana" w:cs="Arial"/>
          <w:b/>
          <w:lang w:val="es-ES_tradnl" w:eastAsia="es-ES_tradnl"/>
        </w:rPr>
        <w:t xml:space="preserve"> </w:t>
      </w:r>
      <w:r w:rsidRPr="00A65973">
        <w:rPr>
          <w:rFonts w:ascii="Verdana" w:eastAsia="Calibri" w:hAnsi="Verdana" w:cs="Arial"/>
          <w:b/>
          <w:lang w:val="es-ES_tradnl" w:eastAsia="es-ES_tradnl"/>
        </w:rPr>
        <w:t xml:space="preserve"> </w:t>
      </w:r>
    </w:p>
    <w:p w14:paraId="51D61A18" w14:textId="77777777" w:rsidR="0038548D" w:rsidRPr="00A65973" w:rsidRDefault="0038548D" w:rsidP="0038548D">
      <w:pPr>
        <w:spacing w:after="120"/>
        <w:contextualSpacing/>
        <w:jc w:val="both"/>
        <w:rPr>
          <w:rFonts w:ascii="Verdana" w:eastAsia="Calibri" w:hAnsi="Verdana" w:cs="Arial"/>
          <w:b/>
          <w:lang w:val="es-ES_tradnl" w:eastAsia="es-ES_tradnl"/>
        </w:rPr>
      </w:pPr>
    </w:p>
    <w:p w14:paraId="1DB3EAEE" w14:textId="77777777" w:rsidR="0038548D" w:rsidRPr="00A65973" w:rsidRDefault="0038548D" w:rsidP="0038548D">
      <w:pPr>
        <w:spacing w:after="0" w:line="240" w:lineRule="auto"/>
        <w:jc w:val="both"/>
        <w:textAlignment w:val="baseline"/>
        <w:rPr>
          <w:rFonts w:ascii="Verdana" w:eastAsia="Times New Roman" w:hAnsi="Verdana" w:cs="Arial"/>
          <w:color w:val="000000"/>
          <w:lang w:eastAsia="es-CO"/>
        </w:rPr>
      </w:pPr>
      <w:r w:rsidRPr="00A65973">
        <w:rPr>
          <w:rFonts w:ascii="Verdana" w:eastAsia="Arial" w:hAnsi="Verdana" w:cs="Arial"/>
          <w:lang w:eastAsia="es-ES_tradnl"/>
        </w:rPr>
        <w:t xml:space="preserve">El artículo 2.2.1.2.4.2.2. del Decreto 1082 de 2015 modificado por el </w:t>
      </w:r>
      <w:r>
        <w:rPr>
          <w:rFonts w:ascii="Verdana" w:eastAsia="Arial" w:hAnsi="Verdana" w:cs="Arial"/>
          <w:lang w:eastAsia="es-ES_tradnl"/>
        </w:rPr>
        <w:t>D</w:t>
      </w:r>
      <w:r w:rsidRPr="00A65973">
        <w:rPr>
          <w:rFonts w:ascii="Verdana" w:eastAsia="Arial" w:hAnsi="Verdana" w:cs="Arial"/>
          <w:lang w:eastAsia="es-ES_tradnl"/>
        </w:rPr>
        <w:t>ecreto 1860 de 2021</w:t>
      </w:r>
      <w:r>
        <w:rPr>
          <w:rFonts w:ascii="Verdana" w:eastAsia="Arial" w:hAnsi="Verdana" w:cs="Arial"/>
          <w:lang w:eastAsia="es-ES_tradnl"/>
        </w:rPr>
        <w:t xml:space="preserve"> </w:t>
      </w:r>
      <w:r w:rsidRPr="00A65973">
        <w:rPr>
          <w:rFonts w:ascii="Verdana" w:eastAsia="Times New Roman" w:hAnsi="Verdana" w:cs="Arial"/>
          <w:color w:val="000000"/>
          <w:lang w:eastAsia="es-CO"/>
        </w:rPr>
        <w:t>establece los requisitos que se deben acreditar en las “convocatorias limitadas a Mipymes”. El primer elemento delimitador del ámbito de aplicación de esta norma deriva del primer inciso en donde se estable</w:t>
      </w:r>
      <w:r>
        <w:rPr>
          <w:rFonts w:ascii="Verdana" w:eastAsia="Times New Roman" w:hAnsi="Verdana" w:cs="Arial"/>
          <w:color w:val="000000"/>
          <w:lang w:eastAsia="es-CO"/>
        </w:rPr>
        <w:t>ce</w:t>
      </w:r>
      <w:r w:rsidRPr="00A65973">
        <w:rPr>
          <w:rFonts w:ascii="Verdana" w:eastAsia="Times New Roman" w:hAnsi="Verdana" w:cs="Arial"/>
          <w:color w:val="000000"/>
          <w:lang w:eastAsia="es-CO"/>
        </w:rPr>
        <w:t xml:space="preserve"> que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 Esta redacción obedece a un cambio introducido por el Decreto 1860 de 2021, el cual solo permitía la limitación a </w:t>
      </w:r>
      <w:proofErr w:type="spellStart"/>
      <w:r w:rsidRPr="00A65973">
        <w:rPr>
          <w:rFonts w:ascii="Verdana" w:eastAsia="Times New Roman" w:hAnsi="Verdana" w:cs="Arial"/>
          <w:color w:val="000000"/>
          <w:lang w:eastAsia="es-CO"/>
        </w:rPr>
        <w:t>mipymes</w:t>
      </w:r>
      <w:proofErr w:type="spellEnd"/>
      <w:r w:rsidRPr="00A65973">
        <w:rPr>
          <w:rFonts w:ascii="Verdana" w:eastAsia="Times New Roman" w:hAnsi="Verdana" w:cs="Arial"/>
          <w:color w:val="000000"/>
          <w:lang w:eastAsia="es-CO"/>
        </w:rPr>
        <w:t xml:space="preserve"> nacionales en los procedimientos de licitación pública, selección abreviada y concurso de méritos.</w:t>
      </w:r>
    </w:p>
    <w:p w14:paraId="1A4868A2" w14:textId="77777777" w:rsidR="0038548D" w:rsidRPr="00A65973" w:rsidRDefault="0038548D" w:rsidP="0038548D">
      <w:pPr>
        <w:spacing w:after="0" w:line="240" w:lineRule="auto"/>
        <w:jc w:val="both"/>
        <w:textAlignment w:val="baseline"/>
        <w:rPr>
          <w:rFonts w:ascii="Verdana" w:eastAsia="Times New Roman" w:hAnsi="Verdana" w:cs="Arial"/>
          <w:color w:val="000000"/>
          <w:lang w:eastAsia="es-CO"/>
        </w:rPr>
      </w:pPr>
    </w:p>
    <w:p w14:paraId="66E2BCDB" w14:textId="77777777" w:rsidR="0038548D" w:rsidRPr="00A65973" w:rsidRDefault="0038548D" w:rsidP="0038548D">
      <w:pPr>
        <w:spacing w:after="0" w:line="240" w:lineRule="auto"/>
        <w:jc w:val="both"/>
        <w:textAlignment w:val="baseline"/>
        <w:rPr>
          <w:rFonts w:ascii="Verdana" w:eastAsia="Times New Roman" w:hAnsi="Verdana" w:cs="Arial"/>
          <w:color w:val="000000"/>
          <w:lang w:eastAsia="es-CO"/>
        </w:rPr>
      </w:pPr>
      <w:r w:rsidRPr="00A65973">
        <w:rPr>
          <w:rFonts w:ascii="Verdana" w:eastAsia="Times New Roman" w:hAnsi="Verdana" w:cs="Arial"/>
          <w:color w:val="000000"/>
          <w:lang w:eastAsia="es-CO"/>
        </w:rPr>
        <w:t xml:space="preserve">El numeral primero limita cuantitativamente los procesos contractuales en los que se puede hacer esa “convocatoria limitada a Mipymes”, en la medida en que el valor del proceso de contratación tendrá que ser “menor a ciento veinticinco mil dólares de los Estados Unidos de América”. </w:t>
      </w:r>
    </w:p>
    <w:p w14:paraId="23740BA1" w14:textId="77777777" w:rsidR="0038548D" w:rsidRPr="00A65973" w:rsidRDefault="0038548D" w:rsidP="0038548D">
      <w:pPr>
        <w:spacing w:after="0" w:line="240" w:lineRule="auto"/>
        <w:jc w:val="both"/>
        <w:textAlignment w:val="baseline"/>
        <w:rPr>
          <w:rFonts w:ascii="Verdana" w:eastAsia="Times New Roman" w:hAnsi="Verdana" w:cs="Arial"/>
          <w:color w:val="000000"/>
          <w:lang w:eastAsia="es-CO"/>
        </w:rPr>
      </w:pPr>
    </w:p>
    <w:p w14:paraId="35EEF2CF" w14:textId="77777777" w:rsidR="0038548D" w:rsidRPr="00A65973" w:rsidRDefault="0038548D" w:rsidP="0038548D">
      <w:pPr>
        <w:spacing w:after="0" w:line="240" w:lineRule="auto"/>
        <w:jc w:val="both"/>
        <w:textAlignment w:val="baseline"/>
        <w:rPr>
          <w:rFonts w:ascii="Verdana" w:eastAsia="Times New Roman" w:hAnsi="Verdana" w:cs="Arial"/>
          <w:color w:val="000000"/>
          <w:lang w:eastAsia="es-CO"/>
        </w:rPr>
      </w:pPr>
      <w:r w:rsidRPr="00A65973">
        <w:rPr>
          <w:rFonts w:ascii="Verdana" w:eastAsia="Times New Roman" w:hAnsi="Verdana" w:cs="Arial"/>
          <w:color w:val="000000"/>
          <w:lang w:eastAsia="es-CO"/>
        </w:rPr>
        <w:t>(…)</w:t>
      </w:r>
    </w:p>
    <w:p w14:paraId="2AE5C871" w14:textId="77777777" w:rsidR="0038548D" w:rsidRPr="00A65973" w:rsidRDefault="0038548D" w:rsidP="0038548D">
      <w:pPr>
        <w:spacing w:after="0" w:line="240" w:lineRule="auto"/>
        <w:jc w:val="both"/>
        <w:textAlignment w:val="baseline"/>
        <w:rPr>
          <w:rFonts w:ascii="Verdana" w:eastAsia="Times New Roman" w:hAnsi="Verdana" w:cs="Arial"/>
          <w:color w:val="000000"/>
          <w:lang w:eastAsia="es-CO"/>
        </w:rPr>
      </w:pPr>
    </w:p>
    <w:p w14:paraId="4C475757" w14:textId="77777777" w:rsidR="0038548D" w:rsidRPr="00A65973" w:rsidRDefault="0038548D" w:rsidP="0038548D">
      <w:pPr>
        <w:spacing w:after="0" w:line="240" w:lineRule="auto"/>
        <w:jc w:val="both"/>
        <w:textAlignment w:val="baseline"/>
        <w:rPr>
          <w:rFonts w:ascii="Verdana" w:eastAsia="Times New Roman" w:hAnsi="Verdana" w:cs="Arial"/>
          <w:color w:val="000000"/>
          <w:lang w:eastAsia="es-CO"/>
        </w:rPr>
      </w:pPr>
      <w:r w:rsidRPr="00A65973">
        <w:rPr>
          <w:rFonts w:ascii="Verdana" w:eastAsia="Times New Roman" w:hAnsi="Verdana" w:cs="Arial"/>
          <w:color w:val="000000"/>
          <w:lang w:eastAsia="es-CO"/>
        </w:rPr>
        <w:t>El numeral segundo establece dos exigencias: por un lado, que al menos dos (2) Mipymes nacionales presenten a la entidad la solicitud formal de limitar el proceso contractual; y por el otro, que hagan la solicitud por lo menos un (1) día hábil antes de la expedición del acto administrativo de apertura, o el que haga sus veces de acuerdo con la normativa aplicable a cada Proceso de Contratación. Adicionalmente, el segundo inciso del numeral 2 de la norma indica que, tratándose de personas jurídicas, solo podrán realizar solicitudes las “(…) Mipyme, cuyo objeto social les permita ejecutar el contrato relacionado con el proceso contractual”.</w:t>
      </w:r>
    </w:p>
    <w:p w14:paraId="67EE7899" w14:textId="77777777" w:rsidR="0038548D" w:rsidRPr="00A65973" w:rsidRDefault="0038548D" w:rsidP="0038548D">
      <w:pPr>
        <w:spacing w:after="0" w:line="240" w:lineRule="auto"/>
        <w:jc w:val="both"/>
        <w:textAlignment w:val="baseline"/>
        <w:rPr>
          <w:rFonts w:ascii="Verdana" w:eastAsia="Times New Roman" w:hAnsi="Verdana" w:cs="Arial"/>
          <w:color w:val="000000"/>
          <w:lang w:eastAsia="es-CO"/>
        </w:rPr>
      </w:pPr>
    </w:p>
    <w:p w14:paraId="4295772C" w14:textId="77777777" w:rsidR="0038548D" w:rsidRPr="00A65973" w:rsidRDefault="0038548D" w:rsidP="0038548D">
      <w:pPr>
        <w:spacing w:after="0" w:line="240" w:lineRule="auto"/>
        <w:jc w:val="both"/>
        <w:textAlignment w:val="baseline"/>
        <w:rPr>
          <w:rFonts w:ascii="Verdana" w:eastAsia="Calibri" w:hAnsi="Verdana" w:cs="Arial"/>
          <w:b/>
          <w:lang w:val="es-MX" w:eastAsia="es-ES_tradnl"/>
        </w:rPr>
      </w:pPr>
      <w:r w:rsidRPr="00A65973">
        <w:rPr>
          <w:rFonts w:ascii="Verdana" w:eastAsia="Calibri" w:hAnsi="Verdana" w:cs="Arial"/>
          <w:b/>
          <w:lang w:val="es-MX" w:eastAsia="es-ES_tradnl"/>
        </w:rPr>
        <w:t xml:space="preserve">REGISTRO MERCANTIL – Definición </w:t>
      </w:r>
    </w:p>
    <w:p w14:paraId="7B09BAE8" w14:textId="77777777" w:rsidR="0038548D" w:rsidRPr="00A65973" w:rsidRDefault="0038548D" w:rsidP="0038548D">
      <w:pPr>
        <w:spacing w:after="0" w:line="240" w:lineRule="auto"/>
        <w:jc w:val="both"/>
        <w:textAlignment w:val="baseline"/>
        <w:rPr>
          <w:rFonts w:ascii="Verdana" w:eastAsia="Calibri" w:hAnsi="Verdana" w:cs="Arial"/>
          <w:bCs/>
          <w:lang w:val="es-MX" w:eastAsia="es-ES_tradnl"/>
        </w:rPr>
      </w:pPr>
    </w:p>
    <w:p w14:paraId="3F545403" w14:textId="77777777" w:rsidR="0038548D" w:rsidRPr="00A65973" w:rsidRDefault="0038548D" w:rsidP="0038548D">
      <w:pPr>
        <w:spacing w:after="0" w:line="240" w:lineRule="auto"/>
        <w:jc w:val="both"/>
        <w:textAlignment w:val="baseline"/>
        <w:rPr>
          <w:rFonts w:ascii="Verdana" w:eastAsia="Times New Roman" w:hAnsi="Verdana" w:cs="Arial"/>
          <w:color w:val="000000"/>
          <w:lang w:eastAsia="es-CO"/>
        </w:rPr>
      </w:pPr>
      <w:r w:rsidRPr="00A65973">
        <w:rPr>
          <w:rFonts w:ascii="Verdana" w:hAnsi="Verdana" w:cs="Arial"/>
          <w:bCs/>
          <w:lang w:val="es-ES_tradnl" w:eastAsia="es-ES"/>
        </w:rPr>
        <w:t xml:space="preserve">El registro mercantil es un instrumento de publicidad para la vida comercial, cuyo objeto es permitir al público el conocimiento de ciertos datos relevantes para el tráfico mercantil, </w:t>
      </w:r>
      <w:r w:rsidRPr="009D22AD">
        <w:rPr>
          <w:rFonts w:ascii="Verdana" w:hAnsi="Verdana" w:cs="Arial"/>
          <w:bCs/>
          <w:lang w:val="es-ES_tradnl" w:eastAsia="es-ES"/>
        </w:rPr>
        <w:t>y destacó la Corte Constitucional que</w:t>
      </w:r>
      <w:r w:rsidRPr="00A65973">
        <w:rPr>
          <w:rFonts w:ascii="Verdana" w:hAnsi="Verdana" w:cs="Arial"/>
          <w:bCs/>
          <w:lang w:val="es-ES_tradnl" w:eastAsia="es-ES"/>
        </w:rPr>
        <w:t xml:space="preserve">, </w:t>
      </w:r>
      <w:r>
        <w:rPr>
          <w:rFonts w:ascii="Verdana" w:hAnsi="Verdana" w:cs="Arial"/>
          <w:bCs/>
          <w:lang w:val="es-ES_tradnl" w:eastAsia="es-ES"/>
        </w:rPr>
        <w:t>“</w:t>
      </w:r>
      <w:r w:rsidRPr="00A65973">
        <w:rPr>
          <w:rFonts w:ascii="Verdana" w:hAnsi="Verdana" w:cs="Arial"/>
          <w:bCs/>
          <w:lang w:val="es-ES_tradnl" w:eastAsia="es-ES"/>
        </w:rPr>
        <w:t>como algunos hechos y actividades de esta naturaleza producen efectos no sólo entre la partes, sino también frente a terceros, es menester, por razones de seguridad jurídica, que exista un mecanismo para su conocimiento público; por ello, la ley impone al comerciante la obligación de dar publicidad a tales hechos o actos, así como su propia condición de comerciante</w:t>
      </w:r>
      <w:r>
        <w:rPr>
          <w:rFonts w:ascii="Verdana" w:hAnsi="Verdana" w:cs="Arial"/>
          <w:bCs/>
          <w:lang w:val="es-ES_tradnl" w:eastAsia="es-ES"/>
        </w:rPr>
        <w:t>”</w:t>
      </w:r>
      <w:r w:rsidRPr="00A65973">
        <w:rPr>
          <w:rFonts w:ascii="Verdana" w:hAnsi="Verdana" w:cs="Arial"/>
          <w:bCs/>
          <w:lang w:val="es-ES_tradnl" w:eastAsia="es-ES"/>
        </w:rPr>
        <w:t>.</w:t>
      </w:r>
    </w:p>
    <w:p w14:paraId="2127C8FD" w14:textId="77777777" w:rsidR="0038548D" w:rsidRPr="00A65973" w:rsidRDefault="0038548D" w:rsidP="0038548D">
      <w:pPr>
        <w:spacing w:after="0"/>
        <w:rPr>
          <w:rFonts w:ascii="Verdana" w:hAnsi="Verdana"/>
          <w:lang w:val="es-ES_tradnl"/>
        </w:rPr>
      </w:pPr>
    </w:p>
    <w:p w14:paraId="0E5659D8" w14:textId="77777777" w:rsidR="0038548D" w:rsidRPr="00A65973" w:rsidRDefault="0038548D" w:rsidP="0038548D">
      <w:pPr>
        <w:spacing w:after="0"/>
        <w:rPr>
          <w:rFonts w:ascii="Verdana" w:hAnsi="Verdana"/>
        </w:rPr>
      </w:pPr>
    </w:p>
    <w:p w14:paraId="21C17555" w14:textId="77777777" w:rsidR="0038548D" w:rsidRPr="00A65973" w:rsidRDefault="0038548D" w:rsidP="0038548D">
      <w:pPr>
        <w:spacing w:after="0"/>
        <w:rPr>
          <w:rFonts w:ascii="Verdana" w:hAnsi="Verdana"/>
          <w:b/>
        </w:rPr>
      </w:pPr>
      <w:r w:rsidRPr="00A65973">
        <w:rPr>
          <w:rFonts w:ascii="Verdana" w:eastAsia="Calibri" w:hAnsi="Verdana" w:cs="Arial"/>
          <w:b/>
          <w:lang w:val="es-MX" w:eastAsia="es-ES_tradnl"/>
        </w:rPr>
        <w:t>REGISTRO MERCANTIL – Vigencia – Renovación</w:t>
      </w:r>
    </w:p>
    <w:p w14:paraId="15BF0AC2" w14:textId="77777777" w:rsidR="0038548D" w:rsidRPr="00A65973" w:rsidRDefault="0038548D" w:rsidP="0038548D">
      <w:pPr>
        <w:spacing w:after="0"/>
        <w:rPr>
          <w:rFonts w:ascii="Verdana" w:hAnsi="Verdana"/>
        </w:rPr>
      </w:pPr>
    </w:p>
    <w:p w14:paraId="5D0C75E3" w14:textId="77777777" w:rsidR="0038548D" w:rsidRPr="00A65973" w:rsidRDefault="0038548D" w:rsidP="0038548D">
      <w:pPr>
        <w:spacing w:after="0"/>
        <w:jc w:val="both"/>
        <w:rPr>
          <w:rFonts w:ascii="Verdana" w:hAnsi="Verdana"/>
        </w:rPr>
      </w:pPr>
      <w:r w:rsidRPr="00A65973">
        <w:rPr>
          <w:rFonts w:ascii="Verdana" w:hAnsi="Verdana" w:cs="Arial"/>
          <w:bCs/>
          <w:lang w:val="es-ES_tradnl" w:eastAsia="es-ES"/>
        </w:rPr>
        <w:t>La base de datos constituida por el registro mercantil actualizable anualmente, sugiere la compilación de una información que es connatural a la actividad comercial, en tanto su desarrollo implica tener certeza de quiénes, cómo y con qué se participa en ella”. Y agregó que “[…] el registro mercantil permanentemente actualizado, presta a la actividad económica la posibilidad de configuración de uno de sus supuestos más importantes, cual es el de (i) la organización, de la que se deriva igualmente otro elemento esencial no sólo al ejercicio del intercambio comercial sino a la dinámica misma del Estado Constitucional de Derecho, que es (ii) la seguridad jurídica; todo esto, a través de la satisfacción de otro principio fundamental de las actividades económicas, cual es el de (iii) la publicidad.”</w:t>
      </w:r>
    </w:p>
    <w:p w14:paraId="42137542" w14:textId="77777777" w:rsidR="0038548D" w:rsidRDefault="0038548D" w:rsidP="0038548D">
      <w:pPr>
        <w:spacing w:after="0"/>
        <w:rPr>
          <w:rFonts w:ascii="Verdana" w:hAnsi="Verdana"/>
        </w:rPr>
      </w:pPr>
    </w:p>
    <w:p w14:paraId="7F863F1D" w14:textId="77777777" w:rsidR="0038548D" w:rsidRPr="00F86D43" w:rsidRDefault="0038548D" w:rsidP="0038548D">
      <w:pPr>
        <w:spacing w:after="0"/>
        <w:jc w:val="both"/>
        <w:rPr>
          <w:rFonts w:ascii="Verdana" w:hAnsi="Verdana"/>
          <w:b/>
        </w:rPr>
      </w:pPr>
      <w:r w:rsidRPr="00F86D43">
        <w:rPr>
          <w:rFonts w:ascii="Verdana" w:hAnsi="Verdana"/>
          <w:b/>
          <w:bCs/>
        </w:rPr>
        <w:t xml:space="preserve">CONVOCATORIA </w:t>
      </w:r>
      <w:r>
        <w:rPr>
          <w:rFonts w:ascii="Verdana" w:hAnsi="Verdana"/>
          <w:b/>
          <w:bCs/>
        </w:rPr>
        <w:t xml:space="preserve">LIMITADA A </w:t>
      </w:r>
      <w:r w:rsidRPr="00F86D43">
        <w:rPr>
          <w:rFonts w:ascii="Verdana" w:hAnsi="Verdana"/>
          <w:b/>
          <w:bCs/>
        </w:rPr>
        <w:t xml:space="preserve">MIPYMES – </w:t>
      </w:r>
      <w:r>
        <w:rPr>
          <w:rFonts w:ascii="Verdana" w:hAnsi="Verdana"/>
          <w:b/>
        </w:rPr>
        <w:t>S</w:t>
      </w:r>
      <w:r w:rsidRPr="00F86D43">
        <w:rPr>
          <w:rFonts w:ascii="Verdana" w:hAnsi="Verdana"/>
          <w:b/>
        </w:rPr>
        <w:t xml:space="preserve">olicitud </w:t>
      </w:r>
      <w:r>
        <w:rPr>
          <w:rFonts w:ascii="Verdana" w:hAnsi="Verdana"/>
          <w:b/>
        </w:rPr>
        <w:t>de limitación –</w:t>
      </w:r>
      <w:r w:rsidRPr="00F86D43">
        <w:rPr>
          <w:rFonts w:ascii="Verdana" w:hAnsi="Verdana"/>
          <w:b/>
          <w:bCs/>
        </w:rPr>
        <w:t xml:space="preserve"> </w:t>
      </w:r>
      <w:r>
        <w:rPr>
          <w:rFonts w:ascii="Verdana" w:hAnsi="Verdana"/>
          <w:b/>
          <w:bCs/>
        </w:rPr>
        <w:t xml:space="preserve">Documentos </w:t>
      </w:r>
    </w:p>
    <w:p w14:paraId="5C302914" w14:textId="77777777" w:rsidR="0038548D" w:rsidRPr="00F86D43" w:rsidRDefault="0038548D" w:rsidP="0038548D">
      <w:pPr>
        <w:spacing w:after="0"/>
        <w:rPr>
          <w:rFonts w:ascii="Verdana" w:hAnsi="Verdana"/>
          <w:b/>
          <w:bCs/>
        </w:rPr>
      </w:pPr>
    </w:p>
    <w:p w14:paraId="3EA4D389" w14:textId="77777777" w:rsidR="0038548D" w:rsidRPr="001E26B3" w:rsidRDefault="0038548D" w:rsidP="0038548D">
      <w:pPr>
        <w:spacing w:after="120" w:line="276" w:lineRule="auto"/>
        <w:jc w:val="both"/>
        <w:rPr>
          <w:rFonts w:ascii="Verdana" w:eastAsia="Arial" w:hAnsi="Verdana" w:cs="Arial"/>
          <w:lang w:eastAsia="es-ES_tradnl"/>
        </w:rPr>
      </w:pPr>
      <w:r w:rsidRPr="001E26B3">
        <w:rPr>
          <w:rFonts w:ascii="Verdana" w:eastAsia="Century Gothic" w:hAnsi="Verdana" w:cs="Century Gothic"/>
        </w:rPr>
        <w:t xml:space="preserve">Los requisitos para solicitar la limitación de una convocatoria a Mipymes se encuentran de manera simultánea en los </w:t>
      </w:r>
      <w:r w:rsidRPr="001E26B3">
        <w:rPr>
          <w:rFonts w:ascii="Verdana" w:eastAsia="Arial" w:hAnsi="Verdana" w:cs="Arial"/>
          <w:lang w:eastAsia="es-ES_tradnl"/>
        </w:rPr>
        <w:t>artículo</w:t>
      </w:r>
      <w:r>
        <w:rPr>
          <w:rFonts w:ascii="Verdana" w:eastAsia="Arial" w:hAnsi="Verdana" w:cs="Arial"/>
          <w:lang w:eastAsia="es-ES_tradnl"/>
        </w:rPr>
        <w:t>s</w:t>
      </w:r>
      <w:r w:rsidRPr="001E26B3">
        <w:rPr>
          <w:rFonts w:ascii="Verdana" w:eastAsia="Arial" w:hAnsi="Verdana" w:cs="Arial"/>
          <w:lang w:eastAsia="es-ES_tradnl"/>
        </w:rPr>
        <w:t xml:space="preserve"> 2.2.1.2.4.2.2. y el </w:t>
      </w:r>
      <w:r w:rsidRPr="001E26B3">
        <w:rPr>
          <w:rFonts w:ascii="Verdana" w:eastAsia="Times New Roman" w:hAnsi="Verdana" w:cs="Arial"/>
          <w:color w:val="000000"/>
          <w:lang w:eastAsia="es-CO"/>
        </w:rPr>
        <w:t xml:space="preserve">parágrafo 2 del artículo </w:t>
      </w:r>
      <w:r w:rsidRPr="001E26B3">
        <w:rPr>
          <w:rFonts w:ascii="Verdana" w:eastAsia="Calibri" w:hAnsi="Verdana" w:cs="Arial"/>
          <w:bCs/>
          <w:sz w:val="21"/>
          <w:szCs w:val="21"/>
          <w:lang w:val="es-ES_tradnl" w:eastAsia="es-ES_tradnl"/>
        </w:rPr>
        <w:t xml:space="preserve">2.2.1.2.4.2.4 </w:t>
      </w:r>
      <w:r w:rsidRPr="001E26B3">
        <w:rPr>
          <w:rFonts w:ascii="Verdana" w:eastAsia="Arial" w:hAnsi="Verdana" w:cs="Arial"/>
          <w:lang w:eastAsia="es-ES_tradnl"/>
        </w:rPr>
        <w:t>del Decreto 1082 de 2015; de la siguiente manera.</w:t>
      </w:r>
    </w:p>
    <w:p w14:paraId="5453FE7E" w14:textId="77777777" w:rsidR="0038548D" w:rsidRPr="00622B7E" w:rsidRDefault="0038548D" w:rsidP="0038548D">
      <w:pPr>
        <w:spacing w:after="120" w:line="276" w:lineRule="auto"/>
        <w:jc w:val="both"/>
        <w:rPr>
          <w:rFonts w:ascii="Verdana" w:eastAsia="Times New Roman" w:hAnsi="Verdana" w:cs="Arial"/>
          <w:color w:val="000000"/>
          <w:lang w:eastAsia="es-CO"/>
        </w:rPr>
      </w:pPr>
      <w:r w:rsidRPr="00622B7E">
        <w:rPr>
          <w:rFonts w:ascii="Verdana" w:eastAsia="Times New Roman" w:hAnsi="Verdana" w:cs="Arial"/>
          <w:color w:val="000000"/>
          <w:lang w:eastAsia="es-CO"/>
        </w:rPr>
        <w:t xml:space="preserve">El artículo 2.2.1.2.4.2.2. </w:t>
      </w:r>
      <w:r>
        <w:rPr>
          <w:rFonts w:ascii="Verdana" w:eastAsia="Times New Roman" w:hAnsi="Verdana" w:cs="Arial"/>
          <w:color w:val="000000"/>
          <w:lang w:eastAsia="es-CO"/>
        </w:rPr>
        <w:t xml:space="preserve">del </w:t>
      </w:r>
      <w:r w:rsidRPr="00622B7E">
        <w:rPr>
          <w:rFonts w:ascii="Verdana" w:eastAsia="Times New Roman" w:hAnsi="Verdana" w:cs="Arial"/>
          <w:color w:val="000000"/>
          <w:lang w:eastAsia="es-CO"/>
        </w:rPr>
        <w:t>Decreto 1082 de 2015</w:t>
      </w:r>
      <w:r>
        <w:rPr>
          <w:rFonts w:ascii="Verdana" w:eastAsia="Times New Roman" w:hAnsi="Verdana" w:cs="Arial"/>
          <w:color w:val="000000"/>
          <w:lang w:eastAsia="es-CO"/>
        </w:rPr>
        <w:t xml:space="preserve"> </w:t>
      </w:r>
      <w:r w:rsidRPr="00622B7E">
        <w:rPr>
          <w:rFonts w:ascii="Verdana" w:eastAsia="Times New Roman" w:hAnsi="Verdana" w:cs="Arial"/>
          <w:color w:val="000000"/>
          <w:lang w:eastAsia="es-CO"/>
        </w:rPr>
        <w:t xml:space="preserve">establece que </w:t>
      </w:r>
      <w:r>
        <w:rPr>
          <w:rFonts w:ascii="Verdana" w:eastAsia="Times New Roman" w:hAnsi="Verdana" w:cs="Arial"/>
          <w:color w:val="000000"/>
          <w:lang w:eastAsia="es-CO"/>
        </w:rPr>
        <w:t>los proponentes</w:t>
      </w:r>
      <w:r w:rsidRPr="00622B7E">
        <w:rPr>
          <w:rFonts w:ascii="Verdana" w:eastAsia="Times New Roman" w:hAnsi="Verdana" w:cs="Arial"/>
          <w:color w:val="000000"/>
          <w:lang w:eastAsia="es-CO"/>
        </w:rPr>
        <w:t xml:space="preserve"> interesad</w:t>
      </w:r>
      <w:r>
        <w:rPr>
          <w:rFonts w:ascii="Verdana" w:eastAsia="Times New Roman" w:hAnsi="Verdana" w:cs="Arial"/>
          <w:color w:val="000000"/>
          <w:lang w:eastAsia="es-CO"/>
        </w:rPr>
        <w:t>os</w:t>
      </w:r>
      <w:r w:rsidRPr="00622B7E">
        <w:rPr>
          <w:rFonts w:ascii="Verdana" w:eastAsia="Times New Roman" w:hAnsi="Verdana" w:cs="Arial"/>
          <w:color w:val="000000"/>
          <w:lang w:eastAsia="es-CO"/>
        </w:rPr>
        <w:t xml:space="preserve"> en solicitar</w:t>
      </w:r>
      <w:r>
        <w:rPr>
          <w:rFonts w:ascii="Verdana" w:eastAsia="Times New Roman" w:hAnsi="Verdana" w:cs="Arial"/>
          <w:color w:val="000000"/>
          <w:lang w:eastAsia="es-CO"/>
        </w:rPr>
        <w:t xml:space="preserve"> la limitación de</w:t>
      </w:r>
      <w:r w:rsidRPr="00622B7E">
        <w:rPr>
          <w:rFonts w:ascii="Verdana" w:eastAsia="Times New Roman" w:hAnsi="Verdana" w:cs="Arial"/>
          <w:color w:val="000000"/>
          <w:lang w:eastAsia="es-CO"/>
        </w:rPr>
        <w:t xml:space="preserve"> una convocatoria a Mipymes deben cumplir los siguientes requisitos: </w:t>
      </w:r>
    </w:p>
    <w:p w14:paraId="35570BCE" w14:textId="77777777" w:rsidR="0038548D" w:rsidRPr="001E26B3" w:rsidRDefault="0038548D" w:rsidP="0038548D">
      <w:pPr>
        <w:spacing w:after="120" w:line="276" w:lineRule="auto"/>
        <w:ind w:left="709" w:right="709"/>
        <w:jc w:val="both"/>
        <w:rPr>
          <w:rFonts w:ascii="Verdana" w:eastAsia="Arial" w:hAnsi="Verdana" w:cs="Arial"/>
          <w:lang w:eastAsia="es-ES_tradnl"/>
        </w:rPr>
      </w:pPr>
      <w:r w:rsidRPr="001E26B3">
        <w:rPr>
          <w:rFonts w:ascii="Verdana" w:eastAsia="Arial" w:hAnsi="Verdana" w:cs="Arial"/>
          <w:lang w:eastAsia="es-ES_tradnl"/>
        </w:rPr>
        <w:t xml:space="preserve">i. presentación de la respectiva solicitud, la cual deberá </w:t>
      </w:r>
      <w:proofErr w:type="spellStart"/>
      <w:r w:rsidRPr="001E26B3">
        <w:rPr>
          <w:rFonts w:ascii="Verdana" w:eastAsia="Arial" w:hAnsi="Verdana" w:cs="Arial"/>
          <w:lang w:eastAsia="es-ES_tradnl"/>
        </w:rPr>
        <w:t>allegar</w:t>
      </w:r>
      <w:proofErr w:type="spellEnd"/>
      <w:r w:rsidRPr="001E26B3">
        <w:rPr>
          <w:rFonts w:ascii="Verdana" w:eastAsia="Arial" w:hAnsi="Verdana" w:cs="Arial"/>
          <w:lang w:eastAsia="es-ES_tradnl"/>
        </w:rPr>
        <w:t xml:space="preserve"> a la entidad por lo menos un (1) día hábil antes de la expedición del acto de apertura, o el que haga sus veces de acuerdo con la normativa aplicable a cada Proceso de Contratación.</w:t>
      </w:r>
    </w:p>
    <w:p w14:paraId="676CA41E" w14:textId="77777777" w:rsidR="0038548D" w:rsidRPr="001E26B3" w:rsidRDefault="0038548D" w:rsidP="0038548D">
      <w:pPr>
        <w:spacing w:after="120" w:line="276" w:lineRule="auto"/>
        <w:ind w:left="709" w:right="709"/>
        <w:jc w:val="both"/>
        <w:rPr>
          <w:rFonts w:ascii="Verdana" w:eastAsia="Arial" w:hAnsi="Verdana" w:cs="Arial"/>
          <w:lang w:eastAsia="es-ES_tradnl"/>
        </w:rPr>
      </w:pPr>
      <w:r w:rsidRPr="001E26B3">
        <w:rPr>
          <w:rFonts w:ascii="Verdana" w:eastAsia="Arial" w:hAnsi="Verdana" w:cs="Arial"/>
          <w:lang w:eastAsia="es-ES_tradnl"/>
        </w:rPr>
        <w:t xml:space="preserve"> ii. Tratándose de personas jurídicas, las solicitudes solo las podrán realizar Mipyme, cuyo objeto social les permita ejecutar el contrato relacionado con el proceso contractual.</w:t>
      </w:r>
    </w:p>
    <w:p w14:paraId="4DE0FB46" w14:textId="77777777" w:rsidR="0038548D" w:rsidRPr="001E26B3" w:rsidRDefault="0038548D" w:rsidP="0038548D">
      <w:pPr>
        <w:spacing w:after="120" w:line="276" w:lineRule="auto"/>
        <w:jc w:val="both"/>
        <w:rPr>
          <w:rFonts w:ascii="Verdana" w:eastAsia="Arial" w:hAnsi="Verdana" w:cs="Arial"/>
          <w:lang w:eastAsia="es-ES_tradnl"/>
        </w:rPr>
      </w:pPr>
      <w:r w:rsidRPr="001E26B3">
        <w:rPr>
          <w:rFonts w:ascii="Verdana" w:eastAsia="Arial" w:hAnsi="Verdana" w:cs="Arial"/>
          <w:lang w:eastAsia="es-ES_tradnl"/>
        </w:rPr>
        <w:t xml:space="preserve">Por su parte el parágrafo 2 del </w:t>
      </w:r>
      <w:r w:rsidRPr="001E26B3">
        <w:rPr>
          <w:rFonts w:ascii="Verdana" w:eastAsia="Times New Roman" w:hAnsi="Verdana" w:cs="Arial"/>
          <w:color w:val="000000"/>
          <w:lang w:eastAsia="es-CO"/>
        </w:rPr>
        <w:t xml:space="preserve">artículo </w:t>
      </w:r>
      <w:r w:rsidRPr="001E26B3">
        <w:rPr>
          <w:rFonts w:ascii="Verdana" w:eastAsia="Calibri" w:hAnsi="Verdana" w:cs="Arial"/>
          <w:bCs/>
          <w:sz w:val="21"/>
          <w:szCs w:val="21"/>
          <w:lang w:val="es-ES_tradnl" w:eastAsia="es-ES_tradnl"/>
        </w:rPr>
        <w:t xml:space="preserve">2.2.1.2.4.2.4 </w:t>
      </w:r>
      <w:r>
        <w:rPr>
          <w:rFonts w:ascii="Verdana" w:eastAsia="Calibri" w:hAnsi="Verdana" w:cs="Arial"/>
          <w:bCs/>
          <w:sz w:val="21"/>
          <w:szCs w:val="21"/>
          <w:lang w:val="es-ES_tradnl" w:eastAsia="es-ES_tradnl"/>
        </w:rPr>
        <w:t xml:space="preserve">del </w:t>
      </w:r>
      <w:r w:rsidRPr="001E26B3">
        <w:rPr>
          <w:rFonts w:ascii="Verdana" w:eastAsia="Arial" w:hAnsi="Verdana" w:cs="Arial"/>
          <w:lang w:eastAsia="es-ES_tradnl"/>
        </w:rPr>
        <w:t xml:space="preserve">Decreto 1082 de 2015, señala que para efectos de la limitación a Mipyme, los proponentes: </w:t>
      </w:r>
    </w:p>
    <w:p w14:paraId="45382BD7" w14:textId="281D0520" w:rsidR="0038548D" w:rsidRPr="005F70D1" w:rsidRDefault="0038548D" w:rsidP="005F70D1">
      <w:pPr>
        <w:spacing w:after="120" w:line="276" w:lineRule="auto"/>
        <w:ind w:left="709" w:right="709"/>
        <w:jc w:val="both"/>
        <w:rPr>
          <w:rFonts w:ascii="Verdana" w:eastAsia="Arial" w:hAnsi="Verdana" w:cs="Arial"/>
          <w:lang w:eastAsia="es-ES_tradnl"/>
        </w:rPr>
      </w:pPr>
      <w:r w:rsidRPr="001E26B3">
        <w:rPr>
          <w:rFonts w:ascii="Verdana" w:eastAsia="Arial" w:hAnsi="Verdana" w:cs="Arial"/>
          <w:lang w:eastAsia="es-ES_tradnl"/>
        </w:rPr>
        <w:t>i.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w:t>
      </w:r>
    </w:p>
    <w:p w14:paraId="16F6A8C8" w14:textId="77777777" w:rsidR="0038548D" w:rsidRDefault="0038548D" w:rsidP="0038548D">
      <w:pPr>
        <w:spacing w:after="0"/>
        <w:rPr>
          <w:rFonts w:ascii="Verdana" w:hAnsi="Verdana"/>
        </w:rPr>
      </w:pPr>
    </w:p>
    <w:p w14:paraId="0FB5B3B0" w14:textId="77777777" w:rsidR="0038548D" w:rsidRDefault="0038548D" w:rsidP="0038548D">
      <w:pPr>
        <w:spacing w:after="0"/>
        <w:rPr>
          <w:rFonts w:ascii="Verdana" w:hAnsi="Verdana"/>
        </w:rPr>
      </w:pPr>
    </w:p>
    <w:p w14:paraId="48BB0ECD" w14:textId="77777777" w:rsidR="0038548D" w:rsidRPr="00A65973" w:rsidRDefault="0038548D" w:rsidP="0038548D">
      <w:pPr>
        <w:spacing w:after="0"/>
        <w:rPr>
          <w:rFonts w:ascii="Verdana" w:hAnsi="Verdana"/>
        </w:rPr>
      </w:pPr>
      <w:r w:rsidRPr="00A65973">
        <w:rPr>
          <w:rFonts w:ascii="Verdana" w:hAnsi="Verdana"/>
        </w:rPr>
        <w:t>Bogotá D.C., [Día] [</w:t>
      </w:r>
      <w:proofErr w:type="spellStart"/>
      <w:r w:rsidRPr="00A65973">
        <w:rPr>
          <w:rFonts w:ascii="Verdana" w:hAnsi="Verdana"/>
        </w:rPr>
        <w:t>Mes.NombreCapitalizado</w:t>
      </w:r>
      <w:proofErr w:type="spellEnd"/>
      <w:r w:rsidRPr="00A65973">
        <w:rPr>
          <w:rFonts w:ascii="Verdana" w:hAnsi="Verdana"/>
        </w:rPr>
        <w:t>] [Año]</w:t>
      </w:r>
    </w:p>
    <w:p w14:paraId="4B339A3A" w14:textId="3C407C7B" w:rsidR="0038548D" w:rsidRPr="00A65973" w:rsidRDefault="005F70D1" w:rsidP="0038548D">
      <w:pPr>
        <w:spacing w:after="0"/>
        <w:rPr>
          <w:rFonts w:ascii="Verdana" w:hAnsi="Verdana"/>
        </w:rPr>
      </w:pPr>
      <w:r w:rsidRPr="005F70D1">
        <w:rPr>
          <w:rFonts w:ascii="Verdana" w:eastAsia="Calibri" w:hAnsi="Verdana" w:cs="Arial"/>
          <w:noProof/>
          <w:lang w:val="es-ES"/>
        </w:rPr>
        <w:drawing>
          <wp:anchor distT="0" distB="0" distL="114300" distR="114300" simplePos="0" relativeHeight="251658240" behindDoc="1" locked="0" layoutInCell="1" allowOverlap="1" wp14:anchorId="589D33FB" wp14:editId="0A8E7AE2">
            <wp:simplePos x="0" y="0"/>
            <wp:positionH relativeFrom="column">
              <wp:posOffset>3865418</wp:posOffset>
            </wp:positionH>
            <wp:positionV relativeFrom="paragraph">
              <wp:posOffset>184785</wp:posOffset>
            </wp:positionV>
            <wp:extent cx="2648626" cy="736600"/>
            <wp:effectExtent l="0" t="0" r="5715" b="0"/>
            <wp:wrapNone/>
            <wp:docPr id="15839178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91783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8626" cy="736600"/>
                    </a:xfrm>
                    <a:prstGeom prst="rect">
                      <a:avLst/>
                    </a:prstGeom>
                  </pic:spPr>
                </pic:pic>
              </a:graphicData>
            </a:graphic>
            <wp14:sizeRelH relativeFrom="page">
              <wp14:pctWidth>0</wp14:pctWidth>
            </wp14:sizeRelH>
            <wp14:sizeRelV relativeFrom="page">
              <wp14:pctHeight>0</wp14:pctHeight>
            </wp14:sizeRelV>
          </wp:anchor>
        </w:drawing>
      </w:r>
    </w:p>
    <w:p w14:paraId="15B06F0D" w14:textId="31D10F30" w:rsidR="0038548D" w:rsidRPr="00A65973" w:rsidRDefault="0038548D" w:rsidP="0038548D">
      <w:pPr>
        <w:spacing w:after="0" w:line="276" w:lineRule="auto"/>
        <w:rPr>
          <w:rFonts w:ascii="Verdana" w:eastAsia="Calibri" w:hAnsi="Verdana" w:cs="Arial"/>
          <w:lang w:val="es-ES"/>
        </w:rPr>
      </w:pPr>
    </w:p>
    <w:p w14:paraId="2CA1003E" w14:textId="77777777" w:rsidR="0038548D" w:rsidRPr="00A65973" w:rsidRDefault="0038548D" w:rsidP="0038548D">
      <w:pPr>
        <w:spacing w:after="0" w:line="240" w:lineRule="auto"/>
        <w:jc w:val="both"/>
        <w:rPr>
          <w:rFonts w:ascii="Verdana" w:eastAsia="Calibri" w:hAnsi="Verdana" w:cs="Arial"/>
          <w:lang w:val="es-ES" w:eastAsia="es-ES"/>
        </w:rPr>
      </w:pPr>
      <w:r w:rsidRPr="00A65973">
        <w:rPr>
          <w:rFonts w:ascii="Verdana" w:eastAsia="Calibri" w:hAnsi="Verdana" w:cs="Arial"/>
          <w:lang w:val="es-ES" w:eastAsia="es-ES"/>
        </w:rPr>
        <w:t>Señor</w:t>
      </w:r>
    </w:p>
    <w:p w14:paraId="37931F0B" w14:textId="77777777" w:rsidR="0038548D" w:rsidRPr="00A65973" w:rsidRDefault="0038548D" w:rsidP="0038548D">
      <w:pPr>
        <w:spacing w:after="0" w:line="240" w:lineRule="auto"/>
        <w:jc w:val="both"/>
        <w:rPr>
          <w:rFonts w:ascii="Verdana" w:eastAsia="Calibri" w:hAnsi="Verdana" w:cs="Arial"/>
          <w:b/>
          <w:bCs/>
          <w:lang w:eastAsia="es-ES"/>
        </w:rPr>
      </w:pPr>
      <w:r w:rsidRPr="00A65973">
        <w:rPr>
          <w:rFonts w:ascii="Verdana" w:eastAsia="Calibri" w:hAnsi="Verdana" w:cs="Arial"/>
          <w:b/>
          <w:bCs/>
          <w:lang w:eastAsia="es-ES"/>
        </w:rPr>
        <w:t xml:space="preserve">Fernando Antonio Barrios </w:t>
      </w:r>
      <w:proofErr w:type="spellStart"/>
      <w:r w:rsidRPr="00A65973">
        <w:rPr>
          <w:rFonts w:ascii="Verdana" w:eastAsia="Calibri" w:hAnsi="Verdana" w:cs="Arial"/>
          <w:b/>
          <w:bCs/>
          <w:lang w:eastAsia="es-ES"/>
        </w:rPr>
        <w:t>Fernandez</w:t>
      </w:r>
      <w:proofErr w:type="spellEnd"/>
    </w:p>
    <w:p w14:paraId="221ABEA4" w14:textId="77777777" w:rsidR="0038548D" w:rsidRPr="00A65973" w:rsidRDefault="00533667" w:rsidP="0038548D">
      <w:pPr>
        <w:spacing w:after="0" w:line="240" w:lineRule="auto"/>
        <w:jc w:val="both"/>
        <w:rPr>
          <w:rFonts w:ascii="Verdana" w:hAnsi="Verdana"/>
        </w:rPr>
      </w:pPr>
      <w:hyperlink r:id="rId12" w:history="1">
        <w:r w:rsidR="0038548D" w:rsidRPr="00A65973">
          <w:rPr>
            <w:rStyle w:val="Hipervnculo"/>
            <w:rFonts w:ascii="Verdana" w:hAnsi="Verdana"/>
          </w:rPr>
          <w:t>fercol8530@gmail.com</w:t>
        </w:r>
      </w:hyperlink>
      <w:r w:rsidR="0038548D" w:rsidRPr="00A65973">
        <w:rPr>
          <w:rFonts w:ascii="Verdana" w:hAnsi="Verdana"/>
        </w:rPr>
        <w:t xml:space="preserve"> </w:t>
      </w:r>
    </w:p>
    <w:p w14:paraId="771064A7" w14:textId="77777777" w:rsidR="0038548D" w:rsidRPr="00A65973" w:rsidRDefault="0038548D" w:rsidP="0038548D">
      <w:pPr>
        <w:spacing w:after="0" w:line="240" w:lineRule="auto"/>
        <w:jc w:val="both"/>
        <w:rPr>
          <w:rFonts w:ascii="Verdana" w:eastAsia="Calibri" w:hAnsi="Verdana" w:cs="Arial"/>
          <w:szCs w:val="24"/>
          <w:lang w:val="es-ES_tradnl" w:eastAsia="es-ES_tradnl"/>
        </w:rPr>
      </w:pPr>
      <w:r w:rsidRPr="00A65973">
        <w:rPr>
          <w:rFonts w:ascii="Verdana" w:eastAsia="Calibri" w:hAnsi="Verdana" w:cs="Arial"/>
          <w:szCs w:val="24"/>
          <w:lang w:val="es-ES_tradnl" w:eastAsia="es-ES_tradnl"/>
        </w:rPr>
        <w:t xml:space="preserve">Barranquilla – Atlántico </w:t>
      </w:r>
    </w:p>
    <w:p w14:paraId="4AF25B05" w14:textId="77777777" w:rsidR="0038548D" w:rsidRPr="00A65973" w:rsidRDefault="0038548D" w:rsidP="0038548D">
      <w:pPr>
        <w:spacing w:after="0" w:line="240" w:lineRule="auto"/>
        <w:rPr>
          <w:rFonts w:ascii="Verdana" w:eastAsia="Calibri" w:hAnsi="Verdana" w:cs="Arial"/>
          <w:szCs w:val="24"/>
          <w:lang w:val="es-ES_tradnl" w:eastAsia="es-ES_tradnl"/>
        </w:rPr>
      </w:pPr>
    </w:p>
    <w:p w14:paraId="4E9AAE80" w14:textId="77777777" w:rsidR="0038548D" w:rsidRPr="00A65973" w:rsidRDefault="0038548D" w:rsidP="0038548D">
      <w:pPr>
        <w:spacing w:after="0" w:line="240" w:lineRule="auto"/>
        <w:ind w:left="2694"/>
        <w:rPr>
          <w:rFonts w:ascii="Verdana" w:eastAsia="Calibri" w:hAnsi="Verdana" w:cs="Arial"/>
          <w:b/>
          <w:bCs/>
          <w:lang w:val="es-ES" w:eastAsia="es-ES"/>
        </w:rPr>
      </w:pPr>
      <w:r w:rsidRPr="00A65973">
        <w:rPr>
          <w:rFonts w:ascii="Verdana" w:eastAsia="Calibri" w:hAnsi="Verdana" w:cs="Arial"/>
          <w:b/>
          <w:bCs/>
          <w:lang w:val="es-ES" w:eastAsia="es-ES"/>
        </w:rPr>
        <w:t>Concepto C-</w:t>
      </w:r>
      <w:r>
        <w:rPr>
          <w:rFonts w:ascii="Verdana" w:eastAsia="Calibri" w:hAnsi="Verdana" w:cs="Arial"/>
          <w:b/>
          <w:bCs/>
          <w:lang w:val="es-ES" w:eastAsia="es-ES"/>
        </w:rPr>
        <w:t>436</w:t>
      </w:r>
      <w:r w:rsidRPr="00A65973">
        <w:rPr>
          <w:rFonts w:ascii="Verdana" w:eastAsia="Calibri" w:hAnsi="Verdana" w:cs="Arial"/>
          <w:b/>
          <w:bCs/>
          <w:lang w:val="es-ES" w:eastAsia="es-ES"/>
        </w:rPr>
        <w:t xml:space="preserve"> de 2024</w:t>
      </w:r>
    </w:p>
    <w:p w14:paraId="1F253C9E" w14:textId="77777777" w:rsidR="0038548D" w:rsidRPr="00A65973" w:rsidRDefault="0038548D" w:rsidP="0038548D">
      <w:pPr>
        <w:spacing w:after="0" w:line="240" w:lineRule="auto"/>
        <w:ind w:left="2694"/>
        <w:rPr>
          <w:rFonts w:ascii="Verdana" w:eastAsia="Calibri" w:hAnsi="Verdana" w:cs="Arial"/>
          <w:szCs w:val="24"/>
          <w:lang w:val="es-ES_tradnl" w:eastAsia="es-ES_tradnl"/>
        </w:rPr>
      </w:pPr>
    </w:p>
    <w:p w14:paraId="72934440" w14:textId="77777777" w:rsidR="0038548D" w:rsidRPr="00A65973" w:rsidRDefault="0038548D" w:rsidP="0038548D">
      <w:pPr>
        <w:spacing w:after="0" w:line="240" w:lineRule="auto"/>
        <w:ind w:left="2694"/>
        <w:rPr>
          <w:rFonts w:ascii="Verdana" w:eastAsia="Calibri" w:hAnsi="Verdana" w:cs="Arial"/>
          <w:szCs w:val="24"/>
          <w:lang w:val="es-ES_tradnl" w:eastAsia="es-ES_tradnl"/>
        </w:rPr>
      </w:pPr>
    </w:p>
    <w:tbl>
      <w:tblPr>
        <w:tblStyle w:val="Tablaconcuadrcula"/>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gridCol w:w="6237"/>
      </w:tblGrid>
      <w:tr w:rsidR="0038548D" w:rsidRPr="00A65973" w14:paraId="01908CB4" w14:textId="77777777" w:rsidTr="007B2926">
        <w:trPr>
          <w:trHeight w:val="884"/>
        </w:trPr>
        <w:tc>
          <w:tcPr>
            <w:tcW w:w="2689" w:type="dxa"/>
          </w:tcPr>
          <w:p w14:paraId="16AE36B3" w14:textId="77777777" w:rsidR="0038548D" w:rsidRPr="00A65973" w:rsidRDefault="0038548D" w:rsidP="007B2926">
            <w:pPr>
              <w:jc w:val="both"/>
              <w:rPr>
                <w:rFonts w:ascii="Verdana" w:eastAsia="Calibri" w:hAnsi="Verdana" w:cs="Arial"/>
                <w:szCs w:val="24"/>
                <w:lang w:val="es-ES_tradnl" w:eastAsia="es-ES_tradnl"/>
              </w:rPr>
            </w:pPr>
            <w:r w:rsidRPr="00A65973">
              <w:rPr>
                <w:rFonts w:ascii="Verdana" w:eastAsia="Calibri" w:hAnsi="Verdana" w:cs="Arial"/>
                <w:szCs w:val="24"/>
                <w:lang w:val="es-ES_tradnl" w:eastAsia="es-ES_tradnl"/>
              </w:rPr>
              <w:t xml:space="preserve">Temas:                   </w:t>
            </w:r>
          </w:p>
        </w:tc>
        <w:tc>
          <w:tcPr>
            <w:tcW w:w="6237" w:type="dxa"/>
          </w:tcPr>
          <w:p w14:paraId="347536A3" w14:textId="77777777" w:rsidR="0038548D" w:rsidRPr="00E11B15" w:rsidRDefault="0038548D" w:rsidP="007B2926">
            <w:pPr>
              <w:jc w:val="both"/>
              <w:rPr>
                <w:rFonts w:ascii="Verdana" w:eastAsia="Calibri" w:hAnsi="Verdana" w:cs="Arial"/>
                <w:bCs/>
                <w:lang w:val="es-MX" w:eastAsia="es-ES_tradnl"/>
              </w:rPr>
            </w:pPr>
            <w:r w:rsidRPr="00F501F4">
              <w:rPr>
                <w:rFonts w:ascii="Verdana" w:eastAsia="Calibri" w:hAnsi="Verdana" w:cs="Arial"/>
                <w:bCs/>
                <w:lang w:val="es-MX" w:eastAsia="es-ES_tradnl"/>
              </w:rPr>
              <w:t>CONVOCATORIAS LIMITADAS A MIPYMES – Requisitos  / REGISTRO MERCANTIL – Definición / REGISTRO MERCANTIL – Vigencia – Renovación / CONVOCATORIA LIMITADA A MIPYMES – Solicitud de limitación – Documentos</w:t>
            </w:r>
          </w:p>
        </w:tc>
        <w:tc>
          <w:tcPr>
            <w:tcW w:w="6237" w:type="dxa"/>
          </w:tcPr>
          <w:p w14:paraId="0FBDDB3E" w14:textId="77777777" w:rsidR="0038548D" w:rsidRPr="00A65973" w:rsidRDefault="0038548D" w:rsidP="007B2926">
            <w:pPr>
              <w:jc w:val="both"/>
              <w:rPr>
                <w:rFonts w:ascii="Verdana" w:hAnsi="Verdana" w:cs="Arial"/>
                <w:lang w:val="es-ES"/>
              </w:rPr>
            </w:pPr>
          </w:p>
        </w:tc>
      </w:tr>
      <w:tr w:rsidR="0038548D" w:rsidRPr="00A65973" w14:paraId="17484A69" w14:textId="77777777" w:rsidTr="007B2926">
        <w:tc>
          <w:tcPr>
            <w:tcW w:w="2689" w:type="dxa"/>
          </w:tcPr>
          <w:p w14:paraId="21728B31" w14:textId="77777777" w:rsidR="0038548D" w:rsidRPr="00A65973" w:rsidRDefault="0038548D" w:rsidP="007B2926">
            <w:pPr>
              <w:spacing w:before="120"/>
              <w:jc w:val="both"/>
              <w:rPr>
                <w:rFonts w:ascii="Verdana" w:eastAsia="Calibri" w:hAnsi="Verdana" w:cs="Arial"/>
                <w:szCs w:val="24"/>
                <w:lang w:val="es-ES_tradnl" w:eastAsia="es-ES_tradnl"/>
              </w:rPr>
            </w:pPr>
            <w:r w:rsidRPr="00A65973">
              <w:rPr>
                <w:rFonts w:ascii="Verdana" w:eastAsia="Calibri" w:hAnsi="Verdana" w:cs="Arial"/>
                <w:szCs w:val="24"/>
                <w:lang w:val="es-ES_tradnl" w:eastAsia="es-ES_tradnl"/>
              </w:rPr>
              <w:t xml:space="preserve">Radicación:               </w:t>
            </w:r>
          </w:p>
        </w:tc>
        <w:tc>
          <w:tcPr>
            <w:tcW w:w="6237" w:type="dxa"/>
          </w:tcPr>
          <w:p w14:paraId="42529A50" w14:textId="77777777" w:rsidR="0038548D" w:rsidRPr="00A65973" w:rsidRDefault="0038548D" w:rsidP="007B2926">
            <w:pPr>
              <w:spacing w:before="120"/>
              <w:jc w:val="both"/>
              <w:rPr>
                <w:rFonts w:ascii="Verdana" w:eastAsia="Calibri" w:hAnsi="Verdana" w:cs="Arial"/>
                <w:szCs w:val="24"/>
                <w:lang w:val="es-ES_tradnl" w:eastAsia="es-ES_tradnl"/>
              </w:rPr>
            </w:pPr>
            <w:r w:rsidRPr="00A65973">
              <w:rPr>
                <w:rFonts w:ascii="Verdana" w:eastAsia="Calibri" w:hAnsi="Verdana" w:cs="Arial"/>
                <w:szCs w:val="24"/>
                <w:lang w:val="es-ES_tradnl" w:eastAsia="es-ES_tradnl"/>
              </w:rPr>
              <w:t>Respuesta a consulta con radicado No. P20240802007957</w:t>
            </w:r>
          </w:p>
        </w:tc>
        <w:tc>
          <w:tcPr>
            <w:tcW w:w="6237" w:type="dxa"/>
          </w:tcPr>
          <w:p w14:paraId="75F6C74A" w14:textId="77777777" w:rsidR="0038548D" w:rsidRPr="00A65973" w:rsidRDefault="0038548D" w:rsidP="007B2926">
            <w:pPr>
              <w:spacing w:before="120"/>
              <w:jc w:val="both"/>
              <w:rPr>
                <w:rFonts w:ascii="Verdana" w:eastAsia="Calibri" w:hAnsi="Verdana" w:cs="Arial"/>
                <w:szCs w:val="24"/>
                <w:lang w:val="es-ES_tradnl" w:eastAsia="es-ES_tradnl"/>
              </w:rPr>
            </w:pPr>
          </w:p>
        </w:tc>
      </w:tr>
    </w:tbl>
    <w:p w14:paraId="4B5B609B" w14:textId="77777777" w:rsidR="0038548D" w:rsidRPr="00A65973" w:rsidRDefault="0038548D" w:rsidP="0038548D">
      <w:pPr>
        <w:spacing w:after="0" w:line="240" w:lineRule="auto"/>
        <w:jc w:val="both"/>
        <w:rPr>
          <w:rFonts w:ascii="Verdana" w:eastAsia="Calibri" w:hAnsi="Verdana" w:cs="Arial"/>
          <w:szCs w:val="24"/>
          <w:lang w:val="es-ES_tradnl" w:eastAsia="es-ES_tradnl"/>
        </w:rPr>
      </w:pPr>
    </w:p>
    <w:p w14:paraId="0B95F892" w14:textId="77777777" w:rsidR="0038548D" w:rsidRPr="00A65973" w:rsidRDefault="0038548D" w:rsidP="0038548D">
      <w:pPr>
        <w:spacing w:after="0" w:line="240" w:lineRule="auto"/>
        <w:jc w:val="both"/>
        <w:rPr>
          <w:rFonts w:ascii="Verdana" w:eastAsia="Calibri" w:hAnsi="Verdana" w:cs="Arial"/>
          <w:szCs w:val="24"/>
          <w:lang w:val="es-ES_tradnl" w:eastAsia="es-ES_tradnl"/>
        </w:rPr>
      </w:pPr>
    </w:p>
    <w:p w14:paraId="136DBFD9" w14:textId="77777777" w:rsidR="0038548D" w:rsidRPr="00A65973" w:rsidRDefault="0038548D" w:rsidP="0038548D">
      <w:pPr>
        <w:spacing w:after="0" w:line="240" w:lineRule="auto"/>
        <w:jc w:val="both"/>
        <w:rPr>
          <w:rFonts w:ascii="Verdana" w:eastAsia="Calibri" w:hAnsi="Verdana" w:cs="Arial"/>
          <w:lang w:val="es-ES" w:eastAsia="es-ES"/>
        </w:rPr>
      </w:pPr>
      <w:r w:rsidRPr="00A65973">
        <w:rPr>
          <w:rFonts w:ascii="Verdana" w:eastAsia="Calibri" w:hAnsi="Verdana" w:cs="Arial"/>
          <w:lang w:val="es-ES" w:eastAsia="es-ES"/>
        </w:rPr>
        <w:t>Estimad</w:t>
      </w:r>
      <w:r>
        <w:rPr>
          <w:rFonts w:ascii="Verdana" w:eastAsia="Calibri" w:hAnsi="Verdana" w:cs="Arial"/>
          <w:lang w:val="es-ES" w:eastAsia="es-ES"/>
        </w:rPr>
        <w:t>o</w:t>
      </w:r>
      <w:r w:rsidRPr="00A65973">
        <w:rPr>
          <w:rFonts w:ascii="Verdana" w:eastAsia="Calibri" w:hAnsi="Verdana" w:cs="Arial"/>
          <w:lang w:val="es-ES" w:eastAsia="es-ES"/>
        </w:rPr>
        <w:t xml:space="preserve"> señor Barrios: </w:t>
      </w:r>
    </w:p>
    <w:p w14:paraId="7465B442" w14:textId="77777777" w:rsidR="0038548D" w:rsidRPr="00A65973" w:rsidRDefault="0038548D" w:rsidP="0038548D">
      <w:pPr>
        <w:spacing w:after="0" w:line="240" w:lineRule="auto"/>
        <w:jc w:val="both"/>
        <w:rPr>
          <w:rFonts w:ascii="Verdana" w:eastAsia="Calibri" w:hAnsi="Verdana" w:cs="Arial"/>
          <w:lang w:val="es-ES" w:eastAsia="es-ES"/>
        </w:rPr>
      </w:pPr>
    </w:p>
    <w:p w14:paraId="7CC12C4D" w14:textId="77777777" w:rsidR="0038548D" w:rsidRPr="00A65973" w:rsidRDefault="0038548D" w:rsidP="0038548D">
      <w:pPr>
        <w:spacing w:after="0" w:line="240" w:lineRule="auto"/>
        <w:jc w:val="both"/>
        <w:rPr>
          <w:rFonts w:ascii="Verdana" w:eastAsia="Calibri" w:hAnsi="Verdana" w:cs="Arial"/>
          <w:szCs w:val="24"/>
          <w:lang w:val="es-ES_tradnl" w:eastAsia="es-ES_tradnl"/>
        </w:rPr>
      </w:pPr>
    </w:p>
    <w:p w14:paraId="19CD8E92" w14:textId="77777777" w:rsidR="0038548D" w:rsidRPr="00A65973" w:rsidRDefault="0038548D" w:rsidP="0038548D">
      <w:pPr>
        <w:spacing w:after="120" w:line="276" w:lineRule="auto"/>
        <w:jc w:val="both"/>
        <w:rPr>
          <w:rFonts w:ascii="Verdana" w:eastAsia="Calibri" w:hAnsi="Verdana" w:cs="Arial"/>
          <w:lang w:val="es-ES" w:eastAsia="es-ES"/>
        </w:rPr>
      </w:pPr>
      <w:r w:rsidRPr="00A65973">
        <w:rPr>
          <w:rFonts w:ascii="Verdana" w:eastAsia="Calibri" w:hAnsi="Verdana" w:cs="Arial"/>
          <w:lang w:val="es-ES" w:eastAsia="es-ES"/>
        </w:rPr>
        <w:t>En ejercicio de la competencia otorgada por los artículos 3, numeral 5º, y 11, numeral 8º, del Decreto Ley 4170 de 2011,</w:t>
      </w:r>
      <w:r w:rsidRPr="00A65973">
        <w:rPr>
          <w:rFonts w:ascii="Verdana" w:eastAsia="Arial MT" w:hAnsi="Verdana" w:cs="Arial MT"/>
          <w:lang w:val="es-ES" w:eastAsia="es-ES"/>
        </w:rPr>
        <w:t xml:space="preserve"> </w:t>
      </w:r>
      <w:r w:rsidRPr="00A65973">
        <w:rPr>
          <w:rFonts w:ascii="Verdana" w:eastAsia="Calibri" w:hAnsi="Verdana" w:cs="Arial"/>
          <w:lang w:val="es-ES" w:eastAsia="es-ES"/>
        </w:rPr>
        <w:t xml:space="preserve">la Agencia Nacional de Contratación Pública – Colombia Compra Eficiente– responde su solicitud del </w:t>
      </w:r>
      <w:r>
        <w:rPr>
          <w:rFonts w:ascii="Verdana" w:eastAsia="Calibri" w:hAnsi="Verdana" w:cs="Arial"/>
          <w:lang w:val="es-ES" w:eastAsia="es-ES"/>
        </w:rPr>
        <w:t>2</w:t>
      </w:r>
      <w:r w:rsidRPr="00A65973">
        <w:rPr>
          <w:rFonts w:ascii="Verdana" w:eastAsia="Calibri" w:hAnsi="Verdana" w:cs="Arial"/>
          <w:lang w:val="es-ES" w:eastAsia="es-ES"/>
        </w:rPr>
        <w:t xml:space="preserve"> de</w:t>
      </w:r>
      <w:r>
        <w:rPr>
          <w:rFonts w:ascii="Verdana" w:eastAsia="Calibri" w:hAnsi="Verdana" w:cs="Arial"/>
          <w:lang w:val="es-ES" w:eastAsia="es-ES"/>
        </w:rPr>
        <w:t xml:space="preserve"> agosto</w:t>
      </w:r>
      <w:r w:rsidRPr="00A65973">
        <w:rPr>
          <w:rFonts w:ascii="Verdana" w:eastAsia="Calibri" w:hAnsi="Verdana" w:cs="Arial"/>
          <w:lang w:val="es-ES" w:eastAsia="es-ES"/>
        </w:rPr>
        <w:t xml:space="preserve"> de 2024</w:t>
      </w:r>
      <w:r>
        <w:rPr>
          <w:rFonts w:ascii="Verdana" w:eastAsia="Calibri" w:hAnsi="Verdana" w:cs="Arial"/>
          <w:lang w:val="es-ES" w:eastAsia="es-ES"/>
        </w:rPr>
        <w:t>, en</w:t>
      </w:r>
      <w:r w:rsidRPr="00A65973">
        <w:rPr>
          <w:rFonts w:ascii="Verdana" w:eastAsia="Calibri" w:hAnsi="Verdana" w:cs="Arial"/>
          <w:lang w:val="es-ES" w:eastAsia="es-ES"/>
        </w:rPr>
        <w:t xml:space="preserve"> l</w:t>
      </w:r>
      <w:r>
        <w:rPr>
          <w:rFonts w:ascii="Verdana" w:eastAsia="Calibri" w:hAnsi="Verdana" w:cs="Arial"/>
          <w:lang w:val="es-ES" w:eastAsia="es-ES"/>
        </w:rPr>
        <w:t>a</w:t>
      </w:r>
      <w:r w:rsidRPr="00A65973">
        <w:rPr>
          <w:rFonts w:ascii="Verdana" w:eastAsia="Calibri" w:hAnsi="Verdana" w:cs="Arial"/>
          <w:lang w:val="es-ES" w:eastAsia="es-ES"/>
        </w:rPr>
        <w:t xml:space="preserve"> cual manifiesta lo siguiente:</w:t>
      </w:r>
    </w:p>
    <w:p w14:paraId="7DE32F9B" w14:textId="77777777" w:rsidR="0038548D" w:rsidRPr="00A65973" w:rsidRDefault="0038548D" w:rsidP="0038548D">
      <w:pPr>
        <w:spacing w:after="120" w:line="276" w:lineRule="auto"/>
        <w:jc w:val="both"/>
        <w:rPr>
          <w:rFonts w:ascii="Verdana" w:eastAsia="Calibri" w:hAnsi="Verdana" w:cs="Arial"/>
          <w:sz w:val="21"/>
          <w:szCs w:val="21"/>
          <w:lang w:val="es-ES" w:eastAsia="es-ES"/>
        </w:rPr>
      </w:pPr>
    </w:p>
    <w:p w14:paraId="0FA652D6" w14:textId="77777777" w:rsidR="0038548D" w:rsidRPr="00A65973" w:rsidRDefault="0038548D" w:rsidP="0038548D">
      <w:pPr>
        <w:spacing w:after="0" w:line="240" w:lineRule="auto"/>
        <w:ind w:left="709" w:right="709"/>
        <w:jc w:val="both"/>
        <w:rPr>
          <w:rFonts w:ascii="Verdana" w:eastAsia="Calibri" w:hAnsi="Verdana" w:cs="Arial"/>
          <w:sz w:val="21"/>
          <w:szCs w:val="21"/>
          <w:lang w:val="es-ES" w:eastAsia="es-ES"/>
        </w:rPr>
      </w:pPr>
      <w:r w:rsidRPr="00A65973">
        <w:rPr>
          <w:rFonts w:ascii="Verdana" w:eastAsia="Calibri" w:hAnsi="Verdana" w:cs="Arial"/>
          <w:sz w:val="21"/>
          <w:szCs w:val="21"/>
          <w:lang w:val="es-ES" w:eastAsia="es-ES"/>
        </w:rPr>
        <w:t>“¿puede una empresa o sociedad presentar solicitud limitación MIPYME, en un proceso de contratación, así sea, que si su registro mercantil no se encuentre renovado a la fecha presentación solicitud limitación MIPYME?</w:t>
      </w:r>
    </w:p>
    <w:p w14:paraId="7AC48314" w14:textId="77777777" w:rsidR="0038548D" w:rsidRPr="00A65973" w:rsidRDefault="0038548D" w:rsidP="0038548D">
      <w:pPr>
        <w:spacing w:after="0" w:line="240" w:lineRule="auto"/>
        <w:ind w:left="709" w:right="709"/>
        <w:jc w:val="both"/>
        <w:rPr>
          <w:rFonts w:ascii="Verdana" w:eastAsia="Calibri" w:hAnsi="Verdana" w:cs="Arial"/>
          <w:sz w:val="21"/>
          <w:szCs w:val="21"/>
          <w:lang w:val="es-ES" w:eastAsia="es-ES"/>
        </w:rPr>
      </w:pPr>
      <w:proofErr w:type="spellStart"/>
      <w:r w:rsidRPr="00A65973">
        <w:rPr>
          <w:rFonts w:ascii="Verdana" w:eastAsia="Calibri" w:hAnsi="Verdana" w:cs="Arial"/>
          <w:sz w:val="21"/>
          <w:szCs w:val="21"/>
          <w:lang w:val="es-ES" w:eastAsia="es-ES"/>
        </w:rPr>
        <w:t>si</w:t>
      </w:r>
      <w:proofErr w:type="spellEnd"/>
      <w:r w:rsidRPr="00A65973">
        <w:rPr>
          <w:rFonts w:ascii="Verdana" w:eastAsia="Calibri" w:hAnsi="Verdana" w:cs="Arial"/>
          <w:sz w:val="21"/>
          <w:szCs w:val="21"/>
          <w:lang w:val="es-ES" w:eastAsia="es-ES"/>
        </w:rPr>
        <w:t xml:space="preserve"> una sociedad, si su registro mercantil no se encuentra renovado ante cámara de comercio, presenta una solicitud limitación MYPIME y la entidad la acepta dicha solicitud, y luego colocan esa sociedad que cumple con los requisitos, así sea que tengan su registro mercantil no está renovado ante Cámara de Comercio, ¿</w:t>
      </w:r>
      <w:proofErr w:type="spellStart"/>
      <w:r w:rsidRPr="00A65973">
        <w:rPr>
          <w:rFonts w:ascii="Verdana" w:eastAsia="Calibri" w:hAnsi="Verdana" w:cs="Arial"/>
          <w:sz w:val="21"/>
          <w:szCs w:val="21"/>
          <w:lang w:val="es-ES" w:eastAsia="es-ES"/>
        </w:rPr>
        <w:t>cual</w:t>
      </w:r>
      <w:proofErr w:type="spellEnd"/>
      <w:r w:rsidRPr="00A65973">
        <w:rPr>
          <w:rFonts w:ascii="Verdana" w:eastAsia="Calibri" w:hAnsi="Verdana" w:cs="Arial"/>
          <w:sz w:val="21"/>
          <w:szCs w:val="21"/>
          <w:lang w:val="es-ES" w:eastAsia="es-ES"/>
        </w:rPr>
        <w:t xml:space="preserve"> es la normativa legal vigente, para aceptar a </w:t>
      </w:r>
      <w:r w:rsidRPr="00A65973">
        <w:rPr>
          <w:rFonts w:ascii="Verdana" w:eastAsia="Calibri" w:hAnsi="Verdana" w:cs="Arial"/>
          <w:sz w:val="21"/>
          <w:szCs w:val="21"/>
          <w:lang w:val="es-ES" w:eastAsia="es-ES"/>
        </w:rPr>
        <w:lastRenderedPageBreak/>
        <w:t xml:space="preserve">esa sociedad que cumple con los requisitos del </w:t>
      </w:r>
      <w:proofErr w:type="spellStart"/>
      <w:r w:rsidRPr="00A65973">
        <w:rPr>
          <w:rFonts w:ascii="Verdana" w:eastAsia="Calibri" w:hAnsi="Verdana" w:cs="Arial"/>
          <w:sz w:val="21"/>
          <w:szCs w:val="21"/>
          <w:lang w:val="es-ES" w:eastAsia="es-ES"/>
        </w:rPr>
        <w:t>articulo</w:t>
      </w:r>
      <w:proofErr w:type="spellEnd"/>
      <w:r w:rsidRPr="00A65973">
        <w:rPr>
          <w:rFonts w:ascii="Verdana" w:eastAsia="Calibri" w:hAnsi="Verdana" w:cs="Arial"/>
          <w:sz w:val="21"/>
          <w:szCs w:val="21"/>
          <w:lang w:val="es-ES" w:eastAsia="es-ES"/>
        </w:rPr>
        <w:t xml:space="preserve"> 2.2.1.2.4.2.2 </w:t>
      </w:r>
      <w:proofErr w:type="spellStart"/>
      <w:r w:rsidRPr="00A65973">
        <w:rPr>
          <w:rFonts w:ascii="Verdana" w:eastAsia="Calibri" w:hAnsi="Verdana" w:cs="Arial"/>
          <w:sz w:val="21"/>
          <w:szCs w:val="21"/>
          <w:lang w:val="es-ES" w:eastAsia="es-ES"/>
        </w:rPr>
        <w:t>de l</w:t>
      </w:r>
      <w:proofErr w:type="spellEnd"/>
      <w:r w:rsidRPr="00A65973">
        <w:rPr>
          <w:rFonts w:ascii="Verdana" w:eastAsia="Calibri" w:hAnsi="Verdana" w:cs="Arial"/>
          <w:sz w:val="21"/>
          <w:szCs w:val="21"/>
          <w:lang w:val="es-ES" w:eastAsia="es-ES"/>
        </w:rPr>
        <w:t xml:space="preserve"> decreto N° 1082 de 2015, modificado por el articulo 5 del decreto 1860 de 2021?”</w:t>
      </w:r>
    </w:p>
    <w:p w14:paraId="5FE57DF7" w14:textId="77777777" w:rsidR="0038548D" w:rsidRPr="00A65973" w:rsidRDefault="0038548D" w:rsidP="0038548D">
      <w:pPr>
        <w:spacing w:after="0" w:line="240" w:lineRule="auto"/>
        <w:ind w:left="709" w:right="709"/>
        <w:jc w:val="both"/>
        <w:rPr>
          <w:rFonts w:ascii="Verdana" w:eastAsia="Calibri" w:hAnsi="Verdana" w:cs="Arial"/>
          <w:sz w:val="20"/>
          <w:szCs w:val="20"/>
          <w:lang w:val="es-ES" w:eastAsia="es-ES"/>
        </w:rPr>
      </w:pPr>
    </w:p>
    <w:p w14:paraId="021E558F" w14:textId="77777777" w:rsidR="0038548D" w:rsidRPr="00A65973" w:rsidRDefault="0038548D" w:rsidP="0038548D">
      <w:pPr>
        <w:spacing w:after="0" w:line="240" w:lineRule="auto"/>
        <w:ind w:left="709" w:right="709"/>
        <w:jc w:val="both"/>
        <w:rPr>
          <w:rFonts w:ascii="Verdana" w:eastAsia="Calibri" w:hAnsi="Verdana" w:cs="Arial"/>
          <w:lang w:val="es-ES_tradnl" w:eastAsia="es-ES_tradnl"/>
        </w:rPr>
      </w:pPr>
    </w:p>
    <w:p w14:paraId="60C506D8" w14:textId="77777777" w:rsidR="0038548D" w:rsidRPr="00A65973" w:rsidRDefault="0038548D" w:rsidP="0038548D">
      <w:pPr>
        <w:spacing w:after="120" w:line="276" w:lineRule="auto"/>
        <w:jc w:val="both"/>
        <w:rPr>
          <w:rFonts w:ascii="Verdana" w:eastAsia="Calibri" w:hAnsi="Verdana" w:cs="Arial"/>
          <w:lang w:val="es-ES" w:eastAsia="es-ES"/>
        </w:rPr>
      </w:pPr>
      <w:r w:rsidRPr="00A65973">
        <w:rPr>
          <w:rFonts w:ascii="Verdana" w:eastAsia="Calibri" w:hAnsi="Verdana" w:cs="Arial"/>
          <w:lang w:val="es-ES_tradnl" w:eastAsia="es-ES_tradnl"/>
        </w:rPr>
        <w:tab/>
      </w:r>
      <w:r w:rsidRPr="00A65973">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A65973">
        <w:rPr>
          <w:rFonts w:ascii="Verdana" w:eastAsia="Calibri" w:hAnsi="Verdana" w:cs="Arial"/>
          <w:lang w:val="es-ES" w:eastAsia="es-ES"/>
        </w:rPr>
        <w:tab/>
      </w:r>
    </w:p>
    <w:p w14:paraId="01A479A5" w14:textId="77777777" w:rsidR="0038548D" w:rsidRPr="00A65973" w:rsidRDefault="0038548D" w:rsidP="0038548D">
      <w:pPr>
        <w:spacing w:after="0" w:line="276" w:lineRule="auto"/>
        <w:ind w:firstLine="708"/>
        <w:jc w:val="both"/>
        <w:rPr>
          <w:rFonts w:ascii="Verdana" w:eastAsia="Calibri" w:hAnsi="Verdana" w:cs="Arial"/>
          <w:lang w:val="es-ES" w:eastAsia="es-ES"/>
        </w:rPr>
      </w:pPr>
      <w:r w:rsidRPr="00A65973">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1DDB6C03" w14:textId="77777777" w:rsidR="0038548D" w:rsidRPr="00A65973" w:rsidRDefault="0038548D" w:rsidP="0038548D">
      <w:pPr>
        <w:spacing w:after="0" w:line="276" w:lineRule="auto"/>
        <w:ind w:firstLine="708"/>
        <w:jc w:val="both"/>
        <w:rPr>
          <w:rFonts w:ascii="Verdana" w:eastAsia="Calibri" w:hAnsi="Verdana" w:cs="Arial"/>
          <w:lang w:val="es-ES" w:eastAsia="es-ES"/>
        </w:rPr>
      </w:pPr>
    </w:p>
    <w:p w14:paraId="05CB63FF" w14:textId="77777777" w:rsidR="0038548D" w:rsidRPr="00A65973" w:rsidRDefault="0038548D" w:rsidP="0038548D">
      <w:pPr>
        <w:pStyle w:val="Prrafodelista"/>
        <w:numPr>
          <w:ilvl w:val="0"/>
          <w:numId w:val="1"/>
        </w:numPr>
        <w:tabs>
          <w:tab w:val="left" w:pos="142"/>
          <w:tab w:val="left" w:pos="284"/>
        </w:tabs>
        <w:spacing w:after="0" w:line="276" w:lineRule="auto"/>
        <w:ind w:left="0" w:firstLine="0"/>
        <w:jc w:val="both"/>
        <w:rPr>
          <w:rFonts w:ascii="Verdana" w:eastAsia="Century Gothic" w:hAnsi="Verdana" w:cs="Century Gothic"/>
          <w:b/>
          <w:bCs/>
        </w:rPr>
      </w:pPr>
      <w:r w:rsidRPr="00A65973">
        <w:rPr>
          <w:rFonts w:ascii="Verdana" w:eastAsia="Century Gothic" w:hAnsi="Verdana" w:cs="Century Gothic"/>
          <w:b/>
          <w:bCs/>
        </w:rPr>
        <w:t>Problema planteado:</w:t>
      </w:r>
    </w:p>
    <w:p w14:paraId="66C7CF64" w14:textId="77777777" w:rsidR="0038548D" w:rsidRPr="00A65973" w:rsidRDefault="0038548D" w:rsidP="0038548D">
      <w:pPr>
        <w:spacing w:after="120" w:line="276" w:lineRule="auto"/>
        <w:jc w:val="both"/>
        <w:rPr>
          <w:rFonts w:ascii="Verdana" w:eastAsia="Century Gothic" w:hAnsi="Verdana" w:cs="Century Gothic"/>
        </w:rPr>
      </w:pPr>
    </w:p>
    <w:p w14:paraId="1A6C15CC" w14:textId="77777777" w:rsidR="0038548D" w:rsidRPr="00A65973" w:rsidRDefault="0038548D" w:rsidP="0038548D">
      <w:pPr>
        <w:spacing w:after="120" w:line="276" w:lineRule="auto"/>
        <w:jc w:val="both"/>
        <w:rPr>
          <w:rFonts w:ascii="Verdana" w:eastAsia="Century Gothic" w:hAnsi="Verdana" w:cs="Century Gothic"/>
        </w:rPr>
      </w:pPr>
      <w:r w:rsidRPr="00A65973">
        <w:rPr>
          <w:rFonts w:ascii="Verdana" w:eastAsia="Century Gothic" w:hAnsi="Verdana" w:cs="Century Gothic"/>
        </w:rPr>
        <w:t>De acuerdo con el contenido de su solicitud, esta Agencia resolverá el siguiente problema jurídico: i. ¿Cuáles son los requisitos para</w:t>
      </w:r>
      <w:r>
        <w:rPr>
          <w:rFonts w:ascii="Verdana" w:eastAsia="Century Gothic" w:hAnsi="Verdana" w:cs="Century Gothic"/>
        </w:rPr>
        <w:t xml:space="preserve"> solicitar la </w:t>
      </w:r>
      <w:r w:rsidRPr="00A65973">
        <w:rPr>
          <w:rFonts w:ascii="Verdana" w:eastAsia="Century Gothic" w:hAnsi="Verdana" w:cs="Century Gothic"/>
        </w:rPr>
        <w:t>limita</w:t>
      </w:r>
      <w:r>
        <w:rPr>
          <w:rFonts w:ascii="Verdana" w:eastAsia="Century Gothic" w:hAnsi="Verdana" w:cs="Century Gothic"/>
        </w:rPr>
        <w:t>ción de una</w:t>
      </w:r>
      <w:r w:rsidRPr="00A65973">
        <w:rPr>
          <w:rFonts w:ascii="Verdana" w:eastAsia="Century Gothic" w:hAnsi="Verdana" w:cs="Century Gothic"/>
        </w:rPr>
        <w:t xml:space="preserve"> convocatoria a Mipymes</w:t>
      </w:r>
      <w:r>
        <w:rPr>
          <w:rFonts w:ascii="Verdana" w:eastAsia="Century Gothic" w:hAnsi="Verdana" w:cs="Century Gothic"/>
        </w:rPr>
        <w:t>?</w:t>
      </w:r>
    </w:p>
    <w:p w14:paraId="3F8CE28A" w14:textId="77777777" w:rsidR="0038548D" w:rsidRPr="00A65973" w:rsidRDefault="0038548D" w:rsidP="0038548D">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65973">
        <w:rPr>
          <w:rFonts w:ascii="Verdana" w:eastAsia="Century Gothic" w:hAnsi="Verdana" w:cs="Century Gothic"/>
          <w:b/>
          <w:bCs/>
        </w:rPr>
        <w:t>Respuesta:</w:t>
      </w:r>
    </w:p>
    <w:p w14:paraId="1ADBA126" w14:textId="77777777" w:rsidR="0038548D" w:rsidRPr="00A65973" w:rsidRDefault="0038548D" w:rsidP="0038548D">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p w14:paraId="76C2008C" w14:textId="77777777" w:rsidR="0038548D" w:rsidRPr="001E26B3" w:rsidRDefault="0038548D" w:rsidP="0038548D">
      <w:pPr>
        <w:spacing w:after="120" w:line="276" w:lineRule="auto"/>
        <w:jc w:val="both"/>
        <w:rPr>
          <w:rFonts w:ascii="Verdana" w:eastAsia="Arial" w:hAnsi="Verdana" w:cs="Arial"/>
          <w:lang w:eastAsia="es-ES_tradnl"/>
        </w:rPr>
      </w:pPr>
      <w:r w:rsidRPr="001E26B3">
        <w:rPr>
          <w:rFonts w:ascii="Verdana" w:eastAsia="Century Gothic" w:hAnsi="Verdana" w:cs="Century Gothic"/>
        </w:rPr>
        <w:t xml:space="preserve">Los requisitos para solicitar la limitación de una convocatoria a Mipymes se encuentran de manera simultánea en los </w:t>
      </w:r>
      <w:r w:rsidRPr="001E26B3">
        <w:rPr>
          <w:rFonts w:ascii="Verdana" w:eastAsia="Arial" w:hAnsi="Verdana" w:cs="Arial"/>
          <w:lang w:eastAsia="es-ES_tradnl"/>
        </w:rPr>
        <w:t xml:space="preserve">artículos 2.2.1.2.4.2.2. y el </w:t>
      </w:r>
      <w:r w:rsidRPr="001E26B3">
        <w:rPr>
          <w:rFonts w:ascii="Verdana" w:eastAsia="Times New Roman" w:hAnsi="Verdana" w:cs="Arial"/>
          <w:color w:val="000000"/>
          <w:lang w:eastAsia="es-CO"/>
        </w:rPr>
        <w:t xml:space="preserve">parágrafo 2 del artículo </w:t>
      </w:r>
      <w:r w:rsidRPr="001E26B3">
        <w:rPr>
          <w:rFonts w:ascii="Verdana" w:eastAsia="Calibri" w:hAnsi="Verdana" w:cs="Arial"/>
          <w:bCs/>
          <w:sz w:val="21"/>
          <w:szCs w:val="21"/>
          <w:lang w:val="es-ES_tradnl" w:eastAsia="es-ES_tradnl"/>
        </w:rPr>
        <w:t xml:space="preserve">2.2.1.2.4.2.4 </w:t>
      </w:r>
      <w:r w:rsidRPr="001E26B3">
        <w:rPr>
          <w:rFonts w:ascii="Verdana" w:eastAsia="Arial" w:hAnsi="Verdana" w:cs="Arial"/>
          <w:lang w:eastAsia="es-ES_tradnl"/>
        </w:rPr>
        <w:t>del Decreto 1082 de 2015</w:t>
      </w:r>
      <w:r w:rsidRPr="001E26B3">
        <w:rPr>
          <w:rStyle w:val="Refdenotaalpie"/>
          <w:rFonts w:ascii="Verdana" w:eastAsia="Arial" w:hAnsi="Verdana" w:cs="Arial"/>
          <w:lang w:eastAsia="es-ES_tradnl"/>
        </w:rPr>
        <w:footnoteReference w:id="2"/>
      </w:r>
      <w:r w:rsidRPr="001E26B3">
        <w:rPr>
          <w:rFonts w:ascii="Verdana" w:eastAsia="Arial" w:hAnsi="Verdana" w:cs="Arial"/>
          <w:lang w:eastAsia="es-ES_tradnl"/>
        </w:rPr>
        <w:t>; de la siguiente manera.</w:t>
      </w:r>
    </w:p>
    <w:p w14:paraId="0B9C0195" w14:textId="77777777" w:rsidR="0038548D" w:rsidRPr="001E26B3" w:rsidRDefault="0038548D" w:rsidP="0038548D">
      <w:pPr>
        <w:spacing w:after="120" w:line="276" w:lineRule="auto"/>
        <w:jc w:val="both"/>
        <w:rPr>
          <w:rFonts w:ascii="Verdana" w:eastAsia="Arial" w:hAnsi="Verdana" w:cs="Arial"/>
          <w:lang w:eastAsia="es-ES_tradnl"/>
        </w:rPr>
      </w:pPr>
      <w:r w:rsidRPr="001E26B3">
        <w:rPr>
          <w:rFonts w:ascii="Verdana" w:eastAsia="Arial" w:hAnsi="Verdana" w:cs="Arial"/>
          <w:lang w:eastAsia="es-ES_tradnl"/>
        </w:rPr>
        <w:lastRenderedPageBreak/>
        <w:t xml:space="preserve">El artículo 2.2.1.2.4.2.2. </w:t>
      </w:r>
      <w:r>
        <w:rPr>
          <w:rFonts w:ascii="Verdana" w:eastAsia="Arial" w:hAnsi="Verdana" w:cs="Arial"/>
          <w:lang w:eastAsia="es-ES_tradnl"/>
        </w:rPr>
        <w:t xml:space="preserve">del </w:t>
      </w:r>
      <w:r w:rsidRPr="001E26B3">
        <w:rPr>
          <w:rFonts w:ascii="Verdana" w:eastAsia="Arial" w:hAnsi="Verdana" w:cs="Arial"/>
          <w:lang w:eastAsia="es-ES_tradnl"/>
        </w:rPr>
        <w:t xml:space="preserve">Decreto 1082 de 2015 establece que </w:t>
      </w:r>
      <w:r>
        <w:rPr>
          <w:rFonts w:ascii="Verdana" w:eastAsia="Arial" w:hAnsi="Verdana" w:cs="Arial"/>
          <w:lang w:eastAsia="es-ES_tradnl"/>
        </w:rPr>
        <w:t>los proponentes interesados</w:t>
      </w:r>
      <w:r w:rsidRPr="001E26B3">
        <w:rPr>
          <w:rFonts w:ascii="Verdana" w:eastAsia="Arial" w:hAnsi="Verdana" w:cs="Arial"/>
          <w:lang w:eastAsia="es-ES_tradnl"/>
        </w:rPr>
        <w:t xml:space="preserve"> en solicitar </w:t>
      </w:r>
      <w:r>
        <w:rPr>
          <w:rFonts w:ascii="Verdana" w:eastAsia="Arial" w:hAnsi="Verdana" w:cs="Arial"/>
          <w:lang w:eastAsia="es-ES_tradnl"/>
        </w:rPr>
        <w:t xml:space="preserve">la limitación de </w:t>
      </w:r>
      <w:r w:rsidRPr="001E26B3">
        <w:rPr>
          <w:rFonts w:ascii="Verdana" w:eastAsia="Arial" w:hAnsi="Verdana" w:cs="Arial"/>
          <w:lang w:eastAsia="es-ES_tradnl"/>
        </w:rPr>
        <w:t xml:space="preserve">una convocatoria a Mipymes deben cumplir los siguientes requisitos: </w:t>
      </w:r>
    </w:p>
    <w:p w14:paraId="7AF57B3B" w14:textId="77777777" w:rsidR="0038548D" w:rsidRPr="001E26B3" w:rsidRDefault="0038548D" w:rsidP="0038548D">
      <w:pPr>
        <w:spacing w:after="120" w:line="276" w:lineRule="auto"/>
        <w:ind w:left="709" w:right="709"/>
        <w:jc w:val="both"/>
        <w:rPr>
          <w:rFonts w:ascii="Verdana" w:eastAsia="Arial" w:hAnsi="Verdana" w:cs="Arial"/>
          <w:lang w:eastAsia="es-ES_tradnl"/>
        </w:rPr>
      </w:pPr>
      <w:r w:rsidRPr="001E26B3">
        <w:rPr>
          <w:rFonts w:ascii="Verdana" w:eastAsia="Arial" w:hAnsi="Verdana" w:cs="Arial"/>
          <w:lang w:eastAsia="es-ES_tradnl"/>
        </w:rPr>
        <w:t xml:space="preserve">i. presentación de la respectiva solicitud, la cual deberá </w:t>
      </w:r>
      <w:proofErr w:type="spellStart"/>
      <w:r w:rsidRPr="001E26B3">
        <w:rPr>
          <w:rFonts w:ascii="Verdana" w:eastAsia="Arial" w:hAnsi="Verdana" w:cs="Arial"/>
          <w:lang w:eastAsia="es-ES_tradnl"/>
        </w:rPr>
        <w:t>allegar</w:t>
      </w:r>
      <w:proofErr w:type="spellEnd"/>
      <w:r w:rsidRPr="001E26B3">
        <w:rPr>
          <w:rFonts w:ascii="Verdana" w:eastAsia="Arial" w:hAnsi="Verdana" w:cs="Arial"/>
          <w:lang w:eastAsia="es-ES_tradnl"/>
        </w:rPr>
        <w:t xml:space="preserve"> a la entidad por lo menos un (1) día hábil antes de la expedición del acto de apertura, o el que haga sus veces de acuerdo con la normativa aplicable a cada Proceso de Contratación.</w:t>
      </w:r>
    </w:p>
    <w:p w14:paraId="368578ED" w14:textId="77777777" w:rsidR="0038548D" w:rsidRPr="001E26B3" w:rsidRDefault="0038548D" w:rsidP="0038548D">
      <w:pPr>
        <w:spacing w:after="120" w:line="276" w:lineRule="auto"/>
        <w:ind w:left="709" w:right="709"/>
        <w:jc w:val="both"/>
        <w:rPr>
          <w:rFonts w:ascii="Verdana" w:eastAsia="Arial" w:hAnsi="Verdana" w:cs="Arial"/>
          <w:lang w:eastAsia="es-ES_tradnl"/>
        </w:rPr>
      </w:pPr>
      <w:r w:rsidRPr="001E26B3">
        <w:rPr>
          <w:rFonts w:ascii="Verdana" w:eastAsia="Arial" w:hAnsi="Verdana" w:cs="Arial"/>
          <w:lang w:eastAsia="es-ES_tradnl"/>
        </w:rPr>
        <w:t xml:space="preserve"> ii. Tratándose de personas jurídicas, las solicitudes solo las podrán realizar Mipyme, cuyo objeto social les permita ejecutar el contrato relacionado con el proceso contractual.</w:t>
      </w:r>
    </w:p>
    <w:p w14:paraId="397CE48E" w14:textId="77777777" w:rsidR="0038548D" w:rsidRPr="001E26B3" w:rsidRDefault="0038548D" w:rsidP="0038548D">
      <w:pPr>
        <w:spacing w:after="120" w:line="276" w:lineRule="auto"/>
        <w:jc w:val="both"/>
        <w:rPr>
          <w:rFonts w:ascii="Verdana" w:eastAsia="Arial" w:hAnsi="Verdana" w:cs="Arial"/>
          <w:lang w:eastAsia="es-ES_tradnl"/>
        </w:rPr>
      </w:pPr>
      <w:r w:rsidRPr="001E26B3">
        <w:rPr>
          <w:rFonts w:ascii="Verdana" w:eastAsia="Arial" w:hAnsi="Verdana" w:cs="Arial"/>
          <w:lang w:eastAsia="es-ES_tradnl"/>
        </w:rPr>
        <w:t xml:space="preserve">Por su parte el parágrafo 2 del </w:t>
      </w:r>
      <w:r w:rsidRPr="001E26B3">
        <w:rPr>
          <w:rFonts w:ascii="Verdana" w:eastAsia="Times New Roman" w:hAnsi="Verdana" w:cs="Arial"/>
          <w:color w:val="000000"/>
          <w:lang w:eastAsia="es-CO"/>
        </w:rPr>
        <w:t xml:space="preserve">artículo </w:t>
      </w:r>
      <w:r w:rsidRPr="001E26B3">
        <w:rPr>
          <w:rFonts w:ascii="Verdana" w:eastAsia="Calibri" w:hAnsi="Verdana" w:cs="Arial"/>
          <w:bCs/>
          <w:sz w:val="21"/>
          <w:szCs w:val="21"/>
          <w:lang w:val="es-ES_tradnl" w:eastAsia="es-ES_tradnl"/>
        </w:rPr>
        <w:t xml:space="preserve">2.2.1.2.4.2.4 </w:t>
      </w:r>
      <w:r>
        <w:rPr>
          <w:rFonts w:ascii="Verdana" w:eastAsia="Calibri" w:hAnsi="Verdana" w:cs="Arial"/>
          <w:bCs/>
          <w:sz w:val="21"/>
          <w:szCs w:val="21"/>
          <w:lang w:val="es-ES_tradnl" w:eastAsia="es-ES_tradnl"/>
        </w:rPr>
        <w:t xml:space="preserve">del </w:t>
      </w:r>
      <w:r w:rsidRPr="001E26B3">
        <w:rPr>
          <w:rFonts w:ascii="Verdana" w:eastAsia="Arial" w:hAnsi="Verdana" w:cs="Arial"/>
          <w:lang w:eastAsia="es-ES_tradnl"/>
        </w:rPr>
        <w:t xml:space="preserve">Decreto 1082 de 2015, señala que para efectos de la limitación a Mipyme, los proponentes: </w:t>
      </w:r>
    </w:p>
    <w:p w14:paraId="0758E7DE" w14:textId="77777777" w:rsidR="0038548D" w:rsidRPr="001E26B3" w:rsidRDefault="0038548D" w:rsidP="0038548D">
      <w:pPr>
        <w:spacing w:after="120" w:line="276" w:lineRule="auto"/>
        <w:ind w:left="709" w:right="709"/>
        <w:jc w:val="both"/>
        <w:rPr>
          <w:rFonts w:ascii="Verdana" w:eastAsia="Arial" w:hAnsi="Verdana" w:cs="Arial"/>
          <w:lang w:eastAsia="es-ES_tradnl"/>
        </w:rPr>
      </w:pPr>
      <w:r w:rsidRPr="001E26B3">
        <w:rPr>
          <w:rFonts w:ascii="Verdana" w:eastAsia="Arial" w:hAnsi="Verdana" w:cs="Arial"/>
          <w:lang w:eastAsia="es-ES_tradnl"/>
        </w:rPr>
        <w:t>i.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w:t>
      </w:r>
    </w:p>
    <w:p w14:paraId="78C3DFAD" w14:textId="77777777" w:rsidR="0038548D" w:rsidRPr="001E26B3" w:rsidRDefault="0038548D" w:rsidP="0038548D">
      <w:pPr>
        <w:spacing w:after="120" w:line="276" w:lineRule="auto"/>
        <w:ind w:firstLine="708"/>
        <w:jc w:val="both"/>
        <w:rPr>
          <w:rFonts w:ascii="Verdana" w:eastAsia="Calibri" w:hAnsi="Verdana" w:cs="Arial"/>
          <w:bCs/>
          <w:sz w:val="21"/>
          <w:szCs w:val="21"/>
          <w:lang w:val="es-ES_tradnl" w:eastAsia="es-ES_tradnl"/>
        </w:rPr>
      </w:pPr>
      <w:r w:rsidRPr="001E26B3">
        <w:rPr>
          <w:rStyle w:val="ui-provider"/>
          <w:rFonts w:ascii="Verdana" w:hAnsi="Verdana"/>
        </w:rPr>
        <w:t xml:space="preserve">Según propia disposición normativa, para la solicitud de limitación de una convocatoria a Mipymes, el solicitante podrá concurrir a través de cualquiera de estos tres documentos: i. la acreditación de registro mercantil, ii. certificado de existencia y representación legal, o iii. Registro Único de Proponentes. No obstante, vale la pena precisar que esta Agencia considera que la persona que solicite limitación de una </w:t>
      </w:r>
      <w:r w:rsidRPr="001E26B3">
        <w:rPr>
          <w:rStyle w:val="ui-provider"/>
          <w:rFonts w:ascii="Verdana" w:hAnsi="Verdana"/>
        </w:rPr>
        <w:lastRenderedPageBreak/>
        <w:t>convocatoria a Mipymes aportando como requisito el registro mercantil, este debe encontrarse renovado, obligatoriedad que como comerciante debe</w:t>
      </w:r>
      <w:r>
        <w:rPr>
          <w:rStyle w:val="ui-provider"/>
          <w:rFonts w:ascii="Verdana" w:hAnsi="Verdana"/>
        </w:rPr>
        <w:t xml:space="preserve"> </w:t>
      </w:r>
      <w:r w:rsidRPr="001E26B3">
        <w:rPr>
          <w:rStyle w:val="ui-provider"/>
          <w:rFonts w:ascii="Verdana" w:hAnsi="Verdana"/>
        </w:rPr>
        <w:t>cumplir para ejercer actos de comercio, como presentar oferta en dicho proceso,</w:t>
      </w:r>
      <w:r>
        <w:rPr>
          <w:rStyle w:val="ui-provider"/>
          <w:rFonts w:ascii="Verdana" w:hAnsi="Verdana"/>
        </w:rPr>
        <w:t xml:space="preserve"> en caso de que así lo quiera después de solicitar la limitación, lo cual no lo obliga a ofertar;</w:t>
      </w:r>
      <w:r w:rsidRPr="001E26B3">
        <w:rPr>
          <w:rStyle w:val="ui-provider"/>
          <w:rFonts w:ascii="Verdana" w:hAnsi="Verdana"/>
        </w:rPr>
        <w:t xml:space="preserve"> y del mismo modo, se encuentra inmersa dicha obligatoriedad en lo contenido en la parte final del parágrafo 2 del mismo artículo, el cual dispuso […] “con una fecha de máximo sesenta (60) días calendario anteriores a la prevista en el cronograma del Proceso de Contratación para el inicio del plazo para solicitar la convocatoria limitada”.</w:t>
      </w:r>
    </w:p>
    <w:p w14:paraId="0D68DA40" w14:textId="77777777" w:rsidR="0038548D" w:rsidRPr="00A65973" w:rsidRDefault="0038548D" w:rsidP="0038548D">
      <w:pPr>
        <w:spacing w:after="120" w:line="276" w:lineRule="auto"/>
        <w:jc w:val="both"/>
        <w:rPr>
          <w:rFonts w:ascii="Verdana" w:eastAsia="Arial" w:hAnsi="Verdana" w:cs="Arial"/>
          <w:lang w:val="es-ES_tradnl"/>
        </w:rPr>
      </w:pPr>
    </w:p>
    <w:p w14:paraId="0A897A08" w14:textId="77777777" w:rsidR="0038548D" w:rsidRPr="00A65973" w:rsidRDefault="0038548D" w:rsidP="0038548D">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65973">
        <w:rPr>
          <w:rFonts w:ascii="Verdana" w:eastAsia="Century Gothic" w:hAnsi="Verdana" w:cs="Century Gothic"/>
          <w:b/>
          <w:bCs/>
        </w:rPr>
        <w:t>Razones de la respuesta:</w:t>
      </w:r>
    </w:p>
    <w:p w14:paraId="571B41E6" w14:textId="77777777" w:rsidR="0038548D" w:rsidRPr="00A65973" w:rsidRDefault="0038548D" w:rsidP="0038548D">
      <w:pPr>
        <w:spacing w:after="0" w:line="276" w:lineRule="auto"/>
        <w:jc w:val="both"/>
        <w:rPr>
          <w:rFonts w:ascii="Verdana" w:eastAsia="Calibri" w:hAnsi="Verdana" w:cs="Arial"/>
          <w:color w:val="7030A0"/>
          <w:lang w:val="es-ES"/>
        </w:rPr>
      </w:pPr>
    </w:p>
    <w:p w14:paraId="4BBBE8D9" w14:textId="77777777" w:rsidR="0038548D" w:rsidRPr="00A65973" w:rsidRDefault="0038548D" w:rsidP="0038548D">
      <w:pPr>
        <w:spacing w:after="0" w:line="276" w:lineRule="auto"/>
        <w:jc w:val="both"/>
        <w:rPr>
          <w:rFonts w:ascii="Verdana" w:eastAsia="Calibri" w:hAnsi="Verdana" w:cs="Arial"/>
          <w:lang w:val="es-ES"/>
        </w:rPr>
      </w:pPr>
      <w:r w:rsidRPr="00A65973">
        <w:rPr>
          <w:rFonts w:ascii="Verdana" w:eastAsia="Calibri" w:hAnsi="Verdana" w:cs="Arial"/>
          <w:lang w:val="es-ES"/>
        </w:rPr>
        <w:t xml:space="preserve">Lo anterior se sustenta en las siguientes consideraciones: </w:t>
      </w:r>
    </w:p>
    <w:p w14:paraId="02E0B3F0" w14:textId="77777777" w:rsidR="0038548D" w:rsidRPr="00A65973" w:rsidRDefault="0038548D" w:rsidP="0038548D">
      <w:pPr>
        <w:spacing w:after="0" w:line="276" w:lineRule="auto"/>
        <w:jc w:val="both"/>
        <w:rPr>
          <w:rFonts w:ascii="Verdana" w:hAnsi="Verdana" w:cs="Arial"/>
          <w:lang w:val="es-ES" w:eastAsia="es-CO"/>
        </w:rPr>
      </w:pPr>
    </w:p>
    <w:p w14:paraId="0163AF45" w14:textId="77777777" w:rsidR="0038548D" w:rsidRPr="00A65973" w:rsidRDefault="0038548D" w:rsidP="0038548D">
      <w:pPr>
        <w:spacing w:line="276" w:lineRule="auto"/>
        <w:jc w:val="both"/>
        <w:rPr>
          <w:rFonts w:ascii="Verdana" w:hAnsi="Verdana" w:cs="Arial"/>
          <w:lang w:val="es-ES" w:eastAsia="es-ES"/>
        </w:rPr>
      </w:pPr>
      <w:r w:rsidRPr="10E0A30E">
        <w:rPr>
          <w:rFonts w:ascii="Verdana" w:hAnsi="Verdana" w:cs="Arial"/>
          <w:lang w:val="es-ES" w:eastAsia="es-ES"/>
        </w:rPr>
        <w:t>En lo que respecta a los requisitos para limitar la convocatoria de los procesos de contratación con pluralidad de oferentes a las Mipyme colombianas</w:t>
      </w:r>
      <w:r w:rsidRPr="10E0A30E">
        <w:rPr>
          <w:rFonts w:ascii="Verdana" w:hAnsi="Verdana" w:cs="Arial"/>
          <w:i/>
          <w:iCs/>
          <w:lang w:val="es-ES" w:eastAsia="es-ES"/>
        </w:rPr>
        <w:t xml:space="preserve">, </w:t>
      </w:r>
      <w:r w:rsidRPr="10E0A30E">
        <w:rPr>
          <w:rFonts w:ascii="Verdana" w:hAnsi="Verdana" w:cs="Arial"/>
          <w:lang w:val="es-ES" w:eastAsia="es-ES"/>
        </w:rPr>
        <w:t>debe precisarse que el inciso primero del artículo 2.2.1.2.4.2.2. del Decreto 1082 de 2015, modificado por el artículo 5 del Decreto 1860 de 2021, exige que las Entidades Estatales independientemente de su régimen de contratación, los patrimonios autónomos constituidos por Entidades Estatales y los particulares que ejecuten recursos públicos, limiten las convocatorias de los procesos de contratación a las Mipyme colombianas con mínimo un (1) año de existencia, siempre que se cumplan los requisitos señalados allí. Al respecto, el referido artículo indica lo siguiente:</w:t>
      </w:r>
    </w:p>
    <w:p w14:paraId="68479C91" w14:textId="77777777" w:rsidR="0038548D" w:rsidRPr="00A65973" w:rsidRDefault="0038548D" w:rsidP="0038548D">
      <w:pPr>
        <w:spacing w:after="0" w:line="240" w:lineRule="auto"/>
        <w:ind w:left="709" w:right="709"/>
        <w:jc w:val="both"/>
        <w:rPr>
          <w:rFonts w:ascii="Verdana" w:hAnsi="Verdana" w:cs="Arial"/>
          <w:sz w:val="21"/>
          <w:szCs w:val="21"/>
          <w:lang w:val="es-ES" w:eastAsia="es-ES"/>
        </w:rPr>
      </w:pPr>
      <w:r w:rsidRPr="10E0A30E">
        <w:rPr>
          <w:rFonts w:ascii="Verdana" w:hAnsi="Verdana" w:cs="Arial"/>
          <w:sz w:val="21"/>
          <w:szCs w:val="21"/>
          <w:lang w:val="es-ES" w:eastAsia="es-ES"/>
        </w:rPr>
        <w:t xml:space="preserve">“Artículo 2.2.1.2.4.2.2. Convocatorias 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cuando concurran los siguientes requisitos: </w:t>
      </w:r>
    </w:p>
    <w:p w14:paraId="1E4E67D9" w14:textId="77777777" w:rsidR="0038548D" w:rsidRPr="00A65973" w:rsidRDefault="0038548D" w:rsidP="0038548D">
      <w:pPr>
        <w:spacing w:before="120" w:after="0" w:line="240" w:lineRule="auto"/>
        <w:ind w:left="709" w:right="709"/>
        <w:jc w:val="both"/>
        <w:rPr>
          <w:rFonts w:ascii="Verdana" w:hAnsi="Verdana" w:cs="Arial"/>
          <w:bCs/>
          <w:sz w:val="21"/>
          <w:szCs w:val="21"/>
          <w:lang w:val="es-ES_tradnl" w:eastAsia="es-ES"/>
        </w:rPr>
      </w:pPr>
      <w:r w:rsidRPr="00A65973">
        <w:rPr>
          <w:rFonts w:ascii="Verdana" w:hAnsi="Verdana" w:cs="Arial"/>
          <w:bCs/>
          <w:sz w:val="21"/>
          <w:szCs w:val="21"/>
          <w:lang w:val="es-ES_tradnl" w:eastAsia="es-ES"/>
        </w:rPr>
        <w:t>1. El valor del Proceso de Contratación sea menor a ciento veinticinco mil dólares de los Estados Unidos de América (US$125.000), liquidados con la tasa de cambio que para el efecto determina cada dos años el Ministerio de Comercio, Industria y Turismo.</w:t>
      </w:r>
    </w:p>
    <w:p w14:paraId="40F2BC42" w14:textId="77777777" w:rsidR="0038548D" w:rsidRPr="00A65973" w:rsidRDefault="0038548D" w:rsidP="0038548D">
      <w:pPr>
        <w:spacing w:before="120" w:after="0" w:line="240" w:lineRule="auto"/>
        <w:ind w:left="709" w:right="709"/>
        <w:jc w:val="both"/>
        <w:rPr>
          <w:rFonts w:ascii="Verdana" w:hAnsi="Verdana" w:cs="Arial"/>
          <w:sz w:val="21"/>
          <w:szCs w:val="21"/>
          <w:lang w:val="es-ES" w:eastAsia="es-ES"/>
        </w:rPr>
      </w:pPr>
      <w:r w:rsidRPr="10E0A30E">
        <w:rPr>
          <w:rFonts w:ascii="Verdana" w:hAnsi="Verdana" w:cs="Arial"/>
          <w:sz w:val="21"/>
          <w:szCs w:val="21"/>
          <w:lang w:val="es-ES" w:eastAsia="es-ES"/>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w:t>
      </w:r>
      <w:r w:rsidRPr="10E0A30E">
        <w:rPr>
          <w:rFonts w:ascii="Verdana" w:hAnsi="Verdana" w:cs="Arial"/>
          <w:sz w:val="21"/>
          <w:szCs w:val="21"/>
          <w:lang w:val="es-ES" w:eastAsia="es-ES"/>
        </w:rPr>
        <w:lastRenderedPageBreak/>
        <w:t>por lo menos un (1) día hábil antes de la expedición del acto administrativo de apertura, o el que haga sus veces de acuerdo con la normativa aplicable a cada Proceso de Contratación. Tratándose de personas jurídicas, las solicitudes solo las podrán realizar Mipyme, cuyo objeto social les permita ejecutar el contrato relacionado con el proceso contractual.</w:t>
      </w:r>
    </w:p>
    <w:p w14:paraId="3B2D144E" w14:textId="77777777" w:rsidR="0038548D" w:rsidRPr="00A65973" w:rsidRDefault="0038548D" w:rsidP="0038548D">
      <w:pPr>
        <w:spacing w:before="120" w:after="0" w:line="240" w:lineRule="auto"/>
        <w:ind w:left="709" w:right="709"/>
        <w:jc w:val="both"/>
        <w:rPr>
          <w:rFonts w:ascii="Verdana" w:hAnsi="Verdana" w:cs="Arial"/>
          <w:sz w:val="21"/>
          <w:szCs w:val="21"/>
          <w:lang w:val="es-ES" w:eastAsia="es-ES"/>
        </w:rPr>
      </w:pPr>
      <w:r w:rsidRPr="10E0A30E">
        <w:rPr>
          <w:rFonts w:ascii="Verdana" w:hAnsi="Verdana" w:cs="Arial"/>
          <w:sz w:val="21"/>
          <w:szCs w:val="21"/>
          <w:lang w:val="es-ES" w:eastAsia="es-ES"/>
        </w:rPr>
        <w:t>Parágrafo. Las cooperativas y demás entidades de economía solidaria, siempre que tengan la calidad de Mipyme, podrán solicitar y participar en las convocatorias limitadas en las mismas condiciones dispuestas en el presente artículo”.</w:t>
      </w:r>
    </w:p>
    <w:p w14:paraId="4B70D67E" w14:textId="77777777" w:rsidR="0038548D" w:rsidRPr="00A65973" w:rsidRDefault="0038548D" w:rsidP="0038548D">
      <w:pPr>
        <w:spacing w:after="0" w:line="240" w:lineRule="auto"/>
        <w:ind w:left="709" w:right="709"/>
        <w:jc w:val="both"/>
        <w:rPr>
          <w:rFonts w:ascii="Verdana" w:hAnsi="Verdana" w:cs="Arial"/>
          <w:bCs/>
          <w:sz w:val="21"/>
          <w:szCs w:val="21"/>
          <w:lang w:val="es-ES_tradnl" w:eastAsia="es-ES"/>
        </w:rPr>
      </w:pPr>
    </w:p>
    <w:p w14:paraId="42E177AA" w14:textId="77777777" w:rsidR="0038548D" w:rsidRPr="00A65973" w:rsidRDefault="0038548D" w:rsidP="0038548D">
      <w:pPr>
        <w:spacing w:after="120" w:line="276" w:lineRule="auto"/>
        <w:ind w:firstLine="709"/>
        <w:jc w:val="both"/>
        <w:rPr>
          <w:rFonts w:ascii="Verdana" w:eastAsia="Arial" w:hAnsi="Verdana" w:cs="Arial"/>
          <w:color w:val="000000"/>
          <w:lang w:eastAsia="es-ES_tradnl"/>
        </w:rPr>
      </w:pPr>
      <w:r w:rsidRPr="00A65973">
        <w:rPr>
          <w:rFonts w:ascii="Verdana" w:hAnsi="Verdana" w:cs="Arial"/>
          <w:bCs/>
          <w:lang w:val="es-ES_tradnl" w:eastAsia="es-ES"/>
        </w:rPr>
        <w:t xml:space="preserve">Según se evidencia, el numeral primero limita cuantitativamente los procesos contractuales en los que se puede hacer esa convocatoria limitada a Mipyme, en la medida en que el valor del proceso de contratación tendrá que ser “menor a veinticinco mil dólares de los Estados Unidos </w:t>
      </w:r>
      <w:r w:rsidRPr="00A65973">
        <w:rPr>
          <w:rFonts w:ascii="Verdana" w:eastAsia="Arial" w:hAnsi="Verdana" w:cs="Arial"/>
          <w:color w:val="000000"/>
          <w:lang w:eastAsia="es-ES_tradnl"/>
        </w:rPr>
        <w:t>de América”. Esta limitante, valga la pena aclarar, es establecida de acuerdo con la tasa que, para el efecto, determine cada dos (2) años el Ministerio de Comercio, Industria y Turismo</w:t>
      </w:r>
      <w:r w:rsidRPr="00A65973">
        <w:rPr>
          <w:rFonts w:ascii="Verdana" w:eastAsia="Arial" w:hAnsi="Verdana" w:cs="Arial"/>
          <w:color w:val="000000"/>
          <w:vertAlign w:val="superscript"/>
          <w:lang w:eastAsia="es-ES_tradnl"/>
        </w:rPr>
        <w:footnoteReference w:id="3"/>
      </w:r>
      <w:r w:rsidRPr="00A65973">
        <w:rPr>
          <w:rFonts w:ascii="Verdana" w:eastAsia="Arial" w:hAnsi="Verdana" w:cs="Arial"/>
          <w:color w:val="000000"/>
          <w:lang w:eastAsia="es-ES_tradnl"/>
        </w:rPr>
        <w:t xml:space="preserve">. </w:t>
      </w:r>
    </w:p>
    <w:p w14:paraId="5EB89111" w14:textId="77777777" w:rsidR="0038548D" w:rsidRPr="00586588" w:rsidRDefault="0038548D" w:rsidP="0038548D">
      <w:pPr>
        <w:spacing w:after="120" w:line="276" w:lineRule="auto"/>
        <w:ind w:firstLine="708"/>
        <w:jc w:val="both"/>
        <w:rPr>
          <w:rFonts w:ascii="Verdana" w:eastAsia="Arial" w:hAnsi="Verdana" w:cs="Arial"/>
          <w:color w:val="000000"/>
          <w:sz w:val="21"/>
          <w:szCs w:val="21"/>
          <w:lang w:val="es-ES_tradnl" w:eastAsia="es-ES_tradnl"/>
        </w:rPr>
      </w:pPr>
      <w:r w:rsidRPr="00A65973">
        <w:rPr>
          <w:rFonts w:ascii="Verdana" w:eastAsia="Arial" w:hAnsi="Verdana" w:cs="Arial"/>
          <w:color w:val="000000"/>
          <w:lang w:eastAsia="es-ES_tradnl"/>
        </w:rPr>
        <w:t xml:space="preserve">Por su parte, el numeral segundo, establece dos exigencias: por un lado, que al menos dos (2) Mipyme colombianas presenten a la entidad la solicitud de limitar el proceso contractual y, por el otro, que hagan la solicitud por lo menos un día (1) hábil antes de la expedición del acto administrativo de apertura </w:t>
      </w:r>
      <w:r w:rsidRPr="00A65973">
        <w:rPr>
          <w:rFonts w:ascii="Verdana" w:eastAsia="Arial" w:hAnsi="Verdana" w:cs="Arial"/>
          <w:color w:val="000000"/>
          <w:lang w:val="es-ES_tradnl" w:eastAsia="es-ES_tradnl"/>
        </w:rPr>
        <w:t>o el que haga sus veces de acuerdo con la normativa aplicable a cada proceso de contratación</w:t>
      </w:r>
      <w:r w:rsidRPr="00A65973">
        <w:rPr>
          <w:rFonts w:ascii="Verdana" w:eastAsia="Arial" w:hAnsi="Verdana" w:cs="Arial"/>
          <w:color w:val="000000"/>
          <w:lang w:eastAsia="es-ES_tradnl"/>
        </w:rPr>
        <w:t xml:space="preserve">. Además, la norma señala que, </w:t>
      </w:r>
      <w:r w:rsidRPr="00A65973">
        <w:rPr>
          <w:rFonts w:ascii="Verdana" w:eastAsia="Arial" w:hAnsi="Verdana" w:cs="Arial"/>
          <w:color w:val="000000"/>
          <w:lang w:val="es-ES_tradnl" w:eastAsia="es-ES_tradnl"/>
        </w:rPr>
        <w:t>tratándose de personas jurídicas, las solicitudes sólo las podrán realizar Mipyme, cuyo objeto social les permita ejecutar el contrato relacionado con el proceso contractual. Asimismo, este artículo incluye a las cooperativas y demás entidades de economía solidaria dentro de los sujetos que pueden solicitar y participar en las convocatorias limitadas a Mipyme, siempre que estas cumplan con las condiciones señaladas en el artículo.</w:t>
      </w:r>
      <w:r w:rsidRPr="00A65973">
        <w:rPr>
          <w:rFonts w:ascii="Verdana" w:eastAsia="Arial" w:hAnsi="Verdana" w:cs="Arial"/>
          <w:color w:val="000000"/>
          <w:sz w:val="21"/>
          <w:szCs w:val="21"/>
          <w:lang w:val="es-ES_tradnl" w:eastAsia="es-ES_tradnl"/>
        </w:rPr>
        <w:t xml:space="preserve"> </w:t>
      </w:r>
    </w:p>
    <w:p w14:paraId="69A230FC" w14:textId="77777777" w:rsidR="0038548D" w:rsidRPr="00586588" w:rsidRDefault="0038548D" w:rsidP="0038548D">
      <w:pPr>
        <w:spacing w:after="120" w:line="276" w:lineRule="auto"/>
        <w:jc w:val="both"/>
        <w:rPr>
          <w:rFonts w:ascii="Verdana" w:eastAsia="Arial" w:hAnsi="Verdana" w:cs="Arial"/>
          <w:color w:val="000000"/>
          <w:lang w:val="es-ES_tradnl" w:eastAsia="es-ES_tradnl"/>
        </w:rPr>
      </w:pPr>
      <w:r w:rsidRPr="00A65973">
        <w:rPr>
          <w:rFonts w:ascii="Verdana" w:eastAsia="Arial" w:hAnsi="Verdana" w:cs="Arial"/>
          <w:color w:val="000000"/>
          <w:lang w:val="es-ES_tradnl" w:eastAsia="es-ES_tradnl"/>
        </w:rPr>
        <w:tab/>
      </w:r>
      <w:r>
        <w:rPr>
          <w:rFonts w:ascii="Verdana" w:eastAsia="Arial" w:hAnsi="Verdana" w:cs="Arial"/>
          <w:color w:val="000000"/>
          <w:lang w:val="es-ES_tradnl" w:eastAsia="es-ES_tradnl"/>
        </w:rPr>
        <w:t>T</w:t>
      </w:r>
      <w:r w:rsidRPr="00A65973">
        <w:rPr>
          <w:rFonts w:ascii="Verdana" w:eastAsia="Arial" w:hAnsi="Verdana" w:cs="Arial"/>
          <w:color w:val="000000"/>
          <w:lang w:val="es-ES_tradnl" w:eastAsia="es-ES_tradnl"/>
        </w:rPr>
        <w:t xml:space="preserve">eniendo en cuenta el asunto bajo consulta, debe resaltarse que la decisión de limitar la convocatoria por parte de la entidad, únicamente puede darse si la solicitud provino de dos (2) o más Mipymes. Sin embargo, previo a esto, la entidad debe verificar el cumplimiento de los requisitos dispuestos en los numerales 1 y 2 del artículo </w:t>
      </w:r>
      <w:r w:rsidRPr="00A65973">
        <w:rPr>
          <w:rFonts w:ascii="Verdana" w:eastAsia="Calibri" w:hAnsi="Verdana" w:cs="Arial"/>
          <w:color w:val="000000" w:themeColor="text1"/>
        </w:rPr>
        <w:t xml:space="preserve">2.2.1.2.4.2.2. </w:t>
      </w:r>
      <w:r>
        <w:rPr>
          <w:rFonts w:ascii="Verdana" w:eastAsia="Calibri" w:hAnsi="Verdana" w:cs="Arial"/>
          <w:color w:val="000000" w:themeColor="text1"/>
        </w:rPr>
        <w:t xml:space="preserve">y en el parágrafo 2 del artículo </w:t>
      </w:r>
      <w:r w:rsidRPr="00A65973">
        <w:rPr>
          <w:rFonts w:ascii="Verdana" w:eastAsia="Calibri" w:hAnsi="Verdana" w:cs="Arial"/>
          <w:color w:val="000000" w:themeColor="text1"/>
        </w:rPr>
        <w:t>2.2.1.2.4.2.</w:t>
      </w:r>
      <w:r>
        <w:rPr>
          <w:rFonts w:ascii="Verdana" w:eastAsia="Calibri" w:hAnsi="Verdana" w:cs="Arial"/>
          <w:color w:val="000000" w:themeColor="text1"/>
        </w:rPr>
        <w:t>4</w:t>
      </w:r>
      <w:r w:rsidRPr="00A65973">
        <w:rPr>
          <w:rFonts w:ascii="Verdana" w:eastAsia="Calibri" w:hAnsi="Verdana" w:cs="Arial"/>
          <w:color w:val="000000" w:themeColor="text1"/>
        </w:rPr>
        <w:t xml:space="preserve">. </w:t>
      </w:r>
      <w:r>
        <w:rPr>
          <w:rFonts w:ascii="Verdana" w:eastAsia="Calibri" w:hAnsi="Verdana" w:cs="Arial"/>
          <w:color w:val="000000" w:themeColor="text1"/>
        </w:rPr>
        <w:t xml:space="preserve">del </w:t>
      </w:r>
      <w:r w:rsidRPr="00A65973">
        <w:rPr>
          <w:rFonts w:ascii="Verdana" w:eastAsia="Calibri" w:hAnsi="Verdana" w:cs="Arial"/>
          <w:color w:val="000000" w:themeColor="text1"/>
        </w:rPr>
        <w:t xml:space="preserve">del Decreto 1082 de 2015, modificado por el Decreto 1860 de 2021. </w:t>
      </w:r>
    </w:p>
    <w:p w14:paraId="0E3E1E66" w14:textId="77777777" w:rsidR="0038548D" w:rsidRDefault="0038548D" w:rsidP="0038548D">
      <w:pPr>
        <w:spacing w:after="120" w:line="276" w:lineRule="auto"/>
        <w:jc w:val="both"/>
        <w:rPr>
          <w:rFonts w:ascii="Verdana" w:hAnsi="Verdana" w:cs="Arial"/>
          <w:bCs/>
          <w:lang w:val="es-ES_tradnl" w:eastAsia="es-ES"/>
        </w:rPr>
      </w:pPr>
      <w:r w:rsidRPr="00A65973">
        <w:rPr>
          <w:rFonts w:ascii="Verdana" w:hAnsi="Verdana" w:cs="Arial"/>
          <w:bCs/>
          <w:lang w:val="es-ES_tradnl" w:eastAsia="es-ES"/>
        </w:rPr>
        <w:lastRenderedPageBreak/>
        <w:tab/>
        <w:t>En tal sentido, la norma precitada señala las formas en las que las Mipyme colombianas deben acreditar el tamaño empresarial establecido por la ley</w:t>
      </w:r>
      <w:r>
        <w:rPr>
          <w:rFonts w:ascii="Verdana" w:hAnsi="Verdana" w:cs="Arial"/>
          <w:bCs/>
          <w:lang w:val="es-ES_tradnl" w:eastAsia="es-ES"/>
        </w:rPr>
        <w:t xml:space="preserve"> </w:t>
      </w:r>
      <w:r w:rsidRPr="00A65973">
        <w:rPr>
          <w:rFonts w:ascii="Verdana" w:eastAsia="Times New Roman" w:hAnsi="Verdana" w:cs="Arial"/>
          <w:color w:val="000000"/>
          <w:lang w:eastAsia="es-CO"/>
        </w:rPr>
        <w:t>590 de 2000 y el Decreto 1074 de 2015</w:t>
      </w:r>
      <w:r w:rsidRPr="00A65973">
        <w:rPr>
          <w:rFonts w:ascii="Verdana" w:hAnsi="Verdana" w:cs="Arial"/>
          <w:bCs/>
          <w:lang w:val="es-ES_tradnl" w:eastAsia="es-ES"/>
        </w:rPr>
        <w:t xml:space="preserve">. </w:t>
      </w:r>
    </w:p>
    <w:p w14:paraId="0020E349" w14:textId="77777777" w:rsidR="0038548D" w:rsidRPr="00A65973" w:rsidRDefault="0038548D" w:rsidP="0038548D">
      <w:pPr>
        <w:spacing w:after="120" w:line="276" w:lineRule="auto"/>
        <w:ind w:firstLine="708"/>
        <w:jc w:val="both"/>
        <w:rPr>
          <w:rFonts w:ascii="Verdana" w:hAnsi="Verdana" w:cs="Arial"/>
          <w:lang w:val="es-ES" w:eastAsia="es-ES"/>
        </w:rPr>
      </w:pPr>
      <w:r w:rsidRPr="10E0A30E">
        <w:rPr>
          <w:rFonts w:ascii="Verdana" w:hAnsi="Verdana" w:cs="Arial"/>
          <w:lang w:val="es-ES" w:eastAsia="es-ES"/>
        </w:rPr>
        <w:t>De este modo, las entidades deben dar cumplimiento expreso a las distintas posibilidades que otorga el Decreto 1082 de 2015, para que las Mipyme acrediten que tienen el tamaño empresarial dispuesto en la norma. Esto, sin perjuicio de que las entidades determinen en cada caso concreto, si los particulares partícipes de sus procesos de contratación cumplen o no los requisitos anteriormente enunciados, para así dilucidar si limitan o no la convocatoria a Mipymes.</w:t>
      </w:r>
    </w:p>
    <w:p w14:paraId="08BC0BCA" w14:textId="77777777" w:rsidR="0038548D" w:rsidRDefault="0038548D" w:rsidP="0038548D">
      <w:pPr>
        <w:spacing w:after="120" w:line="276" w:lineRule="auto"/>
        <w:ind w:firstLine="708"/>
        <w:jc w:val="both"/>
        <w:rPr>
          <w:rFonts w:ascii="Verdana" w:eastAsia="Calibri" w:hAnsi="Verdana" w:cs="Arial"/>
          <w:sz w:val="21"/>
          <w:szCs w:val="21"/>
          <w:lang w:val="es-ES_tradnl" w:eastAsia="es-ES_tradnl"/>
        </w:rPr>
      </w:pPr>
      <w:r>
        <w:rPr>
          <w:rFonts w:ascii="Verdana" w:hAnsi="Verdana" w:cs="Arial"/>
          <w:bCs/>
          <w:lang w:val="es-ES_tradnl" w:eastAsia="es-ES"/>
        </w:rPr>
        <w:t xml:space="preserve">Ahora bien, es precisa la norma contenida en el parágrafo 2 </w:t>
      </w:r>
      <w:r>
        <w:rPr>
          <w:rFonts w:ascii="Verdana" w:eastAsia="Times New Roman" w:hAnsi="Verdana" w:cs="Arial"/>
          <w:color w:val="000000"/>
          <w:lang w:eastAsia="es-CO"/>
        </w:rPr>
        <w:t xml:space="preserve">del artículo </w:t>
      </w:r>
      <w:r w:rsidRPr="00A65973">
        <w:rPr>
          <w:rFonts w:ascii="Verdana" w:eastAsia="Calibri" w:hAnsi="Verdana" w:cs="Arial"/>
          <w:bCs/>
          <w:sz w:val="21"/>
          <w:szCs w:val="21"/>
          <w:lang w:val="es-ES_tradnl" w:eastAsia="es-ES_tradnl"/>
        </w:rPr>
        <w:t>2.2.1.2.4.2.4</w:t>
      </w:r>
      <w:r>
        <w:rPr>
          <w:rFonts w:ascii="Verdana" w:eastAsia="Calibri" w:hAnsi="Verdana" w:cs="Arial"/>
          <w:bCs/>
          <w:sz w:val="21"/>
          <w:szCs w:val="21"/>
          <w:lang w:val="es-ES_tradnl" w:eastAsia="es-ES_tradnl"/>
        </w:rPr>
        <w:t xml:space="preserve">, del decreto </w:t>
      </w:r>
      <w:r w:rsidRPr="00A65973">
        <w:rPr>
          <w:rFonts w:ascii="Verdana" w:eastAsia="Arial" w:hAnsi="Verdana" w:cs="Arial"/>
          <w:lang w:eastAsia="es-ES_tradnl"/>
        </w:rPr>
        <w:t>Decreto 1082 de 2015</w:t>
      </w:r>
      <w:r>
        <w:rPr>
          <w:rFonts w:ascii="Verdana" w:eastAsia="Arial" w:hAnsi="Verdana" w:cs="Arial"/>
          <w:lang w:eastAsia="es-ES_tradnl"/>
        </w:rPr>
        <w:t>,</w:t>
      </w:r>
      <w:r>
        <w:rPr>
          <w:rFonts w:ascii="Verdana" w:eastAsia="Calibri" w:hAnsi="Verdana" w:cs="Arial"/>
          <w:bCs/>
          <w:sz w:val="21"/>
          <w:szCs w:val="21"/>
          <w:lang w:val="es-ES_tradnl" w:eastAsia="es-ES_tradnl"/>
        </w:rPr>
        <w:t xml:space="preserve"> </w:t>
      </w:r>
      <w:r w:rsidRPr="00622B7E">
        <w:rPr>
          <w:rFonts w:ascii="Verdana" w:hAnsi="Verdana" w:cs="Arial"/>
          <w:bCs/>
          <w:lang w:val="es-ES_tradnl" w:eastAsia="es-ES"/>
        </w:rPr>
        <w:t>que</w:t>
      </w:r>
      <w:r>
        <w:rPr>
          <w:rFonts w:ascii="Verdana" w:eastAsia="Calibri" w:hAnsi="Verdana" w:cs="Arial"/>
          <w:bCs/>
          <w:sz w:val="21"/>
          <w:szCs w:val="21"/>
          <w:lang w:val="es-ES_tradnl" w:eastAsia="es-ES_tradnl"/>
        </w:rPr>
        <w:t xml:space="preserve"> “</w:t>
      </w:r>
      <w:r>
        <w:rPr>
          <w:rFonts w:ascii="Verdana" w:eastAsia="Calibri" w:hAnsi="Verdana" w:cs="Arial"/>
          <w:sz w:val="21"/>
          <w:szCs w:val="21"/>
          <w:lang w:val="es-ES_tradnl" w:eastAsia="es-ES_tradnl"/>
        </w:rPr>
        <w:t>p</w:t>
      </w:r>
      <w:r w:rsidRPr="00A65973">
        <w:rPr>
          <w:rFonts w:ascii="Verdana" w:eastAsia="Calibri" w:hAnsi="Verdana" w:cs="Arial"/>
          <w:sz w:val="21"/>
          <w:szCs w:val="21"/>
          <w:lang w:val="es-ES_tradnl" w:eastAsia="es-ES_tradnl"/>
        </w:rPr>
        <w:t xml:space="preserve">ara efectos de </w:t>
      </w:r>
      <w:r>
        <w:rPr>
          <w:rFonts w:ascii="Verdana" w:eastAsia="Calibri" w:hAnsi="Verdana" w:cs="Arial"/>
          <w:sz w:val="21"/>
          <w:szCs w:val="21"/>
          <w:lang w:val="es-ES_tradnl" w:eastAsia="es-ES_tradnl"/>
        </w:rPr>
        <w:t xml:space="preserve">solicitud de </w:t>
      </w:r>
      <w:r w:rsidRPr="00A65973">
        <w:rPr>
          <w:rFonts w:ascii="Verdana" w:eastAsia="Calibri" w:hAnsi="Verdana" w:cs="Arial"/>
          <w:sz w:val="21"/>
          <w:szCs w:val="21"/>
          <w:lang w:val="es-ES_tradnl" w:eastAsia="es-ES_tradnl"/>
        </w:rPr>
        <w:t>limitación a Mipyme,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para solicitar la convocatoria limitada</w:t>
      </w:r>
      <w:r>
        <w:rPr>
          <w:rFonts w:ascii="Verdana" w:eastAsia="Calibri" w:hAnsi="Verdana" w:cs="Arial"/>
          <w:sz w:val="21"/>
          <w:szCs w:val="21"/>
          <w:lang w:val="es-ES_tradnl" w:eastAsia="es-ES_tradnl"/>
        </w:rPr>
        <w:t>”</w:t>
      </w:r>
      <w:r>
        <w:rPr>
          <w:rStyle w:val="Refdenotaalpie"/>
          <w:rFonts w:ascii="Verdana" w:eastAsia="Calibri" w:hAnsi="Verdana" w:cs="Arial"/>
          <w:sz w:val="21"/>
          <w:szCs w:val="21"/>
          <w:lang w:val="es-ES_tradnl" w:eastAsia="es-ES_tradnl"/>
        </w:rPr>
        <w:footnoteReference w:id="4"/>
      </w:r>
    </w:p>
    <w:p w14:paraId="311CF490" w14:textId="77777777" w:rsidR="0038548D" w:rsidRPr="00586588" w:rsidRDefault="0038548D" w:rsidP="0038548D">
      <w:pPr>
        <w:spacing w:after="120" w:line="276" w:lineRule="auto"/>
        <w:ind w:firstLine="708"/>
        <w:jc w:val="both"/>
        <w:rPr>
          <w:rFonts w:ascii="Verdana" w:eastAsia="Calibri" w:hAnsi="Verdana" w:cs="Arial"/>
          <w:color w:val="000000" w:themeColor="text1"/>
        </w:rPr>
      </w:pPr>
      <w:r>
        <w:rPr>
          <w:rFonts w:ascii="Verdana" w:hAnsi="Verdana" w:cs="Arial"/>
          <w:bCs/>
          <w:lang w:val="es-ES_tradnl" w:eastAsia="es-ES"/>
        </w:rPr>
        <w:t xml:space="preserve">Es oportuno señalar la importancia de la debida actualización del registro mercantil, ya que en él </w:t>
      </w:r>
      <w:r w:rsidRPr="00A65973">
        <w:rPr>
          <w:rFonts w:ascii="Verdana" w:hAnsi="Verdana" w:cs="Arial"/>
          <w:bCs/>
          <w:lang w:val="es-ES_tradnl" w:eastAsia="es-ES"/>
        </w:rPr>
        <w:t>se evidencia</w:t>
      </w:r>
      <w:r>
        <w:rPr>
          <w:rFonts w:ascii="Verdana" w:hAnsi="Verdana" w:cs="Arial"/>
          <w:bCs/>
          <w:lang w:val="es-ES_tradnl" w:eastAsia="es-ES"/>
        </w:rPr>
        <w:t xml:space="preserve"> </w:t>
      </w:r>
      <w:r w:rsidRPr="00A65973">
        <w:rPr>
          <w:rFonts w:ascii="Verdana" w:hAnsi="Verdana" w:cs="Arial"/>
          <w:bCs/>
          <w:lang w:val="es-ES_tradnl" w:eastAsia="es-ES"/>
        </w:rPr>
        <w:t>el domicilio y cambios estructurales que podrían tener como consecuencia la determinación o no de la limitación, además de ser un documento que por su naturaleza permea las acciones y determinaciones propias en un proceso de contratación</w:t>
      </w:r>
      <w:r>
        <w:rPr>
          <w:rFonts w:ascii="Verdana" w:hAnsi="Verdana" w:cs="Arial"/>
          <w:bCs/>
          <w:lang w:val="es-ES_tradnl" w:eastAsia="es-ES"/>
        </w:rPr>
        <w:t xml:space="preserve"> pública</w:t>
      </w:r>
      <w:r w:rsidRPr="00A65973">
        <w:rPr>
          <w:rFonts w:ascii="Verdana" w:hAnsi="Verdana" w:cs="Arial"/>
          <w:bCs/>
          <w:lang w:val="es-ES_tradnl" w:eastAsia="es-ES"/>
        </w:rPr>
        <w:t>, en el cual puede versen comprometidos principios como el de libre concurrencia y selección objetiva; no obstante, vale la pena precisar de la obligatoriedad que le asiste a los comerciantes de la renovación anual del registro mercantil contenido en el artículo 33 del Código de Comercio</w:t>
      </w:r>
      <w:r w:rsidRPr="00A65973">
        <w:rPr>
          <w:rStyle w:val="Refdenotaalpie"/>
          <w:rFonts w:ascii="Verdana" w:hAnsi="Verdana" w:cs="Arial"/>
          <w:bCs/>
          <w:lang w:val="es-ES_tradnl" w:eastAsia="es-ES"/>
        </w:rPr>
        <w:footnoteReference w:id="5"/>
      </w:r>
      <w:r w:rsidRPr="00A65973">
        <w:rPr>
          <w:rFonts w:ascii="Verdana" w:hAnsi="Verdana" w:cs="Arial"/>
          <w:bCs/>
          <w:lang w:val="es-ES_tradnl" w:eastAsia="es-ES"/>
        </w:rPr>
        <w:t>, en ese sentido es preciso tener de presente lo estimado por el Consejo de Estado, Sala de lo Contencioso Administrativo, Sección Primera, sentencia 11001-03-24-000-2012-00061-00, C.P. OSWALDO GIRALDO LÓPEZ</w:t>
      </w:r>
    </w:p>
    <w:p w14:paraId="3EDF18A9" w14:textId="77777777" w:rsidR="0038548D" w:rsidRPr="00622B7E" w:rsidRDefault="0038548D" w:rsidP="0038548D">
      <w:pPr>
        <w:spacing w:after="120" w:line="240" w:lineRule="auto"/>
        <w:ind w:left="709" w:right="709"/>
        <w:jc w:val="both"/>
        <w:rPr>
          <w:rFonts w:ascii="Verdana" w:hAnsi="Verdana" w:cs="Arial"/>
          <w:bCs/>
          <w:sz w:val="21"/>
          <w:szCs w:val="21"/>
          <w:lang w:val="es-ES_tradnl" w:eastAsia="es-ES"/>
        </w:rPr>
      </w:pPr>
      <w:r w:rsidRPr="00622B7E">
        <w:rPr>
          <w:rFonts w:ascii="Verdana" w:hAnsi="Verdana" w:cs="Arial"/>
          <w:bCs/>
          <w:sz w:val="21"/>
          <w:szCs w:val="21"/>
          <w:lang w:val="es-ES_tradnl" w:eastAsia="es-ES"/>
        </w:rPr>
        <w:t xml:space="preserve">El Código de Comercio prevé la existencia de un registro público mercantil cuyo objeto es llevar la matrícula de los comerciantes y de los </w:t>
      </w:r>
      <w:r w:rsidRPr="00622B7E">
        <w:rPr>
          <w:rFonts w:ascii="Verdana" w:hAnsi="Verdana" w:cs="Arial"/>
          <w:bCs/>
          <w:sz w:val="21"/>
          <w:szCs w:val="21"/>
          <w:lang w:val="es-ES_tradnl" w:eastAsia="es-ES"/>
        </w:rPr>
        <w:lastRenderedPageBreak/>
        <w:t>establecimientos de comercio, así como la inscripción de todos los actos, libros y documentos respecto de los cuales la ley exigiere esa formalidad</w:t>
      </w:r>
      <w:r w:rsidRPr="00622B7E">
        <w:rPr>
          <w:rStyle w:val="Refdenotaalpie"/>
          <w:rFonts w:ascii="Verdana" w:hAnsi="Verdana" w:cs="Arial"/>
          <w:bCs/>
          <w:sz w:val="21"/>
          <w:szCs w:val="21"/>
          <w:lang w:val="es-ES_tradnl" w:eastAsia="es-ES"/>
        </w:rPr>
        <w:footnoteReference w:id="6"/>
      </w:r>
      <w:r w:rsidRPr="00622B7E">
        <w:rPr>
          <w:rFonts w:ascii="Verdana" w:hAnsi="Verdana" w:cs="Arial"/>
          <w:bCs/>
          <w:sz w:val="21"/>
          <w:szCs w:val="21"/>
          <w:lang w:val="es-ES_tradnl" w:eastAsia="es-ES"/>
        </w:rPr>
        <w:t>.</w:t>
      </w:r>
    </w:p>
    <w:p w14:paraId="0FC1EC9E" w14:textId="77777777" w:rsidR="0038548D" w:rsidRPr="00622B7E" w:rsidRDefault="0038548D" w:rsidP="0038548D">
      <w:pPr>
        <w:spacing w:after="120" w:line="240" w:lineRule="auto"/>
        <w:ind w:left="709" w:right="709"/>
        <w:jc w:val="both"/>
        <w:rPr>
          <w:rFonts w:ascii="Verdana" w:hAnsi="Verdana" w:cs="Arial"/>
          <w:bCs/>
          <w:sz w:val="21"/>
          <w:szCs w:val="21"/>
          <w:lang w:val="es-ES_tradnl" w:eastAsia="es-ES"/>
        </w:rPr>
      </w:pPr>
      <w:r w:rsidRPr="00622B7E">
        <w:rPr>
          <w:rFonts w:ascii="Verdana" w:hAnsi="Verdana" w:cs="Arial"/>
          <w:bCs/>
          <w:sz w:val="21"/>
          <w:szCs w:val="21"/>
          <w:lang w:val="es-ES_tradnl" w:eastAsia="es-ES"/>
        </w:rPr>
        <w:t>Sobre esta materia se prevén en esta normativa las siguientes reglas:</w:t>
      </w:r>
    </w:p>
    <w:p w14:paraId="1D9F23C5" w14:textId="77777777" w:rsidR="0038548D" w:rsidRPr="00622B7E" w:rsidRDefault="0038548D" w:rsidP="0038548D">
      <w:pPr>
        <w:spacing w:after="120" w:line="240" w:lineRule="auto"/>
        <w:ind w:left="709" w:right="709"/>
        <w:jc w:val="both"/>
        <w:rPr>
          <w:rFonts w:ascii="Verdana" w:hAnsi="Verdana" w:cs="Arial"/>
          <w:bCs/>
          <w:sz w:val="21"/>
          <w:szCs w:val="21"/>
          <w:lang w:val="es-ES_tradnl" w:eastAsia="es-ES"/>
        </w:rPr>
      </w:pPr>
      <w:r w:rsidRPr="00622B7E">
        <w:rPr>
          <w:rFonts w:ascii="Verdana" w:hAnsi="Verdana" w:cs="Arial"/>
          <w:bCs/>
          <w:sz w:val="21"/>
          <w:szCs w:val="21"/>
          <w:lang w:val="es-ES_tradnl" w:eastAsia="es-ES"/>
        </w:rPr>
        <w:t>Conforme a ese Estatuto, en efecto, es obligación de todo comerciante matricularse en el registro mercantil e inscribir en el registro mercantil todos los actos, libros y documentos respecto de los cuales la ley exija esa formalidad</w:t>
      </w:r>
      <w:r w:rsidRPr="00622B7E">
        <w:rPr>
          <w:rStyle w:val="Refdenotaalpie"/>
          <w:rFonts w:ascii="Verdana" w:hAnsi="Verdana" w:cs="Arial"/>
          <w:bCs/>
          <w:sz w:val="21"/>
          <w:szCs w:val="21"/>
          <w:lang w:val="es-ES_tradnl" w:eastAsia="es-ES"/>
        </w:rPr>
        <w:footnoteReference w:id="7"/>
      </w:r>
      <w:r w:rsidRPr="00622B7E">
        <w:rPr>
          <w:rFonts w:ascii="Verdana" w:hAnsi="Verdana" w:cs="Arial"/>
          <w:bCs/>
          <w:sz w:val="21"/>
          <w:szCs w:val="21"/>
          <w:lang w:val="es-ES_tradnl" w:eastAsia="es-ES"/>
        </w:rPr>
        <w:t>.</w:t>
      </w:r>
    </w:p>
    <w:p w14:paraId="7D2C0325" w14:textId="77777777" w:rsidR="0038548D" w:rsidRPr="00622B7E" w:rsidRDefault="0038548D" w:rsidP="0038548D">
      <w:pPr>
        <w:spacing w:after="120" w:line="240" w:lineRule="auto"/>
        <w:ind w:left="709" w:right="709"/>
        <w:jc w:val="both"/>
        <w:rPr>
          <w:rFonts w:ascii="Verdana" w:hAnsi="Verdana" w:cs="Arial"/>
          <w:bCs/>
          <w:sz w:val="21"/>
          <w:szCs w:val="21"/>
          <w:lang w:val="es-ES_tradnl" w:eastAsia="es-ES"/>
        </w:rPr>
      </w:pPr>
      <w:r w:rsidRPr="00622B7E">
        <w:rPr>
          <w:rFonts w:ascii="Verdana" w:hAnsi="Verdana" w:cs="Arial"/>
          <w:bCs/>
          <w:sz w:val="21"/>
          <w:szCs w:val="21"/>
          <w:lang w:val="es-ES_tradnl" w:eastAsia="es-ES"/>
        </w:rPr>
        <w:t>De otro lado, de acuerdo con lo dispuesto en el artículo 33 del Código de Comercio, la matrícula debe renovarse anualmente, dentro de los tres primeros meses de cada año</w:t>
      </w:r>
      <w:r w:rsidRPr="00622B7E">
        <w:rPr>
          <w:rStyle w:val="Refdenotaalpie"/>
          <w:rFonts w:ascii="Verdana" w:hAnsi="Verdana" w:cs="Arial"/>
          <w:bCs/>
          <w:sz w:val="21"/>
          <w:szCs w:val="21"/>
          <w:lang w:val="es-ES_tradnl" w:eastAsia="es-ES"/>
        </w:rPr>
        <w:footnoteReference w:id="8"/>
      </w:r>
      <w:r w:rsidRPr="00622B7E">
        <w:rPr>
          <w:rFonts w:ascii="Verdana" w:hAnsi="Verdana" w:cs="Arial"/>
          <w:bCs/>
          <w:sz w:val="21"/>
          <w:szCs w:val="21"/>
          <w:lang w:val="es-ES_tradnl" w:eastAsia="es-ES"/>
        </w:rPr>
        <w:t>. Precisa esta norma que el inscrito debe informar a la correspondiente cámara de comercio la pérdida de su calidad de comerciante, así como cualquier cambio de domicilio y demás mutaciones referentes a su actividad comercial, a fin de que se tome nota de ello en el registro correspondiente; y que lo mismo se hará respecto de sucursales, establecimientos de comercio y demás actos y documentos sujetos a registro.</w:t>
      </w:r>
    </w:p>
    <w:p w14:paraId="1C81A6B1" w14:textId="77777777" w:rsidR="0038548D" w:rsidRPr="00622B7E" w:rsidRDefault="0038548D" w:rsidP="0038548D">
      <w:pPr>
        <w:spacing w:after="120" w:line="240" w:lineRule="auto"/>
        <w:ind w:left="709" w:right="709"/>
        <w:jc w:val="both"/>
        <w:rPr>
          <w:rFonts w:ascii="Verdana" w:hAnsi="Verdana" w:cs="Arial"/>
          <w:bCs/>
          <w:sz w:val="21"/>
          <w:szCs w:val="21"/>
          <w:lang w:val="es-ES_tradnl" w:eastAsia="es-ES"/>
        </w:rPr>
      </w:pPr>
      <w:r w:rsidRPr="00622B7E">
        <w:rPr>
          <w:rFonts w:ascii="Verdana" w:hAnsi="Verdana" w:cs="Arial"/>
          <w:bCs/>
          <w:sz w:val="21"/>
          <w:szCs w:val="21"/>
          <w:lang w:val="es-ES_tradnl" w:eastAsia="es-ES"/>
        </w:rPr>
        <w:t>Siguiendo las disposiciones del Código de Comercio sobre esta materia, la Corte Constitucional</w:t>
      </w:r>
      <w:r w:rsidRPr="00622B7E">
        <w:rPr>
          <w:rStyle w:val="Refdenotaalpie"/>
          <w:rFonts w:ascii="Verdana" w:hAnsi="Verdana" w:cs="Arial"/>
          <w:bCs/>
          <w:sz w:val="21"/>
          <w:szCs w:val="21"/>
          <w:lang w:val="es-ES_tradnl" w:eastAsia="es-ES"/>
        </w:rPr>
        <w:footnoteReference w:id="9"/>
      </w:r>
      <w:r w:rsidRPr="00622B7E">
        <w:rPr>
          <w:rFonts w:ascii="Verdana" w:hAnsi="Verdana" w:cs="Arial"/>
          <w:bCs/>
          <w:sz w:val="21"/>
          <w:szCs w:val="21"/>
          <w:lang w:val="es-ES_tradnl" w:eastAsia="es-ES"/>
        </w:rPr>
        <w:t xml:space="preserve"> precisó que el registro mercantil es un instrumento de publicidad para la vida comercial, cuyo objeto es permitir al público el conocimiento de ciertos datos relevantes para el tráfico mercantil, y destacó que, como algunos hechos y actividades de esta naturaleza producen efectos no sólo entre la partes, sino también frente a terceros, es menester, por razones de seguridad jurídica, que exista un mecanismo para su conocimiento público; por ello, la ley impone al comerciante la obligación de dar publicidad a tales hechos o actos, así como su propia condición de comerciante.</w:t>
      </w:r>
    </w:p>
    <w:p w14:paraId="34E49EB5" w14:textId="77777777" w:rsidR="0038548D" w:rsidRPr="00622B7E" w:rsidRDefault="0038548D" w:rsidP="0038548D">
      <w:pPr>
        <w:spacing w:after="120" w:line="240" w:lineRule="auto"/>
        <w:ind w:left="709" w:right="709"/>
        <w:jc w:val="both"/>
        <w:rPr>
          <w:rFonts w:ascii="Verdana" w:hAnsi="Verdana" w:cs="Arial"/>
          <w:sz w:val="21"/>
          <w:szCs w:val="21"/>
          <w:lang w:val="es-ES" w:eastAsia="es-ES"/>
        </w:rPr>
      </w:pPr>
      <w:r w:rsidRPr="00622B7E">
        <w:rPr>
          <w:rFonts w:ascii="Verdana" w:hAnsi="Verdana" w:cs="Arial"/>
          <w:sz w:val="21"/>
          <w:szCs w:val="21"/>
          <w:lang w:val="es-ES" w:eastAsia="es-ES"/>
        </w:rPr>
        <w:t xml:space="preserve">Asimismo dicha Corporación, refiriéndose a la finalidad e importancia del registro mercantil, señaló que “[…] la base de datos constituida por el registro mercantil actualizable </w:t>
      </w:r>
      <w:proofErr w:type="gramStart"/>
      <w:r w:rsidRPr="00622B7E">
        <w:rPr>
          <w:rFonts w:ascii="Verdana" w:hAnsi="Verdana" w:cs="Arial"/>
          <w:sz w:val="21"/>
          <w:szCs w:val="21"/>
          <w:lang w:val="es-ES" w:eastAsia="es-ES"/>
        </w:rPr>
        <w:t>anualmente,</w:t>
      </w:r>
      <w:proofErr w:type="gramEnd"/>
      <w:r w:rsidRPr="00622B7E">
        <w:rPr>
          <w:rFonts w:ascii="Verdana" w:hAnsi="Verdana" w:cs="Arial"/>
          <w:sz w:val="21"/>
          <w:szCs w:val="21"/>
          <w:lang w:val="es-ES" w:eastAsia="es-ES"/>
        </w:rPr>
        <w:t xml:space="preserve"> sugiere la compilación de una información que es connatural a la actividad comercial, en tanto su desarrollo implica tener certeza de quiénes, cómo y con qué se participa en ella”. Y agregó que “[…] el registro mercantil permanentemente actualizado, presta a la actividad económica la posibilidad de configuración de uno de sus supuestos más importantes, cual es el de (i) la organización, de la que se deriva igualmente otro elemento esencial no sólo al ejercicio del intercambio comercial sino a la dinámica misma del Estado Constitucional </w:t>
      </w:r>
      <w:r w:rsidRPr="00622B7E">
        <w:rPr>
          <w:rFonts w:ascii="Verdana" w:hAnsi="Verdana" w:cs="Arial"/>
          <w:sz w:val="21"/>
          <w:szCs w:val="21"/>
          <w:lang w:val="es-ES" w:eastAsia="es-ES"/>
        </w:rPr>
        <w:lastRenderedPageBreak/>
        <w:t>de Derecho, que es (ii) la seguridad jurídica; todo esto, a través de la satisfacción de otro principio fundamental de las actividades económicas, cual es el de (iii) la publicidad.”</w:t>
      </w:r>
      <w:r w:rsidRPr="00622B7E">
        <w:rPr>
          <w:rStyle w:val="Refdenotaalpie"/>
          <w:rFonts w:ascii="Verdana" w:hAnsi="Verdana" w:cs="Arial"/>
          <w:sz w:val="21"/>
          <w:szCs w:val="21"/>
          <w:lang w:val="es-ES" w:eastAsia="es-ES"/>
        </w:rPr>
        <w:footnoteReference w:id="10"/>
      </w:r>
    </w:p>
    <w:p w14:paraId="41A94764" w14:textId="77777777" w:rsidR="0038548D" w:rsidRPr="00F86D43" w:rsidRDefault="0038548D" w:rsidP="0038548D">
      <w:pPr>
        <w:spacing w:after="120" w:line="276" w:lineRule="auto"/>
        <w:ind w:firstLine="708"/>
        <w:jc w:val="both"/>
        <w:rPr>
          <w:rFonts w:ascii="Verdana" w:eastAsia="Calibri" w:hAnsi="Verdana" w:cs="Arial"/>
          <w:bCs/>
          <w:sz w:val="21"/>
          <w:szCs w:val="21"/>
          <w:lang w:val="es-ES_tradnl" w:eastAsia="es-ES_tradnl"/>
        </w:rPr>
      </w:pPr>
      <w:r>
        <w:rPr>
          <w:rFonts w:ascii="Verdana" w:eastAsia="Arial" w:hAnsi="Verdana" w:cs="Arial"/>
          <w:bCs/>
          <w:color w:val="000000"/>
          <w:lang w:val="es-ES"/>
        </w:rPr>
        <w:t xml:space="preserve">Frente </w:t>
      </w:r>
      <w:r w:rsidRPr="004B53EE">
        <w:rPr>
          <w:rFonts w:ascii="Verdana" w:eastAsia="Arial" w:hAnsi="Verdana" w:cs="Arial"/>
          <w:bCs/>
          <w:color w:val="000000"/>
          <w:lang w:val="es-ES"/>
        </w:rPr>
        <w:t xml:space="preserve">a la acreditación de la renovación del registro mercantil debe señalarse que, </w:t>
      </w:r>
      <w:r w:rsidRPr="004B53EE">
        <w:rPr>
          <w:rFonts w:ascii="Verdana" w:hAnsi="Verdana" w:cs="Arial"/>
        </w:rPr>
        <w:t>el artículo 30 de la Ley 1727 de 2014 regula lo referente a las consecuencias de la extemporaneidad en la renovación de la matricula mercantil, al establecer que el comerciante que incumpla con la obligación de renovar oportunamente su matrícula mercantil estará sujeto a las sanciones previstas en el artículo 37 del Código de Comercio para quienes ejerzan profesionalmente el comercio sin el registro mercantil. Así mismo el numeral</w:t>
      </w:r>
      <w:r>
        <w:rPr>
          <w:rFonts w:ascii="Verdana" w:hAnsi="Verdana" w:cs="Arial"/>
        </w:rPr>
        <w:t xml:space="preserve"> 2</w:t>
      </w:r>
      <w:r w:rsidRPr="004B53EE">
        <w:rPr>
          <w:rFonts w:ascii="Verdana" w:hAnsi="Verdana" w:cs="Arial"/>
        </w:rPr>
        <w:t xml:space="preserve"> del artículo 31 de la Ley 1727 de 2014 dispone la cancelación de la matricula mercantil de las personas naturales, los establecimientos de comercio, sucursales y agencias que hayan incumplido la obligación de renovar la matricula mercantil en los últimos cinco (5) años.  </w:t>
      </w:r>
    </w:p>
    <w:p w14:paraId="1624A5AA" w14:textId="77777777" w:rsidR="0038548D" w:rsidRPr="00586588" w:rsidRDefault="0038548D" w:rsidP="0038548D">
      <w:pPr>
        <w:spacing w:after="120" w:line="276" w:lineRule="auto"/>
        <w:ind w:firstLine="708"/>
        <w:jc w:val="both"/>
        <w:rPr>
          <w:rFonts w:ascii="Verdana" w:eastAsia="Century Gothic" w:hAnsi="Verdana" w:cs="Century Gothic"/>
          <w:lang w:val="es-ES"/>
        </w:rPr>
      </w:pPr>
      <w:r w:rsidRPr="10E0A30E">
        <w:rPr>
          <w:rFonts w:ascii="Verdana" w:eastAsia="Century Gothic" w:hAnsi="Verdana" w:cs="Century Gothic"/>
          <w:lang w:val="es-ES"/>
        </w:rPr>
        <w:t>Para concluir es preciso señalar que, no es procedente una interpretación aislada de las disposiciones normativas, esta debe darse de manera armónica, y respondiendo en todo caso a los fines y principio</w:t>
      </w:r>
      <w:r>
        <w:rPr>
          <w:rFonts w:ascii="Verdana" w:eastAsia="Century Gothic" w:hAnsi="Verdana" w:cs="Century Gothic"/>
          <w:lang w:val="es-ES"/>
        </w:rPr>
        <w:t>s</w:t>
      </w:r>
      <w:r w:rsidRPr="10E0A30E">
        <w:rPr>
          <w:rFonts w:ascii="Verdana" w:eastAsia="Century Gothic" w:hAnsi="Verdana" w:cs="Century Gothic"/>
          <w:lang w:val="es-ES"/>
        </w:rPr>
        <w:t xml:space="preserve"> establecidos en el marco de la contratación pública, ahora bien, si no se encuentra textualmente regulada la materia en una disposición normativa, es preciso acudir a la fuente formal que regula la materia, para el caso en concreto el </w:t>
      </w:r>
      <w:r w:rsidRPr="10E0A30E">
        <w:rPr>
          <w:rFonts w:ascii="Verdana" w:hAnsi="Verdana" w:cs="Arial"/>
          <w:lang w:val="es-ES" w:eastAsia="es-ES"/>
        </w:rPr>
        <w:t>artículo 33 del Código de Comercio</w:t>
      </w:r>
      <w:r w:rsidRPr="10E0A30E">
        <w:rPr>
          <w:rFonts w:ascii="Verdana" w:eastAsia="Century Gothic" w:hAnsi="Verdana" w:cs="Century Gothic"/>
          <w:lang w:val="es-ES"/>
        </w:rPr>
        <w:t xml:space="preserve">, y ningún partícipe de la contratación pública, puede pretender desconocer imperativos normativos establecidos en otras disposiciones legales, so pretexto de no encontrase regulada en el marco jurídico propio de la contratación pública. </w:t>
      </w:r>
    </w:p>
    <w:p w14:paraId="16F43889" w14:textId="77777777" w:rsidR="0038548D" w:rsidRPr="00A65973" w:rsidRDefault="0038548D" w:rsidP="0038548D">
      <w:pPr>
        <w:spacing w:line="276" w:lineRule="auto"/>
        <w:jc w:val="both"/>
        <w:rPr>
          <w:rFonts w:ascii="Verdana" w:eastAsia="Century Gothic" w:hAnsi="Verdana" w:cs="Century Gothic"/>
          <w:b/>
          <w:bCs/>
        </w:rPr>
      </w:pPr>
      <w:r w:rsidRPr="00A65973">
        <w:rPr>
          <w:rFonts w:ascii="Verdana" w:hAnsi="Verdana" w:cs="Arial"/>
          <w:bCs/>
          <w:lang w:val="es-ES_tradnl" w:eastAsia="es-ES"/>
        </w:rPr>
        <w:t xml:space="preserve"> </w:t>
      </w:r>
      <w:r w:rsidRPr="00A65973">
        <w:rPr>
          <w:rFonts w:ascii="Verdana" w:eastAsia="Century Gothic" w:hAnsi="Verdana" w:cs="Century Gothic"/>
          <w:b/>
          <w:bCs/>
        </w:rPr>
        <w:t>Referencias normativas, jurisprudenciales y otras fuentes:</w:t>
      </w:r>
    </w:p>
    <w:p w14:paraId="3229A814" w14:textId="77777777" w:rsidR="0038548D" w:rsidRPr="00A65973" w:rsidRDefault="0038548D" w:rsidP="0038548D">
      <w:pPr>
        <w:spacing w:after="120" w:line="276" w:lineRule="auto"/>
        <w:ind w:right="709" w:firstLine="709"/>
        <w:jc w:val="both"/>
        <w:rPr>
          <w:rFonts w:ascii="Verdana" w:hAnsi="Verdana" w:cs="Arial"/>
          <w:noProof/>
          <w:lang w:val="es-ES"/>
        </w:rPr>
      </w:pPr>
    </w:p>
    <w:p w14:paraId="0321C59C" w14:textId="77777777" w:rsidR="0038548D" w:rsidRPr="00665A5A" w:rsidRDefault="0038548D" w:rsidP="0038548D">
      <w:pPr>
        <w:pStyle w:val="Prrafodelista"/>
        <w:numPr>
          <w:ilvl w:val="0"/>
          <w:numId w:val="2"/>
        </w:numPr>
        <w:spacing w:after="120" w:line="276" w:lineRule="auto"/>
        <w:ind w:right="709"/>
        <w:rPr>
          <w:rFonts w:ascii="Verdana" w:hAnsi="Verdana" w:cs="Arial"/>
          <w:noProof/>
          <w:lang w:val="es-ES_tradnl"/>
        </w:rPr>
      </w:pPr>
      <w:r w:rsidRPr="00A65973">
        <w:rPr>
          <w:rFonts w:ascii="Verdana" w:eastAsia="Arial" w:hAnsi="Verdana" w:cs="Arial"/>
          <w:lang w:eastAsia="es-ES_tradnl"/>
        </w:rPr>
        <w:t>El artículo 2.2.1.2.4.2.2. y 2.2.1.2.4.2.4. del Decreto 1082 de 2015 modificado por el decreto 1860 de 2021.</w:t>
      </w:r>
      <w:r>
        <w:rPr>
          <w:rFonts w:ascii="Verdana" w:eastAsia="Arial" w:hAnsi="Verdana" w:cs="Arial"/>
          <w:lang w:eastAsia="es-ES_tradnl"/>
        </w:rPr>
        <w:t xml:space="preserve"> </w:t>
      </w:r>
      <w:r w:rsidRPr="00A65973">
        <w:rPr>
          <w:rFonts w:ascii="Verdana" w:hAnsi="Verdana" w:cs="Arial"/>
          <w:lang w:val="es-ES_tradnl"/>
        </w:rPr>
        <w:t xml:space="preserve">Disponible </w:t>
      </w:r>
      <w:r w:rsidRPr="00A65973">
        <w:rPr>
          <w:rFonts w:ascii="Verdana" w:hAnsi="Verdana" w:cs="Arial"/>
        </w:rPr>
        <w:t xml:space="preserve">en: </w:t>
      </w:r>
      <w:r w:rsidRPr="00A65973">
        <w:rPr>
          <w:rFonts w:ascii="Verdana" w:hAnsi="Verdana" w:cs="Arial"/>
          <w:noProof/>
          <w:lang w:val="es-ES_tradnl"/>
        </w:rPr>
        <w:t xml:space="preserve"> </w:t>
      </w:r>
      <w:hyperlink r:id="rId13" w:history="1">
        <w:r w:rsidRPr="0079147C">
          <w:rPr>
            <w:rStyle w:val="Hipervnculo"/>
            <w:rFonts w:ascii="Verdana" w:eastAsia="Arial" w:hAnsi="Verdana" w:cs="Arial"/>
            <w:lang w:eastAsia="es-ES_tradnl"/>
          </w:rPr>
          <w:t>https://relatoria.colombiacompra.gov.co/normativa/decreto-1082-de-2015/</w:t>
        </w:r>
      </w:hyperlink>
      <w:r>
        <w:rPr>
          <w:rFonts w:ascii="Verdana" w:eastAsia="Arial" w:hAnsi="Verdana" w:cs="Arial"/>
          <w:lang w:eastAsia="es-ES_tradnl"/>
        </w:rPr>
        <w:t xml:space="preserve"> </w:t>
      </w:r>
    </w:p>
    <w:p w14:paraId="41A6A9F1" w14:textId="77777777" w:rsidR="0038548D" w:rsidRPr="00665A5A" w:rsidRDefault="0038548D" w:rsidP="0038548D">
      <w:pPr>
        <w:pStyle w:val="Prrafodelista"/>
        <w:spacing w:after="120" w:line="276" w:lineRule="auto"/>
        <w:ind w:right="709"/>
        <w:rPr>
          <w:rFonts w:ascii="Verdana" w:hAnsi="Verdana" w:cs="Arial"/>
          <w:noProof/>
          <w:lang w:val="es-ES_tradnl"/>
        </w:rPr>
      </w:pPr>
    </w:p>
    <w:p w14:paraId="31D26C34" w14:textId="77777777" w:rsidR="0038548D" w:rsidRPr="00665A5A" w:rsidRDefault="0038548D" w:rsidP="0038548D">
      <w:pPr>
        <w:pStyle w:val="Prrafodelista"/>
        <w:numPr>
          <w:ilvl w:val="0"/>
          <w:numId w:val="2"/>
        </w:numPr>
        <w:spacing w:after="120" w:line="276" w:lineRule="auto"/>
        <w:ind w:right="709"/>
        <w:rPr>
          <w:rFonts w:ascii="Verdana" w:hAnsi="Verdana" w:cs="Arial"/>
          <w:noProof/>
          <w:lang w:val="es-ES_tradnl"/>
        </w:rPr>
      </w:pPr>
      <w:r w:rsidRPr="00665A5A">
        <w:rPr>
          <w:rFonts w:ascii="Verdana" w:eastAsia="Arial" w:hAnsi="Verdana" w:cs="Arial"/>
          <w:lang w:eastAsia="es-ES_tradnl"/>
        </w:rPr>
        <w:t xml:space="preserve">Ley 590 de 2000. Disponible en: </w:t>
      </w:r>
      <w:hyperlink r:id="rId14" w:history="1">
        <w:r w:rsidRPr="00665A5A">
          <w:rPr>
            <w:rStyle w:val="Hipervnculo"/>
            <w:rFonts w:ascii="Verdana" w:eastAsia="Arial" w:hAnsi="Verdana" w:cs="Arial"/>
            <w:lang w:eastAsia="es-ES_tradnl"/>
          </w:rPr>
          <w:t>https://relatoria.colombiacompra.gov.co/normativa/ley-590-de-2000/</w:t>
        </w:r>
      </w:hyperlink>
    </w:p>
    <w:p w14:paraId="708DD5B6" w14:textId="77777777" w:rsidR="0038548D" w:rsidRPr="00665A5A" w:rsidRDefault="0038548D" w:rsidP="0038548D">
      <w:pPr>
        <w:pStyle w:val="Prrafodelista"/>
        <w:rPr>
          <w:rFonts w:ascii="Verdana" w:eastAsia="Arial" w:hAnsi="Verdana" w:cs="Arial"/>
          <w:lang w:eastAsia="es-ES_tradnl"/>
        </w:rPr>
      </w:pPr>
    </w:p>
    <w:p w14:paraId="0C4CAA9F" w14:textId="77777777" w:rsidR="0038548D" w:rsidRPr="004B53EE" w:rsidRDefault="0038548D" w:rsidP="0038548D">
      <w:pPr>
        <w:pStyle w:val="Prrafodelista"/>
        <w:numPr>
          <w:ilvl w:val="0"/>
          <w:numId w:val="2"/>
        </w:numPr>
        <w:spacing w:after="120" w:line="276" w:lineRule="auto"/>
        <w:ind w:right="709"/>
        <w:rPr>
          <w:rStyle w:val="Hipervnculo"/>
          <w:rFonts w:ascii="Verdana" w:hAnsi="Verdana" w:cs="Arial"/>
          <w:noProof/>
          <w:lang w:val="es-ES_tradnl"/>
        </w:rPr>
      </w:pPr>
      <w:r w:rsidRPr="00665A5A">
        <w:rPr>
          <w:rFonts w:ascii="Verdana" w:eastAsia="Arial" w:hAnsi="Verdana" w:cs="Arial"/>
          <w:lang w:eastAsia="es-ES_tradnl"/>
        </w:rPr>
        <w:lastRenderedPageBreak/>
        <w:t xml:space="preserve">Decreto 1074 del 2015. Disponible en: </w:t>
      </w:r>
      <w:hyperlink r:id="rId15" w:history="1">
        <w:r w:rsidRPr="00665A5A">
          <w:rPr>
            <w:rStyle w:val="Hipervnculo"/>
            <w:rFonts w:ascii="Verdana" w:eastAsia="Arial" w:hAnsi="Verdana" w:cs="Arial"/>
            <w:lang w:eastAsia="es-ES_tradnl"/>
          </w:rPr>
          <w:t>https://relatoria.colombiacompra.gov.co/normativa/decreto-1074-de-2015/</w:t>
        </w:r>
      </w:hyperlink>
    </w:p>
    <w:p w14:paraId="743A40D8" w14:textId="77777777" w:rsidR="0038548D" w:rsidRPr="004B53EE" w:rsidRDefault="0038548D" w:rsidP="0038548D">
      <w:pPr>
        <w:pStyle w:val="Prrafodelista"/>
        <w:rPr>
          <w:rFonts w:ascii="Verdana" w:eastAsia="Arial" w:hAnsi="Verdana" w:cs="Arial"/>
          <w:lang w:eastAsia="es-ES_tradnl"/>
        </w:rPr>
      </w:pPr>
    </w:p>
    <w:p w14:paraId="79D68950" w14:textId="77777777" w:rsidR="0038548D" w:rsidRPr="00665A5A" w:rsidRDefault="0038548D" w:rsidP="0038548D">
      <w:pPr>
        <w:pStyle w:val="Prrafodelista"/>
        <w:numPr>
          <w:ilvl w:val="0"/>
          <w:numId w:val="2"/>
        </w:numPr>
        <w:spacing w:after="120" w:line="276" w:lineRule="auto"/>
        <w:ind w:right="709"/>
        <w:rPr>
          <w:rFonts w:ascii="Verdana" w:hAnsi="Verdana" w:cs="Arial"/>
          <w:noProof/>
          <w:lang w:val="es-ES_tradnl"/>
        </w:rPr>
      </w:pPr>
      <w:r>
        <w:rPr>
          <w:rFonts w:ascii="Verdana" w:hAnsi="Verdana" w:cs="Arial"/>
        </w:rPr>
        <w:t>A</w:t>
      </w:r>
      <w:r w:rsidRPr="004B53EE">
        <w:rPr>
          <w:rFonts w:ascii="Verdana" w:hAnsi="Verdana" w:cs="Arial"/>
        </w:rPr>
        <w:t xml:space="preserve">rtículo 30 de la Ley 1727 de 2014 </w:t>
      </w:r>
      <w:r w:rsidRPr="00665A5A">
        <w:rPr>
          <w:rFonts w:ascii="Verdana" w:eastAsia="Arial" w:hAnsi="Verdana" w:cs="Arial"/>
          <w:lang w:eastAsia="es-ES_tradnl"/>
        </w:rPr>
        <w:t xml:space="preserve"> </w:t>
      </w:r>
    </w:p>
    <w:p w14:paraId="365EC304" w14:textId="77777777" w:rsidR="0038548D" w:rsidRPr="008612B2" w:rsidRDefault="0038548D" w:rsidP="0038548D">
      <w:pPr>
        <w:pStyle w:val="Prrafodelista"/>
        <w:spacing w:after="120" w:line="276" w:lineRule="auto"/>
        <w:ind w:right="709"/>
        <w:rPr>
          <w:rFonts w:ascii="Verdana" w:hAnsi="Verdana" w:cs="Arial"/>
          <w:noProof/>
          <w:lang w:val="es-ES_tradnl"/>
        </w:rPr>
      </w:pPr>
    </w:p>
    <w:p w14:paraId="6C6C3B27" w14:textId="77777777" w:rsidR="0038548D" w:rsidRPr="00665A5A" w:rsidRDefault="0038548D" w:rsidP="0038548D">
      <w:pPr>
        <w:pStyle w:val="Prrafodelista"/>
        <w:numPr>
          <w:ilvl w:val="0"/>
          <w:numId w:val="2"/>
        </w:numPr>
        <w:spacing w:after="120" w:line="276" w:lineRule="auto"/>
        <w:ind w:right="709"/>
        <w:rPr>
          <w:rFonts w:ascii="Verdana" w:hAnsi="Verdana" w:cs="Arial"/>
          <w:noProof/>
          <w:lang w:val="es-ES_tradnl"/>
        </w:rPr>
      </w:pPr>
      <w:r>
        <w:rPr>
          <w:rFonts w:ascii="Verdana" w:eastAsia="Arial" w:hAnsi="Verdana" w:cs="Arial"/>
          <w:lang w:eastAsia="es-ES_tradnl"/>
        </w:rPr>
        <w:t xml:space="preserve">Artículos 19, 26, 33 del  Código de comercio. Disponible en: </w:t>
      </w:r>
      <w:hyperlink r:id="rId16" w:history="1">
        <w:r w:rsidRPr="0079147C">
          <w:rPr>
            <w:rStyle w:val="Hipervnculo"/>
            <w:rFonts w:ascii="Verdana" w:eastAsia="Arial" w:hAnsi="Verdana" w:cs="Arial"/>
            <w:lang w:eastAsia="es-ES_tradnl"/>
          </w:rPr>
          <w:t>https://relatoria.colombiacompra.gov.co/normativa/codigo-de-comercio-decreto-410-de-1971/</w:t>
        </w:r>
      </w:hyperlink>
      <w:r>
        <w:rPr>
          <w:rFonts w:ascii="Verdana" w:eastAsia="Arial" w:hAnsi="Verdana" w:cs="Arial"/>
          <w:lang w:eastAsia="es-ES_tradnl"/>
        </w:rPr>
        <w:t xml:space="preserve"> </w:t>
      </w:r>
    </w:p>
    <w:p w14:paraId="0F264B0C" w14:textId="77777777" w:rsidR="0038548D" w:rsidRPr="00665A5A" w:rsidRDefault="0038548D" w:rsidP="0038548D">
      <w:pPr>
        <w:pStyle w:val="Prrafodelista"/>
        <w:rPr>
          <w:rFonts w:ascii="Verdana" w:hAnsi="Verdana" w:cs="Arial"/>
        </w:rPr>
      </w:pPr>
    </w:p>
    <w:p w14:paraId="4B19B2D9" w14:textId="77777777" w:rsidR="0038548D" w:rsidRPr="00665A5A" w:rsidRDefault="0038548D" w:rsidP="0038548D">
      <w:pPr>
        <w:pStyle w:val="Prrafodelista"/>
        <w:numPr>
          <w:ilvl w:val="0"/>
          <w:numId w:val="2"/>
        </w:numPr>
        <w:spacing w:after="120" w:line="276" w:lineRule="auto"/>
        <w:ind w:right="709"/>
        <w:rPr>
          <w:rFonts w:ascii="Verdana" w:hAnsi="Verdana" w:cs="Arial"/>
          <w:noProof/>
          <w:lang w:val="es-ES_tradnl"/>
        </w:rPr>
      </w:pPr>
      <w:r w:rsidRPr="00665A5A">
        <w:rPr>
          <w:rFonts w:ascii="Verdana" w:hAnsi="Verdana" w:cs="Arial"/>
        </w:rPr>
        <w:t xml:space="preserve">Jurisprudencia del Consejo de Estado. </w:t>
      </w:r>
    </w:p>
    <w:p w14:paraId="33EEFE1B" w14:textId="77777777" w:rsidR="0038548D" w:rsidRPr="00A65973" w:rsidRDefault="0038548D" w:rsidP="0038548D">
      <w:pPr>
        <w:pStyle w:val="Prrafodelista"/>
        <w:spacing w:after="120" w:line="276" w:lineRule="auto"/>
        <w:rPr>
          <w:rFonts w:ascii="Verdana" w:hAnsi="Verdana" w:cs="Arial"/>
          <w:bCs/>
          <w:lang w:val="es-ES_tradnl" w:eastAsia="es-ES"/>
        </w:rPr>
      </w:pPr>
      <w:r w:rsidRPr="00A65973">
        <w:rPr>
          <w:rFonts w:ascii="Verdana" w:hAnsi="Verdana" w:cs="Arial"/>
          <w:bCs/>
          <w:lang w:val="es-ES_tradnl" w:eastAsia="es-ES"/>
        </w:rPr>
        <w:t>Sala de lo Contencioso Administrativo, Sección Primera, sentencia 11001-03-24-000-2012-00061-00, C.P. OSWALDO GIRALDO LÓPEZ,</w:t>
      </w:r>
      <w:r w:rsidRPr="00A65973">
        <w:rPr>
          <w:rFonts w:ascii="Verdana" w:hAnsi="Verdana" w:cs="Arial"/>
          <w:noProof/>
          <w:lang w:val="es-ES_tradnl"/>
        </w:rPr>
        <w:t xml:space="preserve"> </w:t>
      </w:r>
      <w:r w:rsidRPr="00A65973">
        <w:rPr>
          <w:rFonts w:ascii="Verdana" w:hAnsi="Verdana" w:cs="Arial"/>
          <w:lang w:val="es-ES_tradnl"/>
        </w:rPr>
        <w:t xml:space="preserve">Disponible </w:t>
      </w:r>
      <w:r w:rsidRPr="00A65973">
        <w:rPr>
          <w:rFonts w:ascii="Verdana" w:hAnsi="Verdana" w:cs="Arial"/>
        </w:rPr>
        <w:t xml:space="preserve">en: </w:t>
      </w:r>
      <w:r w:rsidRPr="00A65973">
        <w:rPr>
          <w:rFonts w:ascii="Verdana" w:hAnsi="Verdana" w:cs="Arial"/>
          <w:noProof/>
          <w:lang w:val="es-ES_tradnl"/>
        </w:rPr>
        <w:t xml:space="preserve"> </w:t>
      </w:r>
      <w:hyperlink r:id="rId17" w:history="1">
        <w:r w:rsidRPr="00A65973">
          <w:rPr>
            <w:rStyle w:val="Hipervnculo"/>
            <w:rFonts w:ascii="Verdana" w:hAnsi="Verdana" w:cs="Arial"/>
            <w:noProof/>
            <w:lang w:val="es-ES_tradnl"/>
          </w:rPr>
          <w:t>https://relatoria.colombiacompra.gov.co/providencias-consejo-de-estado/</w:t>
        </w:r>
      </w:hyperlink>
      <w:r w:rsidRPr="00A65973">
        <w:rPr>
          <w:rFonts w:ascii="Verdana" w:hAnsi="Verdana" w:cs="Arial"/>
          <w:noProof/>
          <w:lang w:val="es-ES_tradnl"/>
        </w:rPr>
        <w:t xml:space="preserve"> </w:t>
      </w:r>
    </w:p>
    <w:p w14:paraId="72973263" w14:textId="77777777" w:rsidR="0038548D" w:rsidRPr="00A65973" w:rsidRDefault="0038548D" w:rsidP="0038548D">
      <w:pPr>
        <w:spacing w:after="120" w:line="276" w:lineRule="auto"/>
        <w:jc w:val="both"/>
        <w:rPr>
          <w:rFonts w:ascii="Verdana" w:eastAsia="Times New Roman" w:hAnsi="Verdana" w:cs="Arial"/>
          <w:i/>
          <w:lang w:val="es-ES_tradnl" w:eastAsia="es-ES"/>
        </w:rPr>
      </w:pPr>
    </w:p>
    <w:p w14:paraId="2D750557" w14:textId="77777777" w:rsidR="0038548D" w:rsidRPr="00A65973" w:rsidRDefault="0038548D" w:rsidP="0038548D">
      <w:pPr>
        <w:pStyle w:val="Prrafodelista"/>
        <w:numPr>
          <w:ilvl w:val="0"/>
          <w:numId w:val="1"/>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A65973">
        <w:rPr>
          <w:rFonts w:ascii="Verdana" w:eastAsia="Century Gothic" w:hAnsi="Verdana" w:cs="Century Gothic"/>
          <w:b/>
          <w:bCs/>
        </w:rPr>
        <w:t>Doctrina de la Agencia Nacional de Contratación Pública:</w:t>
      </w:r>
    </w:p>
    <w:p w14:paraId="7D5A9A5E" w14:textId="77777777" w:rsidR="0038548D" w:rsidRPr="00A65973" w:rsidRDefault="0038548D" w:rsidP="0038548D">
      <w:pPr>
        <w:spacing w:after="120" w:line="276" w:lineRule="auto"/>
        <w:jc w:val="both"/>
        <w:rPr>
          <w:rFonts w:ascii="Verdana" w:hAnsi="Verdana" w:cs="Arial"/>
          <w:color w:val="000000" w:themeColor="text1"/>
          <w:lang w:val="es-ES"/>
        </w:rPr>
      </w:pPr>
    </w:p>
    <w:p w14:paraId="17E0F818" w14:textId="77777777" w:rsidR="0038548D" w:rsidRPr="00665A5A" w:rsidRDefault="0038548D" w:rsidP="0038548D">
      <w:pPr>
        <w:pStyle w:val="Textonotapie"/>
        <w:jc w:val="both"/>
        <w:rPr>
          <w:rFonts w:ascii="Verdana" w:hAnsi="Verdana" w:cs="Arial"/>
          <w:sz w:val="22"/>
          <w:szCs w:val="22"/>
          <w:shd w:val="clear" w:color="auto" w:fill="E6E6E6"/>
        </w:rPr>
      </w:pPr>
      <w:r w:rsidRPr="00665A5A">
        <w:rPr>
          <w:rFonts w:ascii="Verdana" w:eastAsia="Calibri" w:hAnsi="Verdana" w:cs="Arial"/>
          <w:sz w:val="22"/>
          <w:szCs w:val="22"/>
          <w:lang w:val="es-ES" w:eastAsia="es-ES"/>
        </w:rPr>
        <w:t xml:space="preserve">Sobre </w:t>
      </w:r>
      <w:r w:rsidRPr="00665A5A">
        <w:rPr>
          <w:rFonts w:ascii="Verdana" w:hAnsi="Verdana" w:cs="Arial"/>
          <w:sz w:val="22"/>
          <w:szCs w:val="22"/>
          <w:shd w:val="clear" w:color="auto" w:fill="FFFFFF"/>
        </w:rPr>
        <w:t>las convocatorias limitadas a Mipyme</w:t>
      </w:r>
      <w:r w:rsidRPr="00665A5A">
        <w:rPr>
          <w:rFonts w:ascii="Verdana" w:eastAsia="Calibri" w:hAnsi="Verdana" w:cs="Arial"/>
          <w:color w:val="000000"/>
          <w:sz w:val="22"/>
          <w:szCs w:val="22"/>
          <w:lang w:val="es-ES_tradnl"/>
        </w:rPr>
        <w:t xml:space="preserve">, </w:t>
      </w:r>
      <w:r w:rsidRPr="00665A5A">
        <w:rPr>
          <w:rStyle w:val="normaltextrun"/>
          <w:rFonts w:ascii="Verdana" w:hAnsi="Verdana" w:cs="Arial"/>
          <w:sz w:val="22"/>
          <w:szCs w:val="22"/>
          <w:shd w:val="clear" w:color="auto" w:fill="FFFFFF"/>
          <w:lang w:val="es-ES"/>
        </w:rPr>
        <w:t xml:space="preserve">se pronunció esta Subdirección </w:t>
      </w:r>
      <w:r w:rsidRPr="00665A5A">
        <w:rPr>
          <w:rFonts w:ascii="Verdana" w:eastAsia="Calibri" w:hAnsi="Verdana" w:cs="Arial"/>
          <w:sz w:val="22"/>
          <w:szCs w:val="22"/>
          <w:lang w:val="es-ES"/>
        </w:rPr>
        <w:t xml:space="preserve">en los conceptos </w:t>
      </w:r>
      <w:r w:rsidRPr="00665A5A">
        <w:rPr>
          <w:rFonts w:ascii="Verdana" w:hAnsi="Verdana" w:cs="Arial"/>
          <w:sz w:val="22"/>
          <w:szCs w:val="22"/>
          <w:shd w:val="clear" w:color="auto" w:fill="FFFFFF"/>
        </w:rPr>
        <w:t>C-001 del 17 de febrero de 2022, C-041 del 2 de marzo de 2022, C-293 del 12 de mayo de 2022, C-340 del 26 de mayo de 2022, C-395 del 17 de junio de 2022, C-539 del 29 de agosto de 2022, C-089 del 28 de abril de 2023, C-159 del 22 de junio de 2023, C-206 del 20 de junio de 2023, C-207 del 20 de junio de 2023, C-366 del 8 de septiembre de 2023, C-389 del 22 de septiembre de 2023 y C-436 del 24 de octubre de 2023, C-017 del 26 de febrero de 2024.</w:t>
      </w:r>
      <w:r w:rsidRPr="00665A5A">
        <w:rPr>
          <w:rFonts w:ascii="Verdana" w:eastAsia="Calibri" w:hAnsi="Verdana" w:cs="Arial"/>
          <w:color w:val="000000" w:themeColor="text1"/>
          <w:sz w:val="22"/>
          <w:szCs w:val="22"/>
          <w:lang w:val="es-ES"/>
        </w:rPr>
        <w:t xml:space="preserve"> </w:t>
      </w:r>
      <w:r w:rsidRPr="00665A5A">
        <w:rPr>
          <w:rFonts w:ascii="Verdana" w:hAnsi="Verdana"/>
          <w:color w:val="000000"/>
          <w:sz w:val="22"/>
          <w:szCs w:val="22"/>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8" w:tgtFrame="_blank" w:tooltip="Dirección URL original: https://relatoria.colombiacompra.gov.co/. Haga clic o pulse si confía en este vínculo." w:history="1">
        <w:r w:rsidRPr="00665A5A">
          <w:rPr>
            <w:rStyle w:val="Hipervnculo"/>
            <w:rFonts w:ascii="Verdana" w:hAnsi="Verdana"/>
            <w:sz w:val="22"/>
            <w:szCs w:val="22"/>
            <w:bdr w:val="none" w:sz="0" w:space="0" w:color="auto" w:frame="1"/>
            <w:shd w:val="clear" w:color="auto" w:fill="FFFFFF"/>
          </w:rPr>
          <w:t>https://relatoria.colombiacompra.gov.co/</w:t>
        </w:r>
      </w:hyperlink>
      <w:r w:rsidRPr="00665A5A">
        <w:rPr>
          <w:rFonts w:ascii="Verdana" w:hAnsi="Verdana"/>
          <w:color w:val="000000"/>
          <w:sz w:val="22"/>
          <w:szCs w:val="22"/>
          <w:shd w:val="clear" w:color="auto" w:fill="FFFFFF"/>
        </w:rPr>
        <w:t> . Te invitamos también a revisar la tercera edición del  Boletín de Relatoría de 2024 en el cual podrás consultar en detalle el marco normativo de documentos tipo: </w:t>
      </w:r>
      <w:hyperlink r:id="rId19" w:tgtFrame="_blank" w:tooltip="Dirección URL original: https://www.colombiacompra.gov.co/sites/cce_public/files/files_2020/boletin_de_realtoria_iii.pdf. Haga clic o pulse si confía en este vínculo." w:history="1">
        <w:r w:rsidRPr="00665A5A">
          <w:rPr>
            <w:rStyle w:val="Hipervnculo"/>
            <w:rFonts w:ascii="Verdana" w:hAnsi="Verdana"/>
            <w:sz w:val="22"/>
            <w:szCs w:val="22"/>
            <w:bdr w:val="none" w:sz="0" w:space="0" w:color="auto" w:frame="1"/>
            <w:shd w:val="clear" w:color="auto" w:fill="FFFFFF"/>
          </w:rPr>
          <w:t>https://www.colombiacompra.gov.co/sites/cce_public/files/files_2020/boletin_de_realtoria_iii.pdf</w:t>
        </w:r>
      </w:hyperlink>
      <w:r w:rsidRPr="00665A5A">
        <w:rPr>
          <w:rFonts w:ascii="Verdana" w:hAnsi="Verdana"/>
          <w:color w:val="000000"/>
          <w:sz w:val="22"/>
          <w:szCs w:val="22"/>
          <w:shd w:val="clear" w:color="auto" w:fill="FFFFFF"/>
        </w:rPr>
        <w:t> ".</w:t>
      </w:r>
    </w:p>
    <w:p w14:paraId="2C9A726F" w14:textId="77777777" w:rsidR="0038548D" w:rsidRPr="00A65973" w:rsidRDefault="0038548D" w:rsidP="0038548D">
      <w:pPr>
        <w:spacing w:after="120" w:line="276" w:lineRule="auto"/>
        <w:jc w:val="both"/>
        <w:rPr>
          <w:rFonts w:ascii="Verdana" w:hAnsi="Verdana" w:cs="Arial"/>
          <w:lang w:val="es-ES"/>
        </w:rPr>
      </w:pPr>
    </w:p>
    <w:p w14:paraId="3C24CB44" w14:textId="77777777" w:rsidR="0038548D" w:rsidRPr="00A65973" w:rsidRDefault="0038548D" w:rsidP="0038548D">
      <w:pPr>
        <w:spacing w:after="0" w:line="240" w:lineRule="auto"/>
        <w:jc w:val="both"/>
        <w:rPr>
          <w:rFonts w:ascii="Verdana" w:hAnsi="Verdana"/>
        </w:rPr>
      </w:pPr>
      <w:r w:rsidRPr="00A65973">
        <w:rPr>
          <w:rFonts w:ascii="Verdana" w:hAnsi="Verdana"/>
        </w:rPr>
        <w:t xml:space="preserve">Por último, lo invitamos a seguirnos en las redes sociales en las cuales se difunde información institucional: </w:t>
      </w:r>
    </w:p>
    <w:p w14:paraId="6A96B95B" w14:textId="77777777" w:rsidR="0038548D" w:rsidRPr="00A65973" w:rsidRDefault="0038548D" w:rsidP="0038548D">
      <w:pPr>
        <w:spacing w:after="0" w:line="240" w:lineRule="auto"/>
        <w:jc w:val="both"/>
        <w:rPr>
          <w:rFonts w:ascii="Verdana" w:hAnsi="Verdana"/>
        </w:rPr>
      </w:pPr>
    </w:p>
    <w:p w14:paraId="3351C71A" w14:textId="77777777" w:rsidR="0038548D" w:rsidRPr="00A65973" w:rsidRDefault="0038548D" w:rsidP="0038548D">
      <w:pPr>
        <w:spacing w:after="0" w:line="240" w:lineRule="auto"/>
        <w:jc w:val="both"/>
        <w:rPr>
          <w:rFonts w:ascii="Verdana" w:hAnsi="Verdana"/>
        </w:rPr>
      </w:pPr>
      <w:r w:rsidRPr="00A65973">
        <w:rPr>
          <w:rFonts w:ascii="Verdana" w:hAnsi="Verdana"/>
        </w:rPr>
        <w:t xml:space="preserve">Twitter: </w:t>
      </w:r>
      <w:r w:rsidRPr="00A65973">
        <w:rPr>
          <w:rStyle w:val="Hipervnculo"/>
          <w:rFonts w:ascii="Verdana" w:hAnsi="Verdana"/>
          <w:color w:val="4472C4" w:themeColor="accent1"/>
        </w:rPr>
        <w:t>@colombiacompra</w:t>
      </w:r>
      <w:r w:rsidRPr="00A65973">
        <w:rPr>
          <w:rFonts w:ascii="Verdana" w:hAnsi="Verdana"/>
          <w:color w:val="4472C4" w:themeColor="accent1"/>
        </w:rPr>
        <w:t xml:space="preserve"> </w:t>
      </w:r>
    </w:p>
    <w:p w14:paraId="635011A0" w14:textId="77777777" w:rsidR="0038548D" w:rsidRPr="00A65973" w:rsidRDefault="0038548D" w:rsidP="0038548D">
      <w:pPr>
        <w:spacing w:after="0" w:line="240" w:lineRule="auto"/>
        <w:jc w:val="both"/>
        <w:rPr>
          <w:rFonts w:ascii="Verdana" w:hAnsi="Verdana"/>
        </w:rPr>
      </w:pPr>
      <w:r w:rsidRPr="00A65973">
        <w:rPr>
          <w:rFonts w:ascii="Verdana" w:hAnsi="Verdana"/>
        </w:rPr>
        <w:lastRenderedPageBreak/>
        <w:t xml:space="preserve">Facebook: </w:t>
      </w:r>
      <w:r w:rsidRPr="00A65973">
        <w:rPr>
          <w:rStyle w:val="Hipervnculo"/>
          <w:rFonts w:ascii="Verdana" w:hAnsi="Verdana"/>
          <w:color w:val="4472C4" w:themeColor="accent1"/>
        </w:rPr>
        <w:t>ColombiaCompraEficiente</w:t>
      </w:r>
    </w:p>
    <w:p w14:paraId="11C11785" w14:textId="77777777" w:rsidR="0038548D" w:rsidRPr="00A65973" w:rsidRDefault="0038548D" w:rsidP="0038548D">
      <w:pPr>
        <w:spacing w:after="0" w:line="240" w:lineRule="auto"/>
        <w:jc w:val="both"/>
        <w:rPr>
          <w:rFonts w:ascii="Verdana" w:hAnsi="Verdana"/>
        </w:rPr>
      </w:pPr>
      <w:r w:rsidRPr="00A65973">
        <w:rPr>
          <w:rFonts w:ascii="Verdana" w:hAnsi="Verdana"/>
        </w:rPr>
        <w:t xml:space="preserve">LinkedIn: </w:t>
      </w:r>
      <w:r w:rsidRPr="00A65973">
        <w:rPr>
          <w:rStyle w:val="Hipervnculo"/>
          <w:rFonts w:ascii="Verdana" w:hAnsi="Verdana"/>
          <w:color w:val="4472C4" w:themeColor="accent1"/>
        </w:rPr>
        <w:t>Agencia Nacional de Contratación Pública - Colombia Compra Eficiente</w:t>
      </w:r>
      <w:r w:rsidRPr="00A65973">
        <w:rPr>
          <w:rFonts w:ascii="Verdana" w:hAnsi="Verdana"/>
          <w:color w:val="4472C4" w:themeColor="accent1"/>
        </w:rPr>
        <w:t xml:space="preserve"> </w:t>
      </w:r>
      <w:r w:rsidRPr="00A65973">
        <w:rPr>
          <w:rFonts w:ascii="Verdana" w:hAnsi="Verdana"/>
        </w:rPr>
        <w:t xml:space="preserve">Instagram: </w:t>
      </w:r>
      <w:r w:rsidRPr="00A65973">
        <w:rPr>
          <w:rStyle w:val="Hipervnculo"/>
          <w:rFonts w:ascii="Verdana" w:hAnsi="Verdana"/>
          <w:color w:val="4472C4" w:themeColor="accent1"/>
        </w:rPr>
        <w:t>@colombiacompraeficiente_cce</w:t>
      </w:r>
    </w:p>
    <w:p w14:paraId="37B00E7A" w14:textId="77777777" w:rsidR="0038548D" w:rsidRPr="00A65973" w:rsidRDefault="0038548D" w:rsidP="0038548D">
      <w:pPr>
        <w:spacing w:after="120" w:line="276" w:lineRule="auto"/>
        <w:jc w:val="both"/>
        <w:rPr>
          <w:rFonts w:ascii="Verdana" w:hAnsi="Verdana" w:cs="Arial"/>
          <w:lang w:val="es-ES"/>
        </w:rPr>
      </w:pPr>
    </w:p>
    <w:p w14:paraId="78282AE5" w14:textId="77777777" w:rsidR="0038548D" w:rsidRPr="00A65973" w:rsidRDefault="0038548D" w:rsidP="0038548D">
      <w:pPr>
        <w:spacing w:after="120" w:line="276" w:lineRule="auto"/>
        <w:jc w:val="both"/>
        <w:rPr>
          <w:rFonts w:ascii="Verdana" w:hAnsi="Verdana" w:cs="Arial"/>
          <w:color w:val="000000" w:themeColor="text1"/>
          <w:lang w:val="es-ES_tradnl"/>
        </w:rPr>
      </w:pPr>
      <w:r w:rsidRPr="00A65973">
        <w:rPr>
          <w:rFonts w:ascii="Verdana" w:hAnsi="Verdana" w:cs="Arial"/>
          <w:color w:val="000000" w:themeColor="text1"/>
          <w:lang w:val="es-ES_tradnl"/>
        </w:rPr>
        <w:t>Este concepto tiene el alcance previsto en el artículo 28 del Código de Procedimiento Administrativo y de lo Contencioso Administrativo y las expresiones utilizadas con mayúscula inicial deben ser entendidas con el significado que les otorga el artículo 2.2.1.1.1.3.1 del Decreto 1082 de 2015.</w:t>
      </w:r>
    </w:p>
    <w:p w14:paraId="38028575" w14:textId="77777777" w:rsidR="0038548D" w:rsidRPr="00A65973" w:rsidRDefault="0038548D" w:rsidP="0038548D">
      <w:pPr>
        <w:spacing w:after="120" w:line="276" w:lineRule="auto"/>
        <w:jc w:val="both"/>
        <w:rPr>
          <w:rFonts w:ascii="Verdana" w:eastAsia="Times New Roman" w:hAnsi="Verdana" w:cs="Arial"/>
          <w:i/>
          <w:lang w:val="es-ES" w:eastAsia="es-ES"/>
        </w:rPr>
      </w:pPr>
    </w:p>
    <w:p w14:paraId="53C6B37E" w14:textId="77777777" w:rsidR="0038548D" w:rsidRPr="00A65973" w:rsidRDefault="0038548D" w:rsidP="0038548D">
      <w:pPr>
        <w:spacing w:after="0" w:line="240" w:lineRule="auto"/>
        <w:rPr>
          <w:rFonts w:ascii="Verdana" w:eastAsia="Times New Roman" w:hAnsi="Verdana" w:cs="Arial"/>
          <w:lang w:eastAsia="es-CO"/>
        </w:rPr>
      </w:pPr>
      <w:r w:rsidRPr="00A65973">
        <w:rPr>
          <w:rFonts w:ascii="Verdana" w:eastAsia="Times New Roman" w:hAnsi="Verdana" w:cs="Arial"/>
          <w:lang w:eastAsia="es-CO"/>
        </w:rPr>
        <w:t>Atentamente,</w:t>
      </w:r>
    </w:p>
    <w:p w14:paraId="08E0C863" w14:textId="77777777" w:rsidR="0038548D" w:rsidRPr="00A65973" w:rsidRDefault="0038548D" w:rsidP="0038548D">
      <w:pPr>
        <w:spacing w:after="0" w:line="276" w:lineRule="auto"/>
        <w:jc w:val="center"/>
        <w:rPr>
          <w:rFonts w:ascii="Verdana" w:eastAsia="Times New Roman" w:hAnsi="Verdana" w:cs="Arial"/>
          <w:color w:val="000000"/>
          <w:lang w:val="es-ES_tradnl" w:eastAsia="es-CO"/>
        </w:rPr>
      </w:pPr>
    </w:p>
    <w:p w14:paraId="327428C0" w14:textId="00A4337F" w:rsidR="0038548D" w:rsidRPr="00A65973" w:rsidRDefault="005F70D1" w:rsidP="0038548D">
      <w:pPr>
        <w:spacing w:after="0" w:line="276" w:lineRule="auto"/>
        <w:jc w:val="center"/>
        <w:rPr>
          <w:rFonts w:ascii="Verdana" w:eastAsia="Times New Roman" w:hAnsi="Verdana" w:cs="Arial"/>
          <w:color w:val="000000"/>
          <w:lang w:val="es-ES_tradnl" w:eastAsia="es-CO"/>
        </w:rPr>
      </w:pPr>
      <w:r w:rsidRPr="004D5C25">
        <w:rPr>
          <w:rFonts w:ascii="Century Gothic" w:hAnsi="Century Gothic"/>
          <w:noProof/>
        </w:rPr>
        <w:drawing>
          <wp:inline distT="0" distB="0" distL="0" distR="0" wp14:anchorId="365852A6" wp14:editId="75677708">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0"/>
                    <a:stretch>
                      <a:fillRect/>
                    </a:stretch>
                  </pic:blipFill>
                  <pic:spPr>
                    <a:xfrm>
                      <a:off x="0" y="0"/>
                      <a:ext cx="3705742" cy="1590897"/>
                    </a:xfrm>
                    <a:prstGeom prst="rect">
                      <a:avLst/>
                    </a:prstGeom>
                  </pic:spPr>
                </pic:pic>
              </a:graphicData>
            </a:graphic>
          </wp:inline>
        </w:drawing>
      </w:r>
    </w:p>
    <w:p w14:paraId="2D4C1CBA" w14:textId="77777777" w:rsidR="0038548D" w:rsidRPr="00A65973" w:rsidRDefault="0038548D" w:rsidP="0038548D">
      <w:pPr>
        <w:spacing w:after="0" w:line="276" w:lineRule="auto"/>
        <w:jc w:val="center"/>
        <w:rPr>
          <w:rFonts w:ascii="Verdana" w:eastAsia="Times New Roman" w:hAnsi="Verdana" w:cs="Arial"/>
          <w:color w:val="000000"/>
          <w:sz w:val="18"/>
          <w:szCs w:val="18"/>
          <w:lang w:val="es-ES" w:eastAsia="es-CO"/>
        </w:rPr>
      </w:pPr>
    </w:p>
    <w:tbl>
      <w:tblPr>
        <w:tblW w:w="6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
        <w:gridCol w:w="5586"/>
      </w:tblGrid>
      <w:tr w:rsidR="0038548D" w:rsidRPr="00A65973" w14:paraId="64B46578" w14:textId="77777777" w:rsidTr="007B2926">
        <w:trPr>
          <w:trHeight w:val="398"/>
        </w:trPr>
        <w:tc>
          <w:tcPr>
            <w:tcW w:w="924" w:type="dxa"/>
            <w:tcBorders>
              <w:top w:val="nil"/>
              <w:left w:val="nil"/>
              <w:bottom w:val="nil"/>
              <w:right w:val="nil"/>
            </w:tcBorders>
            <w:vAlign w:val="center"/>
            <w:hideMark/>
          </w:tcPr>
          <w:p w14:paraId="5BF6D047" w14:textId="77777777" w:rsidR="0038548D" w:rsidRPr="00A65973" w:rsidRDefault="0038548D" w:rsidP="007B2926">
            <w:pPr>
              <w:spacing w:after="0" w:line="240" w:lineRule="auto"/>
              <w:jc w:val="both"/>
              <w:rPr>
                <w:rFonts w:ascii="Verdana" w:hAnsi="Verdana" w:cs="Arial"/>
                <w:sz w:val="16"/>
                <w:szCs w:val="16"/>
              </w:rPr>
            </w:pPr>
            <w:r w:rsidRPr="00A65973">
              <w:rPr>
                <w:rFonts w:ascii="Verdana" w:hAnsi="Verdana" w:cs="Arial"/>
                <w:sz w:val="16"/>
                <w:szCs w:val="16"/>
              </w:rPr>
              <w:t>Elaboró: </w:t>
            </w:r>
          </w:p>
        </w:tc>
        <w:tc>
          <w:tcPr>
            <w:tcW w:w="5586" w:type="dxa"/>
            <w:tcBorders>
              <w:top w:val="nil"/>
              <w:left w:val="nil"/>
              <w:bottom w:val="dotted" w:sz="6" w:space="0" w:color="7F7F7F" w:themeColor="text1" w:themeTint="80"/>
              <w:right w:val="nil"/>
            </w:tcBorders>
            <w:vAlign w:val="center"/>
            <w:hideMark/>
          </w:tcPr>
          <w:p w14:paraId="26A1234A" w14:textId="77777777" w:rsidR="0038548D" w:rsidRPr="00A65973" w:rsidRDefault="0038548D" w:rsidP="007B2926">
            <w:pPr>
              <w:spacing w:after="0" w:line="240" w:lineRule="auto"/>
              <w:jc w:val="both"/>
              <w:rPr>
                <w:rFonts w:ascii="Verdana" w:hAnsi="Verdana" w:cs="Arial"/>
                <w:sz w:val="16"/>
                <w:szCs w:val="16"/>
              </w:rPr>
            </w:pPr>
            <w:proofErr w:type="spellStart"/>
            <w:r w:rsidRPr="00A65973">
              <w:rPr>
                <w:rFonts w:ascii="Verdana" w:hAnsi="Verdana" w:cs="Arial"/>
                <w:sz w:val="16"/>
                <w:szCs w:val="16"/>
              </w:rPr>
              <w:t>Jhonattan</w:t>
            </w:r>
            <w:proofErr w:type="spellEnd"/>
            <w:r w:rsidRPr="00A65973">
              <w:rPr>
                <w:rFonts w:ascii="Verdana" w:hAnsi="Verdana" w:cs="Arial"/>
                <w:sz w:val="16"/>
                <w:szCs w:val="16"/>
              </w:rPr>
              <w:t xml:space="preserve"> </w:t>
            </w:r>
            <w:proofErr w:type="spellStart"/>
            <w:r w:rsidRPr="00A65973">
              <w:rPr>
                <w:rFonts w:ascii="Verdana" w:hAnsi="Verdana" w:cs="Arial"/>
                <w:sz w:val="16"/>
                <w:szCs w:val="16"/>
              </w:rPr>
              <w:t>Gualdrón</w:t>
            </w:r>
            <w:proofErr w:type="spellEnd"/>
            <w:r w:rsidRPr="00A65973">
              <w:rPr>
                <w:rFonts w:ascii="Verdana" w:hAnsi="Verdana" w:cs="Arial"/>
                <w:sz w:val="16"/>
                <w:szCs w:val="16"/>
              </w:rPr>
              <w:t xml:space="preserve"> Salazar</w:t>
            </w:r>
          </w:p>
          <w:p w14:paraId="0ED38C27" w14:textId="77777777" w:rsidR="0038548D" w:rsidRPr="00A65973" w:rsidRDefault="0038548D" w:rsidP="007B2926">
            <w:pPr>
              <w:spacing w:after="0" w:line="240" w:lineRule="auto"/>
              <w:jc w:val="both"/>
              <w:rPr>
                <w:rFonts w:ascii="Verdana" w:hAnsi="Verdana" w:cs="Arial"/>
                <w:sz w:val="16"/>
                <w:szCs w:val="16"/>
              </w:rPr>
            </w:pPr>
            <w:r w:rsidRPr="00A65973">
              <w:rPr>
                <w:rFonts w:ascii="Verdana" w:hAnsi="Verdana" w:cs="Arial"/>
                <w:sz w:val="16"/>
                <w:szCs w:val="16"/>
              </w:rPr>
              <w:t>Contratista de la Subdirección de Gestión Contractual</w:t>
            </w:r>
          </w:p>
        </w:tc>
      </w:tr>
      <w:tr w:rsidR="0038548D" w:rsidRPr="00A65973" w14:paraId="6C37E9B4" w14:textId="77777777" w:rsidTr="007B2926">
        <w:trPr>
          <w:trHeight w:val="398"/>
        </w:trPr>
        <w:tc>
          <w:tcPr>
            <w:tcW w:w="924" w:type="dxa"/>
            <w:tcBorders>
              <w:top w:val="nil"/>
              <w:left w:val="nil"/>
              <w:right w:val="nil"/>
            </w:tcBorders>
            <w:vAlign w:val="center"/>
          </w:tcPr>
          <w:p w14:paraId="77A59A5C" w14:textId="77777777" w:rsidR="0038548D" w:rsidRPr="00A65973" w:rsidRDefault="0038548D" w:rsidP="007B2926">
            <w:pPr>
              <w:spacing w:after="0"/>
              <w:jc w:val="both"/>
              <w:rPr>
                <w:rFonts w:ascii="Verdana" w:hAnsi="Verdana" w:cs="Arial"/>
                <w:sz w:val="16"/>
                <w:szCs w:val="16"/>
              </w:rPr>
            </w:pPr>
            <w:r w:rsidRPr="00A65973">
              <w:rPr>
                <w:rFonts w:ascii="Verdana" w:hAnsi="Verdana" w:cs="Arial"/>
                <w:sz w:val="16"/>
                <w:szCs w:val="16"/>
              </w:rPr>
              <w:t>Revisó</w:t>
            </w:r>
          </w:p>
        </w:tc>
        <w:tc>
          <w:tcPr>
            <w:tcW w:w="5586" w:type="dxa"/>
            <w:tcBorders>
              <w:top w:val="dotted" w:sz="6" w:space="0" w:color="7F7F7F" w:themeColor="text1" w:themeTint="80"/>
              <w:left w:val="nil"/>
              <w:bottom w:val="dotted" w:sz="6" w:space="0" w:color="7F7F7F" w:themeColor="text1" w:themeTint="80"/>
              <w:right w:val="nil"/>
            </w:tcBorders>
            <w:vAlign w:val="center"/>
          </w:tcPr>
          <w:p w14:paraId="271FBF99" w14:textId="77777777" w:rsidR="0038548D" w:rsidRDefault="0038548D" w:rsidP="007B2926">
            <w:pPr>
              <w:spacing w:after="0" w:line="240" w:lineRule="auto"/>
              <w:jc w:val="both"/>
              <w:rPr>
                <w:rStyle w:val="normaltextrun"/>
                <w:rFonts w:ascii="Verdana" w:eastAsia="Arial" w:hAnsi="Verdana" w:cs="Arial"/>
                <w:color w:val="000000" w:themeColor="text1"/>
                <w:sz w:val="16"/>
                <w:szCs w:val="16"/>
              </w:rPr>
            </w:pPr>
            <w:r w:rsidRPr="008612B2">
              <w:rPr>
                <w:rStyle w:val="normaltextrun"/>
                <w:rFonts w:ascii="Verdana" w:eastAsia="Arial" w:hAnsi="Verdana" w:cs="Arial"/>
                <w:color w:val="000000" w:themeColor="text1"/>
                <w:sz w:val="16"/>
                <w:szCs w:val="16"/>
              </w:rPr>
              <w:t>Ximena Ríos López</w:t>
            </w:r>
          </w:p>
          <w:p w14:paraId="080613F2" w14:textId="77777777" w:rsidR="0038548D" w:rsidRPr="00A65973" w:rsidRDefault="0038548D" w:rsidP="007B2926">
            <w:pPr>
              <w:spacing w:after="0" w:line="240" w:lineRule="auto"/>
              <w:jc w:val="both"/>
              <w:rPr>
                <w:rFonts w:ascii="Verdana" w:hAnsi="Verdana" w:cs="Arial"/>
                <w:sz w:val="16"/>
                <w:szCs w:val="16"/>
              </w:rPr>
            </w:pPr>
            <w:r w:rsidRPr="008612B2">
              <w:rPr>
                <w:rStyle w:val="normaltextrun"/>
                <w:rFonts w:ascii="Verdana" w:eastAsia="Arial" w:hAnsi="Verdana" w:cs="Arial"/>
                <w:color w:val="000000" w:themeColor="text1"/>
                <w:sz w:val="16"/>
                <w:szCs w:val="16"/>
              </w:rPr>
              <w:t>Gestor código T1 grado 11 de la Subdirección de Gestión Contractual</w:t>
            </w:r>
          </w:p>
        </w:tc>
      </w:tr>
      <w:tr w:rsidR="0038548D" w:rsidRPr="00A65973" w14:paraId="2A108CF3" w14:textId="77777777" w:rsidTr="007B2926">
        <w:trPr>
          <w:trHeight w:val="379"/>
        </w:trPr>
        <w:tc>
          <w:tcPr>
            <w:tcW w:w="924" w:type="dxa"/>
            <w:tcBorders>
              <w:top w:val="nil"/>
              <w:left w:val="nil"/>
              <w:bottom w:val="nil"/>
              <w:right w:val="nil"/>
            </w:tcBorders>
            <w:vAlign w:val="center"/>
            <w:hideMark/>
          </w:tcPr>
          <w:p w14:paraId="380D8079" w14:textId="77777777" w:rsidR="0038548D" w:rsidRPr="00A65973" w:rsidRDefault="0038548D" w:rsidP="007B2926">
            <w:pPr>
              <w:spacing w:after="0" w:line="240" w:lineRule="auto"/>
              <w:jc w:val="both"/>
              <w:rPr>
                <w:rFonts w:ascii="Verdana" w:hAnsi="Verdana" w:cs="Arial"/>
                <w:sz w:val="16"/>
                <w:szCs w:val="16"/>
              </w:rPr>
            </w:pPr>
            <w:r w:rsidRPr="00A65973">
              <w:rPr>
                <w:rFonts w:ascii="Verdana" w:hAnsi="Verdana" w:cs="Arial"/>
                <w:sz w:val="16"/>
                <w:szCs w:val="16"/>
              </w:rPr>
              <w:t>Aprobó: </w:t>
            </w:r>
          </w:p>
        </w:tc>
        <w:tc>
          <w:tcPr>
            <w:tcW w:w="5586" w:type="dxa"/>
            <w:tcBorders>
              <w:top w:val="dotted" w:sz="6" w:space="0" w:color="7F7F7F" w:themeColor="text1" w:themeTint="80"/>
              <w:left w:val="nil"/>
              <w:bottom w:val="dotted" w:sz="6" w:space="0" w:color="7F7F7F" w:themeColor="text1" w:themeTint="80"/>
              <w:right w:val="nil"/>
            </w:tcBorders>
            <w:vAlign w:val="center"/>
            <w:hideMark/>
          </w:tcPr>
          <w:p w14:paraId="790672F4" w14:textId="77777777" w:rsidR="0038548D" w:rsidRPr="00A65973" w:rsidRDefault="0038548D" w:rsidP="007B2926">
            <w:pPr>
              <w:spacing w:after="0"/>
              <w:rPr>
                <w:rFonts w:ascii="Verdana" w:eastAsia="Calibri" w:hAnsi="Verdana" w:cs="Arial"/>
                <w:sz w:val="16"/>
                <w:szCs w:val="16"/>
                <w:lang w:val="pt-BR" w:eastAsia="es-ES"/>
              </w:rPr>
            </w:pPr>
            <w:r w:rsidRPr="00A65973">
              <w:rPr>
                <w:rFonts w:ascii="Verdana" w:eastAsia="Calibri" w:hAnsi="Verdana" w:cs="Arial"/>
                <w:sz w:val="16"/>
                <w:szCs w:val="16"/>
                <w:lang w:val="pt-BR" w:eastAsia="es-ES"/>
              </w:rPr>
              <w:t>Carolina Quintero Gacharná</w:t>
            </w:r>
          </w:p>
          <w:p w14:paraId="0774E20C" w14:textId="77777777" w:rsidR="0038548D" w:rsidRPr="00A65973" w:rsidRDefault="0038548D" w:rsidP="007B2926">
            <w:pPr>
              <w:spacing w:after="0" w:line="240" w:lineRule="auto"/>
              <w:jc w:val="both"/>
              <w:rPr>
                <w:rFonts w:ascii="Verdana" w:hAnsi="Verdana" w:cs="Arial"/>
                <w:sz w:val="16"/>
                <w:szCs w:val="16"/>
              </w:rPr>
            </w:pPr>
            <w:r w:rsidRPr="00A65973">
              <w:rPr>
                <w:rFonts w:ascii="Verdana" w:hAnsi="Verdana" w:cs="Arial"/>
                <w:sz w:val="16"/>
                <w:szCs w:val="16"/>
              </w:rPr>
              <w:t>Subdirectora de Gestión Contractual ANCP – CCE</w:t>
            </w:r>
          </w:p>
        </w:tc>
      </w:tr>
    </w:tbl>
    <w:p w14:paraId="57FC0EA8" w14:textId="77777777" w:rsidR="0038548D" w:rsidRPr="00A65973" w:rsidRDefault="0038548D" w:rsidP="0038548D">
      <w:pPr>
        <w:pStyle w:val="Default"/>
        <w:tabs>
          <w:tab w:val="left" w:pos="2864"/>
        </w:tabs>
        <w:jc w:val="both"/>
        <w:rPr>
          <w:rFonts w:ascii="Verdana" w:hAnsi="Verdana"/>
          <w:sz w:val="22"/>
          <w:szCs w:val="22"/>
          <w:lang w:val="es-ES"/>
        </w:rPr>
      </w:pPr>
    </w:p>
    <w:p w14:paraId="7BCB2EB3" w14:textId="77777777" w:rsidR="0038548D" w:rsidRPr="00A65973" w:rsidRDefault="0038548D" w:rsidP="0038548D">
      <w:pPr>
        <w:spacing w:after="0"/>
        <w:rPr>
          <w:rFonts w:ascii="Verdana" w:hAnsi="Verdana"/>
          <w:lang w:val="es-ES"/>
        </w:rPr>
      </w:pPr>
    </w:p>
    <w:p w14:paraId="3CCB89E8" w14:textId="77777777" w:rsidR="0038548D" w:rsidRPr="00A65973" w:rsidRDefault="0038548D" w:rsidP="0038548D">
      <w:pPr>
        <w:rPr>
          <w:rFonts w:ascii="Verdana" w:hAnsi="Verdana"/>
          <w:lang w:val="es-ES"/>
        </w:rPr>
      </w:pPr>
    </w:p>
    <w:p w14:paraId="67764CF0" w14:textId="77777777" w:rsidR="0038548D" w:rsidRPr="00A65973" w:rsidRDefault="0038548D" w:rsidP="0038548D">
      <w:pPr>
        <w:rPr>
          <w:rFonts w:ascii="Verdana" w:hAnsi="Verdana"/>
          <w:lang w:val="es-ES"/>
        </w:rPr>
      </w:pPr>
    </w:p>
    <w:p w14:paraId="40729437" w14:textId="77777777" w:rsidR="0038548D" w:rsidRPr="00A65973" w:rsidRDefault="0038548D" w:rsidP="0038548D">
      <w:pPr>
        <w:rPr>
          <w:rFonts w:ascii="Verdana" w:hAnsi="Verdana"/>
          <w:lang w:val="es-ES"/>
        </w:rPr>
      </w:pPr>
    </w:p>
    <w:p w14:paraId="06ACD395" w14:textId="77777777" w:rsidR="0038548D" w:rsidRPr="00A65973" w:rsidRDefault="0038548D" w:rsidP="0038548D">
      <w:pPr>
        <w:rPr>
          <w:rFonts w:ascii="Verdana" w:hAnsi="Verdana"/>
          <w:lang w:val="es-ES"/>
        </w:rPr>
      </w:pPr>
    </w:p>
    <w:p w14:paraId="2F3DA730" w14:textId="77777777" w:rsidR="0038548D" w:rsidRPr="00A65973" w:rsidRDefault="0038548D" w:rsidP="0038548D">
      <w:pPr>
        <w:rPr>
          <w:rFonts w:ascii="Verdana" w:hAnsi="Verdana"/>
          <w:lang w:val="es-ES"/>
        </w:rPr>
      </w:pPr>
    </w:p>
    <w:p w14:paraId="6B43AEC8" w14:textId="77777777" w:rsidR="0038548D" w:rsidRPr="00A65973" w:rsidRDefault="0038548D" w:rsidP="0038548D">
      <w:pPr>
        <w:rPr>
          <w:rFonts w:ascii="Verdana" w:hAnsi="Verdana"/>
          <w:lang w:val="es-ES"/>
        </w:rPr>
      </w:pPr>
    </w:p>
    <w:p w14:paraId="1E952066" w14:textId="77777777" w:rsidR="0038548D" w:rsidRPr="00B55761" w:rsidRDefault="0038548D" w:rsidP="0038548D">
      <w:pPr>
        <w:rPr>
          <w:lang w:val="es-ES"/>
        </w:rPr>
      </w:pPr>
    </w:p>
    <w:p w14:paraId="3DCD6AE2" w14:textId="77777777" w:rsidR="00B21780" w:rsidRPr="0038548D" w:rsidRDefault="00B21780" w:rsidP="0038548D">
      <w:pPr>
        <w:rPr>
          <w:lang w:val="es-ES"/>
        </w:rPr>
      </w:pPr>
    </w:p>
    <w:sectPr w:rsidR="00B21780" w:rsidRPr="0038548D" w:rsidSect="00A211EE">
      <w:headerReference w:type="default" r:id="rId21"/>
      <w:footerReference w:type="default" r:id="rId22"/>
      <w:pgSz w:w="12240" w:h="15840" w:code="1"/>
      <w:pgMar w:top="1418"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0910B" w14:textId="77777777" w:rsidR="00FF132C" w:rsidRDefault="00FF132C" w:rsidP="0088157B">
      <w:pPr>
        <w:spacing w:after="0" w:line="240" w:lineRule="auto"/>
      </w:pPr>
      <w:r>
        <w:separator/>
      </w:r>
    </w:p>
  </w:endnote>
  <w:endnote w:type="continuationSeparator" w:id="0">
    <w:p w14:paraId="54F0FF7C" w14:textId="77777777" w:rsidR="00FF132C" w:rsidRDefault="00FF132C" w:rsidP="0088157B">
      <w:pPr>
        <w:spacing w:after="0" w:line="240" w:lineRule="auto"/>
      </w:pPr>
      <w:r>
        <w:continuationSeparator/>
      </w:r>
    </w:p>
  </w:endnote>
  <w:endnote w:type="continuationNotice" w:id="1">
    <w:p w14:paraId="51E74E32" w14:textId="77777777" w:rsidR="00C26DBF" w:rsidRDefault="00C26D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C1A4D" w14:textId="77777777" w:rsidR="00B21780" w:rsidRDefault="00B21780" w:rsidP="00A211EE">
    <w:pPr>
      <w:spacing w:after="0"/>
      <w:rPr>
        <w:rFonts w:ascii="Verdana" w:hAnsi="Verdana"/>
        <w:b/>
        <w:bCs/>
        <w:sz w:val="20"/>
        <w:szCs w:val="20"/>
      </w:rPr>
    </w:pPr>
  </w:p>
  <w:p w14:paraId="5929BA3D" w14:textId="77777777" w:rsidR="00B21780" w:rsidRPr="00174B77" w:rsidRDefault="009D22AD" w:rsidP="00A211EE">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30DA9954" w14:textId="77777777" w:rsidR="00B21780" w:rsidRDefault="009D22AD" w:rsidP="00A211EE">
    <w:pPr>
      <w:spacing w:after="0"/>
      <w:jc w:val="both"/>
      <w:rPr>
        <w:rFonts w:ascii="Verdana" w:hAnsi="Verdana"/>
        <w:sz w:val="18"/>
        <w:szCs w:val="18"/>
      </w:rPr>
    </w:pPr>
    <w:r w:rsidRPr="00E41027">
      <w:rPr>
        <w:rFonts w:ascii="Verdana" w:hAnsi="Verdana"/>
        <w:sz w:val="18"/>
        <w:szCs w:val="18"/>
      </w:rPr>
      <w:t>Dirección: Carrera 7 # 26 – 20 - Bogotá, Colombia</w:t>
    </w:r>
  </w:p>
  <w:p w14:paraId="4D390188" w14:textId="77777777" w:rsidR="00B21780" w:rsidRPr="00E41027" w:rsidRDefault="009D22AD" w:rsidP="00A211EE">
    <w:pPr>
      <w:spacing w:after="0"/>
      <w:jc w:val="both"/>
      <w:rPr>
        <w:rFonts w:ascii="Verdana" w:hAnsi="Verdana"/>
        <w:sz w:val="18"/>
        <w:szCs w:val="18"/>
      </w:rPr>
    </w:pPr>
    <w:r w:rsidRPr="00E41027">
      <w:rPr>
        <w:rFonts w:ascii="Verdana" w:hAnsi="Verdana"/>
        <w:sz w:val="18"/>
        <w:szCs w:val="18"/>
      </w:rPr>
      <w:t>Mesa de servicio: (+57) 601 7456788</w:t>
    </w:r>
  </w:p>
  <w:p w14:paraId="1EFCAC54" w14:textId="77777777" w:rsidR="00B21780" w:rsidRPr="00A211EE" w:rsidRDefault="009D22AD" w:rsidP="00A211EE">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Pr="00A211EE">
      <w:rPr>
        <w:rFonts w:ascii="Verdana" w:eastAsia="Geo" w:hAnsi="Verdana" w:cs="Geo"/>
        <w:bCs/>
        <w:color w:val="000000"/>
        <w:sz w:val="16"/>
        <w:szCs w:val="16"/>
        <w:lang w:eastAsia="es-CO"/>
      </w:rPr>
      <w:t>Código: CCE-REC-FM-13 Versión</w:t>
    </w:r>
    <w:r w:rsidRPr="00A211EE">
      <w:rPr>
        <w:rFonts w:ascii="Verdana" w:eastAsia="Arial Nova" w:hAnsi="Verdana" w:cs="Arial Nova"/>
        <w:bCs/>
        <w:color w:val="000000"/>
        <w:sz w:val="16"/>
        <w:szCs w:val="16"/>
        <w:lang w:eastAsia="es-CO"/>
      </w:rPr>
      <w:t>:</w:t>
    </w:r>
    <w:r w:rsidRPr="00A211EE">
      <w:rPr>
        <w:rFonts w:ascii="Verdana" w:eastAsia="Arial Nova" w:hAnsi="Verdana" w:cs="Arial Nova"/>
        <w:b/>
        <w:color w:val="000000"/>
        <w:sz w:val="16"/>
        <w:szCs w:val="16"/>
        <w:lang w:eastAsia="es-CO"/>
      </w:rPr>
      <w:t xml:space="preserve"> </w:t>
    </w:r>
    <w:r w:rsidRPr="00A211EE">
      <w:rPr>
        <w:rFonts w:ascii="Verdana" w:eastAsia="Geo" w:hAnsi="Verdana" w:cs="Geo"/>
        <w:sz w:val="16"/>
        <w:szCs w:val="16"/>
        <w:lang w:eastAsia="es-CO"/>
      </w:rPr>
      <w:t>01 Fecha:15-06-2023</w:t>
    </w:r>
  </w:p>
  <w:p w14:paraId="5E6BD7E6" w14:textId="77777777" w:rsidR="00B21780" w:rsidRDefault="00B21780" w:rsidP="00A211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EA25A" w14:textId="77777777" w:rsidR="00FF132C" w:rsidRDefault="00FF132C" w:rsidP="0088157B">
      <w:pPr>
        <w:spacing w:after="0" w:line="240" w:lineRule="auto"/>
      </w:pPr>
      <w:r>
        <w:separator/>
      </w:r>
    </w:p>
  </w:footnote>
  <w:footnote w:type="continuationSeparator" w:id="0">
    <w:p w14:paraId="63C9385E" w14:textId="77777777" w:rsidR="00FF132C" w:rsidRDefault="00FF132C" w:rsidP="0088157B">
      <w:pPr>
        <w:spacing w:after="0" w:line="240" w:lineRule="auto"/>
      </w:pPr>
      <w:r>
        <w:continuationSeparator/>
      </w:r>
    </w:p>
  </w:footnote>
  <w:footnote w:type="continuationNotice" w:id="1">
    <w:p w14:paraId="69CBC59B" w14:textId="77777777" w:rsidR="00C26DBF" w:rsidRDefault="00C26DBF">
      <w:pPr>
        <w:spacing w:after="0" w:line="240" w:lineRule="auto"/>
      </w:pPr>
    </w:p>
  </w:footnote>
  <w:footnote w:id="2">
    <w:p w14:paraId="6E7E8EC3" w14:textId="77777777" w:rsidR="0038548D" w:rsidRPr="00022188" w:rsidRDefault="0038548D" w:rsidP="0038548D">
      <w:pPr>
        <w:pStyle w:val="Textonotapie"/>
        <w:spacing w:after="120"/>
        <w:ind w:firstLine="708"/>
        <w:jc w:val="both"/>
        <w:rPr>
          <w:rFonts w:ascii="Verdana" w:hAnsi="Verdana"/>
          <w:sz w:val="16"/>
          <w:szCs w:val="16"/>
        </w:rPr>
      </w:pPr>
      <w:r w:rsidRPr="00022188">
        <w:rPr>
          <w:rStyle w:val="Refdenotaalpie"/>
          <w:rFonts w:ascii="Verdana" w:hAnsi="Verdana"/>
          <w:sz w:val="16"/>
          <w:szCs w:val="16"/>
        </w:rPr>
        <w:footnoteRef/>
      </w:r>
      <w:r w:rsidRPr="00022188">
        <w:rPr>
          <w:rFonts w:ascii="Verdana" w:hAnsi="Verdana"/>
          <w:sz w:val="16"/>
          <w:szCs w:val="16"/>
        </w:rPr>
        <w:t xml:space="preserve"> “Artículo 2.2.1.2.4.2.2. Convocatorias Imitadas a Mipyme. Las Entidades Estatales</w:t>
      </w:r>
      <w:r>
        <w:rPr>
          <w:rFonts w:ascii="Verdana" w:hAnsi="Verdana"/>
          <w:sz w:val="16"/>
          <w:szCs w:val="16"/>
        </w:rPr>
        <w:t xml:space="preserve"> </w:t>
      </w:r>
      <w:r w:rsidRPr="00022188">
        <w:rPr>
          <w:rFonts w:ascii="Verdana" w:hAnsi="Verdana"/>
          <w:sz w:val="16"/>
          <w:szCs w:val="16"/>
        </w:rPr>
        <w:t xml:space="preserve">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0837B618" w14:textId="77777777" w:rsidR="0038548D" w:rsidRPr="00022188" w:rsidRDefault="0038548D" w:rsidP="0038548D">
      <w:pPr>
        <w:pStyle w:val="Textonotapie"/>
        <w:spacing w:after="120"/>
        <w:rPr>
          <w:rFonts w:ascii="Verdana" w:hAnsi="Verdana"/>
          <w:sz w:val="16"/>
          <w:szCs w:val="16"/>
        </w:rPr>
      </w:pPr>
      <w:r w:rsidRPr="00022188">
        <w:rPr>
          <w:rFonts w:ascii="Verdana" w:hAnsi="Verdana"/>
          <w:sz w:val="16"/>
          <w:szCs w:val="16"/>
        </w:rPr>
        <w:t>1. El valor del Proceso de Contratación sea menor a ciento veinticinco mil dólares de los Estados Unidos de América (US$125.000), liquidados con la tasa de cambio que para el efecto determina cada dos años el Ministerio de Comercio, Industria y Turismo.</w:t>
      </w:r>
    </w:p>
    <w:p w14:paraId="5C5175BB" w14:textId="77777777" w:rsidR="0038548D" w:rsidRPr="00022188" w:rsidRDefault="0038548D" w:rsidP="0038548D">
      <w:pPr>
        <w:pStyle w:val="Textonotapie"/>
        <w:spacing w:after="120"/>
        <w:rPr>
          <w:rFonts w:ascii="Verdana" w:hAnsi="Verdana"/>
          <w:sz w:val="16"/>
          <w:szCs w:val="16"/>
        </w:rPr>
      </w:pPr>
      <w:r w:rsidRPr="00022188">
        <w:rPr>
          <w:rFonts w:ascii="Verdana" w:hAnsi="Verdana"/>
          <w:sz w:val="16"/>
          <w:szCs w:val="16"/>
        </w:rPr>
        <w:t>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Mipyme, cuyo objeto social les permita ejecutar el contrato relacionado con el proceso contractual.</w:t>
      </w:r>
    </w:p>
    <w:p w14:paraId="3C1E7DEC" w14:textId="77777777" w:rsidR="0038548D" w:rsidRPr="00022188" w:rsidRDefault="0038548D" w:rsidP="0038548D">
      <w:pPr>
        <w:pStyle w:val="Textonotapie"/>
        <w:spacing w:after="120"/>
        <w:rPr>
          <w:rFonts w:ascii="Verdana" w:hAnsi="Verdana"/>
          <w:sz w:val="16"/>
          <w:szCs w:val="16"/>
        </w:rPr>
      </w:pPr>
      <w:r w:rsidRPr="00022188">
        <w:rPr>
          <w:rFonts w:ascii="Verdana" w:hAnsi="Verdana"/>
          <w:sz w:val="16"/>
          <w:szCs w:val="16"/>
        </w:rPr>
        <w:t>Parágrafo. Las cooperativas y demás entidades de economía solidaria, siempre que tengan la calidad de Mipyme, podrán solicitar y participar en las convocatorias limitadas en las mismas condiciones dispuestas en el presente artículo”.</w:t>
      </w:r>
    </w:p>
  </w:footnote>
  <w:footnote w:id="3">
    <w:p w14:paraId="78D18B4A" w14:textId="77777777" w:rsidR="0038548D" w:rsidRPr="00586588" w:rsidRDefault="0038548D" w:rsidP="0038548D">
      <w:pPr>
        <w:pStyle w:val="Textonotapie"/>
        <w:spacing w:after="120"/>
        <w:ind w:firstLine="708"/>
        <w:jc w:val="both"/>
        <w:rPr>
          <w:rFonts w:ascii="Verdana" w:hAnsi="Verdana" w:cs="Arial"/>
          <w:sz w:val="16"/>
          <w:szCs w:val="16"/>
        </w:rPr>
      </w:pPr>
      <w:r w:rsidRPr="00586588">
        <w:rPr>
          <w:rStyle w:val="Refdenotaalpie"/>
          <w:rFonts w:ascii="Verdana" w:hAnsi="Verdana" w:cs="Arial"/>
          <w:sz w:val="16"/>
          <w:szCs w:val="16"/>
        </w:rPr>
        <w:footnoteRef/>
      </w:r>
      <w:r w:rsidRPr="00586588">
        <w:rPr>
          <w:rFonts w:ascii="Verdana" w:hAnsi="Verdana" w:cs="Arial"/>
          <w:sz w:val="16"/>
          <w:szCs w:val="16"/>
        </w:rPr>
        <w:t xml:space="preserve"> Este monto fue publicado por la Agencia Nacional de Contratación Pública – Colombia Compra Eficiente, de acuerdo con la información remitida por el Ministerio de Comercio Industria y Turismo, disponible en el siguiente enlace: </w:t>
      </w:r>
      <w:hyperlink r:id="rId1" w:history="1">
        <w:r w:rsidRPr="00586588">
          <w:rPr>
            <w:rStyle w:val="Hipervnculo1"/>
            <w:rFonts w:ascii="Verdana" w:hAnsi="Verdana" w:cs="Arial"/>
            <w:color w:val="000000"/>
            <w:sz w:val="16"/>
            <w:szCs w:val="16"/>
          </w:rPr>
          <w:t>https://www.colombiacompra.gov.co/sites/cce_public/files/files_2020/vf_umbrales_actualizaciones_2022_-_2023_1.pdf</w:t>
        </w:r>
      </w:hyperlink>
      <w:r w:rsidRPr="00586588">
        <w:rPr>
          <w:rFonts w:ascii="Verdana" w:hAnsi="Verdana" w:cs="Arial"/>
          <w:color w:val="000000"/>
          <w:sz w:val="16"/>
          <w:szCs w:val="16"/>
        </w:rPr>
        <w:t xml:space="preserve">. </w:t>
      </w:r>
      <w:r w:rsidRPr="00586588">
        <w:rPr>
          <w:rFonts w:ascii="Verdana" w:hAnsi="Verdana" w:cs="Arial"/>
          <w:sz w:val="16"/>
          <w:szCs w:val="16"/>
        </w:rPr>
        <w:t>Allí se señala que el monto corresponde a $ 457.297.264.</w:t>
      </w:r>
    </w:p>
  </w:footnote>
  <w:footnote w:id="4">
    <w:p w14:paraId="19D99DCE" w14:textId="77777777" w:rsidR="0038548D" w:rsidRPr="00586588" w:rsidRDefault="0038548D" w:rsidP="0038548D">
      <w:pPr>
        <w:pStyle w:val="Textonotapie"/>
        <w:spacing w:after="120"/>
        <w:ind w:firstLine="708"/>
        <w:rPr>
          <w:rFonts w:ascii="Verdana" w:hAnsi="Verdana"/>
          <w:sz w:val="16"/>
          <w:szCs w:val="16"/>
          <w:lang w:val="es-ES"/>
        </w:rPr>
      </w:pPr>
      <w:r w:rsidRPr="00586588">
        <w:rPr>
          <w:rStyle w:val="Refdenotaalpie"/>
          <w:rFonts w:ascii="Verdana" w:hAnsi="Verdana"/>
          <w:sz w:val="16"/>
          <w:szCs w:val="16"/>
        </w:rPr>
        <w:footnoteRef/>
      </w:r>
      <w:r w:rsidRPr="00586588">
        <w:rPr>
          <w:rFonts w:ascii="Verdana" w:hAnsi="Verdana"/>
          <w:sz w:val="16"/>
          <w:szCs w:val="16"/>
        </w:rPr>
        <w:t xml:space="preserve"> </w:t>
      </w:r>
      <w:r>
        <w:rPr>
          <w:rFonts w:ascii="Verdana" w:hAnsi="Verdana"/>
          <w:sz w:val="16"/>
          <w:szCs w:val="16"/>
        </w:rPr>
        <w:t>P</w:t>
      </w:r>
      <w:r w:rsidRPr="00586588">
        <w:rPr>
          <w:rFonts w:ascii="Verdana" w:hAnsi="Verdana"/>
          <w:sz w:val="16"/>
          <w:szCs w:val="16"/>
        </w:rPr>
        <w:t>arágrafo 2 de del artículo 2.2.1.2.4.2.4. del decreto 1082 de 2015</w:t>
      </w:r>
    </w:p>
  </w:footnote>
  <w:footnote w:id="5">
    <w:p w14:paraId="4C87AE58" w14:textId="77777777" w:rsidR="0038548D" w:rsidRPr="00586588" w:rsidRDefault="0038548D" w:rsidP="0038548D">
      <w:pPr>
        <w:pStyle w:val="Textonotapie"/>
        <w:tabs>
          <w:tab w:val="left" w:pos="684"/>
        </w:tabs>
        <w:spacing w:after="120"/>
        <w:jc w:val="both"/>
        <w:rPr>
          <w:rFonts w:ascii="Verdana" w:hAnsi="Verdana"/>
          <w:sz w:val="16"/>
          <w:szCs w:val="16"/>
          <w:lang w:val="es-ES"/>
        </w:rPr>
      </w:pPr>
      <w:r>
        <w:rPr>
          <w:rFonts w:ascii="Verdana" w:hAnsi="Verdana"/>
          <w:sz w:val="16"/>
          <w:szCs w:val="16"/>
        </w:rPr>
        <w:tab/>
      </w:r>
      <w:r w:rsidRPr="00586588">
        <w:rPr>
          <w:rStyle w:val="Refdenotaalpie"/>
          <w:rFonts w:ascii="Verdana" w:hAnsi="Verdana"/>
          <w:sz w:val="16"/>
          <w:szCs w:val="16"/>
        </w:rPr>
        <w:footnoteRef/>
      </w:r>
      <w:r w:rsidRPr="00586588">
        <w:rPr>
          <w:rFonts w:ascii="Verdana" w:hAnsi="Verdana"/>
          <w:sz w:val="16"/>
          <w:szCs w:val="16"/>
        </w:rPr>
        <w:t xml:space="preserve"> ARTÍCULO 33. RENOVACIÓN DE LA MATRÍCULA MERCANTIL - TÉRMINO PARA SOLICITARLA. La matrícula se renovará anualmente, dentro de los tres primeros meses de cada año. El inscrito informará a la correspondiente cámara de comercio la pérdida de su calidad de comerciante, lo mismo que cualquier cambio de domicilio y demás mutaciones referentes a su actividad comercial, a fin de que se tome nota de ello en el registro correspondiente. Lo mismo se hará respecto de sucursales, establecimientos de comercio y demás actos y documentos sujetos a registro.</w:t>
      </w:r>
      <w:r w:rsidRPr="00586588">
        <w:rPr>
          <w:rFonts w:ascii="Verdana" w:hAnsi="Verdana"/>
          <w:sz w:val="16"/>
          <w:szCs w:val="16"/>
        </w:rPr>
        <w:tab/>
      </w:r>
    </w:p>
  </w:footnote>
  <w:footnote w:id="6">
    <w:p w14:paraId="0C383CE4" w14:textId="77777777" w:rsidR="0038548D" w:rsidRPr="00586588" w:rsidRDefault="0038548D" w:rsidP="0038548D">
      <w:pPr>
        <w:pStyle w:val="Textonotapie"/>
        <w:spacing w:after="120"/>
        <w:ind w:firstLine="708"/>
        <w:rPr>
          <w:rFonts w:ascii="Verdana" w:hAnsi="Verdana"/>
          <w:sz w:val="16"/>
          <w:szCs w:val="16"/>
          <w:lang w:val="es-ES"/>
        </w:rPr>
      </w:pPr>
      <w:r w:rsidRPr="00586588">
        <w:rPr>
          <w:rStyle w:val="Refdenotaalpie"/>
          <w:rFonts w:ascii="Verdana" w:hAnsi="Verdana"/>
          <w:sz w:val="16"/>
          <w:szCs w:val="16"/>
        </w:rPr>
        <w:footnoteRef/>
      </w:r>
      <w:r w:rsidRPr="00586588">
        <w:rPr>
          <w:rFonts w:ascii="Verdana" w:hAnsi="Verdana"/>
          <w:sz w:val="16"/>
          <w:szCs w:val="16"/>
        </w:rPr>
        <w:t xml:space="preserve"> </w:t>
      </w:r>
      <w:r w:rsidRPr="00586588">
        <w:rPr>
          <w:rFonts w:ascii="Verdana" w:hAnsi="Verdana"/>
          <w:sz w:val="16"/>
          <w:szCs w:val="16"/>
          <w:lang w:val="es-ES"/>
        </w:rPr>
        <w:t>Artículo 26</w:t>
      </w:r>
    </w:p>
  </w:footnote>
  <w:footnote w:id="7">
    <w:p w14:paraId="64849EEA" w14:textId="77777777" w:rsidR="0038548D" w:rsidRPr="00586588" w:rsidRDefault="0038548D" w:rsidP="0038548D">
      <w:pPr>
        <w:pStyle w:val="Textonotapie"/>
        <w:spacing w:after="120"/>
        <w:ind w:firstLine="708"/>
        <w:rPr>
          <w:rFonts w:ascii="Verdana" w:hAnsi="Verdana"/>
          <w:sz w:val="16"/>
          <w:szCs w:val="16"/>
          <w:lang w:val="es-ES"/>
        </w:rPr>
      </w:pPr>
      <w:r w:rsidRPr="00586588">
        <w:rPr>
          <w:rStyle w:val="Refdenotaalpie"/>
          <w:rFonts w:ascii="Verdana" w:hAnsi="Verdana"/>
          <w:sz w:val="16"/>
          <w:szCs w:val="16"/>
        </w:rPr>
        <w:footnoteRef/>
      </w:r>
      <w:r w:rsidRPr="00586588">
        <w:rPr>
          <w:rFonts w:ascii="Verdana" w:hAnsi="Verdana"/>
          <w:sz w:val="16"/>
          <w:szCs w:val="16"/>
        </w:rPr>
        <w:t xml:space="preserve"> </w:t>
      </w:r>
      <w:r w:rsidRPr="00586588">
        <w:rPr>
          <w:rFonts w:ascii="Verdana" w:hAnsi="Verdana"/>
          <w:sz w:val="16"/>
          <w:szCs w:val="16"/>
          <w:lang w:val="es-ES"/>
        </w:rPr>
        <w:t>Artículo 19 numerales 1 y 2</w:t>
      </w:r>
    </w:p>
  </w:footnote>
  <w:footnote w:id="8">
    <w:p w14:paraId="4ED157AA" w14:textId="77777777" w:rsidR="0038548D" w:rsidRPr="00586588" w:rsidRDefault="0038548D" w:rsidP="0038548D">
      <w:pPr>
        <w:pStyle w:val="Textonotapie"/>
        <w:spacing w:after="120"/>
        <w:ind w:firstLine="708"/>
        <w:rPr>
          <w:rFonts w:ascii="Verdana" w:hAnsi="Verdana"/>
          <w:sz w:val="16"/>
          <w:szCs w:val="16"/>
          <w:lang w:val="es-ES"/>
        </w:rPr>
      </w:pPr>
      <w:r w:rsidRPr="00586588">
        <w:rPr>
          <w:rStyle w:val="Refdenotaalpie"/>
          <w:rFonts w:ascii="Verdana" w:hAnsi="Verdana"/>
          <w:sz w:val="16"/>
          <w:szCs w:val="16"/>
        </w:rPr>
        <w:footnoteRef/>
      </w:r>
      <w:r w:rsidRPr="00586588">
        <w:rPr>
          <w:rFonts w:ascii="Verdana" w:hAnsi="Verdana"/>
          <w:sz w:val="16"/>
          <w:szCs w:val="16"/>
        </w:rPr>
        <w:t xml:space="preserve"> Corte Constitucional </w:t>
      </w:r>
      <w:r w:rsidRPr="00586588">
        <w:rPr>
          <w:rFonts w:ascii="Verdana" w:hAnsi="Verdana"/>
          <w:sz w:val="16"/>
          <w:szCs w:val="16"/>
          <w:lang w:val="es-ES"/>
        </w:rPr>
        <w:t>Sentencia C-277 del 2006</w:t>
      </w:r>
    </w:p>
  </w:footnote>
  <w:footnote w:id="9">
    <w:p w14:paraId="501CFABC" w14:textId="77777777" w:rsidR="0038548D" w:rsidRPr="00586588" w:rsidRDefault="0038548D" w:rsidP="0038548D">
      <w:pPr>
        <w:pStyle w:val="Textonotapie"/>
        <w:spacing w:after="120"/>
        <w:ind w:firstLine="708"/>
        <w:rPr>
          <w:rFonts w:ascii="Verdana" w:hAnsi="Verdana"/>
          <w:sz w:val="16"/>
          <w:szCs w:val="16"/>
          <w:lang w:val="es-ES"/>
        </w:rPr>
      </w:pPr>
      <w:r w:rsidRPr="00586588">
        <w:rPr>
          <w:rStyle w:val="Refdenotaalpie"/>
          <w:rFonts w:ascii="Verdana" w:hAnsi="Verdana"/>
          <w:sz w:val="16"/>
          <w:szCs w:val="16"/>
        </w:rPr>
        <w:footnoteRef/>
      </w:r>
      <w:r w:rsidRPr="00586588">
        <w:rPr>
          <w:rFonts w:ascii="Verdana" w:hAnsi="Verdana"/>
          <w:sz w:val="16"/>
          <w:szCs w:val="16"/>
        </w:rPr>
        <w:t xml:space="preserve"> Corte Constitucional </w:t>
      </w:r>
      <w:r w:rsidRPr="00586588">
        <w:rPr>
          <w:rFonts w:ascii="Verdana" w:hAnsi="Verdana"/>
          <w:sz w:val="16"/>
          <w:szCs w:val="16"/>
          <w:lang w:val="es-ES"/>
        </w:rPr>
        <w:t>Sentencia C-621 del 2003</w:t>
      </w:r>
    </w:p>
  </w:footnote>
  <w:footnote w:id="10">
    <w:p w14:paraId="02CBE04F" w14:textId="77777777" w:rsidR="0038548D" w:rsidRPr="0053744F" w:rsidRDefault="0038548D" w:rsidP="0038548D">
      <w:pPr>
        <w:pStyle w:val="Textonotapie"/>
        <w:spacing w:after="120"/>
        <w:rPr>
          <w:lang w:val="es-ES"/>
        </w:rPr>
      </w:pPr>
      <w:r w:rsidRPr="00586588">
        <w:rPr>
          <w:rStyle w:val="Refdenotaalpie"/>
          <w:rFonts w:ascii="Verdana" w:hAnsi="Verdana"/>
          <w:sz w:val="16"/>
          <w:szCs w:val="16"/>
        </w:rPr>
        <w:footnoteRef/>
      </w:r>
      <w:r w:rsidRPr="00586588">
        <w:rPr>
          <w:rFonts w:ascii="Verdana" w:hAnsi="Verdana"/>
          <w:sz w:val="16"/>
          <w:szCs w:val="16"/>
        </w:rPr>
        <w:t xml:space="preserve"> </w:t>
      </w:r>
      <w:r w:rsidRPr="00586588">
        <w:rPr>
          <w:rFonts w:ascii="Verdana" w:hAnsi="Verdana"/>
          <w:sz w:val="16"/>
          <w:szCs w:val="16"/>
          <w:lang w:val="es-ES"/>
        </w:rPr>
        <w:t>Corte Constitucional Sentencia C-277 de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8F8C" w14:textId="77777777" w:rsidR="00B21780" w:rsidRDefault="009D22AD">
    <w:pPr>
      <w:pStyle w:val="Encabezado"/>
    </w:pPr>
    <w:r>
      <w:rPr>
        <w:rFonts w:ascii="Geomanist Bold" w:hAnsi="Geomanist Bold"/>
        <w:b/>
        <w:bCs/>
        <w:noProof/>
        <w:color w:val="002060"/>
        <w:sz w:val="24"/>
        <w:szCs w:val="24"/>
      </w:rPr>
      <w:drawing>
        <wp:anchor distT="0" distB="0" distL="114300" distR="114300" simplePos="0" relativeHeight="251658241" behindDoc="1" locked="0" layoutInCell="1" allowOverlap="1" wp14:anchorId="0D8F6A07" wp14:editId="51E33641">
          <wp:simplePos x="0" y="0"/>
          <wp:positionH relativeFrom="margin">
            <wp:align>center</wp:align>
          </wp:positionH>
          <wp:positionV relativeFrom="paragraph">
            <wp:posOffset>-250190</wp:posOffset>
          </wp:positionV>
          <wp:extent cx="1924050" cy="856004"/>
          <wp:effectExtent l="0" t="0" r="0" b="1270"/>
          <wp:wrapNone/>
          <wp:docPr id="1309089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309089902"/>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rPr>
      <w:drawing>
        <wp:anchor distT="0" distB="0" distL="114300" distR="114300" simplePos="0" relativeHeight="251658240" behindDoc="0" locked="0" layoutInCell="1" allowOverlap="1" wp14:anchorId="14A53FCC" wp14:editId="228D22F8">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4DF5B8F0" w14:textId="77777777" w:rsidR="00B21780" w:rsidRDefault="00B21780" w:rsidP="00A211EE">
    <w:pPr>
      <w:pStyle w:val="Encabezado"/>
      <w:jc w:val="center"/>
    </w:pPr>
  </w:p>
  <w:p w14:paraId="66C4A92D" w14:textId="77777777" w:rsidR="00B21780" w:rsidRDefault="00B21780">
    <w:pPr>
      <w:pStyle w:val="Encabezado"/>
    </w:pPr>
  </w:p>
  <w:p w14:paraId="219B02F5" w14:textId="77777777" w:rsidR="00B21780" w:rsidRDefault="00B21780" w:rsidP="00A211EE">
    <w:pPr>
      <w:spacing w:after="0"/>
      <w:rPr>
        <w:rFonts w:ascii="Verdana" w:hAnsi="Verdana"/>
        <w:b/>
        <w:bCs/>
        <w:sz w:val="24"/>
        <w:szCs w:val="24"/>
      </w:rPr>
    </w:pPr>
  </w:p>
  <w:p w14:paraId="52CD4227" w14:textId="77777777" w:rsidR="00B21780" w:rsidRDefault="009D22AD" w:rsidP="00A211EE">
    <w:pPr>
      <w:spacing w:after="0"/>
      <w:rPr>
        <w:rFonts w:ascii="Verdana" w:hAnsi="Verdana"/>
        <w:b/>
        <w:bCs/>
        <w:sz w:val="24"/>
        <w:szCs w:val="24"/>
      </w:rPr>
    </w:pPr>
    <w:r w:rsidRPr="00A211EE">
      <w:rPr>
        <w:rFonts w:ascii="Verdana" w:hAnsi="Verdana"/>
        <w:b/>
        <w:bCs/>
        <w:sz w:val="24"/>
        <w:szCs w:val="24"/>
      </w:rPr>
      <w:t>FORMATO PQRSD</w:t>
    </w:r>
  </w:p>
  <w:p w14:paraId="276FA125" w14:textId="77777777" w:rsidR="00B21780" w:rsidRPr="00A211EE" w:rsidRDefault="00B21780" w:rsidP="00A211EE">
    <w:pPr>
      <w:spacing w:after="0" w:line="120" w:lineRule="auto"/>
      <w:rPr>
        <w:rFonts w:ascii="Verdana" w:hAnsi="Verdana"/>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29A0292"/>
    <w:multiLevelType w:val="hybridMultilevel"/>
    <w:tmpl w:val="B602E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3B2B87"/>
    <w:multiLevelType w:val="hybridMultilevel"/>
    <w:tmpl w:val="18AE1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7A6BA1"/>
    <w:multiLevelType w:val="hybridMultilevel"/>
    <w:tmpl w:val="A8C87CF0"/>
    <w:lvl w:ilvl="0" w:tplc="25BE362E">
      <w:numFmt w:val="bullet"/>
      <w:lvlText w:val="•"/>
      <w:lvlJc w:val="left"/>
      <w:pPr>
        <w:ind w:left="1440" w:hanging="360"/>
      </w:pPr>
      <w:rPr>
        <w:rFonts w:hint="default"/>
        <w:lang w:val="es-ES" w:eastAsia="en-US" w:bidi="ar-SA"/>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71CC6F5F"/>
    <w:multiLevelType w:val="hybridMultilevel"/>
    <w:tmpl w:val="D2B62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3415C76"/>
    <w:multiLevelType w:val="hybridMultilevel"/>
    <w:tmpl w:val="9C8C101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341274352">
    <w:abstractNumId w:val="0"/>
  </w:num>
  <w:num w:numId="2" w16cid:durableId="784039179">
    <w:abstractNumId w:val="4"/>
  </w:num>
  <w:num w:numId="3" w16cid:durableId="450248607">
    <w:abstractNumId w:val="3"/>
  </w:num>
  <w:num w:numId="4" w16cid:durableId="1974678414">
    <w:abstractNumId w:val="1"/>
  </w:num>
  <w:num w:numId="5" w16cid:durableId="1523519647">
    <w:abstractNumId w:val="2"/>
  </w:num>
  <w:num w:numId="6" w16cid:durableId="1210918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7B"/>
    <w:rsid w:val="00002F6C"/>
    <w:rsid w:val="00022188"/>
    <w:rsid w:val="000E1149"/>
    <w:rsid w:val="001076D9"/>
    <w:rsid w:val="00177585"/>
    <w:rsid w:val="001C6B61"/>
    <w:rsid w:val="002005BE"/>
    <w:rsid w:val="00202319"/>
    <w:rsid w:val="00211110"/>
    <w:rsid w:val="00226FB3"/>
    <w:rsid w:val="002653F2"/>
    <w:rsid w:val="002870A5"/>
    <w:rsid w:val="002B0BD1"/>
    <w:rsid w:val="002B3B4E"/>
    <w:rsid w:val="002C69E3"/>
    <w:rsid w:val="00301CF5"/>
    <w:rsid w:val="00312897"/>
    <w:rsid w:val="0038548D"/>
    <w:rsid w:val="003D4EE5"/>
    <w:rsid w:val="0043496D"/>
    <w:rsid w:val="00487122"/>
    <w:rsid w:val="004B53EE"/>
    <w:rsid w:val="0053744F"/>
    <w:rsid w:val="00571769"/>
    <w:rsid w:val="005E376A"/>
    <w:rsid w:val="005F70D1"/>
    <w:rsid w:val="006113E1"/>
    <w:rsid w:val="00665A5A"/>
    <w:rsid w:val="006C2988"/>
    <w:rsid w:val="0073699B"/>
    <w:rsid w:val="008612B2"/>
    <w:rsid w:val="0088157B"/>
    <w:rsid w:val="008D1D33"/>
    <w:rsid w:val="0092574F"/>
    <w:rsid w:val="009D22AD"/>
    <w:rsid w:val="00A65973"/>
    <w:rsid w:val="00AC76DE"/>
    <w:rsid w:val="00AF4C51"/>
    <w:rsid w:val="00AF6F56"/>
    <w:rsid w:val="00B21780"/>
    <w:rsid w:val="00B92F35"/>
    <w:rsid w:val="00BC0B44"/>
    <w:rsid w:val="00BF2A24"/>
    <w:rsid w:val="00C26DBF"/>
    <w:rsid w:val="00C55DC1"/>
    <w:rsid w:val="00C61284"/>
    <w:rsid w:val="00D31198"/>
    <w:rsid w:val="00D81A99"/>
    <w:rsid w:val="00E11B15"/>
    <w:rsid w:val="00E27B13"/>
    <w:rsid w:val="00EB0D8D"/>
    <w:rsid w:val="00F501F4"/>
    <w:rsid w:val="00F86D43"/>
    <w:rsid w:val="00FF132C"/>
    <w:rsid w:val="10E0A3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80E7"/>
  <w15:chartTrackingRefBased/>
  <w15:docId w15:val="{6B3994D4-AC4A-E24D-AC56-4C1FDC4A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57B"/>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15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157B"/>
    <w:rPr>
      <w:kern w:val="0"/>
      <w:sz w:val="22"/>
      <w:szCs w:val="22"/>
      <w14:ligatures w14:val="none"/>
    </w:rPr>
  </w:style>
  <w:style w:type="paragraph" w:styleId="Piedepgina">
    <w:name w:val="footer"/>
    <w:basedOn w:val="Normal"/>
    <w:link w:val="PiedepginaCar"/>
    <w:uiPriority w:val="99"/>
    <w:unhideWhenUsed/>
    <w:rsid w:val="008815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157B"/>
    <w:rPr>
      <w:kern w:val="0"/>
      <w:sz w:val="22"/>
      <w:szCs w:val="22"/>
      <w14:ligatures w14:val="none"/>
    </w:rPr>
  </w:style>
  <w:style w:type="paragraph" w:customStyle="1" w:styleId="Default">
    <w:name w:val="Default"/>
    <w:rsid w:val="0088157B"/>
    <w:pPr>
      <w:autoSpaceDE w:val="0"/>
      <w:autoSpaceDN w:val="0"/>
      <w:adjustRightInd w:val="0"/>
    </w:pPr>
    <w:rPr>
      <w:rFonts w:ascii="Arial" w:hAnsi="Arial" w:cs="Arial"/>
      <w:color w:val="000000"/>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8157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88157B"/>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88157B"/>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88157B"/>
    <w:rPr>
      <w:vertAlign w:val="superscript"/>
    </w:rPr>
  </w:style>
  <w:style w:type="character" w:customStyle="1" w:styleId="normaltextrun">
    <w:name w:val="normaltextrun"/>
    <w:basedOn w:val="Fuentedeprrafopredeter"/>
    <w:uiPriority w:val="1"/>
    <w:rsid w:val="0088157B"/>
  </w:style>
  <w:style w:type="table" w:styleId="Tablaconcuadrcula">
    <w:name w:val="Table Grid"/>
    <w:basedOn w:val="Tablanormal"/>
    <w:uiPriority w:val="39"/>
    <w:qFormat/>
    <w:rsid w:val="0088157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8157B"/>
    <w:rPr>
      <w:color w:val="0000FF"/>
      <w:u w:val="single"/>
    </w:rPr>
  </w:style>
  <w:style w:type="paragraph" w:customStyle="1" w:styleId="Appelnotedebasde">
    <w:name w:val="Appel note de bas de..."/>
    <w:basedOn w:val="Normal"/>
    <w:link w:val="Refdenotaalpie"/>
    <w:uiPriority w:val="99"/>
    <w:rsid w:val="0088157B"/>
    <w:pPr>
      <w:spacing w:line="240" w:lineRule="exact"/>
    </w:pPr>
    <w:rPr>
      <w:kern w:val="2"/>
      <w:sz w:val="24"/>
      <w:szCs w:val="24"/>
      <w:vertAlign w:val="superscript"/>
      <w14:ligatures w14:val="standardContextual"/>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8157B"/>
    <w:pPr>
      <w:ind w:left="720"/>
      <w:contextualSpacing/>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8157B"/>
    <w:rPr>
      <w:kern w:val="0"/>
      <w:sz w:val="22"/>
      <w:szCs w:val="22"/>
      <w14:ligatures w14:val="none"/>
    </w:rPr>
  </w:style>
  <w:style w:type="paragraph" w:styleId="Sinespaciado">
    <w:name w:val="No Spacing"/>
    <w:aliases w:val="No Indent"/>
    <w:uiPriority w:val="3"/>
    <w:qFormat/>
    <w:rsid w:val="0088157B"/>
    <w:rPr>
      <w:kern w:val="0"/>
      <w:szCs w:val="22"/>
      <w:lang w:val="es-MX"/>
      <w14:ligatures w14:val="none"/>
    </w:rPr>
  </w:style>
  <w:style w:type="character" w:styleId="Mencinsinresolver">
    <w:name w:val="Unresolved Mention"/>
    <w:basedOn w:val="Fuentedeprrafopredeter"/>
    <w:uiPriority w:val="99"/>
    <w:semiHidden/>
    <w:unhideWhenUsed/>
    <w:rsid w:val="0088157B"/>
    <w:rPr>
      <w:color w:val="605E5C"/>
      <w:shd w:val="clear" w:color="auto" w:fill="E1DFDD"/>
    </w:rPr>
  </w:style>
  <w:style w:type="paragraph" w:customStyle="1" w:styleId="Car1">
    <w:name w:val="Car1"/>
    <w:basedOn w:val="Normal"/>
    <w:next w:val="Textonotapie"/>
    <w:uiPriority w:val="99"/>
    <w:unhideWhenUsed/>
    <w:qFormat/>
    <w:rsid w:val="00AF6F56"/>
    <w:pPr>
      <w:spacing w:after="0" w:line="240" w:lineRule="auto"/>
    </w:pPr>
    <w:rPr>
      <w:sz w:val="20"/>
      <w:szCs w:val="20"/>
      <w:lang w:val="es-MX"/>
    </w:rPr>
  </w:style>
  <w:style w:type="character" w:customStyle="1" w:styleId="Hipervnculo1">
    <w:name w:val="Hipervínculo1"/>
    <w:basedOn w:val="Fuentedeprrafopredeter"/>
    <w:uiPriority w:val="99"/>
    <w:unhideWhenUsed/>
    <w:rsid w:val="005E376A"/>
    <w:rPr>
      <w:color w:val="F2F2F2"/>
      <w:u w:val="single"/>
    </w:rPr>
  </w:style>
  <w:style w:type="paragraph" w:styleId="Revisin">
    <w:name w:val="Revision"/>
    <w:hidden/>
    <w:uiPriority w:val="99"/>
    <w:semiHidden/>
    <w:rsid w:val="001076D9"/>
    <w:rPr>
      <w:kern w:val="0"/>
      <w:sz w:val="22"/>
      <w:szCs w:val="22"/>
      <w14:ligatures w14:val="none"/>
    </w:rPr>
  </w:style>
  <w:style w:type="character" w:styleId="Refdecomentario">
    <w:name w:val="annotation reference"/>
    <w:basedOn w:val="Fuentedeprrafopredeter"/>
    <w:uiPriority w:val="99"/>
    <w:semiHidden/>
    <w:unhideWhenUsed/>
    <w:rsid w:val="001076D9"/>
    <w:rPr>
      <w:sz w:val="16"/>
      <w:szCs w:val="16"/>
    </w:rPr>
  </w:style>
  <w:style w:type="paragraph" w:styleId="Textocomentario">
    <w:name w:val="annotation text"/>
    <w:basedOn w:val="Normal"/>
    <w:link w:val="TextocomentarioCar"/>
    <w:uiPriority w:val="99"/>
    <w:unhideWhenUsed/>
    <w:rsid w:val="001076D9"/>
    <w:pPr>
      <w:spacing w:line="240" w:lineRule="auto"/>
    </w:pPr>
    <w:rPr>
      <w:sz w:val="20"/>
      <w:szCs w:val="20"/>
    </w:rPr>
  </w:style>
  <w:style w:type="character" w:customStyle="1" w:styleId="TextocomentarioCar">
    <w:name w:val="Texto comentario Car"/>
    <w:basedOn w:val="Fuentedeprrafopredeter"/>
    <w:link w:val="Textocomentario"/>
    <w:uiPriority w:val="99"/>
    <w:rsid w:val="001076D9"/>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1076D9"/>
    <w:rPr>
      <w:b/>
      <w:bCs/>
    </w:rPr>
  </w:style>
  <w:style w:type="character" w:customStyle="1" w:styleId="AsuntodelcomentarioCar">
    <w:name w:val="Asunto del comentario Car"/>
    <w:basedOn w:val="TextocomentarioCar"/>
    <w:link w:val="Asuntodelcomentario"/>
    <w:uiPriority w:val="99"/>
    <w:semiHidden/>
    <w:rsid w:val="001076D9"/>
    <w:rPr>
      <w:b/>
      <w:bCs/>
      <w:kern w:val="0"/>
      <w:sz w:val="20"/>
      <w:szCs w:val="20"/>
      <w14:ligatures w14:val="none"/>
    </w:rPr>
  </w:style>
  <w:style w:type="character" w:customStyle="1" w:styleId="ui-provider">
    <w:name w:val="ui-provider"/>
    <w:basedOn w:val="Fuentedeprrafopredeter"/>
    <w:rsid w:val="00177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decreto-1082-de-2015/" TargetMode="External"/><Relationship Id="rId18" Type="http://schemas.openxmlformats.org/officeDocument/2006/relationships/hyperlink" Target="https://nam02.safelinks.protection.outlook.com/?url=https%3A%2F%2Frelatoria.colombiacompra.gov.co%2F&amp;data=05%7C02%7Cjhonattan.gualdron%40colombiacompra.gov.co%7C5aad36a736844ec87b2108dcc1fa4639%7C7b09041e245149d08cb179d5e3d8c1be%7C0%7C0%7C638598527917246155%7CUnknown%7CTWFpbGZsb3d8eyJWIjoiMC4wLjAwMDAiLCJQIjoiV2luMzIiLCJBTiI6Ik1haWwiLCJXVCI6Mn0%3D%7C0%7C%7C%7C&amp;sdata=vvr1bncg52balnsi4t%2FCslEkQPef8NiUUqg4Qj8a7c8%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ercol8530@gmail.com" TargetMode="External"/><Relationship Id="rId17" Type="http://schemas.openxmlformats.org/officeDocument/2006/relationships/hyperlink" Target="https://relatoria.colombiacompra.gov.co/providencias-consejo-de-estado/" TargetMode="External"/><Relationship Id="rId2" Type="http://schemas.openxmlformats.org/officeDocument/2006/relationships/customXml" Target="../customXml/item2.xml"/><Relationship Id="rId16" Type="http://schemas.openxmlformats.org/officeDocument/2006/relationships/hyperlink" Target="https://relatoria.colombiacompra.gov.co/normativa/codigo-de-comercio-decreto-410-de-1971/"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normativa/decreto-1074-de-201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02.safelinks.protection.outlook.com/?url=https%3A%2F%2Fwww.colombiacompra.gov.co%2Fsites%2Fcce_public%2Ffiles%2Ffiles_2020%2Fboletin_de_realtoria_iii.pdf&amp;data=05%7C02%7Cjhonattan.gualdron%40colombiacompra.gov.co%7C5aad36a736844ec87b2108dcc1fa4639%7C7b09041e245149d08cb179d5e3d8c1be%7C0%7C0%7C638598527917258349%7CUnknown%7CTWFpbGZsb3d8eyJWIjoiMC4wLjAwMDAiLCJQIjoiV2luMzIiLCJBTiI6Ik1haWwiLCJXVCI6Mn0%3D%7C0%7C%7C%7C&amp;sdata=L8n4%2BPLzCXOYkgvgeiE94oL%2BWH5QycxZ3E%2FJkFORVZ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ley-590-de-2000/"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files_2020/vf_umbrales_actualizaciones_2022_-_2023_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E975F-79E1-4690-8010-81BCADA8C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4844C-F92E-8B40-9A3B-759000C6728C}">
  <ds:schemaRefs>
    <ds:schemaRef ds:uri="http://schemas.openxmlformats.org/officeDocument/2006/bibliography"/>
  </ds:schemaRefs>
</ds:datastoreItem>
</file>

<file path=customXml/itemProps3.xml><?xml version="1.0" encoding="utf-8"?>
<ds:datastoreItem xmlns:ds="http://schemas.openxmlformats.org/officeDocument/2006/customXml" ds:itemID="{315C5FD7-ACB9-43AF-B883-ED3B0382E49E}">
  <ds:schemaRefs>
    <ds:schemaRef ds:uri="a6cb9e4b-f1d1-4245-83ec-6cad768d538a"/>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9d85dbaf-23eb-4e57-a637-93dcacc8b1a1"/>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ED1AFBE7-9C3A-4E9C-B78A-3D6AA45B7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3952</Words>
  <Characters>21737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Jhonattan Gualdron Salazar</dc:creator>
  <cp:keywords/>
  <dc:description/>
  <cp:lastModifiedBy>Jhonattan Gualdron Salazar</cp:lastModifiedBy>
  <cp:revision>2</cp:revision>
  <dcterms:created xsi:type="dcterms:W3CDTF">2024-09-18T12:50:00Z</dcterms:created>
  <dcterms:modified xsi:type="dcterms:W3CDTF">2024-09-18T12:50:00Z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