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F257" w14:textId="77777777" w:rsidR="00C91E27" w:rsidRPr="00D33E27" w:rsidRDefault="00C91E27" w:rsidP="00C91E27">
      <w:pPr>
        <w:jc w:val="both"/>
        <w:rPr>
          <w:rFonts w:ascii="Verdana" w:eastAsia="Calibri" w:hAnsi="Verdana" w:cs="Arial"/>
          <w:lang w:val="es-ES" w:eastAsia="es-ES"/>
        </w:rPr>
      </w:pPr>
      <w:bookmarkStart w:id="0" w:name="_Hlk143780582"/>
      <w:r w:rsidRPr="00D33E27">
        <w:rPr>
          <w:rFonts w:ascii="Verdana" w:eastAsia="Calibri" w:hAnsi="Verdana" w:cs="Arial"/>
          <w:b/>
          <w:bCs/>
          <w:lang w:val="es-ES" w:eastAsia="es-ES"/>
        </w:rPr>
        <w:t>CONVOCATORIAS LIMITADAS A MIPYME – Limitación territorial - Decreto 1860 de 2021</w:t>
      </w:r>
      <w:r w:rsidRPr="00D33E27">
        <w:rPr>
          <w:rFonts w:ascii="Verdana" w:eastAsia="Calibri" w:hAnsi="Verdana" w:cs="Arial"/>
          <w:lang w:val="es-ES" w:eastAsia="es-ES"/>
        </w:rPr>
        <w:t xml:space="preserve"> </w:t>
      </w:r>
    </w:p>
    <w:p w14:paraId="372FB839" w14:textId="7C0293C2" w:rsidR="007306F6" w:rsidRPr="00D33E27" w:rsidRDefault="002C4D56" w:rsidP="004E69FB">
      <w:pPr>
        <w:jc w:val="both"/>
        <w:rPr>
          <w:rFonts w:ascii="Verdana" w:eastAsia="Century Gothic" w:hAnsi="Verdana" w:cs="Century Gothic"/>
          <w:sz w:val="20"/>
          <w:szCs w:val="20"/>
        </w:rPr>
      </w:pPr>
      <w:r w:rsidRPr="007306F6">
        <w:rPr>
          <w:rFonts w:ascii="Verdana" w:eastAsia="Century Gothic" w:hAnsi="Verdana" w:cs="Century Gothic"/>
          <w:sz w:val="20"/>
          <w:szCs w:val="20"/>
        </w:rPr>
        <w:t>[…]</w:t>
      </w:r>
      <w:r w:rsidR="007306F6" w:rsidRPr="007306F6">
        <w:rPr>
          <w:rFonts w:ascii="Verdana" w:eastAsia="Century Gothic" w:hAnsi="Verdana" w:cs="Century Gothic"/>
          <w:sz w:val="20"/>
          <w:szCs w:val="20"/>
        </w:rPr>
        <w:t xml:space="preserve"> lo que debe adoptarse obligatoriamente es la limitación a </w:t>
      </w:r>
      <w:r w:rsidR="007306F6" w:rsidRPr="00D33E27">
        <w:rPr>
          <w:rFonts w:ascii="Verdana" w:eastAsia="Century Gothic" w:hAnsi="Verdana" w:cs="Century Gothic"/>
          <w:sz w:val="20"/>
          <w:szCs w:val="20"/>
        </w:rPr>
        <w:t>MiPymes</w:t>
      </w:r>
      <w:r w:rsidR="007306F6" w:rsidRPr="007306F6">
        <w:rPr>
          <w:rFonts w:ascii="Verdana" w:eastAsia="Century Gothic" w:hAnsi="Verdana" w:cs="Century Gothic"/>
          <w:sz w:val="20"/>
          <w:szCs w:val="20"/>
        </w:rPr>
        <w:t xml:space="preserve"> colombianas siempre que se cumplan las condiciones del artículo 2.2.1.2.4.2.2 del Decreto 1082 de 2015, pero no la “limitación territorial” referida en el artículo 2.2.1.2.4.2.3 </w:t>
      </w:r>
      <w:r w:rsidR="007306F6" w:rsidRPr="00D33E27">
        <w:rPr>
          <w:rFonts w:ascii="Verdana" w:eastAsia="Century Gothic" w:hAnsi="Verdana" w:cs="Century Gothic"/>
          <w:sz w:val="20"/>
          <w:szCs w:val="20"/>
        </w:rPr>
        <w:t>Ibidem</w:t>
      </w:r>
      <w:r w:rsidR="007306F6" w:rsidRPr="007306F6">
        <w:rPr>
          <w:rFonts w:ascii="Verdana" w:eastAsia="Century Gothic" w:hAnsi="Verdana" w:cs="Century Gothic"/>
          <w:sz w:val="20"/>
          <w:szCs w:val="20"/>
        </w:rPr>
        <w:t xml:space="preserve">, pues esta es facultativa para la entidad. Las únicas exigencias son que la convocatoria esté limitada a las </w:t>
      </w:r>
      <w:r w:rsidR="007306F6" w:rsidRPr="00D33E27">
        <w:rPr>
          <w:rFonts w:ascii="Verdana" w:eastAsia="Century Gothic" w:hAnsi="Verdana" w:cs="Century Gothic"/>
          <w:sz w:val="20"/>
          <w:szCs w:val="20"/>
        </w:rPr>
        <w:t>MiPymes</w:t>
      </w:r>
      <w:r w:rsidR="007306F6" w:rsidRPr="007306F6">
        <w:rPr>
          <w:rFonts w:ascii="Verdana" w:eastAsia="Century Gothic" w:hAnsi="Verdana" w:cs="Century Gothic"/>
          <w:sz w:val="20"/>
          <w:szCs w:val="20"/>
        </w:rPr>
        <w:t xml:space="preserve"> colombianas “domiciliadas en los departamentos o municipios en donde se va a ejecutar el contrato” y que la entidad justifique su decisión con base en los “estudios del sector”. No es procedente, entonces, que sean las </w:t>
      </w:r>
      <w:r w:rsidR="007306F6" w:rsidRPr="00D33E27">
        <w:rPr>
          <w:rFonts w:ascii="Verdana" w:eastAsia="Century Gothic" w:hAnsi="Verdana" w:cs="Century Gothic"/>
          <w:sz w:val="20"/>
          <w:szCs w:val="20"/>
        </w:rPr>
        <w:t>MiPymes</w:t>
      </w:r>
      <w:r w:rsidR="007306F6" w:rsidRPr="007306F6">
        <w:rPr>
          <w:rFonts w:ascii="Verdana" w:eastAsia="Century Gothic" w:hAnsi="Verdana" w:cs="Century Gothic"/>
          <w:sz w:val="20"/>
          <w:szCs w:val="20"/>
        </w:rPr>
        <w:t xml:space="preserve"> las que soliciten la “limitación territorial” a la que se refiere el artículo 2.2.1.2.4.2.3 del Decreto 1082 de 2015. </w:t>
      </w:r>
    </w:p>
    <w:p w14:paraId="6D9BAE33" w14:textId="77777777" w:rsidR="004E69FB" w:rsidRPr="00D33E27" w:rsidRDefault="004E69FB" w:rsidP="004E69FB">
      <w:pPr>
        <w:spacing w:after="0" w:line="240" w:lineRule="auto"/>
        <w:jc w:val="both"/>
        <w:rPr>
          <w:rFonts w:ascii="Verdana" w:eastAsia="Century Gothic" w:hAnsi="Verdana" w:cs="Century Gothic"/>
          <w:sz w:val="20"/>
          <w:szCs w:val="20"/>
        </w:rPr>
      </w:pPr>
    </w:p>
    <w:p w14:paraId="617E8091" w14:textId="3D5847E6" w:rsidR="007306F6" w:rsidRPr="00D33E27" w:rsidRDefault="007306F6" w:rsidP="004E69FB">
      <w:pPr>
        <w:jc w:val="both"/>
        <w:rPr>
          <w:rFonts w:ascii="Verdana" w:eastAsia="Century Gothic" w:hAnsi="Verdana" w:cs="Century Gothic"/>
          <w:sz w:val="20"/>
          <w:szCs w:val="20"/>
        </w:rPr>
      </w:pPr>
      <w:r w:rsidRPr="007306F6">
        <w:rPr>
          <w:rFonts w:ascii="Verdana" w:eastAsia="Century Gothic" w:hAnsi="Verdana" w:cs="Century Gothic"/>
          <w:sz w:val="20"/>
          <w:szCs w:val="20"/>
        </w:rPr>
        <w:t xml:space="preserve">En resumen, la decisión de limitar o no territorialmente una convocatoria limitada a </w:t>
      </w:r>
      <w:r w:rsidRPr="00D33E27">
        <w:rPr>
          <w:rFonts w:ascii="Verdana" w:eastAsia="Century Gothic" w:hAnsi="Verdana" w:cs="Century Gothic"/>
          <w:sz w:val="20"/>
          <w:szCs w:val="20"/>
        </w:rPr>
        <w:t>MiPymes</w:t>
      </w:r>
      <w:r w:rsidRPr="007306F6">
        <w:rPr>
          <w:rFonts w:ascii="Verdana" w:eastAsia="Century Gothic" w:hAnsi="Verdana" w:cs="Century Gothic"/>
          <w:sz w:val="20"/>
          <w:szCs w:val="20"/>
        </w:rPr>
        <w:t xml:space="preserve">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r w:rsidRPr="00D33E27">
        <w:rPr>
          <w:rFonts w:ascii="Verdana" w:eastAsia="Century Gothic" w:hAnsi="Verdana" w:cs="Century Gothic"/>
          <w:sz w:val="20"/>
          <w:szCs w:val="20"/>
        </w:rPr>
        <w:t xml:space="preserve"> </w:t>
      </w:r>
      <w:r w:rsidRPr="007306F6">
        <w:rPr>
          <w:rFonts w:ascii="Verdana" w:eastAsia="Century Gothic" w:hAnsi="Verdana" w:cs="Century Gothic"/>
          <w:sz w:val="20"/>
          <w:szCs w:val="20"/>
        </w:rPr>
        <w:t>[…]</w:t>
      </w:r>
      <w:r w:rsidRPr="00D33E27">
        <w:rPr>
          <w:rFonts w:ascii="Verdana" w:eastAsia="Century Gothic" w:hAnsi="Verdana" w:cs="Century Gothic"/>
          <w:sz w:val="20"/>
          <w:szCs w:val="20"/>
        </w:rPr>
        <w:t>.</w:t>
      </w:r>
    </w:p>
    <w:p w14:paraId="4FC9A22E" w14:textId="77777777" w:rsidR="004E69FB" w:rsidRPr="007306F6" w:rsidRDefault="004E69FB" w:rsidP="004E69FB">
      <w:pPr>
        <w:spacing w:after="0" w:line="240" w:lineRule="auto"/>
        <w:jc w:val="both"/>
        <w:rPr>
          <w:rFonts w:ascii="Verdana" w:eastAsia="Century Gothic" w:hAnsi="Verdana" w:cs="Century Gothic"/>
          <w:sz w:val="20"/>
          <w:szCs w:val="20"/>
        </w:rPr>
      </w:pPr>
    </w:p>
    <w:p w14:paraId="4AAB882F" w14:textId="77777777" w:rsidR="002C4D56" w:rsidRPr="00D33E27" w:rsidRDefault="00C91E27" w:rsidP="002C4D56">
      <w:pPr>
        <w:jc w:val="both"/>
        <w:rPr>
          <w:rFonts w:ascii="Verdana" w:eastAsia="Calibri" w:hAnsi="Verdana" w:cs="Arial"/>
          <w:lang w:val="es-ES" w:eastAsia="es-ES"/>
        </w:rPr>
      </w:pPr>
      <w:r w:rsidRPr="00D33E27">
        <w:rPr>
          <w:rFonts w:ascii="Verdana" w:eastAsia="Calibri" w:hAnsi="Verdana" w:cs="Arial"/>
          <w:b/>
          <w:bCs/>
          <w:lang w:val="es-ES" w:eastAsia="es-ES"/>
        </w:rPr>
        <w:t>INHABILIDADES – Definición – Finalidad – Limitación capacidad contractual</w:t>
      </w:r>
      <w:r w:rsidRPr="00D33E27">
        <w:rPr>
          <w:rFonts w:ascii="Verdana" w:eastAsia="Calibri" w:hAnsi="Verdana" w:cs="Arial"/>
          <w:lang w:val="es-ES" w:eastAsia="es-ES"/>
        </w:rPr>
        <w:t xml:space="preserve"> </w:t>
      </w:r>
    </w:p>
    <w:p w14:paraId="68BF82DB" w14:textId="6F93F260" w:rsidR="002C4D56" w:rsidRPr="00D33E27" w:rsidRDefault="002C4D56" w:rsidP="00C91E27">
      <w:pPr>
        <w:jc w:val="both"/>
        <w:rPr>
          <w:rFonts w:ascii="Verdana" w:eastAsia="Calibri" w:hAnsi="Verdana" w:cs="Arial"/>
          <w:sz w:val="20"/>
          <w:szCs w:val="20"/>
          <w:lang w:val="es-ES" w:eastAsia="es-ES"/>
        </w:rPr>
      </w:pPr>
      <w:r w:rsidRPr="007306F6">
        <w:rPr>
          <w:rFonts w:ascii="Verdana" w:eastAsia="Century Gothic" w:hAnsi="Verdana" w:cs="Century Gothic"/>
          <w:sz w:val="20"/>
          <w:szCs w:val="20"/>
        </w:rPr>
        <w:t>[…]</w:t>
      </w:r>
      <w:r w:rsidRPr="00D33E27">
        <w:rPr>
          <w:rFonts w:ascii="Verdana" w:eastAsia="Century Gothic" w:hAnsi="Verdana" w:cs="Century Gothic"/>
          <w:sz w:val="20"/>
          <w:szCs w:val="20"/>
        </w:rPr>
        <w:t xml:space="preserve"> </w:t>
      </w:r>
      <w:r w:rsidRPr="002C4D56">
        <w:rPr>
          <w:rFonts w:ascii="Verdana" w:eastAsia="Geomanist Light" w:hAnsi="Verdana"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r w:rsidRPr="00D33E27">
        <w:rPr>
          <w:rFonts w:ascii="Verdana" w:eastAsia="Geomanist Light" w:hAnsi="Verdana" w:cs="Arial"/>
          <w:color w:val="000000" w:themeColor="text1"/>
          <w:sz w:val="20"/>
          <w:szCs w:val="20"/>
          <w:lang w:val="es-MX"/>
        </w:rPr>
        <w:t xml:space="preserve"> </w:t>
      </w:r>
      <w:r w:rsidRPr="007306F6">
        <w:rPr>
          <w:rFonts w:ascii="Verdana" w:eastAsia="Century Gothic" w:hAnsi="Verdana" w:cs="Century Gothic"/>
          <w:sz w:val="20"/>
          <w:szCs w:val="20"/>
        </w:rPr>
        <w:t>[…]</w:t>
      </w:r>
    </w:p>
    <w:p w14:paraId="327A6291" w14:textId="03798A69" w:rsidR="00C91E27" w:rsidRPr="00D33E27" w:rsidRDefault="00C91E27" w:rsidP="00C91E27">
      <w:pPr>
        <w:jc w:val="both"/>
        <w:rPr>
          <w:rFonts w:ascii="Verdana" w:eastAsia="Calibri" w:hAnsi="Verdana" w:cs="Arial"/>
          <w:lang w:val="es-ES" w:eastAsia="es-ES"/>
        </w:rPr>
      </w:pPr>
      <w:r w:rsidRPr="00D33E27">
        <w:rPr>
          <w:rFonts w:ascii="Verdana" w:eastAsia="Calibri" w:hAnsi="Verdana" w:cs="Arial"/>
          <w:b/>
          <w:bCs/>
          <w:lang w:val="es-ES" w:eastAsia="es-ES"/>
        </w:rPr>
        <w:lastRenderedPageBreak/>
        <w:t>INHABILIDADES – Relación de parentesco – Vínculo natural – Personas naturales</w:t>
      </w:r>
      <w:r w:rsidRPr="00D33E27">
        <w:rPr>
          <w:rFonts w:ascii="Verdana" w:eastAsia="Calibri" w:hAnsi="Verdana" w:cs="Arial"/>
          <w:lang w:val="es-ES" w:eastAsia="es-ES"/>
        </w:rPr>
        <w:t xml:space="preserve"> </w:t>
      </w:r>
    </w:p>
    <w:p w14:paraId="4B476108" w14:textId="729AE35F" w:rsidR="00245123" w:rsidRPr="00245123" w:rsidRDefault="00C06E08" w:rsidP="00C06E08">
      <w:pPr>
        <w:spacing w:after="0" w:line="240" w:lineRule="auto"/>
        <w:jc w:val="both"/>
        <w:rPr>
          <w:rFonts w:ascii="Verdana" w:eastAsia="Calibri" w:hAnsi="Verdana" w:cs="Arial"/>
          <w:sz w:val="20"/>
          <w:szCs w:val="20"/>
          <w:lang w:val="es-ES_tradnl"/>
        </w:rPr>
      </w:pPr>
      <w:r w:rsidRPr="007306F6">
        <w:rPr>
          <w:rFonts w:ascii="Verdana" w:eastAsia="Century Gothic" w:hAnsi="Verdana" w:cs="Century Gothic"/>
          <w:sz w:val="20"/>
          <w:szCs w:val="20"/>
        </w:rPr>
        <w:t>[…]</w:t>
      </w:r>
      <w:r w:rsidRPr="00D33E27">
        <w:rPr>
          <w:rFonts w:ascii="Verdana" w:eastAsia="Century Gothic" w:hAnsi="Verdana" w:cs="Century Gothic"/>
          <w:sz w:val="20"/>
          <w:szCs w:val="20"/>
        </w:rPr>
        <w:t xml:space="preserve"> </w:t>
      </w:r>
      <w:r w:rsidR="00245123" w:rsidRPr="00245123">
        <w:rPr>
          <w:rFonts w:ascii="Verdana" w:eastAsia="Calibri" w:hAnsi="Verdana"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0C623C43" w14:textId="77777777" w:rsidR="00245123" w:rsidRPr="00245123" w:rsidRDefault="00245123" w:rsidP="00C06E08">
      <w:pPr>
        <w:spacing w:after="0" w:line="240" w:lineRule="auto"/>
        <w:jc w:val="both"/>
        <w:rPr>
          <w:rFonts w:ascii="Verdana" w:eastAsia="Calibri" w:hAnsi="Verdana" w:cs="Arial"/>
          <w:sz w:val="20"/>
          <w:szCs w:val="20"/>
          <w:lang w:val="es-ES_tradnl"/>
        </w:rPr>
      </w:pPr>
    </w:p>
    <w:p w14:paraId="02CE819F" w14:textId="2EE67F4C" w:rsidR="00245123" w:rsidRPr="00D33E27" w:rsidRDefault="00245123" w:rsidP="00C06E08">
      <w:pPr>
        <w:spacing w:after="0" w:line="240" w:lineRule="auto"/>
        <w:jc w:val="both"/>
        <w:rPr>
          <w:rFonts w:ascii="Verdana" w:eastAsia="Calibri" w:hAnsi="Verdana" w:cs="Arial"/>
          <w:sz w:val="20"/>
          <w:szCs w:val="20"/>
          <w:lang w:val="es-ES_tradnl"/>
        </w:rPr>
      </w:pPr>
      <w:r w:rsidRPr="00245123">
        <w:rPr>
          <w:rFonts w:ascii="Verdana" w:eastAsia="Calibri" w:hAnsi="Verdana" w:cs="Arial"/>
          <w:sz w:val="20"/>
          <w:szCs w:val="20"/>
          <w:lang w:val="es-ES_tradnl"/>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r w:rsidR="00C06E08" w:rsidRPr="00D33E27">
        <w:rPr>
          <w:rFonts w:ascii="Verdana" w:eastAsia="Calibri" w:hAnsi="Verdana" w:cs="Arial"/>
          <w:sz w:val="20"/>
          <w:szCs w:val="20"/>
          <w:lang w:val="es-ES_tradnl"/>
        </w:rPr>
        <w:t xml:space="preserve"> </w:t>
      </w:r>
      <w:r w:rsidR="00C06E08" w:rsidRPr="007306F6">
        <w:rPr>
          <w:rFonts w:ascii="Verdana" w:eastAsia="Century Gothic" w:hAnsi="Verdana" w:cs="Century Gothic"/>
          <w:sz w:val="20"/>
          <w:szCs w:val="20"/>
        </w:rPr>
        <w:t>[…]</w:t>
      </w:r>
    </w:p>
    <w:p w14:paraId="49F39EC9" w14:textId="77777777" w:rsidR="00245123" w:rsidRPr="00D33E27" w:rsidRDefault="00245123" w:rsidP="00C91E27">
      <w:pPr>
        <w:spacing w:after="0" w:line="240" w:lineRule="auto"/>
        <w:jc w:val="both"/>
        <w:rPr>
          <w:rFonts w:ascii="Verdana" w:eastAsia="Calibri" w:hAnsi="Verdana" w:cs="Arial"/>
          <w:sz w:val="20"/>
          <w:szCs w:val="20"/>
          <w:lang w:val="es-ES_tradnl"/>
        </w:rPr>
      </w:pPr>
    </w:p>
    <w:p w14:paraId="04F45A47" w14:textId="474F5819" w:rsidR="00C91E27" w:rsidRPr="00D33E27" w:rsidRDefault="00C91E27" w:rsidP="00C91E27">
      <w:pPr>
        <w:spacing w:after="0" w:line="240" w:lineRule="auto"/>
        <w:jc w:val="both"/>
        <w:rPr>
          <w:rFonts w:ascii="Verdana" w:eastAsia="Calibri" w:hAnsi="Verdana" w:cs="Arial"/>
          <w:sz w:val="20"/>
          <w:szCs w:val="20"/>
          <w:lang w:val="es-ES_tradnl"/>
        </w:rPr>
      </w:pPr>
      <w:r w:rsidRPr="00D33E27">
        <w:rPr>
          <w:rFonts w:ascii="Verdana" w:eastAsia="Calibri" w:hAnsi="Verdana" w:cs="Arial"/>
          <w:b/>
          <w:bCs/>
          <w:lang w:val="es-ES" w:eastAsia="es-ES"/>
        </w:rPr>
        <w:t>PARENTESCO – Clasificación – Consanguinidad – Afinidad – Grados</w:t>
      </w:r>
    </w:p>
    <w:p w14:paraId="513F78FD" w14:textId="77777777" w:rsidR="004F7BCB" w:rsidRPr="00D33E27" w:rsidRDefault="004F7BCB" w:rsidP="00E245AB">
      <w:pPr>
        <w:spacing w:after="0"/>
        <w:rPr>
          <w:rFonts w:ascii="Verdana" w:hAnsi="Verdana"/>
          <w:lang w:val="es-ES_tradnl"/>
        </w:rPr>
      </w:pPr>
    </w:p>
    <w:p w14:paraId="7AB07662" w14:textId="1C9D1F13" w:rsidR="00D920F7" w:rsidRPr="00D920F7" w:rsidRDefault="00C06E08" w:rsidP="00D920F7">
      <w:pPr>
        <w:spacing w:after="0" w:line="256" w:lineRule="auto"/>
        <w:jc w:val="both"/>
        <w:rPr>
          <w:rFonts w:ascii="Verdana" w:eastAsia="Calibri" w:hAnsi="Verdana" w:cs="Arial"/>
          <w:sz w:val="20"/>
          <w:szCs w:val="20"/>
          <w:lang w:val="es-ES_tradnl"/>
        </w:rPr>
      </w:pPr>
      <w:r w:rsidRPr="007306F6">
        <w:rPr>
          <w:rFonts w:ascii="Verdana" w:eastAsia="Century Gothic" w:hAnsi="Verdana" w:cs="Century Gothic"/>
          <w:sz w:val="20"/>
          <w:szCs w:val="20"/>
        </w:rPr>
        <w:t>[…]</w:t>
      </w:r>
      <w:r w:rsidRPr="00D33E27">
        <w:rPr>
          <w:rFonts w:ascii="Verdana" w:eastAsia="Century Gothic" w:hAnsi="Verdana" w:cs="Century Gothic"/>
          <w:sz w:val="20"/>
          <w:szCs w:val="20"/>
        </w:rPr>
        <w:t xml:space="preserve"> </w:t>
      </w:r>
      <w:r w:rsidR="00D920F7" w:rsidRPr="00D920F7">
        <w:rPr>
          <w:rFonts w:ascii="Verdana" w:eastAsia="Calibri" w:hAnsi="Verdana" w:cs="Arial"/>
          <w:sz w:val="20"/>
          <w:szCs w:val="20"/>
          <w:lang w:val="es-ES_tradnl"/>
        </w:rPr>
        <w:t xml:space="preserve">De otra parte y </w:t>
      </w:r>
      <w:r w:rsidRPr="00D33E27">
        <w:rPr>
          <w:rFonts w:ascii="Verdana" w:eastAsia="Calibri" w:hAnsi="Verdana" w:cs="Arial"/>
          <w:sz w:val="20"/>
          <w:szCs w:val="20"/>
          <w:lang w:val="es-ES_tradnl"/>
        </w:rPr>
        <w:t>con relación al</w:t>
      </w:r>
      <w:r w:rsidR="00D920F7" w:rsidRPr="00D920F7">
        <w:rPr>
          <w:rFonts w:ascii="Verdana" w:eastAsia="Calibri" w:hAnsi="Verdana" w:cs="Arial"/>
          <w:sz w:val="20"/>
          <w:szCs w:val="20"/>
          <w:lang w:val="es-ES_tradnl"/>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w:t>
      </w:r>
      <w:proofErr w:type="spellStart"/>
      <w:r w:rsidR="00D920F7" w:rsidRPr="00D920F7">
        <w:rPr>
          <w:rFonts w:ascii="Verdana" w:eastAsia="Calibri" w:hAnsi="Verdana" w:cs="Arial"/>
          <w:sz w:val="20"/>
          <w:szCs w:val="20"/>
          <w:lang w:val="es-ES_tradnl"/>
        </w:rPr>
        <w:t>inexequibilidad</w:t>
      </w:r>
      <w:proofErr w:type="spellEnd"/>
      <w:r w:rsidR="00D920F7" w:rsidRPr="00D920F7">
        <w:rPr>
          <w:rFonts w:ascii="Verdana" w:eastAsia="Calibri" w:hAnsi="Verdana" w:cs="Arial"/>
          <w:sz w:val="20"/>
          <w:szCs w:val="20"/>
          <w:lang w:val="es-ES_tradnl"/>
        </w:rPr>
        <w:t xml:space="preserve"> del parentesco de afinidad ilegítima, reconoció la vigencia de la denominada afinidad extramatrimonial.</w:t>
      </w:r>
    </w:p>
    <w:p w14:paraId="5EBA8243" w14:textId="77777777" w:rsidR="00D920F7" w:rsidRPr="00D920F7" w:rsidRDefault="00D920F7" w:rsidP="00D920F7">
      <w:pPr>
        <w:spacing w:after="0" w:line="256" w:lineRule="auto"/>
        <w:jc w:val="both"/>
        <w:rPr>
          <w:rFonts w:ascii="Verdana" w:eastAsia="Calibri" w:hAnsi="Verdana" w:cs="Arial"/>
          <w:sz w:val="20"/>
          <w:szCs w:val="20"/>
          <w:lang w:val="es-ES_tradnl"/>
        </w:rPr>
      </w:pPr>
    </w:p>
    <w:p w14:paraId="34243D80" w14:textId="5F12DFF7" w:rsidR="00D920F7" w:rsidRPr="00D920F7" w:rsidRDefault="00D920F7" w:rsidP="00D920F7">
      <w:pPr>
        <w:spacing w:after="0" w:line="256" w:lineRule="auto"/>
        <w:jc w:val="both"/>
        <w:rPr>
          <w:rFonts w:ascii="Verdana" w:eastAsia="Calibri" w:hAnsi="Verdana" w:cs="Arial"/>
          <w:sz w:val="20"/>
          <w:szCs w:val="20"/>
          <w:lang w:val="es-ES_tradnl"/>
        </w:rPr>
      </w:pPr>
      <w:r w:rsidRPr="00D920F7">
        <w:rPr>
          <w:rFonts w:ascii="Verdana" w:eastAsia="Calibri" w:hAnsi="Verdana" w:cs="Arial"/>
          <w:sz w:val="20"/>
          <w:szCs w:val="20"/>
          <w:lang w:val="es-ES_tradnl"/>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r w:rsidR="00C06E08" w:rsidRPr="00D33E27">
        <w:rPr>
          <w:rFonts w:ascii="Verdana" w:eastAsia="Calibri" w:hAnsi="Verdana" w:cs="Arial"/>
          <w:sz w:val="20"/>
          <w:szCs w:val="20"/>
          <w:lang w:val="es-ES_tradnl"/>
        </w:rPr>
        <w:t xml:space="preserve"> </w:t>
      </w:r>
      <w:r w:rsidR="00C06E08" w:rsidRPr="007306F6">
        <w:rPr>
          <w:rFonts w:ascii="Verdana" w:eastAsia="Century Gothic" w:hAnsi="Verdana" w:cs="Century Gothic"/>
          <w:sz w:val="20"/>
          <w:szCs w:val="20"/>
        </w:rPr>
        <w:t>[…]</w:t>
      </w:r>
    </w:p>
    <w:p w14:paraId="081101AC" w14:textId="77777777" w:rsidR="00D920F7" w:rsidRPr="00D33E27" w:rsidRDefault="00D920F7" w:rsidP="00E245AB">
      <w:pPr>
        <w:spacing w:after="0"/>
        <w:rPr>
          <w:rFonts w:ascii="Verdana" w:hAnsi="Verdana"/>
          <w:lang w:val="es-ES_tradnl"/>
        </w:rPr>
      </w:pPr>
    </w:p>
    <w:p w14:paraId="7A061F16" w14:textId="77777777" w:rsidR="003C6F5B" w:rsidRPr="00D33E27" w:rsidRDefault="003C6F5B" w:rsidP="00E245AB">
      <w:pPr>
        <w:spacing w:after="0"/>
        <w:rPr>
          <w:rFonts w:ascii="Verdana" w:hAnsi="Verdana"/>
          <w:lang w:val="es-ES_tradnl"/>
        </w:rPr>
      </w:pPr>
    </w:p>
    <w:p w14:paraId="4EE26F88" w14:textId="77777777" w:rsidR="003C6F5B" w:rsidRPr="00D33E27" w:rsidRDefault="003C6F5B" w:rsidP="00E245AB">
      <w:pPr>
        <w:spacing w:after="0"/>
        <w:rPr>
          <w:rFonts w:ascii="Verdana" w:hAnsi="Verdana"/>
          <w:lang w:val="es-ES_tradnl"/>
        </w:rPr>
      </w:pPr>
    </w:p>
    <w:p w14:paraId="505687B0" w14:textId="77777777" w:rsidR="003C6F5B" w:rsidRPr="00D33E27" w:rsidRDefault="003C6F5B" w:rsidP="00E245AB">
      <w:pPr>
        <w:spacing w:after="0"/>
        <w:rPr>
          <w:rFonts w:ascii="Verdana" w:hAnsi="Verdana"/>
          <w:lang w:val="es-ES_tradnl"/>
        </w:rPr>
      </w:pPr>
    </w:p>
    <w:p w14:paraId="7CAE931B" w14:textId="77777777" w:rsidR="003C6F5B" w:rsidRPr="00D33E27" w:rsidRDefault="003C6F5B" w:rsidP="00E245AB">
      <w:pPr>
        <w:spacing w:after="0"/>
        <w:rPr>
          <w:rFonts w:ascii="Verdana" w:hAnsi="Verdana"/>
          <w:lang w:val="es-ES_tradnl"/>
        </w:rPr>
      </w:pPr>
    </w:p>
    <w:p w14:paraId="6904556C" w14:textId="77777777" w:rsidR="003C6F5B" w:rsidRPr="00D33E27" w:rsidRDefault="003C6F5B" w:rsidP="00E245AB">
      <w:pPr>
        <w:spacing w:after="0"/>
        <w:rPr>
          <w:rFonts w:ascii="Verdana" w:hAnsi="Verdana"/>
          <w:lang w:val="es-ES_tradnl"/>
        </w:rPr>
      </w:pPr>
    </w:p>
    <w:p w14:paraId="5AE5155A" w14:textId="77777777" w:rsidR="003C6F5B" w:rsidRPr="00D33E27" w:rsidRDefault="003C6F5B" w:rsidP="00E245AB">
      <w:pPr>
        <w:spacing w:after="0"/>
        <w:rPr>
          <w:rFonts w:ascii="Verdana" w:hAnsi="Verdana"/>
          <w:lang w:val="es-ES_tradnl"/>
        </w:rPr>
      </w:pPr>
    </w:p>
    <w:p w14:paraId="06846C8E" w14:textId="77777777" w:rsidR="003C6F5B" w:rsidRPr="00D33E27" w:rsidRDefault="003C6F5B" w:rsidP="00E245AB">
      <w:pPr>
        <w:spacing w:after="0"/>
        <w:rPr>
          <w:rFonts w:ascii="Verdana" w:hAnsi="Verdana"/>
          <w:lang w:val="es-ES_tradnl"/>
        </w:rPr>
      </w:pPr>
    </w:p>
    <w:p w14:paraId="79DF35A4" w14:textId="77777777" w:rsidR="003C6F5B" w:rsidRPr="00D33E27" w:rsidRDefault="003C6F5B" w:rsidP="00E245AB">
      <w:pPr>
        <w:spacing w:after="0"/>
        <w:rPr>
          <w:rFonts w:ascii="Verdana" w:hAnsi="Verdana"/>
          <w:lang w:val="es-ES_tradnl"/>
        </w:rPr>
      </w:pPr>
    </w:p>
    <w:p w14:paraId="0207F980" w14:textId="77777777" w:rsidR="00DE7042" w:rsidRPr="00D33E27" w:rsidRDefault="00DE7042" w:rsidP="00E245AB">
      <w:pPr>
        <w:spacing w:after="0"/>
        <w:rPr>
          <w:rFonts w:ascii="Verdana" w:hAnsi="Verdana"/>
        </w:rPr>
      </w:pPr>
    </w:p>
    <w:p w14:paraId="37FF821A" w14:textId="77777777" w:rsidR="00C91E27" w:rsidRPr="00D33E27" w:rsidRDefault="00C91E27" w:rsidP="00E245AB">
      <w:pPr>
        <w:spacing w:after="0"/>
        <w:rPr>
          <w:rFonts w:ascii="Verdana" w:hAnsi="Verdana"/>
        </w:rPr>
      </w:pPr>
    </w:p>
    <w:p w14:paraId="04E1D9E9" w14:textId="77777777" w:rsidR="00C91E27" w:rsidRPr="00D33E27" w:rsidRDefault="00C91E27" w:rsidP="00E245AB">
      <w:pPr>
        <w:spacing w:after="0"/>
        <w:rPr>
          <w:rFonts w:ascii="Verdana" w:hAnsi="Verdana"/>
        </w:rPr>
      </w:pPr>
    </w:p>
    <w:p w14:paraId="3FE2184B" w14:textId="602EF7B6" w:rsidR="00E245AB" w:rsidRPr="00D33E27" w:rsidRDefault="00E245AB" w:rsidP="00E245AB">
      <w:pPr>
        <w:spacing w:after="0"/>
        <w:rPr>
          <w:rFonts w:ascii="Verdana" w:hAnsi="Verdana"/>
        </w:rPr>
      </w:pPr>
      <w:r w:rsidRPr="00D33E27">
        <w:rPr>
          <w:rFonts w:ascii="Verdana" w:hAnsi="Verdana"/>
        </w:rPr>
        <w:t xml:space="preserve">Bogotá D.C., </w:t>
      </w:r>
      <w:r w:rsidR="00622621" w:rsidRPr="00D33E27">
        <w:rPr>
          <w:rFonts w:ascii="Verdana" w:hAnsi="Verdana"/>
        </w:rPr>
        <w:t>17 de septiembre del 2024</w:t>
      </w:r>
    </w:p>
    <w:p w14:paraId="5FCADBF9" w14:textId="77777777" w:rsidR="00E245AB" w:rsidRPr="00D33E27" w:rsidRDefault="00E245AB" w:rsidP="00E245AB">
      <w:pPr>
        <w:spacing w:after="0"/>
        <w:rPr>
          <w:rFonts w:ascii="Verdana" w:hAnsi="Verdana"/>
        </w:rPr>
      </w:pPr>
    </w:p>
    <w:p w14:paraId="7C8E19D6" w14:textId="77777777" w:rsidR="00DD1CB0" w:rsidRPr="00D33E27" w:rsidRDefault="00DD1CB0" w:rsidP="00DD1CB0">
      <w:pPr>
        <w:spacing w:after="0"/>
        <w:jc w:val="right"/>
        <w:rPr>
          <w:rFonts w:ascii="Verdana" w:hAnsi="Verdana"/>
        </w:rPr>
      </w:pPr>
      <w:r w:rsidRPr="00D33E27">
        <w:rPr>
          <w:rFonts w:ascii="Verdana" w:hAnsi="Verdana"/>
        </w:rPr>
        <w:drawing>
          <wp:inline distT="0" distB="0" distL="0" distR="0" wp14:anchorId="3F2698CC" wp14:editId="0EF39865">
            <wp:extent cx="2828925" cy="984250"/>
            <wp:effectExtent l="0" t="0" r="9525" b="6350"/>
            <wp:docPr id="612454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4492" name=""/>
                    <pic:cNvPicPr/>
                  </pic:nvPicPr>
                  <pic:blipFill>
                    <a:blip r:embed="rId11"/>
                    <a:stretch>
                      <a:fillRect/>
                    </a:stretch>
                  </pic:blipFill>
                  <pic:spPr>
                    <a:xfrm>
                      <a:off x="0" y="0"/>
                      <a:ext cx="2828925" cy="984250"/>
                    </a:xfrm>
                    <a:prstGeom prst="rect">
                      <a:avLst/>
                    </a:prstGeom>
                  </pic:spPr>
                </pic:pic>
              </a:graphicData>
            </a:graphic>
          </wp:inline>
        </w:drawing>
      </w:r>
      <w:bookmarkEnd w:id="0"/>
    </w:p>
    <w:p w14:paraId="495B13C5" w14:textId="728213D6" w:rsidR="004F7BCB" w:rsidRPr="00D33E27" w:rsidRDefault="004F7BCB" w:rsidP="00DD1CB0">
      <w:pPr>
        <w:spacing w:after="0"/>
        <w:rPr>
          <w:rFonts w:ascii="Verdana" w:hAnsi="Verdana"/>
        </w:rPr>
      </w:pPr>
      <w:r w:rsidRPr="00D33E27">
        <w:rPr>
          <w:rFonts w:ascii="Verdana" w:eastAsia="Calibri" w:hAnsi="Verdana" w:cs="Arial"/>
          <w:lang w:val="es-ES" w:eastAsia="es-ES"/>
        </w:rPr>
        <w:t>Señor(a)</w:t>
      </w:r>
    </w:p>
    <w:p w14:paraId="46124236" w14:textId="7EA2AFFA" w:rsidR="004F7BCB" w:rsidRPr="00D33E27" w:rsidRDefault="002050D8" w:rsidP="004F7BCB">
      <w:pPr>
        <w:spacing w:after="0" w:line="240" w:lineRule="auto"/>
        <w:rPr>
          <w:rFonts w:ascii="Verdana" w:eastAsia="Calibri" w:hAnsi="Verdana" w:cs="Arial"/>
          <w:b/>
          <w:lang w:val="es-ES_tradnl" w:eastAsia="es-ES_tradnl"/>
        </w:rPr>
      </w:pPr>
      <w:r w:rsidRPr="00D33E27">
        <w:rPr>
          <w:rFonts w:ascii="Verdana" w:eastAsia="Calibri" w:hAnsi="Verdana" w:cs="Arial"/>
          <w:b/>
          <w:lang w:val="es-ES_tradnl" w:eastAsia="es-ES_tradnl"/>
        </w:rPr>
        <w:t xml:space="preserve">Anónimo </w:t>
      </w:r>
    </w:p>
    <w:p w14:paraId="4582DCB2" w14:textId="38426937" w:rsidR="004F7BCB" w:rsidRPr="00D33E27" w:rsidRDefault="000A127A" w:rsidP="004F7BCB">
      <w:pPr>
        <w:spacing w:after="0" w:line="240" w:lineRule="auto"/>
        <w:rPr>
          <w:rFonts w:ascii="Verdana" w:hAnsi="Verdana"/>
        </w:rPr>
      </w:pPr>
      <w:hyperlink r:id="rId12" w:history="1">
        <w:r w:rsidR="00C71F07" w:rsidRPr="00D33E27">
          <w:rPr>
            <w:rStyle w:val="Hipervnculo"/>
            <w:rFonts w:ascii="Verdana" w:hAnsi="Verdana"/>
          </w:rPr>
          <w:t>castanedanidya8@gmail.com</w:t>
        </w:r>
      </w:hyperlink>
      <w:r w:rsidR="00C71F07" w:rsidRPr="00D33E27">
        <w:rPr>
          <w:rFonts w:ascii="Verdana" w:hAnsi="Verdana"/>
        </w:rPr>
        <w:t xml:space="preserve"> </w:t>
      </w:r>
    </w:p>
    <w:p w14:paraId="485972A7" w14:textId="77777777" w:rsidR="004F7BCB" w:rsidRPr="00D33E27" w:rsidRDefault="004F7BCB" w:rsidP="004F7BCB">
      <w:pPr>
        <w:spacing w:after="0" w:line="240" w:lineRule="auto"/>
        <w:rPr>
          <w:rFonts w:ascii="Verdana" w:eastAsia="Calibri" w:hAnsi="Verdana" w:cs="Arial"/>
          <w:b/>
          <w:bCs/>
          <w:lang w:val="es-ES" w:eastAsia="es-ES"/>
        </w:rPr>
      </w:pPr>
      <w:r w:rsidRPr="00D33E27">
        <w:rPr>
          <w:rFonts w:ascii="Verdana" w:eastAsia="Calibri" w:hAnsi="Verdana" w:cs="Arial"/>
          <w:lang w:val="es-ES" w:eastAsia="es-ES"/>
        </w:rPr>
        <w:t>Bogotá D.C.</w:t>
      </w:r>
    </w:p>
    <w:p w14:paraId="2A905047" w14:textId="77777777" w:rsidR="004F7BCB" w:rsidRPr="00D33E27" w:rsidRDefault="004F7BCB" w:rsidP="004F7BCB">
      <w:pPr>
        <w:spacing w:after="0" w:line="240" w:lineRule="auto"/>
        <w:rPr>
          <w:rFonts w:ascii="Verdana" w:eastAsia="Calibri" w:hAnsi="Verdana" w:cs="Arial"/>
          <w:b/>
          <w:bCs/>
          <w:lang w:val="es-ES_tradnl" w:eastAsia="es-ES_tradnl"/>
        </w:rPr>
      </w:pPr>
    </w:p>
    <w:p w14:paraId="7D6484F0" w14:textId="77777777" w:rsidR="004F7BCB" w:rsidRPr="00D33E27" w:rsidRDefault="004F7BCB" w:rsidP="004F7BCB">
      <w:pPr>
        <w:spacing w:after="0" w:line="240" w:lineRule="auto"/>
        <w:rPr>
          <w:rFonts w:ascii="Verdana" w:eastAsia="Calibri" w:hAnsi="Verdana" w:cs="Arial"/>
          <w:b/>
          <w:bCs/>
          <w:highlight w:val="cyan"/>
          <w:lang w:val="es-ES_tradnl" w:eastAsia="es-ES_tradnl"/>
        </w:rPr>
      </w:pPr>
    </w:p>
    <w:p w14:paraId="144CE087" w14:textId="77777777" w:rsidR="004F7BCB" w:rsidRPr="00D33E27" w:rsidRDefault="004F7BCB" w:rsidP="004F7BCB">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F7BCB" w:rsidRPr="00D33E27" w14:paraId="05535AF0" w14:textId="77777777" w:rsidTr="00657F1C">
        <w:trPr>
          <w:trHeight w:val="884"/>
        </w:trPr>
        <w:tc>
          <w:tcPr>
            <w:tcW w:w="2689" w:type="dxa"/>
          </w:tcPr>
          <w:p w14:paraId="644E5FE6" w14:textId="77777777" w:rsidR="004F7BCB" w:rsidRPr="00D33E27" w:rsidRDefault="004F7BCB" w:rsidP="00657F1C">
            <w:pPr>
              <w:jc w:val="both"/>
              <w:rPr>
                <w:rFonts w:ascii="Verdana" w:eastAsia="Calibri" w:hAnsi="Verdana" w:cs="Arial"/>
                <w:b/>
                <w:bCs/>
                <w:highlight w:val="cyan"/>
                <w:lang w:val="es-ES_tradnl" w:eastAsia="es-ES_tradnl"/>
              </w:rPr>
            </w:pPr>
          </w:p>
        </w:tc>
        <w:tc>
          <w:tcPr>
            <w:tcW w:w="6100" w:type="dxa"/>
          </w:tcPr>
          <w:p w14:paraId="2DC1F7FC" w14:textId="798C151F" w:rsidR="004F7BCB" w:rsidRPr="00D33E27" w:rsidRDefault="004F7BCB" w:rsidP="00657F1C">
            <w:pPr>
              <w:jc w:val="both"/>
              <w:rPr>
                <w:rFonts w:ascii="Verdana" w:eastAsia="Calibri" w:hAnsi="Verdana" w:cs="Arial"/>
                <w:b/>
                <w:bCs/>
                <w:lang w:val="es-ES" w:eastAsia="es-ES"/>
              </w:rPr>
            </w:pPr>
            <w:r w:rsidRPr="00D33E27">
              <w:rPr>
                <w:rFonts w:ascii="Verdana" w:eastAsia="Calibri" w:hAnsi="Verdana" w:cs="Arial"/>
                <w:b/>
                <w:bCs/>
                <w:lang w:val="es-ES" w:eastAsia="es-ES"/>
              </w:rPr>
              <w:t xml:space="preserve">Concepto </w:t>
            </w:r>
            <w:r w:rsidRPr="00D33E27">
              <w:rPr>
                <w:rFonts w:ascii="Verdana" w:eastAsia="Calibri" w:hAnsi="Verdana" w:cs="Arial"/>
                <w:b/>
                <w:bCs/>
                <w:lang w:eastAsia="es-ES"/>
              </w:rPr>
              <w:t>C-</w:t>
            </w:r>
            <w:r w:rsidR="00AF43E3" w:rsidRPr="00D33E27">
              <w:rPr>
                <w:rFonts w:ascii="Verdana" w:eastAsia="Calibri" w:hAnsi="Verdana" w:cs="Arial"/>
                <w:b/>
                <w:bCs/>
                <w:lang w:eastAsia="es-ES"/>
              </w:rPr>
              <w:t>437</w:t>
            </w:r>
            <w:r w:rsidRPr="00D33E27">
              <w:rPr>
                <w:rFonts w:ascii="Verdana" w:eastAsia="Calibri" w:hAnsi="Verdana" w:cs="Arial"/>
                <w:b/>
                <w:bCs/>
                <w:lang w:eastAsia="es-ES"/>
              </w:rPr>
              <w:t xml:space="preserve"> </w:t>
            </w:r>
            <w:r w:rsidRPr="00D33E27">
              <w:rPr>
                <w:rFonts w:ascii="Verdana" w:eastAsia="Calibri" w:hAnsi="Verdana" w:cs="Arial"/>
                <w:b/>
                <w:bCs/>
                <w:lang w:val="es-ES" w:eastAsia="es-ES"/>
              </w:rPr>
              <w:t>de 2024</w:t>
            </w:r>
          </w:p>
        </w:tc>
      </w:tr>
      <w:tr w:rsidR="004F7BCB" w:rsidRPr="00D33E27" w14:paraId="692BE711" w14:textId="77777777" w:rsidTr="00657F1C">
        <w:trPr>
          <w:trHeight w:val="884"/>
        </w:trPr>
        <w:tc>
          <w:tcPr>
            <w:tcW w:w="2689" w:type="dxa"/>
            <w:shd w:val="clear" w:color="auto" w:fill="auto"/>
          </w:tcPr>
          <w:p w14:paraId="69D45B3D" w14:textId="77777777" w:rsidR="004F7BCB" w:rsidRPr="00D33E27" w:rsidRDefault="004F7BCB" w:rsidP="00657F1C">
            <w:pPr>
              <w:jc w:val="both"/>
              <w:rPr>
                <w:rFonts w:ascii="Verdana" w:eastAsia="Calibri" w:hAnsi="Verdana" w:cs="Arial"/>
                <w:b/>
                <w:lang w:val="es-ES_tradnl" w:eastAsia="es-ES_tradnl"/>
              </w:rPr>
            </w:pPr>
            <w:r w:rsidRPr="00D33E27">
              <w:rPr>
                <w:rFonts w:ascii="Verdana" w:eastAsia="Calibri" w:hAnsi="Verdana" w:cs="Arial"/>
                <w:b/>
                <w:lang w:val="es-ES_tradnl" w:eastAsia="es-ES_tradnl"/>
              </w:rPr>
              <w:t xml:space="preserve">Temas:                   </w:t>
            </w:r>
          </w:p>
        </w:tc>
        <w:tc>
          <w:tcPr>
            <w:tcW w:w="6100" w:type="dxa"/>
          </w:tcPr>
          <w:p w14:paraId="792F871D" w14:textId="2EEB25E8" w:rsidR="004F7BCB" w:rsidRPr="00D33E27" w:rsidRDefault="00157419" w:rsidP="00657F1C">
            <w:pPr>
              <w:spacing w:line="276" w:lineRule="auto"/>
              <w:jc w:val="both"/>
              <w:rPr>
                <w:rFonts w:ascii="Verdana" w:eastAsia="Calibri" w:hAnsi="Verdana" w:cs="Arial"/>
                <w:lang w:val="es-ES_tradnl" w:eastAsia="es-ES"/>
              </w:rPr>
            </w:pPr>
            <w:r w:rsidRPr="00D33E27">
              <w:rPr>
                <w:rFonts w:ascii="Verdana" w:eastAsia="Calibri" w:hAnsi="Verdana" w:cs="Arial"/>
                <w:lang w:val="es-ES" w:eastAsia="es-ES"/>
              </w:rPr>
              <w:t xml:space="preserve">CONVOCATORIAS LIMITADAS A MIPYME </w:t>
            </w:r>
            <w:r w:rsidR="009E24EF" w:rsidRPr="00D33E27">
              <w:rPr>
                <w:rFonts w:ascii="Verdana" w:eastAsia="Calibri" w:hAnsi="Verdana" w:cs="Arial"/>
                <w:lang w:val="es-ES" w:eastAsia="es-ES"/>
              </w:rPr>
              <w:t>–</w:t>
            </w:r>
            <w:r w:rsidRPr="00D33E27">
              <w:rPr>
                <w:rFonts w:ascii="Verdana" w:eastAsia="Calibri" w:hAnsi="Verdana" w:cs="Arial"/>
                <w:lang w:val="es-ES" w:eastAsia="es-ES"/>
              </w:rPr>
              <w:t xml:space="preserve"> Limitación territorial - Decreto 1860 de 2021 </w:t>
            </w:r>
            <w:r w:rsidR="003005D1" w:rsidRPr="00D33E27">
              <w:rPr>
                <w:rFonts w:ascii="Verdana" w:eastAsia="Calibri" w:hAnsi="Verdana" w:cs="Arial"/>
                <w:lang w:val="es-ES" w:eastAsia="es-ES"/>
              </w:rPr>
              <w:t>/</w:t>
            </w:r>
            <w:r w:rsidR="009E24EF" w:rsidRPr="00D33E27">
              <w:rPr>
                <w:rFonts w:ascii="Verdana" w:eastAsia="Calibri" w:hAnsi="Verdana" w:cs="Arial"/>
                <w:lang w:val="es-ES" w:eastAsia="es-ES"/>
              </w:rPr>
              <w:t xml:space="preserve"> </w:t>
            </w:r>
            <w:r w:rsidR="00907F75" w:rsidRPr="00D33E27">
              <w:rPr>
                <w:rFonts w:ascii="Verdana" w:eastAsia="Calibri" w:hAnsi="Verdana" w:cs="Arial"/>
                <w:lang w:val="es-ES" w:eastAsia="es-ES"/>
              </w:rPr>
              <w:t>INHABILIDADES – Definición – Finalidad – Limitación capacidad contractual / INHABILIDADES – Relación de parentesco – Vínculo natural – Personas naturales / PARENTESCO – Clasificación – Consanguinidad – Afinidad – Grados</w:t>
            </w:r>
          </w:p>
          <w:p w14:paraId="7B96F46D" w14:textId="1899E1D8" w:rsidR="009E24EF" w:rsidRPr="00D33E27" w:rsidRDefault="009E24EF" w:rsidP="00657F1C">
            <w:pPr>
              <w:spacing w:line="276" w:lineRule="auto"/>
              <w:jc w:val="both"/>
              <w:rPr>
                <w:rFonts w:ascii="Verdana" w:eastAsia="Calibri" w:hAnsi="Verdana" w:cs="Arial"/>
                <w:highlight w:val="cyan"/>
                <w:lang w:val="es-ES" w:eastAsia="es-ES"/>
              </w:rPr>
            </w:pPr>
          </w:p>
        </w:tc>
      </w:tr>
      <w:tr w:rsidR="004F7BCB" w:rsidRPr="00D33E27" w14:paraId="74E85BCD" w14:textId="77777777" w:rsidTr="00657F1C">
        <w:tc>
          <w:tcPr>
            <w:tcW w:w="2689" w:type="dxa"/>
          </w:tcPr>
          <w:p w14:paraId="544C5F8D" w14:textId="77777777" w:rsidR="004F7BCB" w:rsidRPr="00D33E27" w:rsidRDefault="004F7BCB" w:rsidP="00657F1C">
            <w:pPr>
              <w:jc w:val="both"/>
              <w:rPr>
                <w:rFonts w:ascii="Verdana" w:eastAsia="Calibri" w:hAnsi="Verdana" w:cs="Arial"/>
                <w:b/>
                <w:lang w:val="es-ES_tradnl" w:eastAsia="es-ES_tradnl"/>
              </w:rPr>
            </w:pPr>
            <w:r w:rsidRPr="00D33E27">
              <w:rPr>
                <w:rFonts w:ascii="Verdana" w:eastAsia="Calibri" w:hAnsi="Verdana" w:cs="Arial"/>
                <w:b/>
                <w:lang w:val="es-ES_tradnl" w:eastAsia="es-ES_tradnl"/>
              </w:rPr>
              <w:t>Radicación:</w:t>
            </w:r>
            <w:r w:rsidRPr="00D33E27">
              <w:rPr>
                <w:rFonts w:ascii="Verdana" w:eastAsia="Calibri" w:hAnsi="Verdana" w:cs="Arial"/>
                <w:lang w:val="es-ES_tradnl" w:eastAsia="es-ES_tradnl"/>
              </w:rPr>
              <w:t xml:space="preserve">               </w:t>
            </w:r>
          </w:p>
        </w:tc>
        <w:tc>
          <w:tcPr>
            <w:tcW w:w="6100" w:type="dxa"/>
          </w:tcPr>
          <w:p w14:paraId="10FA7F0A" w14:textId="6D4E9AEA" w:rsidR="004F7BCB" w:rsidRPr="00D33E27" w:rsidRDefault="004F7BCB" w:rsidP="00657F1C">
            <w:pPr>
              <w:jc w:val="both"/>
              <w:rPr>
                <w:rFonts w:ascii="Verdana" w:eastAsia="Calibri" w:hAnsi="Verdana" w:cs="Arial"/>
                <w:lang w:val="es-ES_tradnl" w:eastAsia="es-ES_tradnl"/>
              </w:rPr>
            </w:pPr>
            <w:r w:rsidRPr="00D33E27">
              <w:rPr>
                <w:rFonts w:ascii="Verdana" w:eastAsia="Calibri" w:hAnsi="Verdana" w:cs="Arial"/>
                <w:lang w:val="es-ES_tradnl" w:eastAsia="es-ES_tradnl"/>
              </w:rPr>
              <w:t xml:space="preserve">Respuesta a consulta con radicado No. </w:t>
            </w:r>
            <w:r w:rsidR="00376580" w:rsidRPr="00D33E27">
              <w:rPr>
                <w:rFonts w:ascii="Verdana" w:eastAsia="Calibri" w:hAnsi="Verdana" w:cs="Arial"/>
                <w:lang w:eastAsia="es-ES_tradnl"/>
              </w:rPr>
              <w:t xml:space="preserve">P20240802007968 </w:t>
            </w:r>
          </w:p>
        </w:tc>
      </w:tr>
    </w:tbl>
    <w:p w14:paraId="1116B805" w14:textId="77777777" w:rsidR="004F7BCB" w:rsidRPr="00D33E27" w:rsidRDefault="004F7BCB" w:rsidP="004F7BCB">
      <w:pPr>
        <w:spacing w:after="0" w:line="240" w:lineRule="auto"/>
        <w:jc w:val="both"/>
        <w:rPr>
          <w:rFonts w:ascii="Verdana" w:eastAsia="Calibri" w:hAnsi="Verdana" w:cs="Arial"/>
          <w:highlight w:val="cyan"/>
          <w:lang w:val="es-ES_tradnl" w:eastAsia="es-ES_tradnl"/>
        </w:rPr>
      </w:pPr>
    </w:p>
    <w:p w14:paraId="2F9E44B3" w14:textId="77777777" w:rsidR="004F7BCB" w:rsidRPr="00D33E27" w:rsidRDefault="004F7BCB" w:rsidP="004F7BCB">
      <w:pPr>
        <w:spacing w:after="0" w:line="240" w:lineRule="auto"/>
        <w:jc w:val="both"/>
        <w:rPr>
          <w:rFonts w:ascii="Verdana" w:eastAsia="Calibri" w:hAnsi="Verdana" w:cs="Arial"/>
          <w:highlight w:val="cyan"/>
          <w:lang w:val="es-ES_tradnl" w:eastAsia="es-ES_tradnl"/>
        </w:rPr>
      </w:pPr>
    </w:p>
    <w:p w14:paraId="65BE594C" w14:textId="3DD949CF" w:rsidR="004F7BCB" w:rsidRPr="00D33E27" w:rsidRDefault="004F7BCB" w:rsidP="004F7BCB">
      <w:pPr>
        <w:spacing w:after="0" w:line="276" w:lineRule="auto"/>
        <w:jc w:val="both"/>
        <w:rPr>
          <w:rFonts w:ascii="Verdana" w:eastAsia="Calibri" w:hAnsi="Verdana" w:cs="Arial"/>
          <w:lang w:val="es-ES" w:eastAsia="es-ES"/>
        </w:rPr>
      </w:pPr>
      <w:r w:rsidRPr="00D33E27">
        <w:rPr>
          <w:rFonts w:ascii="Verdana" w:eastAsia="Calibri" w:hAnsi="Verdana" w:cs="Arial"/>
          <w:lang w:val="es-ES" w:eastAsia="es-ES"/>
        </w:rPr>
        <w:t>Estimad</w:t>
      </w:r>
      <w:r w:rsidR="002050D8" w:rsidRPr="00D33E27">
        <w:rPr>
          <w:rFonts w:ascii="Verdana" w:eastAsia="Calibri" w:hAnsi="Verdana" w:cs="Arial"/>
          <w:lang w:val="es-ES" w:eastAsia="es-ES"/>
        </w:rPr>
        <w:t>o solicitante;</w:t>
      </w:r>
    </w:p>
    <w:p w14:paraId="5274A362" w14:textId="77777777" w:rsidR="004F7BCB" w:rsidRPr="00D33E27" w:rsidRDefault="004F7BCB" w:rsidP="004F7BCB">
      <w:pPr>
        <w:tabs>
          <w:tab w:val="left" w:pos="3768"/>
        </w:tabs>
        <w:spacing w:after="0" w:line="276" w:lineRule="auto"/>
        <w:jc w:val="both"/>
        <w:rPr>
          <w:rFonts w:ascii="Verdana" w:eastAsia="Calibri" w:hAnsi="Verdana" w:cs="Arial"/>
          <w:lang w:val="es-ES" w:eastAsia="es-ES"/>
        </w:rPr>
      </w:pPr>
      <w:r w:rsidRPr="00D33E27">
        <w:rPr>
          <w:rFonts w:ascii="Verdana" w:eastAsia="Calibri" w:hAnsi="Verdana" w:cs="Arial"/>
          <w:lang w:val="es-ES" w:eastAsia="es-ES"/>
        </w:rPr>
        <w:tab/>
      </w:r>
    </w:p>
    <w:p w14:paraId="17ADC701" w14:textId="58B861AC" w:rsidR="00336D44" w:rsidRPr="00D33E27" w:rsidRDefault="004F7BCB" w:rsidP="00336D44">
      <w:pPr>
        <w:spacing w:after="0" w:line="276" w:lineRule="auto"/>
        <w:jc w:val="both"/>
        <w:rPr>
          <w:rFonts w:ascii="Verdana" w:eastAsia="Calibri" w:hAnsi="Verdana" w:cs="Arial"/>
          <w:lang w:val="es-ES" w:eastAsia="es-ES"/>
        </w:rPr>
      </w:pPr>
      <w:r w:rsidRPr="00D33E27">
        <w:rPr>
          <w:rFonts w:ascii="Verdana" w:eastAsia="Calibri" w:hAnsi="Verdana" w:cs="Arial"/>
          <w:lang w:val="es-ES" w:eastAsia="es-ES"/>
        </w:rPr>
        <w:t>En ejercicio de la competencia otorgada por los artículos 3, numeral 5º, y 11, numeral 8º, del Decreto Ley 4170 de 2011,</w:t>
      </w:r>
      <w:r w:rsidRPr="00D33E27">
        <w:rPr>
          <w:rFonts w:ascii="Verdana" w:eastAsia="Arial MT" w:hAnsi="Verdana" w:cs="Arial MT"/>
          <w:lang w:val="es-ES" w:eastAsia="es-ES"/>
        </w:rPr>
        <w:t xml:space="preserve"> </w:t>
      </w:r>
      <w:r w:rsidRPr="00D33E27">
        <w:rPr>
          <w:rFonts w:ascii="Verdana" w:hAnsi="Verdana" w:cs="Arial"/>
        </w:rPr>
        <w:t xml:space="preserve">así como lo establecido en el artículo 4 de la Resolución 1707 de 2018 expedida por esta Entidad, </w:t>
      </w:r>
      <w:r w:rsidRPr="00D33E27">
        <w:rPr>
          <w:rFonts w:ascii="Verdana" w:eastAsia="Calibri" w:hAnsi="Verdana" w:cs="Arial"/>
          <w:lang w:val="es-ES" w:eastAsia="es-ES"/>
        </w:rPr>
        <w:t xml:space="preserve">la Agencia Nacional de Contratación Pública – Colombia Compra Eficiente– responde su solicitud de consulta de fecha </w:t>
      </w:r>
      <w:r w:rsidR="00FC1C99" w:rsidRPr="00D33E27">
        <w:rPr>
          <w:rFonts w:ascii="Verdana" w:eastAsia="Calibri" w:hAnsi="Verdana" w:cs="Arial"/>
          <w:lang w:val="es-ES" w:eastAsia="es-ES"/>
        </w:rPr>
        <w:t>02 de agosto del 2024</w:t>
      </w:r>
      <w:r w:rsidRPr="00D33E27">
        <w:rPr>
          <w:rFonts w:ascii="Verdana" w:eastAsia="Calibri" w:hAnsi="Verdana" w:cs="Arial"/>
          <w:lang w:val="es-ES" w:eastAsia="es-ES"/>
        </w:rPr>
        <w:t xml:space="preserve">, en la cual manifiesta lo siguiente: </w:t>
      </w:r>
    </w:p>
    <w:p w14:paraId="5F6A1AF9" w14:textId="77777777" w:rsidR="00336D44" w:rsidRPr="00D33E27" w:rsidRDefault="00336D44" w:rsidP="00336D44">
      <w:pPr>
        <w:spacing w:after="0" w:line="276" w:lineRule="auto"/>
        <w:jc w:val="both"/>
        <w:rPr>
          <w:rFonts w:ascii="Verdana" w:eastAsia="Calibri" w:hAnsi="Verdana" w:cs="Arial"/>
          <w:lang w:val="es-ES" w:eastAsia="es-ES"/>
        </w:rPr>
      </w:pPr>
    </w:p>
    <w:p w14:paraId="490608E3" w14:textId="77777777" w:rsidR="00336D44" w:rsidRPr="00D33E27" w:rsidRDefault="006613BE" w:rsidP="006613BE">
      <w:pPr>
        <w:spacing w:after="0" w:line="240" w:lineRule="auto"/>
        <w:ind w:left="709" w:right="709"/>
        <w:jc w:val="both"/>
        <w:rPr>
          <w:rFonts w:ascii="Verdana" w:eastAsia="Century Gothic" w:hAnsi="Verdana" w:cs="Century Gothic"/>
          <w:sz w:val="20"/>
          <w:szCs w:val="20"/>
          <w:lang w:val="es-ES"/>
        </w:rPr>
      </w:pPr>
      <w:bookmarkStart w:id="1" w:name="_Hlk95313578"/>
      <w:r w:rsidRPr="00D33E27">
        <w:rPr>
          <w:rFonts w:ascii="Verdana" w:eastAsia="Century Gothic" w:hAnsi="Verdana" w:cs="Century Gothic"/>
          <w:sz w:val="20"/>
          <w:szCs w:val="20"/>
          <w:lang w:val="es-ES"/>
        </w:rPr>
        <w:t xml:space="preserve">“[…] </w:t>
      </w:r>
      <w:proofErr w:type="gramStart"/>
      <w:r w:rsidR="00336D44" w:rsidRPr="00D33E27">
        <w:rPr>
          <w:rFonts w:ascii="Verdana" w:eastAsia="Century Gothic" w:hAnsi="Verdana" w:cs="Century Gothic"/>
          <w:sz w:val="20"/>
          <w:szCs w:val="20"/>
          <w:lang w:val="es-ES"/>
        </w:rPr>
        <w:t xml:space="preserve">En los procesos de limitación a MiPymes Municipal, pueden 2 hermanos solicitar dicha limitación, </w:t>
      </w:r>
      <w:proofErr w:type="spellStart"/>
      <w:r w:rsidR="00336D44" w:rsidRPr="00D33E27">
        <w:rPr>
          <w:rFonts w:ascii="Verdana" w:eastAsia="Century Gothic" w:hAnsi="Verdana" w:cs="Century Gothic"/>
          <w:sz w:val="20"/>
          <w:szCs w:val="20"/>
          <w:lang w:val="es-ES"/>
        </w:rPr>
        <w:t>aún</w:t>
      </w:r>
      <w:proofErr w:type="spellEnd"/>
      <w:r w:rsidR="00336D44" w:rsidRPr="00D33E27">
        <w:rPr>
          <w:rFonts w:ascii="Verdana" w:eastAsia="Century Gothic" w:hAnsi="Verdana" w:cs="Century Gothic"/>
          <w:sz w:val="20"/>
          <w:szCs w:val="20"/>
          <w:lang w:val="es-ES"/>
        </w:rPr>
        <w:t xml:space="preserve"> cuando existan otras empresas </w:t>
      </w:r>
      <w:r w:rsidR="00336D44" w:rsidRPr="00D33E27">
        <w:rPr>
          <w:rFonts w:ascii="Verdana" w:eastAsia="Century Gothic" w:hAnsi="Verdana" w:cs="Century Gothic"/>
          <w:sz w:val="20"/>
          <w:szCs w:val="20"/>
          <w:lang w:val="es-ES"/>
        </w:rPr>
        <w:lastRenderedPageBreak/>
        <w:t>que cumplen con esta condición, o se estaría incurriendo en una inhabilidad, en el entendido que lo que buscan es favorecerse del proceso?</w:t>
      </w:r>
      <w:proofErr w:type="gramEnd"/>
    </w:p>
    <w:p w14:paraId="3272E8E7" w14:textId="77777777" w:rsidR="00336D44" w:rsidRPr="00D33E27" w:rsidRDefault="00336D44" w:rsidP="006613BE">
      <w:pPr>
        <w:spacing w:after="0" w:line="240" w:lineRule="auto"/>
        <w:ind w:left="709" w:right="709"/>
        <w:jc w:val="both"/>
        <w:rPr>
          <w:rFonts w:ascii="Verdana" w:eastAsia="Century Gothic" w:hAnsi="Verdana" w:cs="Century Gothic"/>
          <w:sz w:val="20"/>
          <w:szCs w:val="20"/>
          <w:lang w:val="es-ES"/>
        </w:rPr>
      </w:pPr>
    </w:p>
    <w:p w14:paraId="6B61DC1C" w14:textId="3EE7F70E" w:rsidR="006613BE" w:rsidRPr="00D33E27" w:rsidRDefault="00336D44" w:rsidP="00A12E09">
      <w:pPr>
        <w:spacing w:after="0" w:line="240" w:lineRule="auto"/>
        <w:ind w:left="709" w:right="709"/>
        <w:jc w:val="both"/>
        <w:rPr>
          <w:rFonts w:ascii="Verdana" w:eastAsia="Century Gothic" w:hAnsi="Verdana" w:cs="Century Gothic"/>
          <w:sz w:val="20"/>
          <w:szCs w:val="20"/>
          <w:lang w:val="es-ES"/>
        </w:rPr>
      </w:pPr>
      <w:r w:rsidRPr="00D33E27">
        <w:rPr>
          <w:rFonts w:ascii="Verdana" w:eastAsia="Century Gothic" w:hAnsi="Verdana" w:cs="Century Gothic"/>
          <w:sz w:val="20"/>
          <w:szCs w:val="20"/>
          <w:lang w:val="es-ES"/>
        </w:rPr>
        <w:t xml:space="preserve">En que falta estaría incurriendo </w:t>
      </w:r>
      <w:r w:rsidR="00A12E09" w:rsidRPr="00D33E27">
        <w:rPr>
          <w:rFonts w:ascii="Verdana" w:eastAsia="Century Gothic" w:hAnsi="Verdana" w:cs="Century Gothic"/>
          <w:sz w:val="20"/>
          <w:szCs w:val="20"/>
          <w:lang w:val="es-ES"/>
        </w:rPr>
        <w:t xml:space="preserve">la Entidad que conoce dicha condición del grado de consanguinidad y decide omitirla, con la excusa que no son competencia para decidir sobre el mismo, </w:t>
      </w:r>
      <w:proofErr w:type="spellStart"/>
      <w:r w:rsidR="00A12E09" w:rsidRPr="00D33E27">
        <w:rPr>
          <w:rFonts w:ascii="Verdana" w:eastAsia="Century Gothic" w:hAnsi="Verdana" w:cs="Century Gothic"/>
          <w:sz w:val="20"/>
          <w:szCs w:val="20"/>
          <w:lang w:val="es-ES"/>
        </w:rPr>
        <w:t>aún</w:t>
      </w:r>
      <w:proofErr w:type="spellEnd"/>
      <w:r w:rsidR="00A12E09" w:rsidRPr="00D33E27">
        <w:rPr>
          <w:rFonts w:ascii="Verdana" w:eastAsia="Century Gothic" w:hAnsi="Verdana" w:cs="Century Gothic"/>
          <w:sz w:val="20"/>
          <w:szCs w:val="20"/>
          <w:lang w:val="es-ES"/>
        </w:rPr>
        <w:t xml:space="preserve"> conociendo la familiaridad de los solicitantes</w:t>
      </w:r>
      <w:r w:rsidR="00A12E09" w:rsidRPr="00D33E27">
        <w:rPr>
          <w:rStyle w:val="normaltextrun"/>
          <w:rFonts w:ascii="Verdana" w:hAnsi="Verdana" w:cs="Arial"/>
          <w:sz w:val="20"/>
          <w:szCs w:val="20"/>
          <w:shd w:val="clear" w:color="auto" w:fill="FFFFFF"/>
          <w:lang w:val="es-ES"/>
        </w:rPr>
        <w:t xml:space="preserve"> </w:t>
      </w:r>
      <w:r w:rsidR="006613BE" w:rsidRPr="00D33E27">
        <w:rPr>
          <w:rStyle w:val="normaltextrun"/>
          <w:rFonts w:ascii="Verdana" w:hAnsi="Verdana" w:cs="Arial"/>
          <w:sz w:val="20"/>
          <w:szCs w:val="20"/>
          <w:shd w:val="clear" w:color="auto" w:fill="FFFFFF"/>
          <w:lang w:val="es-ES"/>
        </w:rPr>
        <w:t>[…]</w:t>
      </w:r>
      <w:r w:rsidR="006613BE" w:rsidRPr="00D33E27">
        <w:rPr>
          <w:rFonts w:ascii="Verdana" w:eastAsia="Century Gothic" w:hAnsi="Verdana" w:cs="Century Gothic"/>
          <w:sz w:val="20"/>
          <w:szCs w:val="20"/>
          <w:lang w:val="es-ES"/>
        </w:rPr>
        <w:t>”</w:t>
      </w:r>
      <w:bookmarkEnd w:id="1"/>
      <w:r w:rsidR="006613BE" w:rsidRPr="00D33E27">
        <w:rPr>
          <w:rFonts w:ascii="Verdana" w:eastAsia="Century Gothic" w:hAnsi="Verdana" w:cs="Century Gothic"/>
          <w:sz w:val="20"/>
          <w:szCs w:val="20"/>
          <w:lang w:val="es-ES"/>
        </w:rPr>
        <w:t>.</w:t>
      </w:r>
    </w:p>
    <w:p w14:paraId="1D4140DB" w14:textId="51C765D1" w:rsidR="006613BE" w:rsidRPr="00D33E27" w:rsidRDefault="006613BE" w:rsidP="00665D70">
      <w:pPr>
        <w:spacing w:after="0"/>
        <w:jc w:val="both"/>
        <w:rPr>
          <w:rFonts w:ascii="Verdana" w:hAnsi="Verdana"/>
          <w:lang w:val="es-ES"/>
        </w:rPr>
      </w:pPr>
    </w:p>
    <w:p w14:paraId="39550CEE" w14:textId="77777777" w:rsidR="00657F1C" w:rsidRPr="00D33E27" w:rsidRDefault="00657F1C" w:rsidP="00657F1C">
      <w:pPr>
        <w:spacing w:after="120" w:line="276" w:lineRule="auto"/>
        <w:ind w:firstLine="709"/>
        <w:jc w:val="both"/>
        <w:rPr>
          <w:rFonts w:ascii="Verdana" w:eastAsia="Calibri" w:hAnsi="Verdana" w:cs="Arial"/>
          <w:color w:val="000000"/>
          <w:lang w:val="es-ES_tradnl" w:eastAsia="es-ES_tradnl"/>
        </w:rPr>
      </w:pPr>
      <w:r w:rsidRPr="00D33E27">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EDDD12B" w14:textId="181EEE59" w:rsidR="00657F1C" w:rsidRPr="00D33E27" w:rsidRDefault="00657F1C" w:rsidP="00657F1C">
      <w:pPr>
        <w:spacing w:after="0" w:line="276" w:lineRule="auto"/>
        <w:ind w:firstLine="709"/>
        <w:jc w:val="both"/>
        <w:rPr>
          <w:rFonts w:ascii="Verdana" w:eastAsia="Calibri" w:hAnsi="Verdana" w:cs="Arial"/>
          <w:color w:val="000000"/>
          <w:lang w:val="es-ES" w:eastAsia="es-ES"/>
        </w:rPr>
      </w:pPr>
      <w:r w:rsidRPr="00D33E2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w:t>
      </w:r>
      <w:r w:rsidR="004D741F" w:rsidRPr="00D33E27">
        <w:rPr>
          <w:rFonts w:ascii="Verdana" w:eastAsia="Calibri" w:hAnsi="Verdana" w:cs="Arial"/>
          <w:color w:val="000000"/>
          <w:lang w:val="es-ES" w:eastAsia="es-ES"/>
        </w:rPr>
        <w:t xml:space="preserve"> el problema jurídico</w:t>
      </w:r>
      <w:r w:rsidRPr="00D33E27">
        <w:rPr>
          <w:rFonts w:ascii="Verdana" w:eastAsia="Calibri" w:hAnsi="Verdana" w:cs="Arial"/>
          <w:color w:val="000000"/>
          <w:lang w:val="es-ES" w:eastAsia="es-ES"/>
        </w:rPr>
        <w:t xml:space="preserve"> de su consulta.  </w:t>
      </w:r>
    </w:p>
    <w:p w14:paraId="6EAE15C4" w14:textId="77777777" w:rsidR="00657F1C" w:rsidRPr="00D33E27" w:rsidRDefault="00657F1C" w:rsidP="00657F1C">
      <w:pPr>
        <w:spacing w:after="0"/>
        <w:jc w:val="both"/>
        <w:rPr>
          <w:rFonts w:ascii="Verdana" w:hAnsi="Verdana"/>
          <w:lang w:val="es-ES"/>
        </w:rPr>
      </w:pPr>
    </w:p>
    <w:p w14:paraId="2785F46B" w14:textId="77777777" w:rsidR="00657F1C" w:rsidRPr="00D33E27" w:rsidRDefault="00657F1C" w:rsidP="00657F1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3E27">
        <w:rPr>
          <w:rFonts w:ascii="Verdana" w:eastAsia="Century Gothic" w:hAnsi="Verdana" w:cs="Century Gothic"/>
          <w:b/>
          <w:bCs/>
        </w:rPr>
        <w:t>Problema planteado:</w:t>
      </w:r>
    </w:p>
    <w:p w14:paraId="58FE7C38" w14:textId="77777777" w:rsidR="00657F1C" w:rsidRPr="00D33E27" w:rsidRDefault="00657F1C" w:rsidP="00657F1C">
      <w:pPr>
        <w:tabs>
          <w:tab w:val="left" w:pos="426"/>
        </w:tabs>
        <w:spacing w:after="0" w:line="276" w:lineRule="auto"/>
        <w:jc w:val="both"/>
        <w:rPr>
          <w:rFonts w:ascii="Verdana" w:eastAsia="Century Gothic" w:hAnsi="Verdana" w:cs="Century Gothic"/>
          <w:lang w:val="es-ES"/>
        </w:rPr>
      </w:pPr>
    </w:p>
    <w:p w14:paraId="279E1AD9" w14:textId="04EDAD80" w:rsidR="00AB2C05" w:rsidRPr="00D33E27" w:rsidRDefault="00657F1C" w:rsidP="00657F1C">
      <w:pPr>
        <w:spacing w:after="0" w:line="276" w:lineRule="auto"/>
        <w:jc w:val="both"/>
        <w:rPr>
          <w:rFonts w:ascii="Verdana" w:eastAsia="Century Gothic" w:hAnsi="Verdana" w:cs="Century Gothic"/>
        </w:rPr>
      </w:pPr>
      <w:r w:rsidRPr="00D33E27">
        <w:rPr>
          <w:rFonts w:ascii="Verdana" w:eastAsia="Century Gothic" w:hAnsi="Verdana" w:cs="Century Gothic"/>
        </w:rPr>
        <w:t xml:space="preserve">De acuerdo con el contenido de su solicitud, esta Agencia resolverá </w:t>
      </w:r>
      <w:r w:rsidR="004D741F" w:rsidRPr="00D33E27">
        <w:rPr>
          <w:rFonts w:ascii="Verdana" w:eastAsia="Century Gothic" w:hAnsi="Verdana" w:cs="Century Gothic"/>
        </w:rPr>
        <w:t xml:space="preserve">el siguiente problema </w:t>
      </w:r>
      <w:r w:rsidR="00AB2C05" w:rsidRPr="00D33E27">
        <w:rPr>
          <w:rFonts w:ascii="Verdana" w:eastAsia="Century Gothic" w:hAnsi="Verdana" w:cs="Century Gothic"/>
        </w:rPr>
        <w:t>jurídico</w:t>
      </w:r>
      <w:r w:rsidRPr="00D33E27">
        <w:rPr>
          <w:rFonts w:ascii="Verdana" w:eastAsia="Century Gothic" w:hAnsi="Verdana" w:cs="Century Gothic"/>
        </w:rPr>
        <w:t xml:space="preserve">: </w:t>
      </w:r>
      <w:r w:rsidR="00154860" w:rsidRPr="00D33E27">
        <w:rPr>
          <w:rFonts w:ascii="Verdana" w:eastAsia="Century Gothic" w:hAnsi="Verdana" w:cs="Century Gothic"/>
        </w:rPr>
        <w:t xml:space="preserve">i) </w:t>
      </w:r>
      <w:r w:rsidR="00E76866" w:rsidRPr="00D33E27">
        <w:rPr>
          <w:rFonts w:ascii="Verdana" w:eastAsia="Century Gothic" w:hAnsi="Verdana" w:cs="Century Gothic"/>
        </w:rPr>
        <w:t>¿</w:t>
      </w:r>
      <w:r w:rsidR="00C85EA5" w:rsidRPr="00D33E27">
        <w:rPr>
          <w:rFonts w:ascii="Verdana" w:eastAsia="Century Gothic" w:hAnsi="Verdana" w:cs="Century Gothic"/>
        </w:rPr>
        <w:t xml:space="preserve">Pueden dos (2) hermanos solicitar </w:t>
      </w:r>
      <w:r w:rsidR="00BE3ECB" w:rsidRPr="00D33E27">
        <w:rPr>
          <w:rFonts w:ascii="Verdana" w:eastAsia="Century Gothic" w:hAnsi="Verdana" w:cs="Century Gothic"/>
        </w:rPr>
        <w:t>la limitación de una convocatoria a MiPymes a nivel territorial?</w:t>
      </w:r>
    </w:p>
    <w:p w14:paraId="242D55AA" w14:textId="77777777" w:rsidR="00CC57E6" w:rsidRPr="00D33E27" w:rsidRDefault="00CC57E6" w:rsidP="00CC57E6">
      <w:pPr>
        <w:spacing w:after="0"/>
        <w:jc w:val="both"/>
        <w:rPr>
          <w:rFonts w:ascii="Verdana" w:hAnsi="Verdana"/>
          <w:lang w:val="es-ES"/>
        </w:rPr>
      </w:pPr>
    </w:p>
    <w:p w14:paraId="7A3C1E57" w14:textId="77777777" w:rsidR="00CC57E6" w:rsidRPr="00D33E27" w:rsidRDefault="00CC57E6" w:rsidP="00CC5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3E27">
        <w:rPr>
          <w:rFonts w:ascii="Verdana" w:eastAsia="Century Gothic" w:hAnsi="Verdana" w:cs="Century Gothic"/>
          <w:b/>
          <w:bCs/>
        </w:rPr>
        <w:t>Respuesta:</w:t>
      </w:r>
    </w:p>
    <w:p w14:paraId="6F64E9A9" w14:textId="77777777" w:rsidR="00CC57E6" w:rsidRPr="00D33E27" w:rsidRDefault="00CC57E6" w:rsidP="00CC57E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C57E6" w:rsidRPr="00D33E27" w14:paraId="49A61D88" w14:textId="77777777" w:rsidTr="008C67F2">
        <w:trPr>
          <w:trHeight w:val="629"/>
        </w:trPr>
        <w:tc>
          <w:tcPr>
            <w:tcW w:w="8828" w:type="dxa"/>
            <w:shd w:val="clear" w:color="auto" w:fill="auto"/>
          </w:tcPr>
          <w:p w14:paraId="19F43BC8" w14:textId="7F83B077" w:rsidR="00374405" w:rsidRPr="00D33E27" w:rsidRDefault="0020556A" w:rsidP="00702748">
            <w:pPr>
              <w:pBdr>
                <w:top w:val="nil"/>
                <w:left w:val="nil"/>
                <w:bottom w:val="nil"/>
                <w:right w:val="nil"/>
                <w:between w:val="nil"/>
              </w:pBdr>
              <w:spacing w:after="120" w:line="276" w:lineRule="auto"/>
              <w:jc w:val="both"/>
              <w:rPr>
                <w:rFonts w:ascii="Verdana" w:eastAsia="Arial" w:hAnsi="Verdana" w:cs="Arial"/>
                <w:color w:val="000000"/>
              </w:rPr>
            </w:pPr>
            <w:r w:rsidRPr="00D33E27">
              <w:rPr>
                <w:rFonts w:ascii="Verdana" w:eastAsia="Arial" w:hAnsi="Verdana" w:cs="Arial"/>
                <w:color w:val="000000"/>
                <w:lang w:val="es-ES"/>
              </w:rPr>
              <w:t xml:space="preserve">Conforme lo establecido </w:t>
            </w:r>
            <w:r w:rsidR="00313EDE" w:rsidRPr="00D33E27">
              <w:rPr>
                <w:rFonts w:ascii="Verdana" w:eastAsia="Arial" w:hAnsi="Verdana" w:cs="Arial"/>
                <w:color w:val="000000"/>
                <w:lang w:val="es-ES"/>
              </w:rPr>
              <w:t xml:space="preserve">en los artículos </w:t>
            </w:r>
            <w:r w:rsidR="00313EDE" w:rsidRPr="00D33E27">
              <w:rPr>
                <w:rFonts w:ascii="Verdana" w:eastAsia="Arial" w:hAnsi="Verdana" w:cs="Arial"/>
                <w:color w:val="000000"/>
              </w:rPr>
              <w:t>12 de la Ley 1150 de 2007 y</w:t>
            </w:r>
            <w:r w:rsidR="0037777A" w:rsidRPr="00D33E27">
              <w:rPr>
                <w:rFonts w:ascii="Verdana" w:eastAsia="Arial" w:hAnsi="Verdana" w:cs="Arial"/>
                <w:color w:val="000000"/>
              </w:rPr>
              <w:t xml:space="preserve"> </w:t>
            </w:r>
            <w:r w:rsidR="00313EDE" w:rsidRPr="00D33E27">
              <w:rPr>
                <w:rFonts w:ascii="Verdana" w:eastAsia="Arial" w:hAnsi="Verdana" w:cs="Arial"/>
                <w:color w:val="000000"/>
              </w:rPr>
              <w:t>2.2.1.2.4.2.2 del Decreto 1082 de 2015</w:t>
            </w:r>
            <w:r w:rsidR="006F67A2" w:rsidRPr="00D33E27">
              <w:rPr>
                <w:rFonts w:ascii="Verdana" w:eastAsia="Arial" w:hAnsi="Verdana" w:cs="Arial"/>
                <w:color w:val="000000"/>
              </w:rPr>
              <w:t xml:space="preserve">, </w:t>
            </w:r>
            <w:r w:rsidR="00313EDE" w:rsidRPr="00D33E27">
              <w:rPr>
                <w:rFonts w:ascii="Verdana" w:eastAsia="Arial" w:hAnsi="Verdana" w:cs="Arial"/>
                <w:color w:val="000000"/>
              </w:rPr>
              <w:t xml:space="preserve">modificado por el Decreto 1860 de 2021, es jurídicamente viable que dos hermanos soliciten </w:t>
            </w:r>
            <w:r w:rsidR="00F64A7C" w:rsidRPr="00D33E27">
              <w:rPr>
                <w:rFonts w:ascii="Verdana" w:eastAsia="Arial" w:hAnsi="Verdana" w:cs="Arial"/>
                <w:color w:val="000000"/>
              </w:rPr>
              <w:t xml:space="preserve">limitar </w:t>
            </w:r>
            <w:r w:rsidR="005279B1" w:rsidRPr="00D33E27">
              <w:rPr>
                <w:rFonts w:ascii="Verdana" w:eastAsia="Arial" w:hAnsi="Verdana" w:cs="Arial"/>
                <w:color w:val="000000"/>
              </w:rPr>
              <w:t>una</w:t>
            </w:r>
            <w:r w:rsidR="00F64A7C" w:rsidRPr="00D33E27">
              <w:rPr>
                <w:rFonts w:ascii="Verdana" w:eastAsia="Arial" w:hAnsi="Verdana" w:cs="Arial"/>
                <w:color w:val="000000"/>
              </w:rPr>
              <w:t xml:space="preserve"> convocatoria</w:t>
            </w:r>
            <w:r w:rsidR="005279B1" w:rsidRPr="00D33E27">
              <w:rPr>
                <w:rFonts w:ascii="Verdana" w:eastAsia="Arial" w:hAnsi="Verdana" w:cs="Arial"/>
                <w:color w:val="000000"/>
              </w:rPr>
              <w:t xml:space="preserve"> </w:t>
            </w:r>
            <w:r w:rsidR="00F64A7C" w:rsidRPr="00D33E27">
              <w:rPr>
                <w:rFonts w:ascii="Verdana" w:eastAsia="Arial" w:hAnsi="Verdana" w:cs="Arial"/>
                <w:color w:val="000000"/>
              </w:rPr>
              <w:t>a MiPymes</w:t>
            </w:r>
            <w:r w:rsidR="005279B1" w:rsidRPr="00D33E27">
              <w:rPr>
                <w:rFonts w:ascii="Verdana" w:eastAsia="Arial" w:hAnsi="Verdana" w:cs="Arial"/>
                <w:color w:val="000000"/>
              </w:rPr>
              <w:t xml:space="preserve"> a nivel territorial. </w:t>
            </w:r>
            <w:r w:rsidR="00863311" w:rsidRPr="00D33E27">
              <w:rPr>
                <w:rFonts w:ascii="Verdana" w:eastAsia="Arial" w:hAnsi="Verdana" w:cs="Arial"/>
                <w:color w:val="000000"/>
              </w:rPr>
              <w:t>No obstante</w:t>
            </w:r>
            <w:r w:rsidR="008562B2" w:rsidRPr="00D33E27">
              <w:rPr>
                <w:rFonts w:ascii="Verdana" w:eastAsia="Arial" w:hAnsi="Verdana" w:cs="Arial"/>
                <w:color w:val="000000"/>
              </w:rPr>
              <w:t>,</w:t>
            </w:r>
            <w:r w:rsidR="00863311" w:rsidRPr="00D33E27">
              <w:rPr>
                <w:rFonts w:ascii="Verdana" w:eastAsia="Arial" w:hAnsi="Verdana" w:cs="Arial"/>
                <w:color w:val="000000"/>
              </w:rPr>
              <w:t xml:space="preserve"> </w:t>
            </w:r>
            <w:r w:rsidR="008562B2" w:rsidRPr="00D33E27">
              <w:rPr>
                <w:rFonts w:ascii="Verdana" w:eastAsia="Arial" w:hAnsi="Verdana" w:cs="Arial"/>
                <w:color w:val="000000"/>
              </w:rPr>
              <w:t xml:space="preserve">la decisión de limitar o no territorialmente </w:t>
            </w:r>
            <w:r w:rsidR="00E30EC9" w:rsidRPr="00D33E27">
              <w:rPr>
                <w:rFonts w:ascii="Verdana" w:eastAsia="Arial" w:hAnsi="Verdana" w:cs="Arial"/>
                <w:color w:val="000000"/>
              </w:rPr>
              <w:t>la</w:t>
            </w:r>
            <w:r w:rsidR="008562B2" w:rsidRPr="00D33E27">
              <w:rPr>
                <w:rFonts w:ascii="Verdana" w:eastAsia="Arial" w:hAnsi="Verdana" w:cs="Arial"/>
                <w:color w:val="000000"/>
              </w:rPr>
              <w:t xml:space="preserve"> convocatoria </w:t>
            </w:r>
            <w:r w:rsidR="00C85ADF" w:rsidRPr="00D33E27">
              <w:rPr>
                <w:rFonts w:ascii="Verdana" w:eastAsia="Arial" w:hAnsi="Verdana" w:cs="Arial"/>
                <w:color w:val="000000"/>
              </w:rPr>
              <w:t xml:space="preserve">corresponderá a </w:t>
            </w:r>
            <w:r w:rsidR="00E07EB1" w:rsidRPr="00D33E27">
              <w:rPr>
                <w:rFonts w:ascii="Verdana" w:eastAsia="Arial" w:hAnsi="Verdana" w:cs="Arial"/>
                <w:color w:val="000000"/>
              </w:rPr>
              <w:t xml:space="preserve">la Entidad contratante, </w:t>
            </w:r>
            <w:r w:rsidR="00E07EB1" w:rsidRPr="00D33E27">
              <w:rPr>
                <w:rFonts w:ascii="Verdana" w:eastAsia="Arial" w:hAnsi="Verdana" w:cs="Arial"/>
                <w:color w:val="000000"/>
              </w:rPr>
              <w:lastRenderedPageBreak/>
              <w:t xml:space="preserve">esto en el entendido que se trata de una facultad discrecional, </w:t>
            </w:r>
            <w:r w:rsidR="000F6BB5" w:rsidRPr="00D33E27">
              <w:rPr>
                <w:rFonts w:ascii="Verdana" w:eastAsia="Arial" w:hAnsi="Verdana" w:cs="Arial"/>
                <w:color w:val="000000"/>
              </w:rPr>
              <w:t xml:space="preserve">y esta última será la encargada </w:t>
            </w:r>
            <w:r w:rsidR="00ED00B7" w:rsidRPr="00D33E27">
              <w:rPr>
                <w:rFonts w:ascii="Verdana" w:eastAsia="Arial" w:hAnsi="Verdana" w:cs="Arial"/>
                <w:color w:val="000000"/>
              </w:rPr>
              <w:t xml:space="preserve">de </w:t>
            </w:r>
            <w:r w:rsidR="000F6BB5" w:rsidRPr="00D33E27">
              <w:rPr>
                <w:rFonts w:ascii="Verdana" w:eastAsia="Arial" w:hAnsi="Verdana" w:cs="Arial"/>
                <w:color w:val="000000"/>
              </w:rPr>
              <w:t>valorar si es oportuno y conveniente adoptarla</w:t>
            </w:r>
            <w:r w:rsidR="009E72E5" w:rsidRPr="00D33E27">
              <w:rPr>
                <w:rFonts w:ascii="Verdana" w:eastAsia="Arial" w:hAnsi="Verdana" w:cs="Arial"/>
                <w:color w:val="000000"/>
              </w:rPr>
              <w:t xml:space="preserve">. </w:t>
            </w:r>
            <w:r w:rsidR="007906A0" w:rsidRPr="00D33E27">
              <w:rPr>
                <w:rFonts w:ascii="Verdana" w:eastAsia="Arial" w:hAnsi="Verdana" w:cs="Arial"/>
                <w:color w:val="000000"/>
              </w:rPr>
              <w:t xml:space="preserve">Sin perjuicio de lo anterior, </w:t>
            </w:r>
            <w:r w:rsidR="008F355A" w:rsidRPr="00D33E27">
              <w:rPr>
                <w:rFonts w:ascii="Verdana" w:eastAsia="Arial" w:hAnsi="Verdana" w:cs="Arial"/>
                <w:color w:val="000000"/>
              </w:rPr>
              <w:t xml:space="preserve">resulta </w:t>
            </w:r>
            <w:r w:rsidR="004B70F1" w:rsidRPr="00D33E27">
              <w:rPr>
                <w:rFonts w:ascii="Verdana" w:eastAsia="Arial" w:hAnsi="Verdana" w:cs="Arial"/>
                <w:color w:val="000000"/>
              </w:rPr>
              <w:t>necesario</w:t>
            </w:r>
            <w:r w:rsidR="008F355A" w:rsidRPr="00D33E27">
              <w:rPr>
                <w:rFonts w:ascii="Verdana" w:eastAsia="Arial" w:hAnsi="Verdana" w:cs="Arial"/>
                <w:color w:val="000000"/>
              </w:rPr>
              <w:t xml:space="preserve"> </w:t>
            </w:r>
            <w:r w:rsidR="004B70F1" w:rsidRPr="00D33E27">
              <w:rPr>
                <w:rFonts w:ascii="Verdana" w:eastAsia="Arial" w:hAnsi="Verdana" w:cs="Arial"/>
                <w:color w:val="000000"/>
              </w:rPr>
              <w:t>señalar</w:t>
            </w:r>
            <w:r w:rsidR="008F355A" w:rsidRPr="00D33E27">
              <w:rPr>
                <w:rFonts w:ascii="Verdana" w:eastAsia="Arial" w:hAnsi="Verdana" w:cs="Arial"/>
                <w:color w:val="000000"/>
              </w:rPr>
              <w:t xml:space="preserve"> </w:t>
            </w:r>
            <w:r w:rsidR="00702748" w:rsidRPr="00D33E27">
              <w:rPr>
                <w:rFonts w:ascii="Verdana" w:eastAsia="Arial" w:hAnsi="Verdana" w:cs="Arial"/>
                <w:color w:val="000000"/>
              </w:rPr>
              <w:t xml:space="preserve">que si bien la solicitud de limitación podrá </w:t>
            </w:r>
            <w:r w:rsidR="0043280F" w:rsidRPr="00D33E27">
              <w:rPr>
                <w:rFonts w:ascii="Verdana" w:eastAsia="Arial" w:hAnsi="Verdana" w:cs="Arial"/>
                <w:color w:val="000000"/>
              </w:rPr>
              <w:t>efectuarse</w:t>
            </w:r>
            <w:r w:rsidR="00A25852" w:rsidRPr="00D33E27">
              <w:rPr>
                <w:rFonts w:ascii="Verdana" w:eastAsia="Arial" w:hAnsi="Verdana" w:cs="Arial"/>
                <w:color w:val="000000"/>
              </w:rPr>
              <w:t xml:space="preserve"> por</w:t>
            </w:r>
            <w:r w:rsidR="00702748" w:rsidRPr="00D33E27">
              <w:rPr>
                <w:rFonts w:ascii="Verdana" w:eastAsia="Arial" w:hAnsi="Verdana" w:cs="Arial"/>
                <w:color w:val="000000"/>
              </w:rPr>
              <w:t xml:space="preserve"> dos (2) hermanos, lo cierto es que las propuestas </w:t>
            </w:r>
            <w:r w:rsidR="00596973" w:rsidRPr="00D33E27">
              <w:rPr>
                <w:rFonts w:ascii="Verdana" w:eastAsia="Arial" w:hAnsi="Verdana" w:cs="Arial"/>
                <w:color w:val="000000"/>
              </w:rPr>
              <w:t xml:space="preserve">que sean presentadas </w:t>
            </w:r>
            <w:r w:rsidR="00FB647F" w:rsidRPr="00D33E27">
              <w:rPr>
                <w:rFonts w:ascii="Verdana" w:eastAsia="Arial" w:hAnsi="Verdana" w:cs="Arial"/>
                <w:color w:val="000000"/>
              </w:rPr>
              <w:t xml:space="preserve">dentro del proceso deben estar exentas de </w:t>
            </w:r>
            <w:r w:rsidR="0070178E" w:rsidRPr="00D33E27">
              <w:rPr>
                <w:rFonts w:ascii="Verdana" w:eastAsia="Arial" w:hAnsi="Verdana" w:cs="Arial"/>
                <w:color w:val="000000"/>
              </w:rPr>
              <w:t>generarse</w:t>
            </w:r>
            <w:r w:rsidR="00FB647F" w:rsidRPr="00D33E27">
              <w:rPr>
                <w:rFonts w:ascii="Verdana" w:eastAsia="Arial" w:hAnsi="Verdana" w:cs="Arial"/>
                <w:color w:val="000000"/>
              </w:rPr>
              <w:t xml:space="preserve"> alguna de las causales del </w:t>
            </w:r>
            <w:r w:rsidR="00FB647F" w:rsidRPr="00D33E27">
              <w:rPr>
                <w:rFonts w:ascii="Verdana" w:eastAsia="Calibri" w:hAnsi="Verdana" w:cs="Arial"/>
              </w:rPr>
              <w:t>régimen de inhabilidades e incompatibilidades</w:t>
            </w:r>
            <w:r w:rsidR="0043280F" w:rsidRPr="00D33E27">
              <w:rPr>
                <w:rFonts w:ascii="Verdana" w:eastAsia="Calibri" w:hAnsi="Verdana" w:cs="Arial"/>
              </w:rPr>
              <w:t xml:space="preserve">, que para el caso de </w:t>
            </w:r>
            <w:r w:rsidR="00E512F8" w:rsidRPr="00D33E27">
              <w:rPr>
                <w:rFonts w:ascii="Verdana" w:eastAsia="Calibri" w:hAnsi="Verdana" w:cs="Arial"/>
              </w:rPr>
              <w:t xml:space="preserve">consanguinidad, el </w:t>
            </w:r>
            <w:r w:rsidR="00E512F8" w:rsidRPr="00D33E27">
              <w:rPr>
                <w:rFonts w:ascii="Verdana" w:eastAsia="Calibri" w:hAnsi="Verdana" w:cs="Arial"/>
                <w:bCs/>
              </w:rPr>
              <w:t xml:space="preserve">literal g) del numeral 1 del artículo 8 de la Ley 80 de 1993, es claro en establecer que no podrán </w:t>
            </w:r>
            <w:r w:rsidR="00956A67" w:rsidRPr="00D33E27">
              <w:rPr>
                <w:rFonts w:ascii="Verdana" w:eastAsia="Calibri" w:hAnsi="Verdana" w:cs="Arial"/>
                <w:bCs/>
              </w:rPr>
              <w:t>celebrar contratos estatales</w:t>
            </w:r>
            <w:r w:rsidR="007726E0" w:rsidRPr="00D33E27">
              <w:rPr>
                <w:rFonts w:ascii="Verdana" w:eastAsia="Calibri" w:hAnsi="Verdana" w:cs="Arial"/>
                <w:bCs/>
              </w:rPr>
              <w:t xml:space="preserve">, </w:t>
            </w:r>
            <w:r w:rsidR="00956A67" w:rsidRPr="00D33E27">
              <w:rPr>
                <w:rFonts w:ascii="Verdana" w:eastAsia="Calibri" w:hAnsi="Verdana" w:cs="Arial"/>
                <w:bCs/>
              </w:rPr>
              <w:t>ni participar e</w:t>
            </w:r>
            <w:r w:rsidR="009E72E5" w:rsidRPr="00D33E27">
              <w:rPr>
                <w:rFonts w:ascii="Verdana" w:eastAsia="Calibri" w:hAnsi="Verdana" w:cs="Arial"/>
                <w:bCs/>
              </w:rPr>
              <w:t>n</w:t>
            </w:r>
            <w:r w:rsidR="00956A67" w:rsidRPr="00D33E27">
              <w:rPr>
                <w:rFonts w:ascii="Verdana" w:eastAsia="Calibri" w:hAnsi="Verdana" w:cs="Arial"/>
                <w:bCs/>
              </w:rPr>
              <w:t xml:space="preserve"> procesos de contratación </w:t>
            </w:r>
            <w:r w:rsidR="00FF6DAA" w:rsidRPr="00D33E27">
              <w:rPr>
                <w:rFonts w:ascii="Verdana" w:eastAsia="Calibri" w:hAnsi="Verdana" w:cs="Arial"/>
                <w:bCs/>
              </w:rPr>
              <w:t xml:space="preserve">quienes se encuentren dentro del segundo grado de consanguinidad o segundo de afinidad con cualquier otra persona que formalmente haya presentado </w:t>
            </w:r>
            <w:r w:rsidR="009E3542" w:rsidRPr="00D33E27">
              <w:rPr>
                <w:rFonts w:ascii="Verdana" w:eastAsia="Calibri" w:hAnsi="Verdana" w:cs="Arial"/>
                <w:bCs/>
              </w:rPr>
              <w:t xml:space="preserve">una </w:t>
            </w:r>
            <w:r w:rsidR="00FF6DAA" w:rsidRPr="00D33E27">
              <w:rPr>
                <w:rFonts w:ascii="Verdana" w:eastAsia="Calibri" w:hAnsi="Verdana" w:cs="Arial"/>
                <w:bCs/>
              </w:rPr>
              <w:t>propuest</w:t>
            </w:r>
            <w:r w:rsidR="009E72E5" w:rsidRPr="00D33E27">
              <w:rPr>
                <w:rFonts w:ascii="Verdana" w:eastAsia="Calibri" w:hAnsi="Verdana" w:cs="Arial"/>
                <w:bCs/>
              </w:rPr>
              <w:t>a</w:t>
            </w:r>
            <w:r w:rsidR="008C67F2" w:rsidRPr="00D33E27">
              <w:rPr>
                <w:rFonts w:ascii="Verdana" w:eastAsia="Calibri" w:hAnsi="Verdana" w:cs="Arial"/>
                <w:bCs/>
              </w:rPr>
              <w:t xml:space="preserve">. En ese sentido, la </w:t>
            </w:r>
            <w:r w:rsidR="007C0F09" w:rsidRPr="00D33E27">
              <w:rPr>
                <w:rFonts w:ascii="Verdana" w:eastAsia="Calibri" w:hAnsi="Verdana" w:cs="Arial"/>
                <w:bCs/>
              </w:rPr>
              <w:t>E</w:t>
            </w:r>
            <w:r w:rsidR="008C67F2" w:rsidRPr="00D33E27">
              <w:rPr>
                <w:rFonts w:ascii="Verdana" w:eastAsia="Calibri" w:hAnsi="Verdana" w:cs="Arial"/>
                <w:bCs/>
              </w:rPr>
              <w:t>ntidad, en el ejercicio de su potestad verificadora, descalificará las ofertas de los proponentes que</w:t>
            </w:r>
            <w:r w:rsidR="009E3542" w:rsidRPr="00D33E27">
              <w:rPr>
                <w:rFonts w:ascii="Verdana" w:eastAsia="Calibri" w:hAnsi="Verdana" w:cs="Arial"/>
                <w:bCs/>
              </w:rPr>
              <w:t xml:space="preserve"> </w:t>
            </w:r>
            <w:r w:rsidR="008C67F2" w:rsidRPr="00D33E27">
              <w:rPr>
                <w:rFonts w:ascii="Verdana" w:eastAsia="Calibri" w:hAnsi="Verdana" w:cs="Arial"/>
                <w:bCs/>
              </w:rPr>
              <w:t>se encuentren afectados por dichas inhabilidades.</w:t>
            </w:r>
          </w:p>
        </w:tc>
      </w:tr>
    </w:tbl>
    <w:p w14:paraId="04C7B4E4" w14:textId="77777777" w:rsidR="00CC57E6" w:rsidRPr="00D33E27" w:rsidRDefault="00CC57E6" w:rsidP="00CC57E6">
      <w:pPr>
        <w:tabs>
          <w:tab w:val="left" w:pos="142"/>
          <w:tab w:val="left" w:pos="284"/>
        </w:tabs>
        <w:spacing w:after="0" w:line="276" w:lineRule="auto"/>
        <w:jc w:val="both"/>
        <w:rPr>
          <w:rFonts w:ascii="Verdana" w:eastAsia="Century Gothic" w:hAnsi="Verdana" w:cs="Century Gothic"/>
          <w:b/>
          <w:bCs/>
          <w:lang w:val="es-ES"/>
        </w:rPr>
      </w:pPr>
    </w:p>
    <w:p w14:paraId="7C733111" w14:textId="77777777" w:rsidR="00CC57E6" w:rsidRPr="00D33E27" w:rsidRDefault="00CC57E6" w:rsidP="00CC5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3E27">
        <w:rPr>
          <w:rFonts w:ascii="Verdana" w:eastAsia="Century Gothic" w:hAnsi="Verdana" w:cs="Century Gothic"/>
          <w:b/>
          <w:bCs/>
        </w:rPr>
        <w:t>Razones de la respuesta:</w:t>
      </w:r>
    </w:p>
    <w:p w14:paraId="6A2E59C0" w14:textId="77777777" w:rsidR="00CC57E6" w:rsidRPr="00D33E27" w:rsidRDefault="00CC57E6" w:rsidP="00CC57E6">
      <w:pPr>
        <w:spacing w:after="0" w:line="276" w:lineRule="auto"/>
        <w:jc w:val="both"/>
        <w:rPr>
          <w:rFonts w:ascii="Verdana" w:eastAsia="Calibri" w:hAnsi="Verdana" w:cs="Arial"/>
          <w:color w:val="7030A0"/>
          <w:lang w:val="es-ES"/>
        </w:rPr>
      </w:pPr>
    </w:p>
    <w:p w14:paraId="0F360F44" w14:textId="77777777" w:rsidR="00CC57E6" w:rsidRPr="00D33E27" w:rsidRDefault="00CC57E6" w:rsidP="00CC57E6">
      <w:pPr>
        <w:spacing w:after="0"/>
        <w:jc w:val="both"/>
        <w:rPr>
          <w:rFonts w:ascii="Verdana" w:eastAsia="Calibri" w:hAnsi="Verdana" w:cs="Arial"/>
          <w:lang w:val="es-ES"/>
        </w:rPr>
      </w:pPr>
      <w:r w:rsidRPr="00D33E27">
        <w:rPr>
          <w:rFonts w:ascii="Verdana" w:eastAsia="Calibri" w:hAnsi="Verdana" w:cs="Arial"/>
          <w:lang w:val="es-ES"/>
        </w:rPr>
        <w:t>Lo anterior se sustenta en las siguientes consideraciones:</w:t>
      </w:r>
    </w:p>
    <w:p w14:paraId="1DC6A894" w14:textId="77777777" w:rsidR="00DA081E" w:rsidRPr="00D33E27" w:rsidRDefault="00DA081E" w:rsidP="00CC57E6">
      <w:pPr>
        <w:spacing w:after="0"/>
        <w:jc w:val="both"/>
        <w:rPr>
          <w:rFonts w:ascii="Verdana" w:eastAsia="Calibri" w:hAnsi="Verdana" w:cs="Arial"/>
          <w:lang w:val="es-ES"/>
        </w:rPr>
      </w:pPr>
    </w:p>
    <w:p w14:paraId="3087EA92" w14:textId="77777777" w:rsidR="00FE199E" w:rsidRPr="00D33E27" w:rsidRDefault="005446F8" w:rsidP="00FE199E">
      <w:pPr>
        <w:pStyle w:val="Prrafodelista"/>
        <w:numPr>
          <w:ilvl w:val="0"/>
          <w:numId w:val="19"/>
        </w:numPr>
        <w:spacing w:after="0"/>
        <w:jc w:val="both"/>
        <w:rPr>
          <w:rFonts w:ascii="Verdana" w:eastAsia="Calibri" w:hAnsi="Verdana" w:cs="Arial"/>
        </w:rPr>
      </w:pPr>
      <w:r w:rsidRPr="00D33E27">
        <w:rPr>
          <w:rFonts w:ascii="Verdana" w:hAnsi="Verdana" w:cs="Arial"/>
          <w:color w:val="000000" w:themeColor="text1"/>
          <w:lang w:val="es-ES_tradnl"/>
        </w:rPr>
        <w:t xml:space="preserve">Respecto a las convocatorias limitadas a </w:t>
      </w:r>
      <w:r w:rsidR="00BA5F43" w:rsidRPr="00D33E27">
        <w:rPr>
          <w:rFonts w:ascii="Verdana" w:hAnsi="Verdana" w:cs="Arial"/>
          <w:color w:val="000000" w:themeColor="text1"/>
          <w:lang w:val="es-ES_tradnl"/>
        </w:rPr>
        <w:t>MiPymes</w:t>
      </w:r>
      <w:r w:rsidRPr="00D33E27">
        <w:rPr>
          <w:rFonts w:ascii="Verdana" w:hAnsi="Verdana" w:cs="Arial"/>
          <w:color w:val="000000" w:themeColor="text1"/>
          <w:lang w:val="es-ES_tradnl"/>
        </w:rPr>
        <w:t>, debe señalarse que, el 31 de diciembre de 2020 se promulgó la Ley 2069, “Por medio de la cual se impulsa el emprendimiento en Colombia”. En cuanto a su contenido, como dispone el artículo 1, aquella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r w:rsidR="00BA5F43" w:rsidRPr="00D33E27">
        <w:rPr>
          <w:rFonts w:ascii="Verdana" w:hAnsi="Verdana" w:cs="Arial"/>
          <w:color w:val="000000" w:themeColor="text1"/>
          <w:lang w:val="es-ES_tradnl"/>
        </w:rPr>
        <w:t>MiPymes</w:t>
      </w:r>
      <w:r w:rsidRPr="00D33E27">
        <w:rPr>
          <w:rFonts w:ascii="Verdana" w:hAnsi="Verdana" w:cs="Arial"/>
          <w:color w:val="000000" w:themeColor="text1"/>
          <w:lang w:val="es-ES_tradnl"/>
        </w:rPr>
        <w:t>–, mediante la racionalización y simplificación de los trámites y tarifas, así como incentivos a favor de aquellas dentro del sistema de compras y contratación pública. De igual forma, en la citada Ley se consagró mecanismos para fortalecer y promover los distintos sectores de la economía y se prevén para ello medidas de educación para el emprendimiento y la innovación.</w:t>
      </w:r>
    </w:p>
    <w:p w14:paraId="2406B643" w14:textId="77777777" w:rsidR="00FE199E" w:rsidRPr="00D33E27" w:rsidRDefault="00FE199E" w:rsidP="00FE199E">
      <w:pPr>
        <w:pStyle w:val="Prrafodelista"/>
        <w:spacing w:after="0"/>
        <w:jc w:val="both"/>
        <w:rPr>
          <w:rFonts w:ascii="Verdana" w:eastAsia="Calibri" w:hAnsi="Verdana" w:cs="Arial"/>
        </w:rPr>
      </w:pPr>
    </w:p>
    <w:p w14:paraId="18B2A5DB" w14:textId="77777777" w:rsidR="008F6F2B" w:rsidRPr="00D33E27" w:rsidRDefault="00FE199E" w:rsidP="008F6F2B">
      <w:pPr>
        <w:pStyle w:val="Prrafodelista"/>
        <w:numPr>
          <w:ilvl w:val="0"/>
          <w:numId w:val="19"/>
        </w:numPr>
        <w:spacing w:after="0"/>
        <w:jc w:val="both"/>
        <w:rPr>
          <w:rFonts w:ascii="Verdana" w:eastAsia="Calibri" w:hAnsi="Verdana" w:cs="Arial"/>
        </w:rPr>
      </w:pPr>
      <w:r w:rsidRPr="00D33E27">
        <w:rPr>
          <w:rFonts w:ascii="Verdana" w:eastAsia="Calibri" w:hAnsi="Verdana" w:cs="Arial"/>
        </w:rPr>
        <w:t xml:space="preserve">Como se indicó, parte de la Ley 2069 de 2020 contiene normas que modifican algunos aspectos de la contratación estatal para promover el emprendimiento. Concretamente, aquellas se encuentran en el Capítulo </w:t>
      </w:r>
      <w:r w:rsidRPr="00D33E27">
        <w:rPr>
          <w:rFonts w:ascii="Verdana" w:eastAsia="Calibri" w:hAnsi="Verdana" w:cs="Arial"/>
        </w:rPr>
        <w:lastRenderedPageBreak/>
        <w:t>III –artículos 30 al 36–. Teniendo en cuenta que la consulta está relacionada con las convocatorias limitadas a MiPymes, a continuación de se estudiará el contenido y alcance del artículo 34.</w:t>
      </w:r>
      <w:bookmarkStart w:id="2" w:name="_Hlk69144376"/>
    </w:p>
    <w:p w14:paraId="689B0C03" w14:textId="77777777" w:rsidR="00584F32" w:rsidRPr="00D33E27" w:rsidRDefault="00584F32" w:rsidP="008F6F2B">
      <w:pPr>
        <w:pStyle w:val="Prrafodelista"/>
        <w:rPr>
          <w:rFonts w:ascii="Verdana" w:eastAsia="Calibri" w:hAnsi="Verdana" w:cs="Arial"/>
        </w:rPr>
      </w:pPr>
    </w:p>
    <w:p w14:paraId="6F431F5E" w14:textId="77777777" w:rsidR="00176CA8" w:rsidRPr="00D33E27" w:rsidRDefault="008F6F2B" w:rsidP="00176CA8">
      <w:pPr>
        <w:pStyle w:val="Prrafodelista"/>
        <w:numPr>
          <w:ilvl w:val="0"/>
          <w:numId w:val="19"/>
        </w:numPr>
        <w:spacing w:after="0"/>
        <w:jc w:val="both"/>
        <w:rPr>
          <w:rFonts w:ascii="Verdana" w:eastAsia="Calibri" w:hAnsi="Verdana" w:cs="Arial"/>
        </w:rPr>
      </w:pPr>
      <w:r w:rsidRPr="00D33E27">
        <w:rPr>
          <w:rFonts w:ascii="Verdana" w:eastAsia="Calibri" w:hAnsi="Verdana" w:cs="Arial"/>
        </w:rPr>
        <w:t xml:space="preserve">El artículo 34 de la Ley 2069 de 2020 </w:t>
      </w:r>
      <w:r w:rsidRPr="00D33E27">
        <w:rPr>
          <w:rFonts w:ascii="Verdana" w:eastAsia="Calibri" w:hAnsi="Verdana" w:cs="Arial"/>
          <w:i/>
          <w:iCs/>
        </w:rPr>
        <w:t>modificó</w:t>
      </w:r>
      <w:r w:rsidRPr="00D33E27">
        <w:rPr>
          <w:rFonts w:ascii="Verdana" w:eastAsia="Calibri" w:hAnsi="Verdana" w:cs="Arial"/>
        </w:rPr>
        <w:t xml:space="preserve"> el artículo 12 de la Ley 1150 de 2007, el cual regula la promoción del desarrollo en la contratación pública</w:t>
      </w:r>
      <w:bookmarkEnd w:id="2"/>
      <w:r w:rsidRPr="00D33E27">
        <w:rPr>
          <w:rFonts w:ascii="Verdana" w:eastAsia="Calibri" w:hAnsi="Verdana" w:cs="Arial"/>
        </w:rPr>
        <w:t xml:space="preserve">, cambiando </w:t>
      </w:r>
      <w:r w:rsidRPr="00D33E27">
        <w:rPr>
          <w:rFonts w:ascii="Verdana" w:eastAsia="Calibri" w:hAnsi="Verdana" w:cs="Arial"/>
          <w:bdr w:val="none" w:sz="0" w:space="0" w:color="auto" w:frame="1"/>
        </w:rPr>
        <w:t xml:space="preserve">los requisitos esenciales para que procedan las convocatorias limitadas a MiPymes, de la siguiente forma: i) estableció que estas deben desarrollarse independientemente del régimen de contratación de la Entidad Estatal –es decir, también deben efectuarlas las Entidades Estatales exceptuadas del EGCAP o que se rigen por derecho privado–; </w:t>
      </w:r>
      <w:proofErr w:type="spellStart"/>
      <w:r w:rsidRPr="00D33E27">
        <w:rPr>
          <w:rFonts w:ascii="Verdana" w:eastAsia="Calibri" w:hAnsi="Verdana" w:cs="Arial"/>
          <w:bdr w:val="none" w:sz="0" w:space="0" w:color="auto" w:frame="1"/>
        </w:rPr>
        <w:t>ii</w:t>
      </w:r>
      <w:proofErr w:type="spellEnd"/>
      <w:r w:rsidRPr="00D33E27">
        <w:rPr>
          <w:rFonts w:ascii="Verdana" w:eastAsia="Calibri" w:hAnsi="Verdana" w:cs="Arial"/>
          <w:bdr w:val="none" w:sz="0" w:space="0" w:color="auto" w:frame="1"/>
        </w:rPr>
        <w:t xml:space="preserve">) señaló que los patrimonios autónomos constituidos por Entidades Estatales y los particulares que ejecuten recursos públicos también son destinatarios de esta exigencia; y,  </w:t>
      </w:r>
      <w:proofErr w:type="spellStart"/>
      <w:r w:rsidRPr="00D33E27">
        <w:rPr>
          <w:rFonts w:ascii="Verdana" w:eastAsia="Calibri" w:hAnsi="Verdana" w:cs="Arial"/>
          <w:bdr w:val="none" w:sz="0" w:space="0" w:color="auto" w:frame="1"/>
        </w:rPr>
        <w:t>iii</w:t>
      </w:r>
      <w:proofErr w:type="spellEnd"/>
      <w:r w:rsidRPr="00D33E27">
        <w:rPr>
          <w:rFonts w:ascii="Verdana" w:eastAsia="Calibri" w:hAnsi="Verdana" w:cs="Arial"/>
          <w:bdr w:val="none" w:sz="0" w:space="0" w:color="auto" w:frame="1"/>
        </w:rPr>
        <w:t xml:space="preserve">) indicó que para que pueda haber convocatorias limitadas a MiPymes, dos (2) de ellas deben manifestar su interés. </w:t>
      </w:r>
    </w:p>
    <w:p w14:paraId="7D173E60" w14:textId="77777777" w:rsidR="00176CA8" w:rsidRPr="00D33E27" w:rsidRDefault="00176CA8" w:rsidP="00176CA8">
      <w:pPr>
        <w:pStyle w:val="Prrafodelista"/>
        <w:rPr>
          <w:rFonts w:ascii="Verdana" w:eastAsia="Calibri" w:hAnsi="Verdana" w:cs="Arial"/>
        </w:rPr>
      </w:pPr>
    </w:p>
    <w:p w14:paraId="17152ECA" w14:textId="2C5FB8D9" w:rsidR="00030ACD" w:rsidRPr="00D33E27" w:rsidRDefault="00AE0A49" w:rsidP="00176CA8">
      <w:pPr>
        <w:pStyle w:val="Prrafodelista"/>
        <w:numPr>
          <w:ilvl w:val="0"/>
          <w:numId w:val="19"/>
        </w:numPr>
        <w:spacing w:after="0"/>
        <w:jc w:val="both"/>
        <w:rPr>
          <w:rFonts w:ascii="Verdana" w:eastAsia="Calibri" w:hAnsi="Verdana" w:cs="Arial"/>
        </w:rPr>
      </w:pPr>
      <w:r w:rsidRPr="00D33E27">
        <w:rPr>
          <w:rFonts w:ascii="Verdana" w:eastAsia="Calibri" w:hAnsi="Verdana" w:cs="Arial"/>
        </w:rPr>
        <w:t xml:space="preserve">Según se evidencia, el numeral primero </w:t>
      </w:r>
      <w:r w:rsidR="007C2923" w:rsidRPr="00D33E27">
        <w:rPr>
          <w:rFonts w:ascii="Verdana" w:eastAsia="Calibri" w:hAnsi="Verdana" w:cs="Arial"/>
        </w:rPr>
        <w:t xml:space="preserve">del </w:t>
      </w:r>
      <w:r w:rsidR="007C2923" w:rsidRPr="00D33E27">
        <w:rPr>
          <w:rFonts w:ascii="Verdana" w:eastAsia="Calibri" w:hAnsi="Verdana" w:cs="Arial"/>
          <w:lang w:val="es-ES_tradnl"/>
        </w:rPr>
        <w:t xml:space="preserve">artículo 2.2.1.2.4.2.2 del Decreto 1082 de 2015 </w:t>
      </w:r>
      <w:r w:rsidRPr="00D33E27">
        <w:rPr>
          <w:rFonts w:ascii="Verdana" w:eastAsia="Calibri" w:hAnsi="Verdana" w:cs="Arial"/>
        </w:rPr>
        <w:t xml:space="preserve">limita cuantitativamente los procesos contractuales para las convocatorias limitadas a </w:t>
      </w:r>
      <w:proofErr w:type="spellStart"/>
      <w:r w:rsidRPr="00D33E27">
        <w:rPr>
          <w:rFonts w:ascii="Verdana" w:eastAsia="Calibri" w:hAnsi="Verdana" w:cs="Arial"/>
        </w:rPr>
        <w:t>Mipyme</w:t>
      </w:r>
      <w:proofErr w:type="spellEnd"/>
      <w:r w:rsidRPr="00D33E27">
        <w:rPr>
          <w:rFonts w:ascii="Verdana" w:eastAsia="Calibri" w:hAnsi="Verdana" w:cs="Arial"/>
        </w:rPr>
        <w:t xml:space="preserv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w:t>
      </w:r>
      <w:r w:rsidR="00527645" w:rsidRPr="00D33E27">
        <w:rPr>
          <w:rFonts w:ascii="Verdana" w:eastAsia="Calibri" w:hAnsi="Verdana" w:cs="Arial"/>
        </w:rPr>
        <w:t>MiPymes</w:t>
      </w:r>
      <w:r w:rsidRPr="00D33E27">
        <w:rPr>
          <w:rFonts w:ascii="Verdana" w:eastAsia="Calibri" w:hAnsi="Verdana" w:cs="Arial"/>
        </w:rPr>
        <w:t xml:space="preserve"> colombianas presenten a la entidad la solicitud de limitar el proceso contractual y, por el otro, que hagan la solicitud por lo menos un día (1) hábil antes de la expedición del acto administrativo de apertura o el que haga sus veces de acuerdo con la normativa aplicable a cada Proceso de Contratación. Asimismo, la norma señala que, tratándose de personas jurídicas, las solicitudes solo las podrán realizar la </w:t>
      </w:r>
      <w:proofErr w:type="spellStart"/>
      <w:r w:rsidRPr="00D33E27">
        <w:rPr>
          <w:rFonts w:ascii="Verdana" w:eastAsia="Calibri" w:hAnsi="Verdana" w:cs="Arial"/>
        </w:rPr>
        <w:t>Mipyme</w:t>
      </w:r>
      <w:proofErr w:type="spellEnd"/>
      <w:r w:rsidRPr="00D33E27">
        <w:rPr>
          <w:rFonts w:ascii="Verdana" w:eastAsia="Calibri" w:hAnsi="Verdana" w:cs="Arial"/>
        </w:rPr>
        <w:t xml:space="preserv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w:t>
      </w:r>
      <w:proofErr w:type="spellStart"/>
      <w:r w:rsidRPr="00D33E27">
        <w:rPr>
          <w:rFonts w:ascii="Verdana" w:eastAsia="Calibri" w:hAnsi="Verdana" w:cs="Arial"/>
        </w:rPr>
        <w:t>Mipyme</w:t>
      </w:r>
      <w:proofErr w:type="spellEnd"/>
      <w:r w:rsidRPr="00D33E27">
        <w:rPr>
          <w:rFonts w:ascii="Verdana" w:eastAsia="Calibri" w:hAnsi="Verdana" w:cs="Arial"/>
        </w:rPr>
        <w:t>, siempre que estas cumplan con las condiciones señaladas en el artículo.</w:t>
      </w:r>
    </w:p>
    <w:p w14:paraId="71B092D1" w14:textId="77777777" w:rsidR="00030ACD" w:rsidRPr="00D33E27" w:rsidRDefault="00030ACD" w:rsidP="00030ACD">
      <w:pPr>
        <w:pStyle w:val="Prrafodelista"/>
        <w:spacing w:after="0"/>
        <w:jc w:val="both"/>
        <w:rPr>
          <w:rFonts w:ascii="Verdana" w:eastAsia="Calibri" w:hAnsi="Verdana" w:cs="Arial"/>
        </w:rPr>
      </w:pPr>
    </w:p>
    <w:p w14:paraId="4E010312" w14:textId="77777777" w:rsidR="007C652B" w:rsidRPr="00D33E27" w:rsidRDefault="00030ACD" w:rsidP="57481DD5">
      <w:pPr>
        <w:pStyle w:val="Prrafodelista"/>
        <w:numPr>
          <w:ilvl w:val="0"/>
          <w:numId w:val="19"/>
        </w:numPr>
        <w:spacing w:after="0"/>
        <w:jc w:val="both"/>
        <w:rPr>
          <w:rFonts w:ascii="Verdana" w:eastAsia="Calibri" w:hAnsi="Verdana" w:cs="Arial"/>
        </w:rPr>
      </w:pPr>
      <w:r w:rsidRPr="00D33E27">
        <w:rPr>
          <w:rFonts w:ascii="Verdana" w:eastAsia="Calibri" w:hAnsi="Verdana" w:cs="Arial"/>
        </w:rPr>
        <w:t>En relación con las limitaciones territorial</w:t>
      </w:r>
      <w:r w:rsidRPr="00D33E27">
        <w:rPr>
          <w:rFonts w:ascii="Verdana" w:hAnsi="Verdana" w:cs="Arial"/>
        </w:rPr>
        <w:t xml:space="preserve">es de las convocatorias a </w:t>
      </w:r>
      <w:proofErr w:type="spellStart"/>
      <w:r w:rsidRPr="00D33E27">
        <w:rPr>
          <w:rFonts w:ascii="Verdana" w:hAnsi="Verdana" w:cs="Arial"/>
        </w:rPr>
        <w:t>Mipyme</w:t>
      </w:r>
      <w:proofErr w:type="spellEnd"/>
      <w:r w:rsidRPr="00D33E27">
        <w:rPr>
          <w:rFonts w:ascii="Verdana" w:hAnsi="Verdana" w:cs="Arial"/>
        </w:rPr>
        <w:t>,</w:t>
      </w:r>
      <w:r w:rsidR="007B1F58" w:rsidRPr="00D33E27">
        <w:rPr>
          <w:rFonts w:ascii="Verdana" w:hAnsi="Verdana" w:cs="Arial"/>
        </w:rPr>
        <w:t xml:space="preserve"> </w:t>
      </w:r>
      <w:r w:rsidRPr="00D33E27">
        <w:rPr>
          <w:rFonts w:ascii="Verdana" w:eastAsia="Calibri" w:hAnsi="Verdana" w:cs="Arial"/>
        </w:rPr>
        <w:t>a la luz del antiguo artículo 2.2.1.2.4.2.3 del Decreto 1082 de 2015, esta Agencia –</w:t>
      </w:r>
      <w:r w:rsidRPr="00D33E27">
        <w:rPr>
          <w:rFonts w:ascii="Verdana" w:hAnsi="Verdana" w:cs="Arial"/>
        </w:rPr>
        <w:t>en los Conceptos 4201714000006924 del 29 de enero de 2018,</w:t>
      </w:r>
      <w:r w:rsidRPr="00D33E27">
        <w:rPr>
          <w:rFonts w:ascii="Verdana" w:eastAsia="Calibri" w:hAnsi="Verdana" w:cs="Arial"/>
        </w:rPr>
        <w:t xml:space="preserve"> C-045 del 17 de marzo de 2020, C-162 del 16 de abril de 2020, C-214 del 21 de abril de 2020, C-258 del 17 de abril de 2020, C-</w:t>
      </w:r>
      <w:r w:rsidRPr="00D33E27">
        <w:rPr>
          <w:rFonts w:ascii="Verdana" w:eastAsia="Calibri" w:hAnsi="Verdana" w:cs="Arial"/>
        </w:rPr>
        <w:lastRenderedPageBreak/>
        <w:t>364 del 4 de junio de 2020, C-413 del 30 de junio de 2020</w:t>
      </w:r>
      <w:r w:rsidRPr="00D33E27">
        <w:rPr>
          <w:rFonts w:ascii="Verdana" w:hAnsi="Verdana" w:cs="Arial"/>
        </w:rPr>
        <w:t xml:space="preserve">, </w:t>
      </w:r>
      <w:r w:rsidRPr="00D33E27">
        <w:rPr>
          <w:rFonts w:ascii="Verdana" w:eastAsia="Calibri" w:hAnsi="Verdana" w:cs="Arial"/>
        </w:rPr>
        <w:t xml:space="preserve">C-492 del 24 de julio de 2020, C-523 del 11 de agosto de 2020, C-610 del 14 de septiembre de 2020 y C-700 de 1 de diciembre de 2020– había sostenido que, para que se permitiera la participación de una </w:t>
      </w:r>
      <w:proofErr w:type="spellStart"/>
      <w:r w:rsidRPr="00D33E27">
        <w:rPr>
          <w:rFonts w:ascii="Verdana" w:eastAsia="Calibri" w:hAnsi="Verdana" w:cs="Arial"/>
        </w:rPr>
        <w:t>Mipyme</w:t>
      </w:r>
      <w:proofErr w:type="spellEnd"/>
      <w:r w:rsidRPr="00D33E27">
        <w:rPr>
          <w:rFonts w:ascii="Verdana" w:eastAsia="Calibri" w:hAnsi="Verdana" w:cs="Arial"/>
        </w:rPr>
        <w:t xml:space="preserve"> en uno de estos procesos, era necesario que esta demostrara estar domiciliada en el municipio o departamento en el que se ejecutaría el contrato. </w:t>
      </w:r>
    </w:p>
    <w:p w14:paraId="17DF9A77" w14:textId="77777777" w:rsidR="007C652B" w:rsidRPr="00D33E27" w:rsidRDefault="007C652B" w:rsidP="007C652B">
      <w:pPr>
        <w:pStyle w:val="Prrafodelista"/>
        <w:rPr>
          <w:rFonts w:ascii="Verdana" w:eastAsia="Calibri" w:hAnsi="Verdana" w:cs="Arial"/>
          <w:lang w:val="es-ES_tradnl"/>
        </w:rPr>
      </w:pPr>
    </w:p>
    <w:p w14:paraId="15CB3BC1" w14:textId="0A756F82" w:rsidR="00B73838" w:rsidRPr="00D33E27" w:rsidRDefault="00A7677B" w:rsidP="57481DD5">
      <w:pPr>
        <w:pStyle w:val="Prrafodelista"/>
        <w:numPr>
          <w:ilvl w:val="0"/>
          <w:numId w:val="19"/>
        </w:numPr>
        <w:spacing w:after="0"/>
        <w:jc w:val="both"/>
        <w:rPr>
          <w:rFonts w:ascii="Verdana" w:eastAsia="Calibri" w:hAnsi="Verdana" w:cs="Arial"/>
        </w:rPr>
      </w:pPr>
      <w:r w:rsidRPr="00D33E27">
        <w:rPr>
          <w:rFonts w:ascii="Verdana" w:eastAsia="Calibri" w:hAnsi="Verdana" w:cs="Arial"/>
        </w:rPr>
        <w:t>L</w:t>
      </w:r>
      <w:r w:rsidR="005B0079" w:rsidRPr="00D33E27">
        <w:rPr>
          <w:rFonts w:ascii="Verdana" w:eastAsia="Calibri" w:hAnsi="Verdana" w:cs="Arial"/>
        </w:rPr>
        <w:t xml:space="preserve">a postura sostenida por esta Agencia en vigencia del artículo 2.2.1.2.4.2.3 del Decreto 1082 de 2015 no contemplaba la posibilidad de que una </w:t>
      </w:r>
      <w:proofErr w:type="spellStart"/>
      <w:r w:rsidR="005B0079" w:rsidRPr="00D33E27">
        <w:rPr>
          <w:rFonts w:ascii="Verdana" w:eastAsia="Calibri" w:hAnsi="Verdana" w:cs="Arial"/>
        </w:rPr>
        <w:t>Mipyme</w:t>
      </w:r>
      <w:proofErr w:type="spellEnd"/>
      <w:r w:rsidR="005B0079" w:rsidRPr="00D33E27">
        <w:rPr>
          <w:rFonts w:ascii="Verdana" w:eastAsia="Calibri" w:hAnsi="Verdana" w:cs="Arial"/>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005B0079" w:rsidRPr="00D33E27">
        <w:rPr>
          <w:rFonts w:ascii="Verdana" w:eastAsia="Calibri" w:hAnsi="Verdana" w:cs="Arial"/>
        </w:rPr>
        <w:t>Mipyme</w:t>
      </w:r>
      <w:proofErr w:type="spellEnd"/>
      <w:r w:rsidR="005B0079" w:rsidRPr="00D33E27">
        <w:rPr>
          <w:rFonts w:ascii="Verdana" w:eastAsia="Calibri" w:hAnsi="Verdana" w:cs="Arial"/>
        </w:rPr>
        <w:t>.</w:t>
      </w:r>
      <w:r w:rsidR="009E7422" w:rsidRPr="00D33E27">
        <w:rPr>
          <w:rFonts w:ascii="Verdana" w:eastAsia="Calibri" w:hAnsi="Verdana" w:cs="Arial"/>
        </w:rPr>
        <w:t xml:space="preserve"> Ahora bien, el texto del actual artículo 2.2.1.2.4.2.3, modificado por el artículo 5 del Decreto 1860 de 2021, no cambia la tesis adoptada en conceptos anteriores de Colombia Compra Eficiente. Lo anterior en la medida en que, respecto al domicilio de las </w:t>
      </w:r>
      <w:proofErr w:type="spellStart"/>
      <w:r w:rsidR="009E7422" w:rsidRPr="00D33E27">
        <w:rPr>
          <w:rFonts w:ascii="Verdana" w:eastAsia="Calibri" w:hAnsi="Verdana" w:cs="Arial"/>
        </w:rPr>
        <w:t>Mipyme</w:t>
      </w:r>
      <w:proofErr w:type="spellEnd"/>
      <w:r w:rsidR="009E7422" w:rsidRPr="00D33E27">
        <w:rPr>
          <w:rFonts w:ascii="Verdana" w:eastAsia="Calibri" w:hAnsi="Verdana" w:cs="Arial"/>
        </w:rPr>
        <w:t xml:space="preserve"> en el departamento o municipio donde se ejecuta el contrato, la reglamentación no tuvo cambios.</w:t>
      </w:r>
    </w:p>
    <w:p w14:paraId="536F835A" w14:textId="77777777" w:rsidR="00B73838" w:rsidRPr="00D33E27" w:rsidRDefault="00B73838" w:rsidP="00B73838">
      <w:pPr>
        <w:pStyle w:val="Prrafodelista"/>
        <w:jc w:val="both"/>
        <w:rPr>
          <w:rFonts w:ascii="Verdana" w:eastAsia="Calibri" w:hAnsi="Verdana" w:cs="Arial"/>
          <w:lang w:val="es-ES_tradnl"/>
        </w:rPr>
      </w:pPr>
    </w:p>
    <w:p w14:paraId="2451AF9C" w14:textId="58545394" w:rsidR="004156A3" w:rsidRPr="00D33E27" w:rsidRDefault="00B73838" w:rsidP="004156A3">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 xml:space="preserve">La norma reglamentaria coincide con la redacción del parágrafo 1 del artículo 34 de la Ley 2069 de 2020, según el cual, “En los procesos de selección que se desarrollen con base en el primer inciso, las entidades podrán realizar las convocatorias limitadas que beneficien a las </w:t>
      </w:r>
      <w:r w:rsidR="00527645" w:rsidRPr="00D33E27">
        <w:rPr>
          <w:rFonts w:ascii="Verdana" w:eastAsia="Calibri" w:hAnsi="Verdana" w:cs="Arial"/>
          <w:lang w:val="es-ES_tradnl"/>
        </w:rPr>
        <w:t>MiPymes</w:t>
      </w:r>
      <w:r w:rsidRPr="00D33E27">
        <w:rPr>
          <w:rFonts w:ascii="Verdana" w:eastAsia="Calibri" w:hAnsi="Verdana" w:cs="Arial"/>
          <w:lang w:val="es-ES_tradnl"/>
        </w:rPr>
        <w:t xml:space="preserve"> del ámbito municipal o departamental correspondiente al de la ejecución del contrato”. En tales términos, la norma citada solo contempla la posibilidad de limitar convocatorias a </w:t>
      </w:r>
      <w:r w:rsidR="00527645" w:rsidRPr="00D33E27">
        <w:rPr>
          <w:rFonts w:ascii="Verdana" w:eastAsia="Calibri" w:hAnsi="Verdana" w:cs="Arial"/>
          <w:lang w:val="es-ES_tradnl"/>
        </w:rPr>
        <w:t>MiPymes</w:t>
      </w:r>
      <w:r w:rsidRPr="00D33E27">
        <w:rPr>
          <w:rFonts w:ascii="Verdana" w:eastAsia="Calibri" w:hAnsi="Verdana" w:cs="Arial"/>
          <w:lang w:val="es-ES_tradnl"/>
        </w:rPr>
        <w:t xml:space="preserve"> con domicilio en esos dos tipos de entidades territoriales. </w:t>
      </w:r>
    </w:p>
    <w:p w14:paraId="6CCAAD37" w14:textId="77777777" w:rsidR="004156A3" w:rsidRPr="00D33E27" w:rsidRDefault="004156A3" w:rsidP="004156A3">
      <w:pPr>
        <w:pStyle w:val="Prrafodelista"/>
        <w:rPr>
          <w:rFonts w:ascii="Verdana" w:eastAsia="Arial" w:hAnsi="Verdana" w:cs="Arial"/>
          <w:color w:val="000000"/>
          <w:lang w:val="es-ES_tradnl"/>
        </w:rPr>
      </w:pPr>
    </w:p>
    <w:p w14:paraId="4ECD8635" w14:textId="77777777" w:rsidR="007E13A7" w:rsidRPr="00D33E27" w:rsidRDefault="004156A3" w:rsidP="57481DD5">
      <w:pPr>
        <w:pStyle w:val="Prrafodelista"/>
        <w:numPr>
          <w:ilvl w:val="0"/>
          <w:numId w:val="22"/>
        </w:numPr>
        <w:jc w:val="both"/>
        <w:rPr>
          <w:rFonts w:ascii="Verdana" w:eastAsia="Calibri" w:hAnsi="Verdana" w:cs="Arial"/>
        </w:rPr>
      </w:pPr>
      <w:r w:rsidRPr="00D33E27">
        <w:rPr>
          <w:rFonts w:ascii="Verdana" w:eastAsia="Arial" w:hAnsi="Verdana" w:cs="Arial"/>
          <w:color w:val="000000" w:themeColor="text1"/>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D33E27">
        <w:rPr>
          <w:rFonts w:ascii="Verdana" w:eastAsia="Arial" w:hAnsi="Verdana" w:cs="Arial"/>
          <w:color w:val="000000" w:themeColor="text1"/>
        </w:rPr>
        <w:t>Mipyme</w:t>
      </w:r>
      <w:proofErr w:type="spellEnd"/>
      <w:r w:rsidRPr="00D33E27">
        <w:rPr>
          <w:rFonts w:ascii="Verdana" w:eastAsia="Arial" w:hAnsi="Verdana" w:cs="Arial"/>
          <w:color w:val="000000" w:themeColor="text1"/>
        </w:rPr>
        <w:t xml:space="preserve"> nacional. Además, las normas de contratación permiten que las </w:t>
      </w:r>
      <w:proofErr w:type="spellStart"/>
      <w:r w:rsidRPr="00D33E27">
        <w:rPr>
          <w:rFonts w:ascii="Verdana" w:eastAsia="Arial" w:hAnsi="Verdana" w:cs="Arial"/>
          <w:color w:val="000000" w:themeColor="text1"/>
        </w:rPr>
        <w:t>Mipyme</w:t>
      </w:r>
      <w:proofErr w:type="spellEnd"/>
      <w:r w:rsidRPr="00D33E27">
        <w:rPr>
          <w:rFonts w:ascii="Verdana" w:eastAsia="Arial" w:hAnsi="Verdana" w:cs="Arial"/>
          <w:color w:val="000000" w:themeColor="text1"/>
        </w:rPr>
        <w:t xml:space="preserve"> nacionales puedan beneficiarse de la ejecución de un contrato dentro de la entidad territorial en la que tienen su “domicilio”. </w:t>
      </w:r>
    </w:p>
    <w:p w14:paraId="3DA26D7B" w14:textId="77777777" w:rsidR="007E13A7" w:rsidRPr="00D33E27" w:rsidRDefault="007E13A7" w:rsidP="007E13A7">
      <w:pPr>
        <w:pStyle w:val="Prrafodelista"/>
        <w:rPr>
          <w:rFonts w:ascii="Verdana" w:eastAsia="Arial" w:hAnsi="Verdana" w:cs="Arial"/>
          <w:color w:val="000000"/>
          <w:lang w:val="es-ES_tradnl"/>
        </w:rPr>
      </w:pPr>
    </w:p>
    <w:p w14:paraId="5EBBB640" w14:textId="5591B0CD" w:rsidR="000C2FC7" w:rsidRPr="00D33E27" w:rsidRDefault="00464CA1" w:rsidP="57481DD5">
      <w:pPr>
        <w:pStyle w:val="Prrafodelista"/>
        <w:numPr>
          <w:ilvl w:val="0"/>
          <w:numId w:val="22"/>
        </w:numPr>
        <w:jc w:val="both"/>
        <w:rPr>
          <w:rFonts w:ascii="Verdana" w:eastAsia="Calibri" w:hAnsi="Verdana" w:cs="Arial"/>
        </w:rPr>
      </w:pPr>
      <w:r w:rsidRPr="00D33E27">
        <w:rPr>
          <w:rFonts w:ascii="Verdana" w:eastAsia="Arial" w:hAnsi="Verdana" w:cs="Arial"/>
          <w:color w:val="000000" w:themeColor="text1"/>
        </w:rPr>
        <w:t>Por otro lado, n</w:t>
      </w:r>
      <w:r w:rsidR="007E13A7" w:rsidRPr="00D33E27">
        <w:rPr>
          <w:rFonts w:ascii="Verdana" w:eastAsia="Arial" w:hAnsi="Verdana" w:cs="Arial"/>
          <w:color w:val="000000" w:themeColor="text1"/>
        </w:rPr>
        <w:t xml:space="preserve">o puede perderse de vista que la decisión de limitar “a </w:t>
      </w:r>
      <w:proofErr w:type="spellStart"/>
      <w:r w:rsidR="007E13A7" w:rsidRPr="00D33E27">
        <w:rPr>
          <w:rFonts w:ascii="Verdana" w:eastAsia="Arial" w:hAnsi="Verdana" w:cs="Arial"/>
          <w:color w:val="000000" w:themeColor="text1"/>
        </w:rPr>
        <w:t>Mipyme</w:t>
      </w:r>
      <w:proofErr w:type="spellEnd"/>
      <w:r w:rsidR="007E13A7" w:rsidRPr="00D33E27">
        <w:rPr>
          <w:rFonts w:ascii="Verdana" w:eastAsia="Arial" w:hAnsi="Verdana" w:cs="Arial"/>
          <w:color w:val="000000" w:themeColor="text1"/>
        </w:rPr>
        <w:t xml:space="preserve"> colombianas que tengan domicilio en los departamentos o municipios en donde se va a ejecutar el contrato”, aunque es facultativa de la entidad, está supeditada a que se verifiquen los requisitos </w:t>
      </w:r>
      <w:r w:rsidR="007E13A7" w:rsidRPr="00D33E27">
        <w:rPr>
          <w:rFonts w:ascii="Verdana" w:eastAsia="Arial" w:hAnsi="Verdana" w:cs="Arial"/>
          <w:color w:val="000000" w:themeColor="text1"/>
        </w:rPr>
        <w:lastRenderedPageBreak/>
        <w:t xml:space="preserve">establecidos en los numerales 1 y 2 del precitado artículo 2.2.1.2.4.2.2 del Decreto 1082 de 2015, modificado por el Decreto 1860 de 2021. En ese sentido, si la </w:t>
      </w:r>
      <w:r w:rsidR="00325A29" w:rsidRPr="00D33E27">
        <w:rPr>
          <w:rFonts w:ascii="Verdana" w:eastAsia="Arial" w:hAnsi="Verdana" w:cs="Arial"/>
          <w:color w:val="000000" w:themeColor="text1"/>
        </w:rPr>
        <w:t>E</w:t>
      </w:r>
      <w:r w:rsidR="007E13A7" w:rsidRPr="00D33E27">
        <w:rPr>
          <w:rFonts w:ascii="Verdana" w:eastAsia="Arial" w:hAnsi="Verdana" w:cs="Arial"/>
          <w:color w:val="000000" w:themeColor="text1"/>
        </w:rPr>
        <w:t xml:space="preserve">ntidad no recibió las solicitudes para limitar la convocatoria a </w:t>
      </w:r>
      <w:proofErr w:type="spellStart"/>
      <w:r w:rsidR="007E13A7" w:rsidRPr="00D33E27">
        <w:rPr>
          <w:rFonts w:ascii="Verdana" w:eastAsia="Arial" w:hAnsi="Verdana" w:cs="Arial"/>
          <w:color w:val="000000" w:themeColor="text1"/>
        </w:rPr>
        <w:t>Mipyme</w:t>
      </w:r>
      <w:proofErr w:type="spellEnd"/>
      <w:r w:rsidR="007E13A7" w:rsidRPr="00D33E27">
        <w:rPr>
          <w:rFonts w:ascii="Verdana" w:eastAsia="Arial" w:hAnsi="Verdana" w:cs="Arial"/>
          <w:color w:val="000000" w:themeColor="text1"/>
        </w:rPr>
        <w:t xml:space="preserve">, no puede </w:t>
      </w:r>
      <w:r w:rsidR="007E13A7" w:rsidRPr="00D33E27">
        <w:rPr>
          <w:rFonts w:ascii="Verdana" w:eastAsia="Arial" w:hAnsi="Verdana" w:cs="Arial"/>
          <w:i/>
          <w:iCs/>
          <w:color w:val="000000" w:themeColor="text1"/>
        </w:rPr>
        <w:t xml:space="preserve">motu proprio </w:t>
      </w:r>
      <w:r w:rsidR="007E13A7" w:rsidRPr="00D33E27">
        <w:rPr>
          <w:rFonts w:ascii="Verdana" w:eastAsia="Arial" w:hAnsi="Verdana" w:cs="Arial"/>
          <w:color w:val="000000" w:themeColor="text1"/>
        </w:rPr>
        <w:t xml:space="preserve">proceder con la “limitación territorial” de que trata el artículo 2.2.1.2.4.2.3 del Decreto 1082 de 2015. Esto debido a que el ejercicio de esta facultad solo puede darse ante la “limitación a </w:t>
      </w:r>
      <w:r w:rsidR="00527645" w:rsidRPr="00D33E27">
        <w:rPr>
          <w:rFonts w:ascii="Verdana" w:eastAsia="Arial" w:hAnsi="Verdana" w:cs="Arial"/>
          <w:color w:val="000000" w:themeColor="text1"/>
        </w:rPr>
        <w:t>MiPymes</w:t>
      </w:r>
      <w:r w:rsidR="007E13A7" w:rsidRPr="00D33E27">
        <w:rPr>
          <w:rFonts w:ascii="Verdana" w:eastAsia="Arial" w:hAnsi="Verdana" w:cs="Arial"/>
          <w:color w:val="000000" w:themeColor="text1"/>
        </w:rPr>
        <w:t xml:space="preserve"> colombianas”, lo cual supone verificar los supuestos legales establecidos en los mencionados numerales.</w:t>
      </w:r>
    </w:p>
    <w:p w14:paraId="624B9E99" w14:textId="77777777" w:rsidR="000C2FC7" w:rsidRPr="00D33E27" w:rsidRDefault="000C2FC7" w:rsidP="000C2FC7">
      <w:pPr>
        <w:pStyle w:val="Prrafodelista"/>
        <w:rPr>
          <w:rFonts w:ascii="Verdana" w:hAnsi="Verdana" w:cs="Arial"/>
          <w:color w:val="000000" w:themeColor="text1"/>
        </w:rPr>
      </w:pPr>
    </w:p>
    <w:p w14:paraId="7A6C353E" w14:textId="5C45ADEB" w:rsidR="000559A4" w:rsidRPr="00D33E27" w:rsidRDefault="000C2FC7" w:rsidP="000559A4">
      <w:pPr>
        <w:pStyle w:val="Prrafodelista"/>
        <w:numPr>
          <w:ilvl w:val="0"/>
          <w:numId w:val="22"/>
        </w:numPr>
        <w:jc w:val="both"/>
        <w:rPr>
          <w:rFonts w:ascii="Verdana" w:eastAsia="Calibri" w:hAnsi="Verdana" w:cs="Arial"/>
          <w:lang w:val="es-ES_tradnl"/>
        </w:rPr>
      </w:pPr>
      <w:r w:rsidRPr="00D33E27">
        <w:rPr>
          <w:rFonts w:ascii="Verdana" w:hAnsi="Verdana" w:cs="Arial"/>
          <w:color w:val="000000" w:themeColor="text1"/>
        </w:rPr>
        <w:t xml:space="preserve">Cumplidos los dos requisitos del artículo 2.2.1.2.4.2.2 </w:t>
      </w:r>
      <w:proofErr w:type="spellStart"/>
      <w:r w:rsidRPr="00D33E27">
        <w:rPr>
          <w:rFonts w:ascii="Verdana" w:hAnsi="Verdana" w:cs="Arial"/>
          <w:i/>
          <w:iCs/>
          <w:color w:val="000000" w:themeColor="text1"/>
        </w:rPr>
        <w:t>ibídem</w:t>
      </w:r>
      <w:proofErr w:type="spellEnd"/>
      <w:r w:rsidRPr="00D33E27">
        <w:rPr>
          <w:rFonts w:ascii="Verdana" w:hAnsi="Verdana" w:cs="Arial"/>
          <w:color w:val="000000" w:themeColor="text1"/>
        </w:rPr>
        <w:t xml:space="preserve">, la </w:t>
      </w:r>
      <w:r w:rsidR="00064F3B" w:rsidRPr="00D33E27">
        <w:rPr>
          <w:rFonts w:ascii="Verdana" w:hAnsi="Verdana" w:cs="Arial"/>
          <w:color w:val="000000" w:themeColor="text1"/>
        </w:rPr>
        <w:t>E</w:t>
      </w:r>
      <w:r w:rsidRPr="00D33E27">
        <w:rPr>
          <w:rFonts w:ascii="Verdana" w:hAnsi="Verdana" w:cs="Arial"/>
          <w:color w:val="000000" w:themeColor="text1"/>
        </w:rPr>
        <w:t xml:space="preserve">ntidad </w:t>
      </w:r>
      <w:r w:rsidR="00064F3B" w:rsidRPr="00D33E27">
        <w:rPr>
          <w:rFonts w:ascii="Verdana" w:hAnsi="Verdana" w:cs="Arial"/>
          <w:color w:val="000000" w:themeColor="text1"/>
        </w:rPr>
        <w:t>E</w:t>
      </w:r>
      <w:r w:rsidRPr="00D33E27">
        <w:rPr>
          <w:rFonts w:ascii="Verdana" w:hAnsi="Verdana" w:cs="Arial"/>
          <w:color w:val="000000" w:themeColor="text1"/>
        </w:rPr>
        <w:t>statal,</w:t>
      </w:r>
      <w:r w:rsidR="00064F3B" w:rsidRPr="00D33E27">
        <w:rPr>
          <w:rFonts w:ascii="Verdana" w:hAnsi="Verdana" w:cs="Arial"/>
          <w:color w:val="000000" w:themeColor="text1"/>
        </w:rPr>
        <w:t xml:space="preserve"> </w:t>
      </w:r>
      <w:r w:rsidRPr="00D33E27">
        <w:rPr>
          <w:rFonts w:ascii="Verdana" w:hAnsi="Verdana" w:cs="Arial"/>
          <w:color w:val="000000" w:themeColor="text1"/>
        </w:rPr>
        <w:t xml:space="preserve">independientemente de su régimen de contratación, los patrimonios autónomos constituidos por </w:t>
      </w:r>
      <w:r w:rsidR="0009758D" w:rsidRPr="00D33E27">
        <w:rPr>
          <w:rFonts w:ascii="Verdana" w:hAnsi="Verdana" w:cs="Arial"/>
          <w:color w:val="000000" w:themeColor="text1"/>
        </w:rPr>
        <w:t>E</w:t>
      </w:r>
      <w:r w:rsidRPr="00D33E27">
        <w:rPr>
          <w:rFonts w:ascii="Verdana" w:hAnsi="Verdana" w:cs="Arial"/>
          <w:color w:val="000000" w:themeColor="text1"/>
        </w:rPr>
        <w:t xml:space="preserve">ntidades </w:t>
      </w:r>
      <w:r w:rsidR="0009758D" w:rsidRPr="00D33E27">
        <w:rPr>
          <w:rFonts w:ascii="Verdana" w:hAnsi="Verdana" w:cs="Arial"/>
          <w:color w:val="000000" w:themeColor="text1"/>
        </w:rPr>
        <w:t>E</w:t>
      </w:r>
      <w:r w:rsidRPr="00D33E27">
        <w:rPr>
          <w:rFonts w:ascii="Verdana" w:hAnsi="Verdana" w:cs="Arial"/>
          <w:color w:val="000000" w:themeColor="text1"/>
        </w:rPr>
        <w:t xml:space="preserve">statales y los particulares que ejecuten recursos públicos, pueden ─sin estar obligadas─ decidir si limitan la convocatoria a las </w:t>
      </w:r>
      <w:proofErr w:type="spellStart"/>
      <w:r w:rsidRPr="00D33E27">
        <w:rPr>
          <w:rFonts w:ascii="Verdana" w:hAnsi="Verdana" w:cs="Arial"/>
          <w:color w:val="000000" w:themeColor="text1"/>
        </w:rPr>
        <w:t>Mipyme</w:t>
      </w:r>
      <w:proofErr w:type="spellEnd"/>
      <w:r w:rsidRPr="00D33E27">
        <w:rPr>
          <w:rFonts w:ascii="Verdana" w:hAnsi="Verdana" w:cs="Arial"/>
          <w:color w:val="000000" w:themeColor="text1"/>
        </w:rPr>
        <w:t xml:space="preserve"> colombianas domiciliadas en el municipio o departamento en el que se ejecutará el contrato. Esto de acuerdo con el artículo 2.2.1.2.4.2.3 del Decreto 1082 de 2015 </w:t>
      </w:r>
      <w:r w:rsidRPr="00D33E27">
        <w:rPr>
          <w:rFonts w:ascii="Verdana" w:eastAsia="Arial" w:hAnsi="Verdana" w:cs="Arial"/>
          <w:color w:val="000000"/>
          <w:lang w:val="es-ES_tradnl"/>
        </w:rPr>
        <w:t>modificado por el Decreto 1860 de 2021</w:t>
      </w:r>
      <w:r w:rsidRPr="00D33E27">
        <w:rPr>
          <w:rFonts w:ascii="Verdana" w:hAnsi="Verdana" w:cs="Arial"/>
          <w:color w:val="000000" w:themeColor="text1"/>
        </w:rPr>
        <w:t xml:space="preserve">, norma que se refiere a la facultad de la administración con el verbo infinitivo “poder”, no “deber”. </w:t>
      </w:r>
    </w:p>
    <w:p w14:paraId="24439338" w14:textId="77777777" w:rsidR="000559A4" w:rsidRPr="00D33E27" w:rsidRDefault="000559A4" w:rsidP="000559A4">
      <w:pPr>
        <w:pStyle w:val="Prrafodelista"/>
        <w:rPr>
          <w:rFonts w:ascii="Verdana" w:hAnsi="Verdana" w:cs="Arial"/>
          <w:color w:val="000000" w:themeColor="text1"/>
        </w:rPr>
      </w:pPr>
    </w:p>
    <w:p w14:paraId="653DE95D" w14:textId="14FA6A6E" w:rsidR="002F11FE" w:rsidRPr="00D33E27" w:rsidRDefault="000559A4" w:rsidP="002F11FE">
      <w:pPr>
        <w:pStyle w:val="Prrafodelista"/>
        <w:numPr>
          <w:ilvl w:val="0"/>
          <w:numId w:val="22"/>
        </w:numPr>
        <w:jc w:val="both"/>
        <w:rPr>
          <w:rFonts w:ascii="Verdana" w:eastAsia="Calibri" w:hAnsi="Verdana" w:cs="Arial"/>
          <w:lang w:val="es-ES_tradnl"/>
        </w:rPr>
      </w:pPr>
      <w:r w:rsidRPr="00D33E27">
        <w:rPr>
          <w:rFonts w:ascii="Verdana" w:hAnsi="Verdana" w:cs="Arial"/>
          <w:color w:val="000000" w:themeColor="text1"/>
        </w:rPr>
        <w:t xml:space="preserve">En tal sentido, </w:t>
      </w:r>
      <w:r w:rsidRPr="00D33E27">
        <w:rPr>
          <w:rFonts w:ascii="Verdana" w:eastAsia="Calibri" w:hAnsi="Verdana" w:cs="Arial"/>
          <w:color w:val="000000" w:themeColor="text1"/>
        </w:rPr>
        <w:t>lo que debe adoptarse obligatoriamente es la</w:t>
      </w:r>
      <w:r w:rsidRPr="00D33E27">
        <w:rPr>
          <w:rFonts w:ascii="Verdana" w:hAnsi="Verdana" w:cs="Arial"/>
          <w:color w:val="000000" w:themeColor="text1"/>
        </w:rPr>
        <w:t xml:space="preserve"> limitación a </w:t>
      </w:r>
      <w:r w:rsidR="00527645" w:rsidRPr="00D33E27">
        <w:rPr>
          <w:rFonts w:ascii="Verdana" w:hAnsi="Verdana" w:cs="Arial"/>
          <w:color w:val="000000" w:themeColor="text1"/>
        </w:rPr>
        <w:t>MiPymes</w:t>
      </w:r>
      <w:r w:rsidRPr="00D33E27">
        <w:rPr>
          <w:rFonts w:ascii="Verdana" w:hAnsi="Verdana" w:cs="Arial"/>
          <w:color w:val="000000" w:themeColor="text1"/>
        </w:rPr>
        <w:t xml:space="preserve"> colombianas</w:t>
      </w:r>
      <w:r w:rsidRPr="00D33E27">
        <w:rPr>
          <w:rFonts w:ascii="Verdana" w:eastAsia="Calibri" w:hAnsi="Verdana" w:cs="Arial"/>
          <w:color w:val="000000" w:themeColor="text1"/>
        </w:rPr>
        <w:t xml:space="preserve"> siempre que se cumplan las condiciones del artículo 2.2.1.2.4.2.2 del Decreto 1082 de 2015, pero no la “limitación territorial” referida en el artículo 2.2.1.2.4.2.3 </w:t>
      </w:r>
      <w:proofErr w:type="spellStart"/>
      <w:r w:rsidRPr="00D33E27">
        <w:rPr>
          <w:rFonts w:ascii="Verdana" w:eastAsia="Calibri" w:hAnsi="Verdana" w:cs="Arial"/>
          <w:i/>
          <w:iCs/>
          <w:color w:val="000000" w:themeColor="text1"/>
        </w:rPr>
        <w:t>ibídem</w:t>
      </w:r>
      <w:proofErr w:type="spellEnd"/>
      <w:r w:rsidRPr="00D33E27">
        <w:rPr>
          <w:rFonts w:ascii="Verdana" w:eastAsia="Calibri" w:hAnsi="Verdana" w:cs="Arial"/>
          <w:color w:val="000000" w:themeColor="text1"/>
        </w:rPr>
        <w:t xml:space="preserve">, pues esta es facultativa para la </w:t>
      </w:r>
      <w:r w:rsidR="00ED02CA" w:rsidRPr="00D33E27">
        <w:rPr>
          <w:rFonts w:ascii="Verdana" w:eastAsia="Calibri" w:hAnsi="Verdana" w:cs="Arial"/>
          <w:color w:val="000000" w:themeColor="text1"/>
        </w:rPr>
        <w:t>E</w:t>
      </w:r>
      <w:r w:rsidRPr="00D33E27">
        <w:rPr>
          <w:rFonts w:ascii="Verdana" w:eastAsia="Calibri" w:hAnsi="Verdana" w:cs="Arial"/>
          <w:color w:val="000000" w:themeColor="text1"/>
        </w:rPr>
        <w:t>ntidad. Las únicas exigencias son que la convocatoria esté l</w:t>
      </w:r>
      <w:r w:rsidRPr="00D33E27">
        <w:rPr>
          <w:rFonts w:ascii="Verdana" w:hAnsi="Verdana" w:cs="Arial"/>
          <w:color w:val="000000" w:themeColor="text1"/>
        </w:rPr>
        <w:t xml:space="preserve">imitada a las </w:t>
      </w:r>
      <w:proofErr w:type="spellStart"/>
      <w:r w:rsidRPr="00D33E27">
        <w:rPr>
          <w:rFonts w:ascii="Verdana" w:hAnsi="Verdana" w:cs="Arial"/>
          <w:color w:val="000000" w:themeColor="text1"/>
        </w:rPr>
        <w:t>Mipyme</w:t>
      </w:r>
      <w:proofErr w:type="spellEnd"/>
      <w:r w:rsidRPr="00D33E27">
        <w:rPr>
          <w:rFonts w:ascii="Verdana" w:hAnsi="Verdana" w:cs="Arial"/>
          <w:color w:val="000000" w:themeColor="text1"/>
        </w:rPr>
        <w:t xml:space="preserve"> colombianas</w:t>
      </w:r>
      <w:r w:rsidRPr="00D33E27">
        <w:rPr>
          <w:rFonts w:ascii="Verdana" w:eastAsia="Calibri" w:hAnsi="Verdana" w:cs="Arial"/>
          <w:color w:val="000000" w:themeColor="text1"/>
        </w:rPr>
        <w:t xml:space="preserve"> “domiciliadas en los departamentos o municipios en donde se va a ejecutar el contrato” y que la entidad justifique su decisión con base en los “estudios del sector”</w:t>
      </w:r>
      <w:r w:rsidRPr="00D33E27">
        <w:rPr>
          <w:rStyle w:val="Refdenotaalpie"/>
          <w:rFonts w:ascii="Verdana" w:eastAsia="Calibri" w:hAnsi="Verdana" w:cs="Arial"/>
          <w:color w:val="000000" w:themeColor="text1"/>
        </w:rPr>
        <w:footnoteReference w:id="2"/>
      </w:r>
      <w:r w:rsidRPr="00D33E27">
        <w:rPr>
          <w:rFonts w:ascii="Verdana" w:eastAsia="Calibri" w:hAnsi="Verdana" w:cs="Arial"/>
          <w:color w:val="000000" w:themeColor="text1"/>
        </w:rPr>
        <w:t xml:space="preserve">. No es procedente, </w:t>
      </w:r>
      <w:r w:rsidRPr="00D33E27">
        <w:rPr>
          <w:rFonts w:ascii="Verdana" w:eastAsia="Calibri" w:hAnsi="Verdana" w:cs="Arial"/>
          <w:color w:val="000000" w:themeColor="text1"/>
        </w:rPr>
        <w:lastRenderedPageBreak/>
        <w:t xml:space="preserve">entonces, que sean las </w:t>
      </w:r>
      <w:r w:rsidR="00527645" w:rsidRPr="00D33E27">
        <w:rPr>
          <w:rFonts w:ascii="Verdana" w:eastAsia="Calibri" w:hAnsi="Verdana" w:cs="Arial"/>
          <w:color w:val="000000" w:themeColor="text1"/>
        </w:rPr>
        <w:t>MiPymes</w:t>
      </w:r>
      <w:r w:rsidRPr="00D33E27">
        <w:rPr>
          <w:rFonts w:ascii="Verdana" w:eastAsia="Calibri" w:hAnsi="Verdana" w:cs="Arial"/>
          <w:color w:val="000000" w:themeColor="text1"/>
        </w:rPr>
        <w:t xml:space="preserve"> las que soliciten la “limitación territorial” a la que se refiere el artículo 2.2.1.2.4.2.3 del Decreto 1082 de 2015. </w:t>
      </w:r>
    </w:p>
    <w:p w14:paraId="132E72D3" w14:textId="77777777" w:rsidR="002F11FE" w:rsidRPr="00D33E27" w:rsidRDefault="002F11FE" w:rsidP="002F11FE">
      <w:pPr>
        <w:pStyle w:val="Prrafodelista"/>
        <w:rPr>
          <w:rFonts w:ascii="Verdana" w:eastAsia="Calibri" w:hAnsi="Verdana" w:cs="Arial"/>
          <w:color w:val="000000" w:themeColor="text1"/>
        </w:rPr>
      </w:pPr>
    </w:p>
    <w:p w14:paraId="05A7905D" w14:textId="0F863D58" w:rsidR="00527645" w:rsidRPr="00D33E27" w:rsidRDefault="002F11FE" w:rsidP="00527645">
      <w:pPr>
        <w:pStyle w:val="Prrafodelista"/>
        <w:numPr>
          <w:ilvl w:val="0"/>
          <w:numId w:val="22"/>
        </w:numPr>
        <w:jc w:val="both"/>
        <w:rPr>
          <w:rFonts w:ascii="Verdana" w:eastAsia="Calibri" w:hAnsi="Verdana" w:cs="Arial"/>
          <w:lang w:val="es-ES_tradnl"/>
        </w:rPr>
      </w:pPr>
      <w:r w:rsidRPr="00D33E27">
        <w:rPr>
          <w:rFonts w:ascii="Verdana" w:eastAsia="Calibri" w:hAnsi="Verdana" w:cs="Arial"/>
          <w:color w:val="000000" w:themeColor="text1"/>
        </w:rPr>
        <w:t>E</w:t>
      </w:r>
      <w:r w:rsidRPr="00D33E27">
        <w:rPr>
          <w:rFonts w:ascii="Verdana" w:hAnsi="Verdana" w:cs="Arial"/>
          <w:color w:val="000000" w:themeColor="text1"/>
        </w:rPr>
        <w:t xml:space="preserve">l origen de las </w:t>
      </w:r>
      <w:proofErr w:type="spellStart"/>
      <w:r w:rsidRPr="00D33E27">
        <w:rPr>
          <w:rFonts w:ascii="Verdana" w:hAnsi="Verdana" w:cs="Arial"/>
          <w:color w:val="000000" w:themeColor="text1"/>
        </w:rPr>
        <w:t>Mipyme</w:t>
      </w:r>
      <w:proofErr w:type="spellEnd"/>
      <w:r w:rsidRPr="00D33E27">
        <w:rPr>
          <w:rFonts w:ascii="Verdana" w:eastAsia="Calibri" w:hAnsi="Verdana" w:cs="Arial"/>
          <w:color w:val="000000" w:themeColor="text1"/>
        </w:rPr>
        <w:t xml:space="preserve"> que solicitan la “limitación territorial” no es relevante frente a dicha decisión por dos razo</w:t>
      </w:r>
      <w:r w:rsidRPr="00D33E27">
        <w:rPr>
          <w:rFonts w:ascii="Verdana" w:hAnsi="Verdana" w:cs="Arial"/>
          <w:color w:val="000000" w:themeColor="text1"/>
        </w:rPr>
        <w:t xml:space="preserve">nes: primero, porque las </w:t>
      </w:r>
      <w:proofErr w:type="spellStart"/>
      <w:r w:rsidRPr="00D33E27">
        <w:rPr>
          <w:rFonts w:ascii="Verdana" w:hAnsi="Verdana" w:cs="Arial"/>
          <w:color w:val="000000" w:themeColor="text1"/>
        </w:rPr>
        <w:t>Mipyme</w:t>
      </w:r>
      <w:proofErr w:type="spellEnd"/>
      <w:r w:rsidRPr="00D33E27">
        <w:rPr>
          <w:rFonts w:ascii="Verdana" w:eastAsia="Calibri" w:hAnsi="Verdana" w:cs="Arial"/>
          <w:color w:val="000000" w:themeColor="text1"/>
        </w:rPr>
        <w:t xml:space="preserve"> no están habilitadas para pedir la “limitación territorial”, lo están para pedir la “convocatoria limitada a </w:t>
      </w:r>
      <w:r w:rsidR="00527645" w:rsidRPr="00D33E27">
        <w:rPr>
          <w:rFonts w:ascii="Verdana" w:eastAsia="Calibri" w:hAnsi="Verdana" w:cs="Arial"/>
          <w:color w:val="000000" w:themeColor="text1"/>
        </w:rPr>
        <w:t>MiPymes</w:t>
      </w:r>
      <w:r w:rsidRPr="00D33E27">
        <w:rPr>
          <w:rFonts w:ascii="Verdana" w:eastAsia="Calibri" w:hAnsi="Verdana" w:cs="Arial"/>
          <w:color w:val="000000" w:themeColor="text1"/>
        </w:rPr>
        <w:t>”, y, segundo, porque el único criterio para tener en cuenta, una vez se ha decidido justificadamente limitar territorialmente la convocatori</w:t>
      </w:r>
      <w:r w:rsidRPr="00D33E27">
        <w:rPr>
          <w:rFonts w:ascii="Verdana" w:hAnsi="Verdana" w:cs="Arial"/>
          <w:color w:val="000000" w:themeColor="text1"/>
        </w:rPr>
        <w:t xml:space="preserve">a previamente limitada a </w:t>
      </w:r>
      <w:proofErr w:type="spellStart"/>
      <w:r w:rsidRPr="00D33E27">
        <w:rPr>
          <w:rFonts w:ascii="Verdana" w:hAnsi="Verdana" w:cs="Arial"/>
          <w:color w:val="000000" w:themeColor="text1"/>
        </w:rPr>
        <w:t>Mipyme</w:t>
      </w:r>
      <w:proofErr w:type="spellEnd"/>
      <w:r w:rsidRPr="00D33E27">
        <w:rPr>
          <w:rFonts w:ascii="Verdana" w:eastAsia="Calibri" w:hAnsi="Verdana" w:cs="Arial"/>
          <w:color w:val="000000" w:themeColor="text1"/>
        </w:rPr>
        <w:t>, es el lugar donde se va a ejecutar el contrato.</w:t>
      </w:r>
    </w:p>
    <w:p w14:paraId="0859FD88" w14:textId="77777777" w:rsidR="00527645" w:rsidRPr="00D33E27" w:rsidRDefault="00527645" w:rsidP="00527645">
      <w:pPr>
        <w:pStyle w:val="Prrafodelista"/>
        <w:rPr>
          <w:rFonts w:ascii="Verdana" w:eastAsia="Calibri" w:hAnsi="Verdana" w:cs="Arial"/>
          <w:color w:val="000000" w:themeColor="text1"/>
        </w:rPr>
      </w:pPr>
    </w:p>
    <w:p w14:paraId="034A9611" w14:textId="6F49D973" w:rsidR="00527645" w:rsidRPr="00D33E27" w:rsidRDefault="00527645" w:rsidP="00527645">
      <w:pPr>
        <w:pStyle w:val="Prrafodelista"/>
        <w:numPr>
          <w:ilvl w:val="0"/>
          <w:numId w:val="22"/>
        </w:numPr>
        <w:jc w:val="both"/>
        <w:rPr>
          <w:rFonts w:ascii="Verdana" w:eastAsia="Calibri" w:hAnsi="Verdana" w:cs="Arial"/>
          <w:lang w:val="es-ES_tradnl"/>
        </w:rPr>
      </w:pPr>
      <w:r w:rsidRPr="00D33E27">
        <w:rPr>
          <w:rFonts w:ascii="Verdana" w:eastAsia="Calibri" w:hAnsi="Verdana" w:cs="Arial"/>
          <w:color w:val="000000" w:themeColor="text1"/>
        </w:rPr>
        <w:t xml:space="preserve">En resumen, la decisión de limitar o no territorialmente una convocatoria limitada a </w:t>
      </w:r>
      <w:r w:rsidR="000D771D" w:rsidRPr="00D33E27">
        <w:rPr>
          <w:rFonts w:ascii="Verdana" w:eastAsia="Calibri" w:hAnsi="Verdana" w:cs="Arial"/>
          <w:color w:val="000000" w:themeColor="text1"/>
        </w:rPr>
        <w:t>MiPymes</w:t>
      </w:r>
      <w:r w:rsidRPr="00D33E27">
        <w:rPr>
          <w:rFonts w:ascii="Verdana" w:eastAsia="Calibri" w:hAnsi="Verdana" w:cs="Arial"/>
          <w:color w:val="000000" w:themeColor="text1"/>
        </w:rPr>
        <w:t xml:space="preserve"> nacionales es una facultad discrecional, de manera que</w:t>
      </w:r>
      <w:r w:rsidRPr="00D33E27">
        <w:rPr>
          <w:rFonts w:ascii="Verdana" w:eastAsia="Arial" w:hAnsi="Verdana" w:cs="Arial"/>
          <w:color w:val="000000"/>
        </w:rPr>
        <w:t xml:space="preserve"> la </w:t>
      </w:r>
      <w:r w:rsidR="0069401C" w:rsidRPr="00D33E27">
        <w:rPr>
          <w:rFonts w:ascii="Verdana" w:eastAsia="Arial" w:hAnsi="Verdana" w:cs="Arial"/>
          <w:color w:val="000000"/>
        </w:rPr>
        <w:t>E</w:t>
      </w:r>
      <w:r w:rsidRPr="00D33E27">
        <w:rPr>
          <w:rFonts w:ascii="Verdana" w:eastAsia="Arial" w:hAnsi="Verdana" w:cs="Arial"/>
          <w:color w:val="000000"/>
        </w:rPr>
        <w:t>ntidad contratante valorará si es oportuno y conveniente adoptarla</w:t>
      </w:r>
      <w:r w:rsidRPr="00D33E27">
        <w:rPr>
          <w:rStyle w:val="Refdenotaalpie"/>
          <w:rFonts w:ascii="Verdana" w:eastAsia="Arial" w:hAnsi="Verdana" w:cs="Arial"/>
          <w:color w:val="000000"/>
        </w:rPr>
        <w:footnoteReference w:id="3"/>
      </w:r>
      <w:r w:rsidRPr="00D33E27">
        <w:rPr>
          <w:rFonts w:ascii="Verdana" w:eastAsia="Arial" w:hAnsi="Verdana" w:cs="Arial"/>
          <w:color w:val="000000"/>
        </w:rPr>
        <w:t xml:space="preserve">.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 En cada caso concreto, las consecuencias del incumplimiento </w:t>
      </w:r>
      <w:r w:rsidRPr="00D33E27">
        <w:rPr>
          <w:rFonts w:ascii="Verdana" w:eastAsia="Arial" w:hAnsi="Verdana" w:cs="Arial"/>
          <w:color w:val="000000"/>
        </w:rPr>
        <w:lastRenderedPageBreak/>
        <w:t xml:space="preserve">de este deber serán analizadas por el juez del contrato previo ejercicio del derecho de acción, bajo en el entendido que la falsa de motivación es uno de los vicios invalidantes de los actos administrativos –art. 137, inc. 2, de la Ley 1437 de 2011–.   </w:t>
      </w:r>
    </w:p>
    <w:p w14:paraId="7C2E49D2" w14:textId="77777777" w:rsidR="004E39D4" w:rsidRPr="00D33E27" w:rsidRDefault="004E39D4" w:rsidP="004E39D4">
      <w:pPr>
        <w:pStyle w:val="Prrafodelista"/>
        <w:jc w:val="both"/>
        <w:rPr>
          <w:rFonts w:ascii="Verdana" w:eastAsia="Calibri" w:hAnsi="Verdana" w:cs="Arial"/>
          <w:lang w:val="es-ES_tradnl"/>
        </w:rPr>
      </w:pPr>
    </w:p>
    <w:p w14:paraId="50AC4DCF" w14:textId="1531D4DC" w:rsidR="004E39D4" w:rsidRPr="00D33E27" w:rsidRDefault="00B133E4" w:rsidP="57481DD5">
      <w:pPr>
        <w:pStyle w:val="Prrafodelista"/>
        <w:numPr>
          <w:ilvl w:val="0"/>
          <w:numId w:val="22"/>
        </w:numPr>
        <w:jc w:val="both"/>
        <w:rPr>
          <w:rFonts w:ascii="Verdana" w:eastAsia="Calibri" w:hAnsi="Verdana" w:cs="Arial"/>
        </w:rPr>
      </w:pPr>
      <w:r w:rsidRPr="00D33E27">
        <w:rPr>
          <w:rFonts w:ascii="Verdana" w:eastAsia="Calibri" w:hAnsi="Verdana" w:cs="Arial"/>
        </w:rPr>
        <w:t>De otro lado</w:t>
      </w:r>
      <w:r w:rsidR="009542ED" w:rsidRPr="00D33E27">
        <w:rPr>
          <w:rFonts w:ascii="Verdana" w:eastAsia="Calibri" w:hAnsi="Verdana" w:cs="Arial"/>
        </w:rPr>
        <w:t>,</w:t>
      </w:r>
      <w:r w:rsidRPr="00D33E27">
        <w:rPr>
          <w:rFonts w:ascii="Verdana" w:eastAsia="Calibri" w:hAnsi="Verdana" w:cs="Arial"/>
        </w:rPr>
        <w:t xml:space="preserve"> </w:t>
      </w:r>
      <w:r w:rsidR="004E39D4" w:rsidRPr="00D33E27">
        <w:rPr>
          <w:rFonts w:ascii="Verdana" w:eastAsia="Calibri" w:hAnsi="Verdana" w:cs="Arial"/>
        </w:rPr>
        <w:t xml:space="preserve">es necesario hacer alusión al régimen de inhabilidades e incompatibilidades para contratar con el Estado, en este sentido, ha de precisarse que </w:t>
      </w:r>
      <w:r w:rsidR="005748F2" w:rsidRPr="00D33E27">
        <w:rPr>
          <w:rFonts w:ascii="Verdana" w:eastAsia="Calibri" w:hAnsi="Verdana" w:cs="Arial"/>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E016532" w14:textId="77777777" w:rsidR="00AC6B03" w:rsidRPr="00D33E27" w:rsidRDefault="00AC6B03" w:rsidP="00AC6B03">
      <w:pPr>
        <w:pStyle w:val="Prrafodelista"/>
        <w:rPr>
          <w:rFonts w:ascii="Verdana" w:eastAsia="Calibri" w:hAnsi="Verdana" w:cs="Arial"/>
          <w:lang w:val="es-ES_tradnl"/>
        </w:rPr>
      </w:pPr>
    </w:p>
    <w:p w14:paraId="7AA452E2" w14:textId="0B849F7A" w:rsidR="00056C06" w:rsidRPr="00D33E27" w:rsidRDefault="00056C06" w:rsidP="00056C06">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E</w:t>
      </w:r>
      <w:r w:rsidR="00AC6B03" w:rsidRPr="00D33E27">
        <w:rPr>
          <w:rFonts w:ascii="Verdana" w:eastAsia="Calibri" w:hAnsi="Verdana" w:cs="Arial"/>
          <w:lang w:val="es-ES_tradnl"/>
        </w:rPr>
        <w:t>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120142" w:rsidRPr="00D33E27">
        <w:rPr>
          <w:rFonts w:ascii="Verdana" w:eastAsia="Calibri" w:hAnsi="Verdana" w:cs="Arial"/>
          <w:lang w:val="es-ES_tradnl"/>
        </w:rPr>
        <w:t>.</w:t>
      </w:r>
    </w:p>
    <w:p w14:paraId="0D0CB113" w14:textId="77777777" w:rsidR="00056C06" w:rsidRPr="00D33E27" w:rsidRDefault="00056C06" w:rsidP="00056C06">
      <w:pPr>
        <w:pStyle w:val="Prrafodelista"/>
        <w:rPr>
          <w:rFonts w:ascii="Verdana" w:eastAsia="Calibri" w:hAnsi="Verdana" w:cs="Arial"/>
        </w:rPr>
      </w:pPr>
    </w:p>
    <w:p w14:paraId="066350EE" w14:textId="1208E776" w:rsidR="00056C06" w:rsidRPr="00D33E27" w:rsidRDefault="00056C06" w:rsidP="00056C06">
      <w:pPr>
        <w:pStyle w:val="Prrafodelista"/>
        <w:numPr>
          <w:ilvl w:val="0"/>
          <w:numId w:val="22"/>
        </w:numPr>
        <w:jc w:val="both"/>
        <w:rPr>
          <w:rFonts w:ascii="Verdana" w:eastAsia="Calibri" w:hAnsi="Verdana" w:cs="Arial"/>
          <w:lang w:val="es-ES_tradnl"/>
        </w:rPr>
      </w:pPr>
      <w:r w:rsidRPr="00D33E27">
        <w:rPr>
          <w:rFonts w:ascii="Verdana" w:eastAsia="Calibri" w:hAnsi="Verdana" w:cs="Arial"/>
        </w:rPr>
        <w:t>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p w14:paraId="6A1DADDE" w14:textId="77777777" w:rsidR="008E7EEE" w:rsidRPr="00D33E27" w:rsidRDefault="008E7EEE" w:rsidP="008E7EEE">
      <w:pPr>
        <w:pStyle w:val="Prrafodelista"/>
        <w:rPr>
          <w:rFonts w:ascii="Verdana" w:eastAsia="Calibri" w:hAnsi="Verdana" w:cs="Arial"/>
          <w:lang w:val="es-ES_tradnl"/>
        </w:rPr>
      </w:pPr>
    </w:p>
    <w:p w14:paraId="555CF486" w14:textId="61D333B4" w:rsidR="008E7EEE" w:rsidRPr="00D33E27" w:rsidRDefault="008E7EEE" w:rsidP="57481DD5">
      <w:pPr>
        <w:pStyle w:val="Prrafodelista"/>
        <w:numPr>
          <w:ilvl w:val="0"/>
          <w:numId w:val="22"/>
        </w:numPr>
        <w:jc w:val="both"/>
        <w:rPr>
          <w:rFonts w:ascii="Verdana" w:eastAsia="Calibri" w:hAnsi="Verdana" w:cs="Arial"/>
        </w:rPr>
      </w:pPr>
      <w:r w:rsidRPr="00D33E27">
        <w:rPr>
          <w:rFonts w:ascii="Verdana" w:eastAsia="Calibri" w:hAnsi="Verdana" w:cs="Arial"/>
        </w:rPr>
        <w:t xml:space="preserve">Dicho lo anterior, </w:t>
      </w:r>
      <w:r w:rsidR="009D2C0C" w:rsidRPr="00D33E27">
        <w:rPr>
          <w:rFonts w:ascii="Verdana" w:eastAsia="Calibri" w:hAnsi="Verdana" w:cs="Arial"/>
        </w:rPr>
        <w:t>c</w:t>
      </w:r>
      <w:r w:rsidR="00C42410" w:rsidRPr="00D33E27">
        <w:rPr>
          <w:rFonts w:ascii="Verdana" w:eastAsia="Calibri" w:hAnsi="Verdana" w:cs="Arial"/>
        </w:rPr>
        <w:t xml:space="preserve">onviene distinguir las fuentes de las inhabilidades, las cuales han sido clasificadas en dos (2) grupos: i) inhabilidades-sanción y </w:t>
      </w:r>
      <w:proofErr w:type="spellStart"/>
      <w:r w:rsidR="00C42410" w:rsidRPr="00D33E27">
        <w:rPr>
          <w:rFonts w:ascii="Verdana" w:eastAsia="Calibri" w:hAnsi="Verdana" w:cs="Arial"/>
        </w:rPr>
        <w:t>ii</w:t>
      </w:r>
      <w:proofErr w:type="spellEnd"/>
      <w:r w:rsidR="00C42410" w:rsidRPr="00D33E27">
        <w:rPr>
          <w:rFonts w:ascii="Verdana" w:eastAsia="Calibri" w:hAnsi="Verdana" w:cs="Arial"/>
        </w:rP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w:t>
      </w:r>
      <w:r w:rsidR="009D2C0C" w:rsidRPr="00D33E27">
        <w:rPr>
          <w:rFonts w:ascii="Verdana" w:eastAsia="Calibri" w:hAnsi="Verdana" w:cs="Arial"/>
        </w:rPr>
        <w:t>transparencia.</w:t>
      </w:r>
    </w:p>
    <w:p w14:paraId="7A8A2105" w14:textId="77777777" w:rsidR="006B217E" w:rsidRPr="00D33E27" w:rsidRDefault="006B217E" w:rsidP="006B217E">
      <w:pPr>
        <w:pStyle w:val="Prrafodelista"/>
        <w:rPr>
          <w:rFonts w:ascii="Verdana" w:eastAsia="Calibri" w:hAnsi="Verdana" w:cs="Arial"/>
          <w:lang w:val="es-ES_tradnl"/>
        </w:rPr>
      </w:pPr>
    </w:p>
    <w:p w14:paraId="78BC8C12" w14:textId="77777777" w:rsidR="00E65FFF" w:rsidRPr="00D33E27" w:rsidRDefault="006B217E" w:rsidP="00E65FFF">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lastRenderedPageBreak/>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35A3B84F" w14:textId="77777777" w:rsidR="00E65FFF" w:rsidRPr="00D33E27" w:rsidRDefault="00E65FFF" w:rsidP="00E65FFF">
      <w:pPr>
        <w:pStyle w:val="Prrafodelista"/>
        <w:jc w:val="both"/>
        <w:rPr>
          <w:rFonts w:ascii="Verdana" w:eastAsia="Calibri" w:hAnsi="Verdana" w:cs="Arial"/>
          <w:lang w:val="es-ES_tradnl"/>
        </w:rPr>
      </w:pPr>
    </w:p>
    <w:p w14:paraId="3AF2F710" w14:textId="31B8CC9A" w:rsidR="000B1E5B" w:rsidRPr="00D33E27" w:rsidRDefault="00AE3B3D" w:rsidP="00E65FFF">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En línea con lo expuesto</w:t>
      </w:r>
      <w:r w:rsidR="000B1E5B" w:rsidRPr="00D33E27">
        <w:rPr>
          <w:rFonts w:ascii="Verdana" w:eastAsia="Calibri" w:hAnsi="Verdana" w:cs="Arial"/>
          <w:lang w:val="es-ES_tradnl"/>
        </w:rPr>
        <w:t>,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restrictiva ,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w:t>
      </w:r>
    </w:p>
    <w:p w14:paraId="7CD0F56F" w14:textId="77777777" w:rsidR="00C023A5" w:rsidRPr="00D33E27" w:rsidRDefault="00C023A5" w:rsidP="00C023A5">
      <w:pPr>
        <w:pStyle w:val="Prrafodelista"/>
        <w:rPr>
          <w:rFonts w:ascii="Verdana" w:eastAsia="Calibri" w:hAnsi="Verdana" w:cs="Arial"/>
          <w:lang w:val="es-ES_tradnl"/>
        </w:rPr>
      </w:pPr>
    </w:p>
    <w:p w14:paraId="27E600CC" w14:textId="77777777" w:rsidR="009C4BF4" w:rsidRPr="00D33E27" w:rsidRDefault="006A4B54" w:rsidP="009C4BF4">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En lo que respecta a inhabilidades por consanguinidad resulta a bien señalar que el literal g) del numeral 1 del artículo 8 de la Ley 80 de 1993 determina que son inhábiles para participar en Procesos de Contratación o suscribir contratos con Entidades Estatales “Quienes sean cónyuges o compañeros permanentes y quiénes se encuentren dentro del segundo grado de consanguinidad o segundo de afinidad con cualquier otra persona que formalmente haya presentado propuesta para una misma licitación”. Similar prohibición, se encuentra en el literal h) del numeral 1 ibidem, cuando la participación simultánea en el proceso es de sociedades, distintas a las sociedades anónimas abiertas.</w:t>
      </w:r>
    </w:p>
    <w:p w14:paraId="3DB96AFA" w14:textId="77777777" w:rsidR="009C4BF4" w:rsidRPr="00D33E27" w:rsidRDefault="009C4BF4" w:rsidP="009C4BF4">
      <w:pPr>
        <w:pStyle w:val="Prrafodelista"/>
        <w:rPr>
          <w:rFonts w:ascii="Verdana" w:eastAsia="Calibri" w:hAnsi="Verdana" w:cs="Arial"/>
          <w:lang w:val="es-ES_tradnl"/>
        </w:rPr>
      </w:pPr>
    </w:p>
    <w:p w14:paraId="25A218D0" w14:textId="77777777" w:rsidR="00D34140" w:rsidRPr="00D33E27" w:rsidRDefault="009C4BF4" w:rsidP="00D34140">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lastRenderedPageBreak/>
        <w:t>Dichas inhabilidades tienen fundamento en las relaciones familiares o de parentesco, tales como los cónyuges o compañeros permanentes, así como aquellas personas respecto de las cuales se predican relaciones de consanguinidad o afinidad hasta el segundo grado. Esto implica que las referidas causales de inhabilidad se instituyen, única y exclusivamente, con el propósito de limitar la capacidad en la participación en Procesos de Contratación de las denominadas personas naturales</w:t>
      </w:r>
      <w:r w:rsidRPr="00D33E27">
        <w:rPr>
          <w:rFonts w:ascii="Verdana" w:hAnsi="Verdana"/>
          <w:vertAlign w:val="superscript"/>
        </w:rPr>
        <w:footnoteReference w:id="4"/>
      </w:r>
      <w:r w:rsidRPr="00D33E27">
        <w:rPr>
          <w:rFonts w:ascii="Verdana" w:eastAsia="Calibri" w:hAnsi="Verdana" w:cs="Arial"/>
        </w:rPr>
        <w:t>, esto es, sujetos de derechos y obligaciones de la especie humana unidos entre sí, ya sea por vínculos naturales o jurídicos</w:t>
      </w:r>
      <w:r w:rsidRPr="00D33E27">
        <w:rPr>
          <w:rFonts w:ascii="Verdana" w:hAnsi="Verdana"/>
          <w:vertAlign w:val="superscript"/>
        </w:rPr>
        <w:footnoteReference w:id="5"/>
      </w:r>
      <w:r w:rsidRPr="00D33E27">
        <w:rPr>
          <w:rFonts w:ascii="Verdana" w:eastAsia="Calibri" w:hAnsi="Verdana" w:cs="Arial"/>
        </w:rPr>
        <w:t>.</w:t>
      </w:r>
    </w:p>
    <w:p w14:paraId="569EB203" w14:textId="77777777" w:rsidR="00D34140" w:rsidRPr="00D33E27" w:rsidRDefault="00D34140" w:rsidP="00D34140">
      <w:pPr>
        <w:pStyle w:val="Prrafodelista"/>
        <w:rPr>
          <w:rFonts w:ascii="Verdana" w:eastAsia="Calibri" w:hAnsi="Verdana" w:cs="Arial"/>
          <w:lang w:val="es-ES_tradnl"/>
        </w:rPr>
      </w:pPr>
    </w:p>
    <w:p w14:paraId="4C5E76B2" w14:textId="77777777" w:rsidR="00D50013" w:rsidRPr="00D33E27" w:rsidRDefault="00D34140" w:rsidP="00D50013">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En cuanto a los grados del parentesco, ya sea de consanguinidad o de afinidad</w:t>
      </w:r>
      <w:r w:rsidRPr="00D33E27">
        <w:rPr>
          <w:rFonts w:ascii="Verdana" w:hAnsi="Verdana"/>
          <w:vertAlign w:val="superscript"/>
        </w:rPr>
        <w:footnoteReference w:id="6"/>
      </w:r>
      <w:r w:rsidRPr="00D33E27">
        <w:rPr>
          <w:rFonts w:ascii="Verdana" w:eastAsia="Calibri" w:hAnsi="Verdana" w:cs="Arial"/>
          <w:lang w:val="es-ES_tradnl"/>
        </w:rPr>
        <w:t>,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5EFC7390" w14:textId="77777777" w:rsidR="00D50013" w:rsidRPr="00D33E27" w:rsidRDefault="00D50013" w:rsidP="00D50013">
      <w:pPr>
        <w:pStyle w:val="Prrafodelista"/>
        <w:rPr>
          <w:rFonts w:ascii="Verdana" w:eastAsia="Calibri" w:hAnsi="Verdana" w:cs="Arial"/>
          <w:lang w:val="es-ES_tradnl" w:eastAsia="es-CO"/>
        </w:rPr>
      </w:pPr>
    </w:p>
    <w:p w14:paraId="49A37094" w14:textId="19C8EDFB" w:rsidR="00D50013" w:rsidRPr="00D33E27" w:rsidRDefault="00F475D6" w:rsidP="00D50013">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eastAsia="es-CO"/>
        </w:rPr>
        <w:t xml:space="preserve">La Corte Constitucional justifica estas inhabilidades en la medida que garantizan la competencia en igualdad de oportunidades para los proponentes que participan en los Procesos de Contratación, así como la selección objetiva del contratista que se traduce en la obtención de mejores condiciones en la celebración del negocio jurídico propuesto por la Entidad Estatal contratante, materializándose los fines de la contratación estatal, especialmente, la satisfacción del interés general. </w:t>
      </w:r>
      <w:r w:rsidRPr="00D33E27">
        <w:rPr>
          <w:rFonts w:ascii="Verdana" w:eastAsia="Calibri" w:hAnsi="Verdana" w:cs="Arial"/>
          <w:i/>
          <w:iCs/>
          <w:lang w:val="es-ES_tradnl" w:eastAsia="es-CO"/>
        </w:rPr>
        <w:t>Contrario sensu</w:t>
      </w:r>
      <w:r w:rsidRPr="00D33E27">
        <w:rPr>
          <w:rFonts w:ascii="Verdana" w:eastAsia="Calibri" w:hAnsi="Verdana" w:cs="Arial"/>
          <w:lang w:val="es-ES_tradnl" w:eastAsia="es-CO"/>
        </w:rPr>
        <w:t xml:space="preserve">, en virtud de la lealtad e intimidad propias de las relaciones familiares, la participación en Procesos de Contratación de </w:t>
      </w:r>
      <w:r w:rsidRPr="00D33E27">
        <w:rPr>
          <w:rFonts w:ascii="Verdana" w:eastAsia="Calibri" w:hAnsi="Verdana" w:cs="Arial"/>
          <w:lang w:val="es-ES_tradnl" w:eastAsia="es-CO"/>
        </w:rPr>
        <w:lastRenderedPageBreak/>
        <w:t>personas unidas por vínculos familiares frustran la igualdad de oportunidades entre los participantes, así como la obtención de mejores condiciones de contratación para el Estado, pues los miembros de una misma familia pueden concertar entre sí con el propósito de hacerse al contrato y obtener un provecho económico, en perjuicio tanto de los demás participantes como del Estado, y en contravía de los principios que rigen la contratación pública y la función administrativa, especialmente, los de transparencia y moralidad</w:t>
      </w:r>
      <w:r w:rsidR="008149D8" w:rsidRPr="00D33E27">
        <w:rPr>
          <w:rFonts w:ascii="Verdana" w:eastAsia="Calibri" w:hAnsi="Verdana" w:cs="Arial"/>
          <w:lang w:val="es-ES_tradnl" w:eastAsia="es-CO"/>
        </w:rPr>
        <w:t>.</w:t>
      </w:r>
    </w:p>
    <w:p w14:paraId="0D1CF517" w14:textId="77777777" w:rsidR="00D50013" w:rsidRPr="00D33E27" w:rsidRDefault="00D50013" w:rsidP="00D50013">
      <w:pPr>
        <w:pStyle w:val="Prrafodelista"/>
        <w:jc w:val="both"/>
        <w:rPr>
          <w:rFonts w:ascii="Verdana" w:eastAsia="Calibri" w:hAnsi="Verdana" w:cs="Arial"/>
          <w:lang w:val="es-ES_tradnl"/>
        </w:rPr>
      </w:pPr>
    </w:p>
    <w:p w14:paraId="15C0CD69" w14:textId="41471204" w:rsidR="007760CB" w:rsidRPr="00D33E27" w:rsidRDefault="008149D8" w:rsidP="007760CB">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 xml:space="preserve">Finalmente, </w:t>
      </w:r>
      <w:r w:rsidR="00657A38" w:rsidRPr="00D33E27">
        <w:rPr>
          <w:rFonts w:ascii="Verdana" w:eastAsia="Calibri" w:hAnsi="Verdana" w:cs="Arial"/>
          <w:lang w:val="es-ES_tradnl"/>
        </w:rPr>
        <w:t xml:space="preserve">resulta a lugar señalar que </w:t>
      </w:r>
      <w:r w:rsidR="00D50013" w:rsidRPr="00D33E27">
        <w:rPr>
          <w:rFonts w:ascii="Verdana" w:eastAsia="Calibri" w:hAnsi="Verdana" w:cs="Arial"/>
          <w:lang w:val="es-ES_tradnl"/>
        </w:rPr>
        <w:t>para acreditar que los proponentes no se encuentran incursos en inhabilidades, es válido que las Entidades Estatales,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la luz de las normas procesales</w:t>
      </w:r>
      <w:r w:rsidR="00D50013" w:rsidRPr="00D33E27">
        <w:rPr>
          <w:rFonts w:ascii="Verdana" w:hAnsi="Verdana"/>
          <w:vertAlign w:val="superscript"/>
        </w:rPr>
        <w:footnoteReference w:id="7"/>
      </w:r>
      <w:r w:rsidR="00D50013" w:rsidRPr="00D33E27">
        <w:rPr>
          <w:rFonts w:ascii="Verdana" w:eastAsia="Calibri" w:hAnsi="Verdana" w:cs="Arial"/>
          <w:lang w:val="es-ES_tradnl"/>
        </w:rPr>
        <w:t>. La negación en la que consiste tal declaración, siempre que sea formulada de forma fidedigna o general, respecto del régimen de inhabilidades e incompatibilidades, o aludiendo específicamente a los literales g) y h) del numeral 1 del artículo 8 de la Ley 80 de 1993, cobijan el supuesto de hecho al que se refiere dicha norma. En ese sentido, el proponente mediante tal declaración acredita no estar incurso en las inhabilidades bajo estudio.</w:t>
      </w:r>
    </w:p>
    <w:p w14:paraId="2094F403" w14:textId="77777777" w:rsidR="007760CB" w:rsidRPr="00D33E27" w:rsidRDefault="007760CB" w:rsidP="007760CB">
      <w:pPr>
        <w:pStyle w:val="Prrafodelista"/>
        <w:rPr>
          <w:rFonts w:ascii="Verdana" w:eastAsia="Calibri" w:hAnsi="Verdana" w:cs="Arial"/>
          <w:lang w:val="es-ES_tradnl"/>
        </w:rPr>
      </w:pPr>
    </w:p>
    <w:p w14:paraId="30F9E561" w14:textId="77777777" w:rsidR="00111288" w:rsidRPr="00D33E27" w:rsidRDefault="00D50013" w:rsidP="00111288">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 xml:space="preserve">No obstante, tal declaración no exime a la Entidad Estatal del deber de ejercer la potestad verificadora que le compete, respecto de la acreditación de la capacidad jurídica, en lo atinente a las inhabilidades </w:t>
      </w:r>
      <w:r w:rsidR="007760CB" w:rsidRPr="00D33E27">
        <w:rPr>
          <w:rFonts w:ascii="Verdana" w:eastAsia="Calibri" w:hAnsi="Verdana" w:cs="Arial"/>
          <w:lang w:val="es-ES_tradnl"/>
        </w:rPr>
        <w:t xml:space="preserve">del </w:t>
      </w:r>
      <w:r w:rsidR="007760CB" w:rsidRPr="00D33E27">
        <w:rPr>
          <w:rFonts w:ascii="Verdana" w:eastAsia="Calibri" w:hAnsi="Verdana" w:cs="Arial"/>
          <w:lang w:val="es-ES_tradnl"/>
        </w:rPr>
        <w:lastRenderedPageBreak/>
        <w:t>literal</w:t>
      </w:r>
      <w:r w:rsidRPr="00D33E27">
        <w:rPr>
          <w:rFonts w:ascii="Verdana" w:eastAsia="Calibri" w:hAnsi="Verdana" w:cs="Arial"/>
          <w:lang w:val="es-ES_tradnl"/>
        </w:rPr>
        <w:t xml:space="preserve"> g) del numeral 1 del artículo 8</w:t>
      </w:r>
      <w:r w:rsidRPr="00D33E27">
        <w:rPr>
          <w:rFonts w:ascii="Verdana" w:hAnsi="Verdana" w:cs="Arial"/>
          <w:i/>
          <w:iCs/>
        </w:rPr>
        <w:t xml:space="preserve"> ibidem, </w:t>
      </w:r>
      <w:r w:rsidRPr="00D33E27">
        <w:rPr>
          <w:rFonts w:ascii="Verdana" w:hAnsi="Verdana" w:cs="Arial"/>
        </w:rPr>
        <w:t xml:space="preserve">cuando en el marco de la evaluación de las propuestas, se tienen dudas en relación con la configuración de dicha </w:t>
      </w:r>
      <w:r w:rsidRPr="00D33E27">
        <w:rPr>
          <w:rFonts w:ascii="Verdana" w:eastAsia="Calibri" w:hAnsi="Verdana" w:cs="Arial"/>
          <w:lang w:val="es-ES_tradnl"/>
        </w:rPr>
        <w:t>inhabilidad. En ese sentido, en primer lugar, si en el marco de la evaluación de ofertas, antes de la publicación del respectivo informe, la Entidad Estatal tiene conocimiento de circunstancias que le indiquen la eventual configuración de la respectiva inhabilidad, tiene posibilidad de solicitar a los proponentes el esclarecimiento de dicha circunstancia, exigiendo las explicaciones y aclaraciones que sean procedentes.</w:t>
      </w:r>
    </w:p>
    <w:p w14:paraId="067FACB7" w14:textId="77777777" w:rsidR="00111288" w:rsidRPr="00D33E27" w:rsidRDefault="00111288" w:rsidP="00111288">
      <w:pPr>
        <w:pStyle w:val="Prrafodelista"/>
        <w:rPr>
          <w:rFonts w:ascii="Verdana" w:eastAsia="Calibri" w:hAnsi="Verdana" w:cs="Arial"/>
          <w:lang w:val="es-ES_tradnl"/>
        </w:rPr>
      </w:pPr>
    </w:p>
    <w:p w14:paraId="44A0E62C" w14:textId="0CA93E28" w:rsidR="00111288" w:rsidRPr="00D33E27" w:rsidRDefault="00111288" w:rsidP="57481DD5">
      <w:pPr>
        <w:pStyle w:val="Prrafodelista"/>
        <w:numPr>
          <w:ilvl w:val="0"/>
          <w:numId w:val="22"/>
        </w:numPr>
        <w:jc w:val="both"/>
        <w:rPr>
          <w:rFonts w:ascii="Verdana" w:eastAsia="Calibri" w:hAnsi="Verdana" w:cs="Arial"/>
        </w:rPr>
      </w:pPr>
      <w:r w:rsidRPr="00D33E27">
        <w:rPr>
          <w:rFonts w:ascii="Verdana" w:eastAsia="Calibri" w:hAnsi="Verdana" w:cs="Arial"/>
        </w:rPr>
        <w:t xml:space="preserve">En ese contexto, como se indicó </w:t>
      </w:r>
      <w:r w:rsidR="003745B4" w:rsidRPr="00D33E27">
        <w:rPr>
          <w:rFonts w:ascii="Verdana" w:eastAsia="Calibri" w:hAnsi="Verdana" w:cs="Arial"/>
        </w:rPr>
        <w:t>precedentemente</w:t>
      </w:r>
      <w:r w:rsidRPr="00D33E27">
        <w:rPr>
          <w:rFonts w:ascii="Verdana" w:eastAsia="Calibri" w:hAnsi="Verdana" w:cs="Arial"/>
        </w:rPr>
        <w:t xml:space="preserve">, al ser </w:t>
      </w:r>
      <w:r w:rsidR="008F7FCE" w:rsidRPr="00D33E27">
        <w:rPr>
          <w:rFonts w:ascii="Verdana" w:eastAsia="Calibri" w:hAnsi="Verdana" w:cs="Arial"/>
        </w:rPr>
        <w:t xml:space="preserve">la </w:t>
      </w:r>
      <w:r w:rsidRPr="00D33E27">
        <w:rPr>
          <w:rFonts w:ascii="Verdana" w:eastAsia="Calibri" w:hAnsi="Verdana" w:cs="Arial"/>
        </w:rPr>
        <w:t xml:space="preserve">capacidad jurídica un requisito habilitante, ante la ausencia de claridad en su acreditación, procede la regla de </w:t>
      </w:r>
      <w:proofErr w:type="spellStart"/>
      <w:r w:rsidRPr="00D33E27">
        <w:rPr>
          <w:rFonts w:ascii="Verdana" w:eastAsia="Calibri" w:hAnsi="Verdana" w:cs="Arial"/>
        </w:rPr>
        <w:t>subsanabilidad</w:t>
      </w:r>
      <w:proofErr w:type="spellEnd"/>
      <w:r w:rsidRPr="00D33E27">
        <w:rPr>
          <w:rFonts w:ascii="Verdana" w:eastAsia="Calibri" w:hAnsi="Verdana" w:cs="Arial"/>
        </w:rPr>
        <w:t xml:space="preserve"> prevista en el parágrafo 1 del artículo 5 de la Ley 1150 de 2007. Conforme a esta, hasta el término de traslado del informe de evaluación, la Entidad Estatal tiene la posibilidad de solicitar a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w:t>
      </w:r>
    </w:p>
    <w:p w14:paraId="6BAB0032" w14:textId="77777777" w:rsidR="00111288" w:rsidRPr="00D33E27" w:rsidRDefault="00111288" w:rsidP="00111288">
      <w:pPr>
        <w:pStyle w:val="Prrafodelista"/>
        <w:rPr>
          <w:rFonts w:ascii="Verdana" w:eastAsia="Calibri" w:hAnsi="Verdana" w:cs="Arial"/>
          <w:lang w:val="es-ES_tradnl"/>
        </w:rPr>
      </w:pPr>
    </w:p>
    <w:p w14:paraId="310E8848" w14:textId="50DC7823" w:rsidR="000A127A" w:rsidRDefault="00111288" w:rsidP="000A127A">
      <w:pPr>
        <w:pStyle w:val="Prrafodelista"/>
        <w:numPr>
          <w:ilvl w:val="0"/>
          <w:numId w:val="22"/>
        </w:numPr>
        <w:jc w:val="both"/>
        <w:rPr>
          <w:rFonts w:ascii="Verdana" w:eastAsia="Calibri" w:hAnsi="Verdana" w:cs="Arial"/>
          <w:lang w:val="es-ES_tradnl"/>
        </w:rPr>
      </w:pPr>
      <w:r w:rsidRPr="00D33E27">
        <w:rPr>
          <w:rFonts w:ascii="Verdana" w:eastAsia="Calibri" w:hAnsi="Verdana"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verificar la configuración de la inhabilidad. </w:t>
      </w:r>
    </w:p>
    <w:p w14:paraId="62CA6549" w14:textId="77777777" w:rsidR="000A127A" w:rsidRPr="000A127A" w:rsidRDefault="000A127A" w:rsidP="000A127A">
      <w:pPr>
        <w:pStyle w:val="Prrafodelista"/>
        <w:rPr>
          <w:rFonts w:ascii="Verdana" w:eastAsia="Calibri" w:hAnsi="Verdana" w:cs="Arial"/>
          <w:lang w:val="es-ES_tradnl"/>
        </w:rPr>
      </w:pPr>
    </w:p>
    <w:p w14:paraId="6975AF13" w14:textId="77777777" w:rsidR="000A127A" w:rsidRPr="000A127A" w:rsidRDefault="000A127A" w:rsidP="000A127A">
      <w:pPr>
        <w:pStyle w:val="Prrafodelista"/>
        <w:jc w:val="both"/>
        <w:rPr>
          <w:rFonts w:ascii="Verdana" w:eastAsia="Calibri" w:hAnsi="Verdana" w:cs="Arial"/>
          <w:lang w:val="es-ES_tradnl"/>
        </w:rPr>
      </w:pPr>
    </w:p>
    <w:p w14:paraId="1060231B" w14:textId="77777777" w:rsidR="00170B6C" w:rsidRPr="00D33E27" w:rsidRDefault="00170B6C" w:rsidP="00170B6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3E27">
        <w:rPr>
          <w:rFonts w:ascii="Verdana" w:eastAsia="Century Gothic" w:hAnsi="Verdana" w:cs="Century Gothic"/>
          <w:b/>
          <w:bCs/>
        </w:rPr>
        <w:t>Referencias normativas, jurisprudenciales y otras fuentes:</w:t>
      </w:r>
    </w:p>
    <w:p w14:paraId="532F7C81" w14:textId="77777777" w:rsidR="00170B6C" w:rsidRPr="00D33E27" w:rsidRDefault="00170B6C" w:rsidP="00170B6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70B6C" w:rsidRPr="00D33E27" w14:paraId="22EFC3D3" w14:textId="77777777" w:rsidTr="00544FD0">
        <w:trPr>
          <w:trHeight w:val="870"/>
        </w:trPr>
        <w:tc>
          <w:tcPr>
            <w:tcW w:w="8647" w:type="dxa"/>
          </w:tcPr>
          <w:p w14:paraId="215E1A5E" w14:textId="77777777" w:rsidR="000711F3" w:rsidRPr="00D33E27" w:rsidRDefault="000711F3" w:rsidP="000711F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D33E27">
              <w:rPr>
                <w:rFonts w:ascii="Verdana" w:hAnsi="Verdana" w:cs="Arial"/>
                <w:color w:val="000000" w:themeColor="text1"/>
                <w:lang w:val="es-ES_tradnl"/>
              </w:rPr>
              <w:t>Decreto 1860 de 2021, numerales 1 y 2 del artículo 2.2.1.2.4.2.2. artículos, 2.2.1.2.4.2.3 2.2.1.2.4.2.4. Ley 1150 de 2007 artículo 12.</w:t>
            </w:r>
          </w:p>
          <w:p w14:paraId="588F943A" w14:textId="7A0416EE" w:rsidR="000E7699" w:rsidRPr="00D33E27" w:rsidRDefault="000E7699" w:rsidP="000711F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D33E27">
              <w:rPr>
                <w:rFonts w:ascii="Verdana" w:eastAsia="Calibri" w:hAnsi="Verdana" w:cs="Arial"/>
                <w:lang w:val="es-ES_tradnl"/>
              </w:rPr>
              <w:t xml:space="preserve">Ley 80 de 1993, </w:t>
            </w:r>
            <w:r w:rsidR="000F67D0" w:rsidRPr="00D33E27">
              <w:rPr>
                <w:rFonts w:ascii="Verdana" w:eastAsia="Calibri" w:hAnsi="Verdana" w:cs="Arial"/>
                <w:lang w:val="es-ES_tradnl"/>
              </w:rPr>
              <w:t>literal g),</w:t>
            </w:r>
            <w:r w:rsidRPr="00D33E27">
              <w:rPr>
                <w:rFonts w:ascii="Verdana" w:eastAsia="Calibri" w:hAnsi="Verdana" w:cs="Arial"/>
                <w:lang w:val="es-ES_tradnl"/>
              </w:rPr>
              <w:t xml:space="preserve"> numeral 1</w:t>
            </w:r>
            <w:r w:rsidR="000F67D0" w:rsidRPr="00D33E27">
              <w:rPr>
                <w:rFonts w:ascii="Verdana" w:eastAsia="Calibri" w:hAnsi="Verdana" w:cs="Arial"/>
                <w:lang w:val="es-ES_tradnl"/>
              </w:rPr>
              <w:t xml:space="preserve">, </w:t>
            </w:r>
            <w:r w:rsidRPr="00D33E27">
              <w:rPr>
                <w:rFonts w:ascii="Verdana" w:eastAsia="Calibri" w:hAnsi="Verdana" w:cs="Arial"/>
                <w:lang w:val="es-ES_tradnl"/>
              </w:rPr>
              <w:t>Artículo 8</w:t>
            </w:r>
            <w:r w:rsidR="000F67D0" w:rsidRPr="00D33E27">
              <w:rPr>
                <w:rFonts w:ascii="Verdana" w:eastAsia="Calibri" w:hAnsi="Verdana" w:cs="Arial"/>
                <w:lang w:val="es-ES_tradnl"/>
              </w:rPr>
              <w:t>.</w:t>
            </w:r>
          </w:p>
          <w:p w14:paraId="0E7112ED" w14:textId="62CFE39F" w:rsidR="00170B6C" w:rsidRPr="00D33E27" w:rsidRDefault="002D19A9" w:rsidP="00C16737">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D33E27">
              <w:rPr>
                <w:rFonts w:ascii="Verdana" w:eastAsia="Calibri" w:hAnsi="Verdana" w:cs="Arial"/>
                <w:lang w:val="es-ES_tradnl"/>
              </w:rPr>
              <w:t>Ley 1150 de 2007</w:t>
            </w:r>
            <w:r w:rsidR="000E7699" w:rsidRPr="00D33E27">
              <w:rPr>
                <w:rFonts w:ascii="Verdana" w:eastAsia="Calibri" w:hAnsi="Verdana" w:cs="Arial"/>
                <w:lang w:val="es-ES_tradnl"/>
              </w:rPr>
              <w:t xml:space="preserve">, </w:t>
            </w:r>
            <w:r w:rsidRPr="00D33E27">
              <w:rPr>
                <w:rFonts w:ascii="Verdana" w:eastAsia="Calibri" w:hAnsi="Verdana" w:cs="Arial"/>
                <w:lang w:val="es-ES_tradnl"/>
              </w:rPr>
              <w:t>parágrafo 1</w:t>
            </w:r>
            <w:r w:rsidR="00A751EC" w:rsidRPr="00D33E27">
              <w:rPr>
                <w:rFonts w:ascii="Verdana" w:eastAsia="Calibri" w:hAnsi="Verdana" w:cs="Arial"/>
                <w:lang w:val="es-ES_tradnl"/>
              </w:rPr>
              <w:t xml:space="preserve">, </w:t>
            </w:r>
            <w:r w:rsidR="000E7699" w:rsidRPr="00D33E27">
              <w:rPr>
                <w:rFonts w:ascii="Verdana" w:eastAsia="Calibri" w:hAnsi="Verdana" w:cs="Arial"/>
                <w:lang w:val="es-ES_tradnl"/>
              </w:rPr>
              <w:t>A</w:t>
            </w:r>
            <w:r w:rsidRPr="00D33E27">
              <w:rPr>
                <w:rFonts w:ascii="Verdana" w:eastAsia="Calibri" w:hAnsi="Verdana" w:cs="Arial"/>
                <w:lang w:val="es-ES_tradnl"/>
              </w:rPr>
              <w:t>rtículo 5</w:t>
            </w:r>
            <w:r w:rsidR="00A751EC" w:rsidRPr="00D33E27">
              <w:rPr>
                <w:rFonts w:ascii="Verdana" w:eastAsia="Calibri" w:hAnsi="Verdana" w:cs="Arial"/>
                <w:lang w:val="es-ES_tradnl"/>
              </w:rPr>
              <w:t>.</w:t>
            </w:r>
            <w:r w:rsidR="000E7699" w:rsidRPr="00D33E27">
              <w:rPr>
                <w:rFonts w:ascii="Verdana" w:eastAsia="Calibri" w:hAnsi="Verdana" w:cs="Arial"/>
                <w:lang w:val="es-ES_tradnl"/>
              </w:rPr>
              <w:t xml:space="preserve"> </w:t>
            </w:r>
          </w:p>
        </w:tc>
      </w:tr>
    </w:tbl>
    <w:p w14:paraId="63383231" w14:textId="77777777" w:rsidR="00170B6C" w:rsidRPr="00D33E27" w:rsidRDefault="00170B6C" w:rsidP="00170B6C">
      <w:pPr>
        <w:widowControl w:val="0"/>
        <w:autoSpaceDE w:val="0"/>
        <w:autoSpaceDN w:val="0"/>
        <w:spacing w:after="0" w:line="276" w:lineRule="auto"/>
        <w:jc w:val="both"/>
        <w:rPr>
          <w:rFonts w:ascii="Verdana" w:hAnsi="Verdana" w:cs="Arial"/>
        </w:rPr>
      </w:pPr>
    </w:p>
    <w:p w14:paraId="7DEA7902" w14:textId="77777777" w:rsidR="00170B6C" w:rsidRPr="00D33E27" w:rsidRDefault="00170B6C" w:rsidP="00170B6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3E27">
        <w:rPr>
          <w:rFonts w:ascii="Verdana" w:eastAsia="Century Gothic" w:hAnsi="Verdana" w:cs="Century Gothic"/>
          <w:b/>
          <w:bCs/>
        </w:rPr>
        <w:lastRenderedPageBreak/>
        <w:t>Doctrina de la Agencia Nacional de Contratación Pública:</w:t>
      </w:r>
    </w:p>
    <w:p w14:paraId="2731418E" w14:textId="77777777" w:rsidR="00170B6C" w:rsidRPr="00D33E27" w:rsidRDefault="00170B6C" w:rsidP="00170B6C">
      <w:pPr>
        <w:widowControl w:val="0"/>
        <w:autoSpaceDE w:val="0"/>
        <w:autoSpaceDN w:val="0"/>
        <w:spacing w:after="0" w:line="276" w:lineRule="auto"/>
        <w:jc w:val="both"/>
        <w:rPr>
          <w:rFonts w:ascii="Verdana" w:hAnsi="Verdana" w:cs="Arial"/>
        </w:rPr>
      </w:pPr>
    </w:p>
    <w:p w14:paraId="27ACB9EE" w14:textId="098A7AFE" w:rsidR="00170B6C" w:rsidRPr="00D33E27" w:rsidRDefault="00170B6C" w:rsidP="00170B6C">
      <w:pPr>
        <w:widowControl w:val="0"/>
        <w:autoSpaceDE w:val="0"/>
        <w:autoSpaceDN w:val="0"/>
        <w:spacing w:after="0" w:line="276" w:lineRule="auto"/>
        <w:jc w:val="both"/>
        <w:rPr>
          <w:rStyle w:val="normaltextrun"/>
          <w:rFonts w:ascii="Verdana" w:hAnsi="Verdana" w:cs="Arial"/>
          <w:shd w:val="clear" w:color="auto" w:fill="FFFFFF"/>
          <w:lang w:val="es-ES"/>
        </w:rPr>
      </w:pPr>
      <w:r w:rsidRPr="00D33E27">
        <w:rPr>
          <w:rStyle w:val="normaltextrun"/>
          <w:rFonts w:ascii="Verdana" w:hAnsi="Verdana" w:cs="Arial"/>
          <w:shd w:val="clear" w:color="auto" w:fill="FFFFFF"/>
          <w:lang w:val="es-ES"/>
        </w:rPr>
        <w:t xml:space="preserve">Sobre </w:t>
      </w:r>
      <w:r w:rsidR="007B2513" w:rsidRPr="00D33E27">
        <w:rPr>
          <w:rStyle w:val="normaltextrun"/>
          <w:rFonts w:ascii="Verdana" w:hAnsi="Verdana" w:cs="Arial"/>
          <w:shd w:val="clear" w:color="auto" w:fill="FFFFFF"/>
          <w:lang w:val="es-ES"/>
        </w:rPr>
        <w:t xml:space="preserve">las limitaciones territoriales de convocatorias a MiPymes, </w:t>
      </w:r>
      <w:r w:rsidRPr="00D33E27">
        <w:rPr>
          <w:rStyle w:val="normaltextrun"/>
          <w:rFonts w:ascii="Verdana" w:hAnsi="Verdana" w:cs="Arial"/>
          <w:shd w:val="clear" w:color="auto" w:fill="FFFFFF"/>
          <w:lang w:val="es-ES"/>
        </w:rPr>
        <w:t>esta Subdirección se ha pronunciado en los conceptos</w:t>
      </w:r>
      <w:r w:rsidR="00031E9C" w:rsidRPr="00D33E27">
        <w:rPr>
          <w:rStyle w:val="normaltextrun"/>
          <w:rFonts w:ascii="Verdana" w:hAnsi="Verdana" w:cs="Arial"/>
          <w:shd w:val="clear" w:color="auto" w:fill="FFFFFF"/>
          <w:lang w:val="es-ES"/>
        </w:rPr>
        <w:t xml:space="preserve"> Nro. </w:t>
      </w:r>
      <w:r w:rsidR="005B2AA5" w:rsidRPr="00D33E27">
        <w:rPr>
          <w:rStyle w:val="normaltextrun"/>
          <w:rFonts w:ascii="Verdana" w:hAnsi="Verdana" w:cs="Arial"/>
          <w:shd w:val="clear" w:color="auto" w:fill="FFFFFF"/>
          <w:lang w:val="es-ES"/>
        </w:rPr>
        <w:t>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C -094 del 19 de junio de 2024 y C-</w:t>
      </w:r>
      <w:r w:rsidR="00031E9C" w:rsidRPr="00D33E27">
        <w:rPr>
          <w:rStyle w:val="normaltextrun"/>
          <w:rFonts w:ascii="Verdana" w:hAnsi="Verdana" w:cs="Arial"/>
          <w:shd w:val="clear" w:color="auto" w:fill="FFFFFF"/>
          <w:lang w:val="es-ES"/>
        </w:rPr>
        <w:t xml:space="preserve">253 del 15 de agosto del 2024. Igualmente se ha </w:t>
      </w:r>
      <w:r w:rsidR="00EE55FF" w:rsidRPr="00D33E27">
        <w:rPr>
          <w:rStyle w:val="normaltextrun"/>
          <w:rFonts w:ascii="Verdana" w:hAnsi="Verdana" w:cs="Arial"/>
          <w:shd w:val="clear" w:color="auto" w:fill="FFFFFF"/>
          <w:lang w:val="es-ES"/>
        </w:rPr>
        <w:t>analizado</w:t>
      </w:r>
      <w:r w:rsidR="00031E9C" w:rsidRPr="00D33E27">
        <w:rPr>
          <w:rStyle w:val="normaltextrun"/>
          <w:rFonts w:ascii="Verdana" w:hAnsi="Verdana" w:cs="Arial"/>
          <w:shd w:val="clear" w:color="auto" w:fill="FFFFFF"/>
          <w:lang w:val="es-ES"/>
        </w:rPr>
        <w:t xml:space="preserve"> el régimen de inhabilidades e incompatibilidades en los conceptos Nro. </w:t>
      </w:r>
      <w:r w:rsidR="001A5FA5" w:rsidRPr="00D33E27">
        <w:rPr>
          <w:rFonts w:ascii="Verdana" w:hAnsi="Verdana" w:cs="Arial"/>
          <w:shd w:val="clear" w:color="auto" w:fill="FFFFFF"/>
          <w:lang w:val="es-ES"/>
        </w:rPr>
        <w:t>Conceptos C-035 del 24 de abril de 2024, C-067 del 16 de mayo de 2024, C-041 del 29 de mayo de 2024, C-078 del 04 de junio de 2024, C-193 del 19 de julio de 2024, C-271 del 25 de julio de 2024, C-108 de 06 de agosto de 2024 y C-</w:t>
      </w:r>
      <w:r w:rsidR="001C56DD" w:rsidRPr="00D33E27">
        <w:rPr>
          <w:rFonts w:ascii="Verdana" w:hAnsi="Verdana" w:cs="Arial"/>
          <w:shd w:val="clear" w:color="auto" w:fill="FFFFFF"/>
          <w:lang w:val="es-ES"/>
        </w:rPr>
        <w:t xml:space="preserve">332 del 27 de agosto del 2024, entre otros. </w:t>
      </w:r>
    </w:p>
    <w:p w14:paraId="2865B508" w14:textId="77777777" w:rsidR="00170B6C" w:rsidRPr="00D33E27" w:rsidRDefault="00170B6C" w:rsidP="00170B6C">
      <w:pPr>
        <w:widowControl w:val="0"/>
        <w:autoSpaceDE w:val="0"/>
        <w:autoSpaceDN w:val="0"/>
        <w:spacing w:after="0" w:line="276" w:lineRule="auto"/>
        <w:jc w:val="both"/>
        <w:rPr>
          <w:rStyle w:val="normaltextrun"/>
          <w:rFonts w:ascii="Verdana" w:hAnsi="Verdana" w:cs="Arial"/>
          <w:shd w:val="clear" w:color="auto" w:fill="FFFFFF"/>
          <w:lang w:val="es-ES"/>
        </w:rPr>
      </w:pPr>
    </w:p>
    <w:p w14:paraId="60DEB804" w14:textId="77777777" w:rsidR="00170B6C" w:rsidRPr="00D33E27" w:rsidRDefault="00170B6C" w:rsidP="00170B6C">
      <w:pPr>
        <w:widowControl w:val="0"/>
        <w:autoSpaceDE w:val="0"/>
        <w:autoSpaceDN w:val="0"/>
        <w:spacing w:after="0" w:line="276" w:lineRule="auto"/>
        <w:jc w:val="both"/>
        <w:rPr>
          <w:rFonts w:ascii="Verdana" w:hAnsi="Verdana" w:cs="Arial"/>
          <w:shd w:val="clear" w:color="auto" w:fill="FFFFFF"/>
          <w:lang w:val="es-ES"/>
        </w:rPr>
      </w:pPr>
      <w:r w:rsidRPr="00D33E2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D33E27">
          <w:rPr>
            <w:rStyle w:val="Hipervnculo"/>
            <w:rFonts w:ascii="Verdana" w:hAnsi="Verdana" w:cs="Arial"/>
            <w:shd w:val="clear" w:color="auto" w:fill="FFFFFF"/>
          </w:rPr>
          <w:t>https://relatoria.colombiacompra.gov.co/</w:t>
        </w:r>
      </w:hyperlink>
      <w:r w:rsidRPr="00D33E27">
        <w:rPr>
          <w:rFonts w:ascii="Verdana" w:hAnsi="Verdana" w:cs="Arial"/>
          <w:shd w:val="clear" w:color="auto" w:fill="FFFFFF"/>
        </w:rPr>
        <w:t xml:space="preserve"> . </w:t>
      </w:r>
    </w:p>
    <w:p w14:paraId="5B464F90" w14:textId="77777777" w:rsidR="00170B6C" w:rsidRPr="00D33E27" w:rsidRDefault="00170B6C" w:rsidP="00170B6C">
      <w:pPr>
        <w:widowControl w:val="0"/>
        <w:autoSpaceDE w:val="0"/>
        <w:autoSpaceDN w:val="0"/>
        <w:spacing w:after="0" w:line="276" w:lineRule="auto"/>
        <w:jc w:val="both"/>
        <w:rPr>
          <w:rFonts w:ascii="Verdana" w:hAnsi="Verdana" w:cs="Arial"/>
          <w:shd w:val="clear" w:color="auto" w:fill="FFFFFF"/>
        </w:rPr>
      </w:pPr>
    </w:p>
    <w:p w14:paraId="3367268C" w14:textId="77777777" w:rsidR="00170B6C" w:rsidRPr="00D33E27" w:rsidRDefault="00170B6C" w:rsidP="00170B6C">
      <w:pPr>
        <w:widowControl w:val="0"/>
        <w:autoSpaceDE w:val="0"/>
        <w:autoSpaceDN w:val="0"/>
        <w:spacing w:after="0" w:line="276" w:lineRule="auto"/>
        <w:jc w:val="both"/>
        <w:rPr>
          <w:rFonts w:ascii="Verdana" w:hAnsi="Verdana" w:cs="Arial"/>
          <w:shd w:val="clear" w:color="auto" w:fill="FFFFFF"/>
        </w:rPr>
      </w:pPr>
      <w:r w:rsidRPr="00D33E27">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D33E27">
          <w:rPr>
            <w:rStyle w:val="Hipervnculo"/>
            <w:rFonts w:ascii="Verdana" w:hAnsi="Verdana" w:cs="Arial"/>
            <w:shd w:val="clear" w:color="auto" w:fill="FFFFFF"/>
          </w:rPr>
          <w:t>https://www.colombiacompra.gov.co/sites/cce_public/files/files_2020/boletin_de_realtoria_iii.pdf</w:t>
        </w:r>
      </w:hyperlink>
      <w:r w:rsidRPr="00D33E27">
        <w:rPr>
          <w:rFonts w:ascii="Verdana" w:hAnsi="Verdana" w:cs="Arial"/>
          <w:shd w:val="clear" w:color="auto" w:fill="FFFFFF"/>
        </w:rPr>
        <w:t> "</w:t>
      </w:r>
    </w:p>
    <w:p w14:paraId="173E9D88" w14:textId="77777777" w:rsidR="00170B6C" w:rsidRPr="00D33E27" w:rsidRDefault="00170B6C" w:rsidP="00170B6C">
      <w:pPr>
        <w:spacing w:after="0" w:line="240" w:lineRule="auto"/>
        <w:jc w:val="both"/>
        <w:rPr>
          <w:rStyle w:val="normaltextrun"/>
          <w:rFonts w:ascii="Verdana" w:hAnsi="Verdana" w:cs="Arial"/>
          <w:color w:val="000000" w:themeColor="text1"/>
          <w:shd w:val="clear" w:color="auto" w:fill="FFFFFF"/>
          <w:lang w:val="es-ES"/>
        </w:rPr>
      </w:pPr>
    </w:p>
    <w:p w14:paraId="582E279F" w14:textId="77777777" w:rsidR="00170B6C" w:rsidRPr="00D33E27" w:rsidRDefault="00170B6C" w:rsidP="00170B6C">
      <w:pPr>
        <w:spacing w:after="0" w:line="240" w:lineRule="auto"/>
        <w:jc w:val="both"/>
        <w:rPr>
          <w:rFonts w:ascii="Verdana" w:hAnsi="Verdana"/>
        </w:rPr>
      </w:pPr>
      <w:r w:rsidRPr="00D33E27">
        <w:rPr>
          <w:rFonts w:ascii="Verdana" w:hAnsi="Verdana"/>
        </w:rPr>
        <w:t xml:space="preserve">Por último, lo invitamos a seguirnos en las redes sociales en las cuales se difunde información institucional: </w:t>
      </w:r>
    </w:p>
    <w:p w14:paraId="7DB2E7F5" w14:textId="77777777" w:rsidR="00170B6C" w:rsidRPr="00D33E27" w:rsidRDefault="00170B6C" w:rsidP="00170B6C">
      <w:pPr>
        <w:spacing w:after="0" w:line="240" w:lineRule="auto"/>
        <w:jc w:val="both"/>
        <w:rPr>
          <w:rFonts w:ascii="Verdana" w:hAnsi="Verdana"/>
        </w:rPr>
      </w:pPr>
    </w:p>
    <w:p w14:paraId="5379A31B" w14:textId="77777777" w:rsidR="00170B6C" w:rsidRPr="00D33E27" w:rsidRDefault="00170B6C" w:rsidP="00170B6C">
      <w:pPr>
        <w:spacing w:after="0" w:line="240" w:lineRule="auto"/>
        <w:jc w:val="both"/>
        <w:rPr>
          <w:rFonts w:ascii="Verdana" w:hAnsi="Verdana"/>
        </w:rPr>
      </w:pPr>
      <w:r w:rsidRPr="00D33E27">
        <w:rPr>
          <w:rFonts w:ascii="Verdana" w:hAnsi="Verdana"/>
        </w:rPr>
        <w:t xml:space="preserve">Twitter: </w:t>
      </w:r>
      <w:r w:rsidRPr="00D33E27">
        <w:rPr>
          <w:rStyle w:val="Hipervnculo"/>
          <w:rFonts w:ascii="Verdana" w:hAnsi="Verdana"/>
          <w:color w:val="4472C4" w:themeColor="accent1"/>
        </w:rPr>
        <w:t>@colombiacompra</w:t>
      </w:r>
      <w:r w:rsidRPr="00D33E27">
        <w:rPr>
          <w:rFonts w:ascii="Verdana" w:hAnsi="Verdana"/>
          <w:color w:val="4472C4" w:themeColor="accent1"/>
        </w:rPr>
        <w:t xml:space="preserve"> </w:t>
      </w:r>
    </w:p>
    <w:p w14:paraId="7C731B72" w14:textId="77777777" w:rsidR="00170B6C" w:rsidRPr="00D33E27" w:rsidRDefault="00170B6C" w:rsidP="00170B6C">
      <w:pPr>
        <w:spacing w:after="0" w:line="240" w:lineRule="auto"/>
        <w:jc w:val="both"/>
        <w:rPr>
          <w:rFonts w:ascii="Verdana" w:hAnsi="Verdana"/>
        </w:rPr>
      </w:pPr>
      <w:r w:rsidRPr="00D33E27">
        <w:rPr>
          <w:rFonts w:ascii="Verdana" w:hAnsi="Verdana"/>
        </w:rPr>
        <w:t xml:space="preserve">Facebook: </w:t>
      </w:r>
      <w:proofErr w:type="spellStart"/>
      <w:r w:rsidRPr="00D33E27">
        <w:rPr>
          <w:rStyle w:val="Hipervnculo"/>
          <w:rFonts w:ascii="Verdana" w:hAnsi="Verdana"/>
          <w:color w:val="4472C4" w:themeColor="accent1"/>
        </w:rPr>
        <w:t>ColombiaCompraEficiente</w:t>
      </w:r>
      <w:proofErr w:type="spellEnd"/>
    </w:p>
    <w:p w14:paraId="66F0E00B" w14:textId="77777777" w:rsidR="00170B6C" w:rsidRPr="00D33E27" w:rsidRDefault="00170B6C" w:rsidP="00170B6C">
      <w:pPr>
        <w:spacing w:after="0" w:line="240" w:lineRule="auto"/>
        <w:jc w:val="both"/>
        <w:rPr>
          <w:rFonts w:ascii="Verdana" w:hAnsi="Verdana"/>
        </w:rPr>
      </w:pPr>
      <w:r w:rsidRPr="00D33E27">
        <w:rPr>
          <w:rFonts w:ascii="Verdana" w:hAnsi="Verdana"/>
        </w:rPr>
        <w:t xml:space="preserve">LinkedIn: </w:t>
      </w:r>
      <w:r w:rsidRPr="00D33E27">
        <w:rPr>
          <w:rStyle w:val="Hipervnculo"/>
          <w:rFonts w:ascii="Verdana" w:hAnsi="Verdana"/>
          <w:color w:val="4472C4" w:themeColor="accent1"/>
        </w:rPr>
        <w:t>Agencia Nacional de Contratación Pública - Colombia Compra Eficiente</w:t>
      </w:r>
      <w:r w:rsidRPr="00D33E27">
        <w:rPr>
          <w:rFonts w:ascii="Verdana" w:hAnsi="Verdana"/>
          <w:color w:val="4472C4" w:themeColor="accent1"/>
        </w:rPr>
        <w:t xml:space="preserve"> </w:t>
      </w:r>
      <w:r w:rsidRPr="00D33E27">
        <w:rPr>
          <w:rFonts w:ascii="Verdana" w:hAnsi="Verdana"/>
        </w:rPr>
        <w:t xml:space="preserve">Instagram: </w:t>
      </w:r>
      <w:r w:rsidRPr="00D33E27">
        <w:rPr>
          <w:rStyle w:val="Hipervnculo"/>
          <w:rFonts w:ascii="Verdana" w:hAnsi="Verdana"/>
          <w:color w:val="4472C4" w:themeColor="accent1"/>
        </w:rPr>
        <w:t>@colombiacompraeficiente_cce</w:t>
      </w:r>
    </w:p>
    <w:p w14:paraId="41CFFB1C" w14:textId="77777777" w:rsidR="00170B6C" w:rsidRPr="00D33E27" w:rsidRDefault="00170B6C" w:rsidP="00170B6C">
      <w:pPr>
        <w:widowControl w:val="0"/>
        <w:autoSpaceDE w:val="0"/>
        <w:autoSpaceDN w:val="0"/>
        <w:spacing w:after="0" w:line="276" w:lineRule="auto"/>
        <w:jc w:val="both"/>
        <w:rPr>
          <w:rFonts w:ascii="Verdana" w:hAnsi="Verdana" w:cs="Arial"/>
        </w:rPr>
      </w:pPr>
    </w:p>
    <w:p w14:paraId="62E13756" w14:textId="77777777" w:rsidR="00170B6C" w:rsidRPr="00D33E27" w:rsidRDefault="00170B6C" w:rsidP="00170B6C">
      <w:pPr>
        <w:widowControl w:val="0"/>
        <w:autoSpaceDE w:val="0"/>
        <w:autoSpaceDN w:val="0"/>
        <w:spacing w:after="0" w:line="276" w:lineRule="auto"/>
        <w:jc w:val="both"/>
        <w:rPr>
          <w:rFonts w:ascii="Verdana" w:hAnsi="Verdana" w:cs="Arial"/>
          <w:lang w:val="es-ES_tradnl"/>
        </w:rPr>
      </w:pPr>
      <w:r w:rsidRPr="00D33E27">
        <w:rPr>
          <w:rFonts w:ascii="Verdana" w:hAnsi="Verdana" w:cs="Arial"/>
        </w:rPr>
        <w:t xml:space="preserve">Este concepto tiene el alcance previsto en el artículo 28 del Código de </w:t>
      </w:r>
      <w:r w:rsidRPr="00D33E27">
        <w:rPr>
          <w:rFonts w:ascii="Verdana" w:hAnsi="Verdana" w:cs="Arial"/>
        </w:rPr>
        <w:lastRenderedPageBreak/>
        <w:t xml:space="preserve">Procedimiento Administrativo y de lo Contencioso Administrativo </w:t>
      </w:r>
      <w:r w:rsidRPr="00D33E27">
        <w:rPr>
          <w:rFonts w:ascii="Verdana" w:hAnsi="Verdana" w:cs="Arial"/>
          <w:lang w:val="es-ES_tradnl"/>
        </w:rPr>
        <w:t>y las expresiones aquí utilizadas con mayúscula inicial deben ser entendidas con el significado que les otorga el artículo 2.2.1.1.1.3.1. del Decreto 1082 de 2015.</w:t>
      </w:r>
    </w:p>
    <w:p w14:paraId="7514DA19" w14:textId="77777777" w:rsidR="00170B6C" w:rsidRPr="00D33E27" w:rsidRDefault="00170B6C" w:rsidP="00170B6C">
      <w:pPr>
        <w:widowControl w:val="0"/>
        <w:autoSpaceDE w:val="0"/>
        <w:autoSpaceDN w:val="0"/>
        <w:spacing w:after="0" w:line="276" w:lineRule="auto"/>
        <w:jc w:val="both"/>
        <w:rPr>
          <w:rFonts w:ascii="Verdana" w:hAnsi="Verdana" w:cs="Arial"/>
        </w:rPr>
      </w:pPr>
    </w:p>
    <w:p w14:paraId="3BFFD496" w14:textId="77777777" w:rsidR="00170B6C" w:rsidRPr="00D33E27" w:rsidRDefault="00170B6C" w:rsidP="00170B6C">
      <w:pPr>
        <w:spacing w:after="0" w:line="240" w:lineRule="auto"/>
        <w:rPr>
          <w:rFonts w:ascii="Verdana" w:hAnsi="Verdana" w:cs="Arial"/>
          <w:lang w:eastAsia="es-CO"/>
        </w:rPr>
      </w:pPr>
      <w:r w:rsidRPr="00D33E27">
        <w:rPr>
          <w:rFonts w:ascii="Verdana" w:eastAsia="Times New Roman" w:hAnsi="Verdana" w:cs="Arial"/>
          <w:lang w:eastAsia="es-CO"/>
        </w:rPr>
        <w:t>Atentamente,</w:t>
      </w:r>
      <w:r w:rsidRPr="00D33E27">
        <w:rPr>
          <w:rFonts w:ascii="Verdana" w:hAnsi="Verdana" w:cs="Arial"/>
          <w:lang w:eastAsia="es-CO"/>
        </w:rPr>
        <w:t xml:space="preserve"> </w:t>
      </w:r>
    </w:p>
    <w:p w14:paraId="608B60B9" w14:textId="526D48B5" w:rsidR="00170B6C" w:rsidRPr="00D33E27" w:rsidRDefault="00EF4451" w:rsidP="00170B6C">
      <w:pPr>
        <w:spacing w:line="276" w:lineRule="auto"/>
        <w:jc w:val="center"/>
        <w:rPr>
          <w:rFonts w:ascii="Verdana" w:hAnsi="Verdana" w:cs="Arial"/>
          <w:color w:val="000000"/>
          <w:lang w:val="es-ES_tradnl" w:eastAsia="es-CO"/>
        </w:rPr>
      </w:pPr>
      <w:r w:rsidRPr="00D33E27">
        <w:rPr>
          <w:rFonts w:ascii="Verdana" w:hAnsi="Verdana"/>
          <w:noProof/>
        </w:rPr>
        <w:drawing>
          <wp:inline distT="0" distB="0" distL="0" distR="0" wp14:anchorId="458B292A" wp14:editId="06B6FFD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70B6C" w:rsidRPr="00D33E27" w14:paraId="161FD86C" w14:textId="77777777" w:rsidTr="00544FD0">
        <w:trPr>
          <w:trHeight w:val="315"/>
        </w:trPr>
        <w:tc>
          <w:tcPr>
            <w:tcW w:w="893" w:type="dxa"/>
            <w:vAlign w:val="center"/>
            <w:hideMark/>
          </w:tcPr>
          <w:p w14:paraId="5E0A7811" w14:textId="77777777" w:rsidR="00170B6C" w:rsidRPr="00D33E27" w:rsidRDefault="00170B6C" w:rsidP="00544FD0">
            <w:pPr>
              <w:contextualSpacing/>
              <w:rPr>
                <w:rFonts w:ascii="Verdana" w:hAnsi="Verdana" w:cs="Arial"/>
                <w:sz w:val="16"/>
                <w:szCs w:val="16"/>
                <w:lang w:val="es-ES" w:eastAsia="es-ES"/>
              </w:rPr>
            </w:pPr>
            <w:r w:rsidRPr="00D33E2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2ACFC5E" w14:textId="77777777" w:rsidR="00170B6C" w:rsidRPr="00D33E27" w:rsidRDefault="00170B6C" w:rsidP="00544FD0">
            <w:pPr>
              <w:contextualSpacing/>
              <w:rPr>
                <w:rFonts w:ascii="Verdana" w:eastAsia="Arial" w:hAnsi="Verdana" w:cs="Arial"/>
                <w:sz w:val="16"/>
                <w:szCs w:val="16"/>
              </w:rPr>
            </w:pPr>
            <w:r w:rsidRPr="00D33E27">
              <w:rPr>
                <w:rFonts w:ascii="Verdana" w:eastAsia="Arial" w:hAnsi="Verdana" w:cs="Arial"/>
                <w:sz w:val="16"/>
                <w:szCs w:val="16"/>
              </w:rPr>
              <w:t>Ana María Ortiz Ballesteros</w:t>
            </w:r>
          </w:p>
          <w:p w14:paraId="515A73F8" w14:textId="77777777" w:rsidR="00170B6C" w:rsidRPr="00D33E27" w:rsidRDefault="00170B6C" w:rsidP="00544FD0">
            <w:pPr>
              <w:contextualSpacing/>
              <w:rPr>
                <w:rFonts w:ascii="Verdana" w:eastAsia="Arial" w:hAnsi="Verdana" w:cs="Arial"/>
                <w:sz w:val="16"/>
                <w:szCs w:val="16"/>
              </w:rPr>
            </w:pPr>
            <w:r w:rsidRPr="00D33E27">
              <w:rPr>
                <w:rStyle w:val="normaltextrun"/>
                <w:rFonts w:ascii="Verdana" w:eastAsia="Arial" w:hAnsi="Verdana" w:cs="Arial"/>
                <w:sz w:val="16"/>
                <w:szCs w:val="16"/>
              </w:rPr>
              <w:t>C</w:t>
            </w:r>
            <w:r w:rsidRPr="00D33E27">
              <w:rPr>
                <w:rStyle w:val="normaltextrun"/>
                <w:rFonts w:ascii="Verdana" w:hAnsi="Verdana"/>
                <w:sz w:val="16"/>
                <w:szCs w:val="16"/>
              </w:rPr>
              <w:t>ontratista</w:t>
            </w:r>
            <w:r w:rsidRPr="00D33E27">
              <w:rPr>
                <w:rStyle w:val="normaltextrun"/>
                <w:rFonts w:ascii="Verdana" w:eastAsia="Arial" w:hAnsi="Verdana" w:cs="Arial"/>
                <w:sz w:val="16"/>
                <w:szCs w:val="16"/>
              </w:rPr>
              <w:t xml:space="preserve"> de la Subdirección de Gestión Contractual</w:t>
            </w:r>
          </w:p>
        </w:tc>
      </w:tr>
      <w:tr w:rsidR="00170B6C" w:rsidRPr="00D33E27" w14:paraId="6166933D" w14:textId="77777777" w:rsidTr="00544FD0">
        <w:trPr>
          <w:trHeight w:val="330"/>
        </w:trPr>
        <w:tc>
          <w:tcPr>
            <w:tcW w:w="893" w:type="dxa"/>
            <w:vAlign w:val="center"/>
            <w:hideMark/>
          </w:tcPr>
          <w:p w14:paraId="5EBE6D37" w14:textId="77777777" w:rsidR="00170B6C" w:rsidRPr="00D33E27" w:rsidRDefault="00170B6C" w:rsidP="00544FD0">
            <w:pPr>
              <w:contextualSpacing/>
              <w:rPr>
                <w:rFonts w:ascii="Verdana" w:hAnsi="Verdana" w:cs="Arial"/>
                <w:sz w:val="16"/>
                <w:szCs w:val="16"/>
                <w:lang w:val="es-ES" w:eastAsia="es-ES"/>
              </w:rPr>
            </w:pPr>
            <w:r w:rsidRPr="00D33E2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B812E37" w14:textId="77777777" w:rsidR="00F8020D" w:rsidRPr="00D33E27" w:rsidRDefault="00F8020D" w:rsidP="00544FD0">
            <w:pPr>
              <w:pStyle w:val="paragraph"/>
              <w:spacing w:before="0" w:beforeAutospacing="0" w:after="0" w:afterAutospacing="0"/>
              <w:contextualSpacing/>
              <w:textAlignment w:val="baseline"/>
              <w:rPr>
                <w:rStyle w:val="normaltextrun"/>
                <w:rFonts w:ascii="Verdana" w:hAnsi="Verdana" w:cs="Arial"/>
                <w:sz w:val="16"/>
                <w:szCs w:val="16"/>
                <w:lang w:val="es-ES"/>
              </w:rPr>
            </w:pPr>
            <w:r w:rsidRPr="00D33E27">
              <w:rPr>
                <w:rStyle w:val="normaltextrun"/>
                <w:rFonts w:ascii="Verdana" w:hAnsi="Verdana" w:cs="Arial"/>
                <w:sz w:val="16"/>
                <w:szCs w:val="16"/>
                <w:lang w:val="es-ES"/>
              </w:rPr>
              <w:t>Ximena Ríos López</w:t>
            </w:r>
          </w:p>
          <w:p w14:paraId="63FC4EC4" w14:textId="075964EB" w:rsidR="00170B6C" w:rsidRPr="00D33E27" w:rsidRDefault="00170B6C" w:rsidP="00544FD0">
            <w:pPr>
              <w:pStyle w:val="paragraph"/>
              <w:spacing w:before="0" w:beforeAutospacing="0" w:after="0" w:afterAutospacing="0"/>
              <w:contextualSpacing/>
              <w:textAlignment w:val="baseline"/>
              <w:rPr>
                <w:rFonts w:ascii="Verdana" w:hAnsi="Verdana" w:cs="Segoe UI"/>
                <w:sz w:val="16"/>
                <w:szCs w:val="16"/>
                <w:highlight w:val="cyan"/>
              </w:rPr>
            </w:pPr>
            <w:r w:rsidRPr="00D33E27">
              <w:rPr>
                <w:rStyle w:val="normaltextrun"/>
                <w:rFonts w:ascii="Verdana" w:hAnsi="Verdana" w:cs="Arial"/>
                <w:sz w:val="16"/>
                <w:szCs w:val="16"/>
                <w:lang w:val="es-ES"/>
              </w:rPr>
              <w:t>Gestor T1-1</w:t>
            </w:r>
            <w:r w:rsidR="00F8020D" w:rsidRPr="00D33E27">
              <w:rPr>
                <w:rStyle w:val="normaltextrun"/>
                <w:rFonts w:ascii="Verdana" w:hAnsi="Verdana" w:cs="Arial"/>
                <w:sz w:val="16"/>
                <w:szCs w:val="16"/>
                <w:lang w:val="es-ES"/>
              </w:rPr>
              <w:t>1</w:t>
            </w:r>
            <w:r w:rsidRPr="00D33E27">
              <w:rPr>
                <w:rStyle w:val="normaltextrun"/>
                <w:rFonts w:ascii="Verdana" w:hAnsi="Verdana" w:cs="Arial"/>
                <w:sz w:val="16"/>
                <w:szCs w:val="16"/>
                <w:lang w:val="es-ES"/>
              </w:rPr>
              <w:t xml:space="preserve"> de la Subdirección de Gestión Contractual</w:t>
            </w:r>
          </w:p>
        </w:tc>
      </w:tr>
      <w:tr w:rsidR="00170B6C" w:rsidRPr="00D33E27" w14:paraId="4AABA057" w14:textId="77777777" w:rsidTr="00544FD0">
        <w:trPr>
          <w:trHeight w:val="300"/>
        </w:trPr>
        <w:tc>
          <w:tcPr>
            <w:tcW w:w="893" w:type="dxa"/>
            <w:vAlign w:val="center"/>
          </w:tcPr>
          <w:p w14:paraId="372B636D" w14:textId="77777777" w:rsidR="00170B6C" w:rsidRPr="00D33E27" w:rsidRDefault="00170B6C" w:rsidP="00544FD0">
            <w:pPr>
              <w:contextualSpacing/>
              <w:rPr>
                <w:rFonts w:ascii="Verdana" w:hAnsi="Verdana" w:cs="Arial"/>
                <w:sz w:val="16"/>
                <w:szCs w:val="16"/>
                <w:lang w:val="es-ES" w:eastAsia="es-ES"/>
              </w:rPr>
            </w:pPr>
            <w:r w:rsidRPr="00D33E2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6922564" w14:textId="77777777" w:rsidR="00170B6C" w:rsidRPr="00D33E27" w:rsidRDefault="00170B6C" w:rsidP="00544FD0">
            <w:pPr>
              <w:contextualSpacing/>
              <w:rPr>
                <w:rFonts w:ascii="Verdana" w:eastAsia="Calibri" w:hAnsi="Verdana" w:cs="Arial"/>
                <w:sz w:val="16"/>
                <w:szCs w:val="16"/>
                <w:lang w:val="pt-BR" w:eastAsia="es-ES"/>
              </w:rPr>
            </w:pPr>
            <w:r w:rsidRPr="00D33E27">
              <w:rPr>
                <w:rFonts w:ascii="Verdana" w:eastAsia="Calibri" w:hAnsi="Verdana" w:cs="Arial"/>
                <w:sz w:val="16"/>
                <w:szCs w:val="16"/>
                <w:lang w:val="pt-BR" w:eastAsia="es-ES"/>
              </w:rPr>
              <w:t xml:space="preserve">Carolina Quintero </w:t>
            </w:r>
            <w:proofErr w:type="spellStart"/>
            <w:r w:rsidRPr="00D33E27">
              <w:rPr>
                <w:rFonts w:ascii="Verdana" w:eastAsia="Calibri" w:hAnsi="Verdana" w:cs="Arial"/>
                <w:sz w:val="16"/>
                <w:szCs w:val="16"/>
                <w:lang w:val="pt-BR" w:eastAsia="es-ES"/>
              </w:rPr>
              <w:t>Gacharná</w:t>
            </w:r>
            <w:proofErr w:type="spellEnd"/>
          </w:p>
          <w:p w14:paraId="7FB12A2B" w14:textId="77777777" w:rsidR="00170B6C" w:rsidRPr="00D33E27" w:rsidRDefault="00170B6C" w:rsidP="00544FD0">
            <w:pPr>
              <w:contextualSpacing/>
              <w:rPr>
                <w:rFonts w:ascii="Verdana" w:eastAsia="Calibri" w:hAnsi="Verdana" w:cs="Arial"/>
                <w:sz w:val="16"/>
                <w:szCs w:val="16"/>
                <w:lang w:val="pt-BR" w:eastAsia="es-ES"/>
              </w:rPr>
            </w:pPr>
            <w:r w:rsidRPr="00D33E27">
              <w:rPr>
                <w:rFonts w:ascii="Verdana" w:eastAsia="Calibri" w:hAnsi="Verdana" w:cs="Arial"/>
                <w:sz w:val="16"/>
                <w:szCs w:val="16"/>
                <w:lang w:eastAsia="es-ES"/>
              </w:rPr>
              <w:t>Subdirectora</w:t>
            </w:r>
            <w:r w:rsidRPr="00D33E27">
              <w:rPr>
                <w:rFonts w:ascii="Verdana" w:eastAsia="Calibri" w:hAnsi="Verdana" w:cs="Arial"/>
                <w:sz w:val="16"/>
                <w:szCs w:val="16"/>
                <w:lang w:val="pt-BR" w:eastAsia="es-ES"/>
              </w:rPr>
              <w:t xml:space="preserve"> de Gestión </w:t>
            </w:r>
            <w:proofErr w:type="spellStart"/>
            <w:r w:rsidRPr="00D33E27">
              <w:rPr>
                <w:rFonts w:ascii="Verdana" w:eastAsia="Calibri" w:hAnsi="Verdana" w:cs="Arial"/>
                <w:sz w:val="16"/>
                <w:szCs w:val="16"/>
                <w:lang w:val="pt-BR" w:eastAsia="es-ES"/>
              </w:rPr>
              <w:t>Contractual</w:t>
            </w:r>
            <w:proofErr w:type="spellEnd"/>
            <w:r w:rsidRPr="00D33E27">
              <w:rPr>
                <w:rFonts w:ascii="Verdana" w:eastAsia="Calibri" w:hAnsi="Verdana" w:cs="Arial"/>
                <w:sz w:val="16"/>
                <w:szCs w:val="16"/>
                <w:lang w:val="pt-BR" w:eastAsia="es-ES"/>
              </w:rPr>
              <w:t xml:space="preserve"> ANCP – CCE</w:t>
            </w:r>
          </w:p>
        </w:tc>
      </w:tr>
    </w:tbl>
    <w:p w14:paraId="5521A302" w14:textId="7A28E9F0" w:rsidR="00AE210E" w:rsidRPr="004F7BCB" w:rsidRDefault="00AE210E" w:rsidP="00CC57E6">
      <w:pPr>
        <w:spacing w:after="0"/>
        <w:jc w:val="both"/>
        <w:rPr>
          <w:rFonts w:ascii="Verdana" w:hAnsi="Verdana"/>
          <w:lang w:val="es-ES"/>
        </w:rPr>
      </w:pPr>
    </w:p>
    <w:sectPr w:rsidR="00AE210E" w:rsidRPr="004F7BCB"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B0DCA" w14:textId="77777777" w:rsidR="003A26D1" w:rsidRDefault="003A26D1" w:rsidP="004A1847">
      <w:pPr>
        <w:spacing w:after="0" w:line="240" w:lineRule="auto"/>
      </w:pPr>
      <w:r>
        <w:separator/>
      </w:r>
    </w:p>
  </w:endnote>
  <w:endnote w:type="continuationSeparator" w:id="0">
    <w:p w14:paraId="0CFC7C62" w14:textId="77777777" w:rsidR="003A26D1" w:rsidRDefault="003A26D1" w:rsidP="004A1847">
      <w:pPr>
        <w:spacing w:after="0" w:line="240" w:lineRule="auto"/>
      </w:pPr>
      <w:r>
        <w:continuationSeparator/>
      </w:r>
    </w:p>
  </w:endnote>
  <w:endnote w:type="continuationNotice" w:id="1">
    <w:p w14:paraId="2538A483" w14:textId="77777777" w:rsidR="002A70C0" w:rsidRDefault="002A7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3E13B" w14:textId="77777777" w:rsidR="003A26D1" w:rsidRDefault="003A26D1" w:rsidP="004A1847">
      <w:pPr>
        <w:spacing w:after="0" w:line="240" w:lineRule="auto"/>
      </w:pPr>
      <w:r>
        <w:separator/>
      </w:r>
    </w:p>
  </w:footnote>
  <w:footnote w:type="continuationSeparator" w:id="0">
    <w:p w14:paraId="366EDB67" w14:textId="77777777" w:rsidR="003A26D1" w:rsidRDefault="003A26D1" w:rsidP="004A1847">
      <w:pPr>
        <w:spacing w:after="0" w:line="240" w:lineRule="auto"/>
      </w:pPr>
      <w:r>
        <w:continuationSeparator/>
      </w:r>
    </w:p>
  </w:footnote>
  <w:footnote w:type="continuationNotice" w:id="1">
    <w:p w14:paraId="2087922D" w14:textId="77777777" w:rsidR="002A70C0" w:rsidRDefault="002A70C0">
      <w:pPr>
        <w:spacing w:after="0" w:line="240" w:lineRule="auto"/>
      </w:pPr>
    </w:p>
  </w:footnote>
  <w:footnote w:id="2">
    <w:p w14:paraId="18F699CB" w14:textId="2F6F41D6" w:rsidR="000559A4" w:rsidRPr="004E6E65" w:rsidRDefault="000559A4" w:rsidP="000559A4">
      <w:pPr>
        <w:pStyle w:val="Textonotapie"/>
        <w:ind w:firstLine="708"/>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w:t>
      </w:r>
      <w:r w:rsidR="000D771D" w:rsidRPr="004E6E65">
        <w:rPr>
          <w:rFonts w:ascii="Verdana" w:hAnsi="Verdana" w:cs="Arial"/>
          <w:sz w:val="18"/>
          <w:szCs w:val="18"/>
        </w:rPr>
        <w:t>MiPymes</w:t>
      </w:r>
      <w:r w:rsidRPr="004E6E65">
        <w:rPr>
          <w:rFonts w:ascii="Verdana" w:hAnsi="Verdana" w:cs="Arial"/>
          <w:sz w:val="18"/>
          <w:szCs w:val="18"/>
        </w:rPr>
        <w:t xml:space="preserve">. Es por esto por lo que la decisión de limitar territorialmente una convocatoria solo puede resultar razonable si la información recolectada en el marco del análisis del sector indica que en el lugar de ejecución del contrato existe un número significativo de </w:t>
      </w:r>
      <w:r w:rsidR="000D771D" w:rsidRPr="004E6E65">
        <w:rPr>
          <w:rFonts w:ascii="Verdana" w:hAnsi="Verdana" w:cs="Arial"/>
          <w:sz w:val="18"/>
          <w:szCs w:val="18"/>
        </w:rPr>
        <w:t>MiPymes</w:t>
      </w:r>
      <w:r w:rsidRPr="004E6E65">
        <w:rPr>
          <w:rFonts w:ascii="Verdana" w:hAnsi="Verdana" w:cs="Arial"/>
          <w:sz w:val="18"/>
          <w:szCs w:val="18"/>
        </w:rPr>
        <w:t xml:space="preserve"> allí domiciliadas, cuyo objeto social les permitiría desarrollar el contrato o que estén interesadas en participar en el respectivo proceso de contratación. Adicionalmente, se torna relevante determinar que tantas de esas </w:t>
      </w:r>
      <w:r w:rsidR="000D771D" w:rsidRPr="004E6E65">
        <w:rPr>
          <w:rFonts w:ascii="Verdana" w:hAnsi="Verdana" w:cs="Arial"/>
          <w:sz w:val="18"/>
          <w:szCs w:val="18"/>
        </w:rPr>
        <w:t>MiPymes</w:t>
      </w:r>
      <w:r w:rsidRPr="004E6E65">
        <w:rPr>
          <w:rFonts w:ascii="Verdana" w:hAnsi="Verdana" w:cs="Arial"/>
          <w:sz w:val="18"/>
          <w:szCs w:val="18"/>
        </w:rPr>
        <w:t xml:space="preserve">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w:t>
      </w:r>
      <w:r w:rsidR="000D771D" w:rsidRPr="004E6E65">
        <w:rPr>
          <w:rFonts w:ascii="Verdana" w:hAnsi="Verdana" w:cs="Arial"/>
          <w:sz w:val="18"/>
          <w:szCs w:val="18"/>
        </w:rPr>
        <w:t>MiPymes</w:t>
      </w:r>
      <w:r w:rsidRPr="004E6E65">
        <w:rPr>
          <w:rFonts w:ascii="Verdana" w:hAnsi="Verdana" w:cs="Arial"/>
          <w:sz w:val="18"/>
          <w:szCs w:val="18"/>
        </w:rPr>
        <w:t xml:space="preserve"> que estén en posición de participar en el respectivo proceso.</w:t>
      </w:r>
    </w:p>
    <w:p w14:paraId="645D76DD" w14:textId="77777777" w:rsidR="000D771D" w:rsidRPr="004E6E65" w:rsidRDefault="000D771D" w:rsidP="000559A4">
      <w:pPr>
        <w:pStyle w:val="Textonotapie"/>
        <w:ind w:firstLine="708"/>
        <w:jc w:val="both"/>
        <w:rPr>
          <w:rFonts w:ascii="Verdana" w:hAnsi="Verdana" w:cs="Arial"/>
          <w:sz w:val="18"/>
          <w:szCs w:val="18"/>
        </w:rPr>
      </w:pPr>
    </w:p>
    <w:p w14:paraId="4776B8A4" w14:textId="04601CCE" w:rsidR="000559A4" w:rsidRPr="004E6E65" w:rsidRDefault="000559A4" w:rsidP="000559A4">
      <w:pPr>
        <w:pStyle w:val="Textonotapie"/>
        <w:ind w:firstLine="708"/>
        <w:jc w:val="both"/>
        <w:rPr>
          <w:rFonts w:ascii="Verdana" w:hAnsi="Verdana" w:cs="Arial"/>
          <w:sz w:val="18"/>
          <w:szCs w:val="18"/>
        </w:rPr>
      </w:pPr>
      <w:r w:rsidRPr="004E6E65">
        <w:rPr>
          <w:rFonts w:ascii="Verdana" w:hAnsi="Verdana" w:cs="Arial"/>
          <w:sz w:val="18"/>
          <w:szCs w:val="18"/>
        </w:rPr>
        <w:t xml:space="preserve">En atención a lo anterior, situaciones en las que se presentan un ejercicio de la potestad de limitar a </w:t>
      </w:r>
      <w:r w:rsidR="000D771D" w:rsidRPr="004E6E65">
        <w:rPr>
          <w:rFonts w:ascii="Verdana" w:hAnsi="Verdana" w:cs="Arial"/>
          <w:sz w:val="18"/>
          <w:szCs w:val="18"/>
        </w:rPr>
        <w:t>MiPymes</w:t>
      </w:r>
      <w:r w:rsidRPr="004E6E65">
        <w:rPr>
          <w:rFonts w:ascii="Verdana" w:hAnsi="Verdana" w:cs="Arial"/>
          <w:sz w:val="18"/>
          <w:szCs w:val="18"/>
        </w:rPr>
        <w:t xml:space="preserve">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–o invitación en los procesos de mínima cuantía–, cuando encuentre que estos contravienen el marco legal que les aplica”.</w:t>
      </w:r>
    </w:p>
    <w:p w14:paraId="17D0DF6E" w14:textId="77777777" w:rsidR="000559A4" w:rsidRPr="005608E6" w:rsidRDefault="000559A4" w:rsidP="000559A4">
      <w:pPr>
        <w:pStyle w:val="Textonotapie"/>
        <w:ind w:firstLine="708"/>
        <w:jc w:val="both"/>
        <w:rPr>
          <w:rFonts w:ascii="Verdana" w:hAnsi="Verdana" w:cs="Arial"/>
          <w:sz w:val="16"/>
          <w:szCs w:val="16"/>
        </w:rPr>
      </w:pPr>
    </w:p>
  </w:footnote>
  <w:footnote w:id="3">
    <w:p w14:paraId="5F6BBB8D" w14:textId="77777777" w:rsidR="00527645" w:rsidRPr="004E6E65" w:rsidRDefault="00527645" w:rsidP="00527645">
      <w:pPr>
        <w:pStyle w:val="Textonotapie"/>
        <w:ind w:firstLine="708"/>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La doctrina explica que “[…] la discrecionalidad hace referencia a una decisión o disposición administrativa adoptada dentro un margen de libre apreciación dejado por el ordenamiento jurídico (es decir, hay varias soluciones válidas en Derecho, entre las que la administración puede elegir libremente, aunque justificando su decisión). Cualquiera de las soluciones adoptadas dentro del ámbito de legítima discrecionalidad son igualmente admisibles en Derecho, y todas ellas tienen el mismo valor jurídico. Siempre que no desborde el ámbito de discrecionalidad, la Administración puede decidir utilizando criterios de conveniencia u oportunidad (por lo que la discrecionalidad es la puerta de entrada en la pirámide del ordenamiento de consideraciones de política administrativa o de carácter metajurídico)” (BLANQUER, David. Derecho administrativo: el fin, los medios y el control. Tomo I. Valencia: Tirant lo Blanch, 2010. p. 191).   </w:t>
      </w:r>
    </w:p>
  </w:footnote>
  <w:footnote w:id="4">
    <w:p w14:paraId="34A48EB3" w14:textId="77777777" w:rsidR="009C4BF4" w:rsidRPr="004E6E65" w:rsidRDefault="009C4BF4" w:rsidP="009C4BF4">
      <w:pPr>
        <w:pStyle w:val="Textonotapie"/>
        <w:ind w:firstLine="709"/>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Código Civil: “Artículo 33. Palabras relacionadas con las personas. La palabra persona en su sentido general se aplica(</w:t>
      </w:r>
      <w:proofErr w:type="spellStart"/>
      <w:r w:rsidRPr="004E6E65">
        <w:rPr>
          <w:rFonts w:ascii="Verdana" w:hAnsi="Verdana" w:cs="Arial"/>
          <w:sz w:val="18"/>
          <w:szCs w:val="18"/>
        </w:rPr>
        <w:t>rá</w:t>
      </w:r>
      <w:proofErr w:type="spellEnd"/>
      <w:r w:rsidRPr="004E6E65">
        <w:rPr>
          <w:rFonts w:ascii="Verdana" w:hAnsi="Verdana" w:cs="Arial"/>
          <w:sz w:val="18"/>
          <w:szCs w:val="18"/>
        </w:rPr>
        <w:t>) a la especie humana, sin distinción de sexo”.</w:t>
      </w:r>
    </w:p>
    <w:p w14:paraId="28032B7E" w14:textId="77777777" w:rsidR="009C4BF4" w:rsidRPr="004E6E65" w:rsidRDefault="009C4BF4" w:rsidP="009C4BF4">
      <w:pPr>
        <w:pStyle w:val="Textonotapie"/>
        <w:ind w:firstLine="709"/>
        <w:jc w:val="both"/>
        <w:rPr>
          <w:rFonts w:ascii="Verdana" w:hAnsi="Verdana" w:cs="Arial"/>
          <w:sz w:val="18"/>
          <w:szCs w:val="18"/>
          <w:lang w:val="es-CO"/>
        </w:rPr>
      </w:pPr>
    </w:p>
  </w:footnote>
  <w:footnote w:id="5">
    <w:p w14:paraId="1CA838AC" w14:textId="77777777" w:rsidR="009C4BF4" w:rsidRPr="004E6E65" w:rsidRDefault="009C4BF4" w:rsidP="009C4BF4">
      <w:pPr>
        <w:pStyle w:val="Textonotapie"/>
        <w:ind w:firstLine="709"/>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7C92E54A" w14:textId="77777777" w:rsidR="009C4BF4" w:rsidRPr="004E6E65" w:rsidRDefault="009C4BF4" w:rsidP="009C4BF4">
      <w:pPr>
        <w:pStyle w:val="Textonotapie"/>
        <w:ind w:firstLine="709"/>
        <w:jc w:val="both"/>
        <w:rPr>
          <w:rFonts w:ascii="Verdana" w:hAnsi="Verdana" w:cs="Arial"/>
          <w:sz w:val="18"/>
          <w:szCs w:val="18"/>
          <w:lang w:val="es-CO"/>
        </w:rPr>
      </w:pPr>
    </w:p>
  </w:footnote>
  <w:footnote w:id="6">
    <w:p w14:paraId="4D487370" w14:textId="77777777" w:rsidR="00D34140" w:rsidRPr="004E6E65" w:rsidRDefault="00D34140" w:rsidP="00D34140">
      <w:pPr>
        <w:pStyle w:val="Textonotapie"/>
        <w:ind w:firstLine="709"/>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6F81730A" w14:textId="77777777" w:rsidR="00D34140" w:rsidRPr="004E6E65" w:rsidRDefault="00D34140" w:rsidP="00D34140">
      <w:pPr>
        <w:pStyle w:val="Textonotapie"/>
        <w:ind w:firstLine="709"/>
        <w:jc w:val="both"/>
        <w:rPr>
          <w:rFonts w:ascii="Verdana" w:hAnsi="Verdana" w:cs="Arial"/>
          <w:sz w:val="18"/>
          <w:szCs w:val="18"/>
        </w:rPr>
      </w:pPr>
      <w:r w:rsidRPr="004E6E65">
        <w:rPr>
          <w:rFonts w:ascii="Verdana" w:hAnsi="Verdana" w:cs="Arial"/>
          <w:sz w:val="18"/>
          <w:szCs w:val="18"/>
        </w:rPr>
        <w:t>[…]</w:t>
      </w:r>
    </w:p>
    <w:p w14:paraId="5427414A" w14:textId="77777777" w:rsidR="00D34140" w:rsidRPr="004E6E65" w:rsidRDefault="00D34140" w:rsidP="00D34140">
      <w:pPr>
        <w:pStyle w:val="Textonotapie"/>
        <w:ind w:firstLine="709"/>
        <w:jc w:val="both"/>
        <w:rPr>
          <w:rFonts w:ascii="Verdana" w:hAnsi="Verdana" w:cs="Arial"/>
          <w:sz w:val="18"/>
          <w:szCs w:val="18"/>
        </w:rPr>
      </w:pPr>
      <w:r w:rsidRPr="004E6E65">
        <w:rPr>
          <w:rFonts w:ascii="Verdana" w:hAnsi="Verdana" w:cs="Arial"/>
          <w:sz w:val="18"/>
          <w:szCs w:val="18"/>
        </w:rPr>
        <w:t>“Artículo 47. Afinidad legítima. […] La línea o grado de afinidad legítima de una persona con un consanguíneo de su marido o mujer, se califica por la línea o grado de consanguinidad legítima de dicho marido o mujer con el dicho consanguíneo […]”.</w:t>
      </w:r>
    </w:p>
    <w:p w14:paraId="01009B10" w14:textId="77777777" w:rsidR="00D34140" w:rsidRPr="004E6E65" w:rsidRDefault="00D34140" w:rsidP="00D34140">
      <w:pPr>
        <w:pStyle w:val="Textonotapie"/>
        <w:ind w:firstLine="709"/>
        <w:jc w:val="both"/>
        <w:rPr>
          <w:rFonts w:ascii="Verdana" w:hAnsi="Verdana" w:cs="Arial"/>
          <w:sz w:val="18"/>
          <w:szCs w:val="18"/>
          <w:lang w:val="es-CO"/>
        </w:rPr>
      </w:pPr>
    </w:p>
  </w:footnote>
  <w:footnote w:id="7">
    <w:p w14:paraId="4FB97355" w14:textId="77777777" w:rsidR="00CB5001" w:rsidRPr="004E6E65" w:rsidRDefault="00D50013" w:rsidP="00CB5001">
      <w:pPr>
        <w:pStyle w:val="NormalWeb"/>
        <w:spacing w:before="0" w:beforeAutospacing="0" w:after="0" w:afterAutospacing="0"/>
        <w:ind w:firstLine="708"/>
        <w:jc w:val="both"/>
        <w:rPr>
          <w:rFonts w:ascii="Verdana" w:hAnsi="Verdana" w:cs="Arial"/>
          <w:color w:val="000000"/>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En el marco del procedimiento administrativo general, previsto en los artículos 34 y ss. del Código de Procedimiento Administrativo y de lo Contencioso Administrativo, el artículo 40 de dicha norma señala que: “</w:t>
      </w:r>
      <w:r w:rsidRPr="004E6E65">
        <w:rPr>
          <w:rFonts w:ascii="Verdana" w:hAnsi="Verdana" w:cs="Arial"/>
          <w:color w:val="000000"/>
          <w:sz w:val="18"/>
          <w:szCs w:val="18"/>
        </w:rPr>
        <w:t>Serán admisibles todos los medios de prueba señalados en el Código de Procedimiento Civil</w:t>
      </w:r>
      <w:r w:rsidRPr="004E6E65">
        <w:rPr>
          <w:rFonts w:ascii="Verdana" w:hAnsi="Verdana" w:cs="Arial"/>
          <w:sz w:val="18"/>
          <w:szCs w:val="18"/>
        </w:rPr>
        <w:t>”</w:t>
      </w:r>
      <w:r w:rsidRPr="004E6E65">
        <w:rPr>
          <w:rFonts w:ascii="Verdana" w:hAnsi="Verdana" w:cs="Arial"/>
          <w:color w:val="000000"/>
          <w:sz w:val="18"/>
          <w:szCs w:val="18"/>
        </w:rPr>
        <w:t xml:space="preserve">. Al respecto, la Ley 1564 de 2012, que subrogó el Código de Procedimiento Civil adoptando el Código General del Proceso, señala en su artículo 165 que: </w:t>
      </w:r>
      <w:r w:rsidRPr="004E6E65">
        <w:rPr>
          <w:rFonts w:ascii="Verdana" w:hAnsi="Verdana" w:cs="Arial"/>
          <w:sz w:val="18"/>
          <w:szCs w:val="18"/>
        </w:rPr>
        <w:t>“</w:t>
      </w:r>
      <w:r w:rsidRPr="004E6E65">
        <w:rPr>
          <w:rFonts w:ascii="Verdana" w:hAnsi="Verdana" w:cs="Arial"/>
          <w:color w:val="000000"/>
          <w:sz w:val="18"/>
          <w:szCs w:val="18"/>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4E6E65">
        <w:rPr>
          <w:rFonts w:ascii="Verdana" w:hAnsi="Verdana" w:cs="Arial"/>
          <w:sz w:val="18"/>
          <w:szCs w:val="18"/>
        </w:rPr>
        <w:t>”</w:t>
      </w:r>
      <w:r w:rsidRPr="004E6E65">
        <w:rPr>
          <w:rFonts w:ascii="Verdana" w:hAnsi="Verdana" w:cs="Arial"/>
          <w:color w:val="000000"/>
          <w:sz w:val="18"/>
          <w:szCs w:val="18"/>
        </w:rPr>
        <w:t>.</w:t>
      </w:r>
    </w:p>
    <w:p w14:paraId="0F346DC7" w14:textId="77777777" w:rsidR="00CB5001" w:rsidRPr="004E6E65" w:rsidRDefault="00CB5001" w:rsidP="00CB5001">
      <w:pPr>
        <w:pStyle w:val="NormalWeb"/>
        <w:spacing w:before="0" w:beforeAutospacing="0" w:after="0" w:afterAutospacing="0"/>
        <w:ind w:firstLine="708"/>
        <w:jc w:val="both"/>
        <w:rPr>
          <w:rFonts w:ascii="Verdana" w:hAnsi="Verdana" w:cs="Arial"/>
          <w:color w:val="000000"/>
          <w:sz w:val="18"/>
          <w:szCs w:val="18"/>
        </w:rPr>
      </w:pPr>
    </w:p>
    <w:p w14:paraId="54E3669B" w14:textId="42282FCA" w:rsidR="00D50013" w:rsidRPr="00CB5001" w:rsidRDefault="00D50013" w:rsidP="00CB5001">
      <w:pPr>
        <w:pStyle w:val="NormalWeb"/>
        <w:spacing w:before="0" w:beforeAutospacing="0" w:after="0" w:afterAutospacing="0"/>
        <w:ind w:firstLine="708"/>
        <w:jc w:val="both"/>
        <w:rPr>
          <w:rFonts w:ascii="Verdana" w:hAnsi="Verdana" w:cs="Arial"/>
          <w:sz w:val="18"/>
          <w:szCs w:val="18"/>
        </w:rPr>
      </w:pPr>
      <w:r w:rsidRPr="004E6E65">
        <w:rPr>
          <w:rFonts w:ascii="Verdana" w:hAnsi="Verdana" w:cs="Arial"/>
          <w:color w:val="000000"/>
          <w:sz w:val="18"/>
          <w:szCs w:val="18"/>
        </w:rPr>
        <w:t>Es posible acudir a las disposiciones anteriores en relación con los procedimientos administrativos de selección, en virtud de la remisión que realiza el artículo 77 de la Ley 80 de 1993: “</w:t>
      </w:r>
      <w:r w:rsidRPr="004E6E65">
        <w:rPr>
          <w:rStyle w:val="Textoennegrita"/>
          <w:rFonts w:ascii="Verdana" w:hAnsi="Verdana" w:cs="Arial"/>
          <w:color w:val="000000"/>
          <w:sz w:val="18"/>
          <w:szCs w:val="18"/>
        </w:rPr>
        <w:t>Artículo 77. De la normatividad aplicable en las actuaciones administrativas.</w:t>
      </w:r>
      <w:r w:rsidRPr="004E6E65">
        <w:rPr>
          <w:rFonts w:ascii="Verdana" w:hAnsi="Verdana" w:cs="Arial"/>
          <w:color w:val="000000"/>
          <w:sz w:val="18"/>
          <w:szCs w:val="18"/>
        </w:rPr>
        <w:t xml:space="preserve"> En cuanto sean compatibles con la finalidad y los principios de esta ley, las normas que rigen los procedimientos y actuaciones en la función </w:t>
      </w:r>
      <w:r w:rsidR="00CB5001" w:rsidRPr="004E6E65">
        <w:rPr>
          <w:rFonts w:ascii="Verdana" w:hAnsi="Verdana" w:cs="Arial"/>
          <w:color w:val="000000"/>
          <w:sz w:val="18"/>
          <w:szCs w:val="18"/>
        </w:rPr>
        <w:t>administrativa</w:t>
      </w:r>
      <w:r w:rsidRPr="004E6E65">
        <w:rPr>
          <w:rFonts w:ascii="Verdana" w:hAnsi="Verdana" w:cs="Arial"/>
          <w:color w:val="000000"/>
          <w:sz w:val="18"/>
          <w:szCs w:val="18"/>
        </w:rPr>
        <w:t xml:space="preserve"> serán aplicables en las actuaciones contractuales. A falta de estas, regirán las disposiciones del Código de Procedimiento Civil”.</w:t>
      </w:r>
      <w:r w:rsidRPr="00CB5001">
        <w:rPr>
          <w:rFonts w:ascii="Verdana" w:hAnsi="Verdana" w:cs="Arial"/>
          <w:color w:val="000000"/>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172E93"/>
    <w:multiLevelType w:val="hybridMultilevel"/>
    <w:tmpl w:val="08DA0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25F7906"/>
    <w:multiLevelType w:val="hybridMultilevel"/>
    <w:tmpl w:val="05ACE27E"/>
    <w:lvl w:ilvl="0" w:tplc="CC8C991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2F81F6F"/>
    <w:multiLevelType w:val="hybridMultilevel"/>
    <w:tmpl w:val="29B68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7"/>
  </w:num>
  <w:num w:numId="8" w16cid:durableId="152644682">
    <w:abstractNumId w:val="17"/>
  </w:num>
  <w:num w:numId="9" w16cid:durableId="1317221377">
    <w:abstractNumId w:val="9"/>
  </w:num>
  <w:num w:numId="10" w16cid:durableId="1471245386">
    <w:abstractNumId w:val="16"/>
  </w:num>
  <w:num w:numId="11" w16cid:durableId="289172385">
    <w:abstractNumId w:val="10"/>
  </w:num>
  <w:num w:numId="12" w16cid:durableId="1470781324">
    <w:abstractNumId w:val="1"/>
  </w:num>
  <w:num w:numId="13" w16cid:durableId="1512908409">
    <w:abstractNumId w:val="4"/>
  </w:num>
  <w:num w:numId="14" w16cid:durableId="895897244">
    <w:abstractNumId w:val="19"/>
  </w:num>
  <w:num w:numId="15" w16cid:durableId="390349800">
    <w:abstractNumId w:val="15"/>
  </w:num>
  <w:num w:numId="16" w16cid:durableId="341274352">
    <w:abstractNumId w:val="0"/>
  </w:num>
  <w:num w:numId="17" w16cid:durableId="679089576">
    <w:abstractNumId w:val="12"/>
  </w:num>
  <w:num w:numId="18" w16cid:durableId="1954171362">
    <w:abstractNumId w:val="5"/>
  </w:num>
  <w:num w:numId="19" w16cid:durableId="1411123333">
    <w:abstractNumId w:val="3"/>
  </w:num>
  <w:num w:numId="20" w16cid:durableId="780999428">
    <w:abstractNumId w:val="20"/>
  </w:num>
  <w:num w:numId="21" w16cid:durableId="816842364">
    <w:abstractNumId w:val="11"/>
  </w:num>
  <w:num w:numId="22" w16cid:durableId="1032464488">
    <w:abstractNumId w:val="14"/>
  </w:num>
  <w:num w:numId="23" w16cid:durableId="1793402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543"/>
    <w:rsid w:val="00030ACD"/>
    <w:rsid w:val="00031E9C"/>
    <w:rsid w:val="0003219E"/>
    <w:rsid w:val="000501EC"/>
    <w:rsid w:val="000559A4"/>
    <w:rsid w:val="00056C06"/>
    <w:rsid w:val="00061B2A"/>
    <w:rsid w:val="00064F3B"/>
    <w:rsid w:val="00070984"/>
    <w:rsid w:val="000711F3"/>
    <w:rsid w:val="000801CD"/>
    <w:rsid w:val="00082362"/>
    <w:rsid w:val="0009758D"/>
    <w:rsid w:val="000A127A"/>
    <w:rsid w:val="000A683E"/>
    <w:rsid w:val="000B108C"/>
    <w:rsid w:val="000B19B9"/>
    <w:rsid w:val="000B1E5B"/>
    <w:rsid w:val="000B416E"/>
    <w:rsid w:val="000C2FC7"/>
    <w:rsid w:val="000D0334"/>
    <w:rsid w:val="000D5084"/>
    <w:rsid w:val="000D771D"/>
    <w:rsid w:val="000E0954"/>
    <w:rsid w:val="000E523A"/>
    <w:rsid w:val="000E7699"/>
    <w:rsid w:val="000F6486"/>
    <w:rsid w:val="000F67D0"/>
    <w:rsid w:val="000F6BB5"/>
    <w:rsid w:val="001054CB"/>
    <w:rsid w:val="00111288"/>
    <w:rsid w:val="00120142"/>
    <w:rsid w:val="00125105"/>
    <w:rsid w:val="0012525D"/>
    <w:rsid w:val="00127233"/>
    <w:rsid w:val="00130A23"/>
    <w:rsid w:val="00141AC5"/>
    <w:rsid w:val="00142A39"/>
    <w:rsid w:val="0014588C"/>
    <w:rsid w:val="001502F3"/>
    <w:rsid w:val="001537AD"/>
    <w:rsid w:val="00154860"/>
    <w:rsid w:val="00157419"/>
    <w:rsid w:val="00170B6C"/>
    <w:rsid w:val="00176CA8"/>
    <w:rsid w:val="00197171"/>
    <w:rsid w:val="001A1253"/>
    <w:rsid w:val="001A28E5"/>
    <w:rsid w:val="001A5FA5"/>
    <w:rsid w:val="001B5B4D"/>
    <w:rsid w:val="001B70C5"/>
    <w:rsid w:val="001C56DD"/>
    <w:rsid w:val="001C712A"/>
    <w:rsid w:val="001E4177"/>
    <w:rsid w:val="001E6BDC"/>
    <w:rsid w:val="001F3C21"/>
    <w:rsid w:val="001F3EA4"/>
    <w:rsid w:val="001F57D6"/>
    <w:rsid w:val="001F7DC6"/>
    <w:rsid w:val="002050D8"/>
    <w:rsid w:val="0020556A"/>
    <w:rsid w:val="0023499F"/>
    <w:rsid w:val="002421BB"/>
    <w:rsid w:val="00244890"/>
    <w:rsid w:val="00245123"/>
    <w:rsid w:val="002461D1"/>
    <w:rsid w:val="002547CE"/>
    <w:rsid w:val="0025796E"/>
    <w:rsid w:val="002707A2"/>
    <w:rsid w:val="002951A0"/>
    <w:rsid w:val="0029619C"/>
    <w:rsid w:val="002962BC"/>
    <w:rsid w:val="002A093D"/>
    <w:rsid w:val="002A0DD0"/>
    <w:rsid w:val="002A30B4"/>
    <w:rsid w:val="002A49AC"/>
    <w:rsid w:val="002A64FD"/>
    <w:rsid w:val="002A656E"/>
    <w:rsid w:val="002A70C0"/>
    <w:rsid w:val="002A79CC"/>
    <w:rsid w:val="002C0890"/>
    <w:rsid w:val="002C4D56"/>
    <w:rsid w:val="002C7A84"/>
    <w:rsid w:val="002D19A9"/>
    <w:rsid w:val="002D73B1"/>
    <w:rsid w:val="002E4FD9"/>
    <w:rsid w:val="002F11FE"/>
    <w:rsid w:val="003000CD"/>
    <w:rsid w:val="003005D1"/>
    <w:rsid w:val="00313EDE"/>
    <w:rsid w:val="00322A85"/>
    <w:rsid w:val="00323B7A"/>
    <w:rsid w:val="00324168"/>
    <w:rsid w:val="00325A29"/>
    <w:rsid w:val="00336D44"/>
    <w:rsid w:val="003448F4"/>
    <w:rsid w:val="0035186E"/>
    <w:rsid w:val="00374405"/>
    <w:rsid w:val="003745B4"/>
    <w:rsid w:val="00374F5E"/>
    <w:rsid w:val="00376580"/>
    <w:rsid w:val="0037777A"/>
    <w:rsid w:val="00377E3E"/>
    <w:rsid w:val="00384178"/>
    <w:rsid w:val="00384C4E"/>
    <w:rsid w:val="00384E7A"/>
    <w:rsid w:val="003A26D1"/>
    <w:rsid w:val="003A779E"/>
    <w:rsid w:val="003C1301"/>
    <w:rsid w:val="003C379A"/>
    <w:rsid w:val="003C6F5B"/>
    <w:rsid w:val="003D0F4D"/>
    <w:rsid w:val="003D5B0D"/>
    <w:rsid w:val="003E0499"/>
    <w:rsid w:val="003E48DE"/>
    <w:rsid w:val="003F098E"/>
    <w:rsid w:val="003F3941"/>
    <w:rsid w:val="003F68D3"/>
    <w:rsid w:val="00403230"/>
    <w:rsid w:val="00406575"/>
    <w:rsid w:val="00414637"/>
    <w:rsid w:val="004156A3"/>
    <w:rsid w:val="00417B65"/>
    <w:rsid w:val="00423D0F"/>
    <w:rsid w:val="0042722E"/>
    <w:rsid w:val="0043280F"/>
    <w:rsid w:val="004444F5"/>
    <w:rsid w:val="0044528D"/>
    <w:rsid w:val="00445558"/>
    <w:rsid w:val="0045106E"/>
    <w:rsid w:val="00452F7C"/>
    <w:rsid w:val="004574D7"/>
    <w:rsid w:val="00463569"/>
    <w:rsid w:val="00464CA1"/>
    <w:rsid w:val="00467387"/>
    <w:rsid w:val="0049380F"/>
    <w:rsid w:val="0049598C"/>
    <w:rsid w:val="00496440"/>
    <w:rsid w:val="004A1847"/>
    <w:rsid w:val="004A305D"/>
    <w:rsid w:val="004B56E7"/>
    <w:rsid w:val="004B70F1"/>
    <w:rsid w:val="004D741F"/>
    <w:rsid w:val="004E39D4"/>
    <w:rsid w:val="004E672D"/>
    <w:rsid w:val="004E69FB"/>
    <w:rsid w:val="004E6E65"/>
    <w:rsid w:val="004F156E"/>
    <w:rsid w:val="004F21C4"/>
    <w:rsid w:val="004F685F"/>
    <w:rsid w:val="004F7BCB"/>
    <w:rsid w:val="00522FC6"/>
    <w:rsid w:val="00523B49"/>
    <w:rsid w:val="00526093"/>
    <w:rsid w:val="00527645"/>
    <w:rsid w:val="005279B1"/>
    <w:rsid w:val="005338F4"/>
    <w:rsid w:val="005446F8"/>
    <w:rsid w:val="00544FD0"/>
    <w:rsid w:val="0055412A"/>
    <w:rsid w:val="00556588"/>
    <w:rsid w:val="005566E8"/>
    <w:rsid w:val="005608E6"/>
    <w:rsid w:val="00561D99"/>
    <w:rsid w:val="00572F4B"/>
    <w:rsid w:val="00574867"/>
    <w:rsid w:val="005748F2"/>
    <w:rsid w:val="00580F4D"/>
    <w:rsid w:val="00582DDB"/>
    <w:rsid w:val="00584F32"/>
    <w:rsid w:val="00590424"/>
    <w:rsid w:val="00591460"/>
    <w:rsid w:val="00592628"/>
    <w:rsid w:val="00593247"/>
    <w:rsid w:val="00596973"/>
    <w:rsid w:val="005B0079"/>
    <w:rsid w:val="005B2AA5"/>
    <w:rsid w:val="005B4C6D"/>
    <w:rsid w:val="005C0F40"/>
    <w:rsid w:val="005C3777"/>
    <w:rsid w:val="005C5CDC"/>
    <w:rsid w:val="005D35CD"/>
    <w:rsid w:val="005D476C"/>
    <w:rsid w:val="005D5D7C"/>
    <w:rsid w:val="005D6833"/>
    <w:rsid w:val="006068BE"/>
    <w:rsid w:val="00610812"/>
    <w:rsid w:val="00614AB8"/>
    <w:rsid w:val="006219F8"/>
    <w:rsid w:val="00622621"/>
    <w:rsid w:val="00623664"/>
    <w:rsid w:val="00625906"/>
    <w:rsid w:val="00640540"/>
    <w:rsid w:val="00650FF7"/>
    <w:rsid w:val="00651D26"/>
    <w:rsid w:val="00657A38"/>
    <w:rsid w:val="00657F1C"/>
    <w:rsid w:val="006613BE"/>
    <w:rsid w:val="00664412"/>
    <w:rsid w:val="00665D70"/>
    <w:rsid w:val="00671DAC"/>
    <w:rsid w:val="0067332F"/>
    <w:rsid w:val="00673B59"/>
    <w:rsid w:val="006900D9"/>
    <w:rsid w:val="0069401C"/>
    <w:rsid w:val="006A4B54"/>
    <w:rsid w:val="006B1F47"/>
    <w:rsid w:val="006B217E"/>
    <w:rsid w:val="006C2FD7"/>
    <w:rsid w:val="006D12F8"/>
    <w:rsid w:val="006F67A2"/>
    <w:rsid w:val="0070178E"/>
    <w:rsid w:val="00702748"/>
    <w:rsid w:val="00704EF2"/>
    <w:rsid w:val="00706C16"/>
    <w:rsid w:val="007306F6"/>
    <w:rsid w:val="00742756"/>
    <w:rsid w:val="007450BF"/>
    <w:rsid w:val="00756841"/>
    <w:rsid w:val="007602E7"/>
    <w:rsid w:val="007649AB"/>
    <w:rsid w:val="00771D0C"/>
    <w:rsid w:val="007726E0"/>
    <w:rsid w:val="0077422E"/>
    <w:rsid w:val="007760CB"/>
    <w:rsid w:val="007833AC"/>
    <w:rsid w:val="007906A0"/>
    <w:rsid w:val="0079357F"/>
    <w:rsid w:val="007B1F58"/>
    <w:rsid w:val="007B2513"/>
    <w:rsid w:val="007B268C"/>
    <w:rsid w:val="007B7171"/>
    <w:rsid w:val="007C0C0F"/>
    <w:rsid w:val="007C0F09"/>
    <w:rsid w:val="007C2923"/>
    <w:rsid w:val="007C3DC2"/>
    <w:rsid w:val="007C652B"/>
    <w:rsid w:val="007E13A7"/>
    <w:rsid w:val="007E5497"/>
    <w:rsid w:val="007F6661"/>
    <w:rsid w:val="007F6B02"/>
    <w:rsid w:val="008056BE"/>
    <w:rsid w:val="00806F5F"/>
    <w:rsid w:val="008149D8"/>
    <w:rsid w:val="00820278"/>
    <w:rsid w:val="00826910"/>
    <w:rsid w:val="00844088"/>
    <w:rsid w:val="008562B2"/>
    <w:rsid w:val="00863311"/>
    <w:rsid w:val="0087455B"/>
    <w:rsid w:val="008802D3"/>
    <w:rsid w:val="00882D2E"/>
    <w:rsid w:val="008843B6"/>
    <w:rsid w:val="008859D6"/>
    <w:rsid w:val="00891928"/>
    <w:rsid w:val="00892E0E"/>
    <w:rsid w:val="00894B45"/>
    <w:rsid w:val="008A08A8"/>
    <w:rsid w:val="008A2252"/>
    <w:rsid w:val="008A446D"/>
    <w:rsid w:val="008C37BB"/>
    <w:rsid w:val="008C67F2"/>
    <w:rsid w:val="008D180B"/>
    <w:rsid w:val="008E3FC2"/>
    <w:rsid w:val="008E7EEE"/>
    <w:rsid w:val="008F0D64"/>
    <w:rsid w:val="008F0EA7"/>
    <w:rsid w:val="008F355A"/>
    <w:rsid w:val="008F66CF"/>
    <w:rsid w:val="008F6F2B"/>
    <w:rsid w:val="008F7FCE"/>
    <w:rsid w:val="009068A3"/>
    <w:rsid w:val="00907F75"/>
    <w:rsid w:val="00923E1D"/>
    <w:rsid w:val="00923EEF"/>
    <w:rsid w:val="009312D5"/>
    <w:rsid w:val="009416CF"/>
    <w:rsid w:val="009419F9"/>
    <w:rsid w:val="0095391C"/>
    <w:rsid w:val="00953EF6"/>
    <w:rsid w:val="009540E9"/>
    <w:rsid w:val="009542ED"/>
    <w:rsid w:val="0095685E"/>
    <w:rsid w:val="00956A67"/>
    <w:rsid w:val="00956D44"/>
    <w:rsid w:val="009571B2"/>
    <w:rsid w:val="00961B09"/>
    <w:rsid w:val="00962229"/>
    <w:rsid w:val="00965334"/>
    <w:rsid w:val="0097093E"/>
    <w:rsid w:val="00995775"/>
    <w:rsid w:val="009A0DFA"/>
    <w:rsid w:val="009A72FB"/>
    <w:rsid w:val="009B2D26"/>
    <w:rsid w:val="009B31E4"/>
    <w:rsid w:val="009B53C5"/>
    <w:rsid w:val="009C16A3"/>
    <w:rsid w:val="009C4BF4"/>
    <w:rsid w:val="009C71FA"/>
    <w:rsid w:val="009C72E7"/>
    <w:rsid w:val="009D2C0C"/>
    <w:rsid w:val="009D3058"/>
    <w:rsid w:val="009D5418"/>
    <w:rsid w:val="009E173C"/>
    <w:rsid w:val="009E24EF"/>
    <w:rsid w:val="009E3542"/>
    <w:rsid w:val="009E72E5"/>
    <w:rsid w:val="009E7422"/>
    <w:rsid w:val="009F3A13"/>
    <w:rsid w:val="009F4268"/>
    <w:rsid w:val="00A02F6A"/>
    <w:rsid w:val="00A02F79"/>
    <w:rsid w:val="00A07B72"/>
    <w:rsid w:val="00A122D3"/>
    <w:rsid w:val="00A12E09"/>
    <w:rsid w:val="00A17F13"/>
    <w:rsid w:val="00A20739"/>
    <w:rsid w:val="00A25852"/>
    <w:rsid w:val="00A33C78"/>
    <w:rsid w:val="00A558B4"/>
    <w:rsid w:val="00A751EC"/>
    <w:rsid w:val="00A7677B"/>
    <w:rsid w:val="00A8063F"/>
    <w:rsid w:val="00A93C1C"/>
    <w:rsid w:val="00A949F3"/>
    <w:rsid w:val="00AA364F"/>
    <w:rsid w:val="00AB0ADB"/>
    <w:rsid w:val="00AB2C05"/>
    <w:rsid w:val="00AC4B8F"/>
    <w:rsid w:val="00AC6B03"/>
    <w:rsid w:val="00AC7901"/>
    <w:rsid w:val="00AE0A49"/>
    <w:rsid w:val="00AE210E"/>
    <w:rsid w:val="00AE3B3D"/>
    <w:rsid w:val="00AE77D2"/>
    <w:rsid w:val="00AF43E3"/>
    <w:rsid w:val="00B01B1A"/>
    <w:rsid w:val="00B0359E"/>
    <w:rsid w:val="00B05C46"/>
    <w:rsid w:val="00B133E4"/>
    <w:rsid w:val="00B33974"/>
    <w:rsid w:val="00B423B6"/>
    <w:rsid w:val="00B51C42"/>
    <w:rsid w:val="00B657F7"/>
    <w:rsid w:val="00B72CD3"/>
    <w:rsid w:val="00B72FFF"/>
    <w:rsid w:val="00B73838"/>
    <w:rsid w:val="00B74C7F"/>
    <w:rsid w:val="00B87A2A"/>
    <w:rsid w:val="00BA08E9"/>
    <w:rsid w:val="00BA5F43"/>
    <w:rsid w:val="00BC38C2"/>
    <w:rsid w:val="00BC3D36"/>
    <w:rsid w:val="00BD1332"/>
    <w:rsid w:val="00BD528A"/>
    <w:rsid w:val="00BD7F72"/>
    <w:rsid w:val="00BE3ECB"/>
    <w:rsid w:val="00BF36BC"/>
    <w:rsid w:val="00C023A5"/>
    <w:rsid w:val="00C0459C"/>
    <w:rsid w:val="00C04FB3"/>
    <w:rsid w:val="00C06E08"/>
    <w:rsid w:val="00C12D22"/>
    <w:rsid w:val="00C166E7"/>
    <w:rsid w:val="00C16737"/>
    <w:rsid w:val="00C330EB"/>
    <w:rsid w:val="00C37FBC"/>
    <w:rsid w:val="00C42410"/>
    <w:rsid w:val="00C42B30"/>
    <w:rsid w:val="00C45065"/>
    <w:rsid w:val="00C51869"/>
    <w:rsid w:val="00C53FE9"/>
    <w:rsid w:val="00C625B8"/>
    <w:rsid w:val="00C6301B"/>
    <w:rsid w:val="00C71F07"/>
    <w:rsid w:val="00C754BE"/>
    <w:rsid w:val="00C76B1C"/>
    <w:rsid w:val="00C82F97"/>
    <w:rsid w:val="00C85ADF"/>
    <w:rsid w:val="00C85EA5"/>
    <w:rsid w:val="00C91C7D"/>
    <w:rsid w:val="00C91E27"/>
    <w:rsid w:val="00C9472D"/>
    <w:rsid w:val="00CB5001"/>
    <w:rsid w:val="00CB6357"/>
    <w:rsid w:val="00CC1B26"/>
    <w:rsid w:val="00CC57E6"/>
    <w:rsid w:val="00CF2EF3"/>
    <w:rsid w:val="00CF7DDB"/>
    <w:rsid w:val="00D33E27"/>
    <w:rsid w:val="00D34140"/>
    <w:rsid w:val="00D423A2"/>
    <w:rsid w:val="00D50013"/>
    <w:rsid w:val="00D520D8"/>
    <w:rsid w:val="00D56DAE"/>
    <w:rsid w:val="00D633A9"/>
    <w:rsid w:val="00D63AC2"/>
    <w:rsid w:val="00D7383B"/>
    <w:rsid w:val="00D8228E"/>
    <w:rsid w:val="00D91473"/>
    <w:rsid w:val="00D920F7"/>
    <w:rsid w:val="00DA081E"/>
    <w:rsid w:val="00DA231B"/>
    <w:rsid w:val="00DA23A0"/>
    <w:rsid w:val="00DB014A"/>
    <w:rsid w:val="00DB02A9"/>
    <w:rsid w:val="00DC39FC"/>
    <w:rsid w:val="00DC661E"/>
    <w:rsid w:val="00DD1CB0"/>
    <w:rsid w:val="00DE3136"/>
    <w:rsid w:val="00DE7042"/>
    <w:rsid w:val="00DF5254"/>
    <w:rsid w:val="00DF5C55"/>
    <w:rsid w:val="00E07EB1"/>
    <w:rsid w:val="00E16408"/>
    <w:rsid w:val="00E17F6F"/>
    <w:rsid w:val="00E20894"/>
    <w:rsid w:val="00E245AB"/>
    <w:rsid w:val="00E2764C"/>
    <w:rsid w:val="00E27F2E"/>
    <w:rsid w:val="00E30EC9"/>
    <w:rsid w:val="00E37401"/>
    <w:rsid w:val="00E40073"/>
    <w:rsid w:val="00E413EA"/>
    <w:rsid w:val="00E44A6D"/>
    <w:rsid w:val="00E50AFE"/>
    <w:rsid w:val="00E512F8"/>
    <w:rsid w:val="00E65FFF"/>
    <w:rsid w:val="00E75C92"/>
    <w:rsid w:val="00E76866"/>
    <w:rsid w:val="00E771DC"/>
    <w:rsid w:val="00E8096E"/>
    <w:rsid w:val="00E8772A"/>
    <w:rsid w:val="00E90F6B"/>
    <w:rsid w:val="00E92C27"/>
    <w:rsid w:val="00EA0315"/>
    <w:rsid w:val="00EA0E3D"/>
    <w:rsid w:val="00EB03AC"/>
    <w:rsid w:val="00EB17EC"/>
    <w:rsid w:val="00EB20CE"/>
    <w:rsid w:val="00EB5921"/>
    <w:rsid w:val="00EC38A7"/>
    <w:rsid w:val="00EC7BC0"/>
    <w:rsid w:val="00ED00B7"/>
    <w:rsid w:val="00ED02CA"/>
    <w:rsid w:val="00EE1AA8"/>
    <w:rsid w:val="00EE5222"/>
    <w:rsid w:val="00EE55FF"/>
    <w:rsid w:val="00EF39EF"/>
    <w:rsid w:val="00EF4451"/>
    <w:rsid w:val="00F06B13"/>
    <w:rsid w:val="00F206B4"/>
    <w:rsid w:val="00F31EDC"/>
    <w:rsid w:val="00F373A7"/>
    <w:rsid w:val="00F4373C"/>
    <w:rsid w:val="00F4617E"/>
    <w:rsid w:val="00F462B3"/>
    <w:rsid w:val="00F475D6"/>
    <w:rsid w:val="00F5664F"/>
    <w:rsid w:val="00F61AAA"/>
    <w:rsid w:val="00F64A7C"/>
    <w:rsid w:val="00F666C4"/>
    <w:rsid w:val="00F71710"/>
    <w:rsid w:val="00F74B73"/>
    <w:rsid w:val="00F74E7B"/>
    <w:rsid w:val="00F76AFC"/>
    <w:rsid w:val="00F77F4F"/>
    <w:rsid w:val="00F8020D"/>
    <w:rsid w:val="00F82B68"/>
    <w:rsid w:val="00F854DE"/>
    <w:rsid w:val="00F927BE"/>
    <w:rsid w:val="00FA2A0D"/>
    <w:rsid w:val="00FA47C0"/>
    <w:rsid w:val="00FB0287"/>
    <w:rsid w:val="00FB2AA1"/>
    <w:rsid w:val="00FB4011"/>
    <w:rsid w:val="00FB5DD1"/>
    <w:rsid w:val="00FB647F"/>
    <w:rsid w:val="00FC1C99"/>
    <w:rsid w:val="00FC2B5D"/>
    <w:rsid w:val="00FE199E"/>
    <w:rsid w:val="00FE5B86"/>
    <w:rsid w:val="00FF1449"/>
    <w:rsid w:val="00FF5F52"/>
    <w:rsid w:val="00FF6DAA"/>
    <w:rsid w:val="57481DD5"/>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A9F9D10-382E-4015-A470-E62232A2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57F1C"/>
    <w:rPr>
      <w:rFonts w:ascii="Geomanist Light" w:hAnsi="Geomanist Light"/>
      <w:lang w:val="es-ES"/>
    </w:rPr>
  </w:style>
  <w:style w:type="paragraph" w:customStyle="1" w:styleId="Appelnotedebasde">
    <w:name w:val="Appel note de bas de..."/>
    <w:basedOn w:val="Normal"/>
    <w:link w:val="Refdenotaalpie"/>
    <w:uiPriority w:val="99"/>
    <w:rsid w:val="008F0D64"/>
    <w:pPr>
      <w:spacing w:line="240" w:lineRule="exact"/>
    </w:pPr>
    <w:rPr>
      <w:vertAlign w:val="superscript"/>
    </w:rPr>
  </w:style>
  <w:style w:type="character" w:styleId="Textoennegrita">
    <w:name w:val="Strong"/>
    <w:basedOn w:val="Fuentedeprrafopredeter"/>
    <w:uiPriority w:val="22"/>
    <w:qFormat/>
    <w:rsid w:val="00D50013"/>
    <w:rPr>
      <w:b/>
      <w:bCs/>
    </w:rPr>
  </w:style>
  <w:style w:type="character" w:styleId="Refdecomentario">
    <w:name w:val="annotation reference"/>
    <w:basedOn w:val="Fuentedeprrafopredeter"/>
    <w:uiPriority w:val="99"/>
    <w:semiHidden/>
    <w:unhideWhenUsed/>
    <w:rsid w:val="00C625B8"/>
    <w:rPr>
      <w:sz w:val="16"/>
      <w:szCs w:val="16"/>
    </w:rPr>
  </w:style>
  <w:style w:type="paragraph" w:styleId="Textocomentario">
    <w:name w:val="annotation text"/>
    <w:basedOn w:val="Normal"/>
    <w:link w:val="TextocomentarioCar"/>
    <w:uiPriority w:val="99"/>
    <w:unhideWhenUsed/>
    <w:rsid w:val="00C625B8"/>
    <w:pPr>
      <w:spacing w:line="240" w:lineRule="auto"/>
    </w:pPr>
    <w:rPr>
      <w:sz w:val="20"/>
      <w:szCs w:val="20"/>
    </w:rPr>
  </w:style>
  <w:style w:type="character" w:customStyle="1" w:styleId="TextocomentarioCar">
    <w:name w:val="Texto comentario Car"/>
    <w:basedOn w:val="Fuentedeprrafopredeter"/>
    <w:link w:val="Textocomentario"/>
    <w:uiPriority w:val="99"/>
    <w:rsid w:val="00C625B8"/>
    <w:rPr>
      <w:sz w:val="20"/>
      <w:szCs w:val="20"/>
    </w:rPr>
  </w:style>
  <w:style w:type="paragraph" w:styleId="Asuntodelcomentario">
    <w:name w:val="annotation subject"/>
    <w:basedOn w:val="Textocomentario"/>
    <w:next w:val="Textocomentario"/>
    <w:link w:val="AsuntodelcomentarioCar"/>
    <w:uiPriority w:val="99"/>
    <w:semiHidden/>
    <w:unhideWhenUsed/>
    <w:rsid w:val="00C625B8"/>
    <w:rPr>
      <w:b/>
      <w:bCs/>
    </w:rPr>
  </w:style>
  <w:style w:type="character" w:customStyle="1" w:styleId="AsuntodelcomentarioCar">
    <w:name w:val="Asunto del comentario Car"/>
    <w:basedOn w:val="TextocomentarioCar"/>
    <w:link w:val="Asuntodelcomentario"/>
    <w:uiPriority w:val="99"/>
    <w:semiHidden/>
    <w:rsid w:val="00C62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777">
      <w:bodyDiv w:val="1"/>
      <w:marLeft w:val="0"/>
      <w:marRight w:val="0"/>
      <w:marTop w:val="0"/>
      <w:marBottom w:val="0"/>
      <w:divBdr>
        <w:top w:val="none" w:sz="0" w:space="0" w:color="auto"/>
        <w:left w:val="none" w:sz="0" w:space="0" w:color="auto"/>
        <w:bottom w:val="none" w:sz="0" w:space="0" w:color="auto"/>
        <w:right w:val="none" w:sz="0" w:space="0" w:color="auto"/>
      </w:divBdr>
    </w:div>
    <w:div w:id="58288000">
      <w:bodyDiv w:val="1"/>
      <w:marLeft w:val="0"/>
      <w:marRight w:val="0"/>
      <w:marTop w:val="0"/>
      <w:marBottom w:val="0"/>
      <w:divBdr>
        <w:top w:val="none" w:sz="0" w:space="0" w:color="auto"/>
        <w:left w:val="none" w:sz="0" w:space="0" w:color="auto"/>
        <w:bottom w:val="none" w:sz="0" w:space="0" w:color="auto"/>
        <w:right w:val="none" w:sz="0" w:space="0" w:color="auto"/>
      </w:divBdr>
    </w:div>
    <w:div w:id="182400324">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23301077">
      <w:bodyDiv w:val="1"/>
      <w:marLeft w:val="0"/>
      <w:marRight w:val="0"/>
      <w:marTop w:val="0"/>
      <w:marBottom w:val="0"/>
      <w:divBdr>
        <w:top w:val="none" w:sz="0" w:space="0" w:color="auto"/>
        <w:left w:val="none" w:sz="0" w:space="0" w:color="auto"/>
        <w:bottom w:val="none" w:sz="0" w:space="0" w:color="auto"/>
        <w:right w:val="none" w:sz="0" w:space="0" w:color="auto"/>
      </w:divBdr>
    </w:div>
    <w:div w:id="227149838">
      <w:bodyDiv w:val="1"/>
      <w:marLeft w:val="0"/>
      <w:marRight w:val="0"/>
      <w:marTop w:val="0"/>
      <w:marBottom w:val="0"/>
      <w:divBdr>
        <w:top w:val="none" w:sz="0" w:space="0" w:color="auto"/>
        <w:left w:val="none" w:sz="0" w:space="0" w:color="auto"/>
        <w:bottom w:val="none" w:sz="0" w:space="0" w:color="auto"/>
        <w:right w:val="none" w:sz="0" w:space="0" w:color="auto"/>
      </w:divBdr>
    </w:div>
    <w:div w:id="577177900">
      <w:bodyDiv w:val="1"/>
      <w:marLeft w:val="0"/>
      <w:marRight w:val="0"/>
      <w:marTop w:val="0"/>
      <w:marBottom w:val="0"/>
      <w:divBdr>
        <w:top w:val="none" w:sz="0" w:space="0" w:color="auto"/>
        <w:left w:val="none" w:sz="0" w:space="0" w:color="auto"/>
        <w:bottom w:val="none" w:sz="0" w:space="0" w:color="auto"/>
        <w:right w:val="none" w:sz="0" w:space="0" w:color="auto"/>
      </w:divBdr>
    </w:div>
    <w:div w:id="59849259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44621298">
      <w:bodyDiv w:val="1"/>
      <w:marLeft w:val="0"/>
      <w:marRight w:val="0"/>
      <w:marTop w:val="0"/>
      <w:marBottom w:val="0"/>
      <w:divBdr>
        <w:top w:val="none" w:sz="0" w:space="0" w:color="auto"/>
        <w:left w:val="none" w:sz="0" w:space="0" w:color="auto"/>
        <w:bottom w:val="none" w:sz="0" w:space="0" w:color="auto"/>
        <w:right w:val="none" w:sz="0" w:space="0" w:color="auto"/>
      </w:divBdr>
    </w:div>
    <w:div w:id="658389810">
      <w:bodyDiv w:val="1"/>
      <w:marLeft w:val="0"/>
      <w:marRight w:val="0"/>
      <w:marTop w:val="0"/>
      <w:marBottom w:val="0"/>
      <w:divBdr>
        <w:top w:val="none" w:sz="0" w:space="0" w:color="auto"/>
        <w:left w:val="none" w:sz="0" w:space="0" w:color="auto"/>
        <w:bottom w:val="none" w:sz="0" w:space="0" w:color="auto"/>
        <w:right w:val="none" w:sz="0" w:space="0" w:color="auto"/>
      </w:divBdr>
    </w:div>
    <w:div w:id="69600163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2035405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5147512">
      <w:bodyDiv w:val="1"/>
      <w:marLeft w:val="0"/>
      <w:marRight w:val="0"/>
      <w:marTop w:val="0"/>
      <w:marBottom w:val="0"/>
      <w:divBdr>
        <w:top w:val="none" w:sz="0" w:space="0" w:color="auto"/>
        <w:left w:val="none" w:sz="0" w:space="0" w:color="auto"/>
        <w:bottom w:val="none" w:sz="0" w:space="0" w:color="auto"/>
        <w:right w:val="none" w:sz="0" w:space="0" w:color="auto"/>
      </w:divBdr>
    </w:div>
    <w:div w:id="1647852923">
      <w:bodyDiv w:val="1"/>
      <w:marLeft w:val="0"/>
      <w:marRight w:val="0"/>
      <w:marTop w:val="0"/>
      <w:marBottom w:val="0"/>
      <w:divBdr>
        <w:top w:val="none" w:sz="0" w:space="0" w:color="auto"/>
        <w:left w:val="none" w:sz="0" w:space="0" w:color="auto"/>
        <w:bottom w:val="none" w:sz="0" w:space="0" w:color="auto"/>
        <w:right w:val="none" w:sz="0" w:space="0" w:color="auto"/>
      </w:divBdr>
    </w:div>
    <w:div w:id="1654412039">
      <w:bodyDiv w:val="1"/>
      <w:marLeft w:val="0"/>
      <w:marRight w:val="0"/>
      <w:marTop w:val="0"/>
      <w:marBottom w:val="0"/>
      <w:divBdr>
        <w:top w:val="none" w:sz="0" w:space="0" w:color="auto"/>
        <w:left w:val="none" w:sz="0" w:space="0" w:color="auto"/>
        <w:bottom w:val="none" w:sz="0" w:space="0" w:color="auto"/>
        <w:right w:val="none" w:sz="0" w:space="0" w:color="auto"/>
      </w:divBdr>
    </w:div>
    <w:div w:id="1748847064">
      <w:bodyDiv w:val="1"/>
      <w:marLeft w:val="0"/>
      <w:marRight w:val="0"/>
      <w:marTop w:val="0"/>
      <w:marBottom w:val="0"/>
      <w:divBdr>
        <w:top w:val="none" w:sz="0" w:space="0" w:color="auto"/>
        <w:left w:val="none" w:sz="0" w:space="0" w:color="auto"/>
        <w:bottom w:val="none" w:sz="0" w:space="0" w:color="auto"/>
        <w:right w:val="none" w:sz="0" w:space="0" w:color="auto"/>
      </w:divBdr>
    </w:div>
    <w:div w:id="196958523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7364053">
      <w:bodyDiv w:val="1"/>
      <w:marLeft w:val="0"/>
      <w:marRight w:val="0"/>
      <w:marTop w:val="0"/>
      <w:marBottom w:val="0"/>
      <w:divBdr>
        <w:top w:val="none" w:sz="0" w:space="0" w:color="auto"/>
        <w:left w:val="none" w:sz="0" w:space="0" w:color="auto"/>
        <w:bottom w:val="none" w:sz="0" w:space="0" w:color="auto"/>
        <w:right w:val="none" w:sz="0" w:space="0" w:color="auto"/>
      </w:divBdr>
    </w:div>
    <w:div w:id="212469316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tanedanidya8@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http://schemas.openxmlformats.org/package/2006/metadata/core-properties"/>
    <ds:schemaRef ds:uri="http://schemas.microsoft.com/office/2006/documentManagement/types"/>
    <ds:schemaRef ds:uri="http://purl.org/dc/terms/"/>
    <ds:schemaRef ds:uri="8ae15d26-076e-464e-81a7-6f76a0fb3917"/>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94345011-1F70-492A-A6E0-BD762989E468}">
  <ds:schemaRefs>
    <ds:schemaRef ds:uri="http://schemas.openxmlformats.org/officeDocument/2006/bibliography"/>
  </ds:schemaRefs>
</ds:datastoreItem>
</file>

<file path=customXml/itemProps4.xml><?xml version="1.0" encoding="utf-8"?>
<ds:datastoreItem xmlns:ds="http://schemas.openxmlformats.org/officeDocument/2006/customXml" ds:itemID="{A0332CC3-97E7-405A-A25A-D02B22E3A0F3}"/>
</file>

<file path=docProps/app.xml><?xml version="1.0" encoding="utf-8"?>
<Properties xmlns="http://schemas.openxmlformats.org/officeDocument/2006/extended-properties" xmlns:vt="http://schemas.openxmlformats.org/officeDocument/2006/docPropsVTypes">
  <Template>Normal</Template>
  <TotalTime>25</TotalTime>
  <Pages>16</Pages>
  <Words>5248</Words>
  <Characters>28870</Characters>
  <Application>Microsoft Office Word</Application>
  <DocSecurity>0</DocSecurity>
  <Lines>240</Lines>
  <Paragraphs>68</Paragraphs>
  <ScaleCrop>false</ScaleCrop>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79</cp:revision>
  <cp:lastPrinted>2023-01-10T18:18:00Z</cp:lastPrinted>
  <dcterms:created xsi:type="dcterms:W3CDTF">2024-09-18T01:24:00Z</dcterms:created>
  <dcterms:modified xsi:type="dcterms:W3CDTF">2024-09-18T01:55:00Z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