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02EBC" w14:textId="77777777" w:rsidR="002E6D27" w:rsidRPr="002E6D27" w:rsidRDefault="002E6D27" w:rsidP="002E6D27">
      <w:pPr>
        <w:spacing w:after="0" w:line="240" w:lineRule="auto"/>
        <w:jc w:val="both"/>
        <w:rPr>
          <w:rFonts w:ascii="Verdana" w:eastAsia="Calibri" w:hAnsi="Verdana" w:cs="Arial"/>
          <w:b/>
          <w:color w:val="000000" w:themeColor="text1"/>
          <w:sz w:val="21"/>
          <w:szCs w:val="21"/>
          <w:lang w:val="es-MX"/>
        </w:rPr>
      </w:pPr>
      <w:bookmarkStart w:id="0" w:name="_Hlk143780582"/>
    </w:p>
    <w:p w14:paraId="24EDA416" w14:textId="711EAED3" w:rsidR="002E6D27" w:rsidRPr="002E6D27" w:rsidRDefault="002E6D27" w:rsidP="002E6D27">
      <w:pPr>
        <w:spacing w:after="0" w:line="240" w:lineRule="auto"/>
        <w:jc w:val="both"/>
        <w:rPr>
          <w:rFonts w:ascii="Verdana" w:eastAsia="Calibri" w:hAnsi="Verdana" w:cs="Arial"/>
          <w:b/>
          <w:color w:val="000000" w:themeColor="text1"/>
          <w:lang w:val="es-MX"/>
        </w:rPr>
      </w:pPr>
      <w:r w:rsidRPr="002E6D27">
        <w:rPr>
          <w:rFonts w:ascii="Verdana" w:eastAsia="Calibri" w:hAnsi="Verdana" w:cs="Arial"/>
          <w:b/>
          <w:color w:val="000000" w:themeColor="text1"/>
          <w:lang w:val="es-MX"/>
        </w:rPr>
        <w:t xml:space="preserve">CONTRATO ESTATAL – Acta de recibo final </w:t>
      </w:r>
    </w:p>
    <w:p w14:paraId="4BBCA5E6" w14:textId="77777777" w:rsidR="002E6D27" w:rsidRPr="002E6D27" w:rsidRDefault="002E6D27" w:rsidP="002E6D27">
      <w:pPr>
        <w:spacing w:after="0" w:line="240" w:lineRule="auto"/>
        <w:jc w:val="both"/>
        <w:rPr>
          <w:rFonts w:ascii="Verdana" w:eastAsia="Calibri" w:hAnsi="Verdana" w:cs="Arial"/>
          <w:bCs/>
          <w:color w:val="000000" w:themeColor="text1"/>
          <w:sz w:val="21"/>
          <w:szCs w:val="21"/>
          <w:lang w:val="es-MX"/>
        </w:rPr>
      </w:pPr>
    </w:p>
    <w:p w14:paraId="3EBE0844" w14:textId="77777777" w:rsidR="007B323C" w:rsidRPr="00FE067A" w:rsidRDefault="002E6D27" w:rsidP="007B323C">
      <w:pPr>
        <w:spacing w:after="0" w:line="240" w:lineRule="auto"/>
        <w:jc w:val="both"/>
        <w:rPr>
          <w:rFonts w:ascii="Verdana" w:eastAsia="Calibri" w:hAnsi="Verdana" w:cs="Times New Roman"/>
          <w:color w:val="000000" w:themeColor="text1"/>
          <w:sz w:val="20"/>
          <w:szCs w:val="20"/>
          <w:lang w:val="es-MX"/>
        </w:rPr>
      </w:pPr>
      <w:r w:rsidRPr="002E6D27">
        <w:rPr>
          <w:rFonts w:ascii="Verdana" w:eastAsia="Calibri" w:hAnsi="Verdana" w:cs="Arial"/>
          <w:color w:val="000000" w:themeColor="text1"/>
          <w:sz w:val="20"/>
          <w:szCs w:val="20"/>
          <w:lang w:val="es-MX"/>
        </w:rPr>
        <w:t>El acta de recibo final</w:t>
      </w:r>
      <w:r w:rsidRPr="002E6D27">
        <w:rPr>
          <w:rFonts w:ascii="Verdana" w:eastAsia="Calibri" w:hAnsi="Verdana" w:cs="Arial"/>
          <w:i/>
          <w:iCs/>
          <w:color w:val="000000" w:themeColor="text1"/>
          <w:sz w:val="20"/>
          <w:szCs w:val="20"/>
          <w:lang w:val="es-MX"/>
        </w:rPr>
        <w:t xml:space="preserve"> </w:t>
      </w:r>
      <w:r w:rsidRPr="002E6D27">
        <w:rPr>
          <w:rFonts w:ascii="Verdana" w:eastAsia="Calibri" w:hAnsi="Verdana" w:cs="Arial"/>
          <w:color w:val="000000" w:themeColor="text1"/>
          <w:sz w:val="20"/>
          <w:szCs w:val="20"/>
          <w:lang w:val="es-MX"/>
        </w:rPr>
        <w:t xml:space="preserve">del contrato no está regulada por las normas de contratación pública. Sin embargo, en virtud de la autonomía de la voluntad, la entidad y el contratista pueden acordar su suscripción, con el objeto de facilitar la verificación de la ejecución de las obligaciones a cargo de aquel. </w:t>
      </w:r>
    </w:p>
    <w:p w14:paraId="627ACE4D" w14:textId="77777777" w:rsidR="007B323C" w:rsidRPr="00FE067A" w:rsidRDefault="007B323C" w:rsidP="007B323C">
      <w:pPr>
        <w:spacing w:after="0" w:line="240" w:lineRule="auto"/>
        <w:jc w:val="both"/>
        <w:rPr>
          <w:rFonts w:ascii="Verdana" w:eastAsia="Calibri" w:hAnsi="Verdana" w:cs="Times New Roman"/>
          <w:color w:val="000000" w:themeColor="text1"/>
          <w:sz w:val="20"/>
          <w:szCs w:val="20"/>
          <w:lang w:val="es-MX"/>
        </w:rPr>
      </w:pPr>
    </w:p>
    <w:p w14:paraId="759D26D6" w14:textId="1B4FE116" w:rsidR="008C6121" w:rsidRPr="00FE067A" w:rsidRDefault="00967515" w:rsidP="007B323C">
      <w:pPr>
        <w:spacing w:after="0" w:line="240" w:lineRule="auto"/>
        <w:jc w:val="both"/>
        <w:rPr>
          <w:rFonts w:ascii="Verdana" w:eastAsia="Calibri" w:hAnsi="Verdana" w:cs="Times New Roman"/>
          <w:color w:val="000000" w:themeColor="text1"/>
          <w:lang w:val="es-MX"/>
        </w:rPr>
      </w:pPr>
      <w:r w:rsidRPr="00FE067A">
        <w:rPr>
          <w:rFonts w:ascii="Verdana" w:hAnsi="Verdana" w:cs="Arial"/>
          <w:b/>
          <w:lang w:val="es-ES_tradnl" w:eastAsia="es-ES"/>
        </w:rPr>
        <w:t xml:space="preserve">GARANTÍAS – Plazo para su reclamación </w:t>
      </w:r>
    </w:p>
    <w:p w14:paraId="40559112" w14:textId="77777777" w:rsidR="007B323C" w:rsidRPr="00FE067A" w:rsidRDefault="007B323C" w:rsidP="007B323C">
      <w:pPr>
        <w:spacing w:after="0" w:line="240" w:lineRule="auto"/>
        <w:jc w:val="both"/>
        <w:rPr>
          <w:rFonts w:ascii="Verdana" w:eastAsia="Calibri" w:hAnsi="Verdana" w:cs="Arial"/>
          <w:color w:val="000000" w:themeColor="text1"/>
          <w:sz w:val="20"/>
          <w:szCs w:val="20"/>
          <w:lang w:val="es-MX" w:eastAsia="es-ES_tradnl"/>
        </w:rPr>
      </w:pPr>
    </w:p>
    <w:p w14:paraId="25797429" w14:textId="77777777" w:rsidR="007B323C" w:rsidRPr="00FE067A" w:rsidRDefault="007B323C" w:rsidP="007B323C">
      <w:pPr>
        <w:spacing w:after="0" w:line="240" w:lineRule="auto"/>
        <w:jc w:val="both"/>
        <w:rPr>
          <w:rFonts w:ascii="Verdana" w:eastAsia="Calibri" w:hAnsi="Verdana" w:cs="Arial"/>
          <w:color w:val="000000" w:themeColor="text1"/>
          <w:sz w:val="20"/>
          <w:szCs w:val="20"/>
          <w:lang w:val="es-ES_tradnl"/>
        </w:rPr>
      </w:pPr>
      <w:r w:rsidRPr="007B323C">
        <w:rPr>
          <w:rFonts w:ascii="Verdana" w:eastAsia="Calibri" w:hAnsi="Verdana" w:cs="Arial"/>
          <w:color w:val="000000" w:themeColor="text1"/>
          <w:sz w:val="20"/>
          <w:szCs w:val="20"/>
          <w:lang w:val="es-ES_tradnl" w:eastAsia="es-ES_tradnl"/>
        </w:rPr>
        <w:t xml:space="preserve">El Estatuto General de Contratación de la Administración Pública exige, por regla general, en los procesos de contratación pública </w:t>
      </w:r>
      <w:r w:rsidRPr="007B323C">
        <w:rPr>
          <w:rFonts w:ascii="Verdana" w:eastAsia="Calibri" w:hAnsi="Verdana" w:cs="Arial"/>
          <w:color w:val="000000" w:themeColor="text1"/>
          <w:sz w:val="20"/>
          <w:szCs w:val="20"/>
          <w:lang w:val="es-ES" w:eastAsia="es-ES_tradnl"/>
        </w:rPr>
        <w:t xml:space="preserve">la constitución de </w:t>
      </w:r>
      <w:r w:rsidRPr="00FE067A">
        <w:rPr>
          <w:rFonts w:ascii="Verdana" w:eastAsia="Calibri" w:hAnsi="Verdana" w:cs="Arial"/>
          <w:color w:val="000000" w:themeColor="text1"/>
          <w:sz w:val="20"/>
          <w:szCs w:val="20"/>
          <w:lang w:val="es-ES" w:eastAsia="es-ES_tradnl"/>
        </w:rPr>
        <w:t>garantías</w:t>
      </w:r>
      <w:r w:rsidRPr="007B323C">
        <w:rPr>
          <w:rFonts w:ascii="Verdana" w:eastAsia="Calibri" w:hAnsi="Verdana" w:cs="Arial"/>
          <w:color w:val="000000" w:themeColor="text1"/>
          <w:sz w:val="20"/>
          <w:szCs w:val="20"/>
          <w:lang w:val="es-ES" w:eastAsia="es-ES_tradnl"/>
        </w:rPr>
        <w:t xml:space="preserve"> ya sea en la etapa precontractual, contractual o </w:t>
      </w:r>
      <w:proofErr w:type="spellStart"/>
      <w:r w:rsidRPr="007B323C">
        <w:rPr>
          <w:rFonts w:ascii="Verdana" w:eastAsia="Calibri" w:hAnsi="Verdana" w:cs="Arial"/>
          <w:color w:val="000000" w:themeColor="text1"/>
          <w:sz w:val="20"/>
          <w:szCs w:val="20"/>
          <w:lang w:val="es-ES" w:eastAsia="es-ES_tradnl"/>
        </w:rPr>
        <w:t>postcontractual</w:t>
      </w:r>
      <w:proofErr w:type="spellEnd"/>
      <w:r w:rsidRPr="007B323C">
        <w:rPr>
          <w:rFonts w:ascii="Verdana" w:eastAsia="Calibri" w:hAnsi="Verdana" w:cs="Arial"/>
          <w:color w:val="000000" w:themeColor="text1"/>
          <w:sz w:val="20"/>
          <w:szCs w:val="20"/>
          <w:lang w:val="es-ES" w:eastAsia="es-ES_tradnl"/>
        </w:rPr>
        <w:t>, con el fin de evitar o mitigar posibles riesgos</w:t>
      </w:r>
      <w:r w:rsidRPr="007B323C">
        <w:rPr>
          <w:rFonts w:ascii="Verdana" w:eastAsia="Calibri" w:hAnsi="Verdana" w:cs="Arial"/>
          <w:color w:val="000000" w:themeColor="text1"/>
          <w:sz w:val="20"/>
          <w:szCs w:val="20"/>
          <w:lang w:val="es-ES_tradnl" w:eastAsia="es-ES_tradnl"/>
        </w:rPr>
        <w:t xml:space="preserve">. En esa orientación, </w:t>
      </w:r>
      <w:r w:rsidRPr="007B323C">
        <w:rPr>
          <w:rFonts w:ascii="Verdana" w:eastAsia="Calibri" w:hAnsi="Verdana" w:cs="Arial"/>
          <w:color w:val="000000" w:themeColor="text1"/>
          <w:sz w:val="20"/>
          <w:szCs w:val="20"/>
          <w:lang w:val="es-ES_tradnl"/>
        </w:rPr>
        <w:t>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w:t>
      </w:r>
    </w:p>
    <w:p w14:paraId="6373329C" w14:textId="77777777" w:rsidR="007B323C" w:rsidRPr="00FE067A" w:rsidRDefault="007B323C" w:rsidP="007B323C">
      <w:pPr>
        <w:spacing w:after="0" w:line="240" w:lineRule="auto"/>
        <w:jc w:val="both"/>
        <w:rPr>
          <w:rFonts w:ascii="Verdana" w:eastAsia="Calibri" w:hAnsi="Verdana" w:cs="Arial"/>
          <w:color w:val="000000" w:themeColor="text1"/>
          <w:sz w:val="20"/>
          <w:szCs w:val="20"/>
          <w:lang w:val="es-ES_tradnl"/>
        </w:rPr>
      </w:pPr>
    </w:p>
    <w:p w14:paraId="5EB891CA" w14:textId="77777777" w:rsidR="00FE067A" w:rsidRPr="00FE067A" w:rsidRDefault="007B323C" w:rsidP="00FE067A">
      <w:pPr>
        <w:spacing w:after="0" w:line="240" w:lineRule="auto"/>
        <w:jc w:val="both"/>
        <w:rPr>
          <w:rFonts w:ascii="Verdana" w:hAnsi="Verdana" w:cs="Arial"/>
          <w:b/>
          <w:lang w:val="es-ES_tradnl" w:eastAsia="es-ES"/>
        </w:rPr>
      </w:pPr>
      <w:r w:rsidRPr="00FE067A">
        <w:rPr>
          <w:rFonts w:ascii="Verdana" w:hAnsi="Verdana" w:cs="Arial"/>
          <w:b/>
          <w:lang w:val="es-ES_tradnl" w:eastAsia="es-ES"/>
        </w:rPr>
        <w:t>GARANTÍA DE CUMPLIMIENTO – Vigencia</w:t>
      </w:r>
    </w:p>
    <w:p w14:paraId="349212E0" w14:textId="77777777" w:rsidR="00FE067A" w:rsidRPr="00FE067A" w:rsidRDefault="00FE067A" w:rsidP="00FE067A">
      <w:pPr>
        <w:spacing w:after="0" w:line="240" w:lineRule="auto"/>
        <w:jc w:val="both"/>
        <w:rPr>
          <w:rFonts w:ascii="Verdana" w:hAnsi="Verdana" w:cs="Arial"/>
          <w:b/>
          <w:lang w:val="es-ES_tradnl" w:eastAsia="es-ES"/>
        </w:rPr>
      </w:pPr>
    </w:p>
    <w:p w14:paraId="2868F69B" w14:textId="77777777" w:rsidR="00FE067A" w:rsidRPr="00FE067A" w:rsidRDefault="00FE067A" w:rsidP="007B323C">
      <w:pPr>
        <w:spacing w:after="0" w:line="240" w:lineRule="auto"/>
        <w:jc w:val="both"/>
        <w:rPr>
          <w:rFonts w:ascii="Verdana" w:hAnsi="Verdana" w:cs="Arial"/>
          <w:b/>
          <w:lang w:val="es-ES_tradnl" w:eastAsia="es-ES"/>
        </w:rPr>
      </w:pPr>
      <w:r w:rsidRPr="00FE067A">
        <w:rPr>
          <w:rFonts w:ascii="Verdana" w:eastAsia="Calibri" w:hAnsi="Verdana" w:cs="Arial"/>
          <w:bCs/>
          <w:sz w:val="20"/>
          <w:szCs w:val="20"/>
          <w:lang w:val="es-ES"/>
        </w:rPr>
        <w:t xml:space="preserve">[…] </w:t>
      </w:r>
      <w:r w:rsidRPr="00FE067A">
        <w:rPr>
          <w:rFonts w:ascii="Verdana" w:eastAsia="Times New Roman" w:hAnsi="Verdana" w:cs="Arial"/>
          <w:bCs/>
          <w:color w:val="000000" w:themeColor="text1"/>
          <w:sz w:val="20"/>
          <w:szCs w:val="20"/>
          <w:lang w:val="es-ES_tradnl"/>
        </w:rPr>
        <w:t xml:space="preserve">la finalidad y principal objetivo de la garantía de cumplimiento es proteger el patrimonio de la entidad de los potenciales riesgos y efectos derivados de un incumplimiento del contratista. Esta función, se advierte, debe irradiar la comprensión de las normas sobre garantías en general y sobre su vigencia en particular. </w:t>
      </w:r>
    </w:p>
    <w:p w14:paraId="12C87D84" w14:textId="77777777" w:rsidR="00FE067A" w:rsidRPr="00FE067A" w:rsidRDefault="00FE067A" w:rsidP="007B323C">
      <w:pPr>
        <w:spacing w:after="0" w:line="240" w:lineRule="auto"/>
        <w:jc w:val="both"/>
        <w:rPr>
          <w:rFonts w:ascii="Verdana" w:hAnsi="Verdana" w:cs="Arial"/>
          <w:b/>
          <w:lang w:val="es-ES_tradnl" w:eastAsia="es-ES"/>
        </w:rPr>
      </w:pPr>
    </w:p>
    <w:p w14:paraId="52F6C6B5" w14:textId="5DC968DB" w:rsidR="00FE067A" w:rsidRPr="00FE067A" w:rsidRDefault="00FE067A" w:rsidP="007B323C">
      <w:pPr>
        <w:spacing w:after="0" w:line="240" w:lineRule="auto"/>
        <w:jc w:val="both"/>
        <w:rPr>
          <w:rFonts w:ascii="Verdana" w:hAnsi="Verdana" w:cs="Arial"/>
          <w:b/>
          <w:lang w:val="es-ES_tradnl" w:eastAsia="es-ES"/>
        </w:rPr>
      </w:pPr>
      <w:r w:rsidRPr="00FE067A">
        <w:rPr>
          <w:rFonts w:ascii="Verdana" w:eastAsia="Times New Roman" w:hAnsi="Verdana" w:cs="Arial"/>
          <w:bCs/>
          <w:color w:val="000000" w:themeColor="text1"/>
          <w:sz w:val="20"/>
          <w:szCs w:val="20"/>
          <w:lang w:val="es-ES_tradnl"/>
        </w:rPr>
        <w:t xml:space="preserve">Finalizando con el análisis general del régimen de garantías en el Decreto 1082 de 2015, </w:t>
      </w:r>
      <w:r w:rsidRPr="00FE067A">
        <w:rPr>
          <w:rFonts w:ascii="Verdana" w:eastAsia="Calibri" w:hAnsi="Verdana" w:cs="Arial"/>
          <w:color w:val="000000"/>
          <w:sz w:val="20"/>
          <w:szCs w:val="20"/>
          <w:lang w:val="es-ES" w:eastAsia="es-ES_tradnl"/>
        </w:rPr>
        <w:t xml:space="preserve">los artículos 2.2.1.2.3.1.6 y 2.2.1.2.3.1.9 establecen las condiciones que debe cumplir la garantía de los riesgos derivados del incumplimiento de la oferta. </w:t>
      </w:r>
      <w:r w:rsidRPr="00FE067A">
        <w:rPr>
          <w:rFonts w:ascii="Verdana" w:eastAsia="Calibri" w:hAnsi="Verdana" w:cs="Arial"/>
          <w:color w:val="000000"/>
          <w:sz w:val="20"/>
          <w:szCs w:val="20"/>
          <w:lang w:val="es-ES_tradnl"/>
        </w:rPr>
        <w:t xml:space="preserve">De otro lado, el artículo 2.2.1.3.1.7 prescribe que la garantía de cumplimiento debe cubrir: i) el buen manejo y correcta inversión del anticipo; </w:t>
      </w:r>
      <w:proofErr w:type="spellStart"/>
      <w:r w:rsidRPr="00FE067A">
        <w:rPr>
          <w:rFonts w:ascii="Verdana" w:eastAsia="Calibri" w:hAnsi="Verdana" w:cs="Arial"/>
          <w:color w:val="000000"/>
          <w:sz w:val="20"/>
          <w:szCs w:val="20"/>
          <w:lang w:val="es-ES_tradnl"/>
        </w:rPr>
        <w:t>ii</w:t>
      </w:r>
      <w:proofErr w:type="spellEnd"/>
      <w:r w:rsidRPr="00FE067A">
        <w:rPr>
          <w:rFonts w:ascii="Verdana" w:eastAsia="Calibri" w:hAnsi="Verdana" w:cs="Arial"/>
          <w:color w:val="000000"/>
          <w:sz w:val="20"/>
          <w:szCs w:val="20"/>
          <w:lang w:val="es-ES_tradnl"/>
        </w:rPr>
        <w:t xml:space="preserve">) la devolución del pago anticipado; </w:t>
      </w:r>
      <w:proofErr w:type="spellStart"/>
      <w:r w:rsidRPr="00FE067A">
        <w:rPr>
          <w:rFonts w:ascii="Verdana" w:eastAsia="Calibri" w:hAnsi="Verdana" w:cs="Arial"/>
          <w:color w:val="000000"/>
          <w:sz w:val="20"/>
          <w:szCs w:val="20"/>
          <w:lang w:val="es-ES_tradnl"/>
        </w:rPr>
        <w:t>iii</w:t>
      </w:r>
      <w:proofErr w:type="spellEnd"/>
      <w:r w:rsidRPr="00FE067A">
        <w:rPr>
          <w:rFonts w:ascii="Verdana" w:eastAsia="Calibri" w:hAnsi="Verdana" w:cs="Arial"/>
          <w:color w:val="000000"/>
          <w:sz w:val="20"/>
          <w:szCs w:val="20"/>
          <w:lang w:val="es-ES_tradnl"/>
        </w:rPr>
        <w:t xml:space="preserve">) el cumplimiento del contrato; </w:t>
      </w:r>
      <w:proofErr w:type="spellStart"/>
      <w:r w:rsidRPr="00FE067A">
        <w:rPr>
          <w:rFonts w:ascii="Verdana" w:eastAsia="Calibri" w:hAnsi="Verdana" w:cs="Arial"/>
          <w:color w:val="000000"/>
          <w:sz w:val="20"/>
          <w:szCs w:val="20"/>
          <w:lang w:val="es-ES_tradnl"/>
        </w:rPr>
        <w:t>iv</w:t>
      </w:r>
      <w:proofErr w:type="spellEnd"/>
      <w:r w:rsidRPr="00FE067A">
        <w:rPr>
          <w:rFonts w:ascii="Verdana" w:eastAsia="Calibri" w:hAnsi="Verdana" w:cs="Arial"/>
          <w:color w:val="000000"/>
          <w:sz w:val="20"/>
          <w:szCs w:val="20"/>
          <w:lang w:val="es-ES_tradnl"/>
        </w:rPr>
        <w:t xml:space="preserve">) el pago de salarios, prestaciones sociales legales e indemnizaciones laborales; v) la estabilidad y calidad de la obra; vi) la calidad del servicio; </w:t>
      </w:r>
      <w:proofErr w:type="spellStart"/>
      <w:r w:rsidRPr="00FE067A">
        <w:rPr>
          <w:rFonts w:ascii="Verdana" w:eastAsia="Calibri" w:hAnsi="Verdana" w:cs="Arial"/>
          <w:color w:val="000000"/>
          <w:sz w:val="20"/>
          <w:szCs w:val="20"/>
          <w:lang w:val="es-ES_tradnl"/>
        </w:rPr>
        <w:t>vii</w:t>
      </w:r>
      <w:proofErr w:type="spellEnd"/>
      <w:r w:rsidRPr="00FE067A">
        <w:rPr>
          <w:rFonts w:ascii="Verdana" w:eastAsia="Calibri" w:hAnsi="Verdana" w:cs="Arial"/>
          <w:color w:val="000000"/>
          <w:sz w:val="20"/>
          <w:szCs w:val="20"/>
          <w:lang w:val="es-ES_tradnl"/>
        </w:rPr>
        <w:t xml:space="preserve">) la calidad y correcto funcionamiento de los bienes; y </w:t>
      </w:r>
      <w:proofErr w:type="spellStart"/>
      <w:r w:rsidRPr="00FE067A">
        <w:rPr>
          <w:rFonts w:ascii="Verdana" w:eastAsia="Calibri" w:hAnsi="Verdana" w:cs="Arial"/>
          <w:color w:val="000000"/>
          <w:sz w:val="20"/>
          <w:szCs w:val="20"/>
          <w:lang w:val="es-ES_tradnl"/>
        </w:rPr>
        <w:t>viii</w:t>
      </w:r>
      <w:proofErr w:type="spellEnd"/>
      <w:r w:rsidRPr="00FE067A">
        <w:rPr>
          <w:rFonts w:ascii="Verdana" w:eastAsia="Calibri" w:hAnsi="Verdana" w:cs="Arial"/>
          <w:color w:val="000000"/>
          <w:sz w:val="20"/>
          <w:szCs w:val="20"/>
          <w:lang w:val="es-ES_tradnl"/>
        </w:rPr>
        <w:t>) los demás incumplimientos de las obligaciones que la entidad estatal considere deben ser amparados.</w:t>
      </w:r>
    </w:p>
    <w:p w14:paraId="74CB0CAF" w14:textId="77777777" w:rsidR="00FE067A" w:rsidRPr="00FE067A" w:rsidRDefault="00FE067A" w:rsidP="007B323C">
      <w:pPr>
        <w:spacing w:after="0" w:line="240" w:lineRule="auto"/>
        <w:jc w:val="both"/>
        <w:rPr>
          <w:rFonts w:ascii="Verdana" w:eastAsia="Calibri" w:hAnsi="Verdana" w:cs="Arial"/>
          <w:color w:val="000000"/>
          <w:sz w:val="20"/>
          <w:szCs w:val="20"/>
          <w:lang w:val="es-ES_tradnl"/>
        </w:rPr>
      </w:pPr>
    </w:p>
    <w:p w14:paraId="6F973368" w14:textId="485597EC" w:rsidR="007B323C" w:rsidRPr="00FE067A" w:rsidRDefault="00E40E31" w:rsidP="007B323C">
      <w:pPr>
        <w:spacing w:after="0" w:line="240" w:lineRule="auto"/>
        <w:jc w:val="both"/>
        <w:rPr>
          <w:rFonts w:ascii="Verdana" w:eastAsia="Calibri" w:hAnsi="Verdana" w:cs="Arial"/>
          <w:color w:val="000000"/>
          <w:sz w:val="20"/>
          <w:szCs w:val="20"/>
          <w:lang w:val="es-ES_tradnl"/>
        </w:rPr>
      </w:pPr>
      <w:r w:rsidRPr="00E40E31">
        <w:rPr>
          <w:rFonts w:ascii="Verdana" w:eastAsia="Calibri" w:hAnsi="Verdana" w:cs="Arial"/>
          <w:bCs/>
          <w:sz w:val="20"/>
          <w:szCs w:val="20"/>
          <w:lang w:val="es-ES_tradnl"/>
        </w:rPr>
        <w:t xml:space="preserve">[…] en relación con la vigencia de las garantías, el artículo 2.2.1.2.3.1.12. del citado Decreto señala expresamente que </w:t>
      </w:r>
      <w:r w:rsidRPr="00FE067A">
        <w:rPr>
          <w:rFonts w:ascii="Verdana" w:eastAsia="Calibri" w:hAnsi="Verdana" w:cs="Arial"/>
          <w:bCs/>
          <w:sz w:val="20"/>
          <w:szCs w:val="20"/>
          <w:lang w:val="es-ES_tradnl"/>
        </w:rPr>
        <w:t>“</w:t>
      </w:r>
      <w:r w:rsidRPr="00E40E31">
        <w:rPr>
          <w:rFonts w:ascii="Verdana" w:eastAsia="Calibri" w:hAnsi="Verdana" w:cs="Arial"/>
          <w:bCs/>
          <w:sz w:val="20"/>
          <w:szCs w:val="20"/>
          <w:lang w:val="es-ES_tradnl"/>
        </w:rPr>
        <w:t>[l]a garantía de cumplimiento del contrato debe tener una vigencia mínima hasta la liquidación del contrato</w:t>
      </w:r>
      <w:r w:rsidRPr="00FE067A">
        <w:rPr>
          <w:rFonts w:ascii="Verdana" w:eastAsia="Calibri" w:hAnsi="Verdana" w:cs="Arial"/>
          <w:bCs/>
          <w:sz w:val="20"/>
          <w:szCs w:val="20"/>
          <w:lang w:val="es-ES_tradnl"/>
        </w:rPr>
        <w:t>”</w:t>
      </w:r>
      <w:r w:rsidRPr="00E40E31">
        <w:rPr>
          <w:rFonts w:ascii="Verdana" w:eastAsia="Calibri" w:hAnsi="Verdana" w:cs="Arial"/>
          <w:bCs/>
          <w:sz w:val="20"/>
          <w:szCs w:val="20"/>
          <w:lang w:val="es-ES_tradnl"/>
        </w:rPr>
        <w:t xml:space="preserve">. Lo primero que debe ponerse de presente es que esta disposición no se refiere a la garantía única de cumplimiento en su totalidad, sino exclusivamente al amparo de cumplimiento, al que se viene haciendo referencia, lo cual explica que los artículos anteriores y subsiguientes establezcan términos diferentes para los demás amparos que conforman la garantía única de cumplimiento. Así, por ejemplo, el artículo 2.2.1.2.3.1.13 </w:t>
      </w:r>
      <w:r w:rsidRPr="00E40E31">
        <w:rPr>
          <w:rFonts w:ascii="Verdana" w:eastAsia="Calibri" w:hAnsi="Verdana" w:cs="Arial"/>
          <w:bCs/>
          <w:i/>
          <w:iCs/>
          <w:sz w:val="20"/>
          <w:szCs w:val="20"/>
          <w:lang w:val="es-ES_tradnl"/>
        </w:rPr>
        <w:t>Ibidem</w:t>
      </w:r>
      <w:r w:rsidRPr="00E40E31">
        <w:rPr>
          <w:rFonts w:ascii="Verdana" w:eastAsia="Calibri" w:hAnsi="Verdana" w:cs="Arial"/>
          <w:bCs/>
          <w:sz w:val="20"/>
          <w:szCs w:val="20"/>
          <w:lang w:val="es-ES_tradnl"/>
        </w:rPr>
        <w:t xml:space="preserve"> prescribe que la garantía de pago de salarios y prestaciones sociales debe estar vigente por el plazo del contrato y 3 años adicionales y, a su vez, el artículo 2.2.1.2.3.1.14 establece un término, </w:t>
      </w:r>
      <w:r w:rsidRPr="00E40E31">
        <w:rPr>
          <w:rFonts w:ascii="Verdana" w:eastAsia="Calibri" w:hAnsi="Verdana" w:cs="Arial"/>
          <w:bCs/>
          <w:sz w:val="20"/>
          <w:szCs w:val="20"/>
          <w:lang w:val="es-ES_tradnl"/>
        </w:rPr>
        <w:lastRenderedPageBreak/>
        <w:t xml:space="preserve">por regla general, no inferior a 5 años para la garantía de estabilidad de la obra, contados a partir de la fecha en la cual la Entidad Estatal recibe a satisfacción la obra. </w:t>
      </w:r>
      <w:r w:rsidR="006F7455" w:rsidRPr="00FE067A">
        <w:rPr>
          <w:rFonts w:ascii="Verdana" w:eastAsia="Calibri" w:hAnsi="Verdana" w:cs="Arial"/>
          <w:bCs/>
          <w:sz w:val="20"/>
          <w:szCs w:val="20"/>
          <w:lang w:val="es-ES"/>
        </w:rPr>
        <w:t>[…]</w:t>
      </w:r>
    </w:p>
    <w:p w14:paraId="79E0919B" w14:textId="77777777" w:rsidR="007B323C" w:rsidRPr="00FE067A" w:rsidRDefault="007B323C" w:rsidP="007B323C">
      <w:pPr>
        <w:spacing w:after="0" w:line="240" w:lineRule="auto"/>
        <w:jc w:val="both"/>
        <w:rPr>
          <w:rFonts w:ascii="Verdana" w:eastAsia="Calibri" w:hAnsi="Verdana" w:cs="Arial"/>
          <w:color w:val="000000" w:themeColor="text1"/>
          <w:sz w:val="20"/>
          <w:szCs w:val="20"/>
          <w:lang w:val="es-ES_tradnl"/>
        </w:rPr>
      </w:pPr>
    </w:p>
    <w:p w14:paraId="59B98934" w14:textId="77777777" w:rsidR="007B323C" w:rsidRPr="00FE067A" w:rsidRDefault="00967515" w:rsidP="007B323C">
      <w:pPr>
        <w:spacing w:after="0" w:line="240" w:lineRule="auto"/>
        <w:jc w:val="both"/>
        <w:rPr>
          <w:rFonts w:ascii="Verdana" w:eastAsia="Calibri" w:hAnsi="Verdana" w:cs="Arial"/>
          <w:color w:val="000000" w:themeColor="text1"/>
          <w:sz w:val="20"/>
          <w:szCs w:val="20"/>
          <w:lang w:val="es-ES_tradnl"/>
        </w:rPr>
      </w:pPr>
      <w:r w:rsidRPr="00FE067A">
        <w:rPr>
          <w:rFonts w:ascii="Verdana" w:eastAsia="Calibri" w:hAnsi="Verdana" w:cs="Arial"/>
          <w:b/>
          <w:bCs/>
          <w:lang w:val="es-ES_tradnl"/>
        </w:rPr>
        <w:t>GARANTÍA DE ESTABILIDAD DE LA OBRA – Concepto</w:t>
      </w:r>
    </w:p>
    <w:p w14:paraId="262C8892" w14:textId="77777777" w:rsidR="007B323C" w:rsidRPr="00FE067A" w:rsidRDefault="007B323C" w:rsidP="007B323C">
      <w:pPr>
        <w:spacing w:after="0" w:line="240" w:lineRule="auto"/>
        <w:jc w:val="both"/>
        <w:rPr>
          <w:rFonts w:ascii="Verdana" w:eastAsia="Calibri" w:hAnsi="Verdana" w:cs="Arial"/>
          <w:color w:val="000000" w:themeColor="text1"/>
          <w:sz w:val="20"/>
          <w:szCs w:val="20"/>
          <w:lang w:val="es-ES_tradnl"/>
        </w:rPr>
      </w:pPr>
    </w:p>
    <w:p w14:paraId="72AC3226" w14:textId="438922DF" w:rsidR="008C6121" w:rsidRPr="008C6121" w:rsidRDefault="00FC7658" w:rsidP="007B323C">
      <w:pPr>
        <w:spacing w:after="0" w:line="240" w:lineRule="auto"/>
        <w:jc w:val="both"/>
        <w:rPr>
          <w:rFonts w:ascii="Verdana" w:eastAsia="Calibri" w:hAnsi="Verdana" w:cs="Arial"/>
          <w:color w:val="000000" w:themeColor="text1"/>
          <w:sz w:val="20"/>
          <w:szCs w:val="20"/>
          <w:lang w:val="es-ES_tradnl"/>
        </w:rPr>
      </w:pPr>
      <w:r w:rsidRPr="00FE067A">
        <w:rPr>
          <w:rFonts w:ascii="Verdana" w:eastAsia="Calibri" w:hAnsi="Verdana" w:cs="Arial"/>
          <w:bCs/>
          <w:sz w:val="20"/>
          <w:szCs w:val="20"/>
          <w:lang w:val="es-ES"/>
        </w:rPr>
        <w:t xml:space="preserve">[…] </w:t>
      </w:r>
      <w:r w:rsidR="008C6121" w:rsidRPr="008C6121">
        <w:rPr>
          <w:rFonts w:ascii="Verdana" w:eastAsia="Calibri" w:hAnsi="Verdana" w:cs="Arial"/>
          <w:sz w:val="20"/>
          <w:szCs w:val="20"/>
          <w:lang w:val="es-ES_tradnl"/>
        </w:rPr>
        <w:t>De esta manera, la garantía cubre la ocurrencia de vicios, mala calidad, defectos, deficiencias técnicas o fallas que la Administración no detecte al momento de recibir la obra o que descubre con posterioridad a la finalización del contrato, afectando el cumplimiento de los objetivos que animaron la suscripción.</w:t>
      </w:r>
      <w:r w:rsidR="008C6121" w:rsidRPr="008C6121">
        <w:rPr>
          <w:rFonts w:ascii="Verdana" w:eastAsia="Calibri" w:hAnsi="Verdana" w:cs="Arial"/>
          <w:bCs/>
          <w:sz w:val="20"/>
          <w:szCs w:val="20"/>
          <w:lang w:val="es-ES_tradnl" w:eastAsia="es-MX"/>
        </w:rPr>
        <w:t xml:space="preserve">  </w:t>
      </w:r>
      <w:r w:rsidR="008C6121" w:rsidRPr="008C6121">
        <w:rPr>
          <w:rFonts w:ascii="Verdana" w:eastAsia="Calibri" w:hAnsi="Verdana" w:cs="Arial"/>
          <w:sz w:val="20"/>
          <w:szCs w:val="20"/>
        </w:rPr>
        <w:t xml:space="preserve">Al respecto, la jurisprudencia de la sección tercera del Consejo de Estado ha manifestado que el recibo de la obra no implica la aceptación de su estabilidad y tampoco exonera de cumplir con la obligación de saneamiento por los vicios que son inherentes a la construcción de la obra. […] </w:t>
      </w:r>
      <w:r w:rsidR="008C6121" w:rsidRPr="008C6121">
        <w:rPr>
          <w:rFonts w:ascii="Verdana" w:eastAsia="Calibri" w:hAnsi="Verdana" w:cs="Arial"/>
          <w:sz w:val="20"/>
          <w:szCs w:val="20"/>
          <w:lang w:val="es-ES_tradnl"/>
        </w:rPr>
        <w:t xml:space="preserve">es preciso mencionar que la jurisprudencia ha diferenciado la obligación de garantizar el contrato de obra pública mediante póliza, con la responsabilidad exigible al contratista en virtud del artículo 2060 del Código Civil, en tanto que las obligaciones de estabilidad de la obra tienen origen en el contrato, no lo libera de las obligaciones garantizadas por el término señalado en el Código Civil, por ello ha dicho: </w:t>
      </w:r>
      <w:r w:rsidR="008C6121" w:rsidRPr="008C6121">
        <w:rPr>
          <w:rFonts w:ascii="Verdana" w:eastAsia="Calibri" w:hAnsi="Verdana" w:cs="Arial"/>
          <w:sz w:val="20"/>
          <w:szCs w:val="20"/>
        </w:rPr>
        <w:t xml:space="preserve">Por eso, en principio, el hecho de que el contratista constructor constituya la garantía de estabilidad de la obra por un período menor a los diez años, no implica que por el tiempo faltante cese la obligación que la ley civil le impone de responder si se presentan vicios inherentes a la construcción y a la calidad de los materiales, sino que comporta que la entidad pública dueña de la obra pueda hacerla exigible con fundamento en la garantía de seguro constituida por el contratista constructor, si llegasen a aparecer en el período de garantía. Igualmente, el vencimiento de la garantía no libera al constructor de la responsabilidad que le incumbe por la estabilidad de la obra y la buena calidad de los materiales utilizados, durante el término que reste de la obligación decenal establecida en el artículo 2060 del Código Civil. </w:t>
      </w:r>
      <w:r w:rsidRPr="00FE067A">
        <w:rPr>
          <w:rFonts w:ascii="Verdana" w:eastAsia="Calibri" w:hAnsi="Verdana" w:cs="Arial"/>
          <w:bCs/>
          <w:sz w:val="20"/>
          <w:szCs w:val="20"/>
          <w:lang w:val="es-ES"/>
        </w:rPr>
        <w:t>[…]</w:t>
      </w:r>
    </w:p>
    <w:p w14:paraId="570F6C58" w14:textId="77777777" w:rsidR="00967515" w:rsidRPr="00967515" w:rsidRDefault="00967515" w:rsidP="00E245AB">
      <w:pPr>
        <w:spacing w:after="0"/>
        <w:rPr>
          <w:rFonts w:ascii="Verdana" w:hAnsi="Verdana"/>
          <w:lang w:val="es-ES_tradnl"/>
        </w:rPr>
      </w:pPr>
    </w:p>
    <w:p w14:paraId="481C56DE" w14:textId="77777777" w:rsidR="00692543" w:rsidRDefault="00692543" w:rsidP="00E245AB">
      <w:pPr>
        <w:spacing w:after="0"/>
        <w:rPr>
          <w:rFonts w:ascii="Verdana" w:hAnsi="Verdana"/>
        </w:rPr>
      </w:pPr>
    </w:p>
    <w:p w14:paraId="7242CFC0" w14:textId="77777777" w:rsidR="00FE067A" w:rsidRDefault="00FE067A" w:rsidP="00E245AB">
      <w:pPr>
        <w:spacing w:after="0"/>
        <w:rPr>
          <w:rFonts w:ascii="Verdana" w:hAnsi="Verdana"/>
        </w:rPr>
      </w:pPr>
    </w:p>
    <w:p w14:paraId="22CD2977" w14:textId="77777777" w:rsidR="00FE067A" w:rsidRDefault="00FE067A" w:rsidP="00E245AB">
      <w:pPr>
        <w:spacing w:after="0"/>
        <w:rPr>
          <w:rFonts w:ascii="Verdana" w:hAnsi="Verdana"/>
        </w:rPr>
      </w:pPr>
    </w:p>
    <w:p w14:paraId="60591873" w14:textId="77777777" w:rsidR="00FE067A" w:rsidRDefault="00FE067A" w:rsidP="00E245AB">
      <w:pPr>
        <w:spacing w:after="0"/>
        <w:rPr>
          <w:rFonts w:ascii="Verdana" w:hAnsi="Verdana"/>
        </w:rPr>
      </w:pPr>
    </w:p>
    <w:p w14:paraId="412F5452" w14:textId="77777777" w:rsidR="00FE067A" w:rsidRDefault="00FE067A" w:rsidP="00E245AB">
      <w:pPr>
        <w:spacing w:after="0"/>
        <w:rPr>
          <w:rFonts w:ascii="Verdana" w:hAnsi="Verdana"/>
        </w:rPr>
      </w:pPr>
    </w:p>
    <w:p w14:paraId="78EAC590" w14:textId="77777777" w:rsidR="00FE067A" w:rsidRDefault="00FE067A" w:rsidP="00E245AB">
      <w:pPr>
        <w:spacing w:after="0"/>
        <w:rPr>
          <w:rFonts w:ascii="Verdana" w:hAnsi="Verdana"/>
        </w:rPr>
      </w:pPr>
    </w:p>
    <w:p w14:paraId="5742EC90" w14:textId="77777777" w:rsidR="00FE067A" w:rsidRDefault="00FE067A" w:rsidP="00E245AB">
      <w:pPr>
        <w:spacing w:after="0"/>
        <w:rPr>
          <w:rFonts w:ascii="Verdana" w:hAnsi="Verdana"/>
        </w:rPr>
      </w:pPr>
    </w:p>
    <w:p w14:paraId="16226424" w14:textId="77777777" w:rsidR="00FE067A" w:rsidRDefault="00FE067A" w:rsidP="00E245AB">
      <w:pPr>
        <w:spacing w:after="0"/>
        <w:rPr>
          <w:rFonts w:ascii="Verdana" w:hAnsi="Verdana"/>
        </w:rPr>
      </w:pPr>
    </w:p>
    <w:p w14:paraId="0127B49E" w14:textId="77777777" w:rsidR="00FE067A" w:rsidRDefault="00FE067A" w:rsidP="00E245AB">
      <w:pPr>
        <w:spacing w:after="0"/>
        <w:rPr>
          <w:rFonts w:ascii="Verdana" w:hAnsi="Verdana"/>
        </w:rPr>
      </w:pPr>
    </w:p>
    <w:p w14:paraId="5E8DDB63" w14:textId="77777777" w:rsidR="00FE067A" w:rsidRDefault="00FE067A" w:rsidP="00E245AB">
      <w:pPr>
        <w:spacing w:after="0"/>
        <w:rPr>
          <w:rFonts w:ascii="Verdana" w:hAnsi="Verdana"/>
        </w:rPr>
      </w:pPr>
    </w:p>
    <w:p w14:paraId="44F12980" w14:textId="77777777" w:rsidR="00D134E1" w:rsidRDefault="00D134E1" w:rsidP="00E245AB">
      <w:pPr>
        <w:spacing w:after="0"/>
        <w:rPr>
          <w:rFonts w:ascii="Verdana" w:hAnsi="Verdana"/>
        </w:rPr>
      </w:pPr>
    </w:p>
    <w:p w14:paraId="7B1AADCF" w14:textId="77777777" w:rsidR="00D134E1" w:rsidRDefault="00D134E1" w:rsidP="00E245AB">
      <w:pPr>
        <w:spacing w:after="0"/>
        <w:rPr>
          <w:rFonts w:ascii="Verdana" w:hAnsi="Verdana"/>
        </w:rPr>
      </w:pPr>
    </w:p>
    <w:p w14:paraId="6D4F8083" w14:textId="77777777" w:rsidR="00D134E1" w:rsidRDefault="00D134E1" w:rsidP="00E245AB">
      <w:pPr>
        <w:spacing w:after="0"/>
        <w:rPr>
          <w:rFonts w:ascii="Verdana" w:hAnsi="Verdana"/>
        </w:rPr>
      </w:pPr>
    </w:p>
    <w:p w14:paraId="4E620DE9" w14:textId="77777777" w:rsidR="00D134E1" w:rsidRDefault="00D134E1" w:rsidP="00E245AB">
      <w:pPr>
        <w:spacing w:after="0"/>
        <w:rPr>
          <w:rFonts w:ascii="Verdana" w:hAnsi="Verdana"/>
        </w:rPr>
      </w:pPr>
    </w:p>
    <w:p w14:paraId="700196F3" w14:textId="77777777" w:rsidR="00FE067A" w:rsidRDefault="00FE067A" w:rsidP="00E245AB">
      <w:pPr>
        <w:spacing w:after="0"/>
        <w:rPr>
          <w:rFonts w:ascii="Verdana" w:hAnsi="Verdana"/>
        </w:rPr>
      </w:pPr>
    </w:p>
    <w:p w14:paraId="5783EE1A" w14:textId="77777777" w:rsidR="00FE067A" w:rsidRDefault="00FE067A" w:rsidP="00E245AB">
      <w:pPr>
        <w:spacing w:after="0"/>
        <w:rPr>
          <w:rFonts w:ascii="Verdana" w:hAnsi="Verdana"/>
        </w:rPr>
      </w:pPr>
    </w:p>
    <w:p w14:paraId="1BD02353" w14:textId="77777777" w:rsidR="00FE067A" w:rsidRPr="00907E99" w:rsidRDefault="00FE067A" w:rsidP="00E245AB">
      <w:pPr>
        <w:spacing w:after="0"/>
        <w:rPr>
          <w:rFonts w:ascii="Verdana" w:hAnsi="Verdana"/>
        </w:rPr>
      </w:pPr>
    </w:p>
    <w:p w14:paraId="3FE2184B" w14:textId="370D575F" w:rsidR="00E245AB" w:rsidRDefault="00E245AB" w:rsidP="00E245AB">
      <w:pPr>
        <w:spacing w:after="0"/>
        <w:rPr>
          <w:rFonts w:ascii="Verdana" w:hAnsi="Verdana"/>
        </w:rPr>
      </w:pPr>
      <w:r w:rsidRPr="00D319C4">
        <w:rPr>
          <w:rFonts w:ascii="Verdana" w:hAnsi="Verdana"/>
        </w:rPr>
        <w:lastRenderedPageBreak/>
        <w:t xml:space="preserve">Bogotá D.C., </w:t>
      </w:r>
      <w:r w:rsidR="00D319C4" w:rsidRPr="00D319C4">
        <w:rPr>
          <w:rFonts w:ascii="Verdana" w:hAnsi="Verdana"/>
        </w:rPr>
        <w:t>10 de s</w:t>
      </w:r>
      <w:r w:rsidR="00D319C4">
        <w:rPr>
          <w:rFonts w:ascii="Verdana" w:hAnsi="Verdana"/>
        </w:rPr>
        <w:t>eptiembre del 2024</w:t>
      </w:r>
    </w:p>
    <w:p w14:paraId="7476A08A" w14:textId="77777777" w:rsidR="00D319C4" w:rsidRPr="00D319C4" w:rsidRDefault="00D319C4" w:rsidP="00E245AB">
      <w:pPr>
        <w:spacing w:after="0"/>
        <w:rPr>
          <w:rFonts w:ascii="Verdana" w:hAnsi="Verdana"/>
        </w:rPr>
      </w:pPr>
    </w:p>
    <w:p w14:paraId="5FCADBF9" w14:textId="7CE3A1AE" w:rsidR="00E245AB" w:rsidRPr="00D319C4" w:rsidRDefault="00B82779" w:rsidP="00B82779">
      <w:pPr>
        <w:spacing w:after="0"/>
        <w:jc w:val="right"/>
        <w:rPr>
          <w:rFonts w:ascii="Verdana" w:hAnsi="Verdana"/>
        </w:rPr>
      </w:pPr>
      <w:r w:rsidRPr="00B82779">
        <w:rPr>
          <w:rFonts w:ascii="Verdana" w:hAnsi="Verdana"/>
        </w:rPr>
        <w:drawing>
          <wp:inline distT="0" distB="0" distL="0" distR="0" wp14:anchorId="43BE93EF" wp14:editId="013E1E41">
            <wp:extent cx="3324225" cy="1000125"/>
            <wp:effectExtent l="0" t="0" r="9525" b="9525"/>
            <wp:docPr id="1197438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43828" name=""/>
                    <pic:cNvPicPr/>
                  </pic:nvPicPr>
                  <pic:blipFill>
                    <a:blip r:embed="rId10"/>
                    <a:stretch>
                      <a:fillRect/>
                    </a:stretch>
                  </pic:blipFill>
                  <pic:spPr>
                    <a:xfrm>
                      <a:off x="0" y="0"/>
                      <a:ext cx="3324225" cy="1000125"/>
                    </a:xfrm>
                    <a:prstGeom prst="rect">
                      <a:avLst/>
                    </a:prstGeom>
                  </pic:spPr>
                </pic:pic>
              </a:graphicData>
            </a:graphic>
          </wp:inline>
        </w:drawing>
      </w:r>
    </w:p>
    <w:p w14:paraId="0465BA6D" w14:textId="77777777" w:rsidR="00E245AB" w:rsidRPr="00D319C4" w:rsidRDefault="00E245AB" w:rsidP="00E245AB">
      <w:pPr>
        <w:spacing w:after="0"/>
        <w:rPr>
          <w:rFonts w:ascii="Verdana" w:hAnsi="Verdana"/>
        </w:rPr>
      </w:pPr>
    </w:p>
    <w:bookmarkEnd w:id="0"/>
    <w:p w14:paraId="270A64A4" w14:textId="471B62B4" w:rsidR="001C05A6" w:rsidRPr="00907E99" w:rsidRDefault="001C05A6" w:rsidP="001C05A6">
      <w:pPr>
        <w:spacing w:after="0" w:line="240" w:lineRule="auto"/>
        <w:jc w:val="both"/>
        <w:rPr>
          <w:rFonts w:ascii="Verdana" w:eastAsia="Calibri" w:hAnsi="Verdana" w:cs="Arial"/>
          <w:lang w:val="es-ES" w:eastAsia="es-ES"/>
        </w:rPr>
      </w:pPr>
      <w:r w:rsidRPr="00907E99">
        <w:rPr>
          <w:rFonts w:ascii="Verdana" w:eastAsia="Calibri" w:hAnsi="Verdana" w:cs="Arial"/>
          <w:lang w:val="es-ES" w:eastAsia="es-ES"/>
        </w:rPr>
        <w:t>Señor</w:t>
      </w:r>
      <w:r w:rsidR="00F82A26" w:rsidRPr="00907E99">
        <w:rPr>
          <w:rFonts w:ascii="Verdana" w:eastAsia="Calibri" w:hAnsi="Verdana" w:cs="Arial"/>
          <w:lang w:val="es-ES" w:eastAsia="es-ES"/>
        </w:rPr>
        <w:t>a</w:t>
      </w:r>
      <w:r w:rsidR="00B82779">
        <w:rPr>
          <w:rFonts w:ascii="Verdana" w:eastAsia="Calibri" w:hAnsi="Verdana" w:cs="Arial"/>
          <w:lang w:val="es-ES" w:eastAsia="es-ES"/>
        </w:rPr>
        <w:t>:</w:t>
      </w:r>
    </w:p>
    <w:p w14:paraId="54C3BC52" w14:textId="534E144B" w:rsidR="001C05A6" w:rsidRPr="00907E99" w:rsidRDefault="003127BA" w:rsidP="001C05A6">
      <w:pPr>
        <w:spacing w:after="0" w:line="240" w:lineRule="auto"/>
        <w:rPr>
          <w:rFonts w:ascii="Verdana" w:eastAsia="Calibri" w:hAnsi="Verdana" w:cs="Arial"/>
          <w:b/>
          <w:lang w:eastAsia="es-ES_tradnl"/>
        </w:rPr>
      </w:pPr>
      <w:proofErr w:type="spellStart"/>
      <w:r w:rsidRPr="00907E99">
        <w:rPr>
          <w:rFonts w:ascii="Verdana" w:eastAsia="Calibri" w:hAnsi="Verdana" w:cs="Arial"/>
          <w:b/>
          <w:lang w:eastAsia="es-ES_tradnl"/>
        </w:rPr>
        <w:t>Nicolle</w:t>
      </w:r>
      <w:proofErr w:type="spellEnd"/>
      <w:r w:rsidRPr="00907E99">
        <w:rPr>
          <w:rFonts w:ascii="Verdana" w:eastAsia="Calibri" w:hAnsi="Verdana" w:cs="Arial"/>
          <w:b/>
          <w:lang w:eastAsia="es-ES_tradnl"/>
        </w:rPr>
        <w:t xml:space="preserve"> </w:t>
      </w:r>
      <w:r w:rsidR="002336A7" w:rsidRPr="00907E99">
        <w:rPr>
          <w:rFonts w:ascii="Verdana" w:eastAsia="Calibri" w:hAnsi="Verdana" w:cs="Arial"/>
          <w:b/>
          <w:lang w:eastAsia="es-ES_tradnl"/>
        </w:rPr>
        <w:t>Daniela</w:t>
      </w:r>
      <w:r w:rsidRPr="00907E99">
        <w:rPr>
          <w:rFonts w:ascii="Verdana" w:eastAsia="Calibri" w:hAnsi="Verdana" w:cs="Arial"/>
          <w:b/>
          <w:lang w:eastAsia="es-ES_tradnl"/>
        </w:rPr>
        <w:t xml:space="preserve"> Rueda Fernández </w:t>
      </w:r>
    </w:p>
    <w:p w14:paraId="7C2A75E9" w14:textId="0CDED0D3" w:rsidR="00C83207" w:rsidRPr="00907E99" w:rsidRDefault="00D134E1" w:rsidP="001C05A6">
      <w:pPr>
        <w:spacing w:after="0" w:line="240" w:lineRule="auto"/>
        <w:rPr>
          <w:rFonts w:ascii="Verdana" w:hAnsi="Verdana"/>
          <w:lang w:val="en-US"/>
        </w:rPr>
      </w:pPr>
      <w:hyperlink r:id="rId11" w:history="1">
        <w:r w:rsidR="00C83207" w:rsidRPr="00907E99">
          <w:rPr>
            <w:rStyle w:val="Hipervnculo"/>
            <w:rFonts w:ascii="Verdana" w:hAnsi="Verdana"/>
            <w:lang w:val="en-US"/>
          </w:rPr>
          <w:t>nrueda266@unab.edu.co</w:t>
        </w:r>
      </w:hyperlink>
    </w:p>
    <w:p w14:paraId="04744853" w14:textId="0B79A228" w:rsidR="001C05A6" w:rsidRPr="00907E99" w:rsidRDefault="00C83207" w:rsidP="001C05A6">
      <w:pPr>
        <w:spacing w:after="0" w:line="240" w:lineRule="auto"/>
        <w:rPr>
          <w:rFonts w:ascii="Verdana" w:eastAsia="Calibri" w:hAnsi="Verdana" w:cs="Arial"/>
          <w:b/>
          <w:bCs/>
          <w:lang w:val="en-US" w:eastAsia="es-ES"/>
        </w:rPr>
      </w:pPr>
      <w:r w:rsidRPr="00907E99">
        <w:rPr>
          <w:rFonts w:ascii="Verdana" w:eastAsia="Calibri" w:hAnsi="Verdana" w:cs="Arial"/>
          <w:lang w:val="en-US" w:eastAsia="es-ES"/>
        </w:rPr>
        <w:t xml:space="preserve">Bucaramanga, Santander </w:t>
      </w:r>
    </w:p>
    <w:p w14:paraId="7C074CF9" w14:textId="77777777" w:rsidR="001C05A6" w:rsidRPr="00907E99" w:rsidRDefault="001C05A6" w:rsidP="001C05A6">
      <w:pPr>
        <w:spacing w:after="0" w:line="240" w:lineRule="auto"/>
        <w:rPr>
          <w:rFonts w:ascii="Verdana" w:eastAsia="Calibri" w:hAnsi="Verdana" w:cs="Arial"/>
          <w:b/>
          <w:bCs/>
          <w:highlight w:val="cyan"/>
          <w:lang w:val="en-US" w:eastAsia="es-ES_tradnl"/>
        </w:rPr>
      </w:pPr>
    </w:p>
    <w:p w14:paraId="3F20EED5" w14:textId="77777777" w:rsidR="001C05A6" w:rsidRPr="00907E99" w:rsidRDefault="001C05A6" w:rsidP="001C05A6">
      <w:pPr>
        <w:spacing w:after="0" w:line="240" w:lineRule="auto"/>
        <w:rPr>
          <w:rFonts w:ascii="Verdana" w:eastAsia="Calibri" w:hAnsi="Verdana" w:cs="Arial"/>
          <w:b/>
          <w:bCs/>
          <w:highlight w:val="cyan"/>
          <w:lang w:val="en-US" w:eastAsia="es-ES_tradnl"/>
        </w:rPr>
      </w:pPr>
    </w:p>
    <w:p w14:paraId="6D773D50" w14:textId="77777777" w:rsidR="001C05A6" w:rsidRPr="00907E99" w:rsidRDefault="001C05A6" w:rsidP="001C05A6">
      <w:pPr>
        <w:spacing w:after="0" w:line="240" w:lineRule="auto"/>
        <w:rPr>
          <w:rFonts w:ascii="Verdana" w:eastAsia="Calibri" w:hAnsi="Verdana" w:cs="Arial"/>
          <w:b/>
          <w:bCs/>
          <w:highlight w:val="cyan"/>
          <w:lang w:val="en-US"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1C05A6" w:rsidRPr="00907E99" w14:paraId="6B4BA91C" w14:textId="77777777" w:rsidTr="00023E7D">
        <w:trPr>
          <w:trHeight w:val="884"/>
        </w:trPr>
        <w:tc>
          <w:tcPr>
            <w:tcW w:w="2689" w:type="dxa"/>
          </w:tcPr>
          <w:p w14:paraId="12782166" w14:textId="77777777" w:rsidR="001C05A6" w:rsidRPr="00907E99" w:rsidRDefault="001C05A6" w:rsidP="00023E7D">
            <w:pPr>
              <w:jc w:val="both"/>
              <w:rPr>
                <w:rFonts w:ascii="Verdana" w:eastAsia="Calibri" w:hAnsi="Verdana" w:cs="Arial"/>
                <w:b/>
                <w:bCs/>
                <w:highlight w:val="cyan"/>
                <w:lang w:val="en-US" w:eastAsia="es-ES_tradnl"/>
              </w:rPr>
            </w:pPr>
          </w:p>
        </w:tc>
        <w:tc>
          <w:tcPr>
            <w:tcW w:w="6100" w:type="dxa"/>
          </w:tcPr>
          <w:p w14:paraId="25A5F8EF" w14:textId="24807598" w:rsidR="001C05A6" w:rsidRPr="00907E99" w:rsidRDefault="001C05A6" w:rsidP="00023E7D">
            <w:pPr>
              <w:jc w:val="both"/>
              <w:rPr>
                <w:rFonts w:ascii="Verdana" w:eastAsia="Calibri" w:hAnsi="Verdana" w:cs="Arial"/>
                <w:b/>
                <w:bCs/>
                <w:lang w:val="es-ES" w:eastAsia="es-ES"/>
              </w:rPr>
            </w:pPr>
            <w:r w:rsidRPr="00907E99">
              <w:rPr>
                <w:rFonts w:ascii="Verdana" w:eastAsia="Calibri" w:hAnsi="Verdana" w:cs="Arial"/>
                <w:b/>
                <w:bCs/>
                <w:lang w:val="es-ES" w:eastAsia="es-ES"/>
              </w:rPr>
              <w:t xml:space="preserve">Concepto </w:t>
            </w:r>
            <w:r w:rsidR="00697AB9" w:rsidRPr="00907E99">
              <w:rPr>
                <w:rFonts w:ascii="Verdana" w:eastAsia="Calibri" w:hAnsi="Verdana" w:cs="Arial"/>
                <w:b/>
                <w:bCs/>
                <w:lang w:eastAsia="es-ES"/>
              </w:rPr>
              <w:t>C-442</w:t>
            </w:r>
            <w:r w:rsidRPr="00907E99">
              <w:rPr>
                <w:rFonts w:ascii="Verdana" w:eastAsia="Calibri" w:hAnsi="Verdana" w:cs="Arial"/>
                <w:b/>
                <w:bCs/>
                <w:lang w:eastAsia="es-ES"/>
              </w:rPr>
              <w:t xml:space="preserve"> </w:t>
            </w:r>
            <w:r w:rsidRPr="00907E99">
              <w:rPr>
                <w:rFonts w:ascii="Verdana" w:eastAsia="Calibri" w:hAnsi="Verdana" w:cs="Arial"/>
                <w:b/>
                <w:bCs/>
                <w:lang w:val="es-ES" w:eastAsia="es-ES"/>
              </w:rPr>
              <w:t>de 2024</w:t>
            </w:r>
          </w:p>
        </w:tc>
      </w:tr>
      <w:tr w:rsidR="001C05A6" w:rsidRPr="00907E99" w14:paraId="68C82A8C" w14:textId="77777777" w:rsidTr="00023E7D">
        <w:trPr>
          <w:trHeight w:val="884"/>
        </w:trPr>
        <w:tc>
          <w:tcPr>
            <w:tcW w:w="2689" w:type="dxa"/>
            <w:shd w:val="clear" w:color="auto" w:fill="auto"/>
          </w:tcPr>
          <w:p w14:paraId="50A39187" w14:textId="77777777" w:rsidR="001C05A6" w:rsidRPr="00907E99" w:rsidRDefault="001C05A6" w:rsidP="00023E7D">
            <w:pPr>
              <w:jc w:val="both"/>
              <w:rPr>
                <w:rFonts w:ascii="Verdana" w:eastAsia="Calibri" w:hAnsi="Verdana" w:cs="Arial"/>
                <w:b/>
                <w:highlight w:val="cyan"/>
                <w:lang w:val="es-ES_tradnl" w:eastAsia="es-ES_tradnl"/>
              </w:rPr>
            </w:pPr>
            <w:r w:rsidRPr="00907E99">
              <w:rPr>
                <w:rFonts w:ascii="Verdana" w:eastAsia="Calibri" w:hAnsi="Verdana" w:cs="Arial"/>
                <w:b/>
                <w:lang w:val="es-ES_tradnl" w:eastAsia="es-ES_tradnl"/>
              </w:rPr>
              <w:t xml:space="preserve">Temas:                   </w:t>
            </w:r>
          </w:p>
        </w:tc>
        <w:tc>
          <w:tcPr>
            <w:tcW w:w="6100" w:type="dxa"/>
          </w:tcPr>
          <w:p w14:paraId="50422F96" w14:textId="17FC85D4" w:rsidR="001C05A6" w:rsidRPr="00907E99" w:rsidRDefault="00B55FE8" w:rsidP="00023E7D">
            <w:pPr>
              <w:spacing w:line="276" w:lineRule="auto"/>
              <w:jc w:val="both"/>
              <w:rPr>
                <w:rFonts w:ascii="Verdana" w:eastAsia="Calibri" w:hAnsi="Verdana" w:cs="Arial"/>
                <w:lang w:val="es-ES_tradnl"/>
              </w:rPr>
            </w:pPr>
            <w:r w:rsidRPr="00907E99">
              <w:rPr>
                <w:rFonts w:ascii="Verdana" w:eastAsia="Calibri" w:hAnsi="Verdana" w:cs="Arial"/>
                <w:lang w:val="es-ES" w:eastAsia="es-ES"/>
              </w:rPr>
              <w:t xml:space="preserve">CONTRATO ESTATAL ― Acta de recibo final / </w:t>
            </w:r>
            <w:bookmarkStart w:id="1" w:name="_Hlk176875657"/>
            <w:r w:rsidR="006B0029" w:rsidRPr="00907E99">
              <w:rPr>
                <w:rFonts w:ascii="Verdana" w:hAnsi="Verdana" w:cs="Arial"/>
                <w:bCs/>
                <w:lang w:val="es-ES_tradnl" w:eastAsia="es-ES"/>
              </w:rPr>
              <w:t xml:space="preserve">GARANTÍAS – Plazo para su reclamación / </w:t>
            </w:r>
            <w:r w:rsidR="00E90F47" w:rsidRPr="00907E99">
              <w:rPr>
                <w:rFonts w:ascii="Verdana" w:hAnsi="Verdana" w:cs="Arial"/>
                <w:bCs/>
                <w:lang w:val="es-ES_tradnl" w:eastAsia="es-ES"/>
              </w:rPr>
              <w:t xml:space="preserve">GARANTÍA DE CUMPLIMIENTO – Vigencia / </w:t>
            </w:r>
            <w:r w:rsidR="00E90F47" w:rsidRPr="00907E99">
              <w:rPr>
                <w:rFonts w:ascii="Verdana" w:eastAsia="Calibri" w:hAnsi="Verdana" w:cs="Arial"/>
                <w:lang w:val="es-ES_tradnl"/>
              </w:rPr>
              <w:t>GARANTÍA DE ESTABILIDAD DE LA OBRA – Concepto</w:t>
            </w:r>
          </w:p>
          <w:bookmarkEnd w:id="1"/>
          <w:p w14:paraId="2436E3A6" w14:textId="6AE8C40B" w:rsidR="006B0029" w:rsidRPr="00907E99" w:rsidRDefault="006B0029" w:rsidP="00023E7D">
            <w:pPr>
              <w:spacing w:line="276" w:lineRule="auto"/>
              <w:jc w:val="both"/>
              <w:rPr>
                <w:rFonts w:ascii="Verdana" w:eastAsia="Calibri" w:hAnsi="Verdana" w:cs="Arial"/>
                <w:highlight w:val="cyan"/>
                <w:lang w:val="es-ES" w:eastAsia="es-ES"/>
              </w:rPr>
            </w:pPr>
          </w:p>
        </w:tc>
      </w:tr>
      <w:tr w:rsidR="001C05A6" w:rsidRPr="00907E99" w14:paraId="63BE877A" w14:textId="77777777" w:rsidTr="00023E7D">
        <w:tc>
          <w:tcPr>
            <w:tcW w:w="2689" w:type="dxa"/>
          </w:tcPr>
          <w:p w14:paraId="6215357E" w14:textId="77777777" w:rsidR="001C05A6" w:rsidRPr="00907E99" w:rsidRDefault="001C05A6" w:rsidP="00023E7D">
            <w:pPr>
              <w:jc w:val="both"/>
              <w:rPr>
                <w:rFonts w:ascii="Verdana" w:eastAsia="Calibri" w:hAnsi="Verdana" w:cs="Arial"/>
                <w:b/>
                <w:lang w:val="es-ES_tradnl" w:eastAsia="es-ES_tradnl"/>
              </w:rPr>
            </w:pPr>
            <w:r w:rsidRPr="00907E99">
              <w:rPr>
                <w:rFonts w:ascii="Verdana" w:eastAsia="Calibri" w:hAnsi="Verdana" w:cs="Arial"/>
                <w:b/>
                <w:lang w:val="es-ES_tradnl" w:eastAsia="es-ES_tradnl"/>
              </w:rPr>
              <w:t>Radicación:</w:t>
            </w:r>
            <w:r w:rsidRPr="00907E99">
              <w:rPr>
                <w:rFonts w:ascii="Verdana" w:eastAsia="Calibri" w:hAnsi="Verdana" w:cs="Arial"/>
                <w:lang w:val="es-ES_tradnl" w:eastAsia="es-ES_tradnl"/>
              </w:rPr>
              <w:t xml:space="preserve">               </w:t>
            </w:r>
          </w:p>
        </w:tc>
        <w:tc>
          <w:tcPr>
            <w:tcW w:w="6100" w:type="dxa"/>
          </w:tcPr>
          <w:p w14:paraId="62B20D8B" w14:textId="221F95B2" w:rsidR="001C05A6" w:rsidRPr="00907E99" w:rsidRDefault="001C05A6" w:rsidP="00023E7D">
            <w:pPr>
              <w:jc w:val="both"/>
              <w:rPr>
                <w:rFonts w:ascii="Verdana" w:eastAsia="Calibri" w:hAnsi="Verdana" w:cs="Arial"/>
                <w:lang w:val="es-ES_tradnl" w:eastAsia="es-ES_tradnl"/>
              </w:rPr>
            </w:pPr>
            <w:r w:rsidRPr="00907E99">
              <w:rPr>
                <w:rFonts w:ascii="Verdana" w:eastAsia="Calibri" w:hAnsi="Verdana" w:cs="Arial"/>
                <w:lang w:val="es-ES_tradnl" w:eastAsia="es-ES_tradnl"/>
              </w:rPr>
              <w:t xml:space="preserve">Respuesta a consulta con radicado No. </w:t>
            </w:r>
            <w:r w:rsidR="005D3BD9" w:rsidRPr="00907E99">
              <w:rPr>
                <w:rFonts w:ascii="Verdana" w:eastAsia="Calibri" w:hAnsi="Verdana" w:cs="Arial"/>
                <w:lang w:eastAsia="es-ES_tradnl"/>
              </w:rPr>
              <w:t>P20240805008040.</w:t>
            </w:r>
          </w:p>
        </w:tc>
      </w:tr>
    </w:tbl>
    <w:p w14:paraId="1F60486F" w14:textId="77777777" w:rsidR="001C05A6" w:rsidRPr="00907E99" w:rsidRDefault="001C05A6" w:rsidP="001C05A6">
      <w:pPr>
        <w:spacing w:after="0" w:line="240" w:lineRule="auto"/>
        <w:jc w:val="both"/>
        <w:rPr>
          <w:rFonts w:ascii="Verdana" w:eastAsia="Calibri" w:hAnsi="Verdana" w:cs="Arial"/>
          <w:highlight w:val="cyan"/>
          <w:lang w:val="es-ES_tradnl" w:eastAsia="es-ES_tradnl"/>
        </w:rPr>
      </w:pPr>
    </w:p>
    <w:p w14:paraId="4BC7A07E" w14:textId="77777777" w:rsidR="001C05A6" w:rsidRPr="00907E99" w:rsidRDefault="001C05A6" w:rsidP="001C05A6">
      <w:pPr>
        <w:spacing w:after="0" w:line="240" w:lineRule="auto"/>
        <w:jc w:val="both"/>
        <w:rPr>
          <w:rFonts w:ascii="Verdana" w:eastAsia="Calibri" w:hAnsi="Verdana" w:cs="Arial"/>
          <w:highlight w:val="cyan"/>
          <w:lang w:val="es-ES_tradnl" w:eastAsia="es-ES_tradnl"/>
        </w:rPr>
      </w:pPr>
    </w:p>
    <w:p w14:paraId="4464D744" w14:textId="77777777" w:rsidR="001C05A6" w:rsidRPr="00907E99" w:rsidRDefault="001C05A6" w:rsidP="001C05A6">
      <w:pPr>
        <w:spacing w:after="0" w:line="276" w:lineRule="auto"/>
        <w:jc w:val="both"/>
        <w:rPr>
          <w:rFonts w:ascii="Verdana" w:eastAsia="Calibri" w:hAnsi="Verdana" w:cs="Arial"/>
          <w:lang w:val="es-ES" w:eastAsia="es-ES"/>
        </w:rPr>
      </w:pPr>
      <w:r w:rsidRPr="00907E99">
        <w:rPr>
          <w:rFonts w:ascii="Verdana" w:eastAsia="Calibri" w:hAnsi="Verdana" w:cs="Arial"/>
          <w:lang w:val="es-ES" w:eastAsia="es-ES"/>
        </w:rPr>
        <w:t>Estimado solicitante;</w:t>
      </w:r>
    </w:p>
    <w:p w14:paraId="6BA32F35" w14:textId="77777777" w:rsidR="001C05A6" w:rsidRPr="00907E99" w:rsidRDefault="001C05A6" w:rsidP="001C05A6">
      <w:pPr>
        <w:tabs>
          <w:tab w:val="left" w:pos="3768"/>
        </w:tabs>
        <w:spacing w:after="0" w:line="276" w:lineRule="auto"/>
        <w:jc w:val="both"/>
        <w:rPr>
          <w:rFonts w:ascii="Verdana" w:eastAsia="Calibri" w:hAnsi="Verdana" w:cs="Arial"/>
          <w:lang w:val="es-ES" w:eastAsia="es-ES"/>
        </w:rPr>
      </w:pPr>
      <w:r w:rsidRPr="00907E99">
        <w:rPr>
          <w:rFonts w:ascii="Verdana" w:eastAsia="Calibri" w:hAnsi="Verdana" w:cs="Arial"/>
          <w:lang w:val="es-ES" w:eastAsia="es-ES"/>
        </w:rPr>
        <w:tab/>
      </w:r>
    </w:p>
    <w:p w14:paraId="6E56E67B" w14:textId="62D070C7" w:rsidR="001C05A6" w:rsidRPr="00907E99" w:rsidRDefault="001C05A6" w:rsidP="001C05A6">
      <w:pPr>
        <w:spacing w:after="0" w:line="276" w:lineRule="auto"/>
        <w:jc w:val="both"/>
        <w:rPr>
          <w:rFonts w:ascii="Verdana" w:eastAsia="Calibri" w:hAnsi="Verdana" w:cs="Arial"/>
          <w:lang w:val="es-ES" w:eastAsia="es-ES"/>
        </w:rPr>
      </w:pPr>
      <w:r w:rsidRPr="00907E99">
        <w:rPr>
          <w:rFonts w:ascii="Verdana" w:eastAsia="Calibri" w:hAnsi="Verdana" w:cs="Arial"/>
          <w:lang w:val="es-ES" w:eastAsia="es-ES"/>
        </w:rPr>
        <w:t>En ejercicio de la competencia otorgada por los artículos 3, numeral 5º, y 11, numeral 8º, del Decreto Ley 4170 de 2011,</w:t>
      </w:r>
      <w:r w:rsidRPr="00907E99">
        <w:rPr>
          <w:rFonts w:ascii="Verdana" w:eastAsia="Arial MT" w:hAnsi="Verdana" w:cs="Arial MT"/>
          <w:lang w:val="es-ES" w:eastAsia="es-ES"/>
        </w:rPr>
        <w:t xml:space="preserve"> </w:t>
      </w:r>
      <w:r w:rsidRPr="00907E99">
        <w:rPr>
          <w:rFonts w:ascii="Verdana" w:hAnsi="Verdana" w:cs="Arial"/>
        </w:rPr>
        <w:t xml:space="preserve">así como lo establecido en el artículo 4 de la Resolución 1707 de 2018 expedida por esta Entidad, </w:t>
      </w:r>
      <w:r w:rsidRPr="00907E99">
        <w:rPr>
          <w:rFonts w:ascii="Verdana" w:eastAsia="Calibri" w:hAnsi="Verdana" w:cs="Arial"/>
          <w:lang w:val="es-ES" w:eastAsia="es-ES"/>
        </w:rPr>
        <w:t xml:space="preserve">la Agencia Nacional de Contratación Pública – Colombia Compra Eficiente– responde su solicitud de consulta de fecha </w:t>
      </w:r>
      <w:r w:rsidR="004639A5" w:rsidRPr="00907E99">
        <w:rPr>
          <w:rFonts w:ascii="Verdana" w:eastAsia="Calibri" w:hAnsi="Verdana" w:cs="Arial"/>
          <w:lang w:val="es-ES" w:eastAsia="es-ES"/>
        </w:rPr>
        <w:t>05 de agosto del 2024</w:t>
      </w:r>
      <w:r w:rsidRPr="00907E99">
        <w:rPr>
          <w:rFonts w:ascii="Verdana" w:eastAsia="Calibri" w:hAnsi="Verdana" w:cs="Arial"/>
          <w:lang w:val="es-ES" w:eastAsia="es-ES"/>
        </w:rPr>
        <w:t xml:space="preserve">, en la cual manifiesta lo siguiente: </w:t>
      </w:r>
    </w:p>
    <w:p w14:paraId="4A456105" w14:textId="77777777" w:rsidR="004E2499" w:rsidRPr="00907E99" w:rsidRDefault="004E2499" w:rsidP="004E2499">
      <w:pPr>
        <w:spacing w:after="0" w:line="276" w:lineRule="auto"/>
        <w:jc w:val="both"/>
        <w:rPr>
          <w:rFonts w:ascii="Verdana" w:eastAsia="Calibri" w:hAnsi="Verdana" w:cs="Arial"/>
          <w:lang w:val="es-ES" w:eastAsia="es-ES"/>
        </w:rPr>
      </w:pPr>
    </w:p>
    <w:p w14:paraId="56985EC6" w14:textId="77777777" w:rsidR="00316EBA" w:rsidRPr="00907E99" w:rsidRDefault="004E2499" w:rsidP="00316EBA">
      <w:pPr>
        <w:spacing w:after="0" w:line="240" w:lineRule="auto"/>
        <w:ind w:left="709" w:right="709"/>
        <w:jc w:val="both"/>
        <w:rPr>
          <w:rFonts w:ascii="Verdana" w:eastAsia="Century Gothic" w:hAnsi="Verdana" w:cs="Century Gothic"/>
          <w:sz w:val="20"/>
          <w:szCs w:val="20"/>
          <w:lang w:val="es-ES"/>
        </w:rPr>
      </w:pPr>
      <w:bookmarkStart w:id="2" w:name="_Hlk95313578"/>
      <w:r w:rsidRPr="00907E99">
        <w:rPr>
          <w:rFonts w:ascii="Verdana" w:eastAsia="Century Gothic" w:hAnsi="Verdana" w:cs="Century Gothic"/>
          <w:sz w:val="20"/>
          <w:szCs w:val="20"/>
          <w:lang w:val="es-ES"/>
        </w:rPr>
        <w:t xml:space="preserve">“[…] </w:t>
      </w:r>
      <w:r w:rsidR="00316EBA" w:rsidRPr="00907E99">
        <w:rPr>
          <w:rFonts w:ascii="Verdana" w:eastAsia="Century Gothic" w:hAnsi="Verdana" w:cs="Century Gothic"/>
          <w:sz w:val="20"/>
          <w:szCs w:val="20"/>
          <w:lang w:val="es-ES"/>
        </w:rPr>
        <w:t>1. En los contratos de obra pública existe acta de terminación antes del acta de recibo o el acta de terminación no se requiere o solo el acta de recibo.</w:t>
      </w:r>
    </w:p>
    <w:p w14:paraId="66A77322" w14:textId="77777777" w:rsidR="00316EBA" w:rsidRPr="00907E99" w:rsidRDefault="00316EBA" w:rsidP="00316EBA">
      <w:pPr>
        <w:spacing w:after="0" w:line="240" w:lineRule="auto"/>
        <w:ind w:left="709" w:right="709"/>
        <w:jc w:val="both"/>
        <w:rPr>
          <w:rFonts w:ascii="Verdana" w:eastAsia="Century Gothic" w:hAnsi="Verdana" w:cs="Century Gothic"/>
          <w:sz w:val="20"/>
          <w:szCs w:val="20"/>
          <w:lang w:val="es-ES"/>
        </w:rPr>
      </w:pPr>
    </w:p>
    <w:p w14:paraId="15B59ACB" w14:textId="77777777" w:rsidR="00351C79" w:rsidRPr="00907E99" w:rsidRDefault="00316EBA" w:rsidP="00316EBA">
      <w:pPr>
        <w:spacing w:after="0" w:line="240" w:lineRule="auto"/>
        <w:ind w:left="709" w:right="709"/>
        <w:jc w:val="both"/>
        <w:rPr>
          <w:rFonts w:ascii="Verdana" w:eastAsia="Century Gothic" w:hAnsi="Verdana" w:cs="Century Gothic"/>
          <w:sz w:val="20"/>
          <w:szCs w:val="20"/>
          <w:lang w:val="es-ES"/>
        </w:rPr>
      </w:pPr>
      <w:r w:rsidRPr="00907E99">
        <w:rPr>
          <w:rFonts w:ascii="Verdana" w:eastAsia="Century Gothic" w:hAnsi="Verdana" w:cs="Century Gothic"/>
          <w:sz w:val="20"/>
          <w:szCs w:val="20"/>
          <w:lang w:val="es-ES"/>
        </w:rPr>
        <w:t xml:space="preserve">2. Si se requiere acta de terminación </w:t>
      </w:r>
      <w:r w:rsidR="00351C79" w:rsidRPr="00907E99">
        <w:rPr>
          <w:rFonts w:ascii="Verdana" w:eastAsia="Century Gothic" w:hAnsi="Verdana" w:cs="Century Gothic"/>
          <w:sz w:val="20"/>
          <w:szCs w:val="20"/>
          <w:lang w:val="es-ES"/>
        </w:rPr>
        <w:t xml:space="preserve">y acta de recibo, solicito se mencione que antecedentes legales o jurisprudenciales lo sustenta. </w:t>
      </w:r>
    </w:p>
    <w:p w14:paraId="687B7D05" w14:textId="77777777" w:rsidR="00351C79" w:rsidRPr="00907E99" w:rsidRDefault="00351C79" w:rsidP="00316EBA">
      <w:pPr>
        <w:spacing w:after="0" w:line="240" w:lineRule="auto"/>
        <w:ind w:left="709" w:right="709"/>
        <w:jc w:val="both"/>
        <w:rPr>
          <w:rFonts w:ascii="Verdana" w:eastAsia="Century Gothic" w:hAnsi="Verdana" w:cs="Century Gothic"/>
          <w:sz w:val="20"/>
          <w:szCs w:val="20"/>
          <w:lang w:val="es-ES"/>
        </w:rPr>
      </w:pPr>
    </w:p>
    <w:p w14:paraId="27DE8F97" w14:textId="5F84CCF1" w:rsidR="004E2499" w:rsidRPr="00907E99" w:rsidRDefault="00351C79" w:rsidP="00316EBA">
      <w:pPr>
        <w:spacing w:after="0" w:line="240" w:lineRule="auto"/>
        <w:ind w:left="709" w:right="709"/>
        <w:jc w:val="both"/>
        <w:rPr>
          <w:rFonts w:ascii="Verdana" w:eastAsia="Century Gothic" w:hAnsi="Verdana" w:cs="Century Gothic"/>
          <w:sz w:val="20"/>
          <w:szCs w:val="20"/>
          <w:lang w:val="es-ES"/>
        </w:rPr>
      </w:pPr>
      <w:r w:rsidRPr="00907E99">
        <w:rPr>
          <w:rFonts w:ascii="Verdana" w:eastAsia="Century Gothic" w:hAnsi="Verdana" w:cs="Century Gothic"/>
          <w:sz w:val="20"/>
          <w:szCs w:val="20"/>
          <w:lang w:val="es-ES"/>
        </w:rPr>
        <w:t>3. Un contrato de obra que lleva 09 años, si la estabilidad de la obra entreg</w:t>
      </w:r>
      <w:r w:rsidR="000A08AE" w:rsidRPr="00907E99">
        <w:rPr>
          <w:rFonts w:ascii="Verdana" w:eastAsia="Century Gothic" w:hAnsi="Verdana" w:cs="Century Gothic"/>
          <w:sz w:val="20"/>
          <w:szCs w:val="20"/>
          <w:lang w:val="es-ES"/>
        </w:rPr>
        <w:t>adas posterior a los 05 años porque llevan 09 años de ejecución se amparan también o solamente la de los últimos 05 años?</w:t>
      </w:r>
      <w:r w:rsidR="004E2499" w:rsidRPr="00907E99">
        <w:rPr>
          <w:rStyle w:val="normaltextrun"/>
          <w:rFonts w:ascii="Verdana" w:hAnsi="Verdana" w:cs="Arial"/>
          <w:sz w:val="20"/>
          <w:szCs w:val="20"/>
          <w:shd w:val="clear" w:color="auto" w:fill="FFFFFF"/>
          <w:lang w:val="es-ES"/>
        </w:rPr>
        <w:t xml:space="preserve"> […]</w:t>
      </w:r>
      <w:r w:rsidR="004E2499" w:rsidRPr="00907E99">
        <w:rPr>
          <w:rFonts w:ascii="Verdana" w:eastAsia="Century Gothic" w:hAnsi="Verdana" w:cs="Century Gothic"/>
          <w:sz w:val="20"/>
          <w:szCs w:val="20"/>
          <w:lang w:val="es-ES"/>
        </w:rPr>
        <w:t>”</w:t>
      </w:r>
      <w:bookmarkEnd w:id="2"/>
      <w:r w:rsidR="004E2499" w:rsidRPr="00907E99">
        <w:rPr>
          <w:rFonts w:ascii="Verdana" w:eastAsia="Century Gothic" w:hAnsi="Verdana" w:cs="Century Gothic"/>
          <w:sz w:val="20"/>
          <w:szCs w:val="20"/>
          <w:lang w:val="es-ES"/>
        </w:rPr>
        <w:t>.</w:t>
      </w:r>
    </w:p>
    <w:p w14:paraId="20375306" w14:textId="77777777" w:rsidR="004E2499" w:rsidRPr="00907E99" w:rsidRDefault="004E2499" w:rsidP="004E2499">
      <w:pPr>
        <w:spacing w:after="0"/>
        <w:jc w:val="both"/>
        <w:rPr>
          <w:rFonts w:ascii="Verdana" w:hAnsi="Verdana"/>
          <w:lang w:val="es-ES"/>
        </w:rPr>
      </w:pPr>
    </w:p>
    <w:p w14:paraId="0578C561" w14:textId="77777777" w:rsidR="004E2499" w:rsidRPr="00907E99" w:rsidRDefault="004E2499" w:rsidP="004E2499">
      <w:pPr>
        <w:spacing w:after="120" w:line="276" w:lineRule="auto"/>
        <w:ind w:firstLine="709"/>
        <w:jc w:val="both"/>
        <w:rPr>
          <w:rFonts w:ascii="Verdana" w:eastAsia="Calibri" w:hAnsi="Verdana" w:cs="Arial"/>
          <w:color w:val="000000"/>
          <w:lang w:val="es-ES_tradnl" w:eastAsia="es-ES_tradnl"/>
        </w:rPr>
      </w:pPr>
      <w:r w:rsidRPr="00907E99">
        <w:rPr>
          <w:rFonts w:ascii="Verdana" w:eastAsia="Calibri" w:hAnsi="Verdana" w:cs="Arial"/>
          <w:color w:val="000000"/>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0538D68F" w14:textId="2DD89092" w:rsidR="004E2499" w:rsidRPr="00907E99" w:rsidRDefault="004E2499" w:rsidP="004E2499">
      <w:pPr>
        <w:spacing w:after="0" w:line="276" w:lineRule="auto"/>
        <w:ind w:firstLine="709"/>
        <w:jc w:val="both"/>
        <w:rPr>
          <w:rFonts w:ascii="Verdana" w:eastAsia="Calibri" w:hAnsi="Verdana" w:cs="Arial"/>
          <w:color w:val="000000"/>
          <w:lang w:val="es-ES" w:eastAsia="es-ES"/>
        </w:rPr>
      </w:pPr>
      <w:r w:rsidRPr="00907E99">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w:t>
      </w:r>
      <w:r w:rsidR="00BD0EB5" w:rsidRPr="00907E99">
        <w:rPr>
          <w:rFonts w:ascii="Verdana" w:eastAsia="Calibri" w:hAnsi="Verdana" w:cs="Arial"/>
          <w:color w:val="000000"/>
          <w:lang w:val="es-ES" w:eastAsia="es-ES"/>
        </w:rPr>
        <w:t>los problemas jurídicos</w:t>
      </w:r>
      <w:r w:rsidRPr="00907E99">
        <w:rPr>
          <w:rFonts w:ascii="Verdana" w:eastAsia="Calibri" w:hAnsi="Verdana" w:cs="Arial"/>
          <w:color w:val="000000"/>
          <w:lang w:val="es-ES" w:eastAsia="es-ES"/>
        </w:rPr>
        <w:t xml:space="preserve"> de su consulta.  </w:t>
      </w:r>
    </w:p>
    <w:p w14:paraId="708BE7E4" w14:textId="77777777" w:rsidR="004E2499" w:rsidRPr="00907E99" w:rsidRDefault="004E2499" w:rsidP="004E2499">
      <w:pPr>
        <w:spacing w:after="0"/>
        <w:jc w:val="both"/>
        <w:rPr>
          <w:rFonts w:ascii="Verdana" w:hAnsi="Verdana"/>
          <w:lang w:val="es-ES"/>
        </w:rPr>
      </w:pPr>
    </w:p>
    <w:p w14:paraId="424BFBA8" w14:textId="77777777" w:rsidR="004E2499" w:rsidRPr="00907E99" w:rsidRDefault="004E2499" w:rsidP="004E2499">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907E99">
        <w:rPr>
          <w:rFonts w:ascii="Verdana" w:eastAsia="Century Gothic" w:hAnsi="Verdana" w:cs="Century Gothic"/>
          <w:b/>
          <w:bCs/>
        </w:rPr>
        <w:t>Problema planteado:</w:t>
      </w:r>
    </w:p>
    <w:p w14:paraId="7802302C" w14:textId="77777777" w:rsidR="004E2499" w:rsidRPr="00907E99" w:rsidRDefault="004E2499" w:rsidP="004E2499">
      <w:pPr>
        <w:tabs>
          <w:tab w:val="left" w:pos="426"/>
        </w:tabs>
        <w:spacing w:after="0" w:line="276" w:lineRule="auto"/>
        <w:jc w:val="both"/>
        <w:rPr>
          <w:rFonts w:ascii="Verdana" w:eastAsia="Century Gothic" w:hAnsi="Verdana" w:cs="Century Gothic"/>
          <w:lang w:val="es-ES"/>
        </w:rPr>
      </w:pPr>
    </w:p>
    <w:p w14:paraId="06FF0784" w14:textId="5140C622" w:rsidR="004E2499" w:rsidRPr="00907E99" w:rsidRDefault="004E2499" w:rsidP="004E2499">
      <w:pPr>
        <w:spacing w:after="0" w:line="276" w:lineRule="auto"/>
        <w:jc w:val="both"/>
        <w:rPr>
          <w:rFonts w:ascii="Verdana" w:eastAsia="Century Gothic" w:hAnsi="Verdana" w:cs="Century Gothic"/>
        </w:rPr>
      </w:pPr>
      <w:r w:rsidRPr="00907E99">
        <w:rPr>
          <w:rFonts w:ascii="Verdana" w:eastAsia="Century Gothic" w:hAnsi="Verdana" w:cs="Century Gothic"/>
        </w:rPr>
        <w:t xml:space="preserve">De acuerdo con el contenido de su solicitud, esta Agencia resolverá </w:t>
      </w:r>
      <w:r w:rsidR="00A61812" w:rsidRPr="00907E99">
        <w:rPr>
          <w:rFonts w:ascii="Verdana" w:eastAsia="Century Gothic" w:hAnsi="Verdana" w:cs="Century Gothic"/>
        </w:rPr>
        <w:t>los</w:t>
      </w:r>
      <w:r w:rsidRPr="00907E99">
        <w:rPr>
          <w:rFonts w:ascii="Verdana" w:eastAsia="Century Gothic" w:hAnsi="Verdana" w:cs="Century Gothic"/>
        </w:rPr>
        <w:t xml:space="preserve"> siguiente</w:t>
      </w:r>
      <w:r w:rsidR="00A61812" w:rsidRPr="00907E99">
        <w:rPr>
          <w:rFonts w:ascii="Verdana" w:eastAsia="Century Gothic" w:hAnsi="Verdana" w:cs="Century Gothic"/>
        </w:rPr>
        <w:t>s</w:t>
      </w:r>
      <w:r w:rsidRPr="00907E99">
        <w:rPr>
          <w:rFonts w:ascii="Verdana" w:eastAsia="Century Gothic" w:hAnsi="Verdana" w:cs="Century Gothic"/>
        </w:rPr>
        <w:t xml:space="preserve"> problema</w:t>
      </w:r>
      <w:r w:rsidR="00A61812" w:rsidRPr="00907E99">
        <w:rPr>
          <w:rFonts w:ascii="Verdana" w:eastAsia="Century Gothic" w:hAnsi="Verdana" w:cs="Century Gothic"/>
        </w:rPr>
        <w:t>s</w:t>
      </w:r>
      <w:r w:rsidRPr="00907E99">
        <w:rPr>
          <w:rFonts w:ascii="Verdana" w:eastAsia="Century Gothic" w:hAnsi="Verdana" w:cs="Century Gothic"/>
        </w:rPr>
        <w:t xml:space="preserve"> jurídico</w:t>
      </w:r>
      <w:r w:rsidR="00A61812" w:rsidRPr="00907E99">
        <w:rPr>
          <w:rFonts w:ascii="Verdana" w:eastAsia="Century Gothic" w:hAnsi="Verdana" w:cs="Century Gothic"/>
        </w:rPr>
        <w:t>s</w:t>
      </w:r>
      <w:r w:rsidRPr="00907E99">
        <w:rPr>
          <w:rFonts w:ascii="Verdana" w:eastAsia="Century Gothic" w:hAnsi="Verdana" w:cs="Century Gothic"/>
        </w:rPr>
        <w:t xml:space="preserve">: </w:t>
      </w:r>
      <w:r w:rsidR="0052373D" w:rsidRPr="00907E99">
        <w:rPr>
          <w:rFonts w:ascii="Verdana" w:eastAsia="Century Gothic" w:hAnsi="Verdana" w:cs="Century Gothic"/>
        </w:rPr>
        <w:t xml:space="preserve">i) </w:t>
      </w:r>
      <w:r w:rsidR="00A61812" w:rsidRPr="00907E99">
        <w:rPr>
          <w:rFonts w:ascii="Verdana" w:eastAsia="Century Gothic" w:hAnsi="Verdana" w:cs="Century Gothic"/>
        </w:rPr>
        <w:t>¿</w:t>
      </w:r>
      <w:r w:rsidR="00674004" w:rsidRPr="00907E99">
        <w:rPr>
          <w:rFonts w:ascii="Verdana" w:eastAsia="Century Gothic" w:hAnsi="Verdana" w:cs="Century Gothic"/>
        </w:rPr>
        <w:t xml:space="preserve">En un contrato de obra </w:t>
      </w:r>
      <w:r w:rsidR="002B5C18" w:rsidRPr="00907E99">
        <w:rPr>
          <w:rFonts w:ascii="Verdana" w:eastAsia="Century Gothic" w:hAnsi="Verdana" w:cs="Century Gothic"/>
        </w:rPr>
        <w:t>es suficiente con suscribir el acta de recibo</w:t>
      </w:r>
      <w:r w:rsidR="0052373D" w:rsidRPr="00907E99">
        <w:rPr>
          <w:rFonts w:ascii="Verdana" w:eastAsia="Century Gothic" w:hAnsi="Verdana" w:cs="Century Gothic"/>
        </w:rPr>
        <w:t xml:space="preserve">?; y </w:t>
      </w:r>
      <w:proofErr w:type="spellStart"/>
      <w:r w:rsidR="0052373D" w:rsidRPr="00907E99">
        <w:rPr>
          <w:rFonts w:ascii="Verdana" w:eastAsia="Century Gothic" w:hAnsi="Verdana" w:cs="Century Gothic"/>
        </w:rPr>
        <w:t>ii</w:t>
      </w:r>
      <w:proofErr w:type="spellEnd"/>
      <w:r w:rsidR="0052373D" w:rsidRPr="00907E99">
        <w:rPr>
          <w:rFonts w:ascii="Verdana" w:eastAsia="Century Gothic" w:hAnsi="Verdana" w:cs="Century Gothic"/>
        </w:rPr>
        <w:t xml:space="preserve">) </w:t>
      </w:r>
      <w:r w:rsidR="000E787C" w:rsidRPr="00907E99">
        <w:rPr>
          <w:rFonts w:ascii="Verdana" w:eastAsia="Century Gothic" w:hAnsi="Verdana" w:cs="Century Gothic"/>
        </w:rPr>
        <w:t xml:space="preserve">¿Cuál es la vigencia </w:t>
      </w:r>
      <w:r w:rsidR="0093577B" w:rsidRPr="00907E99">
        <w:rPr>
          <w:rFonts w:ascii="Verdana" w:eastAsia="Century Gothic" w:hAnsi="Verdana" w:cs="Century Gothic"/>
        </w:rPr>
        <w:t>de</w:t>
      </w:r>
      <w:r w:rsidR="000B09DD" w:rsidRPr="00907E99">
        <w:rPr>
          <w:rFonts w:ascii="Verdana" w:eastAsia="Century Gothic" w:hAnsi="Verdana" w:cs="Century Gothic"/>
        </w:rPr>
        <w:t xml:space="preserve"> la garantía de estabilidad y calidad de la obra?</w:t>
      </w:r>
    </w:p>
    <w:p w14:paraId="7F8EE3F5" w14:textId="77777777" w:rsidR="00D57869" w:rsidRPr="00907E99" w:rsidRDefault="00D57869" w:rsidP="004E2499">
      <w:pPr>
        <w:spacing w:after="0"/>
        <w:jc w:val="both"/>
        <w:rPr>
          <w:rFonts w:ascii="Verdana" w:hAnsi="Verdana"/>
          <w:lang w:val="es-ES"/>
        </w:rPr>
      </w:pPr>
    </w:p>
    <w:p w14:paraId="48797149" w14:textId="77777777" w:rsidR="004E2499" w:rsidRPr="00907E99" w:rsidRDefault="004E2499" w:rsidP="004E249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907E99">
        <w:rPr>
          <w:rFonts w:ascii="Verdana" w:eastAsia="Century Gothic" w:hAnsi="Verdana" w:cs="Century Gothic"/>
          <w:b/>
          <w:bCs/>
        </w:rPr>
        <w:t>Respuesta:</w:t>
      </w:r>
    </w:p>
    <w:p w14:paraId="75FBE67E" w14:textId="77777777" w:rsidR="004E2499" w:rsidRPr="00907E99" w:rsidRDefault="004E2499" w:rsidP="004E2499">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4E2499" w:rsidRPr="00907E99" w14:paraId="657AEA4F" w14:textId="77777777" w:rsidTr="00023E7D">
        <w:trPr>
          <w:trHeight w:val="629"/>
        </w:trPr>
        <w:tc>
          <w:tcPr>
            <w:tcW w:w="8828" w:type="dxa"/>
            <w:shd w:val="clear" w:color="auto" w:fill="auto"/>
          </w:tcPr>
          <w:p w14:paraId="58B52F1C" w14:textId="585D6BF9" w:rsidR="005C48A8" w:rsidRPr="00907E99" w:rsidRDefault="005C48A8" w:rsidP="00CD77DF">
            <w:pPr>
              <w:pBdr>
                <w:top w:val="nil"/>
                <w:left w:val="nil"/>
                <w:bottom w:val="nil"/>
                <w:right w:val="nil"/>
                <w:between w:val="nil"/>
              </w:pBdr>
              <w:spacing w:after="120" w:line="276" w:lineRule="auto"/>
              <w:jc w:val="both"/>
              <w:rPr>
                <w:rFonts w:ascii="Verdana" w:eastAsia="Arial" w:hAnsi="Verdana" w:cs="Arial"/>
                <w:color w:val="000000"/>
              </w:rPr>
            </w:pPr>
            <w:r w:rsidRPr="00907E99">
              <w:rPr>
                <w:rFonts w:ascii="Verdana" w:eastAsia="Calibri" w:hAnsi="Verdana" w:cs="Arial"/>
                <w:lang w:val="es-ES"/>
              </w:rPr>
              <w:t>En respuesta a los problemas antes planteados esta Subdirección manifiesta:</w:t>
            </w:r>
          </w:p>
          <w:p w14:paraId="47AF6477" w14:textId="5AAC6623" w:rsidR="00AC44C9" w:rsidRPr="00907E99" w:rsidRDefault="005C48A8" w:rsidP="00091BE8">
            <w:pPr>
              <w:spacing w:line="276" w:lineRule="auto"/>
              <w:jc w:val="both"/>
              <w:rPr>
                <w:rFonts w:ascii="Verdana" w:eastAsia="Arial" w:hAnsi="Verdana" w:cs="Arial"/>
                <w:color w:val="000000"/>
              </w:rPr>
            </w:pPr>
            <w:r w:rsidRPr="00907E99">
              <w:rPr>
                <w:rFonts w:ascii="Verdana" w:eastAsia="Arial" w:hAnsi="Verdana" w:cs="Arial"/>
                <w:color w:val="000000"/>
              </w:rPr>
              <w:t>i) En lo relativo a</w:t>
            </w:r>
            <w:r w:rsidR="001A3F49" w:rsidRPr="00907E99">
              <w:rPr>
                <w:rFonts w:ascii="Verdana" w:eastAsia="Arial" w:hAnsi="Verdana" w:cs="Arial"/>
                <w:color w:val="000000"/>
              </w:rPr>
              <w:t>l</w:t>
            </w:r>
            <w:r w:rsidR="00F251E6" w:rsidRPr="00907E99">
              <w:rPr>
                <w:rFonts w:ascii="Verdana" w:eastAsia="Arial" w:hAnsi="Verdana" w:cs="Arial"/>
                <w:color w:val="000000"/>
              </w:rPr>
              <w:t xml:space="preserve"> acta de recibo resulta a bien precisar </w:t>
            </w:r>
            <w:r w:rsidR="00806F20" w:rsidRPr="00907E99">
              <w:rPr>
                <w:rFonts w:ascii="Verdana" w:eastAsia="Arial" w:hAnsi="Verdana" w:cs="Arial"/>
                <w:color w:val="000000"/>
              </w:rPr>
              <w:t xml:space="preserve">que </w:t>
            </w:r>
            <w:r w:rsidR="00BF65A8" w:rsidRPr="00907E99">
              <w:rPr>
                <w:rFonts w:ascii="Verdana" w:eastAsia="Arial" w:hAnsi="Verdana" w:cs="Arial"/>
                <w:color w:val="000000"/>
              </w:rPr>
              <w:t xml:space="preserve">este documento </w:t>
            </w:r>
            <w:r w:rsidR="00033B60" w:rsidRPr="00907E99">
              <w:rPr>
                <w:rFonts w:ascii="Verdana" w:eastAsia="Arial" w:hAnsi="Verdana" w:cs="Arial"/>
                <w:color w:val="000000"/>
              </w:rPr>
              <w:t>es concebid</w:t>
            </w:r>
            <w:r w:rsidR="0078448C" w:rsidRPr="00907E99">
              <w:rPr>
                <w:rFonts w:ascii="Verdana" w:eastAsia="Arial" w:hAnsi="Verdana" w:cs="Arial"/>
                <w:color w:val="000000"/>
              </w:rPr>
              <w:t>o</w:t>
            </w:r>
            <w:r w:rsidR="00033B60" w:rsidRPr="00907E99">
              <w:rPr>
                <w:rFonts w:ascii="Verdana" w:eastAsia="Arial" w:hAnsi="Verdana" w:cs="Arial"/>
                <w:color w:val="000000"/>
              </w:rPr>
              <w:t xml:space="preserve"> como un medio de verificación de la ejecución del objeto contractual</w:t>
            </w:r>
            <w:r w:rsidR="009B5F5B" w:rsidRPr="00907E99">
              <w:rPr>
                <w:rFonts w:ascii="Verdana" w:eastAsia="Arial" w:hAnsi="Verdana" w:cs="Arial"/>
                <w:color w:val="000000"/>
              </w:rPr>
              <w:t xml:space="preserve"> </w:t>
            </w:r>
            <w:r w:rsidR="00033B60" w:rsidRPr="00907E99">
              <w:rPr>
                <w:rFonts w:ascii="Verdana" w:eastAsia="Arial" w:hAnsi="Verdana" w:cs="Arial"/>
                <w:color w:val="000000"/>
              </w:rPr>
              <w:t xml:space="preserve">para determinar si el mismo se efectuó cabalmente y de acuerdo con las especificaciones pactadas en el contrato, lo que significa que dicha acta </w:t>
            </w:r>
            <w:r w:rsidR="00033B60" w:rsidRPr="00907E99">
              <w:rPr>
                <w:rFonts w:ascii="Verdana" w:eastAsia="Arial" w:hAnsi="Verdana" w:cs="Arial"/>
                <w:color w:val="000000"/>
              </w:rPr>
              <w:lastRenderedPageBreak/>
              <w:t>constituye un elemento anterior y útil para la liquidación de los contratos</w:t>
            </w:r>
            <w:r w:rsidR="00AC44C9" w:rsidRPr="00907E99">
              <w:rPr>
                <w:rFonts w:ascii="Verdana" w:eastAsia="Arial" w:hAnsi="Verdana" w:cs="Arial"/>
                <w:color w:val="000000"/>
              </w:rPr>
              <w:t xml:space="preserve">. Bajo este contexto, </w:t>
            </w:r>
            <w:r w:rsidR="00D337EC" w:rsidRPr="00907E99">
              <w:rPr>
                <w:rFonts w:ascii="Verdana" w:eastAsia="Arial" w:hAnsi="Verdana" w:cs="Arial"/>
                <w:color w:val="000000"/>
              </w:rPr>
              <w:t xml:space="preserve">y si así lo han convenido las partes no </w:t>
            </w:r>
            <w:r w:rsidR="00E547B2" w:rsidRPr="00907E99">
              <w:rPr>
                <w:rFonts w:ascii="Verdana" w:eastAsia="Arial" w:hAnsi="Verdana" w:cs="Arial"/>
                <w:color w:val="000000"/>
              </w:rPr>
              <w:t>resulta forzoso suscribir otro documento, como lo es un acta de terminación</w:t>
            </w:r>
            <w:r w:rsidR="00E97987" w:rsidRPr="00907E99">
              <w:rPr>
                <w:rFonts w:ascii="Verdana" w:eastAsia="Arial" w:hAnsi="Verdana" w:cs="Arial"/>
                <w:color w:val="000000"/>
              </w:rPr>
              <w:t xml:space="preserve">.  </w:t>
            </w:r>
          </w:p>
          <w:p w14:paraId="6319B777" w14:textId="5D47A97E" w:rsidR="00B66CD6" w:rsidRPr="00907E99" w:rsidRDefault="0078448C" w:rsidP="00B66CD6">
            <w:pPr>
              <w:spacing w:line="276" w:lineRule="auto"/>
              <w:jc w:val="both"/>
              <w:rPr>
                <w:rFonts w:ascii="Verdana" w:eastAsia="Arial" w:hAnsi="Verdana" w:cs="Arial"/>
                <w:color w:val="000000"/>
              </w:rPr>
            </w:pPr>
            <w:r w:rsidRPr="00907E99">
              <w:rPr>
                <w:rFonts w:ascii="Verdana" w:eastAsia="Arial" w:hAnsi="Verdana" w:cs="Arial"/>
                <w:color w:val="000000"/>
              </w:rPr>
              <w:t xml:space="preserve"> </w:t>
            </w:r>
          </w:p>
          <w:p w14:paraId="5BC6676F" w14:textId="542BDB90" w:rsidR="004E2499" w:rsidRPr="00907E99" w:rsidRDefault="00BE1090" w:rsidP="00B66CD6">
            <w:pPr>
              <w:spacing w:line="276" w:lineRule="auto"/>
              <w:jc w:val="both"/>
              <w:rPr>
                <w:rFonts w:ascii="Verdana" w:eastAsia="Calibri" w:hAnsi="Verdana" w:cs="Arial"/>
                <w:lang w:val="es-ES"/>
              </w:rPr>
            </w:pPr>
            <w:proofErr w:type="spellStart"/>
            <w:r w:rsidRPr="00907E99">
              <w:rPr>
                <w:rFonts w:ascii="Verdana" w:eastAsia="Arial" w:hAnsi="Verdana" w:cs="Arial"/>
                <w:color w:val="000000"/>
              </w:rPr>
              <w:t>ii</w:t>
            </w:r>
            <w:proofErr w:type="spellEnd"/>
            <w:r w:rsidR="000275E3" w:rsidRPr="00907E99">
              <w:rPr>
                <w:rFonts w:ascii="Verdana" w:eastAsia="Arial" w:hAnsi="Verdana" w:cs="Arial"/>
                <w:color w:val="000000"/>
              </w:rPr>
              <w:t>)</w:t>
            </w:r>
            <w:r w:rsidR="005C48A8" w:rsidRPr="00907E99">
              <w:rPr>
                <w:rFonts w:ascii="Verdana" w:eastAsia="Arial" w:hAnsi="Verdana" w:cs="Arial"/>
                <w:color w:val="000000"/>
              </w:rPr>
              <w:t xml:space="preserve"> En atención </w:t>
            </w:r>
            <w:r w:rsidR="00852393" w:rsidRPr="00907E99">
              <w:rPr>
                <w:rFonts w:ascii="Verdana" w:eastAsia="Arial" w:hAnsi="Verdana" w:cs="Arial"/>
                <w:color w:val="000000"/>
              </w:rPr>
              <w:t>a la</w:t>
            </w:r>
            <w:r w:rsidR="00126B82" w:rsidRPr="00907E99">
              <w:rPr>
                <w:rFonts w:ascii="Verdana" w:eastAsia="Arial" w:hAnsi="Verdana" w:cs="Arial"/>
                <w:color w:val="000000"/>
              </w:rPr>
              <w:t xml:space="preserve"> garantía de estabilidad y calidad de la obra </w:t>
            </w:r>
            <w:r w:rsidR="00012752" w:rsidRPr="00907E99">
              <w:rPr>
                <w:rFonts w:ascii="Verdana" w:eastAsia="Arial" w:hAnsi="Verdana" w:cs="Arial"/>
                <w:color w:val="000000"/>
              </w:rPr>
              <w:t xml:space="preserve">de conformidad con lo dispuesto en </w:t>
            </w:r>
            <w:r w:rsidR="00126B82" w:rsidRPr="00907E99">
              <w:rPr>
                <w:rFonts w:ascii="Verdana" w:eastAsia="Arial" w:hAnsi="Verdana" w:cs="Arial"/>
                <w:color w:val="000000"/>
              </w:rPr>
              <w:t xml:space="preserve">el artículo </w:t>
            </w:r>
            <w:r w:rsidR="00012752" w:rsidRPr="00907E99">
              <w:rPr>
                <w:rFonts w:ascii="Verdana" w:eastAsia="Arial" w:hAnsi="Verdana" w:cs="Arial"/>
                <w:color w:val="000000"/>
              </w:rPr>
              <w:t xml:space="preserve">2.2.1.2.3.1.14. del Decreto 1082 de 2015, </w:t>
            </w:r>
            <w:r w:rsidR="00852393" w:rsidRPr="00907E99">
              <w:rPr>
                <w:rFonts w:ascii="Verdana" w:eastAsia="Arial" w:hAnsi="Verdana" w:cs="Arial"/>
                <w:color w:val="000000"/>
              </w:rPr>
              <w:t>está debe estar vigente por un término no inferior a cinco (5) años contado</w:t>
            </w:r>
            <w:r w:rsidR="007507D0" w:rsidRPr="00907E99">
              <w:rPr>
                <w:rFonts w:ascii="Verdana" w:eastAsia="Arial" w:hAnsi="Verdana" w:cs="Arial"/>
                <w:color w:val="000000"/>
              </w:rPr>
              <w:t xml:space="preserve">s </w:t>
            </w:r>
            <w:r w:rsidR="00852393" w:rsidRPr="00907E99">
              <w:rPr>
                <w:rFonts w:ascii="Verdana" w:eastAsia="Arial" w:hAnsi="Verdana" w:cs="Arial"/>
                <w:color w:val="000000"/>
              </w:rPr>
              <w:t xml:space="preserve">a partir de la fecha en la cual la Entidad Estatal </w:t>
            </w:r>
            <w:r w:rsidR="00852393" w:rsidRPr="00907E99">
              <w:rPr>
                <w:rFonts w:ascii="Verdana" w:eastAsia="Arial" w:hAnsi="Verdana" w:cs="Arial"/>
                <w:i/>
                <w:iCs/>
                <w:color w:val="000000"/>
              </w:rPr>
              <w:t>recibió a satisfacción la obra</w:t>
            </w:r>
            <w:r w:rsidR="00852393" w:rsidRPr="00907E99">
              <w:rPr>
                <w:rFonts w:ascii="Verdana" w:eastAsia="Arial" w:hAnsi="Verdana" w:cs="Arial"/>
                <w:color w:val="000000"/>
              </w:rPr>
              <w:t xml:space="preserve">. </w:t>
            </w:r>
            <w:r w:rsidR="00AE1D6B" w:rsidRPr="00907E99">
              <w:rPr>
                <w:rFonts w:ascii="Verdana" w:eastAsia="Arial" w:hAnsi="Verdana" w:cs="Arial"/>
                <w:color w:val="000000"/>
              </w:rPr>
              <w:t xml:space="preserve">En este sentido, debe </w:t>
            </w:r>
            <w:r w:rsidR="00C93966" w:rsidRPr="00907E99">
              <w:rPr>
                <w:rFonts w:ascii="Verdana" w:eastAsia="Arial" w:hAnsi="Verdana" w:cs="Arial"/>
                <w:color w:val="000000"/>
              </w:rPr>
              <w:t xml:space="preserve">aclararse </w:t>
            </w:r>
            <w:r w:rsidR="00A85404" w:rsidRPr="00907E99">
              <w:rPr>
                <w:rFonts w:ascii="Verdana" w:eastAsia="Arial" w:hAnsi="Verdana" w:cs="Arial"/>
                <w:color w:val="000000"/>
              </w:rPr>
              <w:t>en primer lugar</w:t>
            </w:r>
            <w:r w:rsidR="008D77D1" w:rsidRPr="00907E99">
              <w:rPr>
                <w:rFonts w:ascii="Verdana" w:eastAsia="Arial" w:hAnsi="Verdana" w:cs="Arial"/>
                <w:color w:val="000000"/>
              </w:rPr>
              <w:t xml:space="preserve">, </w:t>
            </w:r>
            <w:r w:rsidR="00AE1D6B" w:rsidRPr="00907E99">
              <w:rPr>
                <w:rFonts w:ascii="Verdana" w:eastAsia="Arial" w:hAnsi="Verdana" w:cs="Arial"/>
                <w:color w:val="000000"/>
              </w:rPr>
              <w:t>que la norma</w:t>
            </w:r>
            <w:r w:rsidR="00E50D78" w:rsidRPr="00907E99">
              <w:rPr>
                <w:rFonts w:ascii="Verdana" w:eastAsia="Arial" w:hAnsi="Verdana" w:cs="Arial"/>
                <w:color w:val="000000"/>
              </w:rPr>
              <w:t xml:space="preserve"> en mención</w:t>
            </w:r>
            <w:r w:rsidR="00AE1D6B" w:rsidRPr="00907E99">
              <w:rPr>
                <w:rFonts w:ascii="Verdana" w:eastAsia="Arial" w:hAnsi="Verdana" w:cs="Arial"/>
                <w:color w:val="000000"/>
              </w:rPr>
              <w:t xml:space="preserve"> </w:t>
            </w:r>
            <w:r w:rsidR="00C93966" w:rsidRPr="00907E99">
              <w:rPr>
                <w:rFonts w:ascii="Verdana" w:eastAsia="Arial" w:hAnsi="Verdana" w:cs="Arial"/>
                <w:color w:val="000000"/>
              </w:rPr>
              <w:t>establece</w:t>
            </w:r>
            <w:r w:rsidR="0054129D" w:rsidRPr="00907E99">
              <w:rPr>
                <w:rFonts w:ascii="Verdana" w:eastAsia="Arial" w:hAnsi="Verdana" w:cs="Arial"/>
                <w:color w:val="000000"/>
              </w:rPr>
              <w:t xml:space="preserve"> como vigencia mínima el termino de cinco (5) años</w:t>
            </w:r>
            <w:r w:rsidR="00C93966" w:rsidRPr="00907E99">
              <w:rPr>
                <w:rFonts w:ascii="Verdana" w:eastAsia="Arial" w:hAnsi="Verdana" w:cs="Arial"/>
                <w:color w:val="000000"/>
              </w:rPr>
              <w:t xml:space="preserve">, </w:t>
            </w:r>
            <w:r w:rsidR="009128F4" w:rsidRPr="00907E99">
              <w:rPr>
                <w:rFonts w:ascii="Verdana" w:eastAsia="Arial" w:hAnsi="Verdana" w:cs="Arial"/>
                <w:color w:val="000000"/>
              </w:rPr>
              <w:t>aceptando una vigencia inferior</w:t>
            </w:r>
            <w:r w:rsidR="00C93966" w:rsidRPr="00907E99">
              <w:rPr>
                <w:rFonts w:ascii="Verdana" w:eastAsia="Arial" w:hAnsi="Verdana" w:cs="Arial"/>
                <w:color w:val="000000"/>
              </w:rPr>
              <w:t xml:space="preserve"> </w:t>
            </w:r>
            <w:r w:rsidR="009128F4" w:rsidRPr="00907E99">
              <w:rPr>
                <w:rFonts w:ascii="Verdana" w:eastAsia="Arial" w:hAnsi="Verdana" w:cs="Arial"/>
                <w:color w:val="000000"/>
              </w:rPr>
              <w:t>previa justificación técnica de un experto en la materia del contrato</w:t>
            </w:r>
            <w:r w:rsidR="00E71BB8" w:rsidRPr="00907E99">
              <w:rPr>
                <w:rFonts w:ascii="Verdana" w:eastAsia="Arial" w:hAnsi="Verdana" w:cs="Arial"/>
                <w:color w:val="000000"/>
              </w:rPr>
              <w:t xml:space="preserve"> y que en ningún caso podrá ser inferior a un (1) año</w:t>
            </w:r>
            <w:r w:rsidR="00C93966" w:rsidRPr="00907E99">
              <w:rPr>
                <w:rFonts w:ascii="Verdana" w:eastAsia="Arial" w:hAnsi="Verdana" w:cs="Arial"/>
                <w:color w:val="000000"/>
              </w:rPr>
              <w:t>.</w:t>
            </w:r>
            <w:r w:rsidR="00A85404" w:rsidRPr="00907E99">
              <w:rPr>
                <w:rFonts w:ascii="Verdana" w:eastAsia="Arial" w:hAnsi="Verdana" w:cs="Arial"/>
                <w:color w:val="000000"/>
              </w:rPr>
              <w:t xml:space="preserve"> </w:t>
            </w:r>
            <w:r w:rsidR="009D16F4" w:rsidRPr="00907E99">
              <w:rPr>
                <w:rFonts w:ascii="Verdana" w:eastAsia="Arial" w:hAnsi="Verdana" w:cs="Arial"/>
                <w:color w:val="000000"/>
              </w:rPr>
              <w:t>Y,</w:t>
            </w:r>
            <w:r w:rsidR="00A85404" w:rsidRPr="00907E99">
              <w:rPr>
                <w:rFonts w:ascii="Verdana" w:eastAsia="Arial" w:hAnsi="Verdana" w:cs="Arial"/>
                <w:color w:val="000000"/>
              </w:rPr>
              <w:t xml:space="preserve"> en segundo </w:t>
            </w:r>
            <w:r w:rsidR="000D63C8" w:rsidRPr="00907E99">
              <w:rPr>
                <w:rFonts w:ascii="Verdana" w:eastAsia="Arial" w:hAnsi="Verdana" w:cs="Arial"/>
                <w:color w:val="000000"/>
              </w:rPr>
              <w:t>lugar</w:t>
            </w:r>
            <w:r w:rsidR="008528C8" w:rsidRPr="00907E99">
              <w:rPr>
                <w:rFonts w:ascii="Verdana" w:eastAsia="Arial" w:hAnsi="Verdana" w:cs="Arial"/>
                <w:color w:val="000000"/>
              </w:rPr>
              <w:t xml:space="preserve">, </w:t>
            </w:r>
            <w:r w:rsidR="0080307E" w:rsidRPr="00907E99">
              <w:rPr>
                <w:rFonts w:ascii="Verdana" w:eastAsia="Arial" w:hAnsi="Verdana" w:cs="Arial"/>
                <w:color w:val="000000"/>
              </w:rPr>
              <w:t>est</w:t>
            </w:r>
            <w:r w:rsidR="008528C8" w:rsidRPr="00907E99">
              <w:rPr>
                <w:rFonts w:ascii="Verdana" w:eastAsia="Arial" w:hAnsi="Verdana" w:cs="Arial"/>
                <w:color w:val="000000"/>
              </w:rPr>
              <w:t>a</w:t>
            </w:r>
            <w:r w:rsidR="0080307E" w:rsidRPr="00907E99">
              <w:rPr>
                <w:rFonts w:ascii="Verdana" w:eastAsia="Arial" w:hAnsi="Verdana" w:cs="Arial"/>
                <w:color w:val="000000"/>
              </w:rPr>
              <w:t xml:space="preserve"> </w:t>
            </w:r>
            <w:r w:rsidR="00312EE7" w:rsidRPr="00907E99">
              <w:rPr>
                <w:rFonts w:ascii="Verdana" w:eastAsia="Arial" w:hAnsi="Verdana" w:cs="Arial"/>
                <w:color w:val="000000"/>
              </w:rPr>
              <w:t>garantía</w:t>
            </w:r>
            <w:r w:rsidR="0080307E" w:rsidRPr="00907E99">
              <w:rPr>
                <w:rFonts w:ascii="Verdana" w:eastAsia="Arial" w:hAnsi="Verdana" w:cs="Arial"/>
                <w:color w:val="000000"/>
              </w:rPr>
              <w:t xml:space="preserve"> tiene por finalidad cubrir a la Entidad en eventos en los que, </w:t>
            </w:r>
            <w:r w:rsidR="0080307E" w:rsidRPr="00907E99">
              <w:rPr>
                <w:rFonts w:ascii="Verdana" w:eastAsia="Arial" w:hAnsi="Verdana" w:cs="Arial"/>
                <w:i/>
                <w:iCs/>
                <w:color w:val="000000"/>
              </w:rPr>
              <w:t xml:space="preserve">con posterioridad a la ejecución, terminación </w:t>
            </w:r>
            <w:r w:rsidR="00312EE7" w:rsidRPr="00907E99">
              <w:rPr>
                <w:rFonts w:ascii="Verdana" w:eastAsia="Arial" w:hAnsi="Verdana" w:cs="Arial"/>
                <w:i/>
                <w:iCs/>
                <w:color w:val="000000"/>
              </w:rPr>
              <w:t>y entrega a satisfacción de la construcción</w:t>
            </w:r>
            <w:r w:rsidR="00312EE7" w:rsidRPr="00907E99">
              <w:rPr>
                <w:rFonts w:ascii="Verdana" w:eastAsia="Arial" w:hAnsi="Verdana" w:cs="Arial"/>
                <w:color w:val="000000"/>
              </w:rPr>
              <w:t>, se presente</w:t>
            </w:r>
            <w:r w:rsidR="00FC1304" w:rsidRPr="00907E99">
              <w:rPr>
                <w:rFonts w:ascii="Verdana" w:eastAsia="Arial" w:hAnsi="Verdana" w:cs="Arial"/>
                <w:color w:val="000000"/>
              </w:rPr>
              <w:t xml:space="preserve">n deterioros por causa de un vicio oculto imposible de prever con anterioridad. </w:t>
            </w:r>
          </w:p>
        </w:tc>
      </w:tr>
    </w:tbl>
    <w:p w14:paraId="377BC280" w14:textId="77777777" w:rsidR="004E2499" w:rsidRPr="00907E99" w:rsidRDefault="004E2499" w:rsidP="004E2499">
      <w:pPr>
        <w:tabs>
          <w:tab w:val="left" w:pos="142"/>
          <w:tab w:val="left" w:pos="284"/>
        </w:tabs>
        <w:spacing w:after="0" w:line="276" w:lineRule="auto"/>
        <w:jc w:val="both"/>
        <w:rPr>
          <w:rFonts w:ascii="Verdana" w:eastAsia="Century Gothic" w:hAnsi="Verdana" w:cs="Century Gothic"/>
          <w:b/>
          <w:bCs/>
          <w:lang w:val="es-ES"/>
        </w:rPr>
      </w:pPr>
    </w:p>
    <w:p w14:paraId="21E16E43" w14:textId="77777777" w:rsidR="004E2499" w:rsidRPr="00907E99" w:rsidRDefault="004E2499" w:rsidP="004E249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907E99">
        <w:rPr>
          <w:rFonts w:ascii="Verdana" w:eastAsia="Century Gothic" w:hAnsi="Verdana" w:cs="Century Gothic"/>
          <w:b/>
          <w:bCs/>
        </w:rPr>
        <w:t>Razones de la respuesta:</w:t>
      </w:r>
    </w:p>
    <w:p w14:paraId="604FB7EF" w14:textId="77777777" w:rsidR="004E2499" w:rsidRPr="00907E99" w:rsidRDefault="004E2499" w:rsidP="004E2499">
      <w:pPr>
        <w:spacing w:after="0" w:line="276" w:lineRule="auto"/>
        <w:jc w:val="both"/>
        <w:rPr>
          <w:rFonts w:ascii="Verdana" w:eastAsia="Calibri" w:hAnsi="Verdana" w:cs="Arial"/>
          <w:color w:val="7030A0"/>
          <w:lang w:val="es-ES"/>
        </w:rPr>
      </w:pPr>
    </w:p>
    <w:p w14:paraId="5CD3F406" w14:textId="6D50437B" w:rsidR="004E2499" w:rsidRPr="00907E99" w:rsidRDefault="004E2499" w:rsidP="004E2499">
      <w:pPr>
        <w:spacing w:after="0"/>
        <w:jc w:val="both"/>
        <w:rPr>
          <w:rFonts w:ascii="Verdana" w:eastAsia="Calibri" w:hAnsi="Verdana" w:cs="Arial"/>
          <w:lang w:val="es-ES"/>
        </w:rPr>
      </w:pPr>
      <w:r w:rsidRPr="00907E99">
        <w:rPr>
          <w:rFonts w:ascii="Verdana" w:eastAsia="Calibri" w:hAnsi="Verdana" w:cs="Arial"/>
          <w:lang w:val="es-ES"/>
        </w:rPr>
        <w:t>Lo anterior se sustenta en las siguientes consideraciones:</w:t>
      </w:r>
    </w:p>
    <w:p w14:paraId="0453FF57" w14:textId="77777777" w:rsidR="00D57869" w:rsidRPr="00907E99" w:rsidRDefault="00D57869" w:rsidP="004E2499">
      <w:pPr>
        <w:spacing w:after="0"/>
        <w:jc w:val="both"/>
        <w:rPr>
          <w:rFonts w:ascii="Verdana" w:eastAsia="Calibri" w:hAnsi="Verdana" w:cs="Arial"/>
          <w:lang w:val="es-ES"/>
        </w:rPr>
      </w:pPr>
    </w:p>
    <w:p w14:paraId="68388AF6" w14:textId="77777777" w:rsidR="00F71768" w:rsidRPr="00907E99" w:rsidRDefault="00942B43" w:rsidP="00F71768">
      <w:pPr>
        <w:pStyle w:val="Prrafodelista"/>
        <w:numPr>
          <w:ilvl w:val="0"/>
          <w:numId w:val="18"/>
        </w:numPr>
        <w:spacing w:after="0"/>
        <w:jc w:val="both"/>
        <w:rPr>
          <w:rFonts w:ascii="Verdana" w:hAnsi="Verdana"/>
          <w:lang w:val="es-ES_tradnl"/>
        </w:rPr>
      </w:pPr>
      <w:r w:rsidRPr="00907E99">
        <w:rPr>
          <w:rFonts w:ascii="Verdana" w:hAnsi="Verdana"/>
          <w:lang w:val="es-MX"/>
        </w:rPr>
        <w:t xml:space="preserve">Durante la ejecución y después de la terminación de los contratos estatales se presentan ciertas actuaciones que la </w:t>
      </w:r>
      <w:r w:rsidR="00EA6419" w:rsidRPr="00907E99">
        <w:rPr>
          <w:rFonts w:ascii="Verdana" w:hAnsi="Verdana"/>
          <w:lang w:val="es-MX"/>
        </w:rPr>
        <w:t>E</w:t>
      </w:r>
      <w:r w:rsidRPr="00907E99">
        <w:rPr>
          <w:rFonts w:ascii="Verdana" w:hAnsi="Verdana"/>
          <w:lang w:val="es-MX"/>
        </w:rPr>
        <w:t xml:space="preserve">ntidad </w:t>
      </w:r>
      <w:r w:rsidR="00EA6419" w:rsidRPr="00907E99">
        <w:rPr>
          <w:rFonts w:ascii="Verdana" w:hAnsi="Verdana"/>
          <w:lang w:val="es-MX"/>
        </w:rPr>
        <w:t>E</w:t>
      </w:r>
      <w:r w:rsidRPr="00907E99">
        <w:rPr>
          <w:rFonts w:ascii="Verdana" w:hAnsi="Verdana"/>
          <w:lang w:val="es-MX"/>
        </w:rPr>
        <w:t xml:space="preserve">statal debe realizar por mandato legal, o que deben realizar las partes en virtud del acuerdo de voluntades. Por regla general, estas actuaciones están contenidas en documentos, como, por ejemplo: i) el acta de recibo final del contrato, </w:t>
      </w:r>
      <w:proofErr w:type="spellStart"/>
      <w:r w:rsidRPr="00907E99">
        <w:rPr>
          <w:rFonts w:ascii="Verdana" w:hAnsi="Verdana"/>
          <w:lang w:val="es-MX"/>
        </w:rPr>
        <w:t>ii</w:t>
      </w:r>
      <w:proofErr w:type="spellEnd"/>
      <w:r w:rsidRPr="00907E99">
        <w:rPr>
          <w:rFonts w:ascii="Verdana" w:hAnsi="Verdana"/>
          <w:lang w:val="es-MX"/>
        </w:rPr>
        <w:t xml:space="preserve">) el acta de liquidación, y </w:t>
      </w:r>
      <w:proofErr w:type="spellStart"/>
      <w:r w:rsidRPr="00907E99">
        <w:rPr>
          <w:rFonts w:ascii="Verdana" w:hAnsi="Verdana"/>
          <w:lang w:val="es-MX"/>
        </w:rPr>
        <w:t>iii</w:t>
      </w:r>
      <w:proofErr w:type="spellEnd"/>
      <w:r w:rsidRPr="00907E99">
        <w:rPr>
          <w:rFonts w:ascii="Verdana" w:hAnsi="Verdana"/>
          <w:lang w:val="es-MX"/>
        </w:rPr>
        <w:t>) la constancia de cierre del expediente.</w:t>
      </w:r>
    </w:p>
    <w:p w14:paraId="6A62E092" w14:textId="77777777" w:rsidR="00F71768" w:rsidRPr="00907E99" w:rsidRDefault="00F71768" w:rsidP="00F71768">
      <w:pPr>
        <w:pStyle w:val="Prrafodelista"/>
        <w:spacing w:after="0"/>
        <w:jc w:val="both"/>
        <w:rPr>
          <w:rFonts w:ascii="Verdana" w:hAnsi="Verdana"/>
          <w:lang w:val="es-ES_tradnl"/>
        </w:rPr>
      </w:pPr>
    </w:p>
    <w:p w14:paraId="2F25CF88" w14:textId="77777777" w:rsidR="00A52004" w:rsidRPr="00907E99" w:rsidRDefault="00F71768" w:rsidP="00A52004">
      <w:pPr>
        <w:pStyle w:val="Prrafodelista"/>
        <w:numPr>
          <w:ilvl w:val="0"/>
          <w:numId w:val="18"/>
        </w:numPr>
        <w:spacing w:after="0"/>
        <w:jc w:val="both"/>
        <w:rPr>
          <w:rFonts w:ascii="Verdana" w:hAnsi="Verdana"/>
          <w:lang w:val="es-ES_tradnl"/>
        </w:rPr>
      </w:pPr>
      <w:r w:rsidRPr="00907E99">
        <w:rPr>
          <w:rFonts w:ascii="Verdana" w:hAnsi="Verdana"/>
          <w:lang w:val="es-ES_tradnl"/>
        </w:rPr>
        <w:t xml:space="preserve">El acta de recibo final del objeto del contrato no está regulada por las normas de contratación pública. Sin embargo, en virtud de la autonomía de la voluntad, la entidad y el contratista pueden acordar su suscripción, con el objeto de facilitar la verificación de la ejecución de las obligaciones a cargo de aquel. Este documento también es útil para liquidar el contrato. La Sección Tercera del Consejo de Estado, en sentencia del 28 de febrero de </w:t>
      </w:r>
      <w:r w:rsidR="00FF54D2" w:rsidRPr="00907E99">
        <w:rPr>
          <w:rFonts w:ascii="Verdana" w:hAnsi="Verdana"/>
          <w:lang w:val="es-ES_tradnl"/>
        </w:rPr>
        <w:t>2013,</w:t>
      </w:r>
      <w:r w:rsidRPr="00907E99">
        <w:rPr>
          <w:rFonts w:ascii="Verdana" w:hAnsi="Verdana"/>
          <w:lang w:val="es-ES_tradnl"/>
        </w:rPr>
        <w:t xml:space="preserve"> indicó:</w:t>
      </w:r>
    </w:p>
    <w:p w14:paraId="58975F1C" w14:textId="77777777" w:rsidR="00A52004" w:rsidRPr="00907E99" w:rsidRDefault="00A52004" w:rsidP="00A52004">
      <w:pPr>
        <w:pStyle w:val="Prrafodelista"/>
        <w:rPr>
          <w:rFonts w:ascii="Verdana" w:hAnsi="Verdana" w:cs="Arial"/>
          <w:color w:val="000000" w:themeColor="text1"/>
          <w:sz w:val="21"/>
          <w:szCs w:val="21"/>
        </w:rPr>
      </w:pPr>
    </w:p>
    <w:p w14:paraId="08C93DF3" w14:textId="56A20CA6" w:rsidR="00A52004" w:rsidRPr="00907E99" w:rsidRDefault="00370004" w:rsidP="003A5842">
      <w:pPr>
        <w:pStyle w:val="Prrafodelista"/>
        <w:spacing w:after="0" w:line="240" w:lineRule="auto"/>
        <w:ind w:left="1247" w:right="850"/>
        <w:jc w:val="both"/>
        <w:rPr>
          <w:rFonts w:ascii="Verdana" w:hAnsi="Verdana" w:cs="Arial"/>
          <w:color w:val="000000" w:themeColor="text1"/>
          <w:sz w:val="20"/>
          <w:szCs w:val="20"/>
        </w:rPr>
      </w:pPr>
      <w:r w:rsidRPr="00907E99">
        <w:rPr>
          <w:rFonts w:ascii="Verdana" w:hAnsi="Verdana" w:cs="Arial"/>
          <w:color w:val="000000" w:themeColor="text1"/>
          <w:sz w:val="20"/>
          <w:szCs w:val="20"/>
        </w:rPr>
        <w:t>“</w:t>
      </w:r>
      <w:r w:rsidR="00A52004" w:rsidRPr="00907E99">
        <w:rPr>
          <w:rFonts w:ascii="Verdana" w:hAnsi="Verdana" w:cs="Arial"/>
          <w:color w:val="000000" w:themeColor="text1"/>
          <w:sz w:val="20"/>
          <w:szCs w:val="20"/>
        </w:rPr>
        <w:t xml:space="preserve">Es decir que dicha acta de recibo final es concebida como un medio de verificación de la ejecución del objeto contractual, para determinar si el mismo se efectuó cabalmente y de acuerdo con las </w:t>
      </w:r>
      <w:r w:rsidR="00A52004" w:rsidRPr="00907E99">
        <w:rPr>
          <w:rFonts w:ascii="Verdana" w:hAnsi="Verdana" w:cs="Arial"/>
          <w:color w:val="000000" w:themeColor="text1"/>
          <w:sz w:val="20"/>
          <w:szCs w:val="20"/>
        </w:rPr>
        <w:lastRenderedPageBreak/>
        <w:t>especificaciones pactadas en el contrato, lo que significa que dicha acta constituye un elemento anterior y útil para la liquidación de los contratos, puesto que a través de ella se constata cualitativa y cuantitativamente el cumplimiento  de las prestaciones a cargo del contratista como paso previo para efectuar el respectivo corte de cuentas que implica la liquidación del contrato aunque en algunas ocasiones, las partes de hecho liquidan el contrato en la que denominan acta de recibo final.</w:t>
      </w:r>
      <w:r w:rsidRPr="00907E99">
        <w:rPr>
          <w:rFonts w:ascii="Verdana" w:hAnsi="Verdana" w:cs="Arial"/>
          <w:color w:val="000000" w:themeColor="text1"/>
          <w:sz w:val="20"/>
          <w:szCs w:val="20"/>
        </w:rPr>
        <w:t>”</w:t>
      </w:r>
    </w:p>
    <w:p w14:paraId="5D7D05FA" w14:textId="77777777" w:rsidR="00370004" w:rsidRPr="00907E99" w:rsidRDefault="00370004" w:rsidP="00A52004">
      <w:pPr>
        <w:pStyle w:val="Prrafodelista"/>
        <w:spacing w:after="0"/>
        <w:jc w:val="both"/>
        <w:rPr>
          <w:rFonts w:ascii="Verdana" w:hAnsi="Verdana" w:cs="Arial"/>
          <w:color w:val="000000" w:themeColor="text1"/>
          <w:sz w:val="21"/>
          <w:szCs w:val="21"/>
        </w:rPr>
      </w:pPr>
    </w:p>
    <w:p w14:paraId="55EEF391" w14:textId="72BB9954" w:rsidR="00417161" w:rsidRPr="00907E99" w:rsidRDefault="00370004" w:rsidP="00417161">
      <w:pPr>
        <w:pStyle w:val="Prrafodelista"/>
        <w:numPr>
          <w:ilvl w:val="0"/>
          <w:numId w:val="18"/>
        </w:numPr>
        <w:spacing w:before="120" w:line="276" w:lineRule="auto"/>
        <w:jc w:val="both"/>
        <w:rPr>
          <w:rFonts w:ascii="Verdana" w:hAnsi="Verdana" w:cs="Arial"/>
          <w:color w:val="000000" w:themeColor="text1"/>
        </w:rPr>
      </w:pPr>
      <w:r w:rsidRPr="00907E99">
        <w:rPr>
          <w:rFonts w:ascii="Verdana" w:hAnsi="Verdana" w:cs="Arial"/>
          <w:color w:val="000000" w:themeColor="text1"/>
        </w:rPr>
        <w:t>El acta de recibo final es un elemento accidental del contrato estatal</w:t>
      </w:r>
      <w:r w:rsidRPr="00907E99">
        <w:rPr>
          <w:rStyle w:val="Refdenotaalpie"/>
          <w:rFonts w:ascii="Verdana" w:hAnsi="Verdana" w:cs="Arial"/>
          <w:color w:val="000000" w:themeColor="text1"/>
        </w:rPr>
        <w:footnoteReference w:id="2"/>
      </w:r>
      <w:r w:rsidRPr="00907E99">
        <w:rPr>
          <w:rFonts w:ascii="Verdana" w:hAnsi="Verdana" w:cs="Arial"/>
          <w:color w:val="000000" w:themeColor="text1"/>
        </w:rPr>
        <w:t>, pues, de acuerdo con las cláusulas pactadas en el mismo, las partes la utilizan dentro del negocio jurídico, por un lado, para verificar la ejecución del contrato cualitativa y cuantitativamente y, por el otro, como insumo para definir las prestaciones a cargo de cada una de ellas</w:t>
      </w:r>
      <w:r w:rsidR="00C60512" w:rsidRPr="00907E99">
        <w:rPr>
          <w:rFonts w:ascii="Verdana" w:hAnsi="Verdana" w:cs="Arial"/>
          <w:color w:val="000000" w:themeColor="text1"/>
        </w:rPr>
        <w:t>.</w:t>
      </w:r>
    </w:p>
    <w:p w14:paraId="4B02D9DE" w14:textId="77777777" w:rsidR="00417161" w:rsidRPr="00907E99" w:rsidRDefault="00417161" w:rsidP="00417161">
      <w:pPr>
        <w:pStyle w:val="Prrafodelista"/>
        <w:spacing w:before="120" w:line="276" w:lineRule="auto"/>
        <w:jc w:val="both"/>
        <w:rPr>
          <w:rFonts w:ascii="Verdana" w:hAnsi="Verdana" w:cs="Arial"/>
          <w:color w:val="000000" w:themeColor="text1"/>
        </w:rPr>
      </w:pPr>
    </w:p>
    <w:p w14:paraId="3FD5204C" w14:textId="77777777" w:rsidR="00AA7080" w:rsidRPr="00907E99" w:rsidRDefault="00B95426" w:rsidP="00AA7080">
      <w:pPr>
        <w:pStyle w:val="Prrafodelista"/>
        <w:numPr>
          <w:ilvl w:val="0"/>
          <w:numId w:val="18"/>
        </w:numPr>
        <w:spacing w:before="120" w:line="276" w:lineRule="auto"/>
        <w:jc w:val="both"/>
        <w:rPr>
          <w:rFonts w:ascii="Verdana" w:hAnsi="Verdana" w:cs="Arial"/>
          <w:color w:val="000000" w:themeColor="text1"/>
        </w:rPr>
      </w:pPr>
      <w:r w:rsidRPr="00907E99">
        <w:rPr>
          <w:rFonts w:ascii="Verdana" w:hAnsi="Verdana" w:cs="Arial"/>
          <w:color w:val="000000" w:themeColor="text1"/>
        </w:rPr>
        <w:t xml:space="preserve">Ahora bien, frente a </w:t>
      </w:r>
      <w:r w:rsidR="00691D71" w:rsidRPr="00907E99">
        <w:rPr>
          <w:rFonts w:ascii="Verdana" w:hAnsi="Verdana" w:cs="Arial"/>
          <w:color w:val="000000" w:themeColor="text1"/>
        </w:rPr>
        <w:t xml:space="preserve">las garantías en la contratación estatal, ha de tenerse en cuenta que </w:t>
      </w:r>
      <w:r w:rsidR="00CD77DF" w:rsidRPr="00907E99">
        <w:rPr>
          <w:rFonts w:ascii="Verdana" w:hAnsi="Verdana" w:cs="Arial"/>
          <w:color w:val="000000" w:themeColor="text1"/>
        </w:rPr>
        <w:t xml:space="preserve">el Estatuto General de Contratación de la Administración Pública, por regla general, para seleccionar los contratistas y para ejecutar los contratos </w:t>
      </w:r>
      <w:r w:rsidR="00CB61EE" w:rsidRPr="00907E99">
        <w:rPr>
          <w:rFonts w:ascii="Verdana" w:hAnsi="Verdana" w:cs="Arial"/>
          <w:color w:val="000000" w:themeColor="text1"/>
        </w:rPr>
        <w:t xml:space="preserve">se </w:t>
      </w:r>
      <w:r w:rsidR="00CD77DF" w:rsidRPr="00907E99">
        <w:rPr>
          <w:rFonts w:ascii="Verdana" w:hAnsi="Verdana" w:cs="Arial"/>
          <w:color w:val="000000" w:themeColor="text1"/>
        </w:rPr>
        <w:t>requiere la constitución de garantías. Por ello, 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w:t>
      </w:r>
    </w:p>
    <w:p w14:paraId="6E44D0C8" w14:textId="77777777" w:rsidR="00AA7080" w:rsidRPr="00907E99" w:rsidRDefault="00AA7080" w:rsidP="00AA7080">
      <w:pPr>
        <w:pStyle w:val="Prrafodelista"/>
        <w:rPr>
          <w:rFonts w:ascii="Verdana" w:hAnsi="Verdana" w:cs="Arial"/>
          <w:lang w:val="es-MX"/>
        </w:rPr>
      </w:pPr>
    </w:p>
    <w:p w14:paraId="61C6082A" w14:textId="77777777" w:rsidR="00206634" w:rsidRPr="00907E99" w:rsidRDefault="00AA7080" w:rsidP="00206634">
      <w:pPr>
        <w:pStyle w:val="Prrafodelista"/>
        <w:numPr>
          <w:ilvl w:val="0"/>
          <w:numId w:val="18"/>
        </w:numPr>
        <w:spacing w:before="120" w:line="276" w:lineRule="auto"/>
        <w:jc w:val="both"/>
        <w:rPr>
          <w:rFonts w:ascii="Verdana" w:hAnsi="Verdana" w:cs="Arial"/>
          <w:color w:val="000000" w:themeColor="text1"/>
        </w:rPr>
      </w:pPr>
      <w:r w:rsidRPr="00907E99">
        <w:rPr>
          <w:rFonts w:ascii="Verdana" w:hAnsi="Verdana" w:cs="Arial"/>
          <w:lang w:val="es-MX"/>
        </w:rPr>
        <w:t xml:space="preserve">Las condiciones en las que debe cumplirse esta obligación fueron reglamentadas por el Decreto 1082 de 2015, el cual entre sus artículos 2.2.1.2.3.1.1. y 2.2.1.2.3.1.19 se refiere a asuntos como las clases de garantías permitidas, la indivisibilidad de estas, los diferentes riesgos que deben ser objeto de garantía, la vigencia y valores mínimos que deben cubrir los amparos, entre otros aspectos que debe cumplir las garantías constituidas por los contratistas ya sea a través de pólizas de seguro, garantías bancarías o patrimonios autónomos. </w:t>
      </w:r>
    </w:p>
    <w:p w14:paraId="05342C45" w14:textId="77777777" w:rsidR="00206634" w:rsidRPr="00907E99" w:rsidRDefault="00206634" w:rsidP="00206634">
      <w:pPr>
        <w:pStyle w:val="Prrafodelista"/>
        <w:rPr>
          <w:rFonts w:ascii="Verdana" w:eastAsia="Calibri" w:hAnsi="Verdana" w:cs="Arial"/>
          <w:lang w:val="es-ES_tradnl"/>
        </w:rPr>
      </w:pPr>
    </w:p>
    <w:p w14:paraId="6BB7DEC8" w14:textId="77777777" w:rsidR="00A71788" w:rsidRPr="00907E99" w:rsidRDefault="00206634" w:rsidP="00A71788">
      <w:pPr>
        <w:pStyle w:val="Prrafodelista"/>
        <w:numPr>
          <w:ilvl w:val="0"/>
          <w:numId w:val="18"/>
        </w:numPr>
        <w:spacing w:before="120" w:line="276" w:lineRule="auto"/>
        <w:jc w:val="both"/>
        <w:rPr>
          <w:rFonts w:ascii="Verdana" w:hAnsi="Verdana" w:cs="Arial"/>
          <w:color w:val="000000" w:themeColor="text1"/>
        </w:rPr>
      </w:pPr>
      <w:r w:rsidRPr="00907E99">
        <w:rPr>
          <w:rFonts w:ascii="Verdana" w:eastAsia="Calibri" w:hAnsi="Verdana" w:cs="Arial"/>
          <w:lang w:val="es-ES_tradnl"/>
        </w:rPr>
        <w:t>De acuerdo a lo expresado anteriormente, l</w:t>
      </w:r>
      <w:r w:rsidRPr="00907E99">
        <w:rPr>
          <w:rFonts w:ascii="Verdana" w:hAnsi="Verdana" w:cs="Arial"/>
        </w:rPr>
        <w:t xml:space="preserve">os proponentes o contratistas, para garantizar el cumplimiento de sus obligaciones frente a </w:t>
      </w:r>
      <w:r w:rsidR="00605F34" w:rsidRPr="00907E99">
        <w:rPr>
          <w:rFonts w:ascii="Verdana" w:hAnsi="Verdana" w:cs="Arial"/>
        </w:rPr>
        <w:t>E</w:t>
      </w:r>
      <w:r w:rsidRPr="00907E99">
        <w:rPr>
          <w:rFonts w:ascii="Verdana" w:hAnsi="Verdana" w:cs="Arial"/>
        </w:rPr>
        <w:t xml:space="preserve">ntidades </w:t>
      </w:r>
      <w:r w:rsidR="00605F34" w:rsidRPr="00907E99">
        <w:rPr>
          <w:rFonts w:ascii="Verdana" w:hAnsi="Verdana" w:cs="Arial"/>
        </w:rPr>
        <w:t>E</w:t>
      </w:r>
      <w:r w:rsidRPr="00907E99">
        <w:rPr>
          <w:rFonts w:ascii="Verdana" w:hAnsi="Verdana" w:cs="Arial"/>
        </w:rPr>
        <w:t xml:space="preserve">statales en materia contractual, pueden otorgar, a su elección, las garantías mediante los siguientes mecanismos de cobertura de los riesgos: i) contratos de seguro, que por su esencia, es el medio más usado </w:t>
      </w:r>
      <w:r w:rsidRPr="00907E99">
        <w:rPr>
          <w:rFonts w:ascii="Verdana" w:eastAsia="Calibri" w:hAnsi="Verdana" w:cs="Arial"/>
        </w:rPr>
        <w:t xml:space="preserve">para amparar los riesgos contractuales; </w:t>
      </w:r>
      <w:proofErr w:type="spellStart"/>
      <w:r w:rsidRPr="00907E99">
        <w:rPr>
          <w:rFonts w:ascii="Verdana" w:hAnsi="Verdana" w:cs="Arial"/>
        </w:rPr>
        <w:t>ii</w:t>
      </w:r>
      <w:proofErr w:type="spellEnd"/>
      <w:r w:rsidRPr="00907E99">
        <w:rPr>
          <w:rFonts w:ascii="Verdana" w:hAnsi="Verdana" w:cs="Arial"/>
        </w:rPr>
        <w:t>) fiducia mercantil de garantía, que es un contrato que suscribe el oferente, contratista o un tercero como fideicomitente con una sociedad fiduciaria para transferir la propiedad de uno o más bienes o derechos con los cuales se integra un patrimonio autónomo, con el fin de salvaguardar con ellos o con su producido las obligaciones del oferente o contratista con la Entidad Estatal beneficiaria</w:t>
      </w:r>
      <w:r w:rsidRPr="00907E99">
        <w:rPr>
          <w:rStyle w:val="Refdenotaalpie"/>
          <w:rFonts w:ascii="Verdana" w:hAnsi="Verdana" w:cs="Arial"/>
        </w:rPr>
        <w:footnoteReference w:id="3"/>
      </w:r>
      <w:r w:rsidRPr="00907E99">
        <w:rPr>
          <w:rFonts w:ascii="Verdana" w:hAnsi="Verdana" w:cs="Arial"/>
        </w:rPr>
        <w:t xml:space="preserve">;  </w:t>
      </w:r>
      <w:proofErr w:type="spellStart"/>
      <w:r w:rsidRPr="00907E99">
        <w:rPr>
          <w:rFonts w:ascii="Verdana" w:hAnsi="Verdana" w:cs="Arial"/>
        </w:rPr>
        <w:t>iii</w:t>
      </w:r>
      <w:proofErr w:type="spellEnd"/>
      <w:r w:rsidRPr="00907E99">
        <w:rPr>
          <w:rFonts w:ascii="Verdana" w:hAnsi="Verdana" w:cs="Arial"/>
        </w:rPr>
        <w:t xml:space="preserve">) garantías bancarias o cartas de crédito </w:t>
      </w:r>
      <w:r w:rsidRPr="00907E99">
        <w:rPr>
          <w:rFonts w:ascii="Verdana" w:hAnsi="Verdana" w:cs="Arial"/>
          <w:i/>
          <w:iCs/>
        </w:rPr>
        <w:t>stand</w:t>
      </w:r>
      <w:r w:rsidRPr="00907E99">
        <w:rPr>
          <w:rFonts w:ascii="Verdana" w:hAnsi="Verdana" w:cs="Arial"/>
        </w:rPr>
        <w:t xml:space="preserve"> </w:t>
      </w:r>
      <w:proofErr w:type="spellStart"/>
      <w:r w:rsidRPr="00907E99">
        <w:rPr>
          <w:rFonts w:ascii="Verdana" w:hAnsi="Verdana" w:cs="Arial"/>
          <w:i/>
          <w:iCs/>
        </w:rPr>
        <w:t>by</w:t>
      </w:r>
      <w:proofErr w:type="spellEnd"/>
      <w:r w:rsidRPr="00907E99">
        <w:rPr>
          <w:rFonts w:ascii="Verdana" w:hAnsi="Verdana" w:cs="Arial"/>
        </w:rPr>
        <w:t>, que consisten en compromisos irrevocables o incondicionales asumidos por una entidad financiera de pagar una suma determinada de dinero</w:t>
      </w:r>
      <w:r w:rsidRPr="00907E99">
        <w:rPr>
          <w:rStyle w:val="Refdenotaalpie"/>
          <w:rFonts w:ascii="Verdana" w:hAnsi="Verdana" w:cs="Arial"/>
        </w:rPr>
        <w:footnoteReference w:id="4"/>
      </w:r>
      <w:r w:rsidRPr="00907E99">
        <w:rPr>
          <w:rFonts w:ascii="Verdana" w:hAnsi="Verdana" w:cs="Arial"/>
        </w:rPr>
        <w:t>. La suficiencia y la vigencia de las garantías deben ser las reguladas en los artículos 2.2.1.2.3.1.9 a 2.2.1.2.3.1.16 del Decreto 1082 de 2015.</w:t>
      </w:r>
    </w:p>
    <w:p w14:paraId="4A960104" w14:textId="77777777" w:rsidR="00A71788" w:rsidRPr="00907E99" w:rsidRDefault="00A71788" w:rsidP="00A71788">
      <w:pPr>
        <w:pStyle w:val="Prrafodelista"/>
        <w:spacing w:before="120" w:line="276" w:lineRule="auto"/>
        <w:jc w:val="both"/>
        <w:rPr>
          <w:rFonts w:ascii="Verdana" w:hAnsi="Verdana" w:cs="Arial"/>
          <w:color w:val="000000" w:themeColor="text1"/>
        </w:rPr>
      </w:pPr>
    </w:p>
    <w:p w14:paraId="58EA2BA5" w14:textId="77777777" w:rsidR="00D16924" w:rsidRPr="00907E99" w:rsidRDefault="00A71788" w:rsidP="00D16924">
      <w:pPr>
        <w:pStyle w:val="Prrafodelista"/>
        <w:numPr>
          <w:ilvl w:val="0"/>
          <w:numId w:val="18"/>
        </w:numPr>
        <w:spacing w:before="120" w:line="276" w:lineRule="auto"/>
        <w:jc w:val="both"/>
        <w:rPr>
          <w:rFonts w:ascii="Verdana" w:hAnsi="Verdana" w:cs="Arial"/>
          <w:color w:val="000000" w:themeColor="text1"/>
        </w:rPr>
      </w:pPr>
      <w:r w:rsidRPr="00907E99">
        <w:rPr>
          <w:rFonts w:ascii="Verdana" w:hAnsi="Verdana" w:cs="Arial"/>
        </w:rPr>
        <w:t>Ahora bien, las garantías cubren ciertos riesgos identificados por las Entidades Estatales. Por ejemplo, en las modalidades de selección de contratación directa y mínima cuantía, así como en la contratación de seguros, la Entidad Estatal debe justificar la necesidad de exigir la constitución de garantías. Con respecto a las demás modalidades de selección, en principio, son obligatorias las garantías de seriedad de la oferta y de cumplimiento, y la garantía de responsabilidad civil extracontractual es obligatoria en los contratos de obra y en aquellos en que por su objeto o naturaleza la Entidad Estatal lo considere necesario.</w:t>
      </w:r>
    </w:p>
    <w:p w14:paraId="2A994DAE" w14:textId="77777777" w:rsidR="00D16924" w:rsidRPr="00907E99" w:rsidRDefault="00D16924" w:rsidP="00D16924">
      <w:pPr>
        <w:pStyle w:val="Prrafodelista"/>
        <w:rPr>
          <w:rFonts w:ascii="Verdana" w:hAnsi="Verdana" w:cs="Arial"/>
        </w:rPr>
      </w:pPr>
    </w:p>
    <w:p w14:paraId="2887E177" w14:textId="77777777" w:rsidR="00614EDB" w:rsidRPr="00907E99" w:rsidRDefault="00D16924" w:rsidP="00614EDB">
      <w:pPr>
        <w:pStyle w:val="Prrafodelista"/>
        <w:numPr>
          <w:ilvl w:val="0"/>
          <w:numId w:val="18"/>
        </w:numPr>
        <w:spacing w:before="120" w:line="276" w:lineRule="auto"/>
        <w:jc w:val="both"/>
        <w:rPr>
          <w:rFonts w:ascii="Verdana" w:hAnsi="Verdana" w:cs="Arial"/>
          <w:color w:val="000000" w:themeColor="text1"/>
        </w:rPr>
      </w:pPr>
      <w:r w:rsidRPr="00907E99">
        <w:rPr>
          <w:rFonts w:ascii="Verdana" w:hAnsi="Verdana" w:cs="Arial"/>
        </w:rPr>
        <w:t xml:space="preserve">Teniendo en cuenta este panorama general, se precisa que un tipo de mecanismo de cobertura del riesgo como la garantía </w:t>
      </w:r>
      <w:r w:rsidRPr="00907E99">
        <w:rPr>
          <w:rFonts w:ascii="Verdana" w:eastAsia="Calibri" w:hAnsi="Verdana" w:cs="Arial"/>
          <w:lang w:val="es-ES_tradnl"/>
        </w:rPr>
        <w:t xml:space="preserve">bancaria solo puede </w:t>
      </w:r>
      <w:r w:rsidRPr="00907E99">
        <w:rPr>
          <w:rFonts w:ascii="Verdana" w:eastAsia="Calibri" w:hAnsi="Verdana" w:cs="Arial"/>
          <w:lang w:val="es-ES_tradnl"/>
        </w:rPr>
        <w:lastRenderedPageBreak/>
        <w:t xml:space="preserve">emplearse para amparar la seriedad de la oferta y el cumplimiento, pues la cobertura del riesgo de responsabilidad civil extracontractual solamente puede ser amparada con un contrato de seguro, según el artículo 2.2.1.2.3.1.5. del Decreto 1082 de 2015. Por su parte, las pólizas de seguro pueden constituirse como garantías únicas de cumplimiento, garantías de seriedad de la oferta y garantías de responsabilidad civil extracontractual. </w:t>
      </w:r>
    </w:p>
    <w:p w14:paraId="7FE15271" w14:textId="77777777" w:rsidR="00614EDB" w:rsidRPr="00907E99" w:rsidRDefault="00614EDB" w:rsidP="00614EDB">
      <w:pPr>
        <w:pStyle w:val="Prrafodelista"/>
        <w:rPr>
          <w:rFonts w:ascii="Verdana" w:eastAsia="Calibri" w:hAnsi="Verdana" w:cs="Arial"/>
          <w:lang w:val="es-ES_tradnl"/>
        </w:rPr>
      </w:pPr>
    </w:p>
    <w:p w14:paraId="16CCCF40" w14:textId="77777777" w:rsidR="000D348A" w:rsidRPr="00907E99" w:rsidRDefault="00614EDB" w:rsidP="000D348A">
      <w:pPr>
        <w:pStyle w:val="Prrafodelista"/>
        <w:numPr>
          <w:ilvl w:val="0"/>
          <w:numId w:val="18"/>
        </w:numPr>
        <w:spacing w:before="120" w:line="276" w:lineRule="auto"/>
        <w:jc w:val="both"/>
        <w:rPr>
          <w:rFonts w:ascii="Verdana" w:hAnsi="Verdana" w:cs="Arial"/>
          <w:color w:val="000000" w:themeColor="text1"/>
        </w:rPr>
      </w:pPr>
      <w:r w:rsidRPr="00907E99">
        <w:rPr>
          <w:rFonts w:ascii="Verdana" w:eastAsia="Calibri" w:hAnsi="Verdana" w:cs="Arial"/>
          <w:lang w:val="es-ES_tradnl"/>
        </w:rPr>
        <w:t>A partir de las fases del Proceso de Contratación, la “</w:t>
      </w:r>
      <w:r w:rsidRPr="00907E99">
        <w:rPr>
          <w:rFonts w:ascii="Verdana" w:eastAsia="Calibri" w:hAnsi="Verdana" w:cs="Arial"/>
          <w:i/>
          <w:iCs/>
          <w:lang w:val="es-ES_tradnl"/>
        </w:rPr>
        <w:t>Guía de garantías en los procesos de contratación”</w:t>
      </w:r>
      <w:r w:rsidRPr="00907E99">
        <w:rPr>
          <w:rFonts w:ascii="Verdana" w:eastAsia="Calibri" w:hAnsi="Verdana" w:cs="Arial"/>
          <w:lang w:val="es-ES_tradnl"/>
        </w:rPr>
        <w:t xml:space="preserve"> expedida por la Agencia Nacional de Contratación Pública – Colombia Compra Eficiente expone los riesgos que deben cubrirse mediante las garantías: </w:t>
      </w:r>
    </w:p>
    <w:p w14:paraId="4A3784EB" w14:textId="77777777" w:rsidR="000D348A" w:rsidRPr="00907E99" w:rsidRDefault="000D348A" w:rsidP="000D348A">
      <w:pPr>
        <w:pStyle w:val="Prrafodelista"/>
        <w:rPr>
          <w:rFonts w:ascii="Verdana" w:eastAsia="Calibri" w:hAnsi="Verdana" w:cs="Arial"/>
          <w:lang w:val="es-ES_tradnl"/>
        </w:rPr>
      </w:pPr>
    </w:p>
    <w:p w14:paraId="0AC4B5E4" w14:textId="77777777" w:rsidR="000D348A" w:rsidRPr="00907E99" w:rsidRDefault="000D348A" w:rsidP="000D348A">
      <w:pPr>
        <w:pStyle w:val="Prrafodelista"/>
        <w:numPr>
          <w:ilvl w:val="0"/>
          <w:numId w:val="18"/>
        </w:numPr>
        <w:spacing w:before="120" w:line="276" w:lineRule="auto"/>
        <w:jc w:val="both"/>
        <w:rPr>
          <w:rFonts w:ascii="Verdana" w:hAnsi="Verdana" w:cs="Arial"/>
          <w:color w:val="000000" w:themeColor="text1"/>
        </w:rPr>
      </w:pPr>
      <w:r w:rsidRPr="00907E99">
        <w:rPr>
          <w:rFonts w:ascii="Verdana" w:eastAsia="Calibri" w:hAnsi="Verdana" w:cs="Arial"/>
          <w:lang w:val="es-ES_tradnl"/>
        </w:rPr>
        <w:t xml:space="preserve">i) </w:t>
      </w:r>
      <w:r w:rsidRPr="00907E99">
        <w:rPr>
          <w:rFonts w:ascii="Verdana" w:eastAsia="Calibri" w:hAnsi="Verdana" w:cs="Arial"/>
          <w:i/>
          <w:iCs/>
          <w:lang w:val="es-ES_tradnl"/>
        </w:rPr>
        <w:t>Selección o etapa previa</w:t>
      </w:r>
      <w:r w:rsidRPr="00907E99">
        <w:rPr>
          <w:rFonts w:ascii="Verdana" w:eastAsia="Calibri" w:hAnsi="Verdana" w:cs="Arial"/>
          <w:lang w:val="es-ES_tradnl"/>
        </w:rPr>
        <w:t xml:space="preserve">: el proponente debe otorgar </w:t>
      </w:r>
      <w:r w:rsidRPr="00907E99">
        <w:rPr>
          <w:rFonts w:ascii="Verdana" w:hAnsi="Verdana" w:cs="Arial"/>
        </w:rPr>
        <w:t xml:space="preserve">garantía de seriedad de la oferta amparando los siguientes eventos: la no ampliación de la vigencia de la garantía cuando el plazo para la adjudicación o suscripción del contrato sea prorrogado, siempre que esa prórroga no exceda de tres (3) meses; retiro de la oferta después de vencido el plazo para su presentación; la no suscripción del contrato sin justa causa por parte del adjudicatario; la no constitución de la garantía de cumplimiento del contrato por parte del adjudicatario. </w:t>
      </w:r>
    </w:p>
    <w:p w14:paraId="3782A706" w14:textId="77777777" w:rsidR="000D348A" w:rsidRPr="00907E99" w:rsidRDefault="000D348A" w:rsidP="000D348A">
      <w:pPr>
        <w:pStyle w:val="Prrafodelista"/>
        <w:rPr>
          <w:rFonts w:ascii="Verdana" w:hAnsi="Verdana" w:cs="Arial"/>
        </w:rPr>
      </w:pPr>
    </w:p>
    <w:p w14:paraId="7EFCE2BC" w14:textId="77777777" w:rsidR="000D348A" w:rsidRPr="00907E99" w:rsidRDefault="000D348A" w:rsidP="000D348A">
      <w:pPr>
        <w:pStyle w:val="Prrafodelista"/>
        <w:numPr>
          <w:ilvl w:val="0"/>
          <w:numId w:val="18"/>
        </w:numPr>
        <w:spacing w:before="120" w:line="276" w:lineRule="auto"/>
        <w:jc w:val="both"/>
        <w:rPr>
          <w:rFonts w:ascii="Verdana" w:hAnsi="Verdana" w:cs="Arial"/>
          <w:color w:val="000000" w:themeColor="text1"/>
        </w:rPr>
      </w:pPr>
      <w:proofErr w:type="spellStart"/>
      <w:r w:rsidRPr="00907E99">
        <w:rPr>
          <w:rFonts w:ascii="Verdana" w:hAnsi="Verdana" w:cs="Arial"/>
        </w:rPr>
        <w:t>ii</w:t>
      </w:r>
      <w:proofErr w:type="spellEnd"/>
      <w:r w:rsidRPr="00907E99">
        <w:rPr>
          <w:rFonts w:ascii="Verdana" w:hAnsi="Verdana" w:cs="Arial"/>
        </w:rPr>
        <w:t xml:space="preserve">) Contratación y ejecución: en esta fase la garantía debe cubrir los riesgos derivados del incumplimiento del contrato. Esta garantía puede cubrir todos o algunos de los siguientes amparos, de acuerdo con las condiciones del contrato: buen manejo y correcta inversión del anticipo, devolución del pago anticipado, cumplimiento del contrato, pago de salarios, prestaciones sociales legales e indemnizaciones laborales. En adición a la garantía de cumplimiento, la Entidad Estatal puede solicitar un seguro de responsabilidad civil extracontractual para aquellos contratos en los que el desarrollo del objeto implica un riesgo de daños a terceros. En cuanto al amparo de pago de obligaciones laborales, el garante está obligado a pagar las obligaciones laborales y salariales que puedan presentarse por el incumplimiento del deber del pago por parte del contratista. </w:t>
      </w:r>
    </w:p>
    <w:p w14:paraId="46933052" w14:textId="77777777" w:rsidR="000D348A" w:rsidRPr="00907E99" w:rsidRDefault="000D348A" w:rsidP="000D348A">
      <w:pPr>
        <w:pStyle w:val="Prrafodelista"/>
        <w:rPr>
          <w:rFonts w:ascii="Verdana" w:hAnsi="Verdana" w:cs="Arial"/>
        </w:rPr>
      </w:pPr>
    </w:p>
    <w:p w14:paraId="09B0A482" w14:textId="3163BC71" w:rsidR="006C76A5" w:rsidRPr="00907E99" w:rsidRDefault="000D348A" w:rsidP="006C76A5">
      <w:pPr>
        <w:pStyle w:val="Prrafodelista"/>
        <w:numPr>
          <w:ilvl w:val="0"/>
          <w:numId w:val="18"/>
        </w:numPr>
        <w:spacing w:before="120" w:line="276" w:lineRule="auto"/>
        <w:jc w:val="both"/>
        <w:rPr>
          <w:rFonts w:ascii="Verdana" w:hAnsi="Verdana" w:cs="Arial"/>
          <w:color w:val="000000" w:themeColor="text1"/>
        </w:rPr>
      </w:pPr>
      <w:proofErr w:type="spellStart"/>
      <w:r w:rsidRPr="00907E99">
        <w:rPr>
          <w:rFonts w:ascii="Verdana" w:hAnsi="Verdana" w:cs="Arial"/>
        </w:rPr>
        <w:t>iii</w:t>
      </w:r>
      <w:proofErr w:type="spellEnd"/>
      <w:r w:rsidRPr="00907E99">
        <w:rPr>
          <w:rFonts w:ascii="Verdana" w:hAnsi="Verdana" w:cs="Arial"/>
        </w:rPr>
        <w:t xml:space="preserve">) Garantías posteriores a la ejecución: cubren los riesgos que se presenten con posterioridad a la terminación del contrato y sus amparos </w:t>
      </w:r>
      <w:r w:rsidRPr="00907E99">
        <w:rPr>
          <w:rFonts w:ascii="Verdana" w:hAnsi="Verdana" w:cs="Arial"/>
        </w:rPr>
        <w:lastRenderedPageBreak/>
        <w:t>pueden ser: estabilidad y calidad de la obra; calidad del servicio; y calidad y correcto funcionamiento de los bienes</w:t>
      </w:r>
      <w:r w:rsidRPr="00907E99">
        <w:rPr>
          <w:rStyle w:val="Refdenotaalpie"/>
          <w:rFonts w:ascii="Verdana" w:hAnsi="Verdana" w:cs="Arial"/>
        </w:rPr>
        <w:footnoteReference w:id="5"/>
      </w:r>
      <w:r w:rsidRPr="00907E99">
        <w:rPr>
          <w:rFonts w:ascii="Verdana" w:hAnsi="Verdana" w:cs="Arial"/>
        </w:rPr>
        <w:t>.</w:t>
      </w:r>
      <w:r w:rsidR="006C76A5" w:rsidRPr="00907E99">
        <w:rPr>
          <w:rFonts w:ascii="Verdana" w:hAnsi="Verdana" w:cs="Arial"/>
        </w:rPr>
        <w:t xml:space="preserve"> En cada caso, la obligatoriedad de exigir garantías depende de los tipos contractuales y de las modalidades de selección que deban aplicarse, de acuerdo con el objeto contenido en los procesos de contratación. Asimismo, los amparos que estarán inmersos en cada garantía dependerán de los riesgos que son propios de cada tipo contractual. </w:t>
      </w:r>
    </w:p>
    <w:p w14:paraId="12F20175" w14:textId="77777777" w:rsidR="00D77E9A" w:rsidRPr="00907E99" w:rsidRDefault="00D77E9A" w:rsidP="00D77E9A">
      <w:pPr>
        <w:pStyle w:val="Prrafodelista"/>
        <w:rPr>
          <w:rFonts w:ascii="Verdana" w:hAnsi="Verdana" w:cs="Arial"/>
          <w:color w:val="000000" w:themeColor="text1"/>
        </w:rPr>
      </w:pPr>
    </w:p>
    <w:p w14:paraId="4B8F37AD" w14:textId="77777777" w:rsidR="00DB2CD8" w:rsidRPr="00907E99" w:rsidRDefault="00D77E9A" w:rsidP="00DB2CD8">
      <w:pPr>
        <w:pStyle w:val="Prrafodelista"/>
        <w:numPr>
          <w:ilvl w:val="0"/>
          <w:numId w:val="18"/>
        </w:numPr>
        <w:spacing w:line="276" w:lineRule="auto"/>
        <w:jc w:val="both"/>
        <w:rPr>
          <w:rFonts w:ascii="Verdana" w:hAnsi="Verdana" w:cs="Arial"/>
          <w:bCs/>
          <w:lang w:val="es-ES_tradnl"/>
        </w:rPr>
      </w:pPr>
      <w:r w:rsidRPr="00907E99">
        <w:rPr>
          <w:rFonts w:ascii="Verdana" w:hAnsi="Verdana" w:cs="Arial"/>
          <w:bCs/>
        </w:rPr>
        <w:t>E</w:t>
      </w:r>
      <w:r w:rsidRPr="00907E99">
        <w:rPr>
          <w:rFonts w:ascii="Verdana" w:hAnsi="Verdana" w:cs="Arial"/>
          <w:bCs/>
          <w:lang w:val="es-ES_tradnl"/>
        </w:rPr>
        <w:t xml:space="preserve">n relación con la vigencia de las garantías, </w:t>
      </w:r>
      <w:r w:rsidR="00CC09CB" w:rsidRPr="00907E99">
        <w:rPr>
          <w:rFonts w:ascii="Verdana" w:hAnsi="Verdana" w:cs="Arial"/>
          <w:bCs/>
          <w:lang w:val="es-ES_tradnl"/>
        </w:rPr>
        <w:t>y para dar respuesta al segundo problema jurídico planteado</w:t>
      </w:r>
      <w:r w:rsidR="00194144" w:rsidRPr="00907E99">
        <w:rPr>
          <w:rFonts w:ascii="Verdana" w:hAnsi="Verdana" w:cs="Arial"/>
          <w:bCs/>
          <w:lang w:val="es-ES_tradnl"/>
        </w:rPr>
        <w:t xml:space="preserve">, tratándose del amparo de estabilidad y calidad de la obra, sin perjuicio de la garantía decenal de que trata el artículo 2060 del Código </w:t>
      </w:r>
      <w:r w:rsidR="00BF4A4E" w:rsidRPr="00907E99">
        <w:rPr>
          <w:rFonts w:ascii="Verdana" w:hAnsi="Verdana" w:cs="Arial"/>
          <w:bCs/>
          <w:lang w:val="es-ES_tradnl"/>
        </w:rPr>
        <w:t>Civil,</w:t>
      </w:r>
      <w:r w:rsidR="00194144" w:rsidRPr="00907E99">
        <w:rPr>
          <w:rFonts w:ascii="Verdana" w:hAnsi="Verdana" w:cs="Arial"/>
          <w:bCs/>
          <w:lang w:val="es-ES_tradnl"/>
        </w:rPr>
        <w:t xml:space="preserve"> el numeral 5 del artículo </w:t>
      </w:r>
      <w:r w:rsidR="00AD36FE" w:rsidRPr="00907E99">
        <w:rPr>
          <w:rFonts w:ascii="Verdana" w:hAnsi="Verdana" w:cs="Arial"/>
          <w:bCs/>
          <w:lang w:val="es-ES_tradnl"/>
        </w:rPr>
        <w:t xml:space="preserve">2.2.1.2.3.1.7 </w:t>
      </w:r>
      <w:r w:rsidR="00194144" w:rsidRPr="00907E99">
        <w:rPr>
          <w:rFonts w:ascii="Verdana" w:hAnsi="Verdana" w:cs="Arial"/>
          <w:bCs/>
          <w:lang w:val="es-ES_tradnl"/>
        </w:rPr>
        <w:t xml:space="preserve">del Decreto 1082 de 2015 dispone que </w:t>
      </w:r>
      <w:r w:rsidR="00BF4A4E" w:rsidRPr="00907E99">
        <w:rPr>
          <w:rFonts w:ascii="Verdana" w:hAnsi="Verdana" w:cs="Arial"/>
          <w:bCs/>
          <w:lang w:val="es-ES_tradnl"/>
        </w:rPr>
        <w:t>“</w:t>
      </w:r>
      <w:r w:rsidR="00194144" w:rsidRPr="00907E99">
        <w:rPr>
          <w:rFonts w:ascii="Verdana" w:hAnsi="Verdana" w:cs="Arial"/>
          <w:bCs/>
          <w:lang w:val="es-ES_tradnl"/>
        </w:rPr>
        <w:t>[…] cubre a la Entidad Estatal de los perjuicios ocasionados por cualquier tipo de daño o deterioro, imputable al contratista, sufrido por la obra entregada a satisfacción</w:t>
      </w:r>
      <w:r w:rsidR="00BF4A4E" w:rsidRPr="00907E99">
        <w:rPr>
          <w:rFonts w:ascii="Verdana" w:hAnsi="Verdana" w:cs="Arial"/>
          <w:bCs/>
          <w:lang w:val="es-ES_tradnl"/>
        </w:rPr>
        <w:t>”</w:t>
      </w:r>
      <w:r w:rsidR="00194144" w:rsidRPr="00907E99">
        <w:rPr>
          <w:rFonts w:ascii="Verdana" w:hAnsi="Verdana" w:cs="Arial"/>
          <w:bCs/>
          <w:lang w:val="es-ES_tradnl"/>
        </w:rPr>
        <w:t>.</w:t>
      </w:r>
    </w:p>
    <w:p w14:paraId="5057D64B" w14:textId="77777777" w:rsidR="00DB2CD8" w:rsidRPr="00907E99" w:rsidRDefault="00DB2CD8" w:rsidP="00DB2CD8">
      <w:pPr>
        <w:pStyle w:val="Prrafodelista"/>
        <w:rPr>
          <w:rFonts w:ascii="Verdana" w:hAnsi="Verdana" w:cs="Arial"/>
          <w:bCs/>
          <w:lang w:val="es-ES_tradnl"/>
        </w:rPr>
      </w:pPr>
    </w:p>
    <w:p w14:paraId="38761508" w14:textId="77777777" w:rsidR="00C55C28" w:rsidRPr="00907E99" w:rsidRDefault="00DB2CD8" w:rsidP="00C55C28">
      <w:pPr>
        <w:pStyle w:val="Prrafodelista"/>
        <w:numPr>
          <w:ilvl w:val="0"/>
          <w:numId w:val="18"/>
        </w:numPr>
        <w:spacing w:line="276" w:lineRule="auto"/>
        <w:jc w:val="both"/>
        <w:rPr>
          <w:rFonts w:ascii="Verdana" w:hAnsi="Verdana" w:cs="Arial"/>
          <w:bCs/>
          <w:lang w:val="es-ES_tradnl"/>
        </w:rPr>
      </w:pPr>
      <w:r w:rsidRPr="00907E99">
        <w:rPr>
          <w:rFonts w:ascii="Verdana" w:hAnsi="Verdana" w:cs="Arial"/>
          <w:bCs/>
          <w:lang w:val="es-ES_tradnl"/>
        </w:rPr>
        <w:t>Por otra parte, el artículo 2.2.1.2.3.1.14 prescribe que “Esta garantía debe estar vigente por un término no inferior a cinco (5) años contados a partir de la fecha en la cual la Entidad Estatal recibe a satisfacción la obra. La Entidad Estatal debe determinar el valor de esta garantía en los pliegos de condiciones de la Contratación, de acuerdo con el objeto, el valor, la naturaleza y las obligaciones contenidas en el contrato”, agregando que “La Entidad Estatal puede aceptar que esta garantía tenga una vigencia inferior a cinco (5) años previa justificación técnica de un experto en la materia objeto del contrato”. A tales efectos, la norma establece que “Para establecer la complejidad técnica del proyecto, y por ende la vigencia de la garantía de estabilidad y calidad de la obra por un término inferior a los cinco (5) años, la justificación técnica del experto en la materia objeto del contrato tendrá en consideración variables como las siguientes: el tipo de actividades que serán realizadas, la experticia técnica requerida, el alcance físico de las obras, entre otros, pero sin limitarse únicamente a la cuantía del proceso”.</w:t>
      </w:r>
    </w:p>
    <w:p w14:paraId="2C342496" w14:textId="77777777" w:rsidR="001317F2" w:rsidRPr="00907E99" w:rsidRDefault="001317F2" w:rsidP="00C55C28">
      <w:pPr>
        <w:pStyle w:val="Prrafodelista"/>
        <w:spacing w:line="276" w:lineRule="auto"/>
        <w:jc w:val="both"/>
        <w:rPr>
          <w:rFonts w:ascii="Verdana" w:hAnsi="Verdana" w:cs="Arial"/>
          <w:bCs/>
          <w:lang w:val="es-ES_tradnl"/>
        </w:rPr>
      </w:pPr>
    </w:p>
    <w:p w14:paraId="703CA40C" w14:textId="77777777" w:rsidR="001317F2" w:rsidRPr="00907E99" w:rsidRDefault="00C55C28" w:rsidP="001317F2">
      <w:pPr>
        <w:pStyle w:val="Prrafodelista"/>
        <w:numPr>
          <w:ilvl w:val="0"/>
          <w:numId w:val="18"/>
        </w:numPr>
        <w:spacing w:line="276" w:lineRule="auto"/>
        <w:jc w:val="both"/>
        <w:rPr>
          <w:rFonts w:ascii="Verdana" w:hAnsi="Verdana" w:cs="Arial"/>
          <w:bCs/>
          <w:lang w:val="es-ES_tradnl"/>
        </w:rPr>
      </w:pPr>
      <w:r w:rsidRPr="00907E99">
        <w:rPr>
          <w:rFonts w:ascii="Verdana" w:eastAsia="Calibri" w:hAnsi="Verdana" w:cs="Arial"/>
          <w:lang w:val="es-ES_tradnl"/>
        </w:rPr>
        <w:t xml:space="preserve">De esta manera, la garantía cubre la ocurrencia de vicios, mala calidad, defectos, deficiencias técnicas o fallas que la Administración no detecte al momento de recibir la obra o que descubre con posterioridad a la </w:t>
      </w:r>
      <w:r w:rsidRPr="00907E99">
        <w:rPr>
          <w:rFonts w:ascii="Verdana" w:eastAsia="Calibri" w:hAnsi="Verdana" w:cs="Arial"/>
          <w:lang w:val="es-ES_tradnl"/>
        </w:rPr>
        <w:lastRenderedPageBreak/>
        <w:t>finalización del contrato, afectando el cumplimiento de los objetivos que animaron la suscripción.</w:t>
      </w:r>
      <w:r w:rsidRPr="00907E99">
        <w:rPr>
          <w:rFonts w:ascii="Verdana" w:hAnsi="Verdana" w:cs="Arial"/>
          <w:bCs/>
          <w:lang w:val="es-ES_tradnl" w:eastAsia="es-MX"/>
        </w:rPr>
        <w:t xml:space="preserve"> </w:t>
      </w:r>
      <w:r w:rsidRPr="00907E99">
        <w:rPr>
          <w:rFonts w:ascii="Verdana" w:hAnsi="Verdana" w:cs="Arial"/>
        </w:rPr>
        <w:t>Al respecto, la jurisprudencia de la sección tercera del Consejo de Estado ha manifestado que el recibo de la obra no implica la aceptación de su estabilidad y tampoco exonera de cumplir con la obligación de saneamiento por los vicios que son inherentes a la construcción de la obra, y el contratista está llamado a responder por ello.</w:t>
      </w:r>
    </w:p>
    <w:p w14:paraId="616E4BF4" w14:textId="77777777" w:rsidR="001317F2" w:rsidRPr="00907E99" w:rsidRDefault="001317F2" w:rsidP="001317F2">
      <w:pPr>
        <w:pStyle w:val="Prrafodelista"/>
        <w:rPr>
          <w:rFonts w:ascii="Verdana" w:hAnsi="Verdana" w:cs="Arial"/>
          <w:iCs/>
        </w:rPr>
      </w:pPr>
    </w:p>
    <w:p w14:paraId="38478DFF" w14:textId="77777777" w:rsidR="001D1517" w:rsidRPr="00907E99" w:rsidRDefault="001317F2" w:rsidP="007F2537">
      <w:pPr>
        <w:pStyle w:val="Prrafodelista"/>
        <w:numPr>
          <w:ilvl w:val="0"/>
          <w:numId w:val="18"/>
        </w:numPr>
        <w:spacing w:line="276" w:lineRule="auto"/>
        <w:jc w:val="both"/>
        <w:rPr>
          <w:rFonts w:ascii="Verdana" w:hAnsi="Verdana" w:cs="Arial"/>
          <w:bCs/>
          <w:lang w:val="es-ES_tradnl"/>
        </w:rPr>
      </w:pPr>
      <w:r w:rsidRPr="00907E99">
        <w:rPr>
          <w:rFonts w:ascii="Verdana" w:hAnsi="Verdana" w:cs="Arial"/>
          <w:iCs/>
        </w:rPr>
        <w:t xml:space="preserve">El Consejo de Estado ha delimitado la finalidad del amparo de estabilidad de la obra para indemnizar los perjuicios causados a la entidad contratante en aquellos eventos en los que la obra ejecutada amenace ruina o deterioro a consecuencia de vicio de construcción, o del suelo, o de los materiales que el contratista ha debido conocer </w:t>
      </w:r>
      <w:proofErr w:type="gramStart"/>
      <w:r w:rsidRPr="00907E99">
        <w:rPr>
          <w:rFonts w:ascii="Verdana" w:hAnsi="Verdana" w:cs="Arial"/>
          <w:iCs/>
        </w:rPr>
        <w:t>en razón de</w:t>
      </w:r>
      <w:proofErr w:type="gramEnd"/>
      <w:r w:rsidRPr="00907E99">
        <w:rPr>
          <w:rFonts w:ascii="Verdana" w:hAnsi="Verdana" w:cs="Arial"/>
          <w:iCs/>
        </w:rPr>
        <w:t xml:space="preserve"> su profesión u oficio. Lo anterior se reafirma a partir de las exigencias que el Código Civil ha establecido para que resulte procedente predicar la responsabilidad contractual del constructor, contenidas en el numeral tercero del artículo 2060. </w:t>
      </w:r>
    </w:p>
    <w:p w14:paraId="2C1F53BE" w14:textId="77777777" w:rsidR="001D1517" w:rsidRPr="00907E99" w:rsidRDefault="001D1517" w:rsidP="001D1517">
      <w:pPr>
        <w:pStyle w:val="Prrafodelista"/>
        <w:rPr>
          <w:rFonts w:ascii="Verdana" w:eastAsia="Times New Roman" w:hAnsi="Verdana" w:cs="Arial"/>
          <w:iCs/>
          <w:lang w:eastAsia="es-ES"/>
        </w:rPr>
      </w:pPr>
    </w:p>
    <w:p w14:paraId="5846A8F4" w14:textId="402A77ED" w:rsidR="007F2537" w:rsidRPr="00907E99" w:rsidRDefault="001317F2" w:rsidP="007F2537">
      <w:pPr>
        <w:pStyle w:val="Prrafodelista"/>
        <w:numPr>
          <w:ilvl w:val="0"/>
          <w:numId w:val="18"/>
        </w:numPr>
        <w:spacing w:line="276" w:lineRule="auto"/>
        <w:jc w:val="both"/>
        <w:rPr>
          <w:rFonts w:ascii="Verdana" w:hAnsi="Verdana" w:cs="Arial"/>
          <w:bCs/>
          <w:lang w:val="es-ES_tradnl"/>
        </w:rPr>
      </w:pPr>
      <w:r w:rsidRPr="00907E99">
        <w:rPr>
          <w:rFonts w:ascii="Verdana" w:eastAsia="Times New Roman" w:hAnsi="Verdana" w:cs="Arial"/>
          <w:iCs/>
          <w:lang w:eastAsia="es-ES"/>
        </w:rPr>
        <w:t xml:space="preserve">Así las cosas, si bien la </w:t>
      </w:r>
      <w:r w:rsidR="000E709D" w:rsidRPr="00907E99">
        <w:rPr>
          <w:rFonts w:ascii="Verdana" w:eastAsia="Times New Roman" w:hAnsi="Verdana" w:cs="Arial"/>
          <w:iCs/>
          <w:lang w:eastAsia="es-ES"/>
        </w:rPr>
        <w:t>E</w:t>
      </w:r>
      <w:r w:rsidRPr="00907E99">
        <w:rPr>
          <w:rFonts w:ascii="Verdana" w:eastAsia="Times New Roman" w:hAnsi="Verdana" w:cs="Arial"/>
          <w:iCs/>
          <w:lang w:eastAsia="es-ES"/>
        </w:rPr>
        <w:t xml:space="preserve">ntidad </w:t>
      </w:r>
      <w:r w:rsidR="000E709D" w:rsidRPr="00907E99">
        <w:rPr>
          <w:rFonts w:ascii="Verdana" w:eastAsia="Times New Roman" w:hAnsi="Verdana" w:cs="Arial"/>
          <w:iCs/>
          <w:lang w:eastAsia="es-ES"/>
        </w:rPr>
        <w:t>E</w:t>
      </w:r>
      <w:r w:rsidRPr="00907E99">
        <w:rPr>
          <w:rFonts w:ascii="Verdana" w:eastAsia="Times New Roman" w:hAnsi="Verdana" w:cs="Arial"/>
          <w:iCs/>
          <w:lang w:eastAsia="es-ES"/>
        </w:rPr>
        <w:t>statal tiene la potestad de declarar el siniestro mediante acto administrativo, no por ello se le exime de demostrar el defecto de construcción y su atribución al contratista, en la medida en que no opera presunción alguna que desplace el deber de acreditar los elementos de la responsabilidad contractual. Patrocinar una presunción sobre este aspecto sería tanto como presumir la imputación por el solo estado de la vía, lo cual no resulta procedente en tanto es preciso demostrar que la afectación de la vía o las fallas presentadas en la misma son consecuencia de un defecto en la construcción, un vicio del suelo que el personal del contratista debiera conocer o vicios en los materiales suministrados, tal como se desprende de la normativa en cita.</w:t>
      </w:r>
      <w:r w:rsidRPr="00907E99">
        <w:rPr>
          <w:rStyle w:val="Refdenotaalpie"/>
          <w:rFonts w:ascii="Verdana" w:eastAsia="Times New Roman" w:hAnsi="Verdana" w:cs="Arial"/>
          <w:iCs/>
          <w:lang w:eastAsia="es-ES"/>
        </w:rPr>
        <w:footnoteReference w:id="6"/>
      </w:r>
    </w:p>
    <w:p w14:paraId="24929BDF" w14:textId="77777777" w:rsidR="007F2537" w:rsidRPr="00907E99" w:rsidRDefault="007F2537" w:rsidP="007F2537">
      <w:pPr>
        <w:pStyle w:val="Prrafodelista"/>
        <w:spacing w:line="276" w:lineRule="auto"/>
        <w:jc w:val="both"/>
        <w:rPr>
          <w:rFonts w:ascii="Verdana" w:hAnsi="Verdana" w:cs="Arial"/>
          <w:bCs/>
          <w:lang w:val="es-ES_tradnl"/>
        </w:rPr>
      </w:pPr>
    </w:p>
    <w:p w14:paraId="6F8586D9" w14:textId="77777777" w:rsidR="00D32656" w:rsidRPr="00907E99" w:rsidRDefault="007F2537" w:rsidP="00D32656">
      <w:pPr>
        <w:pStyle w:val="Prrafodelista"/>
        <w:numPr>
          <w:ilvl w:val="0"/>
          <w:numId w:val="18"/>
        </w:numPr>
        <w:spacing w:line="276" w:lineRule="auto"/>
        <w:jc w:val="both"/>
        <w:rPr>
          <w:rFonts w:ascii="Verdana" w:hAnsi="Verdana" w:cs="Arial"/>
          <w:bCs/>
          <w:lang w:val="es-ES_tradnl"/>
        </w:rPr>
      </w:pPr>
      <w:r w:rsidRPr="00907E99">
        <w:rPr>
          <w:rFonts w:ascii="Verdana" w:eastAsia="Times New Roman" w:hAnsi="Verdana" w:cs="Arial"/>
          <w:iCs/>
          <w:lang w:eastAsia="es-ES"/>
        </w:rPr>
        <w:t xml:space="preserve">Entonces, se ha sostenido que el amparo de la estabilidad de la obra tiene por objeto </w:t>
      </w:r>
      <w:r w:rsidRPr="00907E99">
        <w:rPr>
          <w:rFonts w:ascii="Verdana" w:eastAsia="Calibri" w:hAnsi="Verdana" w:cs="Arial"/>
          <w:lang w:val="es-ES_tradnl"/>
        </w:rPr>
        <w:t>“</w:t>
      </w:r>
      <w:r w:rsidRPr="00907E99">
        <w:rPr>
          <w:rFonts w:ascii="Verdana" w:hAnsi="Verdana" w:cs="Arial"/>
        </w:rPr>
        <w:t xml:space="preserve">la cobertura de los riegos que soporta la entidad contratante en aquellos eventos en los que, con posterioridad a la terminación y entrega a satisfacción de la construcción o edificación, se presenten </w:t>
      </w:r>
      <w:r w:rsidRPr="00907E99">
        <w:rPr>
          <w:rFonts w:ascii="Verdana" w:hAnsi="Verdana" w:cs="Arial"/>
        </w:rPr>
        <w:lastRenderedPageBreak/>
        <w:t>graves deterioros que por causa de un vicio oculto no se podían advertir con anterioridad, e impidan su normal utilización</w:t>
      </w:r>
      <w:r w:rsidRPr="00907E99">
        <w:rPr>
          <w:rFonts w:ascii="Verdana" w:eastAsia="Calibri" w:hAnsi="Verdana" w:cs="Arial"/>
          <w:lang w:val="es-ES_tradnl"/>
        </w:rPr>
        <w:t>”</w:t>
      </w:r>
      <w:r w:rsidRPr="00907E99">
        <w:rPr>
          <w:rStyle w:val="Refdenotaalpie"/>
          <w:rFonts w:ascii="Verdana" w:eastAsia="Calibri" w:hAnsi="Verdana" w:cs="Arial"/>
          <w:lang w:val="es-ES_tradnl"/>
        </w:rPr>
        <w:footnoteReference w:id="7"/>
      </w:r>
    </w:p>
    <w:p w14:paraId="70931F8D" w14:textId="77777777" w:rsidR="00D32656" w:rsidRPr="00907E99" w:rsidRDefault="00D32656" w:rsidP="00D32656">
      <w:pPr>
        <w:pStyle w:val="Prrafodelista"/>
        <w:rPr>
          <w:rFonts w:ascii="Verdana" w:eastAsia="Calibri" w:hAnsi="Verdana" w:cs="Arial"/>
          <w:lang w:val="es-ES_tradnl"/>
        </w:rPr>
      </w:pPr>
    </w:p>
    <w:p w14:paraId="4DA7635F" w14:textId="081640F6" w:rsidR="00A80C84" w:rsidRPr="00907E99" w:rsidRDefault="00D32656" w:rsidP="00CD7E36">
      <w:pPr>
        <w:pStyle w:val="Prrafodelista"/>
        <w:numPr>
          <w:ilvl w:val="0"/>
          <w:numId w:val="18"/>
        </w:numPr>
        <w:spacing w:line="276" w:lineRule="auto"/>
        <w:jc w:val="both"/>
        <w:rPr>
          <w:rFonts w:ascii="Verdana" w:hAnsi="Verdana" w:cs="Arial"/>
          <w:bCs/>
          <w:lang w:val="es-ES_tradnl"/>
        </w:rPr>
      </w:pPr>
      <w:r w:rsidRPr="00907E99">
        <w:rPr>
          <w:rFonts w:ascii="Verdana" w:eastAsia="Calibri" w:hAnsi="Verdana" w:cs="Arial"/>
          <w:lang w:val="es-ES_tradnl"/>
        </w:rPr>
        <w:t>Finalmente, es preciso mencionar que la jurisprudencia ha diferenciado la obligación de garantizar el contrato de obra pública mediante garantías, con la responsabilidad exigible al contratista en virtud del artículo 2060 del Código Civil, en tanto que las obligaciones de estabilidad de la obra tienen origen en el contrato y esto no lo libera de las obligaciones garantizadas por el término señalado en el Código Civil para edificaciones</w:t>
      </w:r>
      <w:r w:rsidR="00674250" w:rsidRPr="00907E99">
        <w:rPr>
          <w:rFonts w:ascii="Verdana" w:eastAsia="Calibri" w:hAnsi="Verdana" w:cs="Arial"/>
          <w:lang w:val="es-ES_tradnl"/>
        </w:rPr>
        <w:t>.</w:t>
      </w:r>
    </w:p>
    <w:p w14:paraId="5BFC5A86" w14:textId="77777777" w:rsidR="00CD7E36" w:rsidRPr="00907E99" w:rsidRDefault="00CD7E36" w:rsidP="00CD7E36">
      <w:pPr>
        <w:spacing w:line="276" w:lineRule="auto"/>
        <w:jc w:val="both"/>
        <w:rPr>
          <w:rFonts w:ascii="Verdana" w:hAnsi="Verdana" w:cs="Arial"/>
          <w:bCs/>
          <w:lang w:val="es-ES_tradnl"/>
        </w:rPr>
      </w:pPr>
    </w:p>
    <w:p w14:paraId="59558DAD" w14:textId="77777777" w:rsidR="00466974" w:rsidRPr="00907E99" w:rsidRDefault="00466974" w:rsidP="0046697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907E99">
        <w:rPr>
          <w:rFonts w:ascii="Verdana" w:eastAsia="Century Gothic" w:hAnsi="Verdana" w:cs="Century Gothic"/>
          <w:b/>
          <w:bCs/>
        </w:rPr>
        <w:t>Referencias normativas, jurisprudenciales y otras fuentes:</w:t>
      </w:r>
    </w:p>
    <w:p w14:paraId="42291411" w14:textId="77777777" w:rsidR="00466974" w:rsidRPr="00907E99" w:rsidRDefault="00466974" w:rsidP="00466974">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466974" w:rsidRPr="00907E99" w14:paraId="36E1F1AB" w14:textId="77777777" w:rsidTr="00023E7D">
        <w:trPr>
          <w:trHeight w:val="870"/>
        </w:trPr>
        <w:tc>
          <w:tcPr>
            <w:tcW w:w="8647" w:type="dxa"/>
          </w:tcPr>
          <w:p w14:paraId="2088961D" w14:textId="55E53E67" w:rsidR="008A3F39" w:rsidRPr="00907E99" w:rsidRDefault="008A3F39" w:rsidP="00466974">
            <w:pPr>
              <w:pStyle w:val="Prrafodelista"/>
              <w:widowControl w:val="0"/>
              <w:numPr>
                <w:ilvl w:val="0"/>
                <w:numId w:val="22"/>
              </w:numPr>
              <w:tabs>
                <w:tab w:val="left" w:pos="8419"/>
              </w:tabs>
              <w:autoSpaceDE w:val="0"/>
              <w:autoSpaceDN w:val="0"/>
              <w:spacing w:after="120" w:line="276" w:lineRule="auto"/>
              <w:contextualSpacing w:val="0"/>
              <w:jc w:val="both"/>
              <w:rPr>
                <w:rFonts w:ascii="Verdana" w:hAnsi="Verdana" w:cs="Arial"/>
              </w:rPr>
            </w:pPr>
            <w:r w:rsidRPr="00907E99">
              <w:rPr>
                <w:rFonts w:ascii="Verdana" w:hAnsi="Verdana" w:cs="Arial"/>
              </w:rPr>
              <w:t>Ley 1150 de 2007, Artículo 7.</w:t>
            </w:r>
          </w:p>
          <w:p w14:paraId="3CF3B16F" w14:textId="02D689C5" w:rsidR="00466974" w:rsidRPr="00907E99" w:rsidRDefault="00446C7D" w:rsidP="00466974">
            <w:pPr>
              <w:pStyle w:val="Prrafodelista"/>
              <w:widowControl w:val="0"/>
              <w:numPr>
                <w:ilvl w:val="0"/>
                <w:numId w:val="22"/>
              </w:numPr>
              <w:tabs>
                <w:tab w:val="left" w:pos="8419"/>
              </w:tabs>
              <w:autoSpaceDE w:val="0"/>
              <w:autoSpaceDN w:val="0"/>
              <w:spacing w:after="120" w:line="276" w:lineRule="auto"/>
              <w:contextualSpacing w:val="0"/>
              <w:jc w:val="both"/>
              <w:rPr>
                <w:rFonts w:ascii="Verdana" w:hAnsi="Verdana" w:cs="Arial"/>
              </w:rPr>
            </w:pPr>
            <w:r w:rsidRPr="00907E99">
              <w:rPr>
                <w:rFonts w:ascii="Verdana" w:eastAsia="Arial" w:hAnsi="Verdana" w:cs="Arial"/>
                <w:color w:val="000000"/>
              </w:rPr>
              <w:t>Decreto 1082 de 2015</w:t>
            </w:r>
            <w:r w:rsidR="00466974" w:rsidRPr="00907E99">
              <w:rPr>
                <w:rFonts w:ascii="Verdana" w:hAnsi="Verdana" w:cs="Arial"/>
                <w:color w:val="000000" w:themeColor="text1"/>
                <w:lang w:val="es-ES_tradnl"/>
              </w:rPr>
              <w:t xml:space="preserve">, </w:t>
            </w:r>
            <w:r w:rsidR="0053535A" w:rsidRPr="00907E99">
              <w:rPr>
                <w:rFonts w:ascii="Verdana" w:hAnsi="Verdana" w:cs="Arial"/>
                <w:color w:val="000000" w:themeColor="text1"/>
                <w:lang w:val="es-ES_tradnl"/>
              </w:rPr>
              <w:t>Artículo 2.2.1.2.3.1.7. numeral 5</w:t>
            </w:r>
            <w:r w:rsidR="009F339B">
              <w:rPr>
                <w:rFonts w:ascii="Verdana" w:hAnsi="Verdana" w:cs="Arial"/>
                <w:color w:val="000000" w:themeColor="text1"/>
                <w:lang w:val="es-ES_tradnl"/>
              </w:rPr>
              <w:t xml:space="preserve"> y </w:t>
            </w:r>
            <w:r w:rsidR="0053535A" w:rsidRPr="00907E99">
              <w:rPr>
                <w:rFonts w:ascii="Verdana" w:hAnsi="Verdana" w:cs="Arial"/>
                <w:color w:val="000000" w:themeColor="text1"/>
                <w:lang w:val="es-ES_tradnl"/>
              </w:rPr>
              <w:t>Artículo</w:t>
            </w:r>
            <w:r w:rsidR="000C5850" w:rsidRPr="00907E99">
              <w:rPr>
                <w:rFonts w:ascii="Verdana" w:hAnsi="Verdana" w:cs="Arial"/>
                <w:color w:val="000000" w:themeColor="text1"/>
                <w:lang w:val="es-ES_tradnl"/>
              </w:rPr>
              <w:t>s</w:t>
            </w:r>
            <w:r w:rsidR="00810E70" w:rsidRPr="00907E99">
              <w:rPr>
                <w:rFonts w:ascii="Verdana" w:hAnsi="Verdana" w:cs="Arial"/>
                <w:color w:val="000000" w:themeColor="text1"/>
                <w:lang w:val="es-ES_tradnl"/>
              </w:rPr>
              <w:t xml:space="preserve"> 2.2.1.2.3.1.14</w:t>
            </w:r>
            <w:r w:rsidR="000C5850" w:rsidRPr="00907E99">
              <w:rPr>
                <w:rFonts w:ascii="Verdana" w:hAnsi="Verdana" w:cs="Arial"/>
                <w:color w:val="000000" w:themeColor="text1"/>
                <w:lang w:val="es-ES_tradnl"/>
              </w:rPr>
              <w:t>, 2.2.1.2.3.1.1. y 2.2.1.2.3.1.19.</w:t>
            </w:r>
          </w:p>
          <w:p w14:paraId="186F5365" w14:textId="14A38828" w:rsidR="00810E70" w:rsidRPr="00907E99" w:rsidRDefault="00810E70" w:rsidP="00466974">
            <w:pPr>
              <w:pStyle w:val="Prrafodelista"/>
              <w:widowControl w:val="0"/>
              <w:numPr>
                <w:ilvl w:val="0"/>
                <w:numId w:val="22"/>
              </w:numPr>
              <w:tabs>
                <w:tab w:val="left" w:pos="8419"/>
              </w:tabs>
              <w:autoSpaceDE w:val="0"/>
              <w:autoSpaceDN w:val="0"/>
              <w:spacing w:after="120" w:line="276" w:lineRule="auto"/>
              <w:contextualSpacing w:val="0"/>
              <w:jc w:val="both"/>
              <w:rPr>
                <w:rFonts w:ascii="Verdana" w:hAnsi="Verdana" w:cs="Arial"/>
              </w:rPr>
            </w:pPr>
            <w:r w:rsidRPr="00907E99">
              <w:rPr>
                <w:rFonts w:ascii="Verdana" w:hAnsi="Verdana" w:cs="Arial"/>
                <w:bCs/>
                <w:lang w:val="es-ES_tradnl"/>
              </w:rPr>
              <w:t>Código Civil</w:t>
            </w:r>
            <w:r w:rsidR="005D5376" w:rsidRPr="00907E99">
              <w:rPr>
                <w:rFonts w:ascii="Verdana" w:hAnsi="Verdana" w:cs="Arial"/>
                <w:bCs/>
                <w:lang w:val="es-ES_tradnl"/>
              </w:rPr>
              <w:t>, Artículo 2060.</w:t>
            </w:r>
          </w:p>
          <w:p w14:paraId="60DD54C0" w14:textId="1E81EA90" w:rsidR="000C5850" w:rsidRPr="00907E99" w:rsidRDefault="001D1517" w:rsidP="00466974">
            <w:pPr>
              <w:pStyle w:val="Prrafodelista"/>
              <w:widowControl w:val="0"/>
              <w:numPr>
                <w:ilvl w:val="0"/>
                <w:numId w:val="22"/>
              </w:numPr>
              <w:tabs>
                <w:tab w:val="left" w:pos="8419"/>
              </w:tabs>
              <w:autoSpaceDE w:val="0"/>
              <w:autoSpaceDN w:val="0"/>
              <w:spacing w:after="120" w:line="276" w:lineRule="auto"/>
              <w:contextualSpacing w:val="0"/>
              <w:jc w:val="both"/>
              <w:rPr>
                <w:rFonts w:ascii="Verdana" w:hAnsi="Verdana" w:cs="Arial"/>
              </w:rPr>
            </w:pPr>
            <w:r w:rsidRPr="00907E99">
              <w:rPr>
                <w:rFonts w:ascii="Verdana" w:hAnsi="Verdana" w:cs="Arial"/>
              </w:rPr>
              <w:t xml:space="preserve">Guía de garantías en Procesos de Contratación. Disponible en: </w:t>
            </w:r>
            <w:hyperlink r:id="rId12" w:history="1">
              <w:r w:rsidRPr="00907E99">
                <w:rPr>
                  <w:rStyle w:val="Hipervnculo"/>
                  <w:rFonts w:ascii="Verdana" w:hAnsi="Verdana" w:cs="Arial"/>
                </w:rPr>
                <w:t>https://colombiacompra.gov.co/sites/cce_public/files/cce_documents/cce_guia_garantias.pdf</w:t>
              </w:r>
            </w:hyperlink>
            <w:r w:rsidRPr="00907E99">
              <w:rPr>
                <w:rFonts w:ascii="Verdana" w:hAnsi="Verdana" w:cs="Arial"/>
              </w:rPr>
              <w:t xml:space="preserve"> </w:t>
            </w:r>
          </w:p>
          <w:p w14:paraId="7B91B1C0" w14:textId="77777777" w:rsidR="00466974" w:rsidRPr="00907E99" w:rsidRDefault="00466974" w:rsidP="00466974">
            <w:pPr>
              <w:pStyle w:val="Prrafodelista"/>
              <w:widowControl w:val="0"/>
              <w:numPr>
                <w:ilvl w:val="0"/>
                <w:numId w:val="22"/>
              </w:numPr>
              <w:tabs>
                <w:tab w:val="left" w:pos="8419"/>
              </w:tabs>
              <w:autoSpaceDE w:val="0"/>
              <w:autoSpaceDN w:val="0"/>
              <w:spacing w:after="120" w:line="276" w:lineRule="auto"/>
              <w:contextualSpacing w:val="0"/>
              <w:jc w:val="both"/>
              <w:rPr>
                <w:rFonts w:ascii="Verdana" w:hAnsi="Verdana" w:cs="Arial"/>
              </w:rPr>
            </w:pPr>
            <w:r w:rsidRPr="00907E99">
              <w:rPr>
                <w:rFonts w:ascii="Verdana" w:hAnsi="Verdana" w:cs="Arial"/>
              </w:rPr>
              <w:t xml:space="preserve">Circular Externa Única del 27 de diciembre de 2023. Disponible en: </w:t>
            </w:r>
            <w:hyperlink r:id="rId13" w:history="1">
              <w:r w:rsidRPr="00907E99">
                <w:rPr>
                  <w:rStyle w:val="Hipervnculo"/>
                  <w:rFonts w:ascii="Verdana" w:hAnsi="Verdana" w:cs="Arial"/>
                </w:rPr>
                <w:t>https://www.colombiacompra.gov.co/sites/cce_public/files/cce_circulares/circular_externa_unica_version_3_vf49.pdf</w:t>
              </w:r>
            </w:hyperlink>
            <w:r w:rsidRPr="00907E99">
              <w:rPr>
                <w:rFonts w:ascii="Verdana" w:hAnsi="Verdana" w:cs="Arial"/>
              </w:rPr>
              <w:t xml:space="preserve"> </w:t>
            </w:r>
          </w:p>
          <w:p w14:paraId="1F5D017F" w14:textId="77777777" w:rsidR="00466974" w:rsidRPr="00907E99" w:rsidRDefault="00466974" w:rsidP="00466974">
            <w:pPr>
              <w:pStyle w:val="Prrafodelista"/>
              <w:widowControl w:val="0"/>
              <w:numPr>
                <w:ilvl w:val="0"/>
                <w:numId w:val="22"/>
              </w:numPr>
              <w:autoSpaceDE w:val="0"/>
              <w:autoSpaceDN w:val="0"/>
              <w:spacing w:after="120" w:line="276" w:lineRule="auto"/>
              <w:contextualSpacing w:val="0"/>
              <w:jc w:val="both"/>
              <w:rPr>
                <w:rFonts w:ascii="Verdana" w:hAnsi="Verdana" w:cs="Arial"/>
              </w:rPr>
            </w:pPr>
            <w:r w:rsidRPr="00907E99">
              <w:rPr>
                <w:rFonts w:ascii="Verdana" w:hAnsi="Verdana" w:cs="Arial"/>
              </w:rPr>
              <w:t xml:space="preserve">Jurisprudencia del Consejo de Estado. Disponible en: </w:t>
            </w:r>
            <w:hyperlink r:id="rId14" w:history="1">
              <w:r w:rsidRPr="00907E99">
                <w:rPr>
                  <w:rStyle w:val="Hipervnculo"/>
                  <w:rFonts w:ascii="Verdana" w:hAnsi="Verdana" w:cs="Arial"/>
                </w:rPr>
                <w:t>https://relatoria.colombiacompra.gov.co/providencias-consejo-de-estado/</w:t>
              </w:r>
            </w:hyperlink>
            <w:r w:rsidRPr="00907E99">
              <w:rPr>
                <w:rFonts w:ascii="Verdana" w:hAnsi="Verdana" w:cs="Arial"/>
              </w:rPr>
              <w:t xml:space="preserve"> </w:t>
            </w:r>
          </w:p>
          <w:p w14:paraId="4E0F2A98" w14:textId="77777777" w:rsidR="00466974" w:rsidRPr="00907E99" w:rsidRDefault="00466974" w:rsidP="00466974">
            <w:pPr>
              <w:pStyle w:val="Prrafodelista"/>
              <w:widowControl w:val="0"/>
              <w:numPr>
                <w:ilvl w:val="0"/>
                <w:numId w:val="22"/>
              </w:numPr>
              <w:tabs>
                <w:tab w:val="left" w:pos="8419"/>
              </w:tabs>
              <w:autoSpaceDE w:val="0"/>
              <w:autoSpaceDN w:val="0"/>
              <w:spacing w:after="160" w:line="276" w:lineRule="auto"/>
              <w:contextualSpacing w:val="0"/>
              <w:jc w:val="both"/>
              <w:rPr>
                <w:rFonts w:ascii="Verdana" w:hAnsi="Verdana" w:cs="Arial"/>
              </w:rPr>
            </w:pPr>
            <w:r w:rsidRPr="00907E99">
              <w:rPr>
                <w:rFonts w:ascii="Verdana" w:hAnsi="Verdana" w:cs="Arial"/>
              </w:rPr>
              <w:t>Guías y manuales expedidos por la ANCP-CCE. Disponible en:</w:t>
            </w:r>
            <w:r w:rsidRPr="00907E99">
              <w:rPr>
                <w:rFonts w:ascii="Verdana" w:hAnsi="Verdana"/>
              </w:rPr>
              <w:t xml:space="preserve"> </w:t>
            </w:r>
            <w:hyperlink r:id="rId15" w:history="1">
              <w:r w:rsidRPr="00907E99">
                <w:rPr>
                  <w:rStyle w:val="Hipervnculo"/>
                  <w:rFonts w:ascii="Verdana" w:hAnsi="Verdana" w:cs="Arial"/>
                </w:rPr>
                <w:t>https://www.colombiacompra.gov.co/manuales-guias-y-pliegos-tipo/manuales-y-guias</w:t>
              </w:r>
            </w:hyperlink>
          </w:p>
        </w:tc>
      </w:tr>
    </w:tbl>
    <w:p w14:paraId="15010EE8" w14:textId="77777777" w:rsidR="00466974" w:rsidRPr="00907E99" w:rsidRDefault="00466974" w:rsidP="00466974">
      <w:pPr>
        <w:widowControl w:val="0"/>
        <w:autoSpaceDE w:val="0"/>
        <w:autoSpaceDN w:val="0"/>
        <w:spacing w:after="0" w:line="276" w:lineRule="auto"/>
        <w:jc w:val="both"/>
        <w:rPr>
          <w:rFonts w:ascii="Verdana" w:hAnsi="Verdana" w:cs="Arial"/>
        </w:rPr>
      </w:pPr>
    </w:p>
    <w:p w14:paraId="64A58F54" w14:textId="77777777" w:rsidR="00466974" w:rsidRPr="00907E99" w:rsidRDefault="00466974" w:rsidP="0046697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907E99">
        <w:rPr>
          <w:rFonts w:ascii="Verdana" w:eastAsia="Century Gothic" w:hAnsi="Verdana" w:cs="Century Gothic"/>
          <w:b/>
          <w:bCs/>
        </w:rPr>
        <w:t>Doctrina de la Agencia Nacional de Contratación Pública:</w:t>
      </w:r>
    </w:p>
    <w:p w14:paraId="3E787A6F" w14:textId="77777777" w:rsidR="00466974" w:rsidRPr="00907E99" w:rsidRDefault="00466974" w:rsidP="00466974">
      <w:pPr>
        <w:widowControl w:val="0"/>
        <w:autoSpaceDE w:val="0"/>
        <w:autoSpaceDN w:val="0"/>
        <w:spacing w:after="0" w:line="276" w:lineRule="auto"/>
        <w:jc w:val="both"/>
        <w:rPr>
          <w:rFonts w:ascii="Verdana" w:hAnsi="Verdana" w:cs="Arial"/>
        </w:rPr>
      </w:pPr>
    </w:p>
    <w:p w14:paraId="3BF7C2D5" w14:textId="790D3D30" w:rsidR="00466974" w:rsidRPr="00907E99" w:rsidRDefault="00466974" w:rsidP="00466974">
      <w:pPr>
        <w:widowControl w:val="0"/>
        <w:autoSpaceDE w:val="0"/>
        <w:autoSpaceDN w:val="0"/>
        <w:spacing w:after="0" w:line="276" w:lineRule="auto"/>
        <w:jc w:val="both"/>
        <w:rPr>
          <w:rFonts w:ascii="Verdana" w:hAnsi="Verdana" w:cs="Arial"/>
          <w:shd w:val="clear" w:color="auto" w:fill="FFFFFF"/>
          <w:lang w:val="es-ES"/>
        </w:rPr>
      </w:pPr>
      <w:r w:rsidRPr="00907E99">
        <w:rPr>
          <w:rStyle w:val="normaltextrun"/>
          <w:rFonts w:ascii="Verdana" w:hAnsi="Verdana" w:cs="Arial"/>
          <w:shd w:val="clear" w:color="auto" w:fill="FFFFFF"/>
          <w:lang w:val="es-ES"/>
        </w:rPr>
        <w:t xml:space="preserve">Sobre </w:t>
      </w:r>
      <w:r w:rsidR="008453C9" w:rsidRPr="00907E99">
        <w:rPr>
          <w:rStyle w:val="normaltextrun"/>
          <w:rFonts w:ascii="Verdana" w:hAnsi="Verdana" w:cs="Arial"/>
          <w:shd w:val="clear" w:color="auto" w:fill="FFFFFF"/>
          <w:lang w:val="es-ES"/>
        </w:rPr>
        <w:t>el acta de recibo final</w:t>
      </w:r>
      <w:r w:rsidRPr="00907E99">
        <w:rPr>
          <w:rStyle w:val="normaltextrun"/>
          <w:rFonts w:ascii="Verdana" w:hAnsi="Verdana" w:cs="Arial"/>
          <w:shd w:val="clear" w:color="auto" w:fill="FFFFFF"/>
          <w:lang w:val="es-ES"/>
        </w:rPr>
        <w:t>, esta Subdirección se ha pronunciado en</w:t>
      </w:r>
      <w:r w:rsidR="008453C9" w:rsidRPr="00907E99">
        <w:rPr>
          <w:rStyle w:val="normaltextrun"/>
          <w:rFonts w:ascii="Verdana" w:hAnsi="Verdana" w:cs="Arial"/>
          <w:shd w:val="clear" w:color="auto" w:fill="FFFFFF"/>
          <w:lang w:val="es-ES"/>
        </w:rPr>
        <w:t xml:space="preserve"> el concepto </w:t>
      </w:r>
      <w:r w:rsidR="008453C9" w:rsidRPr="00907E99">
        <w:rPr>
          <w:rStyle w:val="normaltextrun"/>
          <w:rFonts w:ascii="Verdana" w:hAnsi="Verdana" w:cs="Arial"/>
          <w:shd w:val="clear" w:color="auto" w:fill="FFFFFF"/>
          <w:lang w:val="es-ES"/>
        </w:rPr>
        <w:lastRenderedPageBreak/>
        <w:t xml:space="preserve">CU-028 del 25 de febrero del 2020. Igualmente, ha estudiado </w:t>
      </w:r>
      <w:r w:rsidR="00FF6B1B" w:rsidRPr="00907E99">
        <w:rPr>
          <w:rStyle w:val="normaltextrun"/>
          <w:rFonts w:ascii="Verdana" w:hAnsi="Verdana" w:cs="Arial"/>
          <w:shd w:val="clear" w:color="auto" w:fill="FFFFFF"/>
          <w:lang w:val="es-ES"/>
        </w:rPr>
        <w:t>el régimen de garantías en los Conceptos</w:t>
      </w:r>
      <w:r w:rsidR="00FF6B1B" w:rsidRPr="00907E99">
        <w:rPr>
          <w:rStyle w:val="normaltextrun"/>
          <w:rFonts w:ascii="Verdana" w:hAnsi="Verdana" w:cs="Calibri"/>
          <w:shd w:val="clear" w:color="auto" w:fill="FFFFFF"/>
        </w:rPr>
        <w:t xml:space="preserve"> </w:t>
      </w:r>
      <w:r w:rsidR="00FF6B1B" w:rsidRPr="00907E99">
        <w:rPr>
          <w:rStyle w:val="normaltextrun"/>
          <w:rFonts w:ascii="Verdana" w:hAnsi="Verdana" w:cs="Arial"/>
          <w:shd w:val="clear" w:color="auto" w:fill="FFFFFF"/>
          <w:lang w:val="es-ES"/>
        </w:rPr>
        <w:t>2201913000009075 del 9 de diciembre de 2019, C-080 del 8 de abril de 2021, C-525 del 27 de septiembre de 2021, C- 567 del 08 de octubre del 2021, C-036 del 28 de febrero del 2022, C-126 de 25 de marzo de 2022, C-583 del 19 de octubre de 2022, C-584 del 26 de septiembre de 2022, C-712 del 13 de octubre de 2022 y C-845 del 7 de diciembre de 2022, C-036 del 31 de marzo de 2023, C-386 del 31 de enero de 2024 y C-</w:t>
      </w:r>
      <w:r w:rsidR="00AC6FF2" w:rsidRPr="00907E99">
        <w:rPr>
          <w:rStyle w:val="normaltextrun"/>
          <w:rFonts w:ascii="Verdana" w:hAnsi="Verdana" w:cs="Arial"/>
          <w:shd w:val="clear" w:color="auto" w:fill="FFFFFF"/>
          <w:lang w:val="es-ES"/>
        </w:rPr>
        <w:t>133 del 11 de julio del 2024</w:t>
      </w:r>
      <w:r w:rsidRPr="00907E99">
        <w:rPr>
          <w:rFonts w:ascii="Verdana" w:hAnsi="Verdana" w:cs="Arial"/>
          <w:shd w:val="clear" w:color="auto" w:fill="FFFFFF"/>
          <w:lang w:val="es-ES"/>
        </w:rPr>
        <w:t xml:space="preserve">, entre otros. </w:t>
      </w:r>
      <w:r w:rsidRPr="00907E99">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6" w:tgtFrame="_blank" w:tooltip="Dirección URL original: https://relatoria.colombiacompra.gov.co/. Haga clic o pulse si confía en este vínculo." w:history="1">
        <w:r w:rsidRPr="00907E99">
          <w:rPr>
            <w:rStyle w:val="Hipervnculo"/>
            <w:rFonts w:ascii="Verdana" w:hAnsi="Verdana" w:cs="Arial"/>
            <w:shd w:val="clear" w:color="auto" w:fill="FFFFFF"/>
          </w:rPr>
          <w:t>https://relatoria.colombiacompra.gov.co/</w:t>
        </w:r>
      </w:hyperlink>
      <w:r w:rsidRPr="00907E99">
        <w:rPr>
          <w:rFonts w:ascii="Verdana" w:hAnsi="Verdana" w:cs="Arial"/>
          <w:shd w:val="clear" w:color="auto" w:fill="FFFFFF"/>
        </w:rPr>
        <w:t xml:space="preserve"> . </w:t>
      </w:r>
    </w:p>
    <w:p w14:paraId="2AFA26A5" w14:textId="77777777" w:rsidR="00466974" w:rsidRPr="00907E99" w:rsidRDefault="00466974" w:rsidP="00466974">
      <w:pPr>
        <w:widowControl w:val="0"/>
        <w:autoSpaceDE w:val="0"/>
        <w:autoSpaceDN w:val="0"/>
        <w:spacing w:after="0" w:line="276" w:lineRule="auto"/>
        <w:jc w:val="both"/>
        <w:rPr>
          <w:rFonts w:ascii="Verdana" w:hAnsi="Verdana" w:cs="Arial"/>
          <w:shd w:val="clear" w:color="auto" w:fill="FFFFFF"/>
        </w:rPr>
      </w:pPr>
    </w:p>
    <w:p w14:paraId="59A9436F" w14:textId="77777777" w:rsidR="00466974" w:rsidRPr="00907E99" w:rsidRDefault="00466974" w:rsidP="00466974">
      <w:pPr>
        <w:widowControl w:val="0"/>
        <w:autoSpaceDE w:val="0"/>
        <w:autoSpaceDN w:val="0"/>
        <w:spacing w:after="0" w:line="276" w:lineRule="auto"/>
        <w:jc w:val="both"/>
        <w:rPr>
          <w:rFonts w:ascii="Verdana" w:hAnsi="Verdana" w:cs="Arial"/>
          <w:shd w:val="clear" w:color="auto" w:fill="FFFFFF"/>
        </w:rPr>
      </w:pPr>
      <w:r w:rsidRPr="00907E99">
        <w:rPr>
          <w:rFonts w:ascii="Verdana" w:hAnsi="Verdana" w:cs="Arial"/>
          <w:shd w:val="clear" w:color="auto" w:fill="FFFFFF"/>
        </w:rPr>
        <w:t>Te invitamos también a revisar la tercera edición del  Boletín de Relatoría de 2024 en el cual podrás consultar en detalle el marco normativo de documentos tipo: </w:t>
      </w:r>
      <w:hyperlink r:id="rId17" w:tgtFrame="_blank" w:tooltip="Dirección URL original: https://www.colombiacompra.gov.co/sites/cce_public/files/files_2020/boletin_de_realtoria_iii.pdf. Haga clic o pulse si confía en este vínculo." w:history="1">
        <w:r w:rsidRPr="00907E99">
          <w:rPr>
            <w:rStyle w:val="Hipervnculo"/>
            <w:rFonts w:ascii="Verdana" w:hAnsi="Verdana" w:cs="Arial"/>
            <w:shd w:val="clear" w:color="auto" w:fill="FFFFFF"/>
          </w:rPr>
          <w:t>https://www.colombiacompra.gov.co/sites/cce_public/files/files_2020/boletin_de_realtoria_iii.pdf</w:t>
        </w:r>
      </w:hyperlink>
      <w:r w:rsidRPr="00907E99">
        <w:rPr>
          <w:rFonts w:ascii="Verdana" w:hAnsi="Verdana" w:cs="Arial"/>
          <w:shd w:val="clear" w:color="auto" w:fill="FFFFFF"/>
        </w:rPr>
        <w:t> "</w:t>
      </w:r>
    </w:p>
    <w:p w14:paraId="4D8CDBB4" w14:textId="77777777" w:rsidR="00466974" w:rsidRPr="00907E99" w:rsidRDefault="00466974" w:rsidP="00466974">
      <w:pPr>
        <w:spacing w:after="0" w:line="240" w:lineRule="auto"/>
        <w:jc w:val="both"/>
        <w:rPr>
          <w:rStyle w:val="normaltextrun"/>
          <w:rFonts w:ascii="Verdana" w:hAnsi="Verdana" w:cs="Arial"/>
          <w:color w:val="000000" w:themeColor="text1"/>
          <w:shd w:val="clear" w:color="auto" w:fill="FFFFFF"/>
          <w:lang w:val="es-ES"/>
        </w:rPr>
      </w:pPr>
    </w:p>
    <w:p w14:paraId="2FD57530" w14:textId="77777777" w:rsidR="00466974" w:rsidRPr="00907E99" w:rsidRDefault="00466974" w:rsidP="00466974">
      <w:pPr>
        <w:spacing w:after="0" w:line="240" w:lineRule="auto"/>
        <w:jc w:val="both"/>
        <w:rPr>
          <w:rFonts w:ascii="Verdana" w:hAnsi="Verdana"/>
        </w:rPr>
      </w:pPr>
      <w:r w:rsidRPr="00907E99">
        <w:rPr>
          <w:rFonts w:ascii="Verdana" w:hAnsi="Verdana"/>
        </w:rPr>
        <w:t xml:space="preserve">Por último, lo invitamos a seguirnos en las redes sociales en las cuales se difunde información institucional: </w:t>
      </w:r>
    </w:p>
    <w:p w14:paraId="2AFD8263" w14:textId="77777777" w:rsidR="00466974" w:rsidRPr="00907E99" w:rsidRDefault="00466974" w:rsidP="00466974">
      <w:pPr>
        <w:spacing w:after="0" w:line="240" w:lineRule="auto"/>
        <w:jc w:val="both"/>
        <w:rPr>
          <w:rFonts w:ascii="Verdana" w:hAnsi="Verdana"/>
        </w:rPr>
      </w:pPr>
    </w:p>
    <w:p w14:paraId="5A7FE289" w14:textId="77777777" w:rsidR="00466974" w:rsidRPr="00907E99" w:rsidRDefault="00466974" w:rsidP="00466974">
      <w:pPr>
        <w:spacing w:after="0" w:line="240" w:lineRule="auto"/>
        <w:jc w:val="both"/>
        <w:rPr>
          <w:rFonts w:ascii="Verdana" w:hAnsi="Verdana"/>
        </w:rPr>
      </w:pPr>
      <w:r w:rsidRPr="00907E99">
        <w:rPr>
          <w:rFonts w:ascii="Verdana" w:hAnsi="Verdana"/>
        </w:rPr>
        <w:t xml:space="preserve">Twitter: </w:t>
      </w:r>
      <w:r w:rsidRPr="00907E99">
        <w:rPr>
          <w:rStyle w:val="Hipervnculo"/>
          <w:rFonts w:ascii="Verdana" w:hAnsi="Verdana"/>
          <w:color w:val="4472C4" w:themeColor="accent1"/>
        </w:rPr>
        <w:t>@colombiacompra</w:t>
      </w:r>
      <w:r w:rsidRPr="00907E99">
        <w:rPr>
          <w:rFonts w:ascii="Verdana" w:hAnsi="Verdana"/>
          <w:color w:val="4472C4" w:themeColor="accent1"/>
        </w:rPr>
        <w:t xml:space="preserve"> </w:t>
      </w:r>
    </w:p>
    <w:p w14:paraId="7722820D" w14:textId="77777777" w:rsidR="00466974" w:rsidRPr="00907E99" w:rsidRDefault="00466974" w:rsidP="00466974">
      <w:pPr>
        <w:spacing w:after="0" w:line="240" w:lineRule="auto"/>
        <w:jc w:val="both"/>
        <w:rPr>
          <w:rFonts w:ascii="Verdana" w:hAnsi="Verdana"/>
        </w:rPr>
      </w:pPr>
      <w:r w:rsidRPr="00907E99">
        <w:rPr>
          <w:rFonts w:ascii="Verdana" w:hAnsi="Verdana"/>
        </w:rPr>
        <w:t xml:space="preserve">Facebook: </w:t>
      </w:r>
      <w:proofErr w:type="spellStart"/>
      <w:r w:rsidRPr="00907E99">
        <w:rPr>
          <w:rStyle w:val="Hipervnculo"/>
          <w:rFonts w:ascii="Verdana" w:hAnsi="Verdana"/>
          <w:color w:val="4472C4" w:themeColor="accent1"/>
        </w:rPr>
        <w:t>ColombiaCompraEficiente</w:t>
      </w:r>
      <w:proofErr w:type="spellEnd"/>
    </w:p>
    <w:p w14:paraId="01E4163A" w14:textId="77777777" w:rsidR="00466974" w:rsidRPr="00907E99" w:rsidRDefault="00466974" w:rsidP="00466974">
      <w:pPr>
        <w:spacing w:after="0" w:line="240" w:lineRule="auto"/>
        <w:jc w:val="both"/>
        <w:rPr>
          <w:rFonts w:ascii="Verdana" w:hAnsi="Verdana"/>
        </w:rPr>
      </w:pPr>
      <w:r w:rsidRPr="00907E99">
        <w:rPr>
          <w:rFonts w:ascii="Verdana" w:hAnsi="Verdana"/>
        </w:rPr>
        <w:t xml:space="preserve">LinkedIn: </w:t>
      </w:r>
      <w:r w:rsidRPr="00907E99">
        <w:rPr>
          <w:rStyle w:val="Hipervnculo"/>
          <w:rFonts w:ascii="Verdana" w:hAnsi="Verdana"/>
          <w:color w:val="4472C4" w:themeColor="accent1"/>
        </w:rPr>
        <w:t>Agencia Nacional de Contratación Pública - Colombia Compra Eficiente</w:t>
      </w:r>
      <w:r w:rsidRPr="00907E99">
        <w:rPr>
          <w:rFonts w:ascii="Verdana" w:hAnsi="Verdana"/>
          <w:color w:val="4472C4" w:themeColor="accent1"/>
        </w:rPr>
        <w:t xml:space="preserve"> </w:t>
      </w:r>
      <w:r w:rsidRPr="00907E99">
        <w:rPr>
          <w:rFonts w:ascii="Verdana" w:hAnsi="Verdana"/>
        </w:rPr>
        <w:t xml:space="preserve">Instagram: </w:t>
      </w:r>
      <w:r w:rsidRPr="00907E99">
        <w:rPr>
          <w:rStyle w:val="Hipervnculo"/>
          <w:rFonts w:ascii="Verdana" w:hAnsi="Verdana"/>
          <w:color w:val="4472C4" w:themeColor="accent1"/>
        </w:rPr>
        <w:t>@colombiacompraeficiente_cce</w:t>
      </w:r>
    </w:p>
    <w:p w14:paraId="263558F5" w14:textId="77777777" w:rsidR="00466974" w:rsidRPr="00907E99" w:rsidRDefault="00466974" w:rsidP="00466974">
      <w:pPr>
        <w:widowControl w:val="0"/>
        <w:autoSpaceDE w:val="0"/>
        <w:autoSpaceDN w:val="0"/>
        <w:spacing w:after="0" w:line="276" w:lineRule="auto"/>
        <w:jc w:val="both"/>
        <w:rPr>
          <w:rFonts w:ascii="Verdana" w:hAnsi="Verdana" w:cs="Arial"/>
        </w:rPr>
      </w:pPr>
    </w:p>
    <w:p w14:paraId="67A27716" w14:textId="77777777" w:rsidR="00466974" w:rsidRPr="00907E99" w:rsidRDefault="00466974" w:rsidP="00466974">
      <w:pPr>
        <w:widowControl w:val="0"/>
        <w:autoSpaceDE w:val="0"/>
        <w:autoSpaceDN w:val="0"/>
        <w:spacing w:after="0" w:line="276" w:lineRule="auto"/>
        <w:jc w:val="both"/>
        <w:rPr>
          <w:rFonts w:ascii="Verdana" w:hAnsi="Verdana" w:cs="Arial"/>
          <w:lang w:val="es-ES_tradnl"/>
        </w:rPr>
      </w:pPr>
      <w:r w:rsidRPr="00907E99">
        <w:rPr>
          <w:rFonts w:ascii="Verdana" w:hAnsi="Verdana" w:cs="Arial"/>
        </w:rPr>
        <w:t xml:space="preserve">Este concepto tiene el alcance previsto en el artículo 28 del Código de Procedimiento Administrativo y de lo Contencioso Administrativo </w:t>
      </w:r>
      <w:r w:rsidRPr="00907E99">
        <w:rPr>
          <w:rFonts w:ascii="Verdana" w:hAnsi="Verdana" w:cs="Arial"/>
          <w:lang w:val="es-ES_tradnl"/>
        </w:rPr>
        <w:t>y las expresiones aquí utilizadas con mayúscula inicial deben ser entendidas con el significado que les otorga el artículo 2.2.1.1.1.3.1. del Decreto 1082 de 2015.</w:t>
      </w:r>
    </w:p>
    <w:p w14:paraId="5EBF6DCB" w14:textId="77777777" w:rsidR="00466974" w:rsidRPr="00907E99" w:rsidRDefault="00466974" w:rsidP="00466974">
      <w:pPr>
        <w:widowControl w:val="0"/>
        <w:autoSpaceDE w:val="0"/>
        <w:autoSpaceDN w:val="0"/>
        <w:spacing w:after="0" w:line="276" w:lineRule="auto"/>
        <w:jc w:val="both"/>
        <w:rPr>
          <w:rFonts w:ascii="Verdana" w:hAnsi="Verdana" w:cs="Arial"/>
        </w:rPr>
      </w:pPr>
    </w:p>
    <w:p w14:paraId="70E3E6AD" w14:textId="77777777" w:rsidR="00466974" w:rsidRPr="00907E99" w:rsidRDefault="00466974" w:rsidP="00466974">
      <w:pPr>
        <w:spacing w:after="0" w:line="240" w:lineRule="auto"/>
        <w:rPr>
          <w:rFonts w:ascii="Verdana" w:hAnsi="Verdana" w:cs="Arial"/>
          <w:lang w:eastAsia="es-CO"/>
        </w:rPr>
      </w:pPr>
      <w:r w:rsidRPr="00907E99">
        <w:rPr>
          <w:rFonts w:ascii="Verdana" w:eastAsia="Times New Roman" w:hAnsi="Verdana" w:cs="Arial"/>
          <w:lang w:eastAsia="es-CO"/>
        </w:rPr>
        <w:t>Atentamente,</w:t>
      </w:r>
      <w:r w:rsidRPr="00907E99">
        <w:rPr>
          <w:rFonts w:ascii="Verdana" w:hAnsi="Verdana" w:cs="Arial"/>
          <w:lang w:eastAsia="es-CO"/>
        </w:rPr>
        <w:t xml:space="preserve"> </w:t>
      </w:r>
    </w:p>
    <w:p w14:paraId="72156432" w14:textId="0EEDF264" w:rsidR="00466974" w:rsidRPr="00907E99" w:rsidRDefault="008E1470" w:rsidP="00466974">
      <w:pPr>
        <w:spacing w:line="276" w:lineRule="auto"/>
        <w:jc w:val="center"/>
        <w:rPr>
          <w:rFonts w:ascii="Verdana" w:hAnsi="Verdana" w:cs="Arial"/>
          <w:color w:val="000000"/>
          <w:lang w:val="es-ES_tradnl" w:eastAsia="es-CO"/>
        </w:rPr>
      </w:pPr>
      <w:r w:rsidRPr="004D5C25">
        <w:rPr>
          <w:rFonts w:ascii="Century Gothic" w:hAnsi="Century Gothic"/>
          <w:noProof/>
        </w:rPr>
        <w:lastRenderedPageBreak/>
        <w:drawing>
          <wp:inline distT="0" distB="0" distL="0" distR="0" wp14:anchorId="5978AEDC" wp14:editId="05D9012C">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8"/>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466974" w:rsidRPr="00907E99" w14:paraId="17BE7237" w14:textId="77777777" w:rsidTr="00023E7D">
        <w:trPr>
          <w:trHeight w:val="315"/>
        </w:trPr>
        <w:tc>
          <w:tcPr>
            <w:tcW w:w="893" w:type="dxa"/>
            <w:vAlign w:val="center"/>
            <w:hideMark/>
          </w:tcPr>
          <w:p w14:paraId="39B1BAFD" w14:textId="77777777" w:rsidR="00466974" w:rsidRPr="00907E99" w:rsidRDefault="00466974" w:rsidP="00023E7D">
            <w:pPr>
              <w:contextualSpacing/>
              <w:rPr>
                <w:rFonts w:ascii="Verdana" w:hAnsi="Verdana" w:cs="Arial"/>
                <w:sz w:val="16"/>
                <w:szCs w:val="16"/>
                <w:lang w:val="es-ES" w:eastAsia="es-ES"/>
              </w:rPr>
            </w:pPr>
            <w:r w:rsidRPr="00907E99">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25F5A3E" w14:textId="77777777" w:rsidR="00466974" w:rsidRPr="00907E99" w:rsidRDefault="00466974" w:rsidP="00023E7D">
            <w:pPr>
              <w:contextualSpacing/>
              <w:rPr>
                <w:rFonts w:ascii="Verdana" w:eastAsia="Arial" w:hAnsi="Verdana" w:cs="Arial"/>
                <w:sz w:val="16"/>
                <w:szCs w:val="16"/>
              </w:rPr>
            </w:pPr>
            <w:r w:rsidRPr="00907E99">
              <w:rPr>
                <w:rFonts w:ascii="Verdana" w:eastAsia="Arial" w:hAnsi="Verdana" w:cs="Arial"/>
                <w:sz w:val="16"/>
                <w:szCs w:val="16"/>
              </w:rPr>
              <w:t>Ana María Ortiz Ballesteros</w:t>
            </w:r>
          </w:p>
          <w:p w14:paraId="4F15F0A9" w14:textId="77777777" w:rsidR="00466974" w:rsidRPr="00907E99" w:rsidRDefault="00466974" w:rsidP="00023E7D">
            <w:pPr>
              <w:contextualSpacing/>
              <w:rPr>
                <w:rFonts w:ascii="Verdana" w:eastAsia="Arial" w:hAnsi="Verdana" w:cs="Arial"/>
                <w:sz w:val="16"/>
                <w:szCs w:val="16"/>
              </w:rPr>
            </w:pPr>
            <w:r w:rsidRPr="00907E99">
              <w:rPr>
                <w:rStyle w:val="normaltextrun"/>
                <w:rFonts w:ascii="Verdana" w:eastAsia="Arial" w:hAnsi="Verdana" w:cs="Arial"/>
                <w:sz w:val="16"/>
                <w:szCs w:val="16"/>
              </w:rPr>
              <w:t>C</w:t>
            </w:r>
            <w:r w:rsidRPr="00907E99">
              <w:rPr>
                <w:rStyle w:val="normaltextrun"/>
                <w:rFonts w:ascii="Verdana" w:hAnsi="Verdana"/>
                <w:sz w:val="16"/>
                <w:szCs w:val="16"/>
              </w:rPr>
              <w:t>ontratista</w:t>
            </w:r>
            <w:r w:rsidRPr="00907E99">
              <w:rPr>
                <w:rStyle w:val="normaltextrun"/>
                <w:rFonts w:ascii="Verdana" w:eastAsia="Arial" w:hAnsi="Verdana" w:cs="Arial"/>
                <w:sz w:val="16"/>
                <w:szCs w:val="16"/>
              </w:rPr>
              <w:t xml:space="preserve"> de la Subdirección de Gestión Contractual</w:t>
            </w:r>
          </w:p>
        </w:tc>
      </w:tr>
      <w:tr w:rsidR="00466974" w:rsidRPr="00907E99" w14:paraId="3FAD2E63" w14:textId="77777777" w:rsidTr="00023E7D">
        <w:trPr>
          <w:trHeight w:val="330"/>
        </w:trPr>
        <w:tc>
          <w:tcPr>
            <w:tcW w:w="893" w:type="dxa"/>
            <w:vAlign w:val="center"/>
            <w:hideMark/>
          </w:tcPr>
          <w:p w14:paraId="00307443" w14:textId="77777777" w:rsidR="00466974" w:rsidRPr="00907E99" w:rsidRDefault="00466974" w:rsidP="00023E7D">
            <w:pPr>
              <w:contextualSpacing/>
              <w:rPr>
                <w:rFonts w:ascii="Verdana" w:hAnsi="Verdana" w:cs="Arial"/>
                <w:sz w:val="16"/>
                <w:szCs w:val="16"/>
                <w:lang w:val="es-ES" w:eastAsia="es-ES"/>
              </w:rPr>
            </w:pPr>
            <w:r w:rsidRPr="00907E99">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26B15E6" w14:textId="1A3475BE" w:rsidR="00907E99" w:rsidRPr="00907E99" w:rsidRDefault="00907E99" w:rsidP="00907E99">
            <w:pPr>
              <w:pStyle w:val="paragraph"/>
              <w:spacing w:after="0"/>
              <w:contextualSpacing/>
              <w:textAlignment w:val="baseline"/>
              <w:rPr>
                <w:rFonts w:ascii="Verdana" w:hAnsi="Verdana" w:cs="Arial"/>
                <w:sz w:val="16"/>
                <w:szCs w:val="16"/>
              </w:rPr>
            </w:pPr>
            <w:r w:rsidRPr="00907E99">
              <w:rPr>
                <w:rFonts w:ascii="Verdana" w:hAnsi="Verdana" w:cs="Arial"/>
                <w:sz w:val="16"/>
                <w:szCs w:val="16"/>
              </w:rPr>
              <w:t xml:space="preserve">Libardo Alberto </w:t>
            </w:r>
            <w:proofErr w:type="spellStart"/>
            <w:r w:rsidRPr="00907E99">
              <w:rPr>
                <w:rFonts w:ascii="Verdana" w:hAnsi="Verdana" w:cs="Arial"/>
                <w:sz w:val="16"/>
                <w:szCs w:val="16"/>
              </w:rPr>
              <w:t>Ver</w:t>
            </w:r>
            <w:r w:rsidR="004F18A4">
              <w:rPr>
                <w:rFonts w:ascii="Verdana" w:hAnsi="Verdana" w:cs="Arial"/>
                <w:sz w:val="16"/>
                <w:szCs w:val="16"/>
              </w:rPr>
              <w:t>j</w:t>
            </w:r>
            <w:r w:rsidRPr="00907E99">
              <w:rPr>
                <w:rFonts w:ascii="Verdana" w:hAnsi="Verdana" w:cs="Arial"/>
                <w:sz w:val="16"/>
                <w:szCs w:val="16"/>
              </w:rPr>
              <w:t>el</w:t>
            </w:r>
            <w:proofErr w:type="spellEnd"/>
            <w:r w:rsidRPr="00907E99">
              <w:rPr>
                <w:rFonts w:ascii="Verdana" w:hAnsi="Verdana" w:cs="Arial"/>
                <w:sz w:val="16"/>
                <w:szCs w:val="16"/>
              </w:rPr>
              <w:t xml:space="preserve"> De </w:t>
            </w:r>
            <w:proofErr w:type="spellStart"/>
            <w:r w:rsidRPr="00907E99">
              <w:rPr>
                <w:rFonts w:ascii="Verdana" w:hAnsi="Verdana" w:cs="Arial"/>
                <w:sz w:val="16"/>
                <w:szCs w:val="16"/>
              </w:rPr>
              <w:t>Filippis</w:t>
            </w:r>
            <w:proofErr w:type="spellEnd"/>
          </w:p>
          <w:p w14:paraId="49A7A68C" w14:textId="3133C656" w:rsidR="00466974" w:rsidRPr="00907E99" w:rsidRDefault="00907E99" w:rsidP="00907E99">
            <w:pPr>
              <w:pStyle w:val="paragraph"/>
              <w:spacing w:before="0" w:beforeAutospacing="0" w:after="0" w:afterAutospacing="0"/>
              <w:contextualSpacing/>
              <w:textAlignment w:val="baseline"/>
              <w:rPr>
                <w:rFonts w:ascii="Verdana" w:hAnsi="Verdana" w:cs="Segoe UI"/>
                <w:sz w:val="16"/>
                <w:szCs w:val="16"/>
                <w:highlight w:val="cyan"/>
              </w:rPr>
            </w:pPr>
            <w:r w:rsidRPr="00907E99">
              <w:rPr>
                <w:rFonts w:ascii="Verdana" w:hAnsi="Verdana" w:cs="Arial"/>
                <w:sz w:val="16"/>
                <w:szCs w:val="16"/>
              </w:rPr>
              <w:t xml:space="preserve">Experto G3- 08 </w:t>
            </w:r>
            <w:r w:rsidRPr="00907E99">
              <w:rPr>
                <w:rStyle w:val="normaltextrun"/>
                <w:rFonts w:ascii="Verdana" w:hAnsi="Verdana" w:cs="Arial"/>
                <w:sz w:val="16"/>
                <w:szCs w:val="16"/>
                <w:lang w:val="es-ES"/>
              </w:rPr>
              <w:t>de la Subdirección de Gestión Contractual</w:t>
            </w:r>
            <w:r w:rsidRPr="00907E99">
              <w:rPr>
                <w:rStyle w:val="eop"/>
                <w:rFonts w:ascii="Verdana" w:hAnsi="Verdana" w:cs="Arial"/>
                <w:sz w:val="16"/>
                <w:szCs w:val="16"/>
              </w:rPr>
              <w:t> </w:t>
            </w:r>
          </w:p>
        </w:tc>
      </w:tr>
      <w:tr w:rsidR="00466974" w:rsidRPr="00907E99" w14:paraId="4789C545" w14:textId="77777777" w:rsidTr="00023E7D">
        <w:trPr>
          <w:trHeight w:val="300"/>
        </w:trPr>
        <w:tc>
          <w:tcPr>
            <w:tcW w:w="893" w:type="dxa"/>
            <w:vAlign w:val="center"/>
          </w:tcPr>
          <w:p w14:paraId="71D96A86" w14:textId="77777777" w:rsidR="00466974" w:rsidRPr="00907E99" w:rsidRDefault="00466974" w:rsidP="00023E7D">
            <w:pPr>
              <w:contextualSpacing/>
              <w:rPr>
                <w:rFonts w:ascii="Verdana" w:hAnsi="Verdana" w:cs="Arial"/>
                <w:sz w:val="16"/>
                <w:szCs w:val="16"/>
                <w:lang w:val="es-ES" w:eastAsia="es-ES"/>
              </w:rPr>
            </w:pPr>
            <w:r w:rsidRPr="00907E99">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3CD8795C" w14:textId="77777777" w:rsidR="00466974" w:rsidRPr="00907E99" w:rsidRDefault="00466974" w:rsidP="00023E7D">
            <w:pPr>
              <w:contextualSpacing/>
              <w:rPr>
                <w:rFonts w:ascii="Verdana" w:eastAsia="Calibri" w:hAnsi="Verdana" w:cs="Arial"/>
                <w:sz w:val="16"/>
                <w:szCs w:val="16"/>
                <w:lang w:val="pt-BR" w:eastAsia="es-ES"/>
              </w:rPr>
            </w:pPr>
            <w:r w:rsidRPr="00907E99">
              <w:rPr>
                <w:rFonts w:ascii="Verdana" w:eastAsia="Calibri" w:hAnsi="Verdana" w:cs="Arial"/>
                <w:sz w:val="16"/>
                <w:szCs w:val="16"/>
                <w:lang w:val="pt-BR" w:eastAsia="es-ES"/>
              </w:rPr>
              <w:t xml:space="preserve">Carolina Quintero </w:t>
            </w:r>
            <w:proofErr w:type="spellStart"/>
            <w:r w:rsidRPr="00907E99">
              <w:rPr>
                <w:rFonts w:ascii="Verdana" w:eastAsia="Calibri" w:hAnsi="Verdana" w:cs="Arial"/>
                <w:sz w:val="16"/>
                <w:szCs w:val="16"/>
                <w:lang w:val="pt-BR" w:eastAsia="es-ES"/>
              </w:rPr>
              <w:t>Gacharná</w:t>
            </w:r>
            <w:proofErr w:type="spellEnd"/>
          </w:p>
          <w:p w14:paraId="57B4A0CD" w14:textId="77777777" w:rsidR="00466974" w:rsidRPr="00907E99" w:rsidRDefault="00466974" w:rsidP="00023E7D">
            <w:pPr>
              <w:contextualSpacing/>
              <w:rPr>
                <w:rFonts w:ascii="Verdana" w:eastAsia="Calibri" w:hAnsi="Verdana" w:cs="Arial"/>
                <w:sz w:val="16"/>
                <w:szCs w:val="16"/>
                <w:lang w:val="pt-BR" w:eastAsia="es-ES"/>
              </w:rPr>
            </w:pPr>
            <w:r w:rsidRPr="00907E99">
              <w:rPr>
                <w:rFonts w:ascii="Verdana" w:eastAsia="Calibri" w:hAnsi="Verdana" w:cs="Arial"/>
                <w:sz w:val="16"/>
                <w:szCs w:val="16"/>
                <w:lang w:eastAsia="es-ES"/>
              </w:rPr>
              <w:t>Subdirectora</w:t>
            </w:r>
            <w:r w:rsidRPr="00907E99">
              <w:rPr>
                <w:rFonts w:ascii="Verdana" w:eastAsia="Calibri" w:hAnsi="Verdana" w:cs="Arial"/>
                <w:sz w:val="16"/>
                <w:szCs w:val="16"/>
                <w:lang w:val="pt-BR" w:eastAsia="es-ES"/>
              </w:rPr>
              <w:t xml:space="preserve"> de Gestión </w:t>
            </w:r>
            <w:proofErr w:type="spellStart"/>
            <w:r w:rsidRPr="00907E99">
              <w:rPr>
                <w:rFonts w:ascii="Verdana" w:eastAsia="Calibri" w:hAnsi="Verdana" w:cs="Arial"/>
                <w:sz w:val="16"/>
                <w:szCs w:val="16"/>
                <w:lang w:val="pt-BR" w:eastAsia="es-ES"/>
              </w:rPr>
              <w:t>Contractual</w:t>
            </w:r>
            <w:proofErr w:type="spellEnd"/>
            <w:r w:rsidRPr="00907E99">
              <w:rPr>
                <w:rFonts w:ascii="Verdana" w:eastAsia="Calibri" w:hAnsi="Verdana" w:cs="Arial"/>
                <w:sz w:val="16"/>
                <w:szCs w:val="16"/>
                <w:lang w:val="pt-BR" w:eastAsia="es-ES"/>
              </w:rPr>
              <w:t xml:space="preserve"> ANCP – CCE</w:t>
            </w:r>
          </w:p>
        </w:tc>
      </w:tr>
    </w:tbl>
    <w:p w14:paraId="0B61B805" w14:textId="77777777" w:rsidR="00466974" w:rsidRPr="00907E99" w:rsidRDefault="00466974" w:rsidP="00466974">
      <w:pPr>
        <w:spacing w:after="0" w:line="240" w:lineRule="auto"/>
        <w:rPr>
          <w:rFonts w:ascii="Verdana" w:eastAsia="Times New Roman" w:hAnsi="Verdana" w:cs="Arial"/>
          <w:sz w:val="16"/>
          <w:szCs w:val="16"/>
          <w:lang w:eastAsia="es-ES"/>
        </w:rPr>
      </w:pPr>
    </w:p>
    <w:p w14:paraId="3EDD4406" w14:textId="77777777" w:rsidR="00466974" w:rsidRPr="00907E99" w:rsidRDefault="00466974" w:rsidP="00466974">
      <w:pPr>
        <w:spacing w:after="0"/>
        <w:jc w:val="both"/>
        <w:rPr>
          <w:rFonts w:ascii="Verdana" w:hAnsi="Verdana"/>
          <w:lang w:val="es-ES"/>
        </w:rPr>
      </w:pPr>
    </w:p>
    <w:p w14:paraId="49877A76" w14:textId="77777777" w:rsidR="00466974" w:rsidRPr="00907E99" w:rsidRDefault="00466974" w:rsidP="00466974">
      <w:pPr>
        <w:pStyle w:val="Prrafodelista"/>
        <w:spacing w:after="0" w:line="276" w:lineRule="auto"/>
        <w:jc w:val="both"/>
        <w:rPr>
          <w:rFonts w:ascii="Verdana" w:eastAsia="Calibri" w:hAnsi="Verdana" w:cs="Arial"/>
        </w:rPr>
      </w:pPr>
    </w:p>
    <w:p w14:paraId="6D71EA5D" w14:textId="77777777" w:rsidR="00466974" w:rsidRPr="00907E99" w:rsidRDefault="00466974" w:rsidP="00466974">
      <w:pPr>
        <w:spacing w:after="0"/>
        <w:jc w:val="both"/>
        <w:rPr>
          <w:rFonts w:ascii="Verdana" w:eastAsia="Calibri" w:hAnsi="Verdana" w:cs="Arial"/>
          <w:lang w:val="es-ES"/>
        </w:rPr>
      </w:pPr>
    </w:p>
    <w:p w14:paraId="4638E866" w14:textId="77777777" w:rsidR="00466974" w:rsidRPr="004F7BCB" w:rsidRDefault="00466974" w:rsidP="00466974">
      <w:pPr>
        <w:spacing w:after="0"/>
        <w:jc w:val="both"/>
        <w:rPr>
          <w:rFonts w:ascii="Verdana" w:hAnsi="Verdana"/>
          <w:lang w:val="es-ES"/>
        </w:rPr>
      </w:pPr>
    </w:p>
    <w:p w14:paraId="63DB82BE" w14:textId="77777777" w:rsidR="00D16924" w:rsidRPr="00466974" w:rsidRDefault="00D16924" w:rsidP="00A52004">
      <w:pPr>
        <w:spacing w:after="0"/>
        <w:jc w:val="both"/>
        <w:rPr>
          <w:rFonts w:ascii="Verdana" w:hAnsi="Verdana"/>
          <w:lang w:val="es-ES"/>
        </w:rPr>
      </w:pPr>
    </w:p>
    <w:sectPr w:rsidR="00D16924" w:rsidRPr="00466974" w:rsidSect="007C0C0F">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66F10" w14:textId="77777777" w:rsidR="003A26D1" w:rsidRDefault="003A26D1" w:rsidP="004A1847">
      <w:pPr>
        <w:spacing w:after="0" w:line="240" w:lineRule="auto"/>
      </w:pPr>
      <w:r>
        <w:separator/>
      </w:r>
    </w:p>
  </w:endnote>
  <w:endnote w:type="continuationSeparator" w:id="0">
    <w:p w14:paraId="472B99B1" w14:textId="77777777" w:rsidR="003A26D1" w:rsidRDefault="003A26D1" w:rsidP="004A1847">
      <w:pPr>
        <w:spacing w:after="0" w:line="240" w:lineRule="auto"/>
      </w:pPr>
      <w:r>
        <w:continuationSeparator/>
      </w:r>
    </w:p>
  </w:endnote>
  <w:endnote w:type="continuationNotice" w:id="1">
    <w:p w14:paraId="089C7A15" w14:textId="77777777" w:rsidR="004319C4" w:rsidRDefault="004319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627BE" w14:textId="77777777" w:rsidR="003A26D1" w:rsidRDefault="003A26D1" w:rsidP="004A1847">
      <w:pPr>
        <w:spacing w:after="0" w:line="240" w:lineRule="auto"/>
      </w:pPr>
      <w:r>
        <w:separator/>
      </w:r>
    </w:p>
  </w:footnote>
  <w:footnote w:type="continuationSeparator" w:id="0">
    <w:p w14:paraId="25E18BC5" w14:textId="77777777" w:rsidR="003A26D1" w:rsidRDefault="003A26D1" w:rsidP="004A1847">
      <w:pPr>
        <w:spacing w:after="0" w:line="240" w:lineRule="auto"/>
      </w:pPr>
      <w:r>
        <w:continuationSeparator/>
      </w:r>
    </w:p>
  </w:footnote>
  <w:footnote w:type="continuationNotice" w:id="1">
    <w:p w14:paraId="34BE4D9A" w14:textId="77777777" w:rsidR="004319C4" w:rsidRDefault="004319C4">
      <w:pPr>
        <w:spacing w:after="0" w:line="240" w:lineRule="auto"/>
      </w:pPr>
    </w:p>
  </w:footnote>
  <w:footnote w:id="2">
    <w:p w14:paraId="75309C99" w14:textId="0EAD3787" w:rsidR="00370004" w:rsidRPr="00881E81" w:rsidRDefault="00370004" w:rsidP="00370004">
      <w:pPr>
        <w:pStyle w:val="Textonotapie"/>
        <w:ind w:firstLine="708"/>
        <w:jc w:val="both"/>
        <w:rPr>
          <w:rFonts w:ascii="Verdana" w:hAnsi="Verdana" w:cs="Arial"/>
          <w:color w:val="000000" w:themeColor="text1"/>
          <w:sz w:val="18"/>
          <w:szCs w:val="18"/>
        </w:rPr>
      </w:pPr>
      <w:r w:rsidRPr="00881E81">
        <w:rPr>
          <w:rStyle w:val="Refdenotaalpie"/>
          <w:rFonts w:ascii="Verdana" w:hAnsi="Verdana" w:cs="Arial"/>
          <w:color w:val="000000" w:themeColor="text1"/>
          <w:sz w:val="18"/>
          <w:szCs w:val="18"/>
        </w:rPr>
        <w:footnoteRef/>
      </w:r>
      <w:r w:rsidRPr="00881E81">
        <w:rPr>
          <w:rStyle w:val="Refdenotaalpie"/>
          <w:rFonts w:ascii="Verdana" w:hAnsi="Verdana" w:cs="Arial"/>
          <w:color w:val="000000" w:themeColor="text1"/>
          <w:sz w:val="18"/>
          <w:szCs w:val="18"/>
        </w:rPr>
        <w:t xml:space="preserve"> </w:t>
      </w:r>
      <w:r w:rsidRPr="00881E81">
        <w:rPr>
          <w:rFonts w:ascii="Verdana" w:hAnsi="Verdana" w:cs="Arial"/>
          <w:color w:val="000000" w:themeColor="text1"/>
          <w:sz w:val="18"/>
          <w:szCs w:val="18"/>
        </w:rPr>
        <w:t xml:space="preserve">Código Civil, artículo 1501: </w:t>
      </w:r>
      <w:r w:rsidR="00CD77DF" w:rsidRPr="00881E81">
        <w:rPr>
          <w:rFonts w:ascii="Verdana" w:hAnsi="Verdana" w:cs="Arial"/>
          <w:color w:val="000000" w:themeColor="text1"/>
          <w:sz w:val="18"/>
          <w:szCs w:val="18"/>
        </w:rPr>
        <w:t>“</w:t>
      </w:r>
      <w:r w:rsidRPr="00881E81">
        <w:rPr>
          <w:rFonts w:ascii="Verdana" w:hAnsi="Verdana" w:cs="Arial"/>
          <w:color w:val="000000" w:themeColor="text1"/>
          <w:sz w:val="18"/>
          <w:szCs w:val="18"/>
        </w:rPr>
        <w:t xml:space="preserve">Se distinguen en cada contrato las cosas que son de su esencia, las que son de su naturaleza, y las puramente accidentales. Son de la esencia de un contrato aquellas cosas sin las cuales, o no produce efecto alguno, o degeneran en otro contrato diferente; son de la naturaleza de un contrato las </w:t>
      </w:r>
      <w:r w:rsidR="00C60512" w:rsidRPr="00881E81">
        <w:rPr>
          <w:rFonts w:ascii="Verdana" w:hAnsi="Verdana" w:cs="Arial"/>
          <w:color w:val="000000" w:themeColor="text1"/>
          <w:sz w:val="18"/>
          <w:szCs w:val="18"/>
        </w:rPr>
        <w:t>que,</w:t>
      </w:r>
      <w:r w:rsidRPr="00881E81">
        <w:rPr>
          <w:rFonts w:ascii="Verdana" w:hAnsi="Verdana" w:cs="Arial"/>
          <w:color w:val="000000" w:themeColor="text1"/>
          <w:sz w:val="18"/>
          <w:szCs w:val="18"/>
        </w:rPr>
        <w:t xml:space="preserve"> no siendo esenciales en él, se entienden pertenecerle, sin necesidad de una cláusula especial; y son accidentales a un contrato aquellas que ni esencial ni naturalmente le pertenecen, y que se le agregan por medio de cláusulas especiales</w:t>
      </w:r>
      <w:r w:rsidR="00CD77DF" w:rsidRPr="00881E81">
        <w:rPr>
          <w:rFonts w:ascii="Verdana" w:hAnsi="Verdana" w:cs="Arial"/>
          <w:color w:val="000000" w:themeColor="text1"/>
          <w:sz w:val="18"/>
          <w:szCs w:val="18"/>
        </w:rPr>
        <w:t>”</w:t>
      </w:r>
      <w:r w:rsidRPr="00881E81">
        <w:rPr>
          <w:rFonts w:ascii="Verdana" w:hAnsi="Verdana" w:cs="Arial"/>
          <w:color w:val="000000" w:themeColor="text1"/>
          <w:sz w:val="18"/>
          <w:szCs w:val="18"/>
        </w:rPr>
        <w:t>.</w:t>
      </w:r>
    </w:p>
    <w:p w14:paraId="64F49D87" w14:textId="77777777" w:rsidR="00370004" w:rsidRPr="00881E81" w:rsidRDefault="00370004" w:rsidP="00370004">
      <w:pPr>
        <w:pStyle w:val="Textonotapie"/>
        <w:jc w:val="both"/>
        <w:rPr>
          <w:rFonts w:ascii="Verdana" w:hAnsi="Verdana" w:cs="Arial"/>
          <w:color w:val="000000" w:themeColor="text1"/>
          <w:sz w:val="18"/>
          <w:szCs w:val="18"/>
        </w:rPr>
      </w:pPr>
    </w:p>
  </w:footnote>
  <w:footnote w:id="3">
    <w:p w14:paraId="23CB956D" w14:textId="77777777" w:rsidR="00206634" w:rsidRPr="00881E81" w:rsidRDefault="00206634" w:rsidP="00206634">
      <w:pPr>
        <w:pStyle w:val="Textonotapie"/>
        <w:ind w:firstLine="708"/>
        <w:rPr>
          <w:rFonts w:ascii="Verdana" w:hAnsi="Verdana" w:cs="Arial"/>
          <w:sz w:val="18"/>
          <w:szCs w:val="18"/>
        </w:rPr>
      </w:pPr>
      <w:r w:rsidRPr="00881E81">
        <w:rPr>
          <w:rStyle w:val="Refdenotaalpie"/>
          <w:rFonts w:ascii="Verdana" w:hAnsi="Verdana" w:cs="Arial"/>
          <w:sz w:val="18"/>
          <w:szCs w:val="18"/>
        </w:rPr>
        <w:footnoteRef/>
      </w:r>
      <w:r w:rsidRPr="00881E81">
        <w:rPr>
          <w:rFonts w:ascii="Verdana" w:hAnsi="Verdana" w:cs="Arial"/>
          <w:sz w:val="18"/>
          <w:szCs w:val="18"/>
        </w:rPr>
        <w:t xml:space="preserve"> COLOMBIA COMPRA EFICIENTE. Guía de garantías en procesos de contratación. p. 12. Disponible en: </w:t>
      </w:r>
      <w:hyperlink r:id="rId1" w:history="1">
        <w:r w:rsidRPr="00881E81">
          <w:rPr>
            <w:rStyle w:val="Hipervnculo"/>
            <w:rFonts w:ascii="Verdana" w:hAnsi="Verdana"/>
            <w:sz w:val="18"/>
            <w:szCs w:val="18"/>
          </w:rPr>
          <w:t>https://www.colombiacompra.gov.co/manuales-guias-y-pliegos-tipo/manuales-y-guias</w:t>
        </w:r>
      </w:hyperlink>
      <w:r w:rsidRPr="00881E81">
        <w:rPr>
          <w:rFonts w:ascii="Verdana" w:hAnsi="Verdana" w:cs="Arial"/>
          <w:sz w:val="18"/>
          <w:szCs w:val="18"/>
        </w:rPr>
        <w:t xml:space="preserve">. </w:t>
      </w:r>
    </w:p>
    <w:p w14:paraId="5430346A" w14:textId="77777777" w:rsidR="00206634" w:rsidRPr="00881E81" w:rsidRDefault="00206634" w:rsidP="00206634">
      <w:pPr>
        <w:pStyle w:val="Textonotapie"/>
        <w:ind w:firstLine="708"/>
        <w:rPr>
          <w:rFonts w:ascii="Verdana" w:hAnsi="Verdana" w:cs="Arial"/>
          <w:sz w:val="18"/>
          <w:szCs w:val="18"/>
          <w:lang w:val="es-CO"/>
        </w:rPr>
      </w:pPr>
    </w:p>
  </w:footnote>
  <w:footnote w:id="4">
    <w:p w14:paraId="58579ABA" w14:textId="7A1CEA2B" w:rsidR="00206634" w:rsidRPr="00881E81" w:rsidRDefault="00206634" w:rsidP="00206634">
      <w:pPr>
        <w:pStyle w:val="Textonotapie"/>
        <w:ind w:firstLine="708"/>
        <w:jc w:val="both"/>
        <w:rPr>
          <w:rFonts w:ascii="Verdana" w:hAnsi="Verdana" w:cs="Arial"/>
          <w:sz w:val="18"/>
          <w:szCs w:val="18"/>
        </w:rPr>
      </w:pPr>
      <w:r w:rsidRPr="00881E81">
        <w:rPr>
          <w:rStyle w:val="Refdenotaalpie"/>
          <w:rFonts w:ascii="Verdana" w:hAnsi="Verdana" w:cs="Arial"/>
          <w:sz w:val="18"/>
          <w:szCs w:val="18"/>
        </w:rPr>
        <w:footnoteRef/>
      </w:r>
      <w:r w:rsidRPr="00881E81">
        <w:rPr>
          <w:rFonts w:ascii="Verdana" w:hAnsi="Verdana" w:cs="Arial"/>
          <w:sz w:val="18"/>
          <w:szCs w:val="18"/>
        </w:rPr>
        <w:t xml:space="preserve"> </w:t>
      </w:r>
      <w:r w:rsidR="005A69ED" w:rsidRPr="00881E81">
        <w:rPr>
          <w:rFonts w:ascii="Verdana" w:hAnsi="Verdana" w:cs="Arial"/>
          <w:sz w:val="18"/>
          <w:szCs w:val="18"/>
        </w:rPr>
        <w:t>Ibidem</w:t>
      </w:r>
      <w:r w:rsidRPr="00881E81">
        <w:rPr>
          <w:rFonts w:ascii="Verdana" w:hAnsi="Verdana" w:cs="Arial"/>
          <w:sz w:val="18"/>
          <w:szCs w:val="18"/>
        </w:rPr>
        <w:t xml:space="preserve">., p. 17. La guía además señala en relación con las garantías bancarias y cartas de crédito stand </w:t>
      </w:r>
      <w:proofErr w:type="spellStart"/>
      <w:r w:rsidRPr="00881E81">
        <w:rPr>
          <w:rFonts w:ascii="Verdana" w:hAnsi="Verdana" w:cs="Arial"/>
          <w:sz w:val="18"/>
          <w:szCs w:val="18"/>
        </w:rPr>
        <w:t>by</w:t>
      </w:r>
      <w:proofErr w:type="spellEnd"/>
      <w:r w:rsidRPr="00881E81">
        <w:rPr>
          <w:rFonts w:ascii="Verdana" w:hAnsi="Verdana" w:cs="Arial"/>
          <w:sz w:val="18"/>
          <w:szCs w:val="18"/>
        </w:rPr>
        <w:t>, que “El compromiso del emisor es pagar al primer requerimiento del beneficiario de la garantía, por lo cual no es necesario que la Entidad Estatal demuestre que el incumplimiento efectivamente ha ocurrido, pero antes de cobrar este tipo de garantías, la Entidad Estatal debe llevar a cabo el procedimiento previsto por la ley para declarar el incumplimiento respecto del oferente o contratista”.</w:t>
      </w:r>
    </w:p>
  </w:footnote>
  <w:footnote w:id="5">
    <w:p w14:paraId="10AE6EA8" w14:textId="0CC442FA" w:rsidR="000D348A" w:rsidRPr="00881E81" w:rsidRDefault="000D348A" w:rsidP="00480D0A">
      <w:pPr>
        <w:pStyle w:val="Textonotapie"/>
        <w:ind w:left="708" w:firstLine="708"/>
        <w:rPr>
          <w:rFonts w:ascii="Verdana" w:hAnsi="Verdana"/>
          <w:sz w:val="18"/>
          <w:szCs w:val="18"/>
          <w:lang w:val="es-CO"/>
        </w:rPr>
      </w:pPr>
      <w:r w:rsidRPr="00881E81">
        <w:rPr>
          <w:rStyle w:val="Refdenotaalpie"/>
          <w:rFonts w:ascii="Verdana" w:hAnsi="Verdana"/>
          <w:sz w:val="18"/>
          <w:szCs w:val="18"/>
        </w:rPr>
        <w:footnoteRef/>
      </w:r>
      <w:r w:rsidRPr="00881E81">
        <w:rPr>
          <w:rFonts w:ascii="Verdana" w:hAnsi="Verdana"/>
          <w:sz w:val="18"/>
          <w:szCs w:val="18"/>
        </w:rPr>
        <w:t xml:space="preserve"> </w:t>
      </w:r>
      <w:r w:rsidR="00480D0A" w:rsidRPr="00881E81">
        <w:rPr>
          <w:rFonts w:ascii="Verdana" w:hAnsi="Verdana"/>
          <w:sz w:val="18"/>
          <w:szCs w:val="18"/>
        </w:rPr>
        <w:t>Ibid.</w:t>
      </w:r>
      <w:r w:rsidRPr="00881E81">
        <w:rPr>
          <w:rFonts w:ascii="Verdana" w:hAnsi="Verdana"/>
          <w:sz w:val="18"/>
          <w:szCs w:val="18"/>
        </w:rPr>
        <w:t xml:space="preserve">., pp. 5-6. </w:t>
      </w:r>
    </w:p>
  </w:footnote>
  <w:footnote w:id="6">
    <w:p w14:paraId="277671E8" w14:textId="77777777" w:rsidR="001317F2" w:rsidRPr="00881E81" w:rsidRDefault="001317F2" w:rsidP="00480D0A">
      <w:pPr>
        <w:pStyle w:val="Textonotapie"/>
        <w:ind w:firstLine="708"/>
        <w:jc w:val="both"/>
        <w:rPr>
          <w:rFonts w:ascii="Verdana" w:hAnsi="Verdana" w:cs="Arial"/>
          <w:color w:val="000000"/>
          <w:sz w:val="18"/>
          <w:szCs w:val="18"/>
          <w:lang w:val="es-CO"/>
        </w:rPr>
      </w:pPr>
      <w:r w:rsidRPr="00881E81">
        <w:rPr>
          <w:rStyle w:val="Refdenotaalpie"/>
          <w:rFonts w:ascii="Verdana" w:hAnsi="Verdana" w:cs="Arial"/>
          <w:sz w:val="18"/>
          <w:szCs w:val="18"/>
        </w:rPr>
        <w:footnoteRef/>
      </w:r>
      <w:r w:rsidRPr="00881E81">
        <w:rPr>
          <w:rFonts w:ascii="Verdana" w:hAnsi="Verdana" w:cs="Arial"/>
          <w:sz w:val="18"/>
          <w:szCs w:val="18"/>
        </w:rPr>
        <w:t xml:space="preserve"> </w:t>
      </w:r>
      <w:r w:rsidRPr="00881E81">
        <w:rPr>
          <w:rFonts w:ascii="Verdana" w:hAnsi="Verdana" w:cs="Arial"/>
          <w:color w:val="000000"/>
          <w:sz w:val="18"/>
          <w:szCs w:val="18"/>
          <w:lang w:val="es-CO"/>
        </w:rPr>
        <w:t xml:space="preserve">Consejo de Estado, Sala de lo Contencioso Administrativo, Sección Tercera, Subsección B, Sentencia de 23 de febrero de 2012, </w:t>
      </w:r>
      <w:proofErr w:type="spellStart"/>
      <w:r w:rsidRPr="00881E81">
        <w:rPr>
          <w:rFonts w:ascii="Verdana" w:hAnsi="Verdana" w:cs="Arial"/>
          <w:color w:val="000000"/>
          <w:sz w:val="18"/>
          <w:szCs w:val="18"/>
          <w:lang w:val="es-CO"/>
        </w:rPr>
        <w:t>Exp</w:t>
      </w:r>
      <w:proofErr w:type="spellEnd"/>
      <w:r w:rsidRPr="00881E81">
        <w:rPr>
          <w:rFonts w:ascii="Verdana" w:hAnsi="Verdana" w:cs="Arial"/>
          <w:color w:val="000000"/>
          <w:sz w:val="18"/>
          <w:szCs w:val="18"/>
          <w:lang w:val="es-CO"/>
        </w:rPr>
        <w:t>. 20.810.</w:t>
      </w:r>
    </w:p>
    <w:p w14:paraId="041DF5E2" w14:textId="77777777" w:rsidR="00480D0A" w:rsidRPr="00881E81" w:rsidRDefault="00480D0A" w:rsidP="001317F2">
      <w:pPr>
        <w:pStyle w:val="Textonotapie"/>
        <w:jc w:val="both"/>
        <w:rPr>
          <w:rFonts w:ascii="Verdana" w:hAnsi="Verdana" w:cs="Arial"/>
          <w:color w:val="000000"/>
          <w:sz w:val="18"/>
          <w:szCs w:val="18"/>
          <w:lang w:val="es-CO"/>
        </w:rPr>
      </w:pPr>
    </w:p>
  </w:footnote>
  <w:footnote w:id="7">
    <w:p w14:paraId="314FAC07" w14:textId="21BD8B51" w:rsidR="007F2537" w:rsidRPr="00881E81" w:rsidRDefault="007F2537" w:rsidP="00480D0A">
      <w:pPr>
        <w:pStyle w:val="Textonotapie"/>
        <w:ind w:firstLine="708"/>
        <w:jc w:val="both"/>
        <w:rPr>
          <w:rFonts w:ascii="Verdana" w:hAnsi="Verdana" w:cs="Arial"/>
          <w:sz w:val="18"/>
          <w:szCs w:val="18"/>
          <w:lang w:val="es-CO"/>
        </w:rPr>
      </w:pPr>
      <w:r w:rsidRPr="00881E81">
        <w:rPr>
          <w:rStyle w:val="Refdenotaalpie"/>
          <w:rFonts w:ascii="Verdana" w:hAnsi="Verdana" w:cs="Arial"/>
          <w:sz w:val="18"/>
          <w:szCs w:val="18"/>
        </w:rPr>
        <w:footnoteRef/>
      </w:r>
      <w:r w:rsidRPr="00881E81">
        <w:rPr>
          <w:rFonts w:ascii="Verdana" w:hAnsi="Verdana" w:cs="Arial"/>
          <w:sz w:val="18"/>
          <w:szCs w:val="18"/>
        </w:rPr>
        <w:t xml:space="preserve"> Consejo de Estado, Sala de lo Contencioso Administrativo, Sección Tercera. Subsección C, Sentencia de 28 de </w:t>
      </w:r>
      <w:r w:rsidR="005A69ED" w:rsidRPr="00881E81">
        <w:rPr>
          <w:rFonts w:ascii="Verdana" w:hAnsi="Verdana" w:cs="Arial"/>
          <w:sz w:val="18"/>
          <w:szCs w:val="18"/>
        </w:rPr>
        <w:t>febrero</w:t>
      </w:r>
      <w:r w:rsidRPr="00881E81">
        <w:rPr>
          <w:rFonts w:ascii="Verdana" w:hAnsi="Verdana" w:cs="Arial"/>
          <w:sz w:val="18"/>
          <w:szCs w:val="18"/>
        </w:rPr>
        <w:t xml:space="preserve"> de 2020, </w:t>
      </w:r>
      <w:proofErr w:type="spellStart"/>
      <w:r w:rsidRPr="00881E81">
        <w:rPr>
          <w:rFonts w:ascii="Verdana" w:hAnsi="Verdana" w:cs="Arial"/>
          <w:sz w:val="18"/>
          <w:szCs w:val="18"/>
        </w:rPr>
        <w:t>exp</w:t>
      </w:r>
      <w:proofErr w:type="spellEnd"/>
      <w:r w:rsidRPr="00881E81">
        <w:rPr>
          <w:rFonts w:ascii="Verdana" w:hAnsi="Verdana" w:cs="Arial"/>
          <w:sz w:val="18"/>
          <w:szCs w:val="18"/>
        </w:rPr>
        <w:t>. 46852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2061" w:hanging="360"/>
      </w:pPr>
      <w:rPr>
        <w:b/>
        <w:color w:val="000000" w:themeColor="text1"/>
      </w:rPr>
    </w:lvl>
    <w:lvl w:ilvl="1">
      <w:start w:val="2"/>
      <w:numFmt w:val="decimal"/>
      <w:isLgl/>
      <w:lvlText w:val="%1.%2"/>
      <w:lvlJc w:val="left"/>
      <w:pPr>
        <w:ind w:left="1701" w:hanging="360"/>
      </w:pPr>
    </w:lvl>
    <w:lvl w:ilvl="2">
      <w:start w:val="1"/>
      <w:numFmt w:val="decimal"/>
      <w:isLgl/>
      <w:lvlText w:val="%1.%2.%3"/>
      <w:lvlJc w:val="left"/>
      <w:pPr>
        <w:ind w:left="2421" w:hanging="720"/>
      </w:pPr>
    </w:lvl>
    <w:lvl w:ilvl="3">
      <w:start w:val="1"/>
      <w:numFmt w:val="decimal"/>
      <w:isLgl/>
      <w:lvlText w:val="%1.%2.%3.%4"/>
      <w:lvlJc w:val="left"/>
      <w:pPr>
        <w:ind w:left="2421" w:hanging="720"/>
      </w:pPr>
    </w:lvl>
    <w:lvl w:ilvl="4">
      <w:start w:val="1"/>
      <w:numFmt w:val="decimal"/>
      <w:isLgl/>
      <w:lvlText w:val="%1.%2.%3.%4.%5"/>
      <w:lvlJc w:val="left"/>
      <w:pPr>
        <w:ind w:left="2781" w:hanging="1080"/>
      </w:pPr>
    </w:lvl>
    <w:lvl w:ilvl="5">
      <w:start w:val="1"/>
      <w:numFmt w:val="decimal"/>
      <w:isLgl/>
      <w:lvlText w:val="%1.%2.%3.%4.%5.%6"/>
      <w:lvlJc w:val="left"/>
      <w:pPr>
        <w:ind w:left="2781" w:hanging="1080"/>
      </w:pPr>
    </w:lvl>
    <w:lvl w:ilvl="6">
      <w:start w:val="1"/>
      <w:numFmt w:val="decimal"/>
      <w:isLgl/>
      <w:lvlText w:val="%1.%2.%3.%4.%5.%6.%7"/>
      <w:lvlJc w:val="left"/>
      <w:pPr>
        <w:ind w:left="3141" w:hanging="1440"/>
      </w:pPr>
    </w:lvl>
    <w:lvl w:ilvl="7">
      <w:start w:val="1"/>
      <w:numFmt w:val="decimal"/>
      <w:isLgl/>
      <w:lvlText w:val="%1.%2.%3.%4.%5.%6.%7.%8"/>
      <w:lvlJc w:val="left"/>
      <w:pPr>
        <w:ind w:left="3141" w:hanging="1440"/>
      </w:pPr>
    </w:lvl>
    <w:lvl w:ilvl="8">
      <w:start w:val="1"/>
      <w:numFmt w:val="decimal"/>
      <w:isLgl/>
      <w:lvlText w:val="%1.%2.%3.%4.%5.%6.%7.%8.%9"/>
      <w:lvlJc w:val="left"/>
      <w:pPr>
        <w:ind w:left="350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AB03F22"/>
    <w:multiLevelType w:val="hybridMultilevel"/>
    <w:tmpl w:val="893064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0B4CAE"/>
    <w:multiLevelType w:val="hybridMultilevel"/>
    <w:tmpl w:val="143EF0F6"/>
    <w:lvl w:ilvl="0" w:tplc="7D2A22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392219"/>
    <w:multiLevelType w:val="hybridMultilevel"/>
    <w:tmpl w:val="F430768E"/>
    <w:lvl w:ilvl="0" w:tplc="CFE07C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4662020"/>
    <w:multiLevelType w:val="hybridMultilevel"/>
    <w:tmpl w:val="875EA614"/>
    <w:lvl w:ilvl="0" w:tplc="0EC6409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96A55DA"/>
    <w:multiLevelType w:val="hybridMultilevel"/>
    <w:tmpl w:val="B86EDF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10"/>
  </w:num>
  <w:num w:numId="2" w16cid:durableId="19822139">
    <w:abstractNumId w:val="2"/>
  </w:num>
  <w:num w:numId="3" w16cid:durableId="876742304">
    <w:abstractNumId w:val="8"/>
  </w:num>
  <w:num w:numId="4" w16cid:durableId="2451864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8"/>
  </w:num>
  <w:num w:numId="7" w16cid:durableId="1946422806">
    <w:abstractNumId w:val="9"/>
  </w:num>
  <w:num w:numId="8" w16cid:durableId="152644682">
    <w:abstractNumId w:val="17"/>
  </w:num>
  <w:num w:numId="9" w16cid:durableId="1317221377">
    <w:abstractNumId w:val="11"/>
  </w:num>
  <w:num w:numId="10" w16cid:durableId="1471245386">
    <w:abstractNumId w:val="16"/>
  </w:num>
  <w:num w:numId="11" w16cid:durableId="289172385">
    <w:abstractNumId w:val="12"/>
  </w:num>
  <w:num w:numId="12" w16cid:durableId="1470781324">
    <w:abstractNumId w:val="1"/>
  </w:num>
  <w:num w:numId="13" w16cid:durableId="1512908409">
    <w:abstractNumId w:val="7"/>
  </w:num>
  <w:num w:numId="14" w16cid:durableId="895897244">
    <w:abstractNumId w:val="19"/>
  </w:num>
  <w:num w:numId="15" w16cid:durableId="390349800">
    <w:abstractNumId w:val="14"/>
  </w:num>
  <w:num w:numId="16" w16cid:durableId="341274352">
    <w:abstractNumId w:val="0"/>
  </w:num>
  <w:num w:numId="17" w16cid:durableId="141628113">
    <w:abstractNumId w:val="3"/>
  </w:num>
  <w:num w:numId="18" w16cid:durableId="1818448139">
    <w:abstractNumId w:val="15"/>
  </w:num>
  <w:num w:numId="19" w16cid:durableId="717971240">
    <w:abstractNumId w:val="4"/>
  </w:num>
  <w:num w:numId="20" w16cid:durableId="274169353">
    <w:abstractNumId w:val="5"/>
  </w:num>
  <w:num w:numId="21" w16cid:durableId="750080745">
    <w:abstractNumId w:val="6"/>
  </w:num>
  <w:num w:numId="22" w16cid:durableId="6790895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11A7"/>
    <w:rsid w:val="00012752"/>
    <w:rsid w:val="000275E3"/>
    <w:rsid w:val="00033B60"/>
    <w:rsid w:val="00047E62"/>
    <w:rsid w:val="00051622"/>
    <w:rsid w:val="00061B2A"/>
    <w:rsid w:val="00082362"/>
    <w:rsid w:val="00091BE8"/>
    <w:rsid w:val="000A08AE"/>
    <w:rsid w:val="000A2A12"/>
    <w:rsid w:val="000A683E"/>
    <w:rsid w:val="000B09DD"/>
    <w:rsid w:val="000B19B9"/>
    <w:rsid w:val="000C5850"/>
    <w:rsid w:val="000D0334"/>
    <w:rsid w:val="000D348A"/>
    <w:rsid w:val="000D63C8"/>
    <w:rsid w:val="000E709D"/>
    <w:rsid w:val="000E787C"/>
    <w:rsid w:val="000F6486"/>
    <w:rsid w:val="00125105"/>
    <w:rsid w:val="00126B82"/>
    <w:rsid w:val="00127233"/>
    <w:rsid w:val="001317F2"/>
    <w:rsid w:val="00151A50"/>
    <w:rsid w:val="00165EFD"/>
    <w:rsid w:val="00173FB4"/>
    <w:rsid w:val="00194144"/>
    <w:rsid w:val="001A3F49"/>
    <w:rsid w:val="001C05A6"/>
    <w:rsid w:val="001C689D"/>
    <w:rsid w:val="001D1517"/>
    <w:rsid w:val="001E4177"/>
    <w:rsid w:val="001F0C57"/>
    <w:rsid w:val="001F7DC6"/>
    <w:rsid w:val="00206634"/>
    <w:rsid w:val="002142B6"/>
    <w:rsid w:val="002336A7"/>
    <w:rsid w:val="0023669C"/>
    <w:rsid w:val="002421BB"/>
    <w:rsid w:val="0025796E"/>
    <w:rsid w:val="002707A2"/>
    <w:rsid w:val="002951A0"/>
    <w:rsid w:val="002962BC"/>
    <w:rsid w:val="002A093D"/>
    <w:rsid w:val="002A0DD0"/>
    <w:rsid w:val="002A49AC"/>
    <w:rsid w:val="002A64FD"/>
    <w:rsid w:val="002B5C18"/>
    <w:rsid w:val="002C6498"/>
    <w:rsid w:val="002C7A84"/>
    <w:rsid w:val="002E4FD9"/>
    <w:rsid w:val="002E6D27"/>
    <w:rsid w:val="003127BA"/>
    <w:rsid w:val="00312EE7"/>
    <w:rsid w:val="00316EBA"/>
    <w:rsid w:val="00322A85"/>
    <w:rsid w:val="00324168"/>
    <w:rsid w:val="003448F4"/>
    <w:rsid w:val="00351C79"/>
    <w:rsid w:val="00370004"/>
    <w:rsid w:val="00374F5E"/>
    <w:rsid w:val="00377E3E"/>
    <w:rsid w:val="00391033"/>
    <w:rsid w:val="003A26D1"/>
    <w:rsid w:val="003A5842"/>
    <w:rsid w:val="003A779E"/>
    <w:rsid w:val="003D0F4D"/>
    <w:rsid w:val="003D5B0D"/>
    <w:rsid w:val="003E0499"/>
    <w:rsid w:val="003F3941"/>
    <w:rsid w:val="00406575"/>
    <w:rsid w:val="00417161"/>
    <w:rsid w:val="0042722E"/>
    <w:rsid w:val="004319C4"/>
    <w:rsid w:val="00441412"/>
    <w:rsid w:val="0044528D"/>
    <w:rsid w:val="004461D0"/>
    <w:rsid w:val="00446C7D"/>
    <w:rsid w:val="004639A5"/>
    <w:rsid w:val="00466974"/>
    <w:rsid w:val="0047282D"/>
    <w:rsid w:val="00480D0A"/>
    <w:rsid w:val="004A1847"/>
    <w:rsid w:val="004A305D"/>
    <w:rsid w:val="004A5C5B"/>
    <w:rsid w:val="004D1A38"/>
    <w:rsid w:val="004E2499"/>
    <w:rsid w:val="004F18A4"/>
    <w:rsid w:val="004F21C4"/>
    <w:rsid w:val="004F5E33"/>
    <w:rsid w:val="004F685F"/>
    <w:rsid w:val="005133CE"/>
    <w:rsid w:val="0052373D"/>
    <w:rsid w:val="0053535A"/>
    <w:rsid w:val="0054129D"/>
    <w:rsid w:val="005566E8"/>
    <w:rsid w:val="00574867"/>
    <w:rsid w:val="00591460"/>
    <w:rsid w:val="00592628"/>
    <w:rsid w:val="005A3618"/>
    <w:rsid w:val="005A69ED"/>
    <w:rsid w:val="005C3777"/>
    <w:rsid w:val="005C48A8"/>
    <w:rsid w:val="005C5CDC"/>
    <w:rsid w:val="005D3BD9"/>
    <w:rsid w:val="005D476C"/>
    <w:rsid w:val="005D5376"/>
    <w:rsid w:val="00605F34"/>
    <w:rsid w:val="00610812"/>
    <w:rsid w:val="00614EDB"/>
    <w:rsid w:val="006157A5"/>
    <w:rsid w:val="006219F8"/>
    <w:rsid w:val="00650FF7"/>
    <w:rsid w:val="00665D70"/>
    <w:rsid w:val="00667CD8"/>
    <w:rsid w:val="00671DAC"/>
    <w:rsid w:val="00674004"/>
    <w:rsid w:val="00674250"/>
    <w:rsid w:val="006900D9"/>
    <w:rsid w:val="00691D71"/>
    <w:rsid w:val="00692543"/>
    <w:rsid w:val="00697AB9"/>
    <w:rsid w:val="006A4232"/>
    <w:rsid w:val="006B0029"/>
    <w:rsid w:val="006C76A5"/>
    <w:rsid w:val="006D12F8"/>
    <w:rsid w:val="006E670B"/>
    <w:rsid w:val="006F216C"/>
    <w:rsid w:val="006F7455"/>
    <w:rsid w:val="00706C16"/>
    <w:rsid w:val="007507D0"/>
    <w:rsid w:val="00756841"/>
    <w:rsid w:val="007649AB"/>
    <w:rsid w:val="00771D0C"/>
    <w:rsid w:val="007833AC"/>
    <w:rsid w:val="0078448C"/>
    <w:rsid w:val="007B268C"/>
    <w:rsid w:val="007B323C"/>
    <w:rsid w:val="007B7171"/>
    <w:rsid w:val="007C0C0F"/>
    <w:rsid w:val="007C3DC2"/>
    <w:rsid w:val="007E5497"/>
    <w:rsid w:val="007F2537"/>
    <w:rsid w:val="0080307E"/>
    <w:rsid w:val="00806F20"/>
    <w:rsid w:val="00806F5F"/>
    <w:rsid w:val="00810E70"/>
    <w:rsid w:val="00820278"/>
    <w:rsid w:val="00827E8B"/>
    <w:rsid w:val="008453C9"/>
    <w:rsid w:val="00852393"/>
    <w:rsid w:val="008528C8"/>
    <w:rsid w:val="00881E81"/>
    <w:rsid w:val="00882D26"/>
    <w:rsid w:val="008843B6"/>
    <w:rsid w:val="00891928"/>
    <w:rsid w:val="008A3F39"/>
    <w:rsid w:val="008A446D"/>
    <w:rsid w:val="008B2CA1"/>
    <w:rsid w:val="008B5D81"/>
    <w:rsid w:val="008C6121"/>
    <w:rsid w:val="008D180B"/>
    <w:rsid w:val="008D6C5B"/>
    <w:rsid w:val="008D77D1"/>
    <w:rsid w:val="008E1470"/>
    <w:rsid w:val="008F0E7F"/>
    <w:rsid w:val="008F0EA7"/>
    <w:rsid w:val="00907E99"/>
    <w:rsid w:val="009128F4"/>
    <w:rsid w:val="00923EEF"/>
    <w:rsid w:val="0093577B"/>
    <w:rsid w:val="009419F9"/>
    <w:rsid w:val="00942B43"/>
    <w:rsid w:val="0095685E"/>
    <w:rsid w:val="00961B09"/>
    <w:rsid w:val="00965334"/>
    <w:rsid w:val="00967515"/>
    <w:rsid w:val="0097093E"/>
    <w:rsid w:val="009730A2"/>
    <w:rsid w:val="009842DF"/>
    <w:rsid w:val="009864F2"/>
    <w:rsid w:val="0099398B"/>
    <w:rsid w:val="009A0DFA"/>
    <w:rsid w:val="009B2D26"/>
    <w:rsid w:val="009B5F5B"/>
    <w:rsid w:val="009C71FA"/>
    <w:rsid w:val="009C72E7"/>
    <w:rsid w:val="009D16F4"/>
    <w:rsid w:val="009D3058"/>
    <w:rsid w:val="009F339B"/>
    <w:rsid w:val="009F3A13"/>
    <w:rsid w:val="00A122D3"/>
    <w:rsid w:val="00A17F13"/>
    <w:rsid w:val="00A20739"/>
    <w:rsid w:val="00A33C78"/>
    <w:rsid w:val="00A510F8"/>
    <w:rsid w:val="00A52004"/>
    <w:rsid w:val="00A52B10"/>
    <w:rsid w:val="00A61812"/>
    <w:rsid w:val="00A71788"/>
    <w:rsid w:val="00A80C84"/>
    <w:rsid w:val="00A85404"/>
    <w:rsid w:val="00A96C0E"/>
    <w:rsid w:val="00AA7080"/>
    <w:rsid w:val="00AB0ADB"/>
    <w:rsid w:val="00AC44C9"/>
    <w:rsid w:val="00AC6FF2"/>
    <w:rsid w:val="00AD36FE"/>
    <w:rsid w:val="00AE1D6B"/>
    <w:rsid w:val="00AF2CC2"/>
    <w:rsid w:val="00AF68C4"/>
    <w:rsid w:val="00B01B1A"/>
    <w:rsid w:val="00B25A5F"/>
    <w:rsid w:val="00B33DB7"/>
    <w:rsid w:val="00B45475"/>
    <w:rsid w:val="00B55FE8"/>
    <w:rsid w:val="00B654DB"/>
    <w:rsid w:val="00B66CD6"/>
    <w:rsid w:val="00B70C88"/>
    <w:rsid w:val="00B72171"/>
    <w:rsid w:val="00B72CD3"/>
    <w:rsid w:val="00B72FFF"/>
    <w:rsid w:val="00B82779"/>
    <w:rsid w:val="00B95426"/>
    <w:rsid w:val="00BC3D36"/>
    <w:rsid w:val="00BD0EB5"/>
    <w:rsid w:val="00BD7F72"/>
    <w:rsid w:val="00BE1090"/>
    <w:rsid w:val="00BF4A4E"/>
    <w:rsid w:val="00BF65A8"/>
    <w:rsid w:val="00C04FB3"/>
    <w:rsid w:val="00C154E1"/>
    <w:rsid w:val="00C330EB"/>
    <w:rsid w:val="00C55C28"/>
    <w:rsid w:val="00C60512"/>
    <w:rsid w:val="00C754BE"/>
    <w:rsid w:val="00C76B1C"/>
    <w:rsid w:val="00C83207"/>
    <w:rsid w:val="00C93966"/>
    <w:rsid w:val="00CA42EC"/>
    <w:rsid w:val="00CB61EE"/>
    <w:rsid w:val="00CB6357"/>
    <w:rsid w:val="00CC09CB"/>
    <w:rsid w:val="00CC1B26"/>
    <w:rsid w:val="00CC64B6"/>
    <w:rsid w:val="00CD77DF"/>
    <w:rsid w:val="00CD7E36"/>
    <w:rsid w:val="00D033CC"/>
    <w:rsid w:val="00D05693"/>
    <w:rsid w:val="00D1028A"/>
    <w:rsid w:val="00D134E1"/>
    <w:rsid w:val="00D16924"/>
    <w:rsid w:val="00D319C4"/>
    <w:rsid w:val="00D3219A"/>
    <w:rsid w:val="00D32656"/>
    <w:rsid w:val="00D337EC"/>
    <w:rsid w:val="00D423A2"/>
    <w:rsid w:val="00D520D8"/>
    <w:rsid w:val="00D57869"/>
    <w:rsid w:val="00D63AC2"/>
    <w:rsid w:val="00D7383B"/>
    <w:rsid w:val="00D77E9A"/>
    <w:rsid w:val="00DA231B"/>
    <w:rsid w:val="00DA23A0"/>
    <w:rsid w:val="00DA3593"/>
    <w:rsid w:val="00DB1449"/>
    <w:rsid w:val="00DB2CD8"/>
    <w:rsid w:val="00DB6902"/>
    <w:rsid w:val="00DC39FC"/>
    <w:rsid w:val="00DD3FBA"/>
    <w:rsid w:val="00DF33D6"/>
    <w:rsid w:val="00DF5254"/>
    <w:rsid w:val="00E062AE"/>
    <w:rsid w:val="00E16408"/>
    <w:rsid w:val="00E20894"/>
    <w:rsid w:val="00E245AB"/>
    <w:rsid w:val="00E2764C"/>
    <w:rsid w:val="00E27F2E"/>
    <w:rsid w:val="00E40E31"/>
    <w:rsid w:val="00E413EA"/>
    <w:rsid w:val="00E50AFE"/>
    <w:rsid w:val="00E50D78"/>
    <w:rsid w:val="00E547B2"/>
    <w:rsid w:val="00E71BB8"/>
    <w:rsid w:val="00E75C92"/>
    <w:rsid w:val="00E771DC"/>
    <w:rsid w:val="00E85350"/>
    <w:rsid w:val="00E8772A"/>
    <w:rsid w:val="00E90F47"/>
    <w:rsid w:val="00E90F6B"/>
    <w:rsid w:val="00E92C27"/>
    <w:rsid w:val="00E97987"/>
    <w:rsid w:val="00EA0E3D"/>
    <w:rsid w:val="00EA6419"/>
    <w:rsid w:val="00EC38A7"/>
    <w:rsid w:val="00ED0E71"/>
    <w:rsid w:val="00EE1AA8"/>
    <w:rsid w:val="00F05E66"/>
    <w:rsid w:val="00F251E6"/>
    <w:rsid w:val="00F31EDC"/>
    <w:rsid w:val="00F36EF7"/>
    <w:rsid w:val="00F462B3"/>
    <w:rsid w:val="00F5664F"/>
    <w:rsid w:val="00F666C4"/>
    <w:rsid w:val="00F71768"/>
    <w:rsid w:val="00F76AFC"/>
    <w:rsid w:val="00F82A26"/>
    <w:rsid w:val="00FA47C0"/>
    <w:rsid w:val="00FB3A91"/>
    <w:rsid w:val="00FB5DD1"/>
    <w:rsid w:val="00FC1304"/>
    <w:rsid w:val="00FC176E"/>
    <w:rsid w:val="00FC2B5D"/>
    <w:rsid w:val="00FC7658"/>
    <w:rsid w:val="00FE067A"/>
    <w:rsid w:val="00FF0FBA"/>
    <w:rsid w:val="00FF1449"/>
    <w:rsid w:val="00FF46D9"/>
    <w:rsid w:val="00FF54D2"/>
    <w:rsid w:val="00FF6B1B"/>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515"/>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E2499"/>
    <w:rPr>
      <w:rFonts w:ascii="Geomanist Light" w:hAnsi="Geomanist Light"/>
      <w:lang w:val="es-ES"/>
    </w:rPr>
  </w:style>
  <w:style w:type="paragraph" w:customStyle="1" w:styleId="Appelnotedebasde">
    <w:name w:val="Appel note de bas de..."/>
    <w:basedOn w:val="Normal"/>
    <w:link w:val="Refdenotaalpie"/>
    <w:uiPriority w:val="99"/>
    <w:rsid w:val="00206634"/>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07045">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544222194">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37635125">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836304931">
      <w:bodyDiv w:val="1"/>
      <w:marLeft w:val="0"/>
      <w:marRight w:val="0"/>
      <w:marTop w:val="0"/>
      <w:marBottom w:val="0"/>
      <w:divBdr>
        <w:top w:val="none" w:sz="0" w:space="0" w:color="auto"/>
        <w:left w:val="none" w:sz="0" w:space="0" w:color="auto"/>
        <w:bottom w:val="none" w:sz="0" w:space="0" w:color="auto"/>
        <w:right w:val="none" w:sz="0" w:space="0" w:color="auto"/>
      </w:divBdr>
    </w:div>
    <w:div w:id="890455579">
      <w:bodyDiv w:val="1"/>
      <w:marLeft w:val="0"/>
      <w:marRight w:val="0"/>
      <w:marTop w:val="0"/>
      <w:marBottom w:val="0"/>
      <w:divBdr>
        <w:top w:val="none" w:sz="0" w:space="0" w:color="auto"/>
        <w:left w:val="none" w:sz="0" w:space="0" w:color="auto"/>
        <w:bottom w:val="none" w:sz="0" w:space="0" w:color="auto"/>
        <w:right w:val="none" w:sz="0" w:space="0" w:color="auto"/>
      </w:divBdr>
    </w:div>
    <w:div w:id="1034114004">
      <w:bodyDiv w:val="1"/>
      <w:marLeft w:val="0"/>
      <w:marRight w:val="0"/>
      <w:marTop w:val="0"/>
      <w:marBottom w:val="0"/>
      <w:divBdr>
        <w:top w:val="none" w:sz="0" w:space="0" w:color="auto"/>
        <w:left w:val="none" w:sz="0" w:space="0" w:color="auto"/>
        <w:bottom w:val="none" w:sz="0" w:space="0" w:color="auto"/>
        <w:right w:val="none" w:sz="0" w:space="0" w:color="auto"/>
      </w:divBdr>
    </w:div>
    <w:div w:id="1038505457">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72523887">
      <w:bodyDiv w:val="1"/>
      <w:marLeft w:val="0"/>
      <w:marRight w:val="0"/>
      <w:marTop w:val="0"/>
      <w:marBottom w:val="0"/>
      <w:divBdr>
        <w:top w:val="none" w:sz="0" w:space="0" w:color="auto"/>
        <w:left w:val="none" w:sz="0" w:space="0" w:color="auto"/>
        <w:bottom w:val="none" w:sz="0" w:space="0" w:color="auto"/>
        <w:right w:val="none" w:sz="0" w:space="0" w:color="auto"/>
      </w:divBdr>
    </w:div>
    <w:div w:id="1215579420">
      <w:bodyDiv w:val="1"/>
      <w:marLeft w:val="0"/>
      <w:marRight w:val="0"/>
      <w:marTop w:val="0"/>
      <w:marBottom w:val="0"/>
      <w:divBdr>
        <w:top w:val="none" w:sz="0" w:space="0" w:color="auto"/>
        <w:left w:val="none" w:sz="0" w:space="0" w:color="auto"/>
        <w:bottom w:val="none" w:sz="0" w:space="0" w:color="auto"/>
        <w:right w:val="none" w:sz="0" w:space="0" w:color="auto"/>
      </w:divBdr>
    </w:div>
    <w:div w:id="1249579723">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427068315">
      <w:bodyDiv w:val="1"/>
      <w:marLeft w:val="0"/>
      <w:marRight w:val="0"/>
      <w:marTop w:val="0"/>
      <w:marBottom w:val="0"/>
      <w:divBdr>
        <w:top w:val="none" w:sz="0" w:space="0" w:color="auto"/>
        <w:left w:val="none" w:sz="0" w:space="0" w:color="auto"/>
        <w:bottom w:val="none" w:sz="0" w:space="0" w:color="auto"/>
        <w:right w:val="none" w:sz="0" w:space="0" w:color="auto"/>
      </w:divBdr>
    </w:div>
    <w:div w:id="1685207622">
      <w:bodyDiv w:val="1"/>
      <w:marLeft w:val="0"/>
      <w:marRight w:val="0"/>
      <w:marTop w:val="0"/>
      <w:marBottom w:val="0"/>
      <w:divBdr>
        <w:top w:val="none" w:sz="0" w:space="0" w:color="auto"/>
        <w:left w:val="none" w:sz="0" w:space="0" w:color="auto"/>
        <w:bottom w:val="none" w:sz="0" w:space="0" w:color="auto"/>
        <w:right w:val="none" w:sz="0" w:space="0" w:color="auto"/>
      </w:divBdr>
    </w:div>
    <w:div w:id="1705523556">
      <w:bodyDiv w:val="1"/>
      <w:marLeft w:val="0"/>
      <w:marRight w:val="0"/>
      <w:marTop w:val="0"/>
      <w:marBottom w:val="0"/>
      <w:divBdr>
        <w:top w:val="none" w:sz="0" w:space="0" w:color="auto"/>
        <w:left w:val="none" w:sz="0" w:space="0" w:color="auto"/>
        <w:bottom w:val="none" w:sz="0" w:space="0" w:color="auto"/>
        <w:right w:val="none" w:sz="0" w:space="0" w:color="auto"/>
      </w:divBdr>
    </w:div>
    <w:div w:id="1802650385">
      <w:bodyDiv w:val="1"/>
      <w:marLeft w:val="0"/>
      <w:marRight w:val="0"/>
      <w:marTop w:val="0"/>
      <w:marBottom w:val="0"/>
      <w:divBdr>
        <w:top w:val="none" w:sz="0" w:space="0" w:color="auto"/>
        <w:left w:val="none" w:sz="0" w:space="0" w:color="auto"/>
        <w:bottom w:val="none" w:sz="0" w:space="0" w:color="auto"/>
        <w:right w:val="none" w:sz="0" w:space="0" w:color="auto"/>
      </w:divBdr>
    </w:div>
    <w:div w:id="1805848795">
      <w:bodyDiv w:val="1"/>
      <w:marLeft w:val="0"/>
      <w:marRight w:val="0"/>
      <w:marTop w:val="0"/>
      <w:marBottom w:val="0"/>
      <w:divBdr>
        <w:top w:val="none" w:sz="0" w:space="0" w:color="auto"/>
        <w:left w:val="none" w:sz="0" w:space="0" w:color="auto"/>
        <w:bottom w:val="none" w:sz="0" w:space="0" w:color="auto"/>
        <w:right w:val="none" w:sz="0" w:space="0" w:color="auto"/>
      </w:divBdr>
    </w:div>
    <w:div w:id="1928924648">
      <w:bodyDiv w:val="1"/>
      <w:marLeft w:val="0"/>
      <w:marRight w:val="0"/>
      <w:marTop w:val="0"/>
      <w:marBottom w:val="0"/>
      <w:divBdr>
        <w:top w:val="none" w:sz="0" w:space="0" w:color="auto"/>
        <w:left w:val="none" w:sz="0" w:space="0" w:color="auto"/>
        <w:bottom w:val="none" w:sz="0" w:space="0" w:color="auto"/>
        <w:right w:val="none" w:sz="0" w:space="0" w:color="auto"/>
      </w:divBdr>
    </w:div>
    <w:div w:id="1982423756">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40081358">
      <w:bodyDiv w:val="1"/>
      <w:marLeft w:val="0"/>
      <w:marRight w:val="0"/>
      <w:marTop w:val="0"/>
      <w:marBottom w:val="0"/>
      <w:divBdr>
        <w:top w:val="none" w:sz="0" w:space="0" w:color="auto"/>
        <w:left w:val="none" w:sz="0" w:space="0" w:color="auto"/>
        <w:bottom w:val="none" w:sz="0" w:space="0" w:color="auto"/>
        <w:right w:val="none" w:sz="0" w:space="0" w:color="auto"/>
      </w:divBdr>
    </w:div>
    <w:div w:id="2071539141">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ites/cce_public/files/cce_circulares/circular_externa_unica_version_3_vf49.pdf"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olombiacompra.gov.co/sites/cce_public/files/cce_documents/cce_guia_garantias.pdf" TargetMode="External"/><Relationship Id="rId17" Type="http://schemas.openxmlformats.org/officeDocument/2006/relationships/hyperlink" Target="https://nam02.safelinks.protection.outlook.com/?url=https%3A%2F%2Fwww.colombiacompra.gov.co%2Fsites%2Fcce_public%2Ffiles%2Ffiles_2020%2Fboletin_de_realtoria_iii.pdf&amp;data=05%7C02%7Cana.ortizb%40colombiacompra.gov.co%7C5aad36a736844ec87b2108dcc1fa4639%7C7b09041e245149d08cb179d5e3d8c1be%7C0%7C0%7C638598527916501665%7CUnknown%7CTWFpbGZsb3d8eyJWIjoiMC4wLjAwMDAiLCJQIjoiV2luMzIiLCJBTiI6Ik1haWwiLCJXVCI6Mn0%3D%7C0%7C%7C%7C&amp;sdata=Xt5KL%2F0GJYkS2i6TTfJyLtz9Ein9fwrAQ39aJDBwY5o%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rueda266@unab.edu.co" TargetMode="External"/><Relationship Id="rId5" Type="http://schemas.openxmlformats.org/officeDocument/2006/relationships/styles" Target="styles.xml"/><Relationship Id="rId15" Type="http://schemas.openxmlformats.org/officeDocument/2006/relationships/hyperlink" Target="https://www.colombiacompra.gov.co/manuales-guias-y-pliegos-tipo/manuales-y-guias"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providencias-consejo-de-estado/"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manuales-guias-y-pliegos-tipo/manuales-y-gui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infopath/2007/PartnerControls"/>
    <ds:schemaRef ds:uri="http://schemas.microsoft.com/office/2006/metadata/properties"/>
    <ds:schemaRef ds:uri="8ae15d26-076e-464e-81a7-6f76a0fb3917"/>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36c82cfe-0eda-494d-b392-a9281b89aaf0"/>
    <ds:schemaRef ds:uri="http://www.w3.org/XML/1998/namespace"/>
  </ds:schemaRefs>
</ds:datastoreItem>
</file>

<file path=customXml/itemProps2.xml><?xml version="1.0" encoding="utf-8"?>
<ds:datastoreItem xmlns:ds="http://schemas.openxmlformats.org/officeDocument/2006/customXml" ds:itemID="{DC47E3C7-FD5F-48BB-8C72-22ACBE9705D4}"/>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4127</Words>
  <Characters>22701</Characters>
  <Application>Microsoft Office Word</Application>
  <DocSecurity>0</DocSecurity>
  <Lines>189</Lines>
  <Paragraphs>53</Paragraphs>
  <ScaleCrop>false</ScaleCrop>
  <Company/>
  <LinksUpToDate>false</LinksUpToDate>
  <CharactersWithSpaces>26775</CharactersWithSpaces>
  <SharedDoc>false</SharedDoc>
  <HLinks>
    <vt:vector size="12" baseType="variant">
      <vt:variant>
        <vt:i4>7405618</vt:i4>
      </vt:variant>
      <vt:variant>
        <vt:i4>3</vt:i4>
      </vt:variant>
      <vt:variant>
        <vt:i4>0</vt:i4>
      </vt:variant>
      <vt:variant>
        <vt:i4>5</vt:i4>
      </vt:variant>
      <vt:variant>
        <vt:lpwstr>https://nam02.safelinks.protection.outlook.com/?url=https%3A%2F%2Fwww.colombiacompra.gov.co%2Fsala-de-prensa%2Finfografias%2Finstructivo-para-visualizar-anexos-en-un-archivo-pdf&amp;data=05%7C01%7Csergio.caballero%40colombiacompra.gov.co%7Ca4dfcf066f0248f713f008da65a65aa4%7C7b09041e245149d08cb179d5e3d8c1be%7C0%7C0%7C637934062550982134%7CUnknown%7CTWFpbGZsb3d8eyJWIjoiMC4wLjAwMDAiLCJQIjoiV2luMzIiLCJBTiI6Ik1haWwiLCJXVCI6Mn0%3D%7C3000%7C%7C%7C&amp;sdata=GsOqIIle3WKl%2BGqjdk2uXda18rkS3LlXwkCZ8%2BWAMLY%3D&amp;reserved=0</vt:lpwstr>
      </vt:variant>
      <vt:variant>
        <vt:lpwstr/>
      </vt:variant>
      <vt:variant>
        <vt:i4>6029407</vt:i4>
      </vt:variant>
      <vt:variant>
        <vt:i4>0</vt:i4>
      </vt:variant>
      <vt:variant>
        <vt:i4>0</vt:i4>
      </vt:variant>
      <vt:variant>
        <vt:i4>5</vt:i4>
      </vt:variant>
      <vt:variant>
        <vt:lpwstr>http://www.colombiacompra.gov.co/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luby yolanda stella ballesteros avila</cp:lastModifiedBy>
  <cp:revision>65</cp:revision>
  <cp:lastPrinted>2023-01-10T21:18:00Z</cp:lastPrinted>
  <dcterms:created xsi:type="dcterms:W3CDTF">2024-09-10T03:39:00Z</dcterms:created>
  <dcterms:modified xsi:type="dcterms:W3CDTF">2024-09-10T20:59:00Z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