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87F8C" w14:textId="77777777" w:rsidR="00FE4EB4" w:rsidRPr="0044528D" w:rsidRDefault="00FE4EB4" w:rsidP="00FE4EB4">
      <w:pPr>
        <w:spacing w:after="0"/>
        <w:rPr>
          <w:rFonts w:ascii="Verdana" w:hAnsi="Verdana"/>
        </w:rPr>
      </w:pPr>
      <w:bookmarkStart w:id="0" w:name="_Hlk143780582"/>
      <w:r w:rsidRPr="0044528D">
        <w:rPr>
          <w:rFonts w:ascii="Verdana" w:hAnsi="Verdana"/>
        </w:rPr>
        <w:tab/>
      </w:r>
    </w:p>
    <w:p w14:paraId="24F2088F" w14:textId="77777777" w:rsidR="00FE4EB4" w:rsidRPr="0044528D" w:rsidRDefault="00FE4EB4" w:rsidP="00FE4EB4">
      <w:pPr>
        <w:spacing w:after="0"/>
        <w:rPr>
          <w:rFonts w:ascii="Verdana" w:hAnsi="Verdana"/>
        </w:rPr>
      </w:pPr>
    </w:p>
    <w:p w14:paraId="743F2299" w14:textId="77777777" w:rsidR="00FE4EB4" w:rsidRPr="002D3E33" w:rsidRDefault="00FE4EB4" w:rsidP="00FE4EB4">
      <w:pPr>
        <w:spacing w:after="0" w:line="240" w:lineRule="auto"/>
        <w:jc w:val="both"/>
        <w:rPr>
          <w:rFonts w:ascii="Verdana" w:eastAsia="Calibri" w:hAnsi="Verdana" w:cs="Arial"/>
          <w:b/>
          <w:bCs/>
          <w:sz w:val="21"/>
          <w:szCs w:val="21"/>
          <w:lang w:val="es-ES"/>
        </w:rPr>
      </w:pPr>
      <w:r w:rsidRPr="002D3E33">
        <w:rPr>
          <w:rFonts w:ascii="Verdana" w:eastAsia="Calibri" w:hAnsi="Verdana" w:cs="Arial"/>
          <w:b/>
          <w:bCs/>
          <w:sz w:val="21"/>
          <w:szCs w:val="21"/>
          <w:lang w:val="es-ES"/>
        </w:rPr>
        <w:t>D</w:t>
      </w:r>
      <w:bookmarkStart w:id="1" w:name="_GoBack"/>
      <w:bookmarkEnd w:id="1"/>
      <w:r w:rsidRPr="002D3E33">
        <w:rPr>
          <w:rFonts w:ascii="Verdana" w:eastAsia="Calibri" w:hAnsi="Verdana" w:cs="Arial"/>
          <w:b/>
          <w:bCs/>
          <w:sz w:val="21"/>
          <w:szCs w:val="21"/>
          <w:lang w:val="es-ES"/>
        </w:rPr>
        <w:t xml:space="preserve">OCUMENTOS DEL PROCESO – Noción – Deber de publicación </w:t>
      </w:r>
    </w:p>
    <w:p w14:paraId="351F40D1" w14:textId="77777777" w:rsidR="00FE4EB4" w:rsidRPr="002D3E33" w:rsidRDefault="00FE4EB4" w:rsidP="00FE4EB4">
      <w:pPr>
        <w:spacing w:after="0" w:line="240" w:lineRule="auto"/>
        <w:jc w:val="both"/>
        <w:rPr>
          <w:rFonts w:ascii="Verdana" w:eastAsia="Calibri" w:hAnsi="Verdana" w:cs="Arial"/>
          <w:sz w:val="21"/>
          <w:szCs w:val="21"/>
          <w:lang w:val="es-ES"/>
        </w:rPr>
      </w:pPr>
    </w:p>
    <w:p w14:paraId="0B0667DF" w14:textId="77777777" w:rsidR="00FE4EB4" w:rsidRPr="002D3E33" w:rsidRDefault="00FE4EB4" w:rsidP="00FE4EB4">
      <w:pPr>
        <w:spacing w:after="0" w:line="240" w:lineRule="auto"/>
        <w:jc w:val="both"/>
        <w:rPr>
          <w:rFonts w:ascii="Verdana" w:eastAsia="Calibri" w:hAnsi="Verdana" w:cs="Arial"/>
          <w:sz w:val="21"/>
          <w:szCs w:val="21"/>
          <w:lang w:val="es-ES"/>
        </w:rPr>
      </w:pPr>
      <w:r w:rsidRPr="002D3E33">
        <w:rPr>
          <w:rFonts w:ascii="Verdana" w:eastAsia="Calibri" w:hAnsi="Verdana" w:cs="Arial"/>
          <w:sz w:val="21"/>
          <w:szCs w:val="21"/>
          <w:lang w:val="es-ES"/>
        </w:rPr>
        <w:t>(…) 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0FCB969A" w14:textId="77777777" w:rsidR="00FE4EB4" w:rsidRPr="002D3E33" w:rsidRDefault="00FE4EB4" w:rsidP="00FE4EB4">
      <w:pPr>
        <w:spacing w:after="0" w:line="240" w:lineRule="auto"/>
        <w:jc w:val="both"/>
        <w:rPr>
          <w:rFonts w:ascii="Verdana" w:eastAsia="Calibri" w:hAnsi="Verdana" w:cs="Arial"/>
          <w:sz w:val="21"/>
          <w:szCs w:val="21"/>
          <w:lang w:val="es-ES"/>
        </w:rPr>
      </w:pPr>
      <w:r w:rsidRPr="002D3E33">
        <w:rPr>
          <w:rFonts w:ascii="Verdana" w:eastAsia="Calibri" w:hAnsi="Verdana" w:cs="Arial"/>
          <w:sz w:val="21"/>
          <w:szCs w:val="21"/>
          <w:lang w:val="es-ES"/>
        </w:rPr>
        <w:t>(…)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Ibídem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105D5B74" w14:textId="77777777" w:rsidR="00FE4EB4" w:rsidRPr="002D3E33" w:rsidRDefault="00FE4EB4" w:rsidP="00FE4EB4">
      <w:pPr>
        <w:spacing w:after="0" w:line="240" w:lineRule="auto"/>
        <w:jc w:val="both"/>
        <w:rPr>
          <w:rFonts w:ascii="Verdana" w:eastAsia="Calibri" w:hAnsi="Verdana" w:cs="Arial"/>
          <w:sz w:val="21"/>
          <w:szCs w:val="21"/>
          <w:lang w:val="es-ES"/>
        </w:rPr>
      </w:pPr>
      <w:r w:rsidRPr="002D3E33">
        <w:rPr>
          <w:rFonts w:ascii="Verdana" w:eastAsia="Calibri" w:hAnsi="Verdana" w:cs="Arial"/>
          <w:sz w:val="21"/>
          <w:szCs w:val="21"/>
          <w:lang w:val="es-ES"/>
        </w:rPr>
        <w:t>Respecto al plan Anual de Adquisiciones no forma parte de la noción de Documentos del Proceso, ni hace parte del Proceso de Contratación, conforme al artículo 2.2.1.1.1.3.1 del Decreto 1082 de 2015, por lo que el deber de publicarlo encuentra apoyo en normas distintas del artículo 2.2.1.1.1.7.1 Ibídem. Es el artículo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688A2BE2" w14:textId="77777777" w:rsidR="00FE4EB4" w:rsidRPr="002D3E33" w:rsidRDefault="00FE4EB4" w:rsidP="00FE4EB4">
      <w:pPr>
        <w:spacing w:after="0" w:line="240" w:lineRule="auto"/>
        <w:jc w:val="both"/>
        <w:rPr>
          <w:rFonts w:ascii="Verdana" w:eastAsia="Calibri" w:hAnsi="Verdana" w:cs="Arial"/>
          <w:sz w:val="21"/>
          <w:szCs w:val="21"/>
          <w:lang w:val="es-ES"/>
        </w:rPr>
      </w:pPr>
    </w:p>
    <w:p w14:paraId="17C26687" w14:textId="23309E63" w:rsidR="00FE4EB4" w:rsidRPr="002D3E33" w:rsidRDefault="00FE4EB4" w:rsidP="00FE4EB4">
      <w:pPr>
        <w:spacing w:after="0" w:line="240" w:lineRule="auto"/>
        <w:jc w:val="both"/>
        <w:rPr>
          <w:rFonts w:ascii="Verdana" w:eastAsia="Calibri" w:hAnsi="Verdana" w:cs="Arial"/>
          <w:b/>
          <w:bCs/>
          <w:sz w:val="21"/>
          <w:szCs w:val="21"/>
          <w:lang w:val="es-ES"/>
        </w:rPr>
      </w:pPr>
      <w:r w:rsidRPr="002D3E33">
        <w:rPr>
          <w:rFonts w:ascii="Verdana" w:eastAsia="Calibri" w:hAnsi="Verdana" w:cs="Arial"/>
          <w:b/>
          <w:bCs/>
          <w:sz w:val="21"/>
          <w:szCs w:val="21"/>
          <w:lang w:val="es-ES"/>
        </w:rPr>
        <w:t>SECOP II- Plataforma Transaccional</w:t>
      </w:r>
    </w:p>
    <w:p w14:paraId="17E41253" w14:textId="77777777" w:rsidR="00FE4EB4" w:rsidRPr="002D3E33" w:rsidRDefault="00FE4EB4" w:rsidP="00FE4EB4">
      <w:pPr>
        <w:spacing w:after="0" w:line="240" w:lineRule="auto"/>
        <w:jc w:val="both"/>
        <w:rPr>
          <w:rFonts w:ascii="Verdana" w:eastAsia="Calibri" w:hAnsi="Verdana" w:cs="Arial"/>
          <w:sz w:val="21"/>
          <w:szCs w:val="21"/>
          <w:lang w:val="es-ES"/>
        </w:rPr>
      </w:pPr>
    </w:p>
    <w:p w14:paraId="239FC65B" w14:textId="77777777" w:rsidR="00FE4EB4" w:rsidRPr="002D3E33" w:rsidRDefault="00FE4EB4" w:rsidP="00FE4EB4">
      <w:pPr>
        <w:spacing w:after="0" w:line="240" w:lineRule="auto"/>
        <w:jc w:val="both"/>
        <w:rPr>
          <w:rFonts w:ascii="Verdana" w:eastAsia="Calibri" w:hAnsi="Verdana" w:cs="Arial"/>
          <w:sz w:val="21"/>
          <w:szCs w:val="21"/>
          <w:lang w:val="es-ES"/>
        </w:rPr>
      </w:pPr>
      <w:r w:rsidRPr="002D3E33">
        <w:rPr>
          <w:rFonts w:ascii="Verdana" w:eastAsia="Calibri" w:hAnsi="Verdana" w:cs="Arial"/>
          <w:sz w:val="21"/>
          <w:szCs w:val="21"/>
          <w:lang w:val="es-ES"/>
        </w:rPr>
        <w:t xml:space="preserve">El SECOP II es una plataforma transaccional, que permite gestionar en línea los procedimientos de contratación, con cuentas y usuarios asociados a estas, para las entidades y los proveedores, y vista pública para cualquier interesado en hacer </w:t>
      </w:r>
      <w:r w:rsidRPr="002D3E33">
        <w:rPr>
          <w:rFonts w:ascii="Verdana" w:eastAsia="Calibri" w:hAnsi="Verdana" w:cs="Arial"/>
          <w:sz w:val="21"/>
          <w:szCs w:val="21"/>
          <w:lang w:val="es-ES"/>
        </w:rPr>
        <w:lastRenderedPageBreak/>
        <w:t>seguimiento a la contratación pública. Desde sus cuentas, las entidades crean, evalúan y adjudican procedimientos de contratación, y gestionan la fase de ejecución e incluso post contractual del contrato. Los proveedores pueden hacer comentarios a los documentos del procedimiento, presentar ofertas, seguir el procedimiento de selección en línea, cargar documentación de la ejecución del contrato, entre otros.</w:t>
      </w:r>
    </w:p>
    <w:p w14:paraId="4389607C" w14:textId="77777777" w:rsidR="00FE4EB4" w:rsidRPr="002D3E33" w:rsidRDefault="00FE4EB4" w:rsidP="00FE4EB4">
      <w:pPr>
        <w:spacing w:after="0" w:line="240" w:lineRule="auto"/>
        <w:jc w:val="both"/>
        <w:rPr>
          <w:rFonts w:ascii="Verdana" w:eastAsia="Calibri" w:hAnsi="Verdana" w:cs="Arial"/>
          <w:sz w:val="21"/>
          <w:szCs w:val="21"/>
          <w:lang w:val="es-ES"/>
        </w:rPr>
      </w:pPr>
    </w:p>
    <w:p w14:paraId="08473D35" w14:textId="77777777" w:rsidR="00FE4EB4" w:rsidRPr="002D3E33" w:rsidRDefault="00FE4EB4" w:rsidP="00FE4EB4">
      <w:pPr>
        <w:spacing w:after="0" w:line="240" w:lineRule="auto"/>
        <w:jc w:val="both"/>
        <w:rPr>
          <w:rFonts w:ascii="Verdana" w:eastAsia="Calibri" w:hAnsi="Verdana" w:cs="Arial"/>
          <w:sz w:val="21"/>
          <w:szCs w:val="21"/>
          <w:lang w:val="es-ES" w:eastAsia="es-ES"/>
        </w:rPr>
      </w:pPr>
    </w:p>
    <w:p w14:paraId="3003CAA9" w14:textId="77777777" w:rsidR="00FE4EB4" w:rsidRPr="002D3E33" w:rsidRDefault="00FE4EB4" w:rsidP="00FE4EB4">
      <w:pPr>
        <w:spacing w:after="0" w:line="240" w:lineRule="auto"/>
        <w:jc w:val="both"/>
        <w:rPr>
          <w:rFonts w:ascii="Verdana" w:eastAsia="Calibri" w:hAnsi="Verdana" w:cs="Arial"/>
          <w:sz w:val="21"/>
          <w:szCs w:val="21"/>
          <w:lang w:val="es-ES" w:eastAsia="es-ES"/>
        </w:rPr>
      </w:pPr>
    </w:p>
    <w:p w14:paraId="1C8275E9" w14:textId="77777777" w:rsidR="00FE4EB4" w:rsidRPr="002D3E33" w:rsidRDefault="00FE4EB4" w:rsidP="00FE4EB4">
      <w:pPr>
        <w:spacing w:after="0" w:line="240" w:lineRule="auto"/>
        <w:jc w:val="both"/>
        <w:rPr>
          <w:rFonts w:ascii="Verdana" w:eastAsia="Calibri" w:hAnsi="Verdana" w:cs="Arial"/>
          <w:sz w:val="21"/>
          <w:szCs w:val="21"/>
          <w:lang w:val="es-ES" w:eastAsia="es-ES"/>
        </w:rPr>
      </w:pPr>
    </w:p>
    <w:p w14:paraId="53F22E2E" w14:textId="77777777" w:rsidR="00FE4EB4" w:rsidRPr="002D3E33" w:rsidRDefault="00FE4EB4" w:rsidP="00FE4EB4">
      <w:pPr>
        <w:spacing w:after="0" w:line="240" w:lineRule="auto"/>
        <w:jc w:val="both"/>
        <w:rPr>
          <w:rFonts w:ascii="Verdana" w:eastAsia="Calibri" w:hAnsi="Verdana" w:cs="Arial"/>
          <w:sz w:val="21"/>
          <w:szCs w:val="21"/>
          <w:lang w:val="es-ES" w:eastAsia="es-ES"/>
        </w:rPr>
      </w:pPr>
    </w:p>
    <w:p w14:paraId="0CE27FF1" w14:textId="77777777" w:rsidR="00FE4EB4" w:rsidRPr="00CD2674" w:rsidRDefault="00FE4EB4" w:rsidP="00FE4EB4">
      <w:pPr>
        <w:spacing w:after="0" w:line="240" w:lineRule="auto"/>
        <w:jc w:val="both"/>
        <w:rPr>
          <w:rFonts w:ascii="Verdana" w:eastAsia="Calibri" w:hAnsi="Verdana" w:cs="Arial"/>
          <w:lang w:val="es-ES" w:eastAsia="es-ES"/>
        </w:rPr>
      </w:pPr>
    </w:p>
    <w:p w14:paraId="6853033C" w14:textId="77777777" w:rsidR="00FE4EB4" w:rsidRPr="00CD2674" w:rsidRDefault="00FE4EB4" w:rsidP="00FE4EB4">
      <w:pPr>
        <w:spacing w:after="0" w:line="240" w:lineRule="auto"/>
        <w:jc w:val="both"/>
        <w:rPr>
          <w:rFonts w:ascii="Verdana" w:eastAsia="Calibri" w:hAnsi="Verdana" w:cs="Arial"/>
          <w:lang w:val="es-ES" w:eastAsia="es-ES"/>
        </w:rPr>
      </w:pPr>
    </w:p>
    <w:p w14:paraId="53B007F6" w14:textId="77777777" w:rsidR="00FE4EB4" w:rsidRPr="00CD2674" w:rsidRDefault="00FE4EB4" w:rsidP="00FE4EB4">
      <w:pPr>
        <w:spacing w:after="0" w:line="240" w:lineRule="auto"/>
        <w:jc w:val="both"/>
        <w:rPr>
          <w:rFonts w:ascii="Verdana" w:eastAsia="Calibri" w:hAnsi="Verdana" w:cs="Arial"/>
          <w:lang w:val="es-ES" w:eastAsia="es-ES"/>
        </w:rPr>
      </w:pPr>
    </w:p>
    <w:p w14:paraId="232E492D" w14:textId="77777777" w:rsidR="00FE4EB4" w:rsidRPr="00CD2674" w:rsidRDefault="00FE4EB4" w:rsidP="00FE4EB4">
      <w:pPr>
        <w:spacing w:after="0" w:line="240" w:lineRule="auto"/>
        <w:jc w:val="both"/>
        <w:rPr>
          <w:rFonts w:ascii="Verdana" w:eastAsia="Calibri" w:hAnsi="Verdana" w:cs="Arial"/>
          <w:lang w:val="es-ES" w:eastAsia="es-ES"/>
        </w:rPr>
      </w:pPr>
    </w:p>
    <w:p w14:paraId="41BA10E6" w14:textId="77777777" w:rsidR="00FE4EB4" w:rsidRPr="00CD2674" w:rsidRDefault="00FE4EB4" w:rsidP="00FE4EB4">
      <w:pPr>
        <w:spacing w:after="0" w:line="240" w:lineRule="auto"/>
        <w:jc w:val="both"/>
        <w:rPr>
          <w:rFonts w:ascii="Verdana" w:eastAsia="Calibri" w:hAnsi="Verdana" w:cs="Arial"/>
          <w:lang w:val="es-ES" w:eastAsia="es-ES"/>
        </w:rPr>
      </w:pPr>
    </w:p>
    <w:p w14:paraId="1A272152" w14:textId="77777777" w:rsidR="00FE4EB4" w:rsidRPr="00CD2674" w:rsidRDefault="00FE4EB4" w:rsidP="00FE4EB4">
      <w:pPr>
        <w:spacing w:after="0" w:line="240" w:lineRule="auto"/>
        <w:jc w:val="both"/>
        <w:rPr>
          <w:rFonts w:ascii="Verdana" w:eastAsia="Calibri" w:hAnsi="Verdana" w:cs="Arial"/>
          <w:lang w:val="es-ES" w:eastAsia="es-ES"/>
        </w:rPr>
      </w:pPr>
    </w:p>
    <w:p w14:paraId="6A36117E" w14:textId="77777777" w:rsidR="00FE4EB4" w:rsidRPr="00CD2674" w:rsidRDefault="00FE4EB4" w:rsidP="00FE4EB4">
      <w:pPr>
        <w:spacing w:after="0" w:line="240" w:lineRule="auto"/>
        <w:jc w:val="both"/>
        <w:rPr>
          <w:rFonts w:ascii="Verdana" w:eastAsia="Calibri" w:hAnsi="Verdana" w:cs="Arial"/>
          <w:lang w:val="es-ES" w:eastAsia="es-ES"/>
        </w:rPr>
      </w:pPr>
    </w:p>
    <w:p w14:paraId="3749EC49" w14:textId="77777777" w:rsidR="00FE4EB4" w:rsidRPr="00CD2674" w:rsidRDefault="00FE4EB4" w:rsidP="00FE4EB4">
      <w:pPr>
        <w:spacing w:after="0" w:line="240" w:lineRule="auto"/>
        <w:jc w:val="both"/>
        <w:rPr>
          <w:rFonts w:ascii="Verdana" w:eastAsia="Calibri" w:hAnsi="Verdana" w:cs="Arial"/>
          <w:lang w:val="es-ES" w:eastAsia="es-ES"/>
        </w:rPr>
      </w:pPr>
    </w:p>
    <w:p w14:paraId="29FA7A5F" w14:textId="77777777" w:rsidR="00FE4EB4" w:rsidRPr="00CD2674" w:rsidRDefault="00FE4EB4" w:rsidP="00FE4EB4">
      <w:pPr>
        <w:spacing w:after="0" w:line="240" w:lineRule="auto"/>
        <w:jc w:val="both"/>
        <w:rPr>
          <w:rFonts w:ascii="Verdana" w:eastAsia="Calibri" w:hAnsi="Verdana" w:cs="Arial"/>
          <w:lang w:val="es-ES" w:eastAsia="es-ES"/>
        </w:rPr>
      </w:pPr>
    </w:p>
    <w:p w14:paraId="09355DCA" w14:textId="77777777" w:rsidR="00FE4EB4" w:rsidRPr="00CD2674" w:rsidRDefault="00FE4EB4" w:rsidP="00FE4EB4">
      <w:pPr>
        <w:spacing w:after="0" w:line="240" w:lineRule="auto"/>
        <w:jc w:val="both"/>
        <w:rPr>
          <w:rFonts w:ascii="Verdana" w:eastAsia="Calibri" w:hAnsi="Verdana" w:cs="Arial"/>
          <w:lang w:val="es-ES" w:eastAsia="es-ES"/>
        </w:rPr>
      </w:pPr>
    </w:p>
    <w:p w14:paraId="5F5BC89A" w14:textId="77777777" w:rsidR="00FE4EB4" w:rsidRPr="00CD2674" w:rsidRDefault="00FE4EB4" w:rsidP="00FE4EB4">
      <w:pPr>
        <w:spacing w:after="0" w:line="240" w:lineRule="auto"/>
        <w:jc w:val="both"/>
        <w:rPr>
          <w:rFonts w:ascii="Verdana" w:eastAsia="Calibri" w:hAnsi="Verdana" w:cs="Arial"/>
          <w:lang w:val="es-ES" w:eastAsia="es-ES"/>
        </w:rPr>
      </w:pPr>
    </w:p>
    <w:p w14:paraId="5F2B9AF4" w14:textId="77777777" w:rsidR="00FE4EB4" w:rsidRPr="00CD2674" w:rsidRDefault="00FE4EB4" w:rsidP="00FE4EB4">
      <w:pPr>
        <w:spacing w:after="0" w:line="240" w:lineRule="auto"/>
        <w:jc w:val="both"/>
        <w:rPr>
          <w:rFonts w:ascii="Verdana" w:eastAsia="Calibri" w:hAnsi="Verdana" w:cs="Arial"/>
          <w:lang w:val="es-ES" w:eastAsia="es-ES"/>
        </w:rPr>
      </w:pPr>
    </w:p>
    <w:p w14:paraId="26E468C5" w14:textId="77777777" w:rsidR="00FE4EB4" w:rsidRPr="00CD2674" w:rsidRDefault="00FE4EB4" w:rsidP="00FE4EB4">
      <w:pPr>
        <w:spacing w:after="0" w:line="240" w:lineRule="auto"/>
        <w:jc w:val="both"/>
        <w:rPr>
          <w:rFonts w:ascii="Verdana" w:eastAsia="Calibri" w:hAnsi="Verdana" w:cs="Arial"/>
          <w:lang w:val="es-ES" w:eastAsia="es-ES"/>
        </w:rPr>
      </w:pPr>
    </w:p>
    <w:p w14:paraId="23941726" w14:textId="77777777" w:rsidR="00FE4EB4" w:rsidRPr="00CD2674" w:rsidRDefault="00FE4EB4" w:rsidP="00FE4EB4">
      <w:pPr>
        <w:spacing w:after="0" w:line="240" w:lineRule="auto"/>
        <w:jc w:val="both"/>
        <w:rPr>
          <w:rFonts w:ascii="Verdana" w:eastAsia="Calibri" w:hAnsi="Verdana" w:cs="Arial"/>
          <w:lang w:val="es-ES" w:eastAsia="es-ES"/>
        </w:rPr>
      </w:pPr>
    </w:p>
    <w:p w14:paraId="0348CE85" w14:textId="77777777" w:rsidR="00FE4EB4" w:rsidRPr="00CD2674" w:rsidRDefault="00FE4EB4" w:rsidP="00FE4EB4">
      <w:pPr>
        <w:spacing w:after="0" w:line="240" w:lineRule="auto"/>
        <w:jc w:val="both"/>
        <w:rPr>
          <w:rFonts w:ascii="Verdana" w:eastAsia="Calibri" w:hAnsi="Verdana" w:cs="Arial"/>
          <w:lang w:val="es-ES" w:eastAsia="es-ES"/>
        </w:rPr>
      </w:pPr>
    </w:p>
    <w:p w14:paraId="1B278342" w14:textId="77777777" w:rsidR="00FE4EB4" w:rsidRPr="00CD2674" w:rsidRDefault="00FE4EB4" w:rsidP="00FE4EB4">
      <w:pPr>
        <w:spacing w:after="0" w:line="240" w:lineRule="auto"/>
        <w:jc w:val="both"/>
        <w:rPr>
          <w:rFonts w:ascii="Verdana" w:eastAsia="Calibri" w:hAnsi="Verdana" w:cs="Arial"/>
          <w:lang w:val="es-ES" w:eastAsia="es-ES"/>
        </w:rPr>
      </w:pPr>
    </w:p>
    <w:p w14:paraId="55E344A2" w14:textId="77777777" w:rsidR="00FE4EB4" w:rsidRPr="00CD2674" w:rsidRDefault="00FE4EB4" w:rsidP="00FE4EB4">
      <w:pPr>
        <w:spacing w:after="0" w:line="240" w:lineRule="auto"/>
        <w:jc w:val="both"/>
        <w:rPr>
          <w:rFonts w:ascii="Verdana" w:eastAsia="Calibri" w:hAnsi="Verdana" w:cs="Arial"/>
          <w:lang w:val="es-ES" w:eastAsia="es-ES"/>
        </w:rPr>
      </w:pPr>
    </w:p>
    <w:p w14:paraId="0ACCDA8A" w14:textId="77777777" w:rsidR="00FE4EB4" w:rsidRPr="00CD2674" w:rsidRDefault="00FE4EB4" w:rsidP="00FE4EB4">
      <w:pPr>
        <w:spacing w:after="0" w:line="240" w:lineRule="auto"/>
        <w:jc w:val="both"/>
        <w:rPr>
          <w:rFonts w:ascii="Verdana" w:eastAsia="Calibri" w:hAnsi="Verdana" w:cs="Arial"/>
          <w:lang w:val="es-ES" w:eastAsia="es-ES"/>
        </w:rPr>
      </w:pPr>
    </w:p>
    <w:p w14:paraId="6FE891E2" w14:textId="77777777" w:rsidR="00FE4EB4" w:rsidRPr="00CD2674" w:rsidRDefault="00FE4EB4" w:rsidP="00FE4EB4">
      <w:pPr>
        <w:spacing w:after="0" w:line="240" w:lineRule="auto"/>
        <w:jc w:val="both"/>
        <w:rPr>
          <w:rFonts w:ascii="Verdana" w:eastAsia="Calibri" w:hAnsi="Verdana" w:cs="Arial"/>
          <w:lang w:val="es-ES" w:eastAsia="es-ES"/>
        </w:rPr>
      </w:pPr>
    </w:p>
    <w:p w14:paraId="48317C51" w14:textId="77777777" w:rsidR="00FE4EB4" w:rsidRPr="00CD2674" w:rsidRDefault="00FE4EB4" w:rsidP="00FE4EB4">
      <w:pPr>
        <w:spacing w:after="0" w:line="240" w:lineRule="auto"/>
        <w:jc w:val="both"/>
        <w:rPr>
          <w:rFonts w:ascii="Verdana" w:eastAsia="Calibri" w:hAnsi="Verdana" w:cs="Arial"/>
          <w:lang w:val="es-ES" w:eastAsia="es-ES"/>
        </w:rPr>
      </w:pPr>
    </w:p>
    <w:p w14:paraId="2D7B1AF3" w14:textId="77777777" w:rsidR="00FE4EB4" w:rsidRPr="00CD2674" w:rsidRDefault="00FE4EB4" w:rsidP="00FE4EB4">
      <w:pPr>
        <w:spacing w:after="0" w:line="240" w:lineRule="auto"/>
        <w:jc w:val="both"/>
        <w:rPr>
          <w:rFonts w:ascii="Verdana" w:eastAsia="Calibri" w:hAnsi="Verdana" w:cs="Arial"/>
          <w:lang w:val="es-ES" w:eastAsia="es-ES"/>
        </w:rPr>
      </w:pPr>
    </w:p>
    <w:p w14:paraId="66C5A8DA" w14:textId="77777777" w:rsidR="00FE4EB4" w:rsidRPr="00CD2674" w:rsidRDefault="00FE4EB4" w:rsidP="00FE4EB4">
      <w:pPr>
        <w:spacing w:after="0" w:line="240" w:lineRule="auto"/>
        <w:jc w:val="both"/>
        <w:rPr>
          <w:rFonts w:ascii="Verdana" w:eastAsia="Calibri" w:hAnsi="Verdana" w:cs="Arial"/>
          <w:lang w:val="es-ES" w:eastAsia="es-ES"/>
        </w:rPr>
      </w:pPr>
    </w:p>
    <w:p w14:paraId="47EBA576" w14:textId="77777777" w:rsidR="00FE4EB4" w:rsidRPr="00CD2674" w:rsidRDefault="00FE4EB4" w:rsidP="00FE4EB4">
      <w:pPr>
        <w:spacing w:after="0" w:line="240" w:lineRule="auto"/>
        <w:jc w:val="both"/>
        <w:rPr>
          <w:rFonts w:ascii="Verdana" w:eastAsia="Calibri" w:hAnsi="Verdana" w:cs="Arial"/>
          <w:lang w:val="es-ES" w:eastAsia="es-ES"/>
        </w:rPr>
      </w:pPr>
    </w:p>
    <w:p w14:paraId="363779C8" w14:textId="77777777" w:rsidR="00FE4EB4" w:rsidRPr="00CD2674" w:rsidRDefault="00FE4EB4" w:rsidP="00FE4EB4">
      <w:pPr>
        <w:spacing w:after="0" w:line="240" w:lineRule="auto"/>
        <w:jc w:val="both"/>
        <w:rPr>
          <w:rFonts w:ascii="Verdana" w:eastAsia="Calibri" w:hAnsi="Verdana" w:cs="Arial"/>
          <w:lang w:val="es-ES" w:eastAsia="es-ES"/>
        </w:rPr>
      </w:pPr>
    </w:p>
    <w:p w14:paraId="0947C64D" w14:textId="77777777" w:rsidR="00FE4EB4" w:rsidRPr="00CD2674" w:rsidRDefault="00FE4EB4" w:rsidP="00FE4EB4">
      <w:pPr>
        <w:spacing w:after="0" w:line="240" w:lineRule="auto"/>
        <w:jc w:val="both"/>
        <w:rPr>
          <w:rFonts w:ascii="Verdana" w:eastAsia="Calibri" w:hAnsi="Verdana" w:cs="Arial"/>
          <w:lang w:val="es-ES" w:eastAsia="es-ES"/>
        </w:rPr>
      </w:pPr>
    </w:p>
    <w:p w14:paraId="218F26E1" w14:textId="77777777" w:rsidR="00FE4EB4" w:rsidRDefault="00FE4EB4" w:rsidP="00FE4EB4">
      <w:pPr>
        <w:spacing w:after="0" w:line="240" w:lineRule="auto"/>
        <w:jc w:val="both"/>
        <w:rPr>
          <w:rFonts w:ascii="Verdana" w:eastAsia="Calibri" w:hAnsi="Verdana" w:cs="Arial"/>
          <w:lang w:val="es-ES" w:eastAsia="es-ES"/>
        </w:rPr>
      </w:pPr>
    </w:p>
    <w:p w14:paraId="0BD35457" w14:textId="77777777" w:rsidR="00FE4EB4" w:rsidRDefault="00FE4EB4" w:rsidP="00FE4EB4">
      <w:pPr>
        <w:spacing w:after="0" w:line="240" w:lineRule="auto"/>
        <w:jc w:val="both"/>
        <w:rPr>
          <w:rFonts w:ascii="Verdana" w:eastAsia="Calibri" w:hAnsi="Verdana" w:cs="Arial"/>
          <w:lang w:val="es-ES" w:eastAsia="es-ES"/>
        </w:rPr>
      </w:pPr>
    </w:p>
    <w:p w14:paraId="3644D644" w14:textId="77777777" w:rsidR="00FE4EB4" w:rsidRDefault="00FE4EB4" w:rsidP="00FE4EB4">
      <w:pPr>
        <w:spacing w:after="0" w:line="240" w:lineRule="auto"/>
        <w:jc w:val="both"/>
        <w:rPr>
          <w:rFonts w:ascii="Verdana" w:eastAsia="Calibri" w:hAnsi="Verdana" w:cs="Arial"/>
          <w:lang w:val="es-ES" w:eastAsia="es-ES"/>
        </w:rPr>
      </w:pPr>
    </w:p>
    <w:p w14:paraId="09DCCE17" w14:textId="319EDA9D" w:rsidR="00FE4EB4" w:rsidRDefault="00FE4EB4" w:rsidP="00FE4EB4">
      <w:pPr>
        <w:spacing w:after="0" w:line="240" w:lineRule="auto"/>
        <w:jc w:val="both"/>
        <w:rPr>
          <w:rFonts w:ascii="Verdana" w:hAnsi="Verdana"/>
        </w:rPr>
      </w:pPr>
      <w:r w:rsidRPr="0044528D">
        <w:rPr>
          <w:rFonts w:ascii="Verdana" w:hAnsi="Verdana"/>
        </w:rPr>
        <w:lastRenderedPageBreak/>
        <w:t xml:space="preserve">Bogotá D.C., </w:t>
      </w:r>
      <w:r w:rsidR="004B7E5C">
        <w:rPr>
          <w:rFonts w:ascii="Verdana" w:hAnsi="Verdana"/>
        </w:rPr>
        <w:t xml:space="preserve">23 de septiembre de 2024 </w:t>
      </w:r>
    </w:p>
    <w:p w14:paraId="466C8F06" w14:textId="77777777" w:rsidR="006B0C69" w:rsidRDefault="006B0C69" w:rsidP="00FE4EB4">
      <w:pPr>
        <w:spacing w:after="0" w:line="240" w:lineRule="auto"/>
        <w:jc w:val="both"/>
        <w:rPr>
          <w:rFonts w:ascii="Verdana" w:hAnsi="Verdana"/>
        </w:rPr>
      </w:pPr>
    </w:p>
    <w:p w14:paraId="1CC00874" w14:textId="76C093CC" w:rsidR="006B0C69" w:rsidRDefault="006B0C69" w:rsidP="006B0C69">
      <w:pPr>
        <w:spacing w:after="0" w:line="240" w:lineRule="auto"/>
        <w:jc w:val="right"/>
        <w:rPr>
          <w:rFonts w:ascii="Verdana" w:eastAsia="Calibri" w:hAnsi="Verdana" w:cs="Arial"/>
          <w:lang w:val="es-ES" w:eastAsia="es-ES"/>
        </w:rPr>
      </w:pPr>
      <w:r w:rsidRPr="006B0C69">
        <w:rPr>
          <w:rFonts w:ascii="Verdana" w:eastAsia="Calibri" w:hAnsi="Verdana" w:cs="Arial"/>
          <w:noProof/>
          <w:lang w:val="es-ES" w:eastAsia="es-ES"/>
        </w:rPr>
        <w:drawing>
          <wp:inline distT="0" distB="0" distL="0" distR="0" wp14:anchorId="54F2E528" wp14:editId="1D62D7D7">
            <wp:extent cx="3848637" cy="1247949"/>
            <wp:effectExtent l="0" t="0" r="0" b="9525"/>
            <wp:docPr id="205939794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97941" name="Imagen 1" descr="Texto&#10;&#10;Descripción generada automáticamente"/>
                    <pic:cNvPicPr/>
                  </pic:nvPicPr>
                  <pic:blipFill>
                    <a:blip r:embed="rId11"/>
                    <a:stretch>
                      <a:fillRect/>
                    </a:stretch>
                  </pic:blipFill>
                  <pic:spPr>
                    <a:xfrm>
                      <a:off x="0" y="0"/>
                      <a:ext cx="3848637" cy="1247949"/>
                    </a:xfrm>
                    <a:prstGeom prst="rect">
                      <a:avLst/>
                    </a:prstGeom>
                  </pic:spPr>
                </pic:pic>
              </a:graphicData>
            </a:graphic>
          </wp:inline>
        </w:drawing>
      </w:r>
    </w:p>
    <w:p w14:paraId="76DB0498" w14:textId="77777777" w:rsidR="00FE4EB4" w:rsidRDefault="00FE4EB4" w:rsidP="00FE4EB4">
      <w:pPr>
        <w:spacing w:after="0" w:line="240" w:lineRule="auto"/>
        <w:jc w:val="both"/>
        <w:rPr>
          <w:rFonts w:ascii="Verdana" w:eastAsia="Calibri" w:hAnsi="Verdana" w:cs="Arial"/>
          <w:lang w:val="es-ES" w:eastAsia="es-ES"/>
        </w:rPr>
      </w:pPr>
    </w:p>
    <w:p w14:paraId="5B16B82D" w14:textId="77777777" w:rsidR="00DF5650" w:rsidRDefault="00DF5650" w:rsidP="00DF5650">
      <w:pPr>
        <w:spacing w:after="0" w:line="240" w:lineRule="auto"/>
        <w:jc w:val="both"/>
        <w:rPr>
          <w:rFonts w:ascii="Verdana" w:eastAsia="Calibri" w:hAnsi="Verdana" w:cs="Arial"/>
          <w:lang w:val="es-ES" w:eastAsia="es-ES"/>
        </w:rPr>
      </w:pPr>
    </w:p>
    <w:p w14:paraId="11A47C2E" w14:textId="77777777" w:rsidR="00DF5650" w:rsidRDefault="00DF5650" w:rsidP="00DF5650">
      <w:pPr>
        <w:spacing w:after="0" w:line="240" w:lineRule="auto"/>
        <w:jc w:val="both"/>
        <w:rPr>
          <w:rFonts w:ascii="Verdana" w:eastAsia="Calibri" w:hAnsi="Verdana" w:cs="Arial"/>
          <w:lang w:val="es-ES" w:eastAsia="es-ES"/>
        </w:rPr>
      </w:pPr>
    </w:p>
    <w:p w14:paraId="6E3C9E6A" w14:textId="77777777" w:rsidR="00DF5650" w:rsidRPr="00CD2674" w:rsidRDefault="00DF5650" w:rsidP="00DF5650">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Señora</w:t>
      </w:r>
    </w:p>
    <w:p w14:paraId="26964112" w14:textId="77777777" w:rsidR="00DF5650" w:rsidRDefault="00DF5650" w:rsidP="00DF5650">
      <w:pPr>
        <w:spacing w:after="0" w:line="240" w:lineRule="auto"/>
        <w:rPr>
          <w:rFonts w:ascii="Verdana" w:hAnsi="Verdana" w:cs="Arial"/>
          <w:b/>
          <w:bCs/>
        </w:rPr>
      </w:pPr>
      <w:r w:rsidRPr="00CD2674">
        <w:rPr>
          <w:rFonts w:ascii="Verdana" w:hAnsi="Verdana" w:cs="Arial"/>
          <w:b/>
          <w:bCs/>
        </w:rPr>
        <w:t xml:space="preserve">MARÍA DEL MAR MUÑOZ NIEVES </w:t>
      </w:r>
    </w:p>
    <w:p w14:paraId="6D4B0D0E" w14:textId="77777777" w:rsidR="00DF5650" w:rsidRPr="00CD2674" w:rsidRDefault="00DF5650" w:rsidP="00DF5650">
      <w:pPr>
        <w:spacing w:after="0" w:line="240" w:lineRule="auto"/>
        <w:rPr>
          <w:rFonts w:ascii="Verdana" w:hAnsi="Verdana" w:cs="Arial"/>
          <w:b/>
          <w:bCs/>
        </w:rPr>
      </w:pPr>
      <w:r>
        <w:rPr>
          <w:rFonts w:ascii="Verdana" w:hAnsi="Verdana" w:cs="Arial"/>
          <w:b/>
          <w:bCs/>
        </w:rPr>
        <w:t>Guainía – Barranco Minas</w:t>
      </w:r>
    </w:p>
    <w:p w14:paraId="7340B0CB" w14:textId="77777777" w:rsidR="00DF5650" w:rsidRPr="00CD2674" w:rsidRDefault="00DF5650" w:rsidP="00DF5650">
      <w:pPr>
        <w:spacing w:after="0" w:line="240" w:lineRule="auto"/>
        <w:rPr>
          <w:rFonts w:ascii="Verdana" w:hAnsi="Verdana" w:cs="Arial"/>
          <w:b/>
          <w:bCs/>
        </w:rPr>
      </w:pPr>
    </w:p>
    <w:p w14:paraId="068A1F37" w14:textId="77777777" w:rsidR="00DF5650" w:rsidRPr="00CD2674" w:rsidRDefault="00DF5650" w:rsidP="00DF5650">
      <w:pPr>
        <w:spacing w:after="0" w:line="240" w:lineRule="auto"/>
        <w:rPr>
          <w:rFonts w:ascii="Verdana" w:eastAsia="Calibri" w:hAnsi="Verdana" w:cs="Arial"/>
          <w:b/>
          <w:bCs/>
          <w:lang w:val="es-ES" w:eastAsia="es-ES"/>
        </w:rPr>
      </w:pPr>
    </w:p>
    <w:p w14:paraId="7BDC3846" w14:textId="77777777" w:rsidR="00DF5650" w:rsidRPr="00CD2674" w:rsidRDefault="00DF5650" w:rsidP="00DF5650">
      <w:pPr>
        <w:spacing w:after="0" w:line="240" w:lineRule="auto"/>
        <w:rPr>
          <w:rFonts w:ascii="Verdana" w:eastAsia="Calibri" w:hAnsi="Verdana" w:cs="Arial"/>
          <w:b/>
          <w:bCs/>
          <w:lang w:val="es-ES_tradnl" w:eastAsia="es-ES_tradnl"/>
        </w:rPr>
      </w:pPr>
    </w:p>
    <w:p w14:paraId="4A67D794" w14:textId="77777777" w:rsidR="00DF5650" w:rsidRPr="00CD2674" w:rsidRDefault="00DF5650" w:rsidP="00DF5650">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F5650" w:rsidRPr="00CD2674" w14:paraId="59A786ED" w14:textId="77777777" w:rsidTr="005C5A17">
        <w:trPr>
          <w:trHeight w:val="884"/>
        </w:trPr>
        <w:tc>
          <w:tcPr>
            <w:tcW w:w="2689" w:type="dxa"/>
          </w:tcPr>
          <w:p w14:paraId="0CC6363D" w14:textId="77777777" w:rsidR="00DF5650" w:rsidRPr="00CD2674" w:rsidRDefault="00DF5650" w:rsidP="005C5A17">
            <w:pPr>
              <w:jc w:val="both"/>
              <w:rPr>
                <w:rFonts w:ascii="Verdana" w:eastAsia="Calibri" w:hAnsi="Verdana" w:cs="Arial"/>
                <w:b/>
                <w:bCs/>
                <w:lang w:val="es-ES_tradnl" w:eastAsia="es-ES_tradnl"/>
              </w:rPr>
            </w:pPr>
          </w:p>
        </w:tc>
        <w:tc>
          <w:tcPr>
            <w:tcW w:w="6100" w:type="dxa"/>
          </w:tcPr>
          <w:p w14:paraId="2B1B8419" w14:textId="77777777" w:rsidR="00DF5650" w:rsidRPr="00CD2674" w:rsidRDefault="00DF5650" w:rsidP="005C5A17">
            <w:pPr>
              <w:jc w:val="both"/>
              <w:rPr>
                <w:rFonts w:ascii="Verdana" w:eastAsia="Calibri" w:hAnsi="Verdana" w:cs="Arial"/>
                <w:b/>
                <w:bCs/>
                <w:lang w:val="es-ES" w:eastAsia="es-ES"/>
              </w:rPr>
            </w:pPr>
            <w:r w:rsidRPr="00CD2674">
              <w:rPr>
                <w:rFonts w:ascii="Verdana" w:eastAsia="Calibri" w:hAnsi="Verdana" w:cs="Arial"/>
                <w:b/>
                <w:bCs/>
                <w:lang w:val="es-ES" w:eastAsia="es-ES"/>
              </w:rPr>
              <w:t>Concepto C- 4</w:t>
            </w:r>
            <w:r>
              <w:rPr>
                <w:rFonts w:ascii="Verdana" w:eastAsia="Calibri" w:hAnsi="Verdana" w:cs="Arial"/>
                <w:b/>
                <w:bCs/>
                <w:lang w:val="es-ES" w:eastAsia="es-ES"/>
              </w:rPr>
              <w:t>78</w:t>
            </w:r>
            <w:r w:rsidRPr="00CD2674">
              <w:rPr>
                <w:rFonts w:ascii="Verdana" w:eastAsia="Calibri" w:hAnsi="Verdana" w:cs="Arial"/>
                <w:b/>
                <w:bCs/>
                <w:lang w:val="es-ES" w:eastAsia="es-ES"/>
              </w:rPr>
              <w:t xml:space="preserve"> de 2024</w:t>
            </w:r>
          </w:p>
        </w:tc>
      </w:tr>
      <w:tr w:rsidR="00DF5650" w:rsidRPr="00CD2674" w14:paraId="2B364BFD" w14:textId="77777777" w:rsidTr="005C5A17">
        <w:trPr>
          <w:trHeight w:val="884"/>
        </w:trPr>
        <w:tc>
          <w:tcPr>
            <w:tcW w:w="2689" w:type="dxa"/>
          </w:tcPr>
          <w:p w14:paraId="0AF015C1" w14:textId="77777777" w:rsidR="00DF5650" w:rsidRPr="00CD2674" w:rsidRDefault="00DF5650" w:rsidP="005C5A17">
            <w:pPr>
              <w:jc w:val="both"/>
              <w:rPr>
                <w:rFonts w:ascii="Verdana" w:eastAsia="Calibri" w:hAnsi="Verdana" w:cs="Arial"/>
                <w:lang w:val="es-ES_tradnl" w:eastAsia="es-ES_tradnl"/>
              </w:rPr>
            </w:pPr>
            <w:r w:rsidRPr="00CD2674">
              <w:rPr>
                <w:rFonts w:ascii="Verdana" w:eastAsia="Calibri" w:hAnsi="Verdana" w:cs="Arial"/>
                <w:b/>
                <w:lang w:val="es-ES_tradnl" w:eastAsia="es-ES_tradnl"/>
              </w:rPr>
              <w:t>Temas:</w:t>
            </w:r>
            <w:r w:rsidRPr="00CD2674">
              <w:rPr>
                <w:rFonts w:ascii="Verdana" w:eastAsia="Calibri" w:hAnsi="Verdana" w:cs="Arial"/>
                <w:lang w:val="es-ES_tradnl" w:eastAsia="es-ES_tradnl"/>
              </w:rPr>
              <w:t xml:space="preserve">                   </w:t>
            </w:r>
          </w:p>
        </w:tc>
        <w:tc>
          <w:tcPr>
            <w:tcW w:w="6100" w:type="dxa"/>
          </w:tcPr>
          <w:p w14:paraId="377F56EB" w14:textId="77777777" w:rsidR="00DF5650" w:rsidRPr="00CD2674" w:rsidRDefault="00DF5650" w:rsidP="005C5A17">
            <w:pPr>
              <w:jc w:val="both"/>
              <w:rPr>
                <w:rFonts w:ascii="Verdana" w:hAnsi="Verdana" w:cs="Arial"/>
                <w:b/>
                <w:bCs/>
                <w:lang w:val="es-ES"/>
              </w:rPr>
            </w:pPr>
            <w:r w:rsidRPr="00CD2674">
              <w:rPr>
                <w:rFonts w:ascii="Verdana" w:eastAsia="Calibri" w:hAnsi="Verdana" w:cs="Arial"/>
                <w:b/>
                <w:bCs/>
                <w:color w:val="000000" w:themeColor="text1"/>
                <w:lang w:val="es-ES" w:eastAsia="es-ES"/>
              </w:rPr>
              <w:t xml:space="preserve">DOCUMENTOS DEL PROCESO </w:t>
            </w:r>
            <w:r w:rsidRPr="00CD2674">
              <w:rPr>
                <w:rFonts w:ascii="Verdana" w:eastAsia="Calibri" w:hAnsi="Verdana" w:cs="Arial"/>
                <w:b/>
                <w:bCs/>
                <w:sz w:val="21"/>
                <w:szCs w:val="21"/>
                <w:lang w:val="es-ES"/>
              </w:rPr>
              <w:t xml:space="preserve">– Noción – Deber de publicación/ SECOP II-plataforma transaccional </w:t>
            </w:r>
          </w:p>
        </w:tc>
      </w:tr>
      <w:tr w:rsidR="00DF5650" w:rsidRPr="00CD2674" w14:paraId="5FCF7EEF" w14:textId="77777777" w:rsidTr="005C5A17">
        <w:tc>
          <w:tcPr>
            <w:tcW w:w="2689" w:type="dxa"/>
          </w:tcPr>
          <w:p w14:paraId="5D0E01D9" w14:textId="77777777" w:rsidR="00DF5650" w:rsidRPr="00CD2674" w:rsidRDefault="00DF5650" w:rsidP="005C5A17">
            <w:pPr>
              <w:jc w:val="both"/>
              <w:rPr>
                <w:rFonts w:ascii="Verdana" w:eastAsia="Calibri" w:hAnsi="Verdana" w:cs="Arial"/>
                <w:b/>
                <w:lang w:val="es-ES_tradnl" w:eastAsia="es-ES_tradnl"/>
              </w:rPr>
            </w:pPr>
            <w:r w:rsidRPr="00CD2674">
              <w:rPr>
                <w:rFonts w:ascii="Verdana" w:eastAsia="Calibri" w:hAnsi="Verdana" w:cs="Arial"/>
                <w:b/>
                <w:lang w:val="es-ES_tradnl" w:eastAsia="es-ES_tradnl"/>
              </w:rPr>
              <w:t>Radicación:</w:t>
            </w:r>
            <w:r w:rsidRPr="00CD2674">
              <w:rPr>
                <w:rFonts w:ascii="Verdana" w:eastAsia="Calibri" w:hAnsi="Verdana" w:cs="Arial"/>
                <w:lang w:val="es-ES_tradnl" w:eastAsia="es-ES_tradnl"/>
              </w:rPr>
              <w:t xml:space="preserve">               </w:t>
            </w:r>
          </w:p>
        </w:tc>
        <w:tc>
          <w:tcPr>
            <w:tcW w:w="6100" w:type="dxa"/>
          </w:tcPr>
          <w:p w14:paraId="7D69D2F8" w14:textId="77777777" w:rsidR="00DF5650" w:rsidRPr="00CD2674" w:rsidRDefault="00DF5650" w:rsidP="005C5A17">
            <w:pPr>
              <w:jc w:val="both"/>
              <w:rPr>
                <w:rFonts w:ascii="Verdana" w:hAnsi="Verdana" w:cs="Arial"/>
              </w:rPr>
            </w:pPr>
            <w:r w:rsidRPr="00CD2674">
              <w:rPr>
                <w:rFonts w:ascii="Verdana" w:hAnsi="Verdana" w:cs="Arial"/>
              </w:rPr>
              <w:t>Respuesta a consulta con radicado No. P20240809008189</w:t>
            </w:r>
          </w:p>
        </w:tc>
      </w:tr>
    </w:tbl>
    <w:p w14:paraId="364586FE" w14:textId="77777777" w:rsidR="00DF5650" w:rsidRPr="00CD2674" w:rsidRDefault="00DF5650" w:rsidP="00DF5650">
      <w:pPr>
        <w:spacing w:after="0" w:line="240" w:lineRule="auto"/>
        <w:jc w:val="both"/>
        <w:rPr>
          <w:rFonts w:ascii="Verdana" w:eastAsia="Calibri" w:hAnsi="Verdana" w:cs="Arial"/>
          <w:lang w:val="es-ES_tradnl" w:eastAsia="es-ES_tradnl"/>
        </w:rPr>
      </w:pPr>
    </w:p>
    <w:p w14:paraId="245894E4" w14:textId="77777777" w:rsidR="00DF5650" w:rsidRPr="00CD2674" w:rsidRDefault="00DF5650" w:rsidP="00DF5650">
      <w:pPr>
        <w:spacing w:after="0" w:line="240" w:lineRule="auto"/>
        <w:jc w:val="both"/>
        <w:rPr>
          <w:rFonts w:ascii="Verdana" w:eastAsia="Calibri" w:hAnsi="Verdana" w:cs="Arial"/>
          <w:lang w:val="es-ES_tradnl" w:eastAsia="es-ES_tradnl"/>
        </w:rPr>
      </w:pPr>
    </w:p>
    <w:p w14:paraId="7554C7C4" w14:textId="77777777" w:rsidR="00DF5650" w:rsidRPr="00CD2674" w:rsidRDefault="00DF5650" w:rsidP="00DF5650">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 xml:space="preserve">Estimada señora María del Mar: </w:t>
      </w:r>
    </w:p>
    <w:p w14:paraId="50809B58" w14:textId="77777777" w:rsidR="00DF5650" w:rsidRPr="00CD2674" w:rsidRDefault="00DF5650" w:rsidP="00DF5650">
      <w:pPr>
        <w:tabs>
          <w:tab w:val="left" w:pos="3768"/>
        </w:tabs>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ab/>
      </w:r>
    </w:p>
    <w:p w14:paraId="70D46398" w14:textId="77777777" w:rsidR="00DF5650" w:rsidRPr="00CD2674" w:rsidRDefault="00DF5650" w:rsidP="00DF5650">
      <w:pPr>
        <w:spacing w:after="0" w:line="240" w:lineRule="auto"/>
        <w:jc w:val="both"/>
        <w:rPr>
          <w:rFonts w:ascii="Verdana" w:eastAsia="Calibri" w:hAnsi="Verdana" w:cs="Arial"/>
          <w:lang w:val="es-ES" w:eastAsia="es-ES"/>
        </w:rPr>
      </w:pPr>
      <w:r w:rsidRPr="00CD2674">
        <w:rPr>
          <w:rFonts w:ascii="Verdana" w:eastAsia="Calibri" w:hAnsi="Verdana" w:cs="Arial"/>
          <w:lang w:val="es-ES" w:eastAsia="es-ES"/>
        </w:rPr>
        <w:t>En ejercicio de la competencia otorgada por los artículos 3, numeral 5º, y 11, numeral 8º, del Decreto Ley 4170 de 2011,</w:t>
      </w:r>
      <w:r w:rsidRPr="00CD2674">
        <w:rPr>
          <w:rFonts w:ascii="Verdana" w:eastAsia="Arial MT" w:hAnsi="Verdana" w:cs="Arial MT"/>
          <w:lang w:val="es-ES" w:eastAsia="es-ES"/>
        </w:rPr>
        <w:t xml:space="preserve"> </w:t>
      </w:r>
      <w:r w:rsidRPr="00CD2674">
        <w:rPr>
          <w:rFonts w:ascii="Verdana" w:hAnsi="Verdana" w:cs="Arial"/>
        </w:rPr>
        <w:t xml:space="preserve">así como lo establecido en el artículo 4 de la Resolución 1707 de 2018 expedida por esta Entidad, </w:t>
      </w:r>
      <w:r w:rsidRPr="00CD2674">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9</w:t>
      </w:r>
      <w:r w:rsidRPr="00CD2674">
        <w:rPr>
          <w:rFonts w:ascii="Verdana" w:eastAsia="Calibri" w:hAnsi="Verdana" w:cs="Arial"/>
          <w:lang w:val="es-ES" w:eastAsia="es-ES"/>
        </w:rPr>
        <w:t xml:space="preserve"> de </w:t>
      </w:r>
      <w:r>
        <w:rPr>
          <w:rFonts w:ascii="Verdana" w:eastAsia="Calibri" w:hAnsi="Verdana" w:cs="Arial"/>
          <w:lang w:val="es-ES" w:eastAsia="es-ES"/>
        </w:rPr>
        <w:t>agosto</w:t>
      </w:r>
      <w:r w:rsidRPr="00CD2674">
        <w:rPr>
          <w:rFonts w:ascii="Verdana" w:eastAsia="Calibri" w:hAnsi="Verdana" w:cs="Arial"/>
          <w:lang w:val="es-ES" w:eastAsia="es-ES"/>
        </w:rPr>
        <w:t xml:space="preserve"> de 2024, en la cual manifiesta lo siguiente: </w:t>
      </w:r>
    </w:p>
    <w:p w14:paraId="1EFDBC40" w14:textId="77777777" w:rsidR="00DF5650" w:rsidRPr="00CD2674" w:rsidRDefault="00DF5650" w:rsidP="00DF5650">
      <w:pPr>
        <w:spacing w:after="0" w:line="240" w:lineRule="auto"/>
        <w:ind w:left="709" w:right="709"/>
        <w:jc w:val="both"/>
        <w:rPr>
          <w:rFonts w:ascii="Verdana" w:eastAsia="Century Gothic" w:hAnsi="Verdana" w:cs="Century Gothic"/>
          <w:b/>
          <w:bCs/>
        </w:rPr>
      </w:pPr>
    </w:p>
    <w:p w14:paraId="072BAACF" w14:textId="77777777" w:rsidR="00DF5650" w:rsidRPr="00CD2674" w:rsidRDefault="00DF5650" w:rsidP="00DF5650">
      <w:pPr>
        <w:spacing w:after="0" w:line="240" w:lineRule="auto"/>
        <w:ind w:left="709" w:right="709"/>
        <w:jc w:val="both"/>
        <w:rPr>
          <w:rFonts w:ascii="Verdana" w:eastAsia="Century Gothic" w:hAnsi="Verdana" w:cs="Century Gothic"/>
          <w:sz w:val="21"/>
          <w:szCs w:val="21"/>
          <w:lang w:val="es-ES"/>
        </w:rPr>
      </w:pPr>
      <w:r w:rsidRPr="00CD2674">
        <w:rPr>
          <w:rFonts w:ascii="Verdana" w:eastAsia="Century Gothic" w:hAnsi="Verdana" w:cs="Century Gothic"/>
          <w:sz w:val="21"/>
          <w:szCs w:val="21"/>
        </w:rPr>
        <w:lastRenderedPageBreak/>
        <w:t xml:space="preserve"> “ ¿Por lo anterior, solicitamos que se expida un concepto que aclare si los "Documentos del Proceso" incluyen aquellos generados en la etapa precontractual antes de la asignación de un número contractual, y si estos deben ser publicados en el SECOP dentro de los tres (3) días siguientes a su expedición, incluso cuando el proceso aún se encuentra en las etapas iniciales de verificación y estudio?</w:t>
      </w:r>
      <w:r w:rsidRPr="00CD2674">
        <w:rPr>
          <w:rStyle w:val="normaltextrun"/>
          <w:rFonts w:ascii="Verdana" w:hAnsi="Verdana" w:cs="Arial"/>
          <w:sz w:val="21"/>
          <w:szCs w:val="21"/>
          <w:shd w:val="clear" w:color="auto" w:fill="FFFFFF"/>
          <w:lang w:val="es-ES"/>
        </w:rPr>
        <w:t>”</w:t>
      </w:r>
      <w:r w:rsidRPr="00CD2674">
        <w:rPr>
          <w:rFonts w:ascii="Verdana" w:eastAsia="Century Gothic" w:hAnsi="Verdana" w:cs="Century Gothic"/>
          <w:sz w:val="21"/>
          <w:szCs w:val="21"/>
          <w:lang w:val="es-ES"/>
        </w:rPr>
        <w:t>.</w:t>
      </w:r>
    </w:p>
    <w:p w14:paraId="31448C96" w14:textId="77777777" w:rsidR="00DF5650" w:rsidRPr="00CD2674" w:rsidRDefault="00DF5650" w:rsidP="00DF5650">
      <w:pPr>
        <w:pStyle w:val="Prrafodelista"/>
        <w:tabs>
          <w:tab w:val="left" w:pos="142"/>
          <w:tab w:val="left" w:pos="284"/>
        </w:tabs>
        <w:spacing w:line="240" w:lineRule="auto"/>
        <w:ind w:left="0"/>
        <w:jc w:val="both"/>
        <w:rPr>
          <w:rFonts w:ascii="Verdana" w:eastAsia="Century Gothic" w:hAnsi="Verdana" w:cs="Century Gothic"/>
          <w:b/>
          <w:bCs/>
        </w:rPr>
      </w:pPr>
    </w:p>
    <w:p w14:paraId="2DD2119D" w14:textId="77777777" w:rsidR="00DF5650" w:rsidRPr="00CD2674" w:rsidRDefault="00DF5650" w:rsidP="00DF5650">
      <w:pPr>
        <w:spacing w:after="120" w:line="240" w:lineRule="auto"/>
        <w:ind w:firstLine="709"/>
        <w:jc w:val="both"/>
        <w:rPr>
          <w:rFonts w:ascii="Verdana" w:eastAsia="Calibri" w:hAnsi="Verdana" w:cs="Arial"/>
          <w:szCs w:val="24"/>
          <w:lang w:val="es-ES_tradnl" w:eastAsia="es-ES_tradnl"/>
        </w:rPr>
      </w:pPr>
      <w:r w:rsidRPr="00CD267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D2674">
        <w:rPr>
          <w:rFonts w:ascii="Verdana" w:eastAsia="Calibri" w:hAnsi="Verdana" w:cs="Arial"/>
          <w:szCs w:val="24"/>
          <w:lang w:val="es-ES_tradnl" w:eastAsia="es-ES_tradnl"/>
        </w:rPr>
        <w:tab/>
      </w:r>
    </w:p>
    <w:p w14:paraId="6EFA7392" w14:textId="77777777" w:rsidR="00DF5650" w:rsidRPr="00CD2674" w:rsidRDefault="00DF5650" w:rsidP="00DF5650">
      <w:pPr>
        <w:spacing w:after="0" w:line="240" w:lineRule="auto"/>
        <w:ind w:firstLine="709"/>
        <w:jc w:val="both"/>
        <w:rPr>
          <w:rFonts w:ascii="Verdana" w:eastAsia="Calibri" w:hAnsi="Verdana" w:cs="Arial"/>
          <w:lang w:val="es-ES" w:eastAsia="es-ES"/>
        </w:rPr>
      </w:pPr>
      <w:r w:rsidRPr="00CD267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930A971" w14:textId="77777777" w:rsidR="00DF5650" w:rsidRPr="00CD2674" w:rsidRDefault="00DF5650" w:rsidP="00DF5650">
      <w:pPr>
        <w:spacing w:after="0" w:line="240" w:lineRule="auto"/>
        <w:ind w:firstLine="709"/>
        <w:jc w:val="both"/>
        <w:rPr>
          <w:rFonts w:ascii="Verdana" w:eastAsia="Calibri" w:hAnsi="Verdana" w:cs="Arial"/>
          <w:lang w:val="es-ES" w:eastAsia="es-ES"/>
        </w:rPr>
      </w:pPr>
    </w:p>
    <w:p w14:paraId="7AE12233" w14:textId="77777777" w:rsidR="00DF5650" w:rsidRPr="00CD2674" w:rsidRDefault="00DF5650" w:rsidP="00DF5650">
      <w:pPr>
        <w:pStyle w:val="Prrafodelista"/>
        <w:numPr>
          <w:ilvl w:val="0"/>
          <w:numId w:val="4"/>
        </w:numPr>
        <w:tabs>
          <w:tab w:val="left" w:pos="142"/>
          <w:tab w:val="left" w:pos="284"/>
        </w:tabs>
        <w:spacing w:after="0" w:line="240" w:lineRule="auto"/>
        <w:ind w:left="0" w:firstLine="0"/>
        <w:jc w:val="both"/>
        <w:rPr>
          <w:rFonts w:ascii="Verdana" w:eastAsia="Century Gothic" w:hAnsi="Verdana" w:cs="Century Gothic"/>
          <w:b/>
          <w:bCs/>
        </w:rPr>
      </w:pPr>
      <w:r w:rsidRPr="00CD2674">
        <w:rPr>
          <w:rFonts w:ascii="Verdana" w:eastAsia="Century Gothic" w:hAnsi="Verdana" w:cs="Century Gothic"/>
          <w:b/>
          <w:bCs/>
        </w:rPr>
        <w:t>Problema planteado:</w:t>
      </w:r>
    </w:p>
    <w:p w14:paraId="29E9E9AD" w14:textId="77777777" w:rsidR="00DF5650" w:rsidRPr="00CD2674" w:rsidRDefault="00DF5650" w:rsidP="00DF5650">
      <w:pPr>
        <w:tabs>
          <w:tab w:val="left" w:pos="426"/>
        </w:tabs>
        <w:spacing w:after="0" w:line="240" w:lineRule="auto"/>
        <w:jc w:val="both"/>
        <w:rPr>
          <w:rFonts w:ascii="Verdana" w:eastAsia="Century Gothic" w:hAnsi="Verdana" w:cs="Century Gothic"/>
          <w:lang w:val="es-ES"/>
        </w:rPr>
      </w:pPr>
    </w:p>
    <w:p w14:paraId="0DB66219" w14:textId="77777777" w:rsidR="00DF5650" w:rsidRPr="00CD2674" w:rsidRDefault="00DF5650" w:rsidP="00DF5650">
      <w:pPr>
        <w:spacing w:after="0" w:line="240" w:lineRule="auto"/>
        <w:jc w:val="both"/>
        <w:rPr>
          <w:rFonts w:ascii="Verdana" w:eastAsia="Calibri" w:hAnsi="Verdana" w:cs="Arial"/>
          <w:lang w:val="es-ES" w:eastAsia="es-ES"/>
        </w:rPr>
      </w:pPr>
      <w:r w:rsidRPr="00CD2674">
        <w:rPr>
          <w:rFonts w:ascii="Verdana" w:eastAsia="Century Gothic" w:hAnsi="Verdana" w:cs="Century Gothic"/>
        </w:rPr>
        <w:t xml:space="preserve">De acuerdo con </w:t>
      </w:r>
      <w:r w:rsidRPr="00CD2674">
        <w:rPr>
          <w:rFonts w:ascii="Verdana" w:eastAsia="Calibri" w:hAnsi="Verdana" w:cs="Arial"/>
          <w:lang w:val="es-ES" w:eastAsia="es-ES"/>
        </w:rPr>
        <w:t xml:space="preserve">el contenido de su solicitud, esta Agencia resolverá el siguiente problema jurídico: ¿Cuáles son los documentos del proceso y como deben ser publicados en Secop II? </w:t>
      </w:r>
    </w:p>
    <w:p w14:paraId="28DE212A" w14:textId="77777777" w:rsidR="00DF5650" w:rsidRPr="00CD2674" w:rsidRDefault="00DF5650" w:rsidP="00DF5650">
      <w:pPr>
        <w:spacing w:after="0" w:line="240" w:lineRule="auto"/>
        <w:jc w:val="both"/>
        <w:rPr>
          <w:rFonts w:ascii="Verdana" w:eastAsia="Calibri" w:hAnsi="Verdana" w:cs="Arial"/>
          <w:lang w:val="es-ES" w:eastAsia="es-ES"/>
        </w:rPr>
      </w:pPr>
    </w:p>
    <w:p w14:paraId="6CAB180E" w14:textId="77777777" w:rsidR="00DF5650" w:rsidRPr="00CD2674" w:rsidRDefault="00DF5650" w:rsidP="00DF5650">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Respuesta:</w:t>
      </w:r>
    </w:p>
    <w:p w14:paraId="7AC6BC15" w14:textId="77777777" w:rsidR="00DF5650" w:rsidRPr="00CD2674" w:rsidRDefault="00DF5650" w:rsidP="00DF5650">
      <w:pPr>
        <w:tabs>
          <w:tab w:val="left" w:pos="142"/>
          <w:tab w:val="left" w:pos="284"/>
        </w:tabs>
        <w:spacing w:after="0" w:line="240"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F5650" w:rsidRPr="00CD2674" w14:paraId="33924694" w14:textId="77777777" w:rsidTr="005C5A17">
        <w:tc>
          <w:tcPr>
            <w:tcW w:w="8828" w:type="dxa"/>
            <w:shd w:val="clear" w:color="auto" w:fill="auto"/>
          </w:tcPr>
          <w:p w14:paraId="352A5A28" w14:textId="77777777" w:rsidR="00DF5650" w:rsidRPr="00CD2674" w:rsidRDefault="00DF5650" w:rsidP="005C5A17">
            <w:pPr>
              <w:widowControl w:val="0"/>
              <w:autoSpaceDE w:val="0"/>
              <w:autoSpaceDN w:val="0"/>
              <w:spacing w:after="120"/>
              <w:jc w:val="both"/>
              <w:rPr>
                <w:rFonts w:ascii="Verdana" w:eastAsia="Arial" w:hAnsi="Verdana" w:cs="Arial"/>
                <w:lang w:val="es-ES"/>
              </w:rPr>
            </w:pPr>
            <w:r w:rsidRPr="00CD2674">
              <w:rPr>
                <w:rFonts w:ascii="Verdana" w:eastAsia="Arial" w:hAnsi="Verdana" w:cs="Arial"/>
                <w:lang w:val="es-ES"/>
              </w:rPr>
              <w:t xml:space="preserve">La expresión </w:t>
            </w:r>
            <w:r w:rsidRPr="00CD2674">
              <w:rPr>
                <w:rFonts w:ascii="Verdana" w:eastAsia="Arial" w:hAnsi="Verdana" w:cs="Arial"/>
                <w:i/>
                <w:iCs/>
                <w:lang w:val="es-ES"/>
              </w:rPr>
              <w:t>Documentos del Proceso</w:t>
            </w:r>
            <w:r w:rsidRPr="00CD2674">
              <w:rPr>
                <w:rFonts w:ascii="Verdana" w:eastAsia="Arial" w:hAnsi="Verdana" w:cs="Arial"/>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w:t>
            </w:r>
            <w:r w:rsidRPr="00CD2674">
              <w:rPr>
                <w:rFonts w:ascii="Verdana" w:eastAsia="Arial" w:hAnsi="Verdana" w:cs="Arial"/>
                <w:i/>
                <w:iCs/>
                <w:lang w:val="es-ES"/>
              </w:rPr>
              <w:t xml:space="preserve"> y cualquier otro documento expedido por la </w:t>
            </w:r>
            <w:r w:rsidRPr="00CD2674">
              <w:rPr>
                <w:rFonts w:ascii="Verdana" w:eastAsia="Arial" w:hAnsi="Verdana" w:cs="Arial"/>
                <w:i/>
                <w:iCs/>
                <w:lang w:val="es-ES"/>
              </w:rPr>
              <w:lastRenderedPageBreak/>
              <w:t>Entidad Estatal durante el Proceso de Contratación</w:t>
            </w:r>
            <w:r w:rsidRPr="00CD2674">
              <w:rPr>
                <w:rFonts w:ascii="Verdana" w:eastAsia="Arial" w:hAnsi="Verdana" w:cs="Arial"/>
                <w:lang w:val="es-ES"/>
              </w:rPr>
              <w:t xml:space="preserve">” </w:t>
            </w:r>
          </w:p>
          <w:p w14:paraId="34D172FE" w14:textId="77777777" w:rsidR="00DF5650" w:rsidRPr="00CD2674" w:rsidRDefault="00DF5650" w:rsidP="005C5A17">
            <w:pPr>
              <w:spacing w:before="120"/>
              <w:jc w:val="both"/>
              <w:rPr>
                <w:rFonts w:ascii="Verdana" w:eastAsia="Calibri" w:hAnsi="Verdana" w:cs="Arial"/>
                <w:lang w:val="es-ES" w:eastAsia="es-ES"/>
              </w:rPr>
            </w:pPr>
            <w:r w:rsidRPr="00CD2674">
              <w:rPr>
                <w:rFonts w:ascii="Verdana" w:eastAsia="Calibri" w:hAnsi="Verdana" w:cs="Arial"/>
                <w:lang w:val="es-ES" w:eastAsia="es-ES"/>
              </w:rPr>
              <w:t>Por otra parte, si una entidad estatal se encuentra obligada a tramitar su contratación en el SECOP II, en principio todos los Documentos del Proceso deben gestionarse y crearse en esta plataforma, esto de conformidad con lo señalado en, el artículo 3 de la Ley 1150 de 2007, el artículo 2.2.1.1.1.7.1. del Decreto 1082 de 2015, la Ley 1712 de 2014 y el Decreto 1081 de 2015.</w:t>
            </w:r>
          </w:p>
          <w:p w14:paraId="62355888" w14:textId="77777777" w:rsidR="00DF5650" w:rsidRPr="00CD2674" w:rsidRDefault="00DF5650" w:rsidP="005C5A17">
            <w:pPr>
              <w:spacing w:before="120"/>
              <w:jc w:val="both"/>
              <w:rPr>
                <w:rFonts w:ascii="Verdana" w:eastAsia="Calibri" w:hAnsi="Verdana" w:cs="Arial"/>
                <w:szCs w:val="24"/>
                <w:lang w:val="es-ES" w:eastAsia="es-ES_tradnl"/>
              </w:rPr>
            </w:pPr>
            <w:r w:rsidRPr="00CD2674">
              <w:rPr>
                <w:rFonts w:ascii="Verdana" w:eastAsia="Calibri" w:hAnsi="Verdana" w:cs="Arial"/>
                <w:lang w:val="es-ES"/>
              </w:rPr>
              <w:t>Adicionalmente, debemos precisar que la naturaleza transaccional del SECOP II</w:t>
            </w:r>
            <w:r>
              <w:rPr>
                <w:rFonts w:ascii="Verdana" w:eastAsia="Calibri" w:hAnsi="Verdana" w:cs="Arial"/>
                <w:lang w:val="es-ES"/>
              </w:rPr>
              <w:t>,</w:t>
            </w:r>
            <w:r w:rsidRPr="00CD2674">
              <w:rPr>
                <w:rFonts w:ascii="Verdana" w:eastAsia="Calibri" w:hAnsi="Verdana" w:cs="Arial"/>
                <w:lang w:val="es-ES"/>
              </w:rPr>
              <w:t xml:space="preserve">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w:t>
            </w:r>
          </w:p>
        </w:tc>
      </w:tr>
    </w:tbl>
    <w:p w14:paraId="0DAA6832" w14:textId="77777777" w:rsidR="00DF5650" w:rsidRPr="00CD2674" w:rsidRDefault="00DF5650" w:rsidP="00DF5650">
      <w:pPr>
        <w:tabs>
          <w:tab w:val="left" w:pos="142"/>
          <w:tab w:val="left" w:pos="284"/>
        </w:tabs>
        <w:spacing w:after="0" w:line="240" w:lineRule="auto"/>
        <w:jc w:val="both"/>
        <w:rPr>
          <w:rFonts w:ascii="Verdana" w:eastAsia="Century Gothic" w:hAnsi="Verdana" w:cs="Century Gothic"/>
          <w:b/>
          <w:bCs/>
          <w:lang w:val="es-ES"/>
        </w:rPr>
      </w:pPr>
    </w:p>
    <w:p w14:paraId="5D6C0421" w14:textId="77777777" w:rsidR="00DF5650" w:rsidRPr="00CD2674" w:rsidRDefault="00DF5650" w:rsidP="00DF5650">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Razones de la respuesta:</w:t>
      </w:r>
    </w:p>
    <w:p w14:paraId="13E74826" w14:textId="77777777" w:rsidR="00DF5650" w:rsidRPr="00CD2674" w:rsidRDefault="00DF5650" w:rsidP="00DF5650">
      <w:pPr>
        <w:spacing w:after="0" w:line="240" w:lineRule="auto"/>
        <w:jc w:val="both"/>
        <w:rPr>
          <w:rFonts w:ascii="Verdana" w:eastAsia="Calibri" w:hAnsi="Verdana" w:cs="Arial"/>
          <w:lang w:val="es-ES"/>
        </w:rPr>
      </w:pPr>
    </w:p>
    <w:p w14:paraId="2AC78B55" w14:textId="77777777" w:rsidR="00DF5650" w:rsidRPr="00CD2674" w:rsidRDefault="00DF5650" w:rsidP="00DF5650">
      <w:pPr>
        <w:spacing w:after="0" w:line="240" w:lineRule="auto"/>
        <w:jc w:val="both"/>
        <w:rPr>
          <w:rFonts w:ascii="Verdana" w:eastAsia="Calibri" w:hAnsi="Verdana" w:cs="Arial"/>
          <w:lang w:val="es-ES"/>
        </w:rPr>
      </w:pPr>
      <w:r w:rsidRPr="00CD2674">
        <w:rPr>
          <w:rFonts w:ascii="Verdana" w:eastAsia="Calibri" w:hAnsi="Verdana" w:cs="Arial"/>
          <w:lang w:val="es-ES"/>
        </w:rPr>
        <w:t xml:space="preserve">Lo anterior se sustenta en las siguientes consideraciones: </w:t>
      </w:r>
    </w:p>
    <w:p w14:paraId="44391831" w14:textId="77777777" w:rsidR="00DF5650" w:rsidRPr="00CD2674" w:rsidRDefault="00DF5650" w:rsidP="00DF5650">
      <w:pPr>
        <w:spacing w:after="0" w:line="240" w:lineRule="auto"/>
        <w:jc w:val="both"/>
        <w:rPr>
          <w:rFonts w:ascii="Verdana" w:eastAsia="Calibri" w:hAnsi="Verdana" w:cs="Arial"/>
          <w:lang w:val="es-ES"/>
        </w:rPr>
      </w:pPr>
    </w:p>
    <w:p w14:paraId="5D61E13F" w14:textId="77777777" w:rsidR="00DF5650" w:rsidRPr="00CD2674" w:rsidRDefault="00DF5650" w:rsidP="00DF5650">
      <w:pPr>
        <w:spacing w:after="0" w:line="240" w:lineRule="auto"/>
        <w:jc w:val="both"/>
        <w:rPr>
          <w:rFonts w:ascii="Verdana" w:eastAsia="Calibri" w:hAnsi="Verdana" w:cs="Arial"/>
          <w:lang w:val="es-ES"/>
        </w:rPr>
      </w:pPr>
    </w:p>
    <w:p w14:paraId="0F0B18BD" w14:textId="77777777" w:rsidR="00DF5650" w:rsidRDefault="00DF5650" w:rsidP="00DF5650">
      <w:pPr>
        <w:pStyle w:val="Prrafodelista"/>
        <w:numPr>
          <w:ilvl w:val="0"/>
          <w:numId w:val="12"/>
        </w:numPr>
        <w:spacing w:after="120" w:line="240" w:lineRule="auto"/>
        <w:jc w:val="both"/>
        <w:rPr>
          <w:rFonts w:ascii="Verdana" w:eastAsia="Calibri" w:hAnsi="Verdana" w:cs="Arial"/>
        </w:rPr>
      </w:pPr>
      <w:r w:rsidRPr="00CD2674">
        <w:rPr>
          <w:rFonts w:ascii="Verdana" w:eastAsia="Calibri" w:hAnsi="Verdana" w:cs="Arial"/>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2007 </w:t>
      </w:r>
      <w:r w:rsidRPr="00CD2674">
        <w:rPr>
          <w:rFonts w:ascii="Arial" w:eastAsia="Calibri" w:hAnsi="Arial" w:cs="Arial"/>
        </w:rPr>
        <w:t>̶</w:t>
      </w:r>
      <w:r w:rsidRPr="00CD2674">
        <w:rPr>
          <w:rFonts w:ascii="Verdana" w:eastAsia="Calibri" w:hAnsi="Verdana" w:cs="Arial"/>
        </w:rPr>
        <w:t xml:space="preserve"> Estatuto General de Contrataci</w:t>
      </w:r>
      <w:r w:rsidRPr="00CD2674">
        <w:rPr>
          <w:rFonts w:ascii="Verdana" w:eastAsia="Calibri" w:hAnsi="Verdana" w:cs="Verdana"/>
        </w:rPr>
        <w:t>ó</w:t>
      </w:r>
      <w:r w:rsidRPr="00CD2674">
        <w:rPr>
          <w:rFonts w:ascii="Verdana" w:eastAsia="Calibri" w:hAnsi="Verdana" w:cs="Arial"/>
        </w:rPr>
        <w:t>n de la Administraci</w:t>
      </w:r>
      <w:r w:rsidRPr="00CD2674">
        <w:rPr>
          <w:rFonts w:ascii="Verdana" w:eastAsia="Calibri" w:hAnsi="Verdana" w:cs="Verdana"/>
        </w:rPr>
        <w:t>ó</w:t>
      </w:r>
      <w:r w:rsidRPr="00CD2674">
        <w:rPr>
          <w:rFonts w:ascii="Verdana" w:eastAsia="Calibri" w:hAnsi="Verdana" w:cs="Arial"/>
        </w:rPr>
        <w:t>n P</w:t>
      </w:r>
      <w:r w:rsidRPr="00CD2674">
        <w:rPr>
          <w:rFonts w:ascii="Verdana" w:eastAsia="Calibri" w:hAnsi="Verdana" w:cs="Verdana"/>
        </w:rPr>
        <w:t>ú</w:t>
      </w:r>
      <w:r w:rsidRPr="00CD2674">
        <w:rPr>
          <w:rFonts w:ascii="Verdana" w:eastAsia="Calibri" w:hAnsi="Verdana" w:cs="Arial"/>
        </w:rPr>
        <w:t xml:space="preserve">blica </w:t>
      </w:r>
      <w:r w:rsidRPr="00CD2674">
        <w:rPr>
          <w:rFonts w:ascii="Arial" w:eastAsia="Calibri" w:hAnsi="Arial" w:cs="Arial"/>
        </w:rPr>
        <w:t>̶</w:t>
      </w:r>
      <w:r w:rsidRPr="00CD2674">
        <w:rPr>
          <w:rFonts w:ascii="Verdana" w:eastAsia="Calibri" w:hAnsi="Verdana" w:cs="Arial"/>
        </w:rPr>
        <w:t xml:space="preserve"> y el Decreto 1082 de 2015, que es reglamentario y concreta cada modalidad de selecci</w:t>
      </w:r>
      <w:r w:rsidRPr="00CD2674">
        <w:rPr>
          <w:rFonts w:ascii="Verdana" w:eastAsia="Calibri" w:hAnsi="Verdana" w:cs="Verdana"/>
        </w:rPr>
        <w:t>ó</w:t>
      </w:r>
      <w:r w:rsidRPr="00CD2674">
        <w:rPr>
          <w:rFonts w:ascii="Verdana" w:eastAsia="Calibri" w:hAnsi="Verdana" w:cs="Arial"/>
        </w:rPr>
        <w:t>n, se</w:t>
      </w:r>
      <w:r w:rsidRPr="00CD2674">
        <w:rPr>
          <w:rFonts w:ascii="Verdana" w:eastAsia="Calibri" w:hAnsi="Verdana" w:cs="Verdana"/>
        </w:rPr>
        <w:t>ñ</w:t>
      </w:r>
      <w:r w:rsidRPr="00CD2674">
        <w:rPr>
          <w:rFonts w:ascii="Verdana" w:eastAsia="Calibri" w:hAnsi="Verdana" w:cs="Arial"/>
        </w:rPr>
        <w:t>alando las reglas o pasos a seguir para celebrar el contrato estatal</w:t>
      </w:r>
      <w:r w:rsidRPr="00CD2674">
        <w:rPr>
          <w:rFonts w:ascii="Verdana" w:hAnsi="Verdana"/>
          <w:vertAlign w:val="superscript"/>
        </w:rPr>
        <w:footnoteReference w:id="2"/>
      </w:r>
      <w:r w:rsidRPr="00CD2674">
        <w:rPr>
          <w:rFonts w:ascii="Verdana" w:eastAsia="Calibri" w:hAnsi="Verdana" w:cs="Arial"/>
        </w:rPr>
        <w:t>. Por consiguiente, para que los documentos de la actividad contractual se conozcan la entidad debe publicarlos, sin importar la modalidad de selección.</w:t>
      </w:r>
    </w:p>
    <w:p w14:paraId="37C0BEE3" w14:textId="77777777" w:rsidR="00DF5650" w:rsidRPr="00CD2674" w:rsidRDefault="00DF5650" w:rsidP="00DF5650">
      <w:pPr>
        <w:pStyle w:val="Prrafodelista"/>
        <w:spacing w:after="120" w:line="240" w:lineRule="auto"/>
        <w:jc w:val="both"/>
        <w:rPr>
          <w:rFonts w:ascii="Verdana" w:eastAsia="Calibri" w:hAnsi="Verdana" w:cs="Arial"/>
        </w:rPr>
      </w:pPr>
    </w:p>
    <w:p w14:paraId="7867D517" w14:textId="77777777" w:rsidR="00DF5650" w:rsidRDefault="00DF5650" w:rsidP="00DF5650">
      <w:pPr>
        <w:pStyle w:val="Prrafodelista"/>
        <w:widowControl w:val="0"/>
        <w:numPr>
          <w:ilvl w:val="0"/>
          <w:numId w:val="12"/>
        </w:numPr>
        <w:autoSpaceDE w:val="0"/>
        <w:autoSpaceDN w:val="0"/>
        <w:spacing w:line="240" w:lineRule="auto"/>
        <w:ind w:right="49"/>
        <w:jc w:val="both"/>
        <w:rPr>
          <w:rFonts w:ascii="Verdana" w:eastAsia="Arial" w:hAnsi="Verdana" w:cs="Arial"/>
        </w:rPr>
      </w:pPr>
      <w:r w:rsidRPr="00CD2674">
        <w:rPr>
          <w:rFonts w:ascii="Verdana" w:eastAsia="Arial" w:hAnsi="Verdana" w:cs="Arial"/>
        </w:rPr>
        <w:lastRenderedPageBreak/>
        <w:t>El artículo 3 de la Ley 1150 de 2007 señala que los actos relacionados con los procedimientos de contratación de las entidades estatales pueden ser electrónicos, al igual que su publicidad, por lo que el Gobierno nacional debe definir los medios para desarrollar dicha publicidad, y tiene la obligación de desarrollar el SECOP</w:t>
      </w:r>
      <w:r w:rsidRPr="00CD2674">
        <w:rPr>
          <w:rFonts w:ascii="Verdana" w:hAnsi="Verdana"/>
          <w:vertAlign w:val="superscript"/>
        </w:rPr>
        <w:footnoteReference w:id="3"/>
      </w:r>
      <w:r w:rsidRPr="00CD2674">
        <w:rPr>
          <w:rFonts w:ascii="Verdana" w:eastAsia="Arial" w:hAnsi="Verdana" w:cs="Arial"/>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4266D043" w14:textId="77777777" w:rsidR="00DF5650" w:rsidRPr="00CD2674" w:rsidRDefault="00DF5650" w:rsidP="00DF5650">
      <w:pPr>
        <w:pStyle w:val="Prrafodelista"/>
        <w:widowControl w:val="0"/>
        <w:autoSpaceDE w:val="0"/>
        <w:autoSpaceDN w:val="0"/>
        <w:spacing w:line="240" w:lineRule="auto"/>
        <w:ind w:right="49"/>
        <w:jc w:val="both"/>
        <w:rPr>
          <w:rFonts w:ascii="Verdana" w:eastAsia="Arial" w:hAnsi="Verdana" w:cs="Arial"/>
        </w:rPr>
      </w:pPr>
    </w:p>
    <w:p w14:paraId="7D506C62" w14:textId="77777777" w:rsidR="00DF5650" w:rsidRDefault="00DF5650" w:rsidP="00DF5650">
      <w:pPr>
        <w:pStyle w:val="Prrafodelista"/>
        <w:widowControl w:val="0"/>
        <w:numPr>
          <w:ilvl w:val="0"/>
          <w:numId w:val="12"/>
        </w:numPr>
        <w:autoSpaceDE w:val="0"/>
        <w:autoSpaceDN w:val="0"/>
        <w:spacing w:before="120" w:line="240" w:lineRule="auto"/>
        <w:ind w:right="306"/>
        <w:jc w:val="both"/>
        <w:rPr>
          <w:rFonts w:ascii="Verdana" w:eastAsia="Arial" w:hAnsi="Verdana" w:cs="Arial"/>
        </w:rPr>
      </w:pPr>
      <w:r w:rsidRPr="00CD2674">
        <w:rPr>
          <w:rFonts w:ascii="Verdana" w:eastAsia="Arial" w:hAnsi="Verdana" w:cs="Arial"/>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115AE7D6" w14:textId="77777777" w:rsidR="00DF5650" w:rsidRPr="00CD2674" w:rsidRDefault="00DF5650" w:rsidP="00DF5650">
      <w:pPr>
        <w:pStyle w:val="Prrafodelista"/>
        <w:widowControl w:val="0"/>
        <w:autoSpaceDE w:val="0"/>
        <w:autoSpaceDN w:val="0"/>
        <w:spacing w:before="120" w:line="240" w:lineRule="auto"/>
        <w:ind w:right="306"/>
        <w:jc w:val="both"/>
        <w:rPr>
          <w:rFonts w:ascii="Verdana" w:eastAsia="Arial" w:hAnsi="Verdana" w:cs="Arial"/>
        </w:rPr>
      </w:pPr>
    </w:p>
    <w:p w14:paraId="677CB683" w14:textId="77777777" w:rsidR="00DF5650" w:rsidRPr="00CD2674" w:rsidRDefault="00DF5650" w:rsidP="00DF5650">
      <w:pPr>
        <w:pStyle w:val="Prrafodelista"/>
        <w:widowControl w:val="0"/>
        <w:numPr>
          <w:ilvl w:val="0"/>
          <w:numId w:val="12"/>
        </w:numPr>
        <w:autoSpaceDE w:val="0"/>
        <w:autoSpaceDN w:val="0"/>
        <w:spacing w:before="120" w:line="240" w:lineRule="auto"/>
        <w:ind w:right="306"/>
        <w:jc w:val="both"/>
        <w:rPr>
          <w:rFonts w:ascii="Verdana" w:eastAsia="Arial" w:hAnsi="Verdana" w:cs="Arial"/>
        </w:rPr>
      </w:pPr>
      <w:r w:rsidRPr="00CD2674">
        <w:rPr>
          <w:rFonts w:ascii="Verdana" w:eastAsia="Arial" w:hAnsi="Verdana" w:cs="Arial"/>
        </w:rPr>
        <w:lastRenderedPageBreak/>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36729B27" w14:textId="77777777" w:rsidR="00DF5650" w:rsidRPr="00CD2674" w:rsidRDefault="00DF5650" w:rsidP="00DF5650">
      <w:pPr>
        <w:widowControl w:val="0"/>
        <w:autoSpaceDE w:val="0"/>
        <w:autoSpaceDN w:val="0"/>
        <w:spacing w:line="240" w:lineRule="auto"/>
        <w:ind w:left="709" w:right="709"/>
        <w:jc w:val="both"/>
        <w:rPr>
          <w:rFonts w:ascii="Verdana" w:eastAsia="Arial" w:hAnsi="Verdana" w:cs="Arial"/>
          <w:sz w:val="21"/>
          <w:lang w:val="es-ES"/>
        </w:rPr>
      </w:pPr>
      <w:r w:rsidRPr="00CD2674">
        <w:rPr>
          <w:rFonts w:ascii="Verdana" w:eastAsia="Arial" w:hAnsi="Verdana"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CD2674">
        <w:rPr>
          <w:rFonts w:ascii="Verdana" w:eastAsia="Arial" w:hAnsi="Verdana" w:cs="Arial"/>
          <w:spacing w:val="-6"/>
          <w:sz w:val="21"/>
          <w:lang w:val="es-ES"/>
        </w:rPr>
        <w:t xml:space="preserve"> </w:t>
      </w:r>
      <w:r w:rsidRPr="00CD2674">
        <w:rPr>
          <w:rFonts w:ascii="Verdana" w:eastAsia="Arial" w:hAnsi="Verdana" w:cs="Arial"/>
          <w:sz w:val="21"/>
          <w:lang w:val="es-ES"/>
        </w:rPr>
        <w:t>estatal.</w:t>
      </w:r>
    </w:p>
    <w:p w14:paraId="65B6FFA8" w14:textId="77777777" w:rsidR="00DF5650" w:rsidRPr="00CD2674" w:rsidRDefault="00DF5650" w:rsidP="00DF5650">
      <w:pPr>
        <w:widowControl w:val="0"/>
        <w:autoSpaceDE w:val="0"/>
        <w:autoSpaceDN w:val="0"/>
        <w:spacing w:before="1" w:line="240" w:lineRule="auto"/>
        <w:ind w:left="709" w:right="709"/>
        <w:jc w:val="both"/>
        <w:rPr>
          <w:rFonts w:ascii="Verdana" w:eastAsia="Arial" w:hAnsi="Verdana" w:cs="Arial"/>
          <w:sz w:val="21"/>
          <w:lang w:val="es-ES"/>
        </w:rPr>
      </w:pPr>
      <w:r w:rsidRPr="00CD2674">
        <w:rPr>
          <w:rFonts w:ascii="Verdana" w:eastAsia="Arial" w:hAnsi="Verdana"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CD2674">
        <w:rPr>
          <w:rFonts w:ascii="Verdana" w:eastAsia="Arial" w:hAnsi="Verdana" w:cs="Arial"/>
          <w:spacing w:val="-3"/>
          <w:sz w:val="21"/>
          <w:lang w:val="es-ES"/>
        </w:rPr>
        <w:t xml:space="preserve">Y, </w:t>
      </w:r>
      <w:r w:rsidRPr="00CD2674">
        <w:rPr>
          <w:rFonts w:ascii="Verdana" w:eastAsia="Arial" w:hAnsi="Verdana" w:cs="Arial"/>
          <w:sz w:val="21"/>
          <w:lang w:val="es-ES"/>
        </w:rPr>
        <w:t>de conteras, suple algunas de las limitaciones de las que adolecía el Diario Único de Contratación, en términos de cobertura geográfica, de cantidad de ejemplares y de posibilidad de acceso por parte de la</w:t>
      </w:r>
      <w:r w:rsidRPr="00CD2674">
        <w:rPr>
          <w:rFonts w:ascii="Verdana" w:eastAsia="Arial" w:hAnsi="Verdana" w:cs="Arial"/>
          <w:spacing w:val="-4"/>
          <w:sz w:val="21"/>
          <w:lang w:val="es-ES"/>
        </w:rPr>
        <w:t xml:space="preserve"> </w:t>
      </w:r>
      <w:r w:rsidRPr="00CD2674">
        <w:rPr>
          <w:rFonts w:ascii="Verdana" w:eastAsia="Arial" w:hAnsi="Verdana" w:cs="Arial"/>
          <w:sz w:val="21"/>
          <w:lang w:val="es-ES"/>
        </w:rPr>
        <w:t>ciudadanía”.</w:t>
      </w:r>
    </w:p>
    <w:p w14:paraId="387ABDBA"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Arial" w:hAnsi="Verdana" w:cs="Arial"/>
        </w:rPr>
        <w:t xml:space="preserve">La expresión </w:t>
      </w:r>
      <w:r w:rsidRPr="00CD2674">
        <w:rPr>
          <w:rFonts w:ascii="Verdana" w:eastAsia="Arial" w:hAnsi="Verdana" w:cs="Arial"/>
          <w:i/>
          <w:iCs/>
        </w:rPr>
        <w:t>Documentos del Proceso</w:t>
      </w:r>
      <w:r w:rsidRPr="00CD2674">
        <w:rPr>
          <w:rFonts w:ascii="Verdana" w:eastAsia="Arial" w:hAnsi="Verdana" w:cs="Arial"/>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w:t>
      </w:r>
      <w:r w:rsidRPr="00CD2674">
        <w:rPr>
          <w:rFonts w:ascii="Verdana" w:eastAsia="Arial" w:hAnsi="Verdana" w:cs="Arial"/>
          <w:i/>
          <w:iCs/>
        </w:rPr>
        <w:t xml:space="preserve"> y cualquier otro documento expedido por la Entidad Estatal durante el Proceso de Contratación</w:t>
      </w:r>
      <w:r w:rsidRPr="00CD2674">
        <w:rPr>
          <w:rFonts w:ascii="Verdana" w:eastAsia="Arial" w:hAnsi="Verdana" w:cs="Arial"/>
        </w:rPr>
        <w:t xml:space="preserve">” </w:t>
      </w:r>
    </w:p>
    <w:p w14:paraId="57CD5F69"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Arial" w:hAnsi="Verdana" w:cs="Arial"/>
        </w:rPr>
        <w:t xml:space="preserve">No obstante, para identificar los documentos que deben publicarse, es necesario realizar una interpretación sistemática de las disposiciones del </w:t>
      </w:r>
      <w:r w:rsidRPr="00CD2674">
        <w:rPr>
          <w:rFonts w:ascii="Verdana" w:eastAsia="Arial" w:hAnsi="Verdana" w:cs="Arial"/>
        </w:rPr>
        <w:lastRenderedPageBreak/>
        <w:t xml:space="preserve">Decreto 1082 del 2015, comoquiera que el anterior no es un listado taxativo, sino enunciativo, porque además de los documentos enlistados, el artículo 2.2.1.1.1.3.1 </w:t>
      </w:r>
      <w:r w:rsidRPr="00CD2674">
        <w:rPr>
          <w:rFonts w:ascii="Verdana" w:eastAsia="Arial" w:hAnsi="Verdana" w:cs="Arial"/>
          <w:i/>
          <w:iCs/>
        </w:rPr>
        <w:t>Ibídem</w:t>
      </w:r>
      <w:r w:rsidRPr="00CD2674">
        <w:rPr>
          <w:rFonts w:ascii="Verdana" w:eastAsia="Arial" w:hAnsi="Verdana" w:cs="Arial"/>
        </w:rPr>
        <w:t xml:space="preserve"> recoge en la noción de </w:t>
      </w:r>
      <w:r w:rsidRPr="00CD2674">
        <w:rPr>
          <w:rFonts w:ascii="Verdana" w:eastAsia="Arial" w:hAnsi="Verdana" w:cs="Arial"/>
          <w:i/>
          <w:iCs/>
        </w:rPr>
        <w:t>Documentos del Proceso</w:t>
      </w:r>
      <w:r w:rsidRPr="00CD2674">
        <w:rPr>
          <w:rFonts w:ascii="Verdana" w:eastAsia="Arial" w:hAnsi="Verdana" w:cs="Arial"/>
        </w:rPr>
        <w:t xml:space="preserve"> “cualquier otro documento expedido por la Entidad Estatal durante el </w:t>
      </w:r>
      <w:r w:rsidRPr="00CD2674">
        <w:rPr>
          <w:rFonts w:ascii="Verdana" w:eastAsia="Arial" w:hAnsi="Verdana" w:cs="Arial"/>
          <w:i/>
          <w:iCs/>
        </w:rPr>
        <w:t>Proceso de Contratación”</w:t>
      </w:r>
      <w:r w:rsidRPr="00CD2674">
        <w:rPr>
          <w:rFonts w:ascii="Verdana" w:eastAsia="Arial" w:hAnsi="Verdana" w:cs="Arial"/>
        </w:rPr>
        <w:t xml:space="preserve">. Este mismo artículo define la expresión </w:t>
      </w:r>
      <w:r w:rsidRPr="00CD2674">
        <w:rPr>
          <w:rFonts w:ascii="Verdana" w:eastAsia="Arial" w:hAnsi="Verdana" w:cs="Arial"/>
          <w:i/>
          <w:iCs/>
        </w:rPr>
        <w:t>Proceso de Contratación</w:t>
      </w:r>
      <w:r w:rsidRPr="00CD2674">
        <w:rPr>
          <w:rFonts w:ascii="Verdana" w:eastAsia="Arial" w:hAnsi="Verdana" w:cs="Arial"/>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CD22CFC"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Arial" w:hAnsi="Verdana" w:cs="Arial"/>
        </w:rPr>
        <w:t xml:space="preserve">Nótese que la norma hace referencia a los documentos “expedidos por la entidad estatal” durante el proceso de contratación, excluyendo de la noción de </w:t>
      </w:r>
      <w:r w:rsidRPr="00CD2674">
        <w:rPr>
          <w:rFonts w:ascii="Verdana" w:eastAsia="Arial" w:hAnsi="Verdana" w:cs="Arial"/>
          <w:i/>
          <w:iCs/>
        </w:rPr>
        <w:t>Documentos del Proceso</w:t>
      </w:r>
      <w:r w:rsidRPr="00CD2674">
        <w:rPr>
          <w:rFonts w:ascii="Verdana" w:eastAsia="Arial" w:hAnsi="Verdana" w:cs="Arial"/>
        </w:rPr>
        <w:t xml:space="preserve"> los expedidos por un sujeto distinto a la entidad, salvo la oferta, la cual se incluye expresamente en el artículo 2.2.1.1.1.3.1. </w:t>
      </w:r>
    </w:p>
    <w:p w14:paraId="2614CAB1"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Arial" w:hAnsi="Verdana" w:cs="Arial"/>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CD2674">
        <w:rPr>
          <w:rFonts w:ascii="Verdana" w:eastAsia="Arial" w:hAnsi="Verdana" w:cs="Arial"/>
          <w:i/>
          <w:iCs/>
        </w:rPr>
        <w:t>Proceso de Contratación</w:t>
      </w:r>
      <w:r w:rsidRPr="00CD2674">
        <w:rPr>
          <w:rFonts w:ascii="Verdana" w:eastAsia="Arial" w:hAnsi="Verdana" w:cs="Arial"/>
        </w:rPr>
        <w:t>,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w:t>
      </w:r>
    </w:p>
    <w:p w14:paraId="06B0A79E"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bookmarkStart w:id="2" w:name="_Hlk79767574"/>
      <w:r w:rsidRPr="00CD2674">
        <w:rPr>
          <w:rFonts w:ascii="Verdana" w:eastAsia="Arial" w:hAnsi="Verdana" w:cs="Arial"/>
        </w:rPr>
        <w:t xml:space="preserve">En todo caso, de conformidad con la segunda parte del inciso primero del artículo 2.2.1.1.1.7.1 </w:t>
      </w:r>
      <w:r w:rsidRPr="00CD2674">
        <w:rPr>
          <w:rFonts w:ascii="Verdana" w:eastAsia="Arial" w:hAnsi="Verdana" w:cs="Arial"/>
          <w:i/>
          <w:iCs/>
        </w:rPr>
        <w:t>Ibídem</w:t>
      </w:r>
      <w:r w:rsidRPr="00CD2674">
        <w:rPr>
          <w:rFonts w:ascii="Verdana" w:eastAsia="Arial" w:hAnsi="Verdana" w:cs="Arial"/>
        </w:rPr>
        <w:t xml:space="preserve">, el deber de publicar las actuaciones realizadas en el marco del proceso de contratación, en lo referente a las ofertas presentadas, solo se predica de la propuesta del adjudicatario, así que no es necesario publicar las demás. Sin embargo, eso no quiere decir que las ofertas tengan algún tipo de reserva, toda vez que la audiencia de adjudicación es publica y, además, se permite al interesado consultar el expediente del </w:t>
      </w:r>
      <w:r w:rsidRPr="00CD2674">
        <w:rPr>
          <w:rFonts w:ascii="Verdana" w:eastAsia="Arial" w:hAnsi="Verdana" w:cs="Arial"/>
          <w:i/>
          <w:iCs/>
        </w:rPr>
        <w:t>Proceso de Contratación</w:t>
      </w:r>
      <w:r w:rsidRPr="00CD2674">
        <w:rPr>
          <w:rFonts w:ascii="Verdana" w:eastAsia="Arial" w:hAnsi="Verdana" w:cs="Arial"/>
        </w:rPr>
        <w:t>. En ese sentido, si bien la entidad no está obligada a publicar las ofertas de los demás participantes, lo cierto es que, sobre las mismas, no se presenta reserva legal.</w:t>
      </w:r>
      <w:r w:rsidRPr="00CD2674">
        <w:rPr>
          <w:rFonts w:ascii="Verdana" w:eastAsia="Arial" w:hAnsi="Verdana" w:cs="Arial"/>
          <w:i/>
          <w:iCs/>
        </w:rPr>
        <w:t xml:space="preserve"> </w:t>
      </w:r>
      <w:r w:rsidRPr="00CD2674">
        <w:rPr>
          <w:rFonts w:ascii="Verdana" w:eastAsia="Arial" w:hAnsi="Verdana" w:cs="Arial"/>
        </w:rPr>
        <w:t>Del deber de publicidad, de conformidad con la tercera parte del inciso primero de la referida norma, también se encuentran exentos los documentos de las operaciones que se realicen en bolsa de productos.</w:t>
      </w:r>
      <w:bookmarkEnd w:id="2"/>
    </w:p>
    <w:p w14:paraId="421B1E88"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Arial" w:hAnsi="Verdana" w:cs="Arial"/>
        </w:rPr>
        <w:lastRenderedPageBreak/>
        <w:t xml:space="preserve">El inciso segundo del artículo 2.2.1.1.1.7.1 </w:t>
      </w:r>
      <w:r w:rsidRPr="00CD2674">
        <w:rPr>
          <w:rFonts w:ascii="Verdana" w:eastAsia="Arial" w:hAnsi="Verdana" w:cs="Arial"/>
          <w:i/>
          <w:iCs/>
        </w:rPr>
        <w:t xml:space="preserve">ejusdem, </w:t>
      </w:r>
      <w:r w:rsidRPr="00CD2674">
        <w:rPr>
          <w:rFonts w:ascii="Verdana" w:eastAsia="Arial" w:hAnsi="Verdana" w:cs="Arial"/>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CD2674">
        <w:rPr>
          <w:rFonts w:ascii="Verdana" w:eastAsia="Calibri" w:hAnsi="Verdana" w:cs="Arial"/>
        </w:rPr>
        <w:t xml:space="preserve">2.2.1.1.2.1.4, deber que hace extensivo a la invitación </w:t>
      </w:r>
      <w:r w:rsidRPr="00CD2674">
        <w:rPr>
          <w:rFonts w:ascii="Verdana" w:eastAsia="Arial" w:hAnsi="Verdana" w:cs="Arial"/>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256F21D9"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No obstante, conforme se estableció </w:t>
      </w:r>
      <w:r w:rsidRPr="00CD2674">
        <w:rPr>
          <w:rFonts w:ascii="Verdana" w:eastAsia="Calibri" w:hAnsi="Verdana" w:cs="Arial"/>
          <w:i/>
          <w:iCs/>
        </w:rPr>
        <w:t>supra</w:t>
      </w:r>
      <w:r w:rsidRPr="00CD2674">
        <w:rPr>
          <w:rFonts w:ascii="Verdana" w:eastAsia="Calibri" w:hAnsi="Verdana" w:cs="Arial"/>
        </w:rPr>
        <w:t>,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está reglamentada en el Decreto 1081 de 2015. Este señala, en el artículo 2.1.1.2.1.7, que las entidades deberán publicar en el SECOP la información de su gestión contractual</w:t>
      </w:r>
      <w:r w:rsidRPr="00CD2674">
        <w:rPr>
          <w:rFonts w:ascii="Verdana" w:hAnsi="Verdana"/>
          <w:vertAlign w:val="superscript"/>
        </w:rPr>
        <w:footnoteReference w:id="4"/>
      </w:r>
      <w:r w:rsidRPr="00CD2674">
        <w:rPr>
          <w:rFonts w:ascii="Verdana" w:eastAsia="Calibri" w:hAnsi="Verdana" w:cs="Arial"/>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CD2674">
        <w:rPr>
          <w:rFonts w:ascii="Verdana" w:hAnsi="Verdana"/>
          <w:vertAlign w:val="superscript"/>
        </w:rPr>
        <w:footnoteReference w:id="5"/>
      </w:r>
      <w:r w:rsidRPr="00CD2674">
        <w:rPr>
          <w:rFonts w:ascii="Verdana" w:eastAsia="Calibri" w:hAnsi="Verdana" w:cs="Arial"/>
        </w:rPr>
        <w:t xml:space="preserve">. El artículo 2.1.1.2.1.10 establece la obligación que tienen las entidades de publicar </w:t>
      </w:r>
      <w:r w:rsidRPr="00CD2674">
        <w:rPr>
          <w:rFonts w:ascii="Verdana" w:eastAsia="Calibri" w:hAnsi="Verdana" w:cs="Arial"/>
        </w:rPr>
        <w:lastRenderedPageBreak/>
        <w:t>en el SECOP el Plan Anual de Adquisiciones</w:t>
      </w:r>
      <w:r w:rsidRPr="00CD2674">
        <w:rPr>
          <w:rFonts w:ascii="Verdana" w:hAnsi="Verdana"/>
          <w:vertAlign w:val="superscript"/>
        </w:rPr>
        <w:footnoteReference w:id="6"/>
      </w:r>
      <w:r w:rsidRPr="00CD2674">
        <w:rPr>
          <w:rFonts w:ascii="Verdana" w:eastAsia="Calibri" w:hAnsi="Verdana" w:cs="Arial"/>
        </w:rPr>
        <w:t xml:space="preserve">. </w:t>
      </w:r>
    </w:p>
    <w:p w14:paraId="33723E86"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De otro lado, el artículo 2.1.1.2.1.8, establece los efectos de la obligación contenida en el literal g) del artículo 11 de la Ley 1712 de 2014, en relación con los documentos producidos durante la ejecución del contrato, señalando que se deben publicar las aprobaciones, autorizaciones, requerimientos o informes del supervisor o interventor, que prueben la ejecución del contrato</w:t>
      </w:r>
      <w:r w:rsidRPr="00CD2674">
        <w:rPr>
          <w:rFonts w:ascii="Verdana" w:hAnsi="Verdana"/>
          <w:vertAlign w:val="superscript"/>
        </w:rPr>
        <w:footnoteReference w:id="7"/>
      </w:r>
      <w:r w:rsidRPr="00CD2674">
        <w:rPr>
          <w:rFonts w:ascii="Verdana" w:eastAsia="Calibri" w:hAnsi="Verdana" w:cs="Arial"/>
        </w:rPr>
        <w:t>.</w:t>
      </w:r>
    </w:p>
    <w:p w14:paraId="40D57977"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En ese orden, el deber de publicar la actividad contractual de las entidades estatales no solo está regulado en el artículo 3 de la Ley 1150 de 2007, y en el </w:t>
      </w:r>
      <w:r w:rsidRPr="00CD2674">
        <w:rPr>
          <w:rFonts w:ascii="Verdana" w:eastAsia="Arial" w:hAnsi="Verdana" w:cs="Arial"/>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CD2674">
        <w:rPr>
          <w:rFonts w:ascii="Verdana" w:eastAsia="Arial" w:hAnsi="Verdana" w:cs="Arial"/>
          <w:i/>
          <w:iCs/>
        </w:rPr>
        <w:t xml:space="preserve">Documentos del Proceso </w:t>
      </w:r>
      <w:r w:rsidRPr="00CD2674">
        <w:rPr>
          <w:rFonts w:ascii="Verdana" w:eastAsia="Arial" w:hAnsi="Verdana" w:cs="Arial"/>
        </w:rPr>
        <w:t>expedidos por la “entidad estatal”.</w:t>
      </w:r>
    </w:p>
    <w:p w14:paraId="58A19B74"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CD2674">
        <w:rPr>
          <w:rFonts w:ascii="Verdana" w:eastAsia="Calibri" w:hAnsi="Verdana" w:cs="Arial"/>
          <w:i/>
          <w:iCs/>
        </w:rPr>
        <w:t>Documentos del Proceso.</w:t>
      </w:r>
      <w:r w:rsidRPr="00CD2674">
        <w:rPr>
          <w:rFonts w:ascii="Verdana" w:eastAsia="Calibri" w:hAnsi="Verdana" w:cs="Arial"/>
        </w:rPr>
        <w:t xml:space="preserve"> Esto</w:t>
      </w:r>
      <w:r w:rsidRPr="00CD2674">
        <w:rPr>
          <w:rFonts w:ascii="Verdana" w:eastAsia="Calibri" w:hAnsi="Verdana" w:cs="Arial"/>
          <w:i/>
          <w:iCs/>
        </w:rPr>
        <w:t xml:space="preserve"> </w:t>
      </w:r>
      <w:r w:rsidRPr="00CD2674">
        <w:rPr>
          <w:rFonts w:ascii="Verdana" w:eastAsia="Calibri" w:hAnsi="Verdana" w:cs="Arial"/>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CD2674">
        <w:rPr>
          <w:rFonts w:ascii="Verdana" w:eastAsia="Calibri" w:hAnsi="Verdana" w:cs="Arial"/>
          <w:i/>
          <w:iCs/>
        </w:rPr>
        <w:t>Proceso de Contratación,</w:t>
      </w:r>
      <w:r w:rsidRPr="00CD2674">
        <w:rPr>
          <w:rFonts w:ascii="Verdana" w:eastAsia="Calibri" w:hAnsi="Verdana" w:cs="Arial"/>
        </w:rPr>
        <w:t xml:space="preserve"> lo que </w:t>
      </w:r>
      <w:r w:rsidRPr="00CD2674">
        <w:rPr>
          <w:rFonts w:ascii="Verdana" w:eastAsia="Calibri" w:hAnsi="Verdana" w:cs="Arial"/>
        </w:rPr>
        <w:lastRenderedPageBreak/>
        <w:t xml:space="preserve">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4AD58715"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Esto quiere decir que las Entidades Estatales, además de los documentos y actos administrativos </w:t>
      </w:r>
      <w:r w:rsidRPr="00CD2674">
        <w:rPr>
          <w:rFonts w:ascii="Verdana" w:eastAsia="Calibri" w:hAnsi="Verdana" w:cs="Arial"/>
        </w:rPr>
        <w:softHyphen/>
      </w:r>
      <w:r w:rsidRPr="00CD2674">
        <w:rPr>
          <w:rFonts w:ascii="Verdana" w:eastAsia="Calibri" w:hAnsi="Verdana" w:cs="Arial"/>
        </w:rPr>
        <w:softHyphen/>
        <w:t>–de trámite o definitivos– que expiden durante los procedimientos de contratación</w:t>
      </w:r>
      <w:r w:rsidRPr="00CD2674">
        <w:rPr>
          <w:rFonts w:ascii="Verdana" w:eastAsia="Calibri" w:hAnsi="Verdana" w:cs="Arial"/>
          <w:i/>
          <w:iCs/>
        </w:rPr>
        <w:t>,</w:t>
      </w:r>
      <w:r w:rsidRPr="00CD2674">
        <w:rPr>
          <w:rFonts w:ascii="Verdana" w:eastAsia="Calibri" w:hAnsi="Verdana" w:cs="Arial"/>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CD2674">
        <w:rPr>
          <w:rFonts w:ascii="Verdana" w:eastAsia="Calibri" w:hAnsi="Verdana" w:cs="Arial"/>
          <w:i/>
          <w:iCs/>
        </w:rPr>
        <w:t xml:space="preserve"> Documento del Proceso, </w:t>
      </w:r>
      <w:r w:rsidRPr="00CD2674">
        <w:rPr>
          <w:rFonts w:ascii="Verdana" w:eastAsia="Calibri" w:hAnsi="Verdana" w:cs="Arial"/>
        </w:rPr>
        <w:t xml:space="preserve">hace parte de su desarrollo, y que por disposición de la Ley de transparencia y acceso a la información pública, debe publicar la entidad de manera proactiva.   </w:t>
      </w:r>
    </w:p>
    <w:p w14:paraId="7CAC1794"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w:t>
      </w:r>
    </w:p>
    <w:p w14:paraId="711178A2" w14:textId="77777777" w:rsidR="00DF5650" w:rsidRPr="00CD2674" w:rsidRDefault="00DF5650" w:rsidP="00DF5650">
      <w:pPr>
        <w:pStyle w:val="Prrafodelista"/>
        <w:widowControl w:val="0"/>
        <w:numPr>
          <w:ilvl w:val="0"/>
          <w:numId w:val="13"/>
        </w:numPr>
        <w:autoSpaceDE w:val="0"/>
        <w:autoSpaceDN w:val="0"/>
        <w:spacing w:after="120" w:line="240" w:lineRule="auto"/>
        <w:jc w:val="both"/>
        <w:rPr>
          <w:rFonts w:ascii="Verdana" w:eastAsia="Arial" w:hAnsi="Verdana" w:cs="Arial"/>
        </w:rPr>
      </w:pPr>
      <w:r w:rsidRPr="00CD2674">
        <w:rPr>
          <w:rFonts w:ascii="Verdana" w:eastAsia="Calibri" w:hAnsi="Verdana" w:cs="Arial"/>
        </w:rPr>
        <w:t xml:space="preserve">Esta interpretación de las disposiciones analizadas permite incorporar al EGCAP importantes principios desarrollados por la normativa de la transparencia y acceso a la información pública, como los de </w:t>
      </w:r>
      <w:r w:rsidRPr="00CD2674">
        <w:rPr>
          <w:rFonts w:ascii="Verdana" w:eastAsia="Calibri" w:hAnsi="Verdana" w:cs="Arial"/>
          <w:i/>
          <w:iCs/>
        </w:rPr>
        <w:t>máxima publicidad para un titular universal</w:t>
      </w:r>
      <w:r w:rsidRPr="00CD2674">
        <w:rPr>
          <w:rFonts w:ascii="Verdana" w:hAnsi="Verdana"/>
          <w:i/>
          <w:iCs/>
          <w:vertAlign w:val="superscript"/>
        </w:rPr>
        <w:footnoteReference w:id="8"/>
      </w:r>
      <w:r w:rsidRPr="00CD2674">
        <w:rPr>
          <w:rFonts w:ascii="Verdana" w:eastAsia="Calibri" w:hAnsi="Verdana" w:cs="Arial"/>
          <w:i/>
          <w:iCs/>
        </w:rPr>
        <w:t>, transparencia, facilitación y divulgación proactiva de la información</w:t>
      </w:r>
      <w:r w:rsidRPr="00CD2674">
        <w:rPr>
          <w:rFonts w:ascii="Verdana" w:hAnsi="Verdana"/>
          <w:vertAlign w:val="superscript"/>
        </w:rPr>
        <w:footnoteReference w:id="9"/>
      </w:r>
      <w:r w:rsidRPr="00CD2674">
        <w:rPr>
          <w:rFonts w:ascii="Verdana" w:eastAsia="Calibri" w:hAnsi="Verdana" w:cs="Arial"/>
        </w:rPr>
        <w:t xml:space="preserve">,  porque al ampliarse la actividad </w:t>
      </w:r>
      <w:r w:rsidRPr="00CD2674">
        <w:rPr>
          <w:rFonts w:ascii="Verdana" w:eastAsia="Calibri" w:hAnsi="Verdana" w:cs="Arial"/>
        </w:rPr>
        <w:lastRenderedPageBreak/>
        <w:t xml:space="preserve">contractual sobre la que recae el deber de publicación, se divulga un mayor volumen de información, que de por sí es pública, mediante un mecanismo  como el SECOP, que está concebido para ello por lo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64DC009" w14:textId="77777777" w:rsidR="00DF5650" w:rsidRPr="00CD2674" w:rsidRDefault="00DF5650" w:rsidP="00DF5650">
      <w:pPr>
        <w:pStyle w:val="Prrafodelista"/>
        <w:widowControl w:val="0"/>
        <w:autoSpaceDE w:val="0"/>
        <w:autoSpaceDN w:val="0"/>
        <w:spacing w:after="120" w:line="240" w:lineRule="auto"/>
        <w:jc w:val="both"/>
        <w:rPr>
          <w:rFonts w:ascii="Verdana" w:eastAsia="Arial" w:hAnsi="Verdana" w:cs="Arial"/>
        </w:rPr>
      </w:pPr>
    </w:p>
    <w:p w14:paraId="2FCCE360"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Por otra parte debemos mencionar que la Agencia Nacional de Contratación Pública – Colombia Compra Eficiente tiene, dentro de sus competencias, la función de administrar el SECOP , por lo cual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623BA600"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 xml:space="preserve">El SECOP II, en cambio, es una plataforma transaccional, que permite gestionar en línea los procedimientos de contratación, con cuentas y usuarios asociados a estas, para las entidades y los proveedores, y vista pública para cualquier interesado en hacer seguimiento a la contratación </w:t>
      </w:r>
      <w:r w:rsidRPr="00CD2674">
        <w:rPr>
          <w:rFonts w:ascii="Verdana" w:eastAsia="Calibri" w:hAnsi="Verdana" w:cs="Arial"/>
        </w:rPr>
        <w:lastRenderedPageBreak/>
        <w:t>pública. Desde sus cuentas, las entidades crean, evalúan y adjudican procedimientos de contratación, y gestionan la fase de ejecución e incluso post contractual del contrato. Los proveedores pueden hacer comentarios a los documentos del procedimiento, presentar ofertas, seguir el procedimiento de selección en línea, cargar documentación de la ejecución del contrato, entre otros.</w:t>
      </w:r>
    </w:p>
    <w:p w14:paraId="255C3CD2"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La Agencia Nacional de Contratación Pública – Colombia Compra Eficiente realizó el despliegue de SECOP II a nivel territorial en el 2018 y 2019, por lo cual se expidió la Circular Externa No. 1 de 2019, sobre la obligatoriedad del uso del SECOP II, que dispuso: “A partir del 1 de enero de 2020, todos los procesos de contratación de las entidades relacionadas en el Anexo 1 de esta circular deberán gestionarse, exclusivamente, en el SECOP ll”. Esta se modificó parcialmente, mediante la Circular Externa No. 3 de 2020. Posteriormente, esta Agencia expidió la Circular Externa No. 1 de 2021, “[…] con el fin de dar directrices sobre la obligatoriedad del uso del SECOP II en 2021”, modificada posteriormente por la Circular No. 2 de 2021, en relación con la publicación de los procesos de contratación bajo la modalidad de concurso de méritos. Asimismo, profirió la Circular Externa No. 2 de 2022, determinando la obligatoriedad del SECOP II a partir de dicho año.</w:t>
      </w:r>
    </w:p>
    <w:p w14:paraId="5E961091"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 xml:space="preserve">Sobre la utilización de SECOP II, es necesario aclarar, por tanto, que en esta plataforma el procedimiento contractual se debe desarrollar en línea, conformándose un expediente electrónico. Esto denota una diferencia con el SECOP I, donde el procedimiento es físico, o sea que está integrado por documentos escritos y físicos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como se explica a continuación. </w:t>
      </w:r>
    </w:p>
    <w:p w14:paraId="3E066112"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 xml:space="preserve">Si bien los documentos que deben publicarse en el SECOP II corresponden a los mismos que deben publicarse en el SECOP I, esto es, todos los expedidos con ocasión el Proceso de Contratación con excepción de los expresamente excluidos, es decir aquellos que tengan reserva legal,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w:t>
      </w:r>
      <w:r w:rsidRPr="00CD2674">
        <w:rPr>
          <w:rFonts w:ascii="Verdana" w:eastAsia="Calibri" w:hAnsi="Verdana" w:cs="Arial"/>
        </w:rPr>
        <w:lastRenderedPageBreak/>
        <w:t xml:space="preserve">medida en la que se generen y aprueben estos documentos y actuaciones electrónicas en la plataforma. Esta es una diferencia respecto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deben ser publicados, sin que transcurra el referido término. </w:t>
      </w:r>
    </w:p>
    <w:p w14:paraId="15C6B394" w14:textId="77777777" w:rsidR="00DF5650" w:rsidRPr="00CD2674" w:rsidRDefault="00DF5650" w:rsidP="00DF5650">
      <w:pPr>
        <w:pStyle w:val="Prrafodelista"/>
        <w:numPr>
          <w:ilvl w:val="0"/>
          <w:numId w:val="11"/>
        </w:numPr>
        <w:spacing w:after="0" w:line="240" w:lineRule="auto"/>
        <w:jc w:val="both"/>
        <w:rPr>
          <w:rFonts w:ascii="Verdana" w:eastAsia="Calibri" w:hAnsi="Verdana" w:cs="Arial"/>
        </w:rPr>
      </w:pPr>
      <w:r w:rsidRPr="00CD2674">
        <w:rPr>
          <w:rFonts w:ascii="Verdana" w:eastAsia="Calibri" w:hAnsi="Verdana" w:cs="Arial"/>
        </w:rPr>
        <w:t>En ese orden de ideas, el carácter transaccional de SECOP II, como herramienta que permite no solo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p>
    <w:p w14:paraId="02E3E58C" w14:textId="77777777" w:rsidR="00DF5650" w:rsidRPr="00CD2674" w:rsidRDefault="00DF5650" w:rsidP="00DF5650">
      <w:pPr>
        <w:spacing w:after="0" w:line="240" w:lineRule="auto"/>
        <w:jc w:val="both"/>
        <w:rPr>
          <w:rFonts w:ascii="Verdana" w:eastAsia="Calibri" w:hAnsi="Verdana" w:cs="Arial"/>
          <w:lang w:val="es-ES"/>
        </w:rPr>
      </w:pPr>
    </w:p>
    <w:p w14:paraId="7BE9E8D9" w14:textId="77777777" w:rsidR="00DF5650" w:rsidRPr="00CD2674" w:rsidRDefault="00DF5650" w:rsidP="00DF5650">
      <w:pPr>
        <w:spacing w:after="0" w:line="240" w:lineRule="auto"/>
        <w:jc w:val="both"/>
        <w:rPr>
          <w:rFonts w:ascii="Verdana" w:eastAsia="Calibri" w:hAnsi="Verdana" w:cs="Arial"/>
          <w:lang w:val="es-ES"/>
        </w:rPr>
      </w:pPr>
    </w:p>
    <w:p w14:paraId="5796C77E" w14:textId="77777777" w:rsidR="00DF5650" w:rsidRPr="00CD2674" w:rsidRDefault="00DF5650" w:rsidP="00DF5650">
      <w:pPr>
        <w:widowControl w:val="0"/>
        <w:autoSpaceDE w:val="0"/>
        <w:autoSpaceDN w:val="0"/>
        <w:spacing w:after="0" w:line="240" w:lineRule="auto"/>
        <w:jc w:val="both"/>
        <w:rPr>
          <w:rFonts w:ascii="Verdana" w:hAnsi="Verdana" w:cs="Arial"/>
        </w:rPr>
      </w:pPr>
    </w:p>
    <w:p w14:paraId="4E700484" w14:textId="77777777" w:rsidR="00DF5650" w:rsidRPr="00CD2674" w:rsidRDefault="00DF5650" w:rsidP="00DF5650">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Referencias normativas, jurisprudenciales y otras fuentes:</w:t>
      </w:r>
    </w:p>
    <w:p w14:paraId="3A6A0A54" w14:textId="77777777" w:rsidR="00DF5650" w:rsidRPr="00CD2674" w:rsidRDefault="00DF5650" w:rsidP="00DF5650">
      <w:pPr>
        <w:widowControl w:val="0"/>
        <w:autoSpaceDE w:val="0"/>
        <w:autoSpaceDN w:val="0"/>
        <w:spacing w:after="0" w:line="240"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F5650" w:rsidRPr="00CD2674" w14:paraId="24B379E7" w14:textId="77777777" w:rsidTr="005C5A17">
        <w:trPr>
          <w:trHeight w:val="870"/>
        </w:trPr>
        <w:tc>
          <w:tcPr>
            <w:tcW w:w="8647" w:type="dxa"/>
          </w:tcPr>
          <w:p w14:paraId="111B1235" w14:textId="77777777" w:rsidR="00DF5650" w:rsidRPr="00B2722B" w:rsidRDefault="00DF5650" w:rsidP="00DF5650">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CD2674">
              <w:rPr>
                <w:rFonts w:ascii="Verdana" w:eastAsia="Calibri" w:hAnsi="Verdana" w:cs="Arial"/>
                <w:lang w:eastAsia="es-ES"/>
              </w:rPr>
              <w:t>Ley 1150 de 2007</w:t>
            </w:r>
            <w:r>
              <w:rPr>
                <w:rFonts w:ascii="Verdana" w:eastAsia="Calibri" w:hAnsi="Verdana" w:cs="Arial"/>
                <w:lang w:eastAsia="es-ES"/>
              </w:rPr>
              <w:t xml:space="preserve"> </w:t>
            </w:r>
            <w:r w:rsidRPr="00CD2674">
              <w:rPr>
                <w:rFonts w:ascii="Verdana" w:eastAsia="Calibri" w:hAnsi="Verdana" w:cs="Arial"/>
                <w:lang w:eastAsia="es-ES"/>
              </w:rPr>
              <w:t>artículo 3</w:t>
            </w:r>
          </w:p>
          <w:p w14:paraId="56963EFD" w14:textId="77777777" w:rsidR="00DF5650" w:rsidRPr="00EB4E55" w:rsidRDefault="00DF5650" w:rsidP="00DF5650">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CD2674">
              <w:rPr>
                <w:rFonts w:ascii="Verdana" w:eastAsia="Calibri" w:hAnsi="Verdana" w:cs="Arial"/>
              </w:rPr>
              <w:t>Decreto 1082 de 2015 artículo</w:t>
            </w:r>
            <w:r>
              <w:rPr>
                <w:rFonts w:ascii="Verdana" w:eastAsia="Calibri" w:hAnsi="Verdana" w:cs="Arial"/>
              </w:rPr>
              <w:t xml:space="preserve">s </w:t>
            </w:r>
            <w:r w:rsidRPr="00CD2674">
              <w:rPr>
                <w:rFonts w:ascii="Verdana" w:eastAsia="Arial" w:hAnsi="Verdana" w:cs="Arial"/>
              </w:rPr>
              <w:t>2.2.1.1.1.3.1.</w:t>
            </w:r>
            <w:r>
              <w:rPr>
                <w:rFonts w:ascii="Verdana" w:eastAsia="Arial" w:hAnsi="Verdana" w:cs="Arial"/>
              </w:rPr>
              <w:t xml:space="preserve">, </w:t>
            </w:r>
            <w:r w:rsidRPr="00CD2674">
              <w:rPr>
                <w:rFonts w:ascii="Verdana" w:eastAsia="Calibri" w:hAnsi="Verdana" w:cs="Arial"/>
              </w:rPr>
              <w:t>2.2.1.1.1.7.1</w:t>
            </w:r>
            <w:r>
              <w:rPr>
                <w:rFonts w:ascii="Verdana" w:eastAsia="Calibri" w:hAnsi="Verdana" w:cs="Arial"/>
              </w:rPr>
              <w:t>,</w:t>
            </w:r>
            <w:r w:rsidRPr="00CD2674">
              <w:rPr>
                <w:rFonts w:ascii="Verdana" w:eastAsia="Arial" w:hAnsi="Verdana" w:cs="Arial"/>
              </w:rPr>
              <w:t xml:space="preserve"> </w:t>
            </w:r>
          </w:p>
          <w:p w14:paraId="5CFB518A" w14:textId="77777777" w:rsidR="00DF5650" w:rsidRPr="00B2722B" w:rsidRDefault="00DF5650" w:rsidP="00DF5650">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2D3E33">
              <w:rPr>
                <w:rFonts w:ascii="Verdana" w:eastAsia="Calibri" w:hAnsi="Verdana" w:cs="Arial"/>
                <w:sz w:val="21"/>
                <w:szCs w:val="21"/>
              </w:rPr>
              <w:t>Decreto 1081 de 2015</w:t>
            </w:r>
            <w:r>
              <w:rPr>
                <w:rFonts w:ascii="Verdana" w:eastAsia="Calibri" w:hAnsi="Verdana" w:cs="Arial"/>
                <w:sz w:val="21"/>
                <w:szCs w:val="21"/>
              </w:rPr>
              <w:t xml:space="preserve"> </w:t>
            </w:r>
            <w:r w:rsidRPr="002D3E33">
              <w:rPr>
                <w:rFonts w:ascii="Verdana" w:eastAsia="Calibri" w:hAnsi="Verdana" w:cs="Arial"/>
                <w:sz w:val="21"/>
                <w:szCs w:val="21"/>
              </w:rPr>
              <w:t xml:space="preserve">artículo 2.1.1.2.1.10 </w:t>
            </w:r>
          </w:p>
          <w:p w14:paraId="30740EF9" w14:textId="77777777" w:rsidR="00DF5650" w:rsidRPr="00B2722B" w:rsidRDefault="00DF5650" w:rsidP="005C5A17">
            <w:pPr>
              <w:widowControl w:val="0"/>
              <w:tabs>
                <w:tab w:val="left" w:pos="8419"/>
              </w:tabs>
              <w:autoSpaceDE w:val="0"/>
              <w:autoSpaceDN w:val="0"/>
              <w:spacing w:after="120"/>
              <w:ind w:left="360"/>
              <w:jc w:val="both"/>
              <w:rPr>
                <w:rFonts w:ascii="Verdana" w:hAnsi="Verdana" w:cs="Arial"/>
              </w:rPr>
            </w:pPr>
          </w:p>
          <w:p w14:paraId="6F6F3940" w14:textId="77777777" w:rsidR="00DF5650" w:rsidRPr="00CD2674" w:rsidRDefault="00DF5650" w:rsidP="00DF5650">
            <w:pPr>
              <w:pStyle w:val="Prrafodelista"/>
              <w:widowControl w:val="0"/>
              <w:numPr>
                <w:ilvl w:val="0"/>
                <w:numId w:val="8"/>
              </w:numPr>
              <w:tabs>
                <w:tab w:val="left" w:pos="8419"/>
              </w:tabs>
              <w:autoSpaceDE w:val="0"/>
              <w:autoSpaceDN w:val="0"/>
              <w:spacing w:after="120"/>
              <w:contextualSpacing w:val="0"/>
              <w:jc w:val="both"/>
              <w:rPr>
                <w:rFonts w:ascii="Verdana" w:hAnsi="Verdana" w:cs="Arial"/>
              </w:rPr>
            </w:pPr>
            <w:r w:rsidRPr="00CD2674">
              <w:rPr>
                <w:rFonts w:ascii="Verdana" w:hAnsi="Verdana" w:cs="Arial"/>
              </w:rPr>
              <w:t xml:space="preserve">Circular Externa Única del 27 de diciembre de 2023. Disponible en: </w:t>
            </w:r>
            <w:hyperlink r:id="rId12" w:history="1">
              <w:r w:rsidRPr="00CD2674">
                <w:rPr>
                  <w:rStyle w:val="Hipervnculo"/>
                  <w:rFonts w:ascii="Verdana" w:hAnsi="Verdana" w:cs="Arial"/>
                </w:rPr>
                <w:t>https://www.colombiacompra.gov.co/sites/cce_public/files/cce_circulares/circular_externa_unica_version_3_vf49.pdf</w:t>
              </w:r>
            </w:hyperlink>
            <w:r w:rsidRPr="00CD2674">
              <w:rPr>
                <w:rFonts w:ascii="Verdana" w:hAnsi="Verdana" w:cs="Arial"/>
              </w:rPr>
              <w:t xml:space="preserve"> </w:t>
            </w:r>
          </w:p>
          <w:p w14:paraId="18F44171" w14:textId="77777777" w:rsidR="00DF5650" w:rsidRPr="00CD2674" w:rsidRDefault="00DF5650" w:rsidP="00DF5650">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 xml:space="preserve">Resolución </w:t>
            </w:r>
            <w:r w:rsidRPr="00CD2674">
              <w:rPr>
                <w:rFonts w:ascii="Verdana" w:eastAsia="Times New Roman" w:hAnsi="Verdana" w:cs="Arial"/>
                <w:lang w:val="es-ES_tradnl" w:eastAsia="es-ES"/>
              </w:rPr>
              <w:t xml:space="preserve">219 de 2021 de la Agencia Nacional de Contratación Pública–Colombia Compra Eficiente–. Disponible en: </w:t>
            </w:r>
            <w:hyperlink r:id="rId13" w:history="1">
              <w:r w:rsidRPr="00CD2674">
                <w:rPr>
                  <w:rStyle w:val="Hipervnculo"/>
                  <w:rFonts w:ascii="Verdana" w:eastAsia="Times New Roman" w:hAnsi="Verdana" w:cs="Arial"/>
                  <w:lang w:val="es-ES_tradnl" w:eastAsia="es-ES"/>
                </w:rPr>
                <w:t>https://www.colombiacompra.gov.co/content/04-documentos-tipo-de-licitacion-de-obra-publica-para-proyectos-de-infraestructura-social</w:t>
              </w:r>
            </w:hyperlink>
            <w:r w:rsidRPr="00CD2674">
              <w:rPr>
                <w:rFonts w:ascii="Verdana" w:eastAsia="Times New Roman" w:hAnsi="Verdana" w:cs="Arial"/>
                <w:lang w:val="es-ES_tradnl" w:eastAsia="es-ES"/>
              </w:rPr>
              <w:t xml:space="preserve"> </w:t>
            </w:r>
          </w:p>
          <w:p w14:paraId="6D7F42D2" w14:textId="77777777" w:rsidR="00DF5650" w:rsidRPr="00CD2674" w:rsidRDefault="00DF5650" w:rsidP="00DF5650">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 xml:space="preserve">Jurisprudencia del Consejo de Estado. Disponible en: </w:t>
            </w:r>
            <w:hyperlink r:id="rId14" w:history="1">
              <w:r w:rsidRPr="00CD2674">
                <w:rPr>
                  <w:rStyle w:val="Hipervnculo"/>
                  <w:rFonts w:ascii="Verdana" w:hAnsi="Verdana" w:cs="Arial"/>
                </w:rPr>
                <w:t>https://relatoria.colombiacompra.gov.co/providencias-consejo-de-estado/</w:t>
              </w:r>
            </w:hyperlink>
            <w:r w:rsidRPr="00CD2674">
              <w:rPr>
                <w:rFonts w:ascii="Verdana" w:hAnsi="Verdana" w:cs="Arial"/>
              </w:rPr>
              <w:t xml:space="preserve"> </w:t>
            </w:r>
          </w:p>
          <w:p w14:paraId="46336A06" w14:textId="77777777" w:rsidR="00DF5650" w:rsidRPr="00CD2674" w:rsidRDefault="00DF5650" w:rsidP="00DF5650">
            <w:pPr>
              <w:pStyle w:val="Prrafodelista"/>
              <w:widowControl w:val="0"/>
              <w:numPr>
                <w:ilvl w:val="0"/>
                <w:numId w:val="8"/>
              </w:numPr>
              <w:autoSpaceDE w:val="0"/>
              <w:autoSpaceDN w:val="0"/>
              <w:spacing w:after="120"/>
              <w:contextualSpacing w:val="0"/>
              <w:jc w:val="both"/>
              <w:rPr>
                <w:rFonts w:ascii="Verdana" w:hAnsi="Verdana" w:cs="Arial"/>
              </w:rPr>
            </w:pPr>
            <w:r w:rsidRPr="00CD2674">
              <w:rPr>
                <w:rFonts w:ascii="Verdana" w:hAnsi="Verdana" w:cs="Arial"/>
              </w:rPr>
              <w:t>Guías y manuales expedidos por la ANCP-CCE. Disponible en:</w:t>
            </w:r>
            <w:r w:rsidRPr="00CD2674">
              <w:rPr>
                <w:rFonts w:ascii="Verdana" w:hAnsi="Verdana"/>
              </w:rPr>
              <w:t xml:space="preserve"> </w:t>
            </w:r>
            <w:hyperlink r:id="rId15" w:history="1">
              <w:r w:rsidRPr="00CD2674">
                <w:rPr>
                  <w:rStyle w:val="Hipervnculo"/>
                  <w:rFonts w:ascii="Verdana" w:hAnsi="Verdana" w:cs="Arial"/>
                </w:rPr>
                <w:t>https://www.colombiacompra.gov.co/manuales-guias-y-pliegos-tipo/manuales-y-guias</w:t>
              </w:r>
            </w:hyperlink>
            <w:r w:rsidRPr="00CD2674">
              <w:rPr>
                <w:rFonts w:ascii="Verdana" w:hAnsi="Verdana" w:cs="Arial"/>
              </w:rPr>
              <w:t xml:space="preserve"> </w:t>
            </w:r>
          </w:p>
          <w:p w14:paraId="3D774C36" w14:textId="77777777" w:rsidR="00DF5650" w:rsidRPr="00CD2674" w:rsidRDefault="00DF5650" w:rsidP="005C5A17">
            <w:pPr>
              <w:widowControl w:val="0"/>
              <w:autoSpaceDE w:val="0"/>
              <w:autoSpaceDN w:val="0"/>
              <w:spacing w:after="120"/>
              <w:ind w:left="360"/>
              <w:jc w:val="both"/>
              <w:rPr>
                <w:rFonts w:ascii="Verdana" w:hAnsi="Verdana" w:cs="Arial"/>
              </w:rPr>
            </w:pPr>
          </w:p>
        </w:tc>
      </w:tr>
    </w:tbl>
    <w:p w14:paraId="145854EF" w14:textId="77777777" w:rsidR="00DF5650" w:rsidRPr="00CD2674" w:rsidRDefault="00DF5650" w:rsidP="00DF5650">
      <w:pPr>
        <w:widowControl w:val="0"/>
        <w:autoSpaceDE w:val="0"/>
        <w:autoSpaceDN w:val="0"/>
        <w:spacing w:after="0" w:line="240" w:lineRule="auto"/>
        <w:jc w:val="both"/>
        <w:rPr>
          <w:rFonts w:ascii="Verdana" w:hAnsi="Verdana" w:cs="Arial"/>
        </w:rPr>
      </w:pPr>
    </w:p>
    <w:p w14:paraId="1BBF0947" w14:textId="77777777" w:rsidR="00DF5650" w:rsidRPr="00CD2674" w:rsidRDefault="00DF5650" w:rsidP="00DF5650">
      <w:pPr>
        <w:widowControl w:val="0"/>
        <w:autoSpaceDE w:val="0"/>
        <w:autoSpaceDN w:val="0"/>
        <w:spacing w:after="0" w:line="240" w:lineRule="auto"/>
        <w:jc w:val="both"/>
        <w:rPr>
          <w:rFonts w:ascii="Verdana" w:hAnsi="Verdana" w:cs="Arial"/>
        </w:rPr>
      </w:pPr>
    </w:p>
    <w:p w14:paraId="0AD3A1F8" w14:textId="77777777" w:rsidR="00DF5650" w:rsidRPr="00CD2674" w:rsidRDefault="00DF5650" w:rsidP="00DF5650">
      <w:pPr>
        <w:widowControl w:val="0"/>
        <w:autoSpaceDE w:val="0"/>
        <w:autoSpaceDN w:val="0"/>
        <w:spacing w:after="0" w:line="240" w:lineRule="auto"/>
        <w:jc w:val="both"/>
        <w:rPr>
          <w:rFonts w:ascii="Verdana" w:hAnsi="Verdana" w:cs="Arial"/>
        </w:rPr>
      </w:pPr>
    </w:p>
    <w:p w14:paraId="73F94AE8" w14:textId="77777777" w:rsidR="00DF5650" w:rsidRPr="00CD2674" w:rsidRDefault="00DF5650" w:rsidP="00DF5650">
      <w:pPr>
        <w:pStyle w:val="Prrafodelista"/>
        <w:numPr>
          <w:ilvl w:val="0"/>
          <w:numId w:val="4"/>
        </w:numPr>
        <w:tabs>
          <w:tab w:val="left" w:pos="142"/>
          <w:tab w:val="left" w:pos="284"/>
        </w:tabs>
        <w:spacing w:after="0" w:line="240" w:lineRule="auto"/>
        <w:ind w:left="0" w:firstLine="0"/>
        <w:contextualSpacing w:val="0"/>
        <w:jc w:val="both"/>
        <w:rPr>
          <w:rFonts w:ascii="Verdana" w:eastAsia="Century Gothic" w:hAnsi="Verdana" w:cs="Century Gothic"/>
          <w:b/>
          <w:bCs/>
        </w:rPr>
      </w:pPr>
      <w:r w:rsidRPr="00CD2674">
        <w:rPr>
          <w:rFonts w:ascii="Verdana" w:eastAsia="Century Gothic" w:hAnsi="Verdana" w:cs="Century Gothic"/>
          <w:b/>
          <w:bCs/>
        </w:rPr>
        <w:t>Doctrina de la Agencia Nacional de Contratación Pública:</w:t>
      </w:r>
    </w:p>
    <w:p w14:paraId="3DBB9FBE" w14:textId="77777777" w:rsidR="00DF5650" w:rsidRPr="00CD2674" w:rsidRDefault="00DF5650" w:rsidP="00DF5650">
      <w:pPr>
        <w:widowControl w:val="0"/>
        <w:autoSpaceDE w:val="0"/>
        <w:autoSpaceDN w:val="0"/>
        <w:spacing w:after="0" w:line="240" w:lineRule="auto"/>
        <w:jc w:val="both"/>
        <w:rPr>
          <w:rFonts w:ascii="Verdana" w:hAnsi="Verdana" w:cs="Arial"/>
        </w:rPr>
      </w:pPr>
    </w:p>
    <w:p w14:paraId="61EC006E" w14:textId="77777777" w:rsidR="00DF5650" w:rsidRPr="00CD2674" w:rsidRDefault="00DF5650" w:rsidP="00DF5650">
      <w:pPr>
        <w:widowControl w:val="0"/>
        <w:autoSpaceDE w:val="0"/>
        <w:autoSpaceDN w:val="0"/>
        <w:spacing w:after="0" w:line="240" w:lineRule="auto"/>
        <w:jc w:val="both"/>
        <w:rPr>
          <w:rFonts w:ascii="Verdana" w:eastAsia="Calibri" w:hAnsi="Verdana"/>
        </w:rPr>
      </w:pPr>
      <w:r w:rsidRPr="00CD2674">
        <w:rPr>
          <w:rFonts w:ascii="Verdana" w:eastAsia="Calibri" w:hAnsi="Verdana"/>
        </w:rPr>
        <w:t xml:space="preserve">Se ha pronunciado sobre el carácter transaccional del SECOP II, entro otros pronunciamientos, en los conceptos C−433 de 24 de julio de 2020, C−468 del 24 de julio de 2020, CU-367 del 23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C-049 del 07 de marzo de 2022, C-124 del 22 de marzo de 2022, C-132 del 28 de marzo de 2022, C-348 del 13 de junio de 2022, C-480 del 19 de julio de 2022, C-510 del 08 de agosto de 2022, C-497 del 24 de agosto de 2022, C-508 del 30 de agosto de 2022, C-552 del 01 de septiembre de 2022, C- 568 del 19 de septiembre de 2022 ,C-596 del 21 de septiembre de 2022 y el  C-890 de 2023 del 13 de febrero de 2023. Estos y otros conceptos se encuentran disponibles para consulta en el Sistema de relatoría de la Agencia, al cual se puede acceder a través del siguiente enlace: </w:t>
      </w:r>
    </w:p>
    <w:p w14:paraId="35D975F2" w14:textId="77777777" w:rsidR="00DF5650" w:rsidRPr="00CD2674" w:rsidRDefault="00DF5650" w:rsidP="00DF5650">
      <w:pPr>
        <w:widowControl w:val="0"/>
        <w:autoSpaceDE w:val="0"/>
        <w:autoSpaceDN w:val="0"/>
        <w:spacing w:after="0" w:line="240" w:lineRule="auto"/>
        <w:jc w:val="both"/>
        <w:rPr>
          <w:rFonts w:ascii="Verdana" w:eastAsia="Calibri" w:hAnsi="Verdana"/>
          <w:lang w:val="es-ES_tradnl"/>
        </w:rPr>
      </w:pPr>
    </w:p>
    <w:p w14:paraId="728E93A9" w14:textId="77777777" w:rsidR="00DF5650" w:rsidRPr="00CD2674" w:rsidRDefault="0005481D" w:rsidP="00DF5650">
      <w:pPr>
        <w:widowControl w:val="0"/>
        <w:autoSpaceDE w:val="0"/>
        <w:autoSpaceDN w:val="0"/>
        <w:spacing w:after="0" w:line="240" w:lineRule="auto"/>
        <w:jc w:val="both"/>
        <w:rPr>
          <w:rFonts w:ascii="Verdana" w:eastAsia="Calibri" w:hAnsi="Verdana"/>
          <w:lang w:val="es-ES_tradnl"/>
        </w:rPr>
      </w:pPr>
      <w:hyperlink r:id="rId16" w:history="1">
        <w:r w:rsidR="00DF5650" w:rsidRPr="00CD2674">
          <w:rPr>
            <w:rStyle w:val="Hipervnculo"/>
            <w:rFonts w:ascii="Verdana" w:eastAsia="Calibri" w:hAnsi="Verdana"/>
            <w:lang w:val="es-ES_tradnl"/>
          </w:rPr>
          <w:t>https://relatoria.colombiacompra.gov.co/busqueda/conceptos</w:t>
        </w:r>
      </w:hyperlink>
      <w:r w:rsidR="00DF5650" w:rsidRPr="00CD2674">
        <w:rPr>
          <w:rFonts w:ascii="Verdana" w:eastAsia="Calibri" w:hAnsi="Verdana"/>
          <w:lang w:val="es-ES_tradnl"/>
        </w:rPr>
        <w:t xml:space="preserve">. </w:t>
      </w:r>
    </w:p>
    <w:p w14:paraId="62C3B6EC" w14:textId="77777777" w:rsidR="00DF5650" w:rsidRPr="00CD2674" w:rsidRDefault="00DF5650" w:rsidP="00DF5650">
      <w:pPr>
        <w:widowControl w:val="0"/>
        <w:autoSpaceDE w:val="0"/>
        <w:autoSpaceDN w:val="0"/>
        <w:spacing w:after="0" w:line="240" w:lineRule="auto"/>
        <w:jc w:val="both"/>
        <w:rPr>
          <w:rFonts w:ascii="Verdana" w:eastAsia="Calibri" w:hAnsi="Verdana"/>
          <w:lang w:val="es-ES_tradnl"/>
        </w:rPr>
      </w:pPr>
    </w:p>
    <w:p w14:paraId="094D77BF" w14:textId="77777777" w:rsidR="00DF5650" w:rsidRPr="00CD2674" w:rsidRDefault="00DF5650" w:rsidP="00DF5650">
      <w:pPr>
        <w:widowControl w:val="0"/>
        <w:autoSpaceDE w:val="0"/>
        <w:autoSpaceDN w:val="0"/>
        <w:spacing w:after="0" w:line="240" w:lineRule="auto"/>
        <w:jc w:val="both"/>
        <w:rPr>
          <w:rFonts w:ascii="Verdana" w:eastAsia="Calibri" w:hAnsi="Verdana"/>
        </w:rPr>
      </w:pPr>
      <w:r w:rsidRPr="00CD2674">
        <w:rPr>
          <w:rFonts w:ascii="Verdana" w:eastAsia="Calibri" w:hAnsi="Verdana"/>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7" w:tooltip="Dirección URL original: https://relatoria.colombiacompra.gov.co/. Haga clic o pulse si confía en este vínculo." w:history="1">
        <w:r w:rsidRPr="00CD2674">
          <w:rPr>
            <w:rStyle w:val="Hipervnculo"/>
            <w:rFonts w:ascii="Verdana" w:eastAsia="Calibri" w:hAnsi="Verdana"/>
          </w:rPr>
          <w:t>https://relatoria.colombiacompra.gov.co/</w:t>
        </w:r>
      </w:hyperlink>
      <w:r w:rsidRPr="00CD2674">
        <w:rPr>
          <w:rFonts w:ascii="Verdana" w:eastAsia="Calibri" w:hAnsi="Verdana"/>
        </w:rPr>
        <w:t> . Te invitamos también a revisar la tercera edición del  Boletín de Relatoría de 2024 en el cual podrás consultar en detalle el marco normativo de documentos tipo: </w:t>
      </w:r>
      <w:hyperlink r:id="rId18" w:tooltip="Dirección URL original: https://www.colombiacompra.gov.co/sites/cce_public/files/files_2020/boletin_de_realtoria_iii.pdf. Haga clic o pulse si confía en este vínculo." w:history="1">
        <w:r w:rsidRPr="00CD2674">
          <w:rPr>
            <w:rStyle w:val="Hipervnculo"/>
            <w:rFonts w:ascii="Verdana" w:eastAsia="Calibri" w:hAnsi="Verdana"/>
          </w:rPr>
          <w:t>https://www.colombiacompra.gov.co/sites/cce_public/files/files_2020/boletin_de_realtoria_iii.pdf</w:t>
        </w:r>
      </w:hyperlink>
      <w:r w:rsidRPr="00CD2674">
        <w:rPr>
          <w:rFonts w:ascii="Verdana" w:eastAsia="Calibri" w:hAnsi="Verdana"/>
        </w:rPr>
        <w:t> ".  </w:t>
      </w:r>
    </w:p>
    <w:p w14:paraId="7BF77F19" w14:textId="77777777" w:rsidR="00DF5650" w:rsidRPr="00CD2674" w:rsidRDefault="00DF5650" w:rsidP="00DF5650">
      <w:pPr>
        <w:widowControl w:val="0"/>
        <w:autoSpaceDE w:val="0"/>
        <w:autoSpaceDN w:val="0"/>
        <w:spacing w:after="0" w:line="240" w:lineRule="auto"/>
        <w:jc w:val="both"/>
        <w:rPr>
          <w:rFonts w:ascii="Verdana" w:eastAsia="Calibri" w:hAnsi="Verdana" w:cs="Arial"/>
        </w:rPr>
      </w:pPr>
    </w:p>
    <w:p w14:paraId="60D3E26F" w14:textId="77777777" w:rsidR="00DF5650" w:rsidRPr="00CD2674" w:rsidRDefault="00DF5650" w:rsidP="00DF5650">
      <w:pPr>
        <w:spacing w:after="0" w:line="240" w:lineRule="auto"/>
        <w:jc w:val="both"/>
        <w:rPr>
          <w:rFonts w:ascii="Verdana" w:eastAsia="Calibri" w:hAnsi="Verdana" w:cs="Arial"/>
          <w:lang w:val="es-ES_tradnl"/>
        </w:rPr>
      </w:pPr>
      <w:r w:rsidRPr="00CD2674">
        <w:rPr>
          <w:rFonts w:ascii="Verdana" w:eastAsia="Calibri" w:hAnsi="Verdana" w:cs="Arial"/>
          <w:lang w:val="es-ES_tradnl"/>
        </w:rPr>
        <w:t xml:space="preserve">Por último, lo invitamos a seguirnos en las redes sociales en las cuales se difunde información institucional: </w:t>
      </w:r>
    </w:p>
    <w:p w14:paraId="3BA29C02" w14:textId="77777777" w:rsidR="00DF5650" w:rsidRPr="00CD2674" w:rsidRDefault="00DF5650" w:rsidP="00DF5650">
      <w:pPr>
        <w:spacing w:after="0" w:line="240" w:lineRule="auto"/>
        <w:jc w:val="both"/>
        <w:rPr>
          <w:rFonts w:ascii="Verdana" w:eastAsia="Calibri" w:hAnsi="Verdana" w:cs="Arial"/>
          <w:lang w:val="es-ES_tradnl"/>
        </w:rPr>
      </w:pPr>
    </w:p>
    <w:p w14:paraId="6847D0D7" w14:textId="77777777" w:rsidR="00DF5650" w:rsidRPr="00CD2674" w:rsidRDefault="00DF5650" w:rsidP="00DF5650">
      <w:pPr>
        <w:spacing w:after="0" w:line="240" w:lineRule="auto"/>
        <w:jc w:val="both"/>
        <w:rPr>
          <w:rFonts w:ascii="Verdana" w:eastAsia="Calibri" w:hAnsi="Verdana" w:cs="Arial"/>
          <w:lang w:val="es-ES_tradnl"/>
        </w:rPr>
      </w:pPr>
      <w:r w:rsidRPr="00CD2674">
        <w:rPr>
          <w:rFonts w:ascii="Verdana" w:eastAsia="Calibri" w:hAnsi="Verdana" w:cs="Arial"/>
          <w:lang w:val="es-ES_tradnl"/>
        </w:rPr>
        <w:t xml:space="preserve">Twitter: @colombiacompra </w:t>
      </w:r>
    </w:p>
    <w:p w14:paraId="2623B953" w14:textId="77777777" w:rsidR="00DF5650" w:rsidRPr="00CD2674" w:rsidRDefault="00DF5650" w:rsidP="00DF5650">
      <w:pPr>
        <w:spacing w:after="0" w:line="240" w:lineRule="auto"/>
        <w:jc w:val="both"/>
        <w:rPr>
          <w:rFonts w:ascii="Verdana" w:eastAsia="Calibri" w:hAnsi="Verdana" w:cs="Arial"/>
          <w:lang w:val="es-ES"/>
        </w:rPr>
      </w:pPr>
      <w:r w:rsidRPr="7EF62F61">
        <w:rPr>
          <w:rFonts w:ascii="Verdana" w:eastAsia="Calibri" w:hAnsi="Verdana" w:cs="Arial"/>
          <w:lang w:val="es-ES"/>
        </w:rPr>
        <w:t>Facebook: ColombiaCompraEficiente</w:t>
      </w:r>
    </w:p>
    <w:p w14:paraId="43896A3D" w14:textId="77777777" w:rsidR="00DF5650" w:rsidRPr="00CD2674" w:rsidRDefault="00DF5650" w:rsidP="00DF5650">
      <w:pPr>
        <w:spacing w:after="0" w:line="240" w:lineRule="auto"/>
        <w:jc w:val="both"/>
        <w:rPr>
          <w:rFonts w:ascii="Verdana" w:eastAsia="Calibri" w:hAnsi="Verdana" w:cs="Arial"/>
          <w:lang w:val="es-ES_tradnl"/>
        </w:rPr>
      </w:pPr>
      <w:r w:rsidRPr="00CD2674">
        <w:rPr>
          <w:rFonts w:ascii="Verdana" w:eastAsia="Calibri" w:hAnsi="Verdana" w:cs="Arial"/>
          <w:lang w:val="es-ES_tradnl"/>
        </w:rPr>
        <w:t>LinkedIn: Agencia Nacional de Contratación Pública - Colombia Compra Eficiente Instagram: @colombiacompraeficiente_cce</w:t>
      </w:r>
    </w:p>
    <w:p w14:paraId="09BD6BC6" w14:textId="77777777" w:rsidR="00DF5650" w:rsidRPr="00CD2674" w:rsidRDefault="00DF5650" w:rsidP="00DF5650">
      <w:pPr>
        <w:widowControl w:val="0"/>
        <w:autoSpaceDE w:val="0"/>
        <w:autoSpaceDN w:val="0"/>
        <w:spacing w:after="0" w:line="240" w:lineRule="auto"/>
        <w:jc w:val="both"/>
        <w:rPr>
          <w:rFonts w:ascii="Verdana" w:eastAsia="Calibri" w:hAnsi="Verdana" w:cs="Arial"/>
          <w:lang w:val="es-ES_tradnl"/>
        </w:rPr>
      </w:pPr>
    </w:p>
    <w:p w14:paraId="42DC3497" w14:textId="77777777" w:rsidR="00DF5650" w:rsidRPr="00CD2674" w:rsidRDefault="00DF5650" w:rsidP="00DF5650">
      <w:pPr>
        <w:widowControl w:val="0"/>
        <w:autoSpaceDE w:val="0"/>
        <w:autoSpaceDN w:val="0"/>
        <w:spacing w:after="0" w:line="240" w:lineRule="auto"/>
        <w:jc w:val="both"/>
        <w:rPr>
          <w:rFonts w:ascii="Verdana" w:hAnsi="Verdana" w:cs="Arial"/>
          <w:lang w:val="es-ES_tradnl"/>
        </w:rPr>
      </w:pPr>
      <w:r w:rsidRPr="00CD2674">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CD2674">
        <w:rPr>
          <w:rFonts w:ascii="Verdana" w:hAnsi="Verdana" w:cs="Arial"/>
          <w:lang w:val="es-ES_tradnl"/>
        </w:rPr>
        <w:t>2 de 2015.</w:t>
      </w:r>
    </w:p>
    <w:p w14:paraId="14DA5E66" w14:textId="77777777" w:rsidR="00DF5650" w:rsidRPr="00CD2674" w:rsidRDefault="00DF5650" w:rsidP="00DF5650">
      <w:pPr>
        <w:widowControl w:val="0"/>
        <w:autoSpaceDE w:val="0"/>
        <w:autoSpaceDN w:val="0"/>
        <w:spacing w:after="0" w:line="240" w:lineRule="auto"/>
        <w:jc w:val="both"/>
        <w:rPr>
          <w:rFonts w:ascii="Verdana" w:hAnsi="Verdana" w:cs="Arial"/>
        </w:rPr>
      </w:pPr>
    </w:p>
    <w:p w14:paraId="186424DB" w14:textId="77777777" w:rsidR="00DF5650" w:rsidRPr="00CD2674" w:rsidRDefault="00DF5650" w:rsidP="00DF5650">
      <w:pPr>
        <w:spacing w:after="0" w:line="240" w:lineRule="auto"/>
        <w:rPr>
          <w:rFonts w:ascii="Verdana" w:hAnsi="Verdana" w:cs="Arial"/>
          <w:lang w:eastAsia="es-CO"/>
        </w:rPr>
      </w:pPr>
      <w:r w:rsidRPr="00CD2674">
        <w:rPr>
          <w:rFonts w:ascii="Verdana" w:eastAsia="Times New Roman" w:hAnsi="Verdana" w:cs="Arial"/>
          <w:lang w:eastAsia="es-CO"/>
        </w:rPr>
        <w:t>Atentamente,</w:t>
      </w:r>
      <w:r w:rsidRPr="00CD2674">
        <w:rPr>
          <w:rFonts w:ascii="Verdana" w:hAnsi="Verdana" w:cs="Arial"/>
          <w:lang w:eastAsia="es-CO"/>
        </w:rPr>
        <w:t xml:space="preserve"> </w:t>
      </w:r>
    </w:p>
    <w:p w14:paraId="54E6A911" w14:textId="77777777" w:rsidR="00DF5650" w:rsidRPr="00CD2674" w:rsidRDefault="00DF5650" w:rsidP="00DF5650">
      <w:pPr>
        <w:spacing w:line="240" w:lineRule="auto"/>
        <w:jc w:val="center"/>
        <w:rPr>
          <w:rFonts w:ascii="Verdana" w:hAnsi="Verdana"/>
          <w:noProof/>
        </w:rPr>
      </w:pPr>
    </w:p>
    <w:p w14:paraId="2FF0E444" w14:textId="6670176A" w:rsidR="00DF5650" w:rsidRPr="00CD2674" w:rsidRDefault="00901D77" w:rsidP="00DF5650">
      <w:pPr>
        <w:spacing w:line="240" w:lineRule="auto"/>
        <w:jc w:val="center"/>
        <w:rPr>
          <w:rFonts w:ascii="Verdana" w:hAnsi="Verdana"/>
          <w:noProof/>
          <w:lang w:eastAsia="es-CO"/>
        </w:rPr>
      </w:pPr>
      <w:r w:rsidRPr="0065791A">
        <w:rPr>
          <w:rFonts w:ascii="Century Gothic" w:hAnsi="Century Gothic"/>
          <w:noProof/>
        </w:rPr>
        <w:drawing>
          <wp:inline distT="0" distB="0" distL="0" distR="0" wp14:anchorId="753F1FD0" wp14:editId="11B45465">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19"/>
                    <a:stretch>
                      <a:fillRect/>
                    </a:stretch>
                  </pic:blipFill>
                  <pic:spPr>
                    <a:xfrm>
                      <a:off x="0" y="0"/>
                      <a:ext cx="3962953" cy="1867161"/>
                    </a:xfrm>
                    <a:prstGeom prst="rect">
                      <a:avLst/>
                    </a:prstGeom>
                  </pic:spPr>
                </pic:pic>
              </a:graphicData>
            </a:graphic>
          </wp:inline>
        </w:drawing>
      </w:r>
    </w:p>
    <w:p w14:paraId="4771DE8B" w14:textId="77777777" w:rsidR="00DF5650" w:rsidRPr="00CD2674" w:rsidRDefault="00DF5650" w:rsidP="00DF5650">
      <w:pPr>
        <w:spacing w:line="240" w:lineRule="auto"/>
        <w:jc w:val="center"/>
        <w:rPr>
          <w:rFonts w:ascii="Verdana" w:hAnsi="Verdana" w:cs="Arial"/>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F5650" w:rsidRPr="00CD2674" w14:paraId="63B7CB0C" w14:textId="77777777" w:rsidTr="7AB489BC">
        <w:trPr>
          <w:trHeight w:val="315"/>
        </w:trPr>
        <w:tc>
          <w:tcPr>
            <w:tcW w:w="893" w:type="dxa"/>
            <w:vAlign w:val="center"/>
            <w:hideMark/>
          </w:tcPr>
          <w:p w14:paraId="76734C2A"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Elaboró:</w:t>
            </w:r>
          </w:p>
        </w:tc>
        <w:tc>
          <w:tcPr>
            <w:tcW w:w="5628" w:type="dxa"/>
            <w:tcBorders>
              <w:top w:val="nil"/>
              <w:left w:val="nil"/>
              <w:bottom w:val="dotted" w:sz="4" w:space="0" w:color="7F7F7F" w:themeColor="text1" w:themeTint="80"/>
              <w:right w:val="nil"/>
            </w:tcBorders>
            <w:vAlign w:val="center"/>
            <w:hideMark/>
          </w:tcPr>
          <w:p w14:paraId="403DE703"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 xml:space="preserve">María Valeska Medellín Mora </w:t>
            </w:r>
          </w:p>
          <w:p w14:paraId="21D42C64"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Gestor T1-15</w:t>
            </w:r>
            <w:r w:rsidRPr="00CD2674">
              <w:rPr>
                <w:rFonts w:ascii="Verdana" w:eastAsia="Calibri" w:hAnsi="Verdana"/>
                <w:sz w:val="16"/>
                <w:szCs w:val="16"/>
                <w:lang w:val="es-ES_tradnl"/>
              </w:rPr>
              <w:t xml:space="preserve"> de la Subdirección de Gestión Contractual</w:t>
            </w:r>
          </w:p>
        </w:tc>
      </w:tr>
      <w:tr w:rsidR="00DF5650" w:rsidRPr="00CD2674" w14:paraId="6C2644BF" w14:textId="77777777" w:rsidTr="7AB489BC">
        <w:trPr>
          <w:trHeight w:val="330"/>
        </w:trPr>
        <w:tc>
          <w:tcPr>
            <w:tcW w:w="893" w:type="dxa"/>
            <w:vAlign w:val="center"/>
            <w:hideMark/>
          </w:tcPr>
          <w:p w14:paraId="1CF57995"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0460407" w14:textId="77777777" w:rsidR="00DF5650" w:rsidRPr="00CD2674" w:rsidRDefault="00DF5650" w:rsidP="7AB489BC">
            <w:pPr>
              <w:pStyle w:val="paragraph"/>
              <w:spacing w:before="0" w:beforeAutospacing="0" w:after="0" w:afterAutospacing="0"/>
              <w:contextualSpacing/>
              <w:textAlignment w:val="baseline"/>
              <w:rPr>
                <w:rFonts w:ascii="Verdana" w:eastAsia="Calibri" w:hAnsi="Verdana" w:cs="Arial"/>
                <w:sz w:val="16"/>
                <w:szCs w:val="16"/>
                <w:lang w:val="es-ES" w:eastAsia="en-US"/>
              </w:rPr>
            </w:pPr>
            <w:r w:rsidRPr="7AB489BC">
              <w:rPr>
                <w:rFonts w:ascii="Verdana" w:eastAsia="Calibri" w:hAnsi="Verdana" w:cs="Arial"/>
                <w:sz w:val="16"/>
                <w:szCs w:val="16"/>
                <w:lang w:val="es-ES" w:eastAsia="en-US"/>
              </w:rPr>
              <w:t>Adriana Katerine Lopez Rodriguez</w:t>
            </w:r>
          </w:p>
          <w:p w14:paraId="69152B2D" w14:textId="77777777" w:rsidR="00DF5650" w:rsidRPr="00CD2674" w:rsidRDefault="00DF5650" w:rsidP="005C5A17">
            <w:pPr>
              <w:pStyle w:val="paragraph"/>
              <w:spacing w:before="0" w:beforeAutospacing="0" w:after="0" w:afterAutospacing="0"/>
              <w:contextualSpacing/>
              <w:textAlignment w:val="baseline"/>
              <w:rPr>
                <w:rFonts w:ascii="Verdana" w:eastAsia="Calibri" w:hAnsi="Verdana" w:cs="Arial"/>
                <w:sz w:val="16"/>
                <w:szCs w:val="16"/>
                <w:lang w:val="es-ES_tradnl" w:eastAsia="en-US"/>
              </w:rPr>
            </w:pPr>
            <w:r w:rsidRPr="00CD2674">
              <w:rPr>
                <w:rFonts w:ascii="Verdana" w:eastAsia="Calibri" w:hAnsi="Verdana"/>
                <w:sz w:val="16"/>
                <w:szCs w:val="16"/>
                <w:lang w:val="es-ES_tradnl" w:eastAsia="en-US"/>
              </w:rPr>
              <w:t>Contratista de la Subdirección de Gestión Contractual </w:t>
            </w:r>
          </w:p>
        </w:tc>
      </w:tr>
      <w:tr w:rsidR="00DF5650" w:rsidRPr="00CD2674" w14:paraId="67BA5C90" w14:textId="77777777" w:rsidTr="7AB489BC">
        <w:trPr>
          <w:trHeight w:val="300"/>
        </w:trPr>
        <w:tc>
          <w:tcPr>
            <w:tcW w:w="893" w:type="dxa"/>
            <w:vAlign w:val="center"/>
          </w:tcPr>
          <w:p w14:paraId="132846B4"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B2D2FDA" w14:textId="77777777" w:rsidR="00DF5650" w:rsidRPr="00CD2674" w:rsidRDefault="00DF5650" w:rsidP="005C5A17">
            <w:pPr>
              <w:contextualSpacing/>
              <w:rPr>
                <w:rFonts w:ascii="Verdana" w:eastAsia="Calibri" w:hAnsi="Verdana" w:cs="Arial"/>
                <w:sz w:val="16"/>
                <w:szCs w:val="16"/>
                <w:lang w:val="es-ES"/>
              </w:rPr>
            </w:pPr>
            <w:r w:rsidRPr="7EF62F61">
              <w:rPr>
                <w:rFonts w:ascii="Verdana" w:eastAsia="Calibri" w:hAnsi="Verdana" w:cs="Arial"/>
                <w:sz w:val="16"/>
                <w:szCs w:val="16"/>
                <w:lang w:val="es-ES"/>
              </w:rPr>
              <w:t>Carolina Quintero Gacharná</w:t>
            </w:r>
          </w:p>
          <w:p w14:paraId="5F91641C" w14:textId="77777777" w:rsidR="00DF5650" w:rsidRPr="00CD2674" w:rsidRDefault="00DF5650" w:rsidP="005C5A17">
            <w:pPr>
              <w:contextualSpacing/>
              <w:rPr>
                <w:rFonts w:ascii="Verdana" w:eastAsia="Calibri" w:hAnsi="Verdana" w:cs="Arial"/>
                <w:sz w:val="16"/>
                <w:szCs w:val="16"/>
                <w:lang w:val="es-ES_tradnl"/>
              </w:rPr>
            </w:pPr>
            <w:r w:rsidRPr="00CD2674">
              <w:rPr>
                <w:rFonts w:ascii="Verdana" w:eastAsia="Calibri" w:hAnsi="Verdana" w:cs="Arial"/>
                <w:sz w:val="16"/>
                <w:szCs w:val="16"/>
                <w:lang w:val="es-ES_tradnl"/>
              </w:rPr>
              <w:t>Subdirectora de Gestión Contractual ANCP – CCE</w:t>
            </w:r>
          </w:p>
        </w:tc>
      </w:tr>
    </w:tbl>
    <w:p w14:paraId="737DEAB5" w14:textId="77777777" w:rsidR="00DF5650" w:rsidRPr="00CD2674" w:rsidRDefault="00DF5650" w:rsidP="00DF5650">
      <w:pPr>
        <w:spacing w:after="0" w:line="240" w:lineRule="auto"/>
        <w:rPr>
          <w:rFonts w:ascii="Verdana" w:eastAsia="Times New Roman" w:hAnsi="Verdana" w:cs="Arial"/>
          <w:sz w:val="24"/>
          <w:szCs w:val="24"/>
          <w:lang w:eastAsia="es-ES"/>
        </w:rPr>
      </w:pPr>
    </w:p>
    <w:p w14:paraId="40A21F42" w14:textId="77777777" w:rsidR="00DF5650" w:rsidRPr="00CD2674" w:rsidRDefault="00DF5650" w:rsidP="00DF5650">
      <w:pPr>
        <w:spacing w:line="240" w:lineRule="auto"/>
        <w:rPr>
          <w:rFonts w:ascii="Verdana" w:hAnsi="Verdana"/>
        </w:rPr>
      </w:pPr>
    </w:p>
    <w:p w14:paraId="26960A69" w14:textId="77777777" w:rsidR="00DF5650" w:rsidRPr="00CD2674" w:rsidRDefault="00DF5650" w:rsidP="00DF5650">
      <w:pPr>
        <w:spacing w:after="0" w:line="240" w:lineRule="auto"/>
        <w:jc w:val="both"/>
        <w:rPr>
          <w:rFonts w:ascii="Verdana" w:hAnsi="Verdana"/>
        </w:rPr>
      </w:pPr>
    </w:p>
    <w:p w14:paraId="651A130B" w14:textId="77777777" w:rsidR="00DF5650" w:rsidRPr="00CD2674" w:rsidRDefault="00DF5650" w:rsidP="00DF5650">
      <w:pPr>
        <w:spacing w:line="240" w:lineRule="auto"/>
        <w:rPr>
          <w:rFonts w:ascii="Verdana" w:hAnsi="Verdana"/>
        </w:rPr>
      </w:pPr>
    </w:p>
    <w:p w14:paraId="34596FFA" w14:textId="77777777" w:rsidR="00DF5650" w:rsidRPr="0044528D" w:rsidRDefault="00DF5650" w:rsidP="00DF5650">
      <w:pPr>
        <w:spacing w:after="0"/>
        <w:rPr>
          <w:rFonts w:ascii="Verdana" w:hAnsi="Verdana"/>
        </w:rPr>
      </w:pPr>
    </w:p>
    <w:p w14:paraId="4B4C3CEB" w14:textId="77777777" w:rsidR="00FE4EB4" w:rsidRPr="00DF5650" w:rsidRDefault="00FE4EB4" w:rsidP="00FE4EB4">
      <w:pPr>
        <w:spacing w:after="0" w:line="240" w:lineRule="auto"/>
        <w:jc w:val="both"/>
        <w:rPr>
          <w:rFonts w:ascii="Verdana" w:eastAsia="Calibri" w:hAnsi="Verdana" w:cs="Arial"/>
          <w:lang w:eastAsia="es-ES"/>
        </w:rPr>
      </w:pPr>
    </w:p>
    <w:bookmarkEnd w:id="0"/>
    <w:sectPr w:rsidR="00FE4EB4" w:rsidRPr="00DF5650" w:rsidSect="00E45F4B">
      <w:headerReference w:type="default" r:id="rId20"/>
      <w:footerReference w:type="default" r:id="rId2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E3806" w14:textId="77777777" w:rsidR="00C33386" w:rsidRDefault="00C33386" w:rsidP="00B30448">
      <w:pPr>
        <w:spacing w:after="0" w:line="240" w:lineRule="auto"/>
      </w:pPr>
      <w:r>
        <w:separator/>
      </w:r>
    </w:p>
  </w:endnote>
  <w:endnote w:type="continuationSeparator" w:id="0">
    <w:p w14:paraId="5DC26895" w14:textId="77777777" w:rsidR="00C33386" w:rsidRDefault="00C33386" w:rsidP="00B30448">
      <w:pPr>
        <w:spacing w:after="0" w:line="240" w:lineRule="auto"/>
      </w:pPr>
      <w:r>
        <w:continuationSeparator/>
      </w:r>
    </w:p>
  </w:endnote>
  <w:endnote w:type="continuationNotice" w:id="1">
    <w:p w14:paraId="6D6ECD1D" w14:textId="77777777" w:rsidR="00C33386" w:rsidRDefault="00C3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FCC39" w14:textId="77777777" w:rsidR="00C33386" w:rsidRDefault="00C33386" w:rsidP="00B30448">
      <w:pPr>
        <w:spacing w:after="0" w:line="240" w:lineRule="auto"/>
      </w:pPr>
      <w:r>
        <w:separator/>
      </w:r>
    </w:p>
  </w:footnote>
  <w:footnote w:type="continuationSeparator" w:id="0">
    <w:p w14:paraId="67632A55" w14:textId="77777777" w:rsidR="00C33386" w:rsidRDefault="00C33386" w:rsidP="00B30448">
      <w:pPr>
        <w:spacing w:after="0" w:line="240" w:lineRule="auto"/>
      </w:pPr>
      <w:r>
        <w:continuationSeparator/>
      </w:r>
    </w:p>
  </w:footnote>
  <w:footnote w:type="continuationNotice" w:id="1">
    <w:p w14:paraId="798471C7" w14:textId="77777777" w:rsidR="00C33386" w:rsidRDefault="00C33386">
      <w:pPr>
        <w:spacing w:after="0" w:line="240" w:lineRule="auto"/>
      </w:pPr>
    </w:p>
  </w:footnote>
  <w:footnote w:id="2">
    <w:p w14:paraId="1103A685" w14:textId="77777777" w:rsidR="00DF5650" w:rsidRPr="000201D9" w:rsidRDefault="00DF5650" w:rsidP="00DF5650">
      <w:pPr>
        <w:pStyle w:val="Textonotapie"/>
        <w:ind w:right="49" w:firstLine="708"/>
        <w:jc w:val="both"/>
        <w:rPr>
          <w:rFonts w:ascii="Arial" w:hAnsi="Arial" w:cs="Arial"/>
          <w:color w:val="000000"/>
          <w:sz w:val="16"/>
          <w:szCs w:val="16"/>
        </w:rPr>
      </w:pPr>
      <w:r w:rsidRPr="000201D9">
        <w:rPr>
          <w:rStyle w:val="Refdenotaalpie"/>
          <w:rFonts w:ascii="Arial" w:hAnsi="Arial" w:cs="Arial"/>
          <w:color w:val="000000"/>
        </w:rPr>
        <w:footnoteRef/>
      </w:r>
      <w:r w:rsidRPr="000201D9">
        <w:rPr>
          <w:rFonts w:ascii="Arial" w:hAnsi="Arial" w:cs="Arial"/>
          <w:color w:val="000000"/>
          <w:sz w:val="16"/>
          <w:szCs w:val="16"/>
        </w:rPr>
        <w:t xml:space="preserve"> Decreto 1082 de 2015: </w:t>
      </w:r>
      <w:r>
        <w:rPr>
          <w:rFonts w:ascii="Arial" w:hAnsi="Arial" w:cs="Arial"/>
          <w:color w:val="000000"/>
          <w:sz w:val="16"/>
          <w:szCs w:val="16"/>
        </w:rPr>
        <w:t>“</w:t>
      </w:r>
      <w:r w:rsidRPr="000201D9">
        <w:rPr>
          <w:rFonts w:ascii="Arial" w:hAnsi="Arial" w:cs="Arial"/>
          <w:color w:val="000000"/>
          <w:sz w:val="16"/>
          <w:szCs w:val="16"/>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418006D" w14:textId="77777777" w:rsidR="00DF5650" w:rsidRPr="000201D9" w:rsidRDefault="00DF5650" w:rsidP="00DF5650">
      <w:pPr>
        <w:pStyle w:val="Textonotapie"/>
        <w:ind w:right="49" w:firstLine="708"/>
        <w:jc w:val="both"/>
        <w:rPr>
          <w:rFonts w:ascii="Arial" w:hAnsi="Arial" w:cs="Arial"/>
          <w:color w:val="000000"/>
          <w:sz w:val="16"/>
          <w:szCs w:val="16"/>
        </w:rPr>
      </w:pPr>
      <w:r w:rsidRPr="000201D9">
        <w:rPr>
          <w:rFonts w:ascii="Arial" w:hAnsi="Arial" w:cs="Arial"/>
          <w:color w:val="000000"/>
          <w:sz w:val="16"/>
          <w:szCs w:val="16"/>
        </w:rPr>
        <w:t>[...]</w:t>
      </w:r>
    </w:p>
    <w:p w14:paraId="37D533B5" w14:textId="77777777" w:rsidR="00DF5650" w:rsidRPr="000201D9" w:rsidRDefault="00DF5650" w:rsidP="00DF5650">
      <w:pPr>
        <w:pStyle w:val="Textonotapie"/>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Pr>
          <w:rFonts w:ascii="Arial" w:hAnsi="Arial" w:cs="Arial"/>
          <w:color w:val="000000"/>
          <w:sz w:val="16"/>
          <w:szCs w:val="16"/>
        </w:rPr>
        <w:t>”</w:t>
      </w:r>
      <w:r w:rsidRPr="000201D9">
        <w:rPr>
          <w:rFonts w:ascii="Arial" w:hAnsi="Arial" w:cs="Arial"/>
          <w:color w:val="000000"/>
          <w:sz w:val="16"/>
          <w:szCs w:val="16"/>
        </w:rPr>
        <w:t>.</w:t>
      </w:r>
    </w:p>
    <w:p w14:paraId="092D85FE" w14:textId="77777777" w:rsidR="00DF5650" w:rsidRPr="000201D9" w:rsidRDefault="00DF5650" w:rsidP="00DF5650">
      <w:pPr>
        <w:pStyle w:val="Textonotapie"/>
        <w:ind w:right="49"/>
        <w:jc w:val="both"/>
        <w:rPr>
          <w:rFonts w:ascii="Arial" w:hAnsi="Arial" w:cs="Arial"/>
          <w:color w:val="000000"/>
          <w:sz w:val="16"/>
          <w:szCs w:val="16"/>
          <w:lang w:val="es-ES"/>
        </w:rPr>
      </w:pPr>
    </w:p>
  </w:footnote>
  <w:footnote w:id="3">
    <w:p w14:paraId="327A0F95" w14:textId="77777777" w:rsidR="00DF5650" w:rsidRPr="000201D9" w:rsidRDefault="00DF5650" w:rsidP="00DF5650">
      <w:pPr>
        <w:spacing w:before="76"/>
        <w:ind w:right="49" w:firstLine="708"/>
        <w:jc w:val="both"/>
        <w:rPr>
          <w:rFonts w:ascii="Arial" w:hAnsi="Arial" w:cs="Arial"/>
          <w:color w:val="000000"/>
          <w:sz w:val="16"/>
          <w:szCs w:val="16"/>
        </w:rPr>
      </w:pPr>
      <w:r w:rsidRPr="000201D9">
        <w:rPr>
          <w:rStyle w:val="Refdenotaalpie"/>
          <w:rFonts w:ascii="Arial" w:hAnsi="Arial" w:cs="Arial"/>
          <w:color w:val="000000"/>
        </w:rPr>
        <w:footnoteRef/>
      </w:r>
      <w:r w:rsidRPr="000201D9">
        <w:rPr>
          <w:rFonts w:ascii="Arial" w:hAnsi="Arial" w:cs="Arial"/>
          <w:color w:val="000000"/>
          <w:sz w:val="16"/>
          <w:szCs w:val="16"/>
        </w:rPr>
        <w:t xml:space="preserve"> Ley 1150 de 2007: </w:t>
      </w:r>
      <w:r>
        <w:rPr>
          <w:rFonts w:ascii="Arial" w:hAnsi="Arial" w:cs="Arial"/>
          <w:color w:val="000000"/>
          <w:sz w:val="16"/>
          <w:szCs w:val="16"/>
        </w:rPr>
        <w:t>“</w:t>
      </w:r>
      <w:r w:rsidRPr="000201D9">
        <w:rPr>
          <w:rFonts w:ascii="Arial" w:hAnsi="Arial" w:cs="Arial"/>
          <w:color w:val="000000"/>
          <w:sz w:val="16"/>
          <w:szCs w:val="16"/>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0201D9">
        <w:rPr>
          <w:rFonts w:ascii="Arial" w:hAnsi="Arial" w:cs="Arial"/>
          <w:color w:val="000000"/>
          <w:spacing w:val="-3"/>
          <w:sz w:val="16"/>
          <w:szCs w:val="16"/>
        </w:rPr>
        <w:t xml:space="preserve"> </w:t>
      </w:r>
      <w:r w:rsidRPr="000201D9">
        <w:rPr>
          <w:rFonts w:ascii="Arial" w:hAnsi="Arial" w:cs="Arial"/>
          <w:color w:val="000000"/>
          <w:sz w:val="16"/>
          <w:szCs w:val="16"/>
        </w:rPr>
        <w:t>Nacional.</w:t>
      </w:r>
    </w:p>
    <w:p w14:paraId="0FB48459"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Lo anterior, sin perjuicio de las publicaciones previstas en el numeral 3 del artículo 30 de la Ley 80 de 1993.</w:t>
      </w:r>
    </w:p>
    <w:p w14:paraId="1B460D2C"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Con el fin de materializar los objetivos a que se refiere el inciso anterior, el Gobierno Nacional desarrollará el Sistema Electrónico para la Contratación Pública, Secop, el cual:</w:t>
      </w:r>
    </w:p>
    <w:p w14:paraId="6974055B"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a) Dispondrá de las funcionalidades tecnológicas para realizar procesos de contratación electrónicos bajo los métodos de selección señalados en el artículo 2o de la presente ley según lo defina el reglamento;</w:t>
      </w:r>
    </w:p>
    <w:p w14:paraId="22FE72FD"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b) Servirá de punto único de ingreso de información y de generación de reportes para las entidades estatales y la ciudadanía;</w:t>
      </w:r>
    </w:p>
    <w:p w14:paraId="168E2237"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c) Contará con la información oficial de la contratación realizada con dineros públicos, para lo cual establecerá los patrones a que haya lugar y se encargará de su difusión a través de canales electrónicos y;</w:t>
      </w:r>
    </w:p>
    <w:p w14:paraId="65C34456" w14:textId="77777777" w:rsidR="00DF5650" w:rsidRPr="000201D9" w:rsidRDefault="00DF5650" w:rsidP="00DF5650">
      <w:pPr>
        <w:ind w:right="49" w:firstLine="708"/>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footnote>
  <w:footnote w:id="4">
    <w:p w14:paraId="0F218577" w14:textId="77777777" w:rsidR="00DF5650" w:rsidRPr="000201D9" w:rsidRDefault="00DF5650" w:rsidP="00DF5650">
      <w:pPr>
        <w:pStyle w:val="NormalWeb"/>
        <w:spacing w:after="0"/>
        <w:ind w:firstLine="708"/>
        <w:jc w:val="both"/>
        <w:rPr>
          <w:rFonts w:ascii="Arial" w:hAnsi="Arial" w:cs="Arial"/>
          <w:color w:val="000000"/>
          <w:sz w:val="16"/>
          <w:szCs w:val="16"/>
        </w:rPr>
      </w:pPr>
      <w:r w:rsidRPr="000201D9">
        <w:rPr>
          <w:rStyle w:val="Refdenotaalpie"/>
          <w:rFonts w:ascii="Arial" w:hAnsi="Arial" w:cs="Arial"/>
        </w:rPr>
        <w:footnoteRef/>
      </w:r>
      <w:r w:rsidRPr="000201D9">
        <w:rPr>
          <w:rFonts w:ascii="Arial" w:hAnsi="Arial" w:cs="Arial"/>
          <w:sz w:val="16"/>
          <w:szCs w:val="16"/>
        </w:rPr>
        <w:t xml:space="preserve"> Decreto 1081 de 2015 </w:t>
      </w:r>
      <w:r>
        <w:rPr>
          <w:rFonts w:ascii="Arial" w:hAnsi="Arial" w:cs="Arial"/>
          <w:sz w:val="16"/>
          <w:szCs w:val="16"/>
        </w:rPr>
        <w:t>“</w:t>
      </w:r>
      <w:r w:rsidRPr="000201D9">
        <w:rPr>
          <w:rFonts w:ascii="Arial" w:hAnsi="Arial" w:cs="Arial"/>
          <w:color w:val="000000"/>
          <w:sz w:val="16"/>
          <w:szCs w:val="16"/>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409E121"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r>
      <w:r>
        <w:rPr>
          <w:rFonts w:ascii="Arial" w:hAnsi="Arial" w:cs="Arial"/>
          <w:color w:val="000000"/>
          <w:sz w:val="16"/>
          <w:szCs w:val="16"/>
          <w:lang w:eastAsia="es-CO"/>
        </w:rPr>
        <w:t>“</w:t>
      </w:r>
      <w:r w:rsidRPr="000201D9">
        <w:rPr>
          <w:rFonts w:ascii="Arial" w:hAnsi="Arial" w:cs="Arial"/>
          <w:color w:val="000000"/>
          <w:sz w:val="16"/>
          <w:szCs w:val="16"/>
          <w:lang w:eastAsia="es-CO"/>
        </w:rPr>
        <w:t>Los sujetos obligados que contratan con cargo a recursos públicos deben publicar la información de su gestión contractual en el plazo previsto en el artículo 19 del Decreto 1510 de 2013, o el que lo modifique, sustituya o adicione. </w:t>
      </w:r>
    </w:p>
    <w:p w14:paraId="5A0E599F"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r>
      <w:r>
        <w:rPr>
          <w:rFonts w:ascii="Arial" w:hAnsi="Arial" w:cs="Arial"/>
          <w:color w:val="000000"/>
          <w:sz w:val="16"/>
          <w:szCs w:val="16"/>
          <w:lang w:eastAsia="es-CO"/>
        </w:rPr>
        <w:t>“</w:t>
      </w:r>
      <w:r w:rsidRPr="000201D9">
        <w:rPr>
          <w:rFonts w:ascii="Arial" w:hAnsi="Arial" w:cs="Arial"/>
          <w:color w:val="000000"/>
          <w:sz w:val="16"/>
          <w:szCs w:val="16"/>
          <w:lang w:eastAsia="es-CO"/>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sz w:val="16"/>
          <w:szCs w:val="16"/>
        </w:rPr>
        <w:t>”</w:t>
      </w:r>
      <w:r w:rsidRPr="000201D9">
        <w:rPr>
          <w:rFonts w:ascii="Arial" w:hAnsi="Arial" w:cs="Arial"/>
          <w:sz w:val="16"/>
          <w:szCs w:val="16"/>
        </w:rPr>
        <w:t>.</w:t>
      </w:r>
    </w:p>
  </w:footnote>
  <w:footnote w:id="5">
    <w:p w14:paraId="73911029" w14:textId="77777777" w:rsidR="00DF5650" w:rsidRPr="000201D9" w:rsidRDefault="00DF5650" w:rsidP="00DF5650">
      <w:pPr>
        <w:pStyle w:val="Textonotapie"/>
        <w:ind w:right="49" w:firstLine="709"/>
        <w:jc w:val="both"/>
        <w:rPr>
          <w:rFonts w:ascii="Arial" w:eastAsia="Calibri" w:hAnsi="Arial" w:cs="Arial"/>
          <w:color w:val="000000"/>
          <w:sz w:val="16"/>
          <w:szCs w:val="16"/>
        </w:rPr>
      </w:pPr>
      <w:r w:rsidRPr="000201D9">
        <w:rPr>
          <w:rStyle w:val="Refdenotaalpie"/>
          <w:rFonts w:ascii="Arial" w:hAnsi="Arial" w:cs="Arial"/>
          <w:color w:val="000000"/>
        </w:rPr>
        <w:footnoteRef/>
      </w:r>
      <w:r w:rsidRPr="000201D9">
        <w:rPr>
          <w:rFonts w:ascii="Arial" w:hAnsi="Arial" w:cs="Arial"/>
          <w:color w:val="000000"/>
          <w:sz w:val="16"/>
          <w:szCs w:val="16"/>
        </w:rPr>
        <w:t xml:space="preserve"> Decreto 1081 de 2015: </w:t>
      </w:r>
      <w:r>
        <w:rPr>
          <w:rFonts w:ascii="Arial" w:hAnsi="Arial" w:cs="Arial"/>
          <w:color w:val="000000"/>
          <w:sz w:val="16"/>
          <w:szCs w:val="16"/>
        </w:rPr>
        <w:t>“</w:t>
      </w:r>
      <w:r w:rsidRPr="000201D9">
        <w:rPr>
          <w:rFonts w:ascii="Arial" w:hAnsi="Arial" w:cs="Arial"/>
          <w:color w:val="000000"/>
          <w:sz w:val="16"/>
          <w:szCs w:val="16"/>
        </w:rPr>
        <w:t>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r>
        <w:rPr>
          <w:rFonts w:ascii="Arial" w:hAnsi="Arial" w:cs="Arial"/>
          <w:color w:val="000000"/>
          <w:sz w:val="16"/>
          <w:szCs w:val="16"/>
        </w:rPr>
        <w:t>”</w:t>
      </w:r>
      <w:r w:rsidRPr="000201D9">
        <w:rPr>
          <w:rFonts w:ascii="Arial" w:hAnsi="Arial" w:cs="Arial"/>
          <w:color w:val="000000"/>
          <w:sz w:val="16"/>
          <w:szCs w:val="16"/>
        </w:rPr>
        <w:t>.</w:t>
      </w:r>
    </w:p>
    <w:p w14:paraId="1F25E836" w14:textId="77777777" w:rsidR="00DF5650" w:rsidRPr="000201D9" w:rsidRDefault="00DF5650" w:rsidP="00DF5650">
      <w:pPr>
        <w:pStyle w:val="Textonotapie"/>
        <w:ind w:right="49" w:firstLine="709"/>
        <w:jc w:val="both"/>
        <w:rPr>
          <w:rFonts w:ascii="Arial" w:hAnsi="Arial" w:cs="Arial"/>
          <w:color w:val="000000"/>
          <w:sz w:val="16"/>
          <w:szCs w:val="16"/>
        </w:rPr>
      </w:pPr>
    </w:p>
  </w:footnote>
  <w:footnote w:id="6">
    <w:p w14:paraId="0C4A2814" w14:textId="77777777" w:rsidR="00DF5650" w:rsidRPr="000201D9" w:rsidRDefault="00DF5650" w:rsidP="00DF5650">
      <w:pPr>
        <w:pStyle w:val="Textonotapie"/>
        <w:ind w:right="49" w:firstLine="709"/>
        <w:jc w:val="both"/>
        <w:rPr>
          <w:rFonts w:ascii="Arial" w:hAnsi="Arial" w:cs="Arial"/>
          <w:color w:val="000000"/>
          <w:sz w:val="16"/>
          <w:szCs w:val="16"/>
        </w:rPr>
      </w:pPr>
      <w:r w:rsidRPr="000201D9">
        <w:rPr>
          <w:rStyle w:val="Refdenotaalpie"/>
          <w:rFonts w:ascii="Arial" w:hAnsi="Arial" w:cs="Arial"/>
          <w:color w:val="000000"/>
        </w:rPr>
        <w:footnoteRef/>
      </w:r>
      <w:r w:rsidRPr="000201D9">
        <w:rPr>
          <w:rFonts w:ascii="Arial" w:hAnsi="Arial" w:cs="Arial"/>
          <w:color w:val="000000"/>
          <w:sz w:val="16"/>
          <w:szCs w:val="16"/>
        </w:rPr>
        <w:t xml:space="preserve"> Decreto 1081 de 2015: </w:t>
      </w:r>
      <w:r>
        <w:rPr>
          <w:rFonts w:ascii="Arial" w:hAnsi="Arial" w:cs="Arial"/>
          <w:color w:val="000000"/>
          <w:sz w:val="16"/>
          <w:szCs w:val="16"/>
        </w:rPr>
        <w:t>“</w:t>
      </w:r>
      <w:r w:rsidRPr="000201D9">
        <w:rPr>
          <w:rFonts w:ascii="Arial" w:hAnsi="Arial" w:cs="Arial"/>
          <w:color w:val="000000"/>
          <w:sz w:val="16"/>
          <w:szCs w:val="16"/>
        </w:rPr>
        <w:t xml:space="preserve">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13F02D2F" w14:textId="77777777" w:rsidR="00DF5650" w:rsidRPr="000201D9" w:rsidRDefault="00DF5650" w:rsidP="00DF5650">
      <w:pPr>
        <w:pStyle w:val="Textonotapie"/>
        <w:ind w:right="49" w:firstLine="709"/>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 xml:space="preserve">Los sujetos obligados que no contratan con cargo a recursos públicos no están obligados a publicar su Plan Anual de Adquisiciones. </w:t>
      </w:r>
    </w:p>
    <w:p w14:paraId="0002141C" w14:textId="77777777" w:rsidR="00DF5650" w:rsidRPr="000201D9" w:rsidRDefault="00DF5650" w:rsidP="00DF5650">
      <w:pPr>
        <w:pStyle w:val="Textonotapie"/>
        <w:ind w:right="49" w:firstLine="709"/>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 xml:space="preserve">Los sujetos obligados que contratan con cargo a recursos públicos y recursos privados, deben publicar en su página web y en el SECOP el Plan Anual de Adquisiciones para los recursos de carácter público que ejecutarán en el año. </w:t>
      </w:r>
    </w:p>
    <w:p w14:paraId="6ACA13D7" w14:textId="77777777" w:rsidR="00DF5650" w:rsidRPr="000201D9" w:rsidRDefault="00DF5650" w:rsidP="00DF5650">
      <w:pPr>
        <w:pStyle w:val="Textonotapie"/>
        <w:ind w:right="49" w:firstLine="709"/>
        <w:jc w:val="both"/>
        <w:rPr>
          <w:rFonts w:ascii="Arial" w:hAnsi="Arial" w:cs="Arial"/>
          <w:color w:val="000000"/>
          <w:sz w:val="16"/>
          <w:szCs w:val="16"/>
        </w:rPr>
      </w:pPr>
      <w:r>
        <w:rPr>
          <w:rFonts w:ascii="Arial" w:hAnsi="Arial" w:cs="Arial"/>
          <w:color w:val="000000"/>
          <w:sz w:val="16"/>
          <w:szCs w:val="16"/>
        </w:rPr>
        <w:t>“</w:t>
      </w:r>
      <w:r w:rsidRPr="000201D9">
        <w:rPr>
          <w:rFonts w:ascii="Arial" w:hAnsi="Arial" w:cs="Arial"/>
          <w:color w:val="000000"/>
          <w:sz w:val="16"/>
          <w:szCs w:val="16"/>
        </w:rPr>
        <w:t>Se entenderá como definición de Plan Anual de Adquisiciones respecto a todos los sujetos obligados que contratan con recursos públicos, la prevista en el artículo 3° del Decreto 1510 de 2013, o el que lo modifique, sustituya o adicione</w:t>
      </w:r>
      <w:r>
        <w:rPr>
          <w:rFonts w:ascii="Arial" w:hAnsi="Arial" w:cs="Arial"/>
          <w:color w:val="000000"/>
          <w:sz w:val="16"/>
          <w:szCs w:val="16"/>
        </w:rPr>
        <w:t>”</w:t>
      </w:r>
      <w:r w:rsidRPr="000201D9">
        <w:rPr>
          <w:rFonts w:ascii="Arial" w:hAnsi="Arial" w:cs="Arial"/>
          <w:color w:val="000000"/>
          <w:sz w:val="16"/>
          <w:szCs w:val="16"/>
        </w:rPr>
        <w:t>.</w:t>
      </w:r>
    </w:p>
  </w:footnote>
  <w:footnote w:id="7">
    <w:p w14:paraId="65681C9C" w14:textId="77777777" w:rsidR="00DF5650" w:rsidRPr="000201D9" w:rsidRDefault="00DF5650" w:rsidP="00DF5650">
      <w:pPr>
        <w:pStyle w:val="Textonotapie"/>
        <w:ind w:right="49" w:firstLine="709"/>
        <w:jc w:val="both"/>
        <w:rPr>
          <w:rFonts w:ascii="Arial" w:hAnsi="Arial" w:cs="Arial"/>
          <w:color w:val="000000"/>
          <w:sz w:val="16"/>
          <w:szCs w:val="16"/>
        </w:rPr>
      </w:pPr>
      <w:r w:rsidRPr="000201D9">
        <w:rPr>
          <w:rStyle w:val="Refdenotaalpie"/>
          <w:rFonts w:ascii="Arial" w:hAnsi="Arial" w:cs="Arial"/>
          <w:color w:val="000000"/>
        </w:rPr>
        <w:footnoteRef/>
      </w:r>
      <w:r w:rsidRPr="000201D9">
        <w:rPr>
          <w:rFonts w:ascii="Arial" w:hAnsi="Arial" w:cs="Arial"/>
          <w:color w:val="000000"/>
          <w:sz w:val="16"/>
          <w:szCs w:val="16"/>
        </w:rPr>
        <w:t xml:space="preserve"> Decreto 1081 de 2015: </w:t>
      </w:r>
      <w:r>
        <w:rPr>
          <w:rFonts w:ascii="Arial" w:hAnsi="Arial" w:cs="Arial"/>
          <w:color w:val="000000"/>
          <w:sz w:val="16"/>
          <w:szCs w:val="16"/>
        </w:rPr>
        <w:t>“</w:t>
      </w:r>
      <w:r w:rsidRPr="000201D9">
        <w:rPr>
          <w:rFonts w:ascii="Arial" w:hAnsi="Arial" w:cs="Arial"/>
          <w:color w:val="000000"/>
          <w:sz w:val="16"/>
          <w:szCs w:val="16"/>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Fonts w:ascii="Arial" w:hAnsi="Arial" w:cs="Arial"/>
          <w:color w:val="000000"/>
          <w:sz w:val="16"/>
          <w:szCs w:val="16"/>
        </w:rPr>
        <w:t>”</w:t>
      </w:r>
      <w:r w:rsidRPr="000201D9">
        <w:rPr>
          <w:rFonts w:ascii="Arial" w:hAnsi="Arial" w:cs="Arial"/>
          <w:color w:val="000000"/>
          <w:sz w:val="16"/>
          <w:szCs w:val="16"/>
        </w:rPr>
        <w:t>.</w:t>
      </w:r>
    </w:p>
  </w:footnote>
  <w:footnote w:id="8">
    <w:p w14:paraId="661E7DE3" w14:textId="77777777" w:rsidR="00DF5650" w:rsidRPr="000201D9" w:rsidRDefault="00DF5650" w:rsidP="00DF5650">
      <w:pPr>
        <w:pStyle w:val="Textonotapie"/>
        <w:ind w:firstLine="708"/>
        <w:jc w:val="both"/>
        <w:rPr>
          <w:rFonts w:ascii="Arial" w:hAnsi="Arial" w:cs="Arial"/>
          <w:sz w:val="16"/>
          <w:szCs w:val="16"/>
          <w:lang w:val="es-CO"/>
        </w:rPr>
      </w:pPr>
      <w:r w:rsidRPr="000201D9">
        <w:rPr>
          <w:rStyle w:val="Refdenotaalpie"/>
          <w:rFonts w:ascii="Arial" w:hAnsi="Arial" w:cs="Arial"/>
        </w:rPr>
        <w:footnoteRef/>
      </w:r>
      <w:r w:rsidRPr="000201D9">
        <w:rPr>
          <w:rFonts w:ascii="Arial" w:hAnsi="Arial" w:cs="Arial"/>
          <w:sz w:val="16"/>
          <w:szCs w:val="16"/>
        </w:rPr>
        <w:t xml:space="preserve">  Ley 1712 de 2014 </w:t>
      </w:r>
      <w:r>
        <w:rPr>
          <w:rFonts w:ascii="Arial" w:hAnsi="Arial" w:cs="Arial"/>
          <w:sz w:val="16"/>
          <w:szCs w:val="16"/>
        </w:rPr>
        <w:t>“</w:t>
      </w:r>
      <w:r w:rsidRPr="000201D9">
        <w:rPr>
          <w:rFonts w:ascii="Arial" w:hAnsi="Arial" w:cs="Arial"/>
          <w:sz w:val="16"/>
          <w:szCs w:val="16"/>
        </w:rPr>
        <w:t>Artículo 2°.Principio de máxima publicidad para titular universal. Toda información en posesión, bajo control o custodia de un sujeto obligado es pública y no podrá ser reservada o limitada sino por disposición constitucional o legal, de conformidad con la presente ley</w:t>
      </w:r>
      <w:r>
        <w:rPr>
          <w:rFonts w:ascii="Arial" w:hAnsi="Arial" w:cs="Arial"/>
          <w:sz w:val="16"/>
          <w:szCs w:val="16"/>
        </w:rPr>
        <w:t>”</w:t>
      </w:r>
      <w:r w:rsidRPr="000201D9">
        <w:rPr>
          <w:rFonts w:ascii="Arial" w:hAnsi="Arial" w:cs="Arial"/>
          <w:sz w:val="16"/>
          <w:szCs w:val="16"/>
        </w:rPr>
        <w:t>.</w:t>
      </w:r>
    </w:p>
  </w:footnote>
  <w:footnote w:id="9">
    <w:p w14:paraId="3AD058EA" w14:textId="77777777" w:rsidR="00DF5650" w:rsidRPr="000201D9" w:rsidRDefault="00DF5650" w:rsidP="00DF5650">
      <w:pPr>
        <w:pStyle w:val="Textonotapie"/>
        <w:rPr>
          <w:rFonts w:ascii="Arial" w:hAnsi="Arial" w:cs="Arial"/>
          <w:sz w:val="16"/>
          <w:szCs w:val="16"/>
        </w:rPr>
      </w:pPr>
    </w:p>
    <w:p w14:paraId="65EFCE9D" w14:textId="77777777" w:rsidR="00DF5650" w:rsidRPr="000201D9" w:rsidRDefault="00DF5650" w:rsidP="00DF5650">
      <w:pPr>
        <w:pStyle w:val="NormalWeb"/>
        <w:spacing w:after="0"/>
        <w:ind w:firstLine="708"/>
        <w:jc w:val="both"/>
        <w:rPr>
          <w:rFonts w:ascii="Arial" w:hAnsi="Arial" w:cs="Arial"/>
          <w:color w:val="000000"/>
          <w:sz w:val="16"/>
          <w:szCs w:val="16"/>
        </w:rPr>
      </w:pPr>
      <w:r w:rsidRPr="000201D9">
        <w:rPr>
          <w:rStyle w:val="Refdenotaalpie"/>
          <w:rFonts w:ascii="Arial" w:hAnsi="Arial" w:cs="Arial"/>
        </w:rPr>
        <w:footnoteRef/>
      </w:r>
      <w:r w:rsidRPr="000201D9">
        <w:rPr>
          <w:rFonts w:ascii="Arial" w:hAnsi="Arial" w:cs="Arial"/>
          <w:sz w:val="16"/>
          <w:szCs w:val="16"/>
        </w:rPr>
        <w:t xml:space="preserve">  Ley 1712 de 2014 </w:t>
      </w:r>
      <w:r>
        <w:rPr>
          <w:rFonts w:ascii="Arial" w:hAnsi="Arial" w:cs="Arial"/>
          <w:sz w:val="16"/>
          <w:szCs w:val="16"/>
        </w:rPr>
        <w:t>“</w:t>
      </w:r>
      <w:r w:rsidRPr="000201D9">
        <w:rPr>
          <w:rStyle w:val="PiedepginaCar"/>
          <w:rFonts w:ascii="Arial" w:hAnsi="Arial" w:cs="Arial"/>
          <w:color w:val="000000"/>
        </w:rPr>
        <w:t xml:space="preserve"> </w:t>
      </w:r>
      <w:r w:rsidRPr="000201D9">
        <w:rPr>
          <w:rFonts w:ascii="Arial" w:hAnsi="Arial" w:cs="Arial"/>
          <w:color w:val="000000"/>
          <w:sz w:val="16"/>
          <w:szCs w:val="16"/>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3BD6536C"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r>
      <w:r>
        <w:rPr>
          <w:rFonts w:ascii="Arial" w:hAnsi="Arial" w:cs="Arial"/>
          <w:color w:val="000000"/>
          <w:sz w:val="16"/>
          <w:szCs w:val="16"/>
          <w:lang w:eastAsia="es-CO"/>
        </w:rPr>
        <w:t>“</w:t>
      </w:r>
      <w:r w:rsidRPr="000201D9">
        <w:rPr>
          <w:rFonts w:ascii="Arial" w:hAnsi="Arial" w:cs="Arial"/>
          <w:color w:val="000000"/>
          <w:sz w:val="16"/>
          <w:szCs w:val="16"/>
          <w:lang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284B2FC7"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t>[…] </w:t>
      </w:r>
    </w:p>
    <w:p w14:paraId="67749B17"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r>
      <w:r>
        <w:rPr>
          <w:rFonts w:ascii="Arial" w:hAnsi="Arial" w:cs="Arial"/>
          <w:color w:val="000000"/>
          <w:sz w:val="16"/>
          <w:szCs w:val="16"/>
          <w:lang w:eastAsia="es-CO"/>
        </w:rPr>
        <w:t>“</w:t>
      </w:r>
      <w:r w:rsidRPr="000201D9">
        <w:rPr>
          <w:rFonts w:ascii="Arial" w:hAnsi="Arial" w:cs="Arial"/>
          <w:color w:val="000000"/>
          <w:sz w:val="16"/>
          <w:szCs w:val="16"/>
          <w:lang w:eastAsia="es-CO"/>
        </w:rPr>
        <w:t>Principio de facilitación. En virtud de este principio los sujetos obligados deberán facilitar el ejercicio del derecho de acceso a la información pública, excluyendo exigencias o requisitos que puedan obstruirlo o impedirlo. </w:t>
      </w:r>
    </w:p>
    <w:p w14:paraId="7F6EAB3A"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t>[…]</w:t>
      </w:r>
    </w:p>
    <w:p w14:paraId="53ABC329" w14:textId="77777777" w:rsidR="00DF5650" w:rsidRPr="000201D9" w:rsidRDefault="00DF5650" w:rsidP="00DF5650">
      <w:pPr>
        <w:jc w:val="both"/>
        <w:rPr>
          <w:rFonts w:ascii="Arial" w:hAnsi="Arial" w:cs="Arial"/>
          <w:color w:val="000000"/>
          <w:sz w:val="16"/>
          <w:szCs w:val="16"/>
          <w:lang w:eastAsia="es-CO"/>
        </w:rPr>
      </w:pPr>
      <w:r w:rsidRPr="000201D9">
        <w:rPr>
          <w:rFonts w:ascii="Arial" w:hAnsi="Arial" w:cs="Arial"/>
          <w:color w:val="000000"/>
          <w:sz w:val="16"/>
          <w:szCs w:val="16"/>
          <w:lang w:eastAsia="es-CO"/>
        </w:rPr>
        <w:t>  </w:t>
      </w:r>
      <w:r w:rsidRPr="000201D9">
        <w:rPr>
          <w:rFonts w:ascii="Arial" w:hAnsi="Arial" w:cs="Arial"/>
          <w:color w:val="000000"/>
          <w:sz w:val="16"/>
          <w:szCs w:val="16"/>
          <w:lang w:eastAsia="es-CO"/>
        </w:rPr>
        <w:tab/>
      </w:r>
      <w:r>
        <w:rPr>
          <w:rFonts w:ascii="Arial" w:hAnsi="Arial" w:cs="Arial"/>
          <w:color w:val="000000"/>
          <w:sz w:val="16"/>
          <w:szCs w:val="16"/>
          <w:lang w:eastAsia="es-CO"/>
        </w:rPr>
        <w:t>“</w:t>
      </w:r>
      <w:r w:rsidRPr="000201D9">
        <w:rPr>
          <w:rFonts w:ascii="Arial" w:hAnsi="Arial" w:cs="Arial"/>
          <w:color w:val="000000"/>
          <w:sz w:val="16"/>
          <w:szCs w:val="16"/>
          <w:lang w:eastAsia="es-CO"/>
        </w:rPr>
        <w:t xml:space="preserve">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r>
        <w:rPr>
          <w:rFonts w:ascii="Arial" w:hAnsi="Arial" w:cs="Arial"/>
          <w:color w:val="000000"/>
          <w:sz w:val="16"/>
          <w:szCs w:val="16"/>
          <w:lang w:eastAsia="es-CO"/>
        </w:rPr>
        <w:t>”</w:t>
      </w:r>
      <w:r w:rsidRPr="000201D9">
        <w:rPr>
          <w:rFonts w:ascii="Arial" w:hAnsi="Arial" w:cs="Arial"/>
          <w:color w:val="000000"/>
          <w:sz w:val="16"/>
          <w:szCs w:val="16"/>
          <w:lang w:eastAsia="es-CO"/>
        </w:rPr>
        <w:t>.</w:t>
      </w:r>
    </w:p>
    <w:p w14:paraId="7F6AD5BB" w14:textId="77777777" w:rsidR="00DF5650" w:rsidRPr="000201D9" w:rsidRDefault="00DF5650" w:rsidP="00DF5650">
      <w:pPr>
        <w:pStyle w:val="Textonotapie"/>
        <w:rPr>
          <w:rFonts w:ascii="Arial" w:eastAsia="Calibri"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125632"/>
    <w:multiLevelType w:val="hybridMultilevel"/>
    <w:tmpl w:val="7DDC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BA223E"/>
    <w:multiLevelType w:val="hybridMultilevel"/>
    <w:tmpl w:val="A5868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864FF"/>
    <w:multiLevelType w:val="hybridMultilevel"/>
    <w:tmpl w:val="C5B65E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1"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10"/>
  </w:num>
  <w:num w:numId="6">
    <w:abstractNumId w:val="1"/>
  </w:num>
  <w:num w:numId="7">
    <w:abstractNumId w:val="7"/>
  </w:num>
  <w:num w:numId="8">
    <w:abstractNumId w:val="9"/>
  </w:num>
  <w:num w:numId="9">
    <w:abstractNumId w:val="12"/>
  </w:num>
  <w:num w:numId="10">
    <w:abstractNumId w:val="1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E5B"/>
    <w:rsid w:val="00005BB0"/>
    <w:rsid w:val="0001025F"/>
    <w:rsid w:val="00011A77"/>
    <w:rsid w:val="0001222D"/>
    <w:rsid w:val="000135EB"/>
    <w:rsid w:val="00015D2B"/>
    <w:rsid w:val="00021926"/>
    <w:rsid w:val="00023823"/>
    <w:rsid w:val="00031584"/>
    <w:rsid w:val="00032A0E"/>
    <w:rsid w:val="00037347"/>
    <w:rsid w:val="00040A35"/>
    <w:rsid w:val="000441B0"/>
    <w:rsid w:val="000442CC"/>
    <w:rsid w:val="000531F5"/>
    <w:rsid w:val="0005481D"/>
    <w:rsid w:val="000556D4"/>
    <w:rsid w:val="000716AB"/>
    <w:rsid w:val="00082E4C"/>
    <w:rsid w:val="000849D5"/>
    <w:rsid w:val="0008528F"/>
    <w:rsid w:val="00090E20"/>
    <w:rsid w:val="000A6E0C"/>
    <w:rsid w:val="000A7A56"/>
    <w:rsid w:val="000B1FF7"/>
    <w:rsid w:val="000B2513"/>
    <w:rsid w:val="000B4024"/>
    <w:rsid w:val="000B5FFE"/>
    <w:rsid w:val="000C3C51"/>
    <w:rsid w:val="000C7262"/>
    <w:rsid w:val="000D2A7F"/>
    <w:rsid w:val="000D4FCE"/>
    <w:rsid w:val="000D634C"/>
    <w:rsid w:val="000E08DE"/>
    <w:rsid w:val="000E0E94"/>
    <w:rsid w:val="000E670C"/>
    <w:rsid w:val="000F2DCB"/>
    <w:rsid w:val="001079A9"/>
    <w:rsid w:val="0011037E"/>
    <w:rsid w:val="00120C22"/>
    <w:rsid w:val="00123B10"/>
    <w:rsid w:val="001363C7"/>
    <w:rsid w:val="00141AC5"/>
    <w:rsid w:val="00146B11"/>
    <w:rsid w:val="00147A04"/>
    <w:rsid w:val="00152E66"/>
    <w:rsid w:val="0015476D"/>
    <w:rsid w:val="00161E13"/>
    <w:rsid w:val="0016210D"/>
    <w:rsid w:val="00164AE0"/>
    <w:rsid w:val="00165E83"/>
    <w:rsid w:val="00166CD7"/>
    <w:rsid w:val="00167195"/>
    <w:rsid w:val="001672D4"/>
    <w:rsid w:val="0017120C"/>
    <w:rsid w:val="00172F3A"/>
    <w:rsid w:val="001809C7"/>
    <w:rsid w:val="00192719"/>
    <w:rsid w:val="0019532A"/>
    <w:rsid w:val="0019670E"/>
    <w:rsid w:val="00197205"/>
    <w:rsid w:val="001A5DD4"/>
    <w:rsid w:val="001A67E9"/>
    <w:rsid w:val="001B143B"/>
    <w:rsid w:val="001B14B3"/>
    <w:rsid w:val="001B21CA"/>
    <w:rsid w:val="001B5566"/>
    <w:rsid w:val="001C04FC"/>
    <w:rsid w:val="001C25A3"/>
    <w:rsid w:val="001C5D03"/>
    <w:rsid w:val="001C7771"/>
    <w:rsid w:val="001D62FF"/>
    <w:rsid w:val="001E2B8E"/>
    <w:rsid w:val="001E5CC4"/>
    <w:rsid w:val="001F3F48"/>
    <w:rsid w:val="002000AA"/>
    <w:rsid w:val="00203A80"/>
    <w:rsid w:val="00204109"/>
    <w:rsid w:val="0021026D"/>
    <w:rsid w:val="00211E6E"/>
    <w:rsid w:val="00212A46"/>
    <w:rsid w:val="0021401D"/>
    <w:rsid w:val="002146B8"/>
    <w:rsid w:val="00215516"/>
    <w:rsid w:val="00244C79"/>
    <w:rsid w:val="002527C2"/>
    <w:rsid w:val="00265C55"/>
    <w:rsid w:val="00270443"/>
    <w:rsid w:val="00270EE2"/>
    <w:rsid w:val="00272972"/>
    <w:rsid w:val="0028252D"/>
    <w:rsid w:val="00285F49"/>
    <w:rsid w:val="00286491"/>
    <w:rsid w:val="00294626"/>
    <w:rsid w:val="00295193"/>
    <w:rsid w:val="002A097D"/>
    <w:rsid w:val="002A0F8D"/>
    <w:rsid w:val="002B50F1"/>
    <w:rsid w:val="002B6E44"/>
    <w:rsid w:val="002D3753"/>
    <w:rsid w:val="002D3E33"/>
    <w:rsid w:val="002D580F"/>
    <w:rsid w:val="002E1DB5"/>
    <w:rsid w:val="002F6CCB"/>
    <w:rsid w:val="00300925"/>
    <w:rsid w:val="0030461E"/>
    <w:rsid w:val="00313541"/>
    <w:rsid w:val="00317666"/>
    <w:rsid w:val="0032756A"/>
    <w:rsid w:val="00332F38"/>
    <w:rsid w:val="00334EF8"/>
    <w:rsid w:val="00336408"/>
    <w:rsid w:val="00340DFB"/>
    <w:rsid w:val="0034404F"/>
    <w:rsid w:val="003471E6"/>
    <w:rsid w:val="00356980"/>
    <w:rsid w:val="003639DA"/>
    <w:rsid w:val="00367462"/>
    <w:rsid w:val="00371ECA"/>
    <w:rsid w:val="00372748"/>
    <w:rsid w:val="0037332A"/>
    <w:rsid w:val="00373624"/>
    <w:rsid w:val="0038151A"/>
    <w:rsid w:val="0039082A"/>
    <w:rsid w:val="00390C21"/>
    <w:rsid w:val="003A37BD"/>
    <w:rsid w:val="003A545D"/>
    <w:rsid w:val="003B6D94"/>
    <w:rsid w:val="003C0DF9"/>
    <w:rsid w:val="003C4C96"/>
    <w:rsid w:val="003C55E0"/>
    <w:rsid w:val="003F519B"/>
    <w:rsid w:val="003F5396"/>
    <w:rsid w:val="00404EAA"/>
    <w:rsid w:val="0040544F"/>
    <w:rsid w:val="00406A19"/>
    <w:rsid w:val="0041222D"/>
    <w:rsid w:val="0041483E"/>
    <w:rsid w:val="00415369"/>
    <w:rsid w:val="00420C54"/>
    <w:rsid w:val="004221C8"/>
    <w:rsid w:val="00430492"/>
    <w:rsid w:val="00432FFE"/>
    <w:rsid w:val="0044729A"/>
    <w:rsid w:val="00450BE7"/>
    <w:rsid w:val="004667EB"/>
    <w:rsid w:val="0046741E"/>
    <w:rsid w:val="00472CC6"/>
    <w:rsid w:val="004767A4"/>
    <w:rsid w:val="0048026E"/>
    <w:rsid w:val="004807A9"/>
    <w:rsid w:val="004813EE"/>
    <w:rsid w:val="00482349"/>
    <w:rsid w:val="00493278"/>
    <w:rsid w:val="004943D9"/>
    <w:rsid w:val="004A0E7B"/>
    <w:rsid w:val="004A3498"/>
    <w:rsid w:val="004B0C45"/>
    <w:rsid w:val="004B7E5C"/>
    <w:rsid w:val="004C0AB2"/>
    <w:rsid w:val="004C1619"/>
    <w:rsid w:val="004C1A26"/>
    <w:rsid w:val="004C1CC9"/>
    <w:rsid w:val="004C3755"/>
    <w:rsid w:val="004C4485"/>
    <w:rsid w:val="004D07AC"/>
    <w:rsid w:val="004D0B5D"/>
    <w:rsid w:val="004D11AF"/>
    <w:rsid w:val="00500DFA"/>
    <w:rsid w:val="005019AA"/>
    <w:rsid w:val="005021BB"/>
    <w:rsid w:val="005139E7"/>
    <w:rsid w:val="005147DA"/>
    <w:rsid w:val="00515FB5"/>
    <w:rsid w:val="00516090"/>
    <w:rsid w:val="005207F7"/>
    <w:rsid w:val="0052365C"/>
    <w:rsid w:val="005271EB"/>
    <w:rsid w:val="005426DB"/>
    <w:rsid w:val="0055082B"/>
    <w:rsid w:val="00552503"/>
    <w:rsid w:val="00552B57"/>
    <w:rsid w:val="00557DA1"/>
    <w:rsid w:val="0056322C"/>
    <w:rsid w:val="005679C2"/>
    <w:rsid w:val="00577152"/>
    <w:rsid w:val="00586562"/>
    <w:rsid w:val="0058743A"/>
    <w:rsid w:val="005A3FCB"/>
    <w:rsid w:val="005A4DB0"/>
    <w:rsid w:val="005A7B8E"/>
    <w:rsid w:val="005B012B"/>
    <w:rsid w:val="005B0C87"/>
    <w:rsid w:val="005C4800"/>
    <w:rsid w:val="005C4978"/>
    <w:rsid w:val="005D23F6"/>
    <w:rsid w:val="005D2FA8"/>
    <w:rsid w:val="005D4BD8"/>
    <w:rsid w:val="005E2281"/>
    <w:rsid w:val="005E667C"/>
    <w:rsid w:val="005F077C"/>
    <w:rsid w:val="005F50D7"/>
    <w:rsid w:val="005F5F33"/>
    <w:rsid w:val="005F63D0"/>
    <w:rsid w:val="005F7973"/>
    <w:rsid w:val="00606D1F"/>
    <w:rsid w:val="0061690E"/>
    <w:rsid w:val="00627361"/>
    <w:rsid w:val="0063017E"/>
    <w:rsid w:val="00631B28"/>
    <w:rsid w:val="00635F89"/>
    <w:rsid w:val="006450EE"/>
    <w:rsid w:val="00645B90"/>
    <w:rsid w:val="00650991"/>
    <w:rsid w:val="006511D7"/>
    <w:rsid w:val="00663D75"/>
    <w:rsid w:val="00664B60"/>
    <w:rsid w:val="0066531E"/>
    <w:rsid w:val="00670AEF"/>
    <w:rsid w:val="00675678"/>
    <w:rsid w:val="00676A8B"/>
    <w:rsid w:val="00677012"/>
    <w:rsid w:val="006825B4"/>
    <w:rsid w:val="00682AF2"/>
    <w:rsid w:val="006864DF"/>
    <w:rsid w:val="006A1D37"/>
    <w:rsid w:val="006A3C8A"/>
    <w:rsid w:val="006A49F1"/>
    <w:rsid w:val="006A7552"/>
    <w:rsid w:val="006B0C69"/>
    <w:rsid w:val="006B5953"/>
    <w:rsid w:val="006B5AD4"/>
    <w:rsid w:val="006B7A81"/>
    <w:rsid w:val="006C4BAC"/>
    <w:rsid w:val="006C52F3"/>
    <w:rsid w:val="006E1F18"/>
    <w:rsid w:val="006E7F37"/>
    <w:rsid w:val="006F3B81"/>
    <w:rsid w:val="006F4F79"/>
    <w:rsid w:val="00702163"/>
    <w:rsid w:val="00705394"/>
    <w:rsid w:val="00705B37"/>
    <w:rsid w:val="00711FD9"/>
    <w:rsid w:val="00735062"/>
    <w:rsid w:val="00745400"/>
    <w:rsid w:val="00746BA5"/>
    <w:rsid w:val="00751D23"/>
    <w:rsid w:val="00770577"/>
    <w:rsid w:val="00777666"/>
    <w:rsid w:val="0078159B"/>
    <w:rsid w:val="0078296B"/>
    <w:rsid w:val="00782E10"/>
    <w:rsid w:val="0078706B"/>
    <w:rsid w:val="00790836"/>
    <w:rsid w:val="00797131"/>
    <w:rsid w:val="007A3C1D"/>
    <w:rsid w:val="007B285D"/>
    <w:rsid w:val="007B541E"/>
    <w:rsid w:val="007C6BC6"/>
    <w:rsid w:val="007E130B"/>
    <w:rsid w:val="007E175D"/>
    <w:rsid w:val="00807D79"/>
    <w:rsid w:val="00813634"/>
    <w:rsid w:val="00822821"/>
    <w:rsid w:val="00831C29"/>
    <w:rsid w:val="008431EF"/>
    <w:rsid w:val="008468E0"/>
    <w:rsid w:val="00863077"/>
    <w:rsid w:val="00865FBA"/>
    <w:rsid w:val="00871B59"/>
    <w:rsid w:val="00873026"/>
    <w:rsid w:val="00876251"/>
    <w:rsid w:val="00877D03"/>
    <w:rsid w:val="00877E96"/>
    <w:rsid w:val="008806CA"/>
    <w:rsid w:val="008815E5"/>
    <w:rsid w:val="00887B37"/>
    <w:rsid w:val="0089018C"/>
    <w:rsid w:val="008909B9"/>
    <w:rsid w:val="00891DFC"/>
    <w:rsid w:val="008B12B4"/>
    <w:rsid w:val="008B7914"/>
    <w:rsid w:val="008C5D2A"/>
    <w:rsid w:val="008C7AF4"/>
    <w:rsid w:val="008D1EB8"/>
    <w:rsid w:val="008D529F"/>
    <w:rsid w:val="008F5CC8"/>
    <w:rsid w:val="00901D77"/>
    <w:rsid w:val="0090435F"/>
    <w:rsid w:val="009061B8"/>
    <w:rsid w:val="0091008B"/>
    <w:rsid w:val="00911EA2"/>
    <w:rsid w:val="0091425D"/>
    <w:rsid w:val="00916C7D"/>
    <w:rsid w:val="00923D6E"/>
    <w:rsid w:val="0092575D"/>
    <w:rsid w:val="009341DA"/>
    <w:rsid w:val="009430F9"/>
    <w:rsid w:val="009442E8"/>
    <w:rsid w:val="009457B6"/>
    <w:rsid w:val="00946BD0"/>
    <w:rsid w:val="0095426C"/>
    <w:rsid w:val="009542B5"/>
    <w:rsid w:val="00962196"/>
    <w:rsid w:val="00970087"/>
    <w:rsid w:val="00971074"/>
    <w:rsid w:val="00983F49"/>
    <w:rsid w:val="00987B8D"/>
    <w:rsid w:val="00995D86"/>
    <w:rsid w:val="009A5453"/>
    <w:rsid w:val="009A7AF7"/>
    <w:rsid w:val="009B1186"/>
    <w:rsid w:val="009B4D94"/>
    <w:rsid w:val="009C2871"/>
    <w:rsid w:val="009D2600"/>
    <w:rsid w:val="009D3C33"/>
    <w:rsid w:val="009D7F3A"/>
    <w:rsid w:val="009E4885"/>
    <w:rsid w:val="00A07DB6"/>
    <w:rsid w:val="00A10A73"/>
    <w:rsid w:val="00A170B3"/>
    <w:rsid w:val="00A223D5"/>
    <w:rsid w:val="00A37D1C"/>
    <w:rsid w:val="00A41AF1"/>
    <w:rsid w:val="00A468AF"/>
    <w:rsid w:val="00A5453E"/>
    <w:rsid w:val="00A55848"/>
    <w:rsid w:val="00A558E2"/>
    <w:rsid w:val="00A56F6C"/>
    <w:rsid w:val="00A679CB"/>
    <w:rsid w:val="00A76C8C"/>
    <w:rsid w:val="00A85F30"/>
    <w:rsid w:val="00A9099E"/>
    <w:rsid w:val="00A91FB7"/>
    <w:rsid w:val="00A9298F"/>
    <w:rsid w:val="00AA0351"/>
    <w:rsid w:val="00AA0DA9"/>
    <w:rsid w:val="00AA132B"/>
    <w:rsid w:val="00AA5F4A"/>
    <w:rsid w:val="00AA7BEF"/>
    <w:rsid w:val="00AB1984"/>
    <w:rsid w:val="00AB52B1"/>
    <w:rsid w:val="00AC1CAB"/>
    <w:rsid w:val="00AC4CB3"/>
    <w:rsid w:val="00AC780D"/>
    <w:rsid w:val="00AD036B"/>
    <w:rsid w:val="00AD1996"/>
    <w:rsid w:val="00AD4099"/>
    <w:rsid w:val="00AD4901"/>
    <w:rsid w:val="00B02FE0"/>
    <w:rsid w:val="00B057B6"/>
    <w:rsid w:val="00B118C5"/>
    <w:rsid w:val="00B126EC"/>
    <w:rsid w:val="00B2722B"/>
    <w:rsid w:val="00B30448"/>
    <w:rsid w:val="00B34786"/>
    <w:rsid w:val="00B400EC"/>
    <w:rsid w:val="00B40162"/>
    <w:rsid w:val="00B41ACE"/>
    <w:rsid w:val="00B41B8B"/>
    <w:rsid w:val="00B50156"/>
    <w:rsid w:val="00B518AD"/>
    <w:rsid w:val="00B60A96"/>
    <w:rsid w:val="00B678EC"/>
    <w:rsid w:val="00B73DDD"/>
    <w:rsid w:val="00B76C94"/>
    <w:rsid w:val="00B772D0"/>
    <w:rsid w:val="00B836EA"/>
    <w:rsid w:val="00B84C05"/>
    <w:rsid w:val="00B907CF"/>
    <w:rsid w:val="00B91B81"/>
    <w:rsid w:val="00B97135"/>
    <w:rsid w:val="00BB3072"/>
    <w:rsid w:val="00BC5FE4"/>
    <w:rsid w:val="00BC7632"/>
    <w:rsid w:val="00BD48A9"/>
    <w:rsid w:val="00BD630F"/>
    <w:rsid w:val="00BD7EC6"/>
    <w:rsid w:val="00BE3E91"/>
    <w:rsid w:val="00BE45FE"/>
    <w:rsid w:val="00BE73FA"/>
    <w:rsid w:val="00BF5C2A"/>
    <w:rsid w:val="00BF6B4B"/>
    <w:rsid w:val="00C0511C"/>
    <w:rsid w:val="00C20ACF"/>
    <w:rsid w:val="00C22307"/>
    <w:rsid w:val="00C23469"/>
    <w:rsid w:val="00C30C62"/>
    <w:rsid w:val="00C315BE"/>
    <w:rsid w:val="00C33386"/>
    <w:rsid w:val="00C371DF"/>
    <w:rsid w:val="00C42055"/>
    <w:rsid w:val="00C44B4C"/>
    <w:rsid w:val="00C46734"/>
    <w:rsid w:val="00C47A86"/>
    <w:rsid w:val="00C53220"/>
    <w:rsid w:val="00C6639C"/>
    <w:rsid w:val="00C75D6C"/>
    <w:rsid w:val="00CA3347"/>
    <w:rsid w:val="00CB28AD"/>
    <w:rsid w:val="00CC299A"/>
    <w:rsid w:val="00CD03E3"/>
    <w:rsid w:val="00CD2674"/>
    <w:rsid w:val="00CD3DF5"/>
    <w:rsid w:val="00CE6BDA"/>
    <w:rsid w:val="00CF6BC0"/>
    <w:rsid w:val="00D03DBE"/>
    <w:rsid w:val="00D072C0"/>
    <w:rsid w:val="00D131D2"/>
    <w:rsid w:val="00D1770A"/>
    <w:rsid w:val="00D23ADC"/>
    <w:rsid w:val="00D3494C"/>
    <w:rsid w:val="00D34C82"/>
    <w:rsid w:val="00D3757A"/>
    <w:rsid w:val="00D504A9"/>
    <w:rsid w:val="00D5206D"/>
    <w:rsid w:val="00D53CEB"/>
    <w:rsid w:val="00D7177D"/>
    <w:rsid w:val="00D73D4D"/>
    <w:rsid w:val="00D81311"/>
    <w:rsid w:val="00DA538F"/>
    <w:rsid w:val="00DA55B1"/>
    <w:rsid w:val="00DB201E"/>
    <w:rsid w:val="00DB5D94"/>
    <w:rsid w:val="00DC0E68"/>
    <w:rsid w:val="00DC744B"/>
    <w:rsid w:val="00DD25ED"/>
    <w:rsid w:val="00DE0D6E"/>
    <w:rsid w:val="00DE3BAB"/>
    <w:rsid w:val="00DE3E5A"/>
    <w:rsid w:val="00DF4E74"/>
    <w:rsid w:val="00DF5650"/>
    <w:rsid w:val="00E1610C"/>
    <w:rsid w:val="00E16D73"/>
    <w:rsid w:val="00E21EF6"/>
    <w:rsid w:val="00E22171"/>
    <w:rsid w:val="00E23E9E"/>
    <w:rsid w:val="00E24F5C"/>
    <w:rsid w:val="00E25722"/>
    <w:rsid w:val="00E27F0A"/>
    <w:rsid w:val="00E4231E"/>
    <w:rsid w:val="00E4302C"/>
    <w:rsid w:val="00E44AC7"/>
    <w:rsid w:val="00E45F4B"/>
    <w:rsid w:val="00E60A16"/>
    <w:rsid w:val="00E82B6E"/>
    <w:rsid w:val="00E83657"/>
    <w:rsid w:val="00E92110"/>
    <w:rsid w:val="00E93DE7"/>
    <w:rsid w:val="00E94258"/>
    <w:rsid w:val="00E96C18"/>
    <w:rsid w:val="00EA2E61"/>
    <w:rsid w:val="00EA7D7F"/>
    <w:rsid w:val="00EB02F4"/>
    <w:rsid w:val="00EB2FA2"/>
    <w:rsid w:val="00EB4E55"/>
    <w:rsid w:val="00EB769A"/>
    <w:rsid w:val="00EC3A35"/>
    <w:rsid w:val="00EC66AE"/>
    <w:rsid w:val="00ED13A2"/>
    <w:rsid w:val="00EE17F2"/>
    <w:rsid w:val="00EE3138"/>
    <w:rsid w:val="00EE7810"/>
    <w:rsid w:val="00EF2AC7"/>
    <w:rsid w:val="00EF400A"/>
    <w:rsid w:val="00EF6BE4"/>
    <w:rsid w:val="00EF6E5D"/>
    <w:rsid w:val="00F03ECD"/>
    <w:rsid w:val="00F07764"/>
    <w:rsid w:val="00F12517"/>
    <w:rsid w:val="00F131DD"/>
    <w:rsid w:val="00F16BA1"/>
    <w:rsid w:val="00F23900"/>
    <w:rsid w:val="00F24435"/>
    <w:rsid w:val="00F30C0F"/>
    <w:rsid w:val="00F314E8"/>
    <w:rsid w:val="00F323A2"/>
    <w:rsid w:val="00F33B57"/>
    <w:rsid w:val="00F33D5C"/>
    <w:rsid w:val="00F34E90"/>
    <w:rsid w:val="00F356D6"/>
    <w:rsid w:val="00F47695"/>
    <w:rsid w:val="00F53BE2"/>
    <w:rsid w:val="00F55684"/>
    <w:rsid w:val="00F571CF"/>
    <w:rsid w:val="00F64D5A"/>
    <w:rsid w:val="00F709CD"/>
    <w:rsid w:val="00F731CB"/>
    <w:rsid w:val="00F906F4"/>
    <w:rsid w:val="00FA0716"/>
    <w:rsid w:val="00FA4CE1"/>
    <w:rsid w:val="00FB4629"/>
    <w:rsid w:val="00FB6FB1"/>
    <w:rsid w:val="00FB7063"/>
    <w:rsid w:val="00FC5FA1"/>
    <w:rsid w:val="00FC7056"/>
    <w:rsid w:val="00FE1A00"/>
    <w:rsid w:val="00FE4E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 w:val="7AB489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link w:val="NormalWebCar"/>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NormalTable0">
    <w:name w:val="Normal Table0"/>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character" w:customStyle="1" w:styleId="NormalWebCar">
    <w:name w:val="Normal (Web) Car"/>
    <w:link w:val="NormalWeb"/>
    <w:uiPriority w:val="99"/>
    <w:rsid w:val="00EC66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04-documentos-tipo-de-licitacion-de-obra-publica-para-proyectos-de-infraestructura-social" TargetMode="External"/><Relationship Id="rId18"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lombiacompra.gov.co/sites/cce_public/files/cce_circulares/circular_externa_unica_version_3_vf49.pdf" TargetMode="External"/><Relationship Id="rId17"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purl.org/dc/elements/1.1/"/>
    <ds:schemaRef ds:uri="http://schemas.openxmlformats.org/package/2006/metadata/core-properties"/>
    <ds:schemaRef ds:uri="http://schemas.microsoft.com/office/infopath/2007/PartnerControls"/>
    <ds:schemaRef ds:uri="http://purl.org/dc/terms/"/>
    <ds:schemaRef ds:uri="a6cb9e4b-f1d1-4245-83ec-6cad768d538a"/>
    <ds:schemaRef ds:uri="http://schemas.microsoft.com/office/2006/metadata/properties"/>
    <ds:schemaRef ds:uri="http://schemas.microsoft.com/office/2006/documentManagement/type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CE38D-B015-4C0E-BFFD-B992C08B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4746</Words>
  <Characters>26109</Characters>
  <Application>Microsoft Office Word</Application>
  <DocSecurity>0</DocSecurity>
  <Lines>217</Lines>
  <Paragraphs>61</Paragraphs>
  <ScaleCrop>false</ScaleCrop>
  <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2024-09-27T20:46:00Z</dcterms:created>
  <dcterms:modified xsi:type="dcterms:W3CDTF">2024-09-27T20:46:00Z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