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58503" w14:textId="77777777" w:rsidR="00296648" w:rsidRPr="00800675" w:rsidRDefault="00296648" w:rsidP="00296648">
      <w:pPr>
        <w:spacing w:after="0" w:line="240" w:lineRule="auto"/>
        <w:jc w:val="both"/>
        <w:rPr>
          <w:rFonts w:ascii="Verdana" w:eastAsia="Times New Roman" w:hAnsi="Verdana" w:cs="Arial"/>
          <w:b/>
          <w:bCs/>
          <w:color w:val="000000" w:themeColor="text1"/>
          <w:szCs w:val="24"/>
          <w:shd w:val="clear" w:color="auto" w:fill="FFFFFF"/>
          <w:lang w:val="es-ES" w:eastAsia="es-MX"/>
        </w:rPr>
      </w:pPr>
      <w:r w:rsidRPr="00800675">
        <w:rPr>
          <w:rFonts w:ascii="Verdana" w:eastAsia="Times New Roman" w:hAnsi="Verdana" w:cs="Arial"/>
          <w:b/>
          <w:bCs/>
          <w:color w:val="000000" w:themeColor="text1"/>
          <w:szCs w:val="24"/>
          <w:shd w:val="clear" w:color="auto" w:fill="FFFFFF"/>
          <w:lang w:val="es-ES" w:eastAsia="es-MX"/>
        </w:rPr>
        <w:t>CONTRATO DE INTERVENTORÍA – Finalidad – Ley 1474 de 2011 – Artículo 83</w:t>
      </w:r>
    </w:p>
    <w:p w14:paraId="18858504" w14:textId="77777777" w:rsidR="00296648" w:rsidRPr="00800675" w:rsidRDefault="00296648" w:rsidP="00296648">
      <w:pPr>
        <w:spacing w:after="0" w:line="276" w:lineRule="auto"/>
        <w:jc w:val="both"/>
        <w:rPr>
          <w:rFonts w:ascii="Verdana" w:eastAsia="Times New Roman" w:hAnsi="Verdana" w:cs="Arial"/>
          <w:color w:val="000000" w:themeColor="text1"/>
          <w:szCs w:val="24"/>
          <w:shd w:val="clear" w:color="auto" w:fill="FFFFFF"/>
          <w:lang w:val="es-ES" w:eastAsia="es-MX"/>
        </w:rPr>
      </w:pPr>
    </w:p>
    <w:p w14:paraId="18858505" w14:textId="77777777" w:rsidR="00296648" w:rsidRPr="00800675" w:rsidRDefault="00296648" w:rsidP="00296648">
      <w:pPr>
        <w:spacing w:after="0" w:line="240" w:lineRule="auto"/>
        <w:jc w:val="both"/>
        <w:rPr>
          <w:rFonts w:ascii="Verdana" w:eastAsia="Times New Roman" w:hAnsi="Verdana" w:cs="Arial"/>
          <w:color w:val="000000" w:themeColor="text1"/>
          <w:sz w:val="20"/>
          <w:szCs w:val="20"/>
          <w:shd w:val="clear" w:color="auto" w:fill="FFFFFF"/>
          <w:lang w:val="es-ES" w:eastAsia="es-MX"/>
        </w:rPr>
      </w:pPr>
      <w:r w:rsidRPr="00800675">
        <w:rPr>
          <w:rFonts w:ascii="Verdana" w:eastAsia="Times New Roman" w:hAnsi="Verdana" w:cs="Arial"/>
          <w:color w:val="000000" w:themeColor="text1"/>
          <w:sz w:val="20"/>
          <w:szCs w:val="20"/>
          <w:shd w:val="clear" w:color="auto" w:fill="FFFFFF"/>
          <w:lang w:val="es-ES" w:eastAsia="es-MX"/>
        </w:rPr>
        <w:t>La Ley 1474 de 2011 enmarcó el seguimiento, control y vigilancia de la ejecución del contrato estatal dentro del principio de moralidad administrativa. El artículo 83 ibidem señala: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Además, el legislador, en el mismo artículo, definió las nociones de supervisión en interventoría, como mecanismos que pueden usar las Entidades Estatales para vigilar el contrato […].</w:t>
      </w:r>
    </w:p>
    <w:p w14:paraId="18858506" w14:textId="77777777" w:rsidR="00296648" w:rsidRPr="00800675" w:rsidRDefault="00296648" w:rsidP="00296648">
      <w:pPr>
        <w:spacing w:after="0" w:line="276" w:lineRule="auto"/>
        <w:jc w:val="both"/>
        <w:rPr>
          <w:rFonts w:ascii="Verdana" w:eastAsia="Times New Roman" w:hAnsi="Verdana" w:cs="Arial"/>
          <w:color w:val="000000" w:themeColor="text1"/>
          <w:szCs w:val="24"/>
          <w:shd w:val="clear" w:color="auto" w:fill="FFFFFF"/>
          <w:lang w:val="es-ES" w:eastAsia="es-MX"/>
        </w:rPr>
      </w:pPr>
    </w:p>
    <w:p w14:paraId="18858507" w14:textId="77777777" w:rsidR="00296648" w:rsidRPr="00800675" w:rsidRDefault="00296648" w:rsidP="00296648">
      <w:pPr>
        <w:spacing w:after="0" w:line="240" w:lineRule="auto"/>
        <w:jc w:val="both"/>
        <w:rPr>
          <w:rFonts w:ascii="Verdana" w:eastAsia="Times New Roman" w:hAnsi="Verdana" w:cs="Arial"/>
          <w:b/>
          <w:bCs/>
          <w:color w:val="000000" w:themeColor="text1"/>
          <w:szCs w:val="24"/>
          <w:shd w:val="clear" w:color="auto" w:fill="FFFFFF"/>
          <w:lang w:val="es-ES" w:eastAsia="es-MX"/>
        </w:rPr>
      </w:pPr>
      <w:r w:rsidRPr="00800675">
        <w:rPr>
          <w:rFonts w:ascii="Verdana" w:eastAsia="Times New Roman" w:hAnsi="Verdana" w:cs="Arial"/>
          <w:b/>
          <w:bCs/>
          <w:color w:val="000000" w:themeColor="text1"/>
          <w:szCs w:val="24"/>
          <w:shd w:val="clear" w:color="auto" w:fill="FFFFFF"/>
          <w:lang w:val="es-ES" w:eastAsia="es-MX"/>
        </w:rPr>
        <w:t>CONTRATO DE INTERVENTORÍA – Características</w:t>
      </w:r>
    </w:p>
    <w:p w14:paraId="18858508" w14:textId="77777777" w:rsidR="00296648" w:rsidRPr="00800675" w:rsidRDefault="00296648" w:rsidP="00296648">
      <w:pPr>
        <w:spacing w:after="0" w:line="276" w:lineRule="auto"/>
        <w:jc w:val="both"/>
        <w:rPr>
          <w:rFonts w:ascii="Verdana" w:eastAsia="Times New Roman" w:hAnsi="Verdana" w:cs="Arial"/>
          <w:b/>
          <w:bCs/>
          <w:color w:val="000000" w:themeColor="text1"/>
          <w:szCs w:val="24"/>
          <w:shd w:val="clear" w:color="auto" w:fill="FFFFFF"/>
          <w:lang w:val="es-ES" w:eastAsia="es-MX"/>
        </w:rPr>
      </w:pPr>
    </w:p>
    <w:p w14:paraId="18858509" w14:textId="77777777" w:rsidR="00296648" w:rsidRPr="00800675" w:rsidRDefault="00296648" w:rsidP="00296648">
      <w:pPr>
        <w:spacing w:after="0" w:line="240" w:lineRule="auto"/>
        <w:jc w:val="both"/>
        <w:rPr>
          <w:rFonts w:ascii="Verdana" w:eastAsia="Times New Roman" w:hAnsi="Verdana" w:cs="Arial"/>
          <w:color w:val="000000" w:themeColor="text1"/>
          <w:sz w:val="20"/>
          <w:shd w:val="clear" w:color="auto" w:fill="FFFFFF"/>
          <w:lang w:val="es-ES" w:eastAsia="es-MX"/>
        </w:rPr>
      </w:pPr>
      <w:r w:rsidRPr="00800675">
        <w:rPr>
          <w:rFonts w:ascii="Verdana" w:eastAsia="Times New Roman" w:hAnsi="Verdana" w:cs="Arial"/>
          <w:color w:val="000000" w:themeColor="text1"/>
          <w:sz w:val="20"/>
          <w:shd w:val="clear" w:color="auto" w:fill="FFFFFF"/>
          <w:lang w:val="es-ES" w:eastAsia="es-MX"/>
        </w:rPr>
        <w:t xml:space="preserve">[…]la interventoría puede caracterizarse de la siguiente manera: i) es un mecanismo de vigilancia contingente en la medida que sólo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 –art, 83, Ley 1474 de 2011–. ii) Es un mecanismo de vigilancia que exige, en su ejecución, la utilización de conocimientos especializados. iii) Por lo anterior, la entidad contrata un experto, por regla general, mediante la modalidad de selección de concurso de méritos, al tratarse la interventoría de una especia del contrato de consultoría – art. 32, numeral 2, inciso 2, Ley 80 de 1993 ‒, de manera que la interventoría es realizada por “una persona natural o jurídica contratada para tal fin por la Entidad Estatal” –art. 83, Ley 1474–. </w:t>
      </w:r>
      <w:proofErr w:type="spellStart"/>
      <w:r w:rsidRPr="00800675">
        <w:rPr>
          <w:rFonts w:ascii="Verdana" w:eastAsia="Times New Roman" w:hAnsi="Verdana" w:cs="Arial"/>
          <w:color w:val="000000" w:themeColor="text1"/>
          <w:sz w:val="20"/>
          <w:shd w:val="clear" w:color="auto" w:fill="FFFFFF"/>
          <w:lang w:val="es-ES" w:eastAsia="es-MX"/>
        </w:rPr>
        <w:t>iv</w:t>
      </w:r>
      <w:proofErr w:type="spellEnd"/>
      <w:r w:rsidRPr="00800675">
        <w:rPr>
          <w:rFonts w:ascii="Verdana" w:eastAsia="Times New Roman" w:hAnsi="Verdana" w:cs="Arial"/>
          <w:color w:val="000000" w:themeColor="text1"/>
          <w:sz w:val="20"/>
          <w:shd w:val="clear" w:color="auto" w:fill="FFFFFF"/>
          <w:lang w:val="es-ES" w:eastAsia="es-MX"/>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Finalmente, vi) el contrato de interventoría será supervisado directamente por la entidad –art. 23, inciso 4–.</w:t>
      </w:r>
    </w:p>
    <w:p w14:paraId="1885850A" w14:textId="77777777" w:rsidR="00296648" w:rsidRPr="00800675" w:rsidRDefault="00296648" w:rsidP="00296648">
      <w:pPr>
        <w:spacing w:after="0" w:line="276" w:lineRule="auto"/>
        <w:jc w:val="both"/>
        <w:rPr>
          <w:rFonts w:ascii="Verdana" w:eastAsia="Times New Roman" w:hAnsi="Verdana" w:cs="Arial"/>
          <w:color w:val="000000" w:themeColor="text1"/>
          <w:szCs w:val="24"/>
          <w:shd w:val="clear" w:color="auto" w:fill="FFFFFF"/>
          <w:lang w:val="es-ES" w:eastAsia="es-MX"/>
        </w:rPr>
      </w:pPr>
    </w:p>
    <w:p w14:paraId="1885850B" w14:textId="77777777" w:rsidR="00296648" w:rsidRPr="00800675" w:rsidRDefault="00296648" w:rsidP="00296648">
      <w:pPr>
        <w:spacing w:after="0" w:line="240" w:lineRule="auto"/>
        <w:jc w:val="both"/>
        <w:rPr>
          <w:rFonts w:ascii="Verdana" w:eastAsia="Times New Roman" w:hAnsi="Verdana" w:cs="Arial"/>
          <w:b/>
          <w:bCs/>
          <w:color w:val="000000" w:themeColor="text1"/>
          <w:szCs w:val="24"/>
          <w:shd w:val="clear" w:color="auto" w:fill="FFFFFF"/>
          <w:lang w:val="es-ES" w:eastAsia="es-MX"/>
        </w:rPr>
      </w:pPr>
      <w:r w:rsidRPr="00800675">
        <w:rPr>
          <w:rFonts w:ascii="Verdana" w:eastAsia="Times New Roman" w:hAnsi="Verdana" w:cs="Arial"/>
          <w:b/>
          <w:bCs/>
          <w:color w:val="000000" w:themeColor="text1"/>
          <w:szCs w:val="24"/>
          <w:shd w:val="clear" w:color="auto" w:fill="FFFFFF"/>
          <w:lang w:val="es-ES" w:eastAsia="es-MX"/>
        </w:rPr>
        <w:t xml:space="preserve">CONFLICTOS DE INTERÉS – Régimen – Objetivo </w:t>
      </w:r>
    </w:p>
    <w:p w14:paraId="1885850C" w14:textId="77777777" w:rsidR="00296648" w:rsidRPr="00800675" w:rsidRDefault="00296648" w:rsidP="00296648">
      <w:pPr>
        <w:spacing w:after="0" w:line="276" w:lineRule="auto"/>
        <w:jc w:val="both"/>
        <w:rPr>
          <w:rFonts w:ascii="Verdana" w:eastAsia="Times New Roman" w:hAnsi="Verdana" w:cs="Arial"/>
          <w:b/>
          <w:bCs/>
          <w:color w:val="000000" w:themeColor="text1"/>
          <w:szCs w:val="24"/>
          <w:shd w:val="clear" w:color="auto" w:fill="FFFFFF"/>
          <w:lang w:val="es-ES" w:eastAsia="es-MX"/>
        </w:rPr>
      </w:pPr>
    </w:p>
    <w:p w14:paraId="1885850D" w14:textId="77777777" w:rsidR="00296648" w:rsidRPr="00800675" w:rsidRDefault="00296648" w:rsidP="00296648">
      <w:pPr>
        <w:spacing w:after="0" w:line="240" w:lineRule="auto"/>
        <w:jc w:val="both"/>
        <w:rPr>
          <w:rFonts w:ascii="Verdana" w:eastAsia="Calibri" w:hAnsi="Verdana" w:cs="Arial"/>
          <w:color w:val="000000" w:themeColor="text1"/>
          <w:sz w:val="20"/>
          <w:szCs w:val="20"/>
          <w:lang w:val="es-ES_tradnl"/>
        </w:rPr>
      </w:pPr>
      <w:r w:rsidRPr="00800675">
        <w:rPr>
          <w:rFonts w:ascii="Verdana" w:eastAsia="Calibri" w:hAnsi="Verdana" w:cs="Arial"/>
          <w:color w:val="000000" w:themeColor="text1"/>
          <w:sz w:val="20"/>
          <w:szCs w:val="20"/>
          <w:lang w:val="es-ES_tradnl"/>
        </w:rPr>
        <w:t>[…] el régimen de los conflictos de interés tiene como objetivo la prevalencia del bien común sobre el particular, razón por la cual se configuran cuando los servidores públicos actúan influenciados por consideraciones personales que colisionan con el deber de preservar su independencia e imparcialidad. En este sentido, se definen como la ocurrencia de intereses antagónicos que afectan la transparencia de las decisiones, al implicar –en detrimento del interés general– el aprovechamiento personal, familiar o particular.</w:t>
      </w:r>
    </w:p>
    <w:p w14:paraId="1885850E" w14:textId="77777777" w:rsidR="00296648" w:rsidRPr="00800675" w:rsidRDefault="00296648" w:rsidP="00296648">
      <w:pPr>
        <w:spacing w:after="0"/>
        <w:rPr>
          <w:rFonts w:ascii="Verdana" w:hAnsi="Verdana"/>
        </w:rPr>
      </w:pPr>
      <w:r w:rsidRPr="00800675">
        <w:rPr>
          <w:rFonts w:ascii="Verdana" w:hAnsi="Verdana"/>
        </w:rPr>
        <w:lastRenderedPageBreak/>
        <w:t>Bogotá D.C., [Día] [</w:t>
      </w:r>
      <w:proofErr w:type="spellStart"/>
      <w:r w:rsidRPr="00800675">
        <w:rPr>
          <w:rFonts w:ascii="Verdana" w:hAnsi="Verdana"/>
        </w:rPr>
        <w:t>Mes.NombreCapitalizado</w:t>
      </w:r>
      <w:proofErr w:type="spellEnd"/>
      <w:r w:rsidRPr="00800675">
        <w:rPr>
          <w:rFonts w:ascii="Verdana" w:hAnsi="Verdana"/>
        </w:rPr>
        <w:t>] [Año]</w:t>
      </w:r>
    </w:p>
    <w:p w14:paraId="1885850F" w14:textId="77777777" w:rsidR="00296648" w:rsidRPr="00800675" w:rsidRDefault="00273778" w:rsidP="00296648">
      <w:pPr>
        <w:spacing w:after="0" w:line="276" w:lineRule="auto"/>
        <w:rPr>
          <w:rFonts w:ascii="Verdana" w:hAnsi="Verdana"/>
        </w:rPr>
      </w:pPr>
      <w:r w:rsidRPr="00273778">
        <w:rPr>
          <w:rFonts w:ascii="Verdana" w:hAnsi="Verdana"/>
          <w:noProof/>
        </w:rPr>
        <w:drawing>
          <wp:anchor distT="0" distB="0" distL="114300" distR="114300" simplePos="0" relativeHeight="251658240" behindDoc="1" locked="0" layoutInCell="1" allowOverlap="1" wp14:anchorId="18858588" wp14:editId="18858589">
            <wp:simplePos x="0" y="0"/>
            <wp:positionH relativeFrom="column">
              <wp:posOffset>3277870</wp:posOffset>
            </wp:positionH>
            <wp:positionV relativeFrom="paragraph">
              <wp:posOffset>49703</wp:posOffset>
            </wp:positionV>
            <wp:extent cx="3136265" cy="872215"/>
            <wp:effectExtent l="0" t="0" r="635" b="4445"/>
            <wp:wrapNone/>
            <wp:docPr id="16323168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16882" name=""/>
                    <pic:cNvPicPr/>
                  </pic:nvPicPr>
                  <pic:blipFill>
                    <a:blip r:embed="rId10">
                      <a:extLst>
                        <a:ext uri="{28A0092B-C50C-407E-A947-70E740481C1C}">
                          <a14:useLocalDpi xmlns:a14="http://schemas.microsoft.com/office/drawing/2010/main" val="0"/>
                        </a:ext>
                      </a:extLst>
                    </a:blip>
                    <a:stretch>
                      <a:fillRect/>
                    </a:stretch>
                  </pic:blipFill>
                  <pic:spPr>
                    <a:xfrm>
                      <a:off x="0" y="0"/>
                      <a:ext cx="3172205" cy="882210"/>
                    </a:xfrm>
                    <a:prstGeom prst="rect">
                      <a:avLst/>
                    </a:prstGeom>
                  </pic:spPr>
                </pic:pic>
              </a:graphicData>
            </a:graphic>
            <wp14:sizeRelH relativeFrom="page">
              <wp14:pctWidth>0</wp14:pctWidth>
            </wp14:sizeRelH>
            <wp14:sizeRelV relativeFrom="page">
              <wp14:pctHeight>0</wp14:pctHeight>
            </wp14:sizeRelV>
          </wp:anchor>
        </w:drawing>
      </w:r>
    </w:p>
    <w:p w14:paraId="18858510" w14:textId="77777777" w:rsidR="00296648" w:rsidRPr="00800675" w:rsidRDefault="00296648" w:rsidP="00296648">
      <w:pPr>
        <w:spacing w:after="0" w:line="276" w:lineRule="auto"/>
        <w:rPr>
          <w:rFonts w:ascii="Verdana" w:eastAsia="Calibri" w:hAnsi="Verdana" w:cs="Arial"/>
          <w:lang w:val="es-ES"/>
        </w:rPr>
      </w:pPr>
    </w:p>
    <w:p w14:paraId="18858511" w14:textId="77777777" w:rsidR="00296648" w:rsidRPr="00800675" w:rsidRDefault="00296648" w:rsidP="00296648">
      <w:pPr>
        <w:spacing w:after="0" w:line="240" w:lineRule="auto"/>
        <w:jc w:val="both"/>
        <w:rPr>
          <w:rFonts w:ascii="Verdana" w:eastAsia="Calibri" w:hAnsi="Verdana" w:cs="Arial"/>
          <w:lang w:val="es-ES" w:eastAsia="es-ES"/>
        </w:rPr>
      </w:pPr>
      <w:r w:rsidRPr="00800675">
        <w:rPr>
          <w:rFonts w:ascii="Verdana" w:eastAsia="Calibri" w:hAnsi="Verdana" w:cs="Arial"/>
          <w:lang w:val="es-ES" w:eastAsia="es-ES"/>
        </w:rPr>
        <w:t>Señora</w:t>
      </w:r>
    </w:p>
    <w:p w14:paraId="18858512" w14:textId="77777777" w:rsidR="00296648" w:rsidRPr="00800675" w:rsidRDefault="00296648" w:rsidP="00296648">
      <w:pPr>
        <w:spacing w:after="0" w:line="240" w:lineRule="auto"/>
        <w:jc w:val="both"/>
        <w:rPr>
          <w:rFonts w:ascii="Verdana" w:hAnsi="Verdana"/>
          <w:b/>
          <w:bCs/>
        </w:rPr>
      </w:pPr>
      <w:r w:rsidRPr="00800675">
        <w:rPr>
          <w:rFonts w:ascii="Verdana" w:hAnsi="Verdana"/>
          <w:b/>
          <w:bCs/>
        </w:rPr>
        <w:t xml:space="preserve">Magda Lorena Guzmán Garzón </w:t>
      </w:r>
    </w:p>
    <w:p w14:paraId="18858513" w14:textId="77777777" w:rsidR="00296648" w:rsidRPr="00800675" w:rsidRDefault="00AB60F4" w:rsidP="00296648">
      <w:pPr>
        <w:spacing w:after="0" w:line="240" w:lineRule="auto"/>
        <w:jc w:val="both"/>
        <w:rPr>
          <w:rFonts w:ascii="Verdana" w:hAnsi="Verdana"/>
        </w:rPr>
      </w:pPr>
      <w:hyperlink r:id="rId11" w:history="1">
        <w:r w:rsidR="00296648" w:rsidRPr="00800675">
          <w:rPr>
            <w:rStyle w:val="Hipervnculo"/>
            <w:rFonts w:ascii="Verdana" w:hAnsi="Verdana"/>
          </w:rPr>
          <w:t>HASSBLADY@HOTMAIL.COM</w:t>
        </w:r>
      </w:hyperlink>
    </w:p>
    <w:p w14:paraId="18858514" w14:textId="77777777" w:rsidR="00296648" w:rsidRPr="00800675" w:rsidRDefault="00296648" w:rsidP="00296648">
      <w:pPr>
        <w:spacing w:after="0" w:line="240" w:lineRule="auto"/>
        <w:jc w:val="both"/>
        <w:rPr>
          <w:rFonts w:ascii="Verdana" w:eastAsia="Calibri" w:hAnsi="Verdana" w:cs="Arial"/>
          <w:szCs w:val="24"/>
          <w:lang w:val="es-ES_tradnl" w:eastAsia="es-ES_tradnl"/>
        </w:rPr>
      </w:pPr>
      <w:r w:rsidRPr="00800675">
        <w:rPr>
          <w:rFonts w:ascii="Verdana" w:eastAsia="Calibri" w:hAnsi="Verdana" w:cs="Arial"/>
          <w:szCs w:val="24"/>
          <w:lang w:val="es-ES_tradnl" w:eastAsia="es-ES_tradnl"/>
        </w:rPr>
        <w:t>Bogotá D.C.</w:t>
      </w:r>
    </w:p>
    <w:p w14:paraId="18858515" w14:textId="77777777" w:rsidR="00296648" w:rsidRPr="00800675" w:rsidRDefault="00296648" w:rsidP="00296648">
      <w:pPr>
        <w:spacing w:after="0" w:line="240" w:lineRule="auto"/>
        <w:rPr>
          <w:rFonts w:ascii="Verdana" w:eastAsia="Calibri" w:hAnsi="Verdana" w:cs="Arial"/>
          <w:szCs w:val="24"/>
          <w:lang w:val="es-ES_tradnl" w:eastAsia="es-ES_tradnl"/>
        </w:rPr>
      </w:pPr>
    </w:p>
    <w:p w14:paraId="18858516" w14:textId="77777777" w:rsidR="00296648" w:rsidRPr="00800675" w:rsidRDefault="00296648" w:rsidP="00296648">
      <w:pPr>
        <w:spacing w:after="0" w:line="240" w:lineRule="auto"/>
        <w:ind w:left="2694"/>
        <w:rPr>
          <w:rFonts w:ascii="Verdana" w:eastAsia="Calibri" w:hAnsi="Verdana" w:cs="Arial"/>
          <w:b/>
          <w:bCs/>
          <w:lang w:val="es-ES" w:eastAsia="es-ES"/>
        </w:rPr>
      </w:pPr>
      <w:r w:rsidRPr="00800675">
        <w:rPr>
          <w:rFonts w:ascii="Verdana" w:eastAsia="Calibri" w:hAnsi="Verdana" w:cs="Arial"/>
          <w:b/>
          <w:bCs/>
          <w:lang w:val="es-ES" w:eastAsia="es-ES"/>
        </w:rPr>
        <w:t>Concepto C-4</w:t>
      </w:r>
      <w:r>
        <w:rPr>
          <w:rFonts w:ascii="Verdana" w:eastAsia="Calibri" w:hAnsi="Verdana" w:cs="Arial"/>
          <w:b/>
          <w:bCs/>
          <w:lang w:val="es-ES" w:eastAsia="es-ES"/>
        </w:rPr>
        <w:t>86</w:t>
      </w:r>
      <w:r w:rsidRPr="00800675">
        <w:rPr>
          <w:rFonts w:ascii="Verdana" w:eastAsia="Calibri" w:hAnsi="Verdana" w:cs="Arial"/>
          <w:b/>
          <w:bCs/>
          <w:lang w:val="es-ES" w:eastAsia="es-ES"/>
        </w:rPr>
        <w:t xml:space="preserve"> de 2024</w:t>
      </w:r>
    </w:p>
    <w:p w14:paraId="18858517" w14:textId="77777777" w:rsidR="00296648" w:rsidRPr="00800675" w:rsidRDefault="00296648" w:rsidP="00296648">
      <w:pPr>
        <w:spacing w:after="0" w:line="240" w:lineRule="auto"/>
        <w:ind w:left="2694"/>
        <w:rPr>
          <w:rFonts w:ascii="Verdana" w:eastAsia="Calibri" w:hAnsi="Verdana" w:cs="Arial"/>
          <w:szCs w:val="24"/>
          <w:lang w:val="es-ES_tradnl" w:eastAsia="es-ES_tradnl"/>
        </w:rPr>
      </w:pPr>
    </w:p>
    <w:p w14:paraId="18858518" w14:textId="77777777" w:rsidR="00296648" w:rsidRPr="00800675" w:rsidRDefault="00296648" w:rsidP="00296648">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296648" w:rsidRPr="00800675" w14:paraId="1885851C" w14:textId="77777777" w:rsidTr="007B2926">
        <w:trPr>
          <w:trHeight w:val="884"/>
        </w:trPr>
        <w:tc>
          <w:tcPr>
            <w:tcW w:w="2689" w:type="dxa"/>
          </w:tcPr>
          <w:p w14:paraId="18858519" w14:textId="77777777" w:rsidR="00296648" w:rsidRPr="00800675" w:rsidRDefault="00296648" w:rsidP="007B2926">
            <w:pPr>
              <w:jc w:val="both"/>
              <w:rPr>
                <w:rFonts w:ascii="Verdana" w:eastAsia="Calibri" w:hAnsi="Verdana" w:cs="Arial"/>
                <w:szCs w:val="24"/>
                <w:lang w:val="es-ES_tradnl" w:eastAsia="es-ES_tradnl"/>
              </w:rPr>
            </w:pPr>
            <w:r w:rsidRPr="00800675">
              <w:rPr>
                <w:rFonts w:ascii="Verdana" w:eastAsia="Calibri" w:hAnsi="Verdana" w:cs="Arial"/>
                <w:szCs w:val="24"/>
                <w:lang w:val="es-ES_tradnl" w:eastAsia="es-ES_tradnl"/>
              </w:rPr>
              <w:t xml:space="preserve">Temas:                   </w:t>
            </w:r>
          </w:p>
        </w:tc>
        <w:tc>
          <w:tcPr>
            <w:tcW w:w="6237" w:type="dxa"/>
          </w:tcPr>
          <w:p w14:paraId="1885851A" w14:textId="77777777" w:rsidR="00296648" w:rsidRPr="00800675" w:rsidRDefault="00296648" w:rsidP="007B2926">
            <w:pPr>
              <w:jc w:val="both"/>
              <w:rPr>
                <w:rFonts w:ascii="Verdana" w:eastAsia="Calibri" w:hAnsi="Verdana" w:cs="Arial"/>
                <w:lang w:val="es-ES" w:eastAsia="es-ES"/>
              </w:rPr>
            </w:pPr>
            <w:r w:rsidRPr="00800675">
              <w:rPr>
                <w:rFonts w:ascii="Verdana" w:eastAsia="Times New Roman" w:hAnsi="Verdana" w:cs="Arial"/>
                <w:lang w:val="es-ES_tradnl" w:eastAsia="es-ES_tradnl"/>
              </w:rPr>
              <w:t xml:space="preserve">CONTRATO DE INTERVENTORÍA – Finalidad – Ley 1474 de 2011 – Artículo 83 / CONTRATO INTERVENTORÍA – Características / CONFLICTOS DE INTERÉS – Régimen – Objetivo </w:t>
            </w:r>
          </w:p>
        </w:tc>
        <w:tc>
          <w:tcPr>
            <w:tcW w:w="6237" w:type="dxa"/>
          </w:tcPr>
          <w:p w14:paraId="1885851B" w14:textId="77777777" w:rsidR="00296648" w:rsidRPr="00800675" w:rsidRDefault="00296648" w:rsidP="007B2926">
            <w:pPr>
              <w:jc w:val="both"/>
              <w:rPr>
                <w:rFonts w:ascii="Verdana" w:hAnsi="Verdana" w:cs="Arial"/>
                <w:lang w:val="es-ES"/>
              </w:rPr>
            </w:pPr>
          </w:p>
        </w:tc>
      </w:tr>
      <w:tr w:rsidR="00296648" w:rsidRPr="00800675" w14:paraId="18858520" w14:textId="77777777" w:rsidTr="007B2926">
        <w:tc>
          <w:tcPr>
            <w:tcW w:w="2689" w:type="dxa"/>
          </w:tcPr>
          <w:p w14:paraId="1885851D" w14:textId="77777777" w:rsidR="00296648" w:rsidRPr="00800675" w:rsidRDefault="00296648" w:rsidP="007B2926">
            <w:pPr>
              <w:spacing w:before="120"/>
              <w:jc w:val="both"/>
              <w:rPr>
                <w:rFonts w:ascii="Verdana" w:eastAsia="Calibri" w:hAnsi="Verdana" w:cs="Arial"/>
                <w:szCs w:val="24"/>
                <w:lang w:val="es-ES_tradnl" w:eastAsia="es-ES_tradnl"/>
              </w:rPr>
            </w:pPr>
            <w:r w:rsidRPr="00800675">
              <w:rPr>
                <w:rFonts w:ascii="Verdana" w:eastAsia="Calibri" w:hAnsi="Verdana" w:cs="Arial"/>
                <w:szCs w:val="24"/>
                <w:lang w:val="es-ES_tradnl" w:eastAsia="es-ES_tradnl"/>
              </w:rPr>
              <w:t xml:space="preserve">Radicación:               </w:t>
            </w:r>
          </w:p>
        </w:tc>
        <w:tc>
          <w:tcPr>
            <w:tcW w:w="6237" w:type="dxa"/>
          </w:tcPr>
          <w:p w14:paraId="1885851E" w14:textId="77777777" w:rsidR="00296648" w:rsidRPr="00800675" w:rsidRDefault="00296648" w:rsidP="007B2926">
            <w:pPr>
              <w:spacing w:before="120"/>
              <w:jc w:val="both"/>
              <w:rPr>
                <w:rFonts w:ascii="Verdana" w:eastAsia="Calibri" w:hAnsi="Verdana" w:cs="Arial"/>
                <w:szCs w:val="24"/>
                <w:lang w:val="es-ES_tradnl" w:eastAsia="es-ES_tradnl"/>
              </w:rPr>
            </w:pPr>
            <w:r w:rsidRPr="00800675">
              <w:rPr>
                <w:rFonts w:ascii="Verdana" w:eastAsia="Calibri" w:hAnsi="Verdana" w:cs="Arial"/>
                <w:szCs w:val="24"/>
                <w:lang w:val="es-ES_tradnl" w:eastAsia="es-ES_tradnl"/>
              </w:rPr>
              <w:t>Respuesta a consulta con radicado No. P20240814008307</w:t>
            </w:r>
          </w:p>
        </w:tc>
        <w:tc>
          <w:tcPr>
            <w:tcW w:w="6237" w:type="dxa"/>
          </w:tcPr>
          <w:p w14:paraId="1885851F" w14:textId="77777777" w:rsidR="00296648" w:rsidRPr="00800675" w:rsidRDefault="00296648" w:rsidP="007B2926">
            <w:pPr>
              <w:spacing w:before="120"/>
              <w:jc w:val="both"/>
              <w:rPr>
                <w:rFonts w:ascii="Verdana" w:eastAsia="Calibri" w:hAnsi="Verdana" w:cs="Arial"/>
                <w:szCs w:val="24"/>
                <w:lang w:val="es-ES_tradnl" w:eastAsia="es-ES_tradnl"/>
              </w:rPr>
            </w:pPr>
          </w:p>
        </w:tc>
      </w:tr>
    </w:tbl>
    <w:p w14:paraId="18858521" w14:textId="77777777" w:rsidR="00296648" w:rsidRPr="00800675" w:rsidRDefault="00296648" w:rsidP="00296648">
      <w:pPr>
        <w:spacing w:after="0" w:line="240" w:lineRule="auto"/>
        <w:jc w:val="both"/>
        <w:rPr>
          <w:rFonts w:ascii="Verdana" w:eastAsia="Calibri" w:hAnsi="Verdana" w:cs="Arial"/>
          <w:szCs w:val="24"/>
          <w:lang w:val="es-ES_tradnl" w:eastAsia="es-ES_tradnl"/>
        </w:rPr>
      </w:pPr>
    </w:p>
    <w:p w14:paraId="18858522" w14:textId="77777777" w:rsidR="00296648" w:rsidRPr="00800675" w:rsidRDefault="00296648" w:rsidP="00296648">
      <w:pPr>
        <w:spacing w:after="0" w:line="240" w:lineRule="auto"/>
        <w:jc w:val="both"/>
        <w:rPr>
          <w:rFonts w:ascii="Verdana" w:eastAsia="Calibri" w:hAnsi="Verdana" w:cs="Arial"/>
          <w:szCs w:val="24"/>
          <w:lang w:val="es-ES_tradnl" w:eastAsia="es-ES_tradnl"/>
        </w:rPr>
      </w:pPr>
    </w:p>
    <w:p w14:paraId="18858523" w14:textId="77777777" w:rsidR="00296648" w:rsidRPr="00800675" w:rsidRDefault="00296648" w:rsidP="00296648">
      <w:pPr>
        <w:spacing w:after="0" w:line="240" w:lineRule="auto"/>
        <w:jc w:val="both"/>
        <w:rPr>
          <w:rFonts w:ascii="Verdana" w:eastAsia="Calibri" w:hAnsi="Verdana" w:cs="Arial"/>
          <w:lang w:val="es-ES" w:eastAsia="es-ES"/>
        </w:rPr>
      </w:pPr>
      <w:r w:rsidRPr="00800675">
        <w:rPr>
          <w:rFonts w:ascii="Verdana" w:eastAsia="Calibri" w:hAnsi="Verdana" w:cs="Arial"/>
          <w:lang w:val="es-ES" w:eastAsia="es-ES"/>
        </w:rPr>
        <w:t xml:space="preserve">Estimada señora Magda: </w:t>
      </w:r>
    </w:p>
    <w:p w14:paraId="18858524" w14:textId="77777777" w:rsidR="00296648" w:rsidRPr="00800675" w:rsidRDefault="00296648" w:rsidP="00296648">
      <w:pPr>
        <w:spacing w:after="0" w:line="240" w:lineRule="auto"/>
        <w:jc w:val="both"/>
        <w:rPr>
          <w:rFonts w:ascii="Verdana" w:eastAsia="Calibri" w:hAnsi="Verdana" w:cs="Arial"/>
          <w:lang w:val="es-ES" w:eastAsia="es-ES"/>
        </w:rPr>
      </w:pPr>
    </w:p>
    <w:p w14:paraId="18858525" w14:textId="77777777" w:rsidR="00296648" w:rsidRPr="00800675" w:rsidRDefault="00296648" w:rsidP="00296648">
      <w:pPr>
        <w:spacing w:after="0" w:line="240" w:lineRule="auto"/>
        <w:jc w:val="both"/>
        <w:rPr>
          <w:rFonts w:ascii="Verdana" w:eastAsia="Calibri" w:hAnsi="Verdana" w:cs="Arial"/>
          <w:szCs w:val="24"/>
          <w:lang w:val="es-ES_tradnl" w:eastAsia="es-ES_tradnl"/>
        </w:rPr>
      </w:pPr>
    </w:p>
    <w:p w14:paraId="18858526" w14:textId="77777777" w:rsidR="00296648" w:rsidRPr="00800675" w:rsidRDefault="00296648" w:rsidP="00296648">
      <w:pPr>
        <w:spacing w:after="120" w:line="276" w:lineRule="auto"/>
        <w:jc w:val="both"/>
        <w:rPr>
          <w:rFonts w:ascii="Verdana" w:eastAsia="Calibri" w:hAnsi="Verdana" w:cs="Arial"/>
          <w:lang w:val="es-ES" w:eastAsia="es-ES"/>
        </w:rPr>
      </w:pPr>
      <w:r w:rsidRPr="00800675">
        <w:rPr>
          <w:rFonts w:ascii="Verdana" w:eastAsia="Calibri" w:hAnsi="Verdana" w:cs="Arial"/>
          <w:lang w:val="es-ES" w:eastAsia="es-ES"/>
        </w:rPr>
        <w:t>En ejercicio de la competencia otorgada por los artículos 3, numeral 5º, y 11, numeral 8º, del Decreto Ley 4170 de 2011,</w:t>
      </w:r>
      <w:r w:rsidRPr="00800675">
        <w:rPr>
          <w:rFonts w:ascii="Verdana" w:eastAsia="Arial MT" w:hAnsi="Verdana" w:cs="Arial MT"/>
          <w:lang w:val="es-ES" w:eastAsia="es-ES"/>
        </w:rPr>
        <w:t xml:space="preserve"> </w:t>
      </w:r>
      <w:r w:rsidRPr="00800675">
        <w:rPr>
          <w:rFonts w:ascii="Verdana" w:eastAsia="Calibri" w:hAnsi="Verdana" w:cs="Arial"/>
          <w:lang w:val="es-ES" w:eastAsia="es-ES"/>
        </w:rPr>
        <w:t>la Agencia Nacional de Contratación Pública – Colombia Compra Eficiente– responde la solicitud del 14 de agosto de 2024, en la cual manifiesta lo siguiente:</w:t>
      </w:r>
    </w:p>
    <w:p w14:paraId="18858527" w14:textId="77777777" w:rsidR="00296648" w:rsidRPr="00800675" w:rsidRDefault="00296648" w:rsidP="00296648">
      <w:pPr>
        <w:spacing w:after="120" w:line="276" w:lineRule="auto"/>
        <w:jc w:val="both"/>
        <w:rPr>
          <w:rFonts w:ascii="Verdana" w:eastAsia="Calibri" w:hAnsi="Verdana" w:cs="Arial"/>
          <w:sz w:val="21"/>
          <w:szCs w:val="21"/>
          <w:lang w:val="es-ES" w:eastAsia="es-ES"/>
        </w:rPr>
      </w:pPr>
    </w:p>
    <w:p w14:paraId="18858528" w14:textId="77777777" w:rsidR="00296648" w:rsidRPr="00800675" w:rsidRDefault="00296648" w:rsidP="00296648">
      <w:pPr>
        <w:spacing w:after="0" w:line="240" w:lineRule="auto"/>
        <w:ind w:left="709" w:right="709"/>
        <w:jc w:val="both"/>
        <w:rPr>
          <w:rFonts w:ascii="Verdana" w:eastAsia="Calibri" w:hAnsi="Verdana" w:cs="Arial"/>
          <w:sz w:val="21"/>
          <w:szCs w:val="21"/>
          <w:lang w:val="es-ES" w:eastAsia="es-ES"/>
        </w:rPr>
      </w:pPr>
      <w:r w:rsidRPr="00800675">
        <w:rPr>
          <w:rFonts w:ascii="Verdana" w:eastAsia="Calibri" w:hAnsi="Verdana" w:cs="Arial"/>
          <w:sz w:val="21"/>
          <w:szCs w:val="21"/>
          <w:lang w:val="es-ES" w:eastAsia="es-ES"/>
        </w:rPr>
        <w:t>“¿una entidad de economía mixta que celebre un contrato o un convenio interadministrativo con un municipio para la ejecución de una obra pública, puede ejercer o contratar la supervisión o interventoría de la misma</w:t>
      </w:r>
      <w:r w:rsidRPr="00800675">
        <w:rPr>
          <w:rFonts w:ascii="Verdana" w:hAnsi="Verdana"/>
        </w:rPr>
        <w:t>?, ¿Cuál y como es el procedimiento?</w:t>
      </w:r>
      <w:r w:rsidRPr="00800675">
        <w:rPr>
          <w:rFonts w:ascii="Verdana" w:eastAsia="Calibri" w:hAnsi="Verdana" w:cs="Arial"/>
          <w:sz w:val="21"/>
          <w:szCs w:val="21"/>
          <w:lang w:val="es-ES" w:eastAsia="es-ES"/>
        </w:rPr>
        <w:t>”</w:t>
      </w:r>
    </w:p>
    <w:p w14:paraId="18858529" w14:textId="77777777" w:rsidR="00296648" w:rsidRPr="00800675" w:rsidRDefault="00296648" w:rsidP="00296648">
      <w:pPr>
        <w:spacing w:after="0" w:line="240" w:lineRule="auto"/>
        <w:ind w:left="709" w:right="709"/>
        <w:jc w:val="both"/>
        <w:rPr>
          <w:rFonts w:ascii="Verdana" w:eastAsia="Calibri" w:hAnsi="Verdana" w:cs="Arial"/>
          <w:sz w:val="20"/>
          <w:szCs w:val="20"/>
          <w:lang w:val="es-ES" w:eastAsia="es-ES"/>
        </w:rPr>
      </w:pPr>
    </w:p>
    <w:p w14:paraId="1885852A" w14:textId="77777777" w:rsidR="00296648" w:rsidRPr="00800675" w:rsidRDefault="00296648" w:rsidP="00296648">
      <w:pPr>
        <w:spacing w:after="0" w:line="240" w:lineRule="auto"/>
        <w:ind w:left="709" w:right="709"/>
        <w:jc w:val="both"/>
        <w:rPr>
          <w:rFonts w:ascii="Verdana" w:eastAsia="Calibri" w:hAnsi="Verdana" w:cs="Arial"/>
          <w:lang w:val="es-ES" w:eastAsia="es-ES_tradnl"/>
        </w:rPr>
      </w:pPr>
    </w:p>
    <w:p w14:paraId="1885852B" w14:textId="77777777" w:rsidR="00296648" w:rsidRPr="00800675" w:rsidRDefault="00296648" w:rsidP="00296648">
      <w:pPr>
        <w:spacing w:after="120" w:line="276" w:lineRule="auto"/>
        <w:jc w:val="both"/>
        <w:rPr>
          <w:rFonts w:ascii="Verdana" w:eastAsia="Calibri" w:hAnsi="Verdana" w:cs="Arial"/>
          <w:lang w:val="es-ES" w:eastAsia="es-ES"/>
        </w:rPr>
      </w:pPr>
      <w:r w:rsidRPr="00800675">
        <w:rPr>
          <w:rFonts w:ascii="Verdana" w:eastAsia="Calibri" w:hAnsi="Verdana" w:cs="Arial"/>
          <w:lang w:val="es-ES_tradnl" w:eastAsia="es-ES_tradnl"/>
        </w:rPr>
        <w:tab/>
      </w:r>
      <w:r w:rsidRPr="00800675">
        <w:rPr>
          <w:rFonts w:ascii="Verdana" w:eastAsia="Calibri" w:hAnsi="Verdana" w:cs="Arial"/>
          <w:lang w:val="es-ES" w:eastAsia="es-ES"/>
        </w:rPr>
        <w:t xml:space="preserve">De manera preliminar, resulta necesario acotar que esta entidad solo tiene competencia para responder consultas sobre la aplicación de normas de carácter </w:t>
      </w:r>
      <w:r w:rsidRPr="00800675">
        <w:rPr>
          <w:rFonts w:ascii="Verdana" w:eastAsia="Calibri" w:hAnsi="Verdana" w:cs="Arial"/>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800675">
        <w:rPr>
          <w:rFonts w:ascii="Verdana" w:eastAsia="Calibri" w:hAnsi="Verdana" w:cs="Arial"/>
          <w:lang w:val="es-ES" w:eastAsia="es-ES"/>
        </w:rPr>
        <w:tab/>
      </w:r>
    </w:p>
    <w:p w14:paraId="1885852C" w14:textId="77777777" w:rsidR="00296648" w:rsidRPr="00800675" w:rsidRDefault="00296648" w:rsidP="00296648">
      <w:pPr>
        <w:spacing w:after="0" w:line="276" w:lineRule="auto"/>
        <w:ind w:firstLine="708"/>
        <w:jc w:val="both"/>
        <w:rPr>
          <w:rFonts w:ascii="Verdana" w:eastAsia="Calibri" w:hAnsi="Verdana" w:cs="Arial"/>
          <w:lang w:val="es-ES" w:eastAsia="es-ES"/>
        </w:rPr>
      </w:pPr>
      <w:r w:rsidRPr="00800675">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1885852D" w14:textId="77777777" w:rsidR="00296648" w:rsidRPr="00800675" w:rsidRDefault="00296648" w:rsidP="00296648">
      <w:pPr>
        <w:spacing w:after="0" w:line="276" w:lineRule="auto"/>
        <w:ind w:firstLine="708"/>
        <w:jc w:val="both"/>
        <w:rPr>
          <w:rFonts w:ascii="Verdana" w:eastAsia="Calibri" w:hAnsi="Verdana" w:cs="Arial"/>
          <w:lang w:val="es-ES" w:eastAsia="es-ES"/>
        </w:rPr>
      </w:pPr>
    </w:p>
    <w:p w14:paraId="1885852E" w14:textId="77777777" w:rsidR="00296648" w:rsidRPr="00800675" w:rsidRDefault="00296648" w:rsidP="00296648">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800675">
        <w:rPr>
          <w:rFonts w:ascii="Verdana" w:eastAsia="Century Gothic" w:hAnsi="Verdana" w:cs="Century Gothic"/>
          <w:b/>
          <w:bCs/>
        </w:rPr>
        <w:t>Problema planteado:</w:t>
      </w:r>
    </w:p>
    <w:p w14:paraId="1885852F" w14:textId="77777777" w:rsidR="00296648" w:rsidRPr="00800675" w:rsidRDefault="00296648" w:rsidP="00296648">
      <w:pPr>
        <w:spacing w:after="120" w:line="276" w:lineRule="auto"/>
        <w:jc w:val="both"/>
        <w:rPr>
          <w:rFonts w:ascii="Verdana" w:eastAsia="Century Gothic" w:hAnsi="Verdana" w:cs="Century Gothic"/>
        </w:rPr>
      </w:pPr>
    </w:p>
    <w:p w14:paraId="18858530" w14:textId="77777777" w:rsidR="00296648" w:rsidRPr="00800675" w:rsidRDefault="00296648" w:rsidP="00296648">
      <w:pPr>
        <w:spacing w:after="120" w:line="276" w:lineRule="auto"/>
        <w:jc w:val="both"/>
        <w:rPr>
          <w:rFonts w:ascii="Verdana" w:hAnsi="Verdana" w:cs="Arial"/>
          <w:bCs/>
          <w:lang w:val="es-ES_tradnl"/>
        </w:rPr>
      </w:pPr>
      <w:r w:rsidRPr="00800675">
        <w:rPr>
          <w:rFonts w:ascii="Verdana" w:eastAsia="Century Gothic" w:hAnsi="Verdana" w:cs="Century Gothic"/>
        </w:rPr>
        <w:t>De acuerdo con el contenido de su solicitud, esta Agencia resolverá el siguientes problema jurídico:</w:t>
      </w:r>
      <w:r w:rsidRPr="00800675">
        <w:rPr>
          <w:rFonts w:ascii="Verdana" w:hAnsi="Verdana"/>
        </w:rPr>
        <w:t xml:space="preserve"> ¿puede un ejecutor de obra (contratista) realizar a la vez intervento</w:t>
      </w:r>
      <w:r>
        <w:rPr>
          <w:rFonts w:ascii="Verdana" w:hAnsi="Verdana"/>
        </w:rPr>
        <w:t>ría</w:t>
      </w:r>
      <w:r w:rsidRPr="00800675">
        <w:rPr>
          <w:rFonts w:ascii="Verdana" w:hAnsi="Verdana"/>
        </w:rPr>
        <w:t xml:space="preserve"> de la misma?</w:t>
      </w:r>
    </w:p>
    <w:p w14:paraId="18858531" w14:textId="77777777" w:rsidR="00296648" w:rsidRPr="00800675" w:rsidRDefault="00296648" w:rsidP="00296648">
      <w:pPr>
        <w:spacing w:after="120" w:line="276" w:lineRule="auto"/>
        <w:jc w:val="both"/>
        <w:rPr>
          <w:rFonts w:ascii="Verdana" w:hAnsi="Verdana" w:cs="Arial"/>
          <w:bCs/>
          <w:lang w:val="es-ES_tradnl"/>
        </w:rPr>
      </w:pPr>
    </w:p>
    <w:p w14:paraId="18858532" w14:textId="77777777" w:rsidR="00296648" w:rsidRPr="00800675" w:rsidRDefault="00296648" w:rsidP="00296648">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00675">
        <w:rPr>
          <w:rFonts w:ascii="Verdana" w:eastAsia="Century Gothic" w:hAnsi="Verdana" w:cs="Century Gothic"/>
          <w:b/>
          <w:bCs/>
        </w:rPr>
        <w:t>Respuesta:</w:t>
      </w:r>
    </w:p>
    <w:p w14:paraId="18858533" w14:textId="77777777" w:rsidR="00296648" w:rsidRPr="00800675" w:rsidRDefault="00296648" w:rsidP="00296648">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8858534" w14:textId="77777777" w:rsidR="00296648" w:rsidRPr="00800675" w:rsidRDefault="00296648" w:rsidP="00296648">
      <w:pPr>
        <w:spacing w:before="120" w:after="0" w:line="276" w:lineRule="auto"/>
        <w:jc w:val="both"/>
        <w:rPr>
          <w:rFonts w:ascii="Verdana" w:eastAsia="Calibri" w:hAnsi="Verdana" w:cs="Arial"/>
          <w:lang w:val="es-MX"/>
        </w:rPr>
      </w:pPr>
      <w:r w:rsidRPr="00800675">
        <w:rPr>
          <w:rFonts w:ascii="Verdana" w:eastAsia="Calibri" w:hAnsi="Verdana" w:cs="Arial"/>
          <w:lang w:val="es-MX"/>
        </w:rPr>
        <w:t xml:space="preserve">El interventor es un contratista externo a la Entidad Estatal y al contratista vigilado, de manera que es seleccionado por la entidad mediante los procedimientos del artículo 2 de la Ley 1150 de 2007, en principio, a través de concurso de méritos. Lo anterior, sin perjuicio de que eventualmente aplique alguna causal especial que permita la celebración de este tipo de contratos mediante una modalidad diferente, como podría suceder frente a la posibilidad de realizar, por ejemplo, una contratación de mínima cuantía o una contratación directa, en caso de presentarse alguna de las </w:t>
      </w:r>
      <w:r w:rsidRPr="00800675">
        <w:rPr>
          <w:rFonts w:ascii="Verdana" w:eastAsia="Calibri" w:hAnsi="Verdana" w:cs="Arial"/>
          <w:lang w:val="es-MX"/>
        </w:rPr>
        <w:lastRenderedPageBreak/>
        <w:t xml:space="preserve">causales establecidas en el artículo 2 de la Ley 1150 de 2007, que dé lugar a acudir a otra modalidad de selección. </w:t>
      </w:r>
    </w:p>
    <w:p w14:paraId="18858535" w14:textId="77777777" w:rsidR="00296648" w:rsidRPr="00800675" w:rsidRDefault="00296648" w:rsidP="00296648">
      <w:pPr>
        <w:spacing w:before="120" w:after="0" w:line="276" w:lineRule="auto"/>
        <w:jc w:val="both"/>
        <w:rPr>
          <w:rFonts w:ascii="Verdana" w:eastAsia="Calibri" w:hAnsi="Verdana" w:cs="Arial"/>
          <w:lang w:val="es-MX"/>
        </w:rPr>
      </w:pPr>
      <w:r w:rsidRPr="00800675">
        <w:rPr>
          <w:rFonts w:ascii="Verdana" w:eastAsia="Calibri" w:hAnsi="Verdana" w:cs="Arial"/>
          <w:lang w:val="es-MX"/>
        </w:rPr>
        <w:t xml:space="preserve">En ese orden, el interventor contratado tiene facultades previstas en el artículo 84 de la Ley 1474 de 2011 para hacer el seguimiento frente al cumplimiento obligacional del contrato vigilado y está sometido a los deberes y responsabilidades que implica el ejercicio de dicha actividad. De esta forma, aun cuando el contrato de interventoría se celebra con un tercero a quién se le confía la labor de vigilar la ejecución idónea de otro contrato, aquel actúa con facultades similares a las que tiene la Entidad Estatal cuando ejerce la supervisión por su propia cuenta, sin que ello implique reemplazar al ente como parte del contrato. Esto, en la medida de que ambos son mecanismos mediante los cuales las entidades cumplen el deber de vigilar la correcta ejecución de los contratos, por lo que comparten una finalidad común. </w:t>
      </w:r>
    </w:p>
    <w:p w14:paraId="18858536" w14:textId="77777777" w:rsidR="00296648" w:rsidRDefault="00296648" w:rsidP="00296648">
      <w:pPr>
        <w:spacing w:before="120" w:after="0" w:line="276" w:lineRule="auto"/>
        <w:jc w:val="both"/>
        <w:rPr>
          <w:rFonts w:ascii="Verdana" w:eastAsia="Calibri" w:hAnsi="Verdana" w:cs="Arial"/>
          <w:lang w:val="es-MX"/>
        </w:rPr>
      </w:pPr>
      <w:r w:rsidRPr="00800675">
        <w:rPr>
          <w:rFonts w:ascii="Verdana" w:eastAsia="Calibri" w:hAnsi="Verdana" w:cs="Arial"/>
          <w:lang w:val="es-MX"/>
        </w:rPr>
        <w:t>En ningún caso, es legalmente procedente pretender que el ejecutor de una obra (contratista), también sea el encargado de realizar las labores de interventor de la obra, en ese sentido, estaría contraviniendo principios fundamentales de la contratción pública como lo es el de objetividad, en las obligaciones propias y regladas para las labores del interventor, en ese mismo sentido se establece como causal de inhabilidad prevista en el artículo 5 de la Ley 1474 de 2011, la cual está referida a la imposibilidad de celebrar un contrato de interventoría cuando el contrato de obra pública ya se haya celebrado y se encuentre en el periodo de ejecución y hasta la liquidación. Sin embargo, habrá una inhabilidad sobreviviente cuando un interventor celebre un contrato de obra con la misma Entidad Estatal. En consecuencia, si el interventor de una Entidad Estatal desea celebrar un contrato de obra, deberá ceder su contrato de interventoría o renunciar a su ejecución, toda vez que se configura el supuesto de hecho de la inhabilidad sobreviniente en virtud de lo dispuesto en el artículo 5 de la Ley 1474 de 2011, pues ese interventor al celebrar el contrato de obra, configuraría la prohibición de actuar como interventor y contratista de obra al mismo tiempo en la misma Entidad Estatal, situación prohibida por el artículo mencionado.</w:t>
      </w:r>
    </w:p>
    <w:p w14:paraId="18858537" w14:textId="77777777" w:rsidR="00296648" w:rsidRPr="008E06F1" w:rsidRDefault="00296648" w:rsidP="00296648">
      <w:pPr>
        <w:spacing w:before="120" w:after="0" w:line="276" w:lineRule="auto"/>
        <w:jc w:val="both"/>
        <w:rPr>
          <w:rFonts w:ascii="Verdana" w:eastAsia="Calibri" w:hAnsi="Verdana" w:cs="Arial"/>
        </w:rPr>
      </w:pPr>
      <w:r w:rsidRPr="008E06F1">
        <w:rPr>
          <w:rFonts w:ascii="Verdana" w:eastAsia="Calibri" w:hAnsi="Verdana" w:cs="Arial"/>
          <w:lang w:val="es-MX"/>
        </w:rPr>
        <w:t>Ahora bien</w:t>
      </w:r>
      <w:r w:rsidRPr="008E06F1">
        <w:rPr>
          <w:rFonts w:ascii="Verdana" w:hAnsi="Verdana" w:cs="Arial"/>
        </w:rPr>
        <w:t xml:space="preserve"> el artículo 2, numeral 4, literal c, </w:t>
      </w:r>
      <w:r w:rsidRPr="008E06F1">
        <w:rPr>
          <w:rFonts w:ascii="Verdana" w:hAnsi="Verdana" w:cs="Arial"/>
          <w:i/>
        </w:rPr>
        <w:t>ibidem,</w:t>
      </w:r>
      <w:r w:rsidRPr="008E06F1">
        <w:rPr>
          <w:rFonts w:ascii="Verdana" w:hAnsi="Verdana" w:cs="Arial"/>
        </w:rPr>
        <w:t xml:space="preserve"> señala que, de manera excepcional, las entidades estatales pueden contratar directamente, entre otras causales los </w:t>
      </w:r>
      <w:r w:rsidRPr="008E06F1">
        <w:rPr>
          <w:rFonts w:ascii="Verdana" w:hAnsi="Verdana" w:cs="Arial"/>
          <w:i/>
        </w:rPr>
        <w:t xml:space="preserve">“Contratos interadministrativos, siempre que las obligaciones derivadas del mismo tengan relación directa con el objeto de la entidad ejecutora señalado en </w:t>
      </w:r>
      <w:r w:rsidRPr="008E06F1">
        <w:rPr>
          <w:rFonts w:ascii="Verdana" w:hAnsi="Verdana" w:cs="Arial"/>
          <w:i/>
        </w:rPr>
        <w:lastRenderedPageBreak/>
        <w:t>la ley o en sus reglamentos</w:t>
      </w:r>
      <w:r w:rsidRPr="008E06F1">
        <w:rPr>
          <w:rFonts w:ascii="Verdana" w:hAnsi="Verdana" w:cs="Arial"/>
        </w:rPr>
        <w:t>”. No obstante, esta disposición exceptuó celebrar de manera directa contratos o convenios interadministrativos cuando se trate de un contrato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competitivo, pues en dichos casos la entidad estatal que así lo requiera deberá adelantar una licitación pública, concurso de méritos o selección abreviada</w:t>
      </w:r>
      <w:r w:rsidRPr="008E06F1">
        <w:rPr>
          <w:rStyle w:val="Refdenotaalpie"/>
          <w:rFonts w:ascii="Verdana" w:hAnsi="Verdana" w:cs="Arial"/>
        </w:rPr>
        <w:footnoteReference w:id="1"/>
      </w:r>
      <w:r w:rsidRPr="008E06F1">
        <w:rPr>
          <w:rFonts w:ascii="Verdana" w:hAnsi="Verdana" w:cs="Arial"/>
        </w:rPr>
        <w:t>.</w:t>
      </w:r>
    </w:p>
    <w:p w14:paraId="18858538" w14:textId="77777777" w:rsidR="00296648" w:rsidRPr="00800675" w:rsidRDefault="00296648" w:rsidP="00296648">
      <w:pPr>
        <w:spacing w:before="120" w:after="0" w:line="276" w:lineRule="auto"/>
        <w:jc w:val="both"/>
        <w:rPr>
          <w:rFonts w:ascii="Verdana" w:eastAsia="Calibri" w:hAnsi="Verdana" w:cs="Arial"/>
          <w:lang w:val="es-MX"/>
        </w:rPr>
      </w:pPr>
    </w:p>
    <w:p w14:paraId="18858539" w14:textId="77777777" w:rsidR="00296648" w:rsidRPr="00800675" w:rsidRDefault="00296648" w:rsidP="00296648">
      <w:pPr>
        <w:spacing w:after="120" w:line="276" w:lineRule="auto"/>
        <w:jc w:val="both"/>
        <w:rPr>
          <w:rFonts w:ascii="Verdana" w:eastAsia="Century Gothic" w:hAnsi="Verdana" w:cs="Century Gothic"/>
          <w:b/>
          <w:bCs/>
          <w:lang w:val="es-ES"/>
        </w:rPr>
      </w:pPr>
      <w:r w:rsidRPr="00800675">
        <w:rPr>
          <w:rFonts w:ascii="Verdana" w:eastAsia="Century Gothic" w:hAnsi="Verdana" w:cs="Century Gothic"/>
          <w:b/>
          <w:bCs/>
          <w:lang w:val="es-ES"/>
        </w:rPr>
        <w:t>Razones de la respuesta:</w:t>
      </w:r>
    </w:p>
    <w:p w14:paraId="1885853A" w14:textId="77777777" w:rsidR="00296648" w:rsidRPr="00800675" w:rsidRDefault="00296648" w:rsidP="00296648">
      <w:pPr>
        <w:spacing w:after="0" w:line="276" w:lineRule="auto"/>
        <w:jc w:val="both"/>
        <w:rPr>
          <w:rFonts w:ascii="Verdana" w:eastAsia="Calibri" w:hAnsi="Verdana" w:cs="Arial"/>
          <w:color w:val="7030A0"/>
          <w:lang w:val="es-ES"/>
        </w:rPr>
      </w:pPr>
    </w:p>
    <w:p w14:paraId="1885853B" w14:textId="77777777" w:rsidR="00296648" w:rsidRPr="00800675" w:rsidRDefault="00296648" w:rsidP="00296648">
      <w:pPr>
        <w:spacing w:after="0" w:line="276" w:lineRule="auto"/>
        <w:jc w:val="both"/>
        <w:rPr>
          <w:rFonts w:ascii="Verdana" w:eastAsia="Calibri" w:hAnsi="Verdana" w:cs="Arial"/>
          <w:lang w:val="es-ES"/>
        </w:rPr>
      </w:pPr>
      <w:r w:rsidRPr="00800675">
        <w:rPr>
          <w:rFonts w:ascii="Verdana" w:eastAsia="Calibri" w:hAnsi="Verdana" w:cs="Arial"/>
          <w:lang w:val="es-ES"/>
        </w:rPr>
        <w:t xml:space="preserve">Lo anterior se sustenta en las siguientes consideraciones: </w:t>
      </w:r>
    </w:p>
    <w:p w14:paraId="1885853C" w14:textId="77777777" w:rsidR="00296648" w:rsidRPr="00800675" w:rsidRDefault="00296648" w:rsidP="00296648">
      <w:pPr>
        <w:spacing w:after="120" w:line="276" w:lineRule="auto"/>
        <w:jc w:val="both"/>
        <w:rPr>
          <w:rFonts w:ascii="Verdana" w:eastAsia="Calibri" w:hAnsi="Verdana" w:cs="Arial"/>
          <w:lang w:val="es-ES" w:eastAsia="es-ES"/>
        </w:rPr>
      </w:pPr>
    </w:p>
    <w:p w14:paraId="1885853D" w14:textId="77777777" w:rsidR="00296648" w:rsidRPr="00800675" w:rsidRDefault="00296648" w:rsidP="00296648">
      <w:pPr>
        <w:spacing w:after="0" w:line="276" w:lineRule="auto"/>
        <w:jc w:val="both"/>
        <w:rPr>
          <w:rFonts w:ascii="Verdana" w:eastAsia="Cambria" w:hAnsi="Verdana" w:cs="Arial"/>
          <w:bCs/>
          <w:sz w:val="24"/>
          <w:lang w:val="es-ES"/>
        </w:rPr>
      </w:pPr>
      <w:bookmarkStart w:id="0" w:name="_Hlk173275435"/>
      <w:r w:rsidRPr="00800675">
        <w:rPr>
          <w:rFonts w:ascii="Verdana" w:eastAsia="Cambria" w:hAnsi="Verdana" w:cs="Arial"/>
          <w:bCs/>
          <w:lang w:val="es-ES"/>
        </w:rPr>
        <w:t xml:space="preserve">La Ley 1474 de 2011 enmarcó el seguimiento, control y vigilancia de la ejecución del contrato estatal dentro del principio de moralidad administrativa. El artículo 83 </w:t>
      </w:r>
      <w:r w:rsidRPr="00800675">
        <w:rPr>
          <w:rFonts w:ascii="Verdana" w:eastAsia="Cambria" w:hAnsi="Verdana" w:cs="Arial"/>
          <w:bCs/>
          <w:i/>
          <w:iCs/>
          <w:lang w:val="es-ES"/>
        </w:rPr>
        <w:t xml:space="preserve">ibidem </w:t>
      </w:r>
      <w:r w:rsidRPr="00800675">
        <w:rPr>
          <w:rFonts w:ascii="Verdana" w:eastAsia="Cambria" w:hAnsi="Verdana" w:cs="Arial"/>
          <w:bCs/>
          <w:lang w:val="es-ES"/>
        </w:rPr>
        <w:t xml:space="preserve">señala: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Además, el legislador, en el mismo artículo, definió las nociones de </w:t>
      </w:r>
      <w:r w:rsidRPr="00800675">
        <w:rPr>
          <w:rFonts w:ascii="Verdana" w:eastAsia="Cambria" w:hAnsi="Verdana" w:cs="Arial"/>
          <w:bCs/>
          <w:i/>
          <w:iCs/>
          <w:lang w:val="es-ES"/>
        </w:rPr>
        <w:t xml:space="preserve">supervisión en interventoría, </w:t>
      </w:r>
      <w:r w:rsidRPr="00800675">
        <w:rPr>
          <w:rFonts w:ascii="Verdana" w:eastAsia="Cambria" w:hAnsi="Verdana" w:cs="Arial"/>
          <w:bCs/>
          <w:lang w:val="es-ES"/>
        </w:rPr>
        <w:t>como mecanismos que pueden usar las Entidades Estatales para vigilar el contrato, en estos términos:</w:t>
      </w:r>
      <w:r w:rsidRPr="00800675">
        <w:rPr>
          <w:rFonts w:ascii="Verdana" w:eastAsia="Cambria" w:hAnsi="Verdana" w:cs="Arial"/>
          <w:bCs/>
          <w:sz w:val="24"/>
          <w:lang w:val="es-ES"/>
        </w:rPr>
        <w:t xml:space="preserve"> </w:t>
      </w:r>
    </w:p>
    <w:p w14:paraId="1885853E" w14:textId="77777777" w:rsidR="00296648" w:rsidRPr="00800675" w:rsidRDefault="00296648" w:rsidP="00296648">
      <w:pPr>
        <w:spacing w:after="0" w:line="276" w:lineRule="auto"/>
        <w:jc w:val="both"/>
        <w:rPr>
          <w:rFonts w:ascii="Verdana" w:eastAsia="Cambria" w:hAnsi="Verdana" w:cs="Arial"/>
          <w:bCs/>
          <w:sz w:val="24"/>
          <w:lang w:val="es-ES"/>
        </w:rPr>
      </w:pPr>
    </w:p>
    <w:p w14:paraId="1885853F" w14:textId="77777777" w:rsidR="00296648" w:rsidRPr="00800675" w:rsidRDefault="00296648" w:rsidP="00296648">
      <w:pPr>
        <w:spacing w:after="0" w:line="240" w:lineRule="auto"/>
        <w:ind w:left="709" w:right="709"/>
        <w:jc w:val="both"/>
        <w:rPr>
          <w:rFonts w:ascii="Verdana" w:eastAsia="Cambria" w:hAnsi="Verdana" w:cs="Arial"/>
          <w:bCs/>
          <w:sz w:val="21"/>
          <w:szCs w:val="21"/>
          <w:lang w:val="es-ES"/>
        </w:rPr>
      </w:pPr>
      <w:r w:rsidRPr="00800675">
        <w:rPr>
          <w:rFonts w:ascii="Verdana" w:eastAsia="Cambria" w:hAnsi="Verdana" w:cs="Arial"/>
          <w:bCs/>
          <w:sz w:val="21"/>
          <w:szCs w:val="21"/>
          <w:lang w:val="es-ES"/>
        </w:rPr>
        <w:lastRenderedPageBreak/>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18858540" w14:textId="77777777" w:rsidR="00296648" w:rsidRPr="00800675" w:rsidRDefault="00296648" w:rsidP="00296648">
      <w:pPr>
        <w:spacing w:before="120" w:after="0" w:line="240" w:lineRule="auto"/>
        <w:ind w:left="709" w:right="709"/>
        <w:jc w:val="both"/>
        <w:rPr>
          <w:rFonts w:ascii="Verdana" w:eastAsia="Cambria" w:hAnsi="Verdana" w:cs="Arial"/>
          <w:bCs/>
          <w:sz w:val="21"/>
          <w:szCs w:val="21"/>
          <w:lang w:val="es-ES"/>
        </w:rPr>
      </w:pPr>
      <w:r w:rsidRPr="00800675">
        <w:rPr>
          <w:rFonts w:ascii="Verdana" w:eastAsia="Cambria" w:hAnsi="Verdana" w:cs="Arial"/>
          <w:bCs/>
          <w:sz w:val="21"/>
          <w:szCs w:val="21"/>
          <w:lang w:val="es-ES"/>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18858541" w14:textId="77777777" w:rsidR="00296648" w:rsidRPr="00800675" w:rsidRDefault="00296648" w:rsidP="00296648">
      <w:pPr>
        <w:spacing w:after="0" w:line="240" w:lineRule="auto"/>
        <w:ind w:left="709" w:right="709"/>
        <w:jc w:val="both"/>
        <w:rPr>
          <w:rFonts w:ascii="Verdana" w:eastAsia="Cambria" w:hAnsi="Verdana" w:cs="Arial"/>
          <w:bCs/>
          <w:sz w:val="21"/>
          <w:szCs w:val="21"/>
          <w:lang w:val="es-ES"/>
        </w:rPr>
      </w:pPr>
    </w:p>
    <w:p w14:paraId="18858542" w14:textId="77777777" w:rsidR="00296648" w:rsidRPr="00800675" w:rsidRDefault="00296648" w:rsidP="00296648">
      <w:pPr>
        <w:spacing w:after="0" w:line="276" w:lineRule="auto"/>
        <w:jc w:val="both"/>
        <w:rPr>
          <w:rFonts w:ascii="Verdana" w:eastAsia="Calibri" w:hAnsi="Verdana" w:cs="Arial"/>
          <w:lang w:val="es-MX"/>
        </w:rPr>
      </w:pPr>
      <w:r w:rsidRPr="00800675">
        <w:rPr>
          <w:rFonts w:ascii="Verdana" w:eastAsia="Cambria" w:hAnsi="Verdana" w:cs="Arial"/>
          <w:bCs/>
          <w:lang w:val="es-ES"/>
        </w:rPr>
        <w:tab/>
        <w:t>De este modo, la interventoría puede caracterizarse de la siguiente manera: i) es un mecanismo de vigilancia contingente en la medida que sólo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 –art, 83, Ley 1474 de 2011–. ii) Es un mecanismo de vigilancia que exige, en su ejecución, la utilización de conocimientos especializados. iii) Por lo anterior, la entidad contrata un experto, por regla general, mediante la modalidad de selección de concurso de méritos, al tratarse la interventoría de una especia del contrato de consultoría – art. 32, numeral 2, inciso 2, Ley 80 de 1993</w:t>
      </w:r>
      <w:r w:rsidRPr="00800675">
        <w:rPr>
          <w:rFonts w:ascii="Verdana" w:eastAsia="Calibri" w:hAnsi="Verdana" w:cs="Arial"/>
          <w:vertAlign w:val="superscript"/>
          <w:lang w:val="es-MX"/>
        </w:rPr>
        <w:footnoteReference w:id="2"/>
      </w:r>
      <w:r w:rsidRPr="00800675">
        <w:rPr>
          <w:rFonts w:ascii="Verdana" w:eastAsia="Calibri" w:hAnsi="Verdana" w:cs="Arial"/>
          <w:lang w:val="es-MX"/>
        </w:rPr>
        <w:t xml:space="preserve">‒, de manera que la interventoría es realizada por “una persona natural o jurídica contratada para tal fin por la Entidad Estatal” –art. 83, Ley 1474–. iv)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w:t>
      </w:r>
      <w:r w:rsidRPr="00800675">
        <w:rPr>
          <w:rFonts w:ascii="Verdana" w:eastAsia="Calibri" w:hAnsi="Verdana" w:cs="Arial"/>
          <w:lang w:val="es-MX"/>
        </w:rPr>
        <w:lastRenderedPageBreak/>
        <w:t>83, inciso 3–. Finalmente, vi) el contrato de interventoría será supervisado directamente por la entidad –art. 23, inciso 4–.</w:t>
      </w:r>
    </w:p>
    <w:p w14:paraId="18858543" w14:textId="77777777" w:rsidR="00296648" w:rsidRPr="00800675" w:rsidRDefault="00296648" w:rsidP="00296648">
      <w:pPr>
        <w:spacing w:before="120" w:after="0" w:line="276" w:lineRule="auto"/>
        <w:jc w:val="both"/>
        <w:rPr>
          <w:rFonts w:ascii="Verdana" w:eastAsia="Calibri" w:hAnsi="Verdana" w:cs="Arial"/>
          <w:lang w:val="es-MX"/>
        </w:rPr>
      </w:pPr>
      <w:r w:rsidRPr="00800675">
        <w:rPr>
          <w:rFonts w:ascii="Verdana" w:eastAsia="Calibri" w:hAnsi="Verdana" w:cs="Arial"/>
          <w:lang w:val="es-MX"/>
        </w:rPr>
        <w:tab/>
        <w:t xml:space="preserve">De lo anterior, se colige que el interventor es un contratista externo a la Entidad Estatal y al contratista vigilado, de manera que es seleccionado por la entidad mediante los procedimientos del artículo 2 de la Ley 1150 de 2007, en principio, a través de concurso de méritos. Lo anterior, sin perjuicio de que eventualmente aplique alguna causal especial que permita la celebración de este tipo de contratos mediante una modalidad diferente, como podría suceder frente a la posibilidad de realizar, por ejemplo, una contratación de mínima cuantía o una contratación directa, en caso de presentarse alguna de las causales establecidas en el artículo 2 de la Ley 1150 de 2007, que dé lugar a acudir a otra modalidad de selección. </w:t>
      </w:r>
    </w:p>
    <w:p w14:paraId="18858544" w14:textId="77777777" w:rsidR="00296648" w:rsidRPr="00800675" w:rsidRDefault="00296648" w:rsidP="00296648">
      <w:pPr>
        <w:spacing w:before="120" w:after="0" w:line="276" w:lineRule="auto"/>
        <w:jc w:val="both"/>
        <w:rPr>
          <w:rFonts w:ascii="Verdana" w:eastAsia="Calibri" w:hAnsi="Verdana" w:cs="Arial"/>
          <w:lang w:val="es-MX"/>
        </w:rPr>
      </w:pPr>
      <w:r w:rsidRPr="00800675">
        <w:rPr>
          <w:rFonts w:ascii="Verdana" w:eastAsia="Calibri" w:hAnsi="Verdana" w:cs="Arial"/>
          <w:lang w:val="es-MX"/>
        </w:rPr>
        <w:tab/>
        <w:t xml:space="preserve">En ese orden, el interventor contratado tiene facultades previstas en el artículo 84 de la Ley 1474 de 2011 para hacer el seguimiento frente al cumplimiento obligacional del contrato vigilado y está sometido a los deberes y responsabilidades que implica el ejercicio de dicha actividad. De esta forma, aun cuando el contrato de interventoría se celebra con un tercero a quién se le confía la labor de vigilar la ejecución idónea de otro contrato, aquel actúa con facultades similares a las que tiene la Entidad Estatal cuando ejerce la supervisión por su propia cuenta, sin que ello implique reemplazar al ente como parte del contrato. Esto, en la medida de que ambos son mecanismos mediante los cuales las entidades cumplen el deber de vigilar la correcta ejecución de los contratos, por lo que comparten una finalidad común. </w:t>
      </w:r>
    </w:p>
    <w:p w14:paraId="18858545" w14:textId="77777777" w:rsidR="00296648" w:rsidRPr="00800675" w:rsidRDefault="00296648" w:rsidP="00296648">
      <w:pPr>
        <w:spacing w:before="120" w:after="0" w:line="276" w:lineRule="auto"/>
        <w:ind w:firstLine="709"/>
        <w:jc w:val="both"/>
        <w:rPr>
          <w:rFonts w:ascii="Verdana" w:eastAsia="Calibri" w:hAnsi="Verdana" w:cs="Arial"/>
          <w:lang w:val="es-ES"/>
        </w:rPr>
      </w:pPr>
      <w:r w:rsidRPr="00800675">
        <w:rPr>
          <w:rFonts w:ascii="Verdana" w:eastAsia="Calibri" w:hAnsi="Verdana" w:cs="Arial"/>
          <w:lang w:val="es-MX"/>
        </w:rPr>
        <w:t xml:space="preserve">En conclusión, el papel que cumple el interventor, no es el de reemplazar a una de las partes dentro de la relación contractual, pero tiene el deber de hacer un control y seguimiento al contrato principal vigilado, en el marco de las actividades y obligaciones que se deriven directamente de la ley. </w:t>
      </w:r>
      <w:r w:rsidRPr="00800675">
        <w:rPr>
          <w:rFonts w:ascii="Verdana" w:eastAsia="Calibri" w:hAnsi="Verdana" w:cs="Arial"/>
          <w:lang w:val="es-ES"/>
        </w:rPr>
        <w:t xml:space="preserve">En esta línea, al interventor le corresponde vigilar que el contrato sobre el cual ejerce su labor, se desarrolle de acuerdo con lo pactado en las condiciones técnicas que más se adecuen a su desarrollo, teniendo en cuenta sus conocimientos especializados. De este modo, el interventor tiene la posibilidad de exigir al contratista la información que estime necesaria para determinar el cumplimiento de las obligaciones; realizar revisiones periódicas de las obras ejecutadas, la verificación de la calidad de los bienes y servicios suministrados, entre otras actuaciones, cuya finalidad es el cumplimiento del contrato principal. Sin embargo, el interventor no se compromete a cumplir las </w:t>
      </w:r>
      <w:r w:rsidRPr="00800675">
        <w:rPr>
          <w:rFonts w:ascii="Verdana" w:eastAsia="Calibri" w:hAnsi="Verdana" w:cs="Arial"/>
          <w:lang w:val="es-ES"/>
        </w:rPr>
        <w:lastRenderedPageBreak/>
        <w:t>obligaciones del contrato principal, sino a vigilar su adecuada ejecución, de manera que ante posibles incumplimientos del contrato vigilado debe analizarse si el interventor incumplió o no las obligaciones de su contrato de interventoría, incluyendo las obligaciones impuestas por ministerio de la ley</w:t>
      </w:r>
      <w:r w:rsidRPr="00800675">
        <w:rPr>
          <w:rFonts w:ascii="Verdana" w:eastAsia="Calibri" w:hAnsi="Verdana" w:cs="Arial"/>
          <w:vertAlign w:val="superscript"/>
          <w:lang w:val="es-ES"/>
        </w:rPr>
        <w:footnoteReference w:id="3"/>
      </w:r>
      <w:r w:rsidRPr="00800675">
        <w:rPr>
          <w:rFonts w:ascii="Verdana" w:eastAsia="Calibri" w:hAnsi="Verdana" w:cs="Arial"/>
          <w:lang w:val="es-ES"/>
        </w:rPr>
        <w:t>.</w:t>
      </w:r>
    </w:p>
    <w:p w14:paraId="18858546" w14:textId="77777777" w:rsidR="00296648" w:rsidRPr="00800675" w:rsidRDefault="00296648" w:rsidP="00296648">
      <w:pPr>
        <w:spacing w:before="120" w:after="0" w:line="276" w:lineRule="auto"/>
        <w:ind w:firstLine="709"/>
        <w:jc w:val="both"/>
        <w:rPr>
          <w:rFonts w:ascii="Verdana" w:eastAsia="Calibri" w:hAnsi="Verdana" w:cs="Arial"/>
          <w:lang w:val="es-ES"/>
        </w:rPr>
      </w:pPr>
      <w:r w:rsidRPr="00800675">
        <w:rPr>
          <w:rFonts w:ascii="Verdana" w:eastAsia="Cambria" w:hAnsi="Verdana" w:cs="Arial"/>
          <w:bCs/>
          <w:szCs w:val="20"/>
          <w:lang w:val="es-ES"/>
        </w:rPr>
        <w:t>Esta Agencia ha realizado algunos pronunciamientos sobre el régimen de los conflictos de interés en la contratación estatal, consideraciones que se retomarán y complementarán en lo pertinente</w:t>
      </w:r>
      <w:r w:rsidRPr="00800675">
        <w:rPr>
          <w:rFonts w:ascii="Verdana" w:eastAsia="Calibri" w:hAnsi="Verdana" w:cs="Arial"/>
          <w:color w:val="000000" w:themeColor="text1"/>
          <w:vertAlign w:val="superscript"/>
          <w:lang w:val="es-ES_tradnl"/>
        </w:rPr>
        <w:footnoteReference w:id="4"/>
      </w:r>
      <w:r w:rsidRPr="00800675">
        <w:rPr>
          <w:rFonts w:ascii="Verdana" w:eastAsia="Calibri" w:hAnsi="Verdana" w:cs="Arial"/>
          <w:color w:val="000000" w:themeColor="text1"/>
          <w:lang w:val="es-ES_tradnl"/>
        </w:rPr>
        <w:t xml:space="preserve">. De acuerdo con el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2011–. En desarrollo de esta directriz, el régimen de los </w:t>
      </w:r>
      <w:r w:rsidRPr="00800675">
        <w:rPr>
          <w:rFonts w:ascii="Verdana" w:eastAsia="Calibri" w:hAnsi="Verdana" w:cs="Arial"/>
          <w:i/>
          <w:iCs/>
          <w:color w:val="000000" w:themeColor="text1"/>
          <w:lang w:val="es-ES_tradnl"/>
        </w:rPr>
        <w:t xml:space="preserve">conflictos de interés </w:t>
      </w:r>
      <w:r w:rsidRPr="00800675">
        <w:rPr>
          <w:rFonts w:ascii="Verdana" w:eastAsia="Calibri" w:hAnsi="Verdana" w:cs="Arial"/>
          <w:color w:val="000000" w:themeColor="text1"/>
          <w:lang w:val="es-ES_tradnl"/>
        </w:rPr>
        <w:t>tiene como objetivo la prevalencia del bien común sobre el particular, razón por la cual se configuran cuando los servidores públicos actúan influenciados por consideraciones personales que colisionan con el deber de preservar su independencia e imparcialidad. En este sentido, se definen como la ocurrencia de intereses antagónicos que afectan la transparencia de las decisiones, al implicar –en detrimento del interés general– el aprovechamiento personal, familiar o particular</w:t>
      </w:r>
      <w:r w:rsidRPr="00800675">
        <w:rPr>
          <w:rFonts w:ascii="Verdana" w:eastAsia="Calibri" w:hAnsi="Verdana" w:cs="Arial"/>
          <w:color w:val="000000" w:themeColor="text1"/>
          <w:vertAlign w:val="superscript"/>
          <w:lang w:val="es-ES_tradnl"/>
        </w:rPr>
        <w:footnoteReference w:id="5"/>
      </w:r>
      <w:r w:rsidRPr="00800675">
        <w:rPr>
          <w:rFonts w:ascii="Verdana" w:eastAsia="Calibri" w:hAnsi="Verdana" w:cs="Arial"/>
          <w:color w:val="000000" w:themeColor="text1"/>
          <w:lang w:val="es-ES_tradnl"/>
        </w:rPr>
        <w:t>.</w:t>
      </w:r>
    </w:p>
    <w:p w14:paraId="18858547" w14:textId="77777777" w:rsidR="00296648" w:rsidRPr="00800675" w:rsidRDefault="00296648" w:rsidP="00296648">
      <w:pPr>
        <w:spacing w:before="120" w:after="0" w:line="276" w:lineRule="auto"/>
        <w:ind w:firstLine="708"/>
        <w:jc w:val="both"/>
        <w:rPr>
          <w:rFonts w:ascii="Verdana" w:eastAsia="Cambria" w:hAnsi="Verdana" w:cs="Arial"/>
          <w:bCs/>
          <w:szCs w:val="20"/>
          <w:lang w:val="es-ES"/>
        </w:rPr>
      </w:pPr>
      <w:r w:rsidRPr="00800675">
        <w:rPr>
          <w:rFonts w:ascii="Verdana" w:eastAsia="Cambria" w:hAnsi="Verdana" w:cs="Arial"/>
          <w:bCs/>
          <w:szCs w:val="20"/>
          <w:lang w:val="es-ES"/>
        </w:rPr>
        <w:t xml:space="preserve">La institución jurídica de los conflictos de interés no está definida con carácter general en el ordenamiento jurídico y tampoco de forma precisa en las normas que regulan la contratación estatal, por lo que es un asunto ausente en el EGCAP. Sin embargo, existen disposiciones especiales como el régimen de los congresistas, de los concejales o el régimen disciplinario de los servidores públicos, donde se define </w:t>
      </w:r>
      <w:r w:rsidRPr="00800675">
        <w:rPr>
          <w:rFonts w:ascii="Verdana" w:eastAsia="Cambria" w:hAnsi="Verdana" w:cs="Arial"/>
          <w:bCs/>
          <w:szCs w:val="20"/>
          <w:lang w:val="es-ES"/>
        </w:rPr>
        <w:lastRenderedPageBreak/>
        <w:t xml:space="preserve">causales de conflictos de interés. En todo caso, la satisfacción del principio de moralidad y el deber de probidad también se exige a los contratistas. </w:t>
      </w:r>
    </w:p>
    <w:p w14:paraId="18858548" w14:textId="77777777" w:rsidR="00296648" w:rsidRPr="00800675" w:rsidRDefault="00296648" w:rsidP="00296648">
      <w:pPr>
        <w:spacing w:before="120" w:after="0" w:line="276" w:lineRule="auto"/>
        <w:ind w:firstLine="708"/>
        <w:jc w:val="both"/>
        <w:rPr>
          <w:rFonts w:ascii="Verdana" w:eastAsia="Cambria" w:hAnsi="Verdana" w:cs="Arial"/>
          <w:bCs/>
          <w:szCs w:val="20"/>
          <w:lang w:val="es-ES"/>
        </w:rPr>
      </w:pPr>
      <w:r w:rsidRPr="00800675">
        <w:rPr>
          <w:rFonts w:ascii="Verdana" w:eastAsia="Cambria" w:hAnsi="Verdana" w:cs="Arial"/>
          <w:bCs/>
          <w:szCs w:val="20"/>
          <w:lang w:val="es-ES"/>
        </w:rPr>
        <w:t>Sobe el particular, el artículo 3 de la Ley 80 de 1993 dispone que la actividad contractual del Estado se dirige tanto al cumplimiento de los fines estatales como a la continua y eficiente prestación de los servicios públicos, precisando que “Los particulares, por su parte, tendrán en cuenta al celebrar y ejecutar contratos con las entidades estatales que colaboran con ellas en el logro de sus fines y cumplen una función social que, como tal, implica obligaciones”. De ahí que, el numeral 2 del artículo 5 del EGCAP dispone que estos obrarán con lealtad y buena fe en las distintas etapas contractuales.</w:t>
      </w:r>
    </w:p>
    <w:p w14:paraId="18858549" w14:textId="77777777" w:rsidR="00296648" w:rsidRPr="00800675" w:rsidRDefault="00296648" w:rsidP="00296648">
      <w:pPr>
        <w:spacing w:before="120" w:after="0" w:line="276" w:lineRule="auto"/>
        <w:jc w:val="both"/>
        <w:rPr>
          <w:rFonts w:ascii="Verdana" w:eastAsia="Cambria" w:hAnsi="Verdana" w:cs="Arial"/>
          <w:bCs/>
          <w:szCs w:val="20"/>
          <w:lang w:val="es-MX"/>
        </w:rPr>
      </w:pPr>
      <w:r w:rsidRPr="00800675">
        <w:rPr>
          <w:rFonts w:ascii="Verdana" w:eastAsia="Cambria" w:hAnsi="Verdana" w:cs="Arial"/>
          <w:bCs/>
          <w:szCs w:val="20"/>
          <w:lang w:val="es-ES"/>
        </w:rPr>
        <w:tab/>
        <w:t xml:space="preserve">En ese orden y teniendo en cuenta el objeto bajo consulta, es importante señalar que </w:t>
      </w:r>
      <w:r w:rsidRPr="00800675">
        <w:rPr>
          <w:rFonts w:ascii="Verdana" w:eastAsia="Calibri" w:hAnsi="Verdana" w:cs="Arial"/>
          <w:lang w:val="es-ES"/>
        </w:rPr>
        <w:t>e</w:t>
      </w:r>
      <w:r w:rsidRPr="00800675">
        <w:rPr>
          <w:rFonts w:ascii="Verdana" w:eastAsia="Calibri" w:hAnsi="Verdana" w:cs="Arial"/>
          <w:lang w:val="es-MX"/>
        </w:rPr>
        <w:t>n ningún caso, es legalmente procedente pretender que el ejecutor de una obra (contratista), también sea el encargado de realizar las labores de interventor de la obra, en ese sentido, estaría contraviniendo principios fundamentales de la contratción pública como lo es el de objetividad, en las obligaciones propias y regladas para las labores del interventor, en ese mismo sentido se establece como causal de inhabilidad prevista en el artículo 5 de la Ley 1474 de 2011, la cual está referida a la imposibilidad de celebrar un contrato de interventoría cuando el contrato de obra pública ya se haya celebrado y se encuentre en el periodo de ejecución y hasta la liquidación.</w:t>
      </w:r>
    </w:p>
    <w:p w14:paraId="1885854A" w14:textId="77777777" w:rsidR="00296648" w:rsidRPr="00800675" w:rsidRDefault="00296648" w:rsidP="00296648">
      <w:pPr>
        <w:spacing w:before="120" w:after="0" w:line="276" w:lineRule="auto"/>
        <w:ind w:firstLine="708"/>
        <w:jc w:val="both"/>
        <w:rPr>
          <w:rFonts w:ascii="Verdana" w:eastAsia="Cambria" w:hAnsi="Verdana" w:cs="Arial"/>
          <w:bCs/>
          <w:szCs w:val="20"/>
          <w:lang w:val="es-MX"/>
        </w:rPr>
      </w:pPr>
      <w:r w:rsidRPr="00800675">
        <w:rPr>
          <w:rFonts w:ascii="Verdana" w:eastAsia="Calibri" w:hAnsi="Verdana" w:cs="Arial"/>
          <w:i/>
          <w:iCs/>
          <w:lang w:val="es-ES_tradnl"/>
        </w:rPr>
        <w:t>Igualmente</w:t>
      </w:r>
      <w:r w:rsidRPr="00800675">
        <w:rPr>
          <w:rFonts w:ascii="Verdana" w:eastAsia="Calibri" w:hAnsi="Verdana" w:cs="Arial"/>
          <w:lang w:val="es-ES_tradnl"/>
        </w:rPr>
        <w:t xml:space="preserve">, </w:t>
      </w:r>
      <w:bookmarkStart w:id="1" w:name="_Hlk135133412"/>
      <w:r w:rsidRPr="00800675">
        <w:rPr>
          <w:rFonts w:ascii="Verdana" w:eastAsia="Calibri" w:hAnsi="Verdana" w:cs="Arial"/>
          <w:lang w:val="es-ES_tradnl"/>
        </w:rPr>
        <w:t xml:space="preserve">en la contratación estatal, la </w:t>
      </w:r>
      <w:r w:rsidRPr="00800675">
        <w:rPr>
          <w:rFonts w:ascii="Verdana" w:eastAsia="Calibri" w:hAnsi="Verdana" w:cs="Arial"/>
          <w:i/>
          <w:iCs/>
          <w:lang w:val="es-ES_tradnl"/>
        </w:rPr>
        <w:t>capacidad</w:t>
      </w:r>
      <w:r w:rsidRPr="00800675">
        <w:rPr>
          <w:rFonts w:ascii="Verdana" w:eastAsia="Calibri" w:hAnsi="Verdana" w:cs="Arial"/>
          <w:lang w:val="es-ES_tradnl"/>
        </w:rPr>
        <w:t xml:space="preserve"> también es un requisito de validez de los contratos, tanto en el régimen de las entidades sujetas al Estatuto General de Contratación de la Administración Pública</w:t>
      </w:r>
      <w:r w:rsidRPr="00800675">
        <w:rPr>
          <w:rFonts w:ascii="Verdana" w:eastAsia="Calibri" w:hAnsi="Verdana" w:cs="Arial"/>
          <w:vertAlign w:val="superscript"/>
          <w:lang w:val="es-ES_tradnl"/>
        </w:rPr>
        <w:footnoteReference w:id="6"/>
      </w:r>
      <w:r w:rsidRPr="00800675">
        <w:rPr>
          <w:rFonts w:ascii="Verdana" w:eastAsia="Calibri" w:hAnsi="Verdana" w:cs="Arial"/>
          <w:lang w:val="es-ES_tradnl"/>
        </w:rPr>
        <w:t xml:space="preserve"> como en el de las entidades exceptuadas de aquel</w:t>
      </w:r>
      <w:r w:rsidRPr="00800675">
        <w:rPr>
          <w:rFonts w:ascii="Verdana" w:eastAsia="Calibri" w:hAnsi="Verdana" w:cs="Arial"/>
          <w:vertAlign w:val="superscript"/>
          <w:lang w:val="es-ES_tradnl"/>
        </w:rPr>
        <w:footnoteReference w:id="7"/>
      </w:r>
      <w:r w:rsidRPr="00800675">
        <w:rPr>
          <w:rFonts w:ascii="Verdana" w:eastAsia="Calibri" w:hAnsi="Verdana" w:cs="Arial"/>
          <w:lang w:val="es-ES_tradnl"/>
        </w:rPr>
        <w:t xml:space="preserve">. Si bien la regulación de la capacidad se integra por varias </w:t>
      </w:r>
      <w:r w:rsidRPr="00800675">
        <w:rPr>
          <w:rFonts w:ascii="Verdana" w:eastAsia="Calibri" w:hAnsi="Verdana" w:cs="Arial"/>
          <w:lang w:val="es-ES_tradnl"/>
        </w:rPr>
        <w:lastRenderedPageBreak/>
        <w:t>disposiciones y exigencias especiales –como el requisito de inscribirse, por regla general, en el Registro Único de Proponentes (RUP), establecido en el artículo 6 de la Ley 1150 de 2007, modificado por el artículo 221 del Decreto 19 de 2012</w:t>
      </w:r>
      <w:r w:rsidRPr="00800675">
        <w:rPr>
          <w:rFonts w:ascii="Verdana" w:eastAsia="Calibri" w:hAnsi="Verdana" w:cs="Arial"/>
          <w:vertAlign w:val="superscript"/>
          <w:lang w:val="es-ES_tradnl"/>
        </w:rPr>
        <w:footnoteReference w:id="8"/>
      </w:r>
      <w:r w:rsidRPr="00800675">
        <w:rPr>
          <w:rFonts w:ascii="Verdana" w:eastAsia="Calibri" w:hAnsi="Verdana" w:cs="Arial"/>
          <w:lang w:val="es-ES_tradnl"/>
        </w:rPr>
        <w:t>–, se destaca el régimen de inhabilidades e incompatibilidades como un conjunto de normas que imponen restricciones para los sujetos que, eventualmente, pretendan participar en los procedimientos de selección o celebrar contratos con las entidades estatales</w:t>
      </w:r>
      <w:r w:rsidRPr="00800675">
        <w:rPr>
          <w:rFonts w:ascii="Verdana" w:eastAsia="Calibri" w:hAnsi="Verdana" w:cs="Arial"/>
          <w:vertAlign w:val="superscript"/>
          <w:lang w:val="es-ES_tradnl"/>
        </w:rPr>
        <w:footnoteReference w:id="9"/>
      </w:r>
      <w:r w:rsidRPr="00800675">
        <w:rPr>
          <w:rFonts w:ascii="Verdana" w:eastAsia="Calibri" w:hAnsi="Verdana" w:cs="Arial"/>
          <w:lang w:val="es-ES_tradnl"/>
        </w:rPr>
        <w:t>.</w:t>
      </w:r>
    </w:p>
    <w:p w14:paraId="1885854B" w14:textId="77777777" w:rsidR="00296648" w:rsidRPr="00800675" w:rsidRDefault="00296648" w:rsidP="00296648">
      <w:pPr>
        <w:spacing w:after="120" w:line="276" w:lineRule="auto"/>
        <w:ind w:firstLine="709"/>
        <w:jc w:val="both"/>
        <w:rPr>
          <w:rFonts w:ascii="Verdana" w:eastAsia="Calibri" w:hAnsi="Verdana" w:cs="Arial"/>
          <w:lang w:val="es-ES"/>
        </w:rPr>
      </w:pPr>
      <w:r w:rsidRPr="00800675">
        <w:rPr>
          <w:rFonts w:ascii="Verdana" w:eastAsia="Calibri" w:hAnsi="Verdana" w:cs="Arial"/>
          <w:lang w:val="es-ES"/>
        </w:rPr>
        <w:t>Las inhabilidades son prohibiciones para concurrir a los procedimientos de selección y para contratar con el Estado, que se derivan: i) de la existencia de comportamientos reprochables o de sanciones anteriormente impuestas</w:t>
      </w:r>
      <w:r w:rsidRPr="00800675">
        <w:rPr>
          <w:rFonts w:ascii="Verdana" w:eastAsia="Calibri" w:hAnsi="Verdana" w:cs="Arial"/>
          <w:vertAlign w:val="superscript"/>
          <w:lang w:val="es-ES"/>
        </w:rPr>
        <w:footnoteReference w:id="10"/>
      </w:r>
      <w:r w:rsidRPr="00800675">
        <w:rPr>
          <w:rFonts w:ascii="Verdana" w:eastAsia="Calibri" w:hAnsi="Verdana" w:cs="Arial"/>
          <w:lang w:val="es-ES"/>
        </w:rPr>
        <w:t xml:space="preserve">, ii) de </w:t>
      </w:r>
      <w:r w:rsidRPr="00800675">
        <w:rPr>
          <w:rFonts w:ascii="Verdana" w:eastAsia="Calibri" w:hAnsi="Verdana" w:cs="Arial"/>
          <w:lang w:val="es-ES"/>
        </w:rPr>
        <w:lastRenderedPageBreak/>
        <w:t>vínculos personales relativos al parentesco o al estado civil</w:t>
      </w:r>
      <w:r w:rsidRPr="00800675">
        <w:rPr>
          <w:rFonts w:ascii="Verdana" w:eastAsia="Calibri" w:hAnsi="Verdana" w:cs="Arial"/>
          <w:vertAlign w:val="superscript"/>
          <w:lang w:val="es-ES"/>
        </w:rPr>
        <w:footnoteReference w:id="11"/>
      </w:r>
      <w:r w:rsidRPr="00800675">
        <w:rPr>
          <w:rFonts w:ascii="Verdana" w:eastAsia="Calibri" w:hAnsi="Verdana" w:cs="Arial"/>
          <w:lang w:val="es-ES"/>
        </w:rPr>
        <w:t xml:space="preserve"> o iii) de una actividad u oficio que se desempeñó en el pasado</w:t>
      </w:r>
      <w:r w:rsidRPr="00800675">
        <w:rPr>
          <w:rFonts w:ascii="Verdana" w:eastAsia="Calibri" w:hAnsi="Verdana" w:cs="Arial"/>
          <w:vertAlign w:val="superscript"/>
          <w:lang w:val="es-ES"/>
        </w:rPr>
        <w:footnoteReference w:id="12"/>
      </w:r>
      <w:r w:rsidRPr="00800675">
        <w:rPr>
          <w:rFonts w:ascii="Verdana" w:eastAsia="Calibri" w:hAnsi="Verdana" w:cs="Arial"/>
          <w:lang w:val="es-ES"/>
        </w:rPr>
        <w:t>.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800675">
        <w:rPr>
          <w:rFonts w:ascii="Verdana" w:eastAsia="Calibri" w:hAnsi="Verdana" w:cs="Arial"/>
          <w:vertAlign w:val="superscript"/>
          <w:lang w:val="es-ES"/>
        </w:rPr>
        <w:footnoteReference w:id="13"/>
      </w:r>
      <w:r w:rsidRPr="00800675">
        <w:rPr>
          <w:rFonts w:ascii="Verdana" w:eastAsia="Calibri" w:hAnsi="Verdana" w:cs="Arial"/>
          <w:lang w:val="es-ES"/>
        </w:rPr>
        <w:t xml:space="preserve">. En todo caso, </w:t>
      </w:r>
      <w:r w:rsidRPr="00800675">
        <w:rPr>
          <w:rFonts w:ascii="Verdana" w:eastAsia="Calibri" w:hAnsi="Verdana" w:cs="Arial"/>
          <w:lang w:val="es-ES"/>
        </w:rPr>
        <w:lastRenderedPageBreak/>
        <w:t>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sidRPr="00800675">
        <w:rPr>
          <w:rFonts w:ascii="Verdana" w:eastAsia="Calibri" w:hAnsi="Verdana" w:cs="Arial"/>
          <w:vertAlign w:val="superscript"/>
          <w:lang w:val="es-ES"/>
        </w:rPr>
        <w:footnoteReference w:id="14"/>
      </w:r>
      <w:r w:rsidRPr="00800675">
        <w:rPr>
          <w:rFonts w:ascii="Verdana" w:eastAsia="Calibri" w:hAnsi="Verdana" w:cs="Arial"/>
          <w:lang w:val="es-ES"/>
        </w:rPr>
        <w:t>.</w:t>
      </w:r>
    </w:p>
    <w:bookmarkEnd w:id="1"/>
    <w:p w14:paraId="1885854C" w14:textId="77777777" w:rsidR="00296648" w:rsidRPr="00800675" w:rsidRDefault="00296648" w:rsidP="00296648">
      <w:pPr>
        <w:spacing w:before="120" w:after="120" w:line="276" w:lineRule="auto"/>
        <w:ind w:firstLine="709"/>
        <w:jc w:val="both"/>
        <w:rPr>
          <w:rFonts w:ascii="Verdana" w:eastAsia="Calibri" w:hAnsi="Verdana" w:cs="Arial"/>
          <w:lang w:val="es-ES"/>
        </w:rPr>
      </w:pPr>
      <w:r w:rsidRPr="00800675">
        <w:rPr>
          <w:rFonts w:ascii="Verdana" w:eastAsia="Calibri" w:hAnsi="Verdana" w:cs="Arial"/>
          <w:lang w:val="es-ES"/>
        </w:rPr>
        <w:t>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“neopunitiva”</w:t>
      </w:r>
      <w:r w:rsidRPr="00800675">
        <w:rPr>
          <w:rFonts w:ascii="Verdana" w:eastAsia="Calibri" w:hAnsi="Verdana" w:cs="Arial"/>
          <w:vertAlign w:val="superscript"/>
          <w:lang w:val="es-ES"/>
        </w:rPr>
        <w:footnoteReference w:id="15"/>
      </w:r>
      <w:r w:rsidRPr="00800675">
        <w:rPr>
          <w:rFonts w:ascii="Verdana" w:eastAsia="Calibri" w:hAnsi="Verdana" w:cs="Arial"/>
          <w:lang w:val="es-ES"/>
        </w:rPr>
        <w:t xml:space="preserve">.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w:t>
      </w:r>
      <w:r w:rsidRPr="00800675">
        <w:rPr>
          <w:rFonts w:ascii="Verdana" w:eastAsia="Calibri" w:hAnsi="Verdana" w:cs="Arial"/>
          <w:lang w:val="es-ES"/>
        </w:rPr>
        <w:lastRenderedPageBreak/>
        <w:t>restricciones a la capacidad contractual, dirigidas a prevenir este tipo de situaciones o a sancionar tales conductas.</w:t>
      </w:r>
    </w:p>
    <w:p w14:paraId="1885854D" w14:textId="77777777" w:rsidR="00296648" w:rsidRPr="00800675" w:rsidRDefault="00296648" w:rsidP="00296648">
      <w:pPr>
        <w:spacing w:before="120" w:after="120" w:line="276" w:lineRule="auto"/>
        <w:ind w:firstLine="709"/>
        <w:jc w:val="both"/>
        <w:rPr>
          <w:rFonts w:ascii="Verdana" w:eastAsia="Calibri" w:hAnsi="Verdana" w:cs="Arial"/>
          <w:lang w:val="es-ES_tradnl"/>
        </w:rPr>
      </w:pPr>
      <w:r w:rsidRPr="00800675">
        <w:rPr>
          <w:rFonts w:ascii="Verdana" w:eastAsia="Calibri" w:hAnsi="Verdana"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800675">
        <w:rPr>
          <w:rFonts w:ascii="Verdana" w:eastAsia="Calibri" w:hAnsi="Verdana" w:cs="Arial"/>
          <w:i/>
          <w:iCs/>
          <w:lang w:val="es-ES_tradnl"/>
        </w:rPr>
        <w:t>restrictiva</w:t>
      </w:r>
      <w:r w:rsidRPr="00800675">
        <w:rPr>
          <w:rFonts w:ascii="Verdana" w:eastAsia="Calibri" w:hAnsi="Verdana" w:cs="Arial"/>
          <w:i/>
          <w:iCs/>
          <w:vertAlign w:val="superscript"/>
          <w:lang w:val="es-ES_tradnl"/>
        </w:rPr>
        <w:footnoteReference w:id="16"/>
      </w:r>
      <w:r w:rsidRPr="00800675">
        <w:rPr>
          <w:rFonts w:ascii="Verdana" w:eastAsia="Calibri" w:hAnsi="Verdana" w:cs="Arial"/>
          <w:i/>
          <w:iCs/>
          <w:lang w:val="es-ES_tradnl"/>
        </w:rPr>
        <w:t xml:space="preserve">, </w:t>
      </w:r>
      <w:r w:rsidRPr="00800675">
        <w:rPr>
          <w:rFonts w:ascii="Verdana" w:eastAsia="Calibri" w:hAnsi="Verdana"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 </w:t>
      </w:r>
    </w:p>
    <w:p w14:paraId="1885854E" w14:textId="77777777" w:rsidR="00296648" w:rsidRPr="00800675" w:rsidRDefault="00296648" w:rsidP="00296648">
      <w:pPr>
        <w:spacing w:after="0" w:line="276" w:lineRule="auto"/>
        <w:ind w:firstLine="709"/>
        <w:jc w:val="both"/>
        <w:rPr>
          <w:rFonts w:ascii="Verdana" w:eastAsia="Calibri" w:hAnsi="Verdana" w:cs="Arial"/>
          <w:lang w:val="es-ES_tradnl"/>
        </w:rPr>
      </w:pPr>
      <w:r w:rsidRPr="00800675">
        <w:rPr>
          <w:rFonts w:ascii="Verdana" w:eastAsia="Calibri" w:hAnsi="Verdana" w:cs="Arial"/>
          <w:lang w:val="es-ES_tradnl"/>
        </w:rPr>
        <w:t>En efecto, el máximo tribunal constitucional ha indicado, al tratar de precisar el sentido de este tipo de normas, que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800675">
        <w:rPr>
          <w:rFonts w:ascii="Verdana" w:eastAsia="Calibri" w:hAnsi="Verdana" w:cs="Arial"/>
          <w:vertAlign w:val="superscript"/>
          <w:lang w:val="es-ES_tradnl"/>
        </w:rPr>
        <w:footnoteReference w:id="17"/>
      </w:r>
      <w:r w:rsidRPr="00800675">
        <w:rPr>
          <w:rFonts w:ascii="Verdana" w:eastAsia="Calibri" w:hAnsi="Verdana" w:cs="Arial"/>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800675">
        <w:rPr>
          <w:rFonts w:ascii="Verdana" w:eastAsia="Calibri" w:hAnsi="Verdana" w:cs="Arial"/>
          <w:vertAlign w:val="superscript"/>
          <w:lang w:val="es-ES_tradnl"/>
        </w:rPr>
        <w:footnoteReference w:id="18"/>
      </w:r>
      <w:r w:rsidRPr="00800675">
        <w:rPr>
          <w:rFonts w:ascii="Verdana" w:eastAsia="Calibri" w:hAnsi="Verdana" w:cs="Arial"/>
          <w:lang w:val="es-ES_tradnl"/>
        </w:rPr>
        <w:t>. En tal sentido, la Sección Tercera ha señalado que:</w:t>
      </w:r>
    </w:p>
    <w:p w14:paraId="1885854F" w14:textId="77777777" w:rsidR="00296648" w:rsidRPr="00800675" w:rsidRDefault="00296648" w:rsidP="00296648">
      <w:pPr>
        <w:spacing w:after="0"/>
        <w:ind w:firstLine="709"/>
        <w:jc w:val="both"/>
        <w:rPr>
          <w:rFonts w:ascii="Verdana" w:eastAsia="Calibri" w:hAnsi="Verdana" w:cs="Arial"/>
          <w:lang w:val="es-ES_tradnl"/>
        </w:rPr>
      </w:pPr>
    </w:p>
    <w:p w14:paraId="18858550" w14:textId="77777777" w:rsidR="00296648" w:rsidRPr="00800675" w:rsidRDefault="00296648" w:rsidP="00296648">
      <w:pPr>
        <w:spacing w:after="0" w:line="240" w:lineRule="auto"/>
        <w:ind w:left="709" w:right="709"/>
        <w:jc w:val="both"/>
        <w:rPr>
          <w:rFonts w:ascii="Verdana" w:eastAsia="Calibri" w:hAnsi="Verdana" w:cs="Arial"/>
          <w:lang w:val="es-ES_tradnl"/>
        </w:rPr>
      </w:pPr>
      <w:r w:rsidRPr="00800675">
        <w:rPr>
          <w:rFonts w:ascii="Verdana" w:hAnsi="Verdana" w:cs="Arial"/>
          <w:sz w:val="21"/>
          <w:szCs w:val="21"/>
          <w:lang w:val="es-ES_tradnl"/>
        </w:rPr>
        <w:lastRenderedPageBreak/>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800675">
        <w:rPr>
          <w:rFonts w:ascii="Verdana" w:hAnsi="Verdana" w:cs="Arial"/>
          <w:sz w:val="21"/>
          <w:szCs w:val="21"/>
          <w:vertAlign w:val="superscript"/>
          <w:lang w:val="es-ES_tradnl"/>
        </w:rPr>
        <w:footnoteReference w:id="19"/>
      </w:r>
      <w:r w:rsidRPr="00800675">
        <w:rPr>
          <w:rFonts w:ascii="Verdana" w:hAnsi="Verdana" w:cs="Arial"/>
          <w:sz w:val="21"/>
          <w:szCs w:val="21"/>
          <w:lang w:val="es-ES_tradnl"/>
        </w:rPr>
        <w:t>.</w:t>
      </w:r>
    </w:p>
    <w:p w14:paraId="18858551" w14:textId="77777777" w:rsidR="00296648" w:rsidRPr="00800675" w:rsidRDefault="00296648" w:rsidP="00296648">
      <w:pPr>
        <w:spacing w:before="120" w:after="120"/>
        <w:ind w:firstLine="709"/>
        <w:jc w:val="both"/>
        <w:rPr>
          <w:rFonts w:ascii="Verdana" w:eastAsia="Calibri" w:hAnsi="Verdana" w:cs="Arial"/>
          <w:lang w:val="es-ES_tradnl"/>
        </w:rPr>
      </w:pPr>
      <w:r w:rsidRPr="00800675">
        <w:rPr>
          <w:rFonts w:ascii="Verdana" w:eastAsia="Calibri" w:hAnsi="Verdana" w:cs="Arial"/>
          <w:lang w:val="es-ES_tradnl"/>
        </w:rPr>
        <w:t>También ha dicho que:</w:t>
      </w:r>
    </w:p>
    <w:p w14:paraId="18858552" w14:textId="77777777" w:rsidR="00296648" w:rsidRPr="00800675" w:rsidRDefault="00296648" w:rsidP="00296648">
      <w:pPr>
        <w:spacing w:after="0" w:line="240" w:lineRule="auto"/>
        <w:ind w:left="709" w:right="616"/>
        <w:jc w:val="both"/>
        <w:rPr>
          <w:rFonts w:ascii="Verdana" w:hAnsi="Verdana" w:cs="Arial"/>
          <w:sz w:val="21"/>
          <w:szCs w:val="21"/>
          <w:lang w:val="es-ES"/>
        </w:rPr>
      </w:pPr>
      <w:bookmarkStart w:id="2" w:name="_Hlk138725073"/>
      <w:r w:rsidRPr="00800675">
        <w:rPr>
          <w:rFonts w:ascii="Verdana" w:hAnsi="Verdana" w:cs="Arial"/>
          <w:sz w:val="21"/>
          <w:szCs w:val="21"/>
          <w:lang w:val="es-ES"/>
        </w:rPr>
        <w:t xml:space="preserve">“[…] </w:t>
      </w:r>
      <w:bookmarkEnd w:id="2"/>
      <w:r w:rsidRPr="00800675">
        <w:rPr>
          <w:rFonts w:ascii="Verdana" w:hAnsi="Verdana" w:cs="Arial"/>
          <w:sz w:val="21"/>
          <w:szCs w:val="21"/>
          <w:lang w:val="es-ES"/>
        </w:rPr>
        <w:t xml:space="preserve">la aplicación de estos preceptos exige una interpretación restrictiva, dado que según el principio hermenéutico </w:t>
      </w:r>
      <w:r w:rsidRPr="00800675">
        <w:rPr>
          <w:rFonts w:ascii="Verdana" w:hAnsi="Verdana" w:cs="Arial"/>
          <w:i/>
          <w:iCs/>
          <w:sz w:val="21"/>
          <w:szCs w:val="21"/>
          <w:lang w:val="es-ES"/>
        </w:rPr>
        <w:t>pro libertate</w:t>
      </w:r>
      <w:r w:rsidRPr="00800675">
        <w:rPr>
          <w:rFonts w:ascii="Verdana" w:hAnsi="Verdana" w:cs="Arial"/>
          <w:sz w:val="21"/>
          <w:szCs w:val="21"/>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800675">
        <w:rPr>
          <w:rFonts w:ascii="Verdana" w:hAnsi="Verdana" w:cs="Arial"/>
          <w:sz w:val="21"/>
          <w:szCs w:val="21"/>
          <w:vertAlign w:val="superscript"/>
          <w:lang w:val="es-ES"/>
        </w:rPr>
        <w:footnoteReference w:id="20"/>
      </w:r>
      <w:r w:rsidRPr="00800675">
        <w:rPr>
          <w:rFonts w:ascii="Verdana" w:hAnsi="Verdana" w:cs="Arial"/>
          <w:sz w:val="21"/>
          <w:szCs w:val="21"/>
          <w:lang w:val="es-ES"/>
        </w:rPr>
        <w:t>.</w:t>
      </w:r>
    </w:p>
    <w:p w14:paraId="18858553" w14:textId="77777777" w:rsidR="00296648" w:rsidRPr="00800675" w:rsidRDefault="00296648" w:rsidP="00296648">
      <w:pPr>
        <w:spacing w:after="0"/>
        <w:ind w:firstLine="708"/>
        <w:jc w:val="both"/>
        <w:rPr>
          <w:rFonts w:ascii="Verdana" w:eastAsia="Arial" w:hAnsi="Verdana" w:cs="Arial"/>
          <w:color w:val="000000"/>
          <w:lang w:val="es-ES_tradnl"/>
        </w:rPr>
      </w:pPr>
    </w:p>
    <w:p w14:paraId="18858554" w14:textId="77777777" w:rsidR="00296648" w:rsidRPr="00800675" w:rsidRDefault="00296648" w:rsidP="00296648">
      <w:pPr>
        <w:spacing w:after="0" w:line="276" w:lineRule="auto"/>
        <w:ind w:firstLine="708"/>
        <w:jc w:val="both"/>
        <w:rPr>
          <w:rFonts w:ascii="Verdana" w:hAnsi="Verdana" w:cs="Arial"/>
          <w:color w:val="000000" w:themeColor="text1"/>
        </w:rPr>
      </w:pPr>
      <w:r w:rsidRPr="00800675">
        <w:rPr>
          <w:rFonts w:ascii="Verdana" w:eastAsia="Arial" w:hAnsi="Verdana" w:cs="Arial"/>
          <w:color w:val="000000"/>
          <w:lang w:val="es-ES_tradnl"/>
        </w:rPr>
        <w:t xml:space="preserve">Como se aprecia, el principio </w:t>
      </w:r>
      <w:r w:rsidRPr="00800675">
        <w:rPr>
          <w:rFonts w:ascii="Verdana" w:eastAsia="Arial" w:hAnsi="Verdana" w:cs="Arial"/>
          <w:i/>
          <w:iCs/>
          <w:color w:val="000000"/>
          <w:lang w:val="es-ES_tradnl"/>
        </w:rPr>
        <w:t>pro libertate</w:t>
      </w:r>
      <w:r w:rsidRPr="00800675">
        <w:rPr>
          <w:rFonts w:ascii="Verdana" w:eastAsia="Arial" w:hAnsi="Verdana"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800675">
        <w:rPr>
          <w:rFonts w:ascii="Verdana" w:hAnsi="Verdana"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EGCAP, cuya expedición compete al Congreso de la República, conforme al artículo 150 de la Constitución Política, y que en esta materia rige el principio de legalidad</w:t>
      </w:r>
      <w:r w:rsidRPr="00800675">
        <w:rPr>
          <w:rFonts w:ascii="Verdana" w:hAnsi="Verdana" w:cs="Arial"/>
          <w:color w:val="000000" w:themeColor="text1"/>
          <w:vertAlign w:val="superscript"/>
        </w:rPr>
        <w:footnoteReference w:id="21"/>
      </w:r>
      <w:r w:rsidRPr="00800675">
        <w:rPr>
          <w:rFonts w:ascii="Verdana" w:hAnsi="Verdana" w:cs="Arial"/>
          <w:color w:val="000000" w:themeColor="text1"/>
        </w:rPr>
        <w:t>.</w:t>
      </w:r>
      <w:bookmarkEnd w:id="0"/>
    </w:p>
    <w:p w14:paraId="18858555" w14:textId="77777777" w:rsidR="00296648" w:rsidRPr="00800675" w:rsidRDefault="00296648" w:rsidP="00296648">
      <w:pPr>
        <w:spacing w:after="0" w:line="276" w:lineRule="auto"/>
        <w:jc w:val="both"/>
        <w:rPr>
          <w:rFonts w:ascii="Verdana" w:hAnsi="Verdana" w:cs="Arial"/>
          <w:color w:val="000000" w:themeColor="text1"/>
        </w:rPr>
      </w:pPr>
    </w:p>
    <w:p w14:paraId="18858556" w14:textId="77777777" w:rsidR="00296648" w:rsidRPr="00800675" w:rsidRDefault="00296648" w:rsidP="00296648">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00675">
        <w:rPr>
          <w:rFonts w:ascii="Verdana" w:eastAsia="Century Gothic" w:hAnsi="Verdana" w:cs="Century Gothic"/>
          <w:b/>
          <w:bCs/>
        </w:rPr>
        <w:t>Referencias normativas, jurisprudenciales y otras fuentes:</w:t>
      </w:r>
    </w:p>
    <w:p w14:paraId="18858557" w14:textId="77777777" w:rsidR="00296648" w:rsidRPr="00800675" w:rsidRDefault="00296648" w:rsidP="00296648">
      <w:pPr>
        <w:spacing w:after="0" w:line="276" w:lineRule="auto"/>
        <w:ind w:right="709"/>
        <w:jc w:val="both"/>
        <w:textAlignment w:val="baseline"/>
        <w:rPr>
          <w:rFonts w:ascii="Verdana" w:eastAsia="Times New Roman" w:hAnsi="Verdana" w:cs="Arial"/>
          <w:bCs/>
          <w:lang w:val="es-ES_tradnl" w:eastAsia="es-CO"/>
        </w:rPr>
      </w:pPr>
    </w:p>
    <w:p w14:paraId="18858558" w14:textId="77777777" w:rsidR="00296648" w:rsidRPr="00800675" w:rsidRDefault="00296648" w:rsidP="00296648">
      <w:pPr>
        <w:pStyle w:val="Prrafodelista"/>
        <w:numPr>
          <w:ilvl w:val="0"/>
          <w:numId w:val="4"/>
        </w:numPr>
        <w:spacing w:after="0" w:line="276" w:lineRule="auto"/>
        <w:ind w:right="709"/>
        <w:jc w:val="both"/>
        <w:rPr>
          <w:rStyle w:val="Hipervnculo"/>
          <w:rFonts w:ascii="Verdana" w:hAnsi="Verdana" w:cs="Arial"/>
          <w:color w:val="000000" w:themeColor="text1"/>
          <w:lang w:val="es-ES_tradnl"/>
        </w:rPr>
      </w:pPr>
      <w:r w:rsidRPr="00800675">
        <w:rPr>
          <w:rFonts w:ascii="Verdana" w:hAnsi="Verdana" w:cs="Arial"/>
          <w:color w:val="000000" w:themeColor="text1"/>
          <w:lang w:val="es-ES_tradnl"/>
        </w:rPr>
        <w:lastRenderedPageBreak/>
        <w:t xml:space="preserve">Constitución Política de Colombia Disponible en: </w:t>
      </w:r>
      <w:hyperlink r:id="rId12" w:history="1">
        <w:r w:rsidRPr="00800675">
          <w:rPr>
            <w:rStyle w:val="Hipervnculo"/>
            <w:rFonts w:ascii="Verdana" w:hAnsi="Verdana" w:cs="Arial"/>
            <w:lang w:val="es-ES_tradnl"/>
          </w:rPr>
          <w:t>https://relatoria.colombiacompra.gov.co/normativa/constitucion-politica-de-colombia/</w:t>
        </w:r>
      </w:hyperlink>
    </w:p>
    <w:p w14:paraId="18858559" w14:textId="77777777" w:rsidR="00296648" w:rsidRPr="00800675" w:rsidRDefault="00296648" w:rsidP="00296648">
      <w:pPr>
        <w:spacing w:after="0" w:line="276" w:lineRule="auto"/>
        <w:ind w:right="709"/>
        <w:jc w:val="both"/>
        <w:rPr>
          <w:rFonts w:ascii="Verdana" w:hAnsi="Verdana" w:cs="Arial"/>
          <w:color w:val="000000" w:themeColor="text1"/>
          <w:lang w:val="es-ES_tradnl"/>
        </w:rPr>
      </w:pPr>
    </w:p>
    <w:p w14:paraId="1885855A" w14:textId="77777777" w:rsidR="00296648" w:rsidRPr="00800675" w:rsidRDefault="00296648" w:rsidP="00296648">
      <w:pPr>
        <w:pStyle w:val="Prrafodelista"/>
        <w:numPr>
          <w:ilvl w:val="0"/>
          <w:numId w:val="4"/>
        </w:numPr>
        <w:spacing w:after="0" w:line="276" w:lineRule="auto"/>
        <w:ind w:right="709"/>
        <w:jc w:val="both"/>
        <w:rPr>
          <w:rFonts w:ascii="Verdana" w:hAnsi="Verdana" w:cs="Arial"/>
          <w:color w:val="000000" w:themeColor="text1"/>
          <w:lang w:val="es-ES_tradnl"/>
        </w:rPr>
      </w:pPr>
      <w:r w:rsidRPr="00800675">
        <w:rPr>
          <w:rFonts w:ascii="Verdana" w:hAnsi="Verdana" w:cs="Arial"/>
          <w:noProof/>
          <w:lang w:val="es-ES_tradnl"/>
        </w:rPr>
        <w:t xml:space="preserve">Ley 80 de 1993 Disponible en: </w:t>
      </w:r>
      <w:hyperlink r:id="rId13" w:history="1">
        <w:r w:rsidRPr="00800675">
          <w:rPr>
            <w:rStyle w:val="Hipervnculo"/>
            <w:rFonts w:ascii="Verdana" w:hAnsi="Verdana" w:cs="Arial"/>
            <w:noProof/>
            <w:lang w:val="es-ES_tradnl"/>
          </w:rPr>
          <w:t>https://relatoria.colombiacompra.gov.co/normativa/ley-80-de-1993/</w:t>
        </w:r>
      </w:hyperlink>
      <w:r w:rsidRPr="00800675">
        <w:rPr>
          <w:rFonts w:ascii="Verdana" w:hAnsi="Verdana" w:cs="Arial"/>
          <w:noProof/>
          <w:lang w:val="es-ES_tradnl"/>
        </w:rPr>
        <w:t xml:space="preserve">  </w:t>
      </w:r>
    </w:p>
    <w:p w14:paraId="1885855B" w14:textId="77777777" w:rsidR="00296648" w:rsidRPr="00800675" w:rsidRDefault="00296648" w:rsidP="00296648">
      <w:pPr>
        <w:pStyle w:val="Prrafodelista"/>
        <w:rPr>
          <w:rFonts w:ascii="Verdana" w:hAnsi="Verdana" w:cs="Arial"/>
          <w:color w:val="000000" w:themeColor="text1"/>
          <w:lang w:val="es-ES_tradnl"/>
        </w:rPr>
      </w:pPr>
    </w:p>
    <w:p w14:paraId="1885855C" w14:textId="77777777" w:rsidR="00296648" w:rsidRPr="00800675" w:rsidRDefault="00296648" w:rsidP="00296648">
      <w:pPr>
        <w:pStyle w:val="Prrafodelista"/>
        <w:numPr>
          <w:ilvl w:val="0"/>
          <w:numId w:val="4"/>
        </w:numPr>
        <w:spacing w:after="0" w:line="276" w:lineRule="auto"/>
        <w:ind w:right="709"/>
        <w:jc w:val="both"/>
        <w:rPr>
          <w:rFonts w:ascii="Verdana" w:hAnsi="Verdana" w:cs="Arial"/>
          <w:color w:val="000000" w:themeColor="text1"/>
          <w:lang w:val="es-ES_tradnl"/>
        </w:rPr>
      </w:pPr>
      <w:r w:rsidRPr="00800675">
        <w:rPr>
          <w:rFonts w:ascii="Verdana" w:eastAsia="Calibri" w:hAnsi="Verdana" w:cs="Arial"/>
          <w:lang w:val="es-MX"/>
        </w:rPr>
        <w:t xml:space="preserve">Ley 1150 de 2007 </w:t>
      </w:r>
      <w:r w:rsidRPr="00800675">
        <w:rPr>
          <w:rFonts w:ascii="Verdana" w:hAnsi="Verdana" w:cs="Arial"/>
          <w:noProof/>
          <w:lang w:val="es-ES_tradnl"/>
        </w:rPr>
        <w:t xml:space="preserve">Disponible en: </w:t>
      </w:r>
      <w:hyperlink r:id="rId14" w:history="1">
        <w:r w:rsidRPr="00800675">
          <w:rPr>
            <w:rStyle w:val="Hipervnculo"/>
            <w:rFonts w:ascii="Verdana" w:hAnsi="Verdana" w:cs="Arial"/>
            <w:noProof/>
            <w:lang w:val="es-ES_tradnl"/>
          </w:rPr>
          <w:t>https://relatoria.colombiacompra.gov.co/normativa/ley-1150-de-2007/</w:t>
        </w:r>
      </w:hyperlink>
      <w:r w:rsidRPr="00800675">
        <w:rPr>
          <w:rFonts w:ascii="Verdana" w:hAnsi="Verdana" w:cs="Arial"/>
          <w:noProof/>
          <w:lang w:val="es-ES_tradnl"/>
        </w:rPr>
        <w:t xml:space="preserve"> </w:t>
      </w:r>
    </w:p>
    <w:p w14:paraId="1885855D" w14:textId="77777777" w:rsidR="00296648" w:rsidRPr="00800675" w:rsidRDefault="00296648" w:rsidP="00296648">
      <w:pPr>
        <w:pStyle w:val="Prrafodelista"/>
        <w:spacing w:before="120" w:line="276" w:lineRule="auto"/>
        <w:ind w:right="113"/>
        <w:jc w:val="both"/>
        <w:rPr>
          <w:rFonts w:ascii="Verdana" w:hAnsi="Verdana" w:cs="Arial"/>
          <w:lang w:eastAsia="es-CO"/>
        </w:rPr>
      </w:pPr>
    </w:p>
    <w:p w14:paraId="1885855E" w14:textId="77777777" w:rsidR="00296648" w:rsidRPr="00800675" w:rsidRDefault="00296648" w:rsidP="00296648">
      <w:pPr>
        <w:pStyle w:val="Prrafodelista"/>
        <w:numPr>
          <w:ilvl w:val="0"/>
          <w:numId w:val="2"/>
        </w:numPr>
        <w:spacing w:before="120" w:line="276" w:lineRule="auto"/>
        <w:ind w:right="113"/>
        <w:jc w:val="both"/>
        <w:rPr>
          <w:rFonts w:ascii="Verdana" w:hAnsi="Verdana" w:cs="Arial"/>
          <w:lang w:eastAsia="es-CO"/>
        </w:rPr>
      </w:pPr>
      <w:r w:rsidRPr="00800675">
        <w:rPr>
          <w:rFonts w:ascii="Verdana" w:eastAsia="Calibri" w:hAnsi="Verdana" w:cs="Arial"/>
        </w:rPr>
        <w:t xml:space="preserve">Ley 1474 de 2011. Disponible en: </w:t>
      </w:r>
      <w:hyperlink r:id="rId15" w:history="1">
        <w:r w:rsidRPr="00800675">
          <w:rPr>
            <w:rStyle w:val="Hipervnculo"/>
            <w:rFonts w:ascii="Verdana" w:eastAsia="Calibri" w:hAnsi="Verdana" w:cs="Arial"/>
          </w:rPr>
          <w:t>https://relatoria.colombiacompra.gov.co/normativa/ley-1474-de-2011/</w:t>
        </w:r>
      </w:hyperlink>
      <w:r w:rsidRPr="00800675">
        <w:rPr>
          <w:rFonts w:ascii="Verdana" w:eastAsia="Calibri" w:hAnsi="Verdana" w:cs="Arial"/>
        </w:rPr>
        <w:t xml:space="preserve"> </w:t>
      </w:r>
    </w:p>
    <w:p w14:paraId="1885855F" w14:textId="77777777" w:rsidR="00296648" w:rsidRPr="00800675" w:rsidRDefault="00296648" w:rsidP="00296648">
      <w:pPr>
        <w:pStyle w:val="Prrafodelista"/>
        <w:spacing w:before="120" w:line="276" w:lineRule="auto"/>
        <w:ind w:right="113"/>
        <w:jc w:val="both"/>
        <w:rPr>
          <w:rFonts w:ascii="Verdana" w:hAnsi="Verdana" w:cs="Arial"/>
          <w:lang w:eastAsia="es-CO"/>
        </w:rPr>
      </w:pPr>
    </w:p>
    <w:p w14:paraId="18858560" w14:textId="77777777" w:rsidR="00296648" w:rsidRPr="00800675" w:rsidRDefault="00296648" w:rsidP="00296648">
      <w:pPr>
        <w:pStyle w:val="Prrafodelista"/>
        <w:numPr>
          <w:ilvl w:val="0"/>
          <w:numId w:val="2"/>
        </w:numPr>
        <w:spacing w:before="120" w:line="276" w:lineRule="auto"/>
        <w:ind w:right="113"/>
        <w:jc w:val="both"/>
        <w:rPr>
          <w:rFonts w:ascii="Verdana" w:hAnsi="Verdana" w:cs="Arial"/>
          <w:lang w:eastAsia="es-CO"/>
        </w:rPr>
      </w:pPr>
      <w:r w:rsidRPr="00800675">
        <w:rPr>
          <w:rFonts w:ascii="Verdana" w:hAnsi="Verdana" w:cs="Arial"/>
          <w:lang w:eastAsia="es-CO"/>
        </w:rPr>
        <w:t xml:space="preserve">Ley 1437 de 2011. Disponible en: </w:t>
      </w:r>
      <w:hyperlink r:id="rId16" w:history="1">
        <w:r w:rsidRPr="00800675">
          <w:rPr>
            <w:rStyle w:val="Hipervnculo"/>
            <w:rFonts w:ascii="Verdana" w:hAnsi="Verdana" w:cs="Arial"/>
            <w:lang w:eastAsia="es-CO"/>
          </w:rPr>
          <w:t>https://relatoria.colombiacompra.gov.co/normativa/ley-1437-de-2011/</w:t>
        </w:r>
      </w:hyperlink>
      <w:r w:rsidRPr="00800675">
        <w:rPr>
          <w:rFonts w:ascii="Verdana" w:hAnsi="Verdana" w:cs="Arial"/>
          <w:lang w:eastAsia="es-CO"/>
        </w:rPr>
        <w:t xml:space="preserve"> </w:t>
      </w:r>
    </w:p>
    <w:p w14:paraId="18858561" w14:textId="77777777" w:rsidR="00296648" w:rsidRPr="00800675" w:rsidRDefault="00296648" w:rsidP="00296648">
      <w:pPr>
        <w:pStyle w:val="Textonotapie"/>
        <w:numPr>
          <w:ilvl w:val="0"/>
          <w:numId w:val="2"/>
        </w:numPr>
        <w:jc w:val="both"/>
        <w:rPr>
          <w:rFonts w:ascii="Verdana" w:hAnsi="Verdana" w:cs="Arial"/>
          <w:sz w:val="22"/>
          <w:szCs w:val="22"/>
          <w:lang w:val="es-ES"/>
        </w:rPr>
      </w:pPr>
      <w:r w:rsidRPr="00800675">
        <w:rPr>
          <w:rFonts w:ascii="Verdana" w:hAnsi="Verdana" w:cs="Arial"/>
          <w:sz w:val="22"/>
          <w:szCs w:val="22"/>
          <w:lang w:val="es-ES"/>
        </w:rPr>
        <w:t xml:space="preserve">CONSEJO DE ESTADO. Sala de Consulta y Servicio Civil. Concepto del 30 de abril de 2015. Exp. 2251. C.P. Álvaro </w:t>
      </w:r>
      <w:proofErr w:type="spellStart"/>
      <w:r w:rsidRPr="00800675">
        <w:rPr>
          <w:rFonts w:ascii="Verdana" w:hAnsi="Verdana" w:cs="Arial"/>
          <w:sz w:val="22"/>
          <w:szCs w:val="22"/>
          <w:lang w:val="es-ES"/>
        </w:rPr>
        <w:t>Namén</w:t>
      </w:r>
      <w:proofErr w:type="spellEnd"/>
      <w:r w:rsidRPr="00800675">
        <w:rPr>
          <w:rFonts w:ascii="Verdana" w:hAnsi="Verdana" w:cs="Arial"/>
          <w:sz w:val="22"/>
          <w:szCs w:val="22"/>
          <w:lang w:val="es-ES"/>
        </w:rPr>
        <w:t xml:space="preserve"> Vargas.</w:t>
      </w:r>
    </w:p>
    <w:p w14:paraId="18858562" w14:textId="77777777" w:rsidR="00296648" w:rsidRPr="00800675" w:rsidRDefault="00296648" w:rsidP="00296648">
      <w:pPr>
        <w:pStyle w:val="Textonotapie"/>
        <w:ind w:left="720"/>
        <w:jc w:val="both"/>
        <w:rPr>
          <w:rFonts w:ascii="Verdana" w:hAnsi="Verdana" w:cs="Arial"/>
          <w:sz w:val="22"/>
          <w:szCs w:val="22"/>
        </w:rPr>
      </w:pPr>
    </w:p>
    <w:p w14:paraId="18858563" w14:textId="77777777" w:rsidR="00296648" w:rsidRPr="00800675" w:rsidRDefault="00296648" w:rsidP="00296648">
      <w:pPr>
        <w:pStyle w:val="Textonotapie"/>
        <w:numPr>
          <w:ilvl w:val="0"/>
          <w:numId w:val="2"/>
        </w:numPr>
        <w:jc w:val="both"/>
        <w:rPr>
          <w:rFonts w:ascii="Verdana" w:hAnsi="Verdana" w:cs="Arial"/>
          <w:sz w:val="22"/>
          <w:szCs w:val="22"/>
        </w:rPr>
      </w:pPr>
      <w:r w:rsidRPr="00800675">
        <w:rPr>
          <w:rFonts w:ascii="Verdana" w:hAnsi="Verdana" w:cs="Arial"/>
          <w:sz w:val="22"/>
          <w:szCs w:val="22"/>
        </w:rPr>
        <w:t>CONSEJO DE ESTADO. Sección Tercera. Subsección A. Sentencia del 24 de junio de 2015. Exp. 40.635. C.P. Hernán Andrade Rincón (E).</w:t>
      </w:r>
    </w:p>
    <w:p w14:paraId="18858564" w14:textId="77777777" w:rsidR="00296648" w:rsidRPr="00800675" w:rsidRDefault="00296648" w:rsidP="00296648">
      <w:pPr>
        <w:pStyle w:val="Textonotapie"/>
        <w:ind w:left="720"/>
        <w:jc w:val="both"/>
        <w:rPr>
          <w:rFonts w:ascii="Verdana" w:hAnsi="Verdana" w:cs="Arial"/>
          <w:sz w:val="22"/>
          <w:szCs w:val="22"/>
        </w:rPr>
      </w:pPr>
    </w:p>
    <w:p w14:paraId="18858565" w14:textId="77777777" w:rsidR="00296648" w:rsidRPr="00800675" w:rsidRDefault="00296648" w:rsidP="00296648">
      <w:pPr>
        <w:pStyle w:val="Textonotapie"/>
        <w:numPr>
          <w:ilvl w:val="0"/>
          <w:numId w:val="2"/>
        </w:numPr>
        <w:jc w:val="both"/>
        <w:rPr>
          <w:rFonts w:ascii="Verdana" w:hAnsi="Verdana" w:cs="Arial"/>
          <w:sz w:val="22"/>
          <w:szCs w:val="22"/>
          <w:lang w:val="es-ES_tradnl"/>
        </w:rPr>
      </w:pPr>
      <w:r w:rsidRPr="00800675">
        <w:rPr>
          <w:rFonts w:ascii="Verdana" w:hAnsi="Verdana" w:cs="Arial"/>
          <w:sz w:val="22"/>
          <w:szCs w:val="22"/>
        </w:rPr>
        <w:t xml:space="preserve">CONSEJO DE ESTADO. Sección Tercera. Subsección C. Sentencia del 22 de mayo de 2013. Rad. 24.057. C.P. Olga Mélida Valle De De La Hoz.  </w:t>
      </w:r>
      <w:r w:rsidRPr="00800675">
        <w:rPr>
          <w:rFonts w:ascii="Verdana" w:hAnsi="Verdana" w:cs="Arial"/>
          <w:sz w:val="22"/>
          <w:szCs w:val="22"/>
          <w:lang w:eastAsia="es-CO"/>
        </w:rPr>
        <w:t xml:space="preserve">Disponible en: </w:t>
      </w:r>
      <w:hyperlink r:id="rId17" w:history="1">
        <w:r w:rsidRPr="00800675">
          <w:rPr>
            <w:rStyle w:val="Hipervnculo"/>
            <w:rFonts w:ascii="Verdana" w:hAnsi="Verdana" w:cs="Arial"/>
            <w:sz w:val="22"/>
            <w:szCs w:val="22"/>
            <w:lang w:eastAsia="es-CO"/>
          </w:rPr>
          <w:t>https://relatoria.colombiacompra.gov.co/providencias-consejo-de-estado/</w:t>
        </w:r>
      </w:hyperlink>
      <w:r w:rsidRPr="00800675">
        <w:rPr>
          <w:rFonts w:ascii="Verdana" w:hAnsi="Verdana" w:cs="Arial"/>
          <w:sz w:val="22"/>
          <w:szCs w:val="22"/>
          <w:lang w:eastAsia="es-CO"/>
        </w:rPr>
        <w:t xml:space="preserve"> </w:t>
      </w:r>
    </w:p>
    <w:p w14:paraId="18858566" w14:textId="77777777" w:rsidR="00296648" w:rsidRPr="00800675" w:rsidRDefault="00296648" w:rsidP="00296648">
      <w:pPr>
        <w:spacing w:after="120" w:line="276" w:lineRule="auto"/>
        <w:jc w:val="both"/>
        <w:rPr>
          <w:rFonts w:ascii="Verdana" w:eastAsia="Times New Roman" w:hAnsi="Verdana" w:cs="Arial"/>
          <w:i/>
          <w:lang w:val="es-ES_tradnl" w:eastAsia="es-ES"/>
        </w:rPr>
      </w:pPr>
    </w:p>
    <w:p w14:paraId="18858567" w14:textId="77777777" w:rsidR="00296648" w:rsidRPr="00800675" w:rsidRDefault="00296648" w:rsidP="00296648">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00675">
        <w:rPr>
          <w:rFonts w:ascii="Verdana" w:eastAsia="Century Gothic" w:hAnsi="Verdana" w:cs="Century Gothic"/>
          <w:b/>
          <w:bCs/>
        </w:rPr>
        <w:t>Doctrina de la Agencia Nacional de Contratación Pública:</w:t>
      </w:r>
    </w:p>
    <w:p w14:paraId="18858568" w14:textId="77777777" w:rsidR="00296648" w:rsidRPr="00800675" w:rsidRDefault="00296648" w:rsidP="00296648">
      <w:pPr>
        <w:spacing w:after="120" w:line="276" w:lineRule="auto"/>
        <w:jc w:val="both"/>
        <w:rPr>
          <w:rFonts w:ascii="Verdana" w:hAnsi="Verdana" w:cs="Arial"/>
          <w:color w:val="000000" w:themeColor="text1"/>
          <w:lang w:val="es-ES"/>
        </w:rPr>
      </w:pPr>
    </w:p>
    <w:p w14:paraId="18858569" w14:textId="77777777" w:rsidR="00296648" w:rsidRPr="00800675" w:rsidRDefault="00296648" w:rsidP="00296648">
      <w:pPr>
        <w:spacing w:after="120" w:line="276" w:lineRule="auto"/>
        <w:jc w:val="both"/>
        <w:rPr>
          <w:rFonts w:ascii="Verdana" w:hAnsi="Verdana"/>
        </w:rPr>
      </w:pPr>
      <w:r w:rsidRPr="00800675">
        <w:rPr>
          <w:rFonts w:ascii="Verdana" w:eastAsia="Calibri" w:hAnsi="Verdana" w:cs="Arial"/>
          <w:lang w:val="es-ES" w:eastAsia="es-ES"/>
        </w:rPr>
        <w:t xml:space="preserve">Sobre </w:t>
      </w:r>
      <w:r w:rsidRPr="00800675">
        <w:rPr>
          <w:rFonts w:ascii="Verdana" w:eastAsia="Calibri" w:hAnsi="Verdana" w:cs="Arial"/>
          <w:bCs/>
          <w:lang w:val="es-ES_tradnl"/>
        </w:rPr>
        <w:t xml:space="preserve">la </w:t>
      </w:r>
      <w:r w:rsidRPr="00800675">
        <w:rPr>
          <w:rFonts w:ascii="Verdana" w:eastAsia="Calibri" w:hAnsi="Verdana" w:cs="Arial"/>
          <w:szCs w:val="24"/>
          <w:lang w:val="es-ES_tradnl" w:eastAsia="es-ES_tradnl"/>
        </w:rPr>
        <w:t>obligación de controlar y vigilar la ejecución de los contratos estatales</w:t>
      </w:r>
      <w:r w:rsidRPr="00800675">
        <w:rPr>
          <w:rFonts w:ascii="Verdana" w:eastAsia="Calibri" w:hAnsi="Verdana" w:cs="Arial"/>
          <w:bCs/>
          <w:lang w:val="es-ES_tradnl"/>
        </w:rPr>
        <w:t xml:space="preserve">, </w:t>
      </w:r>
      <w:r w:rsidRPr="00800675">
        <w:rPr>
          <w:rStyle w:val="normaltextrun"/>
          <w:rFonts w:ascii="Verdana" w:hAnsi="Verdana" w:cs="Arial"/>
          <w:shd w:val="clear" w:color="auto" w:fill="FFFFFF"/>
          <w:lang w:val="es-ES"/>
        </w:rPr>
        <w:t xml:space="preserve">se pronunció esta Subdirección </w:t>
      </w:r>
      <w:r w:rsidRPr="00800675">
        <w:rPr>
          <w:rFonts w:ascii="Verdana" w:eastAsia="Calibri" w:hAnsi="Verdana" w:cs="Arial"/>
          <w:lang w:val="es-ES"/>
        </w:rPr>
        <w:t xml:space="preserve">en los conceptos </w:t>
      </w:r>
      <w:r w:rsidRPr="00800675">
        <w:rPr>
          <w:rFonts w:ascii="Verdana" w:eastAsia="Calibri" w:hAnsi="Verdana" w:cs="Arial"/>
          <w:color w:val="000000" w:themeColor="text1"/>
        </w:rPr>
        <w:t xml:space="preserve">Nos. </w:t>
      </w:r>
      <w:r w:rsidRPr="00800675">
        <w:rPr>
          <w:rFonts w:ascii="Verdana" w:eastAsia="Calibri" w:hAnsi="Verdana" w:cs="Arial"/>
          <w:szCs w:val="24"/>
          <w:lang w:val="es-ES_tradnl" w:eastAsia="es-ES_tradnl"/>
        </w:rPr>
        <w:t xml:space="preserve">30 de agosto y el 20 de diciembre de 2019 ‒radicados Nos. 2201913000006394 y 2201913000009467‒. De igual forma, sobre la interventoría de los contratos estatales se pronunció en los conceptos C‒064 del 28 de febrero de 2020, C‒150 del 18 de marzo de 2020, C‒075 del 26 de marzo de 2020, C‒180 del 13 de abril de 2020, C‒344 del 26 de mayo de 2020 y en el C‒765 del 7 de enero de 2021, C-411 del 17 de agosto de 2021, C-650 del 22 de </w:t>
      </w:r>
      <w:r w:rsidRPr="00800675">
        <w:rPr>
          <w:rFonts w:ascii="Verdana" w:eastAsia="Calibri" w:hAnsi="Verdana" w:cs="Arial"/>
          <w:szCs w:val="24"/>
          <w:lang w:val="es-ES_tradnl" w:eastAsia="es-ES_tradnl"/>
        </w:rPr>
        <w:lastRenderedPageBreak/>
        <w:t xml:space="preserve">diciembre de 2021, C-238 del 27 de abril de 2022, C-432 del 13 de julio de 2022, C- 590 del 20 de septiembre de 2022, C-288 del 14 julio de 2023 y C-294 del 14 de agosto de 2024, </w:t>
      </w:r>
      <w:r w:rsidRPr="00800675">
        <w:rPr>
          <w:rFonts w:ascii="Verdana" w:hAnsi="Verdana"/>
          <w:color w:val="000000"/>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8" w:tgtFrame="_blank" w:tooltip="Dirección URL original: https://relatoria.colombiacompra.gov.co/. Haga clic o pulse si confía en este vínculo." w:history="1">
        <w:r w:rsidRPr="00800675">
          <w:rPr>
            <w:rStyle w:val="Hipervnculo"/>
            <w:rFonts w:ascii="Verdana" w:hAnsi="Verdana"/>
            <w:bdr w:val="none" w:sz="0" w:space="0" w:color="auto" w:frame="1"/>
            <w:shd w:val="clear" w:color="auto" w:fill="FFFFFF"/>
          </w:rPr>
          <w:t>https://relatoria.colombiacompra.gov.co/</w:t>
        </w:r>
      </w:hyperlink>
      <w:r w:rsidRPr="00800675">
        <w:rPr>
          <w:rFonts w:ascii="Verdana" w:hAnsi="Verdana"/>
          <w:color w:val="000000"/>
          <w:shd w:val="clear" w:color="auto" w:fill="FFFFFF"/>
        </w:rPr>
        <w:t> . Te invitamos también a revisar la tercera edición del  Boletín de Relatoría de 2024 en el cual podrás consultar en detalle el marco normativo de documentos tipo: </w:t>
      </w:r>
      <w:hyperlink r:id="rId19" w:tgtFrame="_blank" w:tooltip="Dirección URL original: https://www.colombiacompra.gov.co/sites/cce_public/files/files_2020/boletin_de_realtoria_iii.pdf. Haga clic o pulse si confía en este vínculo." w:history="1">
        <w:r w:rsidRPr="00800675">
          <w:rPr>
            <w:rStyle w:val="Hipervnculo"/>
            <w:rFonts w:ascii="Verdana" w:hAnsi="Verdana"/>
            <w:bdr w:val="none" w:sz="0" w:space="0" w:color="auto" w:frame="1"/>
            <w:shd w:val="clear" w:color="auto" w:fill="FFFFFF"/>
          </w:rPr>
          <w:t>https://www.colombiacompra.gov.co/sites/cce_public/files/files_2020/boletin_de_realtoria_iii.pdf</w:t>
        </w:r>
      </w:hyperlink>
      <w:r w:rsidRPr="00800675">
        <w:rPr>
          <w:rFonts w:ascii="Verdana" w:hAnsi="Verdana"/>
          <w:color w:val="000000"/>
          <w:shd w:val="clear" w:color="auto" w:fill="FFFFFF"/>
        </w:rPr>
        <w:t> ".</w:t>
      </w:r>
    </w:p>
    <w:p w14:paraId="1885856A" w14:textId="77777777" w:rsidR="00296648" w:rsidRPr="00800675" w:rsidRDefault="00296648" w:rsidP="00296648">
      <w:pPr>
        <w:spacing w:after="120" w:line="276" w:lineRule="auto"/>
        <w:jc w:val="both"/>
        <w:rPr>
          <w:rFonts w:ascii="Verdana" w:hAnsi="Verdana" w:cs="Arial"/>
          <w:lang w:val="es-ES"/>
        </w:rPr>
      </w:pPr>
    </w:p>
    <w:p w14:paraId="1885856B" w14:textId="77777777" w:rsidR="00296648" w:rsidRPr="00800675" w:rsidRDefault="00296648" w:rsidP="00296648">
      <w:pPr>
        <w:pStyle w:val="Textonotapie"/>
        <w:jc w:val="both"/>
        <w:rPr>
          <w:rFonts w:ascii="Verdana" w:hAnsi="Verdana"/>
          <w:color w:val="000000"/>
          <w:sz w:val="22"/>
          <w:szCs w:val="22"/>
        </w:rPr>
      </w:pPr>
      <w:r w:rsidRPr="00800675">
        <w:rPr>
          <w:rFonts w:ascii="Verdana" w:hAnsi="Verdana"/>
          <w:color w:val="000000"/>
          <w:sz w:val="22"/>
          <w:szCs w:val="22"/>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hyperlink r:id="rId20" w:tgtFrame="_blank" w:tooltip="Dirección URL original: https://www.sucop.gov.co/entidades/colombiacompra/Normativa?IDNorma=17363. Haga clic o pulse si confía en este vínculo." w:history="1">
        <w:r w:rsidRPr="00800675">
          <w:rPr>
            <w:rStyle w:val="Hipervnculo"/>
            <w:rFonts w:ascii="Verdana" w:hAnsi="Verdana"/>
            <w:color w:val="1155CC"/>
            <w:sz w:val="22"/>
            <w:szCs w:val="22"/>
            <w:bdr w:val="none" w:sz="0" w:space="0" w:color="auto" w:frame="1"/>
          </w:rPr>
          <w:t>https://www.sucop.gov.co/entidades/colombiacompra/Normativa?IDNorma=17363</w:t>
        </w:r>
      </w:hyperlink>
      <w:r w:rsidRPr="00800675">
        <w:rPr>
          <w:rFonts w:ascii="Verdana" w:hAnsi="Verdana"/>
          <w:color w:val="000000"/>
          <w:sz w:val="22"/>
          <w:szCs w:val="22"/>
        </w:rPr>
        <w:t> y </w:t>
      </w:r>
      <w:hyperlink r:id="rId21" w:tgtFrame="_blank" w:tooltip="Dirección URL original: https://www.colombiacompra.gov.co/content/convocatorias. Haga clic o pulse si confía en este vínculo." w:history="1">
        <w:r w:rsidRPr="00800675">
          <w:rPr>
            <w:rStyle w:val="Hipervnculo"/>
            <w:rFonts w:ascii="Verdana" w:hAnsi="Verdana"/>
            <w:color w:val="1155CC"/>
            <w:sz w:val="22"/>
            <w:szCs w:val="22"/>
            <w:bdr w:val="none" w:sz="0" w:space="0" w:color="auto" w:frame="1"/>
          </w:rPr>
          <w:t>https://www.colombiacompra.gov.co/content/convocatorias</w:t>
        </w:r>
      </w:hyperlink>
      <w:r w:rsidRPr="00800675">
        <w:rPr>
          <w:rFonts w:ascii="Verdana" w:hAnsi="Verdana"/>
          <w:color w:val="1155CC"/>
          <w:sz w:val="22"/>
          <w:szCs w:val="22"/>
          <w:bdr w:val="none" w:sz="0" w:space="0" w:color="auto" w:frame="1"/>
        </w:rPr>
        <w:t> </w:t>
      </w:r>
      <w:r w:rsidRPr="00800675">
        <w:rPr>
          <w:rFonts w:ascii="Verdana" w:hAnsi="Verdana"/>
          <w:color w:val="000000"/>
          <w:sz w:val="22"/>
          <w:szCs w:val="22"/>
        </w:rPr>
        <w:t>". </w:t>
      </w:r>
    </w:p>
    <w:p w14:paraId="1885856C" w14:textId="77777777" w:rsidR="00296648" w:rsidRPr="00800675" w:rsidRDefault="00296648" w:rsidP="00296648">
      <w:pPr>
        <w:pStyle w:val="Textonotapie"/>
        <w:jc w:val="both"/>
        <w:rPr>
          <w:rFonts w:ascii="Verdana" w:hAnsi="Verdana" w:cs="Arial"/>
          <w:sz w:val="22"/>
          <w:szCs w:val="22"/>
          <w:lang w:val="es-ES"/>
        </w:rPr>
      </w:pPr>
    </w:p>
    <w:p w14:paraId="1885856D" w14:textId="77777777" w:rsidR="00296648" w:rsidRPr="00800675" w:rsidRDefault="00296648" w:rsidP="00296648">
      <w:pPr>
        <w:spacing w:after="0" w:line="240" w:lineRule="auto"/>
        <w:jc w:val="both"/>
        <w:rPr>
          <w:rFonts w:ascii="Verdana" w:hAnsi="Verdana"/>
        </w:rPr>
      </w:pPr>
      <w:r w:rsidRPr="00800675">
        <w:rPr>
          <w:rFonts w:ascii="Verdana" w:hAnsi="Verdana"/>
        </w:rPr>
        <w:t xml:space="preserve">Por último, lo invitamos a seguirnos en las redes sociales en las cuales se difunde información institucional: </w:t>
      </w:r>
    </w:p>
    <w:p w14:paraId="1885856E" w14:textId="77777777" w:rsidR="00296648" w:rsidRPr="00800675" w:rsidRDefault="00296648" w:rsidP="00296648">
      <w:pPr>
        <w:spacing w:after="0" w:line="240" w:lineRule="auto"/>
        <w:jc w:val="both"/>
        <w:rPr>
          <w:rFonts w:ascii="Verdana" w:hAnsi="Verdana"/>
        </w:rPr>
      </w:pPr>
    </w:p>
    <w:p w14:paraId="1885856F" w14:textId="77777777" w:rsidR="00296648" w:rsidRPr="00800675" w:rsidRDefault="00296648" w:rsidP="00296648">
      <w:pPr>
        <w:spacing w:after="0" w:line="240" w:lineRule="auto"/>
        <w:jc w:val="both"/>
        <w:rPr>
          <w:rFonts w:ascii="Verdana" w:hAnsi="Verdana"/>
        </w:rPr>
      </w:pPr>
      <w:r w:rsidRPr="00800675">
        <w:rPr>
          <w:rFonts w:ascii="Verdana" w:hAnsi="Verdana"/>
        </w:rPr>
        <w:t xml:space="preserve">Twitter: </w:t>
      </w:r>
      <w:r w:rsidRPr="00800675">
        <w:rPr>
          <w:rStyle w:val="Hipervnculo"/>
          <w:rFonts w:ascii="Verdana" w:hAnsi="Verdana"/>
          <w:color w:val="4472C4" w:themeColor="accent1"/>
        </w:rPr>
        <w:t>@colombiacompra</w:t>
      </w:r>
      <w:r w:rsidRPr="00800675">
        <w:rPr>
          <w:rFonts w:ascii="Verdana" w:hAnsi="Verdana"/>
          <w:color w:val="4472C4" w:themeColor="accent1"/>
        </w:rPr>
        <w:t xml:space="preserve"> </w:t>
      </w:r>
    </w:p>
    <w:p w14:paraId="18858570" w14:textId="77777777" w:rsidR="00296648" w:rsidRPr="00800675" w:rsidRDefault="00296648" w:rsidP="00296648">
      <w:pPr>
        <w:spacing w:after="0" w:line="240" w:lineRule="auto"/>
        <w:jc w:val="both"/>
        <w:rPr>
          <w:rFonts w:ascii="Verdana" w:hAnsi="Verdana"/>
        </w:rPr>
      </w:pPr>
      <w:r w:rsidRPr="00800675">
        <w:rPr>
          <w:rFonts w:ascii="Verdana" w:hAnsi="Verdana"/>
        </w:rPr>
        <w:t xml:space="preserve">Facebook: </w:t>
      </w:r>
      <w:r w:rsidRPr="00800675">
        <w:rPr>
          <w:rStyle w:val="Hipervnculo"/>
          <w:rFonts w:ascii="Verdana" w:hAnsi="Verdana"/>
          <w:color w:val="4472C4" w:themeColor="accent1"/>
        </w:rPr>
        <w:t>ColombiaCompraEficiente</w:t>
      </w:r>
    </w:p>
    <w:p w14:paraId="18858571" w14:textId="77777777" w:rsidR="00296648" w:rsidRPr="00800675" w:rsidRDefault="00296648" w:rsidP="00296648">
      <w:pPr>
        <w:spacing w:after="0" w:line="240" w:lineRule="auto"/>
        <w:jc w:val="both"/>
        <w:rPr>
          <w:rFonts w:ascii="Verdana" w:hAnsi="Verdana"/>
        </w:rPr>
      </w:pPr>
      <w:r w:rsidRPr="00800675">
        <w:rPr>
          <w:rFonts w:ascii="Verdana" w:hAnsi="Verdana"/>
        </w:rPr>
        <w:t xml:space="preserve">LinkedIn: </w:t>
      </w:r>
      <w:r w:rsidRPr="00800675">
        <w:rPr>
          <w:rStyle w:val="Hipervnculo"/>
          <w:rFonts w:ascii="Verdana" w:hAnsi="Verdana"/>
          <w:color w:val="4472C4" w:themeColor="accent1"/>
        </w:rPr>
        <w:t>Agencia Nacional de Contratación Pública - Colombia Compra Eficiente</w:t>
      </w:r>
      <w:r w:rsidRPr="00800675">
        <w:rPr>
          <w:rFonts w:ascii="Verdana" w:hAnsi="Verdana"/>
          <w:color w:val="4472C4" w:themeColor="accent1"/>
        </w:rPr>
        <w:t xml:space="preserve"> </w:t>
      </w:r>
      <w:r w:rsidRPr="00800675">
        <w:rPr>
          <w:rFonts w:ascii="Verdana" w:hAnsi="Verdana"/>
        </w:rPr>
        <w:t xml:space="preserve">Instagram: </w:t>
      </w:r>
      <w:r w:rsidRPr="00800675">
        <w:rPr>
          <w:rStyle w:val="Hipervnculo"/>
          <w:rFonts w:ascii="Verdana" w:hAnsi="Verdana"/>
          <w:color w:val="4472C4" w:themeColor="accent1"/>
        </w:rPr>
        <w:t>@colombiacompraeficiente_cce</w:t>
      </w:r>
    </w:p>
    <w:p w14:paraId="18858572" w14:textId="77777777" w:rsidR="00296648" w:rsidRPr="00800675" w:rsidRDefault="00296648" w:rsidP="00296648">
      <w:pPr>
        <w:spacing w:after="120" w:line="276" w:lineRule="auto"/>
        <w:jc w:val="both"/>
        <w:rPr>
          <w:rFonts w:ascii="Verdana" w:hAnsi="Verdana" w:cs="Arial"/>
          <w:lang w:val="es-ES"/>
        </w:rPr>
      </w:pPr>
    </w:p>
    <w:p w14:paraId="18858573" w14:textId="77777777" w:rsidR="00296648" w:rsidRPr="00800675" w:rsidRDefault="00296648" w:rsidP="00296648">
      <w:pPr>
        <w:spacing w:after="120" w:line="276" w:lineRule="auto"/>
        <w:jc w:val="both"/>
        <w:rPr>
          <w:rFonts w:ascii="Verdana" w:hAnsi="Verdana" w:cs="Arial"/>
          <w:color w:val="000000" w:themeColor="text1"/>
          <w:lang w:val="es-ES_tradnl"/>
        </w:rPr>
      </w:pPr>
      <w:r w:rsidRPr="00800675">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18858574" w14:textId="77777777" w:rsidR="00296648" w:rsidRPr="00800675" w:rsidRDefault="00296648" w:rsidP="00296648">
      <w:pPr>
        <w:spacing w:after="120" w:line="276" w:lineRule="auto"/>
        <w:jc w:val="both"/>
        <w:rPr>
          <w:rFonts w:ascii="Verdana" w:eastAsia="Times New Roman" w:hAnsi="Verdana" w:cs="Arial"/>
          <w:i/>
          <w:lang w:val="es-ES" w:eastAsia="es-ES"/>
        </w:rPr>
      </w:pPr>
    </w:p>
    <w:p w14:paraId="18858575" w14:textId="77777777" w:rsidR="00296648" w:rsidRPr="00800675" w:rsidRDefault="00296648" w:rsidP="00296648">
      <w:pPr>
        <w:spacing w:after="0" w:line="240" w:lineRule="auto"/>
        <w:rPr>
          <w:rFonts w:ascii="Verdana" w:eastAsia="Times New Roman" w:hAnsi="Verdana" w:cs="Arial"/>
          <w:lang w:eastAsia="es-CO"/>
        </w:rPr>
      </w:pPr>
      <w:r w:rsidRPr="00800675">
        <w:rPr>
          <w:rFonts w:ascii="Verdana" w:eastAsia="Times New Roman" w:hAnsi="Verdana" w:cs="Arial"/>
          <w:lang w:eastAsia="es-CO"/>
        </w:rPr>
        <w:lastRenderedPageBreak/>
        <w:t>Atentamente,</w:t>
      </w:r>
    </w:p>
    <w:p w14:paraId="18858576" w14:textId="77777777" w:rsidR="00296648" w:rsidRPr="00800675" w:rsidRDefault="00296648" w:rsidP="00296648">
      <w:pPr>
        <w:spacing w:after="0" w:line="276" w:lineRule="auto"/>
        <w:jc w:val="center"/>
        <w:rPr>
          <w:rFonts w:ascii="Verdana" w:eastAsia="Times New Roman" w:hAnsi="Verdana" w:cs="Arial"/>
          <w:color w:val="000000"/>
          <w:lang w:val="es-ES_tradnl" w:eastAsia="es-CO"/>
        </w:rPr>
      </w:pPr>
    </w:p>
    <w:p w14:paraId="18858577" w14:textId="77777777" w:rsidR="00296648" w:rsidRPr="00800675" w:rsidRDefault="00273778" w:rsidP="00296648">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1885858A" wp14:editId="1885858B">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2"/>
                    <a:stretch>
                      <a:fillRect/>
                    </a:stretch>
                  </pic:blipFill>
                  <pic:spPr>
                    <a:xfrm>
                      <a:off x="0" y="0"/>
                      <a:ext cx="3705742" cy="1590897"/>
                    </a:xfrm>
                    <a:prstGeom prst="rect">
                      <a:avLst/>
                    </a:prstGeom>
                  </pic:spPr>
                </pic:pic>
              </a:graphicData>
            </a:graphic>
          </wp:inline>
        </w:drawing>
      </w:r>
    </w:p>
    <w:p w14:paraId="18858578" w14:textId="77777777" w:rsidR="00296648" w:rsidRPr="00800675" w:rsidRDefault="00296648" w:rsidP="00296648">
      <w:pPr>
        <w:spacing w:after="0" w:line="276" w:lineRule="auto"/>
        <w:jc w:val="center"/>
        <w:rPr>
          <w:rFonts w:ascii="Verdana" w:eastAsia="Times New Roman" w:hAnsi="Verdana" w:cs="Arial"/>
          <w:color w:val="000000"/>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296648" w:rsidRPr="00293A71" w14:paraId="1885857C" w14:textId="77777777" w:rsidTr="007B2926">
        <w:trPr>
          <w:trHeight w:val="409"/>
        </w:trPr>
        <w:tc>
          <w:tcPr>
            <w:tcW w:w="817" w:type="dxa"/>
            <w:tcBorders>
              <w:top w:val="nil"/>
              <w:left w:val="nil"/>
              <w:bottom w:val="nil"/>
              <w:right w:val="nil"/>
            </w:tcBorders>
            <w:vAlign w:val="center"/>
            <w:hideMark/>
          </w:tcPr>
          <w:p w14:paraId="18858579" w14:textId="77777777" w:rsidR="00296648" w:rsidRPr="00293A71" w:rsidRDefault="00296648" w:rsidP="007B2926">
            <w:pPr>
              <w:spacing w:after="0"/>
              <w:jc w:val="both"/>
              <w:rPr>
                <w:rFonts w:ascii="Verdana" w:hAnsi="Verdana" w:cs="Arial"/>
                <w:sz w:val="16"/>
                <w:szCs w:val="16"/>
              </w:rPr>
            </w:pPr>
            <w:r w:rsidRPr="00293A71">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1885857A" w14:textId="77777777" w:rsidR="00296648" w:rsidRPr="00293A71" w:rsidRDefault="00296648" w:rsidP="007B2926">
            <w:pPr>
              <w:spacing w:after="0"/>
              <w:jc w:val="both"/>
              <w:rPr>
                <w:rFonts w:ascii="Verdana" w:hAnsi="Verdana" w:cs="Arial"/>
                <w:sz w:val="16"/>
                <w:szCs w:val="16"/>
              </w:rPr>
            </w:pPr>
            <w:proofErr w:type="spellStart"/>
            <w:r w:rsidRPr="00293A71">
              <w:rPr>
                <w:rFonts w:ascii="Verdana" w:hAnsi="Verdana" w:cs="Arial"/>
                <w:sz w:val="16"/>
                <w:szCs w:val="16"/>
              </w:rPr>
              <w:t>Jhonattan</w:t>
            </w:r>
            <w:proofErr w:type="spellEnd"/>
            <w:r w:rsidRPr="00293A71">
              <w:rPr>
                <w:rFonts w:ascii="Verdana" w:hAnsi="Verdana" w:cs="Arial"/>
                <w:sz w:val="16"/>
                <w:szCs w:val="16"/>
              </w:rPr>
              <w:t xml:space="preserve"> </w:t>
            </w:r>
            <w:proofErr w:type="spellStart"/>
            <w:r w:rsidRPr="00293A71">
              <w:rPr>
                <w:rFonts w:ascii="Verdana" w:hAnsi="Verdana" w:cs="Arial"/>
                <w:sz w:val="16"/>
                <w:szCs w:val="16"/>
              </w:rPr>
              <w:t>Gualdrón</w:t>
            </w:r>
            <w:proofErr w:type="spellEnd"/>
            <w:r w:rsidRPr="00293A71">
              <w:rPr>
                <w:rFonts w:ascii="Verdana" w:hAnsi="Verdana" w:cs="Arial"/>
                <w:sz w:val="16"/>
                <w:szCs w:val="16"/>
              </w:rPr>
              <w:t xml:space="preserve"> Salazar</w:t>
            </w:r>
          </w:p>
          <w:p w14:paraId="1885857B" w14:textId="77777777" w:rsidR="00296648" w:rsidRPr="00293A71" w:rsidRDefault="00296648" w:rsidP="007B2926">
            <w:pPr>
              <w:spacing w:after="0"/>
              <w:jc w:val="both"/>
              <w:rPr>
                <w:rFonts w:ascii="Verdana" w:hAnsi="Verdana" w:cs="Arial"/>
                <w:sz w:val="16"/>
                <w:szCs w:val="16"/>
              </w:rPr>
            </w:pPr>
            <w:r w:rsidRPr="00293A71">
              <w:rPr>
                <w:rFonts w:ascii="Verdana" w:hAnsi="Verdana" w:cs="Arial"/>
                <w:sz w:val="16"/>
                <w:szCs w:val="16"/>
              </w:rPr>
              <w:t>Contratista de la Subdirección de Gestión Contractual</w:t>
            </w:r>
          </w:p>
        </w:tc>
      </w:tr>
      <w:tr w:rsidR="00296648" w:rsidRPr="00293A71" w14:paraId="18858580" w14:textId="77777777" w:rsidTr="007B2926">
        <w:trPr>
          <w:trHeight w:val="409"/>
        </w:trPr>
        <w:tc>
          <w:tcPr>
            <w:tcW w:w="817" w:type="dxa"/>
            <w:tcBorders>
              <w:top w:val="nil"/>
              <w:left w:val="nil"/>
              <w:right w:val="nil"/>
            </w:tcBorders>
            <w:vAlign w:val="center"/>
          </w:tcPr>
          <w:p w14:paraId="1885857D" w14:textId="77777777" w:rsidR="00296648" w:rsidRPr="00293A71" w:rsidRDefault="00296648" w:rsidP="007B2926">
            <w:pPr>
              <w:spacing w:after="0"/>
              <w:jc w:val="both"/>
              <w:rPr>
                <w:rFonts w:ascii="Verdana" w:hAnsi="Verdana" w:cs="Arial"/>
                <w:sz w:val="16"/>
                <w:szCs w:val="16"/>
              </w:rPr>
            </w:pPr>
            <w:r w:rsidRPr="00293A71">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885857E" w14:textId="77777777" w:rsidR="00296648" w:rsidRPr="00293A71" w:rsidRDefault="00296648" w:rsidP="007B2926">
            <w:pPr>
              <w:spacing w:after="0"/>
              <w:jc w:val="both"/>
              <w:rPr>
                <w:rStyle w:val="normaltextrun"/>
                <w:rFonts w:ascii="Verdana" w:hAnsi="Verdana" w:cs="Segoe UI"/>
                <w:color w:val="000000" w:themeColor="text1"/>
                <w:sz w:val="16"/>
                <w:szCs w:val="16"/>
                <w:lang w:eastAsia="es-CO"/>
              </w:rPr>
            </w:pPr>
            <w:r w:rsidRPr="00293A71">
              <w:rPr>
                <w:rStyle w:val="normaltextrun"/>
                <w:rFonts w:ascii="Verdana" w:hAnsi="Verdana" w:cs="Segoe UI"/>
                <w:color w:val="000000" w:themeColor="text1"/>
                <w:sz w:val="16"/>
                <w:szCs w:val="16"/>
                <w:lang w:eastAsia="es-CO"/>
              </w:rPr>
              <w:t xml:space="preserve">Juan David </w:t>
            </w:r>
            <w:proofErr w:type="spellStart"/>
            <w:r w:rsidRPr="00293A71">
              <w:rPr>
                <w:rStyle w:val="normaltextrun"/>
                <w:rFonts w:ascii="Verdana" w:hAnsi="Verdana" w:cs="Segoe UI"/>
                <w:color w:val="000000" w:themeColor="text1"/>
                <w:sz w:val="16"/>
                <w:szCs w:val="16"/>
                <w:lang w:eastAsia="es-CO"/>
              </w:rPr>
              <w:t>Cardenas</w:t>
            </w:r>
            <w:proofErr w:type="spellEnd"/>
            <w:r w:rsidRPr="00293A71">
              <w:rPr>
                <w:rStyle w:val="normaltextrun"/>
                <w:rFonts w:ascii="Verdana" w:hAnsi="Verdana" w:cs="Segoe UI"/>
                <w:color w:val="000000" w:themeColor="text1"/>
                <w:sz w:val="16"/>
                <w:szCs w:val="16"/>
                <w:lang w:eastAsia="es-CO"/>
              </w:rPr>
              <w:t xml:space="preserve"> </w:t>
            </w:r>
          </w:p>
          <w:p w14:paraId="1885857F" w14:textId="77777777" w:rsidR="00296648" w:rsidRPr="00293A71" w:rsidRDefault="00296648" w:rsidP="007B2926">
            <w:pPr>
              <w:spacing w:after="0"/>
              <w:jc w:val="both"/>
              <w:rPr>
                <w:rFonts w:ascii="Verdana" w:hAnsi="Verdana" w:cs="Arial"/>
                <w:sz w:val="16"/>
                <w:szCs w:val="16"/>
              </w:rPr>
            </w:pPr>
            <w:r w:rsidRPr="00293A71">
              <w:rPr>
                <w:rFonts w:ascii="Verdana" w:hAnsi="Verdana" w:cs="Arial"/>
                <w:sz w:val="16"/>
                <w:szCs w:val="16"/>
              </w:rPr>
              <w:t>Contratista de la Subdirección de Gestión Contractual</w:t>
            </w:r>
          </w:p>
        </w:tc>
      </w:tr>
      <w:tr w:rsidR="00296648" w:rsidRPr="00293A71" w14:paraId="18858584" w14:textId="77777777" w:rsidTr="007B2926">
        <w:trPr>
          <w:trHeight w:val="389"/>
        </w:trPr>
        <w:tc>
          <w:tcPr>
            <w:tcW w:w="817" w:type="dxa"/>
            <w:tcBorders>
              <w:top w:val="nil"/>
              <w:left w:val="nil"/>
              <w:bottom w:val="nil"/>
              <w:right w:val="nil"/>
            </w:tcBorders>
            <w:vAlign w:val="center"/>
            <w:hideMark/>
          </w:tcPr>
          <w:p w14:paraId="18858581" w14:textId="77777777" w:rsidR="00296648" w:rsidRPr="00293A71" w:rsidRDefault="00296648" w:rsidP="007B2926">
            <w:pPr>
              <w:spacing w:after="0"/>
              <w:jc w:val="both"/>
              <w:rPr>
                <w:rFonts w:ascii="Verdana" w:hAnsi="Verdana" w:cs="Arial"/>
                <w:sz w:val="16"/>
                <w:szCs w:val="16"/>
              </w:rPr>
            </w:pPr>
            <w:r w:rsidRPr="00293A71">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8858582" w14:textId="77777777" w:rsidR="00296648" w:rsidRPr="00293A71" w:rsidRDefault="00296648" w:rsidP="007B2926">
            <w:pPr>
              <w:spacing w:after="0"/>
              <w:rPr>
                <w:rFonts w:ascii="Verdana" w:eastAsia="Calibri" w:hAnsi="Verdana" w:cs="Arial"/>
                <w:sz w:val="16"/>
                <w:szCs w:val="16"/>
                <w:lang w:val="pt-BR" w:eastAsia="es-ES"/>
              </w:rPr>
            </w:pPr>
            <w:r w:rsidRPr="00293A71">
              <w:rPr>
                <w:rFonts w:ascii="Verdana" w:eastAsia="Calibri" w:hAnsi="Verdana" w:cs="Arial"/>
                <w:sz w:val="16"/>
                <w:szCs w:val="16"/>
                <w:lang w:val="pt-BR" w:eastAsia="es-ES"/>
              </w:rPr>
              <w:t>Carolina Quintero Gacharná</w:t>
            </w:r>
          </w:p>
          <w:p w14:paraId="18858583" w14:textId="77777777" w:rsidR="00296648" w:rsidRPr="00293A71" w:rsidRDefault="00296648" w:rsidP="007B2926">
            <w:pPr>
              <w:spacing w:after="0"/>
              <w:jc w:val="both"/>
              <w:rPr>
                <w:rFonts w:ascii="Verdana" w:hAnsi="Verdana" w:cs="Arial"/>
                <w:sz w:val="16"/>
                <w:szCs w:val="16"/>
              </w:rPr>
            </w:pPr>
            <w:r w:rsidRPr="00293A71">
              <w:rPr>
                <w:rFonts w:ascii="Verdana" w:hAnsi="Verdana" w:cs="Arial"/>
                <w:sz w:val="16"/>
                <w:szCs w:val="16"/>
              </w:rPr>
              <w:t>Subdirectora de Gestión Contractual ANCP – CCE</w:t>
            </w:r>
          </w:p>
        </w:tc>
      </w:tr>
    </w:tbl>
    <w:p w14:paraId="18858585" w14:textId="77777777" w:rsidR="00296648" w:rsidRPr="00800675" w:rsidRDefault="00296648" w:rsidP="00296648">
      <w:pPr>
        <w:rPr>
          <w:rFonts w:ascii="Verdana" w:hAnsi="Verdana"/>
          <w:lang w:val="es-ES"/>
        </w:rPr>
      </w:pPr>
    </w:p>
    <w:p w14:paraId="18858586" w14:textId="77777777" w:rsidR="00296648" w:rsidRPr="00654C41" w:rsidRDefault="00296648" w:rsidP="00296648">
      <w:pPr>
        <w:rPr>
          <w:lang w:val="es-ES"/>
        </w:rPr>
      </w:pPr>
    </w:p>
    <w:p w14:paraId="18858587" w14:textId="77777777" w:rsidR="00B3014A" w:rsidRPr="00296648" w:rsidRDefault="00B3014A" w:rsidP="00296648">
      <w:pPr>
        <w:rPr>
          <w:lang w:val="es-ES"/>
        </w:rPr>
      </w:pPr>
    </w:p>
    <w:sectPr w:rsidR="00B3014A" w:rsidRPr="00296648" w:rsidSect="00A211EE">
      <w:headerReference w:type="default" r:id="rId23"/>
      <w:footerReference w:type="default" r:id="rId24"/>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5858E" w14:textId="77777777" w:rsidR="00923CEA" w:rsidRDefault="00923CEA" w:rsidP="0048430F">
      <w:pPr>
        <w:spacing w:after="0" w:line="240" w:lineRule="auto"/>
      </w:pPr>
      <w:r>
        <w:separator/>
      </w:r>
    </w:p>
  </w:endnote>
  <w:endnote w:type="continuationSeparator" w:id="0">
    <w:p w14:paraId="1885858F" w14:textId="77777777" w:rsidR="00923CEA" w:rsidRDefault="00923CEA" w:rsidP="0048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8597" w14:textId="77777777" w:rsidR="00B3014A" w:rsidRDefault="00B3014A" w:rsidP="00A211EE">
    <w:pPr>
      <w:spacing w:after="0"/>
      <w:rPr>
        <w:rFonts w:ascii="Verdana" w:hAnsi="Verdana"/>
        <w:b/>
        <w:bCs/>
        <w:sz w:val="20"/>
        <w:szCs w:val="20"/>
      </w:rPr>
    </w:pPr>
  </w:p>
  <w:p w14:paraId="18858598" w14:textId="77777777" w:rsidR="00B3014A" w:rsidRPr="00174B77" w:rsidRDefault="00AB60F4"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8858599" w14:textId="77777777" w:rsidR="00B3014A" w:rsidRDefault="00AB60F4"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1885859A" w14:textId="77777777" w:rsidR="00B3014A" w:rsidRPr="00E41027" w:rsidRDefault="00AB60F4" w:rsidP="00A211EE">
    <w:pPr>
      <w:spacing w:after="0"/>
      <w:jc w:val="both"/>
      <w:rPr>
        <w:rFonts w:ascii="Verdana" w:hAnsi="Verdana"/>
        <w:sz w:val="18"/>
        <w:szCs w:val="18"/>
      </w:rPr>
    </w:pPr>
    <w:r w:rsidRPr="00E41027">
      <w:rPr>
        <w:rFonts w:ascii="Verdana" w:hAnsi="Verdana"/>
        <w:sz w:val="18"/>
        <w:szCs w:val="18"/>
      </w:rPr>
      <w:t>Mesa de servicio: (+57) 601 7456788</w:t>
    </w:r>
  </w:p>
  <w:p w14:paraId="1885859B" w14:textId="77777777" w:rsidR="00B3014A" w:rsidRPr="00A211EE" w:rsidRDefault="00AB60F4"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1885859C" w14:textId="77777777" w:rsidR="00B3014A" w:rsidRDefault="00B3014A" w:rsidP="00A211EE">
    <w:pPr>
      <w:pStyle w:val="Piedepgina"/>
    </w:pPr>
  </w:p>
  <w:p w14:paraId="1885859D" w14:textId="77777777" w:rsidR="00B3014A" w:rsidRDefault="00B301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5858C" w14:textId="77777777" w:rsidR="00923CEA" w:rsidRDefault="00923CEA" w:rsidP="0048430F">
      <w:pPr>
        <w:spacing w:after="0" w:line="240" w:lineRule="auto"/>
      </w:pPr>
      <w:r>
        <w:separator/>
      </w:r>
    </w:p>
  </w:footnote>
  <w:footnote w:type="continuationSeparator" w:id="0">
    <w:p w14:paraId="1885858D" w14:textId="77777777" w:rsidR="00923CEA" w:rsidRDefault="00923CEA" w:rsidP="0048430F">
      <w:pPr>
        <w:spacing w:after="0" w:line="240" w:lineRule="auto"/>
      </w:pPr>
      <w:r>
        <w:continuationSeparator/>
      </w:r>
    </w:p>
  </w:footnote>
  <w:footnote w:id="1">
    <w:p w14:paraId="188585A2" w14:textId="77777777" w:rsidR="00296648" w:rsidRPr="008E06F1" w:rsidRDefault="00296648" w:rsidP="00296648">
      <w:pPr>
        <w:jc w:val="both"/>
        <w:rPr>
          <w:rFonts w:ascii="Verdana" w:hAnsi="Verdana" w:cs="Arial"/>
          <w:color w:val="4E4D4D"/>
          <w:sz w:val="16"/>
          <w:szCs w:val="16"/>
        </w:rPr>
      </w:pPr>
      <w:r w:rsidRPr="008E06F1">
        <w:rPr>
          <w:rFonts w:ascii="Verdana" w:hAnsi="Verdana" w:cs="Arial"/>
          <w:color w:val="4E4D4D"/>
          <w:sz w:val="16"/>
          <w:szCs w:val="16"/>
        </w:rPr>
        <w:footnoteRef/>
      </w:r>
      <w:r w:rsidRPr="008E06F1">
        <w:rPr>
          <w:rFonts w:ascii="Verdana" w:hAnsi="Verdana" w:cs="Arial"/>
          <w:color w:val="4E4D4D"/>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footnote>
  <w:footnote w:id="2">
    <w:p w14:paraId="188585A3" w14:textId="77777777" w:rsidR="00296648" w:rsidRPr="00800675" w:rsidRDefault="00296648" w:rsidP="00296648">
      <w:pPr>
        <w:pStyle w:val="Textonotapie"/>
        <w:ind w:firstLine="708"/>
        <w:jc w:val="both"/>
        <w:rPr>
          <w:rFonts w:ascii="Verdana" w:hAnsi="Verdana" w:cs="Arial"/>
          <w:color w:val="161616"/>
          <w:sz w:val="16"/>
          <w:szCs w:val="16"/>
        </w:rPr>
      </w:pPr>
      <w:r w:rsidRPr="00800675">
        <w:rPr>
          <w:rStyle w:val="Refdenotaalpie"/>
          <w:rFonts w:ascii="Verdana" w:hAnsi="Verdana" w:cs="Arial"/>
          <w:color w:val="161616"/>
          <w:sz w:val="16"/>
          <w:szCs w:val="16"/>
        </w:rPr>
        <w:footnoteRef/>
      </w:r>
      <w:r w:rsidRPr="00800675">
        <w:rPr>
          <w:rFonts w:ascii="Verdana" w:hAnsi="Verdana" w:cs="Arial"/>
          <w:color w:val="161616"/>
          <w:sz w:val="16"/>
          <w:szCs w:val="16"/>
        </w:rPr>
        <w:t xml:space="preserve"> “Son también contratos de consultoría los que tienen por objeto la interventoría […]”</w:t>
      </w:r>
    </w:p>
  </w:footnote>
  <w:footnote w:id="3">
    <w:p w14:paraId="188585A4" w14:textId="77777777" w:rsidR="00296648" w:rsidRPr="00800675" w:rsidRDefault="00296648" w:rsidP="00296648">
      <w:pPr>
        <w:pStyle w:val="Textonotapie"/>
        <w:ind w:firstLine="708"/>
        <w:jc w:val="both"/>
        <w:rPr>
          <w:rFonts w:ascii="Verdana" w:eastAsia="Times New Roman" w:hAnsi="Verdana" w:cs="Arial"/>
          <w:sz w:val="16"/>
          <w:szCs w:val="16"/>
          <w:lang w:val="es-CO" w:eastAsia="es-ES"/>
        </w:rPr>
      </w:pPr>
      <w:r w:rsidRPr="00800675">
        <w:rPr>
          <w:rStyle w:val="Refdenotaalpie"/>
          <w:rFonts w:ascii="Verdana" w:hAnsi="Verdana" w:cs="Arial"/>
          <w:sz w:val="16"/>
          <w:szCs w:val="16"/>
        </w:rPr>
        <w:footnoteRef/>
      </w:r>
      <w:r w:rsidRPr="00800675">
        <w:rPr>
          <w:rFonts w:ascii="Verdana" w:hAnsi="Verdana" w:cs="Arial"/>
          <w:sz w:val="16"/>
          <w:szCs w:val="16"/>
        </w:rPr>
        <w:t xml:space="preserve"> </w:t>
      </w:r>
      <w:r w:rsidRPr="00800675">
        <w:rPr>
          <w:rFonts w:ascii="Verdana" w:eastAsia="Times New Roman" w:hAnsi="Verdana" w:cs="Arial"/>
          <w:sz w:val="16"/>
          <w:szCs w:val="16"/>
          <w:lang w:val="es-CO" w:eastAsia="es-ES"/>
        </w:rPr>
        <w:t>En armonía con lo anterior, el artículo 53 de la Ley 80 de 1993, modificado por el artículo 2 de la Ley 1882 de 2018, atendiendo al alcance de las obligaciones del interventor establece respecto del alcance de la responsabilidad de los interventores, que: […] Por su parte, los interventores, responderán civil, fiscal, penal y disciplinariamente, tanto por el cumplimiento de las obligaciones derivadas del contrato de interventoría, como por los hechos u omisiones que le sean imputables y causen daño o perjuicio a las entidades, derivados de la celebración y ejecución de los contratos respecto de los cuales hayan ejercido o ejerzan las funciones de interventoría, incluyendo la etapa de liquidación de los mismos siempre y cuando tales perjuicios provengan del incumplimiento o responsabilidad directa, por parte del interventor, de las obligaciones que a este le correspondan conforme con el contrato de interventoría.</w:t>
      </w:r>
    </w:p>
    <w:p w14:paraId="188585A5" w14:textId="77777777" w:rsidR="00296648" w:rsidRPr="00800675" w:rsidRDefault="00296648" w:rsidP="00296648">
      <w:pPr>
        <w:pStyle w:val="Textonotapie"/>
        <w:ind w:firstLine="708"/>
        <w:jc w:val="both"/>
        <w:rPr>
          <w:rFonts w:ascii="Verdana" w:hAnsi="Verdana" w:cs="Arial"/>
          <w:sz w:val="16"/>
          <w:szCs w:val="16"/>
          <w:lang w:val="es-CO"/>
        </w:rPr>
      </w:pPr>
    </w:p>
  </w:footnote>
  <w:footnote w:id="4">
    <w:p w14:paraId="188585A6" w14:textId="77777777" w:rsidR="00296648" w:rsidRPr="00800675" w:rsidRDefault="00296648" w:rsidP="00296648">
      <w:pPr>
        <w:pStyle w:val="Textonotapie"/>
        <w:ind w:firstLine="708"/>
        <w:jc w:val="both"/>
        <w:rPr>
          <w:rFonts w:ascii="Verdana" w:hAnsi="Verdana" w:cs="Arial"/>
          <w:color w:val="000000" w:themeColor="text1"/>
          <w:sz w:val="16"/>
          <w:szCs w:val="16"/>
        </w:rPr>
      </w:pPr>
      <w:r w:rsidRPr="00800675">
        <w:rPr>
          <w:rStyle w:val="Refdenotaalpie"/>
          <w:rFonts w:ascii="Verdana" w:hAnsi="Verdana" w:cs="Arial"/>
          <w:color w:val="000000" w:themeColor="text1"/>
          <w:sz w:val="16"/>
          <w:szCs w:val="16"/>
        </w:rPr>
        <w:footnoteRef/>
      </w:r>
      <w:r w:rsidRPr="00800675">
        <w:rPr>
          <w:rFonts w:ascii="Verdana" w:hAnsi="Verdana" w:cs="Arial"/>
          <w:color w:val="000000" w:themeColor="text1"/>
          <w:sz w:val="16"/>
          <w:szCs w:val="16"/>
        </w:rPr>
        <w:t xml:space="preserve"> Cfr. Conceptos: C-229 del 16 de abril de 2020, C-815 del 18 de febrero de 2021 y C-449 del 31 de agosto de 2021.</w:t>
      </w:r>
    </w:p>
    <w:p w14:paraId="188585A7" w14:textId="77777777" w:rsidR="00296648" w:rsidRPr="00800675" w:rsidRDefault="00296648" w:rsidP="00296648">
      <w:pPr>
        <w:pStyle w:val="Textonotapie"/>
        <w:ind w:firstLine="708"/>
        <w:jc w:val="both"/>
        <w:rPr>
          <w:rFonts w:ascii="Verdana" w:hAnsi="Verdana" w:cs="Arial"/>
          <w:color w:val="000000" w:themeColor="text1"/>
          <w:sz w:val="16"/>
          <w:szCs w:val="16"/>
          <w:lang w:val="es-CO"/>
        </w:rPr>
      </w:pPr>
    </w:p>
  </w:footnote>
  <w:footnote w:id="5">
    <w:p w14:paraId="188585A8" w14:textId="77777777" w:rsidR="00296648" w:rsidRPr="00800675" w:rsidRDefault="00296648" w:rsidP="00296648">
      <w:pPr>
        <w:pStyle w:val="Textonotapie"/>
        <w:ind w:firstLine="708"/>
        <w:jc w:val="both"/>
        <w:rPr>
          <w:rFonts w:ascii="Verdana" w:hAnsi="Verdana" w:cs="Arial"/>
          <w:color w:val="000000" w:themeColor="text1"/>
          <w:sz w:val="16"/>
          <w:szCs w:val="16"/>
        </w:rPr>
      </w:pPr>
      <w:r w:rsidRPr="00800675">
        <w:rPr>
          <w:rStyle w:val="Refdenotaalpie"/>
          <w:rFonts w:ascii="Verdana" w:hAnsi="Verdana" w:cs="Arial"/>
          <w:color w:val="000000" w:themeColor="text1"/>
          <w:sz w:val="16"/>
          <w:szCs w:val="16"/>
        </w:rPr>
        <w:footnoteRef/>
      </w:r>
      <w:r w:rsidRPr="00800675">
        <w:rPr>
          <w:rFonts w:ascii="Verdana" w:hAnsi="Verdana" w:cs="Arial"/>
          <w:color w:val="000000" w:themeColor="text1"/>
          <w:sz w:val="16"/>
          <w:szCs w:val="16"/>
        </w:rPr>
        <w:t xml:space="preserve"> CONSEJO DE ESTADO. Sala de Consulta y de Servicio Civil. Concepto del 23 de marzo de 2011. Rad. 2.045. C.P. Enrique José Arboleda Perdomo.</w:t>
      </w:r>
    </w:p>
    <w:p w14:paraId="188585A9" w14:textId="77777777" w:rsidR="00296648" w:rsidRPr="00800675" w:rsidRDefault="00296648" w:rsidP="00296648">
      <w:pPr>
        <w:pStyle w:val="Textonotapie"/>
        <w:ind w:firstLine="708"/>
        <w:jc w:val="both"/>
        <w:rPr>
          <w:rFonts w:ascii="Verdana" w:hAnsi="Verdana" w:cs="Arial"/>
          <w:color w:val="000000" w:themeColor="text1"/>
          <w:sz w:val="16"/>
          <w:szCs w:val="16"/>
        </w:rPr>
      </w:pPr>
    </w:p>
  </w:footnote>
  <w:footnote w:id="6">
    <w:p w14:paraId="188585AA" w14:textId="77777777" w:rsidR="00296648" w:rsidRPr="00800675" w:rsidRDefault="00296648" w:rsidP="00296648">
      <w:pPr>
        <w:pStyle w:val="Textonotapie"/>
        <w:ind w:firstLine="709"/>
        <w:jc w:val="both"/>
        <w:rPr>
          <w:rFonts w:ascii="Verdana" w:hAnsi="Verdana" w:cs="Arial"/>
          <w:sz w:val="16"/>
          <w:szCs w:val="16"/>
        </w:rPr>
      </w:pPr>
      <w:r w:rsidRPr="00800675">
        <w:rPr>
          <w:rStyle w:val="Refdenotaalpie"/>
          <w:rFonts w:ascii="Verdana" w:hAnsi="Verdana" w:cs="Arial"/>
          <w:sz w:val="16"/>
          <w:szCs w:val="16"/>
        </w:rPr>
        <w:footnoteRef/>
      </w:r>
      <w:r w:rsidRPr="00800675">
        <w:rPr>
          <w:rFonts w:ascii="Verdana" w:hAnsi="Verdana" w:cs="Arial"/>
          <w:sz w:val="16"/>
          <w:szCs w:val="16"/>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188585AB" w14:textId="77777777" w:rsidR="00296648" w:rsidRPr="00800675" w:rsidRDefault="00296648" w:rsidP="00296648">
      <w:pPr>
        <w:pStyle w:val="Textonotapie"/>
        <w:ind w:firstLine="709"/>
        <w:jc w:val="both"/>
        <w:rPr>
          <w:rFonts w:ascii="Verdana" w:hAnsi="Verdana" w:cs="Arial"/>
          <w:sz w:val="16"/>
          <w:szCs w:val="16"/>
        </w:rPr>
      </w:pPr>
      <w:r w:rsidRPr="00800675">
        <w:rPr>
          <w:rFonts w:ascii="Verdana" w:hAnsi="Verdana" w:cs="Arial"/>
          <w:sz w:val="16"/>
          <w:szCs w:val="16"/>
        </w:rPr>
        <w:t>Las personas jurídicas nacionales y extranjeras deberán acreditar que su duración no será inferior a la del plazo del contrato y un año más”.</w:t>
      </w:r>
    </w:p>
  </w:footnote>
  <w:footnote w:id="7">
    <w:p w14:paraId="188585AC" w14:textId="77777777" w:rsidR="00296648" w:rsidRPr="00800675" w:rsidRDefault="00296648" w:rsidP="00296648">
      <w:pPr>
        <w:pStyle w:val="Textonotapie"/>
        <w:ind w:firstLine="709"/>
        <w:jc w:val="both"/>
        <w:rPr>
          <w:rFonts w:ascii="Verdana" w:hAnsi="Verdana" w:cs="Arial"/>
          <w:sz w:val="16"/>
          <w:szCs w:val="16"/>
        </w:rPr>
      </w:pPr>
    </w:p>
    <w:p w14:paraId="188585AD" w14:textId="77777777" w:rsidR="00296648" w:rsidRPr="00800675" w:rsidRDefault="00296648" w:rsidP="00296648">
      <w:pPr>
        <w:pStyle w:val="Textonotapie"/>
        <w:ind w:firstLine="709"/>
        <w:jc w:val="both"/>
        <w:rPr>
          <w:rFonts w:ascii="Verdana" w:hAnsi="Verdana" w:cs="Arial"/>
          <w:sz w:val="16"/>
          <w:szCs w:val="16"/>
        </w:rPr>
      </w:pPr>
      <w:r w:rsidRPr="00800675">
        <w:rPr>
          <w:rStyle w:val="Refdenotaalpie"/>
          <w:rFonts w:ascii="Verdana" w:hAnsi="Verdana" w:cs="Arial"/>
          <w:sz w:val="16"/>
          <w:szCs w:val="16"/>
        </w:rPr>
        <w:footnoteRef/>
      </w:r>
      <w:r w:rsidRPr="00800675">
        <w:rPr>
          <w:rFonts w:ascii="Verdana" w:hAnsi="Verdana" w:cs="Arial"/>
          <w:sz w:val="16"/>
          <w:szCs w:val="16"/>
        </w:rPr>
        <w:t xml:space="preserve"> Código Civil: “Artículo 1502. Requisitos para obligarse. Para que una persona se obligue a otra por un acto o declaración de voluntad, es necesario:</w:t>
      </w:r>
    </w:p>
    <w:p w14:paraId="188585AE" w14:textId="77777777" w:rsidR="00296648" w:rsidRPr="00800675" w:rsidRDefault="00296648" w:rsidP="00296648">
      <w:pPr>
        <w:pStyle w:val="Textonotapie"/>
        <w:ind w:firstLine="709"/>
        <w:jc w:val="both"/>
        <w:rPr>
          <w:rFonts w:ascii="Verdana" w:hAnsi="Verdana" w:cs="Arial"/>
          <w:sz w:val="16"/>
          <w:szCs w:val="16"/>
        </w:rPr>
      </w:pPr>
      <w:r w:rsidRPr="00800675">
        <w:rPr>
          <w:rFonts w:ascii="Verdana" w:hAnsi="Verdana" w:cs="Arial"/>
          <w:sz w:val="16"/>
          <w:szCs w:val="16"/>
        </w:rPr>
        <w:t>1o.) que sea legalmente capaz.</w:t>
      </w:r>
    </w:p>
    <w:p w14:paraId="188585AF" w14:textId="77777777" w:rsidR="00296648" w:rsidRPr="00800675" w:rsidRDefault="00296648" w:rsidP="00296648">
      <w:pPr>
        <w:pStyle w:val="Textonotapie"/>
        <w:ind w:firstLine="709"/>
        <w:jc w:val="both"/>
        <w:rPr>
          <w:rFonts w:ascii="Verdana" w:hAnsi="Verdana" w:cs="Arial"/>
          <w:sz w:val="16"/>
          <w:szCs w:val="16"/>
        </w:rPr>
      </w:pPr>
      <w:r w:rsidRPr="00800675">
        <w:rPr>
          <w:rFonts w:ascii="Verdana" w:hAnsi="Verdana" w:cs="Arial"/>
          <w:sz w:val="16"/>
          <w:szCs w:val="16"/>
        </w:rPr>
        <w:t>[…]</w:t>
      </w:r>
    </w:p>
    <w:p w14:paraId="188585B0" w14:textId="77777777" w:rsidR="00296648" w:rsidRPr="00800675" w:rsidRDefault="00296648" w:rsidP="00296648">
      <w:pPr>
        <w:pStyle w:val="Textonotapie"/>
        <w:ind w:firstLine="709"/>
        <w:jc w:val="both"/>
        <w:rPr>
          <w:rFonts w:ascii="Verdana" w:hAnsi="Verdana" w:cs="Arial"/>
          <w:sz w:val="16"/>
          <w:szCs w:val="16"/>
        </w:rPr>
      </w:pPr>
      <w:r w:rsidRPr="00800675">
        <w:rPr>
          <w:rFonts w:ascii="Verdana" w:hAnsi="Verdana" w:cs="Arial"/>
          <w:sz w:val="16"/>
          <w:szCs w:val="16"/>
        </w:rPr>
        <w:t>La capacidad legal de una persona consiste en poderse obligar por sí misma, sin el ministerio o la autorización de otra”.</w:t>
      </w:r>
    </w:p>
  </w:footnote>
  <w:footnote w:id="8">
    <w:p w14:paraId="188585B1" w14:textId="77777777" w:rsidR="00296648" w:rsidRPr="00800675" w:rsidRDefault="00296648" w:rsidP="00296648">
      <w:pPr>
        <w:pStyle w:val="Textonotapie"/>
        <w:ind w:firstLine="709"/>
        <w:jc w:val="both"/>
        <w:rPr>
          <w:rFonts w:ascii="Verdana" w:hAnsi="Verdana" w:cs="Arial"/>
          <w:sz w:val="16"/>
          <w:szCs w:val="16"/>
        </w:rPr>
      </w:pPr>
    </w:p>
    <w:p w14:paraId="188585B2" w14:textId="77777777" w:rsidR="00296648" w:rsidRPr="00800675" w:rsidRDefault="00296648" w:rsidP="00296648">
      <w:pPr>
        <w:pStyle w:val="Textonotapie"/>
        <w:ind w:firstLine="709"/>
        <w:jc w:val="both"/>
        <w:rPr>
          <w:rFonts w:ascii="Verdana" w:hAnsi="Verdana" w:cs="Arial"/>
          <w:sz w:val="16"/>
          <w:szCs w:val="16"/>
        </w:rPr>
      </w:pPr>
      <w:r w:rsidRPr="00800675">
        <w:rPr>
          <w:rStyle w:val="Refdenotaalpie"/>
          <w:rFonts w:ascii="Verdana" w:hAnsi="Verdana" w:cs="Arial"/>
          <w:sz w:val="16"/>
          <w:szCs w:val="16"/>
        </w:rPr>
        <w:footnoteRef/>
      </w:r>
      <w:r w:rsidRPr="00800675">
        <w:rPr>
          <w:rFonts w:ascii="Verdana" w:hAnsi="Verdana" w:cs="Arial"/>
          <w:sz w:val="16"/>
          <w:szCs w:val="16"/>
        </w:rPr>
        <w:t xml:space="preserve"> Decreto Ley 19 de 2012: “Artículo 221. El artículo 6 de la Ley 1150 de 2007, quedará así:</w:t>
      </w:r>
    </w:p>
    <w:p w14:paraId="188585B3" w14:textId="77777777" w:rsidR="00296648" w:rsidRPr="00800675" w:rsidRDefault="00296648" w:rsidP="00296648">
      <w:pPr>
        <w:pStyle w:val="Textonotapie"/>
        <w:ind w:firstLine="709"/>
        <w:jc w:val="both"/>
        <w:rPr>
          <w:rFonts w:ascii="Verdana" w:hAnsi="Verdana" w:cs="Arial"/>
          <w:sz w:val="16"/>
          <w:szCs w:val="16"/>
          <w:lang w:val="es-ES"/>
        </w:rPr>
      </w:pPr>
      <w:r w:rsidRPr="00800675">
        <w:rPr>
          <w:rFonts w:ascii="Verdana" w:hAnsi="Verdana" w:cs="Arial"/>
          <w:sz w:val="16"/>
          <w:szCs w:val="16"/>
        </w:rPr>
        <w:t>Artículo 6. De la verificación de las condiciones de los proponentes. T</w:t>
      </w:r>
      <w:r w:rsidRPr="00800675">
        <w:rPr>
          <w:rFonts w:ascii="Verdana" w:hAnsi="Verdana" w:cs="Arial"/>
          <w:sz w:val="16"/>
          <w:szCs w:val="16"/>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88585B4" w14:textId="77777777" w:rsidR="00296648" w:rsidRPr="00800675" w:rsidRDefault="00296648" w:rsidP="00296648">
      <w:pPr>
        <w:pStyle w:val="Textonotapie"/>
        <w:ind w:firstLine="709"/>
        <w:jc w:val="both"/>
        <w:rPr>
          <w:rFonts w:ascii="Verdana" w:hAnsi="Verdana" w:cs="Arial"/>
          <w:sz w:val="16"/>
          <w:szCs w:val="16"/>
          <w:lang w:val="es-ES"/>
        </w:rPr>
      </w:pPr>
      <w:r w:rsidRPr="00800675">
        <w:rPr>
          <w:rFonts w:ascii="Verdana" w:hAnsi="Verdana" w:cs="Arial"/>
          <w:sz w:val="16"/>
          <w:szCs w:val="16"/>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88585B5" w14:textId="77777777" w:rsidR="00296648" w:rsidRPr="00800675" w:rsidRDefault="00296648" w:rsidP="00296648">
      <w:pPr>
        <w:pStyle w:val="Textonotapie"/>
        <w:ind w:firstLine="709"/>
        <w:jc w:val="both"/>
        <w:rPr>
          <w:rFonts w:ascii="Verdana" w:hAnsi="Verdana" w:cs="Arial"/>
          <w:sz w:val="16"/>
          <w:szCs w:val="16"/>
          <w:lang w:val="es-ES"/>
        </w:rPr>
      </w:pPr>
    </w:p>
  </w:footnote>
  <w:footnote w:id="9">
    <w:p w14:paraId="188585B6" w14:textId="77777777" w:rsidR="00296648" w:rsidRPr="00800675" w:rsidRDefault="00296648" w:rsidP="00296648">
      <w:pPr>
        <w:pStyle w:val="Textonotapie"/>
        <w:ind w:firstLine="709"/>
        <w:jc w:val="both"/>
        <w:rPr>
          <w:rFonts w:ascii="Verdana" w:hAnsi="Verdana" w:cs="Arial"/>
          <w:sz w:val="16"/>
          <w:szCs w:val="16"/>
          <w:lang w:val="es-ES"/>
        </w:rPr>
      </w:pPr>
      <w:r w:rsidRPr="00800675">
        <w:rPr>
          <w:rStyle w:val="Refdenotaalpie"/>
          <w:rFonts w:ascii="Verdana" w:hAnsi="Verdana" w:cs="Arial"/>
          <w:sz w:val="16"/>
          <w:szCs w:val="16"/>
        </w:rPr>
        <w:footnoteRef/>
      </w:r>
      <w:r w:rsidRPr="00800675">
        <w:rPr>
          <w:rFonts w:ascii="Verdana" w:hAnsi="Verdana" w:cs="Arial"/>
          <w:sz w:val="16"/>
          <w:szCs w:val="16"/>
        </w:rPr>
        <w:t xml:space="preserve"> </w:t>
      </w:r>
      <w:r w:rsidRPr="00800675">
        <w:rPr>
          <w:rFonts w:ascii="Verdana" w:hAnsi="Verdana" w:cs="Arial"/>
          <w:sz w:val="16"/>
          <w:szCs w:val="16"/>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800675">
        <w:rPr>
          <w:rFonts w:ascii="Verdana" w:hAnsi="Verdana" w:cs="Arial"/>
          <w:i/>
          <w:iCs/>
          <w:sz w:val="16"/>
          <w:szCs w:val="16"/>
          <w:lang w:val="es-ES"/>
        </w:rPr>
        <w:t>el régimen de inhabilidades e incompatibilidades</w:t>
      </w:r>
      <w:r w:rsidRPr="00800675">
        <w:rPr>
          <w:rFonts w:ascii="Verdana" w:hAnsi="Verdana" w:cs="Arial"/>
          <w:sz w:val="16"/>
          <w:szCs w:val="16"/>
          <w:lang w:val="es-ES"/>
        </w:rPr>
        <w:t xml:space="preserve"> (1) y la obligación de ciertos proponentes de inscribirse en el </w:t>
      </w:r>
      <w:r w:rsidRPr="00800675">
        <w:rPr>
          <w:rFonts w:ascii="Verdana" w:hAnsi="Verdana" w:cs="Arial"/>
          <w:i/>
          <w:iCs/>
          <w:sz w:val="16"/>
          <w:szCs w:val="16"/>
          <w:lang w:val="es-ES"/>
        </w:rPr>
        <w:t>registro único</w:t>
      </w:r>
      <w:r w:rsidRPr="00800675">
        <w:rPr>
          <w:rFonts w:ascii="Verdana" w:hAnsi="Verdana" w:cs="Arial"/>
          <w:sz w:val="16"/>
          <w:szCs w:val="16"/>
          <w:lang w:val="es-ES"/>
        </w:rPr>
        <w:t xml:space="preserve"> (2)” (BENAVIDES, José Luis. El contrato estatal. Entre el Derecho público y el Derecho privado. 2ª ed. Bogotá: Universidad Externado de Colombia, 2004. p. 278). </w:t>
      </w:r>
    </w:p>
    <w:p w14:paraId="188585B7" w14:textId="77777777" w:rsidR="00296648" w:rsidRPr="00800675" w:rsidRDefault="00296648" w:rsidP="00296648">
      <w:pPr>
        <w:pStyle w:val="Textonotapie"/>
        <w:ind w:firstLine="709"/>
        <w:jc w:val="both"/>
        <w:rPr>
          <w:rFonts w:ascii="Verdana" w:hAnsi="Verdana" w:cs="Arial"/>
          <w:sz w:val="16"/>
          <w:szCs w:val="16"/>
          <w:lang w:val="es-ES"/>
        </w:rPr>
      </w:pPr>
    </w:p>
  </w:footnote>
  <w:footnote w:id="10">
    <w:p w14:paraId="188585B8" w14:textId="77777777" w:rsidR="00296648" w:rsidRPr="00800675" w:rsidRDefault="00296648" w:rsidP="00296648">
      <w:pPr>
        <w:spacing w:after="0" w:line="240" w:lineRule="auto"/>
        <w:ind w:firstLine="709"/>
        <w:jc w:val="both"/>
        <w:rPr>
          <w:rFonts w:ascii="Verdana" w:hAnsi="Verdana" w:cs="Arial"/>
          <w:sz w:val="16"/>
          <w:szCs w:val="16"/>
          <w:lang w:val="es-ES"/>
        </w:rPr>
      </w:pPr>
      <w:r w:rsidRPr="00800675">
        <w:rPr>
          <w:rStyle w:val="Refdenotaalpie"/>
          <w:rFonts w:ascii="Verdana" w:hAnsi="Verdana" w:cs="Arial"/>
          <w:sz w:val="16"/>
          <w:szCs w:val="16"/>
        </w:rPr>
        <w:footnoteRef/>
      </w:r>
      <w:r w:rsidRPr="00800675">
        <w:rPr>
          <w:rFonts w:ascii="Verdana" w:hAnsi="Verdana" w:cs="Arial"/>
          <w:sz w:val="16"/>
          <w:szCs w:val="16"/>
        </w:rPr>
        <w:t xml:space="preserve"> </w:t>
      </w:r>
      <w:r w:rsidRPr="00800675">
        <w:rPr>
          <w:rFonts w:ascii="Verdana" w:hAnsi="Verdana" w:cs="Arial"/>
          <w:sz w:val="16"/>
          <w:szCs w:val="16"/>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188585B9" w14:textId="77777777" w:rsidR="00296648" w:rsidRPr="00800675" w:rsidRDefault="00296648" w:rsidP="00296648">
      <w:pPr>
        <w:spacing w:after="0" w:line="240" w:lineRule="auto"/>
        <w:ind w:firstLine="709"/>
        <w:jc w:val="both"/>
        <w:rPr>
          <w:rFonts w:ascii="Verdana" w:hAnsi="Verdana" w:cs="Arial"/>
          <w:sz w:val="16"/>
          <w:szCs w:val="16"/>
          <w:lang w:val="es-ES"/>
        </w:rPr>
      </w:pPr>
    </w:p>
  </w:footnote>
  <w:footnote w:id="11">
    <w:p w14:paraId="188585BA" w14:textId="77777777" w:rsidR="00296648" w:rsidRPr="00800675" w:rsidRDefault="00296648" w:rsidP="00296648">
      <w:pPr>
        <w:pStyle w:val="Textonotapie"/>
        <w:ind w:firstLine="709"/>
        <w:jc w:val="both"/>
        <w:rPr>
          <w:rFonts w:ascii="Verdana" w:hAnsi="Verdana" w:cs="Arial"/>
          <w:sz w:val="16"/>
          <w:szCs w:val="16"/>
          <w:lang w:val="es-ES"/>
        </w:rPr>
      </w:pPr>
      <w:r w:rsidRPr="00800675">
        <w:rPr>
          <w:rStyle w:val="Refdenotaalpie"/>
          <w:rFonts w:ascii="Verdana" w:hAnsi="Verdana" w:cs="Arial"/>
          <w:sz w:val="16"/>
          <w:szCs w:val="16"/>
        </w:rPr>
        <w:footnoteRef/>
      </w:r>
      <w:r w:rsidRPr="00800675">
        <w:rPr>
          <w:rFonts w:ascii="Verdana" w:hAnsi="Verdana" w:cs="Arial"/>
          <w:sz w:val="16"/>
          <w:szCs w:val="16"/>
        </w:rPr>
        <w:t xml:space="preserve"> </w:t>
      </w:r>
      <w:r w:rsidRPr="00800675">
        <w:rPr>
          <w:rFonts w:ascii="Verdana" w:hAnsi="Verdana" w:cs="Arial"/>
          <w:sz w:val="16"/>
          <w:szCs w:val="16"/>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188585BB" w14:textId="77777777" w:rsidR="00296648" w:rsidRPr="00800675" w:rsidRDefault="00296648" w:rsidP="00296648">
      <w:pPr>
        <w:pStyle w:val="Textonotapie"/>
        <w:ind w:firstLine="709"/>
        <w:jc w:val="both"/>
        <w:rPr>
          <w:rFonts w:ascii="Verdana" w:hAnsi="Verdana" w:cs="Arial"/>
          <w:sz w:val="16"/>
          <w:szCs w:val="16"/>
          <w:lang w:val="es-ES"/>
        </w:rPr>
      </w:pPr>
    </w:p>
  </w:footnote>
  <w:footnote w:id="12">
    <w:p w14:paraId="188585BC" w14:textId="77777777" w:rsidR="00296648" w:rsidRPr="00800675" w:rsidRDefault="00296648" w:rsidP="00296648">
      <w:pPr>
        <w:pStyle w:val="Textonotapie"/>
        <w:ind w:firstLine="709"/>
        <w:jc w:val="both"/>
        <w:rPr>
          <w:rFonts w:ascii="Verdana" w:hAnsi="Verdana" w:cs="Arial"/>
          <w:sz w:val="16"/>
          <w:szCs w:val="16"/>
          <w:lang w:val="es-ES"/>
        </w:rPr>
      </w:pPr>
      <w:r w:rsidRPr="00800675">
        <w:rPr>
          <w:rStyle w:val="Refdenotaalpie"/>
          <w:rFonts w:ascii="Verdana" w:hAnsi="Verdana" w:cs="Arial"/>
          <w:sz w:val="16"/>
          <w:szCs w:val="16"/>
        </w:rPr>
        <w:footnoteRef/>
      </w:r>
      <w:r w:rsidRPr="00800675">
        <w:rPr>
          <w:rFonts w:ascii="Verdana" w:hAnsi="Verdana" w:cs="Arial"/>
          <w:sz w:val="16"/>
          <w:szCs w:val="16"/>
        </w:rPr>
        <w:t xml:space="preserve"> </w:t>
      </w:r>
      <w:r w:rsidRPr="00800675">
        <w:rPr>
          <w:rFonts w:ascii="Verdana" w:hAnsi="Verdana" w:cs="Arial"/>
          <w:sz w:val="16"/>
          <w:szCs w:val="16"/>
          <w:lang w:val="es-ES"/>
        </w:rPr>
        <w:t>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num. 1º, lit. k), Ley 80/93, modificado por el art. 33, Ley 1778/16); “Quienes fueron miembros de la junta o consejo directivo o servidores públicos de la entidad contratante” (art. 8, num. 2º, lit.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w:t>
      </w:r>
    </w:p>
  </w:footnote>
  <w:footnote w:id="13">
    <w:p w14:paraId="188585BD" w14:textId="77777777" w:rsidR="00296648" w:rsidRPr="00800675" w:rsidRDefault="00296648" w:rsidP="00296648">
      <w:pPr>
        <w:spacing w:after="0" w:line="240" w:lineRule="auto"/>
        <w:ind w:firstLine="709"/>
        <w:jc w:val="both"/>
        <w:rPr>
          <w:rFonts w:ascii="Verdana" w:hAnsi="Verdana" w:cs="Arial"/>
          <w:sz w:val="16"/>
          <w:szCs w:val="16"/>
        </w:rPr>
      </w:pPr>
    </w:p>
    <w:p w14:paraId="188585BE" w14:textId="77777777" w:rsidR="00296648" w:rsidRPr="00800675" w:rsidRDefault="00296648" w:rsidP="00296648">
      <w:pPr>
        <w:spacing w:after="0" w:line="240" w:lineRule="auto"/>
        <w:ind w:firstLine="709"/>
        <w:jc w:val="both"/>
        <w:rPr>
          <w:rFonts w:ascii="Verdana" w:hAnsi="Verdana" w:cs="Arial"/>
          <w:sz w:val="16"/>
          <w:szCs w:val="16"/>
          <w:lang w:val="es-ES"/>
        </w:rPr>
      </w:pPr>
      <w:r w:rsidRPr="00800675">
        <w:rPr>
          <w:rStyle w:val="Refdenotaalpie"/>
          <w:rFonts w:ascii="Verdana" w:hAnsi="Verdana" w:cs="Arial"/>
          <w:sz w:val="16"/>
          <w:szCs w:val="16"/>
        </w:rPr>
        <w:footnoteRef/>
      </w:r>
      <w:r w:rsidRPr="00800675">
        <w:rPr>
          <w:rFonts w:ascii="Verdana" w:hAnsi="Verdana" w:cs="Arial"/>
          <w:sz w:val="16"/>
          <w:szCs w:val="16"/>
        </w:rPr>
        <w:t xml:space="preserve"> </w:t>
      </w:r>
      <w:r w:rsidRPr="00800675">
        <w:rPr>
          <w:rFonts w:ascii="Verdana" w:hAnsi="Verdana" w:cs="Arial"/>
          <w:sz w:val="16"/>
          <w:szCs w:val="16"/>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14:paraId="188585BF" w14:textId="77777777" w:rsidR="00296648" w:rsidRPr="00800675" w:rsidRDefault="00296648" w:rsidP="00296648">
      <w:pPr>
        <w:spacing w:after="0" w:line="240" w:lineRule="auto"/>
        <w:ind w:firstLine="709"/>
        <w:jc w:val="both"/>
        <w:rPr>
          <w:rFonts w:ascii="Verdana" w:hAnsi="Verdana" w:cs="Arial"/>
          <w:sz w:val="16"/>
          <w:szCs w:val="16"/>
          <w:lang w:val="es-ES"/>
        </w:rPr>
      </w:pPr>
    </w:p>
  </w:footnote>
  <w:footnote w:id="14">
    <w:p w14:paraId="188585C0" w14:textId="77777777" w:rsidR="00296648" w:rsidRPr="00800675" w:rsidRDefault="00296648" w:rsidP="00296648">
      <w:pPr>
        <w:pStyle w:val="Textonotapie"/>
        <w:ind w:firstLine="709"/>
        <w:jc w:val="both"/>
        <w:rPr>
          <w:rFonts w:ascii="Verdana" w:hAnsi="Verdana" w:cs="Arial"/>
          <w:sz w:val="16"/>
          <w:szCs w:val="16"/>
        </w:rPr>
      </w:pPr>
      <w:r w:rsidRPr="00800675">
        <w:rPr>
          <w:rStyle w:val="Refdenotaalpie"/>
          <w:rFonts w:ascii="Verdana" w:hAnsi="Verdana" w:cs="Arial"/>
          <w:sz w:val="16"/>
          <w:szCs w:val="16"/>
        </w:rPr>
        <w:footnoteRef/>
      </w:r>
      <w:r w:rsidRPr="00800675">
        <w:rPr>
          <w:rFonts w:ascii="Verdana" w:hAnsi="Verdana" w:cs="Arial"/>
          <w:sz w:val="16"/>
          <w:szCs w:val="16"/>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p w14:paraId="188585C1" w14:textId="77777777" w:rsidR="00296648" w:rsidRPr="00800675" w:rsidRDefault="00296648" w:rsidP="00296648">
      <w:pPr>
        <w:pStyle w:val="Textonotapie"/>
        <w:ind w:firstLine="709"/>
        <w:jc w:val="both"/>
        <w:rPr>
          <w:rFonts w:ascii="Verdana" w:hAnsi="Verdana" w:cs="Arial"/>
          <w:sz w:val="16"/>
          <w:szCs w:val="16"/>
        </w:rPr>
      </w:pPr>
    </w:p>
  </w:footnote>
  <w:footnote w:id="15">
    <w:p w14:paraId="188585C2" w14:textId="77777777" w:rsidR="00296648" w:rsidRPr="00800675" w:rsidRDefault="00296648" w:rsidP="00296648">
      <w:pPr>
        <w:pStyle w:val="Textonotapie"/>
        <w:ind w:firstLine="709"/>
        <w:jc w:val="both"/>
        <w:rPr>
          <w:rFonts w:ascii="Verdana" w:hAnsi="Verdana" w:cs="Arial"/>
          <w:sz w:val="16"/>
          <w:szCs w:val="16"/>
          <w:lang w:val="es-ES"/>
        </w:rPr>
      </w:pPr>
      <w:r w:rsidRPr="00800675">
        <w:rPr>
          <w:rStyle w:val="Refdenotaalpie"/>
          <w:rFonts w:ascii="Verdana" w:hAnsi="Verdana" w:cs="Arial"/>
          <w:sz w:val="16"/>
          <w:szCs w:val="16"/>
        </w:rPr>
        <w:footnoteRef/>
      </w:r>
      <w:r w:rsidRPr="00800675">
        <w:rPr>
          <w:rFonts w:ascii="Verdana" w:hAnsi="Verdana" w:cs="Arial"/>
          <w:sz w:val="16"/>
          <w:szCs w:val="16"/>
        </w:rPr>
        <w:t xml:space="preserve"> </w:t>
      </w:r>
      <w:r w:rsidRPr="00800675">
        <w:rPr>
          <w:rFonts w:ascii="Verdana" w:hAnsi="Verdana" w:cs="Arial"/>
          <w:sz w:val="16"/>
          <w:szCs w:val="16"/>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188585C3" w14:textId="77777777" w:rsidR="00296648" w:rsidRPr="00800675" w:rsidRDefault="00296648" w:rsidP="00296648">
      <w:pPr>
        <w:pStyle w:val="Textonotapie"/>
        <w:ind w:firstLine="709"/>
        <w:jc w:val="both"/>
        <w:rPr>
          <w:rFonts w:ascii="Verdana" w:hAnsi="Verdana" w:cs="Arial"/>
          <w:sz w:val="16"/>
          <w:szCs w:val="16"/>
          <w:lang w:val="es-ES"/>
        </w:rPr>
      </w:pPr>
    </w:p>
  </w:footnote>
  <w:footnote w:id="16">
    <w:p w14:paraId="188585C4" w14:textId="77777777" w:rsidR="00296648" w:rsidRPr="00800675" w:rsidRDefault="00296648" w:rsidP="00296648">
      <w:pPr>
        <w:pStyle w:val="Textonotapie"/>
        <w:tabs>
          <w:tab w:val="left" w:pos="2760"/>
        </w:tabs>
        <w:ind w:firstLine="709"/>
        <w:jc w:val="both"/>
        <w:rPr>
          <w:rFonts w:ascii="Verdana" w:hAnsi="Verdana" w:cs="Arial"/>
          <w:sz w:val="16"/>
          <w:szCs w:val="16"/>
          <w:lang w:val="es-ES"/>
        </w:rPr>
      </w:pPr>
      <w:r w:rsidRPr="00800675">
        <w:rPr>
          <w:rStyle w:val="Refdenotaalpie"/>
          <w:rFonts w:ascii="Verdana" w:hAnsi="Verdana" w:cs="Arial"/>
          <w:sz w:val="16"/>
          <w:szCs w:val="16"/>
        </w:rPr>
        <w:footnoteRef/>
      </w:r>
      <w:r w:rsidRPr="00800675">
        <w:rPr>
          <w:rFonts w:ascii="Verdana" w:hAnsi="Verdana" w:cs="Arial"/>
          <w:sz w:val="16"/>
          <w:szCs w:val="16"/>
        </w:rPr>
        <w:t xml:space="preserve"> </w:t>
      </w:r>
      <w:r w:rsidRPr="00800675">
        <w:rPr>
          <w:rFonts w:ascii="Verdana" w:hAnsi="Verdana" w:cs="Arial"/>
          <w:sz w:val="16"/>
          <w:szCs w:val="16"/>
          <w:lang w:val="es-ES"/>
        </w:rPr>
        <w:t>Ibídem. p. 69.</w:t>
      </w:r>
      <w:r w:rsidRPr="00800675">
        <w:rPr>
          <w:rFonts w:ascii="Verdana" w:hAnsi="Verdana" w:cs="Arial"/>
          <w:sz w:val="16"/>
          <w:szCs w:val="16"/>
          <w:lang w:val="es-ES"/>
        </w:rPr>
        <w:tab/>
      </w:r>
    </w:p>
    <w:p w14:paraId="188585C5" w14:textId="77777777" w:rsidR="00296648" w:rsidRPr="00800675" w:rsidRDefault="00296648" w:rsidP="00296648">
      <w:pPr>
        <w:pStyle w:val="Textonotapie"/>
        <w:tabs>
          <w:tab w:val="left" w:pos="2760"/>
        </w:tabs>
        <w:ind w:firstLine="709"/>
        <w:jc w:val="both"/>
        <w:rPr>
          <w:rFonts w:ascii="Verdana" w:hAnsi="Verdana" w:cs="Arial"/>
          <w:sz w:val="16"/>
          <w:szCs w:val="16"/>
          <w:lang w:val="es-ES_tradnl"/>
        </w:rPr>
      </w:pPr>
    </w:p>
  </w:footnote>
  <w:footnote w:id="17">
    <w:p w14:paraId="188585C6" w14:textId="77777777" w:rsidR="00296648" w:rsidRPr="00800675" w:rsidRDefault="00296648" w:rsidP="00296648">
      <w:pPr>
        <w:pStyle w:val="Textonotapie"/>
        <w:ind w:firstLine="709"/>
        <w:jc w:val="both"/>
        <w:rPr>
          <w:rFonts w:ascii="Verdana" w:hAnsi="Verdana" w:cs="Arial"/>
          <w:sz w:val="16"/>
          <w:szCs w:val="16"/>
          <w:lang w:val="es-ES"/>
        </w:rPr>
      </w:pPr>
      <w:r w:rsidRPr="00800675">
        <w:rPr>
          <w:rStyle w:val="Refdenotaalpie"/>
          <w:rFonts w:ascii="Verdana" w:hAnsi="Verdana" w:cs="Arial"/>
          <w:sz w:val="16"/>
          <w:szCs w:val="16"/>
        </w:rPr>
        <w:footnoteRef/>
      </w:r>
      <w:r w:rsidRPr="00800675">
        <w:rPr>
          <w:rFonts w:ascii="Verdana" w:hAnsi="Verdana" w:cs="Arial"/>
          <w:sz w:val="16"/>
          <w:szCs w:val="16"/>
        </w:rPr>
        <w:t xml:space="preserve"> </w:t>
      </w:r>
      <w:r w:rsidRPr="00800675">
        <w:rPr>
          <w:rFonts w:ascii="Verdana" w:hAnsi="Verdana" w:cs="Arial"/>
          <w:sz w:val="16"/>
          <w:szCs w:val="16"/>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188585C7" w14:textId="77777777" w:rsidR="00296648" w:rsidRPr="00800675" w:rsidRDefault="00296648" w:rsidP="00296648">
      <w:pPr>
        <w:pStyle w:val="Textonotapie"/>
        <w:ind w:firstLine="709"/>
        <w:jc w:val="both"/>
        <w:rPr>
          <w:rFonts w:ascii="Verdana" w:hAnsi="Verdana" w:cs="Arial"/>
          <w:sz w:val="16"/>
          <w:szCs w:val="16"/>
          <w:lang w:val="es-ES"/>
        </w:rPr>
      </w:pPr>
    </w:p>
  </w:footnote>
  <w:footnote w:id="18">
    <w:p w14:paraId="188585C8" w14:textId="77777777" w:rsidR="00296648" w:rsidRPr="00800675" w:rsidRDefault="00296648" w:rsidP="00296648">
      <w:pPr>
        <w:pStyle w:val="Textonotapie"/>
        <w:ind w:firstLine="709"/>
        <w:jc w:val="both"/>
        <w:rPr>
          <w:rFonts w:ascii="Verdana" w:hAnsi="Verdana" w:cs="Arial"/>
          <w:sz w:val="16"/>
          <w:szCs w:val="16"/>
        </w:rPr>
      </w:pPr>
    </w:p>
    <w:p w14:paraId="188585C9" w14:textId="77777777" w:rsidR="00296648" w:rsidRPr="00800675" w:rsidRDefault="00296648" w:rsidP="00296648">
      <w:pPr>
        <w:pStyle w:val="Textonotapie"/>
        <w:ind w:firstLine="709"/>
        <w:jc w:val="both"/>
        <w:rPr>
          <w:rFonts w:ascii="Verdana" w:hAnsi="Verdana" w:cs="Arial"/>
          <w:sz w:val="16"/>
          <w:szCs w:val="16"/>
          <w:lang w:val="es-ES"/>
        </w:rPr>
      </w:pPr>
      <w:r w:rsidRPr="00800675">
        <w:rPr>
          <w:rStyle w:val="Refdenotaalpie"/>
          <w:rFonts w:ascii="Verdana" w:hAnsi="Verdana" w:cs="Arial"/>
          <w:sz w:val="16"/>
          <w:szCs w:val="16"/>
        </w:rPr>
        <w:footnoteRef/>
      </w:r>
      <w:r w:rsidRPr="00800675">
        <w:rPr>
          <w:rFonts w:ascii="Verdana" w:hAnsi="Verdana" w:cs="Arial"/>
          <w:sz w:val="16"/>
          <w:szCs w:val="16"/>
        </w:rPr>
        <w:t xml:space="preserve"> </w:t>
      </w:r>
      <w:r w:rsidRPr="00800675">
        <w:rPr>
          <w:rFonts w:ascii="Verdana" w:hAnsi="Verdana" w:cs="Arial"/>
          <w:sz w:val="16"/>
          <w:szCs w:val="16"/>
          <w:lang w:val="es-ES"/>
        </w:rPr>
        <w:t>CONSEJO DE ESTADO. Sala de Consulta y Servicio Civil. Concepto del 30 de abril de 2015. Exp. 2251. C.P. Álvaro Namén Vargas.</w:t>
      </w:r>
    </w:p>
  </w:footnote>
  <w:footnote w:id="19">
    <w:p w14:paraId="188585CA" w14:textId="77777777" w:rsidR="00296648" w:rsidRPr="00800675" w:rsidRDefault="00296648" w:rsidP="00296648">
      <w:pPr>
        <w:pStyle w:val="Textonotapie"/>
        <w:ind w:firstLine="709"/>
        <w:jc w:val="both"/>
        <w:rPr>
          <w:rFonts w:ascii="Verdana" w:hAnsi="Verdana" w:cs="Arial"/>
          <w:sz w:val="16"/>
          <w:szCs w:val="16"/>
        </w:rPr>
      </w:pPr>
    </w:p>
    <w:p w14:paraId="188585CB" w14:textId="77777777" w:rsidR="00296648" w:rsidRPr="00800675" w:rsidRDefault="00296648" w:rsidP="00296648">
      <w:pPr>
        <w:pStyle w:val="Textonotapie"/>
        <w:ind w:firstLine="709"/>
        <w:jc w:val="both"/>
        <w:rPr>
          <w:rFonts w:ascii="Verdana" w:hAnsi="Verdana" w:cs="Arial"/>
          <w:sz w:val="16"/>
          <w:szCs w:val="16"/>
        </w:rPr>
      </w:pPr>
      <w:r w:rsidRPr="00800675">
        <w:rPr>
          <w:rStyle w:val="Refdenotaalpie"/>
          <w:rFonts w:ascii="Verdana" w:hAnsi="Verdana" w:cs="Arial"/>
          <w:sz w:val="16"/>
          <w:szCs w:val="16"/>
        </w:rPr>
        <w:footnoteRef/>
      </w:r>
      <w:r w:rsidRPr="00800675">
        <w:rPr>
          <w:rFonts w:ascii="Verdana" w:hAnsi="Verdana" w:cs="Arial"/>
          <w:sz w:val="16"/>
          <w:szCs w:val="16"/>
        </w:rPr>
        <w:t xml:space="preserve"> CONSEJO DE ESTADO. Sección Tercera. Subsección A. Sentencia del 24 de junio de 2015. Exp. 40.635. C.P. Hernán Andrade Rincón (E).</w:t>
      </w:r>
    </w:p>
    <w:p w14:paraId="188585CC" w14:textId="77777777" w:rsidR="00296648" w:rsidRPr="00800675" w:rsidRDefault="00296648" w:rsidP="00296648">
      <w:pPr>
        <w:pStyle w:val="Textonotapie"/>
        <w:ind w:firstLine="709"/>
        <w:jc w:val="both"/>
        <w:rPr>
          <w:rFonts w:ascii="Verdana" w:hAnsi="Verdana" w:cs="Arial"/>
          <w:sz w:val="16"/>
          <w:szCs w:val="16"/>
        </w:rPr>
      </w:pPr>
    </w:p>
  </w:footnote>
  <w:footnote w:id="20">
    <w:p w14:paraId="188585CD" w14:textId="77777777" w:rsidR="00296648" w:rsidRPr="00800675" w:rsidRDefault="00296648" w:rsidP="00296648">
      <w:pPr>
        <w:pStyle w:val="Textonotapie"/>
        <w:ind w:firstLine="709"/>
        <w:jc w:val="both"/>
        <w:rPr>
          <w:rFonts w:ascii="Verdana" w:hAnsi="Verdana" w:cs="Arial"/>
          <w:sz w:val="16"/>
          <w:szCs w:val="16"/>
          <w:lang w:val="es-ES_tradnl"/>
        </w:rPr>
      </w:pPr>
      <w:r w:rsidRPr="00800675">
        <w:rPr>
          <w:rStyle w:val="Refdenotaalpie"/>
          <w:rFonts w:ascii="Verdana" w:hAnsi="Verdana" w:cs="Arial"/>
          <w:sz w:val="16"/>
          <w:szCs w:val="16"/>
        </w:rPr>
        <w:footnoteRef/>
      </w:r>
      <w:r w:rsidRPr="00800675">
        <w:rPr>
          <w:rFonts w:ascii="Verdana" w:hAnsi="Verdana" w:cs="Arial"/>
          <w:sz w:val="16"/>
          <w:szCs w:val="16"/>
        </w:rPr>
        <w:t xml:space="preserve"> CONSEJO DE ESTADO. Sección Tercera. Subsección C. Sentencia del 22 de mayo de 2013. Rad. 24.057. C.P. Olga Mélida Valle De De La Hoz. </w:t>
      </w:r>
    </w:p>
  </w:footnote>
  <w:footnote w:id="21">
    <w:p w14:paraId="188585CE" w14:textId="77777777" w:rsidR="00296648" w:rsidRPr="00800675" w:rsidRDefault="00296648" w:rsidP="00296648">
      <w:pPr>
        <w:pStyle w:val="Textonotapie"/>
        <w:ind w:firstLine="709"/>
        <w:jc w:val="both"/>
        <w:rPr>
          <w:rFonts w:ascii="Verdana" w:hAnsi="Verdana" w:cs="Arial"/>
          <w:sz w:val="16"/>
          <w:szCs w:val="16"/>
        </w:rPr>
      </w:pPr>
    </w:p>
    <w:p w14:paraId="188585CF" w14:textId="77777777" w:rsidR="00296648" w:rsidRPr="00800675" w:rsidRDefault="00296648" w:rsidP="00296648">
      <w:pPr>
        <w:pStyle w:val="Textonotapie"/>
        <w:ind w:firstLine="709"/>
        <w:jc w:val="both"/>
        <w:rPr>
          <w:rFonts w:ascii="Verdana" w:hAnsi="Verdana" w:cs="Arial"/>
          <w:sz w:val="16"/>
          <w:szCs w:val="16"/>
          <w:lang w:val="pt-BR"/>
        </w:rPr>
      </w:pPr>
      <w:r w:rsidRPr="00800675">
        <w:rPr>
          <w:rStyle w:val="Refdenotaalpie"/>
          <w:rFonts w:ascii="Verdana" w:hAnsi="Verdana" w:cs="Arial"/>
          <w:sz w:val="16"/>
          <w:szCs w:val="16"/>
        </w:rPr>
        <w:footnoteRef/>
      </w:r>
      <w:r w:rsidRPr="00800675">
        <w:rPr>
          <w:rFonts w:ascii="Verdana" w:hAnsi="Verdana" w:cs="Arial"/>
          <w:sz w:val="16"/>
          <w:szCs w:val="16"/>
        </w:rPr>
        <w:t xml:space="preserve"> </w:t>
      </w:r>
      <w:r w:rsidRPr="00800675">
        <w:rPr>
          <w:rFonts w:ascii="Verdana" w:hAnsi="Verdana" w:cs="Arial"/>
          <w:sz w:val="16"/>
          <w:szCs w:val="16"/>
          <w:lang w:val="pt-BR"/>
        </w:rPr>
        <w:t>Corte Constitucional. Sentencia C-415 de 1994. M.P. Eduardo Cifuentes Muñoz.</w:t>
      </w:r>
    </w:p>
    <w:p w14:paraId="188585D0" w14:textId="77777777" w:rsidR="00296648" w:rsidRPr="00800675" w:rsidRDefault="00296648" w:rsidP="00296648">
      <w:pPr>
        <w:pStyle w:val="Textonotapie"/>
        <w:ind w:firstLine="709"/>
        <w:jc w:val="both"/>
        <w:rPr>
          <w:rFonts w:ascii="Verdana" w:hAnsi="Verdana" w:cs="Arial"/>
          <w:sz w:val="16"/>
          <w:szCs w:val="16"/>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8590" w14:textId="77777777" w:rsidR="00B3014A" w:rsidRDefault="00AB60F4">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1885859E" wp14:editId="1885859F">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188585A0" wp14:editId="188585A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8858591" w14:textId="77777777" w:rsidR="00B3014A" w:rsidRDefault="00B3014A" w:rsidP="00A211EE">
    <w:pPr>
      <w:pStyle w:val="Encabezado"/>
      <w:jc w:val="center"/>
    </w:pPr>
  </w:p>
  <w:p w14:paraId="18858592" w14:textId="77777777" w:rsidR="00B3014A" w:rsidRDefault="00B3014A">
    <w:pPr>
      <w:pStyle w:val="Encabezado"/>
    </w:pPr>
  </w:p>
  <w:p w14:paraId="18858593" w14:textId="77777777" w:rsidR="00B3014A" w:rsidRDefault="00B3014A" w:rsidP="00A211EE">
    <w:pPr>
      <w:spacing w:after="0"/>
      <w:rPr>
        <w:rFonts w:ascii="Verdana" w:hAnsi="Verdana"/>
        <w:b/>
        <w:bCs/>
        <w:sz w:val="24"/>
        <w:szCs w:val="24"/>
      </w:rPr>
    </w:pPr>
  </w:p>
  <w:p w14:paraId="18858594" w14:textId="77777777" w:rsidR="00B3014A" w:rsidRDefault="00AB60F4" w:rsidP="00A211EE">
    <w:pPr>
      <w:spacing w:after="0"/>
      <w:rPr>
        <w:rFonts w:ascii="Verdana" w:hAnsi="Verdana"/>
        <w:b/>
        <w:bCs/>
        <w:sz w:val="24"/>
        <w:szCs w:val="24"/>
      </w:rPr>
    </w:pPr>
    <w:r w:rsidRPr="00A211EE">
      <w:rPr>
        <w:rFonts w:ascii="Verdana" w:hAnsi="Verdana"/>
        <w:b/>
        <w:bCs/>
        <w:sz w:val="24"/>
        <w:szCs w:val="24"/>
      </w:rPr>
      <w:t>FORMATO PQRSD</w:t>
    </w:r>
  </w:p>
  <w:p w14:paraId="18858595" w14:textId="77777777" w:rsidR="00B3014A" w:rsidRPr="00A211EE" w:rsidRDefault="00B3014A" w:rsidP="00A211EE">
    <w:pPr>
      <w:spacing w:after="0" w:line="120" w:lineRule="auto"/>
      <w:rPr>
        <w:rFonts w:ascii="Verdana" w:hAnsi="Verdana"/>
        <w:b/>
        <w:bCs/>
        <w:sz w:val="24"/>
        <w:szCs w:val="24"/>
      </w:rPr>
    </w:pPr>
  </w:p>
  <w:p w14:paraId="18858596" w14:textId="77777777" w:rsidR="00B3014A" w:rsidRDefault="00B301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17A1800"/>
    <w:multiLevelType w:val="hybridMultilevel"/>
    <w:tmpl w:val="9706291C"/>
    <w:lvl w:ilvl="0" w:tplc="7546996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694460F"/>
    <w:multiLevelType w:val="hybridMultilevel"/>
    <w:tmpl w:val="A50EA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784039179">
    <w:abstractNumId w:val="3"/>
  </w:num>
  <w:num w:numId="3" w16cid:durableId="1240015687">
    <w:abstractNumId w:val="2"/>
  </w:num>
  <w:num w:numId="4" w16cid:durableId="99113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0F"/>
    <w:rsid w:val="000C3E77"/>
    <w:rsid w:val="00104B93"/>
    <w:rsid w:val="002005BE"/>
    <w:rsid w:val="00273778"/>
    <w:rsid w:val="002870A5"/>
    <w:rsid w:val="00293A71"/>
    <w:rsid w:val="00296648"/>
    <w:rsid w:val="003F63FC"/>
    <w:rsid w:val="0043496D"/>
    <w:rsid w:val="0048430F"/>
    <w:rsid w:val="006113E1"/>
    <w:rsid w:val="00680FAA"/>
    <w:rsid w:val="00800675"/>
    <w:rsid w:val="00912BB9"/>
    <w:rsid w:val="00923CEA"/>
    <w:rsid w:val="009C5272"/>
    <w:rsid w:val="00AB60F4"/>
    <w:rsid w:val="00B179A2"/>
    <w:rsid w:val="00B3014A"/>
    <w:rsid w:val="00B92F35"/>
    <w:rsid w:val="00D6096B"/>
    <w:rsid w:val="00DD2B64"/>
    <w:rsid w:val="00E627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8503"/>
  <w15:chartTrackingRefBased/>
  <w15:docId w15:val="{DF23F027-B989-4841-AE0E-A66F41E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0F"/>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43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430F"/>
    <w:rPr>
      <w:kern w:val="0"/>
      <w:sz w:val="22"/>
      <w:szCs w:val="22"/>
      <w14:ligatures w14:val="none"/>
    </w:rPr>
  </w:style>
  <w:style w:type="paragraph" w:styleId="Piedepgina">
    <w:name w:val="footer"/>
    <w:basedOn w:val="Normal"/>
    <w:link w:val="PiedepginaCar"/>
    <w:uiPriority w:val="99"/>
    <w:unhideWhenUsed/>
    <w:rsid w:val="004843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430F"/>
    <w:rPr>
      <w:kern w:val="0"/>
      <w:sz w:val="22"/>
      <w:szCs w:val="22"/>
      <w14:ligatures w14:val="none"/>
    </w:rPr>
  </w:style>
  <w:style w:type="paragraph" w:customStyle="1" w:styleId="Default">
    <w:name w:val="Default"/>
    <w:rsid w:val="0048430F"/>
    <w:pPr>
      <w:autoSpaceDE w:val="0"/>
      <w:autoSpaceDN w:val="0"/>
      <w:adjustRightInd w:val="0"/>
    </w:pPr>
    <w:rPr>
      <w:rFonts w:ascii="Arial" w:hAnsi="Arial" w:cs="Arial"/>
      <w:color w:val="000000"/>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48430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48430F"/>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8430F"/>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48430F"/>
    <w:rPr>
      <w:vertAlign w:val="superscript"/>
    </w:rPr>
  </w:style>
  <w:style w:type="character" w:customStyle="1" w:styleId="normaltextrun">
    <w:name w:val="normaltextrun"/>
    <w:basedOn w:val="Fuentedeprrafopredeter"/>
    <w:rsid w:val="0048430F"/>
  </w:style>
  <w:style w:type="table" w:styleId="Tablaconcuadrcula">
    <w:name w:val="Table Grid"/>
    <w:basedOn w:val="Tablanormal"/>
    <w:uiPriority w:val="39"/>
    <w:qFormat/>
    <w:rsid w:val="0048430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430F"/>
    <w:rPr>
      <w:color w:val="0000FF"/>
      <w:u w:val="single"/>
    </w:rPr>
  </w:style>
  <w:style w:type="paragraph" w:customStyle="1" w:styleId="Appelnotedebasde">
    <w:name w:val="Appel note de bas de..."/>
    <w:basedOn w:val="Normal"/>
    <w:link w:val="Refdenotaalpie"/>
    <w:uiPriority w:val="99"/>
    <w:rsid w:val="0048430F"/>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48430F"/>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48430F"/>
    <w:rPr>
      <w:kern w:val="0"/>
      <w:sz w:val="22"/>
      <w:szCs w:val="22"/>
      <w14:ligatures w14:val="none"/>
    </w:rPr>
  </w:style>
  <w:style w:type="paragraph" w:styleId="NormalWeb">
    <w:name w:val="Normal (Web)"/>
    <w:basedOn w:val="Normal"/>
    <w:link w:val="NormalWebCar"/>
    <w:uiPriority w:val="99"/>
    <w:unhideWhenUsed/>
    <w:rsid w:val="0048430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48430F"/>
    <w:rPr>
      <w:rFonts w:ascii="Times New Roman" w:eastAsia="Times New Roman" w:hAnsi="Times New Roman" w:cs="Times New Roman"/>
      <w:kern w:val="0"/>
      <w:lang w:eastAsia="es-CO"/>
      <w14:ligatures w14:val="none"/>
    </w:rPr>
  </w:style>
  <w:style w:type="paragraph" w:styleId="Textoindependiente">
    <w:name w:val="Body Text"/>
    <w:basedOn w:val="Normal"/>
    <w:link w:val="TextoindependienteCar"/>
    <w:uiPriority w:val="1"/>
    <w:qFormat/>
    <w:rsid w:val="0048430F"/>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48430F"/>
    <w:rPr>
      <w:rFonts w:ascii="Verdana" w:eastAsia="Verdana" w:hAnsi="Verdana" w:cs="Verdana"/>
      <w:kern w:val="0"/>
      <w:sz w:val="22"/>
      <w:szCs w:val="22"/>
      <w:lang w:val="es-ES"/>
      <w14:ligatures w14:val="none"/>
    </w:rPr>
  </w:style>
  <w:style w:type="paragraph" w:customStyle="1" w:styleId="paragraph">
    <w:name w:val="paragraph"/>
    <w:basedOn w:val="Normal"/>
    <w:rsid w:val="0048430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48430F"/>
  </w:style>
  <w:style w:type="character" w:styleId="Mencinsinresolver">
    <w:name w:val="Unresolved Mention"/>
    <w:basedOn w:val="Fuentedeprrafopredeter"/>
    <w:uiPriority w:val="99"/>
    <w:semiHidden/>
    <w:unhideWhenUsed/>
    <w:rsid w:val="00800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content%2Fconvocatorias&amp;data=05%7C02%7Cjhonattan.gualdron%40colombiacompra.gov.co%7C5aad36a736844ec87b2108dcc1fa4639%7C7b09041e245149d08cb179d5e3d8c1be%7C0%7C0%7C638598527917272844%7CUnknown%7CTWFpbGZsb3d8eyJWIjoiMC4wLjAwMDAiLCJQIjoiV2luMzIiLCJBTiI6Ik1haWwiLCJXVCI6Mn0%3D%7C0%7C%7C%7C&amp;sdata=VFAq4J75LVDRrtXpdoT4pgG%2BDVGNt%2F7L6wXYZDhcBGw%3D&amp;reserved=0" TargetMode="External"/><Relationship Id="rId7" Type="http://schemas.openxmlformats.org/officeDocument/2006/relationships/webSettings" Target="webSettings.xml"/><Relationship Id="rId12" Type="http://schemas.openxmlformats.org/officeDocument/2006/relationships/hyperlink" Target="https://relatoria.colombiacompra.gov.co/normativa/constitucion-politica-de-colombia/" TargetMode="External"/><Relationship Id="rId17" Type="http://schemas.openxmlformats.org/officeDocument/2006/relationships/hyperlink" Target="https://relatoria.colombiacompra.gov.co/providencias-consejo-de-estad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latoria.colombiacompra.gov.co/normativa/ley-1437-de-2011/" TargetMode="External"/><Relationship Id="rId20" Type="http://schemas.openxmlformats.org/officeDocument/2006/relationships/hyperlink" Target="https://nam02.safelinks.protection.outlook.com/?url=https%3A%2F%2Fwww.sucop.gov.co%2Fentidades%2Fcolombiacompra%2FNormativa%3FIDNorma%3D17363&amp;data=05%7C02%7Cjhonattan.gualdron%40colombiacompra.gov.co%7C5aad36a736844ec87b2108dcc1fa4639%7C7b09041e245149d08cb179d5e3d8c1be%7C0%7C0%7C638598527917265633%7CUnknown%7CTWFpbGZsb3d8eyJWIjoiMC4wLjAwMDAiLCJQIjoiV2luMzIiLCJBTiI6Ik1haWwiLCJXVCI6Mn0%3D%7C0%7C%7C%7C&amp;sdata=H9PLfV66YL2Q498cyGGDzSF337JDYwpVrLcWUmpmqCA%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SSBLADY@HOTMAIL.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relatoria.colombiacompra.gov.co/normativa/ley-1474-de-2011/"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1150-de-2007/"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DBEA9-F2FB-43B1-93DF-4573518BB85E}">
  <ds:schemaRef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a6cb9e4b-f1d1-4245-83ec-6cad768d538a"/>
    <ds:schemaRef ds:uri="9d85dbaf-23eb-4e57-a637-93dcacc8b1a1"/>
    <ds:schemaRef ds:uri="http://purl.org/dc/dcmitype/"/>
  </ds:schemaRefs>
</ds:datastoreItem>
</file>

<file path=customXml/itemProps2.xml><?xml version="1.0" encoding="utf-8"?>
<ds:datastoreItem xmlns:ds="http://schemas.openxmlformats.org/officeDocument/2006/customXml" ds:itemID="{98540304-48CE-40E5-9C42-990192CA26BE}">
  <ds:schemaRefs>
    <ds:schemaRef ds:uri="http://schemas.microsoft.com/sharepoint/v3/contenttype/forms"/>
  </ds:schemaRefs>
</ds:datastoreItem>
</file>

<file path=customXml/itemProps3.xml><?xml version="1.0" encoding="utf-8"?>
<ds:datastoreItem xmlns:ds="http://schemas.openxmlformats.org/officeDocument/2006/customXml" ds:itemID="{58666ED7-1AF3-4FBE-AAAB-FADB04E7C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5083</Words>
  <Characters>27958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2024-09-30T12:39:00Z</dcterms:created>
  <dcterms:modified xsi:type="dcterms:W3CDTF">2024-09-30T12:39:00Z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