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2708" w14:textId="77777777" w:rsidR="00003535" w:rsidRPr="00F041E2" w:rsidRDefault="00003535" w:rsidP="00003535">
      <w:pPr>
        <w:spacing w:after="0" w:line="240" w:lineRule="auto"/>
        <w:jc w:val="both"/>
        <w:rPr>
          <w:rFonts w:ascii="Verdana" w:hAnsi="Verdana" w:cs="Arial"/>
          <w:b/>
          <w:bCs/>
          <w:kern w:val="2"/>
          <w:sz w:val="20"/>
          <w:szCs w:val="20"/>
        </w:rPr>
      </w:pPr>
      <w:r w:rsidRPr="00F041E2">
        <w:rPr>
          <w:rFonts w:ascii="Verdana" w:hAnsi="Verdana" w:cs="Arial"/>
          <w:b/>
          <w:bCs/>
          <w:kern w:val="2"/>
          <w:sz w:val="20"/>
          <w:szCs w:val="20"/>
        </w:rPr>
        <w:t xml:space="preserve">ENTIDADES SIN ÁNIMO DE LUCRO – Naturaleza jurídica – Capacidad para contratar </w:t>
      </w:r>
    </w:p>
    <w:p w14:paraId="38D214FB" w14:textId="77777777" w:rsidR="00003535" w:rsidRPr="00F041E2" w:rsidRDefault="00003535" w:rsidP="00003535">
      <w:pPr>
        <w:spacing w:after="0" w:line="240" w:lineRule="auto"/>
        <w:jc w:val="both"/>
        <w:rPr>
          <w:rFonts w:ascii="Verdana" w:hAnsi="Verdana" w:cs="Arial"/>
          <w:b/>
          <w:bCs/>
          <w:kern w:val="2"/>
          <w:sz w:val="20"/>
          <w:szCs w:val="20"/>
        </w:rPr>
      </w:pPr>
    </w:p>
    <w:p w14:paraId="6E7BA810" w14:textId="77777777" w:rsidR="00003535" w:rsidRPr="00F041E2" w:rsidRDefault="00003535" w:rsidP="00003535">
      <w:pPr>
        <w:spacing w:after="0" w:line="240" w:lineRule="auto"/>
        <w:jc w:val="both"/>
        <w:rPr>
          <w:rFonts w:ascii="Verdana" w:hAnsi="Verdana" w:cs="Arial"/>
          <w:kern w:val="2"/>
          <w:sz w:val="20"/>
          <w:szCs w:val="20"/>
        </w:rPr>
      </w:pPr>
      <w:r w:rsidRPr="00F041E2">
        <w:rPr>
          <w:rFonts w:ascii="Verdana" w:hAnsi="Verdana" w:cs="Arial"/>
          <w:kern w:val="2"/>
          <w:sz w:val="20"/>
          <w:szCs w:val="20"/>
        </w:rPr>
        <w:t>[…] que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con las sociedades comerciales.</w:t>
      </w:r>
    </w:p>
    <w:p w14:paraId="18EB6793" w14:textId="77777777" w:rsidR="00003535" w:rsidRPr="00F041E2" w:rsidRDefault="00003535" w:rsidP="00003535">
      <w:pPr>
        <w:spacing w:after="0" w:line="240" w:lineRule="auto"/>
        <w:jc w:val="both"/>
        <w:rPr>
          <w:rFonts w:ascii="Verdana" w:hAnsi="Verdana" w:cs="Arial"/>
          <w:kern w:val="2"/>
          <w:sz w:val="20"/>
          <w:szCs w:val="20"/>
        </w:rPr>
      </w:pPr>
      <w:r w:rsidRPr="00F041E2">
        <w:rPr>
          <w:rFonts w:ascii="Verdana" w:hAnsi="Verdana" w:cs="Arial"/>
          <w:kern w:val="2"/>
          <w:sz w:val="20"/>
          <w:szCs w:val="20"/>
        </w:rPr>
        <w:t>[…]</w:t>
      </w:r>
    </w:p>
    <w:p w14:paraId="19F12C53" w14:textId="77777777" w:rsidR="00003535" w:rsidRPr="00F041E2" w:rsidRDefault="00003535" w:rsidP="00003535">
      <w:pPr>
        <w:spacing w:after="0"/>
        <w:jc w:val="both"/>
        <w:rPr>
          <w:rFonts w:ascii="Verdana" w:hAnsi="Verdana" w:cs="Arial"/>
          <w:kern w:val="2"/>
          <w:sz w:val="20"/>
          <w:szCs w:val="20"/>
        </w:rPr>
      </w:pPr>
      <w:r w:rsidRPr="00F041E2">
        <w:rPr>
          <w:rFonts w:ascii="Verdana" w:hAnsi="Verdana" w:cs="Arial"/>
          <w:kern w:val="2"/>
          <w:sz w:val="20"/>
          <w:szCs w:val="20"/>
        </w:rPr>
        <w:t xml:space="preserve">[…]es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 </w:t>
      </w:r>
    </w:p>
    <w:p w14:paraId="543E2F4A" w14:textId="77777777" w:rsidR="00003535" w:rsidRDefault="00003535" w:rsidP="00003535">
      <w:pPr>
        <w:spacing w:after="0"/>
        <w:rPr>
          <w:rFonts w:ascii="Verdana" w:eastAsia="Calibri" w:hAnsi="Verdana" w:cs="Arial"/>
          <w:b/>
          <w:lang w:val="es-ES_tradnl"/>
        </w:rPr>
      </w:pPr>
    </w:p>
    <w:p w14:paraId="70A8FA21" w14:textId="77777777" w:rsidR="00003535" w:rsidRPr="00003535" w:rsidRDefault="00003535" w:rsidP="00003535">
      <w:pPr>
        <w:spacing w:after="0"/>
        <w:rPr>
          <w:rFonts w:ascii="Verdana" w:hAnsi="Verdana"/>
          <w:b/>
          <w:lang w:val="es-ES_tradnl"/>
        </w:rPr>
      </w:pPr>
      <w:r w:rsidRPr="00003535">
        <w:rPr>
          <w:rFonts w:ascii="Verdana" w:eastAsia="Calibri" w:hAnsi="Verdana" w:cs="Arial"/>
          <w:b/>
          <w:lang w:val="es-ES_tradnl"/>
        </w:rPr>
        <w:t>CONVENIOS DE ASOCIACIÓN - Requisitos</w:t>
      </w:r>
    </w:p>
    <w:p w14:paraId="1D90B26F" w14:textId="77777777" w:rsidR="00003535" w:rsidRDefault="00003535" w:rsidP="00003535">
      <w:pPr>
        <w:spacing w:before="120" w:line="276" w:lineRule="auto"/>
        <w:ind w:firstLine="703"/>
        <w:jc w:val="both"/>
        <w:textAlignment w:val="baseline"/>
        <w:rPr>
          <w:rFonts w:ascii="Verdana" w:eastAsia="Calibri" w:hAnsi="Verdana" w:cs="Arial"/>
          <w:bCs/>
          <w:lang w:val="es-ES_tradnl"/>
        </w:rPr>
      </w:pPr>
      <w:r w:rsidRPr="00C6404E">
        <w:rPr>
          <w:rFonts w:ascii="Verdana" w:hAnsi="Verdana"/>
        </w:rPr>
        <w:t>Los requisitos para la suscripción de convenios de asociación entre Entidades públicas  y Entidades Sin Ánimo de Lucro ESAL,</w:t>
      </w:r>
      <w:r w:rsidRPr="00C6404E">
        <w:rPr>
          <w:rFonts w:ascii="Verdana" w:eastAsia="Times New Roman" w:hAnsi="Verdana" w:cs="Arial"/>
          <w:color w:val="000000"/>
          <w:lang w:val="es-ES" w:eastAsia="es-CO"/>
        </w:rPr>
        <w:t xml:space="preserve"> </w:t>
      </w:r>
      <w:r>
        <w:rPr>
          <w:rFonts w:ascii="Verdana" w:eastAsia="Times New Roman" w:hAnsi="Verdana" w:cs="Arial"/>
          <w:color w:val="000000"/>
          <w:lang w:val="es-ES" w:eastAsia="es-CO"/>
        </w:rPr>
        <w:t xml:space="preserve">se encuentran dispuestos en el artículo 355 de la Constitución Política, en el artículo 96 de la Ley 489 de 1998 y en el artículo 5 del Decreto 092 de 2017, en ese sentido se pueden extraer de la siguiente manera: </w:t>
      </w:r>
      <w:r w:rsidRPr="00C6404E">
        <w:rPr>
          <w:rFonts w:ascii="Verdana" w:hAnsi="Verdana"/>
          <w:color w:val="222222"/>
          <w:shd w:val="clear" w:color="auto" w:fill="FFFFFF"/>
        </w:rPr>
        <w:t>i.</w:t>
      </w:r>
      <w:r>
        <w:rPr>
          <w:rFonts w:ascii="Verdana" w:hAnsi="Verdana"/>
          <w:color w:val="222222"/>
          <w:shd w:val="clear" w:color="auto" w:fill="FFFFFF"/>
        </w:rPr>
        <w:t xml:space="preserve"> </w:t>
      </w:r>
      <w:r w:rsidRPr="00C6404E">
        <w:rPr>
          <w:rFonts w:ascii="Verdana" w:hAnsi="Verdana"/>
          <w:shd w:val="clear" w:color="auto" w:fill="FFFFFF"/>
        </w:rPr>
        <w:t xml:space="preserve">El convenio de asociación puede celebrarse por cualquier entidad estatal. ii. </w:t>
      </w:r>
      <w:r w:rsidRPr="00C6404E">
        <w:rPr>
          <w:rFonts w:ascii="Verdana" w:hAnsi="Verdana"/>
          <w:color w:val="222222"/>
          <w:shd w:val="clear" w:color="auto" w:fill="FFFFFF"/>
        </w:rPr>
        <w:t>debe celebrarse con personas jurídicas privadas sin ánimo de lucro y de reconocida idoneidad, iii</w:t>
      </w:r>
      <w:r w:rsidRPr="00C6404E">
        <w:rPr>
          <w:rFonts w:ascii="Verdana" w:hAnsi="Verdana"/>
          <w:shd w:val="clear" w:color="auto" w:fill="FFFFFF"/>
        </w:rPr>
        <w:t xml:space="preserve"> El objeto del convenio de asociación es el desarrollo de cometidos y/o funciones públicas propias de las entidades estatales.</w:t>
      </w:r>
      <w:r w:rsidRPr="00C6404E">
        <w:rPr>
          <w:rFonts w:ascii="Verdana" w:hAnsi="Verdana"/>
          <w:color w:val="222222"/>
          <w:shd w:val="clear" w:color="auto" w:fill="FFFFFF"/>
        </w:rPr>
        <w:t xml:space="preserve"> </w:t>
      </w:r>
      <w:proofErr w:type="spellStart"/>
      <w:r w:rsidRPr="00C6404E">
        <w:rPr>
          <w:rFonts w:ascii="Verdana" w:hAnsi="Verdana"/>
          <w:color w:val="222222"/>
          <w:shd w:val="clear" w:color="auto" w:fill="FFFFFF"/>
        </w:rPr>
        <w:t>iv</w:t>
      </w:r>
      <w:proofErr w:type="spellEnd"/>
      <w:r w:rsidRPr="00C6404E">
        <w:rPr>
          <w:rFonts w:ascii="Verdana" w:hAnsi="Verdana"/>
          <w:color w:val="222222"/>
          <w:shd w:val="clear" w:color="auto" w:fill="FFFFFF"/>
        </w:rPr>
        <w:t xml:space="preserve"> </w:t>
      </w:r>
      <w:r w:rsidRPr="00C6404E">
        <w:rPr>
          <w:rFonts w:ascii="Verdana" w:hAnsi="Verdana"/>
          <w:shd w:val="clear" w:color="auto" w:fill="FFFFFF"/>
        </w:rPr>
        <w:t>No puede haber remuneración sino aportes de los asociado</w:t>
      </w:r>
      <w:r w:rsidRPr="00C6404E">
        <w:rPr>
          <w:rFonts w:ascii="Verdana" w:hAnsi="Verdana"/>
          <w:color w:val="222222"/>
          <w:shd w:val="clear" w:color="auto" w:fill="FFFFFF"/>
        </w:rPr>
        <w:t xml:space="preserve">, (v) están sometidos al régimen de inhabilidades e incompatibilidades del Estatuto General de Contratación de la Administración Pública, (vi) </w:t>
      </w:r>
      <w:r>
        <w:rPr>
          <w:rFonts w:ascii="Verdana" w:hAnsi="Verdana"/>
          <w:color w:val="222222"/>
          <w:shd w:val="clear" w:color="auto" w:fill="FFFFFF"/>
        </w:rPr>
        <w:t>L</w:t>
      </w:r>
      <w:r w:rsidRPr="00C6404E">
        <w:rPr>
          <w:rFonts w:ascii="Verdana" w:hAnsi="Verdana"/>
          <w:color w:val="222222"/>
          <w:shd w:val="clear" w:color="auto" w:fill="FFFFFF"/>
        </w:rPr>
        <w:t>e aplica los principios de la contratación estatal y (vi) está sujetos a las normas generales aplicables a la contratación pública, excepto en lo reglamentado en el Decreto 092 de 2017.</w:t>
      </w:r>
      <w:r w:rsidRPr="00C6404E">
        <w:rPr>
          <w:rFonts w:ascii="Verdana" w:eastAsia="Calibri" w:hAnsi="Verdana" w:cs="Arial"/>
          <w:bCs/>
          <w:lang w:val="es-ES_tradnl"/>
        </w:rPr>
        <w:t xml:space="preserve"> </w:t>
      </w:r>
    </w:p>
    <w:p w14:paraId="531A1C46" w14:textId="77777777" w:rsidR="00003535" w:rsidRPr="00D32C7A" w:rsidRDefault="00003535" w:rsidP="00003535">
      <w:pPr>
        <w:spacing w:after="0"/>
        <w:jc w:val="both"/>
        <w:rPr>
          <w:rFonts w:ascii="Verdana" w:hAnsi="Verdana"/>
        </w:rPr>
      </w:pPr>
      <w:r w:rsidRPr="00C6404E">
        <w:rPr>
          <w:rFonts w:ascii="Verdana" w:eastAsia="Calibri" w:hAnsi="Verdana" w:cs="Arial"/>
          <w:bCs/>
          <w:lang w:val="es-ES_tradnl"/>
        </w:rPr>
        <w:lastRenderedPageBreak/>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2BBB7C01" w14:textId="77777777" w:rsidR="00003535" w:rsidRPr="00F041E2" w:rsidRDefault="00003535" w:rsidP="00003535">
      <w:pPr>
        <w:spacing w:after="0"/>
        <w:jc w:val="both"/>
        <w:rPr>
          <w:rFonts w:ascii="Verdana" w:hAnsi="Verdana" w:cs="Arial"/>
          <w:kern w:val="2"/>
          <w:sz w:val="20"/>
          <w:szCs w:val="20"/>
        </w:rPr>
      </w:pPr>
    </w:p>
    <w:p w14:paraId="5290EC48" w14:textId="77777777" w:rsidR="00003535" w:rsidRPr="00F041E2" w:rsidRDefault="00003535" w:rsidP="00003535">
      <w:pPr>
        <w:spacing w:after="0" w:line="240" w:lineRule="auto"/>
        <w:jc w:val="both"/>
        <w:rPr>
          <w:rFonts w:ascii="Verdana" w:hAnsi="Verdana" w:cs="Arial"/>
          <w:b/>
          <w:bCs/>
          <w:kern w:val="2"/>
          <w:sz w:val="20"/>
          <w:szCs w:val="20"/>
        </w:rPr>
      </w:pPr>
      <w:r w:rsidRPr="00F041E2">
        <w:rPr>
          <w:rFonts w:ascii="Verdana" w:hAnsi="Verdana" w:cs="Arial"/>
          <w:b/>
          <w:bCs/>
          <w:kern w:val="2"/>
          <w:sz w:val="20"/>
          <w:szCs w:val="20"/>
        </w:rPr>
        <w:t xml:space="preserve">CONVENIOS DE ASOCIACIÓN – Noción – Autonomía de la entidad – Aspectos que deben verificarse </w:t>
      </w:r>
    </w:p>
    <w:p w14:paraId="1CC56FA8" w14:textId="77777777" w:rsidR="00003535" w:rsidRPr="00F041E2" w:rsidRDefault="00003535" w:rsidP="00003535">
      <w:pPr>
        <w:spacing w:after="0" w:line="240" w:lineRule="auto"/>
        <w:jc w:val="both"/>
        <w:rPr>
          <w:rFonts w:ascii="Verdana" w:hAnsi="Verdana" w:cs="Arial"/>
          <w:kern w:val="2"/>
          <w:sz w:val="20"/>
          <w:szCs w:val="20"/>
        </w:rPr>
      </w:pPr>
    </w:p>
    <w:p w14:paraId="5D595047" w14:textId="77777777" w:rsidR="00003535" w:rsidRPr="00F041E2" w:rsidRDefault="00003535" w:rsidP="00003535">
      <w:pPr>
        <w:spacing w:after="0" w:line="240" w:lineRule="auto"/>
        <w:jc w:val="both"/>
        <w:rPr>
          <w:rFonts w:ascii="Verdana" w:eastAsia="Calibri" w:hAnsi="Verdana" w:cs="Arial"/>
          <w:bCs/>
          <w:kern w:val="2"/>
          <w:sz w:val="20"/>
          <w:szCs w:val="20"/>
          <w:lang w:val="es-ES_tradnl"/>
        </w:rPr>
      </w:pPr>
      <w:r w:rsidRPr="00F041E2">
        <w:rPr>
          <w:rFonts w:ascii="Verdana" w:hAnsi="Verdana" w:cs="Arial"/>
          <w:color w:val="000000"/>
          <w:kern w:val="2"/>
          <w:sz w:val="20"/>
          <w:szCs w:val="20"/>
          <w:lang w:val="es-ES"/>
        </w:rPr>
        <w:t>[…]los convenios de asociación “[t]</w:t>
      </w:r>
      <w:proofErr w:type="spellStart"/>
      <w:r w:rsidRPr="00F041E2">
        <w:rPr>
          <w:rFonts w:ascii="Verdana" w:hAnsi="Verdana" w:cs="Arial"/>
          <w:color w:val="000000"/>
          <w:kern w:val="2"/>
          <w:sz w:val="20"/>
          <w:szCs w:val="20"/>
          <w:lang w:val="es-ES"/>
        </w:rPr>
        <w:t>ienen</w:t>
      </w:r>
      <w:proofErr w:type="spellEnd"/>
      <w:r w:rsidRPr="00F041E2">
        <w:rPr>
          <w:rFonts w:ascii="Verdana" w:hAnsi="Verdana" w:cs="Arial"/>
          <w:color w:val="000000"/>
          <w:kern w:val="2"/>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041E2">
        <w:rPr>
          <w:rFonts w:ascii="Verdana" w:eastAsia="Calibri" w:hAnsi="Verdana" w:cs="Arial"/>
          <w:bCs/>
          <w:kern w:val="2"/>
          <w:sz w:val="20"/>
          <w:szCs w:val="20"/>
          <w:lang w:val="es-ES_tradnl"/>
        </w:rPr>
        <w:t>. En estos convenios no existe contraprestación o pago, sino aportes, los cuales están dirigidos, exclusivamente, a lograr la ejecución del convenio y no a remunerar la actividad o actuaciones del asociado.</w:t>
      </w:r>
    </w:p>
    <w:p w14:paraId="4669A23D" w14:textId="77777777" w:rsidR="00003535" w:rsidRPr="00F041E2" w:rsidRDefault="00003535" w:rsidP="00003535">
      <w:pPr>
        <w:spacing w:after="0" w:line="240" w:lineRule="auto"/>
        <w:jc w:val="both"/>
        <w:rPr>
          <w:rFonts w:ascii="Verdana" w:eastAsia="Calibri" w:hAnsi="Verdana" w:cs="Arial"/>
          <w:bCs/>
          <w:kern w:val="2"/>
          <w:sz w:val="20"/>
          <w:szCs w:val="20"/>
          <w:lang w:val="es-ES_tradnl"/>
        </w:rPr>
      </w:pPr>
      <w:r w:rsidRPr="00F041E2">
        <w:rPr>
          <w:rFonts w:ascii="Verdana" w:eastAsia="Calibri" w:hAnsi="Verdana" w:cs="Arial"/>
          <w:bCs/>
          <w:kern w:val="2"/>
          <w:sz w:val="20"/>
          <w:szCs w:val="20"/>
          <w:lang w:val="es-ES_tradnl"/>
        </w:rPr>
        <w:t>[…]</w:t>
      </w:r>
    </w:p>
    <w:p w14:paraId="5D81CDF5" w14:textId="77777777" w:rsidR="00003535" w:rsidRPr="00F041E2" w:rsidRDefault="00003535" w:rsidP="00003535">
      <w:pPr>
        <w:spacing w:after="0" w:line="240" w:lineRule="auto"/>
        <w:jc w:val="both"/>
        <w:rPr>
          <w:rFonts w:ascii="Verdana" w:hAnsi="Verdana" w:cs="Arial"/>
          <w:kern w:val="2"/>
          <w:sz w:val="20"/>
          <w:szCs w:val="20"/>
        </w:rPr>
      </w:pPr>
      <w:r w:rsidRPr="00F041E2">
        <w:rPr>
          <w:rFonts w:ascii="Verdana" w:hAnsi="Verdana" w:cs="Arial"/>
          <w:kern w:val="2"/>
          <w:sz w:val="20"/>
          <w:szCs w:val="20"/>
        </w:rPr>
        <w:t>[…]las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p>
    <w:p w14:paraId="57C71B00" w14:textId="77777777" w:rsidR="00003535" w:rsidRPr="00F041E2" w:rsidRDefault="00003535" w:rsidP="00003535">
      <w:pPr>
        <w:spacing w:after="0" w:line="240" w:lineRule="auto"/>
        <w:jc w:val="both"/>
        <w:rPr>
          <w:rFonts w:ascii="Verdana" w:hAnsi="Verdana" w:cs="Arial"/>
          <w:kern w:val="2"/>
          <w:sz w:val="20"/>
          <w:szCs w:val="20"/>
        </w:rPr>
      </w:pPr>
    </w:p>
    <w:p w14:paraId="0C63B787" w14:textId="77777777" w:rsidR="00003535" w:rsidRPr="00F041E2" w:rsidRDefault="00003535" w:rsidP="00003535">
      <w:pPr>
        <w:spacing w:after="0" w:line="240" w:lineRule="auto"/>
        <w:jc w:val="both"/>
        <w:rPr>
          <w:rFonts w:ascii="Verdana" w:hAnsi="Verdana" w:cs="Arial"/>
          <w:kern w:val="2"/>
          <w:sz w:val="20"/>
          <w:szCs w:val="20"/>
        </w:rPr>
      </w:pPr>
      <w:r w:rsidRPr="00F041E2">
        <w:rPr>
          <w:rFonts w:ascii="Verdana" w:hAnsi="Verdana" w:cs="Arial"/>
          <w:kern w:val="2"/>
          <w:sz w:val="20"/>
          <w:szCs w:val="20"/>
        </w:rPr>
        <w:t>[…]si se pretende la suscripción de un convenio de asociación con una ESAL para el cumplimiento de las funciones que la ley les asigna a las entidades públicas, deberán estas últimas, adicional a aplicar lo dispuesto en el artículo 5 del Decreto 092 de 2017, verificar si la ESAL es de reconocida idoneidad, es decir, que dicha entidad sea adecuada y apropiada para desarrollar las actividades que son objeto del Proceso de Contratación y que cuente con la experiencia requerida para ello. Igualmente, según lo dispuesto en el inciso primero del artículo 3 ibidem, el objeto estatutario de la ESAL deberá permitirle el desarrollo del objeto que pretenda contratar la Entidad Estatal, esto, claramente, porque la capacidad para contratar de las personas jurídicas se circunscribe en lo expresado en su objeto social y su forma de creación.</w:t>
      </w:r>
    </w:p>
    <w:p w14:paraId="6884786D" w14:textId="77777777" w:rsidR="00003535" w:rsidRPr="00F041E2" w:rsidRDefault="00003535" w:rsidP="00003535">
      <w:pPr>
        <w:spacing w:after="0" w:line="276" w:lineRule="auto"/>
        <w:rPr>
          <w:rFonts w:ascii="Arial" w:eastAsia="Calibri" w:hAnsi="Arial" w:cs="Arial"/>
        </w:rPr>
      </w:pPr>
    </w:p>
    <w:p w14:paraId="3D0CEB41" w14:textId="77777777" w:rsidR="00003535" w:rsidRDefault="00003535" w:rsidP="00003535">
      <w:pPr>
        <w:spacing w:after="0"/>
        <w:rPr>
          <w:rFonts w:ascii="Verdana" w:hAnsi="Verdana"/>
        </w:rPr>
      </w:pPr>
    </w:p>
    <w:p w14:paraId="33A9E78B" w14:textId="77777777" w:rsidR="00003535" w:rsidRDefault="00003535" w:rsidP="00003535">
      <w:pPr>
        <w:spacing w:after="0"/>
        <w:rPr>
          <w:rFonts w:ascii="Verdana" w:hAnsi="Verdana"/>
        </w:rPr>
      </w:pPr>
    </w:p>
    <w:p w14:paraId="18248B8D" w14:textId="77777777" w:rsidR="00003535" w:rsidRDefault="00003535" w:rsidP="00003535">
      <w:pPr>
        <w:spacing w:after="0"/>
        <w:rPr>
          <w:rFonts w:ascii="Verdana" w:hAnsi="Verdana"/>
        </w:rPr>
      </w:pPr>
    </w:p>
    <w:p w14:paraId="4D0A61B6" w14:textId="77777777" w:rsidR="00003535" w:rsidRDefault="00003535" w:rsidP="00003535">
      <w:pPr>
        <w:spacing w:after="0"/>
        <w:rPr>
          <w:rFonts w:ascii="Verdana" w:hAnsi="Verdana"/>
        </w:rPr>
      </w:pPr>
    </w:p>
    <w:p w14:paraId="22535384" w14:textId="77777777" w:rsidR="00003535" w:rsidRDefault="00003535" w:rsidP="00003535">
      <w:pPr>
        <w:spacing w:after="0"/>
        <w:rPr>
          <w:rFonts w:ascii="Verdana" w:hAnsi="Verdana"/>
        </w:rPr>
      </w:pPr>
    </w:p>
    <w:p w14:paraId="71B7C4F8" w14:textId="77777777" w:rsidR="00003535" w:rsidRDefault="00003535" w:rsidP="00003535">
      <w:pPr>
        <w:spacing w:after="0"/>
        <w:rPr>
          <w:rFonts w:ascii="Verdana" w:hAnsi="Verdana"/>
        </w:rPr>
      </w:pPr>
    </w:p>
    <w:p w14:paraId="320C4C04" w14:textId="77777777" w:rsidR="00003535" w:rsidRDefault="00003535" w:rsidP="00003535">
      <w:pPr>
        <w:spacing w:after="0"/>
        <w:rPr>
          <w:rFonts w:ascii="Verdana" w:hAnsi="Verdana"/>
        </w:rPr>
      </w:pPr>
    </w:p>
    <w:p w14:paraId="1CCCFAEA" w14:textId="77777777" w:rsidR="00003535" w:rsidRDefault="00003535" w:rsidP="00003535">
      <w:pPr>
        <w:spacing w:after="0"/>
        <w:rPr>
          <w:rFonts w:ascii="Verdana" w:hAnsi="Verdana"/>
        </w:rPr>
      </w:pPr>
    </w:p>
    <w:p w14:paraId="7EC2A517" w14:textId="77777777" w:rsidR="00003535" w:rsidRPr="00D32C7A" w:rsidRDefault="00003535" w:rsidP="00003535">
      <w:pPr>
        <w:spacing w:after="0"/>
        <w:rPr>
          <w:rFonts w:ascii="Verdana" w:hAnsi="Verdana"/>
        </w:rPr>
      </w:pPr>
    </w:p>
    <w:p w14:paraId="0C446B81" w14:textId="77777777" w:rsidR="00003535" w:rsidRPr="00D32C7A" w:rsidRDefault="00003535" w:rsidP="00003535">
      <w:pPr>
        <w:spacing w:after="0"/>
        <w:rPr>
          <w:rFonts w:ascii="Verdana" w:hAnsi="Verdana"/>
        </w:rPr>
      </w:pPr>
      <w:r w:rsidRPr="00D32C7A">
        <w:rPr>
          <w:rFonts w:ascii="Verdana" w:hAnsi="Verdana"/>
        </w:rPr>
        <w:t>Bogotá D.C., [Día] [</w:t>
      </w:r>
      <w:proofErr w:type="spellStart"/>
      <w:r w:rsidRPr="00D32C7A">
        <w:rPr>
          <w:rFonts w:ascii="Verdana" w:hAnsi="Verdana"/>
        </w:rPr>
        <w:t>Mes.NombreCapitalizado</w:t>
      </w:r>
      <w:proofErr w:type="spellEnd"/>
      <w:r w:rsidRPr="00D32C7A">
        <w:rPr>
          <w:rFonts w:ascii="Verdana" w:hAnsi="Verdana"/>
        </w:rPr>
        <w:t>] [Año]</w:t>
      </w:r>
    </w:p>
    <w:p w14:paraId="37DCE8FD" w14:textId="77777777" w:rsidR="00003535" w:rsidRPr="00D32C7A" w:rsidRDefault="005E6FB0" w:rsidP="00003535">
      <w:pPr>
        <w:spacing w:after="0" w:line="276" w:lineRule="auto"/>
        <w:rPr>
          <w:rFonts w:ascii="Verdana" w:hAnsi="Verdana"/>
        </w:rPr>
      </w:pPr>
      <w:r w:rsidRPr="005E6FB0">
        <w:rPr>
          <w:rFonts w:ascii="Verdana" w:hAnsi="Verdana"/>
          <w:noProof/>
        </w:rPr>
        <w:drawing>
          <wp:anchor distT="0" distB="0" distL="114300" distR="114300" simplePos="0" relativeHeight="251658240" behindDoc="1" locked="0" layoutInCell="1" allowOverlap="1" wp14:anchorId="2FBF849D">
            <wp:simplePos x="0" y="0"/>
            <wp:positionH relativeFrom="column">
              <wp:posOffset>3328670</wp:posOffset>
            </wp:positionH>
            <wp:positionV relativeFrom="paragraph">
              <wp:posOffset>153517</wp:posOffset>
            </wp:positionV>
            <wp:extent cx="2902585" cy="807228"/>
            <wp:effectExtent l="0" t="0" r="5715" b="5715"/>
            <wp:wrapNone/>
            <wp:docPr id="1563876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76899" name=""/>
                    <pic:cNvPicPr/>
                  </pic:nvPicPr>
                  <pic:blipFill>
                    <a:blip r:embed="rId11">
                      <a:extLst>
                        <a:ext uri="{28A0092B-C50C-407E-A947-70E740481C1C}">
                          <a14:useLocalDpi xmlns:a14="http://schemas.microsoft.com/office/drawing/2010/main" val="0"/>
                        </a:ext>
                      </a:extLst>
                    </a:blip>
                    <a:stretch>
                      <a:fillRect/>
                    </a:stretch>
                  </pic:blipFill>
                  <pic:spPr>
                    <a:xfrm>
                      <a:off x="0" y="0"/>
                      <a:ext cx="2915643" cy="810860"/>
                    </a:xfrm>
                    <a:prstGeom prst="rect">
                      <a:avLst/>
                    </a:prstGeom>
                  </pic:spPr>
                </pic:pic>
              </a:graphicData>
            </a:graphic>
            <wp14:sizeRelH relativeFrom="page">
              <wp14:pctWidth>0</wp14:pctWidth>
            </wp14:sizeRelH>
            <wp14:sizeRelV relativeFrom="page">
              <wp14:pctHeight>0</wp14:pctHeight>
            </wp14:sizeRelV>
          </wp:anchor>
        </w:drawing>
      </w:r>
    </w:p>
    <w:p w14:paraId="30E3036F" w14:textId="77777777" w:rsidR="00003535" w:rsidRPr="00D32C7A" w:rsidRDefault="00003535" w:rsidP="00003535">
      <w:pPr>
        <w:spacing w:after="0" w:line="276" w:lineRule="auto"/>
        <w:rPr>
          <w:rFonts w:ascii="Verdana" w:eastAsia="Calibri" w:hAnsi="Verdana" w:cs="Arial"/>
          <w:lang w:val="es-ES"/>
        </w:rPr>
      </w:pPr>
    </w:p>
    <w:p w14:paraId="100784C8" w14:textId="77777777" w:rsidR="00003535" w:rsidRPr="00D32C7A" w:rsidRDefault="00003535" w:rsidP="00003535">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Señora</w:t>
      </w:r>
    </w:p>
    <w:p w14:paraId="0B7D9CC4" w14:textId="77777777" w:rsidR="00003535" w:rsidRPr="00D32C7A" w:rsidRDefault="00003535" w:rsidP="00003535">
      <w:pPr>
        <w:spacing w:after="0" w:line="240" w:lineRule="auto"/>
        <w:jc w:val="both"/>
        <w:rPr>
          <w:rFonts w:ascii="Verdana" w:eastAsia="Calibri" w:hAnsi="Verdana" w:cs="Arial"/>
          <w:b/>
          <w:bCs/>
          <w:lang w:eastAsia="es-ES"/>
        </w:rPr>
      </w:pPr>
      <w:r>
        <w:rPr>
          <w:rFonts w:ascii="Verdana" w:eastAsia="Calibri" w:hAnsi="Verdana" w:cs="Arial"/>
          <w:b/>
          <w:bCs/>
          <w:lang w:eastAsia="es-ES"/>
        </w:rPr>
        <w:t xml:space="preserve">Alba Manrique Cárdenas </w:t>
      </w:r>
    </w:p>
    <w:p w14:paraId="6CF3AFD7" w14:textId="77777777" w:rsidR="00003535" w:rsidRDefault="00C100D1" w:rsidP="00003535">
      <w:pPr>
        <w:spacing w:after="0" w:line="240" w:lineRule="auto"/>
        <w:jc w:val="both"/>
      </w:pPr>
      <w:hyperlink r:id="rId12" w:history="1">
        <w:r w:rsidR="00003535" w:rsidRPr="0079147C">
          <w:rPr>
            <w:rStyle w:val="Hipervnculo"/>
          </w:rPr>
          <w:t>albamanrique909@gmail.com</w:t>
        </w:r>
      </w:hyperlink>
    </w:p>
    <w:p w14:paraId="5BADC47D" w14:textId="77777777" w:rsidR="00003535" w:rsidRPr="00D32C7A" w:rsidRDefault="00003535" w:rsidP="00003535">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San Gil</w:t>
      </w:r>
      <w:r w:rsidRPr="00D32C7A">
        <w:rPr>
          <w:rFonts w:ascii="Verdana" w:eastAsia="Calibri" w:hAnsi="Verdana" w:cs="Arial"/>
          <w:szCs w:val="24"/>
          <w:lang w:val="es-ES_tradnl" w:eastAsia="es-ES_tradnl"/>
        </w:rPr>
        <w:t xml:space="preserve"> – Santander </w:t>
      </w:r>
    </w:p>
    <w:p w14:paraId="3457D324" w14:textId="77777777" w:rsidR="00003535" w:rsidRPr="00D32C7A" w:rsidRDefault="00003535" w:rsidP="00003535">
      <w:pPr>
        <w:spacing w:after="0" w:line="240" w:lineRule="auto"/>
        <w:rPr>
          <w:rFonts w:ascii="Verdana" w:eastAsia="Calibri" w:hAnsi="Verdana" w:cs="Arial"/>
          <w:szCs w:val="24"/>
          <w:lang w:val="es-ES_tradnl" w:eastAsia="es-ES_tradnl"/>
        </w:rPr>
      </w:pPr>
    </w:p>
    <w:p w14:paraId="284BDCDA" w14:textId="77777777" w:rsidR="00003535" w:rsidRPr="00D32C7A" w:rsidRDefault="00003535" w:rsidP="00003535">
      <w:pPr>
        <w:spacing w:after="0" w:line="240" w:lineRule="auto"/>
        <w:ind w:left="2694"/>
        <w:rPr>
          <w:rFonts w:ascii="Verdana" w:eastAsia="Calibri" w:hAnsi="Verdana" w:cs="Arial"/>
          <w:b/>
          <w:bCs/>
          <w:lang w:val="es-ES" w:eastAsia="es-ES"/>
        </w:rPr>
      </w:pPr>
      <w:r w:rsidRPr="00D32C7A">
        <w:rPr>
          <w:rFonts w:ascii="Verdana" w:eastAsia="Calibri" w:hAnsi="Verdana" w:cs="Arial"/>
          <w:b/>
          <w:bCs/>
          <w:lang w:val="es-ES" w:eastAsia="es-ES"/>
        </w:rPr>
        <w:t>Concepto C-49</w:t>
      </w:r>
      <w:r>
        <w:rPr>
          <w:rFonts w:ascii="Verdana" w:eastAsia="Calibri" w:hAnsi="Verdana" w:cs="Arial"/>
          <w:b/>
          <w:bCs/>
          <w:lang w:val="es-ES" w:eastAsia="es-ES"/>
        </w:rPr>
        <w:t>0</w:t>
      </w:r>
      <w:r w:rsidRPr="00D32C7A">
        <w:rPr>
          <w:rFonts w:ascii="Verdana" w:eastAsia="Calibri" w:hAnsi="Verdana" w:cs="Arial"/>
          <w:b/>
          <w:bCs/>
          <w:lang w:val="es-ES" w:eastAsia="es-ES"/>
        </w:rPr>
        <w:t xml:space="preserve"> de 2024</w:t>
      </w:r>
    </w:p>
    <w:p w14:paraId="016469B2" w14:textId="77777777" w:rsidR="00003535" w:rsidRPr="00D32C7A" w:rsidRDefault="00003535" w:rsidP="00003535">
      <w:pPr>
        <w:spacing w:after="0" w:line="240" w:lineRule="auto"/>
        <w:ind w:left="2694"/>
        <w:rPr>
          <w:rFonts w:ascii="Verdana" w:eastAsia="Calibri" w:hAnsi="Verdana" w:cs="Arial"/>
          <w:szCs w:val="24"/>
          <w:lang w:val="es-ES_tradnl" w:eastAsia="es-ES_tradnl"/>
        </w:rPr>
      </w:pPr>
    </w:p>
    <w:p w14:paraId="0437849F" w14:textId="77777777" w:rsidR="00003535" w:rsidRPr="00D32C7A" w:rsidRDefault="00003535" w:rsidP="00003535">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03535" w:rsidRPr="00D32C7A" w14:paraId="68A89710" w14:textId="77777777" w:rsidTr="00F567E8">
        <w:trPr>
          <w:trHeight w:val="884"/>
        </w:trPr>
        <w:tc>
          <w:tcPr>
            <w:tcW w:w="2689" w:type="dxa"/>
          </w:tcPr>
          <w:p w14:paraId="60E768A8" w14:textId="77777777" w:rsidR="00003535" w:rsidRPr="00D32C7A" w:rsidRDefault="00003535" w:rsidP="00F567E8">
            <w:pPr>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Temas:                   </w:t>
            </w:r>
          </w:p>
        </w:tc>
        <w:tc>
          <w:tcPr>
            <w:tcW w:w="6237" w:type="dxa"/>
          </w:tcPr>
          <w:p w14:paraId="28A6D067" w14:textId="77777777" w:rsidR="00003535" w:rsidRPr="00D32C7A" w:rsidRDefault="00003535" w:rsidP="00F567E8">
            <w:pPr>
              <w:jc w:val="both"/>
              <w:rPr>
                <w:rFonts w:ascii="Verdana" w:eastAsia="Calibri" w:hAnsi="Verdana" w:cs="Arial"/>
                <w:lang w:val="es-ES" w:eastAsia="es-ES"/>
              </w:rPr>
            </w:pPr>
            <w:r w:rsidRPr="00F041E2">
              <w:rPr>
                <w:rFonts w:ascii="Verdana" w:eastAsia="Calibri" w:hAnsi="Verdana" w:cs="Arial"/>
                <w:bCs/>
                <w:lang w:val="es-ES_tradnl"/>
              </w:rPr>
              <w:t xml:space="preserve">ENTIDADES SIN ÁNIMO DE LUCRO – Naturaleza jurídica – Capacidad para contratar / CONVENIOS DE ASOCIACIÓN </w:t>
            </w:r>
            <w:r>
              <w:rPr>
                <w:rFonts w:ascii="Verdana" w:eastAsia="Calibri" w:hAnsi="Verdana" w:cs="Arial"/>
                <w:bCs/>
                <w:lang w:val="es-ES_tradnl"/>
              </w:rPr>
              <w:t xml:space="preserve">- Requisitos / </w:t>
            </w:r>
            <w:r w:rsidRPr="00F041E2">
              <w:rPr>
                <w:rFonts w:ascii="Verdana" w:eastAsia="Calibri" w:hAnsi="Verdana" w:cs="Arial"/>
                <w:bCs/>
                <w:lang w:val="es-ES_tradnl"/>
              </w:rPr>
              <w:t xml:space="preserve">CONVENIOS DE ASOCIACIÓN – Noción – Autonomía de la entidad – Aspectos que deben verificarse </w:t>
            </w:r>
          </w:p>
        </w:tc>
        <w:tc>
          <w:tcPr>
            <w:tcW w:w="6237" w:type="dxa"/>
          </w:tcPr>
          <w:p w14:paraId="2295D211" w14:textId="77777777" w:rsidR="00003535" w:rsidRPr="00D32C7A" w:rsidRDefault="00003535" w:rsidP="00F567E8">
            <w:pPr>
              <w:jc w:val="both"/>
              <w:rPr>
                <w:rFonts w:ascii="Verdana" w:hAnsi="Verdana" w:cs="Arial"/>
                <w:lang w:val="es-ES"/>
              </w:rPr>
            </w:pPr>
          </w:p>
        </w:tc>
      </w:tr>
      <w:tr w:rsidR="00003535" w:rsidRPr="00D32C7A" w14:paraId="34257817" w14:textId="77777777" w:rsidTr="00F567E8">
        <w:tc>
          <w:tcPr>
            <w:tcW w:w="2689" w:type="dxa"/>
          </w:tcPr>
          <w:p w14:paraId="26B82631" w14:textId="77777777" w:rsidR="00003535" w:rsidRPr="00D32C7A" w:rsidRDefault="00003535" w:rsidP="00F567E8">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Radicación:               </w:t>
            </w:r>
          </w:p>
        </w:tc>
        <w:tc>
          <w:tcPr>
            <w:tcW w:w="6237" w:type="dxa"/>
          </w:tcPr>
          <w:p w14:paraId="019DF66E" w14:textId="77777777" w:rsidR="00003535" w:rsidRPr="00D32C7A" w:rsidRDefault="00003535" w:rsidP="00F567E8">
            <w:pPr>
              <w:spacing w:before="120"/>
              <w:jc w:val="both"/>
              <w:rPr>
                <w:rFonts w:ascii="Verdana" w:eastAsia="Calibri" w:hAnsi="Verdana" w:cs="Arial"/>
                <w:szCs w:val="24"/>
                <w:lang w:val="es-ES_tradnl" w:eastAsia="es-ES_tradnl"/>
              </w:rPr>
            </w:pPr>
            <w:r w:rsidRPr="00D32C7A">
              <w:rPr>
                <w:rFonts w:ascii="Verdana" w:eastAsia="Calibri" w:hAnsi="Verdana" w:cs="Arial"/>
                <w:szCs w:val="24"/>
                <w:lang w:val="es-ES_tradnl" w:eastAsia="es-ES_tradnl"/>
              </w:rPr>
              <w:t xml:space="preserve">Respuesta a consulta con radicado No. </w:t>
            </w:r>
            <w:r w:rsidRPr="00623C12">
              <w:rPr>
                <w:rFonts w:ascii="Verdana" w:eastAsia="Calibri" w:hAnsi="Verdana" w:cs="Arial"/>
                <w:szCs w:val="24"/>
                <w:lang w:val="es-ES_tradnl" w:eastAsia="es-ES_tradnl"/>
              </w:rPr>
              <w:t>P20240820008436</w:t>
            </w:r>
          </w:p>
        </w:tc>
        <w:tc>
          <w:tcPr>
            <w:tcW w:w="6237" w:type="dxa"/>
          </w:tcPr>
          <w:p w14:paraId="24037829" w14:textId="77777777" w:rsidR="00003535" w:rsidRPr="00D32C7A" w:rsidRDefault="00003535" w:rsidP="00F567E8">
            <w:pPr>
              <w:spacing w:before="120"/>
              <w:jc w:val="both"/>
              <w:rPr>
                <w:rFonts w:ascii="Verdana" w:eastAsia="Calibri" w:hAnsi="Verdana" w:cs="Arial"/>
                <w:szCs w:val="24"/>
                <w:lang w:val="es-ES_tradnl" w:eastAsia="es-ES_tradnl"/>
              </w:rPr>
            </w:pPr>
          </w:p>
        </w:tc>
      </w:tr>
    </w:tbl>
    <w:p w14:paraId="1C7CDC5E" w14:textId="77777777" w:rsidR="00003535" w:rsidRPr="00D32C7A" w:rsidRDefault="00003535" w:rsidP="00003535">
      <w:pPr>
        <w:spacing w:after="0" w:line="240" w:lineRule="auto"/>
        <w:jc w:val="both"/>
        <w:rPr>
          <w:rFonts w:ascii="Verdana" w:eastAsia="Calibri" w:hAnsi="Verdana" w:cs="Arial"/>
          <w:szCs w:val="24"/>
          <w:lang w:val="es-ES_tradnl" w:eastAsia="es-ES_tradnl"/>
        </w:rPr>
      </w:pPr>
    </w:p>
    <w:p w14:paraId="7D1EC159" w14:textId="77777777" w:rsidR="00003535" w:rsidRPr="00D32C7A" w:rsidRDefault="00003535" w:rsidP="00003535">
      <w:pPr>
        <w:spacing w:after="0" w:line="240" w:lineRule="auto"/>
        <w:jc w:val="both"/>
        <w:rPr>
          <w:rFonts w:ascii="Verdana" w:eastAsia="Calibri" w:hAnsi="Verdana" w:cs="Arial"/>
          <w:szCs w:val="24"/>
          <w:lang w:val="es-ES_tradnl" w:eastAsia="es-ES_tradnl"/>
        </w:rPr>
      </w:pPr>
    </w:p>
    <w:p w14:paraId="1FEC688F" w14:textId="77777777" w:rsidR="00003535" w:rsidRPr="00D32C7A" w:rsidRDefault="00003535" w:rsidP="00003535">
      <w:pPr>
        <w:spacing w:after="0" w:line="240" w:lineRule="auto"/>
        <w:jc w:val="both"/>
        <w:rPr>
          <w:rFonts w:ascii="Verdana" w:eastAsia="Calibri" w:hAnsi="Verdana" w:cs="Arial"/>
          <w:lang w:val="es-ES" w:eastAsia="es-ES"/>
        </w:rPr>
      </w:pPr>
      <w:r w:rsidRPr="00D32C7A">
        <w:rPr>
          <w:rFonts w:ascii="Verdana" w:eastAsia="Calibri" w:hAnsi="Verdana" w:cs="Arial"/>
          <w:lang w:val="es-ES" w:eastAsia="es-ES"/>
        </w:rPr>
        <w:t xml:space="preserve">Estimada señora </w:t>
      </w:r>
      <w:r>
        <w:rPr>
          <w:rFonts w:ascii="Verdana" w:eastAsia="Calibri" w:hAnsi="Verdana" w:cs="Arial"/>
          <w:lang w:val="es-ES" w:eastAsia="es-ES"/>
        </w:rPr>
        <w:t>Alba</w:t>
      </w:r>
      <w:r w:rsidRPr="00D32C7A">
        <w:rPr>
          <w:rFonts w:ascii="Verdana" w:eastAsia="Calibri" w:hAnsi="Verdana" w:cs="Arial"/>
          <w:lang w:val="es-ES" w:eastAsia="es-ES"/>
        </w:rPr>
        <w:t xml:space="preserve">: </w:t>
      </w:r>
    </w:p>
    <w:p w14:paraId="4B740380" w14:textId="77777777" w:rsidR="00003535" w:rsidRPr="00D32C7A" w:rsidRDefault="00003535" w:rsidP="00003535">
      <w:pPr>
        <w:spacing w:after="0" w:line="240" w:lineRule="auto"/>
        <w:jc w:val="both"/>
        <w:rPr>
          <w:rFonts w:ascii="Verdana" w:eastAsia="Calibri" w:hAnsi="Verdana" w:cs="Arial"/>
          <w:lang w:val="es-ES" w:eastAsia="es-ES"/>
        </w:rPr>
      </w:pPr>
    </w:p>
    <w:p w14:paraId="3CB71F44" w14:textId="77777777" w:rsidR="00003535" w:rsidRPr="00D32C7A" w:rsidRDefault="00003535" w:rsidP="00003535">
      <w:pPr>
        <w:spacing w:after="0" w:line="240" w:lineRule="auto"/>
        <w:jc w:val="both"/>
        <w:rPr>
          <w:rFonts w:ascii="Verdana" w:eastAsia="Calibri" w:hAnsi="Verdana" w:cs="Arial"/>
          <w:szCs w:val="24"/>
          <w:lang w:val="es-ES_tradnl" w:eastAsia="es-ES_tradnl"/>
        </w:rPr>
      </w:pPr>
    </w:p>
    <w:p w14:paraId="58373E68" w14:textId="77777777" w:rsidR="00003535" w:rsidRPr="00D32C7A" w:rsidRDefault="00003535" w:rsidP="00003535">
      <w:pPr>
        <w:spacing w:after="120" w:line="276" w:lineRule="auto"/>
        <w:jc w:val="both"/>
        <w:rPr>
          <w:rFonts w:ascii="Verdana" w:eastAsia="Calibri" w:hAnsi="Verdana" w:cs="Arial"/>
          <w:lang w:val="es-ES" w:eastAsia="es-ES"/>
        </w:rPr>
      </w:pPr>
      <w:r w:rsidRPr="00D32C7A">
        <w:rPr>
          <w:rFonts w:ascii="Verdana" w:eastAsia="Calibri" w:hAnsi="Verdana" w:cs="Arial"/>
          <w:lang w:val="es-ES" w:eastAsia="es-ES"/>
        </w:rPr>
        <w:t>En ejercicio de la competencia otorgada por los artículos 3, numeral 5º, y 11, numeral 8º, del Decreto Ley 4170 de 2011,</w:t>
      </w:r>
      <w:r w:rsidRPr="00D32C7A">
        <w:rPr>
          <w:rFonts w:ascii="Verdana" w:eastAsia="Arial MT" w:hAnsi="Verdana" w:cs="Arial MT"/>
          <w:lang w:val="es-ES" w:eastAsia="es-ES"/>
        </w:rPr>
        <w:t xml:space="preserve"> </w:t>
      </w:r>
      <w:r w:rsidRPr="00D32C7A">
        <w:rPr>
          <w:rFonts w:ascii="Verdana" w:eastAsia="Calibri" w:hAnsi="Verdana" w:cs="Arial"/>
          <w:lang w:val="es-ES" w:eastAsia="es-ES"/>
        </w:rPr>
        <w:t xml:space="preserve">la Agencia Nacional de Contratación Pública – Colombia Compra Eficiente– responde la solicitud del </w:t>
      </w:r>
      <w:r>
        <w:rPr>
          <w:rFonts w:ascii="Verdana" w:eastAsia="Calibri" w:hAnsi="Verdana" w:cs="Arial"/>
          <w:lang w:val="es-ES" w:eastAsia="es-ES"/>
        </w:rPr>
        <w:t>20</w:t>
      </w:r>
      <w:r w:rsidRPr="00D32C7A">
        <w:rPr>
          <w:rFonts w:ascii="Verdana" w:eastAsia="Calibri" w:hAnsi="Verdana" w:cs="Arial"/>
          <w:lang w:val="es-ES" w:eastAsia="es-ES"/>
        </w:rPr>
        <w:t xml:space="preserve"> de agosto de 2024</w:t>
      </w:r>
      <w:r>
        <w:rPr>
          <w:rFonts w:ascii="Verdana" w:eastAsia="Calibri" w:hAnsi="Verdana" w:cs="Arial"/>
          <w:lang w:val="es-ES" w:eastAsia="es-ES"/>
        </w:rPr>
        <w:t>, e</w:t>
      </w:r>
      <w:r w:rsidRPr="00D32C7A">
        <w:rPr>
          <w:rFonts w:ascii="Verdana" w:eastAsia="Calibri" w:hAnsi="Verdana" w:cs="Arial"/>
          <w:lang w:val="es-ES" w:eastAsia="es-ES"/>
        </w:rPr>
        <w:t>n la cual manifiesta lo siguiente:</w:t>
      </w:r>
    </w:p>
    <w:p w14:paraId="5A61F94A" w14:textId="77777777" w:rsidR="00003535" w:rsidRPr="00D32C7A" w:rsidRDefault="00003535" w:rsidP="00003535">
      <w:pPr>
        <w:spacing w:after="120" w:line="276" w:lineRule="auto"/>
        <w:jc w:val="both"/>
        <w:rPr>
          <w:rFonts w:ascii="Verdana" w:eastAsia="Calibri" w:hAnsi="Verdana" w:cs="Arial"/>
          <w:sz w:val="21"/>
          <w:szCs w:val="21"/>
          <w:lang w:val="es-ES" w:eastAsia="es-ES"/>
        </w:rPr>
      </w:pPr>
    </w:p>
    <w:p w14:paraId="7BA58018" w14:textId="77777777" w:rsidR="00003535" w:rsidRPr="00D32C7A" w:rsidRDefault="00003535" w:rsidP="00003535">
      <w:pPr>
        <w:spacing w:after="0" w:line="240" w:lineRule="auto"/>
        <w:ind w:left="709" w:right="709"/>
        <w:jc w:val="both"/>
        <w:rPr>
          <w:rFonts w:ascii="Verdana" w:eastAsia="Calibri" w:hAnsi="Verdana" w:cs="Arial"/>
          <w:sz w:val="21"/>
          <w:szCs w:val="21"/>
          <w:lang w:val="es-ES" w:eastAsia="es-ES"/>
        </w:rPr>
      </w:pPr>
      <w:r w:rsidRPr="00D32C7A">
        <w:rPr>
          <w:rFonts w:ascii="Verdana" w:eastAsia="Calibri" w:hAnsi="Verdana" w:cs="Arial"/>
          <w:sz w:val="21"/>
          <w:szCs w:val="21"/>
          <w:lang w:val="es-ES" w:eastAsia="es-ES"/>
        </w:rPr>
        <w:t>“</w:t>
      </w:r>
      <w:r w:rsidRPr="00623C12">
        <w:rPr>
          <w:rFonts w:ascii="Verdana" w:eastAsia="Calibri" w:hAnsi="Verdana" w:cs="Arial"/>
          <w:sz w:val="21"/>
          <w:szCs w:val="21"/>
          <w:lang w:val="es-ES" w:eastAsia="es-ES"/>
        </w:rPr>
        <w:t xml:space="preserve">Teniendo en cuenta que las ESALES pueden pertenecer al </w:t>
      </w:r>
      <w:proofErr w:type="spellStart"/>
      <w:r w:rsidRPr="00623C12">
        <w:rPr>
          <w:rFonts w:ascii="Verdana" w:eastAsia="Calibri" w:hAnsi="Verdana" w:cs="Arial"/>
          <w:sz w:val="21"/>
          <w:szCs w:val="21"/>
          <w:lang w:val="es-ES" w:eastAsia="es-ES"/>
        </w:rPr>
        <w:t>regimen</w:t>
      </w:r>
      <w:proofErr w:type="spellEnd"/>
      <w:r w:rsidRPr="00623C12">
        <w:rPr>
          <w:rFonts w:ascii="Verdana" w:eastAsia="Calibri" w:hAnsi="Verdana" w:cs="Arial"/>
          <w:sz w:val="21"/>
          <w:szCs w:val="21"/>
          <w:lang w:val="es-ES" w:eastAsia="es-ES"/>
        </w:rPr>
        <w:t xml:space="preserve"> tributario ordinario o Especial y atendiendo a las normas vigentes en cuanto a convenios de asociación, articulo 96 de la ley 489 de 1998, quisiera saber si las Entidades sin </w:t>
      </w:r>
      <w:proofErr w:type="spellStart"/>
      <w:r w:rsidRPr="00623C12">
        <w:rPr>
          <w:rFonts w:ascii="Verdana" w:eastAsia="Calibri" w:hAnsi="Verdana" w:cs="Arial"/>
          <w:sz w:val="21"/>
          <w:szCs w:val="21"/>
          <w:lang w:val="es-ES" w:eastAsia="es-ES"/>
        </w:rPr>
        <w:t>animo</w:t>
      </w:r>
      <w:proofErr w:type="spellEnd"/>
      <w:r w:rsidRPr="00623C12">
        <w:rPr>
          <w:rFonts w:ascii="Verdana" w:eastAsia="Calibri" w:hAnsi="Verdana" w:cs="Arial"/>
          <w:sz w:val="21"/>
          <w:szCs w:val="21"/>
          <w:lang w:val="es-ES" w:eastAsia="es-ES"/>
        </w:rPr>
        <w:t xml:space="preserve"> de lucro que pertenecen al </w:t>
      </w:r>
      <w:proofErr w:type="spellStart"/>
      <w:r w:rsidRPr="00623C12">
        <w:rPr>
          <w:rFonts w:ascii="Verdana" w:eastAsia="Calibri" w:hAnsi="Verdana" w:cs="Arial"/>
          <w:sz w:val="21"/>
          <w:szCs w:val="21"/>
          <w:lang w:val="es-ES" w:eastAsia="es-ES"/>
        </w:rPr>
        <w:t>regimen</w:t>
      </w:r>
      <w:proofErr w:type="spellEnd"/>
      <w:r w:rsidRPr="00623C12">
        <w:rPr>
          <w:rFonts w:ascii="Verdana" w:eastAsia="Calibri" w:hAnsi="Verdana" w:cs="Arial"/>
          <w:sz w:val="21"/>
          <w:szCs w:val="21"/>
          <w:lang w:val="es-ES" w:eastAsia="es-ES"/>
        </w:rPr>
        <w:t xml:space="preserve"> ordinario de tributación pueden suscribir convenios de </w:t>
      </w:r>
      <w:proofErr w:type="spellStart"/>
      <w:r w:rsidRPr="00623C12">
        <w:rPr>
          <w:rFonts w:ascii="Verdana" w:eastAsia="Calibri" w:hAnsi="Verdana" w:cs="Arial"/>
          <w:sz w:val="21"/>
          <w:szCs w:val="21"/>
          <w:lang w:val="es-ES" w:eastAsia="es-ES"/>
        </w:rPr>
        <w:t>asociacion</w:t>
      </w:r>
      <w:proofErr w:type="spellEnd"/>
      <w:r w:rsidRPr="00623C12">
        <w:rPr>
          <w:rFonts w:ascii="Verdana" w:eastAsia="Calibri" w:hAnsi="Verdana" w:cs="Arial"/>
          <w:sz w:val="21"/>
          <w:szCs w:val="21"/>
          <w:lang w:val="es-ES" w:eastAsia="es-ES"/>
        </w:rPr>
        <w:t xml:space="preserve"> con entidades territoriales?, o si por el contrario para que la ESAL suscriba este tipo de convenios debe ser ESAL del </w:t>
      </w:r>
      <w:proofErr w:type="spellStart"/>
      <w:r w:rsidRPr="00623C12">
        <w:rPr>
          <w:rFonts w:ascii="Verdana" w:eastAsia="Calibri" w:hAnsi="Verdana" w:cs="Arial"/>
          <w:sz w:val="21"/>
          <w:szCs w:val="21"/>
          <w:lang w:val="es-ES" w:eastAsia="es-ES"/>
        </w:rPr>
        <w:t>regimen</w:t>
      </w:r>
      <w:proofErr w:type="spellEnd"/>
      <w:r w:rsidRPr="00623C12">
        <w:rPr>
          <w:rFonts w:ascii="Verdana" w:eastAsia="Calibri" w:hAnsi="Verdana" w:cs="Arial"/>
          <w:sz w:val="21"/>
          <w:szCs w:val="21"/>
          <w:lang w:val="es-ES" w:eastAsia="es-ES"/>
        </w:rPr>
        <w:t xml:space="preserve"> Especial</w:t>
      </w:r>
      <w:r w:rsidRPr="00D32C7A">
        <w:rPr>
          <w:rFonts w:ascii="Verdana" w:hAnsi="Verdana"/>
        </w:rPr>
        <w:t>?</w:t>
      </w:r>
      <w:r w:rsidRPr="00D32C7A">
        <w:rPr>
          <w:rFonts w:ascii="Verdana" w:eastAsia="Calibri" w:hAnsi="Verdana" w:cs="Arial"/>
          <w:sz w:val="21"/>
          <w:szCs w:val="21"/>
          <w:lang w:val="es-ES" w:eastAsia="es-ES"/>
        </w:rPr>
        <w:t>”</w:t>
      </w:r>
    </w:p>
    <w:p w14:paraId="17300E5C" w14:textId="77777777" w:rsidR="00003535" w:rsidRPr="00D32C7A" w:rsidRDefault="00003535" w:rsidP="00003535">
      <w:pPr>
        <w:spacing w:after="0" w:line="240" w:lineRule="auto"/>
        <w:ind w:left="709" w:right="709"/>
        <w:jc w:val="both"/>
        <w:rPr>
          <w:rFonts w:ascii="Verdana" w:eastAsia="Calibri" w:hAnsi="Verdana" w:cs="Arial"/>
          <w:sz w:val="20"/>
          <w:szCs w:val="20"/>
          <w:lang w:val="es-ES" w:eastAsia="es-ES"/>
        </w:rPr>
      </w:pPr>
    </w:p>
    <w:p w14:paraId="29A399CB" w14:textId="77777777" w:rsidR="00003535" w:rsidRPr="00D32C7A" w:rsidRDefault="00003535" w:rsidP="00003535">
      <w:pPr>
        <w:spacing w:after="0" w:line="240" w:lineRule="auto"/>
        <w:ind w:left="709" w:right="709"/>
        <w:jc w:val="both"/>
        <w:rPr>
          <w:rFonts w:ascii="Verdana" w:eastAsia="Calibri" w:hAnsi="Verdana" w:cs="Arial"/>
          <w:lang w:val="es-ES" w:eastAsia="es-ES_tradnl"/>
        </w:rPr>
      </w:pPr>
    </w:p>
    <w:p w14:paraId="044FC755" w14:textId="77777777" w:rsidR="00003535" w:rsidRPr="00D32C7A" w:rsidRDefault="00003535" w:rsidP="00003535">
      <w:pPr>
        <w:spacing w:after="120" w:line="276" w:lineRule="auto"/>
        <w:jc w:val="both"/>
        <w:rPr>
          <w:rFonts w:ascii="Verdana" w:eastAsia="Calibri" w:hAnsi="Verdana" w:cs="Arial"/>
          <w:lang w:val="es-ES" w:eastAsia="es-ES"/>
        </w:rPr>
      </w:pPr>
      <w:r w:rsidRPr="00D32C7A">
        <w:rPr>
          <w:rFonts w:ascii="Verdana" w:eastAsia="Calibri" w:hAnsi="Verdana" w:cs="Arial"/>
          <w:lang w:val="es-ES_tradnl" w:eastAsia="es-ES_tradnl"/>
        </w:rPr>
        <w:lastRenderedPageBreak/>
        <w:tab/>
      </w:r>
      <w:r w:rsidRPr="00D32C7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D32C7A">
        <w:rPr>
          <w:rFonts w:ascii="Verdana" w:eastAsia="Calibri" w:hAnsi="Verdana" w:cs="Arial"/>
          <w:lang w:val="es-ES" w:eastAsia="es-ES"/>
        </w:rPr>
        <w:tab/>
      </w:r>
    </w:p>
    <w:p w14:paraId="039EBF68" w14:textId="77777777" w:rsidR="00003535" w:rsidRPr="00D32C7A" w:rsidRDefault="00003535" w:rsidP="00003535">
      <w:pPr>
        <w:spacing w:after="0" w:line="276" w:lineRule="auto"/>
        <w:ind w:firstLine="708"/>
        <w:jc w:val="both"/>
        <w:rPr>
          <w:rFonts w:ascii="Verdana" w:eastAsia="Calibri" w:hAnsi="Verdana" w:cs="Arial"/>
          <w:lang w:val="es-ES" w:eastAsia="es-ES"/>
        </w:rPr>
      </w:pPr>
      <w:r w:rsidRPr="00D32C7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C219CBE" w14:textId="77777777" w:rsidR="00003535" w:rsidRPr="00D32C7A" w:rsidRDefault="00003535" w:rsidP="00003535">
      <w:pPr>
        <w:spacing w:after="0" w:line="276" w:lineRule="auto"/>
        <w:ind w:firstLine="708"/>
        <w:jc w:val="both"/>
        <w:rPr>
          <w:rFonts w:ascii="Verdana" w:eastAsia="Calibri" w:hAnsi="Verdana" w:cs="Arial"/>
          <w:lang w:val="es-ES" w:eastAsia="es-ES"/>
        </w:rPr>
      </w:pPr>
    </w:p>
    <w:p w14:paraId="30872C6C" w14:textId="77777777" w:rsidR="00003535" w:rsidRPr="00D32C7A" w:rsidRDefault="00003535" w:rsidP="0000353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D32C7A">
        <w:rPr>
          <w:rFonts w:ascii="Verdana" w:eastAsia="Century Gothic" w:hAnsi="Verdana" w:cs="Century Gothic"/>
          <w:b/>
          <w:bCs/>
        </w:rPr>
        <w:t>Problema planteado:</w:t>
      </w:r>
    </w:p>
    <w:p w14:paraId="4CBFE767" w14:textId="77777777" w:rsidR="00003535" w:rsidRPr="00D32C7A" w:rsidRDefault="00003535" w:rsidP="00003535">
      <w:pPr>
        <w:spacing w:after="120" w:line="276" w:lineRule="auto"/>
        <w:jc w:val="both"/>
        <w:rPr>
          <w:rFonts w:ascii="Verdana" w:eastAsia="Century Gothic" w:hAnsi="Verdana" w:cs="Century Gothic"/>
        </w:rPr>
      </w:pPr>
    </w:p>
    <w:p w14:paraId="791D2EC9" w14:textId="77777777" w:rsidR="00003535" w:rsidRDefault="00003535" w:rsidP="00003535">
      <w:pPr>
        <w:rPr>
          <w:rFonts w:ascii="Verdana" w:hAnsi="Verdana"/>
        </w:rPr>
      </w:pPr>
      <w:r w:rsidRPr="00D32C7A">
        <w:rPr>
          <w:rFonts w:ascii="Verdana" w:eastAsia="Century Gothic" w:hAnsi="Verdana" w:cs="Century Gothic"/>
        </w:rPr>
        <w:t>De acuerdo con el contenido de su solicitud, esta Agencia resolverá el siguiente problema jurídico:</w:t>
      </w:r>
      <w:r w:rsidRPr="00D32C7A">
        <w:rPr>
          <w:rFonts w:ascii="Verdana" w:hAnsi="Verdana"/>
        </w:rPr>
        <w:t xml:space="preserve"> </w:t>
      </w:r>
      <w:r>
        <w:rPr>
          <w:rFonts w:ascii="Verdana" w:hAnsi="Verdana"/>
        </w:rPr>
        <w:t>¿Cuáles son los requisito para la suscripción de convenios de asociación entre entidades públicas y ESAL?</w:t>
      </w:r>
    </w:p>
    <w:p w14:paraId="6F98C316" w14:textId="77777777" w:rsidR="00003535" w:rsidRPr="003E6A61" w:rsidRDefault="00003535" w:rsidP="00003535">
      <w:pPr>
        <w:spacing w:after="120" w:line="276" w:lineRule="auto"/>
        <w:jc w:val="both"/>
        <w:rPr>
          <w:rFonts w:ascii="Verdana" w:hAnsi="Verdana" w:cs="Arial"/>
          <w:bCs/>
        </w:rPr>
      </w:pPr>
    </w:p>
    <w:p w14:paraId="52811CC0" w14:textId="77777777" w:rsidR="00003535" w:rsidRPr="00D32C7A" w:rsidRDefault="00003535" w:rsidP="00003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Respuesta:</w:t>
      </w:r>
    </w:p>
    <w:p w14:paraId="3E38D209" w14:textId="77777777" w:rsidR="00003535" w:rsidRPr="00D32C7A" w:rsidRDefault="00003535" w:rsidP="0000353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4DE6668" w14:textId="77777777" w:rsidR="00003535" w:rsidRDefault="00003535" w:rsidP="00003535">
      <w:pPr>
        <w:spacing w:before="120" w:line="276" w:lineRule="auto"/>
        <w:ind w:firstLine="703"/>
        <w:jc w:val="both"/>
        <w:textAlignment w:val="baseline"/>
        <w:rPr>
          <w:rFonts w:ascii="Verdana" w:eastAsia="Calibri" w:hAnsi="Verdana" w:cs="Arial"/>
          <w:bCs/>
          <w:lang w:val="es-ES_tradnl"/>
        </w:rPr>
      </w:pPr>
      <w:r w:rsidRPr="00C6404E">
        <w:rPr>
          <w:rFonts w:ascii="Verdana" w:hAnsi="Verdana"/>
        </w:rPr>
        <w:t>Los requisitos para la suscripción de convenios de asociación entre Entidades públicas  y Entidades Sin Ánimo de Lucro ESAL,</w:t>
      </w:r>
      <w:r w:rsidRPr="00C6404E">
        <w:rPr>
          <w:rFonts w:ascii="Verdana" w:eastAsia="Times New Roman" w:hAnsi="Verdana" w:cs="Arial"/>
          <w:color w:val="000000"/>
          <w:lang w:val="es-ES" w:eastAsia="es-CO"/>
        </w:rPr>
        <w:t xml:space="preserve"> </w:t>
      </w:r>
      <w:r>
        <w:rPr>
          <w:rFonts w:ascii="Verdana" w:eastAsia="Times New Roman" w:hAnsi="Verdana" w:cs="Arial"/>
          <w:color w:val="000000"/>
          <w:lang w:val="es-ES" w:eastAsia="es-CO"/>
        </w:rPr>
        <w:t xml:space="preserve">se encuentran dispuestos en el artículo 355 de la Constitución Política, en el artículo 96 de la Ley 489 de 1998 y en el artículo 5 del Decreto 092 de 2017, en ese sentido se pueden extraer de la siguiente manera: </w:t>
      </w:r>
      <w:r w:rsidRPr="00C6404E">
        <w:rPr>
          <w:rFonts w:ascii="Verdana" w:hAnsi="Verdana"/>
          <w:color w:val="222222"/>
          <w:shd w:val="clear" w:color="auto" w:fill="FFFFFF"/>
        </w:rPr>
        <w:t>i.</w:t>
      </w:r>
      <w:r>
        <w:rPr>
          <w:rFonts w:ascii="Verdana" w:hAnsi="Verdana"/>
          <w:color w:val="222222"/>
          <w:shd w:val="clear" w:color="auto" w:fill="FFFFFF"/>
        </w:rPr>
        <w:t xml:space="preserve"> </w:t>
      </w:r>
      <w:r w:rsidRPr="00C6404E">
        <w:rPr>
          <w:rFonts w:ascii="Verdana" w:hAnsi="Verdana"/>
          <w:shd w:val="clear" w:color="auto" w:fill="FFFFFF"/>
        </w:rPr>
        <w:t xml:space="preserve">El convenio de asociación puede celebrarse por cualquier entidad estatal. ii. </w:t>
      </w:r>
      <w:r w:rsidRPr="00C6404E">
        <w:rPr>
          <w:rFonts w:ascii="Verdana" w:hAnsi="Verdana"/>
          <w:color w:val="222222"/>
          <w:shd w:val="clear" w:color="auto" w:fill="FFFFFF"/>
        </w:rPr>
        <w:t>debe celebrarse con personas jurídicas privadas sin ánimo de lucro y de reconocida idoneidad, iii</w:t>
      </w:r>
      <w:r w:rsidRPr="00C6404E">
        <w:rPr>
          <w:rFonts w:ascii="Verdana" w:hAnsi="Verdana"/>
          <w:shd w:val="clear" w:color="auto" w:fill="FFFFFF"/>
        </w:rPr>
        <w:t xml:space="preserve"> El objeto del convenio de asociación es el desarrollo de cometidos y/o funciones públicas propias de las entidades estatales.</w:t>
      </w:r>
      <w:r w:rsidRPr="00C6404E">
        <w:rPr>
          <w:rFonts w:ascii="Verdana" w:hAnsi="Verdana"/>
          <w:color w:val="222222"/>
          <w:shd w:val="clear" w:color="auto" w:fill="FFFFFF"/>
        </w:rPr>
        <w:t xml:space="preserve"> </w:t>
      </w:r>
      <w:proofErr w:type="spellStart"/>
      <w:r w:rsidRPr="00C6404E">
        <w:rPr>
          <w:rFonts w:ascii="Verdana" w:hAnsi="Verdana"/>
          <w:color w:val="222222"/>
          <w:shd w:val="clear" w:color="auto" w:fill="FFFFFF"/>
        </w:rPr>
        <w:t>iv</w:t>
      </w:r>
      <w:proofErr w:type="spellEnd"/>
      <w:r w:rsidRPr="00C6404E">
        <w:rPr>
          <w:rFonts w:ascii="Verdana" w:hAnsi="Verdana"/>
          <w:color w:val="222222"/>
          <w:shd w:val="clear" w:color="auto" w:fill="FFFFFF"/>
        </w:rPr>
        <w:t xml:space="preserve"> </w:t>
      </w:r>
      <w:r w:rsidRPr="00C6404E">
        <w:rPr>
          <w:rFonts w:ascii="Verdana" w:hAnsi="Verdana"/>
          <w:shd w:val="clear" w:color="auto" w:fill="FFFFFF"/>
        </w:rPr>
        <w:t>No puede haber remuneración sino aportes de los asociado</w:t>
      </w:r>
      <w:r w:rsidRPr="00C6404E">
        <w:rPr>
          <w:rFonts w:ascii="Verdana" w:hAnsi="Verdana"/>
          <w:color w:val="222222"/>
          <w:shd w:val="clear" w:color="auto" w:fill="FFFFFF"/>
        </w:rPr>
        <w:t xml:space="preserve">, (v) están sometidos al régimen de </w:t>
      </w:r>
      <w:r w:rsidRPr="00C6404E">
        <w:rPr>
          <w:rFonts w:ascii="Verdana" w:hAnsi="Verdana"/>
          <w:color w:val="222222"/>
          <w:shd w:val="clear" w:color="auto" w:fill="FFFFFF"/>
        </w:rPr>
        <w:lastRenderedPageBreak/>
        <w:t xml:space="preserve">inhabilidades e incompatibilidades del Estatuto General de Contratación de la Administración Pública, (vi) </w:t>
      </w:r>
      <w:r>
        <w:rPr>
          <w:rFonts w:ascii="Verdana" w:hAnsi="Verdana"/>
          <w:color w:val="222222"/>
          <w:shd w:val="clear" w:color="auto" w:fill="FFFFFF"/>
        </w:rPr>
        <w:t>L</w:t>
      </w:r>
      <w:r w:rsidRPr="00C6404E">
        <w:rPr>
          <w:rFonts w:ascii="Verdana" w:hAnsi="Verdana"/>
          <w:color w:val="222222"/>
          <w:shd w:val="clear" w:color="auto" w:fill="FFFFFF"/>
        </w:rPr>
        <w:t>e aplica los principios de la contratación estatal y (vi) está sujetos a las normas generales aplicables a la contratación pública, excepto en lo reglamentado en el Decreto 092 de 2017.</w:t>
      </w:r>
      <w:r w:rsidRPr="00C6404E">
        <w:rPr>
          <w:rFonts w:ascii="Verdana" w:eastAsia="Calibri" w:hAnsi="Verdana" w:cs="Arial"/>
          <w:bCs/>
          <w:lang w:val="es-ES_tradnl"/>
        </w:rPr>
        <w:t xml:space="preserve"> </w:t>
      </w:r>
    </w:p>
    <w:p w14:paraId="030B7409" w14:textId="77777777" w:rsidR="00003535" w:rsidRPr="00C6404E" w:rsidRDefault="00003535" w:rsidP="00003535">
      <w:pPr>
        <w:spacing w:before="120" w:after="0" w:line="276" w:lineRule="auto"/>
        <w:ind w:firstLine="703"/>
        <w:jc w:val="both"/>
        <w:textAlignment w:val="baseline"/>
        <w:rPr>
          <w:rFonts w:ascii="Verdana" w:eastAsia="Times New Roman" w:hAnsi="Verdana" w:cs="Arial"/>
          <w:color w:val="000000"/>
          <w:lang w:val="es-ES" w:eastAsia="es-CO"/>
        </w:rPr>
      </w:pPr>
      <w:r w:rsidRPr="00C6404E">
        <w:rPr>
          <w:rFonts w:ascii="Verdana" w:eastAsia="Calibri" w:hAnsi="Verdana" w:cs="Arial"/>
          <w:bCs/>
          <w:lang w:val="es-ES_tradnl"/>
        </w:rPr>
        <w:t>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C6404E">
        <w:rPr>
          <w:rStyle w:val="Refdenotaalpie"/>
          <w:rFonts w:ascii="Verdana" w:hAnsi="Verdana" w:cs="Arial"/>
        </w:rPr>
        <w:footnoteReference w:id="1"/>
      </w:r>
      <w:r w:rsidRPr="00C6404E">
        <w:rPr>
          <w:rFonts w:ascii="Verdana" w:eastAsia="Calibri" w:hAnsi="Verdana" w:cs="Arial"/>
          <w:bCs/>
          <w:lang w:val="es-ES_tradnl"/>
        </w:rPr>
        <w:t>.</w:t>
      </w:r>
    </w:p>
    <w:p w14:paraId="376FE4C1" w14:textId="77777777" w:rsidR="00003535" w:rsidRDefault="00003535" w:rsidP="00003535">
      <w:pPr>
        <w:spacing w:after="0" w:line="240" w:lineRule="auto"/>
        <w:jc w:val="both"/>
        <w:rPr>
          <w:rFonts w:ascii="Verdana" w:eastAsia="Century Gothic" w:hAnsi="Verdana" w:cs="Century Gothic"/>
          <w:b/>
          <w:bCs/>
          <w:lang w:val="es-ES"/>
        </w:rPr>
      </w:pPr>
    </w:p>
    <w:p w14:paraId="5AA79F92" w14:textId="77777777" w:rsidR="00003535" w:rsidRPr="00D32C7A" w:rsidRDefault="00003535" w:rsidP="00003535">
      <w:pPr>
        <w:spacing w:after="120" w:line="276" w:lineRule="auto"/>
        <w:jc w:val="both"/>
        <w:rPr>
          <w:rFonts w:ascii="Verdana" w:eastAsia="Century Gothic" w:hAnsi="Verdana" w:cs="Century Gothic"/>
          <w:b/>
          <w:bCs/>
          <w:lang w:val="es-ES"/>
        </w:rPr>
      </w:pPr>
      <w:r w:rsidRPr="00D32C7A">
        <w:rPr>
          <w:rFonts w:ascii="Verdana" w:eastAsia="Century Gothic" w:hAnsi="Verdana" w:cs="Century Gothic"/>
          <w:b/>
          <w:bCs/>
          <w:lang w:val="es-ES"/>
        </w:rPr>
        <w:t>Razones de la respuesta:</w:t>
      </w:r>
    </w:p>
    <w:p w14:paraId="6BA18D9C" w14:textId="77777777" w:rsidR="00003535" w:rsidRPr="00D32C7A" w:rsidRDefault="00003535" w:rsidP="00003535">
      <w:pPr>
        <w:spacing w:after="0" w:line="276" w:lineRule="auto"/>
        <w:jc w:val="both"/>
        <w:rPr>
          <w:rFonts w:ascii="Verdana" w:eastAsia="Calibri" w:hAnsi="Verdana" w:cs="Arial"/>
          <w:color w:val="7030A0"/>
          <w:lang w:val="es-ES"/>
        </w:rPr>
      </w:pPr>
    </w:p>
    <w:p w14:paraId="2FC29741" w14:textId="77777777" w:rsidR="00003535" w:rsidRPr="00D32C7A" w:rsidRDefault="00003535" w:rsidP="00003535">
      <w:pPr>
        <w:spacing w:after="0" w:line="276" w:lineRule="auto"/>
        <w:jc w:val="both"/>
        <w:rPr>
          <w:rFonts w:ascii="Verdana" w:eastAsia="Calibri" w:hAnsi="Verdana" w:cs="Arial"/>
          <w:lang w:val="es-ES"/>
        </w:rPr>
      </w:pPr>
      <w:r w:rsidRPr="00D32C7A">
        <w:rPr>
          <w:rFonts w:ascii="Verdana" w:eastAsia="Calibri" w:hAnsi="Verdana" w:cs="Arial"/>
          <w:lang w:val="es-ES"/>
        </w:rPr>
        <w:t xml:space="preserve">Lo anterior se sustenta en las siguientes consideraciones: </w:t>
      </w:r>
    </w:p>
    <w:p w14:paraId="57315C92" w14:textId="77777777" w:rsidR="00003535" w:rsidRPr="00F041E2" w:rsidRDefault="00003535" w:rsidP="00003535">
      <w:pPr>
        <w:spacing w:after="120" w:line="276" w:lineRule="auto"/>
        <w:jc w:val="both"/>
        <w:rPr>
          <w:rFonts w:ascii="Verdana" w:eastAsia="Calibri" w:hAnsi="Verdana" w:cs="Arial"/>
          <w:lang w:val="es-ES" w:eastAsia="es-ES"/>
        </w:rPr>
      </w:pPr>
    </w:p>
    <w:p w14:paraId="1BB94394" w14:textId="77777777" w:rsidR="00003535" w:rsidRPr="00F041E2" w:rsidRDefault="00003535" w:rsidP="00003535">
      <w:pPr>
        <w:spacing w:after="0" w:line="276" w:lineRule="auto"/>
        <w:ind w:firstLine="708"/>
        <w:contextualSpacing/>
        <w:jc w:val="both"/>
        <w:rPr>
          <w:rFonts w:ascii="Verdana" w:hAnsi="Verdana" w:cs="Arial"/>
          <w:color w:val="000000" w:themeColor="text1"/>
        </w:rPr>
      </w:pPr>
      <w:r w:rsidRPr="00F041E2">
        <w:rPr>
          <w:rFonts w:ascii="Verdana" w:eastAsia="Calibri" w:hAnsi="Verdana" w:cs="Arial"/>
          <w:bCs/>
          <w:lang w:val="es-MX"/>
        </w:rPr>
        <w:t>Una de las formas tradicionales de desarrollar empresas</w:t>
      </w:r>
      <w:r w:rsidRPr="00F041E2">
        <w:rPr>
          <w:rFonts w:ascii="Verdana" w:eastAsia="Calibri" w:hAnsi="Verdana" w:cs="Arial"/>
          <w:bCs/>
          <w:i/>
          <w:iCs/>
          <w:lang w:val="es-MX"/>
        </w:rPr>
        <w:t xml:space="preserve"> </w:t>
      </w:r>
      <w:r w:rsidRPr="00F041E2">
        <w:rPr>
          <w:rFonts w:ascii="Verdana" w:eastAsia="Calibri" w:hAnsi="Verdana" w:cs="Arial"/>
          <w:bCs/>
          <w:lang w:val="es-MX"/>
        </w:rPr>
        <w:t xml:space="preserve">y ejercer el comercio en Colombia, es a través del contrato de sociedad por medio del cual dos o más personas se obligan a hacer un aporte en dinero, en trabajo o en otros bienes apreciables en dinero con el fin de repartirse entre sí las utilidades obtenidas en la empresa, según el artículo 98 </w:t>
      </w:r>
      <w:r w:rsidRPr="00F041E2">
        <w:rPr>
          <w:rFonts w:ascii="Verdana" w:eastAsia="Calibri" w:hAnsi="Verdana" w:cs="Arial"/>
          <w:bCs/>
          <w:i/>
          <w:iCs/>
          <w:lang w:val="es-MX"/>
        </w:rPr>
        <w:t xml:space="preserve">ibidem. </w:t>
      </w:r>
      <w:r w:rsidRPr="00F041E2">
        <w:rPr>
          <w:rFonts w:ascii="Verdana" w:eastAsia="Calibri" w:hAnsi="Verdana" w:cs="Arial"/>
          <w:bCs/>
          <w:lang w:val="es-MX"/>
        </w:rPr>
        <w:t>En ese sentido, puede decirse que serán sociedades comerciales aquellas que ejecuten actos o empresas mercantiles, en los términos señalados en el artículo 100 del Código de Comercio</w:t>
      </w:r>
      <w:r w:rsidRPr="00F041E2">
        <w:rPr>
          <w:rFonts w:ascii="Verdana" w:hAnsi="Verdana" w:cs="Arial"/>
          <w:color w:val="000000" w:themeColor="text1"/>
          <w:vertAlign w:val="superscript"/>
        </w:rPr>
        <w:footnoteReference w:id="2"/>
      </w:r>
      <w:r w:rsidRPr="00F041E2">
        <w:rPr>
          <w:rFonts w:ascii="Verdana" w:hAnsi="Verdana" w:cs="Arial"/>
          <w:color w:val="000000" w:themeColor="text1"/>
        </w:rPr>
        <w:t xml:space="preserve">. Sin perjuicio de esto, el artículo 2 de la Ley 590 del 2000, modificado por el </w:t>
      </w:r>
      <w:r w:rsidRPr="00F041E2">
        <w:rPr>
          <w:rFonts w:ascii="Verdana" w:eastAsia="Calibri" w:hAnsi="Verdana" w:cs="Arial"/>
          <w:bCs/>
          <w:lang w:val="es-MX"/>
        </w:rPr>
        <w:t>artículo 43 de la Ley 1450 de 2011, define la empresa</w:t>
      </w:r>
      <w:r w:rsidRPr="00F041E2">
        <w:rPr>
          <w:rFonts w:ascii="Verdana" w:eastAsia="Calibri" w:hAnsi="Verdana" w:cs="Arial"/>
          <w:bCs/>
          <w:i/>
          <w:iCs/>
          <w:lang w:val="es-MX"/>
        </w:rPr>
        <w:t xml:space="preserve"> </w:t>
      </w:r>
      <w:r w:rsidRPr="00F041E2">
        <w:rPr>
          <w:rFonts w:ascii="Verdana" w:eastAsia="Calibri" w:hAnsi="Verdana" w:cs="Arial"/>
          <w:bCs/>
          <w:lang w:val="es-MX"/>
        </w:rPr>
        <w:t>como toda unidad de explotación económica que realiza una persona natural o jurídica en actividades agropecuarias, industriales, comerciales o de servicios</w:t>
      </w:r>
      <w:r w:rsidRPr="00F041E2">
        <w:rPr>
          <w:rFonts w:ascii="Verdana" w:hAnsi="Verdana" w:cs="Arial"/>
          <w:color w:val="000000" w:themeColor="text1"/>
          <w:vertAlign w:val="superscript"/>
        </w:rPr>
        <w:footnoteReference w:id="3"/>
      </w:r>
      <w:r w:rsidRPr="00F041E2">
        <w:rPr>
          <w:rFonts w:ascii="Verdana" w:hAnsi="Verdana" w:cs="Arial"/>
          <w:color w:val="000000" w:themeColor="text1"/>
        </w:rPr>
        <w:t xml:space="preserve">. Además, establece que estas se clasifican en micro, pequeña, mediana </w:t>
      </w:r>
      <w:r w:rsidRPr="00F041E2">
        <w:rPr>
          <w:rFonts w:ascii="Verdana" w:hAnsi="Verdana" w:cs="Arial"/>
          <w:color w:val="000000" w:themeColor="text1"/>
        </w:rPr>
        <w:lastRenderedPageBreak/>
        <w:t>y gran empresa, de acuerdo con los criterios del número de trabajadores totales, el valor de ventas brutales anuales y el valor de activos totales.</w:t>
      </w:r>
    </w:p>
    <w:p w14:paraId="0DC9C3A8" w14:textId="77777777" w:rsidR="00003535" w:rsidRPr="00F041E2" w:rsidRDefault="00003535" w:rsidP="00003535">
      <w:pPr>
        <w:spacing w:before="120" w:after="120" w:line="276" w:lineRule="auto"/>
        <w:ind w:right="51"/>
        <w:jc w:val="both"/>
        <w:rPr>
          <w:rFonts w:ascii="Verdana" w:hAnsi="Verdana" w:cs="Arial"/>
          <w:color w:val="000000" w:themeColor="text1"/>
        </w:rPr>
      </w:pPr>
      <w:r w:rsidRPr="00F041E2">
        <w:rPr>
          <w:rFonts w:ascii="Verdana" w:eastAsia="Calibri" w:hAnsi="Verdana" w:cs="Arial"/>
          <w:bCs/>
          <w:lang w:val="es-MX"/>
        </w:rPr>
        <w:tab/>
        <w:t>En todo caso, para efectos de la presente, es preciso mencionar que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w:t>
      </w:r>
      <w:r w:rsidRPr="00F041E2">
        <w:rPr>
          <w:rFonts w:ascii="Verdana" w:hAnsi="Verdana" w:cs="Arial"/>
          <w:color w:val="000000" w:themeColor="text1"/>
          <w:vertAlign w:val="superscript"/>
        </w:rPr>
        <w:footnoteReference w:id="4"/>
      </w:r>
      <w:r w:rsidRPr="00F041E2">
        <w:rPr>
          <w:rFonts w:ascii="Verdana" w:hAnsi="Verdana" w:cs="Arial"/>
          <w:color w:val="000000" w:themeColor="text1"/>
        </w:rPr>
        <w:t>.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F041E2">
        <w:rPr>
          <w:rFonts w:ascii="Verdana" w:hAnsi="Verdana" w:cs="Arial"/>
          <w:color w:val="000000" w:themeColor="text1"/>
          <w:vertAlign w:val="superscript"/>
        </w:rPr>
        <w:footnoteReference w:id="5"/>
      </w:r>
      <w:r w:rsidRPr="00F041E2">
        <w:rPr>
          <w:rFonts w:ascii="Verdana" w:hAnsi="Verdana" w:cs="Arial"/>
          <w:color w:val="000000" w:themeColor="text1"/>
        </w:rPr>
        <w:t xml:space="preserve">. La ausencia de ánimo </w:t>
      </w:r>
      <w:r w:rsidRPr="00F041E2">
        <w:rPr>
          <w:rFonts w:ascii="Verdana" w:hAnsi="Verdana" w:cs="Arial"/>
          <w:color w:val="000000" w:themeColor="text1"/>
        </w:rPr>
        <w:lastRenderedPageBreak/>
        <w:t>de lucro es, entonces, la característica determinante de estas corporaciones u organizaciones con las sociedades comerciales.</w:t>
      </w:r>
    </w:p>
    <w:p w14:paraId="736F1F5F" w14:textId="77777777" w:rsidR="00003535" w:rsidRPr="00F041E2" w:rsidRDefault="00003535" w:rsidP="00003535">
      <w:pPr>
        <w:spacing w:before="120" w:after="120" w:line="276" w:lineRule="auto"/>
        <w:ind w:right="51"/>
        <w:jc w:val="both"/>
        <w:rPr>
          <w:rFonts w:ascii="Verdana" w:hAnsi="Verdana" w:cs="Arial"/>
          <w:color w:val="000000" w:themeColor="text1"/>
        </w:rPr>
      </w:pPr>
      <w:r w:rsidRPr="00F041E2">
        <w:rPr>
          <w:rFonts w:ascii="Verdana" w:hAnsi="Verdana" w:cs="Arial"/>
          <w:color w:val="000000" w:themeColor="text1"/>
        </w:rPr>
        <w:tab/>
        <w:t>Que una ESAL no sea una forma de sociedad, se infiere igualmente de los requisitos que exige el artículo 98 del Código de Comercio, concretamente del previsto al final del inciso primero relacionado con su finalidad. En efecto, la norma en comento dispone: “[p]</w:t>
      </w:r>
      <w:proofErr w:type="spellStart"/>
      <w:r w:rsidRPr="00F041E2">
        <w:rPr>
          <w:rFonts w:ascii="Verdana" w:hAnsi="Verdana" w:cs="Arial"/>
          <w:color w:val="000000" w:themeColor="text1"/>
        </w:rPr>
        <w:t>or</w:t>
      </w:r>
      <w:proofErr w:type="spellEnd"/>
      <w:r w:rsidRPr="00F041E2">
        <w:rPr>
          <w:rFonts w:ascii="Verdana" w:hAnsi="Verdana" w:cs="Arial"/>
          <w:color w:val="000000" w:themeColor="text1"/>
        </w:rPr>
        <w:t xml:space="preserve"> el contrato de sociedad dos o más personas se obligan a hacer un aporte en dinero, en trabajo o en otros bienes apreciables en dinero, en trabajo o en otros bienes apreciables en dinero, </w:t>
      </w:r>
      <w:r w:rsidRPr="00F041E2">
        <w:rPr>
          <w:rFonts w:ascii="Verdana" w:hAnsi="Verdana" w:cs="Arial"/>
          <w:i/>
          <w:iCs/>
          <w:color w:val="000000" w:themeColor="text1"/>
        </w:rPr>
        <w:t xml:space="preserve">con el fin de repartirse entre sí las utilidades obtenidas en la empresa o actividad social”. </w:t>
      </w:r>
      <w:r w:rsidRPr="00F041E2">
        <w:rPr>
          <w:rFonts w:ascii="Verdana" w:hAnsi="Verdana" w:cs="Arial"/>
          <w:color w:val="000000" w:themeColor="text1"/>
        </w:rPr>
        <w:t>[Énfasis f</w:t>
      </w:r>
      <w:r>
        <w:rPr>
          <w:rFonts w:ascii="Verdana" w:hAnsi="Verdana" w:cs="Arial"/>
          <w:color w:val="000000" w:themeColor="text1"/>
        </w:rPr>
        <w:t>u</w:t>
      </w:r>
      <w:r w:rsidRPr="00F041E2">
        <w:rPr>
          <w:rFonts w:ascii="Verdana" w:hAnsi="Verdana" w:cs="Arial"/>
          <w:color w:val="000000" w:themeColor="text1"/>
        </w:rPr>
        <w:t>era de texto].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la libertad y al amparo del derecho fundamental de asociación, previsto en el artículo 38 de la Constitución Política y otras normas contenidas en tratados internacionales suscritos por Colombia.</w:t>
      </w:r>
    </w:p>
    <w:p w14:paraId="0913826A" w14:textId="77777777" w:rsidR="00003535" w:rsidRPr="00F041E2" w:rsidRDefault="00003535" w:rsidP="00003535">
      <w:pPr>
        <w:spacing w:before="120" w:after="120" w:line="276" w:lineRule="auto"/>
        <w:ind w:right="51" w:firstLine="708"/>
        <w:jc w:val="both"/>
        <w:rPr>
          <w:rFonts w:ascii="Verdana" w:hAnsi="Verdana" w:cs="Arial"/>
          <w:color w:val="000000" w:themeColor="text1"/>
        </w:rPr>
      </w:pPr>
      <w:r w:rsidRPr="00F041E2">
        <w:rPr>
          <w:rFonts w:ascii="Verdana" w:eastAsia="Calibri" w:hAnsi="Verdana" w:cs="Arial"/>
          <w:bCs/>
          <w:lang w:val="es-MX"/>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 en la ESAL, al no ser viable su reparto entre los asociados.</w:t>
      </w:r>
    </w:p>
    <w:p w14:paraId="4C7EDC92" w14:textId="77777777" w:rsidR="00003535" w:rsidRPr="00F041E2" w:rsidRDefault="00003535" w:rsidP="00003535">
      <w:pPr>
        <w:spacing w:before="120" w:after="0" w:line="276" w:lineRule="auto"/>
        <w:ind w:right="51" w:firstLine="709"/>
        <w:jc w:val="both"/>
        <w:rPr>
          <w:rFonts w:ascii="Verdana" w:eastAsia="Times New Roman" w:hAnsi="Verdana" w:cs="Arial"/>
          <w:color w:val="000000" w:themeColor="text1"/>
          <w:szCs w:val="24"/>
          <w:lang w:eastAsia="es-MX"/>
        </w:rPr>
      </w:pPr>
      <w:r w:rsidRPr="00F041E2">
        <w:rPr>
          <w:rFonts w:ascii="Verdana" w:eastAsia="Times New Roman" w:hAnsi="Verdana" w:cs="Arial"/>
          <w:color w:val="000000" w:themeColor="text1"/>
          <w:szCs w:val="24"/>
          <w:lang w:eastAsia="es-MX"/>
        </w:rPr>
        <w:t>Por su parte, la Corte Constitucional, en la sentencia C-287 de 2012, reiteró que la diferencia existente entre las sociedades comerciales y las ESAL es que estas últimas no reparten sus utilidades entre los socios</w:t>
      </w:r>
      <w:r w:rsidRPr="00F041E2">
        <w:rPr>
          <w:rFonts w:ascii="Verdana" w:eastAsia="Times New Roman" w:hAnsi="Verdana" w:cs="Arial"/>
          <w:color w:val="000000" w:themeColor="text1"/>
          <w:szCs w:val="24"/>
          <w:vertAlign w:val="superscript"/>
          <w:lang w:eastAsia="es-MX"/>
        </w:rPr>
        <w:footnoteReference w:id="6"/>
      </w:r>
      <w:r w:rsidRPr="00F041E2">
        <w:rPr>
          <w:rFonts w:ascii="Verdana" w:eastAsia="Times New Roman" w:hAnsi="Verdana" w:cs="Arial"/>
          <w:color w:val="000000" w:themeColor="text1"/>
          <w:szCs w:val="24"/>
          <w:lang w:eastAsia="es-MX"/>
        </w:rPr>
        <w:t xml:space="preserve">. Así lo explicó en los siguientes términos: </w:t>
      </w:r>
    </w:p>
    <w:p w14:paraId="7C2C635C" w14:textId="77777777" w:rsidR="00003535" w:rsidRPr="00F041E2" w:rsidRDefault="00003535" w:rsidP="00003535">
      <w:pPr>
        <w:spacing w:after="0" w:line="276" w:lineRule="auto"/>
        <w:ind w:left="709" w:right="760"/>
        <w:jc w:val="both"/>
        <w:rPr>
          <w:rFonts w:ascii="Verdana" w:eastAsia="Times New Roman" w:hAnsi="Verdana" w:cs="Arial"/>
          <w:color w:val="000000" w:themeColor="text1"/>
          <w:sz w:val="21"/>
          <w:szCs w:val="21"/>
          <w:lang w:eastAsia="es-MX"/>
        </w:rPr>
      </w:pPr>
    </w:p>
    <w:p w14:paraId="4DECCD96" w14:textId="77777777" w:rsidR="00003535" w:rsidRPr="00F041E2" w:rsidRDefault="00003535" w:rsidP="00003535">
      <w:pPr>
        <w:spacing w:after="0" w:line="240" w:lineRule="auto"/>
        <w:ind w:left="709" w:right="760"/>
        <w:jc w:val="both"/>
        <w:rPr>
          <w:rFonts w:ascii="Verdana" w:eastAsia="Times New Roman" w:hAnsi="Verdana" w:cs="Arial"/>
          <w:color w:val="000000" w:themeColor="text1"/>
          <w:sz w:val="21"/>
          <w:szCs w:val="21"/>
          <w:lang w:eastAsia="es-MX"/>
        </w:rPr>
      </w:pPr>
      <w:r w:rsidRPr="00F041E2">
        <w:rPr>
          <w:rFonts w:ascii="Verdana" w:eastAsia="Times New Roman" w:hAnsi="Verdana" w:cs="Arial"/>
          <w:color w:val="000000" w:themeColor="text1"/>
          <w:sz w:val="21"/>
          <w:szCs w:val="21"/>
          <w:lang w:eastAsia="es-MX"/>
        </w:rPr>
        <w:t xml:space="preserve">“Sin embargo, el hecho que no persigan una finalidad lucrativa no significa que no desarrollen actividades que generen utilidades, lo que pasa es que, a diferencia de las sociedades, el lucro o ganancia obtenida no se reparte </w:t>
      </w:r>
      <w:r w:rsidRPr="00F041E2">
        <w:rPr>
          <w:rFonts w:ascii="Verdana" w:eastAsia="Times New Roman" w:hAnsi="Verdana" w:cs="Arial"/>
          <w:color w:val="000000" w:themeColor="text1"/>
          <w:sz w:val="21"/>
          <w:szCs w:val="21"/>
          <w:lang w:eastAsia="es-MX"/>
        </w:rPr>
        <w:lastRenderedPageBreak/>
        <w:t>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p>
    <w:p w14:paraId="1097D56D" w14:textId="77777777" w:rsidR="00003535" w:rsidRPr="00F041E2" w:rsidRDefault="00003535" w:rsidP="00003535">
      <w:pPr>
        <w:spacing w:after="0" w:line="276" w:lineRule="auto"/>
        <w:ind w:right="51" w:firstLine="709"/>
        <w:jc w:val="both"/>
        <w:rPr>
          <w:rFonts w:ascii="Verdana" w:eastAsia="Times New Roman" w:hAnsi="Verdana" w:cs="Arial"/>
          <w:color w:val="000000" w:themeColor="text1"/>
          <w:sz w:val="21"/>
          <w:szCs w:val="21"/>
          <w:lang w:eastAsia="es-MX"/>
        </w:rPr>
      </w:pPr>
    </w:p>
    <w:p w14:paraId="2BE37996" w14:textId="77777777" w:rsidR="00003535" w:rsidRPr="00F041E2" w:rsidRDefault="00003535" w:rsidP="00003535">
      <w:pPr>
        <w:spacing w:after="0" w:line="276" w:lineRule="auto"/>
        <w:ind w:right="51" w:firstLine="709"/>
        <w:jc w:val="both"/>
        <w:rPr>
          <w:rFonts w:ascii="Verdana" w:eastAsia="Times New Roman" w:hAnsi="Verdana" w:cs="Arial"/>
          <w:color w:val="000000" w:themeColor="text1"/>
          <w:szCs w:val="24"/>
          <w:lang w:eastAsia="es-MX"/>
        </w:rPr>
      </w:pPr>
      <w:r w:rsidRPr="00F041E2">
        <w:rPr>
          <w:rFonts w:ascii="Verdana" w:eastAsia="Times New Roman" w:hAnsi="Verdana" w:cs="Arial"/>
          <w:color w:val="000000" w:themeColor="text1"/>
          <w:szCs w:val="24"/>
          <w:lang w:eastAsia="es-MX"/>
        </w:rPr>
        <w:t>Igualmente, el Consejo de Estado expresó que la naturaleza jurídica de las ESAL es diferente a las sociedades mercantiles, toda vez que su objeto no está destinado a perseguir un lucro que pueda ser repartido entre sus asociados, sino que las ganancias se reinvierten en la ESAL para el desarrollo de su objeto social</w:t>
      </w:r>
      <w:r w:rsidRPr="00F041E2">
        <w:rPr>
          <w:rFonts w:ascii="Verdana" w:eastAsia="Times New Roman" w:hAnsi="Verdana" w:cs="Arial"/>
          <w:color w:val="000000" w:themeColor="text1"/>
          <w:szCs w:val="24"/>
          <w:vertAlign w:val="superscript"/>
          <w:lang w:eastAsia="es-MX"/>
        </w:rPr>
        <w:footnoteReference w:id="7"/>
      </w:r>
      <w:r w:rsidRPr="00F041E2">
        <w:rPr>
          <w:rFonts w:ascii="Verdana" w:eastAsia="Times New Roman" w:hAnsi="Verdana" w:cs="Arial"/>
          <w:color w:val="000000" w:themeColor="text1"/>
          <w:szCs w:val="24"/>
          <w:lang w:eastAsia="es-MX"/>
        </w:rPr>
        <w:t>. En ese mismo sentido, 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F041E2">
        <w:rPr>
          <w:rFonts w:ascii="Verdana" w:eastAsia="Times New Roman" w:hAnsi="Verdana" w:cs="Arial"/>
          <w:color w:val="000000" w:themeColor="text1"/>
          <w:szCs w:val="24"/>
          <w:vertAlign w:val="superscript"/>
          <w:lang w:eastAsia="es-MX"/>
        </w:rPr>
        <w:footnoteReference w:id="8"/>
      </w:r>
      <w:r w:rsidRPr="00F041E2">
        <w:rPr>
          <w:rFonts w:ascii="Verdana" w:eastAsia="Times New Roman" w:hAnsi="Verdana" w:cs="Arial"/>
          <w:color w:val="000000" w:themeColor="text1"/>
          <w:szCs w:val="24"/>
          <w:lang w:eastAsia="es-MX"/>
        </w:rPr>
        <w:t>. Las ESAL, no tienen la naturaleza jurídica de empresa sino de asociaciones que buscan la realización de un fin común y objetivos carentes de un contenido esencialmente patrimonial −fin de lucro y reparto de las utilidades−.</w:t>
      </w:r>
      <w:r>
        <w:rPr>
          <w:rFonts w:ascii="Verdana" w:eastAsia="Times New Roman" w:hAnsi="Verdana" w:cs="Arial"/>
          <w:color w:val="000000" w:themeColor="text1"/>
          <w:sz w:val="21"/>
          <w:szCs w:val="21"/>
          <w:lang w:eastAsia="es-MX"/>
        </w:rPr>
        <w:t xml:space="preserve"> </w:t>
      </w:r>
      <w:r w:rsidRPr="00F041E2">
        <w:rPr>
          <w:rFonts w:ascii="Verdana" w:eastAsia="Times New Roman" w:hAnsi="Verdana" w:cs="Arial"/>
          <w:color w:val="000000" w:themeColor="text1"/>
          <w:sz w:val="21"/>
          <w:szCs w:val="21"/>
          <w:lang w:eastAsia="es-MX"/>
        </w:rPr>
        <w:t xml:space="preserve">Debido a que las ESAL no persiguen el reparto de utilidades entre sus miembros, sino que su objeto está destinado a realizar una actividad de interés general sin esperar a cambio un reparto de ganancia en proporción a sus utilidades, surge el interrogante de si estas entidades tienen capacidad jurídica para participar en procesos regidos por el Estatuto General de Contratación de la Administración Pública, en adelante EGCAP. </w:t>
      </w:r>
    </w:p>
    <w:p w14:paraId="58DAFFF1" w14:textId="77777777" w:rsidR="00003535" w:rsidRPr="00F041E2" w:rsidRDefault="00003535" w:rsidP="00003535">
      <w:pPr>
        <w:spacing w:before="120" w:after="0" w:line="276" w:lineRule="auto"/>
        <w:ind w:right="51" w:firstLine="709"/>
        <w:jc w:val="both"/>
        <w:rPr>
          <w:rFonts w:ascii="Verdana" w:eastAsia="Times New Roman" w:hAnsi="Verdana" w:cs="Arial"/>
          <w:color w:val="000000" w:themeColor="text1"/>
          <w:sz w:val="21"/>
          <w:szCs w:val="21"/>
          <w:lang w:eastAsia="es-MX"/>
        </w:rPr>
      </w:pPr>
      <w:r w:rsidRPr="00F041E2">
        <w:rPr>
          <w:rFonts w:ascii="Verdana" w:eastAsia="Times New Roman" w:hAnsi="Verdana" w:cs="Arial"/>
          <w:color w:val="000000" w:themeColor="text1"/>
          <w:sz w:val="21"/>
          <w:szCs w:val="21"/>
          <w:lang w:eastAsia="es-MX"/>
        </w:rPr>
        <w:t>De conformidad con lo expuesto, se debe aclarar que es un equívoco concluir que las ESAL no sean personas jurídicas o que no tengan capacidad contractual, pues la capacidad jurídica es la aptitud que recae en los sujetos activos o pasivos de las relaciones jurídicas</w:t>
      </w:r>
      <w:r w:rsidRPr="00F041E2">
        <w:rPr>
          <w:rFonts w:ascii="Verdana" w:eastAsia="Times New Roman" w:hAnsi="Verdana" w:cs="Arial"/>
          <w:color w:val="000000" w:themeColor="text1"/>
          <w:sz w:val="21"/>
          <w:szCs w:val="21"/>
          <w:vertAlign w:val="superscript"/>
          <w:lang w:eastAsia="es-MX"/>
        </w:rPr>
        <w:footnoteReference w:id="9"/>
      </w:r>
      <w:r w:rsidRPr="00F041E2">
        <w:rPr>
          <w:rFonts w:ascii="Verdana" w:eastAsia="Times New Roman" w:hAnsi="Verdana" w:cs="Arial"/>
          <w:color w:val="000000" w:themeColor="text1"/>
          <w:sz w:val="21"/>
          <w:szCs w:val="21"/>
          <w:lang w:eastAsia="es-MX"/>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w:t>
      </w:r>
      <w:r w:rsidRPr="00F041E2">
        <w:rPr>
          <w:rFonts w:ascii="Verdana" w:eastAsia="Times New Roman" w:hAnsi="Verdana" w:cs="Arial"/>
          <w:color w:val="000000" w:themeColor="text1"/>
          <w:sz w:val="21"/>
          <w:szCs w:val="21"/>
          <w:lang w:eastAsia="es-MX"/>
        </w:rPr>
        <w:lastRenderedPageBreak/>
        <w:t>obligarse a cumplir el objeto del contrato y ii) de no estar incursa en inhabilidades o incompatibilidades que impiden la celebración del negocio.</w:t>
      </w:r>
    </w:p>
    <w:p w14:paraId="7765363A" w14:textId="77777777" w:rsidR="00003535" w:rsidRPr="00F041E2" w:rsidRDefault="00003535" w:rsidP="00003535">
      <w:pPr>
        <w:spacing w:before="120" w:after="0" w:line="276" w:lineRule="auto"/>
        <w:ind w:right="51" w:firstLine="709"/>
        <w:jc w:val="both"/>
        <w:rPr>
          <w:rFonts w:ascii="Verdana" w:eastAsia="Times New Roman" w:hAnsi="Verdana" w:cs="Arial"/>
          <w:color w:val="000000" w:themeColor="text1"/>
          <w:sz w:val="21"/>
          <w:szCs w:val="21"/>
          <w:lang w:eastAsia="es-MX"/>
        </w:rPr>
      </w:pPr>
      <w:r w:rsidRPr="00F041E2">
        <w:rPr>
          <w:rFonts w:ascii="Verdana" w:eastAsia="Times New Roman" w:hAnsi="Verdana" w:cs="Arial"/>
          <w:color w:val="000000" w:themeColor="text1"/>
          <w:sz w:val="21"/>
          <w:szCs w:val="21"/>
          <w:lang w:eastAsia="es-MX"/>
        </w:rPr>
        <w:t>Para efectos de la aplicación del EGCAP, la capacidad para contratar la tienen las personas consideradas legalmente capaces en las disposiciones vigentes</w:t>
      </w:r>
      <w:r w:rsidRPr="00F041E2">
        <w:rPr>
          <w:rFonts w:ascii="Verdana" w:eastAsia="Times New Roman" w:hAnsi="Verdana" w:cs="Arial"/>
          <w:color w:val="000000" w:themeColor="text1"/>
          <w:sz w:val="21"/>
          <w:szCs w:val="21"/>
          <w:vertAlign w:val="superscript"/>
          <w:lang w:eastAsia="es-MX"/>
        </w:rPr>
        <w:footnoteReference w:id="10"/>
      </w:r>
      <w:r w:rsidRPr="00F041E2">
        <w:rPr>
          <w:rFonts w:ascii="Verdana" w:eastAsia="Times New Roman" w:hAnsi="Verdana" w:cs="Arial"/>
          <w:color w:val="000000" w:themeColor="text1"/>
          <w:sz w:val="21"/>
          <w:szCs w:val="21"/>
          <w:lang w:eastAsia="es-MX"/>
        </w:rPr>
        <w:t>, así como otras formas asociativas. En efecto, el artículo 6 de la Ley 80 de 1993 establece que “[p]</w:t>
      </w:r>
      <w:proofErr w:type="spellStart"/>
      <w:r w:rsidRPr="00F041E2">
        <w:rPr>
          <w:rFonts w:ascii="Verdana" w:eastAsia="Times New Roman" w:hAnsi="Verdana" w:cs="Arial"/>
          <w:color w:val="000000" w:themeColor="text1"/>
          <w:sz w:val="21"/>
          <w:szCs w:val="21"/>
          <w:lang w:eastAsia="es-MX"/>
        </w:rPr>
        <w:t>ueden</w:t>
      </w:r>
      <w:proofErr w:type="spellEnd"/>
      <w:r w:rsidRPr="00F041E2">
        <w:rPr>
          <w:rFonts w:ascii="Verdana" w:eastAsia="Times New Roman" w:hAnsi="Verdana" w:cs="Arial"/>
          <w:color w:val="000000" w:themeColor="text1"/>
          <w:sz w:val="21"/>
          <w:szCs w:val="21"/>
          <w:lang w:eastAsia="es-MX"/>
        </w:rPr>
        <w:t xml:space="preserve"> celebrar contratos con las entidades estatales las personas consideradas legalmente capaces en las disposiciones vigentes […]”.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6780910B" w14:textId="77777777" w:rsidR="00003535" w:rsidRDefault="00003535" w:rsidP="00003535">
      <w:pPr>
        <w:spacing w:before="120" w:after="0" w:line="276" w:lineRule="auto"/>
        <w:ind w:right="51" w:firstLine="709"/>
        <w:jc w:val="both"/>
        <w:rPr>
          <w:rFonts w:ascii="Verdana" w:eastAsia="Times New Roman" w:hAnsi="Verdana" w:cs="Arial"/>
          <w:color w:val="000000" w:themeColor="text1"/>
          <w:sz w:val="21"/>
          <w:szCs w:val="21"/>
          <w:lang w:eastAsia="es-MX"/>
        </w:rPr>
      </w:pPr>
      <w:r w:rsidRPr="00F041E2">
        <w:rPr>
          <w:rFonts w:ascii="Verdana" w:eastAsia="Times New Roman" w:hAnsi="Verdana" w:cs="Arial"/>
          <w:color w:val="000000" w:themeColor="text1"/>
          <w:sz w:val="21"/>
          <w:szCs w:val="21"/>
          <w:lang w:eastAsia="es-MX"/>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p>
    <w:p w14:paraId="4A495286" w14:textId="77777777" w:rsidR="00003535" w:rsidRDefault="00003535" w:rsidP="00003535">
      <w:pPr>
        <w:spacing w:before="120" w:after="0" w:line="276" w:lineRule="auto"/>
        <w:ind w:right="51" w:firstLine="709"/>
        <w:jc w:val="both"/>
        <w:rPr>
          <w:rFonts w:ascii="Verdana" w:eastAsia="Times New Roman" w:hAnsi="Verdana" w:cs="Arial"/>
          <w:color w:val="000000" w:themeColor="text1"/>
          <w:sz w:val="21"/>
          <w:szCs w:val="21"/>
          <w:lang w:val="es-MX" w:eastAsia="es-MX"/>
        </w:rPr>
      </w:pPr>
      <w:r>
        <w:rPr>
          <w:rFonts w:ascii="Verdana" w:eastAsia="Calibri" w:hAnsi="Verdana" w:cs="Arial"/>
          <w:bCs/>
          <w:lang w:val="es-MX"/>
        </w:rPr>
        <w:t xml:space="preserve">En ese sentido y para dar respuesta a la consulta, es pertinente hacer relación, respecto de la contratación de estidades públicas con las ESAL, a la luz de los dispuesto en el Decreto 092 de 2017, el cual regula el regimen de los convenios de asiciación. </w:t>
      </w:r>
    </w:p>
    <w:p w14:paraId="79EFC9D3" w14:textId="77777777" w:rsidR="00003535" w:rsidRPr="003E6A61" w:rsidRDefault="00003535" w:rsidP="00003535">
      <w:pPr>
        <w:spacing w:before="120" w:after="0" w:line="276" w:lineRule="auto"/>
        <w:ind w:right="51" w:firstLine="709"/>
        <w:jc w:val="both"/>
        <w:rPr>
          <w:rFonts w:ascii="Verdana" w:eastAsia="Times New Roman" w:hAnsi="Verdana" w:cs="Arial"/>
          <w:color w:val="000000" w:themeColor="text1"/>
          <w:sz w:val="21"/>
          <w:szCs w:val="21"/>
          <w:lang w:eastAsia="es-MX"/>
        </w:rPr>
      </w:pPr>
      <w:r w:rsidRPr="00F041E2">
        <w:rPr>
          <w:rFonts w:ascii="Verdana" w:eastAsia="Calibri" w:hAnsi="Verdana" w:cs="Arial"/>
          <w:bCs/>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041E2">
        <w:rPr>
          <w:rFonts w:ascii="Verdana" w:hAnsi="Verdana" w:cs="Arial"/>
          <w:vertAlign w:val="superscript"/>
          <w:lang w:val="es-ES_tradnl" w:eastAsia="es-ES_tradnl"/>
        </w:rPr>
        <w:footnoteReference w:id="11"/>
      </w:r>
      <w:r w:rsidRPr="00F041E2">
        <w:rPr>
          <w:rFonts w:ascii="Verdana" w:hAnsi="Verdana" w:cs="Arial"/>
          <w:lang w:val="es-ES_tradnl" w:eastAsia="es-ES_tradnl"/>
        </w:rPr>
        <w:t>.</w:t>
      </w:r>
    </w:p>
    <w:p w14:paraId="540B2B1E" w14:textId="77777777" w:rsidR="00003535" w:rsidRPr="00F041E2" w:rsidRDefault="00003535" w:rsidP="00003535">
      <w:pPr>
        <w:spacing w:before="120" w:after="0" w:line="276" w:lineRule="auto"/>
        <w:ind w:firstLine="703"/>
        <w:jc w:val="both"/>
        <w:textAlignment w:val="baseline"/>
        <w:rPr>
          <w:rFonts w:ascii="Verdana" w:eastAsia="Times New Roman" w:hAnsi="Verdana" w:cs="Arial"/>
          <w:color w:val="000000"/>
          <w:lang w:val="es-ES" w:eastAsia="es-CO"/>
        </w:rPr>
      </w:pPr>
      <w:r w:rsidRPr="00F041E2">
        <w:rPr>
          <w:rFonts w:ascii="Verdana" w:eastAsia="Times New Roman" w:hAnsi="Verdana" w:cs="Arial"/>
          <w:color w:val="000000"/>
          <w:lang w:val="es-ES" w:eastAsia="es-CO"/>
        </w:rPr>
        <w:lastRenderedPageBreak/>
        <w:t>Por otra parte, el artículo 96 de la Ley 489 de 1998</w:t>
      </w:r>
      <w:r w:rsidRPr="00F041E2">
        <w:rPr>
          <w:rFonts w:ascii="Verdana" w:eastAsia="Times New Roman" w:hAnsi="Verdana" w:cs="Arial"/>
          <w:szCs w:val="24"/>
          <w:vertAlign w:val="superscript"/>
          <w:lang w:val="es-ES_tradnl" w:eastAsia="es-ES_tradnl"/>
        </w:rPr>
        <w:footnoteReference w:id="12"/>
      </w:r>
      <w:r w:rsidRPr="00F041E2">
        <w:rPr>
          <w:rFonts w:ascii="Verdana" w:eastAsia="Times New Roman" w:hAnsi="Verdana" w:cs="Arial"/>
          <w:color w:val="000000"/>
          <w:lang w:val="es-ES" w:eastAsia="es-CO"/>
        </w:rPr>
        <w:t xml:space="preserve"> permite que las entidades públicas cualquiera que sea su naturaleza y orden administrativo, puedan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54D31647" w14:textId="77777777" w:rsidR="00003535" w:rsidRPr="00F041E2" w:rsidRDefault="00003535" w:rsidP="00003535">
      <w:pPr>
        <w:spacing w:before="120" w:after="0" w:line="276" w:lineRule="auto"/>
        <w:ind w:firstLine="703"/>
        <w:jc w:val="both"/>
        <w:textAlignment w:val="baseline"/>
        <w:rPr>
          <w:rFonts w:ascii="Verdana" w:eastAsia="Times New Roman" w:hAnsi="Verdana" w:cs="Arial"/>
          <w:color w:val="000000"/>
          <w:lang w:val="es-ES" w:eastAsia="es-CO"/>
        </w:rPr>
      </w:pPr>
      <w:r w:rsidRPr="00F041E2">
        <w:rPr>
          <w:rFonts w:ascii="Verdana" w:eastAsia="Times New Roman" w:hAnsi="Verdana" w:cs="Arial"/>
          <w:color w:val="000000"/>
          <w:lang w:val="es-ES" w:eastAsia="es-CO"/>
        </w:rPr>
        <w:t>Parte del desarrollo del artículo 355 de la Constitución Política se produjo mediante la expedición del Decreto 092 de 2017, el cual tiene como objeto establecer la forma en que las entidades del orden nacional, departamental, distrital y municipal deben contratar con las ESAL, con la finalidad de impulsar programas y actividades de interés público acordes con el Plan Nacional o los planes seccionales de Desarrollo. Así las cosas, es importante resaltar que el factor que determina la aplicación del Decreto 092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410A8D9D" w14:textId="77777777" w:rsidR="00003535" w:rsidRPr="00F041E2" w:rsidRDefault="00003535" w:rsidP="00003535">
      <w:pPr>
        <w:spacing w:before="120" w:after="0" w:line="276" w:lineRule="auto"/>
        <w:ind w:firstLine="703"/>
        <w:jc w:val="both"/>
        <w:textAlignment w:val="baseline"/>
        <w:rPr>
          <w:rFonts w:ascii="Verdana" w:eastAsia="Times New Roman" w:hAnsi="Verdana" w:cs="Arial"/>
          <w:color w:val="000000"/>
          <w:lang w:val="es-ES" w:eastAsia="es-CO"/>
        </w:rPr>
      </w:pPr>
      <w:r w:rsidRPr="00F041E2">
        <w:rPr>
          <w:rFonts w:ascii="Verdana" w:eastAsia="Times New Roman" w:hAnsi="Verdana" w:cs="Arial"/>
          <w:color w:val="000000"/>
          <w:lang w:val="es-ES" w:eastAsia="es-CO"/>
        </w:rPr>
        <w:t xml:space="preserve">El Decreto 092 de 2017 prevé las reglas para las contrataciones que realicen las Entidades Estatales con las ESAL. Este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F041E2">
        <w:rPr>
          <w:rFonts w:ascii="Verdana" w:eastAsia="Times New Roman" w:hAnsi="Verdana" w:cs="Arial"/>
          <w:i/>
          <w:iCs/>
          <w:color w:val="000000"/>
          <w:lang w:val="es-ES" w:eastAsia="es-CO"/>
        </w:rPr>
        <w:t xml:space="preserve">ibidem. </w:t>
      </w:r>
      <w:r w:rsidRPr="00F041E2">
        <w:rPr>
          <w:rFonts w:ascii="Verdana" w:eastAsia="Times New Roman" w:hAnsi="Verdana" w:cs="Arial"/>
          <w:color w:val="000000"/>
          <w:lang w:val="es-ES" w:eastAsia="es-CO"/>
        </w:rPr>
        <w:t xml:space="preserve">Es posible diferenciar, pues, los convenios </w:t>
      </w:r>
      <w:r w:rsidRPr="00F041E2">
        <w:rPr>
          <w:rFonts w:ascii="Verdana" w:eastAsia="Times New Roman" w:hAnsi="Verdana" w:cs="Arial"/>
          <w:color w:val="000000"/>
          <w:lang w:val="es-ES" w:eastAsia="es-CO"/>
        </w:rPr>
        <w:lastRenderedPageBreak/>
        <w:t>de asociación, regulados en el artículo 5, de los contratos de colaboración, establecidos en el artículo 2.</w:t>
      </w:r>
    </w:p>
    <w:p w14:paraId="4CE7A87C" w14:textId="77777777" w:rsidR="00003535" w:rsidRPr="00F041E2" w:rsidRDefault="00003535" w:rsidP="00003535">
      <w:pPr>
        <w:spacing w:before="120" w:after="0" w:line="276" w:lineRule="auto"/>
        <w:ind w:firstLine="703"/>
        <w:jc w:val="both"/>
        <w:textAlignment w:val="baseline"/>
        <w:rPr>
          <w:rFonts w:ascii="Verdana" w:eastAsia="Times New Roman" w:hAnsi="Verdana" w:cs="Arial"/>
          <w:color w:val="000000"/>
          <w:lang w:val="es-ES" w:eastAsia="es-CO"/>
        </w:rPr>
      </w:pPr>
      <w:r w:rsidRPr="00F041E2">
        <w:rPr>
          <w:rFonts w:ascii="Verdana" w:eastAsia="Times New Roman" w:hAnsi="Verdana" w:cs="Arial"/>
          <w:color w:val="000000"/>
          <w:lang w:val="es-ES" w:eastAsia="es-CO"/>
        </w:rPr>
        <w:t>Los contratos del artículo 355 de la Constitución Política tienen como objetivo promover acciones de fomento social en beneficio de los sectores más desprotegidos de la población siempre que resulten acordes con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dirigida al beneficio de la población en general, ya que cuando se adquieren bienes o servicios o se ejecutan obras en una relación conmutativa, las normas aplicables son las del EGCAP. Sólo cuando se reúnan estas condiciones, es procedente celebrar contrato del artículo 355 de la Constitución Política, de lo contrario, se aplicarán las normas del EGCAP.</w:t>
      </w:r>
    </w:p>
    <w:p w14:paraId="6E377ED3" w14:textId="77777777" w:rsidR="00003535" w:rsidRPr="00F041E2" w:rsidRDefault="00003535" w:rsidP="00003535">
      <w:pPr>
        <w:spacing w:before="120" w:after="0" w:line="276" w:lineRule="auto"/>
        <w:ind w:firstLine="703"/>
        <w:jc w:val="both"/>
        <w:textAlignment w:val="baseline"/>
        <w:rPr>
          <w:rFonts w:ascii="Verdana" w:eastAsia="Calibri" w:hAnsi="Verdana" w:cs="Arial"/>
          <w:bCs/>
          <w:szCs w:val="24"/>
          <w:lang w:val="es-ES_tradnl"/>
        </w:rPr>
      </w:pPr>
      <w:r w:rsidRPr="00F041E2">
        <w:rPr>
          <w:rFonts w:ascii="Verdana" w:eastAsia="Times New Roman" w:hAnsi="Verdana" w:cs="Arial"/>
          <w:color w:val="000000"/>
          <w:lang w:val="es-ES" w:eastAsia="es-CO"/>
        </w:rPr>
        <w:t>De otro lado, los convenios de asociación “[t]</w:t>
      </w:r>
      <w:proofErr w:type="spellStart"/>
      <w:r w:rsidRPr="00F041E2">
        <w:rPr>
          <w:rFonts w:ascii="Verdana" w:eastAsia="Times New Roman" w:hAnsi="Verdana" w:cs="Arial"/>
          <w:color w:val="000000"/>
          <w:lang w:val="es-ES" w:eastAsia="es-CO"/>
        </w:rPr>
        <w:t>ienen</w:t>
      </w:r>
      <w:proofErr w:type="spellEnd"/>
      <w:r w:rsidRPr="00F041E2">
        <w:rPr>
          <w:rFonts w:ascii="Verdana" w:eastAsia="Times New Roman" w:hAnsi="Verdana" w:cs="Arial"/>
          <w:color w:val="000000"/>
          <w:lang w:val="es-ES" w:eastAsia="es-CO"/>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F041E2">
        <w:rPr>
          <w:rFonts w:ascii="Verdana" w:eastAsia="Calibri" w:hAnsi="Verdana" w:cs="Arial"/>
          <w:szCs w:val="24"/>
          <w:vertAlign w:val="superscript"/>
        </w:rPr>
        <w:t xml:space="preserve"> </w:t>
      </w:r>
      <w:r w:rsidRPr="00F041E2">
        <w:rPr>
          <w:rFonts w:ascii="Verdana" w:eastAsia="Calibri" w:hAnsi="Verdana" w:cs="Arial"/>
          <w:szCs w:val="24"/>
          <w:vertAlign w:val="superscript"/>
        </w:rPr>
        <w:footnoteReference w:id="13"/>
      </w:r>
      <w:r w:rsidRPr="00F041E2">
        <w:rPr>
          <w:rFonts w:ascii="Verdana" w:eastAsia="Calibri" w:hAnsi="Verdana" w:cs="Arial"/>
          <w:bCs/>
          <w:szCs w:val="24"/>
          <w:lang w:val="es-ES_tradnl"/>
        </w:rPr>
        <w:t>. En estos convenios no existe contraprestación o pago, sino aportes, los cuales están dirigidos, exclusivamente, a lograr la ejecución del convenio y no a remunerar la actividad o actuaciones del asociado. No obstante, la entidad debe adelantar un proceso competitivo, salvo cuando la ESAL comprometa recursos en dinero para la ejecución de estas actividades, en una proporción no inferior al 30% del valor toral del convenio.</w:t>
      </w:r>
    </w:p>
    <w:p w14:paraId="1DAB5484" w14:textId="77777777" w:rsidR="00003535" w:rsidRPr="00F041E2" w:rsidRDefault="00003535" w:rsidP="00003535">
      <w:pPr>
        <w:tabs>
          <w:tab w:val="left" w:pos="1172"/>
        </w:tabs>
        <w:spacing w:before="120" w:after="0" w:line="276" w:lineRule="auto"/>
        <w:ind w:firstLine="703"/>
        <w:jc w:val="both"/>
        <w:textAlignment w:val="baseline"/>
        <w:rPr>
          <w:rFonts w:ascii="Verdana" w:eastAsia="Calibri" w:hAnsi="Verdana" w:cs="Arial"/>
          <w:bCs/>
          <w:szCs w:val="24"/>
          <w:lang w:val="es-ES_tradnl"/>
        </w:rPr>
      </w:pPr>
      <w:r w:rsidRPr="00F041E2">
        <w:rPr>
          <w:rFonts w:ascii="Verdana" w:eastAsia="Calibri" w:hAnsi="Verdana" w:cs="Arial"/>
          <w:bCs/>
          <w:szCs w:val="24"/>
          <w:lang w:val="es-ES_tradnl"/>
        </w:rPr>
        <w:t xml:space="preserve">De conformidad con el inciso segundo del artículo 96 de la Ley 489 de 1998, en estos convenios debe determinarse “con precisión su objeto, término, obligaciones de las partes, coordinación y todos aquellos aspectos que se consideren pertinentes”, elementos dentro de los que resalta la exigencia de aportes, que debe interpretarse </w:t>
      </w:r>
      <w:r w:rsidRPr="00F041E2">
        <w:rPr>
          <w:rFonts w:ascii="Verdana" w:eastAsia="Calibri" w:hAnsi="Verdana" w:cs="Arial"/>
          <w:bCs/>
          <w:szCs w:val="24"/>
          <w:lang w:val="es-ES_tradnl"/>
        </w:rPr>
        <w:lastRenderedPageBreak/>
        <w:t xml:space="preserve">en el sentido de que las ESAL deben realizar aportes a los convenios que suscriban, los cuales pueden ser en dinero, en porcentajes inferiores o superiores al 30%, o en especie, los cuales deben servir al desarrollo de los objetivos comunes de la asociación. </w:t>
      </w:r>
    </w:p>
    <w:p w14:paraId="50D61B87" w14:textId="77777777" w:rsidR="00003535" w:rsidRPr="00F041E2" w:rsidRDefault="00003535" w:rsidP="00003535">
      <w:pPr>
        <w:spacing w:before="120" w:after="0" w:line="276" w:lineRule="auto"/>
        <w:ind w:firstLine="703"/>
        <w:jc w:val="both"/>
        <w:textAlignment w:val="baseline"/>
        <w:rPr>
          <w:rFonts w:ascii="Verdana" w:eastAsia="Calibri" w:hAnsi="Verdana" w:cs="Arial"/>
          <w:bCs/>
          <w:lang w:eastAsia="es-CO"/>
        </w:rPr>
      </w:pPr>
      <w:r w:rsidRPr="00F041E2">
        <w:rPr>
          <w:rFonts w:ascii="Verdana" w:eastAsia="Calibri" w:hAnsi="Verdana" w:cs="Arial"/>
          <w:bCs/>
          <w:lang w:val="es-ES_tradnl" w:eastAsia="es-CO"/>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F041E2">
        <w:rPr>
          <w:rFonts w:ascii="Verdana" w:eastAsia="Calibri" w:hAnsi="Verdana" w:cs="Arial"/>
          <w:vertAlign w:val="superscript"/>
          <w:lang w:eastAsia="es-CO"/>
        </w:rPr>
        <w:footnoteReference w:id="14"/>
      </w:r>
      <w:r w:rsidRPr="00F041E2">
        <w:rPr>
          <w:rFonts w:ascii="Verdana" w:eastAsia="Calibri" w:hAnsi="Verdana" w:cs="Arial"/>
          <w:bCs/>
          <w:lang w:eastAsia="es-CO"/>
        </w:rPr>
        <w:t>. Sin embargo, como el artículo 96 de la Ley 489 de 1998 determina que el convenio debe buscar el desarrollo conjunto de actividades relacionadas con los cometidos y funciones legales que la ley les asigna a las Entidades Estatales involucradas, es necesario que sus funciones legales coincidan de manera tal, que los cometidos funcionales de una y otra entidad se relacionen con el objeto del convenio.</w:t>
      </w:r>
    </w:p>
    <w:p w14:paraId="0DA56D3E" w14:textId="77777777" w:rsidR="00003535" w:rsidRPr="00F041E2" w:rsidRDefault="00003535" w:rsidP="00003535">
      <w:pPr>
        <w:spacing w:before="120" w:after="0" w:line="276" w:lineRule="auto"/>
        <w:ind w:firstLine="703"/>
        <w:jc w:val="both"/>
        <w:textAlignment w:val="baseline"/>
        <w:rPr>
          <w:rFonts w:ascii="Verdana" w:eastAsia="Calibri" w:hAnsi="Verdana" w:cs="Arial"/>
          <w:bCs/>
          <w:lang w:eastAsia="es-CO"/>
        </w:rPr>
      </w:pPr>
      <w:r w:rsidRPr="00F041E2">
        <w:rPr>
          <w:rFonts w:ascii="Verdana" w:eastAsia="Calibri" w:hAnsi="Verdana" w:cs="Arial"/>
          <w:bCs/>
          <w:lang w:eastAsia="es-CO"/>
        </w:rPr>
        <w:t xml:space="preserve">Ahora bien, teniendo en cuenta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30%, en dinero, del valor del convenio para celebrarlo directamente, pues de lo contrario deberá adelantarse un proceso competitivo. </w:t>
      </w:r>
      <w:r w:rsidRPr="00F041E2">
        <w:rPr>
          <w:rFonts w:ascii="Verdana" w:eastAsia="Calibri" w:hAnsi="Verdana" w:cs="Arial"/>
          <w:color w:val="000000"/>
          <w:lang w:val="es-MX"/>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F041E2">
        <w:rPr>
          <w:rFonts w:ascii="Verdana" w:eastAsia="Calibri" w:hAnsi="Verdana" w:cs="Arial"/>
          <w:color w:val="000000"/>
          <w:vertAlign w:val="superscript"/>
          <w:lang w:val="es-MX"/>
        </w:rPr>
        <w:footnoteReference w:id="15"/>
      </w:r>
      <w:r w:rsidRPr="00F041E2">
        <w:rPr>
          <w:rFonts w:ascii="Verdana" w:eastAsia="Calibri" w:hAnsi="Verdana" w:cs="Arial"/>
          <w:color w:val="000000"/>
          <w:lang w:val="es-MX"/>
        </w:rPr>
        <w:t>.</w:t>
      </w:r>
    </w:p>
    <w:p w14:paraId="632A94E0" w14:textId="77777777" w:rsidR="00003535" w:rsidRPr="00F041E2" w:rsidRDefault="00003535" w:rsidP="00003535">
      <w:pPr>
        <w:spacing w:before="120" w:after="0" w:line="276" w:lineRule="auto"/>
        <w:ind w:firstLine="703"/>
        <w:jc w:val="both"/>
        <w:textAlignment w:val="baseline"/>
        <w:rPr>
          <w:rFonts w:ascii="Verdana" w:eastAsia="Calibri" w:hAnsi="Verdana" w:cs="Arial"/>
          <w:bCs/>
          <w:color w:val="000000"/>
          <w:kern w:val="2"/>
          <w:lang w:eastAsia="es-CO"/>
          <w14:ligatures w14:val="standardContextual"/>
        </w:rPr>
      </w:pPr>
      <w:r w:rsidRPr="00F041E2">
        <w:rPr>
          <w:rFonts w:ascii="Verdana" w:eastAsia="Calibri" w:hAnsi="Verdana" w:cs="Arial"/>
          <w:bCs/>
          <w:color w:val="000000"/>
          <w:kern w:val="2"/>
          <w:lang w:eastAsia="es-CO"/>
          <w14:ligatures w14:val="standardContextual"/>
        </w:rPr>
        <w:t xml:space="preserve">La noción “seleccionar de forma objetiva”, contenida en la disposición </w:t>
      </w:r>
      <w:r w:rsidRPr="00F041E2">
        <w:rPr>
          <w:rFonts w:ascii="Verdana" w:eastAsia="Calibri" w:hAnsi="Verdana" w:cs="Arial"/>
          <w:bCs/>
          <w:i/>
          <w:iCs/>
          <w:color w:val="000000"/>
          <w:kern w:val="2"/>
          <w:lang w:eastAsia="es-CO"/>
          <w14:ligatures w14:val="standardContextual"/>
        </w:rPr>
        <w:t xml:space="preserve">sub examine </w:t>
      </w:r>
      <w:r w:rsidRPr="00F041E2">
        <w:rPr>
          <w:rFonts w:ascii="Verdana" w:eastAsia="Calibri" w:hAnsi="Verdana" w:cs="Arial"/>
          <w:bCs/>
          <w:color w:val="000000"/>
          <w:kern w:val="2"/>
          <w:lang w:eastAsia="es-CO"/>
          <w14:ligatures w14:val="standardContextual"/>
        </w:rPr>
        <w:t xml:space="preserve">no puede ser entendida como una remisión total a las Ley 80 e 1993 y 1150 de 2007. A lo que se refiere la norma es que la Entidad Estatal debe diseñar herramientas que permitan una comparación objetiva de las ESAL para seleccionar objetivamente a aquella que tenga las mejores condiciones para alcanzar el resultado </w:t>
      </w:r>
      <w:r w:rsidRPr="00F041E2">
        <w:rPr>
          <w:rFonts w:ascii="Verdana" w:eastAsia="Calibri" w:hAnsi="Verdana" w:cs="Arial"/>
          <w:bCs/>
          <w:color w:val="000000"/>
          <w:kern w:val="2"/>
          <w:lang w:eastAsia="es-CO"/>
          <w14:ligatures w14:val="standardContextual"/>
        </w:rPr>
        <w:lastRenderedPageBreak/>
        <w:t>esperado con el proyecto de cooperación. Por ello, la entidad puede tomar la decisión de acudir a los procesos de selección de contratistas como lo establece el EGCAP o, incluso, al trámite que regula el inciso 2 del artículo 2 de Decreto 092 de 2017.</w:t>
      </w:r>
    </w:p>
    <w:p w14:paraId="739E37C1" w14:textId="77777777" w:rsidR="00003535" w:rsidRPr="00F041E2" w:rsidRDefault="00003535" w:rsidP="00003535">
      <w:pPr>
        <w:spacing w:before="120" w:after="120" w:line="276" w:lineRule="auto"/>
        <w:ind w:firstLine="709"/>
        <w:jc w:val="both"/>
        <w:rPr>
          <w:rFonts w:ascii="Verdana" w:eastAsia="Calibri" w:hAnsi="Verdana" w:cs="Arial"/>
          <w:bCs/>
          <w:color w:val="000000"/>
          <w:kern w:val="2"/>
          <w14:ligatures w14:val="standardContextual"/>
        </w:rPr>
      </w:pPr>
      <w:r w:rsidRPr="00F041E2">
        <w:rPr>
          <w:rFonts w:ascii="Verdana" w:eastAsia="Calibri" w:hAnsi="Verdana" w:cs="Arial"/>
          <w:bCs/>
          <w:color w:val="000000"/>
          <w:kern w:val="2"/>
          <w14:ligatures w14:val="standardContextual"/>
        </w:rPr>
        <w:t xml:space="preserve">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w:t>
      </w:r>
      <w:r w:rsidRPr="00F041E2">
        <w:rPr>
          <w:rFonts w:ascii="Verdana" w:eastAsia="Calibri" w:hAnsi="Verdana" w:cs="Arial"/>
          <w:bCs/>
          <w:color w:val="000000"/>
          <w:kern w:val="2"/>
        </w:rPr>
        <w:t>licitación pública.</w:t>
      </w:r>
    </w:p>
    <w:p w14:paraId="17CDD3E9" w14:textId="77777777" w:rsidR="00003535" w:rsidRDefault="00003535" w:rsidP="00003535">
      <w:pPr>
        <w:spacing w:after="120" w:line="276" w:lineRule="auto"/>
        <w:ind w:firstLine="709"/>
        <w:jc w:val="both"/>
        <w:rPr>
          <w:rFonts w:ascii="Verdana" w:eastAsia="Calibri" w:hAnsi="Verdana" w:cs="Arial"/>
          <w:color w:val="000000"/>
          <w:lang w:val="es-MX"/>
        </w:rPr>
      </w:pPr>
      <w:r w:rsidRPr="00F041E2">
        <w:rPr>
          <w:rFonts w:ascii="Verdana" w:eastAsia="Calibri" w:hAnsi="Verdana" w:cs="Arial"/>
          <w:bCs/>
          <w:color w:val="000000"/>
          <w:kern w:val="2"/>
          <w14:ligatures w14:val="standardContextual"/>
        </w:rPr>
        <w:t xml:space="preserve">En ese orden, </w:t>
      </w:r>
      <w:r w:rsidRPr="00F041E2">
        <w:rPr>
          <w:rFonts w:ascii="Verdana" w:eastAsia="Calibri" w:hAnsi="Verdana" w:cs="Arial"/>
          <w:color w:val="000000"/>
          <w:lang w:val="es-MX"/>
        </w:rPr>
        <w:t xml:space="preserve">si se pretende la suscripción de un convenio de asociación con una ESAL para el cumplimiento de las funciones que la ley les asigna a las entidades públicas, deberán estas últimas, adicional a aplicar lo dispuesto en el artículo 5 del Decreto 092 de 2017, verificar si la ESAL es de reconocida idoneidad, es decir, que dicha entidad sea adecuada y apropiada para desarrollar las actividades que son objeto del Proceso de Contratación y que cuente con la experiencia requerida para ello. Igualmente, según lo dispuesto en el inciso primero del artículo 3 </w:t>
      </w:r>
      <w:r w:rsidRPr="00F041E2">
        <w:rPr>
          <w:rFonts w:ascii="Verdana" w:eastAsia="Calibri" w:hAnsi="Verdana" w:cs="Arial"/>
          <w:i/>
          <w:iCs/>
          <w:color w:val="000000"/>
          <w:lang w:val="es-MX"/>
        </w:rPr>
        <w:t>ibidem</w:t>
      </w:r>
      <w:r w:rsidRPr="00F041E2">
        <w:rPr>
          <w:rFonts w:ascii="Verdana" w:eastAsia="Calibri" w:hAnsi="Verdana" w:cs="Arial"/>
          <w:color w:val="000000"/>
          <w:lang w:val="es-MX"/>
        </w:rPr>
        <w:t>, el objeto estatutario de la ESAL deberá permitirle el desarrollo del objeto que pretenda contratar la Entidad Estatal, esto, claramente, porque la capacidad para contratar de las personas jurídicas se circunscribe en lo expresado en su objeto social y su forma de creación</w:t>
      </w:r>
      <w:r w:rsidRPr="00F041E2">
        <w:rPr>
          <w:rFonts w:ascii="Verdana" w:eastAsia="Calibri" w:hAnsi="Verdana" w:cs="Arial"/>
          <w:color w:val="000000"/>
          <w:vertAlign w:val="superscript"/>
          <w:lang w:val="es-MX"/>
        </w:rPr>
        <w:footnoteReference w:id="16"/>
      </w:r>
      <w:r w:rsidRPr="00F041E2">
        <w:rPr>
          <w:rFonts w:ascii="Verdana" w:eastAsia="Calibri" w:hAnsi="Verdana" w:cs="Arial"/>
          <w:color w:val="000000"/>
          <w:lang w:val="es-MX"/>
        </w:rPr>
        <w:t>.</w:t>
      </w:r>
    </w:p>
    <w:p w14:paraId="2377D6CB" w14:textId="77777777" w:rsidR="00003535" w:rsidRPr="00F041E2" w:rsidRDefault="00003535" w:rsidP="00003535">
      <w:pPr>
        <w:spacing w:after="120" w:line="276" w:lineRule="auto"/>
        <w:ind w:firstLine="709"/>
        <w:jc w:val="both"/>
        <w:rPr>
          <w:rFonts w:ascii="Verdana" w:eastAsia="Calibri" w:hAnsi="Verdana" w:cs="Arial"/>
          <w:color w:val="000000"/>
          <w:lang w:val="es-MX"/>
        </w:rPr>
      </w:pPr>
      <w:r>
        <w:rPr>
          <w:rFonts w:ascii="Verdana" w:eastAsia="Calibri" w:hAnsi="Verdana" w:cs="Arial"/>
          <w:color w:val="000000"/>
          <w:lang w:val="es-MX"/>
        </w:rPr>
        <w:t xml:space="preserve">En conclusión, </w:t>
      </w:r>
      <w:r>
        <w:rPr>
          <w:rFonts w:ascii="Verdana" w:hAnsi="Verdana" w:cs="Arial"/>
          <w:lang w:eastAsia="es-MX"/>
        </w:rPr>
        <w:t xml:space="preserve">es competencia de las Entidades Públicas la verificación del objeto social de la las ESAL, con las cuales pretendan suscribir esta tipología contractual y que estas cumplan los finen propios dispuestos en la normativa que lo regula. </w:t>
      </w:r>
    </w:p>
    <w:p w14:paraId="4777E3AA" w14:textId="77777777" w:rsidR="00003535" w:rsidRPr="00F041E2" w:rsidRDefault="00003535" w:rsidP="00003535">
      <w:pPr>
        <w:spacing w:before="120"/>
        <w:ind w:firstLine="708"/>
        <w:jc w:val="both"/>
        <w:rPr>
          <w:rFonts w:ascii="Verdana" w:hAnsi="Verdana" w:cs="Arial"/>
          <w:bCs/>
          <w:lang w:val="es-MX"/>
        </w:rPr>
      </w:pPr>
    </w:p>
    <w:p w14:paraId="5D65DA41" w14:textId="77777777" w:rsidR="00003535" w:rsidRPr="00D32C7A" w:rsidRDefault="00003535" w:rsidP="00003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Referencias normativas, jurisprudenciales y otras fuentes:</w:t>
      </w:r>
    </w:p>
    <w:p w14:paraId="2772E63A" w14:textId="77777777" w:rsidR="00003535" w:rsidRPr="00D32C7A" w:rsidRDefault="00003535" w:rsidP="00003535">
      <w:pPr>
        <w:spacing w:after="0" w:line="276" w:lineRule="auto"/>
        <w:ind w:right="709" w:firstLine="709"/>
        <w:jc w:val="both"/>
        <w:rPr>
          <w:rFonts w:ascii="Verdana" w:hAnsi="Verdana" w:cs="Arial"/>
          <w:noProof/>
          <w:lang w:val="es-ES"/>
        </w:rPr>
      </w:pPr>
    </w:p>
    <w:p w14:paraId="7DF70726" w14:textId="77777777" w:rsidR="00003535" w:rsidRPr="00F041E2" w:rsidRDefault="00003535" w:rsidP="00003535">
      <w:pPr>
        <w:pStyle w:val="Prrafodelista"/>
        <w:numPr>
          <w:ilvl w:val="0"/>
          <w:numId w:val="2"/>
        </w:numPr>
        <w:spacing w:after="0" w:line="240" w:lineRule="auto"/>
        <w:jc w:val="both"/>
        <w:rPr>
          <w:rFonts w:ascii="Verdana" w:eastAsia="Times New Roman" w:hAnsi="Verdana" w:cs="Arial"/>
          <w:color w:val="000000" w:themeColor="text1"/>
          <w:sz w:val="21"/>
          <w:szCs w:val="21"/>
          <w:lang w:eastAsia="es-MX"/>
        </w:rPr>
      </w:pPr>
      <w:r w:rsidRPr="00F041E2">
        <w:rPr>
          <w:rFonts w:ascii="Verdana" w:eastAsia="Calibri" w:hAnsi="Verdana" w:cs="Arial"/>
          <w:bCs/>
          <w:lang w:val="es-MX"/>
        </w:rPr>
        <w:t>artículo 355 de la Constitución Política</w:t>
      </w:r>
      <w:r>
        <w:rPr>
          <w:rFonts w:ascii="Verdana" w:eastAsia="Calibri" w:hAnsi="Verdana" w:cs="Arial"/>
          <w:bCs/>
          <w:lang w:val="es-MX"/>
        </w:rPr>
        <w:t xml:space="preserve">. Disponible en: </w:t>
      </w:r>
      <w:hyperlink r:id="rId13" w:history="1">
        <w:r w:rsidRPr="0079147C">
          <w:rPr>
            <w:rStyle w:val="Hipervnculo"/>
            <w:rFonts w:ascii="Verdana" w:eastAsia="Calibri" w:hAnsi="Verdana" w:cs="Arial"/>
            <w:bCs/>
            <w:lang w:val="es-MX"/>
          </w:rPr>
          <w:t>https://relatoria.colombiacompra.gov.co/normativa/constitucion-politica-de-colombia/</w:t>
        </w:r>
      </w:hyperlink>
      <w:r>
        <w:rPr>
          <w:rFonts w:ascii="Verdana" w:eastAsia="Calibri" w:hAnsi="Verdana" w:cs="Arial"/>
          <w:bCs/>
          <w:lang w:val="es-MX"/>
        </w:rPr>
        <w:t xml:space="preserve">  </w:t>
      </w:r>
    </w:p>
    <w:p w14:paraId="08DA32F8" w14:textId="77777777" w:rsidR="00003535" w:rsidRPr="00F041E2" w:rsidRDefault="00003535" w:rsidP="00003535">
      <w:pPr>
        <w:pStyle w:val="Prrafodelista"/>
        <w:spacing w:after="0" w:line="240" w:lineRule="auto"/>
        <w:jc w:val="both"/>
        <w:rPr>
          <w:rFonts w:ascii="Verdana" w:eastAsia="Times New Roman" w:hAnsi="Verdana" w:cs="Arial"/>
          <w:color w:val="000000" w:themeColor="text1"/>
          <w:sz w:val="21"/>
          <w:szCs w:val="21"/>
          <w:lang w:eastAsia="es-MX"/>
        </w:rPr>
      </w:pPr>
    </w:p>
    <w:p w14:paraId="35E218CE" w14:textId="77777777" w:rsidR="00003535" w:rsidRDefault="00003535" w:rsidP="00003535">
      <w:pPr>
        <w:pStyle w:val="Prrafodelista"/>
        <w:numPr>
          <w:ilvl w:val="0"/>
          <w:numId w:val="2"/>
        </w:numPr>
        <w:spacing w:after="0" w:line="240" w:lineRule="auto"/>
        <w:jc w:val="both"/>
        <w:rPr>
          <w:rFonts w:ascii="Verdana" w:eastAsia="Times New Roman" w:hAnsi="Verdana" w:cs="Arial"/>
          <w:color w:val="000000" w:themeColor="text1"/>
          <w:sz w:val="21"/>
          <w:szCs w:val="21"/>
          <w:lang w:eastAsia="es-MX"/>
        </w:rPr>
      </w:pPr>
      <w:r w:rsidRPr="00F041E2">
        <w:rPr>
          <w:rFonts w:ascii="Verdana" w:eastAsia="Times New Roman" w:hAnsi="Verdana" w:cs="Arial"/>
          <w:color w:val="000000" w:themeColor="text1"/>
          <w:sz w:val="21"/>
          <w:szCs w:val="21"/>
          <w:lang w:eastAsia="es-MX"/>
        </w:rPr>
        <w:t>artículo 6 de la Ley 80 de 1993</w:t>
      </w:r>
      <w:r>
        <w:rPr>
          <w:rFonts w:ascii="Verdana" w:eastAsia="Times New Roman" w:hAnsi="Verdana" w:cs="Arial"/>
          <w:color w:val="000000" w:themeColor="text1"/>
          <w:sz w:val="21"/>
          <w:szCs w:val="21"/>
          <w:lang w:eastAsia="es-MX"/>
        </w:rPr>
        <w:t xml:space="preserve">. Disponible en: </w:t>
      </w:r>
      <w:hyperlink r:id="rId14" w:history="1">
        <w:r w:rsidRPr="0079147C">
          <w:rPr>
            <w:rStyle w:val="Hipervnculo"/>
            <w:rFonts w:ascii="Verdana" w:eastAsia="Times New Roman" w:hAnsi="Verdana" w:cs="Arial"/>
            <w:sz w:val="21"/>
            <w:szCs w:val="21"/>
            <w:lang w:eastAsia="es-MX"/>
          </w:rPr>
          <w:t>https://relatoria.colombiacompra.gov.co/normativa/ley-80-de-1993/</w:t>
        </w:r>
      </w:hyperlink>
      <w:r>
        <w:rPr>
          <w:rFonts w:ascii="Verdana" w:eastAsia="Times New Roman" w:hAnsi="Verdana" w:cs="Arial"/>
          <w:color w:val="000000" w:themeColor="text1"/>
          <w:sz w:val="21"/>
          <w:szCs w:val="21"/>
          <w:lang w:eastAsia="es-MX"/>
        </w:rPr>
        <w:t xml:space="preserve"> </w:t>
      </w:r>
    </w:p>
    <w:p w14:paraId="3DDE5FF7" w14:textId="77777777" w:rsidR="00003535" w:rsidRPr="003E6A61" w:rsidRDefault="00003535" w:rsidP="00003535">
      <w:pPr>
        <w:pStyle w:val="Prrafodelista"/>
        <w:rPr>
          <w:rFonts w:ascii="Verdana" w:eastAsia="Calibri" w:hAnsi="Verdana" w:cs="Arial"/>
        </w:rPr>
      </w:pPr>
    </w:p>
    <w:p w14:paraId="17146B5D" w14:textId="77777777" w:rsidR="00003535" w:rsidRPr="003E6A61" w:rsidRDefault="00003535" w:rsidP="00003535">
      <w:pPr>
        <w:pStyle w:val="Prrafodelista"/>
        <w:numPr>
          <w:ilvl w:val="0"/>
          <w:numId w:val="2"/>
        </w:numPr>
        <w:spacing w:after="0" w:line="240" w:lineRule="auto"/>
        <w:jc w:val="both"/>
        <w:rPr>
          <w:rFonts w:ascii="Verdana" w:eastAsia="Times New Roman" w:hAnsi="Verdana" w:cs="Arial"/>
          <w:color w:val="000000" w:themeColor="text1"/>
          <w:sz w:val="21"/>
          <w:szCs w:val="21"/>
          <w:lang w:eastAsia="es-MX"/>
        </w:rPr>
      </w:pPr>
      <w:r w:rsidRPr="003E6A61">
        <w:rPr>
          <w:rFonts w:ascii="Verdana" w:eastAsia="Calibri" w:hAnsi="Verdana" w:cs="Arial"/>
        </w:rPr>
        <w:t>artículo 96 de la Ley 489 de 1998</w:t>
      </w:r>
      <w:r w:rsidRPr="003E6A61">
        <w:rPr>
          <w:rFonts w:ascii="Verdana" w:hAnsi="Verdana" w:cs="Arial"/>
          <w:lang w:eastAsia="es-CO"/>
        </w:rPr>
        <w:t xml:space="preserve"> Disponible en: </w:t>
      </w:r>
      <w:r w:rsidRPr="003E6A61">
        <w:rPr>
          <w:rFonts w:ascii="Verdana" w:eastAsia="Calibri" w:hAnsi="Verdana" w:cs="Arial"/>
        </w:rPr>
        <w:t xml:space="preserve"> </w:t>
      </w:r>
      <w:hyperlink r:id="rId15" w:history="1">
        <w:r w:rsidRPr="003E6A61">
          <w:rPr>
            <w:rStyle w:val="Hipervnculo"/>
            <w:rFonts w:ascii="Verdana" w:eastAsia="Calibri" w:hAnsi="Verdana" w:cs="Arial"/>
          </w:rPr>
          <w:t>https://relatoria.colombiacompra.gov.co/normativa/ley-489-de-1998/</w:t>
        </w:r>
      </w:hyperlink>
    </w:p>
    <w:p w14:paraId="05678018" w14:textId="77777777" w:rsidR="00003535" w:rsidRPr="00F041E2" w:rsidRDefault="00003535" w:rsidP="00003535">
      <w:pPr>
        <w:pStyle w:val="Prrafodelista"/>
        <w:rPr>
          <w:rFonts w:ascii="Verdana" w:eastAsia="Calibri" w:hAnsi="Verdana" w:cs="Arial"/>
        </w:rPr>
      </w:pPr>
    </w:p>
    <w:p w14:paraId="6EA9B9C2" w14:textId="77777777" w:rsidR="00003535" w:rsidRPr="00F041E2" w:rsidRDefault="00003535" w:rsidP="00003535">
      <w:pPr>
        <w:pStyle w:val="Prrafodelista"/>
        <w:numPr>
          <w:ilvl w:val="0"/>
          <w:numId w:val="2"/>
        </w:numPr>
        <w:spacing w:before="120" w:after="0" w:line="276" w:lineRule="auto"/>
        <w:ind w:right="113"/>
        <w:jc w:val="both"/>
        <w:rPr>
          <w:rFonts w:ascii="Verdana" w:hAnsi="Verdana" w:cs="Arial"/>
          <w:lang w:eastAsia="es-CO"/>
        </w:rPr>
      </w:pPr>
      <w:r w:rsidRPr="00F041E2">
        <w:rPr>
          <w:rFonts w:ascii="Verdana" w:eastAsia="Calibri" w:hAnsi="Verdana" w:cs="Arial"/>
        </w:rPr>
        <w:t xml:space="preserve">Artículo </w:t>
      </w:r>
      <w:r w:rsidRPr="00F041E2">
        <w:rPr>
          <w:rFonts w:ascii="Verdana" w:eastAsia="Times New Roman" w:hAnsi="Verdana" w:cs="Arial"/>
          <w:color w:val="000000"/>
          <w:lang w:val="es-ES" w:eastAsia="es-CO"/>
        </w:rPr>
        <w:t xml:space="preserve">5, 6, 7 y 8 </w:t>
      </w:r>
      <w:r w:rsidRPr="00F041E2">
        <w:rPr>
          <w:rFonts w:ascii="Verdana" w:eastAsia="Calibri" w:hAnsi="Verdana" w:cs="Arial"/>
        </w:rPr>
        <w:t xml:space="preserve">Decreto 092 de 2017. Disponible en: </w:t>
      </w:r>
      <w:hyperlink r:id="rId16" w:history="1">
        <w:r w:rsidRPr="00F041E2">
          <w:rPr>
            <w:rStyle w:val="Hipervnculo"/>
            <w:rFonts w:ascii="Verdana" w:eastAsia="Calibri" w:hAnsi="Verdana" w:cs="Arial"/>
          </w:rPr>
          <w:t>https://relatoria.colombiacompra.gov.co/normativa/decreto-092-de-2017/</w:t>
        </w:r>
      </w:hyperlink>
    </w:p>
    <w:p w14:paraId="00484BA7" w14:textId="77777777" w:rsidR="00003535" w:rsidRPr="00F041E2" w:rsidRDefault="00003535" w:rsidP="00003535">
      <w:pPr>
        <w:pStyle w:val="Prrafodelista"/>
        <w:rPr>
          <w:rFonts w:ascii="Verdana" w:eastAsia="Calibri" w:hAnsi="Verdana" w:cs="Arial"/>
        </w:rPr>
      </w:pPr>
    </w:p>
    <w:p w14:paraId="708B0907" w14:textId="77777777" w:rsidR="00003535" w:rsidRDefault="00003535" w:rsidP="00003535">
      <w:pPr>
        <w:pStyle w:val="Prrafodelista"/>
        <w:numPr>
          <w:ilvl w:val="0"/>
          <w:numId w:val="2"/>
        </w:numPr>
        <w:spacing w:before="120" w:after="0" w:line="276" w:lineRule="auto"/>
        <w:ind w:right="113"/>
        <w:jc w:val="both"/>
        <w:rPr>
          <w:rFonts w:ascii="Verdana" w:hAnsi="Verdana" w:cs="Arial"/>
          <w:lang w:eastAsia="es-CO"/>
        </w:rPr>
      </w:pPr>
      <w:r w:rsidRPr="00F041E2">
        <w:rPr>
          <w:rFonts w:ascii="Verdana" w:eastAsia="Calibri" w:hAnsi="Verdana" w:cs="Arial"/>
        </w:rPr>
        <w:t>Guías y manuales expedidos por la ANCP-CCE. Guía para la contratación con entidades sin ánimo de lucro y de reconocida idoneidad</w:t>
      </w:r>
      <w:r w:rsidRPr="00F041E2">
        <w:rPr>
          <w:rFonts w:ascii="Verdana" w:hAnsi="Verdana" w:cs="Arial"/>
          <w:lang w:eastAsia="es-CO"/>
        </w:rPr>
        <w:t xml:space="preserve"> </w:t>
      </w:r>
      <w:hyperlink r:id="rId17" w:history="1">
        <w:r w:rsidRPr="00F041E2">
          <w:rPr>
            <w:rStyle w:val="Hipervnculo"/>
            <w:rFonts w:ascii="Verdana" w:hAnsi="Verdana" w:cs="Arial"/>
            <w:lang w:eastAsia="es-CO"/>
          </w:rPr>
          <w:t>https://www.colombiacompra.gov.co/sites/cce_public/files/cce_documents/cce_guia_esal.pdf</w:t>
        </w:r>
      </w:hyperlink>
      <w:r w:rsidRPr="00F041E2">
        <w:rPr>
          <w:rFonts w:ascii="Verdana" w:hAnsi="Verdana" w:cs="Arial"/>
          <w:lang w:eastAsia="es-CO"/>
        </w:rPr>
        <w:t xml:space="preserve"> </w:t>
      </w:r>
    </w:p>
    <w:p w14:paraId="20E636B3" w14:textId="77777777" w:rsidR="00003535" w:rsidRPr="00F041E2" w:rsidRDefault="00003535" w:rsidP="00003535">
      <w:pPr>
        <w:pStyle w:val="Prrafodelista"/>
        <w:rPr>
          <w:rFonts w:ascii="Verdana" w:hAnsi="Verdana" w:cs="Arial"/>
          <w:lang w:eastAsia="es-CO"/>
        </w:rPr>
      </w:pPr>
    </w:p>
    <w:p w14:paraId="3ACD3B22" w14:textId="77777777" w:rsidR="00003535" w:rsidRDefault="00003535" w:rsidP="00003535">
      <w:pPr>
        <w:pStyle w:val="Prrafodelista"/>
        <w:numPr>
          <w:ilvl w:val="0"/>
          <w:numId w:val="2"/>
        </w:numPr>
        <w:spacing w:after="0" w:line="240" w:lineRule="auto"/>
        <w:jc w:val="both"/>
        <w:rPr>
          <w:rFonts w:ascii="Verdana" w:hAnsi="Verdana" w:cs="Arial"/>
          <w:color w:val="000000" w:themeColor="text1"/>
        </w:rPr>
      </w:pPr>
      <w:r w:rsidRPr="00F041E2">
        <w:rPr>
          <w:rFonts w:ascii="Verdana" w:hAnsi="Verdana" w:cs="Arial"/>
          <w:color w:val="000000" w:themeColor="text1"/>
        </w:rPr>
        <w:t>Consejo de Estado, Sección Cuarta. Providencia del 26 de octubre de 2009. Exp. No. 25000-23-27-000-2007-00160-01(17200). M.P. Martha Teresa Briceño de Valencia</w:t>
      </w:r>
      <w:r>
        <w:rPr>
          <w:rFonts w:ascii="Verdana" w:hAnsi="Verdana" w:cs="Arial"/>
          <w:color w:val="000000" w:themeColor="text1"/>
        </w:rPr>
        <w:t xml:space="preserve">. Disponible en: </w:t>
      </w:r>
      <w:hyperlink r:id="rId18" w:history="1">
        <w:r w:rsidRPr="0079147C">
          <w:rPr>
            <w:rStyle w:val="Hipervnculo"/>
            <w:rFonts w:ascii="Verdana" w:hAnsi="Verdana" w:cs="Arial"/>
          </w:rPr>
          <w:t>https://relatoria.colombiacompra.gov.co/providencias-consejo-de-estado/</w:t>
        </w:r>
      </w:hyperlink>
      <w:r>
        <w:rPr>
          <w:rFonts w:ascii="Verdana" w:hAnsi="Verdana" w:cs="Arial"/>
          <w:color w:val="000000" w:themeColor="text1"/>
        </w:rPr>
        <w:t xml:space="preserve"> </w:t>
      </w:r>
    </w:p>
    <w:p w14:paraId="6E62537A" w14:textId="77777777" w:rsidR="00003535" w:rsidRPr="00F041E2" w:rsidRDefault="00003535" w:rsidP="00003535">
      <w:pPr>
        <w:spacing w:after="0" w:line="240" w:lineRule="auto"/>
        <w:jc w:val="both"/>
        <w:rPr>
          <w:rFonts w:ascii="Verdana" w:hAnsi="Verdana" w:cs="Arial"/>
          <w:color w:val="000000" w:themeColor="text1"/>
        </w:rPr>
      </w:pPr>
    </w:p>
    <w:p w14:paraId="4D295E24" w14:textId="77777777" w:rsidR="00003535" w:rsidRDefault="00003535" w:rsidP="00003535">
      <w:pPr>
        <w:pStyle w:val="Prrafodelista"/>
        <w:numPr>
          <w:ilvl w:val="0"/>
          <w:numId w:val="2"/>
        </w:numPr>
        <w:spacing w:before="120" w:after="0" w:line="276" w:lineRule="auto"/>
        <w:ind w:right="113"/>
        <w:jc w:val="both"/>
        <w:rPr>
          <w:rFonts w:ascii="Verdana" w:hAnsi="Verdana" w:cs="Arial"/>
          <w:lang w:eastAsia="es-CO"/>
        </w:rPr>
      </w:pPr>
      <w:r w:rsidRPr="00F041E2">
        <w:rPr>
          <w:rFonts w:ascii="Verdana" w:hAnsi="Verdana" w:cs="Arial"/>
          <w:lang w:eastAsia="es-CO"/>
        </w:rPr>
        <w:t>Corte Constitucional. Sala Plena. Sentencia C 178 de 29 de abril de 1996. Magistrado Ponente: Antonio Barrera Carbonell. Expediente No. D-974.</w:t>
      </w:r>
    </w:p>
    <w:p w14:paraId="470D576E" w14:textId="77777777" w:rsidR="00003535" w:rsidRPr="00F041E2" w:rsidRDefault="00003535" w:rsidP="00003535">
      <w:pPr>
        <w:pStyle w:val="Prrafodelista"/>
        <w:rPr>
          <w:rFonts w:ascii="Verdana" w:hAnsi="Verdana" w:cs="Arial"/>
          <w:lang w:eastAsia="es-CO"/>
        </w:rPr>
      </w:pPr>
    </w:p>
    <w:p w14:paraId="65DFF452" w14:textId="77777777" w:rsidR="00003535" w:rsidRPr="00F041E2" w:rsidRDefault="00003535" w:rsidP="00003535">
      <w:pPr>
        <w:pStyle w:val="Prrafodelista"/>
        <w:numPr>
          <w:ilvl w:val="0"/>
          <w:numId w:val="2"/>
        </w:numPr>
        <w:spacing w:before="120" w:after="0" w:line="276" w:lineRule="auto"/>
        <w:ind w:right="113"/>
        <w:jc w:val="both"/>
        <w:rPr>
          <w:rFonts w:ascii="Verdana" w:hAnsi="Verdana" w:cs="Arial"/>
          <w:lang w:eastAsia="es-CO"/>
        </w:rPr>
      </w:pPr>
      <w:r w:rsidRPr="00F041E2">
        <w:rPr>
          <w:rFonts w:ascii="Verdana" w:hAnsi="Verdana" w:cs="Arial"/>
          <w:lang w:eastAsia="es-CO"/>
        </w:rPr>
        <w:t>Corte Constitucional. Sentencia C-287 de 2012. M.P. María Victoria Calle.</w:t>
      </w:r>
    </w:p>
    <w:p w14:paraId="5BACD411" w14:textId="77777777" w:rsidR="00003535" w:rsidRPr="00D32C7A" w:rsidRDefault="00003535" w:rsidP="00003535">
      <w:pPr>
        <w:spacing w:after="120" w:line="276" w:lineRule="auto"/>
        <w:jc w:val="both"/>
        <w:rPr>
          <w:rFonts w:ascii="Verdana" w:eastAsia="Times New Roman" w:hAnsi="Verdana" w:cs="Arial"/>
          <w:i/>
          <w:lang w:val="es-ES_tradnl" w:eastAsia="es-ES"/>
        </w:rPr>
      </w:pPr>
    </w:p>
    <w:p w14:paraId="105067B2" w14:textId="77777777" w:rsidR="00003535" w:rsidRPr="00D32C7A" w:rsidRDefault="00003535" w:rsidP="0000353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D32C7A">
        <w:rPr>
          <w:rFonts w:ascii="Verdana" w:eastAsia="Century Gothic" w:hAnsi="Verdana" w:cs="Century Gothic"/>
          <w:b/>
          <w:bCs/>
        </w:rPr>
        <w:t>Doctrina de la Agencia Nacional de Contratación Pública:</w:t>
      </w:r>
    </w:p>
    <w:p w14:paraId="77A6D122" w14:textId="77777777" w:rsidR="00003535" w:rsidRPr="00D32C7A" w:rsidRDefault="00003535" w:rsidP="00003535">
      <w:pPr>
        <w:spacing w:after="120" w:line="276" w:lineRule="auto"/>
        <w:jc w:val="both"/>
        <w:rPr>
          <w:rFonts w:ascii="Verdana" w:hAnsi="Verdana" w:cs="Arial"/>
          <w:color w:val="000000" w:themeColor="text1"/>
          <w:lang w:val="es-ES"/>
        </w:rPr>
      </w:pPr>
    </w:p>
    <w:p w14:paraId="55B1EB67" w14:textId="77777777" w:rsidR="00003535" w:rsidRPr="00D32C7A" w:rsidRDefault="00003535" w:rsidP="00003535">
      <w:pPr>
        <w:pStyle w:val="Textonotapie"/>
        <w:jc w:val="both"/>
        <w:rPr>
          <w:rFonts w:ascii="Verdana" w:hAnsi="Verdana" w:cs="Arial"/>
          <w:sz w:val="22"/>
          <w:szCs w:val="22"/>
          <w:shd w:val="clear" w:color="auto" w:fill="E6E6E6"/>
        </w:rPr>
      </w:pPr>
      <w:r w:rsidRPr="00D32C7A">
        <w:rPr>
          <w:rFonts w:ascii="Verdana" w:eastAsia="Calibri" w:hAnsi="Verdana" w:cs="Arial"/>
          <w:sz w:val="22"/>
          <w:szCs w:val="22"/>
          <w:lang w:val="es-ES" w:eastAsia="es-ES"/>
        </w:rPr>
        <w:t xml:space="preserve">Sobre </w:t>
      </w:r>
      <w:r w:rsidRPr="00D32C7A">
        <w:rPr>
          <w:rFonts w:ascii="Verdana" w:eastAsia="Calibri" w:hAnsi="Verdana" w:cs="Arial"/>
          <w:bCs/>
          <w:sz w:val="22"/>
          <w:lang w:val="es-ES_tradnl"/>
        </w:rPr>
        <w:t xml:space="preserve">la contratación con entidades privadas sin ánimo de lucro </w:t>
      </w:r>
      <w:r>
        <w:rPr>
          <w:rFonts w:ascii="Verdana" w:eastAsia="Calibri" w:hAnsi="Verdana" w:cs="Arial"/>
          <w:bCs/>
          <w:sz w:val="22"/>
          <w:lang w:val="es-ES_tradnl"/>
        </w:rPr>
        <w:t xml:space="preserve"> </w:t>
      </w:r>
      <w:r w:rsidRPr="00D32C7A">
        <w:rPr>
          <w:rFonts w:ascii="Verdana" w:eastAsia="Calibri" w:hAnsi="Verdana" w:cs="Arial"/>
          <w:bCs/>
          <w:sz w:val="22"/>
          <w:szCs w:val="22"/>
          <w:lang w:val="es-ES_tradnl"/>
        </w:rPr>
        <w:t xml:space="preserve">ESAL–, regulada por el Decreto 092 de 2017, </w:t>
      </w:r>
      <w:r w:rsidRPr="00D32C7A">
        <w:rPr>
          <w:rStyle w:val="normaltextrun"/>
          <w:rFonts w:ascii="Verdana" w:hAnsi="Verdana" w:cs="Arial"/>
          <w:sz w:val="22"/>
          <w:szCs w:val="22"/>
          <w:shd w:val="clear" w:color="auto" w:fill="FFFFFF"/>
          <w:lang w:val="es-ES"/>
        </w:rPr>
        <w:t xml:space="preserve">se pronunció esta Subdirección </w:t>
      </w:r>
      <w:r w:rsidRPr="00D32C7A">
        <w:rPr>
          <w:rFonts w:ascii="Verdana" w:eastAsia="Calibri" w:hAnsi="Verdana" w:cs="Arial"/>
          <w:sz w:val="22"/>
          <w:szCs w:val="22"/>
          <w:lang w:val="es-ES"/>
        </w:rPr>
        <w:t xml:space="preserve">en los conceptos </w:t>
      </w:r>
      <w:r w:rsidRPr="00D32C7A">
        <w:rPr>
          <w:rFonts w:ascii="Verdana" w:eastAsia="Calibri" w:hAnsi="Verdana" w:cs="Arial"/>
          <w:color w:val="000000" w:themeColor="text1"/>
          <w:sz w:val="22"/>
          <w:szCs w:val="22"/>
        </w:rPr>
        <w:t>Nos. 2201913000009467 del 20 de diciembre de 2019, C-081 del 3 de marzo de 2020, C-070 del 4 de marzo de 2020, C-057 del 18 de marzo de 2020, C-014 del 24 de marzo de 2020, C-140 del 31 de marzo de 2020,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 C-026 de 16 de marzo de 2023, C-037 de 05 de abril de 2023, C-</w:t>
      </w:r>
      <w:r>
        <w:rPr>
          <w:rFonts w:ascii="Verdana" w:eastAsia="Calibri" w:hAnsi="Verdana" w:cs="Arial"/>
          <w:color w:val="000000" w:themeColor="text1"/>
          <w:sz w:val="22"/>
          <w:szCs w:val="22"/>
        </w:rPr>
        <w:t>183</w:t>
      </w:r>
      <w:r w:rsidRPr="00D32C7A">
        <w:rPr>
          <w:rFonts w:ascii="Verdana" w:eastAsia="Calibri" w:hAnsi="Verdana" w:cs="Arial"/>
          <w:color w:val="000000" w:themeColor="text1"/>
          <w:sz w:val="22"/>
          <w:szCs w:val="22"/>
        </w:rPr>
        <w:t xml:space="preserve"> de </w:t>
      </w:r>
      <w:r>
        <w:rPr>
          <w:rFonts w:ascii="Verdana" w:eastAsia="Calibri" w:hAnsi="Verdana" w:cs="Arial"/>
          <w:color w:val="000000" w:themeColor="text1"/>
          <w:sz w:val="22"/>
          <w:szCs w:val="22"/>
        </w:rPr>
        <w:t>8</w:t>
      </w:r>
      <w:r w:rsidRPr="00D32C7A">
        <w:rPr>
          <w:rFonts w:ascii="Verdana" w:eastAsia="Calibri" w:hAnsi="Verdana" w:cs="Arial"/>
          <w:color w:val="000000" w:themeColor="text1"/>
          <w:sz w:val="22"/>
          <w:szCs w:val="22"/>
        </w:rPr>
        <w:t xml:space="preserve"> de junio de 2023 C-003 del 02 de febrero de 2024,</w:t>
      </w:r>
      <w:r>
        <w:rPr>
          <w:rFonts w:ascii="Verdana" w:eastAsia="Calibri" w:hAnsi="Verdana" w:cs="Arial"/>
          <w:color w:val="000000" w:themeColor="text1"/>
          <w:sz w:val="22"/>
          <w:szCs w:val="22"/>
        </w:rPr>
        <w:t xml:space="preserve"> </w:t>
      </w:r>
      <w:r w:rsidRPr="00D32C7A">
        <w:rPr>
          <w:rFonts w:ascii="Verdana" w:eastAsia="Calibri" w:hAnsi="Verdana" w:cs="Arial"/>
          <w:color w:val="000000" w:themeColor="text1"/>
          <w:sz w:val="22"/>
          <w:szCs w:val="22"/>
        </w:rPr>
        <w:t>C-045 del 24 de abril de 2024</w:t>
      </w:r>
      <w:r>
        <w:rPr>
          <w:rFonts w:ascii="Verdana" w:eastAsia="Calibri" w:hAnsi="Verdana" w:cs="Arial"/>
          <w:color w:val="000000" w:themeColor="text1"/>
          <w:sz w:val="22"/>
          <w:szCs w:val="22"/>
        </w:rPr>
        <w:t>.</w:t>
      </w:r>
      <w:r w:rsidRPr="00D32C7A">
        <w:rPr>
          <w:rFonts w:ascii="Verdana" w:eastAsia="Calibri" w:hAnsi="Verdana" w:cs="Arial"/>
          <w:color w:val="000000" w:themeColor="text1"/>
          <w:sz w:val="22"/>
          <w:szCs w:val="22"/>
        </w:rPr>
        <w:t xml:space="preserve"> </w:t>
      </w:r>
      <w:r w:rsidRPr="00D32C7A">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9" w:tgtFrame="_blank" w:tooltip="Dirección URL original: https://relatoria.colombiacompra.gov.co/. Haga clic o pulse si confía en este vínculo." w:history="1">
        <w:r w:rsidRPr="00D32C7A">
          <w:rPr>
            <w:rStyle w:val="Hipervnculo"/>
            <w:rFonts w:ascii="Verdana" w:hAnsi="Verdana"/>
            <w:sz w:val="22"/>
            <w:szCs w:val="22"/>
            <w:bdr w:val="none" w:sz="0" w:space="0" w:color="auto" w:frame="1"/>
            <w:shd w:val="clear" w:color="auto" w:fill="FFFFFF"/>
          </w:rPr>
          <w:t>https://relatoria.colombiacompra.gov.co/</w:t>
        </w:r>
      </w:hyperlink>
      <w:r w:rsidRPr="00D32C7A">
        <w:rPr>
          <w:rFonts w:ascii="Verdana" w:hAnsi="Verdana"/>
          <w:color w:val="000000"/>
          <w:sz w:val="22"/>
          <w:szCs w:val="22"/>
          <w:shd w:val="clear" w:color="auto" w:fill="FFFFFF"/>
        </w:rPr>
        <w:t xml:space="preserve"> . Te </w:t>
      </w:r>
      <w:r w:rsidRPr="00D32C7A">
        <w:rPr>
          <w:rFonts w:ascii="Verdana" w:hAnsi="Verdana"/>
          <w:color w:val="000000"/>
          <w:sz w:val="22"/>
          <w:szCs w:val="22"/>
          <w:shd w:val="clear" w:color="auto" w:fill="FFFFFF"/>
        </w:rPr>
        <w:lastRenderedPageBreak/>
        <w:t>invitamos también a revisar la tercera edición del  Boletín de Relatoría de 2024 en el cual podrás consultar en detalle el marco normativo de documentos tipo: </w:t>
      </w:r>
      <w:hyperlink r:id="rId20" w:tgtFrame="_blank" w:tooltip="Dirección URL original: https://www.colombiacompra.gov.co/sites/cce_public/files/files_2020/boletin_de_realtoria_iii.pdf. Haga clic o pulse si confía en este vínculo." w:history="1">
        <w:r w:rsidRPr="00D32C7A">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D32C7A">
        <w:rPr>
          <w:rFonts w:ascii="Verdana" w:hAnsi="Verdana"/>
          <w:color w:val="000000"/>
          <w:sz w:val="22"/>
          <w:szCs w:val="22"/>
          <w:shd w:val="clear" w:color="auto" w:fill="FFFFFF"/>
        </w:rPr>
        <w:t> ".</w:t>
      </w:r>
    </w:p>
    <w:p w14:paraId="25A0B78B" w14:textId="77777777" w:rsidR="00003535" w:rsidRPr="00D32C7A" w:rsidRDefault="00003535" w:rsidP="00003535">
      <w:pPr>
        <w:pStyle w:val="Textonotapie"/>
        <w:jc w:val="both"/>
        <w:rPr>
          <w:rFonts w:ascii="Verdana" w:hAnsi="Verdana" w:cs="Arial"/>
          <w:sz w:val="22"/>
          <w:szCs w:val="22"/>
          <w:lang w:val="es-ES"/>
        </w:rPr>
      </w:pPr>
    </w:p>
    <w:p w14:paraId="21AE2345" w14:textId="77777777" w:rsidR="00003535" w:rsidRPr="00D32C7A" w:rsidRDefault="00003535" w:rsidP="00003535">
      <w:pPr>
        <w:spacing w:after="0" w:line="240" w:lineRule="auto"/>
        <w:jc w:val="both"/>
        <w:rPr>
          <w:rFonts w:ascii="Verdana" w:hAnsi="Verdana"/>
        </w:rPr>
      </w:pPr>
      <w:r w:rsidRPr="00D32C7A">
        <w:rPr>
          <w:rFonts w:ascii="Verdana" w:hAnsi="Verdana"/>
        </w:rPr>
        <w:t xml:space="preserve">Por último, lo invitamos a seguirnos en las redes sociales en las cuales se difunde información institucional: </w:t>
      </w:r>
    </w:p>
    <w:p w14:paraId="308BC464" w14:textId="77777777" w:rsidR="00003535" w:rsidRPr="00D32C7A" w:rsidRDefault="00003535" w:rsidP="00003535">
      <w:pPr>
        <w:spacing w:after="0" w:line="240" w:lineRule="auto"/>
        <w:jc w:val="both"/>
        <w:rPr>
          <w:rFonts w:ascii="Verdana" w:hAnsi="Verdana"/>
        </w:rPr>
      </w:pPr>
    </w:p>
    <w:p w14:paraId="7CF9FE40" w14:textId="77777777" w:rsidR="00003535" w:rsidRPr="00D32C7A" w:rsidRDefault="00003535" w:rsidP="00003535">
      <w:pPr>
        <w:spacing w:after="0" w:line="240" w:lineRule="auto"/>
        <w:jc w:val="both"/>
        <w:rPr>
          <w:rFonts w:ascii="Verdana" w:hAnsi="Verdana"/>
        </w:rPr>
      </w:pPr>
      <w:r w:rsidRPr="00D32C7A">
        <w:rPr>
          <w:rFonts w:ascii="Verdana" w:hAnsi="Verdana"/>
        </w:rPr>
        <w:t xml:space="preserve">Twitter: </w:t>
      </w:r>
      <w:r w:rsidRPr="00D32C7A">
        <w:rPr>
          <w:rStyle w:val="Hipervnculo"/>
          <w:rFonts w:ascii="Verdana" w:hAnsi="Verdana"/>
          <w:color w:val="4472C4" w:themeColor="accent1"/>
        </w:rPr>
        <w:t>@colombiacompra</w:t>
      </w:r>
      <w:r w:rsidRPr="00D32C7A">
        <w:rPr>
          <w:rFonts w:ascii="Verdana" w:hAnsi="Verdana"/>
          <w:color w:val="4472C4" w:themeColor="accent1"/>
        </w:rPr>
        <w:t xml:space="preserve"> </w:t>
      </w:r>
    </w:p>
    <w:p w14:paraId="1D9BD9DC" w14:textId="77777777" w:rsidR="00003535" w:rsidRPr="00D32C7A" w:rsidRDefault="00003535" w:rsidP="00003535">
      <w:pPr>
        <w:spacing w:after="0" w:line="240" w:lineRule="auto"/>
        <w:jc w:val="both"/>
        <w:rPr>
          <w:rFonts w:ascii="Verdana" w:hAnsi="Verdana"/>
        </w:rPr>
      </w:pPr>
      <w:r w:rsidRPr="00D32C7A">
        <w:rPr>
          <w:rFonts w:ascii="Verdana" w:hAnsi="Verdana"/>
        </w:rPr>
        <w:t xml:space="preserve">Facebook: </w:t>
      </w:r>
      <w:r w:rsidRPr="00D32C7A">
        <w:rPr>
          <w:rStyle w:val="Hipervnculo"/>
          <w:rFonts w:ascii="Verdana" w:hAnsi="Verdana"/>
          <w:color w:val="4472C4" w:themeColor="accent1"/>
        </w:rPr>
        <w:t>ColombiaCompraEficiente</w:t>
      </w:r>
    </w:p>
    <w:p w14:paraId="7F018317" w14:textId="77777777" w:rsidR="00003535" w:rsidRPr="00D32C7A" w:rsidRDefault="00003535" w:rsidP="00003535">
      <w:pPr>
        <w:spacing w:after="0" w:line="240" w:lineRule="auto"/>
        <w:jc w:val="both"/>
        <w:rPr>
          <w:rFonts w:ascii="Verdana" w:hAnsi="Verdana"/>
        </w:rPr>
      </w:pPr>
      <w:r w:rsidRPr="00D32C7A">
        <w:rPr>
          <w:rFonts w:ascii="Verdana" w:hAnsi="Verdana"/>
        </w:rPr>
        <w:t xml:space="preserve">LinkedIn: </w:t>
      </w:r>
      <w:r w:rsidRPr="00D32C7A">
        <w:rPr>
          <w:rStyle w:val="Hipervnculo"/>
          <w:rFonts w:ascii="Verdana" w:hAnsi="Verdana"/>
          <w:color w:val="4472C4" w:themeColor="accent1"/>
        </w:rPr>
        <w:t>Agencia Nacional de Contratación Pública - Colombia Compra Eficiente</w:t>
      </w:r>
      <w:r w:rsidRPr="00D32C7A">
        <w:rPr>
          <w:rFonts w:ascii="Verdana" w:hAnsi="Verdana"/>
          <w:color w:val="4472C4" w:themeColor="accent1"/>
        </w:rPr>
        <w:t xml:space="preserve"> </w:t>
      </w:r>
      <w:r w:rsidRPr="00D32C7A">
        <w:rPr>
          <w:rFonts w:ascii="Verdana" w:hAnsi="Verdana"/>
        </w:rPr>
        <w:t xml:space="preserve">Instagram: </w:t>
      </w:r>
      <w:r w:rsidRPr="00D32C7A">
        <w:rPr>
          <w:rStyle w:val="Hipervnculo"/>
          <w:rFonts w:ascii="Verdana" w:hAnsi="Verdana"/>
          <w:color w:val="4472C4" w:themeColor="accent1"/>
        </w:rPr>
        <w:t>@colombiacompraeficiente_cce</w:t>
      </w:r>
    </w:p>
    <w:p w14:paraId="780F1611" w14:textId="77777777" w:rsidR="00003535" w:rsidRPr="00D32C7A" w:rsidRDefault="00003535" w:rsidP="00003535">
      <w:pPr>
        <w:spacing w:after="120" w:line="276" w:lineRule="auto"/>
        <w:jc w:val="both"/>
        <w:rPr>
          <w:rFonts w:ascii="Verdana" w:hAnsi="Verdana" w:cs="Arial"/>
          <w:lang w:val="es-ES"/>
        </w:rPr>
      </w:pPr>
    </w:p>
    <w:p w14:paraId="75CE8F2C" w14:textId="77777777" w:rsidR="00003535" w:rsidRPr="00D32C7A" w:rsidRDefault="00003535" w:rsidP="00003535">
      <w:pPr>
        <w:spacing w:after="120" w:line="276" w:lineRule="auto"/>
        <w:jc w:val="both"/>
        <w:rPr>
          <w:rFonts w:ascii="Verdana" w:hAnsi="Verdana" w:cs="Arial"/>
          <w:color w:val="000000" w:themeColor="text1"/>
          <w:lang w:val="es-ES_tradnl"/>
        </w:rPr>
      </w:pPr>
      <w:r w:rsidRPr="00D32C7A">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05774B6" w14:textId="77777777" w:rsidR="00003535" w:rsidRPr="00D32C7A" w:rsidRDefault="00003535" w:rsidP="00003535">
      <w:pPr>
        <w:spacing w:after="0" w:line="240" w:lineRule="auto"/>
        <w:rPr>
          <w:rFonts w:ascii="Verdana" w:eastAsia="Times New Roman" w:hAnsi="Verdana" w:cs="Arial"/>
          <w:lang w:eastAsia="es-CO"/>
        </w:rPr>
      </w:pPr>
    </w:p>
    <w:p w14:paraId="062528FC" w14:textId="77777777" w:rsidR="00003535" w:rsidRPr="005E6FB0" w:rsidRDefault="00003535" w:rsidP="005E6FB0">
      <w:pPr>
        <w:spacing w:after="0" w:line="240" w:lineRule="auto"/>
        <w:rPr>
          <w:rFonts w:ascii="Verdana" w:eastAsia="Times New Roman" w:hAnsi="Verdana" w:cs="Arial"/>
          <w:lang w:eastAsia="es-CO"/>
        </w:rPr>
      </w:pPr>
      <w:r w:rsidRPr="00D32C7A">
        <w:rPr>
          <w:rFonts w:ascii="Verdana" w:eastAsia="Times New Roman" w:hAnsi="Verdana" w:cs="Arial"/>
          <w:lang w:eastAsia="es-CO"/>
        </w:rPr>
        <w:t>Atentamente,</w:t>
      </w:r>
    </w:p>
    <w:p w14:paraId="5AA20E3B" w14:textId="77777777" w:rsidR="00003535" w:rsidRPr="00D32C7A" w:rsidRDefault="005E6FB0" w:rsidP="00003535">
      <w:pPr>
        <w:spacing w:after="0" w:line="276" w:lineRule="auto"/>
        <w:jc w:val="center"/>
        <w:rPr>
          <w:rFonts w:ascii="Verdana" w:eastAsia="Times New Roman" w:hAnsi="Verdana" w:cs="Arial"/>
          <w:color w:val="000000"/>
          <w:sz w:val="18"/>
          <w:szCs w:val="18"/>
          <w:lang w:val="es-ES" w:eastAsia="es-CO"/>
        </w:rPr>
      </w:pPr>
      <w:r w:rsidRPr="004D5C25">
        <w:rPr>
          <w:rFonts w:ascii="Century Gothic" w:hAnsi="Century Gothic"/>
          <w:noProof/>
        </w:rPr>
        <w:drawing>
          <wp:inline distT="0" distB="0" distL="0" distR="0" wp14:anchorId="5C41EF7F" wp14:editId="688DC6BB">
            <wp:extent cx="3225800" cy="1384855"/>
            <wp:effectExtent l="0" t="0" r="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247705" cy="1394259"/>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003535" w:rsidRPr="00D32C7A" w14:paraId="017BB495" w14:textId="77777777" w:rsidTr="00F567E8">
        <w:trPr>
          <w:trHeight w:val="409"/>
        </w:trPr>
        <w:tc>
          <w:tcPr>
            <w:tcW w:w="817" w:type="dxa"/>
            <w:tcBorders>
              <w:top w:val="nil"/>
              <w:left w:val="nil"/>
              <w:bottom w:val="nil"/>
              <w:right w:val="nil"/>
            </w:tcBorders>
            <w:vAlign w:val="center"/>
            <w:hideMark/>
          </w:tcPr>
          <w:p w14:paraId="1608E09A"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D9D2E63" w14:textId="77777777" w:rsidR="00003535" w:rsidRPr="00D32C7A" w:rsidRDefault="00003535" w:rsidP="00F567E8">
            <w:pPr>
              <w:spacing w:after="0"/>
              <w:jc w:val="both"/>
              <w:rPr>
                <w:rFonts w:ascii="Verdana" w:hAnsi="Verdana" w:cs="Arial"/>
                <w:sz w:val="16"/>
                <w:szCs w:val="16"/>
              </w:rPr>
            </w:pPr>
            <w:proofErr w:type="spellStart"/>
            <w:r w:rsidRPr="00D32C7A">
              <w:rPr>
                <w:rFonts w:ascii="Verdana" w:hAnsi="Verdana" w:cs="Arial"/>
                <w:sz w:val="16"/>
                <w:szCs w:val="16"/>
              </w:rPr>
              <w:t>Jhonattan</w:t>
            </w:r>
            <w:proofErr w:type="spellEnd"/>
            <w:r w:rsidRPr="00D32C7A">
              <w:rPr>
                <w:rFonts w:ascii="Verdana" w:hAnsi="Verdana" w:cs="Arial"/>
                <w:sz w:val="16"/>
                <w:szCs w:val="16"/>
              </w:rPr>
              <w:t xml:space="preserve"> </w:t>
            </w:r>
            <w:proofErr w:type="spellStart"/>
            <w:r w:rsidRPr="00D32C7A">
              <w:rPr>
                <w:rFonts w:ascii="Verdana" w:hAnsi="Verdana" w:cs="Arial"/>
                <w:sz w:val="16"/>
                <w:szCs w:val="16"/>
              </w:rPr>
              <w:t>Gualdrón</w:t>
            </w:r>
            <w:proofErr w:type="spellEnd"/>
            <w:r w:rsidRPr="00D32C7A">
              <w:rPr>
                <w:rFonts w:ascii="Verdana" w:hAnsi="Verdana" w:cs="Arial"/>
                <w:sz w:val="16"/>
                <w:szCs w:val="16"/>
              </w:rPr>
              <w:t xml:space="preserve"> Salazar</w:t>
            </w:r>
          </w:p>
          <w:p w14:paraId="42097FE1"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003535" w:rsidRPr="00D32C7A" w14:paraId="5A336CC8" w14:textId="77777777" w:rsidTr="00F567E8">
        <w:trPr>
          <w:trHeight w:val="409"/>
        </w:trPr>
        <w:tc>
          <w:tcPr>
            <w:tcW w:w="817" w:type="dxa"/>
            <w:tcBorders>
              <w:top w:val="nil"/>
              <w:left w:val="nil"/>
              <w:right w:val="nil"/>
            </w:tcBorders>
            <w:vAlign w:val="center"/>
          </w:tcPr>
          <w:p w14:paraId="01CB6371"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2B29913" w14:textId="77777777" w:rsidR="00003535" w:rsidRDefault="00003535" w:rsidP="00F567E8">
            <w:pPr>
              <w:spacing w:after="0"/>
              <w:jc w:val="both"/>
              <w:rPr>
                <w:rStyle w:val="normaltextrun"/>
                <w:rFonts w:ascii="Verdana" w:hAnsi="Verdana" w:cs="Segoe UI"/>
                <w:color w:val="000000" w:themeColor="text1"/>
                <w:sz w:val="16"/>
                <w:szCs w:val="16"/>
                <w:lang w:eastAsia="es-CO"/>
              </w:rPr>
            </w:pPr>
            <w:r w:rsidRPr="00F041E2">
              <w:rPr>
                <w:rStyle w:val="normaltextrun"/>
                <w:rFonts w:ascii="Verdana" w:hAnsi="Verdana" w:cs="Segoe UI"/>
                <w:color w:val="000000" w:themeColor="text1"/>
                <w:sz w:val="16"/>
                <w:szCs w:val="16"/>
                <w:lang w:eastAsia="es-CO"/>
              </w:rPr>
              <w:t xml:space="preserve">Adriana </w:t>
            </w:r>
            <w:proofErr w:type="spellStart"/>
            <w:r w:rsidRPr="00F041E2">
              <w:rPr>
                <w:rStyle w:val="normaltextrun"/>
                <w:rFonts w:ascii="Verdana" w:hAnsi="Verdana" w:cs="Segoe UI"/>
                <w:color w:val="000000" w:themeColor="text1"/>
                <w:sz w:val="16"/>
                <w:szCs w:val="16"/>
                <w:lang w:eastAsia="es-CO"/>
              </w:rPr>
              <w:t>Káterine</w:t>
            </w:r>
            <w:proofErr w:type="spellEnd"/>
            <w:r w:rsidRPr="00F041E2">
              <w:rPr>
                <w:rStyle w:val="normaltextrun"/>
                <w:rFonts w:ascii="Verdana" w:hAnsi="Verdana" w:cs="Segoe UI"/>
                <w:color w:val="000000" w:themeColor="text1"/>
                <w:sz w:val="16"/>
                <w:szCs w:val="16"/>
                <w:lang w:eastAsia="es-CO"/>
              </w:rPr>
              <w:t xml:space="preserve"> López Rodríguez </w:t>
            </w:r>
          </w:p>
          <w:p w14:paraId="48A76DFD"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Contratista de la Subdirección de Gestión Contractual</w:t>
            </w:r>
          </w:p>
        </w:tc>
      </w:tr>
      <w:tr w:rsidR="00003535" w:rsidRPr="00D32C7A" w14:paraId="7108676A" w14:textId="77777777" w:rsidTr="00F567E8">
        <w:trPr>
          <w:trHeight w:val="389"/>
        </w:trPr>
        <w:tc>
          <w:tcPr>
            <w:tcW w:w="817" w:type="dxa"/>
            <w:tcBorders>
              <w:top w:val="nil"/>
              <w:left w:val="nil"/>
              <w:bottom w:val="nil"/>
              <w:right w:val="nil"/>
            </w:tcBorders>
            <w:vAlign w:val="center"/>
            <w:hideMark/>
          </w:tcPr>
          <w:p w14:paraId="01E127C0"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5BEA43A" w14:textId="77777777" w:rsidR="00003535" w:rsidRPr="00D32C7A" w:rsidRDefault="00003535" w:rsidP="00F567E8">
            <w:pPr>
              <w:spacing w:after="0"/>
              <w:rPr>
                <w:rFonts w:ascii="Verdana" w:eastAsia="Calibri" w:hAnsi="Verdana" w:cs="Arial"/>
                <w:sz w:val="16"/>
                <w:szCs w:val="16"/>
                <w:lang w:val="pt-BR" w:eastAsia="es-ES"/>
              </w:rPr>
            </w:pPr>
            <w:r w:rsidRPr="00D32C7A">
              <w:rPr>
                <w:rFonts w:ascii="Verdana" w:eastAsia="Calibri" w:hAnsi="Verdana" w:cs="Arial"/>
                <w:sz w:val="16"/>
                <w:szCs w:val="16"/>
                <w:lang w:val="pt-BR" w:eastAsia="es-ES"/>
              </w:rPr>
              <w:t>Carolina Quintero Gacharná</w:t>
            </w:r>
          </w:p>
          <w:p w14:paraId="6DAF16BE" w14:textId="77777777" w:rsidR="00003535" w:rsidRPr="00D32C7A" w:rsidRDefault="00003535" w:rsidP="00F567E8">
            <w:pPr>
              <w:spacing w:after="0"/>
              <w:jc w:val="both"/>
              <w:rPr>
                <w:rFonts w:ascii="Verdana" w:hAnsi="Verdana" w:cs="Arial"/>
                <w:sz w:val="16"/>
                <w:szCs w:val="16"/>
              </w:rPr>
            </w:pPr>
            <w:r w:rsidRPr="00D32C7A">
              <w:rPr>
                <w:rFonts w:ascii="Verdana" w:hAnsi="Verdana" w:cs="Arial"/>
                <w:sz w:val="16"/>
                <w:szCs w:val="16"/>
              </w:rPr>
              <w:t>Subdirectora de Gestión Contractual ANCP – CCE</w:t>
            </w:r>
          </w:p>
        </w:tc>
      </w:tr>
    </w:tbl>
    <w:p w14:paraId="6A743907" w14:textId="77777777" w:rsidR="004F5E95" w:rsidRPr="00003535" w:rsidRDefault="004F5E95" w:rsidP="00003535">
      <w:pPr>
        <w:rPr>
          <w:lang w:val="es-ES"/>
        </w:rPr>
      </w:pPr>
    </w:p>
    <w:sectPr w:rsidR="004F5E95" w:rsidRPr="00003535" w:rsidSect="00A211EE">
      <w:headerReference w:type="default" r:id="rId22"/>
      <w:footerReference w:type="default" r:id="rId23"/>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852C6" w14:textId="77777777" w:rsidR="003A64FC" w:rsidRDefault="003A64FC" w:rsidP="000C136C">
      <w:pPr>
        <w:spacing w:after="0" w:line="240" w:lineRule="auto"/>
      </w:pPr>
      <w:r>
        <w:separator/>
      </w:r>
    </w:p>
  </w:endnote>
  <w:endnote w:type="continuationSeparator" w:id="0">
    <w:p w14:paraId="448C3B0D" w14:textId="77777777" w:rsidR="003A64FC" w:rsidRDefault="003A64FC" w:rsidP="000C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9653" w14:textId="77777777" w:rsidR="004F5E95" w:rsidRDefault="004F5E95" w:rsidP="00A211EE">
    <w:pPr>
      <w:spacing w:after="0"/>
      <w:rPr>
        <w:rFonts w:ascii="Verdana" w:hAnsi="Verdana"/>
        <w:b/>
        <w:bCs/>
        <w:sz w:val="20"/>
        <w:szCs w:val="20"/>
      </w:rPr>
    </w:pPr>
  </w:p>
  <w:p w14:paraId="494DBA81" w14:textId="77777777" w:rsidR="004F5E95" w:rsidRPr="00174B77" w:rsidRDefault="00C100D1"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5F8C439" w14:textId="77777777" w:rsidR="004F5E95" w:rsidRDefault="00C100D1"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738CA4FB" w14:textId="77777777" w:rsidR="004F5E95" w:rsidRPr="00E41027" w:rsidRDefault="00C100D1" w:rsidP="00A211EE">
    <w:pPr>
      <w:spacing w:after="0"/>
      <w:jc w:val="both"/>
      <w:rPr>
        <w:rFonts w:ascii="Verdana" w:hAnsi="Verdana"/>
        <w:sz w:val="18"/>
        <w:szCs w:val="18"/>
      </w:rPr>
    </w:pPr>
    <w:r w:rsidRPr="00E41027">
      <w:rPr>
        <w:rFonts w:ascii="Verdana" w:hAnsi="Verdana"/>
        <w:sz w:val="18"/>
        <w:szCs w:val="18"/>
      </w:rPr>
      <w:t xml:space="preserve">Mesa de servicio: (+57) </w:t>
    </w:r>
    <w:r w:rsidRPr="00E41027">
      <w:rPr>
        <w:rFonts w:ascii="Verdana" w:hAnsi="Verdana"/>
        <w:sz w:val="18"/>
        <w:szCs w:val="18"/>
      </w:rPr>
      <w:t>601 7456788</w:t>
    </w:r>
  </w:p>
  <w:p w14:paraId="75A22F0F" w14:textId="77777777" w:rsidR="004F5E95" w:rsidRPr="00A211EE" w:rsidRDefault="00C100D1"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69F458A5" w14:textId="77777777" w:rsidR="004F5E95" w:rsidRDefault="004F5E95"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9811" w14:textId="77777777" w:rsidR="003A64FC" w:rsidRDefault="003A64FC" w:rsidP="000C136C">
      <w:pPr>
        <w:spacing w:after="0" w:line="240" w:lineRule="auto"/>
      </w:pPr>
      <w:r>
        <w:separator/>
      </w:r>
    </w:p>
  </w:footnote>
  <w:footnote w:type="continuationSeparator" w:id="0">
    <w:p w14:paraId="4B4BB41E" w14:textId="77777777" w:rsidR="003A64FC" w:rsidRDefault="003A64FC" w:rsidP="000C136C">
      <w:pPr>
        <w:spacing w:after="0" w:line="240" w:lineRule="auto"/>
      </w:pPr>
      <w:r>
        <w:continuationSeparator/>
      </w:r>
    </w:p>
  </w:footnote>
  <w:footnote w:id="1">
    <w:p w14:paraId="3249CAFA" w14:textId="77777777" w:rsidR="00003535" w:rsidRPr="007C10D0" w:rsidRDefault="00003535" w:rsidP="00003535">
      <w:pPr>
        <w:pStyle w:val="Textonotapie"/>
        <w:ind w:firstLine="708"/>
        <w:jc w:val="both"/>
        <w:rPr>
          <w:rFonts w:ascii="Arial" w:hAnsi="Arial" w:cs="Arial"/>
          <w:sz w:val="18"/>
          <w:szCs w:val="18"/>
        </w:rPr>
      </w:pPr>
      <w:r w:rsidRPr="007C10D0">
        <w:rPr>
          <w:rStyle w:val="Refdenotaalpie"/>
          <w:rFonts w:ascii="Arial" w:hAnsi="Arial" w:cs="Arial"/>
          <w:sz w:val="18"/>
          <w:szCs w:val="18"/>
        </w:rPr>
        <w:footnoteRef/>
      </w:r>
      <w:r w:rsidRPr="007C10D0">
        <w:rPr>
          <w:rFonts w:ascii="Arial" w:hAnsi="Arial" w:cs="Arial"/>
          <w:sz w:val="18"/>
          <w:szCs w:val="18"/>
        </w:rPr>
        <w:t xml:space="preserve"> Sobre la naturaleza de los convenios de asociación, se reitera lo expuesto en el concepto del 19 de noviembre de 2019, con radicado No. 2201913000008611.</w:t>
      </w:r>
    </w:p>
  </w:footnote>
  <w:footnote w:id="2">
    <w:p w14:paraId="53FC97C2" w14:textId="77777777" w:rsidR="00003535" w:rsidRPr="00F041E2" w:rsidRDefault="00003535" w:rsidP="00003535">
      <w:pPr>
        <w:pStyle w:val="Default"/>
        <w:spacing w:after="120"/>
        <w:ind w:firstLine="708"/>
        <w:jc w:val="both"/>
        <w:rPr>
          <w:rFonts w:ascii="Verdana" w:hAnsi="Verdana"/>
          <w:color w:val="000000" w:themeColor="text1"/>
          <w:sz w:val="16"/>
          <w:szCs w:val="16"/>
        </w:rPr>
      </w:pPr>
      <w:r w:rsidRPr="00F041E2">
        <w:rPr>
          <w:rStyle w:val="Refdenotaalpie"/>
          <w:rFonts w:ascii="Verdana" w:hAnsi="Verdana"/>
          <w:color w:val="000000" w:themeColor="text1"/>
          <w:sz w:val="16"/>
          <w:szCs w:val="16"/>
        </w:rPr>
        <w:footnoteRef/>
      </w:r>
      <w:r w:rsidRPr="00F041E2">
        <w:rPr>
          <w:rFonts w:ascii="Verdana" w:hAnsi="Verdana"/>
          <w:color w:val="000000" w:themeColor="text1"/>
          <w:sz w:val="16"/>
          <w:szCs w:val="16"/>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1C56DD7F" w14:textId="77777777" w:rsidR="00003535" w:rsidRPr="00F041E2" w:rsidRDefault="00003535" w:rsidP="00003535">
      <w:pPr>
        <w:pStyle w:val="Textonotapie"/>
        <w:spacing w:before="120" w:after="120"/>
        <w:ind w:firstLine="709"/>
        <w:jc w:val="both"/>
        <w:rPr>
          <w:rFonts w:ascii="Verdana" w:hAnsi="Verdana" w:cs="Arial"/>
          <w:color w:val="000000" w:themeColor="text1"/>
          <w:sz w:val="16"/>
          <w:szCs w:val="16"/>
        </w:rPr>
      </w:pPr>
      <w:r w:rsidRPr="00F041E2">
        <w:rPr>
          <w:rFonts w:ascii="Verdana" w:hAnsi="Verdana" w:cs="Arial"/>
          <w:color w:val="000000" w:themeColor="text1"/>
          <w:sz w:val="16"/>
          <w:szCs w:val="16"/>
        </w:rPr>
        <w:t>Sin embargo, cualquiera que sea su objeto, las sociedades comerciales y civiles estarán sujetas, para todos los efectos, a la legislación mercantil”.</w:t>
      </w:r>
    </w:p>
  </w:footnote>
  <w:footnote w:id="3">
    <w:p w14:paraId="4B7C19D1" w14:textId="77777777" w:rsidR="00003535" w:rsidRPr="00F041E2" w:rsidRDefault="00003535" w:rsidP="00003535">
      <w:pPr>
        <w:pStyle w:val="Textonotapie"/>
        <w:spacing w:after="120"/>
        <w:ind w:firstLine="709"/>
        <w:jc w:val="both"/>
        <w:rPr>
          <w:rFonts w:ascii="Verdana" w:hAnsi="Verdana" w:cs="Arial"/>
          <w:sz w:val="16"/>
          <w:szCs w:val="16"/>
        </w:rPr>
      </w:pPr>
      <w:r w:rsidRPr="00F041E2">
        <w:rPr>
          <w:rStyle w:val="Refdenotaalpie"/>
          <w:rFonts w:ascii="Verdana" w:hAnsi="Verdana" w:cs="Arial"/>
          <w:sz w:val="16"/>
          <w:szCs w:val="16"/>
        </w:rPr>
        <w:footnoteRef/>
      </w:r>
      <w:r w:rsidRPr="00F041E2">
        <w:rPr>
          <w:rFonts w:ascii="Verdana" w:hAnsi="Verdana" w:cs="Arial"/>
          <w:sz w:val="16"/>
          <w:szCs w:val="16"/>
        </w:rPr>
        <w:t xml:space="preserve"> Ley 1450 de 2011. “Artículo 43. Definiciones de tamaño empresarial. El artículo 2° de la Ley 590 de 2000, quedará así: </w:t>
      </w:r>
    </w:p>
    <w:p w14:paraId="72F7481B" w14:textId="77777777" w:rsidR="00003535" w:rsidRPr="00F041E2" w:rsidRDefault="00003535" w:rsidP="00003535">
      <w:pPr>
        <w:pStyle w:val="Textonotapie"/>
        <w:spacing w:before="120" w:after="120"/>
        <w:ind w:firstLine="708"/>
        <w:jc w:val="both"/>
        <w:rPr>
          <w:rFonts w:ascii="Verdana" w:hAnsi="Verdana" w:cs="Arial"/>
          <w:sz w:val="16"/>
          <w:szCs w:val="16"/>
        </w:rPr>
      </w:pPr>
      <w:r w:rsidRPr="00F041E2">
        <w:rPr>
          <w:rFonts w:ascii="Verdana" w:hAnsi="Verdana"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13962434" w14:textId="77777777" w:rsidR="00003535" w:rsidRPr="00F041E2" w:rsidRDefault="00003535" w:rsidP="00003535">
      <w:pPr>
        <w:pStyle w:val="Textonotapie"/>
        <w:spacing w:before="120" w:after="120"/>
        <w:ind w:firstLine="708"/>
        <w:jc w:val="both"/>
        <w:rPr>
          <w:rFonts w:ascii="Verdana" w:hAnsi="Verdana" w:cs="Arial"/>
          <w:sz w:val="16"/>
          <w:szCs w:val="16"/>
        </w:rPr>
      </w:pPr>
      <w:r w:rsidRPr="00F041E2">
        <w:rPr>
          <w:rFonts w:ascii="Verdana" w:hAnsi="Verdana" w:cs="Arial"/>
          <w:sz w:val="16"/>
          <w:szCs w:val="16"/>
        </w:rPr>
        <w:t xml:space="preserve">1. Número de trabajadores totales. </w:t>
      </w:r>
    </w:p>
    <w:p w14:paraId="01F7A40E" w14:textId="77777777" w:rsidR="00003535" w:rsidRPr="00F041E2" w:rsidRDefault="00003535" w:rsidP="00003535">
      <w:pPr>
        <w:pStyle w:val="Textonotapie"/>
        <w:spacing w:before="120" w:after="120"/>
        <w:jc w:val="both"/>
        <w:rPr>
          <w:rFonts w:ascii="Verdana" w:hAnsi="Verdana" w:cs="Arial"/>
          <w:sz w:val="16"/>
          <w:szCs w:val="16"/>
        </w:rPr>
      </w:pPr>
      <w:r w:rsidRPr="00F041E2">
        <w:rPr>
          <w:rFonts w:ascii="Verdana" w:hAnsi="Verdana" w:cs="Arial"/>
          <w:sz w:val="16"/>
          <w:szCs w:val="16"/>
        </w:rPr>
        <w:t xml:space="preserve"> </w:t>
      </w:r>
      <w:r w:rsidRPr="00F041E2">
        <w:rPr>
          <w:rFonts w:ascii="Verdana" w:hAnsi="Verdana" w:cs="Arial"/>
          <w:sz w:val="16"/>
          <w:szCs w:val="16"/>
        </w:rPr>
        <w:tab/>
        <w:t xml:space="preserve">2. Valor de ventas brutas anuales. </w:t>
      </w:r>
    </w:p>
    <w:p w14:paraId="145D534D" w14:textId="77777777" w:rsidR="00003535" w:rsidRPr="00F041E2" w:rsidRDefault="00003535" w:rsidP="00003535">
      <w:pPr>
        <w:pStyle w:val="Textonotapie"/>
        <w:spacing w:before="120" w:after="120"/>
        <w:ind w:firstLine="708"/>
        <w:jc w:val="both"/>
        <w:rPr>
          <w:rFonts w:ascii="Verdana" w:hAnsi="Verdana" w:cs="Arial"/>
          <w:sz w:val="16"/>
          <w:szCs w:val="16"/>
        </w:rPr>
      </w:pPr>
      <w:r w:rsidRPr="00F041E2">
        <w:rPr>
          <w:rFonts w:ascii="Verdana" w:hAnsi="Verdana" w:cs="Arial"/>
          <w:sz w:val="16"/>
          <w:szCs w:val="16"/>
        </w:rPr>
        <w:t xml:space="preserve"> 3. Valor activos totales. </w:t>
      </w:r>
    </w:p>
    <w:p w14:paraId="5B517CE0" w14:textId="77777777" w:rsidR="00003535" w:rsidRPr="00F041E2" w:rsidRDefault="00003535" w:rsidP="00003535">
      <w:pPr>
        <w:pStyle w:val="Textonotapie"/>
        <w:spacing w:before="120" w:after="120"/>
        <w:ind w:firstLine="708"/>
        <w:jc w:val="both"/>
        <w:rPr>
          <w:rFonts w:ascii="Verdana" w:hAnsi="Verdana" w:cs="Arial"/>
          <w:sz w:val="16"/>
          <w:szCs w:val="16"/>
        </w:rPr>
      </w:pPr>
      <w:r w:rsidRPr="00F041E2">
        <w:rPr>
          <w:rFonts w:ascii="Verdana" w:hAnsi="Verdana" w:cs="Arial"/>
          <w:sz w:val="16"/>
          <w:szCs w:val="16"/>
        </w:rPr>
        <w:t xml:space="preserve">Para efectos de los beneficios otorgados por el Gobierno nacional a las micro, pequeñas y medianas empresas el criterio determinante será el valor de ventas brutas anuales. </w:t>
      </w:r>
    </w:p>
    <w:p w14:paraId="60308E4A" w14:textId="77777777" w:rsidR="00003535" w:rsidRPr="00F041E2" w:rsidRDefault="00003535" w:rsidP="00003535">
      <w:pPr>
        <w:pStyle w:val="Textonotapie"/>
        <w:spacing w:before="120" w:after="120"/>
        <w:ind w:firstLine="708"/>
        <w:jc w:val="both"/>
        <w:rPr>
          <w:rFonts w:ascii="Verdana" w:hAnsi="Verdana" w:cs="Arial"/>
          <w:sz w:val="16"/>
          <w:szCs w:val="16"/>
        </w:rPr>
      </w:pPr>
      <w:r w:rsidRPr="00F041E2">
        <w:rPr>
          <w:rFonts w:ascii="Verdana" w:hAnsi="Verdana" w:cs="Arial"/>
          <w:sz w:val="16"/>
          <w:szCs w:val="16"/>
        </w:rPr>
        <w:t xml:space="preserve">Parágrafo 1°. El Gobierno Nacional reglamentará los rangos que aplicarán para los tres criterios e incluirá especificidades sectoriales en los casos que considere necesario. </w:t>
      </w:r>
    </w:p>
    <w:p w14:paraId="41CFA2D2" w14:textId="77777777" w:rsidR="00003535" w:rsidRPr="00F041E2" w:rsidRDefault="00003535" w:rsidP="00003535">
      <w:pPr>
        <w:pStyle w:val="Textonotapie"/>
        <w:spacing w:before="120" w:after="120"/>
        <w:ind w:firstLine="708"/>
        <w:jc w:val="both"/>
        <w:rPr>
          <w:rFonts w:ascii="Verdana" w:hAnsi="Verdana" w:cs="Arial"/>
          <w:sz w:val="16"/>
          <w:szCs w:val="16"/>
          <w:lang w:val="es-CO"/>
        </w:rPr>
      </w:pPr>
      <w:r w:rsidRPr="00F041E2">
        <w:rPr>
          <w:rFonts w:ascii="Verdana" w:hAnsi="Verdana" w:cs="Arial"/>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4">
    <w:p w14:paraId="55A62861"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footnote>
  <w:footnote w:id="5">
    <w:p w14:paraId="62680620"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4BBFE140" w14:textId="77777777" w:rsidR="00003535" w:rsidRPr="00F041E2" w:rsidRDefault="00003535" w:rsidP="00003535">
      <w:pPr>
        <w:pStyle w:val="Textonotapie"/>
        <w:spacing w:before="120" w:after="120"/>
        <w:ind w:firstLine="709"/>
        <w:jc w:val="both"/>
        <w:rPr>
          <w:rFonts w:ascii="Verdana" w:hAnsi="Verdana" w:cs="Arial"/>
          <w:color w:val="000000" w:themeColor="text1"/>
          <w:sz w:val="16"/>
          <w:szCs w:val="16"/>
        </w:rPr>
      </w:pPr>
      <w:r w:rsidRPr="00F041E2">
        <w:rPr>
          <w:rFonts w:ascii="Verdana" w:hAnsi="Verdana" w:cs="Arial"/>
          <w:color w:val="000000" w:themeColor="text1"/>
          <w:sz w:val="16"/>
          <w:szCs w:val="16"/>
        </w:rPr>
        <w:t>La ausencia de lucro es una de sus características fundamentales, lo cual significa que no existe el reparto de utilidades o remanentes generados en el desarrollo de sus objetivos, ni es viable el reembolso de los bienes o dineros aportados a la entidad […]”.</w:t>
      </w:r>
    </w:p>
    <w:p w14:paraId="1B31361C"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p>
  </w:footnote>
  <w:footnote w:id="6">
    <w:p w14:paraId="49F58C30"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Corte Constitucional. Sentencia C-287 de 2012. M.P. María Victoria Calle.</w:t>
      </w:r>
    </w:p>
    <w:p w14:paraId="6C0FFA3B"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p>
  </w:footnote>
  <w:footnote w:id="7">
    <w:p w14:paraId="3BFF9FBF"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Consejo de Estado, Sección Cuarta. Providencia del 26 de octubre de 2009. Exp. No. 25000-23-27-000-2007-00160-01(17200). M.P. Martha Teresa Briceño de Valencia.</w:t>
      </w:r>
    </w:p>
  </w:footnote>
  <w:footnote w:id="8">
    <w:p w14:paraId="58A03508" w14:textId="77777777" w:rsidR="00003535" w:rsidRPr="00F041E2" w:rsidRDefault="00003535" w:rsidP="00003535">
      <w:pPr>
        <w:pStyle w:val="Textonotapie"/>
        <w:spacing w:after="120"/>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Cámara de Comercio de Bogotá, “ABC DE ESALES”. Bogotá. 2013. Disponible en este link: </w:t>
      </w:r>
      <w:hyperlink r:id="rId1" w:history="1">
        <w:r w:rsidRPr="00F041E2">
          <w:rPr>
            <w:rStyle w:val="Hipervnculo"/>
            <w:rFonts w:ascii="Verdana" w:hAnsi="Verdana" w:cs="Arial"/>
            <w:color w:val="000000" w:themeColor="text1"/>
            <w:sz w:val="16"/>
            <w:szCs w:val="16"/>
          </w:rPr>
          <w:t>https://bibliotecadigital.ccb.org.co/bitstream/handle/11520/8346/el%20abc%20de%20esales%202013%20completo.pdf?sequence=1&amp;isAllowed=y</w:t>
        </w:r>
      </w:hyperlink>
      <w:r w:rsidRPr="00F041E2">
        <w:rPr>
          <w:rFonts w:ascii="Verdana" w:hAnsi="Verdana" w:cs="Arial"/>
          <w:color w:val="000000" w:themeColor="text1"/>
          <w:sz w:val="16"/>
          <w:szCs w:val="16"/>
        </w:rPr>
        <w:t xml:space="preserve">. </w:t>
      </w:r>
    </w:p>
  </w:footnote>
  <w:footnote w:id="9">
    <w:p w14:paraId="151F5B29" w14:textId="77777777" w:rsidR="00003535" w:rsidRPr="00F041E2" w:rsidRDefault="00003535" w:rsidP="00003535">
      <w:pPr>
        <w:pStyle w:val="Textonotapie"/>
        <w:spacing w:after="120"/>
        <w:ind w:firstLine="709"/>
        <w:jc w:val="both"/>
        <w:rPr>
          <w:rFonts w:ascii="Verdana" w:hAnsi="Verdana" w:cs="Arial"/>
          <w:color w:val="000000" w:themeColor="text1"/>
          <w:sz w:val="16"/>
          <w:szCs w:val="16"/>
          <w:lang w:val="es-CO"/>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Corte Constitucional. Sala Plena. Sentencia C 178 de 29 de abril de 1996. Magistrado Ponente: Antonio Barrera Carbonell. Expediente No. D-974. </w:t>
      </w:r>
    </w:p>
  </w:footnote>
  <w:footnote w:id="10">
    <w:p w14:paraId="6EF8F2E8" w14:textId="77777777" w:rsidR="00003535" w:rsidRPr="00F041E2" w:rsidRDefault="00003535" w:rsidP="00003535">
      <w:pPr>
        <w:spacing w:after="120" w:line="240" w:lineRule="auto"/>
        <w:ind w:firstLine="708"/>
        <w:jc w:val="both"/>
        <w:rPr>
          <w:rFonts w:ascii="Verdana" w:hAnsi="Verdana" w:cs="Arial"/>
          <w:color w:val="000000" w:themeColor="text1"/>
          <w:sz w:val="16"/>
          <w:szCs w:val="16"/>
        </w:rPr>
      </w:pPr>
      <w:r w:rsidRPr="00F041E2">
        <w:rPr>
          <w:rStyle w:val="Refdenotaalpie"/>
          <w:rFonts w:ascii="Verdana" w:hAnsi="Verdana" w:cs="Arial"/>
          <w:color w:val="000000" w:themeColor="text1"/>
          <w:sz w:val="16"/>
          <w:szCs w:val="16"/>
        </w:rPr>
        <w:footnoteRef/>
      </w:r>
      <w:r w:rsidRPr="00F041E2">
        <w:rPr>
          <w:rFonts w:ascii="Verdana" w:hAnsi="Verdana" w:cs="Arial"/>
          <w:color w:val="000000" w:themeColor="text1"/>
          <w:sz w:val="16"/>
          <w:szCs w:val="16"/>
        </w:rPr>
        <w:t xml:space="preserve"> “Artículo 6o. De la capacidad para contratar. Pueden celebrar contratos con las entidades estatales las personas consideradas legalmente capaces en las disposiciones vigentes”.</w:t>
      </w:r>
    </w:p>
    <w:p w14:paraId="5F8BA544" w14:textId="77777777" w:rsidR="00003535" w:rsidRPr="00F041E2" w:rsidRDefault="00003535" w:rsidP="00003535">
      <w:pPr>
        <w:pStyle w:val="Textonotapie"/>
        <w:spacing w:after="120"/>
        <w:ind w:firstLine="709"/>
        <w:jc w:val="both"/>
        <w:rPr>
          <w:rFonts w:ascii="Verdana" w:hAnsi="Verdana" w:cs="Arial"/>
          <w:color w:val="000000" w:themeColor="text1"/>
          <w:sz w:val="16"/>
          <w:szCs w:val="16"/>
        </w:rPr>
      </w:pPr>
    </w:p>
  </w:footnote>
  <w:footnote w:id="11">
    <w:p w14:paraId="0B500CA1" w14:textId="77777777" w:rsidR="00003535" w:rsidRPr="00F041E2" w:rsidRDefault="00003535" w:rsidP="00003535">
      <w:pPr>
        <w:spacing w:after="120" w:line="240" w:lineRule="auto"/>
        <w:ind w:firstLine="709"/>
        <w:jc w:val="both"/>
        <w:rPr>
          <w:rFonts w:ascii="Verdana" w:eastAsia="Times New Roman" w:hAnsi="Verdana" w:cs="Arial"/>
          <w:color w:val="000000"/>
          <w:sz w:val="16"/>
          <w:szCs w:val="16"/>
          <w:lang w:eastAsia="es-ES_tradnl"/>
        </w:rPr>
      </w:pPr>
      <w:r w:rsidRPr="00F041E2">
        <w:rPr>
          <w:rStyle w:val="Refdenotaalpie"/>
          <w:rFonts w:ascii="Verdana" w:hAnsi="Verdana" w:cs="Arial"/>
          <w:sz w:val="16"/>
          <w:szCs w:val="16"/>
        </w:rPr>
        <w:footnoteRef/>
      </w:r>
      <w:r w:rsidRPr="00F041E2">
        <w:rPr>
          <w:rFonts w:ascii="Verdana" w:hAnsi="Verdana" w:cs="Arial"/>
          <w:sz w:val="16"/>
          <w:szCs w:val="16"/>
        </w:rPr>
        <w:t xml:space="preserve"> </w:t>
      </w:r>
      <w:r w:rsidRPr="00F041E2">
        <w:rPr>
          <w:rFonts w:ascii="Verdana" w:hAnsi="Verdana" w:cs="Arial"/>
          <w:color w:val="000000"/>
          <w:sz w:val="16"/>
          <w:szCs w:val="16"/>
          <w:lang w:eastAsia="es-ES_tradnl"/>
        </w:rPr>
        <w:t>Sobre esta norma, consultar los conceptos del 8 de octubre de 2019, con radicado 2201913000007532, y del 20 de diciembre de 2019, cuyo radicado es el No. 4201913000008240. </w:t>
      </w:r>
    </w:p>
  </w:footnote>
  <w:footnote w:id="12">
    <w:p w14:paraId="190137AF" w14:textId="77777777" w:rsidR="00003535" w:rsidRPr="00F041E2" w:rsidRDefault="00003535" w:rsidP="00003535">
      <w:pPr>
        <w:pStyle w:val="paragraph"/>
        <w:spacing w:before="0" w:beforeAutospacing="0" w:after="120" w:afterAutospacing="0"/>
        <w:ind w:firstLine="709"/>
        <w:jc w:val="both"/>
        <w:textAlignment w:val="baseline"/>
        <w:rPr>
          <w:rFonts w:ascii="Verdana" w:hAnsi="Verdana" w:cs="Arial"/>
          <w:sz w:val="16"/>
          <w:szCs w:val="16"/>
          <w:lang w:eastAsia="es-ES_tradnl"/>
        </w:rPr>
      </w:pPr>
      <w:r w:rsidRPr="00F041E2">
        <w:rPr>
          <w:rStyle w:val="Refdenotaalpie"/>
          <w:rFonts w:ascii="Verdana" w:hAnsi="Verdana" w:cs="Arial"/>
          <w:sz w:val="16"/>
          <w:szCs w:val="16"/>
        </w:rPr>
        <w:footnoteRef/>
      </w:r>
      <w:r w:rsidRPr="00F041E2">
        <w:rPr>
          <w:rFonts w:ascii="Verdana" w:hAnsi="Verdana" w:cs="Arial"/>
          <w:sz w:val="16"/>
          <w:szCs w:val="16"/>
        </w:rPr>
        <w:t xml:space="preserve"> </w:t>
      </w:r>
      <w:r w:rsidRPr="00F041E2">
        <w:rPr>
          <w:rFonts w:ascii="Verdana" w:hAnsi="Verdana" w:cs="Arial"/>
          <w:color w:val="000000"/>
          <w:sz w:val="16"/>
          <w:szCs w:val="16"/>
          <w:lang w:val="es-MX"/>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F041E2">
        <w:rPr>
          <w:rFonts w:ascii="Verdana" w:hAnsi="Verdana" w:cs="Arial"/>
          <w:color w:val="000000"/>
          <w:sz w:val="16"/>
          <w:szCs w:val="16"/>
        </w:rPr>
        <w:t> </w:t>
      </w:r>
    </w:p>
    <w:p w14:paraId="5EC1FB15" w14:textId="77777777" w:rsidR="00003535" w:rsidRPr="00F041E2" w:rsidRDefault="00003535" w:rsidP="00003535">
      <w:pPr>
        <w:spacing w:after="120" w:line="240" w:lineRule="auto"/>
        <w:ind w:firstLine="709"/>
        <w:jc w:val="both"/>
        <w:textAlignment w:val="baseline"/>
        <w:rPr>
          <w:rFonts w:ascii="Verdana" w:hAnsi="Verdana" w:cs="Arial"/>
          <w:color w:val="000000"/>
          <w:sz w:val="16"/>
          <w:szCs w:val="16"/>
          <w:lang w:eastAsia="es-ES_tradnl"/>
        </w:rPr>
      </w:pPr>
    </w:p>
    <w:p w14:paraId="52CA2B8B" w14:textId="77777777" w:rsidR="00003535" w:rsidRPr="00F041E2" w:rsidRDefault="00003535" w:rsidP="00003535">
      <w:pPr>
        <w:spacing w:after="120" w:line="240" w:lineRule="auto"/>
        <w:ind w:firstLine="709"/>
        <w:jc w:val="both"/>
        <w:textAlignment w:val="baseline"/>
        <w:rPr>
          <w:rFonts w:ascii="Verdana" w:hAnsi="Verdana" w:cs="Arial"/>
          <w:color w:val="000000"/>
          <w:sz w:val="16"/>
          <w:szCs w:val="16"/>
          <w:lang w:eastAsia="es-ES_tradnl"/>
        </w:rPr>
      </w:pPr>
      <w:r w:rsidRPr="00F041E2">
        <w:rPr>
          <w:rFonts w:ascii="Verdana" w:hAnsi="Verdana" w:cs="Arial"/>
          <w:color w:val="000000"/>
          <w:sz w:val="16"/>
          <w:szCs w:val="16"/>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0F5684F" w14:textId="77777777" w:rsidR="00003535" w:rsidRPr="00F041E2" w:rsidRDefault="00003535" w:rsidP="00003535">
      <w:pPr>
        <w:spacing w:after="120" w:line="240" w:lineRule="auto"/>
        <w:ind w:firstLine="709"/>
        <w:jc w:val="both"/>
        <w:textAlignment w:val="baseline"/>
        <w:rPr>
          <w:rFonts w:ascii="Verdana" w:hAnsi="Verdana" w:cs="Arial"/>
          <w:sz w:val="16"/>
          <w:szCs w:val="16"/>
          <w:lang w:eastAsia="es-ES_tradnl"/>
        </w:rPr>
      </w:pPr>
    </w:p>
  </w:footnote>
  <w:footnote w:id="13">
    <w:p w14:paraId="51AF7F5B" w14:textId="77777777" w:rsidR="00003535" w:rsidRPr="00F041E2" w:rsidRDefault="00003535" w:rsidP="00003535">
      <w:pPr>
        <w:pStyle w:val="Textonotapie"/>
        <w:spacing w:after="120"/>
        <w:ind w:firstLine="708"/>
        <w:jc w:val="both"/>
        <w:rPr>
          <w:rFonts w:ascii="Verdana" w:hAnsi="Verdana" w:cs="Arial"/>
          <w:color w:val="000000"/>
          <w:sz w:val="16"/>
          <w:szCs w:val="16"/>
        </w:rPr>
      </w:pPr>
      <w:r w:rsidRPr="00F041E2">
        <w:rPr>
          <w:rStyle w:val="Refdenotaalpie"/>
          <w:rFonts w:ascii="Verdana" w:hAnsi="Verdana" w:cs="Arial"/>
          <w:color w:val="000000"/>
          <w:sz w:val="16"/>
          <w:szCs w:val="16"/>
        </w:rPr>
        <w:footnoteRef/>
      </w:r>
      <w:r w:rsidRPr="00F041E2">
        <w:rPr>
          <w:rFonts w:ascii="Verdana" w:hAnsi="Verdana" w:cs="Arial"/>
          <w:color w:val="000000"/>
          <w:sz w:val="16"/>
          <w:szCs w:val="16"/>
        </w:rPr>
        <w:t xml:space="preserve"> Concepto del 3 de septiembre de 2019, con radicado No. 2201913000006512.</w:t>
      </w:r>
    </w:p>
    <w:p w14:paraId="54B5AC09" w14:textId="77777777" w:rsidR="00003535" w:rsidRPr="00F041E2" w:rsidRDefault="00003535" w:rsidP="00003535">
      <w:pPr>
        <w:pStyle w:val="Textonotapie"/>
        <w:spacing w:after="120"/>
        <w:ind w:firstLine="708"/>
        <w:jc w:val="both"/>
        <w:rPr>
          <w:rFonts w:ascii="Verdana" w:hAnsi="Verdana" w:cs="Arial"/>
          <w:color w:val="000000"/>
          <w:sz w:val="16"/>
          <w:szCs w:val="16"/>
        </w:rPr>
      </w:pPr>
    </w:p>
  </w:footnote>
  <w:footnote w:id="14">
    <w:p w14:paraId="5895B746" w14:textId="77777777" w:rsidR="00003535" w:rsidRPr="00F041E2" w:rsidRDefault="00003535" w:rsidP="00003535">
      <w:pPr>
        <w:pStyle w:val="Textonotapie"/>
        <w:spacing w:after="120"/>
        <w:ind w:firstLine="708"/>
        <w:jc w:val="both"/>
        <w:rPr>
          <w:rFonts w:ascii="Verdana" w:hAnsi="Verdana" w:cs="Arial"/>
          <w:color w:val="000000"/>
          <w:sz w:val="16"/>
          <w:szCs w:val="16"/>
        </w:rPr>
      </w:pPr>
      <w:r w:rsidRPr="00F041E2">
        <w:rPr>
          <w:rStyle w:val="Refdenotaalpie"/>
          <w:rFonts w:ascii="Verdana" w:hAnsi="Verdana" w:cs="Arial"/>
          <w:color w:val="000000"/>
          <w:sz w:val="16"/>
          <w:szCs w:val="16"/>
        </w:rPr>
        <w:footnoteRef/>
      </w:r>
      <w:r w:rsidRPr="00F041E2">
        <w:rPr>
          <w:rFonts w:ascii="Verdana" w:hAnsi="Verdana" w:cs="Arial"/>
          <w:color w:val="000000"/>
          <w:sz w:val="16"/>
          <w:szCs w:val="16"/>
        </w:rPr>
        <w:t xml:space="preserve"> “[…]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2" w:history="1">
        <w:r w:rsidRPr="00F041E2">
          <w:rPr>
            <w:rStyle w:val="Hipervnculo"/>
            <w:rFonts w:ascii="Verdana" w:hAnsi="Verdana" w:cs="Arial"/>
            <w:color w:val="000000"/>
            <w:sz w:val="16"/>
            <w:szCs w:val="16"/>
          </w:rPr>
          <w:t>https://www.colombiacompra.gov.co/manuales-guias-y-pliegos-tipo/manuales-y-guias</w:t>
        </w:r>
      </w:hyperlink>
      <w:r w:rsidRPr="00F041E2">
        <w:rPr>
          <w:rFonts w:ascii="Verdana" w:hAnsi="Verdana" w:cs="Arial"/>
          <w:color w:val="000000"/>
          <w:sz w:val="16"/>
          <w:szCs w:val="16"/>
        </w:rPr>
        <w:t>).</w:t>
      </w:r>
    </w:p>
  </w:footnote>
  <w:footnote w:id="15">
    <w:p w14:paraId="02A4E8C0" w14:textId="77777777" w:rsidR="00003535" w:rsidRPr="00F041E2" w:rsidRDefault="00003535" w:rsidP="00003535">
      <w:pPr>
        <w:pStyle w:val="Textonotapie"/>
        <w:spacing w:after="120"/>
        <w:ind w:firstLine="708"/>
        <w:jc w:val="both"/>
        <w:rPr>
          <w:rFonts w:ascii="Verdana" w:hAnsi="Verdana" w:cs="Arial"/>
          <w:color w:val="000000"/>
          <w:sz w:val="16"/>
          <w:szCs w:val="16"/>
        </w:rPr>
      </w:pPr>
      <w:r w:rsidRPr="00F041E2">
        <w:rPr>
          <w:rStyle w:val="Refdenotaalpie"/>
          <w:rFonts w:ascii="Verdana" w:hAnsi="Verdana" w:cs="Arial"/>
          <w:color w:val="000000"/>
          <w:sz w:val="16"/>
          <w:szCs w:val="16"/>
        </w:rPr>
        <w:footnoteRef/>
      </w:r>
      <w:r w:rsidRPr="00F041E2">
        <w:rPr>
          <w:rFonts w:ascii="Verdana" w:hAnsi="Verdana" w:cs="Arial"/>
          <w:color w:val="000000"/>
          <w:sz w:val="16"/>
          <w:szCs w:val="16"/>
        </w:rPr>
        <w:t xml:space="preserve"> Concepto del 19 de noviembre de 2019, emitido en el radicado No. 2201913000008611.</w:t>
      </w:r>
    </w:p>
    <w:p w14:paraId="0B81CBF2" w14:textId="77777777" w:rsidR="00003535" w:rsidRPr="00F041E2" w:rsidRDefault="00003535" w:rsidP="00003535">
      <w:pPr>
        <w:pStyle w:val="Textonotapie"/>
        <w:spacing w:after="120"/>
        <w:ind w:firstLine="708"/>
        <w:jc w:val="both"/>
        <w:rPr>
          <w:rFonts w:ascii="Verdana" w:hAnsi="Verdana" w:cs="Arial"/>
          <w:color w:val="000000"/>
          <w:sz w:val="16"/>
          <w:szCs w:val="16"/>
          <w:lang w:val="es-ES"/>
        </w:rPr>
      </w:pPr>
    </w:p>
  </w:footnote>
  <w:footnote w:id="16">
    <w:p w14:paraId="0D79AD41" w14:textId="77777777" w:rsidR="00003535" w:rsidRPr="00F041E2" w:rsidRDefault="00003535" w:rsidP="00003535">
      <w:pPr>
        <w:pStyle w:val="Textonotapie"/>
        <w:spacing w:after="120"/>
        <w:ind w:firstLine="708"/>
        <w:jc w:val="both"/>
        <w:rPr>
          <w:rFonts w:ascii="Verdana" w:hAnsi="Verdana"/>
          <w:sz w:val="16"/>
          <w:szCs w:val="16"/>
          <w:lang w:val="es-CO"/>
        </w:rPr>
      </w:pPr>
      <w:r w:rsidRPr="00F041E2">
        <w:rPr>
          <w:rStyle w:val="Refdenotaalpie"/>
          <w:rFonts w:ascii="Verdana" w:hAnsi="Verdana" w:cs="Arial"/>
          <w:sz w:val="16"/>
          <w:szCs w:val="16"/>
        </w:rPr>
        <w:footnoteRef/>
      </w:r>
      <w:r w:rsidRPr="00F041E2">
        <w:rPr>
          <w:rFonts w:ascii="Verdana" w:hAnsi="Verdana" w:cs="Arial"/>
          <w:sz w:val="16"/>
          <w:szCs w:val="16"/>
        </w:rPr>
        <w:t>EXPOSITO VÉLEZ, Juan Carlos. Forma y contenido del contrato estatal. Universidad Externado de Colombia, Bogotá, 2013, 1ra Ed., p.112.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BAFF" w14:textId="77777777" w:rsidR="004F5E95" w:rsidRDefault="00C100D1">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3F7D72F" wp14:editId="7606F293">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394DCB4" wp14:editId="00E39D1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511C95E" w14:textId="77777777" w:rsidR="004F5E95" w:rsidRDefault="004F5E95" w:rsidP="00A211EE">
    <w:pPr>
      <w:pStyle w:val="Encabezado"/>
      <w:jc w:val="center"/>
    </w:pPr>
  </w:p>
  <w:p w14:paraId="3666D0DF" w14:textId="77777777" w:rsidR="004F5E95" w:rsidRDefault="004F5E95">
    <w:pPr>
      <w:pStyle w:val="Encabezado"/>
    </w:pPr>
  </w:p>
  <w:p w14:paraId="2167DDEB" w14:textId="77777777" w:rsidR="004F5E95" w:rsidRDefault="004F5E95" w:rsidP="00A211EE">
    <w:pPr>
      <w:spacing w:after="0"/>
      <w:rPr>
        <w:rFonts w:ascii="Verdana" w:hAnsi="Verdana"/>
        <w:b/>
        <w:bCs/>
        <w:sz w:val="24"/>
        <w:szCs w:val="24"/>
      </w:rPr>
    </w:pPr>
  </w:p>
  <w:p w14:paraId="28B95138" w14:textId="77777777" w:rsidR="004F5E95" w:rsidRDefault="00C100D1" w:rsidP="00A211EE">
    <w:pPr>
      <w:spacing w:after="0"/>
      <w:rPr>
        <w:rFonts w:ascii="Verdana" w:hAnsi="Verdana"/>
        <w:b/>
        <w:bCs/>
        <w:sz w:val="24"/>
        <w:szCs w:val="24"/>
      </w:rPr>
    </w:pPr>
    <w:r w:rsidRPr="00A211EE">
      <w:rPr>
        <w:rFonts w:ascii="Verdana" w:hAnsi="Verdana"/>
        <w:b/>
        <w:bCs/>
        <w:sz w:val="24"/>
        <w:szCs w:val="24"/>
      </w:rPr>
      <w:t>FORMATO PQRSD</w:t>
    </w:r>
  </w:p>
  <w:p w14:paraId="686DAACE" w14:textId="77777777" w:rsidR="004F5E95" w:rsidRPr="00A211EE" w:rsidRDefault="004F5E95"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46E917F8"/>
    <w:multiLevelType w:val="hybridMultilevel"/>
    <w:tmpl w:val="1D9099FA"/>
    <w:lvl w:ilvl="0" w:tplc="4AD89D1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C975AED"/>
    <w:multiLevelType w:val="hybridMultilevel"/>
    <w:tmpl w:val="1BCCBF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71CC6F5F"/>
    <w:multiLevelType w:val="hybridMultilevel"/>
    <w:tmpl w:val="59D2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7A180A"/>
    <w:multiLevelType w:val="hybridMultilevel"/>
    <w:tmpl w:val="7778A548"/>
    <w:lvl w:ilvl="0" w:tplc="080A0001">
      <w:start w:val="1"/>
      <w:numFmt w:val="bullet"/>
      <w:lvlText w:val=""/>
      <w:lvlJc w:val="left"/>
      <w:pPr>
        <w:ind w:left="2300" w:hanging="360"/>
      </w:pPr>
      <w:rPr>
        <w:rFonts w:ascii="Symbol" w:hAnsi="Symbol" w:hint="default"/>
      </w:rPr>
    </w:lvl>
    <w:lvl w:ilvl="1" w:tplc="080A0003" w:tentative="1">
      <w:start w:val="1"/>
      <w:numFmt w:val="bullet"/>
      <w:lvlText w:val="o"/>
      <w:lvlJc w:val="left"/>
      <w:pPr>
        <w:ind w:left="3020" w:hanging="360"/>
      </w:pPr>
      <w:rPr>
        <w:rFonts w:ascii="Courier New" w:hAnsi="Courier New" w:cs="Courier New" w:hint="default"/>
      </w:rPr>
    </w:lvl>
    <w:lvl w:ilvl="2" w:tplc="080A0005" w:tentative="1">
      <w:start w:val="1"/>
      <w:numFmt w:val="bullet"/>
      <w:lvlText w:val=""/>
      <w:lvlJc w:val="left"/>
      <w:pPr>
        <w:ind w:left="3740" w:hanging="360"/>
      </w:pPr>
      <w:rPr>
        <w:rFonts w:ascii="Wingdings" w:hAnsi="Wingdings" w:hint="default"/>
      </w:rPr>
    </w:lvl>
    <w:lvl w:ilvl="3" w:tplc="080A0001" w:tentative="1">
      <w:start w:val="1"/>
      <w:numFmt w:val="bullet"/>
      <w:lvlText w:val=""/>
      <w:lvlJc w:val="left"/>
      <w:pPr>
        <w:ind w:left="4460" w:hanging="360"/>
      </w:pPr>
      <w:rPr>
        <w:rFonts w:ascii="Symbol" w:hAnsi="Symbol" w:hint="default"/>
      </w:rPr>
    </w:lvl>
    <w:lvl w:ilvl="4" w:tplc="080A0003" w:tentative="1">
      <w:start w:val="1"/>
      <w:numFmt w:val="bullet"/>
      <w:lvlText w:val="o"/>
      <w:lvlJc w:val="left"/>
      <w:pPr>
        <w:ind w:left="5180" w:hanging="360"/>
      </w:pPr>
      <w:rPr>
        <w:rFonts w:ascii="Courier New" w:hAnsi="Courier New" w:cs="Courier New" w:hint="default"/>
      </w:rPr>
    </w:lvl>
    <w:lvl w:ilvl="5" w:tplc="080A0005" w:tentative="1">
      <w:start w:val="1"/>
      <w:numFmt w:val="bullet"/>
      <w:lvlText w:val=""/>
      <w:lvlJc w:val="left"/>
      <w:pPr>
        <w:ind w:left="5900" w:hanging="360"/>
      </w:pPr>
      <w:rPr>
        <w:rFonts w:ascii="Wingdings" w:hAnsi="Wingdings" w:hint="default"/>
      </w:rPr>
    </w:lvl>
    <w:lvl w:ilvl="6" w:tplc="080A0001" w:tentative="1">
      <w:start w:val="1"/>
      <w:numFmt w:val="bullet"/>
      <w:lvlText w:val=""/>
      <w:lvlJc w:val="left"/>
      <w:pPr>
        <w:ind w:left="6620" w:hanging="360"/>
      </w:pPr>
      <w:rPr>
        <w:rFonts w:ascii="Symbol" w:hAnsi="Symbol" w:hint="default"/>
      </w:rPr>
    </w:lvl>
    <w:lvl w:ilvl="7" w:tplc="080A0003" w:tentative="1">
      <w:start w:val="1"/>
      <w:numFmt w:val="bullet"/>
      <w:lvlText w:val="o"/>
      <w:lvlJc w:val="left"/>
      <w:pPr>
        <w:ind w:left="7340" w:hanging="360"/>
      </w:pPr>
      <w:rPr>
        <w:rFonts w:ascii="Courier New" w:hAnsi="Courier New" w:cs="Courier New" w:hint="default"/>
      </w:rPr>
    </w:lvl>
    <w:lvl w:ilvl="8" w:tplc="080A0005" w:tentative="1">
      <w:start w:val="1"/>
      <w:numFmt w:val="bullet"/>
      <w:lvlText w:val=""/>
      <w:lvlJc w:val="left"/>
      <w:pPr>
        <w:ind w:left="8060" w:hanging="360"/>
      </w:pPr>
      <w:rPr>
        <w:rFonts w:ascii="Wingdings" w:hAnsi="Wingdings" w:hint="default"/>
      </w:rPr>
    </w:lvl>
  </w:abstractNum>
  <w:num w:numId="1" w16cid:durableId="341274352">
    <w:abstractNumId w:val="0"/>
  </w:num>
  <w:num w:numId="2" w16cid:durableId="784039179">
    <w:abstractNumId w:val="3"/>
  </w:num>
  <w:num w:numId="3" w16cid:durableId="869417340">
    <w:abstractNumId w:val="4"/>
  </w:num>
  <w:num w:numId="4" w16cid:durableId="539317399">
    <w:abstractNumId w:val="2"/>
  </w:num>
  <w:num w:numId="5" w16cid:durableId="64960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6C"/>
    <w:rsid w:val="00003535"/>
    <w:rsid w:val="000C136C"/>
    <w:rsid w:val="000C4B74"/>
    <w:rsid w:val="00171945"/>
    <w:rsid w:val="001A7556"/>
    <w:rsid w:val="002005BE"/>
    <w:rsid w:val="002870A5"/>
    <w:rsid w:val="003660CC"/>
    <w:rsid w:val="003A64FC"/>
    <w:rsid w:val="003B0B19"/>
    <w:rsid w:val="003E6A61"/>
    <w:rsid w:val="0043496D"/>
    <w:rsid w:val="00490059"/>
    <w:rsid w:val="004F5E95"/>
    <w:rsid w:val="005E6FB0"/>
    <w:rsid w:val="006113E1"/>
    <w:rsid w:val="00623C12"/>
    <w:rsid w:val="00912BB9"/>
    <w:rsid w:val="009C2768"/>
    <w:rsid w:val="00A903FA"/>
    <w:rsid w:val="00B92F35"/>
    <w:rsid w:val="00C100D1"/>
    <w:rsid w:val="00CD5416"/>
    <w:rsid w:val="00F04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EE2F"/>
  <w15:chartTrackingRefBased/>
  <w15:docId w15:val="{5CB6553A-614A-204B-96A6-EF4B77C3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6C"/>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1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36C"/>
    <w:rPr>
      <w:kern w:val="0"/>
      <w:sz w:val="22"/>
      <w:szCs w:val="22"/>
      <w14:ligatures w14:val="none"/>
    </w:rPr>
  </w:style>
  <w:style w:type="paragraph" w:styleId="Piedepgina">
    <w:name w:val="footer"/>
    <w:basedOn w:val="Normal"/>
    <w:link w:val="PiedepginaCar"/>
    <w:uiPriority w:val="99"/>
    <w:unhideWhenUsed/>
    <w:rsid w:val="000C1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36C"/>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C136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0C136C"/>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0C136C"/>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C136C"/>
    <w:rPr>
      <w:vertAlign w:val="superscript"/>
    </w:rPr>
  </w:style>
  <w:style w:type="character" w:customStyle="1" w:styleId="normaltextrun">
    <w:name w:val="normaltextrun"/>
    <w:basedOn w:val="Fuentedeprrafopredeter"/>
    <w:rsid w:val="000C136C"/>
  </w:style>
  <w:style w:type="table" w:styleId="Tablaconcuadrcula">
    <w:name w:val="Table Grid"/>
    <w:basedOn w:val="Tablanormal"/>
    <w:uiPriority w:val="39"/>
    <w:qFormat/>
    <w:rsid w:val="000C136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136C"/>
    <w:rPr>
      <w:color w:val="0000FF"/>
      <w:u w:val="single"/>
    </w:rPr>
  </w:style>
  <w:style w:type="paragraph" w:customStyle="1" w:styleId="Appelnotedebasde">
    <w:name w:val="Appel note de bas de..."/>
    <w:basedOn w:val="Normal"/>
    <w:link w:val="Refdenotaalpie"/>
    <w:uiPriority w:val="99"/>
    <w:rsid w:val="000C136C"/>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C136C"/>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C136C"/>
    <w:rPr>
      <w:kern w:val="0"/>
      <w:sz w:val="22"/>
      <w:szCs w:val="22"/>
      <w14:ligatures w14:val="none"/>
    </w:rPr>
  </w:style>
  <w:style w:type="paragraph" w:styleId="NormalWeb">
    <w:name w:val="Normal (Web)"/>
    <w:basedOn w:val="Normal"/>
    <w:link w:val="NormalWebCar"/>
    <w:uiPriority w:val="99"/>
    <w:unhideWhenUsed/>
    <w:rsid w:val="000C13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0C136C"/>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0C136C"/>
    <w:rPr>
      <w:b/>
      <w:bCs/>
    </w:rPr>
  </w:style>
  <w:style w:type="character" w:customStyle="1" w:styleId="vcitation">
    <w:name w:val="vcitation"/>
    <w:basedOn w:val="Fuentedeprrafopredeter"/>
    <w:rsid w:val="000C136C"/>
  </w:style>
  <w:style w:type="paragraph" w:customStyle="1" w:styleId="Default">
    <w:name w:val="Default"/>
    <w:rsid w:val="00F041E2"/>
    <w:pPr>
      <w:autoSpaceDE w:val="0"/>
      <w:autoSpaceDN w:val="0"/>
      <w:adjustRightInd w:val="0"/>
    </w:pPr>
    <w:rPr>
      <w:rFonts w:ascii="Arial" w:hAnsi="Arial" w:cs="Arial"/>
      <w:color w:val="000000"/>
      <w:kern w:val="0"/>
      <w14:ligatures w14:val="none"/>
    </w:rPr>
  </w:style>
  <w:style w:type="paragraph" w:customStyle="1" w:styleId="paragraph">
    <w:name w:val="paragraph"/>
    <w:basedOn w:val="Normal"/>
    <w:rsid w:val="00F041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F04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providencias-consejo-de-estado/"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albamanrique909@gmail.com" TargetMode="External"/><Relationship Id="rId17" Type="http://schemas.openxmlformats.org/officeDocument/2006/relationships/hyperlink" Target="https://www.colombiacompra.gov.co/sites/cce_public/files/cce_documents/cce_guia_es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decreto-092-de-2017/" TargetMode="External"/><Relationship Id="rId20"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normativa/ley-489-de-199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4E502C-B7A9-4091-9772-3758F73BCEA4}">
  <ds:schemaRefs>
    <ds:schemaRef ds:uri="http://schemas.microsoft.com/sharepoint/v3/contenttype/forms"/>
  </ds:schemaRefs>
</ds:datastoreItem>
</file>

<file path=customXml/itemProps2.xml><?xml version="1.0" encoding="utf-8"?>
<ds:datastoreItem xmlns:ds="http://schemas.openxmlformats.org/officeDocument/2006/customXml" ds:itemID="{C4A1A36B-5309-43A5-AF3A-A6DD388E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B8485-2398-8C4E-824B-64B1E75762A7}">
  <ds:schemaRefs>
    <ds:schemaRef ds:uri="http://schemas.openxmlformats.org/officeDocument/2006/bibliography"/>
  </ds:schemaRefs>
</ds:datastoreItem>
</file>

<file path=customXml/itemProps4.xml><?xml version="1.0" encoding="utf-8"?>
<ds:datastoreItem xmlns:ds="http://schemas.openxmlformats.org/officeDocument/2006/customXml" ds:itemID="{016E325D-E7D5-4BDE-8EA7-6EFD8AD32064}">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5128</Words>
  <Characters>28206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2024-09-30T13:14:00Z</dcterms:created>
  <dcterms:modified xsi:type="dcterms:W3CDTF">2024-09-30T13:14:00Z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