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6646" w14:textId="77777777" w:rsidR="008F0048" w:rsidRPr="00D17B0D" w:rsidRDefault="008F0048" w:rsidP="008F0048">
      <w:pPr>
        <w:spacing w:after="0" w:line="240" w:lineRule="auto"/>
        <w:jc w:val="both"/>
        <w:rPr>
          <w:rFonts w:ascii="Verdana" w:eastAsia="Calibri" w:hAnsi="Verdana" w:cs="Arial"/>
          <w:b/>
          <w:bCs/>
          <w:sz w:val="20"/>
          <w:szCs w:val="20"/>
          <w:lang w:val="es-MX"/>
        </w:rPr>
      </w:pPr>
    </w:p>
    <w:p w14:paraId="308251B7" w14:textId="77777777" w:rsidR="008F0048" w:rsidRPr="00D17B0D" w:rsidRDefault="008F0048" w:rsidP="008F0048">
      <w:pPr>
        <w:spacing w:after="0" w:line="240" w:lineRule="auto"/>
        <w:jc w:val="both"/>
        <w:rPr>
          <w:rFonts w:ascii="Verdana" w:eastAsia="Calibri" w:hAnsi="Verdana" w:cs="Arial"/>
          <w:b/>
          <w:bCs/>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Noción</w:t>
      </w:r>
    </w:p>
    <w:p w14:paraId="12859B7F" w14:textId="77777777" w:rsidR="008F0048" w:rsidRPr="00D17B0D" w:rsidRDefault="008F0048" w:rsidP="008F0048">
      <w:pPr>
        <w:spacing w:after="0" w:line="240" w:lineRule="auto"/>
        <w:jc w:val="both"/>
        <w:rPr>
          <w:rFonts w:ascii="Verdana" w:eastAsia="Calibri" w:hAnsi="Verdana" w:cs="Arial"/>
          <w:sz w:val="20"/>
          <w:szCs w:val="20"/>
          <w:highlight w:val="yellow"/>
          <w:lang w:val="es-ES"/>
        </w:rPr>
      </w:pPr>
    </w:p>
    <w:p w14:paraId="2AAB0B97" w14:textId="77777777" w:rsidR="008F0048"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Es importante definir el concepto de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por lo cual la jurisprudencia de la Sección Tercera del Consejo de Estado señala que es aquel que, por un lado, resulta artificioso, disimulado o falso y, por el otro, no tiene sustento o fundamento en relación con su estructuración dentro del tráfico comercial:</w:t>
      </w:r>
    </w:p>
    <w:p w14:paraId="7EE85906" w14:textId="77777777" w:rsidR="008F0048" w:rsidRPr="00D17B0D"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ab/>
      </w:r>
    </w:p>
    <w:p w14:paraId="32AC2BB9" w14:textId="77777777" w:rsidR="008F0048" w:rsidRPr="00D17B0D"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El denominado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2162B4E" w14:textId="77777777" w:rsidR="008F0048" w:rsidRPr="00D17B0D" w:rsidRDefault="008F0048" w:rsidP="008F0048">
      <w:pPr>
        <w:spacing w:after="0" w:line="240" w:lineRule="auto"/>
        <w:jc w:val="both"/>
        <w:rPr>
          <w:rFonts w:ascii="Verdana" w:eastAsia="Calibri" w:hAnsi="Verdana" w:cs="Arial"/>
          <w:sz w:val="20"/>
          <w:szCs w:val="20"/>
          <w:lang w:val="es-ES"/>
        </w:rPr>
      </w:pPr>
    </w:p>
    <w:p w14:paraId="778813AB" w14:textId="77777777" w:rsidR="008F0048" w:rsidRPr="00D17B0D" w:rsidRDefault="008F0048" w:rsidP="008F0048">
      <w:pPr>
        <w:spacing w:after="0" w:line="240" w:lineRule="auto"/>
        <w:jc w:val="both"/>
        <w:rPr>
          <w:rFonts w:ascii="Verdana" w:eastAsia="Calibri" w:hAnsi="Verdana" w:cs="Arial"/>
          <w:b/>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Noción </w:t>
      </w:r>
      <w:r w:rsidRPr="00D17B0D">
        <w:rPr>
          <w:rFonts w:ascii="Verdana" w:eastAsia="Calibri" w:hAnsi="Verdana" w:cs="Arial"/>
          <w:b/>
          <w:lang w:val="es-MX"/>
        </w:rPr>
        <w:t>– Colombia Compra Eficiente</w:t>
      </w:r>
    </w:p>
    <w:p w14:paraId="3A677A23" w14:textId="77777777" w:rsidR="008F0048" w:rsidRPr="00D17B0D" w:rsidRDefault="008F0048" w:rsidP="008F0048">
      <w:pPr>
        <w:spacing w:after="0" w:line="240" w:lineRule="auto"/>
        <w:jc w:val="both"/>
        <w:rPr>
          <w:rFonts w:ascii="Verdana" w:eastAsia="Calibri" w:hAnsi="Verdana" w:cs="Arial"/>
          <w:sz w:val="20"/>
          <w:szCs w:val="20"/>
          <w:highlight w:val="yellow"/>
          <w:lang w:val="es-ES"/>
        </w:rPr>
      </w:pPr>
    </w:p>
    <w:p w14:paraId="2EC563A9" w14:textId="77777777" w:rsidR="008F0048" w:rsidRPr="00D17B0D"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Con la precisión anterior, y para comenzar el análisis de la Guía, allí se establece que una oferta es artificialmente baja cuando </w:t>
      </w:r>
      <w:r>
        <w:rPr>
          <w:rFonts w:ascii="Verdana" w:eastAsia="Calibri" w:hAnsi="Verdana" w:cs="Arial"/>
          <w:sz w:val="20"/>
          <w:szCs w:val="20"/>
          <w:lang w:val="es-ES"/>
        </w:rPr>
        <w:t>“</w:t>
      </w:r>
      <w:r w:rsidRPr="00D17B0D">
        <w:rPr>
          <w:rFonts w:ascii="Verdana" w:eastAsia="Calibri" w:hAnsi="Verdana" w:cs="Arial"/>
          <w:sz w:val="20"/>
          <w:szCs w:val="20"/>
          <w:lang w:val="es-ES"/>
        </w:rPr>
        <w:t>[…] a criterio de la Entidad Estatal, el precio no parece suficiente para garantizar una correcta ejecución del contrato, de acuerdo con la información recogida durante la etapa de planeación y particularmente durante el Estudio del Sector</w:t>
      </w:r>
      <w:r>
        <w:rPr>
          <w:rFonts w:ascii="Verdana" w:eastAsia="Calibri" w:hAnsi="Verdana" w:cs="Arial"/>
          <w:sz w:val="20"/>
          <w:szCs w:val="20"/>
          <w:lang w:val="es-ES"/>
        </w:rPr>
        <w:t xml:space="preserve"> </w:t>
      </w:r>
      <w:r w:rsidRPr="00D17B0D">
        <w:rPr>
          <w:rFonts w:ascii="Verdana" w:eastAsia="Calibri" w:hAnsi="Verdana" w:cs="Arial"/>
          <w:sz w:val="20"/>
          <w:szCs w:val="20"/>
          <w:lang w:val="es-ES"/>
        </w:rPr>
        <w:t>[…]</w:t>
      </w:r>
      <w:r>
        <w:rPr>
          <w:rFonts w:ascii="Verdana" w:eastAsia="Calibri" w:hAnsi="Verdana" w:cs="Arial"/>
          <w:sz w:val="20"/>
          <w:szCs w:val="20"/>
          <w:lang w:val="es-ES"/>
        </w:rPr>
        <w:t>”</w:t>
      </w:r>
      <w:r w:rsidRPr="00D17B0D">
        <w:rPr>
          <w:rFonts w:ascii="Verdana" w:eastAsia="Calibri" w:hAnsi="Verdana" w:cs="Arial"/>
          <w:sz w:val="20"/>
          <w:szCs w:val="20"/>
          <w:lang w:val="es-ES"/>
        </w:rPr>
        <w:t xml:space="preserve">. En este punto, es importante diferenciar las </w:t>
      </w:r>
      <w:r>
        <w:rPr>
          <w:rFonts w:ascii="Verdana" w:eastAsia="Calibri" w:hAnsi="Verdana" w:cs="Arial"/>
          <w:sz w:val="20"/>
          <w:szCs w:val="20"/>
          <w:lang w:val="es-ES"/>
        </w:rPr>
        <w:t>“</w:t>
      </w:r>
      <w:r w:rsidRPr="00D17B0D">
        <w:rPr>
          <w:rFonts w:ascii="Verdana" w:eastAsia="Calibri" w:hAnsi="Verdana" w:cs="Arial"/>
          <w:sz w:val="20"/>
          <w:szCs w:val="20"/>
          <w:lang w:val="es-ES"/>
        </w:rPr>
        <w:t>ofertas artificialmente bajas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y las </w:t>
      </w:r>
      <w:r>
        <w:rPr>
          <w:rFonts w:ascii="Verdana" w:eastAsia="Calibri" w:hAnsi="Verdana" w:cs="Arial"/>
          <w:sz w:val="20"/>
          <w:szCs w:val="20"/>
          <w:lang w:val="es-ES"/>
        </w:rPr>
        <w:t>“</w:t>
      </w:r>
      <w:r w:rsidRPr="00D17B0D">
        <w:rPr>
          <w:rFonts w:ascii="Verdana" w:eastAsia="Calibri" w:hAnsi="Verdana" w:cs="Arial"/>
          <w:sz w:val="20"/>
          <w:szCs w:val="20"/>
          <w:lang w:val="es-ES"/>
        </w:rPr>
        <w:t>ofertas competitivas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entendiendo por estas últimas aquellas </w:t>
      </w:r>
      <w:r>
        <w:rPr>
          <w:rFonts w:ascii="Verdana" w:eastAsia="Calibri" w:hAnsi="Verdana" w:cs="Arial"/>
          <w:sz w:val="20"/>
          <w:szCs w:val="20"/>
          <w:lang w:val="es-ES"/>
        </w:rPr>
        <w:t>“</w:t>
      </w:r>
      <w:r w:rsidRPr="00D17B0D">
        <w:rPr>
          <w:rFonts w:ascii="Verdana" w:eastAsia="Calibri" w:hAnsi="Verdana" w:cs="Arial"/>
          <w:sz w:val="20"/>
          <w:szCs w:val="20"/>
          <w:lang w:val="es-ES"/>
        </w:rPr>
        <w:t>que tienen en su estructura de costos economías de escala o economías de alcance, que permiten generar un bien o un servicio a menor costo que el [del] resto de proveedores en el mercado</w:t>
      </w:r>
      <w:r>
        <w:rPr>
          <w:rFonts w:ascii="Verdana" w:eastAsia="Calibri" w:hAnsi="Verdana" w:cs="Arial"/>
          <w:sz w:val="20"/>
          <w:szCs w:val="20"/>
          <w:lang w:val="es-ES"/>
        </w:rPr>
        <w:t>”</w:t>
      </w:r>
      <w:r w:rsidRPr="00D17B0D">
        <w:rPr>
          <w:rFonts w:ascii="Verdana" w:eastAsia="Calibri" w:hAnsi="Verdana" w:cs="Arial"/>
          <w:sz w:val="20"/>
          <w:szCs w:val="20"/>
          <w:lang w:val="es-ES"/>
        </w:rPr>
        <w:t xml:space="preserve">, según lo establece la Guía mencionada.  </w:t>
      </w:r>
    </w:p>
    <w:p w14:paraId="658D2727" w14:textId="77777777" w:rsidR="008F0048" w:rsidRPr="00D17B0D" w:rsidRDefault="008F0048" w:rsidP="008F0048">
      <w:pPr>
        <w:spacing w:after="0" w:line="240" w:lineRule="auto"/>
        <w:jc w:val="both"/>
        <w:rPr>
          <w:rFonts w:ascii="Verdana" w:eastAsia="Calibri" w:hAnsi="Verdana" w:cs="Arial"/>
          <w:sz w:val="20"/>
          <w:szCs w:val="20"/>
          <w:highlight w:val="yellow"/>
          <w:lang w:val="es-ES"/>
        </w:rPr>
      </w:pPr>
    </w:p>
    <w:p w14:paraId="7323FE6C" w14:textId="77777777" w:rsidR="008F0048" w:rsidRPr="00D17B0D" w:rsidRDefault="008F0048" w:rsidP="008F0048">
      <w:pPr>
        <w:spacing w:after="0" w:line="240" w:lineRule="auto"/>
        <w:jc w:val="both"/>
        <w:rPr>
          <w:rFonts w:ascii="Verdana" w:eastAsia="Calibri" w:hAnsi="Verdana" w:cs="Arial"/>
          <w:b/>
          <w:lang w:val="es-MX"/>
        </w:rPr>
      </w:pPr>
      <w:r w:rsidRPr="00D17B0D">
        <w:rPr>
          <w:rFonts w:ascii="Verdana" w:eastAsia="Calibri" w:hAnsi="Verdana" w:cs="Arial"/>
          <w:b/>
          <w:bCs/>
          <w:lang w:val="es-MX"/>
        </w:rPr>
        <w:t xml:space="preserve">GUÍA PARA EL MANEJO DE OFERTAS ARTIFICIALMENTE BAJAS </w:t>
      </w:r>
      <w:r w:rsidRPr="00D17B0D">
        <w:rPr>
          <w:rFonts w:ascii="Verdana" w:eastAsia="Calibri" w:hAnsi="Verdana" w:cs="Arial"/>
          <w:b/>
          <w:lang w:val="es-MX"/>
        </w:rPr>
        <w:t>– Identificación</w:t>
      </w:r>
    </w:p>
    <w:p w14:paraId="46E46DB8" w14:textId="77777777" w:rsidR="008F0048" w:rsidRPr="00D17B0D" w:rsidRDefault="008F0048" w:rsidP="008F0048">
      <w:pPr>
        <w:spacing w:after="0" w:line="240" w:lineRule="auto"/>
        <w:jc w:val="both"/>
        <w:rPr>
          <w:rFonts w:ascii="Verdana" w:eastAsia="Calibri" w:hAnsi="Verdana" w:cs="Arial"/>
          <w:sz w:val="20"/>
          <w:szCs w:val="20"/>
          <w:highlight w:val="yellow"/>
          <w:lang w:val="es-ES"/>
        </w:rPr>
      </w:pPr>
    </w:p>
    <w:p w14:paraId="445208AE" w14:textId="77777777" w:rsidR="008F0048" w:rsidRPr="00D17B0D"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Con esta información, la Guía propone dos (2) </w:t>
      </w:r>
      <w:r>
        <w:rPr>
          <w:rFonts w:ascii="Verdana" w:eastAsia="Calibri" w:hAnsi="Verdana" w:cs="Arial"/>
          <w:sz w:val="20"/>
          <w:szCs w:val="20"/>
          <w:lang w:val="es-ES"/>
        </w:rPr>
        <w:t>“</w:t>
      </w:r>
      <w:r w:rsidRPr="00D17B0D">
        <w:rPr>
          <w:rFonts w:ascii="Verdana" w:eastAsia="Calibri" w:hAnsi="Verdana" w:cs="Arial"/>
          <w:sz w:val="20"/>
          <w:szCs w:val="20"/>
          <w:lang w:val="es-ES"/>
        </w:rPr>
        <w:t>herramientas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y una (1) </w:t>
      </w:r>
      <w:r>
        <w:rPr>
          <w:rFonts w:ascii="Verdana" w:eastAsia="Calibri" w:hAnsi="Verdana" w:cs="Arial"/>
          <w:sz w:val="20"/>
          <w:szCs w:val="20"/>
          <w:lang w:val="es-ES"/>
        </w:rPr>
        <w:t>“</w:t>
      </w:r>
      <w:r w:rsidRPr="00D17B0D">
        <w:rPr>
          <w:rFonts w:ascii="Verdana" w:eastAsia="Calibri" w:hAnsi="Verdana" w:cs="Arial"/>
          <w:sz w:val="20"/>
          <w:szCs w:val="20"/>
          <w:lang w:val="es-ES"/>
        </w:rPr>
        <w:t>metodología</w:t>
      </w:r>
      <w:r>
        <w:rPr>
          <w:rFonts w:ascii="Verdana" w:eastAsia="Calibri" w:hAnsi="Verdana" w:cs="Arial"/>
          <w:sz w:val="20"/>
          <w:szCs w:val="20"/>
          <w:lang w:val="es-ES"/>
        </w:rPr>
        <w:t>”</w:t>
      </w:r>
      <w:r w:rsidRPr="00D17B0D">
        <w:rPr>
          <w:rFonts w:ascii="Verdana" w:eastAsia="Calibri" w:hAnsi="Verdana" w:cs="Arial"/>
          <w:sz w:val="20"/>
          <w:szCs w:val="20"/>
          <w:lang w:val="es-ES"/>
        </w:rPr>
        <w:t xml:space="preserve">,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w:t>
      </w:r>
      <w:proofErr w:type="gramStart"/>
      <w:r w:rsidRPr="00D17B0D">
        <w:rPr>
          <w:rFonts w:ascii="Verdana" w:eastAsia="Calibri" w:hAnsi="Verdana" w:cs="Arial"/>
          <w:sz w:val="20"/>
          <w:szCs w:val="20"/>
          <w:lang w:val="es-ES"/>
        </w:rPr>
        <w:t>que</w:t>
      </w:r>
      <w:proofErr w:type="gramEnd"/>
      <w:r w:rsidRPr="00D17B0D">
        <w:rPr>
          <w:rFonts w:ascii="Verdana" w:eastAsia="Calibri" w:hAnsi="Verdana" w:cs="Arial"/>
          <w:sz w:val="20"/>
          <w:szCs w:val="20"/>
          <w:lang w:val="es-ES"/>
        </w:rPr>
        <w:t xml:space="preserv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w:t>
      </w:r>
      <w:r>
        <w:rPr>
          <w:rFonts w:ascii="Verdana" w:eastAsia="Calibri" w:hAnsi="Verdana" w:cs="Arial"/>
          <w:sz w:val="20"/>
          <w:szCs w:val="20"/>
          <w:lang w:val="es-ES"/>
        </w:rPr>
        <w:t>“</w:t>
      </w:r>
      <w:r w:rsidRPr="00D17B0D">
        <w:rPr>
          <w:rFonts w:ascii="Verdana" w:eastAsia="Calibri" w:hAnsi="Verdana" w:cs="Arial"/>
          <w:sz w:val="20"/>
          <w:szCs w:val="20"/>
          <w:lang w:val="es-ES"/>
        </w:rPr>
        <w:t>precios artificialmente bajos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sino aquellas con un valor por debajo del 20% o un porcentaje superior, respecto del valor que la entidad definió como precio del bien, obra o servicio.</w:t>
      </w:r>
    </w:p>
    <w:p w14:paraId="1A23D713" w14:textId="77777777" w:rsidR="008F0048" w:rsidRDefault="008F0048" w:rsidP="008F0048">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La segunda herramienta, denominada comparación relativa, corresponde a la </w:t>
      </w:r>
      <w:r>
        <w:rPr>
          <w:rFonts w:ascii="Verdana" w:eastAsia="Calibri" w:hAnsi="Verdana" w:cs="Arial"/>
          <w:sz w:val="20"/>
          <w:szCs w:val="20"/>
          <w:lang w:val="es-ES"/>
        </w:rPr>
        <w:t>“</w:t>
      </w:r>
      <w:r w:rsidRPr="00D17B0D">
        <w:rPr>
          <w:rFonts w:ascii="Verdana" w:eastAsia="Calibri" w:hAnsi="Verdana" w:cs="Arial"/>
          <w:sz w:val="20"/>
          <w:szCs w:val="20"/>
          <w:lang w:val="es-ES"/>
        </w:rPr>
        <w:t>comparación de cada oferta con las demás presentadas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sin que se indique la cantidad de ofertas que debió recibir la entidad, por lo cual nada obsta para aplicarla, </w:t>
      </w:r>
      <w:r w:rsidRPr="00D17B0D">
        <w:rPr>
          <w:rFonts w:ascii="Verdana" w:eastAsia="Calibri" w:hAnsi="Verdana" w:cs="Arial"/>
          <w:sz w:val="20"/>
          <w:szCs w:val="20"/>
          <w:lang w:val="es-ES"/>
        </w:rPr>
        <w:lastRenderedPageBreak/>
        <w:t xml:space="preserve">independientemente del número de ofertas presentadas al procedimiento. […] Por otra parte, Colombia Compra Eficiente ha sugerido aplicar la siguiente metodología con pasos sucesivos, para identificar ofertas que pueden tener </w:t>
      </w:r>
      <w:r>
        <w:rPr>
          <w:rFonts w:ascii="Verdana" w:eastAsia="Calibri" w:hAnsi="Verdana" w:cs="Arial"/>
          <w:sz w:val="20"/>
          <w:szCs w:val="20"/>
          <w:lang w:val="es-ES"/>
        </w:rPr>
        <w:t>“</w:t>
      </w:r>
      <w:r w:rsidRPr="00D17B0D">
        <w:rPr>
          <w:rFonts w:ascii="Verdana" w:eastAsia="Calibri" w:hAnsi="Verdana" w:cs="Arial"/>
          <w:sz w:val="20"/>
          <w:szCs w:val="20"/>
          <w:lang w:val="es-ES"/>
        </w:rPr>
        <w:t>precios artificialmente bajos</w:t>
      </w:r>
      <w:r>
        <w:rPr>
          <w:rFonts w:ascii="Verdana" w:eastAsia="Calibri" w:hAnsi="Verdana" w:cs="Arial"/>
          <w:sz w:val="20"/>
          <w:szCs w:val="20"/>
          <w:lang w:val="es-ES"/>
        </w:rPr>
        <w:t>”</w:t>
      </w:r>
      <w:r w:rsidRPr="00D17B0D">
        <w:rPr>
          <w:rFonts w:ascii="Verdana" w:eastAsia="Calibri" w:hAnsi="Verdana" w:cs="Arial"/>
          <w:sz w:val="20"/>
          <w:szCs w:val="20"/>
          <w:lang w:val="es-ES"/>
        </w:rPr>
        <w:t xml:space="preserve">, en los procedimientos donde hay cinco (5) o más ofertas, es decir, no es posible aplicarla cuando se reciben menos de cinco (5) ofertas: i) tomar el conjunto de ofertas a evaluar, </w:t>
      </w:r>
      <w:proofErr w:type="spellStart"/>
      <w:r w:rsidRPr="00D17B0D">
        <w:rPr>
          <w:rFonts w:ascii="Verdana" w:eastAsia="Calibri" w:hAnsi="Verdana" w:cs="Arial"/>
          <w:sz w:val="20"/>
          <w:szCs w:val="20"/>
          <w:lang w:val="es-ES"/>
        </w:rPr>
        <w:t>ii</w:t>
      </w:r>
      <w:proofErr w:type="spellEnd"/>
      <w:r w:rsidRPr="00D17B0D">
        <w:rPr>
          <w:rFonts w:ascii="Verdana" w:eastAsia="Calibri" w:hAnsi="Verdana" w:cs="Arial"/>
          <w:sz w:val="20"/>
          <w:szCs w:val="20"/>
          <w:lang w:val="es-ES"/>
        </w:rPr>
        <w:t xml:space="preserve">) calcular la mediana, o dependiendo de la dispersión de los datos el promedio, del valor de cada oferta o de cada ítem dentro de la oferta, </w:t>
      </w:r>
      <w:proofErr w:type="spellStart"/>
      <w:r w:rsidRPr="00D17B0D">
        <w:rPr>
          <w:rFonts w:ascii="Verdana" w:eastAsia="Calibri" w:hAnsi="Verdana" w:cs="Arial"/>
          <w:sz w:val="20"/>
          <w:szCs w:val="20"/>
          <w:lang w:val="es-ES"/>
        </w:rPr>
        <w:t>iii</w:t>
      </w:r>
      <w:proofErr w:type="spellEnd"/>
      <w:r w:rsidRPr="00D17B0D">
        <w:rPr>
          <w:rFonts w:ascii="Verdana" w:eastAsia="Calibri" w:hAnsi="Verdana" w:cs="Arial"/>
          <w:sz w:val="20"/>
          <w:szCs w:val="20"/>
          <w:lang w:val="es-ES"/>
        </w:rPr>
        <w:t xml:space="preserve">) calcular la desviación estándar del conjunto y </w:t>
      </w:r>
      <w:proofErr w:type="spellStart"/>
      <w:r w:rsidRPr="00D17B0D">
        <w:rPr>
          <w:rFonts w:ascii="Verdana" w:eastAsia="Calibri" w:hAnsi="Verdana" w:cs="Arial"/>
          <w:sz w:val="20"/>
          <w:szCs w:val="20"/>
          <w:lang w:val="es-ES"/>
        </w:rPr>
        <w:t>iv</w:t>
      </w:r>
      <w:proofErr w:type="spellEnd"/>
      <w:r w:rsidRPr="00D17B0D">
        <w:rPr>
          <w:rFonts w:ascii="Verdana" w:eastAsia="Calibri" w:hAnsi="Verdana" w:cs="Arial"/>
          <w:sz w:val="20"/>
          <w:szCs w:val="20"/>
          <w:lang w:val="es-ES"/>
        </w:rPr>
        <w:t>) determinar el valor mínimo aceptable.</w:t>
      </w:r>
    </w:p>
    <w:p w14:paraId="6BFEC1E6" w14:textId="77777777" w:rsidR="008F0048" w:rsidRPr="00D17B0D" w:rsidRDefault="008F0048" w:rsidP="008F0048">
      <w:pPr>
        <w:spacing w:after="0" w:line="240" w:lineRule="auto"/>
        <w:jc w:val="both"/>
        <w:rPr>
          <w:rFonts w:ascii="Verdana" w:eastAsia="Calibri" w:hAnsi="Verdana" w:cs="Arial"/>
          <w:sz w:val="20"/>
          <w:szCs w:val="20"/>
          <w:lang w:val="es-ES"/>
        </w:rPr>
      </w:pPr>
    </w:p>
    <w:p w14:paraId="27619821" w14:textId="77777777" w:rsidR="008F0048" w:rsidRPr="00D17B0D" w:rsidRDefault="008F0048" w:rsidP="008F0048">
      <w:pPr>
        <w:spacing w:after="0" w:line="240" w:lineRule="auto"/>
        <w:jc w:val="both"/>
        <w:rPr>
          <w:rFonts w:ascii="Verdana" w:eastAsia="Calibri" w:hAnsi="Verdana" w:cs="Arial"/>
          <w:b/>
          <w:lang w:val="es-MX"/>
        </w:rPr>
      </w:pPr>
      <w:r w:rsidRPr="00D17B0D">
        <w:rPr>
          <w:rFonts w:ascii="Verdana" w:eastAsia="Calibri" w:hAnsi="Verdana" w:cs="Arial"/>
          <w:b/>
          <w:bCs/>
          <w:lang w:val="es-MX"/>
        </w:rPr>
        <w:t xml:space="preserve">GUÍA PARA EL MANEJO DE OFERTAS ARTIFICIALMENTE BAJAS </w:t>
      </w:r>
      <w:r w:rsidRPr="00D17B0D">
        <w:rPr>
          <w:rFonts w:ascii="Verdana" w:eastAsia="Calibri" w:hAnsi="Verdana" w:cs="Arial"/>
          <w:b/>
          <w:lang w:val="es-MX"/>
        </w:rPr>
        <w:t>– Manejo</w:t>
      </w:r>
    </w:p>
    <w:p w14:paraId="66160254" w14:textId="77777777" w:rsidR="008F0048" w:rsidRPr="00D17B0D" w:rsidRDefault="008F0048" w:rsidP="008F0048">
      <w:pPr>
        <w:spacing w:after="0" w:line="240" w:lineRule="auto"/>
        <w:jc w:val="both"/>
        <w:rPr>
          <w:rFonts w:ascii="Verdana" w:eastAsia="Calibri" w:hAnsi="Verdana" w:cs="Arial"/>
          <w:sz w:val="20"/>
          <w:szCs w:val="20"/>
          <w:highlight w:val="yellow"/>
          <w:lang w:val="es-ES"/>
        </w:rPr>
      </w:pPr>
    </w:p>
    <w:p w14:paraId="75643045" w14:textId="77777777" w:rsidR="008F0048" w:rsidRPr="00D17B0D" w:rsidRDefault="008F0048" w:rsidP="008F0048">
      <w:pPr>
        <w:spacing w:after="0" w:line="240" w:lineRule="auto"/>
        <w:jc w:val="both"/>
        <w:rPr>
          <w:rFonts w:ascii="Verdana" w:eastAsia="Geomanist Light" w:hAnsi="Verdana" w:cs="Arial"/>
          <w:color w:val="000000" w:themeColor="text1"/>
          <w:lang w:val="es-MX"/>
        </w:rPr>
      </w:pPr>
      <w:r w:rsidRPr="00D17B0D">
        <w:rPr>
          <w:rFonts w:ascii="Verdana" w:eastAsia="Calibri" w:hAnsi="Verdana" w:cs="Arial"/>
          <w:sz w:val="20"/>
          <w:szCs w:val="20"/>
          <w:lang w:val="es-ES"/>
        </w:rPr>
        <w:t xml:space="preserve">Identificadas estas ofertas, la Guía sugiere realizar las siguientes actuaciones, observando lo dispuesto en el artículo 2.2.1.1.2.2.4. del Decreto 1082 de 2015: i) solicitar aclaración a los proponentes que hayan ofertado precios que parecen bajos injustificadamente, </w:t>
      </w:r>
      <w:proofErr w:type="spellStart"/>
      <w:r w:rsidRPr="00D17B0D">
        <w:rPr>
          <w:rFonts w:ascii="Verdana" w:eastAsia="Calibri" w:hAnsi="Verdana" w:cs="Arial"/>
          <w:sz w:val="20"/>
          <w:szCs w:val="20"/>
          <w:lang w:val="es-ES"/>
        </w:rPr>
        <w:t>ii</w:t>
      </w:r>
      <w:proofErr w:type="spellEnd"/>
      <w:r w:rsidRPr="00D17B0D">
        <w:rPr>
          <w:rFonts w:ascii="Verdana" w:eastAsia="Calibri" w:hAnsi="Verdana" w:cs="Arial"/>
          <w:sz w:val="20"/>
          <w:szCs w:val="20"/>
          <w:lang w:val="es-ES"/>
        </w:rPr>
        <w:t xml:space="preserve">) analizar las explicaciones y </w:t>
      </w:r>
      <w:proofErr w:type="spellStart"/>
      <w:r w:rsidRPr="00D17B0D">
        <w:rPr>
          <w:rFonts w:ascii="Verdana" w:eastAsia="Calibri" w:hAnsi="Verdana" w:cs="Arial"/>
          <w:sz w:val="20"/>
          <w:szCs w:val="20"/>
          <w:lang w:val="es-ES"/>
        </w:rPr>
        <w:t>iii</w:t>
      </w:r>
      <w:proofErr w:type="spellEnd"/>
      <w:r w:rsidRPr="00D17B0D">
        <w:rPr>
          <w:rFonts w:ascii="Verdana" w:eastAsia="Calibri" w:hAnsi="Verdana" w:cs="Arial"/>
          <w:sz w:val="20"/>
          <w:szCs w:val="20"/>
          <w:lang w:val="es-ES"/>
        </w:rPr>
        <w:t xml:space="preserve">) decidir </w:t>
      </w:r>
      <w:r>
        <w:rPr>
          <w:rFonts w:ascii="Verdana" w:eastAsia="Calibri" w:hAnsi="Verdana" w:cs="Arial"/>
          <w:sz w:val="20"/>
          <w:szCs w:val="20"/>
          <w:lang w:val="es-ES"/>
        </w:rPr>
        <w:t>“</w:t>
      </w:r>
      <w:r w:rsidRPr="00D17B0D">
        <w:rPr>
          <w:rFonts w:ascii="Verdana" w:eastAsia="Calibri" w:hAnsi="Verdana" w:cs="Arial"/>
          <w:sz w:val="20"/>
          <w:szCs w:val="20"/>
          <w:lang w:val="es-ES"/>
        </w:rPr>
        <w:t>si continúa con la evaluación de la oferta porque la explicación demuestra la habilidad del proponente para cumplir adecuadamente con el contrato con los precios ofrecidos, o rechazar la oferta si la explicación no sustenta los valores ofrecidos</w:t>
      </w:r>
      <w:r>
        <w:rPr>
          <w:rFonts w:ascii="Verdana" w:eastAsia="Calibri" w:hAnsi="Verdana" w:cs="Arial"/>
          <w:sz w:val="20"/>
          <w:szCs w:val="20"/>
          <w:lang w:val="es-ES"/>
        </w:rPr>
        <w:t>”</w:t>
      </w:r>
      <w:r w:rsidRPr="00D17B0D">
        <w:rPr>
          <w:rFonts w:ascii="Verdana" w:eastAsia="Calibri" w:hAnsi="Verdana" w:cs="Arial"/>
          <w:sz w:val="20"/>
          <w:szCs w:val="20"/>
          <w:lang w:val="es-ES"/>
        </w:rPr>
        <w:t>.</w:t>
      </w:r>
    </w:p>
    <w:p w14:paraId="301E0921" w14:textId="77777777" w:rsidR="008F0048" w:rsidRDefault="008F0048" w:rsidP="006E3767">
      <w:pPr>
        <w:spacing w:after="0" w:line="240" w:lineRule="auto"/>
        <w:rPr>
          <w:rFonts w:ascii="Verdana" w:eastAsia="Geomanist Light" w:hAnsi="Verdana" w:cs="Arial"/>
          <w:color w:val="000000" w:themeColor="text1"/>
          <w:lang w:val="es-MX"/>
        </w:rPr>
      </w:pPr>
    </w:p>
    <w:p w14:paraId="3F756CE5" w14:textId="77777777" w:rsidR="008F0048" w:rsidRDefault="008F0048" w:rsidP="006E3767">
      <w:pPr>
        <w:spacing w:after="0" w:line="240" w:lineRule="auto"/>
        <w:rPr>
          <w:rFonts w:ascii="Verdana" w:eastAsia="Geomanist Light" w:hAnsi="Verdana" w:cs="Arial"/>
          <w:color w:val="000000" w:themeColor="text1"/>
          <w:lang w:val="es-MX"/>
        </w:rPr>
      </w:pPr>
    </w:p>
    <w:p w14:paraId="7C75E6AA" w14:textId="77777777" w:rsidR="008F0048" w:rsidRDefault="008F0048" w:rsidP="006E3767">
      <w:pPr>
        <w:spacing w:after="0" w:line="240" w:lineRule="auto"/>
        <w:rPr>
          <w:rFonts w:ascii="Verdana" w:eastAsia="Geomanist Light" w:hAnsi="Verdana" w:cs="Arial"/>
          <w:color w:val="000000" w:themeColor="text1"/>
          <w:lang w:val="es-MX"/>
        </w:rPr>
      </w:pPr>
    </w:p>
    <w:p w14:paraId="0BA6985C" w14:textId="77777777" w:rsidR="008F0048" w:rsidRDefault="008F0048" w:rsidP="006E3767">
      <w:pPr>
        <w:spacing w:after="0" w:line="240" w:lineRule="auto"/>
        <w:rPr>
          <w:rFonts w:ascii="Verdana" w:eastAsia="Geomanist Light" w:hAnsi="Verdana" w:cs="Arial"/>
          <w:color w:val="000000" w:themeColor="text1"/>
          <w:lang w:val="es-MX"/>
        </w:rPr>
      </w:pPr>
    </w:p>
    <w:p w14:paraId="71A2A60A" w14:textId="77777777" w:rsidR="008F0048" w:rsidRDefault="008F0048" w:rsidP="006E3767">
      <w:pPr>
        <w:spacing w:after="0" w:line="240" w:lineRule="auto"/>
        <w:rPr>
          <w:rFonts w:ascii="Verdana" w:eastAsia="Geomanist Light" w:hAnsi="Verdana" w:cs="Arial"/>
          <w:color w:val="000000" w:themeColor="text1"/>
          <w:lang w:val="es-MX"/>
        </w:rPr>
      </w:pPr>
    </w:p>
    <w:p w14:paraId="3A546188" w14:textId="77777777" w:rsidR="008F0048" w:rsidRDefault="008F0048" w:rsidP="006E3767">
      <w:pPr>
        <w:spacing w:after="0" w:line="240" w:lineRule="auto"/>
        <w:rPr>
          <w:rFonts w:ascii="Verdana" w:eastAsia="Geomanist Light" w:hAnsi="Verdana" w:cs="Arial"/>
          <w:color w:val="000000" w:themeColor="text1"/>
          <w:lang w:val="es-MX"/>
        </w:rPr>
      </w:pPr>
    </w:p>
    <w:p w14:paraId="5ABC8696" w14:textId="77777777" w:rsidR="008F0048" w:rsidRDefault="008F0048" w:rsidP="006E3767">
      <w:pPr>
        <w:spacing w:after="0" w:line="240" w:lineRule="auto"/>
        <w:rPr>
          <w:rFonts w:ascii="Verdana" w:eastAsia="Geomanist Light" w:hAnsi="Verdana" w:cs="Arial"/>
          <w:color w:val="000000" w:themeColor="text1"/>
          <w:lang w:val="es-MX"/>
        </w:rPr>
      </w:pPr>
    </w:p>
    <w:p w14:paraId="1C3AA9FA" w14:textId="77777777" w:rsidR="008F0048" w:rsidRDefault="008F0048" w:rsidP="006E3767">
      <w:pPr>
        <w:spacing w:after="0" w:line="240" w:lineRule="auto"/>
        <w:rPr>
          <w:rFonts w:ascii="Verdana" w:eastAsia="Geomanist Light" w:hAnsi="Verdana" w:cs="Arial"/>
          <w:color w:val="000000" w:themeColor="text1"/>
          <w:lang w:val="es-MX"/>
        </w:rPr>
      </w:pPr>
    </w:p>
    <w:p w14:paraId="7F5B3D07" w14:textId="77777777" w:rsidR="008F0048" w:rsidRDefault="008F0048" w:rsidP="006E3767">
      <w:pPr>
        <w:spacing w:after="0" w:line="240" w:lineRule="auto"/>
        <w:rPr>
          <w:rFonts w:ascii="Verdana" w:eastAsia="Geomanist Light" w:hAnsi="Verdana" w:cs="Arial"/>
          <w:color w:val="000000" w:themeColor="text1"/>
          <w:lang w:val="es-MX"/>
        </w:rPr>
      </w:pPr>
    </w:p>
    <w:p w14:paraId="60A9A9B9" w14:textId="77777777" w:rsidR="008F0048" w:rsidRDefault="008F0048" w:rsidP="006E3767">
      <w:pPr>
        <w:spacing w:after="0" w:line="240" w:lineRule="auto"/>
        <w:rPr>
          <w:rFonts w:ascii="Verdana" w:eastAsia="Geomanist Light" w:hAnsi="Verdana" w:cs="Arial"/>
          <w:color w:val="000000" w:themeColor="text1"/>
          <w:lang w:val="es-MX"/>
        </w:rPr>
      </w:pPr>
    </w:p>
    <w:p w14:paraId="40502B3A" w14:textId="77777777" w:rsidR="008F0048" w:rsidRDefault="008F0048" w:rsidP="006E3767">
      <w:pPr>
        <w:spacing w:after="0" w:line="240" w:lineRule="auto"/>
        <w:rPr>
          <w:rFonts w:ascii="Verdana" w:eastAsia="Geomanist Light" w:hAnsi="Verdana" w:cs="Arial"/>
          <w:color w:val="000000" w:themeColor="text1"/>
          <w:lang w:val="es-MX"/>
        </w:rPr>
      </w:pPr>
    </w:p>
    <w:p w14:paraId="64EB26F3" w14:textId="77777777" w:rsidR="008F0048" w:rsidRDefault="008F0048" w:rsidP="006E3767">
      <w:pPr>
        <w:spacing w:after="0" w:line="240" w:lineRule="auto"/>
        <w:rPr>
          <w:rFonts w:ascii="Verdana" w:eastAsia="Geomanist Light" w:hAnsi="Verdana" w:cs="Arial"/>
          <w:color w:val="000000" w:themeColor="text1"/>
          <w:lang w:val="es-MX"/>
        </w:rPr>
      </w:pPr>
    </w:p>
    <w:p w14:paraId="7F2AEA24" w14:textId="77777777" w:rsidR="008F0048" w:rsidRDefault="008F0048" w:rsidP="006E3767">
      <w:pPr>
        <w:spacing w:after="0" w:line="240" w:lineRule="auto"/>
        <w:rPr>
          <w:rFonts w:ascii="Verdana" w:eastAsia="Geomanist Light" w:hAnsi="Verdana" w:cs="Arial"/>
          <w:color w:val="000000" w:themeColor="text1"/>
          <w:lang w:val="es-MX"/>
        </w:rPr>
      </w:pPr>
    </w:p>
    <w:p w14:paraId="4B34CFF0" w14:textId="77777777" w:rsidR="008F0048" w:rsidRDefault="008F0048" w:rsidP="006E3767">
      <w:pPr>
        <w:spacing w:after="0" w:line="240" w:lineRule="auto"/>
        <w:rPr>
          <w:rFonts w:ascii="Verdana" w:eastAsia="Geomanist Light" w:hAnsi="Verdana" w:cs="Arial"/>
          <w:color w:val="000000" w:themeColor="text1"/>
          <w:lang w:val="es-MX"/>
        </w:rPr>
      </w:pPr>
    </w:p>
    <w:p w14:paraId="34F3F3E6" w14:textId="77777777" w:rsidR="008F0048" w:rsidRDefault="008F0048" w:rsidP="006E3767">
      <w:pPr>
        <w:spacing w:after="0" w:line="240" w:lineRule="auto"/>
        <w:rPr>
          <w:rFonts w:ascii="Verdana" w:eastAsia="Geomanist Light" w:hAnsi="Verdana" w:cs="Arial"/>
          <w:color w:val="000000" w:themeColor="text1"/>
          <w:lang w:val="es-MX"/>
        </w:rPr>
      </w:pPr>
    </w:p>
    <w:p w14:paraId="78B9B519" w14:textId="77777777" w:rsidR="008F0048" w:rsidRDefault="008F0048" w:rsidP="006E3767">
      <w:pPr>
        <w:spacing w:after="0" w:line="240" w:lineRule="auto"/>
        <w:rPr>
          <w:rFonts w:ascii="Verdana" w:eastAsia="Geomanist Light" w:hAnsi="Verdana" w:cs="Arial"/>
          <w:color w:val="000000" w:themeColor="text1"/>
          <w:lang w:val="es-MX"/>
        </w:rPr>
      </w:pPr>
    </w:p>
    <w:p w14:paraId="5AF76DB3" w14:textId="77777777" w:rsidR="008F0048" w:rsidRDefault="008F0048" w:rsidP="006E3767">
      <w:pPr>
        <w:spacing w:after="0" w:line="240" w:lineRule="auto"/>
        <w:rPr>
          <w:rFonts w:ascii="Verdana" w:eastAsia="Geomanist Light" w:hAnsi="Verdana" w:cs="Arial"/>
          <w:color w:val="000000" w:themeColor="text1"/>
          <w:lang w:val="es-MX"/>
        </w:rPr>
      </w:pPr>
    </w:p>
    <w:p w14:paraId="4A04E2FB" w14:textId="77777777" w:rsidR="008F0048" w:rsidRDefault="008F0048" w:rsidP="006E3767">
      <w:pPr>
        <w:spacing w:after="0" w:line="240" w:lineRule="auto"/>
        <w:rPr>
          <w:rFonts w:ascii="Verdana" w:eastAsia="Geomanist Light" w:hAnsi="Verdana" w:cs="Arial"/>
          <w:color w:val="000000" w:themeColor="text1"/>
          <w:lang w:val="es-MX"/>
        </w:rPr>
      </w:pPr>
    </w:p>
    <w:p w14:paraId="4F9A11EA" w14:textId="77777777" w:rsidR="008F0048" w:rsidRDefault="008F0048" w:rsidP="006E3767">
      <w:pPr>
        <w:spacing w:after="0" w:line="240" w:lineRule="auto"/>
        <w:rPr>
          <w:rFonts w:ascii="Verdana" w:eastAsia="Geomanist Light" w:hAnsi="Verdana" w:cs="Arial"/>
          <w:color w:val="000000" w:themeColor="text1"/>
          <w:lang w:val="es-MX"/>
        </w:rPr>
      </w:pPr>
    </w:p>
    <w:p w14:paraId="04E71C3E" w14:textId="77777777" w:rsidR="008F0048" w:rsidRDefault="008F0048" w:rsidP="006E3767">
      <w:pPr>
        <w:spacing w:after="0" w:line="240" w:lineRule="auto"/>
        <w:rPr>
          <w:rFonts w:ascii="Verdana" w:eastAsia="Geomanist Light" w:hAnsi="Verdana" w:cs="Arial"/>
          <w:color w:val="000000" w:themeColor="text1"/>
          <w:lang w:val="es-MX"/>
        </w:rPr>
      </w:pPr>
    </w:p>
    <w:p w14:paraId="12523A03" w14:textId="77777777" w:rsidR="008F0048" w:rsidRDefault="008F0048" w:rsidP="006E3767">
      <w:pPr>
        <w:spacing w:after="0" w:line="240" w:lineRule="auto"/>
        <w:rPr>
          <w:rFonts w:ascii="Verdana" w:eastAsia="Geomanist Light" w:hAnsi="Verdana" w:cs="Arial"/>
          <w:color w:val="000000" w:themeColor="text1"/>
          <w:lang w:val="es-MX"/>
        </w:rPr>
      </w:pPr>
    </w:p>
    <w:p w14:paraId="4161B3AA" w14:textId="77777777" w:rsidR="008F0048" w:rsidRDefault="008F0048" w:rsidP="006E3767">
      <w:pPr>
        <w:spacing w:after="0" w:line="240" w:lineRule="auto"/>
        <w:rPr>
          <w:rFonts w:ascii="Verdana" w:eastAsia="Geomanist Light" w:hAnsi="Verdana" w:cs="Arial"/>
          <w:color w:val="000000" w:themeColor="text1"/>
          <w:lang w:val="es-MX"/>
        </w:rPr>
      </w:pPr>
    </w:p>
    <w:p w14:paraId="2D01E876" w14:textId="77777777" w:rsidR="008F0048" w:rsidRDefault="008F0048" w:rsidP="006E3767">
      <w:pPr>
        <w:spacing w:after="0" w:line="240" w:lineRule="auto"/>
        <w:rPr>
          <w:rFonts w:ascii="Verdana" w:eastAsia="Geomanist Light" w:hAnsi="Verdana" w:cs="Arial"/>
          <w:color w:val="000000" w:themeColor="text1"/>
          <w:lang w:val="es-MX"/>
        </w:rPr>
      </w:pPr>
    </w:p>
    <w:p w14:paraId="5264D660" w14:textId="77777777" w:rsidR="008F0048" w:rsidRDefault="008F0048" w:rsidP="006E3767">
      <w:pPr>
        <w:spacing w:after="0" w:line="240" w:lineRule="auto"/>
        <w:rPr>
          <w:rFonts w:ascii="Verdana" w:eastAsia="Geomanist Light" w:hAnsi="Verdana" w:cs="Arial"/>
          <w:color w:val="000000" w:themeColor="text1"/>
          <w:lang w:val="es-MX"/>
        </w:rPr>
      </w:pPr>
    </w:p>
    <w:p w14:paraId="4E5DF649" w14:textId="77777777" w:rsidR="008F0048" w:rsidRDefault="008F0048" w:rsidP="006E3767">
      <w:pPr>
        <w:spacing w:after="0" w:line="240" w:lineRule="auto"/>
        <w:rPr>
          <w:rFonts w:ascii="Verdana" w:eastAsia="Geomanist Light" w:hAnsi="Verdana" w:cs="Arial"/>
          <w:color w:val="000000" w:themeColor="text1"/>
          <w:lang w:val="es-MX"/>
        </w:rPr>
      </w:pPr>
    </w:p>
    <w:p w14:paraId="6E04CD30" w14:textId="77777777" w:rsidR="008F0048" w:rsidRDefault="008F0048" w:rsidP="006E3767">
      <w:pPr>
        <w:spacing w:after="0" w:line="240" w:lineRule="auto"/>
        <w:rPr>
          <w:rFonts w:ascii="Verdana" w:eastAsia="Geomanist Light" w:hAnsi="Verdana" w:cs="Arial"/>
          <w:color w:val="000000" w:themeColor="text1"/>
          <w:lang w:val="es-MX"/>
        </w:rPr>
      </w:pPr>
    </w:p>
    <w:p w14:paraId="513E02FB" w14:textId="77777777" w:rsidR="008F0048" w:rsidRDefault="008F0048" w:rsidP="006E3767">
      <w:pPr>
        <w:spacing w:after="0" w:line="240" w:lineRule="auto"/>
        <w:rPr>
          <w:rFonts w:ascii="Verdana" w:eastAsia="Geomanist Light" w:hAnsi="Verdana" w:cs="Arial"/>
          <w:color w:val="000000" w:themeColor="text1"/>
          <w:lang w:val="es-MX"/>
        </w:rPr>
      </w:pPr>
    </w:p>
    <w:p w14:paraId="23CEBA7C" w14:textId="4940AD1D" w:rsidR="006E3767" w:rsidRPr="00593A5F" w:rsidRDefault="006E3767" w:rsidP="006E376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0278C7" w:rsidRPr="000278C7">
        <w:rPr>
          <w:rFonts w:ascii="Verdana" w:eastAsia="Geomanist Light" w:hAnsi="Verdana" w:cs="Arial"/>
          <w:color w:val="201F1E"/>
          <w:lang w:val="es-MX"/>
        </w:rPr>
        <w:t>23 de Agosto de 2024</w:t>
      </w:r>
    </w:p>
    <w:p w14:paraId="4CD4F845" w14:textId="77777777" w:rsidR="006E3767" w:rsidRDefault="006E3767" w:rsidP="006E3767">
      <w:pPr>
        <w:spacing w:after="0" w:line="240" w:lineRule="auto"/>
        <w:jc w:val="both"/>
        <w:rPr>
          <w:rFonts w:ascii="Verdana" w:eastAsia="Calibri" w:hAnsi="Verdana" w:cs="Arial"/>
          <w:color w:val="000000"/>
          <w:lang w:val="es-ES"/>
        </w:rPr>
      </w:pPr>
    </w:p>
    <w:p w14:paraId="4F2BF991" w14:textId="1EC98C62" w:rsidR="000278C7" w:rsidRDefault="000278C7" w:rsidP="000278C7">
      <w:pPr>
        <w:spacing w:after="0" w:line="240" w:lineRule="auto"/>
        <w:jc w:val="right"/>
        <w:rPr>
          <w:rFonts w:ascii="Verdana" w:eastAsia="Calibri" w:hAnsi="Verdana" w:cs="Arial"/>
          <w:color w:val="000000"/>
          <w:lang w:val="es-ES"/>
        </w:rPr>
      </w:pPr>
      <w:r w:rsidRPr="000278C7">
        <w:rPr>
          <w:rFonts w:ascii="Verdana" w:eastAsia="Calibri" w:hAnsi="Verdana" w:cs="Arial"/>
          <w:noProof/>
          <w:color w:val="000000"/>
          <w:lang w:val="es-ES"/>
        </w:rPr>
        <w:drawing>
          <wp:inline distT="0" distB="0" distL="0" distR="0" wp14:anchorId="351B5DCD" wp14:editId="75EA3EE9">
            <wp:extent cx="3238500" cy="901700"/>
            <wp:effectExtent l="0" t="0" r="0" b="0"/>
            <wp:docPr id="1044419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19457" name=""/>
                    <pic:cNvPicPr/>
                  </pic:nvPicPr>
                  <pic:blipFill>
                    <a:blip r:embed="rId11"/>
                    <a:stretch>
                      <a:fillRect/>
                    </a:stretch>
                  </pic:blipFill>
                  <pic:spPr>
                    <a:xfrm>
                      <a:off x="0" y="0"/>
                      <a:ext cx="3238500" cy="901700"/>
                    </a:xfrm>
                    <a:prstGeom prst="rect">
                      <a:avLst/>
                    </a:prstGeom>
                  </pic:spPr>
                </pic:pic>
              </a:graphicData>
            </a:graphic>
          </wp:inline>
        </w:drawing>
      </w:r>
    </w:p>
    <w:p w14:paraId="21454503" w14:textId="77777777" w:rsidR="006E3767" w:rsidRPr="00593A5F" w:rsidRDefault="006E3767" w:rsidP="006E3767">
      <w:pPr>
        <w:spacing w:after="0" w:line="240" w:lineRule="auto"/>
        <w:jc w:val="both"/>
        <w:rPr>
          <w:rFonts w:ascii="Verdana" w:eastAsia="Calibri" w:hAnsi="Verdana" w:cs="Arial"/>
          <w:color w:val="000000"/>
          <w:lang w:val="es-ES"/>
        </w:rPr>
      </w:pPr>
    </w:p>
    <w:p w14:paraId="797544AD" w14:textId="77777777" w:rsidR="006E3767" w:rsidRPr="00B96799" w:rsidRDefault="006E3767" w:rsidP="006E3767">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22D890B8" w14:textId="77777777" w:rsidR="006E3767" w:rsidRDefault="006E3767" w:rsidP="006E3767">
      <w:pPr>
        <w:spacing w:after="0" w:line="240" w:lineRule="auto"/>
        <w:rPr>
          <w:rFonts w:ascii="Verdana" w:eastAsia="Calibri" w:hAnsi="Verdana" w:cs="Arial"/>
          <w:b/>
          <w:lang w:val="es-ES_tradnl" w:eastAsia="es-ES_tradnl"/>
        </w:rPr>
      </w:pPr>
      <w:r w:rsidRPr="0003385F">
        <w:rPr>
          <w:rFonts w:ascii="Verdana" w:eastAsia="Calibri" w:hAnsi="Verdana" w:cs="Arial"/>
          <w:b/>
          <w:lang w:val="es-ES_tradnl" w:eastAsia="es-ES_tradnl"/>
        </w:rPr>
        <w:t xml:space="preserve">Iván Enrique Fernández Pérez </w:t>
      </w:r>
    </w:p>
    <w:p w14:paraId="69349DA9" w14:textId="77777777" w:rsidR="006E3767" w:rsidRPr="00A65452" w:rsidRDefault="00000000" w:rsidP="006E3767">
      <w:pPr>
        <w:spacing w:after="0" w:line="240" w:lineRule="auto"/>
        <w:rPr>
          <w:rFonts w:ascii="Verdana" w:hAnsi="Verdana"/>
        </w:rPr>
      </w:pPr>
      <w:hyperlink r:id="rId12" w:history="1">
        <w:r w:rsidR="006E3767" w:rsidRPr="00A65452">
          <w:rPr>
            <w:rStyle w:val="Hipervnculo"/>
            <w:rFonts w:ascii="Verdana" w:hAnsi="Verdana"/>
          </w:rPr>
          <w:t>contacto@presidencia.gov.co</w:t>
        </w:r>
      </w:hyperlink>
    </w:p>
    <w:p w14:paraId="22914CCA" w14:textId="77777777" w:rsidR="006E3767" w:rsidRDefault="006E3767" w:rsidP="006E3767">
      <w:pPr>
        <w:spacing w:after="0" w:line="240" w:lineRule="auto"/>
        <w:rPr>
          <w:rFonts w:ascii="Verdana" w:eastAsia="Calibri" w:hAnsi="Verdana" w:cs="Arial"/>
          <w:lang w:val="es-ES" w:eastAsia="es-ES"/>
        </w:rPr>
      </w:pPr>
      <w:r w:rsidRPr="0003385F">
        <w:rPr>
          <w:rFonts w:ascii="Verdana" w:eastAsia="Calibri" w:hAnsi="Verdana" w:cs="Arial"/>
          <w:lang w:val="es-ES" w:eastAsia="es-ES"/>
        </w:rPr>
        <w:t>Bogotá D.C.</w:t>
      </w:r>
      <w:r>
        <w:rPr>
          <w:rFonts w:ascii="Verdana" w:eastAsia="Calibri" w:hAnsi="Verdana" w:cs="Arial"/>
          <w:lang w:val="es-ES" w:eastAsia="es-ES"/>
        </w:rPr>
        <w:t xml:space="preserve"> </w:t>
      </w:r>
    </w:p>
    <w:p w14:paraId="3B3BA68B" w14:textId="77777777" w:rsidR="006E3767" w:rsidRPr="00593A5F" w:rsidRDefault="006E3767" w:rsidP="006E3767">
      <w:pPr>
        <w:spacing w:after="0" w:line="240" w:lineRule="auto"/>
        <w:rPr>
          <w:rFonts w:ascii="Verdana" w:eastAsia="Calibri" w:hAnsi="Verdana" w:cs="Arial"/>
          <w:b/>
          <w:bCs/>
          <w:color w:val="000000"/>
          <w:lang w:val="es-ES_tradnl" w:eastAsia="es-ES_tradnl"/>
        </w:rPr>
      </w:pPr>
    </w:p>
    <w:p w14:paraId="7A70EF12" w14:textId="77777777" w:rsidR="006E3767" w:rsidRPr="00593A5F" w:rsidRDefault="006E3767" w:rsidP="006E376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E3767" w:rsidRPr="00593A5F" w14:paraId="3AA6C543" w14:textId="77777777" w:rsidTr="003A62B1">
        <w:trPr>
          <w:trHeight w:val="884"/>
        </w:trPr>
        <w:tc>
          <w:tcPr>
            <w:tcW w:w="2689" w:type="dxa"/>
          </w:tcPr>
          <w:p w14:paraId="599077CE" w14:textId="77777777" w:rsidR="006E3767" w:rsidRPr="00C00976" w:rsidRDefault="006E3767" w:rsidP="003A62B1">
            <w:pPr>
              <w:jc w:val="both"/>
              <w:rPr>
                <w:rFonts w:ascii="Verdana" w:eastAsia="Calibri" w:hAnsi="Verdana" w:cs="Arial"/>
                <w:b/>
                <w:bCs/>
                <w:color w:val="7030A0"/>
                <w:lang w:val="es-ES_tradnl" w:eastAsia="es-ES_tradnl"/>
              </w:rPr>
            </w:pPr>
          </w:p>
        </w:tc>
        <w:tc>
          <w:tcPr>
            <w:tcW w:w="6100" w:type="dxa"/>
          </w:tcPr>
          <w:p w14:paraId="1650F3D4" w14:textId="5992215A" w:rsidR="006E3767" w:rsidRPr="00C00976" w:rsidRDefault="006E3767" w:rsidP="003A62B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775F64">
              <w:rPr>
                <w:rFonts w:ascii="Verdana" w:eastAsia="Calibri" w:hAnsi="Verdana" w:cs="Arial"/>
                <w:b/>
                <w:bCs/>
                <w:lang w:val="es-ES" w:eastAsia="es-ES"/>
              </w:rPr>
              <w:t xml:space="preserve">507 </w:t>
            </w:r>
            <w:r w:rsidRPr="008E6AD9">
              <w:rPr>
                <w:rFonts w:ascii="Verdana" w:eastAsia="Calibri" w:hAnsi="Verdana" w:cs="Arial"/>
                <w:b/>
                <w:bCs/>
                <w:lang w:val="es-ES" w:eastAsia="es-ES"/>
              </w:rPr>
              <w:t>de 2024</w:t>
            </w:r>
          </w:p>
        </w:tc>
      </w:tr>
      <w:tr w:rsidR="006E3767" w:rsidRPr="00593A5F" w14:paraId="16A31E0E" w14:textId="77777777" w:rsidTr="003A62B1">
        <w:trPr>
          <w:trHeight w:val="884"/>
        </w:trPr>
        <w:tc>
          <w:tcPr>
            <w:tcW w:w="2689" w:type="dxa"/>
          </w:tcPr>
          <w:p w14:paraId="2AEA6C7D" w14:textId="77777777" w:rsidR="006E3767" w:rsidRPr="00593A5F" w:rsidRDefault="006E3767" w:rsidP="003A62B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E50C662" w14:textId="77777777" w:rsidR="006E3767" w:rsidRPr="00A7428E" w:rsidRDefault="006E3767" w:rsidP="003A62B1">
            <w:pPr>
              <w:spacing w:line="276" w:lineRule="auto"/>
              <w:jc w:val="both"/>
              <w:rPr>
                <w:rFonts w:ascii="Verdana" w:eastAsia="Calibri" w:hAnsi="Verdana" w:cs="Arial"/>
                <w:lang w:val="es-ES" w:eastAsia="es-ES"/>
              </w:rPr>
            </w:pPr>
            <w:r w:rsidRPr="00A7428E">
              <w:rPr>
                <w:rFonts w:ascii="Verdana" w:eastAsia="Arial" w:hAnsi="Verdana" w:cs="Arial"/>
                <w:lang w:val="es-MX"/>
              </w:rPr>
              <w:t>PRECIOS ARTIFICIALMENTE BAJOS – Noción / PRECIOS ARTIFICIALMENTE BAJOS – Noción – Colombia Compra Eficiente / GUÍA PARA EL MANEJO DE OFERTAS ARTIFICIALMENTE BAJAS – Identificación / GUÍA PARA EL MANEJO DE OFERTAS ARTIFICIALMENTE BAJAS – Manejo</w:t>
            </w:r>
            <w:r w:rsidRPr="00A7428E">
              <w:rPr>
                <w:rFonts w:ascii="Verdana" w:eastAsia="Calibri" w:hAnsi="Verdana" w:cs="Arial"/>
                <w:lang w:val="es-ES" w:eastAsia="es-ES"/>
              </w:rPr>
              <w:t xml:space="preserve">   </w:t>
            </w:r>
          </w:p>
          <w:p w14:paraId="7BD788AC" w14:textId="77777777" w:rsidR="006E3767" w:rsidRPr="00593A5F" w:rsidRDefault="006E3767" w:rsidP="003A62B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6E3767" w:rsidRPr="008E6AD9" w14:paraId="10FF81EB" w14:textId="77777777" w:rsidTr="003A62B1">
        <w:tc>
          <w:tcPr>
            <w:tcW w:w="2689" w:type="dxa"/>
          </w:tcPr>
          <w:p w14:paraId="0AC4C466" w14:textId="77777777" w:rsidR="006E3767" w:rsidRPr="008E6AD9" w:rsidRDefault="006E3767" w:rsidP="003A62B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39AF3135" w14:textId="77777777" w:rsidR="006E3767" w:rsidRPr="008E6AD9" w:rsidRDefault="006E3767" w:rsidP="003A62B1">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634435">
              <w:rPr>
                <w:rFonts w:ascii="Verdana" w:eastAsia="Calibri" w:hAnsi="Verdana" w:cs="Arial"/>
                <w:lang w:val="es-ES_tradnl" w:eastAsia="es-ES_tradnl"/>
              </w:rPr>
              <w:t>P20240822008541</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527C8AC" w14:textId="77777777" w:rsidR="006E3767" w:rsidRPr="00593A5F" w:rsidRDefault="006E3767" w:rsidP="006E3767">
      <w:pPr>
        <w:spacing w:after="0" w:line="240" w:lineRule="auto"/>
        <w:jc w:val="both"/>
        <w:rPr>
          <w:rFonts w:ascii="Verdana" w:eastAsia="Calibri" w:hAnsi="Verdana" w:cs="Arial"/>
          <w:color w:val="000000"/>
          <w:lang w:val="es-ES_tradnl" w:eastAsia="es-ES_tradnl"/>
        </w:rPr>
      </w:pPr>
    </w:p>
    <w:p w14:paraId="524A4015" w14:textId="77777777" w:rsidR="006E3767" w:rsidRPr="00593A5F" w:rsidRDefault="006E3767" w:rsidP="006E3767">
      <w:pPr>
        <w:spacing w:after="0" w:line="240" w:lineRule="auto"/>
        <w:jc w:val="both"/>
        <w:rPr>
          <w:rFonts w:ascii="Verdana" w:eastAsia="Calibri" w:hAnsi="Verdana" w:cs="Arial"/>
          <w:color w:val="000000"/>
          <w:lang w:val="es-ES_tradnl" w:eastAsia="es-ES_tradnl"/>
        </w:rPr>
      </w:pPr>
    </w:p>
    <w:p w14:paraId="0589380E" w14:textId="77777777" w:rsidR="006E3767" w:rsidRPr="008E6AD9" w:rsidRDefault="006E3767" w:rsidP="006E3767">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634435">
        <w:rPr>
          <w:rFonts w:ascii="Verdana" w:eastAsia="Calibri" w:hAnsi="Verdana" w:cs="Arial"/>
          <w:lang w:val="es-ES" w:eastAsia="es-ES"/>
        </w:rPr>
        <w:t>Fernández Pérez</w:t>
      </w:r>
      <w:r w:rsidRPr="008E6AD9">
        <w:rPr>
          <w:rFonts w:ascii="Verdana" w:eastAsia="Calibri" w:hAnsi="Verdana" w:cs="Arial"/>
          <w:lang w:val="es-ES" w:eastAsia="es-ES"/>
        </w:rPr>
        <w:t xml:space="preserve">: </w:t>
      </w:r>
    </w:p>
    <w:p w14:paraId="7C381D11" w14:textId="77777777" w:rsidR="006E3767" w:rsidRDefault="006E3767" w:rsidP="006E3767">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FC006EC" w14:textId="77777777" w:rsidR="006E3767" w:rsidRPr="00593A5F" w:rsidRDefault="006E3767" w:rsidP="006E3767">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22 de agosto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manifiesta que</w:t>
      </w:r>
      <w:r w:rsidRPr="008E6AD9">
        <w:rPr>
          <w:rFonts w:ascii="Verdana" w:eastAsia="Calibri" w:hAnsi="Verdana" w:cs="Arial"/>
          <w:lang w:val="es-ES" w:eastAsia="es-ES"/>
        </w:rPr>
        <w:t xml:space="preserve">: </w:t>
      </w:r>
    </w:p>
    <w:p w14:paraId="54D634DE" w14:textId="77777777" w:rsidR="006E3767" w:rsidRPr="00272A7B" w:rsidRDefault="006E3767" w:rsidP="00946F80">
      <w:pPr>
        <w:pStyle w:val="Prrafodelista"/>
        <w:tabs>
          <w:tab w:val="left" w:pos="142"/>
          <w:tab w:val="left" w:pos="284"/>
        </w:tabs>
        <w:spacing w:after="0" w:line="276" w:lineRule="auto"/>
        <w:ind w:left="0"/>
        <w:jc w:val="both"/>
        <w:rPr>
          <w:rFonts w:ascii="Verdana" w:eastAsia="Century Gothic" w:hAnsi="Verdana" w:cs="Century Gothic"/>
          <w:b/>
          <w:bCs/>
        </w:rPr>
      </w:pPr>
    </w:p>
    <w:p w14:paraId="38B71E23" w14:textId="77777777" w:rsidR="006E3767" w:rsidRPr="00634435" w:rsidRDefault="006E3767" w:rsidP="006E3767">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634435">
        <w:rPr>
          <w:rFonts w:ascii="Verdana" w:eastAsia="Century Gothic" w:hAnsi="Verdana" w:cs="Century Gothic"/>
          <w:sz w:val="21"/>
          <w:szCs w:val="21"/>
          <w:lang w:val="es-ES"/>
        </w:rPr>
        <w:t xml:space="preserve">En el marco de la contratación estatal, se determina que una oferta es artificialmente baja cuando, a criterio de la Entidad Estatal, el precio no parece suficiente para garantizar una correcta ejecución del contrato, </w:t>
      </w:r>
      <w:proofErr w:type="gramStart"/>
      <w:r w:rsidRPr="00634435">
        <w:rPr>
          <w:rFonts w:ascii="Verdana" w:eastAsia="Century Gothic" w:hAnsi="Verdana" w:cs="Century Gothic"/>
          <w:sz w:val="21"/>
          <w:szCs w:val="21"/>
          <w:lang w:val="es-ES"/>
        </w:rPr>
        <w:t>de acuerdo a</w:t>
      </w:r>
      <w:proofErr w:type="gramEnd"/>
      <w:r w:rsidRPr="00634435">
        <w:rPr>
          <w:rFonts w:ascii="Verdana" w:eastAsia="Century Gothic" w:hAnsi="Verdana" w:cs="Century Gothic"/>
          <w:sz w:val="21"/>
          <w:szCs w:val="21"/>
          <w:lang w:val="es-ES"/>
        </w:rPr>
        <w:t xml:space="preserve"> la información recogida durante la etapa de planeación y particularmente durante el Estudio del Sector.</w:t>
      </w:r>
    </w:p>
    <w:p w14:paraId="640BF75C" w14:textId="77777777" w:rsidR="006E3767" w:rsidRPr="00634435" w:rsidRDefault="006E3767" w:rsidP="006E3767">
      <w:pPr>
        <w:spacing w:after="120" w:line="240" w:lineRule="auto"/>
        <w:ind w:left="709" w:right="709"/>
        <w:jc w:val="both"/>
        <w:rPr>
          <w:rFonts w:ascii="Verdana" w:eastAsia="Century Gothic" w:hAnsi="Verdana" w:cs="Century Gothic"/>
          <w:sz w:val="21"/>
          <w:szCs w:val="21"/>
          <w:lang w:val="es-ES"/>
        </w:rPr>
      </w:pPr>
      <w:r w:rsidRPr="00634435">
        <w:rPr>
          <w:rFonts w:ascii="Verdana" w:eastAsia="Century Gothic" w:hAnsi="Verdana" w:cs="Century Gothic"/>
          <w:sz w:val="21"/>
          <w:szCs w:val="21"/>
          <w:lang w:val="es-ES"/>
        </w:rPr>
        <w:lastRenderedPageBreak/>
        <w:t>Al respecto, la entidad se encuentra adelantando un proceso de selección para Contratar la prestación de los servicios de planificación, organización, operación y producción de todas las acciones logísticas necesarias para la atención de los eventos y demás actividades requeridas por el Departamento Administrativo de la Presidencia de la República– DAPRE.</w:t>
      </w:r>
    </w:p>
    <w:p w14:paraId="3A1D6BAC" w14:textId="77777777" w:rsidR="006E3767" w:rsidRPr="00634435" w:rsidRDefault="006E3767" w:rsidP="006E3767">
      <w:pPr>
        <w:spacing w:after="120" w:line="240" w:lineRule="auto"/>
        <w:ind w:left="709" w:right="709"/>
        <w:jc w:val="both"/>
        <w:rPr>
          <w:rFonts w:ascii="Verdana" w:eastAsia="Century Gothic" w:hAnsi="Verdana" w:cs="Century Gothic"/>
          <w:sz w:val="21"/>
          <w:szCs w:val="21"/>
          <w:lang w:val="es-ES"/>
        </w:rPr>
      </w:pPr>
      <w:r w:rsidRPr="00634435">
        <w:rPr>
          <w:rFonts w:ascii="Verdana" w:eastAsia="Century Gothic" w:hAnsi="Verdana" w:cs="Century Gothic"/>
          <w:sz w:val="21"/>
          <w:szCs w:val="21"/>
          <w:lang w:val="es-ES"/>
        </w:rPr>
        <w:t>En el marco de la verificación de la propuesta económica, se determina en los pliegos la verificación del porcentaje (%) de comisión ofertado por el proponente estableciendo un techo máximo del 6,81%.</w:t>
      </w:r>
    </w:p>
    <w:p w14:paraId="15B88ADE" w14:textId="77777777" w:rsidR="006E3767" w:rsidRPr="00FA0F71" w:rsidRDefault="006E3767" w:rsidP="006E3767">
      <w:pPr>
        <w:spacing w:after="0" w:line="240" w:lineRule="auto"/>
        <w:ind w:left="709" w:right="709"/>
        <w:jc w:val="both"/>
        <w:rPr>
          <w:rFonts w:ascii="Verdana" w:hAnsi="Verdana" w:cs="Arial"/>
          <w:sz w:val="21"/>
          <w:szCs w:val="21"/>
          <w:shd w:val="clear" w:color="auto" w:fill="FFFFFF"/>
          <w:lang w:val="es-ES"/>
        </w:rPr>
      </w:pPr>
      <w:r w:rsidRPr="00634435">
        <w:rPr>
          <w:rFonts w:ascii="Verdana" w:eastAsia="Century Gothic" w:hAnsi="Verdana" w:cs="Century Gothic"/>
          <w:sz w:val="21"/>
          <w:szCs w:val="21"/>
          <w:lang w:val="es-ES"/>
        </w:rPr>
        <w:t>Sobre el particular, de manera atenta consultamos a Colombia Compra Eficiente cuál sería el método de verificación para determinar si una propuesta de comisión del 0,01% constituye o no una situación de precio artificialmente bajo que pueda condicionar e incidir en el resultado de la evaluación y el correspondiente orden de elegibilidad, máxime si este porcentaje afecta la media aritmética baja y excluye a más del 50% de las ofertas habilitadas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63B410E8" w14:textId="77777777" w:rsidR="006E3767" w:rsidRPr="008E6AD9" w:rsidRDefault="006E3767" w:rsidP="00946F80">
      <w:pPr>
        <w:pStyle w:val="Prrafodelista"/>
        <w:tabs>
          <w:tab w:val="left" w:pos="142"/>
          <w:tab w:val="left" w:pos="284"/>
        </w:tabs>
        <w:spacing w:after="0" w:line="276" w:lineRule="auto"/>
        <w:ind w:left="0"/>
        <w:jc w:val="both"/>
        <w:rPr>
          <w:rFonts w:ascii="Verdana" w:eastAsia="Century Gothic" w:hAnsi="Verdana" w:cs="Century Gothic"/>
          <w:b/>
          <w:bCs/>
        </w:rPr>
      </w:pPr>
    </w:p>
    <w:p w14:paraId="0DF97F35" w14:textId="77777777" w:rsidR="006E3767" w:rsidRPr="00A652FF" w:rsidRDefault="006E3767" w:rsidP="006E3767">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791CF73" w14:textId="77777777" w:rsidR="006E3767" w:rsidRDefault="006E3767" w:rsidP="006E3767">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Pr>
          <w:rFonts w:ascii="Verdana" w:eastAsia="Calibri" w:hAnsi="Verdana" w:cs="Arial"/>
          <w:color w:val="000000"/>
          <w:lang w:val="es-ES" w:eastAsia="es-ES"/>
        </w:rPr>
        <w:t>la</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solicitud</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FD03548" w14:textId="77777777" w:rsidR="006E3767" w:rsidRPr="00593A5F" w:rsidRDefault="006E3767" w:rsidP="006E3767">
      <w:pPr>
        <w:spacing w:after="0" w:line="276" w:lineRule="auto"/>
        <w:ind w:firstLine="709"/>
        <w:jc w:val="both"/>
        <w:rPr>
          <w:rFonts w:ascii="Verdana" w:eastAsia="Calibri" w:hAnsi="Verdana" w:cs="Arial"/>
          <w:color w:val="000000"/>
          <w:lang w:val="es-ES" w:eastAsia="es-ES"/>
        </w:rPr>
      </w:pPr>
    </w:p>
    <w:p w14:paraId="21990870" w14:textId="77777777" w:rsidR="006E3767" w:rsidRPr="00593A5F" w:rsidRDefault="006E3767" w:rsidP="006E376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6E57F24" w14:textId="77777777" w:rsidR="006E3767" w:rsidRPr="00593A5F" w:rsidRDefault="006E3767" w:rsidP="006E3767">
      <w:pPr>
        <w:tabs>
          <w:tab w:val="left" w:pos="426"/>
        </w:tabs>
        <w:spacing w:after="0" w:line="276" w:lineRule="auto"/>
        <w:jc w:val="both"/>
        <w:rPr>
          <w:rFonts w:ascii="Verdana" w:eastAsia="Century Gothic" w:hAnsi="Verdana" w:cs="Century Gothic"/>
          <w:lang w:val="es-ES"/>
        </w:rPr>
      </w:pPr>
    </w:p>
    <w:p w14:paraId="2D4B4260" w14:textId="77777777" w:rsidR="006E3767" w:rsidRPr="00593A5F" w:rsidRDefault="006E3767" w:rsidP="006E3767">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¿cuál es la forma para determinar la existencia de </w:t>
      </w:r>
      <w:r>
        <w:rPr>
          <w:rFonts w:ascii="Verdana" w:eastAsia="Century Gothic" w:hAnsi="Verdana" w:cs="Century Gothic"/>
        </w:rPr>
        <w:lastRenderedPageBreak/>
        <w:t xml:space="preserve">propuestas con precios artificialmente bajos en el sistema de compras públicas y qué acciones pueden adoptar las entidades estatales?    </w:t>
      </w:r>
      <w:r w:rsidRPr="00C00976">
        <w:rPr>
          <w:rFonts w:ascii="Verdana" w:eastAsia="Century Gothic" w:hAnsi="Verdana" w:cs="Century Gothic"/>
          <w:color w:val="7030A0"/>
        </w:rPr>
        <w:t xml:space="preserve"> </w:t>
      </w:r>
    </w:p>
    <w:p w14:paraId="3B3E1C7D" w14:textId="77777777" w:rsidR="006E3767" w:rsidRPr="004B140F" w:rsidRDefault="006E3767" w:rsidP="006E3767">
      <w:pPr>
        <w:spacing w:after="0" w:line="276" w:lineRule="auto"/>
        <w:jc w:val="both"/>
        <w:rPr>
          <w:rFonts w:ascii="Verdana" w:eastAsia="Calibri" w:hAnsi="Verdana" w:cs="Arial"/>
          <w:color w:val="7030A0"/>
        </w:rPr>
      </w:pPr>
    </w:p>
    <w:p w14:paraId="58D7C96A" w14:textId="77777777" w:rsidR="006E3767" w:rsidRPr="00593A5F" w:rsidRDefault="006E3767" w:rsidP="006E376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956D7D3" w14:textId="77777777" w:rsidR="006E3767" w:rsidRPr="00593A5F" w:rsidRDefault="006E3767" w:rsidP="006E376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E3767" w:rsidRPr="00593A5F" w14:paraId="11B5872C" w14:textId="77777777" w:rsidTr="003A62B1">
        <w:trPr>
          <w:trHeight w:val="2346"/>
          <w:jc w:val="center"/>
        </w:trPr>
        <w:tc>
          <w:tcPr>
            <w:tcW w:w="8828" w:type="dxa"/>
            <w:shd w:val="clear" w:color="auto" w:fill="auto"/>
          </w:tcPr>
          <w:p w14:paraId="43A29E35" w14:textId="12D4B0E2" w:rsidR="006E3767" w:rsidRDefault="005A75C6" w:rsidP="003A62B1">
            <w:pPr>
              <w:spacing w:after="120" w:line="276" w:lineRule="auto"/>
              <w:jc w:val="both"/>
              <w:rPr>
                <w:rFonts w:ascii="Verdana" w:hAnsi="Verdana" w:cs="Arial"/>
                <w:color w:val="000000" w:themeColor="text1"/>
              </w:rPr>
            </w:pPr>
            <w:bookmarkStart w:id="1" w:name="_Hlk171694685"/>
            <w:r>
              <w:rPr>
                <w:rFonts w:ascii="Verdana" w:eastAsia="Times New Roman" w:hAnsi="Verdana" w:cs="Arial"/>
                <w:color w:val="000000"/>
                <w:lang w:val="es-ES_tradnl" w:eastAsia="es-ES_tradnl"/>
              </w:rPr>
              <w:t xml:space="preserve">De acuerdo con </w:t>
            </w:r>
            <w:r w:rsidR="006E3767">
              <w:rPr>
                <w:rFonts w:ascii="Verdana" w:eastAsia="Times New Roman" w:hAnsi="Verdana" w:cs="Arial"/>
                <w:color w:val="000000"/>
                <w:lang w:val="es-ES_tradnl" w:eastAsia="es-ES_tradnl"/>
              </w:rPr>
              <w:t xml:space="preserve">el </w:t>
            </w:r>
            <w:r w:rsidR="006E3767" w:rsidRPr="00CD6A1A">
              <w:rPr>
                <w:rFonts w:ascii="Verdana" w:hAnsi="Verdana" w:cs="Arial"/>
                <w:color w:val="000000" w:themeColor="text1"/>
              </w:rPr>
              <w:t>artículo 2.2.1.1.2.2.4 del Decreto 1082 de 2015</w:t>
            </w:r>
            <w:r w:rsidR="006E3767">
              <w:rPr>
                <w:rFonts w:ascii="Verdana" w:hAnsi="Verdana" w:cs="Arial"/>
                <w:color w:val="000000" w:themeColor="text1"/>
              </w:rPr>
              <w:t>, la identificación de un posible precio artificialmente</w:t>
            </w:r>
            <w:r w:rsidR="00E75C6F">
              <w:rPr>
                <w:rFonts w:ascii="Verdana" w:eastAsia="Calibri" w:hAnsi="Verdana" w:cs="Arial"/>
                <w:color w:val="000000" w:themeColor="text1"/>
                <w:lang w:val="es-ES" w:eastAsia="es-ES"/>
              </w:rPr>
              <w:t xml:space="preserve"> </w:t>
            </w:r>
            <w:r w:rsidR="006E3767">
              <w:rPr>
                <w:rFonts w:ascii="Verdana" w:hAnsi="Verdana" w:cs="Arial"/>
                <w:color w:val="000000" w:themeColor="text1"/>
              </w:rPr>
              <w:t>bajo</w:t>
            </w:r>
            <w:r w:rsidR="00804902">
              <w:rPr>
                <w:rFonts w:ascii="Verdana" w:hAnsi="Verdana" w:cs="Arial"/>
                <w:color w:val="000000" w:themeColor="text1"/>
              </w:rPr>
              <w:t xml:space="preserve"> -</w:t>
            </w:r>
            <w:r w:rsidR="006E3767">
              <w:rPr>
                <w:rFonts w:ascii="Verdana" w:hAnsi="Verdana" w:cs="Arial"/>
                <w:color w:val="000000" w:themeColor="text1"/>
              </w:rPr>
              <w:t xml:space="preserve"> bien sea por el método de comparación absoluta o relativa</w:t>
            </w:r>
            <w:r w:rsidR="006E3767" w:rsidRPr="00593A5F">
              <w:rPr>
                <w:rFonts w:ascii="Verdana" w:eastAsia="Calibri" w:hAnsi="Verdana" w:cs="Arial"/>
                <w:color w:val="000000" w:themeColor="text1"/>
                <w:lang w:val="es-ES" w:eastAsia="es-ES"/>
              </w:rPr>
              <w:t>–</w:t>
            </w:r>
            <w:r w:rsidR="006E3767">
              <w:rPr>
                <w:rFonts w:ascii="Verdana" w:hAnsi="Verdana" w:cs="Arial"/>
                <w:color w:val="000000" w:themeColor="text1"/>
              </w:rPr>
              <w:t xml:space="preserve"> no da lugar al rechazo automático de la propuesta. En efecto, una</w:t>
            </w:r>
            <w:r w:rsidR="006E3767" w:rsidRPr="007B290C">
              <w:rPr>
                <w:rFonts w:ascii="Verdana" w:hAnsi="Verdana" w:cs="Arial"/>
                <w:color w:val="000000" w:themeColor="text1"/>
              </w:rPr>
              <w:t xml:space="preserve"> vez que la entidad haya surtido su proceso de determinación de una propuesta como artificialmente baja, es necesario requerir al oferente para que explique las razones que sustentan el valor ofrecido. Posteriormente, el comité evaluador analizará las explicaciones y decidirá si </w:t>
            </w:r>
            <w:r w:rsidR="00D44825">
              <w:rPr>
                <w:rFonts w:ascii="Verdana" w:hAnsi="Verdana" w:cs="Arial"/>
                <w:color w:val="000000" w:themeColor="text1"/>
              </w:rPr>
              <w:t xml:space="preserve">recomienda </w:t>
            </w:r>
            <w:r w:rsidR="006E3767" w:rsidRPr="007B290C">
              <w:rPr>
                <w:rFonts w:ascii="Verdana" w:hAnsi="Verdana" w:cs="Arial"/>
                <w:color w:val="000000" w:themeColor="text1"/>
              </w:rPr>
              <w:t>rechaza</w:t>
            </w:r>
            <w:r w:rsidR="00D44825">
              <w:rPr>
                <w:rFonts w:ascii="Verdana" w:hAnsi="Verdana" w:cs="Arial"/>
                <w:color w:val="000000" w:themeColor="text1"/>
              </w:rPr>
              <w:t>r</w:t>
            </w:r>
            <w:r w:rsidR="006E3767" w:rsidRPr="007B290C">
              <w:rPr>
                <w:rFonts w:ascii="Verdana" w:hAnsi="Verdana" w:cs="Arial"/>
                <w:color w:val="000000" w:themeColor="text1"/>
              </w:rPr>
              <w:t xml:space="preserve"> la oferta o contin</w:t>
            </w:r>
            <w:r w:rsidR="00D44825">
              <w:rPr>
                <w:rFonts w:ascii="Verdana" w:hAnsi="Verdana" w:cs="Arial"/>
                <w:color w:val="000000" w:themeColor="text1"/>
              </w:rPr>
              <w:t>uar</w:t>
            </w:r>
            <w:r w:rsidR="006E3767" w:rsidRPr="007B290C">
              <w:rPr>
                <w:rFonts w:ascii="Verdana" w:hAnsi="Verdana" w:cs="Arial"/>
                <w:color w:val="000000" w:themeColor="text1"/>
              </w:rPr>
              <w:t xml:space="preserve"> con el análisis de la misma en el proceso de evaluación</w:t>
            </w:r>
            <w:r w:rsidR="00D44825">
              <w:rPr>
                <w:rFonts w:ascii="Verdana" w:hAnsi="Verdana" w:cs="Arial"/>
                <w:color w:val="000000" w:themeColor="text1"/>
              </w:rPr>
              <w:t>.</w:t>
            </w:r>
            <w:r w:rsidR="006E3767" w:rsidRPr="007B290C">
              <w:rPr>
                <w:rFonts w:ascii="Verdana" w:hAnsi="Verdana" w:cs="Arial"/>
                <w:color w:val="000000" w:themeColor="text1"/>
              </w:rPr>
              <w:t xml:space="preserve"> </w:t>
            </w:r>
          </w:p>
          <w:p w14:paraId="52DC69EB" w14:textId="6C656203" w:rsidR="001F6621" w:rsidRDefault="006E3767" w:rsidP="00FA56D6">
            <w:pPr>
              <w:spacing w:after="120" w:line="276" w:lineRule="auto"/>
              <w:ind w:firstLine="743"/>
              <w:jc w:val="both"/>
              <w:rPr>
                <w:rFonts w:ascii="Verdana" w:hAnsi="Verdana" w:cs="Arial"/>
                <w:color w:val="000000" w:themeColor="text1"/>
                <w:lang w:val="es-ES"/>
              </w:rPr>
            </w:pPr>
            <w:r>
              <w:rPr>
                <w:rFonts w:ascii="Verdana" w:hAnsi="Verdana" w:cs="Arial"/>
                <w:color w:val="000000" w:themeColor="text1"/>
                <w:lang w:val="es-ES"/>
              </w:rPr>
              <w:t xml:space="preserve">De esta manera, </w:t>
            </w:r>
            <w:r w:rsidRPr="00CD6A1A">
              <w:rPr>
                <w:rFonts w:ascii="Verdana" w:hAnsi="Verdana" w:cs="Arial"/>
                <w:color w:val="000000" w:themeColor="text1"/>
                <w:lang w:val="es-ES"/>
              </w:rPr>
              <w:t xml:space="preserve">verificada la información remitida por el proponente, la entidad debe definir si rechaza o no la oferta. En la </w:t>
            </w:r>
            <w:r w:rsidRPr="00FA56D6">
              <w:rPr>
                <w:rFonts w:ascii="Verdana" w:hAnsi="Verdana" w:cs="Arial"/>
                <w:i/>
                <w:iCs/>
                <w:color w:val="000000" w:themeColor="text1"/>
                <w:lang w:val="es-ES"/>
              </w:rPr>
              <w:t>“Guía para el manejo de ofertas artificialmente bajas en Procesos de Contratación”</w:t>
            </w:r>
            <w:r w:rsidRPr="00CD6A1A">
              <w:rPr>
                <w:rFonts w:ascii="Verdana" w:hAnsi="Verdana" w:cs="Arial"/>
                <w:color w:val="000000" w:themeColor="text1"/>
                <w:lang w:val="es-ES"/>
              </w:rPr>
              <w:t xml:space="preserve">, la </w:t>
            </w:r>
            <w:r w:rsidRPr="00CD6A1A">
              <w:rPr>
                <w:rFonts w:ascii="Verdana" w:hAnsi="Verdana" w:cs="Arial"/>
                <w:color w:val="000000" w:themeColor="text1"/>
              </w:rPr>
              <w:t xml:space="preserve">Agencia Nacional de Contratación Pública </w:t>
            </w:r>
            <w:r w:rsidRPr="00CD6A1A">
              <w:rPr>
                <w:rFonts w:ascii="Verdana" w:hAnsi="Verdana" w:cs="Arial"/>
                <w:color w:val="000000" w:themeColor="text1"/>
                <w:lang w:val="es-ES"/>
              </w:rPr>
              <w:t xml:space="preserve">precisó que se debe rechazar la propuesta en los siguientes eventos: i) “el proponente no presenta por escrito a la entidad estatal la aclaración de la oferta”, </w:t>
            </w:r>
            <w:proofErr w:type="spellStart"/>
            <w:r w:rsidRPr="00CD6A1A">
              <w:rPr>
                <w:rFonts w:ascii="Verdana" w:hAnsi="Verdana" w:cs="Arial"/>
                <w:color w:val="000000" w:themeColor="text1"/>
                <w:lang w:val="es-ES"/>
              </w:rPr>
              <w:t>ii</w:t>
            </w:r>
            <w:proofErr w:type="spellEnd"/>
            <w:r w:rsidRPr="00CD6A1A">
              <w:rPr>
                <w:rFonts w:ascii="Verdana" w:hAnsi="Verdana" w:cs="Arial"/>
                <w:color w:val="000000" w:themeColor="text1"/>
                <w:lang w:val="es-ES"/>
              </w:rPr>
              <w:t xml:space="preserve">) “el proponente no envía parte o la totalidad de la información solicitada por la entidad estatal”, </w:t>
            </w:r>
            <w:proofErr w:type="spellStart"/>
            <w:r w:rsidRPr="00CD6A1A">
              <w:rPr>
                <w:rFonts w:ascii="Verdana" w:hAnsi="Verdana" w:cs="Arial"/>
                <w:color w:val="000000" w:themeColor="text1"/>
                <w:lang w:val="es-ES"/>
              </w:rPr>
              <w:t>iii</w:t>
            </w:r>
            <w:proofErr w:type="spellEnd"/>
            <w:r w:rsidRPr="00CD6A1A">
              <w:rPr>
                <w:rFonts w:ascii="Verdana" w:hAnsi="Verdana" w:cs="Arial"/>
                <w:color w:val="000000" w:themeColor="text1"/>
                <w:lang w:val="es-ES"/>
              </w:rPr>
              <w:t xml:space="preserve">) “las aclaraciones del proponente no son satisfactorias para garantizar la sostenibilidad de la oferta durante la ejecución del contrato” y </w:t>
            </w:r>
            <w:proofErr w:type="spellStart"/>
            <w:r w:rsidRPr="00CD6A1A">
              <w:rPr>
                <w:rFonts w:ascii="Verdana" w:hAnsi="Verdana" w:cs="Arial"/>
                <w:color w:val="000000" w:themeColor="text1"/>
                <w:lang w:val="es-ES"/>
              </w:rPr>
              <w:t>iv</w:t>
            </w:r>
            <w:proofErr w:type="spellEnd"/>
            <w:r w:rsidRPr="00CD6A1A">
              <w:rPr>
                <w:rFonts w:ascii="Verdana" w:hAnsi="Verdana" w:cs="Arial"/>
                <w:color w:val="000000" w:themeColor="text1"/>
                <w:lang w:val="es-ES"/>
              </w:rPr>
              <w:t>) “las aclaraciones del proponente no desvirtúan la teoría de que está utilizando su oferta como parte de una estrategia colusoria o […] anticompetitiva durante el proceso de selección”.</w:t>
            </w:r>
          </w:p>
          <w:p w14:paraId="6893B93A" w14:textId="2B79C4A1" w:rsidR="001F6621" w:rsidRDefault="00E0341A" w:rsidP="001F6621">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Pr>
                <w:rFonts w:ascii="Verdana" w:hAnsi="Verdana" w:cs="Arial"/>
                <w:color w:val="000000" w:themeColor="text1"/>
                <w:sz w:val="22"/>
                <w:szCs w:val="22"/>
                <w:lang w:val="es-ES"/>
              </w:rPr>
              <w:t>En atención a lo anterior</w:t>
            </w:r>
            <w:r w:rsidR="005A48D3">
              <w:rPr>
                <w:rFonts w:ascii="Verdana" w:hAnsi="Verdana" w:cs="Arial"/>
                <w:color w:val="000000" w:themeColor="text1"/>
                <w:sz w:val="22"/>
                <w:szCs w:val="22"/>
                <w:lang w:val="es-ES"/>
              </w:rPr>
              <w:t>, las</w:t>
            </w:r>
            <w:r w:rsidR="001F6621">
              <w:rPr>
                <w:rFonts w:ascii="Verdana" w:hAnsi="Verdana" w:cs="Arial"/>
                <w:color w:val="000000" w:themeColor="text1"/>
                <w:sz w:val="22"/>
                <w:szCs w:val="22"/>
                <w:lang w:val="es-ES"/>
              </w:rPr>
              <w:t xml:space="preserve"> aclaraciones que están obligados a dar los proponentes </w:t>
            </w:r>
            <w:r w:rsidR="006D1822">
              <w:rPr>
                <w:rFonts w:ascii="Verdana" w:hAnsi="Verdana" w:cs="Arial"/>
                <w:color w:val="000000" w:themeColor="text1"/>
                <w:sz w:val="22"/>
                <w:szCs w:val="22"/>
                <w:lang w:val="es-ES"/>
              </w:rPr>
              <w:t>en atención a</w:t>
            </w:r>
            <w:r w:rsidR="001F6621">
              <w:rPr>
                <w:rFonts w:ascii="Verdana" w:hAnsi="Verdana" w:cs="Arial"/>
                <w:color w:val="000000" w:themeColor="text1"/>
                <w:sz w:val="22"/>
                <w:szCs w:val="22"/>
                <w:lang w:val="es-ES"/>
              </w:rPr>
              <w:t xml:space="preserve"> lo dispuesto en el artículo </w:t>
            </w:r>
            <w:r w:rsidR="001F6621" w:rsidRPr="00004605">
              <w:rPr>
                <w:rFonts w:ascii="Verdana" w:hAnsi="Verdana" w:cs="Arial"/>
                <w:color w:val="000000" w:themeColor="text1"/>
                <w:sz w:val="22"/>
                <w:szCs w:val="22"/>
                <w:lang w:val="es-ES"/>
              </w:rPr>
              <w:t>2.2.1.1.2.2.4</w:t>
            </w:r>
            <w:r w:rsidR="001F6621">
              <w:rPr>
                <w:rFonts w:ascii="Verdana" w:hAnsi="Verdana" w:cs="Arial"/>
                <w:color w:val="000000" w:themeColor="text1"/>
                <w:sz w:val="22"/>
                <w:szCs w:val="22"/>
                <w:lang w:val="es-ES"/>
              </w:rPr>
              <w:t xml:space="preserve"> del Decreto 1082 de 2015 deben cumplir con la carga de claridad y objetividad suficiente para desvirtuar las razones por las que la Entidad Estatal ha estimado que la oferta es artificialmente baja. Esto </w:t>
            </w:r>
            <w:r w:rsidR="0043073C">
              <w:rPr>
                <w:rFonts w:ascii="Verdana" w:hAnsi="Verdana" w:cs="Arial"/>
                <w:color w:val="000000" w:themeColor="text1"/>
                <w:sz w:val="22"/>
                <w:szCs w:val="22"/>
                <w:lang w:val="es-ES"/>
              </w:rPr>
              <w:t>supone</w:t>
            </w:r>
            <w:r w:rsidR="001F6621">
              <w:rPr>
                <w:rFonts w:ascii="Verdana" w:hAnsi="Verdana" w:cs="Arial"/>
                <w:color w:val="000000" w:themeColor="text1"/>
                <w:sz w:val="22"/>
                <w:szCs w:val="22"/>
                <w:lang w:val="es-ES"/>
              </w:rPr>
              <w:t xml:space="preserve"> </w:t>
            </w:r>
            <w:r w:rsidR="0043073C">
              <w:rPr>
                <w:rFonts w:ascii="Verdana" w:hAnsi="Verdana" w:cs="Arial"/>
                <w:color w:val="000000" w:themeColor="text1"/>
                <w:sz w:val="22"/>
                <w:szCs w:val="22"/>
                <w:lang w:val="es-ES"/>
              </w:rPr>
              <w:t>explicar</w:t>
            </w:r>
            <w:r w:rsidR="001F6621">
              <w:rPr>
                <w:rFonts w:ascii="Verdana" w:hAnsi="Verdana" w:cs="Arial"/>
                <w:color w:val="000000" w:themeColor="text1"/>
                <w:sz w:val="22"/>
                <w:szCs w:val="22"/>
                <w:lang w:val="es-ES"/>
              </w:rPr>
              <w:t xml:space="preserve"> </w:t>
            </w:r>
            <w:r w:rsidR="006F6B30">
              <w:rPr>
                <w:rFonts w:ascii="Verdana" w:hAnsi="Verdana" w:cs="Arial"/>
                <w:color w:val="000000" w:themeColor="text1"/>
                <w:sz w:val="22"/>
                <w:szCs w:val="22"/>
                <w:lang w:val="es-ES"/>
              </w:rPr>
              <w:t xml:space="preserve">las </w:t>
            </w:r>
            <w:r w:rsidR="001F6621">
              <w:rPr>
                <w:rFonts w:ascii="Verdana" w:hAnsi="Verdana" w:cs="Arial"/>
                <w:color w:val="000000" w:themeColor="text1"/>
                <w:sz w:val="22"/>
                <w:szCs w:val="22"/>
                <w:lang w:val="es-ES"/>
              </w:rPr>
              <w:t xml:space="preserve">circunstancias objetivas debido a las cuales la oferta es sustentable y competitiva. De acuerdo con lo señalado en la mencionada guía estas circunstancias pueden estar relacionadas con </w:t>
            </w:r>
            <w:r w:rsidR="001F6621" w:rsidRPr="00D07C1F">
              <w:rPr>
                <w:rFonts w:ascii="Verdana" w:hAnsi="Verdana" w:cs="Arial"/>
                <w:color w:val="000000" w:themeColor="text1"/>
                <w:sz w:val="22"/>
                <w:szCs w:val="22"/>
              </w:rPr>
              <w:t xml:space="preserve">i) técnicas diferenciadas de producción del bien o provisión del servicio; </w:t>
            </w:r>
            <w:proofErr w:type="spellStart"/>
            <w:r w:rsidR="001F6621" w:rsidRPr="00D07C1F">
              <w:rPr>
                <w:rFonts w:ascii="Verdana" w:hAnsi="Verdana" w:cs="Arial"/>
                <w:color w:val="000000" w:themeColor="text1"/>
                <w:sz w:val="22"/>
                <w:szCs w:val="22"/>
              </w:rPr>
              <w:t>ii</w:t>
            </w:r>
            <w:proofErr w:type="spellEnd"/>
            <w:r w:rsidR="001F6621" w:rsidRPr="00D07C1F">
              <w:rPr>
                <w:rFonts w:ascii="Verdana" w:hAnsi="Verdana" w:cs="Arial"/>
                <w:color w:val="000000" w:themeColor="text1"/>
                <w:sz w:val="22"/>
                <w:szCs w:val="22"/>
              </w:rPr>
              <w:t xml:space="preserve">) cercanía al lugar de provisión o al lugar de abastecimiento de materias primas; </w:t>
            </w:r>
            <w:proofErr w:type="spellStart"/>
            <w:r w:rsidR="001F6621" w:rsidRPr="00D07C1F">
              <w:rPr>
                <w:rFonts w:ascii="Verdana" w:hAnsi="Verdana" w:cs="Arial"/>
                <w:color w:val="000000" w:themeColor="text1"/>
                <w:sz w:val="22"/>
                <w:szCs w:val="22"/>
              </w:rPr>
              <w:t>iii</w:t>
            </w:r>
            <w:proofErr w:type="spellEnd"/>
            <w:r w:rsidR="001F6621" w:rsidRPr="00D07C1F">
              <w:rPr>
                <w:rFonts w:ascii="Verdana" w:hAnsi="Verdana" w:cs="Arial"/>
                <w:color w:val="000000" w:themeColor="text1"/>
                <w:sz w:val="22"/>
                <w:szCs w:val="22"/>
              </w:rPr>
              <w:t xml:space="preserve">) mejores condiciones contractuales con los proveedores de insumos; y </w:t>
            </w:r>
            <w:proofErr w:type="spellStart"/>
            <w:r w:rsidR="001F6621" w:rsidRPr="00D07C1F">
              <w:rPr>
                <w:rFonts w:ascii="Verdana" w:hAnsi="Verdana" w:cs="Arial"/>
                <w:color w:val="000000" w:themeColor="text1"/>
                <w:sz w:val="22"/>
                <w:szCs w:val="22"/>
              </w:rPr>
              <w:t>iv</w:t>
            </w:r>
            <w:proofErr w:type="spellEnd"/>
            <w:r w:rsidR="001F6621" w:rsidRPr="00D07C1F">
              <w:rPr>
                <w:rFonts w:ascii="Verdana" w:hAnsi="Verdana" w:cs="Arial"/>
                <w:color w:val="000000" w:themeColor="text1"/>
                <w:sz w:val="22"/>
                <w:szCs w:val="22"/>
              </w:rPr>
              <w:t>) mayor diversificación de productos o servicios relacionados.</w:t>
            </w:r>
            <w:r w:rsidR="001F6621">
              <w:rPr>
                <w:rFonts w:ascii="Verdana" w:hAnsi="Verdana" w:cs="Arial"/>
                <w:color w:val="000000" w:themeColor="text1"/>
                <w:sz w:val="22"/>
                <w:szCs w:val="22"/>
                <w:lang w:val="es-ES"/>
              </w:rPr>
              <w:t xml:space="preserve"> </w:t>
            </w:r>
            <w:r w:rsidR="001F6621">
              <w:rPr>
                <w:rFonts w:ascii="Verdana" w:hAnsi="Verdana" w:cs="Arial"/>
                <w:color w:val="000000" w:themeColor="text1"/>
                <w:sz w:val="22"/>
                <w:szCs w:val="22"/>
                <w:lang w:val="es-ES"/>
              </w:rPr>
              <w:lastRenderedPageBreak/>
              <w:t xml:space="preserve">Lo anterior sin perjuicio de que el contratista indique alguna otra razón distinta por la que la oferta es competitiva, incluyendo aquellas relacionadas con implementación de economías de escala o alcance. </w:t>
            </w:r>
            <w:r w:rsidR="0009528C">
              <w:rPr>
                <w:rFonts w:ascii="Verdana" w:hAnsi="Verdana" w:cs="Arial"/>
                <w:color w:val="000000" w:themeColor="text1"/>
                <w:sz w:val="22"/>
                <w:szCs w:val="22"/>
                <w:lang w:val="es-ES"/>
              </w:rPr>
              <w:t xml:space="preserve">En todo caso, </w:t>
            </w:r>
            <w:r w:rsidR="00F50383">
              <w:rPr>
                <w:rFonts w:ascii="Verdana" w:hAnsi="Verdana" w:cs="Arial"/>
                <w:color w:val="000000" w:themeColor="text1"/>
                <w:sz w:val="22"/>
                <w:szCs w:val="22"/>
                <w:lang w:val="es-ES"/>
              </w:rPr>
              <w:t xml:space="preserve">las circunstancias </w:t>
            </w:r>
            <w:r w:rsidR="00EE6BE8">
              <w:rPr>
                <w:rFonts w:ascii="Verdana" w:hAnsi="Verdana" w:cs="Arial"/>
                <w:color w:val="000000" w:themeColor="text1"/>
                <w:sz w:val="22"/>
                <w:szCs w:val="22"/>
                <w:lang w:val="es-ES"/>
              </w:rPr>
              <w:t xml:space="preserve">manifestadas deberán ser </w:t>
            </w:r>
            <w:r w:rsidR="00FA2D09">
              <w:rPr>
                <w:rFonts w:ascii="Verdana" w:hAnsi="Verdana" w:cs="Arial"/>
                <w:color w:val="000000" w:themeColor="text1"/>
                <w:sz w:val="22"/>
                <w:szCs w:val="22"/>
                <w:lang w:val="es-ES"/>
              </w:rPr>
              <w:t xml:space="preserve">suficientemente </w:t>
            </w:r>
            <w:r w:rsidR="00940EF7">
              <w:rPr>
                <w:rFonts w:ascii="Verdana" w:hAnsi="Verdana" w:cs="Arial"/>
                <w:color w:val="000000" w:themeColor="text1"/>
                <w:sz w:val="22"/>
                <w:szCs w:val="22"/>
                <w:lang w:val="es-ES"/>
              </w:rPr>
              <w:t xml:space="preserve">sustentadas </w:t>
            </w:r>
            <w:r w:rsidR="00681052">
              <w:rPr>
                <w:rFonts w:ascii="Verdana" w:hAnsi="Verdana" w:cs="Arial"/>
                <w:color w:val="000000" w:themeColor="text1"/>
                <w:sz w:val="22"/>
                <w:szCs w:val="22"/>
                <w:lang w:val="es-ES"/>
              </w:rPr>
              <w:t xml:space="preserve">y respaldadas, a efecto de dar tranquilidad a la entidad frente a </w:t>
            </w:r>
            <w:r w:rsidR="00947AED">
              <w:rPr>
                <w:rFonts w:ascii="Verdana" w:hAnsi="Verdana" w:cs="Arial"/>
                <w:color w:val="000000" w:themeColor="text1"/>
                <w:sz w:val="22"/>
                <w:szCs w:val="22"/>
                <w:lang w:val="es-ES"/>
              </w:rPr>
              <w:t xml:space="preserve">continuar el proceso de </w:t>
            </w:r>
            <w:r w:rsidR="00AD326F">
              <w:rPr>
                <w:rFonts w:ascii="Verdana" w:hAnsi="Verdana" w:cs="Arial"/>
                <w:color w:val="000000" w:themeColor="text1"/>
                <w:sz w:val="22"/>
                <w:szCs w:val="22"/>
                <w:lang w:val="es-ES"/>
              </w:rPr>
              <w:t xml:space="preserve">evaluación con la oferta puesta en cuestión. </w:t>
            </w:r>
          </w:p>
          <w:p w14:paraId="509C27F3" w14:textId="086DF3BF" w:rsidR="001F6621" w:rsidRPr="00B5161D" w:rsidRDefault="000F2830" w:rsidP="00FA56D6">
            <w:pPr>
              <w:pStyle w:val="NormalWeb"/>
              <w:spacing w:before="0" w:beforeAutospacing="0" w:after="120" w:afterAutospacing="0" w:line="276" w:lineRule="auto"/>
              <w:ind w:firstLine="709"/>
              <w:jc w:val="both"/>
              <w:rPr>
                <w:rFonts w:ascii="Verdana" w:hAnsi="Verdana" w:cs="Arial"/>
                <w:color w:val="000000" w:themeColor="text1"/>
              </w:rPr>
            </w:pPr>
            <w:r>
              <w:rPr>
                <w:rFonts w:ascii="Verdana" w:hAnsi="Verdana" w:cs="Arial"/>
                <w:color w:val="000000" w:themeColor="text1"/>
                <w:sz w:val="22"/>
                <w:szCs w:val="22"/>
                <w:lang w:val="es-ES"/>
              </w:rPr>
              <w:t>E</w:t>
            </w:r>
            <w:r w:rsidR="001F6621">
              <w:rPr>
                <w:rFonts w:ascii="Verdana" w:hAnsi="Verdana" w:cs="Arial"/>
                <w:color w:val="000000" w:themeColor="text1"/>
                <w:sz w:val="22"/>
                <w:szCs w:val="22"/>
                <w:lang w:val="es-ES"/>
              </w:rPr>
              <w:t xml:space="preserve">s importante tener en cuenta que </w:t>
            </w:r>
            <w:r w:rsidR="0054691B">
              <w:rPr>
                <w:rFonts w:ascii="Verdana" w:hAnsi="Verdana" w:cs="Arial"/>
                <w:color w:val="000000" w:themeColor="text1"/>
                <w:sz w:val="22"/>
                <w:szCs w:val="22"/>
                <w:lang w:val="es-ES"/>
              </w:rPr>
              <w:t>la</w:t>
            </w:r>
            <w:r>
              <w:rPr>
                <w:rFonts w:ascii="Verdana" w:hAnsi="Verdana" w:cs="Arial"/>
                <w:color w:val="000000" w:themeColor="text1"/>
                <w:sz w:val="22"/>
                <w:szCs w:val="22"/>
                <w:lang w:val="es-ES"/>
              </w:rPr>
              <w:t xml:space="preserve">s aclaraciones solicitadas con sustento en el artículo </w:t>
            </w:r>
            <w:r w:rsidRPr="00004605">
              <w:rPr>
                <w:rFonts w:ascii="Verdana" w:hAnsi="Verdana" w:cs="Arial"/>
                <w:color w:val="000000" w:themeColor="text1"/>
                <w:sz w:val="22"/>
                <w:szCs w:val="22"/>
                <w:lang w:val="es-ES"/>
              </w:rPr>
              <w:t>2.2.1.1.2.2.4</w:t>
            </w:r>
            <w:r>
              <w:rPr>
                <w:rFonts w:ascii="Verdana" w:hAnsi="Verdana" w:cs="Arial"/>
                <w:color w:val="000000" w:themeColor="text1"/>
                <w:sz w:val="22"/>
                <w:szCs w:val="22"/>
                <w:lang w:val="es-ES"/>
              </w:rPr>
              <w:t xml:space="preserve"> no son </w:t>
            </w:r>
            <w:r w:rsidR="001F6621" w:rsidRPr="00A05053">
              <w:rPr>
                <w:rFonts w:ascii="Verdana" w:hAnsi="Verdana" w:cs="Arial"/>
                <w:color w:val="000000" w:themeColor="text1"/>
                <w:sz w:val="22"/>
                <w:szCs w:val="22"/>
              </w:rPr>
              <w:t>una oportunidad para que los proponentes modifiquen parcial ni totalmente sus ofertas</w:t>
            </w:r>
            <w:r w:rsidR="001F6621">
              <w:rPr>
                <w:rFonts w:ascii="Verdana" w:hAnsi="Verdana" w:cs="Arial"/>
                <w:color w:val="000000" w:themeColor="text1"/>
                <w:sz w:val="22"/>
                <w:szCs w:val="22"/>
              </w:rPr>
              <w:t xml:space="preserve">, ni para que estos transgredan la conmutatividad del contrato estatal ofreciendo una contraprestación excesivamente reducida alejada de la realidad del mercado expresada en el análisis del sector, considerando que ello no solo podría afectar la ejecución del contrato, sino que podría dar cuenta de </w:t>
            </w:r>
            <w:r>
              <w:rPr>
                <w:rFonts w:ascii="Verdana" w:hAnsi="Verdana" w:cs="Arial"/>
                <w:color w:val="000000" w:themeColor="text1"/>
                <w:sz w:val="22"/>
                <w:szCs w:val="22"/>
              </w:rPr>
              <w:t>prácticas</w:t>
            </w:r>
            <w:r w:rsidR="001F6621">
              <w:rPr>
                <w:rFonts w:ascii="Verdana" w:hAnsi="Verdana" w:cs="Arial"/>
                <w:color w:val="000000" w:themeColor="text1"/>
                <w:sz w:val="22"/>
                <w:szCs w:val="22"/>
              </w:rPr>
              <w:t xml:space="preserve"> restrictivas a la competencia</w:t>
            </w:r>
            <w:r w:rsidR="00AD326F">
              <w:rPr>
                <w:rFonts w:ascii="Verdana" w:hAnsi="Verdana" w:cs="Arial"/>
                <w:color w:val="000000" w:themeColor="text1"/>
                <w:sz w:val="22"/>
                <w:szCs w:val="22"/>
              </w:rPr>
              <w:t xml:space="preserve">, circunstancia que deberá </w:t>
            </w:r>
            <w:r w:rsidR="003A62B1">
              <w:rPr>
                <w:rFonts w:ascii="Verdana" w:hAnsi="Verdana" w:cs="Arial"/>
                <w:color w:val="000000" w:themeColor="text1"/>
                <w:sz w:val="22"/>
                <w:szCs w:val="22"/>
              </w:rPr>
              <w:t>garantizar</w:t>
            </w:r>
            <w:r w:rsidR="00AD326F">
              <w:rPr>
                <w:rFonts w:ascii="Verdana" w:hAnsi="Verdana" w:cs="Arial"/>
                <w:color w:val="000000" w:themeColor="text1"/>
                <w:sz w:val="22"/>
                <w:szCs w:val="22"/>
              </w:rPr>
              <w:t xml:space="preserve"> el comité evaluador en el ejercicio de verificación de la respuesta que para el efecto brinde el </w:t>
            </w:r>
            <w:r w:rsidR="003A62B1">
              <w:rPr>
                <w:rFonts w:ascii="Verdana" w:hAnsi="Verdana" w:cs="Arial"/>
                <w:color w:val="000000" w:themeColor="text1"/>
                <w:sz w:val="22"/>
                <w:szCs w:val="22"/>
              </w:rPr>
              <w:t>proponente.</w:t>
            </w:r>
          </w:p>
        </w:tc>
      </w:tr>
    </w:tbl>
    <w:p w14:paraId="7C0F5A0E" w14:textId="77777777" w:rsidR="006E3767" w:rsidRPr="00593A5F" w:rsidRDefault="006E3767" w:rsidP="006E3767">
      <w:pPr>
        <w:tabs>
          <w:tab w:val="left" w:pos="142"/>
          <w:tab w:val="left" w:pos="284"/>
        </w:tabs>
        <w:spacing w:after="0" w:line="276" w:lineRule="auto"/>
        <w:jc w:val="both"/>
        <w:rPr>
          <w:rFonts w:ascii="Verdana" w:eastAsia="Century Gothic" w:hAnsi="Verdana" w:cs="Century Gothic"/>
          <w:b/>
          <w:bCs/>
          <w:lang w:val="es-ES"/>
        </w:rPr>
      </w:pPr>
    </w:p>
    <w:bookmarkEnd w:id="1"/>
    <w:p w14:paraId="73FEB854" w14:textId="77777777" w:rsidR="006E3767" w:rsidRPr="00593A5F" w:rsidRDefault="006E3767" w:rsidP="006E376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DF26847" w14:textId="77777777" w:rsidR="006E3767" w:rsidRPr="00593A5F" w:rsidRDefault="006E3767" w:rsidP="006E3767">
      <w:pPr>
        <w:spacing w:after="0" w:line="276" w:lineRule="auto"/>
        <w:jc w:val="both"/>
        <w:rPr>
          <w:rFonts w:ascii="Verdana" w:eastAsia="Calibri" w:hAnsi="Verdana" w:cs="Arial"/>
          <w:color w:val="7030A0"/>
          <w:lang w:val="es-ES"/>
        </w:rPr>
      </w:pPr>
    </w:p>
    <w:p w14:paraId="279725B7" w14:textId="77777777" w:rsidR="006E3767" w:rsidRDefault="006E3767" w:rsidP="006E3767">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C8EA09D" w14:textId="77777777" w:rsidR="006E3767" w:rsidRDefault="006E3767" w:rsidP="006E3767">
      <w:pPr>
        <w:spacing w:after="0" w:line="276" w:lineRule="auto"/>
        <w:jc w:val="both"/>
        <w:rPr>
          <w:rFonts w:ascii="Verdana" w:eastAsia="Calibri" w:hAnsi="Verdana" w:cs="Arial"/>
          <w:lang w:val="es-ES"/>
        </w:rPr>
      </w:pPr>
    </w:p>
    <w:p w14:paraId="36B49DA6" w14:textId="77777777" w:rsidR="006E3767" w:rsidRPr="00CD6A1A" w:rsidRDefault="006E3767" w:rsidP="006E3767">
      <w:pPr>
        <w:tabs>
          <w:tab w:val="left" w:pos="0"/>
        </w:tabs>
        <w:spacing w:after="0" w:line="276" w:lineRule="auto"/>
        <w:jc w:val="both"/>
        <w:rPr>
          <w:rFonts w:ascii="Verdana" w:hAnsi="Verdana" w:cs="Arial"/>
          <w:color w:val="000000" w:themeColor="text1"/>
        </w:rPr>
      </w:pPr>
      <w:r w:rsidRPr="00CD6A1A">
        <w:rPr>
          <w:rFonts w:ascii="Verdana" w:hAnsi="Verdana" w:cs="Arial"/>
          <w:color w:val="000000" w:themeColor="text1"/>
        </w:rPr>
        <w:t>Según el artículo 26.6 de la Ley 80 de 1993, los contratistas responderán cuando presenten ofertas que resulten artificialmente bajas con el propósito de obtener la adjudicación del contrato.</w:t>
      </w:r>
      <w:r w:rsidRPr="00CD6A1A">
        <w:rPr>
          <w:rFonts w:ascii="Verdana" w:hAnsi="Verdana" w:cs="Arial"/>
          <w:color w:val="000000" w:themeColor="text1"/>
          <w:lang w:val="es-ES"/>
        </w:rPr>
        <w:t xml:space="preserve"> El precio 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w:t>
      </w:r>
      <w:r w:rsidRPr="00CD6A1A">
        <w:rPr>
          <w:rFonts w:ascii="Verdana" w:hAnsi="Verdana" w:cs="Arial"/>
          <w:color w:val="000000" w:themeColor="text1"/>
        </w:rPr>
        <w:t>. Así lo señalo el Consejo de Estado en sentencia del 4 de junio de 2008, en los siguientes términos:</w:t>
      </w:r>
    </w:p>
    <w:p w14:paraId="4A10B176" w14:textId="77777777" w:rsidR="006E3767" w:rsidRPr="00CD6A1A" w:rsidRDefault="006E3767" w:rsidP="006E3767">
      <w:pPr>
        <w:spacing w:after="0" w:line="276" w:lineRule="auto"/>
        <w:jc w:val="both"/>
        <w:rPr>
          <w:rFonts w:ascii="Verdana" w:hAnsi="Verdana" w:cs="Arial"/>
          <w:color w:val="000000" w:themeColor="text1"/>
        </w:rPr>
      </w:pPr>
    </w:p>
    <w:p w14:paraId="7D74D2A1" w14:textId="77777777" w:rsidR="006E3767" w:rsidRPr="00CD6A1A" w:rsidRDefault="006E3767" w:rsidP="006E3767">
      <w:pPr>
        <w:spacing w:after="0" w:line="240" w:lineRule="auto"/>
        <w:ind w:left="708"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CD6A1A">
        <w:rPr>
          <w:rFonts w:ascii="Verdana" w:hAnsi="Verdana" w:cs="Arial"/>
          <w:color w:val="000000" w:themeColor="text1"/>
          <w:sz w:val="21"/>
          <w:szCs w:val="21"/>
        </w:rPr>
        <w:t xml:space="preserve">El denominado </w:t>
      </w:r>
      <w:r>
        <w:rPr>
          <w:rFonts w:ascii="Verdana" w:hAnsi="Verdana" w:cs="Arial"/>
          <w:color w:val="000000" w:themeColor="text1"/>
          <w:sz w:val="21"/>
          <w:szCs w:val="21"/>
        </w:rPr>
        <w:t>‘</w:t>
      </w:r>
      <w:r w:rsidRPr="00CD6A1A">
        <w:rPr>
          <w:rFonts w:ascii="Verdana" w:hAnsi="Verdana" w:cs="Arial"/>
          <w:color w:val="000000" w:themeColor="text1"/>
          <w:sz w:val="21"/>
          <w:szCs w:val="21"/>
        </w:rPr>
        <w:t>precio artificialmente bajo</w:t>
      </w:r>
      <w:r>
        <w:rPr>
          <w:rFonts w:ascii="Verdana" w:hAnsi="Verdana" w:cs="Arial"/>
          <w:color w:val="000000" w:themeColor="text1"/>
          <w:sz w:val="21"/>
          <w:szCs w:val="21"/>
        </w:rPr>
        <w:t>’</w:t>
      </w:r>
      <w:r w:rsidRPr="00CD6A1A">
        <w:rPr>
          <w:rFonts w:ascii="Verdana" w:hAnsi="Verdana" w:cs="Arial"/>
          <w:color w:val="000000" w:themeColor="text1"/>
          <w:sz w:val="21"/>
          <w:szCs w:val="21"/>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w:t>
      </w:r>
      <w:r w:rsidRPr="00CD6A1A">
        <w:rPr>
          <w:rFonts w:ascii="Verdana" w:hAnsi="Verdana" w:cs="Arial"/>
          <w:color w:val="000000" w:themeColor="text1"/>
          <w:sz w:val="21"/>
          <w:szCs w:val="21"/>
        </w:rPr>
        <w:lastRenderedPageBreak/>
        <w:t>transparencia, equilibrio e imparcialidad que gobiernan la actividad contractual y como parte de ella, el procedimiento de la licitación […]</w:t>
      </w:r>
      <w:r>
        <w:rPr>
          <w:rFonts w:ascii="Verdana" w:hAnsi="Verdana" w:cs="Arial"/>
          <w:color w:val="000000" w:themeColor="text1"/>
          <w:sz w:val="21"/>
          <w:szCs w:val="21"/>
        </w:rPr>
        <w:t>”</w:t>
      </w:r>
      <w:r w:rsidRPr="00CD6A1A">
        <w:rPr>
          <w:rStyle w:val="Refdenotaalpie"/>
          <w:rFonts w:ascii="Verdana" w:hAnsi="Verdana" w:cs="Arial"/>
          <w:color w:val="000000" w:themeColor="text1"/>
        </w:rPr>
        <w:footnoteReference w:id="2"/>
      </w:r>
      <w:r w:rsidRPr="00CD6A1A">
        <w:rPr>
          <w:rFonts w:ascii="Verdana" w:hAnsi="Verdana" w:cs="Arial"/>
          <w:color w:val="000000" w:themeColor="text1"/>
          <w:sz w:val="21"/>
          <w:szCs w:val="21"/>
        </w:rPr>
        <w:t>.</w:t>
      </w:r>
    </w:p>
    <w:p w14:paraId="05C177BB" w14:textId="77777777" w:rsidR="006E3767" w:rsidRPr="00CD6A1A" w:rsidRDefault="006E3767" w:rsidP="006E3767">
      <w:pPr>
        <w:spacing w:after="0" w:line="276" w:lineRule="auto"/>
        <w:ind w:left="709" w:right="709"/>
        <w:jc w:val="both"/>
        <w:rPr>
          <w:rFonts w:ascii="Verdana" w:hAnsi="Verdana" w:cs="Arial"/>
          <w:color w:val="000000" w:themeColor="text1"/>
        </w:rPr>
      </w:pPr>
    </w:p>
    <w:p w14:paraId="6A1B038B" w14:textId="77777777" w:rsidR="006E3767" w:rsidRPr="00CD6A1A" w:rsidRDefault="006E3767" w:rsidP="006E3767">
      <w:pPr>
        <w:spacing w:line="276" w:lineRule="auto"/>
        <w:ind w:firstLine="709"/>
        <w:jc w:val="both"/>
        <w:rPr>
          <w:rFonts w:ascii="Verdana" w:hAnsi="Verdana" w:cs="Arial"/>
          <w:color w:val="000000" w:themeColor="text1"/>
        </w:rPr>
      </w:pPr>
      <w:r w:rsidRPr="00CD6A1A">
        <w:rPr>
          <w:rFonts w:ascii="Verdana" w:hAnsi="Verdana" w:cs="Arial"/>
          <w:color w:val="000000" w:themeColor="text1"/>
        </w:rPr>
        <w:t>Por su parte,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resto de proveedores en el mercado”, según lo establece la guía antes mencionada.</w:t>
      </w:r>
    </w:p>
    <w:p w14:paraId="2963D7B2" w14:textId="77777777" w:rsidR="006E3767" w:rsidRPr="00CD6A1A" w:rsidRDefault="006E3767" w:rsidP="006E3767">
      <w:pPr>
        <w:spacing w:before="120" w:after="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De otro lado, el artículo 2.2.1.1.2.2.4 del Decreto 1082 de 2015 regula el procedimiento a seguir en los eventos en que se presenten propuestas con valor artificialmente bajo: </w:t>
      </w:r>
    </w:p>
    <w:p w14:paraId="7656863A" w14:textId="77777777" w:rsidR="006E3767" w:rsidRPr="00CD6A1A" w:rsidRDefault="006E3767" w:rsidP="006E3767">
      <w:pPr>
        <w:spacing w:after="0" w:line="276" w:lineRule="auto"/>
        <w:ind w:firstLine="709"/>
        <w:jc w:val="both"/>
        <w:rPr>
          <w:rFonts w:ascii="Verdana" w:hAnsi="Verdana" w:cs="Arial"/>
          <w:color w:val="000000" w:themeColor="text1"/>
        </w:rPr>
      </w:pPr>
    </w:p>
    <w:p w14:paraId="7068529B" w14:textId="77777777" w:rsidR="006E3767" w:rsidRPr="00CD6A1A" w:rsidRDefault="006E3767" w:rsidP="006E3767">
      <w:pPr>
        <w:tabs>
          <w:tab w:val="left" w:pos="7230"/>
          <w:tab w:val="left" w:pos="7797"/>
          <w:tab w:val="left" w:pos="8080"/>
        </w:tabs>
        <w:spacing w:after="120" w:line="240" w:lineRule="auto"/>
        <w:ind w:left="709"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CD6A1A">
        <w:rPr>
          <w:rFonts w:ascii="Verdana" w:hAnsi="Verdana" w:cs="Arial"/>
          <w:color w:val="000000" w:themeColor="text1"/>
          <w:sz w:val="21"/>
          <w:szCs w:val="21"/>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6D3607F5" w14:textId="77777777" w:rsidR="006E3767" w:rsidRPr="00CD6A1A" w:rsidRDefault="006E3767" w:rsidP="006E3767">
      <w:pPr>
        <w:tabs>
          <w:tab w:val="left" w:pos="7230"/>
          <w:tab w:val="left" w:pos="7797"/>
          <w:tab w:val="left" w:pos="8080"/>
        </w:tabs>
        <w:spacing w:after="120" w:line="240" w:lineRule="auto"/>
        <w:ind w:left="709" w:right="709"/>
        <w:jc w:val="both"/>
        <w:rPr>
          <w:rFonts w:ascii="Verdana" w:hAnsi="Verdana" w:cs="Arial"/>
          <w:color w:val="000000" w:themeColor="text1"/>
          <w:sz w:val="21"/>
          <w:szCs w:val="21"/>
        </w:rPr>
      </w:pPr>
      <w:r w:rsidRPr="00CD6A1A">
        <w:rPr>
          <w:rFonts w:ascii="Verdana" w:hAnsi="Verdana" w:cs="Arial"/>
          <w:color w:val="000000" w:themeColor="text1"/>
          <w:sz w:val="21"/>
          <w:szCs w:val="21"/>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4CDC2163" w14:textId="77777777" w:rsidR="006E3767" w:rsidRPr="00CD6A1A" w:rsidRDefault="006E3767" w:rsidP="006E3767">
      <w:pPr>
        <w:tabs>
          <w:tab w:val="left" w:pos="7230"/>
          <w:tab w:val="left" w:pos="7797"/>
          <w:tab w:val="left" w:pos="8080"/>
        </w:tabs>
        <w:spacing w:after="0" w:line="240" w:lineRule="auto"/>
        <w:ind w:left="709" w:right="709"/>
        <w:jc w:val="both"/>
        <w:rPr>
          <w:rFonts w:ascii="Verdana" w:hAnsi="Verdana" w:cs="Arial"/>
          <w:color w:val="000000" w:themeColor="text1"/>
          <w:sz w:val="21"/>
          <w:szCs w:val="21"/>
        </w:rPr>
      </w:pPr>
      <w:r w:rsidRPr="00CD6A1A">
        <w:rPr>
          <w:rFonts w:ascii="Verdana" w:hAnsi="Verdana" w:cs="Arial"/>
          <w:color w:val="000000" w:themeColor="text1"/>
          <w:sz w:val="21"/>
          <w:szCs w:val="21"/>
        </w:rPr>
        <w:t>En la subasta inversa esta disposición es aplicable sobre el precio obtenido al final de la misma</w:t>
      </w:r>
      <w:r>
        <w:rPr>
          <w:rFonts w:ascii="Verdana" w:hAnsi="Verdana" w:cs="Arial"/>
          <w:color w:val="000000" w:themeColor="text1"/>
          <w:sz w:val="21"/>
          <w:szCs w:val="21"/>
        </w:rPr>
        <w:t>”</w:t>
      </w:r>
      <w:r w:rsidRPr="00CD6A1A">
        <w:rPr>
          <w:rFonts w:ascii="Verdana" w:hAnsi="Verdana" w:cs="Arial"/>
          <w:color w:val="000000" w:themeColor="text1"/>
          <w:sz w:val="21"/>
          <w:szCs w:val="21"/>
        </w:rPr>
        <w:t>.</w:t>
      </w:r>
    </w:p>
    <w:p w14:paraId="33F9B5A5" w14:textId="77777777" w:rsidR="006E3767" w:rsidRPr="00CD6A1A" w:rsidRDefault="006E3767" w:rsidP="006E3767">
      <w:pPr>
        <w:spacing w:after="0" w:line="276" w:lineRule="auto"/>
        <w:ind w:left="709" w:right="709"/>
        <w:jc w:val="both"/>
        <w:rPr>
          <w:rFonts w:ascii="Verdana" w:hAnsi="Verdana" w:cs="Arial"/>
          <w:color w:val="000000" w:themeColor="text1"/>
        </w:rPr>
      </w:pPr>
    </w:p>
    <w:p w14:paraId="0DBA5D40" w14:textId="77777777" w:rsidR="006E3767" w:rsidRPr="00CD6A1A" w:rsidRDefault="006E3767" w:rsidP="006E3767">
      <w:pPr>
        <w:spacing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De lo expuesto se desprende que, ante una propuesta artificialmente baja, la entidad estatal está obligada a: i) requerir al oferente para que explique las razones que sustentan el valor ofrecido; </w:t>
      </w:r>
      <w:proofErr w:type="spellStart"/>
      <w:r w:rsidRPr="00CD6A1A">
        <w:rPr>
          <w:rFonts w:ascii="Verdana" w:hAnsi="Verdana" w:cs="Arial"/>
          <w:color w:val="000000" w:themeColor="text1"/>
        </w:rPr>
        <w:t>ii</w:t>
      </w:r>
      <w:proofErr w:type="spellEnd"/>
      <w:r w:rsidRPr="00CD6A1A">
        <w:rPr>
          <w:rFonts w:ascii="Verdana" w:hAnsi="Verdana" w:cs="Arial"/>
          <w:color w:val="000000" w:themeColor="text1"/>
        </w:rPr>
        <w:t xml:space="preserve">) analizar las explicaciones; y </w:t>
      </w:r>
      <w:proofErr w:type="spellStart"/>
      <w:r w:rsidRPr="00CD6A1A">
        <w:rPr>
          <w:rFonts w:ascii="Verdana" w:hAnsi="Verdana" w:cs="Arial"/>
          <w:color w:val="000000" w:themeColor="text1"/>
        </w:rPr>
        <w:t>iii</w:t>
      </w:r>
      <w:proofErr w:type="spellEnd"/>
      <w:r w:rsidRPr="00CD6A1A">
        <w:rPr>
          <w:rFonts w:ascii="Verdana" w:hAnsi="Verdana" w:cs="Arial"/>
          <w:color w:val="000000" w:themeColor="text1"/>
        </w:rPr>
        <w:t xml:space="preserve">) con base en lo anterior, rechazar la oferta o continuar con su análisis en la fase de </w:t>
      </w:r>
      <w:r w:rsidRPr="00CD6A1A">
        <w:rPr>
          <w:rFonts w:ascii="Verdana" w:hAnsi="Verdana" w:cs="Arial"/>
          <w:color w:val="000000" w:themeColor="text1"/>
        </w:rPr>
        <w:lastRenderedPageBreak/>
        <w:t xml:space="preserve">evaluación. Así, la entidad deberá, inicialmente, determinar si la propuesta es considerada artificialmente baja, de acuerdo con la información del análisis del sector y, posteriormente, agotar el procedimiento indicado. </w:t>
      </w:r>
    </w:p>
    <w:p w14:paraId="41981FB7"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Por su parte, la “Guía para el manejo de ofertas artificialmente bajas en Procesos de Contratación” recomienda a las entidades estatales tener en cuenta la siguiente información: i) promedio del valor de las ofertas, </w:t>
      </w:r>
      <w:proofErr w:type="spellStart"/>
      <w:r w:rsidRPr="00CD6A1A">
        <w:rPr>
          <w:rFonts w:ascii="Verdana" w:hAnsi="Verdana" w:cs="Arial"/>
          <w:color w:val="000000" w:themeColor="text1"/>
        </w:rPr>
        <w:t>ii</w:t>
      </w:r>
      <w:proofErr w:type="spellEnd"/>
      <w:r w:rsidRPr="00CD6A1A">
        <w:rPr>
          <w:rFonts w:ascii="Verdana" w:hAnsi="Verdana" w:cs="Arial"/>
          <w:color w:val="000000" w:themeColor="text1"/>
        </w:rPr>
        <w:t xml:space="preserve">) mediana del valor las ofertas, </w:t>
      </w:r>
      <w:proofErr w:type="spellStart"/>
      <w:r w:rsidRPr="00CD6A1A">
        <w:rPr>
          <w:rFonts w:ascii="Verdana" w:hAnsi="Verdana" w:cs="Arial"/>
          <w:color w:val="000000" w:themeColor="text1"/>
        </w:rPr>
        <w:t>iii</w:t>
      </w:r>
      <w:proofErr w:type="spellEnd"/>
      <w:r w:rsidRPr="00CD6A1A">
        <w:rPr>
          <w:rFonts w:ascii="Verdana" w:hAnsi="Verdana" w:cs="Arial"/>
          <w:color w:val="000000" w:themeColor="text1"/>
        </w:rPr>
        <w:t xml:space="preserve">) desviación estándar del valor de las ofertas, </w:t>
      </w:r>
      <w:proofErr w:type="spellStart"/>
      <w:r w:rsidRPr="00CD6A1A">
        <w:rPr>
          <w:rFonts w:ascii="Verdana" w:hAnsi="Verdana" w:cs="Arial"/>
          <w:color w:val="000000" w:themeColor="text1"/>
        </w:rPr>
        <w:t>iv</w:t>
      </w:r>
      <w:proofErr w:type="spellEnd"/>
      <w:r w:rsidRPr="00CD6A1A">
        <w:rPr>
          <w:rFonts w:ascii="Verdana" w:hAnsi="Verdana" w:cs="Arial"/>
          <w:color w:val="000000" w:themeColor="text1"/>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CD6A1A">
        <w:rPr>
          <w:rFonts w:ascii="Verdana" w:hAnsi="Verdana" w:cs="Arial"/>
          <w:color w:val="000000" w:themeColor="text1"/>
        </w:rPr>
        <w:t>vii</w:t>
      </w:r>
      <w:proofErr w:type="spellEnd"/>
      <w:r w:rsidRPr="00CD6A1A">
        <w:rPr>
          <w:rFonts w:ascii="Verdana" w:hAnsi="Verdana" w:cs="Arial"/>
          <w:color w:val="000000" w:themeColor="text1"/>
        </w:rPr>
        <w:t xml:space="preserve">) la información histórica de ofertas y contratos del objeto del proceso de contratación. </w:t>
      </w:r>
    </w:p>
    <w:p w14:paraId="0405838E"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Con estos datos, la entidad puede emplear herramientas para identificar ofertas que pueden ser artíficamente bajas, tales como la comparación absoluta o la comparación relativa. La </w:t>
      </w:r>
      <w:r w:rsidRPr="00F94F85">
        <w:rPr>
          <w:rFonts w:ascii="Verdana" w:hAnsi="Verdana" w:cs="Arial"/>
          <w:i/>
          <w:iCs/>
          <w:color w:val="000000" w:themeColor="text1"/>
        </w:rPr>
        <w:t>comparación absoluta</w:t>
      </w:r>
      <w:r w:rsidRPr="00CD6A1A">
        <w:rPr>
          <w:rFonts w:ascii="Verdana" w:hAnsi="Verdana" w:cs="Arial"/>
          <w:color w:val="000000" w:themeColor="text1"/>
        </w:rPr>
        <w:t xml:space="preserve"> consiste en contrastar cada oferta con el costo estimado del bien o servicio, de acuerdo con el estudio del sector. En este caso, si se reciben menos de cinco (5) ofertas, se debe solicitar aclaración a los proponentes cuyas ofertas sean menores en un 20%, o un mayor porcentaje en relación con el costo estimado por la entidad estatal. La </w:t>
      </w:r>
      <w:r w:rsidRPr="00F94F85">
        <w:rPr>
          <w:rFonts w:ascii="Verdana" w:hAnsi="Verdana" w:cs="Arial"/>
          <w:i/>
          <w:iCs/>
          <w:color w:val="000000" w:themeColor="text1"/>
        </w:rPr>
        <w:t>comparación relativa</w:t>
      </w:r>
      <w:r w:rsidRPr="00CD6A1A">
        <w:rPr>
          <w:rFonts w:ascii="Verdana" w:hAnsi="Verdana" w:cs="Arial"/>
          <w:color w:val="000000" w:themeColor="text1"/>
        </w:rPr>
        <w:t xml:space="preserve"> consiste en comparar cada oferta con las demás presentadas. </w:t>
      </w:r>
    </w:p>
    <w:p w14:paraId="62948A6B" w14:textId="77777777" w:rsidR="006E3767" w:rsidRPr="00CD6A1A" w:rsidRDefault="006E3767" w:rsidP="006E3767">
      <w:pPr>
        <w:spacing w:before="120" w:after="0" w:line="276" w:lineRule="auto"/>
        <w:ind w:firstLine="708"/>
        <w:jc w:val="both"/>
        <w:rPr>
          <w:rFonts w:ascii="Verdana" w:hAnsi="Verdana" w:cs="Arial"/>
          <w:color w:val="000000" w:themeColor="text1"/>
        </w:rPr>
      </w:pPr>
      <w:r w:rsidRPr="00CD6A1A">
        <w:rPr>
          <w:rFonts w:ascii="Verdana" w:hAnsi="Verdana" w:cs="Arial"/>
          <w:color w:val="000000"/>
          <w:shd w:val="clear" w:color="auto" w:fill="FFFFFF"/>
        </w:rPr>
        <w:t>Colombia Compra Eficiente ha sugerido a las entidades aplicar la siguiente metodología para identificar ofertas con “precios artificialmente bajos”, en aquellos procesos en los que hay cinco (5) o más ofertas</w:t>
      </w:r>
      <w:r w:rsidRPr="00CD6A1A">
        <w:rPr>
          <w:rFonts w:ascii="Verdana" w:hAnsi="Verdana" w:cs="Arial"/>
          <w:color w:val="000000" w:themeColor="text1"/>
        </w:rPr>
        <w:t>:</w:t>
      </w:r>
    </w:p>
    <w:p w14:paraId="778F0EAC" w14:textId="77777777" w:rsidR="006E3767" w:rsidRPr="00CD6A1A" w:rsidRDefault="006E3767" w:rsidP="006E3767">
      <w:pPr>
        <w:spacing w:after="0" w:line="276" w:lineRule="auto"/>
        <w:jc w:val="both"/>
        <w:rPr>
          <w:rFonts w:ascii="Verdana" w:hAnsi="Verdana" w:cs="Arial"/>
          <w:color w:val="000000" w:themeColor="text1"/>
        </w:rPr>
      </w:pPr>
    </w:p>
    <w:p w14:paraId="4632DA97" w14:textId="77777777" w:rsidR="006E3767" w:rsidRPr="00CD6A1A" w:rsidRDefault="006E3767" w:rsidP="006E3767">
      <w:pPr>
        <w:spacing w:after="0"/>
        <w:ind w:left="709" w:right="709" w:hanging="2"/>
        <w:jc w:val="both"/>
        <w:rPr>
          <w:rFonts w:ascii="Verdana" w:hAnsi="Verdana" w:cs="Arial"/>
          <w:color w:val="000000" w:themeColor="text1"/>
          <w:sz w:val="21"/>
          <w:szCs w:val="21"/>
        </w:rPr>
      </w:pPr>
      <w:r w:rsidRPr="00CD6A1A">
        <w:rPr>
          <w:rFonts w:ascii="Verdana" w:hAnsi="Verdana" w:cs="Arial"/>
          <w:color w:val="000000" w:themeColor="text1"/>
          <w:sz w:val="21"/>
          <w:szCs w:val="21"/>
        </w:rPr>
        <w:t xml:space="preserve">1. Tomar el conjunto de ofertas a evaluar. </w:t>
      </w:r>
    </w:p>
    <w:p w14:paraId="27F8A14F" w14:textId="77777777" w:rsidR="006E3767" w:rsidRPr="00CD6A1A" w:rsidRDefault="006E3767" w:rsidP="006E3767">
      <w:pPr>
        <w:spacing w:after="0"/>
        <w:ind w:left="709" w:right="709" w:hanging="2"/>
        <w:jc w:val="both"/>
        <w:rPr>
          <w:rFonts w:ascii="Verdana" w:hAnsi="Verdana" w:cs="Arial"/>
          <w:color w:val="000000" w:themeColor="text1"/>
          <w:sz w:val="21"/>
          <w:szCs w:val="21"/>
        </w:rPr>
      </w:pPr>
      <w:r w:rsidRPr="00CD6A1A">
        <w:rPr>
          <w:rFonts w:ascii="Verdana" w:hAnsi="Verdana" w:cs="Arial"/>
          <w:color w:val="000000" w:themeColor="text1"/>
          <w:sz w:val="21"/>
          <w:szCs w:val="21"/>
        </w:rPr>
        <w:t>2. Calcular la mediana, o dependiendo de la dispersión de los datos el promedio, del valor de cada oferta o de cada ítem dentro de la oferta.</w:t>
      </w:r>
    </w:p>
    <w:p w14:paraId="08510DFF" w14:textId="77777777" w:rsidR="006E3767" w:rsidRPr="00CD6A1A" w:rsidRDefault="006E3767" w:rsidP="006E3767">
      <w:pPr>
        <w:spacing w:after="0"/>
        <w:ind w:left="709" w:right="709" w:hanging="2"/>
        <w:jc w:val="both"/>
        <w:rPr>
          <w:rFonts w:ascii="Verdana" w:hAnsi="Verdana" w:cs="Arial"/>
          <w:color w:val="000000" w:themeColor="text1"/>
          <w:sz w:val="21"/>
          <w:szCs w:val="21"/>
        </w:rPr>
      </w:pPr>
      <w:r w:rsidRPr="00CD6A1A">
        <w:rPr>
          <w:rFonts w:ascii="Verdana" w:hAnsi="Verdana" w:cs="Arial"/>
          <w:color w:val="000000" w:themeColor="text1"/>
          <w:sz w:val="21"/>
          <w:szCs w:val="21"/>
        </w:rPr>
        <w:t xml:space="preserve">3. Calcular la desviación estándar del conjunto. </w:t>
      </w:r>
    </w:p>
    <w:p w14:paraId="2892AF41" w14:textId="77777777" w:rsidR="006E3767" w:rsidRPr="00CD6A1A" w:rsidRDefault="006E3767" w:rsidP="006E3767">
      <w:pPr>
        <w:spacing w:after="0"/>
        <w:ind w:left="709" w:right="709" w:hanging="2"/>
        <w:jc w:val="both"/>
        <w:rPr>
          <w:rFonts w:ascii="Verdana" w:hAnsi="Verdana" w:cs="Arial"/>
          <w:color w:val="000000" w:themeColor="text1"/>
          <w:sz w:val="21"/>
          <w:szCs w:val="21"/>
        </w:rPr>
      </w:pPr>
      <w:r w:rsidRPr="00CD6A1A">
        <w:rPr>
          <w:rFonts w:ascii="Verdana" w:hAnsi="Verdana" w:cs="Arial"/>
          <w:color w:val="000000" w:themeColor="text1"/>
          <w:sz w:val="21"/>
          <w:szCs w:val="21"/>
        </w:rPr>
        <w:t>4. Determinar el valor mínimo aceptable.</w:t>
      </w:r>
      <w:r w:rsidRPr="00CD6A1A">
        <w:rPr>
          <w:rStyle w:val="Refdenotaalpie"/>
          <w:rFonts w:ascii="Verdana" w:hAnsi="Verdana" w:cs="Arial"/>
          <w:color w:val="000000" w:themeColor="text1"/>
          <w:sz w:val="21"/>
          <w:szCs w:val="21"/>
        </w:rPr>
        <w:footnoteReference w:id="3"/>
      </w:r>
    </w:p>
    <w:p w14:paraId="1E5A0C42" w14:textId="77777777" w:rsidR="006E3767" w:rsidRPr="00CD6A1A" w:rsidRDefault="006E3767" w:rsidP="006E3767">
      <w:pPr>
        <w:spacing w:after="0" w:line="276" w:lineRule="auto"/>
        <w:jc w:val="both"/>
        <w:rPr>
          <w:rFonts w:ascii="Verdana" w:hAnsi="Verdana" w:cs="Arial"/>
          <w:color w:val="000000" w:themeColor="text1"/>
        </w:rPr>
      </w:pPr>
    </w:p>
    <w:p w14:paraId="7F9509ED" w14:textId="77777777" w:rsidR="006E3767" w:rsidRPr="00CD6A1A" w:rsidRDefault="006E3767" w:rsidP="006E3767">
      <w:pPr>
        <w:spacing w:after="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La </w:t>
      </w:r>
      <w:r w:rsidRPr="00CD6A1A">
        <w:rPr>
          <w:rFonts w:ascii="Verdana" w:hAnsi="Verdana" w:cs="Arial"/>
          <w:i/>
          <w:iCs/>
          <w:color w:val="000000" w:themeColor="text1"/>
        </w:rPr>
        <w:t>mediana</w:t>
      </w:r>
      <w:r w:rsidRPr="00CD6A1A">
        <w:rPr>
          <w:rFonts w:ascii="Verdana" w:hAnsi="Verdana" w:cs="Arial"/>
          <w:color w:val="000000" w:themeColor="text1"/>
        </w:rPr>
        <w:t xml:space="preserve"> debe calcularse ordenando los valores de mayor a menor y tomando el valor de la oferta en la mitad de la lista. Si el número de ofertas es par, caso en el cual no habrá una oferta “en la mitad”, debe tomarse los dos </w:t>
      </w:r>
      <w:r w:rsidRPr="00CD6A1A">
        <w:rPr>
          <w:rFonts w:ascii="Verdana" w:hAnsi="Verdana" w:cs="Arial"/>
          <w:color w:val="000000" w:themeColor="text1"/>
        </w:rPr>
        <w:lastRenderedPageBreak/>
        <w:t xml:space="preserve">valores del medio, se suman y dividen en dos. Posteriormente, es necesario calcular la </w:t>
      </w:r>
      <w:r w:rsidRPr="00CD6A1A">
        <w:rPr>
          <w:rFonts w:ascii="Verdana" w:hAnsi="Verdana" w:cs="Arial"/>
          <w:i/>
          <w:iCs/>
          <w:color w:val="000000" w:themeColor="text1"/>
        </w:rPr>
        <w:t>desviación estándar</w:t>
      </w:r>
      <w:r w:rsidRPr="00CD6A1A">
        <w:rPr>
          <w:rFonts w:ascii="Verdana" w:hAnsi="Verdana" w:cs="Arial"/>
          <w:color w:val="000000" w:themeColor="text1"/>
        </w:rPr>
        <w:t xml:space="preserve">, utilizando la siguiente fórmula, en la que el </w:t>
      </w:r>
      <w:r w:rsidRPr="00CD6A1A">
        <w:rPr>
          <w:rFonts w:ascii="Verdana" w:eastAsia="Calibri" w:hAnsi="Verdana" w:cs="Arial"/>
          <w:color w:val="000000" w:themeColor="text1"/>
          <w:lang w:val="es-ES"/>
        </w:rPr>
        <w:t xml:space="preserve">valor </w:t>
      </w:r>
      <w:r w:rsidRPr="00CD6A1A">
        <w:rPr>
          <w:rFonts w:ascii="Verdana" w:eastAsia="Calibri" w:hAnsi="Verdana" w:cs="Arial"/>
          <w:i/>
          <w:color w:val="000000" w:themeColor="text1"/>
          <w:lang w:val="es-ES"/>
        </w:rPr>
        <w:t>n</w:t>
      </w:r>
      <w:r w:rsidRPr="00CD6A1A">
        <w:rPr>
          <w:rFonts w:ascii="Verdana" w:eastAsia="Calibri" w:hAnsi="Verdana" w:cs="Arial"/>
          <w:color w:val="000000" w:themeColor="text1"/>
          <w:lang w:val="es-ES"/>
        </w:rPr>
        <w:t xml:space="preserve"> es el número de ofertas</w:t>
      </w:r>
      <w:r w:rsidRPr="00CD6A1A">
        <w:rPr>
          <w:rFonts w:ascii="Verdana" w:hAnsi="Verdana" w:cs="Arial"/>
          <w:color w:val="000000" w:themeColor="text1"/>
        </w:rPr>
        <w:t xml:space="preserve">: </w:t>
      </w:r>
    </w:p>
    <w:p w14:paraId="13AAD405" w14:textId="77777777" w:rsidR="006E3767" w:rsidRPr="00CD6A1A" w:rsidRDefault="006E3767" w:rsidP="006E3767">
      <w:pPr>
        <w:spacing w:after="0" w:line="276" w:lineRule="auto"/>
        <w:ind w:firstLine="708"/>
        <w:jc w:val="both"/>
        <w:rPr>
          <w:rFonts w:ascii="Verdana" w:hAnsi="Verdana" w:cs="Arial"/>
          <w:color w:val="000000" w:themeColor="text1"/>
        </w:rPr>
      </w:pPr>
    </w:p>
    <w:p w14:paraId="1B946E27" w14:textId="77777777" w:rsidR="006E3767" w:rsidRPr="00CD6A1A" w:rsidRDefault="006E3767" w:rsidP="006E3767">
      <w:pPr>
        <w:spacing w:after="0" w:line="276" w:lineRule="auto"/>
        <w:jc w:val="center"/>
        <w:rPr>
          <w:rFonts w:ascii="Verdana" w:hAnsi="Verdana" w:cs="Arial"/>
          <w:color w:val="000000" w:themeColor="text1"/>
        </w:rPr>
      </w:pPr>
      <w:r w:rsidRPr="00CD6A1A">
        <w:rPr>
          <w:rFonts w:ascii="Verdana" w:hAnsi="Verdana" w:cs="Arial"/>
          <w:noProof/>
          <w:color w:val="000000" w:themeColor="text1"/>
          <w:lang w:eastAsia="es-CO"/>
        </w:rPr>
        <w:drawing>
          <wp:inline distT="0" distB="0" distL="0" distR="0" wp14:anchorId="37A1A6BA" wp14:editId="4F860C6E">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285299B3" w14:textId="77777777" w:rsidR="006E3767" w:rsidRPr="00CD6A1A" w:rsidRDefault="006E3767" w:rsidP="006E3767">
      <w:pPr>
        <w:spacing w:after="0" w:line="276" w:lineRule="auto"/>
        <w:jc w:val="both"/>
        <w:rPr>
          <w:rFonts w:ascii="Verdana" w:hAnsi="Verdana" w:cs="Arial"/>
          <w:color w:val="000000" w:themeColor="text1"/>
        </w:rPr>
      </w:pPr>
    </w:p>
    <w:p w14:paraId="03DF1F1B" w14:textId="77777777" w:rsidR="006E3767" w:rsidRPr="00CD6A1A" w:rsidRDefault="006E3767" w:rsidP="006E3767">
      <w:pPr>
        <w:spacing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Por último, el </w:t>
      </w:r>
      <w:r w:rsidRPr="00CD6A1A">
        <w:rPr>
          <w:rFonts w:ascii="Verdana" w:hAnsi="Verdana" w:cs="Arial"/>
          <w:i/>
          <w:iCs/>
          <w:color w:val="000000" w:themeColor="text1"/>
        </w:rPr>
        <w:t>valor mínimo aceptable</w:t>
      </w:r>
      <w:r w:rsidRPr="00CD6A1A">
        <w:rPr>
          <w:rFonts w:ascii="Verdana" w:hAnsi="Verdana" w:cs="Arial"/>
          <w:color w:val="000000" w:themeColor="text1"/>
        </w:rPr>
        <w:t xml:space="preserve">, será igual a la </w:t>
      </w:r>
      <w:r w:rsidRPr="00CD6A1A">
        <w:rPr>
          <w:rFonts w:ascii="Verdana" w:hAnsi="Verdana" w:cs="Arial"/>
          <w:i/>
          <w:iCs/>
          <w:color w:val="000000" w:themeColor="text1"/>
        </w:rPr>
        <w:t>mediana</w:t>
      </w:r>
      <w:r w:rsidRPr="00CD6A1A">
        <w:rPr>
          <w:rFonts w:ascii="Verdana" w:hAnsi="Verdana" w:cs="Arial"/>
          <w:color w:val="000000" w:themeColor="text1"/>
        </w:rPr>
        <w:t xml:space="preserve"> menos la </w:t>
      </w:r>
      <w:r w:rsidRPr="00CD6A1A">
        <w:rPr>
          <w:rFonts w:ascii="Verdana" w:hAnsi="Verdana" w:cs="Arial"/>
          <w:i/>
          <w:iCs/>
          <w:color w:val="000000" w:themeColor="text1"/>
        </w:rPr>
        <w:t>desviación estándar</w:t>
      </w:r>
      <w:r w:rsidRPr="00CD6A1A">
        <w:rPr>
          <w:rFonts w:ascii="Verdana" w:hAnsi="Verdana" w:cs="Arial"/>
          <w:color w:val="000000" w:themeColor="text1"/>
        </w:rPr>
        <w:t xml:space="preserve">. De esta manera, la entidad puede identificar como ofertas artificialmente bajas las que se encuentren por debajo de ese valor mínimo. Con todo, dicho valor puede ser diferente al obtenido con la anterior metodología, dependiendo de la información y los datos con los que cuenten las entidades. </w:t>
      </w:r>
      <w:r w:rsidRPr="00CD6A1A">
        <w:rPr>
          <w:rStyle w:val="normaltextrun"/>
          <w:rFonts w:ascii="Verdana" w:hAnsi="Verdana" w:cs="Arial"/>
          <w:color w:val="000000"/>
          <w:shd w:val="clear" w:color="auto" w:fill="FFFFFF"/>
        </w:rPr>
        <w:t>Esto es así porque l</w:t>
      </w:r>
      <w:r w:rsidRPr="00CD6A1A">
        <w:rPr>
          <w:rStyle w:val="normaltextrun"/>
          <w:rFonts w:ascii="Verdana" w:hAnsi="Verdana" w:cs="Arial"/>
          <w:color w:val="000000"/>
          <w:shd w:val="clear" w:color="auto" w:fill="FFFFFF"/>
          <w:lang w:val="es-ES"/>
        </w:rPr>
        <w:t>as entidades pueden o no acoger la metodología explicada, toda vez que la Guía no es de obligatorio cumplimiento para las entidades, pues sólo constituye una orientación o lineamiento para sus procesos de contratación</w:t>
      </w:r>
      <w:r w:rsidRPr="00CD6A1A">
        <w:rPr>
          <w:rFonts w:ascii="Verdana" w:eastAsia="Calibri" w:hAnsi="Verdana" w:cs="Arial"/>
          <w:color w:val="000000" w:themeColor="text1"/>
          <w:lang w:val="es-ES"/>
        </w:rPr>
        <w:t>.</w:t>
      </w:r>
    </w:p>
    <w:p w14:paraId="21B8EF54" w14:textId="77777777" w:rsidR="006E3767" w:rsidRPr="00CD6A1A" w:rsidRDefault="006E3767" w:rsidP="006E3767">
      <w:pPr>
        <w:spacing w:before="120" w:line="276" w:lineRule="auto"/>
        <w:ind w:firstLine="708"/>
        <w:jc w:val="both"/>
        <w:rPr>
          <w:rFonts w:ascii="Verdana" w:eastAsia="Calibri" w:hAnsi="Verdana" w:cs="Arial"/>
          <w:color w:val="000000" w:themeColor="text1"/>
          <w:lang w:val="es-ES"/>
        </w:rPr>
      </w:pPr>
      <w:r w:rsidRPr="00CD6A1A">
        <w:rPr>
          <w:rFonts w:ascii="Verdana" w:eastAsia="Calibri" w:hAnsi="Verdana" w:cs="Arial"/>
          <w:color w:val="000000" w:themeColor="text1"/>
          <w:lang w:val="es-ES"/>
        </w:rPr>
        <w:t xml:space="preserve">La Guía también contempla los casos en los que el contratista se selecciona a través de </w:t>
      </w:r>
      <w:r w:rsidRPr="00CD6A1A">
        <w:rPr>
          <w:rFonts w:ascii="Verdana" w:eastAsia="Calibri" w:hAnsi="Verdana" w:cs="Arial"/>
          <w:i/>
          <w:iCs/>
          <w:color w:val="000000" w:themeColor="text1"/>
          <w:lang w:val="es-ES"/>
        </w:rPr>
        <w:t>subasta inversa</w:t>
      </w:r>
      <w:r w:rsidRPr="00CD6A1A">
        <w:rPr>
          <w:rFonts w:ascii="Verdana" w:eastAsia="Calibri" w:hAnsi="Verdana" w:cs="Arial"/>
          <w:color w:val="000000" w:themeColor="text1"/>
          <w:lang w:val="es-ES"/>
        </w:rPr>
        <w:t xml:space="preserve">, en los cuales el criterio de evaluación es el precio. En este evento, la Agencia recomienda tener especial cuidado, ya que es común que ofertas competitivas puedan parecer artificialmente bajas en el desarrollo de la subasta inversa. </w:t>
      </w:r>
    </w:p>
    <w:p w14:paraId="4EC23CE9" w14:textId="77777777" w:rsidR="006E3767" w:rsidRPr="00CD6A1A" w:rsidRDefault="006E3767" w:rsidP="006E3767">
      <w:pPr>
        <w:spacing w:before="120" w:line="276" w:lineRule="auto"/>
        <w:ind w:firstLine="708"/>
        <w:jc w:val="both"/>
        <w:rPr>
          <w:rFonts w:ascii="Verdana" w:eastAsia="Calibri" w:hAnsi="Verdana" w:cs="Arial"/>
          <w:color w:val="000000" w:themeColor="text1"/>
          <w:lang w:val="es-ES"/>
        </w:rPr>
      </w:pPr>
      <w:r w:rsidRPr="00CD6A1A">
        <w:rPr>
          <w:rFonts w:ascii="Verdana" w:eastAsia="Calibri" w:hAnsi="Verdana" w:cs="Arial"/>
          <w:color w:val="000000" w:themeColor="text1"/>
          <w:lang w:val="es-ES"/>
        </w:rPr>
        <w:t xml:space="preserve">En todo caso, la Guía sugiere llevar a cabo las siguientes actuaciones: i) comparar el valor de cada oferta con el costo estimado de la provisión del bien o servicio, de acuerdo con el estudio del sector que elaboró la entidad. De todos modos, la verificación de las ofertas artificialmente bajas se puede sustentar en información adicional, como, por ejemplo, los precios de fabricantes y otros factores económicos relevantes. </w:t>
      </w:r>
      <w:proofErr w:type="spellStart"/>
      <w:r w:rsidRPr="00CD6A1A">
        <w:rPr>
          <w:rFonts w:ascii="Verdana" w:eastAsia="Calibri" w:hAnsi="Verdana" w:cs="Arial"/>
          <w:color w:val="000000" w:themeColor="text1"/>
          <w:lang w:val="es-ES"/>
        </w:rPr>
        <w:t>ii</w:t>
      </w:r>
      <w:proofErr w:type="spellEnd"/>
      <w:r w:rsidRPr="00CD6A1A">
        <w:rPr>
          <w:rFonts w:ascii="Verdana" w:eastAsia="Calibri" w:hAnsi="Verdana" w:cs="Arial"/>
          <w:color w:val="000000" w:themeColor="text1"/>
          <w:lang w:val="es-ES"/>
        </w:rPr>
        <w:t xml:space="preserve">) Solicitar explicaciones a los proponentes cuyas ofertas sean menores en un 20% o más en relación con el precio estimado por la Entidad Estatal. Para tales fines, se sugiere acudir al método de </w:t>
      </w:r>
      <w:r w:rsidRPr="00CD6A1A">
        <w:rPr>
          <w:rFonts w:ascii="Verdana" w:eastAsia="Calibri" w:hAnsi="Verdana" w:cs="Arial"/>
          <w:i/>
          <w:iCs/>
          <w:color w:val="000000" w:themeColor="text1"/>
          <w:lang w:val="es-ES"/>
        </w:rPr>
        <w:t>comparación absoluta</w:t>
      </w:r>
      <w:r w:rsidRPr="00CD6A1A">
        <w:rPr>
          <w:rFonts w:ascii="Verdana" w:eastAsia="Calibri" w:hAnsi="Verdana" w:cs="Arial"/>
          <w:color w:val="000000" w:themeColor="text1"/>
          <w:lang w:val="es-ES"/>
        </w:rPr>
        <w:t xml:space="preserve">, previamente explicado. Por último, </w:t>
      </w:r>
      <w:proofErr w:type="spellStart"/>
      <w:r w:rsidRPr="00CD6A1A">
        <w:rPr>
          <w:rFonts w:ascii="Verdana" w:eastAsia="Calibri" w:hAnsi="Verdana" w:cs="Arial"/>
          <w:color w:val="000000" w:themeColor="text1"/>
          <w:lang w:val="es-ES"/>
        </w:rPr>
        <w:t>iii</w:t>
      </w:r>
      <w:proofErr w:type="spellEnd"/>
      <w:r w:rsidRPr="00CD6A1A">
        <w:rPr>
          <w:rFonts w:ascii="Verdana" w:eastAsia="Calibri" w:hAnsi="Verdana" w:cs="Arial"/>
          <w:color w:val="000000" w:themeColor="text1"/>
          <w:lang w:val="es-ES"/>
        </w:rPr>
        <w:t xml:space="preserve">) analizar la información remitida por el proponente requerido y, con fundamento en esta, considerar el rechazo de las ofertas por la configuración de alguno de los eventos señalados en la Sección VII de la mencionada Guía. </w:t>
      </w:r>
      <w:r w:rsidRPr="00CD6A1A">
        <w:rPr>
          <w:rStyle w:val="normaltextrun"/>
          <w:rFonts w:ascii="Verdana" w:hAnsi="Verdana" w:cs="Arial"/>
          <w:color w:val="000000"/>
          <w:shd w:val="clear" w:color="auto" w:fill="FFFFFF"/>
          <w:lang w:val="es-ES"/>
        </w:rPr>
        <w:t>Este documento se refiere a los eventos en los que el proponente omitió diligenciar algún ítem o componente de la oferta; cometió un error aritmético en la determinación del valor total de la oferta; ofreció por una unidad de medida diferente a la solicitada por la Entidad Estatal; u ofreció condiciones técnicas o de ejecución del contrato que no se ajustan a las especificaciones requeridas por la Entidad.</w:t>
      </w:r>
      <w:r w:rsidRPr="00CD6A1A">
        <w:rPr>
          <w:rStyle w:val="eop"/>
          <w:rFonts w:ascii="Verdana" w:hAnsi="Verdana" w:cs="Arial"/>
          <w:color w:val="000000"/>
          <w:shd w:val="clear" w:color="auto" w:fill="FFFFFF"/>
        </w:rPr>
        <w:t> </w:t>
      </w:r>
      <w:r w:rsidRPr="00CD6A1A">
        <w:rPr>
          <w:rFonts w:ascii="Verdana" w:eastAsia="Calibri" w:hAnsi="Verdana" w:cs="Arial"/>
          <w:color w:val="000000" w:themeColor="text1"/>
          <w:lang w:val="es-ES"/>
        </w:rPr>
        <w:t xml:space="preserve"> </w:t>
      </w:r>
    </w:p>
    <w:p w14:paraId="0CA796DB" w14:textId="57891D15" w:rsidR="006E3767" w:rsidRPr="00CD6A1A" w:rsidRDefault="00546340" w:rsidP="006E3767">
      <w:pPr>
        <w:spacing w:before="120" w:line="276" w:lineRule="auto"/>
        <w:ind w:firstLine="708"/>
        <w:jc w:val="both"/>
        <w:rPr>
          <w:rFonts w:ascii="Verdana" w:hAnsi="Verdana" w:cs="Arial"/>
          <w:color w:val="000000" w:themeColor="text1"/>
        </w:rPr>
      </w:pPr>
      <w:r>
        <w:rPr>
          <w:rFonts w:ascii="Verdana" w:hAnsi="Verdana" w:cs="Arial"/>
          <w:color w:val="000000" w:themeColor="text1"/>
        </w:rPr>
        <w:lastRenderedPageBreak/>
        <w:t>Una</w:t>
      </w:r>
      <w:r w:rsidR="006E3767" w:rsidRPr="00CD6A1A">
        <w:rPr>
          <w:rFonts w:ascii="Verdana" w:hAnsi="Verdana" w:cs="Arial"/>
          <w:color w:val="000000" w:themeColor="text1"/>
        </w:rPr>
        <w:t xml:space="preserve"> vez que la entidad haya surtido su proceso de determinación de una propuesta como artificialmente baja y considerando que la oferta se encuentra inmersa en esta circunstancia, es necesario requerir al oferente para que explique las razones que sustentan el valor ofrecido. Posteriormente, el comité evaluador analizará las explicaciones y decidirá si rechaza la oferta o continúa con el análisis de la misma en el proceso de evaluación de ofertas. </w:t>
      </w:r>
    </w:p>
    <w:p w14:paraId="14530BBB" w14:textId="77777777" w:rsidR="006E3767" w:rsidRPr="00CD6A1A" w:rsidRDefault="006E3767" w:rsidP="006E3767">
      <w:pPr>
        <w:spacing w:before="120" w:line="276" w:lineRule="auto"/>
        <w:ind w:firstLine="709"/>
        <w:jc w:val="both"/>
        <w:rPr>
          <w:rFonts w:ascii="Verdana" w:hAnsi="Verdana" w:cs="Arial"/>
          <w:color w:val="000000" w:themeColor="text1"/>
        </w:rPr>
      </w:pPr>
      <w:r w:rsidRPr="00CD6A1A">
        <w:rPr>
          <w:rFonts w:ascii="Verdana" w:hAnsi="Verdana" w:cs="Arial"/>
          <w:color w:val="000000" w:themeColor="text1"/>
        </w:rPr>
        <w:t>La ley y el reglamento no determinan la forma ni el momento para requerir a los proponentes para que justifiquen el precio ofertado. Por tanto, la determinación de tales asuntos es facultativa para cada entidad pública, para lo cual debe tener presentes las particularidades de cada modalidad de selección de contratistas, partiendo de la base de que la entidad solo podrá pedir explicaciones al proponente cuando conozca su oferta económica.</w:t>
      </w:r>
    </w:p>
    <w:p w14:paraId="50F5B2F0"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En el evento en que el proponente no allegue información una vez se haya requerido, se tratará de una omisión que el comité evaluador deberá analizar. De ser el caso, podrá rechazar la oferta si la duda que tiene es de tal magnitud que no tomar la decisión podría eventualmente comprometer la legalidad del proceso.   </w:t>
      </w:r>
    </w:p>
    <w:p w14:paraId="7CDE8F41"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El requerimiento debe comunicarse al proponente por el medio que la entidad considere más eficaz e idóneo, de acuerdo con el caso y las circunstancias particulares de la información objeto de requerimiento. Puede acudir a mensajes electrónicos y otros de similar informalidad. En relación con este aspecto, en el Concepto 2201913000008288 del 7 de noviembre de 2019, esta Agencia avaló en abstracto la idoneidad de una llamada telefónica para comunicar el requerimiento al oferente. La entidad estatal, entonces, no tiene la obligación de notificar dicho requerimiento al proponente, pues el mismo es un acto de trámite y no uno definitivo</w:t>
      </w:r>
      <w:r w:rsidRPr="00CD6A1A">
        <w:rPr>
          <w:rStyle w:val="Refdenotaalpie"/>
          <w:rFonts w:ascii="Verdana" w:hAnsi="Verdana" w:cs="Arial"/>
          <w:color w:val="000000" w:themeColor="text1"/>
        </w:rPr>
        <w:footnoteReference w:id="4"/>
      </w:r>
      <w:r w:rsidRPr="00CD6A1A">
        <w:rPr>
          <w:rFonts w:ascii="Verdana" w:hAnsi="Verdana" w:cs="Arial"/>
          <w:color w:val="000000" w:themeColor="text1"/>
        </w:rPr>
        <w:t>.</w:t>
      </w:r>
    </w:p>
    <w:p w14:paraId="012AAA4D"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En cuanto al término que se debe otorgar a los proponentes para que expliquen el precio ofertado, es preciso indicar que es un asunto que también queda a la discrecionalidad de la entidad. Sin embargo, la discrecionalidad debe ejercerse de manera sensata, con buen criterio y de forma prudente. Así lo explicó la Sección Quinta del Consejo de Estado en la sentencia del 10 de junio </w:t>
      </w:r>
      <w:r w:rsidRPr="00CD6A1A">
        <w:rPr>
          <w:rFonts w:ascii="Verdana" w:hAnsi="Verdana" w:cs="Arial"/>
          <w:color w:val="000000" w:themeColor="text1"/>
        </w:rPr>
        <w:lastRenderedPageBreak/>
        <w:t>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CD6A1A">
        <w:rPr>
          <w:rStyle w:val="Refdenotaalpie"/>
          <w:rFonts w:ascii="Verdana" w:hAnsi="Verdana" w:cs="Arial"/>
          <w:color w:val="000000" w:themeColor="text1"/>
        </w:rPr>
        <w:footnoteReference w:id="5"/>
      </w:r>
      <w:r w:rsidRPr="00CD6A1A">
        <w:rPr>
          <w:rFonts w:ascii="Verdana" w:hAnsi="Verdana" w:cs="Arial"/>
          <w:color w:val="000000" w:themeColor="text1"/>
        </w:rPr>
        <w:t xml:space="preserve">. </w:t>
      </w:r>
    </w:p>
    <w:p w14:paraId="5CD3FED9"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La doctrina foránea se ha pronunciado en similar sentido, al argumentar que la discrecionalidad administrativa tiene dos</w:t>
      </w:r>
      <w:r>
        <w:rPr>
          <w:rFonts w:ascii="Verdana" w:hAnsi="Verdana" w:cs="Arial"/>
          <w:color w:val="000000" w:themeColor="text1"/>
        </w:rPr>
        <w:t xml:space="preserve"> (2)</w:t>
      </w:r>
      <w:r w:rsidRPr="00CD6A1A">
        <w:rPr>
          <w:rFonts w:ascii="Verdana" w:hAnsi="Verdana" w:cs="Arial"/>
          <w:color w:val="000000" w:themeColor="text1"/>
        </w:rPr>
        <w:t xml:space="preserve"> limitantes: una, el respeto a la finalidad jurídica que justifica, que no es nada distinto a satisfacer el interés general; y otra, que el uso de la discrecionalidad sea necesario para cumplir el interés jurídico que se tutela. En estos términos, la entidad deberá adoptar una medida que esté acorde con el interés general</w:t>
      </w:r>
      <w:r w:rsidRPr="00CD6A1A">
        <w:rPr>
          <w:rStyle w:val="Refdenotaalpie"/>
          <w:rFonts w:ascii="Verdana" w:hAnsi="Verdana" w:cs="Arial"/>
          <w:color w:val="000000" w:themeColor="text1"/>
        </w:rPr>
        <w:footnoteReference w:id="6"/>
      </w:r>
      <w:r w:rsidRPr="00CD6A1A">
        <w:rPr>
          <w:rFonts w:ascii="Verdana" w:hAnsi="Verdana" w:cs="Arial"/>
          <w:color w:val="000000" w:themeColor="text1"/>
        </w:rPr>
        <w:t>.</w:t>
      </w:r>
    </w:p>
    <w:p w14:paraId="4BE4B17C" w14:textId="77777777" w:rsidR="006E3767" w:rsidRPr="00CD6A1A" w:rsidRDefault="006E3767" w:rsidP="006E376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La entidad tiene entonces la facultad de definir el término mínimo que otorgará a los proponentes para aclarar el precio artificialmente bajo. No obstante, dicho término debe estar acorde, por un lado, con el interés general y, por el otro, con los principios de proporcionalidad y razonabilidad, así como también con los principios del Estatuto General de Contratación de la Administración Pública. </w:t>
      </w:r>
    </w:p>
    <w:p w14:paraId="1F79C182" w14:textId="673B1C60" w:rsidR="006E3767" w:rsidRDefault="006E3767" w:rsidP="00546340">
      <w:pPr>
        <w:pStyle w:val="NormalWeb"/>
        <w:spacing w:after="120" w:afterAutospacing="0" w:line="276" w:lineRule="auto"/>
        <w:ind w:firstLine="709"/>
        <w:jc w:val="both"/>
        <w:rPr>
          <w:rFonts w:ascii="Verdana" w:hAnsi="Verdana" w:cs="Arial"/>
          <w:color w:val="000000" w:themeColor="text1"/>
          <w:sz w:val="22"/>
          <w:szCs w:val="22"/>
          <w:lang w:val="es-ES"/>
        </w:rPr>
      </w:pPr>
      <w:r w:rsidRPr="00CD6A1A">
        <w:rPr>
          <w:rFonts w:ascii="Verdana" w:hAnsi="Verdana" w:cs="Arial"/>
          <w:color w:val="000000" w:themeColor="text1"/>
          <w:sz w:val="22"/>
          <w:szCs w:val="22"/>
          <w:lang w:val="es-ES"/>
        </w:rPr>
        <w:t xml:space="preserve">Finalmente, verificada la información remitida por el proponente, la entidad debe definir si rechaza o no la oferta. En la “Guía para el manejo de ofertas artificialmente bajas en Procesos de Contratación”, la </w:t>
      </w:r>
      <w:r w:rsidRPr="00CD6A1A">
        <w:rPr>
          <w:rFonts w:ascii="Verdana" w:hAnsi="Verdana" w:cs="Arial"/>
          <w:color w:val="000000" w:themeColor="text1"/>
          <w:sz w:val="22"/>
        </w:rPr>
        <w:t xml:space="preserve">Agencia Nacional de Contratación Pública </w:t>
      </w:r>
      <w:r w:rsidRPr="00CD6A1A">
        <w:rPr>
          <w:rFonts w:ascii="Verdana" w:hAnsi="Verdana" w:cs="Arial"/>
          <w:color w:val="000000" w:themeColor="text1"/>
          <w:sz w:val="22"/>
          <w:szCs w:val="22"/>
          <w:lang w:val="es-ES"/>
        </w:rPr>
        <w:t xml:space="preserve">precisó que se debe rechazar la propuesta en los siguientes eventos: i) “el proponente no presenta por escrito a la entidad estatal la aclaración de la oferta”, </w:t>
      </w:r>
      <w:proofErr w:type="spellStart"/>
      <w:r w:rsidRPr="00CD6A1A">
        <w:rPr>
          <w:rFonts w:ascii="Verdana" w:hAnsi="Verdana" w:cs="Arial"/>
          <w:color w:val="000000" w:themeColor="text1"/>
          <w:sz w:val="22"/>
          <w:szCs w:val="22"/>
          <w:lang w:val="es-ES"/>
        </w:rPr>
        <w:t>ii</w:t>
      </w:r>
      <w:proofErr w:type="spellEnd"/>
      <w:r w:rsidRPr="00CD6A1A">
        <w:rPr>
          <w:rFonts w:ascii="Verdana" w:hAnsi="Verdana" w:cs="Arial"/>
          <w:color w:val="000000" w:themeColor="text1"/>
          <w:sz w:val="22"/>
          <w:szCs w:val="22"/>
          <w:lang w:val="es-ES"/>
        </w:rPr>
        <w:t xml:space="preserve">) “el proponente no envía parte o la totalidad de la información solicitada por la entidad estatal”, </w:t>
      </w:r>
      <w:proofErr w:type="spellStart"/>
      <w:r w:rsidRPr="00CD6A1A">
        <w:rPr>
          <w:rFonts w:ascii="Verdana" w:hAnsi="Verdana" w:cs="Arial"/>
          <w:color w:val="000000" w:themeColor="text1"/>
          <w:sz w:val="22"/>
          <w:szCs w:val="22"/>
          <w:lang w:val="es-ES"/>
        </w:rPr>
        <w:t>iii</w:t>
      </w:r>
      <w:proofErr w:type="spellEnd"/>
      <w:r w:rsidRPr="00CD6A1A">
        <w:rPr>
          <w:rFonts w:ascii="Verdana" w:hAnsi="Verdana" w:cs="Arial"/>
          <w:color w:val="000000" w:themeColor="text1"/>
          <w:sz w:val="22"/>
          <w:szCs w:val="22"/>
          <w:lang w:val="es-ES"/>
        </w:rPr>
        <w:t xml:space="preserve">) “las aclaraciones del proponente no son satisfactorias para garantizar la sostenibilidad de la oferta durante la ejecución del contrato” y </w:t>
      </w:r>
      <w:proofErr w:type="spellStart"/>
      <w:r w:rsidRPr="00CD6A1A">
        <w:rPr>
          <w:rFonts w:ascii="Verdana" w:hAnsi="Verdana" w:cs="Arial"/>
          <w:color w:val="000000" w:themeColor="text1"/>
          <w:sz w:val="22"/>
          <w:szCs w:val="22"/>
          <w:lang w:val="es-ES"/>
        </w:rPr>
        <w:t>iv</w:t>
      </w:r>
      <w:proofErr w:type="spellEnd"/>
      <w:r w:rsidRPr="00CD6A1A">
        <w:rPr>
          <w:rFonts w:ascii="Verdana" w:hAnsi="Verdana" w:cs="Arial"/>
          <w:color w:val="000000" w:themeColor="text1"/>
          <w:sz w:val="22"/>
          <w:szCs w:val="22"/>
          <w:lang w:val="es-ES"/>
        </w:rPr>
        <w:t xml:space="preserve">) “las aclaraciones del proponente no desvirtúan la teoría de que está utilizando su oferta como parte de una estrategia colusoria o […] anticompetitiva durante el proceso de selección”. Lo anterior, sin </w:t>
      </w:r>
      <w:r w:rsidRPr="00CD6A1A">
        <w:rPr>
          <w:rFonts w:ascii="Verdana" w:hAnsi="Verdana" w:cs="Arial"/>
          <w:color w:val="000000" w:themeColor="text1"/>
          <w:sz w:val="22"/>
          <w:szCs w:val="22"/>
          <w:lang w:val="es-ES"/>
        </w:rPr>
        <w:lastRenderedPageBreak/>
        <w:t>perjuicio de los eventos señalados en la Sección VII de la “Guía para el manejo de ofertas artificialmente bajas en Procesos de Contratación de Colombia Compra Eficiente”, los cuales, debe advertirse, son criterios orientadores para las entidades públicas y no causales de rechazo en estricto sentido.</w:t>
      </w:r>
    </w:p>
    <w:p w14:paraId="631E62B8" w14:textId="6AD29BD6" w:rsidR="00A1416B" w:rsidRDefault="00546340" w:rsidP="00546340">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Pr>
          <w:rFonts w:ascii="Verdana" w:hAnsi="Verdana" w:cs="Arial"/>
          <w:color w:val="000000" w:themeColor="text1"/>
          <w:sz w:val="22"/>
          <w:szCs w:val="22"/>
          <w:lang w:val="es-ES"/>
        </w:rPr>
        <w:t xml:space="preserve">En todo caso, debe advertirse que </w:t>
      </w:r>
      <w:r w:rsidR="00F26F8E">
        <w:rPr>
          <w:rFonts w:ascii="Verdana" w:hAnsi="Verdana" w:cs="Arial"/>
          <w:color w:val="000000" w:themeColor="text1"/>
          <w:sz w:val="22"/>
          <w:szCs w:val="22"/>
          <w:lang w:val="es-ES"/>
        </w:rPr>
        <w:t xml:space="preserve">las aclaraciones que </w:t>
      </w:r>
      <w:r w:rsidR="0038453A">
        <w:rPr>
          <w:rFonts w:ascii="Verdana" w:hAnsi="Verdana" w:cs="Arial"/>
          <w:color w:val="000000" w:themeColor="text1"/>
          <w:sz w:val="22"/>
          <w:szCs w:val="22"/>
          <w:lang w:val="es-ES"/>
        </w:rPr>
        <w:t>están obligad</w:t>
      </w:r>
      <w:r w:rsidR="001E61D6">
        <w:rPr>
          <w:rFonts w:ascii="Verdana" w:hAnsi="Verdana" w:cs="Arial"/>
          <w:color w:val="000000" w:themeColor="text1"/>
          <w:sz w:val="22"/>
          <w:szCs w:val="22"/>
          <w:lang w:val="es-ES"/>
        </w:rPr>
        <w:t>o</w:t>
      </w:r>
      <w:r w:rsidR="0038453A">
        <w:rPr>
          <w:rFonts w:ascii="Verdana" w:hAnsi="Verdana" w:cs="Arial"/>
          <w:color w:val="000000" w:themeColor="text1"/>
          <w:sz w:val="22"/>
          <w:szCs w:val="22"/>
          <w:lang w:val="es-ES"/>
        </w:rPr>
        <w:t>s a dar los proponente</w:t>
      </w:r>
      <w:r w:rsidR="006B35DA">
        <w:rPr>
          <w:rFonts w:ascii="Verdana" w:hAnsi="Verdana" w:cs="Arial"/>
          <w:color w:val="000000" w:themeColor="text1"/>
          <w:sz w:val="22"/>
          <w:szCs w:val="22"/>
          <w:lang w:val="es-ES"/>
        </w:rPr>
        <w:t xml:space="preserve">s </w:t>
      </w:r>
      <w:r w:rsidR="001940F4">
        <w:rPr>
          <w:rFonts w:ascii="Verdana" w:hAnsi="Verdana" w:cs="Arial"/>
          <w:color w:val="000000" w:themeColor="text1"/>
          <w:sz w:val="22"/>
          <w:szCs w:val="22"/>
          <w:lang w:val="es-ES"/>
        </w:rPr>
        <w:t>según</w:t>
      </w:r>
      <w:r w:rsidR="006B35DA">
        <w:rPr>
          <w:rFonts w:ascii="Verdana" w:hAnsi="Verdana" w:cs="Arial"/>
          <w:color w:val="000000" w:themeColor="text1"/>
          <w:sz w:val="22"/>
          <w:szCs w:val="22"/>
          <w:lang w:val="es-ES"/>
        </w:rPr>
        <w:t xml:space="preserve"> lo dispuesto en el </w:t>
      </w:r>
      <w:r w:rsidR="00004605">
        <w:rPr>
          <w:rFonts w:ascii="Verdana" w:hAnsi="Verdana" w:cs="Arial"/>
          <w:color w:val="000000" w:themeColor="text1"/>
          <w:sz w:val="22"/>
          <w:szCs w:val="22"/>
          <w:lang w:val="es-ES"/>
        </w:rPr>
        <w:t xml:space="preserve">artículo </w:t>
      </w:r>
      <w:r w:rsidR="00004605" w:rsidRPr="00004605">
        <w:rPr>
          <w:rFonts w:ascii="Verdana" w:hAnsi="Verdana" w:cs="Arial"/>
          <w:color w:val="000000" w:themeColor="text1"/>
          <w:sz w:val="22"/>
          <w:szCs w:val="22"/>
          <w:lang w:val="es-ES"/>
        </w:rPr>
        <w:t>2.2.1.1.2.2.4</w:t>
      </w:r>
      <w:r w:rsidR="00004605">
        <w:rPr>
          <w:rFonts w:ascii="Verdana" w:hAnsi="Verdana" w:cs="Arial"/>
          <w:color w:val="000000" w:themeColor="text1"/>
          <w:sz w:val="22"/>
          <w:szCs w:val="22"/>
          <w:lang w:val="es-ES"/>
        </w:rPr>
        <w:t xml:space="preserve"> del Decreto 1082 de 2015</w:t>
      </w:r>
      <w:r w:rsidR="007E21C0">
        <w:rPr>
          <w:rFonts w:ascii="Verdana" w:hAnsi="Verdana" w:cs="Arial"/>
          <w:color w:val="000000" w:themeColor="text1"/>
          <w:sz w:val="22"/>
          <w:szCs w:val="22"/>
          <w:lang w:val="es-ES"/>
        </w:rPr>
        <w:t xml:space="preserve">, deben cumplir con la carga de claridad suficiente para desvirtuar </w:t>
      </w:r>
      <w:r w:rsidR="006B35DA">
        <w:rPr>
          <w:rFonts w:ascii="Verdana" w:hAnsi="Verdana" w:cs="Arial"/>
          <w:color w:val="000000" w:themeColor="text1"/>
          <w:sz w:val="22"/>
          <w:szCs w:val="22"/>
          <w:lang w:val="es-ES"/>
        </w:rPr>
        <w:t>las razones por</w:t>
      </w:r>
      <w:r w:rsidR="00004605">
        <w:rPr>
          <w:rFonts w:ascii="Verdana" w:hAnsi="Verdana" w:cs="Arial"/>
          <w:color w:val="000000" w:themeColor="text1"/>
          <w:sz w:val="22"/>
          <w:szCs w:val="22"/>
          <w:lang w:val="es-ES"/>
        </w:rPr>
        <w:t xml:space="preserve"> las que la Entidad Estatal ha estimado que </w:t>
      </w:r>
      <w:r w:rsidR="00C70059">
        <w:rPr>
          <w:rFonts w:ascii="Verdana" w:hAnsi="Verdana" w:cs="Arial"/>
          <w:color w:val="000000" w:themeColor="text1"/>
          <w:sz w:val="22"/>
          <w:szCs w:val="22"/>
          <w:lang w:val="es-ES"/>
        </w:rPr>
        <w:t xml:space="preserve">la oferta es artificialmente baja. Esto implica </w:t>
      </w:r>
      <w:r w:rsidR="00D06DB8">
        <w:rPr>
          <w:rFonts w:ascii="Verdana" w:hAnsi="Verdana" w:cs="Arial"/>
          <w:color w:val="000000" w:themeColor="text1"/>
          <w:sz w:val="22"/>
          <w:szCs w:val="22"/>
          <w:lang w:val="es-ES"/>
        </w:rPr>
        <w:t>dar cuenta de las circunstancias objetivas</w:t>
      </w:r>
      <w:r w:rsidR="00F9427D">
        <w:rPr>
          <w:rFonts w:ascii="Verdana" w:hAnsi="Verdana" w:cs="Arial"/>
          <w:color w:val="000000" w:themeColor="text1"/>
          <w:sz w:val="22"/>
          <w:szCs w:val="22"/>
          <w:lang w:val="es-ES"/>
        </w:rPr>
        <w:t xml:space="preserve"> </w:t>
      </w:r>
      <w:r w:rsidR="00793759">
        <w:rPr>
          <w:rFonts w:ascii="Verdana" w:hAnsi="Verdana" w:cs="Arial"/>
          <w:color w:val="000000" w:themeColor="text1"/>
          <w:sz w:val="22"/>
          <w:szCs w:val="22"/>
          <w:lang w:val="es-ES"/>
        </w:rPr>
        <w:t>debido a</w:t>
      </w:r>
      <w:r w:rsidR="00F9427D">
        <w:rPr>
          <w:rFonts w:ascii="Verdana" w:hAnsi="Verdana" w:cs="Arial"/>
          <w:color w:val="000000" w:themeColor="text1"/>
          <w:sz w:val="22"/>
          <w:szCs w:val="22"/>
          <w:lang w:val="es-ES"/>
        </w:rPr>
        <w:t xml:space="preserve"> las cuales </w:t>
      </w:r>
      <w:r w:rsidR="007D6562">
        <w:rPr>
          <w:rFonts w:ascii="Verdana" w:hAnsi="Verdana" w:cs="Arial"/>
          <w:color w:val="000000" w:themeColor="text1"/>
          <w:sz w:val="22"/>
          <w:szCs w:val="22"/>
          <w:lang w:val="es-ES"/>
        </w:rPr>
        <w:t xml:space="preserve">la oferta es sustentable </w:t>
      </w:r>
      <w:r w:rsidR="00944E37">
        <w:rPr>
          <w:rFonts w:ascii="Verdana" w:hAnsi="Verdana" w:cs="Arial"/>
          <w:color w:val="000000" w:themeColor="text1"/>
          <w:sz w:val="22"/>
          <w:szCs w:val="22"/>
          <w:lang w:val="es-ES"/>
        </w:rPr>
        <w:t xml:space="preserve">y competitiva. De acuerdo con lo señalado en la mencionada guía </w:t>
      </w:r>
      <w:r w:rsidR="001940F4">
        <w:rPr>
          <w:rFonts w:ascii="Verdana" w:hAnsi="Verdana" w:cs="Arial"/>
          <w:color w:val="000000" w:themeColor="text1"/>
          <w:sz w:val="22"/>
          <w:szCs w:val="22"/>
          <w:lang w:val="es-ES"/>
        </w:rPr>
        <w:t>estas circunstancias puede</w:t>
      </w:r>
      <w:r w:rsidR="00D07C1F">
        <w:rPr>
          <w:rFonts w:ascii="Verdana" w:hAnsi="Verdana" w:cs="Arial"/>
          <w:color w:val="000000" w:themeColor="text1"/>
          <w:sz w:val="22"/>
          <w:szCs w:val="22"/>
          <w:lang w:val="es-ES"/>
        </w:rPr>
        <w:t xml:space="preserve">n estar relacionadas con </w:t>
      </w:r>
      <w:r w:rsidR="00D07C1F" w:rsidRPr="00D07C1F">
        <w:rPr>
          <w:rFonts w:ascii="Verdana" w:hAnsi="Verdana" w:cs="Arial"/>
          <w:color w:val="000000" w:themeColor="text1"/>
          <w:sz w:val="22"/>
          <w:szCs w:val="22"/>
        </w:rPr>
        <w:t xml:space="preserve">i) técnicas diferenciadas de producción del bien o provisión del servicio; </w:t>
      </w:r>
      <w:proofErr w:type="spellStart"/>
      <w:r w:rsidR="00D07C1F" w:rsidRPr="00D07C1F">
        <w:rPr>
          <w:rFonts w:ascii="Verdana" w:hAnsi="Verdana" w:cs="Arial"/>
          <w:color w:val="000000" w:themeColor="text1"/>
          <w:sz w:val="22"/>
          <w:szCs w:val="22"/>
        </w:rPr>
        <w:t>ii</w:t>
      </w:r>
      <w:proofErr w:type="spellEnd"/>
      <w:r w:rsidR="00D07C1F" w:rsidRPr="00D07C1F">
        <w:rPr>
          <w:rFonts w:ascii="Verdana" w:hAnsi="Verdana" w:cs="Arial"/>
          <w:color w:val="000000" w:themeColor="text1"/>
          <w:sz w:val="22"/>
          <w:szCs w:val="22"/>
        </w:rPr>
        <w:t xml:space="preserve">) cercanía al lugar de provisión o al lugar de abastecimiento de materias primas; </w:t>
      </w:r>
      <w:proofErr w:type="spellStart"/>
      <w:r w:rsidR="00D07C1F" w:rsidRPr="00D07C1F">
        <w:rPr>
          <w:rFonts w:ascii="Verdana" w:hAnsi="Verdana" w:cs="Arial"/>
          <w:color w:val="000000" w:themeColor="text1"/>
          <w:sz w:val="22"/>
          <w:szCs w:val="22"/>
        </w:rPr>
        <w:t>iii</w:t>
      </w:r>
      <w:proofErr w:type="spellEnd"/>
      <w:r w:rsidR="00D07C1F" w:rsidRPr="00D07C1F">
        <w:rPr>
          <w:rFonts w:ascii="Verdana" w:hAnsi="Verdana" w:cs="Arial"/>
          <w:color w:val="000000" w:themeColor="text1"/>
          <w:sz w:val="22"/>
          <w:szCs w:val="22"/>
        </w:rPr>
        <w:t xml:space="preserve">) mejores condiciones contractuales con los proveedores de insumos; y </w:t>
      </w:r>
      <w:proofErr w:type="spellStart"/>
      <w:r w:rsidR="00D07C1F" w:rsidRPr="00D07C1F">
        <w:rPr>
          <w:rFonts w:ascii="Verdana" w:hAnsi="Verdana" w:cs="Arial"/>
          <w:color w:val="000000" w:themeColor="text1"/>
          <w:sz w:val="22"/>
          <w:szCs w:val="22"/>
        </w:rPr>
        <w:t>iv</w:t>
      </w:r>
      <w:proofErr w:type="spellEnd"/>
      <w:r w:rsidR="00D07C1F" w:rsidRPr="00D07C1F">
        <w:rPr>
          <w:rFonts w:ascii="Verdana" w:hAnsi="Verdana" w:cs="Arial"/>
          <w:color w:val="000000" w:themeColor="text1"/>
          <w:sz w:val="22"/>
          <w:szCs w:val="22"/>
        </w:rPr>
        <w:t>) mayor diversificación de productos o servicios relacionados.</w:t>
      </w:r>
      <w:r w:rsidR="006B35DA">
        <w:rPr>
          <w:rFonts w:ascii="Verdana" w:hAnsi="Verdana" w:cs="Arial"/>
          <w:color w:val="000000" w:themeColor="text1"/>
          <w:sz w:val="22"/>
          <w:szCs w:val="22"/>
          <w:lang w:val="es-ES"/>
        </w:rPr>
        <w:t xml:space="preserve"> </w:t>
      </w:r>
      <w:r w:rsidR="004A4640">
        <w:rPr>
          <w:rFonts w:ascii="Verdana" w:hAnsi="Verdana" w:cs="Arial"/>
          <w:color w:val="000000" w:themeColor="text1"/>
          <w:sz w:val="22"/>
          <w:szCs w:val="22"/>
          <w:lang w:val="es-ES"/>
        </w:rPr>
        <w:t>Lo anterior sin perjuicio de que el contratista indique alguna otra raz</w:t>
      </w:r>
      <w:r w:rsidR="005E36F4">
        <w:rPr>
          <w:rFonts w:ascii="Verdana" w:hAnsi="Verdana" w:cs="Arial"/>
          <w:color w:val="000000" w:themeColor="text1"/>
          <w:sz w:val="22"/>
          <w:szCs w:val="22"/>
          <w:lang w:val="es-ES"/>
        </w:rPr>
        <w:t xml:space="preserve">ón distinta por la que la oferta es competitiva, incluyendo aquellas relacionadas con implementación de economías de escala o alcance. </w:t>
      </w:r>
    </w:p>
    <w:p w14:paraId="61FCEE30" w14:textId="736D538E" w:rsidR="007D075C" w:rsidRDefault="007D075C" w:rsidP="00546340">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sidRPr="007D075C">
        <w:rPr>
          <w:rFonts w:ascii="Verdana" w:hAnsi="Verdana" w:cs="Arial"/>
          <w:color w:val="000000" w:themeColor="text1"/>
          <w:sz w:val="22"/>
          <w:szCs w:val="22"/>
        </w:rPr>
        <w:t>Para verificar la sostenibilidad de una oferta, el Banco Mundial recomienda analizar los subtotales de cada componente de un contrato</w:t>
      </w:r>
      <w:r>
        <w:rPr>
          <w:rStyle w:val="Refdenotaalpie"/>
          <w:rFonts w:ascii="Verdana" w:hAnsi="Verdana" w:cs="Arial"/>
          <w:color w:val="000000" w:themeColor="text1"/>
          <w:sz w:val="22"/>
          <w:szCs w:val="22"/>
        </w:rPr>
        <w:footnoteReference w:id="7"/>
      </w:r>
      <w:r w:rsidRPr="007D075C">
        <w:rPr>
          <w:rFonts w:ascii="Verdana" w:hAnsi="Verdana" w:cs="Arial"/>
          <w:color w:val="000000" w:themeColor="text1"/>
          <w:sz w:val="22"/>
          <w:szCs w:val="22"/>
        </w:rPr>
        <w:t>. Para el efecto, la Entidad Estatal debe comparar el costo de cada componente del contrato de cada una de las ofertas recibidas para determinar los componentes que presentan mayor diferencia. Si alguna oferta resulta estar muy por debajo de las demás en el análisis de subtotales, quiere decir que el proponente subestimó todos los costos asociados, o estableció un margen de utilidad excepcionalmente reducido. En este caso, la Entidad Estatal puede solicitar nuevamente aclaraciones, haciendo énfasis en el margen de utilidad estimado por el proponente.</w:t>
      </w:r>
    </w:p>
    <w:p w14:paraId="0EE76DC8" w14:textId="397F8002" w:rsidR="004B011B" w:rsidRDefault="00BF66AB" w:rsidP="00546340">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Pr>
          <w:rFonts w:ascii="Verdana" w:hAnsi="Verdana" w:cs="Arial"/>
          <w:color w:val="000000" w:themeColor="text1"/>
          <w:sz w:val="22"/>
          <w:szCs w:val="22"/>
          <w:lang w:val="es-ES"/>
        </w:rPr>
        <w:t>Con todo, si las razones indicadas por el proponente en respuesta a la solicitud de aclaración no cumplen con la referida carga de claridad</w:t>
      </w:r>
      <w:r w:rsidR="00E41AA9">
        <w:rPr>
          <w:rFonts w:ascii="Verdana" w:hAnsi="Verdana" w:cs="Arial"/>
          <w:color w:val="000000" w:themeColor="text1"/>
          <w:sz w:val="22"/>
          <w:szCs w:val="22"/>
          <w:lang w:val="es-ES"/>
        </w:rPr>
        <w:t xml:space="preserve"> y objetividad</w:t>
      </w:r>
      <w:r>
        <w:rPr>
          <w:rFonts w:ascii="Verdana" w:hAnsi="Verdana" w:cs="Arial"/>
          <w:color w:val="000000" w:themeColor="text1"/>
          <w:sz w:val="22"/>
          <w:szCs w:val="22"/>
          <w:lang w:val="es-ES"/>
        </w:rPr>
        <w:t>,</w:t>
      </w:r>
      <w:r w:rsidR="00E41AA9">
        <w:rPr>
          <w:rFonts w:ascii="Verdana" w:hAnsi="Verdana" w:cs="Arial"/>
          <w:color w:val="000000" w:themeColor="text1"/>
          <w:sz w:val="22"/>
          <w:szCs w:val="22"/>
          <w:lang w:val="es-ES"/>
        </w:rPr>
        <w:t xml:space="preserve"> la entidad estatal deberá rechazar la oferta.</w:t>
      </w:r>
      <w:r w:rsidR="005648A3">
        <w:rPr>
          <w:rFonts w:ascii="Verdana" w:hAnsi="Verdana" w:cs="Arial"/>
          <w:color w:val="000000" w:themeColor="text1"/>
          <w:sz w:val="22"/>
          <w:szCs w:val="22"/>
          <w:lang w:val="es-ES"/>
        </w:rPr>
        <w:t xml:space="preserve"> </w:t>
      </w:r>
      <w:r w:rsidR="001301FD">
        <w:rPr>
          <w:rFonts w:ascii="Verdana" w:hAnsi="Verdana" w:cs="Arial"/>
          <w:color w:val="000000" w:themeColor="text1"/>
          <w:sz w:val="22"/>
          <w:szCs w:val="22"/>
          <w:lang w:val="es-ES"/>
        </w:rPr>
        <w:t xml:space="preserve">En </w:t>
      </w:r>
      <w:r w:rsidR="00BD4825">
        <w:rPr>
          <w:rFonts w:ascii="Verdana" w:hAnsi="Verdana" w:cs="Arial"/>
          <w:color w:val="000000" w:themeColor="text1"/>
          <w:sz w:val="22"/>
          <w:szCs w:val="22"/>
          <w:lang w:val="es-ES"/>
        </w:rPr>
        <w:t>ese sentido</w:t>
      </w:r>
      <w:r w:rsidR="001301FD">
        <w:rPr>
          <w:rFonts w:ascii="Verdana" w:hAnsi="Verdana" w:cs="Arial"/>
          <w:color w:val="000000" w:themeColor="text1"/>
          <w:sz w:val="22"/>
          <w:szCs w:val="22"/>
          <w:lang w:val="es-ES"/>
        </w:rPr>
        <w:t xml:space="preserve">, es importante tener en cuenta que </w:t>
      </w:r>
      <w:r w:rsidR="00A05053" w:rsidRPr="00A05053">
        <w:rPr>
          <w:rFonts w:ascii="Verdana" w:hAnsi="Verdana" w:cs="Arial"/>
          <w:color w:val="000000" w:themeColor="text1"/>
          <w:sz w:val="22"/>
          <w:szCs w:val="22"/>
        </w:rPr>
        <w:t>no</w:t>
      </w:r>
      <w:r w:rsidR="004A7B03">
        <w:rPr>
          <w:rFonts w:ascii="Verdana" w:hAnsi="Verdana" w:cs="Arial"/>
          <w:color w:val="000000" w:themeColor="text1"/>
          <w:sz w:val="22"/>
          <w:szCs w:val="22"/>
        </w:rPr>
        <w:t xml:space="preserve"> la respuesta a la solicitud de aclaración no</w:t>
      </w:r>
      <w:r w:rsidR="00A05053" w:rsidRPr="00A05053">
        <w:rPr>
          <w:rFonts w:ascii="Verdana" w:hAnsi="Verdana" w:cs="Arial"/>
          <w:color w:val="000000" w:themeColor="text1"/>
          <w:sz w:val="22"/>
          <w:szCs w:val="22"/>
        </w:rPr>
        <w:t xml:space="preserve"> es una oportunidad para que los proponentes modifiquen parcial ni totalmente sus ofertas</w:t>
      </w:r>
      <w:r w:rsidR="00A05053">
        <w:rPr>
          <w:rFonts w:ascii="Verdana" w:hAnsi="Verdana" w:cs="Arial"/>
          <w:color w:val="000000" w:themeColor="text1"/>
          <w:sz w:val="22"/>
          <w:szCs w:val="22"/>
        </w:rPr>
        <w:t xml:space="preserve">, ni para que estos </w:t>
      </w:r>
      <w:r w:rsidR="006B0939">
        <w:rPr>
          <w:rFonts w:ascii="Verdana" w:hAnsi="Verdana" w:cs="Arial"/>
          <w:color w:val="000000" w:themeColor="text1"/>
          <w:sz w:val="22"/>
          <w:szCs w:val="22"/>
        </w:rPr>
        <w:t>transgredan</w:t>
      </w:r>
      <w:r w:rsidR="00A05053">
        <w:rPr>
          <w:rFonts w:ascii="Verdana" w:hAnsi="Verdana" w:cs="Arial"/>
          <w:color w:val="000000" w:themeColor="text1"/>
          <w:sz w:val="22"/>
          <w:szCs w:val="22"/>
        </w:rPr>
        <w:t xml:space="preserve"> la</w:t>
      </w:r>
      <w:r w:rsidR="006B0939">
        <w:rPr>
          <w:rFonts w:ascii="Verdana" w:hAnsi="Verdana" w:cs="Arial"/>
          <w:color w:val="000000" w:themeColor="text1"/>
          <w:sz w:val="22"/>
          <w:szCs w:val="22"/>
        </w:rPr>
        <w:t xml:space="preserve"> conmutatividad del contrato estatal</w:t>
      </w:r>
      <w:r w:rsidR="00A05053">
        <w:rPr>
          <w:rFonts w:ascii="Verdana" w:hAnsi="Verdana" w:cs="Arial"/>
          <w:color w:val="000000" w:themeColor="text1"/>
          <w:sz w:val="22"/>
          <w:szCs w:val="22"/>
        </w:rPr>
        <w:t xml:space="preserve"> </w:t>
      </w:r>
      <w:r w:rsidR="006B0939">
        <w:rPr>
          <w:rFonts w:ascii="Verdana" w:hAnsi="Verdana" w:cs="Arial"/>
          <w:color w:val="000000" w:themeColor="text1"/>
          <w:sz w:val="22"/>
          <w:szCs w:val="22"/>
        </w:rPr>
        <w:t xml:space="preserve">ofreciendo </w:t>
      </w:r>
      <w:r w:rsidR="008E58EE">
        <w:rPr>
          <w:rFonts w:ascii="Verdana" w:hAnsi="Verdana" w:cs="Arial"/>
          <w:color w:val="000000" w:themeColor="text1"/>
          <w:sz w:val="22"/>
          <w:szCs w:val="22"/>
        </w:rPr>
        <w:t xml:space="preserve">una </w:t>
      </w:r>
      <w:r w:rsidR="008E58EE">
        <w:rPr>
          <w:rFonts w:ascii="Verdana" w:hAnsi="Verdana" w:cs="Arial"/>
          <w:color w:val="000000" w:themeColor="text1"/>
          <w:sz w:val="22"/>
          <w:szCs w:val="22"/>
        </w:rPr>
        <w:lastRenderedPageBreak/>
        <w:t>contraprestación excesivamente reducida</w:t>
      </w:r>
      <w:r w:rsidR="00EF6C0A">
        <w:rPr>
          <w:rStyle w:val="Refdenotaalpie"/>
          <w:rFonts w:ascii="Verdana" w:hAnsi="Verdana" w:cs="Arial"/>
          <w:color w:val="000000" w:themeColor="text1"/>
          <w:sz w:val="22"/>
          <w:szCs w:val="22"/>
        </w:rPr>
        <w:footnoteReference w:id="8"/>
      </w:r>
      <w:r w:rsidR="008E58EE">
        <w:rPr>
          <w:rFonts w:ascii="Verdana" w:hAnsi="Verdana" w:cs="Arial"/>
          <w:color w:val="000000" w:themeColor="text1"/>
          <w:sz w:val="22"/>
          <w:szCs w:val="22"/>
        </w:rPr>
        <w:t xml:space="preserve"> alejada de la realidad del mercado expresada en el análisis del </w:t>
      </w:r>
      <w:r w:rsidR="00BD4825">
        <w:rPr>
          <w:rFonts w:ascii="Verdana" w:hAnsi="Verdana" w:cs="Arial"/>
          <w:color w:val="000000" w:themeColor="text1"/>
          <w:sz w:val="22"/>
          <w:szCs w:val="22"/>
        </w:rPr>
        <w:t xml:space="preserve">sector, considerando que ello no solo podría </w:t>
      </w:r>
      <w:r w:rsidR="00670834">
        <w:rPr>
          <w:rFonts w:ascii="Verdana" w:hAnsi="Verdana" w:cs="Arial"/>
          <w:color w:val="000000" w:themeColor="text1"/>
          <w:sz w:val="22"/>
          <w:szCs w:val="22"/>
        </w:rPr>
        <w:t xml:space="preserve">afectar la ejecución del contrato, sino que podría dar cuenta de </w:t>
      </w:r>
      <w:proofErr w:type="spellStart"/>
      <w:r w:rsidR="00670834">
        <w:rPr>
          <w:rFonts w:ascii="Verdana" w:hAnsi="Verdana" w:cs="Arial"/>
          <w:color w:val="000000" w:themeColor="text1"/>
          <w:sz w:val="22"/>
          <w:szCs w:val="22"/>
        </w:rPr>
        <w:t>practicas</w:t>
      </w:r>
      <w:proofErr w:type="spellEnd"/>
      <w:r w:rsidR="00670834">
        <w:rPr>
          <w:rFonts w:ascii="Verdana" w:hAnsi="Verdana" w:cs="Arial"/>
          <w:color w:val="000000" w:themeColor="text1"/>
          <w:sz w:val="22"/>
          <w:szCs w:val="22"/>
        </w:rPr>
        <w:t xml:space="preserve"> restrictivas a la competencia. </w:t>
      </w:r>
    </w:p>
    <w:p w14:paraId="1D015B71" w14:textId="77777777" w:rsidR="006E3767" w:rsidRPr="00A7428E" w:rsidRDefault="006E3767" w:rsidP="00FA56D6">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sidRPr="00CD6A1A">
        <w:rPr>
          <w:rFonts w:ascii="Verdana" w:hAnsi="Verdana" w:cs="Arial"/>
          <w:color w:val="000000"/>
          <w:sz w:val="22"/>
          <w:szCs w:val="22"/>
          <w:shd w:val="clear" w:color="auto" w:fill="FFFFFF"/>
        </w:rPr>
        <w:t xml:space="preserve">Todo lo anterior, teniendo en cuenta que la referida Guía contiene criterios orientadores para las entidades públicas, los cuales, en consecuencia, no son vinculantes ni de obligatorio acatamiento. En otras palabras, las entidades están facultadas para aplicar los criterios contenidos en la Guía o acudir, si bien lo tienen, a otro tipo de criterios que consideren más apropiados para cada proceso de </w:t>
      </w:r>
      <w:r w:rsidRPr="00A7428E">
        <w:rPr>
          <w:rFonts w:ascii="Verdana" w:hAnsi="Verdana" w:cs="Arial"/>
          <w:color w:val="000000"/>
          <w:sz w:val="22"/>
          <w:szCs w:val="22"/>
          <w:shd w:val="clear" w:color="auto" w:fill="FFFFFF"/>
        </w:rPr>
        <w:t>contratación</w:t>
      </w:r>
      <w:r w:rsidRPr="00A7428E">
        <w:rPr>
          <w:rFonts w:ascii="Verdana" w:hAnsi="Verdana" w:cs="Arial"/>
          <w:color w:val="000000" w:themeColor="text1"/>
          <w:sz w:val="22"/>
          <w:szCs w:val="22"/>
          <w:lang w:val="es-ES"/>
        </w:rPr>
        <w:t>.</w:t>
      </w:r>
    </w:p>
    <w:p w14:paraId="581DAEE7" w14:textId="77777777" w:rsidR="006E3767" w:rsidRPr="00A7428E" w:rsidRDefault="006E3767" w:rsidP="00FA56D6">
      <w:pPr>
        <w:pStyle w:val="NormalWeb"/>
        <w:spacing w:before="0" w:beforeAutospacing="0" w:after="120" w:afterAutospacing="0" w:line="276" w:lineRule="auto"/>
        <w:ind w:firstLine="709"/>
        <w:jc w:val="both"/>
        <w:rPr>
          <w:rFonts w:ascii="Verdana" w:hAnsi="Verdana" w:cs="Arial"/>
          <w:color w:val="000000" w:themeColor="text1"/>
          <w:sz w:val="22"/>
          <w:szCs w:val="22"/>
        </w:rPr>
      </w:pPr>
      <w:r w:rsidRPr="00A7428E">
        <w:rPr>
          <w:rFonts w:ascii="Verdana" w:hAnsi="Verdana" w:cs="Arial"/>
          <w:color w:val="000000" w:themeColor="text1"/>
          <w:sz w:val="22"/>
          <w:szCs w:val="22"/>
        </w:rPr>
        <w:t>Al margen de la explicación precedente debe advertirse que el análisis requerido para </w:t>
      </w:r>
      <w:r>
        <w:rPr>
          <w:rFonts w:ascii="Verdana" w:hAnsi="Verdana" w:cs="Arial"/>
          <w:color w:val="000000" w:themeColor="text1"/>
          <w:sz w:val="22"/>
          <w:szCs w:val="22"/>
        </w:rPr>
        <w:t>determinar la existencia de precios artificialmente bajos en los procesos de contratación</w:t>
      </w:r>
      <w:r w:rsidRPr="00A7428E">
        <w:rPr>
          <w:rFonts w:ascii="Verdana" w:hAnsi="Verdana" w:cs="Arial"/>
          <w:color w:val="000000" w:themeColor="text1"/>
          <w:sz w:val="22"/>
          <w:szCs w:val="22"/>
        </w:rPr>
        <w:t>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 </w:t>
      </w:r>
    </w:p>
    <w:p w14:paraId="05CBBE3F" w14:textId="77777777" w:rsidR="006E3767" w:rsidRPr="00A7428E" w:rsidRDefault="006E3767" w:rsidP="00FA56D6">
      <w:pPr>
        <w:pStyle w:val="NormalWeb"/>
        <w:spacing w:before="0" w:beforeAutospacing="0" w:after="120" w:afterAutospacing="0" w:line="276" w:lineRule="auto"/>
        <w:ind w:firstLine="709"/>
        <w:jc w:val="both"/>
        <w:rPr>
          <w:rFonts w:ascii="Verdana" w:hAnsi="Verdana" w:cs="Arial"/>
          <w:color w:val="000000" w:themeColor="text1"/>
          <w:sz w:val="22"/>
          <w:szCs w:val="22"/>
        </w:rPr>
      </w:pPr>
      <w:r w:rsidRPr="00A7428E">
        <w:rPr>
          <w:rFonts w:ascii="Verdana" w:hAnsi="Verdana" w:cs="Arial"/>
          <w:color w:val="000000" w:themeColor="text1"/>
          <w:sz w:val="22"/>
          <w:szCs w:val="22"/>
        </w:rPr>
        <w:t xml:space="preserve">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color w:val="000000" w:themeColor="text1"/>
          <w:sz w:val="22"/>
          <w:szCs w:val="22"/>
        </w:rPr>
        <w:t>Por tanto</w:t>
      </w:r>
      <w:r w:rsidRPr="00A7428E">
        <w:rPr>
          <w:rFonts w:ascii="Verdana" w:hAnsi="Verdana" w:cs="Arial"/>
          <w:color w:val="000000" w:themeColor="text1"/>
          <w:sz w:val="22"/>
          <w:szCs w:val="22"/>
        </w:rPr>
        <w:t>, cada entidad definirá la forma de adelantar su gestión contractual, sin que sea atribución de Colombia Compra Eficiente validar sus actuaciones.</w:t>
      </w:r>
    </w:p>
    <w:p w14:paraId="744E20B2" w14:textId="77777777" w:rsidR="006E3767" w:rsidRPr="00042DD7" w:rsidRDefault="006E3767" w:rsidP="006E3767">
      <w:pPr>
        <w:spacing w:after="0" w:line="276" w:lineRule="auto"/>
        <w:jc w:val="both"/>
        <w:rPr>
          <w:rFonts w:ascii="Verdana" w:eastAsia="Times New Roman" w:hAnsi="Verdana" w:cs="Arial"/>
          <w:color w:val="000000" w:themeColor="text1"/>
          <w:lang w:val="es-ES" w:eastAsia="es-CO"/>
        </w:rPr>
      </w:pPr>
    </w:p>
    <w:p w14:paraId="74493423" w14:textId="77777777" w:rsidR="006E3767" w:rsidRPr="00593A5F" w:rsidRDefault="006E3767" w:rsidP="006E376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37621D13" w14:textId="77777777" w:rsidR="006E3767" w:rsidRPr="00593A5F" w:rsidRDefault="006E3767" w:rsidP="006E376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E3767" w:rsidRPr="002407CE" w14:paraId="2CAA0EFA" w14:textId="77777777" w:rsidTr="003A62B1">
        <w:trPr>
          <w:trHeight w:val="870"/>
          <w:jc w:val="center"/>
        </w:trPr>
        <w:tc>
          <w:tcPr>
            <w:tcW w:w="8647" w:type="dxa"/>
          </w:tcPr>
          <w:p w14:paraId="4A022D34" w14:textId="1ADB659D" w:rsidR="006E3767" w:rsidRDefault="006E3767" w:rsidP="006E376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lastRenderedPageBreak/>
              <w:t>Ley 80 de 1993, artículo</w:t>
            </w:r>
            <w:r w:rsidR="00733A45">
              <w:rPr>
                <w:rFonts w:ascii="Verdana" w:hAnsi="Verdana" w:cs="Arial"/>
              </w:rPr>
              <w:t>s 5,</w:t>
            </w:r>
            <w:r>
              <w:rPr>
                <w:rFonts w:ascii="Verdana" w:hAnsi="Verdana" w:cs="Arial"/>
              </w:rPr>
              <w:t xml:space="preserve"> 26</w:t>
            </w:r>
            <w:r w:rsidR="00733A45">
              <w:rPr>
                <w:rFonts w:ascii="Verdana" w:hAnsi="Verdana" w:cs="Arial"/>
              </w:rPr>
              <w:t xml:space="preserve"> y 41</w:t>
            </w:r>
            <w:r>
              <w:rPr>
                <w:rFonts w:ascii="Verdana" w:hAnsi="Verdana" w:cs="Arial"/>
              </w:rPr>
              <w:t>.</w:t>
            </w:r>
          </w:p>
          <w:p w14:paraId="508D12C9" w14:textId="77777777" w:rsidR="006E3767" w:rsidRDefault="006E3767" w:rsidP="006E376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1082 de 2015, artículo </w:t>
            </w:r>
            <w:r w:rsidRPr="00C572AA">
              <w:rPr>
                <w:rFonts w:ascii="Verdana" w:hAnsi="Verdana" w:cs="Arial"/>
                <w:lang w:val="es-CO"/>
              </w:rPr>
              <w:t>2.2.1.1.1.6.1</w:t>
            </w:r>
            <w:r>
              <w:rPr>
                <w:rFonts w:ascii="Verdana" w:hAnsi="Verdana" w:cs="Arial"/>
                <w:lang w:val="es-CO"/>
              </w:rPr>
              <w:t xml:space="preserve"> y </w:t>
            </w:r>
            <w:r w:rsidRPr="00C572AA">
              <w:rPr>
                <w:rFonts w:ascii="Verdana" w:hAnsi="Verdana" w:cs="Arial"/>
                <w:lang w:val="es-CO"/>
              </w:rPr>
              <w:t>2.2.1.1.2.2.4</w:t>
            </w:r>
            <w:r>
              <w:rPr>
                <w:rFonts w:ascii="Verdana" w:hAnsi="Verdana" w:cs="Arial"/>
                <w:lang w:val="es-CO"/>
              </w:rPr>
              <w:t>.</w:t>
            </w:r>
            <w:r>
              <w:rPr>
                <w:rFonts w:ascii="Verdana" w:hAnsi="Verdana" w:cs="Arial"/>
              </w:rPr>
              <w:t xml:space="preserve"> </w:t>
            </w:r>
          </w:p>
          <w:p w14:paraId="4F167C44" w14:textId="77777777" w:rsidR="006E3767" w:rsidRPr="001D733B" w:rsidRDefault="006E3767" w:rsidP="006E3767">
            <w:pPr>
              <w:pStyle w:val="Prrafodelista"/>
              <w:widowControl w:val="0"/>
              <w:numPr>
                <w:ilvl w:val="0"/>
                <w:numId w:val="17"/>
              </w:numPr>
              <w:autoSpaceDE w:val="0"/>
              <w:autoSpaceDN w:val="0"/>
              <w:spacing w:line="276" w:lineRule="auto"/>
              <w:contextualSpacing w:val="0"/>
              <w:jc w:val="both"/>
              <w:rPr>
                <w:rFonts w:ascii="Verdana" w:hAnsi="Verdana" w:cs="Arial"/>
              </w:rPr>
            </w:pPr>
            <w:r w:rsidRPr="0003385F">
              <w:rPr>
                <w:rFonts w:ascii="Verdana" w:hAnsi="Verdana" w:cs="Arial"/>
                <w:lang w:val="es-CO"/>
              </w:rPr>
              <w:t>Guía para el manejo de ofertas artificialmente bajas en Procesos de Contratación</w:t>
            </w:r>
            <w:r>
              <w:rPr>
                <w:rFonts w:ascii="Verdana" w:hAnsi="Verdana" w:cs="Arial"/>
                <w:lang w:val="es-CO"/>
              </w:rPr>
              <w:t xml:space="preserve"> de </w:t>
            </w:r>
            <w:r w:rsidRPr="0003385F">
              <w:rPr>
                <w:rFonts w:ascii="Verdana" w:hAnsi="Verdana" w:cs="Arial"/>
              </w:rPr>
              <w:t>la Agencia Nacional de Contratación Pública – Colombia Compra Eficiente</w:t>
            </w:r>
            <w:r>
              <w:rPr>
                <w:rFonts w:ascii="Verdana" w:hAnsi="Verdana" w:cs="Arial"/>
              </w:rPr>
              <w:t xml:space="preserve">. </w:t>
            </w:r>
            <w:r w:rsidRPr="0003385F">
              <w:rPr>
                <w:rFonts w:ascii="Verdana" w:hAnsi="Verdana" w:cs="Arial"/>
                <w:lang w:val="es-CO"/>
              </w:rPr>
              <w:t>Disponible en:</w:t>
            </w:r>
            <w:r>
              <w:rPr>
                <w:rFonts w:ascii="Verdana" w:hAnsi="Verdana" w:cs="Arial"/>
                <w:lang w:val="es-CO"/>
              </w:rPr>
              <w:t xml:space="preserve"> </w:t>
            </w:r>
            <w:hyperlink r:id="rId14" w:history="1">
              <w:r w:rsidRPr="00D71D86">
                <w:rPr>
                  <w:rStyle w:val="Hipervnculo"/>
                  <w:rFonts w:ascii="Verdana" w:hAnsi="Verdana" w:cs="Arial"/>
                  <w:lang w:val="es-CO"/>
                </w:rPr>
                <w:t>https://colombiacompra.gov.co/sites/cce_public/files/cce_documents/cce_guia_artificialmente_bajas.pdf</w:t>
              </w:r>
            </w:hyperlink>
            <w:r>
              <w:rPr>
                <w:rFonts w:ascii="Verdana" w:hAnsi="Verdana" w:cs="Arial"/>
                <w:lang w:val="es-CO"/>
              </w:rPr>
              <w:t xml:space="preserve">. </w:t>
            </w:r>
          </w:p>
        </w:tc>
      </w:tr>
    </w:tbl>
    <w:p w14:paraId="130D513C" w14:textId="77777777" w:rsidR="006E3767" w:rsidRPr="002407CE" w:rsidRDefault="006E3767" w:rsidP="006E3767">
      <w:pPr>
        <w:widowControl w:val="0"/>
        <w:autoSpaceDE w:val="0"/>
        <w:autoSpaceDN w:val="0"/>
        <w:spacing w:after="0" w:line="276" w:lineRule="auto"/>
        <w:jc w:val="both"/>
        <w:rPr>
          <w:rFonts w:ascii="Verdana" w:hAnsi="Verdana" w:cs="Arial"/>
        </w:rPr>
      </w:pPr>
    </w:p>
    <w:p w14:paraId="00F2180F" w14:textId="77777777" w:rsidR="006E3767" w:rsidRPr="00593A5F" w:rsidRDefault="006E3767" w:rsidP="006E376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2919FD5" w14:textId="77777777" w:rsidR="006E3767" w:rsidRPr="00593A5F" w:rsidRDefault="006E3767" w:rsidP="006E3767">
      <w:pPr>
        <w:widowControl w:val="0"/>
        <w:autoSpaceDE w:val="0"/>
        <w:autoSpaceDN w:val="0"/>
        <w:spacing w:after="0" w:line="276" w:lineRule="auto"/>
        <w:jc w:val="both"/>
        <w:rPr>
          <w:rFonts w:ascii="Verdana" w:hAnsi="Verdana" w:cs="Arial"/>
        </w:rPr>
      </w:pPr>
    </w:p>
    <w:p w14:paraId="17ADBE3D" w14:textId="77777777" w:rsidR="00C5785E" w:rsidRPr="00B835E9" w:rsidRDefault="006E3767" w:rsidP="00FA56D6">
      <w:pPr>
        <w:widowControl w:val="0"/>
        <w:autoSpaceDE w:val="0"/>
        <w:autoSpaceDN w:val="0"/>
        <w:spacing w:after="120" w:line="276" w:lineRule="auto"/>
        <w:jc w:val="both"/>
        <w:rPr>
          <w:rFonts w:ascii="Verdana" w:eastAsia="Calibri" w:hAnsi="Verdana" w:cs="Arial"/>
          <w:lang w:val="es-ES" w:eastAsia="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 xml:space="preserve">los precios artificialmente bajos en </w:t>
      </w:r>
      <w:r w:rsidRPr="00C572AA">
        <w:rPr>
          <w:rFonts w:ascii="Verdana" w:hAnsi="Verdana" w:cs="Arial"/>
          <w:shd w:val="clear" w:color="auto" w:fill="FFFFFF"/>
        </w:rPr>
        <w:t>los Conceptos 2201913000007853 del 21 de octubre 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C-191 del 16 de marzo de 2020, C-200 del 14 de abril de 2020, C-299 del 16 de julio de 2020, C-429 del 24 de julio de 2020, C-473 del 13 de julio de 2020, C-496 del 24 de julio de 2020, C-506 del 22 de julio de 2020, C-767 del 7 de enero de 2021, C-011 del 16 de febrero de 2021, C-112 del 7 de abril de 2021, C-205 del 7 de mayo de 2021, C-737 del 27 de enero de 2022, C-287 del 11 de mayo de 2022, C-299 del 14 de mayo de 2022, C-304 del 16 de mayo de 2022, C-403 del 22 de junio de 2022, C-484 del 28 de julio de 2022, C-487 del 26 de julio de 2022, C-512 del 10 de agosto de 2022, C-546 del 30 de agosto de 2022, C-751 del 17 de noviembre de 2022, C-756 del 17 de noviembre de 2022, C-798 del 23 de noviembre de 2022, C-022 del 16 de febrero de 2023 y C-165 del 2 de junio de 2023</w:t>
      </w:r>
      <w:r w:rsidRPr="00EA761C">
        <w:rPr>
          <w:rStyle w:val="normaltextrun"/>
          <w:rFonts w:ascii="Verdana" w:hAnsi="Verdana" w:cs="Arial"/>
          <w:shd w:val="clear" w:color="auto" w:fill="FFFFFF"/>
          <w:lang w:val="es-ES"/>
        </w:rPr>
        <w:t xml:space="preserve">. </w:t>
      </w:r>
      <w:r w:rsidR="00C5785E" w:rsidRPr="00207027">
        <w:rPr>
          <w:rFonts w:ascii="Verdana" w:eastAsia="Calibri" w:hAnsi="Verdana" w:cs="Arial"/>
          <w:lang w:eastAsia="es-ES"/>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00C5785E" w:rsidRPr="00207027">
          <w:rPr>
            <w:rStyle w:val="Hipervnculo"/>
            <w:rFonts w:ascii="Verdana" w:eastAsia="Calibri" w:hAnsi="Verdana" w:cs="Arial"/>
            <w:lang w:eastAsia="es-ES"/>
          </w:rPr>
          <w:t>https://relatoria.colombiacompra.gov.co/</w:t>
        </w:r>
      </w:hyperlink>
      <w:r w:rsidR="00C5785E" w:rsidRPr="00207027">
        <w:rPr>
          <w:rFonts w:ascii="Verdana" w:eastAsia="Calibri" w:hAnsi="Verdana" w:cs="Arial"/>
          <w:lang w:eastAsia="es-ES"/>
        </w:rPr>
        <w:t> . Te invitamos también a revisar la tercera edición del  Boletín de Relatoría de 2024 en el cual podrás consultar en detalle el marco normativo de documentos tipo: </w:t>
      </w:r>
      <w:hyperlink r:id="rId16" w:tgtFrame="_blank" w:tooltip="Dirección URL original: https://www.colombiacompra.gov.co/sites/cce_public/files/files_2020/boletin_de_realtoria_iii.pdf. Haga clic o pulse si confía en este vínculo." w:history="1">
        <w:r w:rsidR="00C5785E" w:rsidRPr="00207027">
          <w:rPr>
            <w:rStyle w:val="Hipervnculo"/>
            <w:rFonts w:ascii="Verdana" w:eastAsia="Calibri" w:hAnsi="Verdana" w:cs="Arial"/>
            <w:lang w:eastAsia="es-ES"/>
          </w:rPr>
          <w:t>https://www.colombiacompra.gov.co/sites/cce_public/files/files_2020/boletin_de_realtoria_iii.pdf</w:t>
        </w:r>
      </w:hyperlink>
      <w:r w:rsidR="00C5785E" w:rsidRPr="00207027">
        <w:rPr>
          <w:rFonts w:ascii="Verdana" w:eastAsia="Calibri" w:hAnsi="Verdana" w:cs="Arial"/>
          <w:lang w:eastAsia="es-ES"/>
        </w:rPr>
        <w:t> "</w:t>
      </w:r>
    </w:p>
    <w:p w14:paraId="52ADD9D9" w14:textId="77777777" w:rsidR="00C5785E" w:rsidRPr="00B835E9" w:rsidRDefault="00C5785E" w:rsidP="00FA56D6">
      <w:pPr>
        <w:widowControl w:val="0"/>
        <w:autoSpaceDE w:val="0"/>
        <w:autoSpaceDN w:val="0"/>
        <w:spacing w:after="0" w:line="276" w:lineRule="auto"/>
        <w:ind w:firstLine="708"/>
        <w:jc w:val="both"/>
        <w:rPr>
          <w:rFonts w:ascii="Verdana" w:hAnsi="Verdana" w:cs="Arial"/>
          <w:shd w:val="clear" w:color="auto" w:fill="FFFFFF"/>
          <w:lang w:val="es-ES"/>
        </w:rPr>
      </w:pPr>
      <w:r w:rsidRPr="00207027">
        <w:rPr>
          <w:rFonts w:ascii="Verdana" w:hAnsi="Verdana" w:cs="Arial"/>
          <w:shd w:val="clear" w:color="auto" w:fill="FFFFFF"/>
        </w:rPr>
        <w:t xml:space="preserve">De otra parte, te informamos que entre el 15 al 29 de agosto de 2024 </w:t>
      </w:r>
      <w:r w:rsidRPr="00207027">
        <w:rPr>
          <w:rFonts w:ascii="Verdana" w:hAnsi="Verdana" w:cs="Arial"/>
          <w:shd w:val="clear" w:color="auto" w:fill="FFFFFF"/>
        </w:rPr>
        <w:lastRenderedPageBreak/>
        <w:t>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7" w:tgtFrame="_blank" w:tooltip="Dirección URL original: https://www.sucop.gov.co/entidades/colombiacompra/Normativa?IDNorma=17363. Haga clic o pulse si confía en este vínculo." w:history="1">
        <w:r w:rsidRPr="00207027">
          <w:rPr>
            <w:rStyle w:val="Hipervnculo"/>
            <w:rFonts w:ascii="Verdana" w:hAnsi="Verdana" w:cs="Arial"/>
            <w:shd w:val="clear" w:color="auto" w:fill="FFFFFF"/>
          </w:rPr>
          <w:t>https://www.sucop.gov.co/entidades/colombiacompra/Normativa?IDNorma=17363</w:t>
        </w:r>
      </w:hyperlink>
      <w:r w:rsidRPr="00207027">
        <w:rPr>
          <w:rFonts w:ascii="Verdana" w:hAnsi="Verdana" w:cs="Arial"/>
          <w:shd w:val="clear" w:color="auto" w:fill="FFFFFF"/>
        </w:rPr>
        <w:t> y </w:t>
      </w:r>
      <w:hyperlink r:id="rId18" w:tgtFrame="_blank" w:tooltip="Dirección URL original: https://www.colombiacompra.gov.co/content/convocatorias. Haga clic o pulse si confía en este vínculo." w:history="1">
        <w:r w:rsidRPr="00207027">
          <w:rPr>
            <w:rStyle w:val="Hipervnculo"/>
            <w:rFonts w:ascii="Verdana" w:hAnsi="Verdana" w:cs="Arial"/>
            <w:shd w:val="clear" w:color="auto" w:fill="FFFFFF"/>
          </w:rPr>
          <w:t>https://www.colombiacompra.gov.co/content/convocatorias</w:t>
        </w:r>
      </w:hyperlink>
      <w:r w:rsidRPr="00207027">
        <w:rPr>
          <w:rFonts w:ascii="Verdana" w:hAnsi="Verdana" w:cs="Arial"/>
          <w:shd w:val="clear" w:color="auto" w:fill="FFFFFF"/>
        </w:rPr>
        <w:t> </w:t>
      </w:r>
    </w:p>
    <w:p w14:paraId="41DC9FD6" w14:textId="77777777" w:rsidR="00C5785E" w:rsidRDefault="00C5785E" w:rsidP="00C5785E">
      <w:pPr>
        <w:spacing w:after="0" w:line="240" w:lineRule="auto"/>
        <w:ind w:firstLine="708"/>
        <w:jc w:val="both"/>
        <w:rPr>
          <w:rFonts w:ascii="Verdana" w:hAnsi="Verdana"/>
        </w:rPr>
      </w:pPr>
    </w:p>
    <w:p w14:paraId="728B2A14" w14:textId="77278314" w:rsidR="00C5785E" w:rsidRPr="00B835E9" w:rsidRDefault="00C5785E" w:rsidP="00FA56D6">
      <w:pPr>
        <w:spacing w:after="0" w:line="240" w:lineRule="auto"/>
        <w:ind w:firstLine="708"/>
        <w:jc w:val="both"/>
        <w:rPr>
          <w:rFonts w:ascii="Verdana" w:hAnsi="Verdana"/>
        </w:rPr>
      </w:pPr>
      <w:r w:rsidRPr="00B835E9">
        <w:rPr>
          <w:rFonts w:ascii="Verdana" w:hAnsi="Verdana"/>
        </w:rPr>
        <w:t xml:space="preserve">Por último, lo invitamos a seguirnos en las redes sociales en las cuales se difunde información institucional: </w:t>
      </w:r>
    </w:p>
    <w:p w14:paraId="5FDA2FB5" w14:textId="77777777" w:rsidR="00C5785E" w:rsidRPr="00B835E9" w:rsidRDefault="00C5785E" w:rsidP="00C5785E">
      <w:pPr>
        <w:spacing w:after="0" w:line="240" w:lineRule="auto"/>
        <w:jc w:val="both"/>
        <w:rPr>
          <w:rFonts w:ascii="Verdana" w:hAnsi="Verdana"/>
          <w:highlight w:val="lightGray"/>
        </w:rPr>
      </w:pPr>
    </w:p>
    <w:p w14:paraId="50652911" w14:textId="77777777" w:rsidR="00C5785E" w:rsidRPr="00B835E9" w:rsidRDefault="00C5785E" w:rsidP="00C5785E">
      <w:pPr>
        <w:spacing w:after="0" w:line="240" w:lineRule="auto"/>
        <w:jc w:val="both"/>
        <w:rPr>
          <w:rFonts w:ascii="Verdana" w:hAnsi="Verdana"/>
        </w:rPr>
      </w:pPr>
      <w:r w:rsidRPr="00B835E9">
        <w:rPr>
          <w:rFonts w:ascii="Verdana" w:hAnsi="Verdana"/>
        </w:rPr>
        <w:t xml:space="preserve">Twitter: </w:t>
      </w:r>
      <w:r w:rsidRPr="00B835E9">
        <w:rPr>
          <w:rFonts w:ascii="Verdana" w:hAnsi="Verdana"/>
          <w:color w:val="4472C4" w:themeColor="accent1"/>
          <w:u w:val="single"/>
        </w:rPr>
        <w:t>@colombiacompra</w:t>
      </w:r>
      <w:r w:rsidRPr="00B835E9">
        <w:rPr>
          <w:rFonts w:ascii="Verdana" w:hAnsi="Verdana"/>
          <w:color w:val="4472C4" w:themeColor="accent1"/>
        </w:rPr>
        <w:t xml:space="preserve"> </w:t>
      </w:r>
    </w:p>
    <w:p w14:paraId="53E543BF" w14:textId="77777777" w:rsidR="00C5785E" w:rsidRPr="00B835E9" w:rsidRDefault="00C5785E" w:rsidP="00C5785E">
      <w:pPr>
        <w:spacing w:after="0" w:line="240" w:lineRule="auto"/>
        <w:jc w:val="both"/>
        <w:rPr>
          <w:rFonts w:ascii="Verdana" w:hAnsi="Verdana"/>
        </w:rPr>
      </w:pPr>
      <w:r w:rsidRPr="00B835E9">
        <w:rPr>
          <w:rFonts w:ascii="Verdana" w:hAnsi="Verdana"/>
        </w:rPr>
        <w:t xml:space="preserve">Facebook: </w:t>
      </w:r>
      <w:proofErr w:type="spellStart"/>
      <w:r w:rsidRPr="00B835E9">
        <w:rPr>
          <w:rFonts w:ascii="Verdana" w:hAnsi="Verdana"/>
          <w:color w:val="4472C4" w:themeColor="accent1"/>
          <w:u w:val="single"/>
        </w:rPr>
        <w:t>ColombiaCompraEficiente</w:t>
      </w:r>
      <w:proofErr w:type="spellEnd"/>
    </w:p>
    <w:p w14:paraId="1D64D6AC" w14:textId="77777777" w:rsidR="00C5785E" w:rsidRPr="00B835E9" w:rsidRDefault="00C5785E" w:rsidP="00C5785E">
      <w:pPr>
        <w:spacing w:after="0" w:line="240" w:lineRule="auto"/>
        <w:jc w:val="both"/>
        <w:rPr>
          <w:rFonts w:ascii="Verdana" w:hAnsi="Verdana"/>
        </w:rPr>
      </w:pPr>
      <w:r w:rsidRPr="00B835E9">
        <w:rPr>
          <w:rFonts w:ascii="Verdana" w:hAnsi="Verdana"/>
        </w:rPr>
        <w:t xml:space="preserve">LinkedIn: </w:t>
      </w:r>
      <w:r w:rsidRPr="00B835E9">
        <w:rPr>
          <w:rFonts w:ascii="Verdana" w:hAnsi="Verdana"/>
          <w:color w:val="4472C4" w:themeColor="accent1"/>
          <w:u w:val="single"/>
        </w:rPr>
        <w:t>Agencia Nacional de Contratación Pública - Colombia Compra Eficiente</w:t>
      </w:r>
      <w:r w:rsidRPr="00B835E9">
        <w:rPr>
          <w:rFonts w:ascii="Verdana" w:hAnsi="Verdana"/>
          <w:color w:val="4472C4" w:themeColor="accent1"/>
        </w:rPr>
        <w:t xml:space="preserve"> </w:t>
      </w:r>
      <w:r w:rsidRPr="00B835E9">
        <w:rPr>
          <w:rFonts w:ascii="Verdana" w:hAnsi="Verdana"/>
        </w:rPr>
        <w:t xml:space="preserve">Instagram: </w:t>
      </w:r>
      <w:r w:rsidRPr="00B835E9">
        <w:rPr>
          <w:rFonts w:ascii="Verdana" w:hAnsi="Verdana"/>
          <w:color w:val="4472C4" w:themeColor="accent1"/>
          <w:u w:val="single"/>
        </w:rPr>
        <w:t>@colombiacompraeficiente_cce</w:t>
      </w:r>
    </w:p>
    <w:p w14:paraId="408C479F" w14:textId="77777777" w:rsidR="00C5785E" w:rsidRPr="00B835E9" w:rsidRDefault="00C5785E" w:rsidP="00C5785E">
      <w:pPr>
        <w:widowControl w:val="0"/>
        <w:autoSpaceDE w:val="0"/>
        <w:autoSpaceDN w:val="0"/>
        <w:spacing w:after="0" w:line="276" w:lineRule="auto"/>
        <w:jc w:val="both"/>
        <w:rPr>
          <w:rFonts w:ascii="Verdana" w:hAnsi="Verdana" w:cs="Arial"/>
        </w:rPr>
      </w:pPr>
    </w:p>
    <w:p w14:paraId="277F286F" w14:textId="1D120CB8" w:rsidR="006E3767" w:rsidRDefault="006E3767" w:rsidP="00C5785E">
      <w:pPr>
        <w:widowControl w:val="0"/>
        <w:autoSpaceDE w:val="0"/>
        <w:autoSpaceDN w:val="0"/>
        <w:spacing w:after="0" w:line="276" w:lineRule="auto"/>
        <w:jc w:val="both"/>
        <w:rPr>
          <w:rFonts w:ascii="Verdana" w:hAnsi="Verdana" w:cs="Arial"/>
          <w:color w:val="000000" w:themeColor="text1"/>
          <w:shd w:val="clear" w:color="auto" w:fill="FFFFFF"/>
        </w:rPr>
      </w:pPr>
      <w:r w:rsidRPr="00B5161D">
        <w:rPr>
          <w:rFonts w:ascii="Verdana" w:hAnsi="Verdana" w:cs="Arial"/>
          <w:color w:val="000000" w:themeColor="text1"/>
          <w:shd w:val="clear" w:color="auto" w:fill="FFFFFF"/>
        </w:rPr>
        <w:t>.</w:t>
      </w:r>
    </w:p>
    <w:p w14:paraId="543EFBD8" w14:textId="77777777" w:rsidR="006E3767" w:rsidRPr="00593A5F" w:rsidRDefault="006E3767" w:rsidP="006E3767">
      <w:pPr>
        <w:widowControl w:val="0"/>
        <w:autoSpaceDE w:val="0"/>
        <w:autoSpaceDN w:val="0"/>
        <w:spacing w:after="0" w:line="276" w:lineRule="auto"/>
        <w:jc w:val="both"/>
        <w:rPr>
          <w:rFonts w:ascii="Verdana" w:hAnsi="Verdana" w:cs="Arial"/>
        </w:rPr>
      </w:pPr>
    </w:p>
    <w:p w14:paraId="0F507F4A" w14:textId="77777777" w:rsidR="006E3767" w:rsidRPr="00593A5F" w:rsidRDefault="006E3767" w:rsidP="006E376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E2FE9FD" w14:textId="77777777" w:rsidR="006E3767" w:rsidRPr="00593A5F" w:rsidRDefault="006E3767" w:rsidP="006E3767">
      <w:pPr>
        <w:widowControl w:val="0"/>
        <w:autoSpaceDE w:val="0"/>
        <w:autoSpaceDN w:val="0"/>
        <w:spacing w:after="0" w:line="276" w:lineRule="auto"/>
        <w:jc w:val="both"/>
        <w:rPr>
          <w:rFonts w:ascii="Verdana" w:hAnsi="Verdana" w:cs="Arial"/>
        </w:rPr>
      </w:pPr>
    </w:p>
    <w:p w14:paraId="2F3059EA" w14:textId="77777777" w:rsidR="006E3767" w:rsidRPr="00593A5F" w:rsidRDefault="006E3767" w:rsidP="006E3767">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CF63907" w14:textId="17E40C9D" w:rsidR="006E3767" w:rsidRPr="00593A5F" w:rsidRDefault="00E728A8" w:rsidP="006E3767">
      <w:pPr>
        <w:spacing w:line="276" w:lineRule="auto"/>
        <w:jc w:val="center"/>
        <w:rPr>
          <w:rFonts w:ascii="Verdana" w:hAnsi="Verdana" w:cs="Arial"/>
          <w:color w:val="000000"/>
          <w:lang w:val="es-ES_tradnl" w:eastAsia="es-CO"/>
        </w:rPr>
      </w:pPr>
      <w:r>
        <w:rPr>
          <w:noProof/>
        </w:rPr>
        <w:drawing>
          <wp:inline distT="0" distB="0" distL="0" distR="0" wp14:anchorId="5C6558A3" wp14:editId="37064247">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9"/>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E3767" w:rsidRPr="00593A5F" w14:paraId="7BC8992B" w14:textId="77777777" w:rsidTr="003A62B1">
        <w:trPr>
          <w:trHeight w:val="315"/>
        </w:trPr>
        <w:tc>
          <w:tcPr>
            <w:tcW w:w="893" w:type="dxa"/>
            <w:vAlign w:val="center"/>
            <w:hideMark/>
          </w:tcPr>
          <w:p w14:paraId="3CF6A546" w14:textId="77777777" w:rsidR="006E3767" w:rsidRPr="003751C7" w:rsidRDefault="006E3767" w:rsidP="003A62B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D2F3F47" w14:textId="77777777" w:rsidR="006E3767" w:rsidRPr="00254A7A" w:rsidRDefault="006E3767" w:rsidP="003A62B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789B6041" w14:textId="77777777" w:rsidR="006E3767" w:rsidRPr="00254A7A" w:rsidRDefault="006E3767" w:rsidP="003A62B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6E3767" w:rsidRPr="00593A5F" w14:paraId="77DACE8A" w14:textId="77777777" w:rsidTr="003A62B1">
        <w:trPr>
          <w:trHeight w:val="330"/>
        </w:trPr>
        <w:tc>
          <w:tcPr>
            <w:tcW w:w="893" w:type="dxa"/>
            <w:vAlign w:val="center"/>
            <w:hideMark/>
          </w:tcPr>
          <w:p w14:paraId="59A8F4B1" w14:textId="77777777" w:rsidR="006E3767" w:rsidRPr="003751C7" w:rsidRDefault="006E3767" w:rsidP="003A62B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1BFFDB2" w14:textId="77777777" w:rsidR="006E3767" w:rsidRPr="00254A7A" w:rsidRDefault="006E3767" w:rsidP="003A62B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7D7475DE" w14:textId="77777777" w:rsidR="006E3767" w:rsidRPr="00254A7A" w:rsidRDefault="006E3767" w:rsidP="003A62B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6E3767" w:rsidRPr="00593A5F" w14:paraId="0A3EDC93" w14:textId="77777777" w:rsidTr="003A62B1">
        <w:trPr>
          <w:trHeight w:val="300"/>
        </w:trPr>
        <w:tc>
          <w:tcPr>
            <w:tcW w:w="893" w:type="dxa"/>
            <w:vAlign w:val="center"/>
          </w:tcPr>
          <w:p w14:paraId="20327EF1" w14:textId="77777777" w:rsidR="006E3767" w:rsidRPr="003751C7" w:rsidRDefault="006E3767" w:rsidP="003A62B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C3CB24D" w14:textId="77777777" w:rsidR="006E3767" w:rsidRPr="003751C7" w:rsidRDefault="006E3767" w:rsidP="003A62B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4F910A24" w14:textId="77777777" w:rsidR="006E3767" w:rsidRPr="003751C7" w:rsidRDefault="006E3767" w:rsidP="003A62B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28A0B08C" w14:textId="77777777" w:rsidR="006E3767" w:rsidRPr="00593A5F" w:rsidRDefault="006E3767" w:rsidP="006E3767">
      <w:pPr>
        <w:spacing w:after="0" w:line="240" w:lineRule="auto"/>
        <w:rPr>
          <w:rFonts w:ascii="Verdana" w:eastAsia="Times New Roman" w:hAnsi="Verdana" w:cs="Arial"/>
          <w:sz w:val="24"/>
          <w:szCs w:val="24"/>
          <w:lang w:eastAsia="es-ES"/>
        </w:rPr>
      </w:pPr>
    </w:p>
    <w:p w14:paraId="0F293BF4" w14:textId="7BBFAB11" w:rsidR="00127233" w:rsidRPr="00A61C79" w:rsidRDefault="00127233" w:rsidP="00A61C79"/>
    <w:sectPr w:rsidR="00127233" w:rsidRPr="00A61C79"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6706" w14:textId="77777777" w:rsidR="00F70730" w:rsidRDefault="00F70730" w:rsidP="004A1847">
      <w:pPr>
        <w:spacing w:after="0" w:line="240" w:lineRule="auto"/>
      </w:pPr>
      <w:r>
        <w:separator/>
      </w:r>
    </w:p>
  </w:endnote>
  <w:endnote w:type="continuationSeparator" w:id="0">
    <w:p w14:paraId="7B01DB5D" w14:textId="77777777" w:rsidR="00F70730" w:rsidRDefault="00F70730" w:rsidP="004A1847">
      <w:pPr>
        <w:spacing w:after="0" w:line="240" w:lineRule="auto"/>
      </w:pPr>
      <w:r>
        <w:continuationSeparator/>
      </w:r>
    </w:p>
  </w:endnote>
  <w:endnote w:type="continuationNotice" w:id="1">
    <w:p w14:paraId="4CAD753E" w14:textId="77777777" w:rsidR="00F70730" w:rsidRDefault="00F70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2E74D" w14:textId="77777777" w:rsidR="00F70730" w:rsidRDefault="00F70730" w:rsidP="004A1847">
      <w:pPr>
        <w:spacing w:after="0" w:line="240" w:lineRule="auto"/>
      </w:pPr>
      <w:r>
        <w:separator/>
      </w:r>
    </w:p>
  </w:footnote>
  <w:footnote w:type="continuationSeparator" w:id="0">
    <w:p w14:paraId="4662E039" w14:textId="77777777" w:rsidR="00F70730" w:rsidRDefault="00F70730" w:rsidP="004A1847">
      <w:pPr>
        <w:spacing w:after="0" w:line="240" w:lineRule="auto"/>
      </w:pPr>
      <w:r>
        <w:continuationSeparator/>
      </w:r>
    </w:p>
  </w:footnote>
  <w:footnote w:type="continuationNotice" w:id="1">
    <w:p w14:paraId="02E63358" w14:textId="77777777" w:rsidR="00F70730" w:rsidRDefault="00F70730">
      <w:pPr>
        <w:spacing w:after="0" w:line="240" w:lineRule="auto"/>
      </w:pPr>
    </w:p>
  </w:footnote>
  <w:footnote w:id="2">
    <w:p w14:paraId="7E19663C" w14:textId="77777777" w:rsidR="006E3767" w:rsidRPr="00DC2507" w:rsidRDefault="006E3767" w:rsidP="000F2830">
      <w:pPr>
        <w:pStyle w:val="Textonotapie"/>
        <w:ind w:firstLine="709"/>
        <w:jc w:val="both"/>
        <w:rPr>
          <w:rFonts w:ascii="Verdana" w:hAnsi="Verdana" w:cs="Arial"/>
          <w:color w:val="000000" w:themeColor="text1"/>
          <w:sz w:val="16"/>
          <w:szCs w:val="16"/>
          <w:lang w:val="es-ES"/>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Consejo de Estado. Sección Tercera. Sentencia del 4 de junio de 2008. Exp. No. 17.783. C.P. Myriam Guerrero de Escobar.</w:t>
      </w:r>
    </w:p>
  </w:footnote>
  <w:footnote w:id="3">
    <w:p w14:paraId="2F73F825" w14:textId="77777777" w:rsidR="006E3767" w:rsidRPr="00DC2507" w:rsidRDefault="006E3767" w:rsidP="000F2830">
      <w:pPr>
        <w:pStyle w:val="Textonotapie"/>
        <w:ind w:firstLine="709"/>
        <w:jc w:val="both"/>
        <w:rPr>
          <w:rFonts w:ascii="Verdana" w:hAnsi="Verdana" w:cs="Arial"/>
          <w:color w:val="000000" w:themeColor="text1"/>
          <w:sz w:val="16"/>
          <w:szCs w:val="16"/>
          <w:lang w:val="es-ES"/>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Guía para el manejo de ofertas artificialmente bajas en Procesos de Contratación. p. 5.</w:t>
      </w:r>
    </w:p>
  </w:footnote>
  <w:footnote w:id="4">
    <w:p w14:paraId="0F036FF2" w14:textId="77777777" w:rsidR="006E3767" w:rsidRPr="00DC2507" w:rsidRDefault="006E3767" w:rsidP="000F2830">
      <w:pPr>
        <w:pStyle w:val="Textonotapie"/>
        <w:ind w:firstLine="709"/>
        <w:jc w:val="both"/>
        <w:rPr>
          <w:rFonts w:ascii="Verdana" w:hAnsi="Verdana" w:cs="Arial"/>
          <w:color w:val="000000" w:themeColor="text1"/>
          <w:sz w:val="16"/>
          <w:szCs w:val="16"/>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footnote>
  <w:footnote w:id="5">
    <w:p w14:paraId="11EA5BDA" w14:textId="77777777" w:rsidR="006E3767" w:rsidRPr="00DC2507" w:rsidRDefault="006E3767" w:rsidP="000F2830">
      <w:pPr>
        <w:pStyle w:val="Textonotapie"/>
        <w:ind w:firstLine="709"/>
        <w:jc w:val="both"/>
        <w:rPr>
          <w:rFonts w:ascii="Verdana" w:hAnsi="Verdana" w:cs="Arial"/>
          <w:color w:val="000000" w:themeColor="text1"/>
          <w:sz w:val="16"/>
          <w:szCs w:val="16"/>
          <w:lang w:val="es-ES"/>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w:t>
      </w:r>
      <w:r w:rsidRPr="00DC2507">
        <w:rPr>
          <w:rFonts w:ascii="Verdana" w:hAnsi="Verdana" w:cs="Arial"/>
          <w:color w:val="000000" w:themeColor="text1"/>
          <w:sz w:val="16"/>
          <w:szCs w:val="16"/>
          <w:lang w:val="es-ES"/>
        </w:rPr>
        <w:t>Consejo de Estado. Sección Segunda. Sentencia del 10 de junio de 1992. Exp. No. 4.249. C.P. Álvaro Lecompte Luna.</w:t>
      </w:r>
    </w:p>
  </w:footnote>
  <w:footnote w:id="6">
    <w:p w14:paraId="66D271DD" w14:textId="77777777" w:rsidR="006E3767" w:rsidRPr="00DC2507" w:rsidRDefault="006E3767" w:rsidP="000F2830">
      <w:pPr>
        <w:pStyle w:val="Textonotapie"/>
        <w:ind w:firstLine="709"/>
        <w:jc w:val="both"/>
        <w:rPr>
          <w:rFonts w:ascii="Verdana" w:hAnsi="Verdana" w:cs="Arial"/>
          <w:color w:val="000000" w:themeColor="text1"/>
          <w:sz w:val="16"/>
          <w:szCs w:val="16"/>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 w:id="7">
    <w:p w14:paraId="442B68B8" w14:textId="196B97B6" w:rsidR="007D075C" w:rsidRDefault="007D075C" w:rsidP="00FA56D6">
      <w:pPr>
        <w:pStyle w:val="Textonotapie"/>
        <w:ind w:firstLine="708"/>
        <w:jc w:val="both"/>
        <w:rPr>
          <w:rFonts w:ascii="Verdana" w:hAnsi="Verdana"/>
          <w:sz w:val="16"/>
          <w:szCs w:val="16"/>
          <w:lang w:val="en-US"/>
        </w:rPr>
      </w:pPr>
      <w:r w:rsidRPr="00FA56D6">
        <w:rPr>
          <w:rStyle w:val="Refdenotaalpie"/>
          <w:rFonts w:ascii="Verdana" w:hAnsi="Verdana"/>
          <w:sz w:val="16"/>
          <w:szCs w:val="16"/>
        </w:rPr>
        <w:footnoteRef/>
      </w:r>
      <w:r w:rsidRPr="00FA56D6">
        <w:rPr>
          <w:rFonts w:ascii="Verdana" w:hAnsi="Verdana"/>
          <w:sz w:val="16"/>
          <w:szCs w:val="16"/>
          <w:lang w:val="en-US"/>
        </w:rPr>
        <w:t xml:space="preserve"> </w:t>
      </w:r>
      <w:r w:rsidR="002E5420" w:rsidRPr="00FA56D6">
        <w:rPr>
          <w:rFonts w:ascii="Verdana" w:hAnsi="Verdana"/>
          <w:sz w:val="16"/>
          <w:szCs w:val="16"/>
          <w:lang w:val="en-US"/>
        </w:rPr>
        <w:t xml:space="preserve"> WORLD BANK. Abnormally Low Bids and Proposals. Guide the identification and treatment of Abnormally Low Bids and Proposals, 2016.</w:t>
      </w:r>
    </w:p>
    <w:p w14:paraId="6AB6F61B" w14:textId="77777777" w:rsidR="000F2830" w:rsidRPr="00FA56D6" w:rsidRDefault="000F2830" w:rsidP="00FA56D6">
      <w:pPr>
        <w:pStyle w:val="Textonotapie"/>
        <w:ind w:firstLine="708"/>
        <w:jc w:val="both"/>
        <w:rPr>
          <w:rFonts w:ascii="Verdana" w:hAnsi="Verdana"/>
          <w:sz w:val="16"/>
          <w:szCs w:val="16"/>
          <w:lang w:val="en-US"/>
        </w:rPr>
      </w:pPr>
    </w:p>
  </w:footnote>
  <w:footnote w:id="8">
    <w:p w14:paraId="02F4C5D0" w14:textId="5357570B" w:rsidR="00EF6C0A" w:rsidRPr="00FA56D6" w:rsidRDefault="00EF6C0A" w:rsidP="00FA56D6">
      <w:pPr>
        <w:pStyle w:val="Textonotapie"/>
        <w:ind w:firstLine="708"/>
        <w:jc w:val="both"/>
        <w:rPr>
          <w:rFonts w:ascii="Verdana" w:hAnsi="Verdana"/>
          <w:sz w:val="16"/>
          <w:szCs w:val="16"/>
        </w:rPr>
      </w:pPr>
      <w:r w:rsidRPr="00FA56D6">
        <w:rPr>
          <w:rStyle w:val="Refdenotaalpie"/>
          <w:rFonts w:ascii="Verdana" w:hAnsi="Verdana"/>
          <w:sz w:val="16"/>
          <w:szCs w:val="16"/>
        </w:rPr>
        <w:footnoteRef/>
      </w:r>
      <w:r w:rsidRPr="00FA56D6">
        <w:rPr>
          <w:rFonts w:ascii="Verdana" w:hAnsi="Verdana"/>
          <w:sz w:val="16"/>
          <w:szCs w:val="16"/>
        </w:rPr>
        <w:t xml:space="preserve"> Es importante tener en cuenta que, dado que los contratos estatales </w:t>
      </w:r>
      <w:r w:rsidR="00A26E9A" w:rsidRPr="00FA56D6">
        <w:rPr>
          <w:rFonts w:ascii="Verdana" w:hAnsi="Verdana"/>
          <w:sz w:val="16"/>
          <w:szCs w:val="16"/>
        </w:rPr>
        <w:t xml:space="preserve">regulados por </w:t>
      </w:r>
      <w:r w:rsidR="00416A0E" w:rsidRPr="00FA56D6">
        <w:rPr>
          <w:rFonts w:ascii="Verdana" w:hAnsi="Verdana"/>
          <w:sz w:val="16"/>
          <w:szCs w:val="16"/>
        </w:rPr>
        <w:t xml:space="preserve">el Estatuto General de Contratación de la Administración Pública </w:t>
      </w:r>
      <w:r w:rsidR="00A26E9A" w:rsidRPr="00FA56D6">
        <w:rPr>
          <w:rFonts w:ascii="Verdana" w:hAnsi="Verdana"/>
          <w:sz w:val="16"/>
          <w:szCs w:val="16"/>
        </w:rPr>
        <w:t>son principalmente negocios jurídicos</w:t>
      </w:r>
      <w:r w:rsidRPr="00FA56D6">
        <w:rPr>
          <w:rFonts w:ascii="Verdana" w:hAnsi="Verdana"/>
          <w:sz w:val="16"/>
          <w:szCs w:val="16"/>
        </w:rPr>
        <w:t xml:space="preserve"> </w:t>
      </w:r>
      <w:r w:rsidR="00A26E9A" w:rsidRPr="00FA56D6">
        <w:rPr>
          <w:rFonts w:ascii="Verdana" w:hAnsi="Verdana"/>
          <w:sz w:val="16"/>
          <w:szCs w:val="16"/>
        </w:rPr>
        <w:t xml:space="preserve">conmutativos, </w:t>
      </w:r>
      <w:r w:rsidR="00416A0E" w:rsidRPr="00FA56D6">
        <w:rPr>
          <w:rFonts w:ascii="Verdana" w:hAnsi="Verdana"/>
          <w:sz w:val="16"/>
          <w:szCs w:val="16"/>
        </w:rPr>
        <w:t>la contraprestación no solo es un derecho del contratista</w:t>
      </w:r>
      <w:r w:rsidR="000358F5" w:rsidRPr="00FA56D6">
        <w:rPr>
          <w:rFonts w:ascii="Verdana" w:hAnsi="Verdana"/>
          <w:sz w:val="16"/>
          <w:szCs w:val="16"/>
        </w:rPr>
        <w:t>–Ley 80 de 1993, art. 5, num. 1–, sino que también es un elemento relevante para su perfeccionamiento–Ley 80 de 1993, art. 41, inciso primero</w:t>
      </w:r>
      <w:r w:rsidR="00DC2507" w:rsidRPr="00FA56D6">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605"/>
    <w:rsid w:val="000278C7"/>
    <w:rsid w:val="00032B75"/>
    <w:rsid w:val="000358F5"/>
    <w:rsid w:val="00061B2A"/>
    <w:rsid w:val="00082362"/>
    <w:rsid w:val="0009528C"/>
    <w:rsid w:val="000A683E"/>
    <w:rsid w:val="000B19B9"/>
    <w:rsid w:val="000D0334"/>
    <w:rsid w:val="000F2830"/>
    <w:rsid w:val="000F6486"/>
    <w:rsid w:val="00125105"/>
    <w:rsid w:val="00127233"/>
    <w:rsid w:val="001301FD"/>
    <w:rsid w:val="00154905"/>
    <w:rsid w:val="001940F4"/>
    <w:rsid w:val="001C14A6"/>
    <w:rsid w:val="001C720B"/>
    <w:rsid w:val="001D0C70"/>
    <w:rsid w:val="001E4177"/>
    <w:rsid w:val="001E61D6"/>
    <w:rsid w:val="001F277C"/>
    <w:rsid w:val="001F6621"/>
    <w:rsid w:val="001F7DC6"/>
    <w:rsid w:val="002421BB"/>
    <w:rsid w:val="0024288A"/>
    <w:rsid w:val="0025796E"/>
    <w:rsid w:val="002707A2"/>
    <w:rsid w:val="002951A0"/>
    <w:rsid w:val="002962BC"/>
    <w:rsid w:val="002A093D"/>
    <w:rsid w:val="002A0DD0"/>
    <w:rsid w:val="002A49AC"/>
    <w:rsid w:val="002A64FD"/>
    <w:rsid w:val="002C7A84"/>
    <w:rsid w:val="002E4FD9"/>
    <w:rsid w:val="002E5420"/>
    <w:rsid w:val="00316434"/>
    <w:rsid w:val="00322A85"/>
    <w:rsid w:val="00324168"/>
    <w:rsid w:val="00337D76"/>
    <w:rsid w:val="003448F4"/>
    <w:rsid w:val="00374F5E"/>
    <w:rsid w:val="00377E3E"/>
    <w:rsid w:val="0038453A"/>
    <w:rsid w:val="003A26D1"/>
    <w:rsid w:val="003A62B1"/>
    <w:rsid w:val="003A779E"/>
    <w:rsid w:val="003D0F4D"/>
    <w:rsid w:val="003D5B0D"/>
    <w:rsid w:val="003E0499"/>
    <w:rsid w:val="003F3941"/>
    <w:rsid w:val="00403609"/>
    <w:rsid w:val="00406575"/>
    <w:rsid w:val="00416A0E"/>
    <w:rsid w:val="0042722E"/>
    <w:rsid w:val="0043073C"/>
    <w:rsid w:val="0044528D"/>
    <w:rsid w:val="004A1847"/>
    <w:rsid w:val="004A305D"/>
    <w:rsid w:val="004A4640"/>
    <w:rsid w:val="004A7B03"/>
    <w:rsid w:val="004B011B"/>
    <w:rsid w:val="004C2ED7"/>
    <w:rsid w:val="004D35AC"/>
    <w:rsid w:val="004E241E"/>
    <w:rsid w:val="004F21C4"/>
    <w:rsid w:val="004F685F"/>
    <w:rsid w:val="00531664"/>
    <w:rsid w:val="00546340"/>
    <w:rsid w:val="0054691B"/>
    <w:rsid w:val="00546A2B"/>
    <w:rsid w:val="005549C5"/>
    <w:rsid w:val="005566E8"/>
    <w:rsid w:val="005648A3"/>
    <w:rsid w:val="00574867"/>
    <w:rsid w:val="00591460"/>
    <w:rsid w:val="00592628"/>
    <w:rsid w:val="005A48D3"/>
    <w:rsid w:val="005A75C6"/>
    <w:rsid w:val="005C3777"/>
    <w:rsid w:val="005C5CDC"/>
    <w:rsid w:val="005D476C"/>
    <w:rsid w:val="005E36F4"/>
    <w:rsid w:val="00610812"/>
    <w:rsid w:val="006219F8"/>
    <w:rsid w:val="00627A23"/>
    <w:rsid w:val="00650FF7"/>
    <w:rsid w:val="00651A8E"/>
    <w:rsid w:val="00664CCF"/>
    <w:rsid w:val="00665D70"/>
    <w:rsid w:val="00670834"/>
    <w:rsid w:val="00671DAC"/>
    <w:rsid w:val="00681052"/>
    <w:rsid w:val="006900D9"/>
    <w:rsid w:val="006B0939"/>
    <w:rsid w:val="006B35DA"/>
    <w:rsid w:val="006D12F8"/>
    <w:rsid w:val="006D1822"/>
    <w:rsid w:val="006E3767"/>
    <w:rsid w:val="006F6B30"/>
    <w:rsid w:val="00706C16"/>
    <w:rsid w:val="00727D28"/>
    <w:rsid w:val="00733A45"/>
    <w:rsid w:val="00756841"/>
    <w:rsid w:val="007649AB"/>
    <w:rsid w:val="00771D0C"/>
    <w:rsid w:val="00775F64"/>
    <w:rsid w:val="007833AC"/>
    <w:rsid w:val="00793759"/>
    <w:rsid w:val="007B268C"/>
    <w:rsid w:val="007B7171"/>
    <w:rsid w:val="007C0C0F"/>
    <w:rsid w:val="007C3DC2"/>
    <w:rsid w:val="007D075C"/>
    <w:rsid w:val="007D1FF6"/>
    <w:rsid w:val="007D6562"/>
    <w:rsid w:val="007D7604"/>
    <w:rsid w:val="007E21C0"/>
    <w:rsid w:val="007E5497"/>
    <w:rsid w:val="00804902"/>
    <w:rsid w:val="00806F5F"/>
    <w:rsid w:val="00820278"/>
    <w:rsid w:val="00827980"/>
    <w:rsid w:val="008843B6"/>
    <w:rsid w:val="008846FF"/>
    <w:rsid w:val="00891928"/>
    <w:rsid w:val="008A446D"/>
    <w:rsid w:val="008B7411"/>
    <w:rsid w:val="008D180B"/>
    <w:rsid w:val="008E58EE"/>
    <w:rsid w:val="008F0048"/>
    <w:rsid w:val="008F0EA7"/>
    <w:rsid w:val="00923EEF"/>
    <w:rsid w:val="00940EF7"/>
    <w:rsid w:val="009419F9"/>
    <w:rsid w:val="00944E37"/>
    <w:rsid w:val="00946F80"/>
    <w:rsid w:val="00947AED"/>
    <w:rsid w:val="0095685E"/>
    <w:rsid w:val="00961B09"/>
    <w:rsid w:val="00965334"/>
    <w:rsid w:val="0097093E"/>
    <w:rsid w:val="009807BB"/>
    <w:rsid w:val="009924E7"/>
    <w:rsid w:val="00996389"/>
    <w:rsid w:val="009A0DFA"/>
    <w:rsid w:val="009B2D26"/>
    <w:rsid w:val="009C19C8"/>
    <w:rsid w:val="009C71FA"/>
    <w:rsid w:val="009C72E7"/>
    <w:rsid w:val="009D3058"/>
    <w:rsid w:val="009E406F"/>
    <w:rsid w:val="009F3A13"/>
    <w:rsid w:val="00A05053"/>
    <w:rsid w:val="00A122D3"/>
    <w:rsid w:val="00A1416B"/>
    <w:rsid w:val="00A17F13"/>
    <w:rsid w:val="00A20739"/>
    <w:rsid w:val="00A26E9A"/>
    <w:rsid w:val="00A33C78"/>
    <w:rsid w:val="00A61C79"/>
    <w:rsid w:val="00AB0ADB"/>
    <w:rsid w:val="00AD326F"/>
    <w:rsid w:val="00B01B1A"/>
    <w:rsid w:val="00B72CD3"/>
    <w:rsid w:val="00B72FFF"/>
    <w:rsid w:val="00B922F4"/>
    <w:rsid w:val="00BA6FFA"/>
    <w:rsid w:val="00BB2CE3"/>
    <w:rsid w:val="00BC3D36"/>
    <w:rsid w:val="00BD4825"/>
    <w:rsid w:val="00BD55C8"/>
    <w:rsid w:val="00BD7F72"/>
    <w:rsid w:val="00BE3020"/>
    <w:rsid w:val="00BF66AB"/>
    <w:rsid w:val="00C04FB3"/>
    <w:rsid w:val="00C330EB"/>
    <w:rsid w:val="00C53A47"/>
    <w:rsid w:val="00C5785E"/>
    <w:rsid w:val="00C70059"/>
    <w:rsid w:val="00C754BE"/>
    <w:rsid w:val="00C76B1C"/>
    <w:rsid w:val="00CB6357"/>
    <w:rsid w:val="00CC1B26"/>
    <w:rsid w:val="00D0578D"/>
    <w:rsid w:val="00D06DB8"/>
    <w:rsid w:val="00D07C1F"/>
    <w:rsid w:val="00D423A2"/>
    <w:rsid w:val="00D44825"/>
    <w:rsid w:val="00D520D8"/>
    <w:rsid w:val="00D616B7"/>
    <w:rsid w:val="00D63AC2"/>
    <w:rsid w:val="00D7383B"/>
    <w:rsid w:val="00DA231B"/>
    <w:rsid w:val="00DA23A0"/>
    <w:rsid w:val="00DC2507"/>
    <w:rsid w:val="00DC39FC"/>
    <w:rsid w:val="00DD1049"/>
    <w:rsid w:val="00DF5254"/>
    <w:rsid w:val="00E0341A"/>
    <w:rsid w:val="00E16408"/>
    <w:rsid w:val="00E20894"/>
    <w:rsid w:val="00E245AB"/>
    <w:rsid w:val="00E2764C"/>
    <w:rsid w:val="00E27F2E"/>
    <w:rsid w:val="00E413EA"/>
    <w:rsid w:val="00E41AA9"/>
    <w:rsid w:val="00E50AFE"/>
    <w:rsid w:val="00E728A8"/>
    <w:rsid w:val="00E75C6F"/>
    <w:rsid w:val="00E75C92"/>
    <w:rsid w:val="00E771DC"/>
    <w:rsid w:val="00E8772A"/>
    <w:rsid w:val="00E90F6B"/>
    <w:rsid w:val="00E92C27"/>
    <w:rsid w:val="00EA0E3D"/>
    <w:rsid w:val="00EC38A7"/>
    <w:rsid w:val="00EE1AA8"/>
    <w:rsid w:val="00EE6BE8"/>
    <w:rsid w:val="00EF6C0A"/>
    <w:rsid w:val="00F26F8E"/>
    <w:rsid w:val="00F3009B"/>
    <w:rsid w:val="00F31EDC"/>
    <w:rsid w:val="00F462B3"/>
    <w:rsid w:val="00F50383"/>
    <w:rsid w:val="00F5664F"/>
    <w:rsid w:val="00F63823"/>
    <w:rsid w:val="00F666C4"/>
    <w:rsid w:val="00F70730"/>
    <w:rsid w:val="00F76AFC"/>
    <w:rsid w:val="00F9427D"/>
    <w:rsid w:val="00FA2D09"/>
    <w:rsid w:val="00FA47C0"/>
    <w:rsid w:val="00FA56D6"/>
    <w:rsid w:val="00FB5DD1"/>
    <w:rsid w:val="00FB618B"/>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08852FA-22D4-4E86-B891-066740C7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E376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E3767"/>
    <w:rPr>
      <w:rFonts w:ascii="Geomanist Light" w:hAnsi="Geomanist Light"/>
      <w:lang w:val="es-ES"/>
    </w:rPr>
  </w:style>
  <w:style w:type="character" w:customStyle="1" w:styleId="NormalWebCar">
    <w:name w:val="Normal (Web) Car"/>
    <w:link w:val="NormalWeb"/>
    <w:uiPriority w:val="99"/>
    <w:rsid w:val="006E3767"/>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ntacto@presidencia.gov.co" TargetMode="External"/><Relationship Id="rId17" Type="http://schemas.openxmlformats.org/officeDocument/2006/relationships/hyperlink" Target="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alejandro.sarmiento%40colombiacompra.gov.co%7C5aad36a736844ec87b2108dcc1fa4639%7C7b09041e245149d08cb179d5e3d8c1be%7C0%7C0%7C638598527916490388%7CUnknown%7CTWFpbGZsb3d8eyJWIjoiMC4wLjAwMDAiLCJQIjoiV2luMzIiLCJBTiI6Ik1haWwiLCJXVCI6Mn0%3D%7C0%7C%7C%7C&amp;sdata=RuCaG4kVEIMs6uJrhlLCI4fDKA%2FA6%2B5EAgwgNSgw1Kg%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compra.gov.co/sites/cce_public/files/cce_documents/cce_guia_artificialmente_baja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E243E2C-2ED7-44DA-9600-E76E895777D4}">
  <ds:schemaRefs>
    <ds:schemaRef ds:uri="http://schemas.openxmlformats.org/officeDocument/2006/bibliography"/>
  </ds:schemaRefs>
</ds:datastoreItem>
</file>

<file path=customXml/itemProps4.xml><?xml version="1.0" encoding="utf-8"?>
<ds:datastoreItem xmlns:ds="http://schemas.openxmlformats.org/officeDocument/2006/customXml" ds:itemID="{701538B1-D30A-4653-B833-A71615027619}"/>
</file>

<file path=docProps/app.xml><?xml version="1.0" encoding="utf-8"?>
<Properties xmlns="http://schemas.openxmlformats.org/officeDocument/2006/extended-properties" xmlns:vt="http://schemas.openxmlformats.org/officeDocument/2006/docPropsVTypes">
  <Template>Normal.dotm</Template>
  <TotalTime>117</TotalTime>
  <Pages>15</Pages>
  <Words>5476</Words>
  <Characters>30123</Characters>
  <Application>Microsoft Office Word</Application>
  <DocSecurity>0</DocSecurity>
  <Lines>251</Lines>
  <Paragraphs>71</Paragraphs>
  <ScaleCrop>false</ScaleCrop>
  <Company/>
  <LinksUpToDate>false</LinksUpToDate>
  <CharactersWithSpaces>35528</CharactersWithSpaces>
  <SharedDoc>false</SharedDoc>
  <HLinks>
    <vt:vector size="36" baseType="variant">
      <vt:variant>
        <vt:i4>2359332</vt:i4>
      </vt:variant>
      <vt:variant>
        <vt:i4>15</vt:i4>
      </vt:variant>
      <vt:variant>
        <vt:i4>0</vt:i4>
      </vt:variant>
      <vt:variant>
        <vt:i4>5</vt:i4>
      </vt:variant>
      <vt:variant>
        <vt:lpwstr>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vt:lpwstr>
      </vt:variant>
      <vt:variant>
        <vt:lpwstr/>
      </vt:variant>
      <vt:variant>
        <vt:i4>7012414</vt:i4>
      </vt:variant>
      <vt:variant>
        <vt:i4>12</vt:i4>
      </vt:variant>
      <vt:variant>
        <vt:i4>0</vt:i4>
      </vt:variant>
      <vt:variant>
        <vt:i4>5</vt:i4>
      </vt:variant>
      <vt:variant>
        <vt:lpwstr>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vt:lpwstr>
      </vt:variant>
      <vt:variant>
        <vt:lpwstr/>
      </vt:variant>
      <vt:variant>
        <vt:i4>4128785</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vt:lpwstr>
      </vt:variant>
      <vt:variant>
        <vt:lpwstr/>
      </vt:variant>
      <vt:variant>
        <vt:i4>2555939</vt:i4>
      </vt:variant>
      <vt:variant>
        <vt:i4>6</vt:i4>
      </vt:variant>
      <vt:variant>
        <vt:i4>0</vt:i4>
      </vt:variant>
      <vt:variant>
        <vt:i4>5</vt:i4>
      </vt:variant>
      <vt:variant>
        <vt:lpwstr>https://nam02.safelinks.protection.outlook.com/?url=https%3A%2F%2Frelatoria.colombiacompra.gov.co%2F&amp;data=05%7C02%7Calejandro.sarmiento%40colombiacompra.gov.co%7C5aad36a736844ec87b2108dcc1fa4639%7C7b09041e245149d08cb179d5e3d8c1be%7C0%7C0%7C638598527916490388%7CUnknown%7CTWFpbGZsb3d8eyJWIjoiMC4wLjAwMDAiLCJQIjoiV2luMzIiLCJBTiI6Ik1haWwiLCJXVCI6Mn0%3D%7C0%7C%7C%7C&amp;sdata=RuCaG4kVEIMs6uJrhlLCI4fDKA%2FA6%2B5EAgwgNSgw1Kg%3D&amp;reserved=0</vt:lpwstr>
      </vt:variant>
      <vt:variant>
        <vt:lpwstr/>
      </vt:variant>
      <vt:variant>
        <vt:i4>7864350</vt:i4>
      </vt:variant>
      <vt:variant>
        <vt:i4>3</vt:i4>
      </vt:variant>
      <vt:variant>
        <vt:i4>0</vt:i4>
      </vt:variant>
      <vt:variant>
        <vt:i4>5</vt:i4>
      </vt:variant>
      <vt:variant>
        <vt:lpwstr>https://colombiacompra.gov.co/sites/cce_public/files/cce_documents/cce_guia_artificialmente_bajas.pdf</vt:lpwstr>
      </vt:variant>
      <vt:variant>
        <vt:lpwstr/>
      </vt:variant>
      <vt:variant>
        <vt:i4>5767220</vt:i4>
      </vt:variant>
      <vt:variant>
        <vt:i4>0</vt:i4>
      </vt:variant>
      <vt:variant>
        <vt:i4>0</vt:i4>
      </vt:variant>
      <vt:variant>
        <vt:i4>5</vt:i4>
      </vt:variant>
      <vt:variant>
        <vt:lpwstr>mailto:contacto@presidencia.gov.co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101</cp:revision>
  <cp:lastPrinted>2023-01-11T00:18:00Z</cp:lastPrinted>
  <dcterms:created xsi:type="dcterms:W3CDTF">2024-07-02T15:39:00Z</dcterms:created>
  <dcterms:modified xsi:type="dcterms:W3CDTF">2024-08-27T20:32:00Z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