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AEC8" w14:textId="1E0AF574" w:rsidR="00DC2FE2" w:rsidRPr="00DC2FE2" w:rsidRDefault="00DC2FE2" w:rsidP="00DC2FE2">
      <w:pPr>
        <w:spacing w:line="240" w:lineRule="auto"/>
        <w:jc w:val="both"/>
        <w:rPr>
          <w:rFonts w:ascii="Verdana" w:hAnsi="Verdana" w:cs="Arial"/>
          <w:b/>
          <w:lang w:val="es-ES_tradnl"/>
        </w:rPr>
      </w:pPr>
      <w:bookmarkStart w:id="0" w:name="_Hlk143780582"/>
      <w:r w:rsidRPr="00DC2FE2">
        <w:rPr>
          <w:rFonts w:ascii="Verdana" w:hAnsi="Verdana" w:cs="Arial"/>
          <w:b/>
          <w:lang w:val="es-ES_tradnl"/>
        </w:rPr>
        <w:t>ANTICIPO</w:t>
      </w:r>
      <w:r w:rsidR="00447B26">
        <w:rPr>
          <w:rFonts w:ascii="Verdana" w:hAnsi="Verdana" w:cs="Arial"/>
          <w:b/>
          <w:lang w:val="es-ES_tradnl"/>
        </w:rPr>
        <w:t xml:space="preserve"> </w:t>
      </w:r>
      <w:r w:rsidR="00E0632F">
        <w:rPr>
          <w:rFonts w:ascii="Verdana" w:hAnsi="Verdana" w:cs="Arial"/>
          <w:b/>
          <w:lang w:val="es-ES_tradnl"/>
        </w:rPr>
        <w:t>-</w:t>
      </w:r>
      <w:r w:rsidR="00447B26">
        <w:rPr>
          <w:rFonts w:ascii="Verdana" w:hAnsi="Verdana" w:cs="Arial"/>
          <w:b/>
          <w:lang w:val="es-ES_tradnl"/>
        </w:rPr>
        <w:t xml:space="preserve"> </w:t>
      </w:r>
      <w:r w:rsidRPr="00DC2FE2">
        <w:rPr>
          <w:rFonts w:ascii="Verdana" w:hAnsi="Verdana" w:cs="Arial"/>
          <w:b/>
          <w:lang w:val="es-ES_tradnl"/>
        </w:rPr>
        <w:t>Regulación normativa</w:t>
      </w:r>
    </w:p>
    <w:p w14:paraId="7BEDE5F3" w14:textId="251FFBD7" w:rsidR="00DC2FE2" w:rsidRPr="00DC2FE2" w:rsidRDefault="00DC2FE2" w:rsidP="00DC2FE2">
      <w:pPr>
        <w:spacing w:line="240" w:lineRule="auto"/>
        <w:jc w:val="both"/>
        <w:rPr>
          <w:rFonts w:ascii="Verdana" w:hAnsi="Verdana" w:cs="Arial"/>
          <w:sz w:val="20"/>
          <w:szCs w:val="20"/>
          <w:lang w:val="es-ES"/>
        </w:rPr>
      </w:pPr>
      <w:r w:rsidRPr="76C79F98">
        <w:rPr>
          <w:rFonts w:ascii="Verdana" w:hAnsi="Verdana" w:cs="Arial"/>
          <w:sz w:val="20"/>
          <w:szCs w:val="20"/>
          <w:lang w:val="es-ES"/>
        </w:rPr>
        <w:t xml:space="preserve">El primer enunciado, se encuentra el inciso primero del parágrafo del artículo 40 de la Ley 80 de 1993, el cual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709B9D6D" w14:textId="6682E7DC" w:rsidR="00DC2FE2" w:rsidRPr="00DC2FE2" w:rsidRDefault="00DC2FE2" w:rsidP="00DC2FE2">
      <w:pPr>
        <w:spacing w:line="240" w:lineRule="auto"/>
        <w:jc w:val="both"/>
        <w:rPr>
          <w:rFonts w:ascii="Verdana" w:hAnsi="Verdana" w:cs="Arial"/>
          <w:b/>
          <w:lang w:val="es-MX"/>
        </w:rPr>
      </w:pPr>
      <w:r w:rsidRPr="00DC2FE2">
        <w:rPr>
          <w:rFonts w:ascii="Verdana" w:hAnsi="Verdana" w:cs="Arial"/>
          <w:b/>
        </w:rPr>
        <w:t>ANTICIPO</w:t>
      </w:r>
      <w:r w:rsidR="00447B26">
        <w:rPr>
          <w:rFonts w:ascii="Verdana" w:hAnsi="Verdana" w:cs="Arial"/>
          <w:b/>
        </w:rPr>
        <w:t xml:space="preserve"> </w:t>
      </w:r>
      <w:r w:rsidR="00E0632F">
        <w:rPr>
          <w:rFonts w:ascii="Verdana" w:hAnsi="Verdana" w:cs="Arial"/>
          <w:b/>
        </w:rPr>
        <w:t>-</w:t>
      </w:r>
      <w:r w:rsidR="00447B26">
        <w:rPr>
          <w:rFonts w:ascii="Verdana" w:hAnsi="Verdana" w:cs="Arial"/>
          <w:b/>
        </w:rPr>
        <w:t xml:space="preserve"> </w:t>
      </w:r>
      <w:r w:rsidRPr="00DC2FE2">
        <w:rPr>
          <w:rFonts w:ascii="Verdana" w:hAnsi="Verdana" w:cs="Arial"/>
          <w:b/>
        </w:rPr>
        <w:t>Definición jurisprudencial</w:t>
      </w:r>
    </w:p>
    <w:p w14:paraId="15EF6267" w14:textId="09597043" w:rsidR="00DC2FE2" w:rsidRDefault="00DC2FE2" w:rsidP="00190DE5">
      <w:pPr>
        <w:spacing w:after="0" w:line="240" w:lineRule="auto"/>
        <w:jc w:val="both"/>
        <w:rPr>
          <w:rFonts w:ascii="Verdana" w:hAnsi="Verdana" w:cs="Arial"/>
          <w:sz w:val="20"/>
          <w:szCs w:val="20"/>
          <w:lang w:val="es-ES_tradnl"/>
        </w:rPr>
      </w:pPr>
      <w:r w:rsidRPr="00DC2FE2">
        <w:rPr>
          <w:rFonts w:ascii="Verdana" w:hAnsi="Verdana" w:cs="Arial"/>
          <w:sz w:val="20"/>
          <w:szCs w:val="20"/>
          <w:lang w:val="es-ES_tradnl"/>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 .</w:t>
      </w:r>
    </w:p>
    <w:p w14:paraId="47347B14" w14:textId="77777777" w:rsidR="00DC2FE2" w:rsidRPr="005B3D15" w:rsidRDefault="00DC2FE2" w:rsidP="00190DE5">
      <w:pPr>
        <w:spacing w:after="0" w:line="240" w:lineRule="auto"/>
        <w:jc w:val="both"/>
        <w:rPr>
          <w:rFonts w:ascii="Verdana" w:eastAsia="Geomanist Light" w:hAnsi="Verdana" w:cs="Arial"/>
          <w:b/>
          <w:lang w:val="es-MX"/>
        </w:rPr>
      </w:pPr>
    </w:p>
    <w:p w14:paraId="22D496E2" w14:textId="601EC9EF" w:rsidR="00190DE5" w:rsidRPr="00E0632F" w:rsidRDefault="00190DE5" w:rsidP="00190DE5">
      <w:pPr>
        <w:spacing w:after="0" w:line="240" w:lineRule="auto"/>
        <w:jc w:val="both"/>
        <w:rPr>
          <w:rFonts w:ascii="Verdana" w:eastAsia="Geomanist Light" w:hAnsi="Verdana" w:cs="Arial"/>
          <w:b/>
          <w:lang w:val="es-MX"/>
        </w:rPr>
      </w:pPr>
      <w:r w:rsidRPr="00E0632F">
        <w:rPr>
          <w:rFonts w:ascii="Verdana" w:eastAsia="Geomanist Light" w:hAnsi="Verdana" w:cs="Arial"/>
          <w:b/>
          <w:lang w:val="es-MX"/>
        </w:rPr>
        <w:t>CONTRATO DE CONCESIÓN</w:t>
      </w:r>
      <w:r w:rsidR="00447B26">
        <w:rPr>
          <w:rFonts w:ascii="Verdana" w:eastAsia="Geomanist Light" w:hAnsi="Verdana" w:cs="Arial"/>
          <w:b/>
          <w:lang w:val="es-MX"/>
        </w:rPr>
        <w:t xml:space="preserve"> </w:t>
      </w:r>
      <w:r w:rsidR="00E0632F">
        <w:rPr>
          <w:rFonts w:ascii="Verdana" w:eastAsia="Geomanist Light" w:hAnsi="Verdana" w:cs="Arial"/>
          <w:b/>
          <w:lang w:val="es-MX"/>
        </w:rPr>
        <w:t>-</w:t>
      </w:r>
      <w:r w:rsidR="00447B26">
        <w:rPr>
          <w:rFonts w:ascii="Verdana" w:eastAsia="Geomanist Light" w:hAnsi="Verdana" w:cs="Arial"/>
          <w:b/>
          <w:lang w:val="es-MX"/>
        </w:rPr>
        <w:t xml:space="preserve"> </w:t>
      </w:r>
      <w:r w:rsidRPr="00E0632F">
        <w:rPr>
          <w:rFonts w:ascii="Verdana" w:eastAsia="Geomanist Light" w:hAnsi="Verdana" w:cs="Arial"/>
          <w:b/>
          <w:lang w:val="es-MX"/>
        </w:rPr>
        <w:t>Contrato estatal</w:t>
      </w:r>
      <w:r w:rsidR="00447B26">
        <w:rPr>
          <w:rFonts w:ascii="Verdana" w:eastAsia="Geomanist Light" w:hAnsi="Verdana" w:cs="Arial"/>
          <w:b/>
          <w:lang w:val="es-MX"/>
        </w:rPr>
        <w:t xml:space="preserve"> </w:t>
      </w:r>
      <w:r w:rsidR="00E0632F">
        <w:rPr>
          <w:rFonts w:ascii="Verdana" w:eastAsia="Geomanist Light" w:hAnsi="Verdana" w:cs="Arial"/>
          <w:b/>
          <w:lang w:val="es-MX"/>
        </w:rPr>
        <w:t>-</w:t>
      </w:r>
      <w:r w:rsidR="00447B26">
        <w:rPr>
          <w:rFonts w:ascii="Verdana" w:eastAsia="Geomanist Light" w:hAnsi="Verdana" w:cs="Arial"/>
          <w:b/>
          <w:lang w:val="es-MX"/>
        </w:rPr>
        <w:t xml:space="preserve"> </w:t>
      </w:r>
      <w:r w:rsidRPr="00E0632F">
        <w:rPr>
          <w:rFonts w:ascii="Verdana" w:eastAsia="Geomanist Light" w:hAnsi="Verdana" w:cs="Arial"/>
          <w:b/>
          <w:lang w:val="es-MX"/>
        </w:rPr>
        <w:t>Concepto</w:t>
      </w:r>
    </w:p>
    <w:p w14:paraId="50AD13FF" w14:textId="77777777" w:rsidR="00190DE5" w:rsidRPr="00E0632F" w:rsidRDefault="00190DE5" w:rsidP="00190DE5">
      <w:pPr>
        <w:spacing w:after="0" w:line="240" w:lineRule="auto"/>
        <w:jc w:val="both"/>
        <w:rPr>
          <w:rFonts w:ascii="Verdana" w:eastAsia="Geomanist Light" w:hAnsi="Verdana" w:cs="Arial"/>
          <w:b/>
          <w:sz w:val="20"/>
          <w:lang w:val="es-MX"/>
        </w:rPr>
      </w:pPr>
    </w:p>
    <w:p w14:paraId="1AE50ACF" w14:textId="5C8500F6" w:rsidR="00190DE5" w:rsidRPr="00E0632F" w:rsidRDefault="00E0632F" w:rsidP="00190DE5">
      <w:pPr>
        <w:spacing w:after="0" w:line="240" w:lineRule="auto"/>
        <w:jc w:val="both"/>
        <w:rPr>
          <w:rFonts w:ascii="Verdana" w:eastAsia="Geomanist Light" w:hAnsi="Verdana" w:cs="Arial"/>
          <w:sz w:val="20"/>
          <w:lang w:val="es-MX"/>
        </w:rPr>
      </w:pPr>
      <w:r w:rsidRPr="00E0632F">
        <w:rPr>
          <w:rFonts w:ascii="Verdana" w:eastAsia="Geomanist Light" w:hAnsi="Verdana" w:cs="Arial"/>
          <w:sz w:val="20"/>
          <w:lang w:val="es-MX"/>
        </w:rPr>
        <w:t>(…) el cual,</w:t>
      </w:r>
      <w:r w:rsidR="00190DE5" w:rsidRPr="00E0632F">
        <w:rPr>
          <w:rFonts w:ascii="Verdana" w:eastAsia="Geomanist Light" w:hAnsi="Verdana" w:cs="Arial"/>
          <w:sz w:val="20"/>
          <w:lang w:val="es-MX"/>
        </w:rPr>
        <w:t xml:space="preserve"> ha sido tradicionalmente uno de los contratos estatales paradigmáticos, ya que a través de él las </w:t>
      </w:r>
      <w:r w:rsidRPr="00E0632F">
        <w:rPr>
          <w:rFonts w:ascii="Verdana" w:eastAsia="Geomanist Light" w:hAnsi="Verdana" w:cs="Arial"/>
          <w:sz w:val="20"/>
          <w:lang w:val="es-MX"/>
        </w:rPr>
        <w:t>Entidades Públicas</w:t>
      </w:r>
      <w:r w:rsidR="00190DE5" w:rsidRPr="00E0632F">
        <w:rPr>
          <w:rFonts w:ascii="Verdana" w:eastAsia="Geomanist Light" w:hAnsi="Verdana" w:cs="Arial"/>
          <w:sz w:val="20"/>
          <w:lang w:val="es-MX"/>
        </w:rPr>
        <w:t xml:space="preserve">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 </w:t>
      </w:r>
      <w:r w:rsidRPr="00E0632F">
        <w:rPr>
          <w:rFonts w:ascii="Verdana" w:eastAsia="Geomanist Light" w:hAnsi="Verdana" w:cs="Arial"/>
          <w:sz w:val="20"/>
          <w:lang w:val="es-MX"/>
        </w:rPr>
        <w:t>(</w:t>
      </w:r>
      <w:r w:rsidR="00190DE5" w:rsidRPr="00E0632F">
        <w:rPr>
          <w:rFonts w:ascii="Verdana" w:eastAsia="Geomanist Light" w:hAnsi="Verdana" w:cs="Arial"/>
          <w:sz w:val="20"/>
          <w:lang w:val="es-MX"/>
        </w:rPr>
        <w:t>…</w:t>
      </w:r>
      <w:r w:rsidRPr="00E0632F">
        <w:rPr>
          <w:rFonts w:ascii="Verdana" w:eastAsia="Geomanist Light" w:hAnsi="Verdana" w:cs="Arial"/>
          <w:sz w:val="20"/>
          <w:lang w:val="es-MX"/>
        </w:rPr>
        <w:t>)</w:t>
      </w:r>
    </w:p>
    <w:p w14:paraId="7582BC26" w14:textId="77777777" w:rsidR="00E0632F" w:rsidRPr="00E0632F" w:rsidRDefault="00E0632F" w:rsidP="00190DE5">
      <w:pPr>
        <w:spacing w:after="0" w:line="240" w:lineRule="auto"/>
        <w:jc w:val="both"/>
        <w:rPr>
          <w:rFonts w:ascii="Verdana" w:eastAsia="Geomanist Light" w:hAnsi="Verdana" w:cs="Arial"/>
          <w:sz w:val="20"/>
          <w:lang w:val="es-MX"/>
        </w:rPr>
      </w:pPr>
    </w:p>
    <w:p w14:paraId="5FDC73A0" w14:textId="77777777" w:rsidR="00190DE5" w:rsidRPr="00E0632F" w:rsidRDefault="00190DE5" w:rsidP="00190DE5">
      <w:pPr>
        <w:spacing w:after="0" w:line="240" w:lineRule="auto"/>
        <w:jc w:val="both"/>
        <w:rPr>
          <w:rFonts w:ascii="Verdana" w:eastAsia="Geomanist Light" w:hAnsi="Verdana" w:cs="Arial"/>
          <w:sz w:val="20"/>
          <w:lang w:val="es-MX"/>
        </w:rPr>
      </w:pPr>
      <w:r w:rsidRPr="00E0632F">
        <w:rPr>
          <w:rFonts w:ascii="Verdana" w:eastAsia="Geomanist Light" w:hAnsi="Verdana" w:cs="Arial"/>
          <w:sz w:val="20"/>
          <w:lang w:val="es-MX"/>
        </w:rPr>
        <w:t xml:space="preserve">Como se observa, en este tipo de contratos el contratista es, en principio, quien por su cuenta y riesgo ejecuta la prestación, operación, explotación u organización del servicio, así como la construcción, explotación o conservación del bien, a cambio de una remuneración. </w:t>
      </w:r>
    </w:p>
    <w:p w14:paraId="57A9A966" w14:textId="3378F564" w:rsidR="00190DE5" w:rsidRPr="005B3D15" w:rsidRDefault="00190DE5" w:rsidP="007A5DAA">
      <w:pPr>
        <w:spacing w:line="240" w:lineRule="auto"/>
        <w:jc w:val="both"/>
        <w:rPr>
          <w:rFonts w:ascii="Verdana" w:hAnsi="Verdana" w:cs="Arial"/>
          <w:b/>
          <w:lang w:val="es-ES_tradnl"/>
        </w:rPr>
      </w:pPr>
    </w:p>
    <w:p w14:paraId="4B4DBCE5" w14:textId="7AC20A37" w:rsidR="00E0632F" w:rsidRPr="00E0632F" w:rsidRDefault="00E0632F" w:rsidP="00E0632F">
      <w:pPr>
        <w:spacing w:after="0" w:line="240" w:lineRule="auto"/>
        <w:jc w:val="both"/>
        <w:rPr>
          <w:rFonts w:ascii="Verdana" w:eastAsia="Geomanist Light" w:hAnsi="Verdana" w:cs="Arial"/>
          <w:b/>
          <w:lang w:val="es-MX"/>
        </w:rPr>
      </w:pPr>
      <w:r w:rsidRPr="00E0632F">
        <w:rPr>
          <w:rFonts w:ascii="Verdana" w:eastAsia="Geomanist Light" w:hAnsi="Verdana" w:cs="Arial"/>
          <w:b/>
          <w:lang w:val="es-MX"/>
        </w:rPr>
        <w:t>CONTRATO DE CONCESIÓN</w:t>
      </w:r>
      <w:r w:rsidR="00447B26">
        <w:rPr>
          <w:rFonts w:ascii="Verdana" w:eastAsia="Geomanist Light" w:hAnsi="Verdana" w:cs="Arial"/>
          <w:b/>
          <w:lang w:val="es-MX"/>
        </w:rPr>
        <w:t xml:space="preserve"> – </w:t>
      </w:r>
      <w:r>
        <w:rPr>
          <w:rFonts w:ascii="Verdana" w:eastAsia="Geomanist Light" w:hAnsi="Verdana" w:cs="Arial"/>
          <w:b/>
          <w:lang w:val="es-MX"/>
        </w:rPr>
        <w:t>Riesgo</w:t>
      </w:r>
      <w:r w:rsidR="00447B26">
        <w:rPr>
          <w:rFonts w:ascii="Verdana" w:eastAsia="Geomanist Light" w:hAnsi="Verdana" w:cs="Arial"/>
          <w:b/>
          <w:lang w:val="es-MX"/>
        </w:rPr>
        <w:t xml:space="preserve"> </w:t>
      </w:r>
      <w:r>
        <w:rPr>
          <w:rFonts w:ascii="Verdana" w:eastAsia="Geomanist Light" w:hAnsi="Verdana" w:cs="Arial"/>
          <w:b/>
          <w:lang w:val="es-MX"/>
        </w:rPr>
        <w:t>-</w:t>
      </w:r>
      <w:r w:rsidR="00447B26">
        <w:rPr>
          <w:rFonts w:ascii="Verdana" w:eastAsia="Geomanist Light" w:hAnsi="Verdana" w:cs="Arial"/>
          <w:b/>
          <w:lang w:val="es-MX"/>
        </w:rPr>
        <w:t xml:space="preserve"> </w:t>
      </w:r>
      <w:r>
        <w:rPr>
          <w:rFonts w:ascii="Verdana" w:eastAsia="Geomanist Light" w:hAnsi="Verdana" w:cs="Arial"/>
          <w:b/>
          <w:lang w:val="es-MX"/>
        </w:rPr>
        <w:t>Concesionario</w:t>
      </w:r>
    </w:p>
    <w:p w14:paraId="426AD345" w14:textId="4A7CB05C" w:rsidR="00E0632F" w:rsidRPr="005B3D15" w:rsidRDefault="00E0632F" w:rsidP="007A5DAA">
      <w:pPr>
        <w:spacing w:line="240" w:lineRule="auto"/>
        <w:jc w:val="both"/>
        <w:rPr>
          <w:rFonts w:ascii="Verdana" w:hAnsi="Verdana" w:cs="Arial"/>
          <w:b/>
          <w:lang w:val="es-ES_tradnl"/>
        </w:rPr>
      </w:pPr>
    </w:p>
    <w:p w14:paraId="42D4B71D" w14:textId="77777777" w:rsidR="00E0632F" w:rsidRPr="00E0632F" w:rsidRDefault="00E0632F" w:rsidP="007A3EE0">
      <w:pPr>
        <w:spacing w:after="0" w:line="240" w:lineRule="auto"/>
        <w:jc w:val="both"/>
        <w:rPr>
          <w:rFonts w:ascii="Verdana" w:hAnsi="Verdana" w:cs="Arial"/>
          <w:color w:val="000000" w:themeColor="text1"/>
          <w:sz w:val="20"/>
        </w:rPr>
      </w:pPr>
      <w:r w:rsidRPr="00E0632F">
        <w:rPr>
          <w:rFonts w:ascii="Verdana" w:hAnsi="Verdana" w:cs="Arial"/>
          <w:color w:val="000000" w:themeColor="text1"/>
          <w:sz w:val="20"/>
        </w:rPr>
        <w:t xml:space="preserve">Se encuentra pues en este tipo de contrato, un rol diferente por parte del contratista, al que puede resultar en un contrato de obra por ejemplo en donde se requiere en parte del apoyo de la entidad </w:t>
      </w:r>
      <w:r w:rsidRPr="007A3EE0">
        <w:rPr>
          <w:rFonts w:ascii="Verdana" w:eastAsia="Geomanist Light" w:hAnsi="Verdana" w:cs="Arial"/>
          <w:sz w:val="20"/>
          <w:lang w:val="es-MX"/>
        </w:rPr>
        <w:t>contratante</w:t>
      </w:r>
      <w:r w:rsidRPr="00E0632F">
        <w:rPr>
          <w:rFonts w:ascii="Verdana" w:hAnsi="Verdana" w:cs="Arial"/>
          <w:color w:val="000000" w:themeColor="text1"/>
          <w:sz w:val="20"/>
        </w:rPr>
        <w:t xml:space="preserve"> para la realización y consecución de las actividades, obra-servicio, pues en la concesión, el particular asume por su cuenta y riesgo la realización del objeto contratado, lo cual sirve el Estado para el cumplimiento de algunos de sus fines ante la escasez de recursos públicos, de forma que las grandes inversiones que traen consigo los contratos de concesión tienen como eje fundamental la relación entre el monto de los recursos privados comprometidos para cumplir el objeto y la dinámica de recuperación o retorno de lo invertido en un determinado plazo.</w:t>
      </w:r>
    </w:p>
    <w:p w14:paraId="17C96E1F" w14:textId="77777777" w:rsidR="007A5DAA" w:rsidRPr="005B3D15" w:rsidRDefault="007A5DAA" w:rsidP="007A5DAA">
      <w:pPr>
        <w:spacing w:after="0" w:line="240" w:lineRule="auto"/>
        <w:jc w:val="both"/>
        <w:rPr>
          <w:rFonts w:ascii="Verdana" w:hAnsi="Verdana" w:cs="Arial"/>
          <w:sz w:val="20"/>
          <w:szCs w:val="20"/>
          <w:lang w:val="es-ES_tradnl"/>
        </w:rPr>
      </w:pPr>
    </w:p>
    <w:p w14:paraId="5E668026" w14:textId="2BBB450A" w:rsidR="007A5DAA" w:rsidRPr="00E0632F" w:rsidRDefault="007A5DAA" w:rsidP="007A5DAA">
      <w:pPr>
        <w:spacing w:after="0" w:line="240" w:lineRule="auto"/>
        <w:jc w:val="both"/>
        <w:textAlignment w:val="baseline"/>
        <w:rPr>
          <w:rFonts w:ascii="Verdana" w:eastAsia="Times New Roman" w:hAnsi="Verdana" w:cs="Segoe UI"/>
          <w:lang w:eastAsia="es-CO"/>
        </w:rPr>
      </w:pPr>
      <w:r w:rsidRPr="00E0632F">
        <w:rPr>
          <w:rFonts w:ascii="Verdana" w:eastAsia="Times New Roman" w:hAnsi="Verdana" w:cs="Segoe UI"/>
          <w:b/>
          <w:lang w:val="es-ES" w:eastAsia="es-CO"/>
        </w:rPr>
        <w:t>MODIFICACI</w:t>
      </w:r>
      <w:r w:rsidR="007A3EE0">
        <w:rPr>
          <w:rFonts w:ascii="Verdana" w:eastAsia="Times New Roman" w:hAnsi="Verdana" w:cs="Segoe UI"/>
          <w:b/>
          <w:lang w:val="es-ES" w:eastAsia="es-CO"/>
        </w:rPr>
        <w:t>Ó</w:t>
      </w:r>
      <w:r w:rsidRPr="00E0632F">
        <w:rPr>
          <w:rFonts w:ascii="Verdana" w:eastAsia="Times New Roman" w:hAnsi="Verdana" w:cs="Segoe UI"/>
          <w:b/>
          <w:lang w:val="es-ES" w:eastAsia="es-CO"/>
        </w:rPr>
        <w:t xml:space="preserve">N DE LOS CONTRATOS ESTATALES – Procedencia </w:t>
      </w:r>
    </w:p>
    <w:p w14:paraId="1D4F2A25" w14:textId="77777777" w:rsidR="007A5DAA" w:rsidRPr="00E0632F" w:rsidRDefault="007A5DAA" w:rsidP="007A5DAA">
      <w:pPr>
        <w:spacing w:after="0" w:line="240" w:lineRule="auto"/>
        <w:jc w:val="both"/>
        <w:textAlignment w:val="baseline"/>
        <w:rPr>
          <w:rFonts w:ascii="Verdana" w:eastAsia="Times New Roman" w:hAnsi="Verdana" w:cs="Segoe UI"/>
          <w:lang w:eastAsia="es-CO"/>
        </w:rPr>
      </w:pPr>
      <w:r w:rsidRPr="00E0632F">
        <w:rPr>
          <w:rFonts w:ascii="Verdana" w:eastAsia="Times New Roman" w:hAnsi="Verdana" w:cs="Segoe UI"/>
          <w:lang w:eastAsia="es-CO"/>
        </w:rPr>
        <w:t> </w:t>
      </w:r>
    </w:p>
    <w:p w14:paraId="491CFC86" w14:textId="4831D39B" w:rsidR="007A5DAA" w:rsidRPr="001A5BCA" w:rsidRDefault="00E0632F" w:rsidP="00E0632F">
      <w:pPr>
        <w:jc w:val="both"/>
        <w:rPr>
          <w:rFonts w:ascii="Verdana" w:hAnsi="Verdana"/>
        </w:rPr>
      </w:pPr>
      <w:r w:rsidRPr="00773D06">
        <w:rPr>
          <w:rFonts w:ascii="Verdana" w:hAnsi="Verdana"/>
          <w:sz w:val="20"/>
          <w:szCs w:val="20"/>
        </w:rPr>
        <w:lastRenderedPageBreak/>
        <w:t xml:space="preserve">Las modificaciones no podrán suponer la variación del objeto de un contrato, pues ello supondría la alteración de su esencia y lo convertiría en otro tipo de negocio jurídico. Si se presentara esta situación lo indicado sería no modificar el contrato, sino, celebrar uno nuevo. </w:t>
      </w:r>
      <w:r w:rsidRPr="00773D06">
        <w:rPr>
          <w:rFonts w:ascii="Verdana" w:hAnsi="Verdana" w:cs="Arial"/>
          <w:sz w:val="20"/>
          <w:lang w:val="es-MX" w:eastAsia="es-ES_tradnl" w:bidi="es-ES"/>
        </w:rPr>
        <w:t xml:space="preserve">Sobre este último punto, la doctrina ha precisado que cuando </w:t>
      </w:r>
      <w:r w:rsidRPr="00773D06">
        <w:rPr>
          <w:rFonts w:ascii="Verdana" w:hAnsi="Verdana" w:cs="Arial"/>
          <w:sz w:val="20"/>
          <w:lang w:val="es-MX" w:eastAsia="es-ES_tradnl"/>
        </w:rPr>
        <w:t>“</w:t>
      </w:r>
      <w:r w:rsidRPr="00773D06">
        <w:rPr>
          <w:rFonts w:ascii="Verdana" w:hAnsi="Verdana" w:cs="Arial"/>
          <w:sz w:val="20"/>
          <w:lang w:val="es-MX" w:eastAsia="es-ES_tradnl"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773D06">
        <w:rPr>
          <w:rFonts w:ascii="Verdana" w:hAnsi="Verdana" w:cs="Arial"/>
          <w:sz w:val="20"/>
          <w:lang w:val="es-MX" w:eastAsia="es-ES_tradnl"/>
        </w:rPr>
        <w:t>.</w:t>
      </w:r>
      <w:r w:rsidR="007A5DAA" w:rsidRPr="001A5BCA">
        <w:rPr>
          <w:rFonts w:ascii="Verdana" w:hAnsi="Verdana"/>
        </w:rPr>
        <w:br w:type="page"/>
      </w:r>
    </w:p>
    <w:p w14:paraId="3840E703" w14:textId="268F1A1B" w:rsidR="00AC519D" w:rsidRDefault="00AC519D" w:rsidP="00AC519D">
      <w:pPr>
        <w:spacing w:after="0"/>
        <w:jc w:val="both"/>
        <w:rPr>
          <w:rFonts w:ascii="Verdana" w:hAnsi="Verdana"/>
        </w:rPr>
      </w:pPr>
      <w:r w:rsidRPr="001A5BCA">
        <w:rPr>
          <w:rFonts w:ascii="Verdana" w:hAnsi="Verdana"/>
        </w:rPr>
        <w:lastRenderedPageBreak/>
        <w:t xml:space="preserve">Bogotá D.C., </w:t>
      </w:r>
      <w:r w:rsidR="005C344B">
        <w:rPr>
          <w:rFonts w:ascii="Verdana" w:hAnsi="Verdana"/>
        </w:rPr>
        <w:t xml:space="preserve">09 de </w:t>
      </w:r>
      <w:proofErr w:type="gramStart"/>
      <w:r w:rsidR="005C344B">
        <w:rPr>
          <w:rFonts w:ascii="Verdana" w:hAnsi="Verdana"/>
        </w:rPr>
        <w:t>Octubre</w:t>
      </w:r>
      <w:proofErr w:type="gramEnd"/>
      <w:r w:rsidR="005C344B">
        <w:rPr>
          <w:rFonts w:ascii="Verdana" w:hAnsi="Verdana"/>
        </w:rPr>
        <w:t xml:space="preserve"> de 2024</w:t>
      </w:r>
      <w:r w:rsidRPr="001A5BCA">
        <w:rPr>
          <w:rFonts w:ascii="Verdana" w:hAnsi="Verdana"/>
        </w:rPr>
        <w:tab/>
      </w:r>
    </w:p>
    <w:p w14:paraId="02CD6FA6" w14:textId="77777777" w:rsidR="005C344B" w:rsidRPr="001A5BCA" w:rsidRDefault="005C344B" w:rsidP="00AC519D">
      <w:pPr>
        <w:spacing w:after="0"/>
        <w:jc w:val="both"/>
        <w:rPr>
          <w:rFonts w:ascii="Verdana" w:hAnsi="Verdana"/>
        </w:rPr>
      </w:pPr>
    </w:p>
    <w:p w14:paraId="2CEB274C" w14:textId="25F50A36" w:rsidR="00AC519D" w:rsidRPr="001A5BCA" w:rsidRDefault="005C344B" w:rsidP="005C344B">
      <w:pPr>
        <w:spacing w:after="0"/>
        <w:jc w:val="right"/>
        <w:rPr>
          <w:rFonts w:ascii="Verdana" w:hAnsi="Verdana"/>
        </w:rPr>
      </w:pPr>
      <w:r w:rsidRPr="005C344B">
        <w:rPr>
          <w:rFonts w:ascii="Verdana" w:hAnsi="Verdana"/>
        </w:rPr>
        <w:drawing>
          <wp:inline distT="0" distB="0" distL="0" distR="0" wp14:anchorId="4495793B" wp14:editId="0531B28B">
            <wp:extent cx="3028950" cy="831020"/>
            <wp:effectExtent l="0" t="0" r="0" b="7620"/>
            <wp:docPr id="2255677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67741" name=""/>
                    <pic:cNvPicPr/>
                  </pic:nvPicPr>
                  <pic:blipFill>
                    <a:blip r:embed="rId11"/>
                    <a:stretch>
                      <a:fillRect/>
                    </a:stretch>
                  </pic:blipFill>
                  <pic:spPr>
                    <a:xfrm>
                      <a:off x="0" y="0"/>
                      <a:ext cx="3039544" cy="833927"/>
                    </a:xfrm>
                    <a:prstGeom prst="rect">
                      <a:avLst/>
                    </a:prstGeom>
                  </pic:spPr>
                </pic:pic>
              </a:graphicData>
            </a:graphic>
          </wp:inline>
        </w:drawing>
      </w:r>
    </w:p>
    <w:p w14:paraId="544F53D8" w14:textId="77777777" w:rsidR="00AC519D" w:rsidRPr="001A5BCA" w:rsidRDefault="00AC519D" w:rsidP="00AC519D">
      <w:pPr>
        <w:spacing w:after="0"/>
        <w:jc w:val="both"/>
        <w:rPr>
          <w:rFonts w:ascii="Verdana" w:hAnsi="Verdana"/>
          <w:lang w:val="es-MX"/>
        </w:rPr>
      </w:pPr>
      <w:r w:rsidRPr="001A5BCA">
        <w:rPr>
          <w:rFonts w:ascii="Verdana" w:hAnsi="Verdana"/>
          <w:lang w:val="es-MX"/>
        </w:rPr>
        <w:t>Señora</w:t>
      </w:r>
    </w:p>
    <w:p w14:paraId="5F73B63C" w14:textId="3DD27AD6" w:rsidR="00AC519D" w:rsidRPr="001A5BCA" w:rsidRDefault="00C37B17" w:rsidP="00AC519D">
      <w:pPr>
        <w:spacing w:after="0"/>
        <w:jc w:val="both"/>
        <w:rPr>
          <w:rFonts w:ascii="Verdana" w:hAnsi="Verdana"/>
        </w:rPr>
      </w:pPr>
      <w:r w:rsidRPr="001A5BCA">
        <w:rPr>
          <w:rFonts w:ascii="Verdana" w:hAnsi="Verdana"/>
          <w:b/>
        </w:rPr>
        <w:t>Mar</w:t>
      </w:r>
      <w:r>
        <w:rPr>
          <w:rFonts w:ascii="Verdana" w:hAnsi="Verdana"/>
          <w:b/>
        </w:rPr>
        <w:t>í</w:t>
      </w:r>
      <w:r w:rsidRPr="001A5BCA">
        <w:rPr>
          <w:rFonts w:ascii="Verdana" w:hAnsi="Verdana"/>
          <w:b/>
        </w:rPr>
        <w:t>a Camila</w:t>
      </w:r>
      <w:r w:rsidR="00AC519D" w:rsidRPr="001A5BCA">
        <w:rPr>
          <w:rFonts w:ascii="Verdana" w:hAnsi="Verdana"/>
          <w:b/>
        </w:rPr>
        <w:t xml:space="preserve"> Ruiz Galvis</w:t>
      </w:r>
      <w:r w:rsidR="00AC519D" w:rsidRPr="001A5BCA">
        <w:rPr>
          <w:rFonts w:ascii="Verdana" w:hAnsi="Verdana"/>
          <w:b/>
        </w:rPr>
        <w:tab/>
      </w:r>
      <w:r w:rsidR="00AC519D" w:rsidRPr="001A5BCA">
        <w:rPr>
          <w:rFonts w:ascii="Verdana" w:hAnsi="Verdana"/>
          <w:bCs/>
        </w:rPr>
        <w:br/>
      </w:r>
      <w:hyperlink r:id="rId12" w:history="1">
        <w:proofErr w:type="spellStart"/>
        <w:r w:rsidR="00AC519D" w:rsidRPr="001A5BCA">
          <w:rPr>
            <w:rStyle w:val="Hipervnculo"/>
            <w:rFonts w:ascii="Verdana" w:hAnsi="Verdana"/>
          </w:rPr>
          <w:t>maria.ruiz16@est.uexternado.edu.co</w:t>
        </w:r>
        <w:proofErr w:type="spellEnd"/>
      </w:hyperlink>
    </w:p>
    <w:p w14:paraId="7522F616" w14:textId="77777777" w:rsidR="00AC519D" w:rsidRPr="001A5BCA" w:rsidRDefault="00AC519D" w:rsidP="00AC519D">
      <w:pPr>
        <w:spacing w:after="0"/>
        <w:jc w:val="both"/>
        <w:rPr>
          <w:rFonts w:ascii="Verdana" w:hAnsi="Verdana"/>
        </w:rPr>
      </w:pPr>
      <w:r w:rsidRPr="001A5BCA">
        <w:rPr>
          <w:rFonts w:ascii="Verdana" w:hAnsi="Verdana"/>
        </w:rPr>
        <w:t xml:space="preserve">Bogotá </w:t>
      </w:r>
      <w:proofErr w:type="spellStart"/>
      <w:r w:rsidRPr="001A5BCA">
        <w:rPr>
          <w:rFonts w:ascii="Verdana" w:hAnsi="Verdana"/>
        </w:rPr>
        <w:t>D.C</w:t>
      </w:r>
      <w:proofErr w:type="spellEnd"/>
    </w:p>
    <w:p w14:paraId="5947961D" w14:textId="77777777" w:rsidR="00AC519D" w:rsidRPr="001A5BCA" w:rsidRDefault="00AC519D" w:rsidP="00AC519D">
      <w:pPr>
        <w:spacing w:after="0"/>
        <w:jc w:val="both"/>
        <w:rPr>
          <w:rFonts w:ascii="Verdana" w:hAnsi="Verdana"/>
        </w:rPr>
      </w:pPr>
    </w:p>
    <w:p w14:paraId="2A56B492" w14:textId="74356B37" w:rsidR="00AC519D" w:rsidRPr="001A5BCA" w:rsidRDefault="00AC519D" w:rsidP="00AC519D">
      <w:pPr>
        <w:spacing w:after="0" w:line="240" w:lineRule="auto"/>
        <w:ind w:left="2694"/>
        <w:jc w:val="both"/>
        <w:rPr>
          <w:rFonts w:ascii="Verdana" w:eastAsia="Calibri" w:hAnsi="Verdana" w:cs="Arial"/>
          <w:b/>
          <w:bCs/>
          <w:lang w:val="es-ES" w:eastAsia="es-ES"/>
        </w:rPr>
      </w:pPr>
      <w:r w:rsidRPr="001A5BCA">
        <w:rPr>
          <w:rFonts w:ascii="Verdana" w:eastAsia="Calibri" w:hAnsi="Verdana" w:cs="Arial"/>
          <w:b/>
          <w:bCs/>
          <w:lang w:val="es-ES" w:eastAsia="es-ES"/>
        </w:rPr>
        <w:t>Concepto C–159 de 2024</w:t>
      </w:r>
    </w:p>
    <w:p w14:paraId="5B5A1D4E" w14:textId="77777777" w:rsidR="00AC519D" w:rsidRPr="001A5BCA" w:rsidRDefault="00AC519D" w:rsidP="00AC519D">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AC519D" w:rsidRPr="001A5BCA" w14:paraId="50C260B7" w14:textId="77777777" w:rsidTr="007D4503">
        <w:trPr>
          <w:trHeight w:val="884"/>
        </w:trPr>
        <w:tc>
          <w:tcPr>
            <w:tcW w:w="2685" w:type="dxa"/>
            <w:hideMark/>
          </w:tcPr>
          <w:p w14:paraId="2B231221" w14:textId="77777777" w:rsidR="00AC519D" w:rsidRPr="001A5BCA" w:rsidRDefault="00AC519D" w:rsidP="007D4503">
            <w:pPr>
              <w:jc w:val="both"/>
              <w:rPr>
                <w:rFonts w:ascii="Verdana" w:eastAsia="Calibri" w:hAnsi="Verdana" w:cs="Arial"/>
                <w:szCs w:val="24"/>
                <w:lang w:val="es-ES_tradnl" w:eastAsia="es-ES_tradnl"/>
              </w:rPr>
            </w:pPr>
            <w:r w:rsidRPr="001A5BCA">
              <w:rPr>
                <w:rFonts w:ascii="Verdana" w:eastAsia="Calibri" w:hAnsi="Verdana" w:cs="Arial"/>
                <w:szCs w:val="24"/>
                <w:lang w:val="es-ES_tradnl" w:eastAsia="es-ES_tradnl"/>
              </w:rPr>
              <w:t xml:space="preserve">Temas:                   </w:t>
            </w:r>
          </w:p>
        </w:tc>
        <w:tc>
          <w:tcPr>
            <w:tcW w:w="6241" w:type="dxa"/>
            <w:hideMark/>
          </w:tcPr>
          <w:p w14:paraId="7B7B38D4" w14:textId="72BBAA60" w:rsidR="00AC519D" w:rsidRPr="005B3D15" w:rsidRDefault="00B3122C" w:rsidP="007D4503">
            <w:pPr>
              <w:spacing w:line="276" w:lineRule="auto"/>
              <w:jc w:val="both"/>
              <w:rPr>
                <w:rFonts w:ascii="Verdana" w:hAnsi="Verdana"/>
              </w:rPr>
            </w:pPr>
            <w:r w:rsidRPr="001A5BCA">
              <w:rPr>
                <w:rFonts w:ascii="Verdana" w:eastAsia="Calibri" w:hAnsi="Verdana" w:cs="Arial"/>
                <w:bCs/>
                <w:lang w:val="es-ES_tradnl" w:eastAsia="es-ES_tradnl"/>
              </w:rPr>
              <w:t>ANTICIPO – Regulación normativa</w:t>
            </w:r>
            <w:r w:rsidR="00447B26">
              <w:rPr>
                <w:rFonts w:ascii="Verdana" w:eastAsia="Calibri" w:hAnsi="Verdana" w:cs="Arial"/>
                <w:bCs/>
                <w:lang w:val="es-ES_tradnl" w:eastAsia="es-ES_tradnl"/>
              </w:rPr>
              <w:t xml:space="preserve"> </w:t>
            </w:r>
            <w:r w:rsidRPr="001A5BCA">
              <w:rPr>
                <w:rFonts w:ascii="Verdana" w:eastAsia="Calibri" w:hAnsi="Verdana" w:cs="Arial"/>
                <w:bCs/>
                <w:lang w:val="es-ES_tradnl" w:eastAsia="es-ES_tradnl"/>
              </w:rPr>
              <w:t>/</w:t>
            </w:r>
            <w:r w:rsidRPr="001A5BCA">
              <w:rPr>
                <w:rFonts w:ascii="Verdana" w:hAnsi="Verdana"/>
              </w:rPr>
              <w:t xml:space="preserve"> </w:t>
            </w:r>
            <w:r w:rsidRPr="00E0632F">
              <w:rPr>
                <w:rFonts w:ascii="Verdana" w:hAnsi="Verdana"/>
              </w:rPr>
              <w:t>ANTICIPO – Definición jurisprudencial</w:t>
            </w:r>
            <w:r w:rsidR="00447B26">
              <w:rPr>
                <w:rFonts w:ascii="Verdana" w:hAnsi="Verdana"/>
              </w:rPr>
              <w:t xml:space="preserve"> </w:t>
            </w:r>
            <w:r>
              <w:rPr>
                <w:rFonts w:ascii="Verdana" w:hAnsi="Verdana"/>
              </w:rPr>
              <w:t>/</w:t>
            </w:r>
            <w:r w:rsidRPr="001A5BCA">
              <w:rPr>
                <w:rFonts w:ascii="Verdana" w:hAnsi="Verdana"/>
              </w:rPr>
              <w:t xml:space="preserve"> </w:t>
            </w:r>
            <w:r w:rsidR="00E0632F" w:rsidRPr="00E0632F">
              <w:rPr>
                <w:rFonts w:ascii="Verdana" w:hAnsi="Verdana"/>
              </w:rPr>
              <w:t>CONTRATO DE CONCESIÓN ― Contrato estatal</w:t>
            </w:r>
            <w:r w:rsidR="00447B26">
              <w:rPr>
                <w:rFonts w:ascii="Verdana" w:hAnsi="Verdana"/>
              </w:rPr>
              <w:t xml:space="preserve"> </w:t>
            </w:r>
            <w:r w:rsidR="00E0632F">
              <w:rPr>
                <w:rFonts w:ascii="Verdana" w:hAnsi="Verdana"/>
              </w:rPr>
              <w:t>-</w:t>
            </w:r>
            <w:r w:rsidR="00447B26">
              <w:rPr>
                <w:rFonts w:ascii="Verdana" w:hAnsi="Verdana"/>
              </w:rPr>
              <w:t xml:space="preserve"> </w:t>
            </w:r>
            <w:r w:rsidR="00E0632F" w:rsidRPr="00E0632F">
              <w:rPr>
                <w:rFonts w:ascii="Verdana" w:hAnsi="Verdana"/>
              </w:rPr>
              <w:t>Concepto</w:t>
            </w:r>
            <w:r w:rsidR="00447B26">
              <w:rPr>
                <w:rFonts w:ascii="Verdana" w:hAnsi="Verdana"/>
              </w:rPr>
              <w:t xml:space="preserve"> </w:t>
            </w:r>
            <w:r w:rsidR="00E0632F">
              <w:rPr>
                <w:rFonts w:ascii="Verdana" w:hAnsi="Verdana"/>
              </w:rPr>
              <w:t>/</w:t>
            </w:r>
            <w:r w:rsidR="00E0632F" w:rsidRPr="00773D06">
              <w:rPr>
                <w:rFonts w:ascii="Verdana" w:hAnsi="Verdana"/>
              </w:rPr>
              <w:t xml:space="preserve"> </w:t>
            </w:r>
            <w:r w:rsidR="00E0632F" w:rsidRPr="00E0632F">
              <w:rPr>
                <w:rFonts w:ascii="Verdana" w:hAnsi="Verdana"/>
              </w:rPr>
              <w:t>CONTRATO DE CONCESIÓN</w:t>
            </w:r>
            <w:r w:rsidR="00447B26">
              <w:rPr>
                <w:rFonts w:ascii="Verdana" w:hAnsi="Verdana"/>
              </w:rPr>
              <w:t xml:space="preserve"> – </w:t>
            </w:r>
            <w:r w:rsidR="00E0632F" w:rsidRPr="00E0632F">
              <w:rPr>
                <w:rFonts w:ascii="Verdana" w:hAnsi="Verdana"/>
              </w:rPr>
              <w:t>Riesgo</w:t>
            </w:r>
            <w:r w:rsidR="00447B26">
              <w:rPr>
                <w:rFonts w:ascii="Verdana" w:hAnsi="Verdana"/>
              </w:rPr>
              <w:t xml:space="preserve"> </w:t>
            </w:r>
            <w:r w:rsidR="00E0632F" w:rsidRPr="00E0632F">
              <w:rPr>
                <w:rFonts w:ascii="Verdana" w:hAnsi="Verdana"/>
              </w:rPr>
              <w:t>-</w:t>
            </w:r>
            <w:r w:rsidR="00447B26">
              <w:rPr>
                <w:rFonts w:ascii="Verdana" w:hAnsi="Verdana"/>
              </w:rPr>
              <w:t xml:space="preserve"> </w:t>
            </w:r>
            <w:r w:rsidR="00E0632F" w:rsidRPr="00E0632F">
              <w:rPr>
                <w:rFonts w:ascii="Verdana" w:hAnsi="Verdana"/>
              </w:rPr>
              <w:t>Concesionario</w:t>
            </w:r>
            <w:r w:rsidR="00447B26">
              <w:rPr>
                <w:rFonts w:ascii="Verdana" w:hAnsi="Verdana"/>
              </w:rPr>
              <w:t xml:space="preserve"> </w:t>
            </w:r>
            <w:r w:rsidR="00E0632F">
              <w:rPr>
                <w:rFonts w:ascii="Verdana" w:hAnsi="Verdana"/>
              </w:rPr>
              <w:t>/</w:t>
            </w:r>
            <w:r w:rsidR="00447B26">
              <w:rPr>
                <w:rFonts w:ascii="Verdana" w:hAnsi="Verdana"/>
              </w:rPr>
              <w:t xml:space="preserve"> </w:t>
            </w:r>
            <w:r w:rsidR="003875F4" w:rsidRPr="001A5BCA">
              <w:rPr>
                <w:rFonts w:ascii="Verdana" w:eastAsia="Calibri" w:hAnsi="Verdana" w:cs="Arial"/>
                <w:bCs/>
                <w:lang w:val="es-ES_tradnl" w:eastAsia="es-ES_tradnl"/>
              </w:rPr>
              <w:t>MODIFICACIÓN</w:t>
            </w:r>
            <w:r w:rsidRPr="001A5BCA">
              <w:rPr>
                <w:rFonts w:ascii="Verdana" w:eastAsia="Calibri" w:hAnsi="Verdana" w:cs="Arial"/>
                <w:bCs/>
                <w:lang w:val="es-ES_tradnl" w:eastAsia="es-ES_tradnl"/>
              </w:rPr>
              <w:t xml:space="preserve"> DE LOS CONTRATOS ESTATALES – Procedencia </w:t>
            </w:r>
          </w:p>
        </w:tc>
        <w:tc>
          <w:tcPr>
            <w:tcW w:w="6237" w:type="dxa"/>
          </w:tcPr>
          <w:p w14:paraId="414009BD" w14:textId="77777777" w:rsidR="00AC519D" w:rsidRPr="001A5BCA" w:rsidRDefault="00AC519D" w:rsidP="007D4503">
            <w:pPr>
              <w:jc w:val="both"/>
              <w:rPr>
                <w:rFonts w:ascii="Verdana" w:hAnsi="Verdana" w:cs="Arial"/>
                <w:lang w:val="es-ES"/>
              </w:rPr>
            </w:pPr>
          </w:p>
        </w:tc>
      </w:tr>
      <w:tr w:rsidR="00AC519D" w:rsidRPr="001A5BCA" w14:paraId="6E01058A" w14:textId="77777777" w:rsidTr="007D4503">
        <w:tc>
          <w:tcPr>
            <w:tcW w:w="2685" w:type="dxa"/>
            <w:hideMark/>
          </w:tcPr>
          <w:p w14:paraId="4C052A24" w14:textId="77777777" w:rsidR="00AC519D" w:rsidRPr="001A5BCA" w:rsidRDefault="00AC519D" w:rsidP="007D4503">
            <w:pPr>
              <w:spacing w:before="120"/>
              <w:jc w:val="both"/>
              <w:rPr>
                <w:rFonts w:ascii="Verdana" w:eastAsia="Calibri" w:hAnsi="Verdana" w:cs="Arial"/>
                <w:szCs w:val="24"/>
                <w:lang w:val="es-ES_tradnl" w:eastAsia="es-ES_tradnl"/>
              </w:rPr>
            </w:pPr>
            <w:r w:rsidRPr="001A5BCA">
              <w:rPr>
                <w:rFonts w:ascii="Verdana" w:eastAsia="Calibri" w:hAnsi="Verdana" w:cs="Arial"/>
                <w:szCs w:val="24"/>
                <w:lang w:val="es-ES_tradnl" w:eastAsia="es-ES_tradnl"/>
              </w:rPr>
              <w:t xml:space="preserve">Radicación:               </w:t>
            </w:r>
          </w:p>
        </w:tc>
        <w:tc>
          <w:tcPr>
            <w:tcW w:w="6241" w:type="dxa"/>
            <w:hideMark/>
          </w:tcPr>
          <w:p w14:paraId="7D2E82DD" w14:textId="3393B16B" w:rsidR="00AC519D" w:rsidRPr="001A5BCA" w:rsidRDefault="00AC519D" w:rsidP="007D4503">
            <w:pPr>
              <w:spacing w:before="120" w:line="276" w:lineRule="auto"/>
              <w:jc w:val="both"/>
              <w:rPr>
                <w:rFonts w:ascii="Verdana" w:eastAsia="Calibri" w:hAnsi="Verdana" w:cs="Arial"/>
                <w:szCs w:val="24"/>
                <w:lang w:val="es-ES_tradnl" w:eastAsia="es-ES_tradnl"/>
              </w:rPr>
            </w:pPr>
            <w:r w:rsidRPr="001A5BCA">
              <w:rPr>
                <w:rFonts w:ascii="Verdana" w:eastAsia="Calibri" w:hAnsi="Verdana" w:cs="Arial"/>
                <w:szCs w:val="24"/>
                <w:lang w:val="es-ES_tradnl" w:eastAsia="es-ES_tradnl"/>
              </w:rPr>
              <w:t xml:space="preserve">Respuesta a consulta con radicado No. </w:t>
            </w:r>
            <w:proofErr w:type="spellStart"/>
            <w:r w:rsidRPr="001A5BCA">
              <w:rPr>
                <w:rFonts w:ascii="Verdana" w:eastAsia="Calibri" w:hAnsi="Verdana" w:cs="Arial"/>
                <w:szCs w:val="24"/>
                <w:lang w:val="es-ES_tradnl" w:eastAsia="es-ES_tradnl"/>
              </w:rPr>
              <w:t>P20240821008529</w:t>
            </w:r>
            <w:proofErr w:type="spellEnd"/>
          </w:p>
        </w:tc>
        <w:tc>
          <w:tcPr>
            <w:tcW w:w="6237" w:type="dxa"/>
          </w:tcPr>
          <w:p w14:paraId="7C5F45AD" w14:textId="77777777" w:rsidR="00AC519D" w:rsidRPr="001A5BCA" w:rsidRDefault="00AC519D" w:rsidP="007D4503">
            <w:pPr>
              <w:spacing w:before="120"/>
              <w:jc w:val="both"/>
              <w:rPr>
                <w:rFonts w:ascii="Verdana" w:eastAsia="Calibri" w:hAnsi="Verdana" w:cs="Arial"/>
                <w:szCs w:val="24"/>
                <w:lang w:val="es-ES_tradnl" w:eastAsia="es-ES_tradnl"/>
              </w:rPr>
            </w:pPr>
          </w:p>
        </w:tc>
      </w:tr>
    </w:tbl>
    <w:p w14:paraId="383E7D8A" w14:textId="77777777" w:rsidR="00AC519D" w:rsidRPr="001A5BCA" w:rsidRDefault="00AC519D" w:rsidP="00AC519D">
      <w:pPr>
        <w:spacing w:after="0" w:line="240" w:lineRule="auto"/>
        <w:jc w:val="both"/>
        <w:rPr>
          <w:rFonts w:ascii="Verdana" w:eastAsia="Calibri" w:hAnsi="Verdana" w:cs="Arial"/>
          <w:szCs w:val="24"/>
          <w:lang w:val="es-ES_tradnl" w:eastAsia="es-ES_tradnl"/>
        </w:rPr>
      </w:pPr>
    </w:p>
    <w:p w14:paraId="5062DB18" w14:textId="0C95F312" w:rsidR="00AC519D" w:rsidRPr="001A5BCA" w:rsidRDefault="00AC519D" w:rsidP="00AC519D">
      <w:pPr>
        <w:spacing w:after="0" w:line="240" w:lineRule="auto"/>
        <w:jc w:val="both"/>
        <w:rPr>
          <w:rFonts w:ascii="Verdana" w:eastAsia="Calibri" w:hAnsi="Verdana" w:cs="Arial"/>
          <w:lang w:val="es-ES" w:eastAsia="es-ES"/>
        </w:rPr>
      </w:pPr>
      <w:r w:rsidRPr="001A5BCA">
        <w:rPr>
          <w:rFonts w:ascii="Verdana" w:eastAsia="Calibri" w:hAnsi="Verdana" w:cs="Arial"/>
          <w:lang w:val="es-ES" w:eastAsia="es-ES"/>
        </w:rPr>
        <w:t xml:space="preserve">Estimada señora </w:t>
      </w:r>
      <w:r w:rsidR="009270A7" w:rsidRPr="001A5BCA">
        <w:rPr>
          <w:rFonts w:ascii="Verdana" w:eastAsia="Calibri" w:hAnsi="Verdana" w:cs="Arial"/>
          <w:lang w:val="es-ES" w:eastAsia="es-ES"/>
        </w:rPr>
        <w:t>María Camila</w:t>
      </w:r>
      <w:r w:rsidRPr="001A5BCA">
        <w:rPr>
          <w:rFonts w:ascii="Verdana" w:eastAsia="Calibri" w:hAnsi="Verdana" w:cs="Arial"/>
          <w:lang w:val="es-ES" w:eastAsia="es-ES"/>
        </w:rPr>
        <w:t xml:space="preserve">: </w:t>
      </w:r>
    </w:p>
    <w:p w14:paraId="7B7BF7E4" w14:textId="77777777" w:rsidR="00AC519D" w:rsidRPr="001A5BCA" w:rsidRDefault="00AC519D" w:rsidP="00AC519D">
      <w:pPr>
        <w:spacing w:after="0" w:line="240" w:lineRule="auto"/>
        <w:jc w:val="both"/>
        <w:rPr>
          <w:rFonts w:ascii="Verdana" w:eastAsia="Calibri" w:hAnsi="Verdana" w:cs="Arial"/>
          <w:lang w:val="es-ES" w:eastAsia="es-ES"/>
        </w:rPr>
      </w:pPr>
    </w:p>
    <w:p w14:paraId="5DE1CD4D" w14:textId="027F4F7E" w:rsidR="00AC519D" w:rsidRPr="001A5BCA" w:rsidRDefault="00AC519D" w:rsidP="00AC519D">
      <w:pPr>
        <w:spacing w:after="120" w:line="276" w:lineRule="auto"/>
        <w:jc w:val="both"/>
        <w:rPr>
          <w:rFonts w:ascii="Verdana" w:eastAsia="Calibri" w:hAnsi="Verdana" w:cs="Arial"/>
          <w:lang w:val="es-ES" w:eastAsia="es-ES"/>
        </w:rPr>
      </w:pPr>
      <w:r w:rsidRPr="001A5BCA">
        <w:rPr>
          <w:rFonts w:ascii="Verdana" w:eastAsia="Calibri" w:hAnsi="Verdana" w:cs="Arial"/>
          <w:lang w:val="es-ES" w:eastAsia="es-ES"/>
        </w:rPr>
        <w:t>En ejercicio de la competencia otorgada por los artículos 3, numeral 5º, y 11, numeral 8º, del Decreto Ley 4170 de 2011,</w:t>
      </w:r>
      <w:r w:rsidRPr="001A5BCA">
        <w:rPr>
          <w:rFonts w:ascii="Verdana" w:eastAsia="Arial MT" w:hAnsi="Verdana" w:cs="Arial MT"/>
          <w:lang w:val="es-ES" w:eastAsia="es-ES"/>
        </w:rPr>
        <w:t xml:space="preserve"> </w:t>
      </w:r>
      <w:r w:rsidRPr="001A5BCA">
        <w:rPr>
          <w:rFonts w:ascii="Verdana" w:eastAsia="Calibri" w:hAnsi="Verdana" w:cs="Arial"/>
          <w:lang w:val="es-ES" w:eastAsia="es-ES"/>
        </w:rPr>
        <w:t>la Agencia Nacional de Contratación Pública – Colombia Compra Eficiente– responde la solicitud de consulta del 21 de agosto de 2024. En la cual manifiesta lo siguiente:</w:t>
      </w:r>
    </w:p>
    <w:p w14:paraId="261D45CC" w14:textId="77777777" w:rsidR="00AC519D" w:rsidRPr="00171AD2" w:rsidRDefault="00AC519D" w:rsidP="00AC519D">
      <w:pPr>
        <w:spacing w:after="0" w:line="240" w:lineRule="auto"/>
        <w:ind w:left="709" w:right="709"/>
        <w:jc w:val="both"/>
        <w:rPr>
          <w:rFonts w:ascii="Verdana" w:hAnsi="Verdana"/>
          <w:sz w:val="20"/>
          <w:szCs w:val="20"/>
        </w:rPr>
      </w:pPr>
      <w:r w:rsidRPr="001A5BCA">
        <w:rPr>
          <w:rFonts w:ascii="Verdana" w:eastAsia="Calibri" w:hAnsi="Verdana" w:cs="Arial"/>
          <w:sz w:val="20"/>
          <w:szCs w:val="20"/>
          <w:lang w:val="es-ES" w:eastAsia="es-ES"/>
        </w:rPr>
        <w:t>“(</w:t>
      </w:r>
      <w:proofErr w:type="gramStart"/>
      <w:r w:rsidRPr="001A5BCA">
        <w:rPr>
          <w:rFonts w:ascii="Verdana" w:eastAsia="Calibri" w:hAnsi="Verdana" w:cs="Arial"/>
          <w:sz w:val="20"/>
          <w:szCs w:val="20"/>
          <w:lang w:val="es-ES" w:eastAsia="es-ES"/>
        </w:rPr>
        <w:t>…)</w:t>
      </w:r>
      <w:r w:rsidRPr="00171AD2">
        <w:rPr>
          <w:rFonts w:ascii="Verdana" w:hAnsi="Verdana"/>
          <w:sz w:val="20"/>
          <w:szCs w:val="20"/>
        </w:rPr>
        <w:t>En</w:t>
      </w:r>
      <w:proofErr w:type="gramEnd"/>
      <w:r w:rsidRPr="00171AD2">
        <w:rPr>
          <w:rFonts w:ascii="Verdana" w:hAnsi="Verdana"/>
          <w:sz w:val="20"/>
          <w:szCs w:val="20"/>
        </w:rPr>
        <w:t xml:space="preserve"> el marco de los contratos de concesión que se celebran bajo el régimen de contratación general definido en la Ley 80 de 1993 y demás normas aplicables, así como de las reglas aplicables al anticipo: </w:t>
      </w:r>
    </w:p>
    <w:p w14:paraId="743C711B" w14:textId="4EBD7096" w:rsidR="00AC519D" w:rsidRPr="001A5BCA" w:rsidRDefault="00AC519D" w:rsidP="00AC519D">
      <w:pPr>
        <w:spacing w:after="0" w:line="240" w:lineRule="auto"/>
        <w:ind w:left="709" w:right="709"/>
        <w:jc w:val="both"/>
        <w:rPr>
          <w:rFonts w:ascii="Verdana" w:hAnsi="Verdana"/>
          <w:sz w:val="20"/>
        </w:rPr>
      </w:pPr>
      <w:r w:rsidRPr="00171AD2">
        <w:rPr>
          <w:rFonts w:ascii="Verdana" w:hAnsi="Verdana"/>
          <w:sz w:val="20"/>
          <w:szCs w:val="20"/>
        </w:rPr>
        <w:t xml:space="preserve">1. ¿Cuál es la naturaleza jurídica del anticipo? 2. ¿Cuáles son los parámetros para que una entidad estatal decida establecer un anticipo en el marco de un Contrato de Concesión? 3. ¿Cuál es el límite legal y jurisprudencial que tienen la Partes para reformar un Contrato de Concesión estructurado bajo la Ley 80 de 1993? 4. ¿Es procedente que las Partes a través de un otrosí pacten un anticipo de un Contrato que ya se encuentra en ejecución, aun cuando el mismo no se contempló en la etapa precontractual (estructuración de la Concesión)? 5. Si la anterior pregunta es procedente, ¿Cuáles serían esos parámetros bajo los cuáles las Partes podrían pactar un anticipo? </w:t>
      </w:r>
      <w:r w:rsidR="00E258F5" w:rsidRPr="00171AD2">
        <w:rPr>
          <w:rFonts w:ascii="Verdana" w:hAnsi="Verdana"/>
          <w:sz w:val="20"/>
          <w:szCs w:val="20"/>
        </w:rPr>
        <w:t xml:space="preserve">6. De no ser procedente o de no cumplirse las condiciones pertinentes, ¿Qué efectos disciplinarios, fiscales, penales, en </w:t>
      </w:r>
      <w:r w:rsidR="00E258F5" w:rsidRPr="00171AD2">
        <w:rPr>
          <w:rFonts w:ascii="Verdana" w:hAnsi="Verdana"/>
          <w:sz w:val="20"/>
          <w:szCs w:val="20"/>
        </w:rPr>
        <w:lastRenderedPageBreak/>
        <w:t>materia de derecho de la competencia y/o de otra índole legal podrían generarse?</w:t>
      </w:r>
      <w:r w:rsidRPr="00171AD2">
        <w:rPr>
          <w:rFonts w:ascii="Verdana" w:eastAsia="Calibri" w:hAnsi="Verdana" w:cs="Arial"/>
          <w:sz w:val="20"/>
          <w:szCs w:val="20"/>
          <w:lang w:eastAsia="es-ES"/>
        </w:rPr>
        <w:t xml:space="preserve"> (…)</w:t>
      </w:r>
    </w:p>
    <w:p w14:paraId="4DCC00BC" w14:textId="77777777" w:rsidR="00AC519D" w:rsidRPr="001A5BCA" w:rsidRDefault="00AC519D" w:rsidP="00AC519D">
      <w:pPr>
        <w:spacing w:after="0" w:line="240" w:lineRule="auto"/>
        <w:ind w:left="709" w:right="709"/>
        <w:jc w:val="both"/>
        <w:rPr>
          <w:rFonts w:ascii="Verdana" w:eastAsia="Calibri" w:hAnsi="Verdana" w:cs="Arial"/>
          <w:sz w:val="20"/>
          <w:szCs w:val="20"/>
          <w:lang w:val="es-ES" w:eastAsia="es-ES"/>
        </w:rPr>
      </w:pPr>
    </w:p>
    <w:p w14:paraId="65DF3E21" w14:textId="77777777" w:rsidR="00522830" w:rsidRDefault="00AC519D" w:rsidP="00AC519D">
      <w:pPr>
        <w:spacing w:after="120" w:line="276" w:lineRule="auto"/>
        <w:jc w:val="both"/>
        <w:rPr>
          <w:rFonts w:ascii="Verdana" w:eastAsia="Calibri" w:hAnsi="Verdana" w:cs="Arial"/>
          <w:lang w:val="es-ES_tradnl" w:eastAsia="es-ES_tradnl"/>
        </w:rPr>
      </w:pPr>
      <w:r w:rsidRPr="001A5BCA">
        <w:rPr>
          <w:rFonts w:ascii="Verdana" w:eastAsia="Calibri" w:hAnsi="Verdana" w:cs="Arial"/>
          <w:lang w:val="es-ES_tradnl" w:eastAsia="es-ES_tradnl"/>
        </w:rPr>
        <w:tab/>
      </w:r>
    </w:p>
    <w:p w14:paraId="264503BD" w14:textId="5D3F7102" w:rsidR="00AC519D" w:rsidRPr="001A5BCA" w:rsidRDefault="00AC519D" w:rsidP="00522830">
      <w:pPr>
        <w:spacing w:after="120" w:line="276" w:lineRule="auto"/>
        <w:ind w:firstLine="708"/>
        <w:jc w:val="both"/>
        <w:rPr>
          <w:rFonts w:ascii="Verdana" w:eastAsia="Calibri" w:hAnsi="Verdana" w:cs="Arial"/>
          <w:lang w:val="es-ES" w:eastAsia="es-ES"/>
        </w:rPr>
      </w:pPr>
      <w:r w:rsidRPr="001A5BCA">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40AD4287" w14:textId="77777777" w:rsidR="00AC519D" w:rsidRPr="001A5BCA" w:rsidRDefault="00AC519D" w:rsidP="00AC519D">
      <w:pPr>
        <w:spacing w:after="0" w:line="276" w:lineRule="auto"/>
        <w:jc w:val="both"/>
        <w:rPr>
          <w:rFonts w:ascii="Verdana" w:eastAsia="Calibri" w:hAnsi="Verdana" w:cs="Arial"/>
          <w:lang w:val="es-ES" w:eastAsia="es-ES"/>
        </w:rPr>
      </w:pPr>
      <w:r w:rsidRPr="001A5BCA">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51DDF8DA" w14:textId="77777777" w:rsidR="00AC519D" w:rsidRPr="001A5BCA" w:rsidRDefault="00AC519D" w:rsidP="00AC519D">
      <w:pPr>
        <w:spacing w:after="0" w:line="276" w:lineRule="auto"/>
        <w:jc w:val="both"/>
        <w:rPr>
          <w:rFonts w:ascii="Verdana" w:eastAsia="Calibri" w:hAnsi="Verdana" w:cs="Arial"/>
          <w:lang w:val="es-ES" w:eastAsia="es-ES"/>
        </w:rPr>
      </w:pPr>
    </w:p>
    <w:p w14:paraId="4BA0ABCB" w14:textId="77777777" w:rsidR="00AC519D" w:rsidRPr="001A5BCA" w:rsidRDefault="00AC519D" w:rsidP="00AC51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A5BCA">
        <w:rPr>
          <w:rFonts w:ascii="Verdana" w:eastAsia="Century Gothic" w:hAnsi="Verdana" w:cs="Century Gothic"/>
          <w:b/>
          <w:bCs/>
        </w:rPr>
        <w:t>Problema planteado:</w:t>
      </w:r>
    </w:p>
    <w:p w14:paraId="6DEB7A76" w14:textId="77777777" w:rsidR="00AC519D" w:rsidRPr="001A5BCA" w:rsidRDefault="00AC519D" w:rsidP="00AC519D">
      <w:pPr>
        <w:spacing w:after="0" w:line="240" w:lineRule="auto"/>
        <w:jc w:val="both"/>
        <w:rPr>
          <w:rFonts w:ascii="Verdana" w:eastAsia="Century Gothic" w:hAnsi="Verdana" w:cs="Century Gothic"/>
        </w:rPr>
      </w:pPr>
    </w:p>
    <w:p w14:paraId="2F240CDF" w14:textId="6F86FE5E" w:rsidR="00AC519D" w:rsidRPr="001A5BCA" w:rsidRDefault="00AC519D" w:rsidP="00AC519D">
      <w:pPr>
        <w:spacing w:after="0" w:line="276" w:lineRule="auto"/>
        <w:jc w:val="both"/>
        <w:rPr>
          <w:rFonts w:ascii="Verdana" w:hAnsi="Verdana"/>
        </w:rPr>
      </w:pPr>
      <w:r w:rsidRPr="001A5BCA">
        <w:rPr>
          <w:rFonts w:ascii="Verdana" w:eastAsia="Century Gothic" w:hAnsi="Verdana" w:cs="Century Gothic"/>
        </w:rPr>
        <w:t>De acuerdo con el contenido de su solicitud, esta Agencia</w:t>
      </w:r>
      <w:r w:rsidR="00F66786">
        <w:rPr>
          <w:rFonts w:ascii="Verdana" w:eastAsia="Century Gothic" w:hAnsi="Verdana" w:cs="Century Gothic"/>
        </w:rPr>
        <w:t xml:space="preserve"> resolverá</w:t>
      </w:r>
      <w:r w:rsidRPr="001A5BCA">
        <w:rPr>
          <w:rFonts w:ascii="Verdana" w:eastAsia="Century Gothic" w:hAnsi="Verdana" w:cs="Century Gothic"/>
        </w:rPr>
        <w:t xml:space="preserve"> los siguientes problemas jurídicos: </w:t>
      </w:r>
      <w:r w:rsidR="0024042A" w:rsidRPr="001A5BCA">
        <w:rPr>
          <w:rFonts w:ascii="Verdana" w:eastAsia="Century Gothic" w:hAnsi="Verdana" w:cs="Century Gothic"/>
        </w:rPr>
        <w:t>i). ¿Cuál es la naturaleza jurídica del anticipo</w:t>
      </w:r>
      <w:r w:rsidR="00ED2F02">
        <w:rPr>
          <w:rFonts w:ascii="Verdana" w:eastAsia="Century Gothic" w:hAnsi="Verdana" w:cs="Century Gothic"/>
        </w:rPr>
        <w:t xml:space="preserve"> y se puede pactar en un contrato de concesión</w:t>
      </w:r>
      <w:r w:rsidR="0024042A" w:rsidRPr="001A5BCA">
        <w:rPr>
          <w:rFonts w:ascii="Verdana" w:eastAsia="Century Gothic" w:hAnsi="Verdana" w:cs="Century Gothic"/>
        </w:rPr>
        <w:t>?</w:t>
      </w:r>
      <w:r w:rsidR="00186EED">
        <w:rPr>
          <w:rFonts w:ascii="Verdana" w:eastAsia="Century Gothic" w:hAnsi="Verdana" w:cs="Century Gothic"/>
        </w:rPr>
        <w:t>, y</w:t>
      </w:r>
      <w:r w:rsidR="00E258F5" w:rsidRPr="001A5BCA">
        <w:rPr>
          <w:rFonts w:ascii="Verdana" w:hAnsi="Verdana"/>
        </w:rPr>
        <w:t xml:space="preserve"> </w:t>
      </w:r>
      <w:proofErr w:type="spellStart"/>
      <w:r w:rsidR="0024042A" w:rsidRPr="001A5BCA">
        <w:rPr>
          <w:rFonts w:ascii="Verdana" w:hAnsi="Verdana"/>
        </w:rPr>
        <w:t>ii</w:t>
      </w:r>
      <w:proofErr w:type="spellEnd"/>
      <w:r w:rsidR="0024042A" w:rsidRPr="001A5BCA">
        <w:rPr>
          <w:rFonts w:ascii="Verdana" w:hAnsi="Verdana"/>
        </w:rPr>
        <w:t>)</w:t>
      </w:r>
      <w:r w:rsidR="00E258F5" w:rsidRPr="001A5BCA">
        <w:rPr>
          <w:rFonts w:ascii="Verdana" w:hAnsi="Verdana"/>
        </w:rPr>
        <w:t xml:space="preserve">. ¿Cuál es el límite </w:t>
      </w:r>
      <w:r w:rsidR="00494295">
        <w:rPr>
          <w:rFonts w:ascii="Verdana" w:hAnsi="Verdana"/>
        </w:rPr>
        <w:t>para modificar un contrato, y se puede incluir el anticipo como modificación a un contrato de concesión</w:t>
      </w:r>
      <w:r w:rsidR="006576DD">
        <w:rPr>
          <w:rFonts w:ascii="Verdana" w:hAnsi="Verdana"/>
        </w:rPr>
        <w:t xml:space="preserve"> en ejecución</w:t>
      </w:r>
      <w:r w:rsidR="0024042A" w:rsidRPr="001A5BCA">
        <w:rPr>
          <w:rFonts w:ascii="Verdana" w:hAnsi="Verdana"/>
        </w:rPr>
        <w:t>?</w:t>
      </w:r>
    </w:p>
    <w:p w14:paraId="6C14E081" w14:textId="77777777" w:rsidR="007A5DAA" w:rsidRPr="001A5BCA" w:rsidRDefault="007A5DAA" w:rsidP="00AC519D">
      <w:pPr>
        <w:spacing w:after="0" w:line="276" w:lineRule="auto"/>
        <w:jc w:val="both"/>
        <w:rPr>
          <w:rFonts w:ascii="Verdana" w:eastAsia="Century Gothic" w:hAnsi="Verdana" w:cs="Century Gothic"/>
        </w:rPr>
      </w:pPr>
    </w:p>
    <w:p w14:paraId="150E9D8F" w14:textId="77777777" w:rsidR="00AC519D" w:rsidRPr="001A5BCA" w:rsidRDefault="00AC519D" w:rsidP="00AC51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A5BCA">
        <w:rPr>
          <w:rFonts w:ascii="Verdana" w:eastAsia="Century Gothic" w:hAnsi="Verdana" w:cs="Century Gothic"/>
          <w:b/>
          <w:bCs/>
        </w:rPr>
        <w:t>Respuesta:</w:t>
      </w:r>
    </w:p>
    <w:p w14:paraId="6CBF228E" w14:textId="77777777" w:rsidR="00AC519D" w:rsidRPr="001A5BCA" w:rsidRDefault="00AC519D" w:rsidP="00AC519D">
      <w:pPr>
        <w:pStyle w:val="Prrafodelista"/>
        <w:tabs>
          <w:tab w:val="left" w:pos="142"/>
          <w:tab w:val="left" w:pos="284"/>
        </w:tabs>
        <w:spacing w:after="0" w:line="276" w:lineRule="auto"/>
        <w:ind w:left="0"/>
        <w:jc w:val="both"/>
        <w:rPr>
          <w:rFonts w:ascii="Verdana" w:eastAsia="Century Gothic" w:hAnsi="Verdana" w:cs="Century Gothic"/>
          <w:b/>
          <w:bCs/>
        </w:rPr>
      </w:pPr>
    </w:p>
    <w:p w14:paraId="1D13698A" w14:textId="4604D09F" w:rsidR="007732F5" w:rsidRPr="001B402D" w:rsidRDefault="00AC519D" w:rsidP="00AC519D">
      <w:pPr>
        <w:pStyle w:val="Prrafodelista"/>
        <w:tabs>
          <w:tab w:val="left" w:pos="142"/>
          <w:tab w:val="left" w:pos="284"/>
        </w:tabs>
        <w:spacing w:after="120" w:line="276" w:lineRule="auto"/>
        <w:ind w:left="0"/>
        <w:contextualSpacing w:val="0"/>
        <w:jc w:val="both"/>
        <w:rPr>
          <w:rFonts w:ascii="Verdana" w:hAnsi="Verdana" w:cs="Arial"/>
        </w:rPr>
      </w:pPr>
      <w:r w:rsidRPr="001A5BCA">
        <w:rPr>
          <w:rFonts w:ascii="Verdana" w:eastAsia="Century Gothic" w:hAnsi="Verdana" w:cs="Century Gothic"/>
          <w:i/>
          <w:iCs/>
        </w:rPr>
        <w:t>En primer lugar,</w:t>
      </w:r>
      <w:r w:rsidRPr="001A5BCA">
        <w:rPr>
          <w:rFonts w:ascii="Verdana" w:eastAsia="Century Gothic" w:hAnsi="Verdana" w:cs="Century Gothic"/>
        </w:rPr>
        <w:t xml:space="preserve"> se debe </w:t>
      </w:r>
      <w:r w:rsidR="00057968" w:rsidRPr="001B402D">
        <w:rPr>
          <w:rFonts w:ascii="Verdana" w:eastAsia="Century Gothic" w:hAnsi="Verdana" w:cs="Century Gothic"/>
        </w:rPr>
        <w:t>precisar</w:t>
      </w:r>
      <w:r w:rsidR="001512D8" w:rsidRPr="001A5BCA">
        <w:rPr>
          <w:rFonts w:ascii="Verdana" w:eastAsia="Century Gothic" w:hAnsi="Verdana" w:cs="Century Gothic"/>
        </w:rPr>
        <w:t xml:space="preserve"> que </w:t>
      </w:r>
      <w:r w:rsidR="0096141B">
        <w:rPr>
          <w:rFonts w:ascii="Verdana" w:eastAsia="Century Gothic" w:hAnsi="Verdana" w:cs="Century Gothic"/>
        </w:rPr>
        <w:t xml:space="preserve">la </w:t>
      </w:r>
      <w:r w:rsidR="00057968" w:rsidRPr="001B402D">
        <w:rPr>
          <w:rFonts w:ascii="Verdana" w:eastAsia="Century Gothic" w:hAnsi="Verdana" w:cs="Century Gothic"/>
        </w:rPr>
        <w:t>naturaleza jurídica d</w:t>
      </w:r>
      <w:r w:rsidR="001512D8" w:rsidRPr="001B402D">
        <w:rPr>
          <w:rFonts w:ascii="Verdana" w:eastAsia="Century Gothic" w:hAnsi="Verdana" w:cs="Century Gothic"/>
        </w:rPr>
        <w:t xml:space="preserve">el </w:t>
      </w:r>
      <w:r w:rsidR="001512D8" w:rsidRPr="001A5BCA">
        <w:rPr>
          <w:rFonts w:ascii="Verdana" w:eastAsia="Century Gothic" w:hAnsi="Verdana" w:cs="Century Gothic"/>
        </w:rPr>
        <w:t xml:space="preserve">anticipo ha sido </w:t>
      </w:r>
      <w:r w:rsidR="00057968" w:rsidRPr="001B402D">
        <w:rPr>
          <w:rFonts w:ascii="Verdana" w:eastAsia="Century Gothic" w:hAnsi="Verdana" w:cs="Century Gothic"/>
        </w:rPr>
        <w:t>definid</w:t>
      </w:r>
      <w:r w:rsidR="0096141B">
        <w:rPr>
          <w:rFonts w:ascii="Verdana" w:eastAsia="Century Gothic" w:hAnsi="Verdana" w:cs="Century Gothic"/>
        </w:rPr>
        <w:t>a</w:t>
      </w:r>
      <w:r w:rsidR="001512D8" w:rsidRPr="001A5BCA">
        <w:rPr>
          <w:rFonts w:ascii="Verdana" w:eastAsia="Century Gothic" w:hAnsi="Verdana" w:cs="Century Gothic"/>
        </w:rPr>
        <w:t xml:space="preserve"> como </w:t>
      </w:r>
      <w:r w:rsidR="001512D8" w:rsidRPr="001A5BCA">
        <w:rPr>
          <w:rFonts w:ascii="Verdana" w:hAnsi="Verdana" w:cs="Arial"/>
        </w:rPr>
        <w:t xml:space="preserve">un recurso o suma correspondiente a un porcentaje del valor total del contrato pactado como contraprestación, que la entidad pública le entrega al contratista para que sea invertida específicamente en la ejecución del contrato </w:t>
      </w:r>
      <w:r w:rsidR="001512D8" w:rsidRPr="001A5BCA">
        <w:rPr>
          <w:rFonts w:ascii="Verdana" w:hAnsi="Verdana" w:cs="Arial"/>
        </w:rPr>
        <w:lastRenderedPageBreak/>
        <w:t>y sea manejada generalmente en cuenta separada, por lo cual se ha entendido que estos recursos no hacen parte del patrimonio del contratista, ya que son entregados de manera inicial para facilitar al contratista la financiación de los bienes y servicios que se l</w:t>
      </w:r>
      <w:r w:rsidR="00593979">
        <w:rPr>
          <w:rFonts w:ascii="Verdana" w:hAnsi="Verdana" w:cs="Arial"/>
        </w:rPr>
        <w:t>e h</w:t>
      </w:r>
      <w:r w:rsidR="001512D8" w:rsidRPr="001A5BCA">
        <w:rPr>
          <w:rFonts w:ascii="Verdana" w:hAnsi="Verdana" w:cs="Arial"/>
        </w:rPr>
        <w:t xml:space="preserve">a encargado en la ejecución del contrato. </w:t>
      </w:r>
    </w:p>
    <w:p w14:paraId="2A039F43" w14:textId="66A1D5AE" w:rsidR="005B0E51" w:rsidRPr="001B402D" w:rsidRDefault="000E4763" w:rsidP="00AC519D">
      <w:pPr>
        <w:pStyle w:val="Prrafodelista"/>
        <w:tabs>
          <w:tab w:val="left" w:pos="142"/>
          <w:tab w:val="left" w:pos="284"/>
        </w:tabs>
        <w:spacing w:after="120" w:line="276" w:lineRule="auto"/>
        <w:ind w:left="0"/>
        <w:contextualSpacing w:val="0"/>
        <w:jc w:val="both"/>
        <w:rPr>
          <w:rFonts w:ascii="Verdana" w:hAnsi="Verdana" w:cs="Arial"/>
        </w:rPr>
      </w:pPr>
      <w:r w:rsidRPr="001B402D">
        <w:rPr>
          <w:rFonts w:ascii="Verdana" w:hAnsi="Verdana" w:cs="Arial"/>
        </w:rPr>
        <w:tab/>
      </w:r>
      <w:r w:rsidRPr="001B402D">
        <w:rPr>
          <w:rFonts w:ascii="Verdana" w:hAnsi="Verdana" w:cs="Arial"/>
        </w:rPr>
        <w:tab/>
      </w:r>
      <w:r w:rsidRPr="001B402D">
        <w:rPr>
          <w:rFonts w:ascii="Verdana" w:hAnsi="Verdana" w:cs="Arial"/>
        </w:rPr>
        <w:tab/>
      </w:r>
      <w:r w:rsidR="0060226D" w:rsidRPr="001A5BCA">
        <w:rPr>
          <w:rFonts w:ascii="Verdana" w:hAnsi="Verdana" w:cs="Arial"/>
        </w:rPr>
        <w:t xml:space="preserve">Por </w:t>
      </w:r>
      <w:r w:rsidR="00614DA6">
        <w:rPr>
          <w:rFonts w:ascii="Verdana" w:hAnsi="Verdana" w:cs="Arial"/>
        </w:rPr>
        <w:t>tanto,</w:t>
      </w:r>
      <w:r w:rsidR="0060226D" w:rsidRPr="001A5BCA">
        <w:rPr>
          <w:rFonts w:ascii="Verdana" w:hAnsi="Verdana" w:cs="Arial"/>
        </w:rPr>
        <w:t xml:space="preserve"> la entidad estatal al momento de elaborar </w:t>
      </w:r>
      <w:r w:rsidR="00BE19B9" w:rsidRPr="00773D06">
        <w:rPr>
          <w:rFonts w:ascii="Verdana" w:hAnsi="Verdana" w:cs="Arial"/>
        </w:rPr>
        <w:t>y estructurar</w:t>
      </w:r>
      <w:r w:rsidR="0060226D" w:rsidRPr="00773D06">
        <w:rPr>
          <w:rFonts w:ascii="Verdana" w:hAnsi="Verdana" w:cs="Arial"/>
        </w:rPr>
        <w:t xml:space="preserve"> </w:t>
      </w:r>
      <w:r w:rsidR="0060226D" w:rsidRPr="001A5BCA">
        <w:rPr>
          <w:rFonts w:ascii="Verdana" w:hAnsi="Verdana" w:cs="Arial"/>
        </w:rPr>
        <w:t xml:space="preserve">los documentos que hacen parte del proceso de selección del </w:t>
      </w:r>
      <w:r w:rsidR="00593979" w:rsidRPr="001A5BCA">
        <w:rPr>
          <w:rFonts w:ascii="Verdana" w:hAnsi="Verdana" w:cs="Arial"/>
        </w:rPr>
        <w:t>contratista</w:t>
      </w:r>
      <w:r w:rsidR="00BE19B9" w:rsidRPr="00773D06">
        <w:rPr>
          <w:rFonts w:ascii="Verdana" w:hAnsi="Verdana" w:cs="Arial"/>
        </w:rPr>
        <w:t>,</w:t>
      </w:r>
      <w:r w:rsidR="0060226D" w:rsidRPr="001A5BCA">
        <w:rPr>
          <w:rFonts w:ascii="Verdana" w:hAnsi="Verdana" w:cs="Arial"/>
        </w:rPr>
        <w:t xml:space="preserve"> deberá determinar </w:t>
      </w:r>
      <w:r w:rsidR="005B0E51" w:rsidRPr="001B402D">
        <w:rPr>
          <w:rFonts w:ascii="Verdana" w:hAnsi="Verdana" w:cs="Arial"/>
        </w:rPr>
        <w:t>de acuerdo a las características y condiciones particulares de cada contrato</w:t>
      </w:r>
      <w:r w:rsidR="00596AF9">
        <w:rPr>
          <w:rFonts w:ascii="Verdana" w:hAnsi="Verdana" w:cs="Arial"/>
        </w:rPr>
        <w:t>,</w:t>
      </w:r>
      <w:r w:rsidR="005B0E51" w:rsidRPr="001B402D">
        <w:rPr>
          <w:rFonts w:ascii="Verdana" w:hAnsi="Verdana" w:cs="Arial"/>
        </w:rPr>
        <w:t xml:space="preserve"> la conveniencia de entregar al contratista recursos a título de anticipo,  en caso de determinar </w:t>
      </w:r>
      <w:r w:rsidR="00BE19B9" w:rsidRPr="00773D06">
        <w:rPr>
          <w:rFonts w:ascii="Verdana" w:hAnsi="Verdana" w:cs="Arial"/>
        </w:rPr>
        <w:t xml:space="preserve">y considerar </w:t>
      </w:r>
      <w:r w:rsidR="005B0E51" w:rsidRPr="00773D06">
        <w:rPr>
          <w:rFonts w:ascii="Verdana" w:hAnsi="Verdana" w:cs="Arial"/>
        </w:rPr>
        <w:t xml:space="preserve"> </w:t>
      </w:r>
      <w:r w:rsidR="00BE19B9" w:rsidRPr="00773D06">
        <w:rPr>
          <w:rFonts w:ascii="Verdana" w:hAnsi="Verdana" w:cs="Arial"/>
        </w:rPr>
        <w:t>su</w:t>
      </w:r>
      <w:r w:rsidR="005B0E51" w:rsidRPr="001B402D">
        <w:rPr>
          <w:rFonts w:ascii="Verdana" w:hAnsi="Verdana" w:cs="Arial"/>
        </w:rPr>
        <w:t xml:space="preserve"> procedencia, debe fijar </w:t>
      </w:r>
      <w:r w:rsidR="0060226D" w:rsidRPr="001A5BCA">
        <w:rPr>
          <w:rFonts w:ascii="Verdana" w:hAnsi="Verdana" w:cs="Arial"/>
        </w:rPr>
        <w:t>un porcentaje del valor del contrato</w:t>
      </w:r>
      <w:r w:rsidR="001E6577">
        <w:rPr>
          <w:rFonts w:ascii="Verdana" w:hAnsi="Verdana" w:cs="Arial"/>
        </w:rPr>
        <w:t>, teniendo en cuenta el límite establecido en el parágrafo del artículo 40 de Ley 80 de 1993,</w:t>
      </w:r>
      <w:r w:rsidR="0060226D" w:rsidRPr="001A5BCA">
        <w:rPr>
          <w:rFonts w:ascii="Verdana" w:hAnsi="Verdana" w:cs="Arial"/>
        </w:rPr>
        <w:t xml:space="preserve"> que permita apalancar las actividades</w:t>
      </w:r>
      <w:r w:rsidR="005B0E51" w:rsidRPr="001B402D">
        <w:rPr>
          <w:rFonts w:ascii="Verdana" w:hAnsi="Verdana" w:cs="Arial"/>
        </w:rPr>
        <w:t xml:space="preserve"> y la forma en la que se amortizará</w:t>
      </w:r>
      <w:r w:rsidR="00BE19B9" w:rsidRPr="00773D06">
        <w:rPr>
          <w:rFonts w:ascii="Verdana" w:hAnsi="Verdana" w:cs="Arial"/>
        </w:rPr>
        <w:t xml:space="preserve"> por parte del contratista</w:t>
      </w:r>
      <w:r w:rsidR="00E91941">
        <w:rPr>
          <w:rFonts w:ascii="Verdana" w:hAnsi="Verdana" w:cs="Arial"/>
        </w:rPr>
        <w:t xml:space="preserve">, advirtiendo que es menester revisar el tiempo en el que se encuentra la ejecución, puesto que </w:t>
      </w:r>
      <w:r w:rsidR="00234910">
        <w:rPr>
          <w:rFonts w:ascii="Verdana" w:hAnsi="Verdana" w:cs="Arial"/>
        </w:rPr>
        <w:t>a</w:t>
      </w:r>
      <w:r w:rsidR="00E91941">
        <w:rPr>
          <w:rFonts w:ascii="Verdana" w:hAnsi="Verdana" w:cs="Arial"/>
        </w:rPr>
        <w:t xml:space="preserve"> lo largo de la figura del anticipo, se hace referencia </w:t>
      </w:r>
      <w:r w:rsidR="007217ED">
        <w:rPr>
          <w:rFonts w:ascii="Verdana" w:hAnsi="Verdana" w:cs="Arial"/>
        </w:rPr>
        <w:t>a que est</w:t>
      </w:r>
      <w:r w:rsidR="00234910">
        <w:rPr>
          <w:rFonts w:ascii="Verdana" w:hAnsi="Verdana" w:cs="Arial"/>
        </w:rPr>
        <w:t xml:space="preserve">os </w:t>
      </w:r>
      <w:r w:rsidR="007217ED">
        <w:rPr>
          <w:rFonts w:ascii="Verdana" w:hAnsi="Verdana" w:cs="Arial"/>
        </w:rPr>
        <w:t>son unos recursos entregados en</w:t>
      </w:r>
      <w:r w:rsidR="007217ED" w:rsidRPr="00773D06">
        <w:rPr>
          <w:rFonts w:ascii="Verdana" w:hAnsi="Verdana" w:cs="Arial"/>
          <w:color w:val="000000" w:themeColor="text1"/>
        </w:rPr>
        <w:t xml:space="preserve"> calidad de préstamo para cubrir los costos iniciales del contrato</w:t>
      </w:r>
      <w:r w:rsidR="005B0E51">
        <w:rPr>
          <w:rFonts w:ascii="Verdana" w:hAnsi="Verdana" w:cs="Arial"/>
          <w:color w:val="000000" w:themeColor="text1"/>
        </w:rPr>
        <w:t xml:space="preserve">. </w:t>
      </w:r>
    </w:p>
    <w:p w14:paraId="72B33A16" w14:textId="2BCB8832" w:rsidR="00DA79A9" w:rsidRPr="00773D06" w:rsidRDefault="005B0E51" w:rsidP="00AC519D">
      <w:pPr>
        <w:pStyle w:val="Prrafodelista"/>
        <w:tabs>
          <w:tab w:val="left" w:pos="142"/>
          <w:tab w:val="left" w:pos="284"/>
        </w:tabs>
        <w:spacing w:after="120" w:line="276" w:lineRule="auto"/>
        <w:ind w:left="0"/>
        <w:contextualSpacing w:val="0"/>
        <w:jc w:val="both"/>
        <w:rPr>
          <w:rFonts w:ascii="Verdana" w:hAnsi="Verdana" w:cs="Arial"/>
        </w:rPr>
      </w:pPr>
      <w:r w:rsidRPr="00773D06">
        <w:rPr>
          <w:rFonts w:ascii="Verdana" w:hAnsi="Verdana" w:cs="Arial"/>
        </w:rPr>
        <w:tab/>
      </w:r>
      <w:r w:rsidRPr="00773D06">
        <w:rPr>
          <w:rFonts w:ascii="Verdana" w:hAnsi="Verdana" w:cs="Arial"/>
        </w:rPr>
        <w:tab/>
      </w:r>
      <w:r w:rsidRPr="00773D06">
        <w:rPr>
          <w:rFonts w:ascii="Verdana" w:hAnsi="Verdana" w:cs="Arial"/>
        </w:rPr>
        <w:tab/>
      </w:r>
      <w:r w:rsidR="00CF1776" w:rsidRPr="00773D06">
        <w:rPr>
          <w:rFonts w:ascii="Verdana" w:hAnsi="Verdana" w:cs="Arial"/>
        </w:rPr>
        <w:t xml:space="preserve">Ahora bien, </w:t>
      </w:r>
      <w:r w:rsidR="003E103E" w:rsidRPr="00773D06">
        <w:rPr>
          <w:rFonts w:ascii="Verdana" w:hAnsi="Verdana" w:cs="Arial"/>
        </w:rPr>
        <w:t xml:space="preserve">es viable pactar un anticipo en un contrato de concesión, </w:t>
      </w:r>
      <w:r w:rsidR="00CF1776" w:rsidRPr="00773D06">
        <w:rPr>
          <w:rFonts w:ascii="Verdana" w:hAnsi="Verdana" w:cs="Arial"/>
        </w:rPr>
        <w:t>teniendo en cuenta las características del contrato, en donde el concesionario</w:t>
      </w:r>
      <w:r w:rsidR="00BE19B9" w:rsidRPr="00773D06">
        <w:rPr>
          <w:rFonts w:ascii="Verdana" w:hAnsi="Verdana" w:cs="Arial"/>
        </w:rPr>
        <w:t xml:space="preserve">, en principio, es quien </w:t>
      </w:r>
      <w:r w:rsidR="00CF1776" w:rsidRPr="00773D06">
        <w:rPr>
          <w:rFonts w:ascii="Verdana" w:hAnsi="Verdana" w:cs="Arial"/>
        </w:rPr>
        <w:t>asume el riesgo de la</w:t>
      </w:r>
      <w:r w:rsidR="00CD48DA" w:rsidRPr="00773D06">
        <w:rPr>
          <w:rFonts w:ascii="Verdana" w:hAnsi="Verdana" w:cs="Arial"/>
        </w:rPr>
        <w:t xml:space="preserve"> realización del objeto concesionado</w:t>
      </w:r>
      <w:r w:rsidR="00BE19B9" w:rsidRPr="00773D06">
        <w:rPr>
          <w:rFonts w:ascii="Verdana" w:hAnsi="Verdana" w:cs="Arial"/>
        </w:rPr>
        <w:t xml:space="preserve"> y tiene a cargo</w:t>
      </w:r>
      <w:r w:rsidR="00CD48DA" w:rsidRPr="00773D06">
        <w:rPr>
          <w:rFonts w:ascii="Verdana" w:hAnsi="Verdana" w:cs="Arial"/>
        </w:rPr>
        <w:t xml:space="preserve"> la consecución de los recursos económicos necesarios para la ejecución</w:t>
      </w:r>
      <w:r w:rsidR="00D374DF" w:rsidRPr="00773D06">
        <w:rPr>
          <w:rFonts w:ascii="Verdana" w:hAnsi="Verdana" w:cs="Arial"/>
        </w:rPr>
        <w:t>,</w:t>
      </w:r>
      <w:r w:rsidR="00BE19B9" w:rsidRPr="00773D06">
        <w:rPr>
          <w:rFonts w:ascii="Verdana" w:hAnsi="Verdana" w:cs="Arial"/>
        </w:rPr>
        <w:t xml:space="preserve"> </w:t>
      </w:r>
      <w:r w:rsidR="00BE19B9" w:rsidRPr="005B3D15">
        <w:rPr>
          <w:rFonts w:ascii="Verdana" w:hAnsi="Verdana" w:cs="Arial"/>
        </w:rPr>
        <w:t xml:space="preserve">recursos propios o de </w:t>
      </w:r>
      <w:r w:rsidR="003E103E" w:rsidRPr="005B3D15">
        <w:rPr>
          <w:rFonts w:ascii="Verdana" w:hAnsi="Verdana" w:cs="Arial"/>
        </w:rPr>
        <w:t>crédito</w:t>
      </w:r>
      <w:r w:rsidR="00230FA0">
        <w:rPr>
          <w:rFonts w:ascii="Verdana" w:hAnsi="Verdana" w:cs="Arial"/>
        </w:rPr>
        <w:t>;</w:t>
      </w:r>
      <w:r w:rsidR="003E103E" w:rsidRPr="00773D06">
        <w:rPr>
          <w:rFonts w:ascii="Verdana" w:hAnsi="Verdana" w:cs="Arial"/>
        </w:rPr>
        <w:t xml:space="preserve"> pues al momento de </w:t>
      </w:r>
      <w:r w:rsidR="00DA79A9" w:rsidRPr="00773D06">
        <w:rPr>
          <w:rFonts w:ascii="Verdana" w:hAnsi="Verdana" w:cs="Arial"/>
        </w:rPr>
        <w:t xml:space="preserve">la modelación financiera y </w:t>
      </w:r>
      <w:r w:rsidR="0057600F">
        <w:rPr>
          <w:rFonts w:ascii="Verdana" w:hAnsi="Verdana" w:cs="Arial"/>
        </w:rPr>
        <w:t xml:space="preserve">por </w:t>
      </w:r>
      <w:r w:rsidR="00DA79A9" w:rsidRPr="00773D06">
        <w:rPr>
          <w:rFonts w:ascii="Verdana" w:hAnsi="Verdana" w:cs="Arial"/>
        </w:rPr>
        <w:t>las características del proyecto</w:t>
      </w:r>
      <w:r w:rsidR="00BE19B9" w:rsidRPr="00773D06">
        <w:rPr>
          <w:rFonts w:ascii="Verdana" w:hAnsi="Verdana" w:cs="Arial"/>
        </w:rPr>
        <w:t xml:space="preserve"> a ejecutar, </w:t>
      </w:r>
      <w:r w:rsidR="003E103E" w:rsidRPr="00773D06">
        <w:rPr>
          <w:rFonts w:ascii="Verdana" w:hAnsi="Verdana" w:cs="Arial"/>
        </w:rPr>
        <w:t>se puede determinar que</w:t>
      </w:r>
      <w:r w:rsidR="00DA79A9" w:rsidRPr="00773D06">
        <w:rPr>
          <w:rFonts w:ascii="Verdana" w:hAnsi="Verdana" w:cs="Arial"/>
        </w:rPr>
        <w:t xml:space="preserve"> el cobro de las tarifas</w:t>
      </w:r>
      <w:r w:rsidR="00BE19B9" w:rsidRPr="00773D06">
        <w:rPr>
          <w:rFonts w:ascii="Verdana" w:hAnsi="Verdana" w:cs="Arial"/>
        </w:rPr>
        <w:t xml:space="preserve"> </w:t>
      </w:r>
      <w:r w:rsidR="003E103E" w:rsidRPr="00773D06">
        <w:rPr>
          <w:rFonts w:ascii="Verdana" w:hAnsi="Verdana" w:cs="Arial"/>
        </w:rPr>
        <w:t>u otra condición objeto de la concesión,</w:t>
      </w:r>
      <w:r w:rsidR="00DA79A9" w:rsidRPr="00773D06">
        <w:rPr>
          <w:rFonts w:ascii="Verdana" w:hAnsi="Verdana" w:cs="Arial"/>
        </w:rPr>
        <w:t xml:space="preserve"> </w:t>
      </w:r>
      <w:r w:rsidR="00BE19B9" w:rsidRPr="00773D06">
        <w:rPr>
          <w:rFonts w:ascii="Verdana" w:hAnsi="Verdana" w:cs="Arial"/>
        </w:rPr>
        <w:t>sea</w:t>
      </w:r>
      <w:r w:rsidR="00DA79A9" w:rsidRPr="00773D06">
        <w:rPr>
          <w:rFonts w:ascii="Verdana" w:hAnsi="Verdana" w:cs="Arial"/>
        </w:rPr>
        <w:t xml:space="preserve"> insuficiente para lograr el retorno de la inversió</w:t>
      </w:r>
      <w:r w:rsidR="003E103E" w:rsidRPr="00773D06">
        <w:rPr>
          <w:rFonts w:ascii="Verdana" w:hAnsi="Verdana" w:cs="Arial"/>
        </w:rPr>
        <w:t>n en un tiempo razonable</w:t>
      </w:r>
      <w:r w:rsidR="00DA79A9" w:rsidRPr="00773D06">
        <w:rPr>
          <w:rFonts w:ascii="Verdana" w:hAnsi="Verdana" w:cs="Arial"/>
        </w:rPr>
        <w:t xml:space="preserve">, </w:t>
      </w:r>
      <w:r w:rsidR="00BE19B9" w:rsidRPr="00773D06">
        <w:rPr>
          <w:rFonts w:ascii="Verdana" w:hAnsi="Verdana" w:cs="Arial"/>
        </w:rPr>
        <w:t xml:space="preserve">haciendo necesaria la inyección de presupuesto </w:t>
      </w:r>
      <w:r w:rsidR="003E103E" w:rsidRPr="00773D06">
        <w:rPr>
          <w:rFonts w:ascii="Verdana" w:hAnsi="Verdana" w:cs="Arial"/>
        </w:rPr>
        <w:t>vía</w:t>
      </w:r>
      <w:r w:rsidR="00BE19B9" w:rsidRPr="00773D06">
        <w:rPr>
          <w:rFonts w:ascii="Verdana" w:hAnsi="Verdana" w:cs="Arial"/>
        </w:rPr>
        <w:t xml:space="preserve"> anticipo por parte de la entidad contratante</w:t>
      </w:r>
      <w:r w:rsidR="005B3D15">
        <w:rPr>
          <w:rFonts w:ascii="Verdana" w:hAnsi="Verdana" w:cs="Arial"/>
        </w:rPr>
        <w:t xml:space="preserve"> para las actividades previas a cargo del concesionario. </w:t>
      </w:r>
    </w:p>
    <w:p w14:paraId="7FF68A2E" w14:textId="4D9135BA" w:rsidR="003C57C5" w:rsidRPr="001A5BCA" w:rsidRDefault="003C57C5" w:rsidP="00D70608">
      <w:pPr>
        <w:pStyle w:val="Prrafodelista"/>
        <w:tabs>
          <w:tab w:val="left" w:pos="142"/>
          <w:tab w:val="left" w:pos="284"/>
        </w:tabs>
        <w:spacing w:after="120" w:line="276" w:lineRule="auto"/>
        <w:ind w:left="0"/>
        <w:contextualSpacing w:val="0"/>
        <w:jc w:val="both"/>
        <w:rPr>
          <w:rFonts w:ascii="Verdana" w:hAnsi="Verdana"/>
        </w:rPr>
      </w:pPr>
      <w:r w:rsidRPr="001A5BCA">
        <w:rPr>
          <w:rFonts w:ascii="Verdana" w:eastAsia="Century Gothic" w:hAnsi="Verdana" w:cs="Century Gothic"/>
          <w:i/>
          <w:iCs/>
        </w:rPr>
        <w:tab/>
      </w:r>
      <w:r w:rsidR="00D70608">
        <w:rPr>
          <w:rFonts w:ascii="Verdana" w:eastAsia="Century Gothic" w:hAnsi="Verdana" w:cs="Century Gothic"/>
          <w:i/>
          <w:iCs/>
        </w:rPr>
        <w:tab/>
      </w:r>
      <w:r w:rsidR="00D70608">
        <w:rPr>
          <w:rFonts w:ascii="Verdana" w:eastAsia="Century Gothic" w:hAnsi="Verdana" w:cs="Century Gothic"/>
          <w:i/>
          <w:iCs/>
        </w:rPr>
        <w:tab/>
      </w:r>
      <w:r w:rsidR="001512D8" w:rsidRPr="001A5BCA">
        <w:rPr>
          <w:rFonts w:ascii="Verdana" w:eastAsia="Century Gothic" w:hAnsi="Verdana" w:cs="Century Gothic"/>
          <w:i/>
          <w:iCs/>
        </w:rPr>
        <w:t>En segundo lugar</w:t>
      </w:r>
      <w:r w:rsidR="0089627E">
        <w:rPr>
          <w:rFonts w:ascii="Verdana" w:hAnsi="Verdana"/>
        </w:rPr>
        <w:t>,</w:t>
      </w:r>
      <w:r w:rsidRPr="001A5BCA">
        <w:rPr>
          <w:rFonts w:ascii="Verdana" w:hAnsi="Verdana"/>
        </w:rPr>
        <w:t xml:space="preserve"> conforme a la regulación legal y a la interpretación que de la misma han realizado el Consejo de Estado y la Corte Constitucional, la cual es compartida por esta Agencia, es viable jurídicamente modificar los contratos estatales, pero dicha medida tiene un carácter excepcional y sólo procede cuando con ella se pretende garantizar el interés público, cuando la entidad haya verificado y así pueda constatarse, que la causa de la modificación es real y cierta; y cuando se deriva de previsiones legales, esto es, cuando la modificación encuentra sustento no sólo en circunstancias fácticas propias de la ejecución del contrato, sino, además, cuando tales situaciones ponen de presente la necesidad de dar cumplimiento a previsiones establecidas por el </w:t>
      </w:r>
      <w:r w:rsidRPr="00D70608">
        <w:rPr>
          <w:rFonts w:ascii="Verdana" w:hAnsi="Verdana" w:cs="Arial"/>
        </w:rPr>
        <w:t>legislador</w:t>
      </w:r>
      <w:r w:rsidRPr="001A5BCA">
        <w:rPr>
          <w:rFonts w:ascii="Verdana" w:hAnsi="Verdana"/>
        </w:rPr>
        <w:t xml:space="preserve">. </w:t>
      </w:r>
    </w:p>
    <w:p w14:paraId="175C7094" w14:textId="54511CDB" w:rsidR="00210C99" w:rsidRPr="001B402D" w:rsidRDefault="003C57C5" w:rsidP="00F15E2E">
      <w:pPr>
        <w:pStyle w:val="Prrafodelista"/>
        <w:tabs>
          <w:tab w:val="left" w:pos="142"/>
          <w:tab w:val="left" w:pos="284"/>
        </w:tabs>
        <w:spacing w:after="120" w:line="276" w:lineRule="auto"/>
        <w:ind w:left="0"/>
        <w:contextualSpacing w:val="0"/>
        <w:jc w:val="both"/>
        <w:rPr>
          <w:rFonts w:ascii="Verdana" w:hAnsi="Verdana" w:cs="Arial"/>
          <w:lang w:val="es-MX" w:eastAsia="es-ES_tradnl"/>
        </w:rPr>
      </w:pPr>
      <w:r w:rsidRPr="001B402D">
        <w:rPr>
          <w:rFonts w:ascii="Verdana" w:hAnsi="Verdana"/>
        </w:rPr>
        <w:tab/>
      </w:r>
      <w:r w:rsidRPr="001B402D">
        <w:rPr>
          <w:rFonts w:ascii="Verdana" w:hAnsi="Verdana"/>
        </w:rPr>
        <w:tab/>
      </w:r>
      <w:r w:rsidR="00F15E2E">
        <w:rPr>
          <w:rFonts w:ascii="Verdana" w:hAnsi="Verdana"/>
        </w:rPr>
        <w:tab/>
      </w:r>
      <w:r w:rsidRPr="001B402D">
        <w:rPr>
          <w:rFonts w:ascii="Verdana" w:hAnsi="Verdana"/>
        </w:rPr>
        <w:t xml:space="preserve">Las modificaciones no podrán suponer la variación del objeto de un contrato, pues ello supondría la alteración de su esencia y lo convertiría en otro </w:t>
      </w:r>
      <w:r w:rsidRPr="001B402D">
        <w:rPr>
          <w:rFonts w:ascii="Verdana" w:hAnsi="Verdana"/>
        </w:rPr>
        <w:lastRenderedPageBreak/>
        <w:t xml:space="preserve">tipo de negocio jurídico. Si se presentara esta situación lo indicado sería no modificar el contrato, sino, celebrar uno nuevo. </w:t>
      </w:r>
      <w:r w:rsidRPr="001B402D">
        <w:rPr>
          <w:rFonts w:ascii="Verdana" w:hAnsi="Verdana" w:cs="Arial"/>
          <w:bCs/>
          <w:lang w:val="es-MX" w:eastAsia="es-ES_tradnl" w:bidi="es-ES"/>
        </w:rPr>
        <w:t xml:space="preserve">Sobre este último punto, la doctrina ha precisado que cuando </w:t>
      </w:r>
      <w:r w:rsidRPr="001B402D">
        <w:rPr>
          <w:rFonts w:ascii="Verdana" w:hAnsi="Verdana" w:cs="Arial"/>
          <w:bCs/>
          <w:lang w:val="es-MX" w:eastAsia="es-ES_tradnl"/>
        </w:rPr>
        <w:t>“</w:t>
      </w:r>
      <w:r w:rsidRPr="001B402D">
        <w:rPr>
          <w:rFonts w:ascii="Verdana" w:hAnsi="Verdana" w:cs="Arial"/>
          <w:bCs/>
          <w:lang w:val="es-MX" w:eastAsia="es-ES_tradnl" w:bidi="es-ES"/>
        </w:rPr>
        <w:t xml:space="preserve">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w:t>
      </w:r>
      <w:r w:rsidRPr="00F15E2E">
        <w:rPr>
          <w:rFonts w:ascii="Verdana" w:hAnsi="Verdana"/>
        </w:rPr>
        <w:t>errores</w:t>
      </w:r>
      <w:r w:rsidRPr="001B402D">
        <w:rPr>
          <w:rFonts w:ascii="Verdana" w:hAnsi="Verdana" w:cs="Arial"/>
          <w:bCs/>
          <w:lang w:val="es-MX" w:eastAsia="es-ES_tradnl" w:bidi="es-ES"/>
        </w:rPr>
        <w:t xml:space="preserve"> en la fase previa</w:t>
      </w:r>
      <w:r w:rsidRPr="001B402D">
        <w:rPr>
          <w:rFonts w:ascii="Verdana" w:hAnsi="Verdana" w:cs="Arial"/>
          <w:bCs/>
          <w:lang w:val="es-MX" w:eastAsia="es-ES_tradnl"/>
        </w:rPr>
        <w:t>”</w:t>
      </w:r>
      <w:r w:rsidR="00A61755">
        <w:rPr>
          <w:rStyle w:val="Refdenotaalpie"/>
          <w:rFonts w:ascii="Verdana" w:hAnsi="Verdana" w:cs="Arial"/>
          <w:bCs/>
          <w:lang w:val="es-MX" w:eastAsia="es-ES_tradnl"/>
        </w:rPr>
        <w:footnoteReference w:id="2"/>
      </w:r>
      <w:r w:rsidRPr="001B402D">
        <w:rPr>
          <w:rFonts w:ascii="Verdana" w:hAnsi="Verdana" w:cs="Arial"/>
          <w:bCs/>
          <w:lang w:val="es-MX" w:eastAsia="es-ES_tradnl" w:bidi="es-ES"/>
        </w:rPr>
        <w:t>.</w:t>
      </w:r>
      <w:r w:rsidR="00210C99" w:rsidRPr="001B402D">
        <w:rPr>
          <w:rFonts w:ascii="Verdana" w:hAnsi="Verdana" w:cs="Arial"/>
          <w:lang w:val="es-MX" w:eastAsia="es-ES_tradnl"/>
        </w:rPr>
        <w:t xml:space="preserve"> </w:t>
      </w:r>
    </w:p>
    <w:p w14:paraId="44E8C0B4" w14:textId="0EE49263" w:rsidR="00AC519D" w:rsidRPr="00887DB9" w:rsidRDefault="00F15E2E" w:rsidP="00210C99">
      <w:pPr>
        <w:pStyle w:val="Prrafodelista"/>
        <w:tabs>
          <w:tab w:val="left" w:pos="284"/>
        </w:tabs>
        <w:spacing w:after="0" w:line="276" w:lineRule="auto"/>
        <w:ind w:left="0"/>
        <w:jc w:val="both"/>
        <w:rPr>
          <w:rFonts w:ascii="Verdana" w:eastAsia="Century Gothic" w:hAnsi="Verdana" w:cs="Century Gothic"/>
        </w:rPr>
      </w:pPr>
      <w:r w:rsidRPr="00FE568E">
        <w:rPr>
          <w:rFonts w:ascii="Verdana" w:eastAsia="Century Gothic" w:hAnsi="Verdana" w:cs="Century Gothic"/>
          <w:iCs/>
        </w:rPr>
        <w:tab/>
      </w:r>
      <w:r w:rsidRPr="00FE568E">
        <w:rPr>
          <w:rFonts w:ascii="Verdana" w:eastAsia="Century Gothic" w:hAnsi="Verdana" w:cs="Century Gothic"/>
          <w:iCs/>
        </w:rPr>
        <w:tab/>
      </w:r>
      <w:r w:rsidR="00210C99" w:rsidRPr="00FE568E">
        <w:rPr>
          <w:rFonts w:ascii="Verdana" w:eastAsia="Century Gothic" w:hAnsi="Verdana" w:cs="Century Gothic"/>
          <w:iCs/>
        </w:rPr>
        <w:t xml:space="preserve">De lo anterior, es pertinente indicar que </w:t>
      </w:r>
      <w:r w:rsidR="003E103E" w:rsidRPr="00FE568E">
        <w:rPr>
          <w:rFonts w:ascii="Verdana" w:eastAsia="Century Gothic" w:hAnsi="Verdana" w:cs="Century Gothic"/>
          <w:iCs/>
        </w:rPr>
        <w:t>es posible</w:t>
      </w:r>
      <w:r w:rsidR="004567A7" w:rsidRPr="00FE568E">
        <w:rPr>
          <w:rFonts w:ascii="Verdana" w:eastAsia="Century Gothic" w:hAnsi="Verdana" w:cs="Century Gothic"/>
          <w:iCs/>
        </w:rPr>
        <w:t xml:space="preserve"> realizar una modificación a</w:t>
      </w:r>
      <w:r w:rsidR="00210C99" w:rsidRPr="00FE568E">
        <w:rPr>
          <w:rFonts w:ascii="Verdana" w:eastAsia="Century Gothic" w:hAnsi="Verdana" w:cs="Century Gothic"/>
          <w:iCs/>
        </w:rPr>
        <w:t xml:space="preserve"> un contrato de concesión</w:t>
      </w:r>
      <w:r w:rsidR="004567A7" w:rsidRPr="00FE568E">
        <w:rPr>
          <w:rFonts w:ascii="Verdana" w:eastAsia="Century Gothic" w:hAnsi="Verdana" w:cs="Century Gothic"/>
          <w:iCs/>
        </w:rPr>
        <w:t xml:space="preserve"> que se encuentre en ejecución para la inclusión de la </w:t>
      </w:r>
      <w:r w:rsidR="00210C99" w:rsidRPr="00FE568E">
        <w:rPr>
          <w:rFonts w:ascii="Verdana" w:eastAsia="Century Gothic" w:hAnsi="Verdana" w:cs="Century Gothic"/>
          <w:iCs/>
        </w:rPr>
        <w:t>cláusula</w:t>
      </w:r>
      <w:r w:rsidR="004567A7" w:rsidRPr="00FE568E">
        <w:rPr>
          <w:rFonts w:ascii="Verdana" w:eastAsia="Century Gothic" w:hAnsi="Verdana" w:cs="Century Gothic"/>
          <w:iCs/>
        </w:rPr>
        <w:t xml:space="preserve"> de anticipo, </w:t>
      </w:r>
      <w:r w:rsidR="00D4711E">
        <w:rPr>
          <w:rFonts w:ascii="Verdana" w:eastAsia="Century Gothic" w:hAnsi="Verdana" w:cs="Century Gothic"/>
          <w:iCs/>
        </w:rPr>
        <w:t xml:space="preserve">siempre y cuando </w:t>
      </w:r>
      <w:r w:rsidR="0074005D">
        <w:rPr>
          <w:rFonts w:ascii="Verdana" w:eastAsia="Century Gothic" w:hAnsi="Verdana" w:cs="Century Gothic"/>
          <w:iCs/>
        </w:rPr>
        <w:t>su</w:t>
      </w:r>
      <w:r w:rsidR="00D4711E" w:rsidRPr="00FE568E">
        <w:rPr>
          <w:rFonts w:ascii="Verdana" w:eastAsia="Century Gothic" w:hAnsi="Verdana" w:cs="Century Gothic"/>
          <w:iCs/>
        </w:rPr>
        <w:t xml:space="preserve"> </w:t>
      </w:r>
      <w:r w:rsidR="003E103E" w:rsidRPr="00FE568E">
        <w:rPr>
          <w:rFonts w:ascii="Verdana" w:eastAsia="Century Gothic" w:hAnsi="Verdana" w:cs="Century Gothic"/>
          <w:iCs/>
        </w:rPr>
        <w:t>justificación</w:t>
      </w:r>
      <w:r w:rsidR="00D4711E">
        <w:rPr>
          <w:rFonts w:ascii="Verdana" w:eastAsia="Century Gothic" w:hAnsi="Verdana" w:cs="Century Gothic"/>
          <w:iCs/>
        </w:rPr>
        <w:t xml:space="preserve"> </w:t>
      </w:r>
      <w:r w:rsidR="0074005D">
        <w:rPr>
          <w:rFonts w:ascii="Verdana" w:eastAsia="Century Gothic" w:hAnsi="Verdana" w:cs="Century Gothic"/>
          <w:iCs/>
        </w:rPr>
        <w:t xml:space="preserve">se sustente </w:t>
      </w:r>
      <w:r w:rsidR="00C77D17">
        <w:rPr>
          <w:rFonts w:ascii="Verdana" w:eastAsia="Century Gothic" w:hAnsi="Verdana" w:cs="Century Gothic"/>
          <w:iCs/>
        </w:rPr>
        <w:t xml:space="preserve">en la necesidad de replantear el modelo financiero </w:t>
      </w:r>
      <w:r w:rsidR="001D793F">
        <w:rPr>
          <w:rFonts w:ascii="Verdana" w:eastAsia="Century Gothic" w:hAnsi="Verdana" w:cs="Century Gothic"/>
          <w:iCs/>
        </w:rPr>
        <w:t>del negocio, atendiendo a</w:t>
      </w:r>
      <w:r w:rsidR="0074005D">
        <w:rPr>
          <w:rFonts w:ascii="Verdana" w:eastAsia="Century Gothic" w:hAnsi="Verdana" w:cs="Century Gothic"/>
          <w:iCs/>
        </w:rPr>
        <w:t xml:space="preserve"> circunstancias exógenas a las partes, </w:t>
      </w:r>
      <w:r w:rsidR="005961BE">
        <w:rPr>
          <w:rFonts w:ascii="Verdana" w:eastAsia="Century Gothic" w:hAnsi="Verdana" w:cs="Century Gothic"/>
          <w:iCs/>
        </w:rPr>
        <w:t xml:space="preserve">o </w:t>
      </w:r>
      <w:r w:rsidR="001D793F">
        <w:rPr>
          <w:rFonts w:ascii="Verdana" w:eastAsia="Century Gothic" w:hAnsi="Verdana" w:cs="Century Gothic"/>
          <w:iCs/>
        </w:rPr>
        <w:t>a</w:t>
      </w:r>
      <w:r w:rsidR="005961BE">
        <w:rPr>
          <w:rFonts w:ascii="Verdana" w:eastAsia="Century Gothic" w:hAnsi="Verdana" w:cs="Century Gothic"/>
          <w:iCs/>
        </w:rPr>
        <w:t xml:space="preserve"> la materialización de riesgos que las </w:t>
      </w:r>
      <w:r w:rsidR="001D793F">
        <w:rPr>
          <w:rFonts w:ascii="Verdana" w:eastAsia="Century Gothic" w:hAnsi="Verdana" w:cs="Century Gothic"/>
          <w:iCs/>
        </w:rPr>
        <w:t>mismas</w:t>
      </w:r>
      <w:r w:rsidR="007871AD">
        <w:rPr>
          <w:rFonts w:ascii="Verdana" w:eastAsia="Century Gothic" w:hAnsi="Verdana" w:cs="Century Gothic"/>
          <w:iCs/>
        </w:rPr>
        <w:t xml:space="preserve"> </w:t>
      </w:r>
      <w:r w:rsidR="00275D85">
        <w:rPr>
          <w:rFonts w:ascii="Verdana" w:eastAsia="Century Gothic" w:hAnsi="Verdana" w:cs="Century Gothic"/>
          <w:iCs/>
        </w:rPr>
        <w:t>no</w:t>
      </w:r>
      <w:r w:rsidR="007871AD">
        <w:rPr>
          <w:rFonts w:ascii="Verdana" w:eastAsia="Century Gothic" w:hAnsi="Verdana" w:cs="Century Gothic"/>
          <w:iCs/>
        </w:rPr>
        <w:t xml:space="preserve"> estén en </w:t>
      </w:r>
      <w:r w:rsidR="00275D85">
        <w:rPr>
          <w:rFonts w:ascii="Verdana" w:eastAsia="Century Gothic" w:hAnsi="Verdana" w:cs="Century Gothic"/>
          <w:iCs/>
        </w:rPr>
        <w:t>capacidad de</w:t>
      </w:r>
      <w:r w:rsidR="00F4400B">
        <w:rPr>
          <w:rFonts w:ascii="Verdana" w:eastAsia="Century Gothic" w:hAnsi="Verdana" w:cs="Century Gothic"/>
          <w:iCs/>
        </w:rPr>
        <w:t xml:space="preserve"> gestionar </w:t>
      </w:r>
      <w:r w:rsidR="007871AD">
        <w:rPr>
          <w:rFonts w:ascii="Verdana" w:eastAsia="Century Gothic" w:hAnsi="Verdana" w:cs="Century Gothic"/>
          <w:iCs/>
        </w:rPr>
        <w:t>a través de</w:t>
      </w:r>
      <w:r w:rsidR="00401F93">
        <w:rPr>
          <w:rFonts w:ascii="Verdana" w:eastAsia="Century Gothic" w:hAnsi="Verdana" w:cs="Century Gothic"/>
          <w:iCs/>
        </w:rPr>
        <w:t xml:space="preserve"> </w:t>
      </w:r>
      <w:r w:rsidR="00C77D17">
        <w:rPr>
          <w:rFonts w:ascii="Verdana" w:eastAsia="Century Gothic" w:hAnsi="Verdana" w:cs="Century Gothic"/>
          <w:iCs/>
        </w:rPr>
        <w:t xml:space="preserve">medidas de </w:t>
      </w:r>
      <w:r w:rsidR="00401F93">
        <w:rPr>
          <w:rFonts w:ascii="Verdana" w:eastAsia="Century Gothic" w:hAnsi="Verdana" w:cs="Century Gothic"/>
          <w:iCs/>
        </w:rPr>
        <w:t>tratamiento</w:t>
      </w:r>
      <w:r w:rsidR="007F78B8">
        <w:rPr>
          <w:rFonts w:ascii="Verdana" w:eastAsia="Century Gothic" w:hAnsi="Verdana" w:cs="Century Gothic"/>
          <w:iCs/>
        </w:rPr>
        <w:t xml:space="preserve"> previstas en la matriz de riesgos previsibles</w:t>
      </w:r>
      <w:r w:rsidR="00401F93">
        <w:rPr>
          <w:rFonts w:ascii="Verdana" w:eastAsia="Century Gothic" w:hAnsi="Verdana" w:cs="Century Gothic"/>
          <w:iCs/>
        </w:rPr>
        <w:t xml:space="preserve">, atendiendo a su origen o a la </w:t>
      </w:r>
      <w:r w:rsidR="00086321">
        <w:rPr>
          <w:rFonts w:ascii="Verdana" w:eastAsia="Century Gothic" w:hAnsi="Verdana" w:cs="Century Gothic"/>
          <w:iCs/>
        </w:rPr>
        <w:t>magnitud de su impacto</w:t>
      </w:r>
      <w:r w:rsidR="003E4B14">
        <w:rPr>
          <w:rFonts w:ascii="Verdana" w:eastAsia="Century Gothic" w:hAnsi="Verdana" w:cs="Century Gothic"/>
          <w:iCs/>
        </w:rPr>
        <w:t>. Las circunstancias alegadas deben estar debidamente sustentadas</w:t>
      </w:r>
      <w:r w:rsidR="00FE568E" w:rsidRPr="00773D06">
        <w:rPr>
          <w:rFonts w:ascii="Verdana" w:hAnsi="Verdana"/>
        </w:rPr>
        <w:t>.</w:t>
      </w:r>
    </w:p>
    <w:p w14:paraId="66959794" w14:textId="77777777" w:rsidR="00186EED" w:rsidRDefault="00186EED" w:rsidP="00210C99">
      <w:pPr>
        <w:pStyle w:val="Prrafodelista"/>
        <w:tabs>
          <w:tab w:val="left" w:pos="284"/>
        </w:tabs>
        <w:spacing w:after="0" w:line="276" w:lineRule="auto"/>
        <w:ind w:left="0"/>
        <w:jc w:val="both"/>
        <w:rPr>
          <w:rFonts w:ascii="Verdana" w:hAnsi="Verdana"/>
        </w:rPr>
      </w:pPr>
    </w:p>
    <w:p w14:paraId="1202143F" w14:textId="77777777" w:rsidR="00AC519D" w:rsidRPr="001A5BCA" w:rsidRDefault="00AC519D" w:rsidP="00AC51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A5BCA">
        <w:rPr>
          <w:rFonts w:ascii="Verdana" w:eastAsia="Century Gothic" w:hAnsi="Verdana" w:cs="Century Gothic"/>
          <w:b/>
          <w:bCs/>
        </w:rPr>
        <w:t>Razones de la respuesta:</w:t>
      </w:r>
    </w:p>
    <w:p w14:paraId="74CF78B2" w14:textId="77777777" w:rsidR="00AC519D" w:rsidRPr="001A5BCA" w:rsidRDefault="00AC519D" w:rsidP="00AC519D">
      <w:pPr>
        <w:pStyle w:val="Prrafodelista"/>
        <w:tabs>
          <w:tab w:val="left" w:pos="142"/>
          <w:tab w:val="left" w:pos="284"/>
        </w:tabs>
        <w:spacing w:after="0" w:line="276" w:lineRule="auto"/>
        <w:ind w:left="0"/>
        <w:jc w:val="both"/>
        <w:rPr>
          <w:rFonts w:ascii="Verdana" w:eastAsia="Century Gothic" w:hAnsi="Verdana" w:cs="Century Gothic"/>
          <w:b/>
          <w:bCs/>
        </w:rPr>
      </w:pPr>
    </w:p>
    <w:p w14:paraId="56562D43" w14:textId="57CEE7EF" w:rsidR="00AC519D" w:rsidRPr="001A5BCA" w:rsidRDefault="00AC519D" w:rsidP="00AC519D">
      <w:pPr>
        <w:spacing w:after="120" w:line="276" w:lineRule="auto"/>
        <w:jc w:val="both"/>
        <w:rPr>
          <w:rFonts w:ascii="Verdana" w:eastAsia="Calibri" w:hAnsi="Verdana" w:cs="Arial"/>
          <w:lang w:val="es-ES"/>
        </w:rPr>
      </w:pPr>
      <w:r w:rsidRPr="001A5BCA">
        <w:rPr>
          <w:rFonts w:ascii="Verdana" w:eastAsia="Calibri" w:hAnsi="Verdana" w:cs="Arial"/>
          <w:lang w:val="es-ES"/>
        </w:rPr>
        <w:t>Lo anterior se sustenta en las siguientes consideraciones:</w:t>
      </w:r>
    </w:p>
    <w:p w14:paraId="0A1CCB8C" w14:textId="41F1C79E" w:rsidR="00D42C6A" w:rsidRPr="001A5BCA" w:rsidRDefault="00D42C6A"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 xml:space="preserve">Como eje temático se abordará lo </w:t>
      </w:r>
      <w:r w:rsidRPr="001A5BCA">
        <w:rPr>
          <w:rFonts w:ascii="Verdana" w:hAnsi="Verdana" w:cs="Arial"/>
          <w:color w:val="000000" w:themeColor="text1"/>
        </w:rPr>
        <w:t xml:space="preserve">referente a la figura del anticipo, </w:t>
      </w:r>
      <w:r>
        <w:rPr>
          <w:rFonts w:ascii="Verdana" w:hAnsi="Verdana" w:cs="Arial"/>
          <w:color w:val="000000" w:themeColor="text1"/>
        </w:rPr>
        <w:t xml:space="preserve">la cual </w:t>
      </w:r>
      <w:r w:rsidRPr="001A5BCA">
        <w:rPr>
          <w:rFonts w:ascii="Verdana" w:hAnsi="Verdana" w:cs="Arial"/>
          <w:color w:val="000000" w:themeColor="text1"/>
        </w:rPr>
        <w:t xml:space="preserve">se encuentra </w:t>
      </w:r>
      <w:r>
        <w:rPr>
          <w:rFonts w:ascii="Verdana" w:hAnsi="Verdana" w:cs="Arial"/>
          <w:color w:val="000000" w:themeColor="text1"/>
        </w:rPr>
        <w:t xml:space="preserve">en </w:t>
      </w:r>
      <w:r w:rsidRPr="001A5BCA">
        <w:rPr>
          <w:rFonts w:ascii="Verdana" w:hAnsi="Verdana" w:cs="Arial"/>
          <w:color w:val="000000" w:themeColor="text1"/>
        </w:rPr>
        <w:t xml:space="preserve">dos (2) </w:t>
      </w:r>
      <w:r>
        <w:rPr>
          <w:rFonts w:ascii="Verdana" w:hAnsi="Verdana" w:cs="Arial"/>
          <w:color w:val="000000" w:themeColor="text1"/>
        </w:rPr>
        <w:t xml:space="preserve">enunciados en el Estrato General de Contratación de la Administración Pública-EGCAP-; el primer enunciado, se encuentra </w:t>
      </w:r>
      <w:r w:rsidRPr="001A5BCA">
        <w:rPr>
          <w:rFonts w:ascii="Verdana" w:hAnsi="Verdana" w:cs="Arial"/>
          <w:color w:val="000000" w:themeColor="text1"/>
        </w:rPr>
        <w:t>el inciso primero del parágrafo del artículo 40 de la Ley 80 de 1993</w:t>
      </w:r>
      <w:r>
        <w:rPr>
          <w:rFonts w:ascii="Verdana" w:hAnsi="Verdana" w:cs="Arial"/>
          <w:color w:val="000000" w:themeColor="text1"/>
        </w:rPr>
        <w:t>, el cual d</w:t>
      </w:r>
      <w:r w:rsidRPr="001A5BCA">
        <w:rPr>
          <w:rFonts w:ascii="Verdana" w:hAnsi="Verdana" w:cs="Arial"/>
          <w:color w:val="000000" w:themeColor="text1"/>
        </w:rPr>
        <w:t>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w:t>
      </w:r>
      <w:r w:rsidR="00702112" w:rsidRPr="001A5BCA">
        <w:rPr>
          <w:rFonts w:ascii="Verdana" w:hAnsi="Verdana" w:cs="Arial"/>
          <w:color w:val="000000" w:themeColor="text1"/>
        </w:rPr>
        <w:t xml:space="preserve"> contrato</w:t>
      </w:r>
      <w:r w:rsidRPr="001A5BCA">
        <w:rPr>
          <w:rFonts w:ascii="Verdana" w:hAnsi="Verdana" w:cs="Arial"/>
          <w:color w:val="000000" w:themeColor="text1"/>
        </w:rPr>
        <w:t xml:space="preserve">”. </w:t>
      </w:r>
    </w:p>
    <w:p w14:paraId="0DB96B2A" w14:textId="77777777" w:rsidR="00D42C6A" w:rsidRPr="001A5BCA" w:rsidRDefault="00D42C6A" w:rsidP="00D42C6A">
      <w:pPr>
        <w:pStyle w:val="Prrafodelista"/>
        <w:tabs>
          <w:tab w:val="left" w:pos="0"/>
          <w:tab w:val="left" w:pos="284"/>
        </w:tabs>
        <w:spacing w:after="0" w:line="276" w:lineRule="auto"/>
        <w:ind w:left="0"/>
        <w:jc w:val="both"/>
        <w:rPr>
          <w:rFonts w:ascii="Verdana" w:hAnsi="Verdana" w:cs="Arial"/>
          <w:color w:val="000000" w:themeColor="text1"/>
        </w:rPr>
      </w:pPr>
    </w:p>
    <w:p w14:paraId="1D50F1AB" w14:textId="355CFCBE" w:rsidR="00D42C6A" w:rsidRPr="001A5BCA" w:rsidRDefault="00D42C6A"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 xml:space="preserve">En segunda medida </w:t>
      </w:r>
      <w:r w:rsidRPr="001A5BCA">
        <w:rPr>
          <w:rFonts w:ascii="Verdana" w:hAnsi="Verdana" w:cs="Arial"/>
          <w:color w:val="000000" w:themeColor="text1"/>
        </w:rPr>
        <w:t>el artículo 91 de la Ley 1474 de 2011 consagra una regla especial para el manejo del anticipo</w:t>
      </w:r>
      <w:r>
        <w:rPr>
          <w:rFonts w:ascii="Verdana" w:hAnsi="Verdana" w:cs="Arial"/>
          <w:color w:val="000000" w:themeColor="text1"/>
        </w:rPr>
        <w:t>, s</w:t>
      </w:r>
      <w:r w:rsidRPr="001A5BCA">
        <w:rPr>
          <w:rFonts w:ascii="Verdana" w:hAnsi="Verdana" w:cs="Arial"/>
          <w:color w:val="000000" w:themeColor="text1"/>
        </w:rPr>
        <w:t xml:space="preserve">egún esta disposición, cuando se pacte en contratos de obra, concesión o salud, que no sean de menor o mínima cuantía, o en todos aquellos que se realicen por licitación pública, el contratista tiene la </w:t>
      </w:r>
      <w:r w:rsidRPr="001A5BCA">
        <w:rPr>
          <w:rFonts w:ascii="Verdana" w:hAnsi="Verdana" w:cs="Arial"/>
          <w:color w:val="000000" w:themeColor="text1"/>
        </w:rPr>
        <w:lastRenderedPageBreak/>
        <w:t>obligación de constituir una fiducia o un patrimonio autónomo irrevocable. Lo anterior, para el manejo de los recursos desembolsados bajo el mencionado concepto, con el fin de garantizar que se destinen exclusivamente a la ejecución del contrato.</w:t>
      </w:r>
    </w:p>
    <w:p w14:paraId="4553E491" w14:textId="77777777" w:rsidR="00D42C6A" w:rsidRPr="001A5BCA" w:rsidRDefault="00D42C6A" w:rsidP="00D42C6A">
      <w:pPr>
        <w:pStyle w:val="Prrafodelista"/>
        <w:tabs>
          <w:tab w:val="left" w:pos="0"/>
          <w:tab w:val="left" w:pos="284"/>
        </w:tabs>
        <w:spacing w:after="0" w:line="276" w:lineRule="auto"/>
        <w:ind w:left="0"/>
        <w:jc w:val="both"/>
        <w:rPr>
          <w:rFonts w:ascii="Verdana" w:hAnsi="Verdana" w:cs="Arial"/>
          <w:color w:val="000000" w:themeColor="text1"/>
        </w:rPr>
      </w:pPr>
    </w:p>
    <w:p w14:paraId="7E86DA9F" w14:textId="36A88039" w:rsidR="002C1F4A" w:rsidRPr="00773D06" w:rsidRDefault="002C1F4A"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773D06">
        <w:rPr>
          <w:rFonts w:ascii="Verdana" w:hAnsi="Verdana" w:cs="Arial"/>
          <w:color w:val="000000" w:themeColor="text1"/>
        </w:rPr>
        <w:t>Para la doctrina, la figura de anticipo corresponde a la suma de dinero que la entidad estatal entrega al contratista con antelación a la iniciación de la ejecución del contrato, lo cual significa, que la entidad entrega del erario una suma desinada a la iniciación de la ejecuci</w:t>
      </w:r>
      <w:r w:rsidR="00AD6E5F" w:rsidRPr="00773D06">
        <w:rPr>
          <w:rFonts w:ascii="Verdana" w:hAnsi="Verdana" w:cs="Arial"/>
          <w:color w:val="000000" w:themeColor="text1"/>
        </w:rPr>
        <w:t>ón de la obra, bien o servicio, dinero público que se transfiere al contratista, para que sea destinada al cubrimiento de los costos en que este puede incurrir para iniciar la ejecución del objeto contractual.</w:t>
      </w:r>
      <w:r w:rsidR="00AD6E5F" w:rsidRPr="00773D06">
        <w:rPr>
          <w:rStyle w:val="Refdenotaalpie"/>
          <w:rFonts w:ascii="Verdana" w:hAnsi="Verdana" w:cs="Arial"/>
          <w:color w:val="000000" w:themeColor="text1"/>
        </w:rPr>
        <w:footnoteReference w:id="3"/>
      </w:r>
    </w:p>
    <w:p w14:paraId="57488ADA" w14:textId="77777777" w:rsidR="005469E8" w:rsidRPr="00773D06" w:rsidRDefault="005469E8" w:rsidP="005469E8">
      <w:pPr>
        <w:pStyle w:val="Prrafodelista"/>
        <w:rPr>
          <w:rFonts w:ascii="Verdana" w:hAnsi="Verdana" w:cs="Arial"/>
          <w:color w:val="000000" w:themeColor="text1"/>
        </w:rPr>
      </w:pPr>
    </w:p>
    <w:p w14:paraId="61E2DD16" w14:textId="1E9CD551" w:rsidR="005469E8" w:rsidRPr="00773D06" w:rsidRDefault="005469E8"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773D06">
        <w:rPr>
          <w:rFonts w:ascii="Verdana" w:hAnsi="Verdana" w:cs="Arial"/>
          <w:color w:val="000000" w:themeColor="text1"/>
        </w:rPr>
        <w:t xml:space="preserve">De manera similar </w:t>
      </w:r>
      <w:r w:rsidR="00CB5C98" w:rsidRPr="00773D06">
        <w:rPr>
          <w:rFonts w:ascii="Verdana" w:hAnsi="Verdana" w:cs="Arial"/>
          <w:color w:val="000000" w:themeColor="text1"/>
        </w:rPr>
        <w:t xml:space="preserve">lo señala </w:t>
      </w:r>
      <w:r w:rsidR="0012357E" w:rsidRPr="00773D06">
        <w:rPr>
          <w:rFonts w:ascii="Verdana" w:hAnsi="Verdana" w:cs="Arial"/>
          <w:color w:val="000000" w:themeColor="text1"/>
        </w:rPr>
        <w:t xml:space="preserve">Mauricio Fernando </w:t>
      </w:r>
      <w:r w:rsidR="002C74E2" w:rsidRPr="00773D06">
        <w:rPr>
          <w:rFonts w:ascii="Verdana" w:hAnsi="Verdana" w:cs="Arial"/>
          <w:color w:val="000000" w:themeColor="text1"/>
        </w:rPr>
        <w:t>Rodríguez</w:t>
      </w:r>
      <w:r w:rsidR="00CB5C98" w:rsidRPr="00773D06">
        <w:rPr>
          <w:rFonts w:ascii="Verdana" w:hAnsi="Verdana" w:cs="Arial"/>
          <w:color w:val="000000" w:themeColor="text1"/>
        </w:rPr>
        <w:t xml:space="preserve"> en su obra </w:t>
      </w:r>
      <w:r w:rsidR="0012357E" w:rsidRPr="00773D06">
        <w:rPr>
          <w:rFonts w:ascii="Verdana" w:hAnsi="Verdana" w:cs="Arial"/>
          <w:i/>
          <w:iCs/>
          <w:color w:val="000000" w:themeColor="text1"/>
        </w:rPr>
        <w:t>Los contratos estat</w:t>
      </w:r>
      <w:r w:rsidR="002C74E2" w:rsidRPr="00773D06">
        <w:rPr>
          <w:rFonts w:ascii="Verdana" w:hAnsi="Verdana" w:cs="Arial"/>
          <w:i/>
          <w:iCs/>
          <w:color w:val="000000" w:themeColor="text1"/>
        </w:rPr>
        <w:t>ales en Colombia</w:t>
      </w:r>
      <w:r w:rsidR="00CB5C98" w:rsidRPr="00773D06">
        <w:rPr>
          <w:rFonts w:ascii="Verdana" w:hAnsi="Verdana" w:cs="Arial"/>
          <w:color w:val="000000" w:themeColor="text1"/>
        </w:rPr>
        <w:t xml:space="preserve">, refiriéndose al anticipo, como aquel </w:t>
      </w:r>
      <w:r w:rsidR="00F70B95" w:rsidRPr="00773D06">
        <w:rPr>
          <w:rFonts w:ascii="Verdana" w:hAnsi="Verdana" w:cs="Arial"/>
          <w:color w:val="000000" w:themeColor="text1"/>
        </w:rPr>
        <w:t xml:space="preserve">que consiste en la entrega que le hace la administración al contratista de unos </w:t>
      </w:r>
      <w:r w:rsidR="006D098D" w:rsidRPr="00773D06">
        <w:rPr>
          <w:rFonts w:ascii="Verdana" w:hAnsi="Verdana" w:cs="Arial"/>
          <w:color w:val="000000" w:themeColor="text1"/>
        </w:rPr>
        <w:t>dineros</w:t>
      </w:r>
      <w:r w:rsidR="00F70B95" w:rsidRPr="00773D06">
        <w:rPr>
          <w:rFonts w:ascii="Verdana" w:hAnsi="Verdana" w:cs="Arial"/>
          <w:color w:val="000000" w:themeColor="text1"/>
        </w:rPr>
        <w:t xml:space="preserve"> públicos que le pert</w:t>
      </w:r>
      <w:r w:rsidR="00900909" w:rsidRPr="00773D06">
        <w:rPr>
          <w:rFonts w:ascii="Verdana" w:hAnsi="Verdana" w:cs="Arial"/>
          <w:color w:val="000000" w:themeColor="text1"/>
        </w:rPr>
        <w:t xml:space="preserve">enecen a la entidad y esa solo se desprende de ellos en calidad de préstamo para cubrir los costos iniciales del contrato con la consecuente obligación del contratista de amortizarlo a medida </w:t>
      </w:r>
      <w:r w:rsidR="006B13E5" w:rsidRPr="00773D06">
        <w:rPr>
          <w:rFonts w:ascii="Verdana" w:hAnsi="Verdana" w:cs="Arial"/>
          <w:color w:val="000000" w:themeColor="text1"/>
        </w:rPr>
        <w:t xml:space="preserve">que </w:t>
      </w:r>
      <w:r w:rsidR="0012357E" w:rsidRPr="00773D06">
        <w:rPr>
          <w:rFonts w:ascii="Verdana" w:hAnsi="Verdana" w:cs="Arial"/>
          <w:color w:val="000000" w:themeColor="text1"/>
        </w:rPr>
        <w:t>avance</w:t>
      </w:r>
      <w:r w:rsidR="006B13E5" w:rsidRPr="00773D06">
        <w:rPr>
          <w:rFonts w:ascii="Verdana" w:hAnsi="Verdana" w:cs="Arial"/>
          <w:color w:val="000000" w:themeColor="text1"/>
        </w:rPr>
        <w:t xml:space="preserve"> el contrato</w:t>
      </w:r>
      <w:r w:rsidR="006B13E5" w:rsidRPr="00773D06">
        <w:rPr>
          <w:rStyle w:val="Refdenotaalpie"/>
          <w:rFonts w:ascii="Verdana" w:hAnsi="Verdana" w:cs="Arial"/>
          <w:color w:val="000000" w:themeColor="text1"/>
        </w:rPr>
        <w:footnoteReference w:id="4"/>
      </w:r>
      <w:r w:rsidR="006B13E5" w:rsidRPr="00773D06">
        <w:rPr>
          <w:rFonts w:ascii="Verdana" w:hAnsi="Verdana" w:cs="Arial"/>
          <w:color w:val="000000" w:themeColor="text1"/>
        </w:rPr>
        <w:t xml:space="preserve">. </w:t>
      </w:r>
    </w:p>
    <w:p w14:paraId="167DFB07" w14:textId="77777777" w:rsidR="002C1F4A" w:rsidRPr="00773D06" w:rsidRDefault="002C1F4A" w:rsidP="002C1F4A">
      <w:pPr>
        <w:pStyle w:val="Prrafodelista"/>
        <w:rPr>
          <w:rFonts w:ascii="Verdana" w:hAnsi="Verdana" w:cs="Arial"/>
        </w:rPr>
      </w:pPr>
    </w:p>
    <w:p w14:paraId="7FEC7EA4" w14:textId="080DE470" w:rsidR="00AF2D1F" w:rsidRPr="00773D06" w:rsidRDefault="0093705D" w:rsidP="00AF2D1F">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773D06">
        <w:rPr>
          <w:rFonts w:ascii="Verdana" w:hAnsi="Verdana" w:cs="Arial"/>
        </w:rPr>
        <w:t xml:space="preserve">Por otro lado, </w:t>
      </w:r>
      <w:r w:rsidR="00D42C6A" w:rsidRPr="00773D06">
        <w:rPr>
          <w:rFonts w:ascii="Verdana" w:hAnsi="Verdana" w:cs="Arial"/>
        </w:rPr>
        <w:t xml:space="preserve">el Consejo de Estado ha precisado </w:t>
      </w:r>
      <w:r w:rsidR="00D76CB7" w:rsidRPr="00773D06">
        <w:rPr>
          <w:rFonts w:ascii="Verdana" w:hAnsi="Verdana" w:cs="Arial"/>
        </w:rPr>
        <w:t>la</w:t>
      </w:r>
      <w:r w:rsidR="00D42C6A" w:rsidRPr="00773D06">
        <w:rPr>
          <w:rFonts w:ascii="Verdana" w:hAnsi="Verdana" w:cs="Arial"/>
        </w:rPr>
        <w:t xml:space="preserve"> naturaleza jurídica </w:t>
      </w:r>
      <w:r w:rsidR="00AF2D1F" w:rsidRPr="00773D06">
        <w:rPr>
          <w:rFonts w:ascii="Verdana" w:hAnsi="Verdana" w:cs="Arial"/>
        </w:rPr>
        <w:t xml:space="preserve">del anticipo, </w:t>
      </w:r>
      <w:r w:rsidR="00D42C6A" w:rsidRPr="00773D06">
        <w:rPr>
          <w:rFonts w:ascii="Verdana" w:hAnsi="Verdana" w:cs="Arial"/>
        </w:rPr>
        <w:t>fijando parámetros para su aplicación</w:t>
      </w:r>
      <w:r w:rsidR="00D42C6A" w:rsidRPr="00773D06">
        <w:rPr>
          <w:rFonts w:ascii="Verdana" w:hAnsi="Verdana"/>
          <w:vertAlign w:val="superscript"/>
        </w:rPr>
        <w:footnoteReference w:id="5"/>
      </w:r>
      <w:r w:rsidRPr="00773D06">
        <w:rPr>
          <w:rFonts w:ascii="Verdana" w:hAnsi="Verdana" w:cs="Arial"/>
        </w:rPr>
        <w:t xml:space="preserve"> y </w:t>
      </w:r>
      <w:r w:rsidR="00C93D8C" w:rsidRPr="00773D06">
        <w:rPr>
          <w:rFonts w:ascii="Verdana" w:hAnsi="Verdana" w:cs="Arial"/>
        </w:rPr>
        <w:t xml:space="preserve">ha señalado respecto a </w:t>
      </w:r>
      <w:r w:rsidR="002B39C6" w:rsidRPr="00773D06">
        <w:rPr>
          <w:rFonts w:ascii="Verdana" w:hAnsi="Verdana" w:cs="Arial"/>
        </w:rPr>
        <w:t xml:space="preserve">figura </w:t>
      </w:r>
      <w:r w:rsidR="00AF2D1F" w:rsidRPr="00773D06">
        <w:rPr>
          <w:rFonts w:ascii="Verdana" w:hAnsi="Verdana" w:cs="Arial"/>
        </w:rPr>
        <w:t xml:space="preserve">lo siguiente: </w:t>
      </w:r>
    </w:p>
    <w:p w14:paraId="46D7F31B" w14:textId="77777777" w:rsidR="00AF2D1F" w:rsidRPr="00773D06" w:rsidRDefault="00AF2D1F" w:rsidP="00AF2D1F">
      <w:pPr>
        <w:pStyle w:val="Prrafodelista"/>
        <w:rPr>
          <w:rFonts w:ascii="Verdana" w:hAnsi="Verdana" w:cs="Arial"/>
          <w:color w:val="000000" w:themeColor="text1"/>
        </w:rPr>
      </w:pPr>
    </w:p>
    <w:p w14:paraId="02D52ACF" w14:textId="0D2A7389" w:rsidR="00AF2D1F" w:rsidRPr="00F850F0" w:rsidRDefault="00D92590" w:rsidP="00F850F0">
      <w:pPr>
        <w:pStyle w:val="Prrafodelista"/>
        <w:tabs>
          <w:tab w:val="left" w:pos="284"/>
          <w:tab w:val="left" w:pos="426"/>
        </w:tabs>
        <w:spacing w:after="0" w:line="240" w:lineRule="auto"/>
        <w:ind w:left="426" w:right="900"/>
        <w:jc w:val="both"/>
        <w:rPr>
          <w:rFonts w:ascii="Verdana" w:hAnsi="Verdana" w:cs="Arial"/>
          <w:color w:val="000000" w:themeColor="text1"/>
          <w:sz w:val="21"/>
          <w:szCs w:val="21"/>
        </w:rPr>
      </w:pPr>
      <w:r w:rsidRPr="00F850F0">
        <w:rPr>
          <w:rFonts w:ascii="Verdana" w:hAnsi="Verdana" w:cs="Arial"/>
          <w:color w:val="000000" w:themeColor="text1"/>
          <w:sz w:val="21"/>
          <w:szCs w:val="21"/>
        </w:rPr>
        <w:t>“</w:t>
      </w:r>
      <w:r w:rsidR="00503996" w:rsidRPr="00F850F0">
        <w:rPr>
          <w:rFonts w:ascii="Verdana" w:hAnsi="Verdana" w:cs="Arial"/>
          <w:sz w:val="21"/>
          <w:szCs w:val="21"/>
        </w:rPr>
        <w:t xml:space="preserve">En la práctica contractual administrativa con fundamento en la ley, lo usual es que la entidad pública contratante le entregue al contratista un porcentaje del valor del contrato, a título de anticipo, el cual habrá de destinarse al cubrimiento de los </w:t>
      </w:r>
      <w:r w:rsidR="00503996" w:rsidRPr="00F850F0">
        <w:rPr>
          <w:rFonts w:ascii="Verdana" w:hAnsi="Verdana" w:cs="Arial"/>
          <w:i/>
          <w:iCs/>
          <w:sz w:val="21"/>
          <w:szCs w:val="21"/>
        </w:rPr>
        <w:t xml:space="preserve">costos iniciales </w:t>
      </w:r>
      <w:r w:rsidR="00503996" w:rsidRPr="00F850F0">
        <w:rPr>
          <w:rFonts w:ascii="Verdana" w:hAnsi="Verdana" w:cs="Arial"/>
          <w:sz w:val="21"/>
          <w:szCs w:val="21"/>
        </w:rPr>
        <w:t xml:space="preserve">en que debe incurrir el contratista para la iniciación de la ejecución del objeto contratado. De </w:t>
      </w:r>
      <w:r w:rsidR="00503996" w:rsidRPr="00F850F0">
        <w:rPr>
          <w:rFonts w:ascii="Verdana" w:hAnsi="Verdana" w:cs="Arial"/>
          <w:sz w:val="21"/>
          <w:szCs w:val="21"/>
        </w:rPr>
        <w:lastRenderedPageBreak/>
        <w:t>ahí que se sostenga que es la forma de facilitarle al contratista la financiación de los bienes, servicios u obras que se le han encargado con ocasión de la celebración del contrato. Se convierte así este pago en un factor económico determinante para impulsar la ejecución del contrato</w:t>
      </w:r>
      <w:r w:rsidR="00503996" w:rsidRPr="00F850F0">
        <w:rPr>
          <w:rFonts w:ascii="Verdana" w:hAnsi="Verdana" w:cs="Arial"/>
          <w:color w:val="000000" w:themeColor="text1"/>
          <w:sz w:val="21"/>
          <w:szCs w:val="21"/>
        </w:rPr>
        <w:t>.</w:t>
      </w:r>
      <w:r w:rsidR="00CC7832" w:rsidRPr="00F850F0">
        <w:rPr>
          <w:rFonts w:ascii="Verdana" w:hAnsi="Verdana" w:cs="Arial"/>
          <w:color w:val="000000" w:themeColor="text1"/>
          <w:sz w:val="21"/>
          <w:szCs w:val="21"/>
        </w:rPr>
        <w:t>”</w:t>
      </w:r>
      <w:r w:rsidR="00CC7832" w:rsidRPr="00F850F0">
        <w:rPr>
          <w:rStyle w:val="Refdenotaalpie"/>
          <w:rFonts w:ascii="Verdana" w:hAnsi="Verdana" w:cs="Arial"/>
          <w:color w:val="000000" w:themeColor="text1"/>
          <w:sz w:val="21"/>
          <w:szCs w:val="21"/>
        </w:rPr>
        <w:footnoteReference w:id="6"/>
      </w:r>
      <w:r w:rsidR="00BC51D6" w:rsidRPr="00F850F0">
        <w:rPr>
          <w:rFonts w:ascii="Verdana" w:hAnsi="Verdana" w:cs="Arial"/>
          <w:color w:val="000000" w:themeColor="text1"/>
          <w:sz w:val="21"/>
          <w:szCs w:val="21"/>
        </w:rPr>
        <w:t xml:space="preserve"> (cursiva fuera de texto)</w:t>
      </w:r>
    </w:p>
    <w:p w14:paraId="006B410B" w14:textId="77777777" w:rsidR="0046772A" w:rsidRPr="00773D06" w:rsidRDefault="0046772A" w:rsidP="0046772A">
      <w:pPr>
        <w:pStyle w:val="Prrafodelista"/>
        <w:rPr>
          <w:rFonts w:ascii="Verdana" w:hAnsi="Verdana" w:cs="Arial"/>
        </w:rPr>
      </w:pPr>
    </w:p>
    <w:p w14:paraId="3E747866" w14:textId="6AA52F8E" w:rsidR="00D42C6A" w:rsidRPr="001A5BCA" w:rsidRDefault="00EF7FFB"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773D06">
        <w:rPr>
          <w:rFonts w:ascii="Verdana" w:hAnsi="Verdana" w:cs="Arial"/>
        </w:rPr>
        <w:t>En otra providencia señaló</w:t>
      </w:r>
      <w:r w:rsidR="00D42C6A" w:rsidRPr="00773D06">
        <w:rPr>
          <w:rFonts w:ascii="Verdana" w:hAnsi="Verdana" w:cs="Arial"/>
        </w:rPr>
        <w:t xml:space="preserve">, el Consejo de Estado </w:t>
      </w:r>
      <w:r w:rsidRPr="00773D06">
        <w:rPr>
          <w:rFonts w:ascii="Verdana" w:hAnsi="Verdana" w:cs="Arial"/>
        </w:rPr>
        <w:t xml:space="preserve">respecto </w:t>
      </w:r>
      <w:r w:rsidR="00D42C6A" w:rsidRPr="00773D06">
        <w:rPr>
          <w:rFonts w:ascii="Verdana" w:hAnsi="Verdana" w:cs="Arial"/>
        </w:rPr>
        <w:t>al anticipo</w:t>
      </w:r>
      <w:r w:rsidRPr="00773D06">
        <w:rPr>
          <w:rFonts w:ascii="Verdana" w:hAnsi="Verdana" w:cs="Arial"/>
        </w:rPr>
        <w:t xml:space="preserve"> lo siguiente</w:t>
      </w:r>
      <w:r w:rsidR="00D42C6A" w:rsidRPr="00773D06">
        <w:rPr>
          <w:rFonts w:ascii="Verdana" w:hAnsi="Verdana" w:cs="Arial"/>
        </w:rPr>
        <w:t>:</w:t>
      </w:r>
    </w:p>
    <w:p w14:paraId="153BC636" w14:textId="77777777" w:rsidR="00D42C6A" w:rsidRPr="001A5BCA" w:rsidRDefault="00D42C6A" w:rsidP="00D42C6A">
      <w:pPr>
        <w:pStyle w:val="Prrafodelista"/>
        <w:tabs>
          <w:tab w:val="left" w:pos="284"/>
        </w:tabs>
        <w:ind w:left="0"/>
        <w:rPr>
          <w:rFonts w:ascii="Verdana" w:hAnsi="Verdana" w:cs="Arial"/>
        </w:rPr>
      </w:pPr>
    </w:p>
    <w:p w14:paraId="312FC156" w14:textId="77777777" w:rsidR="00D42C6A" w:rsidRPr="001A5BCA" w:rsidRDefault="00D42C6A" w:rsidP="00D42C6A">
      <w:pPr>
        <w:pStyle w:val="Prrafodelista"/>
        <w:tabs>
          <w:tab w:val="left" w:pos="284"/>
          <w:tab w:val="left" w:pos="426"/>
        </w:tabs>
        <w:spacing w:after="0" w:line="240" w:lineRule="auto"/>
        <w:ind w:left="567" w:right="900"/>
        <w:jc w:val="both"/>
        <w:rPr>
          <w:rFonts w:ascii="Verdana" w:hAnsi="Verdana" w:cs="Arial"/>
          <w:color w:val="000000" w:themeColor="text1"/>
        </w:rPr>
      </w:pPr>
      <w:r w:rsidRPr="001A5BCA">
        <w:rPr>
          <w:rFonts w:ascii="Verdana" w:hAnsi="Verdana" w:cs="Arial"/>
          <w:color w:val="000000" w:themeColor="text1"/>
        </w:rPr>
        <w:t>“</w:t>
      </w:r>
      <w:r w:rsidRPr="00D42C6A">
        <w:rPr>
          <w:rFonts w:ascii="Verdana" w:hAnsi="Verdana" w:cs="Arial"/>
          <w:sz w:val="20"/>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1A5BCA">
        <w:rPr>
          <w:rFonts w:ascii="Verdana" w:hAnsi="Verdana" w:cs="Arial"/>
          <w:color w:val="000000" w:themeColor="text1"/>
        </w:rPr>
        <w:t>”</w:t>
      </w:r>
      <w:r w:rsidRPr="001A5BCA">
        <w:rPr>
          <w:rFonts w:ascii="Verdana" w:hAnsi="Verdana"/>
          <w:vertAlign w:val="superscript"/>
        </w:rPr>
        <w:footnoteReference w:id="7"/>
      </w:r>
      <w:r w:rsidRPr="001A5BCA">
        <w:rPr>
          <w:rFonts w:ascii="Verdana" w:hAnsi="Verdana" w:cs="Arial"/>
          <w:color w:val="000000" w:themeColor="text1"/>
        </w:rPr>
        <w:t>.</w:t>
      </w:r>
    </w:p>
    <w:p w14:paraId="3EAEF755" w14:textId="49DF975D" w:rsidR="00E049EA" w:rsidRPr="00773D06" w:rsidRDefault="00E049EA" w:rsidP="00D42C6A">
      <w:pPr>
        <w:pStyle w:val="Prrafodelista"/>
        <w:tabs>
          <w:tab w:val="left" w:pos="284"/>
        </w:tabs>
        <w:ind w:left="0"/>
        <w:rPr>
          <w:rFonts w:ascii="Verdana" w:hAnsi="Verdana" w:cs="Arial"/>
        </w:rPr>
      </w:pPr>
    </w:p>
    <w:p w14:paraId="6FA254E0" w14:textId="77777777" w:rsidR="00E049EA" w:rsidRPr="00773D06" w:rsidRDefault="00E049EA" w:rsidP="00E049E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773D06">
        <w:rPr>
          <w:rFonts w:ascii="Verdana" w:hAnsi="Verdana" w:cs="Arial"/>
          <w:color w:val="000000" w:themeColor="text1"/>
        </w:rPr>
        <w:t>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w:t>
      </w:r>
    </w:p>
    <w:p w14:paraId="419F0492" w14:textId="77777777" w:rsidR="00E049EA" w:rsidRPr="00773D06" w:rsidRDefault="00E049EA" w:rsidP="00E049EA">
      <w:pPr>
        <w:tabs>
          <w:tab w:val="left" w:pos="284"/>
        </w:tabs>
        <w:spacing w:after="0" w:line="240" w:lineRule="auto"/>
        <w:jc w:val="both"/>
        <w:rPr>
          <w:rFonts w:ascii="Verdana" w:hAnsi="Verdana" w:cs="Arial"/>
        </w:rPr>
      </w:pPr>
      <w:r w:rsidRPr="00773D06">
        <w:rPr>
          <w:rFonts w:ascii="Verdana" w:hAnsi="Verdana" w:cs="Arial"/>
          <w:color w:val="000000" w:themeColor="text1"/>
        </w:rPr>
        <w:t xml:space="preserve"> </w:t>
      </w:r>
    </w:p>
    <w:p w14:paraId="0C7F1DCC" w14:textId="77777777" w:rsidR="00E049EA" w:rsidRPr="00D3549E" w:rsidRDefault="00E049EA" w:rsidP="00E049EA">
      <w:pPr>
        <w:tabs>
          <w:tab w:val="left" w:pos="284"/>
        </w:tabs>
        <w:spacing w:after="0" w:line="240" w:lineRule="auto"/>
        <w:ind w:left="567" w:right="900"/>
        <w:jc w:val="both"/>
        <w:rPr>
          <w:rFonts w:ascii="Verdana" w:hAnsi="Verdana" w:cs="Arial"/>
          <w:sz w:val="21"/>
          <w:szCs w:val="21"/>
        </w:rPr>
      </w:pPr>
      <w:r w:rsidRPr="00D3549E">
        <w:rPr>
          <w:rFonts w:ascii="Verdana" w:hAnsi="Verdana" w:cs="Arial"/>
          <w:sz w:val="20"/>
          <w:szCs w:val="20"/>
        </w:rPr>
        <w:t xml:space="preserve">(…) </w:t>
      </w:r>
      <w:r w:rsidRPr="00773D06">
        <w:rPr>
          <w:rFonts w:ascii="Verdana" w:hAnsi="Verdana" w:cs="Arial"/>
          <w:iCs/>
          <w:sz w:val="20"/>
          <w:szCs w:val="20"/>
        </w:rPr>
        <w:t>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etc.).</w:t>
      </w:r>
      <w:r w:rsidRPr="00773D06">
        <w:rPr>
          <w:rFonts w:ascii="Verdana" w:hAnsi="Verdana" w:cs="Arial"/>
          <w:iCs/>
          <w:sz w:val="21"/>
          <w:szCs w:val="21"/>
        </w:rPr>
        <w:t xml:space="preserve"> </w:t>
      </w:r>
      <w:r w:rsidRPr="00773D06">
        <w:rPr>
          <w:rFonts w:ascii="Verdana" w:hAnsi="Verdana" w:cs="Arial"/>
          <w:iCs/>
          <w:sz w:val="20"/>
          <w:szCs w:val="20"/>
        </w:rPr>
        <w:t>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773D06">
        <w:rPr>
          <w:rFonts w:ascii="Verdana" w:hAnsi="Verdana" w:cs="Arial"/>
          <w:b/>
          <w:bCs/>
          <w:iCs/>
          <w:sz w:val="20"/>
          <w:szCs w:val="20"/>
        </w:rPr>
        <w:t xml:space="preserve">, </w:t>
      </w:r>
      <w:r w:rsidRPr="00773D06">
        <w:rPr>
          <w:rFonts w:ascii="Verdana" w:hAnsi="Verdana" w:cs="Arial"/>
          <w:iCs/>
          <w:sz w:val="20"/>
          <w:szCs w:val="20"/>
        </w:rPr>
        <w:t xml:space="preserve">por hechos del contratista que impliquen mal manejo o incorrecta inversión de los </w:t>
      </w:r>
      <w:r w:rsidRPr="00773D06">
        <w:rPr>
          <w:rFonts w:ascii="Verdana" w:hAnsi="Verdana" w:cs="Arial"/>
          <w:iCs/>
          <w:sz w:val="20"/>
          <w:szCs w:val="20"/>
        </w:rPr>
        <w:lastRenderedPageBreak/>
        <w:t>dineros de propiedad pública. Las partes contratantes, acuerdan además en el contrato, las condiciones de efectividad, la proporción con el valor del contrato, la oportunidad en que debe entregarse, la vigilancia Estatal sobre las sumas y las amortizaciones</w:t>
      </w:r>
      <w:r w:rsidRPr="00D3549E">
        <w:rPr>
          <w:rFonts w:ascii="Verdana" w:hAnsi="Verdana" w:cs="Arial"/>
          <w:sz w:val="20"/>
          <w:szCs w:val="20"/>
          <w:vertAlign w:val="superscript"/>
        </w:rPr>
        <w:footnoteReference w:id="8"/>
      </w:r>
      <w:r w:rsidRPr="00D3549E">
        <w:rPr>
          <w:rFonts w:ascii="Verdana" w:hAnsi="Verdana" w:cs="Arial"/>
          <w:sz w:val="20"/>
          <w:szCs w:val="20"/>
        </w:rPr>
        <w:t>.(…)</w:t>
      </w:r>
    </w:p>
    <w:p w14:paraId="2ABB546B" w14:textId="77777777" w:rsidR="00D42C6A" w:rsidRPr="001A5BCA" w:rsidRDefault="00D42C6A" w:rsidP="00D42C6A">
      <w:pPr>
        <w:pStyle w:val="Prrafodelista"/>
        <w:tabs>
          <w:tab w:val="left" w:pos="284"/>
        </w:tabs>
        <w:ind w:left="0"/>
        <w:rPr>
          <w:rFonts w:ascii="Verdana" w:hAnsi="Verdana" w:cs="Arial"/>
        </w:rPr>
      </w:pPr>
    </w:p>
    <w:p w14:paraId="77A38F0B" w14:textId="58B38B8F" w:rsidR="00D42C6A" w:rsidRPr="00D42C6A" w:rsidRDefault="00D42C6A"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1A5BCA">
        <w:rPr>
          <w:rFonts w:ascii="Verdana" w:hAnsi="Verdana" w:cs="Arial"/>
        </w:rPr>
        <w:t xml:space="preserve">Sobre la calidad de recurso público del anticipo, la jurisprudencia ha reiterado que </w:t>
      </w:r>
      <w:r w:rsidRPr="001A5BCA">
        <w:rPr>
          <w:rFonts w:ascii="Verdana" w:hAnsi="Verdana" w:cs="Arial"/>
          <w:color w:val="000000" w:themeColor="text1"/>
        </w:rPr>
        <w:t>“</w:t>
      </w:r>
      <w:r w:rsidRPr="001A5BCA">
        <w:rPr>
          <w:rFonts w:ascii="Verdana" w:hAnsi="Verdana" w:cs="Arial"/>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Pr="001A5BCA">
        <w:rPr>
          <w:rFonts w:ascii="Verdana" w:hAnsi="Verdana" w:cs="Arial"/>
          <w:color w:val="000000" w:themeColor="text1"/>
        </w:rPr>
        <w:t>”</w:t>
      </w:r>
      <w:r w:rsidRPr="001A5BCA">
        <w:rPr>
          <w:rFonts w:ascii="Verdana" w:hAnsi="Verdana"/>
          <w:vertAlign w:val="superscript"/>
        </w:rPr>
        <w:footnoteReference w:id="9"/>
      </w:r>
      <w:r w:rsidRPr="001A5BCA">
        <w:rPr>
          <w:rFonts w:ascii="Verdana" w:hAnsi="Verdana" w:cs="Arial"/>
        </w:rPr>
        <w:t xml:space="preserve">. </w:t>
      </w:r>
    </w:p>
    <w:p w14:paraId="7AFDE2CF" w14:textId="77777777" w:rsidR="00D42C6A" w:rsidRPr="00D42C6A" w:rsidRDefault="00D42C6A" w:rsidP="00D42C6A">
      <w:pPr>
        <w:pStyle w:val="Prrafodelista"/>
        <w:tabs>
          <w:tab w:val="left" w:pos="0"/>
          <w:tab w:val="left" w:pos="284"/>
        </w:tabs>
        <w:spacing w:after="0" w:line="276" w:lineRule="auto"/>
        <w:ind w:left="0"/>
        <w:jc w:val="both"/>
        <w:rPr>
          <w:rFonts w:ascii="Verdana" w:hAnsi="Verdana" w:cs="Arial"/>
          <w:color w:val="000000" w:themeColor="text1"/>
        </w:rPr>
      </w:pPr>
    </w:p>
    <w:p w14:paraId="231D18B1" w14:textId="6522EFB3" w:rsidR="00D42C6A" w:rsidRPr="001A5BCA" w:rsidRDefault="00D42C6A"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1A5BCA">
        <w:rPr>
          <w:rFonts w:ascii="Verdana" w:hAnsi="Verdana" w:cs="Arial"/>
        </w:rPr>
        <w:t>Igualmente, explica que el anticipo, al facilitar al contratista la financiación de los bienes y servicios que se le han encargado, es un factor determinante para impulsar la ejecución del contrato</w:t>
      </w:r>
      <w:r w:rsidRPr="001A5BCA">
        <w:rPr>
          <w:rFonts w:ascii="Verdana" w:hAnsi="Verdana"/>
          <w:vertAlign w:val="superscript"/>
        </w:rPr>
        <w:footnoteReference w:id="10"/>
      </w:r>
      <w:r w:rsidRPr="001A5BCA">
        <w:rPr>
          <w:rFonts w:ascii="Verdana" w:hAnsi="Verdana" w:cs="Arial"/>
        </w:rPr>
        <w:t>. Este también es el entendimiento de la doctrina</w:t>
      </w:r>
      <w:r w:rsidRPr="001A5BCA">
        <w:rPr>
          <w:rFonts w:ascii="Verdana" w:hAnsi="Verdana" w:cs="Arial"/>
          <w:color w:val="000000" w:themeColor="text1"/>
        </w:rPr>
        <w:t>,</w:t>
      </w:r>
      <w:r w:rsidRPr="001A5BCA">
        <w:rPr>
          <w:rFonts w:ascii="Verdana" w:hAnsi="Verdana" w:cs="Arial"/>
        </w:rPr>
        <w:t xml:space="preserve"> que ha considerado el anticipo como un dinero entregado al contratista que debe cancelarse mediante descuentos parciales, siendo una práctica común que permite impulsar la ejecución del contrato</w:t>
      </w:r>
      <w:r w:rsidRPr="001A5BCA">
        <w:rPr>
          <w:rFonts w:ascii="Verdana" w:hAnsi="Verdana"/>
          <w:vertAlign w:val="superscript"/>
        </w:rPr>
        <w:footnoteReference w:id="11"/>
      </w:r>
      <w:r w:rsidR="00B57AB2">
        <w:rPr>
          <w:rFonts w:ascii="Verdana" w:hAnsi="Verdana" w:cs="Arial"/>
        </w:rPr>
        <w:t xml:space="preserve">; a su vez ha sido entendido como </w:t>
      </w:r>
      <w:r w:rsidR="00CA665F">
        <w:rPr>
          <w:rFonts w:ascii="Verdana" w:hAnsi="Verdana" w:cs="Arial"/>
        </w:rPr>
        <w:t xml:space="preserve">una herramienta de apalancamiento </w:t>
      </w:r>
      <w:r w:rsidR="003D74E4">
        <w:rPr>
          <w:rFonts w:ascii="Verdana" w:hAnsi="Verdana" w:cs="Arial"/>
        </w:rPr>
        <w:t>financiero por parte del estado al contratista</w:t>
      </w:r>
      <w:r w:rsidR="001F1F36">
        <w:rPr>
          <w:rFonts w:ascii="Verdana" w:hAnsi="Verdana" w:cs="Arial"/>
        </w:rPr>
        <w:t xml:space="preserve">, para que este pueda </w:t>
      </w:r>
      <w:r w:rsidR="00906181">
        <w:rPr>
          <w:rFonts w:ascii="Verdana" w:hAnsi="Verdana" w:cs="Arial"/>
        </w:rPr>
        <w:t xml:space="preserve">hallar solvencia </w:t>
      </w:r>
      <w:r w:rsidR="00D3549E">
        <w:rPr>
          <w:rFonts w:ascii="Verdana" w:hAnsi="Verdana" w:cs="Arial"/>
        </w:rPr>
        <w:t>e</w:t>
      </w:r>
      <w:r w:rsidR="000A7EDE">
        <w:rPr>
          <w:rFonts w:ascii="Verdana" w:hAnsi="Verdana" w:cs="Arial"/>
        </w:rPr>
        <w:t xml:space="preserve"> </w:t>
      </w:r>
      <w:r w:rsidR="00D3549E">
        <w:rPr>
          <w:rFonts w:ascii="Verdana" w:hAnsi="Verdana" w:cs="Arial"/>
        </w:rPr>
        <w:t>iniciar</w:t>
      </w:r>
      <w:r w:rsidR="00B259FF">
        <w:rPr>
          <w:rFonts w:ascii="Verdana" w:hAnsi="Verdana" w:cs="Arial"/>
        </w:rPr>
        <w:t xml:space="preserve"> las actividades </w:t>
      </w:r>
      <w:r w:rsidR="00833D95">
        <w:rPr>
          <w:rFonts w:ascii="Verdana" w:hAnsi="Verdana" w:cs="Arial"/>
        </w:rPr>
        <w:t>estipuladas e</w:t>
      </w:r>
      <w:r w:rsidR="00E92606">
        <w:rPr>
          <w:rFonts w:ascii="Verdana" w:hAnsi="Verdana" w:cs="Arial"/>
        </w:rPr>
        <w:t xml:space="preserve">n desarrollo del </w:t>
      </w:r>
      <w:r w:rsidR="005D3A98">
        <w:rPr>
          <w:rFonts w:ascii="Verdana" w:hAnsi="Verdana" w:cs="Arial"/>
        </w:rPr>
        <w:t>objeto contractual</w:t>
      </w:r>
      <w:r w:rsidR="0062187C">
        <w:rPr>
          <w:rStyle w:val="Refdenotaalpie"/>
          <w:rFonts w:ascii="Verdana" w:hAnsi="Verdana" w:cs="Arial"/>
        </w:rPr>
        <w:footnoteReference w:id="12"/>
      </w:r>
      <w:r w:rsidR="00A765F5">
        <w:rPr>
          <w:rFonts w:ascii="Verdana" w:hAnsi="Verdana" w:cs="Arial"/>
        </w:rPr>
        <w:t>.</w:t>
      </w:r>
      <w:r w:rsidR="00BA0AF3">
        <w:rPr>
          <w:rFonts w:ascii="Verdana" w:hAnsi="Verdana" w:cs="Arial"/>
        </w:rPr>
        <w:t xml:space="preserve"> </w:t>
      </w:r>
      <w:r w:rsidRPr="00773D06">
        <w:rPr>
          <w:rFonts w:ascii="Verdana" w:hAnsi="Verdana" w:cs="Arial"/>
        </w:rPr>
        <w:t xml:space="preserve"> </w:t>
      </w:r>
    </w:p>
    <w:p w14:paraId="249B8E91" w14:textId="77777777" w:rsidR="00D42C6A" w:rsidRPr="001A5BCA" w:rsidRDefault="00D42C6A" w:rsidP="00145585">
      <w:pPr>
        <w:pStyle w:val="Prrafodelista"/>
        <w:rPr>
          <w:rFonts w:ascii="Verdana" w:hAnsi="Verdana" w:cs="Arial"/>
          <w:color w:val="000000" w:themeColor="text1"/>
        </w:rPr>
      </w:pPr>
    </w:p>
    <w:p w14:paraId="0262759B" w14:textId="59F2C501" w:rsidR="00145585" w:rsidRPr="005B3D15" w:rsidRDefault="00145585"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5B3D15">
        <w:rPr>
          <w:rFonts w:ascii="Verdana" w:hAnsi="Verdana" w:cs="Arial"/>
          <w:color w:val="000000" w:themeColor="text1"/>
        </w:rPr>
        <w:t>En línea con lo expuesto, se acude a lo referenciado por parte de</w:t>
      </w:r>
      <w:r w:rsidR="005B3D15" w:rsidRPr="005B3D15">
        <w:rPr>
          <w:rFonts w:ascii="Verdana" w:hAnsi="Verdana" w:cs="Arial"/>
          <w:color w:val="000000" w:themeColor="text1"/>
        </w:rPr>
        <w:t xml:space="preserve">l Tratadista Dávila Vinueza </w:t>
      </w:r>
      <w:r w:rsidR="00D3549E" w:rsidRPr="005B3D15">
        <w:rPr>
          <w:rFonts w:ascii="Verdana" w:hAnsi="Verdana" w:cs="Arial"/>
          <w:color w:val="000000" w:themeColor="text1"/>
        </w:rPr>
        <w:t>que,</w:t>
      </w:r>
      <w:r w:rsidR="005B3D15" w:rsidRPr="005B3D15">
        <w:rPr>
          <w:rFonts w:ascii="Verdana" w:hAnsi="Verdana" w:cs="Arial"/>
          <w:color w:val="000000" w:themeColor="text1"/>
        </w:rPr>
        <w:t xml:space="preserve"> al referirse a la cláusula accidental de anticipo, precisa que </w:t>
      </w:r>
      <w:r w:rsidR="005B3D15" w:rsidRPr="005B3D15">
        <w:rPr>
          <w:rFonts w:ascii="Verdana" w:hAnsi="Verdana" w:cs="Arial"/>
          <w:color w:val="000000" w:themeColor="text1"/>
        </w:rPr>
        <w:lastRenderedPageBreak/>
        <w:t>usualmente se emplea para la adquisición de maquinaria, congelación de precios de materiales, realización de labores necesarias y previas a la ejecución del contrato, dando una precisión respecto a la condición previa a las actividades que tenga a su cargo el contratista.</w:t>
      </w:r>
      <w:r w:rsidR="005B3D15">
        <w:rPr>
          <w:rStyle w:val="Refdenotaalpie"/>
          <w:rFonts w:ascii="Verdana" w:hAnsi="Verdana" w:cs="Arial"/>
          <w:color w:val="000000" w:themeColor="text1"/>
        </w:rPr>
        <w:footnoteReference w:id="13"/>
      </w:r>
      <w:r w:rsidR="005B3D15" w:rsidRPr="005B3D15">
        <w:rPr>
          <w:rFonts w:ascii="Verdana" w:hAnsi="Verdana" w:cs="Arial"/>
          <w:color w:val="000000" w:themeColor="text1"/>
        </w:rPr>
        <w:t xml:space="preserve"> </w:t>
      </w:r>
    </w:p>
    <w:p w14:paraId="084A2F2D" w14:textId="77777777" w:rsidR="0005010E" w:rsidRPr="00773D06" w:rsidRDefault="0005010E" w:rsidP="0005010E">
      <w:pPr>
        <w:pStyle w:val="Prrafodelista"/>
        <w:rPr>
          <w:rFonts w:ascii="Verdana" w:hAnsi="Verdana" w:cs="Arial"/>
          <w:color w:val="000000" w:themeColor="text1"/>
        </w:rPr>
      </w:pPr>
    </w:p>
    <w:p w14:paraId="3D4AA95E" w14:textId="58065E1A" w:rsidR="00382770" w:rsidRDefault="004B69C8"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 xml:space="preserve">A su vez en sentencia del </w:t>
      </w:r>
      <w:r w:rsidR="0061403F">
        <w:rPr>
          <w:rFonts w:ascii="Verdana" w:hAnsi="Verdana" w:cs="Arial"/>
          <w:color w:val="000000" w:themeColor="text1"/>
        </w:rPr>
        <w:t xml:space="preserve">19 </w:t>
      </w:r>
      <w:r w:rsidR="00A075C2">
        <w:rPr>
          <w:rFonts w:ascii="Verdana" w:hAnsi="Verdana" w:cs="Arial"/>
          <w:color w:val="000000" w:themeColor="text1"/>
        </w:rPr>
        <w:t xml:space="preserve">de marzo </w:t>
      </w:r>
      <w:r w:rsidR="00BE146B">
        <w:rPr>
          <w:rFonts w:ascii="Verdana" w:hAnsi="Verdana" w:cs="Arial"/>
          <w:color w:val="000000" w:themeColor="text1"/>
        </w:rPr>
        <w:t xml:space="preserve">de 2021, </w:t>
      </w:r>
      <w:r w:rsidR="00AD1552">
        <w:rPr>
          <w:rFonts w:ascii="Verdana" w:hAnsi="Verdana" w:cs="Arial"/>
          <w:color w:val="000000" w:themeColor="text1"/>
        </w:rPr>
        <w:t xml:space="preserve">expediente </w:t>
      </w:r>
      <w:r w:rsidR="00DC60F0">
        <w:rPr>
          <w:rFonts w:ascii="Verdana" w:hAnsi="Verdana" w:cs="Arial"/>
          <w:color w:val="000000" w:themeColor="text1"/>
        </w:rPr>
        <w:t>42.</w:t>
      </w:r>
      <w:r w:rsidR="00A91F17">
        <w:rPr>
          <w:rFonts w:ascii="Verdana" w:hAnsi="Verdana" w:cs="Arial"/>
          <w:color w:val="000000" w:themeColor="text1"/>
        </w:rPr>
        <w:t xml:space="preserve">135, se </w:t>
      </w:r>
      <w:r w:rsidR="00C348FB">
        <w:rPr>
          <w:rFonts w:ascii="Verdana" w:hAnsi="Verdana" w:cs="Arial"/>
          <w:color w:val="000000" w:themeColor="text1"/>
        </w:rPr>
        <w:t xml:space="preserve">indicó frente a la naturaleza del anticipo, lo siguiente: </w:t>
      </w:r>
    </w:p>
    <w:p w14:paraId="2724A204" w14:textId="77777777" w:rsidR="00C348FB" w:rsidRPr="00C348FB" w:rsidRDefault="00C348FB" w:rsidP="00C348FB">
      <w:pPr>
        <w:pStyle w:val="Prrafodelista"/>
        <w:rPr>
          <w:rFonts w:ascii="Verdana" w:hAnsi="Verdana" w:cs="Arial"/>
          <w:color w:val="000000" w:themeColor="text1"/>
        </w:rPr>
      </w:pPr>
    </w:p>
    <w:p w14:paraId="62064F7F" w14:textId="4CDE650B" w:rsidR="00C348FB" w:rsidRPr="00C348FB" w:rsidRDefault="00C348FB" w:rsidP="00C348FB">
      <w:pPr>
        <w:pStyle w:val="Prrafodelista"/>
        <w:tabs>
          <w:tab w:val="left" w:pos="284"/>
          <w:tab w:val="left" w:pos="567"/>
        </w:tabs>
        <w:spacing w:after="0" w:line="240" w:lineRule="auto"/>
        <w:ind w:left="567" w:right="758"/>
        <w:jc w:val="both"/>
        <w:rPr>
          <w:rFonts w:ascii="Verdana" w:hAnsi="Verdana" w:cs="Arial"/>
          <w:bCs/>
          <w:sz w:val="20"/>
          <w:szCs w:val="20"/>
          <w:lang w:val="es-CO"/>
        </w:rPr>
      </w:pPr>
      <w:r w:rsidRPr="00C348FB">
        <w:rPr>
          <w:rFonts w:ascii="Verdana" w:hAnsi="Verdana" w:cs="Arial"/>
          <w:bCs/>
          <w:sz w:val="20"/>
          <w:szCs w:val="20"/>
          <w:lang w:val="es-CO"/>
        </w:rPr>
        <w:t>“Por otra parte, la jurisprudencia ha indicado en anteriores oportunidades</w:t>
      </w:r>
      <w:r w:rsidR="008E4EC0">
        <w:rPr>
          <w:rStyle w:val="Refdenotaalpie"/>
          <w:rFonts w:ascii="Verdana" w:hAnsi="Verdana" w:cs="Arial"/>
          <w:bCs/>
          <w:sz w:val="20"/>
          <w:szCs w:val="20"/>
          <w:lang w:val="es-CO"/>
        </w:rPr>
        <w:footnoteReference w:id="14"/>
      </w:r>
      <w:r w:rsidRPr="00C348FB">
        <w:rPr>
          <w:rFonts w:ascii="Verdana" w:hAnsi="Verdana" w:cs="Arial"/>
          <w:bCs/>
          <w:sz w:val="20"/>
          <w:szCs w:val="20"/>
          <w:lang w:val="es-CO"/>
        </w:rPr>
        <w:t xml:space="preserve">, que el anticipo es el recurso o suma correspondiente a un porcentaje del valor total del contrato, </w:t>
      </w:r>
      <w:r w:rsidRPr="00B324F3">
        <w:rPr>
          <w:rFonts w:ascii="Verdana" w:hAnsi="Verdana" w:cs="Arial"/>
          <w:bCs/>
          <w:i/>
          <w:iCs/>
          <w:sz w:val="20"/>
          <w:szCs w:val="20"/>
          <w:lang w:val="es-CO"/>
        </w:rPr>
        <w:t>pactado como contraprestación,</w:t>
      </w:r>
      <w:r w:rsidRPr="00C348FB">
        <w:rPr>
          <w:rFonts w:ascii="Verdana" w:hAnsi="Verdana" w:cs="Arial"/>
          <w:bCs/>
          <w:sz w:val="20"/>
          <w:szCs w:val="20"/>
          <w:lang w:val="es-CO"/>
        </w:rPr>
        <w:t xml:space="preserve">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debe ser debidamente amortizado en el plazo y la forma pactada por las partes. El monto del anticipo no tiene una causación inmediata, es decir, si bien el contratista tiene derecho al pago convenido del mismo, aquel se entiende causado gradualmente en la medida en que el contratista ejecute el contrato.</w:t>
      </w:r>
      <w:r>
        <w:rPr>
          <w:rFonts w:ascii="Verdana" w:hAnsi="Verdana" w:cs="Arial"/>
          <w:bCs/>
          <w:sz w:val="20"/>
          <w:szCs w:val="20"/>
          <w:lang w:val="es-CO"/>
        </w:rPr>
        <w:t>”</w:t>
      </w:r>
      <w:r w:rsidR="00937FBA">
        <w:rPr>
          <w:rStyle w:val="Refdenotaalpie"/>
          <w:rFonts w:ascii="Verdana" w:hAnsi="Verdana" w:cs="Arial"/>
          <w:bCs/>
          <w:sz w:val="20"/>
          <w:szCs w:val="20"/>
          <w:lang w:val="es-CO"/>
        </w:rPr>
        <w:footnoteReference w:id="15"/>
      </w:r>
      <w:r w:rsidR="00B324F3">
        <w:rPr>
          <w:rFonts w:ascii="Verdana" w:hAnsi="Verdana" w:cs="Arial"/>
          <w:bCs/>
          <w:sz w:val="20"/>
          <w:szCs w:val="20"/>
          <w:lang w:val="es-CO"/>
        </w:rPr>
        <w:t xml:space="preserve"> (Énfasis fuera de texto)</w:t>
      </w:r>
    </w:p>
    <w:p w14:paraId="74505728" w14:textId="77777777" w:rsidR="00382770" w:rsidRPr="00382770" w:rsidRDefault="00382770" w:rsidP="00382770">
      <w:pPr>
        <w:pStyle w:val="Prrafodelista"/>
        <w:rPr>
          <w:rFonts w:ascii="Verdana" w:hAnsi="Verdana" w:cs="Arial"/>
          <w:color w:val="000000" w:themeColor="text1"/>
        </w:rPr>
      </w:pPr>
    </w:p>
    <w:p w14:paraId="1D4C0435" w14:textId="20CC3527" w:rsidR="0005010E" w:rsidRPr="00773D06" w:rsidRDefault="0005010E" w:rsidP="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773D06">
        <w:rPr>
          <w:rFonts w:ascii="Verdana" w:hAnsi="Verdana" w:cs="Arial"/>
          <w:color w:val="000000" w:themeColor="text1"/>
        </w:rPr>
        <w:t xml:space="preserve">Como otra de las características que ha tenido la figura de anticipo en los contratos celebrados por parte de las entidades sometidas al </w:t>
      </w:r>
      <w:r w:rsidR="00BB3F91">
        <w:rPr>
          <w:rFonts w:ascii="Verdana" w:hAnsi="Verdana" w:cs="Arial"/>
          <w:color w:val="000000" w:themeColor="text1"/>
        </w:rPr>
        <w:t>EGCAP</w:t>
      </w:r>
      <w:r w:rsidR="00F47A0D">
        <w:rPr>
          <w:rFonts w:ascii="Verdana" w:hAnsi="Verdana" w:cs="Arial"/>
          <w:color w:val="000000" w:themeColor="text1"/>
        </w:rPr>
        <w:t>,</w:t>
      </w:r>
      <w:r w:rsidRPr="00773D06">
        <w:rPr>
          <w:rFonts w:ascii="Verdana" w:hAnsi="Verdana" w:cs="Arial"/>
          <w:color w:val="000000" w:themeColor="text1"/>
        </w:rPr>
        <w:t xml:space="preserve"> ha sido la señalada en </w:t>
      </w:r>
      <w:r w:rsidR="00005AAD" w:rsidRPr="00773D06">
        <w:rPr>
          <w:rFonts w:ascii="Verdana" w:hAnsi="Verdana" w:cs="Arial"/>
          <w:color w:val="000000" w:themeColor="text1"/>
        </w:rPr>
        <w:t xml:space="preserve">la sentencia del </w:t>
      </w:r>
      <w:r w:rsidR="009370D1" w:rsidRPr="00773D06">
        <w:rPr>
          <w:rFonts w:ascii="Verdana" w:hAnsi="Verdana" w:cs="Arial"/>
          <w:color w:val="000000" w:themeColor="text1"/>
        </w:rPr>
        <w:t xml:space="preserve">13 de abril de </w:t>
      </w:r>
      <w:r w:rsidR="006E32DF" w:rsidRPr="00773D06">
        <w:rPr>
          <w:rFonts w:ascii="Verdana" w:hAnsi="Verdana" w:cs="Arial"/>
          <w:color w:val="000000" w:themeColor="text1"/>
        </w:rPr>
        <w:t xml:space="preserve">2023, expediente </w:t>
      </w:r>
      <w:r w:rsidR="00E47EA9" w:rsidRPr="00773D06">
        <w:rPr>
          <w:rFonts w:ascii="Verdana" w:hAnsi="Verdana" w:cs="Arial"/>
          <w:color w:val="000000" w:themeColor="text1"/>
        </w:rPr>
        <w:t xml:space="preserve">66.712, en donde se precisa: </w:t>
      </w:r>
    </w:p>
    <w:p w14:paraId="570BA438" w14:textId="77777777" w:rsidR="00625A78" w:rsidRDefault="00625A78" w:rsidP="00773D06">
      <w:pPr>
        <w:spacing w:after="0" w:line="360" w:lineRule="auto"/>
        <w:ind w:left="567" w:right="616"/>
        <w:jc w:val="both"/>
        <w:rPr>
          <w:rFonts w:ascii="Verdana" w:hAnsi="Verdana" w:cs="Arial"/>
          <w:bCs/>
          <w:sz w:val="20"/>
          <w:szCs w:val="20"/>
        </w:rPr>
      </w:pPr>
    </w:p>
    <w:p w14:paraId="78481E09" w14:textId="3CEC79DB" w:rsidR="00773D06" w:rsidRPr="00773D06" w:rsidRDefault="00773D06" w:rsidP="00773D06">
      <w:pPr>
        <w:spacing w:after="0" w:line="360" w:lineRule="auto"/>
        <w:ind w:left="567" w:right="616"/>
        <w:jc w:val="both"/>
        <w:rPr>
          <w:rFonts w:ascii="Verdana" w:hAnsi="Verdana" w:cs="Arial"/>
          <w:bCs/>
          <w:sz w:val="20"/>
          <w:szCs w:val="20"/>
        </w:rPr>
      </w:pPr>
      <w:r w:rsidRPr="00773D06">
        <w:rPr>
          <w:rFonts w:ascii="Verdana" w:hAnsi="Verdana" w:cs="Arial"/>
          <w:bCs/>
          <w:sz w:val="20"/>
          <w:szCs w:val="20"/>
        </w:rPr>
        <w:t xml:space="preserve">(…) </w:t>
      </w:r>
    </w:p>
    <w:p w14:paraId="72A11F91" w14:textId="3DB75EDA" w:rsidR="00773D06" w:rsidRPr="00773D06" w:rsidRDefault="00773D06" w:rsidP="00773D06">
      <w:pPr>
        <w:spacing w:after="0" w:line="240" w:lineRule="auto"/>
        <w:ind w:left="567" w:right="616"/>
        <w:jc w:val="both"/>
        <w:rPr>
          <w:rFonts w:ascii="Verdana" w:hAnsi="Verdana" w:cs="Arial"/>
          <w:bCs/>
          <w:iCs/>
          <w:sz w:val="20"/>
          <w:szCs w:val="20"/>
          <w:lang w:val="es-ES_tradnl"/>
        </w:rPr>
      </w:pPr>
      <w:r w:rsidRPr="00773D06">
        <w:rPr>
          <w:rFonts w:ascii="Verdana" w:hAnsi="Verdana" w:cs="Arial"/>
          <w:bCs/>
          <w:sz w:val="20"/>
          <w:szCs w:val="20"/>
        </w:rPr>
        <w:t xml:space="preserve">El anticipo es una cláusula accidental (art. 1501 CC) en virtud de la cual se entrega una suma de dinero al contratista cuando aún no se ha prestado el servicio convenido, </w:t>
      </w:r>
      <w:r w:rsidRPr="00F47A0D">
        <w:rPr>
          <w:rFonts w:ascii="Verdana" w:hAnsi="Verdana" w:cs="Arial"/>
          <w:bCs/>
          <w:i/>
          <w:iCs/>
          <w:sz w:val="20"/>
          <w:szCs w:val="20"/>
        </w:rPr>
        <w:t>con el fin de financiarlo</w:t>
      </w:r>
      <w:r w:rsidRPr="00773D06">
        <w:rPr>
          <w:rStyle w:val="Refdenotaalpie"/>
          <w:rFonts w:ascii="Verdana" w:hAnsi="Verdana" w:cs="Arial"/>
          <w:bCs/>
          <w:sz w:val="20"/>
          <w:szCs w:val="20"/>
        </w:rPr>
        <w:footnoteReference w:id="16"/>
      </w:r>
      <w:r w:rsidRPr="00773D06">
        <w:rPr>
          <w:rFonts w:ascii="Verdana" w:hAnsi="Verdana" w:cs="Arial"/>
          <w:bCs/>
          <w:sz w:val="20"/>
          <w:szCs w:val="20"/>
        </w:rPr>
        <w:t xml:space="preserve">. </w:t>
      </w:r>
      <w:r w:rsidRPr="00773D06">
        <w:rPr>
          <w:rFonts w:ascii="Verdana" w:hAnsi="Verdana" w:cs="Arial"/>
          <w:bCs/>
          <w:iCs/>
          <w:sz w:val="20"/>
          <w:szCs w:val="20"/>
          <w:lang w:val="es-ES_tradnl"/>
        </w:rPr>
        <w:t xml:space="preserve">Pagar el anticipo es una obligación contraída por la entidad estatal y un derecho para el contratista (art. 1602 CC). En consecuencia, ante el incumplimiento, el contratante </w:t>
      </w:r>
      <w:r w:rsidRPr="00773D06">
        <w:rPr>
          <w:rFonts w:ascii="Verdana" w:hAnsi="Verdana" w:cs="Arial"/>
          <w:bCs/>
          <w:iCs/>
          <w:sz w:val="20"/>
          <w:szCs w:val="20"/>
          <w:lang w:val="es-ES_tradnl"/>
        </w:rPr>
        <w:lastRenderedPageBreak/>
        <w:t>cumplido está legitimado para exigir el pago con la indemnización de perjuicios. Ante el acuerdo mutuo de plazo o término para el pago del anticipo, el deudor que no paga en la oportunidad debida incurre en mora (art. 1608 y 1617 CC).</w:t>
      </w:r>
      <w:r w:rsidR="00ED2888">
        <w:rPr>
          <w:rStyle w:val="Refdenotaalpie"/>
          <w:rFonts w:ascii="Verdana" w:hAnsi="Verdana" w:cs="Arial"/>
          <w:bCs/>
          <w:iCs/>
          <w:sz w:val="20"/>
          <w:szCs w:val="20"/>
          <w:lang w:val="es-ES_tradnl"/>
        </w:rPr>
        <w:footnoteReference w:id="17"/>
      </w:r>
      <w:r>
        <w:rPr>
          <w:rFonts w:ascii="Verdana" w:hAnsi="Verdana" w:cs="Arial"/>
          <w:bCs/>
          <w:iCs/>
          <w:sz w:val="20"/>
          <w:szCs w:val="20"/>
          <w:lang w:val="es-ES_tradnl"/>
        </w:rPr>
        <w:t xml:space="preserve"> (…)</w:t>
      </w:r>
      <w:r w:rsidR="00F47A0D">
        <w:rPr>
          <w:rFonts w:ascii="Verdana" w:hAnsi="Verdana" w:cs="Arial"/>
          <w:bCs/>
          <w:iCs/>
          <w:sz w:val="20"/>
          <w:szCs w:val="20"/>
          <w:lang w:val="es-ES_tradnl"/>
        </w:rPr>
        <w:t xml:space="preserve"> (Cursiva fuera de texto)</w:t>
      </w:r>
    </w:p>
    <w:p w14:paraId="6581E362" w14:textId="2908BB9F" w:rsidR="00625A78" w:rsidRDefault="00625A78" w:rsidP="00382770">
      <w:pPr>
        <w:pStyle w:val="Prrafodelista"/>
        <w:tabs>
          <w:tab w:val="left" w:pos="0"/>
          <w:tab w:val="left" w:pos="284"/>
        </w:tabs>
        <w:spacing w:after="0" w:line="276" w:lineRule="auto"/>
        <w:ind w:left="0"/>
        <w:jc w:val="both"/>
        <w:rPr>
          <w:rFonts w:ascii="Verdana" w:hAnsi="Verdana" w:cs="Arial"/>
          <w:color w:val="000000" w:themeColor="text1"/>
        </w:rPr>
      </w:pPr>
    </w:p>
    <w:p w14:paraId="74B8AFEE" w14:textId="55B54E4D" w:rsidR="00D42C6A" w:rsidRPr="001A5BCA" w:rsidRDefault="00D42C6A">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1A5BCA">
        <w:rPr>
          <w:rFonts w:ascii="Verdana" w:hAnsi="Verdana" w:cs="Arial"/>
          <w:color w:val="000000" w:themeColor="text1"/>
        </w:rPr>
        <w:t>Así, de acuerdo con las consideraciones de la jurisprudencia y la doctrina, el anticipo</w:t>
      </w:r>
      <w:r w:rsidR="00F47A0D">
        <w:rPr>
          <w:rFonts w:ascii="Verdana" w:hAnsi="Verdana" w:cs="Arial"/>
          <w:color w:val="000000" w:themeColor="text1"/>
        </w:rPr>
        <w:t>, es una cláusula accidental dentro del contrato estatal,</w:t>
      </w:r>
      <w:r w:rsidRPr="00773D06">
        <w:rPr>
          <w:rFonts w:ascii="Verdana" w:hAnsi="Verdana" w:cs="Arial"/>
          <w:color w:val="000000" w:themeColor="text1"/>
        </w:rPr>
        <w:t xml:space="preserve"> </w:t>
      </w:r>
      <w:r w:rsidR="00F47A0D">
        <w:rPr>
          <w:rFonts w:ascii="Verdana" w:hAnsi="Verdana" w:cs="Arial"/>
          <w:color w:val="000000" w:themeColor="text1"/>
        </w:rPr>
        <w:t xml:space="preserve">en donde se establece una </w:t>
      </w:r>
      <w:r w:rsidRPr="00773D06">
        <w:rPr>
          <w:rFonts w:ascii="Verdana" w:hAnsi="Verdana" w:cs="Arial"/>
        </w:rPr>
        <w:t xml:space="preserve">suma de dinero </w:t>
      </w:r>
      <w:r w:rsidR="00F47A0D">
        <w:rPr>
          <w:rFonts w:ascii="Verdana" w:hAnsi="Verdana" w:cs="Arial"/>
        </w:rPr>
        <w:t>que se entrega</w:t>
      </w:r>
      <w:r w:rsidRPr="001A5BCA">
        <w:rPr>
          <w:rFonts w:ascii="Verdana" w:hAnsi="Verdana" w:cs="Arial"/>
        </w:rPr>
        <w:t xml:space="preserve"> al contratista con la finalidad de apalancarlo financieramente para solventar los costos </w:t>
      </w:r>
      <w:r w:rsidR="005B5ED0" w:rsidRPr="00773D06">
        <w:rPr>
          <w:rFonts w:ascii="Verdana" w:hAnsi="Verdana" w:cs="Arial"/>
        </w:rPr>
        <w:t xml:space="preserve">iniciales </w:t>
      </w:r>
      <w:r w:rsidRPr="001A5BCA">
        <w:rPr>
          <w:rFonts w:ascii="Verdana" w:hAnsi="Verdana" w:cs="Arial"/>
        </w:rPr>
        <w:t>de la ejecución del contrato. Este dinero debe amortizarse de acuerdo con el avance en la ejecución</w:t>
      </w:r>
      <w:r w:rsidR="00B07D52" w:rsidRPr="00773D06">
        <w:rPr>
          <w:rFonts w:ascii="Verdana" w:hAnsi="Verdana" w:cs="Arial"/>
        </w:rPr>
        <w:t>,</w:t>
      </w:r>
      <w:r w:rsidRPr="00773D06">
        <w:rPr>
          <w:rFonts w:ascii="Verdana" w:hAnsi="Verdana" w:cs="Arial"/>
        </w:rPr>
        <w:t xml:space="preserve"> </w:t>
      </w:r>
      <w:r w:rsidR="00B07D52" w:rsidRPr="00773D06">
        <w:rPr>
          <w:rFonts w:ascii="Verdana" w:hAnsi="Verdana" w:cs="Arial"/>
        </w:rPr>
        <w:t>d</w:t>
      </w:r>
      <w:r w:rsidRPr="00773D06">
        <w:rPr>
          <w:rFonts w:ascii="Verdana" w:hAnsi="Verdana" w:cs="Arial"/>
        </w:rPr>
        <w:t>e</w:t>
      </w:r>
      <w:r w:rsidRPr="001A5BCA">
        <w:rPr>
          <w:rFonts w:ascii="Verdana" w:hAnsi="Verdana" w:cs="Arial"/>
        </w:rPr>
        <w:t xml:space="preserve"> esta forma, los recursos entregados a título de anticipo son del erario, razón por la que debe garantizarse su buen manejo y correcta inversión.</w:t>
      </w:r>
      <w:r w:rsidRPr="00773D06">
        <w:rPr>
          <w:rFonts w:ascii="Verdana" w:hAnsi="Verdana" w:cs="Arial"/>
        </w:rPr>
        <w:t xml:space="preserve"> </w:t>
      </w:r>
    </w:p>
    <w:p w14:paraId="7D151B73" w14:textId="77777777" w:rsidR="00D42C6A" w:rsidRPr="001A5BCA" w:rsidRDefault="00D42C6A" w:rsidP="00D42C6A">
      <w:pPr>
        <w:tabs>
          <w:tab w:val="left" w:pos="284"/>
        </w:tabs>
        <w:spacing w:after="0" w:line="240" w:lineRule="auto"/>
        <w:ind w:right="709"/>
        <w:jc w:val="both"/>
        <w:rPr>
          <w:rFonts w:ascii="Verdana" w:hAnsi="Verdana" w:cs="Arial"/>
          <w:sz w:val="21"/>
          <w:szCs w:val="21"/>
        </w:rPr>
      </w:pPr>
    </w:p>
    <w:p w14:paraId="2DCAF673" w14:textId="26D3FECB" w:rsidR="00D42C6A" w:rsidRPr="001A5BCA" w:rsidRDefault="00B07D52" w:rsidP="00D42C6A">
      <w:pPr>
        <w:pStyle w:val="Prrafodelista"/>
        <w:numPr>
          <w:ilvl w:val="0"/>
          <w:numId w:val="19"/>
        </w:numPr>
        <w:tabs>
          <w:tab w:val="left" w:pos="0"/>
          <w:tab w:val="left" w:pos="284"/>
        </w:tabs>
        <w:spacing w:line="276" w:lineRule="auto"/>
        <w:ind w:left="0" w:firstLine="0"/>
        <w:jc w:val="both"/>
        <w:rPr>
          <w:rFonts w:ascii="Verdana" w:hAnsi="Verdana" w:cs="Arial"/>
        </w:rPr>
      </w:pPr>
      <w:r w:rsidRPr="00773D06">
        <w:rPr>
          <w:rFonts w:ascii="Verdana" w:hAnsi="Verdana" w:cs="Arial"/>
        </w:rPr>
        <w:t xml:space="preserve">De lo anterior, se </w:t>
      </w:r>
      <w:r w:rsidR="003E4D66" w:rsidRPr="00773D06">
        <w:rPr>
          <w:rFonts w:ascii="Verdana" w:hAnsi="Verdana" w:cs="Arial"/>
        </w:rPr>
        <w:t>precisa que l</w:t>
      </w:r>
      <w:r w:rsidR="00D42C6A" w:rsidRPr="00773D06">
        <w:rPr>
          <w:rFonts w:ascii="Verdana" w:hAnsi="Verdana" w:cs="Arial"/>
        </w:rPr>
        <w:t>as</w:t>
      </w:r>
      <w:r w:rsidR="00D42C6A" w:rsidRPr="001A5BCA">
        <w:rPr>
          <w:rFonts w:ascii="Verdana" w:hAnsi="Verdana" w:cs="Arial"/>
        </w:rPr>
        <w:t xml:space="preserve"> entidades estatales tienen la facultad de pactar la entrega de anticipos en los contratos que celebren. Para ello, deberán realizar el </w:t>
      </w:r>
      <w:r w:rsidR="003E4D66" w:rsidRPr="00773D06">
        <w:rPr>
          <w:rFonts w:ascii="Verdana" w:hAnsi="Verdana" w:cs="Arial"/>
        </w:rPr>
        <w:t>análisis</w:t>
      </w:r>
      <w:r w:rsidR="00D42C6A" w:rsidRPr="001A5BCA">
        <w:rPr>
          <w:rFonts w:ascii="Verdana" w:hAnsi="Verdana" w:cs="Arial"/>
        </w:rPr>
        <w:t xml:space="preserve"> correspondiente con el fin de determinar la conveniencia de otorgar recursos al contratista bajo esa denominación, teniendo en cuenta las características de la ejecución del contrato</w:t>
      </w:r>
      <w:r w:rsidR="00D42C6A" w:rsidRPr="00773D06">
        <w:rPr>
          <w:rFonts w:ascii="Verdana" w:hAnsi="Verdana" w:cs="Arial"/>
        </w:rPr>
        <w:t>.</w:t>
      </w:r>
      <w:r w:rsidR="00D42C6A" w:rsidRPr="001A5BCA">
        <w:rPr>
          <w:rFonts w:ascii="Verdana" w:hAnsi="Verdana" w:cs="Arial"/>
        </w:rPr>
        <w:t xml:space="preserve"> De este modo, las entidades podrán determinar las condiciones de entrega, el monto –que no podrá ser superior al 50% del valor del contrato</w:t>
      </w:r>
      <w:r w:rsidR="00D42C6A" w:rsidRPr="00773D06">
        <w:rPr>
          <w:rFonts w:ascii="Verdana" w:hAnsi="Verdana" w:cs="Arial"/>
        </w:rPr>
        <w:t>–</w:t>
      </w:r>
      <w:r w:rsidR="004C33D3" w:rsidRPr="00773D06">
        <w:rPr>
          <w:rFonts w:ascii="Verdana" w:hAnsi="Verdana" w:cs="Arial"/>
        </w:rPr>
        <w:t>en razón a la regla establecida en el parágrafo del ar</w:t>
      </w:r>
      <w:r w:rsidR="00400D44" w:rsidRPr="00773D06">
        <w:rPr>
          <w:rFonts w:ascii="Verdana" w:hAnsi="Verdana" w:cs="Arial"/>
        </w:rPr>
        <w:t>tículo 40 de la Ley 80 de 1993</w:t>
      </w:r>
      <w:r w:rsidR="00D42C6A" w:rsidRPr="00773D06">
        <w:rPr>
          <w:rFonts w:ascii="Verdana" w:hAnsi="Verdana" w:cs="Arial"/>
        </w:rPr>
        <w:t>,</w:t>
      </w:r>
      <w:r w:rsidR="00D42C6A" w:rsidRPr="001A5BCA">
        <w:rPr>
          <w:rFonts w:ascii="Verdana" w:hAnsi="Verdana" w:cs="Arial"/>
        </w:rPr>
        <w:t xml:space="preserve"> el plazo de amortización, las condiciones necesarias para su exigibilidad, así como todas las obligaciones para su correcta inversión.</w:t>
      </w:r>
    </w:p>
    <w:p w14:paraId="5E5D745D" w14:textId="77777777" w:rsidR="00D42C6A" w:rsidRPr="001A5BCA" w:rsidRDefault="00D42C6A" w:rsidP="00D42C6A">
      <w:pPr>
        <w:pStyle w:val="Prrafodelista"/>
        <w:tabs>
          <w:tab w:val="left" w:pos="0"/>
          <w:tab w:val="left" w:pos="284"/>
        </w:tabs>
        <w:spacing w:line="276" w:lineRule="auto"/>
        <w:ind w:left="0"/>
        <w:jc w:val="both"/>
        <w:rPr>
          <w:rFonts w:ascii="Verdana" w:hAnsi="Verdana" w:cs="Arial"/>
        </w:rPr>
      </w:pPr>
    </w:p>
    <w:p w14:paraId="424604C7" w14:textId="30994034" w:rsidR="00D42C6A" w:rsidRPr="001A5BCA" w:rsidRDefault="00D42C6A" w:rsidP="00D42C6A">
      <w:pPr>
        <w:pStyle w:val="Prrafodelista"/>
        <w:numPr>
          <w:ilvl w:val="0"/>
          <w:numId w:val="19"/>
        </w:numPr>
        <w:tabs>
          <w:tab w:val="left" w:pos="0"/>
          <w:tab w:val="left" w:pos="284"/>
        </w:tabs>
        <w:spacing w:line="276" w:lineRule="auto"/>
        <w:ind w:left="0" w:firstLine="0"/>
        <w:jc w:val="both"/>
        <w:rPr>
          <w:rFonts w:ascii="Verdana" w:hAnsi="Verdana" w:cs="Arial"/>
        </w:rPr>
      </w:pPr>
      <w:r w:rsidRPr="001A5BCA">
        <w:rPr>
          <w:rFonts w:ascii="Verdana" w:hAnsi="Verdana" w:cs="Arial"/>
        </w:rPr>
        <w:t>Adicionalmente, el parágrafo del artículo 40 de la Ley 80 de 1993 no restringe el tipo de contratos estatales en los cuales es posible el ejercicio de esta facultad</w:t>
      </w:r>
      <w:r w:rsidR="00A4063E">
        <w:rPr>
          <w:rFonts w:ascii="Verdana" w:hAnsi="Verdana" w:cs="Arial"/>
        </w:rPr>
        <w:t>,</w:t>
      </w:r>
      <w:r w:rsidRPr="00773D06">
        <w:rPr>
          <w:rFonts w:ascii="Verdana" w:hAnsi="Verdana" w:cs="Arial"/>
        </w:rPr>
        <w:t xml:space="preserve"> </w:t>
      </w:r>
      <w:r w:rsidR="00A4063E">
        <w:rPr>
          <w:rFonts w:ascii="Verdana" w:hAnsi="Verdana" w:cs="Arial"/>
        </w:rPr>
        <w:t>e</w:t>
      </w:r>
      <w:r w:rsidRPr="00773D06">
        <w:rPr>
          <w:rFonts w:ascii="Verdana" w:hAnsi="Verdana" w:cs="Arial"/>
        </w:rPr>
        <w:t>s</w:t>
      </w:r>
      <w:r w:rsidRPr="001A5BCA">
        <w:rPr>
          <w:rFonts w:ascii="Verdana" w:hAnsi="Verdana" w:cs="Arial"/>
        </w:rPr>
        <w:t xml:space="preserve"> decir, no limita la posibilidad de pactar anticipo dependiendo de la tipología contractual o la modalidad de selección del contratista. </w:t>
      </w:r>
      <w:r w:rsidRPr="001A5BCA">
        <w:rPr>
          <w:rFonts w:ascii="Verdana" w:hAnsi="Verdana" w:cs="Arial"/>
          <w:color w:val="000000" w:themeColor="text1"/>
        </w:rPr>
        <w:t xml:space="preserve">De hecho, el EGCAP dispone como única limitación el valor máximo que puede desembolsar la entidad para pactar el anticipo. </w:t>
      </w:r>
    </w:p>
    <w:p w14:paraId="13321CD7" w14:textId="77777777" w:rsidR="00D42C6A" w:rsidRPr="001A5BCA" w:rsidRDefault="00D42C6A" w:rsidP="00D42C6A">
      <w:pPr>
        <w:pStyle w:val="Prrafodelista"/>
        <w:tabs>
          <w:tab w:val="left" w:pos="284"/>
        </w:tabs>
        <w:ind w:left="0"/>
        <w:rPr>
          <w:rFonts w:ascii="Verdana" w:hAnsi="Verdana" w:cs="Arial"/>
          <w:color w:val="000000" w:themeColor="text1"/>
        </w:rPr>
      </w:pPr>
    </w:p>
    <w:p w14:paraId="04890FB8" w14:textId="32F56F7A" w:rsidR="00D42C6A" w:rsidRPr="001A5BCA" w:rsidRDefault="00D42C6A" w:rsidP="00D42C6A">
      <w:pPr>
        <w:pStyle w:val="Prrafodelista"/>
        <w:numPr>
          <w:ilvl w:val="0"/>
          <w:numId w:val="19"/>
        </w:numPr>
        <w:tabs>
          <w:tab w:val="left" w:pos="0"/>
          <w:tab w:val="left" w:pos="284"/>
        </w:tabs>
        <w:spacing w:line="276" w:lineRule="auto"/>
        <w:ind w:left="0" w:firstLine="0"/>
        <w:jc w:val="both"/>
        <w:rPr>
          <w:rFonts w:ascii="Verdana" w:hAnsi="Verdana" w:cs="Arial"/>
        </w:rPr>
      </w:pPr>
      <w:r w:rsidRPr="001A5BCA">
        <w:rPr>
          <w:rFonts w:ascii="Verdana" w:hAnsi="Verdana" w:cs="Arial"/>
          <w:color w:val="000000" w:themeColor="text1"/>
        </w:rPr>
        <w:t>Del análisis realizado se desprende que los recursos entregados al contratista en calidad de anticipo son recursos públicos</w:t>
      </w:r>
      <w:r w:rsidR="00B34A3B">
        <w:rPr>
          <w:rFonts w:ascii="Verdana" w:hAnsi="Verdana" w:cs="Arial"/>
          <w:color w:val="000000" w:themeColor="text1"/>
        </w:rPr>
        <w:t>,</w:t>
      </w:r>
      <w:r w:rsidRPr="001A5BCA">
        <w:rPr>
          <w:rFonts w:ascii="Verdana" w:hAnsi="Verdana" w:cs="Arial"/>
          <w:color w:val="000000" w:themeColor="text1"/>
        </w:rPr>
        <w:t xml:space="preserve"> </w:t>
      </w:r>
      <w:r w:rsidR="00B34A3B">
        <w:rPr>
          <w:rFonts w:ascii="Verdana" w:hAnsi="Verdana" w:cs="Arial"/>
          <w:color w:val="000000" w:themeColor="text1"/>
        </w:rPr>
        <w:t>p</w:t>
      </w:r>
      <w:r w:rsidRPr="001A5BCA">
        <w:rPr>
          <w:rFonts w:ascii="Verdana" w:hAnsi="Verdana" w:cs="Arial"/>
          <w:color w:val="000000" w:themeColor="text1"/>
        </w:rPr>
        <w:t xml:space="preserve">or tanto, corresponde a la entidad </w:t>
      </w:r>
      <w:r w:rsidRPr="001A5BCA">
        <w:rPr>
          <w:rFonts w:ascii="Verdana" w:hAnsi="Verdana" w:cs="Arial"/>
        </w:rPr>
        <w:t xml:space="preserve">adoptar las medidas necesarias y razonables para asegurar la correcta inversión de los dineros entregados, las cuales deberán reflejarse en el contrato celebrado. </w:t>
      </w:r>
    </w:p>
    <w:p w14:paraId="462FC97B" w14:textId="77777777" w:rsidR="00D42C6A" w:rsidRDefault="00D42C6A" w:rsidP="00B34A3B">
      <w:pPr>
        <w:pStyle w:val="Prrafodelista"/>
        <w:tabs>
          <w:tab w:val="left" w:pos="0"/>
          <w:tab w:val="left" w:pos="284"/>
        </w:tabs>
        <w:spacing w:after="0" w:line="276" w:lineRule="auto"/>
        <w:ind w:left="0"/>
        <w:jc w:val="both"/>
        <w:rPr>
          <w:rFonts w:ascii="Verdana" w:hAnsi="Verdana" w:cs="Arial"/>
          <w:color w:val="000000" w:themeColor="text1"/>
        </w:rPr>
      </w:pPr>
    </w:p>
    <w:p w14:paraId="67606CF0" w14:textId="4B239FB5" w:rsidR="000765B5" w:rsidRPr="00773D06" w:rsidRDefault="00B34A3B" w:rsidP="000765B5">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773D06">
        <w:rPr>
          <w:rFonts w:ascii="Verdana" w:hAnsi="Verdana" w:cs="Arial"/>
          <w:color w:val="000000" w:themeColor="text1"/>
        </w:rPr>
        <w:lastRenderedPageBreak/>
        <w:t>Como segundo eje temático se aborda</w:t>
      </w:r>
      <w:r w:rsidR="000765B5" w:rsidRPr="00773D06">
        <w:rPr>
          <w:rFonts w:ascii="Verdana" w:hAnsi="Verdana" w:cs="Arial"/>
          <w:color w:val="000000" w:themeColor="text1"/>
        </w:rPr>
        <w:t>rá</w:t>
      </w:r>
      <w:r w:rsidRPr="00773D06">
        <w:rPr>
          <w:rFonts w:ascii="Verdana" w:hAnsi="Verdana" w:cs="Arial"/>
          <w:color w:val="000000" w:themeColor="text1"/>
        </w:rPr>
        <w:t xml:space="preserve"> lo correspondiente a</w:t>
      </w:r>
      <w:r w:rsidR="00702112" w:rsidRPr="00773D06">
        <w:rPr>
          <w:rFonts w:ascii="Verdana" w:hAnsi="Verdana" w:cs="Arial"/>
          <w:color w:val="000000" w:themeColor="text1"/>
        </w:rPr>
        <w:t>l contrato de concesión</w:t>
      </w:r>
      <w:r w:rsidRPr="00773D06">
        <w:rPr>
          <w:rFonts w:ascii="Verdana" w:hAnsi="Verdana" w:cs="Arial"/>
          <w:color w:val="000000" w:themeColor="text1"/>
        </w:rPr>
        <w:t>, el cual</w:t>
      </w:r>
      <w:r w:rsidR="00702112" w:rsidRPr="00773D06">
        <w:rPr>
          <w:rFonts w:ascii="Verdana" w:hAnsi="Verdana" w:cs="Arial"/>
          <w:color w:val="000000" w:themeColor="text1"/>
        </w:rPr>
        <w:t xml:space="preserve">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 </w:t>
      </w:r>
    </w:p>
    <w:p w14:paraId="7940297F" w14:textId="77777777" w:rsidR="000765B5" w:rsidRPr="00773D06" w:rsidRDefault="000765B5" w:rsidP="000765B5">
      <w:pPr>
        <w:pStyle w:val="Prrafodelista"/>
        <w:rPr>
          <w:rFonts w:ascii="Verdana" w:hAnsi="Verdana" w:cs="Arial"/>
          <w:color w:val="000000" w:themeColor="text1"/>
        </w:rPr>
      </w:pPr>
    </w:p>
    <w:p w14:paraId="5417D4AF" w14:textId="7E59D6DD" w:rsidR="001463A0" w:rsidRDefault="001555F1" w:rsidP="003C048E">
      <w:pPr>
        <w:pStyle w:val="Prrafodelista"/>
        <w:numPr>
          <w:ilvl w:val="0"/>
          <w:numId w:val="21"/>
        </w:numPr>
        <w:tabs>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 xml:space="preserve">Antes de </w:t>
      </w:r>
      <w:r w:rsidR="006706ED">
        <w:rPr>
          <w:rFonts w:ascii="Verdana" w:hAnsi="Verdana" w:cs="Arial"/>
          <w:color w:val="000000" w:themeColor="text1"/>
        </w:rPr>
        <w:t xml:space="preserve">hacer referencia a la tipología establecida en el numeral </w:t>
      </w:r>
      <w:r w:rsidR="00B97888">
        <w:rPr>
          <w:rFonts w:ascii="Verdana" w:hAnsi="Verdana" w:cs="Arial"/>
          <w:color w:val="000000" w:themeColor="text1"/>
        </w:rPr>
        <w:t>4 del artículo 32 de la Ley 80 de 1993</w:t>
      </w:r>
      <w:r w:rsidR="00023F37">
        <w:rPr>
          <w:rFonts w:ascii="Verdana" w:hAnsi="Verdana" w:cs="Arial"/>
          <w:color w:val="000000" w:themeColor="text1"/>
        </w:rPr>
        <w:t>,</w:t>
      </w:r>
      <w:r w:rsidR="00B97888">
        <w:rPr>
          <w:rFonts w:ascii="Verdana" w:hAnsi="Verdana" w:cs="Arial"/>
          <w:color w:val="000000" w:themeColor="text1"/>
        </w:rPr>
        <w:t xml:space="preserve"> es necesario </w:t>
      </w:r>
      <w:r w:rsidR="00946B97">
        <w:rPr>
          <w:rFonts w:ascii="Verdana" w:hAnsi="Verdana" w:cs="Arial"/>
          <w:color w:val="000000" w:themeColor="text1"/>
        </w:rPr>
        <w:t xml:space="preserve">hacer referencia a naturaleza de la tipología, </w:t>
      </w:r>
      <w:r w:rsidR="008D6100">
        <w:rPr>
          <w:rFonts w:ascii="Verdana" w:hAnsi="Verdana" w:cs="Arial"/>
          <w:color w:val="000000" w:themeColor="text1"/>
        </w:rPr>
        <w:t xml:space="preserve">encontrándose como una de las maneras en las que se puede desarrollar la </w:t>
      </w:r>
      <w:r w:rsidR="008D6100" w:rsidRPr="002444DD">
        <w:rPr>
          <w:rFonts w:ascii="Verdana" w:hAnsi="Verdana" w:cs="Arial"/>
          <w:i/>
          <w:iCs/>
          <w:color w:val="000000" w:themeColor="text1"/>
        </w:rPr>
        <w:t>concesión administrativa</w:t>
      </w:r>
      <w:r w:rsidR="002444DD">
        <w:rPr>
          <w:rFonts w:ascii="Verdana" w:hAnsi="Verdana" w:cs="Arial"/>
          <w:color w:val="000000" w:themeColor="text1"/>
        </w:rPr>
        <w:t xml:space="preserve">, </w:t>
      </w:r>
      <w:r w:rsidR="00924B13">
        <w:rPr>
          <w:rFonts w:ascii="Verdana" w:hAnsi="Verdana" w:cs="Arial"/>
          <w:color w:val="000000" w:themeColor="text1"/>
        </w:rPr>
        <w:t>término</w:t>
      </w:r>
      <w:r w:rsidR="007F6795">
        <w:rPr>
          <w:rFonts w:ascii="Verdana" w:hAnsi="Verdana" w:cs="Arial"/>
          <w:color w:val="000000" w:themeColor="text1"/>
        </w:rPr>
        <w:t xml:space="preserve"> </w:t>
      </w:r>
      <w:r w:rsidR="00924B13">
        <w:rPr>
          <w:rFonts w:ascii="Verdana" w:hAnsi="Verdana" w:cs="Arial"/>
          <w:color w:val="000000" w:themeColor="text1"/>
        </w:rPr>
        <w:t>que fue</w:t>
      </w:r>
      <w:r w:rsidR="007F6795">
        <w:rPr>
          <w:rFonts w:ascii="Verdana" w:hAnsi="Verdana" w:cs="Arial"/>
          <w:color w:val="000000" w:themeColor="text1"/>
        </w:rPr>
        <w:t xml:space="preserve"> desarrollado por parte del Tratadista </w:t>
      </w:r>
      <w:r w:rsidR="00924B13">
        <w:rPr>
          <w:rFonts w:ascii="Verdana" w:hAnsi="Verdana" w:cs="Arial"/>
          <w:color w:val="000000" w:themeColor="text1"/>
        </w:rPr>
        <w:t xml:space="preserve">Jaime Orlando Santofimio </w:t>
      </w:r>
      <w:r w:rsidR="00F7001D">
        <w:rPr>
          <w:rFonts w:ascii="Verdana" w:hAnsi="Verdana" w:cs="Arial"/>
          <w:color w:val="000000" w:themeColor="text1"/>
        </w:rPr>
        <w:t xml:space="preserve">Gamboa </w:t>
      </w:r>
      <w:r w:rsidR="00951B53">
        <w:rPr>
          <w:rFonts w:ascii="Verdana" w:hAnsi="Verdana" w:cs="Arial"/>
          <w:color w:val="000000" w:themeColor="text1"/>
        </w:rPr>
        <w:t xml:space="preserve">en su </w:t>
      </w:r>
      <w:r w:rsidR="00951B53">
        <w:rPr>
          <w:rFonts w:ascii="Verdana" w:hAnsi="Verdana" w:cs="Arial"/>
          <w:i/>
          <w:iCs/>
          <w:color w:val="000000" w:themeColor="text1"/>
        </w:rPr>
        <w:t xml:space="preserve">tesis doctoral, </w:t>
      </w:r>
      <w:r w:rsidR="00F7001D">
        <w:rPr>
          <w:rFonts w:ascii="Verdana" w:hAnsi="Verdana" w:cs="Arial"/>
          <w:color w:val="000000" w:themeColor="text1"/>
        </w:rPr>
        <w:t xml:space="preserve">en los siguientes términos: </w:t>
      </w:r>
    </w:p>
    <w:p w14:paraId="52A3F9EF" w14:textId="77777777" w:rsidR="00F7001D" w:rsidRDefault="00F7001D" w:rsidP="00F7001D">
      <w:pPr>
        <w:tabs>
          <w:tab w:val="left" w:pos="284"/>
        </w:tabs>
        <w:spacing w:after="0" w:line="276" w:lineRule="auto"/>
        <w:jc w:val="both"/>
        <w:rPr>
          <w:rFonts w:ascii="Verdana" w:hAnsi="Verdana" w:cs="Arial"/>
          <w:color w:val="000000" w:themeColor="text1"/>
        </w:rPr>
      </w:pPr>
    </w:p>
    <w:p w14:paraId="2FBD884B" w14:textId="0C2A934E" w:rsidR="00A722CB" w:rsidRDefault="00A722CB" w:rsidP="00A722CB">
      <w:pPr>
        <w:tabs>
          <w:tab w:val="left" w:pos="284"/>
        </w:tabs>
        <w:spacing w:after="0" w:line="240" w:lineRule="auto"/>
        <w:ind w:left="567" w:right="616"/>
        <w:jc w:val="both"/>
        <w:rPr>
          <w:rFonts w:ascii="Verdana" w:hAnsi="Verdana" w:cs="Arial"/>
          <w:color w:val="000000" w:themeColor="text1"/>
          <w:sz w:val="20"/>
          <w:szCs w:val="20"/>
        </w:rPr>
      </w:pPr>
      <w:r>
        <w:rPr>
          <w:rFonts w:ascii="Verdana" w:hAnsi="Verdana" w:cs="Arial"/>
          <w:color w:val="000000" w:themeColor="text1"/>
          <w:sz w:val="20"/>
          <w:szCs w:val="20"/>
        </w:rPr>
        <w:t>(…)</w:t>
      </w:r>
    </w:p>
    <w:p w14:paraId="762E0325" w14:textId="5B0AD83D" w:rsidR="00346BC2" w:rsidRPr="00A722CB" w:rsidRDefault="00346BC2" w:rsidP="00A722CB">
      <w:pPr>
        <w:tabs>
          <w:tab w:val="left" w:pos="284"/>
        </w:tabs>
        <w:spacing w:after="0" w:line="240" w:lineRule="auto"/>
        <w:ind w:left="567" w:right="616"/>
        <w:jc w:val="both"/>
        <w:rPr>
          <w:rFonts w:ascii="Verdana" w:hAnsi="Verdana" w:cs="Arial"/>
          <w:color w:val="000000" w:themeColor="text1"/>
          <w:sz w:val="20"/>
          <w:szCs w:val="20"/>
        </w:rPr>
      </w:pPr>
      <w:r w:rsidRPr="00A722CB">
        <w:rPr>
          <w:rFonts w:ascii="Verdana" w:hAnsi="Verdana" w:cs="Arial"/>
          <w:color w:val="000000" w:themeColor="text1"/>
          <w:sz w:val="20"/>
          <w:szCs w:val="20"/>
        </w:rPr>
        <w:t>La concesión administrativ</w:t>
      </w:r>
      <w:r w:rsidR="00A722CB" w:rsidRPr="00A722CB">
        <w:rPr>
          <w:rFonts w:ascii="Verdana" w:hAnsi="Verdana" w:cs="Arial"/>
          <w:color w:val="000000" w:themeColor="text1"/>
          <w:sz w:val="20"/>
          <w:szCs w:val="20"/>
        </w:rPr>
        <w:t>a</w:t>
      </w:r>
      <w:r w:rsidRPr="00A722CB">
        <w:rPr>
          <w:rFonts w:ascii="Verdana" w:hAnsi="Verdana" w:cs="Arial"/>
          <w:color w:val="000000" w:themeColor="text1"/>
          <w:sz w:val="20"/>
          <w:szCs w:val="20"/>
        </w:rPr>
        <w:t xml:space="preserve"> es un concepto jurídico de raigambre constitucional, inherente a las acciones de control e intervención económica del Estado, a través de la administración pública, sobre la libertad de actuación de los particulares en relación con bienes –dominio público–, servicios –servicios públicos– y obras –infraestructura pública–, de titularidad o monopolio público y de contenido económico, respecto de los cuales, mediante decisiones unilaterales –concesiones administrativas– o contratos –negocios jurídicos públicos–, son discrecionalmente dispensados o habilitados aquéllos, concediéndoseles, a su propio riesgo, su mero uso, y en algunos otros casos incluso su goce, que puede traducirse entre otros en derechos, privilegios o ventajas –incluso eventualmente invistiéndolo de funciones públicas administrativas– para explotarlos económicamente con el necesario propósito y la inevitable finalidad, en el contexto del Estado social y democrático de derecho, de atender los requerimientos y necesidades propios del interés público o </w:t>
      </w:r>
      <w:r w:rsidR="00C40354" w:rsidRPr="00C40354">
        <w:rPr>
          <w:rFonts w:ascii="Verdana" w:hAnsi="Verdana" w:cs="Arial"/>
          <w:color w:val="000000" w:themeColor="text1"/>
          <w:sz w:val="20"/>
          <w:szCs w:val="20"/>
        </w:rPr>
        <w:t>general, en los términos y condiciones establecidos por la</w:t>
      </w:r>
      <w:r w:rsidR="00C40354">
        <w:rPr>
          <w:rFonts w:ascii="Verdana" w:hAnsi="Verdana" w:cs="Arial"/>
          <w:color w:val="000000" w:themeColor="text1"/>
          <w:sz w:val="20"/>
          <w:szCs w:val="20"/>
        </w:rPr>
        <w:t xml:space="preserve"> </w:t>
      </w:r>
      <w:r w:rsidR="00C40354" w:rsidRPr="00C40354">
        <w:rPr>
          <w:rFonts w:ascii="Verdana" w:hAnsi="Verdana" w:cs="Arial"/>
          <w:color w:val="000000" w:themeColor="text1"/>
          <w:sz w:val="20"/>
          <w:szCs w:val="20"/>
        </w:rPr>
        <w:t>administración, con sujeción a su control y vigilancia, todo de conformidad con las previsiones y exigencias del legislador</w:t>
      </w:r>
      <w:r w:rsidR="00C40354">
        <w:rPr>
          <w:rFonts w:ascii="Verdana" w:hAnsi="Verdana" w:cs="Arial"/>
          <w:color w:val="000000" w:themeColor="text1"/>
          <w:sz w:val="20"/>
          <w:szCs w:val="20"/>
        </w:rPr>
        <w:t>.</w:t>
      </w:r>
      <w:r w:rsidR="002F075E">
        <w:rPr>
          <w:rStyle w:val="Refdenotaalpie"/>
          <w:rFonts w:ascii="Verdana" w:hAnsi="Verdana" w:cs="Arial"/>
          <w:color w:val="000000" w:themeColor="text1"/>
          <w:sz w:val="20"/>
          <w:szCs w:val="20"/>
        </w:rPr>
        <w:footnoteReference w:id="18"/>
      </w:r>
      <w:r w:rsidR="00C40354">
        <w:rPr>
          <w:rFonts w:ascii="Verdana" w:hAnsi="Verdana" w:cs="Arial"/>
          <w:color w:val="000000" w:themeColor="text1"/>
          <w:sz w:val="20"/>
          <w:szCs w:val="20"/>
        </w:rPr>
        <w:t xml:space="preserve"> (…)</w:t>
      </w:r>
    </w:p>
    <w:p w14:paraId="1006876C" w14:textId="77777777" w:rsidR="001463A0" w:rsidRDefault="001463A0" w:rsidP="001463A0">
      <w:pPr>
        <w:pStyle w:val="Prrafodelista"/>
        <w:tabs>
          <w:tab w:val="left" w:pos="284"/>
        </w:tabs>
        <w:spacing w:after="0" w:line="276" w:lineRule="auto"/>
        <w:ind w:left="0"/>
        <w:jc w:val="both"/>
        <w:rPr>
          <w:rFonts w:ascii="Verdana" w:hAnsi="Verdana" w:cs="Arial"/>
          <w:color w:val="000000" w:themeColor="text1"/>
        </w:rPr>
      </w:pPr>
    </w:p>
    <w:p w14:paraId="73E87940" w14:textId="5BB6104E" w:rsidR="00A77024" w:rsidRPr="00245C6A" w:rsidRDefault="00265492" w:rsidP="003C048E">
      <w:pPr>
        <w:pStyle w:val="Prrafodelista"/>
        <w:numPr>
          <w:ilvl w:val="0"/>
          <w:numId w:val="21"/>
        </w:numPr>
        <w:tabs>
          <w:tab w:val="left" w:pos="284"/>
        </w:tabs>
        <w:spacing w:after="0" w:line="276" w:lineRule="auto"/>
        <w:ind w:left="0" w:firstLine="0"/>
        <w:jc w:val="both"/>
        <w:rPr>
          <w:rFonts w:ascii="Verdana" w:hAnsi="Verdana" w:cs="Arial"/>
          <w:color w:val="000000" w:themeColor="text1"/>
        </w:rPr>
      </w:pPr>
      <w:r w:rsidRPr="00F850F0">
        <w:rPr>
          <w:rFonts w:ascii="Verdana" w:hAnsi="Verdana" w:cs="Arial"/>
          <w:color w:val="000000" w:themeColor="text1"/>
        </w:rPr>
        <w:t xml:space="preserve">Se resalta la definición del </w:t>
      </w:r>
      <w:r w:rsidR="00B52B5B" w:rsidRPr="00F850F0">
        <w:rPr>
          <w:rFonts w:ascii="Verdana" w:hAnsi="Verdana" w:cs="Arial"/>
          <w:color w:val="000000" w:themeColor="text1"/>
        </w:rPr>
        <w:t xml:space="preserve">Tratadista, </w:t>
      </w:r>
      <w:r w:rsidR="00DE125F" w:rsidRPr="00F850F0">
        <w:rPr>
          <w:rFonts w:ascii="Verdana" w:hAnsi="Verdana" w:cs="Arial"/>
          <w:color w:val="000000" w:themeColor="text1"/>
        </w:rPr>
        <w:t xml:space="preserve">la condición de la asignación del riesgo y la entrega por parte de la Administración </w:t>
      </w:r>
      <w:r w:rsidR="00521DC7" w:rsidRPr="00F850F0">
        <w:rPr>
          <w:rFonts w:ascii="Verdana" w:hAnsi="Verdana" w:cs="Arial"/>
          <w:color w:val="000000" w:themeColor="text1"/>
        </w:rPr>
        <w:t xml:space="preserve">del </w:t>
      </w:r>
      <w:r w:rsidR="00A77024" w:rsidRPr="00F850F0">
        <w:rPr>
          <w:rFonts w:ascii="Verdana" w:hAnsi="Verdana" w:cs="Arial"/>
          <w:color w:val="000000" w:themeColor="text1"/>
        </w:rPr>
        <w:t xml:space="preserve">mero uso, y su goce, que </w:t>
      </w:r>
      <w:r w:rsidR="00521DC7" w:rsidRPr="00F850F0">
        <w:rPr>
          <w:rFonts w:ascii="Verdana" w:hAnsi="Verdana" w:cs="Arial"/>
          <w:color w:val="000000" w:themeColor="text1"/>
        </w:rPr>
        <w:t>se traduce en derechos</w:t>
      </w:r>
      <w:r w:rsidR="00A77024" w:rsidRPr="00F850F0">
        <w:rPr>
          <w:rFonts w:ascii="Verdana" w:hAnsi="Verdana" w:cs="Arial"/>
          <w:color w:val="000000" w:themeColor="text1"/>
        </w:rPr>
        <w:t>, privilegios o ventajas –para explotarlos económicamente</w:t>
      </w:r>
      <w:r w:rsidR="00521DC7" w:rsidRPr="00F850F0">
        <w:rPr>
          <w:rFonts w:ascii="Verdana" w:hAnsi="Verdana" w:cs="Arial"/>
          <w:color w:val="000000" w:themeColor="text1"/>
        </w:rPr>
        <w:t xml:space="preserve">, </w:t>
      </w:r>
      <w:r w:rsidR="00521DC7" w:rsidRPr="00F850F0">
        <w:rPr>
          <w:rFonts w:ascii="Verdana" w:hAnsi="Verdana" w:cs="Arial"/>
          <w:color w:val="000000" w:themeColor="text1"/>
        </w:rPr>
        <w:lastRenderedPageBreak/>
        <w:t xml:space="preserve">haciéndolo diferente a las demás formas </w:t>
      </w:r>
      <w:r w:rsidR="00D3549E" w:rsidRPr="00F850F0">
        <w:rPr>
          <w:rFonts w:ascii="Verdana" w:hAnsi="Verdana" w:cs="Arial"/>
          <w:color w:val="000000" w:themeColor="text1"/>
        </w:rPr>
        <w:t xml:space="preserve">en que se establecen relaciones negociales con ella. </w:t>
      </w:r>
    </w:p>
    <w:p w14:paraId="7F78E76E" w14:textId="77777777" w:rsidR="00521DC7" w:rsidRDefault="00521DC7" w:rsidP="00521DC7">
      <w:pPr>
        <w:pStyle w:val="Prrafodelista"/>
        <w:tabs>
          <w:tab w:val="left" w:pos="284"/>
        </w:tabs>
        <w:spacing w:after="0" w:line="276" w:lineRule="auto"/>
        <w:ind w:left="0"/>
        <w:jc w:val="both"/>
        <w:rPr>
          <w:rFonts w:ascii="Verdana" w:hAnsi="Verdana" w:cs="Arial"/>
          <w:color w:val="000000" w:themeColor="text1"/>
        </w:rPr>
      </w:pPr>
    </w:p>
    <w:p w14:paraId="55F87B59" w14:textId="2844D692" w:rsidR="00023F37" w:rsidRDefault="0021247F" w:rsidP="003C048E">
      <w:pPr>
        <w:pStyle w:val="Prrafodelista"/>
        <w:numPr>
          <w:ilvl w:val="0"/>
          <w:numId w:val="21"/>
        </w:numPr>
        <w:tabs>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 xml:space="preserve">Ahora bien, como expresión del negocio jurídico </w:t>
      </w:r>
      <w:r w:rsidR="00EC74E3">
        <w:rPr>
          <w:rFonts w:ascii="Verdana" w:hAnsi="Verdana" w:cs="Arial"/>
          <w:color w:val="000000" w:themeColor="text1"/>
        </w:rPr>
        <w:t xml:space="preserve">público, se ha </w:t>
      </w:r>
      <w:r w:rsidR="00622E07">
        <w:rPr>
          <w:rFonts w:ascii="Verdana" w:hAnsi="Verdana" w:cs="Arial"/>
          <w:color w:val="000000" w:themeColor="text1"/>
        </w:rPr>
        <w:t xml:space="preserve">caracterizado a esta </w:t>
      </w:r>
      <w:r w:rsidR="000B4307">
        <w:rPr>
          <w:rFonts w:ascii="Verdana" w:hAnsi="Verdana" w:cs="Arial"/>
          <w:color w:val="000000" w:themeColor="text1"/>
        </w:rPr>
        <w:t xml:space="preserve">tipología al igual que la del contrato de obra </w:t>
      </w:r>
      <w:r w:rsidR="009F4B1E">
        <w:rPr>
          <w:rFonts w:ascii="Verdana" w:hAnsi="Verdana" w:cs="Arial"/>
          <w:color w:val="000000" w:themeColor="text1"/>
        </w:rPr>
        <w:t>pública</w:t>
      </w:r>
      <w:r w:rsidR="000B4307">
        <w:rPr>
          <w:rFonts w:ascii="Verdana" w:hAnsi="Verdana" w:cs="Arial"/>
          <w:color w:val="000000" w:themeColor="text1"/>
        </w:rPr>
        <w:t>,</w:t>
      </w:r>
      <w:r w:rsidR="000D4AFD">
        <w:rPr>
          <w:rFonts w:ascii="Verdana" w:hAnsi="Verdana" w:cs="Arial"/>
          <w:color w:val="000000" w:themeColor="text1"/>
        </w:rPr>
        <w:t xml:space="preserve"> como </w:t>
      </w:r>
      <w:r w:rsidR="000B4307">
        <w:rPr>
          <w:rFonts w:ascii="Verdana" w:hAnsi="Verdana" w:cs="Arial"/>
          <w:color w:val="000000" w:themeColor="text1"/>
        </w:rPr>
        <w:t xml:space="preserve">los contratos </w:t>
      </w:r>
      <w:r w:rsidR="009F4B1E">
        <w:rPr>
          <w:rFonts w:ascii="Verdana" w:hAnsi="Verdana" w:cs="Arial"/>
          <w:color w:val="000000" w:themeColor="text1"/>
        </w:rPr>
        <w:t>propios</w:t>
      </w:r>
      <w:r w:rsidR="000D4AFD">
        <w:rPr>
          <w:rFonts w:ascii="Verdana" w:hAnsi="Verdana" w:cs="Arial"/>
          <w:color w:val="000000" w:themeColor="text1"/>
        </w:rPr>
        <w:t xml:space="preserve"> y típicos</w:t>
      </w:r>
      <w:r w:rsidR="009F4B1E">
        <w:rPr>
          <w:rFonts w:ascii="Verdana" w:hAnsi="Verdana" w:cs="Arial"/>
          <w:color w:val="000000" w:themeColor="text1"/>
        </w:rPr>
        <w:t xml:space="preserve"> de la administración púbica</w:t>
      </w:r>
      <w:r w:rsidR="0054571F">
        <w:rPr>
          <w:rFonts w:ascii="Verdana" w:hAnsi="Verdana" w:cs="Arial"/>
          <w:color w:val="000000" w:themeColor="text1"/>
        </w:rPr>
        <w:t>,</w:t>
      </w:r>
      <w:r w:rsidR="009F4B1E">
        <w:rPr>
          <w:rFonts w:ascii="Verdana" w:hAnsi="Verdana" w:cs="Arial"/>
          <w:color w:val="000000" w:themeColor="text1"/>
        </w:rPr>
        <w:t xml:space="preserve"> y para lo cual ha de remontar</w:t>
      </w:r>
      <w:r w:rsidR="000E6214">
        <w:rPr>
          <w:rFonts w:ascii="Verdana" w:hAnsi="Verdana" w:cs="Arial"/>
          <w:color w:val="000000" w:themeColor="text1"/>
        </w:rPr>
        <w:t>se a Francia, como señala</w:t>
      </w:r>
      <w:r w:rsidR="00B103F6" w:rsidRPr="00B103F6">
        <w:t xml:space="preserve"> </w:t>
      </w:r>
      <w:r w:rsidR="00B103F6" w:rsidRPr="00B103F6">
        <w:rPr>
          <w:rFonts w:ascii="Verdana" w:hAnsi="Verdana" w:cs="Arial"/>
          <w:color w:val="000000" w:themeColor="text1"/>
        </w:rPr>
        <w:t>Rodríguez Tamayo</w:t>
      </w:r>
      <w:r w:rsidR="00B103F6">
        <w:rPr>
          <w:rFonts w:ascii="Verdana" w:hAnsi="Verdana" w:cs="Arial"/>
          <w:color w:val="000000" w:themeColor="text1"/>
        </w:rPr>
        <w:t xml:space="preserve"> </w:t>
      </w:r>
      <w:r w:rsidR="0054571F">
        <w:rPr>
          <w:rFonts w:ascii="Verdana" w:hAnsi="Verdana" w:cs="Arial"/>
          <w:color w:val="000000" w:themeColor="text1"/>
        </w:rPr>
        <w:t xml:space="preserve">en los siguientes términos: </w:t>
      </w:r>
    </w:p>
    <w:p w14:paraId="724D9BCE" w14:textId="77777777" w:rsidR="0054571F" w:rsidRDefault="0054571F" w:rsidP="0054571F">
      <w:pPr>
        <w:pStyle w:val="Prrafodelista"/>
        <w:tabs>
          <w:tab w:val="left" w:pos="284"/>
        </w:tabs>
        <w:spacing w:after="0" w:line="276" w:lineRule="auto"/>
        <w:ind w:left="0"/>
        <w:jc w:val="both"/>
        <w:rPr>
          <w:rFonts w:ascii="Verdana" w:hAnsi="Verdana" w:cs="Arial"/>
          <w:color w:val="000000" w:themeColor="text1"/>
        </w:rPr>
      </w:pPr>
    </w:p>
    <w:p w14:paraId="2859F6B7" w14:textId="4620DEB2" w:rsidR="0054571F" w:rsidRDefault="0054571F" w:rsidP="00FE568E">
      <w:pPr>
        <w:pStyle w:val="Prrafodelista"/>
        <w:tabs>
          <w:tab w:val="left" w:pos="284"/>
        </w:tabs>
        <w:spacing w:after="0" w:line="240" w:lineRule="auto"/>
        <w:ind w:left="567" w:right="616"/>
        <w:jc w:val="both"/>
        <w:rPr>
          <w:rFonts w:ascii="Verdana" w:hAnsi="Verdana" w:cs="Arial"/>
          <w:color w:val="000000" w:themeColor="text1"/>
        </w:rPr>
      </w:pPr>
      <w:r>
        <w:rPr>
          <w:rFonts w:ascii="Verdana" w:hAnsi="Verdana" w:cs="Arial"/>
          <w:color w:val="000000" w:themeColor="text1"/>
        </w:rPr>
        <w:tab/>
        <w:t>“</w:t>
      </w:r>
      <w:r w:rsidRPr="009952DA">
        <w:rPr>
          <w:rFonts w:ascii="Verdana" w:hAnsi="Verdana" w:cs="Arial"/>
          <w:color w:val="000000" w:themeColor="text1"/>
          <w:sz w:val="20"/>
          <w:szCs w:val="20"/>
        </w:rPr>
        <w:t xml:space="preserve">Esta modalidad contractual tiene </w:t>
      </w:r>
      <w:r w:rsidR="002A25B2" w:rsidRPr="009952DA">
        <w:rPr>
          <w:rFonts w:ascii="Verdana" w:hAnsi="Verdana" w:cs="Arial"/>
          <w:color w:val="000000" w:themeColor="text1"/>
          <w:sz w:val="20"/>
          <w:szCs w:val="20"/>
        </w:rPr>
        <w:t xml:space="preserve">su origen en Francia, ante la necesidad permanente del Estado de apoyarse en los particulares para prestar servicios públicos- </w:t>
      </w:r>
      <w:r w:rsidR="00017104" w:rsidRPr="009952DA">
        <w:rPr>
          <w:rFonts w:ascii="Verdana" w:hAnsi="Verdana" w:cs="Arial"/>
          <w:color w:val="000000" w:themeColor="text1"/>
          <w:sz w:val="20"/>
          <w:szCs w:val="20"/>
        </w:rPr>
        <w:t xml:space="preserve">en todo el sentido de la palabra-, pues </w:t>
      </w:r>
      <w:r w:rsidR="001B35F3" w:rsidRPr="009952DA">
        <w:rPr>
          <w:rFonts w:ascii="Verdana" w:hAnsi="Verdana" w:cs="Arial"/>
          <w:color w:val="000000" w:themeColor="text1"/>
          <w:sz w:val="20"/>
          <w:szCs w:val="20"/>
        </w:rPr>
        <w:t xml:space="preserve">si el Estado lo presta directamente </w:t>
      </w:r>
      <w:r w:rsidR="009F681D" w:rsidRPr="009952DA">
        <w:rPr>
          <w:rFonts w:ascii="Verdana" w:hAnsi="Verdana" w:cs="Arial"/>
          <w:color w:val="000000" w:themeColor="text1"/>
          <w:sz w:val="20"/>
          <w:szCs w:val="20"/>
        </w:rPr>
        <w:t>se dice que hay una explotación directa, como lo a</w:t>
      </w:r>
      <w:r w:rsidR="00CA088F" w:rsidRPr="009952DA">
        <w:rPr>
          <w:rFonts w:ascii="Verdana" w:hAnsi="Verdana" w:cs="Arial"/>
          <w:color w:val="000000" w:themeColor="text1"/>
          <w:sz w:val="20"/>
          <w:szCs w:val="20"/>
        </w:rPr>
        <w:t xml:space="preserve">firma </w:t>
      </w:r>
      <w:r w:rsidR="00CF78D1" w:rsidRPr="009952DA">
        <w:rPr>
          <w:rFonts w:ascii="Verdana" w:hAnsi="Verdana" w:cs="Arial"/>
          <w:color w:val="000000" w:themeColor="text1"/>
          <w:sz w:val="20"/>
          <w:szCs w:val="20"/>
        </w:rPr>
        <w:t>Gastón</w:t>
      </w:r>
      <w:r w:rsidR="00CA088F" w:rsidRPr="009952DA">
        <w:rPr>
          <w:rFonts w:ascii="Verdana" w:hAnsi="Verdana" w:cs="Arial"/>
          <w:color w:val="000000" w:themeColor="text1"/>
          <w:sz w:val="20"/>
          <w:szCs w:val="20"/>
        </w:rPr>
        <w:t xml:space="preserve"> </w:t>
      </w:r>
      <w:proofErr w:type="spellStart"/>
      <w:r w:rsidR="00CA088F" w:rsidRPr="009952DA">
        <w:rPr>
          <w:rFonts w:ascii="Verdana" w:hAnsi="Verdana" w:cs="Arial"/>
          <w:color w:val="000000" w:themeColor="text1"/>
          <w:sz w:val="20"/>
          <w:szCs w:val="20"/>
        </w:rPr>
        <w:t>J</w:t>
      </w:r>
      <w:r w:rsidR="00CF78D1" w:rsidRPr="009952DA">
        <w:rPr>
          <w:rFonts w:ascii="Verdana" w:hAnsi="Verdana" w:cs="Arial"/>
          <w:color w:val="000000" w:themeColor="text1"/>
          <w:sz w:val="20"/>
          <w:szCs w:val="20"/>
        </w:rPr>
        <w:t>é</w:t>
      </w:r>
      <w:r w:rsidR="00CA088F" w:rsidRPr="009952DA">
        <w:rPr>
          <w:rFonts w:ascii="Verdana" w:hAnsi="Verdana" w:cs="Arial"/>
          <w:color w:val="000000" w:themeColor="text1"/>
          <w:sz w:val="20"/>
          <w:szCs w:val="20"/>
        </w:rPr>
        <w:t>ze</w:t>
      </w:r>
      <w:proofErr w:type="spellEnd"/>
      <w:r w:rsidR="00CA088F" w:rsidRPr="009952DA">
        <w:rPr>
          <w:rFonts w:ascii="Verdana" w:hAnsi="Verdana" w:cs="Arial"/>
          <w:color w:val="000000" w:themeColor="text1"/>
          <w:sz w:val="20"/>
          <w:szCs w:val="20"/>
        </w:rPr>
        <w:t xml:space="preserve">, que en su monumental obra, además, describe la concesión de servicio </w:t>
      </w:r>
      <w:r w:rsidR="00CF78D1" w:rsidRPr="009952DA">
        <w:rPr>
          <w:rFonts w:ascii="Verdana" w:hAnsi="Verdana" w:cs="Arial"/>
          <w:color w:val="000000" w:themeColor="text1"/>
          <w:sz w:val="20"/>
          <w:szCs w:val="20"/>
        </w:rPr>
        <w:t>público</w:t>
      </w:r>
      <w:r w:rsidR="00CA088F" w:rsidRPr="009952DA">
        <w:rPr>
          <w:rFonts w:ascii="Verdana" w:hAnsi="Verdana" w:cs="Arial"/>
          <w:color w:val="000000" w:themeColor="text1"/>
          <w:sz w:val="20"/>
          <w:szCs w:val="20"/>
        </w:rPr>
        <w:t xml:space="preserve">, como aquella acción por la que la administración le encomienda a un </w:t>
      </w:r>
      <w:r w:rsidR="00CF78D1" w:rsidRPr="009952DA">
        <w:rPr>
          <w:rFonts w:ascii="Verdana" w:hAnsi="Verdana" w:cs="Arial"/>
          <w:color w:val="000000" w:themeColor="text1"/>
          <w:sz w:val="20"/>
          <w:szCs w:val="20"/>
        </w:rPr>
        <w:t>individuo</w:t>
      </w:r>
      <w:r w:rsidR="00CA088F" w:rsidRPr="009952DA">
        <w:rPr>
          <w:rFonts w:ascii="Verdana" w:hAnsi="Verdana" w:cs="Arial"/>
          <w:color w:val="000000" w:themeColor="text1"/>
          <w:sz w:val="20"/>
          <w:szCs w:val="20"/>
        </w:rPr>
        <w:t xml:space="preserve"> o una sociedad </w:t>
      </w:r>
      <w:r w:rsidR="00CF78D1" w:rsidRPr="009952DA">
        <w:rPr>
          <w:rFonts w:ascii="Verdana" w:hAnsi="Verdana" w:cs="Arial"/>
          <w:color w:val="000000" w:themeColor="text1"/>
          <w:sz w:val="20"/>
          <w:szCs w:val="20"/>
        </w:rPr>
        <w:t>que haga funcionar un servicio público para que además lo explote.”</w:t>
      </w:r>
      <w:r w:rsidR="009952DA" w:rsidRPr="009952DA">
        <w:rPr>
          <w:rStyle w:val="Refdenotaalpie"/>
          <w:rFonts w:ascii="Verdana" w:hAnsi="Verdana" w:cs="Arial"/>
          <w:color w:val="000000" w:themeColor="text1"/>
          <w:sz w:val="20"/>
          <w:szCs w:val="20"/>
        </w:rPr>
        <w:footnoteReference w:id="19"/>
      </w:r>
      <w:r w:rsidR="00CF78D1" w:rsidRPr="009952DA">
        <w:rPr>
          <w:rFonts w:ascii="Verdana" w:hAnsi="Verdana" w:cs="Arial"/>
          <w:color w:val="000000" w:themeColor="text1"/>
          <w:sz w:val="20"/>
          <w:szCs w:val="20"/>
        </w:rPr>
        <w:t xml:space="preserve"> </w:t>
      </w:r>
    </w:p>
    <w:p w14:paraId="4DD82A9F" w14:textId="77777777" w:rsidR="000063A3" w:rsidRPr="00773D06" w:rsidRDefault="000063A3" w:rsidP="000765B5">
      <w:pPr>
        <w:pStyle w:val="Prrafodelista"/>
        <w:tabs>
          <w:tab w:val="left" w:pos="0"/>
          <w:tab w:val="left" w:pos="284"/>
        </w:tabs>
        <w:spacing w:after="0" w:line="276" w:lineRule="auto"/>
        <w:ind w:left="0"/>
        <w:jc w:val="both"/>
        <w:rPr>
          <w:rFonts w:ascii="Verdana" w:hAnsi="Verdana" w:cs="Arial"/>
          <w:color w:val="000000" w:themeColor="text1"/>
        </w:rPr>
      </w:pPr>
    </w:p>
    <w:p w14:paraId="24C8C13A" w14:textId="2C51282A" w:rsidR="001555F1" w:rsidRPr="00773D06" w:rsidRDefault="00127E29" w:rsidP="001555F1">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 xml:space="preserve">Teniendo en cuenta lo señalado respecto </w:t>
      </w:r>
      <w:r w:rsidR="00E6734D">
        <w:rPr>
          <w:rFonts w:ascii="Verdana" w:hAnsi="Verdana" w:cs="Arial"/>
          <w:color w:val="000000" w:themeColor="text1"/>
        </w:rPr>
        <w:t xml:space="preserve">por la doctrina se acude a lo establecido en </w:t>
      </w:r>
      <w:r w:rsidR="001555F1" w:rsidRPr="00773D06">
        <w:rPr>
          <w:rFonts w:ascii="Verdana" w:hAnsi="Verdana" w:cs="Arial"/>
          <w:color w:val="000000" w:themeColor="text1"/>
        </w:rPr>
        <w:t xml:space="preserve">el artículo 32, numeral 4º, de la Ley 80 de 1993, </w:t>
      </w:r>
      <w:r w:rsidR="00E6734D">
        <w:rPr>
          <w:rFonts w:ascii="Verdana" w:hAnsi="Verdana" w:cs="Arial"/>
          <w:color w:val="000000" w:themeColor="text1"/>
        </w:rPr>
        <w:t>en donde se define la tipología contractual en comento</w:t>
      </w:r>
      <w:r w:rsidR="001555F1" w:rsidRPr="00773D06">
        <w:rPr>
          <w:rFonts w:ascii="Verdana" w:hAnsi="Verdana" w:cs="Arial"/>
          <w:color w:val="000000" w:themeColor="text1"/>
        </w:rPr>
        <w:t>:</w:t>
      </w:r>
    </w:p>
    <w:p w14:paraId="44A9A4D6" w14:textId="77777777" w:rsidR="00702112" w:rsidRPr="001A5BCA" w:rsidRDefault="00702112" w:rsidP="00190DE5">
      <w:pPr>
        <w:pStyle w:val="Prrafodelista"/>
        <w:tabs>
          <w:tab w:val="left" w:pos="0"/>
          <w:tab w:val="left" w:pos="284"/>
        </w:tabs>
        <w:spacing w:after="0" w:line="276" w:lineRule="auto"/>
        <w:ind w:left="0"/>
        <w:jc w:val="both"/>
        <w:rPr>
          <w:rFonts w:ascii="Verdana" w:hAnsi="Verdana" w:cs="Arial"/>
          <w:color w:val="000000" w:themeColor="text1"/>
        </w:rPr>
      </w:pPr>
    </w:p>
    <w:p w14:paraId="3B258C9F" w14:textId="77777777" w:rsidR="00702112" w:rsidRPr="001A5BCA" w:rsidRDefault="00702112" w:rsidP="00190DE5">
      <w:pPr>
        <w:pStyle w:val="Prrafodelista"/>
        <w:tabs>
          <w:tab w:val="left" w:pos="284"/>
          <w:tab w:val="left" w:pos="567"/>
        </w:tabs>
        <w:spacing w:after="0" w:line="276" w:lineRule="auto"/>
        <w:ind w:left="567" w:right="900"/>
        <w:jc w:val="both"/>
        <w:rPr>
          <w:rFonts w:ascii="Verdana" w:hAnsi="Verdana" w:cs="Arial"/>
          <w:color w:val="000000" w:themeColor="text1"/>
          <w:sz w:val="20"/>
        </w:rPr>
      </w:pPr>
      <w:r w:rsidRPr="001A5BCA">
        <w:rPr>
          <w:rFonts w:ascii="Verdana" w:hAnsi="Verdana" w:cs="Arial"/>
          <w:color w:val="000000" w:themeColor="text1"/>
          <w:sz w:val="20"/>
        </w:rPr>
        <w:t>“4. 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2A90724D" w14:textId="77777777" w:rsidR="00702112" w:rsidRPr="001A5BCA" w:rsidRDefault="00702112" w:rsidP="00190DE5">
      <w:pPr>
        <w:pStyle w:val="Prrafodelista"/>
        <w:tabs>
          <w:tab w:val="left" w:pos="0"/>
          <w:tab w:val="left" w:pos="284"/>
        </w:tabs>
        <w:spacing w:after="0" w:line="276" w:lineRule="auto"/>
        <w:ind w:left="0"/>
        <w:jc w:val="both"/>
        <w:rPr>
          <w:rFonts w:ascii="Verdana" w:hAnsi="Verdana" w:cs="Arial"/>
          <w:color w:val="000000" w:themeColor="text1"/>
        </w:rPr>
      </w:pPr>
    </w:p>
    <w:p w14:paraId="027DB2D7" w14:textId="77777777" w:rsidR="001555F1" w:rsidRPr="00773D06" w:rsidRDefault="00702112" w:rsidP="001555F1">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1A5BCA">
        <w:rPr>
          <w:rFonts w:ascii="Verdana" w:hAnsi="Verdana" w:cs="Arial"/>
          <w:color w:val="000000" w:themeColor="text1"/>
        </w:rPr>
        <w:t xml:space="preserve">Como se observa, en este tipo de contratos el contratista es, en principio, quien por su cuenta y riesgo ejecuta la prestación, operación, explotación u </w:t>
      </w:r>
      <w:r w:rsidRPr="001A5BCA">
        <w:rPr>
          <w:rFonts w:ascii="Verdana" w:hAnsi="Verdana" w:cs="Arial"/>
          <w:color w:val="000000" w:themeColor="text1"/>
        </w:rPr>
        <w:lastRenderedPageBreak/>
        <w:t>organización del servicio, así como la construcción, explotación o conservación del bien, a cambio de una remuneración</w:t>
      </w:r>
      <w:r w:rsidR="00190DE5" w:rsidRPr="001A5BCA">
        <w:rPr>
          <w:rStyle w:val="Refdenotaalpie"/>
          <w:rFonts w:ascii="Verdana" w:hAnsi="Verdana" w:cs="Arial"/>
          <w:color w:val="000000" w:themeColor="text1"/>
        </w:rPr>
        <w:footnoteReference w:id="20"/>
      </w:r>
      <w:r w:rsidRPr="001A5BCA">
        <w:rPr>
          <w:rFonts w:ascii="Verdana" w:hAnsi="Verdana" w:cs="Arial"/>
          <w:color w:val="000000" w:themeColor="text1"/>
        </w:rPr>
        <w:t xml:space="preserve">. </w:t>
      </w:r>
    </w:p>
    <w:p w14:paraId="7169C829" w14:textId="77777777" w:rsidR="000765B5" w:rsidRDefault="000765B5" w:rsidP="000765B5">
      <w:pPr>
        <w:pStyle w:val="Prrafodelista"/>
        <w:tabs>
          <w:tab w:val="left" w:pos="0"/>
          <w:tab w:val="left" w:pos="284"/>
        </w:tabs>
        <w:spacing w:after="0" w:line="276" w:lineRule="auto"/>
        <w:ind w:left="0"/>
        <w:jc w:val="both"/>
        <w:rPr>
          <w:rFonts w:ascii="Verdana" w:hAnsi="Verdana" w:cs="Arial"/>
          <w:color w:val="000000" w:themeColor="text1"/>
        </w:rPr>
      </w:pPr>
    </w:p>
    <w:p w14:paraId="65EF2E31" w14:textId="7407EA0E" w:rsidR="00AF4898" w:rsidRPr="003647BB" w:rsidRDefault="00AF4898" w:rsidP="00AF4898">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 xml:space="preserve">De esta tipología, el </w:t>
      </w:r>
      <w:r w:rsidRPr="006749B4">
        <w:rPr>
          <w:rFonts w:ascii="Verdana" w:hAnsi="Verdana" w:cs="Arial"/>
          <w:color w:val="000000" w:themeColor="text1"/>
        </w:rPr>
        <w:t>Consejo de Estado ha resaltado</w:t>
      </w:r>
      <w:r>
        <w:rPr>
          <w:rFonts w:ascii="Verdana" w:hAnsi="Verdana" w:cs="Arial"/>
          <w:color w:val="000000" w:themeColor="text1"/>
        </w:rPr>
        <w:t xml:space="preserve"> los elementos más representativos, señalando</w:t>
      </w:r>
      <w:r w:rsidRPr="006749B4">
        <w:rPr>
          <w:rFonts w:ascii="Verdana" w:hAnsi="Verdana" w:cs="Arial"/>
          <w:color w:val="000000" w:themeColor="text1"/>
        </w:rPr>
        <w:t xml:space="preserve"> entre otros los siguientes: i) su celebración por parte de una entidad estatal, que actúa con carácter de concedente y por una persona natural o jurídica que toma el nombre de concesionario, la operación, explotación, gestión, total o parcial de un servicio público, o la construcción, explotación o conservación total o parcial de una obra pública; </w:t>
      </w:r>
      <w:proofErr w:type="spellStart"/>
      <w:r w:rsidRPr="006749B4">
        <w:rPr>
          <w:rFonts w:ascii="Verdana" w:hAnsi="Verdana" w:cs="Arial"/>
          <w:color w:val="000000" w:themeColor="text1"/>
        </w:rPr>
        <w:t>ii</w:t>
      </w:r>
      <w:proofErr w:type="spellEnd"/>
      <w:r w:rsidRPr="006749B4">
        <w:rPr>
          <w:rFonts w:ascii="Verdana" w:hAnsi="Verdana" w:cs="Arial"/>
          <w:color w:val="000000" w:themeColor="text1"/>
        </w:rPr>
        <w:t xml:space="preserve">) es el concesionario quien asume la gestión y riesgo de un servicio que corresponde al Estado sustituyendo a éste en el cumplimiento de dicha carga, </w:t>
      </w:r>
      <w:proofErr w:type="spellStart"/>
      <w:r w:rsidRPr="006749B4">
        <w:rPr>
          <w:rFonts w:ascii="Verdana" w:hAnsi="Verdana" w:cs="Arial"/>
          <w:color w:val="000000" w:themeColor="text1"/>
        </w:rPr>
        <w:t>iii</w:t>
      </w:r>
      <w:proofErr w:type="spellEnd"/>
      <w:r w:rsidRPr="006749B4">
        <w:rPr>
          <w:rFonts w:ascii="Verdana" w:hAnsi="Verdana" w:cs="Arial"/>
          <w:color w:val="000000" w:themeColor="text1"/>
        </w:rPr>
        <w:t xml:space="preserve">) la entidad estatal mantiene durante la ejecución del contrato la inspección, vigilancia y control de la labor a ejecutar por parte del concesionario, </w:t>
      </w:r>
      <w:proofErr w:type="spellStart"/>
      <w:r w:rsidRPr="006749B4">
        <w:rPr>
          <w:rFonts w:ascii="Verdana" w:hAnsi="Verdana" w:cs="Arial"/>
          <w:color w:val="000000" w:themeColor="text1"/>
        </w:rPr>
        <w:t>iv</w:t>
      </w:r>
      <w:proofErr w:type="spellEnd"/>
      <w:r w:rsidRPr="006749B4">
        <w:rPr>
          <w:rFonts w:ascii="Verdana" w:hAnsi="Verdana" w:cs="Arial"/>
          <w:color w:val="000000" w:themeColor="text1"/>
        </w:rPr>
        <w:t>) el concesionario recibe una remuneración o contraprestación, la cual se pacta, de diversas maneras (tasas, tarifas, derechos, participación en la explotación del bien, entre otros)</w:t>
      </w:r>
      <w:r w:rsidRPr="003647BB">
        <w:rPr>
          <w:rFonts w:ascii="Verdana" w:hAnsi="Verdana" w:cs="Arial"/>
          <w:color w:val="000000" w:themeColor="text1"/>
        </w:rPr>
        <w:t xml:space="preserve">, v) </w:t>
      </w:r>
      <w:r>
        <w:rPr>
          <w:rFonts w:ascii="Verdana" w:hAnsi="Verdana" w:cs="Arial"/>
          <w:color w:val="000000" w:themeColor="text1"/>
        </w:rPr>
        <w:t>e</w:t>
      </w:r>
      <w:r w:rsidRPr="003647BB">
        <w:rPr>
          <w:rFonts w:ascii="Verdana" w:hAnsi="Verdana" w:cs="Arial"/>
          <w:color w:val="000000" w:themeColor="text1"/>
        </w:rPr>
        <w:t>l concesionario</w:t>
      </w:r>
      <w:r>
        <w:rPr>
          <w:rFonts w:ascii="Verdana" w:hAnsi="Verdana" w:cs="Arial"/>
          <w:color w:val="000000" w:themeColor="text1"/>
        </w:rPr>
        <w:t xml:space="preserve"> asume a la condición de colaborador asume la condición de colaborador de la administración en el cumplimiento de los fines estatales, para la continua y eficiente prestación de los servicios públicos o la debida ejecución de las obras publicas.</w:t>
      </w:r>
      <w:r>
        <w:rPr>
          <w:rStyle w:val="Refdenotaalpie"/>
          <w:rFonts w:ascii="Verdana" w:hAnsi="Verdana" w:cs="Arial"/>
          <w:color w:val="000000" w:themeColor="text1"/>
        </w:rPr>
        <w:footnoteReference w:id="21"/>
      </w:r>
      <w:r>
        <w:rPr>
          <w:rFonts w:ascii="Verdana" w:hAnsi="Verdana" w:cs="Arial"/>
          <w:color w:val="000000" w:themeColor="text1"/>
        </w:rPr>
        <w:t xml:space="preserve"> </w:t>
      </w:r>
    </w:p>
    <w:p w14:paraId="23CC0D7B" w14:textId="77777777" w:rsidR="00AF4898" w:rsidRPr="0013501F" w:rsidRDefault="00AF4898" w:rsidP="00AF4898">
      <w:pPr>
        <w:pStyle w:val="Prrafodelista"/>
        <w:rPr>
          <w:rFonts w:ascii="Verdana" w:hAnsi="Verdana" w:cs="Arial"/>
          <w:color w:val="000000" w:themeColor="text1"/>
        </w:rPr>
      </w:pPr>
    </w:p>
    <w:p w14:paraId="351E494F" w14:textId="2C793BE0" w:rsidR="00AF4898" w:rsidRDefault="00FE568E" w:rsidP="00FE568E">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E</w:t>
      </w:r>
      <w:r w:rsidR="00AF4898">
        <w:rPr>
          <w:rFonts w:ascii="Verdana" w:hAnsi="Verdana" w:cs="Arial"/>
          <w:color w:val="000000" w:themeColor="text1"/>
        </w:rPr>
        <w:t xml:space="preserve">s preciso indicar que dentro del EGCAP se encuentran tres modalidades de concesión, ya que en muchas ocasiones pareciera concentrarse la atención en temas de infraestructura vial, y tales modalidades son: i) la prestación de un servicio público, </w:t>
      </w:r>
      <w:proofErr w:type="spellStart"/>
      <w:r w:rsidR="00AF4898">
        <w:rPr>
          <w:rFonts w:ascii="Verdana" w:hAnsi="Verdana" w:cs="Arial"/>
          <w:color w:val="000000" w:themeColor="text1"/>
        </w:rPr>
        <w:t>ii</w:t>
      </w:r>
      <w:proofErr w:type="spellEnd"/>
      <w:r w:rsidR="00AF4898">
        <w:rPr>
          <w:rFonts w:ascii="Verdana" w:hAnsi="Verdana" w:cs="Arial"/>
          <w:color w:val="000000" w:themeColor="text1"/>
        </w:rPr>
        <w:t xml:space="preserve">) la construcción de una obra </w:t>
      </w:r>
      <w:r>
        <w:rPr>
          <w:rFonts w:ascii="Verdana" w:hAnsi="Verdana" w:cs="Arial"/>
          <w:color w:val="000000" w:themeColor="text1"/>
        </w:rPr>
        <w:t>pública</w:t>
      </w:r>
      <w:r w:rsidR="00AF4898">
        <w:rPr>
          <w:rFonts w:ascii="Verdana" w:hAnsi="Verdana" w:cs="Arial"/>
          <w:color w:val="000000" w:themeColor="text1"/>
        </w:rPr>
        <w:t xml:space="preserve"> y </w:t>
      </w:r>
      <w:proofErr w:type="spellStart"/>
      <w:r w:rsidR="00AF4898">
        <w:rPr>
          <w:rFonts w:ascii="Verdana" w:hAnsi="Verdana" w:cs="Arial"/>
          <w:color w:val="000000" w:themeColor="text1"/>
        </w:rPr>
        <w:t>iii</w:t>
      </w:r>
      <w:proofErr w:type="spellEnd"/>
      <w:r w:rsidR="00AF4898">
        <w:rPr>
          <w:rFonts w:ascii="Verdana" w:hAnsi="Verdana" w:cs="Arial"/>
          <w:color w:val="000000" w:themeColor="text1"/>
        </w:rPr>
        <w:t>) la explotación de un bien estatal</w:t>
      </w:r>
      <w:r w:rsidR="00AF4898">
        <w:rPr>
          <w:rStyle w:val="Refdenotaalpie"/>
          <w:rFonts w:ascii="Verdana" w:hAnsi="Verdana" w:cs="Arial"/>
          <w:color w:val="000000" w:themeColor="text1"/>
        </w:rPr>
        <w:footnoteReference w:id="22"/>
      </w:r>
      <w:r w:rsidR="00AF4898">
        <w:rPr>
          <w:rFonts w:ascii="Verdana" w:hAnsi="Verdana" w:cs="Arial"/>
          <w:color w:val="000000" w:themeColor="text1"/>
        </w:rPr>
        <w:t xml:space="preserve">, cada una de estas modalidades han sido tratadas en diferentes </w:t>
      </w:r>
      <w:r w:rsidR="00AF4898">
        <w:rPr>
          <w:rFonts w:ascii="Verdana" w:hAnsi="Verdana" w:cs="Arial"/>
          <w:color w:val="000000" w:themeColor="text1"/>
        </w:rPr>
        <w:lastRenderedPageBreak/>
        <w:t>providencias del Consejo de Estado y se han resaltado las particularidades en cada caso.</w:t>
      </w:r>
      <w:r w:rsidR="00AF4898">
        <w:rPr>
          <w:rStyle w:val="Refdenotaalpie"/>
          <w:rFonts w:ascii="Verdana" w:hAnsi="Verdana" w:cs="Arial"/>
          <w:color w:val="000000" w:themeColor="text1"/>
        </w:rPr>
        <w:footnoteReference w:id="23"/>
      </w:r>
    </w:p>
    <w:p w14:paraId="65AC61A5" w14:textId="77777777" w:rsidR="00AF4898" w:rsidRPr="00773D06" w:rsidRDefault="00AF4898" w:rsidP="00AF4898">
      <w:pPr>
        <w:pStyle w:val="Prrafodelista"/>
        <w:tabs>
          <w:tab w:val="left" w:pos="0"/>
          <w:tab w:val="left" w:pos="284"/>
        </w:tabs>
        <w:spacing w:after="0" w:line="276" w:lineRule="auto"/>
        <w:ind w:left="0"/>
        <w:jc w:val="both"/>
        <w:rPr>
          <w:rFonts w:ascii="Verdana" w:hAnsi="Verdana" w:cs="Arial"/>
          <w:color w:val="000000" w:themeColor="text1"/>
        </w:rPr>
      </w:pPr>
    </w:p>
    <w:p w14:paraId="1CD88959" w14:textId="1174E77E" w:rsidR="00702112" w:rsidRPr="001A5BCA" w:rsidRDefault="005177BD" w:rsidP="00190DE5">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A</w:t>
      </w:r>
      <w:r w:rsidR="00AF4898">
        <w:rPr>
          <w:rFonts w:ascii="Verdana" w:hAnsi="Verdana" w:cs="Arial"/>
          <w:color w:val="000000" w:themeColor="text1"/>
        </w:rPr>
        <w:t xml:space="preserve">hora bien, </w:t>
      </w:r>
      <w:r>
        <w:rPr>
          <w:rFonts w:ascii="Verdana" w:hAnsi="Verdana" w:cs="Arial"/>
          <w:color w:val="000000" w:themeColor="text1"/>
        </w:rPr>
        <w:t>de la definición</w:t>
      </w:r>
      <w:r w:rsidR="00754035">
        <w:rPr>
          <w:rFonts w:ascii="Verdana" w:hAnsi="Verdana" w:cs="Arial"/>
          <w:color w:val="000000" w:themeColor="text1"/>
        </w:rPr>
        <w:t xml:space="preserve"> de la tipología por parte del legislador en el EGCAP, </w:t>
      </w:r>
      <w:r>
        <w:rPr>
          <w:rFonts w:ascii="Verdana" w:hAnsi="Verdana" w:cs="Arial"/>
          <w:color w:val="000000" w:themeColor="text1"/>
        </w:rPr>
        <w:t>l</w:t>
      </w:r>
      <w:r w:rsidR="00702112" w:rsidRPr="00773D06">
        <w:rPr>
          <w:rFonts w:ascii="Verdana" w:hAnsi="Verdana" w:cs="Arial"/>
          <w:color w:val="000000" w:themeColor="text1"/>
        </w:rPr>
        <w:t>a Corte Constitucional</w:t>
      </w:r>
      <w:r>
        <w:rPr>
          <w:rFonts w:ascii="Verdana" w:hAnsi="Verdana" w:cs="Arial"/>
          <w:color w:val="000000" w:themeColor="text1"/>
        </w:rPr>
        <w:t xml:space="preserve"> ha señalado respecto a la tipología lo siguiente</w:t>
      </w:r>
      <w:r w:rsidR="00702112" w:rsidRPr="00773D06">
        <w:rPr>
          <w:rFonts w:ascii="Verdana" w:hAnsi="Verdana" w:cs="Arial"/>
          <w:color w:val="000000" w:themeColor="text1"/>
        </w:rPr>
        <w:t>:</w:t>
      </w:r>
    </w:p>
    <w:p w14:paraId="76911343" w14:textId="77777777" w:rsidR="00190DE5" w:rsidRPr="001A5BCA" w:rsidRDefault="00190DE5" w:rsidP="00190DE5">
      <w:pPr>
        <w:pStyle w:val="Prrafodelista"/>
        <w:tabs>
          <w:tab w:val="left" w:pos="0"/>
          <w:tab w:val="left" w:pos="284"/>
        </w:tabs>
        <w:spacing w:after="0" w:line="276" w:lineRule="auto"/>
        <w:ind w:left="0"/>
        <w:jc w:val="both"/>
        <w:rPr>
          <w:rFonts w:ascii="Verdana" w:hAnsi="Verdana" w:cs="Arial"/>
          <w:color w:val="000000" w:themeColor="text1"/>
        </w:rPr>
      </w:pPr>
    </w:p>
    <w:p w14:paraId="0A64D548" w14:textId="2549C9E8" w:rsidR="00702112" w:rsidRPr="001A5BCA" w:rsidRDefault="00702112" w:rsidP="00E9421C">
      <w:pPr>
        <w:pStyle w:val="Prrafodelista"/>
        <w:tabs>
          <w:tab w:val="left" w:pos="284"/>
        </w:tabs>
        <w:spacing w:after="0" w:line="240" w:lineRule="auto"/>
        <w:ind w:left="567" w:right="900"/>
        <w:jc w:val="both"/>
        <w:rPr>
          <w:rFonts w:ascii="Verdana" w:hAnsi="Verdana" w:cs="Arial"/>
          <w:color w:val="000000" w:themeColor="text1"/>
        </w:rPr>
      </w:pPr>
      <w:r w:rsidRPr="001A5BCA">
        <w:rPr>
          <w:rFonts w:ascii="Verdana" w:hAnsi="Verdana" w:cs="Arial"/>
          <w:color w:val="000000" w:themeColor="text1"/>
        </w:rPr>
        <w:t>“</w:t>
      </w:r>
      <w:r w:rsidRPr="00E9421C">
        <w:rPr>
          <w:rFonts w:ascii="Verdana" w:hAnsi="Verdana" w:cs="Arial"/>
          <w:color w:val="000000" w:themeColor="text1"/>
          <w:sz w:val="20"/>
        </w:rPr>
        <w:t>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w:t>
      </w:r>
      <w:r w:rsidR="00190DE5" w:rsidRPr="001A5BCA">
        <w:rPr>
          <w:rStyle w:val="Refdenotaalpie"/>
          <w:rFonts w:ascii="Verdana" w:hAnsi="Verdana" w:cs="Arial"/>
          <w:color w:val="000000" w:themeColor="text1"/>
        </w:rPr>
        <w:footnoteReference w:id="24"/>
      </w:r>
      <w:r w:rsidRPr="001A5BCA">
        <w:rPr>
          <w:rFonts w:ascii="Verdana" w:hAnsi="Verdana" w:cs="Arial"/>
          <w:color w:val="000000" w:themeColor="text1"/>
        </w:rPr>
        <w:t xml:space="preserve"> </w:t>
      </w:r>
    </w:p>
    <w:p w14:paraId="5956DD82" w14:textId="77777777" w:rsidR="00702112" w:rsidRPr="001A5BCA" w:rsidRDefault="00702112" w:rsidP="00190DE5">
      <w:pPr>
        <w:tabs>
          <w:tab w:val="left" w:pos="0"/>
          <w:tab w:val="left" w:pos="284"/>
        </w:tabs>
        <w:spacing w:after="0" w:line="276" w:lineRule="auto"/>
        <w:jc w:val="both"/>
        <w:rPr>
          <w:rFonts w:ascii="Verdana" w:hAnsi="Verdana" w:cs="Arial"/>
          <w:color w:val="000000" w:themeColor="text1"/>
        </w:rPr>
      </w:pPr>
    </w:p>
    <w:p w14:paraId="075F7EA8" w14:textId="5B373AA2" w:rsidR="00702112" w:rsidRPr="001A5BCA" w:rsidRDefault="00702112" w:rsidP="00190DE5">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1A5BCA">
        <w:rPr>
          <w:rFonts w:ascii="Verdana" w:hAnsi="Verdana" w:cs="Arial"/>
          <w:color w:val="000000" w:themeColor="text1"/>
        </w:rPr>
        <w:t>De esta manera, como característica fundamental de estos contratos se resalta “la vinculación de recursos del sector privado, a manera de inversión, en proyectos de interés público que permitan maximizar el gasto estatal en la satisfacción de otras necesidades”. Asimismo, es de la esencia del contrato de concesión la asunción de riesgos por parte del concesionario, lo que significa que tendrá derecho a la utilidad generada pero también asumirá las pérdidas derivadas de la gestión del servicio o bien concesionado.</w:t>
      </w:r>
    </w:p>
    <w:p w14:paraId="7B042E31" w14:textId="5BCBC939" w:rsidR="00702112" w:rsidRPr="001A5BCA" w:rsidRDefault="00702112" w:rsidP="00190DE5">
      <w:pPr>
        <w:pStyle w:val="Prrafodelista"/>
        <w:tabs>
          <w:tab w:val="left" w:pos="0"/>
          <w:tab w:val="left" w:pos="284"/>
        </w:tabs>
        <w:spacing w:after="0" w:line="276" w:lineRule="auto"/>
        <w:ind w:left="0"/>
        <w:jc w:val="both"/>
        <w:rPr>
          <w:rFonts w:ascii="Verdana" w:hAnsi="Verdana" w:cs="Arial"/>
          <w:color w:val="000000" w:themeColor="text1"/>
        </w:rPr>
      </w:pPr>
    </w:p>
    <w:p w14:paraId="41C92AB2" w14:textId="5F60F1CA" w:rsidR="006A1812" w:rsidRPr="002E0F41" w:rsidRDefault="001042E2">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sidRPr="002E0F41">
        <w:rPr>
          <w:rFonts w:ascii="Verdana" w:hAnsi="Verdana" w:cs="Arial"/>
          <w:color w:val="000000" w:themeColor="text1"/>
        </w:rPr>
        <w:t xml:space="preserve">De lo anterior, </w:t>
      </w:r>
      <w:r w:rsidR="001847F0" w:rsidRPr="002E0F41">
        <w:rPr>
          <w:rFonts w:ascii="Verdana" w:hAnsi="Verdana" w:cs="Arial"/>
          <w:color w:val="000000" w:themeColor="text1"/>
        </w:rPr>
        <w:t xml:space="preserve">Rodríguez Tamayo, resalta </w:t>
      </w:r>
      <w:r w:rsidR="006368C7" w:rsidRPr="002E0F41">
        <w:rPr>
          <w:rFonts w:ascii="Verdana" w:hAnsi="Verdana" w:cs="Arial"/>
          <w:color w:val="000000" w:themeColor="text1"/>
        </w:rPr>
        <w:t xml:space="preserve">la importancia de la estructura del negocio concesional, en atención a dos elementos que lo integran, por un lado la asunción del riesgo económico y financiero, </w:t>
      </w:r>
      <w:r w:rsidR="00F1174E" w:rsidRPr="002E0F41">
        <w:rPr>
          <w:rFonts w:ascii="Verdana" w:hAnsi="Verdana" w:cs="Arial"/>
          <w:color w:val="000000" w:themeColor="text1"/>
        </w:rPr>
        <w:t xml:space="preserve">y el esquema de remuneración del concesionario, pues por una parte, por regla general, la obligación de realizar todas las inversiones </w:t>
      </w:r>
      <w:r w:rsidR="005204A9" w:rsidRPr="002E0F41">
        <w:rPr>
          <w:rFonts w:ascii="Verdana" w:hAnsi="Verdana" w:cs="Arial"/>
          <w:color w:val="000000" w:themeColor="text1"/>
        </w:rPr>
        <w:t xml:space="preserve">que demande la puesta en funcionamiento del proyecto-servicio, obra o explotación del bien </w:t>
      </w:r>
      <w:r w:rsidR="00C83D4D" w:rsidRPr="002E0F41">
        <w:rPr>
          <w:rFonts w:ascii="Verdana" w:hAnsi="Verdana" w:cs="Arial"/>
          <w:color w:val="000000" w:themeColor="text1"/>
        </w:rPr>
        <w:t>público</w:t>
      </w:r>
      <w:r w:rsidR="005204A9" w:rsidRPr="002E0F41">
        <w:rPr>
          <w:rFonts w:ascii="Verdana" w:hAnsi="Verdana" w:cs="Arial"/>
          <w:color w:val="000000" w:themeColor="text1"/>
        </w:rPr>
        <w:t xml:space="preserve">-, correrán por cuenta exclusiva del particular contratista, </w:t>
      </w:r>
      <w:r w:rsidR="002A1D67" w:rsidRPr="002E0F41">
        <w:rPr>
          <w:rFonts w:ascii="Verdana" w:hAnsi="Verdana" w:cs="Arial"/>
          <w:color w:val="000000" w:themeColor="text1"/>
        </w:rPr>
        <w:t xml:space="preserve">siendo recursos propios o recursos provenientes de crédito, </w:t>
      </w:r>
      <w:r w:rsidR="005204A9" w:rsidRPr="002E0F41">
        <w:rPr>
          <w:rFonts w:ascii="Verdana" w:hAnsi="Verdana" w:cs="Arial"/>
          <w:color w:val="000000" w:themeColor="text1"/>
        </w:rPr>
        <w:t xml:space="preserve">quedando el Estado en consecuencia, con la obligación de permitir </w:t>
      </w:r>
      <w:r w:rsidR="00C83D4D" w:rsidRPr="002E0F41">
        <w:rPr>
          <w:rFonts w:ascii="Verdana" w:hAnsi="Verdana" w:cs="Arial"/>
          <w:color w:val="000000" w:themeColor="text1"/>
        </w:rPr>
        <w:t>que</w:t>
      </w:r>
      <w:r w:rsidR="005204A9" w:rsidRPr="002E0F41">
        <w:rPr>
          <w:rFonts w:ascii="Verdana" w:hAnsi="Verdana" w:cs="Arial"/>
          <w:color w:val="000000" w:themeColor="text1"/>
        </w:rPr>
        <w:t xml:space="preserve"> el </w:t>
      </w:r>
      <w:r w:rsidR="00C83D4D" w:rsidRPr="002E0F41">
        <w:rPr>
          <w:rFonts w:ascii="Verdana" w:hAnsi="Verdana" w:cs="Arial"/>
          <w:color w:val="000000" w:themeColor="text1"/>
        </w:rPr>
        <w:t>inversionista</w:t>
      </w:r>
      <w:r w:rsidR="005204A9" w:rsidRPr="002E0F41">
        <w:rPr>
          <w:rFonts w:ascii="Verdana" w:hAnsi="Verdana" w:cs="Arial"/>
          <w:color w:val="000000" w:themeColor="text1"/>
        </w:rPr>
        <w:t xml:space="preserve"> recupere los activos dispuestos al servicio del negocio y por otra parte, que la remuneración del contratista, no lo será como tal el </w:t>
      </w:r>
      <w:r w:rsidR="00C83D4D" w:rsidRPr="002E0F41">
        <w:rPr>
          <w:rFonts w:ascii="Verdana" w:hAnsi="Verdana" w:cs="Arial"/>
          <w:color w:val="000000" w:themeColor="text1"/>
        </w:rPr>
        <w:t>valor</w:t>
      </w:r>
      <w:r w:rsidR="005204A9" w:rsidRPr="002E0F41">
        <w:rPr>
          <w:rFonts w:ascii="Verdana" w:hAnsi="Verdana" w:cs="Arial"/>
          <w:color w:val="000000" w:themeColor="text1"/>
        </w:rPr>
        <w:t xml:space="preserve"> de la inversión que realice en el proyecto, </w:t>
      </w:r>
      <w:r w:rsidR="008A2FAC" w:rsidRPr="002E0F41">
        <w:rPr>
          <w:rFonts w:ascii="Verdana" w:hAnsi="Verdana" w:cs="Arial"/>
          <w:color w:val="000000" w:themeColor="text1"/>
        </w:rPr>
        <w:t xml:space="preserve">que por lo general han sido denominados </w:t>
      </w:r>
      <w:r w:rsidR="00A814C6" w:rsidRPr="002E0F41">
        <w:rPr>
          <w:rFonts w:ascii="Verdana" w:hAnsi="Verdana" w:cs="Arial"/>
          <w:color w:val="000000" w:themeColor="text1"/>
        </w:rPr>
        <w:t xml:space="preserve">o </w:t>
      </w:r>
      <w:r w:rsidR="00A814C6" w:rsidRPr="002E0F41">
        <w:rPr>
          <w:rFonts w:ascii="Verdana" w:hAnsi="Verdana" w:cs="Arial"/>
          <w:color w:val="000000" w:themeColor="text1"/>
        </w:rPr>
        <w:lastRenderedPageBreak/>
        <w:t>equiparados con los flujos de caja de los modelos financieros</w:t>
      </w:r>
      <w:r w:rsidR="00720A2E" w:rsidRPr="002E0F41">
        <w:rPr>
          <w:rFonts w:ascii="Verdana" w:hAnsi="Verdana" w:cs="Arial"/>
          <w:color w:val="000000" w:themeColor="text1"/>
        </w:rPr>
        <w:t xml:space="preserve">, como </w:t>
      </w:r>
      <w:r w:rsidR="00720A2E" w:rsidRPr="002E0F41">
        <w:rPr>
          <w:rFonts w:ascii="Verdana" w:hAnsi="Verdana" w:cs="Arial"/>
          <w:color w:val="000000" w:themeColor="text1"/>
          <w:lang w:val="es-CO"/>
        </w:rPr>
        <w:t xml:space="preserve">una estimación los egresos en las obras de construcción, rehabilitación y mejoramiento de la vía </w:t>
      </w:r>
      <w:r w:rsidR="00720A2E" w:rsidRPr="005B3D15">
        <w:rPr>
          <w:rFonts w:ascii="Verdana" w:hAnsi="Verdana" w:cs="Arial"/>
          <w:color w:val="000000" w:themeColor="text1"/>
          <w:lang w:val="es-CO"/>
        </w:rPr>
        <w:t>(CAPEX</w:t>
      </w:r>
      <w:r w:rsidR="00720A2E" w:rsidRPr="002E0F41">
        <w:rPr>
          <w:rFonts w:ascii="Verdana" w:hAnsi="Verdana" w:cs="Arial"/>
          <w:color w:val="000000" w:themeColor="text1"/>
          <w:lang w:val="es-CO"/>
        </w:rPr>
        <w:t>), en su operación y mantenimiento (</w:t>
      </w:r>
      <w:proofErr w:type="spellStart"/>
      <w:r w:rsidR="00720A2E" w:rsidRPr="005B3D15">
        <w:rPr>
          <w:rFonts w:ascii="Verdana" w:hAnsi="Verdana" w:cs="Arial"/>
          <w:color w:val="000000" w:themeColor="text1"/>
          <w:lang w:val="es-CO"/>
        </w:rPr>
        <w:t>OPEX</w:t>
      </w:r>
      <w:proofErr w:type="spellEnd"/>
      <w:r w:rsidR="00720A2E" w:rsidRPr="002E0F41">
        <w:rPr>
          <w:rFonts w:ascii="Verdana" w:hAnsi="Verdana" w:cs="Arial"/>
          <w:color w:val="000000" w:themeColor="text1"/>
          <w:lang w:val="es-CO"/>
        </w:rPr>
        <w:t>) y de los impuestos que deben pagarse en el curso del proyecto</w:t>
      </w:r>
      <w:r w:rsidR="002E0F41" w:rsidRPr="002E0F41">
        <w:rPr>
          <w:rFonts w:ascii="Verdana" w:hAnsi="Verdana" w:cs="Arial"/>
          <w:color w:val="000000" w:themeColor="text1"/>
          <w:lang w:val="es-CO"/>
        </w:rPr>
        <w:t xml:space="preserve">, </w:t>
      </w:r>
      <w:r w:rsidR="005204A9" w:rsidRPr="002E0F41">
        <w:rPr>
          <w:rFonts w:ascii="Verdana" w:hAnsi="Verdana" w:cs="Arial"/>
          <w:color w:val="000000" w:themeColor="text1"/>
        </w:rPr>
        <w:t>sino que estará compuesta por los rendimientos producidos por los recursos públicos, de tal forma que el interés del concesionario radica en dichas ventajes- rentabilidad del costo financiero.</w:t>
      </w:r>
      <w:r w:rsidR="003D3AD7">
        <w:rPr>
          <w:rStyle w:val="Refdenotaalpie"/>
          <w:rFonts w:ascii="Verdana" w:hAnsi="Verdana" w:cs="Arial"/>
          <w:color w:val="000000" w:themeColor="text1"/>
        </w:rPr>
        <w:footnoteReference w:id="25"/>
      </w:r>
      <w:r w:rsidR="005204A9" w:rsidRPr="002E0F41">
        <w:rPr>
          <w:rFonts w:ascii="Verdana" w:hAnsi="Verdana" w:cs="Arial"/>
          <w:color w:val="000000" w:themeColor="text1"/>
        </w:rPr>
        <w:t xml:space="preserve"> </w:t>
      </w:r>
    </w:p>
    <w:p w14:paraId="4A5F3A57" w14:textId="77777777" w:rsidR="001847F0" w:rsidRPr="001847F0" w:rsidRDefault="001847F0" w:rsidP="001847F0">
      <w:pPr>
        <w:pStyle w:val="Prrafodelista"/>
        <w:rPr>
          <w:rFonts w:ascii="Verdana" w:hAnsi="Verdana" w:cs="Arial"/>
          <w:color w:val="000000" w:themeColor="text1"/>
        </w:rPr>
      </w:pPr>
    </w:p>
    <w:p w14:paraId="33F3661A" w14:textId="6CB5D0E6" w:rsidR="00E9421C" w:rsidRDefault="004102EE" w:rsidP="00E9421C">
      <w:pPr>
        <w:pStyle w:val="Prrafodelista"/>
        <w:numPr>
          <w:ilvl w:val="0"/>
          <w:numId w:val="19"/>
        </w:numPr>
        <w:tabs>
          <w:tab w:val="left" w:pos="0"/>
          <w:tab w:val="left" w:pos="284"/>
        </w:tabs>
        <w:spacing w:after="0" w:line="276" w:lineRule="auto"/>
        <w:ind w:left="0" w:firstLine="0"/>
        <w:jc w:val="both"/>
        <w:rPr>
          <w:rFonts w:ascii="Verdana" w:hAnsi="Verdana" w:cs="Arial"/>
          <w:color w:val="000000" w:themeColor="text1"/>
        </w:rPr>
      </w:pPr>
      <w:r>
        <w:rPr>
          <w:rFonts w:ascii="Verdana" w:hAnsi="Verdana" w:cs="Arial"/>
          <w:color w:val="000000" w:themeColor="text1"/>
        </w:rPr>
        <w:t xml:space="preserve">Frente </w:t>
      </w:r>
      <w:r w:rsidR="003D1E9B">
        <w:rPr>
          <w:rFonts w:ascii="Verdana" w:hAnsi="Verdana" w:cs="Arial"/>
          <w:color w:val="000000" w:themeColor="text1"/>
        </w:rPr>
        <w:t xml:space="preserve">al modelo negocial, ha resaltado el </w:t>
      </w:r>
      <w:r w:rsidR="009347ED" w:rsidRPr="00773D06">
        <w:rPr>
          <w:rFonts w:ascii="Verdana" w:hAnsi="Verdana" w:cs="Arial"/>
          <w:color w:val="000000" w:themeColor="text1"/>
        </w:rPr>
        <w:t xml:space="preserve">Consejo de Estado en sentencia del </w:t>
      </w:r>
      <w:r w:rsidR="00793FAD" w:rsidRPr="00773D06">
        <w:rPr>
          <w:rFonts w:ascii="Verdana" w:hAnsi="Verdana" w:cs="Arial"/>
          <w:color w:val="000000" w:themeColor="text1"/>
        </w:rPr>
        <w:t>18 de marzo de 2024 (62</w:t>
      </w:r>
      <w:r w:rsidR="000F5371">
        <w:rPr>
          <w:rFonts w:ascii="Verdana" w:hAnsi="Verdana" w:cs="Arial"/>
          <w:color w:val="000000" w:themeColor="text1"/>
        </w:rPr>
        <w:t>.</w:t>
      </w:r>
      <w:r w:rsidR="00793FAD" w:rsidRPr="00773D06">
        <w:rPr>
          <w:rFonts w:ascii="Verdana" w:hAnsi="Verdana" w:cs="Arial"/>
          <w:color w:val="000000" w:themeColor="text1"/>
        </w:rPr>
        <w:t>508)</w:t>
      </w:r>
      <w:r w:rsidR="009347ED" w:rsidRPr="00773D06">
        <w:rPr>
          <w:rFonts w:ascii="Verdana" w:hAnsi="Verdana" w:cs="Arial"/>
          <w:color w:val="000000" w:themeColor="text1"/>
        </w:rPr>
        <w:t xml:space="preserve">, </w:t>
      </w:r>
      <w:r w:rsidR="003D1E9B">
        <w:rPr>
          <w:rFonts w:ascii="Verdana" w:hAnsi="Verdana" w:cs="Arial"/>
          <w:color w:val="000000" w:themeColor="text1"/>
        </w:rPr>
        <w:t>lo siguiente:</w:t>
      </w:r>
    </w:p>
    <w:p w14:paraId="6AB70390" w14:textId="2326D959" w:rsidR="009347ED" w:rsidRDefault="009347ED" w:rsidP="009347ED">
      <w:pPr>
        <w:pStyle w:val="Prrafodelista"/>
        <w:rPr>
          <w:rFonts w:ascii="Verdana" w:hAnsi="Verdana" w:cs="Arial"/>
          <w:color w:val="000000" w:themeColor="text1"/>
        </w:rPr>
      </w:pPr>
    </w:p>
    <w:p w14:paraId="246CE388" w14:textId="1667E1B9" w:rsidR="009347ED" w:rsidRDefault="009347ED" w:rsidP="00990A50">
      <w:pPr>
        <w:pStyle w:val="Prrafodelista"/>
        <w:spacing w:line="240" w:lineRule="auto"/>
        <w:ind w:right="758"/>
        <w:jc w:val="both"/>
        <w:rPr>
          <w:rFonts w:ascii="Verdana" w:hAnsi="Verdana"/>
          <w:sz w:val="20"/>
        </w:rPr>
      </w:pPr>
      <w:r>
        <w:rPr>
          <w:rFonts w:ascii="Verdana" w:hAnsi="Verdana"/>
          <w:sz w:val="20"/>
        </w:rPr>
        <w:t>(…)</w:t>
      </w:r>
      <w:r w:rsidRPr="009347ED">
        <w:rPr>
          <w:rFonts w:ascii="Verdana" w:hAnsi="Verdana"/>
          <w:sz w:val="20"/>
        </w:rPr>
        <w:t xml:space="preserve"> Numerosos elementos afloran de esta definición legal, pero para el caso que ocupa la atención de la Sala se resalta de este modelo negocial la nota característica de que el contratista asume por su cuenta y riesgo la realización del objeto concesionado. La expresión indicada llena de contenido esta tipología contractual y significa, de una parte, que el contratista se encarga de la consecución de los recursos económicos según la relación </w:t>
      </w:r>
      <w:proofErr w:type="spellStart"/>
      <w:r w:rsidRPr="009347ED">
        <w:rPr>
          <w:rFonts w:ascii="Verdana" w:hAnsi="Verdana"/>
          <w:i/>
          <w:sz w:val="20"/>
        </w:rPr>
        <w:t>equity</w:t>
      </w:r>
      <w:proofErr w:type="spellEnd"/>
      <w:r w:rsidRPr="009347ED">
        <w:rPr>
          <w:rFonts w:ascii="Verdana" w:hAnsi="Verdana"/>
          <w:sz w:val="20"/>
        </w:rPr>
        <w:t>/</w:t>
      </w:r>
      <w:r w:rsidRPr="009347ED">
        <w:rPr>
          <w:rFonts w:ascii="Verdana" w:hAnsi="Verdana"/>
          <w:i/>
          <w:sz w:val="20"/>
        </w:rPr>
        <w:t>deuda</w:t>
      </w:r>
      <w:r w:rsidRPr="009347ED">
        <w:rPr>
          <w:rFonts w:ascii="Verdana" w:hAnsi="Verdana"/>
          <w:sz w:val="20"/>
        </w:rPr>
        <w:t xml:space="preserve"> que defina en su modelo financiero (con aporte de recursos propios / o de recursos de financiamiento, o de ambas clases) bajo análisis de predicción de rendimientos y de recuperación de su inversión. Y de otra, que al obtener el derecho económico de explotación y definir conforme a su </w:t>
      </w:r>
      <w:proofErr w:type="spellStart"/>
      <w:r w:rsidRPr="008B05E7">
        <w:rPr>
          <w:rFonts w:ascii="Verdana" w:hAnsi="Verdana"/>
          <w:i/>
          <w:sz w:val="20"/>
        </w:rPr>
        <w:t>expertice</w:t>
      </w:r>
      <w:proofErr w:type="spellEnd"/>
      <w:r w:rsidRPr="009347ED">
        <w:rPr>
          <w:rFonts w:ascii="Verdana" w:hAnsi="Verdana"/>
          <w:sz w:val="20"/>
        </w:rPr>
        <w:t xml:space="preserve"> la ruta de ejecución, asume el riesgo del éxito o fracaso de su desarrollo, como regla general</w:t>
      </w:r>
      <w:r w:rsidR="00522830" w:rsidRPr="009347ED">
        <w:rPr>
          <w:rFonts w:ascii="Verdana" w:hAnsi="Verdana"/>
          <w:sz w:val="20"/>
        </w:rPr>
        <w:t>.</w:t>
      </w:r>
      <w:r w:rsidR="00522830">
        <w:rPr>
          <w:rFonts w:ascii="Verdana" w:hAnsi="Verdana"/>
          <w:sz w:val="20"/>
        </w:rPr>
        <w:t xml:space="preserve"> (</w:t>
      </w:r>
      <w:r>
        <w:rPr>
          <w:rFonts w:ascii="Verdana" w:hAnsi="Verdana"/>
          <w:sz w:val="20"/>
        </w:rPr>
        <w:t>…)</w:t>
      </w:r>
    </w:p>
    <w:p w14:paraId="7C218183" w14:textId="2C726B3D" w:rsidR="007234BF" w:rsidRDefault="007234BF" w:rsidP="00990A50">
      <w:pPr>
        <w:pStyle w:val="Prrafodelista"/>
        <w:spacing w:line="240" w:lineRule="auto"/>
        <w:ind w:right="758"/>
        <w:jc w:val="both"/>
        <w:rPr>
          <w:rFonts w:ascii="Verdana" w:hAnsi="Verdana"/>
          <w:sz w:val="20"/>
        </w:rPr>
      </w:pPr>
    </w:p>
    <w:p w14:paraId="3C88C553" w14:textId="6603DAB4" w:rsidR="007234BF" w:rsidRDefault="007234BF" w:rsidP="00990A50">
      <w:pPr>
        <w:pStyle w:val="Prrafodelista"/>
        <w:spacing w:line="240" w:lineRule="auto"/>
        <w:ind w:right="758"/>
        <w:jc w:val="both"/>
        <w:rPr>
          <w:rFonts w:ascii="Verdana" w:hAnsi="Verdana"/>
          <w:sz w:val="20"/>
        </w:rPr>
      </w:pPr>
      <w:r>
        <w:rPr>
          <w:rFonts w:ascii="Verdana" w:hAnsi="Verdana"/>
          <w:sz w:val="20"/>
        </w:rPr>
        <w:t>(…)</w:t>
      </w:r>
    </w:p>
    <w:p w14:paraId="1718EF58" w14:textId="7C1A3D14" w:rsidR="009347ED" w:rsidRPr="007234BF" w:rsidRDefault="007234BF" w:rsidP="00990A50">
      <w:pPr>
        <w:pStyle w:val="Prrafodelista"/>
        <w:spacing w:line="240" w:lineRule="auto"/>
        <w:ind w:right="758"/>
        <w:jc w:val="both"/>
        <w:rPr>
          <w:rFonts w:ascii="Verdana" w:hAnsi="Verdana"/>
          <w:sz w:val="20"/>
        </w:rPr>
      </w:pPr>
      <w:r w:rsidRPr="007234BF">
        <w:rPr>
          <w:rFonts w:ascii="Verdana" w:hAnsi="Verdana"/>
          <w:sz w:val="20"/>
        </w:rPr>
        <w:t>La trascendencia de esta tipología negocial es innegable, en la medida que la explotación del bien, obra o servicio público se concede por un periodo prolongado, de modo que se genera una relación de mediano y largo plazo en la que cobra importancia superlativa el modelo financiero atado al principio de buena fe contractual para el cumplimiento del cometido público y en unos precisos límites temporales. Ello es así, pues en ese escenario entran en juego principios como la libertad de empresa, la libre concurrencia, la selección objetiva, entre otros, que están presentes tanto al momento de contratar como en caso de justificar una prórroga; entonces, como se viene indicando, el plazo en estos negocios financieros, más que una medida tiempo, se constituye directamente en elemento central de la fórmula de balance y remuneración acordada por las partes.</w:t>
      </w:r>
      <w:r w:rsidR="00793FAD">
        <w:rPr>
          <w:rStyle w:val="Refdenotaalpie"/>
          <w:rFonts w:ascii="Verdana" w:hAnsi="Verdana"/>
          <w:sz w:val="20"/>
        </w:rPr>
        <w:footnoteReference w:id="26"/>
      </w:r>
      <w:r>
        <w:rPr>
          <w:rFonts w:ascii="Verdana" w:hAnsi="Verdana"/>
          <w:sz w:val="20"/>
        </w:rPr>
        <w:t xml:space="preserve"> (…)</w:t>
      </w:r>
    </w:p>
    <w:p w14:paraId="0D5AAD4C" w14:textId="77777777" w:rsidR="009347ED" w:rsidRDefault="009347ED" w:rsidP="009347ED">
      <w:pPr>
        <w:pStyle w:val="Prrafodelista"/>
        <w:tabs>
          <w:tab w:val="left" w:pos="0"/>
          <w:tab w:val="left" w:pos="284"/>
        </w:tabs>
        <w:spacing w:after="0" w:line="276" w:lineRule="auto"/>
        <w:ind w:left="0"/>
        <w:jc w:val="both"/>
        <w:rPr>
          <w:rFonts w:ascii="Verdana" w:hAnsi="Verdana" w:cs="Arial"/>
          <w:color w:val="000000" w:themeColor="text1"/>
        </w:rPr>
      </w:pPr>
    </w:p>
    <w:p w14:paraId="5F8ECC95" w14:textId="30B2BCDB" w:rsidR="00D42C6A" w:rsidRDefault="003E3EBC" w:rsidP="003E3EBC">
      <w:pPr>
        <w:pStyle w:val="Prrafodelista"/>
        <w:tabs>
          <w:tab w:val="left" w:pos="0"/>
          <w:tab w:val="left" w:pos="284"/>
        </w:tabs>
        <w:spacing w:after="0" w:line="276" w:lineRule="auto"/>
        <w:ind w:left="0"/>
        <w:jc w:val="both"/>
        <w:rPr>
          <w:rFonts w:ascii="Verdana" w:hAnsi="Verdana" w:cs="Arial"/>
          <w:color w:val="000000" w:themeColor="text1"/>
        </w:rPr>
      </w:pPr>
      <w:r>
        <w:rPr>
          <w:rFonts w:ascii="Verdana" w:hAnsi="Verdana" w:cs="Arial"/>
          <w:color w:val="000000" w:themeColor="text1"/>
        </w:rPr>
        <w:lastRenderedPageBreak/>
        <w:tab/>
      </w:r>
      <w:r>
        <w:rPr>
          <w:rFonts w:ascii="Verdana" w:hAnsi="Verdana" w:cs="Arial"/>
          <w:color w:val="000000" w:themeColor="text1"/>
        </w:rPr>
        <w:tab/>
      </w:r>
      <w:r w:rsidR="007234BF">
        <w:rPr>
          <w:rFonts w:ascii="Verdana" w:hAnsi="Verdana" w:cs="Arial"/>
          <w:color w:val="000000" w:themeColor="text1"/>
        </w:rPr>
        <w:t>Se encuentra pues en este tipo de contrato, un rol diferente por parte del contratista</w:t>
      </w:r>
      <w:r w:rsidR="00DF070C">
        <w:rPr>
          <w:rFonts w:ascii="Verdana" w:hAnsi="Verdana" w:cs="Arial"/>
          <w:color w:val="000000" w:themeColor="text1"/>
        </w:rPr>
        <w:t>-concesionario</w:t>
      </w:r>
      <w:r w:rsidR="007234BF">
        <w:rPr>
          <w:rFonts w:ascii="Verdana" w:hAnsi="Verdana" w:cs="Arial"/>
          <w:color w:val="000000" w:themeColor="text1"/>
        </w:rPr>
        <w:t xml:space="preserve">, al que puede resultar en un contrato de obra por ejemplo en donde se requiere en parte del apoyo de la entidad contratante para la realización y consecución de las actividades, obra-servicio, </w:t>
      </w:r>
      <w:r w:rsidR="00793FAD">
        <w:rPr>
          <w:rFonts w:ascii="Verdana" w:hAnsi="Verdana" w:cs="Arial"/>
          <w:color w:val="000000" w:themeColor="text1"/>
        </w:rPr>
        <w:t>pues en la concesión</w:t>
      </w:r>
      <w:r w:rsidR="008B05E7">
        <w:rPr>
          <w:rFonts w:ascii="Verdana" w:hAnsi="Verdana" w:cs="Arial"/>
          <w:color w:val="000000" w:themeColor="text1"/>
        </w:rPr>
        <w:t>,</w:t>
      </w:r>
      <w:r w:rsidR="00793FAD">
        <w:rPr>
          <w:rFonts w:ascii="Verdana" w:hAnsi="Verdana" w:cs="Arial"/>
          <w:color w:val="000000" w:themeColor="text1"/>
        </w:rPr>
        <w:t xml:space="preserve"> el particular asume por su cuenta y riesgo la realización del objeto contratado</w:t>
      </w:r>
      <w:r>
        <w:rPr>
          <w:rFonts w:ascii="Verdana" w:hAnsi="Verdana" w:cs="Arial"/>
          <w:color w:val="000000" w:themeColor="text1"/>
        </w:rPr>
        <w:t xml:space="preserve">, lo </w:t>
      </w:r>
      <w:r w:rsidRPr="003E3EBC">
        <w:rPr>
          <w:rFonts w:ascii="Verdana" w:hAnsi="Verdana" w:cs="Arial"/>
          <w:color w:val="000000" w:themeColor="text1"/>
        </w:rPr>
        <w:t xml:space="preserve">cual sirve </w:t>
      </w:r>
      <w:r w:rsidR="0016194B">
        <w:rPr>
          <w:rFonts w:ascii="Verdana" w:hAnsi="Verdana" w:cs="Arial"/>
          <w:color w:val="000000" w:themeColor="text1"/>
        </w:rPr>
        <w:t>a</w:t>
      </w:r>
      <w:r w:rsidRPr="003E3EBC">
        <w:rPr>
          <w:rFonts w:ascii="Verdana" w:hAnsi="Verdana" w:cs="Arial"/>
          <w:color w:val="000000" w:themeColor="text1"/>
        </w:rPr>
        <w:t>l Estado para el cumplimiento de algunos de sus</w:t>
      </w:r>
      <w:r>
        <w:rPr>
          <w:rFonts w:ascii="Verdana" w:hAnsi="Verdana" w:cs="Arial"/>
          <w:color w:val="000000" w:themeColor="text1"/>
        </w:rPr>
        <w:t xml:space="preserve"> </w:t>
      </w:r>
      <w:r w:rsidRPr="003E3EBC">
        <w:rPr>
          <w:rFonts w:ascii="Verdana" w:hAnsi="Verdana" w:cs="Arial"/>
          <w:color w:val="000000" w:themeColor="text1"/>
        </w:rPr>
        <w:t>fines ante la escasez de recursos públicos, de forma que las grandes inversiones</w:t>
      </w:r>
      <w:r>
        <w:rPr>
          <w:rFonts w:ascii="Verdana" w:hAnsi="Verdana" w:cs="Arial"/>
          <w:color w:val="000000" w:themeColor="text1"/>
        </w:rPr>
        <w:t xml:space="preserve"> </w:t>
      </w:r>
      <w:r w:rsidRPr="003E3EBC">
        <w:rPr>
          <w:rFonts w:ascii="Verdana" w:hAnsi="Verdana" w:cs="Arial"/>
          <w:color w:val="000000" w:themeColor="text1"/>
        </w:rPr>
        <w:t>que traen consigo los contratos de concesión tienen como eje fundamental la</w:t>
      </w:r>
      <w:r>
        <w:rPr>
          <w:rFonts w:ascii="Verdana" w:hAnsi="Verdana" w:cs="Arial"/>
          <w:color w:val="000000" w:themeColor="text1"/>
        </w:rPr>
        <w:t xml:space="preserve"> </w:t>
      </w:r>
      <w:r w:rsidRPr="003E3EBC">
        <w:rPr>
          <w:rFonts w:ascii="Verdana" w:hAnsi="Verdana" w:cs="Arial"/>
          <w:color w:val="000000" w:themeColor="text1"/>
        </w:rPr>
        <w:t>relación entre el monto de los recursos privados comprometidos para cumplir el</w:t>
      </w:r>
      <w:r>
        <w:rPr>
          <w:rFonts w:ascii="Verdana" w:hAnsi="Verdana" w:cs="Arial"/>
          <w:color w:val="000000" w:themeColor="text1"/>
        </w:rPr>
        <w:t xml:space="preserve"> </w:t>
      </w:r>
      <w:r w:rsidRPr="003E3EBC">
        <w:rPr>
          <w:rFonts w:ascii="Verdana" w:hAnsi="Verdana" w:cs="Arial"/>
          <w:color w:val="000000" w:themeColor="text1"/>
        </w:rPr>
        <w:t>objeto y la dinámica de recuperación o retorno de lo invertido en un determinado</w:t>
      </w:r>
      <w:r>
        <w:rPr>
          <w:rFonts w:ascii="Verdana" w:hAnsi="Verdana" w:cs="Arial"/>
          <w:color w:val="000000" w:themeColor="text1"/>
        </w:rPr>
        <w:t xml:space="preserve"> </w:t>
      </w:r>
      <w:r w:rsidRPr="003E3EBC">
        <w:rPr>
          <w:rFonts w:ascii="Verdana" w:hAnsi="Verdana" w:cs="Arial"/>
          <w:color w:val="000000" w:themeColor="text1"/>
        </w:rPr>
        <w:t>plazo</w:t>
      </w:r>
      <w:r>
        <w:rPr>
          <w:rFonts w:ascii="Verdana" w:hAnsi="Verdana" w:cs="Arial"/>
          <w:color w:val="000000" w:themeColor="text1"/>
        </w:rPr>
        <w:t>.</w:t>
      </w:r>
    </w:p>
    <w:p w14:paraId="5C078B39" w14:textId="2874F754" w:rsidR="007A5DAA" w:rsidRDefault="007A5DAA" w:rsidP="00190DE5">
      <w:pPr>
        <w:pStyle w:val="Prrafodelista"/>
        <w:tabs>
          <w:tab w:val="left" w:pos="0"/>
          <w:tab w:val="left" w:pos="284"/>
        </w:tabs>
        <w:spacing w:after="0" w:line="276" w:lineRule="auto"/>
        <w:ind w:left="0"/>
        <w:jc w:val="both"/>
        <w:rPr>
          <w:rFonts w:ascii="Verdana" w:hAnsi="Verdana" w:cs="Arial"/>
          <w:color w:val="000000" w:themeColor="text1"/>
        </w:rPr>
      </w:pPr>
    </w:p>
    <w:p w14:paraId="3965B43E" w14:textId="77777777" w:rsidR="005646A1" w:rsidRPr="005646A1" w:rsidRDefault="0079239D" w:rsidP="00190DE5">
      <w:pPr>
        <w:pStyle w:val="Prrafodelista"/>
        <w:numPr>
          <w:ilvl w:val="0"/>
          <w:numId w:val="19"/>
        </w:numPr>
        <w:tabs>
          <w:tab w:val="left" w:pos="0"/>
          <w:tab w:val="left" w:pos="284"/>
        </w:tabs>
        <w:spacing w:line="276" w:lineRule="auto"/>
        <w:ind w:left="0" w:firstLine="0"/>
        <w:jc w:val="both"/>
        <w:rPr>
          <w:rFonts w:ascii="Verdana" w:hAnsi="Verdana" w:cs="Arial"/>
        </w:rPr>
      </w:pPr>
      <w:r>
        <w:rPr>
          <w:rFonts w:ascii="Verdana" w:hAnsi="Verdana" w:cs="Arial"/>
        </w:rPr>
        <w:t xml:space="preserve">De lo anterior, es preciso advertir que cada </w:t>
      </w:r>
      <w:r>
        <w:rPr>
          <w:rFonts w:ascii="Verdana" w:hAnsi="Verdana" w:cs="Arial"/>
          <w:color w:val="000000" w:themeColor="text1"/>
        </w:rPr>
        <w:t>modelo negocial, tiene una particularidad definitiva a partir del objeto de la concesión, pues existirán negocios en los cuales</w:t>
      </w:r>
      <w:r w:rsidR="00BB48C9">
        <w:rPr>
          <w:rFonts w:ascii="Verdana" w:hAnsi="Verdana" w:cs="Arial"/>
          <w:color w:val="000000" w:themeColor="text1"/>
        </w:rPr>
        <w:t xml:space="preserve"> se cuente con la capacidad de generar </w:t>
      </w:r>
      <w:r w:rsidR="00113ED3">
        <w:rPr>
          <w:rFonts w:ascii="Verdana" w:hAnsi="Verdana" w:cs="Arial"/>
          <w:color w:val="000000" w:themeColor="text1"/>
        </w:rPr>
        <w:t xml:space="preserve">ingresos a través del cobro de tarifas y lograr el retorno de la inversión por parte del privado de una manera </w:t>
      </w:r>
      <w:proofErr w:type="spellStart"/>
      <w:r w:rsidR="00F61D6E">
        <w:rPr>
          <w:rFonts w:ascii="Verdana" w:hAnsi="Verdana" w:cs="Arial"/>
          <w:color w:val="000000" w:themeColor="text1"/>
        </w:rPr>
        <w:t>mas</w:t>
      </w:r>
      <w:proofErr w:type="spellEnd"/>
      <w:r w:rsidR="00F61D6E">
        <w:rPr>
          <w:rFonts w:ascii="Verdana" w:hAnsi="Verdana" w:cs="Arial"/>
          <w:color w:val="000000" w:themeColor="text1"/>
        </w:rPr>
        <w:t xml:space="preserve"> </w:t>
      </w:r>
      <w:r w:rsidR="00F21001">
        <w:rPr>
          <w:rFonts w:ascii="Verdana" w:hAnsi="Verdana" w:cs="Arial"/>
          <w:color w:val="000000" w:themeColor="text1"/>
        </w:rPr>
        <w:t xml:space="preserve">cercana en el tiempo y sin requerir </w:t>
      </w:r>
      <w:r w:rsidR="00172834">
        <w:rPr>
          <w:rFonts w:ascii="Verdana" w:hAnsi="Verdana" w:cs="Arial"/>
          <w:color w:val="000000" w:themeColor="text1"/>
        </w:rPr>
        <w:t xml:space="preserve">apoyo de los recursos de la entidad contratante y otros que </w:t>
      </w:r>
      <w:r w:rsidR="003C32E3">
        <w:rPr>
          <w:rFonts w:ascii="Verdana" w:hAnsi="Verdana" w:cs="Arial"/>
          <w:color w:val="000000" w:themeColor="text1"/>
        </w:rPr>
        <w:t xml:space="preserve">en el </w:t>
      </w:r>
      <w:r w:rsidR="001E4CE9">
        <w:rPr>
          <w:rFonts w:ascii="Verdana" w:hAnsi="Verdana" w:cs="Arial"/>
          <w:color w:val="000000" w:themeColor="text1"/>
        </w:rPr>
        <w:t xml:space="preserve">modelo negocial, se evidencie una insuficiencia en el </w:t>
      </w:r>
      <w:r w:rsidR="009738F8">
        <w:rPr>
          <w:rFonts w:ascii="Verdana" w:hAnsi="Verdana" w:cs="Arial"/>
          <w:color w:val="000000" w:themeColor="text1"/>
        </w:rPr>
        <w:t>retorno de la inversión y requieren un apalancamiento por parte de la entidad contratante</w:t>
      </w:r>
      <w:r w:rsidR="005646A1">
        <w:rPr>
          <w:rFonts w:ascii="Verdana" w:hAnsi="Verdana" w:cs="Arial"/>
          <w:color w:val="000000" w:themeColor="text1"/>
        </w:rPr>
        <w:t xml:space="preserve">, haciendo necesaria la consagración de un anticipo en el respectivo contrato de concesión. </w:t>
      </w:r>
    </w:p>
    <w:p w14:paraId="08C0C0BB" w14:textId="75F0FEA3" w:rsidR="00210A18" w:rsidRPr="00210A18" w:rsidRDefault="001E4CE9" w:rsidP="005646A1">
      <w:pPr>
        <w:pStyle w:val="Prrafodelista"/>
        <w:tabs>
          <w:tab w:val="left" w:pos="0"/>
          <w:tab w:val="left" w:pos="284"/>
        </w:tabs>
        <w:spacing w:line="276" w:lineRule="auto"/>
        <w:ind w:left="0"/>
        <w:jc w:val="both"/>
        <w:rPr>
          <w:rFonts w:ascii="Verdana" w:hAnsi="Verdana" w:cs="Arial"/>
        </w:rPr>
      </w:pPr>
      <w:r>
        <w:rPr>
          <w:rFonts w:ascii="Verdana" w:hAnsi="Verdana" w:cs="Arial"/>
          <w:color w:val="000000" w:themeColor="text1"/>
        </w:rPr>
        <w:t xml:space="preserve"> </w:t>
      </w:r>
    </w:p>
    <w:p w14:paraId="6337A7CD" w14:textId="77777777" w:rsidR="007377BB" w:rsidRPr="007377BB" w:rsidRDefault="001512D8" w:rsidP="00190DE5">
      <w:pPr>
        <w:pStyle w:val="Prrafodelista"/>
        <w:numPr>
          <w:ilvl w:val="0"/>
          <w:numId w:val="19"/>
        </w:numPr>
        <w:tabs>
          <w:tab w:val="left" w:pos="0"/>
          <w:tab w:val="left" w:pos="284"/>
        </w:tabs>
        <w:spacing w:line="276" w:lineRule="auto"/>
        <w:ind w:left="0" w:firstLine="0"/>
        <w:jc w:val="both"/>
        <w:rPr>
          <w:rFonts w:ascii="Verdana" w:hAnsi="Verdana" w:cs="Arial"/>
        </w:rPr>
      </w:pPr>
      <w:r w:rsidRPr="001A5BCA">
        <w:rPr>
          <w:rFonts w:ascii="Verdana" w:hAnsi="Verdana"/>
        </w:rPr>
        <w:t xml:space="preserve">Ahora bien, como tercer componente temático planteado, respecto a la </w:t>
      </w:r>
      <w:r w:rsidR="007A5DAA" w:rsidRPr="001A5BCA">
        <w:rPr>
          <w:rFonts w:ascii="Verdana" w:hAnsi="Verdana"/>
        </w:rPr>
        <w:t xml:space="preserve">modificación de los contratos estatales, </w:t>
      </w:r>
      <w:r w:rsidR="00190DE5" w:rsidRPr="001A5BCA">
        <w:rPr>
          <w:rFonts w:ascii="Verdana" w:hAnsi="Verdana"/>
        </w:rPr>
        <w:t>e</w:t>
      </w:r>
      <w:r w:rsidRPr="001A5BCA">
        <w:rPr>
          <w:rFonts w:ascii="Verdana" w:hAnsi="Verdana"/>
        </w:rPr>
        <w:t xml:space="preserve">l </w:t>
      </w:r>
      <w:r w:rsidR="00190DE5" w:rsidRPr="001A5BCA">
        <w:rPr>
          <w:rFonts w:ascii="Verdana" w:hAnsi="Verdana"/>
        </w:rPr>
        <w:t>EGCAP</w:t>
      </w:r>
      <w:r w:rsidR="007A5DAA" w:rsidRPr="001A5BCA">
        <w:rPr>
          <w:rFonts w:ascii="Verdana" w:hAnsi="Verdana"/>
        </w:rPr>
        <w:t xml:space="preserve">, contenido en las Leyes 80 de 1993, 1150 de 2007 y 1474 de 2011, así como en las normas que las han modificado y las reglamentan, no consagran una regulación expresa sobre la posibilidad de modificar los contratos celebrados por las Entidades Estatales. </w:t>
      </w:r>
    </w:p>
    <w:p w14:paraId="692D57E9" w14:textId="77777777" w:rsidR="007377BB" w:rsidRPr="007377BB" w:rsidRDefault="007377BB" w:rsidP="007377BB">
      <w:pPr>
        <w:pStyle w:val="Prrafodelista"/>
        <w:rPr>
          <w:rFonts w:ascii="Verdana" w:hAnsi="Verdana"/>
        </w:rPr>
      </w:pPr>
    </w:p>
    <w:p w14:paraId="15AB6ADC" w14:textId="589231D8" w:rsidR="007A5DAA" w:rsidRPr="001A5BCA" w:rsidRDefault="007377BB" w:rsidP="00190DE5">
      <w:pPr>
        <w:pStyle w:val="Prrafodelista"/>
        <w:numPr>
          <w:ilvl w:val="0"/>
          <w:numId w:val="19"/>
        </w:numPr>
        <w:tabs>
          <w:tab w:val="left" w:pos="0"/>
          <w:tab w:val="left" w:pos="284"/>
        </w:tabs>
        <w:spacing w:line="276" w:lineRule="auto"/>
        <w:ind w:left="0" w:firstLine="0"/>
        <w:jc w:val="both"/>
        <w:rPr>
          <w:rFonts w:ascii="Verdana" w:hAnsi="Verdana" w:cs="Arial"/>
        </w:rPr>
      </w:pPr>
      <w:r>
        <w:rPr>
          <w:rFonts w:ascii="Verdana" w:hAnsi="Verdana"/>
        </w:rPr>
        <w:t>Lo anterior,</w:t>
      </w:r>
      <w:r w:rsidR="007A5DAA" w:rsidRPr="001A5BCA">
        <w:rPr>
          <w:rFonts w:ascii="Verdana" w:hAnsi="Verdana"/>
        </w:rPr>
        <w:t xml:space="preserve">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007A5DAA" w:rsidRPr="001A5BCA">
        <w:rPr>
          <w:rFonts w:ascii="Verdana" w:hAnsi="Verdana" w:cs="Arial"/>
          <w:bCs/>
          <w:szCs w:val="24"/>
          <w:vertAlign w:val="superscript"/>
          <w:lang w:val="es-MX" w:eastAsia="es-ES_tradnl"/>
        </w:rPr>
        <w:footnoteReference w:id="27"/>
      </w:r>
      <w:r w:rsidR="007A5DAA" w:rsidRPr="001A5BCA">
        <w:rPr>
          <w:rFonts w:ascii="Verdana" w:hAnsi="Verdana" w:cs="Arial"/>
          <w:bCs/>
          <w:szCs w:val="24"/>
          <w:lang w:val="es-MX" w:eastAsia="es-ES_tradnl" w:bidi="es-ES"/>
        </w:rPr>
        <w:t>.</w:t>
      </w:r>
    </w:p>
    <w:p w14:paraId="6C2F3497" w14:textId="77777777" w:rsidR="007A5DAA" w:rsidRPr="001A5BCA" w:rsidRDefault="007A5DAA" w:rsidP="00190DE5">
      <w:pPr>
        <w:pStyle w:val="Prrafodelista"/>
        <w:tabs>
          <w:tab w:val="left" w:pos="284"/>
        </w:tabs>
        <w:ind w:left="0"/>
        <w:rPr>
          <w:rFonts w:ascii="Verdana" w:hAnsi="Verdana"/>
        </w:rPr>
      </w:pPr>
    </w:p>
    <w:p w14:paraId="6A01674F" w14:textId="0D792BB0" w:rsidR="007A5DAA" w:rsidRPr="001A5BCA" w:rsidRDefault="009D2DAE" w:rsidP="00190DE5">
      <w:pPr>
        <w:pStyle w:val="Prrafodelista"/>
        <w:numPr>
          <w:ilvl w:val="0"/>
          <w:numId w:val="19"/>
        </w:numPr>
        <w:tabs>
          <w:tab w:val="left" w:pos="0"/>
          <w:tab w:val="left" w:pos="284"/>
        </w:tabs>
        <w:spacing w:line="276" w:lineRule="auto"/>
        <w:ind w:left="0" w:firstLine="0"/>
        <w:jc w:val="both"/>
        <w:rPr>
          <w:rFonts w:ascii="Verdana" w:hAnsi="Verdana" w:cs="Arial"/>
        </w:rPr>
      </w:pPr>
      <w:r w:rsidRPr="001A5BCA">
        <w:rPr>
          <w:rFonts w:ascii="Verdana" w:hAnsi="Verdana"/>
        </w:rPr>
        <w:t>Se precisa que</w:t>
      </w:r>
      <w:r w:rsidR="007A5DAA" w:rsidRPr="001A5BCA">
        <w:rPr>
          <w:rFonts w:ascii="Verdana" w:hAnsi="Verdana"/>
        </w:rPr>
        <w:t xml:space="preserve"> no existe ninguna restricción expresa para modificar los contratos estatales, pues los mismos principios antes referidos, pueden poner en evidencia la necesidad de suscribir documentos de modificación en los cuales se cambie parte de las estipulaciones pactadas en un comienzo. En el contexto antes expuesto, la jurisprudencia ha fijado pautas generales conforme a las cuales la Administración Pública debe evaluar, teniendo en cuenta las particularidades de cada caso, si resulta procedente suscribir documentos de modificación a los contratos que ha celebrado. Así, por ejemplo, la Corte Constitucional, mediante sentencia C-416 de 2012, expresó lo siguiente sobre la posibilidad de modificar los contratos estatales:</w:t>
      </w:r>
    </w:p>
    <w:p w14:paraId="3E46A1CD" w14:textId="16C4A843" w:rsidR="007A5DAA" w:rsidRPr="001A5BCA" w:rsidRDefault="007A5DAA" w:rsidP="00174A2E">
      <w:pPr>
        <w:tabs>
          <w:tab w:val="left" w:pos="284"/>
        </w:tabs>
        <w:spacing w:after="0" w:line="240" w:lineRule="auto"/>
        <w:ind w:left="567" w:right="900"/>
        <w:jc w:val="both"/>
        <w:rPr>
          <w:rFonts w:ascii="Verdana" w:hAnsi="Verdana" w:cs="Arial"/>
          <w:i/>
          <w:iCs/>
          <w:sz w:val="20"/>
          <w:szCs w:val="20"/>
          <w:lang w:val="es-MX" w:eastAsia="es-ES_tradnl"/>
        </w:rPr>
      </w:pPr>
      <w:r w:rsidRPr="001A5BCA">
        <w:rPr>
          <w:rFonts w:ascii="Verdana" w:hAnsi="Verdana" w:cs="Arial"/>
          <w:i/>
          <w:iCs/>
          <w:sz w:val="20"/>
          <w:szCs w:val="20"/>
          <w:lang w:val="es-MX" w:eastAsia="es-ES_tradnl"/>
        </w:rPr>
        <w:t>“Por regla general, los contratos estatales pueden ser modificados cuando sea necesario para lograr su finalidad y en aras de la realización de los fines del Estado, a los cuales sirve el contrato.</w:t>
      </w:r>
      <w:r w:rsidRPr="001A5BCA">
        <w:rPr>
          <w:rFonts w:ascii="Verdana" w:hAnsi="Verdana" w:cs="Arial"/>
          <w:i/>
          <w:iCs/>
          <w:sz w:val="20"/>
          <w:szCs w:val="20"/>
          <w:vertAlign w:val="superscript"/>
          <w:lang w:val="es-MX" w:eastAsia="es-ES_tradnl"/>
        </w:rPr>
        <w:footnoteReference w:id="28"/>
      </w:r>
      <w:r w:rsidRPr="001A5BCA">
        <w:rPr>
          <w:rFonts w:ascii="Verdana" w:hAnsi="Verdana" w:cs="Arial"/>
          <w:i/>
          <w:iCs/>
          <w:sz w:val="20"/>
          <w:szCs w:val="20"/>
          <w:lang w:val="es-MX" w:eastAsia="es-ES_tradnl"/>
        </w:rPr>
        <w:t xml:space="preserve"> Así lo prevén por ejemplo los artículos 14 y 16 de la ley 80, los cuales facultan a la entidades contratantes a modificar los contratos de común acuerdo o de forma unilateral, para </w:t>
      </w:r>
      <w:r w:rsidRPr="005B3D15">
        <w:rPr>
          <w:rFonts w:ascii="Verdana" w:hAnsi="Verdana" w:cs="Arial"/>
          <w:i/>
          <w:iCs/>
          <w:sz w:val="20"/>
          <w:szCs w:val="20"/>
          <w:lang w:val="es-MX" w:eastAsia="es-ES_tradnl"/>
        </w:rPr>
        <w:t>“</w:t>
      </w:r>
      <w:r w:rsidR="0095760D">
        <w:rPr>
          <w:rFonts w:ascii="Verdana" w:hAnsi="Verdana" w:cs="Arial"/>
          <w:i/>
          <w:iCs/>
          <w:sz w:val="20"/>
          <w:szCs w:val="20"/>
          <w:lang w:val="es-MX" w:eastAsia="es-ES_tradnl"/>
        </w:rPr>
        <w:t>(</w:t>
      </w:r>
      <w:r w:rsidRPr="005B3D15">
        <w:rPr>
          <w:rFonts w:ascii="Verdana" w:hAnsi="Verdana" w:cs="Arial"/>
          <w:i/>
          <w:iCs/>
          <w:sz w:val="20"/>
          <w:szCs w:val="20"/>
          <w:lang w:val="es-MX" w:eastAsia="es-ES_tradnl"/>
        </w:rPr>
        <w:t>…</w:t>
      </w:r>
      <w:r w:rsidR="0095760D">
        <w:rPr>
          <w:rFonts w:ascii="Verdana" w:hAnsi="Verdana" w:cs="Arial"/>
          <w:i/>
          <w:iCs/>
          <w:sz w:val="20"/>
          <w:szCs w:val="20"/>
          <w:lang w:val="es-MX" w:eastAsia="es-ES_tradnl"/>
        </w:rPr>
        <w:t>)</w:t>
      </w:r>
      <w:r w:rsidRPr="001A5BCA">
        <w:rPr>
          <w:rFonts w:ascii="Verdana" w:hAnsi="Verdana" w:cs="Arial"/>
          <w:i/>
          <w:iCs/>
          <w:sz w:val="20"/>
          <w:szCs w:val="20"/>
          <w:lang w:val="es-MX" w:eastAsia="es-ES_tradnl"/>
        </w:rPr>
        <w:t xml:space="preserve"> evitar la paralización o la afectación grave de los servicios públicos a su cargo y asegurar la inmediata, continua y adecuada prestación”, entre otros. En el mismo sentido, en la sentencia C-949 de 201</w:t>
      </w:r>
      <w:r w:rsidRPr="001A5BCA">
        <w:rPr>
          <w:rFonts w:ascii="Verdana" w:hAnsi="Verdana" w:cs="Arial"/>
          <w:i/>
          <w:iCs/>
          <w:sz w:val="20"/>
          <w:szCs w:val="20"/>
          <w:lang w:val="es-MX" w:eastAsia="es-ES_tradnl"/>
        </w:rPr>
        <w:footnoteReference w:id="29"/>
      </w:r>
      <w:r w:rsidRPr="001A5BCA">
        <w:rPr>
          <w:rFonts w:ascii="Verdana" w:hAnsi="Verdana" w:cs="Arial"/>
          <w:i/>
          <w:iCs/>
          <w:sz w:val="20"/>
          <w:szCs w:val="20"/>
          <w:lang w:val="es-MX" w:eastAsia="es-ES_tradnl"/>
        </w:rPr>
        <w:t>, la Corte Constitucional señaló que las prórrogas de los contratos –como especie de modificación- pueden ser un instrumento útil para lograr los fines propios de la contratación estatal.”</w:t>
      </w:r>
      <w:r w:rsidRPr="001A5BCA">
        <w:rPr>
          <w:rFonts w:ascii="Verdana" w:hAnsi="Verdana" w:cs="Arial"/>
          <w:i/>
          <w:iCs/>
          <w:sz w:val="20"/>
          <w:szCs w:val="20"/>
          <w:vertAlign w:val="superscript"/>
          <w:lang w:val="es-MX" w:eastAsia="es-ES_tradnl"/>
        </w:rPr>
        <w:footnoteReference w:id="30"/>
      </w:r>
    </w:p>
    <w:p w14:paraId="36BA002D" w14:textId="77777777" w:rsidR="007A5DAA" w:rsidRPr="001A5BCA" w:rsidRDefault="007A5DAA" w:rsidP="00190DE5">
      <w:pPr>
        <w:tabs>
          <w:tab w:val="left" w:pos="284"/>
        </w:tabs>
        <w:spacing w:after="0" w:line="240" w:lineRule="auto"/>
        <w:ind w:right="709"/>
        <w:jc w:val="both"/>
        <w:rPr>
          <w:rFonts w:ascii="Verdana" w:hAnsi="Verdana" w:cs="Arial"/>
          <w:sz w:val="20"/>
          <w:szCs w:val="20"/>
          <w:lang w:val="es-MX" w:eastAsia="es-ES_tradnl"/>
        </w:rPr>
      </w:pPr>
    </w:p>
    <w:p w14:paraId="18A59BDC" w14:textId="77777777" w:rsidR="007A5DAA" w:rsidRPr="001A5BCA" w:rsidRDefault="007A5DAA" w:rsidP="00190DE5">
      <w:pPr>
        <w:pStyle w:val="Prrafodelista"/>
        <w:numPr>
          <w:ilvl w:val="0"/>
          <w:numId w:val="19"/>
        </w:numPr>
        <w:tabs>
          <w:tab w:val="left" w:pos="284"/>
        </w:tabs>
        <w:spacing w:after="0" w:line="276" w:lineRule="auto"/>
        <w:ind w:left="0" w:firstLine="0"/>
        <w:jc w:val="both"/>
        <w:rPr>
          <w:rFonts w:ascii="Verdana" w:hAnsi="Verdana"/>
        </w:rPr>
      </w:pPr>
      <w:r w:rsidRPr="001A5BCA">
        <w:rPr>
          <w:rFonts w:ascii="Verdana" w:hAnsi="Verdana"/>
        </w:rPr>
        <w:t>Por otro lado, el Consejo de Estado</w:t>
      </w:r>
      <w:r w:rsidRPr="001A5BCA">
        <w:rPr>
          <w:rFonts w:ascii="Verdana" w:hAnsi="Verdana" w:cs="Arial"/>
          <w:bCs/>
          <w:szCs w:val="24"/>
          <w:vertAlign w:val="superscript"/>
          <w:lang w:val="es-MX" w:eastAsia="es-ES_tradnl" w:bidi="es-ES"/>
        </w:rPr>
        <w:footnoteReference w:id="31"/>
      </w:r>
      <w:r w:rsidRPr="001A5BCA">
        <w:rPr>
          <w:rFonts w:ascii="Verdana" w:hAnsi="Verdana"/>
        </w:rPr>
        <w:t xml:space="preserve">, sobre el particular ha manifestado lo siguiente: </w:t>
      </w:r>
    </w:p>
    <w:p w14:paraId="245914C6" w14:textId="77777777" w:rsidR="007A5DAA" w:rsidRPr="001A5BCA" w:rsidRDefault="007A5DAA" w:rsidP="00190DE5">
      <w:pPr>
        <w:tabs>
          <w:tab w:val="left" w:pos="284"/>
        </w:tabs>
        <w:spacing w:after="0" w:line="276" w:lineRule="auto"/>
        <w:jc w:val="both"/>
        <w:rPr>
          <w:rFonts w:ascii="Verdana" w:hAnsi="Verdana"/>
        </w:rPr>
      </w:pPr>
    </w:p>
    <w:p w14:paraId="087EBF35" w14:textId="77777777" w:rsidR="007A5DAA" w:rsidRPr="001A5BCA" w:rsidRDefault="007A5DAA" w:rsidP="00174A2E">
      <w:pPr>
        <w:tabs>
          <w:tab w:val="left" w:pos="284"/>
        </w:tabs>
        <w:spacing w:after="0" w:line="240" w:lineRule="auto"/>
        <w:ind w:left="567" w:right="900"/>
        <w:jc w:val="both"/>
        <w:rPr>
          <w:rFonts w:ascii="Verdana" w:hAnsi="Verdana" w:cs="Arial"/>
          <w:i/>
          <w:iCs/>
          <w:sz w:val="20"/>
          <w:szCs w:val="20"/>
          <w:lang w:val="es-MX" w:eastAsia="es-ES_tradnl"/>
        </w:rPr>
      </w:pPr>
      <w:r w:rsidRPr="001A5BCA">
        <w:rPr>
          <w:rFonts w:ascii="Verdana" w:hAnsi="Verdana" w:cs="Arial"/>
          <w:i/>
          <w:iCs/>
          <w:sz w:val="20"/>
          <w:szCs w:val="20"/>
          <w:lang w:val="es-MX" w:eastAsia="es-ES_tradnl"/>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w:t>
      </w:r>
      <w:proofErr w:type="gramStart"/>
      <w:r w:rsidRPr="001A5BCA">
        <w:rPr>
          <w:rFonts w:ascii="Verdana" w:hAnsi="Verdana" w:cs="Arial"/>
          <w:i/>
          <w:iCs/>
          <w:sz w:val="20"/>
          <w:szCs w:val="20"/>
          <w:lang w:val="es-MX" w:eastAsia="es-ES_tradnl"/>
        </w:rPr>
        <w:t>del mismo</w:t>
      </w:r>
      <w:proofErr w:type="gramEnd"/>
      <w:r w:rsidRPr="001A5BCA">
        <w:rPr>
          <w:rFonts w:ascii="Verdana" w:hAnsi="Verdana" w:cs="Arial"/>
          <w:i/>
          <w:iCs/>
          <w:sz w:val="20"/>
          <w:szCs w:val="20"/>
          <w:lang w:val="es-MX" w:eastAsia="es-ES_tradnl"/>
        </w:rPr>
        <w:t xml:space="preserve">. Por mutabilidad del contrato estatal se entiende el derecho que tiene la administración de variar, dadas ciertas condiciones, las </w:t>
      </w:r>
      <w:r w:rsidRPr="001A5BCA">
        <w:rPr>
          <w:rFonts w:ascii="Verdana" w:hAnsi="Verdana" w:cs="Arial"/>
          <w:i/>
          <w:iCs/>
          <w:sz w:val="20"/>
          <w:szCs w:val="20"/>
          <w:lang w:val="es-MX" w:eastAsia="es-ES_tradnl"/>
        </w:rPr>
        <w:lastRenderedPageBreak/>
        <w:t>obligaciones a cargo del contratista particular, cuando sea necesario para el cumplimiento del objeto y de los fines generales del Estado.</w:t>
      </w:r>
    </w:p>
    <w:p w14:paraId="017A0E7A" w14:textId="00F2F5E9" w:rsidR="007A5DAA" w:rsidRPr="001A5BCA" w:rsidRDefault="0095760D" w:rsidP="00174A2E">
      <w:pPr>
        <w:tabs>
          <w:tab w:val="left" w:pos="284"/>
        </w:tabs>
        <w:spacing w:after="0" w:line="240" w:lineRule="auto"/>
        <w:ind w:left="567" w:right="900"/>
        <w:jc w:val="both"/>
        <w:rPr>
          <w:rFonts w:ascii="Verdana" w:hAnsi="Verdana" w:cs="Arial"/>
          <w:i/>
          <w:iCs/>
          <w:sz w:val="20"/>
          <w:szCs w:val="20"/>
          <w:lang w:val="es-MX" w:eastAsia="es-ES_tradnl"/>
        </w:rPr>
      </w:pPr>
      <w:r>
        <w:rPr>
          <w:rFonts w:ascii="Verdana" w:hAnsi="Verdana" w:cs="Arial"/>
          <w:i/>
          <w:iCs/>
          <w:sz w:val="20"/>
          <w:szCs w:val="20"/>
          <w:lang w:val="es-MX" w:eastAsia="es-ES_tradnl"/>
        </w:rPr>
        <w:t>(</w:t>
      </w:r>
      <w:r w:rsidR="007A5DAA" w:rsidRPr="005B3D15">
        <w:rPr>
          <w:rFonts w:ascii="Verdana" w:hAnsi="Verdana" w:cs="Arial"/>
          <w:i/>
          <w:iCs/>
          <w:sz w:val="20"/>
          <w:szCs w:val="20"/>
          <w:lang w:val="es-MX" w:eastAsia="es-ES_tradnl"/>
        </w:rPr>
        <w:t>…</w:t>
      </w:r>
      <w:r>
        <w:rPr>
          <w:rFonts w:ascii="Verdana" w:hAnsi="Verdana" w:cs="Arial"/>
          <w:i/>
          <w:iCs/>
          <w:sz w:val="20"/>
          <w:szCs w:val="20"/>
          <w:lang w:val="es-MX" w:eastAsia="es-ES_tradnl"/>
        </w:rPr>
        <w:t>)</w:t>
      </w:r>
    </w:p>
    <w:p w14:paraId="428A16F7" w14:textId="77777777" w:rsidR="007A5DAA" w:rsidRPr="001A5BCA" w:rsidRDefault="007A5DAA" w:rsidP="00174A2E">
      <w:pPr>
        <w:tabs>
          <w:tab w:val="left" w:pos="284"/>
        </w:tabs>
        <w:spacing w:after="0" w:line="240" w:lineRule="auto"/>
        <w:ind w:left="567" w:right="900"/>
        <w:jc w:val="both"/>
        <w:rPr>
          <w:rFonts w:ascii="Verdana" w:hAnsi="Verdana" w:cs="Arial"/>
          <w:i/>
          <w:iCs/>
          <w:sz w:val="20"/>
          <w:szCs w:val="20"/>
          <w:lang w:val="es-MX" w:eastAsia="es-ES_tradnl"/>
        </w:rPr>
      </w:pPr>
      <w:r w:rsidRPr="001A5BCA">
        <w:rPr>
          <w:rFonts w:ascii="Verdana" w:hAnsi="Verdana" w:cs="Arial"/>
          <w:i/>
          <w:iCs/>
          <w:sz w:val="20"/>
          <w:szCs w:val="20"/>
          <w:lang w:val="es-MX" w:eastAsia="es-ES_tradnl"/>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w:t>
      </w:r>
      <w:proofErr w:type="spellStart"/>
      <w:r w:rsidRPr="001A5BCA">
        <w:rPr>
          <w:rFonts w:ascii="Verdana" w:hAnsi="Verdana" w:cs="Arial"/>
          <w:i/>
          <w:iCs/>
          <w:sz w:val="20"/>
          <w:szCs w:val="20"/>
          <w:lang w:val="es-MX" w:eastAsia="es-ES_tradnl"/>
        </w:rPr>
        <w:t>ibídem</w:t>
      </w:r>
      <w:proofErr w:type="spellEnd"/>
      <w:r w:rsidRPr="001A5BCA">
        <w:rPr>
          <w:rFonts w:ascii="Verdana" w:hAnsi="Verdana" w:cs="Arial"/>
          <w:i/>
          <w:iCs/>
          <w:sz w:val="20"/>
          <w:szCs w:val="20"/>
          <w:lang w:val="es-MX" w:eastAsia="es-ES_tradnl"/>
        </w:rPr>
        <w:t>),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469FE7DC" w14:textId="49B558C0" w:rsidR="007A5DAA" w:rsidRPr="0095760D" w:rsidRDefault="007A5DAA" w:rsidP="00174A2E">
      <w:pPr>
        <w:tabs>
          <w:tab w:val="left" w:pos="284"/>
        </w:tabs>
        <w:spacing w:before="120" w:after="0" w:line="240" w:lineRule="auto"/>
        <w:ind w:left="567" w:right="900"/>
        <w:jc w:val="both"/>
        <w:rPr>
          <w:rFonts w:ascii="Verdana" w:hAnsi="Verdana" w:cs="Arial"/>
          <w:sz w:val="20"/>
          <w:szCs w:val="20"/>
          <w:lang w:val="es-MX" w:eastAsia="es-ES_tradnl"/>
        </w:rPr>
      </w:pPr>
      <w:r w:rsidRPr="001A5BCA">
        <w:rPr>
          <w:rFonts w:ascii="Verdana" w:hAnsi="Verdana" w:cs="Arial"/>
          <w:i/>
          <w:iCs/>
          <w:sz w:val="20"/>
          <w:szCs w:val="20"/>
          <w:lang w:val="es-MX" w:eastAsia="es-ES_tradnl"/>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r w:rsidR="0095760D">
        <w:rPr>
          <w:rFonts w:ascii="Verdana" w:hAnsi="Verdana" w:cs="Arial"/>
          <w:iCs/>
          <w:sz w:val="20"/>
          <w:szCs w:val="20"/>
          <w:lang w:val="es-MX" w:eastAsia="es-ES_tradnl"/>
        </w:rPr>
        <w:t>(…)</w:t>
      </w:r>
    </w:p>
    <w:p w14:paraId="2ADFEC52" w14:textId="77777777" w:rsidR="007A5DAA" w:rsidRPr="005B3D15" w:rsidRDefault="007A5DAA" w:rsidP="00174A2E">
      <w:pPr>
        <w:tabs>
          <w:tab w:val="left" w:pos="284"/>
        </w:tabs>
        <w:spacing w:before="120" w:after="0" w:line="240" w:lineRule="auto"/>
        <w:ind w:left="567" w:right="900"/>
        <w:jc w:val="both"/>
        <w:rPr>
          <w:rFonts w:ascii="Verdana" w:hAnsi="Verdana" w:cs="Arial"/>
          <w:i/>
          <w:sz w:val="20"/>
          <w:szCs w:val="20"/>
          <w:lang w:val="es-MX" w:eastAsia="es-ES_tradnl"/>
        </w:rPr>
      </w:pPr>
    </w:p>
    <w:p w14:paraId="59F04EEC" w14:textId="5403F479" w:rsidR="00CE4AE2" w:rsidRDefault="00A33A87" w:rsidP="00190DE5">
      <w:pPr>
        <w:pStyle w:val="Prrafodelista"/>
        <w:numPr>
          <w:ilvl w:val="0"/>
          <w:numId w:val="19"/>
        </w:numPr>
        <w:tabs>
          <w:tab w:val="left" w:pos="284"/>
        </w:tabs>
        <w:spacing w:after="0" w:line="276" w:lineRule="auto"/>
        <w:ind w:left="0" w:firstLine="0"/>
        <w:jc w:val="both"/>
        <w:rPr>
          <w:rFonts w:ascii="Verdana" w:hAnsi="Verdana" w:cs="Arial"/>
          <w:lang w:val="es-MX" w:eastAsia="es-ES_tradnl"/>
        </w:rPr>
      </w:pPr>
      <w:r>
        <w:rPr>
          <w:rFonts w:ascii="Verdana" w:hAnsi="Verdana" w:cs="Arial"/>
          <w:lang w:val="es-MX" w:eastAsia="es-ES_tradnl"/>
        </w:rPr>
        <w:t>Por otro lado, en la ya mencionada obra de</w:t>
      </w:r>
      <w:r w:rsidR="004B69CD">
        <w:rPr>
          <w:rFonts w:ascii="Verdana" w:hAnsi="Verdana" w:cs="Arial"/>
          <w:lang w:val="es-MX" w:eastAsia="es-ES_tradnl"/>
        </w:rPr>
        <w:t xml:space="preserve"> </w:t>
      </w:r>
      <w:r w:rsidR="00335D5A">
        <w:rPr>
          <w:rFonts w:ascii="Verdana" w:hAnsi="Verdana" w:cs="Arial"/>
          <w:lang w:val="es-MX" w:eastAsia="es-ES_tradnl"/>
        </w:rPr>
        <w:t>Rodríguez</w:t>
      </w:r>
      <w:r w:rsidR="003B7EC9">
        <w:rPr>
          <w:rFonts w:ascii="Verdana" w:hAnsi="Verdana" w:cs="Arial"/>
          <w:lang w:val="es-MX" w:eastAsia="es-ES_tradnl"/>
        </w:rPr>
        <w:t xml:space="preserve"> Tamayo, hace referencia a la </w:t>
      </w:r>
      <w:r w:rsidR="00BA339E">
        <w:rPr>
          <w:rFonts w:ascii="Verdana" w:hAnsi="Verdana" w:cs="Arial"/>
          <w:lang w:val="es-MX" w:eastAsia="es-ES_tradnl"/>
        </w:rPr>
        <w:t xml:space="preserve">variación o modificación de las circunstancias </w:t>
      </w:r>
      <w:r w:rsidR="0054740D">
        <w:rPr>
          <w:rFonts w:ascii="Verdana" w:hAnsi="Verdana" w:cs="Arial"/>
          <w:lang w:val="es-MX" w:eastAsia="es-ES_tradnl"/>
        </w:rPr>
        <w:t xml:space="preserve">que rodearon la elaboración del proceso de contratación y de la minuta del contrato, que implique </w:t>
      </w:r>
      <w:r w:rsidR="003B1FAF">
        <w:rPr>
          <w:rFonts w:ascii="Verdana" w:hAnsi="Verdana" w:cs="Arial"/>
          <w:lang w:val="es-MX" w:eastAsia="es-ES_tradnl"/>
        </w:rPr>
        <w:t>la modificación de las condiciones inicialmente pactadas</w:t>
      </w:r>
      <w:r w:rsidR="00C911EA">
        <w:rPr>
          <w:rFonts w:ascii="Verdana" w:hAnsi="Verdana" w:cs="Arial"/>
          <w:lang w:val="es-MX" w:eastAsia="es-ES_tradnl"/>
        </w:rPr>
        <w:t xml:space="preserve">, cuando se presenten situaciones sobrevinientes </w:t>
      </w:r>
      <w:r w:rsidR="00534C86">
        <w:rPr>
          <w:rFonts w:ascii="Verdana" w:hAnsi="Verdana" w:cs="Arial"/>
          <w:lang w:val="es-MX" w:eastAsia="es-ES_tradnl"/>
        </w:rPr>
        <w:t xml:space="preserve">y siempre que se encuentre alguno de los siguientes escenarios, i) se prueba la existencia del hecho </w:t>
      </w:r>
      <w:r w:rsidR="003778F9">
        <w:rPr>
          <w:rFonts w:ascii="Verdana" w:hAnsi="Verdana" w:cs="Arial"/>
          <w:lang w:val="es-MX" w:eastAsia="es-ES_tradnl"/>
        </w:rPr>
        <w:t xml:space="preserve">o acto sobreviniente, </w:t>
      </w:r>
      <w:proofErr w:type="spellStart"/>
      <w:r w:rsidR="003778F9">
        <w:rPr>
          <w:rFonts w:ascii="Verdana" w:hAnsi="Verdana" w:cs="Arial"/>
          <w:lang w:val="es-MX" w:eastAsia="es-ES_tradnl"/>
        </w:rPr>
        <w:t>ii</w:t>
      </w:r>
      <w:proofErr w:type="spellEnd"/>
      <w:r w:rsidR="003778F9">
        <w:rPr>
          <w:rFonts w:ascii="Verdana" w:hAnsi="Verdana" w:cs="Arial"/>
          <w:lang w:val="es-MX" w:eastAsia="es-ES_tradnl"/>
        </w:rPr>
        <w:t xml:space="preserve">) que el hecho o acto no sea imputable a las partes y </w:t>
      </w:r>
      <w:proofErr w:type="spellStart"/>
      <w:r w:rsidR="003778F9">
        <w:rPr>
          <w:rFonts w:ascii="Verdana" w:hAnsi="Verdana" w:cs="Arial"/>
          <w:lang w:val="es-MX" w:eastAsia="es-ES_tradnl"/>
        </w:rPr>
        <w:t>iii</w:t>
      </w:r>
      <w:proofErr w:type="spellEnd"/>
      <w:r w:rsidR="003778F9">
        <w:rPr>
          <w:rFonts w:ascii="Verdana" w:hAnsi="Verdana" w:cs="Arial"/>
          <w:lang w:val="es-MX" w:eastAsia="es-ES_tradnl"/>
        </w:rPr>
        <w:t xml:space="preserve">) </w:t>
      </w:r>
      <w:r w:rsidR="00B32699">
        <w:rPr>
          <w:rFonts w:ascii="Verdana" w:hAnsi="Verdana" w:cs="Arial"/>
          <w:lang w:val="es-MX" w:eastAsia="es-ES_tradnl"/>
        </w:rPr>
        <w:t>que la modificación no resulte violatoria de los principios que rigen las reglas del proceso de selección, n</w:t>
      </w:r>
      <w:r w:rsidR="00B234B0">
        <w:rPr>
          <w:rFonts w:ascii="Verdana" w:hAnsi="Verdana" w:cs="Arial"/>
          <w:lang w:val="es-MX" w:eastAsia="es-ES_tradnl"/>
        </w:rPr>
        <w:t>i los derechos generados en favor de la entidad y el adjudicatario</w:t>
      </w:r>
      <w:r w:rsidR="004B69CD">
        <w:rPr>
          <w:rStyle w:val="Refdenotaalpie"/>
          <w:rFonts w:ascii="Verdana" w:hAnsi="Verdana" w:cs="Arial"/>
          <w:lang w:val="es-MX" w:eastAsia="es-ES_tradnl"/>
        </w:rPr>
        <w:footnoteReference w:id="32"/>
      </w:r>
      <w:r w:rsidR="008663B1">
        <w:rPr>
          <w:rFonts w:ascii="Verdana" w:hAnsi="Verdana" w:cs="Arial"/>
          <w:lang w:val="es-MX" w:eastAsia="es-ES_tradnl"/>
        </w:rPr>
        <w:t>.</w:t>
      </w:r>
      <w:r>
        <w:rPr>
          <w:rFonts w:ascii="Verdana" w:hAnsi="Verdana" w:cs="Arial"/>
          <w:lang w:val="es-MX" w:eastAsia="es-ES_tradnl"/>
        </w:rPr>
        <w:t xml:space="preserve"> </w:t>
      </w:r>
    </w:p>
    <w:p w14:paraId="4DF06DF1" w14:textId="77777777" w:rsidR="00B234B0" w:rsidRDefault="00B234B0" w:rsidP="00B234B0">
      <w:pPr>
        <w:pStyle w:val="Prrafodelista"/>
        <w:tabs>
          <w:tab w:val="left" w:pos="284"/>
        </w:tabs>
        <w:spacing w:after="0" w:line="276" w:lineRule="auto"/>
        <w:ind w:left="0"/>
        <w:jc w:val="both"/>
        <w:rPr>
          <w:rFonts w:ascii="Verdana" w:hAnsi="Verdana" w:cs="Arial"/>
          <w:lang w:val="es-MX" w:eastAsia="es-ES_tradnl"/>
        </w:rPr>
      </w:pPr>
    </w:p>
    <w:p w14:paraId="21345ECA" w14:textId="7EDBABA4" w:rsidR="007A5DAA" w:rsidRPr="001A5BCA" w:rsidRDefault="007A5DAA" w:rsidP="00190DE5">
      <w:pPr>
        <w:pStyle w:val="Prrafodelista"/>
        <w:numPr>
          <w:ilvl w:val="0"/>
          <w:numId w:val="19"/>
        </w:numPr>
        <w:tabs>
          <w:tab w:val="left" w:pos="284"/>
        </w:tabs>
        <w:spacing w:after="0" w:line="276" w:lineRule="auto"/>
        <w:ind w:left="0" w:firstLine="0"/>
        <w:jc w:val="both"/>
        <w:rPr>
          <w:rFonts w:ascii="Verdana" w:hAnsi="Verdana" w:cs="Arial"/>
          <w:lang w:val="es-MX" w:eastAsia="es-ES_tradnl"/>
        </w:rPr>
      </w:pPr>
      <w:r w:rsidRPr="001A5BCA">
        <w:rPr>
          <w:rFonts w:ascii="Verdana" w:hAnsi="Verdana" w:cs="Arial"/>
          <w:lang w:val="es-MX" w:eastAsia="es-ES_tradnl"/>
        </w:rPr>
        <w:t xml:space="preserve">De lo expuesto, y a manera de solución al interrogante planteado, </w:t>
      </w:r>
      <w:r w:rsidR="00556227">
        <w:rPr>
          <w:rFonts w:ascii="Verdana" w:hAnsi="Verdana" w:cs="Arial"/>
          <w:lang w:val="es-MX" w:eastAsia="es-ES_tradnl"/>
        </w:rPr>
        <w:t xml:space="preserve">se puede indicar que </w:t>
      </w:r>
      <w:r w:rsidRPr="001A5BCA">
        <w:rPr>
          <w:rFonts w:ascii="Verdana" w:hAnsi="Verdana" w:cs="Arial"/>
          <w:lang w:val="es-MX" w:eastAsia="es-ES_tradnl"/>
        </w:rPr>
        <w:t>el mutuo acuerdo</w:t>
      </w:r>
      <w:r w:rsidR="009C514B">
        <w:rPr>
          <w:rFonts w:ascii="Verdana" w:hAnsi="Verdana" w:cs="Arial"/>
          <w:lang w:val="es-MX" w:eastAsia="es-ES_tradnl"/>
        </w:rPr>
        <w:t xml:space="preserve"> entre las partes</w:t>
      </w:r>
      <w:r w:rsidRPr="001A5BCA">
        <w:rPr>
          <w:rFonts w:ascii="Verdana" w:hAnsi="Verdana" w:cs="Arial"/>
          <w:lang w:val="es-MX" w:eastAsia="es-ES_tradnl"/>
        </w:rPr>
        <w:t xml:space="preserve"> es una forma de modificación del contrato estatal, en casos que se requiera ajustar cláusulas pactadas en la etapa previa o en el caso en concreto renunciar a alguna de ellas, es la más usada en </w:t>
      </w:r>
      <w:r w:rsidRPr="001A5BCA">
        <w:rPr>
          <w:rFonts w:ascii="Verdana" w:hAnsi="Verdana" w:cs="Arial"/>
          <w:lang w:val="es-MX" w:eastAsia="es-ES_tradnl"/>
        </w:rPr>
        <w:lastRenderedPageBreak/>
        <w:t>la práctica y preferida por la legislación vigente; advirtiendo, y esta es la segunda idea, que toda modificación debe tener una causa real y cierta, contemplada en la ley, diferente de la mera voluntad de los contratantes.</w:t>
      </w:r>
    </w:p>
    <w:p w14:paraId="340F5FEC" w14:textId="77777777" w:rsidR="007A5DAA" w:rsidRPr="001A5BCA" w:rsidRDefault="007A5DAA" w:rsidP="00190DE5">
      <w:pPr>
        <w:pStyle w:val="Prrafodelista"/>
        <w:tabs>
          <w:tab w:val="left" w:pos="284"/>
        </w:tabs>
        <w:ind w:left="0"/>
        <w:rPr>
          <w:rFonts w:ascii="Verdana" w:hAnsi="Verdana"/>
        </w:rPr>
      </w:pPr>
    </w:p>
    <w:p w14:paraId="4CDFC18B" w14:textId="5FBBD80F" w:rsidR="007A5DAA" w:rsidRPr="001A5BCA" w:rsidRDefault="007A5DAA" w:rsidP="00190DE5">
      <w:pPr>
        <w:pStyle w:val="Prrafodelista"/>
        <w:numPr>
          <w:ilvl w:val="0"/>
          <w:numId w:val="19"/>
        </w:numPr>
        <w:tabs>
          <w:tab w:val="left" w:pos="284"/>
        </w:tabs>
        <w:spacing w:after="0" w:line="276" w:lineRule="auto"/>
        <w:ind w:left="0" w:firstLine="0"/>
        <w:jc w:val="both"/>
        <w:rPr>
          <w:rFonts w:ascii="Verdana" w:hAnsi="Verdana" w:cs="Arial"/>
          <w:lang w:val="es-MX" w:eastAsia="es-ES_tradnl"/>
        </w:rPr>
      </w:pPr>
      <w:r w:rsidRPr="001A5BCA">
        <w:rPr>
          <w:rFonts w:ascii="Verdana" w:hAnsi="Verdana"/>
        </w:rPr>
        <w:t xml:space="preserve">Corresponderá a cada Entidad Estatal realizar el análisis respecto a la procedencia de modificar determinado contrato estatal, en el entendido que se respeten las reglas establecidas en el ordenamiento jurídico, de acuerdo </w:t>
      </w:r>
      <w:r w:rsidRPr="001A5BCA">
        <w:rPr>
          <w:rFonts w:ascii="Verdana" w:hAnsi="Verdana" w:cs="Arial"/>
          <w:bCs/>
          <w:lang w:val="es-MX" w:eastAsia="es-ES_tradnl" w:bidi="es-ES"/>
        </w:rPr>
        <w:t>con lo expuesto anteriormente, además de definir previamente su procedencia desde la perspectiva jurídica, técnica y financiera</w:t>
      </w:r>
      <w:r w:rsidR="002E15C5" w:rsidRPr="001A5BCA">
        <w:rPr>
          <w:rFonts w:ascii="Verdana" w:hAnsi="Verdana" w:cs="Arial"/>
          <w:bCs/>
          <w:lang w:val="es-MX" w:eastAsia="es-ES_tradnl" w:bidi="es-ES"/>
        </w:rPr>
        <w:t xml:space="preserve">, y precisando las modificaciones que pueden tener a nivel estructural del contrato. </w:t>
      </w:r>
    </w:p>
    <w:p w14:paraId="4D0D2FD2" w14:textId="77777777" w:rsidR="00522830" w:rsidRPr="001A5BCA" w:rsidRDefault="00522830" w:rsidP="00AC519D">
      <w:pPr>
        <w:spacing w:after="120" w:line="276" w:lineRule="auto"/>
        <w:jc w:val="both"/>
        <w:rPr>
          <w:rFonts w:ascii="Verdana" w:eastAsia="Calibri" w:hAnsi="Verdana" w:cs="Arial"/>
          <w:lang w:val="es-ES"/>
        </w:rPr>
      </w:pPr>
    </w:p>
    <w:p w14:paraId="51BC1589" w14:textId="77777777" w:rsidR="00AC519D" w:rsidRPr="001A5BCA" w:rsidRDefault="00AC519D" w:rsidP="00AC519D">
      <w:pPr>
        <w:numPr>
          <w:ilvl w:val="0"/>
          <w:numId w:val="18"/>
        </w:numPr>
        <w:tabs>
          <w:tab w:val="left" w:pos="142"/>
          <w:tab w:val="left" w:pos="284"/>
        </w:tabs>
        <w:spacing w:after="0" w:line="276" w:lineRule="auto"/>
        <w:ind w:left="0" w:firstLine="0"/>
        <w:jc w:val="both"/>
        <w:rPr>
          <w:rFonts w:ascii="Verdana" w:eastAsia="Century Gothic" w:hAnsi="Verdana" w:cs="Century Gothic"/>
          <w:b/>
          <w:bCs/>
          <w:lang w:val="es-ES"/>
        </w:rPr>
      </w:pPr>
      <w:r w:rsidRPr="001A5BCA">
        <w:rPr>
          <w:rFonts w:ascii="Verdana" w:eastAsia="Century Gothic" w:hAnsi="Verdana" w:cs="Century Gothic"/>
          <w:b/>
          <w:bCs/>
          <w:lang w:val="es-ES"/>
        </w:rPr>
        <w:t>Referencias normativas, jurisprudenciales y otras fuentes:</w:t>
      </w:r>
    </w:p>
    <w:p w14:paraId="3792FD5D" w14:textId="77777777" w:rsidR="00AC519D" w:rsidRPr="001A5BCA" w:rsidRDefault="00AC519D" w:rsidP="00AC519D">
      <w:pPr>
        <w:pStyle w:val="Prrafodelista"/>
        <w:tabs>
          <w:tab w:val="left" w:pos="142"/>
          <w:tab w:val="left" w:pos="284"/>
        </w:tabs>
        <w:jc w:val="both"/>
        <w:rPr>
          <w:rFonts w:ascii="Verdana" w:eastAsia="Century Gothic" w:hAnsi="Verdana" w:cs="Century Gothic"/>
          <w:bCs/>
          <w:lang w:val="es-ES_tradnl"/>
        </w:rPr>
      </w:pPr>
    </w:p>
    <w:p w14:paraId="55CC3A74" w14:textId="4F72A0BA" w:rsidR="00AC519D" w:rsidRPr="001A5BCA" w:rsidRDefault="00AC519D" w:rsidP="00AC519D">
      <w:pPr>
        <w:pStyle w:val="Prrafodelista"/>
        <w:numPr>
          <w:ilvl w:val="0"/>
          <w:numId w:val="17"/>
        </w:numPr>
        <w:tabs>
          <w:tab w:val="left" w:pos="142"/>
          <w:tab w:val="left" w:pos="284"/>
        </w:tabs>
        <w:spacing w:after="0"/>
        <w:jc w:val="both"/>
        <w:rPr>
          <w:rFonts w:ascii="Verdana" w:eastAsia="Century Gothic" w:hAnsi="Verdana" w:cs="Century Gothic"/>
          <w:lang w:val="es-ES_tradnl"/>
        </w:rPr>
      </w:pPr>
      <w:r w:rsidRPr="001A5BCA">
        <w:rPr>
          <w:rFonts w:ascii="Verdana" w:eastAsia="Century Gothic" w:hAnsi="Verdana" w:cs="Century Gothic"/>
          <w:lang w:val="es-ES_tradnl"/>
        </w:rPr>
        <w:t xml:space="preserve">Ley 80 de 1993, artículo </w:t>
      </w:r>
      <w:r w:rsidR="000C1274" w:rsidRPr="001A5BCA">
        <w:rPr>
          <w:rFonts w:ascii="Verdana" w:eastAsia="Century Gothic" w:hAnsi="Verdana" w:cs="Century Gothic"/>
          <w:lang w:val="es-ES_tradnl"/>
        </w:rPr>
        <w:t xml:space="preserve">32 numeral 4, </w:t>
      </w:r>
      <w:r w:rsidR="00E763A9" w:rsidRPr="001A5BCA">
        <w:rPr>
          <w:rFonts w:ascii="Verdana" w:eastAsia="Century Gothic" w:hAnsi="Verdana" w:cs="Century Gothic"/>
          <w:lang w:val="es-ES_tradnl"/>
        </w:rPr>
        <w:t>articulo 40.</w:t>
      </w:r>
      <w:r w:rsidRPr="001A5BCA">
        <w:rPr>
          <w:rFonts w:ascii="Verdana" w:eastAsia="Century Gothic" w:hAnsi="Verdana" w:cs="Century Gothic"/>
          <w:lang w:val="es-ES_tradnl"/>
        </w:rPr>
        <w:t xml:space="preserve"> Disponible en: </w:t>
      </w:r>
    </w:p>
    <w:p w14:paraId="16EB503B" w14:textId="77777777" w:rsidR="00AC519D" w:rsidRPr="001A5BCA" w:rsidRDefault="00AC519D" w:rsidP="00AC519D">
      <w:pPr>
        <w:pStyle w:val="Prrafodelista"/>
        <w:tabs>
          <w:tab w:val="left" w:pos="142"/>
          <w:tab w:val="left" w:pos="284"/>
        </w:tabs>
        <w:spacing w:after="0"/>
        <w:jc w:val="both"/>
        <w:rPr>
          <w:rFonts w:ascii="Verdana" w:eastAsia="Century Gothic" w:hAnsi="Verdana" w:cs="Century Gothic"/>
          <w:lang w:val="es-ES_tradnl"/>
        </w:rPr>
      </w:pPr>
      <w:hyperlink r:id="rId13" w:history="1">
        <w:r w:rsidRPr="001A5BCA">
          <w:rPr>
            <w:rStyle w:val="Hipervnculo"/>
            <w:rFonts w:ascii="Verdana" w:eastAsia="Century Gothic" w:hAnsi="Verdana" w:cs="Century Gothic"/>
            <w:lang w:val="es-ES_tradnl"/>
          </w:rPr>
          <w:t>https://relatoria.colombiacompra.gov.co/normativa/ley-80-de-1993/</w:t>
        </w:r>
      </w:hyperlink>
    </w:p>
    <w:p w14:paraId="5C71A3F9" w14:textId="77777777" w:rsidR="00AC519D" w:rsidRPr="005B3D15" w:rsidRDefault="00AC519D" w:rsidP="00AC519D">
      <w:pPr>
        <w:pStyle w:val="Prrafodelista"/>
        <w:rPr>
          <w:rFonts w:ascii="Verdana" w:eastAsia="Century Gothic" w:hAnsi="Verdana" w:cs="Century Gothic"/>
          <w:lang w:val="es-ES_tradnl"/>
        </w:rPr>
      </w:pPr>
    </w:p>
    <w:p w14:paraId="02F57418" w14:textId="1EE1E19A" w:rsidR="00E763A9" w:rsidRPr="001A5BCA" w:rsidRDefault="00E763A9" w:rsidP="000C1274">
      <w:pPr>
        <w:pStyle w:val="Prrafodelista"/>
        <w:numPr>
          <w:ilvl w:val="0"/>
          <w:numId w:val="17"/>
        </w:numPr>
        <w:tabs>
          <w:tab w:val="left" w:pos="142"/>
          <w:tab w:val="left" w:pos="284"/>
        </w:tabs>
        <w:spacing w:after="0"/>
        <w:jc w:val="both"/>
        <w:rPr>
          <w:rFonts w:ascii="Verdana" w:eastAsia="Century Gothic" w:hAnsi="Verdana" w:cs="Century Gothic"/>
          <w:lang w:val="es-ES_tradnl"/>
        </w:rPr>
      </w:pPr>
      <w:r w:rsidRPr="001A5BCA">
        <w:rPr>
          <w:rFonts w:ascii="Verdana" w:eastAsia="Century Gothic" w:hAnsi="Verdana" w:cs="Century Gothic"/>
          <w:lang w:val="es-ES_tradnl"/>
        </w:rPr>
        <w:t xml:space="preserve">Ley 1474 de 2011, artículo 91. Disponible en: </w:t>
      </w:r>
      <w:hyperlink r:id="rId14" w:history="1">
        <w:r w:rsidR="001428DE" w:rsidRPr="001A5BCA">
          <w:rPr>
            <w:rStyle w:val="Hipervnculo"/>
            <w:rFonts w:ascii="Verdana" w:eastAsia="Century Gothic" w:hAnsi="Verdana" w:cs="Century Gothic"/>
            <w:lang w:val="es-ES_tradnl"/>
          </w:rPr>
          <w:t>https://relatoria.colombiacompra.gov.co/normativa/ley-1474-de-2011/</w:t>
        </w:r>
      </w:hyperlink>
    </w:p>
    <w:p w14:paraId="085FA4CA" w14:textId="77777777" w:rsidR="00DF435B" w:rsidRPr="001A5BCA" w:rsidRDefault="00DF435B" w:rsidP="00DF435B">
      <w:pPr>
        <w:pStyle w:val="Prrafodelista"/>
        <w:tabs>
          <w:tab w:val="left" w:pos="142"/>
          <w:tab w:val="left" w:pos="284"/>
        </w:tabs>
        <w:spacing w:after="0"/>
        <w:jc w:val="both"/>
        <w:rPr>
          <w:rFonts w:ascii="Verdana" w:eastAsia="Century Gothic" w:hAnsi="Verdana" w:cs="Century Gothic"/>
          <w:lang w:val="es-ES_tradnl"/>
        </w:rPr>
      </w:pPr>
    </w:p>
    <w:p w14:paraId="015B87DA" w14:textId="6F46E8E8" w:rsidR="00E379A6" w:rsidRPr="001A5BCA" w:rsidRDefault="00E379A6" w:rsidP="000C1274">
      <w:pPr>
        <w:pStyle w:val="Prrafodelista"/>
        <w:numPr>
          <w:ilvl w:val="0"/>
          <w:numId w:val="17"/>
        </w:numPr>
        <w:tabs>
          <w:tab w:val="left" w:pos="142"/>
          <w:tab w:val="left" w:pos="284"/>
        </w:tabs>
        <w:spacing w:after="0"/>
        <w:jc w:val="both"/>
        <w:rPr>
          <w:rFonts w:ascii="Verdana" w:eastAsia="Century Gothic" w:hAnsi="Verdana" w:cs="Century Gothic"/>
          <w:lang w:val="es-ES_tradnl"/>
        </w:rPr>
      </w:pPr>
      <w:r w:rsidRPr="001A5BCA">
        <w:rPr>
          <w:rFonts w:ascii="Verdana" w:hAnsi="Verdana" w:cs="Arial"/>
        </w:rPr>
        <w:t xml:space="preserve">Decreto 1082 de 2015, artículo 2.2.1.2.3.1.7. Disponible en: </w:t>
      </w:r>
      <w:hyperlink r:id="rId15" w:history="1">
        <w:r w:rsidR="00CD4B86" w:rsidRPr="001A5BCA">
          <w:rPr>
            <w:rStyle w:val="Hipervnculo"/>
            <w:rFonts w:ascii="Verdana" w:hAnsi="Verdana" w:cs="Arial"/>
          </w:rPr>
          <w:t>https://relatoria.colombiacompra.gov.co/normativa/decreto-1082-de-2015/</w:t>
        </w:r>
      </w:hyperlink>
    </w:p>
    <w:p w14:paraId="0E621159" w14:textId="77777777" w:rsidR="00CD4B86" w:rsidRPr="001A5BCA" w:rsidRDefault="00CD4B86" w:rsidP="00CD4B86">
      <w:pPr>
        <w:pStyle w:val="Prrafodelista"/>
        <w:rPr>
          <w:rFonts w:ascii="Verdana" w:eastAsia="Century Gothic" w:hAnsi="Verdana" w:cs="Century Gothic"/>
          <w:lang w:val="es-ES_tradnl"/>
        </w:rPr>
      </w:pPr>
    </w:p>
    <w:p w14:paraId="37BC5A95" w14:textId="0F84F686" w:rsidR="008B1650" w:rsidRPr="001A5BCA" w:rsidRDefault="008B1650" w:rsidP="57A595F3">
      <w:pPr>
        <w:pStyle w:val="Prrafodelista"/>
        <w:numPr>
          <w:ilvl w:val="0"/>
          <w:numId w:val="17"/>
        </w:numPr>
        <w:tabs>
          <w:tab w:val="left" w:pos="142"/>
          <w:tab w:val="left" w:pos="284"/>
        </w:tabs>
        <w:spacing w:after="0"/>
        <w:jc w:val="both"/>
        <w:rPr>
          <w:rFonts w:ascii="Verdana" w:eastAsia="Century Gothic" w:hAnsi="Verdana" w:cs="Century Gothic"/>
        </w:rPr>
      </w:pPr>
      <w:r w:rsidRPr="57A595F3">
        <w:rPr>
          <w:rFonts w:ascii="Verdana" w:eastAsia="Century Gothic" w:hAnsi="Verdana" w:cs="Century Gothic"/>
        </w:rPr>
        <w:t xml:space="preserve">Consejo de Estado. Sección Tercera. Sentencia de 22 de junio de 2001. </w:t>
      </w:r>
      <w:proofErr w:type="spellStart"/>
      <w:r w:rsidRPr="57A595F3">
        <w:rPr>
          <w:rFonts w:ascii="Verdana" w:eastAsia="Century Gothic" w:hAnsi="Verdana" w:cs="Century Gothic"/>
        </w:rPr>
        <w:t>Exp</w:t>
      </w:r>
      <w:proofErr w:type="spellEnd"/>
      <w:r w:rsidRPr="57A595F3">
        <w:rPr>
          <w:rFonts w:ascii="Verdana" w:eastAsia="Century Gothic" w:hAnsi="Verdana" w:cs="Century Gothic"/>
        </w:rPr>
        <w:t>. 13436, C.P. Ricardo Hoyos Duque.</w:t>
      </w:r>
      <w:r w:rsidR="007F791D" w:rsidRPr="57A595F3">
        <w:rPr>
          <w:rFonts w:ascii="Verdana" w:eastAsia="Century Gothic" w:hAnsi="Verdana" w:cs="Century Gothic"/>
        </w:rPr>
        <w:t xml:space="preserve"> Disponible en: </w:t>
      </w:r>
    </w:p>
    <w:p w14:paraId="7408F69D" w14:textId="346F0B89" w:rsidR="007F791D" w:rsidRPr="001A5BCA" w:rsidRDefault="007F791D" w:rsidP="007F791D">
      <w:pPr>
        <w:pStyle w:val="Prrafodelista"/>
        <w:rPr>
          <w:rFonts w:ascii="Verdana" w:eastAsia="Century Gothic" w:hAnsi="Verdana" w:cs="Century Gothic"/>
          <w:lang w:val="es-ES_tradnl"/>
        </w:rPr>
      </w:pPr>
      <w:hyperlink r:id="rId16" w:history="1">
        <w:r w:rsidRPr="001A5BCA">
          <w:rPr>
            <w:rStyle w:val="Hipervnculo"/>
            <w:rFonts w:ascii="Verdana" w:eastAsia="Century Gothic" w:hAnsi="Verdana" w:cs="Century Gothic"/>
            <w:lang w:val="es-ES_tradnl"/>
          </w:rPr>
          <w:t>http://servicios.consejodeestado.gov.co/WebRelatoria/FileReferenceServlet?corp=ce&amp;ext=doc&amp;file=253322</w:t>
        </w:r>
      </w:hyperlink>
    </w:p>
    <w:p w14:paraId="4FEBE7C3" w14:textId="77777777" w:rsidR="008B1650" w:rsidRPr="005B3D15" w:rsidRDefault="008B1650" w:rsidP="007F791D">
      <w:pPr>
        <w:tabs>
          <w:tab w:val="left" w:pos="142"/>
          <w:tab w:val="left" w:pos="284"/>
        </w:tabs>
        <w:spacing w:after="0"/>
        <w:jc w:val="both"/>
        <w:rPr>
          <w:rFonts w:ascii="Verdana" w:eastAsia="Century Gothic" w:hAnsi="Verdana" w:cs="Century Gothic"/>
          <w:lang w:val="es-ES_tradnl"/>
        </w:rPr>
      </w:pPr>
    </w:p>
    <w:p w14:paraId="2826F151" w14:textId="3E50FC99" w:rsidR="008B1650" w:rsidRPr="001A5BCA" w:rsidRDefault="008B1650" w:rsidP="57A595F3">
      <w:pPr>
        <w:pStyle w:val="Prrafodelista"/>
        <w:numPr>
          <w:ilvl w:val="0"/>
          <w:numId w:val="17"/>
        </w:numPr>
        <w:tabs>
          <w:tab w:val="left" w:pos="142"/>
          <w:tab w:val="left" w:pos="284"/>
        </w:tabs>
        <w:spacing w:after="0"/>
        <w:jc w:val="both"/>
        <w:rPr>
          <w:rFonts w:ascii="Verdana" w:eastAsia="Century Gothic" w:hAnsi="Verdana" w:cs="Century Gothic"/>
        </w:rPr>
      </w:pPr>
      <w:r w:rsidRPr="57A595F3">
        <w:rPr>
          <w:rFonts w:ascii="Verdana" w:eastAsia="Century Gothic" w:hAnsi="Verdana" w:cs="Century Gothic"/>
        </w:rPr>
        <w:t xml:space="preserve">Consejo de Estado. Sala Plena de lo Contencioso Administrativo. Sentencia del 8 de agosto de 2001. </w:t>
      </w:r>
      <w:proofErr w:type="spellStart"/>
      <w:r w:rsidRPr="57A595F3">
        <w:rPr>
          <w:rFonts w:ascii="Verdana" w:eastAsia="Century Gothic" w:hAnsi="Verdana" w:cs="Century Gothic"/>
        </w:rPr>
        <w:t>Exp</w:t>
      </w:r>
      <w:proofErr w:type="spellEnd"/>
      <w:r w:rsidRPr="57A595F3">
        <w:rPr>
          <w:rFonts w:ascii="Verdana" w:eastAsia="Century Gothic" w:hAnsi="Verdana" w:cs="Century Gothic"/>
        </w:rPr>
        <w:t>. AC-10966 - AC-11274. Consejero Ponente: Reinaldo Chavarro Buriticá.</w:t>
      </w:r>
      <w:r w:rsidR="00C60A5B">
        <w:rPr>
          <w:rFonts w:ascii="Verdana" w:eastAsia="Century Gothic" w:hAnsi="Verdana" w:cs="Century Gothic"/>
        </w:rPr>
        <w:t xml:space="preserve"> </w:t>
      </w:r>
    </w:p>
    <w:p w14:paraId="66575569" w14:textId="77777777" w:rsidR="008B1650" w:rsidRPr="001A5BCA" w:rsidRDefault="008B1650" w:rsidP="008B1650">
      <w:pPr>
        <w:pStyle w:val="Prrafodelista"/>
        <w:rPr>
          <w:rFonts w:ascii="Verdana" w:eastAsia="Century Gothic" w:hAnsi="Verdana" w:cs="Century Gothic"/>
          <w:lang w:val="es-ES_tradnl"/>
        </w:rPr>
      </w:pPr>
    </w:p>
    <w:p w14:paraId="267B9020" w14:textId="0291B650" w:rsidR="001154A7" w:rsidRPr="00773D06" w:rsidRDefault="00983967" w:rsidP="001154A7">
      <w:pPr>
        <w:pStyle w:val="Prrafodelista"/>
        <w:numPr>
          <w:ilvl w:val="0"/>
          <w:numId w:val="17"/>
        </w:numPr>
        <w:tabs>
          <w:tab w:val="left" w:pos="142"/>
          <w:tab w:val="left" w:pos="284"/>
        </w:tabs>
        <w:spacing w:after="0"/>
        <w:jc w:val="both"/>
        <w:rPr>
          <w:rFonts w:ascii="Verdana" w:eastAsia="Century Gothic" w:hAnsi="Verdana" w:cs="Century Gothic"/>
        </w:rPr>
      </w:pPr>
      <w:r w:rsidRPr="00983967">
        <w:rPr>
          <w:rFonts w:ascii="Verdana" w:eastAsia="Century Gothic" w:hAnsi="Verdana" w:cs="Century Gothic"/>
        </w:rPr>
        <w:t xml:space="preserve">Consejo de Estado, Sala de lo Contencioso Administrativo, Sección Tercera, Subsección A, Sentencia de 27 de marzo de 2014, </w:t>
      </w:r>
      <w:proofErr w:type="spellStart"/>
      <w:r w:rsidRPr="00983967">
        <w:rPr>
          <w:rFonts w:ascii="Verdana" w:eastAsia="Century Gothic" w:hAnsi="Verdana" w:cs="Century Gothic"/>
        </w:rPr>
        <w:t>Exp</w:t>
      </w:r>
      <w:proofErr w:type="spellEnd"/>
      <w:r w:rsidRPr="00983967">
        <w:rPr>
          <w:rFonts w:ascii="Verdana" w:eastAsia="Century Gothic" w:hAnsi="Verdana" w:cs="Century Gothic"/>
        </w:rPr>
        <w:t>. 26939</w:t>
      </w:r>
      <w:r>
        <w:rPr>
          <w:rFonts w:ascii="Verdana" w:eastAsia="Century Gothic" w:hAnsi="Verdana" w:cs="Century Gothic"/>
        </w:rPr>
        <w:t xml:space="preserve">. Disponible en: </w:t>
      </w:r>
      <w:r w:rsidR="001154A7" w:rsidRPr="005B3D15">
        <w:rPr>
          <w:rFonts w:ascii="Verdana" w:eastAsia="Century Gothic" w:hAnsi="Verdana" w:cs="Century Gothic"/>
        </w:rPr>
        <w:t>Falta</w:t>
      </w:r>
      <w:r w:rsidR="001154A7">
        <w:rPr>
          <w:rFonts w:ascii="Verdana" w:eastAsia="Century Gothic" w:hAnsi="Verdana" w:cs="Century Gothic"/>
        </w:rPr>
        <w:t xml:space="preserve"> </w:t>
      </w:r>
    </w:p>
    <w:p w14:paraId="60B500D5" w14:textId="77777777" w:rsidR="00983967" w:rsidRPr="00983967" w:rsidRDefault="00983967" w:rsidP="00983967">
      <w:pPr>
        <w:pStyle w:val="Prrafodelista"/>
        <w:rPr>
          <w:rFonts w:ascii="Verdana" w:eastAsia="Century Gothic" w:hAnsi="Verdana" w:cs="Century Gothic"/>
        </w:rPr>
      </w:pPr>
    </w:p>
    <w:p w14:paraId="2FF5E58E" w14:textId="39AE310F" w:rsidR="007073A0" w:rsidRPr="001A5BCA" w:rsidRDefault="000C1274" w:rsidP="57A595F3">
      <w:pPr>
        <w:pStyle w:val="Prrafodelista"/>
        <w:numPr>
          <w:ilvl w:val="0"/>
          <w:numId w:val="17"/>
        </w:numPr>
        <w:tabs>
          <w:tab w:val="left" w:pos="142"/>
          <w:tab w:val="left" w:pos="284"/>
        </w:tabs>
        <w:spacing w:after="0"/>
        <w:jc w:val="both"/>
        <w:rPr>
          <w:rFonts w:ascii="Verdana" w:eastAsia="Century Gothic" w:hAnsi="Verdana" w:cs="Century Gothic"/>
        </w:rPr>
      </w:pPr>
      <w:r w:rsidRPr="57A595F3">
        <w:rPr>
          <w:rFonts w:ascii="Verdana" w:eastAsia="Century Gothic" w:hAnsi="Verdana" w:cs="Century Gothic"/>
        </w:rPr>
        <w:t xml:space="preserve">Consejo de Estado, Sección Tercera en Sentencia del 23 de octubre de 2017 con consejero ponente: Jaime Orlando Santofimio Gamboa. </w:t>
      </w:r>
      <w:proofErr w:type="spellStart"/>
      <w:r w:rsidRPr="57A595F3">
        <w:rPr>
          <w:rFonts w:ascii="Verdana" w:eastAsia="Century Gothic" w:hAnsi="Verdana" w:cs="Century Gothic"/>
        </w:rPr>
        <w:t>Exp</w:t>
      </w:r>
      <w:proofErr w:type="spellEnd"/>
      <w:r w:rsidRPr="57A595F3">
        <w:rPr>
          <w:rFonts w:ascii="Verdana" w:eastAsia="Century Gothic" w:hAnsi="Verdana" w:cs="Century Gothic"/>
        </w:rPr>
        <w:t xml:space="preserve">. </w:t>
      </w:r>
      <w:r w:rsidRPr="00773D06">
        <w:rPr>
          <w:rFonts w:ascii="Verdana" w:eastAsia="Century Gothic" w:hAnsi="Verdana" w:cs="Century Gothic"/>
        </w:rPr>
        <w:t>53477.</w:t>
      </w:r>
      <w:r w:rsidRPr="57A595F3">
        <w:rPr>
          <w:rFonts w:ascii="Verdana" w:eastAsia="Century Gothic" w:hAnsi="Verdana" w:cs="Century Gothic"/>
        </w:rPr>
        <w:t xml:space="preserve"> Disponible en:</w:t>
      </w:r>
    </w:p>
    <w:p w14:paraId="0E058D4D" w14:textId="2EED2BF7" w:rsidR="000C1274" w:rsidRPr="001A5BCA" w:rsidRDefault="007073A0" w:rsidP="007073A0">
      <w:pPr>
        <w:pStyle w:val="Prrafodelista"/>
        <w:tabs>
          <w:tab w:val="left" w:pos="142"/>
          <w:tab w:val="left" w:pos="284"/>
        </w:tabs>
        <w:spacing w:after="0"/>
        <w:jc w:val="both"/>
        <w:rPr>
          <w:rFonts w:ascii="Verdana" w:eastAsia="Century Gothic" w:hAnsi="Verdana" w:cs="Century Gothic"/>
          <w:lang w:val="es-ES_tradnl"/>
        </w:rPr>
      </w:pPr>
      <w:hyperlink r:id="rId17" w:history="1">
        <w:r w:rsidRPr="001A5BCA">
          <w:rPr>
            <w:rStyle w:val="Hipervnculo"/>
            <w:rFonts w:ascii="Verdana" w:eastAsia="Century Gothic" w:hAnsi="Verdana" w:cs="Century Gothic"/>
            <w:lang w:val="es-ES_tradnl"/>
          </w:rPr>
          <w:t>https://relatoria.colombiacompra.gov.co/providencias/2017_73001-23-33-000-2013-00468-01_53477/</w:t>
        </w:r>
      </w:hyperlink>
    </w:p>
    <w:p w14:paraId="42D0915E" w14:textId="77777777" w:rsidR="007073A0" w:rsidRPr="001A5BCA" w:rsidRDefault="007073A0" w:rsidP="007073A0">
      <w:pPr>
        <w:pStyle w:val="Prrafodelista"/>
        <w:rPr>
          <w:rFonts w:ascii="Verdana" w:eastAsia="Century Gothic" w:hAnsi="Verdana" w:cs="Century Gothic"/>
          <w:lang w:val="es-ES_tradnl"/>
        </w:rPr>
      </w:pPr>
    </w:p>
    <w:p w14:paraId="66B15AFD" w14:textId="14A73488" w:rsidR="00DF435B" w:rsidRPr="001A5BCA" w:rsidRDefault="007073A0" w:rsidP="007073A0">
      <w:pPr>
        <w:pStyle w:val="Prrafodelista"/>
        <w:numPr>
          <w:ilvl w:val="0"/>
          <w:numId w:val="17"/>
        </w:numPr>
        <w:tabs>
          <w:tab w:val="left" w:pos="142"/>
          <w:tab w:val="left" w:pos="284"/>
        </w:tabs>
        <w:spacing w:after="0"/>
        <w:jc w:val="both"/>
        <w:rPr>
          <w:rFonts w:ascii="Verdana" w:eastAsia="Century Gothic" w:hAnsi="Verdana" w:cs="Century Gothic"/>
          <w:lang w:val="es-ES_tradnl"/>
        </w:rPr>
      </w:pPr>
      <w:r w:rsidRPr="001A5BCA">
        <w:rPr>
          <w:rFonts w:ascii="Verdana" w:eastAsia="Century Gothic" w:hAnsi="Verdana" w:cs="Century Gothic"/>
          <w:lang w:val="es-ES_tradnl"/>
        </w:rPr>
        <w:t>Consejo de Estado</w:t>
      </w:r>
      <w:r w:rsidR="00DF435B" w:rsidRPr="001A5BCA">
        <w:rPr>
          <w:rFonts w:ascii="Verdana" w:eastAsia="Century Gothic" w:hAnsi="Verdana" w:cs="Century Gothic"/>
          <w:lang w:val="es-ES_tradnl"/>
        </w:rPr>
        <w:t xml:space="preserve">. Sala de lo Contencioso Administrativo. Sección Tercera – Subsección A. Sentencia del 16 de mayo de 2019. Rad. (40102). </w:t>
      </w:r>
      <w:proofErr w:type="spellStart"/>
      <w:r w:rsidR="00DF435B" w:rsidRPr="001A5BCA">
        <w:rPr>
          <w:rFonts w:ascii="Verdana" w:eastAsia="Century Gothic" w:hAnsi="Verdana" w:cs="Century Gothic"/>
          <w:lang w:val="es-ES_tradnl"/>
        </w:rPr>
        <w:t>C.P</w:t>
      </w:r>
      <w:proofErr w:type="spellEnd"/>
      <w:r w:rsidR="00DF435B" w:rsidRPr="001A5BCA">
        <w:rPr>
          <w:rFonts w:ascii="Verdana" w:eastAsia="Century Gothic" w:hAnsi="Verdana" w:cs="Century Gothic"/>
          <w:lang w:val="es-ES_tradnl"/>
        </w:rPr>
        <w:t>: María Adriana Marín</w:t>
      </w:r>
      <w:r w:rsidR="00694BEB" w:rsidRPr="001A5BCA">
        <w:rPr>
          <w:rFonts w:ascii="Verdana" w:eastAsia="Century Gothic" w:hAnsi="Verdana" w:cs="Century Gothic"/>
          <w:lang w:val="es-ES_tradnl"/>
        </w:rPr>
        <w:t>. Disponible en:</w:t>
      </w:r>
    </w:p>
    <w:p w14:paraId="567489A4" w14:textId="4A46496A" w:rsidR="00694BEB" w:rsidRPr="001A5BCA" w:rsidRDefault="00694BEB" w:rsidP="00694BEB">
      <w:pPr>
        <w:pStyle w:val="Prrafodelista"/>
        <w:tabs>
          <w:tab w:val="left" w:pos="142"/>
          <w:tab w:val="left" w:pos="284"/>
        </w:tabs>
        <w:spacing w:after="0"/>
        <w:jc w:val="both"/>
        <w:rPr>
          <w:rFonts w:ascii="Verdana" w:eastAsia="Century Gothic" w:hAnsi="Verdana" w:cs="Century Gothic"/>
          <w:lang w:val="es-ES_tradnl"/>
        </w:rPr>
      </w:pPr>
      <w:hyperlink r:id="rId18" w:history="1">
        <w:r w:rsidRPr="001A5BCA">
          <w:rPr>
            <w:rStyle w:val="Hipervnculo"/>
            <w:rFonts w:ascii="Verdana" w:eastAsia="Century Gothic" w:hAnsi="Verdana" w:cs="Century Gothic"/>
            <w:lang w:val="es-ES_tradnl"/>
          </w:rPr>
          <w:t>https://relatoria.colombiacompra.gov.co/providencias/2019_85001-23-31-000-2007-00159-01_40102/</w:t>
        </w:r>
      </w:hyperlink>
    </w:p>
    <w:p w14:paraId="0BCE5CD0" w14:textId="77777777" w:rsidR="00DF435B" w:rsidRPr="001A5BCA" w:rsidRDefault="00DF435B" w:rsidP="000C1274">
      <w:pPr>
        <w:pStyle w:val="Prrafodelista"/>
        <w:tabs>
          <w:tab w:val="left" w:pos="142"/>
          <w:tab w:val="left" w:pos="284"/>
        </w:tabs>
        <w:spacing w:after="0"/>
        <w:jc w:val="both"/>
        <w:rPr>
          <w:rFonts w:ascii="Verdana" w:eastAsia="Century Gothic" w:hAnsi="Verdana" w:cs="Century Gothic"/>
          <w:lang w:val="es-ES_tradnl"/>
        </w:rPr>
      </w:pPr>
    </w:p>
    <w:p w14:paraId="7EC88F01" w14:textId="1779E0B5" w:rsidR="00C01FAE" w:rsidRDefault="00983967" w:rsidP="007073A0">
      <w:pPr>
        <w:pStyle w:val="Prrafodelista"/>
        <w:numPr>
          <w:ilvl w:val="0"/>
          <w:numId w:val="17"/>
        </w:numPr>
        <w:tabs>
          <w:tab w:val="left" w:pos="142"/>
          <w:tab w:val="left" w:pos="284"/>
        </w:tabs>
        <w:spacing w:after="0"/>
        <w:jc w:val="both"/>
        <w:rPr>
          <w:rFonts w:ascii="Verdana" w:eastAsia="Century Gothic" w:hAnsi="Verdana" w:cs="Century Gothic"/>
        </w:rPr>
      </w:pPr>
      <w:r w:rsidRPr="73BF47D1">
        <w:rPr>
          <w:rFonts w:ascii="Verdana" w:eastAsia="Century Gothic" w:hAnsi="Verdana" w:cs="Century Gothic"/>
        </w:rPr>
        <w:t>Consejo de Estado, Sección Tercera, Subsección B, sentencia del 5 de mayo de 2020, C.P. Alberto Montaña Plata (</w:t>
      </w:r>
      <w:proofErr w:type="spellStart"/>
      <w:r w:rsidRPr="73BF47D1">
        <w:rPr>
          <w:rFonts w:ascii="Verdana" w:eastAsia="Century Gothic" w:hAnsi="Verdana" w:cs="Century Gothic"/>
        </w:rPr>
        <w:t>Exp</w:t>
      </w:r>
      <w:proofErr w:type="spellEnd"/>
      <w:r w:rsidRPr="73BF47D1">
        <w:rPr>
          <w:rFonts w:ascii="Verdana" w:eastAsia="Century Gothic" w:hAnsi="Verdana" w:cs="Century Gothic"/>
        </w:rPr>
        <w:t>. 48961). Disponible en:</w:t>
      </w:r>
      <w:r w:rsidR="00C01FAE" w:rsidRPr="00C01FAE">
        <w:t xml:space="preserve"> </w:t>
      </w:r>
      <w:hyperlink r:id="rId19" w:history="1">
        <w:r w:rsidR="00C01FAE" w:rsidRPr="003B28CE">
          <w:rPr>
            <w:rStyle w:val="Hipervnculo"/>
            <w:rFonts w:ascii="Verdana" w:eastAsia="Century Gothic" w:hAnsi="Verdana" w:cs="Century Gothic"/>
          </w:rPr>
          <w:t>http://servicios.consejodeestado.gov.co/WebRelatoria/FileReferenceServlet?corp=ce&amp;ext=doc&amp;file=2153346</w:t>
        </w:r>
      </w:hyperlink>
    </w:p>
    <w:p w14:paraId="3A164BE0" w14:textId="77777777" w:rsidR="00983967" w:rsidRDefault="00983967" w:rsidP="00983967">
      <w:pPr>
        <w:pStyle w:val="Prrafodelista"/>
        <w:tabs>
          <w:tab w:val="left" w:pos="142"/>
          <w:tab w:val="left" w:pos="284"/>
        </w:tabs>
        <w:spacing w:after="0"/>
        <w:jc w:val="both"/>
        <w:rPr>
          <w:rFonts w:ascii="Verdana" w:eastAsia="Century Gothic" w:hAnsi="Verdana" w:cs="Century Gothic"/>
          <w:lang w:val="es-ES_tradnl"/>
        </w:rPr>
      </w:pPr>
    </w:p>
    <w:p w14:paraId="400D702D" w14:textId="6D85E046" w:rsidR="00DF435B" w:rsidRPr="001A5BCA" w:rsidRDefault="007073A0" w:rsidP="007073A0">
      <w:pPr>
        <w:pStyle w:val="Prrafodelista"/>
        <w:numPr>
          <w:ilvl w:val="0"/>
          <w:numId w:val="17"/>
        </w:numPr>
        <w:tabs>
          <w:tab w:val="left" w:pos="142"/>
          <w:tab w:val="left" w:pos="284"/>
        </w:tabs>
        <w:spacing w:after="0"/>
        <w:jc w:val="both"/>
        <w:rPr>
          <w:rFonts w:ascii="Verdana" w:eastAsia="Century Gothic" w:hAnsi="Verdana" w:cs="Century Gothic"/>
          <w:lang w:val="es-ES_tradnl"/>
        </w:rPr>
      </w:pPr>
      <w:r w:rsidRPr="001A5BCA">
        <w:rPr>
          <w:rFonts w:ascii="Verdana" w:eastAsia="Century Gothic" w:hAnsi="Verdana" w:cs="Century Gothic"/>
          <w:lang w:val="es-ES_tradnl"/>
        </w:rPr>
        <w:t>Consejo de Estado</w:t>
      </w:r>
      <w:r w:rsidR="00DF435B" w:rsidRPr="001A5BCA">
        <w:rPr>
          <w:rFonts w:ascii="Verdana" w:eastAsia="Century Gothic" w:hAnsi="Verdana" w:cs="Century Gothic"/>
          <w:lang w:val="es-ES_tradnl"/>
        </w:rPr>
        <w:t>. Sala de lo Contencioso Administrativo. Sección Tercera – Subsección C. Sentencia del 2 de octubre del 2020. Rad. 63644. CP. Jaime Enrique Rodríguez Navas.</w:t>
      </w:r>
      <w:r w:rsidR="008B1650" w:rsidRPr="001A5BCA">
        <w:rPr>
          <w:rFonts w:ascii="Verdana" w:eastAsia="Century Gothic" w:hAnsi="Verdana" w:cs="Century Gothic"/>
          <w:lang w:val="es-ES_tradnl"/>
        </w:rPr>
        <w:t xml:space="preserve"> Disponible en: </w:t>
      </w:r>
    </w:p>
    <w:p w14:paraId="75675DB0" w14:textId="0D1093DC" w:rsidR="008B1650" w:rsidRDefault="008B1650" w:rsidP="008B1650">
      <w:pPr>
        <w:pStyle w:val="Prrafodelista"/>
        <w:tabs>
          <w:tab w:val="left" w:pos="142"/>
          <w:tab w:val="left" w:pos="284"/>
        </w:tabs>
        <w:spacing w:after="0"/>
        <w:jc w:val="both"/>
        <w:rPr>
          <w:rStyle w:val="Hipervnculo"/>
          <w:rFonts w:ascii="Verdana" w:eastAsia="Century Gothic" w:hAnsi="Verdana" w:cs="Century Gothic"/>
          <w:lang w:val="es-ES_tradnl"/>
        </w:rPr>
      </w:pPr>
      <w:hyperlink r:id="rId20" w:history="1">
        <w:r w:rsidRPr="001A5BCA">
          <w:rPr>
            <w:rStyle w:val="Hipervnculo"/>
            <w:rFonts w:ascii="Verdana" w:eastAsia="Century Gothic" w:hAnsi="Verdana" w:cs="Century Gothic"/>
            <w:lang w:val="es-ES_tradnl"/>
          </w:rPr>
          <w:t>http://servicios.consejodeestado.gov.co/WebRelatoria/FileReferenceServlet?corp=ce&amp;ext=doc&amp;file=2159750</w:t>
        </w:r>
      </w:hyperlink>
    </w:p>
    <w:p w14:paraId="500518D7" w14:textId="6E96D99A" w:rsidR="001B402D" w:rsidRDefault="001B402D" w:rsidP="008B1650">
      <w:pPr>
        <w:pStyle w:val="Prrafodelista"/>
        <w:tabs>
          <w:tab w:val="left" w:pos="142"/>
          <w:tab w:val="left" w:pos="284"/>
        </w:tabs>
        <w:spacing w:after="0"/>
        <w:jc w:val="both"/>
        <w:rPr>
          <w:rFonts w:ascii="Verdana" w:eastAsia="Century Gothic" w:hAnsi="Verdana" w:cs="Century Gothic"/>
          <w:lang w:val="es-ES_tradnl"/>
        </w:rPr>
      </w:pPr>
    </w:p>
    <w:p w14:paraId="249ABBBB" w14:textId="5D2E13BB" w:rsidR="008063BC" w:rsidRDefault="008063BC" w:rsidP="001B402D">
      <w:pPr>
        <w:pStyle w:val="Prrafodelista"/>
        <w:numPr>
          <w:ilvl w:val="0"/>
          <w:numId w:val="17"/>
        </w:numPr>
        <w:tabs>
          <w:tab w:val="left" w:pos="142"/>
          <w:tab w:val="left" w:pos="284"/>
        </w:tabs>
        <w:spacing w:after="0"/>
        <w:jc w:val="both"/>
        <w:rPr>
          <w:rFonts w:ascii="Verdana" w:eastAsia="Century Gothic" w:hAnsi="Verdana" w:cs="Century Gothic"/>
        </w:rPr>
      </w:pPr>
      <w:r w:rsidRPr="008063BC">
        <w:rPr>
          <w:rFonts w:ascii="Verdana" w:eastAsia="Century Gothic" w:hAnsi="Verdana" w:cs="Century Gothic"/>
        </w:rPr>
        <w:t>Consejo de Estado. Sala de lo Contencioso Administrativo. Sección Tercera – Subsección A. Sentencia del 19 de febrero del 2021. Rad. 65277. CP. Marta Nubia Velásquez Rico.</w:t>
      </w:r>
      <w:r>
        <w:rPr>
          <w:rFonts w:ascii="Verdana" w:eastAsia="Century Gothic" w:hAnsi="Verdana" w:cs="Century Gothic"/>
        </w:rPr>
        <w:t xml:space="preserve"> </w:t>
      </w:r>
      <w:r w:rsidRPr="005B3D15">
        <w:rPr>
          <w:rFonts w:ascii="Verdana" w:eastAsia="Century Gothic" w:hAnsi="Verdana" w:cs="Century Gothic"/>
        </w:rPr>
        <w:t>Disponible en:</w:t>
      </w:r>
      <w:r w:rsidR="003A36EE" w:rsidRPr="003A36EE">
        <w:t xml:space="preserve"> </w:t>
      </w:r>
      <w:hyperlink r:id="rId21" w:history="1">
        <w:r w:rsidR="003A36EE" w:rsidRPr="003B28CE">
          <w:rPr>
            <w:rStyle w:val="Hipervnculo"/>
            <w:rFonts w:ascii="Verdana" w:eastAsia="Century Gothic" w:hAnsi="Verdana" w:cs="Century Gothic"/>
          </w:rPr>
          <w:t>http://servicios.consejodeestado.gov.co/WebRelatoria/FileReferenceServlet?corp=ce&amp;ext=doc&amp;file=2170546</w:t>
        </w:r>
      </w:hyperlink>
    </w:p>
    <w:p w14:paraId="08748E59" w14:textId="77777777" w:rsidR="008063BC" w:rsidRDefault="008063BC" w:rsidP="008063BC">
      <w:pPr>
        <w:pStyle w:val="Prrafodelista"/>
        <w:tabs>
          <w:tab w:val="left" w:pos="142"/>
          <w:tab w:val="left" w:pos="284"/>
        </w:tabs>
        <w:spacing w:after="0"/>
        <w:jc w:val="both"/>
        <w:rPr>
          <w:rFonts w:ascii="Verdana" w:eastAsia="Century Gothic" w:hAnsi="Verdana" w:cs="Century Gothic"/>
        </w:rPr>
      </w:pPr>
    </w:p>
    <w:p w14:paraId="06F1EB42" w14:textId="2060D441" w:rsidR="00CE0F92" w:rsidRDefault="00CE0F92" w:rsidP="001B402D">
      <w:pPr>
        <w:pStyle w:val="Prrafodelista"/>
        <w:numPr>
          <w:ilvl w:val="0"/>
          <w:numId w:val="17"/>
        </w:numPr>
        <w:tabs>
          <w:tab w:val="left" w:pos="142"/>
          <w:tab w:val="left" w:pos="284"/>
        </w:tabs>
        <w:spacing w:after="0"/>
        <w:jc w:val="both"/>
        <w:rPr>
          <w:rFonts w:ascii="Verdana" w:eastAsia="Century Gothic" w:hAnsi="Verdana" w:cs="Century Gothic"/>
        </w:rPr>
      </w:pPr>
      <w:r w:rsidRPr="00CE0F92">
        <w:rPr>
          <w:rFonts w:ascii="Verdana" w:eastAsia="Century Gothic" w:hAnsi="Verdana" w:cs="Century Gothic"/>
        </w:rPr>
        <w:t xml:space="preserve">Consejo de Estado, Sala de lo Contencioso Administrativo, Sección Tercera, Subsección A, sentencia del 19 de marzo de 2021, </w:t>
      </w:r>
      <w:proofErr w:type="spellStart"/>
      <w:r w:rsidRPr="00CE0F92">
        <w:rPr>
          <w:rFonts w:ascii="Verdana" w:eastAsia="Century Gothic" w:hAnsi="Verdana" w:cs="Century Gothic"/>
        </w:rPr>
        <w:t>exp</w:t>
      </w:r>
      <w:proofErr w:type="spellEnd"/>
      <w:r w:rsidRPr="00CE0F92">
        <w:rPr>
          <w:rFonts w:ascii="Verdana" w:eastAsia="Century Gothic" w:hAnsi="Verdana" w:cs="Century Gothic"/>
        </w:rPr>
        <w:t>. 42135, C.P. María Adriana Marín.</w:t>
      </w:r>
      <w:r>
        <w:rPr>
          <w:rFonts w:ascii="Verdana" w:eastAsia="Century Gothic" w:hAnsi="Verdana" w:cs="Century Gothic"/>
        </w:rPr>
        <w:t xml:space="preserve"> </w:t>
      </w:r>
      <w:r w:rsidRPr="005B3D15">
        <w:rPr>
          <w:rFonts w:ascii="Verdana" w:eastAsia="Century Gothic" w:hAnsi="Verdana" w:cs="Century Gothic"/>
        </w:rPr>
        <w:t>Disponible en:</w:t>
      </w:r>
      <w:r>
        <w:rPr>
          <w:rFonts w:ascii="Verdana" w:eastAsia="Century Gothic" w:hAnsi="Verdana" w:cs="Century Gothic"/>
        </w:rPr>
        <w:t xml:space="preserve"> </w:t>
      </w:r>
      <w:hyperlink r:id="rId22" w:history="1">
        <w:r w:rsidR="006063D9" w:rsidRPr="003B28CE">
          <w:rPr>
            <w:rStyle w:val="Hipervnculo"/>
            <w:rFonts w:ascii="Verdana" w:eastAsia="Century Gothic" w:hAnsi="Verdana" w:cs="Century Gothic"/>
          </w:rPr>
          <w:t>http://servicios.consejodeestado.gov.co/WebRelatoria/FileReferenceServlet?corp=ce&amp;ext=doc&amp;file=2174031</w:t>
        </w:r>
      </w:hyperlink>
    </w:p>
    <w:p w14:paraId="3DBB96A8" w14:textId="77777777" w:rsidR="006063D9" w:rsidRPr="006063D9" w:rsidRDefault="006063D9" w:rsidP="006063D9">
      <w:pPr>
        <w:pStyle w:val="Prrafodelista"/>
        <w:rPr>
          <w:rFonts w:ascii="Verdana" w:eastAsia="Century Gothic" w:hAnsi="Verdana" w:cs="Century Gothic"/>
        </w:rPr>
      </w:pPr>
    </w:p>
    <w:p w14:paraId="4DCA8855" w14:textId="53883738" w:rsidR="00CE0F92" w:rsidRPr="005B3D15" w:rsidRDefault="00CE0F92" w:rsidP="00633117">
      <w:pPr>
        <w:pStyle w:val="Prrafodelista"/>
        <w:numPr>
          <w:ilvl w:val="0"/>
          <w:numId w:val="17"/>
        </w:numPr>
        <w:tabs>
          <w:tab w:val="left" w:pos="142"/>
          <w:tab w:val="left" w:pos="284"/>
        </w:tabs>
        <w:spacing w:after="0"/>
        <w:jc w:val="both"/>
        <w:rPr>
          <w:rFonts w:ascii="Verdana" w:eastAsia="Century Gothic" w:hAnsi="Verdana" w:cs="Century Gothic"/>
        </w:rPr>
      </w:pPr>
      <w:r w:rsidRPr="00CE0F92">
        <w:rPr>
          <w:rFonts w:ascii="Verdana" w:eastAsia="Century Gothic" w:hAnsi="Verdana" w:cs="Century Gothic"/>
        </w:rPr>
        <w:t>Consejo de Estado. Sala de lo Contencioso Administrativo. Sección Tercera – Subsección C. Sentencia del 13 de abril del 2023. Rad. 66712. CP. Guillermo Sánchez Luque.</w:t>
      </w:r>
      <w:r>
        <w:rPr>
          <w:rFonts w:ascii="Verdana" w:eastAsia="Century Gothic" w:hAnsi="Verdana" w:cs="Century Gothic"/>
        </w:rPr>
        <w:t xml:space="preserve"> </w:t>
      </w:r>
      <w:r w:rsidRPr="005B3D15">
        <w:rPr>
          <w:rFonts w:ascii="Verdana" w:eastAsia="Century Gothic" w:hAnsi="Verdana" w:cs="Century Gothic"/>
        </w:rPr>
        <w:t xml:space="preserve">Disponible en: </w:t>
      </w:r>
    </w:p>
    <w:p w14:paraId="6DDD06A8" w14:textId="77777777" w:rsidR="00CE0F92" w:rsidRPr="00CE0F92" w:rsidRDefault="00CE0F92" w:rsidP="00CE0F92">
      <w:pPr>
        <w:pStyle w:val="Prrafodelista"/>
        <w:rPr>
          <w:rFonts w:ascii="Verdana" w:eastAsia="Century Gothic" w:hAnsi="Verdana" w:cs="Century Gothic"/>
        </w:rPr>
      </w:pPr>
    </w:p>
    <w:p w14:paraId="2C26DF8F" w14:textId="27F28C33" w:rsidR="001B402D" w:rsidRPr="001A5BCA" w:rsidRDefault="001B402D" w:rsidP="001B402D">
      <w:pPr>
        <w:pStyle w:val="Prrafodelista"/>
        <w:numPr>
          <w:ilvl w:val="0"/>
          <w:numId w:val="17"/>
        </w:numPr>
        <w:tabs>
          <w:tab w:val="left" w:pos="142"/>
          <w:tab w:val="left" w:pos="284"/>
        </w:tabs>
        <w:spacing w:after="0"/>
        <w:jc w:val="both"/>
        <w:rPr>
          <w:rFonts w:ascii="Verdana" w:eastAsia="Century Gothic" w:hAnsi="Verdana" w:cs="Century Gothic"/>
        </w:rPr>
      </w:pPr>
      <w:r w:rsidRPr="76C79F98">
        <w:rPr>
          <w:rFonts w:ascii="Verdana" w:eastAsia="Century Gothic" w:hAnsi="Verdana" w:cs="Century Gothic"/>
        </w:rPr>
        <w:t xml:space="preserve">Consejo de Estado, Sección Tercer, Subsección A en Sentencia del 18 de marzo de 2024 con consejero ponente: José Roberto Sáchica Méndez. </w:t>
      </w:r>
      <w:proofErr w:type="spellStart"/>
      <w:r w:rsidRPr="76C79F98">
        <w:rPr>
          <w:rFonts w:ascii="Verdana" w:eastAsia="Century Gothic" w:hAnsi="Verdana" w:cs="Century Gothic"/>
        </w:rPr>
        <w:t>Exp</w:t>
      </w:r>
      <w:proofErr w:type="spellEnd"/>
      <w:r w:rsidRPr="76C79F98">
        <w:rPr>
          <w:rFonts w:ascii="Verdana" w:eastAsia="Century Gothic" w:hAnsi="Verdana" w:cs="Century Gothic"/>
        </w:rPr>
        <w:t xml:space="preserve">. </w:t>
      </w:r>
      <w:r w:rsidRPr="005B3D15">
        <w:rPr>
          <w:rFonts w:ascii="Verdana" w:eastAsia="Century Gothic" w:hAnsi="Verdana" w:cs="Century Gothic"/>
        </w:rPr>
        <w:t>62508.</w:t>
      </w:r>
      <w:r w:rsidRPr="00773D06">
        <w:rPr>
          <w:rFonts w:ascii="Verdana" w:eastAsia="Century Gothic" w:hAnsi="Verdana" w:cs="Century Gothic"/>
        </w:rPr>
        <w:t xml:space="preserve"> </w:t>
      </w:r>
    </w:p>
    <w:p w14:paraId="57BD0972" w14:textId="77777777" w:rsidR="00DF435B" w:rsidRPr="005B3D15" w:rsidRDefault="00DF435B" w:rsidP="000C1274">
      <w:pPr>
        <w:pStyle w:val="Prrafodelista"/>
        <w:tabs>
          <w:tab w:val="left" w:pos="142"/>
          <w:tab w:val="left" w:pos="284"/>
        </w:tabs>
        <w:spacing w:after="0"/>
        <w:jc w:val="both"/>
        <w:rPr>
          <w:rFonts w:ascii="Verdana" w:eastAsia="Century Gothic" w:hAnsi="Verdana" w:cs="Century Gothic"/>
          <w:lang w:val="es-ES_tradnl"/>
        </w:rPr>
      </w:pPr>
    </w:p>
    <w:p w14:paraId="7544448C" w14:textId="004F12A9" w:rsidR="005A3D54" w:rsidRPr="001A5BCA" w:rsidRDefault="008442C5" w:rsidP="005A3D54">
      <w:pPr>
        <w:pStyle w:val="Prrafodelista"/>
        <w:numPr>
          <w:ilvl w:val="0"/>
          <w:numId w:val="17"/>
        </w:numPr>
        <w:tabs>
          <w:tab w:val="left" w:pos="142"/>
          <w:tab w:val="left" w:pos="284"/>
        </w:tabs>
        <w:spacing w:after="0"/>
        <w:jc w:val="both"/>
        <w:rPr>
          <w:rFonts w:ascii="Verdana" w:eastAsia="Century Gothic" w:hAnsi="Verdana" w:cs="Century Gothic"/>
          <w:lang w:val="es-ES_tradnl"/>
        </w:rPr>
      </w:pPr>
      <w:r w:rsidRPr="00F850F0">
        <w:rPr>
          <w:rFonts w:ascii="Verdana" w:eastAsia="Century Gothic" w:hAnsi="Verdana" w:cs="Century Gothic"/>
          <w:lang w:val="pt-BR"/>
        </w:rPr>
        <w:lastRenderedPageBreak/>
        <w:t>Corte Constitucional</w:t>
      </w:r>
      <w:r w:rsidR="00E763A9" w:rsidRPr="00F850F0">
        <w:rPr>
          <w:rFonts w:ascii="Verdana" w:eastAsia="Century Gothic" w:hAnsi="Verdana" w:cs="Century Gothic"/>
          <w:lang w:val="pt-BR"/>
        </w:rPr>
        <w:t xml:space="preserve">, Sentencia C-300 de 2012. Magistrado </w:t>
      </w:r>
      <w:proofErr w:type="spellStart"/>
      <w:r w:rsidR="00E763A9" w:rsidRPr="00F850F0">
        <w:rPr>
          <w:rFonts w:ascii="Verdana" w:eastAsia="Century Gothic" w:hAnsi="Verdana" w:cs="Century Gothic"/>
          <w:lang w:val="pt-BR"/>
        </w:rPr>
        <w:t>Ponente</w:t>
      </w:r>
      <w:proofErr w:type="spellEnd"/>
      <w:r w:rsidR="00E763A9" w:rsidRPr="00F850F0">
        <w:rPr>
          <w:rFonts w:ascii="Verdana" w:eastAsia="Century Gothic" w:hAnsi="Verdana" w:cs="Century Gothic"/>
          <w:lang w:val="pt-BR"/>
        </w:rPr>
        <w:t xml:space="preserve">: Jorge Ignacio </w:t>
      </w:r>
      <w:proofErr w:type="spellStart"/>
      <w:r w:rsidR="00E763A9" w:rsidRPr="00F850F0">
        <w:rPr>
          <w:rFonts w:ascii="Verdana" w:eastAsia="Century Gothic" w:hAnsi="Verdana" w:cs="Century Gothic"/>
          <w:lang w:val="pt-BR"/>
        </w:rPr>
        <w:t>Pretelt</w:t>
      </w:r>
      <w:proofErr w:type="spellEnd"/>
      <w:r w:rsidR="00E763A9" w:rsidRPr="00F850F0">
        <w:rPr>
          <w:rFonts w:ascii="Verdana" w:eastAsia="Century Gothic" w:hAnsi="Verdana" w:cs="Century Gothic"/>
          <w:lang w:val="pt-BR"/>
        </w:rPr>
        <w:t xml:space="preserve"> </w:t>
      </w:r>
      <w:proofErr w:type="spellStart"/>
      <w:r w:rsidR="00E763A9" w:rsidRPr="00F850F0">
        <w:rPr>
          <w:rFonts w:ascii="Verdana" w:eastAsia="Century Gothic" w:hAnsi="Verdana" w:cs="Century Gothic"/>
          <w:lang w:val="pt-BR"/>
        </w:rPr>
        <w:t>Chaljub</w:t>
      </w:r>
      <w:proofErr w:type="spellEnd"/>
      <w:r w:rsidR="00E763A9" w:rsidRPr="00F850F0">
        <w:rPr>
          <w:rFonts w:ascii="Verdana" w:eastAsia="Century Gothic" w:hAnsi="Verdana" w:cs="Century Gothic"/>
          <w:lang w:val="pt-BR"/>
        </w:rPr>
        <w:t>.</w:t>
      </w:r>
      <w:r w:rsidR="00D70ECD" w:rsidRPr="00F850F0">
        <w:rPr>
          <w:rFonts w:ascii="Verdana" w:eastAsia="Century Gothic" w:hAnsi="Verdana" w:cs="Century Gothic"/>
          <w:lang w:val="pt-BR"/>
        </w:rPr>
        <w:t xml:space="preserve"> </w:t>
      </w:r>
      <w:r w:rsidR="00D70ECD" w:rsidRPr="001A5BCA">
        <w:rPr>
          <w:rFonts w:ascii="Verdana" w:eastAsia="Century Gothic" w:hAnsi="Verdana" w:cs="Century Gothic"/>
          <w:lang w:val="es-ES_tradnl"/>
        </w:rPr>
        <w:t xml:space="preserve">Disponible en: </w:t>
      </w:r>
    </w:p>
    <w:p w14:paraId="74270571" w14:textId="5DD91E3D" w:rsidR="005A3D54" w:rsidRPr="001A5BCA" w:rsidRDefault="005A3D54" w:rsidP="005A3D54">
      <w:pPr>
        <w:pStyle w:val="Prrafodelista"/>
        <w:tabs>
          <w:tab w:val="left" w:pos="142"/>
          <w:tab w:val="left" w:pos="284"/>
        </w:tabs>
        <w:spacing w:after="0"/>
        <w:jc w:val="both"/>
        <w:rPr>
          <w:rFonts w:ascii="Verdana" w:eastAsia="Century Gothic" w:hAnsi="Verdana" w:cs="Century Gothic"/>
          <w:lang w:val="es-ES_tradnl"/>
        </w:rPr>
      </w:pPr>
      <w:hyperlink r:id="rId23" w:history="1">
        <w:r w:rsidRPr="001A5BCA">
          <w:rPr>
            <w:rStyle w:val="Hipervnculo"/>
            <w:rFonts w:ascii="Verdana" w:eastAsia="Century Gothic" w:hAnsi="Verdana" w:cs="Century Gothic"/>
            <w:lang w:val="es-ES_tradnl"/>
          </w:rPr>
          <w:t>https://www.corteconstitucional.gov.co/RELATORIA/2012/C-300-12.htm</w:t>
        </w:r>
      </w:hyperlink>
    </w:p>
    <w:p w14:paraId="4A669AAE" w14:textId="77777777" w:rsidR="00E379A6" w:rsidRPr="001A5BCA" w:rsidRDefault="00E379A6" w:rsidP="00E379A6">
      <w:pPr>
        <w:pStyle w:val="Prrafodelista"/>
        <w:tabs>
          <w:tab w:val="left" w:pos="142"/>
          <w:tab w:val="left" w:pos="284"/>
        </w:tabs>
        <w:spacing w:after="0"/>
        <w:jc w:val="both"/>
        <w:rPr>
          <w:rFonts w:ascii="Verdana" w:eastAsia="Century Gothic" w:hAnsi="Verdana" w:cs="Century Gothic"/>
          <w:lang w:val="es-ES_tradnl"/>
        </w:rPr>
      </w:pPr>
    </w:p>
    <w:p w14:paraId="30E28E2F" w14:textId="2B219717" w:rsidR="00E379A6" w:rsidRPr="001A5BCA" w:rsidRDefault="008442C5" w:rsidP="00E379A6">
      <w:pPr>
        <w:pStyle w:val="Prrafodelista"/>
        <w:numPr>
          <w:ilvl w:val="0"/>
          <w:numId w:val="17"/>
        </w:numPr>
        <w:tabs>
          <w:tab w:val="left" w:pos="142"/>
          <w:tab w:val="left" w:pos="284"/>
        </w:tabs>
        <w:spacing w:after="0"/>
        <w:jc w:val="both"/>
        <w:rPr>
          <w:rFonts w:ascii="Verdana" w:eastAsia="Century Gothic" w:hAnsi="Verdana" w:cs="Century Gothic"/>
          <w:lang w:val="es-ES_tradnl"/>
        </w:rPr>
      </w:pPr>
      <w:r w:rsidRPr="00F850F0">
        <w:rPr>
          <w:rFonts w:ascii="Verdana" w:eastAsia="Century Gothic" w:hAnsi="Verdana" w:cs="Century Gothic"/>
          <w:lang w:val="pt-BR"/>
        </w:rPr>
        <w:t>Corte Constitucional</w:t>
      </w:r>
      <w:r w:rsidR="005A3D54" w:rsidRPr="00F850F0">
        <w:rPr>
          <w:rFonts w:ascii="Verdana" w:eastAsia="Century Gothic" w:hAnsi="Verdana" w:cs="Century Gothic"/>
          <w:lang w:val="pt-BR"/>
        </w:rPr>
        <w:t xml:space="preserve">, Sentencia C-416 de 2012. </w:t>
      </w:r>
      <w:r w:rsidR="005A3D54" w:rsidRPr="001A5BCA">
        <w:rPr>
          <w:rFonts w:ascii="Verdana" w:eastAsia="Century Gothic" w:hAnsi="Verdana" w:cs="Century Gothic"/>
          <w:lang w:val="es-ES_tradnl"/>
        </w:rPr>
        <w:t>Magistrad</w:t>
      </w:r>
      <w:r w:rsidR="00D85898" w:rsidRPr="001A5BCA">
        <w:rPr>
          <w:rFonts w:ascii="Verdana" w:eastAsia="Century Gothic" w:hAnsi="Verdana" w:cs="Century Gothic"/>
          <w:lang w:val="es-ES_tradnl"/>
        </w:rPr>
        <w:t>a</w:t>
      </w:r>
      <w:r w:rsidR="005A3D54" w:rsidRPr="001A5BCA">
        <w:rPr>
          <w:rFonts w:ascii="Verdana" w:eastAsia="Century Gothic" w:hAnsi="Verdana" w:cs="Century Gothic"/>
          <w:lang w:val="es-ES_tradnl"/>
        </w:rPr>
        <w:t xml:space="preserve"> Ponente: </w:t>
      </w:r>
      <w:r w:rsidR="00D85898" w:rsidRPr="001A5BCA">
        <w:rPr>
          <w:rFonts w:ascii="Verdana" w:eastAsia="Century Gothic" w:hAnsi="Verdana" w:cs="Century Gothic"/>
          <w:lang w:val="es-CO"/>
        </w:rPr>
        <w:t>Adriana María Guillén Arango</w:t>
      </w:r>
      <w:r w:rsidR="005A3D54" w:rsidRPr="001A5BCA">
        <w:rPr>
          <w:rFonts w:ascii="Verdana" w:eastAsia="Century Gothic" w:hAnsi="Verdana" w:cs="Century Gothic"/>
          <w:lang w:val="es-ES_tradnl"/>
        </w:rPr>
        <w:t>. Disponible en</w:t>
      </w:r>
      <w:r w:rsidR="00D85898" w:rsidRPr="001A5BCA">
        <w:rPr>
          <w:rFonts w:ascii="Verdana" w:eastAsia="Century Gothic" w:hAnsi="Verdana" w:cs="Century Gothic"/>
          <w:lang w:val="es-ES_tradnl"/>
        </w:rPr>
        <w:t>:</w:t>
      </w:r>
    </w:p>
    <w:p w14:paraId="37D14A1A" w14:textId="6DFD8F1C" w:rsidR="00D85898" w:rsidRPr="001A5BCA" w:rsidRDefault="00D85898" w:rsidP="00D85898">
      <w:pPr>
        <w:pStyle w:val="Prrafodelista"/>
        <w:tabs>
          <w:tab w:val="left" w:pos="142"/>
          <w:tab w:val="left" w:pos="284"/>
        </w:tabs>
        <w:spacing w:after="0"/>
        <w:jc w:val="both"/>
        <w:rPr>
          <w:rFonts w:ascii="Verdana" w:eastAsia="Century Gothic" w:hAnsi="Verdana" w:cs="Century Gothic"/>
          <w:lang w:val="es-ES_tradnl"/>
        </w:rPr>
      </w:pPr>
      <w:hyperlink r:id="rId24" w:history="1">
        <w:r w:rsidRPr="001A5BCA">
          <w:rPr>
            <w:rStyle w:val="Hipervnculo"/>
            <w:rFonts w:ascii="Verdana" w:eastAsia="Century Gothic" w:hAnsi="Verdana" w:cs="Century Gothic"/>
            <w:lang w:val="es-ES_tradnl"/>
          </w:rPr>
          <w:t>https://www.corteconstitucional.gov.co/relatoria/2012/C-416-12.htm</w:t>
        </w:r>
      </w:hyperlink>
    </w:p>
    <w:p w14:paraId="2172B87F" w14:textId="77777777" w:rsidR="00AC519D" w:rsidRPr="001A5BCA" w:rsidRDefault="00AC519D" w:rsidP="00AC51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A5BCA">
        <w:rPr>
          <w:rFonts w:ascii="Verdana" w:eastAsia="Century Gothic" w:hAnsi="Verdana" w:cs="Century Gothic"/>
          <w:b/>
          <w:bCs/>
        </w:rPr>
        <w:t>Doctrina de la Agencia Nacional de Contratación Pública:</w:t>
      </w:r>
    </w:p>
    <w:p w14:paraId="491CA3DF" w14:textId="77777777" w:rsidR="00AC519D" w:rsidRPr="001A5BCA" w:rsidRDefault="00AC519D" w:rsidP="00AC519D">
      <w:pPr>
        <w:widowControl w:val="0"/>
        <w:autoSpaceDE w:val="0"/>
        <w:autoSpaceDN w:val="0"/>
        <w:spacing w:after="0" w:line="276" w:lineRule="auto"/>
        <w:jc w:val="both"/>
        <w:rPr>
          <w:rFonts w:ascii="Verdana" w:eastAsia="Calibri" w:hAnsi="Verdana" w:cs="Arial"/>
          <w:lang w:val="es-ES" w:eastAsia="es-ES"/>
        </w:rPr>
      </w:pPr>
    </w:p>
    <w:p w14:paraId="4F64F517" w14:textId="77777777" w:rsidR="00096990" w:rsidRDefault="00D3690E" w:rsidP="00AC519D">
      <w:pPr>
        <w:widowControl w:val="0"/>
        <w:autoSpaceDE w:val="0"/>
        <w:autoSpaceDN w:val="0"/>
        <w:spacing w:after="0" w:line="276" w:lineRule="auto"/>
        <w:jc w:val="both"/>
        <w:rPr>
          <w:rFonts w:ascii="Verdana" w:hAnsi="Verdana"/>
        </w:rPr>
      </w:pPr>
      <w:r w:rsidRPr="001A5BCA">
        <w:rPr>
          <w:rFonts w:ascii="Verdana" w:hAnsi="Verdana"/>
        </w:rPr>
        <w:t>Sobre el ámbito de aplicación del anticipo, modificaciones del contrato se pronunció esta Subdirección en los conceptos C-796 de noviembre de 2022, C-825 de diciembre de 2022, C-842 de 2022 de diciembre 2022, C-109 de mayo 2023, C-471 de 2023</w:t>
      </w:r>
      <w:r w:rsidR="002D4A37" w:rsidRPr="001A5BCA">
        <w:rPr>
          <w:rFonts w:ascii="Verdana" w:hAnsi="Verdana"/>
        </w:rPr>
        <w:t xml:space="preserve"> </w:t>
      </w:r>
      <w:r w:rsidR="00CC11B0" w:rsidRPr="001A5BCA">
        <w:rPr>
          <w:rFonts w:ascii="Verdana" w:hAnsi="Verdana"/>
        </w:rPr>
        <w:t>notificado el 25 de enero de 2024</w:t>
      </w:r>
      <w:r w:rsidRPr="001A5BCA">
        <w:rPr>
          <w:rFonts w:ascii="Verdana" w:hAnsi="Verdana"/>
        </w:rPr>
        <w:t xml:space="preserve">, C-452 </w:t>
      </w:r>
      <w:r w:rsidR="00285C7C" w:rsidRPr="001A5BCA">
        <w:rPr>
          <w:rFonts w:ascii="Verdana" w:hAnsi="Verdana"/>
        </w:rPr>
        <w:t>del 07 de noviembre de</w:t>
      </w:r>
      <w:r w:rsidRPr="001A5BCA">
        <w:rPr>
          <w:rFonts w:ascii="Verdana" w:hAnsi="Verdana"/>
        </w:rPr>
        <w:t xml:space="preserve"> 2023, C-396 </w:t>
      </w:r>
      <w:r w:rsidR="00B51578" w:rsidRPr="001A5BCA">
        <w:rPr>
          <w:rFonts w:ascii="Verdana" w:hAnsi="Verdana"/>
        </w:rPr>
        <w:t>del 26 de septiembre de</w:t>
      </w:r>
      <w:r w:rsidRPr="001A5BCA">
        <w:rPr>
          <w:rFonts w:ascii="Verdana" w:hAnsi="Verdana"/>
        </w:rPr>
        <w:t xml:space="preserve"> 2023, C-090 de</w:t>
      </w:r>
      <w:r w:rsidR="001F4803" w:rsidRPr="001A5BCA">
        <w:rPr>
          <w:rFonts w:ascii="Verdana" w:hAnsi="Verdana"/>
        </w:rPr>
        <w:t>l 12 de junio de</w:t>
      </w:r>
      <w:r w:rsidRPr="001A5BCA">
        <w:rPr>
          <w:rFonts w:ascii="Verdana" w:hAnsi="Verdana"/>
        </w:rPr>
        <w:t xml:space="preserve"> 2024 y </w:t>
      </w:r>
      <w:r w:rsidR="00FE55F8" w:rsidRPr="001A5BCA">
        <w:rPr>
          <w:rFonts w:ascii="Verdana" w:hAnsi="Verdana"/>
        </w:rPr>
        <w:t xml:space="preserve">C-188 </w:t>
      </w:r>
      <w:r w:rsidR="00F25A22" w:rsidRPr="001A5BCA">
        <w:rPr>
          <w:rFonts w:ascii="Verdana" w:hAnsi="Verdana"/>
        </w:rPr>
        <w:t>del 31 de julio de 2024</w:t>
      </w:r>
      <w:r w:rsidR="00DA3B46">
        <w:rPr>
          <w:rFonts w:ascii="Verdana" w:hAnsi="Verdana"/>
        </w:rPr>
        <w:t>, entre otros.</w:t>
      </w:r>
      <w:r w:rsidR="006B0D09">
        <w:rPr>
          <w:rFonts w:ascii="Verdana" w:hAnsi="Verdana"/>
        </w:rPr>
        <w:t xml:space="preserve"> </w:t>
      </w:r>
    </w:p>
    <w:p w14:paraId="04A411E5" w14:textId="77777777" w:rsidR="00096990" w:rsidRDefault="00096990" w:rsidP="00AC519D">
      <w:pPr>
        <w:widowControl w:val="0"/>
        <w:autoSpaceDE w:val="0"/>
        <w:autoSpaceDN w:val="0"/>
        <w:spacing w:after="0" w:line="276" w:lineRule="auto"/>
        <w:jc w:val="both"/>
        <w:rPr>
          <w:rFonts w:ascii="Verdana" w:hAnsi="Verdana"/>
        </w:rPr>
      </w:pPr>
    </w:p>
    <w:p w14:paraId="0F04C4A8" w14:textId="6F1B47F2" w:rsidR="007D5FE6" w:rsidRDefault="007D5FE6" w:rsidP="00AC519D">
      <w:pPr>
        <w:widowControl w:val="0"/>
        <w:autoSpaceDE w:val="0"/>
        <w:autoSpaceDN w:val="0"/>
        <w:spacing w:after="0" w:line="276" w:lineRule="auto"/>
        <w:jc w:val="both"/>
        <w:rPr>
          <w:rFonts w:ascii="Verdana" w:hAnsi="Verdana"/>
        </w:rPr>
      </w:pPr>
      <w:r>
        <w:rPr>
          <w:rFonts w:ascii="Verdana" w:hAnsi="Verdana"/>
        </w:rPr>
        <w:t>Respecto al contrato de concesión, la Agencia se ha pronunciado diferentes</w:t>
      </w:r>
      <w:r w:rsidR="0085585C">
        <w:rPr>
          <w:rFonts w:ascii="Verdana" w:hAnsi="Verdana"/>
        </w:rPr>
        <w:t xml:space="preserve"> ocasiones, </w:t>
      </w:r>
      <w:r w:rsidR="00A05127">
        <w:rPr>
          <w:rFonts w:ascii="Verdana" w:hAnsi="Verdana"/>
        </w:rPr>
        <w:t xml:space="preserve">tales </w:t>
      </w:r>
      <w:r w:rsidR="0085585C">
        <w:rPr>
          <w:rFonts w:ascii="Verdana" w:hAnsi="Verdana"/>
        </w:rPr>
        <w:t xml:space="preserve">como el concepto </w:t>
      </w:r>
      <w:r w:rsidR="00620836">
        <w:rPr>
          <w:rFonts w:ascii="Verdana" w:hAnsi="Verdana"/>
        </w:rPr>
        <w:t xml:space="preserve">C-181 del </w:t>
      </w:r>
      <w:r w:rsidR="00DA3B46">
        <w:rPr>
          <w:rFonts w:ascii="Verdana" w:hAnsi="Verdana"/>
        </w:rPr>
        <w:t xml:space="preserve">13 de agosto de 2024, </w:t>
      </w:r>
      <w:r w:rsidR="00E55877">
        <w:rPr>
          <w:rFonts w:ascii="Verdana" w:hAnsi="Verdana"/>
        </w:rPr>
        <w:t xml:space="preserve">C-098 del </w:t>
      </w:r>
      <w:r w:rsidR="00620836">
        <w:rPr>
          <w:rFonts w:ascii="Verdana" w:hAnsi="Verdana"/>
        </w:rPr>
        <w:t xml:space="preserve">21 de agosto de 2024, </w:t>
      </w:r>
      <w:r w:rsidR="0085585C">
        <w:rPr>
          <w:rFonts w:ascii="Verdana" w:hAnsi="Verdana"/>
        </w:rPr>
        <w:t>C-374</w:t>
      </w:r>
      <w:r w:rsidR="00A05127">
        <w:rPr>
          <w:rFonts w:ascii="Verdana" w:hAnsi="Verdana"/>
        </w:rPr>
        <w:t xml:space="preserve"> del 04 de septiembre de 2024</w:t>
      </w:r>
      <w:r w:rsidR="00DA3B46">
        <w:rPr>
          <w:rFonts w:ascii="Verdana" w:hAnsi="Verdana"/>
        </w:rPr>
        <w:t>, entre otros.</w:t>
      </w:r>
      <w:r w:rsidR="00A05127">
        <w:rPr>
          <w:rFonts w:ascii="Verdana" w:hAnsi="Verdana"/>
        </w:rPr>
        <w:t xml:space="preserve"> </w:t>
      </w:r>
    </w:p>
    <w:p w14:paraId="251873EE" w14:textId="77777777" w:rsidR="007D5FE6" w:rsidRDefault="007D5FE6" w:rsidP="00AC519D">
      <w:pPr>
        <w:widowControl w:val="0"/>
        <w:autoSpaceDE w:val="0"/>
        <w:autoSpaceDN w:val="0"/>
        <w:spacing w:after="0" w:line="276" w:lineRule="auto"/>
        <w:jc w:val="both"/>
        <w:rPr>
          <w:rFonts w:ascii="Verdana" w:hAnsi="Verdana"/>
        </w:rPr>
      </w:pPr>
    </w:p>
    <w:p w14:paraId="7747D6C6" w14:textId="0B7FBAFA" w:rsidR="001B3A25" w:rsidRDefault="00AC519D" w:rsidP="00AC519D">
      <w:pPr>
        <w:widowControl w:val="0"/>
        <w:autoSpaceDE w:val="0"/>
        <w:autoSpaceDN w:val="0"/>
        <w:spacing w:after="0" w:line="276" w:lineRule="auto"/>
        <w:jc w:val="both"/>
        <w:rPr>
          <w:rFonts w:ascii="Verdana" w:hAnsi="Verdana"/>
        </w:rPr>
      </w:pPr>
      <w:r w:rsidRPr="001A5BCA">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1A5BCA">
        <w:rPr>
          <w:rFonts w:ascii="Verdana" w:hAnsi="Verdana"/>
        </w:rPr>
        <w:t>, accede a través del siguiente enlace:</w:t>
      </w:r>
    </w:p>
    <w:p w14:paraId="08D7D965" w14:textId="77777777" w:rsidR="00096990" w:rsidRDefault="00096990" w:rsidP="00AC519D">
      <w:pPr>
        <w:widowControl w:val="0"/>
        <w:autoSpaceDE w:val="0"/>
        <w:autoSpaceDN w:val="0"/>
        <w:spacing w:after="0" w:line="276" w:lineRule="auto"/>
        <w:jc w:val="both"/>
        <w:rPr>
          <w:rFonts w:ascii="Verdana" w:hAnsi="Verdana"/>
        </w:rPr>
      </w:pPr>
    </w:p>
    <w:p w14:paraId="6AC783A4" w14:textId="1A074F89" w:rsidR="00AC519D" w:rsidRPr="001A5BCA" w:rsidRDefault="00AC519D" w:rsidP="00AC519D">
      <w:pPr>
        <w:widowControl w:val="0"/>
        <w:autoSpaceDE w:val="0"/>
        <w:autoSpaceDN w:val="0"/>
        <w:spacing w:after="0" w:line="276" w:lineRule="auto"/>
        <w:jc w:val="both"/>
        <w:rPr>
          <w:rStyle w:val="normaltextrun"/>
          <w:rFonts w:ascii="Verdana" w:hAnsi="Verdana"/>
        </w:rPr>
      </w:pPr>
      <w:hyperlink r:id="rId25" w:history="1">
        <w:r w:rsidRPr="001A5BCA">
          <w:rPr>
            <w:rStyle w:val="Hipervnculo"/>
            <w:rFonts w:ascii="Verdana" w:hAnsi="Verdana" w:cs="Arial"/>
            <w:shd w:val="clear" w:color="auto" w:fill="FFFFFF"/>
            <w:lang w:val="es-ES"/>
          </w:rPr>
          <w:t>https://</w:t>
        </w:r>
        <w:proofErr w:type="spellStart"/>
        <w:r w:rsidRPr="001A5BCA">
          <w:rPr>
            <w:rStyle w:val="Hipervnculo"/>
            <w:rFonts w:ascii="Verdana" w:hAnsi="Verdana" w:cs="Arial"/>
            <w:shd w:val="clear" w:color="auto" w:fill="FFFFFF"/>
            <w:lang w:val="es-ES"/>
          </w:rPr>
          <w:t>relatoria.colombiacompra.gov.co</w:t>
        </w:r>
        <w:proofErr w:type="spellEnd"/>
        <w:r w:rsidRPr="001A5BCA">
          <w:rPr>
            <w:rStyle w:val="Hipervnculo"/>
            <w:rFonts w:ascii="Verdana" w:hAnsi="Verdana" w:cs="Arial"/>
            <w:shd w:val="clear" w:color="auto" w:fill="FFFFFF"/>
            <w:lang w:val="es-ES"/>
          </w:rPr>
          <w:t>/</w:t>
        </w:r>
        <w:proofErr w:type="spellStart"/>
        <w:r w:rsidRPr="001A5BCA">
          <w:rPr>
            <w:rStyle w:val="Hipervnculo"/>
            <w:rFonts w:ascii="Verdana" w:hAnsi="Verdana" w:cs="Arial"/>
            <w:shd w:val="clear" w:color="auto" w:fill="FFFFFF"/>
            <w:lang w:val="es-ES"/>
          </w:rPr>
          <w:t>busqueda</w:t>
        </w:r>
        <w:proofErr w:type="spellEnd"/>
        <w:r w:rsidRPr="001A5BCA">
          <w:rPr>
            <w:rStyle w:val="Hipervnculo"/>
            <w:rFonts w:ascii="Verdana" w:hAnsi="Verdana" w:cs="Arial"/>
            <w:shd w:val="clear" w:color="auto" w:fill="FFFFFF"/>
            <w:lang w:val="es-ES"/>
          </w:rPr>
          <w:t>/conceptos</w:t>
        </w:r>
      </w:hyperlink>
      <w:r w:rsidRPr="001A5BCA">
        <w:rPr>
          <w:rStyle w:val="normaltextrun"/>
          <w:rFonts w:ascii="Verdana" w:hAnsi="Verdana" w:cs="Arial"/>
          <w:shd w:val="clear" w:color="auto" w:fill="FFFFFF"/>
        </w:rPr>
        <w:t xml:space="preserve">. </w:t>
      </w:r>
    </w:p>
    <w:p w14:paraId="03121E6C" w14:textId="77777777" w:rsidR="00AC519D" w:rsidRPr="001A5BCA" w:rsidRDefault="00AC519D" w:rsidP="00AC519D">
      <w:pPr>
        <w:widowControl w:val="0"/>
        <w:autoSpaceDE w:val="0"/>
        <w:autoSpaceDN w:val="0"/>
        <w:spacing w:after="0" w:line="276" w:lineRule="auto"/>
        <w:jc w:val="both"/>
        <w:rPr>
          <w:rStyle w:val="normaltextrun"/>
          <w:rFonts w:ascii="Verdana" w:hAnsi="Verdana" w:cs="Arial"/>
          <w:shd w:val="clear" w:color="auto" w:fill="FFFFFF"/>
        </w:rPr>
      </w:pPr>
    </w:p>
    <w:p w14:paraId="68894BB0" w14:textId="5BBBBBE0" w:rsidR="00AC519D" w:rsidRDefault="001B3A25" w:rsidP="00AC519D">
      <w:pPr>
        <w:widowControl w:val="0"/>
        <w:autoSpaceDE w:val="0"/>
        <w:autoSpaceDN w:val="0"/>
        <w:spacing w:after="0" w:line="276" w:lineRule="auto"/>
        <w:jc w:val="both"/>
        <w:rPr>
          <w:rStyle w:val="Hipervnculo"/>
          <w:rFonts w:ascii="Verdana" w:hAnsi="Verdana" w:cs="Arial"/>
          <w:shd w:val="clear" w:color="auto" w:fill="FFFFFF"/>
        </w:rPr>
      </w:pPr>
      <w:r w:rsidRPr="001B3A25">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26" w:tgtFrame="_blank" w:tooltip="Dirección URL original: https://www.colombiacompra.gov.co/sala-de-prensa/boletin-digital/boletin-de-relatoria-2024-iv. Haga clic o pulse si confía en este vínculo." w:history="1">
        <w:r w:rsidRPr="001B3A25">
          <w:rPr>
            <w:rStyle w:val="Hipervnculo"/>
            <w:rFonts w:ascii="Verdana" w:hAnsi="Verdana" w:cs="Arial"/>
            <w:shd w:val="clear" w:color="auto" w:fill="FFFFFF"/>
          </w:rPr>
          <w:t>BOLETÍN DE RELATORÍA 2024 – IV | Colombia Compra Eficiente | Agencia Nacional de Contratación Pública</w:t>
        </w:r>
      </w:hyperlink>
    </w:p>
    <w:p w14:paraId="11D85C08" w14:textId="77777777" w:rsidR="006C50F4" w:rsidRDefault="006C50F4" w:rsidP="00AC519D">
      <w:pPr>
        <w:widowControl w:val="0"/>
        <w:autoSpaceDE w:val="0"/>
        <w:autoSpaceDN w:val="0"/>
        <w:spacing w:after="0" w:line="276" w:lineRule="auto"/>
        <w:jc w:val="both"/>
        <w:rPr>
          <w:rFonts w:ascii="Verdana" w:hAnsi="Verdana" w:cs="Arial"/>
          <w:shd w:val="clear" w:color="auto" w:fill="FFFFFF"/>
          <w:lang w:val="es-ES"/>
        </w:rPr>
      </w:pPr>
    </w:p>
    <w:p w14:paraId="76298AD5" w14:textId="77777777" w:rsidR="00AC519D" w:rsidRPr="001A5BCA" w:rsidRDefault="00AC519D" w:rsidP="00AC519D">
      <w:pPr>
        <w:spacing w:after="0" w:line="240" w:lineRule="auto"/>
        <w:jc w:val="both"/>
        <w:rPr>
          <w:rFonts w:ascii="Verdana" w:hAnsi="Verdana"/>
        </w:rPr>
      </w:pPr>
      <w:r w:rsidRPr="001A5BCA">
        <w:rPr>
          <w:rFonts w:ascii="Verdana" w:hAnsi="Verdana"/>
        </w:rPr>
        <w:t xml:space="preserve">Por último, lo invitamos a seguirnos en las redes sociales en las cuales se difunde información institucional: </w:t>
      </w:r>
    </w:p>
    <w:p w14:paraId="32BFFCCC" w14:textId="77777777" w:rsidR="00AC519D" w:rsidRPr="001A5BCA" w:rsidRDefault="00AC519D" w:rsidP="00AC519D">
      <w:pPr>
        <w:spacing w:after="0" w:line="240" w:lineRule="auto"/>
        <w:jc w:val="both"/>
        <w:rPr>
          <w:rFonts w:ascii="Verdana" w:hAnsi="Verdana"/>
        </w:rPr>
      </w:pPr>
    </w:p>
    <w:p w14:paraId="0A51FBD9" w14:textId="77777777" w:rsidR="00AC519D" w:rsidRPr="001A5BCA" w:rsidRDefault="00AC519D" w:rsidP="00AC519D">
      <w:pPr>
        <w:spacing w:after="0" w:line="240" w:lineRule="auto"/>
        <w:jc w:val="both"/>
        <w:rPr>
          <w:rFonts w:ascii="Verdana" w:hAnsi="Verdana"/>
        </w:rPr>
      </w:pPr>
      <w:r w:rsidRPr="001A5BCA">
        <w:rPr>
          <w:rFonts w:ascii="Verdana" w:hAnsi="Verdana"/>
        </w:rPr>
        <w:lastRenderedPageBreak/>
        <w:t xml:space="preserve">Twitter: </w:t>
      </w:r>
      <w:r w:rsidRPr="001A5BCA">
        <w:rPr>
          <w:rFonts w:ascii="Verdana" w:hAnsi="Verdana"/>
          <w:u w:val="single"/>
        </w:rPr>
        <w:t>@</w:t>
      </w:r>
      <w:proofErr w:type="spellStart"/>
      <w:r w:rsidRPr="001A5BCA">
        <w:rPr>
          <w:rFonts w:ascii="Verdana" w:hAnsi="Verdana"/>
          <w:u w:val="single"/>
        </w:rPr>
        <w:t>colombiacompra</w:t>
      </w:r>
      <w:proofErr w:type="spellEnd"/>
      <w:r w:rsidRPr="001A5BCA">
        <w:rPr>
          <w:rFonts w:ascii="Verdana" w:hAnsi="Verdana"/>
        </w:rPr>
        <w:t xml:space="preserve"> </w:t>
      </w:r>
    </w:p>
    <w:p w14:paraId="0637703A" w14:textId="77777777" w:rsidR="00AC519D" w:rsidRPr="001A5BCA" w:rsidRDefault="00AC519D" w:rsidP="00AC519D">
      <w:pPr>
        <w:spacing w:after="0" w:line="240" w:lineRule="auto"/>
        <w:jc w:val="both"/>
        <w:rPr>
          <w:rFonts w:ascii="Verdana" w:hAnsi="Verdana"/>
        </w:rPr>
      </w:pPr>
      <w:r w:rsidRPr="001A5BCA">
        <w:rPr>
          <w:rFonts w:ascii="Verdana" w:hAnsi="Verdana"/>
        </w:rPr>
        <w:t xml:space="preserve">Facebook: </w:t>
      </w:r>
      <w:proofErr w:type="spellStart"/>
      <w:r w:rsidRPr="001A5BCA">
        <w:rPr>
          <w:rFonts w:ascii="Verdana" w:hAnsi="Verdana"/>
          <w:u w:val="single"/>
        </w:rPr>
        <w:t>ColombiaCompraEficiente</w:t>
      </w:r>
      <w:proofErr w:type="spellEnd"/>
    </w:p>
    <w:p w14:paraId="17D923FC" w14:textId="77777777" w:rsidR="00AC519D" w:rsidRDefault="00AC519D" w:rsidP="00AC519D">
      <w:pPr>
        <w:spacing w:after="0" w:line="240" w:lineRule="auto"/>
        <w:jc w:val="both"/>
        <w:rPr>
          <w:rFonts w:ascii="Verdana" w:hAnsi="Verdana"/>
          <w:color w:val="4472C4" w:themeColor="accent1"/>
          <w:u w:val="single"/>
        </w:rPr>
      </w:pPr>
      <w:r w:rsidRPr="001A5BCA">
        <w:rPr>
          <w:rFonts w:ascii="Verdana" w:hAnsi="Verdana"/>
        </w:rPr>
        <w:t xml:space="preserve">LinkedIn: </w:t>
      </w:r>
      <w:r w:rsidRPr="001A5BCA">
        <w:rPr>
          <w:rFonts w:ascii="Verdana" w:hAnsi="Verdana"/>
          <w:u w:val="single"/>
        </w:rPr>
        <w:t>Agencia Nacional de Contratación Pública - Colombia Compra Eficiente</w:t>
      </w:r>
      <w:r w:rsidRPr="001A5BCA">
        <w:rPr>
          <w:rFonts w:ascii="Verdana" w:hAnsi="Verdana"/>
        </w:rPr>
        <w:t xml:space="preserve"> Instagram: </w:t>
      </w:r>
      <w:r w:rsidRPr="001A5BCA">
        <w:rPr>
          <w:rFonts w:ascii="Verdana" w:hAnsi="Verdana"/>
          <w:color w:val="4472C4" w:themeColor="accent1"/>
          <w:u w:val="single"/>
        </w:rPr>
        <w:t>@</w:t>
      </w:r>
      <w:proofErr w:type="spellStart"/>
      <w:r w:rsidRPr="001A5BCA">
        <w:rPr>
          <w:rFonts w:ascii="Verdana" w:hAnsi="Verdana"/>
          <w:color w:val="4472C4" w:themeColor="accent1"/>
          <w:u w:val="single"/>
        </w:rPr>
        <w:t>colombiacompraeficiente_cce</w:t>
      </w:r>
      <w:proofErr w:type="spellEnd"/>
    </w:p>
    <w:p w14:paraId="527045EA" w14:textId="77777777" w:rsidR="00DE3F03" w:rsidRDefault="00DE3F03" w:rsidP="00AC519D">
      <w:pPr>
        <w:spacing w:after="0" w:line="240" w:lineRule="auto"/>
        <w:jc w:val="both"/>
        <w:rPr>
          <w:rFonts w:ascii="Verdana" w:hAnsi="Verdana"/>
          <w:color w:val="4472C4" w:themeColor="accent1"/>
          <w:u w:val="single"/>
        </w:rPr>
      </w:pPr>
    </w:p>
    <w:p w14:paraId="33D25E31" w14:textId="77777777" w:rsidR="00DE3F03" w:rsidRPr="006426DF" w:rsidRDefault="00DE3F03" w:rsidP="00AC519D">
      <w:pPr>
        <w:spacing w:after="0" w:line="240" w:lineRule="auto"/>
        <w:jc w:val="both"/>
        <w:rPr>
          <w:rFonts w:ascii="Verdana" w:hAnsi="Verdana"/>
          <w:b/>
          <w:bCs/>
        </w:rPr>
      </w:pPr>
    </w:p>
    <w:p w14:paraId="004635E5" w14:textId="77777777" w:rsidR="00AC519D" w:rsidRPr="001A5BCA" w:rsidRDefault="00AC519D" w:rsidP="00AC519D">
      <w:pPr>
        <w:spacing w:before="120" w:after="0" w:line="276" w:lineRule="auto"/>
        <w:jc w:val="both"/>
        <w:textAlignment w:val="baseline"/>
        <w:rPr>
          <w:rFonts w:ascii="Verdana" w:eastAsia="Times New Roman" w:hAnsi="Verdana"/>
          <w:bCs/>
          <w:lang w:val="es-ES_tradnl" w:eastAsia="es-CO"/>
        </w:rPr>
      </w:pPr>
      <w:r w:rsidRPr="001A5BCA">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08E4046" w14:textId="77777777" w:rsidR="00AC519D" w:rsidRPr="001A5BCA" w:rsidRDefault="00AC519D" w:rsidP="00AC519D">
      <w:pPr>
        <w:spacing w:after="0" w:line="240" w:lineRule="auto"/>
        <w:jc w:val="both"/>
        <w:rPr>
          <w:rFonts w:ascii="Verdana" w:eastAsia="Calibri" w:hAnsi="Verdana"/>
        </w:rPr>
      </w:pPr>
    </w:p>
    <w:p w14:paraId="0C448C1C" w14:textId="77777777" w:rsidR="00AC519D" w:rsidRPr="001A5BCA" w:rsidRDefault="00AC519D" w:rsidP="00AC519D">
      <w:pPr>
        <w:spacing w:after="0" w:line="240" w:lineRule="auto"/>
        <w:jc w:val="both"/>
        <w:rPr>
          <w:rFonts w:ascii="Verdana" w:hAnsi="Verdana"/>
          <w:noProof/>
        </w:rPr>
      </w:pPr>
      <w:r w:rsidRPr="001A5BCA">
        <w:rPr>
          <w:rFonts w:ascii="Verdana" w:eastAsia="Times New Roman" w:hAnsi="Verdana" w:cs="Arial"/>
          <w:lang w:eastAsia="es-CO"/>
        </w:rPr>
        <w:t>Atentamente,</w:t>
      </w:r>
    </w:p>
    <w:p w14:paraId="3CBFC565" w14:textId="3E05085C" w:rsidR="00AC519D" w:rsidRPr="001A5BCA" w:rsidRDefault="00AC519D" w:rsidP="00AC519D">
      <w:pPr>
        <w:spacing w:after="0" w:line="276" w:lineRule="auto"/>
        <w:jc w:val="center"/>
        <w:rPr>
          <w:rFonts w:ascii="Verdana" w:eastAsia="Times New Roman" w:hAnsi="Verdana" w:cs="Arial"/>
          <w:sz w:val="18"/>
          <w:szCs w:val="18"/>
          <w:lang w:val="es-ES" w:eastAsia="es-CO"/>
        </w:rPr>
      </w:pPr>
    </w:p>
    <w:p w14:paraId="6BB68679" w14:textId="30584C17" w:rsidR="00096990" w:rsidRPr="00773D06" w:rsidRDefault="00E44727" w:rsidP="00AC519D">
      <w:pPr>
        <w:spacing w:after="0" w:line="276" w:lineRule="auto"/>
        <w:jc w:val="center"/>
        <w:rPr>
          <w:rFonts w:ascii="Verdana" w:eastAsia="Times New Roman" w:hAnsi="Verdana" w:cs="Arial"/>
          <w:sz w:val="18"/>
          <w:szCs w:val="18"/>
          <w:lang w:val="es-ES" w:eastAsia="es-CO"/>
        </w:rPr>
      </w:pPr>
      <w:r w:rsidRPr="002C3AD6">
        <w:rPr>
          <w:rFonts w:ascii="Century Gothic" w:hAnsi="Century Gothic"/>
          <w:noProof/>
        </w:rPr>
        <w:drawing>
          <wp:inline distT="0" distB="0" distL="0" distR="0" wp14:anchorId="466BD29D" wp14:editId="317BBD1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7"/>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C519D" w:rsidRPr="001A5BCA" w14:paraId="42F541AC" w14:textId="77777777" w:rsidTr="007D4503">
        <w:trPr>
          <w:trHeight w:val="409"/>
        </w:trPr>
        <w:tc>
          <w:tcPr>
            <w:tcW w:w="817" w:type="dxa"/>
            <w:tcBorders>
              <w:top w:val="nil"/>
              <w:left w:val="nil"/>
              <w:bottom w:val="nil"/>
              <w:right w:val="nil"/>
            </w:tcBorders>
            <w:vAlign w:val="center"/>
            <w:hideMark/>
          </w:tcPr>
          <w:p w14:paraId="24048883" w14:textId="77777777" w:rsidR="00AC519D" w:rsidRPr="001A5BCA" w:rsidRDefault="00AC519D" w:rsidP="007D4503">
            <w:pPr>
              <w:spacing w:after="0" w:line="240" w:lineRule="auto"/>
              <w:jc w:val="both"/>
              <w:rPr>
                <w:rFonts w:ascii="Verdana" w:hAnsi="Verdana" w:cs="Arial"/>
                <w:sz w:val="16"/>
                <w:szCs w:val="16"/>
              </w:rPr>
            </w:pPr>
            <w:r w:rsidRPr="001A5BCA">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CF5D4BE" w14:textId="77777777" w:rsidR="00AC519D" w:rsidRPr="001A5BCA" w:rsidRDefault="00AC519D" w:rsidP="007D4503">
            <w:pPr>
              <w:spacing w:after="0" w:line="240" w:lineRule="auto"/>
              <w:jc w:val="both"/>
              <w:rPr>
                <w:rFonts w:ascii="Verdana" w:hAnsi="Verdana" w:cs="Arial"/>
                <w:sz w:val="16"/>
                <w:szCs w:val="16"/>
              </w:rPr>
            </w:pPr>
            <w:r w:rsidRPr="001A5BCA">
              <w:rPr>
                <w:rFonts w:ascii="Verdana" w:hAnsi="Verdana" w:cs="Arial"/>
                <w:sz w:val="16"/>
                <w:szCs w:val="16"/>
              </w:rPr>
              <w:t>Gustavo Hinestroza Martínez</w:t>
            </w:r>
          </w:p>
          <w:p w14:paraId="5DEF5DFB" w14:textId="77777777" w:rsidR="00AC519D" w:rsidRPr="001A5BCA" w:rsidRDefault="00AC519D" w:rsidP="007D4503">
            <w:pPr>
              <w:spacing w:after="0" w:line="240" w:lineRule="auto"/>
              <w:jc w:val="both"/>
              <w:rPr>
                <w:rFonts w:ascii="Verdana" w:hAnsi="Verdana" w:cs="Arial"/>
                <w:sz w:val="16"/>
                <w:szCs w:val="16"/>
              </w:rPr>
            </w:pPr>
            <w:r w:rsidRPr="001A5BCA">
              <w:rPr>
                <w:rFonts w:ascii="Verdana" w:hAnsi="Verdana" w:cs="Arial"/>
                <w:sz w:val="16"/>
                <w:szCs w:val="16"/>
              </w:rPr>
              <w:t>Contratista de la Subdirección de Gestión Contractual</w:t>
            </w:r>
          </w:p>
        </w:tc>
      </w:tr>
      <w:tr w:rsidR="00AC519D" w:rsidRPr="001A5BCA" w14:paraId="1CE27FB7" w14:textId="77777777" w:rsidTr="007D4503">
        <w:trPr>
          <w:trHeight w:val="409"/>
        </w:trPr>
        <w:tc>
          <w:tcPr>
            <w:tcW w:w="817" w:type="dxa"/>
            <w:tcBorders>
              <w:top w:val="nil"/>
              <w:left w:val="nil"/>
              <w:bottom w:val="nil"/>
              <w:right w:val="nil"/>
            </w:tcBorders>
            <w:vAlign w:val="center"/>
            <w:hideMark/>
          </w:tcPr>
          <w:p w14:paraId="55E53501" w14:textId="77777777" w:rsidR="00AC519D" w:rsidRPr="00171AD2" w:rsidRDefault="00AC519D" w:rsidP="007D4503">
            <w:pPr>
              <w:spacing w:after="0"/>
              <w:jc w:val="both"/>
              <w:rPr>
                <w:rFonts w:ascii="Verdana" w:hAnsi="Verdana" w:cs="Arial"/>
                <w:sz w:val="16"/>
                <w:szCs w:val="16"/>
              </w:rPr>
            </w:pPr>
            <w:r w:rsidRPr="000063A3">
              <w:rPr>
                <w:rFonts w:ascii="Verdana" w:hAnsi="Verdana" w:cs="Arial"/>
                <w:sz w:val="16"/>
                <w:szCs w:val="16"/>
              </w:rPr>
              <w:t>Revisó</w:t>
            </w:r>
            <w:r w:rsidRPr="00773D06">
              <w:rPr>
                <w:rFonts w:ascii="Verdana" w:hAnsi="Verdana" w:cs="Arial"/>
              </w:rPr>
              <w:t>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52F592E" w14:textId="3EB64B18" w:rsidR="00AC519D" w:rsidRPr="00171AD2" w:rsidRDefault="00171AD2" w:rsidP="007D4503">
            <w:pPr>
              <w:pStyle w:val="paragraph"/>
              <w:spacing w:before="0" w:beforeAutospacing="0" w:after="0" w:afterAutospacing="0"/>
              <w:textAlignment w:val="baseline"/>
              <w:rPr>
                <w:rFonts w:ascii="Verdana" w:eastAsiaTheme="minorHAnsi" w:hAnsi="Verdana" w:cs="Arial"/>
                <w:sz w:val="16"/>
                <w:szCs w:val="16"/>
                <w:lang w:eastAsia="en-US"/>
              </w:rPr>
            </w:pPr>
            <w:r w:rsidRPr="00171AD2">
              <w:rPr>
                <w:rFonts w:ascii="Verdana" w:eastAsiaTheme="minorHAnsi" w:hAnsi="Verdana" w:cs="Arial"/>
                <w:sz w:val="16"/>
                <w:szCs w:val="16"/>
                <w:lang w:eastAsia="en-US"/>
              </w:rPr>
              <w:t xml:space="preserve">Ximena </w:t>
            </w:r>
            <w:proofErr w:type="spellStart"/>
            <w:r w:rsidRPr="00171AD2">
              <w:rPr>
                <w:rFonts w:ascii="Verdana" w:eastAsiaTheme="minorHAnsi" w:hAnsi="Verdana" w:cs="Arial"/>
                <w:sz w:val="16"/>
                <w:szCs w:val="16"/>
                <w:lang w:eastAsia="en-US"/>
              </w:rPr>
              <w:t>Rios</w:t>
            </w:r>
            <w:proofErr w:type="spellEnd"/>
            <w:r w:rsidRPr="00171AD2">
              <w:rPr>
                <w:rFonts w:ascii="Verdana" w:eastAsiaTheme="minorHAnsi" w:hAnsi="Verdana" w:cs="Arial"/>
                <w:sz w:val="16"/>
                <w:szCs w:val="16"/>
                <w:lang w:eastAsia="en-US"/>
              </w:rPr>
              <w:t xml:space="preserve"> </w:t>
            </w:r>
            <w:proofErr w:type="spellStart"/>
            <w:r w:rsidRPr="00171AD2">
              <w:rPr>
                <w:rFonts w:ascii="Verdana" w:eastAsiaTheme="minorHAnsi" w:hAnsi="Verdana" w:cs="Arial"/>
                <w:sz w:val="16"/>
                <w:szCs w:val="16"/>
                <w:lang w:eastAsia="en-US"/>
              </w:rPr>
              <w:t>Lopez</w:t>
            </w:r>
            <w:proofErr w:type="spellEnd"/>
          </w:p>
          <w:p w14:paraId="56F36AD2" w14:textId="77777777" w:rsidR="00AC519D" w:rsidRDefault="00171AD2" w:rsidP="00171AD2">
            <w:pPr>
              <w:spacing w:after="0" w:line="240" w:lineRule="auto"/>
              <w:jc w:val="both"/>
              <w:rPr>
                <w:rFonts w:ascii="Verdana" w:hAnsi="Verdana" w:cs="Arial"/>
                <w:sz w:val="16"/>
                <w:szCs w:val="16"/>
              </w:rPr>
            </w:pPr>
            <w:r w:rsidRPr="008442C5">
              <w:rPr>
                <w:rFonts w:ascii="Verdana" w:hAnsi="Verdana" w:cs="Arial"/>
                <w:sz w:val="16"/>
                <w:szCs w:val="16"/>
              </w:rPr>
              <w:t xml:space="preserve">Gestor código </w:t>
            </w:r>
            <w:proofErr w:type="spellStart"/>
            <w:r w:rsidRPr="008442C5">
              <w:rPr>
                <w:rFonts w:ascii="Verdana" w:hAnsi="Verdana" w:cs="Arial"/>
                <w:sz w:val="16"/>
                <w:szCs w:val="16"/>
              </w:rPr>
              <w:t>T1</w:t>
            </w:r>
            <w:proofErr w:type="spellEnd"/>
            <w:r w:rsidRPr="008442C5">
              <w:rPr>
                <w:rFonts w:ascii="Verdana" w:hAnsi="Verdana" w:cs="Arial"/>
                <w:sz w:val="16"/>
                <w:szCs w:val="16"/>
              </w:rPr>
              <w:t xml:space="preserve"> grado 11 Subdirección de Gestión Contractual</w:t>
            </w:r>
          </w:p>
          <w:p w14:paraId="0E4713ED" w14:textId="77777777" w:rsidR="00096990" w:rsidRPr="004E6F5F" w:rsidRDefault="00096990" w:rsidP="00096990">
            <w:pPr>
              <w:pStyle w:val="paragraph"/>
              <w:spacing w:before="0" w:beforeAutospacing="0" w:after="0" w:afterAutospacing="0"/>
              <w:textAlignment w:val="baseline"/>
              <w:rPr>
                <w:rFonts w:ascii="Verdana" w:hAnsi="Verdana" w:cs="Segoe UI"/>
                <w:sz w:val="16"/>
                <w:szCs w:val="16"/>
              </w:rPr>
            </w:pPr>
            <w:r w:rsidRPr="004E6F5F">
              <w:rPr>
                <w:rStyle w:val="normaltextrun"/>
                <w:rFonts w:ascii="Verdana" w:hAnsi="Verdana" w:cs="Segoe UI"/>
                <w:sz w:val="16"/>
                <w:szCs w:val="16"/>
              </w:rPr>
              <w:t>Alejandro Sarmiento</w:t>
            </w:r>
            <w:r w:rsidRPr="004E6F5F">
              <w:rPr>
                <w:rStyle w:val="eop"/>
                <w:rFonts w:ascii="Verdana" w:hAnsi="Verdana" w:cs="Segoe UI"/>
                <w:sz w:val="16"/>
                <w:szCs w:val="16"/>
              </w:rPr>
              <w:t> Cantillo</w:t>
            </w:r>
          </w:p>
          <w:p w14:paraId="147D102E" w14:textId="57D42F0E" w:rsidR="00AC519D" w:rsidRPr="00171AD2" w:rsidRDefault="00096990" w:rsidP="00171AD2">
            <w:pPr>
              <w:spacing w:after="0" w:line="240" w:lineRule="auto"/>
              <w:jc w:val="both"/>
              <w:rPr>
                <w:rFonts w:ascii="Verdana" w:hAnsi="Verdana" w:cs="Arial"/>
                <w:sz w:val="16"/>
                <w:szCs w:val="16"/>
              </w:rPr>
            </w:pPr>
            <w:r w:rsidRPr="004E6F5F">
              <w:rPr>
                <w:rStyle w:val="normaltextrun"/>
                <w:rFonts w:ascii="Verdana" w:hAnsi="Verdana" w:cs="Segoe UI"/>
                <w:sz w:val="16"/>
                <w:szCs w:val="16"/>
              </w:rPr>
              <w:t xml:space="preserve">Gestor </w:t>
            </w:r>
            <w:proofErr w:type="spellStart"/>
            <w:r w:rsidRPr="004E6F5F">
              <w:rPr>
                <w:rStyle w:val="normaltextrun"/>
                <w:rFonts w:ascii="Verdana" w:hAnsi="Verdana" w:cs="Segoe UI"/>
                <w:sz w:val="16"/>
                <w:szCs w:val="16"/>
              </w:rPr>
              <w:t>T1</w:t>
            </w:r>
            <w:proofErr w:type="spellEnd"/>
            <w:r w:rsidRPr="004E6F5F">
              <w:rPr>
                <w:rStyle w:val="normaltextrun"/>
                <w:rFonts w:ascii="Verdana" w:hAnsi="Verdana" w:cs="Segoe UI"/>
                <w:sz w:val="16"/>
                <w:szCs w:val="16"/>
              </w:rPr>
              <w:t>-15 de la Subdirección de Gestión Contractual</w:t>
            </w:r>
            <w:r w:rsidRPr="004E6F5F">
              <w:rPr>
                <w:rStyle w:val="eop"/>
                <w:rFonts w:ascii="Verdana" w:hAnsi="Verdana" w:cs="Segoe UI"/>
                <w:sz w:val="16"/>
                <w:szCs w:val="16"/>
              </w:rPr>
              <w:t> </w:t>
            </w:r>
          </w:p>
        </w:tc>
      </w:tr>
      <w:tr w:rsidR="00AC519D" w:rsidRPr="001A5BCA" w14:paraId="0C5ED7C1" w14:textId="77777777" w:rsidTr="007D4503">
        <w:trPr>
          <w:trHeight w:val="389"/>
        </w:trPr>
        <w:tc>
          <w:tcPr>
            <w:tcW w:w="817" w:type="dxa"/>
            <w:tcBorders>
              <w:top w:val="nil"/>
              <w:left w:val="nil"/>
              <w:bottom w:val="nil"/>
              <w:right w:val="nil"/>
            </w:tcBorders>
            <w:vAlign w:val="center"/>
            <w:hideMark/>
          </w:tcPr>
          <w:p w14:paraId="384A6280" w14:textId="77777777" w:rsidR="00AC519D" w:rsidRPr="001A5BCA" w:rsidRDefault="00AC519D" w:rsidP="007D4503">
            <w:pPr>
              <w:spacing w:after="0" w:line="240" w:lineRule="auto"/>
              <w:jc w:val="both"/>
              <w:rPr>
                <w:rFonts w:ascii="Verdana" w:hAnsi="Verdana" w:cs="Arial"/>
                <w:sz w:val="16"/>
                <w:szCs w:val="16"/>
              </w:rPr>
            </w:pPr>
            <w:r w:rsidRPr="001A5BCA">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8B1AC3B" w14:textId="77777777" w:rsidR="00AC519D" w:rsidRPr="00171AD2" w:rsidRDefault="00AC519D" w:rsidP="007D4503">
            <w:pPr>
              <w:spacing w:after="0"/>
              <w:jc w:val="both"/>
              <w:rPr>
                <w:rFonts w:ascii="Verdana" w:hAnsi="Verdana" w:cs="Arial"/>
                <w:sz w:val="16"/>
                <w:szCs w:val="16"/>
              </w:rPr>
            </w:pPr>
            <w:r w:rsidRPr="00171AD2">
              <w:rPr>
                <w:rFonts w:ascii="Verdana" w:hAnsi="Verdana" w:cs="Arial"/>
                <w:sz w:val="16"/>
                <w:szCs w:val="16"/>
              </w:rPr>
              <w:t xml:space="preserve">Carolina Quintero </w:t>
            </w:r>
            <w:proofErr w:type="spellStart"/>
            <w:r w:rsidRPr="00171AD2">
              <w:rPr>
                <w:rFonts w:ascii="Verdana" w:hAnsi="Verdana" w:cs="Arial"/>
                <w:sz w:val="16"/>
                <w:szCs w:val="16"/>
              </w:rPr>
              <w:t>Gacharná</w:t>
            </w:r>
            <w:proofErr w:type="spellEnd"/>
          </w:p>
          <w:p w14:paraId="73292434" w14:textId="77777777" w:rsidR="00AC519D" w:rsidRPr="001A5BCA" w:rsidRDefault="00AC519D" w:rsidP="007D4503">
            <w:pPr>
              <w:spacing w:after="0" w:line="240" w:lineRule="auto"/>
              <w:jc w:val="both"/>
              <w:rPr>
                <w:rFonts w:ascii="Verdana" w:hAnsi="Verdana" w:cs="Arial"/>
                <w:sz w:val="16"/>
                <w:szCs w:val="16"/>
              </w:rPr>
            </w:pPr>
            <w:r w:rsidRPr="001A5BCA">
              <w:rPr>
                <w:rFonts w:ascii="Verdana" w:hAnsi="Verdana" w:cs="Arial"/>
                <w:sz w:val="16"/>
                <w:szCs w:val="16"/>
              </w:rPr>
              <w:t xml:space="preserve">Subdirectora de Gestión Contractual </w:t>
            </w:r>
            <w:proofErr w:type="spellStart"/>
            <w:r w:rsidRPr="001A5BCA">
              <w:rPr>
                <w:rFonts w:ascii="Verdana" w:hAnsi="Verdana" w:cs="Arial"/>
                <w:sz w:val="16"/>
                <w:szCs w:val="16"/>
              </w:rPr>
              <w:t>ANCP</w:t>
            </w:r>
            <w:proofErr w:type="spellEnd"/>
            <w:r w:rsidRPr="001A5BCA">
              <w:rPr>
                <w:rFonts w:ascii="Verdana" w:hAnsi="Verdana" w:cs="Arial"/>
                <w:sz w:val="16"/>
                <w:szCs w:val="16"/>
              </w:rPr>
              <w:t xml:space="preserve"> – CCE</w:t>
            </w:r>
          </w:p>
        </w:tc>
      </w:tr>
      <w:bookmarkEnd w:id="0"/>
    </w:tbl>
    <w:p w14:paraId="2D87BA24" w14:textId="6195F628" w:rsidR="00127233" w:rsidRPr="001A5BCA" w:rsidRDefault="00127233" w:rsidP="00E0632F">
      <w:pPr>
        <w:spacing w:after="0" w:line="240" w:lineRule="auto"/>
        <w:jc w:val="both"/>
        <w:textAlignment w:val="baseline"/>
        <w:rPr>
          <w:rFonts w:ascii="Verdana" w:eastAsia="Times New Roman" w:hAnsi="Verdana" w:cs="Segoe UI"/>
          <w:sz w:val="18"/>
          <w:szCs w:val="18"/>
          <w:lang w:eastAsia="es-CO"/>
        </w:rPr>
      </w:pPr>
    </w:p>
    <w:sectPr w:rsidR="00127233" w:rsidRPr="001A5BCA" w:rsidSect="003C048E">
      <w:headerReference w:type="default" r:id="rId28"/>
      <w:footerReference w:type="default" r:id="rId2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4A31E" w14:textId="77777777" w:rsidR="00667761" w:rsidRDefault="00667761" w:rsidP="004A1847">
      <w:pPr>
        <w:spacing w:after="0" w:line="240" w:lineRule="auto"/>
      </w:pPr>
      <w:r>
        <w:separator/>
      </w:r>
    </w:p>
  </w:endnote>
  <w:endnote w:type="continuationSeparator" w:id="0">
    <w:p w14:paraId="429C7175" w14:textId="77777777" w:rsidR="00667761" w:rsidRDefault="00667761" w:rsidP="004A1847">
      <w:pPr>
        <w:spacing w:after="0" w:line="240" w:lineRule="auto"/>
      </w:pPr>
      <w:r>
        <w:continuationSeparator/>
      </w:r>
    </w:p>
  </w:endnote>
  <w:endnote w:type="continuationNotice" w:id="1">
    <w:p w14:paraId="11256956" w14:textId="77777777" w:rsidR="00667761" w:rsidRDefault="00667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proofErr w:type="spellStart"/>
    <w:r w:rsidR="00FA47C0">
      <w:rPr>
        <w:rFonts w:ascii="Century Gothic" w:eastAsia="Geo" w:hAnsi="Century Gothic" w:cs="Geo"/>
        <w:bCs/>
        <w:color w:val="000000"/>
        <w:sz w:val="16"/>
        <w:szCs w:val="16"/>
        <w:lang w:eastAsia="es-CO"/>
      </w:rPr>
      <w:t>REC</w:t>
    </w:r>
    <w:proofErr w:type="spellEnd"/>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787DB" w14:textId="77777777" w:rsidR="00667761" w:rsidRDefault="00667761" w:rsidP="004A1847">
      <w:pPr>
        <w:spacing w:after="0" w:line="240" w:lineRule="auto"/>
      </w:pPr>
      <w:r>
        <w:separator/>
      </w:r>
    </w:p>
  </w:footnote>
  <w:footnote w:type="continuationSeparator" w:id="0">
    <w:p w14:paraId="328E6749" w14:textId="77777777" w:rsidR="00667761" w:rsidRDefault="00667761" w:rsidP="004A1847">
      <w:pPr>
        <w:spacing w:after="0" w:line="240" w:lineRule="auto"/>
      </w:pPr>
      <w:r>
        <w:continuationSeparator/>
      </w:r>
    </w:p>
  </w:footnote>
  <w:footnote w:type="continuationNotice" w:id="1">
    <w:p w14:paraId="25A0B299" w14:textId="77777777" w:rsidR="00667761" w:rsidRDefault="00667761">
      <w:pPr>
        <w:spacing w:after="0" w:line="240" w:lineRule="auto"/>
      </w:pPr>
    </w:p>
  </w:footnote>
  <w:footnote w:id="2">
    <w:p w14:paraId="34CF1365" w14:textId="77777777" w:rsidR="00632F51" w:rsidRPr="00171AD2" w:rsidRDefault="00A61755" w:rsidP="00632F51">
      <w:pPr>
        <w:pStyle w:val="Textonotapie"/>
        <w:ind w:firstLine="708"/>
        <w:jc w:val="both"/>
        <w:rPr>
          <w:rFonts w:ascii="Verdana" w:hAnsi="Verdana" w:cs="Arial"/>
          <w:sz w:val="14"/>
          <w:szCs w:val="14"/>
        </w:rPr>
      </w:pPr>
      <w:r>
        <w:rPr>
          <w:rStyle w:val="Refdenotaalpie"/>
        </w:rPr>
        <w:footnoteRef/>
      </w:r>
      <w:r>
        <w:t xml:space="preserve"> </w:t>
      </w:r>
      <w:r w:rsidR="00632F51" w:rsidRPr="00171AD2">
        <w:rPr>
          <w:rFonts w:ascii="Verdana" w:hAnsi="Verdana" w:cs="Arial"/>
          <w:color w:val="000000" w:themeColor="text1"/>
          <w:sz w:val="14"/>
          <w:szCs w:val="14"/>
        </w:rPr>
        <w:t>Cfr. DAVILA VINUEZA Luis Guillermo. Régimen Jurídico de la contratación estatal. Bogotá: Editorial Legis, 2001, p. 387.</w:t>
      </w:r>
    </w:p>
    <w:p w14:paraId="46CCEBDA" w14:textId="0727EB54" w:rsidR="00A61755" w:rsidRPr="00A61755" w:rsidRDefault="00A61755" w:rsidP="000A37B2">
      <w:pPr>
        <w:pStyle w:val="Textonotapie"/>
        <w:ind w:firstLine="708"/>
        <w:rPr>
          <w:lang w:val="es-ES"/>
        </w:rPr>
      </w:pPr>
    </w:p>
  </w:footnote>
  <w:footnote w:id="3">
    <w:p w14:paraId="794BCFA3" w14:textId="00CA6D95" w:rsidR="00AD6E5F" w:rsidRDefault="00AD6E5F" w:rsidP="00AD6E5F">
      <w:pPr>
        <w:pStyle w:val="Textonotapie"/>
        <w:ind w:firstLine="708"/>
        <w:rPr>
          <w:rFonts w:ascii="Verdana" w:hAnsi="Verdana" w:cs="Arial"/>
          <w:color w:val="000000" w:themeColor="text1"/>
          <w:sz w:val="14"/>
          <w:szCs w:val="14"/>
        </w:rPr>
      </w:pPr>
      <w:r>
        <w:rPr>
          <w:rStyle w:val="Refdenotaalpie"/>
        </w:rPr>
        <w:footnoteRef/>
      </w:r>
      <w:r>
        <w:t xml:space="preserve"> </w:t>
      </w:r>
      <w:r w:rsidRPr="00171AD2">
        <w:rPr>
          <w:rFonts w:ascii="Verdana" w:hAnsi="Verdana" w:cs="Arial"/>
          <w:color w:val="000000" w:themeColor="text1"/>
          <w:sz w:val="14"/>
          <w:szCs w:val="14"/>
        </w:rPr>
        <w:t xml:space="preserve">Cfr. </w:t>
      </w:r>
      <w:r>
        <w:rPr>
          <w:rFonts w:ascii="Verdana" w:hAnsi="Verdana" w:cs="Arial"/>
          <w:color w:val="000000" w:themeColor="text1"/>
          <w:sz w:val="14"/>
          <w:szCs w:val="14"/>
        </w:rPr>
        <w:t>RICO PUERTA.</w:t>
      </w:r>
      <w:r w:rsidRPr="00171AD2">
        <w:rPr>
          <w:rFonts w:ascii="Verdana" w:hAnsi="Verdana" w:cs="Arial"/>
          <w:color w:val="000000" w:themeColor="text1"/>
          <w:sz w:val="14"/>
          <w:szCs w:val="14"/>
        </w:rPr>
        <w:t xml:space="preserve"> </w:t>
      </w:r>
      <w:r>
        <w:rPr>
          <w:rFonts w:ascii="Verdana" w:hAnsi="Verdana" w:cs="Arial"/>
          <w:color w:val="000000" w:themeColor="text1"/>
          <w:sz w:val="14"/>
          <w:szCs w:val="14"/>
        </w:rPr>
        <w:t>Luis Alonso</w:t>
      </w:r>
      <w:r w:rsidRPr="00171AD2">
        <w:rPr>
          <w:rFonts w:ascii="Verdana" w:hAnsi="Verdana" w:cs="Arial"/>
          <w:color w:val="000000" w:themeColor="text1"/>
          <w:sz w:val="14"/>
          <w:szCs w:val="14"/>
        </w:rPr>
        <w:t xml:space="preserve">. </w:t>
      </w:r>
      <w:r>
        <w:rPr>
          <w:rFonts w:ascii="Verdana" w:hAnsi="Verdana" w:cs="Arial"/>
          <w:color w:val="000000" w:themeColor="text1"/>
          <w:sz w:val="14"/>
          <w:szCs w:val="14"/>
        </w:rPr>
        <w:t>Teoría general y practica de la contratación estatal</w:t>
      </w:r>
      <w:r w:rsidRPr="00171AD2">
        <w:rPr>
          <w:rFonts w:ascii="Verdana" w:hAnsi="Verdana" w:cs="Arial"/>
          <w:color w:val="000000" w:themeColor="text1"/>
          <w:sz w:val="14"/>
          <w:szCs w:val="14"/>
        </w:rPr>
        <w:t xml:space="preserve">. Bogotá: Editorial </w:t>
      </w:r>
      <w:r>
        <w:rPr>
          <w:rFonts w:ascii="Verdana" w:hAnsi="Verdana" w:cs="Arial"/>
          <w:color w:val="000000" w:themeColor="text1"/>
          <w:sz w:val="14"/>
          <w:szCs w:val="14"/>
        </w:rPr>
        <w:t>Leyer</w:t>
      </w:r>
      <w:r w:rsidRPr="00171AD2">
        <w:rPr>
          <w:rFonts w:ascii="Verdana" w:hAnsi="Verdana" w:cs="Arial"/>
          <w:color w:val="000000" w:themeColor="text1"/>
          <w:sz w:val="14"/>
          <w:szCs w:val="14"/>
        </w:rPr>
        <w:t xml:space="preserve">, </w:t>
      </w:r>
      <w:r>
        <w:rPr>
          <w:rFonts w:ascii="Verdana" w:hAnsi="Verdana" w:cs="Arial"/>
          <w:color w:val="000000" w:themeColor="text1"/>
          <w:sz w:val="14"/>
          <w:szCs w:val="14"/>
        </w:rPr>
        <w:t>2018</w:t>
      </w:r>
      <w:r w:rsidRPr="00171AD2">
        <w:rPr>
          <w:rFonts w:ascii="Verdana" w:hAnsi="Verdana" w:cs="Arial"/>
          <w:color w:val="000000" w:themeColor="text1"/>
          <w:sz w:val="14"/>
          <w:szCs w:val="14"/>
        </w:rPr>
        <w:t xml:space="preserve">, p. </w:t>
      </w:r>
      <w:r>
        <w:rPr>
          <w:rFonts w:ascii="Verdana" w:hAnsi="Verdana" w:cs="Arial"/>
          <w:color w:val="000000" w:themeColor="text1"/>
          <w:sz w:val="14"/>
          <w:szCs w:val="14"/>
        </w:rPr>
        <w:t>855-856</w:t>
      </w:r>
      <w:r w:rsidRPr="00171AD2">
        <w:rPr>
          <w:rFonts w:ascii="Verdana" w:hAnsi="Verdana" w:cs="Arial"/>
          <w:color w:val="000000" w:themeColor="text1"/>
          <w:sz w:val="14"/>
          <w:szCs w:val="14"/>
        </w:rPr>
        <w:t>.</w:t>
      </w:r>
    </w:p>
    <w:p w14:paraId="60F9D665" w14:textId="77777777" w:rsidR="00AD6E5F" w:rsidRPr="00AD6E5F" w:rsidRDefault="00AD6E5F" w:rsidP="00AD6E5F">
      <w:pPr>
        <w:pStyle w:val="Textonotapie"/>
        <w:ind w:firstLine="708"/>
        <w:rPr>
          <w:lang w:val="es-CO"/>
        </w:rPr>
      </w:pPr>
    </w:p>
  </w:footnote>
  <w:footnote w:id="4">
    <w:p w14:paraId="403E1438" w14:textId="7D450FDD" w:rsidR="006B13E5" w:rsidRDefault="006B13E5" w:rsidP="006B13E5">
      <w:pPr>
        <w:pStyle w:val="Textonotapie"/>
        <w:ind w:firstLine="708"/>
      </w:pPr>
      <w:r>
        <w:rPr>
          <w:rStyle w:val="Refdenotaalpie"/>
        </w:rPr>
        <w:footnoteRef/>
      </w:r>
      <w:r>
        <w:t xml:space="preserve"> </w:t>
      </w:r>
      <w:r w:rsidR="00421B33" w:rsidRPr="005739CC">
        <w:rPr>
          <w:rFonts w:ascii="Verdana" w:hAnsi="Verdana"/>
          <w:sz w:val="14"/>
          <w:szCs w:val="14"/>
        </w:rPr>
        <w:t xml:space="preserve">Cfr. </w:t>
      </w:r>
      <w:r w:rsidR="00D3549E" w:rsidRPr="005739CC">
        <w:rPr>
          <w:rFonts w:ascii="Verdana" w:hAnsi="Verdana"/>
          <w:sz w:val="14"/>
          <w:szCs w:val="14"/>
        </w:rPr>
        <w:t xml:space="preserve">RODRÍGUEZ </w:t>
      </w:r>
      <w:r w:rsidR="00D3549E">
        <w:rPr>
          <w:rFonts w:ascii="Verdana" w:hAnsi="Verdana"/>
          <w:sz w:val="14"/>
          <w:szCs w:val="14"/>
        </w:rPr>
        <w:t>T</w:t>
      </w:r>
      <w:r w:rsidR="00D3549E" w:rsidRPr="005739CC">
        <w:rPr>
          <w:rFonts w:ascii="Verdana" w:hAnsi="Verdana"/>
          <w:sz w:val="14"/>
          <w:szCs w:val="14"/>
        </w:rPr>
        <w:t>AMAYO</w:t>
      </w:r>
      <w:r w:rsidR="00421B33" w:rsidRPr="005739CC">
        <w:rPr>
          <w:rFonts w:ascii="Verdana" w:hAnsi="Verdana"/>
          <w:sz w:val="14"/>
          <w:szCs w:val="14"/>
        </w:rPr>
        <w:t xml:space="preserve">. Mauricio Fernando. Los contratos estatales en Colombia. </w:t>
      </w:r>
      <w:r w:rsidR="0012357E" w:rsidRPr="005739CC">
        <w:rPr>
          <w:rFonts w:ascii="Verdana" w:hAnsi="Verdana"/>
          <w:sz w:val="14"/>
          <w:szCs w:val="14"/>
        </w:rPr>
        <w:t xml:space="preserve">Tirant lo blanch. </w:t>
      </w:r>
      <w:r w:rsidR="00EC1664" w:rsidRPr="005739CC">
        <w:rPr>
          <w:rFonts w:ascii="Verdana" w:hAnsi="Verdana"/>
          <w:sz w:val="14"/>
          <w:szCs w:val="14"/>
        </w:rPr>
        <w:t>P. 363</w:t>
      </w:r>
    </w:p>
    <w:p w14:paraId="2947DD29" w14:textId="77777777" w:rsidR="005739CC" w:rsidRPr="006B13E5" w:rsidRDefault="005739CC" w:rsidP="006B13E5">
      <w:pPr>
        <w:pStyle w:val="Textonotapie"/>
        <w:ind w:firstLine="708"/>
        <w:rPr>
          <w:lang w:val="es-CO"/>
        </w:rPr>
      </w:pPr>
    </w:p>
  </w:footnote>
  <w:footnote w:id="5">
    <w:p w14:paraId="1145FE5E" w14:textId="77777777" w:rsidR="00D42C6A" w:rsidRPr="00171AD2" w:rsidRDefault="00D42C6A" w:rsidP="00D42C6A">
      <w:pPr>
        <w:pStyle w:val="Textonotapie"/>
        <w:ind w:firstLine="709"/>
        <w:jc w:val="both"/>
        <w:rPr>
          <w:rFonts w:ascii="Verdana" w:hAnsi="Verdana"/>
          <w:sz w:val="14"/>
          <w:szCs w:val="14"/>
        </w:rPr>
      </w:pPr>
      <w:r w:rsidRPr="00171AD2">
        <w:rPr>
          <w:rStyle w:val="Refdenotaalpie"/>
          <w:rFonts w:ascii="Verdana" w:hAnsi="Verdana"/>
          <w:sz w:val="14"/>
          <w:szCs w:val="14"/>
        </w:rPr>
        <w:footnoteRef/>
      </w:r>
      <w:r w:rsidR="002F075E">
        <w:rPr>
          <w:rFonts w:ascii="Verdana" w:hAnsi="Verdana"/>
          <w:color w:val="000000" w:themeColor="text1"/>
          <w:sz w:val="14"/>
          <w:szCs w:val="14"/>
        </w:rPr>
        <w:t xml:space="preserve"> </w:t>
      </w:r>
      <w:r w:rsidRPr="00171AD2">
        <w:rPr>
          <w:rFonts w:ascii="Verdana" w:hAnsi="Verdana"/>
          <w:color w:val="000000" w:themeColor="text1"/>
          <w:sz w:val="14"/>
          <w:szCs w:val="14"/>
        </w:rPr>
        <w:t>“</w:t>
      </w:r>
      <w:r w:rsidRPr="00171AD2">
        <w:rPr>
          <w:rFonts w:ascii="Verdana" w:hAnsi="Verdana"/>
          <w:sz w:val="14"/>
          <w:szCs w:val="14"/>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Pr="00171AD2">
        <w:rPr>
          <w:rFonts w:ascii="Verdana" w:hAnsi="Verdana"/>
          <w:color w:val="000000" w:themeColor="text1"/>
          <w:sz w:val="14"/>
          <w:szCs w:val="14"/>
        </w:rPr>
        <w:t>”.</w:t>
      </w:r>
      <w:r w:rsidRPr="00171AD2">
        <w:rPr>
          <w:rFonts w:ascii="Verdana" w:hAnsi="Verdana"/>
          <w:sz w:val="14"/>
          <w:szCs w:val="14"/>
        </w:rPr>
        <w:t xml:space="preserve"> Citado en CONSEJO DE ESTADO. Sala de lo Contencioso Administrativo. Sección Tercera – Subsección A. Sentencia del 16 de mayo de 2019. Rad. (40102). C.P: María Adriana Marín [cita No. 35]. </w:t>
      </w:r>
    </w:p>
    <w:p w14:paraId="453C10C0" w14:textId="77777777" w:rsidR="00D42C6A" w:rsidRPr="00171AD2" w:rsidRDefault="00D42C6A" w:rsidP="00D42C6A">
      <w:pPr>
        <w:pStyle w:val="Textonotapie"/>
        <w:ind w:firstLine="709"/>
        <w:jc w:val="both"/>
        <w:rPr>
          <w:rFonts w:ascii="Verdana" w:hAnsi="Verdana"/>
          <w:sz w:val="14"/>
          <w:szCs w:val="14"/>
        </w:rPr>
      </w:pPr>
    </w:p>
  </w:footnote>
  <w:footnote w:id="6">
    <w:p w14:paraId="36C37DDD" w14:textId="1B5816F8" w:rsidR="00CC7832" w:rsidRDefault="00CC7832" w:rsidP="00CC7832">
      <w:pPr>
        <w:pStyle w:val="Textonotapie"/>
        <w:ind w:firstLine="708"/>
        <w:rPr>
          <w:rFonts w:ascii="Verdana" w:hAnsi="Verdana"/>
          <w:sz w:val="14"/>
          <w:szCs w:val="14"/>
        </w:rPr>
      </w:pPr>
      <w:r>
        <w:rPr>
          <w:rStyle w:val="Refdenotaalpie"/>
        </w:rPr>
        <w:footnoteRef/>
      </w:r>
      <w:r>
        <w:t xml:space="preserve"> </w:t>
      </w:r>
      <w:r w:rsidR="002F075E" w:rsidRPr="00171AD2">
        <w:rPr>
          <w:rFonts w:ascii="Verdana" w:hAnsi="Verdana"/>
          <w:sz w:val="14"/>
          <w:szCs w:val="14"/>
        </w:rPr>
        <w:t xml:space="preserve">Consejo </w:t>
      </w:r>
      <w:r w:rsidR="002F075E">
        <w:rPr>
          <w:rFonts w:ascii="Verdana" w:hAnsi="Verdana"/>
          <w:sz w:val="14"/>
          <w:szCs w:val="14"/>
        </w:rPr>
        <w:t>d</w:t>
      </w:r>
      <w:r w:rsidR="002F075E" w:rsidRPr="00171AD2">
        <w:rPr>
          <w:rFonts w:ascii="Verdana" w:hAnsi="Verdana"/>
          <w:sz w:val="14"/>
          <w:szCs w:val="14"/>
        </w:rPr>
        <w:t>e Estado</w:t>
      </w:r>
      <w:r w:rsidRPr="00171AD2">
        <w:rPr>
          <w:rFonts w:ascii="Verdana" w:hAnsi="Verdana"/>
          <w:sz w:val="14"/>
          <w:szCs w:val="14"/>
        </w:rPr>
        <w:t xml:space="preserve">. Sala de lo Contencioso Administrativo. Sección Tercera – Subsección A. Sentencia del </w:t>
      </w:r>
      <w:r w:rsidR="007E1462">
        <w:rPr>
          <w:rFonts w:ascii="Verdana" w:hAnsi="Verdana"/>
          <w:sz w:val="14"/>
          <w:szCs w:val="14"/>
        </w:rPr>
        <w:t>22</w:t>
      </w:r>
      <w:r w:rsidRPr="00171AD2">
        <w:rPr>
          <w:rFonts w:ascii="Verdana" w:hAnsi="Verdana"/>
          <w:sz w:val="14"/>
          <w:szCs w:val="14"/>
        </w:rPr>
        <w:t xml:space="preserve"> de </w:t>
      </w:r>
      <w:r w:rsidR="007E1462">
        <w:rPr>
          <w:rFonts w:ascii="Verdana" w:hAnsi="Verdana"/>
          <w:sz w:val="14"/>
          <w:szCs w:val="14"/>
        </w:rPr>
        <w:t>junio</w:t>
      </w:r>
      <w:r w:rsidRPr="00171AD2">
        <w:rPr>
          <w:rFonts w:ascii="Verdana" w:hAnsi="Verdana"/>
          <w:sz w:val="14"/>
          <w:szCs w:val="14"/>
        </w:rPr>
        <w:t xml:space="preserve"> de </w:t>
      </w:r>
      <w:r w:rsidR="007E1462">
        <w:rPr>
          <w:rFonts w:ascii="Verdana" w:hAnsi="Verdana"/>
          <w:sz w:val="14"/>
          <w:szCs w:val="14"/>
        </w:rPr>
        <w:t xml:space="preserve">2001. Rad:  </w:t>
      </w:r>
      <w:r w:rsidR="002D55CC">
        <w:rPr>
          <w:rFonts w:ascii="Verdana" w:hAnsi="Verdana"/>
          <w:sz w:val="14"/>
          <w:szCs w:val="14"/>
        </w:rPr>
        <w:t xml:space="preserve">134365 </w:t>
      </w:r>
      <w:r w:rsidRPr="00171AD2">
        <w:rPr>
          <w:rFonts w:ascii="Verdana" w:hAnsi="Verdana"/>
          <w:sz w:val="14"/>
          <w:szCs w:val="14"/>
        </w:rPr>
        <w:t xml:space="preserve">C.P: </w:t>
      </w:r>
      <w:r w:rsidR="007E1462">
        <w:rPr>
          <w:rFonts w:ascii="Verdana" w:hAnsi="Verdana"/>
          <w:sz w:val="14"/>
          <w:szCs w:val="14"/>
        </w:rPr>
        <w:t>Ricardo Hoyos Duque</w:t>
      </w:r>
      <w:r w:rsidR="002D55CC">
        <w:rPr>
          <w:rFonts w:ascii="Verdana" w:hAnsi="Verdana"/>
          <w:sz w:val="14"/>
          <w:szCs w:val="14"/>
        </w:rPr>
        <w:t>.</w:t>
      </w:r>
      <w:r w:rsidR="007E1462">
        <w:rPr>
          <w:rFonts w:ascii="Verdana" w:hAnsi="Verdana"/>
          <w:sz w:val="14"/>
          <w:szCs w:val="14"/>
        </w:rPr>
        <w:t xml:space="preserve"> </w:t>
      </w:r>
    </w:p>
    <w:p w14:paraId="7056D86C" w14:textId="77777777" w:rsidR="00C26DC2" w:rsidRPr="00CC7832" w:rsidRDefault="00C26DC2" w:rsidP="00CC7832">
      <w:pPr>
        <w:pStyle w:val="Textonotapie"/>
        <w:ind w:firstLine="708"/>
        <w:rPr>
          <w:lang w:val="es-CO"/>
        </w:rPr>
      </w:pPr>
    </w:p>
  </w:footnote>
  <w:footnote w:id="7">
    <w:p w14:paraId="18C93439" w14:textId="4FB93BA8" w:rsidR="00D42C6A" w:rsidRPr="00171AD2" w:rsidRDefault="00D42C6A" w:rsidP="00D42C6A">
      <w:pPr>
        <w:pStyle w:val="Textonotapie"/>
        <w:ind w:firstLine="709"/>
        <w:jc w:val="both"/>
        <w:rPr>
          <w:rFonts w:ascii="Verdana" w:hAnsi="Verdana"/>
          <w:sz w:val="14"/>
          <w:szCs w:val="14"/>
        </w:rPr>
      </w:pPr>
      <w:r w:rsidRPr="00171AD2">
        <w:rPr>
          <w:rStyle w:val="Refdenotaalpie"/>
          <w:rFonts w:ascii="Verdana" w:hAnsi="Verdana"/>
          <w:sz w:val="14"/>
          <w:szCs w:val="14"/>
        </w:rPr>
        <w:footnoteRef/>
      </w:r>
      <w:r w:rsidRPr="00171AD2">
        <w:rPr>
          <w:rFonts w:ascii="Verdana" w:hAnsi="Verdana"/>
          <w:sz w:val="14"/>
          <w:szCs w:val="14"/>
        </w:rPr>
        <w:t xml:space="preserve"> </w:t>
      </w:r>
      <w:r w:rsidR="002F075E" w:rsidRPr="00171AD2">
        <w:rPr>
          <w:rFonts w:ascii="Verdana" w:hAnsi="Verdana"/>
          <w:sz w:val="14"/>
          <w:szCs w:val="14"/>
        </w:rPr>
        <w:t xml:space="preserve">Consejo </w:t>
      </w:r>
      <w:r w:rsidR="002F075E">
        <w:rPr>
          <w:rFonts w:ascii="Verdana" w:hAnsi="Verdana"/>
          <w:sz w:val="14"/>
          <w:szCs w:val="14"/>
        </w:rPr>
        <w:t>d</w:t>
      </w:r>
      <w:r w:rsidR="002F075E" w:rsidRPr="00171AD2">
        <w:rPr>
          <w:rFonts w:ascii="Verdana" w:hAnsi="Verdana"/>
          <w:sz w:val="14"/>
          <w:szCs w:val="14"/>
        </w:rPr>
        <w:t>e Estado.</w:t>
      </w:r>
      <w:r w:rsidRPr="00171AD2">
        <w:rPr>
          <w:rFonts w:ascii="Verdana" w:hAnsi="Verdana"/>
          <w:sz w:val="14"/>
          <w:szCs w:val="14"/>
        </w:rPr>
        <w:t xml:space="preserve"> Sala de lo Contencioso Administrativo. Sección Tercera – Subsección A. Sentencia del 16 de mayo de 2019. Rad. (40102). C.P: María Adriana Marín</w:t>
      </w:r>
      <w:r w:rsidR="00CC7832">
        <w:rPr>
          <w:rFonts w:ascii="Verdana" w:hAnsi="Verdana"/>
          <w:sz w:val="14"/>
          <w:szCs w:val="14"/>
        </w:rPr>
        <w:t>.</w:t>
      </w:r>
    </w:p>
    <w:p w14:paraId="79E52C98" w14:textId="77777777" w:rsidR="00D42C6A" w:rsidRPr="00171AD2" w:rsidRDefault="00D42C6A" w:rsidP="00D42C6A">
      <w:pPr>
        <w:pStyle w:val="Textonotapie"/>
        <w:ind w:firstLine="709"/>
        <w:jc w:val="both"/>
        <w:rPr>
          <w:rFonts w:ascii="Verdana" w:hAnsi="Verdana"/>
          <w:sz w:val="14"/>
          <w:szCs w:val="14"/>
        </w:rPr>
      </w:pPr>
    </w:p>
  </w:footnote>
  <w:footnote w:id="8">
    <w:p w14:paraId="03A6DCE7" w14:textId="555967FA" w:rsidR="00E049EA" w:rsidRPr="00171AD2" w:rsidRDefault="00E049EA" w:rsidP="00E049EA">
      <w:pPr>
        <w:spacing w:line="240" w:lineRule="auto"/>
        <w:ind w:firstLine="709"/>
        <w:rPr>
          <w:rFonts w:ascii="Verdana" w:hAnsi="Verdana"/>
          <w:sz w:val="14"/>
          <w:szCs w:val="14"/>
        </w:rPr>
      </w:pPr>
      <w:r w:rsidRPr="00171AD2">
        <w:rPr>
          <w:rStyle w:val="Refdenotaalpie"/>
          <w:rFonts w:ascii="Verdana" w:hAnsi="Verdana"/>
          <w:sz w:val="14"/>
          <w:szCs w:val="14"/>
        </w:rPr>
        <w:footnoteRef/>
      </w:r>
      <w:r w:rsidRPr="00171AD2">
        <w:rPr>
          <w:rFonts w:ascii="Verdana" w:hAnsi="Verdana"/>
          <w:sz w:val="14"/>
          <w:szCs w:val="14"/>
        </w:rPr>
        <w:t xml:space="preserve"> </w:t>
      </w:r>
      <w:r w:rsidR="00D3549E" w:rsidRPr="00171AD2">
        <w:rPr>
          <w:rFonts w:ascii="Verdana" w:hAnsi="Verdana"/>
          <w:sz w:val="14"/>
          <w:szCs w:val="14"/>
        </w:rPr>
        <w:t>CONSEJO DE ESTADO</w:t>
      </w:r>
      <w:r w:rsidRPr="00171AD2">
        <w:rPr>
          <w:rFonts w:ascii="Verdana" w:hAnsi="Verdana"/>
          <w:sz w:val="14"/>
          <w:szCs w:val="14"/>
        </w:rPr>
        <w:t>. Sala Plena de lo Contencioso Administrativo. Sentencia del 8 de agosto de 2001. Exp. AC-10966 - AC-11274. Consejero Ponente: Reinaldo Chavarro Buriticá.</w:t>
      </w:r>
    </w:p>
  </w:footnote>
  <w:footnote w:id="9">
    <w:p w14:paraId="67ECC4C5" w14:textId="0C1BEBEC" w:rsidR="00D42C6A" w:rsidRPr="00171AD2" w:rsidRDefault="00D42C6A" w:rsidP="00D42C6A">
      <w:pPr>
        <w:pStyle w:val="Textonotapie"/>
        <w:ind w:firstLine="709"/>
        <w:jc w:val="both"/>
        <w:rPr>
          <w:rFonts w:ascii="Verdana" w:hAnsi="Verdana"/>
          <w:sz w:val="14"/>
          <w:szCs w:val="14"/>
        </w:rPr>
      </w:pPr>
      <w:r w:rsidRPr="00171AD2">
        <w:rPr>
          <w:rStyle w:val="Refdenotaalpie"/>
          <w:rFonts w:ascii="Verdana" w:hAnsi="Verdana"/>
          <w:sz w:val="14"/>
          <w:szCs w:val="14"/>
        </w:rPr>
        <w:footnoteRef/>
      </w:r>
      <w:r w:rsidRPr="00171AD2">
        <w:rPr>
          <w:rFonts w:ascii="Verdana" w:hAnsi="Verdana"/>
          <w:sz w:val="14"/>
          <w:szCs w:val="14"/>
        </w:rPr>
        <w:t xml:space="preserve"> CONSEJO DE ESTADO. Sala de lo Contencioso Administrativo. Sección Tercera – Subsección C. Sentencia del 2 de octubre del 2020. Rad. 63644. CP. Jaime Enrique Rodríguez Navas. </w:t>
      </w:r>
    </w:p>
    <w:p w14:paraId="014595A8" w14:textId="77777777" w:rsidR="00D42C6A" w:rsidRPr="00171AD2" w:rsidRDefault="00D42C6A" w:rsidP="00D42C6A">
      <w:pPr>
        <w:pStyle w:val="Textonotapie"/>
        <w:ind w:firstLine="709"/>
        <w:jc w:val="both"/>
        <w:rPr>
          <w:rFonts w:ascii="Verdana" w:hAnsi="Verdana"/>
          <w:sz w:val="14"/>
          <w:szCs w:val="14"/>
          <w:lang w:val="es-CO"/>
        </w:rPr>
      </w:pPr>
    </w:p>
  </w:footnote>
  <w:footnote w:id="10">
    <w:p w14:paraId="658B0A92" w14:textId="14E571FA" w:rsidR="00D42C6A" w:rsidRPr="00171AD2" w:rsidRDefault="00D42C6A" w:rsidP="00D3549E">
      <w:pPr>
        <w:pStyle w:val="Textonotapie"/>
        <w:ind w:firstLine="709"/>
        <w:jc w:val="both"/>
        <w:rPr>
          <w:rFonts w:ascii="Verdana" w:hAnsi="Verdana"/>
          <w:color w:val="000000" w:themeColor="text1"/>
          <w:sz w:val="14"/>
          <w:szCs w:val="14"/>
        </w:rPr>
      </w:pPr>
      <w:r w:rsidRPr="00171AD2">
        <w:rPr>
          <w:rStyle w:val="Refdenotaalpie"/>
          <w:rFonts w:ascii="Verdana" w:hAnsi="Verdana"/>
          <w:sz w:val="14"/>
          <w:szCs w:val="14"/>
        </w:rPr>
        <w:footnoteRef/>
      </w:r>
      <w:r w:rsidRPr="00171AD2">
        <w:rPr>
          <w:rFonts w:ascii="Verdana" w:hAnsi="Verdana"/>
          <w:sz w:val="14"/>
          <w:szCs w:val="14"/>
        </w:rPr>
        <w:t xml:space="preserve"> CONSEJO DE ESTADO.</w:t>
      </w:r>
      <w:r w:rsidRPr="00171AD2">
        <w:rPr>
          <w:rFonts w:ascii="Verdana" w:hAnsi="Verdana"/>
          <w:color w:val="000000" w:themeColor="text1"/>
          <w:sz w:val="14"/>
          <w:szCs w:val="14"/>
        </w:rPr>
        <w:t xml:space="preserve"> Sección Tercera. Sentencia de 22 de junio de 2001. Exp. 13436, C.P. Ricardo Hoyos Duque.</w:t>
      </w:r>
    </w:p>
    <w:p w14:paraId="22217A41" w14:textId="77777777" w:rsidR="00D42C6A" w:rsidRPr="00171AD2" w:rsidRDefault="00D42C6A" w:rsidP="00D42C6A">
      <w:pPr>
        <w:pStyle w:val="Textonotapie"/>
        <w:ind w:firstLine="709"/>
        <w:rPr>
          <w:rFonts w:ascii="Verdana" w:hAnsi="Verdana"/>
          <w:sz w:val="14"/>
          <w:szCs w:val="14"/>
        </w:rPr>
      </w:pPr>
    </w:p>
  </w:footnote>
  <w:footnote w:id="11">
    <w:p w14:paraId="795BCE2D" w14:textId="77777777" w:rsidR="00D42C6A" w:rsidRPr="00171AD2" w:rsidRDefault="00D42C6A" w:rsidP="00D42C6A">
      <w:pPr>
        <w:pStyle w:val="Textonotapie"/>
        <w:ind w:firstLine="709"/>
        <w:jc w:val="both"/>
        <w:rPr>
          <w:rFonts w:ascii="Verdana" w:hAnsi="Verdana"/>
          <w:sz w:val="14"/>
          <w:szCs w:val="14"/>
        </w:rPr>
      </w:pPr>
      <w:r w:rsidRPr="00171AD2">
        <w:rPr>
          <w:rStyle w:val="Refdenotaalpie"/>
          <w:rFonts w:ascii="Verdana" w:hAnsi="Verdana"/>
          <w:sz w:val="14"/>
          <w:szCs w:val="14"/>
        </w:rPr>
        <w:footnoteRef/>
      </w:r>
      <w:r w:rsidRPr="00171AD2">
        <w:rPr>
          <w:rFonts w:ascii="Verdana" w:hAnsi="Verdana"/>
          <w:sz w:val="14"/>
          <w:szCs w:val="14"/>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Pr="00171AD2">
        <w:rPr>
          <w:rFonts w:ascii="Verdana" w:eastAsia="Calibri" w:hAnsi="Verdana"/>
          <w:color w:val="000000" w:themeColor="text1"/>
          <w:sz w:val="14"/>
          <w:szCs w:val="14"/>
        </w:rPr>
        <w:t>” (</w:t>
      </w:r>
      <w:r w:rsidRPr="00171AD2">
        <w:rPr>
          <w:rFonts w:ascii="Verdana" w:hAnsi="Verdana"/>
          <w:sz w:val="14"/>
          <w:szCs w:val="14"/>
        </w:rPr>
        <w:t>EXPÓSITO VÉLEZ, Juan Carlos. Forma y contenido del contrato estatal. Bogotá: Universidad Externado de Colombia, 2013, p. 165-166). De igual manera, se ha expuesto que “Son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171AD2">
        <w:rPr>
          <w:rFonts w:ascii="Verdana" w:eastAsia="Calibri" w:hAnsi="Verdana"/>
          <w:color w:val="000000" w:themeColor="text1"/>
          <w:sz w:val="14"/>
          <w:szCs w:val="14"/>
        </w:rPr>
        <w:t>”</w:t>
      </w:r>
      <w:r w:rsidRPr="00171AD2">
        <w:rPr>
          <w:rFonts w:ascii="Verdana" w:hAnsi="Verdana"/>
          <w:sz w:val="14"/>
          <w:szCs w:val="14"/>
        </w:rPr>
        <w:t xml:space="preserve"> (MATALLANA CAMACHO, Ernesto. Manual de Contratación de la Administración Pública. Reforma de la Ley 80 de 1993. Bogotá: Universidad Externado de Colombia, 4 ed., 2015, p. 921 y ss).</w:t>
      </w:r>
    </w:p>
    <w:p w14:paraId="520187E3" w14:textId="77777777" w:rsidR="00D42C6A" w:rsidRPr="00171AD2" w:rsidRDefault="00D42C6A" w:rsidP="00D42C6A">
      <w:pPr>
        <w:pStyle w:val="Textonotapie"/>
        <w:ind w:firstLine="709"/>
        <w:jc w:val="both"/>
        <w:rPr>
          <w:rFonts w:ascii="Verdana" w:hAnsi="Verdana"/>
          <w:sz w:val="14"/>
          <w:szCs w:val="14"/>
        </w:rPr>
      </w:pPr>
    </w:p>
  </w:footnote>
  <w:footnote w:id="12">
    <w:p w14:paraId="7045C3CD" w14:textId="0C08DA4D" w:rsidR="0062187C" w:rsidRDefault="0062187C" w:rsidP="0062187C">
      <w:pPr>
        <w:pStyle w:val="Textonotapie"/>
        <w:ind w:firstLine="708"/>
        <w:rPr>
          <w:rFonts w:ascii="Verdana" w:hAnsi="Verdana"/>
          <w:sz w:val="14"/>
          <w:szCs w:val="14"/>
        </w:rPr>
      </w:pPr>
      <w:r>
        <w:rPr>
          <w:rStyle w:val="Refdenotaalpie"/>
        </w:rPr>
        <w:footnoteRef/>
      </w:r>
      <w:r>
        <w:t xml:space="preserve"> </w:t>
      </w:r>
      <w:r w:rsidRPr="0062187C">
        <w:rPr>
          <w:rFonts w:ascii="Verdana" w:hAnsi="Verdana"/>
          <w:sz w:val="14"/>
          <w:szCs w:val="14"/>
        </w:rPr>
        <w:t xml:space="preserve">Cfr. </w:t>
      </w:r>
      <w:r w:rsidR="00D3549E" w:rsidRPr="00171AD2">
        <w:rPr>
          <w:rFonts w:ascii="Verdana" w:hAnsi="Verdana"/>
          <w:sz w:val="14"/>
          <w:szCs w:val="14"/>
        </w:rPr>
        <w:t>CONSEJO DE ESTADO</w:t>
      </w:r>
      <w:r w:rsidRPr="0062187C">
        <w:rPr>
          <w:rFonts w:ascii="Verdana" w:hAnsi="Verdana"/>
          <w:sz w:val="14"/>
          <w:szCs w:val="14"/>
        </w:rPr>
        <w:t xml:space="preserve">. Sala de lo Contencioso Administrativo. Sección Tercera – Subsección </w:t>
      </w:r>
      <w:r w:rsidR="00593851">
        <w:rPr>
          <w:rFonts w:ascii="Verdana" w:hAnsi="Verdana"/>
          <w:sz w:val="14"/>
          <w:szCs w:val="14"/>
        </w:rPr>
        <w:t>A</w:t>
      </w:r>
      <w:r w:rsidRPr="0062187C">
        <w:rPr>
          <w:rFonts w:ascii="Verdana" w:hAnsi="Verdana"/>
          <w:sz w:val="14"/>
          <w:szCs w:val="14"/>
        </w:rPr>
        <w:t xml:space="preserve">. Sentencia del </w:t>
      </w:r>
      <w:r w:rsidR="00170B69">
        <w:rPr>
          <w:rFonts w:ascii="Verdana" w:hAnsi="Verdana"/>
          <w:sz w:val="14"/>
          <w:szCs w:val="14"/>
        </w:rPr>
        <w:t>19</w:t>
      </w:r>
      <w:r w:rsidRPr="0062187C">
        <w:rPr>
          <w:rFonts w:ascii="Verdana" w:hAnsi="Verdana"/>
          <w:sz w:val="14"/>
          <w:szCs w:val="14"/>
        </w:rPr>
        <w:t xml:space="preserve"> de </w:t>
      </w:r>
      <w:r w:rsidR="00170B69">
        <w:rPr>
          <w:rFonts w:ascii="Verdana" w:hAnsi="Verdana"/>
          <w:sz w:val="14"/>
          <w:szCs w:val="14"/>
        </w:rPr>
        <w:t>febrero</w:t>
      </w:r>
      <w:r w:rsidRPr="0062187C">
        <w:rPr>
          <w:rFonts w:ascii="Verdana" w:hAnsi="Verdana"/>
          <w:sz w:val="14"/>
          <w:szCs w:val="14"/>
        </w:rPr>
        <w:t xml:space="preserve"> del </w:t>
      </w:r>
      <w:r w:rsidR="00965FD0">
        <w:rPr>
          <w:rFonts w:ascii="Verdana" w:hAnsi="Verdana"/>
          <w:sz w:val="14"/>
          <w:szCs w:val="14"/>
        </w:rPr>
        <w:t>2021</w:t>
      </w:r>
      <w:r w:rsidRPr="0062187C">
        <w:rPr>
          <w:rFonts w:ascii="Verdana" w:hAnsi="Verdana"/>
          <w:sz w:val="14"/>
          <w:szCs w:val="14"/>
        </w:rPr>
        <w:t xml:space="preserve">. Rad. </w:t>
      </w:r>
      <w:r w:rsidR="008B391B">
        <w:rPr>
          <w:rFonts w:ascii="Verdana" w:hAnsi="Verdana"/>
          <w:sz w:val="14"/>
          <w:szCs w:val="14"/>
        </w:rPr>
        <w:t>65</w:t>
      </w:r>
      <w:r w:rsidR="00591F6B">
        <w:rPr>
          <w:rFonts w:ascii="Verdana" w:hAnsi="Verdana"/>
          <w:sz w:val="14"/>
          <w:szCs w:val="14"/>
        </w:rPr>
        <w:t>277</w:t>
      </w:r>
      <w:r w:rsidRPr="0062187C">
        <w:rPr>
          <w:rFonts w:ascii="Verdana" w:hAnsi="Verdana"/>
          <w:sz w:val="14"/>
          <w:szCs w:val="14"/>
        </w:rPr>
        <w:t xml:space="preserve">. CP. </w:t>
      </w:r>
      <w:r w:rsidR="00BB3F91" w:rsidRPr="00BB3F91">
        <w:rPr>
          <w:rFonts w:ascii="Verdana" w:hAnsi="Verdana"/>
          <w:sz w:val="14"/>
          <w:szCs w:val="14"/>
        </w:rPr>
        <w:t>Marta Nubia Velásquez Rico</w:t>
      </w:r>
      <w:r w:rsidRPr="0062187C">
        <w:rPr>
          <w:rFonts w:ascii="Verdana" w:hAnsi="Verdana"/>
          <w:sz w:val="14"/>
          <w:szCs w:val="14"/>
        </w:rPr>
        <w:t>.</w:t>
      </w:r>
    </w:p>
    <w:p w14:paraId="4C679FA8" w14:textId="77777777" w:rsidR="0062187C" w:rsidRPr="0062187C" w:rsidRDefault="0062187C" w:rsidP="0062187C">
      <w:pPr>
        <w:pStyle w:val="Textonotapie"/>
        <w:ind w:firstLine="708"/>
        <w:rPr>
          <w:lang w:val="es-CO"/>
        </w:rPr>
      </w:pPr>
    </w:p>
  </w:footnote>
  <w:footnote w:id="13">
    <w:p w14:paraId="10437604" w14:textId="65628561" w:rsidR="005B3D15" w:rsidRPr="005B3D15" w:rsidRDefault="005B3D15" w:rsidP="005B3D15">
      <w:pPr>
        <w:pStyle w:val="Textonotapie"/>
        <w:ind w:firstLine="708"/>
        <w:rPr>
          <w:lang w:val="es-ES"/>
        </w:rPr>
      </w:pPr>
      <w:r>
        <w:rPr>
          <w:rStyle w:val="Refdenotaalpie"/>
        </w:rPr>
        <w:footnoteRef/>
      </w:r>
      <w:r>
        <w:t xml:space="preserve"> </w:t>
      </w:r>
      <w:r w:rsidR="00FB01BC" w:rsidRPr="00171AD2">
        <w:rPr>
          <w:rFonts w:ascii="Verdana" w:hAnsi="Verdana" w:cs="Arial"/>
          <w:color w:val="000000" w:themeColor="text1"/>
          <w:sz w:val="14"/>
          <w:szCs w:val="14"/>
        </w:rPr>
        <w:t xml:space="preserve">Cfr. </w:t>
      </w:r>
      <w:r w:rsidR="006C50F4" w:rsidRPr="00171AD2">
        <w:rPr>
          <w:rFonts w:ascii="Verdana" w:hAnsi="Verdana" w:cs="Arial"/>
          <w:color w:val="000000" w:themeColor="text1"/>
          <w:sz w:val="14"/>
          <w:szCs w:val="14"/>
        </w:rPr>
        <w:t>DÁVILA</w:t>
      </w:r>
      <w:r w:rsidR="00FB01BC" w:rsidRPr="00171AD2">
        <w:rPr>
          <w:rFonts w:ascii="Verdana" w:hAnsi="Verdana" w:cs="Arial"/>
          <w:color w:val="000000" w:themeColor="text1"/>
          <w:sz w:val="14"/>
          <w:szCs w:val="14"/>
        </w:rPr>
        <w:t xml:space="preserve"> VINUEZA Luis Guillermo. Régimen Jurídico de la contratación estatal. Bogotá: Editorial Legis, </w:t>
      </w:r>
      <w:r w:rsidR="00FB01BC">
        <w:rPr>
          <w:rFonts w:ascii="Verdana" w:hAnsi="Verdana" w:cs="Arial"/>
          <w:color w:val="000000" w:themeColor="text1"/>
          <w:sz w:val="14"/>
          <w:szCs w:val="14"/>
        </w:rPr>
        <w:t>2017</w:t>
      </w:r>
      <w:r w:rsidR="00FB01BC" w:rsidRPr="00171AD2">
        <w:rPr>
          <w:rFonts w:ascii="Verdana" w:hAnsi="Verdana" w:cs="Arial"/>
          <w:color w:val="000000" w:themeColor="text1"/>
          <w:sz w:val="14"/>
          <w:szCs w:val="14"/>
        </w:rPr>
        <w:t xml:space="preserve">, p. </w:t>
      </w:r>
      <w:r w:rsidR="00FB01BC">
        <w:rPr>
          <w:rFonts w:ascii="Verdana" w:hAnsi="Verdana" w:cs="Arial"/>
          <w:color w:val="000000" w:themeColor="text1"/>
          <w:sz w:val="14"/>
          <w:szCs w:val="14"/>
        </w:rPr>
        <w:t>598</w:t>
      </w:r>
      <w:r w:rsidR="00FB01BC" w:rsidRPr="00171AD2">
        <w:rPr>
          <w:rFonts w:ascii="Verdana" w:hAnsi="Verdana" w:cs="Arial"/>
          <w:color w:val="000000" w:themeColor="text1"/>
          <w:sz w:val="14"/>
          <w:szCs w:val="14"/>
        </w:rPr>
        <w:t>.</w:t>
      </w:r>
    </w:p>
  </w:footnote>
  <w:footnote w:id="14">
    <w:p w14:paraId="74B111F8" w14:textId="2C4CF28E" w:rsidR="008E4EC0" w:rsidRPr="008E4EC0" w:rsidRDefault="008E4EC0" w:rsidP="008E4EC0">
      <w:pPr>
        <w:pStyle w:val="Textonotapie"/>
        <w:ind w:firstLine="708"/>
        <w:rPr>
          <w:lang w:val="es-CO"/>
        </w:rPr>
      </w:pPr>
      <w:r>
        <w:rPr>
          <w:rStyle w:val="Refdenotaalpie"/>
        </w:rPr>
        <w:footnoteRef/>
      </w:r>
      <w:r>
        <w:t xml:space="preserve"> </w:t>
      </w:r>
      <w:r w:rsidR="00D3549E" w:rsidRPr="00171AD2">
        <w:rPr>
          <w:rFonts w:ascii="Verdana" w:hAnsi="Verdana"/>
          <w:sz w:val="14"/>
          <w:szCs w:val="14"/>
        </w:rPr>
        <w:t>CONSEJO DE ESTADO</w:t>
      </w:r>
      <w:r w:rsidRPr="008E4EC0">
        <w:rPr>
          <w:rFonts w:ascii="Verdana" w:hAnsi="Verdana"/>
          <w:sz w:val="14"/>
          <w:szCs w:val="14"/>
        </w:rPr>
        <w:t>, Sala de lo Contencioso Administrativo, Sección Tercera, Subsección A, sentencia del 16 de mayo de 2019, exp. 40102, C.P. María Adriana Marín.</w:t>
      </w:r>
    </w:p>
  </w:footnote>
  <w:footnote w:id="15">
    <w:p w14:paraId="7FE58C3D" w14:textId="77777777" w:rsidR="00937FBA" w:rsidRDefault="00937FBA" w:rsidP="00937FBA">
      <w:pPr>
        <w:pStyle w:val="Textonotapie"/>
        <w:ind w:firstLine="708"/>
      </w:pPr>
    </w:p>
    <w:p w14:paraId="0AD724DA" w14:textId="2CA56476" w:rsidR="00937FBA" w:rsidRDefault="00937FBA" w:rsidP="00937FBA">
      <w:pPr>
        <w:pStyle w:val="Textonotapie"/>
        <w:ind w:firstLine="708"/>
        <w:rPr>
          <w:rFonts w:ascii="Verdana" w:hAnsi="Verdana"/>
          <w:sz w:val="14"/>
          <w:szCs w:val="14"/>
        </w:rPr>
      </w:pPr>
      <w:r>
        <w:rPr>
          <w:rStyle w:val="Refdenotaalpie"/>
        </w:rPr>
        <w:footnoteRef/>
      </w:r>
      <w:r>
        <w:t xml:space="preserve"> </w:t>
      </w:r>
      <w:r w:rsidR="00D3549E" w:rsidRPr="00171AD2">
        <w:rPr>
          <w:rFonts w:ascii="Verdana" w:hAnsi="Verdana"/>
          <w:sz w:val="14"/>
          <w:szCs w:val="14"/>
        </w:rPr>
        <w:t>CONSEJO DE ESTADO</w:t>
      </w:r>
      <w:r w:rsidRPr="008E4EC0">
        <w:rPr>
          <w:rFonts w:ascii="Verdana" w:hAnsi="Verdana"/>
          <w:sz w:val="14"/>
          <w:szCs w:val="14"/>
        </w:rPr>
        <w:t xml:space="preserve">, Sala de lo Contencioso Administrativo, Sección Tercera, Subsección A, sentencia del </w:t>
      </w:r>
      <w:r w:rsidR="00CE7191">
        <w:rPr>
          <w:rFonts w:ascii="Verdana" w:hAnsi="Verdana"/>
          <w:sz w:val="14"/>
          <w:szCs w:val="14"/>
        </w:rPr>
        <w:t>19</w:t>
      </w:r>
      <w:r w:rsidRPr="008E4EC0">
        <w:rPr>
          <w:rFonts w:ascii="Verdana" w:hAnsi="Verdana"/>
          <w:sz w:val="14"/>
          <w:szCs w:val="14"/>
        </w:rPr>
        <w:t xml:space="preserve"> de </w:t>
      </w:r>
      <w:r w:rsidR="00CE7191">
        <w:rPr>
          <w:rFonts w:ascii="Verdana" w:hAnsi="Verdana"/>
          <w:sz w:val="14"/>
          <w:szCs w:val="14"/>
        </w:rPr>
        <w:t>marzo</w:t>
      </w:r>
      <w:r w:rsidRPr="008E4EC0">
        <w:rPr>
          <w:rFonts w:ascii="Verdana" w:hAnsi="Verdana"/>
          <w:sz w:val="14"/>
          <w:szCs w:val="14"/>
        </w:rPr>
        <w:t xml:space="preserve"> de </w:t>
      </w:r>
      <w:r w:rsidR="006B6E20">
        <w:rPr>
          <w:rFonts w:ascii="Verdana" w:hAnsi="Verdana"/>
          <w:sz w:val="14"/>
          <w:szCs w:val="14"/>
        </w:rPr>
        <w:t>2021</w:t>
      </w:r>
      <w:r w:rsidRPr="008E4EC0">
        <w:rPr>
          <w:rFonts w:ascii="Verdana" w:hAnsi="Verdana"/>
          <w:sz w:val="14"/>
          <w:szCs w:val="14"/>
        </w:rPr>
        <w:t xml:space="preserve">, exp. </w:t>
      </w:r>
      <w:r w:rsidR="00286907">
        <w:rPr>
          <w:rFonts w:ascii="Verdana" w:hAnsi="Verdana"/>
          <w:sz w:val="14"/>
          <w:szCs w:val="14"/>
        </w:rPr>
        <w:t>4</w:t>
      </w:r>
      <w:r w:rsidR="00E51F04">
        <w:rPr>
          <w:rFonts w:ascii="Verdana" w:hAnsi="Verdana"/>
          <w:sz w:val="14"/>
          <w:szCs w:val="14"/>
        </w:rPr>
        <w:t>2135,</w:t>
      </w:r>
      <w:r w:rsidRPr="008E4EC0">
        <w:rPr>
          <w:rFonts w:ascii="Verdana" w:hAnsi="Verdana"/>
          <w:sz w:val="14"/>
          <w:szCs w:val="14"/>
        </w:rPr>
        <w:t xml:space="preserve"> C.P. María Adriana Marín.</w:t>
      </w:r>
    </w:p>
    <w:p w14:paraId="79AF8191" w14:textId="77777777" w:rsidR="0062187C" w:rsidRPr="00937FBA" w:rsidRDefault="0062187C" w:rsidP="00937FBA">
      <w:pPr>
        <w:pStyle w:val="Textonotapie"/>
        <w:ind w:firstLine="708"/>
        <w:rPr>
          <w:lang w:val="es-CO"/>
        </w:rPr>
      </w:pPr>
    </w:p>
  </w:footnote>
  <w:footnote w:id="16">
    <w:p w14:paraId="2A44F770" w14:textId="3F27FF91" w:rsidR="00773D06" w:rsidRDefault="00773D06" w:rsidP="00ED2888">
      <w:pPr>
        <w:pStyle w:val="Textonotapie"/>
        <w:ind w:firstLine="708"/>
        <w:jc w:val="both"/>
        <w:rPr>
          <w:rFonts w:ascii="Verdana" w:hAnsi="Verdana" w:cs="Arial"/>
          <w:sz w:val="14"/>
          <w:szCs w:val="14"/>
        </w:rPr>
      </w:pPr>
      <w:r w:rsidRPr="00FA61C4">
        <w:rPr>
          <w:rStyle w:val="Refdenotaalpie"/>
          <w:rFonts w:ascii="Arial" w:hAnsi="Arial" w:cs="Arial"/>
          <w:sz w:val="18"/>
          <w:szCs w:val="18"/>
        </w:rPr>
        <w:footnoteRef/>
      </w:r>
      <w:r w:rsidRPr="00FA61C4">
        <w:rPr>
          <w:rFonts w:ascii="Arial" w:hAnsi="Arial" w:cs="Arial"/>
          <w:sz w:val="18"/>
          <w:szCs w:val="18"/>
        </w:rPr>
        <w:t xml:space="preserve"> </w:t>
      </w:r>
      <w:r w:rsidRPr="0045494A">
        <w:rPr>
          <w:rFonts w:ascii="Verdana" w:hAnsi="Verdana"/>
          <w:sz w:val="14"/>
          <w:szCs w:val="14"/>
        </w:rPr>
        <w:t xml:space="preserve">Cfr. </w:t>
      </w:r>
      <w:r w:rsidR="00D3549E" w:rsidRPr="00171AD2">
        <w:rPr>
          <w:rFonts w:ascii="Verdana" w:hAnsi="Verdana"/>
          <w:sz w:val="14"/>
          <w:szCs w:val="14"/>
        </w:rPr>
        <w:t>CONSEJO DE ESTADO</w:t>
      </w:r>
      <w:r w:rsidRPr="0045494A">
        <w:rPr>
          <w:rFonts w:ascii="Verdana" w:hAnsi="Verdana"/>
          <w:sz w:val="14"/>
          <w:szCs w:val="14"/>
        </w:rPr>
        <w:t>, Sección Tercera, sentencia del 22 de junio de 2001, Rad. 13.436 [fundamento jurídico III] y sentencia del 11 de diciembre de 2003, Rad. 13.348 [fundamento jurídico 1.2], en Antología Jurisprudencias y Conceptos, Consejo de Estado 1817-2017 Sección Tercera Tomo A, Bogotá, Imprenta Nacional, 2018 pp. 301 y 306, disponible en</w:t>
      </w:r>
      <w:r w:rsidRPr="0045494A">
        <w:rPr>
          <w:rFonts w:ascii="Verdana" w:hAnsi="Verdana" w:cs="Arial"/>
          <w:sz w:val="16"/>
          <w:szCs w:val="16"/>
        </w:rPr>
        <w:t xml:space="preserve"> </w:t>
      </w:r>
      <w:hyperlink r:id="rId1" w:history="1">
        <w:r w:rsidRPr="0045494A">
          <w:rPr>
            <w:rStyle w:val="Hipervnculo"/>
            <w:rFonts w:ascii="Verdana" w:hAnsi="Verdana" w:cs="Arial"/>
            <w:sz w:val="14"/>
            <w:szCs w:val="14"/>
          </w:rPr>
          <w:t>https://cutt.ly/OQ9KFJH</w:t>
        </w:r>
      </w:hyperlink>
      <w:r w:rsidRPr="0045494A">
        <w:rPr>
          <w:rFonts w:ascii="Verdana" w:hAnsi="Verdana" w:cs="Arial"/>
          <w:sz w:val="14"/>
          <w:szCs w:val="14"/>
        </w:rPr>
        <w:t>.</w:t>
      </w:r>
    </w:p>
    <w:p w14:paraId="7C1AD157" w14:textId="77777777" w:rsidR="0062187C" w:rsidRPr="00FA61C4" w:rsidRDefault="0062187C" w:rsidP="00ED2888">
      <w:pPr>
        <w:pStyle w:val="Textonotapie"/>
        <w:ind w:firstLine="708"/>
        <w:jc w:val="both"/>
        <w:rPr>
          <w:rFonts w:ascii="Arial" w:hAnsi="Arial" w:cs="Arial"/>
          <w:sz w:val="18"/>
          <w:szCs w:val="18"/>
        </w:rPr>
      </w:pPr>
    </w:p>
  </w:footnote>
  <w:footnote w:id="17">
    <w:p w14:paraId="43DC7133" w14:textId="61EE25C2" w:rsidR="00ED2888" w:rsidRPr="00ED2888" w:rsidRDefault="00ED2888" w:rsidP="00ED2888">
      <w:pPr>
        <w:pStyle w:val="Textonotapie"/>
        <w:ind w:firstLine="708"/>
        <w:rPr>
          <w:lang w:val="es-CO"/>
        </w:rPr>
      </w:pPr>
      <w:r>
        <w:rPr>
          <w:rStyle w:val="Refdenotaalpie"/>
        </w:rPr>
        <w:footnoteRef/>
      </w:r>
      <w:r>
        <w:t xml:space="preserve"> </w:t>
      </w:r>
      <w:r w:rsidR="0062187C" w:rsidRPr="00171AD2">
        <w:rPr>
          <w:rFonts w:ascii="Verdana" w:hAnsi="Verdana"/>
          <w:sz w:val="14"/>
          <w:szCs w:val="14"/>
        </w:rPr>
        <w:t xml:space="preserve">Consejo </w:t>
      </w:r>
      <w:r w:rsidR="0062187C">
        <w:rPr>
          <w:rFonts w:ascii="Verdana" w:hAnsi="Verdana"/>
          <w:sz w:val="14"/>
          <w:szCs w:val="14"/>
        </w:rPr>
        <w:t>d</w:t>
      </w:r>
      <w:r w:rsidR="0062187C" w:rsidRPr="00171AD2">
        <w:rPr>
          <w:rFonts w:ascii="Verdana" w:hAnsi="Verdana"/>
          <w:sz w:val="14"/>
          <w:szCs w:val="14"/>
        </w:rPr>
        <w:t>e Estado</w:t>
      </w:r>
      <w:r w:rsidRPr="00171AD2">
        <w:rPr>
          <w:rFonts w:ascii="Verdana" w:hAnsi="Verdana"/>
          <w:sz w:val="14"/>
          <w:szCs w:val="14"/>
        </w:rPr>
        <w:t xml:space="preserve">. Sala de lo Contencioso Administrativo. Sección Tercera – Subsección C. Sentencia del </w:t>
      </w:r>
      <w:r w:rsidR="00496D3B">
        <w:rPr>
          <w:rFonts w:ascii="Verdana" w:hAnsi="Verdana"/>
          <w:sz w:val="14"/>
          <w:szCs w:val="14"/>
        </w:rPr>
        <w:t>13</w:t>
      </w:r>
      <w:r w:rsidRPr="00171AD2">
        <w:rPr>
          <w:rFonts w:ascii="Verdana" w:hAnsi="Verdana"/>
          <w:sz w:val="14"/>
          <w:szCs w:val="14"/>
        </w:rPr>
        <w:t xml:space="preserve"> de </w:t>
      </w:r>
      <w:r w:rsidR="00F62CCE">
        <w:rPr>
          <w:rFonts w:ascii="Verdana" w:hAnsi="Verdana"/>
          <w:sz w:val="14"/>
          <w:szCs w:val="14"/>
        </w:rPr>
        <w:t>abril</w:t>
      </w:r>
      <w:r w:rsidRPr="00171AD2">
        <w:rPr>
          <w:rFonts w:ascii="Verdana" w:hAnsi="Verdana"/>
          <w:sz w:val="14"/>
          <w:szCs w:val="14"/>
        </w:rPr>
        <w:t xml:space="preserve"> del 202</w:t>
      </w:r>
      <w:r w:rsidR="00F62CCE">
        <w:rPr>
          <w:rFonts w:ascii="Verdana" w:hAnsi="Verdana"/>
          <w:sz w:val="14"/>
          <w:szCs w:val="14"/>
        </w:rPr>
        <w:t>3</w:t>
      </w:r>
      <w:r w:rsidRPr="00171AD2">
        <w:rPr>
          <w:rFonts w:ascii="Verdana" w:hAnsi="Verdana"/>
          <w:sz w:val="14"/>
          <w:szCs w:val="14"/>
        </w:rPr>
        <w:t xml:space="preserve">. Rad. </w:t>
      </w:r>
      <w:r w:rsidR="00D236B8">
        <w:rPr>
          <w:rFonts w:ascii="Verdana" w:hAnsi="Verdana"/>
          <w:sz w:val="14"/>
          <w:szCs w:val="14"/>
        </w:rPr>
        <w:t>66</w:t>
      </w:r>
      <w:r w:rsidR="008363A7">
        <w:rPr>
          <w:rFonts w:ascii="Verdana" w:hAnsi="Verdana"/>
          <w:sz w:val="14"/>
          <w:szCs w:val="14"/>
        </w:rPr>
        <w:t>712</w:t>
      </w:r>
      <w:r w:rsidRPr="00171AD2">
        <w:rPr>
          <w:rFonts w:ascii="Verdana" w:hAnsi="Verdana"/>
          <w:sz w:val="14"/>
          <w:szCs w:val="14"/>
        </w:rPr>
        <w:t xml:space="preserve">. CP. </w:t>
      </w:r>
      <w:r w:rsidR="00941E2D">
        <w:rPr>
          <w:rFonts w:ascii="Verdana" w:hAnsi="Verdana"/>
          <w:sz w:val="14"/>
          <w:szCs w:val="14"/>
        </w:rPr>
        <w:t>Guillermo Sanchez Luque</w:t>
      </w:r>
      <w:r w:rsidRPr="00171AD2">
        <w:rPr>
          <w:rFonts w:ascii="Verdana" w:hAnsi="Verdana"/>
          <w:sz w:val="14"/>
          <w:szCs w:val="14"/>
        </w:rPr>
        <w:t>.</w:t>
      </w:r>
    </w:p>
  </w:footnote>
  <w:footnote w:id="18">
    <w:p w14:paraId="65BCBA2C" w14:textId="79523D9A" w:rsidR="00CA1955" w:rsidRDefault="002F075E" w:rsidP="00CA1955">
      <w:pPr>
        <w:pStyle w:val="Textonotapie"/>
        <w:ind w:firstLine="708"/>
        <w:jc w:val="both"/>
        <w:rPr>
          <w:rFonts w:ascii="Verdana" w:hAnsi="Verdana"/>
          <w:sz w:val="14"/>
          <w:szCs w:val="14"/>
        </w:rPr>
      </w:pPr>
      <w:r>
        <w:rPr>
          <w:rStyle w:val="Refdenotaalpie"/>
        </w:rPr>
        <w:footnoteRef/>
      </w:r>
      <w:r>
        <w:t xml:space="preserve"> </w:t>
      </w:r>
      <w:r w:rsidR="00D3549E" w:rsidRPr="00CA1955">
        <w:rPr>
          <w:rFonts w:ascii="Verdana" w:hAnsi="Verdana"/>
          <w:sz w:val="14"/>
          <w:szCs w:val="14"/>
        </w:rPr>
        <w:t>SANTOFIMIO GAMBOA</w:t>
      </w:r>
      <w:r w:rsidRPr="00CA1955">
        <w:rPr>
          <w:rFonts w:ascii="Verdana" w:hAnsi="Verdana"/>
          <w:sz w:val="14"/>
          <w:szCs w:val="14"/>
        </w:rPr>
        <w:t xml:space="preserve">. </w:t>
      </w:r>
      <w:r w:rsidR="00A22519" w:rsidRPr="00CA1955">
        <w:rPr>
          <w:rFonts w:ascii="Verdana" w:hAnsi="Verdana"/>
          <w:sz w:val="14"/>
          <w:szCs w:val="14"/>
        </w:rPr>
        <w:t>Jaime Orlando</w:t>
      </w:r>
      <w:r w:rsidRPr="00CA1955">
        <w:rPr>
          <w:rFonts w:ascii="Verdana" w:hAnsi="Verdana"/>
          <w:sz w:val="14"/>
          <w:szCs w:val="14"/>
        </w:rPr>
        <w:t xml:space="preserve">. </w:t>
      </w:r>
      <w:r w:rsidR="00A22519" w:rsidRPr="00CA1955">
        <w:rPr>
          <w:rFonts w:ascii="Verdana" w:hAnsi="Verdana"/>
          <w:sz w:val="14"/>
          <w:szCs w:val="14"/>
        </w:rPr>
        <w:t xml:space="preserve">El contrato de concesión de servicios públicos. Coherencia con los postulados del estado social y democrático de derecho en aras de su estructuración en función de los intereses públicos. Tesis Doctoral. </w:t>
      </w:r>
      <w:r w:rsidR="000E1105" w:rsidRPr="00CA1955">
        <w:rPr>
          <w:rFonts w:ascii="Verdana" w:hAnsi="Verdana"/>
          <w:sz w:val="14"/>
          <w:szCs w:val="14"/>
        </w:rPr>
        <w:t>UNIVERSIDAD CARLOS III DE MADRID. Enlace:</w:t>
      </w:r>
    </w:p>
    <w:p w14:paraId="1476012B" w14:textId="5B1F95A5" w:rsidR="002F075E" w:rsidRPr="00CA1955" w:rsidRDefault="000E1105" w:rsidP="00CA1955">
      <w:pPr>
        <w:pStyle w:val="Textonotapie"/>
        <w:ind w:firstLine="708"/>
        <w:jc w:val="both"/>
        <w:rPr>
          <w:rFonts w:ascii="Verdana" w:hAnsi="Verdana"/>
          <w:sz w:val="14"/>
          <w:szCs w:val="14"/>
        </w:rPr>
      </w:pPr>
      <w:r w:rsidRPr="00CA1955">
        <w:rPr>
          <w:rFonts w:ascii="Verdana" w:hAnsi="Verdana"/>
          <w:sz w:val="14"/>
          <w:szCs w:val="14"/>
        </w:rPr>
        <w:t xml:space="preserve"> </w:t>
      </w:r>
      <w:hyperlink r:id="rId2" w:history="1">
        <w:r w:rsidR="00CA1955" w:rsidRPr="00CA1955">
          <w:rPr>
            <w:rStyle w:val="Hipervnculo"/>
            <w:rFonts w:ascii="Verdana" w:hAnsi="Verdana"/>
            <w:sz w:val="14"/>
            <w:szCs w:val="14"/>
          </w:rPr>
          <w:t>https://e-archivo.uc3m.es/bitstream/handle/10016/8339/tesis_santofimio_2010.pdf</w:t>
        </w:r>
      </w:hyperlink>
    </w:p>
    <w:p w14:paraId="4A168C07" w14:textId="0E179B5A" w:rsidR="002F075E" w:rsidRPr="002F075E" w:rsidRDefault="002F075E" w:rsidP="002F075E">
      <w:pPr>
        <w:pStyle w:val="Textonotapie"/>
        <w:ind w:firstLine="708"/>
        <w:rPr>
          <w:lang w:val="es-CO"/>
        </w:rPr>
      </w:pPr>
    </w:p>
  </w:footnote>
  <w:footnote w:id="19">
    <w:p w14:paraId="64C30C63" w14:textId="7B718AE9" w:rsidR="009952DA" w:rsidRDefault="009952DA" w:rsidP="009952DA">
      <w:pPr>
        <w:pStyle w:val="Textonotapie"/>
        <w:ind w:firstLine="708"/>
      </w:pPr>
      <w:r>
        <w:rPr>
          <w:rStyle w:val="Refdenotaalpie"/>
        </w:rPr>
        <w:footnoteRef/>
      </w:r>
      <w:r>
        <w:t xml:space="preserve"> </w:t>
      </w:r>
      <w:r w:rsidR="00D3549E" w:rsidRPr="005739CC">
        <w:rPr>
          <w:rFonts w:ascii="Verdana" w:hAnsi="Verdana"/>
          <w:sz w:val="14"/>
          <w:szCs w:val="14"/>
        </w:rPr>
        <w:t xml:space="preserve">RODRÍGUEZ </w:t>
      </w:r>
      <w:r w:rsidR="00D3549E">
        <w:rPr>
          <w:rFonts w:ascii="Verdana" w:hAnsi="Verdana"/>
          <w:sz w:val="14"/>
          <w:szCs w:val="14"/>
        </w:rPr>
        <w:t>T</w:t>
      </w:r>
      <w:r w:rsidR="00D3549E" w:rsidRPr="005739CC">
        <w:rPr>
          <w:rFonts w:ascii="Verdana" w:hAnsi="Verdana"/>
          <w:sz w:val="14"/>
          <w:szCs w:val="14"/>
        </w:rPr>
        <w:t xml:space="preserve">AMAYO. </w:t>
      </w:r>
      <w:r w:rsidRPr="005739CC">
        <w:rPr>
          <w:rFonts w:ascii="Verdana" w:hAnsi="Verdana"/>
          <w:sz w:val="14"/>
          <w:szCs w:val="14"/>
        </w:rPr>
        <w:t xml:space="preserve">Mauricio Fernando. Los contratos estatales en Colombia. Tirant lo blanch. P. </w:t>
      </w:r>
      <w:r>
        <w:rPr>
          <w:rFonts w:ascii="Verdana" w:hAnsi="Verdana"/>
          <w:sz w:val="14"/>
          <w:szCs w:val="14"/>
        </w:rPr>
        <w:t>543-544</w:t>
      </w:r>
    </w:p>
    <w:p w14:paraId="760C3544" w14:textId="29BF18D8" w:rsidR="009952DA" w:rsidRPr="009952DA" w:rsidRDefault="009952DA" w:rsidP="009952DA">
      <w:pPr>
        <w:pStyle w:val="Textonotapie"/>
        <w:ind w:firstLine="708"/>
        <w:rPr>
          <w:lang w:val="es-CO"/>
        </w:rPr>
      </w:pPr>
    </w:p>
  </w:footnote>
  <w:footnote w:id="20">
    <w:p w14:paraId="2B42A4CB" w14:textId="0A5D27B3" w:rsidR="001555F1" w:rsidRPr="00171AD2" w:rsidRDefault="00190DE5" w:rsidP="0095760D">
      <w:pPr>
        <w:spacing w:after="0" w:line="240" w:lineRule="auto"/>
        <w:ind w:left="160" w:right="160" w:firstLine="548"/>
        <w:jc w:val="both"/>
        <w:rPr>
          <w:rFonts w:ascii="Verdana" w:hAnsi="Verdana" w:cs="Arial"/>
          <w:i/>
          <w:sz w:val="14"/>
          <w:szCs w:val="14"/>
        </w:rPr>
      </w:pPr>
      <w:r w:rsidRPr="00171AD2">
        <w:rPr>
          <w:rStyle w:val="Refdenotaalpie"/>
          <w:rFonts w:ascii="Verdana" w:hAnsi="Verdana"/>
          <w:sz w:val="14"/>
          <w:szCs w:val="14"/>
        </w:rPr>
        <w:footnoteRef/>
      </w:r>
      <w:r w:rsidR="001555F1" w:rsidRPr="00171AD2">
        <w:rPr>
          <w:rFonts w:ascii="Verdana" w:hAnsi="Verdana"/>
          <w:sz w:val="14"/>
          <w:szCs w:val="14"/>
        </w:rPr>
        <w:t xml:space="preserve"> </w:t>
      </w:r>
      <w:r w:rsidR="001555F1" w:rsidRPr="00171AD2">
        <w:rPr>
          <w:rFonts w:ascii="Verdana" w:hAnsi="Verdana" w:cs="Arial"/>
          <w:sz w:val="14"/>
          <w:szCs w:val="14"/>
        </w:rPr>
        <w:t>El Consejo de Estado, Sección Tercera en Sentencia del 23 de octubre de 2017 con consejero</w:t>
      </w:r>
      <w:r w:rsidR="001555F1" w:rsidRPr="00171AD2">
        <w:rPr>
          <w:rFonts w:ascii="Verdana" w:hAnsi="Verdana" w:cs="Arial"/>
          <w:spacing w:val="1"/>
          <w:sz w:val="14"/>
          <w:szCs w:val="14"/>
        </w:rPr>
        <w:t xml:space="preserve"> </w:t>
      </w:r>
      <w:r w:rsidR="001555F1" w:rsidRPr="00171AD2">
        <w:rPr>
          <w:rFonts w:ascii="Verdana" w:hAnsi="Verdana" w:cs="Arial"/>
          <w:sz w:val="14"/>
          <w:szCs w:val="14"/>
        </w:rPr>
        <w:t>ponente:</w:t>
      </w:r>
      <w:r w:rsidR="001555F1" w:rsidRPr="00171AD2">
        <w:rPr>
          <w:rFonts w:ascii="Verdana" w:hAnsi="Verdana" w:cs="Arial"/>
          <w:spacing w:val="1"/>
          <w:sz w:val="14"/>
          <w:szCs w:val="14"/>
        </w:rPr>
        <w:t xml:space="preserve"> </w:t>
      </w:r>
      <w:r w:rsidR="001555F1" w:rsidRPr="00171AD2">
        <w:rPr>
          <w:rFonts w:ascii="Verdana" w:hAnsi="Verdana" w:cs="Arial"/>
          <w:sz w:val="14"/>
          <w:szCs w:val="14"/>
        </w:rPr>
        <w:t>Jaime</w:t>
      </w:r>
      <w:r w:rsidR="001555F1" w:rsidRPr="00171AD2">
        <w:rPr>
          <w:rFonts w:ascii="Verdana" w:hAnsi="Verdana" w:cs="Arial"/>
          <w:spacing w:val="1"/>
          <w:sz w:val="14"/>
          <w:szCs w:val="14"/>
        </w:rPr>
        <w:t xml:space="preserve"> </w:t>
      </w:r>
      <w:r w:rsidR="001555F1" w:rsidRPr="00171AD2">
        <w:rPr>
          <w:rFonts w:ascii="Verdana" w:hAnsi="Verdana" w:cs="Arial"/>
          <w:sz w:val="14"/>
          <w:szCs w:val="14"/>
        </w:rPr>
        <w:t>Orlando</w:t>
      </w:r>
      <w:r w:rsidR="001555F1" w:rsidRPr="00171AD2">
        <w:rPr>
          <w:rFonts w:ascii="Verdana" w:hAnsi="Verdana" w:cs="Arial"/>
          <w:spacing w:val="1"/>
          <w:sz w:val="14"/>
          <w:szCs w:val="14"/>
        </w:rPr>
        <w:t xml:space="preserve"> </w:t>
      </w:r>
      <w:r w:rsidR="001555F1" w:rsidRPr="00171AD2">
        <w:rPr>
          <w:rFonts w:ascii="Verdana" w:hAnsi="Verdana" w:cs="Arial"/>
          <w:sz w:val="14"/>
          <w:szCs w:val="14"/>
        </w:rPr>
        <w:t>Santofimio</w:t>
      </w:r>
      <w:r w:rsidR="001555F1" w:rsidRPr="00171AD2">
        <w:rPr>
          <w:rFonts w:ascii="Verdana" w:hAnsi="Verdana" w:cs="Arial"/>
          <w:spacing w:val="1"/>
          <w:sz w:val="14"/>
          <w:szCs w:val="14"/>
        </w:rPr>
        <w:t xml:space="preserve"> </w:t>
      </w:r>
      <w:r w:rsidR="001555F1" w:rsidRPr="00171AD2">
        <w:rPr>
          <w:rFonts w:ascii="Verdana" w:hAnsi="Verdana" w:cs="Arial"/>
          <w:sz w:val="14"/>
          <w:szCs w:val="14"/>
        </w:rPr>
        <w:t>Gamboa.</w:t>
      </w:r>
      <w:r w:rsidR="001555F1" w:rsidRPr="00171AD2">
        <w:rPr>
          <w:rFonts w:ascii="Verdana" w:hAnsi="Verdana" w:cs="Arial"/>
          <w:spacing w:val="1"/>
          <w:sz w:val="14"/>
          <w:szCs w:val="14"/>
        </w:rPr>
        <w:t xml:space="preserve"> </w:t>
      </w:r>
      <w:r w:rsidR="001555F1" w:rsidRPr="00171AD2">
        <w:rPr>
          <w:rFonts w:ascii="Verdana" w:hAnsi="Verdana" w:cs="Arial"/>
          <w:sz w:val="14"/>
          <w:szCs w:val="14"/>
        </w:rPr>
        <w:t>Exp.</w:t>
      </w:r>
      <w:r w:rsidR="001555F1" w:rsidRPr="00171AD2">
        <w:rPr>
          <w:rFonts w:ascii="Verdana" w:hAnsi="Verdana" w:cs="Arial"/>
          <w:spacing w:val="1"/>
          <w:sz w:val="14"/>
          <w:szCs w:val="14"/>
        </w:rPr>
        <w:t xml:space="preserve"> </w:t>
      </w:r>
      <w:r w:rsidR="001555F1" w:rsidRPr="00171AD2">
        <w:rPr>
          <w:rFonts w:ascii="Verdana" w:hAnsi="Verdana" w:cs="Arial"/>
          <w:sz w:val="14"/>
          <w:szCs w:val="14"/>
        </w:rPr>
        <w:t>53.477,</w:t>
      </w:r>
      <w:r w:rsidR="001555F1" w:rsidRPr="00171AD2">
        <w:rPr>
          <w:rFonts w:ascii="Verdana" w:hAnsi="Verdana" w:cs="Arial"/>
          <w:spacing w:val="1"/>
          <w:sz w:val="14"/>
          <w:szCs w:val="14"/>
        </w:rPr>
        <w:t xml:space="preserve"> </w:t>
      </w:r>
      <w:r w:rsidR="001555F1" w:rsidRPr="00171AD2">
        <w:rPr>
          <w:rFonts w:ascii="Verdana" w:hAnsi="Verdana" w:cs="Arial"/>
          <w:sz w:val="14"/>
          <w:szCs w:val="14"/>
        </w:rPr>
        <w:t>ha</w:t>
      </w:r>
      <w:r w:rsidR="001555F1" w:rsidRPr="00171AD2">
        <w:rPr>
          <w:rFonts w:ascii="Verdana" w:hAnsi="Verdana" w:cs="Arial"/>
          <w:spacing w:val="1"/>
          <w:sz w:val="14"/>
          <w:szCs w:val="14"/>
        </w:rPr>
        <w:t xml:space="preserve"> </w:t>
      </w:r>
      <w:r w:rsidR="001555F1" w:rsidRPr="00171AD2">
        <w:rPr>
          <w:rFonts w:ascii="Verdana" w:hAnsi="Verdana" w:cs="Arial"/>
          <w:sz w:val="14"/>
          <w:szCs w:val="14"/>
        </w:rPr>
        <w:t>destacado</w:t>
      </w:r>
      <w:r w:rsidR="001555F1" w:rsidRPr="00171AD2">
        <w:rPr>
          <w:rFonts w:ascii="Verdana" w:hAnsi="Verdana" w:cs="Arial"/>
          <w:spacing w:val="1"/>
          <w:sz w:val="14"/>
          <w:szCs w:val="14"/>
        </w:rPr>
        <w:t xml:space="preserve"> </w:t>
      </w:r>
      <w:r w:rsidR="001555F1" w:rsidRPr="00171AD2">
        <w:rPr>
          <w:rFonts w:ascii="Verdana" w:hAnsi="Verdana" w:cs="Arial"/>
          <w:sz w:val="14"/>
          <w:szCs w:val="14"/>
        </w:rPr>
        <w:t>sus</w:t>
      </w:r>
      <w:r w:rsidR="001555F1" w:rsidRPr="00171AD2">
        <w:rPr>
          <w:rFonts w:ascii="Verdana" w:hAnsi="Verdana" w:cs="Arial"/>
          <w:spacing w:val="1"/>
          <w:sz w:val="14"/>
          <w:szCs w:val="14"/>
        </w:rPr>
        <w:t xml:space="preserve"> </w:t>
      </w:r>
      <w:r w:rsidR="001555F1" w:rsidRPr="00171AD2">
        <w:rPr>
          <w:rFonts w:ascii="Verdana" w:hAnsi="Verdana" w:cs="Arial"/>
          <w:sz w:val="14"/>
          <w:szCs w:val="14"/>
        </w:rPr>
        <w:t>características</w:t>
      </w:r>
      <w:r w:rsidR="001555F1" w:rsidRPr="00171AD2">
        <w:rPr>
          <w:rFonts w:ascii="Verdana" w:hAnsi="Verdana" w:cs="Arial"/>
          <w:i/>
          <w:sz w:val="14"/>
          <w:szCs w:val="14"/>
        </w:rPr>
        <w:t>:</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w:t>
      </w:r>
      <w:r w:rsidR="0095760D">
        <w:rPr>
          <w:rFonts w:ascii="Verdana" w:hAnsi="Verdana" w:cs="Arial"/>
          <w:i/>
          <w:sz w:val="14"/>
          <w:szCs w:val="14"/>
        </w:rPr>
        <w:t>(</w:t>
      </w:r>
      <w:r w:rsidR="001555F1" w:rsidRPr="00171AD2">
        <w:rPr>
          <w:rFonts w:ascii="Verdana" w:hAnsi="Verdana" w:cs="Arial"/>
          <w:i/>
          <w:sz w:val="14"/>
          <w:szCs w:val="14"/>
        </w:rPr>
        <w:t>…</w:t>
      </w:r>
      <w:r w:rsidR="0095760D">
        <w:rPr>
          <w:rFonts w:ascii="Verdana" w:hAnsi="Verdana" w:cs="Arial"/>
          <w:i/>
          <w:sz w:val="14"/>
          <w:szCs w:val="14"/>
        </w:rPr>
        <w:t>)</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la</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jurisprudencia</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de</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la</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Sección</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Tercera</w:t>
      </w:r>
      <w:r w:rsidR="001555F1" w:rsidRPr="00171AD2">
        <w:rPr>
          <w:rFonts w:ascii="Verdana" w:hAnsi="Verdana" w:cs="Arial"/>
          <w:i/>
          <w:spacing w:val="-11"/>
          <w:sz w:val="14"/>
          <w:szCs w:val="14"/>
        </w:rPr>
        <w:t xml:space="preserve"> </w:t>
      </w:r>
      <w:r w:rsidR="001555F1" w:rsidRPr="00171AD2">
        <w:rPr>
          <w:rFonts w:ascii="Verdana" w:hAnsi="Verdana" w:cs="Arial"/>
          <w:i/>
          <w:sz w:val="14"/>
          <w:szCs w:val="14"/>
        </w:rPr>
        <w:t>de</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esta</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Corporación</w:t>
      </w:r>
      <w:r w:rsidR="001555F1" w:rsidRPr="00171AD2">
        <w:rPr>
          <w:rFonts w:ascii="Verdana" w:hAnsi="Verdana" w:cs="Arial"/>
          <w:i/>
          <w:spacing w:val="-13"/>
          <w:sz w:val="14"/>
          <w:szCs w:val="14"/>
        </w:rPr>
        <w:t xml:space="preserve"> </w:t>
      </w:r>
      <w:r w:rsidR="001555F1" w:rsidRPr="00171AD2">
        <w:rPr>
          <w:rFonts w:ascii="Verdana" w:hAnsi="Verdana" w:cs="Arial"/>
          <w:i/>
          <w:sz w:val="14"/>
          <w:szCs w:val="14"/>
        </w:rPr>
        <w:t>ha</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señalado</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como</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características</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propias</w:t>
      </w:r>
      <w:r w:rsidR="001555F1" w:rsidRPr="00171AD2">
        <w:rPr>
          <w:rFonts w:ascii="Verdana" w:hAnsi="Verdana" w:cs="Arial"/>
          <w:i/>
          <w:spacing w:val="-13"/>
          <w:sz w:val="14"/>
          <w:szCs w:val="14"/>
        </w:rPr>
        <w:t xml:space="preserve"> </w:t>
      </w:r>
      <w:r w:rsidR="001555F1" w:rsidRPr="00171AD2">
        <w:rPr>
          <w:rFonts w:ascii="Verdana" w:hAnsi="Verdana" w:cs="Arial"/>
          <w:i/>
          <w:sz w:val="14"/>
          <w:szCs w:val="14"/>
        </w:rPr>
        <w:t>del</w:t>
      </w:r>
      <w:r w:rsidR="001555F1" w:rsidRPr="00171AD2">
        <w:rPr>
          <w:rFonts w:ascii="Verdana" w:hAnsi="Verdana" w:cs="Arial"/>
          <w:i/>
          <w:spacing w:val="-12"/>
          <w:sz w:val="14"/>
          <w:szCs w:val="14"/>
        </w:rPr>
        <w:t xml:space="preserve"> </w:t>
      </w:r>
      <w:r w:rsidR="001555F1" w:rsidRPr="00171AD2">
        <w:rPr>
          <w:rFonts w:ascii="Verdana" w:hAnsi="Verdana" w:cs="Arial"/>
          <w:i/>
          <w:sz w:val="14"/>
          <w:szCs w:val="14"/>
        </w:rPr>
        <w:t>contrato</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de concesión que: i) dentro de su celebración interviene una entidad estatal que actúa como concedente y una</w:t>
      </w:r>
      <w:r w:rsidR="001555F1" w:rsidRPr="00171AD2">
        <w:rPr>
          <w:rFonts w:ascii="Verdana" w:hAnsi="Verdana" w:cs="Arial"/>
          <w:i/>
          <w:spacing w:val="-47"/>
          <w:sz w:val="14"/>
          <w:szCs w:val="14"/>
        </w:rPr>
        <w:t xml:space="preserve"> </w:t>
      </w:r>
      <w:r w:rsidR="001555F1" w:rsidRPr="00171AD2">
        <w:rPr>
          <w:rFonts w:ascii="Verdana" w:hAnsi="Verdana" w:cs="Arial"/>
          <w:i/>
          <w:sz w:val="14"/>
          <w:szCs w:val="14"/>
        </w:rPr>
        <w:t>persona</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natural</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o</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jurídica</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denominada</w:t>
      </w:r>
      <w:r w:rsidR="001555F1" w:rsidRPr="00171AD2">
        <w:rPr>
          <w:rFonts w:ascii="Verdana" w:hAnsi="Verdana" w:cs="Arial"/>
          <w:i/>
          <w:spacing w:val="-7"/>
          <w:sz w:val="14"/>
          <w:szCs w:val="14"/>
        </w:rPr>
        <w:t xml:space="preserve"> </w:t>
      </w:r>
      <w:r w:rsidR="001555F1" w:rsidRPr="00171AD2">
        <w:rPr>
          <w:rFonts w:ascii="Verdana" w:hAnsi="Verdana" w:cs="Arial"/>
          <w:i/>
          <w:sz w:val="14"/>
          <w:szCs w:val="14"/>
        </w:rPr>
        <w:t>concesionario;</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ii)</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El</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concesionario</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es</w:t>
      </w:r>
      <w:r w:rsidR="001555F1" w:rsidRPr="00171AD2">
        <w:rPr>
          <w:rFonts w:ascii="Verdana" w:hAnsi="Verdana" w:cs="Arial"/>
          <w:i/>
          <w:spacing w:val="-7"/>
          <w:sz w:val="14"/>
          <w:szCs w:val="14"/>
        </w:rPr>
        <w:t xml:space="preserve"> </w:t>
      </w:r>
      <w:r w:rsidR="001555F1" w:rsidRPr="00171AD2">
        <w:rPr>
          <w:rFonts w:ascii="Verdana" w:hAnsi="Verdana" w:cs="Arial"/>
          <w:i/>
          <w:sz w:val="14"/>
          <w:szCs w:val="14"/>
        </w:rPr>
        <w:t>quien</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asume</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la</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gestión</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y</w:t>
      </w:r>
      <w:r w:rsidR="001555F1" w:rsidRPr="00171AD2">
        <w:rPr>
          <w:rFonts w:ascii="Verdana" w:hAnsi="Verdana" w:cs="Arial"/>
          <w:i/>
          <w:spacing w:val="-7"/>
          <w:sz w:val="14"/>
          <w:szCs w:val="14"/>
        </w:rPr>
        <w:t xml:space="preserve"> </w:t>
      </w:r>
      <w:r w:rsidR="001555F1" w:rsidRPr="00171AD2">
        <w:rPr>
          <w:rFonts w:ascii="Verdana" w:hAnsi="Verdana" w:cs="Arial"/>
          <w:i/>
          <w:sz w:val="14"/>
          <w:szCs w:val="14"/>
        </w:rPr>
        <w:t>riesgo</w:t>
      </w:r>
      <w:r w:rsidR="001555F1" w:rsidRPr="00171AD2">
        <w:rPr>
          <w:rFonts w:ascii="Verdana" w:hAnsi="Verdana" w:cs="Arial"/>
          <w:i/>
          <w:spacing w:val="-8"/>
          <w:sz w:val="14"/>
          <w:szCs w:val="14"/>
        </w:rPr>
        <w:t xml:space="preserve"> </w:t>
      </w:r>
      <w:r w:rsidR="001555F1" w:rsidRPr="00171AD2">
        <w:rPr>
          <w:rFonts w:ascii="Verdana" w:hAnsi="Verdana" w:cs="Arial"/>
          <w:i/>
          <w:sz w:val="14"/>
          <w:szCs w:val="14"/>
        </w:rPr>
        <w:t>de</w:t>
      </w:r>
      <w:r w:rsidR="001555F1" w:rsidRPr="00171AD2">
        <w:rPr>
          <w:rFonts w:ascii="Verdana" w:hAnsi="Verdana" w:cs="Arial"/>
          <w:i/>
          <w:spacing w:val="-48"/>
          <w:sz w:val="14"/>
          <w:szCs w:val="14"/>
        </w:rPr>
        <w:t xml:space="preserve"> </w:t>
      </w:r>
      <w:r w:rsidR="001555F1" w:rsidRPr="00171AD2">
        <w:rPr>
          <w:rFonts w:ascii="Verdana" w:hAnsi="Verdana" w:cs="Arial"/>
          <w:i/>
          <w:sz w:val="14"/>
          <w:szCs w:val="14"/>
        </w:rPr>
        <w:t>un servicio que corresponde al Estado sustituyendo a éste en el cumplimiento de dicha carga; iii) La entidad</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estatal mantiene durante la ejecución del contrato la inspección, vigilancia y control de la labor a ejecutar por</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parte del concesionario; iv) el concesionario recibe una remuneración o contraprestación, la cual se pacta, de</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diversas maneras (tasas, tarifas, derechos, participación en la explotación del bien, entre otros); y que v) los</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bienes construidos o adecuados durante la concesión deben revertirse al Estado, aunque ello no se pacte</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expresamente</w:t>
      </w:r>
      <w:r w:rsidR="001555F1" w:rsidRPr="00171AD2">
        <w:rPr>
          <w:rFonts w:ascii="Verdana" w:hAnsi="Verdana" w:cs="Arial"/>
          <w:i/>
          <w:spacing w:val="-2"/>
          <w:sz w:val="14"/>
          <w:szCs w:val="14"/>
        </w:rPr>
        <w:t xml:space="preserve"> </w:t>
      </w:r>
      <w:r w:rsidR="001555F1" w:rsidRPr="00171AD2">
        <w:rPr>
          <w:rFonts w:ascii="Verdana" w:hAnsi="Verdana" w:cs="Arial"/>
          <w:i/>
          <w:sz w:val="14"/>
          <w:szCs w:val="14"/>
        </w:rPr>
        <w:t>en</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el</w:t>
      </w:r>
      <w:r w:rsidR="001555F1" w:rsidRPr="00171AD2">
        <w:rPr>
          <w:rFonts w:ascii="Verdana" w:hAnsi="Verdana" w:cs="Arial"/>
          <w:i/>
          <w:spacing w:val="-1"/>
          <w:sz w:val="14"/>
          <w:szCs w:val="14"/>
        </w:rPr>
        <w:t xml:space="preserve"> </w:t>
      </w:r>
      <w:r w:rsidR="001555F1" w:rsidRPr="00171AD2">
        <w:rPr>
          <w:rFonts w:ascii="Verdana" w:hAnsi="Verdana" w:cs="Arial"/>
          <w:i/>
          <w:sz w:val="14"/>
          <w:szCs w:val="14"/>
        </w:rPr>
        <w:t>contrato”.</w:t>
      </w:r>
    </w:p>
    <w:p w14:paraId="36B8CC8D" w14:textId="77777777" w:rsidR="00190DE5" w:rsidRPr="00171AD2" w:rsidRDefault="00190DE5" w:rsidP="00190DE5">
      <w:pPr>
        <w:pStyle w:val="Textonotapie"/>
        <w:ind w:firstLine="708"/>
        <w:rPr>
          <w:rFonts w:ascii="Verdana" w:hAnsi="Verdana"/>
          <w:sz w:val="14"/>
          <w:szCs w:val="14"/>
          <w:lang w:val="es-ES"/>
        </w:rPr>
      </w:pPr>
    </w:p>
  </w:footnote>
  <w:footnote w:id="21">
    <w:p w14:paraId="0B34636E" w14:textId="4F38BD0E" w:rsidR="00AF4898" w:rsidRPr="00C06298" w:rsidRDefault="00AF4898" w:rsidP="00AF4898">
      <w:pPr>
        <w:pStyle w:val="Textonotapie"/>
        <w:ind w:firstLine="708"/>
        <w:rPr>
          <w:lang w:val="es-CO"/>
        </w:rPr>
      </w:pPr>
      <w:r>
        <w:rPr>
          <w:rStyle w:val="Refdenotaalpie"/>
        </w:rPr>
        <w:footnoteRef/>
      </w:r>
      <w:r>
        <w:t xml:space="preserve"> </w:t>
      </w:r>
      <w:r w:rsidRPr="003351A6">
        <w:rPr>
          <w:rFonts w:ascii="Verdana" w:hAnsi="Verdana"/>
          <w:sz w:val="14"/>
          <w:szCs w:val="14"/>
        </w:rPr>
        <w:t>Cf</w:t>
      </w:r>
      <w:r>
        <w:rPr>
          <w:rFonts w:ascii="Verdana" w:hAnsi="Verdana"/>
          <w:sz w:val="14"/>
          <w:szCs w:val="14"/>
        </w:rPr>
        <w:t>r</w:t>
      </w:r>
      <w:r>
        <w:t xml:space="preserve">. </w:t>
      </w:r>
      <w:r w:rsidR="00D3549E" w:rsidRPr="00171AD2">
        <w:rPr>
          <w:rFonts w:ascii="Verdana" w:hAnsi="Verdana"/>
          <w:sz w:val="14"/>
          <w:szCs w:val="14"/>
        </w:rPr>
        <w:t>CONSEJO DE ESTADO</w:t>
      </w:r>
      <w:r w:rsidRPr="004A59A0">
        <w:rPr>
          <w:rFonts w:ascii="Verdana" w:hAnsi="Verdana"/>
          <w:sz w:val="14"/>
          <w:szCs w:val="14"/>
        </w:rPr>
        <w:t>, Sala de lo Contencioso Administrativo, Sección Tercera, Subsección A, Sentencia de 27</w:t>
      </w:r>
      <w:r w:rsidRPr="004A59A0">
        <w:rPr>
          <w:rFonts w:ascii="Verdana" w:hAnsi="Verdana"/>
          <w:spacing w:val="-47"/>
          <w:sz w:val="14"/>
          <w:szCs w:val="14"/>
        </w:rPr>
        <w:t xml:space="preserve"> </w:t>
      </w:r>
      <w:r w:rsidRPr="004A59A0">
        <w:rPr>
          <w:rFonts w:ascii="Verdana" w:hAnsi="Verdana"/>
          <w:sz w:val="14"/>
          <w:szCs w:val="14"/>
        </w:rPr>
        <w:t>de marzo de 2014, Exp. 26.939. Reiterada en Consejo de Estado, Sección Tercera, Subsección B, sentencia</w:t>
      </w:r>
      <w:r w:rsidRPr="004A59A0">
        <w:rPr>
          <w:rFonts w:ascii="Verdana" w:hAnsi="Verdana"/>
          <w:spacing w:val="1"/>
          <w:sz w:val="14"/>
          <w:szCs w:val="14"/>
        </w:rPr>
        <w:t xml:space="preserve"> </w:t>
      </w:r>
      <w:r w:rsidRPr="004A59A0">
        <w:rPr>
          <w:rFonts w:ascii="Verdana" w:hAnsi="Verdana"/>
          <w:sz w:val="14"/>
          <w:szCs w:val="14"/>
        </w:rPr>
        <w:t>del</w:t>
      </w:r>
      <w:r w:rsidRPr="004A59A0">
        <w:rPr>
          <w:rFonts w:ascii="Verdana" w:hAnsi="Verdana"/>
          <w:spacing w:val="-1"/>
          <w:sz w:val="14"/>
          <w:szCs w:val="14"/>
        </w:rPr>
        <w:t xml:space="preserve"> </w:t>
      </w:r>
      <w:r w:rsidRPr="004A59A0">
        <w:rPr>
          <w:rFonts w:ascii="Verdana" w:hAnsi="Verdana"/>
          <w:sz w:val="14"/>
          <w:szCs w:val="14"/>
        </w:rPr>
        <w:t>5</w:t>
      </w:r>
      <w:r w:rsidRPr="004A59A0">
        <w:rPr>
          <w:rFonts w:ascii="Verdana" w:hAnsi="Verdana"/>
          <w:spacing w:val="-2"/>
          <w:sz w:val="14"/>
          <w:szCs w:val="14"/>
        </w:rPr>
        <w:t xml:space="preserve"> </w:t>
      </w:r>
      <w:r w:rsidRPr="004A59A0">
        <w:rPr>
          <w:rFonts w:ascii="Verdana" w:hAnsi="Verdana"/>
          <w:sz w:val="14"/>
          <w:szCs w:val="14"/>
        </w:rPr>
        <w:t>de</w:t>
      </w:r>
      <w:r w:rsidRPr="004A59A0">
        <w:rPr>
          <w:rFonts w:ascii="Verdana" w:hAnsi="Verdana"/>
          <w:spacing w:val="-2"/>
          <w:sz w:val="14"/>
          <w:szCs w:val="14"/>
        </w:rPr>
        <w:t xml:space="preserve"> </w:t>
      </w:r>
      <w:r w:rsidRPr="004A59A0">
        <w:rPr>
          <w:rFonts w:ascii="Verdana" w:hAnsi="Verdana"/>
          <w:sz w:val="14"/>
          <w:szCs w:val="14"/>
        </w:rPr>
        <w:t>mayo de</w:t>
      </w:r>
      <w:r w:rsidRPr="004A59A0">
        <w:rPr>
          <w:rFonts w:ascii="Verdana" w:hAnsi="Verdana"/>
          <w:spacing w:val="-1"/>
          <w:sz w:val="14"/>
          <w:szCs w:val="14"/>
        </w:rPr>
        <w:t xml:space="preserve"> </w:t>
      </w:r>
      <w:r w:rsidRPr="004A59A0">
        <w:rPr>
          <w:rFonts w:ascii="Verdana" w:hAnsi="Verdana"/>
          <w:sz w:val="14"/>
          <w:szCs w:val="14"/>
        </w:rPr>
        <w:t>2020, C.P. Alberto</w:t>
      </w:r>
      <w:r w:rsidRPr="004A59A0">
        <w:rPr>
          <w:rFonts w:ascii="Verdana" w:hAnsi="Verdana"/>
          <w:spacing w:val="-2"/>
          <w:sz w:val="14"/>
          <w:szCs w:val="14"/>
        </w:rPr>
        <w:t xml:space="preserve"> </w:t>
      </w:r>
      <w:r w:rsidRPr="004A59A0">
        <w:rPr>
          <w:rFonts w:ascii="Verdana" w:hAnsi="Verdana"/>
          <w:sz w:val="14"/>
          <w:szCs w:val="14"/>
        </w:rPr>
        <w:t>Montaña</w:t>
      </w:r>
      <w:r w:rsidRPr="004A59A0">
        <w:rPr>
          <w:rFonts w:ascii="Verdana" w:hAnsi="Verdana"/>
          <w:spacing w:val="-1"/>
          <w:sz w:val="14"/>
          <w:szCs w:val="14"/>
        </w:rPr>
        <w:t xml:space="preserve"> </w:t>
      </w:r>
      <w:r w:rsidRPr="004A59A0">
        <w:rPr>
          <w:rFonts w:ascii="Verdana" w:hAnsi="Verdana"/>
          <w:sz w:val="14"/>
          <w:szCs w:val="14"/>
        </w:rPr>
        <w:t>Plata (Exp.</w:t>
      </w:r>
      <w:r w:rsidRPr="004A59A0">
        <w:rPr>
          <w:rFonts w:ascii="Verdana" w:hAnsi="Verdana"/>
          <w:spacing w:val="5"/>
          <w:sz w:val="14"/>
          <w:szCs w:val="14"/>
        </w:rPr>
        <w:t xml:space="preserve"> </w:t>
      </w:r>
      <w:r w:rsidRPr="004A59A0">
        <w:rPr>
          <w:rFonts w:ascii="Verdana" w:hAnsi="Verdana"/>
          <w:sz w:val="14"/>
          <w:szCs w:val="14"/>
        </w:rPr>
        <w:t>48.961).</w:t>
      </w:r>
      <w:r>
        <w:rPr>
          <w:rFonts w:ascii="Verdana" w:hAnsi="Verdana"/>
          <w:sz w:val="14"/>
          <w:szCs w:val="14"/>
        </w:rPr>
        <w:t xml:space="preserve"> </w:t>
      </w:r>
    </w:p>
  </w:footnote>
  <w:footnote w:id="22">
    <w:p w14:paraId="73D71833" w14:textId="77777777" w:rsidR="00AF4898" w:rsidRDefault="00AF4898" w:rsidP="00AF4898">
      <w:pPr>
        <w:pStyle w:val="Textonotapie"/>
        <w:ind w:firstLine="708"/>
      </w:pPr>
    </w:p>
    <w:p w14:paraId="1DC840EF" w14:textId="621280AC" w:rsidR="00AF4898" w:rsidRDefault="00AF4898" w:rsidP="00AF4898">
      <w:pPr>
        <w:pStyle w:val="Textonotapie"/>
        <w:ind w:firstLine="708"/>
      </w:pPr>
      <w:r>
        <w:rPr>
          <w:rStyle w:val="Refdenotaalpie"/>
        </w:rPr>
        <w:footnoteRef/>
      </w:r>
      <w:r>
        <w:t xml:space="preserve"> </w:t>
      </w:r>
      <w:r w:rsidR="00D3549E" w:rsidRPr="005739CC">
        <w:rPr>
          <w:rFonts w:ascii="Verdana" w:hAnsi="Verdana"/>
          <w:sz w:val="14"/>
          <w:szCs w:val="14"/>
        </w:rPr>
        <w:t xml:space="preserve">RODRÍGUEZ </w:t>
      </w:r>
      <w:r w:rsidR="00D3549E">
        <w:rPr>
          <w:rFonts w:ascii="Verdana" w:hAnsi="Verdana"/>
          <w:sz w:val="14"/>
          <w:szCs w:val="14"/>
        </w:rPr>
        <w:t>T</w:t>
      </w:r>
      <w:r w:rsidR="00D3549E" w:rsidRPr="005739CC">
        <w:rPr>
          <w:rFonts w:ascii="Verdana" w:hAnsi="Verdana"/>
          <w:sz w:val="14"/>
          <w:szCs w:val="14"/>
        </w:rPr>
        <w:t>AMAYO</w:t>
      </w:r>
      <w:r w:rsidRPr="005739CC">
        <w:rPr>
          <w:rFonts w:ascii="Verdana" w:hAnsi="Verdana"/>
          <w:sz w:val="14"/>
          <w:szCs w:val="14"/>
        </w:rPr>
        <w:t xml:space="preserve">. Mauricio Fernando. Los contratos estatales en Colombia. Tirant lo blanch. P. </w:t>
      </w:r>
      <w:r>
        <w:rPr>
          <w:rFonts w:ascii="Verdana" w:hAnsi="Verdana"/>
          <w:sz w:val="14"/>
          <w:szCs w:val="14"/>
        </w:rPr>
        <w:t>543-544</w:t>
      </w:r>
    </w:p>
    <w:p w14:paraId="266FD396" w14:textId="77777777" w:rsidR="00AF4898" w:rsidRPr="00213795" w:rsidRDefault="00AF4898" w:rsidP="00AF4898">
      <w:pPr>
        <w:pStyle w:val="Textonotapie"/>
        <w:ind w:firstLine="708"/>
        <w:rPr>
          <w:lang w:val="es-CO"/>
        </w:rPr>
      </w:pPr>
    </w:p>
  </w:footnote>
  <w:footnote w:id="23">
    <w:p w14:paraId="2B14F543" w14:textId="77777777" w:rsidR="00AF4898" w:rsidRDefault="00AF4898" w:rsidP="000F5371">
      <w:pPr>
        <w:pStyle w:val="Textonotapie"/>
        <w:ind w:firstLine="708"/>
        <w:jc w:val="both"/>
        <w:rPr>
          <w:rFonts w:ascii="Verdana" w:hAnsi="Verdana"/>
          <w:sz w:val="14"/>
          <w:szCs w:val="14"/>
        </w:rPr>
      </w:pPr>
      <w:r>
        <w:rPr>
          <w:rStyle w:val="Refdenotaalpie"/>
        </w:rPr>
        <w:footnoteRef/>
      </w:r>
      <w:r>
        <w:t xml:space="preserve"> </w:t>
      </w:r>
      <w:r w:rsidRPr="00CA3B7E">
        <w:rPr>
          <w:rFonts w:ascii="Verdana" w:hAnsi="Verdana"/>
          <w:sz w:val="14"/>
          <w:szCs w:val="14"/>
        </w:rPr>
        <w:t xml:space="preserve">Consultar I) </w:t>
      </w:r>
      <w:r w:rsidRPr="004A59A0">
        <w:rPr>
          <w:rFonts w:ascii="Verdana" w:hAnsi="Verdana"/>
          <w:sz w:val="14"/>
          <w:szCs w:val="14"/>
        </w:rPr>
        <w:t>Consejo de Estado, Sección Tercera, Subsección B, sentencia</w:t>
      </w:r>
      <w:r w:rsidRPr="004A59A0">
        <w:rPr>
          <w:rFonts w:ascii="Verdana" w:hAnsi="Verdana"/>
          <w:spacing w:val="1"/>
          <w:sz w:val="14"/>
          <w:szCs w:val="14"/>
        </w:rPr>
        <w:t xml:space="preserve"> </w:t>
      </w:r>
      <w:r w:rsidRPr="004A59A0">
        <w:rPr>
          <w:rFonts w:ascii="Verdana" w:hAnsi="Verdana"/>
          <w:sz w:val="14"/>
          <w:szCs w:val="14"/>
        </w:rPr>
        <w:t>del</w:t>
      </w:r>
      <w:r w:rsidRPr="004A59A0">
        <w:rPr>
          <w:rFonts w:ascii="Verdana" w:hAnsi="Verdana"/>
          <w:spacing w:val="-1"/>
          <w:sz w:val="14"/>
          <w:szCs w:val="14"/>
        </w:rPr>
        <w:t xml:space="preserve"> </w:t>
      </w:r>
      <w:r w:rsidRPr="004A59A0">
        <w:rPr>
          <w:rFonts w:ascii="Verdana" w:hAnsi="Verdana"/>
          <w:sz w:val="14"/>
          <w:szCs w:val="14"/>
        </w:rPr>
        <w:t>5</w:t>
      </w:r>
      <w:r w:rsidRPr="004A59A0">
        <w:rPr>
          <w:rFonts w:ascii="Verdana" w:hAnsi="Verdana"/>
          <w:spacing w:val="-2"/>
          <w:sz w:val="14"/>
          <w:szCs w:val="14"/>
        </w:rPr>
        <w:t xml:space="preserve"> </w:t>
      </w:r>
      <w:r w:rsidRPr="004A59A0">
        <w:rPr>
          <w:rFonts w:ascii="Verdana" w:hAnsi="Verdana"/>
          <w:sz w:val="14"/>
          <w:szCs w:val="14"/>
        </w:rPr>
        <w:t>de</w:t>
      </w:r>
      <w:r w:rsidRPr="004A59A0">
        <w:rPr>
          <w:rFonts w:ascii="Verdana" w:hAnsi="Verdana"/>
          <w:spacing w:val="-2"/>
          <w:sz w:val="14"/>
          <w:szCs w:val="14"/>
        </w:rPr>
        <w:t xml:space="preserve"> </w:t>
      </w:r>
      <w:r w:rsidRPr="004A59A0">
        <w:rPr>
          <w:rFonts w:ascii="Verdana" w:hAnsi="Verdana"/>
          <w:sz w:val="14"/>
          <w:szCs w:val="14"/>
        </w:rPr>
        <w:t>mayo de</w:t>
      </w:r>
      <w:r w:rsidRPr="004A59A0">
        <w:rPr>
          <w:rFonts w:ascii="Verdana" w:hAnsi="Verdana"/>
          <w:spacing w:val="-1"/>
          <w:sz w:val="14"/>
          <w:szCs w:val="14"/>
        </w:rPr>
        <w:t xml:space="preserve"> </w:t>
      </w:r>
      <w:r w:rsidRPr="004A59A0">
        <w:rPr>
          <w:rFonts w:ascii="Verdana" w:hAnsi="Verdana"/>
          <w:sz w:val="14"/>
          <w:szCs w:val="14"/>
        </w:rPr>
        <w:t>2020, C.P. Alberto</w:t>
      </w:r>
      <w:r w:rsidRPr="004A59A0">
        <w:rPr>
          <w:rFonts w:ascii="Verdana" w:hAnsi="Verdana"/>
          <w:spacing w:val="-2"/>
          <w:sz w:val="14"/>
          <w:szCs w:val="14"/>
        </w:rPr>
        <w:t xml:space="preserve"> </w:t>
      </w:r>
      <w:r w:rsidRPr="004A59A0">
        <w:rPr>
          <w:rFonts w:ascii="Verdana" w:hAnsi="Verdana"/>
          <w:sz w:val="14"/>
          <w:szCs w:val="14"/>
        </w:rPr>
        <w:t>Montaña</w:t>
      </w:r>
      <w:r w:rsidRPr="004A59A0">
        <w:rPr>
          <w:rFonts w:ascii="Verdana" w:hAnsi="Verdana"/>
          <w:spacing w:val="-1"/>
          <w:sz w:val="14"/>
          <w:szCs w:val="14"/>
        </w:rPr>
        <w:t xml:space="preserve"> </w:t>
      </w:r>
      <w:r w:rsidRPr="004A59A0">
        <w:rPr>
          <w:rFonts w:ascii="Verdana" w:hAnsi="Verdana"/>
          <w:sz w:val="14"/>
          <w:szCs w:val="14"/>
        </w:rPr>
        <w:t>Plata (Exp.</w:t>
      </w:r>
      <w:r w:rsidRPr="004A59A0">
        <w:rPr>
          <w:rFonts w:ascii="Verdana" w:hAnsi="Verdana"/>
          <w:spacing w:val="5"/>
          <w:sz w:val="14"/>
          <w:szCs w:val="14"/>
        </w:rPr>
        <w:t xml:space="preserve"> </w:t>
      </w:r>
      <w:r w:rsidRPr="004A59A0">
        <w:rPr>
          <w:rFonts w:ascii="Verdana" w:hAnsi="Verdana"/>
          <w:sz w:val="14"/>
          <w:szCs w:val="14"/>
        </w:rPr>
        <w:t>48.961).</w:t>
      </w:r>
      <w:r>
        <w:rPr>
          <w:rFonts w:ascii="Verdana" w:hAnsi="Verdana"/>
          <w:sz w:val="14"/>
          <w:szCs w:val="14"/>
        </w:rPr>
        <w:t xml:space="preserve"> II) </w:t>
      </w:r>
      <w:r w:rsidRPr="004A59A0">
        <w:rPr>
          <w:rFonts w:ascii="Verdana" w:hAnsi="Verdana"/>
          <w:sz w:val="14"/>
          <w:szCs w:val="14"/>
        </w:rPr>
        <w:t xml:space="preserve">Consejo de Estado, Sección Tercera, Subsección </w:t>
      </w:r>
      <w:r>
        <w:rPr>
          <w:rFonts w:ascii="Verdana" w:hAnsi="Verdana"/>
          <w:sz w:val="14"/>
          <w:szCs w:val="14"/>
        </w:rPr>
        <w:t>A</w:t>
      </w:r>
      <w:r w:rsidRPr="004A59A0">
        <w:rPr>
          <w:rFonts w:ascii="Verdana" w:hAnsi="Verdana"/>
          <w:sz w:val="14"/>
          <w:szCs w:val="14"/>
        </w:rPr>
        <w:t xml:space="preserve">, </w:t>
      </w:r>
      <w:r>
        <w:rPr>
          <w:rFonts w:ascii="Verdana" w:hAnsi="Verdana"/>
          <w:sz w:val="14"/>
          <w:szCs w:val="14"/>
        </w:rPr>
        <w:t>sentencia de 20 de noviembre de 2019</w:t>
      </w:r>
      <w:r w:rsidRPr="004A59A0">
        <w:rPr>
          <w:rFonts w:ascii="Verdana" w:hAnsi="Verdana"/>
          <w:sz w:val="14"/>
          <w:szCs w:val="14"/>
        </w:rPr>
        <w:t>, C.P.</w:t>
      </w:r>
      <w:r>
        <w:rPr>
          <w:rFonts w:ascii="Verdana" w:hAnsi="Verdana"/>
          <w:sz w:val="14"/>
          <w:szCs w:val="14"/>
        </w:rPr>
        <w:t xml:space="preserve"> María Adriana Marín</w:t>
      </w:r>
      <w:r w:rsidRPr="004A59A0">
        <w:rPr>
          <w:rFonts w:ascii="Verdana" w:hAnsi="Verdana"/>
          <w:sz w:val="14"/>
          <w:szCs w:val="14"/>
        </w:rPr>
        <w:t xml:space="preserve"> (Exp.</w:t>
      </w:r>
      <w:r w:rsidRPr="004A59A0">
        <w:rPr>
          <w:rFonts w:ascii="Verdana" w:hAnsi="Verdana"/>
          <w:spacing w:val="5"/>
          <w:sz w:val="14"/>
          <w:szCs w:val="14"/>
        </w:rPr>
        <w:t xml:space="preserve"> </w:t>
      </w:r>
      <w:r w:rsidRPr="004A59A0">
        <w:rPr>
          <w:rFonts w:ascii="Verdana" w:hAnsi="Verdana"/>
          <w:sz w:val="14"/>
          <w:szCs w:val="14"/>
        </w:rPr>
        <w:t>4</w:t>
      </w:r>
      <w:r>
        <w:rPr>
          <w:rFonts w:ascii="Verdana" w:hAnsi="Verdana"/>
          <w:sz w:val="14"/>
          <w:szCs w:val="14"/>
        </w:rPr>
        <w:t>1</w:t>
      </w:r>
      <w:r w:rsidRPr="004A59A0">
        <w:rPr>
          <w:rFonts w:ascii="Verdana" w:hAnsi="Verdana"/>
          <w:sz w:val="14"/>
          <w:szCs w:val="14"/>
        </w:rPr>
        <w:t>.</w:t>
      </w:r>
      <w:r>
        <w:rPr>
          <w:rFonts w:ascii="Verdana" w:hAnsi="Verdana"/>
          <w:sz w:val="14"/>
          <w:szCs w:val="14"/>
        </w:rPr>
        <w:t>934</w:t>
      </w:r>
      <w:r w:rsidRPr="004A59A0">
        <w:rPr>
          <w:rFonts w:ascii="Verdana" w:hAnsi="Verdana"/>
          <w:sz w:val="14"/>
          <w:szCs w:val="14"/>
        </w:rPr>
        <w:t>).</w:t>
      </w:r>
      <w:r>
        <w:rPr>
          <w:rFonts w:ascii="Verdana" w:hAnsi="Verdana"/>
          <w:sz w:val="14"/>
          <w:szCs w:val="14"/>
        </w:rPr>
        <w:t xml:space="preserve"> III) </w:t>
      </w:r>
      <w:r w:rsidRPr="004A59A0">
        <w:rPr>
          <w:rFonts w:ascii="Verdana" w:hAnsi="Verdana"/>
          <w:sz w:val="14"/>
          <w:szCs w:val="14"/>
        </w:rPr>
        <w:t xml:space="preserve">Consejo de Estado, Sección Tercera, Subsección </w:t>
      </w:r>
      <w:r>
        <w:rPr>
          <w:rFonts w:ascii="Verdana" w:hAnsi="Verdana"/>
          <w:sz w:val="14"/>
          <w:szCs w:val="14"/>
        </w:rPr>
        <w:t>A</w:t>
      </w:r>
      <w:r w:rsidRPr="004A59A0">
        <w:rPr>
          <w:rFonts w:ascii="Verdana" w:hAnsi="Verdana"/>
          <w:sz w:val="14"/>
          <w:szCs w:val="14"/>
        </w:rPr>
        <w:t xml:space="preserve">, </w:t>
      </w:r>
      <w:r>
        <w:rPr>
          <w:rFonts w:ascii="Verdana" w:hAnsi="Verdana"/>
          <w:sz w:val="14"/>
          <w:szCs w:val="14"/>
        </w:rPr>
        <w:t>sentencia de 16 de agosto de 2018</w:t>
      </w:r>
      <w:r w:rsidRPr="004A59A0">
        <w:rPr>
          <w:rFonts w:ascii="Verdana" w:hAnsi="Verdana"/>
          <w:sz w:val="14"/>
          <w:szCs w:val="14"/>
        </w:rPr>
        <w:t>, C.P.</w:t>
      </w:r>
      <w:r>
        <w:rPr>
          <w:rFonts w:ascii="Verdana" w:hAnsi="Verdana"/>
          <w:sz w:val="14"/>
          <w:szCs w:val="14"/>
        </w:rPr>
        <w:t xml:space="preserve"> María Adriana Marín</w:t>
      </w:r>
      <w:r w:rsidRPr="004A59A0">
        <w:rPr>
          <w:rFonts w:ascii="Verdana" w:hAnsi="Verdana"/>
          <w:sz w:val="14"/>
          <w:szCs w:val="14"/>
        </w:rPr>
        <w:t xml:space="preserve"> (Exp.</w:t>
      </w:r>
      <w:r w:rsidRPr="004A59A0">
        <w:rPr>
          <w:rFonts w:ascii="Verdana" w:hAnsi="Verdana"/>
          <w:spacing w:val="5"/>
          <w:sz w:val="14"/>
          <w:szCs w:val="14"/>
        </w:rPr>
        <w:t xml:space="preserve"> </w:t>
      </w:r>
      <w:r>
        <w:rPr>
          <w:rFonts w:ascii="Verdana" w:hAnsi="Verdana"/>
          <w:sz w:val="14"/>
          <w:szCs w:val="14"/>
        </w:rPr>
        <w:t>37.001).</w:t>
      </w:r>
    </w:p>
    <w:p w14:paraId="45C0F7E9" w14:textId="77777777" w:rsidR="00B07129" w:rsidRPr="00141418" w:rsidRDefault="00B07129" w:rsidP="00AF4898">
      <w:pPr>
        <w:pStyle w:val="Textonotapie"/>
        <w:ind w:firstLine="708"/>
        <w:rPr>
          <w:lang w:val="es-CO"/>
        </w:rPr>
      </w:pPr>
    </w:p>
  </w:footnote>
  <w:footnote w:id="24">
    <w:p w14:paraId="52564937" w14:textId="73D739C0" w:rsidR="00190DE5" w:rsidRPr="00F850F0" w:rsidRDefault="00190DE5" w:rsidP="00190DE5">
      <w:pPr>
        <w:pStyle w:val="Textonotapie"/>
        <w:ind w:firstLine="708"/>
        <w:rPr>
          <w:rFonts w:ascii="Verdana" w:hAnsi="Verdana"/>
          <w:sz w:val="14"/>
          <w:szCs w:val="14"/>
          <w:lang w:val="pt-BR"/>
        </w:rPr>
      </w:pPr>
      <w:r w:rsidRPr="00171AD2">
        <w:rPr>
          <w:rStyle w:val="Refdenotaalpie"/>
          <w:rFonts w:ascii="Verdana" w:hAnsi="Verdana"/>
          <w:sz w:val="14"/>
          <w:szCs w:val="14"/>
        </w:rPr>
        <w:footnoteRef/>
      </w:r>
      <w:r w:rsidRPr="00F850F0">
        <w:rPr>
          <w:rFonts w:ascii="Verdana" w:hAnsi="Verdana"/>
          <w:sz w:val="14"/>
          <w:szCs w:val="14"/>
          <w:lang w:val="pt-BR"/>
        </w:rPr>
        <w:t xml:space="preserve"> </w:t>
      </w:r>
      <w:r w:rsidR="00D3549E" w:rsidRPr="00F850F0">
        <w:rPr>
          <w:rFonts w:ascii="Verdana" w:hAnsi="Verdana" w:cs="Arial"/>
          <w:sz w:val="14"/>
          <w:szCs w:val="14"/>
          <w:lang w:val="pt-BR"/>
        </w:rPr>
        <w:t>CORTE</w:t>
      </w:r>
      <w:r w:rsidR="00D3549E" w:rsidRPr="00F850F0">
        <w:rPr>
          <w:rFonts w:ascii="Verdana" w:hAnsi="Verdana" w:cs="Arial"/>
          <w:spacing w:val="-6"/>
          <w:sz w:val="14"/>
          <w:szCs w:val="14"/>
          <w:lang w:val="pt-BR"/>
        </w:rPr>
        <w:t xml:space="preserve"> </w:t>
      </w:r>
      <w:r w:rsidR="00D3549E" w:rsidRPr="00F850F0">
        <w:rPr>
          <w:rFonts w:ascii="Verdana" w:hAnsi="Verdana" w:cs="Arial"/>
          <w:sz w:val="14"/>
          <w:szCs w:val="14"/>
          <w:lang w:val="pt-BR"/>
        </w:rPr>
        <w:t>CONSTITUCIONAL</w:t>
      </w:r>
      <w:r w:rsidRPr="00F850F0">
        <w:rPr>
          <w:rFonts w:ascii="Verdana" w:hAnsi="Verdana" w:cs="Arial"/>
          <w:sz w:val="14"/>
          <w:szCs w:val="14"/>
          <w:lang w:val="pt-BR"/>
        </w:rPr>
        <w:t>,</w:t>
      </w:r>
      <w:r w:rsidRPr="00F850F0">
        <w:rPr>
          <w:rFonts w:ascii="Verdana" w:hAnsi="Verdana" w:cs="Arial"/>
          <w:spacing w:val="-6"/>
          <w:sz w:val="14"/>
          <w:szCs w:val="14"/>
          <w:lang w:val="pt-BR"/>
        </w:rPr>
        <w:t xml:space="preserve"> </w:t>
      </w:r>
      <w:r w:rsidRPr="00F850F0">
        <w:rPr>
          <w:rFonts w:ascii="Verdana" w:hAnsi="Verdana" w:cs="Arial"/>
          <w:sz w:val="14"/>
          <w:szCs w:val="14"/>
          <w:lang w:val="pt-BR"/>
        </w:rPr>
        <w:t>Sentencia</w:t>
      </w:r>
      <w:r w:rsidRPr="00F850F0">
        <w:rPr>
          <w:rFonts w:ascii="Verdana" w:hAnsi="Verdana" w:cs="Arial"/>
          <w:spacing w:val="-5"/>
          <w:sz w:val="14"/>
          <w:szCs w:val="14"/>
          <w:lang w:val="pt-BR"/>
        </w:rPr>
        <w:t xml:space="preserve"> </w:t>
      </w:r>
      <w:r w:rsidRPr="00F850F0">
        <w:rPr>
          <w:rFonts w:ascii="Verdana" w:hAnsi="Verdana" w:cs="Arial"/>
          <w:sz w:val="14"/>
          <w:szCs w:val="14"/>
          <w:lang w:val="pt-BR"/>
        </w:rPr>
        <w:t>C-300</w:t>
      </w:r>
      <w:r w:rsidRPr="00F850F0">
        <w:rPr>
          <w:rFonts w:ascii="Verdana" w:hAnsi="Verdana" w:cs="Arial"/>
          <w:spacing w:val="-6"/>
          <w:sz w:val="14"/>
          <w:szCs w:val="14"/>
          <w:lang w:val="pt-BR"/>
        </w:rPr>
        <w:t xml:space="preserve"> </w:t>
      </w:r>
      <w:r w:rsidRPr="00F850F0">
        <w:rPr>
          <w:rFonts w:ascii="Verdana" w:hAnsi="Verdana" w:cs="Arial"/>
          <w:sz w:val="14"/>
          <w:szCs w:val="14"/>
          <w:lang w:val="pt-BR"/>
        </w:rPr>
        <w:t>de</w:t>
      </w:r>
      <w:r w:rsidRPr="00F850F0">
        <w:rPr>
          <w:rFonts w:ascii="Verdana" w:hAnsi="Verdana" w:cs="Arial"/>
          <w:spacing w:val="-6"/>
          <w:sz w:val="14"/>
          <w:szCs w:val="14"/>
          <w:lang w:val="pt-BR"/>
        </w:rPr>
        <w:t xml:space="preserve"> </w:t>
      </w:r>
      <w:r w:rsidRPr="00F850F0">
        <w:rPr>
          <w:rFonts w:ascii="Verdana" w:hAnsi="Verdana" w:cs="Arial"/>
          <w:sz w:val="14"/>
          <w:szCs w:val="14"/>
          <w:lang w:val="pt-BR"/>
        </w:rPr>
        <w:t>2012.</w:t>
      </w:r>
      <w:r w:rsidRPr="00F850F0">
        <w:rPr>
          <w:rFonts w:ascii="Verdana" w:hAnsi="Verdana" w:cs="Arial"/>
          <w:spacing w:val="-5"/>
          <w:sz w:val="14"/>
          <w:szCs w:val="14"/>
          <w:lang w:val="pt-BR"/>
        </w:rPr>
        <w:t xml:space="preserve"> </w:t>
      </w:r>
      <w:r w:rsidRPr="00F850F0">
        <w:rPr>
          <w:rFonts w:ascii="Verdana" w:hAnsi="Verdana" w:cs="Arial"/>
          <w:sz w:val="14"/>
          <w:szCs w:val="14"/>
          <w:lang w:val="pt-BR"/>
        </w:rPr>
        <w:t>Magistrado</w:t>
      </w:r>
      <w:r w:rsidRPr="00F850F0">
        <w:rPr>
          <w:rFonts w:ascii="Verdana" w:hAnsi="Verdana" w:cs="Arial"/>
          <w:spacing w:val="-6"/>
          <w:sz w:val="14"/>
          <w:szCs w:val="14"/>
          <w:lang w:val="pt-BR"/>
        </w:rPr>
        <w:t xml:space="preserve"> </w:t>
      </w:r>
      <w:r w:rsidRPr="00F850F0">
        <w:rPr>
          <w:rFonts w:ascii="Verdana" w:hAnsi="Verdana" w:cs="Arial"/>
          <w:sz w:val="14"/>
          <w:szCs w:val="14"/>
          <w:lang w:val="pt-BR"/>
        </w:rPr>
        <w:t>Ponente:</w:t>
      </w:r>
      <w:r w:rsidRPr="00F850F0">
        <w:rPr>
          <w:rFonts w:ascii="Verdana" w:hAnsi="Verdana" w:cs="Arial"/>
          <w:spacing w:val="-6"/>
          <w:sz w:val="14"/>
          <w:szCs w:val="14"/>
          <w:lang w:val="pt-BR"/>
        </w:rPr>
        <w:t xml:space="preserve"> </w:t>
      </w:r>
      <w:r w:rsidRPr="00F850F0">
        <w:rPr>
          <w:rFonts w:ascii="Verdana" w:hAnsi="Verdana" w:cs="Arial"/>
          <w:sz w:val="14"/>
          <w:szCs w:val="14"/>
          <w:lang w:val="pt-BR"/>
        </w:rPr>
        <w:t>Jorge</w:t>
      </w:r>
      <w:r w:rsidRPr="00F850F0">
        <w:rPr>
          <w:rFonts w:ascii="Verdana" w:hAnsi="Verdana" w:cs="Arial"/>
          <w:spacing w:val="-5"/>
          <w:sz w:val="14"/>
          <w:szCs w:val="14"/>
          <w:lang w:val="pt-BR"/>
        </w:rPr>
        <w:t xml:space="preserve"> </w:t>
      </w:r>
      <w:r w:rsidRPr="00F850F0">
        <w:rPr>
          <w:rFonts w:ascii="Verdana" w:hAnsi="Verdana" w:cs="Arial"/>
          <w:sz w:val="14"/>
          <w:szCs w:val="14"/>
          <w:lang w:val="pt-BR"/>
        </w:rPr>
        <w:t>Ignacio</w:t>
      </w:r>
      <w:r w:rsidRPr="00F850F0">
        <w:rPr>
          <w:rFonts w:ascii="Verdana" w:hAnsi="Verdana" w:cs="Arial"/>
          <w:spacing w:val="-6"/>
          <w:sz w:val="14"/>
          <w:szCs w:val="14"/>
          <w:lang w:val="pt-BR"/>
        </w:rPr>
        <w:t xml:space="preserve"> </w:t>
      </w:r>
      <w:r w:rsidRPr="00F850F0">
        <w:rPr>
          <w:rFonts w:ascii="Verdana" w:hAnsi="Verdana" w:cs="Arial"/>
          <w:sz w:val="14"/>
          <w:szCs w:val="14"/>
          <w:lang w:val="pt-BR"/>
        </w:rPr>
        <w:t>Pretelt</w:t>
      </w:r>
      <w:r w:rsidRPr="00F850F0">
        <w:rPr>
          <w:rFonts w:ascii="Verdana" w:hAnsi="Verdana" w:cs="Arial"/>
          <w:spacing w:val="-6"/>
          <w:sz w:val="14"/>
          <w:szCs w:val="14"/>
          <w:lang w:val="pt-BR"/>
        </w:rPr>
        <w:t xml:space="preserve"> </w:t>
      </w:r>
      <w:r w:rsidRPr="00F850F0">
        <w:rPr>
          <w:rFonts w:ascii="Verdana" w:hAnsi="Verdana" w:cs="Arial"/>
          <w:sz w:val="14"/>
          <w:szCs w:val="14"/>
          <w:lang w:val="pt-BR"/>
        </w:rPr>
        <w:t>Chaljub.</w:t>
      </w:r>
    </w:p>
  </w:footnote>
  <w:footnote w:id="25">
    <w:p w14:paraId="19C457E9" w14:textId="0E4CBB90" w:rsidR="003D3AD7" w:rsidRPr="003D3AD7" w:rsidRDefault="003D3AD7" w:rsidP="003D3AD7">
      <w:pPr>
        <w:pStyle w:val="Textonotapie"/>
        <w:ind w:firstLine="708"/>
        <w:rPr>
          <w:lang w:val="es-CO"/>
        </w:rPr>
      </w:pPr>
      <w:r>
        <w:rPr>
          <w:rStyle w:val="Refdenotaalpie"/>
        </w:rPr>
        <w:footnoteRef/>
      </w:r>
      <w:r>
        <w:t xml:space="preserve"> </w:t>
      </w:r>
      <w:r w:rsidRPr="003D3AD7">
        <w:rPr>
          <w:rFonts w:ascii="Verdana" w:hAnsi="Verdana"/>
          <w:sz w:val="14"/>
          <w:szCs w:val="14"/>
        </w:rPr>
        <w:t>Cfr</w:t>
      </w:r>
      <w:r>
        <w:t xml:space="preserve">. </w:t>
      </w:r>
      <w:r w:rsidR="00D3549E" w:rsidRPr="005739CC">
        <w:rPr>
          <w:rFonts w:ascii="Verdana" w:hAnsi="Verdana"/>
          <w:sz w:val="14"/>
          <w:szCs w:val="14"/>
        </w:rPr>
        <w:t xml:space="preserve">RODRÍGUEZ </w:t>
      </w:r>
      <w:r w:rsidR="00D3549E">
        <w:rPr>
          <w:rFonts w:ascii="Verdana" w:hAnsi="Verdana"/>
          <w:sz w:val="14"/>
          <w:szCs w:val="14"/>
        </w:rPr>
        <w:t>T</w:t>
      </w:r>
      <w:r w:rsidR="00D3549E" w:rsidRPr="005739CC">
        <w:rPr>
          <w:rFonts w:ascii="Verdana" w:hAnsi="Verdana"/>
          <w:sz w:val="14"/>
          <w:szCs w:val="14"/>
        </w:rPr>
        <w:t>AMAYO</w:t>
      </w:r>
      <w:r w:rsidRPr="005739CC">
        <w:rPr>
          <w:rFonts w:ascii="Verdana" w:hAnsi="Verdana"/>
          <w:sz w:val="14"/>
          <w:szCs w:val="14"/>
        </w:rPr>
        <w:t>. Mauricio Fernando. Los contratos estatales en Colombia. Tirant lo blanch</w:t>
      </w:r>
      <w:r w:rsidR="00D3549E">
        <w:rPr>
          <w:rFonts w:ascii="Verdana" w:hAnsi="Verdana"/>
          <w:sz w:val="14"/>
          <w:szCs w:val="14"/>
        </w:rPr>
        <w:t>.</w:t>
      </w:r>
    </w:p>
  </w:footnote>
  <w:footnote w:id="26">
    <w:p w14:paraId="1D696DC4" w14:textId="77777777" w:rsidR="00793FAD" w:rsidRDefault="00793FAD" w:rsidP="00793FAD">
      <w:pPr>
        <w:pStyle w:val="Textonotapie"/>
        <w:ind w:firstLine="708"/>
      </w:pPr>
    </w:p>
    <w:p w14:paraId="15A613F1" w14:textId="7370C9CD" w:rsidR="00793FAD" w:rsidRPr="00793FAD" w:rsidRDefault="00793FAD" w:rsidP="00793FAD">
      <w:pPr>
        <w:pStyle w:val="Textonotapie"/>
        <w:ind w:firstLine="708"/>
        <w:rPr>
          <w:lang w:val="es-ES"/>
        </w:rPr>
      </w:pPr>
      <w:r>
        <w:rPr>
          <w:rStyle w:val="Refdenotaalpie"/>
        </w:rPr>
        <w:footnoteRef/>
      </w:r>
      <w:r>
        <w:t xml:space="preserve"> </w:t>
      </w:r>
      <w:r w:rsidR="00D3549E" w:rsidRPr="00171AD2">
        <w:rPr>
          <w:rFonts w:ascii="Verdana" w:hAnsi="Verdana"/>
          <w:sz w:val="14"/>
          <w:szCs w:val="14"/>
        </w:rPr>
        <w:t>CONSEJO DE ESTADO</w:t>
      </w:r>
      <w:r w:rsidRPr="00171AD2">
        <w:rPr>
          <w:rFonts w:ascii="Verdana" w:hAnsi="Verdana" w:cs="Arial"/>
          <w:sz w:val="14"/>
          <w:szCs w:val="14"/>
        </w:rPr>
        <w:t>, Sección Tercer</w:t>
      </w:r>
      <w:r>
        <w:rPr>
          <w:rFonts w:ascii="Verdana" w:hAnsi="Verdana" w:cs="Arial"/>
          <w:sz w:val="14"/>
          <w:szCs w:val="14"/>
        </w:rPr>
        <w:t>, Subsección A</w:t>
      </w:r>
      <w:r w:rsidRPr="00171AD2">
        <w:rPr>
          <w:rFonts w:ascii="Verdana" w:hAnsi="Verdana" w:cs="Arial"/>
          <w:sz w:val="14"/>
          <w:szCs w:val="14"/>
        </w:rPr>
        <w:t xml:space="preserve"> en Sentencia del </w:t>
      </w:r>
      <w:r w:rsidR="00A02C09">
        <w:rPr>
          <w:rFonts w:ascii="Verdana" w:hAnsi="Verdana" w:cs="Arial"/>
          <w:sz w:val="14"/>
          <w:szCs w:val="14"/>
        </w:rPr>
        <w:t>1</w:t>
      </w:r>
      <w:r w:rsidR="00A02C09" w:rsidRPr="00A02C09">
        <w:rPr>
          <w:rFonts w:ascii="Verdana" w:hAnsi="Verdana" w:cs="Arial"/>
          <w:sz w:val="14"/>
          <w:szCs w:val="14"/>
        </w:rPr>
        <w:t xml:space="preserve">8 de marzo de 2024 </w:t>
      </w:r>
      <w:r w:rsidRPr="00171AD2">
        <w:rPr>
          <w:rFonts w:ascii="Verdana" w:hAnsi="Verdana" w:cs="Arial"/>
          <w:sz w:val="14"/>
          <w:szCs w:val="14"/>
        </w:rPr>
        <w:t>con consejero</w:t>
      </w:r>
      <w:r w:rsidRPr="00171AD2">
        <w:rPr>
          <w:rFonts w:ascii="Verdana" w:hAnsi="Verdana" w:cs="Arial"/>
          <w:spacing w:val="1"/>
          <w:sz w:val="14"/>
          <w:szCs w:val="14"/>
        </w:rPr>
        <w:t xml:space="preserve"> </w:t>
      </w:r>
      <w:r w:rsidRPr="00171AD2">
        <w:rPr>
          <w:rFonts w:ascii="Verdana" w:hAnsi="Verdana" w:cs="Arial"/>
          <w:sz w:val="14"/>
          <w:szCs w:val="14"/>
        </w:rPr>
        <w:t>ponente:</w:t>
      </w:r>
      <w:r w:rsidRPr="00171AD2">
        <w:rPr>
          <w:rFonts w:ascii="Verdana" w:hAnsi="Verdana" w:cs="Arial"/>
          <w:spacing w:val="1"/>
          <w:sz w:val="14"/>
          <w:szCs w:val="14"/>
        </w:rPr>
        <w:t xml:space="preserve"> </w:t>
      </w:r>
      <w:r w:rsidR="00A02C09" w:rsidRPr="00A02C09">
        <w:rPr>
          <w:rFonts w:ascii="Verdana" w:hAnsi="Verdana" w:cs="Arial"/>
          <w:sz w:val="14"/>
          <w:szCs w:val="14"/>
        </w:rPr>
        <w:t>José Roberto Sáchica Méndez</w:t>
      </w:r>
      <w:r w:rsidRPr="00171AD2">
        <w:rPr>
          <w:rFonts w:ascii="Verdana" w:hAnsi="Verdana" w:cs="Arial"/>
          <w:sz w:val="14"/>
          <w:szCs w:val="14"/>
        </w:rPr>
        <w:t>.</w:t>
      </w:r>
      <w:r w:rsidRPr="00171AD2">
        <w:rPr>
          <w:rFonts w:ascii="Verdana" w:hAnsi="Verdana" w:cs="Arial"/>
          <w:spacing w:val="1"/>
          <w:sz w:val="14"/>
          <w:szCs w:val="14"/>
        </w:rPr>
        <w:t xml:space="preserve"> </w:t>
      </w:r>
      <w:r w:rsidRPr="00171AD2">
        <w:rPr>
          <w:rFonts w:ascii="Verdana" w:hAnsi="Verdana" w:cs="Arial"/>
          <w:sz w:val="14"/>
          <w:szCs w:val="14"/>
        </w:rPr>
        <w:t>Exp.</w:t>
      </w:r>
      <w:r w:rsidRPr="00171AD2">
        <w:rPr>
          <w:rFonts w:ascii="Verdana" w:hAnsi="Verdana" w:cs="Arial"/>
          <w:spacing w:val="1"/>
          <w:sz w:val="14"/>
          <w:szCs w:val="14"/>
        </w:rPr>
        <w:t xml:space="preserve"> </w:t>
      </w:r>
      <w:r w:rsidR="00A02C09">
        <w:rPr>
          <w:rFonts w:ascii="Verdana" w:hAnsi="Verdana" w:cs="Arial"/>
          <w:spacing w:val="1"/>
          <w:sz w:val="14"/>
          <w:szCs w:val="14"/>
        </w:rPr>
        <w:t>62.508.</w:t>
      </w:r>
    </w:p>
  </w:footnote>
  <w:footnote w:id="27">
    <w:p w14:paraId="12FA20D7" w14:textId="77777777" w:rsidR="007A5DAA" w:rsidRPr="00171AD2" w:rsidRDefault="007A5DAA" w:rsidP="007A5DAA">
      <w:pPr>
        <w:pStyle w:val="Textonotapie"/>
        <w:ind w:firstLine="708"/>
        <w:jc w:val="both"/>
        <w:rPr>
          <w:rFonts w:ascii="Verdana" w:hAnsi="Verdana" w:cs="Arial"/>
          <w:sz w:val="14"/>
          <w:szCs w:val="14"/>
          <w:lang w:val="es-CO"/>
        </w:rPr>
      </w:pPr>
      <w:r w:rsidRPr="00171AD2">
        <w:rPr>
          <w:rStyle w:val="Refdenotaalpie"/>
          <w:rFonts w:ascii="Verdana" w:hAnsi="Verdana" w:cs="Arial"/>
          <w:sz w:val="14"/>
          <w:szCs w:val="14"/>
        </w:rPr>
        <w:footnoteRef/>
      </w:r>
      <w:r w:rsidRPr="00171AD2">
        <w:rPr>
          <w:rFonts w:ascii="Verdana" w:hAnsi="Verdana" w:cs="Arial"/>
          <w:sz w:val="14"/>
          <w:szCs w:val="14"/>
        </w:rPr>
        <w:t xml:space="preserve"> </w:t>
      </w:r>
      <w:r w:rsidRPr="00171AD2">
        <w:rPr>
          <w:rFonts w:ascii="Verdana" w:hAnsi="Verdana" w:cs="Arial"/>
          <w:color w:val="000000" w:themeColor="text1"/>
          <w:sz w:val="14"/>
          <w:szCs w:val="14"/>
        </w:rPr>
        <w:t>El artículo 40 de la Ley 80 de 1993 dispone que los contratos no podrán adicionarse en más del 50% de su valor inicial, expresado en SMLMV.</w:t>
      </w:r>
    </w:p>
    <w:p w14:paraId="20CAA270" w14:textId="77777777" w:rsidR="007A5DAA" w:rsidRPr="00171AD2" w:rsidRDefault="007A5DAA" w:rsidP="007A5DAA">
      <w:pPr>
        <w:pStyle w:val="Textonotapie"/>
        <w:ind w:firstLine="708"/>
        <w:jc w:val="both"/>
        <w:rPr>
          <w:rFonts w:ascii="Verdana" w:hAnsi="Verdana" w:cs="Arial"/>
          <w:sz w:val="14"/>
          <w:szCs w:val="14"/>
          <w:lang w:val="es-CO"/>
        </w:rPr>
      </w:pPr>
    </w:p>
  </w:footnote>
  <w:footnote w:id="28">
    <w:p w14:paraId="18C65D5C" w14:textId="77777777" w:rsidR="007A5DAA" w:rsidRPr="00171AD2" w:rsidRDefault="007A5DAA" w:rsidP="007A5DAA">
      <w:pPr>
        <w:pStyle w:val="Textonotapie"/>
        <w:ind w:firstLine="708"/>
        <w:jc w:val="both"/>
        <w:rPr>
          <w:rFonts w:ascii="Verdana" w:hAnsi="Verdana" w:cs="Arial"/>
          <w:color w:val="000000" w:themeColor="text1"/>
          <w:sz w:val="14"/>
          <w:szCs w:val="14"/>
        </w:rPr>
      </w:pPr>
      <w:r w:rsidRPr="00171AD2">
        <w:rPr>
          <w:rStyle w:val="Refdenotaalpie"/>
          <w:rFonts w:ascii="Verdana" w:hAnsi="Verdana" w:cs="Arial"/>
          <w:sz w:val="14"/>
          <w:szCs w:val="14"/>
        </w:rPr>
        <w:footnoteRef/>
      </w:r>
      <w:r w:rsidRPr="00171AD2">
        <w:rPr>
          <w:rFonts w:ascii="Verdana" w:hAnsi="Verdana" w:cs="Arial"/>
          <w:sz w:val="14"/>
          <w:szCs w:val="14"/>
        </w:rPr>
        <w:t xml:space="preserve"> </w:t>
      </w:r>
      <w:r w:rsidRPr="00171AD2">
        <w:rPr>
          <w:rFonts w:ascii="Verdana" w:hAnsi="Verdana" w:cs="Arial"/>
          <w:color w:val="000000" w:themeColor="text1"/>
          <w:sz w:val="14"/>
          <w:szCs w:val="14"/>
        </w:rPr>
        <w:t>Sobre la naturaleza instrumental del contrato para alcanzar los fines propios del estado social de derecho, ver la sentencia C-932 de 2007, M.P. Marco Gerardo Monroy Cabra.</w:t>
      </w:r>
    </w:p>
    <w:p w14:paraId="0CF84E85" w14:textId="77777777" w:rsidR="007A5DAA" w:rsidRPr="00171AD2" w:rsidRDefault="007A5DAA" w:rsidP="007A5DAA">
      <w:pPr>
        <w:pStyle w:val="Textonotapie"/>
        <w:ind w:firstLine="708"/>
        <w:jc w:val="both"/>
        <w:rPr>
          <w:rFonts w:ascii="Verdana" w:hAnsi="Verdana" w:cs="Arial"/>
          <w:sz w:val="14"/>
          <w:szCs w:val="14"/>
        </w:rPr>
      </w:pPr>
    </w:p>
  </w:footnote>
  <w:footnote w:id="29">
    <w:p w14:paraId="2CE8EB5B" w14:textId="77777777" w:rsidR="007A5DAA" w:rsidRPr="00171AD2" w:rsidRDefault="007A5DAA" w:rsidP="007A5DAA">
      <w:pPr>
        <w:pStyle w:val="Textonotapie"/>
        <w:ind w:firstLine="708"/>
        <w:jc w:val="both"/>
        <w:rPr>
          <w:rFonts w:ascii="Verdana" w:hAnsi="Verdana" w:cs="Arial"/>
          <w:sz w:val="14"/>
          <w:szCs w:val="14"/>
        </w:rPr>
      </w:pPr>
      <w:r w:rsidRPr="00171AD2">
        <w:rPr>
          <w:rStyle w:val="Refdenotaalpie"/>
          <w:rFonts w:ascii="Verdana" w:hAnsi="Verdana" w:cs="Arial"/>
          <w:sz w:val="14"/>
          <w:szCs w:val="14"/>
        </w:rPr>
        <w:footnoteRef/>
      </w:r>
      <w:r w:rsidRPr="00171AD2">
        <w:rPr>
          <w:rFonts w:ascii="Verdana" w:hAnsi="Verdana" w:cs="Arial"/>
          <w:sz w:val="14"/>
          <w:szCs w:val="14"/>
        </w:rPr>
        <w:t xml:space="preserve"> M.P. Clara Inés Vargas Hernández.</w:t>
      </w:r>
    </w:p>
    <w:p w14:paraId="7E99CDE2" w14:textId="77777777" w:rsidR="007A5DAA" w:rsidRPr="00171AD2" w:rsidRDefault="007A5DAA" w:rsidP="007A5DAA">
      <w:pPr>
        <w:pStyle w:val="Textonotapie"/>
        <w:ind w:firstLine="708"/>
        <w:jc w:val="both"/>
        <w:rPr>
          <w:rFonts w:ascii="Verdana" w:hAnsi="Verdana" w:cs="Arial"/>
          <w:sz w:val="14"/>
          <w:szCs w:val="14"/>
        </w:rPr>
      </w:pPr>
    </w:p>
  </w:footnote>
  <w:footnote w:id="30">
    <w:p w14:paraId="6D7C5068" w14:textId="0C7113DB" w:rsidR="007A5DAA" w:rsidRDefault="007A5DAA" w:rsidP="007A5DAA">
      <w:pPr>
        <w:pStyle w:val="Textonotapie"/>
        <w:ind w:firstLine="708"/>
        <w:jc w:val="both"/>
        <w:rPr>
          <w:rFonts w:ascii="Verdana" w:hAnsi="Verdana" w:cs="Arial"/>
          <w:color w:val="000000" w:themeColor="text1"/>
          <w:sz w:val="14"/>
          <w:szCs w:val="14"/>
        </w:rPr>
      </w:pPr>
      <w:r w:rsidRPr="00171AD2">
        <w:rPr>
          <w:rStyle w:val="Refdenotaalpie"/>
          <w:rFonts w:ascii="Verdana" w:hAnsi="Verdana" w:cs="Arial"/>
          <w:sz w:val="14"/>
          <w:szCs w:val="14"/>
        </w:rPr>
        <w:footnoteRef/>
      </w:r>
      <w:r w:rsidRPr="00171AD2">
        <w:rPr>
          <w:rFonts w:ascii="Verdana" w:hAnsi="Verdana" w:cs="Arial"/>
          <w:sz w:val="14"/>
          <w:szCs w:val="14"/>
        </w:rPr>
        <w:t xml:space="preserve"> </w:t>
      </w:r>
      <w:r w:rsidRPr="00171AD2">
        <w:rPr>
          <w:rFonts w:ascii="Verdana" w:hAnsi="Verdana" w:cs="Arial"/>
          <w:color w:val="000000" w:themeColor="text1"/>
          <w:sz w:val="14"/>
          <w:szCs w:val="14"/>
        </w:rPr>
        <w:t>Ver también la sentencia C-068 de 2009, M.P. Mauricio González Cuervo, sobre la constitucional de la posibilidad de prorrogar los contratos de concesión portuaria (artículo 8º de la ley 1º de 1991).</w:t>
      </w:r>
    </w:p>
    <w:p w14:paraId="69137FF7" w14:textId="77777777" w:rsidR="007A5DAA" w:rsidRPr="00171AD2" w:rsidRDefault="007A5DAA" w:rsidP="007A5DAA">
      <w:pPr>
        <w:pStyle w:val="Textonotapie"/>
        <w:ind w:firstLine="708"/>
        <w:jc w:val="both"/>
        <w:rPr>
          <w:rFonts w:ascii="Verdana" w:hAnsi="Verdana" w:cs="Arial"/>
          <w:sz w:val="14"/>
          <w:szCs w:val="14"/>
        </w:rPr>
      </w:pPr>
    </w:p>
  </w:footnote>
  <w:footnote w:id="31">
    <w:p w14:paraId="5525A8FB" w14:textId="77777777" w:rsidR="007A5DAA" w:rsidRPr="00171AD2" w:rsidRDefault="007A5DAA" w:rsidP="007A5DAA">
      <w:pPr>
        <w:pStyle w:val="Textonotapie"/>
        <w:ind w:firstLine="708"/>
        <w:jc w:val="both"/>
        <w:rPr>
          <w:rFonts w:ascii="Verdana" w:hAnsi="Verdana" w:cs="Arial"/>
          <w:sz w:val="14"/>
          <w:szCs w:val="14"/>
        </w:rPr>
      </w:pPr>
      <w:r w:rsidRPr="00171AD2">
        <w:rPr>
          <w:rStyle w:val="Refdenotaalpie"/>
          <w:rFonts w:ascii="Verdana" w:hAnsi="Verdana" w:cs="Arial"/>
          <w:sz w:val="14"/>
          <w:szCs w:val="14"/>
        </w:rPr>
        <w:footnoteRef/>
      </w:r>
      <w:r w:rsidRPr="00171AD2">
        <w:rPr>
          <w:rFonts w:ascii="Verdana" w:hAnsi="Verdana" w:cs="Arial"/>
          <w:sz w:val="14"/>
          <w:szCs w:val="14"/>
        </w:rPr>
        <w:t xml:space="preserve"> </w:t>
      </w:r>
      <w:r w:rsidRPr="00171AD2">
        <w:rPr>
          <w:rFonts w:ascii="Verdana" w:hAnsi="Verdana" w:cs="Arial"/>
          <w:color w:val="000000" w:themeColor="text1"/>
          <w:sz w:val="14"/>
          <w:szCs w:val="14"/>
        </w:rPr>
        <w:t>Cfr. Consejo de Estado, Sala de Consulta y Servicio Civil, concepto del 13 de agosto de 2009, rad. 1.952, C.P. Enrique José Arboleda Perdomo. En este concepto la Sala de Consulta se ocupó, entre otras preguntas, de la siguiente formulada por el Ministerio de Transporte: “1.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32">
    <w:p w14:paraId="22AAFC91" w14:textId="77777777" w:rsidR="004B69CD" w:rsidRDefault="004B69CD" w:rsidP="004B69CD">
      <w:pPr>
        <w:pStyle w:val="Textonotapie"/>
        <w:ind w:firstLine="708"/>
      </w:pPr>
    </w:p>
    <w:p w14:paraId="54B2D614" w14:textId="6E13DD80" w:rsidR="004B69CD" w:rsidRDefault="004B69CD" w:rsidP="004B69CD">
      <w:pPr>
        <w:pStyle w:val="Textonotapie"/>
        <w:ind w:firstLine="708"/>
        <w:rPr>
          <w:rFonts w:ascii="Verdana" w:hAnsi="Verdana"/>
          <w:sz w:val="14"/>
          <w:szCs w:val="14"/>
        </w:rPr>
      </w:pPr>
      <w:r>
        <w:rPr>
          <w:rStyle w:val="Refdenotaalpie"/>
        </w:rPr>
        <w:footnoteRef/>
      </w:r>
      <w:r>
        <w:t xml:space="preserve"> </w:t>
      </w:r>
      <w:r w:rsidR="00335D5A" w:rsidRPr="00335D5A">
        <w:rPr>
          <w:rFonts w:ascii="Verdana" w:hAnsi="Verdana"/>
          <w:sz w:val="14"/>
          <w:szCs w:val="14"/>
        </w:rPr>
        <w:t>Cfr</w:t>
      </w:r>
      <w:r w:rsidR="00335D5A">
        <w:t xml:space="preserve">. </w:t>
      </w:r>
      <w:r w:rsidR="00335D5A" w:rsidRPr="005739CC">
        <w:rPr>
          <w:rFonts w:ascii="Verdana" w:hAnsi="Verdana"/>
          <w:sz w:val="14"/>
          <w:szCs w:val="14"/>
        </w:rPr>
        <w:t xml:space="preserve">RODRÍGUEZ </w:t>
      </w:r>
      <w:r w:rsidR="00335D5A">
        <w:rPr>
          <w:rFonts w:ascii="Verdana" w:hAnsi="Verdana"/>
          <w:sz w:val="14"/>
          <w:szCs w:val="14"/>
        </w:rPr>
        <w:t>T</w:t>
      </w:r>
      <w:r w:rsidR="00335D5A" w:rsidRPr="005739CC">
        <w:rPr>
          <w:rFonts w:ascii="Verdana" w:hAnsi="Verdana"/>
          <w:sz w:val="14"/>
          <w:szCs w:val="14"/>
        </w:rPr>
        <w:t>AMAYO</w:t>
      </w:r>
      <w:r w:rsidRPr="005739CC">
        <w:rPr>
          <w:rFonts w:ascii="Verdana" w:hAnsi="Verdana"/>
          <w:sz w:val="14"/>
          <w:szCs w:val="14"/>
        </w:rPr>
        <w:t>. Mauricio Fernando. Los contratos estatales en Colombia. Tirant lo blanch. P</w:t>
      </w:r>
    </w:p>
    <w:p w14:paraId="1C12714B" w14:textId="77777777" w:rsidR="00335D5A" w:rsidRPr="004B69CD" w:rsidRDefault="00335D5A" w:rsidP="004B69CD">
      <w:pPr>
        <w:pStyle w:val="Textonotapie"/>
        <w:ind w:firstLine="7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BA07FAA"/>
    <w:multiLevelType w:val="hybridMultilevel"/>
    <w:tmpl w:val="F620C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F7626"/>
    <w:multiLevelType w:val="hybridMultilevel"/>
    <w:tmpl w:val="B4BAC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C07AAF"/>
    <w:multiLevelType w:val="hybridMultilevel"/>
    <w:tmpl w:val="DCFC369E"/>
    <w:lvl w:ilvl="0" w:tplc="080A0001">
      <w:start w:val="1"/>
      <w:numFmt w:val="bullet"/>
      <w:lvlText w:val=""/>
      <w:lvlJc w:val="left"/>
      <w:pPr>
        <w:ind w:left="433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302002249">
    <w:abstractNumId w:val="7"/>
  </w:num>
  <w:num w:numId="2" w16cid:durableId="136994460">
    <w:abstractNumId w:val="2"/>
  </w:num>
  <w:num w:numId="3" w16cid:durableId="475221237">
    <w:abstractNumId w:val="5"/>
  </w:num>
  <w:num w:numId="4" w16cid:durableId="844783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623517">
    <w:abstractNumId w:val="2"/>
  </w:num>
  <w:num w:numId="6" w16cid:durableId="1884782100">
    <w:abstractNumId w:val="14"/>
  </w:num>
  <w:num w:numId="7" w16cid:durableId="1152020146">
    <w:abstractNumId w:val="6"/>
  </w:num>
  <w:num w:numId="8" w16cid:durableId="603266002">
    <w:abstractNumId w:val="13"/>
  </w:num>
  <w:num w:numId="9" w16cid:durableId="431701543">
    <w:abstractNumId w:val="8"/>
  </w:num>
  <w:num w:numId="10" w16cid:durableId="142357457">
    <w:abstractNumId w:val="12"/>
  </w:num>
  <w:num w:numId="11" w16cid:durableId="1595283634">
    <w:abstractNumId w:val="9"/>
  </w:num>
  <w:num w:numId="12" w16cid:durableId="253783159">
    <w:abstractNumId w:val="1"/>
  </w:num>
  <w:num w:numId="13" w16cid:durableId="2066827751">
    <w:abstractNumId w:val="4"/>
  </w:num>
  <w:num w:numId="14" w16cid:durableId="2145803619">
    <w:abstractNumId w:val="15"/>
  </w:num>
  <w:num w:numId="15" w16cid:durableId="1571235559">
    <w:abstractNumId w:val="11"/>
  </w:num>
  <w:num w:numId="16" w16cid:durableId="137523514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234862">
    <w:abstractNumId w:val="10"/>
  </w:num>
  <w:num w:numId="18" w16cid:durableId="1638681342">
    <w:abstractNumId w:val="0"/>
  </w:num>
  <w:num w:numId="19" w16cid:durableId="127432340">
    <w:abstractNumId w:val="17"/>
  </w:num>
  <w:num w:numId="20" w16cid:durableId="1497188368">
    <w:abstractNumId w:val="3"/>
  </w:num>
  <w:num w:numId="21" w16cid:durableId="111947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529"/>
    <w:rsid w:val="00005AAD"/>
    <w:rsid w:val="000063A3"/>
    <w:rsid w:val="000123A0"/>
    <w:rsid w:val="00016B6D"/>
    <w:rsid w:val="00017104"/>
    <w:rsid w:val="00021FF9"/>
    <w:rsid w:val="00023F37"/>
    <w:rsid w:val="0005010E"/>
    <w:rsid w:val="000521D1"/>
    <w:rsid w:val="00054DA9"/>
    <w:rsid w:val="00057968"/>
    <w:rsid w:val="00061B2A"/>
    <w:rsid w:val="00063A60"/>
    <w:rsid w:val="00063AA8"/>
    <w:rsid w:val="000765B5"/>
    <w:rsid w:val="00082362"/>
    <w:rsid w:val="00086321"/>
    <w:rsid w:val="00092271"/>
    <w:rsid w:val="00096990"/>
    <w:rsid w:val="000A08C7"/>
    <w:rsid w:val="000A37B2"/>
    <w:rsid w:val="000A683E"/>
    <w:rsid w:val="000A7EDE"/>
    <w:rsid w:val="000B1921"/>
    <w:rsid w:val="000B19B9"/>
    <w:rsid w:val="000B4307"/>
    <w:rsid w:val="000C1274"/>
    <w:rsid w:val="000C7F76"/>
    <w:rsid w:val="000D0334"/>
    <w:rsid w:val="000D4AFD"/>
    <w:rsid w:val="000D5B12"/>
    <w:rsid w:val="000D72FA"/>
    <w:rsid w:val="000E1105"/>
    <w:rsid w:val="000E3E19"/>
    <w:rsid w:val="000E4763"/>
    <w:rsid w:val="000E6214"/>
    <w:rsid w:val="000F2A07"/>
    <w:rsid w:val="000F40C4"/>
    <w:rsid w:val="000F5078"/>
    <w:rsid w:val="000F5371"/>
    <w:rsid w:val="000F6486"/>
    <w:rsid w:val="00103D66"/>
    <w:rsid w:val="001042E2"/>
    <w:rsid w:val="00113ED3"/>
    <w:rsid w:val="001154A7"/>
    <w:rsid w:val="0012357E"/>
    <w:rsid w:val="00125105"/>
    <w:rsid w:val="00127233"/>
    <w:rsid w:val="00127E29"/>
    <w:rsid w:val="00130685"/>
    <w:rsid w:val="0013501F"/>
    <w:rsid w:val="001372D9"/>
    <w:rsid w:val="00141418"/>
    <w:rsid w:val="001428DE"/>
    <w:rsid w:val="0014503A"/>
    <w:rsid w:val="00145585"/>
    <w:rsid w:val="001463A0"/>
    <w:rsid w:val="001512D8"/>
    <w:rsid w:val="001555F1"/>
    <w:rsid w:val="0016194B"/>
    <w:rsid w:val="00167643"/>
    <w:rsid w:val="00170B69"/>
    <w:rsid w:val="00171AD2"/>
    <w:rsid w:val="00172834"/>
    <w:rsid w:val="00174A2E"/>
    <w:rsid w:val="00175C54"/>
    <w:rsid w:val="001847F0"/>
    <w:rsid w:val="00186BC0"/>
    <w:rsid w:val="00186EED"/>
    <w:rsid w:val="00190C73"/>
    <w:rsid w:val="00190DE5"/>
    <w:rsid w:val="00196EC6"/>
    <w:rsid w:val="001A5BCA"/>
    <w:rsid w:val="001B35F3"/>
    <w:rsid w:val="001B3A25"/>
    <w:rsid w:val="001B3C07"/>
    <w:rsid w:val="001B402D"/>
    <w:rsid w:val="001D793F"/>
    <w:rsid w:val="001E4177"/>
    <w:rsid w:val="001E4CE9"/>
    <w:rsid w:val="001E6577"/>
    <w:rsid w:val="001F1F36"/>
    <w:rsid w:val="001F4803"/>
    <w:rsid w:val="001F738C"/>
    <w:rsid w:val="001F7DC6"/>
    <w:rsid w:val="00204802"/>
    <w:rsid w:val="00205566"/>
    <w:rsid w:val="00210A18"/>
    <w:rsid w:val="00210C99"/>
    <w:rsid w:val="00211079"/>
    <w:rsid w:val="00211487"/>
    <w:rsid w:val="0021247F"/>
    <w:rsid w:val="00213795"/>
    <w:rsid w:val="00230FA0"/>
    <w:rsid w:val="00234910"/>
    <w:rsid w:val="0024042A"/>
    <w:rsid w:val="002421BB"/>
    <w:rsid w:val="002444DD"/>
    <w:rsid w:val="00245C6A"/>
    <w:rsid w:val="0025796E"/>
    <w:rsid w:val="002612B8"/>
    <w:rsid w:val="00265492"/>
    <w:rsid w:val="00266A80"/>
    <w:rsid w:val="002707A2"/>
    <w:rsid w:val="0027571A"/>
    <w:rsid w:val="00275D85"/>
    <w:rsid w:val="00282BAD"/>
    <w:rsid w:val="00285C7C"/>
    <w:rsid w:val="00286907"/>
    <w:rsid w:val="002951A0"/>
    <w:rsid w:val="00295EBD"/>
    <w:rsid w:val="002962BC"/>
    <w:rsid w:val="002A093D"/>
    <w:rsid w:val="002A0DD0"/>
    <w:rsid w:val="002A1D67"/>
    <w:rsid w:val="002A25B2"/>
    <w:rsid w:val="002A49AC"/>
    <w:rsid w:val="002A64FD"/>
    <w:rsid w:val="002B20D6"/>
    <w:rsid w:val="002B39C6"/>
    <w:rsid w:val="002B7FDD"/>
    <w:rsid w:val="002C1F4A"/>
    <w:rsid w:val="002C74E2"/>
    <w:rsid w:val="002C7A84"/>
    <w:rsid w:val="002D1A91"/>
    <w:rsid w:val="002D22F6"/>
    <w:rsid w:val="002D4A37"/>
    <w:rsid w:val="002D55CC"/>
    <w:rsid w:val="002E0F41"/>
    <w:rsid w:val="002E15C5"/>
    <w:rsid w:val="002E4FD9"/>
    <w:rsid w:val="002E727B"/>
    <w:rsid w:val="002F075E"/>
    <w:rsid w:val="002F0ED6"/>
    <w:rsid w:val="002F534B"/>
    <w:rsid w:val="00313C71"/>
    <w:rsid w:val="003229EE"/>
    <w:rsid w:val="00322A85"/>
    <w:rsid w:val="00324168"/>
    <w:rsid w:val="00333086"/>
    <w:rsid w:val="003351A6"/>
    <w:rsid w:val="00335D5A"/>
    <w:rsid w:val="00336874"/>
    <w:rsid w:val="00341354"/>
    <w:rsid w:val="003448F4"/>
    <w:rsid w:val="00346BC2"/>
    <w:rsid w:val="003647BB"/>
    <w:rsid w:val="00374F5E"/>
    <w:rsid w:val="003778F9"/>
    <w:rsid w:val="00377E3E"/>
    <w:rsid w:val="00380CE7"/>
    <w:rsid w:val="00382770"/>
    <w:rsid w:val="0038329E"/>
    <w:rsid w:val="00386CE2"/>
    <w:rsid w:val="003875F4"/>
    <w:rsid w:val="003A26D1"/>
    <w:rsid w:val="003A36EE"/>
    <w:rsid w:val="003A779E"/>
    <w:rsid w:val="003B1FAF"/>
    <w:rsid w:val="003B5B49"/>
    <w:rsid w:val="003B5DF6"/>
    <w:rsid w:val="003B7EC9"/>
    <w:rsid w:val="003C048E"/>
    <w:rsid w:val="003C32E3"/>
    <w:rsid w:val="003C57C5"/>
    <w:rsid w:val="003D0F4D"/>
    <w:rsid w:val="003D1E9B"/>
    <w:rsid w:val="003D3AD7"/>
    <w:rsid w:val="003D5B0D"/>
    <w:rsid w:val="003D5E9C"/>
    <w:rsid w:val="003D74E4"/>
    <w:rsid w:val="003E0499"/>
    <w:rsid w:val="003E103E"/>
    <w:rsid w:val="003E3EBC"/>
    <w:rsid w:val="003E4B14"/>
    <w:rsid w:val="003E4D66"/>
    <w:rsid w:val="003F0CAA"/>
    <w:rsid w:val="003F3941"/>
    <w:rsid w:val="003F430F"/>
    <w:rsid w:val="003F6C73"/>
    <w:rsid w:val="00400D44"/>
    <w:rsid w:val="00401F93"/>
    <w:rsid w:val="00406575"/>
    <w:rsid w:val="004102EE"/>
    <w:rsid w:val="00412111"/>
    <w:rsid w:val="00421327"/>
    <w:rsid w:val="00421B33"/>
    <w:rsid w:val="0042722E"/>
    <w:rsid w:val="00430071"/>
    <w:rsid w:val="00437D77"/>
    <w:rsid w:val="0044255E"/>
    <w:rsid w:val="0044528D"/>
    <w:rsid w:val="00447176"/>
    <w:rsid w:val="00447B26"/>
    <w:rsid w:val="00452EB1"/>
    <w:rsid w:val="0045494A"/>
    <w:rsid w:val="004567A7"/>
    <w:rsid w:val="0046772A"/>
    <w:rsid w:val="004730B9"/>
    <w:rsid w:val="00477EF6"/>
    <w:rsid w:val="0048526A"/>
    <w:rsid w:val="00494295"/>
    <w:rsid w:val="00496D3B"/>
    <w:rsid w:val="004A1847"/>
    <w:rsid w:val="004A305D"/>
    <w:rsid w:val="004A59A0"/>
    <w:rsid w:val="004B69C8"/>
    <w:rsid w:val="004B69CD"/>
    <w:rsid w:val="004C33D3"/>
    <w:rsid w:val="004D1871"/>
    <w:rsid w:val="004E32CF"/>
    <w:rsid w:val="004F21C4"/>
    <w:rsid w:val="004F685F"/>
    <w:rsid w:val="004F7C26"/>
    <w:rsid w:val="00503996"/>
    <w:rsid w:val="005122A8"/>
    <w:rsid w:val="005177BD"/>
    <w:rsid w:val="005204A9"/>
    <w:rsid w:val="00521DC7"/>
    <w:rsid w:val="00522830"/>
    <w:rsid w:val="00525DA8"/>
    <w:rsid w:val="00534C86"/>
    <w:rsid w:val="00535E77"/>
    <w:rsid w:val="0054571F"/>
    <w:rsid w:val="005469E8"/>
    <w:rsid w:val="0054740D"/>
    <w:rsid w:val="00556227"/>
    <w:rsid w:val="005566E8"/>
    <w:rsid w:val="005646A1"/>
    <w:rsid w:val="005739CC"/>
    <w:rsid w:val="00574867"/>
    <w:rsid w:val="0057600F"/>
    <w:rsid w:val="00591460"/>
    <w:rsid w:val="00591F6B"/>
    <w:rsid w:val="00592628"/>
    <w:rsid w:val="00593851"/>
    <w:rsid w:val="00593979"/>
    <w:rsid w:val="00594B80"/>
    <w:rsid w:val="005961BE"/>
    <w:rsid w:val="00596AF9"/>
    <w:rsid w:val="005A3D54"/>
    <w:rsid w:val="005B0E51"/>
    <w:rsid w:val="005B3D15"/>
    <w:rsid w:val="005B5ED0"/>
    <w:rsid w:val="005B7838"/>
    <w:rsid w:val="005C344B"/>
    <w:rsid w:val="005C3777"/>
    <w:rsid w:val="005C5CDC"/>
    <w:rsid w:val="005D3A98"/>
    <w:rsid w:val="005D476C"/>
    <w:rsid w:val="0060226D"/>
    <w:rsid w:val="006063D9"/>
    <w:rsid w:val="00610812"/>
    <w:rsid w:val="0061403F"/>
    <w:rsid w:val="00614DA6"/>
    <w:rsid w:val="00620836"/>
    <w:rsid w:val="0062187C"/>
    <w:rsid w:val="006219F8"/>
    <w:rsid w:val="00622E07"/>
    <w:rsid w:val="00625A78"/>
    <w:rsid w:val="00625D78"/>
    <w:rsid w:val="006264D0"/>
    <w:rsid w:val="00632F51"/>
    <w:rsid w:val="00633117"/>
    <w:rsid w:val="006368C7"/>
    <w:rsid w:val="006426DF"/>
    <w:rsid w:val="00645E96"/>
    <w:rsid w:val="00650FF7"/>
    <w:rsid w:val="006576DD"/>
    <w:rsid w:val="00665D70"/>
    <w:rsid w:val="00667761"/>
    <w:rsid w:val="006706ED"/>
    <w:rsid w:val="00671DAC"/>
    <w:rsid w:val="006749B4"/>
    <w:rsid w:val="00676166"/>
    <w:rsid w:val="006900D9"/>
    <w:rsid w:val="00691B70"/>
    <w:rsid w:val="00694BEB"/>
    <w:rsid w:val="00694CE6"/>
    <w:rsid w:val="006A1812"/>
    <w:rsid w:val="006A336B"/>
    <w:rsid w:val="006A5498"/>
    <w:rsid w:val="006B0D09"/>
    <w:rsid w:val="006B13E5"/>
    <w:rsid w:val="006B6E20"/>
    <w:rsid w:val="006C2AD8"/>
    <w:rsid w:val="006C50F4"/>
    <w:rsid w:val="006D098D"/>
    <w:rsid w:val="006D12F8"/>
    <w:rsid w:val="006E2C02"/>
    <w:rsid w:val="006E32DF"/>
    <w:rsid w:val="00702112"/>
    <w:rsid w:val="00706C16"/>
    <w:rsid w:val="007073A0"/>
    <w:rsid w:val="00712FB5"/>
    <w:rsid w:val="00715E38"/>
    <w:rsid w:val="00720A2E"/>
    <w:rsid w:val="007217ED"/>
    <w:rsid w:val="007234BF"/>
    <w:rsid w:val="007377BB"/>
    <w:rsid w:val="0074005D"/>
    <w:rsid w:val="00754035"/>
    <w:rsid w:val="00754CAD"/>
    <w:rsid w:val="00756841"/>
    <w:rsid w:val="00763374"/>
    <w:rsid w:val="007649AB"/>
    <w:rsid w:val="0077177D"/>
    <w:rsid w:val="00771D0C"/>
    <w:rsid w:val="007732F5"/>
    <w:rsid w:val="00773D06"/>
    <w:rsid w:val="007833AC"/>
    <w:rsid w:val="007871AD"/>
    <w:rsid w:val="0079239D"/>
    <w:rsid w:val="00793FAD"/>
    <w:rsid w:val="007A3EE0"/>
    <w:rsid w:val="007A5B0C"/>
    <w:rsid w:val="007A5DAA"/>
    <w:rsid w:val="007B0B51"/>
    <w:rsid w:val="007B268C"/>
    <w:rsid w:val="007B7171"/>
    <w:rsid w:val="007C0C0F"/>
    <w:rsid w:val="007C2322"/>
    <w:rsid w:val="007C3DC2"/>
    <w:rsid w:val="007D4503"/>
    <w:rsid w:val="007D5FE6"/>
    <w:rsid w:val="007E1462"/>
    <w:rsid w:val="007E3C25"/>
    <w:rsid w:val="007E5497"/>
    <w:rsid w:val="007F6795"/>
    <w:rsid w:val="007F78B8"/>
    <w:rsid w:val="007F791D"/>
    <w:rsid w:val="00803F0A"/>
    <w:rsid w:val="00806203"/>
    <w:rsid w:val="008063BC"/>
    <w:rsid w:val="00806F5F"/>
    <w:rsid w:val="00812959"/>
    <w:rsid w:val="00820278"/>
    <w:rsid w:val="00833D95"/>
    <w:rsid w:val="008363A7"/>
    <w:rsid w:val="00843989"/>
    <w:rsid w:val="008442C5"/>
    <w:rsid w:val="0084562B"/>
    <w:rsid w:val="00847694"/>
    <w:rsid w:val="0085585C"/>
    <w:rsid w:val="008663B1"/>
    <w:rsid w:val="00867B1E"/>
    <w:rsid w:val="00883E4B"/>
    <w:rsid w:val="008843B6"/>
    <w:rsid w:val="0088503C"/>
    <w:rsid w:val="00887DB9"/>
    <w:rsid w:val="00891928"/>
    <w:rsid w:val="0089627E"/>
    <w:rsid w:val="008A2FAC"/>
    <w:rsid w:val="008A446D"/>
    <w:rsid w:val="008A6E7D"/>
    <w:rsid w:val="008B05E7"/>
    <w:rsid w:val="008B0975"/>
    <w:rsid w:val="008B1650"/>
    <w:rsid w:val="008B21EA"/>
    <w:rsid w:val="008B391B"/>
    <w:rsid w:val="008C691F"/>
    <w:rsid w:val="008D180B"/>
    <w:rsid w:val="008D1F0E"/>
    <w:rsid w:val="008D6100"/>
    <w:rsid w:val="008E4EC0"/>
    <w:rsid w:val="008F0EA7"/>
    <w:rsid w:val="00900909"/>
    <w:rsid w:val="00905319"/>
    <w:rsid w:val="00906181"/>
    <w:rsid w:val="00910A46"/>
    <w:rsid w:val="00923EEF"/>
    <w:rsid w:val="00924B13"/>
    <w:rsid w:val="009270A7"/>
    <w:rsid w:val="009347ED"/>
    <w:rsid w:val="009364DB"/>
    <w:rsid w:val="0093705D"/>
    <w:rsid w:val="009370D1"/>
    <w:rsid w:val="00937FBA"/>
    <w:rsid w:val="009419F9"/>
    <w:rsid w:val="00941E2D"/>
    <w:rsid w:val="00944164"/>
    <w:rsid w:val="00946B97"/>
    <w:rsid w:val="00951B53"/>
    <w:rsid w:val="0095685E"/>
    <w:rsid w:val="0095760D"/>
    <w:rsid w:val="009606AB"/>
    <w:rsid w:val="0096141B"/>
    <w:rsid w:val="00961B09"/>
    <w:rsid w:val="00965334"/>
    <w:rsid w:val="00965FD0"/>
    <w:rsid w:val="00966994"/>
    <w:rsid w:val="0097093E"/>
    <w:rsid w:val="009738F8"/>
    <w:rsid w:val="0097772D"/>
    <w:rsid w:val="00983967"/>
    <w:rsid w:val="00990A50"/>
    <w:rsid w:val="009952DA"/>
    <w:rsid w:val="009A0DFA"/>
    <w:rsid w:val="009B2D26"/>
    <w:rsid w:val="009B3005"/>
    <w:rsid w:val="009B3790"/>
    <w:rsid w:val="009B5927"/>
    <w:rsid w:val="009C514B"/>
    <w:rsid w:val="009C71FA"/>
    <w:rsid w:val="009C72E7"/>
    <w:rsid w:val="009C7826"/>
    <w:rsid w:val="009D1ECA"/>
    <w:rsid w:val="009D2DAE"/>
    <w:rsid w:val="009D3058"/>
    <w:rsid w:val="009D3F69"/>
    <w:rsid w:val="009E02A4"/>
    <w:rsid w:val="009E5F9B"/>
    <w:rsid w:val="009F3A13"/>
    <w:rsid w:val="009F4B1E"/>
    <w:rsid w:val="009F5D1B"/>
    <w:rsid w:val="009F681D"/>
    <w:rsid w:val="00A02C09"/>
    <w:rsid w:val="00A05127"/>
    <w:rsid w:val="00A075C2"/>
    <w:rsid w:val="00A122D3"/>
    <w:rsid w:val="00A17F13"/>
    <w:rsid w:val="00A20739"/>
    <w:rsid w:val="00A22519"/>
    <w:rsid w:val="00A33A87"/>
    <w:rsid w:val="00A33C78"/>
    <w:rsid w:val="00A3697C"/>
    <w:rsid w:val="00A4063E"/>
    <w:rsid w:val="00A40E09"/>
    <w:rsid w:val="00A44592"/>
    <w:rsid w:val="00A44FEF"/>
    <w:rsid w:val="00A468B8"/>
    <w:rsid w:val="00A477C3"/>
    <w:rsid w:val="00A523DC"/>
    <w:rsid w:val="00A5327C"/>
    <w:rsid w:val="00A61755"/>
    <w:rsid w:val="00A6331C"/>
    <w:rsid w:val="00A70DC7"/>
    <w:rsid w:val="00A722CB"/>
    <w:rsid w:val="00A72ED7"/>
    <w:rsid w:val="00A765F5"/>
    <w:rsid w:val="00A77024"/>
    <w:rsid w:val="00A814C6"/>
    <w:rsid w:val="00A81A42"/>
    <w:rsid w:val="00A85FFD"/>
    <w:rsid w:val="00A8676A"/>
    <w:rsid w:val="00A91F17"/>
    <w:rsid w:val="00AA0D32"/>
    <w:rsid w:val="00AA7672"/>
    <w:rsid w:val="00AB0656"/>
    <w:rsid w:val="00AB0ADB"/>
    <w:rsid w:val="00AC519D"/>
    <w:rsid w:val="00AC7B97"/>
    <w:rsid w:val="00AD150D"/>
    <w:rsid w:val="00AD1552"/>
    <w:rsid w:val="00AD6E5F"/>
    <w:rsid w:val="00AE03DE"/>
    <w:rsid w:val="00AE2934"/>
    <w:rsid w:val="00AE6076"/>
    <w:rsid w:val="00AF2D1F"/>
    <w:rsid w:val="00AF4898"/>
    <w:rsid w:val="00AF4EAB"/>
    <w:rsid w:val="00B01B1A"/>
    <w:rsid w:val="00B07129"/>
    <w:rsid w:val="00B07D52"/>
    <w:rsid w:val="00B103F6"/>
    <w:rsid w:val="00B1272D"/>
    <w:rsid w:val="00B15E6E"/>
    <w:rsid w:val="00B234B0"/>
    <w:rsid w:val="00B242D6"/>
    <w:rsid w:val="00B259FF"/>
    <w:rsid w:val="00B3122C"/>
    <w:rsid w:val="00B31A12"/>
    <w:rsid w:val="00B324F3"/>
    <w:rsid w:val="00B32699"/>
    <w:rsid w:val="00B34A3B"/>
    <w:rsid w:val="00B51578"/>
    <w:rsid w:val="00B52B5B"/>
    <w:rsid w:val="00B559A7"/>
    <w:rsid w:val="00B57AB2"/>
    <w:rsid w:val="00B62AFC"/>
    <w:rsid w:val="00B71CCF"/>
    <w:rsid w:val="00B72CD3"/>
    <w:rsid w:val="00B72FFF"/>
    <w:rsid w:val="00B80567"/>
    <w:rsid w:val="00B8319B"/>
    <w:rsid w:val="00B842FD"/>
    <w:rsid w:val="00B96680"/>
    <w:rsid w:val="00B97888"/>
    <w:rsid w:val="00BA0AF3"/>
    <w:rsid w:val="00BA339E"/>
    <w:rsid w:val="00BB1750"/>
    <w:rsid w:val="00BB3F91"/>
    <w:rsid w:val="00BB48C9"/>
    <w:rsid w:val="00BC3D36"/>
    <w:rsid w:val="00BC51D6"/>
    <w:rsid w:val="00BD7F72"/>
    <w:rsid w:val="00BE06FF"/>
    <w:rsid w:val="00BE146B"/>
    <w:rsid w:val="00BE19B9"/>
    <w:rsid w:val="00BE26D2"/>
    <w:rsid w:val="00BE2EE4"/>
    <w:rsid w:val="00C01FAE"/>
    <w:rsid w:val="00C04FB3"/>
    <w:rsid w:val="00C0621E"/>
    <w:rsid w:val="00C06298"/>
    <w:rsid w:val="00C074B1"/>
    <w:rsid w:val="00C130F5"/>
    <w:rsid w:val="00C26DC2"/>
    <w:rsid w:val="00C31AD6"/>
    <w:rsid w:val="00C3234D"/>
    <w:rsid w:val="00C330EB"/>
    <w:rsid w:val="00C348FB"/>
    <w:rsid w:val="00C37B17"/>
    <w:rsid w:val="00C40354"/>
    <w:rsid w:val="00C417C7"/>
    <w:rsid w:val="00C456AB"/>
    <w:rsid w:val="00C5296D"/>
    <w:rsid w:val="00C60A5B"/>
    <w:rsid w:val="00C60EBB"/>
    <w:rsid w:val="00C61BA6"/>
    <w:rsid w:val="00C61C0E"/>
    <w:rsid w:val="00C72CCE"/>
    <w:rsid w:val="00C754BE"/>
    <w:rsid w:val="00C76B1C"/>
    <w:rsid w:val="00C77D17"/>
    <w:rsid w:val="00C83D4D"/>
    <w:rsid w:val="00C911EA"/>
    <w:rsid w:val="00C93D8C"/>
    <w:rsid w:val="00CA088F"/>
    <w:rsid w:val="00CA0E1B"/>
    <w:rsid w:val="00CA1955"/>
    <w:rsid w:val="00CA3B7E"/>
    <w:rsid w:val="00CA665F"/>
    <w:rsid w:val="00CB42A1"/>
    <w:rsid w:val="00CB5C98"/>
    <w:rsid w:val="00CB6357"/>
    <w:rsid w:val="00CC11B0"/>
    <w:rsid w:val="00CC1B26"/>
    <w:rsid w:val="00CC7832"/>
    <w:rsid w:val="00CD00CA"/>
    <w:rsid w:val="00CD48DA"/>
    <w:rsid w:val="00CD4B86"/>
    <w:rsid w:val="00CD52C2"/>
    <w:rsid w:val="00CE0F92"/>
    <w:rsid w:val="00CE4AE2"/>
    <w:rsid w:val="00CE7191"/>
    <w:rsid w:val="00CF1776"/>
    <w:rsid w:val="00CF78D1"/>
    <w:rsid w:val="00D002D8"/>
    <w:rsid w:val="00D05C15"/>
    <w:rsid w:val="00D1279D"/>
    <w:rsid w:val="00D236B8"/>
    <w:rsid w:val="00D26D94"/>
    <w:rsid w:val="00D3549E"/>
    <w:rsid w:val="00D3690E"/>
    <w:rsid w:val="00D374DF"/>
    <w:rsid w:val="00D423A2"/>
    <w:rsid w:val="00D42C6A"/>
    <w:rsid w:val="00D4711E"/>
    <w:rsid w:val="00D520D8"/>
    <w:rsid w:val="00D541E8"/>
    <w:rsid w:val="00D63AC2"/>
    <w:rsid w:val="00D70608"/>
    <w:rsid w:val="00D70ECD"/>
    <w:rsid w:val="00D7383B"/>
    <w:rsid w:val="00D76CB7"/>
    <w:rsid w:val="00D81E5B"/>
    <w:rsid w:val="00D85898"/>
    <w:rsid w:val="00D866C5"/>
    <w:rsid w:val="00D914A7"/>
    <w:rsid w:val="00D92590"/>
    <w:rsid w:val="00DA1741"/>
    <w:rsid w:val="00DA231B"/>
    <w:rsid w:val="00DA23A0"/>
    <w:rsid w:val="00DA3B46"/>
    <w:rsid w:val="00DA79A9"/>
    <w:rsid w:val="00DB4C03"/>
    <w:rsid w:val="00DC2FE2"/>
    <w:rsid w:val="00DC36D7"/>
    <w:rsid w:val="00DC39FC"/>
    <w:rsid w:val="00DC5ED8"/>
    <w:rsid w:val="00DC60F0"/>
    <w:rsid w:val="00DD06BE"/>
    <w:rsid w:val="00DE125F"/>
    <w:rsid w:val="00DE1426"/>
    <w:rsid w:val="00DE3F03"/>
    <w:rsid w:val="00DF070C"/>
    <w:rsid w:val="00DF435B"/>
    <w:rsid w:val="00DF5254"/>
    <w:rsid w:val="00E049EA"/>
    <w:rsid w:val="00E0632F"/>
    <w:rsid w:val="00E1344A"/>
    <w:rsid w:val="00E16408"/>
    <w:rsid w:val="00E20894"/>
    <w:rsid w:val="00E245AB"/>
    <w:rsid w:val="00E258F5"/>
    <w:rsid w:val="00E2764C"/>
    <w:rsid w:val="00E27F2E"/>
    <w:rsid w:val="00E379A6"/>
    <w:rsid w:val="00E40F23"/>
    <w:rsid w:val="00E413EA"/>
    <w:rsid w:val="00E44727"/>
    <w:rsid w:val="00E47EA9"/>
    <w:rsid w:val="00E50AFE"/>
    <w:rsid w:val="00E50B2D"/>
    <w:rsid w:val="00E51F04"/>
    <w:rsid w:val="00E529FD"/>
    <w:rsid w:val="00E55877"/>
    <w:rsid w:val="00E562E7"/>
    <w:rsid w:val="00E61A24"/>
    <w:rsid w:val="00E6734D"/>
    <w:rsid w:val="00E75C92"/>
    <w:rsid w:val="00E763A9"/>
    <w:rsid w:val="00E771DC"/>
    <w:rsid w:val="00E8772A"/>
    <w:rsid w:val="00E90F6B"/>
    <w:rsid w:val="00E91941"/>
    <w:rsid w:val="00E92606"/>
    <w:rsid w:val="00E92C27"/>
    <w:rsid w:val="00E9421C"/>
    <w:rsid w:val="00EA0E3D"/>
    <w:rsid w:val="00EA5E7E"/>
    <w:rsid w:val="00EA7FD2"/>
    <w:rsid w:val="00EC1664"/>
    <w:rsid w:val="00EC2EA8"/>
    <w:rsid w:val="00EC38A7"/>
    <w:rsid w:val="00EC74E3"/>
    <w:rsid w:val="00ED2096"/>
    <w:rsid w:val="00ED2888"/>
    <w:rsid w:val="00ED2F02"/>
    <w:rsid w:val="00EE0A60"/>
    <w:rsid w:val="00EE1AA8"/>
    <w:rsid w:val="00EE33C5"/>
    <w:rsid w:val="00EE6F01"/>
    <w:rsid w:val="00EE6F04"/>
    <w:rsid w:val="00EF7FFB"/>
    <w:rsid w:val="00F033F8"/>
    <w:rsid w:val="00F1174E"/>
    <w:rsid w:val="00F15E2E"/>
    <w:rsid w:val="00F21001"/>
    <w:rsid w:val="00F223D2"/>
    <w:rsid w:val="00F25A22"/>
    <w:rsid w:val="00F26582"/>
    <w:rsid w:val="00F3188C"/>
    <w:rsid w:val="00F31EDC"/>
    <w:rsid w:val="00F341D0"/>
    <w:rsid w:val="00F4400B"/>
    <w:rsid w:val="00F44038"/>
    <w:rsid w:val="00F45A94"/>
    <w:rsid w:val="00F462B3"/>
    <w:rsid w:val="00F47A0D"/>
    <w:rsid w:val="00F548E9"/>
    <w:rsid w:val="00F55100"/>
    <w:rsid w:val="00F5664F"/>
    <w:rsid w:val="00F57C98"/>
    <w:rsid w:val="00F61D6E"/>
    <w:rsid w:val="00F62CCE"/>
    <w:rsid w:val="00F6318B"/>
    <w:rsid w:val="00F65AFC"/>
    <w:rsid w:val="00F666C4"/>
    <w:rsid w:val="00F66786"/>
    <w:rsid w:val="00F66D59"/>
    <w:rsid w:val="00F7001D"/>
    <w:rsid w:val="00F70B95"/>
    <w:rsid w:val="00F76AFC"/>
    <w:rsid w:val="00F8088A"/>
    <w:rsid w:val="00F850F0"/>
    <w:rsid w:val="00F965B8"/>
    <w:rsid w:val="00FA0EF1"/>
    <w:rsid w:val="00FA3386"/>
    <w:rsid w:val="00FA47C0"/>
    <w:rsid w:val="00FB01BC"/>
    <w:rsid w:val="00FB39B2"/>
    <w:rsid w:val="00FB5DD1"/>
    <w:rsid w:val="00FC096B"/>
    <w:rsid w:val="00FC2B5D"/>
    <w:rsid w:val="00FC30EF"/>
    <w:rsid w:val="00FC742E"/>
    <w:rsid w:val="00FD4F14"/>
    <w:rsid w:val="00FD5535"/>
    <w:rsid w:val="00FE2C61"/>
    <w:rsid w:val="00FE55F8"/>
    <w:rsid w:val="00FE568E"/>
    <w:rsid w:val="00FF1449"/>
    <w:rsid w:val="57A595F3"/>
    <w:rsid w:val="5CEADB7B"/>
    <w:rsid w:val="73BF47D1"/>
    <w:rsid w:val="76C79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1B08EBEC-9C33-4633-9260-39448289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aliases w:val="Footnote Text Char Char Char Char Car,texto de nota al pie Car,Footnote Text Char Car,Footnote Text Char Char Char Char Char Char Char Char Car"/>
    <w:basedOn w:val="Fuentedeprrafopredeter"/>
    <w:qFormat/>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C519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C519D"/>
    <w:rPr>
      <w:rFonts w:ascii="Geomanist Light" w:hAnsi="Geomanist Light"/>
      <w:lang w:val="es-ES"/>
    </w:rPr>
  </w:style>
  <w:style w:type="character" w:styleId="Textoennegrita">
    <w:name w:val="Strong"/>
    <w:basedOn w:val="Fuentedeprrafopredeter"/>
    <w:uiPriority w:val="22"/>
    <w:qFormat/>
    <w:rsid w:val="00AC519D"/>
    <w:rPr>
      <w:b/>
      <w:bCs/>
    </w:rPr>
  </w:style>
  <w:style w:type="character" w:styleId="nfasis">
    <w:name w:val="Emphasis"/>
    <w:basedOn w:val="Fuentedeprrafopredeter"/>
    <w:uiPriority w:val="20"/>
    <w:qFormat/>
    <w:rsid w:val="00AC519D"/>
    <w:rPr>
      <w:i/>
      <w:iCs/>
    </w:rPr>
  </w:style>
  <w:style w:type="character" w:customStyle="1" w:styleId="SinespaciadoCar">
    <w:name w:val="Sin espaciado Car"/>
    <w:aliases w:val="No Indent Car"/>
    <w:link w:val="Sinespaciado"/>
    <w:uiPriority w:val="1"/>
    <w:locked/>
    <w:rsid w:val="007A5DAA"/>
    <w:rPr>
      <w:sz w:val="24"/>
      <w:lang w:val="es-MX"/>
    </w:rPr>
  </w:style>
  <w:style w:type="paragraph" w:styleId="Sinespaciado">
    <w:name w:val="No Spacing"/>
    <w:aliases w:val="No Indent"/>
    <w:link w:val="SinespaciadoCar"/>
    <w:uiPriority w:val="1"/>
    <w:qFormat/>
    <w:rsid w:val="007A5DAA"/>
    <w:pPr>
      <w:spacing w:after="0" w:line="240" w:lineRule="auto"/>
    </w:pPr>
    <w:rPr>
      <w:sz w:val="24"/>
      <w:lang w:val="es-MX"/>
    </w:rPr>
  </w:style>
  <w:style w:type="character" w:styleId="Refdecomentario">
    <w:name w:val="annotation reference"/>
    <w:basedOn w:val="Fuentedeprrafopredeter"/>
    <w:uiPriority w:val="99"/>
    <w:semiHidden/>
    <w:unhideWhenUsed/>
    <w:rsid w:val="007D4503"/>
    <w:rPr>
      <w:sz w:val="16"/>
      <w:szCs w:val="16"/>
    </w:rPr>
  </w:style>
  <w:style w:type="paragraph" w:styleId="Textocomentario">
    <w:name w:val="annotation text"/>
    <w:basedOn w:val="Normal"/>
    <w:link w:val="TextocomentarioCar"/>
    <w:uiPriority w:val="99"/>
    <w:unhideWhenUsed/>
    <w:rsid w:val="007D4503"/>
    <w:pPr>
      <w:spacing w:line="240" w:lineRule="auto"/>
    </w:pPr>
    <w:rPr>
      <w:sz w:val="20"/>
      <w:szCs w:val="20"/>
    </w:rPr>
  </w:style>
  <w:style w:type="character" w:customStyle="1" w:styleId="TextocomentarioCar">
    <w:name w:val="Texto comentario Car"/>
    <w:basedOn w:val="Fuentedeprrafopredeter"/>
    <w:link w:val="Textocomentario"/>
    <w:uiPriority w:val="99"/>
    <w:rsid w:val="007D4503"/>
    <w:rPr>
      <w:sz w:val="20"/>
      <w:szCs w:val="20"/>
    </w:rPr>
  </w:style>
  <w:style w:type="paragraph" w:styleId="Asuntodelcomentario">
    <w:name w:val="annotation subject"/>
    <w:basedOn w:val="Textocomentario"/>
    <w:next w:val="Textocomentario"/>
    <w:link w:val="AsuntodelcomentarioCar"/>
    <w:uiPriority w:val="99"/>
    <w:semiHidden/>
    <w:unhideWhenUsed/>
    <w:rsid w:val="007D4503"/>
    <w:rPr>
      <w:b/>
      <w:bCs/>
    </w:rPr>
  </w:style>
  <w:style w:type="character" w:customStyle="1" w:styleId="AsuntodelcomentarioCar">
    <w:name w:val="Asunto del comentario Car"/>
    <w:basedOn w:val="TextocomentarioCar"/>
    <w:link w:val="Asuntodelcomentario"/>
    <w:uiPriority w:val="99"/>
    <w:semiHidden/>
    <w:rsid w:val="007D4503"/>
    <w:rPr>
      <w:b/>
      <w:bCs/>
      <w:sz w:val="20"/>
      <w:szCs w:val="20"/>
    </w:rPr>
  </w:style>
  <w:style w:type="paragraph" w:styleId="Textodeglobo">
    <w:name w:val="Balloon Text"/>
    <w:basedOn w:val="Normal"/>
    <w:link w:val="TextodegloboCar"/>
    <w:uiPriority w:val="99"/>
    <w:semiHidden/>
    <w:unhideWhenUsed/>
    <w:rsid w:val="006E2C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C02"/>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0F5078"/>
    <w:pPr>
      <w:spacing w:after="0" w:line="240" w:lineRule="auto"/>
      <w:jc w:val="both"/>
    </w:pPr>
    <w:rPr>
      <w:rFonts w:eastAsia="Calibri"/>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5463">
      <w:bodyDiv w:val="1"/>
      <w:marLeft w:val="0"/>
      <w:marRight w:val="0"/>
      <w:marTop w:val="0"/>
      <w:marBottom w:val="0"/>
      <w:divBdr>
        <w:top w:val="none" w:sz="0" w:space="0" w:color="auto"/>
        <w:left w:val="none" w:sz="0" w:space="0" w:color="auto"/>
        <w:bottom w:val="none" w:sz="0" w:space="0" w:color="auto"/>
        <w:right w:val="none" w:sz="0" w:space="0" w:color="auto"/>
      </w:divBdr>
      <w:divsChild>
        <w:div w:id="1922831411">
          <w:marLeft w:val="0"/>
          <w:marRight w:val="0"/>
          <w:marTop w:val="0"/>
          <w:marBottom w:val="0"/>
          <w:divBdr>
            <w:top w:val="none" w:sz="0" w:space="0" w:color="auto"/>
            <w:left w:val="none" w:sz="0" w:space="0" w:color="auto"/>
            <w:bottom w:val="none" w:sz="0" w:space="0" w:color="auto"/>
            <w:right w:val="none" w:sz="0" w:space="0" w:color="auto"/>
          </w:divBdr>
          <w:divsChild>
            <w:div w:id="1699506997">
              <w:marLeft w:val="0"/>
              <w:marRight w:val="0"/>
              <w:marTop w:val="0"/>
              <w:marBottom w:val="0"/>
              <w:divBdr>
                <w:top w:val="none" w:sz="0" w:space="0" w:color="auto"/>
                <w:left w:val="none" w:sz="0" w:space="0" w:color="auto"/>
                <w:bottom w:val="none" w:sz="0" w:space="0" w:color="auto"/>
                <w:right w:val="none" w:sz="0" w:space="0" w:color="auto"/>
              </w:divBdr>
              <w:divsChild>
                <w:div w:id="463156737">
                  <w:marLeft w:val="60"/>
                  <w:marRight w:val="60"/>
                  <w:marTop w:val="0"/>
                  <w:marBottom w:val="0"/>
                  <w:divBdr>
                    <w:top w:val="none" w:sz="0" w:space="0" w:color="auto"/>
                    <w:left w:val="none" w:sz="0" w:space="0" w:color="auto"/>
                    <w:bottom w:val="none" w:sz="0" w:space="0" w:color="auto"/>
                    <w:right w:val="none" w:sz="0" w:space="0" w:color="auto"/>
                  </w:divBdr>
                </w:div>
                <w:div w:id="1434663504">
                  <w:marLeft w:val="0"/>
                  <w:marRight w:val="0"/>
                  <w:marTop w:val="0"/>
                  <w:marBottom w:val="0"/>
                  <w:divBdr>
                    <w:top w:val="none" w:sz="0" w:space="0" w:color="auto"/>
                    <w:left w:val="none" w:sz="0" w:space="0" w:color="auto"/>
                    <w:bottom w:val="none" w:sz="0" w:space="0" w:color="auto"/>
                    <w:right w:val="none" w:sz="0" w:space="0" w:color="auto"/>
                  </w:divBdr>
                </w:div>
                <w:div w:id="1466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725367332">
      <w:bodyDiv w:val="1"/>
      <w:marLeft w:val="0"/>
      <w:marRight w:val="0"/>
      <w:marTop w:val="0"/>
      <w:marBottom w:val="0"/>
      <w:divBdr>
        <w:top w:val="none" w:sz="0" w:space="0" w:color="auto"/>
        <w:left w:val="none" w:sz="0" w:space="0" w:color="auto"/>
        <w:bottom w:val="none" w:sz="0" w:space="0" w:color="auto"/>
        <w:right w:val="none" w:sz="0" w:space="0" w:color="auto"/>
      </w:divBdr>
      <w:divsChild>
        <w:div w:id="2038391389">
          <w:marLeft w:val="0"/>
          <w:marRight w:val="0"/>
          <w:marTop w:val="0"/>
          <w:marBottom w:val="0"/>
          <w:divBdr>
            <w:top w:val="none" w:sz="0" w:space="0" w:color="auto"/>
            <w:left w:val="none" w:sz="0" w:space="0" w:color="auto"/>
            <w:bottom w:val="none" w:sz="0" w:space="0" w:color="auto"/>
            <w:right w:val="none" w:sz="0" w:space="0" w:color="auto"/>
          </w:divBdr>
          <w:divsChild>
            <w:div w:id="1129318747">
              <w:marLeft w:val="0"/>
              <w:marRight w:val="0"/>
              <w:marTop w:val="0"/>
              <w:marBottom w:val="0"/>
              <w:divBdr>
                <w:top w:val="none" w:sz="0" w:space="0" w:color="auto"/>
                <w:left w:val="none" w:sz="0" w:space="0" w:color="auto"/>
                <w:bottom w:val="none" w:sz="0" w:space="0" w:color="auto"/>
                <w:right w:val="none" w:sz="0" w:space="0" w:color="auto"/>
              </w:divBdr>
              <w:divsChild>
                <w:div w:id="1682976373">
                  <w:marLeft w:val="0"/>
                  <w:marRight w:val="0"/>
                  <w:marTop w:val="0"/>
                  <w:marBottom w:val="0"/>
                  <w:divBdr>
                    <w:top w:val="none" w:sz="0" w:space="0" w:color="auto"/>
                    <w:left w:val="none" w:sz="0" w:space="0" w:color="auto"/>
                    <w:bottom w:val="none" w:sz="0" w:space="0" w:color="auto"/>
                    <w:right w:val="none" w:sz="0" w:space="0" w:color="auto"/>
                  </w:divBdr>
                </w:div>
                <w:div w:id="1766462642">
                  <w:marLeft w:val="0"/>
                  <w:marRight w:val="0"/>
                  <w:marTop w:val="0"/>
                  <w:marBottom w:val="0"/>
                  <w:divBdr>
                    <w:top w:val="none" w:sz="0" w:space="0" w:color="auto"/>
                    <w:left w:val="none" w:sz="0" w:space="0" w:color="auto"/>
                    <w:bottom w:val="none" w:sz="0" w:space="0" w:color="auto"/>
                    <w:right w:val="none" w:sz="0" w:space="0" w:color="auto"/>
                  </w:divBdr>
                </w:div>
                <w:div w:id="183048705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relatoria.colombiacompra.gov.co/providencias/2019_85001-23-31-000-2007-00159-01_40102/" TargetMode="External"/><Relationship Id="rId26"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3" Type="http://schemas.openxmlformats.org/officeDocument/2006/relationships/customXml" Target="../customXml/item3.xml"/><Relationship Id="rId21" Type="http://schemas.openxmlformats.org/officeDocument/2006/relationships/hyperlink" Target="http://servicios.consejodeestado.gov.co/WebRelatoria/FileReferenceServlet?corp=ce&amp;ext=doc&amp;file=2170546" TargetMode="External"/><Relationship Id="rId7" Type="http://schemas.openxmlformats.org/officeDocument/2006/relationships/settings" Target="settings.xml"/><Relationship Id="rId12" Type="http://schemas.openxmlformats.org/officeDocument/2006/relationships/hyperlink" Target="mailto:maria.ruiz16@est.uexternado.edu.co" TargetMode="External"/><Relationship Id="rId17" Type="http://schemas.openxmlformats.org/officeDocument/2006/relationships/hyperlink" Target="https://relatoria.colombiacompra.gov.co/providencias/2017_73001-23-33-000-2013-00468-01_53477/" TargetMode="External"/><Relationship Id="rId25"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ervicios.consejodeestado.gov.co/WebRelatoria/FileReferenceServlet?corp=ce&amp;ext=doc&amp;file=253322" TargetMode="External"/><Relationship Id="rId20" Type="http://schemas.openxmlformats.org/officeDocument/2006/relationships/hyperlink" Target="http://servicios.consejodeestado.gov.co/WebRelatoria/FileReferenceServlet?corp=ce&amp;ext=doc&amp;file=215975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corteconstitucional.gov.co/relatoria/2012/C-416-12.htm" TargetMode="Externa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hyperlink" Target="https://www.corteconstitucional.gov.co/RELATORIA/2012/C-300-12.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rvicios.consejodeestado.gov.co/WebRelatoria/FileReferenceServlet?corp=ce&amp;ext=doc&amp;file=215334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474-de-2011/" TargetMode="External"/><Relationship Id="rId22" Type="http://schemas.openxmlformats.org/officeDocument/2006/relationships/hyperlink" Target="http://servicios.consejodeestado.gov.co/WebRelatoria/FileReferenceServlet?corp=ce&amp;ext=doc&amp;file=2174031"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archivo.uc3m.es/bitstream/handle/10016/8339/tesis_santofimio_2010.pdf" TargetMode="External"/><Relationship Id="rId1" Type="http://schemas.openxmlformats.org/officeDocument/2006/relationships/hyperlink" Target="https://cutt.ly/OQ9KFJ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CBE642D-BC66-476F-80D8-1B118E8BB1C4}"/>
</file>

<file path=customXml/itemProps4.xml><?xml version="1.0" encoding="utf-8"?>
<ds:datastoreItem xmlns:ds="http://schemas.openxmlformats.org/officeDocument/2006/customXml" ds:itemID="{8E8EB4C3-B392-4533-9ED9-3062F50C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7524</Words>
  <Characters>41383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48810</CharactersWithSpaces>
  <SharedDoc>false</SharedDoc>
  <HLinks>
    <vt:vector size="102" baseType="variant">
      <vt:variant>
        <vt:i4>7602273</vt:i4>
      </vt:variant>
      <vt:variant>
        <vt:i4>42</vt:i4>
      </vt:variant>
      <vt:variant>
        <vt:i4>0</vt:i4>
      </vt:variant>
      <vt:variant>
        <vt:i4>5</vt:i4>
      </vt:variant>
      <vt:variant>
        <vt:lpwstr>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vt:lpwstr>
      </vt:variant>
      <vt:variant>
        <vt:lpwstr/>
      </vt:variant>
      <vt:variant>
        <vt:i4>7471218</vt:i4>
      </vt:variant>
      <vt:variant>
        <vt:i4>39</vt:i4>
      </vt:variant>
      <vt:variant>
        <vt:i4>0</vt:i4>
      </vt:variant>
      <vt:variant>
        <vt:i4>5</vt:i4>
      </vt:variant>
      <vt:variant>
        <vt:lpwstr>https://relatoria.colombiacompra.gov.co/busqueda/conceptos</vt:lpwstr>
      </vt:variant>
      <vt:variant>
        <vt:lpwstr/>
      </vt:variant>
      <vt:variant>
        <vt:i4>6291495</vt:i4>
      </vt:variant>
      <vt:variant>
        <vt:i4>36</vt:i4>
      </vt:variant>
      <vt:variant>
        <vt:i4>0</vt:i4>
      </vt:variant>
      <vt:variant>
        <vt:i4>5</vt:i4>
      </vt:variant>
      <vt:variant>
        <vt:lpwstr>https://www.corteconstitucional.gov.co/relatoria/2012/C-416-12.htm</vt:lpwstr>
      </vt:variant>
      <vt:variant>
        <vt:lpwstr/>
      </vt:variant>
      <vt:variant>
        <vt:i4>6357030</vt:i4>
      </vt:variant>
      <vt:variant>
        <vt:i4>33</vt:i4>
      </vt:variant>
      <vt:variant>
        <vt:i4>0</vt:i4>
      </vt:variant>
      <vt:variant>
        <vt:i4>5</vt:i4>
      </vt:variant>
      <vt:variant>
        <vt:lpwstr>https://www.corteconstitucional.gov.co/RELATORIA/2012/C-300-12.htm</vt:lpwstr>
      </vt:variant>
      <vt:variant>
        <vt:lpwstr/>
      </vt:variant>
      <vt:variant>
        <vt:i4>7798826</vt:i4>
      </vt:variant>
      <vt:variant>
        <vt:i4>30</vt:i4>
      </vt:variant>
      <vt:variant>
        <vt:i4>0</vt:i4>
      </vt:variant>
      <vt:variant>
        <vt:i4>5</vt:i4>
      </vt:variant>
      <vt:variant>
        <vt:lpwstr>http://servicios.consejodeestado.gov.co/WebRelatoria/FileReferenceServlet?corp=ce&amp;ext=doc&amp;file=2174031</vt:lpwstr>
      </vt:variant>
      <vt:variant>
        <vt:lpwstr/>
      </vt:variant>
      <vt:variant>
        <vt:i4>7667753</vt:i4>
      </vt:variant>
      <vt:variant>
        <vt:i4>27</vt:i4>
      </vt:variant>
      <vt:variant>
        <vt:i4>0</vt:i4>
      </vt:variant>
      <vt:variant>
        <vt:i4>5</vt:i4>
      </vt:variant>
      <vt:variant>
        <vt:lpwstr>http://servicios.consejodeestado.gov.co/WebRelatoria/FileReferenceServlet?corp=ce&amp;ext=doc&amp;file=2170546</vt:lpwstr>
      </vt:variant>
      <vt:variant>
        <vt:lpwstr/>
      </vt:variant>
      <vt:variant>
        <vt:i4>7536673</vt:i4>
      </vt:variant>
      <vt:variant>
        <vt:i4>24</vt:i4>
      </vt:variant>
      <vt:variant>
        <vt:i4>0</vt:i4>
      </vt:variant>
      <vt:variant>
        <vt:i4>5</vt:i4>
      </vt:variant>
      <vt:variant>
        <vt:lpwstr>http://servicios.consejodeestado.gov.co/WebRelatoria/FileReferenceServlet?corp=ce&amp;ext=doc&amp;file=2159750</vt:lpwstr>
      </vt:variant>
      <vt:variant>
        <vt:lpwstr/>
      </vt:variant>
      <vt:variant>
        <vt:i4>7405610</vt:i4>
      </vt:variant>
      <vt:variant>
        <vt:i4>21</vt:i4>
      </vt:variant>
      <vt:variant>
        <vt:i4>0</vt:i4>
      </vt:variant>
      <vt:variant>
        <vt:i4>5</vt:i4>
      </vt:variant>
      <vt:variant>
        <vt:lpwstr>http://servicios.consejodeestado.gov.co/WebRelatoria/FileReferenceServlet?corp=ce&amp;ext=doc&amp;file=2153346</vt:lpwstr>
      </vt:variant>
      <vt:variant>
        <vt:lpwstr/>
      </vt:variant>
      <vt:variant>
        <vt:i4>3276911</vt:i4>
      </vt:variant>
      <vt:variant>
        <vt:i4>18</vt:i4>
      </vt:variant>
      <vt:variant>
        <vt:i4>0</vt:i4>
      </vt:variant>
      <vt:variant>
        <vt:i4>5</vt:i4>
      </vt:variant>
      <vt:variant>
        <vt:lpwstr>https://relatoria.colombiacompra.gov.co/providencias/2019_85001-23-31-000-2007-00159-01_40102/</vt:lpwstr>
      </vt:variant>
      <vt:variant>
        <vt:lpwstr/>
      </vt:variant>
      <vt:variant>
        <vt:i4>3145839</vt:i4>
      </vt:variant>
      <vt:variant>
        <vt:i4>15</vt:i4>
      </vt:variant>
      <vt:variant>
        <vt:i4>0</vt:i4>
      </vt:variant>
      <vt:variant>
        <vt:i4>5</vt:i4>
      </vt:variant>
      <vt:variant>
        <vt:lpwstr>https://relatoria.colombiacompra.gov.co/providencias/2017_73001-23-33-000-2013-00468-01_53477/</vt:lpwstr>
      </vt:variant>
      <vt:variant>
        <vt:lpwstr/>
      </vt:variant>
      <vt:variant>
        <vt:i4>4194330</vt:i4>
      </vt:variant>
      <vt:variant>
        <vt:i4>12</vt:i4>
      </vt:variant>
      <vt:variant>
        <vt:i4>0</vt:i4>
      </vt:variant>
      <vt:variant>
        <vt:i4>5</vt:i4>
      </vt:variant>
      <vt:variant>
        <vt:lpwstr>http://servicios.consejodeestado.gov.co/WebRelatoria/FileReferenceServlet?corp=ce&amp;ext=doc&amp;file=253322</vt:lpwstr>
      </vt:variant>
      <vt:variant>
        <vt:lpwstr/>
      </vt:variant>
      <vt:variant>
        <vt:i4>3276916</vt:i4>
      </vt:variant>
      <vt:variant>
        <vt:i4>9</vt:i4>
      </vt:variant>
      <vt:variant>
        <vt:i4>0</vt:i4>
      </vt:variant>
      <vt:variant>
        <vt:i4>5</vt:i4>
      </vt:variant>
      <vt:variant>
        <vt:lpwstr>https://relatoria.colombiacompra.gov.co/normativa/decreto-1082-de-2015/</vt:lpwstr>
      </vt:variant>
      <vt:variant>
        <vt:lpwstr/>
      </vt:variant>
      <vt:variant>
        <vt:i4>3276899</vt:i4>
      </vt:variant>
      <vt:variant>
        <vt:i4>6</vt:i4>
      </vt:variant>
      <vt:variant>
        <vt:i4>0</vt:i4>
      </vt:variant>
      <vt:variant>
        <vt:i4>5</vt:i4>
      </vt:variant>
      <vt:variant>
        <vt:lpwstr>https://relatoria.colombiacompra.gov.co/normativa/ley-1474-de-2011/</vt:lpwstr>
      </vt:variant>
      <vt:variant>
        <vt:lpwstr/>
      </vt:variant>
      <vt:variant>
        <vt:i4>589910</vt:i4>
      </vt:variant>
      <vt:variant>
        <vt:i4>3</vt:i4>
      </vt:variant>
      <vt:variant>
        <vt:i4>0</vt:i4>
      </vt:variant>
      <vt:variant>
        <vt:i4>5</vt:i4>
      </vt:variant>
      <vt:variant>
        <vt:lpwstr>https://relatoria.colombiacompra.gov.co/normativa/ley-80-de-1993/</vt:lpwstr>
      </vt:variant>
      <vt:variant>
        <vt:lpwstr/>
      </vt:variant>
      <vt:variant>
        <vt:i4>3473474</vt:i4>
      </vt:variant>
      <vt:variant>
        <vt:i4>0</vt:i4>
      </vt:variant>
      <vt:variant>
        <vt:i4>0</vt:i4>
      </vt:variant>
      <vt:variant>
        <vt:i4>5</vt:i4>
      </vt:variant>
      <vt:variant>
        <vt:lpwstr>mailto:maria.ruiz16@est.uexternado.edu.co</vt:lpwstr>
      </vt:variant>
      <vt:variant>
        <vt:lpwstr/>
      </vt:variant>
      <vt:variant>
        <vt:i4>262168</vt:i4>
      </vt:variant>
      <vt:variant>
        <vt:i4>3</vt:i4>
      </vt:variant>
      <vt:variant>
        <vt:i4>0</vt:i4>
      </vt:variant>
      <vt:variant>
        <vt:i4>5</vt:i4>
      </vt:variant>
      <vt:variant>
        <vt:lpwstr>https://e-archivo.uc3m.es/bitstream/handle/10016/8339/tesis_santofimio_2010.pdf</vt:lpwstr>
      </vt:variant>
      <vt:variant>
        <vt:lpwstr/>
      </vt:variant>
      <vt:variant>
        <vt:i4>2293808</vt:i4>
      </vt:variant>
      <vt:variant>
        <vt:i4>0</vt:i4>
      </vt:variant>
      <vt:variant>
        <vt:i4>0</vt:i4>
      </vt:variant>
      <vt:variant>
        <vt:i4>5</vt:i4>
      </vt:variant>
      <vt:variant>
        <vt:lpwstr>https://cutt.ly/OQ9KFJH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2</cp:revision>
  <cp:lastPrinted>2023-01-10T21:18:00Z</cp:lastPrinted>
  <dcterms:created xsi:type="dcterms:W3CDTF">2024-10-10T15:45:00Z</dcterms:created>
  <dcterms:modified xsi:type="dcterms:W3CDTF">2024-10-10T15:45:00Z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