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1531" w14:textId="77777777" w:rsidR="00F14698" w:rsidRPr="007115EB" w:rsidRDefault="00F14698" w:rsidP="00F14698">
      <w:pPr>
        <w:spacing w:after="0" w:line="240" w:lineRule="auto"/>
        <w:jc w:val="both"/>
        <w:rPr>
          <w:rFonts w:ascii="Verdana" w:eastAsia="Calibri" w:hAnsi="Verdana" w:cs="Arial"/>
          <w:b/>
          <w:bCs/>
          <w:lang w:val="es-ES"/>
        </w:rPr>
      </w:pPr>
      <w:bookmarkStart w:id="0" w:name="_Hlk143780582"/>
      <w:r w:rsidRPr="007115EB">
        <w:rPr>
          <w:rFonts w:ascii="Verdana" w:eastAsia="Calibri" w:hAnsi="Verdana" w:cs="Arial"/>
          <w:b/>
          <w:bCs/>
          <w:lang w:val="es-ES"/>
        </w:rPr>
        <w:t xml:space="preserve">INHABILIDADES E INCOMPATIBILIDADES – Límites a la capacidad – Régimen </w:t>
      </w:r>
    </w:p>
    <w:p w14:paraId="2F30E047" w14:textId="77777777" w:rsidR="00F14698" w:rsidRPr="007115EB" w:rsidRDefault="00F14698" w:rsidP="00F14698">
      <w:pPr>
        <w:spacing w:after="0" w:line="240" w:lineRule="auto"/>
        <w:jc w:val="both"/>
        <w:rPr>
          <w:rFonts w:ascii="Verdana" w:eastAsia="Calibri" w:hAnsi="Verdana" w:cs="Arial"/>
          <w:sz w:val="20"/>
          <w:szCs w:val="20"/>
          <w:lang w:val="es-ES"/>
        </w:rPr>
      </w:pPr>
    </w:p>
    <w:p w14:paraId="0118D7CB" w14:textId="77777777" w:rsidR="00F14698" w:rsidRPr="007115EB" w:rsidRDefault="00F14698" w:rsidP="00F14698">
      <w:pPr>
        <w:spacing w:after="0" w:line="240" w:lineRule="auto"/>
        <w:jc w:val="both"/>
        <w:rPr>
          <w:rFonts w:ascii="Verdana" w:eastAsia="Aptos" w:hAnsi="Verdana" w:cs="Arial"/>
          <w:sz w:val="20"/>
          <w:szCs w:val="20"/>
        </w:rPr>
      </w:pPr>
      <w:r w:rsidRPr="007115EB">
        <w:rPr>
          <w:rFonts w:ascii="Verdana" w:eastAsia="Calibri" w:hAnsi="Verdana" w:cs="Arial"/>
          <w:sz w:val="20"/>
          <w:szCs w:val="20"/>
          <w:lang w:val="es-ES"/>
        </w:rPr>
        <w:t xml:space="preserve">[…] </w:t>
      </w:r>
      <w:r w:rsidRPr="007115EB">
        <w:rPr>
          <w:rFonts w:ascii="Verdana" w:eastAsia="Calibri" w:hAnsi="Verdana" w:cs="Arial"/>
          <w:sz w:val="20"/>
          <w:szCs w:val="20"/>
          <w:lang w:val="es-ES_tradnl" w:eastAsia="es-ES_tradnl"/>
        </w:rPr>
        <w:t>e</w:t>
      </w:r>
      <w:r w:rsidRPr="007115EB">
        <w:rPr>
          <w:rFonts w:ascii="Verdana" w:eastAsia="Aptos" w:hAnsi="Verdana" w:cs="Arial"/>
          <w:sz w:val="20"/>
          <w:szCs w:val="20"/>
          <w:lang w:val="es-MX"/>
        </w:rPr>
        <w:t xml:space="preserv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w:t>
      </w:r>
      <w:r w:rsidRPr="007115EB">
        <w:rPr>
          <w:rFonts w:ascii="Verdana" w:eastAsia="Aptos" w:hAnsi="Verdana" w:cs="Arial"/>
          <w:sz w:val="20"/>
          <w:szCs w:val="20"/>
        </w:rPr>
        <w:t>consagradas</w:t>
      </w:r>
      <w:r w:rsidRPr="007115EB">
        <w:rPr>
          <w:rFonts w:ascii="Verdana" w:eastAsia="Aptos" w:hAnsi="Verdana" w:cs="Arial"/>
          <w:sz w:val="20"/>
          <w:szCs w:val="20"/>
          <w:lang w:val="es-MX"/>
        </w:rPr>
        <w:t xml:space="preserve"> por el ordenamiento jurídico</w:t>
      </w:r>
      <w:r w:rsidRPr="007115EB">
        <w:rPr>
          <w:rFonts w:ascii="Verdana" w:eastAsia="Aptos" w:hAnsi="Verdana" w:cs="Arial"/>
          <w:sz w:val="20"/>
          <w:szCs w:val="20"/>
        </w:rPr>
        <w:t xml:space="preserve">. </w:t>
      </w:r>
    </w:p>
    <w:p w14:paraId="311B2B9D" w14:textId="77777777" w:rsidR="00F14698" w:rsidRPr="007115EB" w:rsidRDefault="00F14698" w:rsidP="00F14698">
      <w:pPr>
        <w:spacing w:after="0" w:line="240" w:lineRule="auto"/>
        <w:jc w:val="both"/>
        <w:rPr>
          <w:rFonts w:ascii="Verdana" w:eastAsia="Calibri" w:hAnsi="Verdana" w:cs="Arial"/>
          <w:sz w:val="20"/>
          <w:szCs w:val="20"/>
        </w:rPr>
      </w:pPr>
    </w:p>
    <w:p w14:paraId="7A64E798" w14:textId="77777777" w:rsidR="00F14698" w:rsidRPr="007115EB" w:rsidRDefault="00F14698" w:rsidP="00F14698">
      <w:pPr>
        <w:spacing w:after="0" w:line="240" w:lineRule="auto"/>
        <w:jc w:val="both"/>
        <w:rPr>
          <w:rFonts w:ascii="Verdana" w:eastAsia="Calibri" w:hAnsi="Verdana" w:cs="Arial"/>
          <w:b/>
          <w:bCs/>
          <w:lang w:val="es-ES"/>
        </w:rPr>
      </w:pPr>
      <w:r w:rsidRPr="007115EB">
        <w:rPr>
          <w:rFonts w:ascii="Verdana" w:eastAsia="Calibri" w:hAnsi="Verdana" w:cs="Arial"/>
          <w:b/>
          <w:bCs/>
          <w:lang w:val="es-ES"/>
        </w:rPr>
        <w:t xml:space="preserve">INHABILIDADES E INCOMPATIBILIDADES – Concepto </w:t>
      </w:r>
    </w:p>
    <w:p w14:paraId="0C15BB74" w14:textId="77777777" w:rsidR="00F14698" w:rsidRPr="007115EB" w:rsidRDefault="00F14698" w:rsidP="00F14698">
      <w:pPr>
        <w:spacing w:after="0" w:line="240" w:lineRule="auto"/>
        <w:jc w:val="both"/>
        <w:rPr>
          <w:rFonts w:ascii="Verdana" w:eastAsia="Calibri" w:hAnsi="Verdana" w:cs="Arial"/>
          <w:b/>
          <w:bCs/>
          <w:sz w:val="20"/>
          <w:szCs w:val="20"/>
          <w:lang w:val="es-ES"/>
        </w:rPr>
      </w:pPr>
    </w:p>
    <w:p w14:paraId="38C50B5C" w14:textId="77777777" w:rsidR="00F14698" w:rsidRPr="007115EB" w:rsidRDefault="00F14698" w:rsidP="00F14698">
      <w:pPr>
        <w:spacing w:after="0" w:line="240" w:lineRule="auto"/>
        <w:jc w:val="both"/>
        <w:rPr>
          <w:rFonts w:ascii="Verdana" w:eastAsia="Aptos" w:hAnsi="Verdana" w:cs="Arial"/>
          <w:sz w:val="20"/>
          <w:szCs w:val="20"/>
          <w:lang w:val="es-MX"/>
        </w:rPr>
      </w:pPr>
      <w:r w:rsidRPr="007115EB">
        <w:rPr>
          <w:rFonts w:ascii="Verdana" w:eastAsia="Aptos" w:hAnsi="Verdana" w:cs="Arial"/>
          <w:sz w:val="20"/>
          <w:szCs w:val="20"/>
        </w:rPr>
        <w:t>La</w:t>
      </w:r>
      <w:r w:rsidRPr="007115EB">
        <w:rPr>
          <w:rFonts w:ascii="Verdana" w:eastAsia="Aptos" w:hAnsi="Verdana" w:cs="Arial"/>
          <w:sz w:val="20"/>
          <w:szCs w:val="20"/>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7115EB">
        <w:rPr>
          <w:rFonts w:ascii="Verdana" w:hAnsi="Verdana"/>
          <w:sz w:val="20"/>
          <w:szCs w:val="20"/>
          <w:vertAlign w:val="superscript"/>
          <w:lang w:val="es-MX"/>
        </w:rPr>
        <w:t>.</w:t>
      </w:r>
    </w:p>
    <w:p w14:paraId="7A51A76D" w14:textId="77777777" w:rsidR="00F14698" w:rsidRPr="007115EB" w:rsidRDefault="00F14698" w:rsidP="00F14698">
      <w:pPr>
        <w:pStyle w:val="Prrafodelista"/>
        <w:spacing w:after="0" w:line="240" w:lineRule="auto"/>
        <w:ind w:left="360"/>
        <w:contextualSpacing w:val="0"/>
        <w:jc w:val="both"/>
        <w:rPr>
          <w:rFonts w:ascii="Verdana" w:eastAsia="Aptos" w:hAnsi="Verdana" w:cs="Arial"/>
          <w:sz w:val="20"/>
          <w:szCs w:val="20"/>
          <w:lang w:val="es-MX"/>
        </w:rPr>
      </w:pPr>
    </w:p>
    <w:p w14:paraId="29910D17" w14:textId="77777777" w:rsidR="00F14698" w:rsidRPr="007115EB" w:rsidRDefault="00F14698" w:rsidP="00F14698">
      <w:pPr>
        <w:spacing w:after="0" w:line="240" w:lineRule="auto"/>
        <w:jc w:val="both"/>
        <w:rPr>
          <w:rFonts w:ascii="Verdana" w:eastAsia="Aptos" w:hAnsi="Verdana" w:cs="Arial"/>
          <w:sz w:val="20"/>
          <w:szCs w:val="20"/>
          <w:lang w:val="es-MX"/>
        </w:rPr>
      </w:pPr>
      <w:r w:rsidRPr="007115EB">
        <w:rPr>
          <w:rFonts w:ascii="Verdana" w:eastAsia="Aptos" w:hAnsi="Verdana" w:cs="Arial"/>
          <w:sz w:val="20"/>
          <w:szCs w:val="20"/>
          <w:lang w:val="es-MX"/>
        </w:rPr>
        <w:t>La consagración de limitaciones que afectan la capacidad jurídica para contratar desarrolla los principios de la función administrativa consagrados en el artículo 209 de la Constitución Política, con especial énfasis el de moralidad.</w:t>
      </w:r>
    </w:p>
    <w:p w14:paraId="3CAFF503" w14:textId="77777777" w:rsidR="00F14698" w:rsidRPr="007115EB" w:rsidRDefault="00F14698" w:rsidP="00F14698">
      <w:pPr>
        <w:spacing w:after="0" w:line="240" w:lineRule="auto"/>
        <w:jc w:val="both"/>
        <w:rPr>
          <w:rFonts w:ascii="Verdana" w:eastAsia="Calibri" w:hAnsi="Verdana" w:cs="Arial"/>
          <w:sz w:val="20"/>
          <w:szCs w:val="20"/>
          <w:lang w:val="es-ES"/>
        </w:rPr>
      </w:pPr>
    </w:p>
    <w:p w14:paraId="45573CC5" w14:textId="77777777" w:rsidR="00F14698" w:rsidRPr="007115EB" w:rsidRDefault="00F14698" w:rsidP="00F14698">
      <w:pPr>
        <w:spacing w:after="0" w:line="240" w:lineRule="auto"/>
        <w:jc w:val="both"/>
        <w:rPr>
          <w:rFonts w:ascii="Verdana" w:eastAsia="Aptos" w:hAnsi="Verdana" w:cs="Times New Roman"/>
          <w:b/>
          <w:bCs/>
          <w:shd w:val="clear" w:color="auto" w:fill="FFFFFF"/>
          <w:lang w:val="es-ES"/>
        </w:rPr>
      </w:pPr>
      <w:r w:rsidRPr="007115EB">
        <w:rPr>
          <w:rFonts w:ascii="Verdana" w:eastAsia="Calibri" w:hAnsi="Verdana" w:cs="Arial"/>
          <w:b/>
          <w:bCs/>
          <w:lang w:val="es-ES"/>
        </w:rPr>
        <w:t xml:space="preserve">INHABILIDADES E INCOMPATIBILIDADES – Interpretación restrictiva – Principio </w:t>
      </w:r>
      <w:r w:rsidRPr="007115EB">
        <w:rPr>
          <w:rFonts w:ascii="Verdana" w:eastAsia="Calibri" w:hAnsi="Verdana" w:cs="Arial"/>
          <w:b/>
          <w:bCs/>
          <w:i/>
          <w:lang w:val="es-ES"/>
        </w:rPr>
        <w:t>pro libertate</w:t>
      </w:r>
      <w:r w:rsidRPr="007115EB">
        <w:rPr>
          <w:rFonts w:ascii="Verdana" w:eastAsia="Aptos" w:hAnsi="Verdana" w:cs="Times New Roman"/>
          <w:b/>
          <w:bCs/>
          <w:shd w:val="clear" w:color="auto" w:fill="FFFFFF"/>
          <w:lang w:val="es-ES"/>
        </w:rPr>
        <w:t xml:space="preserve"> </w:t>
      </w:r>
    </w:p>
    <w:p w14:paraId="3EC332C0" w14:textId="77777777" w:rsidR="00F14698" w:rsidRPr="007115EB" w:rsidRDefault="00F14698" w:rsidP="00F14698">
      <w:pPr>
        <w:spacing w:after="0" w:line="240" w:lineRule="auto"/>
        <w:jc w:val="both"/>
        <w:rPr>
          <w:rFonts w:ascii="Verdana" w:eastAsia="Aptos" w:hAnsi="Verdana" w:cs="Times New Roman"/>
          <w:b/>
          <w:bCs/>
          <w:sz w:val="20"/>
          <w:szCs w:val="20"/>
          <w:shd w:val="clear" w:color="auto" w:fill="FFFFFF"/>
          <w:lang w:val="es-ES"/>
        </w:rPr>
      </w:pPr>
    </w:p>
    <w:p w14:paraId="617EB9C7" w14:textId="77777777" w:rsidR="00F14698" w:rsidRPr="007115EB" w:rsidRDefault="00F14698" w:rsidP="00F14698">
      <w:pPr>
        <w:spacing w:after="0" w:line="240" w:lineRule="auto"/>
        <w:jc w:val="both"/>
        <w:rPr>
          <w:rFonts w:ascii="Verdana" w:eastAsia="Calibri" w:hAnsi="Verdana" w:cs="Arial"/>
          <w:color w:val="000000"/>
          <w:kern w:val="2"/>
          <w:sz w:val="20"/>
          <w:szCs w:val="20"/>
          <w:lang w:eastAsia="es-ES"/>
        </w:rPr>
      </w:pPr>
      <w:r w:rsidRPr="007115EB">
        <w:rPr>
          <w:rFonts w:ascii="Verdana" w:eastAsia="Aptos" w:hAnsi="Verdana" w:cs="Times New Roman"/>
          <w:sz w:val="20"/>
          <w:szCs w:val="20"/>
          <w:shd w:val="clear" w:color="auto" w:fill="FFFFFF"/>
          <w:lang w:val="es-ES"/>
        </w:rPr>
        <w:t xml:space="preserve">[…] </w:t>
      </w:r>
      <w:r w:rsidRPr="007115EB">
        <w:rPr>
          <w:rFonts w:ascii="Verdana" w:eastAsia="Calibri" w:hAnsi="Verdana" w:cs="Arial"/>
          <w:color w:val="000000"/>
          <w:kern w:val="2"/>
          <w:sz w:val="20"/>
          <w:szCs w:val="20"/>
          <w:lang w:eastAsia="es-ES"/>
        </w:rPr>
        <w:t>el principio pro libertate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55A9F2D0" w14:textId="77777777" w:rsidR="00F14698" w:rsidRPr="007115EB" w:rsidRDefault="00F14698" w:rsidP="00F14698">
      <w:pPr>
        <w:spacing w:after="0" w:line="240" w:lineRule="auto"/>
        <w:jc w:val="both"/>
        <w:rPr>
          <w:rFonts w:ascii="Verdana" w:eastAsia="Aptos" w:hAnsi="Verdana" w:cs="Times New Roman"/>
          <w:sz w:val="20"/>
          <w:szCs w:val="20"/>
          <w:shd w:val="clear" w:color="auto" w:fill="FFFFFF"/>
          <w:lang w:val="es-ES"/>
        </w:rPr>
      </w:pPr>
    </w:p>
    <w:p w14:paraId="73D50880" w14:textId="77777777" w:rsidR="00F14698" w:rsidRPr="007115EB" w:rsidRDefault="00F14698" w:rsidP="00F14698">
      <w:pPr>
        <w:spacing w:after="0" w:line="240" w:lineRule="auto"/>
        <w:jc w:val="both"/>
        <w:rPr>
          <w:rFonts w:ascii="Verdana" w:eastAsia="Aptos" w:hAnsi="Verdana" w:cs="Times New Roman"/>
          <w:b/>
          <w:bCs/>
          <w:shd w:val="clear" w:color="auto" w:fill="FFFFFF"/>
          <w:lang w:val="es-ES"/>
        </w:rPr>
      </w:pPr>
      <w:r w:rsidRPr="007115EB">
        <w:rPr>
          <w:rFonts w:ascii="Verdana" w:eastAsia="Aptos" w:hAnsi="Verdana" w:cs="Times New Roman"/>
          <w:b/>
          <w:bCs/>
          <w:shd w:val="clear" w:color="auto" w:fill="FFFFFF"/>
          <w:lang w:val="es-ES"/>
        </w:rPr>
        <w:t>INHABILIDADES E INCOMPATIBILIDADES – Ley 80 de 1993 – Artículo 8 – Numeral 1 – Literal K</w:t>
      </w:r>
    </w:p>
    <w:p w14:paraId="4EB408C4" w14:textId="77777777" w:rsidR="00F14698" w:rsidRPr="007115EB" w:rsidRDefault="00F14698" w:rsidP="00F14698">
      <w:pPr>
        <w:spacing w:after="0" w:line="240" w:lineRule="auto"/>
        <w:jc w:val="both"/>
        <w:rPr>
          <w:rFonts w:ascii="Verdana" w:eastAsia="Aptos" w:hAnsi="Verdana" w:cs="Times New Roman"/>
          <w:b/>
          <w:bCs/>
          <w:sz w:val="20"/>
          <w:szCs w:val="20"/>
          <w:shd w:val="clear" w:color="auto" w:fill="FFFFFF"/>
          <w:lang w:val="es-ES"/>
        </w:rPr>
      </w:pPr>
    </w:p>
    <w:p w14:paraId="6BC12131" w14:textId="77777777" w:rsidR="00F14698" w:rsidRDefault="00F14698" w:rsidP="00F14698">
      <w:pPr>
        <w:spacing w:after="0" w:line="240" w:lineRule="auto"/>
        <w:jc w:val="both"/>
        <w:rPr>
          <w:rFonts w:ascii="Verdana" w:eastAsia="Calibri" w:hAnsi="Verdana" w:cs="Arial"/>
          <w:sz w:val="20"/>
          <w:szCs w:val="20"/>
          <w:lang w:val="es-ES_tradnl"/>
        </w:rPr>
      </w:pPr>
      <w:r w:rsidRPr="007115EB">
        <w:rPr>
          <w:rFonts w:ascii="Verdana" w:eastAsia="Aptos" w:hAnsi="Verdana" w:cs="Times New Roman"/>
          <w:sz w:val="20"/>
          <w:szCs w:val="20"/>
          <w:shd w:val="clear" w:color="auto" w:fill="FFFFFF"/>
          <w:lang w:val="es-ES"/>
        </w:rPr>
        <w:t xml:space="preserve">[…] </w:t>
      </w:r>
      <w:r w:rsidRPr="007115EB">
        <w:rPr>
          <w:rFonts w:ascii="Verdana" w:eastAsia="Calibri" w:hAnsi="Verdana" w:cs="Arial"/>
          <w:sz w:val="20"/>
          <w:szCs w:val="20"/>
          <w:lang w:val="es-ES_tradnl"/>
        </w:rPr>
        <w:t xml:space="preserve">Esta disposición se refiere a una inhabilidad que recae específicamente sobre los interventores y solo se configura cuando se incumple el deber de entregar información a la entidad contratante alusiva al incumplimiento del contrato o a posibles actos de corrupción tipificados como conductas punibles. </w:t>
      </w:r>
    </w:p>
    <w:p w14:paraId="6B233468" w14:textId="77777777" w:rsidR="00F14698" w:rsidRPr="007115EB" w:rsidRDefault="00F14698" w:rsidP="00F14698">
      <w:pPr>
        <w:spacing w:after="0" w:line="240" w:lineRule="auto"/>
        <w:jc w:val="both"/>
        <w:rPr>
          <w:rFonts w:ascii="Verdana" w:eastAsia="Calibri" w:hAnsi="Verdana" w:cs="Arial"/>
          <w:sz w:val="20"/>
          <w:szCs w:val="20"/>
          <w:lang w:val="es-ES_tradnl"/>
        </w:rPr>
      </w:pPr>
    </w:p>
    <w:p w14:paraId="409E714B" w14:textId="77777777" w:rsidR="00F14698" w:rsidRPr="007115EB" w:rsidRDefault="00F14698" w:rsidP="00F14698">
      <w:pPr>
        <w:spacing w:after="0" w:line="240" w:lineRule="auto"/>
        <w:jc w:val="both"/>
        <w:rPr>
          <w:rFonts w:ascii="Verdana" w:eastAsia="Calibri" w:hAnsi="Verdana" w:cs="Arial"/>
          <w:sz w:val="20"/>
          <w:szCs w:val="20"/>
          <w:lang w:val="es-ES"/>
        </w:rPr>
      </w:pPr>
      <w:r w:rsidRPr="007115EB">
        <w:rPr>
          <w:rFonts w:ascii="Verdana" w:eastAsia="Calibri" w:hAnsi="Verdana" w:cs="Arial"/>
          <w:sz w:val="20"/>
          <w:szCs w:val="20"/>
          <w:lang w:val="es-ES"/>
        </w:rPr>
        <w:t xml:space="preserve">La configuración de esta inhabilidad además exige que se desarrolle una actuación administrativa, en el marco de la cual se expida un acto administrativo que declare el acaecimiento de la referida circunstancia, el cual deberá adquirir firmeza para que la inhabilidad comience a surtir sus efectos por el término de cinco (5) años. </w:t>
      </w:r>
    </w:p>
    <w:p w14:paraId="41E7B2CA" w14:textId="77777777" w:rsidR="00F14698" w:rsidRPr="00F14698" w:rsidRDefault="00F14698" w:rsidP="00E245AB">
      <w:pPr>
        <w:spacing w:after="0"/>
        <w:rPr>
          <w:rFonts w:ascii="Verdana" w:hAnsi="Verdana"/>
          <w:lang w:val="es-ES"/>
        </w:rPr>
      </w:pPr>
    </w:p>
    <w:p w14:paraId="7D606DD9" w14:textId="77777777" w:rsidR="00F14698" w:rsidRDefault="00F14698">
      <w:pPr>
        <w:rPr>
          <w:rFonts w:ascii="Verdana" w:hAnsi="Verdana"/>
        </w:rPr>
      </w:pPr>
      <w:r>
        <w:rPr>
          <w:rFonts w:ascii="Verdana" w:hAnsi="Verdana"/>
        </w:rPr>
        <w:br w:type="page"/>
      </w:r>
    </w:p>
    <w:p w14:paraId="3AE9E707" w14:textId="70C2D489" w:rsidR="00F34DD2" w:rsidRDefault="00E245AB" w:rsidP="00E245AB">
      <w:pPr>
        <w:spacing w:after="0"/>
        <w:rPr>
          <w:rFonts w:ascii="Verdana" w:hAnsi="Verdana"/>
        </w:rPr>
      </w:pPr>
      <w:r w:rsidRPr="0044528D">
        <w:rPr>
          <w:rFonts w:ascii="Verdana" w:hAnsi="Verdana"/>
        </w:rPr>
        <w:lastRenderedPageBreak/>
        <w:t xml:space="preserve">Bogotá D.C., </w:t>
      </w:r>
      <w:r w:rsidR="00F34DD2">
        <w:rPr>
          <w:rFonts w:ascii="Verdana" w:hAnsi="Verdana"/>
        </w:rPr>
        <w:t>12 de septiembre de 2024.</w:t>
      </w:r>
    </w:p>
    <w:p w14:paraId="3FE2184B" w14:textId="136F9669" w:rsidR="00E245AB" w:rsidRPr="0044528D" w:rsidRDefault="00891928" w:rsidP="00E245AB">
      <w:pPr>
        <w:spacing w:after="0"/>
        <w:rPr>
          <w:rFonts w:ascii="Verdana" w:hAnsi="Verdana"/>
        </w:rPr>
      </w:pPr>
      <w:r w:rsidRPr="0044528D">
        <w:rPr>
          <w:rFonts w:ascii="Verdana" w:hAnsi="Verdana"/>
        </w:rPr>
        <w:tab/>
      </w:r>
    </w:p>
    <w:bookmarkEnd w:id="0"/>
    <w:p w14:paraId="30694CFA" w14:textId="7D33F235" w:rsidR="0007185F" w:rsidRDefault="00F34DD2" w:rsidP="00F34DD2">
      <w:pPr>
        <w:spacing w:after="0" w:line="240" w:lineRule="auto"/>
        <w:jc w:val="right"/>
        <w:rPr>
          <w:rFonts w:ascii="Verdana" w:eastAsia="Calibri" w:hAnsi="Verdana" w:cs="Arial"/>
          <w:lang w:val="es-ES"/>
        </w:rPr>
      </w:pPr>
      <w:r w:rsidRPr="00F34DD2">
        <w:rPr>
          <w:rFonts w:ascii="Verdana" w:eastAsia="Calibri" w:hAnsi="Verdana" w:cs="Arial"/>
          <w:noProof/>
          <w:lang w:val="es-ES"/>
        </w:rPr>
        <w:drawing>
          <wp:inline distT="0" distB="0" distL="0" distR="0" wp14:anchorId="4CDFC859" wp14:editId="14296760">
            <wp:extent cx="2886175" cy="856069"/>
            <wp:effectExtent l="0" t="0" r="0" b="1270"/>
            <wp:docPr id="5552880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88011" name="Imagen 1" descr="Texto&#10;&#10;Descripción generada automáticamente"/>
                    <pic:cNvPicPr/>
                  </pic:nvPicPr>
                  <pic:blipFill>
                    <a:blip r:embed="rId10"/>
                    <a:stretch>
                      <a:fillRect/>
                    </a:stretch>
                  </pic:blipFill>
                  <pic:spPr>
                    <a:xfrm>
                      <a:off x="0" y="0"/>
                      <a:ext cx="2904271" cy="861437"/>
                    </a:xfrm>
                    <a:prstGeom prst="rect">
                      <a:avLst/>
                    </a:prstGeom>
                  </pic:spPr>
                </pic:pic>
              </a:graphicData>
            </a:graphic>
          </wp:inline>
        </w:drawing>
      </w:r>
    </w:p>
    <w:p w14:paraId="6B49A34E" w14:textId="77777777" w:rsidR="00D71D00" w:rsidRPr="005E3465" w:rsidRDefault="00D71D00" w:rsidP="00D71D00">
      <w:pPr>
        <w:spacing w:after="0" w:line="240" w:lineRule="auto"/>
        <w:jc w:val="both"/>
        <w:rPr>
          <w:rFonts w:ascii="Verdana" w:eastAsia="Calibri" w:hAnsi="Verdana" w:cs="Arial"/>
          <w:lang w:val="es-ES" w:eastAsia="es-ES"/>
        </w:rPr>
      </w:pPr>
      <w:r w:rsidRPr="005E3465">
        <w:rPr>
          <w:rFonts w:ascii="Verdana" w:eastAsia="Calibri" w:hAnsi="Verdana" w:cs="Arial"/>
          <w:lang w:val="es-ES" w:eastAsia="es-ES"/>
        </w:rPr>
        <w:t>Señor</w:t>
      </w:r>
    </w:p>
    <w:p w14:paraId="030AE871" w14:textId="019AE523" w:rsidR="00D71D00" w:rsidRPr="005E3465" w:rsidRDefault="00D71D00" w:rsidP="00D71D00">
      <w:pPr>
        <w:spacing w:after="0" w:line="240" w:lineRule="auto"/>
        <w:rPr>
          <w:rFonts w:ascii="Verdana" w:eastAsia="Calibri" w:hAnsi="Verdana" w:cs="Arial"/>
          <w:b/>
          <w:lang w:val="es-ES" w:eastAsia="es-ES"/>
        </w:rPr>
      </w:pPr>
      <w:r w:rsidRPr="7BE3EECD">
        <w:rPr>
          <w:rFonts w:ascii="Verdana" w:eastAsia="Calibri" w:hAnsi="Verdana" w:cs="Arial"/>
          <w:b/>
          <w:lang w:val="es-ES" w:eastAsia="es-ES"/>
        </w:rPr>
        <w:t xml:space="preserve">León Jaime </w:t>
      </w:r>
      <w:r w:rsidR="007C3A16" w:rsidRPr="7BE3EECD">
        <w:rPr>
          <w:rFonts w:ascii="Verdana" w:eastAsia="Calibri" w:hAnsi="Verdana" w:cs="Arial"/>
          <w:b/>
          <w:lang w:val="es-ES" w:eastAsia="es-ES"/>
        </w:rPr>
        <w:t>Gutiérrez</w:t>
      </w:r>
      <w:r w:rsidRPr="7BE3EECD">
        <w:rPr>
          <w:rFonts w:ascii="Verdana" w:eastAsia="Calibri" w:hAnsi="Verdana" w:cs="Arial"/>
          <w:b/>
          <w:lang w:val="es-ES" w:eastAsia="es-ES"/>
        </w:rPr>
        <w:t xml:space="preserve"> Uribe</w:t>
      </w:r>
    </w:p>
    <w:p w14:paraId="5483E954" w14:textId="77777777" w:rsidR="00D71D00" w:rsidRPr="005E3465" w:rsidRDefault="00D71D00" w:rsidP="00D71D00">
      <w:pPr>
        <w:spacing w:after="0" w:line="240" w:lineRule="auto"/>
        <w:rPr>
          <w:rFonts w:ascii="Verdana" w:eastAsia="Calibri" w:hAnsi="Verdana" w:cs="Arial"/>
          <w:bCs/>
          <w:lang w:val="es-ES_tradnl" w:eastAsia="es-ES_tradnl"/>
        </w:rPr>
      </w:pPr>
      <w:r w:rsidRPr="005E3465">
        <w:rPr>
          <w:rFonts w:ascii="Verdana" w:eastAsia="Calibri" w:hAnsi="Verdana" w:cs="Arial"/>
          <w:bCs/>
          <w:lang w:val="es-ES_tradnl" w:eastAsia="es-ES_tradnl"/>
        </w:rPr>
        <w:t>Medellín, Antioquia</w:t>
      </w:r>
    </w:p>
    <w:p w14:paraId="639B10C9" w14:textId="77777777" w:rsidR="00D71D00" w:rsidRPr="005E3465" w:rsidRDefault="00D71D00" w:rsidP="00D71D00">
      <w:pPr>
        <w:spacing w:after="0" w:line="240" w:lineRule="auto"/>
        <w:rPr>
          <w:rFonts w:ascii="Verdana" w:eastAsia="Calibri" w:hAnsi="Verdana" w:cs="Arial"/>
          <w:b/>
          <w:bCs/>
          <w:lang w:val="es-ES_tradnl" w:eastAsia="es-ES_tradnl"/>
        </w:rPr>
      </w:pPr>
    </w:p>
    <w:p w14:paraId="7A0EC349" w14:textId="77777777" w:rsidR="0007185F" w:rsidRPr="005E3465" w:rsidRDefault="0007185F" w:rsidP="00D71D0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71D00" w:rsidRPr="005E3465" w14:paraId="4901A2FB" w14:textId="77777777" w:rsidTr="0086633E">
        <w:trPr>
          <w:trHeight w:val="261"/>
        </w:trPr>
        <w:tc>
          <w:tcPr>
            <w:tcW w:w="2689" w:type="dxa"/>
          </w:tcPr>
          <w:p w14:paraId="7BECBD49" w14:textId="77777777" w:rsidR="00D71D00" w:rsidRPr="005E3465" w:rsidRDefault="00D71D00" w:rsidP="0086633E">
            <w:pPr>
              <w:jc w:val="both"/>
              <w:rPr>
                <w:rFonts w:ascii="Verdana" w:eastAsia="Calibri" w:hAnsi="Verdana" w:cs="Arial"/>
                <w:b/>
                <w:bCs/>
                <w:lang w:val="es-ES_tradnl" w:eastAsia="es-ES_tradnl"/>
              </w:rPr>
            </w:pPr>
          </w:p>
        </w:tc>
        <w:tc>
          <w:tcPr>
            <w:tcW w:w="6100" w:type="dxa"/>
          </w:tcPr>
          <w:p w14:paraId="44269E71" w14:textId="77777777" w:rsidR="00D71D00" w:rsidRPr="005E3465" w:rsidRDefault="00D71D00" w:rsidP="0086633E">
            <w:pPr>
              <w:jc w:val="both"/>
              <w:rPr>
                <w:rFonts w:ascii="Verdana" w:eastAsia="Calibri" w:hAnsi="Verdana" w:cs="Arial"/>
                <w:b/>
                <w:bCs/>
                <w:lang w:val="es-ES" w:eastAsia="es-ES"/>
              </w:rPr>
            </w:pPr>
            <w:r w:rsidRPr="005E3465">
              <w:rPr>
                <w:rFonts w:ascii="Verdana" w:eastAsia="Calibri" w:hAnsi="Verdana" w:cs="Arial"/>
                <w:b/>
                <w:bCs/>
                <w:lang w:val="es-ES" w:eastAsia="es-ES"/>
              </w:rPr>
              <w:t>Concepto C-205 de 2024</w:t>
            </w:r>
          </w:p>
          <w:p w14:paraId="189937E2" w14:textId="77777777" w:rsidR="00D71D00" w:rsidRPr="005E3465" w:rsidRDefault="00D71D00" w:rsidP="0086633E">
            <w:pPr>
              <w:jc w:val="both"/>
              <w:rPr>
                <w:rFonts w:ascii="Verdana" w:eastAsia="Calibri" w:hAnsi="Verdana" w:cs="Arial"/>
                <w:b/>
                <w:bCs/>
                <w:lang w:val="es-ES" w:eastAsia="es-ES"/>
              </w:rPr>
            </w:pPr>
          </w:p>
        </w:tc>
      </w:tr>
      <w:tr w:rsidR="00D71D00" w:rsidRPr="005E3465" w14:paraId="54832ADB" w14:textId="77777777" w:rsidTr="0086633E">
        <w:trPr>
          <w:trHeight w:val="884"/>
        </w:trPr>
        <w:tc>
          <w:tcPr>
            <w:tcW w:w="2689" w:type="dxa"/>
          </w:tcPr>
          <w:p w14:paraId="5ED654C4" w14:textId="77777777" w:rsidR="00D71D00" w:rsidRPr="005E3465" w:rsidRDefault="00D71D00" w:rsidP="0086633E">
            <w:pPr>
              <w:jc w:val="both"/>
              <w:rPr>
                <w:rFonts w:ascii="Verdana" w:eastAsia="Calibri" w:hAnsi="Verdana" w:cs="Arial"/>
                <w:lang w:val="es-ES_tradnl" w:eastAsia="es-ES_tradnl"/>
              </w:rPr>
            </w:pPr>
            <w:r w:rsidRPr="005E3465">
              <w:rPr>
                <w:rFonts w:ascii="Verdana" w:eastAsia="Calibri" w:hAnsi="Verdana" w:cs="Arial"/>
                <w:b/>
                <w:lang w:val="es-ES_tradnl" w:eastAsia="es-ES_tradnl"/>
              </w:rPr>
              <w:t>Temas:</w:t>
            </w:r>
            <w:r w:rsidRPr="005E3465">
              <w:rPr>
                <w:rFonts w:ascii="Verdana" w:eastAsia="Calibri" w:hAnsi="Verdana" w:cs="Arial"/>
                <w:lang w:val="es-ES_tradnl" w:eastAsia="es-ES_tradnl"/>
              </w:rPr>
              <w:t xml:space="preserve">                   </w:t>
            </w:r>
          </w:p>
        </w:tc>
        <w:tc>
          <w:tcPr>
            <w:tcW w:w="6100" w:type="dxa"/>
          </w:tcPr>
          <w:p w14:paraId="5F7EDE62" w14:textId="77777777" w:rsidR="00D71D00" w:rsidRPr="005E3465" w:rsidRDefault="00D71D00" w:rsidP="0086633E">
            <w:pPr>
              <w:jc w:val="both"/>
              <w:rPr>
                <w:rFonts w:ascii="Verdana" w:eastAsia="Calibri" w:hAnsi="Verdana" w:cs="Arial"/>
                <w:i/>
                <w:lang w:val="es-ES"/>
              </w:rPr>
            </w:pPr>
            <w:r w:rsidRPr="005E3465">
              <w:rPr>
                <w:rFonts w:ascii="Verdana" w:eastAsia="Calibri" w:hAnsi="Verdana" w:cs="Arial"/>
                <w:lang w:val="es-ES"/>
              </w:rPr>
              <w:t xml:space="preserve">INHABILIDADES E INCOMPATIBILIDADES – Límites a la capacidad – Régimen / INHABILIDADES E INCOMPATIBILIDADES – Concepto / INHABILIDADES E INCOMPATIBILIDADES – Interpretación restrictiva – Principio </w:t>
            </w:r>
            <w:r w:rsidRPr="005E3465">
              <w:rPr>
                <w:rFonts w:ascii="Verdana" w:eastAsia="Calibri" w:hAnsi="Verdana" w:cs="Arial"/>
                <w:i/>
                <w:lang w:val="es-ES"/>
              </w:rPr>
              <w:t>pro libertate</w:t>
            </w:r>
            <w:r w:rsidRPr="005E3465">
              <w:rPr>
                <w:rFonts w:ascii="Verdana" w:eastAsia="Aptos" w:hAnsi="Verdana" w:cs="Times New Roman"/>
                <w:shd w:val="clear" w:color="auto" w:fill="FFFFFF"/>
                <w:lang w:val="es-ES"/>
              </w:rPr>
              <w:t xml:space="preserve"> / INHABILIDADES E INCOMPATIBILIDADES </w:t>
            </w:r>
            <w:r>
              <w:rPr>
                <w:rFonts w:ascii="Verdana" w:eastAsia="Aptos" w:hAnsi="Verdana" w:cs="Times New Roman"/>
                <w:shd w:val="clear" w:color="auto" w:fill="FFFFFF"/>
                <w:lang w:val="es-ES"/>
              </w:rPr>
              <w:t xml:space="preserve">– Ley 80 de 1993 – Artículo 8 – Numeral 1 – Literal K </w:t>
            </w:r>
          </w:p>
          <w:p w14:paraId="2126471F" w14:textId="77777777" w:rsidR="00D71D00" w:rsidRPr="005E3465" w:rsidRDefault="00D71D00" w:rsidP="0086633E">
            <w:pPr>
              <w:jc w:val="both"/>
              <w:rPr>
                <w:rFonts w:ascii="Verdana" w:eastAsia="Calibri" w:hAnsi="Verdana" w:cs="Arial"/>
                <w:lang w:val="es-ES" w:eastAsia="es-ES"/>
              </w:rPr>
            </w:pPr>
          </w:p>
        </w:tc>
      </w:tr>
      <w:tr w:rsidR="00D71D00" w:rsidRPr="005E3465" w14:paraId="7AC1598D" w14:textId="77777777" w:rsidTr="0086633E">
        <w:tc>
          <w:tcPr>
            <w:tcW w:w="2689" w:type="dxa"/>
          </w:tcPr>
          <w:p w14:paraId="470FEF0C" w14:textId="77777777" w:rsidR="00D71D00" w:rsidRPr="005E3465" w:rsidRDefault="00D71D00" w:rsidP="0086633E">
            <w:pPr>
              <w:jc w:val="both"/>
              <w:rPr>
                <w:rFonts w:ascii="Verdana" w:eastAsia="Calibri" w:hAnsi="Verdana" w:cs="Arial"/>
                <w:b/>
                <w:lang w:val="es-ES_tradnl" w:eastAsia="es-ES_tradnl"/>
              </w:rPr>
            </w:pPr>
            <w:r w:rsidRPr="005E3465">
              <w:rPr>
                <w:rFonts w:ascii="Verdana" w:eastAsia="Calibri" w:hAnsi="Verdana" w:cs="Arial"/>
                <w:b/>
                <w:lang w:val="es-ES_tradnl" w:eastAsia="es-ES_tradnl"/>
              </w:rPr>
              <w:t>Radicación:</w:t>
            </w:r>
            <w:r w:rsidRPr="005E3465">
              <w:rPr>
                <w:rFonts w:ascii="Verdana" w:eastAsia="Calibri" w:hAnsi="Verdana" w:cs="Arial"/>
                <w:lang w:val="es-ES_tradnl" w:eastAsia="es-ES_tradnl"/>
              </w:rPr>
              <w:t xml:space="preserve">               </w:t>
            </w:r>
          </w:p>
        </w:tc>
        <w:tc>
          <w:tcPr>
            <w:tcW w:w="6100" w:type="dxa"/>
          </w:tcPr>
          <w:p w14:paraId="495270E2" w14:textId="77777777" w:rsidR="00D71D00" w:rsidRPr="005E3465" w:rsidRDefault="00D71D00" w:rsidP="0086633E">
            <w:pPr>
              <w:jc w:val="both"/>
              <w:rPr>
                <w:rFonts w:ascii="Verdana" w:eastAsia="Calibri" w:hAnsi="Verdana" w:cs="Arial"/>
                <w:lang w:val="es-ES_tradnl" w:eastAsia="es-ES_tradnl"/>
              </w:rPr>
            </w:pPr>
            <w:r w:rsidRPr="005E3465">
              <w:rPr>
                <w:rFonts w:ascii="Verdana" w:eastAsia="Calibri" w:hAnsi="Verdana" w:cs="Arial"/>
                <w:lang w:val="es-ES_tradnl" w:eastAsia="es-ES_tradnl"/>
              </w:rPr>
              <w:t>Respuesta a consulta con radicado No. P20240730007818</w:t>
            </w:r>
          </w:p>
        </w:tc>
      </w:tr>
    </w:tbl>
    <w:p w14:paraId="3753E99D" w14:textId="77777777" w:rsidR="0007185F" w:rsidRDefault="0007185F" w:rsidP="00D71D00">
      <w:pPr>
        <w:spacing w:after="0" w:line="240" w:lineRule="auto"/>
        <w:jc w:val="both"/>
        <w:rPr>
          <w:rFonts w:ascii="Verdana" w:eastAsia="Calibri" w:hAnsi="Verdana" w:cs="Arial"/>
          <w:lang w:val="es-ES_tradnl" w:eastAsia="es-ES_tradnl"/>
        </w:rPr>
      </w:pPr>
    </w:p>
    <w:p w14:paraId="7711281F" w14:textId="77777777" w:rsidR="009E4ACF" w:rsidRPr="005E3465" w:rsidRDefault="009E4ACF" w:rsidP="00D71D00">
      <w:pPr>
        <w:spacing w:after="0" w:line="240" w:lineRule="auto"/>
        <w:jc w:val="both"/>
        <w:rPr>
          <w:rFonts w:ascii="Verdana" w:eastAsia="Calibri" w:hAnsi="Verdana" w:cs="Arial"/>
          <w:lang w:val="es-ES_tradnl" w:eastAsia="es-ES_tradnl"/>
        </w:rPr>
      </w:pPr>
    </w:p>
    <w:p w14:paraId="5395241E" w14:textId="63B8F138" w:rsidR="00D71D00" w:rsidRPr="005E3465" w:rsidRDefault="00D71D00" w:rsidP="00D71D00">
      <w:pPr>
        <w:spacing w:after="0" w:line="276" w:lineRule="auto"/>
        <w:jc w:val="both"/>
        <w:rPr>
          <w:rFonts w:ascii="Verdana" w:eastAsia="Calibri" w:hAnsi="Verdana" w:cs="Arial"/>
          <w:lang w:val="es-ES" w:eastAsia="es-ES"/>
        </w:rPr>
      </w:pPr>
      <w:r w:rsidRPr="005E3465">
        <w:rPr>
          <w:rFonts w:ascii="Verdana" w:eastAsia="Calibri" w:hAnsi="Verdana" w:cs="Arial"/>
          <w:lang w:val="es-ES" w:eastAsia="es-ES"/>
        </w:rPr>
        <w:t xml:space="preserve">Estimado señor </w:t>
      </w:r>
      <w:r w:rsidR="00135CE9" w:rsidRPr="005E3465">
        <w:rPr>
          <w:rFonts w:ascii="Verdana" w:eastAsia="Calibri" w:hAnsi="Verdana" w:cs="Arial"/>
          <w:lang w:val="es-ES" w:eastAsia="es-ES"/>
        </w:rPr>
        <w:t>Gutiérrez</w:t>
      </w:r>
      <w:r w:rsidRPr="005E3465">
        <w:rPr>
          <w:rFonts w:ascii="Verdana" w:eastAsia="Calibri" w:hAnsi="Verdana" w:cs="Arial"/>
          <w:lang w:val="es-ES" w:eastAsia="es-ES"/>
        </w:rPr>
        <w:t xml:space="preserve">: </w:t>
      </w:r>
    </w:p>
    <w:p w14:paraId="1B976E63" w14:textId="77777777" w:rsidR="00D71D00" w:rsidRPr="005E3465" w:rsidRDefault="00D71D00" w:rsidP="00D71D00">
      <w:pPr>
        <w:tabs>
          <w:tab w:val="left" w:pos="3768"/>
        </w:tabs>
        <w:spacing w:after="0" w:line="276" w:lineRule="auto"/>
        <w:jc w:val="both"/>
        <w:rPr>
          <w:rFonts w:ascii="Verdana" w:eastAsia="Calibri" w:hAnsi="Verdana" w:cs="Arial"/>
          <w:lang w:val="es-ES" w:eastAsia="es-ES"/>
        </w:rPr>
      </w:pPr>
      <w:r w:rsidRPr="005E3465">
        <w:rPr>
          <w:rFonts w:ascii="Verdana" w:eastAsia="Calibri" w:hAnsi="Verdana" w:cs="Arial"/>
          <w:lang w:val="es-ES" w:eastAsia="es-ES"/>
        </w:rPr>
        <w:tab/>
      </w:r>
    </w:p>
    <w:p w14:paraId="1B729D7D" w14:textId="77777777" w:rsidR="00D71D00" w:rsidRDefault="00D71D00" w:rsidP="00D71D00">
      <w:pPr>
        <w:spacing w:after="0" w:line="276" w:lineRule="auto"/>
        <w:jc w:val="both"/>
        <w:rPr>
          <w:rFonts w:ascii="Verdana" w:eastAsia="Calibri" w:hAnsi="Verdana" w:cs="Arial"/>
          <w:lang w:val="es-ES" w:eastAsia="es-ES"/>
        </w:rPr>
      </w:pPr>
      <w:r w:rsidRPr="005E3465">
        <w:rPr>
          <w:rFonts w:ascii="Verdana" w:eastAsia="Calibri" w:hAnsi="Verdana" w:cs="Arial"/>
          <w:lang w:val="es-ES" w:eastAsia="es-ES"/>
        </w:rPr>
        <w:t>En ejercicio de la competencia otorgada por los artículos 3, numeral 5º, y 11, numeral 8º, del Decreto Ley 4170 de 2011,</w:t>
      </w:r>
      <w:r w:rsidRPr="005E3465">
        <w:rPr>
          <w:rFonts w:ascii="Verdana" w:eastAsia="Arial MT" w:hAnsi="Verdana" w:cs="Arial MT"/>
          <w:lang w:val="es-ES" w:eastAsia="es-ES"/>
        </w:rPr>
        <w:t xml:space="preserve"> </w:t>
      </w:r>
      <w:r w:rsidRPr="005E3465">
        <w:rPr>
          <w:rFonts w:ascii="Verdana" w:hAnsi="Verdana" w:cs="Arial"/>
        </w:rPr>
        <w:t xml:space="preserve">así como lo establecido en el artículo 4 de la Resolución 1707 de 2018 expedida por esta Entidad, </w:t>
      </w:r>
      <w:r w:rsidRPr="005E3465">
        <w:rPr>
          <w:rFonts w:ascii="Verdana" w:eastAsia="Calibri" w:hAnsi="Verdana" w:cs="Arial"/>
          <w:lang w:val="es-ES" w:eastAsia="es-ES"/>
        </w:rPr>
        <w:t xml:space="preserve">la Agencia Nacional de Contratación Pública – Colombia Compra Eficiente– responde su solicitud de consulta de fecha 30 de junio de 2024, en la cual manifiesta lo siguiente: </w:t>
      </w:r>
      <w:bookmarkStart w:id="1" w:name="_Hlk95313578"/>
    </w:p>
    <w:p w14:paraId="17108FDE" w14:textId="77777777" w:rsidR="00D71D00" w:rsidRDefault="00D71D00" w:rsidP="00D71D00">
      <w:pPr>
        <w:spacing w:after="0" w:line="276" w:lineRule="auto"/>
        <w:jc w:val="both"/>
        <w:rPr>
          <w:rFonts w:ascii="Verdana" w:eastAsia="Calibri" w:hAnsi="Verdana" w:cs="Arial"/>
          <w:lang w:val="es-ES" w:eastAsia="es-ES"/>
        </w:rPr>
      </w:pPr>
    </w:p>
    <w:p w14:paraId="716BE7C0" w14:textId="77777777" w:rsidR="00D71D00" w:rsidRDefault="00D71D00" w:rsidP="00D71D00">
      <w:pPr>
        <w:spacing w:after="0" w:line="240" w:lineRule="auto"/>
        <w:ind w:left="709" w:right="709"/>
        <w:jc w:val="both"/>
        <w:rPr>
          <w:rFonts w:ascii="Verdana" w:eastAsia="Century Gothic" w:hAnsi="Verdana" w:cs="Century Gothic"/>
          <w:sz w:val="20"/>
          <w:szCs w:val="20"/>
          <w:lang w:val="es-ES"/>
        </w:rPr>
      </w:pPr>
      <w:r w:rsidRPr="00842ACD">
        <w:rPr>
          <w:rFonts w:ascii="Verdana" w:eastAsia="Century Gothic" w:hAnsi="Verdana" w:cs="Century Gothic"/>
          <w:sz w:val="20"/>
          <w:szCs w:val="20"/>
          <w:lang w:val="es-ES"/>
        </w:rPr>
        <w:t>“</w:t>
      </w:r>
      <w:r w:rsidRPr="00842ACD">
        <w:rPr>
          <w:rStyle w:val="normaltextrun"/>
          <w:rFonts w:ascii="Verdana" w:hAnsi="Verdana" w:cs="Arial"/>
          <w:sz w:val="20"/>
          <w:szCs w:val="20"/>
          <w:shd w:val="clear" w:color="auto" w:fill="FFFFFF"/>
          <w:lang w:val="es-ES"/>
        </w:rPr>
        <w:t xml:space="preserve">Muy respetuosamente solicito se me informe si en aplicación del parágrafo 2do del </w:t>
      </w:r>
      <w:proofErr w:type="spellStart"/>
      <w:r w:rsidRPr="00842ACD">
        <w:rPr>
          <w:rStyle w:val="normaltextrun"/>
          <w:rFonts w:ascii="Verdana" w:hAnsi="Verdana" w:cs="Arial"/>
          <w:sz w:val="20"/>
          <w:szCs w:val="20"/>
          <w:shd w:val="clear" w:color="auto" w:fill="FFFFFF"/>
          <w:lang w:val="es-ES"/>
        </w:rPr>
        <w:t>articulo</w:t>
      </w:r>
      <w:proofErr w:type="spellEnd"/>
      <w:r w:rsidRPr="00842ACD">
        <w:rPr>
          <w:rStyle w:val="normaltextrun"/>
          <w:rFonts w:ascii="Verdana" w:hAnsi="Verdana" w:cs="Arial"/>
          <w:sz w:val="20"/>
          <w:szCs w:val="20"/>
          <w:shd w:val="clear" w:color="auto" w:fill="FFFFFF"/>
          <w:lang w:val="es-ES"/>
        </w:rPr>
        <w:t xml:space="preserve"> 84 de la ley 1474 de 2011, una entidad </w:t>
      </w:r>
      <w:proofErr w:type="spellStart"/>
      <w:r w:rsidRPr="00842ACD">
        <w:rPr>
          <w:rStyle w:val="normaltextrun"/>
          <w:rFonts w:ascii="Verdana" w:hAnsi="Verdana" w:cs="Arial"/>
          <w:sz w:val="20"/>
          <w:szCs w:val="20"/>
          <w:shd w:val="clear" w:color="auto" w:fill="FFFFFF"/>
          <w:lang w:val="es-ES"/>
        </w:rPr>
        <w:t>publica</w:t>
      </w:r>
      <w:proofErr w:type="spellEnd"/>
      <w:r w:rsidRPr="00842ACD">
        <w:rPr>
          <w:rStyle w:val="normaltextrun"/>
          <w:rFonts w:ascii="Verdana" w:hAnsi="Verdana" w:cs="Arial"/>
          <w:sz w:val="20"/>
          <w:szCs w:val="20"/>
          <w:shd w:val="clear" w:color="auto" w:fill="FFFFFF"/>
          <w:lang w:val="es-ES"/>
        </w:rPr>
        <w:t xml:space="preserve"> de </w:t>
      </w:r>
      <w:proofErr w:type="spellStart"/>
      <w:r w:rsidRPr="00842ACD">
        <w:rPr>
          <w:rStyle w:val="normaltextrun"/>
          <w:rFonts w:ascii="Verdana" w:hAnsi="Verdana" w:cs="Arial"/>
          <w:sz w:val="20"/>
          <w:szCs w:val="20"/>
          <w:shd w:val="clear" w:color="auto" w:fill="FFFFFF"/>
          <w:lang w:val="es-ES"/>
        </w:rPr>
        <w:t>regimen</w:t>
      </w:r>
      <w:proofErr w:type="spellEnd"/>
      <w:r w:rsidRPr="00842ACD">
        <w:rPr>
          <w:rStyle w:val="normaltextrun"/>
          <w:rFonts w:ascii="Verdana" w:hAnsi="Verdana" w:cs="Arial"/>
          <w:sz w:val="20"/>
          <w:szCs w:val="20"/>
          <w:shd w:val="clear" w:color="auto" w:fill="FFFFFF"/>
          <w:lang w:val="es-ES"/>
        </w:rPr>
        <w:t xml:space="preserve"> especial de contratación, </w:t>
      </w:r>
      <w:proofErr w:type="spellStart"/>
      <w:r w:rsidRPr="00842ACD">
        <w:rPr>
          <w:rStyle w:val="normaltextrun"/>
          <w:rFonts w:ascii="Verdana" w:hAnsi="Verdana" w:cs="Arial"/>
          <w:sz w:val="20"/>
          <w:szCs w:val="20"/>
          <w:shd w:val="clear" w:color="auto" w:fill="FFFFFF"/>
          <w:lang w:val="es-ES"/>
        </w:rPr>
        <w:t>mas</w:t>
      </w:r>
      <w:proofErr w:type="spellEnd"/>
      <w:r w:rsidRPr="00842ACD">
        <w:rPr>
          <w:rStyle w:val="normaltextrun"/>
          <w:rFonts w:ascii="Verdana" w:hAnsi="Verdana" w:cs="Arial"/>
          <w:sz w:val="20"/>
          <w:szCs w:val="20"/>
          <w:shd w:val="clear" w:color="auto" w:fill="FFFFFF"/>
          <w:lang w:val="es-ES"/>
        </w:rPr>
        <w:t xml:space="preserve"> concretamente, una empresa industrial y comercial del Estado, luego de quedar en firme un proceso declaratoria de siniestro por incumplimiento, el contratista quedaría inhabilitado por dicha declaratoria de siniestro dentro del cual se hizo parte a la respectiva aseguradora y se </w:t>
      </w:r>
      <w:proofErr w:type="spellStart"/>
      <w:r w:rsidRPr="00842ACD">
        <w:rPr>
          <w:rStyle w:val="normaltextrun"/>
          <w:rFonts w:ascii="Verdana" w:hAnsi="Verdana" w:cs="Arial"/>
          <w:sz w:val="20"/>
          <w:szCs w:val="20"/>
          <w:shd w:val="clear" w:color="auto" w:fill="FFFFFF"/>
          <w:lang w:val="es-ES"/>
        </w:rPr>
        <w:t>respeto</w:t>
      </w:r>
      <w:proofErr w:type="spellEnd"/>
      <w:r w:rsidRPr="00842ACD">
        <w:rPr>
          <w:rStyle w:val="normaltextrun"/>
          <w:rFonts w:ascii="Verdana" w:hAnsi="Verdana" w:cs="Arial"/>
          <w:sz w:val="20"/>
          <w:szCs w:val="20"/>
          <w:shd w:val="clear" w:color="auto" w:fill="FFFFFF"/>
          <w:lang w:val="es-ES"/>
        </w:rPr>
        <w:t xml:space="preserve"> el debido proceso</w:t>
      </w:r>
      <w:r w:rsidRPr="00842ACD">
        <w:rPr>
          <w:rFonts w:ascii="Verdana" w:eastAsia="Century Gothic" w:hAnsi="Verdana" w:cs="Century Gothic"/>
          <w:sz w:val="20"/>
          <w:szCs w:val="20"/>
          <w:lang w:val="es-ES"/>
        </w:rPr>
        <w:t>”</w:t>
      </w:r>
      <w:bookmarkEnd w:id="1"/>
      <w:r w:rsidRPr="00842ACD">
        <w:rPr>
          <w:rFonts w:ascii="Verdana" w:eastAsia="Century Gothic" w:hAnsi="Verdana" w:cs="Century Gothic"/>
          <w:sz w:val="20"/>
          <w:szCs w:val="20"/>
          <w:lang w:val="es-ES"/>
        </w:rPr>
        <w:t>.</w:t>
      </w:r>
    </w:p>
    <w:p w14:paraId="53A6A21E" w14:textId="77777777" w:rsidR="00D71D00" w:rsidRPr="00842ACD" w:rsidRDefault="00D71D00" w:rsidP="00D71D00">
      <w:pPr>
        <w:spacing w:after="0" w:line="276" w:lineRule="auto"/>
        <w:ind w:left="709" w:right="709"/>
        <w:jc w:val="both"/>
        <w:rPr>
          <w:rFonts w:ascii="Verdana" w:eastAsia="Century Gothic" w:hAnsi="Verdana" w:cs="Century Gothic"/>
          <w:lang w:val="es-ES"/>
        </w:rPr>
      </w:pPr>
    </w:p>
    <w:p w14:paraId="3AA62BFF" w14:textId="77777777" w:rsidR="00D71D00" w:rsidRPr="00842ACD" w:rsidRDefault="00D71D00" w:rsidP="00D71D00">
      <w:pPr>
        <w:spacing w:after="120" w:line="276" w:lineRule="auto"/>
        <w:ind w:firstLine="708"/>
        <w:jc w:val="both"/>
        <w:rPr>
          <w:rFonts w:ascii="Verdana" w:eastAsia="Century Gothic" w:hAnsi="Verdana" w:cs="Century Gothic"/>
          <w:i/>
          <w:iCs/>
          <w:lang w:val="es-ES"/>
        </w:rPr>
      </w:pPr>
      <w:r w:rsidRPr="005E3465">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E3465">
        <w:rPr>
          <w:rFonts w:ascii="Verdana" w:eastAsia="Calibri" w:hAnsi="Verdana" w:cs="Arial"/>
          <w:color w:val="000000"/>
          <w:lang w:val="es-ES_tradnl" w:eastAsia="es-ES_tradnl"/>
        </w:rPr>
        <w:tab/>
      </w:r>
    </w:p>
    <w:p w14:paraId="13F299F9" w14:textId="77777777" w:rsidR="00D71D00" w:rsidRPr="005E3465" w:rsidRDefault="00D71D00" w:rsidP="00D71D00">
      <w:pPr>
        <w:spacing w:after="0" w:line="276" w:lineRule="auto"/>
        <w:ind w:firstLine="709"/>
        <w:jc w:val="both"/>
        <w:rPr>
          <w:rFonts w:ascii="Verdana" w:eastAsia="Century Gothic" w:hAnsi="Verdana" w:cs="Century Gothic"/>
          <w:lang w:val="es-ES"/>
        </w:rPr>
      </w:pPr>
      <w:r w:rsidRPr="00842ACD">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842ACD">
        <w:rPr>
          <w:rFonts w:ascii="Verdana" w:eastAsia="Calibri" w:hAnsi="Verdana" w:cs="Arial"/>
          <w:color w:val="7030A0"/>
          <w:lang w:val="es-ES" w:eastAsia="es-ES"/>
        </w:rPr>
        <w:t xml:space="preserve"> </w:t>
      </w:r>
      <w:r w:rsidRPr="00842ACD">
        <w:rPr>
          <w:rFonts w:ascii="Verdana" w:eastAsia="Calibri" w:hAnsi="Verdana" w:cs="Arial"/>
          <w:color w:val="000000"/>
          <w:lang w:val="es-ES" w:eastAsia="es-ES"/>
        </w:rPr>
        <w:t>jurídico</w:t>
      </w:r>
      <w:r w:rsidRPr="00842ACD">
        <w:rPr>
          <w:rFonts w:ascii="Verdana" w:eastAsia="Calibri" w:hAnsi="Verdana" w:cs="Arial"/>
          <w:color w:val="7030A0"/>
          <w:lang w:val="es-ES" w:eastAsia="es-ES"/>
        </w:rPr>
        <w:t xml:space="preserve"> </w:t>
      </w:r>
      <w:r w:rsidRPr="00842ACD">
        <w:rPr>
          <w:rFonts w:ascii="Verdana" w:eastAsia="Calibri" w:hAnsi="Verdana" w:cs="Arial"/>
          <w:color w:val="000000"/>
          <w:lang w:val="es-ES" w:eastAsia="es-ES"/>
        </w:rPr>
        <w:t>de su consulta</w:t>
      </w:r>
      <w:r>
        <w:rPr>
          <w:rFonts w:ascii="Verdana" w:eastAsia="Calibri" w:hAnsi="Verdana" w:cs="Arial"/>
          <w:color w:val="000000"/>
          <w:lang w:val="es-ES" w:eastAsia="es-ES"/>
        </w:rPr>
        <w:t xml:space="preserve">. </w:t>
      </w:r>
    </w:p>
    <w:p w14:paraId="5D09B21B" w14:textId="77777777" w:rsidR="00D71D00" w:rsidRPr="005E3465" w:rsidRDefault="00D71D00" w:rsidP="00D71D00">
      <w:pPr>
        <w:spacing w:after="0" w:line="276" w:lineRule="auto"/>
        <w:ind w:firstLine="709"/>
        <w:jc w:val="both"/>
        <w:rPr>
          <w:rFonts w:ascii="Verdana" w:eastAsia="Calibri" w:hAnsi="Verdana" w:cs="Arial"/>
          <w:color w:val="000000"/>
          <w:lang w:val="es-ES" w:eastAsia="es-ES"/>
        </w:rPr>
      </w:pPr>
      <w:r w:rsidRPr="005E3465">
        <w:rPr>
          <w:rFonts w:ascii="Verdana" w:eastAsia="Calibri" w:hAnsi="Verdana" w:cs="Arial"/>
          <w:color w:val="000000"/>
          <w:lang w:val="es-ES" w:eastAsia="es-ES"/>
        </w:rPr>
        <w:t xml:space="preserve"> </w:t>
      </w:r>
    </w:p>
    <w:p w14:paraId="5802AF0B" w14:textId="77777777" w:rsidR="00D71D00" w:rsidRPr="005E3465" w:rsidRDefault="00D71D00" w:rsidP="00D71D0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E3465">
        <w:rPr>
          <w:rFonts w:ascii="Verdana" w:eastAsia="Century Gothic" w:hAnsi="Verdana" w:cs="Century Gothic"/>
          <w:b/>
          <w:bCs/>
        </w:rPr>
        <w:t>Problema planteado:</w:t>
      </w:r>
    </w:p>
    <w:p w14:paraId="7A020EC9" w14:textId="77777777" w:rsidR="00D71D00" w:rsidRPr="005E3465" w:rsidRDefault="00D71D00" w:rsidP="00D71D00">
      <w:pPr>
        <w:tabs>
          <w:tab w:val="left" w:pos="426"/>
        </w:tabs>
        <w:spacing w:after="0" w:line="276" w:lineRule="auto"/>
        <w:jc w:val="both"/>
        <w:rPr>
          <w:rFonts w:ascii="Verdana" w:eastAsia="Century Gothic" w:hAnsi="Verdana" w:cs="Century Gothic"/>
          <w:lang w:val="es-ES"/>
        </w:rPr>
      </w:pPr>
    </w:p>
    <w:p w14:paraId="3BFE3466" w14:textId="77777777" w:rsidR="00D71D00" w:rsidRPr="005E3465" w:rsidRDefault="00D71D00" w:rsidP="00D71D00">
      <w:pPr>
        <w:spacing w:after="0" w:line="276" w:lineRule="auto"/>
        <w:jc w:val="both"/>
        <w:rPr>
          <w:rFonts w:ascii="Verdana" w:eastAsia="Century Gothic" w:hAnsi="Verdana" w:cs="Century Gothic"/>
        </w:rPr>
      </w:pPr>
      <w:r w:rsidRPr="00842ACD">
        <w:rPr>
          <w:rFonts w:ascii="Verdana" w:eastAsia="Century Gothic" w:hAnsi="Verdana" w:cs="Century Gothic"/>
        </w:rPr>
        <w:t xml:space="preserve">De acuerdo con el contenido de su solicitud, esta Agencia resolverá el siguiente problema jurídico: </w:t>
      </w:r>
      <w:r w:rsidRPr="00842ACD">
        <w:rPr>
          <w:rFonts w:ascii="Verdana" w:eastAsia="Calibri" w:hAnsi="Verdana" w:cs="Arial"/>
          <w:color w:val="000000"/>
          <w:lang w:val="es-ES" w:eastAsia="es-ES"/>
        </w:rPr>
        <w:t xml:space="preserve">¿Cuál es el alcance de la inhabilidad consagrada en el </w:t>
      </w:r>
      <w:r w:rsidRPr="00842ACD">
        <w:rPr>
          <w:rStyle w:val="normaltextrun"/>
          <w:rFonts w:ascii="Verdana" w:hAnsi="Verdana" w:cs="Arial"/>
          <w:shd w:val="clear" w:color="auto" w:fill="FFFFFF"/>
          <w:lang w:val="es-ES"/>
        </w:rPr>
        <w:t>parágrafo 2° del artículo 84 de la Ley 1474 de 2011, que adicionó el literal k) del numeral 1° del artículo 8 de la Ley 80 de 1993?</w:t>
      </w:r>
    </w:p>
    <w:p w14:paraId="222CFECE" w14:textId="77777777" w:rsidR="00D71D00" w:rsidRPr="005E3465" w:rsidRDefault="00D71D00" w:rsidP="00D71D00">
      <w:pPr>
        <w:spacing w:after="0" w:line="276" w:lineRule="auto"/>
        <w:jc w:val="both"/>
        <w:rPr>
          <w:rFonts w:ascii="Verdana" w:eastAsia="Calibri" w:hAnsi="Verdana" w:cs="Arial"/>
          <w:color w:val="7030A0"/>
          <w:lang w:val="es-ES"/>
        </w:rPr>
      </w:pPr>
    </w:p>
    <w:p w14:paraId="3337DED5" w14:textId="77777777" w:rsidR="00D71D00" w:rsidRPr="005E3465" w:rsidRDefault="00D71D00" w:rsidP="00D71D0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E3465">
        <w:rPr>
          <w:rFonts w:ascii="Verdana" w:eastAsia="Century Gothic" w:hAnsi="Verdana" w:cs="Century Gothic"/>
          <w:b/>
          <w:bCs/>
        </w:rPr>
        <w:t>Respuesta:</w:t>
      </w:r>
    </w:p>
    <w:p w14:paraId="016C5B7D" w14:textId="77777777" w:rsidR="00D71D00" w:rsidRPr="005E3465" w:rsidRDefault="00D71D00" w:rsidP="00D71D0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71D00" w:rsidRPr="005E3465" w14:paraId="3DC3F014" w14:textId="77777777" w:rsidTr="0086633E">
        <w:tc>
          <w:tcPr>
            <w:tcW w:w="8828" w:type="dxa"/>
            <w:shd w:val="clear" w:color="auto" w:fill="auto"/>
          </w:tcPr>
          <w:p w14:paraId="34FE702D" w14:textId="77777777" w:rsidR="00D71D00" w:rsidRDefault="00D71D00" w:rsidP="0086633E">
            <w:pPr>
              <w:spacing w:after="120" w:line="276" w:lineRule="auto"/>
              <w:jc w:val="both"/>
              <w:rPr>
                <w:rFonts w:ascii="Verdana" w:eastAsia="Calibri" w:hAnsi="Verdana" w:cs="Arial"/>
                <w:lang w:val="es-ES_tradnl"/>
              </w:rPr>
            </w:pPr>
            <w:r>
              <w:rPr>
                <w:rFonts w:ascii="Verdana" w:eastAsia="Calibri" w:hAnsi="Verdana" w:cs="Arial"/>
                <w:lang w:val="es-ES_tradnl"/>
              </w:rPr>
              <w:t xml:space="preserve">El </w:t>
            </w:r>
            <w:r w:rsidRPr="005E3465">
              <w:rPr>
                <w:rFonts w:ascii="Verdana" w:eastAsia="Calibri" w:hAnsi="Verdana" w:cs="Arial"/>
                <w:lang w:val="es-ES_tradnl"/>
              </w:rPr>
              <w:t xml:space="preserve">literal </w:t>
            </w:r>
            <w:r>
              <w:rPr>
                <w:rFonts w:ascii="Verdana" w:eastAsia="Calibri" w:hAnsi="Verdana" w:cs="Arial"/>
                <w:lang w:val="es-ES_tradnl"/>
              </w:rPr>
              <w:t>k</w:t>
            </w:r>
            <w:r w:rsidRPr="005E3465">
              <w:rPr>
                <w:rFonts w:ascii="Verdana" w:eastAsia="Calibri" w:hAnsi="Verdana" w:cs="Arial"/>
                <w:lang w:val="es-ES_tradnl"/>
              </w:rPr>
              <w:t>) del numeral 1 del artículo 8 de la Ley 80 de 1993, adicionado por el parágrafo 2 del artículo 84 de la Ley 1474 de 2011</w:t>
            </w:r>
            <w:r>
              <w:rPr>
                <w:rFonts w:ascii="Verdana" w:eastAsia="Calibri" w:hAnsi="Verdana" w:cs="Arial"/>
                <w:lang w:val="es-ES_tradnl"/>
              </w:rPr>
              <w:t>,</w:t>
            </w:r>
            <w:r w:rsidRPr="005E3465">
              <w:rPr>
                <w:rFonts w:ascii="Verdana" w:eastAsia="Calibri" w:hAnsi="Verdana" w:cs="Arial"/>
                <w:lang w:val="es-ES_tradnl"/>
              </w:rPr>
              <w:t xml:space="preserve"> se refiere a una inhabilidad</w:t>
            </w:r>
            <w:r>
              <w:rPr>
                <w:rFonts w:ascii="Verdana" w:eastAsia="Calibri" w:hAnsi="Verdana" w:cs="Arial"/>
                <w:lang w:val="es-ES_tradnl"/>
              </w:rPr>
              <w:t xml:space="preserve"> que recae específicamente sobre </w:t>
            </w:r>
            <w:r w:rsidRPr="005E3465">
              <w:rPr>
                <w:rFonts w:ascii="Verdana" w:eastAsia="Calibri" w:hAnsi="Verdana" w:cs="Arial"/>
                <w:lang w:val="es-ES_tradnl"/>
              </w:rPr>
              <w:t>los interventores</w:t>
            </w:r>
            <w:r>
              <w:rPr>
                <w:rFonts w:ascii="Verdana" w:eastAsia="Calibri" w:hAnsi="Verdana" w:cs="Arial"/>
                <w:lang w:val="es-ES_tradnl"/>
              </w:rPr>
              <w:t xml:space="preserve">. Esta se configura </w:t>
            </w:r>
            <w:r w:rsidRPr="005E3465">
              <w:rPr>
                <w:rFonts w:ascii="Verdana" w:eastAsia="Calibri" w:hAnsi="Verdana" w:cs="Arial"/>
                <w:lang w:val="es-ES_tradnl"/>
              </w:rPr>
              <w:t xml:space="preserve">cuando se incumple el deber de entregar información a la entidad contratante alusiva al incumplimiento del contrato o a posibles actos de corrupción tipificados como conductas punibles. </w:t>
            </w:r>
          </w:p>
          <w:p w14:paraId="202236CF" w14:textId="77777777" w:rsidR="00D71D00" w:rsidRPr="005E3465" w:rsidRDefault="00D71D00" w:rsidP="0086633E">
            <w:pPr>
              <w:spacing w:after="120" w:line="276" w:lineRule="auto"/>
              <w:ind w:firstLine="709"/>
              <w:jc w:val="both"/>
              <w:rPr>
                <w:rFonts w:ascii="Verdana" w:eastAsia="Calibri" w:hAnsi="Verdana" w:cs="Arial"/>
                <w:lang w:val="es-ES"/>
              </w:rPr>
            </w:pPr>
            <w:r w:rsidRPr="7BE3EECD">
              <w:rPr>
                <w:rFonts w:ascii="Verdana" w:eastAsia="Calibri" w:hAnsi="Verdana" w:cs="Arial"/>
                <w:lang w:val="es-ES"/>
              </w:rPr>
              <w:t xml:space="preserve">La configuración de esta inhabilidad además exige que se desarrolle una actuación administrativa, en el marco de la cual se expida un acto administrativo que declare el acaecimiento de la referida circunstancia, el cual </w:t>
            </w:r>
            <w:r w:rsidRPr="7BE3EECD">
              <w:rPr>
                <w:rFonts w:ascii="Verdana" w:eastAsia="Calibri" w:hAnsi="Verdana" w:cs="Arial"/>
                <w:lang w:val="es-ES"/>
              </w:rPr>
              <w:lastRenderedPageBreak/>
              <w:t xml:space="preserve">deberá adquirir firmeza para que la inhabilidad comience a surtir sus efectos por el término de cinco (5) años. </w:t>
            </w:r>
          </w:p>
          <w:p w14:paraId="5B9D549D" w14:textId="77777777" w:rsidR="00D71D00" w:rsidRPr="00261D42" w:rsidRDefault="00D71D00" w:rsidP="0086633E">
            <w:pPr>
              <w:pStyle w:val="NormalWeb"/>
              <w:spacing w:before="0" w:beforeAutospacing="0" w:after="0" w:afterAutospacing="0" w:line="276" w:lineRule="auto"/>
              <w:jc w:val="both"/>
              <w:rPr>
                <w:rFonts w:ascii="Verdana" w:eastAsia="Calibri" w:hAnsi="Verdana" w:cs="Arial"/>
                <w:sz w:val="22"/>
                <w:szCs w:val="22"/>
                <w:lang w:val="es-ES"/>
              </w:rPr>
            </w:pPr>
            <w:r w:rsidRPr="005E3465">
              <w:rPr>
                <w:rFonts w:ascii="Verdana" w:eastAsia="Calibri" w:hAnsi="Verdana" w:cs="Arial"/>
                <w:sz w:val="22"/>
                <w:szCs w:val="22"/>
                <w:lang w:val="es-ES_tradnl"/>
              </w:rPr>
              <w:tab/>
            </w:r>
            <w:r w:rsidRPr="005E3465">
              <w:rPr>
                <w:rFonts w:ascii="Verdana" w:eastAsia="Calibri" w:hAnsi="Verdana" w:cs="Arial"/>
                <w:sz w:val="22"/>
                <w:szCs w:val="22"/>
                <w:lang w:val="es-ES"/>
              </w:rPr>
              <w:t xml:space="preserve">Así </w:t>
            </w:r>
            <w:r>
              <w:rPr>
                <w:rFonts w:ascii="Verdana" w:eastAsia="Calibri" w:hAnsi="Verdana" w:cs="Arial"/>
                <w:sz w:val="22"/>
                <w:szCs w:val="22"/>
                <w:lang w:val="es-ES"/>
              </w:rPr>
              <w:t>la causal a la cual hace referencia en su consulta se configuraría</w:t>
            </w:r>
            <w:r w:rsidRPr="005E3465">
              <w:rPr>
                <w:rFonts w:ascii="Verdana" w:eastAsia="Calibri" w:hAnsi="Verdana" w:cs="Arial"/>
                <w:sz w:val="22"/>
                <w:szCs w:val="22"/>
                <w:lang w:val="es-ES"/>
              </w:rPr>
              <w:t xml:space="preserve"> en caso de que en contra del interventor pesara una declaratoria de incumplimiento dispuesta por un acto administrativo ejecutoriado, impuesta tras haberse comprobado el incumplimiento del deber de suministrar información a la entidad contratante sobre</w:t>
            </w:r>
            <w:r>
              <w:rPr>
                <w:rFonts w:ascii="Verdana" w:eastAsia="Calibri" w:hAnsi="Verdana" w:cs="Arial"/>
                <w:sz w:val="22"/>
                <w:szCs w:val="22"/>
                <w:lang w:val="es-ES"/>
              </w:rPr>
              <w:t xml:space="preserve"> el</w:t>
            </w:r>
            <w:r w:rsidRPr="005E3465">
              <w:rPr>
                <w:rFonts w:ascii="Verdana" w:eastAsia="Calibri" w:hAnsi="Verdana" w:cs="Arial"/>
                <w:sz w:val="22"/>
                <w:szCs w:val="22"/>
                <w:lang w:val="es-ES"/>
              </w:rPr>
              <w:t xml:space="preserve"> </w:t>
            </w:r>
            <w:r w:rsidRPr="005E3465">
              <w:rPr>
                <w:rFonts w:ascii="Verdana" w:eastAsia="Calibri" w:hAnsi="Verdana" w:cs="Arial"/>
                <w:sz w:val="22"/>
                <w:szCs w:val="22"/>
                <w:lang w:val="es-ES_tradnl"/>
              </w:rPr>
              <w:t>incumplimiento del contrato o</w:t>
            </w:r>
            <w:r>
              <w:rPr>
                <w:rFonts w:ascii="Verdana" w:eastAsia="Calibri" w:hAnsi="Verdana" w:cs="Arial"/>
                <w:sz w:val="22"/>
                <w:szCs w:val="22"/>
                <w:lang w:val="es-ES_tradnl"/>
              </w:rPr>
              <w:t xml:space="preserve"> </w:t>
            </w:r>
            <w:r w:rsidRPr="005E3465">
              <w:rPr>
                <w:rFonts w:ascii="Verdana" w:eastAsia="Calibri" w:hAnsi="Verdana" w:cs="Arial"/>
                <w:sz w:val="22"/>
                <w:szCs w:val="22"/>
                <w:lang w:val="es-ES"/>
              </w:rPr>
              <w:t>actos de corrupción presentados en el marco de la labor de interventoría</w:t>
            </w:r>
            <w:r>
              <w:rPr>
                <w:rFonts w:ascii="Verdana" w:eastAsia="Calibri" w:hAnsi="Verdana" w:cs="Arial"/>
                <w:sz w:val="22"/>
                <w:szCs w:val="22"/>
                <w:lang w:val="es-ES"/>
              </w:rPr>
              <w:t xml:space="preserve">. </w:t>
            </w:r>
          </w:p>
        </w:tc>
      </w:tr>
    </w:tbl>
    <w:p w14:paraId="20DDF3C1" w14:textId="77777777" w:rsidR="00D71D00" w:rsidRPr="005E3465" w:rsidRDefault="00D71D00" w:rsidP="00D71D00">
      <w:pPr>
        <w:tabs>
          <w:tab w:val="left" w:pos="142"/>
          <w:tab w:val="left" w:pos="284"/>
        </w:tabs>
        <w:spacing w:after="0" w:line="276" w:lineRule="auto"/>
        <w:jc w:val="both"/>
        <w:rPr>
          <w:rFonts w:ascii="Verdana" w:eastAsia="Century Gothic" w:hAnsi="Verdana" w:cs="Century Gothic"/>
          <w:b/>
          <w:bCs/>
          <w:lang w:val="es-ES"/>
        </w:rPr>
      </w:pPr>
    </w:p>
    <w:p w14:paraId="7DDCE756" w14:textId="77777777" w:rsidR="00D71D00" w:rsidRPr="005E3465" w:rsidRDefault="00D71D00" w:rsidP="00D71D0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E3465">
        <w:rPr>
          <w:rFonts w:ascii="Verdana" w:eastAsia="Century Gothic" w:hAnsi="Verdana" w:cs="Century Gothic"/>
          <w:b/>
          <w:bCs/>
        </w:rPr>
        <w:t>Razones de la respuesta:</w:t>
      </w:r>
    </w:p>
    <w:p w14:paraId="1EA3BF3D" w14:textId="77777777" w:rsidR="00D71D00" w:rsidRPr="005E3465" w:rsidRDefault="00D71D00" w:rsidP="00D71D00">
      <w:pPr>
        <w:spacing w:after="0" w:line="276" w:lineRule="auto"/>
        <w:jc w:val="both"/>
        <w:rPr>
          <w:rFonts w:ascii="Verdana" w:eastAsia="Calibri" w:hAnsi="Verdana" w:cs="Arial"/>
          <w:color w:val="7030A0"/>
          <w:lang w:val="es-ES"/>
        </w:rPr>
      </w:pPr>
    </w:p>
    <w:p w14:paraId="0AEC3758" w14:textId="77777777" w:rsidR="00D71D00" w:rsidRPr="005E3465" w:rsidRDefault="00D71D00" w:rsidP="00D71D00">
      <w:pPr>
        <w:spacing w:after="0" w:line="276" w:lineRule="auto"/>
        <w:jc w:val="both"/>
        <w:rPr>
          <w:rFonts w:ascii="Verdana" w:eastAsia="Calibri" w:hAnsi="Verdana" w:cs="Arial"/>
          <w:lang w:val="es-ES"/>
        </w:rPr>
      </w:pPr>
      <w:r w:rsidRPr="005E3465">
        <w:rPr>
          <w:rFonts w:ascii="Verdana" w:eastAsia="Calibri" w:hAnsi="Verdana" w:cs="Arial"/>
          <w:lang w:val="es-ES"/>
        </w:rPr>
        <w:t xml:space="preserve">Lo anterior se sustenta en las siguientes consideraciones: </w:t>
      </w:r>
    </w:p>
    <w:p w14:paraId="2313D694" w14:textId="77777777" w:rsidR="00D71D00" w:rsidRPr="005E3465" w:rsidRDefault="00D71D00" w:rsidP="00D71D00">
      <w:pPr>
        <w:widowControl w:val="0"/>
        <w:autoSpaceDE w:val="0"/>
        <w:autoSpaceDN w:val="0"/>
        <w:spacing w:after="0" w:line="276" w:lineRule="auto"/>
        <w:jc w:val="both"/>
        <w:rPr>
          <w:rFonts w:ascii="Verdana" w:eastAsia="Calibri" w:hAnsi="Verdana" w:cs="Arial"/>
          <w:color w:val="7030A0"/>
          <w:lang w:val="es-ES"/>
        </w:rPr>
      </w:pPr>
    </w:p>
    <w:p w14:paraId="4B1BBAAA" w14:textId="77777777" w:rsidR="00D71D00" w:rsidRPr="005E3465" w:rsidRDefault="00D71D00" w:rsidP="00D71D00">
      <w:pPr>
        <w:spacing w:after="120" w:line="276" w:lineRule="auto"/>
        <w:jc w:val="both"/>
        <w:rPr>
          <w:rFonts w:ascii="Verdana" w:eastAsia="Aptos" w:hAnsi="Verdana" w:cs="Arial"/>
          <w:lang w:val="es-MX"/>
        </w:rPr>
      </w:pPr>
      <w:r w:rsidRPr="005E3465">
        <w:rPr>
          <w:rFonts w:ascii="Verdana" w:eastAsia="Calibri" w:hAnsi="Verdana" w:cs="Arial"/>
          <w:lang w:val="es-ES"/>
        </w:rPr>
        <w:t xml:space="preserve">En </w:t>
      </w:r>
      <w:r w:rsidRPr="005E3465">
        <w:rPr>
          <w:rFonts w:ascii="Verdana" w:eastAsia="Calibri" w:hAnsi="Verdana" w:cs="Arial"/>
          <w:i/>
          <w:iCs/>
          <w:lang w:val="es-ES"/>
        </w:rPr>
        <w:t>primer lugar</w:t>
      </w:r>
      <w:r w:rsidRPr="005E3465">
        <w:rPr>
          <w:rFonts w:ascii="Verdana" w:eastAsia="Calibri" w:hAnsi="Verdana" w:cs="Arial"/>
          <w:lang w:val="es-ES"/>
        </w:rPr>
        <w:t>, respecto del objeto de su consulta, debe advertirse que,</w:t>
      </w:r>
      <w:r w:rsidRPr="005E3465">
        <w:rPr>
          <w:rFonts w:ascii="Verdana" w:eastAsia="Calibri" w:hAnsi="Verdana" w:cs="Arial"/>
          <w:lang w:val="es-ES_tradnl" w:eastAsia="es-ES_tradnl"/>
        </w:rPr>
        <w:t xml:space="preserve"> l</w:t>
      </w:r>
      <w:r w:rsidRPr="005E3465">
        <w:rPr>
          <w:rFonts w:ascii="Verdana" w:eastAsia="Aptos" w:hAnsi="Verdana" w:cs="Arial"/>
          <w:lang w:val="es-MX"/>
        </w:rPr>
        <w:t>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01D4EFDE" w14:textId="77777777" w:rsidR="00D71D00" w:rsidRPr="005E3465" w:rsidRDefault="00D71D00" w:rsidP="00D71D00">
      <w:pPr>
        <w:spacing w:after="120" w:line="276" w:lineRule="auto"/>
        <w:ind w:firstLine="708"/>
        <w:jc w:val="both"/>
        <w:rPr>
          <w:rFonts w:ascii="Verdana" w:eastAsia="Aptos" w:hAnsi="Verdana" w:cs="Arial"/>
          <w:lang w:val="es-MX"/>
        </w:rPr>
      </w:pPr>
      <w:r w:rsidRPr="005E3465">
        <w:rPr>
          <w:rFonts w:ascii="Verdana" w:eastAsia="Aptos" w:hAnsi="Verdana" w:cs="Arial"/>
          <w:lang w:val="es-MX"/>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w:t>
      </w:r>
    </w:p>
    <w:p w14:paraId="6102BE89" w14:textId="77777777" w:rsidR="00D71D00" w:rsidRPr="005E3465" w:rsidRDefault="00D71D00" w:rsidP="00D71D00">
      <w:pPr>
        <w:spacing w:before="120" w:after="0" w:line="276" w:lineRule="auto"/>
        <w:ind w:firstLine="709"/>
        <w:jc w:val="both"/>
        <w:rPr>
          <w:rFonts w:ascii="Verdana" w:eastAsia="Aptos" w:hAnsi="Verdana" w:cs="Arial"/>
          <w:lang w:val="es-MX"/>
        </w:rPr>
      </w:pPr>
      <w:r w:rsidRPr="005E3465">
        <w:rPr>
          <w:rFonts w:ascii="Verdana" w:eastAsia="Aptos" w:hAnsi="Verdana" w:cs="Arial"/>
          <w:lang w:val="es-MX"/>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41547207" w14:textId="77777777" w:rsidR="00D71D00" w:rsidRPr="005E3465" w:rsidRDefault="00D71D00" w:rsidP="00D71D00">
      <w:pPr>
        <w:spacing w:after="0" w:line="276" w:lineRule="auto"/>
        <w:ind w:firstLine="709"/>
        <w:jc w:val="both"/>
        <w:rPr>
          <w:rFonts w:ascii="Verdana" w:eastAsia="Aptos" w:hAnsi="Verdana" w:cs="Arial"/>
          <w:lang w:val="es-MX"/>
        </w:rPr>
      </w:pPr>
    </w:p>
    <w:p w14:paraId="5FA7425E" w14:textId="77777777" w:rsidR="00D71D00" w:rsidRPr="00160B30" w:rsidRDefault="00D71D00" w:rsidP="00D71D00">
      <w:pPr>
        <w:shd w:val="clear" w:color="auto" w:fill="FFFFFF"/>
        <w:spacing w:after="0" w:line="240" w:lineRule="auto"/>
        <w:ind w:left="709" w:right="709"/>
        <w:contextualSpacing/>
        <w:jc w:val="both"/>
        <w:rPr>
          <w:rFonts w:ascii="Verdana" w:eastAsia="Aptos" w:hAnsi="Verdana" w:cs="Arial"/>
          <w:sz w:val="20"/>
          <w:szCs w:val="20"/>
          <w:lang w:val="es-ES"/>
        </w:rPr>
      </w:pPr>
      <w:r w:rsidRPr="00160B30">
        <w:rPr>
          <w:rFonts w:ascii="Verdana" w:eastAsia="Aptos" w:hAnsi="Verdana" w:cs="Arial"/>
          <w:sz w:val="20"/>
          <w:szCs w:val="20"/>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2EAA0975" w14:textId="77777777" w:rsidR="00D71D00" w:rsidRPr="00160B30" w:rsidRDefault="00D71D00" w:rsidP="00D71D00">
      <w:pPr>
        <w:shd w:val="clear" w:color="auto" w:fill="FFFFFF"/>
        <w:spacing w:after="0" w:line="240" w:lineRule="auto"/>
        <w:ind w:left="709" w:right="709"/>
        <w:contextualSpacing/>
        <w:jc w:val="both"/>
        <w:rPr>
          <w:rFonts w:ascii="Verdana" w:eastAsia="Aptos" w:hAnsi="Verdana" w:cs="Arial"/>
          <w:sz w:val="20"/>
          <w:szCs w:val="20"/>
          <w:lang w:val="es-ES"/>
        </w:rPr>
      </w:pPr>
    </w:p>
    <w:p w14:paraId="4C39AA44" w14:textId="77777777" w:rsidR="00D71D00" w:rsidRPr="00160B30" w:rsidRDefault="00D71D00" w:rsidP="00D71D00">
      <w:pPr>
        <w:shd w:val="clear" w:color="auto" w:fill="FFFFFF"/>
        <w:spacing w:after="0" w:line="240" w:lineRule="auto"/>
        <w:ind w:left="709" w:right="709"/>
        <w:contextualSpacing/>
        <w:jc w:val="both"/>
        <w:rPr>
          <w:rFonts w:ascii="Verdana" w:eastAsia="Aptos" w:hAnsi="Verdana" w:cs="Arial"/>
          <w:sz w:val="20"/>
          <w:szCs w:val="20"/>
          <w:lang w:val="es-ES"/>
        </w:rPr>
      </w:pPr>
      <w:r w:rsidRPr="00160B30">
        <w:rPr>
          <w:rFonts w:ascii="Verdana" w:eastAsia="Aptos" w:hAnsi="Verdana" w:cs="Arial"/>
          <w:sz w:val="20"/>
          <w:szCs w:val="20"/>
          <w:lang w:val="es-ES"/>
        </w:rPr>
        <w:lastRenderedPageBreak/>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160B30">
        <w:rPr>
          <w:rFonts w:ascii="Verdana" w:eastAsia="Aptos" w:hAnsi="Verdana" w:cs="Arial"/>
          <w:sz w:val="20"/>
          <w:szCs w:val="20"/>
          <w:vertAlign w:val="superscript"/>
          <w:lang w:val="es-ES"/>
        </w:rPr>
        <w:footnoteReference w:id="2"/>
      </w:r>
      <w:r w:rsidRPr="00160B30">
        <w:rPr>
          <w:rFonts w:ascii="Verdana" w:eastAsia="Aptos" w:hAnsi="Verdana" w:cs="Arial"/>
          <w:sz w:val="20"/>
          <w:szCs w:val="20"/>
          <w:lang w:val="es-ES"/>
        </w:rPr>
        <w:t xml:space="preserve">. </w:t>
      </w:r>
    </w:p>
    <w:p w14:paraId="5B45C798" w14:textId="77777777" w:rsidR="00D71D00" w:rsidRPr="005E3465" w:rsidRDefault="00D71D00" w:rsidP="00D71D00">
      <w:pPr>
        <w:spacing w:after="0" w:line="276" w:lineRule="auto"/>
        <w:jc w:val="both"/>
        <w:rPr>
          <w:rFonts w:ascii="Verdana" w:eastAsia="Aptos" w:hAnsi="Verdana" w:cs="Arial"/>
          <w:lang w:val="es-MX"/>
        </w:rPr>
      </w:pPr>
    </w:p>
    <w:p w14:paraId="1F070AB5" w14:textId="77777777" w:rsidR="00D71D00" w:rsidRPr="005E3465" w:rsidRDefault="00D71D00" w:rsidP="00D71D00">
      <w:pPr>
        <w:spacing w:after="120" w:line="276" w:lineRule="auto"/>
        <w:ind w:firstLine="709"/>
        <w:jc w:val="both"/>
        <w:rPr>
          <w:rFonts w:ascii="Verdana" w:eastAsia="Times New Roman" w:hAnsi="Verdana" w:cs="Arial"/>
          <w:lang w:eastAsia="es-MX"/>
        </w:rPr>
      </w:pPr>
      <w:r w:rsidRPr="005E3465">
        <w:rPr>
          <w:rFonts w:ascii="Verdana" w:eastAsia="Aptos" w:hAnsi="Verdana" w:cs="Arial"/>
          <w:lang w:val="es-MX"/>
        </w:rPr>
        <w:t xml:space="preserve">Conforme lo anterior, 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w:t>
      </w:r>
    </w:p>
    <w:p w14:paraId="6C327839" w14:textId="77777777" w:rsidR="00D71D00" w:rsidRPr="005E3465" w:rsidRDefault="00D71D00" w:rsidP="00D71D00">
      <w:pPr>
        <w:spacing w:after="120" w:line="276" w:lineRule="auto"/>
        <w:ind w:firstLine="709"/>
        <w:jc w:val="both"/>
        <w:rPr>
          <w:rFonts w:ascii="Verdana" w:eastAsia="Times New Roman" w:hAnsi="Verdana" w:cs="Arial"/>
          <w:lang w:eastAsia="es-MX"/>
        </w:rPr>
      </w:pPr>
      <w:r w:rsidRPr="005E3465">
        <w:rPr>
          <w:rFonts w:ascii="Verdana" w:eastAsia="Times New Roman" w:hAnsi="Verdana" w:cs="Arial"/>
          <w:lang w:eastAsia="es-MX"/>
        </w:rPr>
        <w:t xml:space="preserve">Conviene también distinguir las fuentes de las inhabilidades, las cuales han sido clasificadas en dos (2) grupos: i) inhabilidades-sanción y ii) inhabilidades-requisito. En el </w:t>
      </w:r>
      <w:r w:rsidRPr="005E3465">
        <w:rPr>
          <w:rFonts w:ascii="Verdana" w:eastAsia="Times New Roman" w:hAnsi="Verdana" w:cs="Arial"/>
          <w:i/>
          <w:iCs/>
          <w:lang w:eastAsia="es-MX"/>
        </w:rPr>
        <w:t>primer</w:t>
      </w:r>
      <w:r w:rsidRPr="005E3465">
        <w:rPr>
          <w:rFonts w:ascii="Verdana" w:eastAsia="Times New Roman" w:hAnsi="Verdana" w:cs="Arial"/>
          <w:lang w:eastAsia="es-MX"/>
        </w:rPr>
        <w:t xml:space="preserve"> grupo se encuentran las inhabilidades que surgen como consecuencia de un proceso sancionatorio, en los ámbitos penal, disciplinario, contravencional o de pérdida de investidura. En el </w:t>
      </w:r>
      <w:r w:rsidRPr="005E3465">
        <w:rPr>
          <w:rFonts w:ascii="Verdana" w:eastAsia="Times New Roman" w:hAnsi="Verdana" w:cs="Arial"/>
          <w:i/>
          <w:iCs/>
          <w:lang w:eastAsia="es-MX"/>
        </w:rPr>
        <w:t>segundo</w:t>
      </w:r>
      <w:r w:rsidRPr="005E3465">
        <w:rPr>
          <w:rFonts w:ascii="Verdana" w:eastAsia="Times New Roman" w:hAnsi="Verdana" w:cs="Arial"/>
          <w:lang w:eastAsia="es-MX"/>
        </w:rPr>
        <w:t xml:space="preserve"> grupo están aquellas que no devienen de un proceso sancionatorio, sino de condiciones propias de la persona y garantizan la moralidad, la imparcialidad, la eficacia y la transparencia</w:t>
      </w:r>
      <w:r w:rsidRPr="005E3465">
        <w:rPr>
          <w:rFonts w:ascii="Verdana" w:eastAsia="Times New Roman" w:hAnsi="Verdana" w:cs="Arial"/>
          <w:vertAlign w:val="superscript"/>
          <w:lang w:eastAsia="es-MX"/>
        </w:rPr>
        <w:footnoteReference w:id="3"/>
      </w:r>
      <w:r w:rsidRPr="005E3465">
        <w:rPr>
          <w:rFonts w:ascii="Verdana" w:eastAsia="Times New Roman" w:hAnsi="Verdana" w:cs="Arial"/>
          <w:lang w:eastAsia="es-MX"/>
        </w:rPr>
        <w:t xml:space="preserve">. </w:t>
      </w:r>
    </w:p>
    <w:p w14:paraId="673B24EE" w14:textId="77777777" w:rsidR="00D71D00" w:rsidRPr="005E3465" w:rsidRDefault="00D71D00" w:rsidP="00D71D00">
      <w:pPr>
        <w:spacing w:after="120" w:line="276" w:lineRule="auto"/>
        <w:ind w:firstLine="708"/>
        <w:jc w:val="both"/>
        <w:rPr>
          <w:rFonts w:ascii="Verdana" w:eastAsia="Times New Roman" w:hAnsi="Verdana" w:cs="Arial"/>
          <w:lang w:eastAsia="es-MX"/>
        </w:rPr>
      </w:pPr>
      <w:r w:rsidRPr="005E3465">
        <w:rPr>
          <w:rFonts w:ascii="Verdana" w:eastAsia="Times New Roman" w:hAnsi="Verdana" w:cs="Arial"/>
          <w:lang w:eastAsia="es-MX"/>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Las inhabilidades de los literales f), g) y h) del numeral 1° de la norma citada establecen inhabilidades–requisito, pues no se configuran por la comisión previa de una falta o un delito que dio lugar a una declaratoria por parte de la Administración </w:t>
      </w:r>
      <w:r w:rsidRPr="005E3465">
        <w:rPr>
          <w:rFonts w:ascii="Verdana" w:eastAsia="Times New Roman" w:hAnsi="Verdana" w:cs="Arial"/>
          <w:lang w:eastAsia="es-MX"/>
        </w:rPr>
        <w:lastRenderedPageBreak/>
        <w:t xml:space="preserve">o el juez, sino de aspectos propios de la persona, derivados, por ejemplo, del parentesco o la afinidad o de la condición de servidor público. </w:t>
      </w:r>
    </w:p>
    <w:p w14:paraId="6304B2F9" w14:textId="77777777" w:rsidR="00D71D00" w:rsidRPr="005E3465" w:rsidRDefault="00D71D00" w:rsidP="00D71D00">
      <w:pPr>
        <w:spacing w:after="120" w:line="276" w:lineRule="auto"/>
        <w:ind w:firstLine="709"/>
        <w:jc w:val="both"/>
        <w:rPr>
          <w:rFonts w:ascii="Verdana" w:eastAsia="Times New Roman" w:hAnsi="Verdana" w:cs="Arial"/>
          <w:lang w:eastAsia="es-MX"/>
        </w:rPr>
      </w:pPr>
      <w:r w:rsidRPr="005E3465">
        <w:rPr>
          <w:rFonts w:ascii="Verdana" w:eastAsia="Times New Roman" w:hAnsi="Verdana" w:cs="Arial"/>
          <w:lang w:eastAsia="es-MX"/>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4652E59B" w14:textId="77777777" w:rsidR="00D71D00" w:rsidRPr="005E3465" w:rsidRDefault="00D71D00" w:rsidP="00D71D00">
      <w:pPr>
        <w:spacing w:after="120" w:line="276" w:lineRule="auto"/>
        <w:ind w:firstLine="709"/>
        <w:jc w:val="both"/>
        <w:rPr>
          <w:rFonts w:ascii="Verdana" w:eastAsia="Calibri" w:hAnsi="Verdana" w:cs="Arial"/>
          <w:color w:val="000000"/>
          <w:lang w:val="es-ES_tradnl" w:eastAsia="es-ES_tradnl"/>
        </w:rPr>
      </w:pPr>
      <w:r w:rsidRPr="005E3465">
        <w:rPr>
          <w:rFonts w:ascii="Verdana" w:eastAsia="Calibri" w:hAnsi="Verdana" w:cs="Arial"/>
          <w:color w:val="000000"/>
          <w:lang w:val="es-ES_tradnl" w:eastAsia="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5E3465">
        <w:rPr>
          <w:rFonts w:ascii="Verdana" w:eastAsia="Calibri" w:hAnsi="Verdana" w:cs="Arial"/>
          <w:i/>
          <w:iCs/>
          <w:color w:val="000000"/>
          <w:lang w:val="es-ES_tradnl" w:eastAsia="es-ES_tradnl"/>
        </w:rPr>
        <w:t>restrictiva</w:t>
      </w:r>
      <w:r w:rsidRPr="005E3465">
        <w:rPr>
          <w:rFonts w:ascii="Verdana" w:eastAsia="Aptos" w:hAnsi="Verdana" w:cs="Times New Roman"/>
          <w:vertAlign w:val="superscript"/>
        </w:rPr>
        <w:footnoteReference w:id="4"/>
      </w:r>
      <w:r w:rsidRPr="005E3465">
        <w:rPr>
          <w:rFonts w:ascii="Verdana" w:eastAsia="Calibri" w:hAnsi="Verdana" w:cs="Arial"/>
          <w:color w:val="000000"/>
          <w:lang w:eastAsia="es-ES_tradnl"/>
        </w:rPr>
        <w:t>. S</w:t>
      </w:r>
      <w:r w:rsidRPr="005E3465">
        <w:rPr>
          <w:rFonts w:ascii="Verdana" w:eastAsia="Calibri" w:hAnsi="Verdana" w:cs="Arial"/>
          <w:color w:val="000000"/>
          <w:lang w:val="es-ES_tradnl" w:eastAsia="es-ES_tradnl"/>
        </w:rPr>
        <w:t xml:space="preserve">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14:paraId="753F3B67" w14:textId="77777777" w:rsidR="00D71D00" w:rsidRPr="005E3465" w:rsidRDefault="00D71D00" w:rsidP="00D71D00">
      <w:pPr>
        <w:spacing w:after="120" w:line="276" w:lineRule="auto"/>
        <w:ind w:firstLine="709"/>
        <w:jc w:val="both"/>
        <w:rPr>
          <w:rFonts w:ascii="Verdana" w:eastAsia="Calibri" w:hAnsi="Verdana" w:cs="Arial"/>
          <w:color w:val="000000"/>
          <w:lang w:val="es-ES_tradnl" w:eastAsia="es-ES_tradnl"/>
        </w:rPr>
      </w:pPr>
      <w:r w:rsidRPr="005E3465">
        <w:rPr>
          <w:rFonts w:ascii="Verdana" w:eastAsia="Calibri" w:hAnsi="Verdana" w:cs="Arial"/>
          <w:color w:val="000000"/>
          <w:lang w:val="es-ES_tradnl" w:eastAsia="es-ES_tradnl"/>
        </w:rPr>
        <w:t xml:space="preserve">Tal ha sido la postura al interior de la jurisprudencia, tanto de la Corte Constitucional como de la Sección Tercera del Consejo de Estado. En efecto, el máximo tribunal constitucional ha indicado que, al precisar el sentido de este tipo de normas, </w:t>
      </w:r>
      <w:r w:rsidRPr="00160B30">
        <w:rPr>
          <w:rFonts w:ascii="Verdana" w:eastAsia="Calibri" w:hAnsi="Verdana" w:cs="Arial"/>
          <w:i/>
          <w:iCs/>
          <w:color w:val="000000"/>
          <w:lang w:val="es-ES_tradnl" w:eastAsia="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5E3465">
        <w:rPr>
          <w:rFonts w:ascii="Verdana" w:eastAsia="Aptos" w:hAnsi="Verdana" w:cs="Times New Roman"/>
          <w:vertAlign w:val="superscript"/>
        </w:rPr>
        <w:footnoteReference w:id="5"/>
      </w:r>
      <w:r w:rsidRPr="005E3465">
        <w:rPr>
          <w:rFonts w:ascii="Verdana" w:eastAsia="Calibri" w:hAnsi="Verdana" w:cs="Arial"/>
          <w:color w:val="000000"/>
          <w:lang w:val="es-ES_tradnl" w:eastAsia="es-ES_tradnl"/>
        </w:rPr>
        <w:t xml:space="preserve">. </w:t>
      </w:r>
    </w:p>
    <w:p w14:paraId="15D6E54B" w14:textId="77777777" w:rsidR="00D71D00" w:rsidRPr="005E3465" w:rsidRDefault="00D71D00" w:rsidP="00D71D00">
      <w:pPr>
        <w:spacing w:after="0" w:line="276" w:lineRule="auto"/>
        <w:ind w:firstLine="709"/>
        <w:jc w:val="both"/>
        <w:rPr>
          <w:rFonts w:ascii="Verdana" w:eastAsia="Calibri" w:hAnsi="Verdana" w:cs="Arial"/>
          <w:color w:val="000000"/>
          <w:lang w:val="es-ES_tradnl" w:eastAsia="es-ES_tradnl"/>
        </w:rPr>
      </w:pPr>
      <w:r w:rsidRPr="005E3465">
        <w:rPr>
          <w:rFonts w:ascii="Verdana" w:eastAsia="Calibri" w:hAnsi="Verdana" w:cs="Arial"/>
          <w:color w:val="000000"/>
          <w:lang w:val="es-ES_tradnl" w:eastAsia="es-ES_tradnl"/>
        </w:rPr>
        <w:t xml:space="preserve">Por su parte, el Consejo de Estado ha acogido también este criterio, considerando –como expresa la Sala de Consulta y Servicio Civil– que </w:t>
      </w:r>
      <w:r w:rsidRPr="00E45F63">
        <w:rPr>
          <w:rFonts w:ascii="Verdana" w:eastAsia="Calibri" w:hAnsi="Verdana" w:cs="Arial"/>
          <w:i/>
          <w:iCs/>
          <w:color w:val="000000"/>
          <w:lang w:val="es-ES_tradnl" w:eastAsia="es-ES_tradnl"/>
        </w:rPr>
        <w:t xml:space="preserve">“La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w:t>
      </w:r>
      <w:r w:rsidRPr="00E45F63">
        <w:rPr>
          <w:rFonts w:ascii="Verdana" w:eastAsia="Calibri" w:hAnsi="Verdana" w:cs="Arial"/>
          <w:i/>
          <w:iCs/>
          <w:color w:val="000000"/>
          <w:lang w:val="es-ES_tradnl" w:eastAsia="es-ES_tradnl"/>
        </w:rPr>
        <w:lastRenderedPageBreak/>
        <w:t>pueden hacer todo aquello que no les esté expresamente prohibido”</w:t>
      </w:r>
      <w:r w:rsidRPr="005E3465">
        <w:rPr>
          <w:rFonts w:ascii="Verdana" w:eastAsia="Aptos" w:hAnsi="Verdana" w:cs="Times New Roman"/>
          <w:vertAlign w:val="superscript"/>
        </w:rPr>
        <w:footnoteReference w:id="6"/>
      </w:r>
      <w:r w:rsidRPr="005E3465">
        <w:rPr>
          <w:rFonts w:ascii="Verdana" w:eastAsia="Calibri" w:hAnsi="Verdana" w:cs="Arial"/>
          <w:color w:val="000000"/>
          <w:lang w:val="es-ES_tradnl" w:eastAsia="es-ES_tradnl"/>
        </w:rPr>
        <w:t>. En tal sentido, la Sección Tercera ha señalado que:</w:t>
      </w:r>
    </w:p>
    <w:p w14:paraId="70271FEC" w14:textId="77777777" w:rsidR="00D71D00" w:rsidRPr="005E3465" w:rsidRDefault="00D71D00" w:rsidP="00D71D00">
      <w:pPr>
        <w:spacing w:after="0" w:line="276" w:lineRule="auto"/>
        <w:ind w:firstLine="709"/>
        <w:jc w:val="both"/>
        <w:rPr>
          <w:rFonts w:ascii="Verdana" w:eastAsia="Calibri" w:hAnsi="Verdana" w:cs="Arial"/>
          <w:color w:val="000000"/>
          <w:lang w:val="es-ES_tradnl" w:eastAsia="es-ES_tradnl"/>
        </w:rPr>
      </w:pPr>
    </w:p>
    <w:p w14:paraId="28008AFC" w14:textId="77777777" w:rsidR="00D71D00" w:rsidRPr="00160B30" w:rsidRDefault="00D71D00" w:rsidP="00D71D00">
      <w:pPr>
        <w:spacing w:after="0" w:line="240" w:lineRule="auto"/>
        <w:ind w:left="709" w:right="709"/>
        <w:jc w:val="both"/>
        <w:rPr>
          <w:rFonts w:ascii="Verdana" w:eastAsia="Times New Roman" w:hAnsi="Verdana" w:cs="Arial"/>
          <w:bCs/>
          <w:color w:val="000000"/>
          <w:sz w:val="20"/>
          <w:szCs w:val="20"/>
          <w:lang w:val="es-ES_tradnl" w:eastAsia="es-ES_tradnl"/>
        </w:rPr>
      </w:pPr>
      <w:r w:rsidRPr="00160B30">
        <w:rPr>
          <w:rFonts w:ascii="Verdana" w:eastAsia="Times New Roman" w:hAnsi="Verdana" w:cs="Arial"/>
          <w:color w:val="000000"/>
          <w:sz w:val="20"/>
          <w:szCs w:val="20"/>
          <w:lang w:val="es-ES_tradnl" w:eastAsia="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160B30">
        <w:rPr>
          <w:rFonts w:ascii="Verdana" w:eastAsia="Aptos" w:hAnsi="Verdana" w:cs="Times New Roman"/>
          <w:sz w:val="20"/>
          <w:szCs w:val="20"/>
          <w:vertAlign w:val="superscript"/>
        </w:rPr>
        <w:footnoteReference w:id="7"/>
      </w:r>
      <w:r w:rsidRPr="00160B30">
        <w:rPr>
          <w:rFonts w:ascii="Verdana" w:eastAsia="Times New Roman" w:hAnsi="Verdana" w:cs="Arial"/>
          <w:color w:val="000000"/>
          <w:sz w:val="20"/>
          <w:szCs w:val="20"/>
          <w:lang w:val="es-ES_tradnl" w:eastAsia="es-ES_tradnl"/>
        </w:rPr>
        <w:t>.</w:t>
      </w:r>
    </w:p>
    <w:p w14:paraId="37E0AEE7" w14:textId="77777777" w:rsidR="00D71D00" w:rsidRPr="00160B30" w:rsidRDefault="00D71D00" w:rsidP="00D71D00">
      <w:pPr>
        <w:spacing w:after="0" w:line="240" w:lineRule="auto"/>
        <w:ind w:left="709" w:right="709"/>
        <w:jc w:val="both"/>
        <w:rPr>
          <w:rFonts w:ascii="Verdana" w:eastAsia="Times New Roman" w:hAnsi="Verdana" w:cs="Arial"/>
          <w:bCs/>
          <w:color w:val="000000"/>
          <w:sz w:val="20"/>
          <w:szCs w:val="20"/>
          <w:lang w:val="es-ES_tradnl" w:eastAsia="es-ES_tradnl"/>
        </w:rPr>
      </w:pPr>
    </w:p>
    <w:p w14:paraId="41A2A717" w14:textId="77777777" w:rsidR="00D71D00" w:rsidRPr="00160B30" w:rsidRDefault="00D71D00" w:rsidP="00D71D00">
      <w:pPr>
        <w:spacing w:after="0" w:line="240" w:lineRule="auto"/>
        <w:ind w:left="709" w:right="709"/>
        <w:jc w:val="both"/>
        <w:rPr>
          <w:rFonts w:ascii="Verdana" w:eastAsia="Times New Roman" w:hAnsi="Verdana" w:cs="Arial"/>
          <w:bCs/>
          <w:color w:val="000000"/>
          <w:sz w:val="20"/>
          <w:szCs w:val="20"/>
          <w:lang w:val="es-ES_tradnl" w:eastAsia="es-ES_tradnl"/>
        </w:rPr>
      </w:pPr>
      <w:r w:rsidRPr="00160B30">
        <w:rPr>
          <w:rFonts w:ascii="Verdana" w:eastAsia="Calibri" w:hAnsi="Verdana" w:cs="Arial"/>
          <w:color w:val="000000"/>
          <w:sz w:val="20"/>
          <w:szCs w:val="20"/>
          <w:lang w:val="es-ES_tradnl" w:eastAsia="es-ES_tradnl"/>
        </w:rPr>
        <w:t>También ha dicho que:</w:t>
      </w:r>
    </w:p>
    <w:p w14:paraId="17F0E8A9" w14:textId="77777777" w:rsidR="00D71D00" w:rsidRPr="00160B30" w:rsidRDefault="00D71D00" w:rsidP="00D71D00">
      <w:pPr>
        <w:spacing w:after="0" w:line="240" w:lineRule="auto"/>
        <w:ind w:left="709" w:right="709" w:firstLine="709"/>
        <w:jc w:val="both"/>
        <w:rPr>
          <w:rFonts w:ascii="Verdana" w:eastAsia="Calibri" w:hAnsi="Verdana" w:cs="Arial"/>
          <w:color w:val="000000"/>
          <w:sz w:val="20"/>
          <w:szCs w:val="20"/>
          <w:lang w:val="es-ES_tradnl" w:eastAsia="es-ES_tradnl"/>
        </w:rPr>
      </w:pPr>
    </w:p>
    <w:p w14:paraId="101A63EE" w14:textId="77777777" w:rsidR="00D71D00" w:rsidRPr="00160B30" w:rsidRDefault="00D71D00" w:rsidP="00D71D00">
      <w:pPr>
        <w:spacing w:after="0" w:line="240" w:lineRule="auto"/>
        <w:ind w:left="709" w:right="709"/>
        <w:jc w:val="both"/>
        <w:rPr>
          <w:rFonts w:ascii="Verdana" w:eastAsia="Times New Roman" w:hAnsi="Verdana" w:cs="Arial"/>
          <w:color w:val="000000"/>
          <w:sz w:val="20"/>
          <w:szCs w:val="20"/>
          <w:lang w:val="es-ES_tradnl" w:eastAsia="es-ES_tradnl"/>
        </w:rPr>
      </w:pPr>
      <w:r w:rsidRPr="00160B30">
        <w:rPr>
          <w:rFonts w:ascii="Verdana" w:eastAsia="Times New Roman" w:hAnsi="Verdana" w:cs="Arial"/>
          <w:color w:val="000000"/>
          <w:sz w:val="20"/>
          <w:szCs w:val="20"/>
          <w:lang w:val="es-ES_tradnl" w:eastAsia="es-ES_tradnl"/>
        </w:rPr>
        <w:t xml:space="preserve">[…] la aplicación de estos preceptos exige una interpretación restrictiva, dado que según el principio hermenéutico </w:t>
      </w:r>
      <w:r w:rsidRPr="00160B30">
        <w:rPr>
          <w:rFonts w:ascii="Verdana" w:eastAsia="Times New Roman" w:hAnsi="Verdana" w:cs="Arial"/>
          <w:i/>
          <w:iCs/>
          <w:color w:val="000000"/>
          <w:sz w:val="20"/>
          <w:szCs w:val="20"/>
          <w:lang w:val="es-ES_tradnl" w:eastAsia="es-ES_tradnl"/>
        </w:rPr>
        <w:t>pro libertate</w:t>
      </w:r>
      <w:r w:rsidRPr="00160B30">
        <w:rPr>
          <w:rFonts w:ascii="Verdana" w:eastAsia="Times New Roman" w:hAnsi="Verdana" w:cs="Arial"/>
          <w:color w:val="000000"/>
          <w:sz w:val="20"/>
          <w:szCs w:val="20"/>
          <w:lang w:val="es-ES_tradnl" w:eastAsia="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160B30">
        <w:rPr>
          <w:rFonts w:ascii="Verdana" w:eastAsia="Aptos" w:hAnsi="Verdana" w:cs="Times New Roman"/>
          <w:sz w:val="20"/>
          <w:szCs w:val="20"/>
          <w:vertAlign w:val="superscript"/>
        </w:rPr>
        <w:footnoteReference w:id="8"/>
      </w:r>
      <w:r w:rsidRPr="00160B30">
        <w:rPr>
          <w:rFonts w:ascii="Verdana" w:eastAsia="Times New Roman" w:hAnsi="Verdana" w:cs="Arial"/>
          <w:color w:val="000000"/>
          <w:sz w:val="20"/>
          <w:szCs w:val="20"/>
          <w:lang w:val="es-ES_tradnl" w:eastAsia="es-ES_tradnl"/>
        </w:rPr>
        <w:t>.</w:t>
      </w:r>
    </w:p>
    <w:p w14:paraId="5F784E57" w14:textId="77777777" w:rsidR="00D71D00" w:rsidRPr="005E3465" w:rsidRDefault="00D71D00" w:rsidP="00D71D00">
      <w:pPr>
        <w:spacing w:after="0" w:line="276" w:lineRule="auto"/>
        <w:jc w:val="both"/>
        <w:rPr>
          <w:rFonts w:ascii="Verdana" w:eastAsia="Calibri" w:hAnsi="Verdana" w:cs="Arial"/>
          <w:color w:val="000000"/>
          <w:lang w:val="es-ES_tradnl" w:eastAsia="es-ES_tradnl"/>
        </w:rPr>
      </w:pPr>
    </w:p>
    <w:p w14:paraId="2562583E" w14:textId="77777777" w:rsidR="00D71D00" w:rsidRPr="005E3465" w:rsidRDefault="00D71D00" w:rsidP="00D71D00">
      <w:pPr>
        <w:spacing w:after="120" w:line="276" w:lineRule="auto"/>
        <w:ind w:firstLine="709"/>
        <w:jc w:val="both"/>
        <w:rPr>
          <w:rFonts w:ascii="Verdana" w:eastAsia="Times New Roman" w:hAnsi="Verdana" w:cs="Arial"/>
          <w:color w:val="000000"/>
          <w:shd w:val="clear" w:color="auto" w:fill="FFFFFF"/>
          <w:lang w:val="es-ES" w:eastAsia="es-ES_tradnl"/>
        </w:rPr>
      </w:pPr>
      <w:r w:rsidRPr="005E3465">
        <w:rPr>
          <w:rFonts w:ascii="Verdana" w:eastAsia="Calibri" w:hAnsi="Verdana" w:cs="Arial"/>
          <w:color w:val="000000"/>
          <w:lang w:val="es-ES_tradnl" w:eastAsia="es-ES_tradnl"/>
        </w:rPr>
        <w:t xml:space="preserve">Como se aprecia, el principio </w:t>
      </w:r>
      <w:r w:rsidRPr="005E3465">
        <w:rPr>
          <w:rFonts w:ascii="Verdana" w:eastAsia="Calibri" w:hAnsi="Verdana" w:cs="Arial"/>
          <w:i/>
          <w:iCs/>
          <w:color w:val="000000"/>
          <w:lang w:val="es-ES_tradnl" w:eastAsia="es-ES_tradnl"/>
        </w:rPr>
        <w:t>pro libertate</w:t>
      </w:r>
      <w:r w:rsidRPr="005E3465">
        <w:rPr>
          <w:rFonts w:ascii="Verdana" w:eastAsia="Calibri" w:hAnsi="Verdana" w:cs="Arial"/>
          <w:color w:val="000000"/>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Pr="005E3465">
        <w:rPr>
          <w:rFonts w:ascii="Verdana" w:eastAsia="Times New Roman" w:hAnsi="Verdana" w:cs="Arial"/>
          <w:color w:val="000000"/>
          <w:shd w:val="clear" w:color="auto" w:fill="FFFFFF"/>
          <w:lang w:val="es-ES" w:eastAsia="es-ES_tradnl"/>
        </w:rPr>
        <w:t>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48E006EF" w14:textId="77777777" w:rsidR="00D71D00" w:rsidRPr="005E3465" w:rsidRDefault="00D71D00" w:rsidP="00D71D00">
      <w:pPr>
        <w:spacing w:after="0" w:line="276" w:lineRule="auto"/>
        <w:ind w:firstLine="709"/>
        <w:jc w:val="both"/>
        <w:rPr>
          <w:rFonts w:ascii="Verdana" w:eastAsia="Aptos" w:hAnsi="Verdana" w:cs="Arial"/>
        </w:rPr>
      </w:pPr>
      <w:r w:rsidRPr="005E3465">
        <w:rPr>
          <w:rFonts w:ascii="Verdana" w:eastAsia="Aptos" w:hAnsi="Verdana" w:cs="Arial"/>
        </w:rPr>
        <w:t xml:space="preserve">En </w:t>
      </w:r>
      <w:r w:rsidRPr="005E3465">
        <w:rPr>
          <w:rFonts w:ascii="Verdana" w:eastAsia="Aptos" w:hAnsi="Verdana" w:cs="Arial"/>
          <w:i/>
          <w:iCs/>
        </w:rPr>
        <w:t>segundo lugar,</w:t>
      </w:r>
      <w:r w:rsidRPr="005E3465">
        <w:rPr>
          <w:rFonts w:ascii="Verdana" w:eastAsia="Aptos" w:hAnsi="Verdana" w:cs="Arial"/>
        </w:rPr>
        <w:t xml:space="preserve"> </w:t>
      </w:r>
      <w:r w:rsidRPr="005E3465">
        <w:rPr>
          <w:rFonts w:ascii="Verdana" w:eastAsia="Calibri" w:hAnsi="Verdana" w:cs="Arial"/>
          <w:lang w:val="es-ES_tradnl"/>
        </w:rPr>
        <w:t xml:space="preserve">con la finalidad de resolver la duda planteada en su consulta, </w:t>
      </w:r>
      <w:r>
        <w:rPr>
          <w:rFonts w:ascii="Verdana" w:eastAsia="Calibri" w:hAnsi="Verdana" w:cs="Arial"/>
          <w:lang w:val="es-ES_tradnl"/>
        </w:rPr>
        <w:t>debe tenerse en cuenta las causales de inhabilidad e incompatibilidad</w:t>
      </w:r>
      <w:r w:rsidRPr="005E3465">
        <w:rPr>
          <w:rFonts w:ascii="Verdana" w:eastAsia="Calibri" w:hAnsi="Verdana" w:cs="Arial"/>
          <w:lang w:val="es-ES_tradnl"/>
        </w:rPr>
        <w:t xml:space="preserve"> </w:t>
      </w:r>
      <w:r>
        <w:rPr>
          <w:rFonts w:ascii="Verdana" w:eastAsia="Calibri" w:hAnsi="Verdana" w:cs="Arial"/>
          <w:lang w:val="es-ES_tradnl"/>
        </w:rPr>
        <w:t xml:space="preserve">consagradas en </w:t>
      </w:r>
      <w:r w:rsidRPr="005E3465">
        <w:rPr>
          <w:rFonts w:ascii="Verdana" w:eastAsia="Calibri" w:hAnsi="Verdana" w:cs="Arial"/>
          <w:lang w:val="es-ES_tradnl"/>
        </w:rPr>
        <w:t xml:space="preserve">el artículo 8 de la Ley 80 de 1993, el cual reza de la siguiente forma: </w:t>
      </w:r>
    </w:p>
    <w:p w14:paraId="5576D271" w14:textId="77777777" w:rsidR="00D71D00" w:rsidRPr="005E3465" w:rsidRDefault="00D71D00" w:rsidP="00D71D00">
      <w:pPr>
        <w:spacing w:after="0" w:line="276" w:lineRule="auto"/>
        <w:ind w:left="709" w:right="902"/>
        <w:jc w:val="both"/>
        <w:rPr>
          <w:rFonts w:ascii="Verdana" w:eastAsia="Aptos" w:hAnsi="Verdana" w:cs="Arial"/>
          <w:lang w:eastAsia="es-MX"/>
        </w:rPr>
      </w:pPr>
      <w:bookmarkStart w:id="3" w:name="8"/>
    </w:p>
    <w:bookmarkEnd w:id="3"/>
    <w:p w14:paraId="4A742E2A"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lastRenderedPageBreak/>
        <w:t>“ARTICULO 8°. DE LAS INHABILIDADES E INCOMPATIBILIDADES PARA CONTRATAR.</w:t>
      </w:r>
    </w:p>
    <w:p w14:paraId="661BD76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5524461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1°. Son inhábiles para participar en licitaciones o concursos y para celebrar contratos con las entidades estatales:</w:t>
      </w:r>
    </w:p>
    <w:p w14:paraId="6BA1C3D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37E3B12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a) Las personas que se hallen inhabilitadas para contratar por la Constitución y las leyes.</w:t>
      </w:r>
    </w:p>
    <w:p w14:paraId="3510041A"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427A389B"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b) Quienes participaron en las licitaciones o concursos o celebraron los contratos de que trata el literal anterior estando inhabilitados.</w:t>
      </w:r>
    </w:p>
    <w:p w14:paraId="65DA6002"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05A2146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c) Quienes dieron lugar a la declaratoria de caducidad.</w:t>
      </w:r>
    </w:p>
    <w:p w14:paraId="35F6826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4CF6477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 xml:space="preserve">d) Quienes en sentencia judicial hayan sido condenados a la pena accesoria de interdicción de derechos y funciones públicas y quienes hayan sido sancionados disciplinariamente con destitución. </w:t>
      </w:r>
    </w:p>
    <w:p w14:paraId="1F2199F2"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671BA55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e) Quienes sin justa causa se abstengan de suscribir el contrato estatal adjudicado.</w:t>
      </w:r>
    </w:p>
    <w:p w14:paraId="2AA2DEF0"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454F58FB"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f) Los servidores públicos.</w:t>
      </w:r>
    </w:p>
    <w:p w14:paraId="10156D14"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21064E3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g) Quienes sean cónyuges o compañeros permanentes y quienes se encuentren dentro del segundo grado de consanguinidad o segundo de afinidad con cualquier otra persona que formalmente haya presentado propuesta para una misma licitación.</w:t>
      </w:r>
    </w:p>
    <w:p w14:paraId="09F3656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5986F172"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28E97D01"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206D59F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i) Los socios de sociedades de personas a las cuales se haya declarado la caducidad, así como las sociedades de personas de las que aquellos formen parte con posterioridad a dicha declaratoria.</w:t>
      </w:r>
    </w:p>
    <w:p w14:paraId="1E223BD1"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225D92E6"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de la de celebración del contrato, o de la de expiración del plazo para su firma.</w:t>
      </w:r>
    </w:p>
    <w:p w14:paraId="7AD95073"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7DF0563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 xml:space="preserve">j) Literal reglamentado por el Decreto 1358 de 2020. Literal modificado por la Ley 2014 de 2019, artículo 2º. Las personas naturales que hayan </w:t>
      </w:r>
      <w:r w:rsidRPr="00A63A08">
        <w:rPr>
          <w:rFonts w:ascii="Verdana" w:eastAsia="Aptos" w:hAnsi="Verdana" w:cs="Arial"/>
          <w:sz w:val="20"/>
          <w:szCs w:val="20"/>
          <w:lang w:val="es-MX" w:eastAsia="es-MX"/>
        </w:rPr>
        <w:lastRenderedPageBreak/>
        <w:t>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08297C24"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3A8C2F0B"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 xml:space="preserve">Esta inhabilidad procederá preventivamente aún en los casos en los que esté pendiente la decisión sobre la impugnación de la sentencia condenatoria.  </w:t>
      </w:r>
    </w:p>
    <w:p w14:paraId="2EF59B2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1F4DFF10"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w14:paraId="0E3EBEC4"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1829104A"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7A62AB5D"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36550FBD"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w14:paraId="7849905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39341D4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k) Literal adicionado por la Ley 1474 de 2011, artículo 2º. Éste modificado por la Ley 1778 de 2016, artículo 33. Inhabilidad para contratar de quienes financien campañas políticas.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1F54BA76"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10821025"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lastRenderedPageBreak/>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68B215A9"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12F5D368"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7BBBFC8B"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75D45070"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La inhabilidad contemplada en esta norma no se aplicará respecto de los contratos de prestación de servicios profesionales.</w:t>
      </w:r>
    </w:p>
    <w:p w14:paraId="6D1EC0E9"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4FDB9DF5" w14:textId="77777777" w:rsidR="00D71D00" w:rsidRPr="00A63A08" w:rsidRDefault="00D71D00" w:rsidP="00D71D00">
      <w:pPr>
        <w:spacing w:after="0" w:line="240" w:lineRule="auto"/>
        <w:ind w:left="709" w:right="709"/>
        <w:contextualSpacing/>
        <w:jc w:val="both"/>
        <w:rPr>
          <w:rFonts w:ascii="Verdana" w:eastAsia="Aptos" w:hAnsi="Verdana" w:cs="Arial"/>
          <w:i/>
          <w:iCs/>
          <w:sz w:val="20"/>
          <w:szCs w:val="20"/>
          <w:lang w:val="es-MX" w:eastAsia="es-MX"/>
        </w:rPr>
      </w:pPr>
      <w:r w:rsidRPr="00A63A08">
        <w:rPr>
          <w:rFonts w:ascii="Verdana" w:eastAsia="Aptos" w:hAnsi="Verdana" w:cs="Arial"/>
          <w:i/>
          <w:iCs/>
          <w:sz w:val="20"/>
          <w:szCs w:val="20"/>
          <w:lang w:val="es-MX" w:eastAsia="es-MX"/>
        </w:rPr>
        <w:t>k) Literal adicionado por la Ley 1474 de 2011, artículo 84, parágrafo 2º. (éste declarado exequible condicionalmente por los cargos analizados por la Corte Constitucional en la Sentencia C-434 de 2013.).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3747AED3" w14:textId="77777777" w:rsidR="00D71D00" w:rsidRPr="00A63A08" w:rsidRDefault="00D71D00" w:rsidP="00D71D00">
      <w:pPr>
        <w:spacing w:after="0" w:line="240" w:lineRule="auto"/>
        <w:ind w:left="709" w:right="709"/>
        <w:contextualSpacing/>
        <w:jc w:val="both"/>
        <w:rPr>
          <w:rFonts w:ascii="Verdana" w:eastAsia="Aptos" w:hAnsi="Verdana" w:cs="Arial"/>
          <w:i/>
          <w:iCs/>
          <w:sz w:val="20"/>
          <w:szCs w:val="20"/>
          <w:lang w:val="es-MX" w:eastAsia="es-MX"/>
        </w:rPr>
      </w:pPr>
    </w:p>
    <w:p w14:paraId="540AA0EE" w14:textId="77777777" w:rsidR="00D71D00" w:rsidRPr="00A63A08" w:rsidRDefault="00D71D00" w:rsidP="00D71D00">
      <w:pPr>
        <w:spacing w:after="0" w:line="240" w:lineRule="auto"/>
        <w:ind w:left="709" w:right="709"/>
        <w:contextualSpacing/>
        <w:jc w:val="both"/>
        <w:rPr>
          <w:rFonts w:ascii="Verdana" w:eastAsia="Aptos" w:hAnsi="Verdana" w:cs="Arial"/>
          <w:i/>
          <w:iCs/>
          <w:sz w:val="20"/>
          <w:szCs w:val="20"/>
          <w:lang w:val="es-MX" w:eastAsia="es-MX"/>
        </w:rPr>
      </w:pPr>
      <w:r w:rsidRPr="00A63A08">
        <w:rPr>
          <w:rFonts w:ascii="Verdana" w:eastAsia="Aptos" w:hAnsi="Verdana" w:cs="Arial"/>
          <w:i/>
          <w:iCs/>
          <w:sz w:val="20"/>
          <w:szCs w:val="20"/>
          <w:lang w:val="es-MX" w:eastAsia="es-MX"/>
        </w:rPr>
        <w:t>Esta inhabilidad se extenderá por un término de cinco (5) años, contados a partir de la ejecutoria del acto administrativo que así lo declare, previa la actuación administrativa correspondiente.</w:t>
      </w:r>
    </w:p>
    <w:p w14:paraId="36CCA0DB"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6343B59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2°. Tampoco podrán participar en licitaciones o concursos ni celebrar contratos estatales con la entidad respectiva:</w:t>
      </w:r>
    </w:p>
    <w:p w14:paraId="379A5F5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38492FC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w:t>
      </w:r>
    </w:p>
    <w:p w14:paraId="6ABAB996"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186E9699"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 xml:space="preserve">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w:t>
      </w:r>
      <w:proofErr w:type="spellStart"/>
      <w:r w:rsidRPr="00A63A08">
        <w:rPr>
          <w:rFonts w:ascii="Verdana" w:eastAsia="Aptos" w:hAnsi="Verdana" w:cs="Arial"/>
          <w:sz w:val="20"/>
          <w:szCs w:val="20"/>
          <w:lang w:val="es-MX" w:eastAsia="es-MX"/>
        </w:rPr>
        <w:t>ejerzan</w:t>
      </w:r>
      <w:proofErr w:type="spellEnd"/>
      <w:r w:rsidRPr="00A63A08">
        <w:rPr>
          <w:rFonts w:ascii="Verdana" w:eastAsia="Aptos" w:hAnsi="Verdana" w:cs="Arial"/>
          <w:sz w:val="20"/>
          <w:szCs w:val="20"/>
          <w:lang w:val="es-MX" w:eastAsia="es-MX"/>
        </w:rPr>
        <w:t xml:space="preserve"> el control interno o fiscal de la entidad contratante.</w:t>
      </w:r>
    </w:p>
    <w:p w14:paraId="65941CA8"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7E1C5842"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 xml:space="preserve">c) El cónyuge, compañero o compañera permanente del servidor público en los niveles directivo, asesor, ejecutivo, o de un miembro de la junta o consejo directivo, o de quien ejerza funciones de control interno o de control fiscal.  </w:t>
      </w:r>
    </w:p>
    <w:p w14:paraId="2072C627"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6E28887A"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lastRenderedPageBreak/>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2408A702"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7AFBC6C6"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e) Los miembros de las juntas o consejos directivos. Esta incompatibilidad sólo se predica respecto de la entidad a la cual prestan sus servicios y de las del sector administrativo al que la misma esté adscrita o vinculada.</w:t>
      </w:r>
    </w:p>
    <w:p w14:paraId="28058BF9"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77D7949D"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f) Literal adicionado por la Ley 1474 de 2011, artículo 4º.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246D3DFA"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0DEF6BE0"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Esta incompatibilidad también operará para las personas que se encuentren dentro del primer grado de consanguinidad, primero de afinidad, o primero civil del ex empleado público.</w:t>
      </w:r>
    </w:p>
    <w:p w14:paraId="350A31DD"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6327BBA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PARAGRAFO 1°. La inhabilidad prevista en el literal d) del ordinal 2°. de este artículo no se aplicará en relación con las corporaciones, asociaciones, fundaciones y sociedades allí mencionadas, cuando por disposición legal o estatutaria el servidor público en los niveles referidos debe desempeñar en ellas cargos de dirección o manejo.</w:t>
      </w:r>
    </w:p>
    <w:p w14:paraId="0657FE99"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78CED4C6"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Inciso adicionado por la Ley 1150 de 2007, artículo 18. En las causales de inhabilidad por parentesco o por matrimonio, los vínculos desaparecen por muerte o por disolución del matrimonio.</w:t>
      </w:r>
    </w:p>
    <w:p w14:paraId="31C59BAE"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04F21D7C"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PARAGRAFO 2°. Para los efectos previstos en este artículo, el Gobierno Nacional determinará que debe entenderse por sociedades anónimas abiertas.</w:t>
      </w:r>
    </w:p>
    <w:p w14:paraId="5761C529"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p>
    <w:p w14:paraId="5CD588B0" w14:textId="77777777" w:rsidR="00D71D00" w:rsidRPr="00A63A08" w:rsidRDefault="00D71D00" w:rsidP="00D71D00">
      <w:pPr>
        <w:spacing w:after="0" w:line="240" w:lineRule="auto"/>
        <w:ind w:left="709" w:right="709"/>
        <w:contextualSpacing/>
        <w:jc w:val="both"/>
        <w:rPr>
          <w:rFonts w:ascii="Verdana" w:eastAsia="Aptos" w:hAnsi="Verdana" w:cs="Arial"/>
          <w:sz w:val="20"/>
          <w:szCs w:val="20"/>
          <w:lang w:val="es-MX" w:eastAsia="es-MX"/>
        </w:rPr>
      </w:pPr>
      <w:r w:rsidRPr="00A63A08">
        <w:rPr>
          <w:rFonts w:ascii="Verdana" w:eastAsia="Aptos" w:hAnsi="Verdana" w:cs="Arial"/>
          <w:sz w:val="20"/>
          <w:szCs w:val="20"/>
          <w:lang w:val="es-MX" w:eastAsia="es-MX"/>
        </w:rPr>
        <w:t>PARÁGRAFO 3º. Adicionado por la Ley 2014 de 2019, artículo 3o. Las inhabilidades e incompatibilidades contempladas en este artículo se aplicarán a cualquier proceso de contratación privada en el que se comprometan recursos públicos”. [Énfasis fuera del texto original]</w:t>
      </w:r>
    </w:p>
    <w:p w14:paraId="06E9BD21" w14:textId="77777777" w:rsidR="00D71D00" w:rsidRDefault="00D71D00" w:rsidP="00D71D00">
      <w:pPr>
        <w:spacing w:after="0" w:line="276" w:lineRule="auto"/>
        <w:ind w:firstLine="709"/>
        <w:jc w:val="both"/>
        <w:rPr>
          <w:rFonts w:ascii="Verdana" w:eastAsia="Aptos" w:hAnsi="Verdana" w:cs="Arial"/>
        </w:rPr>
      </w:pPr>
    </w:p>
    <w:p w14:paraId="500951C3" w14:textId="77777777" w:rsidR="00D71D00" w:rsidRPr="005E3465" w:rsidRDefault="00D71D00" w:rsidP="00D71D00">
      <w:pPr>
        <w:spacing w:after="120" w:line="276" w:lineRule="auto"/>
        <w:ind w:firstLine="709"/>
        <w:jc w:val="both"/>
        <w:rPr>
          <w:rFonts w:ascii="Verdana" w:eastAsia="Calibri" w:hAnsi="Verdana" w:cs="Arial"/>
          <w:color w:val="000000" w:themeColor="text1"/>
          <w:szCs w:val="24"/>
          <w:lang w:val="es-ES_tradnl" w:eastAsia="es-ES_tradnl"/>
        </w:rPr>
      </w:pPr>
      <w:r w:rsidRPr="005E3465">
        <w:rPr>
          <w:rFonts w:ascii="Verdana" w:eastAsia="Calibri" w:hAnsi="Verdana" w:cs="Arial"/>
          <w:color w:val="000000" w:themeColor="text1"/>
          <w:szCs w:val="24"/>
          <w:lang w:val="es-ES_tradnl" w:eastAsia="es-ES_tradnl"/>
        </w:rPr>
        <w:t xml:space="preserve">Conforme lo expuesto, en cada caso deberá analizarse si un proponente está incurso en alguna de las causales establecidas en la precitada disposición. </w:t>
      </w:r>
      <w:r>
        <w:rPr>
          <w:rFonts w:ascii="Verdana" w:eastAsia="Calibri" w:hAnsi="Verdana" w:cs="Arial"/>
          <w:color w:val="000000" w:themeColor="text1"/>
          <w:szCs w:val="24"/>
          <w:lang w:val="es-ES_tradnl" w:eastAsia="es-ES_tradnl"/>
        </w:rPr>
        <w:t xml:space="preserve">Para la Agencia </w:t>
      </w:r>
      <w:r w:rsidRPr="00A63A08">
        <w:rPr>
          <w:rFonts w:ascii="Verdana" w:eastAsia="Calibri" w:hAnsi="Verdana" w:cs="Arial"/>
          <w:color w:val="000000" w:themeColor="text1"/>
          <w:szCs w:val="24"/>
          <w:lang w:val="es-ES" w:eastAsia="es-ES_tradnl"/>
        </w:rPr>
        <w:t>Nacional de Contratación Pública – Colombia Compra Eficiente,</w:t>
      </w:r>
      <w:r>
        <w:rPr>
          <w:rFonts w:ascii="Verdana" w:eastAsia="Calibri" w:hAnsi="Verdana" w:cs="Arial"/>
          <w:color w:val="000000" w:themeColor="text1"/>
          <w:szCs w:val="24"/>
          <w:lang w:val="es-ES" w:eastAsia="es-ES_tradnl"/>
        </w:rPr>
        <w:t xml:space="preserve"> </w:t>
      </w:r>
      <w:r w:rsidRPr="00A63A08">
        <w:rPr>
          <w:rFonts w:ascii="Verdana" w:eastAsia="Calibri" w:hAnsi="Verdana" w:cs="Arial"/>
          <w:color w:val="000000" w:themeColor="text1"/>
          <w:szCs w:val="24"/>
          <w:lang w:val="es-ES" w:eastAsia="es-ES_tradnl"/>
        </w:rPr>
        <w:t xml:space="preserve">en sede consultiva, </w:t>
      </w:r>
      <w:r>
        <w:rPr>
          <w:rFonts w:ascii="Verdana" w:eastAsia="Calibri" w:hAnsi="Verdana" w:cs="Arial"/>
          <w:color w:val="000000" w:themeColor="text1"/>
          <w:szCs w:val="24"/>
          <w:lang w:val="es-ES" w:eastAsia="es-ES_tradnl"/>
        </w:rPr>
        <w:t xml:space="preserve">no le es posible </w:t>
      </w:r>
      <w:r w:rsidRPr="00A63A08">
        <w:rPr>
          <w:rFonts w:ascii="Verdana" w:eastAsia="Calibri" w:hAnsi="Verdana" w:cs="Arial"/>
          <w:color w:val="000000" w:themeColor="text1"/>
          <w:szCs w:val="24"/>
          <w:lang w:val="es-ES" w:eastAsia="es-ES_tradnl"/>
        </w:rPr>
        <w:t>determinar</w:t>
      </w:r>
      <w:r>
        <w:rPr>
          <w:rFonts w:ascii="Verdana" w:eastAsia="Calibri" w:hAnsi="Verdana" w:cs="Arial"/>
          <w:color w:val="000000" w:themeColor="text1"/>
          <w:szCs w:val="24"/>
          <w:lang w:val="es-ES" w:eastAsia="es-ES_tradnl"/>
        </w:rPr>
        <w:t xml:space="preserve"> si en un determinado caso un </w:t>
      </w:r>
      <w:r>
        <w:rPr>
          <w:rFonts w:ascii="Verdana" w:eastAsia="Calibri" w:hAnsi="Verdana" w:cs="Arial"/>
          <w:color w:val="000000" w:themeColor="text1"/>
          <w:szCs w:val="24"/>
          <w:lang w:val="es-ES" w:eastAsia="es-ES_tradnl"/>
        </w:rPr>
        <w:lastRenderedPageBreak/>
        <w:t xml:space="preserve">proponente estaría inhabilitado para participar en un Proceso de Contratación. </w:t>
      </w:r>
      <w:r w:rsidRPr="00A63A08">
        <w:rPr>
          <w:rFonts w:ascii="Verdana" w:eastAsia="Calibri" w:hAnsi="Verdana" w:cs="Arial"/>
          <w:color w:val="000000" w:themeColor="text1"/>
          <w:szCs w:val="24"/>
          <w:lang w:eastAsia="es-ES_tradnl"/>
        </w:rPr>
        <w:t xml:space="preserve">Lo anterior, en la medida en que, para resolver una consulta de carácter particular, además de conocer un sinnúmero de detalles de la actuación administrativa, es necesario acceder al expediente y a los documentos del procedimiento contractual donde surge la inquietud. </w:t>
      </w:r>
      <w:r w:rsidRPr="005E3465">
        <w:rPr>
          <w:rFonts w:ascii="Verdana" w:eastAsia="Calibri" w:hAnsi="Verdana" w:cs="Arial"/>
          <w:color w:val="000000" w:themeColor="text1"/>
          <w:szCs w:val="24"/>
          <w:lang w:val="es-ES_tradnl" w:eastAsia="es-ES_tradnl"/>
        </w:rPr>
        <w:t xml:space="preserve"> </w:t>
      </w:r>
    </w:p>
    <w:p w14:paraId="10927737" w14:textId="77777777" w:rsidR="00D71D00" w:rsidRDefault="00D71D00" w:rsidP="00D71D00">
      <w:pPr>
        <w:spacing w:after="120" w:line="276" w:lineRule="auto"/>
        <w:ind w:firstLine="709"/>
        <w:jc w:val="both"/>
        <w:rPr>
          <w:rFonts w:ascii="Verdana" w:eastAsia="Calibri" w:hAnsi="Verdana" w:cs="Arial"/>
          <w:lang w:val="es-ES_tradnl"/>
        </w:rPr>
      </w:pPr>
      <w:r>
        <w:rPr>
          <w:rFonts w:ascii="Verdana" w:eastAsia="Aptos" w:hAnsi="Verdana" w:cs="Arial"/>
        </w:rPr>
        <w:t>Sin perjuicio de lo anterior</w:t>
      </w:r>
      <w:r w:rsidRPr="005E3465">
        <w:rPr>
          <w:rFonts w:ascii="Verdana" w:eastAsia="Aptos" w:hAnsi="Verdana" w:cs="Arial"/>
        </w:rPr>
        <w:t xml:space="preserve">, </w:t>
      </w:r>
      <w:r>
        <w:rPr>
          <w:rFonts w:ascii="Verdana" w:eastAsia="Calibri" w:hAnsi="Verdana" w:cs="Arial"/>
          <w:color w:val="000000"/>
          <w:lang w:val="es-ES_tradnl" w:eastAsia="es-ES_tradnl"/>
        </w:rPr>
        <w:t>t</w:t>
      </w:r>
      <w:r w:rsidRPr="005E3465">
        <w:rPr>
          <w:rFonts w:ascii="Verdana" w:eastAsia="Calibri" w:hAnsi="Verdana" w:cs="Arial"/>
          <w:color w:val="000000"/>
          <w:lang w:val="es-ES_tradnl" w:eastAsia="es-ES_tradnl"/>
        </w:rPr>
        <w:t>eniendo en cuenta el objeto de su solicitud,</w:t>
      </w:r>
      <w:r>
        <w:rPr>
          <w:rFonts w:ascii="Verdana" w:eastAsia="Calibri" w:hAnsi="Verdana" w:cs="Arial"/>
          <w:color w:val="000000"/>
          <w:lang w:val="es-ES_tradnl" w:eastAsia="es-ES_tradnl"/>
        </w:rPr>
        <w:t xml:space="preserve"> </w:t>
      </w:r>
      <w:r w:rsidRPr="005E3465">
        <w:rPr>
          <w:rFonts w:ascii="Verdana" w:eastAsia="Aptos" w:hAnsi="Verdana" w:cs="Arial"/>
        </w:rPr>
        <w:t xml:space="preserve">es menester </w:t>
      </w:r>
      <w:r>
        <w:rPr>
          <w:rFonts w:ascii="Verdana" w:eastAsia="Aptos" w:hAnsi="Verdana" w:cs="Arial"/>
        </w:rPr>
        <w:t>referirse a</w:t>
      </w:r>
      <w:r>
        <w:rPr>
          <w:rFonts w:ascii="Verdana" w:eastAsia="Aptos" w:hAnsi="Verdana" w:cs="Times New Roman"/>
        </w:rPr>
        <w:t xml:space="preserve">l </w:t>
      </w:r>
      <w:bookmarkStart w:id="4" w:name="_Hlk177048790"/>
      <w:bookmarkStart w:id="5" w:name="_Hlk177048982"/>
      <w:r w:rsidRPr="005E3465">
        <w:rPr>
          <w:rFonts w:ascii="Verdana" w:eastAsia="Calibri" w:hAnsi="Verdana" w:cs="Arial"/>
          <w:lang w:val="es-ES_tradnl"/>
        </w:rPr>
        <w:t xml:space="preserve">literal </w:t>
      </w:r>
      <w:r>
        <w:rPr>
          <w:rFonts w:ascii="Verdana" w:eastAsia="Calibri" w:hAnsi="Verdana" w:cs="Arial"/>
          <w:lang w:val="es-ES_tradnl"/>
        </w:rPr>
        <w:t>k</w:t>
      </w:r>
      <w:r w:rsidRPr="005E3465">
        <w:rPr>
          <w:rFonts w:ascii="Verdana" w:eastAsia="Calibri" w:hAnsi="Verdana" w:cs="Arial"/>
          <w:lang w:val="es-ES_tradnl"/>
        </w:rPr>
        <w:t>) del numeral 1 del artículo 8 de la Ley 80 de 1993, adicionado por el parágrafo 2 del artículo 84 de la Ley 1474 de 2011</w:t>
      </w:r>
      <w:bookmarkEnd w:id="4"/>
      <w:r>
        <w:rPr>
          <w:rFonts w:ascii="Verdana" w:eastAsia="Calibri" w:hAnsi="Verdana" w:cs="Arial"/>
          <w:lang w:val="es-ES_tradnl"/>
        </w:rPr>
        <w:t>. Esta disposición</w:t>
      </w:r>
      <w:r w:rsidRPr="005E3465">
        <w:rPr>
          <w:rFonts w:ascii="Verdana" w:eastAsia="Calibri" w:hAnsi="Verdana" w:cs="Arial"/>
          <w:lang w:val="es-ES_tradnl"/>
        </w:rPr>
        <w:t xml:space="preserve"> se refiere a una inhabilidad</w:t>
      </w:r>
      <w:r>
        <w:rPr>
          <w:rFonts w:ascii="Verdana" w:eastAsia="Calibri" w:hAnsi="Verdana" w:cs="Arial"/>
          <w:lang w:val="es-ES_tradnl"/>
        </w:rPr>
        <w:t xml:space="preserve"> que recae específicamente sobre </w:t>
      </w:r>
      <w:r w:rsidRPr="005E3465">
        <w:rPr>
          <w:rFonts w:ascii="Verdana" w:eastAsia="Calibri" w:hAnsi="Verdana" w:cs="Arial"/>
          <w:lang w:val="es-ES_tradnl"/>
        </w:rPr>
        <w:t>los interventores</w:t>
      </w:r>
      <w:r>
        <w:rPr>
          <w:rFonts w:ascii="Verdana" w:eastAsia="Calibri" w:hAnsi="Verdana" w:cs="Arial"/>
          <w:lang w:val="es-ES_tradnl"/>
        </w:rPr>
        <w:t xml:space="preserve"> y </w:t>
      </w:r>
      <w:r w:rsidRPr="005E3465">
        <w:rPr>
          <w:rFonts w:ascii="Verdana" w:eastAsia="Calibri" w:hAnsi="Verdana" w:cs="Arial"/>
          <w:lang w:val="es-ES_tradnl"/>
        </w:rPr>
        <w:t xml:space="preserve">solo se configura cuando se incumple el deber de entregar información a la entidad contratante alusiva al incumplimiento del contrato o a posibles actos de corrupción tipificados como conductas punibles. </w:t>
      </w:r>
    </w:p>
    <w:p w14:paraId="5DF4367F" w14:textId="77777777" w:rsidR="00D71D00" w:rsidRPr="005E3465" w:rsidRDefault="00D71D00" w:rsidP="00D71D00">
      <w:pPr>
        <w:spacing w:after="120" w:line="276" w:lineRule="auto"/>
        <w:ind w:firstLine="709"/>
        <w:jc w:val="both"/>
        <w:rPr>
          <w:rFonts w:ascii="Verdana" w:eastAsia="Calibri" w:hAnsi="Verdana" w:cs="Arial"/>
          <w:lang w:val="es-ES"/>
        </w:rPr>
      </w:pPr>
      <w:bookmarkStart w:id="6" w:name="_Hlk177049310"/>
      <w:r w:rsidRPr="7BE3EECD">
        <w:rPr>
          <w:rFonts w:ascii="Verdana" w:eastAsia="Calibri" w:hAnsi="Verdana" w:cs="Arial"/>
          <w:lang w:val="es-ES"/>
        </w:rPr>
        <w:t xml:space="preserve">La configuración de esta inhabilidad además exige que se desarrolle una actuación administrativa, en el marco de la cual se expida un acto administrativo que declare el acaecimiento de la referida circunstancia, el cual deberá adquirir firmeza para que la inhabilidad comience a surtir sus efectos por el término de cinco (5) años. </w:t>
      </w:r>
    </w:p>
    <w:bookmarkEnd w:id="5"/>
    <w:p w14:paraId="7CDB84D8" w14:textId="77777777" w:rsidR="00D71D00" w:rsidRDefault="00D71D00" w:rsidP="00D71D00">
      <w:pPr>
        <w:pStyle w:val="NormalWeb"/>
        <w:spacing w:before="0" w:beforeAutospacing="0" w:after="0" w:afterAutospacing="0" w:line="276" w:lineRule="auto"/>
        <w:jc w:val="both"/>
        <w:rPr>
          <w:rFonts w:ascii="Verdana" w:eastAsia="Calibri" w:hAnsi="Verdana" w:cs="Arial"/>
          <w:sz w:val="22"/>
          <w:szCs w:val="22"/>
          <w:lang w:val="es-ES"/>
        </w:rPr>
      </w:pPr>
      <w:r w:rsidRPr="005E3465">
        <w:rPr>
          <w:rFonts w:ascii="Verdana" w:eastAsia="Calibri" w:hAnsi="Verdana" w:cs="Arial"/>
          <w:sz w:val="22"/>
          <w:szCs w:val="22"/>
          <w:lang w:val="es-ES_tradnl"/>
        </w:rPr>
        <w:tab/>
      </w:r>
      <w:r w:rsidRPr="005E3465">
        <w:rPr>
          <w:rFonts w:ascii="Verdana" w:eastAsia="Calibri" w:hAnsi="Verdana" w:cs="Arial"/>
          <w:sz w:val="22"/>
          <w:szCs w:val="22"/>
          <w:lang w:val="es-ES"/>
        </w:rPr>
        <w:t xml:space="preserve">Así </w:t>
      </w:r>
      <w:r>
        <w:rPr>
          <w:rFonts w:ascii="Verdana" w:eastAsia="Calibri" w:hAnsi="Verdana" w:cs="Arial"/>
          <w:sz w:val="22"/>
          <w:szCs w:val="22"/>
          <w:lang w:val="es-ES"/>
        </w:rPr>
        <w:t>la causal estudiada se configuraría</w:t>
      </w:r>
      <w:r w:rsidRPr="005E3465">
        <w:rPr>
          <w:rFonts w:ascii="Verdana" w:eastAsia="Calibri" w:hAnsi="Verdana" w:cs="Arial"/>
          <w:sz w:val="22"/>
          <w:szCs w:val="22"/>
          <w:lang w:val="es-ES"/>
        </w:rPr>
        <w:t xml:space="preserve"> en caso de que en contra del interventor pesara una declaratoria de incumplimiento dispuesta por un acto administrativo ejecutoriado, impuesta tras haberse comprobado el incumplimiento del interventor del deber de suministrar información a la entidad contratante sobre</w:t>
      </w:r>
      <w:r>
        <w:rPr>
          <w:rFonts w:ascii="Verdana" w:eastAsia="Calibri" w:hAnsi="Verdana" w:cs="Arial"/>
          <w:sz w:val="22"/>
          <w:szCs w:val="22"/>
          <w:lang w:val="es-ES"/>
        </w:rPr>
        <w:t xml:space="preserve"> el</w:t>
      </w:r>
      <w:r w:rsidRPr="005E3465">
        <w:rPr>
          <w:rFonts w:ascii="Verdana" w:eastAsia="Calibri" w:hAnsi="Verdana" w:cs="Arial"/>
          <w:sz w:val="22"/>
          <w:szCs w:val="22"/>
          <w:lang w:val="es-ES"/>
        </w:rPr>
        <w:t xml:space="preserve"> </w:t>
      </w:r>
      <w:r w:rsidRPr="005E3465">
        <w:rPr>
          <w:rFonts w:ascii="Verdana" w:eastAsia="Calibri" w:hAnsi="Verdana" w:cs="Arial"/>
          <w:sz w:val="22"/>
          <w:szCs w:val="22"/>
          <w:lang w:val="es-ES_tradnl"/>
        </w:rPr>
        <w:t>incumplimiento del contrato o</w:t>
      </w:r>
      <w:r>
        <w:rPr>
          <w:rFonts w:ascii="Verdana" w:eastAsia="Calibri" w:hAnsi="Verdana" w:cs="Arial"/>
          <w:sz w:val="22"/>
          <w:szCs w:val="22"/>
          <w:lang w:val="es-ES_tradnl"/>
        </w:rPr>
        <w:t xml:space="preserve"> </w:t>
      </w:r>
      <w:r w:rsidRPr="005E3465">
        <w:rPr>
          <w:rFonts w:ascii="Verdana" w:eastAsia="Calibri" w:hAnsi="Verdana" w:cs="Arial"/>
          <w:sz w:val="22"/>
          <w:szCs w:val="22"/>
          <w:lang w:val="es-ES"/>
        </w:rPr>
        <w:t>actos de corrupción presentados en el marco de la labor de interventoría</w:t>
      </w:r>
      <w:r>
        <w:rPr>
          <w:rFonts w:ascii="Verdana" w:eastAsia="Calibri" w:hAnsi="Verdana" w:cs="Arial"/>
          <w:sz w:val="22"/>
          <w:szCs w:val="22"/>
          <w:lang w:val="es-ES"/>
        </w:rPr>
        <w:t>. T</w:t>
      </w:r>
      <w:r w:rsidRPr="005E3465">
        <w:rPr>
          <w:rFonts w:ascii="Verdana" w:eastAsia="Calibri" w:hAnsi="Verdana" w:cs="Arial"/>
          <w:sz w:val="22"/>
          <w:szCs w:val="22"/>
          <w:lang w:val="es-ES"/>
        </w:rPr>
        <w:t xml:space="preserve">al declaratoria dentro de los cinco (5) años siguientes a su firmeza, inhabilitaría al interventor para ser contratista de obra pública en los términos del literal </w:t>
      </w:r>
      <w:r>
        <w:rPr>
          <w:rFonts w:ascii="Verdana" w:eastAsia="Calibri" w:hAnsi="Verdana" w:cs="Arial"/>
          <w:sz w:val="22"/>
          <w:szCs w:val="22"/>
          <w:lang w:val="es-ES"/>
        </w:rPr>
        <w:t>k</w:t>
      </w:r>
      <w:r w:rsidRPr="005E3465">
        <w:rPr>
          <w:rFonts w:ascii="Verdana" w:eastAsia="Calibri" w:hAnsi="Verdana" w:cs="Arial"/>
          <w:sz w:val="22"/>
          <w:szCs w:val="22"/>
          <w:lang w:val="es-ES"/>
        </w:rPr>
        <w:t xml:space="preserve">) del numeral 1 del artículo 8 de la Ley 80 de 1993. </w:t>
      </w:r>
    </w:p>
    <w:bookmarkEnd w:id="6"/>
    <w:p w14:paraId="0C844317" w14:textId="77777777" w:rsidR="00D71D00" w:rsidRPr="006E66BF" w:rsidRDefault="00D71D00" w:rsidP="00D71D00">
      <w:pPr>
        <w:pStyle w:val="NormalWeb"/>
        <w:spacing w:before="0" w:beforeAutospacing="0" w:after="0" w:afterAutospacing="0" w:line="276" w:lineRule="auto"/>
        <w:jc w:val="both"/>
        <w:rPr>
          <w:rFonts w:ascii="Verdana" w:eastAsia="Calibri" w:hAnsi="Verdana" w:cs="Arial"/>
          <w:sz w:val="22"/>
          <w:szCs w:val="22"/>
          <w:lang w:val="es-ES"/>
        </w:rPr>
      </w:pPr>
    </w:p>
    <w:p w14:paraId="490E7D21" w14:textId="77777777" w:rsidR="00D71D00" w:rsidRPr="005E3465" w:rsidRDefault="00D71D00" w:rsidP="00D71D0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E3465">
        <w:rPr>
          <w:rFonts w:ascii="Verdana" w:eastAsia="Century Gothic" w:hAnsi="Verdana" w:cs="Century Gothic"/>
          <w:b/>
          <w:bCs/>
        </w:rPr>
        <w:t>Referencias normativas, jurisprudenciales y otras fuentes:</w:t>
      </w:r>
    </w:p>
    <w:p w14:paraId="4BE34888" w14:textId="77777777" w:rsidR="00D71D00" w:rsidRPr="005E3465" w:rsidRDefault="00D71D00" w:rsidP="00D71D0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71D00" w:rsidRPr="005E3465" w14:paraId="59B6F5F8" w14:textId="77777777" w:rsidTr="0086633E">
        <w:trPr>
          <w:trHeight w:val="870"/>
        </w:trPr>
        <w:tc>
          <w:tcPr>
            <w:tcW w:w="8647" w:type="dxa"/>
          </w:tcPr>
          <w:p w14:paraId="696278AC" w14:textId="77777777" w:rsidR="00D71D00" w:rsidRPr="00D66E6D"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lang w:val="es-MX"/>
              </w:rPr>
            </w:pPr>
            <w:r w:rsidRPr="005E3465">
              <w:rPr>
                <w:rFonts w:ascii="Verdana" w:eastAsia="Calibri" w:hAnsi="Verdana" w:cs="Arial"/>
                <w:lang w:val="es-ES_tradnl"/>
              </w:rPr>
              <w:t>Ley 80 de 1993</w:t>
            </w:r>
            <w:r>
              <w:rPr>
                <w:rFonts w:ascii="Verdana" w:eastAsia="Calibri" w:hAnsi="Verdana" w:cs="Arial"/>
                <w:lang w:val="es-ES_tradnl"/>
              </w:rPr>
              <w:t xml:space="preserve">: </w:t>
            </w:r>
            <w:r w:rsidRPr="005E3465">
              <w:rPr>
                <w:rFonts w:ascii="Verdana" w:eastAsia="Calibri" w:hAnsi="Verdana" w:cs="Arial"/>
                <w:lang w:val="es-ES_tradnl"/>
              </w:rPr>
              <w:t xml:space="preserve">Literal </w:t>
            </w:r>
            <w:r>
              <w:rPr>
                <w:rFonts w:ascii="Verdana" w:eastAsia="Calibri" w:hAnsi="Verdana" w:cs="Arial"/>
                <w:lang w:val="es-ES_tradnl"/>
              </w:rPr>
              <w:t>k</w:t>
            </w:r>
            <w:r w:rsidRPr="005E3465">
              <w:rPr>
                <w:rFonts w:ascii="Verdana" w:eastAsia="Calibri" w:hAnsi="Verdana" w:cs="Arial"/>
                <w:lang w:val="es-ES_tradnl"/>
              </w:rPr>
              <w:t>) del numeral 1 del artículo 8</w:t>
            </w:r>
            <w:r>
              <w:rPr>
                <w:rFonts w:ascii="Verdana" w:eastAsia="Calibri" w:hAnsi="Verdana" w:cs="Arial"/>
                <w:lang w:val="es-ES_tradnl"/>
              </w:rPr>
              <w:t>.</w:t>
            </w:r>
          </w:p>
          <w:p w14:paraId="01BC5493" w14:textId="77777777" w:rsidR="00D71D00" w:rsidRPr="00D66E6D" w:rsidRDefault="00D71D00" w:rsidP="0086633E">
            <w:pPr>
              <w:pStyle w:val="Prrafodelista"/>
              <w:widowControl w:val="0"/>
              <w:autoSpaceDE w:val="0"/>
              <w:autoSpaceDN w:val="0"/>
              <w:spacing w:line="276" w:lineRule="auto"/>
              <w:ind w:left="357"/>
              <w:contextualSpacing w:val="0"/>
              <w:jc w:val="both"/>
              <w:rPr>
                <w:rFonts w:ascii="Verdana" w:hAnsi="Verdana" w:cs="Arial"/>
                <w:lang w:val="es-MX"/>
              </w:rPr>
            </w:pPr>
          </w:p>
          <w:p w14:paraId="31054912" w14:textId="77777777" w:rsidR="00D71D00"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rPr>
            </w:pPr>
            <w:r w:rsidRPr="00D66E6D">
              <w:rPr>
                <w:rFonts w:ascii="Verdana" w:hAnsi="Verdana" w:cs="Arial"/>
                <w:lang w:val="pt-BR"/>
              </w:rPr>
              <w:t xml:space="preserve">Corte Constitucional. </w:t>
            </w:r>
            <w:r w:rsidRPr="00D66E6D">
              <w:rPr>
                <w:rFonts w:ascii="Verdana" w:hAnsi="Verdana" w:cs="Arial"/>
              </w:rPr>
              <w:t xml:space="preserve">Sentencia C-780 de 2001. Magistrado Ponente: Jaime Córdoba Triviño. </w:t>
            </w:r>
          </w:p>
          <w:p w14:paraId="32D0FDD3" w14:textId="77777777" w:rsidR="00D71D00" w:rsidRPr="00D66E6D" w:rsidRDefault="00D71D00" w:rsidP="0086633E">
            <w:pPr>
              <w:widowControl w:val="0"/>
              <w:autoSpaceDE w:val="0"/>
              <w:autoSpaceDN w:val="0"/>
              <w:spacing w:line="276" w:lineRule="auto"/>
              <w:jc w:val="both"/>
              <w:rPr>
                <w:rFonts w:ascii="Verdana" w:hAnsi="Verdana" w:cs="Arial"/>
              </w:rPr>
            </w:pPr>
          </w:p>
          <w:p w14:paraId="16A660AC" w14:textId="77777777" w:rsidR="00D71D00" w:rsidRPr="00D66E6D"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lang w:val="es-MX"/>
              </w:rPr>
            </w:pPr>
            <w:r w:rsidRPr="00D66E6D">
              <w:rPr>
                <w:rFonts w:ascii="Verdana" w:hAnsi="Verdana" w:cs="Arial"/>
                <w:color w:val="000000"/>
              </w:rPr>
              <w:t xml:space="preserve">Corte Constitucional. Sentencia T-1039 de 2006. </w:t>
            </w:r>
            <w:r w:rsidRPr="00D71D00">
              <w:rPr>
                <w:rFonts w:ascii="Verdana" w:hAnsi="Verdana" w:cs="Arial"/>
                <w:color w:val="000000"/>
                <w:lang w:val="it-IT"/>
              </w:rPr>
              <w:t xml:space="preserve">Magistrado Ponente: Humberto Sierra Porto. </w:t>
            </w:r>
            <w:r w:rsidRPr="00D66E6D">
              <w:rPr>
                <w:rFonts w:ascii="Verdana" w:hAnsi="Verdana" w:cs="Arial"/>
                <w:color w:val="000000"/>
              </w:rPr>
              <w:t xml:space="preserve">La Corte ha mantenido este criterio en las sentencias: C-903 de 2008. Magistrado Ponente: Jaime Araujo Rentería; </w:t>
            </w:r>
            <w:r w:rsidRPr="00D66E6D">
              <w:rPr>
                <w:rFonts w:ascii="Verdana" w:hAnsi="Verdana" w:cs="Arial"/>
                <w:color w:val="000000"/>
              </w:rPr>
              <w:lastRenderedPageBreak/>
              <w:t xml:space="preserve">C-101 de 2018. Magistrada Ponente Gloria Stella Ortiz Delgado; entre otras. </w:t>
            </w:r>
          </w:p>
          <w:p w14:paraId="07D751DF" w14:textId="77777777" w:rsidR="00D71D00" w:rsidRPr="00D66E6D" w:rsidRDefault="00D71D00" w:rsidP="0086633E">
            <w:pPr>
              <w:widowControl w:val="0"/>
              <w:autoSpaceDE w:val="0"/>
              <w:autoSpaceDN w:val="0"/>
              <w:spacing w:line="276" w:lineRule="auto"/>
              <w:jc w:val="both"/>
              <w:rPr>
                <w:rFonts w:ascii="Verdana" w:hAnsi="Verdana" w:cs="Arial"/>
              </w:rPr>
            </w:pPr>
          </w:p>
          <w:p w14:paraId="6A6C9201" w14:textId="77777777" w:rsidR="00D71D00" w:rsidRPr="00D66E6D"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rPr>
            </w:pPr>
            <w:r w:rsidRPr="00D66E6D">
              <w:rPr>
                <w:rFonts w:ascii="Verdana" w:hAnsi="Verdana" w:cs="Arial"/>
                <w:color w:val="000000"/>
              </w:rPr>
              <w:t xml:space="preserve">Consejo de Estado. Sección Tercera. Subsección C. Sentencia del 22 de mayo de 2013. Exp. 24.057. Consejera Ponente: Olga </w:t>
            </w:r>
            <w:proofErr w:type="spellStart"/>
            <w:r w:rsidRPr="00D66E6D">
              <w:rPr>
                <w:rFonts w:ascii="Verdana" w:hAnsi="Verdana" w:cs="Arial"/>
                <w:color w:val="000000"/>
              </w:rPr>
              <w:t>Melida</w:t>
            </w:r>
            <w:proofErr w:type="spellEnd"/>
            <w:r w:rsidRPr="00D66E6D">
              <w:rPr>
                <w:rFonts w:ascii="Verdana" w:hAnsi="Verdana" w:cs="Arial"/>
                <w:color w:val="000000"/>
              </w:rPr>
              <w:t xml:space="preserve"> Valle De </w:t>
            </w:r>
            <w:proofErr w:type="spellStart"/>
            <w:r w:rsidRPr="00D66E6D">
              <w:rPr>
                <w:rFonts w:ascii="Verdana" w:hAnsi="Verdana" w:cs="Arial"/>
                <w:color w:val="000000"/>
              </w:rPr>
              <w:t>De</w:t>
            </w:r>
            <w:proofErr w:type="spellEnd"/>
            <w:r w:rsidRPr="00D66E6D">
              <w:rPr>
                <w:rFonts w:ascii="Verdana" w:hAnsi="Verdana" w:cs="Arial"/>
                <w:color w:val="000000"/>
              </w:rPr>
              <w:t xml:space="preserve"> La Hoz.</w:t>
            </w:r>
          </w:p>
          <w:p w14:paraId="622A20D4" w14:textId="77777777" w:rsidR="00D71D00" w:rsidRPr="00D66E6D" w:rsidRDefault="00D71D00" w:rsidP="0086633E">
            <w:pPr>
              <w:widowControl w:val="0"/>
              <w:autoSpaceDE w:val="0"/>
              <w:autoSpaceDN w:val="0"/>
              <w:spacing w:line="276" w:lineRule="auto"/>
              <w:jc w:val="both"/>
              <w:rPr>
                <w:rFonts w:ascii="Verdana" w:hAnsi="Verdana" w:cs="Arial"/>
              </w:rPr>
            </w:pPr>
          </w:p>
          <w:p w14:paraId="053A5783" w14:textId="77777777" w:rsidR="00D71D00" w:rsidRPr="00D66E6D"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lang w:val="es-MX"/>
              </w:rPr>
            </w:pPr>
            <w:r w:rsidRPr="00D66E6D">
              <w:rPr>
                <w:rFonts w:ascii="Verdana" w:hAnsi="Verdana" w:cs="Arial"/>
              </w:rPr>
              <w:t xml:space="preserve">Consejo De Estado. Sección Tercera. Subsección A. Sentencia del 13 de noviembre de 2013. </w:t>
            </w:r>
            <w:r w:rsidRPr="00D66E6D">
              <w:rPr>
                <w:rFonts w:ascii="Verdana" w:hAnsi="Verdana" w:cs="Arial"/>
                <w:lang w:val="pt-BR"/>
              </w:rPr>
              <w:t xml:space="preserve">Rad. 25.646. </w:t>
            </w:r>
            <w:proofErr w:type="spellStart"/>
            <w:r w:rsidRPr="00D66E6D">
              <w:rPr>
                <w:rFonts w:ascii="Verdana" w:hAnsi="Verdana" w:cs="Arial"/>
                <w:lang w:val="pt-BR"/>
              </w:rPr>
              <w:t>Consejero</w:t>
            </w:r>
            <w:proofErr w:type="spellEnd"/>
            <w:r w:rsidRPr="00D66E6D">
              <w:rPr>
                <w:rFonts w:ascii="Verdana" w:hAnsi="Verdana" w:cs="Arial"/>
                <w:lang w:val="pt-BR"/>
              </w:rPr>
              <w:t xml:space="preserve"> </w:t>
            </w:r>
            <w:proofErr w:type="spellStart"/>
            <w:r w:rsidRPr="00D66E6D">
              <w:rPr>
                <w:rFonts w:ascii="Verdana" w:hAnsi="Verdana" w:cs="Arial"/>
                <w:lang w:val="pt-BR"/>
              </w:rPr>
              <w:t>Ponente</w:t>
            </w:r>
            <w:proofErr w:type="spellEnd"/>
            <w:r w:rsidRPr="00D66E6D">
              <w:rPr>
                <w:rFonts w:ascii="Verdana" w:hAnsi="Verdana" w:cs="Arial"/>
                <w:lang w:val="pt-BR"/>
              </w:rPr>
              <w:t xml:space="preserve">: Mauricio Fajardo Gómez.  </w:t>
            </w:r>
          </w:p>
          <w:p w14:paraId="2A3BDEAF" w14:textId="77777777" w:rsidR="00D71D00" w:rsidRPr="00D66E6D" w:rsidRDefault="00D71D00" w:rsidP="0086633E">
            <w:pPr>
              <w:widowControl w:val="0"/>
              <w:autoSpaceDE w:val="0"/>
              <w:autoSpaceDN w:val="0"/>
              <w:spacing w:line="276" w:lineRule="auto"/>
              <w:jc w:val="both"/>
              <w:rPr>
                <w:rFonts w:ascii="Verdana" w:hAnsi="Verdana" w:cs="Arial"/>
              </w:rPr>
            </w:pPr>
          </w:p>
          <w:p w14:paraId="55DAABDA" w14:textId="77777777" w:rsidR="00D71D00" w:rsidRPr="00D66E6D"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lang w:val="es-MX"/>
              </w:rPr>
            </w:pPr>
            <w:r w:rsidRPr="00D66E6D">
              <w:rPr>
                <w:rFonts w:ascii="Verdana" w:hAnsi="Verdana" w:cs="Arial"/>
                <w:color w:val="000000"/>
              </w:rPr>
              <w:t>Consejo de Estado. Sala de Consulta y Servicio Civil. Concepto del 30 de abril de 2015. Expediente: 2.251. Consejero Ponente: Álvaro Namén Vargas.</w:t>
            </w:r>
          </w:p>
          <w:p w14:paraId="40FFA097" w14:textId="77777777" w:rsidR="00D71D00" w:rsidRPr="00D66E6D" w:rsidRDefault="00D71D00" w:rsidP="0086633E">
            <w:pPr>
              <w:widowControl w:val="0"/>
              <w:autoSpaceDE w:val="0"/>
              <w:autoSpaceDN w:val="0"/>
              <w:spacing w:line="276" w:lineRule="auto"/>
              <w:jc w:val="both"/>
              <w:rPr>
                <w:rFonts w:ascii="Verdana" w:hAnsi="Verdana" w:cs="Arial"/>
              </w:rPr>
            </w:pPr>
          </w:p>
          <w:p w14:paraId="29C084E4" w14:textId="77777777" w:rsidR="00D71D00" w:rsidRPr="00D66E6D" w:rsidRDefault="00D71D00" w:rsidP="00D71D00">
            <w:pPr>
              <w:pStyle w:val="Prrafodelista"/>
              <w:widowControl w:val="0"/>
              <w:numPr>
                <w:ilvl w:val="0"/>
                <w:numId w:val="17"/>
              </w:numPr>
              <w:autoSpaceDE w:val="0"/>
              <w:autoSpaceDN w:val="0"/>
              <w:spacing w:line="276" w:lineRule="auto"/>
              <w:ind w:left="357" w:hanging="357"/>
              <w:contextualSpacing w:val="0"/>
              <w:jc w:val="both"/>
              <w:rPr>
                <w:rFonts w:ascii="Verdana" w:hAnsi="Verdana" w:cs="Arial"/>
              </w:rPr>
            </w:pPr>
            <w:r w:rsidRPr="00D66E6D">
              <w:rPr>
                <w:rFonts w:ascii="Verdana" w:hAnsi="Verdana" w:cs="Arial"/>
                <w:color w:val="000000"/>
              </w:rPr>
              <w:t>Consejo de Estado. Sección Tercera. Subsección A. Sentencia del 24 de junio de 2015. Exp. 40.635. Consejero Ponente: Hernán Andrade Rincón (E).</w:t>
            </w:r>
          </w:p>
        </w:tc>
      </w:tr>
    </w:tbl>
    <w:p w14:paraId="5B070E73" w14:textId="77777777" w:rsidR="00D71D00" w:rsidRPr="006E66BF" w:rsidRDefault="00D71D00" w:rsidP="00D71D00">
      <w:pPr>
        <w:widowControl w:val="0"/>
        <w:autoSpaceDE w:val="0"/>
        <w:autoSpaceDN w:val="0"/>
        <w:spacing w:after="0" w:line="276" w:lineRule="auto"/>
        <w:jc w:val="both"/>
        <w:rPr>
          <w:rFonts w:ascii="Verdana" w:hAnsi="Verdana" w:cs="Arial"/>
        </w:rPr>
      </w:pPr>
    </w:p>
    <w:p w14:paraId="38C22613" w14:textId="77777777" w:rsidR="00D71D00" w:rsidRPr="006E66BF" w:rsidRDefault="00D71D00" w:rsidP="00D71D0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E66BF">
        <w:rPr>
          <w:rFonts w:ascii="Verdana" w:eastAsia="Century Gothic" w:hAnsi="Verdana" w:cs="Century Gothic"/>
          <w:b/>
          <w:bCs/>
        </w:rPr>
        <w:t>Doctrina de la Agencia Nacional de Contratación Pública:</w:t>
      </w:r>
    </w:p>
    <w:p w14:paraId="0B3B67A5" w14:textId="77777777" w:rsidR="00D71D00" w:rsidRPr="006E66BF" w:rsidRDefault="00D71D00" w:rsidP="00D71D00">
      <w:pPr>
        <w:widowControl w:val="0"/>
        <w:autoSpaceDE w:val="0"/>
        <w:autoSpaceDN w:val="0"/>
        <w:spacing w:after="0" w:line="276" w:lineRule="auto"/>
        <w:jc w:val="both"/>
        <w:rPr>
          <w:rFonts w:ascii="Verdana" w:hAnsi="Verdana" w:cs="Arial"/>
        </w:rPr>
      </w:pPr>
    </w:p>
    <w:p w14:paraId="0103D606" w14:textId="77777777" w:rsidR="00D71D00" w:rsidRDefault="00D71D00" w:rsidP="00D71D00">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E66BF">
        <w:rPr>
          <w:rFonts w:ascii="Verdana" w:eastAsia="Calibri" w:hAnsi="Verdana" w:cs="Arial"/>
          <w:lang w:val="es-ES_tradnl" w:eastAsia="es-ES_tradnl"/>
        </w:rPr>
        <w:t>L</w:t>
      </w:r>
      <w:r w:rsidRPr="006E66BF">
        <w:rPr>
          <w:rFonts w:ascii="Verdana" w:eastAsia="Times New Roman" w:hAnsi="Verdana" w:cs="Arial"/>
          <w:lang w:val="es-ES_tradnl" w:eastAsia="es-ES_tradnl"/>
        </w:rPr>
        <w:t xml:space="preserve">a Agencia Nacional de Contratación Pública ― Colombia Compra Eficiente analizó el régimen de inhabilidades e incompatibilidades en la contratación pública, sus criterios de interpretación –restrictivo y </w:t>
      </w:r>
      <w:r w:rsidRPr="006E66BF">
        <w:rPr>
          <w:rFonts w:ascii="Verdana" w:eastAsia="Times New Roman" w:hAnsi="Verdana" w:cs="Arial"/>
          <w:i/>
          <w:iCs/>
          <w:lang w:val="es-ES_tradnl" w:eastAsia="es-ES_tradnl"/>
        </w:rPr>
        <w:t>pro libertate</w:t>
      </w:r>
      <w:r w:rsidRPr="006E66BF">
        <w:rPr>
          <w:rFonts w:ascii="Verdana" w:eastAsia="Times New Roman" w:hAnsi="Verdana" w:cs="Arial"/>
          <w:lang w:val="es-ES_tradnl" w:eastAsia="es-ES_tradnl"/>
        </w:rPr>
        <w:t xml:space="preserv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entre otros. </w:t>
      </w:r>
      <w:r w:rsidRPr="006E66BF">
        <w:rPr>
          <w:rStyle w:val="normaltextrun"/>
          <w:rFonts w:ascii="Verdana" w:hAnsi="Verdana" w:cs="Arial"/>
          <w:shd w:val="clear" w:color="auto" w:fill="FFFFFF"/>
          <w:lang w:val="es-ES"/>
        </w:rPr>
        <w:t>Es</w:t>
      </w:r>
      <w:r w:rsidRPr="006E66BF">
        <w:rPr>
          <w:rFonts w:ascii="Verdana" w:hAnsi="Verdana"/>
        </w:rPr>
        <w:t>tos y otros conceptos se encuentran disponibles para consulta en el Sistema de relatoría de la Agencia, al cual se puede acceder a través del siguiente enlace:</w:t>
      </w:r>
      <w:r w:rsidRPr="006E66BF">
        <w:rPr>
          <w:rStyle w:val="normaltextrun"/>
          <w:rFonts w:ascii="Verdana" w:hAnsi="Verdana" w:cs="Arial"/>
          <w:shd w:val="clear" w:color="auto" w:fill="FFFFFF"/>
          <w:lang w:val="es-ES"/>
        </w:rPr>
        <w:t xml:space="preserve"> </w:t>
      </w:r>
      <w:hyperlink r:id="rId11" w:history="1">
        <w:r w:rsidRPr="006E66BF">
          <w:rPr>
            <w:rStyle w:val="Hipervnculo"/>
            <w:rFonts w:ascii="Verdana" w:hAnsi="Verdana" w:cs="Arial"/>
            <w:shd w:val="clear" w:color="auto" w:fill="FFFFFF"/>
            <w:lang w:val="es-ES"/>
          </w:rPr>
          <w:t>https://relatoria.colombiacompra.gov.co/busqueda/conceptos</w:t>
        </w:r>
      </w:hyperlink>
    </w:p>
    <w:p w14:paraId="0B3656AF" w14:textId="77777777" w:rsidR="00D71D00" w:rsidRPr="006E66BF" w:rsidRDefault="00D71D00" w:rsidP="00D71D00">
      <w:pPr>
        <w:widowControl w:val="0"/>
        <w:autoSpaceDE w:val="0"/>
        <w:autoSpaceDN w:val="0"/>
        <w:spacing w:after="0" w:line="276" w:lineRule="auto"/>
        <w:jc w:val="both"/>
        <w:rPr>
          <w:rStyle w:val="normaltextrun"/>
          <w:rFonts w:ascii="Verdana" w:hAnsi="Verdana" w:cs="Arial"/>
          <w:shd w:val="clear" w:color="auto" w:fill="FFFFFF"/>
          <w:lang w:val="es-ES"/>
        </w:rPr>
      </w:pPr>
    </w:p>
    <w:p w14:paraId="3EA83B63" w14:textId="77777777" w:rsidR="00D71D00" w:rsidRPr="006E66BF" w:rsidRDefault="00D71D00" w:rsidP="00D71D00">
      <w:pPr>
        <w:widowControl w:val="0"/>
        <w:autoSpaceDE w:val="0"/>
        <w:autoSpaceDN w:val="0"/>
        <w:spacing w:after="0" w:line="276" w:lineRule="auto"/>
        <w:jc w:val="both"/>
        <w:rPr>
          <w:rFonts w:ascii="Verdana" w:hAnsi="Verdana" w:cs="Arial"/>
          <w:color w:val="FF0000"/>
          <w:shd w:val="clear" w:color="auto" w:fill="FFFFFF"/>
        </w:rPr>
      </w:pPr>
      <w:r w:rsidRPr="006E66BF">
        <w:rPr>
          <w:rFonts w:ascii="Verdana"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2" w:tgtFrame="_blank" w:history="1">
        <w:r w:rsidRPr="006E66BF">
          <w:rPr>
            <w:rStyle w:val="Hipervnculo"/>
            <w:rFonts w:ascii="Verdana" w:hAnsi="Verdana" w:cs="Arial"/>
            <w:shd w:val="clear" w:color="auto" w:fill="FFFFFF"/>
            <w:lang w:val="es-ES"/>
          </w:rPr>
          <w:t>https://www.colombiacompra.gov.co/sites/cce_public/files/files_2020/boletin_</w:t>
        </w:r>
        <w:r w:rsidRPr="006E66BF">
          <w:rPr>
            <w:rStyle w:val="Hipervnculo"/>
            <w:rFonts w:ascii="Verdana" w:hAnsi="Verdana" w:cs="Arial"/>
            <w:shd w:val="clear" w:color="auto" w:fill="FFFFFF"/>
            <w:lang w:val="es-ES"/>
          </w:rPr>
          <w:lastRenderedPageBreak/>
          <w:t>de_realtoria_iii.pdf</w:t>
        </w:r>
      </w:hyperlink>
      <w:r w:rsidRPr="006E66BF">
        <w:rPr>
          <w:rFonts w:ascii="Verdana" w:hAnsi="Verdana" w:cs="Arial"/>
          <w:shd w:val="clear" w:color="auto" w:fill="FFFFFF"/>
          <w:lang w:val="es-ES"/>
        </w:rPr>
        <w:t>.</w:t>
      </w:r>
      <w:r w:rsidRPr="006E66BF">
        <w:rPr>
          <w:rFonts w:ascii="Verdana" w:hAnsi="Verdana" w:cs="Arial"/>
          <w:color w:val="FF0000"/>
          <w:shd w:val="clear" w:color="auto" w:fill="FFFFFF"/>
          <w:lang w:val="es-ES"/>
        </w:rPr>
        <w:t> </w:t>
      </w:r>
      <w:r w:rsidRPr="006E66BF">
        <w:rPr>
          <w:rFonts w:ascii="Verdana" w:hAnsi="Verdana" w:cs="Arial"/>
          <w:color w:val="FF0000"/>
          <w:shd w:val="clear" w:color="auto" w:fill="FFFFFF"/>
        </w:rPr>
        <w:t> </w:t>
      </w:r>
    </w:p>
    <w:p w14:paraId="77029556" w14:textId="77777777" w:rsidR="00D71D00" w:rsidRPr="006E66BF" w:rsidRDefault="00D71D00" w:rsidP="00D71D00">
      <w:pPr>
        <w:widowControl w:val="0"/>
        <w:autoSpaceDE w:val="0"/>
        <w:autoSpaceDN w:val="0"/>
        <w:spacing w:after="0" w:line="276" w:lineRule="auto"/>
        <w:jc w:val="both"/>
        <w:rPr>
          <w:rFonts w:ascii="Verdana" w:hAnsi="Verdana" w:cs="Arial"/>
        </w:rPr>
      </w:pPr>
    </w:p>
    <w:p w14:paraId="3927F802" w14:textId="77777777" w:rsidR="00D71D00" w:rsidRPr="006E66BF" w:rsidRDefault="00D71D00" w:rsidP="00D71D00">
      <w:pPr>
        <w:widowControl w:val="0"/>
        <w:autoSpaceDE w:val="0"/>
        <w:autoSpaceDN w:val="0"/>
        <w:spacing w:after="0" w:line="276" w:lineRule="auto"/>
        <w:jc w:val="both"/>
        <w:rPr>
          <w:rFonts w:ascii="Verdana" w:hAnsi="Verdana" w:cs="Arial"/>
          <w:lang w:val="es-ES_tradnl"/>
        </w:rPr>
      </w:pPr>
      <w:r w:rsidRPr="006E66BF">
        <w:rPr>
          <w:rFonts w:ascii="Verdana" w:hAnsi="Verdana" w:cs="Arial"/>
        </w:rPr>
        <w:t xml:space="preserve">Este concepto tiene el alcance previsto en el artículo 28 del Código de Procedimiento Administrativo y de lo Contencioso Administrativo </w:t>
      </w:r>
      <w:r w:rsidRPr="006E66BF">
        <w:rPr>
          <w:rFonts w:ascii="Verdana" w:hAnsi="Verdana" w:cs="Arial"/>
          <w:lang w:val="es-ES_tradnl"/>
        </w:rPr>
        <w:t>y las expresiones aquí utilizadas con mayúscula inicial deben ser entendidas con el significado que les otorga el artículo 2.2.1.1.1.3.1. del Decreto 1082 de 2015.</w:t>
      </w:r>
    </w:p>
    <w:p w14:paraId="4D6230A1" w14:textId="77777777" w:rsidR="00D71D00" w:rsidRPr="006E66BF" w:rsidRDefault="00D71D00" w:rsidP="00D71D00">
      <w:pPr>
        <w:widowControl w:val="0"/>
        <w:autoSpaceDE w:val="0"/>
        <w:autoSpaceDN w:val="0"/>
        <w:spacing w:after="0" w:line="276" w:lineRule="auto"/>
        <w:jc w:val="both"/>
        <w:rPr>
          <w:rFonts w:ascii="Verdana" w:hAnsi="Verdana" w:cs="Arial"/>
        </w:rPr>
      </w:pPr>
    </w:p>
    <w:p w14:paraId="4AF06A67" w14:textId="77777777" w:rsidR="00D71D00" w:rsidRPr="006E66BF" w:rsidRDefault="00D71D00" w:rsidP="00D71D00">
      <w:pPr>
        <w:spacing w:after="0" w:line="240" w:lineRule="auto"/>
        <w:rPr>
          <w:rFonts w:ascii="Verdana" w:hAnsi="Verdana" w:cs="Arial"/>
          <w:lang w:eastAsia="es-CO"/>
        </w:rPr>
      </w:pPr>
      <w:r w:rsidRPr="006E66BF">
        <w:rPr>
          <w:rFonts w:ascii="Verdana" w:eastAsia="Times New Roman" w:hAnsi="Verdana" w:cs="Arial"/>
          <w:lang w:eastAsia="es-CO"/>
        </w:rPr>
        <w:t>Atentamente,</w:t>
      </w:r>
      <w:r w:rsidRPr="006E66BF">
        <w:rPr>
          <w:rFonts w:ascii="Verdana" w:hAnsi="Verdana" w:cs="Arial"/>
          <w:lang w:eastAsia="es-CO"/>
        </w:rPr>
        <w:t xml:space="preserve"> </w:t>
      </w:r>
    </w:p>
    <w:p w14:paraId="042ECA10" w14:textId="62CA3BA9" w:rsidR="00D71D00" w:rsidRDefault="00D92734" w:rsidP="00D71D00">
      <w:pPr>
        <w:spacing w:line="276" w:lineRule="auto"/>
        <w:jc w:val="center"/>
        <w:rPr>
          <w:rFonts w:ascii="Verdana" w:eastAsia="Times New Roman" w:hAnsi="Verdana" w:cs="Arial"/>
          <w:lang w:eastAsia="es-ES"/>
        </w:rPr>
      </w:pPr>
      <w:r>
        <w:rPr>
          <w:noProof/>
        </w:rPr>
        <w:drawing>
          <wp:inline distT="0" distB="0" distL="0" distR="0" wp14:anchorId="035FB407" wp14:editId="098A2273">
            <wp:extent cx="3355975" cy="109220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rotWithShape="1">
                    <a:blip r:embed="rId13"/>
                    <a:srcRect t="12330"/>
                    <a:stretch/>
                  </pic:blipFill>
                  <pic:spPr bwMode="auto">
                    <a:xfrm>
                      <a:off x="0" y="0"/>
                      <a:ext cx="3355975" cy="10922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1"/>
        <w:tblW w:w="74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D71D00" w:rsidRPr="006E66BF" w14:paraId="2D8257AE" w14:textId="77777777" w:rsidTr="0086633E">
        <w:trPr>
          <w:trHeight w:val="315"/>
        </w:trPr>
        <w:tc>
          <w:tcPr>
            <w:tcW w:w="893" w:type="dxa"/>
            <w:vAlign w:val="center"/>
            <w:hideMark/>
          </w:tcPr>
          <w:p w14:paraId="120A76B9" w14:textId="77777777" w:rsidR="00D71D00" w:rsidRPr="006E66BF" w:rsidRDefault="00D71D00" w:rsidP="0086633E">
            <w:pPr>
              <w:spacing w:after="255"/>
              <w:contextualSpacing/>
              <w:rPr>
                <w:rFonts w:ascii="Verdana" w:hAnsi="Verdana"/>
                <w:sz w:val="16"/>
                <w:szCs w:val="16"/>
                <w:lang w:val="es-ES" w:eastAsia="es-ES"/>
              </w:rPr>
            </w:pPr>
            <w:r w:rsidRPr="006E66BF">
              <w:rPr>
                <w:rFonts w:ascii="Verdana" w:hAnsi="Verdana"/>
                <w:sz w:val="16"/>
                <w:szCs w:val="16"/>
                <w:lang w:val="es-ES" w:eastAsia="es-ES"/>
              </w:rPr>
              <w:t>Elaboró:</w:t>
            </w:r>
          </w:p>
        </w:tc>
        <w:tc>
          <w:tcPr>
            <w:tcW w:w="6564" w:type="dxa"/>
            <w:tcBorders>
              <w:top w:val="nil"/>
              <w:left w:val="nil"/>
              <w:bottom w:val="dotted" w:sz="4" w:space="0" w:color="7F7F7F" w:themeColor="text1" w:themeTint="80"/>
              <w:right w:val="nil"/>
            </w:tcBorders>
            <w:vAlign w:val="center"/>
            <w:hideMark/>
          </w:tcPr>
          <w:p w14:paraId="36793F72" w14:textId="77777777" w:rsidR="00D71D00" w:rsidRPr="006E66BF" w:rsidRDefault="00D71D00" w:rsidP="0086633E">
            <w:pPr>
              <w:spacing w:after="255"/>
              <w:contextualSpacing/>
              <w:rPr>
                <w:rFonts w:ascii="Verdana" w:eastAsia="Arial" w:hAnsi="Verdana"/>
                <w:sz w:val="16"/>
                <w:szCs w:val="16"/>
              </w:rPr>
            </w:pPr>
            <w:r w:rsidRPr="006E66BF">
              <w:rPr>
                <w:rFonts w:ascii="Verdana" w:eastAsia="Arial" w:hAnsi="Verdana"/>
                <w:sz w:val="16"/>
                <w:szCs w:val="16"/>
              </w:rPr>
              <w:t>Diana Lucia Saavedra Castañeda</w:t>
            </w:r>
          </w:p>
          <w:p w14:paraId="6483C0A5" w14:textId="77777777" w:rsidR="00D71D00" w:rsidRPr="006E66BF" w:rsidRDefault="00D71D00" w:rsidP="0086633E">
            <w:pPr>
              <w:spacing w:after="255"/>
              <w:contextualSpacing/>
              <w:rPr>
                <w:rFonts w:ascii="Verdana" w:eastAsia="Arial" w:hAnsi="Verdana"/>
                <w:sz w:val="16"/>
                <w:szCs w:val="16"/>
              </w:rPr>
            </w:pPr>
            <w:r w:rsidRPr="006E66BF">
              <w:rPr>
                <w:rFonts w:ascii="Verdana" w:eastAsia="Arial" w:hAnsi="Verdana"/>
                <w:sz w:val="16"/>
                <w:szCs w:val="16"/>
              </w:rPr>
              <w:t>Contratista de la Subdirección de Gestión Contractual</w:t>
            </w:r>
          </w:p>
        </w:tc>
      </w:tr>
      <w:tr w:rsidR="00D71D00" w:rsidRPr="006E66BF" w14:paraId="2D1ECC0A" w14:textId="77777777" w:rsidTr="0086633E">
        <w:trPr>
          <w:trHeight w:val="330"/>
        </w:trPr>
        <w:tc>
          <w:tcPr>
            <w:tcW w:w="893" w:type="dxa"/>
            <w:vAlign w:val="center"/>
            <w:hideMark/>
          </w:tcPr>
          <w:p w14:paraId="7C6A6A9A" w14:textId="77777777" w:rsidR="00D71D00" w:rsidRPr="006E66BF" w:rsidRDefault="00D71D00" w:rsidP="0086633E">
            <w:pPr>
              <w:spacing w:after="255"/>
              <w:contextualSpacing/>
              <w:rPr>
                <w:rFonts w:ascii="Verdana" w:hAnsi="Verdana"/>
                <w:sz w:val="16"/>
                <w:szCs w:val="16"/>
                <w:lang w:val="es-ES" w:eastAsia="es-ES"/>
              </w:rPr>
            </w:pPr>
            <w:r w:rsidRPr="006E66BF">
              <w:rPr>
                <w:rFonts w:ascii="Verdana" w:hAnsi="Verdana"/>
                <w:sz w:val="16"/>
                <w:szCs w:val="16"/>
                <w:lang w:val="es-ES" w:eastAsia="es-ES"/>
              </w:rPr>
              <w:t>Revisó:</w:t>
            </w:r>
          </w:p>
        </w:tc>
        <w:tc>
          <w:tcPr>
            <w:tcW w:w="6564" w:type="dxa"/>
            <w:tcBorders>
              <w:top w:val="dotted" w:sz="4" w:space="0" w:color="7F7F7F" w:themeColor="text1" w:themeTint="80"/>
              <w:left w:val="nil"/>
              <w:bottom w:val="dotted" w:sz="4" w:space="0" w:color="7F7F7F" w:themeColor="text1" w:themeTint="80"/>
              <w:right w:val="nil"/>
            </w:tcBorders>
            <w:vAlign w:val="center"/>
            <w:hideMark/>
          </w:tcPr>
          <w:p w14:paraId="19887F39" w14:textId="77777777" w:rsidR="00D71D00" w:rsidRPr="006E66BF" w:rsidRDefault="00D71D00" w:rsidP="0086633E">
            <w:pPr>
              <w:contextualSpacing/>
              <w:textAlignment w:val="baseline"/>
              <w:rPr>
                <w:rFonts w:ascii="Verdana" w:eastAsia="Times New Roman" w:hAnsi="Verdana" w:cs="Segoe UI"/>
                <w:sz w:val="16"/>
                <w:szCs w:val="16"/>
                <w:lang w:eastAsia="es-ES_tradnl"/>
              </w:rPr>
            </w:pPr>
            <w:r w:rsidRPr="006E66BF">
              <w:rPr>
                <w:rFonts w:ascii="Verdana" w:eastAsia="Times New Roman" w:hAnsi="Verdana"/>
                <w:sz w:val="16"/>
                <w:szCs w:val="16"/>
                <w:lang w:val="es-ES" w:eastAsia="es-ES_tradnl"/>
              </w:rPr>
              <w:t>Alejandro Raúl Sarmiento Cantillo</w:t>
            </w:r>
          </w:p>
          <w:p w14:paraId="24856921" w14:textId="77777777" w:rsidR="00D71D00" w:rsidRPr="006E66BF" w:rsidRDefault="00D71D00" w:rsidP="0086633E">
            <w:pPr>
              <w:contextualSpacing/>
              <w:textAlignment w:val="baseline"/>
              <w:rPr>
                <w:rFonts w:ascii="Verdana" w:eastAsia="Times New Roman" w:hAnsi="Verdana" w:cs="Segoe UI"/>
                <w:sz w:val="16"/>
                <w:szCs w:val="16"/>
                <w:lang w:eastAsia="es-ES_tradnl"/>
              </w:rPr>
            </w:pPr>
            <w:r w:rsidRPr="006E66BF">
              <w:rPr>
                <w:rFonts w:ascii="Verdana" w:eastAsia="Times New Roman" w:hAnsi="Verdana"/>
                <w:color w:val="000000"/>
                <w:sz w:val="16"/>
                <w:szCs w:val="16"/>
                <w:lang w:val="es-ES" w:eastAsia="es-ES_tradnl"/>
              </w:rPr>
              <w:t xml:space="preserve">Gestor T1-15 </w:t>
            </w:r>
            <w:r w:rsidRPr="006E66BF">
              <w:rPr>
                <w:rFonts w:ascii="Verdana" w:eastAsia="Times New Roman" w:hAnsi="Verdana"/>
                <w:sz w:val="16"/>
                <w:szCs w:val="16"/>
                <w:lang w:val="es-ES" w:eastAsia="es-ES_tradnl"/>
              </w:rPr>
              <w:t>de la Subdirección de Gestión Contractual</w:t>
            </w:r>
            <w:r w:rsidRPr="006E66BF">
              <w:rPr>
                <w:rFonts w:ascii="Verdana" w:eastAsia="Times New Roman" w:hAnsi="Verdana"/>
                <w:sz w:val="16"/>
                <w:szCs w:val="16"/>
                <w:lang w:eastAsia="es-ES_tradnl"/>
              </w:rPr>
              <w:t> </w:t>
            </w:r>
          </w:p>
        </w:tc>
      </w:tr>
      <w:tr w:rsidR="00D71D00" w:rsidRPr="006E66BF" w14:paraId="177F25AD" w14:textId="77777777" w:rsidTr="0086633E">
        <w:trPr>
          <w:trHeight w:val="300"/>
        </w:trPr>
        <w:tc>
          <w:tcPr>
            <w:tcW w:w="893" w:type="dxa"/>
            <w:vAlign w:val="center"/>
            <w:hideMark/>
          </w:tcPr>
          <w:p w14:paraId="11866631" w14:textId="77777777" w:rsidR="00D71D00" w:rsidRPr="006E66BF" w:rsidRDefault="00D71D00" w:rsidP="0086633E">
            <w:pPr>
              <w:spacing w:after="255"/>
              <w:contextualSpacing/>
              <w:rPr>
                <w:rFonts w:ascii="Verdana" w:hAnsi="Verdana"/>
                <w:sz w:val="16"/>
                <w:szCs w:val="16"/>
                <w:lang w:val="es-ES" w:eastAsia="es-ES"/>
              </w:rPr>
            </w:pPr>
            <w:r w:rsidRPr="006E66BF">
              <w:rPr>
                <w:rFonts w:ascii="Verdana" w:hAnsi="Verdana"/>
                <w:sz w:val="16"/>
                <w:szCs w:val="16"/>
                <w:lang w:val="es-ES" w:eastAsia="es-ES"/>
              </w:rPr>
              <w:t>Aprobó:</w:t>
            </w:r>
          </w:p>
        </w:tc>
        <w:tc>
          <w:tcPr>
            <w:tcW w:w="6564" w:type="dxa"/>
            <w:tcBorders>
              <w:top w:val="dotted" w:sz="4" w:space="0" w:color="7F7F7F" w:themeColor="text1" w:themeTint="80"/>
              <w:left w:val="nil"/>
              <w:bottom w:val="dotted" w:sz="4" w:space="0" w:color="7F7F7F" w:themeColor="text1" w:themeTint="80"/>
              <w:right w:val="nil"/>
            </w:tcBorders>
            <w:vAlign w:val="center"/>
            <w:hideMark/>
          </w:tcPr>
          <w:p w14:paraId="6C0B0F02" w14:textId="77777777" w:rsidR="00D71D00" w:rsidRPr="006E66BF" w:rsidRDefault="00D71D00" w:rsidP="0086633E">
            <w:pPr>
              <w:spacing w:after="255"/>
              <w:contextualSpacing/>
              <w:rPr>
                <w:rFonts w:ascii="Verdana" w:hAnsi="Verdana"/>
                <w:sz w:val="16"/>
                <w:szCs w:val="16"/>
                <w:lang w:val="pt-BR" w:eastAsia="es-ES"/>
              </w:rPr>
            </w:pPr>
            <w:r w:rsidRPr="006E66BF">
              <w:rPr>
                <w:rFonts w:ascii="Verdana" w:hAnsi="Verdana"/>
                <w:sz w:val="16"/>
                <w:szCs w:val="16"/>
                <w:lang w:val="pt-BR" w:eastAsia="es-ES"/>
              </w:rPr>
              <w:t>Carolina Quintero Gacharná</w:t>
            </w:r>
          </w:p>
          <w:p w14:paraId="7F4BBC2E" w14:textId="77777777" w:rsidR="00D71D00" w:rsidRPr="006E66BF" w:rsidRDefault="00D71D00" w:rsidP="0086633E">
            <w:pPr>
              <w:spacing w:after="255"/>
              <w:contextualSpacing/>
              <w:rPr>
                <w:rFonts w:ascii="Verdana" w:hAnsi="Verdana"/>
                <w:sz w:val="16"/>
                <w:szCs w:val="16"/>
                <w:lang w:val="pt-BR" w:eastAsia="es-ES"/>
              </w:rPr>
            </w:pPr>
            <w:r w:rsidRPr="006E66BF">
              <w:rPr>
                <w:rFonts w:ascii="Verdana" w:hAnsi="Verdana"/>
                <w:sz w:val="16"/>
                <w:szCs w:val="16"/>
                <w:lang w:eastAsia="es-ES"/>
              </w:rPr>
              <w:t>Subdirectora</w:t>
            </w:r>
            <w:r w:rsidRPr="006E66BF">
              <w:rPr>
                <w:rFonts w:ascii="Verdana" w:hAnsi="Verdana"/>
                <w:sz w:val="16"/>
                <w:szCs w:val="16"/>
                <w:lang w:val="pt-BR" w:eastAsia="es-ES"/>
              </w:rPr>
              <w:t xml:space="preserve"> de Gestión Contractual ANCP – CCE</w:t>
            </w:r>
          </w:p>
        </w:tc>
      </w:tr>
    </w:tbl>
    <w:p w14:paraId="03D52628" w14:textId="77777777" w:rsidR="00D71D00" w:rsidRPr="005E3465" w:rsidRDefault="00D71D00" w:rsidP="00D71D00">
      <w:pPr>
        <w:spacing w:line="276" w:lineRule="auto"/>
        <w:jc w:val="center"/>
        <w:rPr>
          <w:rFonts w:ascii="Verdana" w:eastAsia="Times New Roman" w:hAnsi="Verdana" w:cs="Arial"/>
          <w:lang w:eastAsia="es-ES"/>
        </w:rPr>
      </w:pPr>
    </w:p>
    <w:p w14:paraId="21C4051F" w14:textId="23258AE0"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5C722F8B" w:rsidR="00127233" w:rsidRPr="0044528D" w:rsidRDefault="00127233" w:rsidP="00665D70">
      <w:pPr>
        <w:spacing w:after="0"/>
        <w:jc w:val="both"/>
        <w:rPr>
          <w:rFonts w:ascii="Verdana" w:hAnsi="Verdana"/>
        </w:rPr>
      </w:pPr>
    </w:p>
    <w:sectPr w:rsidR="00127233"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E42B" w14:textId="77777777" w:rsidR="003A26D1" w:rsidRDefault="003A26D1" w:rsidP="004A1847">
      <w:pPr>
        <w:spacing w:after="0" w:line="240" w:lineRule="auto"/>
      </w:pPr>
      <w:r>
        <w:separator/>
      </w:r>
    </w:p>
  </w:endnote>
  <w:endnote w:type="continuationSeparator" w:id="0">
    <w:p w14:paraId="430A73B4" w14:textId="77777777" w:rsidR="003A26D1" w:rsidRDefault="003A26D1" w:rsidP="004A1847">
      <w:pPr>
        <w:spacing w:after="0" w:line="240" w:lineRule="auto"/>
      </w:pPr>
      <w:r>
        <w:continuationSeparator/>
      </w:r>
    </w:p>
  </w:endnote>
  <w:endnote w:type="continuationNotice" w:id="1">
    <w:p w14:paraId="78D4F24A" w14:textId="77777777" w:rsidR="00947EA0" w:rsidRDefault="00947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F77B" w14:textId="77777777" w:rsidR="003A26D1" w:rsidRDefault="003A26D1" w:rsidP="004A1847">
      <w:pPr>
        <w:spacing w:after="0" w:line="240" w:lineRule="auto"/>
      </w:pPr>
      <w:r>
        <w:separator/>
      </w:r>
    </w:p>
  </w:footnote>
  <w:footnote w:type="continuationSeparator" w:id="0">
    <w:p w14:paraId="665EFA4D" w14:textId="77777777" w:rsidR="003A26D1" w:rsidRDefault="003A26D1" w:rsidP="004A1847">
      <w:pPr>
        <w:spacing w:after="0" w:line="240" w:lineRule="auto"/>
      </w:pPr>
      <w:r>
        <w:continuationSeparator/>
      </w:r>
    </w:p>
  </w:footnote>
  <w:footnote w:type="continuationNotice" w:id="1">
    <w:p w14:paraId="18B78065" w14:textId="77777777" w:rsidR="00947EA0" w:rsidRDefault="00947EA0">
      <w:pPr>
        <w:spacing w:after="0" w:line="240" w:lineRule="auto"/>
      </w:pPr>
    </w:p>
  </w:footnote>
  <w:footnote w:id="2">
    <w:p w14:paraId="49C9B931" w14:textId="77777777" w:rsidR="00D71D00" w:rsidRPr="00925849" w:rsidRDefault="00D71D00" w:rsidP="00D71D00">
      <w:pPr>
        <w:pStyle w:val="Textonotapie"/>
        <w:ind w:firstLine="708"/>
        <w:contextualSpacing/>
        <w:jc w:val="both"/>
        <w:rPr>
          <w:rFonts w:ascii="Verdana" w:hAnsi="Verdana" w:cs="Arial"/>
          <w:sz w:val="16"/>
          <w:szCs w:val="16"/>
          <w:lang w:val="pt-BR"/>
        </w:rPr>
      </w:pPr>
      <w:r w:rsidRPr="00925849">
        <w:rPr>
          <w:rStyle w:val="Refdenotaalpie"/>
          <w:rFonts w:ascii="Verdana" w:hAnsi="Verdana" w:cs="Arial"/>
          <w:sz w:val="16"/>
          <w:szCs w:val="16"/>
        </w:rPr>
        <w:footnoteRef/>
      </w:r>
      <w:r w:rsidRPr="00925849">
        <w:rPr>
          <w:rFonts w:ascii="Verdana" w:hAnsi="Verdana" w:cs="Arial"/>
          <w:sz w:val="16"/>
          <w:szCs w:val="16"/>
        </w:rPr>
        <w:t xml:space="preserve"> Consejo De Estado. Sección Tercera. Subsección A. Sentencia del 13 de noviembre de 2013. </w:t>
      </w:r>
      <w:r w:rsidRPr="00925849">
        <w:rPr>
          <w:rFonts w:ascii="Verdana" w:hAnsi="Verdana" w:cs="Arial"/>
          <w:sz w:val="16"/>
          <w:szCs w:val="16"/>
          <w:lang w:val="pt-BR"/>
        </w:rPr>
        <w:t xml:space="preserve">Rad. 25.646. C.P. Mauricio Fajardo Gómez.  </w:t>
      </w:r>
    </w:p>
    <w:p w14:paraId="5AD25A93" w14:textId="77777777" w:rsidR="00D71D00" w:rsidRPr="00925849" w:rsidRDefault="00D71D00" w:rsidP="00D71D00">
      <w:pPr>
        <w:pStyle w:val="Textonotapie"/>
        <w:ind w:firstLine="708"/>
        <w:contextualSpacing/>
        <w:jc w:val="both"/>
        <w:rPr>
          <w:rFonts w:ascii="Verdana" w:hAnsi="Verdana" w:cs="Arial"/>
          <w:sz w:val="16"/>
          <w:szCs w:val="16"/>
          <w:lang w:val="pt-BR"/>
        </w:rPr>
      </w:pPr>
    </w:p>
  </w:footnote>
  <w:footnote w:id="3">
    <w:p w14:paraId="52E9A812" w14:textId="77777777" w:rsidR="00D71D00" w:rsidRPr="00925849" w:rsidRDefault="00D71D00" w:rsidP="00D71D00">
      <w:pPr>
        <w:pStyle w:val="Textonotapie"/>
        <w:ind w:firstLine="708"/>
        <w:contextualSpacing/>
        <w:jc w:val="both"/>
        <w:rPr>
          <w:rFonts w:ascii="Verdana" w:hAnsi="Verdana" w:cs="Arial"/>
          <w:sz w:val="16"/>
          <w:szCs w:val="16"/>
        </w:rPr>
      </w:pPr>
      <w:r w:rsidRPr="00925849">
        <w:rPr>
          <w:rStyle w:val="Refdenotaalpie"/>
          <w:rFonts w:ascii="Verdana" w:hAnsi="Verdana" w:cs="Arial"/>
          <w:sz w:val="16"/>
          <w:szCs w:val="16"/>
        </w:rPr>
        <w:footnoteRef/>
      </w:r>
      <w:r w:rsidRPr="00925849">
        <w:rPr>
          <w:rFonts w:ascii="Verdana" w:hAnsi="Verdana" w:cs="Arial"/>
          <w:sz w:val="16"/>
          <w:szCs w:val="16"/>
          <w:lang w:val="pt-BR"/>
        </w:rPr>
        <w:t xml:space="preserve"> Corte Constitucional. </w:t>
      </w:r>
      <w:r w:rsidRPr="00925849">
        <w:rPr>
          <w:rFonts w:ascii="Verdana" w:hAnsi="Verdana" w:cs="Arial"/>
          <w:sz w:val="16"/>
          <w:szCs w:val="16"/>
        </w:rPr>
        <w:t xml:space="preserve">Sentencia C-780 de 2001. M.P. Jaime Córdoba Triviño. </w:t>
      </w:r>
    </w:p>
    <w:p w14:paraId="68E19F3E" w14:textId="77777777" w:rsidR="00D71D00" w:rsidRPr="00925849" w:rsidRDefault="00D71D00" w:rsidP="00D71D00">
      <w:pPr>
        <w:pStyle w:val="Textonotapie"/>
        <w:ind w:firstLine="708"/>
        <w:contextualSpacing/>
        <w:jc w:val="both"/>
        <w:rPr>
          <w:rFonts w:ascii="Verdana" w:hAnsi="Verdana" w:cs="Arial"/>
          <w:sz w:val="16"/>
          <w:szCs w:val="16"/>
        </w:rPr>
      </w:pPr>
    </w:p>
  </w:footnote>
  <w:footnote w:id="4">
    <w:p w14:paraId="32A6EC29"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r w:rsidRPr="00925849">
        <w:rPr>
          <w:rStyle w:val="Refdenotaalpie"/>
          <w:rFonts w:ascii="Verdana" w:hAnsi="Verdana" w:cs="Arial"/>
          <w:sz w:val="16"/>
          <w:szCs w:val="16"/>
        </w:rPr>
        <w:footnoteRef/>
      </w:r>
      <w:r w:rsidRPr="00925849">
        <w:rPr>
          <w:rFonts w:ascii="Verdana" w:hAnsi="Verdana" w:cs="Arial"/>
          <w:color w:val="000000"/>
          <w:sz w:val="16"/>
          <w:szCs w:val="16"/>
        </w:rPr>
        <w:t xml:space="preserve"> </w:t>
      </w:r>
      <w:r w:rsidRPr="00925849">
        <w:rPr>
          <w:rFonts w:ascii="Verdana" w:hAnsi="Verdana" w:cs="Arial"/>
          <w:sz w:val="16"/>
          <w:szCs w:val="16"/>
          <w:lang w:val="pt-BR"/>
        </w:rPr>
        <w:t>Ibidem</w:t>
      </w:r>
      <w:r w:rsidRPr="00925849">
        <w:rPr>
          <w:rFonts w:ascii="Verdana" w:hAnsi="Verdana" w:cs="Arial"/>
          <w:color w:val="000000"/>
          <w:sz w:val="16"/>
          <w:szCs w:val="16"/>
          <w:lang w:val="es-ES"/>
        </w:rPr>
        <w:t>. Página 69.</w:t>
      </w:r>
    </w:p>
    <w:p w14:paraId="48BEA42E"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p>
  </w:footnote>
  <w:footnote w:id="5">
    <w:p w14:paraId="54AD56E5"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r w:rsidRPr="00925849">
        <w:rPr>
          <w:rStyle w:val="Refdenotaalpie"/>
          <w:rFonts w:ascii="Verdana" w:hAnsi="Verdana" w:cs="Arial"/>
          <w:sz w:val="16"/>
          <w:szCs w:val="16"/>
        </w:rPr>
        <w:footnoteRef/>
      </w:r>
      <w:r w:rsidRPr="00925849">
        <w:rPr>
          <w:rFonts w:ascii="Verdana" w:hAnsi="Verdana" w:cs="Arial"/>
          <w:color w:val="000000"/>
          <w:sz w:val="16"/>
          <w:szCs w:val="16"/>
        </w:rPr>
        <w:t xml:space="preserve"> </w:t>
      </w:r>
      <w:bookmarkStart w:id="2" w:name="_Hlk177050025"/>
      <w:r w:rsidRPr="00925849">
        <w:rPr>
          <w:rFonts w:ascii="Verdana" w:hAnsi="Verdana" w:cs="Arial"/>
          <w:color w:val="000000"/>
          <w:sz w:val="16"/>
          <w:szCs w:val="16"/>
          <w:lang w:val="es-ES"/>
        </w:rPr>
        <w:t xml:space="preserve">Corte Constitucional. Sentencia T-1039 de 2006. </w:t>
      </w:r>
      <w:r w:rsidRPr="00925849">
        <w:rPr>
          <w:rFonts w:ascii="Verdana" w:hAnsi="Verdana" w:cs="Arial"/>
          <w:color w:val="000000"/>
          <w:sz w:val="16"/>
          <w:szCs w:val="16"/>
          <w:lang w:val="it-IT"/>
        </w:rPr>
        <w:t xml:space="preserve">Magistrado Ponente: Humberto Sierra Porto. </w:t>
      </w:r>
      <w:r w:rsidRPr="00925849">
        <w:rPr>
          <w:rFonts w:ascii="Verdana" w:hAnsi="Verdana" w:cs="Arial"/>
          <w:color w:val="000000"/>
          <w:sz w:val="16"/>
          <w:szCs w:val="16"/>
          <w:lang w:val="es-ES"/>
        </w:rPr>
        <w:t xml:space="preserve">La Corte ha mantenido este criterio en las sentencias: C-903 de 2008. Magistrado Ponente: Jaime Araujo Rentería; C-101 de 2018. Magistrada Ponente Gloria Stella Ortiz Delgado; entre otras. </w:t>
      </w:r>
    </w:p>
    <w:bookmarkEnd w:id="2"/>
    <w:p w14:paraId="18EB7565"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p>
  </w:footnote>
  <w:footnote w:id="6">
    <w:p w14:paraId="1C03743E"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r w:rsidRPr="00925849">
        <w:rPr>
          <w:rStyle w:val="Refdenotaalpie"/>
          <w:rFonts w:ascii="Verdana" w:hAnsi="Verdana" w:cs="Arial"/>
          <w:sz w:val="16"/>
          <w:szCs w:val="16"/>
        </w:rPr>
        <w:footnoteRef/>
      </w:r>
      <w:r w:rsidRPr="00925849">
        <w:rPr>
          <w:rFonts w:ascii="Verdana" w:hAnsi="Verdana" w:cs="Arial"/>
          <w:color w:val="000000"/>
          <w:sz w:val="16"/>
          <w:szCs w:val="16"/>
        </w:rPr>
        <w:t xml:space="preserve"> </w:t>
      </w:r>
      <w:r w:rsidRPr="00925849">
        <w:rPr>
          <w:rFonts w:ascii="Verdana" w:hAnsi="Verdana" w:cs="Arial"/>
          <w:color w:val="000000"/>
          <w:sz w:val="16"/>
          <w:szCs w:val="16"/>
          <w:lang w:val="es-ES"/>
        </w:rPr>
        <w:t>Consejo de Estado. Sala de Consulta y Servicio Civil. Concepto del 30 de abril de 2015. Expediente: 2.251. Consejero Ponente: Álvaro Namén Vargas.</w:t>
      </w:r>
    </w:p>
    <w:p w14:paraId="4B8F2C1D"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p>
  </w:footnote>
  <w:footnote w:id="7">
    <w:p w14:paraId="4E9C3A36" w14:textId="77777777" w:rsidR="00D71D00" w:rsidRPr="00925849" w:rsidRDefault="00D71D00" w:rsidP="00D71D00">
      <w:pPr>
        <w:pStyle w:val="Textonotapie"/>
        <w:ind w:firstLine="709"/>
        <w:contextualSpacing/>
        <w:jc w:val="both"/>
        <w:rPr>
          <w:rFonts w:ascii="Verdana" w:hAnsi="Verdana" w:cs="Arial"/>
          <w:color w:val="000000"/>
          <w:sz w:val="16"/>
          <w:szCs w:val="16"/>
        </w:rPr>
      </w:pPr>
      <w:r w:rsidRPr="00925849">
        <w:rPr>
          <w:rStyle w:val="Refdenotaalpie"/>
          <w:rFonts w:ascii="Verdana" w:hAnsi="Verdana" w:cs="Arial"/>
          <w:sz w:val="16"/>
          <w:szCs w:val="16"/>
        </w:rPr>
        <w:footnoteRef/>
      </w:r>
      <w:r w:rsidRPr="00925849">
        <w:rPr>
          <w:rFonts w:ascii="Verdana" w:hAnsi="Verdana" w:cs="Arial"/>
          <w:color w:val="000000"/>
          <w:sz w:val="16"/>
          <w:szCs w:val="16"/>
        </w:rPr>
        <w:t xml:space="preserve"> Consejo de Estado. Sección Tercera. Subsección A. Sentencia del 24 de junio de 2015. Exp. 40.635. Consejero Ponente: Hernán Andrade Rincón (E).</w:t>
      </w:r>
    </w:p>
    <w:p w14:paraId="5A72161D"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p>
  </w:footnote>
  <w:footnote w:id="8">
    <w:p w14:paraId="65C730F9" w14:textId="77777777" w:rsidR="00D71D00" w:rsidRPr="00925849" w:rsidRDefault="00D71D00" w:rsidP="00D71D00">
      <w:pPr>
        <w:pStyle w:val="Textonotapie"/>
        <w:ind w:firstLine="709"/>
        <w:contextualSpacing/>
        <w:jc w:val="both"/>
        <w:rPr>
          <w:rFonts w:ascii="Verdana" w:hAnsi="Verdana" w:cs="Arial"/>
          <w:color w:val="000000"/>
          <w:sz w:val="16"/>
          <w:szCs w:val="16"/>
        </w:rPr>
      </w:pPr>
      <w:r w:rsidRPr="00925849">
        <w:rPr>
          <w:rStyle w:val="Refdenotaalpie"/>
          <w:rFonts w:ascii="Verdana" w:hAnsi="Verdana" w:cs="Arial"/>
          <w:sz w:val="16"/>
          <w:szCs w:val="16"/>
        </w:rPr>
        <w:footnoteRef/>
      </w:r>
      <w:r w:rsidRPr="00925849">
        <w:rPr>
          <w:rFonts w:ascii="Verdana" w:hAnsi="Verdana" w:cs="Arial"/>
          <w:color w:val="000000"/>
          <w:sz w:val="16"/>
          <w:szCs w:val="16"/>
        </w:rPr>
        <w:t xml:space="preserve"> Consejo de Estado. Sección Tercera. Subsección C. Sentencia del 22 de mayo de 2013. Exp. 24.057. Consejera Ponente: Olga </w:t>
      </w:r>
      <w:proofErr w:type="spellStart"/>
      <w:r w:rsidRPr="00925849">
        <w:rPr>
          <w:rFonts w:ascii="Verdana" w:hAnsi="Verdana" w:cs="Arial"/>
          <w:color w:val="000000"/>
          <w:sz w:val="16"/>
          <w:szCs w:val="16"/>
        </w:rPr>
        <w:t>Melida</w:t>
      </w:r>
      <w:proofErr w:type="spellEnd"/>
      <w:r w:rsidRPr="00925849">
        <w:rPr>
          <w:rFonts w:ascii="Verdana" w:hAnsi="Verdana" w:cs="Arial"/>
          <w:color w:val="000000"/>
          <w:sz w:val="16"/>
          <w:szCs w:val="16"/>
        </w:rPr>
        <w:t xml:space="preserve"> Valle De </w:t>
      </w:r>
      <w:proofErr w:type="spellStart"/>
      <w:r w:rsidRPr="00925849">
        <w:rPr>
          <w:rFonts w:ascii="Verdana" w:hAnsi="Verdana" w:cs="Arial"/>
          <w:color w:val="000000"/>
          <w:sz w:val="16"/>
          <w:szCs w:val="16"/>
        </w:rPr>
        <w:t>De</w:t>
      </w:r>
      <w:proofErr w:type="spellEnd"/>
      <w:r w:rsidRPr="00925849">
        <w:rPr>
          <w:rFonts w:ascii="Verdana" w:hAnsi="Verdana" w:cs="Arial"/>
          <w:color w:val="000000"/>
          <w:sz w:val="16"/>
          <w:szCs w:val="16"/>
        </w:rPr>
        <w:t xml:space="preserve"> La Hoz.</w:t>
      </w:r>
    </w:p>
    <w:p w14:paraId="25AEA384" w14:textId="77777777" w:rsidR="00D71D00" w:rsidRPr="00925849" w:rsidRDefault="00D71D00" w:rsidP="00D71D00">
      <w:pPr>
        <w:pStyle w:val="Textonotapie"/>
        <w:ind w:firstLine="709"/>
        <w:contextualSpacing/>
        <w:jc w:val="both"/>
        <w:rPr>
          <w:rFonts w:ascii="Verdana" w:hAnsi="Verdana" w:cs="Arial"/>
          <w:color w:val="000000"/>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1B13"/>
      </v:shape>
    </w:pict>
  </w:numPicBullet>
  <w:abstractNum w:abstractNumId="0" w15:restartNumberingAfterBreak="0">
    <w:nsid w:val="01C06310"/>
    <w:multiLevelType w:val="multilevel"/>
    <w:tmpl w:val="3246F0E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185F"/>
    <w:rsid w:val="00082362"/>
    <w:rsid w:val="000A683E"/>
    <w:rsid w:val="000B19B9"/>
    <w:rsid w:val="000D0334"/>
    <w:rsid w:val="000F6486"/>
    <w:rsid w:val="0011612F"/>
    <w:rsid w:val="00125105"/>
    <w:rsid w:val="00125F52"/>
    <w:rsid w:val="00127233"/>
    <w:rsid w:val="00135CE9"/>
    <w:rsid w:val="001854D2"/>
    <w:rsid w:val="001E4177"/>
    <w:rsid w:val="001F4438"/>
    <w:rsid w:val="001F7DC6"/>
    <w:rsid w:val="002421BB"/>
    <w:rsid w:val="002432FC"/>
    <w:rsid w:val="0025796E"/>
    <w:rsid w:val="002707A2"/>
    <w:rsid w:val="002951A0"/>
    <w:rsid w:val="002962BC"/>
    <w:rsid w:val="002973B8"/>
    <w:rsid w:val="002A093D"/>
    <w:rsid w:val="002A0DD0"/>
    <w:rsid w:val="002A49AC"/>
    <w:rsid w:val="002A64FD"/>
    <w:rsid w:val="002C7A84"/>
    <w:rsid w:val="002E4FD9"/>
    <w:rsid w:val="002F7BDB"/>
    <w:rsid w:val="00322A85"/>
    <w:rsid w:val="00324168"/>
    <w:rsid w:val="003448F4"/>
    <w:rsid w:val="00374F5E"/>
    <w:rsid w:val="00377E3E"/>
    <w:rsid w:val="003A26D1"/>
    <w:rsid w:val="003A779E"/>
    <w:rsid w:val="003D0F4D"/>
    <w:rsid w:val="003D5B0D"/>
    <w:rsid w:val="003E0499"/>
    <w:rsid w:val="003F3941"/>
    <w:rsid w:val="00406575"/>
    <w:rsid w:val="0042075A"/>
    <w:rsid w:val="0042722E"/>
    <w:rsid w:val="0044528D"/>
    <w:rsid w:val="0048083D"/>
    <w:rsid w:val="0048614A"/>
    <w:rsid w:val="004A1847"/>
    <w:rsid w:val="004A305D"/>
    <w:rsid w:val="004B5F4A"/>
    <w:rsid w:val="004D498D"/>
    <w:rsid w:val="004F21C4"/>
    <w:rsid w:val="004F685F"/>
    <w:rsid w:val="005031E6"/>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A16"/>
    <w:rsid w:val="007C3DC2"/>
    <w:rsid w:val="007E5497"/>
    <w:rsid w:val="00806F5F"/>
    <w:rsid w:val="00820278"/>
    <w:rsid w:val="008843B6"/>
    <w:rsid w:val="00891928"/>
    <w:rsid w:val="008A446D"/>
    <w:rsid w:val="008D180B"/>
    <w:rsid w:val="008F0EA7"/>
    <w:rsid w:val="00923EEF"/>
    <w:rsid w:val="009419F9"/>
    <w:rsid w:val="00947EA0"/>
    <w:rsid w:val="0095685E"/>
    <w:rsid w:val="00961B09"/>
    <w:rsid w:val="00965334"/>
    <w:rsid w:val="0097093E"/>
    <w:rsid w:val="009A0DFA"/>
    <w:rsid w:val="009A563B"/>
    <w:rsid w:val="009B2D26"/>
    <w:rsid w:val="009C71FA"/>
    <w:rsid w:val="009C72E7"/>
    <w:rsid w:val="009D3058"/>
    <w:rsid w:val="009E4ACF"/>
    <w:rsid w:val="009F3A13"/>
    <w:rsid w:val="00A122D3"/>
    <w:rsid w:val="00A17F13"/>
    <w:rsid w:val="00A20739"/>
    <w:rsid w:val="00A33C78"/>
    <w:rsid w:val="00A506D1"/>
    <w:rsid w:val="00AB0ADB"/>
    <w:rsid w:val="00B01B1A"/>
    <w:rsid w:val="00B43924"/>
    <w:rsid w:val="00B72CD3"/>
    <w:rsid w:val="00B72FFF"/>
    <w:rsid w:val="00BC3D36"/>
    <w:rsid w:val="00BD7F72"/>
    <w:rsid w:val="00C04FB3"/>
    <w:rsid w:val="00C330EB"/>
    <w:rsid w:val="00C754BE"/>
    <w:rsid w:val="00C76B1C"/>
    <w:rsid w:val="00CB6357"/>
    <w:rsid w:val="00CC1B26"/>
    <w:rsid w:val="00CE0EB5"/>
    <w:rsid w:val="00D423A2"/>
    <w:rsid w:val="00D520D8"/>
    <w:rsid w:val="00D63AC2"/>
    <w:rsid w:val="00D71D00"/>
    <w:rsid w:val="00D7383B"/>
    <w:rsid w:val="00D92734"/>
    <w:rsid w:val="00DA231B"/>
    <w:rsid w:val="00DA23A0"/>
    <w:rsid w:val="00DC39FC"/>
    <w:rsid w:val="00DF5254"/>
    <w:rsid w:val="00E14DF3"/>
    <w:rsid w:val="00E16408"/>
    <w:rsid w:val="00E20894"/>
    <w:rsid w:val="00E245AB"/>
    <w:rsid w:val="00E2764C"/>
    <w:rsid w:val="00E27F2E"/>
    <w:rsid w:val="00E413EA"/>
    <w:rsid w:val="00E50AFE"/>
    <w:rsid w:val="00E66F73"/>
    <w:rsid w:val="00E75C92"/>
    <w:rsid w:val="00E771DC"/>
    <w:rsid w:val="00E8772A"/>
    <w:rsid w:val="00E90F6B"/>
    <w:rsid w:val="00E92C27"/>
    <w:rsid w:val="00EA0E3D"/>
    <w:rsid w:val="00EC38A7"/>
    <w:rsid w:val="00EE1AA8"/>
    <w:rsid w:val="00F14698"/>
    <w:rsid w:val="00F31EDC"/>
    <w:rsid w:val="00F34DD2"/>
    <w:rsid w:val="00F462B3"/>
    <w:rsid w:val="00F5664F"/>
    <w:rsid w:val="00F666C4"/>
    <w:rsid w:val="00F76AFC"/>
    <w:rsid w:val="00FA47C0"/>
    <w:rsid w:val="00FB5DD1"/>
    <w:rsid w:val="00FC2B5D"/>
    <w:rsid w:val="00FF1449"/>
    <w:rsid w:val="5CEADB7B"/>
    <w:rsid w:val="7BE3EE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71D00"/>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71D00"/>
    <w:rPr>
      <w:rFonts w:ascii="Geomanist Light" w:hAnsi="Geomanist Light"/>
      <w:lang w:val="es-ES"/>
    </w:rPr>
  </w:style>
  <w:style w:type="table" w:customStyle="1" w:styleId="Tablaconcuadrcula1">
    <w:name w:val="Tabla con cuadrícula1"/>
    <w:basedOn w:val="Tablanormal"/>
    <w:next w:val="Tablaconcuadrcula"/>
    <w:uiPriority w:val="39"/>
    <w:qFormat/>
    <w:rsid w:val="00D71D0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boletin_de_realtoria_ii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84B6259-9B25-4971-A1CE-153EB961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36c82cfe-0eda-494d-b392-a9281b89aaf0"/>
    <ds:schemaRef ds:uri="8ae15d26-076e-464e-81a7-6f76a0fb3917"/>
    <ds:schemaRef ds:uri="http://schemas.microsoft.com/office/2006/metadata/propertie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4644</Words>
  <Characters>25543</Characters>
  <Application>Microsoft Office Word</Application>
  <DocSecurity>0</DocSecurity>
  <Lines>212</Lines>
  <Paragraphs>60</Paragraphs>
  <ScaleCrop>false</ScaleCrop>
  <Company/>
  <LinksUpToDate>false</LinksUpToDate>
  <CharactersWithSpaces>30127</CharactersWithSpaces>
  <SharedDoc>false</SharedDoc>
  <HLinks>
    <vt:vector size="12" baseType="variant">
      <vt:variant>
        <vt:i4>1638461</vt:i4>
      </vt:variant>
      <vt:variant>
        <vt:i4>3</vt:i4>
      </vt:variant>
      <vt:variant>
        <vt:i4>0</vt:i4>
      </vt:variant>
      <vt:variant>
        <vt:i4>5</vt:i4>
      </vt:variant>
      <vt:variant>
        <vt:lpwstr>https://www.colombiacompra.gov.co/sites/cce_public/files/files_2020/boletin_de_realtoria_iii.pdf</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2023-01-10T21:18:00Z</cp:lastPrinted>
  <dcterms:created xsi:type="dcterms:W3CDTF">2024-09-12T23:35:00Z</dcterms:created>
  <dcterms:modified xsi:type="dcterms:W3CDTF">2024-10-02T20:23:00Z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