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20F8" w14:textId="3C900FEC" w:rsidR="00CC4DAB" w:rsidRPr="00CC4DAB" w:rsidRDefault="00CC4DAB" w:rsidP="00CC4DAB">
      <w:pPr>
        <w:spacing w:after="0" w:line="240" w:lineRule="auto"/>
        <w:jc w:val="both"/>
        <w:rPr>
          <w:rFonts w:ascii="Verdana" w:hAnsi="Verdana"/>
          <w:b/>
          <w:lang w:val="es-MX"/>
        </w:rPr>
      </w:pPr>
      <w:bookmarkStart w:id="0" w:name="_Hlk143780582"/>
      <w:r w:rsidRPr="00CC4DAB">
        <w:rPr>
          <w:rFonts w:ascii="Verdana" w:hAnsi="Verdana"/>
          <w:b/>
          <w:lang w:val="es-MX"/>
        </w:rPr>
        <w:t>ADICIÓN – Concepto – Distintos supuestos – Prohibición – Adición en más del 50%</w:t>
      </w:r>
    </w:p>
    <w:p w14:paraId="13EA76AE" w14:textId="77777777" w:rsidR="00CC4DAB" w:rsidRPr="00CC4DAB" w:rsidRDefault="00CC4DAB" w:rsidP="00CC4DAB">
      <w:pPr>
        <w:spacing w:after="0" w:line="240" w:lineRule="auto"/>
        <w:jc w:val="both"/>
        <w:rPr>
          <w:rFonts w:ascii="Verdana" w:hAnsi="Verdana"/>
          <w:b/>
          <w:sz w:val="20"/>
          <w:szCs w:val="20"/>
          <w:lang w:val="es-MX"/>
        </w:rPr>
      </w:pPr>
    </w:p>
    <w:p w14:paraId="24D7A79C" w14:textId="77777777" w:rsidR="00CC4DAB" w:rsidRPr="00CC4DAB" w:rsidRDefault="00CC4DAB" w:rsidP="00CC4DAB">
      <w:pPr>
        <w:spacing w:after="0" w:line="240" w:lineRule="auto"/>
        <w:jc w:val="both"/>
        <w:rPr>
          <w:rFonts w:ascii="Verdana" w:hAnsi="Verdana"/>
          <w:sz w:val="20"/>
          <w:szCs w:val="20"/>
          <w:lang w:val="es-ES"/>
        </w:rPr>
      </w:pPr>
      <w:r w:rsidRPr="00CC4DAB">
        <w:rPr>
          <w:rFonts w:ascii="Verdana" w:hAnsi="Verdana"/>
          <w:sz w:val="20"/>
          <w:szCs w:val="20"/>
          <w:lang w:val="es-ES"/>
        </w:rPr>
        <w:t xml:space="preserve">[…]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CC4DAB">
        <w:rPr>
          <w:rFonts w:ascii="Verdana" w:hAnsi="Verdana"/>
          <w:sz w:val="20"/>
          <w:szCs w:val="20"/>
          <w:lang w:val="es-ES"/>
        </w:rPr>
        <w:t>ii</w:t>
      </w:r>
      <w:proofErr w:type="spellEnd"/>
      <w:r w:rsidRPr="00CC4DAB">
        <w:rPr>
          <w:rFonts w:ascii="Verdana" w:hAnsi="Verdana"/>
          <w:sz w:val="20"/>
          <w:szCs w:val="20"/>
          <w:lang w:val="es-E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0045E092" w14:textId="77777777" w:rsidR="00CC4DAB" w:rsidRPr="00CC4DAB" w:rsidRDefault="00CC4DAB" w:rsidP="00CC4DAB">
      <w:pPr>
        <w:spacing w:after="0" w:line="240" w:lineRule="auto"/>
        <w:jc w:val="both"/>
        <w:rPr>
          <w:rFonts w:ascii="Verdana" w:hAnsi="Verdana"/>
          <w:sz w:val="20"/>
          <w:szCs w:val="20"/>
          <w:lang w:val="es-ES"/>
        </w:rPr>
      </w:pPr>
    </w:p>
    <w:p w14:paraId="13C4ECCD" w14:textId="77777777" w:rsidR="00CC4DAB" w:rsidRPr="00CC4DAB" w:rsidRDefault="00CC4DAB" w:rsidP="00CC4DAB">
      <w:pPr>
        <w:spacing w:after="0" w:line="240" w:lineRule="auto"/>
        <w:jc w:val="both"/>
        <w:rPr>
          <w:rFonts w:ascii="Verdana" w:hAnsi="Verdana"/>
          <w:sz w:val="20"/>
          <w:szCs w:val="20"/>
          <w:lang w:val="es-ES"/>
        </w:rPr>
      </w:pPr>
      <w:r w:rsidRPr="00CC4DAB">
        <w:rPr>
          <w:rFonts w:ascii="Verdana" w:hAnsi="Verdana"/>
          <w:sz w:val="20"/>
          <w:szCs w:val="20"/>
          <w:lang w:val="es-ES"/>
        </w:rPr>
        <w:t>[…]</w:t>
      </w:r>
    </w:p>
    <w:p w14:paraId="04BD2AF3" w14:textId="77777777" w:rsidR="00CC4DAB" w:rsidRPr="00CC4DAB" w:rsidRDefault="00CC4DAB" w:rsidP="00CC4DAB">
      <w:pPr>
        <w:spacing w:after="0" w:line="240" w:lineRule="auto"/>
        <w:jc w:val="both"/>
        <w:rPr>
          <w:rFonts w:ascii="Verdana" w:hAnsi="Verdana"/>
          <w:bCs/>
          <w:sz w:val="20"/>
          <w:szCs w:val="20"/>
          <w:lang w:val="es-ES_tradnl"/>
        </w:rPr>
      </w:pPr>
    </w:p>
    <w:p w14:paraId="68257024" w14:textId="77777777" w:rsidR="00CC4DAB" w:rsidRPr="00CC4DAB" w:rsidRDefault="00CC4DAB" w:rsidP="00CC4DAB">
      <w:pPr>
        <w:spacing w:after="0" w:line="240" w:lineRule="auto"/>
        <w:jc w:val="both"/>
        <w:rPr>
          <w:rFonts w:ascii="Verdana" w:hAnsi="Verdana"/>
          <w:bCs/>
          <w:sz w:val="20"/>
          <w:szCs w:val="20"/>
          <w:lang w:val="es-ES_tradnl"/>
        </w:rPr>
      </w:pPr>
      <w:r w:rsidRPr="00CC4DAB">
        <w:rPr>
          <w:rFonts w:ascii="Verdana" w:hAnsi="Verdana"/>
          <w:bCs/>
          <w:sz w:val="20"/>
          <w:szCs w:val="20"/>
          <w:lang w:val="es-MX"/>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CC4DAB">
        <w:rPr>
          <w:rFonts w:ascii="Verdana" w:hAnsi="Verdana"/>
          <w:bCs/>
          <w:sz w:val="20"/>
          <w:szCs w:val="20"/>
          <w:lang w:val="es-ES_tradnl"/>
        </w:rPr>
        <w:t>: “Los contratos no podrán adicionarse en más del cincuenta por ciento (50%) de su valor inicial, expresado éste en salarios mínimos legales mensuales”.</w:t>
      </w:r>
    </w:p>
    <w:p w14:paraId="7F4C0C7E" w14:textId="77777777" w:rsidR="00CC4DAB" w:rsidRPr="00CC4DAB" w:rsidRDefault="00CC4DAB" w:rsidP="00CC4DAB">
      <w:pPr>
        <w:spacing w:after="0" w:line="240" w:lineRule="auto"/>
        <w:jc w:val="both"/>
        <w:rPr>
          <w:rFonts w:ascii="Verdana" w:hAnsi="Verdana"/>
          <w:b/>
          <w:sz w:val="20"/>
          <w:szCs w:val="20"/>
          <w:lang w:val="es-MX"/>
        </w:rPr>
      </w:pPr>
    </w:p>
    <w:p w14:paraId="23883403" w14:textId="77777777" w:rsidR="00CC4DAB" w:rsidRPr="00CC4DAB" w:rsidRDefault="00CC4DAB" w:rsidP="00CC4DAB">
      <w:pPr>
        <w:spacing w:after="0" w:line="240" w:lineRule="auto"/>
        <w:jc w:val="both"/>
        <w:rPr>
          <w:rFonts w:ascii="Verdana" w:hAnsi="Verdana"/>
          <w:b/>
          <w:bCs/>
          <w:lang w:val="es-MX"/>
        </w:rPr>
      </w:pPr>
      <w:r w:rsidRPr="00CC4DAB">
        <w:rPr>
          <w:rFonts w:ascii="Verdana" w:hAnsi="Verdana"/>
          <w:b/>
          <w:bCs/>
          <w:lang w:val="es-MX"/>
        </w:rPr>
        <w:t xml:space="preserve">ADICIÓN – Prohibición – Monto – Cálculo – Parágrafo artículo 40 – Ley 80 de 1993 </w:t>
      </w:r>
    </w:p>
    <w:p w14:paraId="3B4022D8" w14:textId="77777777" w:rsidR="00CC4DAB" w:rsidRPr="00CC4DAB" w:rsidRDefault="00CC4DAB" w:rsidP="00CC4DAB">
      <w:pPr>
        <w:spacing w:after="0" w:line="240" w:lineRule="auto"/>
        <w:jc w:val="both"/>
        <w:rPr>
          <w:rFonts w:ascii="Verdana" w:hAnsi="Verdana"/>
          <w:b/>
          <w:sz w:val="20"/>
          <w:szCs w:val="20"/>
          <w:lang w:val="es-MX"/>
        </w:rPr>
      </w:pPr>
    </w:p>
    <w:p w14:paraId="26858473" w14:textId="77777777" w:rsidR="00CC4DAB" w:rsidRPr="00CC4DAB" w:rsidRDefault="00CC4DAB" w:rsidP="00CC4DAB">
      <w:pPr>
        <w:spacing w:after="0" w:line="240" w:lineRule="auto"/>
        <w:jc w:val="both"/>
        <w:rPr>
          <w:rFonts w:ascii="Verdana" w:hAnsi="Verdana"/>
          <w:bCs/>
          <w:sz w:val="20"/>
          <w:szCs w:val="20"/>
        </w:rPr>
      </w:pPr>
      <w:r w:rsidRPr="00CC4DAB">
        <w:rPr>
          <w:rFonts w:ascii="Verdana" w:hAnsi="Verdana"/>
          <w:bCs/>
          <w:sz w:val="20"/>
          <w:szCs w:val="20"/>
          <w:lang w:val="es-MX"/>
        </w:rPr>
        <w:t xml:space="preserve">En la doctrina expuesta en dichos conceptos esta Agencia ha sostenido respecto del artículo 40 de la Ley 50 de 1993 lo siguiente: </w:t>
      </w:r>
      <w:r w:rsidRPr="00CC4DAB">
        <w:rPr>
          <w:rFonts w:ascii="Verdana" w:hAnsi="Verdana"/>
          <w:bCs/>
          <w:sz w:val="20"/>
          <w:szCs w:val="20"/>
          <w:lang w:val="es-ES_tradnl"/>
        </w:rPr>
        <w:t>“Dicha norma además de consagrar una prohibición trae implícita una autorización, consistente en la posibilidad de adicionar los contratos estatales, siempre que no se supere el tope establecido.</w:t>
      </w:r>
      <w:r w:rsidRPr="00CC4DAB">
        <w:rPr>
          <w:rFonts w:ascii="Verdana" w:hAnsi="Verdana"/>
          <w:bCs/>
          <w:sz w:val="20"/>
          <w:szCs w:val="20"/>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p>
    <w:p w14:paraId="6B36EA4B" w14:textId="77777777" w:rsidR="00CC4DAB" w:rsidRPr="00CC4DAB" w:rsidRDefault="00CC4DAB" w:rsidP="00CC4DAB">
      <w:pPr>
        <w:spacing w:after="0" w:line="240" w:lineRule="auto"/>
        <w:jc w:val="both"/>
        <w:rPr>
          <w:rFonts w:ascii="Verdana" w:hAnsi="Verdana"/>
          <w:bCs/>
          <w:sz w:val="20"/>
          <w:szCs w:val="20"/>
          <w:lang w:val="es-ES_tradnl"/>
        </w:rPr>
      </w:pPr>
      <w:r w:rsidRPr="00CC4DAB">
        <w:rPr>
          <w:rFonts w:ascii="Verdana" w:hAnsi="Verdana"/>
          <w:bCs/>
          <w:sz w:val="20"/>
          <w:szCs w:val="20"/>
        </w:rPr>
        <w:t xml:space="preserve"> </w:t>
      </w:r>
    </w:p>
    <w:p w14:paraId="34C73A21" w14:textId="77777777" w:rsidR="00CC4DAB" w:rsidRPr="00CC4DAB" w:rsidRDefault="00CC4DAB" w:rsidP="00CC4DAB">
      <w:pPr>
        <w:spacing w:after="0" w:line="240" w:lineRule="auto"/>
        <w:jc w:val="both"/>
        <w:rPr>
          <w:rFonts w:ascii="Verdana" w:hAnsi="Verdana"/>
          <w:bCs/>
          <w:sz w:val="20"/>
          <w:szCs w:val="20"/>
          <w:lang w:val="es-MX"/>
        </w:rPr>
      </w:pPr>
      <w:r w:rsidRPr="00CC4DAB">
        <w:rPr>
          <w:rFonts w:ascii="Verdana" w:hAnsi="Verdana"/>
          <w:bCs/>
          <w:sz w:val="20"/>
          <w:szCs w:val="20"/>
          <w:lang w:val="es-ES_tradnl"/>
        </w:rPr>
        <w:t xml:space="preserve"> No obstante, </w:t>
      </w:r>
      <w:r w:rsidRPr="00CC4DAB">
        <w:rPr>
          <w:rFonts w:ascii="Verdana" w:hAnsi="Verdana"/>
          <w:bCs/>
          <w:sz w:val="20"/>
          <w:szCs w:val="20"/>
          <w:lang w:val="es-MX"/>
        </w:rPr>
        <w:t xml:space="preserve">la postura expuesta previamente por la Subdirección de Gestión Contractual, en torno al tope de la adición de los contratos, no ha sido pacifica, por el contrario, tanto la doctrina como la jurisprudencia del Consejo de Estado no han sido uniformes en la caracterización de las figuras. Por lo anterior, resulta relevante, a efectos de atender las consultas planteadas exponer algunas de las otras posturas, con el fin de exponer las razones por las cuales esta Agencia considera necesario hacer un cambio en su línea doctrinal sobre el tema analizado en los contratos cuya estructuración y pago se realiza por precios unitarios. </w:t>
      </w:r>
    </w:p>
    <w:p w14:paraId="5A0DD9A1" w14:textId="77777777" w:rsidR="00CC4DAB" w:rsidRPr="00CC4DAB" w:rsidRDefault="00CC4DAB" w:rsidP="00CC4DAB">
      <w:pPr>
        <w:spacing w:after="0" w:line="240" w:lineRule="auto"/>
        <w:jc w:val="both"/>
        <w:rPr>
          <w:rFonts w:ascii="Verdana" w:hAnsi="Verdana"/>
          <w:bCs/>
          <w:sz w:val="20"/>
          <w:szCs w:val="20"/>
          <w:lang w:val="es-MX"/>
        </w:rPr>
      </w:pPr>
    </w:p>
    <w:p w14:paraId="6062E6EE" w14:textId="77777777" w:rsidR="00CC4DAB" w:rsidRPr="00CC4DAB" w:rsidRDefault="00CC4DAB" w:rsidP="00CC4DAB">
      <w:pPr>
        <w:spacing w:after="0" w:line="240" w:lineRule="auto"/>
        <w:jc w:val="both"/>
        <w:rPr>
          <w:rFonts w:ascii="Verdana" w:hAnsi="Verdana"/>
          <w:b/>
          <w:bCs/>
          <w:lang w:val="es-MX"/>
        </w:rPr>
      </w:pPr>
      <w:r w:rsidRPr="00CC4DAB">
        <w:rPr>
          <w:rFonts w:ascii="Verdana" w:hAnsi="Verdana"/>
          <w:b/>
          <w:bCs/>
          <w:lang w:val="es-MX"/>
        </w:rPr>
        <w:lastRenderedPageBreak/>
        <w:t xml:space="preserve">ADICIÓN – Mayores cantidades – Límites – Posturas </w:t>
      </w:r>
    </w:p>
    <w:p w14:paraId="4D421273" w14:textId="77777777" w:rsidR="00CC4DAB" w:rsidRPr="00CC4DAB" w:rsidRDefault="00CC4DAB" w:rsidP="00CC4DAB">
      <w:pPr>
        <w:spacing w:after="0" w:line="240" w:lineRule="auto"/>
        <w:jc w:val="both"/>
        <w:rPr>
          <w:rFonts w:ascii="Verdana" w:hAnsi="Verdana"/>
          <w:b/>
          <w:bCs/>
          <w:sz w:val="20"/>
          <w:szCs w:val="20"/>
          <w:lang w:val="es-MX"/>
        </w:rPr>
      </w:pPr>
    </w:p>
    <w:p w14:paraId="7ACAA562" w14:textId="77777777" w:rsidR="00CC4DAB" w:rsidRPr="00CC4DAB" w:rsidRDefault="00CC4DAB" w:rsidP="00CC4DAB">
      <w:pPr>
        <w:spacing w:after="0" w:line="240" w:lineRule="auto"/>
        <w:jc w:val="both"/>
        <w:rPr>
          <w:rFonts w:ascii="Verdana" w:hAnsi="Verdana"/>
          <w:sz w:val="20"/>
          <w:szCs w:val="20"/>
          <w:lang w:val="es-MX"/>
        </w:rPr>
      </w:pPr>
      <w:r w:rsidRPr="00CC4DAB">
        <w:rPr>
          <w:rFonts w:ascii="Verdana" w:hAnsi="Verdana"/>
          <w:sz w:val="20"/>
          <w:szCs w:val="20"/>
          <w:lang w:val="es-MX"/>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4B37981D" w14:textId="77777777" w:rsidR="00CC4DAB" w:rsidRPr="00CC4DAB" w:rsidRDefault="00CC4DAB" w:rsidP="00CC4DAB">
      <w:pPr>
        <w:spacing w:after="0" w:line="240" w:lineRule="auto"/>
        <w:jc w:val="both"/>
        <w:rPr>
          <w:rFonts w:ascii="Verdana" w:hAnsi="Verdana"/>
          <w:sz w:val="20"/>
          <w:szCs w:val="20"/>
          <w:lang w:val="es-MX"/>
        </w:rPr>
      </w:pPr>
    </w:p>
    <w:p w14:paraId="2ED35F96" w14:textId="77777777" w:rsidR="00CC4DAB" w:rsidRPr="00CC4DAB" w:rsidRDefault="00CC4DAB" w:rsidP="00CC4DAB">
      <w:pPr>
        <w:spacing w:after="0" w:line="240" w:lineRule="auto"/>
        <w:jc w:val="both"/>
        <w:rPr>
          <w:rFonts w:ascii="Verdana" w:hAnsi="Verdana"/>
          <w:sz w:val="20"/>
          <w:szCs w:val="20"/>
          <w:lang w:val="es-MX"/>
        </w:rPr>
      </w:pPr>
      <w:r w:rsidRPr="00CC4DAB">
        <w:rPr>
          <w:rFonts w:ascii="Verdana" w:hAnsi="Verdana"/>
          <w:sz w:val="20"/>
          <w:szCs w:val="20"/>
          <w:lang w:val="es-MX"/>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7E06C92B" w14:textId="77777777" w:rsidR="00CC4DAB" w:rsidRPr="00CC4DAB" w:rsidRDefault="00CC4DAB" w:rsidP="00CC4DAB">
      <w:pPr>
        <w:spacing w:after="0" w:line="240" w:lineRule="auto"/>
        <w:jc w:val="both"/>
        <w:rPr>
          <w:rFonts w:ascii="Verdana" w:hAnsi="Verdana"/>
          <w:sz w:val="20"/>
          <w:szCs w:val="20"/>
          <w:lang w:val="es-ES_tradnl"/>
        </w:rPr>
      </w:pPr>
    </w:p>
    <w:p w14:paraId="656061FE" w14:textId="77777777" w:rsidR="00CC4DAB" w:rsidRPr="00CC4DAB" w:rsidRDefault="00CC4DAB" w:rsidP="00CC4DAB">
      <w:pPr>
        <w:spacing w:after="0" w:line="240" w:lineRule="auto"/>
        <w:jc w:val="both"/>
        <w:rPr>
          <w:rFonts w:ascii="Verdana" w:hAnsi="Verdana"/>
          <w:sz w:val="20"/>
          <w:szCs w:val="20"/>
          <w:lang w:val="es-ES_tradnl"/>
        </w:rPr>
      </w:pPr>
      <w:r w:rsidRPr="00CC4DAB">
        <w:rPr>
          <w:rFonts w:ascii="Verdana" w:hAnsi="Verdana"/>
          <w:sz w:val="20"/>
          <w:szCs w:val="20"/>
          <w:lang w:val="es-ES_tradnl"/>
        </w:rPr>
        <w:t>[…]</w:t>
      </w:r>
    </w:p>
    <w:p w14:paraId="3D9C325A" w14:textId="77777777" w:rsidR="00CC4DAB" w:rsidRPr="00CC4DAB" w:rsidRDefault="00CC4DAB" w:rsidP="00CC4DAB">
      <w:pPr>
        <w:spacing w:after="0" w:line="240" w:lineRule="auto"/>
        <w:jc w:val="both"/>
        <w:rPr>
          <w:rFonts w:ascii="Verdana" w:hAnsi="Verdana"/>
          <w:sz w:val="20"/>
          <w:szCs w:val="20"/>
          <w:lang w:val="es-ES_tradnl"/>
        </w:rPr>
      </w:pPr>
    </w:p>
    <w:p w14:paraId="2C4481CF" w14:textId="77777777" w:rsidR="00CC4DAB" w:rsidRPr="00CC4DAB" w:rsidRDefault="00CC4DAB" w:rsidP="00CC4DAB">
      <w:pPr>
        <w:spacing w:after="0" w:line="240" w:lineRule="auto"/>
        <w:jc w:val="both"/>
        <w:rPr>
          <w:rFonts w:ascii="Verdana" w:hAnsi="Verdana"/>
          <w:sz w:val="20"/>
          <w:szCs w:val="20"/>
          <w:lang w:val="es-MX"/>
        </w:rPr>
      </w:pPr>
      <w:r w:rsidRPr="00CC4DAB">
        <w:rPr>
          <w:rFonts w:ascii="Verdana" w:hAnsi="Verdana"/>
          <w:sz w:val="20"/>
          <w:szCs w:val="20"/>
          <w:lang w:val="es-MX"/>
        </w:rPr>
        <w:t xml:space="preserve">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5B34B73E" w14:textId="77777777" w:rsidR="00CC4DAB" w:rsidRPr="00CC4DAB" w:rsidRDefault="00CC4DAB" w:rsidP="00CC4DAB">
      <w:pPr>
        <w:spacing w:after="0" w:line="240" w:lineRule="auto"/>
        <w:jc w:val="both"/>
        <w:rPr>
          <w:rFonts w:ascii="Verdana" w:hAnsi="Verdana"/>
          <w:b/>
          <w:sz w:val="20"/>
          <w:szCs w:val="20"/>
          <w:lang w:val="es-ES_tradnl"/>
        </w:rPr>
      </w:pPr>
    </w:p>
    <w:p w14:paraId="1066A596" w14:textId="77777777" w:rsidR="00CC4DAB" w:rsidRPr="00CC4DAB" w:rsidRDefault="00CC4DAB" w:rsidP="00CC4DAB">
      <w:pPr>
        <w:spacing w:after="0" w:line="240" w:lineRule="auto"/>
        <w:jc w:val="both"/>
        <w:rPr>
          <w:rFonts w:ascii="Verdana" w:hAnsi="Verdana"/>
          <w:b/>
          <w:lang w:val="es-ES_tradnl"/>
        </w:rPr>
      </w:pPr>
      <w:r w:rsidRPr="00CC4DAB">
        <w:rPr>
          <w:rFonts w:ascii="Verdana" w:hAnsi="Verdana"/>
          <w:b/>
          <w:lang w:val="es-ES_tradnl"/>
        </w:rPr>
        <w:t>MODIFICACION DE LOS CONTRATOS ESTATALES – Procedencia – Límites</w:t>
      </w:r>
    </w:p>
    <w:p w14:paraId="4CEB19B9" w14:textId="77777777" w:rsidR="00CC4DAB" w:rsidRPr="00CC4DAB" w:rsidRDefault="00CC4DAB" w:rsidP="00CC4DAB">
      <w:pPr>
        <w:spacing w:after="0" w:line="240" w:lineRule="auto"/>
        <w:jc w:val="both"/>
        <w:rPr>
          <w:rFonts w:ascii="Verdana" w:hAnsi="Verdana"/>
          <w:b/>
          <w:sz w:val="20"/>
          <w:szCs w:val="20"/>
          <w:lang w:val="es-MX"/>
        </w:rPr>
      </w:pPr>
    </w:p>
    <w:p w14:paraId="7246AAD1" w14:textId="77777777" w:rsidR="00CC4DAB" w:rsidRPr="00CC4DAB" w:rsidRDefault="00CC4DAB" w:rsidP="00CC4DAB">
      <w:pPr>
        <w:spacing w:after="0" w:line="240" w:lineRule="auto"/>
        <w:jc w:val="both"/>
        <w:rPr>
          <w:rFonts w:ascii="Verdana" w:hAnsi="Verdana"/>
          <w:bCs/>
          <w:sz w:val="20"/>
          <w:szCs w:val="20"/>
          <w:lang w:val="es-MX"/>
        </w:rPr>
      </w:pPr>
      <w:r w:rsidRPr="00CC4DAB">
        <w:rPr>
          <w:rFonts w:ascii="Verdana" w:hAnsi="Verdana"/>
          <w:bCs/>
          <w:sz w:val="20"/>
          <w:szCs w:val="20"/>
          <w:lang w:val="es-MX"/>
        </w:rPr>
        <w:t>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w:t>
      </w:r>
    </w:p>
    <w:p w14:paraId="1C140140" w14:textId="77777777" w:rsidR="00CC4DAB" w:rsidRPr="00CC4DAB" w:rsidRDefault="00CC4DAB" w:rsidP="00CC4DAB">
      <w:pPr>
        <w:spacing w:after="0" w:line="240" w:lineRule="auto"/>
        <w:jc w:val="both"/>
        <w:rPr>
          <w:rFonts w:ascii="Verdana" w:hAnsi="Verdana"/>
          <w:bCs/>
          <w:sz w:val="20"/>
          <w:szCs w:val="20"/>
          <w:lang w:val="es-MX"/>
        </w:rPr>
      </w:pPr>
    </w:p>
    <w:p w14:paraId="4680A853" w14:textId="77777777" w:rsidR="00CC4DAB" w:rsidRPr="00CC4DAB" w:rsidRDefault="00CC4DAB" w:rsidP="00CC4DAB">
      <w:pPr>
        <w:spacing w:after="0" w:line="240" w:lineRule="auto"/>
        <w:jc w:val="both"/>
        <w:rPr>
          <w:rFonts w:ascii="Verdana" w:hAnsi="Verdana"/>
          <w:bCs/>
          <w:sz w:val="20"/>
          <w:szCs w:val="20"/>
          <w:lang w:val="es-MX"/>
        </w:rPr>
      </w:pPr>
      <w:r w:rsidRPr="00CC4DAB">
        <w:rPr>
          <w:rFonts w:ascii="Verdana" w:hAnsi="Verdana"/>
          <w:bCs/>
          <w:sz w:val="20"/>
          <w:szCs w:val="20"/>
          <w:lang w:val="es-MX"/>
        </w:rPr>
        <w:t>[…]</w:t>
      </w:r>
    </w:p>
    <w:p w14:paraId="50C65B35" w14:textId="77777777" w:rsidR="00CC4DAB" w:rsidRPr="00CC4DAB" w:rsidRDefault="00CC4DAB" w:rsidP="00CC4DAB">
      <w:pPr>
        <w:spacing w:after="0" w:line="240" w:lineRule="auto"/>
        <w:jc w:val="both"/>
        <w:rPr>
          <w:rFonts w:ascii="Verdana" w:hAnsi="Verdana"/>
          <w:b/>
          <w:sz w:val="20"/>
          <w:szCs w:val="20"/>
          <w:lang w:val="es-ES_tradnl"/>
        </w:rPr>
      </w:pPr>
    </w:p>
    <w:p w14:paraId="64A5DF09" w14:textId="77777777" w:rsidR="00CC4DAB" w:rsidRPr="00CC4DAB" w:rsidRDefault="00CC4DAB" w:rsidP="00CC4DAB">
      <w:pPr>
        <w:spacing w:after="0" w:line="240" w:lineRule="auto"/>
        <w:jc w:val="both"/>
        <w:rPr>
          <w:rFonts w:ascii="Verdana" w:hAnsi="Verdana"/>
          <w:bCs/>
          <w:sz w:val="20"/>
          <w:szCs w:val="20"/>
          <w:lang w:val="es-ES_tradnl"/>
        </w:rPr>
      </w:pPr>
      <w:r w:rsidRPr="00CC4DAB">
        <w:rPr>
          <w:rFonts w:ascii="Verdana" w:hAnsi="Verdana"/>
          <w:bCs/>
          <w:sz w:val="20"/>
          <w:szCs w:val="20"/>
        </w:rPr>
        <w:t xml:space="preserve">Visto el desarrollo jurisprudencial del tema, si bien, no se advierte que se haya expedido sentencia de unificación sobre la materia, se advierte que, en la jurisprudencia reciente de la Sección Tercera del máximo tribunal judicial de las controversias contractuales del Estado, existe cierto consenso en torno a la idea de que las mayores cantidades de obra en contratos que utilizan la metodología de precios unitarios no implican adiciones del valor inicial del mismo, ya que este tiene un carácter indicativo. Con base en esto, dicha </w:t>
      </w:r>
      <w:r w:rsidRPr="00CC4DAB">
        <w:rPr>
          <w:rFonts w:ascii="Verdana" w:hAnsi="Verdana"/>
          <w:bCs/>
          <w:sz w:val="20"/>
          <w:szCs w:val="20"/>
        </w:rPr>
        <w:lastRenderedPageBreak/>
        <w:t xml:space="preserve">Sección ha establecido que el </w:t>
      </w:r>
      <w:proofErr w:type="spellStart"/>
      <w:r w:rsidRPr="00CC4DAB">
        <w:rPr>
          <w:rFonts w:ascii="Verdana" w:hAnsi="Verdana"/>
          <w:bCs/>
          <w:sz w:val="20"/>
          <w:szCs w:val="20"/>
        </w:rPr>
        <w:t>limite</w:t>
      </w:r>
      <w:proofErr w:type="spellEnd"/>
      <w:r w:rsidRPr="00CC4DAB">
        <w:rPr>
          <w:rFonts w:ascii="Verdana" w:hAnsi="Verdana"/>
          <w:bCs/>
          <w:sz w:val="20"/>
          <w:szCs w:val="20"/>
        </w:rPr>
        <w:t xml:space="preserve"> a las adiciones previsto en el segundo inciso del parágrafo del artículo 40 de la Ley 80 de 1993, no impide que se ejecuten mayores cantidades de obras a las inicialmente estimadas, por valores incluso mayores al 50% del valor estimado al inicio de la ejecución, siempre que hayan sido autorizadas por la entidad contratante.</w:t>
      </w:r>
    </w:p>
    <w:p w14:paraId="4A6A53DB" w14:textId="77777777" w:rsidR="00CC4DAB" w:rsidRPr="00CC4DAB" w:rsidRDefault="00CC4DAB" w:rsidP="00CC4DAB">
      <w:pPr>
        <w:spacing w:after="0" w:line="240" w:lineRule="auto"/>
        <w:jc w:val="both"/>
        <w:rPr>
          <w:rFonts w:ascii="Verdana" w:hAnsi="Verdana"/>
          <w:bCs/>
          <w:sz w:val="20"/>
          <w:szCs w:val="20"/>
          <w:lang w:val="es-ES_tradnl"/>
        </w:rPr>
      </w:pPr>
    </w:p>
    <w:p w14:paraId="6C1FCE80" w14:textId="77777777" w:rsidR="00CC4DAB" w:rsidRPr="00CC4DAB" w:rsidRDefault="00CC4DAB" w:rsidP="00CC4DAB">
      <w:pPr>
        <w:spacing w:after="0" w:line="240" w:lineRule="auto"/>
        <w:jc w:val="both"/>
        <w:rPr>
          <w:rFonts w:ascii="Verdana" w:hAnsi="Verdana"/>
          <w:b/>
          <w:lang w:val="es-ES_tradnl"/>
        </w:rPr>
      </w:pPr>
      <w:r w:rsidRPr="00CC4DAB">
        <w:rPr>
          <w:rFonts w:ascii="Verdana" w:hAnsi="Verdana"/>
          <w:b/>
          <w:lang w:val="es-ES_tradnl"/>
        </w:rPr>
        <w:t>MODIFICACION DE LOS CONTRATOS ESTATALES – Procedencia – Límites – Principio de planeación</w:t>
      </w:r>
    </w:p>
    <w:p w14:paraId="1B41EB74" w14:textId="77777777" w:rsidR="00CC4DAB" w:rsidRPr="00CC4DAB" w:rsidRDefault="00CC4DAB" w:rsidP="00CC4DAB">
      <w:pPr>
        <w:spacing w:after="0" w:line="240" w:lineRule="auto"/>
        <w:jc w:val="both"/>
        <w:rPr>
          <w:rFonts w:ascii="Verdana" w:hAnsi="Verdana"/>
          <w:b/>
          <w:sz w:val="20"/>
          <w:szCs w:val="20"/>
          <w:lang w:val="es-ES_tradnl"/>
        </w:rPr>
      </w:pPr>
    </w:p>
    <w:p w14:paraId="4AF28ACB" w14:textId="77777777" w:rsidR="00CC4DAB" w:rsidRPr="00CC4DAB" w:rsidRDefault="00CC4DAB" w:rsidP="00CC4DAB">
      <w:pPr>
        <w:spacing w:after="0" w:line="240" w:lineRule="auto"/>
        <w:jc w:val="both"/>
        <w:rPr>
          <w:rFonts w:ascii="Verdana" w:hAnsi="Verdana"/>
          <w:bCs/>
          <w:sz w:val="20"/>
          <w:szCs w:val="20"/>
        </w:rPr>
      </w:pPr>
      <w:r w:rsidRPr="00CC4DAB">
        <w:rPr>
          <w:rFonts w:ascii="Verdana" w:hAnsi="Verdana"/>
          <w:bCs/>
          <w:sz w:val="20"/>
          <w:szCs w:val="20"/>
        </w:rPr>
        <w:t xml:space="preserve">Sin perjuicio de lo anterior, es menester indicar que, la concepción de mayores cantidades de obra, como expresión del contrato original sin valor determinado, aunque determinable, no puede dar lugar a una ampliación ilimitada de estos contratos, pues no se encuentran exentos de la aplicación del principio de planeación. Por consiguiente, pese a la variación de las cantidades de obra, los contratos a precios unitarios si tienen un valor inicial que obedece a la estructuración y planificación que los procede. En ese sentido, aun cuando el Consejo de Estado ha considerado la posibilidad de ejecutar incluso en valores mayores al cincuenta por ciento (50%) en el sistema de precios unitarios, lo cierto es que no por ello se dejan de señalar posibles falencias en la planeación en estos supuestos. </w:t>
      </w:r>
    </w:p>
    <w:p w14:paraId="671D3429" w14:textId="1A2704F9" w:rsidR="00CC4DAB" w:rsidRPr="00CC4DAB" w:rsidRDefault="00CC4DAB" w:rsidP="00CC4DAB">
      <w:pPr>
        <w:spacing w:after="0" w:line="240" w:lineRule="auto"/>
        <w:jc w:val="both"/>
        <w:rPr>
          <w:rFonts w:ascii="Verdana" w:hAnsi="Verdana"/>
          <w:sz w:val="20"/>
          <w:szCs w:val="20"/>
        </w:rPr>
      </w:pPr>
      <w:r w:rsidRPr="00CC4DAB">
        <w:rPr>
          <w:rFonts w:ascii="Verdana" w:hAnsi="Verdana"/>
          <w:sz w:val="20"/>
          <w:szCs w:val="20"/>
        </w:rPr>
        <w:br w:type="page"/>
      </w:r>
    </w:p>
    <w:p w14:paraId="19AB9440" w14:textId="7634EAB6" w:rsidR="00EE2221" w:rsidRDefault="00E245AB" w:rsidP="004A5DDC">
      <w:pPr>
        <w:spacing w:after="0" w:line="240" w:lineRule="auto"/>
        <w:rPr>
          <w:rFonts w:ascii="Verdana" w:hAnsi="Verdana"/>
        </w:rPr>
      </w:pPr>
      <w:r w:rsidRPr="00D640C3">
        <w:rPr>
          <w:rFonts w:ascii="Verdana" w:hAnsi="Verdana"/>
        </w:rPr>
        <w:lastRenderedPageBreak/>
        <w:t xml:space="preserve">Bogotá D.C., </w:t>
      </w:r>
      <w:r w:rsidR="00281300">
        <w:rPr>
          <w:rFonts w:ascii="Verdana" w:hAnsi="Verdana"/>
        </w:rPr>
        <w:t>11 de septiembre de 2024.</w:t>
      </w:r>
    </w:p>
    <w:p w14:paraId="317909BB" w14:textId="63CFEB45" w:rsidR="009434BE" w:rsidRPr="00D640C3" w:rsidRDefault="00891928" w:rsidP="003F1DF8">
      <w:pPr>
        <w:spacing w:after="0" w:line="240" w:lineRule="auto"/>
        <w:jc w:val="right"/>
        <w:rPr>
          <w:rFonts w:ascii="Verdana" w:eastAsia="Calibri" w:hAnsi="Verdana" w:cs="Arial"/>
          <w:lang w:val="es-ES"/>
        </w:rPr>
      </w:pPr>
      <w:r w:rsidRPr="00D640C3">
        <w:rPr>
          <w:rFonts w:ascii="Verdana" w:hAnsi="Verdana"/>
        </w:rPr>
        <w:tab/>
      </w:r>
      <w:bookmarkEnd w:id="0"/>
      <w:r w:rsidR="00281300" w:rsidRPr="00281300">
        <w:rPr>
          <w:rFonts w:ascii="Verdana" w:eastAsia="Calibri" w:hAnsi="Verdana" w:cs="Arial"/>
          <w:noProof/>
          <w:lang w:val="es-ES"/>
        </w:rPr>
        <w:drawing>
          <wp:inline distT="0" distB="0" distL="0" distR="0" wp14:anchorId="75D650A3" wp14:editId="70D7F68F">
            <wp:extent cx="2233470" cy="681058"/>
            <wp:effectExtent l="0" t="0" r="0" b="5080"/>
            <wp:docPr id="18508452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45239" name="Imagen 1" descr="Texto&#10;&#10;Descripción generada automáticamente"/>
                    <pic:cNvPicPr/>
                  </pic:nvPicPr>
                  <pic:blipFill>
                    <a:blip r:embed="rId11"/>
                    <a:stretch>
                      <a:fillRect/>
                    </a:stretch>
                  </pic:blipFill>
                  <pic:spPr>
                    <a:xfrm>
                      <a:off x="0" y="0"/>
                      <a:ext cx="2264971" cy="690664"/>
                    </a:xfrm>
                    <a:prstGeom prst="rect">
                      <a:avLst/>
                    </a:prstGeom>
                  </pic:spPr>
                </pic:pic>
              </a:graphicData>
            </a:graphic>
          </wp:inline>
        </w:drawing>
      </w:r>
    </w:p>
    <w:p w14:paraId="0B771D49" w14:textId="66630D86" w:rsidR="009434BE" w:rsidRPr="00D640C3" w:rsidRDefault="009434BE" w:rsidP="004A5DDC">
      <w:pPr>
        <w:spacing w:after="0" w:line="240" w:lineRule="auto"/>
        <w:jc w:val="both"/>
        <w:rPr>
          <w:rFonts w:ascii="Verdana" w:eastAsia="Calibri" w:hAnsi="Verdana" w:cs="Arial"/>
          <w:lang w:val="es-ES" w:eastAsia="es-ES"/>
        </w:rPr>
      </w:pPr>
      <w:r w:rsidRPr="00D640C3">
        <w:rPr>
          <w:rFonts w:ascii="Verdana" w:eastAsia="Calibri" w:hAnsi="Verdana" w:cs="Arial"/>
          <w:lang w:val="es-ES" w:eastAsia="es-ES"/>
        </w:rPr>
        <w:t>Señor</w:t>
      </w:r>
    </w:p>
    <w:p w14:paraId="73AB1E88" w14:textId="77777777" w:rsidR="009434BE" w:rsidRPr="00D640C3" w:rsidRDefault="009434BE" w:rsidP="004A5DDC">
      <w:pPr>
        <w:spacing w:after="0" w:line="240" w:lineRule="auto"/>
        <w:rPr>
          <w:rFonts w:ascii="Verdana" w:eastAsia="Calibri" w:hAnsi="Verdana" w:cs="Arial"/>
          <w:b/>
          <w:lang w:eastAsia="es-ES_tradnl"/>
        </w:rPr>
      </w:pPr>
      <w:r w:rsidRPr="00D640C3">
        <w:rPr>
          <w:rFonts w:ascii="Verdana" w:eastAsia="Calibri" w:hAnsi="Verdana" w:cs="Arial"/>
          <w:b/>
          <w:lang w:eastAsia="es-ES_tradnl"/>
        </w:rPr>
        <w:t>David Fernando Gonzalez</w:t>
      </w:r>
    </w:p>
    <w:p w14:paraId="06BF3D46" w14:textId="77777777" w:rsidR="009434BE" w:rsidRPr="00D640C3" w:rsidRDefault="009434BE" w:rsidP="004A5DDC">
      <w:pPr>
        <w:spacing w:after="0" w:line="240" w:lineRule="auto"/>
        <w:rPr>
          <w:rFonts w:ascii="Verdana" w:eastAsia="Calibri" w:hAnsi="Verdana" w:cs="Arial"/>
          <w:bCs/>
          <w:lang w:val="es-ES_tradnl" w:eastAsia="es-ES_tradnl"/>
        </w:rPr>
      </w:pPr>
      <w:r w:rsidRPr="00D640C3">
        <w:rPr>
          <w:rFonts w:ascii="Verdana" w:eastAsia="Calibri" w:hAnsi="Verdana" w:cs="Arial"/>
          <w:bCs/>
          <w:lang w:eastAsia="es-ES_tradnl"/>
        </w:rPr>
        <w:t xml:space="preserve">Tunja, Boyacá </w:t>
      </w:r>
    </w:p>
    <w:p w14:paraId="0516FB54" w14:textId="77777777" w:rsidR="00EE2221" w:rsidRPr="00D640C3" w:rsidRDefault="00EE2221" w:rsidP="004A5DD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434BE" w:rsidRPr="00D640C3" w14:paraId="5C9096B5" w14:textId="77777777">
        <w:trPr>
          <w:trHeight w:val="230"/>
        </w:trPr>
        <w:tc>
          <w:tcPr>
            <w:tcW w:w="2689" w:type="dxa"/>
          </w:tcPr>
          <w:p w14:paraId="6153BD51" w14:textId="77777777" w:rsidR="009434BE" w:rsidRPr="00D640C3" w:rsidRDefault="009434BE" w:rsidP="004A5DDC">
            <w:pPr>
              <w:jc w:val="both"/>
              <w:rPr>
                <w:rFonts w:ascii="Verdana" w:eastAsia="Calibri" w:hAnsi="Verdana" w:cs="Arial"/>
                <w:b/>
                <w:bCs/>
                <w:lang w:val="es-ES_tradnl" w:eastAsia="es-ES_tradnl"/>
              </w:rPr>
            </w:pPr>
          </w:p>
        </w:tc>
        <w:tc>
          <w:tcPr>
            <w:tcW w:w="6100" w:type="dxa"/>
          </w:tcPr>
          <w:p w14:paraId="6492AF8E" w14:textId="77777777" w:rsidR="009434BE" w:rsidRPr="00D640C3" w:rsidRDefault="009434BE" w:rsidP="004A5DDC">
            <w:pPr>
              <w:jc w:val="both"/>
              <w:rPr>
                <w:rFonts w:ascii="Verdana" w:eastAsia="Calibri" w:hAnsi="Verdana" w:cs="Arial"/>
                <w:b/>
                <w:bCs/>
                <w:lang w:val="es-ES" w:eastAsia="es-ES"/>
              </w:rPr>
            </w:pPr>
            <w:r w:rsidRPr="00D640C3">
              <w:rPr>
                <w:rFonts w:ascii="Verdana" w:eastAsia="Calibri" w:hAnsi="Verdana" w:cs="Arial"/>
                <w:b/>
                <w:bCs/>
                <w:lang w:val="es-ES" w:eastAsia="es-ES"/>
              </w:rPr>
              <w:t>Concepto C- 242 de 2024</w:t>
            </w:r>
          </w:p>
          <w:p w14:paraId="6A65C056" w14:textId="77777777" w:rsidR="009434BE" w:rsidRPr="00D640C3" w:rsidRDefault="009434BE" w:rsidP="004A5DDC">
            <w:pPr>
              <w:jc w:val="both"/>
              <w:rPr>
                <w:rFonts w:ascii="Verdana" w:eastAsia="Calibri" w:hAnsi="Verdana" w:cs="Arial"/>
                <w:b/>
                <w:bCs/>
                <w:lang w:val="es-ES" w:eastAsia="es-ES"/>
              </w:rPr>
            </w:pPr>
          </w:p>
        </w:tc>
      </w:tr>
      <w:tr w:rsidR="009434BE" w:rsidRPr="00A00E71" w14:paraId="549D980A" w14:textId="77777777">
        <w:trPr>
          <w:trHeight w:val="884"/>
        </w:trPr>
        <w:tc>
          <w:tcPr>
            <w:tcW w:w="2689" w:type="dxa"/>
          </w:tcPr>
          <w:p w14:paraId="31F27413" w14:textId="77777777" w:rsidR="009434BE" w:rsidRPr="00D640C3" w:rsidRDefault="009434BE" w:rsidP="004A5DDC">
            <w:pPr>
              <w:jc w:val="both"/>
              <w:rPr>
                <w:rFonts w:ascii="Verdana" w:eastAsia="Calibri" w:hAnsi="Verdana" w:cs="Arial"/>
                <w:lang w:val="es-ES_tradnl" w:eastAsia="es-ES_tradnl"/>
              </w:rPr>
            </w:pPr>
            <w:r w:rsidRPr="00D640C3">
              <w:rPr>
                <w:rFonts w:ascii="Verdana" w:eastAsia="Calibri" w:hAnsi="Verdana" w:cs="Arial"/>
                <w:b/>
                <w:lang w:val="es-ES_tradnl" w:eastAsia="es-ES_tradnl"/>
              </w:rPr>
              <w:t>Temas:</w:t>
            </w:r>
            <w:r w:rsidRPr="00D640C3">
              <w:rPr>
                <w:rFonts w:ascii="Verdana" w:eastAsia="Calibri" w:hAnsi="Verdana" w:cs="Arial"/>
                <w:lang w:val="es-ES_tradnl" w:eastAsia="es-ES_tradnl"/>
              </w:rPr>
              <w:t xml:space="preserve">                   </w:t>
            </w:r>
          </w:p>
        </w:tc>
        <w:tc>
          <w:tcPr>
            <w:tcW w:w="6100" w:type="dxa"/>
          </w:tcPr>
          <w:p w14:paraId="6A25E8FE" w14:textId="77777777" w:rsidR="00A00E71" w:rsidRPr="00CC4DAB" w:rsidRDefault="009434BE" w:rsidP="00A00E71">
            <w:pPr>
              <w:jc w:val="both"/>
              <w:rPr>
                <w:rFonts w:ascii="Verdana" w:hAnsi="Verdana"/>
                <w:bCs/>
                <w:lang w:val="es-ES_tradnl"/>
              </w:rPr>
            </w:pPr>
            <w:r w:rsidRPr="00A00E71">
              <w:rPr>
                <w:rFonts w:ascii="Verdana" w:hAnsi="Verdana" w:cs="Arial"/>
                <w:bCs/>
                <w:szCs w:val="24"/>
                <w:lang w:val="es-MX" w:eastAsia="es-ES_tradnl"/>
              </w:rPr>
              <w:t>ADICIÓN – Concepto – Distintos supuestos – Prohibición – Adición en más del 50% / ADICIÓN – Prohibición – Monto – Cálculo – Parágrafo artículo 40 – Ley 80 de 1993 / ADICIÓN – Mayores cantidades – Límites – Posturas /</w:t>
            </w:r>
            <w:r w:rsidRPr="00A00E71">
              <w:rPr>
                <w:rFonts w:ascii="Verdana" w:hAnsi="Verdana" w:cs="Arial"/>
                <w:bCs/>
                <w:szCs w:val="24"/>
                <w:lang w:val="es-ES_tradnl" w:eastAsia="es-ES_tradnl" w:bidi="es-ES"/>
              </w:rPr>
              <w:t xml:space="preserve"> MODIFICACION DE LOS CONTRATOS ESTATALES – Procedencia – Límites</w:t>
            </w:r>
            <w:r w:rsidRPr="00A00E71">
              <w:rPr>
                <w:rFonts w:ascii="Verdana" w:hAnsi="Verdana" w:cs="Arial"/>
                <w:bCs/>
                <w:szCs w:val="24"/>
                <w:lang w:val="es-MX" w:eastAsia="es-ES_tradnl"/>
              </w:rPr>
              <w:t xml:space="preserve"> </w:t>
            </w:r>
            <w:r w:rsidRPr="00A00E71">
              <w:rPr>
                <w:rFonts w:ascii="Verdana" w:hAnsi="Verdana" w:cs="Arial"/>
                <w:bCs/>
                <w:szCs w:val="24"/>
                <w:lang w:val="es-ES_tradnl" w:eastAsia="es-ES_tradnl"/>
              </w:rPr>
              <w:t xml:space="preserve">/ </w:t>
            </w:r>
            <w:r w:rsidR="00A00E71" w:rsidRPr="00CC4DAB">
              <w:rPr>
                <w:rFonts w:ascii="Verdana" w:hAnsi="Verdana"/>
                <w:bCs/>
                <w:lang w:val="es-ES_tradnl"/>
              </w:rPr>
              <w:t>MODIFICACION DE LOS CONTRATOS ESTATALES – Procedencia – Límites – Principio de planeación</w:t>
            </w:r>
          </w:p>
          <w:p w14:paraId="02FA3A5C" w14:textId="77777777" w:rsidR="009434BE" w:rsidRPr="00A00E71" w:rsidRDefault="009434BE" w:rsidP="004A5DDC">
            <w:pPr>
              <w:jc w:val="both"/>
              <w:rPr>
                <w:rFonts w:ascii="Verdana" w:eastAsia="Calibri" w:hAnsi="Verdana" w:cs="Arial"/>
                <w:bCs/>
                <w:lang w:val="es-ES_tradnl" w:eastAsia="es-ES"/>
              </w:rPr>
            </w:pPr>
          </w:p>
        </w:tc>
      </w:tr>
      <w:tr w:rsidR="009434BE" w:rsidRPr="00D640C3" w14:paraId="3A476721" w14:textId="77777777">
        <w:tc>
          <w:tcPr>
            <w:tcW w:w="2689" w:type="dxa"/>
          </w:tcPr>
          <w:p w14:paraId="3CDE8F74" w14:textId="77777777" w:rsidR="009434BE" w:rsidRPr="00D640C3" w:rsidRDefault="009434BE" w:rsidP="004A5DDC">
            <w:pPr>
              <w:jc w:val="both"/>
              <w:rPr>
                <w:rFonts w:ascii="Verdana" w:eastAsia="Calibri" w:hAnsi="Verdana" w:cs="Arial"/>
                <w:b/>
                <w:lang w:val="es-ES_tradnl" w:eastAsia="es-ES_tradnl"/>
              </w:rPr>
            </w:pPr>
            <w:r w:rsidRPr="00D640C3">
              <w:rPr>
                <w:rFonts w:ascii="Verdana" w:eastAsia="Calibri" w:hAnsi="Verdana" w:cs="Arial"/>
                <w:b/>
                <w:lang w:val="es-ES_tradnl" w:eastAsia="es-ES_tradnl"/>
              </w:rPr>
              <w:t>Radicación:</w:t>
            </w:r>
            <w:r w:rsidRPr="00D640C3">
              <w:rPr>
                <w:rFonts w:ascii="Verdana" w:eastAsia="Calibri" w:hAnsi="Verdana" w:cs="Arial"/>
                <w:lang w:val="es-ES_tradnl" w:eastAsia="es-ES_tradnl"/>
              </w:rPr>
              <w:t xml:space="preserve">               </w:t>
            </w:r>
          </w:p>
        </w:tc>
        <w:tc>
          <w:tcPr>
            <w:tcW w:w="6100" w:type="dxa"/>
          </w:tcPr>
          <w:p w14:paraId="41321B20" w14:textId="77777777" w:rsidR="009434BE" w:rsidRPr="00D640C3" w:rsidRDefault="009434BE" w:rsidP="004A5DDC">
            <w:pPr>
              <w:jc w:val="both"/>
              <w:rPr>
                <w:rFonts w:ascii="Verdana" w:eastAsia="Calibri" w:hAnsi="Verdana" w:cs="Arial"/>
                <w:lang w:val="es-ES_tradnl" w:eastAsia="es-ES_tradnl"/>
              </w:rPr>
            </w:pPr>
            <w:r w:rsidRPr="00D640C3">
              <w:rPr>
                <w:rFonts w:ascii="Verdana" w:eastAsia="Calibri" w:hAnsi="Verdana" w:cs="Arial"/>
                <w:lang w:val="es-ES_tradnl" w:eastAsia="es-ES_tradnl"/>
              </w:rPr>
              <w:t xml:space="preserve">Respuesta a consulta con radicado No. </w:t>
            </w:r>
            <w:r w:rsidRPr="00D640C3">
              <w:rPr>
                <w:rFonts w:ascii="Verdana" w:eastAsia="Calibri" w:hAnsi="Verdana" w:cs="Arial"/>
                <w:lang w:eastAsia="es-ES_tradnl"/>
              </w:rPr>
              <w:t>P20240628006627</w:t>
            </w:r>
          </w:p>
        </w:tc>
      </w:tr>
    </w:tbl>
    <w:p w14:paraId="63BE38C4" w14:textId="77777777" w:rsidR="009434BE" w:rsidRPr="00D640C3" w:rsidRDefault="009434BE" w:rsidP="009434BE">
      <w:pPr>
        <w:spacing w:after="0" w:line="240" w:lineRule="auto"/>
        <w:jc w:val="both"/>
        <w:rPr>
          <w:rFonts w:ascii="Verdana" w:eastAsia="Calibri" w:hAnsi="Verdana" w:cs="Arial"/>
          <w:lang w:val="es-ES_tradnl" w:eastAsia="es-ES_tradnl"/>
        </w:rPr>
      </w:pPr>
    </w:p>
    <w:p w14:paraId="1394B5D6" w14:textId="77777777" w:rsidR="009434BE" w:rsidRPr="00D640C3" w:rsidRDefault="009434BE" w:rsidP="004A5DDC">
      <w:pPr>
        <w:spacing w:after="0" w:line="276" w:lineRule="auto"/>
        <w:jc w:val="both"/>
        <w:rPr>
          <w:rFonts w:ascii="Verdana" w:eastAsia="Calibri" w:hAnsi="Verdana" w:cs="Arial"/>
          <w:lang w:val="es-ES" w:eastAsia="es-ES"/>
        </w:rPr>
      </w:pPr>
      <w:r w:rsidRPr="00D640C3">
        <w:rPr>
          <w:rFonts w:ascii="Verdana" w:eastAsia="Calibri" w:hAnsi="Verdana" w:cs="Arial"/>
          <w:lang w:val="es-ES" w:eastAsia="es-ES"/>
        </w:rPr>
        <w:t xml:space="preserve">Estimado señor Gonzalez: </w:t>
      </w:r>
    </w:p>
    <w:p w14:paraId="4B10852B" w14:textId="77777777" w:rsidR="009434BE" w:rsidRPr="00D640C3" w:rsidRDefault="009434BE" w:rsidP="004A5DDC">
      <w:pPr>
        <w:tabs>
          <w:tab w:val="left" w:pos="3768"/>
        </w:tabs>
        <w:spacing w:after="0" w:line="276" w:lineRule="auto"/>
        <w:jc w:val="both"/>
        <w:rPr>
          <w:rFonts w:ascii="Verdana" w:eastAsia="Calibri" w:hAnsi="Verdana" w:cs="Arial"/>
          <w:lang w:val="es-ES" w:eastAsia="es-ES"/>
        </w:rPr>
      </w:pPr>
    </w:p>
    <w:p w14:paraId="53D1A5D3" w14:textId="77777777" w:rsidR="009434BE" w:rsidRPr="00D640C3" w:rsidRDefault="009434BE" w:rsidP="004A5DDC">
      <w:pPr>
        <w:spacing w:after="0" w:line="276" w:lineRule="auto"/>
        <w:jc w:val="both"/>
        <w:rPr>
          <w:rFonts w:ascii="Verdana" w:eastAsia="Calibri" w:hAnsi="Verdana" w:cs="Arial"/>
          <w:lang w:val="es-ES" w:eastAsia="es-ES"/>
        </w:rPr>
      </w:pPr>
      <w:r w:rsidRPr="00D640C3">
        <w:rPr>
          <w:rFonts w:ascii="Verdana" w:eastAsia="Calibri" w:hAnsi="Verdana" w:cs="Arial"/>
          <w:lang w:val="es-ES" w:eastAsia="es-ES"/>
        </w:rPr>
        <w:t>En ejercicio de la competencia otorgada por los artículos 3, numeral 5º, y 11, numeral 8º, del Decreto Ley 4170 de 2011,</w:t>
      </w:r>
      <w:r w:rsidRPr="00D640C3">
        <w:rPr>
          <w:rFonts w:ascii="Verdana" w:eastAsia="Arial MT" w:hAnsi="Verdana" w:cs="Arial MT"/>
          <w:lang w:val="es-ES" w:eastAsia="es-ES"/>
        </w:rPr>
        <w:t xml:space="preserve"> </w:t>
      </w:r>
      <w:r w:rsidRPr="00D640C3">
        <w:rPr>
          <w:rFonts w:ascii="Verdana" w:hAnsi="Verdana" w:cs="Arial"/>
        </w:rPr>
        <w:t xml:space="preserve">así como lo establecido en el artículo 4 de la Resolución 1707 de 2018 expedida por esta Entidad, </w:t>
      </w:r>
      <w:r w:rsidRPr="00D640C3">
        <w:rPr>
          <w:rFonts w:ascii="Verdana" w:eastAsia="Calibri" w:hAnsi="Verdana" w:cs="Arial"/>
          <w:lang w:val="es-ES" w:eastAsia="es-ES"/>
        </w:rPr>
        <w:t xml:space="preserve">la Agencia Nacional de Contratación Pública – Colombia Compra Eficiente– responde su solicitud de consulta, remitida por la Contraloría General de Boyacá, el 28 de junio de 2024, en la cual manifiesta lo siguiente: </w:t>
      </w:r>
    </w:p>
    <w:p w14:paraId="2CD37C60" w14:textId="77777777" w:rsidR="009434BE" w:rsidRPr="00D640C3" w:rsidRDefault="009434BE" w:rsidP="004A5DD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85737DB"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bookmarkStart w:id="1" w:name="_Hlk95313578"/>
      <w:r w:rsidRPr="00D640C3">
        <w:rPr>
          <w:rFonts w:ascii="Verdana" w:eastAsia="Century Gothic" w:hAnsi="Verdana" w:cs="Century Gothic"/>
          <w:sz w:val="20"/>
          <w:szCs w:val="20"/>
          <w:lang w:val="es-ES"/>
        </w:rPr>
        <w:t>“</w:t>
      </w:r>
      <w:r w:rsidRPr="00D640C3">
        <w:rPr>
          <w:rFonts w:ascii="Verdana" w:hAnsi="Verdana" w:cs="Arial"/>
          <w:sz w:val="20"/>
          <w:szCs w:val="20"/>
          <w:shd w:val="clear" w:color="auto" w:fill="FFFFFF"/>
        </w:rPr>
        <w:t xml:space="preserve">Frente a la situación administrativa de un contrato de Obra pública, financiado con recursos propios de la entidad pública contratante y que está regulado bajo la figura de Precios fijos unitarios; es pertinente peticionar respuesta a las siguientes preguntas: </w:t>
      </w:r>
    </w:p>
    <w:p w14:paraId="5506A340"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7AB1AE28"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r w:rsidRPr="00D640C3">
        <w:rPr>
          <w:rFonts w:ascii="Verdana" w:hAnsi="Verdana" w:cs="Arial"/>
          <w:b/>
          <w:bCs/>
          <w:sz w:val="20"/>
          <w:szCs w:val="20"/>
          <w:shd w:val="clear" w:color="auto" w:fill="FFFFFF"/>
        </w:rPr>
        <w:t>PRIMERO:</w:t>
      </w:r>
      <w:r w:rsidRPr="00D640C3">
        <w:rPr>
          <w:rFonts w:ascii="Verdana" w:hAnsi="Verdana" w:cs="Arial"/>
          <w:sz w:val="20"/>
          <w:szCs w:val="20"/>
          <w:shd w:val="clear" w:color="auto" w:fill="FFFFFF"/>
        </w:rPr>
        <w:t xml:space="preserve"> </w:t>
      </w:r>
      <w:bookmarkStart w:id="2" w:name="_Hlk176962286"/>
      <w:r w:rsidRPr="00D640C3">
        <w:rPr>
          <w:rFonts w:ascii="Verdana" w:hAnsi="Verdana" w:cs="Arial"/>
          <w:sz w:val="20"/>
          <w:szCs w:val="20"/>
          <w:shd w:val="clear" w:color="auto" w:fill="FFFFFF"/>
        </w:rPr>
        <w:t xml:space="preserve">¿QUÉ IMPEDIMENTOS EXISTEN PARA REALIZAR UNA ADICIÓN O MODIFICACIÓN PRESUPUESTAL EN UN CONTRATO DE OBRA PÚBLICA DE PRECIOS FIJOS UNITARIOS, CUANDO EL PLAZO DEL CONTRATO HA SUPERADO DOS VIGENCIAS, ¿CONTADAS A PARTIR DE LA RESPECTIVA SUSCRIPCIÓN DEL CONTRATO? </w:t>
      </w:r>
    </w:p>
    <w:bookmarkEnd w:id="2"/>
    <w:p w14:paraId="0D73218E"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14DB0327"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r w:rsidRPr="00D640C3">
        <w:rPr>
          <w:rFonts w:ascii="Verdana" w:hAnsi="Verdana" w:cs="Arial"/>
          <w:b/>
          <w:bCs/>
          <w:sz w:val="20"/>
          <w:szCs w:val="20"/>
          <w:shd w:val="clear" w:color="auto" w:fill="FFFFFF"/>
        </w:rPr>
        <w:lastRenderedPageBreak/>
        <w:t>SEGUNDO:</w:t>
      </w:r>
      <w:r w:rsidRPr="00D640C3">
        <w:rPr>
          <w:rFonts w:ascii="Verdana" w:hAnsi="Verdana" w:cs="Arial"/>
          <w:sz w:val="20"/>
          <w:szCs w:val="20"/>
          <w:shd w:val="clear" w:color="auto" w:fill="FFFFFF"/>
        </w:rPr>
        <w:t xml:space="preserve"> </w:t>
      </w:r>
      <w:proofErr w:type="gramStart"/>
      <w:r w:rsidRPr="00D640C3">
        <w:rPr>
          <w:rFonts w:ascii="Verdana" w:hAnsi="Verdana" w:cs="Arial"/>
          <w:sz w:val="20"/>
          <w:szCs w:val="20"/>
          <w:shd w:val="clear" w:color="auto" w:fill="FFFFFF"/>
        </w:rPr>
        <w:t>CUANDO DENTRO DE LA REGULACIÓN FISCAL, LOS RECURSOS PARA FINANCIAR EL CONTRATO DE OBRA PÚBLICA ADQUIERE LA CONDICIÓN DE PASIVO EXIGIBLE, ES POSIBLE REALIZAR UNA MODIFICACIÓN AL CONTRATO PARA CUMPLIR CON LOS ASPECTOS TÉCNICOS IMPREVISIBLES DEBIDAMENTE JUSTIFICADOS DE LA OBRA?</w:t>
      </w:r>
      <w:proofErr w:type="gramEnd"/>
      <w:r w:rsidRPr="00D640C3">
        <w:rPr>
          <w:rFonts w:ascii="Verdana" w:hAnsi="Verdana" w:cs="Arial"/>
          <w:sz w:val="20"/>
          <w:szCs w:val="20"/>
          <w:shd w:val="clear" w:color="auto" w:fill="FFFFFF"/>
        </w:rPr>
        <w:t xml:space="preserve"> </w:t>
      </w:r>
    </w:p>
    <w:p w14:paraId="3114BC58"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038A5942"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r w:rsidRPr="00D640C3">
        <w:rPr>
          <w:rFonts w:ascii="Verdana" w:hAnsi="Verdana" w:cs="Arial"/>
          <w:b/>
          <w:bCs/>
          <w:sz w:val="20"/>
          <w:szCs w:val="20"/>
          <w:shd w:val="clear" w:color="auto" w:fill="FFFFFF"/>
        </w:rPr>
        <w:t>TERCERO:</w:t>
      </w:r>
      <w:r w:rsidRPr="00D640C3">
        <w:rPr>
          <w:rFonts w:ascii="Verdana" w:hAnsi="Verdana" w:cs="Arial"/>
          <w:sz w:val="20"/>
          <w:szCs w:val="20"/>
          <w:shd w:val="clear" w:color="auto" w:fill="FFFFFF"/>
        </w:rPr>
        <w:t xml:space="preserve"> ¿CUALES SON LOS EFECTOS AL GENERARSE UN PASIVO EXIGIBLE EN EL MARCO DE LA ACTIVIDAD CONTRACTUAL – CONTRATO DE PRECIOS FIJOS UNITARIOS? </w:t>
      </w:r>
    </w:p>
    <w:p w14:paraId="6D8EF1EB"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1FE3C660"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r w:rsidRPr="00D640C3">
        <w:rPr>
          <w:rFonts w:ascii="Verdana" w:hAnsi="Verdana" w:cs="Arial"/>
          <w:b/>
          <w:bCs/>
          <w:sz w:val="20"/>
          <w:szCs w:val="20"/>
          <w:shd w:val="clear" w:color="auto" w:fill="FFFFFF"/>
        </w:rPr>
        <w:t>CUARTO:</w:t>
      </w:r>
      <w:r w:rsidRPr="00D640C3">
        <w:rPr>
          <w:rFonts w:ascii="Verdana" w:hAnsi="Verdana" w:cs="Arial"/>
          <w:sz w:val="20"/>
          <w:szCs w:val="20"/>
          <w:shd w:val="clear" w:color="auto" w:fill="FFFFFF"/>
        </w:rPr>
        <w:t xml:space="preserve"> </w:t>
      </w:r>
      <w:bookmarkStart w:id="3" w:name="_Hlk176962323"/>
      <w:r w:rsidRPr="00D640C3">
        <w:rPr>
          <w:rFonts w:ascii="Verdana" w:hAnsi="Verdana" w:cs="Arial"/>
          <w:sz w:val="20"/>
          <w:szCs w:val="20"/>
          <w:shd w:val="clear" w:color="auto" w:fill="FFFFFF"/>
        </w:rPr>
        <w:t xml:space="preserve">¿CUALES SON LAS CAUSALES PARA LA IMPROCEDENCIA DE UNA MODIFICACIÓN O ADICIÓN PRESUPUESTAL EN EL MARCO DE UN CONTRATO DE PRECIOS FIJOS UNITARIOS? </w:t>
      </w:r>
      <w:bookmarkEnd w:id="3"/>
    </w:p>
    <w:p w14:paraId="003E0A0D"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67143889"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r w:rsidRPr="00D640C3">
        <w:rPr>
          <w:rFonts w:ascii="Verdana" w:hAnsi="Verdana" w:cs="Arial"/>
          <w:b/>
          <w:bCs/>
          <w:sz w:val="20"/>
          <w:szCs w:val="20"/>
          <w:shd w:val="clear" w:color="auto" w:fill="FFFFFF"/>
        </w:rPr>
        <w:t>QUINTO:</w:t>
      </w:r>
      <w:r w:rsidRPr="00D640C3">
        <w:rPr>
          <w:rFonts w:ascii="Verdana" w:hAnsi="Verdana" w:cs="Arial"/>
          <w:sz w:val="20"/>
          <w:szCs w:val="20"/>
          <w:shd w:val="clear" w:color="auto" w:fill="FFFFFF"/>
        </w:rPr>
        <w:t xml:space="preserve"> ¿CUALES SON LAS CAUSALES DE IMPROCEDENCIA PARA GENERAR UN NUEVO REGISTRO PRESUPUESTAL EN EL MARCO DE LA ACTIVIDAD CONTRACTUAL – CONTRATO DE PRECIOS FIJOS UNITARIOS? </w:t>
      </w:r>
    </w:p>
    <w:p w14:paraId="0DC9D93C" w14:textId="77777777" w:rsidR="009434BE" w:rsidRPr="00D640C3" w:rsidRDefault="009434BE" w:rsidP="00BA30D9">
      <w:pPr>
        <w:spacing w:after="0" w:line="240" w:lineRule="auto"/>
        <w:ind w:left="709" w:right="709"/>
        <w:jc w:val="both"/>
        <w:rPr>
          <w:rFonts w:ascii="Verdana" w:hAnsi="Verdana" w:cs="Arial"/>
          <w:sz w:val="20"/>
          <w:szCs w:val="20"/>
          <w:shd w:val="clear" w:color="auto" w:fill="FFFFFF"/>
        </w:rPr>
      </w:pPr>
    </w:p>
    <w:p w14:paraId="139F7F28" w14:textId="77777777" w:rsidR="009434BE" w:rsidRPr="00D640C3" w:rsidRDefault="009434BE" w:rsidP="00BA30D9">
      <w:pPr>
        <w:spacing w:after="0" w:line="240" w:lineRule="auto"/>
        <w:ind w:left="709" w:right="709"/>
        <w:jc w:val="both"/>
        <w:rPr>
          <w:rFonts w:ascii="Verdana" w:eastAsia="Century Gothic" w:hAnsi="Verdana" w:cs="Century Gothic"/>
          <w:sz w:val="20"/>
          <w:szCs w:val="20"/>
          <w:lang w:val="es-ES"/>
        </w:rPr>
      </w:pPr>
      <w:r w:rsidRPr="00D640C3">
        <w:rPr>
          <w:rFonts w:ascii="Verdana" w:hAnsi="Verdana" w:cs="Arial"/>
          <w:b/>
          <w:bCs/>
          <w:sz w:val="20"/>
          <w:szCs w:val="20"/>
          <w:shd w:val="clear" w:color="auto" w:fill="FFFFFF"/>
        </w:rPr>
        <w:t>SEXTO:</w:t>
      </w:r>
      <w:r w:rsidRPr="00D640C3">
        <w:rPr>
          <w:rFonts w:ascii="Verdana" w:hAnsi="Verdana" w:cs="Arial"/>
          <w:sz w:val="20"/>
          <w:szCs w:val="20"/>
          <w:shd w:val="clear" w:color="auto" w:fill="FFFFFF"/>
        </w:rPr>
        <w:t xml:space="preserve"> EN CASO DE REQUERIR LA MODIFICACIÓN DE UN PROYECTO, EN NUEVAS CANTIDADES DE PRECIOS FIJOS UNITARIOS, ¿ES PROCEDENTE MODIFICAR EL PROYECTO CUANDO EXISTE UN PASIVO EXIGIBLE? ¿POR QUÉ?</w:t>
      </w:r>
      <w:r w:rsidRPr="00D640C3">
        <w:rPr>
          <w:rFonts w:ascii="Verdana" w:eastAsia="Century Gothic" w:hAnsi="Verdana" w:cs="Century Gothic"/>
          <w:sz w:val="20"/>
          <w:szCs w:val="20"/>
          <w:lang w:val="es-ES"/>
        </w:rPr>
        <w:t>”</w:t>
      </w:r>
      <w:bookmarkEnd w:id="1"/>
      <w:r w:rsidRPr="00D640C3">
        <w:rPr>
          <w:rFonts w:ascii="Verdana" w:eastAsia="Century Gothic" w:hAnsi="Verdana" w:cs="Century Gothic"/>
          <w:sz w:val="20"/>
          <w:szCs w:val="20"/>
          <w:lang w:val="es-ES"/>
        </w:rPr>
        <w:t>.</w:t>
      </w:r>
    </w:p>
    <w:p w14:paraId="68DDE963" w14:textId="77777777" w:rsidR="009434BE" w:rsidRPr="00D640C3" w:rsidRDefault="009434BE" w:rsidP="00BA30D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44F5C39" w14:textId="77777777" w:rsidR="009434BE" w:rsidRPr="00D640C3" w:rsidRDefault="009434BE" w:rsidP="00BA30D9">
      <w:pPr>
        <w:spacing w:after="120" w:line="276" w:lineRule="auto"/>
        <w:jc w:val="both"/>
        <w:rPr>
          <w:rFonts w:ascii="Verdana" w:eastAsia="Calibri" w:hAnsi="Verdana" w:cs="Arial"/>
          <w:color w:val="000000"/>
          <w:lang w:val="es-ES_tradnl" w:eastAsia="es-ES_tradnl"/>
        </w:rPr>
      </w:pPr>
      <w:r w:rsidRPr="00D640C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640C3">
        <w:rPr>
          <w:rFonts w:ascii="Verdana" w:eastAsia="Calibri" w:hAnsi="Verdana" w:cs="Arial"/>
          <w:color w:val="000000"/>
          <w:lang w:val="es-ES_tradnl" w:eastAsia="es-ES_tradnl"/>
        </w:rPr>
        <w:tab/>
      </w:r>
    </w:p>
    <w:p w14:paraId="1391C7B5" w14:textId="77777777" w:rsidR="009434BE" w:rsidRPr="00D640C3" w:rsidRDefault="009434BE" w:rsidP="009434BE">
      <w:pPr>
        <w:spacing w:after="0" w:line="276" w:lineRule="auto"/>
        <w:ind w:firstLine="709"/>
        <w:jc w:val="both"/>
        <w:rPr>
          <w:rFonts w:ascii="Verdana" w:eastAsia="Calibri" w:hAnsi="Verdana" w:cs="Arial"/>
          <w:color w:val="000000"/>
          <w:lang w:val="es-ES" w:eastAsia="es-ES"/>
        </w:rPr>
      </w:pPr>
      <w:r w:rsidRPr="00D640C3">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D640C3">
        <w:rPr>
          <w:rFonts w:ascii="Verdana" w:eastAsia="Calibri" w:hAnsi="Verdana" w:cs="Arial"/>
          <w:color w:val="7030A0"/>
          <w:lang w:val="es-ES" w:eastAsia="es-ES"/>
        </w:rPr>
        <w:t xml:space="preserve"> </w:t>
      </w:r>
      <w:r w:rsidRPr="00D640C3">
        <w:rPr>
          <w:rFonts w:ascii="Verdana" w:eastAsia="Calibri" w:hAnsi="Verdana" w:cs="Arial"/>
          <w:color w:val="000000"/>
          <w:lang w:val="es-ES" w:eastAsia="es-ES"/>
        </w:rPr>
        <w:t>jurídico</w:t>
      </w:r>
      <w:r w:rsidRPr="00D640C3">
        <w:rPr>
          <w:rFonts w:ascii="Verdana" w:eastAsia="Calibri" w:hAnsi="Verdana" w:cs="Arial"/>
          <w:color w:val="7030A0"/>
          <w:lang w:val="es-ES" w:eastAsia="es-ES"/>
        </w:rPr>
        <w:t xml:space="preserve"> </w:t>
      </w:r>
      <w:r w:rsidRPr="00D640C3">
        <w:rPr>
          <w:rFonts w:ascii="Verdana" w:eastAsia="Calibri" w:hAnsi="Verdana" w:cs="Arial"/>
          <w:color w:val="000000"/>
          <w:lang w:val="es-ES" w:eastAsia="es-ES"/>
        </w:rPr>
        <w:t xml:space="preserve">de su consulta. </w:t>
      </w:r>
    </w:p>
    <w:p w14:paraId="5AA72BCA" w14:textId="77777777" w:rsidR="009434BE" w:rsidRPr="00D640C3" w:rsidRDefault="009434BE" w:rsidP="00EE2221">
      <w:pPr>
        <w:spacing w:after="0" w:line="276" w:lineRule="auto"/>
        <w:ind w:firstLine="709"/>
        <w:jc w:val="both"/>
        <w:rPr>
          <w:rFonts w:ascii="Verdana" w:eastAsia="Calibri" w:hAnsi="Verdana" w:cs="Arial"/>
          <w:color w:val="000000"/>
          <w:lang w:val="es-ES" w:eastAsia="es-ES"/>
        </w:rPr>
      </w:pPr>
    </w:p>
    <w:p w14:paraId="5A47D7B2" w14:textId="77777777" w:rsidR="009434BE" w:rsidRPr="00D640C3" w:rsidRDefault="009434BE" w:rsidP="00EE222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640C3">
        <w:rPr>
          <w:rFonts w:ascii="Verdana" w:eastAsia="Century Gothic" w:hAnsi="Verdana" w:cs="Century Gothic"/>
          <w:b/>
          <w:bCs/>
        </w:rPr>
        <w:t>Problema planteado:</w:t>
      </w:r>
    </w:p>
    <w:p w14:paraId="112AB669" w14:textId="77777777" w:rsidR="009434BE" w:rsidRPr="00D640C3" w:rsidRDefault="009434BE" w:rsidP="00EE2221">
      <w:pPr>
        <w:tabs>
          <w:tab w:val="left" w:pos="426"/>
        </w:tabs>
        <w:spacing w:after="0" w:line="276" w:lineRule="auto"/>
        <w:jc w:val="both"/>
        <w:rPr>
          <w:rFonts w:ascii="Verdana" w:eastAsia="Century Gothic" w:hAnsi="Verdana" w:cs="Century Gothic"/>
          <w:lang w:val="es-ES"/>
        </w:rPr>
      </w:pPr>
    </w:p>
    <w:p w14:paraId="2EA49F74" w14:textId="77777777" w:rsidR="009434BE" w:rsidRPr="00D640C3" w:rsidRDefault="009434BE" w:rsidP="00EE2221">
      <w:pPr>
        <w:spacing w:after="0" w:line="276" w:lineRule="auto"/>
        <w:jc w:val="both"/>
        <w:rPr>
          <w:rFonts w:ascii="Verdana" w:hAnsi="Verdana" w:cs="Arial"/>
          <w:shd w:val="clear" w:color="auto" w:fill="FFFFFF"/>
        </w:rPr>
      </w:pPr>
      <w:r w:rsidRPr="00D640C3">
        <w:rPr>
          <w:rFonts w:ascii="Verdana" w:eastAsia="Century Gothic" w:hAnsi="Verdana" w:cs="Century Gothic"/>
        </w:rPr>
        <w:t xml:space="preserve">De acuerdo con el contenido de su solicitud, esta Agencia resolverá el siguiente problema jurídico: </w:t>
      </w:r>
      <w:r w:rsidRPr="00D640C3">
        <w:rPr>
          <w:rFonts w:ascii="Verdana" w:hAnsi="Verdana" w:cs="Arial"/>
          <w:shd w:val="clear" w:color="auto" w:fill="FFFFFF"/>
        </w:rPr>
        <w:t>¿Cuándo es procedente realizar una modificación o adición al valor inicial de un contrato bajo la modalidad de precios unitarios?</w:t>
      </w:r>
    </w:p>
    <w:p w14:paraId="7C85FFA7" w14:textId="77777777" w:rsidR="009434BE" w:rsidRPr="00D640C3" w:rsidRDefault="009434BE" w:rsidP="00EE2221">
      <w:pPr>
        <w:spacing w:after="0" w:line="276" w:lineRule="auto"/>
        <w:jc w:val="both"/>
        <w:rPr>
          <w:rFonts w:ascii="Verdana" w:eastAsia="Calibri" w:hAnsi="Verdana" w:cs="Arial"/>
          <w:color w:val="7030A0"/>
        </w:rPr>
      </w:pPr>
    </w:p>
    <w:p w14:paraId="3BAD93B1" w14:textId="77777777" w:rsidR="009434BE" w:rsidRPr="00D640C3" w:rsidRDefault="009434BE" w:rsidP="00EE222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640C3">
        <w:rPr>
          <w:rFonts w:ascii="Verdana" w:eastAsia="Century Gothic" w:hAnsi="Verdana" w:cs="Century Gothic"/>
          <w:b/>
          <w:bCs/>
        </w:rPr>
        <w:t>Respuesta:</w:t>
      </w:r>
    </w:p>
    <w:p w14:paraId="0D07C80B" w14:textId="77777777" w:rsidR="009434BE" w:rsidRPr="00D640C3" w:rsidRDefault="009434BE" w:rsidP="00EE222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434BE" w:rsidRPr="00D640C3" w14:paraId="0ADA5764" w14:textId="77777777">
        <w:tc>
          <w:tcPr>
            <w:tcW w:w="8828" w:type="dxa"/>
            <w:shd w:val="clear" w:color="auto" w:fill="auto"/>
          </w:tcPr>
          <w:p w14:paraId="4AB05589" w14:textId="2E16CE69" w:rsidR="00B36458" w:rsidRPr="00D640C3" w:rsidRDefault="009434BE" w:rsidP="00234E1D">
            <w:pPr>
              <w:spacing w:after="120" w:line="276" w:lineRule="auto"/>
              <w:jc w:val="both"/>
              <w:rPr>
                <w:rFonts w:ascii="Verdana" w:hAnsi="Verdana" w:cs="Arial"/>
                <w:lang w:val="es-MX" w:eastAsia="es-ES_tradnl"/>
              </w:rPr>
            </w:pPr>
            <w:r w:rsidRPr="00D640C3">
              <w:rPr>
                <w:rFonts w:ascii="Verdana" w:hAnsi="Verdana" w:cs="Arial"/>
                <w:lang w:val="es-MX" w:eastAsia="es-ES_tradnl"/>
              </w:rPr>
              <w:t xml:space="preserve">Si bien, el artículo 40 de la Ley 80 de 1993 establece un límite cuantitativo a la </w:t>
            </w:r>
            <w:r w:rsidRPr="00D640C3">
              <w:rPr>
                <w:rFonts w:ascii="Verdana" w:hAnsi="Verdana" w:cs="Arial"/>
                <w:lang w:val="es-ES_tradnl" w:eastAsia="es-ES_tradnl"/>
              </w:rPr>
              <w:t>adición del valor de los contratos estatales, según el cual no podrá</w:t>
            </w:r>
            <w:r w:rsidR="00605BCF" w:rsidRPr="00D640C3">
              <w:rPr>
                <w:rFonts w:ascii="Verdana" w:hAnsi="Verdana" w:cs="Arial"/>
                <w:lang w:val="es-ES_tradnl" w:eastAsia="es-ES_tradnl"/>
              </w:rPr>
              <w:t>n</w:t>
            </w:r>
            <w:r w:rsidRPr="00D640C3">
              <w:rPr>
                <w:rFonts w:ascii="Verdana" w:hAnsi="Verdana" w:cs="Arial"/>
                <w:lang w:val="es-ES_tradnl" w:eastAsia="es-ES_tradnl"/>
              </w:rPr>
              <w:t xml:space="preserve"> </w:t>
            </w:r>
            <w:r w:rsidR="001516A2" w:rsidRPr="00D640C3">
              <w:rPr>
                <w:rFonts w:ascii="Verdana" w:hAnsi="Verdana" w:cs="Arial"/>
                <w:lang w:val="es-ES_tradnl" w:eastAsia="es-ES_tradnl"/>
              </w:rPr>
              <w:t>adicionarse</w:t>
            </w:r>
            <w:r w:rsidRPr="00D640C3">
              <w:rPr>
                <w:rFonts w:ascii="Verdana" w:hAnsi="Verdana" w:cs="Arial"/>
                <w:lang w:val="es-ES_tradnl" w:eastAsia="es-ES_tradnl"/>
              </w:rPr>
              <w:t xml:space="preserve"> por encima del cincuenta por ciento (50%) de su valor inicial del contrato</w:t>
            </w:r>
            <w:r w:rsidR="001516A2" w:rsidRPr="00D640C3">
              <w:rPr>
                <w:rFonts w:ascii="Verdana" w:hAnsi="Verdana" w:cs="Arial"/>
                <w:lang w:val="es-ES_tradnl" w:eastAsia="es-ES_tradnl"/>
              </w:rPr>
              <w:t xml:space="preserve"> expresado en SM</w:t>
            </w:r>
            <w:r w:rsidR="00BB6D9A" w:rsidRPr="00D640C3">
              <w:rPr>
                <w:rFonts w:ascii="Verdana" w:hAnsi="Verdana" w:cs="Arial"/>
                <w:lang w:val="es-ES_tradnl" w:eastAsia="es-ES_tradnl"/>
              </w:rPr>
              <w:t>L</w:t>
            </w:r>
            <w:r w:rsidR="001A225E" w:rsidRPr="00D640C3">
              <w:rPr>
                <w:rFonts w:ascii="Verdana" w:hAnsi="Verdana" w:cs="Arial"/>
                <w:lang w:val="es-ES_tradnl" w:eastAsia="es-ES_tradnl"/>
              </w:rPr>
              <w:t>M</w:t>
            </w:r>
            <w:r w:rsidR="001516A2" w:rsidRPr="00D640C3">
              <w:rPr>
                <w:rFonts w:ascii="Verdana" w:hAnsi="Verdana" w:cs="Arial"/>
                <w:lang w:val="es-ES_tradnl" w:eastAsia="es-ES_tradnl"/>
              </w:rPr>
              <w:t>V</w:t>
            </w:r>
            <w:r w:rsidRPr="00D640C3">
              <w:rPr>
                <w:rFonts w:ascii="Verdana" w:hAnsi="Verdana" w:cs="Arial"/>
                <w:lang w:val="es-ES_tradnl" w:eastAsia="es-ES_tradnl"/>
              </w:rPr>
              <w:t xml:space="preserve">, </w:t>
            </w:r>
            <w:r w:rsidR="00E96321" w:rsidRPr="00D640C3">
              <w:rPr>
                <w:rFonts w:ascii="Verdana" w:hAnsi="Verdana" w:cs="Arial"/>
                <w:lang w:val="es-ES_tradnl" w:eastAsia="es-ES_tradnl"/>
              </w:rPr>
              <w:t xml:space="preserve">dicho </w:t>
            </w:r>
            <w:r w:rsidRPr="00D640C3">
              <w:rPr>
                <w:rFonts w:ascii="Verdana" w:hAnsi="Verdana" w:cs="Arial"/>
                <w:lang w:val="es-ES_tradnl" w:eastAsia="es-ES_tradnl"/>
              </w:rPr>
              <w:t xml:space="preserve">límite no aplica </w:t>
            </w:r>
            <w:r w:rsidR="00B36458" w:rsidRPr="00D640C3">
              <w:rPr>
                <w:rFonts w:ascii="Verdana" w:hAnsi="Verdana" w:cs="Arial"/>
                <w:lang w:val="es-ES_tradnl" w:eastAsia="es-ES_tradnl"/>
              </w:rPr>
              <w:t>respecto de las mayores cantidades de obra que deban ejecutarse en el marco de</w:t>
            </w:r>
            <w:r w:rsidRPr="00D640C3">
              <w:rPr>
                <w:rFonts w:ascii="Verdana" w:hAnsi="Verdana" w:cs="Arial"/>
                <w:lang w:val="es-ES_tradnl" w:eastAsia="es-ES_tradnl"/>
              </w:rPr>
              <w:t xml:space="preserve"> contratos cuy</w:t>
            </w:r>
            <w:r w:rsidR="001A225E" w:rsidRPr="00D640C3">
              <w:rPr>
                <w:rFonts w:ascii="Verdana" w:hAnsi="Verdana" w:cs="Arial"/>
                <w:lang w:val="es-ES_tradnl" w:eastAsia="es-ES_tradnl"/>
              </w:rPr>
              <w:t xml:space="preserve">a contraprestación </w:t>
            </w:r>
            <w:r w:rsidRPr="00D640C3">
              <w:rPr>
                <w:rFonts w:ascii="Verdana" w:hAnsi="Verdana" w:cs="Arial"/>
                <w:lang w:val="es-ES_tradnl" w:eastAsia="es-ES_tradnl"/>
              </w:rPr>
              <w:t xml:space="preserve">se haya pactado bajo la modalidad de precios unitarios. </w:t>
            </w:r>
            <w:r w:rsidRPr="00D640C3">
              <w:rPr>
                <w:rFonts w:ascii="Verdana" w:eastAsia="Calibri" w:hAnsi="Verdana" w:cs="Arial"/>
                <w:lang w:val="es-MX"/>
              </w:rPr>
              <w:t>De acuerdo con la jurisprudencia reciente del Consejo de Estado, esta limitación no es aplicable</w:t>
            </w:r>
            <w:r w:rsidR="001A225E" w:rsidRPr="00D640C3">
              <w:rPr>
                <w:rFonts w:ascii="Verdana" w:eastAsia="Calibri" w:hAnsi="Verdana" w:cs="Arial"/>
                <w:lang w:val="es-MX"/>
              </w:rPr>
              <w:t xml:space="preserve"> a dichos contratos</w:t>
            </w:r>
            <w:r w:rsidRPr="00D640C3">
              <w:rPr>
                <w:rFonts w:ascii="Verdana" w:eastAsia="Calibri" w:hAnsi="Verdana" w:cs="Arial"/>
                <w:lang w:val="es-MX"/>
              </w:rPr>
              <w:t xml:space="preserve">, </w:t>
            </w:r>
            <w:r w:rsidRPr="00D640C3">
              <w:rPr>
                <w:rFonts w:ascii="Verdana" w:hAnsi="Verdana" w:cs="Arial"/>
                <w:lang w:val="es-MX" w:eastAsia="es-ES_tradnl"/>
              </w:rPr>
              <w:t>por cuanto</w:t>
            </w:r>
            <w:r w:rsidR="001A225E" w:rsidRPr="00D640C3">
              <w:rPr>
                <w:rFonts w:ascii="Verdana" w:hAnsi="Verdana" w:cs="Arial"/>
                <w:lang w:val="es-MX" w:eastAsia="es-ES_tradnl"/>
              </w:rPr>
              <w:t xml:space="preserve"> </w:t>
            </w:r>
            <w:r w:rsidR="00B36458" w:rsidRPr="00D640C3">
              <w:rPr>
                <w:rFonts w:ascii="Verdana" w:hAnsi="Verdana" w:cs="Arial"/>
                <w:lang w:val="es-MX" w:eastAsia="es-ES_tradnl"/>
              </w:rPr>
              <w:t>en estos contratos el valor estipulado es estimativo y está sujeto a multiplicar las cantidades de obra ejecutadas por el precio de cada una de ellas.</w:t>
            </w:r>
          </w:p>
          <w:p w14:paraId="252801D0" w14:textId="72C806CD" w:rsidR="009434BE" w:rsidRPr="00D640C3" w:rsidRDefault="009434BE" w:rsidP="00234E1D">
            <w:pPr>
              <w:spacing w:line="276" w:lineRule="auto"/>
              <w:ind w:firstLine="709"/>
              <w:jc w:val="both"/>
              <w:rPr>
                <w:rFonts w:ascii="Verdana" w:hAnsi="Verdana"/>
              </w:rPr>
            </w:pPr>
            <w:r w:rsidRPr="00D640C3">
              <w:rPr>
                <w:rFonts w:ascii="Verdana" w:hAnsi="Verdana" w:cs="Arial"/>
                <w:lang w:val="es-MX" w:eastAsia="es-ES_tradnl"/>
              </w:rPr>
              <w:t>No obstante,</w:t>
            </w:r>
            <w:r w:rsidRPr="00D640C3">
              <w:rPr>
                <w:rFonts w:ascii="Verdana" w:eastAsia="Calibri" w:hAnsi="Verdana" w:cs="Arial"/>
              </w:rPr>
              <w:t xml:space="preserve"> la concepción de mayores cantidades de obra, como expresión del contrato original sin valor determinado, aunque determinable, no puede dar lugar a una ampliación ilimitada de estos contratos, pues no se encuentran exentos de la aplicación del principio de planeación. Por consiguiente, pese a la variación de las cantidades de obra, los contratos a precios unitarios si tienen un valor inicial que obedece a la estructuración y planificación que los procede</w:t>
            </w:r>
            <w:r w:rsidR="0065685A" w:rsidRPr="00D640C3">
              <w:rPr>
                <w:rFonts w:ascii="Verdana" w:eastAsia="Calibri" w:hAnsi="Verdana" w:cs="Arial"/>
              </w:rPr>
              <w:t>, por lo que, en aras de satisfacer el principio de planeación, las enti</w:t>
            </w:r>
            <w:r w:rsidR="0052538D" w:rsidRPr="00D640C3">
              <w:rPr>
                <w:rFonts w:ascii="Verdana" w:eastAsia="Calibri" w:hAnsi="Verdana" w:cs="Arial"/>
              </w:rPr>
              <w:t xml:space="preserve">dades deben propender por realizar una planeación adecuada </w:t>
            </w:r>
            <w:r w:rsidR="008761B7" w:rsidRPr="00D640C3">
              <w:rPr>
                <w:rFonts w:ascii="Verdana" w:eastAsia="Calibri" w:hAnsi="Verdana" w:cs="Arial"/>
              </w:rPr>
              <w:t xml:space="preserve">que procure que el valor finalmente ejecutado no exceda de manera desproporcionada </w:t>
            </w:r>
            <w:r w:rsidR="00910532" w:rsidRPr="00D640C3">
              <w:rPr>
                <w:rFonts w:ascii="Verdana" w:eastAsia="Calibri" w:hAnsi="Verdana" w:cs="Arial"/>
              </w:rPr>
              <w:t>el valor inicial estimado.</w:t>
            </w:r>
          </w:p>
        </w:tc>
      </w:tr>
    </w:tbl>
    <w:p w14:paraId="75574E19" w14:textId="77777777" w:rsidR="009434BE" w:rsidRPr="00D640C3" w:rsidRDefault="009434BE" w:rsidP="00351EEC">
      <w:pPr>
        <w:tabs>
          <w:tab w:val="left" w:pos="142"/>
          <w:tab w:val="left" w:pos="284"/>
        </w:tabs>
        <w:spacing w:after="0" w:line="276" w:lineRule="auto"/>
        <w:jc w:val="both"/>
        <w:rPr>
          <w:rFonts w:ascii="Verdana" w:eastAsia="Century Gothic" w:hAnsi="Verdana" w:cs="Century Gothic"/>
          <w:b/>
          <w:bCs/>
          <w:lang w:val="es-ES"/>
        </w:rPr>
      </w:pPr>
    </w:p>
    <w:p w14:paraId="315C0CD2" w14:textId="77777777" w:rsidR="009434BE" w:rsidRPr="00D640C3" w:rsidRDefault="009434BE" w:rsidP="00351EE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640C3">
        <w:rPr>
          <w:rFonts w:ascii="Verdana" w:eastAsia="Century Gothic" w:hAnsi="Verdana" w:cs="Century Gothic"/>
          <w:b/>
          <w:bCs/>
        </w:rPr>
        <w:t>Razones de la respuesta:</w:t>
      </w:r>
    </w:p>
    <w:p w14:paraId="336491F5" w14:textId="77777777" w:rsidR="009434BE" w:rsidRPr="00D640C3" w:rsidRDefault="009434BE" w:rsidP="00351EEC">
      <w:pPr>
        <w:spacing w:after="0" w:line="276" w:lineRule="auto"/>
        <w:jc w:val="both"/>
        <w:rPr>
          <w:rFonts w:ascii="Verdana" w:eastAsia="Calibri" w:hAnsi="Verdana" w:cs="Arial"/>
          <w:color w:val="7030A0"/>
          <w:lang w:val="es-ES"/>
        </w:rPr>
      </w:pPr>
    </w:p>
    <w:p w14:paraId="34402A4A" w14:textId="77777777" w:rsidR="009434BE" w:rsidRPr="00D640C3" w:rsidRDefault="009434BE" w:rsidP="00351EEC">
      <w:pPr>
        <w:spacing w:after="0" w:line="276" w:lineRule="auto"/>
        <w:jc w:val="both"/>
        <w:rPr>
          <w:rFonts w:ascii="Verdana" w:eastAsia="Calibri" w:hAnsi="Verdana" w:cs="Arial"/>
          <w:lang w:val="es-ES"/>
        </w:rPr>
      </w:pPr>
      <w:r w:rsidRPr="00D640C3">
        <w:rPr>
          <w:rFonts w:ascii="Verdana" w:eastAsia="Calibri" w:hAnsi="Verdana" w:cs="Arial"/>
          <w:lang w:val="es-ES"/>
        </w:rPr>
        <w:t xml:space="preserve">Lo anterior se sustenta en las siguientes consideraciones: </w:t>
      </w:r>
    </w:p>
    <w:p w14:paraId="1CA31AE6" w14:textId="77777777" w:rsidR="009434BE" w:rsidRPr="00D640C3" w:rsidRDefault="009434BE" w:rsidP="00351EEC">
      <w:pPr>
        <w:widowControl w:val="0"/>
        <w:autoSpaceDE w:val="0"/>
        <w:autoSpaceDN w:val="0"/>
        <w:spacing w:after="0" w:line="276" w:lineRule="auto"/>
        <w:jc w:val="both"/>
        <w:rPr>
          <w:rFonts w:ascii="Verdana" w:eastAsia="Calibri" w:hAnsi="Verdana" w:cs="Arial"/>
          <w:color w:val="7030A0"/>
          <w:lang w:val="es-ES"/>
        </w:rPr>
      </w:pPr>
    </w:p>
    <w:p w14:paraId="384B9E01" w14:textId="77777777" w:rsidR="009434BE" w:rsidRPr="00D640C3" w:rsidRDefault="009434BE" w:rsidP="00351EEC">
      <w:pPr>
        <w:spacing w:after="120" w:line="276" w:lineRule="auto"/>
        <w:jc w:val="both"/>
        <w:rPr>
          <w:rFonts w:ascii="Verdana" w:hAnsi="Verdana" w:cs="Arial"/>
          <w:bCs/>
          <w:szCs w:val="24"/>
          <w:lang w:val="es-ES_tradnl" w:eastAsia="es-ES_tradnl"/>
        </w:rPr>
      </w:pPr>
      <w:r w:rsidRPr="00D640C3">
        <w:rPr>
          <w:rFonts w:ascii="Verdana" w:hAnsi="Verdana" w:cs="Arial"/>
          <w:bCs/>
          <w:szCs w:val="24"/>
          <w:lang w:val="es-ES_tradnl" w:eastAsia="es-ES_tradnl"/>
        </w:rPr>
        <w:t xml:space="preserve">Como es sabido, uno de los elementos más comunes en los contratos estatales es el </w:t>
      </w:r>
      <w:r w:rsidRPr="00D640C3">
        <w:rPr>
          <w:rFonts w:ascii="Verdana" w:hAnsi="Verdana" w:cs="Arial"/>
          <w:bCs/>
          <w:i/>
          <w:iCs/>
          <w:szCs w:val="24"/>
          <w:lang w:val="es-ES_tradnl" w:eastAsia="es-ES_tradnl"/>
        </w:rPr>
        <w:t>precio</w:t>
      </w:r>
      <w:r w:rsidRPr="00D640C3">
        <w:rPr>
          <w:rFonts w:ascii="Verdana" w:hAnsi="Verdana" w:cs="Arial"/>
          <w:bCs/>
          <w:szCs w:val="24"/>
          <w:lang w:val="es-ES_tradnl" w:eastAsia="es-ES_tradnl"/>
        </w:rPr>
        <w:t xml:space="preserve">,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w:t>
      </w:r>
      <w:r w:rsidRPr="00D640C3">
        <w:rPr>
          <w:rFonts w:ascii="Verdana" w:hAnsi="Verdana" w:cs="Arial"/>
          <w:bCs/>
          <w:szCs w:val="24"/>
          <w:lang w:val="es-ES_tradnl" w:eastAsia="es-ES_tradnl"/>
        </w:rPr>
        <w:lastRenderedPageBreak/>
        <w:t>para el contratista, porque equivale a la remuneración que la entidad contratante le pagará por la ejecución del objeto contractual.</w:t>
      </w:r>
    </w:p>
    <w:p w14:paraId="47F96BE6" w14:textId="77777777" w:rsidR="009434BE" w:rsidRPr="00D640C3" w:rsidRDefault="009434BE" w:rsidP="00351EEC">
      <w:pPr>
        <w:spacing w:after="120" w:line="276" w:lineRule="auto"/>
        <w:ind w:firstLine="709"/>
        <w:jc w:val="both"/>
        <w:rPr>
          <w:rFonts w:ascii="Verdana" w:hAnsi="Verdana" w:cs="Arial"/>
          <w:bCs/>
          <w:szCs w:val="24"/>
          <w:lang w:val="es-ES_tradnl" w:eastAsia="es-ES_tradnl"/>
        </w:rPr>
      </w:pPr>
      <w:r w:rsidRPr="00D640C3">
        <w:rPr>
          <w:rFonts w:ascii="Verdana" w:hAnsi="Verdana" w:cs="Arial"/>
          <w:bCs/>
          <w:szCs w:val="24"/>
          <w:lang w:val="es-ES_tradnl" w:eastAsia="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entidad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D640C3">
        <w:rPr>
          <w:rFonts w:ascii="Verdana" w:hAnsi="Verdana" w:cs="Arial"/>
          <w:bCs/>
          <w:szCs w:val="24"/>
          <w:vertAlign w:val="superscript"/>
          <w:lang w:val="es-ES_tradnl" w:eastAsia="es-ES_tradnl"/>
        </w:rPr>
        <w:footnoteReference w:id="2"/>
      </w:r>
      <w:r w:rsidRPr="00D640C3">
        <w:rPr>
          <w:rFonts w:ascii="Verdana" w:hAnsi="Verdana" w:cs="Arial"/>
          <w:bCs/>
          <w:szCs w:val="24"/>
          <w:lang w:val="es-ES_tradnl" w:eastAsia="es-ES_tradnl"/>
        </w:rPr>
        <w:t>.</w:t>
      </w:r>
    </w:p>
    <w:p w14:paraId="46AD20BC" w14:textId="77777777" w:rsidR="009434BE" w:rsidRPr="00D640C3" w:rsidRDefault="009434BE" w:rsidP="00351EEC">
      <w:pPr>
        <w:spacing w:after="120" w:line="276" w:lineRule="auto"/>
        <w:ind w:firstLine="709"/>
        <w:jc w:val="both"/>
        <w:rPr>
          <w:rFonts w:ascii="Verdana" w:hAnsi="Verdana" w:cs="Arial"/>
          <w:lang w:val="es-ES" w:eastAsia="es-ES"/>
        </w:rPr>
      </w:pPr>
      <w:r w:rsidRPr="00D640C3">
        <w:rPr>
          <w:rFonts w:ascii="Verdana" w:hAnsi="Verdana" w:cs="Arial"/>
          <w:lang w:val="es-ES" w:eastAsia="es-ES"/>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D640C3">
        <w:rPr>
          <w:rFonts w:ascii="Verdana" w:hAnsi="Verdana" w:cs="Arial"/>
          <w:lang w:val="es-ES" w:eastAsia="es-ES"/>
        </w:rPr>
        <w:t>ii</w:t>
      </w:r>
      <w:proofErr w:type="spellEnd"/>
      <w:r w:rsidRPr="00D640C3">
        <w:rPr>
          <w:rFonts w:ascii="Verdana" w:hAnsi="Verdana" w:cs="Arial"/>
          <w:lang w:val="es-ES" w:eastAsia="es-ES"/>
        </w:rPr>
        <w:t xml:space="preserve">) el precio global –que equivale al monto total, sin discriminar unidades–, y </w:t>
      </w:r>
      <w:proofErr w:type="spellStart"/>
      <w:r w:rsidRPr="00D640C3">
        <w:rPr>
          <w:rFonts w:ascii="Verdana" w:hAnsi="Verdana" w:cs="Arial"/>
          <w:lang w:val="es-ES" w:eastAsia="es-ES"/>
        </w:rPr>
        <w:t>iii</w:t>
      </w:r>
      <w:proofErr w:type="spellEnd"/>
      <w:r w:rsidRPr="00D640C3">
        <w:rPr>
          <w:rFonts w:ascii="Verdana" w:hAnsi="Verdana" w:cs="Arial"/>
          <w:lang w:val="es-ES" w:eastAsia="es-ES"/>
        </w:rPr>
        <w:t>) la administración delegada de recursos –en la que se distinguen los costos de inversión de los honorarios del administrador–.</w:t>
      </w:r>
    </w:p>
    <w:p w14:paraId="7ACD9F64" w14:textId="77777777" w:rsidR="009434BE" w:rsidRPr="00D640C3" w:rsidRDefault="009434BE" w:rsidP="00351EEC">
      <w:pPr>
        <w:spacing w:after="120" w:line="276" w:lineRule="auto"/>
        <w:ind w:firstLine="709"/>
        <w:jc w:val="both"/>
        <w:rPr>
          <w:rFonts w:ascii="Verdana" w:hAnsi="Verdana" w:cs="Arial"/>
          <w:szCs w:val="24"/>
          <w:lang w:val="es-ES_tradnl" w:eastAsia="es-ES_tradnl"/>
        </w:rPr>
      </w:pPr>
      <w:r w:rsidRPr="00D640C3">
        <w:rPr>
          <w:rFonts w:ascii="Verdana" w:hAnsi="Verdana" w:cs="Arial"/>
          <w:bCs/>
          <w:szCs w:val="24"/>
          <w:lang w:val="es-ES_tradnl" w:eastAsia="es-ES_tradnl"/>
        </w:rPr>
        <w:t xml:space="preserve">Por ejemplo, en los contratos cuyo precio se estructura a partir del sistema de precios unitarios, </w:t>
      </w:r>
      <w:r w:rsidRPr="00D640C3">
        <w:rPr>
          <w:rFonts w:ascii="Verdana" w:hAnsi="Verdana" w:cs="Arial"/>
          <w:lang w:val="es-ES" w:eastAsia="es-ES"/>
        </w:rPr>
        <w:t>a los cuales hace referencia en su consulta,</w:t>
      </w:r>
      <w:r w:rsidRPr="00D640C3">
        <w:rPr>
          <w:rFonts w:ascii="Verdana" w:hAnsi="Verdana" w:cs="Arial"/>
          <w:bCs/>
          <w:szCs w:val="24"/>
          <w:lang w:val="es-ES_tradnl" w:eastAsia="es-ES_tradnl"/>
        </w:rPr>
        <w:t xml:space="preserve"> ha hecho parte de la práctica de los negocios que el contratante le solicite al potencial contratista </w:t>
      </w:r>
      <w:r w:rsidRPr="00D640C3">
        <w:rPr>
          <w:rFonts w:ascii="Verdana" w:hAnsi="Verdana" w:cs="Arial"/>
          <w:bCs/>
          <w:szCs w:val="24"/>
          <w:lang w:val="es-ES_tradnl" w:eastAsia="es-ES_tradnl"/>
        </w:rPr>
        <w:lastRenderedPageBreak/>
        <w:t xml:space="preserve">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D640C3">
        <w:rPr>
          <w:rFonts w:ascii="Verdana" w:hAnsi="Verdana" w:cs="Arial"/>
          <w:bCs/>
          <w:i/>
          <w:iCs/>
          <w:szCs w:val="24"/>
          <w:lang w:val="es-ES_tradnl" w:eastAsia="es-ES_tradnl"/>
        </w:rPr>
        <w:t>ítems</w:t>
      </w:r>
      <w:r w:rsidRPr="00D640C3">
        <w:rPr>
          <w:rFonts w:ascii="Verdana" w:hAnsi="Verdana" w:cs="Arial"/>
          <w:bCs/>
          <w:szCs w:val="24"/>
          <w:lang w:val="es-ES_tradnl" w:eastAsia="es-ES_tradnl"/>
        </w:rPr>
        <w:t xml:space="preserve"> según su unidad de medida, los costos indirectos se suelen abreviar en las variables que integran el acrónimo AIU –Administración, Imprevistos y Utilidad–, que se calcula como un porcentaje aplicado a los costos indirectos</w:t>
      </w:r>
      <w:r w:rsidRPr="00D640C3">
        <w:rPr>
          <w:rFonts w:ascii="Verdana" w:hAnsi="Verdana" w:cs="Arial"/>
          <w:szCs w:val="24"/>
          <w:vertAlign w:val="superscript"/>
          <w:lang w:val="es-ES_tradnl" w:eastAsia="es-ES_tradnl"/>
        </w:rPr>
        <w:footnoteReference w:id="3"/>
      </w:r>
      <w:r w:rsidRPr="00D640C3">
        <w:rPr>
          <w:rFonts w:ascii="Verdana" w:hAnsi="Verdana" w:cs="Arial"/>
          <w:szCs w:val="24"/>
          <w:lang w:val="es-ES_tradnl" w:eastAsia="es-ES_tradnl"/>
        </w:rPr>
        <w:t>.</w:t>
      </w:r>
    </w:p>
    <w:p w14:paraId="3D68AA07" w14:textId="77777777" w:rsidR="009434BE" w:rsidRPr="00D640C3" w:rsidRDefault="009434BE" w:rsidP="00351EEC">
      <w:pPr>
        <w:spacing w:after="120" w:line="276" w:lineRule="auto"/>
        <w:ind w:firstLine="709"/>
        <w:jc w:val="both"/>
        <w:rPr>
          <w:rFonts w:ascii="Verdana" w:hAnsi="Verdana" w:cs="Arial"/>
          <w:bCs/>
          <w:szCs w:val="24"/>
          <w:lang w:eastAsia="es-ES_tradnl"/>
        </w:rPr>
      </w:pPr>
      <w:r w:rsidRPr="00D640C3">
        <w:rPr>
          <w:rFonts w:ascii="Verdana" w:hAnsi="Verdana" w:cs="Arial"/>
          <w:bCs/>
          <w:szCs w:val="24"/>
          <w:lang w:eastAsia="es-ES_tradnl"/>
        </w:rPr>
        <w:t>En esta modalidad, y por la misma naturaleza del contrato que impide definir con certeza su valor real, se establecen unas estimaciones de cantidades de obra, según los estudios previos y unos precios unitarios de los respectivos ítems de obra. Por lo tanto, uno es el valor estimado del contrato y otro el valor real, según las mayores o menores cantidades de obra que efectivamente ejecute el contratista para cumplir el objeto pactado</w:t>
      </w:r>
      <w:r w:rsidRPr="00D640C3">
        <w:rPr>
          <w:rStyle w:val="Refdenotaalpie"/>
          <w:rFonts w:ascii="Verdana" w:hAnsi="Verdana" w:cs="Arial"/>
          <w:bCs/>
          <w:szCs w:val="24"/>
          <w:lang w:eastAsia="es-ES_tradnl"/>
        </w:rPr>
        <w:footnoteReference w:id="4"/>
      </w:r>
      <w:r w:rsidRPr="00D640C3">
        <w:rPr>
          <w:rFonts w:ascii="Verdana" w:hAnsi="Verdana" w:cs="Arial"/>
          <w:bCs/>
          <w:szCs w:val="24"/>
          <w:lang w:eastAsia="es-ES_tradnl"/>
        </w:rPr>
        <w:t>.</w:t>
      </w:r>
    </w:p>
    <w:p w14:paraId="734F9B31" w14:textId="77777777" w:rsidR="009434BE" w:rsidRPr="00D640C3" w:rsidRDefault="009434BE" w:rsidP="00351EEC">
      <w:pPr>
        <w:spacing w:after="120" w:line="276" w:lineRule="auto"/>
        <w:ind w:firstLine="709"/>
        <w:jc w:val="both"/>
        <w:rPr>
          <w:rFonts w:ascii="Verdana" w:hAnsi="Verdana" w:cs="Arial"/>
          <w:bCs/>
          <w:szCs w:val="24"/>
          <w:lang w:val="es-ES_tradnl" w:eastAsia="es-ES_tradnl"/>
        </w:rPr>
      </w:pPr>
      <w:r w:rsidRPr="00D640C3">
        <w:rPr>
          <w:rFonts w:ascii="Verdana" w:hAnsi="Verdana" w:cs="Arial"/>
          <w:bCs/>
          <w:szCs w:val="24"/>
          <w:lang w:eastAsia="es-ES_tradnl"/>
        </w:rPr>
        <w:t>En los contratos de obra pública con pago pactado a precios unitarios, el valor del contrato es el que resulta de multiplicar las cantidades de obra efectivamente ejecutadas por sus precios unitarios; pero, para su celebración, el precio se expresa en un valor estimado, que corresponde a un valor inicial, y que está dado por las cantidades de obra y los precios unitarios por los cuales se hizo la respectiva adjudicación.</w:t>
      </w:r>
    </w:p>
    <w:p w14:paraId="5001A009" w14:textId="77777777" w:rsidR="009434BE" w:rsidRPr="00D640C3" w:rsidRDefault="009434BE" w:rsidP="00351EEC">
      <w:pPr>
        <w:spacing w:after="120" w:line="276" w:lineRule="auto"/>
        <w:ind w:firstLine="709"/>
        <w:jc w:val="both"/>
        <w:rPr>
          <w:rFonts w:ascii="Verdana" w:hAnsi="Verdana" w:cs="Arial"/>
          <w:lang w:val="es-ES" w:eastAsia="es-ES"/>
        </w:rPr>
      </w:pPr>
      <w:r w:rsidRPr="00D640C3">
        <w:rPr>
          <w:rFonts w:ascii="Verdana" w:hAnsi="Verdana" w:cs="Arial"/>
          <w:lang w:val="es-ES" w:eastAsia="es-ES"/>
        </w:rPr>
        <w:t xml:space="preserve">Ahora bien, 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Pr="00D640C3">
        <w:rPr>
          <w:rFonts w:ascii="Verdana" w:hAnsi="Verdana" w:cs="Arial"/>
          <w:lang w:val="es-ES" w:eastAsia="es-ES"/>
        </w:rPr>
        <w:t>ii</w:t>
      </w:r>
      <w:proofErr w:type="spellEnd"/>
      <w:r w:rsidRPr="00D640C3">
        <w:rPr>
          <w:rFonts w:ascii="Verdana" w:hAnsi="Verdana" w:cs="Arial"/>
          <w:lang w:val="es-ES" w:eastAsia="es-ES"/>
        </w:rPr>
        <w:t xml:space="preserve">) la necesidad de ampliar las prestaciones contractuales, mediante la ejecución de </w:t>
      </w:r>
      <w:r w:rsidRPr="00D640C3">
        <w:rPr>
          <w:rFonts w:ascii="Verdana" w:hAnsi="Verdana" w:cs="Arial"/>
          <w:lang w:val="es-ES" w:eastAsia="es-ES"/>
        </w:rPr>
        <w:lastRenderedPageBreak/>
        <w:t xml:space="preserve">nuevos ítems o actividades, no incluidos en el contrato inicial, para lo que en la práctica las entidades ejecutan “obras extra” o “amplían el alcance” del contrato mediante la celebración de un “contrato adicional”. </w:t>
      </w:r>
    </w:p>
    <w:p w14:paraId="69654F36" w14:textId="77777777" w:rsidR="009434BE" w:rsidRPr="00D640C3" w:rsidRDefault="009434BE" w:rsidP="00351EEC">
      <w:pPr>
        <w:spacing w:after="120" w:line="276" w:lineRule="auto"/>
        <w:ind w:firstLine="709"/>
        <w:jc w:val="both"/>
        <w:rPr>
          <w:rFonts w:ascii="Verdana" w:hAnsi="Verdana" w:cs="Arial"/>
          <w:lang w:val="es-ES_tradnl" w:eastAsia="es-ES_tradnl"/>
        </w:rPr>
      </w:pPr>
      <w:r w:rsidRPr="00D640C3">
        <w:rPr>
          <w:rFonts w:ascii="Verdana" w:hAnsi="Verdana" w:cs="Arial"/>
          <w:lang w:val="es-ES_tradnl" w:eastAsia="es-ES_tradnl"/>
        </w:rPr>
        <w:t>Este último término tiene origen en el artículo 58 del Decreto-Ley 222 de 1983</w:t>
      </w:r>
      <w:r w:rsidRPr="00D640C3">
        <w:rPr>
          <w:rStyle w:val="Refdenotaalpie"/>
          <w:rFonts w:ascii="Verdana" w:hAnsi="Verdana" w:cs="Arial"/>
          <w:lang w:val="es-ES_tradnl" w:eastAsia="es-ES_tradnl"/>
        </w:rPr>
        <w:footnoteReference w:id="5"/>
      </w:r>
      <w:r w:rsidRPr="00D640C3">
        <w:rPr>
          <w:rFonts w:ascii="Verdana" w:hAnsi="Verdana" w:cs="Arial"/>
          <w:lang w:val="es-ES_tradnl" w:eastAsia="es-ES_tradnl"/>
        </w:rPr>
        <w:t xml:space="preserve">, el cual establecía el “contrato adicional” como el mecanismo a utilizar cuando existiere la “necesidad de modificar el plazo o el valor convenido y no se tratare de la revisión de precios” regulada por dicho estatuto. Sin embargo, dicha figura fue abandonada por la Ley 80 de 1993, estatuto que, fuera de lo dispuesto en relación con la potestad de modificación unilateral, solo aludió a </w:t>
      </w:r>
      <w:bookmarkStart w:id="4" w:name="_Hlk176963734"/>
      <w:r w:rsidRPr="00D640C3">
        <w:rPr>
          <w:rFonts w:ascii="Verdana" w:hAnsi="Verdana" w:cs="Arial"/>
          <w:lang w:val="es-ES_tradnl" w:eastAsia="es-ES_tradnl"/>
        </w:rPr>
        <w:t>la posibilidad de adicionar valor de los contratos estatales dentro de un límite dado por el cincuenta por ciento (50%) de su valor inicial expresado</w:t>
      </w:r>
      <w:bookmarkEnd w:id="4"/>
      <w:r w:rsidRPr="00D640C3">
        <w:rPr>
          <w:rFonts w:ascii="Verdana" w:hAnsi="Verdana" w:cs="Arial"/>
          <w:lang w:val="es-ES_tradnl" w:eastAsia="es-ES_tradnl"/>
        </w:rPr>
        <w:t>, pero sin establecer una limitación expresa sobre otros elementos sobre los que recae la adición</w:t>
      </w:r>
      <w:r w:rsidRPr="00D640C3">
        <w:rPr>
          <w:rStyle w:val="Refdenotaalpie"/>
          <w:rFonts w:ascii="Verdana" w:hAnsi="Verdana" w:cs="Arial"/>
          <w:lang w:val="es-ES_tradnl" w:eastAsia="es-ES_tradnl"/>
        </w:rPr>
        <w:footnoteReference w:id="6"/>
      </w:r>
      <w:r w:rsidRPr="00D640C3">
        <w:rPr>
          <w:rFonts w:ascii="Verdana" w:hAnsi="Verdana" w:cs="Arial"/>
          <w:lang w:val="es-ES_tradnl" w:eastAsia="es-ES_tradnl"/>
        </w:rPr>
        <w:t>.</w:t>
      </w:r>
    </w:p>
    <w:p w14:paraId="6E9CB191" w14:textId="77777777" w:rsidR="009434BE" w:rsidRPr="00D640C3" w:rsidRDefault="009434BE" w:rsidP="00351EEC">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No obstante, la expresión “contrato adicional” al igual que las otras nociones doctrinarias y jurisprudenciales arriba señaladas entre comillas son de uso común en la práctica contractual por las Entidades Estatales. Lo importante en relación con las mismas, tal como se ha resaltado por esta Agencia en oportunidades anteriores, es que frente a cualquier incremento del valor inicial del contrato, que implica una adición, por cualquiera de los dos supuestos señalados previamente, e independientemente del nombre que se le dé al acuerdo, aplica el límite previsto en el parágrafo del artículo 40 de la Ley 80 de 1993.</w:t>
      </w:r>
      <w:r w:rsidRPr="00D640C3">
        <w:rPr>
          <w:rFonts w:ascii="Verdana" w:hAnsi="Verdana" w:cs="Arial"/>
          <w:szCs w:val="24"/>
          <w:lang w:val="es-ES_tradnl" w:eastAsia="es-ES_tradnl"/>
        </w:rPr>
        <w:t xml:space="preserve">: “Los contratos no podrán adicionarse en más del cincuenta por ciento </w:t>
      </w:r>
      <w:r w:rsidRPr="00D640C3">
        <w:rPr>
          <w:rFonts w:ascii="Verdana" w:hAnsi="Verdana" w:cs="Arial"/>
          <w:szCs w:val="24"/>
          <w:lang w:val="es-ES_tradnl" w:eastAsia="es-ES_tradnl"/>
        </w:rPr>
        <w:lastRenderedPageBreak/>
        <w:t>(50%) de su valor inicial, expresado éste en salarios mínimos legales mensuales”. De manera que, aunque es posible celebrar todos los tipos de acuerdos indicados, siempre se debe observar esta última disposición</w:t>
      </w:r>
      <w:r w:rsidRPr="00D640C3">
        <w:rPr>
          <w:rFonts w:ascii="Verdana" w:hAnsi="Verdana" w:cs="Arial"/>
          <w:szCs w:val="24"/>
          <w:vertAlign w:val="superscript"/>
          <w:lang w:val="es-ES_tradnl" w:eastAsia="es-ES_tradnl"/>
        </w:rPr>
        <w:footnoteReference w:id="7"/>
      </w:r>
      <w:r w:rsidRPr="00D640C3">
        <w:rPr>
          <w:rFonts w:ascii="Verdana" w:hAnsi="Verdana" w:cs="Arial"/>
          <w:szCs w:val="24"/>
          <w:lang w:val="es-ES_tradnl" w:eastAsia="es-ES_tradnl"/>
        </w:rPr>
        <w:t>.</w:t>
      </w:r>
    </w:p>
    <w:p w14:paraId="0C54F78C" w14:textId="77777777" w:rsidR="009434BE" w:rsidRPr="00D640C3" w:rsidRDefault="009434BE" w:rsidP="00351EEC">
      <w:pPr>
        <w:spacing w:before="120" w:after="0" w:line="276" w:lineRule="auto"/>
        <w:ind w:firstLine="709"/>
        <w:jc w:val="both"/>
        <w:rPr>
          <w:rFonts w:ascii="Verdana" w:hAnsi="Verdana" w:cs="Arial"/>
          <w:szCs w:val="24"/>
          <w:lang w:val="es-MX" w:eastAsia="es-ES_tradnl"/>
        </w:rPr>
      </w:pPr>
      <w:r w:rsidRPr="00D640C3">
        <w:rPr>
          <w:rFonts w:ascii="Verdana" w:hAnsi="Verdana" w:cs="Arial"/>
          <w:szCs w:val="24"/>
          <w:lang w:val="es-ES_tradnl" w:eastAsia="es-ES_tradnl"/>
        </w:rPr>
        <w:t xml:space="preserve">La Agencia Nacional de Contratación Pública – Colombia Compra Eficiente, en conceptos como el </w:t>
      </w:r>
      <w:r w:rsidRPr="00D640C3">
        <w:rPr>
          <w:rFonts w:ascii="Verdana" w:hAnsi="Verdana" w:cs="Arial"/>
          <w:szCs w:val="24"/>
          <w:lang w:val="es-MX" w:eastAsia="es-ES_tradnl"/>
        </w:rPr>
        <w:t xml:space="preserve">C-062 del 25 de marzo de 2020, C-100 del 27 de marzo de 2020, </w:t>
      </w:r>
      <w:r w:rsidRPr="00D640C3">
        <w:rPr>
          <w:rFonts w:ascii="Verdana" w:hAnsi="Verdana" w:cs="Arial"/>
          <w:szCs w:val="24"/>
          <w:lang w:eastAsia="es-ES_tradnl"/>
        </w:rPr>
        <w:t>C-318 del 28 de mayo de 2020, C–452 del 28 de julio de 2020,</w:t>
      </w:r>
      <w:r w:rsidRPr="00D640C3">
        <w:rPr>
          <w:rFonts w:ascii="Verdana" w:hAnsi="Verdana" w:cs="Arial"/>
          <w:bCs/>
          <w:szCs w:val="24"/>
          <w:lang w:eastAsia="es-ES_tradnl"/>
        </w:rPr>
        <w:t xml:space="preserve"> C-560 del 24 de agosto de 2020, C-628 del 23 de septiembre del 2020,</w:t>
      </w:r>
      <w:r w:rsidRPr="00D640C3">
        <w:rPr>
          <w:rFonts w:ascii="Verdana" w:hAnsi="Verdana" w:cs="Arial"/>
          <w:szCs w:val="24"/>
          <w:lang w:eastAsia="es-ES_tradnl"/>
        </w:rPr>
        <w:t xml:space="preserve"> C-750 del 21 de diciembre de 2020,</w:t>
      </w:r>
      <w:r w:rsidRPr="00D640C3">
        <w:rPr>
          <w:rFonts w:ascii="Verdana" w:hAnsi="Verdana" w:cs="Arial"/>
          <w:bCs/>
          <w:szCs w:val="24"/>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 y C-784 del 21 de noviembre de 2022,</w:t>
      </w:r>
      <w:r w:rsidRPr="00D640C3">
        <w:rPr>
          <w:rFonts w:ascii="Verdana" w:hAnsi="Verdana" w:cs="Arial"/>
          <w:szCs w:val="24"/>
          <w:lang w:val="es-MX" w:eastAsia="es-ES_tradnl"/>
        </w:rPr>
        <w:t xml:space="preserve"> estudió asuntos relacionados con la adición de los contratos estatales. En la doctrina expuesta en dichos conceptos esta Agencia ha sostenido respecto del artículo 40 de la Ley 50 de 1993 lo siguiente: </w:t>
      </w:r>
    </w:p>
    <w:p w14:paraId="32A970AE" w14:textId="77777777" w:rsidR="009434BE" w:rsidRPr="00D640C3" w:rsidRDefault="009434BE" w:rsidP="00351EEC">
      <w:pPr>
        <w:spacing w:after="0" w:line="276" w:lineRule="auto"/>
        <w:ind w:firstLine="709"/>
        <w:jc w:val="both"/>
        <w:rPr>
          <w:rFonts w:ascii="Verdana" w:hAnsi="Verdana" w:cs="Arial"/>
          <w:szCs w:val="24"/>
          <w:lang w:val="es-MX" w:eastAsia="es-ES_tradnl"/>
        </w:rPr>
      </w:pPr>
    </w:p>
    <w:p w14:paraId="29548D3E" w14:textId="7E100CD5" w:rsidR="009434BE" w:rsidRPr="00D640C3" w:rsidRDefault="00A206E8" w:rsidP="009434BE">
      <w:pPr>
        <w:spacing w:after="0" w:line="240" w:lineRule="auto"/>
        <w:ind w:left="709" w:right="709"/>
        <w:jc w:val="both"/>
        <w:rPr>
          <w:rFonts w:ascii="Verdana" w:hAnsi="Verdana" w:cs="Arial"/>
          <w:sz w:val="20"/>
          <w:szCs w:val="20"/>
          <w:lang w:eastAsia="es-ES_tradnl"/>
        </w:rPr>
      </w:pPr>
      <w:r w:rsidRPr="00D640C3">
        <w:rPr>
          <w:rFonts w:ascii="Verdana" w:hAnsi="Verdana" w:cs="Arial"/>
          <w:sz w:val="20"/>
          <w:szCs w:val="20"/>
          <w:lang w:val="es-ES_tradnl" w:eastAsia="es-ES_tradnl"/>
        </w:rPr>
        <w:t>“</w:t>
      </w:r>
      <w:r w:rsidR="009434BE" w:rsidRPr="00D640C3">
        <w:rPr>
          <w:rFonts w:ascii="Verdana" w:hAnsi="Verdana" w:cs="Arial"/>
          <w:sz w:val="20"/>
          <w:szCs w:val="20"/>
          <w:lang w:val="es-ES_tradnl" w:eastAsia="es-ES_tradnl"/>
        </w:rPr>
        <w:t>Dicha norma además de consagrar una prohibición trae implícita una autorización, consistente en la posibilidad de adicionar los contratos estatales, siempre que no se supere el tope establecido.</w:t>
      </w:r>
      <w:r w:rsidR="009434BE" w:rsidRPr="00D640C3">
        <w:rPr>
          <w:rFonts w:ascii="Verdana" w:hAnsi="Verdana" w:cs="Arial"/>
          <w:sz w:val="20"/>
          <w:szCs w:val="20"/>
          <w:lang w:eastAsia="es-ES_tradnl"/>
        </w:rPr>
        <w:t xml:space="preserve">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r w:rsidRPr="00D640C3">
        <w:rPr>
          <w:rFonts w:ascii="Verdana" w:hAnsi="Verdana" w:cs="Arial"/>
          <w:sz w:val="20"/>
          <w:szCs w:val="20"/>
          <w:lang w:eastAsia="es-ES_tradnl"/>
        </w:rPr>
        <w:t>”</w:t>
      </w:r>
      <w:r w:rsidR="009434BE" w:rsidRPr="00D640C3">
        <w:rPr>
          <w:rFonts w:ascii="Verdana" w:hAnsi="Verdana" w:cs="Arial"/>
          <w:sz w:val="20"/>
          <w:szCs w:val="20"/>
          <w:lang w:eastAsia="es-ES_tradnl"/>
        </w:rPr>
        <w:t>.</w:t>
      </w:r>
    </w:p>
    <w:p w14:paraId="2BBB48AF" w14:textId="77777777" w:rsidR="009434BE" w:rsidRPr="00351EEC" w:rsidRDefault="009434BE" w:rsidP="00351EEC">
      <w:pPr>
        <w:spacing w:after="0" w:line="276" w:lineRule="auto"/>
        <w:ind w:left="709" w:right="709"/>
        <w:jc w:val="both"/>
        <w:rPr>
          <w:rFonts w:ascii="Verdana" w:hAnsi="Verdana" w:cs="Arial"/>
          <w:lang w:val="es-ES_tradnl" w:eastAsia="es-ES_tradnl"/>
        </w:rPr>
      </w:pPr>
      <w:r w:rsidRPr="00D640C3">
        <w:rPr>
          <w:rFonts w:ascii="Verdana" w:hAnsi="Verdana" w:cs="Arial"/>
          <w:sz w:val="20"/>
          <w:szCs w:val="20"/>
          <w:lang w:eastAsia="es-ES_tradnl"/>
        </w:rPr>
        <w:t xml:space="preserve"> </w:t>
      </w:r>
    </w:p>
    <w:p w14:paraId="4AE02E27" w14:textId="77777777" w:rsidR="009434BE" w:rsidRPr="00D640C3" w:rsidRDefault="009434BE" w:rsidP="008D658D">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ES_tradnl" w:eastAsia="es-ES_tradnl"/>
        </w:rPr>
        <w:t xml:space="preserve"> No obstante, </w:t>
      </w:r>
      <w:r w:rsidRPr="00D640C3">
        <w:rPr>
          <w:rFonts w:ascii="Verdana" w:hAnsi="Verdana" w:cs="Arial"/>
          <w:szCs w:val="24"/>
          <w:lang w:val="es-MX" w:eastAsia="es-ES_tradnl"/>
        </w:rPr>
        <w:t xml:space="preserve">la postura expuesta previamente por la Subdirección de Gestión Contractual, en torno al tope de la adición de los contratos, no ha sido pacifica, por el contrario, tanto la doctrina como la jurisprudencia del Consejo de Estado no han sido uniformes en la caracterización de las figuras. Por lo anterior, resulta relevante, a efectos de atender las consultas planteadas exponer algunas de las otras posturas, con el fin de exponer las razones por las cuales esta Agencia considera necesario hacer un cambio en su línea doctrinal sobre el tema analizado en los contratos cuya estructuración y pago se realiza por precios unitarios. </w:t>
      </w:r>
    </w:p>
    <w:p w14:paraId="15575A13" w14:textId="77777777" w:rsidR="009434BE" w:rsidRPr="00D640C3" w:rsidRDefault="009434BE" w:rsidP="008D658D">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lastRenderedPageBreak/>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53273E74" w14:textId="77777777" w:rsidR="009434BE" w:rsidRPr="00D640C3" w:rsidRDefault="009434BE" w:rsidP="008D658D">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w:t>
      </w:r>
    </w:p>
    <w:p w14:paraId="2393C0C8" w14:textId="77777777" w:rsidR="009434BE" w:rsidRPr="00D640C3" w:rsidRDefault="009434BE" w:rsidP="001D5386">
      <w:pPr>
        <w:spacing w:before="120"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La postura anterior se sintetiza en el siguiente concepto de la Sala de Consulta y Servicio Civil del Consejo de Estado:</w:t>
      </w:r>
    </w:p>
    <w:p w14:paraId="76578DEC" w14:textId="77777777" w:rsidR="009434BE" w:rsidRPr="00D640C3" w:rsidRDefault="009434BE" w:rsidP="001D5386">
      <w:pPr>
        <w:spacing w:after="0" w:line="276" w:lineRule="auto"/>
        <w:ind w:firstLine="709"/>
        <w:jc w:val="both"/>
        <w:rPr>
          <w:rFonts w:ascii="Verdana" w:hAnsi="Verdana" w:cs="Arial"/>
          <w:szCs w:val="24"/>
          <w:lang w:val="es-MX" w:eastAsia="es-ES_tradnl"/>
        </w:rPr>
      </w:pPr>
    </w:p>
    <w:p w14:paraId="17EC8BB3" w14:textId="694C4526" w:rsidR="009434BE" w:rsidRPr="00D640C3" w:rsidRDefault="00693B70"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68B81A55"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79D71394"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Por lo mismo, no se trata de que exista un «cambio» o «adición» en el contrato, sino de la aplicación de las reglas contractuales previamente determinadas en el contrato original. Es una operación matemática y no más.</w:t>
      </w:r>
    </w:p>
    <w:p w14:paraId="4B1719C3"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50443790" w14:textId="03A4233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xml:space="preserve">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w:t>
      </w:r>
      <w:r w:rsidRPr="00D640C3">
        <w:rPr>
          <w:rFonts w:ascii="Verdana" w:hAnsi="Verdana" w:cs="Arial"/>
          <w:sz w:val="20"/>
          <w:szCs w:val="20"/>
          <w:lang w:val="es-MX" w:eastAsia="es-ES_tradnl"/>
        </w:rPr>
        <w:lastRenderedPageBreak/>
        <w:t>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00693B70" w:rsidRPr="00D640C3">
        <w:rPr>
          <w:rFonts w:ascii="Verdana" w:hAnsi="Verdana" w:cs="Arial"/>
          <w:sz w:val="20"/>
          <w:szCs w:val="20"/>
          <w:lang w:val="es-MX" w:eastAsia="es-ES_tradnl"/>
        </w:rPr>
        <w:t>”</w:t>
      </w:r>
      <w:r w:rsidRPr="00D640C3">
        <w:rPr>
          <w:rFonts w:ascii="Verdana" w:hAnsi="Verdana" w:cs="Arial"/>
          <w:sz w:val="20"/>
          <w:szCs w:val="20"/>
          <w:vertAlign w:val="superscript"/>
          <w:lang w:val="es-MX" w:eastAsia="es-ES_tradnl"/>
        </w:rPr>
        <w:footnoteReference w:id="8"/>
      </w:r>
      <w:r w:rsidRPr="00D640C3">
        <w:rPr>
          <w:rFonts w:ascii="Verdana" w:hAnsi="Verdana" w:cs="Arial"/>
          <w:sz w:val="20"/>
          <w:szCs w:val="20"/>
          <w:lang w:val="es-MX" w:eastAsia="es-ES_tradnl"/>
        </w:rPr>
        <w:t>.</w:t>
      </w:r>
    </w:p>
    <w:p w14:paraId="64147477" w14:textId="77777777" w:rsidR="009434BE" w:rsidRPr="00D640C3" w:rsidRDefault="009434BE" w:rsidP="001D5386">
      <w:pPr>
        <w:spacing w:after="0" w:line="276" w:lineRule="auto"/>
        <w:ind w:firstLine="709"/>
        <w:jc w:val="both"/>
        <w:rPr>
          <w:rFonts w:ascii="Verdana" w:hAnsi="Verdana" w:cs="Arial"/>
          <w:szCs w:val="24"/>
          <w:lang w:val="es-MX" w:eastAsia="es-ES_tradnl"/>
        </w:rPr>
      </w:pPr>
    </w:p>
    <w:p w14:paraId="7FC4DB4F" w14:textId="650B444B" w:rsidR="009434BE" w:rsidRPr="00D640C3" w:rsidRDefault="009434BE" w:rsidP="001D5386">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La postura anterior también es defendida por cierto sector de la doctrina</w:t>
      </w:r>
      <w:r w:rsidRPr="00D640C3">
        <w:rPr>
          <w:rFonts w:ascii="Verdana" w:hAnsi="Verdana" w:cs="Arial"/>
          <w:szCs w:val="24"/>
          <w:vertAlign w:val="superscript"/>
          <w:lang w:val="es-MX" w:eastAsia="es-ES_tradnl"/>
        </w:rPr>
        <w:footnoteReference w:id="9"/>
      </w:r>
      <w:r w:rsidRPr="00D640C3">
        <w:rPr>
          <w:rFonts w:ascii="Verdana" w:hAnsi="Verdana" w:cs="Arial"/>
          <w:szCs w:val="24"/>
          <w:lang w:val="es-MX" w:eastAsia="es-ES_tradnl"/>
        </w:rPr>
        <w:t xml:space="preserve">. Bajo ella se amplía el límite establecido por el legislador en el artículo 40, ya que este tipo de modificaciones, para ejecutar más de un mismo ítem o actividad pactada en el contrato ―estas posturas las considerarían “precisiones” o “determinaciones del valor </w:t>
      </w:r>
      <w:r w:rsidR="001D5386" w:rsidRPr="00D640C3">
        <w:rPr>
          <w:rFonts w:ascii="Verdana" w:hAnsi="Verdana" w:cs="Arial"/>
          <w:szCs w:val="24"/>
          <w:lang w:val="es-MX" w:eastAsia="es-ES_tradnl"/>
        </w:rPr>
        <w:t>final” ―</w:t>
      </w:r>
      <w:r w:rsidRPr="00D640C3">
        <w:rPr>
          <w:rFonts w:ascii="Verdana" w:hAnsi="Verdana" w:cs="Arial"/>
          <w:szCs w:val="24"/>
          <w:lang w:val="es-MX" w:eastAsia="es-ES_tradnl"/>
        </w:rPr>
        <w:t>, no se tendrían en cuenta para señalar en qué porcentaje se ha adicionado un contrato, ya que ellas no son adiciones:</w:t>
      </w:r>
    </w:p>
    <w:p w14:paraId="3E1E5CFC" w14:textId="77777777" w:rsidR="009434BE" w:rsidRPr="00D640C3" w:rsidRDefault="009434BE" w:rsidP="001D5386">
      <w:pPr>
        <w:spacing w:after="0" w:line="276" w:lineRule="auto"/>
        <w:ind w:firstLine="709"/>
        <w:jc w:val="both"/>
        <w:rPr>
          <w:rFonts w:ascii="Verdana" w:hAnsi="Verdana" w:cs="Arial"/>
          <w:szCs w:val="24"/>
          <w:lang w:val="es-MX" w:eastAsia="es-ES_tradnl"/>
        </w:rPr>
      </w:pPr>
    </w:p>
    <w:p w14:paraId="2DE20FFB" w14:textId="7E31A10C" w:rsidR="009434BE" w:rsidRPr="00D640C3" w:rsidRDefault="00693B70"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009434BE" w:rsidRPr="00D640C3">
        <w:rPr>
          <w:rFonts w:ascii="Verdana" w:hAnsi="Verdana" w:cs="Arial"/>
          <w:sz w:val="20"/>
          <w:szCs w:val="20"/>
          <w:lang w:val="es-MX" w:eastAsia="es-ES_tradnl"/>
        </w:rPr>
        <w:t>unitarios,</w:t>
      </w:r>
      <w:proofErr w:type="gramEnd"/>
      <w:r w:rsidR="009434BE" w:rsidRPr="00D640C3">
        <w:rPr>
          <w:rFonts w:ascii="Verdana" w:hAnsi="Verdana" w:cs="Arial"/>
          <w:sz w:val="20"/>
          <w:szCs w:val="20"/>
          <w:lang w:val="es-MX" w:eastAsia="es-ES_tradnl"/>
        </w:rPr>
        <w:t xml:space="preserve"> debe ampararse bajo el ropaje de un contrato adicional y, en consecuencia aplicando el límite del 50%.</w:t>
      </w:r>
    </w:p>
    <w:p w14:paraId="548BE141"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154D68FC"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Insistimos que no podemos compartir este planteamiento por lo siguiente:</w:t>
      </w:r>
    </w:p>
    <w:p w14:paraId="55C15460"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74CED5FE"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3DF4596D"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621770A7"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3849B081"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7E0505AC"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21B79C42"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1BF264B9" w14:textId="3C3A6780"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lastRenderedPageBreak/>
        <w:t>- La inyección de los nuevos recursos no se hace al ampro de un contrato adicional sino como parte de un trámite interno oficial, con información al contratista para que pueda seguir avanzando en la obra</w:t>
      </w:r>
      <w:r w:rsidR="00693B70" w:rsidRPr="00D640C3">
        <w:rPr>
          <w:rFonts w:ascii="Verdana" w:hAnsi="Verdana" w:cs="Arial"/>
          <w:sz w:val="20"/>
          <w:szCs w:val="20"/>
          <w:lang w:val="es-MX" w:eastAsia="es-ES_tradnl"/>
        </w:rPr>
        <w:t>”</w:t>
      </w:r>
      <w:r w:rsidRPr="00D640C3">
        <w:rPr>
          <w:rFonts w:ascii="Verdana" w:hAnsi="Verdana" w:cs="Arial"/>
          <w:sz w:val="20"/>
          <w:szCs w:val="20"/>
          <w:vertAlign w:val="superscript"/>
          <w:lang w:val="es-MX" w:eastAsia="es-ES_tradnl"/>
        </w:rPr>
        <w:footnoteReference w:id="10"/>
      </w:r>
      <w:r w:rsidRPr="00D640C3">
        <w:rPr>
          <w:rFonts w:ascii="Verdana" w:hAnsi="Verdana" w:cs="Arial"/>
          <w:sz w:val="20"/>
          <w:szCs w:val="20"/>
          <w:vertAlign w:val="superscript"/>
          <w:lang w:val="es-MX" w:eastAsia="es-ES_tradnl"/>
        </w:rPr>
        <w:t>.</w:t>
      </w:r>
    </w:p>
    <w:p w14:paraId="3D0ED164" w14:textId="77777777" w:rsidR="009434BE" w:rsidRPr="001D5386" w:rsidRDefault="009434BE" w:rsidP="001D5386">
      <w:pPr>
        <w:spacing w:after="0" w:line="276" w:lineRule="auto"/>
        <w:ind w:left="709" w:right="709"/>
        <w:jc w:val="both"/>
        <w:rPr>
          <w:rFonts w:ascii="Verdana" w:hAnsi="Verdana" w:cs="Arial"/>
          <w:lang w:val="es-MX" w:eastAsia="es-ES_tradnl"/>
        </w:rPr>
      </w:pPr>
    </w:p>
    <w:p w14:paraId="7C83CE67" w14:textId="77777777" w:rsidR="009434BE" w:rsidRPr="00D640C3" w:rsidRDefault="009434BE" w:rsidP="001D5386">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Esta postura también es sostenida por el Consejo de Estado en otras providencias, donde reitera el criterio desarrollado en el concepto de la Sala de Consulta y Servicio de Civil del Consejo de Estado citado previamente</w:t>
      </w:r>
      <w:r w:rsidRPr="00D640C3">
        <w:rPr>
          <w:rFonts w:ascii="Verdana" w:hAnsi="Verdana" w:cs="Arial"/>
          <w:szCs w:val="24"/>
          <w:vertAlign w:val="superscript"/>
          <w:lang w:val="es-MX" w:eastAsia="es-ES_tradnl"/>
        </w:rPr>
        <w:footnoteReference w:id="11"/>
      </w:r>
      <w:r w:rsidRPr="00D640C3">
        <w:rPr>
          <w:rFonts w:ascii="Verdana" w:hAnsi="Verdana" w:cs="Arial"/>
          <w:szCs w:val="24"/>
          <w:lang w:val="es-MX" w:eastAsia="es-ES_tradnl"/>
        </w:rPr>
        <w:t xml:space="preserve">. </w:t>
      </w:r>
    </w:p>
    <w:p w14:paraId="679246E4" w14:textId="77777777" w:rsidR="009434BE" w:rsidRPr="00D640C3" w:rsidRDefault="009434BE" w:rsidP="001D5386">
      <w:pPr>
        <w:spacing w:before="120"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La otra postura, defendida por otra parte de la doctrina, y que es la que sostenía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71B6943B" w14:textId="77777777" w:rsidR="009434BE" w:rsidRPr="00D640C3" w:rsidRDefault="009434BE" w:rsidP="001D5386">
      <w:pPr>
        <w:spacing w:after="0" w:line="276" w:lineRule="auto"/>
        <w:ind w:firstLine="709"/>
        <w:jc w:val="both"/>
        <w:rPr>
          <w:rFonts w:ascii="Verdana" w:hAnsi="Verdana" w:cs="Arial"/>
          <w:szCs w:val="24"/>
          <w:lang w:val="es-MX" w:eastAsia="es-ES_tradnl"/>
        </w:rPr>
      </w:pPr>
    </w:p>
    <w:p w14:paraId="0461A1DC" w14:textId="37A697B3" w:rsidR="009434BE" w:rsidRPr="00D640C3" w:rsidRDefault="00A2305F"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w:t>
      </w:r>
      <w:r w:rsidR="009434BE" w:rsidRPr="00D640C3">
        <w:rPr>
          <w:rFonts w:ascii="Verdana" w:hAnsi="Verdana" w:cs="Arial"/>
          <w:b/>
          <w:bCs/>
          <w:sz w:val="20"/>
          <w:szCs w:val="20"/>
          <w:lang w:val="es-MX" w:eastAsia="es-ES_tradnl"/>
        </w:rPr>
        <w:t>sin duda alguna una ampliación de las cantidades de obra denominada obra adicional conduce a una adición del contrato, luego debe tener como límite el 50% analizado</w:t>
      </w:r>
      <w:r w:rsidR="009434BE" w:rsidRPr="00D640C3">
        <w:rPr>
          <w:rFonts w:ascii="Verdana" w:hAnsi="Verdana" w:cs="Arial"/>
          <w:sz w:val="20"/>
          <w:szCs w:val="20"/>
          <w:lang w:val="es-MX" w:eastAsia="es-ES_tradnl"/>
        </w:rPr>
        <w:t>.</w:t>
      </w:r>
    </w:p>
    <w:p w14:paraId="308B234E"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p>
    <w:p w14:paraId="64D62B85"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07507266" w14:textId="1D6B5FDA"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sidR="00A2305F" w:rsidRPr="00D640C3">
        <w:rPr>
          <w:rFonts w:ascii="Verdana" w:hAnsi="Verdana" w:cs="Arial"/>
          <w:sz w:val="20"/>
          <w:szCs w:val="20"/>
          <w:lang w:val="es-MX" w:eastAsia="es-ES_tradnl"/>
        </w:rPr>
        <w:t>”</w:t>
      </w:r>
      <w:r w:rsidRPr="00D640C3">
        <w:rPr>
          <w:rFonts w:ascii="Verdana" w:hAnsi="Verdana" w:cs="Arial"/>
          <w:sz w:val="20"/>
          <w:szCs w:val="20"/>
          <w:vertAlign w:val="superscript"/>
          <w:lang w:val="es-MX" w:eastAsia="es-ES_tradnl"/>
        </w:rPr>
        <w:footnoteReference w:id="12"/>
      </w:r>
      <w:r w:rsidRPr="00D640C3">
        <w:rPr>
          <w:rFonts w:ascii="Verdana" w:hAnsi="Verdana" w:cs="Arial"/>
          <w:sz w:val="20"/>
          <w:szCs w:val="20"/>
          <w:lang w:val="es-MX" w:eastAsia="es-ES_tradnl"/>
        </w:rPr>
        <w:t>. (Aparte en corchetes</w:t>
      </w:r>
      <w:r w:rsidR="00A2305F" w:rsidRPr="00D640C3">
        <w:rPr>
          <w:rFonts w:ascii="Verdana" w:hAnsi="Verdana" w:cs="Arial"/>
          <w:sz w:val="20"/>
          <w:szCs w:val="20"/>
          <w:lang w:val="es-MX" w:eastAsia="es-ES_tradnl"/>
        </w:rPr>
        <w:t xml:space="preserve"> y negrilla</w:t>
      </w:r>
      <w:r w:rsidRPr="00D640C3">
        <w:rPr>
          <w:rFonts w:ascii="Verdana" w:hAnsi="Verdana" w:cs="Arial"/>
          <w:sz w:val="20"/>
          <w:szCs w:val="20"/>
          <w:lang w:val="es-MX" w:eastAsia="es-ES_tradnl"/>
        </w:rPr>
        <w:t xml:space="preserve"> fuera del original). </w:t>
      </w:r>
    </w:p>
    <w:p w14:paraId="344167CE" w14:textId="77777777" w:rsidR="009434BE" w:rsidRPr="00D640C3" w:rsidRDefault="009434BE" w:rsidP="001D5386">
      <w:pPr>
        <w:spacing w:after="0" w:line="276" w:lineRule="auto"/>
        <w:ind w:left="709" w:right="709"/>
        <w:jc w:val="both"/>
        <w:rPr>
          <w:rFonts w:ascii="Verdana" w:hAnsi="Verdana" w:cs="Arial"/>
          <w:sz w:val="21"/>
          <w:szCs w:val="21"/>
          <w:lang w:val="es-MX" w:eastAsia="es-ES_tradnl"/>
        </w:rPr>
      </w:pPr>
    </w:p>
    <w:p w14:paraId="4C381EE1" w14:textId="77777777" w:rsidR="009434BE" w:rsidRPr="00D640C3" w:rsidRDefault="009434BE" w:rsidP="001D5386">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En concordancia con lo expuesto, la doctrina ha definido dos modalidades de limitación a las adiciones contractuales desde una perspectiva cualitativa y cuantitativa que buscan preservar la esencia de este: </w:t>
      </w:r>
    </w:p>
    <w:p w14:paraId="20057DCC" w14:textId="77777777" w:rsidR="009434BE" w:rsidRPr="00D640C3" w:rsidRDefault="009434BE" w:rsidP="001D5386">
      <w:pPr>
        <w:spacing w:after="0" w:line="276" w:lineRule="auto"/>
        <w:ind w:left="709" w:right="709"/>
        <w:jc w:val="both"/>
        <w:rPr>
          <w:rFonts w:ascii="Verdana" w:hAnsi="Verdana" w:cs="Arial"/>
          <w:szCs w:val="24"/>
          <w:lang w:val="es-MX" w:eastAsia="es-ES_tradnl"/>
        </w:rPr>
      </w:pPr>
    </w:p>
    <w:p w14:paraId="0DB7CFB5" w14:textId="32C8370E" w:rsidR="009434BE" w:rsidRPr="00D640C3" w:rsidRDefault="006E3F57"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 xml:space="preserve">Desde el punto de vista </w:t>
      </w:r>
      <w:r w:rsidR="009434BE" w:rsidRPr="00D640C3">
        <w:rPr>
          <w:rFonts w:ascii="Verdana" w:hAnsi="Verdana" w:cs="Arial"/>
          <w:i/>
          <w:iCs/>
          <w:sz w:val="20"/>
          <w:szCs w:val="20"/>
          <w:lang w:val="es-MX" w:eastAsia="es-ES_tradnl"/>
        </w:rPr>
        <w:t>cuantitativo,</w:t>
      </w:r>
      <w:r w:rsidR="009434BE" w:rsidRPr="00D640C3">
        <w:rPr>
          <w:rFonts w:ascii="Verdana" w:hAnsi="Verdana" w:cs="Arial"/>
          <w:sz w:val="20"/>
          <w:szCs w:val="20"/>
          <w:lang w:val="es-MX" w:eastAsia="es-ES_tradnl"/>
        </w:rPr>
        <w:t xml:space="preserve"> </w:t>
      </w:r>
      <w:r w:rsidR="009434BE" w:rsidRPr="00D640C3">
        <w:rPr>
          <w:rFonts w:ascii="Verdana" w:hAnsi="Verdana" w:cs="Arial"/>
          <w:b/>
          <w:bCs/>
          <w:sz w:val="20"/>
          <w:szCs w:val="20"/>
          <w:lang w:val="es-MX" w:eastAsia="es-ES_tradnl"/>
        </w:rPr>
        <w:t>toda modificación que aumente el presupuesto destinado al contrato cuenta, independientemente de las modalidades contractuales y de la forma de pago o de la remuneración del contratista</w:t>
      </w:r>
      <w:r w:rsidR="009434BE" w:rsidRPr="00D640C3">
        <w:rPr>
          <w:rFonts w:ascii="Verdana" w:hAnsi="Verdana" w:cs="Arial"/>
          <w:sz w:val="20"/>
          <w:szCs w:val="20"/>
          <w:lang w:val="es-MX" w:eastAsia="es-ES_tradnl"/>
        </w:rPr>
        <w:t>. El límite significativo del 50% de su valor inicialmente calculado es determinante del umbral a partir del cual el contrato original ha de considerarse cambiado en su esencia. […]</w:t>
      </w:r>
    </w:p>
    <w:p w14:paraId="5FA80900"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4C6E3252"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Y, desde el punto de vista</w:t>
      </w:r>
      <w:r w:rsidRPr="00D640C3">
        <w:rPr>
          <w:rFonts w:ascii="Verdana" w:hAnsi="Verdana" w:cs="Arial"/>
          <w:i/>
          <w:iCs/>
          <w:sz w:val="20"/>
          <w:szCs w:val="20"/>
          <w:lang w:val="es-MX" w:eastAsia="es-ES_tradnl"/>
        </w:rPr>
        <w:t xml:space="preserve"> cualitativo</w:t>
      </w:r>
      <w:r w:rsidRPr="00D640C3">
        <w:rPr>
          <w:rFonts w:ascii="Verdana" w:hAnsi="Verdana" w:cs="Arial"/>
          <w:sz w:val="20"/>
          <w:szCs w:val="20"/>
          <w:lang w:val="es-MX" w:eastAsia="es-ES_tradnl"/>
        </w:rPr>
        <w:t>, una adición que desnaturaliza el objeto inicial del contrato constituye en realidad una modificación esencial del contrato, lo que daría al traste con todo el proceso previo de selección de contratista para un objeto determinado y aniquilaría toda la estructuración técnica que procedió al proceso de selección. […]</w:t>
      </w:r>
    </w:p>
    <w:p w14:paraId="3A8D4E27" w14:textId="77777777" w:rsidR="009434BE" w:rsidRPr="00D640C3" w:rsidRDefault="009434BE" w:rsidP="001D5386">
      <w:pPr>
        <w:spacing w:after="0" w:line="240" w:lineRule="auto"/>
        <w:ind w:left="709" w:right="709"/>
        <w:jc w:val="both"/>
        <w:rPr>
          <w:rFonts w:ascii="Verdana" w:hAnsi="Verdana" w:cs="Arial"/>
          <w:sz w:val="20"/>
          <w:szCs w:val="20"/>
          <w:lang w:val="es-MX" w:eastAsia="es-ES_tradnl"/>
        </w:rPr>
      </w:pPr>
    </w:p>
    <w:p w14:paraId="59FC0A41" w14:textId="534DF135" w:rsidR="009434BE" w:rsidRPr="00D640C3" w:rsidRDefault="009434BE" w:rsidP="001D538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xml:space="preserve">Puede entonces apreciarse que la limitación </w:t>
      </w:r>
      <w:r w:rsidRPr="00D640C3">
        <w:rPr>
          <w:rFonts w:ascii="Verdana" w:hAnsi="Verdana" w:cs="Arial"/>
          <w:i/>
          <w:iCs/>
          <w:sz w:val="20"/>
          <w:szCs w:val="20"/>
          <w:lang w:val="es-MX" w:eastAsia="es-ES_tradnl"/>
        </w:rPr>
        <w:t>cuantitativa</w:t>
      </w:r>
      <w:r w:rsidRPr="00D640C3">
        <w:rPr>
          <w:rFonts w:ascii="Verdana" w:hAnsi="Verdana" w:cs="Arial"/>
          <w:sz w:val="20"/>
          <w:szCs w:val="20"/>
          <w:lang w:val="es-MX" w:eastAsia="es-ES_tradnl"/>
        </w:rPr>
        <w:t xml:space="preserve"> de las adiciones contractuales es simple de apreciar. Una vez superada la distinción entre contrato estatal y adición del contrato y la consecuente particularidad de los contratos a precios unitarios, </w:t>
      </w:r>
      <w:r w:rsidRPr="00D640C3">
        <w:rPr>
          <w:rFonts w:ascii="Verdana" w:hAnsi="Verdana" w:cs="Arial"/>
          <w:b/>
          <w:bCs/>
          <w:sz w:val="20"/>
          <w:szCs w:val="20"/>
          <w:lang w:val="es-MX" w:eastAsia="es-ES_tradnl"/>
        </w:rPr>
        <w:t xml:space="preserve">las </w:t>
      </w:r>
      <w:r w:rsidRPr="00D640C3">
        <w:rPr>
          <w:rFonts w:ascii="Verdana" w:hAnsi="Verdana" w:cs="Arial"/>
          <w:b/>
          <w:bCs/>
          <w:i/>
          <w:iCs/>
          <w:sz w:val="20"/>
          <w:szCs w:val="20"/>
          <w:lang w:val="es-MX" w:eastAsia="es-ES_tradnl"/>
        </w:rPr>
        <w:t>adiciones</w:t>
      </w:r>
      <w:r w:rsidRPr="00D640C3">
        <w:rPr>
          <w:rFonts w:ascii="Verdana" w:hAnsi="Verdana" w:cs="Arial"/>
          <w:b/>
          <w:bCs/>
          <w:sz w:val="20"/>
          <w:szCs w:val="20"/>
          <w:lang w:val="es-MX" w:eastAsia="es-ES_tradnl"/>
        </w:rPr>
        <w:t xml:space="preserve"> del parágrafo del artículo 40 de la Ley 80/93 comprenden cualquier aumento del valor o costo del contrato</w:t>
      </w:r>
      <w:r w:rsidR="006E3F57" w:rsidRPr="00D640C3">
        <w:rPr>
          <w:rFonts w:ascii="Verdana" w:hAnsi="Verdana" w:cs="Arial"/>
          <w:b/>
          <w:bCs/>
          <w:sz w:val="20"/>
          <w:szCs w:val="20"/>
          <w:lang w:val="es-MX" w:eastAsia="es-ES_tradnl"/>
        </w:rPr>
        <w:t>”</w:t>
      </w:r>
      <w:r w:rsidRPr="00D640C3">
        <w:rPr>
          <w:rStyle w:val="Refdenotaalpie"/>
          <w:rFonts w:ascii="Verdana" w:hAnsi="Verdana" w:cs="Arial"/>
          <w:sz w:val="20"/>
          <w:szCs w:val="20"/>
          <w:lang w:val="es-MX" w:eastAsia="es-ES_tradnl"/>
        </w:rPr>
        <w:footnoteReference w:id="13"/>
      </w:r>
      <w:r w:rsidRPr="00D640C3">
        <w:rPr>
          <w:rFonts w:ascii="Verdana" w:hAnsi="Verdana" w:cs="Arial"/>
          <w:sz w:val="20"/>
          <w:szCs w:val="20"/>
          <w:lang w:val="es-MX" w:eastAsia="es-ES_tradnl"/>
        </w:rPr>
        <w:t>. (Negrilla por fuera de texto)</w:t>
      </w:r>
    </w:p>
    <w:p w14:paraId="35224285" w14:textId="77777777" w:rsidR="009434BE" w:rsidRPr="00D640C3" w:rsidRDefault="009434BE" w:rsidP="00F00507">
      <w:pPr>
        <w:spacing w:after="0" w:line="276" w:lineRule="auto"/>
        <w:ind w:firstLine="709"/>
        <w:jc w:val="both"/>
        <w:rPr>
          <w:rFonts w:ascii="Verdana" w:hAnsi="Verdana" w:cs="Arial"/>
          <w:szCs w:val="24"/>
          <w:lang w:val="es-MX" w:eastAsia="es-ES_tradnl"/>
        </w:rPr>
      </w:pPr>
    </w:p>
    <w:p w14:paraId="7E5EB929" w14:textId="3B48E950" w:rsidR="009434BE" w:rsidRPr="00D640C3" w:rsidRDefault="009434BE" w:rsidP="00F00507">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La postura anterior también </w:t>
      </w:r>
      <w:r w:rsidR="00863E1E" w:rsidRPr="00D640C3">
        <w:rPr>
          <w:rFonts w:ascii="Verdana" w:hAnsi="Verdana" w:cs="Arial"/>
          <w:szCs w:val="24"/>
          <w:lang w:val="es-MX" w:eastAsia="es-ES_tradnl"/>
        </w:rPr>
        <w:t xml:space="preserve">fue </w:t>
      </w:r>
      <w:r w:rsidRPr="00D640C3">
        <w:rPr>
          <w:rFonts w:ascii="Verdana" w:hAnsi="Verdana" w:cs="Arial"/>
          <w:szCs w:val="24"/>
          <w:lang w:val="es-MX" w:eastAsia="es-ES_tradnl"/>
        </w:rPr>
        <w:t>defendida por la Sección Tercera del Consejo de Estado, que, en el año 2010, se pronunció al respecto al resolver sobre la legalidad del artículo 73 del Decreto 2474 de 2008, que autorizaba la adición de algunos contratos por encima del 50%. La Sección Tercera declaró su nulidad de dicha norma en la sentencia del 14 de abril de 2010, exponiendo los siguientes argumentos:</w:t>
      </w:r>
    </w:p>
    <w:p w14:paraId="12F259BA" w14:textId="77777777" w:rsidR="009434BE" w:rsidRPr="00D640C3" w:rsidRDefault="009434BE" w:rsidP="00F00507">
      <w:pPr>
        <w:spacing w:after="0" w:line="276" w:lineRule="auto"/>
        <w:jc w:val="both"/>
        <w:rPr>
          <w:rFonts w:ascii="Verdana" w:hAnsi="Verdana" w:cs="Arial"/>
          <w:szCs w:val="24"/>
          <w:lang w:val="es-MX" w:eastAsia="es-ES_tradnl"/>
        </w:rPr>
      </w:pPr>
    </w:p>
    <w:p w14:paraId="7668E38C" w14:textId="5DA1D09D" w:rsidR="009434BE" w:rsidRPr="00D640C3" w:rsidRDefault="00863E1E" w:rsidP="00F00507">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sidR="009434BE" w:rsidRPr="00D640C3">
        <w:rPr>
          <w:rFonts w:ascii="Verdana" w:hAnsi="Verdana" w:cs="Arial"/>
          <w:sz w:val="20"/>
          <w:szCs w:val="20"/>
          <w:lang w:val="es-MX" w:eastAsia="es-ES_tradnl"/>
        </w:rPr>
        <w:t>obstante</w:t>
      </w:r>
      <w:proofErr w:type="gramEnd"/>
      <w:r w:rsidR="009434BE" w:rsidRPr="00D640C3">
        <w:rPr>
          <w:rFonts w:ascii="Verdana" w:hAnsi="Verdana" w:cs="Arial"/>
          <w:sz w:val="20"/>
          <w:szCs w:val="20"/>
          <w:lang w:val="es-MX" w:eastAsia="es-ES_tradnl"/>
        </w:rPr>
        <w:t xml:space="preserve"> lo anterior, </w:t>
      </w:r>
      <w:r w:rsidR="009434BE" w:rsidRPr="00D640C3">
        <w:rPr>
          <w:rFonts w:ascii="Verdana" w:hAnsi="Verdana" w:cs="Arial"/>
          <w:b/>
          <w:bCs/>
          <w:sz w:val="20"/>
          <w:szCs w:val="20"/>
          <w:lang w:val="es-MX" w:eastAsia="es-ES_tradnl"/>
        </w:rPr>
        <w:t xml:space="preserve">la legislación vigente contempla una limitante: el valor de lo adicionado no puede sobrepasar la mitad de lo inicialmente pactado, asegurándose su </w:t>
      </w:r>
      <w:r w:rsidR="009434BE" w:rsidRPr="00D640C3">
        <w:rPr>
          <w:rFonts w:ascii="Verdana" w:hAnsi="Verdana" w:cs="Arial"/>
          <w:b/>
          <w:bCs/>
          <w:sz w:val="20"/>
          <w:szCs w:val="20"/>
          <w:lang w:val="es-MX" w:eastAsia="es-ES_tradnl"/>
        </w:rPr>
        <w:lastRenderedPageBreak/>
        <w:t>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r w:rsidR="009434BE" w:rsidRPr="00D640C3">
        <w:rPr>
          <w:rFonts w:ascii="Verdana" w:hAnsi="Verdana" w:cs="Arial"/>
          <w:sz w:val="20"/>
          <w:szCs w:val="20"/>
          <w:lang w:val="es-MX" w:eastAsia="es-ES_tradnl"/>
        </w:rPr>
        <w:t>.</w:t>
      </w:r>
    </w:p>
    <w:p w14:paraId="30EE6DCB" w14:textId="77777777" w:rsidR="009434BE" w:rsidRPr="00D640C3" w:rsidRDefault="009434BE" w:rsidP="00F00507">
      <w:pPr>
        <w:spacing w:after="0" w:line="240" w:lineRule="auto"/>
        <w:ind w:left="709" w:right="709"/>
        <w:jc w:val="both"/>
        <w:rPr>
          <w:rFonts w:ascii="Verdana" w:hAnsi="Verdana" w:cs="Arial"/>
          <w:sz w:val="20"/>
          <w:szCs w:val="20"/>
          <w:lang w:val="es-MX" w:eastAsia="es-ES_tradnl"/>
        </w:rPr>
      </w:pPr>
    </w:p>
    <w:p w14:paraId="45F6C901" w14:textId="6924F866" w:rsidR="009434BE" w:rsidRPr="00D640C3" w:rsidRDefault="009434BE" w:rsidP="00F00507">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00863E1E" w:rsidRPr="00D640C3">
        <w:rPr>
          <w:rFonts w:ascii="Verdana" w:hAnsi="Verdana" w:cs="Arial"/>
          <w:sz w:val="20"/>
          <w:szCs w:val="20"/>
          <w:lang w:val="es-MX" w:eastAsia="es-ES_tradnl"/>
        </w:rPr>
        <w:t>”</w:t>
      </w:r>
      <w:r w:rsidRPr="00D640C3">
        <w:rPr>
          <w:rFonts w:ascii="Verdana" w:hAnsi="Verdana" w:cs="Arial"/>
          <w:sz w:val="20"/>
          <w:szCs w:val="20"/>
          <w:vertAlign w:val="superscript"/>
          <w:lang w:val="es-MX" w:eastAsia="es-ES_tradnl"/>
        </w:rPr>
        <w:footnoteReference w:id="14"/>
      </w:r>
      <w:r w:rsidRPr="00D640C3">
        <w:rPr>
          <w:rFonts w:ascii="Verdana" w:hAnsi="Verdana" w:cs="Arial"/>
          <w:sz w:val="20"/>
          <w:szCs w:val="20"/>
          <w:vertAlign w:val="superscript"/>
          <w:lang w:val="es-MX" w:eastAsia="es-ES_tradnl"/>
        </w:rPr>
        <w:t>.</w:t>
      </w:r>
      <w:r w:rsidRPr="00D640C3">
        <w:rPr>
          <w:rFonts w:ascii="Verdana" w:hAnsi="Verdana" w:cs="Arial"/>
          <w:sz w:val="20"/>
          <w:szCs w:val="20"/>
          <w:lang w:val="es-MX" w:eastAsia="es-ES_tradnl"/>
        </w:rPr>
        <w:t>(Negrilla por fuera de texto).</w:t>
      </w:r>
    </w:p>
    <w:p w14:paraId="278A1769" w14:textId="77777777" w:rsidR="009434BE" w:rsidRPr="00D640C3" w:rsidRDefault="009434BE" w:rsidP="00F00507">
      <w:pPr>
        <w:spacing w:after="0" w:line="276" w:lineRule="auto"/>
        <w:ind w:left="709" w:right="709"/>
        <w:jc w:val="both"/>
        <w:rPr>
          <w:rFonts w:ascii="Verdana" w:hAnsi="Verdana" w:cs="Arial"/>
          <w:szCs w:val="24"/>
          <w:lang w:val="es-MX" w:eastAsia="es-ES_tradnl"/>
        </w:rPr>
      </w:pPr>
    </w:p>
    <w:p w14:paraId="77B0EE22" w14:textId="77777777" w:rsidR="009434BE" w:rsidRPr="00D640C3" w:rsidRDefault="009434BE" w:rsidP="00F00507">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Asimismo, esta postura también es sostenida por el Consejo de Estado en otras providencias en las que se indica que en el evento de mayores cantidades de obra se puede proceder acudiendo a la compensación o, en su defecto, a la suscripción de un contrato adicional sujeto a la verificación de la disponibilidad presupuestal: </w:t>
      </w:r>
    </w:p>
    <w:p w14:paraId="59AC8A22" w14:textId="77777777" w:rsidR="009434BE" w:rsidRPr="00D640C3" w:rsidRDefault="009434BE" w:rsidP="00F00507">
      <w:pPr>
        <w:spacing w:after="0" w:line="276" w:lineRule="auto"/>
        <w:ind w:firstLine="709"/>
        <w:jc w:val="both"/>
        <w:rPr>
          <w:rFonts w:ascii="Verdana" w:hAnsi="Verdana" w:cs="Arial"/>
          <w:szCs w:val="24"/>
          <w:lang w:val="es-MX" w:eastAsia="es-ES_tradnl"/>
        </w:rPr>
      </w:pPr>
    </w:p>
    <w:p w14:paraId="4B3C16E3" w14:textId="01BB98A0" w:rsidR="009434BE" w:rsidRPr="00D640C3" w:rsidRDefault="006941C8" w:rsidP="009434BE">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r w:rsidR="009434BE" w:rsidRPr="00D640C3">
        <w:rPr>
          <w:rFonts w:ascii="Verdana" w:hAnsi="Verdana" w:cs="Arial"/>
          <w:sz w:val="20"/>
          <w:szCs w:val="20"/>
          <w:lang w:val="es-MX" w:eastAsia="es-ES_tradnl"/>
        </w:rPr>
        <w:t>En el contrato de obra suscrito bajo la modalidad de pago por precios unitarios, el reconocimiento de las mayores cantidades de obra, cuando ellas resulten necesarias para cumplir con el objeto contractual, bien puede realizarse por vía de compensación con otros ítems cuyas cantidades se hayan ejecutado por debajo de la proporción estimada, lo cual deberá constar en un acta suscrita entre el contratista y el interventor autorizado o, en su defecto, por el representante legal de la entidad; o, cuando ello no sea posible, por sobrepasar el estimativo inicial a través de la suscripción de un contrato adicional (en el valor) sujeto a la previa verificación de la existencia de disponibilidad presupuestal para atender el compromiso y luego reflejadas en las actas de recibo firmadas por las partes, o a más tardar en el acta de liquidación del contrato, respaldadas con las respectiva disponibilidad presupuestal y siempre que hayan sido autorizadas</w:t>
      </w:r>
      <w:r w:rsidRPr="00D640C3">
        <w:rPr>
          <w:rFonts w:ascii="Verdana" w:hAnsi="Verdana" w:cs="Arial"/>
          <w:sz w:val="20"/>
          <w:szCs w:val="20"/>
          <w:lang w:val="es-MX" w:eastAsia="es-ES_tradnl"/>
        </w:rPr>
        <w:t>”</w:t>
      </w:r>
      <w:r w:rsidR="009434BE" w:rsidRPr="00D640C3">
        <w:rPr>
          <w:rStyle w:val="Refdenotaalpie"/>
          <w:rFonts w:ascii="Verdana" w:hAnsi="Verdana" w:cs="Arial"/>
          <w:sz w:val="20"/>
          <w:szCs w:val="20"/>
          <w:lang w:val="es-MX" w:eastAsia="es-ES_tradnl"/>
        </w:rPr>
        <w:footnoteReference w:id="15"/>
      </w:r>
      <w:r w:rsidR="009434BE" w:rsidRPr="00D640C3">
        <w:rPr>
          <w:rFonts w:ascii="Verdana" w:hAnsi="Verdana" w:cs="Arial"/>
          <w:sz w:val="20"/>
          <w:szCs w:val="20"/>
          <w:lang w:val="es-MX" w:eastAsia="es-ES_tradnl"/>
        </w:rPr>
        <w:t>.</w:t>
      </w:r>
    </w:p>
    <w:p w14:paraId="5B46E8D1" w14:textId="77777777" w:rsidR="009434BE" w:rsidRPr="00B15536" w:rsidRDefault="009434BE" w:rsidP="00B15536">
      <w:pPr>
        <w:spacing w:after="0" w:line="276" w:lineRule="auto"/>
        <w:ind w:left="709" w:right="709"/>
        <w:jc w:val="both"/>
        <w:rPr>
          <w:rFonts w:ascii="Verdana" w:hAnsi="Verdana" w:cs="Arial"/>
          <w:lang w:val="es-MX" w:eastAsia="es-ES_tradnl"/>
        </w:rPr>
      </w:pPr>
    </w:p>
    <w:p w14:paraId="4A5E7869" w14:textId="5C0BE9C4" w:rsidR="009434BE" w:rsidRPr="00D640C3" w:rsidRDefault="009434BE" w:rsidP="00B15536">
      <w:pPr>
        <w:spacing w:after="120" w:line="276" w:lineRule="auto"/>
        <w:ind w:firstLine="709"/>
        <w:jc w:val="both"/>
        <w:rPr>
          <w:rFonts w:ascii="Verdana" w:hAnsi="Verdana" w:cs="Arial"/>
          <w:szCs w:val="24"/>
          <w:lang w:eastAsia="es-ES_tradnl"/>
        </w:rPr>
      </w:pPr>
      <w:r w:rsidRPr="00D640C3">
        <w:rPr>
          <w:rFonts w:ascii="Verdana" w:hAnsi="Verdana" w:cs="Arial"/>
          <w:szCs w:val="24"/>
          <w:lang w:eastAsia="es-ES_tradnl"/>
        </w:rPr>
        <w:t xml:space="preserve">En sentencia del 9 de julio de 2021 del Consejo de Estado, se realizó una aclaración de voto que vale la pena destacar, en cuanto reitera esta postura en </w:t>
      </w:r>
      <w:r w:rsidRPr="00D640C3">
        <w:rPr>
          <w:rFonts w:ascii="Verdana" w:hAnsi="Verdana" w:cs="Arial"/>
          <w:szCs w:val="24"/>
          <w:lang w:eastAsia="es-ES_tradnl"/>
        </w:rPr>
        <w:lastRenderedPageBreak/>
        <w:t xml:space="preserve">relación con la limitación de la adición del contrato. En esta oportunidad se indicó que </w:t>
      </w:r>
      <w:r w:rsidRPr="00D640C3">
        <w:rPr>
          <w:rFonts w:ascii="Verdana" w:hAnsi="Verdana" w:cs="Arial"/>
          <w:szCs w:val="24"/>
          <w:lang w:val="es-ES" w:eastAsia="es-ES_tradnl"/>
        </w:rPr>
        <w:t>“</w:t>
      </w:r>
      <w:r w:rsidRPr="00D640C3">
        <w:rPr>
          <w:rFonts w:ascii="Verdana" w:hAnsi="Verdana" w:cs="Arial"/>
          <w:bCs/>
          <w:szCs w:val="24"/>
          <w:lang w:val="es-ES" w:eastAsia="es-ES_tradnl"/>
        </w:rPr>
        <w:t xml:space="preserve">En el párrafo 34 de la sentencia se señaló </w:t>
      </w:r>
      <w:r w:rsidR="009A2770" w:rsidRPr="00D640C3">
        <w:rPr>
          <w:rFonts w:ascii="Verdana" w:hAnsi="Verdana" w:cs="Arial"/>
          <w:bCs/>
          <w:szCs w:val="24"/>
          <w:lang w:val="es-ES" w:eastAsia="es-ES_tradnl"/>
        </w:rPr>
        <w:t>que,</w:t>
      </w:r>
      <w:r w:rsidRPr="00D640C3">
        <w:rPr>
          <w:rFonts w:ascii="Verdana" w:hAnsi="Verdana" w:cs="Arial"/>
          <w:bCs/>
          <w:szCs w:val="24"/>
          <w:lang w:val="es-ES" w:eastAsia="es-ES_tradnl"/>
        </w:rPr>
        <w:t xml:space="preserve"> en contratos a precios unitarios, la cláusula de valor es “meramente indicativa”.  </w:t>
      </w:r>
      <w:r w:rsidRPr="00D640C3">
        <w:rPr>
          <w:rFonts w:ascii="Verdana" w:hAnsi="Verdana" w:cs="Arial"/>
          <w:bCs/>
          <w:i/>
          <w:iCs/>
          <w:szCs w:val="24"/>
          <w:lang w:val="es-ES" w:eastAsia="es-ES_tradnl"/>
        </w:rPr>
        <w:t>Al respecto estimo que el precio no puede fluctuar libremente al arbitrio de las partes, en tanto la ley</w:t>
      </w:r>
      <w:r w:rsidRPr="00D640C3">
        <w:rPr>
          <w:rFonts w:ascii="Verdana" w:hAnsi="Verdana" w:cs="Arial"/>
          <w:bCs/>
          <w:i/>
          <w:iCs/>
          <w:szCs w:val="24"/>
          <w:vertAlign w:val="superscript"/>
          <w:lang w:val="es-ES" w:eastAsia="es-ES_tradnl"/>
        </w:rPr>
        <w:footnoteRef/>
      </w:r>
      <w:r w:rsidRPr="00D640C3">
        <w:rPr>
          <w:rFonts w:ascii="Verdana" w:hAnsi="Verdana" w:cs="Arial"/>
          <w:bCs/>
          <w:i/>
          <w:iCs/>
          <w:szCs w:val="24"/>
          <w:lang w:val="es-ES" w:eastAsia="es-ES_tradnl"/>
        </w:rPr>
        <w:t xml:space="preserve"> impone restricciones a la posibilidad de adicionarlo, sin atención a la modalidad pactada en el contrato</w:t>
      </w:r>
      <w:r w:rsidRPr="00D640C3">
        <w:rPr>
          <w:rFonts w:ascii="Verdana" w:hAnsi="Verdana" w:cs="Arial"/>
          <w:bCs/>
          <w:szCs w:val="24"/>
          <w:lang w:val="es-ES" w:eastAsia="es-ES_tradnl"/>
        </w:rPr>
        <w:t>. A juicio del suscrito, el deber de planeación a cargo de las entidades estatales impone determinar, en forma previa, el alcance del objeto contractual, de modo que, de antemano, se conozca con alto grado de aproximación, el alcance de los trabajos. El máximo margen de desfase admisible está previsto en la ley como límite a la posibilidad de adicionar los contratos, insisto, con independencia de si los precios fueron globales o unitarios</w:t>
      </w:r>
      <w:r w:rsidR="009A2770" w:rsidRPr="00D640C3">
        <w:rPr>
          <w:rFonts w:ascii="Verdana" w:hAnsi="Verdana" w:cs="Arial"/>
          <w:szCs w:val="24"/>
          <w:lang w:val="es-ES" w:eastAsia="es-ES_tradnl"/>
        </w:rPr>
        <w:t>”</w:t>
      </w:r>
      <w:r w:rsidRPr="00D640C3">
        <w:rPr>
          <w:rStyle w:val="Refdenotaalpie"/>
          <w:rFonts w:ascii="Verdana" w:hAnsi="Verdana" w:cs="Arial"/>
          <w:szCs w:val="24"/>
          <w:lang w:val="es-ES" w:eastAsia="es-ES_tradnl"/>
        </w:rPr>
        <w:footnoteReference w:id="16"/>
      </w:r>
      <w:r w:rsidRPr="00D640C3">
        <w:rPr>
          <w:rFonts w:ascii="Verdana" w:hAnsi="Verdana" w:cs="Arial"/>
          <w:bCs/>
          <w:szCs w:val="24"/>
          <w:lang w:val="es-ES" w:eastAsia="es-ES_tradnl"/>
        </w:rPr>
        <w:t xml:space="preserve">. (Énfasis por fuera de texto). </w:t>
      </w:r>
    </w:p>
    <w:p w14:paraId="253E2FDC" w14:textId="77777777" w:rsidR="009434BE" w:rsidRPr="00D640C3" w:rsidRDefault="009434BE" w:rsidP="00B15536">
      <w:pPr>
        <w:spacing w:after="12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En este contexto, esta Agencia adecuada la línea doctrinal, en el sentido de adecuarla a pronunciamientos más recientes del Consejo de Estado y a la doctrina, conforme se procede a exponer.  </w:t>
      </w:r>
    </w:p>
    <w:p w14:paraId="5DBECAFC" w14:textId="5013F8B7" w:rsidR="009434BE" w:rsidRPr="00D640C3" w:rsidRDefault="009434BE" w:rsidP="00B15536">
      <w:pPr>
        <w:spacing w:before="120"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La concepción genérica de la conservación del objeto contractual establecida por la jurisprudencia fue particularmente significativa en los contratos de precios unitarios. Los estatutos contractuales, comenzando por la Ley 36 de 1966 y hasta la Ley 80 de 1993, establecen como límite cuantitativo de los contratos adicionales el cincuenta por ciento (50%) del valor del contrato inicial. De tiempo atrás, el Consejo de Estado analizando los contratos a precios unitarios, consideró que esta limitación no se aplicaba a las simples adiciones de las unidades no previstas originalmente. En este sentido, la </w:t>
      </w:r>
      <w:r w:rsidR="006941C8" w:rsidRPr="00D640C3">
        <w:rPr>
          <w:rFonts w:ascii="Verdana" w:hAnsi="Verdana" w:cs="Arial"/>
          <w:szCs w:val="24"/>
          <w:lang w:val="es-MX" w:eastAsia="es-ES_tradnl"/>
        </w:rPr>
        <w:t xml:space="preserve">Sección Tercera </w:t>
      </w:r>
      <w:r w:rsidRPr="00D640C3">
        <w:rPr>
          <w:rFonts w:ascii="Verdana" w:hAnsi="Verdana" w:cs="Arial"/>
          <w:szCs w:val="24"/>
          <w:lang w:val="es-MX" w:eastAsia="es-ES_tradnl"/>
        </w:rPr>
        <w:t xml:space="preserve">de la Corporación explicó: </w:t>
      </w:r>
    </w:p>
    <w:p w14:paraId="7B7E0AFF" w14:textId="77777777" w:rsidR="009434BE" w:rsidRPr="00D640C3" w:rsidRDefault="009434BE" w:rsidP="00B15536">
      <w:pPr>
        <w:spacing w:after="0" w:line="276" w:lineRule="auto"/>
        <w:ind w:firstLine="709"/>
        <w:jc w:val="both"/>
        <w:rPr>
          <w:rFonts w:ascii="Verdana" w:hAnsi="Verdana" w:cs="Arial"/>
          <w:szCs w:val="24"/>
          <w:lang w:val="es-MX" w:eastAsia="es-ES_tradnl"/>
        </w:rPr>
      </w:pPr>
    </w:p>
    <w:p w14:paraId="2D78D698" w14:textId="77777777" w:rsidR="009434BE" w:rsidRPr="00D640C3" w:rsidRDefault="009434BE" w:rsidP="005C16AF">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“La mayor cantidad de obra que resulte por encima del estimativo inicial en los contratos de obras celebrados a precios unitarios, no implica, en principio, en forma alguna cambio de objeto ni cambio en su valor, porque en este tipo de contrato solo podrá hablarse de este último cambio, cuando la modificación se hace en alguno o algunos de los precios unitarios convenidos. Sucede algo diferente a lo que se observa en los contratos a precio alzado, en los que la variación en su valor tiene en cuenta el valor global del mismo”</w:t>
      </w:r>
      <w:r w:rsidRPr="00D640C3">
        <w:rPr>
          <w:rStyle w:val="Refdenotaalpie"/>
          <w:rFonts w:ascii="Verdana" w:hAnsi="Verdana" w:cs="Arial"/>
          <w:sz w:val="20"/>
          <w:szCs w:val="20"/>
          <w:lang w:val="es-MX" w:eastAsia="es-ES_tradnl"/>
        </w:rPr>
        <w:footnoteReference w:id="17"/>
      </w:r>
      <w:r w:rsidRPr="00D640C3">
        <w:rPr>
          <w:rFonts w:ascii="Verdana" w:hAnsi="Verdana" w:cs="Arial"/>
          <w:sz w:val="20"/>
          <w:szCs w:val="20"/>
          <w:lang w:val="es-MX" w:eastAsia="es-ES_tradnl"/>
        </w:rPr>
        <w:t xml:space="preserve">.  </w:t>
      </w:r>
    </w:p>
    <w:p w14:paraId="0FCD45BC" w14:textId="77777777" w:rsidR="009434BE" w:rsidRPr="00D640C3" w:rsidRDefault="009434BE" w:rsidP="00B15536">
      <w:pPr>
        <w:spacing w:after="0" w:line="276" w:lineRule="auto"/>
        <w:ind w:firstLine="709"/>
        <w:jc w:val="both"/>
        <w:rPr>
          <w:rFonts w:ascii="Verdana" w:hAnsi="Verdana" w:cs="Arial"/>
          <w:szCs w:val="24"/>
          <w:lang w:val="es-MX" w:eastAsia="es-ES_tradnl"/>
        </w:rPr>
      </w:pPr>
    </w:p>
    <w:p w14:paraId="50F8FFD5" w14:textId="77777777" w:rsidR="009434BE" w:rsidRPr="00D640C3" w:rsidRDefault="009434BE" w:rsidP="00B15536">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lastRenderedPageBreak/>
        <w:t xml:space="preserve">Más recientemente, ya bajo la vigencia de la Ley 80 de 1993, </w:t>
      </w:r>
      <w:bookmarkStart w:id="5" w:name="_Hlk176963652"/>
      <w:r w:rsidRPr="00D640C3">
        <w:rPr>
          <w:rFonts w:ascii="Verdana" w:hAnsi="Verdana" w:cs="Arial"/>
          <w:szCs w:val="24"/>
          <w:lang w:val="es-MX" w:eastAsia="es-ES_tradnl"/>
        </w:rPr>
        <w:t>el Consejo de Estado explicó como en la adición de unidades no había modificación alguna del contrato por cuanto esta eventualidad está contemplada desde el inicio del contrato y es inherente a esta modalidad de pago. En ese sentido manifestó que:</w:t>
      </w:r>
    </w:p>
    <w:p w14:paraId="7B7B739B" w14:textId="77777777" w:rsidR="009434BE" w:rsidRPr="00D640C3" w:rsidRDefault="009434BE" w:rsidP="00B15536">
      <w:pPr>
        <w:spacing w:after="0" w:line="276" w:lineRule="auto"/>
        <w:ind w:firstLine="709"/>
        <w:jc w:val="both"/>
        <w:rPr>
          <w:rFonts w:ascii="Verdana" w:hAnsi="Verdana" w:cs="Arial"/>
          <w:szCs w:val="24"/>
          <w:lang w:val="es-MX" w:eastAsia="es-ES_tradnl"/>
        </w:rPr>
      </w:pPr>
      <w:r w:rsidRPr="00D640C3">
        <w:rPr>
          <w:rFonts w:ascii="Verdana" w:hAnsi="Verdana" w:cs="Arial"/>
          <w:szCs w:val="24"/>
          <w:lang w:val="es-MX" w:eastAsia="es-ES_tradnl"/>
        </w:rPr>
        <w:t xml:space="preserve"> </w:t>
      </w:r>
    </w:p>
    <w:p w14:paraId="4A0EEA5C" w14:textId="5182E31D" w:rsidR="009434BE" w:rsidRDefault="009434BE" w:rsidP="00B1553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en los contratos de obra suscritos a precios unitarios, la mayor cantidad de obra ejecutada supone que ésta fue contratada pero que su estimado inicial fue sobrepasado durante la ejecución del contrato, surgiendo así una “prolongación de la prestación deb</w:t>
      </w:r>
      <w:r w:rsidR="006941C8" w:rsidRPr="00D640C3">
        <w:rPr>
          <w:rFonts w:ascii="Verdana" w:hAnsi="Verdana" w:cs="Arial"/>
          <w:sz w:val="20"/>
          <w:szCs w:val="20"/>
          <w:lang w:val="es-MX" w:eastAsia="es-ES_tradnl"/>
        </w:rPr>
        <w:t>i</w:t>
      </w:r>
      <w:r w:rsidRPr="00D640C3">
        <w:rPr>
          <w:rFonts w:ascii="Verdana" w:hAnsi="Verdana" w:cs="Arial"/>
          <w:sz w:val="20"/>
          <w:szCs w:val="20"/>
          <w:lang w:val="es-MX" w:eastAsia="es-ES_tradnl"/>
        </w:rPr>
        <w:t xml:space="preserve">da”, sin que ello implique modificación alguna al objeto contractual. </w:t>
      </w:r>
    </w:p>
    <w:p w14:paraId="15D813B9" w14:textId="77777777" w:rsidR="00B15536" w:rsidRPr="00D640C3" w:rsidRDefault="00B15536" w:rsidP="00B15536">
      <w:pPr>
        <w:spacing w:after="0" w:line="240" w:lineRule="auto"/>
        <w:ind w:left="709" w:right="709"/>
        <w:jc w:val="both"/>
        <w:rPr>
          <w:rFonts w:ascii="Verdana" w:hAnsi="Verdana" w:cs="Arial"/>
          <w:sz w:val="20"/>
          <w:szCs w:val="20"/>
          <w:lang w:val="es-MX" w:eastAsia="es-ES_tradnl"/>
        </w:rPr>
      </w:pPr>
    </w:p>
    <w:p w14:paraId="247F6342" w14:textId="77777777" w:rsidR="009434BE" w:rsidRPr="00D640C3" w:rsidRDefault="009434BE" w:rsidP="00B1553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w:t>
      </w:r>
    </w:p>
    <w:p w14:paraId="51641F91" w14:textId="77777777" w:rsidR="00B15536" w:rsidRDefault="00B15536" w:rsidP="00B15536">
      <w:pPr>
        <w:spacing w:after="0" w:line="240" w:lineRule="auto"/>
        <w:ind w:left="709" w:right="709"/>
        <w:jc w:val="both"/>
        <w:rPr>
          <w:rFonts w:ascii="Verdana" w:hAnsi="Verdana" w:cs="Arial"/>
          <w:sz w:val="20"/>
          <w:szCs w:val="20"/>
          <w:lang w:val="es-MX" w:eastAsia="es-ES_tradnl"/>
        </w:rPr>
      </w:pPr>
    </w:p>
    <w:p w14:paraId="6084EB08" w14:textId="1D794BF8" w:rsidR="009434BE" w:rsidRPr="00D640C3" w:rsidRDefault="009434BE" w:rsidP="00B1553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 xml:space="preserve">En cambio, la realización de obras adicionales supone que éstas no fueron parte del objeto del contrato principal, y por lo tanto implican una variación </w:t>
      </w:r>
      <w:proofErr w:type="gramStart"/>
      <w:r w:rsidRPr="00D640C3">
        <w:rPr>
          <w:rFonts w:ascii="Verdana" w:hAnsi="Verdana" w:cs="Arial"/>
          <w:sz w:val="20"/>
          <w:szCs w:val="20"/>
          <w:lang w:val="es-MX" w:eastAsia="es-ES_tradnl"/>
        </w:rPr>
        <w:t>del mismo</w:t>
      </w:r>
      <w:proofErr w:type="gramEnd"/>
      <w:r w:rsidRPr="00D640C3">
        <w:rPr>
          <w:rFonts w:ascii="Verdana" w:hAnsi="Verdana" w:cs="Arial"/>
          <w:sz w:val="20"/>
          <w:szCs w:val="20"/>
          <w:lang w:val="es-MX" w:eastAsia="es-ES_tradnl"/>
        </w:rPr>
        <w:t>; se trata entonces de obras nuevas, distintas a las contratadas, o de ítems no previstos, pero que su ejecución, en determinadas circunstancias resultas necesaria”</w:t>
      </w:r>
      <w:bookmarkEnd w:id="5"/>
      <w:r w:rsidRPr="00D640C3">
        <w:rPr>
          <w:rStyle w:val="Refdenotaalpie"/>
          <w:rFonts w:ascii="Verdana" w:hAnsi="Verdana" w:cs="Arial"/>
          <w:sz w:val="20"/>
          <w:szCs w:val="20"/>
          <w:lang w:val="es-MX" w:eastAsia="es-ES_tradnl"/>
        </w:rPr>
        <w:footnoteReference w:id="18"/>
      </w:r>
      <w:r w:rsidRPr="00D640C3">
        <w:rPr>
          <w:rFonts w:ascii="Verdana" w:hAnsi="Verdana" w:cs="Arial"/>
          <w:sz w:val="20"/>
          <w:szCs w:val="20"/>
          <w:lang w:val="es-MX" w:eastAsia="es-ES_tradnl"/>
        </w:rPr>
        <w:t>.</w:t>
      </w:r>
    </w:p>
    <w:p w14:paraId="66397BEE" w14:textId="77777777" w:rsidR="009434BE" w:rsidRPr="00D640C3" w:rsidRDefault="009434BE" w:rsidP="00B15536">
      <w:pPr>
        <w:spacing w:after="0" w:line="276" w:lineRule="auto"/>
        <w:ind w:firstLine="709"/>
        <w:jc w:val="both"/>
        <w:rPr>
          <w:rFonts w:ascii="Verdana" w:hAnsi="Verdana" w:cs="Arial"/>
          <w:lang w:val="es-MX" w:eastAsia="es-ES_tradnl"/>
        </w:rPr>
      </w:pPr>
    </w:p>
    <w:p w14:paraId="46543420" w14:textId="77777777" w:rsidR="009434BE" w:rsidRPr="00D640C3" w:rsidRDefault="009434BE" w:rsidP="00B15536">
      <w:pPr>
        <w:spacing w:after="0" w:line="276" w:lineRule="auto"/>
        <w:ind w:firstLine="709"/>
        <w:jc w:val="both"/>
        <w:rPr>
          <w:rFonts w:ascii="Verdana" w:hAnsi="Verdana" w:cs="Arial"/>
          <w:lang w:val="es-MX" w:eastAsia="es-ES_tradnl"/>
        </w:rPr>
      </w:pPr>
      <w:r w:rsidRPr="00D640C3">
        <w:rPr>
          <w:rFonts w:ascii="Verdana" w:hAnsi="Verdana" w:cs="Arial"/>
          <w:lang w:val="es-MX" w:eastAsia="es-ES_tradnl"/>
        </w:rPr>
        <w:t xml:space="preserve">Así mismo, la Sala de Consulta y del Servicio Civil de la Corporación consideró que los contratos a precios unitarios tenían un precio indeterminado, aunque determinable al final del contrato: </w:t>
      </w:r>
    </w:p>
    <w:p w14:paraId="27608139" w14:textId="77777777" w:rsidR="009434BE" w:rsidRPr="00D640C3" w:rsidRDefault="009434BE" w:rsidP="00B15536">
      <w:pPr>
        <w:spacing w:after="0" w:line="276" w:lineRule="auto"/>
        <w:ind w:left="709" w:right="709"/>
        <w:jc w:val="both"/>
        <w:rPr>
          <w:rFonts w:ascii="Verdana" w:hAnsi="Verdana" w:cs="Arial"/>
          <w:lang w:val="es-MX" w:eastAsia="es-ES_tradnl"/>
        </w:rPr>
      </w:pPr>
    </w:p>
    <w:p w14:paraId="3C4A3A21" w14:textId="62EB5674" w:rsidR="009434BE" w:rsidRPr="00D640C3" w:rsidRDefault="009434BE" w:rsidP="00B15536">
      <w:pPr>
        <w:spacing w:after="0" w:line="240" w:lineRule="auto"/>
        <w:ind w:left="709" w:right="709"/>
        <w:jc w:val="both"/>
        <w:rPr>
          <w:rFonts w:ascii="Verdana" w:hAnsi="Verdana" w:cs="Arial"/>
          <w:sz w:val="20"/>
          <w:szCs w:val="20"/>
          <w:lang w:val="es-MX" w:eastAsia="es-ES_tradnl"/>
        </w:rPr>
      </w:pPr>
      <w:r w:rsidRPr="00D640C3">
        <w:rPr>
          <w:rFonts w:ascii="Verdana" w:hAnsi="Verdana" w:cs="Arial"/>
          <w:sz w:val="20"/>
          <w:szCs w:val="20"/>
          <w:lang w:val="es-MX" w:eastAsia="es-ES_tradnl"/>
        </w:rPr>
        <w:t>“Por el contrario, en los contratos a precio indeterminado pero determinable por el procedimiento establecido en el mismo contrato (precios unitarios, administración delegada o reembolso de gastos), la cláusula del valor en el mismo apenas sirve como indicativo del monto estimado hecho por las partes, pero no tiene valor vinculante u obligacional, pues el verdadero valor del contrato se establecerá una vez se concluya su objeto. En estos eventos, tal clausula sólo cumple la función de realizar un cálculo estimado del costo probable, esto es, ese estimativo necesario para elaborar el presupuesto o para efectos fiscales; pero el valor real del contrato que genera obligaciones mutuas sólo se determinará cuando el procedimiento establecido, se establezca tal costo”</w:t>
      </w:r>
      <w:r w:rsidR="00EA0371" w:rsidRPr="00D640C3">
        <w:rPr>
          <w:rStyle w:val="Refdenotaalpie"/>
          <w:rFonts w:ascii="Verdana" w:hAnsi="Verdana" w:cs="Arial"/>
          <w:sz w:val="20"/>
          <w:szCs w:val="20"/>
          <w:lang w:val="es-MX" w:eastAsia="es-ES_tradnl"/>
        </w:rPr>
        <w:footnoteReference w:id="19"/>
      </w:r>
      <w:r w:rsidRPr="00D640C3">
        <w:rPr>
          <w:rFonts w:ascii="Verdana" w:hAnsi="Verdana" w:cs="Arial"/>
          <w:sz w:val="20"/>
          <w:szCs w:val="20"/>
          <w:lang w:val="es-MX" w:eastAsia="es-ES_tradnl"/>
        </w:rPr>
        <w:t xml:space="preserve">.  </w:t>
      </w:r>
    </w:p>
    <w:p w14:paraId="06A4D657" w14:textId="77777777" w:rsidR="009434BE" w:rsidRPr="00D640C3" w:rsidRDefault="009434BE" w:rsidP="00B15536">
      <w:pPr>
        <w:widowControl w:val="0"/>
        <w:autoSpaceDE w:val="0"/>
        <w:autoSpaceDN w:val="0"/>
        <w:spacing w:after="0" w:line="276" w:lineRule="auto"/>
        <w:jc w:val="both"/>
        <w:rPr>
          <w:rFonts w:ascii="Verdana" w:eastAsia="Calibri" w:hAnsi="Verdana" w:cs="Arial"/>
          <w:lang w:val="es-MX"/>
        </w:rPr>
      </w:pPr>
      <w:r w:rsidRPr="00D640C3">
        <w:rPr>
          <w:rFonts w:ascii="Verdana" w:eastAsia="Calibri" w:hAnsi="Verdana" w:cs="Arial"/>
          <w:lang w:val="es-MX"/>
        </w:rPr>
        <w:tab/>
      </w:r>
    </w:p>
    <w:p w14:paraId="32765E8A" w14:textId="4FE522D1" w:rsidR="001963B7" w:rsidRPr="00D640C3" w:rsidRDefault="00A13437" w:rsidP="00B15536">
      <w:pPr>
        <w:widowControl w:val="0"/>
        <w:autoSpaceDE w:val="0"/>
        <w:autoSpaceDN w:val="0"/>
        <w:spacing w:after="0" w:line="276" w:lineRule="auto"/>
        <w:ind w:firstLine="708"/>
        <w:jc w:val="both"/>
        <w:rPr>
          <w:rFonts w:ascii="Verdana" w:eastAsia="Calibri" w:hAnsi="Verdana" w:cs="Arial"/>
          <w:lang w:val="es-MX"/>
        </w:rPr>
      </w:pPr>
      <w:bookmarkStart w:id="6" w:name="_Hlk176963676"/>
      <w:r w:rsidRPr="00D640C3">
        <w:rPr>
          <w:rFonts w:ascii="Verdana" w:eastAsia="Calibri" w:hAnsi="Verdana" w:cs="Arial"/>
          <w:lang w:val="es-MX"/>
        </w:rPr>
        <w:t>Est</w:t>
      </w:r>
      <w:r w:rsidR="00DD2041" w:rsidRPr="00D640C3">
        <w:rPr>
          <w:rFonts w:ascii="Verdana" w:eastAsia="Calibri" w:hAnsi="Verdana" w:cs="Arial"/>
          <w:lang w:val="es-MX"/>
        </w:rPr>
        <w:t xml:space="preserve">a postura ha sido acogida por </w:t>
      </w:r>
      <w:r w:rsidR="009434BE" w:rsidRPr="00D640C3">
        <w:rPr>
          <w:rFonts w:ascii="Verdana" w:eastAsia="Calibri" w:hAnsi="Verdana" w:cs="Arial"/>
          <w:lang w:val="es-MX"/>
        </w:rPr>
        <w:t>la jurisprudencia reciente de</w:t>
      </w:r>
      <w:r w:rsidR="001963B7" w:rsidRPr="00D640C3">
        <w:rPr>
          <w:rFonts w:ascii="Verdana" w:eastAsia="Calibri" w:hAnsi="Verdana" w:cs="Arial"/>
          <w:lang w:val="es-MX"/>
        </w:rPr>
        <w:t xml:space="preserve"> la Sección Tercera del</w:t>
      </w:r>
      <w:r w:rsidR="009434BE" w:rsidRPr="00D640C3">
        <w:rPr>
          <w:rFonts w:ascii="Verdana" w:eastAsia="Calibri" w:hAnsi="Verdana" w:cs="Arial"/>
          <w:lang w:val="es-MX"/>
        </w:rPr>
        <w:t xml:space="preserve"> Consejo de Estado</w:t>
      </w:r>
      <w:r w:rsidR="009A2770" w:rsidRPr="00D640C3">
        <w:rPr>
          <w:rFonts w:ascii="Verdana" w:eastAsia="Calibri" w:hAnsi="Verdana" w:cs="Arial"/>
          <w:lang w:val="es-MX"/>
        </w:rPr>
        <w:t xml:space="preserve">, instancia desde donde se </w:t>
      </w:r>
      <w:r w:rsidR="001963B7" w:rsidRPr="00D640C3">
        <w:rPr>
          <w:rFonts w:ascii="Verdana" w:eastAsia="Calibri" w:hAnsi="Verdana" w:cs="Arial"/>
          <w:lang w:val="es-MX"/>
        </w:rPr>
        <w:t>ha explicado que:</w:t>
      </w:r>
    </w:p>
    <w:p w14:paraId="3D9840DB" w14:textId="77777777" w:rsidR="001963B7" w:rsidRPr="00D640C3" w:rsidRDefault="001963B7" w:rsidP="00B15536">
      <w:pPr>
        <w:widowControl w:val="0"/>
        <w:autoSpaceDE w:val="0"/>
        <w:autoSpaceDN w:val="0"/>
        <w:spacing w:after="0" w:line="276" w:lineRule="auto"/>
        <w:ind w:firstLine="708"/>
        <w:jc w:val="both"/>
        <w:rPr>
          <w:rFonts w:ascii="Verdana" w:eastAsia="Calibri" w:hAnsi="Verdana" w:cs="Arial"/>
          <w:lang w:val="es-MX"/>
        </w:rPr>
      </w:pPr>
    </w:p>
    <w:p w14:paraId="0AAAAA70" w14:textId="77777777" w:rsidR="009D3888" w:rsidRPr="00D640C3" w:rsidRDefault="009D3888" w:rsidP="00B15536">
      <w:pPr>
        <w:widowControl w:val="0"/>
        <w:autoSpaceDE w:val="0"/>
        <w:autoSpaceDN w:val="0"/>
        <w:spacing w:after="0" w:line="240" w:lineRule="auto"/>
        <w:ind w:left="709" w:right="709"/>
        <w:jc w:val="both"/>
        <w:rPr>
          <w:rFonts w:ascii="Verdana" w:eastAsia="Calibri" w:hAnsi="Verdana" w:cs="Arial"/>
          <w:sz w:val="20"/>
          <w:szCs w:val="20"/>
        </w:rPr>
      </w:pPr>
      <w:r w:rsidRPr="00D640C3">
        <w:rPr>
          <w:rFonts w:ascii="Verdana" w:eastAsia="Calibri" w:hAnsi="Verdana" w:cs="Arial"/>
          <w:sz w:val="20"/>
          <w:szCs w:val="20"/>
          <w:lang w:val="es-MX"/>
        </w:rPr>
        <w:t xml:space="preserve">“[…] </w:t>
      </w:r>
      <w:r w:rsidRPr="00D640C3">
        <w:rPr>
          <w:rFonts w:ascii="Verdana" w:eastAsia="Calibri" w:hAnsi="Verdana" w:cs="Arial"/>
          <w:sz w:val="20"/>
          <w:szCs w:val="20"/>
        </w:rPr>
        <w:t xml:space="preserve">el valor del contrato en el sistema a precios unitarios es indicativo o </w:t>
      </w:r>
      <w:r w:rsidRPr="00D640C3">
        <w:rPr>
          <w:rFonts w:ascii="Verdana" w:eastAsia="Calibri" w:hAnsi="Verdana" w:cs="Arial"/>
          <w:sz w:val="20"/>
          <w:szCs w:val="20"/>
        </w:rPr>
        <w:lastRenderedPageBreak/>
        <w:t xml:space="preserve">estimativo, motivo por el cual el valor real dependerá de las cantidades que final y efectivamente sean ejecutadas, multiplicadas por los precios unitarios que hayan sido pactados. Por lo mismo, en principio, el reconocimiento de las mayores cantidades de obra no es más que la aplicación de la forma de precio y pago estipuladas en el contrato, es decir, la implementación del procedimiento convenido por las partes para calcular el valor final del negocio jurídico: cantidades ejecutadas por valor de ítem acordado. </w:t>
      </w:r>
    </w:p>
    <w:p w14:paraId="0BF89C19" w14:textId="77777777" w:rsidR="00C65617" w:rsidRPr="00D640C3" w:rsidRDefault="00C65617" w:rsidP="00B15536">
      <w:pPr>
        <w:widowControl w:val="0"/>
        <w:autoSpaceDE w:val="0"/>
        <w:autoSpaceDN w:val="0"/>
        <w:spacing w:after="0" w:line="240" w:lineRule="auto"/>
        <w:ind w:left="709" w:right="709"/>
        <w:jc w:val="both"/>
        <w:rPr>
          <w:rFonts w:ascii="Verdana" w:eastAsia="Calibri" w:hAnsi="Verdana" w:cs="Arial"/>
          <w:sz w:val="20"/>
          <w:szCs w:val="20"/>
        </w:rPr>
      </w:pPr>
    </w:p>
    <w:p w14:paraId="50593492" w14:textId="77777777" w:rsidR="009D3888" w:rsidRPr="00D640C3" w:rsidRDefault="009D3888" w:rsidP="00B15536">
      <w:pPr>
        <w:widowControl w:val="0"/>
        <w:autoSpaceDE w:val="0"/>
        <w:autoSpaceDN w:val="0"/>
        <w:spacing w:after="0" w:line="240" w:lineRule="auto"/>
        <w:ind w:left="709" w:right="709"/>
        <w:jc w:val="both"/>
        <w:rPr>
          <w:rFonts w:ascii="Verdana" w:eastAsia="Calibri" w:hAnsi="Verdana" w:cs="Arial"/>
          <w:sz w:val="20"/>
          <w:szCs w:val="20"/>
        </w:rPr>
      </w:pPr>
      <w:r w:rsidRPr="00D640C3">
        <w:rPr>
          <w:rFonts w:ascii="Verdana" w:eastAsia="Calibri" w:hAnsi="Verdana" w:cs="Arial"/>
          <w:sz w:val="20"/>
          <w:szCs w:val="20"/>
        </w:rPr>
        <w:t xml:space="preserve">En línea con lo anterior, es pertinente tener en cuenta que, justamente, la modalidad de pago a precios unitarios se caracteriza porque su determinación final impone establecer las cantidades verdaderamente ejecutadas, multiplicándolas por los precios unitarios; de ahí que lo vinculante en estos casos no sea propiamente el valor total inicialmente estimado, ni las cantidades inicialmente previstas, sino los valores unitarios que las partes acordaron aplicar a cada uno de los ítems. </w:t>
      </w:r>
    </w:p>
    <w:p w14:paraId="37F69927" w14:textId="77777777" w:rsidR="00610B80" w:rsidRPr="00D640C3" w:rsidRDefault="00610B80" w:rsidP="00B15536">
      <w:pPr>
        <w:widowControl w:val="0"/>
        <w:autoSpaceDE w:val="0"/>
        <w:autoSpaceDN w:val="0"/>
        <w:spacing w:after="0" w:line="240" w:lineRule="auto"/>
        <w:ind w:left="709" w:right="709"/>
        <w:jc w:val="both"/>
        <w:rPr>
          <w:rFonts w:ascii="Verdana" w:eastAsia="Calibri" w:hAnsi="Verdana" w:cs="Arial"/>
          <w:sz w:val="20"/>
          <w:szCs w:val="20"/>
        </w:rPr>
      </w:pPr>
    </w:p>
    <w:p w14:paraId="434C0995" w14:textId="15DD68A7" w:rsidR="001963B7" w:rsidRPr="00D640C3" w:rsidRDefault="009D3888" w:rsidP="00B15536">
      <w:pPr>
        <w:widowControl w:val="0"/>
        <w:autoSpaceDE w:val="0"/>
        <w:autoSpaceDN w:val="0"/>
        <w:spacing w:after="0" w:line="240" w:lineRule="auto"/>
        <w:ind w:left="709" w:right="709"/>
        <w:jc w:val="both"/>
        <w:rPr>
          <w:rFonts w:ascii="Verdana" w:eastAsia="Calibri" w:hAnsi="Verdana" w:cs="Arial"/>
          <w:sz w:val="20"/>
          <w:szCs w:val="20"/>
          <w:lang w:val="es-MX"/>
        </w:rPr>
      </w:pPr>
      <w:r w:rsidRPr="00D640C3">
        <w:rPr>
          <w:rFonts w:ascii="Verdana" w:eastAsia="Calibri" w:hAnsi="Verdana" w:cs="Arial"/>
          <w:sz w:val="20"/>
          <w:szCs w:val="20"/>
        </w:rPr>
        <w:t>A diferencia de lo que ocurre con los contratos a precio global, en los que el precio se delimita al margen de las cantidades que se ejecuten y de su valor unitario, en el sistema de precios unitarios el contratista no asume el riesgo de las mayores cantidades de obra, ni la entidad el de las menores, pues lo que deberá pagarse o cancelarse se desprenderá de lo que indiscutiblemente se haya ejecutado</w:t>
      </w:r>
      <w:r w:rsidR="00D354B0" w:rsidRPr="00D640C3">
        <w:rPr>
          <w:rFonts w:ascii="Verdana" w:eastAsia="Calibri" w:hAnsi="Verdana" w:cs="Arial"/>
          <w:sz w:val="20"/>
          <w:szCs w:val="20"/>
        </w:rPr>
        <w:t>”</w:t>
      </w:r>
      <w:r w:rsidR="00610B80" w:rsidRPr="00D640C3">
        <w:rPr>
          <w:rStyle w:val="Refdenotaalpie"/>
          <w:rFonts w:ascii="Verdana" w:eastAsia="Calibri" w:hAnsi="Verdana" w:cs="Arial"/>
          <w:sz w:val="20"/>
          <w:szCs w:val="20"/>
        </w:rPr>
        <w:footnoteReference w:id="20"/>
      </w:r>
      <w:r w:rsidRPr="00D640C3">
        <w:rPr>
          <w:rFonts w:ascii="Verdana" w:eastAsia="Calibri" w:hAnsi="Verdana" w:cs="Arial"/>
          <w:sz w:val="20"/>
          <w:szCs w:val="20"/>
        </w:rPr>
        <w:t>.</w:t>
      </w:r>
    </w:p>
    <w:p w14:paraId="7B974D90" w14:textId="77777777" w:rsidR="001963B7" w:rsidRPr="00D640C3" w:rsidRDefault="001963B7" w:rsidP="00B15536">
      <w:pPr>
        <w:widowControl w:val="0"/>
        <w:autoSpaceDE w:val="0"/>
        <w:autoSpaceDN w:val="0"/>
        <w:spacing w:after="0" w:line="276" w:lineRule="auto"/>
        <w:ind w:firstLine="708"/>
        <w:jc w:val="both"/>
        <w:rPr>
          <w:rFonts w:ascii="Verdana" w:eastAsia="Calibri" w:hAnsi="Verdana" w:cs="Arial"/>
          <w:lang w:val="es-MX"/>
        </w:rPr>
      </w:pPr>
    </w:p>
    <w:p w14:paraId="7CBF6C9E" w14:textId="2475908E" w:rsidR="009434BE" w:rsidRPr="00D640C3" w:rsidRDefault="007D12F6" w:rsidP="00B15536">
      <w:pPr>
        <w:widowControl w:val="0"/>
        <w:autoSpaceDE w:val="0"/>
        <w:autoSpaceDN w:val="0"/>
        <w:spacing w:after="0" w:line="276" w:lineRule="auto"/>
        <w:ind w:firstLine="708"/>
        <w:jc w:val="both"/>
        <w:rPr>
          <w:rFonts w:ascii="Verdana" w:eastAsia="Calibri" w:hAnsi="Verdana" w:cs="Arial"/>
          <w:lang w:val="es-MX"/>
        </w:rPr>
      </w:pPr>
      <w:r w:rsidRPr="00D640C3">
        <w:rPr>
          <w:rFonts w:ascii="Verdana" w:eastAsia="Calibri" w:hAnsi="Verdana" w:cs="Arial"/>
          <w:lang w:val="es-MX"/>
        </w:rPr>
        <w:t>Con sustento en estas precisiones</w:t>
      </w:r>
      <w:r w:rsidR="00C65617" w:rsidRPr="00D640C3">
        <w:rPr>
          <w:rFonts w:ascii="Verdana" w:eastAsia="Calibri" w:hAnsi="Verdana" w:cs="Arial"/>
          <w:lang w:val="es-MX"/>
        </w:rPr>
        <w:t xml:space="preserve"> sobre </w:t>
      </w:r>
      <w:r w:rsidR="00EC493C" w:rsidRPr="00D640C3">
        <w:rPr>
          <w:rFonts w:ascii="Verdana" w:eastAsia="Calibri" w:hAnsi="Verdana" w:cs="Arial"/>
          <w:lang w:val="es-MX"/>
        </w:rPr>
        <w:t xml:space="preserve">la modalidad de pago por precios unitarios, la jurisprudencia de la Sección Tercera ha determinado que el </w:t>
      </w:r>
      <w:r w:rsidR="009A2770" w:rsidRPr="00D640C3">
        <w:rPr>
          <w:rFonts w:ascii="Verdana" w:eastAsia="Calibri" w:hAnsi="Verdana" w:cs="Arial"/>
          <w:lang w:val="es-MX"/>
        </w:rPr>
        <w:t>límite</w:t>
      </w:r>
      <w:r w:rsidR="00EC493C" w:rsidRPr="00D640C3">
        <w:rPr>
          <w:rFonts w:ascii="Verdana" w:eastAsia="Calibri" w:hAnsi="Verdana" w:cs="Arial"/>
          <w:lang w:val="es-MX"/>
        </w:rPr>
        <w:t xml:space="preserve"> a la adición de contratos estatales</w:t>
      </w:r>
      <w:r w:rsidR="009F1210" w:rsidRPr="00D640C3">
        <w:rPr>
          <w:rFonts w:ascii="Verdana" w:eastAsia="Calibri" w:hAnsi="Verdana" w:cs="Arial"/>
          <w:lang w:val="es-MX"/>
        </w:rPr>
        <w:t>, previsto en el artículo 40 de la Ley 80 de 1993</w:t>
      </w:r>
      <w:r w:rsidRPr="00D640C3">
        <w:rPr>
          <w:rFonts w:ascii="Verdana" w:eastAsia="Calibri" w:hAnsi="Verdana" w:cs="Arial"/>
          <w:lang w:val="es-MX"/>
        </w:rPr>
        <w:t xml:space="preserve"> </w:t>
      </w:r>
      <w:r w:rsidR="009434BE" w:rsidRPr="00D640C3">
        <w:rPr>
          <w:rFonts w:ascii="Verdana" w:eastAsia="Calibri" w:hAnsi="Verdana" w:cs="Arial"/>
          <w:lang w:val="es-MX"/>
        </w:rPr>
        <w:t xml:space="preserve">no es aplicable a los contratos pactados con precios unitarios. </w:t>
      </w:r>
      <w:bookmarkEnd w:id="6"/>
      <w:r w:rsidR="009434BE" w:rsidRPr="00D640C3">
        <w:rPr>
          <w:rFonts w:ascii="Verdana" w:eastAsia="Calibri" w:hAnsi="Verdana" w:cs="Arial"/>
          <w:lang w:val="es-MX"/>
        </w:rPr>
        <w:t xml:space="preserve">Al respecto, se ha señalado que: </w:t>
      </w:r>
    </w:p>
    <w:p w14:paraId="56B6DF42" w14:textId="77777777" w:rsidR="009434BE" w:rsidRPr="00D640C3" w:rsidRDefault="009434BE" w:rsidP="00B15536">
      <w:pPr>
        <w:widowControl w:val="0"/>
        <w:autoSpaceDE w:val="0"/>
        <w:autoSpaceDN w:val="0"/>
        <w:spacing w:after="0" w:line="276" w:lineRule="auto"/>
        <w:jc w:val="both"/>
        <w:rPr>
          <w:rFonts w:ascii="Verdana" w:eastAsia="Calibri" w:hAnsi="Verdana" w:cs="Arial"/>
          <w:lang w:val="es-MX"/>
        </w:rPr>
      </w:pPr>
    </w:p>
    <w:p w14:paraId="409FDC8A" w14:textId="575B4026" w:rsidR="009434BE" w:rsidRPr="00D640C3" w:rsidRDefault="009434BE" w:rsidP="00B15536">
      <w:pPr>
        <w:widowControl w:val="0"/>
        <w:autoSpaceDE w:val="0"/>
        <w:autoSpaceDN w:val="0"/>
        <w:spacing w:after="0" w:line="240" w:lineRule="auto"/>
        <w:ind w:left="709" w:right="709"/>
        <w:jc w:val="both"/>
        <w:rPr>
          <w:rFonts w:ascii="Verdana" w:eastAsia="Calibri" w:hAnsi="Verdana" w:cs="Arial"/>
          <w:sz w:val="20"/>
          <w:szCs w:val="20"/>
          <w:lang w:val="es-MX"/>
        </w:rPr>
      </w:pPr>
      <w:r w:rsidRPr="00D640C3">
        <w:rPr>
          <w:rFonts w:ascii="Verdana" w:eastAsia="Calibri" w:hAnsi="Verdana" w:cs="Arial"/>
          <w:sz w:val="20"/>
          <w:szCs w:val="20"/>
        </w:rPr>
        <w:t>“</w:t>
      </w:r>
      <w:r w:rsidR="009F3202" w:rsidRPr="00D640C3">
        <w:rPr>
          <w:rFonts w:ascii="Verdana" w:eastAsia="Calibri" w:hAnsi="Verdana" w:cs="Arial"/>
          <w:sz w:val="20"/>
          <w:szCs w:val="20"/>
        </w:rPr>
        <w:t>[..]</w:t>
      </w:r>
      <w:r w:rsidRPr="00D640C3">
        <w:rPr>
          <w:rFonts w:ascii="Verdana" w:eastAsia="Calibri" w:hAnsi="Verdana" w:cs="Arial"/>
          <w:sz w:val="20"/>
          <w:szCs w:val="20"/>
        </w:rPr>
        <w:t xml:space="preserve">se considera que le asiste razón al demandante en cuanto al argumento de que el límite de adiciones del artículo 40 de la Ley 80 de 1993 no es extensible al </w:t>
      </w:r>
      <w:proofErr w:type="gramStart"/>
      <w:r w:rsidRPr="00D640C3">
        <w:rPr>
          <w:rFonts w:ascii="Verdana" w:eastAsia="Calibri" w:hAnsi="Verdana" w:cs="Arial"/>
          <w:sz w:val="20"/>
          <w:szCs w:val="20"/>
        </w:rPr>
        <w:t>sub lite</w:t>
      </w:r>
      <w:proofErr w:type="gramEnd"/>
      <w:r w:rsidRPr="00D640C3">
        <w:rPr>
          <w:rFonts w:ascii="Verdana" w:eastAsia="Calibri" w:hAnsi="Verdana" w:cs="Arial"/>
          <w:sz w:val="20"/>
          <w:szCs w:val="20"/>
        </w:rPr>
        <w:t>, debido a que la reforma de los pavimentos hacía parte de la etapa de construcción y, al haberse pactado su pago en la modalidad de precios unitarios, el valor estipulado era estimativo y estaba sujeto a multiplicar las cantidades de obra ejecutadas por el precio de cada una de ellas”.</w:t>
      </w:r>
    </w:p>
    <w:p w14:paraId="4FDC73BF" w14:textId="77777777" w:rsidR="009434BE" w:rsidRPr="00D640C3" w:rsidRDefault="009434BE" w:rsidP="00B15536">
      <w:pPr>
        <w:widowControl w:val="0"/>
        <w:autoSpaceDE w:val="0"/>
        <w:autoSpaceDN w:val="0"/>
        <w:spacing w:after="0" w:line="240" w:lineRule="auto"/>
        <w:jc w:val="both"/>
        <w:rPr>
          <w:rFonts w:ascii="Verdana" w:eastAsia="Calibri" w:hAnsi="Verdana" w:cs="Arial"/>
          <w:lang w:val="es-ES"/>
        </w:rPr>
      </w:pPr>
    </w:p>
    <w:p w14:paraId="57514984" w14:textId="30AE481C" w:rsidR="009434BE" w:rsidRDefault="009434BE" w:rsidP="00B15536">
      <w:pPr>
        <w:widowControl w:val="0"/>
        <w:autoSpaceDE w:val="0"/>
        <w:autoSpaceDN w:val="0"/>
        <w:spacing w:after="0" w:line="240" w:lineRule="auto"/>
        <w:ind w:left="709" w:right="709"/>
        <w:jc w:val="both"/>
        <w:rPr>
          <w:rFonts w:ascii="Verdana" w:eastAsia="Calibri" w:hAnsi="Verdana" w:cs="Arial"/>
          <w:sz w:val="20"/>
          <w:szCs w:val="20"/>
        </w:rPr>
      </w:pPr>
      <w:r w:rsidRPr="00D640C3">
        <w:rPr>
          <w:rFonts w:ascii="Verdana" w:eastAsia="Calibri" w:hAnsi="Verdana" w:cs="Arial"/>
          <w:sz w:val="20"/>
          <w:szCs w:val="20"/>
        </w:rPr>
        <w:t>Sobre el particular, esta Corporación</w:t>
      </w:r>
      <w:r w:rsidR="009769FA" w:rsidRPr="00D640C3">
        <w:rPr>
          <w:rFonts w:ascii="Verdana" w:eastAsia="Calibri" w:hAnsi="Verdana" w:cs="Arial"/>
          <w:sz w:val="20"/>
          <w:szCs w:val="20"/>
        </w:rPr>
        <w:t xml:space="preserve"> </w:t>
      </w:r>
      <w:r w:rsidRPr="00D640C3">
        <w:rPr>
          <w:rFonts w:ascii="Verdana" w:eastAsia="Calibri" w:hAnsi="Verdana" w:cs="Arial"/>
          <w:sz w:val="20"/>
          <w:szCs w:val="20"/>
        </w:rPr>
        <w:t>ha considerado que el límite de adiciones de que trata el artículo 40 de la Ley 80 de 1993, en virtud del cual no es posible</w:t>
      </w:r>
      <w:r w:rsidRPr="00D640C3">
        <w:rPr>
          <w:rFonts w:ascii="Verdana" w:hAnsi="Verdana"/>
          <w:sz w:val="20"/>
          <w:szCs w:val="20"/>
        </w:rPr>
        <w:t xml:space="preserve"> </w:t>
      </w:r>
      <w:r w:rsidRPr="00D640C3">
        <w:rPr>
          <w:rFonts w:ascii="Verdana" w:eastAsia="Calibri" w:hAnsi="Verdana" w:cs="Arial"/>
          <w:sz w:val="20"/>
          <w:szCs w:val="20"/>
        </w:rPr>
        <w:t xml:space="preserve">incrementar el valor del contrato en más de un 50%, es aplicable a acuerdos de voluntades sometidos al pago como precio global, pues en esos casos la suma que se fija desde un inicio es definitiva para </w:t>
      </w:r>
      <w:r w:rsidRPr="00D640C3">
        <w:rPr>
          <w:rFonts w:ascii="Verdana" w:eastAsia="Calibri" w:hAnsi="Verdana" w:cs="Arial"/>
          <w:sz w:val="20"/>
          <w:szCs w:val="20"/>
        </w:rPr>
        <w:lastRenderedPageBreak/>
        <w:t>los sujetos negociales, mientras que en los contratos cuyo pago es a precios unitarios no es aplicable, dado que el valor del negocio jurídico es provisional y el valor definitivo se determina al finalizarse el objeto contractual</w:t>
      </w:r>
      <w:r w:rsidR="009C7E44" w:rsidRPr="00D640C3">
        <w:rPr>
          <w:rStyle w:val="Refdenotaalpie"/>
          <w:rFonts w:ascii="Verdana" w:eastAsia="Calibri" w:hAnsi="Verdana" w:cs="Arial"/>
          <w:sz w:val="20"/>
          <w:szCs w:val="20"/>
        </w:rPr>
        <w:footnoteReference w:id="21"/>
      </w:r>
      <w:r w:rsidR="009769FA" w:rsidRPr="00D640C3">
        <w:rPr>
          <w:rFonts w:ascii="Verdana" w:eastAsia="Calibri" w:hAnsi="Verdana" w:cs="Arial"/>
          <w:sz w:val="20"/>
          <w:szCs w:val="20"/>
        </w:rPr>
        <w:t>”</w:t>
      </w:r>
      <w:r w:rsidR="00A13437" w:rsidRPr="00D640C3">
        <w:rPr>
          <w:rStyle w:val="Refdenotaalpie"/>
          <w:rFonts w:ascii="Verdana" w:eastAsia="Calibri" w:hAnsi="Verdana" w:cs="Arial"/>
          <w:sz w:val="20"/>
          <w:szCs w:val="20"/>
        </w:rPr>
        <w:footnoteReference w:id="22"/>
      </w:r>
      <w:r w:rsidRPr="00D640C3">
        <w:rPr>
          <w:rFonts w:ascii="Verdana" w:eastAsia="Calibri" w:hAnsi="Verdana" w:cs="Arial"/>
          <w:sz w:val="20"/>
          <w:szCs w:val="20"/>
        </w:rPr>
        <w:t>.</w:t>
      </w:r>
    </w:p>
    <w:p w14:paraId="3832CADC" w14:textId="77777777" w:rsidR="00B15536" w:rsidRPr="00B15536" w:rsidRDefault="00B15536" w:rsidP="00B15536">
      <w:pPr>
        <w:widowControl w:val="0"/>
        <w:autoSpaceDE w:val="0"/>
        <w:autoSpaceDN w:val="0"/>
        <w:spacing w:after="0" w:line="276" w:lineRule="auto"/>
        <w:ind w:left="709" w:right="709"/>
        <w:jc w:val="both"/>
        <w:rPr>
          <w:rFonts w:ascii="Verdana" w:eastAsia="Calibri" w:hAnsi="Verdana" w:cs="Arial"/>
        </w:rPr>
      </w:pPr>
    </w:p>
    <w:p w14:paraId="72434D20" w14:textId="5CFF574D" w:rsidR="00BE216D" w:rsidRPr="00D640C3" w:rsidRDefault="003701AD" w:rsidP="00B15536">
      <w:pPr>
        <w:widowControl w:val="0"/>
        <w:autoSpaceDE w:val="0"/>
        <w:autoSpaceDN w:val="0"/>
        <w:spacing w:after="120" w:line="276" w:lineRule="auto"/>
        <w:jc w:val="both"/>
        <w:rPr>
          <w:rFonts w:ascii="Verdana" w:eastAsia="Calibri" w:hAnsi="Verdana" w:cs="Arial"/>
        </w:rPr>
      </w:pPr>
      <w:r w:rsidRPr="00D640C3">
        <w:rPr>
          <w:rFonts w:ascii="Verdana" w:eastAsia="Calibri" w:hAnsi="Verdana" w:cs="Arial"/>
        </w:rPr>
        <w:tab/>
        <w:t xml:space="preserve">Visto el desarrollo jurisprudencial del tema, </w:t>
      </w:r>
      <w:r w:rsidR="001D1C03" w:rsidRPr="00D640C3">
        <w:rPr>
          <w:rFonts w:ascii="Verdana" w:eastAsia="Calibri" w:hAnsi="Verdana" w:cs="Arial"/>
        </w:rPr>
        <w:t xml:space="preserve">si bien, </w:t>
      </w:r>
      <w:r w:rsidR="00A20325" w:rsidRPr="00D640C3">
        <w:rPr>
          <w:rFonts w:ascii="Verdana" w:eastAsia="Calibri" w:hAnsi="Verdana" w:cs="Arial"/>
        </w:rPr>
        <w:t xml:space="preserve">no se </w:t>
      </w:r>
      <w:r w:rsidR="000857FA" w:rsidRPr="00D640C3">
        <w:rPr>
          <w:rFonts w:ascii="Verdana" w:eastAsia="Calibri" w:hAnsi="Verdana" w:cs="Arial"/>
        </w:rPr>
        <w:t xml:space="preserve">advierte que se haya </w:t>
      </w:r>
      <w:r w:rsidR="00D137E0" w:rsidRPr="00D640C3">
        <w:rPr>
          <w:rFonts w:ascii="Verdana" w:eastAsia="Calibri" w:hAnsi="Verdana" w:cs="Arial"/>
        </w:rPr>
        <w:t>expe</w:t>
      </w:r>
      <w:r w:rsidR="00CE4993" w:rsidRPr="00D640C3">
        <w:rPr>
          <w:rFonts w:ascii="Verdana" w:eastAsia="Calibri" w:hAnsi="Verdana" w:cs="Arial"/>
        </w:rPr>
        <w:t xml:space="preserve">dido </w:t>
      </w:r>
      <w:r w:rsidR="00C06C39" w:rsidRPr="00D640C3">
        <w:rPr>
          <w:rFonts w:ascii="Verdana" w:eastAsia="Calibri" w:hAnsi="Verdana" w:cs="Arial"/>
        </w:rPr>
        <w:t>sentencia de unificación sobre la materia, se advierte que</w:t>
      </w:r>
      <w:r w:rsidR="00AA71B6" w:rsidRPr="00D640C3">
        <w:rPr>
          <w:rFonts w:ascii="Verdana" w:eastAsia="Calibri" w:hAnsi="Verdana" w:cs="Arial"/>
        </w:rPr>
        <w:t xml:space="preserve">, </w:t>
      </w:r>
      <w:r w:rsidR="006A116B" w:rsidRPr="00D640C3">
        <w:rPr>
          <w:rFonts w:ascii="Verdana" w:eastAsia="Calibri" w:hAnsi="Verdana" w:cs="Arial"/>
        </w:rPr>
        <w:t xml:space="preserve">en </w:t>
      </w:r>
      <w:r w:rsidR="00A276FF" w:rsidRPr="00D640C3">
        <w:rPr>
          <w:rFonts w:ascii="Verdana" w:eastAsia="Calibri" w:hAnsi="Verdana" w:cs="Arial"/>
        </w:rPr>
        <w:t>l</w:t>
      </w:r>
      <w:r w:rsidR="00E9068F" w:rsidRPr="00D640C3">
        <w:rPr>
          <w:rFonts w:ascii="Verdana" w:eastAsia="Calibri" w:hAnsi="Verdana" w:cs="Arial"/>
        </w:rPr>
        <w:t xml:space="preserve">a jurisprudencia </w:t>
      </w:r>
      <w:r w:rsidR="00671FAE" w:rsidRPr="00D640C3">
        <w:rPr>
          <w:rFonts w:ascii="Verdana" w:eastAsia="Calibri" w:hAnsi="Verdana" w:cs="Arial"/>
        </w:rPr>
        <w:t>reciente de</w:t>
      </w:r>
      <w:r w:rsidR="0020441B" w:rsidRPr="00D640C3">
        <w:rPr>
          <w:rFonts w:ascii="Verdana" w:eastAsia="Calibri" w:hAnsi="Verdana" w:cs="Arial"/>
        </w:rPr>
        <w:t xml:space="preserve"> la Sección Tercera del</w:t>
      </w:r>
      <w:r w:rsidR="00671FAE" w:rsidRPr="00D640C3">
        <w:rPr>
          <w:rFonts w:ascii="Verdana" w:eastAsia="Calibri" w:hAnsi="Verdana" w:cs="Arial"/>
        </w:rPr>
        <w:t xml:space="preserve"> máximo tribunal judicial de las controversias contractuales</w:t>
      </w:r>
      <w:r w:rsidR="006D5242" w:rsidRPr="00D640C3">
        <w:rPr>
          <w:rFonts w:ascii="Verdana" w:eastAsia="Calibri" w:hAnsi="Verdana" w:cs="Arial"/>
        </w:rPr>
        <w:t xml:space="preserve"> </w:t>
      </w:r>
      <w:r w:rsidR="00204BF2" w:rsidRPr="00D640C3">
        <w:rPr>
          <w:rFonts w:ascii="Verdana" w:eastAsia="Calibri" w:hAnsi="Verdana" w:cs="Arial"/>
        </w:rPr>
        <w:t>del Estado</w:t>
      </w:r>
      <w:r w:rsidR="00AA71B6" w:rsidRPr="00D640C3">
        <w:rPr>
          <w:rFonts w:ascii="Verdana" w:eastAsia="Calibri" w:hAnsi="Verdana" w:cs="Arial"/>
        </w:rPr>
        <w:t xml:space="preserve">, existe cierto consenso en torno a la idea de que </w:t>
      </w:r>
      <w:r w:rsidR="00161E60" w:rsidRPr="00D640C3">
        <w:rPr>
          <w:rFonts w:ascii="Verdana" w:eastAsia="Calibri" w:hAnsi="Verdana" w:cs="Arial"/>
        </w:rPr>
        <w:t xml:space="preserve">las mayores cantidades de obra </w:t>
      </w:r>
      <w:r w:rsidR="0077324B" w:rsidRPr="00D640C3">
        <w:rPr>
          <w:rFonts w:ascii="Verdana" w:eastAsia="Calibri" w:hAnsi="Verdana" w:cs="Arial"/>
        </w:rPr>
        <w:t xml:space="preserve">en contratos </w:t>
      </w:r>
      <w:r w:rsidR="003F6768" w:rsidRPr="00D640C3">
        <w:rPr>
          <w:rFonts w:ascii="Verdana" w:eastAsia="Calibri" w:hAnsi="Verdana" w:cs="Arial"/>
        </w:rPr>
        <w:t xml:space="preserve">que utilizan la </w:t>
      </w:r>
      <w:r w:rsidR="00547256" w:rsidRPr="00D640C3">
        <w:rPr>
          <w:rFonts w:ascii="Verdana" w:eastAsia="Calibri" w:hAnsi="Verdana" w:cs="Arial"/>
        </w:rPr>
        <w:t>metodología de precios unitarios</w:t>
      </w:r>
      <w:r w:rsidR="00984B97" w:rsidRPr="00D640C3">
        <w:rPr>
          <w:rFonts w:ascii="Verdana" w:eastAsia="Calibri" w:hAnsi="Verdana" w:cs="Arial"/>
        </w:rPr>
        <w:t xml:space="preserve"> no implican adiciones del valor inicial del mismo, ya que este tiene un carácter indicativo. </w:t>
      </w:r>
      <w:r w:rsidR="004F65BE" w:rsidRPr="00D640C3">
        <w:rPr>
          <w:rFonts w:ascii="Verdana" w:eastAsia="Calibri" w:hAnsi="Verdana" w:cs="Arial"/>
        </w:rPr>
        <w:t xml:space="preserve">Con base en esto, </w:t>
      </w:r>
      <w:r w:rsidR="00CC002C" w:rsidRPr="00D640C3">
        <w:rPr>
          <w:rFonts w:ascii="Verdana" w:eastAsia="Calibri" w:hAnsi="Verdana" w:cs="Arial"/>
        </w:rPr>
        <w:t xml:space="preserve">dicha Sección ha establecido que el limite a las adiciones </w:t>
      </w:r>
      <w:r w:rsidR="008B6DBE" w:rsidRPr="00D640C3">
        <w:rPr>
          <w:rFonts w:ascii="Verdana" w:eastAsia="Calibri" w:hAnsi="Verdana" w:cs="Arial"/>
        </w:rPr>
        <w:t>previsto en el segundo inciso del parágrafo del artículo 40 de la Ley 80 de 1993, no</w:t>
      </w:r>
      <w:r w:rsidR="000A13C9" w:rsidRPr="00D640C3">
        <w:rPr>
          <w:rFonts w:ascii="Verdana" w:eastAsia="Calibri" w:hAnsi="Verdana" w:cs="Arial"/>
        </w:rPr>
        <w:t xml:space="preserve"> </w:t>
      </w:r>
      <w:r w:rsidR="00D12C5E" w:rsidRPr="00D640C3">
        <w:rPr>
          <w:rFonts w:ascii="Verdana" w:eastAsia="Calibri" w:hAnsi="Verdana" w:cs="Arial"/>
        </w:rPr>
        <w:t>impide que se ejecuten mayores cantidades de obra</w:t>
      </w:r>
      <w:r w:rsidR="00DF3246" w:rsidRPr="00D640C3">
        <w:rPr>
          <w:rFonts w:ascii="Verdana" w:eastAsia="Calibri" w:hAnsi="Verdana" w:cs="Arial"/>
        </w:rPr>
        <w:t>s</w:t>
      </w:r>
      <w:r w:rsidR="00501074" w:rsidRPr="00D640C3">
        <w:rPr>
          <w:rFonts w:ascii="Verdana" w:eastAsia="Calibri" w:hAnsi="Verdana" w:cs="Arial"/>
        </w:rPr>
        <w:t xml:space="preserve"> a las inicialmente estimadas</w:t>
      </w:r>
      <w:r w:rsidR="009B7BA2" w:rsidRPr="00D640C3">
        <w:rPr>
          <w:rFonts w:ascii="Verdana" w:eastAsia="Calibri" w:hAnsi="Verdana" w:cs="Arial"/>
        </w:rPr>
        <w:t>, por valores incluso mayores al 50% del valor estimado al inicio de la ejecución,</w:t>
      </w:r>
      <w:r w:rsidR="00DF3246" w:rsidRPr="00D640C3">
        <w:rPr>
          <w:rFonts w:ascii="Verdana" w:eastAsia="Calibri" w:hAnsi="Verdana" w:cs="Arial"/>
        </w:rPr>
        <w:t xml:space="preserve"> siempre que hayan sido autorizadas por la entidad contratante</w:t>
      </w:r>
      <w:r w:rsidR="00150DBC" w:rsidRPr="00D640C3">
        <w:rPr>
          <w:rFonts w:ascii="Verdana" w:eastAsia="Calibri" w:hAnsi="Verdana" w:cs="Arial"/>
        </w:rPr>
        <w:t xml:space="preserve">. </w:t>
      </w:r>
      <w:r w:rsidR="004F65BE" w:rsidRPr="00D640C3">
        <w:rPr>
          <w:rFonts w:ascii="Verdana" w:eastAsia="Calibri" w:hAnsi="Verdana" w:cs="Arial"/>
        </w:rPr>
        <w:t xml:space="preserve">En atención a esto, esta Subdirección acoge la postura </w:t>
      </w:r>
      <w:r w:rsidR="00906590" w:rsidRPr="00D640C3">
        <w:rPr>
          <w:rFonts w:ascii="Verdana" w:eastAsia="Calibri" w:hAnsi="Verdana" w:cs="Arial"/>
        </w:rPr>
        <w:t>asumida</w:t>
      </w:r>
      <w:r w:rsidR="00DA23B1" w:rsidRPr="00D640C3">
        <w:rPr>
          <w:rFonts w:ascii="Verdana" w:eastAsia="Calibri" w:hAnsi="Verdana" w:cs="Arial"/>
        </w:rPr>
        <w:t xml:space="preserve"> por </w:t>
      </w:r>
      <w:r w:rsidR="00307B85" w:rsidRPr="00D640C3">
        <w:rPr>
          <w:rFonts w:ascii="Verdana" w:eastAsia="Calibri" w:hAnsi="Verdana" w:cs="Arial"/>
        </w:rPr>
        <w:t xml:space="preserve">la Sentencia del 24 de abril de 2024, </w:t>
      </w:r>
      <w:r w:rsidR="00190DF7" w:rsidRPr="00D640C3">
        <w:rPr>
          <w:rFonts w:ascii="Verdana" w:eastAsia="Calibri" w:hAnsi="Verdana" w:cs="Arial"/>
        </w:rPr>
        <w:t xml:space="preserve"> y abandona la expuesta en los conceptos</w:t>
      </w:r>
      <w:r w:rsidR="00307B85" w:rsidRPr="00D640C3">
        <w:rPr>
          <w:rFonts w:ascii="Verdana" w:eastAsia="Calibri" w:hAnsi="Verdana" w:cs="Arial"/>
        </w:rPr>
        <w:t xml:space="preserve"> </w:t>
      </w:r>
      <w:r w:rsidR="004F65BE" w:rsidRPr="00D640C3">
        <w:rPr>
          <w:rFonts w:ascii="Verdana" w:hAnsi="Verdana" w:cs="Arial"/>
          <w:szCs w:val="24"/>
          <w:lang w:val="es-MX" w:eastAsia="es-ES_tradnl"/>
        </w:rPr>
        <w:t xml:space="preserve">C-062 del 25 de marzo de 2020, C-100 del 27 de marzo de 2020, </w:t>
      </w:r>
      <w:r w:rsidR="004F65BE" w:rsidRPr="00D640C3">
        <w:rPr>
          <w:rFonts w:ascii="Verdana" w:hAnsi="Verdana" w:cs="Arial"/>
          <w:szCs w:val="24"/>
          <w:lang w:eastAsia="es-ES_tradnl"/>
        </w:rPr>
        <w:t>C-318 del 28 de mayo de 2020, C–452 del 28 de julio de 2020,</w:t>
      </w:r>
      <w:r w:rsidR="004F65BE" w:rsidRPr="00D640C3">
        <w:rPr>
          <w:rFonts w:ascii="Verdana" w:hAnsi="Verdana" w:cs="Arial"/>
          <w:bCs/>
          <w:szCs w:val="24"/>
          <w:lang w:eastAsia="es-ES_tradnl"/>
        </w:rPr>
        <w:t xml:space="preserve"> C-560 del 24 de agosto de 2020, C-628 del 23 de septiembre del 2020,</w:t>
      </w:r>
      <w:r w:rsidR="004F65BE" w:rsidRPr="00D640C3">
        <w:rPr>
          <w:rFonts w:ascii="Verdana" w:hAnsi="Verdana" w:cs="Arial"/>
          <w:szCs w:val="24"/>
          <w:lang w:eastAsia="es-ES_tradnl"/>
        </w:rPr>
        <w:t xml:space="preserve"> C-750 del 21 de diciembre de 2020,</w:t>
      </w:r>
      <w:r w:rsidR="004F65BE" w:rsidRPr="00D640C3">
        <w:rPr>
          <w:rFonts w:ascii="Verdana" w:hAnsi="Verdana" w:cs="Arial"/>
          <w:bCs/>
          <w:szCs w:val="24"/>
          <w:lang w:eastAsia="es-ES_tradnl"/>
        </w:rPr>
        <w:t xml:space="preserve"> C-073 de 16 de marzo de 2021, C-277 de 21 de junio de 2021, C-644 de 18 de noviembre de 2021, C-755 de 21 de enero de 2022, C-152 de 1 de abril de 2022, C-267 de 5 de mayo de 2022, C-432 de 13 de julio de 2022, C-630 del 29 de septiembre de 2022</w:t>
      </w:r>
      <w:r w:rsidR="00190DF7" w:rsidRPr="00D640C3">
        <w:rPr>
          <w:rFonts w:ascii="Verdana" w:hAnsi="Verdana" w:cs="Arial"/>
          <w:bCs/>
          <w:szCs w:val="24"/>
          <w:lang w:eastAsia="es-ES_tradnl"/>
        </w:rPr>
        <w:t>,</w:t>
      </w:r>
      <w:r w:rsidR="004F65BE" w:rsidRPr="00D640C3">
        <w:rPr>
          <w:rFonts w:ascii="Verdana" w:hAnsi="Verdana" w:cs="Arial"/>
          <w:bCs/>
          <w:szCs w:val="24"/>
          <w:lang w:eastAsia="es-ES_tradnl"/>
        </w:rPr>
        <w:t xml:space="preserve"> C-784 del 21 de noviembre de 2022,</w:t>
      </w:r>
      <w:r w:rsidR="00190DF7" w:rsidRPr="00D640C3">
        <w:rPr>
          <w:rFonts w:ascii="Verdana" w:hAnsi="Verdana" w:cs="Arial"/>
          <w:bCs/>
          <w:szCs w:val="24"/>
          <w:lang w:eastAsia="es-ES_tradnl"/>
        </w:rPr>
        <w:t xml:space="preserve"> entre otros. </w:t>
      </w:r>
      <w:r w:rsidR="004F65BE" w:rsidRPr="00D640C3">
        <w:rPr>
          <w:rFonts w:ascii="Verdana" w:hAnsi="Verdana" w:cs="Arial"/>
          <w:szCs w:val="24"/>
          <w:lang w:val="es-MX" w:eastAsia="es-ES_tradnl"/>
        </w:rPr>
        <w:t xml:space="preserve"> </w:t>
      </w:r>
      <w:r w:rsidR="003D4813" w:rsidRPr="00D640C3">
        <w:rPr>
          <w:rFonts w:ascii="Verdana" w:eastAsia="Calibri" w:hAnsi="Verdana" w:cs="Arial"/>
        </w:rPr>
        <w:t xml:space="preserve"> </w:t>
      </w:r>
      <w:r w:rsidR="00984B97" w:rsidRPr="00D640C3">
        <w:rPr>
          <w:rFonts w:ascii="Verdana" w:eastAsia="Calibri" w:hAnsi="Verdana" w:cs="Arial"/>
        </w:rPr>
        <w:t xml:space="preserve"> </w:t>
      </w:r>
      <w:r w:rsidR="009434BE" w:rsidRPr="00D640C3">
        <w:rPr>
          <w:rFonts w:ascii="Verdana" w:eastAsia="Calibri" w:hAnsi="Verdana" w:cs="Arial"/>
        </w:rPr>
        <w:tab/>
      </w:r>
      <w:bookmarkStart w:id="8" w:name="_Hlk176963691"/>
    </w:p>
    <w:p w14:paraId="647E32B4" w14:textId="5F644842" w:rsidR="009434BE" w:rsidRPr="00D640C3" w:rsidRDefault="00190DF7" w:rsidP="00B15536">
      <w:pPr>
        <w:widowControl w:val="0"/>
        <w:autoSpaceDE w:val="0"/>
        <w:autoSpaceDN w:val="0"/>
        <w:spacing w:after="120" w:line="276" w:lineRule="auto"/>
        <w:ind w:firstLine="708"/>
        <w:jc w:val="both"/>
        <w:rPr>
          <w:rFonts w:ascii="Verdana" w:eastAsia="Calibri" w:hAnsi="Verdana" w:cs="Arial"/>
        </w:rPr>
      </w:pPr>
      <w:r w:rsidRPr="00D640C3">
        <w:rPr>
          <w:rFonts w:ascii="Verdana" w:eastAsia="Calibri" w:hAnsi="Verdana" w:cs="Arial"/>
        </w:rPr>
        <w:t>Sin perjuicio de lo anterior</w:t>
      </w:r>
      <w:r w:rsidR="009434BE" w:rsidRPr="00D640C3">
        <w:rPr>
          <w:rFonts w:ascii="Verdana" w:eastAsia="Calibri" w:hAnsi="Verdana" w:cs="Arial"/>
        </w:rPr>
        <w:t xml:space="preserve">, es menester indicar que, la concepción de mayores cantidades de obra, como expresión del contrato original sin valor determinado, aunque determinable, no puede dar lugar a una ampliación ilimitada de estos contratos, pues no se encuentran exentos de la aplicación del principio de planeación. Por consiguiente, pese a la variación de las cantidades de obra, los contratos a precios unitarios si tienen un valor inicial que obedece </w:t>
      </w:r>
      <w:r w:rsidR="009434BE" w:rsidRPr="00D640C3">
        <w:rPr>
          <w:rFonts w:ascii="Verdana" w:eastAsia="Calibri" w:hAnsi="Verdana" w:cs="Arial"/>
        </w:rPr>
        <w:lastRenderedPageBreak/>
        <w:t>a la estructuración y planificación que los procede</w:t>
      </w:r>
      <w:bookmarkEnd w:id="8"/>
      <w:r w:rsidR="009434BE" w:rsidRPr="00D640C3">
        <w:rPr>
          <w:rStyle w:val="Refdenotaalpie"/>
          <w:rFonts w:ascii="Verdana" w:eastAsia="Calibri" w:hAnsi="Verdana" w:cs="Arial"/>
        </w:rPr>
        <w:footnoteReference w:id="23"/>
      </w:r>
      <w:r w:rsidR="009434BE" w:rsidRPr="00D640C3">
        <w:rPr>
          <w:rFonts w:ascii="Verdana" w:eastAsia="Calibri" w:hAnsi="Verdana" w:cs="Arial"/>
        </w:rPr>
        <w:t xml:space="preserve">. En ese sentido, aun cuando el Consejo de Estado ha considerado la posibilidad de </w:t>
      </w:r>
      <w:r w:rsidRPr="00D640C3">
        <w:rPr>
          <w:rFonts w:ascii="Verdana" w:eastAsia="Calibri" w:hAnsi="Verdana" w:cs="Arial"/>
        </w:rPr>
        <w:t xml:space="preserve">ejecutar </w:t>
      </w:r>
      <w:r w:rsidR="00695E5C" w:rsidRPr="00D640C3">
        <w:rPr>
          <w:rFonts w:ascii="Verdana" w:eastAsia="Calibri" w:hAnsi="Verdana" w:cs="Arial"/>
        </w:rPr>
        <w:t>incluso en valores mayores</w:t>
      </w:r>
      <w:r w:rsidR="009434BE" w:rsidRPr="00D640C3">
        <w:rPr>
          <w:rFonts w:ascii="Verdana" w:eastAsia="Calibri" w:hAnsi="Verdana" w:cs="Arial"/>
        </w:rPr>
        <w:t xml:space="preserve"> </w:t>
      </w:r>
      <w:r w:rsidR="00695E5C" w:rsidRPr="00D640C3">
        <w:rPr>
          <w:rFonts w:ascii="Verdana" w:eastAsia="Calibri" w:hAnsi="Verdana" w:cs="Arial"/>
        </w:rPr>
        <w:t>al</w:t>
      </w:r>
      <w:r w:rsidR="009434BE" w:rsidRPr="00D640C3">
        <w:rPr>
          <w:rFonts w:ascii="Verdana" w:eastAsia="Calibri" w:hAnsi="Verdana" w:cs="Arial"/>
        </w:rPr>
        <w:t xml:space="preserve"> cincuenta por ciento (50%) en el sistema de precios unitarios, lo cierto es que no por ello se d</w:t>
      </w:r>
      <w:r w:rsidR="0065685A" w:rsidRPr="00D640C3">
        <w:rPr>
          <w:rFonts w:ascii="Verdana" w:eastAsia="Calibri" w:hAnsi="Verdana" w:cs="Arial"/>
        </w:rPr>
        <w:t>ejan de</w:t>
      </w:r>
      <w:r w:rsidR="009434BE" w:rsidRPr="00D640C3">
        <w:rPr>
          <w:rFonts w:ascii="Verdana" w:eastAsia="Calibri" w:hAnsi="Verdana" w:cs="Arial"/>
        </w:rPr>
        <w:t xml:space="preserve"> señalar </w:t>
      </w:r>
      <w:r w:rsidR="0065685A" w:rsidRPr="00D640C3">
        <w:rPr>
          <w:rFonts w:ascii="Verdana" w:eastAsia="Calibri" w:hAnsi="Verdana" w:cs="Arial"/>
        </w:rPr>
        <w:t>posible</w:t>
      </w:r>
      <w:r w:rsidR="0052538D" w:rsidRPr="00D640C3">
        <w:rPr>
          <w:rFonts w:ascii="Verdana" w:eastAsia="Calibri" w:hAnsi="Verdana" w:cs="Arial"/>
        </w:rPr>
        <w:t>s</w:t>
      </w:r>
      <w:r w:rsidR="0065685A" w:rsidRPr="00D640C3">
        <w:rPr>
          <w:rFonts w:ascii="Verdana" w:eastAsia="Calibri" w:hAnsi="Verdana" w:cs="Arial"/>
        </w:rPr>
        <w:t xml:space="preserve"> </w:t>
      </w:r>
      <w:r w:rsidR="009434BE" w:rsidRPr="00D640C3">
        <w:rPr>
          <w:rFonts w:ascii="Verdana" w:eastAsia="Calibri" w:hAnsi="Verdana" w:cs="Arial"/>
        </w:rPr>
        <w:t>falencias en la planeación</w:t>
      </w:r>
      <w:r w:rsidR="0052538D" w:rsidRPr="00D640C3">
        <w:rPr>
          <w:rFonts w:ascii="Verdana" w:eastAsia="Calibri" w:hAnsi="Verdana" w:cs="Arial"/>
        </w:rPr>
        <w:t xml:space="preserve"> en estos supuestos</w:t>
      </w:r>
      <w:r w:rsidR="009434BE" w:rsidRPr="00D640C3">
        <w:rPr>
          <w:rFonts w:ascii="Verdana" w:eastAsia="Calibri" w:hAnsi="Verdana" w:cs="Arial"/>
        </w:rPr>
        <w:t xml:space="preserve">. </w:t>
      </w:r>
    </w:p>
    <w:p w14:paraId="45B5A5E0" w14:textId="2824803D" w:rsidR="009434BE" w:rsidRPr="00D640C3" w:rsidRDefault="0028285D" w:rsidP="00B15536">
      <w:pPr>
        <w:widowControl w:val="0"/>
        <w:autoSpaceDE w:val="0"/>
        <w:autoSpaceDN w:val="0"/>
        <w:spacing w:after="0" w:line="276" w:lineRule="auto"/>
        <w:ind w:firstLine="709"/>
        <w:jc w:val="both"/>
        <w:rPr>
          <w:rFonts w:ascii="Verdana" w:eastAsia="Calibri" w:hAnsi="Verdana" w:cs="Arial"/>
          <w:lang w:val="es-ES" w:eastAsia="es-ES"/>
        </w:rPr>
      </w:pPr>
      <w:r w:rsidRPr="00D640C3">
        <w:rPr>
          <w:rFonts w:ascii="Verdana" w:eastAsia="Calibri" w:hAnsi="Verdana" w:cs="Arial"/>
        </w:rPr>
        <w:t>E</w:t>
      </w:r>
      <w:r w:rsidR="009434BE" w:rsidRPr="00D640C3">
        <w:rPr>
          <w:rFonts w:ascii="Verdana" w:eastAsia="Calibri" w:hAnsi="Verdana" w:cs="Arial"/>
        </w:rPr>
        <w:t xml:space="preserve">l </w:t>
      </w:r>
      <w:r w:rsidR="009434BE" w:rsidRPr="00D640C3">
        <w:rPr>
          <w:rFonts w:ascii="Verdana" w:eastAsia="Calibri" w:hAnsi="Verdana" w:cs="Arial"/>
          <w:i/>
          <w:iCs/>
        </w:rPr>
        <w:t>principio de planeación</w:t>
      </w:r>
      <w:r w:rsidR="009434BE" w:rsidRPr="00D640C3">
        <w:rPr>
          <w:rFonts w:ascii="Verdana" w:eastAsia="Calibri" w:hAnsi="Verdana" w:cs="Arial"/>
        </w:rPr>
        <w:t xml:space="preserve"> exige a las entidades </w:t>
      </w:r>
      <w:r w:rsidR="009434BE" w:rsidRPr="00D640C3">
        <w:rPr>
          <w:rFonts w:ascii="Verdana" w:eastAsia="Calibri" w:hAnsi="Verdana" w:cs="Arial"/>
          <w:bCs/>
          <w:lang w:val="es-ES_tradnl" w:eastAsia="es-ES_tradnl"/>
        </w:rPr>
        <w:t xml:space="preserve">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w:t>
      </w:r>
      <w:r w:rsidR="009434BE" w:rsidRPr="00D640C3">
        <w:rPr>
          <w:rFonts w:ascii="Verdana" w:eastAsia="Calibri" w:hAnsi="Verdana" w:cs="Arial"/>
          <w:bCs/>
          <w:i/>
          <w:iCs/>
          <w:lang w:val="es-ES_tradnl" w:eastAsia="es-ES_tradnl"/>
        </w:rPr>
        <w:t>precios</w:t>
      </w:r>
      <w:r w:rsidR="009434BE" w:rsidRPr="00D640C3">
        <w:rPr>
          <w:rFonts w:ascii="Verdana" w:eastAsia="Calibri" w:hAnsi="Verdana" w:cs="Arial"/>
          <w:bCs/>
          <w:lang w:val="es-ES_tradnl" w:eastAsia="es-ES_tradnl"/>
        </w:rPr>
        <w:t>, costos, riesgos, garantías, disponibilidad, oferentes, etc. Lo anterior con la finalidad de realizar la escogencia diligente de la mejor oferta, para beneficiar los intereses y fines públicos inmersos en la contratación de las Entidades Estatales.</w:t>
      </w:r>
      <w:r w:rsidRPr="00D640C3">
        <w:rPr>
          <w:rFonts w:ascii="Verdana" w:eastAsia="Calibri" w:hAnsi="Verdana" w:cs="Arial"/>
          <w:bCs/>
          <w:lang w:val="es-ES_tradnl" w:eastAsia="es-ES_tradnl"/>
        </w:rPr>
        <w:t xml:space="preserve"> </w:t>
      </w:r>
      <w:r w:rsidR="009434BE" w:rsidRPr="00D640C3">
        <w:rPr>
          <w:rFonts w:ascii="Verdana" w:eastAsia="Calibri" w:hAnsi="Verdana" w:cs="Arial"/>
          <w:bCs/>
          <w:lang w:val="es-ES_tradnl" w:eastAsia="es-ES_tradnl"/>
        </w:rPr>
        <w:t xml:space="preserve">Sumado a lo anterior, la posibilidad de adicionar un contrato cuyo pago se pacta bajo la modalidad de precios unitarios no puede usarse para inaplicar o desconocer la modalidad de selección aplicable al caso, de acuerdo con la cuantía del Proceso de Contratación, con miras a garantizar la transparencia, la selección objetiva y el principio de planeación en la actividad contractual. </w:t>
      </w:r>
    </w:p>
    <w:p w14:paraId="64A965CE" w14:textId="77777777" w:rsidR="009434BE" w:rsidRPr="00B15536" w:rsidRDefault="009434BE" w:rsidP="00B15536">
      <w:pPr>
        <w:widowControl w:val="0"/>
        <w:autoSpaceDE w:val="0"/>
        <w:autoSpaceDN w:val="0"/>
        <w:spacing w:after="0" w:line="276" w:lineRule="auto"/>
        <w:jc w:val="both"/>
        <w:rPr>
          <w:rFonts w:ascii="Verdana" w:hAnsi="Verdana" w:cs="Arial"/>
        </w:rPr>
      </w:pPr>
    </w:p>
    <w:p w14:paraId="51B36B19" w14:textId="77777777" w:rsidR="009434BE" w:rsidRPr="00B15536" w:rsidRDefault="009434BE" w:rsidP="00B155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15536">
        <w:rPr>
          <w:rFonts w:ascii="Verdana" w:eastAsia="Century Gothic" w:hAnsi="Verdana" w:cs="Century Gothic"/>
          <w:b/>
          <w:bCs/>
        </w:rPr>
        <w:t>Referencias normativas, jurisprudenciales y otras fuentes:</w:t>
      </w:r>
    </w:p>
    <w:p w14:paraId="6B20810F" w14:textId="77777777" w:rsidR="009434BE" w:rsidRPr="00B15536" w:rsidRDefault="009434BE" w:rsidP="00B1553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434BE" w:rsidRPr="00B15536" w14:paraId="45622BF2" w14:textId="77777777">
        <w:trPr>
          <w:trHeight w:val="870"/>
        </w:trPr>
        <w:tc>
          <w:tcPr>
            <w:tcW w:w="8647" w:type="dxa"/>
          </w:tcPr>
          <w:p w14:paraId="59041AA1" w14:textId="77777777" w:rsidR="009434BE" w:rsidRPr="00B15536" w:rsidRDefault="009434BE" w:rsidP="00B15536">
            <w:pPr>
              <w:pStyle w:val="Prrafodelista"/>
              <w:widowControl w:val="0"/>
              <w:numPr>
                <w:ilvl w:val="0"/>
                <w:numId w:val="17"/>
              </w:numPr>
              <w:autoSpaceDE w:val="0"/>
              <w:autoSpaceDN w:val="0"/>
              <w:spacing w:line="276" w:lineRule="auto"/>
              <w:contextualSpacing w:val="0"/>
              <w:jc w:val="both"/>
              <w:rPr>
                <w:rFonts w:ascii="Verdana" w:hAnsi="Verdana" w:cs="Arial"/>
              </w:rPr>
            </w:pPr>
            <w:r w:rsidRPr="00B15536">
              <w:rPr>
                <w:rFonts w:ascii="Verdana" w:hAnsi="Verdana" w:cs="Arial"/>
              </w:rPr>
              <w:t xml:space="preserve">Ley 80 de 1993: Artículo 40. </w:t>
            </w:r>
          </w:p>
          <w:p w14:paraId="1071D9E8" w14:textId="77777777" w:rsidR="00D46F9E" w:rsidRPr="00B15536" w:rsidRDefault="00D46F9E" w:rsidP="00B15536">
            <w:pPr>
              <w:pStyle w:val="Prrafodelista"/>
              <w:widowControl w:val="0"/>
              <w:autoSpaceDE w:val="0"/>
              <w:autoSpaceDN w:val="0"/>
              <w:spacing w:line="276" w:lineRule="auto"/>
              <w:contextualSpacing w:val="0"/>
              <w:jc w:val="both"/>
              <w:rPr>
                <w:rFonts w:ascii="Verdana" w:hAnsi="Verdana" w:cs="Arial"/>
              </w:rPr>
            </w:pPr>
          </w:p>
          <w:p w14:paraId="6B3ECEC5"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Subsección B. Sentencia del 14 de octubre de 2011.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20811, C.P. Ruth Stella Correa Palacio.</w:t>
            </w:r>
          </w:p>
          <w:p w14:paraId="638F5519"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0CC091E7"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Sala De Consulta Y Servicio Civil. Consejero ponente: Édgar González López. 5 de septiembre de 2018. Expediente: 2386. </w:t>
            </w:r>
          </w:p>
          <w:p w14:paraId="5E0FE02E"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  </w:t>
            </w:r>
          </w:p>
          <w:p w14:paraId="22183E19"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Sala de Consulta y Servicio Civil, Concepto 1128 del 26 de agosto de 1998, C.P. César Hoyos Salazar. </w:t>
            </w:r>
          </w:p>
          <w:p w14:paraId="17130273"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  </w:t>
            </w:r>
          </w:p>
          <w:p w14:paraId="4F51C68D"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Sentencia del 14 de abril de 2010.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36.054. C.P.: Enrique Gil Botero.</w:t>
            </w:r>
          </w:p>
          <w:p w14:paraId="0F3AE1B9"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60F22928"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Sentencia del 20 de noviembre de 2008.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xml:space="preserve">. 17.031. </w:t>
            </w:r>
            <w:proofErr w:type="gramStart"/>
            <w:r w:rsidRPr="00B15536">
              <w:rPr>
                <w:rFonts w:ascii="Verdana" w:eastAsia="Calibri" w:hAnsi="Verdana" w:cs="Arial"/>
                <w:lang w:val="es-MX"/>
              </w:rPr>
              <w:t>C.P:,</w:t>
            </w:r>
            <w:proofErr w:type="gramEnd"/>
            <w:r w:rsidRPr="00B15536">
              <w:rPr>
                <w:rFonts w:ascii="Verdana" w:eastAsia="Calibri" w:hAnsi="Verdana" w:cs="Arial"/>
                <w:lang w:val="es-MX"/>
              </w:rPr>
              <w:t xml:space="preserve"> Ruth Stella Correa Palacio. Ver también: </w:t>
            </w:r>
            <w:r w:rsidR="009434BE" w:rsidRPr="00B15536">
              <w:rPr>
                <w:rFonts w:ascii="Verdana" w:eastAsia="Calibri" w:hAnsi="Verdana" w:cs="Arial"/>
                <w:lang w:val="es-MX"/>
              </w:rPr>
              <w:t xml:space="preserve">Consejo de Estado, Sección Tercera, </w:t>
            </w:r>
            <w:r w:rsidRPr="00B15536">
              <w:rPr>
                <w:rFonts w:ascii="Verdana" w:eastAsia="Calibri" w:hAnsi="Verdana" w:cs="Arial"/>
                <w:lang w:val="es-MX"/>
              </w:rPr>
              <w:t xml:space="preserve">sentencia 18 de septiembre de 2003,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15.119, C.P. Ramiro Saavedra Becerra.</w:t>
            </w:r>
          </w:p>
          <w:p w14:paraId="4521D127"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3D61950B"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CONSEJO DE ESTADO. Sección tercera. Sentencia del 9 de julio de 2021. Radicación Nro. 52045.C.P.; Alberto Montaña Plata. Aclaración de voto: Alexander Jojoa Bolaños.</w:t>
            </w:r>
          </w:p>
          <w:p w14:paraId="639F9299"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7BC7DBFC"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CONSEJO DE ESTADO. Sección Tercera. Sentencia del 6 de agosto de 1987. Expediente 3886.</w:t>
            </w:r>
          </w:p>
          <w:p w14:paraId="3D4F3BAC"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23B10955"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CONSEJO DE ESTADO. Sección Tercera. Sentencia del 18 de julio de 2002. Expediente 22178.</w:t>
            </w:r>
          </w:p>
          <w:p w14:paraId="59BFBF2B"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2C15C4CA"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CONSEJO DE ESTADO. Sala de Consulta y del Servicio Civil.  Concepto del 18 de julio de 2022. Expediente 1439. Consejera Ponente: Dra. Susana Montes de Echeverri.</w:t>
            </w:r>
          </w:p>
          <w:p w14:paraId="5A2B5000"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4AA8E8F1"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Subsección A, Sentencia del 22 de agosto de 2023.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No. 58634, C.P. María Adriana Marín.</w:t>
            </w:r>
          </w:p>
          <w:p w14:paraId="4CFD3054"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2833EAFF"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w:t>
            </w:r>
            <w:r w:rsidR="009434BE" w:rsidRPr="00B15536">
              <w:rPr>
                <w:rFonts w:ascii="Verdana" w:eastAsia="Calibri" w:hAnsi="Verdana" w:cs="Arial"/>
                <w:lang w:val="es-MX"/>
              </w:rPr>
              <w:t xml:space="preserve">Subsección C. Sentencia del 19 de septiembre de 2022.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No. 54714. C.P. Jaime Enrique Rodríguez Navas.</w:t>
            </w:r>
          </w:p>
          <w:p w14:paraId="6ACB025D"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 </w:t>
            </w:r>
          </w:p>
          <w:p w14:paraId="09269FCD"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CONSEJO DE ESTADO, Sección Tercera, Subsección C, Sentencia del 24 de abril de 2024. </w:t>
            </w:r>
            <w:proofErr w:type="spellStart"/>
            <w:r w:rsidRPr="00B15536">
              <w:rPr>
                <w:rFonts w:ascii="Verdana" w:eastAsia="Calibri" w:hAnsi="Verdana" w:cs="Arial"/>
                <w:lang w:val="es-MX"/>
              </w:rPr>
              <w:t>Exp</w:t>
            </w:r>
            <w:proofErr w:type="spellEnd"/>
            <w:r w:rsidRPr="00B15536">
              <w:rPr>
                <w:rFonts w:ascii="Verdana" w:eastAsia="Calibri" w:hAnsi="Verdana" w:cs="Arial"/>
                <w:lang w:val="es-MX"/>
              </w:rPr>
              <w:t>. No. 67095, C.P. Nicolás Yepes Corrales.</w:t>
            </w:r>
          </w:p>
          <w:p w14:paraId="29CD323F"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400D6C42" w14:textId="77777777" w:rsidR="007A060F"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BENAVIDES, José Luis. Contratos Públicos. Estudios. Temas de Derecho Administrativo No. 5. Universidad Externado de Colombia. 2014.</w:t>
            </w:r>
          </w:p>
          <w:p w14:paraId="5DFF03DB" w14:textId="77777777" w:rsidR="007A060F" w:rsidRPr="00B15536" w:rsidRDefault="007A060F" w:rsidP="00B15536">
            <w:pPr>
              <w:pStyle w:val="Prrafodelista"/>
              <w:widowControl w:val="0"/>
              <w:autoSpaceDE w:val="0"/>
              <w:autoSpaceDN w:val="0"/>
              <w:spacing w:line="276" w:lineRule="auto"/>
              <w:contextualSpacing w:val="0"/>
              <w:jc w:val="both"/>
              <w:rPr>
                <w:rFonts w:ascii="Verdana" w:eastAsia="Calibri" w:hAnsi="Verdana" w:cs="Arial"/>
                <w:lang w:val="es-MX"/>
              </w:rPr>
            </w:pPr>
          </w:p>
          <w:p w14:paraId="179206A1" w14:textId="77777777" w:rsidR="00D640C3"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lang w:val="es-MX"/>
              </w:rPr>
            </w:pPr>
            <w:r w:rsidRPr="00B15536">
              <w:rPr>
                <w:rFonts w:ascii="Verdana" w:eastAsia="Calibri" w:hAnsi="Verdana" w:cs="Arial"/>
                <w:lang w:val="es-MX"/>
              </w:rPr>
              <w:t xml:space="preserve">DÁVILA VINUEZA, Luis Guillermo. Régimen jurídico de la contratación estatal. Tercera edición, Bogotá: Legis, 2016. </w:t>
            </w:r>
          </w:p>
          <w:p w14:paraId="5815112C" w14:textId="77777777" w:rsidR="00D640C3" w:rsidRPr="00B15536" w:rsidRDefault="00D640C3" w:rsidP="00B15536">
            <w:pPr>
              <w:pStyle w:val="Prrafodelista"/>
              <w:spacing w:line="276" w:lineRule="auto"/>
              <w:contextualSpacing w:val="0"/>
              <w:rPr>
                <w:rFonts w:ascii="Verdana" w:eastAsia="Calibri" w:hAnsi="Verdana" w:cs="Arial"/>
              </w:rPr>
            </w:pPr>
          </w:p>
          <w:p w14:paraId="0D7E67D6" w14:textId="6EC47FAA" w:rsidR="009434BE" w:rsidRPr="00B15536" w:rsidRDefault="007A060F" w:rsidP="00B15536">
            <w:pPr>
              <w:pStyle w:val="Prrafodelista"/>
              <w:widowControl w:val="0"/>
              <w:numPr>
                <w:ilvl w:val="0"/>
                <w:numId w:val="17"/>
              </w:numPr>
              <w:autoSpaceDE w:val="0"/>
              <w:autoSpaceDN w:val="0"/>
              <w:spacing w:line="276" w:lineRule="auto"/>
              <w:contextualSpacing w:val="0"/>
              <w:jc w:val="both"/>
              <w:rPr>
                <w:rFonts w:ascii="Verdana" w:eastAsia="Calibri" w:hAnsi="Verdana" w:cs="Arial"/>
                <w:sz w:val="20"/>
                <w:szCs w:val="20"/>
                <w:lang w:val="es-MX"/>
              </w:rPr>
            </w:pPr>
            <w:r w:rsidRPr="00B15536">
              <w:rPr>
                <w:rFonts w:ascii="Verdana" w:eastAsia="Calibri" w:hAnsi="Verdana" w:cs="Arial"/>
              </w:rPr>
              <w:t xml:space="preserve">MARÍN CORTÉS. Fabián G. El precio. Serie: Las Cláusulas del Contrato Estatal. Medellín: Centro de Estudios de Derecho Administrativo ― CEDA </w:t>
            </w:r>
            <w:r w:rsidRPr="00B15536">
              <w:rPr>
                <w:rFonts w:ascii="Verdana" w:eastAsia="Calibri" w:hAnsi="Verdana" w:cs="Arial"/>
              </w:rPr>
              <w:lastRenderedPageBreak/>
              <w:t>y Librería Jurídica Sánchez, 2012</w:t>
            </w:r>
            <w:r w:rsidR="00D640C3" w:rsidRPr="00B15536">
              <w:rPr>
                <w:rFonts w:ascii="Verdana" w:eastAsia="Calibri" w:hAnsi="Verdana" w:cs="Arial"/>
              </w:rPr>
              <w:t>.</w:t>
            </w:r>
          </w:p>
        </w:tc>
      </w:tr>
    </w:tbl>
    <w:p w14:paraId="623CCD63" w14:textId="77777777" w:rsidR="009434BE" w:rsidRPr="00B15536" w:rsidRDefault="009434BE" w:rsidP="00B15536">
      <w:pPr>
        <w:widowControl w:val="0"/>
        <w:autoSpaceDE w:val="0"/>
        <w:autoSpaceDN w:val="0"/>
        <w:spacing w:after="0" w:line="276" w:lineRule="auto"/>
        <w:jc w:val="both"/>
        <w:rPr>
          <w:rFonts w:ascii="Verdana" w:hAnsi="Verdana" w:cs="Arial"/>
        </w:rPr>
      </w:pPr>
    </w:p>
    <w:p w14:paraId="51A02D13" w14:textId="77777777" w:rsidR="009434BE" w:rsidRPr="00B15536" w:rsidRDefault="009434BE" w:rsidP="00B1553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15536">
        <w:rPr>
          <w:rFonts w:ascii="Verdana" w:eastAsia="Century Gothic" w:hAnsi="Verdana" w:cs="Century Gothic"/>
          <w:b/>
          <w:bCs/>
        </w:rPr>
        <w:t>Doctrina de la Agencia Nacional de Contratación Pública:</w:t>
      </w:r>
    </w:p>
    <w:p w14:paraId="08EE1124" w14:textId="77777777" w:rsidR="009434BE" w:rsidRPr="00B15536" w:rsidRDefault="009434BE" w:rsidP="00B15536">
      <w:pPr>
        <w:widowControl w:val="0"/>
        <w:autoSpaceDE w:val="0"/>
        <w:autoSpaceDN w:val="0"/>
        <w:spacing w:after="0" w:line="276" w:lineRule="auto"/>
        <w:jc w:val="both"/>
        <w:rPr>
          <w:rFonts w:ascii="Verdana" w:hAnsi="Verdana" w:cs="Arial"/>
        </w:rPr>
      </w:pPr>
    </w:p>
    <w:p w14:paraId="7B24EF73" w14:textId="6F41073A" w:rsidR="00CD7ECE" w:rsidRPr="00B15536" w:rsidRDefault="009434BE" w:rsidP="00B15536">
      <w:pPr>
        <w:widowControl w:val="0"/>
        <w:autoSpaceDE w:val="0"/>
        <w:autoSpaceDN w:val="0"/>
        <w:spacing w:after="0" w:line="276" w:lineRule="auto"/>
        <w:jc w:val="both"/>
        <w:rPr>
          <w:rFonts w:ascii="Verdana" w:hAnsi="Verdana"/>
        </w:rPr>
      </w:pPr>
      <w:r w:rsidRPr="00B15536">
        <w:rPr>
          <w:rFonts w:ascii="Verdana" w:hAnsi="Verdana" w:cs="Arial"/>
          <w:lang w:val="es-MX" w:eastAsia="es-ES_tradnl"/>
        </w:rPr>
        <w:t xml:space="preserve">La Agencia Nacional de Contratación Pública ― Colombia Compra Eficiente, en los conceptos con radicado Nos. 4201912000007298 de 23 de octubre de 2019, 4201913000006294 del 16 de septiembre de 2019, así como en los conceptos C-062 del 25 de marzo de 2020, C-100 del 27 de marzo de 2020, </w:t>
      </w:r>
      <w:r w:rsidRPr="00B15536">
        <w:rPr>
          <w:rFonts w:ascii="Verdana" w:hAnsi="Verdana" w:cs="Arial"/>
          <w:lang w:eastAsia="es-ES_tradnl"/>
        </w:rPr>
        <w:t>C-318 del 28 de mayo de 2020, C–452 del 28 de julio de 2020,</w:t>
      </w:r>
      <w:r w:rsidRPr="00B15536">
        <w:rPr>
          <w:rFonts w:ascii="Verdana" w:hAnsi="Verdana" w:cs="Arial"/>
          <w:bCs/>
          <w:lang w:eastAsia="es-ES_tradnl"/>
        </w:rPr>
        <w:t xml:space="preserve"> C-560 del 24 de agosto de 2020, C-628 del 23 de septiembre del 2020,</w:t>
      </w:r>
      <w:r w:rsidRPr="00B15536">
        <w:rPr>
          <w:rFonts w:ascii="Verdana" w:hAnsi="Verdana" w:cs="Arial"/>
          <w:lang w:eastAsia="es-ES_tradnl"/>
        </w:rPr>
        <w:t xml:space="preserve"> C-750 del 21 de diciembre de 2020,</w:t>
      </w:r>
      <w:r w:rsidRPr="00B15536">
        <w:rPr>
          <w:rFonts w:ascii="Verdana" w:hAnsi="Verdana" w:cs="Arial"/>
          <w:bCs/>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Pr="00B15536">
        <w:rPr>
          <w:rFonts w:ascii="Verdana" w:hAnsi="Verdana" w:cs="Arial"/>
          <w:lang w:val="es-MX" w:eastAsia="es-ES_tradnl"/>
        </w:rPr>
        <w:t xml:space="preserve"> </w:t>
      </w:r>
      <w:r w:rsidR="00481961" w:rsidRPr="00B15536">
        <w:rPr>
          <w:rFonts w:ascii="Verdana" w:hAnsi="Verdana" w:cs="Arial"/>
          <w:bCs/>
          <w:szCs w:val="24"/>
          <w:lang w:eastAsia="es-ES_tradnl"/>
        </w:rPr>
        <w:t xml:space="preserve">C-784 del 21 de noviembre de 2022, entre otros, </w:t>
      </w:r>
      <w:r w:rsidRPr="00B15536">
        <w:rPr>
          <w:rFonts w:ascii="Verdana" w:hAnsi="Verdana" w:cs="Arial"/>
          <w:lang w:val="es-MX" w:eastAsia="es-ES_tradnl"/>
        </w:rPr>
        <w:t>estudió asuntos relacionados con la adición de los contratos estatales</w:t>
      </w:r>
      <w:r w:rsidR="00481961" w:rsidRPr="00B15536">
        <w:rPr>
          <w:rFonts w:ascii="Verdana" w:hAnsi="Verdana" w:cs="Arial"/>
          <w:lang w:val="es-MX" w:eastAsia="es-ES_tradnl"/>
        </w:rPr>
        <w:t>, no obstant</w:t>
      </w:r>
      <w:r w:rsidR="0086381A" w:rsidRPr="00B15536">
        <w:rPr>
          <w:rFonts w:ascii="Verdana" w:hAnsi="Verdana" w:cs="Arial"/>
          <w:lang w:val="es-MX" w:eastAsia="es-ES_tradnl"/>
        </w:rPr>
        <w:t>e, en los términos antes explicados el presente concepto</w:t>
      </w:r>
      <w:r w:rsidR="00DA4B34" w:rsidRPr="00B15536">
        <w:rPr>
          <w:rFonts w:ascii="Verdana" w:hAnsi="Verdana" w:cs="Arial"/>
          <w:lang w:val="es-MX" w:eastAsia="es-ES_tradnl"/>
        </w:rPr>
        <w:t xml:space="preserve"> se aparta de la sostenida en los anteriormente señalados</w:t>
      </w:r>
      <w:r w:rsidRPr="00B15536">
        <w:rPr>
          <w:rStyle w:val="normaltextrun"/>
          <w:rFonts w:ascii="Verdana" w:hAnsi="Verdana" w:cs="Arial"/>
          <w:color w:val="7030A0"/>
          <w:shd w:val="clear" w:color="auto" w:fill="FFFFFF"/>
          <w:lang w:val="es-ES"/>
        </w:rPr>
        <w:t xml:space="preserve">. </w:t>
      </w:r>
      <w:r w:rsidR="00DA4B34" w:rsidRPr="00B15536">
        <w:rPr>
          <w:rStyle w:val="normaltextrun"/>
          <w:rFonts w:ascii="Verdana" w:hAnsi="Verdana" w:cs="Arial"/>
          <w:shd w:val="clear" w:color="auto" w:fill="FFFFFF"/>
          <w:lang w:val="es-ES"/>
        </w:rPr>
        <w:t>En todo caso,</w:t>
      </w:r>
      <w:r w:rsidR="00DA4B34" w:rsidRPr="00B15536">
        <w:rPr>
          <w:rFonts w:ascii="Verdana" w:hAnsi="Verdana"/>
        </w:rPr>
        <w:t xml:space="preserve"> </w:t>
      </w:r>
      <w:r w:rsidR="00CD7ECE" w:rsidRPr="00B15536">
        <w:rPr>
          <w:rFonts w:ascii="Verdana" w:hAnsi="Verdana"/>
          <w:lang w:val="es-ES"/>
        </w:rPr>
        <w:t>estos</w:t>
      </w:r>
      <w:r w:rsidRPr="00B15536">
        <w:rPr>
          <w:rFonts w:ascii="Verdana" w:hAnsi="Verdana"/>
          <w:lang w:val="es-ES"/>
        </w:rPr>
        <w:t xml:space="preserve"> y otros conceptos se encuentran disponibles para consulta en el Sistema de </w:t>
      </w:r>
      <w:r w:rsidR="00CD7ECE" w:rsidRPr="00B15536">
        <w:rPr>
          <w:rFonts w:ascii="Verdana" w:hAnsi="Verdana"/>
          <w:lang w:val="es-ES"/>
        </w:rPr>
        <w:t xml:space="preserve">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history="1">
        <w:r w:rsidR="00CD7ECE" w:rsidRPr="00B15536">
          <w:rPr>
            <w:rStyle w:val="Hipervnculo"/>
            <w:rFonts w:ascii="Verdana" w:hAnsi="Verdana"/>
            <w:lang w:val="es-ES"/>
          </w:rPr>
          <w:t>https://relatoria.colombiacompra.gov.co/</w:t>
        </w:r>
      </w:hyperlink>
      <w:r w:rsidR="00CD7ECE" w:rsidRPr="00B15536">
        <w:rPr>
          <w:rFonts w:ascii="Verdana" w:hAnsi="Verdana"/>
          <w:lang w:val="es-ES"/>
        </w:rPr>
        <w:t>. </w:t>
      </w:r>
      <w:r w:rsidR="00CD7ECE" w:rsidRPr="00B15536">
        <w:rPr>
          <w:rFonts w:ascii="Verdana" w:hAnsi="Verdana"/>
        </w:rPr>
        <w:t> </w:t>
      </w:r>
    </w:p>
    <w:p w14:paraId="53031606" w14:textId="77777777" w:rsidR="00CD7ECE" w:rsidRPr="00B15536" w:rsidRDefault="00CD7ECE" w:rsidP="00B15536">
      <w:pPr>
        <w:widowControl w:val="0"/>
        <w:autoSpaceDE w:val="0"/>
        <w:autoSpaceDN w:val="0"/>
        <w:spacing w:after="0" w:line="276" w:lineRule="auto"/>
        <w:jc w:val="both"/>
        <w:rPr>
          <w:rFonts w:ascii="Verdana" w:hAnsi="Verdana"/>
        </w:rPr>
      </w:pPr>
      <w:r w:rsidRPr="00B15536">
        <w:rPr>
          <w:rFonts w:ascii="Verdana" w:hAnsi="Verdana"/>
        </w:rPr>
        <w:t> </w:t>
      </w:r>
    </w:p>
    <w:p w14:paraId="3870B8C6" w14:textId="77777777" w:rsidR="00CD7ECE" w:rsidRPr="00B15536" w:rsidRDefault="00CD7ECE" w:rsidP="00B15536">
      <w:pPr>
        <w:widowControl w:val="0"/>
        <w:autoSpaceDE w:val="0"/>
        <w:autoSpaceDN w:val="0"/>
        <w:spacing w:after="0" w:line="276" w:lineRule="auto"/>
        <w:jc w:val="both"/>
        <w:rPr>
          <w:rFonts w:ascii="Verdana" w:hAnsi="Verdana"/>
        </w:rPr>
      </w:pPr>
      <w:r w:rsidRPr="00B15536">
        <w:rPr>
          <w:rFonts w:ascii="Verdana" w:hAnsi="Verdana"/>
          <w:lang w:val="es-ES"/>
        </w:rPr>
        <w:t xml:space="preserve">Te invitamos también a revisar la tercera edición del Boletín de Relatoría de 2024 en el cual podrás consultar en detalle el marco normativo de documentos tipo: </w:t>
      </w:r>
      <w:hyperlink r:id="rId13" w:tgtFrame="_blank" w:history="1">
        <w:r w:rsidRPr="00B15536">
          <w:rPr>
            <w:rStyle w:val="Hipervnculo"/>
            <w:rFonts w:ascii="Verdana" w:hAnsi="Verdana"/>
            <w:lang w:val="es-ES"/>
          </w:rPr>
          <w:t>https://www.colombiacompra.gov.co/sites/cce_public/files/files_2020/boletin_de_realtoria_iii.pdf</w:t>
        </w:r>
      </w:hyperlink>
      <w:r w:rsidRPr="00B15536">
        <w:rPr>
          <w:rFonts w:ascii="Verdana" w:hAnsi="Verdana"/>
          <w:lang w:val="es-ES"/>
        </w:rPr>
        <w:t>. </w:t>
      </w:r>
      <w:r w:rsidRPr="00B15536">
        <w:rPr>
          <w:rFonts w:ascii="Verdana" w:hAnsi="Verdana"/>
        </w:rPr>
        <w:t> </w:t>
      </w:r>
    </w:p>
    <w:p w14:paraId="3561E962" w14:textId="77777777" w:rsidR="009434BE" w:rsidRPr="00B15536" w:rsidRDefault="009434BE" w:rsidP="00B15536">
      <w:pPr>
        <w:widowControl w:val="0"/>
        <w:autoSpaceDE w:val="0"/>
        <w:autoSpaceDN w:val="0"/>
        <w:spacing w:after="0" w:line="276" w:lineRule="auto"/>
        <w:jc w:val="both"/>
        <w:rPr>
          <w:rFonts w:ascii="Verdana" w:hAnsi="Verdana" w:cs="Arial"/>
        </w:rPr>
      </w:pPr>
    </w:p>
    <w:p w14:paraId="08432D3F" w14:textId="77777777" w:rsidR="009434BE" w:rsidRPr="00B15536" w:rsidRDefault="009434BE" w:rsidP="00B15536">
      <w:pPr>
        <w:widowControl w:val="0"/>
        <w:autoSpaceDE w:val="0"/>
        <w:autoSpaceDN w:val="0"/>
        <w:spacing w:after="0" w:line="276" w:lineRule="auto"/>
        <w:jc w:val="both"/>
        <w:rPr>
          <w:rFonts w:ascii="Verdana" w:hAnsi="Verdana" w:cs="Arial"/>
          <w:lang w:val="es-ES_tradnl"/>
        </w:rPr>
      </w:pPr>
      <w:r w:rsidRPr="00B15536">
        <w:rPr>
          <w:rFonts w:ascii="Verdana" w:hAnsi="Verdana" w:cs="Arial"/>
        </w:rPr>
        <w:t xml:space="preserve">Este concepto tiene el alcance previsto en el artículo 28 del Código de Procedimiento Administrativo y de lo Contencioso Administrativo </w:t>
      </w:r>
      <w:r w:rsidRPr="00B15536">
        <w:rPr>
          <w:rFonts w:ascii="Verdana" w:hAnsi="Verdana" w:cs="Arial"/>
          <w:lang w:val="es-ES_tradnl"/>
        </w:rPr>
        <w:t>y las expresiones aquí utilizadas con mayúscula inicial deben ser entendidas con el significado que les otorga el artículo 2.2.1.1.1.3.1. del Decreto 1082 de 2015.</w:t>
      </w:r>
    </w:p>
    <w:p w14:paraId="142B78CB" w14:textId="77777777" w:rsidR="009434BE" w:rsidRPr="00D640C3" w:rsidRDefault="009434BE" w:rsidP="009434BE">
      <w:pPr>
        <w:widowControl w:val="0"/>
        <w:autoSpaceDE w:val="0"/>
        <w:autoSpaceDN w:val="0"/>
        <w:spacing w:after="0" w:line="276" w:lineRule="auto"/>
        <w:jc w:val="both"/>
        <w:rPr>
          <w:rFonts w:ascii="Verdana" w:hAnsi="Verdana" w:cs="Arial"/>
        </w:rPr>
      </w:pPr>
    </w:p>
    <w:p w14:paraId="62C5D258" w14:textId="77777777" w:rsidR="009434BE" w:rsidRPr="00D640C3" w:rsidRDefault="009434BE" w:rsidP="009434BE">
      <w:pPr>
        <w:spacing w:after="0" w:line="240" w:lineRule="auto"/>
        <w:rPr>
          <w:rFonts w:ascii="Verdana" w:hAnsi="Verdana" w:cs="Arial"/>
          <w:lang w:eastAsia="es-CO"/>
        </w:rPr>
      </w:pPr>
      <w:r w:rsidRPr="00D640C3">
        <w:rPr>
          <w:rFonts w:ascii="Verdana" w:eastAsia="Times New Roman" w:hAnsi="Verdana" w:cs="Arial"/>
          <w:lang w:eastAsia="es-CO"/>
        </w:rPr>
        <w:t>Atentamente,</w:t>
      </w:r>
      <w:r w:rsidRPr="00D640C3">
        <w:rPr>
          <w:rFonts w:ascii="Verdana" w:hAnsi="Verdana" w:cs="Arial"/>
          <w:lang w:eastAsia="es-CO"/>
        </w:rPr>
        <w:t xml:space="preserve"> </w:t>
      </w:r>
    </w:p>
    <w:p w14:paraId="5A236890" w14:textId="430D74CF" w:rsidR="009434BE" w:rsidRPr="00D640C3" w:rsidRDefault="00130B97" w:rsidP="009434BE">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7646FFF7" wp14:editId="1F7B28E8">
            <wp:extent cx="2965837" cy="833799"/>
            <wp:effectExtent l="0" t="0" r="6350" b="444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rotWithShape="1">
                    <a:blip r:embed="rId14"/>
                    <a:srcRect t="20995" b="13519"/>
                    <a:stretch/>
                  </pic:blipFill>
                  <pic:spPr bwMode="auto">
                    <a:xfrm>
                      <a:off x="0" y="0"/>
                      <a:ext cx="2980351" cy="83787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623D60" w:rsidRPr="00D640C3" w14:paraId="75104A9E" w14:textId="77777777">
        <w:trPr>
          <w:trHeight w:val="315"/>
        </w:trPr>
        <w:tc>
          <w:tcPr>
            <w:tcW w:w="855" w:type="dxa"/>
            <w:vAlign w:val="center"/>
            <w:hideMark/>
          </w:tcPr>
          <w:p w14:paraId="11F5950D" w14:textId="77777777" w:rsidR="00623D60" w:rsidRPr="00D640C3" w:rsidRDefault="00623D60">
            <w:pPr>
              <w:contextualSpacing/>
              <w:rPr>
                <w:rFonts w:ascii="Verdana" w:hAnsi="Verdana" w:cs="Arial"/>
                <w:sz w:val="16"/>
                <w:szCs w:val="16"/>
                <w:lang w:val="es-ES" w:eastAsia="es-ES"/>
              </w:rPr>
            </w:pPr>
            <w:r w:rsidRPr="00D640C3">
              <w:rPr>
                <w:rFonts w:ascii="Verdana" w:hAnsi="Verdana"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1563C8C6" w14:textId="77777777" w:rsidR="00623D60" w:rsidRPr="00D640C3" w:rsidRDefault="00623D60">
            <w:pPr>
              <w:contextualSpacing/>
              <w:rPr>
                <w:rFonts w:ascii="Verdana" w:eastAsia="Arial" w:hAnsi="Verdana" w:cs="Arial"/>
                <w:sz w:val="16"/>
                <w:szCs w:val="16"/>
              </w:rPr>
            </w:pPr>
            <w:r w:rsidRPr="00D640C3">
              <w:rPr>
                <w:rStyle w:val="normaltextrun"/>
                <w:rFonts w:ascii="Verdana" w:eastAsia="Arial" w:hAnsi="Verdana" w:cs="Arial"/>
                <w:sz w:val="16"/>
                <w:szCs w:val="16"/>
              </w:rPr>
              <w:t>Diana Lucia Saavedra Castañeda</w:t>
            </w:r>
          </w:p>
          <w:p w14:paraId="301A1E7C" w14:textId="77777777" w:rsidR="00623D60" w:rsidRPr="00D640C3" w:rsidRDefault="00623D60">
            <w:pPr>
              <w:contextualSpacing/>
              <w:rPr>
                <w:rFonts w:ascii="Verdana" w:eastAsia="Arial" w:hAnsi="Verdana" w:cs="Arial"/>
                <w:sz w:val="16"/>
                <w:szCs w:val="16"/>
              </w:rPr>
            </w:pPr>
            <w:r w:rsidRPr="00D640C3">
              <w:rPr>
                <w:rStyle w:val="normaltextrun"/>
                <w:rFonts w:ascii="Verdana" w:eastAsia="Arial" w:hAnsi="Verdana" w:cs="Arial"/>
                <w:sz w:val="16"/>
                <w:szCs w:val="16"/>
              </w:rPr>
              <w:t>Contratista de la Subdirección de Gestión Contractual</w:t>
            </w:r>
          </w:p>
        </w:tc>
      </w:tr>
      <w:tr w:rsidR="00623D60" w:rsidRPr="00D640C3" w14:paraId="7CE4195B" w14:textId="77777777">
        <w:trPr>
          <w:trHeight w:val="330"/>
        </w:trPr>
        <w:tc>
          <w:tcPr>
            <w:tcW w:w="855" w:type="dxa"/>
            <w:vAlign w:val="center"/>
            <w:hideMark/>
          </w:tcPr>
          <w:p w14:paraId="0D0B8BDC" w14:textId="77777777" w:rsidR="00623D60" w:rsidRPr="00D640C3" w:rsidRDefault="00623D60">
            <w:pPr>
              <w:contextualSpacing/>
              <w:rPr>
                <w:rFonts w:ascii="Verdana" w:hAnsi="Verdana" w:cs="Arial"/>
                <w:sz w:val="16"/>
                <w:szCs w:val="16"/>
                <w:lang w:val="es-ES" w:eastAsia="es-ES"/>
              </w:rPr>
            </w:pPr>
            <w:r w:rsidRPr="00D640C3">
              <w:rPr>
                <w:rFonts w:ascii="Verdana" w:hAnsi="Verdana"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0F011F29" w14:textId="77777777" w:rsidR="00623D60" w:rsidRPr="00D640C3" w:rsidRDefault="00623D60">
            <w:pPr>
              <w:pStyle w:val="paragraph"/>
              <w:spacing w:before="0" w:beforeAutospacing="0" w:after="0" w:afterAutospacing="0"/>
              <w:contextualSpacing/>
              <w:textAlignment w:val="baseline"/>
              <w:rPr>
                <w:rFonts w:ascii="Verdana" w:hAnsi="Verdana" w:cs="Segoe UI"/>
                <w:sz w:val="16"/>
                <w:szCs w:val="16"/>
              </w:rPr>
            </w:pPr>
            <w:r w:rsidRPr="00D640C3">
              <w:rPr>
                <w:rStyle w:val="normaltextrun"/>
                <w:rFonts w:ascii="Verdana" w:hAnsi="Verdana" w:cs="Arial"/>
                <w:sz w:val="16"/>
                <w:szCs w:val="16"/>
                <w:lang w:val="es-ES"/>
              </w:rPr>
              <w:t>Alejandro Raúl Sarmiento Cantillo</w:t>
            </w:r>
          </w:p>
          <w:p w14:paraId="39153020" w14:textId="77777777" w:rsidR="00623D60" w:rsidRPr="00D640C3" w:rsidRDefault="00623D60">
            <w:pPr>
              <w:pStyle w:val="paragraph"/>
              <w:spacing w:before="0" w:beforeAutospacing="0" w:after="0" w:afterAutospacing="0"/>
              <w:contextualSpacing/>
              <w:textAlignment w:val="baseline"/>
              <w:rPr>
                <w:rFonts w:ascii="Verdana" w:hAnsi="Verdana" w:cs="Segoe UI"/>
                <w:sz w:val="16"/>
                <w:szCs w:val="16"/>
              </w:rPr>
            </w:pPr>
            <w:r w:rsidRPr="00D640C3">
              <w:rPr>
                <w:rStyle w:val="normaltextrun"/>
                <w:rFonts w:ascii="Verdana" w:hAnsi="Verdana" w:cs="Arial"/>
                <w:color w:val="000000"/>
                <w:sz w:val="16"/>
                <w:szCs w:val="16"/>
                <w:lang w:val="es-ES"/>
              </w:rPr>
              <w:t xml:space="preserve">Gestor T1-15 </w:t>
            </w:r>
            <w:r w:rsidRPr="00D640C3">
              <w:rPr>
                <w:rStyle w:val="normaltextrun"/>
                <w:rFonts w:ascii="Verdana" w:hAnsi="Verdana" w:cs="Arial"/>
                <w:sz w:val="16"/>
                <w:szCs w:val="16"/>
                <w:lang w:val="es-ES"/>
              </w:rPr>
              <w:t>de la Subdirección de Gestión Contractual</w:t>
            </w:r>
            <w:r w:rsidRPr="00D640C3">
              <w:rPr>
                <w:rStyle w:val="eop"/>
                <w:rFonts w:ascii="Verdana" w:hAnsi="Verdana" w:cs="Arial"/>
                <w:sz w:val="16"/>
                <w:szCs w:val="16"/>
              </w:rPr>
              <w:t> </w:t>
            </w:r>
          </w:p>
        </w:tc>
      </w:tr>
      <w:tr w:rsidR="00623D60" w:rsidRPr="00D640C3" w14:paraId="22C548D2" w14:textId="77777777">
        <w:trPr>
          <w:trHeight w:val="300"/>
        </w:trPr>
        <w:tc>
          <w:tcPr>
            <w:tcW w:w="855" w:type="dxa"/>
            <w:vAlign w:val="center"/>
          </w:tcPr>
          <w:p w14:paraId="55ADC12D" w14:textId="77777777" w:rsidR="00623D60" w:rsidRPr="00D640C3" w:rsidRDefault="00623D60">
            <w:pPr>
              <w:contextualSpacing/>
              <w:rPr>
                <w:rFonts w:ascii="Verdana" w:hAnsi="Verdana" w:cs="Arial"/>
                <w:sz w:val="16"/>
                <w:szCs w:val="16"/>
                <w:lang w:val="es-ES" w:eastAsia="es-ES"/>
              </w:rPr>
            </w:pPr>
            <w:r w:rsidRPr="00D640C3">
              <w:rPr>
                <w:rFonts w:ascii="Verdana" w:hAnsi="Verdana"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05D8C4C7" w14:textId="77777777" w:rsidR="00623D60" w:rsidRPr="00D640C3" w:rsidRDefault="00623D60">
            <w:pPr>
              <w:contextualSpacing/>
              <w:rPr>
                <w:rFonts w:ascii="Verdana" w:eastAsia="Calibri" w:hAnsi="Verdana" w:cs="Arial"/>
                <w:sz w:val="16"/>
                <w:szCs w:val="16"/>
                <w:lang w:val="pt-BR" w:eastAsia="es-ES"/>
              </w:rPr>
            </w:pPr>
            <w:r w:rsidRPr="00D640C3">
              <w:rPr>
                <w:rFonts w:ascii="Verdana" w:eastAsia="Calibri" w:hAnsi="Verdana" w:cs="Arial"/>
                <w:sz w:val="16"/>
                <w:szCs w:val="16"/>
                <w:lang w:val="pt-BR" w:eastAsia="es-ES"/>
              </w:rPr>
              <w:t>Carolina Quintero Gacharná</w:t>
            </w:r>
          </w:p>
          <w:p w14:paraId="6801A935" w14:textId="77777777" w:rsidR="00623D60" w:rsidRPr="00D640C3" w:rsidRDefault="00623D60">
            <w:pPr>
              <w:contextualSpacing/>
              <w:rPr>
                <w:rFonts w:ascii="Verdana" w:eastAsia="Calibri" w:hAnsi="Verdana" w:cs="Arial"/>
                <w:sz w:val="16"/>
                <w:szCs w:val="16"/>
                <w:lang w:val="pt-BR" w:eastAsia="es-ES"/>
              </w:rPr>
            </w:pPr>
            <w:r w:rsidRPr="00D640C3">
              <w:rPr>
                <w:rFonts w:ascii="Verdana" w:eastAsia="Calibri" w:hAnsi="Verdana" w:cs="Arial"/>
                <w:sz w:val="16"/>
                <w:szCs w:val="16"/>
                <w:lang w:eastAsia="es-ES"/>
              </w:rPr>
              <w:t>Subdirectora</w:t>
            </w:r>
            <w:r w:rsidRPr="00D640C3">
              <w:rPr>
                <w:rFonts w:ascii="Verdana" w:eastAsia="Calibri" w:hAnsi="Verdana" w:cs="Arial"/>
                <w:sz w:val="16"/>
                <w:szCs w:val="16"/>
                <w:lang w:val="pt-BR" w:eastAsia="es-ES"/>
              </w:rPr>
              <w:t xml:space="preserve"> de Gestión Contractual ANCP – CCE</w:t>
            </w:r>
          </w:p>
        </w:tc>
      </w:tr>
    </w:tbl>
    <w:p w14:paraId="0F293BF4" w14:textId="4F4C05F8" w:rsidR="00127233" w:rsidRPr="00D640C3" w:rsidRDefault="00127233" w:rsidP="00CF1AD4">
      <w:pPr>
        <w:spacing w:after="0"/>
        <w:jc w:val="both"/>
        <w:rPr>
          <w:rFonts w:ascii="Verdana" w:hAnsi="Verdana"/>
        </w:rPr>
      </w:pPr>
    </w:p>
    <w:sectPr w:rsidR="00127233" w:rsidRPr="00D640C3"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F91B" w14:textId="77777777" w:rsidR="00C826CF" w:rsidRDefault="00C826CF" w:rsidP="004A1847">
      <w:pPr>
        <w:spacing w:after="0" w:line="240" w:lineRule="auto"/>
      </w:pPr>
      <w:r>
        <w:separator/>
      </w:r>
    </w:p>
  </w:endnote>
  <w:endnote w:type="continuationSeparator" w:id="0">
    <w:p w14:paraId="62416B29" w14:textId="77777777" w:rsidR="00C826CF" w:rsidRDefault="00C826CF" w:rsidP="004A1847">
      <w:pPr>
        <w:spacing w:after="0" w:line="240" w:lineRule="auto"/>
      </w:pPr>
      <w:r>
        <w:continuationSeparator/>
      </w:r>
    </w:p>
  </w:endnote>
  <w:endnote w:type="continuationNotice" w:id="1">
    <w:p w14:paraId="0C35C368" w14:textId="77777777" w:rsidR="00C826CF" w:rsidRDefault="00C8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353BA" w14:textId="77777777" w:rsidR="00C826CF" w:rsidRDefault="00C826CF" w:rsidP="004A1847">
      <w:pPr>
        <w:spacing w:after="0" w:line="240" w:lineRule="auto"/>
      </w:pPr>
      <w:r>
        <w:separator/>
      </w:r>
    </w:p>
  </w:footnote>
  <w:footnote w:type="continuationSeparator" w:id="0">
    <w:p w14:paraId="4D24C231" w14:textId="77777777" w:rsidR="00C826CF" w:rsidRDefault="00C826CF" w:rsidP="004A1847">
      <w:pPr>
        <w:spacing w:after="0" w:line="240" w:lineRule="auto"/>
      </w:pPr>
      <w:r>
        <w:continuationSeparator/>
      </w:r>
    </w:p>
  </w:footnote>
  <w:footnote w:type="continuationNotice" w:id="1">
    <w:p w14:paraId="66AEC387" w14:textId="77777777" w:rsidR="00C826CF" w:rsidRDefault="00C826CF">
      <w:pPr>
        <w:spacing w:after="0" w:line="240" w:lineRule="auto"/>
      </w:pPr>
    </w:p>
  </w:footnote>
  <w:footnote w:id="2">
    <w:p w14:paraId="15C381FB" w14:textId="77777777" w:rsidR="009434BE" w:rsidRPr="00626BB1" w:rsidRDefault="009434BE" w:rsidP="001F33A6">
      <w:pPr>
        <w:pStyle w:val="Textonotapie"/>
        <w:ind w:firstLine="709"/>
        <w:contextualSpacing/>
        <w:jc w:val="both"/>
        <w:rPr>
          <w:rFonts w:ascii="Verdana" w:hAnsi="Verdana" w:cs="Arial"/>
          <w:color w:val="000000" w:themeColor="text1"/>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w:t>
      </w:r>
      <w:r w:rsidRPr="00626BB1">
        <w:rPr>
          <w:rFonts w:ascii="Verdana" w:hAnsi="Verdana" w:cs="Arial"/>
          <w:sz w:val="16"/>
          <w:szCs w:val="16"/>
          <w:lang w:val="es-ES"/>
        </w:rPr>
        <w:t>“</w:t>
      </w:r>
      <w:r w:rsidRPr="00626BB1">
        <w:rPr>
          <w:rFonts w:ascii="Verdana" w:hAnsi="Verdana" w:cs="Arial"/>
          <w:color w:val="000000" w:themeColor="text1"/>
          <w:sz w:val="16"/>
          <w:szCs w:val="16"/>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085E4078" w14:textId="77777777" w:rsidR="009434BE" w:rsidRDefault="009434BE" w:rsidP="001F33A6">
      <w:pPr>
        <w:pStyle w:val="Textonotapie"/>
        <w:ind w:firstLine="709"/>
        <w:contextualSpacing/>
        <w:jc w:val="both"/>
        <w:rPr>
          <w:rFonts w:ascii="Verdana" w:hAnsi="Verdana" w:cs="Arial"/>
          <w:color w:val="000000" w:themeColor="text1"/>
          <w:sz w:val="16"/>
          <w:szCs w:val="16"/>
        </w:rPr>
      </w:pPr>
      <w:r w:rsidRPr="00626BB1">
        <w:rPr>
          <w:rFonts w:ascii="Verdana" w:hAnsi="Verdana" w:cs="Arial"/>
          <w:color w:val="000000" w:themeColor="text1"/>
          <w:sz w:val="16"/>
          <w:szCs w:val="16"/>
        </w:rPr>
        <w:t>Sin embargo, en otros negocios, como la obra pública, la concesión y la consultoría, el Estado está acostumbrado a que se desglosen intensamente los costos, exigiendo no sólo el precio total sino una distinción entre los costos directos y los costos indirectos.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ítems que componen el contrato–. Los costos indirectos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w14:paraId="5F353279" w14:textId="77777777" w:rsidR="001F33A6" w:rsidRPr="00626BB1" w:rsidRDefault="001F33A6" w:rsidP="001F33A6">
      <w:pPr>
        <w:pStyle w:val="Textonotapie"/>
        <w:ind w:firstLine="709"/>
        <w:contextualSpacing/>
        <w:jc w:val="both"/>
        <w:rPr>
          <w:rFonts w:ascii="Verdana" w:hAnsi="Verdana" w:cs="Arial"/>
          <w:sz w:val="16"/>
          <w:szCs w:val="16"/>
          <w:lang w:val="es-ES"/>
        </w:rPr>
      </w:pPr>
    </w:p>
  </w:footnote>
  <w:footnote w:id="3">
    <w:p w14:paraId="6C9CFE1F" w14:textId="5A896CDD" w:rsidR="009434BE" w:rsidRDefault="009434BE" w:rsidP="001F33A6">
      <w:pPr>
        <w:pStyle w:val="Textonotapie"/>
        <w:ind w:firstLine="709"/>
        <w:contextualSpacing/>
        <w:jc w:val="both"/>
        <w:rPr>
          <w:rFonts w:ascii="Verdana" w:hAnsi="Verdana" w:cs="Arial"/>
          <w:color w:val="000000" w:themeColor="text1"/>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w:t>
      </w:r>
      <w:r w:rsidR="00CD7ECE" w:rsidRPr="00626BB1">
        <w:rPr>
          <w:rFonts w:ascii="Verdana" w:hAnsi="Verdana" w:cs="Arial"/>
          <w:color w:val="000000" w:themeColor="text1"/>
          <w:sz w:val="16"/>
          <w:szCs w:val="16"/>
        </w:rPr>
        <w:t>CONSEJO DE ESTADO.</w:t>
      </w:r>
      <w:r w:rsidRPr="00626BB1">
        <w:rPr>
          <w:rFonts w:ascii="Verdana" w:hAnsi="Verdana" w:cs="Arial"/>
          <w:color w:val="000000" w:themeColor="text1"/>
          <w:sz w:val="16"/>
          <w:szCs w:val="16"/>
        </w:rPr>
        <w:t xml:space="preserve"> Sección Tercera. Subsección B. Sentencia del 14 de octubre de 2011.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20811</w:t>
      </w:r>
      <w:r w:rsidR="001F33A6">
        <w:rPr>
          <w:rFonts w:ascii="Verdana" w:hAnsi="Verdana" w:cs="Arial"/>
          <w:color w:val="000000" w:themeColor="text1"/>
          <w:sz w:val="16"/>
          <w:szCs w:val="16"/>
        </w:rPr>
        <w:t xml:space="preserve">. </w:t>
      </w:r>
      <w:r w:rsidR="00E16C8E" w:rsidRPr="00626BB1">
        <w:rPr>
          <w:rFonts w:ascii="Verdana" w:hAnsi="Verdana"/>
          <w:sz w:val="16"/>
          <w:szCs w:val="16"/>
          <w:lang w:val="es-CO"/>
        </w:rPr>
        <w:t xml:space="preserve">Consejero ponente: </w:t>
      </w:r>
      <w:r w:rsidRPr="00626BB1">
        <w:rPr>
          <w:rFonts w:ascii="Verdana" w:hAnsi="Verdana" w:cs="Arial"/>
          <w:color w:val="000000" w:themeColor="text1"/>
          <w:sz w:val="16"/>
          <w:szCs w:val="16"/>
        </w:rPr>
        <w:t>Ruth Stella Correa Palacio.</w:t>
      </w:r>
    </w:p>
    <w:p w14:paraId="6781850F" w14:textId="77777777" w:rsidR="001F33A6" w:rsidRPr="00626BB1" w:rsidRDefault="001F33A6" w:rsidP="001F33A6">
      <w:pPr>
        <w:pStyle w:val="Textonotapie"/>
        <w:ind w:firstLine="709"/>
        <w:contextualSpacing/>
        <w:jc w:val="both"/>
        <w:rPr>
          <w:rFonts w:ascii="Verdana" w:hAnsi="Verdana" w:cs="Arial"/>
          <w:color w:val="000000" w:themeColor="text1"/>
          <w:sz w:val="16"/>
          <w:szCs w:val="16"/>
        </w:rPr>
      </w:pPr>
    </w:p>
  </w:footnote>
  <w:footnote w:id="4">
    <w:p w14:paraId="789469CF" w14:textId="654DB560" w:rsidR="00A3033C" w:rsidRDefault="009434BE" w:rsidP="001F33A6">
      <w:pPr>
        <w:pStyle w:val="Textonotapie"/>
        <w:ind w:firstLine="708"/>
        <w:contextualSpacing/>
        <w:jc w:val="both"/>
        <w:rPr>
          <w:rFonts w:ascii="Verdana" w:hAnsi="Verdana"/>
          <w:sz w:val="16"/>
          <w:szCs w:val="16"/>
          <w:lang w:val="es-CO"/>
        </w:rPr>
      </w:pPr>
      <w:r w:rsidRPr="00626BB1">
        <w:rPr>
          <w:rStyle w:val="Refdenotaalpie"/>
          <w:rFonts w:ascii="Verdana" w:hAnsi="Verdana"/>
          <w:sz w:val="16"/>
          <w:szCs w:val="16"/>
        </w:rPr>
        <w:footnoteRef/>
      </w:r>
      <w:r w:rsidRPr="00626BB1">
        <w:rPr>
          <w:rFonts w:ascii="Verdana" w:hAnsi="Verdana"/>
          <w:sz w:val="16"/>
          <w:szCs w:val="16"/>
        </w:rPr>
        <w:t xml:space="preserve"> </w:t>
      </w:r>
      <w:r w:rsidR="00CD7ECE" w:rsidRPr="00626BB1">
        <w:rPr>
          <w:rFonts w:ascii="Verdana" w:hAnsi="Verdana"/>
          <w:sz w:val="16"/>
          <w:szCs w:val="16"/>
          <w:lang w:val="es-CO"/>
        </w:rPr>
        <w:t>CONSEJO DE ESTADO</w:t>
      </w:r>
      <w:r w:rsidRPr="00626BB1">
        <w:rPr>
          <w:rFonts w:ascii="Verdana" w:hAnsi="Verdana"/>
          <w:sz w:val="16"/>
          <w:szCs w:val="16"/>
          <w:lang w:val="es-CO"/>
        </w:rPr>
        <w:t xml:space="preserve"> Sala De Consulta Y Servicio Civil. Consejero ponente: Édgar González López. 5 de septiembre de 2018. Expediente: 2386</w:t>
      </w:r>
      <w:r w:rsidR="00A3033C" w:rsidRPr="00626BB1">
        <w:rPr>
          <w:rFonts w:ascii="Verdana" w:hAnsi="Verdana"/>
          <w:sz w:val="16"/>
          <w:szCs w:val="16"/>
          <w:lang w:val="es-CO"/>
        </w:rPr>
        <w:t xml:space="preserve">. </w:t>
      </w:r>
    </w:p>
    <w:p w14:paraId="6FD6F786" w14:textId="77777777" w:rsidR="00E16C8E" w:rsidRPr="00626BB1" w:rsidRDefault="00E16C8E" w:rsidP="001F33A6">
      <w:pPr>
        <w:pStyle w:val="Textonotapie"/>
        <w:ind w:firstLine="708"/>
        <w:contextualSpacing/>
        <w:jc w:val="both"/>
        <w:rPr>
          <w:rFonts w:ascii="Verdana" w:hAnsi="Verdana"/>
          <w:sz w:val="16"/>
          <w:szCs w:val="16"/>
          <w:lang w:val="es-CO"/>
        </w:rPr>
      </w:pPr>
    </w:p>
  </w:footnote>
  <w:footnote w:id="5">
    <w:p w14:paraId="3AE9BE5D" w14:textId="283A71B8" w:rsidR="009434BE" w:rsidRPr="00626BB1" w:rsidRDefault="009434BE" w:rsidP="001F33A6">
      <w:pPr>
        <w:pStyle w:val="Textonotapie"/>
        <w:ind w:firstLine="709"/>
        <w:contextualSpacing/>
        <w:jc w:val="both"/>
        <w:rPr>
          <w:rFonts w:ascii="Verdana" w:hAnsi="Verdana" w:cs="Arial"/>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Decreto </w:t>
      </w:r>
      <w:r w:rsidR="00E16C8E">
        <w:rPr>
          <w:rFonts w:ascii="Verdana" w:hAnsi="Verdana" w:cs="Arial"/>
          <w:sz w:val="16"/>
          <w:szCs w:val="16"/>
        </w:rPr>
        <w:t>L</w:t>
      </w:r>
      <w:r w:rsidRPr="00626BB1">
        <w:rPr>
          <w:rFonts w:ascii="Verdana" w:hAnsi="Verdana" w:cs="Arial"/>
          <w:sz w:val="16"/>
          <w:szCs w:val="16"/>
        </w:rPr>
        <w:t xml:space="preserve">ey 222 de 1983: </w:t>
      </w:r>
      <w:r w:rsidR="00A3033C" w:rsidRPr="00626BB1">
        <w:rPr>
          <w:rFonts w:ascii="Verdana" w:hAnsi="Verdana" w:cs="Arial"/>
          <w:sz w:val="16"/>
          <w:szCs w:val="16"/>
        </w:rPr>
        <w:t>“</w:t>
      </w:r>
      <w:r w:rsidRPr="00626BB1">
        <w:rPr>
          <w:rFonts w:ascii="Verdana" w:hAnsi="Verdana" w:cs="Arial"/>
          <w:sz w:val="16"/>
          <w:szCs w:val="16"/>
        </w:rPr>
        <w:t xml:space="preserve">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3438CFDA" w14:textId="77777777" w:rsidR="009434BE" w:rsidRPr="00626BB1" w:rsidRDefault="009434BE" w:rsidP="001F33A6">
      <w:pPr>
        <w:pStyle w:val="Textonotapie"/>
        <w:ind w:firstLine="709"/>
        <w:contextualSpacing/>
        <w:jc w:val="both"/>
        <w:rPr>
          <w:rFonts w:ascii="Verdana" w:hAnsi="Verdana" w:cs="Arial"/>
          <w:sz w:val="16"/>
          <w:szCs w:val="16"/>
        </w:rPr>
      </w:pPr>
      <w:r w:rsidRPr="00626BB1">
        <w:rPr>
          <w:rFonts w:ascii="Verdana" w:hAnsi="Verdana" w:cs="Arial"/>
          <w:sz w:val="16"/>
          <w:szCs w:val="16"/>
        </w:rPr>
        <w:t xml:space="preserve">Las adiciones relacionadas con el valor quedarán perfeccionadas una vez suscrito el contrato y efectuado el registro presupuestal. Las relaciones con el plazo sólo requerirán firma del jefe de la entidad contratante y prórroga de las garantías. </w:t>
      </w:r>
    </w:p>
    <w:p w14:paraId="028A9E6A" w14:textId="77777777" w:rsidR="009434BE" w:rsidRPr="00626BB1" w:rsidRDefault="009434BE" w:rsidP="001F33A6">
      <w:pPr>
        <w:pStyle w:val="Textonotapie"/>
        <w:ind w:firstLine="709"/>
        <w:contextualSpacing/>
        <w:jc w:val="both"/>
        <w:rPr>
          <w:rFonts w:ascii="Verdana" w:hAnsi="Verdana" w:cs="Arial"/>
          <w:sz w:val="16"/>
          <w:szCs w:val="16"/>
        </w:rPr>
      </w:pPr>
      <w:r w:rsidRPr="00626BB1">
        <w:rPr>
          <w:rFonts w:ascii="Verdana" w:hAnsi="Verdana" w:cs="Arial"/>
          <w:sz w:val="16"/>
          <w:szCs w:val="16"/>
        </w:rPr>
        <w:t xml:space="preserve">Serán requisitos para que pueda iniciarse la ejecución del contrato, la adición y prórroga de las garantías y el pago de los impuestos correspondientes. </w:t>
      </w:r>
    </w:p>
    <w:p w14:paraId="1AEBEF2C" w14:textId="77777777" w:rsidR="009434BE" w:rsidRPr="00626BB1" w:rsidRDefault="009434BE" w:rsidP="001F33A6">
      <w:pPr>
        <w:pStyle w:val="Textonotapie"/>
        <w:ind w:firstLine="709"/>
        <w:contextualSpacing/>
        <w:jc w:val="both"/>
        <w:rPr>
          <w:rFonts w:ascii="Verdana" w:hAnsi="Verdana" w:cs="Arial"/>
          <w:sz w:val="16"/>
          <w:szCs w:val="16"/>
        </w:rPr>
      </w:pPr>
      <w:r w:rsidRPr="00626BB1">
        <w:rPr>
          <w:rFonts w:ascii="Verdana" w:hAnsi="Verdana" w:cs="Arial"/>
          <w:sz w:val="16"/>
          <w:szCs w:val="16"/>
        </w:rPr>
        <w:t xml:space="preserve">Los contratos de interventoría, administración delegada, y consultoría previstos en este estatuto, podrán adicionarse sin el límite fijado en el presente artículo. </w:t>
      </w:r>
    </w:p>
    <w:p w14:paraId="68433A55" w14:textId="77777777" w:rsidR="009434BE" w:rsidRPr="00626BB1" w:rsidRDefault="009434BE" w:rsidP="001F33A6">
      <w:pPr>
        <w:pStyle w:val="Textonotapie"/>
        <w:ind w:firstLine="709"/>
        <w:contextualSpacing/>
        <w:jc w:val="both"/>
        <w:rPr>
          <w:rFonts w:ascii="Verdana" w:hAnsi="Verdana" w:cs="Arial"/>
          <w:sz w:val="16"/>
          <w:szCs w:val="16"/>
        </w:rPr>
      </w:pPr>
      <w:r w:rsidRPr="00626BB1">
        <w:rPr>
          <w:rFonts w:ascii="Verdana" w:hAnsi="Verdana" w:cs="Arial"/>
          <w:sz w:val="16"/>
          <w:szCs w:val="16"/>
        </w:rPr>
        <w:t xml:space="preserve">Las adiciones deberán publicarse en el Diario oficial. </w:t>
      </w:r>
    </w:p>
    <w:p w14:paraId="7621CD6E" w14:textId="77777777" w:rsidR="009434BE" w:rsidRPr="00626BB1" w:rsidRDefault="009434BE" w:rsidP="001F33A6">
      <w:pPr>
        <w:pStyle w:val="Textonotapie"/>
        <w:ind w:firstLine="709"/>
        <w:contextualSpacing/>
        <w:jc w:val="both"/>
        <w:rPr>
          <w:rFonts w:ascii="Verdana" w:hAnsi="Verdana" w:cs="Arial"/>
          <w:sz w:val="16"/>
          <w:szCs w:val="16"/>
        </w:rPr>
      </w:pPr>
      <w:r w:rsidRPr="00626BB1">
        <w:rPr>
          <w:rFonts w:ascii="Verdana" w:hAnsi="Verdana" w:cs="Arial"/>
          <w:sz w:val="16"/>
          <w:szCs w:val="16"/>
        </w:rPr>
        <w:t xml:space="preserve">En ningún caso podrá modificarse el objeto de los contratos, ni prorrogarse su plazo si estuviere vencido, so pretexto de la celebración de contratos adicionales, ni pactarse prórrogas automáticas. </w:t>
      </w:r>
    </w:p>
    <w:p w14:paraId="7BE08BC4" w14:textId="367C71C8" w:rsidR="009434BE" w:rsidRDefault="009434BE" w:rsidP="001F33A6">
      <w:pPr>
        <w:pStyle w:val="Textonotapie"/>
        <w:ind w:firstLine="708"/>
        <w:contextualSpacing/>
        <w:jc w:val="both"/>
        <w:rPr>
          <w:rFonts w:ascii="Verdana" w:hAnsi="Verdana" w:cs="Arial"/>
          <w:sz w:val="16"/>
          <w:szCs w:val="16"/>
        </w:rPr>
      </w:pPr>
      <w:r w:rsidRPr="00626BB1">
        <w:rPr>
          <w:rFonts w:ascii="Verdana" w:hAnsi="Verdana" w:cs="Arial"/>
          <w:sz w:val="16"/>
          <w:szCs w:val="16"/>
        </w:rPr>
        <w:t>Parágrafo. Los contratos de empréstito distintos a los créditos de proveedores, no se someterán a lo dispuesto en este artículo”.</w:t>
      </w:r>
    </w:p>
    <w:p w14:paraId="0314216A" w14:textId="77777777" w:rsidR="00E16C8E" w:rsidRPr="00626BB1" w:rsidRDefault="00E16C8E" w:rsidP="001F33A6">
      <w:pPr>
        <w:pStyle w:val="Textonotapie"/>
        <w:ind w:firstLine="708"/>
        <w:contextualSpacing/>
        <w:jc w:val="both"/>
        <w:rPr>
          <w:rFonts w:ascii="Verdana" w:hAnsi="Verdana" w:cs="Arial"/>
          <w:sz w:val="16"/>
          <w:szCs w:val="16"/>
        </w:rPr>
      </w:pPr>
    </w:p>
  </w:footnote>
  <w:footnote w:id="6">
    <w:p w14:paraId="7F8D4FDF" w14:textId="5290FA8D" w:rsidR="009434BE" w:rsidRDefault="009434BE" w:rsidP="001F33A6">
      <w:pPr>
        <w:pStyle w:val="Textonotapie"/>
        <w:ind w:firstLine="708"/>
        <w:contextualSpacing/>
        <w:jc w:val="both"/>
        <w:rPr>
          <w:rFonts w:ascii="Verdana" w:hAnsi="Verdana" w:cs="Arial"/>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La Sala de Consulta y Servicio Civil del Consejo de Estado ha explicado que: </w:t>
      </w:r>
      <w:r w:rsidR="00316FA5" w:rsidRPr="00626BB1">
        <w:rPr>
          <w:rFonts w:ascii="Verdana" w:hAnsi="Verdana" w:cs="Arial"/>
          <w:sz w:val="16"/>
          <w:szCs w:val="16"/>
        </w:rPr>
        <w:t>“</w:t>
      </w:r>
      <w:r w:rsidRPr="00626BB1">
        <w:rPr>
          <w:rFonts w:ascii="Verdana" w:hAnsi="Verdana" w:cs="Arial"/>
          <w:sz w:val="16"/>
          <w:szCs w:val="16"/>
        </w:rPr>
        <w:t xml:space="preserve">[…] son diferentes el contrato adicional y la adición de contratos. Aquel es un nuevo contrato, mientras esta es una modificación de un contrato en ejecución. La Ley 80 de 1993 abandonó el concepto de contrato adicional e introdujo el de «adición de los contratos», sin especificar los elementos sobre los cuales puede hacerse la adición, mantuvo sí un </w:t>
      </w:r>
      <w:proofErr w:type="spellStart"/>
      <w:r w:rsidRPr="00626BB1">
        <w:rPr>
          <w:rFonts w:ascii="Verdana" w:hAnsi="Verdana" w:cs="Arial"/>
          <w:sz w:val="16"/>
          <w:szCs w:val="16"/>
        </w:rPr>
        <w:t>limite</w:t>
      </w:r>
      <w:proofErr w:type="spellEnd"/>
      <w:r w:rsidRPr="00626BB1">
        <w:rPr>
          <w:rFonts w:ascii="Verdana" w:hAnsi="Verdana" w:cs="Arial"/>
          <w:sz w:val="16"/>
          <w:szCs w:val="16"/>
        </w:rPr>
        <w:t>: no más del cincuenta por ciento (50%) de su valor inicial, expresado este en salarios mínimos legales mensuales […]</w:t>
      </w:r>
      <w:r w:rsidR="00316FA5" w:rsidRPr="00626BB1">
        <w:rPr>
          <w:rFonts w:ascii="Verdana" w:hAnsi="Verdana" w:cs="Arial"/>
          <w:sz w:val="16"/>
          <w:szCs w:val="16"/>
        </w:rPr>
        <w:t>”</w:t>
      </w:r>
      <w:r w:rsidRPr="00626BB1">
        <w:rPr>
          <w:rFonts w:ascii="Verdana" w:hAnsi="Verdana" w:cs="Arial"/>
          <w:sz w:val="16"/>
          <w:szCs w:val="16"/>
        </w:rPr>
        <w:t xml:space="preserve">.  Concepto 1128 del 26 de agosto de 1998, C.P. César Hoyos Salazar. </w:t>
      </w:r>
    </w:p>
    <w:p w14:paraId="189B8233" w14:textId="77777777" w:rsidR="00E16C8E" w:rsidRPr="00626BB1" w:rsidRDefault="00E16C8E" w:rsidP="001F33A6">
      <w:pPr>
        <w:pStyle w:val="Textonotapie"/>
        <w:ind w:firstLine="708"/>
        <w:contextualSpacing/>
        <w:jc w:val="both"/>
        <w:rPr>
          <w:rFonts w:ascii="Verdana" w:hAnsi="Verdana" w:cs="Arial"/>
          <w:sz w:val="16"/>
          <w:szCs w:val="16"/>
        </w:rPr>
      </w:pPr>
    </w:p>
  </w:footnote>
  <w:footnote w:id="7">
    <w:p w14:paraId="6B3E1751" w14:textId="185C3D49" w:rsidR="009434BE"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w:t>
      </w:r>
      <w:r w:rsidR="00316FA5" w:rsidRPr="00626BB1">
        <w:rPr>
          <w:rFonts w:ascii="Verdana" w:hAnsi="Verdana" w:cs="Arial"/>
          <w:color w:val="000000" w:themeColor="text1"/>
          <w:sz w:val="16"/>
          <w:szCs w:val="16"/>
        </w:rPr>
        <w:t>“</w:t>
      </w:r>
      <w:r w:rsidRPr="00626BB1">
        <w:rPr>
          <w:rFonts w:ascii="Verdana" w:hAnsi="Verdana" w:cs="Arial"/>
          <w:color w:val="000000" w:themeColor="text1"/>
          <w:sz w:val="16"/>
          <w:szCs w:val="16"/>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r w:rsidR="00316FA5" w:rsidRPr="00626BB1">
        <w:rPr>
          <w:rFonts w:ascii="Verdana" w:hAnsi="Verdana" w:cs="Arial"/>
          <w:color w:val="000000" w:themeColor="text1"/>
          <w:sz w:val="16"/>
          <w:szCs w:val="16"/>
        </w:rPr>
        <w:t>”</w:t>
      </w:r>
      <w:r w:rsidRPr="00626BB1">
        <w:rPr>
          <w:rFonts w:ascii="Verdana" w:hAnsi="Verdana" w:cs="Arial"/>
          <w:color w:val="000000" w:themeColor="text1"/>
          <w:sz w:val="16"/>
          <w:szCs w:val="16"/>
        </w:rPr>
        <w:t>.</w:t>
      </w:r>
    </w:p>
    <w:p w14:paraId="15EA3E29" w14:textId="77777777" w:rsidR="00E16C8E" w:rsidRPr="00626BB1" w:rsidRDefault="00E16C8E" w:rsidP="001F33A6">
      <w:pPr>
        <w:pStyle w:val="Textonotapie"/>
        <w:ind w:firstLine="708"/>
        <w:contextualSpacing/>
        <w:jc w:val="both"/>
        <w:rPr>
          <w:rFonts w:ascii="Verdana" w:hAnsi="Verdana" w:cs="Arial"/>
          <w:color w:val="000000" w:themeColor="text1"/>
          <w:sz w:val="16"/>
          <w:szCs w:val="16"/>
          <w:lang w:val="es-CO"/>
        </w:rPr>
      </w:pPr>
    </w:p>
  </w:footnote>
  <w:footnote w:id="8">
    <w:p w14:paraId="62A6B30F" w14:textId="683A6B34" w:rsidR="009434BE"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w:t>
      </w:r>
      <w:proofErr w:type="spellStart"/>
      <w:r w:rsidRPr="00626BB1">
        <w:rPr>
          <w:rFonts w:ascii="Verdana" w:hAnsi="Verdana" w:cs="Arial"/>
          <w:color w:val="000000" w:themeColor="text1"/>
          <w:sz w:val="16"/>
          <w:szCs w:val="16"/>
        </w:rPr>
        <w:t>Ibíd</w:t>
      </w:r>
      <w:proofErr w:type="spellEnd"/>
      <w:r w:rsidRPr="00626BB1">
        <w:rPr>
          <w:rFonts w:ascii="Verdana" w:hAnsi="Verdana" w:cs="Arial"/>
          <w:color w:val="000000" w:themeColor="text1"/>
          <w:sz w:val="16"/>
          <w:szCs w:val="16"/>
        </w:rPr>
        <w:t xml:space="preserve">. </w:t>
      </w:r>
    </w:p>
    <w:p w14:paraId="608E39DD"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9">
    <w:p w14:paraId="3524B9A2" w14:textId="1AAF2C80" w:rsidR="00316FA5"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DÁVILA VINUEZA, Luis Guillermo. Régimen jurídico de la contratación estatal. Tercera edición, Bogotá: Legis, 2016, p. 635 y 636.</w:t>
      </w:r>
    </w:p>
    <w:p w14:paraId="27FAAC45"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10">
    <w:p w14:paraId="499D6E1A" w14:textId="56AF8977" w:rsidR="009434BE"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w:t>
      </w:r>
      <w:proofErr w:type="spellStart"/>
      <w:r w:rsidRPr="00626BB1">
        <w:rPr>
          <w:rFonts w:ascii="Verdana" w:hAnsi="Verdana" w:cs="Arial"/>
          <w:color w:val="000000" w:themeColor="text1"/>
          <w:sz w:val="16"/>
          <w:szCs w:val="16"/>
        </w:rPr>
        <w:t>Ibíd</w:t>
      </w:r>
      <w:proofErr w:type="spellEnd"/>
      <w:r w:rsidRPr="00626BB1">
        <w:rPr>
          <w:rFonts w:ascii="Verdana" w:hAnsi="Verdana" w:cs="Arial"/>
          <w:color w:val="000000" w:themeColor="text1"/>
          <w:sz w:val="16"/>
          <w:szCs w:val="16"/>
        </w:rPr>
        <w:t>. p. 592</w:t>
      </w:r>
      <w:r w:rsidR="00893496">
        <w:rPr>
          <w:rFonts w:ascii="Verdana" w:hAnsi="Verdana" w:cs="Arial"/>
          <w:color w:val="000000" w:themeColor="text1"/>
          <w:sz w:val="16"/>
          <w:szCs w:val="16"/>
        </w:rPr>
        <w:t>.</w:t>
      </w:r>
    </w:p>
    <w:p w14:paraId="6168F0BF"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11">
    <w:p w14:paraId="5527D77E" w14:textId="0B61560E" w:rsidR="00316FA5"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Cfr. </w:t>
      </w:r>
      <w:r w:rsidR="00CD7ECE" w:rsidRPr="00626BB1">
        <w:rPr>
          <w:rFonts w:ascii="Verdana" w:hAnsi="Verdana" w:cs="Arial"/>
          <w:color w:val="000000" w:themeColor="text1"/>
          <w:sz w:val="16"/>
          <w:szCs w:val="16"/>
        </w:rPr>
        <w:t>CONSEJO DE ESTADO</w:t>
      </w:r>
      <w:r w:rsidRPr="00626BB1">
        <w:rPr>
          <w:rFonts w:ascii="Verdana" w:hAnsi="Verdana" w:cs="Arial"/>
          <w:color w:val="000000" w:themeColor="text1"/>
          <w:sz w:val="16"/>
          <w:szCs w:val="16"/>
        </w:rPr>
        <w:t xml:space="preserve">. Sección Tercera. Sentencia del 22 de abril de 2004.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xml:space="preserve">. 22.178 y en la Sentencia de la misma Sección del 15 de julio de 2004.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xml:space="preserve">. AP-1164-02. Esta postura fue reiterada por la Sala de Consulta Civil y Servicio Civil en Concepto del 6 de julio de 2018- Radicación Nro. 239. C.P.: Osar Darío Amaya Navas. </w:t>
      </w:r>
    </w:p>
    <w:p w14:paraId="2623E292"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12">
    <w:p w14:paraId="787B04B0" w14:textId="20637F27" w:rsidR="009434BE"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MARÍN CORTÉS. Fabián G. El precio. Serie: Las Cláusulas del Contrato Estatal. Medellín: Centro de Estudios de Derecho Administrativo ― CEDA y Librería Jurídica Sánchez, 2012. p. 220 y 221.</w:t>
      </w:r>
    </w:p>
    <w:p w14:paraId="2AA861D8"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13">
    <w:p w14:paraId="5C644034" w14:textId="18BE73D0" w:rsidR="00316FA5" w:rsidRDefault="009434BE" w:rsidP="001F33A6">
      <w:pPr>
        <w:pStyle w:val="Textonotapie"/>
        <w:ind w:firstLine="709"/>
        <w:contextualSpacing/>
        <w:jc w:val="both"/>
        <w:rPr>
          <w:rFonts w:ascii="Verdana" w:hAnsi="Verdana" w:cs="Arial"/>
          <w:color w:val="000000" w:themeColor="text1"/>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w:t>
      </w:r>
      <w:r w:rsidRPr="00626BB1">
        <w:rPr>
          <w:rFonts w:ascii="Verdana" w:hAnsi="Verdana" w:cs="Arial"/>
          <w:color w:val="000000" w:themeColor="text1"/>
          <w:sz w:val="16"/>
          <w:szCs w:val="16"/>
        </w:rPr>
        <w:t>BENAVIDES, José Luis. Contratos Públicos: Estudios. Primera edición. Bogotá: Universidad Externado de Colombia, 2014. p. 386</w:t>
      </w:r>
      <w:r w:rsidR="00893496">
        <w:rPr>
          <w:rFonts w:ascii="Verdana" w:hAnsi="Verdana" w:cs="Arial"/>
          <w:color w:val="000000" w:themeColor="text1"/>
          <w:sz w:val="16"/>
          <w:szCs w:val="16"/>
        </w:rPr>
        <w:t>.</w:t>
      </w:r>
    </w:p>
    <w:p w14:paraId="536AB516" w14:textId="77777777" w:rsidR="00893496" w:rsidRPr="00626BB1" w:rsidRDefault="00893496" w:rsidP="001F33A6">
      <w:pPr>
        <w:pStyle w:val="Textonotapie"/>
        <w:ind w:firstLine="709"/>
        <w:contextualSpacing/>
        <w:jc w:val="both"/>
        <w:rPr>
          <w:rFonts w:ascii="Verdana" w:hAnsi="Verdana" w:cs="Arial"/>
          <w:color w:val="000000" w:themeColor="text1"/>
          <w:sz w:val="16"/>
          <w:szCs w:val="16"/>
        </w:rPr>
      </w:pPr>
    </w:p>
  </w:footnote>
  <w:footnote w:id="14">
    <w:p w14:paraId="51AB97F2" w14:textId="283D8ABE" w:rsidR="00316FA5" w:rsidRDefault="009434BE" w:rsidP="001F33A6">
      <w:pPr>
        <w:pStyle w:val="Textonotapie"/>
        <w:ind w:firstLine="708"/>
        <w:contextualSpacing/>
        <w:jc w:val="both"/>
        <w:rPr>
          <w:rFonts w:ascii="Verdana" w:hAnsi="Verdana" w:cs="Arial"/>
          <w:color w:val="000000" w:themeColor="text1"/>
          <w:sz w:val="16"/>
          <w:szCs w:val="16"/>
        </w:rPr>
      </w:pPr>
      <w:r w:rsidRPr="00626BB1">
        <w:rPr>
          <w:rStyle w:val="Refdenotaalpie"/>
          <w:rFonts w:ascii="Verdana" w:hAnsi="Verdana" w:cs="Arial"/>
          <w:color w:val="000000" w:themeColor="text1"/>
          <w:sz w:val="16"/>
          <w:szCs w:val="16"/>
        </w:rPr>
        <w:footnoteRef/>
      </w:r>
      <w:r w:rsidRPr="00626BB1">
        <w:rPr>
          <w:rFonts w:ascii="Verdana" w:hAnsi="Verdana" w:cs="Arial"/>
          <w:color w:val="000000" w:themeColor="text1"/>
          <w:sz w:val="16"/>
          <w:szCs w:val="16"/>
        </w:rPr>
        <w:t xml:space="preserve"> </w:t>
      </w:r>
      <w:r w:rsidR="009A2770" w:rsidRPr="00626BB1">
        <w:rPr>
          <w:rFonts w:ascii="Verdana" w:hAnsi="Verdana" w:cs="Arial"/>
          <w:color w:val="000000" w:themeColor="text1"/>
          <w:sz w:val="16"/>
          <w:szCs w:val="16"/>
        </w:rPr>
        <w:t>CONSEJO DE ESTADO</w:t>
      </w:r>
      <w:r w:rsidRPr="00626BB1">
        <w:rPr>
          <w:rFonts w:ascii="Verdana" w:hAnsi="Verdana" w:cs="Arial"/>
          <w:color w:val="000000" w:themeColor="text1"/>
          <w:sz w:val="16"/>
          <w:szCs w:val="16"/>
        </w:rPr>
        <w:t xml:space="preserve">. Sección Tercera. Sentencia del 14 de abril de 2010.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xml:space="preserve">. 36.054. </w:t>
      </w:r>
      <w:r w:rsidR="00893496" w:rsidRPr="00626BB1">
        <w:rPr>
          <w:rFonts w:ascii="Verdana" w:hAnsi="Verdana"/>
          <w:sz w:val="16"/>
          <w:szCs w:val="16"/>
          <w:lang w:val="es-CO"/>
        </w:rPr>
        <w:t>Consejero ponente:</w:t>
      </w:r>
      <w:r w:rsidRPr="00626BB1">
        <w:rPr>
          <w:rFonts w:ascii="Verdana" w:hAnsi="Verdana" w:cs="Arial"/>
          <w:color w:val="000000" w:themeColor="text1"/>
          <w:sz w:val="16"/>
          <w:szCs w:val="16"/>
        </w:rPr>
        <w:t xml:space="preserve"> Enrique Gil Botero.</w:t>
      </w:r>
    </w:p>
    <w:p w14:paraId="29D409D1" w14:textId="77777777" w:rsidR="00893496" w:rsidRPr="00626BB1" w:rsidRDefault="00893496" w:rsidP="001F33A6">
      <w:pPr>
        <w:pStyle w:val="Textonotapie"/>
        <w:ind w:firstLine="708"/>
        <w:contextualSpacing/>
        <w:jc w:val="both"/>
        <w:rPr>
          <w:rFonts w:ascii="Verdana" w:hAnsi="Verdana" w:cs="Arial"/>
          <w:color w:val="000000" w:themeColor="text1"/>
          <w:sz w:val="16"/>
          <w:szCs w:val="16"/>
        </w:rPr>
      </w:pPr>
    </w:p>
  </w:footnote>
  <w:footnote w:id="15">
    <w:p w14:paraId="7A421150" w14:textId="4F957A1B" w:rsidR="009434BE" w:rsidRDefault="009434BE" w:rsidP="001F33A6">
      <w:pPr>
        <w:pStyle w:val="Textonotapie"/>
        <w:ind w:firstLine="709"/>
        <w:contextualSpacing/>
        <w:jc w:val="both"/>
        <w:rPr>
          <w:rFonts w:ascii="Verdana" w:hAnsi="Verdana" w:cs="Arial"/>
          <w:color w:val="000000" w:themeColor="text1"/>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w:t>
      </w:r>
      <w:r w:rsidR="009A2770" w:rsidRPr="00626BB1">
        <w:rPr>
          <w:rFonts w:ascii="Verdana" w:hAnsi="Verdana" w:cs="Arial"/>
          <w:color w:val="000000" w:themeColor="text1"/>
          <w:sz w:val="16"/>
          <w:szCs w:val="16"/>
        </w:rPr>
        <w:t>CONSEJO DE ESTADO</w:t>
      </w:r>
      <w:r w:rsidRPr="00626BB1">
        <w:rPr>
          <w:rFonts w:ascii="Verdana" w:hAnsi="Verdana" w:cs="Arial"/>
          <w:color w:val="000000" w:themeColor="text1"/>
          <w:sz w:val="16"/>
          <w:szCs w:val="16"/>
        </w:rPr>
        <w:t xml:space="preserve">. Sección Tercera. Sentencia del 20 de noviembre de 2008.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xml:space="preserve">. 17.031. </w:t>
      </w:r>
      <w:r w:rsidR="00893496" w:rsidRPr="00626BB1">
        <w:rPr>
          <w:rFonts w:ascii="Verdana" w:hAnsi="Verdana"/>
          <w:sz w:val="16"/>
          <w:szCs w:val="16"/>
          <w:lang w:val="es-CO"/>
        </w:rPr>
        <w:t>Consejero ponente:</w:t>
      </w:r>
      <w:r w:rsidRPr="00626BB1">
        <w:rPr>
          <w:rFonts w:ascii="Verdana" w:hAnsi="Verdana" w:cs="Arial"/>
          <w:color w:val="000000" w:themeColor="text1"/>
          <w:sz w:val="16"/>
          <w:szCs w:val="16"/>
        </w:rPr>
        <w:t xml:space="preserve"> Ruth Stella Correa Palacio. Ver también: Consejo de Estado, Sección Tercera, sentencia 18 de septiembre de 2003, </w:t>
      </w:r>
      <w:proofErr w:type="spellStart"/>
      <w:r w:rsidRPr="00626BB1">
        <w:rPr>
          <w:rFonts w:ascii="Verdana" w:hAnsi="Verdana" w:cs="Arial"/>
          <w:color w:val="000000" w:themeColor="text1"/>
          <w:sz w:val="16"/>
          <w:szCs w:val="16"/>
        </w:rPr>
        <w:t>Exp</w:t>
      </w:r>
      <w:proofErr w:type="spellEnd"/>
      <w:r w:rsidRPr="00626BB1">
        <w:rPr>
          <w:rFonts w:ascii="Verdana" w:hAnsi="Verdana" w:cs="Arial"/>
          <w:color w:val="000000" w:themeColor="text1"/>
          <w:sz w:val="16"/>
          <w:szCs w:val="16"/>
        </w:rPr>
        <w:t>. 15.119</w:t>
      </w:r>
      <w:r w:rsidR="00893496">
        <w:rPr>
          <w:rFonts w:ascii="Verdana" w:hAnsi="Verdana" w:cs="Arial"/>
          <w:color w:val="000000" w:themeColor="text1"/>
          <w:sz w:val="16"/>
          <w:szCs w:val="16"/>
        </w:rPr>
        <w:t>.</w:t>
      </w:r>
      <w:r w:rsidRPr="00626BB1">
        <w:rPr>
          <w:rFonts w:ascii="Verdana" w:hAnsi="Verdana" w:cs="Arial"/>
          <w:color w:val="000000" w:themeColor="text1"/>
          <w:sz w:val="16"/>
          <w:szCs w:val="16"/>
        </w:rPr>
        <w:t xml:space="preserve"> </w:t>
      </w:r>
      <w:r w:rsidR="00893496" w:rsidRPr="00626BB1">
        <w:rPr>
          <w:rFonts w:ascii="Verdana" w:hAnsi="Verdana"/>
          <w:sz w:val="16"/>
          <w:szCs w:val="16"/>
          <w:lang w:val="es-CO"/>
        </w:rPr>
        <w:t xml:space="preserve">Consejero ponente: </w:t>
      </w:r>
      <w:r w:rsidRPr="00626BB1">
        <w:rPr>
          <w:rFonts w:ascii="Verdana" w:hAnsi="Verdana" w:cs="Arial"/>
          <w:color w:val="000000" w:themeColor="text1"/>
          <w:sz w:val="16"/>
          <w:szCs w:val="16"/>
        </w:rPr>
        <w:t>Ramiro Saavedra Becerra.</w:t>
      </w:r>
    </w:p>
    <w:p w14:paraId="1E28A9E0" w14:textId="77777777" w:rsidR="00893496" w:rsidRPr="00626BB1" w:rsidRDefault="00893496" w:rsidP="001F33A6">
      <w:pPr>
        <w:pStyle w:val="Textonotapie"/>
        <w:ind w:firstLine="709"/>
        <w:contextualSpacing/>
        <w:jc w:val="both"/>
        <w:rPr>
          <w:rFonts w:ascii="Verdana" w:hAnsi="Verdana" w:cs="Arial"/>
          <w:color w:val="000000" w:themeColor="text1"/>
          <w:sz w:val="16"/>
          <w:szCs w:val="16"/>
        </w:rPr>
      </w:pPr>
    </w:p>
  </w:footnote>
  <w:footnote w:id="16">
    <w:p w14:paraId="2F352DEB" w14:textId="2FE0C171" w:rsidR="005C16AF" w:rsidRDefault="009434BE" w:rsidP="001F33A6">
      <w:pPr>
        <w:pStyle w:val="Textonotapie"/>
        <w:ind w:firstLine="709"/>
        <w:contextualSpacing/>
        <w:jc w:val="both"/>
        <w:rPr>
          <w:rFonts w:ascii="Verdana" w:hAnsi="Verdana" w:cs="Arial"/>
          <w:color w:val="000000" w:themeColor="text1"/>
          <w:sz w:val="16"/>
          <w:szCs w:val="16"/>
        </w:rPr>
      </w:pPr>
      <w:r w:rsidRPr="00626BB1">
        <w:rPr>
          <w:rStyle w:val="Refdenotaalpie"/>
          <w:rFonts w:ascii="Verdana" w:hAnsi="Verdana" w:cs="Arial"/>
          <w:sz w:val="16"/>
          <w:szCs w:val="16"/>
        </w:rPr>
        <w:footnoteRef/>
      </w:r>
      <w:r w:rsidRPr="00626BB1">
        <w:rPr>
          <w:rFonts w:ascii="Verdana" w:hAnsi="Verdana" w:cs="Arial"/>
          <w:sz w:val="16"/>
          <w:szCs w:val="16"/>
        </w:rPr>
        <w:t xml:space="preserve"> </w:t>
      </w:r>
      <w:r w:rsidR="009A2770" w:rsidRPr="00626BB1">
        <w:rPr>
          <w:rFonts w:ascii="Verdana" w:hAnsi="Verdana" w:cs="Arial"/>
          <w:color w:val="000000" w:themeColor="text1"/>
          <w:sz w:val="16"/>
          <w:szCs w:val="16"/>
        </w:rPr>
        <w:t xml:space="preserve">CONSEJO DE ESTADO. </w:t>
      </w:r>
      <w:r w:rsidRPr="00626BB1">
        <w:rPr>
          <w:rFonts w:ascii="Verdana" w:hAnsi="Verdana" w:cs="Arial"/>
          <w:color w:val="000000" w:themeColor="text1"/>
          <w:sz w:val="16"/>
          <w:szCs w:val="16"/>
        </w:rPr>
        <w:t>Sección tercera. Sentencia del 9 de julio de 2021. Radicación Nro. 52045.</w:t>
      </w:r>
      <w:r w:rsidR="00EE0CBF" w:rsidRPr="00EE0CBF">
        <w:rPr>
          <w:rFonts w:ascii="Verdana" w:hAnsi="Verdana"/>
          <w:sz w:val="16"/>
          <w:szCs w:val="16"/>
          <w:lang w:val="es-CO"/>
        </w:rPr>
        <w:t xml:space="preserve"> </w:t>
      </w:r>
      <w:r w:rsidR="00EE0CBF" w:rsidRPr="00626BB1">
        <w:rPr>
          <w:rFonts w:ascii="Verdana" w:hAnsi="Verdana"/>
          <w:sz w:val="16"/>
          <w:szCs w:val="16"/>
          <w:lang w:val="es-CO"/>
        </w:rPr>
        <w:t xml:space="preserve">Consejero ponente: </w:t>
      </w:r>
      <w:r w:rsidRPr="00626BB1">
        <w:rPr>
          <w:rFonts w:ascii="Verdana" w:hAnsi="Verdana" w:cs="Arial"/>
          <w:color w:val="000000" w:themeColor="text1"/>
          <w:sz w:val="16"/>
          <w:szCs w:val="16"/>
        </w:rPr>
        <w:t>Alberto Montaña Plata. Aclaración de voto: Alexander Jojoa Bolaños.</w:t>
      </w:r>
    </w:p>
    <w:p w14:paraId="66E879AF" w14:textId="77777777" w:rsidR="00EE0CBF" w:rsidRPr="00626BB1" w:rsidRDefault="00EE0CBF" w:rsidP="001F33A6">
      <w:pPr>
        <w:pStyle w:val="Textonotapie"/>
        <w:ind w:firstLine="709"/>
        <w:contextualSpacing/>
        <w:jc w:val="both"/>
        <w:rPr>
          <w:rFonts w:ascii="Verdana" w:hAnsi="Verdana" w:cs="Arial"/>
          <w:color w:val="000000" w:themeColor="text1"/>
          <w:sz w:val="16"/>
          <w:szCs w:val="16"/>
        </w:rPr>
      </w:pPr>
    </w:p>
  </w:footnote>
  <w:footnote w:id="17">
    <w:p w14:paraId="1D2518DE" w14:textId="4CF7E376" w:rsidR="009434BE" w:rsidRDefault="009434BE" w:rsidP="001F33A6">
      <w:pPr>
        <w:pStyle w:val="Textonotapie"/>
        <w:ind w:firstLine="708"/>
        <w:contextualSpacing/>
        <w:jc w:val="both"/>
        <w:rPr>
          <w:rFonts w:ascii="Verdana" w:hAnsi="Verdana"/>
          <w:sz w:val="16"/>
          <w:szCs w:val="16"/>
        </w:rPr>
      </w:pPr>
      <w:r w:rsidRPr="00626BB1">
        <w:rPr>
          <w:rStyle w:val="Refdenotaalpie"/>
          <w:rFonts w:ascii="Verdana" w:hAnsi="Verdana"/>
          <w:sz w:val="16"/>
          <w:szCs w:val="16"/>
        </w:rPr>
        <w:footnoteRef/>
      </w:r>
      <w:r w:rsidRPr="00626BB1">
        <w:rPr>
          <w:rFonts w:ascii="Verdana" w:hAnsi="Verdana"/>
          <w:sz w:val="16"/>
          <w:szCs w:val="16"/>
        </w:rPr>
        <w:t xml:space="preserve"> </w:t>
      </w:r>
      <w:r w:rsidR="009A2770" w:rsidRPr="00626BB1">
        <w:rPr>
          <w:rFonts w:ascii="Verdana" w:hAnsi="Verdana"/>
          <w:sz w:val="16"/>
          <w:szCs w:val="16"/>
        </w:rPr>
        <w:t xml:space="preserve">CONSEJO DE ESTADO. </w:t>
      </w:r>
      <w:r w:rsidRPr="00626BB1">
        <w:rPr>
          <w:rFonts w:ascii="Verdana" w:hAnsi="Verdana"/>
          <w:sz w:val="16"/>
          <w:szCs w:val="16"/>
        </w:rPr>
        <w:t>Sección Tercera. Sentencia del 6 de agosto de 1987. Expediente 3886.</w:t>
      </w:r>
    </w:p>
    <w:p w14:paraId="0D33DEFF" w14:textId="77777777" w:rsidR="00EE0CBF" w:rsidRPr="00626BB1" w:rsidRDefault="00EE0CBF" w:rsidP="001F33A6">
      <w:pPr>
        <w:pStyle w:val="Textonotapie"/>
        <w:ind w:firstLine="708"/>
        <w:contextualSpacing/>
        <w:jc w:val="both"/>
        <w:rPr>
          <w:rFonts w:ascii="Verdana" w:hAnsi="Verdana"/>
          <w:sz w:val="16"/>
          <w:szCs w:val="16"/>
        </w:rPr>
      </w:pPr>
    </w:p>
  </w:footnote>
  <w:footnote w:id="18">
    <w:p w14:paraId="1263504A" w14:textId="2327B78D" w:rsidR="009434BE" w:rsidRDefault="009434BE" w:rsidP="001F33A6">
      <w:pPr>
        <w:pStyle w:val="Textonotapie"/>
        <w:ind w:firstLine="708"/>
        <w:contextualSpacing/>
        <w:jc w:val="both"/>
        <w:rPr>
          <w:rFonts w:ascii="Verdana" w:hAnsi="Verdana"/>
          <w:sz w:val="16"/>
          <w:szCs w:val="16"/>
        </w:rPr>
      </w:pPr>
      <w:r w:rsidRPr="00626BB1">
        <w:rPr>
          <w:rStyle w:val="Refdenotaalpie"/>
          <w:rFonts w:ascii="Verdana" w:hAnsi="Verdana"/>
          <w:sz w:val="16"/>
          <w:szCs w:val="16"/>
        </w:rPr>
        <w:footnoteRef/>
      </w:r>
      <w:r w:rsidRPr="00626BB1">
        <w:rPr>
          <w:rFonts w:ascii="Verdana" w:hAnsi="Verdana"/>
          <w:sz w:val="16"/>
          <w:szCs w:val="16"/>
        </w:rPr>
        <w:t xml:space="preserve"> </w:t>
      </w:r>
      <w:r w:rsidR="009A2770" w:rsidRPr="00626BB1">
        <w:rPr>
          <w:rFonts w:ascii="Verdana" w:hAnsi="Verdana"/>
          <w:sz w:val="16"/>
          <w:szCs w:val="16"/>
        </w:rPr>
        <w:t>CONSEJO DE ESTADO</w:t>
      </w:r>
      <w:r w:rsidRPr="00626BB1">
        <w:rPr>
          <w:rFonts w:ascii="Verdana" w:hAnsi="Verdana"/>
          <w:sz w:val="16"/>
          <w:szCs w:val="16"/>
        </w:rPr>
        <w:t xml:space="preserve">. Sección </w:t>
      </w:r>
      <w:r w:rsidR="006941C8" w:rsidRPr="00626BB1">
        <w:rPr>
          <w:rFonts w:ascii="Verdana" w:hAnsi="Verdana"/>
          <w:sz w:val="16"/>
          <w:szCs w:val="16"/>
        </w:rPr>
        <w:t>Tercera</w:t>
      </w:r>
      <w:r w:rsidRPr="00626BB1">
        <w:rPr>
          <w:rFonts w:ascii="Verdana" w:hAnsi="Verdana"/>
          <w:sz w:val="16"/>
          <w:szCs w:val="16"/>
        </w:rPr>
        <w:t>. Sentencia del 18 de julio de 2002. Expediente 22178.</w:t>
      </w:r>
    </w:p>
    <w:p w14:paraId="563BF696" w14:textId="77777777" w:rsidR="00EE0CBF" w:rsidRPr="00626BB1" w:rsidRDefault="00EE0CBF" w:rsidP="001F33A6">
      <w:pPr>
        <w:pStyle w:val="Textonotapie"/>
        <w:ind w:firstLine="708"/>
        <w:contextualSpacing/>
        <w:jc w:val="both"/>
        <w:rPr>
          <w:rFonts w:ascii="Verdana" w:hAnsi="Verdana"/>
          <w:sz w:val="16"/>
          <w:szCs w:val="16"/>
        </w:rPr>
      </w:pPr>
    </w:p>
  </w:footnote>
  <w:footnote w:id="19">
    <w:p w14:paraId="79608524" w14:textId="3D93E678" w:rsidR="00EA0371" w:rsidRPr="00626BB1" w:rsidRDefault="00EA0371" w:rsidP="001F33A6">
      <w:pPr>
        <w:pStyle w:val="Textonotapie"/>
        <w:ind w:firstLine="708"/>
        <w:contextualSpacing/>
        <w:rPr>
          <w:rFonts w:ascii="Verdana" w:hAnsi="Verdana"/>
          <w:sz w:val="16"/>
          <w:szCs w:val="16"/>
          <w:lang w:val="es-CO"/>
        </w:rPr>
      </w:pPr>
      <w:r w:rsidRPr="00626BB1">
        <w:rPr>
          <w:rStyle w:val="Refdenotaalpie"/>
          <w:rFonts w:ascii="Verdana" w:hAnsi="Verdana"/>
          <w:sz w:val="16"/>
          <w:szCs w:val="16"/>
        </w:rPr>
        <w:footnoteRef/>
      </w:r>
      <w:r w:rsidR="00450710" w:rsidRPr="00626BB1">
        <w:rPr>
          <w:rFonts w:ascii="Verdana" w:hAnsi="Verdana"/>
          <w:sz w:val="16"/>
          <w:szCs w:val="16"/>
        </w:rPr>
        <w:t xml:space="preserve"> </w:t>
      </w:r>
      <w:r w:rsidR="007F7083" w:rsidRPr="00626BB1">
        <w:rPr>
          <w:rFonts w:ascii="Verdana" w:hAnsi="Verdana"/>
          <w:sz w:val="16"/>
          <w:szCs w:val="16"/>
        </w:rPr>
        <w:t>CONSEJO DE ESTADO.</w:t>
      </w:r>
      <w:r w:rsidR="00450710" w:rsidRPr="00626BB1">
        <w:rPr>
          <w:rFonts w:ascii="Verdana" w:hAnsi="Verdana"/>
          <w:sz w:val="16"/>
          <w:szCs w:val="16"/>
        </w:rPr>
        <w:t xml:space="preserve"> Sala de </w:t>
      </w:r>
      <w:r w:rsidR="00F07C56" w:rsidRPr="00626BB1">
        <w:rPr>
          <w:rFonts w:ascii="Verdana" w:hAnsi="Verdana"/>
          <w:sz w:val="16"/>
          <w:szCs w:val="16"/>
        </w:rPr>
        <w:t xml:space="preserve">Consulta y del Servicio Civil. </w:t>
      </w:r>
      <w:r w:rsidR="00450710" w:rsidRPr="00626BB1">
        <w:rPr>
          <w:rFonts w:ascii="Verdana" w:hAnsi="Verdana"/>
          <w:sz w:val="16"/>
          <w:szCs w:val="16"/>
        </w:rPr>
        <w:t xml:space="preserve"> </w:t>
      </w:r>
      <w:r w:rsidR="00E64587" w:rsidRPr="00626BB1">
        <w:rPr>
          <w:rFonts w:ascii="Verdana" w:hAnsi="Verdana"/>
          <w:sz w:val="16"/>
          <w:szCs w:val="16"/>
        </w:rPr>
        <w:t xml:space="preserve">Concepto </w:t>
      </w:r>
      <w:r w:rsidR="000B748B" w:rsidRPr="00626BB1">
        <w:rPr>
          <w:rFonts w:ascii="Verdana" w:hAnsi="Verdana"/>
          <w:sz w:val="16"/>
          <w:szCs w:val="16"/>
        </w:rPr>
        <w:t xml:space="preserve">del 18 de julio de 2022. Expediente </w:t>
      </w:r>
      <w:r w:rsidR="00E9376D" w:rsidRPr="00626BB1">
        <w:rPr>
          <w:rFonts w:ascii="Verdana" w:hAnsi="Verdana"/>
          <w:sz w:val="16"/>
          <w:szCs w:val="16"/>
        </w:rPr>
        <w:t>1439.</w:t>
      </w:r>
      <w:r w:rsidRPr="00626BB1">
        <w:rPr>
          <w:rFonts w:ascii="Verdana" w:hAnsi="Verdana"/>
          <w:sz w:val="16"/>
          <w:szCs w:val="16"/>
        </w:rPr>
        <w:t xml:space="preserve"> </w:t>
      </w:r>
      <w:r w:rsidR="00EF74FA" w:rsidRPr="00626BB1">
        <w:rPr>
          <w:rFonts w:ascii="Verdana" w:hAnsi="Verdana"/>
          <w:sz w:val="16"/>
          <w:szCs w:val="16"/>
          <w:lang w:val="es-CO"/>
        </w:rPr>
        <w:t>Consejera Ponente: Dra. Susana Montes de Echeverri.</w:t>
      </w:r>
    </w:p>
  </w:footnote>
  <w:footnote w:id="20">
    <w:p w14:paraId="6A049805" w14:textId="57FA0100" w:rsidR="00610B80" w:rsidRDefault="00610B80" w:rsidP="001F33A6">
      <w:pPr>
        <w:pStyle w:val="Textonotapie"/>
        <w:ind w:firstLine="708"/>
        <w:contextualSpacing/>
        <w:jc w:val="both"/>
        <w:rPr>
          <w:rFonts w:ascii="Verdana" w:hAnsi="Verdana"/>
          <w:sz w:val="16"/>
          <w:szCs w:val="16"/>
          <w:lang w:val="es-CO"/>
        </w:rPr>
      </w:pPr>
      <w:r w:rsidRPr="00626BB1">
        <w:rPr>
          <w:rStyle w:val="Refdenotaalpie"/>
          <w:rFonts w:ascii="Verdana" w:hAnsi="Verdana"/>
          <w:sz w:val="16"/>
          <w:szCs w:val="16"/>
        </w:rPr>
        <w:footnoteRef/>
      </w:r>
      <w:r w:rsidRPr="00626BB1">
        <w:rPr>
          <w:rFonts w:ascii="Verdana" w:hAnsi="Verdana"/>
          <w:sz w:val="16"/>
          <w:szCs w:val="16"/>
        </w:rPr>
        <w:t xml:space="preserve"> </w:t>
      </w:r>
      <w:r w:rsidR="004F2EA5" w:rsidRPr="00626BB1">
        <w:rPr>
          <w:rFonts w:ascii="Verdana" w:hAnsi="Verdana"/>
          <w:sz w:val="16"/>
          <w:szCs w:val="16"/>
        </w:rPr>
        <w:t xml:space="preserve">CONSEJO DE ESTADO, Sección Tercera, Subsección A, Sentencia del 22 de agosto de 2023. </w:t>
      </w:r>
      <w:proofErr w:type="spellStart"/>
      <w:r w:rsidR="004F2EA5" w:rsidRPr="00626BB1">
        <w:rPr>
          <w:rFonts w:ascii="Verdana" w:hAnsi="Verdana"/>
          <w:sz w:val="16"/>
          <w:szCs w:val="16"/>
        </w:rPr>
        <w:t>Exp</w:t>
      </w:r>
      <w:proofErr w:type="spellEnd"/>
      <w:r w:rsidR="00F06764" w:rsidRPr="00626BB1">
        <w:rPr>
          <w:rFonts w:ascii="Verdana" w:hAnsi="Verdana"/>
          <w:sz w:val="16"/>
          <w:szCs w:val="16"/>
        </w:rPr>
        <w:t xml:space="preserve">. No. </w:t>
      </w:r>
      <w:r w:rsidR="00506113" w:rsidRPr="00626BB1">
        <w:rPr>
          <w:rFonts w:ascii="Verdana" w:hAnsi="Verdana"/>
          <w:sz w:val="16"/>
          <w:szCs w:val="16"/>
        </w:rPr>
        <w:t>58634</w:t>
      </w:r>
      <w:r w:rsidR="00EE0CBF">
        <w:rPr>
          <w:rFonts w:ascii="Verdana" w:hAnsi="Verdana"/>
          <w:sz w:val="16"/>
          <w:szCs w:val="16"/>
        </w:rPr>
        <w:t xml:space="preserve">. </w:t>
      </w:r>
      <w:r w:rsidR="00EE0CBF" w:rsidRPr="00626BB1">
        <w:rPr>
          <w:rFonts w:ascii="Verdana" w:hAnsi="Verdana"/>
          <w:sz w:val="16"/>
          <w:szCs w:val="16"/>
          <w:lang w:val="es-CO"/>
        </w:rPr>
        <w:t xml:space="preserve">Consejero ponente: </w:t>
      </w:r>
      <w:r w:rsidR="00506113" w:rsidRPr="00626BB1">
        <w:rPr>
          <w:rFonts w:ascii="Verdana" w:hAnsi="Verdana"/>
          <w:sz w:val="16"/>
          <w:szCs w:val="16"/>
          <w:lang w:val="es-CO"/>
        </w:rPr>
        <w:t>María Adriana Marín.</w:t>
      </w:r>
    </w:p>
    <w:p w14:paraId="38FC79D8" w14:textId="77777777" w:rsidR="00EE0CBF" w:rsidRPr="00626BB1" w:rsidRDefault="00EE0CBF" w:rsidP="001F33A6">
      <w:pPr>
        <w:pStyle w:val="Textonotapie"/>
        <w:ind w:firstLine="708"/>
        <w:contextualSpacing/>
        <w:jc w:val="both"/>
        <w:rPr>
          <w:rFonts w:ascii="Verdana" w:hAnsi="Verdana"/>
          <w:sz w:val="16"/>
          <w:szCs w:val="16"/>
        </w:rPr>
      </w:pPr>
    </w:p>
  </w:footnote>
  <w:footnote w:id="21">
    <w:p w14:paraId="65A96E87" w14:textId="0E7CF4D8" w:rsidR="009C7E44" w:rsidRDefault="009C7E44" w:rsidP="001F33A6">
      <w:pPr>
        <w:pStyle w:val="Textonotapie"/>
        <w:ind w:firstLine="708"/>
        <w:contextualSpacing/>
        <w:jc w:val="both"/>
        <w:rPr>
          <w:rFonts w:ascii="Verdana" w:hAnsi="Verdana"/>
          <w:sz w:val="16"/>
          <w:szCs w:val="16"/>
          <w:lang w:val="es-CO"/>
        </w:rPr>
      </w:pPr>
      <w:r w:rsidRPr="00626BB1">
        <w:rPr>
          <w:rFonts w:ascii="Verdana" w:hAnsi="Verdana"/>
          <w:sz w:val="16"/>
          <w:szCs w:val="16"/>
        </w:rPr>
        <w:t xml:space="preserve"> </w:t>
      </w:r>
      <w:r w:rsidRPr="00626BB1">
        <w:rPr>
          <w:rStyle w:val="Refdenotaalpie"/>
          <w:rFonts w:ascii="Verdana" w:hAnsi="Verdana"/>
          <w:sz w:val="16"/>
          <w:szCs w:val="16"/>
        </w:rPr>
        <w:footnoteRef/>
      </w:r>
      <w:r w:rsidRPr="00626BB1">
        <w:rPr>
          <w:rFonts w:ascii="Verdana" w:hAnsi="Verdana"/>
          <w:sz w:val="16"/>
          <w:szCs w:val="16"/>
        </w:rPr>
        <w:t xml:space="preserve"> Cfr. </w:t>
      </w:r>
      <w:r w:rsidR="00A12E4E" w:rsidRPr="00626BB1">
        <w:rPr>
          <w:rFonts w:ascii="Verdana" w:hAnsi="Verdana"/>
          <w:sz w:val="16"/>
          <w:szCs w:val="16"/>
          <w:lang w:val="es-CO"/>
        </w:rPr>
        <w:t>CONSEJO DE ESTADO</w:t>
      </w:r>
      <w:r w:rsidRPr="00626BB1">
        <w:rPr>
          <w:rFonts w:ascii="Verdana" w:hAnsi="Verdana"/>
          <w:sz w:val="16"/>
          <w:szCs w:val="16"/>
          <w:lang w:val="es-CO"/>
        </w:rPr>
        <w:t>, Sección Tercera, Subsección C. Sentencia del 19 de septiembre de 2022.</w:t>
      </w:r>
      <w:r w:rsidR="00307B85" w:rsidRPr="00626BB1">
        <w:rPr>
          <w:rFonts w:ascii="Verdana" w:hAnsi="Verdana"/>
          <w:sz w:val="16"/>
          <w:szCs w:val="16"/>
          <w:lang w:val="es-CO"/>
        </w:rPr>
        <w:t xml:space="preserve"> </w:t>
      </w:r>
      <w:proofErr w:type="spellStart"/>
      <w:r w:rsidRPr="00626BB1">
        <w:rPr>
          <w:rFonts w:ascii="Verdana" w:hAnsi="Verdana"/>
          <w:sz w:val="16"/>
          <w:szCs w:val="16"/>
          <w:lang w:val="es-CO"/>
        </w:rPr>
        <w:t>Exp</w:t>
      </w:r>
      <w:proofErr w:type="spellEnd"/>
      <w:r w:rsidRPr="00626BB1">
        <w:rPr>
          <w:rFonts w:ascii="Verdana" w:hAnsi="Verdana"/>
          <w:sz w:val="16"/>
          <w:szCs w:val="16"/>
          <w:lang w:val="es-CO"/>
        </w:rPr>
        <w:t xml:space="preserve">. No. 54714. </w:t>
      </w:r>
      <w:r w:rsidR="00EE0CBF" w:rsidRPr="00626BB1">
        <w:rPr>
          <w:rFonts w:ascii="Verdana" w:hAnsi="Verdana"/>
          <w:sz w:val="16"/>
          <w:szCs w:val="16"/>
          <w:lang w:val="es-CO"/>
        </w:rPr>
        <w:t xml:space="preserve">Consejero ponente: </w:t>
      </w:r>
      <w:r w:rsidR="00A12E4E" w:rsidRPr="00626BB1">
        <w:rPr>
          <w:rFonts w:ascii="Verdana" w:hAnsi="Verdana"/>
          <w:sz w:val="16"/>
          <w:szCs w:val="16"/>
          <w:lang w:val="es-CO"/>
        </w:rPr>
        <w:t>Jaime Enrique Rodríguez Navas.</w:t>
      </w:r>
    </w:p>
    <w:p w14:paraId="3EB089C6" w14:textId="77777777" w:rsidR="00EE0CBF" w:rsidRPr="00626BB1" w:rsidRDefault="00EE0CBF" w:rsidP="001F33A6">
      <w:pPr>
        <w:pStyle w:val="Textonotapie"/>
        <w:ind w:firstLine="708"/>
        <w:contextualSpacing/>
        <w:jc w:val="both"/>
        <w:rPr>
          <w:rFonts w:ascii="Verdana" w:hAnsi="Verdana"/>
          <w:sz w:val="16"/>
          <w:szCs w:val="16"/>
          <w:lang w:val="es-CO"/>
        </w:rPr>
      </w:pPr>
    </w:p>
  </w:footnote>
  <w:footnote w:id="22">
    <w:p w14:paraId="64718279" w14:textId="08047BF3" w:rsidR="009E48A9" w:rsidRDefault="00A13437" w:rsidP="001F33A6">
      <w:pPr>
        <w:pStyle w:val="Textonotapie"/>
        <w:ind w:firstLine="708"/>
        <w:contextualSpacing/>
        <w:jc w:val="both"/>
        <w:rPr>
          <w:rFonts w:ascii="Verdana" w:hAnsi="Verdana"/>
          <w:sz w:val="16"/>
          <w:szCs w:val="16"/>
          <w:lang w:val="es-CO"/>
        </w:rPr>
      </w:pPr>
      <w:r w:rsidRPr="00626BB1">
        <w:rPr>
          <w:rStyle w:val="Refdenotaalpie"/>
          <w:rFonts w:ascii="Verdana" w:hAnsi="Verdana"/>
          <w:sz w:val="16"/>
          <w:szCs w:val="16"/>
        </w:rPr>
        <w:footnoteRef/>
      </w:r>
      <w:r w:rsidRPr="00626BB1">
        <w:rPr>
          <w:rFonts w:ascii="Verdana" w:hAnsi="Verdana"/>
          <w:sz w:val="16"/>
          <w:szCs w:val="16"/>
        </w:rPr>
        <w:t xml:space="preserve"> </w:t>
      </w:r>
      <w:r w:rsidR="00816B85" w:rsidRPr="00626BB1">
        <w:rPr>
          <w:rFonts w:ascii="Verdana" w:hAnsi="Verdana"/>
          <w:sz w:val="16"/>
          <w:szCs w:val="16"/>
        </w:rPr>
        <w:t xml:space="preserve">CONSEJO DE ESTADO, </w:t>
      </w:r>
      <w:r w:rsidR="00F9042C" w:rsidRPr="00626BB1">
        <w:rPr>
          <w:rFonts w:ascii="Verdana" w:hAnsi="Verdana"/>
          <w:sz w:val="16"/>
          <w:szCs w:val="16"/>
        </w:rPr>
        <w:t>Sección Tercera,</w:t>
      </w:r>
      <w:r w:rsidR="00C947A0" w:rsidRPr="00626BB1">
        <w:rPr>
          <w:rFonts w:ascii="Verdana" w:hAnsi="Verdana"/>
          <w:sz w:val="16"/>
          <w:szCs w:val="16"/>
        </w:rPr>
        <w:t xml:space="preserve"> </w:t>
      </w:r>
      <w:r w:rsidR="009B4977" w:rsidRPr="00626BB1">
        <w:rPr>
          <w:rFonts w:ascii="Verdana" w:hAnsi="Verdana"/>
          <w:sz w:val="16"/>
          <w:szCs w:val="16"/>
        </w:rPr>
        <w:t>S</w:t>
      </w:r>
      <w:r w:rsidR="00C947A0" w:rsidRPr="00626BB1">
        <w:rPr>
          <w:rFonts w:ascii="Verdana" w:hAnsi="Verdana"/>
          <w:sz w:val="16"/>
          <w:szCs w:val="16"/>
        </w:rPr>
        <w:t>ubsección C</w:t>
      </w:r>
      <w:bookmarkStart w:id="7" w:name="_Hlk176969946"/>
      <w:r w:rsidR="00C947A0" w:rsidRPr="00626BB1">
        <w:rPr>
          <w:rFonts w:ascii="Verdana" w:hAnsi="Verdana"/>
          <w:sz w:val="16"/>
          <w:szCs w:val="16"/>
        </w:rPr>
        <w:t>,</w:t>
      </w:r>
      <w:r w:rsidR="00F9042C" w:rsidRPr="00626BB1">
        <w:rPr>
          <w:rFonts w:ascii="Verdana" w:hAnsi="Verdana"/>
          <w:sz w:val="16"/>
          <w:szCs w:val="16"/>
        </w:rPr>
        <w:t xml:space="preserve"> Sentencia del </w:t>
      </w:r>
      <w:r w:rsidR="004A5431" w:rsidRPr="00626BB1">
        <w:rPr>
          <w:rFonts w:ascii="Verdana" w:hAnsi="Verdana"/>
          <w:sz w:val="16"/>
          <w:szCs w:val="16"/>
        </w:rPr>
        <w:t xml:space="preserve">24 de abril </w:t>
      </w:r>
      <w:r w:rsidR="00C947A0" w:rsidRPr="00626BB1">
        <w:rPr>
          <w:rFonts w:ascii="Verdana" w:hAnsi="Verdana"/>
          <w:sz w:val="16"/>
          <w:szCs w:val="16"/>
        </w:rPr>
        <w:t>de 2024</w:t>
      </w:r>
      <w:bookmarkEnd w:id="7"/>
      <w:r w:rsidR="00C947A0" w:rsidRPr="00626BB1">
        <w:rPr>
          <w:rFonts w:ascii="Verdana" w:hAnsi="Verdana"/>
          <w:sz w:val="16"/>
          <w:szCs w:val="16"/>
        </w:rPr>
        <w:t xml:space="preserve">. </w:t>
      </w:r>
      <w:proofErr w:type="spellStart"/>
      <w:r w:rsidR="00C4265A" w:rsidRPr="00626BB1">
        <w:rPr>
          <w:rFonts w:ascii="Verdana" w:hAnsi="Verdana"/>
          <w:sz w:val="16"/>
          <w:szCs w:val="16"/>
        </w:rPr>
        <w:t>Exp</w:t>
      </w:r>
      <w:proofErr w:type="spellEnd"/>
      <w:r w:rsidR="00C4265A" w:rsidRPr="00626BB1">
        <w:rPr>
          <w:rFonts w:ascii="Verdana" w:hAnsi="Verdana"/>
          <w:sz w:val="16"/>
          <w:szCs w:val="16"/>
        </w:rPr>
        <w:t>. No. 67</w:t>
      </w:r>
      <w:r w:rsidR="009E48A9" w:rsidRPr="00626BB1">
        <w:rPr>
          <w:rFonts w:ascii="Verdana" w:hAnsi="Verdana"/>
          <w:sz w:val="16"/>
          <w:szCs w:val="16"/>
        </w:rPr>
        <w:t>095</w:t>
      </w:r>
      <w:r w:rsidR="00EE0CBF">
        <w:rPr>
          <w:rFonts w:ascii="Verdana" w:hAnsi="Verdana"/>
          <w:sz w:val="16"/>
          <w:szCs w:val="16"/>
        </w:rPr>
        <w:t>.</w:t>
      </w:r>
      <w:r w:rsidR="00E46203" w:rsidRPr="00626BB1">
        <w:rPr>
          <w:rFonts w:ascii="Verdana" w:hAnsi="Verdana"/>
          <w:sz w:val="16"/>
          <w:szCs w:val="16"/>
        </w:rPr>
        <w:t xml:space="preserve"> </w:t>
      </w:r>
      <w:r w:rsidR="00EE0CBF" w:rsidRPr="00626BB1">
        <w:rPr>
          <w:rFonts w:ascii="Verdana" w:hAnsi="Verdana"/>
          <w:sz w:val="16"/>
          <w:szCs w:val="16"/>
          <w:lang w:val="es-CO"/>
        </w:rPr>
        <w:t xml:space="preserve">Consejero ponente: </w:t>
      </w:r>
      <w:r w:rsidR="00E46203" w:rsidRPr="00626BB1">
        <w:rPr>
          <w:rFonts w:ascii="Verdana" w:hAnsi="Verdana"/>
          <w:sz w:val="16"/>
          <w:szCs w:val="16"/>
          <w:lang w:val="es-CO"/>
        </w:rPr>
        <w:t>Nicolás Yepes Corrales</w:t>
      </w:r>
      <w:r w:rsidR="00816B85" w:rsidRPr="00626BB1">
        <w:rPr>
          <w:rFonts w:ascii="Verdana" w:hAnsi="Verdana"/>
          <w:sz w:val="16"/>
          <w:szCs w:val="16"/>
          <w:lang w:val="es-CO"/>
        </w:rPr>
        <w:t>.</w:t>
      </w:r>
    </w:p>
    <w:p w14:paraId="2380B25C" w14:textId="77777777" w:rsidR="00EE0CBF" w:rsidRPr="00626BB1" w:rsidRDefault="00EE0CBF" w:rsidP="001F33A6">
      <w:pPr>
        <w:pStyle w:val="Textonotapie"/>
        <w:ind w:firstLine="708"/>
        <w:contextualSpacing/>
        <w:jc w:val="both"/>
        <w:rPr>
          <w:rFonts w:ascii="Verdana" w:hAnsi="Verdana"/>
          <w:sz w:val="16"/>
          <w:szCs w:val="16"/>
        </w:rPr>
      </w:pPr>
    </w:p>
  </w:footnote>
  <w:footnote w:id="23">
    <w:p w14:paraId="7CE210F9" w14:textId="77777777" w:rsidR="009434BE" w:rsidRPr="00626BB1" w:rsidRDefault="009434BE" w:rsidP="001F33A6">
      <w:pPr>
        <w:pStyle w:val="Textonotapie"/>
        <w:ind w:firstLine="708"/>
        <w:contextualSpacing/>
        <w:jc w:val="both"/>
        <w:rPr>
          <w:rFonts w:ascii="Verdana" w:hAnsi="Verdana"/>
          <w:sz w:val="16"/>
          <w:szCs w:val="16"/>
        </w:rPr>
      </w:pPr>
      <w:r w:rsidRPr="00626BB1">
        <w:rPr>
          <w:rStyle w:val="Refdenotaalpie"/>
          <w:rFonts w:ascii="Verdana" w:hAnsi="Verdana"/>
          <w:sz w:val="16"/>
          <w:szCs w:val="16"/>
        </w:rPr>
        <w:footnoteRef/>
      </w:r>
      <w:r w:rsidRPr="00626BB1">
        <w:rPr>
          <w:rFonts w:ascii="Verdana" w:hAnsi="Verdana"/>
          <w:sz w:val="16"/>
          <w:szCs w:val="16"/>
        </w:rPr>
        <w:t xml:space="preserve"> BENAVIDES, José Luis. Contratos Públicos. Estudios. Temas de Derecho Administrativo No. 5. Universidad Externado de Colombia.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B13"/>
      </v:shape>
    </w:pict>
  </w:numPicBullet>
  <w:abstractNum w:abstractNumId="0" w15:restartNumberingAfterBreak="0">
    <w:nsid w:val="01C06310"/>
    <w:multiLevelType w:val="multilevel"/>
    <w:tmpl w:val="405C7EAA"/>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3289"/>
    <w:rsid w:val="00021031"/>
    <w:rsid w:val="00061B2A"/>
    <w:rsid w:val="0007140C"/>
    <w:rsid w:val="00082362"/>
    <w:rsid w:val="000857FA"/>
    <w:rsid w:val="000A13C9"/>
    <w:rsid w:val="000A683E"/>
    <w:rsid w:val="000B19B9"/>
    <w:rsid w:val="000B748B"/>
    <w:rsid w:val="000D0334"/>
    <w:rsid w:val="000E3FE0"/>
    <w:rsid w:val="000E654D"/>
    <w:rsid w:val="000F6486"/>
    <w:rsid w:val="00117490"/>
    <w:rsid w:val="00125105"/>
    <w:rsid w:val="00127233"/>
    <w:rsid w:val="00130B97"/>
    <w:rsid w:val="00150DBC"/>
    <w:rsid w:val="001516A2"/>
    <w:rsid w:val="00153DD4"/>
    <w:rsid w:val="00161E60"/>
    <w:rsid w:val="0018304A"/>
    <w:rsid w:val="0018405A"/>
    <w:rsid w:val="00190DF7"/>
    <w:rsid w:val="0019121C"/>
    <w:rsid w:val="00194D9E"/>
    <w:rsid w:val="001963B7"/>
    <w:rsid w:val="001A225E"/>
    <w:rsid w:val="001D1C03"/>
    <w:rsid w:val="001D5386"/>
    <w:rsid w:val="001E4177"/>
    <w:rsid w:val="001F33A6"/>
    <w:rsid w:val="001F7DC6"/>
    <w:rsid w:val="0020377C"/>
    <w:rsid w:val="0020441B"/>
    <w:rsid w:val="00204BF2"/>
    <w:rsid w:val="00234E1D"/>
    <w:rsid w:val="002421BB"/>
    <w:rsid w:val="00244CB6"/>
    <w:rsid w:val="00256555"/>
    <w:rsid w:val="0025796E"/>
    <w:rsid w:val="002617EF"/>
    <w:rsid w:val="002707A2"/>
    <w:rsid w:val="00281300"/>
    <w:rsid w:val="0028285D"/>
    <w:rsid w:val="002951A0"/>
    <w:rsid w:val="002962BC"/>
    <w:rsid w:val="002A093D"/>
    <w:rsid w:val="002A0DD0"/>
    <w:rsid w:val="002A49AC"/>
    <w:rsid w:val="002A64FD"/>
    <w:rsid w:val="002C2D74"/>
    <w:rsid w:val="002C7A84"/>
    <w:rsid w:val="002D01B5"/>
    <w:rsid w:val="002E4FD9"/>
    <w:rsid w:val="002F1025"/>
    <w:rsid w:val="00307B85"/>
    <w:rsid w:val="00316FA5"/>
    <w:rsid w:val="00322A85"/>
    <w:rsid w:val="00324168"/>
    <w:rsid w:val="0032453C"/>
    <w:rsid w:val="00330193"/>
    <w:rsid w:val="00335846"/>
    <w:rsid w:val="00337338"/>
    <w:rsid w:val="003448F4"/>
    <w:rsid w:val="00351EEC"/>
    <w:rsid w:val="003701AD"/>
    <w:rsid w:val="00374F5E"/>
    <w:rsid w:val="00377E3E"/>
    <w:rsid w:val="003A26D1"/>
    <w:rsid w:val="003A779E"/>
    <w:rsid w:val="003D0F4D"/>
    <w:rsid w:val="003D4087"/>
    <w:rsid w:val="003D4813"/>
    <w:rsid w:val="003D5B0D"/>
    <w:rsid w:val="003E0499"/>
    <w:rsid w:val="003F084E"/>
    <w:rsid w:val="003F1DF8"/>
    <w:rsid w:val="003F3941"/>
    <w:rsid w:val="003F6768"/>
    <w:rsid w:val="00406575"/>
    <w:rsid w:val="0042722E"/>
    <w:rsid w:val="0044528D"/>
    <w:rsid w:val="00450710"/>
    <w:rsid w:val="0045195E"/>
    <w:rsid w:val="00461500"/>
    <w:rsid w:val="00481961"/>
    <w:rsid w:val="004853B5"/>
    <w:rsid w:val="004943D8"/>
    <w:rsid w:val="004A1847"/>
    <w:rsid w:val="004A305D"/>
    <w:rsid w:val="004A5431"/>
    <w:rsid w:val="004A5DDC"/>
    <w:rsid w:val="004B688A"/>
    <w:rsid w:val="004C6C55"/>
    <w:rsid w:val="004D498D"/>
    <w:rsid w:val="004F21C4"/>
    <w:rsid w:val="004F2EA5"/>
    <w:rsid w:val="004F65BE"/>
    <w:rsid w:val="004F685F"/>
    <w:rsid w:val="00501074"/>
    <w:rsid w:val="00506113"/>
    <w:rsid w:val="0052538D"/>
    <w:rsid w:val="00536FFB"/>
    <w:rsid w:val="00546928"/>
    <w:rsid w:val="00547256"/>
    <w:rsid w:val="005566E8"/>
    <w:rsid w:val="00571531"/>
    <w:rsid w:val="00574867"/>
    <w:rsid w:val="00575C53"/>
    <w:rsid w:val="0058373B"/>
    <w:rsid w:val="00591460"/>
    <w:rsid w:val="00592628"/>
    <w:rsid w:val="005926F7"/>
    <w:rsid w:val="005B7712"/>
    <w:rsid w:val="005C16AF"/>
    <w:rsid w:val="005C16B7"/>
    <w:rsid w:val="005C1A40"/>
    <w:rsid w:val="005C3777"/>
    <w:rsid w:val="005C5CDC"/>
    <w:rsid w:val="005D476C"/>
    <w:rsid w:val="005F683C"/>
    <w:rsid w:val="00603108"/>
    <w:rsid w:val="00605BCF"/>
    <w:rsid w:val="00610812"/>
    <w:rsid w:val="00610B80"/>
    <w:rsid w:val="006219F8"/>
    <w:rsid w:val="00621BB1"/>
    <w:rsid w:val="00623D60"/>
    <w:rsid w:val="00626298"/>
    <w:rsid w:val="00626BB1"/>
    <w:rsid w:val="00634CA4"/>
    <w:rsid w:val="00650FF7"/>
    <w:rsid w:val="0065685A"/>
    <w:rsid w:val="0066423E"/>
    <w:rsid w:val="00665D70"/>
    <w:rsid w:val="00671DAC"/>
    <w:rsid w:val="00671FAE"/>
    <w:rsid w:val="0067715B"/>
    <w:rsid w:val="006900D9"/>
    <w:rsid w:val="00693B70"/>
    <w:rsid w:val="006941C8"/>
    <w:rsid w:val="00695E5C"/>
    <w:rsid w:val="006A116B"/>
    <w:rsid w:val="006A58C8"/>
    <w:rsid w:val="006C0937"/>
    <w:rsid w:val="006D12F8"/>
    <w:rsid w:val="006D5242"/>
    <w:rsid w:val="006E1944"/>
    <w:rsid w:val="006E3F57"/>
    <w:rsid w:val="007046E6"/>
    <w:rsid w:val="00706C16"/>
    <w:rsid w:val="00724CA5"/>
    <w:rsid w:val="00756841"/>
    <w:rsid w:val="007649AB"/>
    <w:rsid w:val="00771D0C"/>
    <w:rsid w:val="0077324B"/>
    <w:rsid w:val="007833AC"/>
    <w:rsid w:val="007A060F"/>
    <w:rsid w:val="007B268C"/>
    <w:rsid w:val="007B7171"/>
    <w:rsid w:val="007C0C0F"/>
    <w:rsid w:val="007C3A38"/>
    <w:rsid w:val="007C3DC2"/>
    <w:rsid w:val="007D0D16"/>
    <w:rsid w:val="007D12F6"/>
    <w:rsid w:val="007E5497"/>
    <w:rsid w:val="007E5785"/>
    <w:rsid w:val="007F7083"/>
    <w:rsid w:val="007F767F"/>
    <w:rsid w:val="00806F5F"/>
    <w:rsid w:val="0080767D"/>
    <w:rsid w:val="00816B85"/>
    <w:rsid w:val="00820278"/>
    <w:rsid w:val="00826DAF"/>
    <w:rsid w:val="00840328"/>
    <w:rsid w:val="0084524C"/>
    <w:rsid w:val="008544BB"/>
    <w:rsid w:val="00857D0F"/>
    <w:rsid w:val="0086381A"/>
    <w:rsid w:val="00863E1E"/>
    <w:rsid w:val="008761B7"/>
    <w:rsid w:val="008843B6"/>
    <w:rsid w:val="00891555"/>
    <w:rsid w:val="00891928"/>
    <w:rsid w:val="00893496"/>
    <w:rsid w:val="008A3B64"/>
    <w:rsid w:val="008A446D"/>
    <w:rsid w:val="008B6DBE"/>
    <w:rsid w:val="008D180B"/>
    <w:rsid w:val="008D658D"/>
    <w:rsid w:val="008D6B9E"/>
    <w:rsid w:val="008E32A6"/>
    <w:rsid w:val="008F0EA7"/>
    <w:rsid w:val="009007EA"/>
    <w:rsid w:val="00906590"/>
    <w:rsid w:val="00910532"/>
    <w:rsid w:val="00923EEF"/>
    <w:rsid w:val="009419F9"/>
    <w:rsid w:val="009434BE"/>
    <w:rsid w:val="0095685E"/>
    <w:rsid w:val="00961B09"/>
    <w:rsid w:val="00965334"/>
    <w:rsid w:val="0097093E"/>
    <w:rsid w:val="009769FA"/>
    <w:rsid w:val="00984B97"/>
    <w:rsid w:val="009A0952"/>
    <w:rsid w:val="009A0DFA"/>
    <w:rsid w:val="009A1676"/>
    <w:rsid w:val="009A2770"/>
    <w:rsid w:val="009B2D26"/>
    <w:rsid w:val="009B4977"/>
    <w:rsid w:val="009B7BA2"/>
    <w:rsid w:val="009C71FA"/>
    <w:rsid w:val="009C72E7"/>
    <w:rsid w:val="009C7E44"/>
    <w:rsid w:val="009D3058"/>
    <w:rsid w:val="009D3888"/>
    <w:rsid w:val="009E01C6"/>
    <w:rsid w:val="009E48A9"/>
    <w:rsid w:val="009F1210"/>
    <w:rsid w:val="009F3202"/>
    <w:rsid w:val="009F3A13"/>
    <w:rsid w:val="00A00E71"/>
    <w:rsid w:val="00A03680"/>
    <w:rsid w:val="00A122D3"/>
    <w:rsid w:val="00A12E4E"/>
    <w:rsid w:val="00A13437"/>
    <w:rsid w:val="00A17F13"/>
    <w:rsid w:val="00A20325"/>
    <w:rsid w:val="00A206E8"/>
    <w:rsid w:val="00A20739"/>
    <w:rsid w:val="00A2305F"/>
    <w:rsid w:val="00A276FF"/>
    <w:rsid w:val="00A3033C"/>
    <w:rsid w:val="00A3375B"/>
    <w:rsid w:val="00A33C78"/>
    <w:rsid w:val="00A743BD"/>
    <w:rsid w:val="00A95A1D"/>
    <w:rsid w:val="00AA71B6"/>
    <w:rsid w:val="00AB0989"/>
    <w:rsid w:val="00AB0ADB"/>
    <w:rsid w:val="00AC53C0"/>
    <w:rsid w:val="00AF0DAC"/>
    <w:rsid w:val="00B01B1A"/>
    <w:rsid w:val="00B15536"/>
    <w:rsid w:val="00B36458"/>
    <w:rsid w:val="00B40D45"/>
    <w:rsid w:val="00B43E6A"/>
    <w:rsid w:val="00B517F5"/>
    <w:rsid w:val="00B72CD3"/>
    <w:rsid w:val="00B72FFF"/>
    <w:rsid w:val="00B85FBA"/>
    <w:rsid w:val="00B908CC"/>
    <w:rsid w:val="00BA30D9"/>
    <w:rsid w:val="00BB25C7"/>
    <w:rsid w:val="00BB6D9A"/>
    <w:rsid w:val="00BC3D36"/>
    <w:rsid w:val="00BD1750"/>
    <w:rsid w:val="00BD7F72"/>
    <w:rsid w:val="00BE216D"/>
    <w:rsid w:val="00C04FB3"/>
    <w:rsid w:val="00C06C39"/>
    <w:rsid w:val="00C330EB"/>
    <w:rsid w:val="00C4265A"/>
    <w:rsid w:val="00C47974"/>
    <w:rsid w:val="00C65617"/>
    <w:rsid w:val="00C72FF8"/>
    <w:rsid w:val="00C754BE"/>
    <w:rsid w:val="00C76B1C"/>
    <w:rsid w:val="00C826CF"/>
    <w:rsid w:val="00C87700"/>
    <w:rsid w:val="00C947A0"/>
    <w:rsid w:val="00CA2FDC"/>
    <w:rsid w:val="00CB6357"/>
    <w:rsid w:val="00CC002C"/>
    <w:rsid w:val="00CC1B26"/>
    <w:rsid w:val="00CC4DAB"/>
    <w:rsid w:val="00CD7ECE"/>
    <w:rsid w:val="00CE4993"/>
    <w:rsid w:val="00CF1AD4"/>
    <w:rsid w:val="00D12C5E"/>
    <w:rsid w:val="00D137E0"/>
    <w:rsid w:val="00D24C82"/>
    <w:rsid w:val="00D34118"/>
    <w:rsid w:val="00D354B0"/>
    <w:rsid w:val="00D423A2"/>
    <w:rsid w:val="00D46F9E"/>
    <w:rsid w:val="00D520D8"/>
    <w:rsid w:val="00D63AC2"/>
    <w:rsid w:val="00D640C3"/>
    <w:rsid w:val="00D6521B"/>
    <w:rsid w:val="00D7383B"/>
    <w:rsid w:val="00D92089"/>
    <w:rsid w:val="00DA231B"/>
    <w:rsid w:val="00DA23A0"/>
    <w:rsid w:val="00DA23B1"/>
    <w:rsid w:val="00DA4B34"/>
    <w:rsid w:val="00DC39FC"/>
    <w:rsid w:val="00DD2041"/>
    <w:rsid w:val="00DF03CA"/>
    <w:rsid w:val="00DF3246"/>
    <w:rsid w:val="00DF5254"/>
    <w:rsid w:val="00DF6736"/>
    <w:rsid w:val="00E16408"/>
    <w:rsid w:val="00E16C8E"/>
    <w:rsid w:val="00E20894"/>
    <w:rsid w:val="00E245AB"/>
    <w:rsid w:val="00E2764C"/>
    <w:rsid w:val="00E27F2E"/>
    <w:rsid w:val="00E31881"/>
    <w:rsid w:val="00E35B50"/>
    <w:rsid w:val="00E413EA"/>
    <w:rsid w:val="00E46203"/>
    <w:rsid w:val="00E50AFE"/>
    <w:rsid w:val="00E64587"/>
    <w:rsid w:val="00E75C92"/>
    <w:rsid w:val="00E771DC"/>
    <w:rsid w:val="00E864E3"/>
    <w:rsid w:val="00E8772A"/>
    <w:rsid w:val="00E9068F"/>
    <w:rsid w:val="00E90F6B"/>
    <w:rsid w:val="00E92C27"/>
    <w:rsid w:val="00E9376D"/>
    <w:rsid w:val="00E94F03"/>
    <w:rsid w:val="00E96321"/>
    <w:rsid w:val="00EA0371"/>
    <w:rsid w:val="00EA0E3D"/>
    <w:rsid w:val="00EB014E"/>
    <w:rsid w:val="00EC38A7"/>
    <w:rsid w:val="00EC493C"/>
    <w:rsid w:val="00EE0CBF"/>
    <w:rsid w:val="00EE1AA8"/>
    <w:rsid w:val="00EE2221"/>
    <w:rsid w:val="00EF74FA"/>
    <w:rsid w:val="00F00507"/>
    <w:rsid w:val="00F06764"/>
    <w:rsid w:val="00F07C56"/>
    <w:rsid w:val="00F31EDC"/>
    <w:rsid w:val="00F462B3"/>
    <w:rsid w:val="00F467A1"/>
    <w:rsid w:val="00F5664F"/>
    <w:rsid w:val="00F666C4"/>
    <w:rsid w:val="00F76AFC"/>
    <w:rsid w:val="00F9042C"/>
    <w:rsid w:val="00FA47C0"/>
    <w:rsid w:val="00FB5DD1"/>
    <w:rsid w:val="00FC2B5D"/>
    <w:rsid w:val="00FD34B3"/>
    <w:rsid w:val="00FE02A1"/>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4113AC0C-FE2D-40DC-B8BF-67D696B8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434BE"/>
    <w:pPr>
      <w:spacing w:line="240" w:lineRule="exact"/>
    </w:pPr>
    <w:rPr>
      <w:vertAlign w:val="superscript"/>
    </w:rPr>
  </w:style>
  <w:style w:type="character" w:styleId="Refdecomentario">
    <w:name w:val="annotation reference"/>
    <w:basedOn w:val="Fuentedeprrafopredeter"/>
    <w:uiPriority w:val="99"/>
    <w:semiHidden/>
    <w:unhideWhenUsed/>
    <w:rsid w:val="009434BE"/>
    <w:rPr>
      <w:sz w:val="16"/>
      <w:szCs w:val="16"/>
    </w:rPr>
  </w:style>
  <w:style w:type="paragraph" w:styleId="Textocomentario">
    <w:name w:val="annotation text"/>
    <w:basedOn w:val="Normal"/>
    <w:link w:val="TextocomentarioCar"/>
    <w:uiPriority w:val="99"/>
    <w:unhideWhenUsed/>
    <w:rsid w:val="009434BE"/>
    <w:pPr>
      <w:spacing w:line="240" w:lineRule="auto"/>
    </w:pPr>
    <w:rPr>
      <w:sz w:val="20"/>
      <w:szCs w:val="20"/>
    </w:rPr>
  </w:style>
  <w:style w:type="character" w:customStyle="1" w:styleId="TextocomentarioCar">
    <w:name w:val="Texto comentario Car"/>
    <w:basedOn w:val="Fuentedeprrafopredeter"/>
    <w:link w:val="Textocomentario"/>
    <w:uiPriority w:val="99"/>
    <w:rsid w:val="009434BE"/>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434B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76">
      <w:bodyDiv w:val="1"/>
      <w:marLeft w:val="0"/>
      <w:marRight w:val="0"/>
      <w:marTop w:val="0"/>
      <w:marBottom w:val="0"/>
      <w:divBdr>
        <w:top w:val="none" w:sz="0" w:space="0" w:color="auto"/>
        <w:left w:val="none" w:sz="0" w:space="0" w:color="auto"/>
        <w:bottom w:val="none" w:sz="0" w:space="0" w:color="auto"/>
        <w:right w:val="none" w:sz="0" w:space="0" w:color="auto"/>
      </w:divBdr>
    </w:div>
    <w:div w:id="87123472">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22046508">
      <w:bodyDiv w:val="1"/>
      <w:marLeft w:val="0"/>
      <w:marRight w:val="0"/>
      <w:marTop w:val="0"/>
      <w:marBottom w:val="0"/>
      <w:divBdr>
        <w:top w:val="none" w:sz="0" w:space="0" w:color="auto"/>
        <w:left w:val="none" w:sz="0" w:space="0" w:color="auto"/>
        <w:bottom w:val="none" w:sz="0" w:space="0" w:color="auto"/>
        <w:right w:val="none" w:sz="0" w:space="0" w:color="auto"/>
      </w:divBdr>
    </w:div>
    <w:div w:id="606742000">
      <w:bodyDiv w:val="1"/>
      <w:marLeft w:val="0"/>
      <w:marRight w:val="0"/>
      <w:marTop w:val="0"/>
      <w:marBottom w:val="0"/>
      <w:divBdr>
        <w:top w:val="none" w:sz="0" w:space="0" w:color="auto"/>
        <w:left w:val="none" w:sz="0" w:space="0" w:color="auto"/>
        <w:bottom w:val="none" w:sz="0" w:space="0" w:color="auto"/>
        <w:right w:val="none" w:sz="0" w:space="0" w:color="auto"/>
      </w:divBdr>
      <w:divsChild>
        <w:div w:id="134489566">
          <w:marLeft w:val="0"/>
          <w:marRight w:val="0"/>
          <w:marTop w:val="0"/>
          <w:marBottom w:val="0"/>
          <w:divBdr>
            <w:top w:val="none" w:sz="0" w:space="0" w:color="auto"/>
            <w:left w:val="none" w:sz="0" w:space="0" w:color="auto"/>
            <w:bottom w:val="none" w:sz="0" w:space="0" w:color="auto"/>
            <w:right w:val="none" w:sz="0" w:space="0" w:color="auto"/>
          </w:divBdr>
        </w:div>
        <w:div w:id="1048191445">
          <w:marLeft w:val="0"/>
          <w:marRight w:val="0"/>
          <w:marTop w:val="0"/>
          <w:marBottom w:val="0"/>
          <w:divBdr>
            <w:top w:val="none" w:sz="0" w:space="0" w:color="auto"/>
            <w:left w:val="none" w:sz="0" w:space="0" w:color="auto"/>
            <w:bottom w:val="none" w:sz="0" w:space="0" w:color="auto"/>
            <w:right w:val="none" w:sz="0" w:space="0" w:color="auto"/>
          </w:divBdr>
        </w:div>
        <w:div w:id="2022048729">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49377419">
      <w:bodyDiv w:val="1"/>
      <w:marLeft w:val="0"/>
      <w:marRight w:val="0"/>
      <w:marTop w:val="0"/>
      <w:marBottom w:val="0"/>
      <w:divBdr>
        <w:top w:val="none" w:sz="0" w:space="0" w:color="auto"/>
        <w:left w:val="none" w:sz="0" w:space="0" w:color="auto"/>
        <w:bottom w:val="none" w:sz="0" w:space="0" w:color="auto"/>
        <w:right w:val="none" w:sz="0" w:space="0" w:color="auto"/>
      </w:divBdr>
      <w:divsChild>
        <w:div w:id="232466946">
          <w:marLeft w:val="0"/>
          <w:marRight w:val="0"/>
          <w:marTop w:val="0"/>
          <w:marBottom w:val="0"/>
          <w:divBdr>
            <w:top w:val="none" w:sz="0" w:space="0" w:color="auto"/>
            <w:left w:val="none" w:sz="0" w:space="0" w:color="auto"/>
            <w:bottom w:val="none" w:sz="0" w:space="0" w:color="auto"/>
            <w:right w:val="none" w:sz="0" w:space="0" w:color="auto"/>
          </w:divBdr>
        </w:div>
        <w:div w:id="765005937">
          <w:marLeft w:val="0"/>
          <w:marRight w:val="0"/>
          <w:marTop w:val="0"/>
          <w:marBottom w:val="0"/>
          <w:divBdr>
            <w:top w:val="none" w:sz="0" w:space="0" w:color="auto"/>
            <w:left w:val="none" w:sz="0" w:space="0" w:color="auto"/>
            <w:bottom w:val="none" w:sz="0" w:space="0" w:color="auto"/>
            <w:right w:val="none" w:sz="0" w:space="0" w:color="auto"/>
          </w:divBdr>
        </w:div>
        <w:div w:id="1098794167">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06952769">
      <w:bodyDiv w:val="1"/>
      <w:marLeft w:val="0"/>
      <w:marRight w:val="0"/>
      <w:marTop w:val="0"/>
      <w:marBottom w:val="0"/>
      <w:divBdr>
        <w:top w:val="none" w:sz="0" w:space="0" w:color="auto"/>
        <w:left w:val="none" w:sz="0" w:space="0" w:color="auto"/>
        <w:bottom w:val="none" w:sz="0" w:space="0" w:color="auto"/>
        <w:right w:val="none" w:sz="0" w:space="0" w:color="auto"/>
      </w:divBdr>
      <w:divsChild>
        <w:div w:id="541669856">
          <w:marLeft w:val="0"/>
          <w:marRight w:val="0"/>
          <w:marTop w:val="0"/>
          <w:marBottom w:val="0"/>
          <w:divBdr>
            <w:top w:val="none" w:sz="0" w:space="0" w:color="auto"/>
            <w:left w:val="none" w:sz="0" w:space="0" w:color="auto"/>
            <w:bottom w:val="none" w:sz="0" w:space="0" w:color="auto"/>
            <w:right w:val="none" w:sz="0" w:space="0" w:color="auto"/>
          </w:divBdr>
        </w:div>
        <w:div w:id="826633672">
          <w:marLeft w:val="0"/>
          <w:marRight w:val="0"/>
          <w:marTop w:val="0"/>
          <w:marBottom w:val="0"/>
          <w:divBdr>
            <w:top w:val="none" w:sz="0" w:space="0" w:color="auto"/>
            <w:left w:val="none" w:sz="0" w:space="0" w:color="auto"/>
            <w:bottom w:val="none" w:sz="0" w:space="0" w:color="auto"/>
            <w:right w:val="none" w:sz="0" w:space="0" w:color="auto"/>
          </w:divBdr>
        </w:div>
        <w:div w:id="846093673">
          <w:marLeft w:val="0"/>
          <w:marRight w:val="0"/>
          <w:marTop w:val="0"/>
          <w:marBottom w:val="0"/>
          <w:divBdr>
            <w:top w:val="none" w:sz="0" w:space="0" w:color="auto"/>
            <w:left w:val="none" w:sz="0" w:space="0" w:color="auto"/>
            <w:bottom w:val="none" w:sz="0" w:space="0" w:color="auto"/>
            <w:right w:val="none" w:sz="0" w:space="0" w:color="auto"/>
          </w:divBdr>
        </w:div>
      </w:divsChild>
    </w:div>
    <w:div w:id="1501966050">
      <w:bodyDiv w:val="1"/>
      <w:marLeft w:val="0"/>
      <w:marRight w:val="0"/>
      <w:marTop w:val="0"/>
      <w:marBottom w:val="0"/>
      <w:divBdr>
        <w:top w:val="none" w:sz="0" w:space="0" w:color="auto"/>
        <w:left w:val="none" w:sz="0" w:space="0" w:color="auto"/>
        <w:bottom w:val="none" w:sz="0" w:space="0" w:color="auto"/>
        <w:right w:val="none" w:sz="0" w:space="0" w:color="auto"/>
      </w:divBdr>
      <w:divsChild>
        <w:div w:id="486284903">
          <w:marLeft w:val="0"/>
          <w:marRight w:val="0"/>
          <w:marTop w:val="0"/>
          <w:marBottom w:val="0"/>
          <w:divBdr>
            <w:top w:val="none" w:sz="0" w:space="0" w:color="auto"/>
            <w:left w:val="none" w:sz="0" w:space="0" w:color="auto"/>
            <w:bottom w:val="none" w:sz="0" w:space="0" w:color="auto"/>
            <w:right w:val="none" w:sz="0" w:space="0" w:color="auto"/>
          </w:divBdr>
        </w:div>
        <w:div w:id="866797822">
          <w:marLeft w:val="0"/>
          <w:marRight w:val="0"/>
          <w:marTop w:val="0"/>
          <w:marBottom w:val="0"/>
          <w:divBdr>
            <w:top w:val="none" w:sz="0" w:space="0" w:color="auto"/>
            <w:left w:val="none" w:sz="0" w:space="0" w:color="auto"/>
            <w:bottom w:val="none" w:sz="0" w:space="0" w:color="auto"/>
            <w:right w:val="none" w:sz="0" w:space="0" w:color="auto"/>
          </w:divBdr>
        </w:div>
        <w:div w:id="1424372126">
          <w:marLeft w:val="0"/>
          <w:marRight w:val="0"/>
          <w:marTop w:val="0"/>
          <w:marBottom w:val="0"/>
          <w:divBdr>
            <w:top w:val="none" w:sz="0" w:space="0" w:color="auto"/>
            <w:left w:val="none" w:sz="0" w:space="0" w:color="auto"/>
            <w:bottom w:val="none" w:sz="0" w:space="0" w:color="auto"/>
            <w:right w:val="none" w:sz="0" w:space="0" w:color="auto"/>
          </w:divBdr>
        </w:div>
      </w:divsChild>
    </w:div>
    <w:div w:id="1560020222">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files_2020/boletin_de_realtoria_ii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B78FD-C2CB-4106-9186-FCA8B44C349C}">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DC69F2DF-B76D-46BA-878D-B35C7E27F6E9}"/>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7460</Words>
  <Characters>41032</Characters>
  <Application>Microsoft Office Word</Application>
  <DocSecurity>0</DocSecurity>
  <Lines>341</Lines>
  <Paragraphs>96</Paragraphs>
  <ScaleCrop>false</ScaleCrop>
  <Company/>
  <LinksUpToDate>false</LinksUpToDate>
  <CharactersWithSpaces>48396</CharactersWithSpaces>
  <SharedDoc>false</SharedDoc>
  <HLinks>
    <vt:vector size="12" baseType="variant">
      <vt:variant>
        <vt:i4>1638461</vt:i4>
      </vt:variant>
      <vt:variant>
        <vt:i4>3</vt:i4>
      </vt:variant>
      <vt:variant>
        <vt:i4>0</vt:i4>
      </vt:variant>
      <vt:variant>
        <vt:i4>5</vt:i4>
      </vt:variant>
      <vt:variant>
        <vt:lpwstr>https://www.colombiacompra.gov.co/sites/cce_public/files/files_2020/boletin_de_realtoria_iii.pdf</vt:lpwstr>
      </vt:variant>
      <vt:variant>
        <vt:lpwstr/>
      </vt:variant>
      <vt:variant>
        <vt:i4>1900622</vt:i4>
      </vt:variant>
      <vt:variant>
        <vt:i4>0</vt:i4>
      </vt:variant>
      <vt:variant>
        <vt:i4>0</vt:i4>
      </vt:variant>
      <vt:variant>
        <vt:i4>5</vt:i4>
      </vt:variant>
      <vt:variant>
        <vt:lpwstr>https://relatoria.colombiacompra.gov.co/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3</cp:revision>
  <cp:lastPrinted>2023-01-10T21:18:00Z</cp:lastPrinted>
  <dcterms:created xsi:type="dcterms:W3CDTF">2024-09-12T16:51:00Z</dcterms:created>
  <dcterms:modified xsi:type="dcterms:W3CDTF">2024-09-12T16:54:00Z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