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E1663" w:rsidP="5084A66E" w:rsidRDefault="00EE1663" w14:paraId="52A9E6B8" w14:textId="77777777">
      <w:pPr>
        <w:pStyle w:val="paragraph"/>
        <w:spacing w:before="0" w:beforeAutospacing="off" w:after="160" w:afterAutospacing="off" w:line="276" w:lineRule="auto"/>
        <w:jc w:val="both"/>
        <w:rPr>
          <w:rStyle w:val="eop"/>
          <w:rFonts w:ascii="Century Gothic" w:hAnsi="Century Gothic" w:cs="Arial"/>
          <w:sz w:val="20"/>
          <w:szCs w:val="20"/>
        </w:rPr>
      </w:pPr>
    </w:p>
    <w:p w:rsidR="5084A66E" w:rsidP="5084A66E" w:rsidRDefault="5084A66E" w14:paraId="42015265" w14:textId="2D9E06A1">
      <w:pPr>
        <w:pStyle w:val="paragraph"/>
        <w:spacing w:before="0" w:beforeAutospacing="off" w:after="160" w:afterAutospacing="off" w:line="276" w:lineRule="auto"/>
        <w:jc w:val="both"/>
        <w:rPr>
          <w:rStyle w:val="eop"/>
          <w:rFonts w:ascii="Century Gothic" w:hAnsi="Century Gothic" w:cs="Arial"/>
          <w:sz w:val="20"/>
          <w:szCs w:val="20"/>
        </w:rPr>
      </w:pPr>
    </w:p>
    <w:p w:rsidR="47A45666" w:rsidP="5084A66E" w:rsidRDefault="47A45666" w14:paraId="2617962D" w14:textId="22E465B8">
      <w:pPr>
        <w:spacing w:before="0" w:beforeAutospacing="off" w:after="160" w:afterAutospacing="off" w:line="276" w:lineRule="auto"/>
        <w:jc w:val="both"/>
      </w:pPr>
      <w:r w:rsidRPr="5084A66E" w:rsidR="47A45666">
        <w:rPr>
          <w:rFonts w:ascii="Century Gothic" w:hAnsi="Century Gothic" w:eastAsia="Century Gothic" w:cs="Century Gothic"/>
          <w:b w:val="1"/>
          <w:bCs w:val="1"/>
          <w:noProof w:val="0"/>
          <w:color w:val="000000" w:themeColor="text1" w:themeTint="FF" w:themeShade="FF"/>
          <w:sz w:val="22"/>
          <w:szCs w:val="22"/>
          <w:lang w:val="es-CO"/>
        </w:rPr>
        <w:t>ENTIDADES CON RÉGIMEN ESPECIAL – Definición</w:t>
      </w:r>
    </w:p>
    <w:p w:rsidR="47A45666" w:rsidP="5084A66E" w:rsidRDefault="47A45666" w14:paraId="610090CE" w14:textId="2B47C6DF">
      <w:pPr>
        <w:spacing w:before="0" w:beforeAutospacing="off" w:after="160" w:afterAutospacing="off" w:line="276" w:lineRule="auto"/>
        <w:jc w:val="both"/>
      </w:pPr>
      <w:r w:rsidRPr="5084A66E" w:rsidR="47A45666">
        <w:rPr>
          <w:rFonts w:ascii="Century Gothic" w:hAnsi="Century Gothic" w:eastAsia="Century Gothic" w:cs="Century Gothic"/>
          <w:noProof w:val="0"/>
          <w:color w:val="000000" w:themeColor="text1" w:themeTint="FF" w:themeShade="FF"/>
          <w:sz w:val="20"/>
          <w:szCs w:val="20"/>
          <w:lang w:val="es-CO"/>
        </w:rPr>
        <w:t>El ordenamiento jurídico colombiano contempla como categoría única la noción de contratos estatales, pero acepta la posibilidad de que dichos contratos tengan regímenes jurídicos diferenciados. En virtud de ello se afirma que hay contratos estatales sometidos al EGCAP (Leyes 80 de 1993, 1150 de 2007 y disposiciones complementarias) y contratos estatales sometidos a reglas especiales, usualmente al derecho privado.</w:t>
      </w:r>
    </w:p>
    <w:p w:rsidR="47A45666" w:rsidP="5084A66E" w:rsidRDefault="47A45666" w14:paraId="4B923B4E" w14:textId="5120D2C4">
      <w:pPr>
        <w:spacing w:before="0" w:beforeAutospacing="off" w:after="160" w:afterAutospacing="off" w:line="276" w:lineRule="auto"/>
        <w:jc w:val="both"/>
      </w:pPr>
      <w:r w:rsidRPr="5084A66E" w:rsidR="47A45666">
        <w:rPr>
          <w:rFonts w:ascii="Century Gothic" w:hAnsi="Century Gothic" w:eastAsia="Century Gothic" w:cs="Century Gothic"/>
          <w:b w:val="1"/>
          <w:bCs w:val="1"/>
          <w:noProof w:val="0"/>
          <w:color w:val="000000" w:themeColor="text1" w:themeTint="FF" w:themeShade="FF"/>
          <w:sz w:val="22"/>
          <w:szCs w:val="22"/>
          <w:lang w:val="es-CO"/>
        </w:rPr>
        <w:t>ENTIDADES CON RÉGIMEN ESPECIAL – Reglas aplicables</w:t>
      </w:r>
    </w:p>
    <w:p w:rsidR="47A45666" w:rsidP="5084A66E" w:rsidRDefault="47A45666" w14:paraId="46B72CB6" w14:textId="50289C2A">
      <w:pPr>
        <w:spacing w:before="0" w:beforeAutospacing="off" w:after="160" w:afterAutospacing="off" w:line="276" w:lineRule="auto"/>
        <w:jc w:val="both"/>
      </w:pPr>
      <w:r w:rsidRPr="5084A66E" w:rsidR="47A45666">
        <w:rPr>
          <w:rFonts w:ascii="Century Gothic" w:hAnsi="Century Gothic" w:eastAsia="Century Gothic" w:cs="Century Gothic"/>
          <w:noProof w:val="0"/>
          <w:color w:val="000000" w:themeColor="text1" w:themeTint="FF" w:themeShade="FF"/>
          <w:sz w:val="20"/>
          <w:szCs w:val="20"/>
          <w:lang w:val="es-CO"/>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rsidR="47A45666" w:rsidP="5084A66E" w:rsidRDefault="47A45666" w14:paraId="6F145937" w14:textId="4515FFCE">
      <w:pPr>
        <w:spacing w:before="120" w:beforeAutospacing="off" w:after="160" w:afterAutospacing="off" w:line="276" w:lineRule="auto"/>
        <w:jc w:val="both"/>
      </w:pPr>
      <w:r w:rsidRPr="5084A66E" w:rsidR="47A45666">
        <w:rPr>
          <w:rFonts w:ascii="Century Gothic" w:hAnsi="Century Gothic" w:eastAsia="Century Gothic" w:cs="Century Gothic"/>
          <w:noProof w:val="0"/>
          <w:color w:val="000000" w:themeColor="text1" w:themeTint="FF" w:themeShade="FF"/>
          <w:sz w:val="20"/>
          <w:szCs w:val="20"/>
          <w:lang w:val="es-CO"/>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 […]</w:t>
      </w:r>
    </w:p>
    <w:p w:rsidR="47A45666" w:rsidP="5084A66E" w:rsidRDefault="47A45666" w14:paraId="34F76957" w14:textId="5065FF2A">
      <w:pPr>
        <w:spacing w:before="0" w:beforeAutospacing="off" w:after="160" w:afterAutospacing="off" w:line="276" w:lineRule="auto"/>
        <w:jc w:val="both"/>
      </w:pPr>
      <w:r w:rsidRPr="5084A66E" w:rsidR="47A45666">
        <w:rPr>
          <w:rFonts w:ascii="Century Gothic" w:hAnsi="Century Gothic" w:eastAsia="Century Gothic" w:cs="Century Gothic"/>
          <w:b w:val="1"/>
          <w:bCs w:val="1"/>
          <w:noProof w:val="0"/>
          <w:color w:val="000000" w:themeColor="text1" w:themeTint="FF" w:themeShade="FF"/>
          <w:sz w:val="22"/>
          <w:szCs w:val="22"/>
          <w:lang w:val="es-CO"/>
        </w:rPr>
        <w:t>EMPRESAS SOCIALES DEL ESTADO – Régimen jurídico – Reglas aplicables</w:t>
      </w:r>
    </w:p>
    <w:p w:rsidR="47A45666" w:rsidP="5084A66E" w:rsidRDefault="47A45666" w14:paraId="092838A1" w14:textId="514CB527">
      <w:pPr>
        <w:spacing w:before="0" w:beforeAutospacing="off" w:after="160" w:afterAutospacing="off" w:line="276" w:lineRule="auto"/>
        <w:jc w:val="both"/>
      </w:pPr>
      <w:r w:rsidRPr="5084A66E" w:rsidR="47A45666">
        <w:rPr>
          <w:rFonts w:ascii="Century Gothic" w:hAnsi="Century Gothic" w:eastAsia="Century Gothic" w:cs="Century Gothic"/>
          <w:noProof w:val="0"/>
          <w:color w:val="000000" w:themeColor="text1" w:themeTint="FF" w:themeShade="FF"/>
          <w:sz w:val="20"/>
          <w:szCs w:val="20"/>
          <w:lang w:val="es-CO"/>
        </w:rPr>
        <w:t xml:space="preserve">[…] dentro de la estructura de la Administración pública se encuentran las entidades descentralizadas por servicios, y dentro de dicha categoría se ubican las empresas sociales del Estado, las cuales, sin perjuicio del control de tutela, tienen personería jurídica, autonomía administrativa y patrimonio propio. Estas entidades, de acuerdo a lo que establece el artículo 83 de la Ley 489 de 1998, son 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 </w:t>
      </w:r>
    </w:p>
    <w:p w:rsidR="47A45666" w:rsidP="5084A66E" w:rsidRDefault="47A45666" w14:paraId="31F55565" w14:textId="2ABBFB0E">
      <w:pPr>
        <w:spacing w:before="120" w:beforeAutospacing="off" w:after="160" w:afterAutospacing="off" w:line="276" w:lineRule="auto"/>
        <w:jc w:val="both"/>
      </w:pPr>
      <w:r w:rsidRPr="5084A66E" w:rsidR="47A45666">
        <w:rPr>
          <w:rFonts w:ascii="Century Gothic" w:hAnsi="Century Gothic" w:eastAsia="Century Gothic" w:cs="Century Gothic"/>
          <w:noProof w:val="0"/>
          <w:color w:val="000000" w:themeColor="text1" w:themeTint="FF" w:themeShade="FF"/>
          <w:sz w:val="20"/>
          <w:szCs w:val="20"/>
          <w:lang w:val="es-CO"/>
        </w:rPr>
        <w:t>Considerando la actividad desarrollada, se itera, la prestación de los servicios de salud, el régimen jurídico aplicable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lo relacionado con cláusulas exorbitantes, materia en relación con la cual están habilitadas para aplicar las disposiciones del EGCAP.</w:t>
      </w:r>
    </w:p>
    <w:p w:rsidR="47A45666" w:rsidP="5084A66E" w:rsidRDefault="47A45666" w14:paraId="45849F18" w14:textId="44EE79EA">
      <w:pPr>
        <w:spacing w:before="0" w:beforeAutospacing="off" w:after="160" w:afterAutospacing="off" w:line="276" w:lineRule="auto"/>
        <w:jc w:val="both"/>
      </w:pPr>
      <w:r w:rsidRPr="5084A66E" w:rsidR="47A45666">
        <w:rPr>
          <w:rFonts w:ascii="Century Gothic" w:hAnsi="Century Gothic" w:eastAsia="Century Gothic" w:cs="Century Gothic"/>
          <w:b w:val="1"/>
          <w:bCs w:val="1"/>
          <w:noProof w:val="0"/>
          <w:color w:val="000000" w:themeColor="text1" w:themeTint="FF" w:themeShade="FF"/>
          <w:sz w:val="22"/>
          <w:szCs w:val="22"/>
          <w:lang w:val="es-CO"/>
        </w:rPr>
        <w:t>ENTIDADES CON RÉGIMEN ESPECIAL – Manual de contratación – Contenido</w:t>
      </w:r>
    </w:p>
    <w:p w:rsidR="47A45666" w:rsidP="5084A66E" w:rsidRDefault="47A45666" w14:paraId="10C07C4E" w14:textId="70F5E77F">
      <w:pPr>
        <w:spacing w:before="0" w:beforeAutospacing="off" w:after="160" w:afterAutospacing="off" w:line="276" w:lineRule="auto"/>
        <w:jc w:val="both"/>
      </w:pPr>
      <w:r w:rsidRPr="5084A66E" w:rsidR="47A45666">
        <w:rPr>
          <w:rFonts w:ascii="Century Gothic" w:hAnsi="Century Gothic" w:eastAsia="Century Gothic" w:cs="Century Gothic"/>
          <w:noProof w:val="0"/>
          <w:color w:val="000000" w:themeColor="text1" w:themeTint="FF" w:themeShade="FF"/>
          <w:sz w:val="20"/>
          <w:szCs w:val="20"/>
          <w:lang w:val="es-CO"/>
        </w:rPr>
        <w:t>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p>
    <w:p w:rsidR="47A45666" w:rsidP="5084A66E" w:rsidRDefault="47A45666" w14:paraId="7FCEE2CA" w14:textId="0AD5C2BD">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7F85301C" w14:textId="416B031D">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51ED1349" w14:textId="6080C8A3">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0F815721" w14:textId="36016B4F">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176BEF8E" w14:textId="0A6D7533">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5B0B567F" w14:textId="5FA330DB">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476278CD" w14:textId="15B567E2">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37633003" w14:textId="1B73ADEC">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656BCE87" w14:textId="711F81EA">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6F9D6C5C" w14:textId="55B5466A">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40B62CF5" w14:textId="308DBD6B">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43065EA8" w14:textId="37CBE9CD">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7FE8C92F" w14:textId="578738FD">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47A45666" w:rsidP="5084A66E" w:rsidRDefault="47A45666" w14:paraId="34DD758E" w14:textId="69F3CFD5">
      <w:pPr>
        <w:spacing w:before="0" w:beforeAutospacing="off" w:after="160" w:afterAutospacing="off" w:line="276" w:lineRule="auto"/>
        <w:jc w:val="both"/>
      </w:pPr>
      <w:r w:rsidRPr="5084A66E" w:rsidR="47A45666">
        <w:rPr>
          <w:rFonts w:ascii="Century Gothic" w:hAnsi="Century Gothic" w:eastAsia="Century Gothic" w:cs="Century Gothic"/>
          <w:noProof w:val="0"/>
          <w:sz w:val="20"/>
          <w:szCs w:val="20"/>
          <w:lang w:val="es-CO"/>
        </w:rPr>
        <w:t xml:space="preserve"> </w:t>
      </w:r>
    </w:p>
    <w:p w:rsidR="5084A66E" w:rsidP="5084A66E" w:rsidRDefault="5084A66E" w14:paraId="761E6E29" w14:textId="001B9F75">
      <w:pPr>
        <w:spacing w:before="0" w:beforeAutospacing="off" w:after="160" w:afterAutospacing="off" w:line="276" w:lineRule="auto"/>
        <w:jc w:val="both"/>
        <w:rPr>
          <w:rFonts w:ascii="Century Gothic" w:hAnsi="Century Gothic" w:eastAsia="Century Gothic" w:cs="Century Gothic"/>
          <w:noProof w:val="0"/>
          <w:sz w:val="20"/>
          <w:szCs w:val="20"/>
          <w:lang w:val="es-CO"/>
        </w:rPr>
      </w:pPr>
    </w:p>
    <w:p w:rsidR="5084A66E" w:rsidP="5084A66E" w:rsidRDefault="5084A66E" w14:paraId="24F8B2E8" w14:textId="71E26935">
      <w:pPr>
        <w:pStyle w:val="paragraph"/>
        <w:spacing w:before="0" w:beforeAutospacing="off" w:after="160" w:afterAutospacing="off" w:line="276" w:lineRule="auto"/>
        <w:jc w:val="both"/>
        <w:rPr>
          <w:rStyle w:val="eop"/>
          <w:rFonts w:ascii="Century Gothic" w:hAnsi="Century Gothic" w:cs="Arial"/>
          <w:sz w:val="20"/>
          <w:szCs w:val="20"/>
        </w:rPr>
      </w:pPr>
    </w:p>
    <w:p w:rsidR="5084A66E" w:rsidP="5084A66E" w:rsidRDefault="5084A66E" w14:paraId="5C5DC778" w14:textId="213038D5">
      <w:pPr>
        <w:pStyle w:val="paragraph"/>
        <w:spacing w:before="0" w:beforeAutospacing="off" w:after="160" w:afterAutospacing="off" w:line="276" w:lineRule="auto"/>
        <w:jc w:val="both"/>
        <w:rPr>
          <w:rStyle w:val="eop"/>
          <w:rFonts w:ascii="Century Gothic" w:hAnsi="Century Gothic" w:cs="Arial"/>
          <w:sz w:val="20"/>
          <w:szCs w:val="20"/>
        </w:rPr>
      </w:pPr>
    </w:p>
    <w:p w:rsidR="5084A66E" w:rsidP="5084A66E" w:rsidRDefault="5084A66E" w14:paraId="32CD18DE" w14:textId="0F3F65F2">
      <w:pPr>
        <w:pStyle w:val="paragraph"/>
        <w:spacing w:before="0" w:beforeAutospacing="off" w:after="160" w:afterAutospacing="off" w:line="276" w:lineRule="auto"/>
        <w:jc w:val="both"/>
        <w:rPr>
          <w:rStyle w:val="eop"/>
          <w:rFonts w:ascii="Century Gothic" w:hAnsi="Century Gothic" w:cs="Arial"/>
          <w:sz w:val="20"/>
          <w:szCs w:val="20"/>
        </w:rPr>
      </w:pPr>
    </w:p>
    <w:p w:rsidR="5084A66E" w:rsidP="5084A66E" w:rsidRDefault="5084A66E" w14:paraId="097F0CEC" w14:textId="7591A7A7">
      <w:pPr>
        <w:pStyle w:val="paragraph"/>
        <w:spacing w:before="0" w:beforeAutospacing="off" w:after="160" w:afterAutospacing="off" w:line="276" w:lineRule="auto"/>
        <w:jc w:val="both"/>
        <w:rPr>
          <w:rStyle w:val="eop"/>
          <w:rFonts w:ascii="Century Gothic" w:hAnsi="Century Gothic" w:cs="Arial"/>
          <w:sz w:val="20"/>
          <w:szCs w:val="20"/>
        </w:rPr>
      </w:pPr>
    </w:p>
    <w:p w:rsidR="00EE1663" w:rsidP="00EE1663" w:rsidRDefault="00EE1663" w14:paraId="5B0509BE" w14:textId="77777777">
      <w:pPr>
        <w:spacing w:line="276" w:lineRule="auto"/>
        <w:jc w:val="both"/>
        <w:rPr>
          <w:rFonts w:ascii="Century Gothic" w:hAnsi="Century Gothic" w:eastAsia="Calibri" w:cs="Arial"/>
          <w:lang w:eastAsia="es-ES_tradnl"/>
        </w:rPr>
      </w:pPr>
    </w:p>
    <w:p w:rsidR="005A6AA1" w:rsidP="3CF93E85" w:rsidRDefault="005A6AA1" w14:paraId="113D728E" w14:textId="5711D145">
      <w:pPr>
        <w:pStyle w:val="Normal"/>
        <w:suppressLineNumbers w:val="0"/>
        <w:bidi w:val="0"/>
        <w:spacing w:before="0" w:beforeAutospacing="off" w:after="0" w:afterAutospacing="off" w:line="259" w:lineRule="auto"/>
        <w:ind w:left="0" w:right="0"/>
        <w:jc w:val="left"/>
        <w:rPr>
          <w:rFonts w:ascii="Century Gothic" w:hAnsi="Century Gothic"/>
          <w:lang w:val="es-MX"/>
        </w:rPr>
      </w:pPr>
      <w:r w:rsidRPr="3CF93E85" w:rsidR="005A6AA1">
        <w:rPr>
          <w:rFonts w:ascii="Century Gothic" w:hAnsi="Century Gothic"/>
        </w:rPr>
        <w:t xml:space="preserve">Bogotá D.C., </w:t>
      </w:r>
      <w:r w:rsidRPr="3CF93E85" w:rsidR="787D6521">
        <w:rPr>
          <w:rFonts w:ascii="Century Gothic" w:hAnsi="Century Gothic"/>
        </w:rPr>
        <w:t>06 de julio de 2024.</w:t>
      </w:r>
    </w:p>
    <w:p w:rsidR="005A6AA1" w:rsidP="00400548" w:rsidRDefault="005A6AA1" w14:paraId="7EBFAB6A" w14:textId="77777777">
      <w:pPr>
        <w:spacing w:after="0"/>
        <w:rPr>
          <w:rFonts w:ascii="Century Gothic" w:hAnsi="Century Gothic"/>
          <w:lang w:val="es-MX"/>
        </w:rPr>
      </w:pPr>
    </w:p>
    <w:p w:rsidRPr="00D759E4" w:rsidR="00720633" w:rsidP="007F0F3C" w:rsidRDefault="00720633" w14:paraId="301A107E" w14:textId="58C5D68A">
      <w:pPr>
        <w:pStyle w:val="Default"/>
        <w:contextualSpacing/>
        <w:rPr>
          <w:rFonts w:ascii="Century Gothic" w:hAnsi="Century Gothic" w:eastAsia="Times New Roman"/>
          <w:color w:val="auto"/>
          <w:sz w:val="22"/>
          <w:szCs w:val="22"/>
          <w:lang w:val="es-ES" w:eastAsia="es-CO"/>
        </w:rPr>
      </w:pPr>
      <w:bookmarkStart w:name="_Hlk34951122" w:id="0"/>
      <w:bookmarkStart w:name="_Hlk139541678" w:id="1"/>
      <w:r w:rsidRPr="00D759E4">
        <w:rPr>
          <w:rFonts w:ascii="Century Gothic" w:hAnsi="Century Gothic" w:eastAsia="Times New Roman"/>
          <w:color w:val="auto"/>
          <w:sz w:val="22"/>
          <w:szCs w:val="22"/>
          <w:lang w:val="es-ES" w:eastAsia="es-CO"/>
        </w:rPr>
        <w:t>Señor</w:t>
      </w:r>
    </w:p>
    <w:p w:rsidR="00885B2F" w:rsidP="007F0F3C" w:rsidRDefault="00885B2F" w14:paraId="3DF6ADD6" w14:textId="3CA6CA47">
      <w:pPr>
        <w:spacing w:after="0" w:line="240" w:lineRule="auto"/>
        <w:contextualSpacing/>
        <w:jc w:val="both"/>
        <w:rPr>
          <w:rFonts w:ascii="Century Gothic" w:hAnsi="Century Gothic" w:eastAsia="Times New Roman" w:cs="Arial"/>
          <w:b/>
          <w:bCs/>
          <w:lang w:val="es-ES" w:eastAsia="es-CO"/>
        </w:rPr>
      </w:pPr>
      <w:r w:rsidRPr="00885B2F">
        <w:rPr>
          <w:rFonts w:ascii="Century Gothic" w:hAnsi="Century Gothic" w:eastAsia="Times New Roman" w:cs="Arial"/>
          <w:b/>
          <w:bCs/>
          <w:lang w:val="es-ES" w:eastAsia="es-CO"/>
        </w:rPr>
        <w:t>Cesar</w:t>
      </w:r>
      <w:r>
        <w:rPr>
          <w:rFonts w:ascii="Century Gothic" w:hAnsi="Century Gothic" w:eastAsia="Times New Roman" w:cs="Arial"/>
          <w:b/>
          <w:bCs/>
          <w:lang w:val="es-ES" w:eastAsia="es-CO"/>
        </w:rPr>
        <w:t xml:space="preserve"> </w:t>
      </w:r>
      <w:r w:rsidRPr="00885B2F">
        <w:rPr>
          <w:rFonts w:ascii="Century Gothic" w:hAnsi="Century Gothic" w:eastAsia="Times New Roman" w:cs="Arial"/>
          <w:b/>
          <w:bCs/>
          <w:lang w:val="es-ES" w:eastAsia="es-CO"/>
        </w:rPr>
        <w:t>Rincón</w:t>
      </w:r>
      <w:r>
        <w:rPr>
          <w:rFonts w:ascii="Century Gothic" w:hAnsi="Century Gothic" w:eastAsia="Times New Roman" w:cs="Arial"/>
          <w:b/>
          <w:bCs/>
          <w:lang w:val="es-ES" w:eastAsia="es-CO"/>
        </w:rPr>
        <w:t xml:space="preserve"> </w:t>
      </w:r>
      <w:r w:rsidRPr="00885B2F">
        <w:rPr>
          <w:rFonts w:ascii="Century Gothic" w:hAnsi="Century Gothic" w:eastAsia="Times New Roman" w:cs="Arial"/>
          <w:b/>
          <w:bCs/>
          <w:lang w:val="es-ES" w:eastAsia="es-CO"/>
        </w:rPr>
        <w:t>Floriano</w:t>
      </w:r>
    </w:p>
    <w:p w:rsidR="00885B2F" w:rsidP="00680DC7" w:rsidRDefault="00891500" w14:paraId="34999E53" w14:textId="14D22860">
      <w:pPr>
        <w:pStyle w:val="Textoindependiente"/>
        <w:spacing w:line="276" w:lineRule="auto"/>
        <w:contextualSpacing/>
        <w:rPr>
          <w:rFonts w:ascii="Century Gothic" w:hAnsi="Century Gothic" w:cs="ArialMT" w:eastAsiaTheme="minorHAnsi"/>
          <w:lang w:val="es-CO"/>
        </w:rPr>
      </w:pPr>
      <w:hyperlink w:history="1" r:id="rId11">
        <w:r w:rsidRPr="0005520F">
          <w:rPr>
            <w:rStyle w:val="Hipervnculo"/>
            <w:rFonts w:ascii="Century Gothic" w:hAnsi="Century Gothic" w:cs="ArialMT" w:eastAsiaTheme="minorHAnsi"/>
            <w:lang w:val="es-CO"/>
          </w:rPr>
          <w:t>juridica@eseguaviare.gov.co</w:t>
        </w:r>
      </w:hyperlink>
    </w:p>
    <w:p w:rsidR="00891500" w:rsidP="00680DC7" w:rsidRDefault="00891500" w14:paraId="1841408B" w14:textId="77777777">
      <w:pPr>
        <w:pStyle w:val="Textoindependiente"/>
        <w:spacing w:line="276" w:lineRule="auto"/>
        <w:contextualSpacing/>
        <w:rPr>
          <w:rFonts w:ascii="Century Gothic" w:hAnsi="Century Gothic" w:cs="ArialMT" w:eastAsiaTheme="minorHAnsi"/>
          <w:lang w:val="es-CO"/>
        </w:rPr>
      </w:pPr>
    </w:p>
    <w:p w:rsidR="00891500" w:rsidP="00891500" w:rsidRDefault="00891500" w14:paraId="51D89334" w14:textId="7E0B92EB">
      <w:pPr>
        <w:pStyle w:val="Textoindependiente"/>
        <w:spacing w:line="276" w:lineRule="auto"/>
        <w:contextualSpacing/>
        <w:jc w:val="right"/>
        <w:rPr>
          <w:rFonts w:ascii="Century Gothic" w:hAnsi="Century Gothic" w:cs="ArialMT" w:eastAsiaTheme="minorHAnsi"/>
          <w:lang w:val="es-CO"/>
        </w:rPr>
      </w:pPr>
      <w:r>
        <w:rPr>
          <w:rFonts w:ascii="Century Gothic" w:hAnsi="Century Gothic" w:cs="ArialMT" w:eastAsiaTheme="minorHAnsi"/>
          <w:noProof/>
          <w:lang w:val="es-CO"/>
        </w:rPr>
        <w:drawing>
          <wp:inline distT="0" distB="0" distL="0" distR="0" wp14:anchorId="6826336D" wp14:editId="1C90E771">
            <wp:extent cx="2667000" cy="819150"/>
            <wp:effectExtent l="0" t="0" r="0" b="0"/>
            <wp:docPr id="17289922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819150"/>
                    </a:xfrm>
                    <a:prstGeom prst="rect">
                      <a:avLst/>
                    </a:prstGeom>
                    <a:noFill/>
                    <a:ln>
                      <a:noFill/>
                    </a:ln>
                  </pic:spPr>
                </pic:pic>
              </a:graphicData>
            </a:graphic>
          </wp:inline>
        </w:drawing>
      </w:r>
    </w:p>
    <w:p w:rsidRPr="00D759E4" w:rsidR="00720633" w:rsidP="00680DC7" w:rsidRDefault="00720633" w14:paraId="0F6E2CA5" w14:textId="5AA922D5">
      <w:pPr>
        <w:pStyle w:val="Textoindependiente"/>
        <w:spacing w:line="276" w:lineRule="auto"/>
        <w:contextualSpacing/>
        <w:rPr>
          <w:rFonts w:ascii="Century Gothic" w:hAnsi="Century Gothic" w:cs="Arial"/>
          <w:b/>
          <w:bCs/>
        </w:rPr>
      </w:pPr>
      <w:r w:rsidRPr="00D759E4">
        <w:rPr>
          <w:rFonts w:ascii="Century Gothic" w:hAnsi="Century Gothic" w:cs="Arial"/>
          <w:b/>
          <w:bCs/>
        </w:rPr>
        <w:t xml:space="preserve"> </w:t>
      </w:r>
    </w:p>
    <w:p w:rsidR="00570CF7" w:rsidP="00D0371F" w:rsidRDefault="00570CF7" w14:paraId="2179A3FA" w14:textId="19FB606E">
      <w:pPr>
        <w:pStyle w:val="Textoindependiente"/>
        <w:tabs>
          <w:tab w:val="left" w:pos="2835"/>
        </w:tabs>
        <w:spacing w:before="177"/>
        <w:ind w:left="2835" w:hanging="850"/>
        <w:contextualSpacing/>
        <w:jc w:val="both"/>
        <w:rPr>
          <w:rFonts w:ascii="Century Gothic" w:hAnsi="Century Gothic"/>
          <w:b/>
        </w:rPr>
      </w:pPr>
      <w:r>
        <w:rPr>
          <w:rFonts w:ascii="Century Gothic" w:hAnsi="Century Gothic"/>
          <w:b/>
        </w:rPr>
        <w:t xml:space="preserve">Concepto : </w:t>
      </w:r>
      <w:r w:rsidRPr="00570CF7">
        <w:rPr>
          <w:rFonts w:ascii="Century Gothic" w:hAnsi="Century Gothic"/>
          <w:bCs/>
        </w:rPr>
        <w:t>C-267 de 2024</w:t>
      </w:r>
    </w:p>
    <w:p w:rsidR="00570CF7" w:rsidP="00D0371F" w:rsidRDefault="00570CF7" w14:paraId="2323153E" w14:textId="77777777">
      <w:pPr>
        <w:pStyle w:val="Textoindependiente"/>
        <w:tabs>
          <w:tab w:val="left" w:pos="2835"/>
        </w:tabs>
        <w:spacing w:before="177"/>
        <w:ind w:left="2835" w:hanging="850"/>
        <w:contextualSpacing/>
        <w:jc w:val="both"/>
        <w:rPr>
          <w:rFonts w:ascii="Century Gothic" w:hAnsi="Century Gothic"/>
          <w:b/>
        </w:rPr>
      </w:pPr>
    </w:p>
    <w:p w:rsidRPr="006A720E" w:rsidR="006A720E" w:rsidP="00D0371F" w:rsidRDefault="006A720E" w14:paraId="1C715D15" w14:textId="52946CE9">
      <w:pPr>
        <w:pStyle w:val="Textoindependiente"/>
        <w:tabs>
          <w:tab w:val="left" w:pos="2835"/>
        </w:tabs>
        <w:spacing w:before="177"/>
        <w:ind w:left="2835" w:hanging="850"/>
        <w:contextualSpacing/>
        <w:jc w:val="both"/>
        <w:rPr>
          <w:rFonts w:ascii="Century Gothic" w:hAnsi="Century Gothic"/>
        </w:rPr>
      </w:pPr>
      <w:r w:rsidRPr="006A720E">
        <w:rPr>
          <w:rFonts w:ascii="Century Gothic" w:hAnsi="Century Gothic"/>
          <w:b/>
        </w:rPr>
        <w:t>Temas:</w:t>
      </w:r>
      <w:r w:rsidRPr="006A720E">
        <w:rPr>
          <w:rFonts w:ascii="Century Gothic" w:hAnsi="Century Gothic"/>
          <w:b/>
        </w:rPr>
        <w:tab/>
      </w:r>
      <w:r w:rsidRPr="007B7EEA" w:rsidR="00012B30">
        <w:rPr>
          <w:rFonts w:ascii="Century Gothic" w:hAnsi="Century Gothic" w:eastAsia="Calibri" w:cs="Arial"/>
        </w:rPr>
        <w:t>ENTIDADES CON RÉGIMEN ESPECIAL – Definición / ENTIDADES CON RÉGIMEN ESPECIAL – Reglas aplicables / EMPRESAS SOCIALES DEL ESTADO – Régimen jurídico – Reglas aplicables / ENTIDADES CON RÉGIMEN ESPECIAL – Manual de Contratación – Contenido</w:t>
      </w:r>
    </w:p>
    <w:p w:rsidRPr="00D759E4" w:rsidR="006A720E" w:rsidP="006C52FA" w:rsidRDefault="006A720E" w14:paraId="5F6E5D5A" w14:textId="77777777">
      <w:pPr>
        <w:spacing w:after="0" w:line="240" w:lineRule="auto"/>
        <w:ind w:left="2977" w:hanging="1417"/>
        <w:contextualSpacing/>
        <w:jc w:val="both"/>
        <w:rPr>
          <w:rFonts w:ascii="Century Gothic" w:hAnsi="Century Gothic" w:cs="Arial"/>
          <w:b/>
          <w:bCs/>
        </w:rPr>
      </w:pPr>
    </w:p>
    <w:p w:rsidR="00720633" w:rsidP="00680DC7" w:rsidRDefault="00891500" w14:paraId="37C359D3" w14:textId="470A503F">
      <w:pPr>
        <w:pStyle w:val="Textoindependiente"/>
        <w:spacing w:line="276" w:lineRule="auto"/>
        <w:ind w:left="2977" w:hanging="1417"/>
        <w:contextualSpacing/>
        <w:rPr>
          <w:rFonts w:ascii="Century Gothic" w:hAnsi="Century Gothic" w:cs="Arial"/>
        </w:rPr>
      </w:pPr>
      <w:r>
        <w:rPr>
          <w:rFonts w:ascii="Century Gothic" w:hAnsi="Century Gothic" w:cs="Arial"/>
          <w:b/>
          <w:bCs/>
        </w:rPr>
        <w:t xml:space="preserve"> </w:t>
      </w:r>
      <w:r w:rsidR="006A720E">
        <w:rPr>
          <w:rFonts w:ascii="Century Gothic" w:hAnsi="Century Gothic" w:cs="Arial"/>
          <w:b/>
          <w:bCs/>
        </w:rPr>
        <w:t xml:space="preserve">      </w:t>
      </w:r>
      <w:r w:rsidRPr="00D759E4" w:rsidR="00720633">
        <w:rPr>
          <w:rFonts w:ascii="Century Gothic" w:hAnsi="Century Gothic" w:cs="Arial"/>
          <w:b/>
          <w:bCs/>
        </w:rPr>
        <w:t>Radicación:</w:t>
      </w:r>
      <w:r w:rsidRPr="00D759E4" w:rsidR="00720633">
        <w:rPr>
          <w:rFonts w:ascii="Century Gothic" w:hAnsi="Century Gothic" w:cs="Arial"/>
          <w:b/>
          <w:bCs/>
          <w:spacing w:val="-7"/>
        </w:rPr>
        <w:t xml:space="preserve">   </w:t>
      </w:r>
      <w:r w:rsidRPr="00D759E4" w:rsidR="00720633">
        <w:rPr>
          <w:rFonts w:ascii="Century Gothic" w:hAnsi="Century Gothic" w:cs="Arial"/>
        </w:rPr>
        <w:t>Respuesta</w:t>
      </w:r>
      <w:r w:rsidRPr="00D759E4" w:rsidR="00720633">
        <w:rPr>
          <w:rFonts w:ascii="Century Gothic" w:hAnsi="Century Gothic" w:cs="Arial"/>
          <w:spacing w:val="-8"/>
        </w:rPr>
        <w:t xml:space="preserve"> </w:t>
      </w:r>
      <w:r w:rsidRPr="00D759E4" w:rsidR="00720633">
        <w:rPr>
          <w:rFonts w:ascii="Century Gothic" w:hAnsi="Century Gothic" w:cs="Arial"/>
        </w:rPr>
        <w:t>al</w:t>
      </w:r>
      <w:r w:rsidRPr="00D759E4" w:rsidR="00720633">
        <w:rPr>
          <w:rFonts w:ascii="Century Gothic" w:hAnsi="Century Gothic" w:cs="Arial"/>
          <w:spacing w:val="-8"/>
        </w:rPr>
        <w:t xml:space="preserve"> </w:t>
      </w:r>
      <w:r w:rsidRPr="00D759E4" w:rsidR="00720633">
        <w:rPr>
          <w:rFonts w:ascii="Century Gothic" w:hAnsi="Century Gothic" w:cs="Arial"/>
        </w:rPr>
        <w:t>radicado</w:t>
      </w:r>
      <w:r w:rsidRPr="00D759E4" w:rsidR="00720633">
        <w:rPr>
          <w:rFonts w:ascii="Century Gothic" w:hAnsi="Century Gothic" w:cs="Arial"/>
          <w:spacing w:val="-8"/>
        </w:rPr>
        <w:t xml:space="preserve"> </w:t>
      </w:r>
      <w:r w:rsidRPr="00D759E4" w:rsidR="00720633">
        <w:rPr>
          <w:rFonts w:ascii="Century Gothic" w:hAnsi="Century Gothic" w:cs="Arial"/>
        </w:rPr>
        <w:t>No.</w:t>
      </w:r>
      <w:r w:rsidRPr="00D759E4" w:rsidR="00720633">
        <w:rPr>
          <w:rFonts w:ascii="Century Gothic" w:hAnsi="Century Gothic"/>
        </w:rPr>
        <w:t xml:space="preserve"> </w:t>
      </w:r>
      <w:r w:rsidRPr="00885B2F" w:rsidR="00885B2F">
        <w:rPr>
          <w:rFonts w:ascii="Century Gothic" w:hAnsi="Century Gothic" w:cs="Arial"/>
        </w:rPr>
        <w:t>P20240524005397</w:t>
      </w:r>
    </w:p>
    <w:p w:rsidR="00570CF7" w:rsidP="00680DC7" w:rsidRDefault="00570CF7" w14:paraId="3CB81F97" w14:textId="77777777">
      <w:pPr>
        <w:pStyle w:val="Textoindependiente"/>
        <w:spacing w:line="276" w:lineRule="auto"/>
        <w:ind w:left="2977" w:hanging="1417"/>
        <w:contextualSpacing/>
        <w:rPr>
          <w:rFonts w:ascii="Century Gothic" w:hAnsi="Century Gothic" w:cs="Arial"/>
          <w:spacing w:val="-58"/>
        </w:rPr>
      </w:pPr>
    </w:p>
    <w:p w:rsidRPr="00D759E4" w:rsidR="00570CF7" w:rsidP="00680DC7" w:rsidRDefault="00570CF7" w14:paraId="74C2E80D" w14:textId="426A43FE">
      <w:pPr>
        <w:pStyle w:val="Textoindependiente"/>
        <w:spacing w:line="276" w:lineRule="auto"/>
        <w:ind w:left="2977" w:hanging="1417"/>
        <w:contextualSpacing/>
        <w:rPr>
          <w:rFonts w:ascii="Century Gothic" w:hAnsi="Century Gothic" w:cs="Arial"/>
          <w:spacing w:val="-58"/>
        </w:rPr>
      </w:pPr>
      <w:r>
        <w:rPr>
          <w:rFonts w:ascii="Century Gothic" w:hAnsi="Century Gothic" w:cs="Arial"/>
          <w:spacing w:val="-58"/>
        </w:rPr>
        <w:t xml:space="preserve">                                                                                                                                    </w:t>
      </w:r>
    </w:p>
    <w:p w:rsidR="00751C1F" w:rsidP="00720633" w:rsidRDefault="00751C1F" w14:paraId="098E46F8" w14:textId="77777777">
      <w:pPr>
        <w:spacing w:after="120" w:line="276" w:lineRule="auto"/>
        <w:ind w:right="51"/>
        <w:jc w:val="both"/>
        <w:rPr>
          <w:rFonts w:ascii="Century Gothic" w:hAnsi="Century Gothic" w:cs="Arial"/>
          <w:spacing w:val="-58"/>
        </w:rPr>
      </w:pPr>
    </w:p>
    <w:p w:rsidRPr="00680DC7" w:rsidR="00720633" w:rsidP="00720633" w:rsidRDefault="00720633" w14:paraId="5C59CA45" w14:textId="20236960">
      <w:pPr>
        <w:spacing w:after="120" w:line="276" w:lineRule="auto"/>
        <w:ind w:right="51"/>
        <w:jc w:val="both"/>
        <w:rPr>
          <w:rFonts w:ascii="Century Gothic" w:hAnsi="Century Gothic" w:cs="Arial"/>
          <w:spacing w:val="-58"/>
        </w:rPr>
      </w:pPr>
      <w:r w:rsidRPr="00D759E4">
        <w:rPr>
          <w:rFonts w:ascii="Century Gothic" w:hAnsi="Century Gothic" w:cs="Arial"/>
          <w:spacing w:val="-58"/>
        </w:rPr>
        <w:t xml:space="preserve">      </w:t>
      </w:r>
      <w:r w:rsidRPr="00D759E4">
        <w:rPr>
          <w:rFonts w:ascii="Century Gothic" w:hAnsi="Century Gothic" w:cs="Arial"/>
        </w:rPr>
        <w:t>Estimad</w:t>
      </w:r>
      <w:r w:rsidR="00885B2F">
        <w:rPr>
          <w:rFonts w:ascii="Century Gothic" w:hAnsi="Century Gothic" w:cs="Arial"/>
        </w:rPr>
        <w:t>o</w:t>
      </w:r>
      <w:r w:rsidRPr="00D759E4">
        <w:rPr>
          <w:rFonts w:ascii="Century Gothic" w:hAnsi="Century Gothic" w:cs="Arial"/>
        </w:rPr>
        <w:t xml:space="preserve"> </w:t>
      </w:r>
      <w:r w:rsidRPr="00680DC7">
        <w:rPr>
          <w:rFonts w:ascii="Century Gothic" w:hAnsi="Century Gothic" w:cs="Arial"/>
        </w:rPr>
        <w:t>señor</w:t>
      </w:r>
      <w:r w:rsidR="000325F5">
        <w:rPr>
          <w:rFonts w:ascii="Century Gothic" w:hAnsi="Century Gothic" w:cs="Arial"/>
        </w:rPr>
        <w:t xml:space="preserve"> </w:t>
      </w:r>
      <w:r w:rsidR="00885B2F">
        <w:rPr>
          <w:rFonts w:ascii="Century Gothic" w:hAnsi="Century Gothic" w:cs="Arial"/>
        </w:rPr>
        <w:t>Rincón</w:t>
      </w:r>
      <w:r w:rsidRPr="00680DC7">
        <w:rPr>
          <w:rFonts w:ascii="Century Gothic" w:hAnsi="Century Gothic" w:cs="Arial"/>
        </w:rPr>
        <w:t>:</w:t>
      </w:r>
    </w:p>
    <w:p w:rsidR="007D066A" w:rsidP="000325F5" w:rsidRDefault="00720633" w14:paraId="5FF76A20" w14:textId="7CC08772">
      <w:pPr>
        <w:spacing w:after="120" w:line="276" w:lineRule="auto"/>
        <w:ind w:right="51"/>
        <w:jc w:val="both"/>
        <w:rPr>
          <w:rFonts w:ascii="Century Gothic" w:hAnsi="Century Gothic" w:cs="Arial"/>
        </w:rPr>
      </w:pPr>
      <w:r w:rsidRPr="00D759E4">
        <w:rPr>
          <w:rFonts w:ascii="Century Gothic" w:hAnsi="Century Gothic" w:cs="Arial"/>
          <w:spacing w:val="-1"/>
        </w:rPr>
        <w:t>En</w:t>
      </w:r>
      <w:r w:rsidRPr="00D759E4">
        <w:rPr>
          <w:rFonts w:ascii="Century Gothic" w:hAnsi="Century Gothic" w:cs="Arial"/>
          <w:spacing w:val="-14"/>
        </w:rPr>
        <w:t xml:space="preserve"> </w:t>
      </w:r>
      <w:r w:rsidRPr="00D759E4">
        <w:rPr>
          <w:rFonts w:ascii="Century Gothic" w:hAnsi="Century Gothic" w:cs="Arial"/>
          <w:spacing w:val="-1"/>
        </w:rPr>
        <w:t>ejercicio</w:t>
      </w:r>
      <w:r w:rsidRPr="00D759E4">
        <w:rPr>
          <w:rFonts w:ascii="Century Gothic" w:hAnsi="Century Gothic" w:cs="Arial"/>
          <w:spacing w:val="-14"/>
        </w:rPr>
        <w:t xml:space="preserve"> </w:t>
      </w:r>
      <w:r w:rsidRPr="00D759E4">
        <w:rPr>
          <w:rFonts w:ascii="Century Gothic" w:hAnsi="Century Gothic" w:cs="Arial"/>
          <w:spacing w:val="-1"/>
        </w:rPr>
        <w:t>de</w:t>
      </w:r>
      <w:r w:rsidRPr="00D759E4">
        <w:rPr>
          <w:rFonts w:ascii="Century Gothic" w:hAnsi="Century Gothic" w:cs="Arial"/>
          <w:spacing w:val="-13"/>
        </w:rPr>
        <w:t xml:space="preserve"> </w:t>
      </w:r>
      <w:r w:rsidRPr="00D759E4">
        <w:rPr>
          <w:rFonts w:ascii="Century Gothic" w:hAnsi="Century Gothic" w:cs="Arial"/>
          <w:spacing w:val="-1"/>
        </w:rPr>
        <w:t>las</w:t>
      </w:r>
      <w:r w:rsidRPr="00D759E4">
        <w:rPr>
          <w:rFonts w:ascii="Century Gothic" w:hAnsi="Century Gothic" w:cs="Arial"/>
          <w:spacing w:val="-14"/>
        </w:rPr>
        <w:t xml:space="preserve"> </w:t>
      </w:r>
      <w:r w:rsidRPr="00D759E4">
        <w:rPr>
          <w:rFonts w:ascii="Century Gothic" w:hAnsi="Century Gothic" w:cs="Arial"/>
          <w:spacing w:val="-1"/>
        </w:rPr>
        <w:t>competencias</w:t>
      </w:r>
      <w:r w:rsidRPr="00D759E4">
        <w:rPr>
          <w:rFonts w:ascii="Century Gothic" w:hAnsi="Century Gothic" w:cs="Arial"/>
          <w:spacing w:val="-13"/>
        </w:rPr>
        <w:t xml:space="preserve"> </w:t>
      </w:r>
      <w:r w:rsidRPr="00D759E4">
        <w:rPr>
          <w:rFonts w:ascii="Century Gothic" w:hAnsi="Century Gothic" w:cs="Arial"/>
        </w:rPr>
        <w:t>otorgadas</w:t>
      </w:r>
      <w:r w:rsidRPr="00D759E4">
        <w:rPr>
          <w:rFonts w:ascii="Century Gothic" w:hAnsi="Century Gothic" w:cs="Arial"/>
          <w:spacing w:val="-14"/>
        </w:rPr>
        <w:t xml:space="preserve"> </w:t>
      </w:r>
      <w:r w:rsidRPr="00D759E4">
        <w:rPr>
          <w:rFonts w:ascii="Century Gothic" w:hAnsi="Century Gothic" w:cs="Arial"/>
        </w:rPr>
        <w:t>por</w:t>
      </w:r>
      <w:r w:rsidRPr="00D759E4">
        <w:rPr>
          <w:rFonts w:ascii="Century Gothic" w:hAnsi="Century Gothic" w:cs="Arial"/>
          <w:spacing w:val="-14"/>
        </w:rPr>
        <w:t xml:space="preserve"> </w:t>
      </w:r>
      <w:r w:rsidRPr="00D759E4">
        <w:rPr>
          <w:rFonts w:ascii="Century Gothic" w:hAnsi="Century Gothic" w:cs="Arial"/>
        </w:rPr>
        <w:t>el numeral 8 del artículo 11 y el numeral 5 del artículo 3 del</w:t>
      </w:r>
      <w:r w:rsidRPr="00D759E4">
        <w:rPr>
          <w:rFonts w:ascii="Century Gothic" w:hAnsi="Century Gothic" w:cs="Arial"/>
          <w:spacing w:val="-13"/>
        </w:rPr>
        <w:t xml:space="preserve"> </w:t>
      </w:r>
      <w:r w:rsidRPr="00D759E4">
        <w:rPr>
          <w:rFonts w:ascii="Century Gothic" w:hAnsi="Century Gothic" w:cs="Arial"/>
        </w:rPr>
        <w:t>Decreto</w:t>
      </w:r>
      <w:r w:rsidRPr="00D759E4">
        <w:rPr>
          <w:rFonts w:ascii="Century Gothic" w:hAnsi="Century Gothic" w:cs="Arial"/>
          <w:spacing w:val="-14"/>
        </w:rPr>
        <w:t xml:space="preserve"> </w:t>
      </w:r>
      <w:r w:rsidRPr="00D759E4">
        <w:rPr>
          <w:rFonts w:ascii="Century Gothic" w:hAnsi="Century Gothic" w:cs="Arial"/>
        </w:rPr>
        <w:t>Ley</w:t>
      </w:r>
      <w:r w:rsidRPr="00D759E4">
        <w:rPr>
          <w:rFonts w:ascii="Century Gothic" w:hAnsi="Century Gothic" w:cs="Arial"/>
          <w:spacing w:val="-13"/>
        </w:rPr>
        <w:t xml:space="preserve"> </w:t>
      </w:r>
      <w:r w:rsidRPr="00D759E4">
        <w:rPr>
          <w:rFonts w:ascii="Century Gothic" w:hAnsi="Century Gothic" w:cs="Arial"/>
        </w:rPr>
        <w:t>4170</w:t>
      </w:r>
      <w:r w:rsidRPr="00D759E4">
        <w:rPr>
          <w:rFonts w:ascii="Century Gothic" w:hAnsi="Century Gothic" w:cs="Arial"/>
          <w:spacing w:val="-14"/>
        </w:rPr>
        <w:t xml:space="preserve"> </w:t>
      </w:r>
      <w:r w:rsidRPr="00D759E4">
        <w:rPr>
          <w:rFonts w:ascii="Century Gothic" w:hAnsi="Century Gothic" w:cs="Arial"/>
        </w:rPr>
        <w:t>de</w:t>
      </w:r>
      <w:r w:rsidRPr="00D759E4">
        <w:rPr>
          <w:rFonts w:ascii="Century Gothic" w:hAnsi="Century Gothic" w:cs="Arial"/>
          <w:spacing w:val="-14"/>
        </w:rPr>
        <w:t xml:space="preserve"> </w:t>
      </w:r>
      <w:r w:rsidRPr="00D759E4">
        <w:rPr>
          <w:rFonts w:ascii="Century Gothic" w:hAnsi="Century Gothic" w:cs="Arial"/>
        </w:rPr>
        <w:t>2011,</w:t>
      </w:r>
      <w:r w:rsidRPr="00D759E4">
        <w:rPr>
          <w:rFonts w:ascii="Century Gothic" w:hAnsi="Century Gothic" w:cs="Arial"/>
          <w:spacing w:val="-13"/>
        </w:rPr>
        <w:t xml:space="preserve"> </w:t>
      </w:r>
      <w:r w:rsidRPr="00D759E4">
        <w:rPr>
          <w:rFonts w:ascii="Century Gothic" w:hAnsi="Century Gothic" w:cs="Arial"/>
        </w:rPr>
        <w:t>la</w:t>
      </w:r>
      <w:r w:rsidRPr="00D759E4">
        <w:rPr>
          <w:rFonts w:ascii="Century Gothic" w:hAnsi="Century Gothic" w:cs="Arial"/>
          <w:spacing w:val="-14"/>
        </w:rPr>
        <w:t xml:space="preserve"> </w:t>
      </w:r>
      <w:r w:rsidRPr="00D759E4">
        <w:rPr>
          <w:rFonts w:ascii="Century Gothic" w:hAnsi="Century Gothic" w:cs="Arial"/>
        </w:rPr>
        <w:t>Agencia</w:t>
      </w:r>
      <w:r w:rsidRPr="00D759E4">
        <w:rPr>
          <w:rFonts w:ascii="Century Gothic" w:hAnsi="Century Gothic" w:cs="Arial"/>
          <w:spacing w:val="-11"/>
        </w:rPr>
        <w:t xml:space="preserve"> </w:t>
      </w:r>
      <w:r w:rsidRPr="00D759E4">
        <w:rPr>
          <w:rFonts w:ascii="Century Gothic" w:hAnsi="Century Gothic" w:cs="Arial"/>
        </w:rPr>
        <w:t xml:space="preserve">Nacional de Contratación Pública – Colombia Compra Eficiente responde su comunicación </w:t>
      </w:r>
      <w:r w:rsidR="00A91727">
        <w:rPr>
          <w:rFonts w:ascii="Century Gothic" w:hAnsi="Century Gothic" w:cs="Arial"/>
        </w:rPr>
        <w:t xml:space="preserve">radicada el </w:t>
      </w:r>
      <w:r w:rsidR="00A223D9">
        <w:rPr>
          <w:rFonts w:ascii="Century Gothic" w:hAnsi="Century Gothic" w:cs="Arial"/>
        </w:rPr>
        <w:t>1</w:t>
      </w:r>
      <w:r w:rsidR="00A02818">
        <w:rPr>
          <w:rFonts w:ascii="Century Gothic" w:hAnsi="Century Gothic" w:cs="Arial"/>
        </w:rPr>
        <w:t>6</w:t>
      </w:r>
      <w:r w:rsidRPr="00D759E4">
        <w:rPr>
          <w:rFonts w:ascii="Century Gothic" w:hAnsi="Century Gothic" w:cs="Arial"/>
        </w:rPr>
        <w:t xml:space="preserve"> de </w:t>
      </w:r>
      <w:r w:rsidR="00A223D9">
        <w:rPr>
          <w:rFonts w:ascii="Century Gothic" w:hAnsi="Century Gothic" w:cs="Arial"/>
        </w:rPr>
        <w:t>mayo</w:t>
      </w:r>
      <w:r>
        <w:rPr>
          <w:rFonts w:ascii="Century Gothic" w:hAnsi="Century Gothic" w:cs="Arial"/>
        </w:rPr>
        <w:t xml:space="preserve"> </w:t>
      </w:r>
      <w:r w:rsidRPr="00D759E4">
        <w:rPr>
          <w:rFonts w:ascii="Century Gothic" w:hAnsi="Century Gothic" w:cs="Arial"/>
        </w:rPr>
        <w:t>de 202</w:t>
      </w:r>
      <w:r w:rsidR="007F0F3C">
        <w:rPr>
          <w:rFonts w:ascii="Century Gothic" w:hAnsi="Century Gothic" w:cs="Arial"/>
        </w:rPr>
        <w:t>4</w:t>
      </w:r>
      <w:r w:rsidRPr="00D759E4">
        <w:rPr>
          <w:rFonts w:ascii="Century Gothic" w:hAnsi="Century Gothic" w:cs="Arial"/>
        </w:rPr>
        <w:t xml:space="preserve">, en la cual </w:t>
      </w:r>
      <w:r w:rsidR="007F0F3C">
        <w:rPr>
          <w:rFonts w:ascii="Century Gothic" w:hAnsi="Century Gothic" w:cs="Arial"/>
        </w:rPr>
        <w:t xml:space="preserve">eleva una solicitud relacionada con </w:t>
      </w:r>
      <w:r w:rsidR="000325F5">
        <w:rPr>
          <w:rFonts w:ascii="Century Gothic" w:hAnsi="Century Gothic" w:cs="Arial"/>
        </w:rPr>
        <w:t xml:space="preserve">la </w:t>
      </w:r>
      <w:r w:rsidR="00885B2F">
        <w:rPr>
          <w:rFonts w:ascii="Century Gothic" w:hAnsi="Century Gothic" w:cs="Arial"/>
        </w:rPr>
        <w:t xml:space="preserve">supervisión de contratos de prestación de servicios en una </w:t>
      </w:r>
      <w:r w:rsidRPr="00885B2F" w:rsidR="00885B2F">
        <w:rPr>
          <w:rFonts w:ascii="Century Gothic" w:hAnsi="Century Gothic" w:cs="Arial"/>
        </w:rPr>
        <w:t>Empresa</w:t>
      </w:r>
      <w:r w:rsidR="00885B2F">
        <w:rPr>
          <w:rFonts w:ascii="Century Gothic" w:hAnsi="Century Gothic" w:cs="Arial"/>
        </w:rPr>
        <w:t xml:space="preserve"> </w:t>
      </w:r>
      <w:r w:rsidRPr="00885B2F" w:rsidR="00885B2F">
        <w:rPr>
          <w:rFonts w:ascii="Century Gothic" w:hAnsi="Century Gothic" w:cs="Arial"/>
        </w:rPr>
        <w:t>Social</w:t>
      </w:r>
      <w:r w:rsidR="00885B2F">
        <w:rPr>
          <w:rFonts w:ascii="Century Gothic" w:hAnsi="Century Gothic" w:cs="Arial"/>
        </w:rPr>
        <w:t xml:space="preserve"> </w:t>
      </w:r>
      <w:r w:rsidRPr="00885B2F" w:rsidR="00885B2F">
        <w:rPr>
          <w:rFonts w:ascii="Century Gothic" w:hAnsi="Century Gothic" w:cs="Arial"/>
        </w:rPr>
        <w:t>del</w:t>
      </w:r>
      <w:r w:rsidR="00885B2F">
        <w:rPr>
          <w:rFonts w:ascii="Century Gothic" w:hAnsi="Century Gothic" w:cs="Arial"/>
        </w:rPr>
        <w:t xml:space="preserve"> </w:t>
      </w:r>
      <w:r w:rsidRPr="00885B2F" w:rsidR="00885B2F">
        <w:rPr>
          <w:rFonts w:ascii="Century Gothic" w:hAnsi="Century Gothic" w:cs="Arial"/>
        </w:rPr>
        <w:t>Estado</w:t>
      </w:r>
      <w:r w:rsidR="00680DC7">
        <w:rPr>
          <w:rFonts w:ascii="Century Gothic" w:hAnsi="Century Gothic" w:cs="Arial"/>
        </w:rPr>
        <w:t>.</w:t>
      </w:r>
    </w:p>
    <w:p w:rsidRPr="00751C1F" w:rsidR="00720633" w:rsidP="00C230AE" w:rsidRDefault="00720633" w14:paraId="663B2181" w14:textId="1B423308">
      <w:pPr>
        <w:spacing w:after="0" w:line="240" w:lineRule="auto"/>
        <w:ind w:right="51"/>
        <w:contextualSpacing/>
        <w:jc w:val="both"/>
        <w:rPr>
          <w:rFonts w:ascii="Century Gothic" w:hAnsi="Century Gothic" w:cs="Arial"/>
          <w:i/>
          <w:color w:val="000000" w:themeColor="text1"/>
          <w:sz w:val="21"/>
          <w:szCs w:val="21"/>
        </w:rPr>
      </w:pPr>
      <w:r w:rsidRPr="00751C1F">
        <w:rPr>
          <w:rFonts w:ascii="Century Gothic" w:hAnsi="Century Gothic" w:eastAsia="Calibri" w:cs="Arial"/>
          <w:i/>
          <w:lang w:val="es-MX"/>
        </w:rPr>
        <w:t xml:space="preserve">     </w:t>
      </w:r>
      <w:r w:rsidRPr="00751C1F" w:rsidR="007D066A">
        <w:rPr>
          <w:rFonts w:ascii="Century Gothic" w:hAnsi="Century Gothic" w:eastAsia="Calibri" w:cs="Arial"/>
          <w:i/>
          <w:lang w:val="es-MX"/>
        </w:rPr>
        <w:t xml:space="preserve">    </w:t>
      </w:r>
      <w:r w:rsidRPr="00751C1F">
        <w:rPr>
          <w:rFonts w:ascii="Century Gothic" w:hAnsi="Century Gothic" w:cs="Arial"/>
          <w:i/>
          <w:color w:val="000000" w:themeColor="text1"/>
          <w:sz w:val="21"/>
          <w:szCs w:val="21"/>
        </w:rPr>
        <w:t>“(…)</w:t>
      </w:r>
    </w:p>
    <w:p w:rsidRPr="00751C1F" w:rsidR="00720633" w:rsidP="00A223D9" w:rsidRDefault="00885B2F" w14:paraId="73E73D2B" w14:textId="48A69339">
      <w:pPr>
        <w:pStyle w:val="Textoindependiente"/>
        <w:ind w:left="567" w:right="899"/>
        <w:contextualSpacing/>
        <w:jc w:val="both"/>
        <w:rPr>
          <w:rFonts w:ascii="Century Gothic" w:hAnsi="Century Gothic"/>
          <w:i/>
          <w:sz w:val="21"/>
          <w:szCs w:val="21"/>
        </w:rPr>
      </w:pPr>
      <w:r w:rsidRPr="00751C1F">
        <w:rPr>
          <w:rFonts w:ascii="Century Gothic" w:hAnsi="Century Gothic"/>
          <w:i/>
        </w:rPr>
        <w:t xml:space="preserve">Una Empresa Social del Estado de Primer Nivel puede incorporar en </w:t>
      </w:r>
      <w:r w:rsidRPr="00751C1F">
        <w:rPr>
          <w:rFonts w:ascii="Century Gothic" w:hAnsi="Century Gothic"/>
          <w:i/>
        </w:rPr>
        <w:t xml:space="preserve">su manual de contratación la figura de asignar supervisiones de contratos </w:t>
      </w:r>
      <w:r w:rsidRPr="00751C1F" w:rsidR="00751C1F">
        <w:rPr>
          <w:rFonts w:ascii="Century Gothic" w:hAnsi="Century Gothic"/>
          <w:i/>
        </w:rPr>
        <w:t>de prestación de servicios a una persona vinculada por contrato de prestación de servicios</w:t>
      </w:r>
      <w:r w:rsidRPr="00751C1F" w:rsidR="000325F5">
        <w:rPr>
          <w:rFonts w:ascii="Century Gothic" w:hAnsi="Century Gothic"/>
          <w:i/>
          <w:sz w:val="21"/>
          <w:szCs w:val="21"/>
        </w:rPr>
        <w:t xml:space="preserve"> </w:t>
      </w:r>
      <w:r w:rsidRPr="00751C1F" w:rsidR="00720633">
        <w:rPr>
          <w:rFonts w:ascii="Century Gothic" w:hAnsi="Century Gothic"/>
          <w:i/>
          <w:sz w:val="21"/>
          <w:szCs w:val="21"/>
        </w:rPr>
        <w:t>(…)”</w:t>
      </w:r>
    </w:p>
    <w:p w:rsidRPr="0085134A" w:rsidR="00720633" w:rsidP="00720633" w:rsidRDefault="00720633" w14:paraId="0922A312" w14:textId="77777777">
      <w:pPr>
        <w:pStyle w:val="Textoindependiente"/>
        <w:spacing w:line="276" w:lineRule="auto"/>
        <w:ind w:left="567" w:right="899"/>
        <w:contextualSpacing/>
        <w:jc w:val="both"/>
        <w:rPr>
          <w:rFonts w:ascii="Arial" w:hAnsi="Arial" w:cs="Arial"/>
          <w:i/>
          <w:color w:val="000000" w:themeColor="text1"/>
          <w:sz w:val="21"/>
          <w:szCs w:val="21"/>
        </w:rPr>
      </w:pPr>
    </w:p>
    <w:p w:rsidRPr="0021231E" w:rsidR="00720633" w:rsidP="00720633" w:rsidRDefault="00720633" w14:paraId="10D6AB1B" w14:textId="336819FE">
      <w:pPr>
        <w:spacing w:after="120" w:line="276" w:lineRule="auto"/>
        <w:jc w:val="both"/>
        <w:rPr>
          <w:rFonts w:ascii="Century Gothic" w:hAnsi="Century Gothic" w:eastAsia="Times New Roman" w:cs="Arial"/>
          <w:szCs w:val="24"/>
          <w:lang w:val="es-ES" w:eastAsia="es-ES_tradnl"/>
        </w:rPr>
      </w:pPr>
      <w:bookmarkStart w:name="_Hlk115432332" w:id="2"/>
      <w:r w:rsidRPr="0021231E">
        <w:rPr>
          <w:rFonts w:ascii="Century Gothic" w:hAnsi="Century Gothic" w:eastAsia="Times New Roman" w:cs="Arial"/>
          <w:szCs w:val="24"/>
          <w:lang w:eastAsia="es-ES_tradnl"/>
        </w:rPr>
        <w:t xml:space="preserve">En ejercicio de las competencias previstas en los artículos 3, numeral 5° y 11, numeral 8° del Decreto-Ley 4170 de 2011, la Agencia Nacional de Contratación Pública -Colombia Compra Eficiente- resuelve las consultas sobre los asuntos de su competencia, esto es, sobre las temáticas de la contratación estatal y compras públicas relacionadas en los artículos </w:t>
      </w:r>
      <w:r w:rsidRPr="00B8206E">
        <w:rPr>
          <w:rFonts w:ascii="Century Gothic" w:hAnsi="Century Gothic" w:eastAsia="Times New Roman" w:cs="Arial"/>
          <w:szCs w:val="24"/>
          <w:lang w:eastAsia="es-ES_tradnl"/>
        </w:rPr>
        <w:t>citados</w:t>
      </w:r>
      <w:r w:rsidR="003B4FE1">
        <w:rPr>
          <w:rFonts w:ascii="Century Gothic" w:hAnsi="Century Gothic" w:eastAsia="Times New Roman" w:cs="Arial"/>
          <w:szCs w:val="24"/>
          <w:lang w:eastAsia="es-ES_tradnl"/>
        </w:rPr>
        <w:t>. Es</w:t>
      </w:r>
      <w:r w:rsidRPr="0021231E">
        <w:rPr>
          <w:rFonts w:ascii="Century Gothic" w:hAnsi="Century Gothic" w:eastAsia="Times New Roman" w:cs="Arial"/>
          <w:szCs w:val="24"/>
          <w:lang w:val="es-ES" w:eastAsia="es-ES_tradnl"/>
        </w:rPr>
        <w:t xml:space="preserve"> necesario tener en cuenta que esta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w:t>
      </w:r>
      <w:r w:rsidRPr="0021231E">
        <w:rPr>
          <w:rFonts w:ascii="Century Gothic" w:hAnsi="Century Gothic" w:eastAsia="Times New Roman" w:cs="Arial"/>
          <w:szCs w:val="24"/>
          <w:lang w:eastAsia="es-ES_tradnl"/>
        </w:rPr>
        <w:t xml:space="preserve"> de todos los partícipes de la contratación estatal.</w:t>
      </w:r>
    </w:p>
    <w:p w:rsidRPr="0021231E" w:rsidR="00720633" w:rsidP="00720633" w:rsidRDefault="00720633" w14:paraId="166EDBD1" w14:textId="77777777">
      <w:pPr>
        <w:spacing w:after="120" w:line="276" w:lineRule="auto"/>
        <w:ind w:firstLine="708"/>
        <w:jc w:val="both"/>
        <w:rPr>
          <w:rFonts w:ascii="Century Gothic" w:hAnsi="Century Gothic" w:eastAsia="Times New Roman" w:cs="Arial"/>
          <w:szCs w:val="24"/>
          <w:lang w:val="es-ES" w:eastAsia="es-ES_tradnl"/>
        </w:rPr>
      </w:pPr>
      <w:r w:rsidRPr="0021231E">
        <w:rPr>
          <w:rFonts w:ascii="Century Gothic" w:hAnsi="Century Gothic" w:eastAsia="Times New Roman" w:cs="Arial"/>
          <w:szCs w:val="24"/>
          <w:lang w:val="es-ES" w:eastAsia="es-ES_tradnl"/>
        </w:rP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sidRPr="0021231E">
        <w:rPr>
          <w:rFonts w:ascii="Century Gothic" w:hAnsi="Century Gothic" w:eastAsia="Times New Roman" w:cs="Arial"/>
          <w:szCs w:val="24"/>
          <w:vertAlign w:val="superscript"/>
          <w:lang w:val="es-ES" w:eastAsia="es-ES_tradnl"/>
        </w:rPr>
        <w:footnoteReference w:id="2"/>
      </w:r>
      <w:r w:rsidRPr="0021231E">
        <w:rPr>
          <w:rFonts w:ascii="Century Gothic" w:hAnsi="Century Gothic" w:eastAsia="Times New Roman" w:cs="Arial"/>
          <w:szCs w:val="24"/>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w:t>
      </w:r>
      <w:r>
        <w:rPr>
          <w:rFonts w:ascii="Century Gothic" w:hAnsi="Century Gothic" w:eastAsia="Times New Roman" w:cs="Arial"/>
          <w:szCs w:val="24"/>
          <w:lang w:val="es-ES" w:eastAsia="es-ES_tradnl"/>
        </w:rPr>
        <w:t xml:space="preserve">o </w:t>
      </w:r>
      <w:r w:rsidRPr="0021231E">
        <w:rPr>
          <w:rFonts w:ascii="Century Gothic" w:hAnsi="Century Gothic" w:eastAsia="Times New Roman" w:cs="Arial"/>
          <w:szCs w:val="24"/>
          <w:lang w:val="es-ES" w:eastAsia="es-ES_tradnl"/>
        </w:rPr>
        <w:t>el procedimiento de selección y, en caso de conflicto, a las autoridades judiciales, fiscales y/o disciplinarias, según corresponda.</w:t>
      </w:r>
    </w:p>
    <w:p w:rsidR="00720633" w:rsidP="00720633" w:rsidRDefault="00720633" w14:paraId="35F38C76" w14:textId="29C85E83">
      <w:pPr>
        <w:spacing w:after="0" w:line="276" w:lineRule="auto"/>
        <w:ind w:firstLine="708"/>
        <w:jc w:val="both"/>
        <w:rPr>
          <w:rFonts w:ascii="Century Gothic" w:hAnsi="Century Gothic" w:eastAsia="Times New Roman" w:cs="Arial"/>
          <w:szCs w:val="24"/>
          <w:lang w:eastAsia="es-ES_tradnl"/>
        </w:rPr>
      </w:pPr>
      <w:r w:rsidRPr="0021231E">
        <w:rPr>
          <w:rFonts w:ascii="Century Gothic" w:hAnsi="Century Gothic" w:eastAsia="Times New Roman" w:cs="Arial"/>
          <w:szCs w:val="24"/>
          <w:lang w:val="es-ES" w:eastAsia="es-ES_tradnl"/>
        </w:rPr>
        <w:t xml:space="preserve">Bajo este entendido, </w:t>
      </w:r>
      <w:r w:rsidRPr="0021231E">
        <w:rPr>
          <w:rFonts w:ascii="Century Gothic" w:hAnsi="Century Gothic" w:eastAsia="Times New Roman" w:cs="Arial"/>
          <w:szCs w:val="24"/>
          <w:lang w:eastAsia="es-ES_tradnl"/>
        </w:rPr>
        <w:t xml:space="preserve">la Subdirección dentro del límite de sus atribuciones, esto es, haciendo abstracción de cualquier caso particular que pueda llegar a </w:t>
      </w:r>
      <w:r w:rsidRPr="0021231E">
        <w:rPr>
          <w:rFonts w:ascii="Century Gothic" w:hAnsi="Century Gothic" w:eastAsia="Times New Roman" w:cs="Arial"/>
          <w:szCs w:val="24"/>
          <w:lang w:eastAsia="es-ES_tradnl"/>
        </w:rPr>
        <w:t>proponer el peticionario</w:t>
      </w:r>
      <w:r>
        <w:rPr>
          <w:rFonts w:ascii="Century Gothic" w:hAnsi="Century Gothic" w:eastAsia="Times New Roman" w:cs="Arial"/>
          <w:szCs w:val="24"/>
          <w:lang w:eastAsia="es-ES_tradnl"/>
        </w:rPr>
        <w:t xml:space="preserve"> </w:t>
      </w:r>
      <w:r w:rsidRPr="0021231E">
        <w:rPr>
          <w:rFonts w:ascii="Century Gothic" w:hAnsi="Century Gothic" w:eastAsia="Times New Roman" w:cs="Arial"/>
          <w:szCs w:val="24"/>
          <w:lang w:eastAsia="es-ES_tradnl"/>
        </w:rPr>
        <w:t>resolverá la presente consulta de acuerdo con el alcance general de las normas en materia de contratación estatal.</w:t>
      </w:r>
    </w:p>
    <w:p w:rsidR="00720633" w:rsidP="00720633" w:rsidRDefault="00720633" w14:paraId="5B6052CC" w14:textId="77777777">
      <w:pPr>
        <w:spacing w:after="0" w:line="276" w:lineRule="auto"/>
        <w:ind w:firstLine="708"/>
        <w:jc w:val="both"/>
        <w:rPr>
          <w:rFonts w:ascii="Century Gothic" w:hAnsi="Century Gothic" w:eastAsia="Times New Roman" w:cs="Arial"/>
          <w:szCs w:val="24"/>
          <w:lang w:eastAsia="es-ES_tradnl"/>
        </w:rPr>
      </w:pPr>
    </w:p>
    <w:p w:rsidR="00012B30" w:rsidP="00012B30" w:rsidRDefault="00663CDE" w14:paraId="6077281F" w14:textId="77777777">
      <w:pPr>
        <w:spacing w:after="0" w:line="276" w:lineRule="auto"/>
        <w:ind w:firstLine="709"/>
        <w:jc w:val="both"/>
        <w:rPr>
          <w:rFonts w:ascii="Century Gothic" w:hAnsi="Century Gothic" w:eastAsia="Calibri" w:cs="Arial"/>
          <w:lang w:val="es-ES_tradnl" w:eastAsia="es-ES_tradnl"/>
        </w:rPr>
      </w:pPr>
      <w:r>
        <w:rPr>
          <w:rFonts w:ascii="Century Gothic" w:hAnsi="Century Gothic" w:eastAsia="Calibri" w:cs="Arial"/>
          <w:bCs/>
          <w:color w:val="000000" w:themeColor="text1"/>
          <w:lang w:val="es-ES_tradnl"/>
        </w:rPr>
        <w:t>Así las cosas</w:t>
      </w:r>
      <w:r w:rsidR="0012563B">
        <w:rPr>
          <w:rFonts w:ascii="Century Gothic" w:hAnsi="Century Gothic" w:eastAsia="Calibri" w:cs="Arial"/>
          <w:bCs/>
          <w:color w:val="000000" w:themeColor="text1"/>
          <w:lang w:val="es-ES_tradnl"/>
        </w:rPr>
        <w:t xml:space="preserve"> , </w:t>
      </w:r>
      <w:r>
        <w:rPr>
          <w:rFonts w:ascii="Century Gothic" w:hAnsi="Century Gothic" w:eastAsia="Calibri" w:cs="Arial"/>
          <w:bCs/>
          <w:color w:val="000000" w:themeColor="text1"/>
          <w:lang w:val="es-ES_tradnl"/>
        </w:rPr>
        <w:t>r</w:t>
      </w:r>
      <w:r w:rsidRPr="00663CDE">
        <w:rPr>
          <w:rFonts w:ascii="Century Gothic" w:hAnsi="Century Gothic" w:eastAsia="Calibri" w:cs="Arial"/>
          <w:bCs/>
          <w:color w:val="000000" w:themeColor="text1"/>
          <w:lang w:val="es-ES_tradnl"/>
        </w:rPr>
        <w:t xml:space="preserve">especto de </w:t>
      </w:r>
      <w:r w:rsidRPr="00131FA3" w:rsidR="003A679A">
        <w:rPr>
          <w:rFonts w:ascii="Century Gothic" w:hAnsi="Century Gothic" w:cs="Arial"/>
        </w:rPr>
        <w:t>La Agencia Nacional de Contratación Pública – Colombia Compra Eficiente se ha</w:t>
      </w:r>
      <w:r w:rsidR="00D47096">
        <w:rPr>
          <w:rFonts w:ascii="Century Gothic" w:hAnsi="Century Gothic" w:cs="Arial"/>
        </w:rPr>
        <w:t xml:space="preserve"> </w:t>
      </w:r>
      <w:r w:rsidR="00D47096">
        <w:rPr>
          <w:rFonts w:ascii="Century Gothic" w:hAnsi="Century Gothic" w:eastAsia="Calibri" w:cs="Arial"/>
          <w:lang w:val="es-MX"/>
        </w:rPr>
        <w:t xml:space="preserve">estudiado </w:t>
      </w:r>
      <w:r w:rsidR="00D47096">
        <w:rPr>
          <w:rFonts w:ascii="Century Gothic" w:hAnsi="Century Gothic" w:eastAsia="Calibri" w:cs="Arial"/>
          <w:lang w:val="es-ES"/>
        </w:rPr>
        <w:t>regímenes especiales en la contratación estatal</w:t>
      </w:r>
      <w:r w:rsidR="00D47096">
        <w:rPr>
          <w:rFonts w:ascii="Century Gothic" w:hAnsi="Century Gothic" w:eastAsia="Calibri" w:cs="Arial"/>
          <w:lang w:val="es-MX"/>
        </w:rPr>
        <w:t xml:space="preserve"> en los conceptos con radicados 2201913000007228 de 30 de septiembre de 2019, 2201913000007955 24 de octubre de 2019, 2201913000009314 17 de diciembre de 2020, 2201913000009591 24 de diciembre de 2019, 2201913000009469 20 de diciembre de 2019, CU-003 del 15 de enero de 2020, C-079 de 5 de febrero de 2020, </w:t>
      </w:r>
      <w:r w:rsidR="00D47096">
        <w:rPr>
          <w:rFonts w:ascii="Century Gothic" w:hAnsi="Century Gothic" w:eastAsia="Calibri" w:cs="Arial"/>
          <w:lang w:eastAsia="es-ES_tradnl"/>
        </w:rPr>
        <w:t xml:space="preserve">C-027 del 13 de febrero de 2020, C-179 del 16 de marzo de 2020, </w:t>
      </w:r>
      <w:r w:rsidR="00D47096">
        <w:rPr>
          <w:rFonts w:ascii="Century Gothic" w:hAnsi="Century Gothic" w:eastAsia="Calibri" w:cs="Arial"/>
          <w:lang w:val="es-MX"/>
        </w:rPr>
        <w:t xml:space="preserve">C-168 de 31 de marzo de 2020, </w:t>
      </w:r>
      <w:r w:rsidR="00D47096">
        <w:rPr>
          <w:rFonts w:ascii="Century Gothic" w:hAnsi="Century Gothic" w:eastAsia="Calibri" w:cs="Arial"/>
          <w:lang w:eastAsia="es-ES_tradnl"/>
        </w:rPr>
        <w:t xml:space="preserve">C-362 del 03 de julio de 2020, </w:t>
      </w:r>
      <w:r w:rsidR="00D47096">
        <w:rPr>
          <w:rFonts w:ascii="Century Gothic" w:hAnsi="Century Gothic" w:eastAsia="Calibri" w:cs="Arial"/>
          <w:lang w:val="es-MX"/>
        </w:rPr>
        <w:t>C-658 de 2020, C-741 del 29 de noviembre del 2022, C-343 del 26 de octubre del 2023</w:t>
      </w:r>
      <w:r w:rsidR="00D47096">
        <w:rPr>
          <w:rStyle w:val="Refdenotaalpie"/>
          <w:rFonts w:ascii="Century Gothic" w:hAnsi="Century Gothic" w:eastAsia="Calibri" w:cs="Arial"/>
          <w:bCs/>
          <w:lang w:val="es-MX"/>
        </w:rPr>
        <w:footnoteReference w:id="3"/>
      </w:r>
      <w:r w:rsidR="00D47096">
        <w:rPr>
          <w:rFonts w:ascii="Century Gothic" w:hAnsi="Century Gothic" w:eastAsia="Calibri" w:cs="Arial"/>
          <w:bCs/>
          <w:lang w:val="es-MX"/>
        </w:rPr>
        <w:t>.</w:t>
      </w:r>
      <w:r w:rsidR="00D47096">
        <w:rPr>
          <w:rFonts w:ascii="Century Gothic" w:hAnsi="Century Gothic" w:eastAsia="Calibri" w:cs="Arial"/>
          <w:lang w:val="es-MX" w:eastAsia="es-ES_tradnl"/>
        </w:rPr>
        <w:t xml:space="preserve"> </w:t>
      </w:r>
      <w:r w:rsidR="00D47096">
        <w:rPr>
          <w:rFonts w:ascii="Century Gothic" w:hAnsi="Century Gothic" w:eastAsia="Calibri" w:cs="Arial"/>
          <w:lang w:val="es-ES_tradnl" w:eastAsia="es-ES_tradnl"/>
        </w:rPr>
        <w:t>Algunas de las consideraciones de estos conceptos se reiteran y se complementan en lo pertinente para dar respuesta a su consulta.</w:t>
      </w:r>
    </w:p>
    <w:p w:rsidR="00012B30" w:rsidP="00012B30" w:rsidRDefault="00012B30" w14:paraId="1A19A290" w14:textId="77777777">
      <w:pPr>
        <w:spacing w:after="0" w:line="276" w:lineRule="auto"/>
        <w:ind w:firstLine="709"/>
        <w:jc w:val="both"/>
        <w:rPr>
          <w:rFonts w:ascii="Century Gothic" w:hAnsi="Century Gothic" w:eastAsia="Calibri" w:cs="Arial"/>
          <w:lang w:val="es-ES_tradnl" w:eastAsia="es-ES_tradnl"/>
        </w:rPr>
      </w:pPr>
    </w:p>
    <w:p w:rsidRPr="00012B30" w:rsidR="00D47096" w:rsidP="00012B30" w:rsidRDefault="00012B30" w14:paraId="6100D8F1" w14:textId="564B1962">
      <w:pPr>
        <w:spacing w:after="0" w:line="276" w:lineRule="auto"/>
        <w:ind w:firstLine="709"/>
        <w:jc w:val="both"/>
        <w:rPr>
          <w:rFonts w:ascii="Century Gothic" w:hAnsi="Century Gothic" w:eastAsia="Calibri" w:cs="Arial"/>
          <w:lang w:val="es-ES_tradnl" w:eastAsia="es-ES_tradnl"/>
        </w:rPr>
      </w:pPr>
      <w:r w:rsidRPr="00012B30">
        <w:rPr>
          <w:rFonts w:ascii="Century Gothic" w:hAnsi="Century Gothic"/>
          <w:lang w:val="es-ES"/>
        </w:rPr>
        <w:t>De manera preliminar es pertinente indicar que e</w:t>
      </w:r>
      <w:r w:rsidRPr="00012B30" w:rsidR="00D47096">
        <w:rPr>
          <w:rFonts w:ascii="Century Gothic" w:hAnsi="Century Gothic" w:cs="Arial"/>
        </w:rPr>
        <w:t>l ordenamiento</w:t>
      </w:r>
      <w:r w:rsidRPr="00594103" w:rsidR="00D47096">
        <w:rPr>
          <w:rFonts w:ascii="Century Gothic" w:hAnsi="Century Gothic" w:cs="Arial"/>
          <w:bCs/>
        </w:rPr>
        <w:t xml:space="preserve"> jurídico colombiano contempla como categoría única la noción de</w:t>
      </w:r>
      <w:r w:rsidR="00D47096">
        <w:rPr>
          <w:rFonts w:ascii="Century Gothic" w:hAnsi="Century Gothic" w:cs="Arial"/>
          <w:bCs/>
        </w:rPr>
        <w:t xml:space="preserve"> </w:t>
      </w:r>
      <w:r w:rsidRPr="00594103" w:rsidR="00D47096">
        <w:rPr>
          <w:rFonts w:ascii="Century Gothic" w:hAnsi="Century Gothic" w:cs="Arial"/>
          <w:bCs/>
        </w:rPr>
        <w:t>contratos estatales</w:t>
      </w:r>
      <w:r w:rsidR="00D47096">
        <w:rPr>
          <w:rFonts w:ascii="Century Gothic" w:hAnsi="Century Gothic" w:cs="Arial"/>
          <w:bCs/>
        </w:rPr>
        <w:t>,</w:t>
      </w:r>
      <w:r w:rsidRPr="00594103" w:rsidR="00D47096">
        <w:rPr>
          <w:rFonts w:ascii="Century Gothic" w:hAnsi="Century Gothic" w:cs="Arial"/>
          <w:bCs/>
        </w:rPr>
        <w:t xml:space="preserve"> pero acepta la posibilidad de que dichos contratos tengan regímenes jurídicos diferenciados. En virtud de ello se afirma que hay contratos estatales sometidos al EGCAP (Leyes 80 de 1993, 1150 de 2007 y disposiciones complementarias) y contratos estatales sometidos a reglas especiales, usualmente al derecho privado.</w:t>
      </w:r>
    </w:p>
    <w:p w:rsidRPr="00594103" w:rsidR="00D47096" w:rsidP="00D47096" w:rsidRDefault="00D47096" w14:paraId="788F8378" w14:textId="77777777">
      <w:pPr>
        <w:spacing w:line="276" w:lineRule="auto"/>
        <w:ind w:firstLine="360"/>
        <w:jc w:val="both"/>
        <w:rPr>
          <w:rFonts w:ascii="Century Gothic" w:hAnsi="Century Gothic" w:cs="Arial"/>
          <w:bCs/>
        </w:rPr>
      </w:pPr>
      <w:r w:rsidRPr="00594103">
        <w:rPr>
          <w:rFonts w:ascii="Century Gothic" w:hAnsi="Century Gothic" w:cs="Arial"/>
          <w:bCs/>
        </w:rPr>
        <w:t>La decisión hito-fundadora</w:t>
      </w:r>
      <w:r w:rsidRPr="00594103">
        <w:rPr>
          <w:rStyle w:val="Refdenotaalpie"/>
          <w:rFonts w:ascii="Century Gothic" w:hAnsi="Century Gothic" w:cs="Arial"/>
          <w:bCs/>
        </w:rPr>
        <w:footnoteReference w:id="4"/>
      </w:r>
      <w:r w:rsidRPr="00594103">
        <w:rPr>
          <w:rFonts w:ascii="Century Gothic" w:hAnsi="Century Gothic" w:cs="Arial"/>
          <w:bCs/>
        </w:rPr>
        <w:t xml:space="preserve"> en este sentido, de acuerdo con lo señalado por la doctrina</w:t>
      </w:r>
      <w:r w:rsidRPr="00594103">
        <w:rPr>
          <w:rStyle w:val="Refdenotaalpie"/>
          <w:rFonts w:ascii="Century Gothic" w:hAnsi="Century Gothic" w:cs="Arial"/>
          <w:bCs/>
        </w:rPr>
        <w:footnoteReference w:id="5"/>
      </w:r>
      <w:r w:rsidRPr="00594103">
        <w:rPr>
          <w:rFonts w:ascii="Century Gothic" w:hAnsi="Century Gothic" w:cs="Arial"/>
          <w:bCs/>
        </w:rPr>
        <w:t>, es un auto del 20 de agosto de 1998 del Consejo de Estado, sonde se señaló</w:t>
      </w:r>
      <w:r w:rsidRPr="00594103">
        <w:rPr>
          <w:rStyle w:val="Refdenotaalpie"/>
          <w:rFonts w:ascii="Century Gothic" w:hAnsi="Century Gothic" w:cs="Arial"/>
          <w:bCs/>
        </w:rPr>
        <w:footnoteReference w:id="6"/>
      </w:r>
      <w:r w:rsidRPr="00594103">
        <w:rPr>
          <w:rFonts w:ascii="Century Gothic" w:hAnsi="Century Gothic" w:cs="Arial"/>
          <w:bCs/>
        </w:rPr>
        <w:t>:</w:t>
      </w:r>
    </w:p>
    <w:p w:rsidRPr="00B84652" w:rsidR="00D47096" w:rsidP="58922DE6" w:rsidRDefault="00D47096" w14:paraId="34B39558" w14:textId="77777777">
      <w:pPr>
        <w:spacing w:line="240" w:lineRule="auto"/>
        <w:ind w:left="709" w:right="709"/>
        <w:jc w:val="both"/>
        <w:rPr>
          <w:rFonts w:ascii="Century Gothic" w:hAnsi="Century Gothic" w:cs="Arial"/>
          <w:sz w:val="20"/>
          <w:szCs w:val="20"/>
          <w:lang w:val="es-ES"/>
        </w:rPr>
      </w:pPr>
      <w:r w:rsidRPr="58922DE6" w:rsidR="00D47096">
        <w:rPr>
          <w:rFonts w:ascii="Century Gothic" w:hAnsi="Century Gothic" w:cs="Arial"/>
          <w:sz w:val="20"/>
          <w:szCs w:val="20"/>
          <w:lang w:val="es-ES"/>
        </w:rPr>
        <w:t>“A juicio de la Sala es preciso reconocer que en las diversas regulaciones normativas sobre contratación de la administración pública, es posible identificar dos grandes categorías de actos contractuales:</w:t>
      </w:r>
    </w:p>
    <w:p w:rsidRPr="00B84652" w:rsidR="00D47096" w:rsidP="58922DE6" w:rsidRDefault="00D47096" w14:paraId="68752975" w14:textId="77777777">
      <w:pPr>
        <w:spacing w:line="240" w:lineRule="auto"/>
        <w:ind w:left="709" w:right="709"/>
        <w:jc w:val="both"/>
        <w:rPr>
          <w:rFonts w:ascii="Century Gothic" w:hAnsi="Century Gothic" w:cs="Arial"/>
          <w:sz w:val="20"/>
          <w:szCs w:val="20"/>
          <w:lang w:val="es-ES"/>
        </w:rPr>
      </w:pPr>
      <w:r w:rsidRPr="58922DE6" w:rsidR="00D47096">
        <w:rPr>
          <w:rFonts w:ascii="Century Gothic" w:hAnsi="Century Gothic" w:cs="Arial"/>
          <w:sz w:val="20"/>
          <w:szCs w:val="20"/>
          <w:lang w:val="es-ES"/>
        </w:rPr>
        <w:t>1ª Contratos estatales, propiamente dichos, que son aquellos que celebran las entidades públicas a que se refiere la ley 80 de 1993, y que por ende se regulan íntegramente por el régimen establecido en esta ley.  Por regla general, adquieren este carácter en razón del ente público contratante, es decir, se definen desde el punto de vista orgánico. Las controversias que se deriven de este tipo de contratos y de los procesos de ejecución o cumplimiento serán de conocimiento de la jurisdicción contenciosa administrativa.</w:t>
      </w:r>
    </w:p>
    <w:p w:rsidR="00D47096" w:rsidP="58922DE6" w:rsidRDefault="00D47096" w14:paraId="71C45B32" w14:textId="77777777">
      <w:pPr>
        <w:spacing w:after="0" w:line="240" w:lineRule="auto"/>
        <w:ind w:left="709" w:right="709"/>
        <w:jc w:val="both"/>
        <w:rPr>
          <w:rFonts w:ascii="Century Gothic" w:hAnsi="Century Gothic" w:cs="Arial"/>
          <w:sz w:val="20"/>
          <w:szCs w:val="20"/>
          <w:lang w:val="es-ES"/>
        </w:rPr>
      </w:pPr>
      <w:r w:rsidRPr="58922DE6" w:rsidR="00D47096">
        <w:rPr>
          <w:rFonts w:ascii="Century Gothic" w:hAnsi="Century Gothic" w:cs="Arial"/>
          <w:sz w:val="20"/>
          <w:szCs w:val="20"/>
          <w:lang w:val="es-ES"/>
        </w:rPr>
        <w:t>2ª Contratos especiales sujetos a un régimen legal propio. Por regla general, el juez a quien compete conocer de sus controversias es el juez administrativo, en razón de que su celebración y ejecución constituye una actividad reglada, es decir, es el ejercicio pleno de una función administrativa, de conformidad con el art. 82 del C.C.A. antes referido”.</w:t>
      </w:r>
    </w:p>
    <w:p w:rsidRPr="00B84652" w:rsidR="00D47096" w:rsidP="00D47096" w:rsidRDefault="00D47096" w14:paraId="14EB8A5F" w14:textId="77777777">
      <w:pPr>
        <w:spacing w:after="0" w:line="240" w:lineRule="auto"/>
        <w:ind w:left="709" w:right="709"/>
        <w:jc w:val="both"/>
        <w:rPr>
          <w:rFonts w:ascii="Century Gothic" w:hAnsi="Century Gothic" w:cs="Arial"/>
          <w:bCs/>
          <w:sz w:val="20"/>
          <w:szCs w:val="20"/>
          <w:lang w:val="es-ES_tradnl"/>
        </w:rPr>
      </w:pPr>
    </w:p>
    <w:p w:rsidRPr="00594103" w:rsidR="00D47096" w:rsidP="00D47096" w:rsidRDefault="00D47096" w14:paraId="2B282612" w14:textId="77777777">
      <w:pPr>
        <w:spacing w:line="276" w:lineRule="auto"/>
        <w:ind w:firstLine="708"/>
        <w:jc w:val="both"/>
        <w:rPr>
          <w:rFonts w:ascii="Century Gothic" w:hAnsi="Century Gothic" w:cs="Arial"/>
          <w:bCs/>
        </w:rPr>
      </w:pPr>
      <w:r w:rsidRPr="00594103">
        <w:rPr>
          <w:rFonts w:ascii="Century Gothic" w:hAnsi="Century Gothic" w:cs="Arial"/>
          <w:bCs/>
        </w:rPr>
        <w:t>El Consejo de Estado identificó la existencia de un único tipo de contrato: el contrato estatal; pero dos grandes categorías que responden a su régimen jurídico: contrato estatal con un régimen jurídico de derecho público-administrativo y contrato estatal con un régimen jurídico especial, por regla general de derecho privado.</w:t>
      </w:r>
    </w:p>
    <w:p w:rsidRPr="00594103" w:rsidR="00D47096" w:rsidP="00D47096" w:rsidRDefault="00D47096" w14:paraId="3E4945EC" w14:textId="77777777">
      <w:pPr>
        <w:spacing w:line="276" w:lineRule="auto"/>
        <w:ind w:firstLine="708"/>
        <w:jc w:val="both"/>
        <w:rPr>
          <w:rFonts w:ascii="Century Gothic" w:hAnsi="Century Gothic" w:cs="Arial"/>
          <w:bCs/>
        </w:rPr>
      </w:pPr>
      <w:r w:rsidRPr="00594103">
        <w:rPr>
          <w:rFonts w:ascii="Century Gothic" w:hAnsi="Century Gothic" w:cs="Arial"/>
          <w:bCs/>
        </w:rPr>
        <w:t xml:space="preserve">En este punto vale la pena resaltar que en el ordenamiento jurídico colombiano cuando se piensa en los regímenes especiales de contratación, se suele hacer referencia al régimen de determinadas entidades estatales. Tal sería el caso de las empresas de servicios públicos domiciliarios, de conformidad con el artículo 31 de la Ley 142 de 1994, de las entidades indicadas en el artículo 14 de la Ley 1150 de 2007, de las universidades estatales u oficiales, según el artículo 93 de la Ley 30 de 1993, etc. Esta afirmación, sin embargo, no pretende desconocer que dicho régimen especial se otorga justamente en consideración al especial tipo de actividades desplegadas por estas entidades. </w:t>
      </w:r>
    </w:p>
    <w:p w:rsidRPr="00594103" w:rsidR="00D47096" w:rsidP="00D47096" w:rsidRDefault="00D47096" w14:paraId="1C0C5038" w14:textId="135A2FCE">
      <w:pPr>
        <w:spacing w:line="276" w:lineRule="auto"/>
        <w:ind w:firstLine="708"/>
        <w:jc w:val="both"/>
        <w:rPr>
          <w:rFonts w:ascii="Century Gothic" w:hAnsi="Century Gothic" w:cs="Arial"/>
          <w:bCs/>
        </w:rPr>
      </w:pPr>
      <w:r w:rsidRPr="00594103">
        <w:rPr>
          <w:rFonts w:ascii="Century Gothic" w:hAnsi="Century Gothic" w:cs="Arial"/>
          <w:bCs/>
        </w:rPr>
        <w:t xml:space="preserve">Ahora bien, los regímenes especiales de contratación en el ordenamiento colombiano no se dan exclusivamente en atención a cierto tipo de sujetos –empresas industriales y comerciales del Estado (EICE), sociedades de economía mixta (SEM), empresas de servicios públicos domiciliarios (ESP), empresas sociales del estado (ESE), etc.–, sino también para cierto tipo de objetos contractuales. Este </w:t>
      </w:r>
      <w:r w:rsidRPr="00594103">
        <w:rPr>
          <w:rFonts w:ascii="Century Gothic" w:hAnsi="Century Gothic" w:cs="Arial"/>
          <w:bCs/>
        </w:rPr>
        <w:t>es el caso del régimen jurídico establecido en el artículo 66 de la Ley 1523 de 2012</w:t>
      </w:r>
      <w:r w:rsidRPr="00594103">
        <w:rPr>
          <w:rStyle w:val="Refdenotaalpie"/>
          <w:rFonts w:ascii="Century Gothic" w:hAnsi="Century Gothic" w:cs="Arial"/>
          <w:bCs/>
        </w:rPr>
        <w:footnoteReference w:id="7"/>
      </w:r>
      <w:r w:rsidRPr="00594103">
        <w:rPr>
          <w:rFonts w:ascii="Century Gothic" w:hAnsi="Century Gothic" w:cs="Arial"/>
          <w:bCs/>
        </w:rPr>
        <w:t xml:space="preserve">, que establece un régimen especial de derecho privado </w:t>
      </w:r>
      <w:r w:rsidRPr="00594103" w:rsidR="00012B30">
        <w:rPr>
          <w:rFonts w:ascii="Century Gothic" w:hAnsi="Century Gothic" w:cs="Arial"/>
          <w:bCs/>
        </w:rPr>
        <w:t>debido a</w:t>
      </w:r>
      <w:r w:rsidRPr="00594103">
        <w:rPr>
          <w:rFonts w:ascii="Century Gothic" w:hAnsi="Century Gothic" w:cs="Arial"/>
          <w:bCs/>
        </w:rPr>
        <w:t xml:space="preserve"> la consideración que merece el objeto a contratar. Otro ejemplo se encuentra en el Decreto 544 de 2020, que establece el régimen de contratación del derecho privado, para los contratos que </w:t>
      </w:r>
      <w:r>
        <w:rPr>
          <w:rFonts w:ascii="Century Gothic" w:hAnsi="Century Gothic" w:cs="Arial"/>
          <w:bCs/>
        </w:rPr>
        <w:t>“</w:t>
      </w:r>
      <w:r w:rsidRPr="00594103">
        <w:rPr>
          <w:rFonts w:ascii="Century Gothic" w:hAnsi="Century Gothic" w:cs="Arial"/>
          <w:bCs/>
        </w:rPr>
        <w:t>tengan por objeto la adquisición en el mercado internacional de los elementos que a continuación se indican […]</w:t>
      </w:r>
      <w:r>
        <w:rPr>
          <w:rFonts w:ascii="Century Gothic" w:hAnsi="Century Gothic" w:cs="Arial"/>
          <w:bCs/>
        </w:rPr>
        <w:t>”</w:t>
      </w:r>
      <w:r w:rsidRPr="00594103">
        <w:rPr>
          <w:rFonts w:ascii="Century Gothic" w:hAnsi="Century Gothic" w:cs="Arial"/>
          <w:bCs/>
        </w:rPr>
        <w:t xml:space="preserve">. </w:t>
      </w:r>
    </w:p>
    <w:p w:rsidRPr="00594103" w:rsidR="00D47096" w:rsidP="00D47096" w:rsidRDefault="00D47096" w14:paraId="1F6E33E3" w14:textId="77777777">
      <w:pPr>
        <w:spacing w:line="276" w:lineRule="auto"/>
        <w:ind w:firstLine="708"/>
        <w:jc w:val="both"/>
        <w:rPr>
          <w:rFonts w:ascii="Century Gothic" w:hAnsi="Century Gothic" w:cs="Arial"/>
          <w:bCs/>
        </w:rPr>
      </w:pPr>
      <w:r w:rsidRPr="00594103">
        <w:rPr>
          <w:rFonts w:ascii="Century Gothic" w:hAnsi="Century Gothic" w:cs="Arial"/>
          <w:bCs/>
        </w:rPr>
        <w:t xml:space="preserve">Con base en lo indicado, se podría hacer una clasificación general entre regímenes especiales que atienden principalmente al sujeto, y regímenes especiales que atienden principalmente al objeto. Esta clasificación conceptual tiene como efecto práctico resaltar que unos y otros son regímenes especiales. Así, por ejemplo, tanto el régimen jurídico de las empresas industriales y comerciales del Estado en competencia o mercados regulados, como el régimen del artículo 66 de la Ley 1562 de 2012, son regímenes especiales a la luz del derecho de la contratación estatal. Por lo mismo, tanto uno como otro régimen están sometidos, en principio, al derecho privado, pero con algunas particularidades propias del derecho público. </w:t>
      </w:r>
    </w:p>
    <w:p w:rsidRPr="00594103" w:rsidR="00D47096" w:rsidP="00D47096" w:rsidRDefault="00D47096" w14:paraId="61C94023" w14:textId="77777777">
      <w:pPr>
        <w:spacing w:line="276" w:lineRule="auto"/>
        <w:ind w:firstLine="709"/>
        <w:jc w:val="both"/>
        <w:rPr>
          <w:rFonts w:ascii="Century Gothic" w:hAnsi="Century Gothic" w:cs="Arial"/>
          <w:bCs/>
        </w:rPr>
      </w:pPr>
      <w:r w:rsidRPr="00594103">
        <w:rPr>
          <w:rFonts w:ascii="Century Gothic" w:hAnsi="Century Gothic" w:cs="Arial"/>
          <w:bCs/>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rsidRPr="00594103" w:rsidR="00D47096" w:rsidP="00D47096" w:rsidRDefault="00D47096" w14:paraId="00AE7328" w14:textId="77777777">
      <w:pPr>
        <w:spacing w:line="276" w:lineRule="auto"/>
        <w:ind w:firstLine="709"/>
        <w:jc w:val="both"/>
        <w:rPr>
          <w:rFonts w:ascii="Century Gothic" w:hAnsi="Century Gothic" w:cs="Arial"/>
          <w:bCs/>
        </w:rPr>
      </w:pPr>
      <w:r w:rsidRPr="00594103">
        <w:rPr>
          <w:rFonts w:ascii="Century Gothic" w:hAnsi="Century Gothic" w:cs="Arial"/>
          <w:bCs/>
        </w:rPr>
        <w:t xml:space="preserve">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 que preceptúa lo siguiente: </w:t>
      </w:r>
    </w:p>
    <w:p w:rsidR="00D47096" w:rsidP="00D47096" w:rsidRDefault="00D47096" w14:paraId="3F848359" w14:textId="77777777">
      <w:pPr>
        <w:spacing w:after="0" w:line="240" w:lineRule="auto"/>
        <w:ind w:left="708" w:right="758"/>
        <w:jc w:val="both"/>
        <w:rPr>
          <w:rFonts w:ascii="Century Gothic" w:hAnsi="Century Gothic" w:cs="Arial"/>
          <w:bCs/>
          <w:sz w:val="20"/>
          <w:szCs w:val="20"/>
        </w:rPr>
      </w:pPr>
      <w:r w:rsidRPr="00B84652">
        <w:rPr>
          <w:rFonts w:ascii="Century Gothic" w:hAnsi="Century Gothic" w:cs="Arial"/>
          <w:bCs/>
          <w:sz w:val="20"/>
          <w:szCs w:val="20"/>
        </w:rPr>
        <w:t>“Artículo 13. Principios generales de la actividad contractual para entidades no sometidas al estatuto general de contratación de la administración pública.</w:t>
      </w:r>
      <w:r w:rsidRPr="00B84652">
        <w:rPr>
          <w:rFonts w:ascii="Century Gothic" w:hAnsi="Century Gothic" w:cs="Arial"/>
          <w:b/>
          <w:sz w:val="20"/>
          <w:szCs w:val="20"/>
        </w:rPr>
        <w:t xml:space="preserve"> </w:t>
      </w:r>
      <w:r w:rsidRPr="00B84652">
        <w:rPr>
          <w:rFonts w:ascii="Century Gothic" w:hAnsi="Century Gothic" w:cs="Arial"/>
          <w:bCs/>
          <w:sz w:val="20"/>
          <w:szCs w:val="20"/>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w:history="1" w:anchor="209" r:id="rId13">
        <w:r w:rsidRPr="00B84652">
          <w:rPr>
            <w:rFonts w:ascii="Century Gothic" w:hAnsi="Century Gothic" w:cs="Arial"/>
            <w:bCs/>
            <w:sz w:val="20"/>
            <w:szCs w:val="20"/>
          </w:rPr>
          <w:t>209</w:t>
        </w:r>
      </w:hyperlink>
      <w:r w:rsidRPr="00B84652">
        <w:rPr>
          <w:rFonts w:ascii="Century Gothic" w:hAnsi="Century Gothic" w:cs="Arial"/>
          <w:bCs/>
          <w:sz w:val="20"/>
          <w:szCs w:val="20"/>
        </w:rPr>
        <w:t> y </w:t>
      </w:r>
      <w:hyperlink w:history="1" w:anchor="267" r:id="rId14">
        <w:r w:rsidRPr="00B84652">
          <w:rPr>
            <w:rFonts w:ascii="Century Gothic" w:hAnsi="Century Gothic" w:cs="Arial"/>
            <w:bCs/>
            <w:sz w:val="20"/>
            <w:szCs w:val="20"/>
          </w:rPr>
          <w:t>267</w:t>
        </w:r>
      </w:hyperlink>
      <w:r w:rsidRPr="00B84652">
        <w:rPr>
          <w:rFonts w:ascii="Century Gothic" w:hAnsi="Century Gothic" w:cs="Arial"/>
          <w:bCs/>
          <w:sz w:val="20"/>
          <w:szCs w:val="20"/>
        </w:rPr>
        <w:t> de la Constitución Política, respectivamente según sea el caso y estarán sometidas al régimen de inhabilidades e incompatibilidades previsto legalmente para la contratación estatal”.</w:t>
      </w:r>
    </w:p>
    <w:p w:rsidR="00012B30" w:rsidP="00D47096" w:rsidRDefault="00012B30" w14:paraId="4BDDDFEB" w14:textId="77777777">
      <w:pPr>
        <w:spacing w:after="0" w:line="240" w:lineRule="auto"/>
        <w:ind w:left="708" w:right="758"/>
        <w:jc w:val="both"/>
        <w:rPr>
          <w:rFonts w:ascii="Century Gothic" w:hAnsi="Century Gothic" w:cs="Arial"/>
          <w:bCs/>
          <w:sz w:val="20"/>
          <w:szCs w:val="20"/>
        </w:rPr>
      </w:pPr>
    </w:p>
    <w:p w:rsidRPr="00594103" w:rsidR="00D47096" w:rsidP="00D47096" w:rsidRDefault="00D47096" w14:paraId="59AFC18D" w14:textId="77777777">
      <w:pPr>
        <w:spacing w:line="276" w:lineRule="auto"/>
        <w:jc w:val="both"/>
        <w:rPr>
          <w:rFonts w:ascii="Century Gothic" w:hAnsi="Century Gothic" w:cs="Arial"/>
          <w:bCs/>
        </w:rPr>
      </w:pPr>
      <w:r w:rsidRPr="00594103">
        <w:rPr>
          <w:rFonts w:ascii="Century Gothic" w:hAnsi="Century Gothic" w:cs="Arial"/>
          <w:bCs/>
        </w:rPr>
        <w:tab/>
      </w:r>
      <w:r w:rsidRPr="00594103">
        <w:rPr>
          <w:rFonts w:ascii="Century Gothic" w:hAnsi="Century Gothic" w:cs="Arial"/>
          <w:bCs/>
        </w:rPr>
        <w:t>De conformidad con lo establecido en este artículo, las entidades estatales que cuenten con un régimen contractual excepcional al del EGCAP, esto es, regímenes especiales, aplicarán en desarrollo de su actividad contractual […] los principios de la función administrativa y de la gestión fiscal […] y estarán sometidas al régimen de inhabilidades e incompatibilidades previsto legalmente para la contratación estatal. La interpretación más adecuada de esta disposición implica admitir que su ámbito de aplicación ampara los supuestos de las entidades que tienen, como regla general, un régimen especial de contratación –como es el caso de las ESP o las ESE–, como cuando la entidad tenga un régimen especial solamente para cierto tipo de contratos, como es el supuesto del artículo 66 de la Ley 1523 de 2012.</w:t>
      </w:r>
    </w:p>
    <w:p w:rsidRPr="00594103" w:rsidR="00D47096" w:rsidP="00D47096" w:rsidRDefault="00D47096" w14:paraId="46A129D2" w14:textId="77777777">
      <w:pPr>
        <w:spacing w:before="120" w:line="276" w:lineRule="auto"/>
        <w:ind w:firstLine="709"/>
        <w:jc w:val="both"/>
        <w:rPr>
          <w:rFonts w:ascii="Century Gothic" w:hAnsi="Century Gothic" w:eastAsia="Calibri" w:cs="Arial"/>
        </w:rPr>
      </w:pPr>
      <w:r w:rsidRPr="6E32F7E7">
        <w:rPr>
          <w:rFonts w:ascii="Century Gothic" w:hAnsi="Century Gothic" w:eastAsia="Calibri" w:cs="Arial"/>
        </w:rPr>
        <w:t>Ahora bien, encaminando la respuesta a las preguntas allegadas a esta entidad valga decir al respecto de Empresas Sociales del Estado -en adelante ESE- que, dentro de la estructura de la Administración pública se encuentran las entidades descentralizadas por servicios, y dentro de dicha categoría se ubican las ESE-, las cuales, sin perjuicio del control de tutela, tienen personería jurídica, autonomía administrativa y patrimonio propio.</w:t>
      </w:r>
      <w:r w:rsidRPr="6E32F7E7">
        <w:rPr>
          <w:rFonts w:ascii="Century Gothic" w:hAnsi="Century Gothic" w:eastAsia="Calibri" w:cs="Arial"/>
          <w:b/>
          <w:bCs/>
        </w:rPr>
        <w:t xml:space="preserve"> </w:t>
      </w:r>
      <w:r w:rsidRPr="6E32F7E7">
        <w:rPr>
          <w:rFonts w:ascii="Century Gothic" w:hAnsi="Century Gothic" w:eastAsia="Calibri" w:cs="Arial"/>
        </w:rPr>
        <w:t xml:space="preserve">Estas entidades, de acuerdo a lo que establece el artículo 83 de la Ley 489 de 1998, son “creadas por la Nación o por las entidades territoriales para la prestación en forma directa de servicios de salud”. Su régimen jurídico lo conforman las Leyes 100 de 1993 y 344 de 1996, así como también la Ley 489 de 1998, pero esta última únicamente en relación con los asuntos no regulados en las dos leyes mencionadas o en las normas que las reglamentan y complementan o en las que pudieran llegar a hacerlo. </w:t>
      </w:r>
    </w:p>
    <w:p w:rsidRPr="00594103" w:rsidR="00D47096" w:rsidP="00D47096" w:rsidRDefault="00D47096" w14:paraId="2FCE30D6" w14:textId="77777777">
      <w:pPr>
        <w:spacing w:before="120" w:line="276" w:lineRule="auto"/>
        <w:jc w:val="both"/>
        <w:rPr>
          <w:rFonts w:ascii="Century Gothic" w:hAnsi="Century Gothic" w:eastAsia="Calibri" w:cs="Arial"/>
        </w:rPr>
      </w:pPr>
      <w:r w:rsidRPr="00594103">
        <w:rPr>
          <w:rFonts w:ascii="Century Gothic" w:hAnsi="Century Gothic" w:eastAsia="Calibri" w:cs="Arial"/>
        </w:rPr>
        <w:tab/>
      </w:r>
      <w:r w:rsidRPr="00594103">
        <w:rPr>
          <w:rFonts w:ascii="Century Gothic" w:hAnsi="Century Gothic" w:eastAsia="Calibri" w:cs="Arial"/>
        </w:rPr>
        <w:t xml:space="preserve">Considerando la actividad desarrollada, se reitera, la prestación de los servicios de salud, el régimen jurídico aplicable a estas empresas difiere del que </w:t>
      </w:r>
      <w:r w:rsidRPr="00594103">
        <w:rPr>
          <w:rFonts w:ascii="Century Gothic" w:hAnsi="Century Gothic" w:eastAsia="Calibri" w:cs="Arial"/>
        </w:rPr>
        <w:t>corresponde a otras entidades descentralizadas funcionalmente o por servicios, como las superintendencias con personería jurídica, los establecimientos públicos o las unidades administrativas especiales, pues la regla general en las ESE es el derecho privado, salvo lo relacionado con cláusulas exorbitantes, materia en relación con la cual están habilitadas para aplicar las disposiciones del EGCAP. Al respecto, el artículo 195, numeral 6, de la Ley 100 de 1993, establece lo siguiente:</w:t>
      </w:r>
    </w:p>
    <w:p w:rsidRPr="00B84652" w:rsidR="00D47096" w:rsidP="00D47096" w:rsidRDefault="00D47096" w14:paraId="34F573F8" w14:textId="77777777">
      <w:pPr>
        <w:spacing w:line="240" w:lineRule="auto"/>
        <w:ind w:left="709" w:right="709"/>
        <w:jc w:val="both"/>
        <w:rPr>
          <w:rFonts w:ascii="Century Gothic" w:hAnsi="Century Gothic" w:eastAsia="Calibri" w:cs="Arial"/>
          <w:sz w:val="20"/>
          <w:szCs w:val="20"/>
        </w:rPr>
      </w:pPr>
      <w:r w:rsidRPr="00B84652">
        <w:rPr>
          <w:rFonts w:ascii="Century Gothic" w:hAnsi="Century Gothic" w:eastAsia="Calibri" w:cs="Arial"/>
          <w:sz w:val="20"/>
          <w:szCs w:val="20"/>
        </w:rPr>
        <w:t xml:space="preserve">“ARTICULO. 195.-Régimen jurídico.  Reglamentado por el Decreto Nacional 1876 de 1994. Las empresas sociales de salud se someterán al siguiente régimen jurídico: Ver art. 2, Decreto Nacional 1919 de 2002. </w:t>
      </w:r>
    </w:p>
    <w:p w:rsidRPr="00B84652" w:rsidR="00D47096" w:rsidP="00D47096" w:rsidRDefault="00D47096" w14:paraId="476EC636" w14:textId="77777777">
      <w:pPr>
        <w:spacing w:line="240" w:lineRule="auto"/>
        <w:ind w:right="709"/>
        <w:jc w:val="both"/>
        <w:rPr>
          <w:rFonts w:ascii="Century Gothic" w:hAnsi="Century Gothic" w:eastAsia="Calibri" w:cs="Arial"/>
          <w:sz w:val="20"/>
          <w:szCs w:val="20"/>
        </w:rPr>
      </w:pPr>
      <w:r w:rsidRPr="00B84652">
        <w:rPr>
          <w:rFonts w:ascii="Century Gothic" w:hAnsi="Century Gothic" w:eastAsia="Calibri" w:cs="Arial"/>
          <w:sz w:val="20"/>
          <w:szCs w:val="20"/>
        </w:rPr>
        <w:tab/>
      </w:r>
      <w:r w:rsidRPr="00B84652">
        <w:rPr>
          <w:rFonts w:ascii="Century Gothic" w:hAnsi="Century Gothic" w:eastAsia="Calibri" w:cs="Arial"/>
          <w:sz w:val="20"/>
          <w:szCs w:val="20"/>
        </w:rPr>
        <w:t>[…]</w:t>
      </w:r>
    </w:p>
    <w:p w:rsidRPr="00B84652" w:rsidR="00D47096" w:rsidP="00D47096" w:rsidRDefault="00D47096" w14:paraId="7FB6ECA4" w14:textId="77777777">
      <w:pPr>
        <w:spacing w:line="240" w:lineRule="auto"/>
        <w:ind w:left="709" w:right="709"/>
        <w:jc w:val="both"/>
        <w:rPr>
          <w:rFonts w:ascii="Century Gothic" w:hAnsi="Century Gothic" w:eastAsia="Calibri" w:cs="Arial"/>
          <w:sz w:val="20"/>
          <w:szCs w:val="20"/>
        </w:rPr>
      </w:pPr>
      <w:r w:rsidRPr="00B84652">
        <w:rPr>
          <w:rFonts w:ascii="Century Gothic" w:hAnsi="Century Gothic" w:eastAsia="Calibri" w:cs="Arial"/>
          <w:sz w:val="20"/>
          <w:szCs w:val="20"/>
        </w:rPr>
        <w:t>6.  En materia contractual se regirá por el derecho privado, pero podrá discrecionalmente utilizar las cláusulas exorbitantes previstas en el estatuto general de contratación de la administración pública”.</w:t>
      </w:r>
    </w:p>
    <w:p w:rsidRPr="00594103" w:rsidR="00D47096" w:rsidP="00D47096" w:rsidRDefault="00D47096" w14:paraId="27A1466B" w14:textId="77777777">
      <w:pPr>
        <w:spacing w:line="276" w:lineRule="auto"/>
        <w:jc w:val="both"/>
        <w:rPr>
          <w:rFonts w:ascii="Century Gothic" w:hAnsi="Century Gothic" w:eastAsia="Calibri" w:cs="Arial"/>
        </w:rPr>
      </w:pPr>
      <w:r w:rsidRPr="00594103">
        <w:rPr>
          <w:rFonts w:ascii="Century Gothic" w:hAnsi="Century Gothic" w:eastAsia="Calibri" w:cs="Arial"/>
        </w:rPr>
        <w:tab/>
      </w:r>
      <w:r w:rsidRPr="00594103">
        <w:rPr>
          <w:rFonts w:ascii="Century Gothic" w:hAnsi="Century Gothic" w:eastAsia="Calibri" w:cs="Arial"/>
        </w:rPr>
        <w:t xml:space="preserve">En esta medida, las empresas sociales del Estado no están sometidas al EGCAP ni a las normas que lo reglamentan o complementan, pues, por disposición expresa de la norma transcrita, sus contratos se rigen por el derecho privado. </w:t>
      </w:r>
      <w:bookmarkStart w:name="_Hlk41238857" w:id="4"/>
      <w:r w:rsidRPr="00594103">
        <w:rPr>
          <w:rFonts w:ascii="Century Gothic" w:hAnsi="Century Gothic" w:eastAsia="Calibri" w:cs="Arial"/>
        </w:rPr>
        <w:t xml:space="preserve">Con todo, como se dijo anteriormente, tales entidades deben tener en cuenta y aplicar los </w:t>
      </w:r>
      <w:r>
        <w:rPr>
          <w:rFonts w:ascii="Century Gothic" w:hAnsi="Century Gothic" w:eastAsia="Calibri" w:cs="Arial"/>
        </w:rPr>
        <w:t>“</w:t>
      </w:r>
      <w:r w:rsidRPr="00594103">
        <w:rPr>
          <w:rFonts w:ascii="Century Gothic" w:hAnsi="Century Gothic" w:eastAsia="Calibri" w:cs="Arial"/>
        </w:rPr>
        <w:t>principios generales de la actividad contractual para entidades no sometidas al estatuto general de contratación de la administración pública</w:t>
      </w:r>
      <w:r>
        <w:rPr>
          <w:rFonts w:ascii="Century Gothic" w:hAnsi="Century Gothic" w:eastAsia="Calibri" w:cs="Arial"/>
        </w:rPr>
        <w:t>”</w:t>
      </w:r>
      <w:r w:rsidRPr="00594103">
        <w:rPr>
          <w:rFonts w:ascii="Century Gothic" w:hAnsi="Century Gothic" w:eastAsia="Calibri" w:cs="Arial"/>
        </w:rPr>
        <w:t xml:space="preserve">, consagrados en el artículo 13 de la Ley 1150 de 2007, así como los principios de la función administrativa y de la gestión fiscal, contenidos, respectivamente, en los artículos 209 y 267 de la Constitución Política. </w:t>
      </w:r>
    </w:p>
    <w:p w:rsidRPr="00594103" w:rsidR="00D47096" w:rsidP="00D47096" w:rsidRDefault="00D47096" w14:paraId="71172DA4" w14:textId="77777777">
      <w:pPr>
        <w:tabs>
          <w:tab w:val="left" w:pos="709"/>
        </w:tabs>
        <w:spacing w:before="120" w:line="276" w:lineRule="auto"/>
        <w:jc w:val="both"/>
        <w:rPr>
          <w:rFonts w:ascii="Century Gothic" w:hAnsi="Century Gothic" w:eastAsia="Calibri" w:cs="Arial"/>
        </w:rPr>
      </w:pPr>
      <w:r w:rsidRPr="00594103">
        <w:rPr>
          <w:rFonts w:ascii="Century Gothic" w:hAnsi="Century Gothic" w:eastAsia="Calibri" w:cs="Arial"/>
        </w:rPr>
        <w:tab/>
      </w:r>
      <w:r w:rsidRPr="00594103">
        <w:rPr>
          <w:rFonts w:ascii="Century Gothic" w:hAnsi="Century Gothic" w:eastAsia="Calibri" w:cs="Arial"/>
        </w:rPr>
        <w:t>Esta también ha sido la interpretación del Ministerio de la Protección Social, que en Concepto No. 201942301304712 de 2019, en reiteración de lo expuesto por la Sala de Consulta y Servicio Civil del Consejo de Estado</w:t>
      </w:r>
      <w:r w:rsidRPr="00594103">
        <w:rPr>
          <w:rStyle w:val="Refdenotaalpie"/>
          <w:rFonts w:ascii="Century Gothic" w:hAnsi="Century Gothic" w:eastAsia="Calibri" w:cs="Arial"/>
        </w:rPr>
        <w:footnoteReference w:id="8"/>
      </w:r>
      <w:r w:rsidRPr="00594103">
        <w:rPr>
          <w:rFonts w:ascii="Century Gothic" w:hAnsi="Century Gothic" w:eastAsia="Calibri" w:cs="Arial"/>
        </w:rPr>
        <w:t xml:space="preserve">, expresó que </w:t>
      </w:r>
      <w:r>
        <w:rPr>
          <w:rFonts w:ascii="Century Gothic" w:hAnsi="Century Gothic" w:eastAsia="Calibri" w:cs="Arial"/>
        </w:rPr>
        <w:t>“</w:t>
      </w:r>
      <w:r w:rsidRPr="00594103">
        <w:rPr>
          <w:rFonts w:ascii="Century Gothic" w:hAnsi="Century Gothic" w:eastAsia="Calibri" w:cs="Arial"/>
        </w:rPr>
        <w:t>[…] el régimen de contratación de las Empresas Sociales del Estado, está sometido al derecho privado por disposición legal y la facultad discrecional de pactar las cláusulas excepcionales dota a las mentadas entidades de herramientas especiales para garantizar ciertos fines</w:t>
      </w:r>
      <w:r>
        <w:rPr>
          <w:rFonts w:ascii="Century Gothic" w:hAnsi="Century Gothic" w:eastAsia="Calibri" w:cs="Arial"/>
        </w:rPr>
        <w:t>”</w:t>
      </w:r>
      <w:r w:rsidRPr="00594103">
        <w:rPr>
          <w:rStyle w:val="Refdenotaalpie"/>
          <w:rFonts w:ascii="Century Gothic" w:hAnsi="Century Gothic" w:eastAsia="Calibri" w:cs="Arial"/>
        </w:rPr>
        <w:footnoteReference w:id="9"/>
      </w:r>
      <w:r w:rsidRPr="00594103">
        <w:rPr>
          <w:rFonts w:ascii="Century Gothic" w:hAnsi="Century Gothic" w:eastAsia="Calibri" w:cs="Arial"/>
        </w:rPr>
        <w:t xml:space="preserve">. </w:t>
      </w:r>
    </w:p>
    <w:p w:rsidRPr="00594103" w:rsidR="00D47096" w:rsidP="00D47096" w:rsidRDefault="00D47096" w14:paraId="213EE451" w14:textId="77777777">
      <w:pPr>
        <w:spacing w:before="120" w:line="276" w:lineRule="auto"/>
        <w:ind w:firstLine="709"/>
        <w:jc w:val="both"/>
        <w:rPr>
          <w:rFonts w:ascii="Century Gothic" w:hAnsi="Century Gothic" w:eastAsia="Calibri" w:cs="Arial"/>
        </w:rPr>
      </w:pPr>
      <w:r w:rsidRPr="00594103">
        <w:rPr>
          <w:rFonts w:ascii="Century Gothic" w:hAnsi="Century Gothic" w:eastAsia="Calibri" w:cs="Arial"/>
        </w:rPr>
        <w:t xml:space="preserve">Por su parte la Sección Tercera del Consejo de Estado al referirse al régimen contractual de las empresas sociales del Estado, manifestó que </w:t>
      </w:r>
      <w:r>
        <w:rPr>
          <w:rFonts w:ascii="Century Gothic" w:hAnsi="Century Gothic" w:eastAsia="Calibri" w:cs="Arial"/>
        </w:rPr>
        <w:t>“</w:t>
      </w:r>
      <w:r w:rsidRPr="00594103">
        <w:rPr>
          <w:rFonts w:ascii="Century Gothic" w:hAnsi="Century Gothic" w:eastAsia="Calibri" w:cs="Arial"/>
        </w:rPr>
        <w:t xml:space="preserve">la entidad estatal </w:t>
      </w:r>
      <w:r w:rsidRPr="00594103">
        <w:rPr>
          <w:rFonts w:ascii="Century Gothic" w:hAnsi="Century Gothic" w:eastAsia="Calibri" w:cs="Arial"/>
        </w:rPr>
        <w:t>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w:t>
      </w:r>
      <w:r>
        <w:rPr>
          <w:rFonts w:ascii="Century Gothic" w:hAnsi="Century Gothic" w:eastAsia="Calibri" w:cs="Arial"/>
        </w:rPr>
        <w:t>”</w:t>
      </w:r>
      <w:r w:rsidRPr="00594103">
        <w:rPr>
          <w:rStyle w:val="Refdenotaalpie"/>
          <w:rFonts w:ascii="Century Gothic" w:hAnsi="Century Gothic" w:eastAsia="Calibri" w:cs="Arial"/>
        </w:rPr>
        <w:footnoteReference w:id="10"/>
      </w:r>
      <w:r w:rsidRPr="00594103">
        <w:rPr>
          <w:rFonts w:ascii="Century Gothic" w:hAnsi="Century Gothic" w:eastAsia="Calibri" w:cs="Arial"/>
        </w:rPr>
        <w:t>.</w:t>
      </w:r>
    </w:p>
    <w:p w:rsidR="00E737A6" w:rsidP="00E737A6" w:rsidRDefault="00D47096" w14:paraId="0C0BA1FF" w14:textId="77777777">
      <w:pPr>
        <w:spacing w:before="120" w:line="276" w:lineRule="auto"/>
        <w:ind w:firstLine="709"/>
        <w:jc w:val="both"/>
        <w:rPr>
          <w:rFonts w:ascii="Century Gothic" w:hAnsi="Century Gothic" w:eastAsia="Calibri" w:cs="Arial"/>
        </w:rPr>
      </w:pPr>
      <w:r w:rsidRPr="6E32F7E7">
        <w:rPr>
          <w:rFonts w:ascii="Century Gothic" w:hAnsi="Century Gothic" w:eastAsia="Calibri" w:cs="Arial"/>
        </w:rPr>
        <w:t>De todo lo anteriormente enunciado se puede colegir que, aunque los contratos suscritos por las empresas sociales del Estado están excluidos del EGCAP, lo cierto es que no se rigen exclusivamente por el derecho civil y comercial, pues, conforme al artículo 13 de la Ley 1150 de 2007, a estos les aplican tanto los principios de la función administrativa y de la gestión fiscal, así como el régimen de inhabilidades e incompatibilidades, temáticas tratadas y reguladas en el referido estatuto.</w:t>
      </w:r>
      <w:bookmarkEnd w:id="4"/>
    </w:p>
    <w:p w:rsidRPr="00E737A6" w:rsidR="00D47096" w:rsidP="00E737A6" w:rsidRDefault="00E737A6" w14:paraId="16198861" w14:textId="25C9E880">
      <w:pPr>
        <w:spacing w:before="120" w:line="276" w:lineRule="auto"/>
        <w:ind w:firstLine="708"/>
        <w:jc w:val="both"/>
        <w:rPr>
          <w:rFonts w:ascii="Century Gothic" w:hAnsi="Century Gothic" w:eastAsia="Calibri" w:cs="Arial"/>
        </w:rPr>
      </w:pPr>
      <w:r>
        <w:rPr>
          <w:rFonts w:ascii="Century Gothic" w:hAnsi="Century Gothic" w:eastAsia="Calibri" w:cs="Arial"/>
        </w:rPr>
        <w:t>Ahora bien, s</w:t>
      </w:r>
      <w:r w:rsidRPr="00594103" w:rsidR="00D47096">
        <w:rPr>
          <w:rFonts w:ascii="Century Gothic" w:hAnsi="Century Gothic" w:eastAsia="Calibri" w:cs="Arial"/>
          <w:lang w:val="es-ES_tradnl"/>
        </w:rPr>
        <w:t xml:space="preserve">i se combina lo reseñado en este concepto, puede decirse que una de las reglas para las ESE, que se deriva de las normas de derecho público estudiadas, consiste en el deber de expedir un manual de contratación en el cual, se itera, deben concretarse los principios de la función administrativa y de la gestión fiscal, determinarse la manera concreta como dichos principios moldearán el derecho privado en el ejercicio de la actividad contractual. De esta manera, los potenciales oferentes podrán identificar las reglas que aplica la entidad en sus procesos contractuales. </w:t>
      </w:r>
    </w:p>
    <w:p w:rsidRPr="00594103" w:rsidR="00D47096" w:rsidP="00D47096" w:rsidRDefault="00D47096" w14:paraId="6C91A5B0" w14:textId="77777777">
      <w:pPr>
        <w:spacing w:line="276" w:lineRule="auto"/>
        <w:ind w:firstLine="708"/>
        <w:jc w:val="both"/>
        <w:rPr>
          <w:rFonts w:ascii="Century Gothic" w:hAnsi="Century Gothic" w:eastAsia="Calibri" w:cs="Arial"/>
          <w:lang w:val="es-ES_tradnl"/>
        </w:rPr>
      </w:pPr>
      <w:r w:rsidRPr="00594103">
        <w:rPr>
          <w:rFonts w:ascii="Century Gothic" w:hAnsi="Century Gothic" w:eastAsia="Calibri" w:cs="Arial"/>
          <w:lang w:val="es-ES_tradnl"/>
        </w:rPr>
        <w:t xml:space="preserve">Sobre este punto particular es preciso destacar que </w:t>
      </w:r>
      <w:r w:rsidRPr="00EE5065">
        <w:rPr>
          <w:rFonts w:ascii="Century Gothic" w:hAnsi="Century Gothic" w:eastAsia="Calibri" w:cs="Arial"/>
          <w:b/>
          <w:bCs/>
          <w:lang w:val="es-ES_tradnl"/>
        </w:rPr>
        <w:t>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sidRPr="00594103">
        <w:rPr>
          <w:rStyle w:val="Refdenotaalpie"/>
          <w:rFonts w:ascii="Century Gothic" w:hAnsi="Century Gothic" w:eastAsia="Calibri" w:cs="Arial"/>
          <w:lang w:val="es-ES_tradnl"/>
        </w:rPr>
        <w:footnoteReference w:id="11"/>
      </w:r>
      <w:r w:rsidRPr="00594103">
        <w:rPr>
          <w:rFonts w:ascii="Century Gothic" w:hAnsi="Century Gothic" w:eastAsia="Calibri" w:cs="Arial"/>
          <w:lang w:val="es-ES_tradnl"/>
        </w:rPr>
        <w:t>. Ahora bien, dicha libertad es similar a la reconocida a los particulares por el derecho privado, pero no es idéntica a aquella, en la medida en que encuentra importantes limitantes.</w:t>
      </w:r>
    </w:p>
    <w:p w:rsidRPr="00594103" w:rsidR="00D47096" w:rsidP="58922DE6" w:rsidRDefault="00D47096" w14:paraId="2A8E3079" w14:textId="77777777">
      <w:pPr>
        <w:spacing w:line="276" w:lineRule="auto"/>
        <w:ind w:firstLine="709"/>
        <w:jc w:val="both"/>
        <w:rPr>
          <w:rFonts w:ascii="Century Gothic" w:hAnsi="Century Gothic" w:eastAsia="Calibri" w:cs="Arial"/>
          <w:lang w:val="es-ES"/>
        </w:rPr>
      </w:pPr>
      <w:r w:rsidRPr="58922DE6" w:rsidR="00D47096">
        <w:rPr>
          <w:rFonts w:ascii="Century Gothic" w:hAnsi="Century Gothic" w:eastAsia="Calibri" w:cs="Arial"/>
          <w:lang w:val="es-ES"/>
        </w:rPr>
        <w:t xml:space="preserve">La elaboración de esos manuales debe contemplar procedimientos de selección públicos, en los cuales se garantice la imparcialidad de la entidad </w:t>
      </w:r>
      <w:r w:rsidRPr="58922DE6" w:rsidR="00D47096">
        <w:rPr>
          <w:rFonts w:ascii="Century Gothic" w:hAnsi="Century Gothic" w:eastAsia="Calibri" w:cs="Arial"/>
          <w:lang w:val="es-ES"/>
        </w:rPr>
        <w:t>contratante, la igualdad entre los oferentes, y en los cuales se respeten los principios constitucionales relevantes, como la eficacia, economía, celeridad, moralidad, entre otros, es decir los principios de la función administrativa y, también, los de la gestión fiscal.</w:t>
      </w:r>
      <w:r w:rsidRPr="58922DE6" w:rsidR="00D47096">
        <w:rPr>
          <w:rFonts w:ascii="Century Gothic" w:hAnsi="Century Gothic" w:eastAsia="Calibri" w:cs="Arial"/>
          <w:lang w:val="es-ES"/>
        </w:rPr>
        <w:t xml:space="preserve"> </w:t>
      </w:r>
      <w:r w:rsidRPr="58922DE6" w:rsidR="00D47096">
        <w:rPr>
          <w:rFonts w:ascii="Century Gothic" w:hAnsi="Century Gothic" w:eastAsia="Calibri" w:cs="Arial"/>
          <w:lang w:val="es-ES"/>
        </w:rPr>
        <w:t>La forma precisa en que se concretan estos principios, así como la manera como se armonizan con su régimen de derecho privado, es un asunto que debe decidir la entidad en el ejercicio de la discrecionalidad concedida por el ordenamiento jurídico.</w:t>
      </w:r>
      <w:r w:rsidRPr="58922DE6" w:rsidR="00D47096">
        <w:rPr>
          <w:rFonts w:ascii="Century Gothic" w:hAnsi="Century Gothic" w:eastAsia="Calibri" w:cs="Arial"/>
          <w:lang w:val="es-ES"/>
        </w:rPr>
        <w:t xml:space="preserve"> No obstante, se considera que, como mínimo, en las reglas diseñadas por la entidad se deben indicar cuáles son sus procedimientos de selección y una descripción de cada uno de ellos, al igual que las etapas que los componen, los cuales deben estar alineados con la garantía de los principios de la función administrativa</w:t>
      </w:r>
      <w:r w:rsidRPr="58922DE6">
        <w:rPr>
          <w:rStyle w:val="Refdenotaalpie"/>
          <w:rFonts w:ascii="Century Gothic" w:hAnsi="Century Gothic" w:eastAsia="Calibri" w:cs="Arial"/>
          <w:lang w:val="es-ES"/>
        </w:rPr>
        <w:footnoteReference w:id="12"/>
      </w:r>
      <w:r w:rsidRPr="58922DE6" w:rsidR="00D47096">
        <w:rPr>
          <w:rFonts w:ascii="Century Gothic" w:hAnsi="Century Gothic" w:eastAsia="Calibri" w:cs="Arial"/>
          <w:lang w:val="es-ES"/>
        </w:rPr>
        <w:t xml:space="preserve">. </w:t>
      </w:r>
    </w:p>
    <w:p w:rsidRPr="00594103" w:rsidR="00D47096" w:rsidP="00D47096" w:rsidRDefault="00D47096" w14:paraId="2BE65C36" w14:textId="77777777">
      <w:pPr>
        <w:spacing w:line="276" w:lineRule="auto"/>
        <w:ind w:firstLine="709"/>
        <w:jc w:val="both"/>
        <w:rPr>
          <w:rFonts w:ascii="Century Gothic" w:hAnsi="Century Gothic" w:eastAsia="Calibri" w:cs="Arial"/>
          <w:lang w:val="es-ES_tradnl"/>
        </w:rPr>
      </w:pPr>
      <w:r w:rsidRPr="00594103">
        <w:rPr>
          <w:rFonts w:ascii="Century Gothic" w:hAnsi="Century Gothic" w:eastAsia="Calibri" w:cs="Arial"/>
          <w:lang w:val="es-ES_tradnl"/>
        </w:rPr>
        <w:t>Además, los procedimientos de selección que creen las entidades de régimen especial en sus manuales de contratación deben estar acordes, en cuanto a sus etapas, publicidad, duración, requisitos y demás aspectos con los acuerdos comerciales suscritos por Colombia, en caso de que la entidad se encuentre dentro del ámbito de cobertura de algún acuerdo comercial.</w:t>
      </w:r>
    </w:p>
    <w:p w:rsidRPr="00594103" w:rsidR="00D47096" w:rsidP="58922DE6" w:rsidRDefault="00D47096" w14:paraId="3F6C5DAE" w14:textId="77777777">
      <w:pPr>
        <w:spacing w:line="276" w:lineRule="auto"/>
        <w:ind w:firstLine="709"/>
        <w:jc w:val="both"/>
        <w:rPr>
          <w:rFonts w:ascii="Century Gothic" w:hAnsi="Century Gothic" w:eastAsia="Calibri" w:cs="Arial"/>
          <w:lang w:val="es-ES"/>
        </w:rPr>
      </w:pPr>
      <w:r w:rsidRPr="58922DE6" w:rsidR="00D47096">
        <w:rPr>
          <w:rFonts w:ascii="Century Gothic" w:hAnsi="Century Gothic" w:eastAsia="Calibri" w:cs="Arial"/>
          <w:lang w:val="es-ES"/>
        </w:rPr>
        <w:t>De otro lado, existen ciertos contenidos determinados por el ordenamiento que no pueden ser modificados por los manuales internos, por tratarse de asuntos con reserva de ley.</w:t>
      </w:r>
      <w:r w:rsidRPr="58922DE6" w:rsidR="00D47096">
        <w:rPr>
          <w:rFonts w:ascii="Century Gothic" w:hAnsi="Century Gothic" w:eastAsia="Calibri" w:cs="Arial"/>
          <w:lang w:val="es-ES"/>
        </w:rPr>
        <w:t xml:space="preserve"> En este sentido, estos reglamentos internos de las entidades con régimen especial no pueden crear causales de inhabilidad o incompatibilidad, crear nuevos supuestos de conflictos de interés, prescribir requisitos de perfeccionamiento, tipologías contractuales, limitar la capacidad contractual establecida en la ley. En efecto, estos contenidos no pueden ser regulados o modificados por los manuales de contratación, ya que se trata de aspectos con reserva de ley o con congelación en el rango de nivel legal, por lo que un acto administrativo no podría alterarlos</w:t>
      </w:r>
      <w:r w:rsidRPr="58922DE6">
        <w:rPr>
          <w:rStyle w:val="Refdenotaalpie"/>
          <w:rFonts w:ascii="Century Gothic" w:hAnsi="Century Gothic" w:eastAsia="Calibri" w:cs="Arial"/>
          <w:lang w:val="es-ES"/>
        </w:rPr>
        <w:footnoteReference w:id="13"/>
      </w:r>
      <w:r w:rsidRPr="58922DE6" w:rsidR="00D47096">
        <w:rPr>
          <w:rFonts w:ascii="Century Gothic" w:hAnsi="Century Gothic" w:eastAsia="Calibri" w:cs="Arial"/>
          <w:lang w:val="es-ES"/>
        </w:rPr>
        <w:t>.</w:t>
      </w:r>
    </w:p>
    <w:p w:rsidRPr="00594103" w:rsidR="00D47096" w:rsidP="00D47096" w:rsidRDefault="00D47096" w14:paraId="3B52C2CA" w14:textId="77777777">
      <w:pPr>
        <w:spacing w:line="276" w:lineRule="auto"/>
        <w:ind w:firstLine="709"/>
        <w:jc w:val="both"/>
        <w:rPr>
          <w:rFonts w:ascii="Century Gothic" w:hAnsi="Century Gothic" w:eastAsia="Calibri" w:cs="Arial"/>
          <w:lang w:val="es-ES_tradnl"/>
        </w:rPr>
      </w:pPr>
      <w:r w:rsidRPr="00594103">
        <w:rPr>
          <w:rFonts w:ascii="Century Gothic" w:hAnsi="Century Gothic" w:eastAsia="Calibri" w:cs="Arial"/>
          <w:lang w:val="es-ES_tradnl"/>
        </w:rPr>
        <w:t xml:space="preserve">Sin perjuicio de lo anterior, existen múltiples contenidos que pueden ser objeto de regulación en el manual de contratación, por hacer parte del ámbito de configuración en desarrollo de su autonomía contractual que no riñe con la ley, como sería la definición de algunos requisitos de ejecución del contrato, con </w:t>
      </w:r>
      <w:r w:rsidRPr="00594103">
        <w:rPr>
          <w:rFonts w:ascii="Century Gothic" w:hAnsi="Century Gothic" w:eastAsia="Calibri" w:cs="Arial"/>
          <w:lang w:val="es-ES_tradnl"/>
        </w:rPr>
        <w:t>excepción de los que la ley imponga, la definición de si cierta actuación de la actividad contractual la debe realizar cierta dependencia de la entidad, establecer límites en cuanto a posibilidad de realizar adiciones, detallar los trámites internos que se surten al interior de la entidad y demás aspectos que hagan parte de su ámbito de configuración, por ser desarrollo de su autonomía en la configuración de su actividad contractual, que no desconocen los requisitos o parámetros establecidos en la Constitución o la ley.</w:t>
      </w:r>
    </w:p>
    <w:p w:rsidRPr="00BC35F3" w:rsidR="00BC35F3" w:rsidP="00BC35F3" w:rsidRDefault="00BC35F3" w14:paraId="469ABA06" w14:textId="1C704183">
      <w:pPr>
        <w:spacing w:after="120" w:line="276" w:lineRule="auto"/>
        <w:ind w:firstLine="709"/>
        <w:jc w:val="both"/>
        <w:rPr>
          <w:rFonts w:ascii="Century Gothic" w:hAnsi="Century Gothic" w:eastAsia="Calibri" w:cs="Arial"/>
          <w:bCs/>
          <w:color w:val="000000"/>
          <w:lang w:eastAsia="es-CO"/>
        </w:rPr>
      </w:pPr>
      <w:r w:rsidRPr="00BC35F3">
        <w:rPr>
          <w:rFonts w:ascii="Century Gothic" w:hAnsi="Century Gothic" w:eastAsia="Calibri" w:cs="Arial"/>
          <w:bCs/>
          <w:color w:val="000000"/>
          <w:lang w:eastAsia="es-CO"/>
        </w:rPr>
        <w:t xml:space="preserve">En este orden de ideas corresponde a la misma ESE, en ejercicio de su competencia y previa valoración de los elementos fácticos y jurídicos, </w:t>
      </w:r>
      <w:r w:rsidRPr="00BC35F3">
        <w:rPr>
          <w:rFonts w:ascii="Century Gothic" w:hAnsi="Century Gothic" w:eastAsia="Calibri" w:cs="Arial"/>
          <w:lang w:val="es-ES_tradnl" w:eastAsia="es-ES_tradnl"/>
        </w:rPr>
        <w:t xml:space="preserve">la introducción o adecuación del manual de contratación </w:t>
      </w:r>
      <w:r w:rsidRPr="00BC35F3" w:rsidR="009A5E15">
        <w:rPr>
          <w:rFonts w:ascii="Century Gothic" w:hAnsi="Century Gothic" w:eastAsia="Calibri" w:cs="Arial"/>
          <w:lang w:val="es-ES_tradnl" w:eastAsia="es-ES_tradnl"/>
        </w:rPr>
        <w:t>de acuerdo con</w:t>
      </w:r>
      <w:r w:rsidRPr="00BC35F3">
        <w:rPr>
          <w:rFonts w:ascii="Century Gothic" w:hAnsi="Century Gothic" w:eastAsia="Calibri" w:cs="Arial"/>
          <w:lang w:val="es-ES_tradnl" w:eastAsia="es-ES_tradnl"/>
        </w:rPr>
        <w:t xml:space="preserve"> las </w:t>
      </w:r>
      <w:r w:rsidR="0069107F">
        <w:rPr>
          <w:rFonts w:ascii="Century Gothic" w:hAnsi="Century Gothic" w:eastAsia="Calibri" w:cs="Arial"/>
          <w:lang w:val="es-ES_tradnl" w:eastAsia="es-ES_tradnl"/>
        </w:rPr>
        <w:t xml:space="preserve">normas </w:t>
      </w:r>
      <w:r w:rsidRPr="00BC35F3">
        <w:rPr>
          <w:rFonts w:ascii="Century Gothic" w:hAnsi="Century Gothic" w:eastAsia="Calibri" w:cs="Arial"/>
          <w:lang w:val="es-ES_tradnl" w:eastAsia="es-ES_tradnl"/>
        </w:rPr>
        <w:t xml:space="preserve">anteriormente establecidas </w:t>
      </w:r>
      <w:r w:rsidRPr="00BC35F3">
        <w:rPr>
          <w:rFonts w:ascii="Century Gothic" w:hAnsi="Century Gothic" w:eastAsia="Calibri" w:cs="Arial"/>
          <w:lang w:val="es-ES_tradnl"/>
        </w:rPr>
        <w:t>respectando las reglas introducidas por conducto de la Ley 2069 de 2020 y el Decreto 1860 de 2021.</w:t>
      </w:r>
    </w:p>
    <w:p w:rsidRPr="003D75C5" w:rsidR="00A72B6B" w:rsidP="00CE4016" w:rsidRDefault="00A72B6B" w14:paraId="45D4AAAE" w14:textId="77777777">
      <w:pPr>
        <w:widowControl w:val="0"/>
        <w:autoSpaceDE w:val="0"/>
        <w:autoSpaceDN w:val="0"/>
        <w:spacing w:after="0" w:line="276" w:lineRule="auto"/>
        <w:ind w:firstLine="708"/>
        <w:jc w:val="both"/>
        <w:rPr>
          <w:rFonts w:ascii="Century Gothic" w:hAnsi="Century Gothic" w:cs="Arial"/>
          <w:color w:val="000000" w:themeColor="text1"/>
          <w:lang w:val="es-ES_tradnl" w:bidi="es-ES"/>
        </w:rPr>
      </w:pPr>
      <w:r w:rsidRPr="003D75C5">
        <w:rPr>
          <w:rFonts w:ascii="Century Gothic" w:hAnsi="Century Gothic" w:cs="Arial"/>
          <w:color w:val="000000" w:themeColor="text1"/>
          <w:lang w:val="es-ES_tradnl"/>
        </w:rPr>
        <w:t>Este concepto tiene el alcance previsto en el artículo 28 del Código de Procedimiento Administrativo y de lo Contencioso Administrativo.</w:t>
      </w:r>
    </w:p>
    <w:p w:rsidRPr="003D75C5" w:rsidR="00A72B6B" w:rsidP="00A72B6B" w:rsidRDefault="00A72B6B" w14:paraId="59D7274B" w14:textId="77777777">
      <w:pPr>
        <w:spacing w:after="0" w:line="276" w:lineRule="auto"/>
        <w:ind w:firstLine="708"/>
        <w:jc w:val="both"/>
        <w:rPr>
          <w:rFonts w:ascii="Century Gothic" w:hAnsi="Century Gothic" w:eastAsia="Calibri" w:cs="Arial"/>
          <w:bCs/>
          <w:color w:val="000000" w:themeColor="text1"/>
          <w:lang w:val="es-ES_tradnl"/>
        </w:rPr>
      </w:pPr>
    </w:p>
    <w:p w:rsidRPr="0021231E" w:rsidR="00720633" w:rsidP="00720633" w:rsidRDefault="00720633" w14:paraId="153A0044" w14:textId="19DC9C7B">
      <w:pPr>
        <w:spacing w:after="120" w:line="276" w:lineRule="auto"/>
        <w:jc w:val="both"/>
        <w:rPr>
          <w:rFonts w:ascii="Century Gothic" w:hAnsi="Century Gothic" w:eastAsia="Calibri" w:cs="Arial"/>
        </w:rPr>
      </w:pPr>
      <w:r w:rsidRPr="0021231E">
        <w:rPr>
          <w:rFonts w:ascii="Century Gothic" w:hAnsi="Century Gothic" w:eastAsia="Times New Roman" w:cs="Arial"/>
          <w:lang w:val="es-MX" w:eastAsia="es-CO"/>
        </w:rPr>
        <w:t>Atentamente</w:t>
      </w:r>
      <w:r w:rsidR="00F1023D">
        <w:rPr>
          <w:rFonts w:ascii="Century Gothic" w:hAnsi="Century Gothic" w:eastAsia="Times New Roman" w:cs="Arial"/>
          <w:lang w:val="es-MX" w:eastAsia="es-CO"/>
        </w:rPr>
        <w:t>;</w:t>
      </w:r>
    </w:p>
    <w:p w:rsidR="003A679A" w:rsidP="00720633" w:rsidRDefault="003A679A" w14:paraId="31C33CE2" w14:textId="71B554A7">
      <w:pPr>
        <w:spacing w:before="240" w:after="0" w:line="276" w:lineRule="auto"/>
        <w:jc w:val="center"/>
        <w:rPr>
          <w:noProof/>
        </w:rPr>
      </w:pPr>
    </w:p>
    <w:p w:rsidRPr="00891500" w:rsidR="00891500" w:rsidP="00891500" w:rsidRDefault="00891500" w14:paraId="4847993F" w14:textId="68E423E5">
      <w:pPr>
        <w:spacing w:before="240" w:after="0" w:line="276" w:lineRule="auto"/>
        <w:jc w:val="center"/>
        <w:rPr>
          <w:noProof/>
        </w:rPr>
      </w:pPr>
      <w:r w:rsidRPr="00891500">
        <w:rPr>
          <w:noProof/>
        </w:rPr>
        <w:drawing>
          <wp:inline distT="0" distB="0" distL="0" distR="0" wp14:anchorId="50F7AA28" wp14:editId="4FA22B79">
            <wp:extent cx="2716530" cy="1166159"/>
            <wp:effectExtent l="0" t="0" r="7620" b="0"/>
            <wp:docPr id="20858414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3031" cy="1168950"/>
                    </a:xfrm>
                    <a:prstGeom prst="rect">
                      <a:avLst/>
                    </a:prstGeom>
                    <a:noFill/>
                    <a:ln>
                      <a:noFill/>
                    </a:ln>
                  </pic:spPr>
                </pic:pic>
              </a:graphicData>
            </a:graphic>
          </wp:inline>
        </w:drawing>
      </w:r>
    </w:p>
    <w:p w:rsidR="00891500" w:rsidP="00720633" w:rsidRDefault="00891500" w14:paraId="6FB299D7" w14:textId="77777777">
      <w:pPr>
        <w:spacing w:before="240" w:after="0" w:line="276" w:lineRule="auto"/>
        <w:jc w:val="center"/>
        <w:rPr>
          <w:noProof/>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5284"/>
      </w:tblGrid>
      <w:tr w:rsidRPr="00135173" w:rsidR="00720633" w:rsidTr="003A679A" w14:paraId="32B6A0CB" w14:textId="77777777">
        <w:trPr>
          <w:trHeight w:val="315"/>
        </w:trPr>
        <w:tc>
          <w:tcPr>
            <w:tcW w:w="855" w:type="dxa"/>
            <w:vAlign w:val="center"/>
            <w:hideMark/>
          </w:tcPr>
          <w:p w:rsidRPr="00135173" w:rsidR="00720633" w:rsidP="002D68F4" w:rsidRDefault="00720633" w14:paraId="6EEECBA6" w14:textId="77777777">
            <w:pPr>
              <w:rPr>
                <w:rFonts w:ascii="Century Gothic" w:hAnsi="Century Gothic" w:eastAsia="Times New Roman" w:cstheme="minorHAnsi"/>
                <w:sz w:val="16"/>
                <w:szCs w:val="16"/>
                <w:lang w:val="es-ES" w:eastAsia="es-ES"/>
              </w:rPr>
            </w:pPr>
            <w:r w:rsidRPr="00135173">
              <w:rPr>
                <w:rFonts w:ascii="Century Gothic" w:hAnsi="Century Gothic" w:eastAsia="Times New Roman" w:cstheme="minorHAnsi"/>
                <w:sz w:val="16"/>
                <w:szCs w:val="16"/>
                <w:lang w:val="es-ES" w:eastAsia="es-ES"/>
              </w:rPr>
              <w:t>Elaboró:</w:t>
            </w:r>
          </w:p>
        </w:tc>
        <w:tc>
          <w:tcPr>
            <w:tcW w:w="5284" w:type="dxa"/>
            <w:tcBorders>
              <w:top w:val="nil"/>
              <w:left w:val="nil"/>
              <w:bottom w:val="dotted" w:color="7F7F7F" w:themeColor="text1" w:themeTint="80" w:sz="4" w:space="0"/>
              <w:right w:val="nil"/>
            </w:tcBorders>
            <w:vAlign w:val="center"/>
            <w:hideMark/>
          </w:tcPr>
          <w:p w:rsidRPr="00135173" w:rsidR="00720633" w:rsidP="002D68F4" w:rsidRDefault="00720633" w14:paraId="5A079AA3" w14:textId="77777777">
            <w:pPr>
              <w:jc w:val="both"/>
              <w:rPr>
                <w:rFonts w:ascii="Century Gothic" w:hAnsi="Century Gothic" w:eastAsia="Times New Roman" w:cstheme="minorHAnsi"/>
                <w:sz w:val="16"/>
                <w:szCs w:val="16"/>
                <w:lang w:val="es-ES" w:eastAsia="es-ES"/>
              </w:rPr>
            </w:pPr>
            <w:r w:rsidRPr="00135173">
              <w:rPr>
                <w:rFonts w:ascii="Century Gothic" w:hAnsi="Century Gothic" w:eastAsia="Times New Roman" w:cstheme="minorHAnsi"/>
                <w:sz w:val="16"/>
                <w:szCs w:val="16"/>
                <w:lang w:val="es-ES" w:eastAsia="es-ES"/>
              </w:rPr>
              <w:t>Christian Camilo Orjuela Galeano</w:t>
            </w:r>
          </w:p>
          <w:p w:rsidRPr="00135173" w:rsidR="00720633" w:rsidP="002D68F4" w:rsidRDefault="00720633" w14:paraId="70C43874" w14:textId="77777777">
            <w:pPr>
              <w:jc w:val="both"/>
              <w:rPr>
                <w:rFonts w:ascii="Century Gothic" w:hAnsi="Century Gothic" w:eastAsia="Times New Roman" w:cstheme="minorHAnsi"/>
                <w:sz w:val="16"/>
                <w:szCs w:val="16"/>
                <w:highlight w:val="yellow"/>
                <w:lang w:val="es-ES" w:eastAsia="es-ES"/>
              </w:rPr>
            </w:pPr>
            <w:r w:rsidRPr="00135173">
              <w:rPr>
                <w:rFonts w:ascii="Century Gothic" w:hAnsi="Century Gothic" w:eastAsia="Times New Roman" w:cstheme="minorHAnsi"/>
                <w:sz w:val="16"/>
                <w:szCs w:val="16"/>
                <w:lang w:val="es-ES" w:eastAsia="es-ES"/>
              </w:rPr>
              <w:t>Contratista de la Subdirección de Gestión Contractual</w:t>
            </w:r>
          </w:p>
        </w:tc>
      </w:tr>
      <w:tr w:rsidRPr="00135173" w:rsidR="00720633" w:rsidTr="003A679A" w14:paraId="75D5981E" w14:textId="77777777">
        <w:trPr>
          <w:trHeight w:val="330"/>
        </w:trPr>
        <w:tc>
          <w:tcPr>
            <w:tcW w:w="855" w:type="dxa"/>
            <w:vAlign w:val="center"/>
            <w:hideMark/>
          </w:tcPr>
          <w:p w:rsidRPr="00135173" w:rsidR="00720633" w:rsidP="002D68F4" w:rsidRDefault="00720633" w14:paraId="23435FE5" w14:textId="77777777">
            <w:pPr>
              <w:rPr>
                <w:rFonts w:ascii="Century Gothic" w:hAnsi="Century Gothic" w:eastAsia="Times New Roman" w:cstheme="minorHAnsi"/>
                <w:sz w:val="16"/>
                <w:szCs w:val="16"/>
                <w:lang w:val="es-ES" w:eastAsia="es-ES"/>
              </w:rPr>
            </w:pPr>
            <w:r w:rsidRPr="00135173">
              <w:rPr>
                <w:rFonts w:ascii="Century Gothic" w:hAnsi="Century Gothic" w:eastAsia="Times New Roman" w:cstheme="minorHAnsi"/>
                <w:sz w:val="16"/>
                <w:szCs w:val="16"/>
                <w:lang w:val="es-ES" w:eastAsia="es-ES"/>
              </w:rPr>
              <w:t>Revisó:</w:t>
            </w:r>
          </w:p>
        </w:tc>
        <w:tc>
          <w:tcPr>
            <w:tcW w:w="5284" w:type="dxa"/>
            <w:tcBorders>
              <w:top w:val="dotted" w:color="7F7F7F" w:themeColor="text1" w:themeTint="80" w:sz="4" w:space="0"/>
              <w:left w:val="nil"/>
              <w:bottom w:val="dotted" w:color="7F7F7F" w:themeColor="text1" w:themeTint="80" w:sz="4" w:space="0"/>
              <w:right w:val="nil"/>
            </w:tcBorders>
            <w:vAlign w:val="center"/>
            <w:hideMark/>
          </w:tcPr>
          <w:p w:rsidRPr="00135173" w:rsidR="00720633" w:rsidP="002D68F4" w:rsidRDefault="0069107F" w14:paraId="6AC286FE" w14:textId="1254614D">
            <w:pPr>
              <w:spacing w:line="276" w:lineRule="auto"/>
              <w:textAlignment w:val="baseline"/>
              <w:rPr>
                <w:rFonts w:ascii="Century Gothic" w:hAnsi="Century Gothic" w:eastAsia="Times New Roman" w:cstheme="minorHAnsi"/>
                <w:sz w:val="16"/>
                <w:szCs w:val="16"/>
                <w:lang w:eastAsia="es-CO"/>
              </w:rPr>
            </w:pPr>
            <w:r>
              <w:rPr>
                <w:rFonts w:ascii="Century Gothic" w:hAnsi="Century Gothic" w:eastAsia="Times New Roman" w:cstheme="minorHAnsi"/>
                <w:sz w:val="16"/>
                <w:szCs w:val="16"/>
                <w:lang w:eastAsia="es-CO"/>
              </w:rPr>
              <w:t>Martha Alicia Romero</w:t>
            </w:r>
          </w:p>
          <w:p w:rsidRPr="00135173" w:rsidR="00720633" w:rsidP="002D68F4" w:rsidRDefault="0069107F" w14:paraId="43C19DF5" w14:textId="59070CFF">
            <w:pPr>
              <w:rPr>
                <w:rFonts w:ascii="Century Gothic" w:hAnsi="Century Gothic" w:eastAsia="Times New Roman" w:cstheme="minorHAnsi"/>
                <w:sz w:val="16"/>
                <w:szCs w:val="16"/>
                <w:lang w:val="es-ES" w:eastAsia="es-ES"/>
              </w:rPr>
            </w:pPr>
            <w:r>
              <w:rPr>
                <w:rFonts w:ascii="Century Gothic" w:hAnsi="Century Gothic" w:eastAsia="Times New Roman" w:cstheme="minorHAnsi"/>
                <w:sz w:val="16"/>
                <w:szCs w:val="16"/>
                <w:lang w:val="es-ES" w:eastAsia="es-ES"/>
              </w:rPr>
              <w:t>Gestor Código T1 Grado 15</w:t>
            </w:r>
          </w:p>
        </w:tc>
      </w:tr>
      <w:tr w:rsidRPr="00135173" w:rsidR="00720633" w:rsidTr="003A679A" w14:paraId="016FE073" w14:textId="77777777">
        <w:trPr>
          <w:trHeight w:val="178"/>
        </w:trPr>
        <w:tc>
          <w:tcPr>
            <w:tcW w:w="855" w:type="dxa"/>
            <w:vAlign w:val="center"/>
            <w:hideMark/>
          </w:tcPr>
          <w:p w:rsidRPr="00135173" w:rsidR="00720633" w:rsidP="002D68F4" w:rsidRDefault="00720633" w14:paraId="1E39A81E" w14:textId="77777777">
            <w:pPr>
              <w:rPr>
                <w:rFonts w:ascii="Century Gothic" w:hAnsi="Century Gothic" w:eastAsia="Times New Roman" w:cstheme="minorHAnsi"/>
                <w:sz w:val="16"/>
                <w:szCs w:val="16"/>
                <w:lang w:val="es-ES" w:eastAsia="es-ES"/>
              </w:rPr>
            </w:pPr>
            <w:r w:rsidRPr="00135173">
              <w:rPr>
                <w:rFonts w:ascii="Century Gothic" w:hAnsi="Century Gothic" w:eastAsia="Times New Roman" w:cstheme="minorHAnsi"/>
                <w:sz w:val="16"/>
                <w:szCs w:val="16"/>
                <w:lang w:val="es-ES" w:eastAsia="es-ES"/>
              </w:rPr>
              <w:t>Aprobó:</w:t>
            </w:r>
          </w:p>
        </w:tc>
        <w:tc>
          <w:tcPr>
            <w:tcW w:w="5284" w:type="dxa"/>
            <w:tcBorders>
              <w:top w:val="dotted" w:color="7F7F7F" w:themeColor="text1" w:themeTint="80" w:sz="4" w:space="0"/>
              <w:left w:val="nil"/>
              <w:bottom w:val="dotted" w:color="7F7F7F" w:themeColor="text1" w:themeTint="80" w:sz="4" w:space="0"/>
              <w:right w:val="nil"/>
            </w:tcBorders>
            <w:vAlign w:val="center"/>
            <w:hideMark/>
          </w:tcPr>
          <w:p w:rsidRPr="00135173" w:rsidR="00720633" w:rsidP="002D68F4" w:rsidRDefault="003A679A" w14:paraId="24F34C0F" w14:textId="0AE36DCD">
            <w:pPr>
              <w:textAlignment w:val="baseline"/>
              <w:rPr>
                <w:rFonts w:ascii="Century Gothic" w:hAnsi="Century Gothic" w:eastAsia="Times New Roman" w:cstheme="minorHAnsi"/>
                <w:sz w:val="16"/>
                <w:szCs w:val="16"/>
                <w:lang w:val="es-ES" w:eastAsia="es-CO"/>
              </w:rPr>
            </w:pPr>
            <w:bookmarkStart w:name="_Hlk116036152" w:id="5"/>
            <w:r>
              <w:rPr>
                <w:rFonts w:ascii="Century Gothic" w:hAnsi="Century Gothic" w:eastAsia="Times New Roman" w:cstheme="minorHAnsi"/>
                <w:sz w:val="16"/>
                <w:szCs w:val="16"/>
                <w:lang w:val="es-ES" w:eastAsia="es-CO"/>
              </w:rPr>
              <w:t>Carolina Quintero Gacharnà</w:t>
            </w:r>
          </w:p>
          <w:p w:rsidRPr="00135173" w:rsidR="00720633" w:rsidP="002D68F4" w:rsidRDefault="00720633" w14:paraId="24B9A807" w14:textId="77777777">
            <w:pPr>
              <w:rPr>
                <w:rFonts w:ascii="Century Gothic" w:hAnsi="Century Gothic" w:eastAsia="Times New Roman" w:cstheme="minorHAnsi"/>
                <w:sz w:val="16"/>
                <w:szCs w:val="16"/>
                <w:lang w:val="es-ES" w:eastAsia="es-ES"/>
              </w:rPr>
            </w:pPr>
            <w:r w:rsidRPr="00135173">
              <w:rPr>
                <w:rFonts w:ascii="Century Gothic" w:hAnsi="Century Gothic" w:eastAsia="Times New Roman" w:cstheme="minorHAnsi"/>
                <w:sz w:val="16"/>
                <w:szCs w:val="16"/>
                <w:lang w:val="es-ES" w:eastAsia="es-ES"/>
              </w:rPr>
              <w:t xml:space="preserve">Subdirectora de Gestión Contractual </w:t>
            </w:r>
            <w:bookmarkEnd w:id="5"/>
            <w:r w:rsidRPr="00135173">
              <w:rPr>
                <w:rFonts w:ascii="Century Gothic" w:hAnsi="Century Gothic" w:eastAsia="Times New Roman" w:cstheme="minorHAnsi"/>
                <w:sz w:val="16"/>
                <w:szCs w:val="16"/>
                <w:lang w:val="es-ES" w:eastAsia="es-ES"/>
              </w:rPr>
              <w:t>ANCP – CCE</w:t>
            </w:r>
          </w:p>
        </w:tc>
      </w:tr>
      <w:bookmarkEnd w:id="0"/>
      <w:bookmarkEnd w:id="1"/>
      <w:bookmarkEnd w:id="2"/>
    </w:tbl>
    <w:p w:rsidR="00720633" w:rsidP="00BE54D4" w:rsidRDefault="00720633" w14:paraId="1058B2D3" w14:textId="77777777">
      <w:pPr>
        <w:spacing w:after="0"/>
        <w:rPr>
          <w:rFonts w:ascii="Century Gothic" w:hAnsi="Century Gothic"/>
          <w:lang w:val="es-MX"/>
        </w:rPr>
      </w:pPr>
    </w:p>
    <w:sectPr w:rsidR="00720633" w:rsidSect="00AB6FEB">
      <w:headerReference w:type="default" r:id="rId16"/>
      <w:footerReference w:type="default" r:id="rId17"/>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2EA7" w:rsidP="004A1847" w:rsidRDefault="00F22EA7" w14:paraId="7177D12E" w14:textId="77777777">
      <w:pPr>
        <w:spacing w:after="0" w:line="240" w:lineRule="auto"/>
      </w:pPr>
      <w:r>
        <w:separator/>
      </w:r>
    </w:p>
  </w:endnote>
  <w:endnote w:type="continuationSeparator" w:id="0">
    <w:p w:rsidR="00F22EA7" w:rsidP="004A1847" w:rsidRDefault="00F22EA7" w14:paraId="5D9F726A" w14:textId="77777777">
      <w:pPr>
        <w:spacing w:after="0" w:line="240" w:lineRule="auto"/>
      </w:pPr>
      <w:r>
        <w:continuationSeparator/>
      </w:r>
    </w:p>
  </w:endnote>
  <w:endnote w:type="continuationNotice" w:id="1">
    <w:p w:rsidR="00F22EA7" w:rsidRDefault="00F22EA7" w14:paraId="7F9098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p w:rsidR="00935B0F" w:rsidRDefault="00935B0F" w14:paraId="03B2840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2EA7" w:rsidP="004A1847" w:rsidRDefault="00F22EA7" w14:paraId="05933E83" w14:textId="77777777">
      <w:pPr>
        <w:spacing w:after="0" w:line="240" w:lineRule="auto"/>
      </w:pPr>
      <w:r>
        <w:separator/>
      </w:r>
    </w:p>
  </w:footnote>
  <w:footnote w:type="continuationSeparator" w:id="0">
    <w:p w:rsidR="00F22EA7" w:rsidP="004A1847" w:rsidRDefault="00F22EA7" w14:paraId="19DF2C13" w14:textId="77777777">
      <w:pPr>
        <w:spacing w:after="0" w:line="240" w:lineRule="auto"/>
      </w:pPr>
      <w:r>
        <w:continuationSeparator/>
      </w:r>
    </w:p>
  </w:footnote>
  <w:footnote w:type="continuationNotice" w:id="1">
    <w:p w:rsidR="00F22EA7" w:rsidRDefault="00F22EA7" w14:paraId="2838AC27" w14:textId="77777777">
      <w:pPr>
        <w:spacing w:after="0" w:line="240" w:lineRule="auto"/>
      </w:pPr>
    </w:p>
  </w:footnote>
  <w:footnote w:id="2">
    <w:p w:rsidRPr="0015762C" w:rsidR="00720633" w:rsidP="00720633" w:rsidRDefault="00720633" w14:paraId="33BAAC49" w14:textId="77777777">
      <w:pPr>
        <w:pStyle w:val="Textonotapie"/>
        <w:jc w:val="both"/>
        <w:rPr>
          <w:rFonts w:ascii="Century Gothic" w:hAnsi="Century Gothic" w:cs="Arial"/>
          <w:sz w:val="12"/>
          <w:szCs w:val="12"/>
          <w:lang w:val="es-ES"/>
        </w:rPr>
      </w:pPr>
      <w:r w:rsidRPr="0015762C">
        <w:rPr>
          <w:rStyle w:val="Refdenotaalpie"/>
          <w:rFonts w:ascii="Century Gothic" w:hAnsi="Century Gothic" w:cs="Arial" w:eastAsiaTheme="majorEastAsia"/>
          <w:sz w:val="12"/>
          <w:szCs w:val="12"/>
        </w:rPr>
        <w:footnoteRef/>
      </w:r>
      <w:r w:rsidRPr="0015762C">
        <w:rPr>
          <w:rFonts w:ascii="Century Gothic" w:hAnsi="Century Gothic" w:cs="Arial"/>
          <w:sz w:val="12"/>
          <w:szCs w:val="12"/>
        </w:rPr>
        <w:t xml:space="preserve"> La Agencia Nacional de Contratación Pública -Colombia Compra Eficiente- fue creada por el Decreto-Ley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sidRPr="0015762C">
        <w:rPr>
          <w:rFonts w:ascii="Century Gothic" w:hAnsi="Century Gothic" w:cs="Arial"/>
          <w:i/>
          <w:sz w:val="12"/>
          <w:szCs w:val="12"/>
        </w:rPr>
        <w:t xml:space="preserve">ibidem </w:t>
      </w:r>
      <w:r w:rsidRPr="0015762C">
        <w:rPr>
          <w:rFonts w:ascii="Century Gothic" w:hAnsi="Century Gothic" w:cs="Arial"/>
          <w:sz w:val="12"/>
          <w:szCs w:val="12"/>
        </w:rPr>
        <w:t xml:space="preserve">señala, de manera precisa, las funciones de la entidad. Concretamente, el numeral 5º del citado artículo establece que le corresponde a esta entidad: </w:t>
      </w:r>
      <w:r w:rsidRPr="0015762C">
        <w:rPr>
          <w:rFonts w:ascii="Century Gothic" w:hAnsi="Century Gothic" w:cs="Arial"/>
          <w:i/>
          <w:sz w:val="12"/>
          <w:szCs w:val="12"/>
        </w:rPr>
        <w:t>“[a]bsolver consultas sobre la aplicación de normas de carácter general y expedir circulares externas en materia de compras y contratación pública”</w:t>
      </w:r>
      <w:r w:rsidRPr="0015762C">
        <w:rPr>
          <w:rFonts w:ascii="Century Gothic" w:hAnsi="Century Gothic" w:cs="Arial"/>
          <w:sz w:val="12"/>
          <w:szCs w:val="12"/>
        </w:rPr>
        <w:t xml:space="preserve">. A su turno, el numeral 8º del artículo 11 </w:t>
      </w:r>
      <w:r w:rsidRPr="0015762C">
        <w:rPr>
          <w:rFonts w:ascii="Century Gothic" w:hAnsi="Century Gothic" w:cs="Arial"/>
          <w:i/>
          <w:sz w:val="12"/>
          <w:szCs w:val="12"/>
        </w:rPr>
        <w:t>ibidem</w:t>
      </w:r>
      <w:r w:rsidRPr="0015762C">
        <w:rPr>
          <w:rFonts w:ascii="Century Gothic" w:hAnsi="Century Gothic" w:cs="Arial"/>
          <w:sz w:val="12"/>
          <w:szCs w:val="12"/>
        </w:rPr>
        <w:t xml:space="preserve"> indica que es función de la Subdirección de Gestión Contractual: </w:t>
      </w:r>
      <w:r w:rsidRPr="0015762C">
        <w:rPr>
          <w:rFonts w:ascii="Century Gothic" w:hAnsi="Century Gothic" w:cs="Arial"/>
          <w:i/>
          <w:sz w:val="12"/>
          <w:szCs w:val="12"/>
        </w:rPr>
        <w:t>“[a]bsolver consultas sobre la aplicación de normas de carácter general”</w:t>
      </w:r>
      <w:r w:rsidRPr="0015762C">
        <w:rPr>
          <w:rFonts w:ascii="Century Gothic" w:hAnsi="Century Gothic" w:cs="Arial"/>
          <w:sz w:val="12"/>
          <w:szCs w:val="12"/>
        </w:rPr>
        <w:t>.</w:t>
      </w:r>
    </w:p>
  </w:footnote>
  <w:footnote w:id="3">
    <w:p w:rsidRPr="00012B30" w:rsidR="00D47096" w:rsidP="00012B30" w:rsidRDefault="00D47096" w14:paraId="074A8F0C" w14:textId="2BE61DA4">
      <w:pPr>
        <w:pStyle w:val="Textonotapie"/>
        <w:contextualSpacing/>
        <w:jc w:val="both"/>
        <w:rPr>
          <w:rFonts w:ascii="Century Gothic" w:hAnsi="Century Gothic" w:cs="Arial"/>
          <w:sz w:val="16"/>
          <w:szCs w:val="16"/>
          <w:shd w:val="clear" w:color="auto" w:fill="E6E6E6"/>
        </w:rPr>
      </w:pPr>
      <w:r w:rsidRPr="00012B30">
        <w:rPr>
          <w:rStyle w:val="Refdenotaalpie"/>
          <w:rFonts w:ascii="Century Gothic" w:hAnsi="Century Gothic" w:cs="Arial"/>
          <w:sz w:val="16"/>
          <w:szCs w:val="16"/>
        </w:rPr>
        <w:footnoteRef/>
      </w:r>
      <w:r w:rsidRPr="00012B30">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012B30">
          <w:rPr>
            <w:rStyle w:val="Hipervnculo"/>
            <w:rFonts w:ascii="Century Gothic" w:hAnsi="Century Gothic" w:cs="Arial"/>
            <w:sz w:val="16"/>
            <w:szCs w:val="16"/>
          </w:rPr>
          <w:t>https://relatoria.colombiacompra.gov.co/busqueda/conceptos</w:t>
        </w:r>
      </w:hyperlink>
      <w:r w:rsidRPr="00012B30">
        <w:rPr>
          <w:rStyle w:val="Hipervnculo"/>
          <w:rFonts w:ascii="Century Gothic" w:hAnsi="Century Gothic" w:cs="Arial"/>
          <w:sz w:val="16"/>
          <w:szCs w:val="16"/>
        </w:rPr>
        <w:t xml:space="preserve">. </w:t>
      </w:r>
      <w:r w:rsidRPr="00012B30">
        <w:rPr>
          <w:rFonts w:ascii="Century Gothic" w:hAnsi="Century Gothic" w:cs="Arial"/>
          <w:sz w:val="16"/>
          <w:szCs w:val="16"/>
          <w:shd w:val="clear" w:color="auto" w:fill="E6E6E6"/>
        </w:rPr>
        <w:t xml:space="preserve">  </w:t>
      </w:r>
    </w:p>
  </w:footnote>
  <w:footnote w:id="4">
    <w:p w:rsidRPr="00012B30" w:rsidR="00D47096" w:rsidP="00012B30" w:rsidRDefault="00D47096" w14:paraId="752410D5" w14:textId="360BE928">
      <w:pPr>
        <w:pStyle w:val="Textonotapie"/>
        <w:contextualSpacing/>
        <w:jc w:val="both"/>
        <w:rPr>
          <w:rFonts w:ascii="Century Gothic" w:hAnsi="Century Gothic" w:cs="Arial"/>
          <w:color w:val="000000" w:themeColor="text1"/>
          <w:sz w:val="16"/>
          <w:szCs w:val="16"/>
        </w:rPr>
      </w:pPr>
      <w:r w:rsidRPr="00012B30">
        <w:rPr>
          <w:rStyle w:val="Refdenotaalpie"/>
          <w:rFonts w:ascii="Century Gothic" w:hAnsi="Century Gothic" w:cs="Arial"/>
          <w:color w:val="000000" w:themeColor="text1"/>
          <w:sz w:val="16"/>
          <w:szCs w:val="16"/>
        </w:rPr>
        <w:footnoteRef/>
      </w:r>
      <w:r w:rsidRPr="00012B30">
        <w:rPr>
          <w:rFonts w:ascii="Century Gothic" w:hAnsi="Century Gothic" w:cs="Arial"/>
          <w:color w:val="000000" w:themeColor="text1"/>
          <w:sz w:val="16"/>
          <w:szCs w:val="16"/>
        </w:rPr>
        <w:t xml:space="preserve"> MEDINA LÓPEZ, Diego Eduardo. El derecho de los jueces: obligatoriedad del precedente constitucional, análisis de sentencias y líneas jurisprudenciales y teoría del derecho judicial. Bogotá: Legis, 2006.</w:t>
      </w:r>
    </w:p>
  </w:footnote>
  <w:footnote w:id="5">
    <w:p w:rsidRPr="00012B30" w:rsidR="00D47096" w:rsidP="00012B30" w:rsidRDefault="00D47096" w14:paraId="2CF30643" w14:textId="01FC6F70">
      <w:pPr>
        <w:pStyle w:val="Textonotapie"/>
        <w:contextualSpacing/>
        <w:jc w:val="both"/>
        <w:rPr>
          <w:rFonts w:ascii="Century Gothic" w:hAnsi="Century Gothic" w:cs="Arial"/>
          <w:color w:val="000000" w:themeColor="text1"/>
          <w:sz w:val="16"/>
          <w:szCs w:val="16"/>
        </w:rPr>
      </w:pPr>
      <w:r w:rsidRPr="00012B30">
        <w:rPr>
          <w:rStyle w:val="Refdenotaalpie"/>
          <w:rFonts w:ascii="Century Gothic" w:hAnsi="Century Gothic" w:cs="Arial"/>
          <w:color w:val="000000" w:themeColor="text1"/>
          <w:sz w:val="16"/>
          <w:szCs w:val="16"/>
        </w:rPr>
        <w:footnoteRef/>
      </w:r>
      <w:r w:rsidRPr="00012B30">
        <w:rPr>
          <w:rFonts w:ascii="Century Gothic" w:hAnsi="Century Gothic" w:cs="Arial"/>
          <w:color w:val="000000" w:themeColor="text1"/>
          <w:sz w:val="16"/>
          <w:szCs w:val="16"/>
        </w:rPr>
        <w:t xml:space="preserve"> EXPÓSITO VÉLEZ, Juan Carlos. Definición de los Contratos Estatales. Contratos Estatales propiamente dichos y Contratos Estatales Especiales. Regulación del Contrato suscrito con entidades estatales. Jurisdicción Competente. En: Andrés Fernando Ospina Garzón. Los Grandes Fallos de la Jurisprudencia Administrativa Colombiana. Universidad Externado de Colombia, 2013. </w:t>
      </w:r>
    </w:p>
  </w:footnote>
  <w:footnote w:id="6">
    <w:p w:rsidRPr="00012B30" w:rsidR="00D47096" w:rsidP="00012B30" w:rsidRDefault="00D47096" w14:paraId="0243FEA0" w14:textId="77777777">
      <w:pPr>
        <w:pStyle w:val="Textonotapie"/>
        <w:contextualSpacing/>
        <w:jc w:val="both"/>
        <w:rPr>
          <w:rFonts w:ascii="Century Gothic" w:hAnsi="Century Gothic" w:cs="Arial"/>
          <w:color w:val="000000" w:themeColor="text1"/>
          <w:sz w:val="16"/>
          <w:szCs w:val="16"/>
        </w:rPr>
      </w:pPr>
      <w:r w:rsidRPr="00012B30">
        <w:rPr>
          <w:rStyle w:val="Refdenotaalpie"/>
          <w:rFonts w:ascii="Century Gothic" w:hAnsi="Century Gothic" w:cs="Arial"/>
          <w:color w:val="000000" w:themeColor="text1"/>
          <w:sz w:val="16"/>
          <w:szCs w:val="16"/>
        </w:rPr>
        <w:footnoteRef/>
      </w:r>
      <w:r w:rsidRPr="00012B30">
        <w:rPr>
          <w:rFonts w:ascii="Century Gothic" w:hAnsi="Century Gothic" w:cs="Arial"/>
          <w:color w:val="000000" w:themeColor="text1"/>
          <w:sz w:val="16"/>
          <w:szCs w:val="16"/>
        </w:rPr>
        <w:t xml:space="preserve"> CONSEJO DE ESTADO. Sección Tercera. Auto del 20 de agosto de 1998. Exp. 14.202.  C.P. Juan de Dios Montes Bermúdez. </w:t>
      </w:r>
    </w:p>
  </w:footnote>
  <w:footnote w:id="7">
    <w:p w:rsidRPr="00E94744" w:rsidR="00D47096" w:rsidP="00D47096" w:rsidRDefault="00D47096" w14:paraId="058C0224" w14:textId="77777777">
      <w:pPr>
        <w:pStyle w:val="Textonotapie"/>
        <w:ind w:firstLine="709"/>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w:t>
      </w:r>
      <w:bookmarkStart w:name="66" w:id="3"/>
      <w:r w:rsidRPr="00E94744">
        <w:rPr>
          <w:rFonts w:ascii="Century Gothic" w:hAnsi="Century Gothic" w:cs="Arial"/>
          <w:color w:val="000000" w:themeColor="text1"/>
          <w:sz w:val="14"/>
          <w:szCs w:val="14"/>
        </w:rPr>
        <w:t>Artículo 66. Medidas especiales de contratación.</w:t>
      </w:r>
      <w:bookmarkEnd w:id="3"/>
      <w:r w:rsidRPr="00E94744">
        <w:rPr>
          <w:rFonts w:ascii="Century Gothic" w:hAnsi="Century Gothic" w:cs="Arial"/>
          <w:color w:val="000000" w:themeColor="text1"/>
          <w:sz w:val="14"/>
          <w:szCs w:val="14"/>
        </w:rPr>
        <w:t>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w:t>
      </w:r>
      <w:hyperlink w:history="1" w:anchor="13" r:id="rId2">
        <w:r w:rsidRPr="00E94744">
          <w:rPr>
            <w:rStyle w:val="Hipervnculo"/>
            <w:rFonts w:ascii="Century Gothic" w:hAnsi="Century Gothic" w:cs="Arial"/>
            <w:color w:val="000000" w:themeColor="text1"/>
            <w:sz w:val="14"/>
            <w:szCs w:val="14"/>
          </w:rPr>
          <w:t>13</w:t>
        </w:r>
      </w:hyperlink>
      <w:r w:rsidRPr="00E94744">
        <w:rPr>
          <w:rFonts w:ascii="Century Gothic" w:hAnsi="Century Gothic" w:cs="Arial"/>
          <w:color w:val="000000" w:themeColor="text1"/>
          <w:sz w:val="14"/>
          <w:szCs w:val="14"/>
        </w:rPr>
        <w:t> de la Ley 1150 de 2007, y podrán contemplar cláusulas excepcionales de conformidad con lo dispuesto en los artículos </w:t>
      </w:r>
      <w:hyperlink w:history="1" w:anchor="14" r:id="rId3">
        <w:r w:rsidRPr="00E94744">
          <w:rPr>
            <w:rStyle w:val="Hipervnculo"/>
            <w:rFonts w:ascii="Century Gothic" w:hAnsi="Century Gothic" w:cs="Arial"/>
            <w:color w:val="000000" w:themeColor="text1"/>
            <w:sz w:val="14"/>
            <w:szCs w:val="14"/>
          </w:rPr>
          <w:t>14</w:t>
        </w:r>
      </w:hyperlink>
      <w:r w:rsidRPr="00E94744">
        <w:rPr>
          <w:rFonts w:ascii="Century Gothic" w:hAnsi="Century Gothic" w:cs="Arial"/>
          <w:color w:val="000000" w:themeColor="text1"/>
          <w:sz w:val="14"/>
          <w:szCs w:val="14"/>
        </w:rPr>
        <w:t> a </w:t>
      </w:r>
      <w:hyperlink w:history="1" w:anchor="18" r:id="rId4">
        <w:r w:rsidRPr="00E94744">
          <w:rPr>
            <w:rStyle w:val="Hipervnculo"/>
            <w:rFonts w:ascii="Century Gothic" w:hAnsi="Century Gothic" w:cs="Arial"/>
            <w:color w:val="000000" w:themeColor="text1"/>
            <w:sz w:val="14"/>
            <w:szCs w:val="14"/>
          </w:rPr>
          <w:t>18</w:t>
        </w:r>
      </w:hyperlink>
      <w:r w:rsidRPr="00E94744">
        <w:rPr>
          <w:rFonts w:ascii="Century Gothic" w:hAnsi="Century Gothic" w:cs="Arial"/>
          <w:color w:val="000000" w:themeColor="text1"/>
          <w:sz w:val="14"/>
          <w:szCs w:val="14"/>
        </w:rPr>
        <w:t> de la Ley 80 de 1993.</w:t>
      </w:r>
    </w:p>
    <w:p w:rsidRPr="00E94744" w:rsidR="00D47096" w:rsidP="00D47096" w:rsidRDefault="00D47096" w14:paraId="673AD387" w14:textId="77777777">
      <w:pPr>
        <w:pStyle w:val="NormalWeb"/>
        <w:ind w:firstLine="708"/>
        <w:jc w:val="both"/>
        <w:rPr>
          <w:rFonts w:ascii="Century Gothic" w:hAnsi="Century Gothic" w:cs="Arial"/>
          <w:color w:val="000000" w:themeColor="text1"/>
          <w:sz w:val="14"/>
          <w:szCs w:val="14"/>
        </w:rPr>
      </w:pPr>
      <w:r w:rsidRPr="00E94744">
        <w:rPr>
          <w:rStyle w:val="baj"/>
          <w:rFonts w:ascii="Century Gothic" w:hAnsi="Century Gothic" w:cs="Arial"/>
          <w:color w:val="000000" w:themeColor="text1"/>
          <w:sz w:val="14"/>
          <w:szCs w:val="14"/>
        </w:rPr>
        <w:t>PARÁGRAFO.</w:t>
      </w:r>
      <w:r w:rsidRPr="00E94744">
        <w:rPr>
          <w:rFonts w:ascii="Century Gothic" w:hAnsi="Century Gothic" w:cs="Arial"/>
          <w:color w:val="000000" w:themeColor="text1"/>
          <w:sz w:val="14"/>
          <w:szCs w:val="14"/>
        </w:rPr>
        <w:t> Los contratos celebrados por las entidades territoriales en virtud del artículo anterior se someterán al control fiscal dispuesto para los celebrados en el marco de la declaratoria de urgencia manifiesta contemplada en los artículos </w:t>
      </w:r>
      <w:hyperlink w:history="1" w:anchor="42" r:id="rId5">
        <w:r w:rsidRPr="00E94744">
          <w:rPr>
            <w:rStyle w:val="Hipervnculo"/>
            <w:rFonts w:ascii="Century Gothic" w:hAnsi="Century Gothic" w:cs="Arial"/>
            <w:color w:val="000000" w:themeColor="text1"/>
            <w:sz w:val="14"/>
            <w:szCs w:val="14"/>
          </w:rPr>
          <w:t>42</w:t>
        </w:r>
      </w:hyperlink>
      <w:r w:rsidRPr="00E94744">
        <w:rPr>
          <w:rFonts w:ascii="Century Gothic" w:hAnsi="Century Gothic" w:cs="Arial"/>
          <w:color w:val="000000" w:themeColor="text1"/>
          <w:sz w:val="14"/>
          <w:szCs w:val="14"/>
        </w:rPr>
        <w:t> y </w:t>
      </w:r>
      <w:hyperlink w:history="1" w:anchor="43" r:id="rId6">
        <w:r w:rsidRPr="00E94744">
          <w:rPr>
            <w:rStyle w:val="Hipervnculo"/>
            <w:rFonts w:ascii="Century Gothic" w:hAnsi="Century Gothic" w:cs="Arial"/>
            <w:color w:val="000000" w:themeColor="text1"/>
            <w:sz w:val="14"/>
            <w:szCs w:val="14"/>
          </w:rPr>
          <w:t>43</w:t>
        </w:r>
      </w:hyperlink>
      <w:r w:rsidRPr="00E94744">
        <w:rPr>
          <w:rFonts w:ascii="Century Gothic" w:hAnsi="Century Gothic" w:cs="Arial"/>
          <w:color w:val="000000" w:themeColor="text1"/>
          <w:sz w:val="14"/>
          <w:szCs w:val="14"/>
        </w:rPr>
        <w:t> de la Ley 80 de 1993 y demás normas que la modifiquen.</w:t>
      </w:r>
    </w:p>
  </w:footnote>
  <w:footnote w:id="8">
    <w:p w:rsidRPr="00E94744" w:rsidR="00D47096" w:rsidP="00E737A6" w:rsidRDefault="00D47096" w14:paraId="4B6E313B" w14:textId="05DB5064">
      <w:pPr>
        <w:pStyle w:val="Textonotapie"/>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Consejo de Estado. Sala de Consulta y Servicio Civil. Concepto del 27 de agosto de 1998, radicación No. 1.127, M.P. Javier Henao Hidrón; y </w:t>
      </w:r>
      <w:r w:rsidRPr="00E94744">
        <w:rPr>
          <w:rFonts w:ascii="Century Gothic" w:hAnsi="Century Gothic" w:cs="Arial"/>
          <w:color w:val="000000" w:themeColor="text1"/>
          <w:sz w:val="14"/>
          <w:szCs w:val="14"/>
          <w:lang w:val="es-CO"/>
        </w:rPr>
        <w:t xml:space="preserve">concepto del 6 de abril de 2000. Radicación No. 1.263, M.P. Flavio Augusto </w:t>
      </w:r>
      <w:r w:rsidRPr="00E94744" w:rsidR="00E737A6">
        <w:rPr>
          <w:rFonts w:ascii="Century Gothic" w:hAnsi="Century Gothic" w:cs="Arial"/>
          <w:color w:val="000000" w:themeColor="text1"/>
          <w:sz w:val="14"/>
          <w:szCs w:val="14"/>
          <w:lang w:val="es-CO"/>
        </w:rPr>
        <w:t>Rodríguez</w:t>
      </w:r>
      <w:r w:rsidRPr="00E94744">
        <w:rPr>
          <w:rFonts w:ascii="Century Gothic" w:hAnsi="Century Gothic" w:cs="Arial"/>
          <w:color w:val="000000" w:themeColor="text1"/>
          <w:sz w:val="14"/>
          <w:szCs w:val="14"/>
          <w:lang w:val="es-CO"/>
        </w:rPr>
        <w:t xml:space="preserve"> Arce</w:t>
      </w:r>
    </w:p>
  </w:footnote>
  <w:footnote w:id="9">
    <w:p w:rsidRPr="00E94744" w:rsidR="00D47096" w:rsidP="00E737A6" w:rsidRDefault="00D47096" w14:paraId="4BBC82F0" w14:textId="2DD8E6B0">
      <w:pPr>
        <w:pStyle w:val="Textonotapie"/>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Ministerio de Salud y la Protección Social. Concepto del 16 de agosto de 2019. Expediente No. 201942301304712.</w:t>
      </w:r>
    </w:p>
  </w:footnote>
  <w:footnote w:id="10">
    <w:p w:rsidRPr="00E94744" w:rsidR="00D47096" w:rsidP="00E737A6" w:rsidRDefault="00D47096" w14:paraId="19F81D89" w14:textId="77777777">
      <w:pPr>
        <w:pStyle w:val="Textonotapie"/>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Consejo de Estado. Sección Tercera. Subsección “C”. Providencia del 8 de abril de 2014. Expediente No. 25801. M.P. Enrique Gil Botero.</w:t>
      </w:r>
    </w:p>
    <w:p w:rsidRPr="00E94744" w:rsidR="00D47096" w:rsidP="00D47096" w:rsidRDefault="00D47096" w14:paraId="5E91DD45" w14:textId="77777777">
      <w:pPr>
        <w:pStyle w:val="Textonotapie"/>
        <w:ind w:firstLine="708"/>
        <w:jc w:val="both"/>
        <w:rPr>
          <w:rFonts w:ascii="Century Gothic" w:hAnsi="Century Gothic" w:cs="Arial"/>
          <w:color w:val="000000" w:themeColor="text1"/>
          <w:sz w:val="14"/>
          <w:szCs w:val="14"/>
        </w:rPr>
      </w:pPr>
    </w:p>
  </w:footnote>
  <w:footnote w:id="11">
    <w:p w:rsidRPr="00E94744" w:rsidR="00D47096" w:rsidP="00E737A6" w:rsidRDefault="00D47096" w14:paraId="1CE28B5E" w14:textId="77777777">
      <w:pPr>
        <w:pStyle w:val="Textonotapie"/>
        <w:jc w:val="both"/>
        <w:rPr>
          <w:rFonts w:ascii="Century Gothic" w:hAnsi="Century Gothic" w:cs="Arial"/>
          <w:color w:val="000000" w:themeColor="text1"/>
          <w:sz w:val="14"/>
          <w:szCs w:val="14"/>
        </w:rPr>
      </w:pPr>
      <w:r w:rsidRPr="00E94744">
        <w:rPr>
          <w:rStyle w:val="Refdenotaalpie"/>
          <w:rFonts w:ascii="Century Gothic" w:hAnsi="Century Gothic" w:cs="Arial"/>
          <w:color w:val="000000" w:themeColor="text1"/>
          <w:sz w:val="14"/>
          <w:szCs w:val="14"/>
        </w:rPr>
        <w:footnoteRef/>
      </w:r>
      <w:r w:rsidRPr="00E94744">
        <w:rPr>
          <w:rFonts w:ascii="Century Gothic" w:hAnsi="Century Gothic" w:cs="Arial"/>
          <w:color w:val="000000" w:themeColor="text1"/>
          <w:sz w:val="14"/>
          <w:szCs w:val="14"/>
        </w:rPr>
        <w:t xml:space="preserve"> HINESTROSA FORERO, Fernando. Tratado de las Obligaciones II. De las fuentes de las obligaciones: el negocio jurídico. Volumen I. Bogotá: Universidad Externado de Colombia, 2015. p. 116.  </w:t>
      </w:r>
    </w:p>
  </w:footnote>
  <w:footnote w:id="12">
    <w:p w:rsidRPr="00BC35F3" w:rsidR="00D47096" w:rsidP="00E737A6" w:rsidRDefault="00D47096" w14:paraId="11D4EC8F" w14:textId="63A1AB44">
      <w:pPr>
        <w:pStyle w:val="Textonotapie"/>
        <w:contextualSpacing/>
        <w:jc w:val="both"/>
        <w:rPr>
          <w:rFonts w:ascii="Century Gothic" w:hAnsi="Century Gothic" w:cs="Arial"/>
          <w:sz w:val="16"/>
          <w:szCs w:val="16"/>
        </w:rPr>
      </w:pPr>
      <w:r w:rsidRPr="00BC35F3">
        <w:rPr>
          <w:rStyle w:val="Refdenotaalpie"/>
          <w:rFonts w:ascii="Century Gothic" w:hAnsi="Century Gothic" w:cs="Arial"/>
          <w:sz w:val="16"/>
          <w:szCs w:val="16"/>
        </w:rPr>
        <w:footnoteRef/>
      </w:r>
      <w:r w:rsidRPr="00BC35F3">
        <w:rPr>
          <w:rFonts w:ascii="Century Gothic" w:hAnsi="Century Gothic" w:cs="Arial"/>
          <w:sz w:val="16"/>
          <w:szCs w:val="16"/>
        </w:rPr>
        <w:t xml:space="preserve"> Cfr. Colombia Compra Eficiente. Subdirección de Gestión Contractual. Concepto C-362 del 3 de julio de 2020. Pág. 9.</w:t>
      </w:r>
    </w:p>
  </w:footnote>
  <w:footnote w:id="13">
    <w:p w:rsidRPr="00E94744" w:rsidR="00D47096" w:rsidP="00E737A6" w:rsidRDefault="00D47096" w14:paraId="3083DC61" w14:textId="77777777">
      <w:pPr>
        <w:pStyle w:val="Textonotapie"/>
        <w:contextualSpacing/>
        <w:jc w:val="both"/>
        <w:rPr>
          <w:rFonts w:ascii="Century Gothic" w:hAnsi="Century Gothic" w:cs="Arial"/>
          <w:sz w:val="14"/>
          <w:szCs w:val="14"/>
        </w:rPr>
      </w:pPr>
      <w:r w:rsidRPr="00BC35F3">
        <w:rPr>
          <w:rStyle w:val="Refdenotaalpie"/>
          <w:rFonts w:ascii="Century Gothic" w:hAnsi="Century Gothic" w:cs="Arial"/>
          <w:sz w:val="16"/>
          <w:szCs w:val="16"/>
        </w:rPr>
        <w:footnoteRef/>
      </w:r>
      <w:r w:rsidRPr="00BC35F3">
        <w:rPr>
          <w:rFonts w:ascii="Century Gothic" w:hAnsi="Century Gothic" w:cs="Arial"/>
          <w:sz w:val="16"/>
          <w:szCs w:val="16"/>
        </w:rPr>
        <w:t xml:space="preserve"> Ibíd.</w:t>
      </w:r>
      <w:r w:rsidRPr="00E94744">
        <w:rPr>
          <w:rFonts w:ascii="Century Gothic" w:hAnsi="Century Gothic"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BD15D4" w14:paraId="6ED12154" w14:textId="5D0C20C7">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008A446D" w:rsidP="005B5D8B" w:rsidRDefault="004A305D" w14:paraId="1FD1C243" w14:textId="4F629FA9">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p w:rsidR="00935B0F" w:rsidRDefault="00935B0F" w14:paraId="00E3636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08B9449D"/>
    <w:multiLevelType w:val="hybridMultilevel"/>
    <w:tmpl w:val="F5EE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C1BDF"/>
    <w:multiLevelType w:val="multilevel"/>
    <w:tmpl w:val="223CAA7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2A4AB3"/>
    <w:multiLevelType w:val="hybridMultilevel"/>
    <w:tmpl w:val="C4D21EC2"/>
    <w:lvl w:ilvl="0" w:tplc="4F3E6C2E">
      <w:start w:val="1"/>
      <w:numFmt w:val="lowerLetter"/>
      <w:lvlText w:val="%1."/>
      <w:lvlJc w:val="left"/>
      <w:pPr>
        <w:ind w:left="502" w:hanging="360"/>
      </w:pPr>
      <w:rPr>
        <w:rFonts w:hint="default" w:ascii="Century Gothic" w:hAnsi="Century Gothic" w:cs="Arial" w:eastAsiaTheme="minorHAnsi"/>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981954">
    <w:abstractNumId w:val="4"/>
  </w:num>
  <w:num w:numId="2" w16cid:durableId="486676265">
    <w:abstractNumId w:val="0"/>
  </w:num>
  <w:num w:numId="3" w16cid:durableId="608313202">
    <w:abstractNumId w:val="3"/>
  </w:num>
  <w:num w:numId="4" w16cid:durableId="266743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0"/>
  </w:num>
  <w:num w:numId="6" w16cid:durableId="1178429480">
    <w:abstractNumId w:val="5"/>
  </w:num>
  <w:num w:numId="7" w16cid:durableId="777065519">
    <w:abstractNumId w:val="1"/>
  </w:num>
  <w:num w:numId="8" w16cid:durableId="580484834">
    <w:abstractNumId w:val="6"/>
  </w:num>
  <w:num w:numId="9" w16cid:durableId="152024329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34A0"/>
    <w:rsid w:val="00005F14"/>
    <w:rsid w:val="00012B30"/>
    <w:rsid w:val="000255E9"/>
    <w:rsid w:val="000325F5"/>
    <w:rsid w:val="000330F8"/>
    <w:rsid w:val="00035012"/>
    <w:rsid w:val="00061C47"/>
    <w:rsid w:val="000674D8"/>
    <w:rsid w:val="00076B70"/>
    <w:rsid w:val="00097D21"/>
    <w:rsid w:val="000A683E"/>
    <w:rsid w:val="000B05E1"/>
    <w:rsid w:val="000B19B9"/>
    <w:rsid w:val="000C10C5"/>
    <w:rsid w:val="000D0334"/>
    <w:rsid w:val="000E04DD"/>
    <w:rsid w:val="000E1227"/>
    <w:rsid w:val="000E4714"/>
    <w:rsid w:val="000F56F2"/>
    <w:rsid w:val="000F6486"/>
    <w:rsid w:val="00110255"/>
    <w:rsid w:val="00125105"/>
    <w:rsid w:val="0012563B"/>
    <w:rsid w:val="00127233"/>
    <w:rsid w:val="001357FA"/>
    <w:rsid w:val="0014668C"/>
    <w:rsid w:val="0015762C"/>
    <w:rsid w:val="00193E66"/>
    <w:rsid w:val="001A3A8A"/>
    <w:rsid w:val="001E4177"/>
    <w:rsid w:val="001E7600"/>
    <w:rsid w:val="0022246E"/>
    <w:rsid w:val="00252E11"/>
    <w:rsid w:val="00256DBE"/>
    <w:rsid w:val="00261E36"/>
    <w:rsid w:val="002951A0"/>
    <w:rsid w:val="002962BC"/>
    <w:rsid w:val="002A0026"/>
    <w:rsid w:val="002A093D"/>
    <w:rsid w:val="002A49AC"/>
    <w:rsid w:val="002A64FD"/>
    <w:rsid w:val="002B2F78"/>
    <w:rsid w:val="002C7A84"/>
    <w:rsid w:val="002E021E"/>
    <w:rsid w:val="00300320"/>
    <w:rsid w:val="00302592"/>
    <w:rsid w:val="00306B03"/>
    <w:rsid w:val="003448F4"/>
    <w:rsid w:val="003A679A"/>
    <w:rsid w:val="003A779E"/>
    <w:rsid w:val="003B4FE1"/>
    <w:rsid w:val="003C6CFE"/>
    <w:rsid w:val="003D0F4D"/>
    <w:rsid w:val="003D31C9"/>
    <w:rsid w:val="003E0499"/>
    <w:rsid w:val="003E2FBA"/>
    <w:rsid w:val="003F3941"/>
    <w:rsid w:val="00400548"/>
    <w:rsid w:val="00406CFE"/>
    <w:rsid w:val="004368BC"/>
    <w:rsid w:val="00455E84"/>
    <w:rsid w:val="0045729F"/>
    <w:rsid w:val="004572AE"/>
    <w:rsid w:val="0049103B"/>
    <w:rsid w:val="004A1847"/>
    <w:rsid w:val="004A305D"/>
    <w:rsid w:val="004A53ED"/>
    <w:rsid w:val="004B19DB"/>
    <w:rsid w:val="004D0546"/>
    <w:rsid w:val="004D0615"/>
    <w:rsid w:val="004E1B53"/>
    <w:rsid w:val="004F21C4"/>
    <w:rsid w:val="004F685F"/>
    <w:rsid w:val="00533E8F"/>
    <w:rsid w:val="005505CC"/>
    <w:rsid w:val="00554735"/>
    <w:rsid w:val="005566E8"/>
    <w:rsid w:val="00570CF7"/>
    <w:rsid w:val="00574867"/>
    <w:rsid w:val="005758DE"/>
    <w:rsid w:val="005849E9"/>
    <w:rsid w:val="005A4582"/>
    <w:rsid w:val="005A52F4"/>
    <w:rsid w:val="005A6AA1"/>
    <w:rsid w:val="005B5D8B"/>
    <w:rsid w:val="005C5CDC"/>
    <w:rsid w:val="005D476C"/>
    <w:rsid w:val="00613A27"/>
    <w:rsid w:val="00615D20"/>
    <w:rsid w:val="00621377"/>
    <w:rsid w:val="006219F8"/>
    <w:rsid w:val="00637238"/>
    <w:rsid w:val="0064206D"/>
    <w:rsid w:val="00642C75"/>
    <w:rsid w:val="00663CDE"/>
    <w:rsid w:val="00665D70"/>
    <w:rsid w:val="00680DC7"/>
    <w:rsid w:val="00681905"/>
    <w:rsid w:val="0069107F"/>
    <w:rsid w:val="006A720E"/>
    <w:rsid w:val="006C52FA"/>
    <w:rsid w:val="006E4772"/>
    <w:rsid w:val="006E4F72"/>
    <w:rsid w:val="006E7B5F"/>
    <w:rsid w:val="00706C16"/>
    <w:rsid w:val="00720633"/>
    <w:rsid w:val="00721483"/>
    <w:rsid w:val="00727370"/>
    <w:rsid w:val="00745E1D"/>
    <w:rsid w:val="0075113B"/>
    <w:rsid w:val="00751C1F"/>
    <w:rsid w:val="00756841"/>
    <w:rsid w:val="00763C80"/>
    <w:rsid w:val="007649AB"/>
    <w:rsid w:val="007664D2"/>
    <w:rsid w:val="007833AC"/>
    <w:rsid w:val="00787D03"/>
    <w:rsid w:val="00797604"/>
    <w:rsid w:val="007B1532"/>
    <w:rsid w:val="007B7171"/>
    <w:rsid w:val="007C3DC2"/>
    <w:rsid w:val="007C7C89"/>
    <w:rsid w:val="007D066A"/>
    <w:rsid w:val="007E5497"/>
    <w:rsid w:val="007F0F3C"/>
    <w:rsid w:val="00806F5F"/>
    <w:rsid w:val="00820278"/>
    <w:rsid w:val="00823FAA"/>
    <w:rsid w:val="00842EE1"/>
    <w:rsid w:val="008715CF"/>
    <w:rsid w:val="008843B6"/>
    <w:rsid w:val="00885B2F"/>
    <w:rsid w:val="008864F2"/>
    <w:rsid w:val="00891500"/>
    <w:rsid w:val="00891928"/>
    <w:rsid w:val="00895A19"/>
    <w:rsid w:val="008A06F6"/>
    <w:rsid w:val="008A446D"/>
    <w:rsid w:val="008D6C13"/>
    <w:rsid w:val="008F0EA7"/>
    <w:rsid w:val="008F6ED3"/>
    <w:rsid w:val="00904FAE"/>
    <w:rsid w:val="00905D56"/>
    <w:rsid w:val="00923EEF"/>
    <w:rsid w:val="009243EB"/>
    <w:rsid w:val="00935B0F"/>
    <w:rsid w:val="009419F9"/>
    <w:rsid w:val="0095589E"/>
    <w:rsid w:val="00961B09"/>
    <w:rsid w:val="00965334"/>
    <w:rsid w:val="0096609D"/>
    <w:rsid w:val="0097093E"/>
    <w:rsid w:val="00993D1E"/>
    <w:rsid w:val="009A5E15"/>
    <w:rsid w:val="009B2561"/>
    <w:rsid w:val="009B4E39"/>
    <w:rsid w:val="009C0090"/>
    <w:rsid w:val="009C71FA"/>
    <w:rsid w:val="009C72E7"/>
    <w:rsid w:val="009F6437"/>
    <w:rsid w:val="00A02818"/>
    <w:rsid w:val="00A0284E"/>
    <w:rsid w:val="00A0605F"/>
    <w:rsid w:val="00A17F13"/>
    <w:rsid w:val="00A20739"/>
    <w:rsid w:val="00A223D9"/>
    <w:rsid w:val="00A33C78"/>
    <w:rsid w:val="00A531C6"/>
    <w:rsid w:val="00A66236"/>
    <w:rsid w:val="00A72B6B"/>
    <w:rsid w:val="00A91727"/>
    <w:rsid w:val="00AB0ADB"/>
    <w:rsid w:val="00AB319F"/>
    <w:rsid w:val="00AB6FEB"/>
    <w:rsid w:val="00AC757A"/>
    <w:rsid w:val="00AD085A"/>
    <w:rsid w:val="00AD3DDF"/>
    <w:rsid w:val="00AD5E99"/>
    <w:rsid w:val="00AF5EC9"/>
    <w:rsid w:val="00B21D1D"/>
    <w:rsid w:val="00B337D4"/>
    <w:rsid w:val="00B6498D"/>
    <w:rsid w:val="00B64D20"/>
    <w:rsid w:val="00B72CD3"/>
    <w:rsid w:val="00B72FFF"/>
    <w:rsid w:val="00B8206E"/>
    <w:rsid w:val="00B82BDC"/>
    <w:rsid w:val="00B839D9"/>
    <w:rsid w:val="00B92D5C"/>
    <w:rsid w:val="00BA75F0"/>
    <w:rsid w:val="00BC35F3"/>
    <w:rsid w:val="00BC3E2D"/>
    <w:rsid w:val="00BC7AAA"/>
    <w:rsid w:val="00BD005B"/>
    <w:rsid w:val="00BD15D4"/>
    <w:rsid w:val="00BD2E7A"/>
    <w:rsid w:val="00BD7F72"/>
    <w:rsid w:val="00BE54D4"/>
    <w:rsid w:val="00C02997"/>
    <w:rsid w:val="00C04FB3"/>
    <w:rsid w:val="00C230AE"/>
    <w:rsid w:val="00C330EB"/>
    <w:rsid w:val="00C35B3D"/>
    <w:rsid w:val="00C578A2"/>
    <w:rsid w:val="00C7386B"/>
    <w:rsid w:val="00C754BE"/>
    <w:rsid w:val="00CB6357"/>
    <w:rsid w:val="00CB740F"/>
    <w:rsid w:val="00CC1B26"/>
    <w:rsid w:val="00CE4016"/>
    <w:rsid w:val="00D006AB"/>
    <w:rsid w:val="00D0371F"/>
    <w:rsid w:val="00D045BF"/>
    <w:rsid w:val="00D423A2"/>
    <w:rsid w:val="00D43688"/>
    <w:rsid w:val="00D47096"/>
    <w:rsid w:val="00D63AC2"/>
    <w:rsid w:val="00D70E36"/>
    <w:rsid w:val="00D7383B"/>
    <w:rsid w:val="00D754A8"/>
    <w:rsid w:val="00D75CA4"/>
    <w:rsid w:val="00D82BD0"/>
    <w:rsid w:val="00DA231B"/>
    <w:rsid w:val="00E16408"/>
    <w:rsid w:val="00E20894"/>
    <w:rsid w:val="00E245AB"/>
    <w:rsid w:val="00E30429"/>
    <w:rsid w:val="00E50AFE"/>
    <w:rsid w:val="00E52470"/>
    <w:rsid w:val="00E737A6"/>
    <w:rsid w:val="00E755BE"/>
    <w:rsid w:val="00E771DC"/>
    <w:rsid w:val="00E834D1"/>
    <w:rsid w:val="00E8772A"/>
    <w:rsid w:val="00E90F6B"/>
    <w:rsid w:val="00E925A4"/>
    <w:rsid w:val="00E92C27"/>
    <w:rsid w:val="00E9755A"/>
    <w:rsid w:val="00EA0E3D"/>
    <w:rsid w:val="00EC0351"/>
    <w:rsid w:val="00EE1663"/>
    <w:rsid w:val="00EE1AA8"/>
    <w:rsid w:val="00EE5065"/>
    <w:rsid w:val="00EE6483"/>
    <w:rsid w:val="00F1023D"/>
    <w:rsid w:val="00F10F77"/>
    <w:rsid w:val="00F17039"/>
    <w:rsid w:val="00F17E32"/>
    <w:rsid w:val="00F204AB"/>
    <w:rsid w:val="00F22EA7"/>
    <w:rsid w:val="00F31EDC"/>
    <w:rsid w:val="00F5664F"/>
    <w:rsid w:val="00F613A2"/>
    <w:rsid w:val="00F70844"/>
    <w:rsid w:val="00F70EEB"/>
    <w:rsid w:val="00F72CA0"/>
    <w:rsid w:val="00F76AFC"/>
    <w:rsid w:val="00F861E8"/>
    <w:rsid w:val="00FB4175"/>
    <w:rsid w:val="00FB5DD1"/>
    <w:rsid w:val="00FC2B5D"/>
    <w:rsid w:val="00FF1449"/>
    <w:rsid w:val="00FF1796"/>
    <w:rsid w:val="1A019477"/>
    <w:rsid w:val="3549F7D7"/>
    <w:rsid w:val="3CF93E85"/>
    <w:rsid w:val="47A45666"/>
    <w:rsid w:val="5084A66E"/>
    <w:rsid w:val="58922DE6"/>
    <w:rsid w:val="687B05C8"/>
    <w:rsid w:val="787D6521"/>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Textoindependiente">
    <w:name w:val="Body Text"/>
    <w:basedOn w:val="Normal"/>
    <w:link w:val="TextoindependienteCar"/>
    <w:uiPriority w:val="1"/>
    <w:qFormat/>
    <w:rsid w:val="00720633"/>
    <w:pPr>
      <w:widowControl w:val="0"/>
      <w:autoSpaceDE w:val="0"/>
      <w:autoSpaceDN w:val="0"/>
      <w:spacing w:after="0" w:line="240" w:lineRule="auto"/>
    </w:pPr>
    <w:rPr>
      <w:rFonts w:ascii="Arial MT" w:hAnsi="Arial MT" w:eastAsia="Arial MT" w:cs="Arial MT"/>
      <w:lang w:val="es-ES"/>
    </w:rPr>
  </w:style>
  <w:style w:type="character" w:styleId="TextoindependienteCar" w:customStyle="1">
    <w:name w:val="Texto independiente Car"/>
    <w:basedOn w:val="Fuentedeprrafopredeter"/>
    <w:link w:val="Textoindependiente"/>
    <w:uiPriority w:val="1"/>
    <w:rsid w:val="00720633"/>
    <w:rPr>
      <w:rFonts w:ascii="Arial MT" w:hAnsi="Arial MT" w:eastAsia="Arial MT" w:cs="Arial MT"/>
      <w:lang w:val="es-ES"/>
    </w:rPr>
  </w:style>
  <w:style w:type="paragraph" w:styleId="Appelnotedebasde" w:customStyle="1">
    <w:name w:val="Appel note de bas de..."/>
    <w:basedOn w:val="Normal"/>
    <w:link w:val="Refdenotaalpie"/>
    <w:uiPriority w:val="99"/>
    <w:rsid w:val="00720633"/>
    <w:pPr>
      <w:spacing w:line="240" w:lineRule="exact"/>
    </w:pPr>
    <w:rPr>
      <w:vertAlign w:val="superscript"/>
    </w:rPr>
  </w:style>
  <w:style w:type="character" w:styleId="Textoennegrita">
    <w:name w:val="Strong"/>
    <w:basedOn w:val="Fuentedeprrafopredeter"/>
    <w:uiPriority w:val="22"/>
    <w:qFormat/>
    <w:rsid w:val="00720633"/>
    <w:rPr>
      <w:b/>
      <w:bCs/>
    </w:rPr>
  </w:style>
  <w:style w:type="paragraph" w:styleId="Revisin">
    <w:name w:val="Revision"/>
    <w:hidden/>
    <w:uiPriority w:val="99"/>
    <w:semiHidden/>
    <w:rsid w:val="005758DE"/>
    <w:pPr>
      <w:spacing w:after="0" w:line="240" w:lineRule="auto"/>
    </w:p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02997"/>
    <w:rPr>
      <w:rFonts w:ascii="Geomanist Light" w:hAnsi="Geomanist Light"/>
      <w:lang w:val="es-ES"/>
    </w:rPr>
  </w:style>
  <w:style w:type="character" w:styleId="Mencinsinresolver">
    <w:name w:val="Unresolved Mention"/>
    <w:basedOn w:val="Fuentedeprrafopredeter"/>
    <w:uiPriority w:val="99"/>
    <w:semiHidden/>
    <w:unhideWhenUsed/>
    <w:rsid w:val="00680DC7"/>
    <w:rPr>
      <w:color w:val="605E5C"/>
      <w:shd w:val="clear" w:color="auto" w:fill="E1DFDD"/>
    </w:rPr>
  </w:style>
  <w:style w:type="paragraph" w:styleId="Sinespaciado">
    <w:name w:val="No Spacing"/>
    <w:aliases w:val="No Indent"/>
    <w:uiPriority w:val="3"/>
    <w:qFormat/>
    <w:rsid w:val="00A72B6B"/>
    <w:pPr>
      <w:spacing w:after="0" w:line="240" w:lineRule="auto"/>
    </w:pPr>
  </w:style>
  <w:style w:type="paragraph" w:styleId="NormalWeb">
    <w:name w:val="Normal (Web)"/>
    <w:basedOn w:val="Normal"/>
    <w:uiPriority w:val="99"/>
    <w:unhideWhenUsed/>
    <w:rsid w:val="005A52F4"/>
    <w:pPr>
      <w:spacing w:line="256" w:lineRule="auto"/>
    </w:pPr>
    <w:rPr>
      <w:rFonts w:ascii="Times New Roman" w:hAnsi="Times New Roman" w:cs="Times New Roman"/>
      <w:sz w:val="24"/>
      <w:szCs w:val="24"/>
    </w:rPr>
  </w:style>
  <w:style w:type="character" w:styleId="baj" w:customStyle="1">
    <w:name w:val="b_aj"/>
    <w:basedOn w:val="Fuentedeprrafopredeter"/>
    <w:rsid w:val="00D47096"/>
  </w:style>
  <w:style w:type="paragraph" w:styleId="paragraph" w:customStyle="1">
    <w:name w:val="paragraph"/>
    <w:basedOn w:val="Normal"/>
    <w:rsid w:val="00EE1663"/>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eop" w:customStyle="1">
    <w:name w:val="eop"/>
    <w:basedOn w:val="Fuentedeprrafopredeter"/>
    <w:rsid w:val="00EE1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2476">
      <w:bodyDiv w:val="1"/>
      <w:marLeft w:val="0"/>
      <w:marRight w:val="0"/>
      <w:marTop w:val="0"/>
      <w:marBottom w:val="0"/>
      <w:divBdr>
        <w:top w:val="none" w:sz="0" w:space="0" w:color="auto"/>
        <w:left w:val="none" w:sz="0" w:space="0" w:color="auto"/>
        <w:bottom w:val="none" w:sz="0" w:space="0" w:color="auto"/>
        <w:right w:val="none" w:sz="0" w:space="0" w:color="auto"/>
      </w:divBdr>
    </w:div>
    <w:div w:id="946427806">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358778685">
      <w:bodyDiv w:val="1"/>
      <w:marLeft w:val="0"/>
      <w:marRight w:val="0"/>
      <w:marTop w:val="0"/>
      <w:marBottom w:val="0"/>
      <w:divBdr>
        <w:top w:val="none" w:sz="0" w:space="0" w:color="auto"/>
        <w:left w:val="none" w:sz="0" w:space="0" w:color="auto"/>
        <w:bottom w:val="none" w:sz="0" w:space="0" w:color="auto"/>
        <w:right w:val="none" w:sz="0" w:space="0" w:color="auto"/>
      </w:divBdr>
    </w:div>
    <w:div w:id="1649897347">
      <w:bodyDiv w:val="1"/>
      <w:marLeft w:val="0"/>
      <w:marRight w:val="0"/>
      <w:marTop w:val="0"/>
      <w:marBottom w:val="0"/>
      <w:divBdr>
        <w:top w:val="none" w:sz="0" w:space="0" w:color="auto"/>
        <w:left w:val="none" w:sz="0" w:space="0" w:color="auto"/>
        <w:bottom w:val="none" w:sz="0" w:space="0" w:color="auto"/>
        <w:right w:val="none" w:sz="0" w:space="0" w:color="auto"/>
      </w:divBdr>
    </w:div>
    <w:div w:id="1802184134">
      <w:bodyDiv w:val="1"/>
      <w:marLeft w:val="0"/>
      <w:marRight w:val="0"/>
      <w:marTop w:val="0"/>
      <w:marBottom w:val="0"/>
      <w:divBdr>
        <w:top w:val="none" w:sz="0" w:space="0" w:color="auto"/>
        <w:left w:val="none" w:sz="0" w:space="0" w:color="auto"/>
        <w:bottom w:val="none" w:sz="0" w:space="0" w:color="auto"/>
        <w:right w:val="none" w:sz="0" w:space="0" w:color="auto"/>
      </w:divBdr>
    </w:div>
    <w:div w:id="1891501242">
      <w:bodyDiv w:val="1"/>
      <w:marLeft w:val="0"/>
      <w:marRight w:val="0"/>
      <w:marTop w:val="0"/>
      <w:marBottom w:val="0"/>
      <w:divBdr>
        <w:top w:val="none" w:sz="0" w:space="0" w:color="auto"/>
        <w:left w:val="none" w:sz="0" w:space="0" w:color="auto"/>
        <w:bottom w:val="none" w:sz="0" w:space="0" w:color="auto"/>
        <w:right w:val="none" w:sz="0" w:space="0" w:color="auto"/>
      </w:divBdr>
    </w:div>
    <w:div w:id="210668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about:blan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uridica@eseguaviare.gov.co" TargetMode="External" Id="rId11"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about:blank"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https://relatoria.colombiacompra.gov.co/busqueda/conceptos%20"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Christian Camilo Orjuela Galeano</DisplayName>
        <AccountId>487</AccountId>
        <AccountType/>
      </UserInfo>
      <UserInfo>
        <DisplayName>Adriana Katerine Lopez Rodriguez</DisplayName>
        <AccountId>807</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994D5883-B372-4296-BD58-06926FEC89EE}"/>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37377B6C-45D0-4C94-92F0-3BC6BF831930}">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Christian Camilo Orjuela Galeano</lastModifiedBy>
  <revision>30</revision>
  <lastPrinted>2023-01-10T21:18:00.0000000Z</lastPrinted>
  <dcterms:created xsi:type="dcterms:W3CDTF">2024-04-26T18:30:00.0000000Z</dcterms:created>
  <dcterms:modified xsi:type="dcterms:W3CDTF">2024-10-11T14:09:45.5817089Z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