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B75587E" w:rsidP="7473D780" w:rsidRDefault="5B75587E" w14:paraId="46ABA3B2" w14:textId="3EB7A53C">
      <w:pPr>
        <w:bidi w:val="0"/>
        <w:spacing w:before="0" w:beforeAutospacing="off" w:after="0" w:afterAutospacing="off"/>
        <w:jc w:val="both"/>
      </w:pPr>
      <w:r w:rsidRPr="7473D780" w:rsidR="5B75587E">
        <w:rPr>
          <w:rFonts w:ascii="Verdana" w:hAnsi="Verdana" w:eastAsia="Verdana" w:cs="Verdana"/>
          <w:b w:val="1"/>
          <w:bCs w:val="1"/>
          <w:noProof w:val="0"/>
          <w:sz w:val="22"/>
          <w:szCs w:val="22"/>
          <w:lang w:val="es-MX"/>
        </w:rPr>
        <w:t>PRECIOS ARTIFICIALMENTE BAJOS – Noción</w:t>
      </w:r>
    </w:p>
    <w:p w:rsidR="5B75587E" w:rsidP="7473D780" w:rsidRDefault="5B75587E" w14:paraId="111424D8" w14:textId="2A4CC398">
      <w:pPr>
        <w:bidi w:val="0"/>
        <w:spacing w:before="0" w:beforeAutospacing="off" w:after="0" w:afterAutospacing="off"/>
        <w:jc w:val="both"/>
      </w:pPr>
      <w:r w:rsidRPr="7473D780" w:rsidR="5B75587E">
        <w:rPr>
          <w:rFonts w:ascii="Verdana" w:hAnsi="Verdana" w:eastAsia="Verdana" w:cs="Verdana"/>
          <w:noProof w:val="0"/>
          <w:sz w:val="22"/>
          <w:szCs w:val="22"/>
          <w:highlight w:val="yellow"/>
          <w:lang w:val="es"/>
        </w:rPr>
        <w:t xml:space="preserve"> </w:t>
      </w:r>
    </w:p>
    <w:p w:rsidR="5B75587E" w:rsidP="7473D780" w:rsidRDefault="5B75587E" w14:paraId="549631E0" w14:textId="37F1B2FF">
      <w:pPr>
        <w:bidi w:val="0"/>
        <w:spacing w:before="0" w:beforeAutospacing="off" w:after="0" w:afterAutospacing="off"/>
        <w:jc w:val="both"/>
      </w:pPr>
      <w:r w:rsidRPr="7473D780" w:rsidR="5B75587E">
        <w:rPr>
          <w:rFonts w:ascii="Verdana" w:hAnsi="Verdana" w:eastAsia="Verdana" w:cs="Verdana"/>
          <w:noProof w:val="0"/>
          <w:sz w:val="22"/>
          <w:szCs w:val="22"/>
          <w:lang w:val="es"/>
        </w:rPr>
        <w:t>Es importante definir el concepto de “precio artificialmente bajo”, por lo cual la jurisprudencia de la Sección Tercera del Consejo de Estado señala que es aquel que, por un lado, resulta artificioso, disimulado o falso y, por el otro, no tiene sustento o fundamento en relación con su estructuración dentro del tráfico comercial.</w:t>
      </w:r>
    </w:p>
    <w:p w:rsidR="5B75587E" w:rsidP="7473D780" w:rsidRDefault="5B75587E" w14:paraId="5205CA80" w14:textId="63E952B5">
      <w:pPr>
        <w:bidi w:val="0"/>
        <w:spacing w:before="0" w:beforeAutospacing="off" w:after="0" w:afterAutospacing="off"/>
        <w:jc w:val="both"/>
      </w:pPr>
      <w:r w:rsidRPr="7473D780" w:rsidR="5B75587E">
        <w:rPr>
          <w:rFonts w:ascii="Verdana" w:hAnsi="Verdana" w:eastAsia="Verdana" w:cs="Verdana"/>
          <w:noProof w:val="0"/>
          <w:sz w:val="22"/>
          <w:szCs w:val="22"/>
          <w:lang w:val="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rsidR="5B75587E" w:rsidP="7473D780" w:rsidRDefault="5B75587E" w14:paraId="589E3200" w14:textId="1AAA8046">
      <w:pPr>
        <w:bidi w:val="0"/>
        <w:spacing w:before="0" w:beforeAutospacing="off" w:after="0" w:afterAutospacing="off"/>
        <w:jc w:val="both"/>
      </w:pPr>
      <w:r w:rsidRPr="7473D780" w:rsidR="5B75587E">
        <w:rPr>
          <w:rFonts w:ascii="Verdana" w:hAnsi="Verdana" w:eastAsia="Verdana" w:cs="Verdana"/>
          <w:noProof w:val="0"/>
          <w:sz w:val="22"/>
          <w:szCs w:val="22"/>
          <w:lang w:val="es"/>
        </w:rPr>
        <w:t xml:space="preserve"> </w:t>
      </w:r>
    </w:p>
    <w:p w:rsidR="5B75587E" w:rsidP="7473D780" w:rsidRDefault="5B75587E" w14:paraId="7593071B" w14:textId="725169D8">
      <w:pPr>
        <w:bidi w:val="0"/>
        <w:spacing w:before="0" w:beforeAutospacing="off" w:after="0" w:afterAutospacing="off"/>
        <w:jc w:val="both"/>
      </w:pPr>
      <w:r w:rsidRPr="7473D780" w:rsidR="5B75587E">
        <w:rPr>
          <w:rFonts w:ascii="Verdana" w:hAnsi="Verdana" w:eastAsia="Verdana" w:cs="Verdana"/>
          <w:b w:val="1"/>
          <w:bCs w:val="1"/>
          <w:noProof w:val="0"/>
          <w:sz w:val="22"/>
          <w:szCs w:val="22"/>
          <w:lang w:val="es-MX"/>
        </w:rPr>
        <w:t>PRECIOS ARTIFICIALMENTE BAJOS – Noción – Colombia Compra Eficiente</w:t>
      </w:r>
    </w:p>
    <w:p w:rsidR="5B75587E" w:rsidP="7473D780" w:rsidRDefault="5B75587E" w14:paraId="2AC4A5D2" w14:textId="48E583D3">
      <w:pPr>
        <w:bidi w:val="0"/>
        <w:spacing w:before="0" w:beforeAutospacing="off" w:after="0" w:afterAutospacing="off"/>
        <w:jc w:val="both"/>
      </w:pPr>
      <w:r w:rsidRPr="7473D780" w:rsidR="5B75587E">
        <w:rPr>
          <w:rFonts w:ascii="Verdana" w:hAnsi="Verdana" w:eastAsia="Verdana" w:cs="Verdana"/>
          <w:noProof w:val="0"/>
          <w:sz w:val="22"/>
          <w:szCs w:val="22"/>
          <w:highlight w:val="yellow"/>
          <w:lang w:val="es"/>
        </w:rPr>
        <w:t xml:space="preserve"> </w:t>
      </w:r>
    </w:p>
    <w:p w:rsidR="5B75587E" w:rsidP="7473D780" w:rsidRDefault="5B75587E" w14:paraId="7E8E217D" w14:textId="2616D0FD">
      <w:pPr>
        <w:bidi w:val="0"/>
        <w:spacing w:before="0" w:beforeAutospacing="off" w:after="0" w:afterAutospacing="off"/>
        <w:jc w:val="both"/>
      </w:pPr>
      <w:r w:rsidRPr="7473D780" w:rsidR="5B75587E">
        <w:rPr>
          <w:rFonts w:ascii="Verdana" w:hAnsi="Verdana" w:eastAsia="Verdana" w:cs="Verdana"/>
          <w:noProof w:val="0"/>
          <w:sz w:val="22"/>
          <w:szCs w:val="22"/>
          <w:lang w:val="es"/>
        </w:rPr>
        <w:t xml:space="preserve">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rsidR="5B75587E" w:rsidP="7473D780" w:rsidRDefault="5B75587E" w14:paraId="203D6A53" w14:textId="2254B482">
      <w:pPr>
        <w:bidi w:val="0"/>
        <w:spacing w:before="0" w:beforeAutospacing="off" w:after="0" w:afterAutospacing="off"/>
        <w:jc w:val="both"/>
      </w:pPr>
      <w:r w:rsidRPr="7473D780" w:rsidR="5B75587E">
        <w:rPr>
          <w:rFonts w:ascii="Verdana" w:hAnsi="Verdana" w:eastAsia="Verdana" w:cs="Verdana"/>
          <w:noProof w:val="0"/>
          <w:sz w:val="22"/>
          <w:szCs w:val="22"/>
          <w:highlight w:val="yellow"/>
          <w:lang w:val="es"/>
        </w:rPr>
        <w:t xml:space="preserve"> </w:t>
      </w:r>
    </w:p>
    <w:p w:rsidR="5B75587E" w:rsidP="7473D780" w:rsidRDefault="5B75587E" w14:paraId="6B4DE163" w14:textId="0EB9891E">
      <w:pPr>
        <w:bidi w:val="0"/>
        <w:spacing w:before="0" w:beforeAutospacing="off" w:after="0" w:afterAutospacing="off"/>
        <w:jc w:val="both"/>
      </w:pPr>
      <w:r w:rsidRPr="7473D780" w:rsidR="5B75587E">
        <w:rPr>
          <w:rFonts w:ascii="Verdana" w:hAnsi="Verdana" w:eastAsia="Verdana" w:cs="Verdana"/>
          <w:b w:val="1"/>
          <w:bCs w:val="1"/>
          <w:noProof w:val="0"/>
          <w:sz w:val="22"/>
          <w:szCs w:val="22"/>
          <w:lang w:val="es-MX"/>
        </w:rPr>
        <w:t>GUÍA PARA EL MANEJO DE OFERTAS ARTIFICIALMENTE BAJAS – Identificación</w:t>
      </w:r>
    </w:p>
    <w:p w:rsidR="5B75587E" w:rsidP="7473D780" w:rsidRDefault="5B75587E" w14:paraId="1EF538DE" w14:textId="36B41068">
      <w:pPr>
        <w:bidi w:val="0"/>
        <w:spacing w:before="0" w:beforeAutospacing="off" w:after="0" w:afterAutospacing="off"/>
        <w:jc w:val="both"/>
      </w:pPr>
      <w:r w:rsidRPr="7473D780" w:rsidR="5B75587E">
        <w:rPr>
          <w:rFonts w:ascii="Verdana" w:hAnsi="Verdana" w:eastAsia="Verdana" w:cs="Verdana"/>
          <w:noProof w:val="0"/>
          <w:sz w:val="22"/>
          <w:szCs w:val="22"/>
          <w:highlight w:val="yellow"/>
          <w:lang w:val="es"/>
        </w:rPr>
        <w:t xml:space="preserve"> </w:t>
      </w:r>
    </w:p>
    <w:p w:rsidR="5B75587E" w:rsidP="7473D780" w:rsidRDefault="5B75587E" w14:paraId="6BB47C4D" w14:textId="065EF2F0">
      <w:pPr>
        <w:bidi w:val="0"/>
        <w:spacing w:before="0" w:beforeAutospacing="off" w:after="0" w:afterAutospacing="off"/>
        <w:jc w:val="both"/>
      </w:pPr>
      <w:r w:rsidRPr="7473D780" w:rsidR="5B75587E">
        <w:rPr>
          <w:rFonts w:ascii="Verdana" w:hAnsi="Verdana" w:eastAsia="Verdana" w:cs="Verdana"/>
          <w:noProof w:val="0"/>
          <w:sz w:val="22"/>
          <w:szCs w:val="22"/>
          <w:lang w:val="es-ES"/>
        </w:rPr>
        <w:t>Con esta información, la Guía propone dos (2) “herramientas” y una (1) “metodología”,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 sino aquellas con un valor por debajo del 20% o un porcentaje superior, respecto del valor que la entidad definió como precio del bien, obra o servicio.</w:t>
      </w:r>
    </w:p>
    <w:p w:rsidR="5B75587E" w:rsidP="7473D780" w:rsidRDefault="5B75587E" w14:paraId="796B4807" w14:textId="20A31686">
      <w:pPr>
        <w:bidi w:val="0"/>
        <w:spacing w:before="0" w:beforeAutospacing="off" w:after="0" w:afterAutospacing="off"/>
        <w:jc w:val="both"/>
      </w:pPr>
      <w:r w:rsidRPr="7473D780" w:rsidR="5B75587E">
        <w:rPr>
          <w:rFonts w:ascii="Verdana" w:hAnsi="Verdana" w:eastAsia="Verdana" w:cs="Verdana"/>
          <w:noProof w:val="0"/>
          <w:sz w:val="22"/>
          <w:szCs w:val="22"/>
          <w:lang w:val="es-ES"/>
        </w:rPr>
        <w:t>La segunda herramienta, denominada comparación relativa, corresponde a la “comparación de cada oferta con las demás presentadas”, sin que se indique la cantidad de ofertas que debió recibir la entidad, por lo cual nada obsta para aplicarla, independientemente del número de ofertas presentadas al procedimiento. […] Por otra parte, Colombia Compra Eficiente ha sugerido aplicar la siguiente metodología con pasos sucesivos, para identificar ofertas que pueden tener “precios artificialmente bajos”, en los procedimientos donde hay cinco (5) o más ofertas, es decir, no es posible aplicarla cuando se reciben menos de cinco (5) ofertas: i) tomar el conjunto de ofertas a evaluar, ii) calcular la mediana, o dependiendo de la dispersión de los datos el promedio, del valor de cada oferta o de cada ítem dentro de la oferta, iii) calcular la desviación estándar del conjunto y iv) determinar el valor mínimo aceptable.</w:t>
      </w:r>
    </w:p>
    <w:p w:rsidR="5B75587E" w:rsidP="7473D780" w:rsidRDefault="5B75587E" w14:paraId="073644E1" w14:textId="3C1C2543">
      <w:pPr>
        <w:bidi w:val="0"/>
        <w:spacing w:before="0" w:beforeAutospacing="off" w:after="0" w:afterAutospacing="off"/>
        <w:jc w:val="both"/>
      </w:pPr>
      <w:r w:rsidRPr="7473D780" w:rsidR="5B75587E">
        <w:rPr>
          <w:rFonts w:ascii="Verdana" w:hAnsi="Verdana" w:eastAsia="Verdana" w:cs="Verdana"/>
          <w:noProof w:val="0"/>
          <w:sz w:val="22"/>
          <w:szCs w:val="22"/>
          <w:lang w:val="es"/>
        </w:rPr>
        <w:t xml:space="preserve"> </w:t>
      </w:r>
    </w:p>
    <w:p w:rsidR="5B75587E" w:rsidP="7473D780" w:rsidRDefault="5B75587E" w14:paraId="1316A825" w14:textId="1D341E3C">
      <w:pPr>
        <w:bidi w:val="0"/>
        <w:spacing w:before="0" w:beforeAutospacing="off" w:after="0" w:afterAutospacing="off"/>
        <w:jc w:val="both"/>
      </w:pPr>
      <w:r w:rsidRPr="7473D780" w:rsidR="5B75587E">
        <w:rPr>
          <w:rFonts w:ascii="Verdana" w:hAnsi="Verdana" w:eastAsia="Verdana" w:cs="Verdana"/>
          <w:b w:val="1"/>
          <w:bCs w:val="1"/>
          <w:noProof w:val="0"/>
          <w:sz w:val="22"/>
          <w:szCs w:val="22"/>
          <w:lang w:val="es-MX"/>
        </w:rPr>
        <w:t>GUÍA PARA EL MANEJO DE OFERTAS ARTIFICIALMENTE BAJAS – Manejo</w:t>
      </w:r>
    </w:p>
    <w:p w:rsidR="5B75587E" w:rsidP="7473D780" w:rsidRDefault="5B75587E" w14:paraId="6C8AEDCB" w14:textId="21C050D1">
      <w:pPr>
        <w:bidi w:val="0"/>
        <w:spacing w:before="0" w:beforeAutospacing="off" w:after="0" w:afterAutospacing="off"/>
        <w:jc w:val="both"/>
      </w:pPr>
      <w:r w:rsidRPr="7473D780" w:rsidR="5B75587E">
        <w:rPr>
          <w:rFonts w:ascii="Verdana" w:hAnsi="Verdana" w:eastAsia="Verdana" w:cs="Verdana"/>
          <w:noProof w:val="0"/>
          <w:sz w:val="22"/>
          <w:szCs w:val="22"/>
          <w:highlight w:val="yellow"/>
          <w:lang w:val="es"/>
        </w:rPr>
        <w:t xml:space="preserve"> </w:t>
      </w:r>
    </w:p>
    <w:p w:rsidR="5B75587E" w:rsidP="7473D780" w:rsidRDefault="5B75587E" w14:paraId="3F9AE4BA" w14:textId="057A1628">
      <w:pPr>
        <w:bidi w:val="0"/>
        <w:spacing w:before="0" w:beforeAutospacing="off" w:after="0" w:afterAutospacing="off"/>
        <w:jc w:val="both"/>
      </w:pPr>
      <w:r w:rsidRPr="682F15CB" w:rsidR="5B75587E">
        <w:rPr>
          <w:rFonts w:ascii="Verdana" w:hAnsi="Verdana" w:eastAsia="Verdana" w:cs="Verdana"/>
          <w:noProof w:val="0"/>
          <w:sz w:val="22"/>
          <w:szCs w:val="22"/>
          <w:lang w:val="es-ES"/>
        </w:rPr>
        <w:t xml:space="preserve">Identificadas estas ofertas, la Guía sugiere realizar las siguientes actuaciones, observando lo dispuesto en el artículo 2.2.1.1.2.2.4. del Decreto 1082 de 2015: i) solicitar aclaración a los proponentes que hayan ofertado precios que parecen bajos injustificadamente, </w:t>
      </w:r>
      <w:r w:rsidRPr="682F15CB" w:rsidR="5B75587E">
        <w:rPr>
          <w:rFonts w:ascii="Verdana" w:hAnsi="Verdana" w:eastAsia="Verdana" w:cs="Verdana"/>
          <w:noProof w:val="0"/>
          <w:sz w:val="22"/>
          <w:szCs w:val="22"/>
          <w:lang w:val="es-ES"/>
        </w:rPr>
        <w:t>ii</w:t>
      </w:r>
      <w:r w:rsidRPr="682F15CB" w:rsidR="5B75587E">
        <w:rPr>
          <w:rFonts w:ascii="Verdana" w:hAnsi="Verdana" w:eastAsia="Verdana" w:cs="Verdana"/>
          <w:noProof w:val="0"/>
          <w:sz w:val="22"/>
          <w:szCs w:val="22"/>
          <w:lang w:val="es-ES"/>
        </w:rPr>
        <w:t xml:space="preserve">) analizar las explicaciones y </w:t>
      </w:r>
      <w:r w:rsidRPr="682F15CB" w:rsidR="5B75587E">
        <w:rPr>
          <w:rFonts w:ascii="Verdana" w:hAnsi="Verdana" w:eastAsia="Verdana" w:cs="Verdana"/>
          <w:noProof w:val="0"/>
          <w:sz w:val="22"/>
          <w:szCs w:val="22"/>
          <w:lang w:val="es-ES"/>
        </w:rPr>
        <w:t>iii</w:t>
      </w:r>
      <w:r w:rsidRPr="682F15CB" w:rsidR="5B75587E">
        <w:rPr>
          <w:rFonts w:ascii="Verdana" w:hAnsi="Verdana" w:eastAsia="Verdana" w:cs="Verdana"/>
          <w:noProof w:val="0"/>
          <w:sz w:val="22"/>
          <w:szCs w:val="22"/>
          <w:lang w:val="es-ES"/>
        </w:rPr>
        <w:t>) decidir “si continúa con la evaluación de la oferta porque la explicación demuestra la habilidad del proponente para cumplir adecuadamente con el contrato con los precios ofrecidos, o rechazar la oferta si la explicación no sustenta los valores ofrecidos”.</w:t>
      </w:r>
    </w:p>
    <w:p w:rsidR="5B75587E" w:rsidP="7473D780" w:rsidRDefault="5B75587E" w14:paraId="015ACB13" w14:textId="18C48C4B">
      <w:pPr>
        <w:bidi w:val="0"/>
        <w:spacing w:before="0" w:beforeAutospacing="off" w:after="0" w:afterAutospacing="off"/>
        <w:jc w:val="left"/>
      </w:pPr>
      <w:r w:rsidRPr="7473D780" w:rsidR="5B75587E">
        <w:rPr>
          <w:rFonts w:ascii="Verdana" w:hAnsi="Verdana" w:eastAsia="Verdana" w:cs="Verdana"/>
          <w:noProof w:val="0"/>
          <w:color w:val="000000" w:themeColor="text1" w:themeTint="FF" w:themeShade="FF"/>
          <w:sz w:val="22"/>
          <w:szCs w:val="22"/>
          <w:lang w:val="es-MX"/>
        </w:rPr>
        <w:t xml:space="preserve"> </w:t>
      </w:r>
    </w:p>
    <w:p w:rsidR="5B75587E" w:rsidP="7473D780" w:rsidRDefault="5B75587E" w14:paraId="000FC601" w14:textId="4610034D">
      <w:pPr>
        <w:bidi w:val="0"/>
        <w:spacing w:before="0" w:beforeAutospacing="off" w:after="0" w:afterAutospacing="off"/>
        <w:jc w:val="left"/>
      </w:pPr>
      <w:r w:rsidRPr="7473D780" w:rsidR="5B75587E">
        <w:rPr>
          <w:rFonts w:ascii="Verdana" w:hAnsi="Verdana" w:eastAsia="Verdana" w:cs="Verdana"/>
          <w:noProof w:val="0"/>
          <w:color w:val="000000" w:themeColor="text1" w:themeTint="FF" w:themeShade="FF"/>
          <w:sz w:val="22"/>
          <w:szCs w:val="22"/>
          <w:lang w:val="es-MX"/>
        </w:rPr>
        <w:t xml:space="preserve"> </w:t>
      </w:r>
    </w:p>
    <w:p w:rsidR="5B75587E" w:rsidP="7473D780" w:rsidRDefault="5B75587E" w14:paraId="0BC18BCC" w14:textId="1716BCEA">
      <w:pPr>
        <w:bidi w:val="0"/>
        <w:spacing w:before="0" w:beforeAutospacing="off" w:after="0" w:afterAutospacing="off"/>
        <w:jc w:val="left"/>
      </w:pPr>
      <w:r w:rsidRPr="7473D780" w:rsidR="5B75587E">
        <w:rPr>
          <w:rFonts w:ascii="Verdana" w:hAnsi="Verdana" w:eastAsia="Verdana" w:cs="Verdana"/>
          <w:noProof w:val="0"/>
          <w:color w:val="000000" w:themeColor="text1" w:themeTint="FF" w:themeShade="FF"/>
          <w:sz w:val="22"/>
          <w:szCs w:val="22"/>
          <w:lang w:val="es-MX"/>
        </w:rPr>
        <w:t xml:space="preserve"> </w:t>
      </w:r>
    </w:p>
    <w:p w:rsidR="5B75587E" w:rsidP="7473D780" w:rsidRDefault="5B75587E" w14:paraId="2D65232C" w14:textId="4BE16168">
      <w:pPr>
        <w:bidi w:val="0"/>
        <w:spacing w:before="0" w:beforeAutospacing="off" w:after="0" w:afterAutospacing="off"/>
        <w:jc w:val="left"/>
      </w:pPr>
      <w:r w:rsidRPr="7473D780" w:rsidR="5B75587E">
        <w:rPr>
          <w:rFonts w:ascii="Verdana" w:hAnsi="Verdana" w:eastAsia="Verdana" w:cs="Verdana"/>
          <w:noProof w:val="0"/>
          <w:color w:val="000000" w:themeColor="text1" w:themeTint="FF" w:themeShade="FF"/>
          <w:sz w:val="22"/>
          <w:szCs w:val="22"/>
          <w:lang w:val="es-MX"/>
        </w:rPr>
        <w:t xml:space="preserve"> </w:t>
      </w:r>
    </w:p>
    <w:p w:rsidR="5B75587E" w:rsidP="7473D780" w:rsidRDefault="5B75587E" w14:paraId="60E8B0F6" w14:textId="103CBEAD">
      <w:pPr>
        <w:bidi w:val="0"/>
        <w:spacing w:before="0" w:beforeAutospacing="off" w:after="0" w:afterAutospacing="off"/>
        <w:jc w:val="left"/>
      </w:pPr>
      <w:r w:rsidRPr="7473D780" w:rsidR="5B75587E">
        <w:rPr>
          <w:rFonts w:ascii="Verdana" w:hAnsi="Verdana" w:eastAsia="Verdana" w:cs="Verdana"/>
          <w:noProof w:val="0"/>
          <w:color w:val="000000" w:themeColor="text1" w:themeTint="FF" w:themeShade="FF"/>
          <w:sz w:val="22"/>
          <w:szCs w:val="22"/>
          <w:lang w:val="es-MX"/>
        </w:rPr>
        <w:t xml:space="preserve"> </w:t>
      </w:r>
    </w:p>
    <w:p w:rsidR="5B75587E" w:rsidP="7473D780" w:rsidRDefault="5B75587E" w14:paraId="7A8D8A7B" w14:textId="46CBDEAA">
      <w:pPr>
        <w:bidi w:val="0"/>
        <w:spacing w:before="0" w:beforeAutospacing="off" w:after="0" w:afterAutospacing="off" w:line="257" w:lineRule="auto"/>
        <w:jc w:val="left"/>
      </w:pPr>
      <w:r w:rsidRPr="7473D780" w:rsidR="5B75587E">
        <w:rPr>
          <w:rFonts w:ascii="Verdana" w:hAnsi="Verdana" w:eastAsia="Verdana" w:cs="Verdana"/>
          <w:noProof w:val="0"/>
          <w:sz w:val="22"/>
          <w:szCs w:val="22"/>
          <w:lang w:val="es-CO"/>
        </w:rPr>
        <w:t xml:space="preserve"> </w:t>
      </w:r>
    </w:p>
    <w:p w:rsidR="5B75587E" w:rsidP="7473D780" w:rsidRDefault="5B75587E" w14:paraId="161B9C44" w14:textId="5B51A6DD">
      <w:pPr>
        <w:bidi w:val="0"/>
        <w:spacing w:before="0" w:beforeAutospacing="off" w:after="0" w:afterAutospacing="off" w:line="257" w:lineRule="auto"/>
        <w:jc w:val="left"/>
      </w:pPr>
      <w:r w:rsidRPr="7473D780" w:rsidR="5B75587E">
        <w:rPr>
          <w:rFonts w:ascii="Verdana" w:hAnsi="Verdana" w:eastAsia="Verdana" w:cs="Verdana"/>
          <w:noProof w:val="0"/>
          <w:sz w:val="22"/>
          <w:szCs w:val="22"/>
          <w:lang w:val="es-CO"/>
        </w:rPr>
        <w:t xml:space="preserve"> </w:t>
      </w:r>
    </w:p>
    <w:p w:rsidR="5B75587E" w:rsidP="7473D780" w:rsidRDefault="5B75587E" w14:paraId="4BC160BE" w14:textId="65BBEE5A">
      <w:pPr>
        <w:bidi w:val="0"/>
        <w:spacing w:before="0" w:beforeAutospacing="off" w:after="0" w:afterAutospacing="off" w:line="257" w:lineRule="auto"/>
        <w:jc w:val="left"/>
      </w:pPr>
      <w:r w:rsidRPr="7473D780" w:rsidR="5B75587E">
        <w:rPr>
          <w:rFonts w:ascii="Verdana" w:hAnsi="Verdana" w:eastAsia="Verdana" w:cs="Verdana"/>
          <w:noProof w:val="0"/>
          <w:sz w:val="22"/>
          <w:szCs w:val="22"/>
          <w:lang w:val="es-CO"/>
        </w:rPr>
        <w:t xml:space="preserve"> </w:t>
      </w:r>
    </w:p>
    <w:p w:rsidR="7473D780" w:rsidP="7473D780" w:rsidRDefault="7473D780" w14:paraId="33A55D32" w14:textId="47C66117">
      <w:pPr>
        <w:bidi w:val="0"/>
        <w:spacing w:before="0" w:beforeAutospacing="off" w:after="0" w:afterAutospacing="off" w:line="257" w:lineRule="auto"/>
        <w:jc w:val="left"/>
        <w:rPr>
          <w:rFonts w:ascii="Verdana" w:hAnsi="Verdana" w:eastAsia="Verdana" w:cs="Verdana"/>
          <w:noProof w:val="0"/>
          <w:sz w:val="22"/>
          <w:szCs w:val="22"/>
          <w:lang w:val="es-CO"/>
        </w:rPr>
      </w:pPr>
    </w:p>
    <w:p w:rsidR="7473D780" w:rsidP="7473D780" w:rsidRDefault="7473D780" w14:paraId="01950223" w14:textId="64DEDF4B">
      <w:pPr>
        <w:pStyle w:val="Normal"/>
        <w:suppressLineNumbers w:val="0"/>
        <w:bidi w:val="0"/>
        <w:spacing w:before="0" w:beforeAutospacing="off" w:after="0" w:afterAutospacing="off" w:line="259" w:lineRule="auto"/>
        <w:ind w:left="0" w:right="0"/>
        <w:jc w:val="left"/>
        <w:rPr>
          <w:rFonts w:ascii="Verdana" w:hAnsi="Verdana"/>
        </w:rPr>
      </w:pPr>
    </w:p>
    <w:p w:rsidR="7473D780" w:rsidP="7473D780" w:rsidRDefault="7473D780" w14:paraId="6404276E" w14:textId="7B38DF8F">
      <w:pPr>
        <w:pStyle w:val="Normal"/>
        <w:suppressLineNumbers w:val="0"/>
        <w:bidi w:val="0"/>
        <w:spacing w:before="0" w:beforeAutospacing="off" w:after="0" w:afterAutospacing="off" w:line="259" w:lineRule="auto"/>
        <w:ind w:left="0" w:right="0"/>
        <w:jc w:val="left"/>
        <w:rPr>
          <w:rFonts w:ascii="Verdana" w:hAnsi="Verdana"/>
        </w:rPr>
      </w:pPr>
    </w:p>
    <w:p w:rsidR="00E245AB" w:rsidP="4ABD2688" w:rsidRDefault="00E245AB" w14:paraId="562231AD" w14:textId="725BF6D8">
      <w:pPr>
        <w:pStyle w:val="Normal"/>
        <w:suppressLineNumbers w:val="0"/>
        <w:bidi w:val="0"/>
        <w:spacing w:before="0" w:beforeAutospacing="off" w:after="0" w:afterAutospacing="off" w:line="259" w:lineRule="auto"/>
        <w:ind w:left="0" w:right="0"/>
        <w:jc w:val="left"/>
        <w:rPr>
          <w:rFonts w:ascii="Verdana" w:hAnsi="Verdana"/>
        </w:rPr>
      </w:pPr>
      <w:bookmarkStart w:name="_Hlk143780582" w:id="0"/>
      <w:r w:rsidRPr="4ABD2688" w:rsidR="00E245AB">
        <w:rPr>
          <w:rFonts w:ascii="Verdana" w:hAnsi="Verdana"/>
        </w:rPr>
        <w:t xml:space="preserve">Bogotá D.C., </w:t>
      </w:r>
      <w:r w:rsidRPr="4ABD2688" w:rsidR="3E2D28BA">
        <w:rPr>
          <w:rFonts w:ascii="Verdana" w:hAnsi="Verdana"/>
        </w:rPr>
        <w:t>02 de octubre de 2024.</w:t>
      </w:r>
    </w:p>
    <w:p w:rsidR="007E4284" w:rsidP="00E245AB" w:rsidRDefault="007E4284" w14:paraId="79BAB92E" w14:textId="77777777">
      <w:pPr>
        <w:spacing w:after="0"/>
        <w:rPr>
          <w:rFonts w:ascii="Verdana" w:hAnsi="Verdana"/>
        </w:rPr>
      </w:pPr>
    </w:p>
    <w:p w:rsidR="007E4284" w:rsidP="001531A7" w:rsidRDefault="001531A7" w14:paraId="59DC7E7A" w14:textId="703EE768">
      <w:pPr>
        <w:spacing w:after="0"/>
        <w:jc w:val="right"/>
        <w:rPr>
          <w:rFonts w:ascii="Verdana" w:hAnsi="Verdana"/>
        </w:rPr>
      </w:pPr>
      <w:bookmarkStart w:name="_Hlk178051586" w:id="1"/>
      <w:r>
        <w:rPr>
          <w:rFonts w:ascii="Verdana" w:hAnsi="Verdana"/>
          <w:noProof/>
        </w:rPr>
        <w:drawing>
          <wp:inline distT="0" distB="0" distL="0" distR="0" wp14:anchorId="3D0F782E" wp14:editId="4843E898">
            <wp:extent cx="3305175" cy="971550"/>
            <wp:effectExtent l="0" t="0" r="9525" b="0"/>
            <wp:docPr id="799134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971550"/>
                    </a:xfrm>
                    <a:prstGeom prst="rect">
                      <a:avLst/>
                    </a:prstGeom>
                    <a:noFill/>
                    <a:ln>
                      <a:noFill/>
                    </a:ln>
                  </pic:spPr>
                </pic:pic>
              </a:graphicData>
            </a:graphic>
          </wp:inline>
        </w:drawing>
      </w:r>
    </w:p>
    <w:p w:rsidRPr="00387545" w:rsidR="007E4284" w:rsidP="007E4284" w:rsidRDefault="007E4284" w14:paraId="7AED0527" w14:textId="2DE1438A">
      <w:pPr>
        <w:spacing w:after="0" w:line="240" w:lineRule="auto"/>
        <w:jc w:val="both"/>
        <w:rPr>
          <w:rFonts w:ascii="Verdana" w:hAnsi="Verdana" w:eastAsia="Calibri" w:cs="Arial"/>
          <w:lang w:eastAsia="es-ES"/>
        </w:rPr>
      </w:pPr>
      <w:r w:rsidRPr="00387545">
        <w:rPr>
          <w:rFonts w:ascii="Verdana" w:hAnsi="Verdana" w:eastAsia="Calibri" w:cs="Arial"/>
          <w:lang w:eastAsia="es-ES"/>
        </w:rPr>
        <w:t>Señor</w:t>
      </w:r>
      <w:r w:rsidRPr="00387545" w:rsidR="00387545">
        <w:rPr>
          <w:rFonts w:ascii="Verdana" w:hAnsi="Verdana" w:eastAsia="Calibri" w:cs="Arial"/>
          <w:lang w:eastAsia="es-ES"/>
        </w:rPr>
        <w:t>a</w:t>
      </w:r>
    </w:p>
    <w:p w:rsidR="00387545" w:rsidP="16F1F396" w:rsidRDefault="00387545" w14:paraId="284B6D7A" w14:textId="786ADA92">
      <w:pPr>
        <w:spacing w:after="0" w:line="240" w:lineRule="auto"/>
        <w:rPr>
          <w:rFonts w:ascii="Verdana" w:hAnsi="Verdana" w:eastAsia="Calibri" w:cs="Arial"/>
          <w:b w:val="1"/>
          <w:bCs w:val="1"/>
          <w:lang w:val="es-ES" w:eastAsia="es-ES"/>
        </w:rPr>
      </w:pPr>
      <w:r w:rsidRPr="16F1F396" w:rsidR="00387545">
        <w:rPr>
          <w:rFonts w:ascii="Verdana" w:hAnsi="Verdana" w:eastAsia="Calibri" w:cs="Arial"/>
          <w:b w:val="1"/>
          <w:bCs w:val="1"/>
          <w:lang w:val="es-ES" w:eastAsia="es-ES"/>
        </w:rPr>
        <w:t>Miriam Nocua</w:t>
      </w:r>
    </w:p>
    <w:p w:rsidRPr="00387545" w:rsidR="00387545" w:rsidP="00387545" w:rsidRDefault="00387545" w14:paraId="1EECA1AA" w14:textId="77777777">
      <w:pPr>
        <w:spacing w:after="0" w:line="240" w:lineRule="auto"/>
        <w:rPr>
          <w:rFonts w:ascii="Verdana" w:hAnsi="Verdana" w:eastAsia="Times New Roman" w:cs="Calibri"/>
          <w:color w:val="0563C1"/>
          <w:u w:val="single"/>
          <w:lang w:eastAsia="es-CO"/>
        </w:rPr>
      </w:pPr>
      <w:hyperlink w:history="1" r:id="rId12">
        <w:r w:rsidRPr="00387545">
          <w:rPr>
            <w:rFonts w:ascii="Verdana" w:hAnsi="Verdana" w:eastAsia="Times New Roman" w:cs="Calibri"/>
            <w:color w:val="0563C1"/>
            <w:u w:val="single"/>
            <w:lang w:eastAsia="es-CO"/>
          </w:rPr>
          <w:t>myriamnocua63@gmail.com</w:t>
        </w:r>
      </w:hyperlink>
    </w:p>
    <w:p w:rsidR="00387545" w:rsidP="00387545" w:rsidRDefault="00387545" w14:paraId="358DFA34" w14:textId="77777777">
      <w:pPr>
        <w:spacing w:after="0" w:line="240" w:lineRule="auto"/>
        <w:rPr>
          <w:rFonts w:ascii="Verdana" w:hAnsi="Verdana" w:eastAsia="Calibri" w:cs="Arial"/>
          <w:lang w:val="es-ES" w:eastAsia="es-ES"/>
        </w:rPr>
      </w:pPr>
      <w:r w:rsidRPr="0003385F">
        <w:rPr>
          <w:rFonts w:ascii="Verdana" w:hAnsi="Verdana" w:eastAsia="Calibri" w:cs="Arial"/>
          <w:lang w:val="es-ES" w:eastAsia="es-ES"/>
        </w:rPr>
        <w:t>Bogotá D.C.</w:t>
      </w:r>
      <w:r>
        <w:rPr>
          <w:rFonts w:ascii="Verdana" w:hAnsi="Verdana" w:eastAsia="Calibri" w:cs="Arial"/>
          <w:lang w:val="es-ES" w:eastAsia="es-ES"/>
        </w:rPr>
        <w:t xml:space="preserve"> </w:t>
      </w:r>
    </w:p>
    <w:p w:rsidRPr="00560511" w:rsidR="00426977" w:rsidP="007E4284" w:rsidRDefault="00426977" w14:paraId="1C693452" w14:textId="38BB33A9">
      <w:pPr>
        <w:spacing w:after="0" w:line="240" w:lineRule="auto"/>
        <w:jc w:val="both"/>
        <w:rPr>
          <w:rFonts w:ascii="Verdana" w:hAnsi="Verdana" w:eastAsia="Calibri" w:cs="Arial"/>
          <w:lang w:eastAsia="es-ES"/>
        </w:rPr>
      </w:pPr>
    </w:p>
    <w:p w:rsidRPr="00593A5F" w:rsidR="007E4284" w:rsidP="007E4284" w:rsidRDefault="007E4284" w14:paraId="323534CF" w14:textId="77777777">
      <w:pPr>
        <w:spacing w:after="0" w:line="240" w:lineRule="auto"/>
        <w:rPr>
          <w:rFonts w:ascii="Verdana" w:hAnsi="Verdana" w:eastAsia="Calibri" w:cs="Arial"/>
          <w:b/>
          <w:bCs/>
          <w:color w:val="000000"/>
          <w:lang w:val="es-ES_tradnl" w:eastAsia="es-ES_tradnl"/>
        </w:rPr>
      </w:pPr>
    </w:p>
    <w:tbl>
      <w:tblPr>
        <w:tblStyle w:val="Tablaconcuadrcula"/>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804"/>
      </w:tblGrid>
      <w:tr w:rsidRPr="00593A5F" w:rsidR="007E4284" w:rsidTr="00730488" w14:paraId="7B89B37C" w14:textId="77777777">
        <w:trPr>
          <w:trHeight w:val="884"/>
        </w:trPr>
        <w:tc>
          <w:tcPr>
            <w:tcW w:w="2410" w:type="dxa"/>
          </w:tcPr>
          <w:p w:rsidRPr="00E5644F" w:rsidR="007E4284" w:rsidP="00730488" w:rsidRDefault="007E4284" w14:paraId="3E37BDB8" w14:textId="77777777">
            <w:pPr>
              <w:jc w:val="both"/>
              <w:rPr>
                <w:rFonts w:ascii="Verdana" w:hAnsi="Verdana" w:eastAsia="Calibri" w:cs="Arial"/>
                <w:b/>
                <w:bCs/>
                <w:color w:val="7030A0"/>
                <w:lang w:val="es-ES_tradnl" w:eastAsia="es-ES_tradnl"/>
              </w:rPr>
            </w:pPr>
          </w:p>
        </w:tc>
        <w:tc>
          <w:tcPr>
            <w:tcW w:w="6804" w:type="dxa"/>
          </w:tcPr>
          <w:p w:rsidRPr="00E5644F" w:rsidR="007E4284" w:rsidP="00730488" w:rsidRDefault="007E4284" w14:paraId="7B76117C" w14:textId="025037C8">
            <w:pPr>
              <w:jc w:val="both"/>
              <w:rPr>
                <w:rFonts w:ascii="Verdana" w:hAnsi="Verdana" w:eastAsia="Calibri" w:cs="Arial"/>
                <w:b/>
                <w:bCs/>
                <w:color w:val="7030A0"/>
                <w:lang w:val="es-ES" w:eastAsia="es-ES"/>
              </w:rPr>
            </w:pPr>
            <w:r w:rsidRPr="00E5644F">
              <w:rPr>
                <w:rFonts w:ascii="Verdana" w:hAnsi="Verdana" w:eastAsia="Calibri" w:cs="Arial"/>
                <w:b/>
                <w:bCs/>
                <w:lang w:val="es-ES" w:eastAsia="es-ES"/>
              </w:rPr>
              <w:t xml:space="preserve">Concepto C- </w:t>
            </w:r>
            <w:r w:rsidR="001424D3">
              <w:rPr>
                <w:rFonts w:ascii="Verdana" w:hAnsi="Verdana" w:eastAsia="Calibri" w:cs="Arial"/>
                <w:b/>
                <w:bCs/>
                <w:lang w:val="es-ES" w:eastAsia="es-ES"/>
              </w:rPr>
              <w:t>268</w:t>
            </w:r>
            <w:r>
              <w:rPr>
                <w:rFonts w:ascii="Verdana" w:hAnsi="Verdana" w:eastAsia="Calibri" w:cs="Arial"/>
                <w:b/>
                <w:bCs/>
                <w:lang w:val="es-ES" w:eastAsia="es-ES"/>
              </w:rPr>
              <w:t xml:space="preserve"> </w:t>
            </w:r>
            <w:r w:rsidRPr="00E5644F">
              <w:rPr>
                <w:rFonts w:ascii="Verdana" w:hAnsi="Verdana" w:eastAsia="Calibri" w:cs="Arial"/>
                <w:b/>
                <w:bCs/>
                <w:lang w:val="es-ES" w:eastAsia="es-ES"/>
              </w:rPr>
              <w:t>de 2024</w:t>
            </w:r>
          </w:p>
        </w:tc>
      </w:tr>
      <w:tr w:rsidRPr="00593A5F" w:rsidR="007E4284" w:rsidTr="00730488" w14:paraId="2C0FD36D" w14:textId="77777777">
        <w:trPr>
          <w:trHeight w:val="884"/>
        </w:trPr>
        <w:tc>
          <w:tcPr>
            <w:tcW w:w="2410" w:type="dxa"/>
          </w:tcPr>
          <w:p w:rsidRPr="00593A5F" w:rsidR="007E4284" w:rsidP="00730488" w:rsidRDefault="007E4284" w14:paraId="6CB79C8C"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804" w:type="dxa"/>
          </w:tcPr>
          <w:p w:rsidRPr="00A7428E" w:rsidR="00961BC3" w:rsidP="00961BC3" w:rsidRDefault="00961BC3" w14:paraId="6D98EAE2" w14:textId="77777777">
            <w:pPr>
              <w:spacing w:line="276" w:lineRule="auto"/>
              <w:jc w:val="both"/>
              <w:rPr>
                <w:rFonts w:ascii="Verdana" w:hAnsi="Verdana" w:eastAsia="Calibri" w:cs="Arial"/>
                <w:lang w:val="es-ES" w:eastAsia="es-ES"/>
              </w:rPr>
            </w:pPr>
            <w:r w:rsidRPr="00A7428E">
              <w:rPr>
                <w:rFonts w:ascii="Verdana" w:hAnsi="Verdana" w:eastAsia="Arial" w:cs="Arial"/>
                <w:lang w:val="es-MX"/>
              </w:rPr>
              <w:t>PRECIOS ARTIFICIALMENTE BAJOS – Noción / PRECIOS ARTIFICIALMENTE BAJOS – Noción – Colombia Compra Eficiente / GUÍA PARA EL MANEJO DE OFERTAS ARTIFICIALMENTE BAJAS – Identificación / GUÍA PARA EL MANEJO DE OFERTAS ARTIFICIALMENTE BAJAS – Manejo</w:t>
            </w:r>
            <w:r w:rsidRPr="00A7428E">
              <w:rPr>
                <w:rFonts w:ascii="Verdana" w:hAnsi="Verdana" w:eastAsia="Calibri" w:cs="Arial"/>
                <w:lang w:val="es-ES" w:eastAsia="es-ES"/>
              </w:rPr>
              <w:t xml:space="preserve">   </w:t>
            </w:r>
          </w:p>
          <w:p w:rsidRPr="00E6165F" w:rsidR="00423F30" w:rsidP="00730488" w:rsidRDefault="00423F30" w14:paraId="4D3602A2" w14:textId="2A07909E">
            <w:pPr>
              <w:spacing w:line="276" w:lineRule="auto"/>
              <w:jc w:val="both"/>
              <w:rPr>
                <w:rFonts w:ascii="Verdana" w:hAnsi="Verdana" w:eastAsia="Calibri" w:cs="Arial"/>
                <w:lang w:val="es-ES" w:eastAsia="es-ES"/>
              </w:rPr>
            </w:pPr>
          </w:p>
        </w:tc>
      </w:tr>
      <w:tr w:rsidRPr="00593A5F" w:rsidR="007E4284" w:rsidTr="00730488" w14:paraId="614F6563" w14:textId="77777777">
        <w:tc>
          <w:tcPr>
            <w:tcW w:w="2410" w:type="dxa"/>
          </w:tcPr>
          <w:p w:rsidRPr="006730E9" w:rsidR="007E4284" w:rsidP="00730488" w:rsidRDefault="007E4284" w14:paraId="762EB684"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804" w:type="dxa"/>
          </w:tcPr>
          <w:p w:rsidRPr="006730E9" w:rsidR="007E4284" w:rsidP="00730488" w:rsidRDefault="007E4284" w14:paraId="791CCF73" w14:textId="4925172E">
            <w:pPr>
              <w:jc w:val="both"/>
              <w:rPr>
                <w:rFonts w:ascii="Verdana" w:hAnsi="Verdana" w:eastAsia="Calibri" w:cs="Arial"/>
                <w:lang w:val="es-ES_tradnl" w:eastAsia="es-ES_tradnl"/>
              </w:rPr>
            </w:pPr>
            <w:r w:rsidRPr="007121A5">
              <w:rPr>
                <w:rFonts w:ascii="Verdana" w:hAnsi="Verdana" w:eastAsia="Calibri" w:cs="Arial"/>
                <w:lang w:val="es-ES_tradnl" w:eastAsia="es-ES_tradnl"/>
              </w:rPr>
              <w:t xml:space="preserve">Respuesta a consulta con radicado No. </w:t>
            </w:r>
            <w:r w:rsidRPr="00A62C8A" w:rsidR="00A62C8A">
              <w:rPr>
                <w:rFonts w:ascii="Verdana" w:hAnsi="Verdana" w:eastAsia="Calibri" w:cs="Arial"/>
                <w:lang w:eastAsia="es-ES_tradnl"/>
              </w:rPr>
              <w:t>P20240821008505</w:t>
            </w:r>
          </w:p>
        </w:tc>
      </w:tr>
    </w:tbl>
    <w:p w:rsidRPr="00593A5F" w:rsidR="007E4284" w:rsidP="007E4284" w:rsidRDefault="007E4284" w14:paraId="3DF1757C" w14:textId="77777777">
      <w:pPr>
        <w:spacing w:after="0" w:line="240" w:lineRule="auto"/>
        <w:jc w:val="both"/>
        <w:rPr>
          <w:rFonts w:ascii="Verdana" w:hAnsi="Verdana" w:eastAsia="Calibri" w:cs="Arial"/>
          <w:color w:val="000000"/>
          <w:lang w:val="es-ES_tradnl" w:eastAsia="es-ES_tradnl"/>
        </w:rPr>
      </w:pPr>
    </w:p>
    <w:p w:rsidRPr="00593A5F" w:rsidR="007E4284" w:rsidP="007E4284" w:rsidRDefault="007E4284" w14:paraId="7334ECD0" w14:textId="77777777">
      <w:pPr>
        <w:spacing w:after="0" w:line="240" w:lineRule="auto"/>
        <w:jc w:val="both"/>
        <w:rPr>
          <w:rFonts w:ascii="Verdana" w:hAnsi="Verdana" w:eastAsia="Calibri" w:cs="Arial"/>
          <w:color w:val="000000"/>
          <w:lang w:val="es-ES_tradnl" w:eastAsia="es-ES_tradnl"/>
        </w:rPr>
      </w:pPr>
    </w:p>
    <w:p w:rsidRPr="006730E9" w:rsidR="007E4284" w:rsidP="007E4284" w:rsidRDefault="00426977" w14:paraId="46824A97" w14:textId="378C0163">
      <w:pPr>
        <w:spacing w:after="0" w:line="276" w:lineRule="auto"/>
        <w:jc w:val="both"/>
        <w:rPr>
          <w:rFonts w:ascii="Verdana" w:hAnsi="Verdana" w:eastAsia="Calibri" w:cs="Arial"/>
          <w:lang w:val="es-ES" w:eastAsia="es-ES"/>
        </w:rPr>
      </w:pPr>
      <w:r>
        <w:rPr>
          <w:rFonts w:ascii="Verdana" w:hAnsi="Verdana" w:eastAsia="Calibri" w:cs="Arial"/>
          <w:lang w:val="es-ES" w:eastAsia="es-ES"/>
        </w:rPr>
        <w:t>E</w:t>
      </w:r>
      <w:r w:rsidRPr="006730E9" w:rsidR="007E4284">
        <w:rPr>
          <w:rFonts w:ascii="Verdana" w:hAnsi="Verdana" w:eastAsia="Calibri" w:cs="Arial"/>
          <w:lang w:val="es-ES" w:eastAsia="es-ES"/>
        </w:rPr>
        <w:t>n ejercicio de la competencia otorgada por los artículos 3, numeral 5º, y 11, numeral 8º, del Decreto Ley 4170 de 2011,</w:t>
      </w:r>
      <w:r w:rsidRPr="006730E9" w:rsidR="007E4284">
        <w:rPr>
          <w:rFonts w:ascii="Verdana" w:hAnsi="Verdana" w:eastAsia="Arial MT" w:cs="Arial MT"/>
          <w:lang w:val="es-ES" w:eastAsia="es-ES"/>
        </w:rPr>
        <w:t xml:space="preserve"> </w:t>
      </w:r>
      <w:r w:rsidRPr="006730E9" w:rsidR="007E4284">
        <w:rPr>
          <w:rFonts w:ascii="Verdana" w:hAnsi="Verdana" w:cs="Arial"/>
        </w:rPr>
        <w:t xml:space="preserve">así como lo establecido en el artículo 4 de la Resolución 1707 de 2018 expedida por esta Entidad, </w:t>
      </w:r>
      <w:r w:rsidRPr="006730E9" w:rsidR="007E4284">
        <w:rPr>
          <w:rFonts w:ascii="Verdana" w:hAnsi="Verdana" w:eastAsia="Calibri" w:cs="Arial"/>
          <w:lang w:val="es-ES" w:eastAsia="es-ES"/>
        </w:rPr>
        <w:t xml:space="preserve">la Agencia Nacional de Contratación Pública – Colombia Compra Eficiente– responde su solicitud </w:t>
      </w:r>
      <w:r w:rsidR="007E4284">
        <w:rPr>
          <w:rFonts w:ascii="Verdana" w:hAnsi="Verdana" w:eastAsia="Calibri" w:cs="Arial"/>
          <w:lang w:val="es-ES" w:eastAsia="es-ES"/>
        </w:rPr>
        <w:t xml:space="preserve">radicada en esta entidad </w:t>
      </w:r>
      <w:r w:rsidRPr="00E5644F" w:rsidR="007E4284">
        <w:rPr>
          <w:rFonts w:ascii="Verdana" w:hAnsi="Verdana" w:eastAsia="Calibri" w:cs="Arial"/>
          <w:lang w:val="es-ES" w:eastAsia="es-ES"/>
        </w:rPr>
        <w:t xml:space="preserve">el </w:t>
      </w:r>
      <w:r w:rsidR="007E0D92">
        <w:rPr>
          <w:rFonts w:ascii="Verdana" w:hAnsi="Verdana" w:eastAsia="Calibri" w:cs="Arial"/>
          <w:lang w:val="es-ES" w:eastAsia="es-ES"/>
        </w:rPr>
        <w:t>21</w:t>
      </w:r>
      <w:r w:rsidRPr="00E5644F" w:rsidR="007E4284">
        <w:rPr>
          <w:rFonts w:ascii="Verdana" w:hAnsi="Verdana" w:eastAsia="Calibri" w:cs="Arial"/>
          <w:lang w:val="es-ES" w:eastAsia="es-ES"/>
        </w:rPr>
        <w:t xml:space="preserve"> de </w:t>
      </w:r>
      <w:r w:rsidR="009917B5">
        <w:rPr>
          <w:rFonts w:ascii="Verdana" w:hAnsi="Verdana" w:eastAsia="Calibri" w:cs="Arial"/>
          <w:lang w:val="es-ES" w:eastAsia="es-ES"/>
        </w:rPr>
        <w:t>agosto</w:t>
      </w:r>
      <w:r w:rsidRPr="00E5644F" w:rsidR="007E4284">
        <w:rPr>
          <w:rFonts w:ascii="Verdana" w:hAnsi="Verdana" w:eastAsia="Calibri" w:cs="Arial"/>
          <w:lang w:val="es-ES" w:eastAsia="es-ES"/>
        </w:rPr>
        <w:t xml:space="preserve"> de 2024, en</w:t>
      </w:r>
      <w:r w:rsidRPr="006730E9" w:rsidR="007E4284">
        <w:rPr>
          <w:rFonts w:ascii="Verdana" w:hAnsi="Verdana" w:eastAsia="Calibri" w:cs="Arial"/>
          <w:lang w:val="es-ES" w:eastAsia="es-ES"/>
        </w:rPr>
        <w:t xml:space="preserve"> la cual manifiesta lo siguiente: </w:t>
      </w:r>
    </w:p>
    <w:p w:rsidRPr="00326382" w:rsidR="007E4284" w:rsidP="007E4284" w:rsidRDefault="007E4284" w14:paraId="0F7467CA" w14:textId="77777777">
      <w:pPr>
        <w:spacing w:after="0" w:line="240" w:lineRule="auto"/>
        <w:ind w:left="709" w:right="709"/>
        <w:jc w:val="both"/>
        <w:rPr>
          <w:rFonts w:ascii="Verdana" w:hAnsi="Verdana" w:cs="Arial"/>
          <w:sz w:val="20"/>
          <w:szCs w:val="20"/>
          <w:shd w:val="clear" w:color="auto" w:fill="FFFFFF"/>
        </w:rPr>
      </w:pPr>
      <w:bookmarkStart w:name="_Hlk95313578" w:id="2"/>
    </w:p>
    <w:bookmarkEnd w:id="2"/>
    <w:p w:rsidR="00800BE5" w:rsidP="002650C3" w:rsidRDefault="007E4284" w14:paraId="7A0B1A7B" w14:textId="77777777">
      <w:pPr>
        <w:tabs>
          <w:tab w:val="left" w:pos="142"/>
          <w:tab w:val="left" w:pos="284"/>
        </w:tabs>
        <w:spacing w:after="0" w:line="240" w:lineRule="auto"/>
        <w:ind w:left="993" w:right="900"/>
        <w:jc w:val="both"/>
        <w:rPr>
          <w:rFonts w:ascii="Verdana" w:hAnsi="Verdana" w:eastAsia="Century Gothic" w:cs="Century Gothic"/>
          <w:i/>
          <w:iCs/>
        </w:rPr>
      </w:pPr>
      <w:r w:rsidRPr="00B47D12">
        <w:rPr>
          <w:rFonts w:ascii="Verdana" w:hAnsi="Verdana" w:eastAsia="Century Gothic" w:cs="Century Gothic"/>
          <w:i/>
          <w:iCs/>
        </w:rPr>
        <w:t>(…)</w:t>
      </w:r>
    </w:p>
    <w:p w:rsidR="00800BE5" w:rsidP="002650C3" w:rsidRDefault="00800BE5" w14:paraId="0C3BA62E" w14:textId="77777777">
      <w:pPr>
        <w:tabs>
          <w:tab w:val="left" w:pos="142"/>
          <w:tab w:val="left" w:pos="284"/>
        </w:tabs>
        <w:spacing w:after="0" w:line="240" w:lineRule="auto"/>
        <w:ind w:left="993" w:right="900"/>
        <w:jc w:val="both"/>
        <w:rPr>
          <w:rFonts w:ascii="Verdana" w:hAnsi="Verdana" w:eastAsia="Century Gothic" w:cs="Century Gothic"/>
          <w:i/>
          <w:iCs/>
        </w:rPr>
      </w:pPr>
    </w:p>
    <w:p w:rsidR="00CB6BD8" w:rsidP="00800BE5" w:rsidRDefault="00CB6BD8" w14:paraId="6A7FD451" w14:textId="77777777">
      <w:pPr>
        <w:spacing w:after="0" w:line="276" w:lineRule="auto"/>
        <w:ind w:left="993" w:right="1041"/>
        <w:jc w:val="both"/>
        <w:rPr>
          <w:rFonts w:ascii="Verdana" w:hAnsi="Verdana" w:eastAsia="Century Gothic" w:cs="Century Gothic"/>
          <w:i/>
          <w:iCs/>
        </w:rPr>
      </w:pPr>
    </w:p>
    <w:p w:rsidRPr="003C6D16" w:rsidR="00800BE5" w:rsidP="00800BE5" w:rsidRDefault="00800BE5" w14:paraId="324EC479" w14:textId="028D67AC">
      <w:pPr>
        <w:spacing w:after="0" w:line="276" w:lineRule="auto"/>
        <w:ind w:left="993" w:right="1041"/>
        <w:jc w:val="both"/>
        <w:rPr>
          <w:rFonts w:ascii="Verdana" w:hAnsi="Verdana" w:eastAsia="Century Gothic" w:cs="Century Gothic"/>
          <w:i/>
          <w:iCs/>
        </w:rPr>
      </w:pPr>
      <w:r w:rsidRPr="003C6D16">
        <w:rPr>
          <w:rFonts w:ascii="Verdana" w:hAnsi="Verdana" w:eastAsia="Century Gothic" w:cs="Century Gothic"/>
          <w:i/>
          <w:iCs/>
        </w:rPr>
        <w:t>De acuerdo al análisis del sector de infraestructura vial realizado por la entidad se tiene que el indicador de variación de los precios de construcción tuvo una variación del 9%.</w:t>
      </w:r>
    </w:p>
    <w:p w:rsidR="00800BE5" w:rsidP="002650C3" w:rsidRDefault="00800BE5" w14:paraId="1A8D1AED" w14:textId="77777777">
      <w:pPr>
        <w:tabs>
          <w:tab w:val="left" w:pos="142"/>
          <w:tab w:val="left" w:pos="284"/>
        </w:tabs>
        <w:spacing w:after="0" w:line="240" w:lineRule="auto"/>
        <w:ind w:left="993" w:right="900"/>
        <w:jc w:val="both"/>
        <w:rPr>
          <w:rFonts w:ascii="Verdana" w:hAnsi="Verdana" w:eastAsia="Century Gothic" w:cs="Century Gothic"/>
          <w:i/>
          <w:iCs/>
        </w:rPr>
      </w:pPr>
    </w:p>
    <w:p w:rsidR="00B47D12" w:rsidP="002650C3" w:rsidRDefault="007E4284" w14:paraId="153D629D" w14:textId="6762E06A">
      <w:pPr>
        <w:tabs>
          <w:tab w:val="left" w:pos="142"/>
          <w:tab w:val="left" w:pos="284"/>
        </w:tabs>
        <w:spacing w:after="0" w:line="240" w:lineRule="auto"/>
        <w:ind w:left="993" w:right="900"/>
        <w:jc w:val="both"/>
        <w:rPr>
          <w:rFonts w:ascii="Verdana" w:hAnsi="Verdana" w:eastAsia="Century Gothic" w:cs="Century Gothic"/>
          <w:i/>
          <w:iCs/>
        </w:rPr>
      </w:pPr>
      <w:r w:rsidRPr="00B47D12">
        <w:rPr>
          <w:rFonts w:ascii="Verdana" w:hAnsi="Verdana" w:eastAsia="Century Gothic" w:cs="Century Gothic"/>
          <w:i/>
          <w:iCs/>
        </w:rPr>
        <w:lastRenderedPageBreak/>
        <w:t xml:space="preserve"> </w:t>
      </w:r>
      <w:r w:rsidRPr="001424D3" w:rsidR="001424D3">
        <w:rPr>
          <w:rFonts w:ascii="Verdana" w:hAnsi="Verdana" w:eastAsia="Century Gothic" w:cs="Century Gothic"/>
          <w:i/>
          <w:iCs/>
        </w:rPr>
        <w:t>¿ Teniendo en cuenta  el resultado de comportamiento de precios  de construcción existentes en el análisis del sector elaborado por la entidad, una entidad estatal,  puede utilizar como herramienta para identificar las ofertas artificialmente bajas el valor absoluto del 9% frente al presupuesto oficial?  Es decir que aquellas ofertas cuyos precios  sean reducidos en más del</w:t>
      </w:r>
      <w:r w:rsidR="001424D3">
        <w:rPr>
          <w:rFonts w:ascii="Verdana" w:hAnsi="Verdana" w:eastAsia="Century Gothic" w:cs="Century Gothic"/>
          <w:i/>
          <w:iCs/>
        </w:rPr>
        <w:t xml:space="preserve"> </w:t>
      </w:r>
      <w:r w:rsidRPr="001424D3" w:rsidR="001424D3">
        <w:rPr>
          <w:rFonts w:ascii="Verdana" w:hAnsi="Verdana" w:eastAsia="Century Gothic" w:cs="Century Gothic"/>
          <w:i/>
          <w:iCs/>
        </w:rPr>
        <w:t>9%</w:t>
      </w:r>
      <w:r w:rsidR="001424D3">
        <w:rPr>
          <w:rFonts w:ascii="Verdana" w:hAnsi="Verdana" w:eastAsia="Century Gothic" w:cs="Century Gothic"/>
          <w:i/>
          <w:iCs/>
        </w:rPr>
        <w:t xml:space="preserve"> </w:t>
      </w:r>
      <w:r w:rsidRPr="001424D3" w:rsidR="001424D3">
        <w:rPr>
          <w:rFonts w:ascii="Verdana" w:hAnsi="Verdana" w:eastAsia="Century Gothic" w:cs="Century Gothic"/>
          <w:i/>
          <w:iCs/>
        </w:rPr>
        <w:t>del presupuesto oficial entidad aplicará el procedimiento descrito en el artículo 2.2.1.1.2.2.4. del Decreto 1082 de 2015 por considerarlas  posiblemente artificialmente bajas?</w:t>
      </w:r>
      <w:r w:rsidRPr="002650C3" w:rsidR="002650C3">
        <w:rPr>
          <w:rFonts w:ascii="Verdana" w:hAnsi="Verdana" w:eastAsia="Century Gothic" w:cs="Century Gothic"/>
          <w:i/>
          <w:iCs/>
        </w:rPr>
        <w:t>:</w:t>
      </w:r>
      <w:r w:rsidRPr="00B47D12" w:rsidR="00B47D12">
        <w:rPr>
          <w:rFonts w:ascii="Verdana" w:hAnsi="Verdana" w:eastAsia="Century Gothic" w:cs="Century Gothic"/>
          <w:i/>
          <w:iCs/>
        </w:rPr>
        <w:t>(…)</w:t>
      </w:r>
    </w:p>
    <w:p w:rsidR="00C5144C" w:rsidP="002650C3" w:rsidRDefault="00C5144C" w14:paraId="671C8CC4" w14:textId="77777777">
      <w:pPr>
        <w:tabs>
          <w:tab w:val="left" w:pos="142"/>
          <w:tab w:val="left" w:pos="284"/>
        </w:tabs>
        <w:spacing w:after="0" w:line="240" w:lineRule="auto"/>
        <w:ind w:left="993" w:right="900"/>
        <w:jc w:val="both"/>
        <w:rPr>
          <w:rFonts w:ascii="Verdana" w:hAnsi="Verdana" w:eastAsia="Century Gothic" w:cs="Century Gothic"/>
          <w:i/>
          <w:iCs/>
        </w:rPr>
      </w:pPr>
    </w:p>
    <w:p w:rsidRPr="005F06C2" w:rsidR="00C5144C" w:rsidP="00C5144C" w:rsidRDefault="00C5144C" w14:paraId="3EE709DE" w14:textId="77777777">
      <w:pPr>
        <w:spacing w:after="120" w:line="276" w:lineRule="auto"/>
        <w:ind w:firstLine="709"/>
        <w:jc w:val="both"/>
        <w:rPr>
          <w:rFonts w:ascii="Verdana" w:hAnsi="Verdana" w:eastAsia="Calibri" w:cs="Arial"/>
          <w:color w:val="000000"/>
          <w:lang w:val="es-ES_tradnl" w:eastAsia="es-ES_tradnl"/>
        </w:rPr>
      </w:pPr>
      <w:r w:rsidRPr="00542ED3">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F06C2">
        <w:rPr>
          <w:rFonts w:ascii="Verdana" w:hAnsi="Verdana" w:eastAsia="Calibri" w:cs="Arial"/>
          <w:color w:val="000000"/>
          <w:lang w:val="es-ES_tradnl" w:eastAsia="es-ES_tradnl"/>
        </w:rPr>
        <w:tab/>
      </w:r>
    </w:p>
    <w:p w:rsidRPr="00542ED3" w:rsidR="00C5144C" w:rsidP="00C5144C" w:rsidRDefault="00C5144C" w14:paraId="40725EEB" w14:textId="77777777">
      <w:pPr>
        <w:spacing w:after="0" w:line="276" w:lineRule="auto"/>
        <w:ind w:firstLine="709"/>
        <w:jc w:val="both"/>
        <w:rPr>
          <w:rFonts w:ascii="Verdana" w:hAnsi="Verdana" w:eastAsia="Calibri" w:cs="Arial"/>
          <w:color w:val="000000"/>
          <w:lang w:val="es-ES" w:eastAsia="es-ES"/>
        </w:rPr>
      </w:pPr>
      <w:r w:rsidRPr="00542ED3">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542ED3">
        <w:rPr>
          <w:rFonts w:ascii="Verdana" w:hAnsi="Verdana" w:eastAsia="Calibri" w:cs="Arial"/>
          <w:color w:val="7030A0"/>
          <w:lang w:val="es-ES" w:eastAsia="es-ES"/>
        </w:rPr>
        <w:t xml:space="preserve"> </w:t>
      </w:r>
      <w:r w:rsidRPr="00542ED3">
        <w:rPr>
          <w:rFonts w:ascii="Verdana" w:hAnsi="Verdana" w:eastAsia="Calibri" w:cs="Arial"/>
          <w:color w:val="000000"/>
          <w:lang w:val="es-ES" w:eastAsia="es-ES"/>
        </w:rPr>
        <w:t>jurídico</w:t>
      </w:r>
      <w:r w:rsidRPr="00542ED3">
        <w:rPr>
          <w:rFonts w:ascii="Verdana" w:hAnsi="Verdana" w:eastAsia="Calibri" w:cs="Arial"/>
          <w:color w:val="7030A0"/>
          <w:lang w:val="es-ES" w:eastAsia="es-ES"/>
        </w:rPr>
        <w:t xml:space="preserve"> </w:t>
      </w:r>
      <w:r w:rsidRPr="00542ED3">
        <w:rPr>
          <w:rFonts w:ascii="Verdana" w:hAnsi="Verdana" w:eastAsia="Calibri" w:cs="Arial"/>
          <w:color w:val="000000"/>
          <w:lang w:val="es-ES" w:eastAsia="es-ES"/>
        </w:rPr>
        <w:t xml:space="preserve">de su consulta. </w:t>
      </w:r>
    </w:p>
    <w:p w:rsidRPr="00B47D12" w:rsidR="00C5144C" w:rsidP="002650C3" w:rsidRDefault="00C5144C" w14:paraId="3E4A2E82" w14:textId="77777777">
      <w:pPr>
        <w:tabs>
          <w:tab w:val="left" w:pos="142"/>
          <w:tab w:val="left" w:pos="284"/>
        </w:tabs>
        <w:spacing w:after="0" w:line="240" w:lineRule="auto"/>
        <w:ind w:left="993" w:right="900"/>
        <w:jc w:val="both"/>
        <w:rPr>
          <w:rFonts w:ascii="Verdana" w:hAnsi="Verdana" w:eastAsia="Century Gothic" w:cs="Century Gothic"/>
          <w:i/>
          <w:iCs/>
        </w:rPr>
      </w:pPr>
    </w:p>
    <w:p w:rsidRPr="00593A5F" w:rsidR="007E4284" w:rsidP="007E4284" w:rsidRDefault="007E4284" w14:paraId="2A463E1B"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7E4284" w:rsidP="007E4284" w:rsidRDefault="007E4284" w14:paraId="63C967C0" w14:textId="77777777">
      <w:pPr>
        <w:tabs>
          <w:tab w:val="left" w:pos="426"/>
        </w:tabs>
        <w:spacing w:after="0" w:line="276" w:lineRule="auto"/>
        <w:jc w:val="both"/>
        <w:rPr>
          <w:rFonts w:ascii="Verdana" w:hAnsi="Verdana" w:eastAsia="Century Gothic" w:cs="Century Gothic"/>
          <w:lang w:val="es-ES"/>
        </w:rPr>
      </w:pPr>
    </w:p>
    <w:p w:rsidR="007E4284" w:rsidP="007E4284" w:rsidRDefault="007E4284" w14:paraId="409E17B4" w14:textId="3BACC7E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 xml:space="preserve">su solicitud, esta Agencia resolverá </w:t>
      </w:r>
      <w:r w:rsidR="00CB6BD8">
        <w:rPr>
          <w:rFonts w:ascii="Verdana" w:hAnsi="Verdana" w:eastAsia="Century Gothic" w:cs="Century Gothic"/>
        </w:rPr>
        <w:t>los</w:t>
      </w:r>
      <w:r w:rsidRPr="00593A5F">
        <w:rPr>
          <w:rFonts w:ascii="Verdana" w:hAnsi="Verdana" w:eastAsia="Century Gothic" w:cs="Century Gothic"/>
        </w:rPr>
        <w:t xml:space="preserve"> siguiente</w:t>
      </w:r>
      <w:r>
        <w:rPr>
          <w:rFonts w:ascii="Verdana" w:hAnsi="Verdana" w:eastAsia="Century Gothic" w:cs="Century Gothic"/>
        </w:rPr>
        <w:t xml:space="preserve"> </w:t>
      </w:r>
      <w:r w:rsidRPr="00593A5F">
        <w:rPr>
          <w:rFonts w:ascii="Verdana" w:hAnsi="Verdana" w:eastAsia="Century Gothic" w:cs="Century Gothic"/>
        </w:rPr>
        <w:t>problema</w:t>
      </w:r>
      <w:r w:rsidR="00CB6BD8">
        <w:rPr>
          <w:rFonts w:ascii="Verdana" w:hAnsi="Verdana" w:eastAsia="Century Gothic" w:cs="Century Gothic"/>
        </w:rPr>
        <w:t>s</w:t>
      </w:r>
      <w:r w:rsidRPr="00593A5F">
        <w:rPr>
          <w:rFonts w:ascii="Verdana" w:hAnsi="Verdana" w:eastAsia="Century Gothic" w:cs="Century Gothic"/>
        </w:rPr>
        <w:t xml:space="preserve"> jurídico</w:t>
      </w:r>
      <w:r w:rsidR="00CB6BD8">
        <w:rPr>
          <w:rFonts w:ascii="Verdana" w:hAnsi="Verdana" w:eastAsia="Century Gothic" w:cs="Century Gothic"/>
        </w:rPr>
        <w:t>s</w:t>
      </w:r>
      <w:r w:rsidRPr="00593A5F">
        <w:rPr>
          <w:rFonts w:ascii="Verdana" w:hAnsi="Verdana" w:eastAsia="Century Gothic" w:cs="Century Gothic"/>
        </w:rPr>
        <w:t xml:space="preserve">: </w:t>
      </w:r>
    </w:p>
    <w:p w:rsidR="005950FB" w:rsidP="007E4284" w:rsidRDefault="005950FB" w14:paraId="68D58D75" w14:textId="77777777">
      <w:pPr>
        <w:spacing w:after="0" w:line="276" w:lineRule="auto"/>
        <w:jc w:val="both"/>
        <w:rPr>
          <w:rFonts w:ascii="Verdana" w:hAnsi="Verdana" w:eastAsia="Century Gothic" w:cs="Century Gothic"/>
        </w:rPr>
      </w:pPr>
    </w:p>
    <w:p w:rsidRPr="005950FB" w:rsidR="005950FB" w:rsidP="005950FB" w:rsidRDefault="005950FB" w14:paraId="26FDC7E8" w14:textId="6F46802F">
      <w:pPr>
        <w:spacing w:after="0" w:line="276" w:lineRule="auto"/>
        <w:ind w:left="993" w:right="1041"/>
        <w:jc w:val="both"/>
        <w:rPr>
          <w:rFonts w:ascii="Verdana" w:hAnsi="Verdana" w:eastAsia="Century Gothic" w:cs="Century Gothic"/>
          <w:i/>
          <w:iCs/>
        </w:rPr>
      </w:pPr>
      <w:r w:rsidRPr="005950FB">
        <w:rPr>
          <w:rFonts w:ascii="Verdana" w:hAnsi="Verdana" w:eastAsia="Century Gothic" w:cs="Century Gothic"/>
          <w:i/>
          <w:iCs/>
        </w:rPr>
        <w:t xml:space="preserve">¿Cuál es la forma para determinar la existencia de propuestas con precios artificialmente bajos en el sistema de compras públicas y como se aplica el procedimiento descrito en el artículo </w:t>
      </w:r>
      <w:r w:rsidRPr="001424D3">
        <w:rPr>
          <w:rFonts w:ascii="Verdana" w:hAnsi="Verdana" w:eastAsia="Century Gothic" w:cs="Century Gothic"/>
          <w:i/>
          <w:iCs/>
        </w:rPr>
        <w:t>2.2.1.1.2.2.4</w:t>
      </w:r>
      <w:r w:rsidRPr="005950FB">
        <w:rPr>
          <w:rFonts w:ascii="Verdana" w:hAnsi="Verdana" w:eastAsia="Century Gothic" w:cs="Century Gothic"/>
          <w:i/>
          <w:iCs/>
        </w:rPr>
        <w:t>. del Decreto 1082 de 2015?</w:t>
      </w:r>
    </w:p>
    <w:p w:rsidR="007E4284" w:rsidP="007E4284" w:rsidRDefault="007E4284" w14:paraId="0C001DE6" w14:textId="77777777">
      <w:pPr>
        <w:spacing w:after="0" w:line="276" w:lineRule="auto"/>
        <w:jc w:val="both"/>
        <w:rPr>
          <w:rFonts w:ascii="Verdana" w:hAnsi="Verdana" w:eastAsia="Century Gothic" w:cs="Century Gothic"/>
        </w:rPr>
      </w:pPr>
    </w:p>
    <w:p w:rsidRPr="00593A5F" w:rsidR="007E4284" w:rsidP="007E4284" w:rsidRDefault="007E4284" w14:paraId="46FF434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7E4284" w:rsidP="007E4284" w:rsidRDefault="007E4284" w14:paraId="49C585E9"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7E4284" w:rsidTr="00730488" w14:paraId="17A28E7E" w14:textId="77777777">
        <w:tc>
          <w:tcPr>
            <w:tcW w:w="8828" w:type="dxa"/>
            <w:shd w:val="clear" w:color="auto" w:fill="auto"/>
          </w:tcPr>
          <w:p w:rsidR="005950FB" w:rsidP="005950FB" w:rsidRDefault="005950FB" w14:paraId="56161FDD" w14:textId="77777777">
            <w:pPr>
              <w:spacing w:after="120" w:line="276" w:lineRule="auto"/>
              <w:jc w:val="both"/>
              <w:rPr>
                <w:rFonts w:ascii="Verdana" w:hAnsi="Verdana" w:cs="Arial"/>
                <w:color w:val="000000" w:themeColor="text1"/>
              </w:rPr>
            </w:pPr>
            <w:r>
              <w:rPr>
                <w:rFonts w:ascii="Verdana" w:hAnsi="Verdana" w:eastAsia="Times New Roman" w:cs="Arial"/>
                <w:color w:val="000000"/>
                <w:lang w:val="es-ES_tradnl" w:eastAsia="es-ES_tradnl"/>
              </w:rPr>
              <w:t xml:space="preserve">De acuerdo con el </w:t>
            </w:r>
            <w:r w:rsidRPr="00CD6A1A">
              <w:rPr>
                <w:rFonts w:ascii="Verdana" w:hAnsi="Verdana" w:cs="Arial"/>
                <w:color w:val="000000" w:themeColor="text1"/>
              </w:rPr>
              <w:t>artículo 2.2.1.1.2.2.4 del Decreto 1082 de 2015</w:t>
            </w:r>
            <w:r>
              <w:rPr>
                <w:rFonts w:ascii="Verdana" w:hAnsi="Verdana" w:cs="Arial"/>
                <w:color w:val="000000" w:themeColor="text1"/>
              </w:rPr>
              <w:t>, la identificación de un posible precio artificialmente</w:t>
            </w:r>
            <w:r>
              <w:rPr>
                <w:rFonts w:ascii="Verdana" w:hAnsi="Verdana" w:eastAsia="Calibri" w:cs="Arial"/>
                <w:color w:val="000000" w:themeColor="text1"/>
                <w:lang w:val="es-ES" w:eastAsia="es-ES"/>
              </w:rPr>
              <w:t xml:space="preserve"> </w:t>
            </w:r>
            <w:r>
              <w:rPr>
                <w:rFonts w:ascii="Verdana" w:hAnsi="Verdana" w:cs="Arial"/>
                <w:color w:val="000000" w:themeColor="text1"/>
              </w:rPr>
              <w:t>bajo - bien sea por el método de comparación absoluta o relativa</w:t>
            </w:r>
            <w:r w:rsidRPr="00593A5F">
              <w:rPr>
                <w:rFonts w:ascii="Verdana" w:hAnsi="Verdana" w:eastAsia="Calibri" w:cs="Arial"/>
                <w:color w:val="000000" w:themeColor="text1"/>
                <w:lang w:val="es-ES" w:eastAsia="es-ES"/>
              </w:rPr>
              <w:t>–</w:t>
            </w:r>
            <w:r>
              <w:rPr>
                <w:rFonts w:ascii="Verdana" w:hAnsi="Verdana" w:cs="Arial"/>
                <w:color w:val="000000" w:themeColor="text1"/>
              </w:rPr>
              <w:t xml:space="preserve"> no da lugar al rechazo automático de la propuesta. En efecto, una</w:t>
            </w:r>
            <w:r w:rsidRPr="007B290C">
              <w:rPr>
                <w:rFonts w:ascii="Verdana" w:hAnsi="Verdana" w:cs="Arial"/>
                <w:color w:val="000000" w:themeColor="text1"/>
              </w:rPr>
              <w:t xml:space="preserve"> vez que la entidad haya surtido su proceso de determinación de una propuesta como artificialmente baja, es necesario requerir al oferente para que explique las razones que sustentan el valor ofrecido. Posteriormente, el comité evaluador analizará las explicaciones y decidirá si </w:t>
            </w:r>
            <w:r>
              <w:rPr>
                <w:rFonts w:ascii="Verdana" w:hAnsi="Verdana" w:cs="Arial"/>
                <w:color w:val="000000" w:themeColor="text1"/>
              </w:rPr>
              <w:t xml:space="preserve">recomienda </w:t>
            </w:r>
            <w:r w:rsidRPr="007B290C">
              <w:rPr>
                <w:rFonts w:ascii="Verdana" w:hAnsi="Verdana" w:cs="Arial"/>
                <w:color w:val="000000" w:themeColor="text1"/>
              </w:rPr>
              <w:t>rechaza</w:t>
            </w:r>
            <w:r>
              <w:rPr>
                <w:rFonts w:ascii="Verdana" w:hAnsi="Verdana" w:cs="Arial"/>
                <w:color w:val="000000" w:themeColor="text1"/>
              </w:rPr>
              <w:t>r</w:t>
            </w:r>
            <w:r w:rsidRPr="007B290C">
              <w:rPr>
                <w:rFonts w:ascii="Verdana" w:hAnsi="Verdana" w:cs="Arial"/>
                <w:color w:val="000000" w:themeColor="text1"/>
              </w:rPr>
              <w:t xml:space="preserve"> la oferta o contin</w:t>
            </w:r>
            <w:r>
              <w:rPr>
                <w:rFonts w:ascii="Verdana" w:hAnsi="Verdana" w:cs="Arial"/>
                <w:color w:val="000000" w:themeColor="text1"/>
              </w:rPr>
              <w:t>uar</w:t>
            </w:r>
            <w:r w:rsidRPr="007B290C">
              <w:rPr>
                <w:rFonts w:ascii="Verdana" w:hAnsi="Verdana" w:cs="Arial"/>
                <w:color w:val="000000" w:themeColor="text1"/>
              </w:rPr>
              <w:t xml:space="preserve"> con el análisis de la misma en el proceso de evaluación</w:t>
            </w:r>
            <w:r>
              <w:rPr>
                <w:rFonts w:ascii="Verdana" w:hAnsi="Verdana" w:cs="Arial"/>
                <w:color w:val="000000" w:themeColor="text1"/>
              </w:rPr>
              <w:t>.</w:t>
            </w:r>
            <w:r w:rsidRPr="007B290C">
              <w:rPr>
                <w:rFonts w:ascii="Verdana" w:hAnsi="Verdana" w:cs="Arial"/>
                <w:color w:val="000000" w:themeColor="text1"/>
              </w:rPr>
              <w:t xml:space="preserve"> </w:t>
            </w:r>
          </w:p>
          <w:p w:rsidR="002D5493" w:rsidP="005950FB" w:rsidRDefault="002D5493" w14:paraId="60189E0E" w14:textId="60F386DA">
            <w:pPr>
              <w:spacing w:after="120" w:line="276" w:lineRule="auto"/>
              <w:jc w:val="both"/>
              <w:rPr>
                <w:rFonts w:ascii="Verdana" w:hAnsi="Verdana" w:cs="Arial"/>
                <w:color w:val="000000" w:themeColor="text1"/>
              </w:rPr>
            </w:pPr>
            <w:r>
              <w:rPr>
                <w:rFonts w:ascii="Verdana" w:hAnsi="Verdana" w:cs="Arial"/>
                <w:color w:val="000000" w:themeColor="text1"/>
                <w:lang w:val="es-ES"/>
              </w:rPr>
              <w:t xml:space="preserve">Asi las cosas, las aclaraciones que están obligados a dar los proponentes en atención a lo dispuesto en el artículo </w:t>
            </w:r>
            <w:r w:rsidRPr="00004605">
              <w:rPr>
                <w:rFonts w:ascii="Verdana" w:hAnsi="Verdana" w:cs="Arial"/>
                <w:color w:val="000000" w:themeColor="text1"/>
                <w:lang w:val="es-ES"/>
              </w:rPr>
              <w:t>2.2.1.1.2.2.4</w:t>
            </w:r>
            <w:r>
              <w:rPr>
                <w:rFonts w:ascii="Verdana" w:hAnsi="Verdana" w:cs="Arial"/>
                <w:color w:val="000000" w:themeColor="text1"/>
                <w:lang w:val="es-ES"/>
              </w:rPr>
              <w:t xml:space="preserve"> del Decreto 1082 de 2015 deben cumplir con la carga de claridad y objetividad suficiente para desvirtuar las razones por las que la Entidad Estatal ha estimado que la oferta es artificialmente baja. Esto supone explicar las circunstancias objetivas debido a las cuales la oferta es sustentable y competitiva</w:t>
            </w:r>
          </w:p>
          <w:p w:rsidRPr="007E0D92" w:rsidR="007E0D92" w:rsidP="007E0D92" w:rsidRDefault="005950FB" w14:paraId="35871C5A" w14:textId="00137B53">
            <w:pPr>
              <w:spacing w:after="120" w:line="276" w:lineRule="auto"/>
              <w:jc w:val="both"/>
              <w:rPr>
                <w:rFonts w:ascii="Verdana" w:hAnsi="Verdana" w:eastAsia="Calibri" w:cs="Arial"/>
                <w:lang w:val="es-ES"/>
              </w:rPr>
            </w:pPr>
            <w:r>
              <w:rPr>
                <w:rFonts w:ascii="Verdana" w:hAnsi="Verdana" w:eastAsia="Calibri" w:cs="Arial"/>
                <w:lang w:val="es-ES"/>
              </w:rPr>
              <w:t>Ahora bien, l</w:t>
            </w:r>
            <w:r w:rsidRPr="007E0D92" w:rsidR="007E0D92">
              <w:rPr>
                <w:rFonts w:ascii="Verdana" w:hAnsi="Verdana" w:eastAsia="Calibri" w:cs="Arial"/>
                <w:lang w:val="es-ES"/>
              </w:rPr>
              <w:t xml:space="preserve">a “Guía para el manejo de ofertas artificialmente bajas en Procesos de Contratación” </w:t>
            </w:r>
            <w:r w:rsidR="002D5493">
              <w:rPr>
                <w:rFonts w:ascii="Verdana" w:hAnsi="Verdana" w:eastAsia="Calibri" w:cs="Arial"/>
                <w:lang w:val="es-ES"/>
              </w:rPr>
              <w:t>establece que se debe tener en cuenta los siguientes criterios para la identificación de las mismas</w:t>
            </w:r>
            <w:r w:rsidRPr="007E0D92" w:rsidR="007E0D92">
              <w:rPr>
                <w:rFonts w:ascii="Verdana" w:hAnsi="Verdana" w:eastAsia="Calibri" w:cs="Arial"/>
                <w:lang w:val="es-ES"/>
              </w:rPr>
              <w:t>: i) el promedio del valor de las ofertas; ii) la mediana del valor las ofertas; iii) la desviación estándar del valor de las ofertas; iv) la diferencia entre el costo estimado del contrato y el promedio o mediana del valor de las ofertas; v) la diferencia entre el valor de la oferta que puede ser artificialmente baja y el promedio del valor de las ofertas; vi) la diferencia entre el valor de la oferta que puede ser artificialmente baja y el costo estimado del contrato; y vii) la información histórica de ofertas y contratos del objeto del Proceso de Contratación”</w:t>
            </w:r>
          </w:p>
          <w:p w:rsidRPr="007E0D92" w:rsidR="007E0D92" w:rsidP="007E0D92" w:rsidRDefault="007E0D92" w14:paraId="1B5779B2" w14:textId="77777777">
            <w:pPr>
              <w:spacing w:after="120" w:line="276" w:lineRule="auto"/>
              <w:jc w:val="both"/>
              <w:rPr>
                <w:rFonts w:ascii="Verdana" w:hAnsi="Verdana" w:eastAsia="Calibri" w:cs="Arial"/>
                <w:lang w:val="es-ES"/>
              </w:rPr>
            </w:pPr>
            <w:r w:rsidRPr="007E0D92">
              <w:rPr>
                <w:rFonts w:ascii="Verdana" w:hAnsi="Verdana" w:eastAsia="Calibri" w:cs="Arial"/>
                <w:lang w:val="es-ES"/>
              </w:rPr>
              <w:t>Con estos datos la Entidad utilizará dos herramientas de comparación que ayudarían a identificar ofertas que pueden ser consideradas artificialmente bajas: i) comparación absoluta; y ii) comparación relativa.</w:t>
            </w:r>
          </w:p>
          <w:p w:rsidRPr="007E0D92" w:rsidR="007E0D92" w:rsidP="007E0D92" w:rsidRDefault="007E0D92" w14:paraId="05E462B5" w14:textId="77777777">
            <w:pPr>
              <w:spacing w:after="120" w:line="276" w:lineRule="auto"/>
              <w:jc w:val="both"/>
              <w:rPr>
                <w:rFonts w:ascii="Verdana" w:hAnsi="Verdana" w:eastAsia="Calibri" w:cs="Arial"/>
                <w:lang w:val="es-ES"/>
              </w:rPr>
            </w:pPr>
            <w:r w:rsidRPr="007E0D92">
              <w:rPr>
                <w:rFonts w:ascii="Verdana" w:hAnsi="Verdana" w:eastAsia="Calibri" w:cs="Arial"/>
                <w:lang w:val="es-ES"/>
              </w:rPr>
              <w:t xml:space="preserve">Mediante la Comparación absoluta, la Entidad Estatal contrasta el valor de cada oferta con el costo estimado de la provisión del bien o servicio por la Entidad Estatal en el Estudio del Sector. En este caso, cuando la Entidad recibe menos de cinco (5) ofertas en el proceso de selección, una vez realizado el ejercicio de comparación, la Entidad debe solicitar aclaración a los proponentes cuyas ofertas sean menores en un 20%, o un mayor porcentaje, al costo total estimado por la Entidad Estatal. </w:t>
            </w:r>
          </w:p>
          <w:p w:rsidRPr="007E0D92" w:rsidR="007E0D92" w:rsidP="007E0D92" w:rsidRDefault="007E0D92" w14:paraId="25AB6058" w14:textId="77777777">
            <w:pPr>
              <w:spacing w:after="120" w:line="276" w:lineRule="auto"/>
              <w:jc w:val="both"/>
              <w:rPr>
                <w:rFonts w:ascii="Verdana" w:hAnsi="Verdana" w:eastAsia="Calibri" w:cs="Arial"/>
                <w:lang w:val="es-ES"/>
              </w:rPr>
            </w:pPr>
            <w:r w:rsidRPr="007E0D92">
              <w:rPr>
                <w:rFonts w:ascii="Verdana" w:hAnsi="Verdana" w:eastAsia="Calibri" w:cs="Arial"/>
                <w:lang w:val="es-ES"/>
              </w:rPr>
              <w:lastRenderedPageBreak/>
              <w:t xml:space="preserve">Por otro lado, en la Comparación relativa, la Entidad contrastará cada oferta con las demás ofertas presentadas. </w:t>
            </w:r>
          </w:p>
          <w:p w:rsidR="003C6D16" w:rsidP="007E0D92" w:rsidRDefault="005950FB" w14:paraId="4943F7F3" w14:textId="69C69E37">
            <w:pPr>
              <w:spacing w:after="120" w:line="276" w:lineRule="auto"/>
              <w:jc w:val="both"/>
              <w:rPr>
                <w:rFonts w:ascii="Verdana" w:hAnsi="Verdana" w:eastAsia="Century Gothic" w:cs="Century Gothic"/>
                <w:b/>
                <w:bCs/>
              </w:rPr>
            </w:pPr>
            <w:r>
              <w:rPr>
                <w:rFonts w:ascii="Verdana" w:hAnsi="Verdana" w:eastAsia="Calibri" w:cs="Arial"/>
                <w:lang w:val="es-ES"/>
              </w:rPr>
              <w:t>Asi las cosas,</w:t>
            </w:r>
            <w:r w:rsidRPr="003C6D16" w:rsidR="007E0D92">
              <w:rPr>
                <w:rFonts w:ascii="Verdana" w:hAnsi="Verdana" w:eastAsia="Calibri" w:cs="Arial"/>
                <w:b/>
                <w:bCs/>
                <w:lang w:val="es-ES"/>
              </w:rPr>
              <w:t xml:space="preserve"> la Entidad Estatal está facultada para aplicar los criterios contenidos en la Guía o acudir, si bien lo tiene, a otro tipo de criterios que consideren más apropiados mediante los cuales establecer el criterio (porcentual o numérico) con el cual analizar las ofertas</w:t>
            </w:r>
            <w:r w:rsidR="003C6D16">
              <w:rPr>
                <w:rFonts w:ascii="Verdana" w:hAnsi="Verdana" w:eastAsia="Calibri" w:cs="Arial"/>
                <w:b/>
                <w:bCs/>
                <w:lang w:val="es-ES"/>
              </w:rPr>
              <w:t xml:space="preserve"> por lo que para el caso en concreto si producto del </w:t>
            </w:r>
            <w:r w:rsidRPr="005D7359" w:rsidR="003C6D16">
              <w:rPr>
                <w:rFonts w:ascii="Verdana" w:hAnsi="Verdana" w:eastAsia="Century Gothic" w:cs="Century Gothic"/>
                <w:b/>
                <w:bCs/>
              </w:rPr>
              <w:t xml:space="preserve">análisis realizado por la entidad se evidenció que el indicador de variación de los precios de construcción tuvo una variación del 9% corresponderá a la misma entidad estatal en el marco de su autonomía </w:t>
            </w:r>
            <w:r w:rsidRPr="005D7359" w:rsidR="003C6D16">
              <w:rPr>
                <w:rFonts w:ascii="Verdana" w:hAnsi="Verdana" w:eastAsia="Calibri" w:cs="Arial"/>
                <w:b/>
                <w:bCs/>
                <w:lang w:val="es-ES"/>
              </w:rPr>
              <w:t>y previa valoración de los elementos fácticos y jurídicos, así como de las disposiciones legales mencionadas, determinar</w:t>
            </w:r>
            <w:r w:rsidRPr="005D7359" w:rsidR="005D7359">
              <w:rPr>
                <w:rFonts w:ascii="Verdana" w:hAnsi="Verdana" w:eastAsia="Calibri" w:cs="Arial"/>
                <w:b/>
                <w:bCs/>
                <w:lang w:val="es-ES"/>
              </w:rPr>
              <w:t xml:space="preserve"> </w:t>
            </w:r>
            <w:r w:rsidRPr="005D7359" w:rsidR="005D7359">
              <w:rPr>
                <w:rFonts w:ascii="Verdana" w:hAnsi="Verdana" w:eastAsia="Century Gothic" w:cs="Century Gothic"/>
                <w:b/>
                <w:bCs/>
              </w:rPr>
              <w:t>si dicha metodología resulta apropiada para identificar las ofertas artificialmente bajas</w:t>
            </w:r>
            <w:r w:rsidR="009715D8">
              <w:rPr>
                <w:rFonts w:ascii="Verdana" w:hAnsi="Verdana" w:eastAsia="Century Gothic" w:cs="Century Gothic"/>
                <w:b/>
                <w:bCs/>
              </w:rPr>
              <w:t>.</w:t>
            </w:r>
          </w:p>
          <w:p w:rsidRPr="00593A5F" w:rsidR="002D5493" w:rsidP="00387545" w:rsidRDefault="00387545" w14:paraId="1B25E3D8" w14:textId="6B985FC5">
            <w:pPr>
              <w:spacing w:after="120" w:line="276" w:lineRule="auto"/>
              <w:jc w:val="both"/>
              <w:rPr>
                <w:rFonts w:ascii="Verdana" w:hAnsi="Verdana" w:eastAsia="Calibri" w:cs="Arial"/>
                <w:color w:val="7030A0"/>
                <w:lang w:val="es-ES"/>
              </w:rPr>
            </w:pPr>
            <w:r>
              <w:rPr>
                <w:rFonts w:ascii="Verdana" w:hAnsi="Verdana" w:cs="Arial"/>
                <w:color w:val="000000" w:themeColor="text1"/>
                <w:lang w:val="es-ES"/>
              </w:rPr>
              <w:t xml:space="preserve">Finalmente es de precisar que las aclaraciones solicitadas con sustento en el artículo </w:t>
            </w:r>
            <w:r w:rsidRPr="00004605">
              <w:rPr>
                <w:rFonts w:ascii="Verdana" w:hAnsi="Verdana" w:cs="Arial"/>
                <w:color w:val="000000" w:themeColor="text1"/>
                <w:lang w:val="es-ES"/>
              </w:rPr>
              <w:t>2.2.1.1.2.2.4</w:t>
            </w:r>
            <w:r>
              <w:rPr>
                <w:rFonts w:ascii="Verdana" w:hAnsi="Verdana" w:cs="Arial"/>
                <w:color w:val="000000" w:themeColor="text1"/>
                <w:lang w:val="es-ES"/>
              </w:rPr>
              <w:t xml:space="preserve"> no son </w:t>
            </w:r>
            <w:r w:rsidRPr="00A05053">
              <w:rPr>
                <w:rFonts w:ascii="Verdana" w:hAnsi="Verdana" w:cs="Arial"/>
                <w:color w:val="000000" w:themeColor="text1"/>
              </w:rPr>
              <w:t>una oportunidad para que los proponentes modifiquen parcial ni totalmente sus ofertas</w:t>
            </w:r>
            <w:r>
              <w:rPr>
                <w:rFonts w:ascii="Verdana" w:hAnsi="Verdana" w:cs="Arial"/>
                <w:color w:val="000000" w:themeColor="text1"/>
              </w:rPr>
              <w:t>, ni para que estos transgredan la conmutatividad del contrato estatal ofreciendo una contraprestación excesivamente reducida alejada de la realidad del mercado expresada en el análisis del sector, considerando que ello no solo podría afectar la ejecución del contrato, sino que podría dar cuenta de prácticas restrictivas a la competencia, circunstancia que deberá garantizar el comité evaluador en el ejercicio de verificación de la respuesta que para el efecto brinde el proponente.</w:t>
            </w:r>
          </w:p>
        </w:tc>
      </w:tr>
      <w:tr w:rsidRPr="00593A5F" w:rsidR="007E4284" w:rsidTr="00730488" w14:paraId="2A7558CB" w14:textId="77777777">
        <w:tc>
          <w:tcPr>
            <w:tcW w:w="8828" w:type="dxa"/>
            <w:shd w:val="clear" w:color="auto" w:fill="auto"/>
          </w:tcPr>
          <w:p w:rsidRPr="002973E9" w:rsidR="007E4284" w:rsidP="00730488" w:rsidRDefault="007E4284" w14:paraId="52413404" w14:textId="77777777">
            <w:pPr>
              <w:spacing w:line="276" w:lineRule="auto"/>
              <w:jc w:val="both"/>
              <w:rPr>
                <w:rFonts w:ascii="Verdana" w:hAnsi="Verdana" w:eastAsia="Calibri" w:cs="Arial"/>
                <w:lang w:val="es-ES"/>
              </w:rPr>
            </w:pPr>
          </w:p>
        </w:tc>
      </w:tr>
    </w:tbl>
    <w:p w:rsidR="007E4284" w:rsidP="007E4284" w:rsidRDefault="007E4284" w14:paraId="72DC2754"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7E4284" w:rsidP="007E4284" w:rsidRDefault="007E4284" w14:paraId="02DDBB9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7E4284" w:rsidP="007E4284" w:rsidRDefault="007E4284" w14:paraId="0F71CC33" w14:textId="77777777">
      <w:pPr>
        <w:spacing w:after="0" w:line="276" w:lineRule="auto"/>
        <w:jc w:val="both"/>
        <w:rPr>
          <w:rFonts w:ascii="Verdana" w:hAnsi="Verdana" w:eastAsia="Calibri" w:cs="Arial"/>
          <w:color w:val="7030A0"/>
          <w:lang w:val="es-ES"/>
        </w:rPr>
      </w:pPr>
    </w:p>
    <w:p w:rsidR="00961BC3" w:rsidP="00961BC3" w:rsidRDefault="00961BC3" w14:paraId="5A3052E5" w14:textId="77777777">
      <w:pPr>
        <w:spacing w:after="0" w:line="276" w:lineRule="auto"/>
        <w:jc w:val="both"/>
        <w:rPr>
          <w:rFonts w:ascii="Verdana" w:hAnsi="Verdana" w:eastAsia="Calibri" w:cs="Arial"/>
          <w:lang w:val="es-ES"/>
        </w:rPr>
      </w:pPr>
      <w:r w:rsidRPr="00B96799">
        <w:rPr>
          <w:rFonts w:ascii="Verdana" w:hAnsi="Verdana" w:eastAsia="Calibri" w:cs="Arial"/>
          <w:lang w:val="es-ES"/>
        </w:rPr>
        <w:t>Lo anterior se sustenta en las siguientes consideraciones:</w:t>
      </w:r>
    </w:p>
    <w:p w:rsidR="00961BC3" w:rsidP="00961BC3" w:rsidRDefault="00961BC3" w14:paraId="0AE90DE9" w14:textId="77777777">
      <w:pPr>
        <w:spacing w:after="0" w:line="276" w:lineRule="auto"/>
        <w:jc w:val="both"/>
        <w:rPr>
          <w:rFonts w:ascii="Verdana" w:hAnsi="Verdana" w:eastAsia="Calibri" w:cs="Arial"/>
          <w:lang w:val="es-ES"/>
        </w:rPr>
      </w:pPr>
    </w:p>
    <w:p w:rsidRPr="00CD6A1A" w:rsidR="00961BC3" w:rsidP="00961BC3" w:rsidRDefault="00961BC3" w14:paraId="29C75AA5" w14:textId="77777777">
      <w:pPr>
        <w:tabs>
          <w:tab w:val="left" w:pos="0"/>
        </w:tabs>
        <w:spacing w:after="0" w:line="276" w:lineRule="auto"/>
        <w:jc w:val="both"/>
        <w:rPr>
          <w:rFonts w:ascii="Verdana" w:hAnsi="Verdana" w:cs="Arial"/>
          <w:color w:val="000000" w:themeColor="text1"/>
        </w:rPr>
      </w:pPr>
      <w:r w:rsidRPr="00CD6A1A">
        <w:rPr>
          <w:rFonts w:ascii="Verdana" w:hAnsi="Verdana" w:cs="Arial"/>
          <w:color w:val="000000" w:themeColor="text1"/>
        </w:rPr>
        <w:t>Según el artículo 26.6 de la Ley 80 de 1993, los contratistas responderán cuando presenten ofertas que resulten artificialmente bajas con el propósito de obtener la adjudicación del contrato.</w:t>
      </w:r>
      <w:r w:rsidRPr="00CD6A1A">
        <w:rPr>
          <w:rFonts w:ascii="Verdana" w:hAnsi="Verdana" w:cs="Arial"/>
          <w:color w:val="000000" w:themeColor="text1"/>
          <w:lang w:val="es-ES"/>
        </w:rPr>
        <w:t xml:space="preserve"> El precio 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w:t>
      </w:r>
      <w:r w:rsidRPr="00CD6A1A">
        <w:rPr>
          <w:rFonts w:ascii="Verdana" w:hAnsi="Verdana" w:cs="Arial"/>
          <w:color w:val="000000" w:themeColor="text1"/>
        </w:rPr>
        <w:t>. Así lo señalo el Consejo de Estado en sentencia del 4 de junio de 2008, en los siguientes términos:</w:t>
      </w:r>
    </w:p>
    <w:p w:rsidRPr="00CD6A1A" w:rsidR="00961BC3" w:rsidP="00961BC3" w:rsidRDefault="00961BC3" w14:paraId="5FED2BDB" w14:textId="77777777">
      <w:pPr>
        <w:spacing w:after="0" w:line="276" w:lineRule="auto"/>
        <w:jc w:val="both"/>
        <w:rPr>
          <w:rFonts w:ascii="Verdana" w:hAnsi="Verdana" w:cs="Arial"/>
          <w:color w:val="000000" w:themeColor="text1"/>
        </w:rPr>
      </w:pPr>
    </w:p>
    <w:p w:rsidRPr="00CD6A1A" w:rsidR="00961BC3" w:rsidP="00961BC3" w:rsidRDefault="00961BC3" w14:paraId="28B84814" w14:textId="77777777">
      <w:pPr>
        <w:spacing w:after="0" w:line="240" w:lineRule="auto"/>
        <w:ind w:left="708"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CD6A1A">
        <w:rPr>
          <w:rFonts w:ascii="Verdana" w:hAnsi="Verdana" w:cs="Arial"/>
          <w:color w:val="000000" w:themeColor="text1"/>
          <w:sz w:val="21"/>
          <w:szCs w:val="21"/>
        </w:rPr>
        <w:t xml:space="preserve">El denominado </w:t>
      </w:r>
      <w:r>
        <w:rPr>
          <w:rFonts w:ascii="Verdana" w:hAnsi="Verdana" w:cs="Arial"/>
          <w:color w:val="000000" w:themeColor="text1"/>
          <w:sz w:val="21"/>
          <w:szCs w:val="21"/>
        </w:rPr>
        <w:t>‘</w:t>
      </w:r>
      <w:r w:rsidRPr="00CD6A1A">
        <w:rPr>
          <w:rFonts w:ascii="Verdana" w:hAnsi="Verdana" w:cs="Arial"/>
          <w:color w:val="000000" w:themeColor="text1"/>
          <w:sz w:val="21"/>
          <w:szCs w:val="21"/>
        </w:rPr>
        <w:t>precio artificialmente bajo</w:t>
      </w:r>
      <w:r>
        <w:rPr>
          <w:rFonts w:ascii="Verdana" w:hAnsi="Verdana" w:cs="Arial"/>
          <w:color w:val="000000" w:themeColor="text1"/>
          <w:sz w:val="21"/>
          <w:szCs w:val="21"/>
        </w:rPr>
        <w:t>’</w:t>
      </w:r>
      <w:r w:rsidRPr="00CD6A1A">
        <w:rPr>
          <w:rFonts w:ascii="Verdana" w:hAnsi="Verdana" w:cs="Arial"/>
          <w:color w:val="000000" w:themeColor="text1"/>
          <w:sz w:val="21"/>
          <w:szCs w:val="21"/>
        </w:rPr>
        <w:t xml:space="preserve">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Pr>
          <w:rFonts w:ascii="Verdana" w:hAnsi="Verdana" w:cs="Arial"/>
          <w:color w:val="000000" w:themeColor="text1"/>
          <w:sz w:val="21"/>
          <w:szCs w:val="21"/>
        </w:rPr>
        <w:t>”</w:t>
      </w:r>
      <w:r w:rsidRPr="00CD6A1A">
        <w:rPr>
          <w:rStyle w:val="Refdenotaalpie"/>
          <w:rFonts w:ascii="Verdana" w:hAnsi="Verdana" w:cs="Arial"/>
          <w:color w:val="000000" w:themeColor="text1"/>
        </w:rPr>
        <w:footnoteReference w:id="1"/>
      </w:r>
      <w:r w:rsidRPr="00CD6A1A">
        <w:rPr>
          <w:rFonts w:ascii="Verdana" w:hAnsi="Verdana" w:cs="Arial"/>
          <w:color w:val="000000" w:themeColor="text1"/>
          <w:sz w:val="21"/>
          <w:szCs w:val="21"/>
        </w:rPr>
        <w:t>.</w:t>
      </w:r>
    </w:p>
    <w:p w:rsidRPr="00CD6A1A" w:rsidR="00961BC3" w:rsidP="00961BC3" w:rsidRDefault="00961BC3" w14:paraId="40B1E0BC" w14:textId="77777777">
      <w:pPr>
        <w:spacing w:after="0" w:line="276" w:lineRule="auto"/>
        <w:ind w:left="709" w:right="709"/>
        <w:jc w:val="both"/>
        <w:rPr>
          <w:rFonts w:ascii="Verdana" w:hAnsi="Verdana" w:cs="Arial"/>
          <w:color w:val="000000" w:themeColor="text1"/>
        </w:rPr>
      </w:pPr>
    </w:p>
    <w:p w:rsidRPr="00CD6A1A" w:rsidR="00961BC3" w:rsidP="00961BC3" w:rsidRDefault="00961BC3" w14:paraId="0307725A" w14:textId="77777777">
      <w:pPr>
        <w:spacing w:line="276" w:lineRule="auto"/>
        <w:ind w:firstLine="709"/>
        <w:jc w:val="both"/>
        <w:rPr>
          <w:rFonts w:ascii="Verdana" w:hAnsi="Verdana" w:cs="Arial"/>
          <w:color w:val="000000" w:themeColor="text1"/>
        </w:rPr>
      </w:pPr>
      <w:r w:rsidRPr="00CD6A1A">
        <w:rPr>
          <w:rFonts w:ascii="Verdana" w:hAnsi="Verdana" w:cs="Arial"/>
          <w:color w:val="000000" w:themeColor="text1"/>
        </w:rPr>
        <w:t>Por su parte,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resto de proveedores en el mercado”, según lo establece la guía antes mencionada.</w:t>
      </w:r>
    </w:p>
    <w:p w:rsidRPr="00CD6A1A" w:rsidR="00961BC3" w:rsidP="00961BC3" w:rsidRDefault="00961BC3" w14:paraId="4FBAA94E" w14:textId="77777777">
      <w:pPr>
        <w:spacing w:before="120" w:after="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De otro lado, el artículo 2.2.1.1.2.2.4 del Decreto 1082 de 2015 regula el procedimiento a seguir en los eventos en que se presenten propuestas con valor artificialmente bajo: </w:t>
      </w:r>
    </w:p>
    <w:p w:rsidRPr="00CD6A1A" w:rsidR="00961BC3" w:rsidP="00961BC3" w:rsidRDefault="00961BC3" w14:paraId="46FE0189" w14:textId="77777777">
      <w:pPr>
        <w:spacing w:after="0" w:line="276" w:lineRule="auto"/>
        <w:ind w:firstLine="709"/>
        <w:jc w:val="both"/>
        <w:rPr>
          <w:rFonts w:ascii="Verdana" w:hAnsi="Verdana" w:cs="Arial"/>
          <w:color w:val="000000" w:themeColor="text1"/>
        </w:rPr>
      </w:pPr>
    </w:p>
    <w:p w:rsidRPr="00CD6A1A" w:rsidR="00961BC3" w:rsidP="00961BC3" w:rsidRDefault="00961BC3" w14:paraId="198DBA57" w14:textId="77777777">
      <w:pPr>
        <w:tabs>
          <w:tab w:val="left" w:pos="7230"/>
          <w:tab w:val="left" w:pos="7797"/>
          <w:tab w:val="left" w:pos="8080"/>
        </w:tabs>
        <w:spacing w:after="120" w:line="240" w:lineRule="auto"/>
        <w:ind w:left="709" w:right="709"/>
        <w:jc w:val="both"/>
        <w:rPr>
          <w:rFonts w:ascii="Verdana" w:hAnsi="Verdana" w:cs="Arial"/>
          <w:color w:val="000000" w:themeColor="text1"/>
          <w:sz w:val="21"/>
          <w:szCs w:val="21"/>
        </w:rPr>
      </w:pPr>
      <w:r>
        <w:rPr>
          <w:rFonts w:ascii="Verdana" w:hAnsi="Verdana" w:cs="Arial"/>
          <w:color w:val="000000" w:themeColor="text1"/>
          <w:sz w:val="21"/>
          <w:szCs w:val="21"/>
        </w:rPr>
        <w:t>“</w:t>
      </w:r>
      <w:r w:rsidRPr="00CD6A1A">
        <w:rPr>
          <w:rFonts w:ascii="Verdana" w:hAnsi="Verdana" w:cs="Arial"/>
          <w:color w:val="000000" w:themeColor="text1"/>
          <w:sz w:val="21"/>
          <w:szCs w:val="21"/>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rsidRPr="00CD6A1A" w:rsidR="00961BC3" w:rsidP="00961BC3" w:rsidRDefault="00961BC3" w14:paraId="6D325FB6" w14:textId="77777777">
      <w:pPr>
        <w:tabs>
          <w:tab w:val="left" w:pos="7230"/>
          <w:tab w:val="left" w:pos="7797"/>
          <w:tab w:val="left" w:pos="8080"/>
        </w:tabs>
        <w:spacing w:after="120" w:line="240" w:lineRule="auto"/>
        <w:ind w:left="709" w:right="709"/>
        <w:jc w:val="both"/>
        <w:rPr>
          <w:rFonts w:ascii="Verdana" w:hAnsi="Verdana" w:cs="Arial"/>
          <w:color w:val="000000" w:themeColor="text1"/>
          <w:sz w:val="21"/>
          <w:szCs w:val="21"/>
        </w:rPr>
      </w:pPr>
      <w:r w:rsidRPr="00CD6A1A">
        <w:rPr>
          <w:rFonts w:ascii="Verdana" w:hAnsi="Verdana" w:cs="Arial"/>
          <w:color w:val="000000" w:themeColor="text1"/>
          <w:sz w:val="21"/>
          <w:szCs w:val="21"/>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rsidRPr="00CD6A1A" w:rsidR="00961BC3" w:rsidP="00961BC3" w:rsidRDefault="00961BC3" w14:paraId="408ECD97" w14:textId="77777777">
      <w:pPr>
        <w:tabs>
          <w:tab w:val="left" w:pos="7230"/>
          <w:tab w:val="left" w:pos="7797"/>
          <w:tab w:val="left" w:pos="8080"/>
        </w:tabs>
        <w:spacing w:after="0" w:line="240" w:lineRule="auto"/>
        <w:ind w:left="709" w:right="709"/>
        <w:jc w:val="both"/>
        <w:rPr>
          <w:rFonts w:ascii="Verdana" w:hAnsi="Verdana" w:cs="Arial"/>
          <w:color w:val="000000" w:themeColor="text1"/>
          <w:sz w:val="21"/>
          <w:szCs w:val="21"/>
        </w:rPr>
      </w:pPr>
      <w:r w:rsidRPr="00CD6A1A">
        <w:rPr>
          <w:rFonts w:ascii="Verdana" w:hAnsi="Verdana" w:cs="Arial"/>
          <w:color w:val="000000" w:themeColor="text1"/>
          <w:sz w:val="21"/>
          <w:szCs w:val="21"/>
        </w:rPr>
        <w:lastRenderedPageBreak/>
        <w:t>En la subasta inversa esta disposición es aplicable sobre el precio obtenido al final de la misma</w:t>
      </w:r>
      <w:r>
        <w:rPr>
          <w:rFonts w:ascii="Verdana" w:hAnsi="Verdana" w:cs="Arial"/>
          <w:color w:val="000000" w:themeColor="text1"/>
          <w:sz w:val="21"/>
          <w:szCs w:val="21"/>
        </w:rPr>
        <w:t>”</w:t>
      </w:r>
      <w:r w:rsidRPr="00CD6A1A">
        <w:rPr>
          <w:rFonts w:ascii="Verdana" w:hAnsi="Verdana" w:cs="Arial"/>
          <w:color w:val="000000" w:themeColor="text1"/>
          <w:sz w:val="21"/>
          <w:szCs w:val="21"/>
        </w:rPr>
        <w:t>.</w:t>
      </w:r>
    </w:p>
    <w:p w:rsidRPr="00CD6A1A" w:rsidR="00961BC3" w:rsidP="00961BC3" w:rsidRDefault="00961BC3" w14:paraId="4171F917" w14:textId="77777777">
      <w:pPr>
        <w:spacing w:after="0" w:line="276" w:lineRule="auto"/>
        <w:ind w:left="709" w:right="709"/>
        <w:jc w:val="both"/>
        <w:rPr>
          <w:rFonts w:ascii="Verdana" w:hAnsi="Verdana" w:cs="Arial"/>
          <w:color w:val="000000" w:themeColor="text1"/>
        </w:rPr>
      </w:pPr>
    </w:p>
    <w:p w:rsidRPr="00CD6A1A" w:rsidR="00961BC3" w:rsidP="00961BC3" w:rsidRDefault="00961BC3" w14:paraId="4C6DBC06" w14:textId="77777777">
      <w:pPr>
        <w:spacing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De lo expuesto se desprende que, ante una propuesta artificialmente baja, la entidad estatal está obligada a: i) requerir al oferente para que explique las razones que sustentan el valor ofrecido; ii) analizar las explicaciones; y iii)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 </w:t>
      </w:r>
    </w:p>
    <w:p w:rsidRPr="00CD6A1A" w:rsidR="00961BC3" w:rsidP="00961BC3" w:rsidRDefault="00961BC3" w14:paraId="28D315C3" w14:textId="7777777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Por su parte, la “Guía para el manejo de ofertas artificialmente bajas en Procesos de Contratación” recomienda a las entidades estatales tener en cuenta la siguiente información: i) promedio del valor de las ofertas, ii) mediana del valor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 </w:t>
      </w:r>
    </w:p>
    <w:p w:rsidR="00961BC3" w:rsidP="00961BC3" w:rsidRDefault="00961BC3" w14:paraId="44F69CAD" w14:textId="77777777">
      <w:pPr>
        <w:spacing w:before="120" w:line="276" w:lineRule="auto"/>
        <w:ind w:firstLine="708"/>
        <w:jc w:val="both"/>
        <w:rPr>
          <w:rFonts w:ascii="Verdana" w:hAnsi="Verdana" w:cs="Arial"/>
          <w:color w:val="000000" w:themeColor="text1"/>
        </w:rPr>
      </w:pPr>
      <w:r w:rsidRPr="00CD6A1A">
        <w:rPr>
          <w:rFonts w:ascii="Verdana" w:hAnsi="Verdana" w:cs="Arial"/>
          <w:color w:val="000000" w:themeColor="text1"/>
        </w:rPr>
        <w:t xml:space="preserve">Con estos datos, la entidad puede emplear herramientas para identificar ofertas que pueden ser artíficamente bajas, tales como la comparación absoluta o la comparación relativa. La </w:t>
      </w:r>
      <w:r w:rsidRPr="00F94F85">
        <w:rPr>
          <w:rFonts w:ascii="Verdana" w:hAnsi="Verdana" w:cs="Arial"/>
          <w:i/>
          <w:iCs/>
          <w:color w:val="000000" w:themeColor="text1"/>
        </w:rPr>
        <w:t>comparación absoluta</w:t>
      </w:r>
      <w:r w:rsidRPr="00CD6A1A">
        <w:rPr>
          <w:rFonts w:ascii="Verdana" w:hAnsi="Verdana" w:cs="Arial"/>
          <w:color w:val="000000" w:themeColor="text1"/>
        </w:rPr>
        <w:t xml:space="preserve"> consiste en contrastar cada oferta con el costo estimado del bien o servicio, de acuerdo con el estudio del sector. En este caso, si se reciben menos de cinco (5) ofertas, se debe solicitar aclaración a los proponentes cuyas ofertas sean menores en un 20%, o un mayor porcentaje en relación con el costo estimado por la entidad estatal. La </w:t>
      </w:r>
      <w:r w:rsidRPr="00F94F85">
        <w:rPr>
          <w:rFonts w:ascii="Verdana" w:hAnsi="Verdana" w:cs="Arial"/>
          <w:i/>
          <w:iCs/>
          <w:color w:val="000000" w:themeColor="text1"/>
        </w:rPr>
        <w:t>comparación relativa</w:t>
      </w:r>
      <w:r w:rsidRPr="00CD6A1A">
        <w:rPr>
          <w:rFonts w:ascii="Verdana" w:hAnsi="Verdana" w:cs="Arial"/>
          <w:color w:val="000000" w:themeColor="text1"/>
        </w:rPr>
        <w:t xml:space="preserve"> consiste en comparar cada oferta con las demás presentadas. </w:t>
      </w:r>
    </w:p>
    <w:p w:rsidRPr="002C3EBA" w:rsidR="002C3EBA" w:rsidP="002C3EBA" w:rsidRDefault="002C3EBA" w14:paraId="1B276CDB" w14:textId="77777777">
      <w:pPr>
        <w:jc w:val="both"/>
        <w:rPr>
          <w:rFonts w:ascii="Verdana" w:hAnsi="Verdana" w:cs="Arial"/>
        </w:rPr>
      </w:pPr>
      <w:r w:rsidRPr="002C3EBA">
        <w:rPr>
          <w:rFonts w:ascii="Verdana" w:hAnsi="Verdana" w:cs="Arial"/>
        </w:rPr>
        <w:t>Adicionalmente, la Guía sugiere la aplicación de la siguiente metodología para identificar ofertas con precios artificialmente bajos, en procesos de selección cuando se reciben más de</w:t>
      </w:r>
      <w:r w:rsidRPr="001D7B54">
        <w:rPr>
          <w:rFonts w:ascii="Verdana" w:hAnsi="Verdana" w:cs="Arial"/>
        </w:rPr>
        <w:t xml:space="preserve"> cinco (5) </w:t>
      </w:r>
      <w:r w:rsidRPr="002C3EBA">
        <w:rPr>
          <w:rFonts w:ascii="Verdana" w:hAnsi="Verdana" w:cs="Arial"/>
        </w:rPr>
        <w:t>ofertas:</w:t>
      </w:r>
    </w:p>
    <w:p w:rsidRPr="002C3EBA" w:rsidR="002C3EBA" w:rsidP="001D7B54" w:rsidRDefault="001D7B54" w14:paraId="5287C754" w14:textId="75ADDC4D">
      <w:pPr>
        <w:jc w:val="both"/>
        <w:rPr>
          <w:rFonts w:ascii="Verdana" w:hAnsi="Verdana" w:cs="Arial"/>
        </w:rPr>
      </w:pPr>
      <w:r>
        <w:rPr>
          <w:rFonts w:ascii="Verdana" w:hAnsi="Verdana" w:cs="Arial"/>
        </w:rPr>
        <w:t>L</w:t>
      </w:r>
      <w:r w:rsidRPr="002C3EBA" w:rsidR="002C3EBA">
        <w:rPr>
          <w:rFonts w:ascii="Verdana" w:hAnsi="Verdana" w:cs="Arial"/>
        </w:rPr>
        <w:t xml:space="preserve">a Entidad deberá determinar un </w:t>
      </w:r>
      <w:r w:rsidRPr="001D7B54" w:rsidR="002C3EBA">
        <w:rPr>
          <w:rFonts w:ascii="Verdana" w:hAnsi="Verdana" w:cs="Arial"/>
        </w:rPr>
        <w:t>valor mínimo aceptable</w:t>
      </w:r>
      <w:r w:rsidRPr="002C3EBA" w:rsidR="002C3EBA">
        <w:rPr>
          <w:rFonts w:ascii="Verdana" w:hAnsi="Verdana" w:cs="Arial"/>
        </w:rPr>
        <w:t xml:space="preserve"> de las ofertas recibidas; cualquier oferta que se encuentre por debajo de dicho valor se puede identificar como posibles ofertas artificialmente bajas y la Entidad deberá solicitarle las aclaraciones respectivas. Para establecer el valor mínimo aceptable se define el siguiente procedimiento:</w:t>
      </w:r>
    </w:p>
    <w:p w:rsidRPr="002C3EBA" w:rsidR="002C3EBA" w:rsidP="002C3EBA" w:rsidRDefault="002C3EBA" w14:paraId="3DF6BD14" w14:textId="77777777">
      <w:pPr>
        <w:pStyle w:val="Prrafodelista"/>
        <w:ind w:left="1428"/>
        <w:jc w:val="both"/>
        <w:rPr>
          <w:rFonts w:ascii="Verdana" w:hAnsi="Verdana" w:cs="Arial"/>
        </w:rPr>
      </w:pPr>
    </w:p>
    <w:p w:rsidRPr="002C3EBA" w:rsidR="002C3EBA" w:rsidP="002C3EBA" w:rsidRDefault="002C3EBA" w14:paraId="3DC080C2" w14:textId="77777777">
      <w:pPr>
        <w:pStyle w:val="Prrafodelista"/>
        <w:numPr>
          <w:ilvl w:val="0"/>
          <w:numId w:val="23"/>
        </w:numPr>
        <w:jc w:val="both"/>
        <w:rPr>
          <w:rFonts w:ascii="Verdana" w:hAnsi="Verdana" w:cs="Arial"/>
        </w:rPr>
      </w:pPr>
      <w:r w:rsidRPr="002C3EBA">
        <w:rPr>
          <w:rFonts w:ascii="Verdana" w:hAnsi="Verdana" w:cs="Arial"/>
        </w:rPr>
        <w:t>Tomar el conjunto de ofertas a evaluar.</w:t>
      </w:r>
    </w:p>
    <w:p w:rsidRPr="002C3EBA" w:rsidR="002C3EBA" w:rsidP="002C3EBA" w:rsidRDefault="002C3EBA" w14:paraId="1D1859D0" w14:textId="77777777">
      <w:pPr>
        <w:pStyle w:val="Prrafodelista"/>
        <w:numPr>
          <w:ilvl w:val="0"/>
          <w:numId w:val="23"/>
        </w:numPr>
        <w:jc w:val="both"/>
        <w:rPr>
          <w:rFonts w:ascii="Verdana" w:hAnsi="Verdana" w:cs="Arial"/>
        </w:rPr>
      </w:pPr>
      <w:r w:rsidRPr="002C3EBA">
        <w:rPr>
          <w:rFonts w:ascii="Verdana" w:hAnsi="Verdana" w:cs="Arial"/>
        </w:rPr>
        <w:t>Calcular la mediana</w:t>
      </w:r>
      <w:r w:rsidRPr="002C3EBA">
        <w:rPr>
          <w:rStyle w:val="Refdenotaalpie"/>
          <w:rFonts w:ascii="Verdana" w:hAnsi="Verdana" w:cs="Arial"/>
        </w:rPr>
        <w:footnoteReference w:id="2"/>
      </w:r>
      <w:r w:rsidRPr="002C3EBA">
        <w:rPr>
          <w:rFonts w:ascii="Verdana" w:hAnsi="Verdana" w:cs="Arial"/>
        </w:rPr>
        <w:t>, o dependiendo de la dispersión de los datos el promedio, del valor de cada oferta o de cada ítem dentro de la oferta.</w:t>
      </w:r>
    </w:p>
    <w:p w:rsidRPr="002C3EBA" w:rsidR="002C3EBA" w:rsidP="002C3EBA" w:rsidRDefault="002C3EBA" w14:paraId="4A3A310A" w14:textId="77777777">
      <w:pPr>
        <w:pStyle w:val="Prrafodelista"/>
        <w:numPr>
          <w:ilvl w:val="0"/>
          <w:numId w:val="23"/>
        </w:numPr>
        <w:jc w:val="both"/>
        <w:rPr>
          <w:rFonts w:ascii="Verdana" w:hAnsi="Verdana" w:cs="Arial"/>
        </w:rPr>
      </w:pPr>
      <w:r w:rsidRPr="002C3EBA">
        <w:rPr>
          <w:rFonts w:ascii="Verdana" w:hAnsi="Verdana" w:cs="Arial"/>
        </w:rPr>
        <w:t>Calcular la desviación estándar del conjunto.</w:t>
      </w:r>
    </w:p>
    <w:p w:rsidRPr="002C3EBA" w:rsidR="002C3EBA" w:rsidP="002C3EBA" w:rsidRDefault="002C3EBA" w14:paraId="35783A7B" w14:textId="77777777">
      <w:pPr>
        <w:pStyle w:val="Prrafodelista"/>
        <w:ind w:left="1080"/>
        <w:jc w:val="both"/>
        <w:rPr>
          <w:rFonts w:ascii="Verdana" w:hAnsi="Verdana" w:cs="Arial"/>
        </w:rPr>
      </w:pPr>
    </w:p>
    <w:p w:rsidRPr="002C3EBA" w:rsidR="002C3EBA" w:rsidP="002C3EBA" w:rsidRDefault="002C3EBA" w14:paraId="1A4987B0" w14:textId="77777777">
      <w:pPr>
        <w:pStyle w:val="Prrafodelista"/>
        <w:ind w:left="1080"/>
        <w:jc w:val="both"/>
        <w:rPr>
          <w:rFonts w:ascii="Verdana" w:hAnsi="Verdana" w:cs="Arial"/>
        </w:rPr>
      </w:pPr>
      <w:r w:rsidRPr="002C3EBA">
        <w:rPr>
          <w:rFonts w:ascii="Verdana" w:hAnsi="Verdana"/>
          <w:noProof/>
        </w:rPr>
        <w:drawing>
          <wp:anchor distT="0" distB="0" distL="114300" distR="114300" simplePos="0" relativeHeight="251659264" behindDoc="0" locked="0" layoutInCell="1" allowOverlap="1" wp14:anchorId="15504F62" wp14:editId="45022A75">
            <wp:simplePos x="0" y="0"/>
            <wp:positionH relativeFrom="column">
              <wp:posOffset>206375</wp:posOffset>
            </wp:positionH>
            <wp:positionV relativeFrom="paragraph">
              <wp:posOffset>173990</wp:posOffset>
            </wp:positionV>
            <wp:extent cx="5262880" cy="881380"/>
            <wp:effectExtent l="0" t="0" r="0" b="0"/>
            <wp:wrapSquare wrapText="bothSides"/>
            <wp:docPr id="209630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0576" name=""/>
                    <pic:cNvPicPr/>
                  </pic:nvPicPr>
                  <pic:blipFill rotWithShape="1">
                    <a:blip r:embed="rId13">
                      <a:extLst>
                        <a:ext uri="{28A0092B-C50C-407E-A947-70E740481C1C}">
                          <a14:useLocalDpi xmlns:a14="http://schemas.microsoft.com/office/drawing/2010/main" val="0"/>
                        </a:ext>
                      </a:extLst>
                    </a:blip>
                    <a:srcRect l="19344" t="43806" r="20551" b="42375"/>
                    <a:stretch/>
                  </pic:blipFill>
                  <pic:spPr bwMode="auto">
                    <a:xfrm>
                      <a:off x="0" y="0"/>
                      <a:ext cx="526288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C3EBA">
        <w:rPr>
          <w:rFonts w:ascii="Verdana" w:hAnsi="Verdana" w:cs="Arial"/>
        </w:rPr>
        <w:t>La desviación estándar es el resultado de aplicar la siguiente fórmula:</w:t>
      </w:r>
    </w:p>
    <w:p w:rsidRPr="002C3EBA" w:rsidR="002C3EBA" w:rsidP="002C3EBA" w:rsidRDefault="002C3EBA" w14:paraId="11E72A1B" w14:textId="77777777">
      <w:pPr>
        <w:pStyle w:val="Prrafodelista"/>
        <w:ind w:left="1080"/>
        <w:jc w:val="both"/>
        <w:rPr>
          <w:rFonts w:ascii="Verdana" w:hAnsi="Verdana" w:cs="Arial"/>
        </w:rPr>
      </w:pPr>
    </w:p>
    <w:p w:rsidRPr="002C3EBA" w:rsidR="002C3EBA" w:rsidP="002C3EBA" w:rsidRDefault="002C3EBA" w14:paraId="6C470601" w14:textId="77777777">
      <w:pPr>
        <w:pStyle w:val="Prrafodelista"/>
        <w:ind w:left="1080"/>
        <w:jc w:val="both"/>
        <w:rPr>
          <w:rFonts w:ascii="Verdana" w:hAnsi="Verdana" w:cs="Arial"/>
        </w:rPr>
      </w:pPr>
      <w:r w:rsidRPr="002C3EBA">
        <w:rPr>
          <w:rFonts w:ascii="Verdana" w:hAnsi="Verdana" w:cs="Arial"/>
        </w:rPr>
        <w:t xml:space="preserve">Donde </w:t>
      </w:r>
      <w:r w:rsidRPr="002C3EBA">
        <w:rPr>
          <w:rFonts w:ascii="Verdana" w:hAnsi="Verdana" w:cs="Arial"/>
          <w:b/>
          <w:bCs/>
        </w:rPr>
        <w:t>n</w:t>
      </w:r>
      <w:r w:rsidRPr="002C3EBA">
        <w:rPr>
          <w:rFonts w:ascii="Verdana" w:hAnsi="Verdana" w:cs="Arial"/>
        </w:rPr>
        <w:t xml:space="preserve"> es el número de ofertas.</w:t>
      </w:r>
    </w:p>
    <w:p w:rsidRPr="002C3EBA" w:rsidR="002C3EBA" w:rsidP="002C3EBA" w:rsidRDefault="002C3EBA" w14:paraId="7BBE370A" w14:textId="77777777">
      <w:pPr>
        <w:pStyle w:val="Prrafodelista"/>
        <w:ind w:left="1080"/>
        <w:jc w:val="both"/>
        <w:rPr>
          <w:rFonts w:ascii="Verdana" w:hAnsi="Verdana" w:cs="Arial"/>
        </w:rPr>
      </w:pPr>
    </w:p>
    <w:p w:rsidRPr="002C3EBA" w:rsidR="002C3EBA" w:rsidP="002C3EBA" w:rsidRDefault="002C3EBA" w14:paraId="4B528360" w14:textId="77777777">
      <w:pPr>
        <w:pStyle w:val="Prrafodelista"/>
        <w:numPr>
          <w:ilvl w:val="0"/>
          <w:numId w:val="23"/>
        </w:numPr>
        <w:jc w:val="both"/>
        <w:rPr>
          <w:rFonts w:ascii="Verdana" w:hAnsi="Verdana" w:cs="Arial"/>
        </w:rPr>
      </w:pPr>
      <w:r w:rsidRPr="002C3EBA">
        <w:rPr>
          <w:rFonts w:ascii="Verdana" w:hAnsi="Verdana" w:cs="Arial"/>
        </w:rPr>
        <w:t xml:space="preserve">Determinar el valor mínimo aceptable para la Entidad Estatal, obtenido mediante la aplicación de la siguiente fórmula: </w:t>
      </w:r>
    </w:p>
    <w:p w:rsidRPr="002C3EBA" w:rsidR="002C3EBA" w:rsidP="002C3EBA" w:rsidRDefault="002C3EBA" w14:paraId="3786E6BF" w14:textId="77777777">
      <w:pPr>
        <w:pStyle w:val="Prrafodelista"/>
        <w:ind w:left="1080"/>
        <w:jc w:val="both"/>
        <w:rPr>
          <w:rFonts w:ascii="Verdana" w:hAnsi="Verdana" w:cs="Arial"/>
        </w:rPr>
      </w:pPr>
    </w:p>
    <w:p w:rsidRPr="002C3EBA" w:rsidR="002C3EBA" w:rsidP="002C3EBA" w:rsidRDefault="002C3EBA" w14:paraId="4D4F044E" w14:textId="77777777">
      <w:pPr>
        <w:pStyle w:val="Prrafodelista"/>
        <w:ind w:left="1080"/>
        <w:jc w:val="center"/>
        <w:rPr>
          <w:rFonts w:ascii="Verdana" w:hAnsi="Verdana" w:cs="Arial"/>
          <w:i/>
          <w:iCs/>
        </w:rPr>
      </w:pPr>
      <w:r w:rsidRPr="002C3EBA">
        <w:rPr>
          <w:rFonts w:ascii="Verdana" w:hAnsi="Verdana" w:cs="Arial"/>
          <w:b/>
          <w:bCs/>
          <w:i/>
          <w:iCs/>
        </w:rPr>
        <w:t>Valor Mínimo Aceptable</w:t>
      </w:r>
      <w:r w:rsidRPr="002C3EBA">
        <w:rPr>
          <w:rFonts w:ascii="Verdana" w:hAnsi="Verdana" w:cs="Arial"/>
          <w:i/>
          <w:iCs/>
        </w:rPr>
        <w:t xml:space="preserve"> = Mediana - Desviación Estándar</w:t>
      </w:r>
    </w:p>
    <w:p w:rsidRPr="002C3EBA" w:rsidR="002C3EBA" w:rsidP="002C3EBA" w:rsidRDefault="002C3EBA" w14:paraId="6B64F2C9" w14:textId="77777777">
      <w:pPr>
        <w:jc w:val="both"/>
        <w:rPr>
          <w:rFonts w:ascii="Verdana" w:hAnsi="Verdana" w:cs="Arial"/>
        </w:rPr>
      </w:pPr>
      <w:r w:rsidRPr="002C3EBA">
        <w:rPr>
          <w:rFonts w:ascii="Verdana" w:hAnsi="Verdana" w:cs="Arial"/>
        </w:rPr>
        <w:t>Conforme con las metodologías definidas en la “Guía para el manejo de ofertas artificialmente bajas en Procesos de Contratación”</w:t>
      </w:r>
      <w:r w:rsidRPr="002C3EBA">
        <w:rPr>
          <w:rStyle w:val="Refdenotaalpie"/>
          <w:rFonts w:ascii="Verdana" w:hAnsi="Verdana" w:cs="Arial"/>
        </w:rPr>
        <w:footnoteReference w:id="3"/>
      </w:r>
      <w:r w:rsidRPr="002C3EBA">
        <w:rPr>
          <w:rFonts w:ascii="Verdana" w:hAnsi="Verdana" w:cs="Arial"/>
        </w:rPr>
        <w:t xml:space="preserve">, se sugiere que una oferta puede ser considerada artificialmente baja cuando sea menor en un </w:t>
      </w:r>
      <w:r w:rsidRPr="002C3EBA">
        <w:rPr>
          <w:rFonts w:ascii="Verdana" w:hAnsi="Verdana" w:cs="Arial"/>
          <w:b/>
          <w:bCs/>
        </w:rPr>
        <w:t xml:space="preserve">20% (o un porcentaje mayor) </w:t>
      </w:r>
      <w:r w:rsidRPr="002C3EBA">
        <w:rPr>
          <w:rFonts w:ascii="Verdana" w:hAnsi="Verdana" w:cs="Arial"/>
        </w:rPr>
        <w:t xml:space="preserve">al costo estimado por la Entidad Estatal o cuando la oferta se encuentre por debajo de un </w:t>
      </w:r>
      <w:r w:rsidRPr="002C3EBA">
        <w:rPr>
          <w:rFonts w:ascii="Verdana" w:hAnsi="Verdana" w:cs="Arial"/>
          <w:b/>
          <w:bCs/>
        </w:rPr>
        <w:t>valor mínimo aceptable</w:t>
      </w:r>
      <w:r w:rsidRPr="002C3EBA">
        <w:rPr>
          <w:rFonts w:ascii="Verdana" w:hAnsi="Verdana" w:cs="Arial"/>
        </w:rPr>
        <w:t xml:space="preserve"> que defina la Entidad, lo anterior, dependiendo de la metodología de análisis que utilice la Entidad para realizar la respectiva verificación.</w:t>
      </w:r>
    </w:p>
    <w:p w:rsidR="005F34B1" w:rsidP="005F34B1" w:rsidRDefault="002C3EBA" w14:paraId="781CA968" w14:textId="6CCBB31D">
      <w:pPr>
        <w:jc w:val="both"/>
        <w:rPr>
          <w:rFonts w:ascii="Verdana" w:hAnsi="Verdana" w:eastAsia="Century Gothic" w:cs="Century Gothic"/>
          <w:b/>
          <w:bCs/>
        </w:rPr>
      </w:pPr>
      <w:r w:rsidRPr="002C3EBA">
        <w:rPr>
          <w:rFonts w:ascii="Verdana" w:hAnsi="Verdana" w:cs="Arial"/>
        </w:rPr>
        <w:t xml:space="preserve">De acuerdo con la petición, es importante resaltar que la Entidad Estatal está facultada para aplicar los criterios contenidos en la Guía o acudir, si bien lo tiene, a otro tipo de criterios que consideren más apropiados mediante los cuales establecer el criterio (porcentual o numérico) </w:t>
      </w:r>
      <w:r w:rsidRPr="005F34B1" w:rsidR="005F34B1">
        <w:rPr>
          <w:rFonts w:ascii="Verdana" w:hAnsi="Verdana" w:eastAsia="Calibri" w:cs="Arial"/>
          <w:lang w:val="es-ES"/>
        </w:rPr>
        <w:t xml:space="preserve">con el cual analizar las ofertas por lo que para el caso en concreto si producto del </w:t>
      </w:r>
      <w:r w:rsidRPr="005F34B1" w:rsidR="005F34B1">
        <w:rPr>
          <w:rFonts w:ascii="Verdana" w:hAnsi="Verdana" w:eastAsia="Century Gothic" w:cs="Century Gothic"/>
        </w:rPr>
        <w:t xml:space="preserve">análisis realizado por la entidad se evidenció que el indicador de variación de los precios de construcción tuvo una variación del 9% corresponderá a la misma entidad estatal en el marco de su autonomía </w:t>
      </w:r>
      <w:r w:rsidRPr="005F34B1" w:rsidR="005F34B1">
        <w:rPr>
          <w:rFonts w:ascii="Verdana" w:hAnsi="Verdana" w:eastAsia="Calibri" w:cs="Arial"/>
          <w:lang w:val="es-ES"/>
        </w:rPr>
        <w:t xml:space="preserve">y previa valoración de los elementos fácticos y jurídicos, así como de las disposiciones legales mencionadas, determinar </w:t>
      </w:r>
      <w:r w:rsidR="005F34B1">
        <w:rPr>
          <w:rFonts w:ascii="Verdana" w:hAnsi="Verdana" w:eastAsia="Century Gothic" w:cs="Century Gothic"/>
        </w:rPr>
        <w:t>si</w:t>
      </w:r>
      <w:r w:rsidRPr="005F34B1" w:rsidR="005F34B1">
        <w:rPr>
          <w:rFonts w:ascii="Verdana" w:hAnsi="Verdana" w:eastAsia="Century Gothic" w:cs="Century Gothic"/>
        </w:rPr>
        <w:t xml:space="preserve"> dicha metodología resulta apropiada para identificar las ofertas artificialmente bajas.</w:t>
      </w:r>
    </w:p>
    <w:p w:rsidR="005F34B1" w:rsidP="002C3EBA" w:rsidRDefault="005F34B1" w14:paraId="3487FCCA" w14:textId="77777777">
      <w:pPr>
        <w:jc w:val="both"/>
        <w:rPr>
          <w:rFonts w:ascii="Verdana" w:hAnsi="Verdana" w:cs="Arial"/>
        </w:rPr>
      </w:pPr>
    </w:p>
    <w:p w:rsidRPr="002C3EBA" w:rsidR="002C3EBA" w:rsidP="002C3EBA" w:rsidRDefault="002C3EBA" w14:paraId="428B77FA" w14:textId="5FF99EA2">
      <w:pPr>
        <w:jc w:val="both"/>
        <w:rPr>
          <w:rFonts w:ascii="Verdana" w:hAnsi="Verdana" w:cs="Arial"/>
        </w:rPr>
      </w:pPr>
      <w:r w:rsidRPr="002C3EBA">
        <w:rPr>
          <w:rFonts w:ascii="Verdana" w:hAnsi="Verdana" w:cs="Arial"/>
        </w:rPr>
        <w:t xml:space="preserve">En este mismo sentido, la Guía, con relación a la metodología absoluta señala lo siguiente: </w:t>
      </w:r>
      <w:r w:rsidRPr="002C3EBA">
        <w:rPr>
          <w:rFonts w:ascii="Verdana" w:hAnsi="Verdana" w:cs="Arial"/>
          <w:i/>
          <w:iCs/>
        </w:rPr>
        <w:t>“La Entidad Estatal puede fijar un valor mínimo aceptable distinto de acuerdo con la información que tenga disponible y dependiendo de los datos que esté analizando. La Entidad Estatal puede identificar como posibles ofertas artificialmente bajas a todas las ofertas que cuenten con valores por debajo del valor mínimo aceptable”</w:t>
      </w:r>
      <w:r w:rsidRPr="002C3EBA">
        <w:rPr>
          <w:rStyle w:val="Refdenotaalpie"/>
          <w:rFonts w:ascii="Verdana" w:hAnsi="Verdana" w:cs="Arial"/>
          <w:i/>
          <w:iCs/>
        </w:rPr>
        <w:footnoteReference w:id="4"/>
      </w:r>
      <w:r w:rsidRPr="002C3EBA">
        <w:rPr>
          <w:rFonts w:ascii="Verdana" w:hAnsi="Verdana" w:cs="Arial"/>
        </w:rPr>
        <w:t>.</w:t>
      </w:r>
    </w:p>
    <w:p w:rsidRPr="002C3EBA" w:rsidR="002C3EBA" w:rsidP="002C3EBA" w:rsidRDefault="002C3EBA" w14:paraId="7B867B66" w14:textId="77777777">
      <w:pPr>
        <w:jc w:val="both"/>
        <w:rPr>
          <w:rFonts w:ascii="Verdana" w:hAnsi="Verdana" w:cs="Arial"/>
          <w:i/>
          <w:iCs/>
        </w:rPr>
      </w:pPr>
      <w:r w:rsidRPr="002C3EBA">
        <w:rPr>
          <w:rFonts w:ascii="Verdana" w:hAnsi="Verdana" w:cs="Arial"/>
        </w:rPr>
        <w:t xml:space="preserve">Sin embargo, es importante precisar que la determinación un valor mínimo aceptable distinto o la definición de un porcentaje de variación distinto al recomendado por la Guía deberá ser sustentado de forma detallada por la Entidad: </w:t>
      </w:r>
      <w:r w:rsidRPr="002C3EBA">
        <w:rPr>
          <w:rFonts w:ascii="Verdana" w:hAnsi="Verdana" w:cs="Arial"/>
          <w:i/>
          <w:iCs/>
        </w:rPr>
        <w:t>“La Entidad Estatal debe incorporar en la resolución de adjudicación una explicación detallada y completa de la metodología que utilizó para identificar posibles ofertas artificialmente bajas en el Proceso de Contratación.</w:t>
      </w:r>
    </w:p>
    <w:p w:rsidRPr="002C3EBA" w:rsidR="002C3EBA" w:rsidP="002C3EBA" w:rsidRDefault="002C3EBA" w14:paraId="7138E021" w14:textId="77777777">
      <w:pPr>
        <w:jc w:val="both"/>
        <w:rPr>
          <w:rFonts w:ascii="Verdana" w:hAnsi="Verdana" w:cs="Arial"/>
          <w:i/>
          <w:iCs/>
        </w:rPr>
      </w:pPr>
      <w:r w:rsidRPr="002C3EBA">
        <w:rPr>
          <w:rFonts w:ascii="Verdana" w:hAnsi="Verdana" w:cs="Arial"/>
          <w:i/>
          <w:iCs/>
        </w:rPr>
        <w:t>En los eventos en que el proceso de selección de contratista no contemple resolución de adjudicación, como en un proceso de mínima cuantía, la Entidad Estatal realizará esa explicación antes de aceptar la oferta más favorable”</w:t>
      </w:r>
      <w:r w:rsidRPr="002C3EBA">
        <w:rPr>
          <w:rStyle w:val="Refdenotaalpie"/>
          <w:rFonts w:ascii="Verdana" w:hAnsi="Verdana" w:cs="Arial"/>
          <w:i/>
          <w:iCs/>
        </w:rPr>
        <w:footnoteReference w:id="5"/>
      </w:r>
      <w:r w:rsidRPr="002C3EBA">
        <w:rPr>
          <w:rFonts w:ascii="Verdana" w:hAnsi="Verdana" w:cs="Arial"/>
          <w:i/>
          <w:iCs/>
        </w:rPr>
        <w:t>.</w:t>
      </w:r>
    </w:p>
    <w:p w:rsidRPr="002C3EBA" w:rsidR="002C3EBA" w:rsidP="002C3EBA" w:rsidRDefault="0050484B" w14:paraId="2DFB375E" w14:textId="28570768">
      <w:pPr>
        <w:jc w:val="both"/>
        <w:rPr>
          <w:rFonts w:ascii="Verdana" w:hAnsi="Verdana" w:cs="Arial"/>
        </w:rPr>
      </w:pPr>
      <w:r>
        <w:rPr>
          <w:rFonts w:ascii="Verdana" w:hAnsi="Verdana" w:cs="Arial"/>
        </w:rPr>
        <w:t>De igual manera</w:t>
      </w:r>
      <w:r w:rsidRPr="002C3EBA" w:rsidR="002C3EBA">
        <w:rPr>
          <w:rFonts w:ascii="Verdana" w:hAnsi="Verdana" w:cs="Arial"/>
        </w:rPr>
        <w:t>, vale la pena señalar que la Entidad deberá tener en cuenta algunas consideraciones antes de analizar y determinar si una oferta se configura como artificialmente baja</w:t>
      </w:r>
      <w:r w:rsidRPr="002C3EBA" w:rsidR="002C3EBA">
        <w:rPr>
          <w:rStyle w:val="Refdenotaalpie"/>
          <w:rFonts w:ascii="Verdana" w:hAnsi="Verdana" w:cs="Arial"/>
          <w:i/>
          <w:iCs/>
        </w:rPr>
        <w:footnoteReference w:id="6"/>
      </w:r>
      <w:r w:rsidRPr="002C3EBA" w:rsidR="002C3EBA">
        <w:rPr>
          <w:rFonts w:ascii="Verdana" w:hAnsi="Verdana" w:cs="Arial"/>
        </w:rPr>
        <w:t>:</w:t>
      </w:r>
    </w:p>
    <w:p w:rsidRPr="002C3EBA" w:rsidR="002C3EBA" w:rsidP="002C3EBA" w:rsidRDefault="002C3EBA" w14:paraId="1987E1D9" w14:textId="77777777">
      <w:pPr>
        <w:pStyle w:val="Prrafodelista"/>
        <w:numPr>
          <w:ilvl w:val="0"/>
          <w:numId w:val="24"/>
        </w:numPr>
        <w:jc w:val="both"/>
        <w:rPr>
          <w:rFonts w:ascii="Verdana" w:hAnsi="Verdana" w:cs="Arial"/>
        </w:rPr>
      </w:pPr>
      <w:r w:rsidRPr="002C3EBA">
        <w:rPr>
          <w:rFonts w:ascii="Verdana" w:hAnsi="Verdana" w:cs="Arial"/>
        </w:rPr>
        <w:t>El historial de colusión entre los proponentes o en el sector.</w:t>
      </w:r>
    </w:p>
    <w:p w:rsidRPr="002C3EBA" w:rsidR="002C3EBA" w:rsidP="002C3EBA" w:rsidRDefault="002C3EBA" w14:paraId="0CF00D5D" w14:textId="77777777">
      <w:pPr>
        <w:pStyle w:val="Prrafodelista"/>
        <w:numPr>
          <w:ilvl w:val="0"/>
          <w:numId w:val="24"/>
        </w:numPr>
        <w:jc w:val="both"/>
        <w:rPr>
          <w:rFonts w:ascii="Verdana" w:hAnsi="Verdana" w:cs="Arial"/>
        </w:rPr>
      </w:pPr>
      <w:r w:rsidRPr="002C3EBA">
        <w:rPr>
          <w:rFonts w:ascii="Verdana" w:hAnsi="Verdana" w:cs="Arial"/>
        </w:rPr>
        <w:t>La Entidad Estatal puede fijar un valor mínimo aceptable distinto de acuerdo con la información que tenga disponible y dependiendo de los datos que esté analizando.</w:t>
      </w:r>
    </w:p>
    <w:p w:rsidRPr="002C3EBA" w:rsidR="002C3EBA" w:rsidP="002C3EBA" w:rsidRDefault="002C3EBA" w14:paraId="703D5FDB" w14:textId="77777777">
      <w:pPr>
        <w:pStyle w:val="Prrafodelista"/>
        <w:numPr>
          <w:ilvl w:val="0"/>
          <w:numId w:val="24"/>
        </w:numPr>
        <w:jc w:val="both"/>
        <w:rPr>
          <w:rFonts w:ascii="Verdana" w:hAnsi="Verdana" w:cs="Arial"/>
        </w:rPr>
      </w:pPr>
      <w:r w:rsidRPr="002C3EBA">
        <w:rPr>
          <w:rFonts w:ascii="Verdana" w:hAnsi="Verdana" w:cs="Arial"/>
        </w:rPr>
        <w:t>La Entidad debe considerar dentro de sus análisis los porcentajes de descuento obtenido en procesos de selección anteriores, adelantados para la adquisición de bienes o servicios con características similares, que derivaron en la suscripción y ejecución exitosa de un contrato.</w:t>
      </w:r>
    </w:p>
    <w:p w:rsidR="00961BC3" w:rsidP="00961BC3" w:rsidRDefault="0050484B" w14:paraId="08FFDA69" w14:textId="7FBBC422">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Pr>
          <w:rFonts w:ascii="Verdana" w:hAnsi="Verdana" w:cs="Arial"/>
          <w:color w:val="000000" w:themeColor="text1"/>
          <w:sz w:val="22"/>
          <w:szCs w:val="22"/>
        </w:rPr>
        <w:t>Finalmente, para verificar</w:t>
      </w:r>
      <w:r w:rsidRPr="007D075C" w:rsidR="00961BC3">
        <w:rPr>
          <w:rFonts w:ascii="Verdana" w:hAnsi="Verdana" w:cs="Arial"/>
          <w:color w:val="000000" w:themeColor="text1"/>
          <w:sz w:val="22"/>
          <w:szCs w:val="22"/>
        </w:rPr>
        <w:t xml:space="preserve"> la sostenibilidad de una oferta, el Banco Mundial recomienda analizar los subtotales de cada componente de un contrato</w:t>
      </w:r>
      <w:r w:rsidR="00961BC3">
        <w:rPr>
          <w:rStyle w:val="Refdenotaalpie"/>
          <w:rFonts w:ascii="Verdana" w:hAnsi="Verdana" w:cs="Arial"/>
          <w:color w:val="000000" w:themeColor="text1"/>
          <w:sz w:val="22"/>
          <w:szCs w:val="22"/>
        </w:rPr>
        <w:footnoteReference w:id="7"/>
      </w:r>
      <w:r w:rsidRPr="007D075C" w:rsidR="00961BC3">
        <w:rPr>
          <w:rFonts w:ascii="Verdana" w:hAnsi="Verdana" w:cs="Arial"/>
          <w:color w:val="000000" w:themeColor="text1"/>
          <w:sz w:val="22"/>
          <w:szCs w:val="22"/>
        </w:rPr>
        <w:t xml:space="preserve">. Para el efecto, la Entidad Estatal debe comparar el costo de cada componente del contrato de cada una de las ofertas recibidas para determinar los componentes que presentan mayor diferencia. Si alguna oferta resulta estar muy por debajo </w:t>
      </w:r>
      <w:r w:rsidRPr="007D075C" w:rsidR="00961BC3">
        <w:rPr>
          <w:rFonts w:ascii="Verdana" w:hAnsi="Verdana" w:cs="Arial"/>
          <w:color w:val="000000" w:themeColor="text1"/>
          <w:sz w:val="22"/>
          <w:szCs w:val="22"/>
        </w:rPr>
        <w:lastRenderedPageBreak/>
        <w:t>de las demás en el análisis de subtotales, quiere decir que el proponente subestimó todos los costos asociados, o estableció un margen de utilidad excepcionalmente reducido. En este caso, la Entidad Estatal puede solicitar nuevamente aclaraciones, haciendo énfasis en el margen de utilidad estimado por el proponente.</w:t>
      </w:r>
    </w:p>
    <w:p w:rsidRPr="00A7428E" w:rsidR="00961BC3" w:rsidP="00961BC3" w:rsidRDefault="00961BC3" w14:paraId="472BE96B" w14:textId="77777777">
      <w:pPr>
        <w:pStyle w:val="NormalWeb"/>
        <w:spacing w:before="0" w:beforeAutospacing="0" w:after="120" w:afterAutospacing="0" w:line="276" w:lineRule="auto"/>
        <w:ind w:firstLine="709"/>
        <w:jc w:val="both"/>
        <w:rPr>
          <w:rFonts w:ascii="Verdana" w:hAnsi="Verdana" w:cs="Arial"/>
          <w:color w:val="000000" w:themeColor="text1"/>
          <w:sz w:val="22"/>
          <w:szCs w:val="22"/>
          <w:lang w:val="es-ES"/>
        </w:rPr>
      </w:pPr>
      <w:r w:rsidRPr="00CD6A1A">
        <w:rPr>
          <w:rFonts w:ascii="Verdana" w:hAnsi="Verdana" w:cs="Arial"/>
          <w:color w:val="000000"/>
          <w:sz w:val="22"/>
          <w:szCs w:val="22"/>
          <w:shd w:val="clear" w:color="auto" w:fill="FFFFFF"/>
        </w:rPr>
        <w:t xml:space="preserve">Todo lo anterior, teniendo en cuenta que la referida Guía contiene criterios orientadores para las entidades públicas, los cuales, en consecuencia, no son vinculantes ni de obligatorio acatamiento. En otras palabras, las entidades están facultadas para aplicar los criterios contenidos en la Guía o acudir, si bien lo tienen, a otro tipo de criterios que consideren más apropiados para cada proceso de </w:t>
      </w:r>
      <w:r w:rsidRPr="00A7428E">
        <w:rPr>
          <w:rFonts w:ascii="Verdana" w:hAnsi="Verdana" w:cs="Arial"/>
          <w:color w:val="000000"/>
          <w:sz w:val="22"/>
          <w:szCs w:val="22"/>
          <w:shd w:val="clear" w:color="auto" w:fill="FFFFFF"/>
        </w:rPr>
        <w:t>contratación</w:t>
      </w:r>
      <w:r w:rsidRPr="00A7428E">
        <w:rPr>
          <w:rFonts w:ascii="Verdana" w:hAnsi="Verdana" w:cs="Arial"/>
          <w:color w:val="000000" w:themeColor="text1"/>
          <w:sz w:val="22"/>
          <w:szCs w:val="22"/>
          <w:lang w:val="es-ES"/>
        </w:rPr>
        <w:t>.</w:t>
      </w:r>
    </w:p>
    <w:p w:rsidRPr="00A7428E" w:rsidR="00961BC3" w:rsidP="00961BC3" w:rsidRDefault="00961BC3" w14:paraId="7AA67F9D" w14:textId="77777777">
      <w:pPr>
        <w:pStyle w:val="NormalWeb"/>
        <w:spacing w:before="0" w:beforeAutospacing="0" w:after="120" w:afterAutospacing="0" w:line="276" w:lineRule="auto"/>
        <w:ind w:firstLine="709"/>
        <w:jc w:val="both"/>
        <w:rPr>
          <w:rFonts w:ascii="Verdana" w:hAnsi="Verdana" w:cs="Arial"/>
          <w:color w:val="000000" w:themeColor="text1"/>
          <w:sz w:val="22"/>
          <w:szCs w:val="22"/>
        </w:rPr>
      </w:pPr>
      <w:r w:rsidRPr="00A7428E">
        <w:rPr>
          <w:rFonts w:ascii="Verdana" w:hAnsi="Verdana" w:cs="Arial"/>
          <w:color w:val="000000" w:themeColor="text1"/>
          <w:sz w:val="22"/>
          <w:szCs w:val="22"/>
        </w:rPr>
        <w:t>Al margen de la explicación precedente debe advertirse que el análisis requerido para </w:t>
      </w:r>
      <w:r>
        <w:rPr>
          <w:rFonts w:ascii="Verdana" w:hAnsi="Verdana" w:cs="Arial"/>
          <w:color w:val="000000" w:themeColor="text1"/>
          <w:sz w:val="22"/>
          <w:szCs w:val="22"/>
        </w:rPr>
        <w:t>determinar la existencia de precios artificialmente bajos en los procesos de contratación</w:t>
      </w:r>
      <w:r w:rsidRPr="00A7428E">
        <w:rPr>
          <w:rFonts w:ascii="Verdana" w:hAnsi="Verdana" w:cs="Arial"/>
          <w:color w:val="000000" w:themeColor="text1"/>
          <w:sz w:val="22"/>
          <w:szCs w:val="22"/>
        </w:rPr>
        <w:t>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 </w:t>
      </w:r>
    </w:p>
    <w:p w:rsidRPr="00A7428E" w:rsidR="00961BC3" w:rsidP="00961BC3" w:rsidRDefault="00961BC3" w14:paraId="607AB0C1" w14:textId="77777777">
      <w:pPr>
        <w:pStyle w:val="NormalWeb"/>
        <w:spacing w:before="0" w:beforeAutospacing="0" w:after="120" w:afterAutospacing="0" w:line="276" w:lineRule="auto"/>
        <w:ind w:firstLine="709"/>
        <w:jc w:val="both"/>
        <w:rPr>
          <w:rFonts w:ascii="Verdana" w:hAnsi="Verdana" w:cs="Arial"/>
          <w:color w:val="000000" w:themeColor="text1"/>
          <w:sz w:val="22"/>
          <w:szCs w:val="22"/>
        </w:rPr>
      </w:pPr>
      <w:r w:rsidRPr="00A7428E">
        <w:rPr>
          <w:rFonts w:ascii="Verdana" w:hAnsi="Verdana" w:cs="Arial"/>
          <w:color w:val="000000" w:themeColor="text1"/>
          <w:sz w:val="22"/>
          <w:szCs w:val="22"/>
        </w:rPr>
        <w:t xml:space="preserve">Dentro de este marco, la entidad contratante definirá en cada caso concreto lo relacionado con el tema objeto de consulta.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color w:val="000000" w:themeColor="text1"/>
          <w:sz w:val="22"/>
          <w:szCs w:val="22"/>
        </w:rPr>
        <w:t>Por tanto</w:t>
      </w:r>
      <w:r w:rsidRPr="00A7428E">
        <w:rPr>
          <w:rFonts w:ascii="Verdana" w:hAnsi="Verdana" w:cs="Arial"/>
          <w:color w:val="000000" w:themeColor="text1"/>
          <w:sz w:val="22"/>
          <w:szCs w:val="22"/>
        </w:rPr>
        <w:t>, cada entidad definirá la forma de adelantar su gestión contractual, sin que sea atribución de Colombia Compra Eficiente validar sus actuaciones.</w:t>
      </w:r>
    </w:p>
    <w:p w:rsidRPr="00593A5F" w:rsidR="007E4284" w:rsidP="007E4284" w:rsidRDefault="00356BE2" w14:paraId="27355FBD" w14:textId="6BFD4222">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R</w:t>
      </w:r>
      <w:r w:rsidRPr="00593A5F" w:rsidR="007E4284">
        <w:rPr>
          <w:rFonts w:ascii="Verdana" w:hAnsi="Verdana" w:eastAsia="Century Gothic" w:cs="Century Gothic"/>
          <w:b/>
          <w:bCs/>
        </w:rPr>
        <w:t>eferencias normativas, jurisprudenciales y otras fuentes:</w:t>
      </w:r>
    </w:p>
    <w:p w:rsidRPr="00593A5F" w:rsidR="007E4284" w:rsidP="007E4284" w:rsidRDefault="007E4284" w14:paraId="45A6AF20"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7E4284" w:rsidTr="00730488" w14:paraId="5A2D1EE2" w14:textId="77777777">
        <w:trPr>
          <w:trHeight w:val="870"/>
        </w:trPr>
        <w:tc>
          <w:tcPr>
            <w:tcW w:w="8647" w:type="dxa"/>
          </w:tcPr>
          <w:p w:rsidR="00961BC3" w:rsidP="00961BC3" w:rsidRDefault="00961BC3" w14:paraId="0CD8D047" w14:textId="77777777">
            <w:pPr>
              <w:pStyle w:val="Prrafodelista"/>
              <w:widowControl w:val="0"/>
              <w:numPr>
                <w:ilvl w:val="0"/>
                <w:numId w:val="18"/>
              </w:numPr>
              <w:autoSpaceDE w:val="0"/>
              <w:autoSpaceDN w:val="0"/>
              <w:spacing w:after="120" w:line="276" w:lineRule="auto"/>
              <w:contextualSpacing w:val="0"/>
              <w:jc w:val="both"/>
              <w:rPr>
                <w:rFonts w:ascii="Verdana" w:hAnsi="Verdana" w:cs="Arial"/>
              </w:rPr>
            </w:pPr>
            <w:r>
              <w:rPr>
                <w:rFonts w:ascii="Verdana" w:hAnsi="Verdana" w:cs="Arial"/>
              </w:rPr>
              <w:t>Ley 80 de 1993, artículos 5, 26 y 41.</w:t>
            </w:r>
          </w:p>
          <w:p w:rsidR="00961BC3" w:rsidP="00961BC3" w:rsidRDefault="00961BC3" w14:paraId="4ADA6482" w14:textId="77777777">
            <w:pPr>
              <w:pStyle w:val="Prrafodelista"/>
              <w:widowControl w:val="0"/>
              <w:numPr>
                <w:ilvl w:val="0"/>
                <w:numId w:val="18"/>
              </w:numPr>
              <w:autoSpaceDE w:val="0"/>
              <w:autoSpaceDN w:val="0"/>
              <w:spacing w:after="120" w:line="276" w:lineRule="auto"/>
              <w:contextualSpacing w:val="0"/>
              <w:jc w:val="both"/>
              <w:rPr>
                <w:rFonts w:ascii="Verdana" w:hAnsi="Verdana" w:cs="Arial"/>
              </w:rPr>
            </w:pPr>
            <w:r>
              <w:rPr>
                <w:rFonts w:ascii="Verdana" w:hAnsi="Verdana" w:cs="Arial"/>
              </w:rPr>
              <w:t xml:space="preserve">Decreto 1082 de 2015, artículo </w:t>
            </w:r>
            <w:r w:rsidRPr="00C572AA">
              <w:rPr>
                <w:rFonts w:ascii="Verdana" w:hAnsi="Verdana" w:cs="Arial"/>
                <w:lang w:val="es-CO"/>
              </w:rPr>
              <w:t>2.2.1.1.1.6.1</w:t>
            </w:r>
            <w:r>
              <w:rPr>
                <w:rFonts w:ascii="Verdana" w:hAnsi="Verdana" w:cs="Arial"/>
                <w:lang w:val="es-CO"/>
              </w:rPr>
              <w:t xml:space="preserve"> y </w:t>
            </w:r>
            <w:r w:rsidRPr="00C572AA">
              <w:rPr>
                <w:rFonts w:ascii="Verdana" w:hAnsi="Verdana" w:cs="Arial"/>
                <w:lang w:val="es-CO"/>
              </w:rPr>
              <w:t>2.2.1.1.2.2.4</w:t>
            </w:r>
            <w:r>
              <w:rPr>
                <w:rFonts w:ascii="Verdana" w:hAnsi="Verdana" w:cs="Arial"/>
                <w:lang w:val="es-CO"/>
              </w:rPr>
              <w:t>.</w:t>
            </w:r>
            <w:r>
              <w:rPr>
                <w:rFonts w:ascii="Verdana" w:hAnsi="Verdana" w:cs="Arial"/>
              </w:rPr>
              <w:t xml:space="preserve"> </w:t>
            </w:r>
          </w:p>
          <w:p w:rsidRPr="00961BC3" w:rsidR="007E4284" w:rsidP="00961BC3" w:rsidRDefault="00961BC3" w14:paraId="08DB2528" w14:textId="5767F97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961BC3">
              <w:rPr>
                <w:rFonts w:ascii="Verdana" w:hAnsi="Verdana" w:cs="Arial"/>
                <w:lang w:val="es-CO"/>
              </w:rPr>
              <w:t xml:space="preserve">Guía para el manejo de ofertas artificialmente bajas en Procesos de Contratación de </w:t>
            </w:r>
            <w:r w:rsidRPr="00961BC3">
              <w:rPr>
                <w:rFonts w:ascii="Verdana" w:hAnsi="Verdana" w:cs="Arial"/>
              </w:rPr>
              <w:t xml:space="preserve">la Agencia Nacional de Contratación Pública – </w:t>
            </w:r>
            <w:r w:rsidRPr="00961BC3">
              <w:rPr>
                <w:rFonts w:ascii="Verdana" w:hAnsi="Verdana" w:cs="Arial"/>
              </w:rPr>
              <w:lastRenderedPageBreak/>
              <w:t xml:space="preserve">Colombia Compra Eficiente. </w:t>
            </w:r>
            <w:r w:rsidRPr="00961BC3">
              <w:rPr>
                <w:rFonts w:ascii="Verdana" w:hAnsi="Verdana" w:cs="Arial"/>
                <w:lang w:val="es-CO"/>
              </w:rPr>
              <w:t xml:space="preserve">Disponible en: </w:t>
            </w:r>
            <w:hyperlink w:history="1" r:id="rId14">
              <w:r w:rsidRPr="00961BC3">
                <w:rPr>
                  <w:rStyle w:val="Hipervnculo"/>
                  <w:rFonts w:ascii="Verdana" w:hAnsi="Verdana" w:cs="Arial"/>
                  <w:lang w:val="es-CO"/>
                </w:rPr>
                <w:t>https://colombiacompra.gov.co/sites/cce_public/files/cce_documents/cce_guia_artificialmente_bajas.pdf</w:t>
              </w:r>
            </w:hyperlink>
            <w:r w:rsidRPr="00961BC3">
              <w:rPr>
                <w:rFonts w:ascii="Verdana" w:hAnsi="Verdana" w:cs="Arial"/>
                <w:lang w:val="es-CO"/>
              </w:rPr>
              <w:t>.</w:t>
            </w:r>
          </w:p>
        </w:tc>
      </w:tr>
    </w:tbl>
    <w:p w:rsidRPr="00593A5F" w:rsidR="007E4284" w:rsidP="007E4284" w:rsidRDefault="007E4284" w14:paraId="1006BC84" w14:textId="77777777">
      <w:pPr>
        <w:widowControl w:val="0"/>
        <w:autoSpaceDE w:val="0"/>
        <w:autoSpaceDN w:val="0"/>
        <w:spacing w:after="0" w:line="276" w:lineRule="auto"/>
        <w:jc w:val="both"/>
        <w:rPr>
          <w:rFonts w:ascii="Verdana" w:hAnsi="Verdana" w:cs="Arial"/>
        </w:rPr>
      </w:pPr>
    </w:p>
    <w:p w:rsidRPr="00593A5F" w:rsidR="007E4284" w:rsidP="007E4284" w:rsidRDefault="007E4284" w14:paraId="6D7AC375"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7E4284" w:rsidP="007E4284" w:rsidRDefault="007E4284" w14:paraId="19A93F7D"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Pr="00B835E9" w:rsidR="00961BC3" w:rsidP="00961BC3" w:rsidRDefault="00961BC3" w14:paraId="5FD16E54" w14:textId="29E21CD1">
      <w:pPr>
        <w:widowControl w:val="0"/>
        <w:autoSpaceDE w:val="0"/>
        <w:autoSpaceDN w:val="0"/>
        <w:spacing w:after="120" w:line="276" w:lineRule="auto"/>
        <w:jc w:val="both"/>
        <w:rPr>
          <w:rFonts w:ascii="Verdana" w:hAnsi="Verdana" w:eastAsia="Calibri" w:cs="Arial"/>
          <w:lang w:val="es-ES" w:eastAsia="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 xml:space="preserve">los precios artificialmente bajos en </w:t>
      </w:r>
      <w:r w:rsidRPr="00C572AA">
        <w:rPr>
          <w:rFonts w:ascii="Verdana" w:hAnsi="Verdana" w:cs="Arial"/>
          <w:shd w:val="clear" w:color="auto" w:fill="FFFFFF"/>
        </w:rPr>
        <w:t>los Conceptos 2201913000007853 del 21 de octubre de 2019, 2201913000008058 del 28 de octubre de 2019, 2201913000008288 del 7 de noviembre de 2019, 2201913000009110 del 11 de diciembre de 2019, 2201913000009489 del 20 de diciembre de 2019, 2202013000000038 del 7 de enero de 2020, C-012 del 28 de enero de 2020, C-163 del 31 de marzo de 2020, C-191 del 16 de marzo de 2020, C-200 del 14 de abril de 2020, C-299 del 16 de julio de 2020, C-429 del 24 de julio de 2020, C-473 del 13 de julio de 2020, C-496 del 24 de julio de 2020, C-506 del 22 de julio de 2020, C-767 del 7 de enero de 2021, C-011 del 16 de febrero de 2021, C-112 del 7 de abril de 2021, C-205 del 7 de mayo de 2021, C-737 del 27 de enero de 2022, C-287 del 11 de mayo de 2022, C-299 del 14 de mayo de 2022, C-304 del 16 de mayo de 2022, C-403 del 22 de junio de 2022, C-484 del 28 de julio de 2022, C-487 del 26 de julio de 2022, C-512 del 10 de agosto de 2022, C-546 del 30 de agosto de 2022, C-751 del 17 de noviembre de 2022, C-756 del 17 de noviembre de 2022, C-798 del 23 de noviembre de 2022, C-022 del 16 de febrero de 2023 y C-165 del 2 de junio de 2023</w:t>
      </w:r>
      <w:r w:rsidR="00283B6A">
        <w:rPr>
          <w:rFonts w:ascii="Verdana" w:hAnsi="Verdana" w:cs="Arial"/>
          <w:shd w:val="clear" w:color="auto" w:fill="FFFFFF"/>
        </w:rPr>
        <w:t xml:space="preserve"> y</w:t>
      </w:r>
      <w:r>
        <w:rPr>
          <w:rFonts w:ascii="Verdana" w:hAnsi="Verdana" w:cs="Arial"/>
          <w:shd w:val="clear" w:color="auto" w:fill="FFFFFF"/>
        </w:rPr>
        <w:t xml:space="preserve"> concept</w:t>
      </w:r>
      <w:r w:rsidR="00283B6A">
        <w:rPr>
          <w:rFonts w:ascii="Verdana" w:hAnsi="Verdana" w:cs="Arial"/>
          <w:shd w:val="clear" w:color="auto" w:fill="FFFFFF"/>
        </w:rPr>
        <w:t>o</w:t>
      </w:r>
      <w:r>
        <w:rPr>
          <w:rFonts w:ascii="Verdana" w:hAnsi="Verdana" w:cs="Arial"/>
          <w:shd w:val="clear" w:color="auto" w:fill="FFFFFF"/>
        </w:rPr>
        <w:t xml:space="preserve"> C-507 del 23 de agosto de 2024</w:t>
      </w:r>
      <w:r w:rsidRPr="00EA761C">
        <w:rPr>
          <w:rStyle w:val="normaltextrun"/>
          <w:rFonts w:ascii="Verdana" w:hAnsi="Verdana" w:cs="Arial"/>
          <w:shd w:val="clear" w:color="auto" w:fill="FFFFFF"/>
          <w:lang w:val="es-ES"/>
        </w:rPr>
        <w:t xml:space="preserve">. </w:t>
      </w:r>
      <w:r w:rsidRPr="00207027">
        <w:rPr>
          <w:rFonts w:ascii="Verdana" w:hAnsi="Verdana" w:eastAsia="Calibri" w:cs="Arial"/>
          <w:lang w:eastAsia="es-ES"/>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5">
        <w:r w:rsidRPr="00207027">
          <w:rPr>
            <w:rStyle w:val="Hipervnculo"/>
            <w:rFonts w:ascii="Verdana" w:hAnsi="Verdana" w:eastAsia="Calibri" w:cs="Arial"/>
            <w:lang w:eastAsia="es-ES"/>
          </w:rPr>
          <w:t>https://relatoria.colombiacompra.gov.co/</w:t>
        </w:r>
      </w:hyperlink>
      <w:r w:rsidRPr="00207027">
        <w:rPr>
          <w:rFonts w:ascii="Verdana" w:hAnsi="Verdana" w:eastAsia="Calibri" w:cs="Arial"/>
          <w:lang w:eastAsia="es-ES"/>
        </w:rPr>
        <w:t> .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6">
        <w:r w:rsidRPr="00207027">
          <w:rPr>
            <w:rStyle w:val="Hipervnculo"/>
            <w:rFonts w:ascii="Verdana" w:hAnsi="Verdana" w:eastAsia="Calibri" w:cs="Arial"/>
            <w:lang w:eastAsia="es-ES"/>
          </w:rPr>
          <w:t>https://www.colombiacompra.gov.co/sites/cce_public/files/files_2020/boletin_de_realtoria_iii.pdf</w:t>
        </w:r>
      </w:hyperlink>
      <w:r w:rsidRPr="00207027">
        <w:rPr>
          <w:rFonts w:ascii="Verdana" w:hAnsi="Verdana" w:eastAsia="Calibri" w:cs="Arial"/>
          <w:lang w:eastAsia="es-ES"/>
        </w:rPr>
        <w:t> "</w:t>
      </w:r>
    </w:p>
    <w:p w:rsidR="007E4284" w:rsidP="007E4284" w:rsidRDefault="007E4284" w14:paraId="635FD400"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7E4284" w:rsidP="007E4284" w:rsidRDefault="007E4284" w14:paraId="6E54F151"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7">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7E4284" w:rsidP="007E4284" w:rsidRDefault="007E4284" w14:paraId="4BBAB127" w14:textId="77777777">
      <w:pPr>
        <w:spacing w:after="0" w:line="240" w:lineRule="auto"/>
        <w:jc w:val="both"/>
        <w:rPr>
          <w:rFonts w:ascii="Verdana" w:hAnsi="Verdana"/>
        </w:rPr>
      </w:pPr>
    </w:p>
    <w:p w:rsidRPr="003E2460" w:rsidR="007E4284" w:rsidP="007E4284" w:rsidRDefault="007E4284" w14:paraId="542B0167"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7E4284" w:rsidP="007E4284" w:rsidRDefault="007E4284" w14:paraId="10E1BD43" w14:textId="77777777">
      <w:pPr>
        <w:spacing w:after="0" w:line="240" w:lineRule="auto"/>
        <w:jc w:val="both"/>
        <w:rPr>
          <w:rFonts w:ascii="Verdana" w:hAnsi="Verdana"/>
        </w:rPr>
      </w:pPr>
    </w:p>
    <w:p w:rsidRPr="003E2460" w:rsidR="007E4284" w:rsidP="007E4284" w:rsidRDefault="007E4284" w14:paraId="3F267BF2"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7E4284" w:rsidP="007E4284" w:rsidRDefault="007E4284" w14:paraId="426DCD21"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7E4284" w:rsidP="007E4284" w:rsidRDefault="007E4284" w14:paraId="09633924"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7E4284" w:rsidP="007E4284" w:rsidRDefault="007E4284" w14:paraId="3E93DEDD" w14:textId="77777777">
      <w:pPr>
        <w:widowControl w:val="0"/>
        <w:autoSpaceDE w:val="0"/>
        <w:autoSpaceDN w:val="0"/>
        <w:spacing w:after="0" w:line="276" w:lineRule="auto"/>
        <w:jc w:val="both"/>
        <w:rPr>
          <w:rFonts w:ascii="Verdana" w:hAnsi="Verdana" w:cs="Arial"/>
        </w:rPr>
      </w:pPr>
    </w:p>
    <w:p w:rsidRPr="00593A5F" w:rsidR="007E4284" w:rsidP="007E4284" w:rsidRDefault="007E4284" w14:paraId="49D99462"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7E4284" w:rsidP="007E4284" w:rsidRDefault="007E4284" w14:paraId="3B1E541C" w14:textId="77777777">
      <w:pPr>
        <w:widowControl w:val="0"/>
        <w:autoSpaceDE w:val="0"/>
        <w:autoSpaceDN w:val="0"/>
        <w:spacing w:after="0" w:line="276" w:lineRule="auto"/>
        <w:jc w:val="both"/>
        <w:rPr>
          <w:rFonts w:ascii="Verdana" w:hAnsi="Verdana" w:cs="Arial"/>
        </w:rPr>
      </w:pPr>
    </w:p>
    <w:p w:rsidRPr="00593A5F" w:rsidR="007E4284" w:rsidP="007E4284" w:rsidRDefault="007E4284" w14:paraId="158D8E37"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7E4284" w:rsidP="007E4284" w:rsidRDefault="001531A7" w14:paraId="729597DD" w14:textId="144B7F3D">
      <w:pPr>
        <w:spacing w:line="276" w:lineRule="auto"/>
        <w:jc w:val="center"/>
        <w:rPr>
          <w:rFonts w:ascii="Verdana" w:hAnsi="Verdana" w:cs="Arial"/>
          <w:color w:val="000000"/>
          <w:lang w:val="es-ES_tradnl" w:eastAsia="es-CO"/>
        </w:rPr>
      </w:pPr>
      <w:r>
        <w:rPr>
          <w:noProof/>
        </w:rPr>
        <w:drawing>
          <wp:inline distT="0" distB="0" distL="0" distR="0" wp14:anchorId="13031AD4" wp14:editId="70AE2811">
            <wp:extent cx="3095625" cy="1328898"/>
            <wp:effectExtent l="0" t="0" r="0" b="5080"/>
            <wp:docPr id="17407418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9782" cy="1334975"/>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7E4284" w:rsidTr="00730488" w14:paraId="10E97FCB" w14:textId="77777777">
        <w:trPr>
          <w:trHeight w:val="315"/>
        </w:trPr>
        <w:tc>
          <w:tcPr>
            <w:tcW w:w="893" w:type="dxa"/>
            <w:vAlign w:val="center"/>
            <w:hideMark/>
          </w:tcPr>
          <w:p w:rsidRPr="003751C7" w:rsidR="007E4284" w:rsidP="00730488" w:rsidRDefault="007E4284" w14:paraId="6FEFE8DA"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7E4284" w:rsidP="00730488" w:rsidRDefault="007E4284" w14:paraId="61C4DEDE"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7E4284" w:rsidP="00730488" w:rsidRDefault="007E4284" w14:paraId="58A6C53C"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rsidTr="00730488" w14:paraId="060045CC" w14:textId="77777777">
        <w:trPr>
          <w:trHeight w:val="330"/>
        </w:trPr>
        <w:tc>
          <w:tcPr>
            <w:tcW w:w="893" w:type="dxa"/>
            <w:vAlign w:val="center"/>
            <w:hideMark/>
          </w:tcPr>
          <w:p w:rsidRPr="003751C7" w:rsidR="007E4284" w:rsidP="00730488" w:rsidRDefault="007E4284" w14:paraId="68D83EEC"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0C7F87" w:rsidR="007E4284" w:rsidP="00730488" w:rsidRDefault="00283B6A" w14:paraId="4AF2DC12" w14:textId="4766BFF1">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Adriana López</w:t>
            </w:r>
          </w:p>
          <w:p w:rsidRPr="00BE4B85" w:rsidR="007E4284" w:rsidP="00730488" w:rsidRDefault="007E4284" w14:paraId="61F16D70"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rsidTr="00730488" w14:paraId="06EB7A78" w14:textId="77777777">
        <w:trPr>
          <w:trHeight w:val="300"/>
        </w:trPr>
        <w:tc>
          <w:tcPr>
            <w:tcW w:w="893" w:type="dxa"/>
            <w:vAlign w:val="center"/>
          </w:tcPr>
          <w:p w:rsidRPr="003751C7" w:rsidR="007E4284" w:rsidP="00730488" w:rsidRDefault="007E4284" w14:paraId="538249FF"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7E4284" w:rsidP="00730488" w:rsidRDefault="007E4284" w14:paraId="485D9FE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7E4284" w:rsidP="00730488" w:rsidRDefault="007E4284" w14:paraId="4ACBC90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7E4284" w:rsidP="007E4284" w:rsidRDefault="007E4284" w14:paraId="12C6032C" w14:textId="77777777">
      <w:pPr>
        <w:spacing w:after="0" w:line="240" w:lineRule="auto"/>
        <w:rPr>
          <w:rFonts w:ascii="Verdana" w:hAnsi="Verdana" w:eastAsia="Times New Roman" w:cs="Arial"/>
          <w:sz w:val="24"/>
          <w:szCs w:val="24"/>
          <w:lang w:eastAsia="es-ES"/>
        </w:rPr>
      </w:pPr>
    </w:p>
    <w:p w:rsidRPr="00871B59" w:rsidR="007E4284" w:rsidP="007E4284" w:rsidRDefault="007E4284" w14:paraId="51745D97" w14:textId="77777777"/>
    <w:p w:rsidRPr="00A65B93" w:rsidR="007E4284" w:rsidP="007E4284" w:rsidRDefault="007E4284" w14:paraId="783742F1" w14:textId="77777777">
      <w:pPr>
        <w:spacing w:after="0"/>
        <w:rPr>
          <w:rFonts w:ascii="Verdana" w:hAnsi="Verdana"/>
          <w:lang w:val="es-ES"/>
        </w:rPr>
      </w:pPr>
    </w:p>
    <w:p w:rsidRPr="00C86D1D" w:rsidR="007E4284" w:rsidP="007E4284" w:rsidRDefault="007E4284" w14:paraId="7B1016A0" w14:textId="77777777"/>
    <w:p w:rsidRPr="0044528D" w:rsidR="00E245AB" w:rsidP="00E245AB" w:rsidRDefault="00891928" w14:paraId="3FE2184B" w14:textId="0B5F1605">
      <w:pPr>
        <w:spacing w:after="0"/>
        <w:rPr>
          <w:rFonts w:ascii="Verdana" w:hAnsi="Verdana"/>
        </w:rPr>
      </w:pPr>
      <w:r w:rsidRPr="0044528D">
        <w:rPr>
          <w:rFonts w:ascii="Verdana" w:hAnsi="Verdana"/>
        </w:rPr>
        <w:tab/>
      </w:r>
    </w:p>
    <w:p w:rsidRPr="0044528D" w:rsidR="00E245AB" w:rsidP="00E245AB" w:rsidRDefault="00E245AB" w14:paraId="5FCADBF9" w14:textId="77777777">
      <w:pPr>
        <w:spacing w:after="0"/>
        <w:rPr>
          <w:rFonts w:ascii="Verdana" w:hAnsi="Verdana"/>
        </w:rPr>
      </w:pPr>
    </w:p>
    <w:bookmarkEnd w:id="0"/>
    <w:bookmarkEnd w:id="1"/>
    <w:p w:rsidRPr="0044528D" w:rsidR="00E245AB" w:rsidP="00E245AB" w:rsidRDefault="00E245AB" w14:paraId="0465BA6D" w14:textId="77777777">
      <w:pPr>
        <w:spacing w:after="0"/>
        <w:rPr>
          <w:rFonts w:ascii="Verdana" w:hAnsi="Verdana"/>
        </w:rPr>
      </w:pPr>
    </w:p>
    <w:sectPr w:rsidRPr="0044528D" w:rsidR="00E245AB" w:rsidSect="007C0C0F">
      <w:headerReference w:type="default" r:id="rId19"/>
      <w:footerReference w:type="default" r:id="rId20"/>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3D55" w:rsidP="004A1847" w:rsidRDefault="008E3D55" w14:paraId="74DC1BC5" w14:textId="77777777">
      <w:pPr>
        <w:spacing w:after="0" w:line="240" w:lineRule="auto"/>
      </w:pPr>
      <w:r>
        <w:separator/>
      </w:r>
    </w:p>
  </w:endnote>
  <w:endnote w:type="continuationSeparator" w:id="0">
    <w:p w:rsidR="008E3D55" w:rsidP="004A1847" w:rsidRDefault="008E3D55" w14:paraId="2FAD74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3D55" w:rsidP="004A1847" w:rsidRDefault="008E3D55" w14:paraId="28A3AA2D" w14:textId="77777777">
      <w:pPr>
        <w:spacing w:after="0" w:line="240" w:lineRule="auto"/>
      </w:pPr>
      <w:r>
        <w:separator/>
      </w:r>
    </w:p>
  </w:footnote>
  <w:footnote w:type="continuationSeparator" w:id="0">
    <w:p w:rsidR="008E3D55" w:rsidP="004A1847" w:rsidRDefault="008E3D55" w14:paraId="6C9C76EB" w14:textId="77777777">
      <w:pPr>
        <w:spacing w:after="0" w:line="240" w:lineRule="auto"/>
      </w:pPr>
      <w:r>
        <w:continuationSeparator/>
      </w:r>
    </w:p>
  </w:footnote>
  <w:footnote w:id="1">
    <w:p w:rsidRPr="00DC2507" w:rsidR="00961BC3" w:rsidP="00961BC3" w:rsidRDefault="00961BC3" w14:paraId="35554C37" w14:textId="77777777">
      <w:pPr>
        <w:pStyle w:val="Textonotapie"/>
        <w:ind w:firstLine="709"/>
        <w:jc w:val="both"/>
        <w:rPr>
          <w:rFonts w:ascii="Verdana" w:hAnsi="Verdana" w:cs="Arial"/>
          <w:color w:val="000000" w:themeColor="text1"/>
          <w:sz w:val="16"/>
          <w:szCs w:val="16"/>
          <w:lang w:val="es-ES"/>
        </w:rPr>
      </w:pPr>
      <w:r w:rsidRPr="00DC2507">
        <w:rPr>
          <w:rStyle w:val="Refdenotaalpie"/>
          <w:rFonts w:ascii="Verdana" w:hAnsi="Verdana" w:cs="Arial"/>
          <w:color w:val="000000" w:themeColor="text1"/>
          <w:sz w:val="16"/>
          <w:szCs w:val="16"/>
        </w:rPr>
        <w:footnoteRef/>
      </w:r>
      <w:r w:rsidRPr="00DC2507">
        <w:rPr>
          <w:rFonts w:ascii="Verdana" w:hAnsi="Verdana" w:cs="Arial"/>
          <w:color w:val="000000" w:themeColor="text1"/>
          <w:sz w:val="16"/>
          <w:szCs w:val="16"/>
        </w:rPr>
        <w:t xml:space="preserve"> Consejo de Estado. Sección Tercera. Sentencia del 4 de junio de 2008. Exp. No. 17.783. C.P. Myriam Guerrero de Escobar.</w:t>
      </w:r>
    </w:p>
  </w:footnote>
  <w:footnote w:id="2">
    <w:p w:rsidRPr="00340567" w:rsidR="002C3EBA" w:rsidP="00340567" w:rsidRDefault="002C3EBA" w14:paraId="7F23ABC2" w14:textId="77777777">
      <w:pPr>
        <w:pStyle w:val="Textonotapie"/>
        <w:jc w:val="both"/>
        <w:rPr>
          <w:rFonts w:ascii="Verdana" w:hAnsi="Verdana" w:cs="Arial"/>
          <w:sz w:val="14"/>
          <w:szCs w:val="14"/>
        </w:rPr>
      </w:pPr>
      <w:r w:rsidRPr="00340567">
        <w:rPr>
          <w:rStyle w:val="Refdenotaalpie"/>
          <w:rFonts w:ascii="Verdana" w:hAnsi="Verdana" w:cs="Arial"/>
          <w:sz w:val="14"/>
          <w:szCs w:val="14"/>
        </w:rPr>
        <w:footnoteRef/>
      </w:r>
      <w:r w:rsidRPr="00340567">
        <w:rPr>
          <w:rFonts w:ascii="Verdana" w:hAnsi="Verdana" w:cs="Arial"/>
          <w:sz w:val="14"/>
          <w:szCs w:val="14"/>
        </w:rPr>
        <w:t xml:space="preserve"> Para calcular la mediana, la Entidad Estatal debe ordenar los valores de mayor a menor y tomar el valor de la oferta en la mitad de la lista. Si el número de ofertas es par, debe tomar los dos valores de la mitad, sumarlos y dividirlos en dos.</w:t>
      </w:r>
    </w:p>
  </w:footnote>
  <w:footnote w:id="3">
    <w:p w:rsidRPr="00430655" w:rsidR="002C3EBA" w:rsidP="00340567" w:rsidRDefault="002C3EBA" w14:paraId="168128D7" w14:textId="77777777">
      <w:pPr>
        <w:pStyle w:val="Textonotapie"/>
        <w:jc w:val="both"/>
        <w:rPr>
          <w:rFonts w:ascii="Arial" w:hAnsi="Arial" w:cs="Arial"/>
          <w:sz w:val="16"/>
          <w:szCs w:val="16"/>
          <w:lang w:val="es-ES"/>
        </w:rPr>
      </w:pPr>
      <w:r w:rsidRPr="00340567">
        <w:rPr>
          <w:rStyle w:val="Refdenotaalpie"/>
          <w:rFonts w:ascii="Verdana" w:hAnsi="Verdana" w:cs="Arial"/>
          <w:sz w:val="14"/>
          <w:szCs w:val="14"/>
        </w:rPr>
        <w:footnoteRef/>
      </w:r>
      <w:r w:rsidRPr="00340567">
        <w:rPr>
          <w:rFonts w:ascii="Verdana" w:hAnsi="Verdana" w:cs="Arial"/>
          <w:sz w:val="14"/>
          <w:szCs w:val="14"/>
        </w:rPr>
        <w:t xml:space="preserve"> Guía para el manejo de ofertas artificialmente bajas en Procesos de Contratación. G-MOAB-01. </w:t>
      </w:r>
      <w:r w:rsidRPr="00340567">
        <w:rPr>
          <w:rFonts w:ascii="Verdana" w:hAnsi="Verdana" w:cs="Arial"/>
          <w:sz w:val="14"/>
          <w:szCs w:val="14"/>
          <w:lang w:val="es-ES"/>
        </w:rPr>
        <w:t xml:space="preserve">Disponible en: </w:t>
      </w:r>
      <w:hyperlink w:history="1" r:id="rId1">
        <w:r w:rsidRPr="00340567">
          <w:rPr>
            <w:rStyle w:val="Hipervnculo"/>
            <w:rFonts w:ascii="Verdana" w:hAnsi="Verdana" w:cs="Arial"/>
            <w:sz w:val="14"/>
            <w:szCs w:val="14"/>
            <w:lang w:val="es-ES"/>
          </w:rPr>
          <w:t>https://www.colombiacompra.gov.co/sites/cce_public/files/cce_documents/cce_guia_artificialmente_bajas.pdf</w:t>
        </w:r>
      </w:hyperlink>
      <w:r w:rsidRPr="00430655">
        <w:rPr>
          <w:rFonts w:ascii="Arial" w:hAnsi="Arial" w:cs="Arial"/>
          <w:sz w:val="16"/>
          <w:szCs w:val="16"/>
          <w:lang w:val="es-ES"/>
        </w:rPr>
        <w:t xml:space="preserve"> </w:t>
      </w:r>
    </w:p>
  </w:footnote>
  <w:footnote w:id="4">
    <w:p w:rsidRPr="00430655" w:rsidR="002C3EBA" w:rsidP="002C3EBA" w:rsidRDefault="002C3EBA" w14:paraId="74088137" w14:textId="77777777">
      <w:pPr>
        <w:pStyle w:val="Textonotapie"/>
        <w:rPr>
          <w:rFonts w:ascii="Arial" w:hAnsi="Arial" w:cs="Arial"/>
          <w:sz w:val="16"/>
          <w:szCs w:val="16"/>
          <w:lang w:val="es-ES"/>
        </w:rPr>
      </w:pPr>
      <w:r w:rsidRPr="00430655">
        <w:rPr>
          <w:rStyle w:val="Refdenotaalpie"/>
          <w:rFonts w:ascii="Arial" w:hAnsi="Arial" w:cs="Arial"/>
          <w:sz w:val="16"/>
          <w:szCs w:val="16"/>
        </w:rPr>
        <w:footnoteRef/>
      </w:r>
      <w:r w:rsidRPr="00430655">
        <w:rPr>
          <w:rFonts w:ascii="Arial" w:hAnsi="Arial" w:cs="Arial"/>
          <w:sz w:val="16"/>
          <w:szCs w:val="16"/>
        </w:rPr>
        <w:t xml:space="preserve"> </w:t>
      </w:r>
      <w:r w:rsidRPr="00430655">
        <w:rPr>
          <w:rFonts w:ascii="Arial" w:hAnsi="Arial" w:cs="Arial"/>
          <w:sz w:val="16"/>
          <w:szCs w:val="16"/>
          <w:lang w:val="es-ES"/>
        </w:rPr>
        <w:t xml:space="preserve">Ídem. </w:t>
      </w:r>
    </w:p>
  </w:footnote>
  <w:footnote w:id="5">
    <w:p w:rsidRPr="00430655" w:rsidR="002C3EBA" w:rsidP="002C3EBA" w:rsidRDefault="002C3EBA" w14:paraId="05521544" w14:textId="77777777">
      <w:pPr>
        <w:pStyle w:val="Textonotapie"/>
        <w:rPr>
          <w:rFonts w:ascii="Arial" w:hAnsi="Arial" w:cs="Arial"/>
          <w:sz w:val="16"/>
          <w:szCs w:val="16"/>
          <w:lang w:val="es-ES"/>
        </w:rPr>
      </w:pPr>
      <w:r w:rsidRPr="00430655">
        <w:rPr>
          <w:rStyle w:val="Refdenotaalpie"/>
          <w:rFonts w:ascii="Arial" w:hAnsi="Arial" w:cs="Arial"/>
          <w:sz w:val="16"/>
          <w:szCs w:val="16"/>
        </w:rPr>
        <w:footnoteRef/>
      </w:r>
      <w:r w:rsidRPr="00430655">
        <w:rPr>
          <w:rFonts w:ascii="Arial" w:hAnsi="Arial" w:cs="Arial"/>
          <w:sz w:val="16"/>
          <w:szCs w:val="16"/>
        </w:rPr>
        <w:t xml:space="preserve"> </w:t>
      </w:r>
      <w:r w:rsidRPr="00430655">
        <w:rPr>
          <w:rFonts w:ascii="Arial" w:hAnsi="Arial" w:cs="Arial"/>
          <w:sz w:val="16"/>
          <w:szCs w:val="16"/>
          <w:lang w:val="es-ES"/>
        </w:rPr>
        <w:t>Ídem.</w:t>
      </w:r>
    </w:p>
  </w:footnote>
  <w:footnote w:id="6">
    <w:p w:rsidRPr="00430655" w:rsidR="002C3EBA" w:rsidP="002C3EBA" w:rsidRDefault="002C3EBA" w14:paraId="390695F7" w14:textId="77777777">
      <w:pPr>
        <w:pStyle w:val="Textonotapie"/>
        <w:rPr>
          <w:rFonts w:ascii="Arial" w:hAnsi="Arial" w:cs="Arial"/>
          <w:sz w:val="16"/>
          <w:szCs w:val="16"/>
        </w:rPr>
      </w:pPr>
      <w:r w:rsidRPr="00430655">
        <w:rPr>
          <w:rStyle w:val="Refdenotaalpie"/>
          <w:rFonts w:ascii="Arial" w:hAnsi="Arial" w:cs="Arial"/>
          <w:sz w:val="16"/>
          <w:szCs w:val="16"/>
        </w:rPr>
        <w:footnoteRef/>
      </w:r>
      <w:r w:rsidRPr="00430655">
        <w:rPr>
          <w:rFonts w:ascii="Arial" w:hAnsi="Arial" w:cs="Arial"/>
          <w:sz w:val="16"/>
          <w:szCs w:val="16"/>
        </w:rPr>
        <w:t xml:space="preserve"> Ídem. </w:t>
      </w:r>
    </w:p>
  </w:footnote>
  <w:footnote w:id="7">
    <w:p w:rsidR="00961BC3" w:rsidP="00926130" w:rsidRDefault="00961BC3" w14:paraId="0AB9BF0C" w14:textId="77777777">
      <w:pPr>
        <w:pStyle w:val="Textonotapie"/>
        <w:ind w:hanging="142"/>
        <w:jc w:val="both"/>
        <w:rPr>
          <w:rFonts w:ascii="Verdana" w:hAnsi="Verdana"/>
          <w:sz w:val="16"/>
          <w:szCs w:val="16"/>
          <w:lang w:val="en-US"/>
        </w:rPr>
      </w:pPr>
      <w:r w:rsidRPr="00FA56D6">
        <w:rPr>
          <w:rStyle w:val="Refdenotaalpie"/>
          <w:rFonts w:ascii="Verdana" w:hAnsi="Verdana"/>
          <w:sz w:val="16"/>
          <w:szCs w:val="16"/>
        </w:rPr>
        <w:footnoteRef/>
      </w:r>
      <w:r w:rsidRPr="00FA56D6">
        <w:rPr>
          <w:rFonts w:ascii="Verdana" w:hAnsi="Verdana"/>
          <w:sz w:val="16"/>
          <w:szCs w:val="16"/>
          <w:lang w:val="en-US"/>
        </w:rPr>
        <w:t xml:space="preserve">  WORLD BANK. Abnormally Low Bids and Proposals. Guide the identification and treatment of Abnormally Low Bids and Proposals, 2016.</w:t>
      </w:r>
    </w:p>
    <w:p w:rsidRPr="00FA56D6" w:rsidR="00961BC3" w:rsidP="00961BC3" w:rsidRDefault="00961BC3" w14:paraId="12E2F56C" w14:textId="77777777">
      <w:pPr>
        <w:pStyle w:val="Textonotapie"/>
        <w:ind w:firstLine="708"/>
        <w:jc w:val="both"/>
        <w:rPr>
          <w:rFonts w:ascii="Verdana" w:hAnsi="Verdana"/>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11.25pt;height:11.25pt" o:bullet="t" type="#_x0000_t75">
        <v:imagedata o:title="mso1B13" r:id="rId1"/>
      </v:shape>
    </w:pict>
  </w:numPicBullet>
  <w:abstractNum w:abstractNumId="0" w15:restartNumberingAfterBreak="0">
    <w:nsid w:val="016A79DE"/>
    <w:multiLevelType w:val="hybridMultilevel"/>
    <w:tmpl w:val="310884C6"/>
    <w:lvl w:ilvl="0" w:tplc="F93067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581A27F2"/>
    <w:multiLevelType w:val="hybridMultilevel"/>
    <w:tmpl w:val="AD32F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A81D68"/>
    <w:multiLevelType w:val="multilevel"/>
    <w:tmpl w:val="BE00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585C02"/>
    <w:multiLevelType w:val="hybridMultilevel"/>
    <w:tmpl w:val="200258C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5F2900F5"/>
    <w:multiLevelType w:val="hybridMultilevel"/>
    <w:tmpl w:val="AD32F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C6F5F"/>
    <w:multiLevelType w:val="hybridMultilevel"/>
    <w:tmpl w:val="D2B628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9"/>
  </w:num>
  <w:num w:numId="7" w16cid:durableId="1946422806">
    <w:abstractNumId w:val="7"/>
  </w:num>
  <w:num w:numId="8" w16cid:durableId="152644682">
    <w:abstractNumId w:val="18"/>
  </w:num>
  <w:num w:numId="9" w16cid:durableId="1317221377">
    <w:abstractNumId w:val="9"/>
  </w:num>
  <w:num w:numId="10" w16cid:durableId="1471245386">
    <w:abstractNumId w:val="17"/>
  </w:num>
  <w:num w:numId="11" w16cid:durableId="289172385">
    <w:abstractNumId w:val="10"/>
  </w:num>
  <w:num w:numId="12" w16cid:durableId="1470781324">
    <w:abstractNumId w:val="2"/>
  </w:num>
  <w:num w:numId="13" w16cid:durableId="1512908409">
    <w:abstractNumId w:val="5"/>
  </w:num>
  <w:num w:numId="14" w16cid:durableId="895897244">
    <w:abstractNumId w:val="20"/>
  </w:num>
  <w:num w:numId="15" w16cid:durableId="390349800">
    <w:abstractNumId w:val="16"/>
  </w:num>
  <w:num w:numId="16" w16cid:durableId="1380713882">
    <w:abstractNumId w:val="1"/>
  </w:num>
  <w:num w:numId="17" w16cid:durableId="1132214699">
    <w:abstractNumId w:val="4"/>
  </w:num>
  <w:num w:numId="18" w16cid:durableId="784039179">
    <w:abstractNumId w:val="21"/>
  </w:num>
  <w:num w:numId="19" w16cid:durableId="1000695600">
    <w:abstractNumId w:val="13"/>
  </w:num>
  <w:num w:numId="20" w16cid:durableId="985088026">
    <w:abstractNumId w:val="12"/>
  </w:num>
  <w:num w:numId="21" w16cid:durableId="1951354903">
    <w:abstractNumId w:val="15"/>
  </w:num>
  <w:num w:numId="22" w16cid:durableId="679089576">
    <w:abstractNumId w:val="11"/>
  </w:num>
  <w:num w:numId="23" w16cid:durableId="1934583387">
    <w:abstractNumId w:val="0"/>
  </w:num>
  <w:num w:numId="24" w16cid:durableId="1603681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55A"/>
    <w:rsid w:val="000429E4"/>
    <w:rsid w:val="00057703"/>
    <w:rsid w:val="00061B2A"/>
    <w:rsid w:val="00062D51"/>
    <w:rsid w:val="00071B14"/>
    <w:rsid w:val="00082362"/>
    <w:rsid w:val="000A683E"/>
    <w:rsid w:val="000B19B9"/>
    <w:rsid w:val="000C7F87"/>
    <w:rsid w:val="000D0334"/>
    <w:rsid w:val="000F546E"/>
    <w:rsid w:val="000F57DE"/>
    <w:rsid w:val="000F6486"/>
    <w:rsid w:val="00125105"/>
    <w:rsid w:val="00127233"/>
    <w:rsid w:val="001424D3"/>
    <w:rsid w:val="00151290"/>
    <w:rsid w:val="001531A7"/>
    <w:rsid w:val="0015768A"/>
    <w:rsid w:val="00176AD1"/>
    <w:rsid w:val="001775F7"/>
    <w:rsid w:val="00184991"/>
    <w:rsid w:val="00184D7D"/>
    <w:rsid w:val="00190F7D"/>
    <w:rsid w:val="00192C7F"/>
    <w:rsid w:val="001A3A8A"/>
    <w:rsid w:val="001B48A8"/>
    <w:rsid w:val="001D7B54"/>
    <w:rsid w:val="001E4177"/>
    <w:rsid w:val="001F7DC6"/>
    <w:rsid w:val="002121F1"/>
    <w:rsid w:val="002421BB"/>
    <w:rsid w:val="0025796E"/>
    <w:rsid w:val="002650C3"/>
    <w:rsid w:val="002707A2"/>
    <w:rsid w:val="00274ABB"/>
    <w:rsid w:val="0028005C"/>
    <w:rsid w:val="00283B6A"/>
    <w:rsid w:val="002951A0"/>
    <w:rsid w:val="00295AEE"/>
    <w:rsid w:val="002962BC"/>
    <w:rsid w:val="002A093D"/>
    <w:rsid w:val="002A0DD0"/>
    <w:rsid w:val="002A49AC"/>
    <w:rsid w:val="002A64FD"/>
    <w:rsid w:val="002C3EBA"/>
    <w:rsid w:val="002C7A84"/>
    <w:rsid w:val="002D5493"/>
    <w:rsid w:val="002E4FD9"/>
    <w:rsid w:val="00322A85"/>
    <w:rsid w:val="00324168"/>
    <w:rsid w:val="003338C8"/>
    <w:rsid w:val="00340567"/>
    <w:rsid w:val="003448F4"/>
    <w:rsid w:val="00356BE2"/>
    <w:rsid w:val="003729EF"/>
    <w:rsid w:val="00374F5E"/>
    <w:rsid w:val="00377E3E"/>
    <w:rsid w:val="00387545"/>
    <w:rsid w:val="003910C3"/>
    <w:rsid w:val="003A26D1"/>
    <w:rsid w:val="003A779E"/>
    <w:rsid w:val="003C6C4F"/>
    <w:rsid w:val="003C6D16"/>
    <w:rsid w:val="003D0F4D"/>
    <w:rsid w:val="003D5B0D"/>
    <w:rsid w:val="003E0499"/>
    <w:rsid w:val="003E76ED"/>
    <w:rsid w:val="003F3941"/>
    <w:rsid w:val="00401240"/>
    <w:rsid w:val="00406575"/>
    <w:rsid w:val="00423F30"/>
    <w:rsid w:val="004268E4"/>
    <w:rsid w:val="00426977"/>
    <w:rsid w:val="0042722E"/>
    <w:rsid w:val="00441752"/>
    <w:rsid w:val="0044528D"/>
    <w:rsid w:val="004455B8"/>
    <w:rsid w:val="004A11AD"/>
    <w:rsid w:val="004A1847"/>
    <w:rsid w:val="004A305D"/>
    <w:rsid w:val="004A5BE2"/>
    <w:rsid w:val="004C054E"/>
    <w:rsid w:val="004F17E7"/>
    <w:rsid w:val="004F21C4"/>
    <w:rsid w:val="004F5CBC"/>
    <w:rsid w:val="004F685F"/>
    <w:rsid w:val="0050484B"/>
    <w:rsid w:val="00516FEB"/>
    <w:rsid w:val="00530F24"/>
    <w:rsid w:val="00553F37"/>
    <w:rsid w:val="005566E8"/>
    <w:rsid w:val="00574867"/>
    <w:rsid w:val="00591460"/>
    <w:rsid w:val="00592628"/>
    <w:rsid w:val="005950FB"/>
    <w:rsid w:val="005A4341"/>
    <w:rsid w:val="005A7ADE"/>
    <w:rsid w:val="005C3777"/>
    <w:rsid w:val="005C5CDC"/>
    <w:rsid w:val="005D476C"/>
    <w:rsid w:val="005D7359"/>
    <w:rsid w:val="005E3E8A"/>
    <w:rsid w:val="005F0E98"/>
    <w:rsid w:val="005F34B1"/>
    <w:rsid w:val="006107D7"/>
    <w:rsid w:val="00610812"/>
    <w:rsid w:val="006219F8"/>
    <w:rsid w:val="00621FF8"/>
    <w:rsid w:val="00650FF7"/>
    <w:rsid w:val="00665D70"/>
    <w:rsid w:val="00671DAC"/>
    <w:rsid w:val="00673887"/>
    <w:rsid w:val="006900D9"/>
    <w:rsid w:val="006C3C62"/>
    <w:rsid w:val="006D12F8"/>
    <w:rsid w:val="00706C16"/>
    <w:rsid w:val="00723483"/>
    <w:rsid w:val="00756841"/>
    <w:rsid w:val="007649AB"/>
    <w:rsid w:val="00771D0C"/>
    <w:rsid w:val="007748FF"/>
    <w:rsid w:val="007777B7"/>
    <w:rsid w:val="007833AC"/>
    <w:rsid w:val="007B268C"/>
    <w:rsid w:val="007B5CBF"/>
    <w:rsid w:val="007B7171"/>
    <w:rsid w:val="007C0C0F"/>
    <w:rsid w:val="007C3DC2"/>
    <w:rsid w:val="007C4C8B"/>
    <w:rsid w:val="007E0D92"/>
    <w:rsid w:val="007E4284"/>
    <w:rsid w:val="007E5497"/>
    <w:rsid w:val="007F39F3"/>
    <w:rsid w:val="00800BE5"/>
    <w:rsid w:val="00806F5F"/>
    <w:rsid w:val="008104B1"/>
    <w:rsid w:val="00820278"/>
    <w:rsid w:val="00843C98"/>
    <w:rsid w:val="008768AB"/>
    <w:rsid w:val="008843B6"/>
    <w:rsid w:val="00891928"/>
    <w:rsid w:val="008A446D"/>
    <w:rsid w:val="008B7258"/>
    <w:rsid w:val="008C394A"/>
    <w:rsid w:val="008D180B"/>
    <w:rsid w:val="008D793C"/>
    <w:rsid w:val="008E3D55"/>
    <w:rsid w:val="008F0EA7"/>
    <w:rsid w:val="0090156A"/>
    <w:rsid w:val="00923EEF"/>
    <w:rsid w:val="00926130"/>
    <w:rsid w:val="009270DA"/>
    <w:rsid w:val="00934B46"/>
    <w:rsid w:val="009419F9"/>
    <w:rsid w:val="0095685E"/>
    <w:rsid w:val="0096026B"/>
    <w:rsid w:val="00961B09"/>
    <w:rsid w:val="00961BC3"/>
    <w:rsid w:val="00961C58"/>
    <w:rsid w:val="00965334"/>
    <w:rsid w:val="00966AEE"/>
    <w:rsid w:val="0097093E"/>
    <w:rsid w:val="009715D8"/>
    <w:rsid w:val="009917B5"/>
    <w:rsid w:val="009940B4"/>
    <w:rsid w:val="009A0DFA"/>
    <w:rsid w:val="009A6DEA"/>
    <w:rsid w:val="009B11D2"/>
    <w:rsid w:val="009B2D26"/>
    <w:rsid w:val="009C71FA"/>
    <w:rsid w:val="009C72E7"/>
    <w:rsid w:val="009D3058"/>
    <w:rsid w:val="009D3D7B"/>
    <w:rsid w:val="009E0459"/>
    <w:rsid w:val="009F3A13"/>
    <w:rsid w:val="00A122D3"/>
    <w:rsid w:val="00A17F13"/>
    <w:rsid w:val="00A20739"/>
    <w:rsid w:val="00A33C78"/>
    <w:rsid w:val="00A37774"/>
    <w:rsid w:val="00A62C8A"/>
    <w:rsid w:val="00A70A3A"/>
    <w:rsid w:val="00AB0ADB"/>
    <w:rsid w:val="00AD059F"/>
    <w:rsid w:val="00AD4745"/>
    <w:rsid w:val="00B01B1A"/>
    <w:rsid w:val="00B3063B"/>
    <w:rsid w:val="00B43A2C"/>
    <w:rsid w:val="00B47D12"/>
    <w:rsid w:val="00B61DC6"/>
    <w:rsid w:val="00B72CD3"/>
    <w:rsid w:val="00B72FFF"/>
    <w:rsid w:val="00B804FB"/>
    <w:rsid w:val="00B839D9"/>
    <w:rsid w:val="00BA5844"/>
    <w:rsid w:val="00BB5B33"/>
    <w:rsid w:val="00BC3D36"/>
    <w:rsid w:val="00BC5684"/>
    <w:rsid w:val="00BD7F72"/>
    <w:rsid w:val="00BF35DB"/>
    <w:rsid w:val="00BF42BF"/>
    <w:rsid w:val="00C04A9C"/>
    <w:rsid w:val="00C04FB3"/>
    <w:rsid w:val="00C13B97"/>
    <w:rsid w:val="00C30CC5"/>
    <w:rsid w:val="00C330EB"/>
    <w:rsid w:val="00C4091E"/>
    <w:rsid w:val="00C5144C"/>
    <w:rsid w:val="00C621FD"/>
    <w:rsid w:val="00C723FD"/>
    <w:rsid w:val="00C754BE"/>
    <w:rsid w:val="00C76B1C"/>
    <w:rsid w:val="00C83B63"/>
    <w:rsid w:val="00C91D59"/>
    <w:rsid w:val="00CA4CAE"/>
    <w:rsid w:val="00CB0535"/>
    <w:rsid w:val="00CB6357"/>
    <w:rsid w:val="00CB6BD8"/>
    <w:rsid w:val="00CC1B26"/>
    <w:rsid w:val="00CE54C6"/>
    <w:rsid w:val="00D06C88"/>
    <w:rsid w:val="00D3159A"/>
    <w:rsid w:val="00D3408D"/>
    <w:rsid w:val="00D423A2"/>
    <w:rsid w:val="00D520D8"/>
    <w:rsid w:val="00D63AC2"/>
    <w:rsid w:val="00D7383B"/>
    <w:rsid w:val="00D829A3"/>
    <w:rsid w:val="00DA231B"/>
    <w:rsid w:val="00DA23A0"/>
    <w:rsid w:val="00DA2589"/>
    <w:rsid w:val="00DC39FC"/>
    <w:rsid w:val="00DD313F"/>
    <w:rsid w:val="00DF5254"/>
    <w:rsid w:val="00E06A33"/>
    <w:rsid w:val="00E1351F"/>
    <w:rsid w:val="00E16408"/>
    <w:rsid w:val="00E20894"/>
    <w:rsid w:val="00E245AB"/>
    <w:rsid w:val="00E2573D"/>
    <w:rsid w:val="00E2764C"/>
    <w:rsid w:val="00E27F2E"/>
    <w:rsid w:val="00E413EA"/>
    <w:rsid w:val="00E50AFE"/>
    <w:rsid w:val="00E75C92"/>
    <w:rsid w:val="00E771DC"/>
    <w:rsid w:val="00E859C1"/>
    <w:rsid w:val="00E8772A"/>
    <w:rsid w:val="00E90F6B"/>
    <w:rsid w:val="00E92C27"/>
    <w:rsid w:val="00EA0C0D"/>
    <w:rsid w:val="00EA0E3D"/>
    <w:rsid w:val="00EC38A7"/>
    <w:rsid w:val="00EE1AA8"/>
    <w:rsid w:val="00EF3B2E"/>
    <w:rsid w:val="00F31EDC"/>
    <w:rsid w:val="00F462B3"/>
    <w:rsid w:val="00F5664F"/>
    <w:rsid w:val="00F666C4"/>
    <w:rsid w:val="00F70B84"/>
    <w:rsid w:val="00F76AFC"/>
    <w:rsid w:val="00F823D1"/>
    <w:rsid w:val="00FA47C0"/>
    <w:rsid w:val="00FB5DD1"/>
    <w:rsid w:val="00FC2B5D"/>
    <w:rsid w:val="00FD5FA6"/>
    <w:rsid w:val="00FE2CF7"/>
    <w:rsid w:val="00FF1449"/>
    <w:rsid w:val="00FF19F3"/>
    <w:rsid w:val="00FF360F"/>
    <w:rsid w:val="00FF55C6"/>
    <w:rsid w:val="16F1F396"/>
    <w:rsid w:val="3E2D28BA"/>
    <w:rsid w:val="4ABD2688"/>
    <w:rsid w:val="5B75587E"/>
    <w:rsid w:val="5CEADB7B"/>
    <w:rsid w:val="682F15CB"/>
    <w:rsid w:val="7473D7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0429E4"/>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styleId="superscript" w:customStyle="1">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styleId="TextocomentarioCar" w:customStyle="1">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styleId="AsuntodelcomentarioCar" w:customStyle="1">
    <w:name w:val="Asunto del comentario Car"/>
    <w:basedOn w:val="TextocomentarioCar"/>
    <w:link w:val="Asuntodelcomentario"/>
    <w:uiPriority w:val="99"/>
    <w:semiHidden/>
    <w:rsid w:val="00FE2CF7"/>
    <w:rPr>
      <w:b/>
      <w:bCs/>
      <w:sz w:val="20"/>
      <w:szCs w:val="20"/>
    </w:rPr>
  </w:style>
  <w:style w:type="character" w:styleId="NormalWebCar" w:customStyle="1">
    <w:name w:val="Normal (Web) Car"/>
    <w:link w:val="NormalWeb"/>
    <w:uiPriority w:val="99"/>
    <w:rsid w:val="008768AB"/>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14245617">
      <w:bodyDiv w:val="1"/>
      <w:marLeft w:val="0"/>
      <w:marRight w:val="0"/>
      <w:marTop w:val="0"/>
      <w:marBottom w:val="0"/>
      <w:divBdr>
        <w:top w:val="none" w:sz="0" w:space="0" w:color="auto"/>
        <w:left w:val="none" w:sz="0" w:space="0" w:color="auto"/>
        <w:bottom w:val="none" w:sz="0" w:space="0" w:color="auto"/>
        <w:right w:val="none" w:sz="0" w:space="0" w:color="auto"/>
      </w:divBdr>
      <w:divsChild>
        <w:div w:id="1284772038">
          <w:marLeft w:val="0"/>
          <w:marRight w:val="0"/>
          <w:marTop w:val="0"/>
          <w:marBottom w:val="0"/>
          <w:divBdr>
            <w:top w:val="none" w:sz="0" w:space="0" w:color="auto"/>
            <w:left w:val="none" w:sz="0" w:space="0" w:color="auto"/>
            <w:bottom w:val="none" w:sz="0" w:space="0" w:color="auto"/>
            <w:right w:val="none" w:sz="0" w:space="0" w:color="auto"/>
          </w:divBdr>
        </w:div>
      </w:divsChild>
    </w:div>
    <w:div w:id="456799121">
      <w:bodyDiv w:val="1"/>
      <w:marLeft w:val="0"/>
      <w:marRight w:val="0"/>
      <w:marTop w:val="0"/>
      <w:marBottom w:val="0"/>
      <w:divBdr>
        <w:top w:val="none" w:sz="0" w:space="0" w:color="auto"/>
        <w:left w:val="none" w:sz="0" w:space="0" w:color="auto"/>
        <w:bottom w:val="none" w:sz="0" w:space="0" w:color="auto"/>
        <w:right w:val="none" w:sz="0" w:space="0" w:color="auto"/>
      </w:divBdr>
    </w:div>
    <w:div w:id="58683978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84864861">
      <w:bodyDiv w:val="1"/>
      <w:marLeft w:val="0"/>
      <w:marRight w:val="0"/>
      <w:marTop w:val="0"/>
      <w:marBottom w:val="0"/>
      <w:divBdr>
        <w:top w:val="none" w:sz="0" w:space="0" w:color="auto"/>
        <w:left w:val="none" w:sz="0" w:space="0" w:color="auto"/>
        <w:bottom w:val="none" w:sz="0" w:space="0" w:color="auto"/>
        <w:right w:val="none" w:sz="0" w:space="0" w:color="auto"/>
      </w:divBdr>
      <w:divsChild>
        <w:div w:id="827554705">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0829428">
      <w:bodyDiv w:val="1"/>
      <w:marLeft w:val="0"/>
      <w:marRight w:val="0"/>
      <w:marTop w:val="0"/>
      <w:marBottom w:val="0"/>
      <w:divBdr>
        <w:top w:val="none" w:sz="0" w:space="0" w:color="auto"/>
        <w:left w:val="none" w:sz="0" w:space="0" w:color="auto"/>
        <w:bottom w:val="none" w:sz="0" w:space="0" w:color="auto"/>
        <w:right w:val="none" w:sz="0" w:space="0" w:color="auto"/>
      </w:divBdr>
    </w:div>
    <w:div w:id="866062612">
      <w:bodyDiv w:val="1"/>
      <w:marLeft w:val="0"/>
      <w:marRight w:val="0"/>
      <w:marTop w:val="0"/>
      <w:marBottom w:val="0"/>
      <w:divBdr>
        <w:top w:val="none" w:sz="0" w:space="0" w:color="auto"/>
        <w:left w:val="none" w:sz="0" w:space="0" w:color="auto"/>
        <w:bottom w:val="none" w:sz="0" w:space="0" w:color="auto"/>
        <w:right w:val="none" w:sz="0" w:space="0" w:color="auto"/>
      </w:divBdr>
    </w:div>
    <w:div w:id="106877342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4.jpe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myriamnocua63@gmail.com" TargetMode="External" Id="rId12" /><Relationship Type="http://schemas.openxmlformats.org/officeDocument/2006/relationships/hyperlink" Target="https://www.colombiacompra.gov.co/sala-de-prensa/boletin-digital" TargetMode="External"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sites%2Fcce_public%2Ffiles%2Ffiles_2020%2Fboletin_de_realtoria_iii.pdf&amp;data=05%7C02%7Calejandro.sarmiento%40colombiacompra.gov.co%7C5aad36a736844ec87b2108dcc1fa4639%7C7b09041e245149d08cb179d5e3d8c1be%7C0%7C0%7C638598527916509451%7CUnknown%7CTWFpbGZsb3d8eyJWIjoiMC4wLjAwMDAiLCJQIjoiV2luMzIiLCJBTiI6Ik1haWwiLCJXVCI6Mn0%3D%7C0%7C%7C%7C&amp;sdata=NaSL9z%2F42YH7ZBLqupwpSfeD9gv4B8zPyubV33BprFo%3D&amp;reserved=0"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relatoria.colombiacompra.gov.co%2F&amp;data=05%7C02%7Calejandro.sarmiento%40colombiacompra.gov.co%7C5aad36a736844ec87b2108dcc1fa4639%7C7b09041e245149d08cb179d5e3d8c1be%7C0%7C0%7C638598527916490388%7CUnknown%7CTWFpbGZsb3d8eyJWIjoiMC4wLjAwMDAiLCJQIjoiV2luMzIiLCJBTiI6Ik1haWwiLCJXVCI6Mn0%3D%7C0%7C%7C%7C&amp;sdata=RuCaG4kVEIMs6uJrhlLCI4fDKA%2FA6%2B5EAgwgNSgw1Kg%3D&amp;reserved=0"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lombiacompra.gov.co/sites/cce_public/files/cce_documents/cce_guia_artificialmente_bajas.pdf"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artificialmente_baja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4D09B-7E2C-4C77-9D3E-BC0A6CDC5798}">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DADFB7DB-A03D-40C4-A257-A80D0A5F6D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Andreina Cerpa Muñoz</lastModifiedBy>
  <revision>26</revision>
  <lastPrinted>2023-01-10T21:18:00.0000000Z</lastPrinted>
  <dcterms:created xsi:type="dcterms:W3CDTF">2024-09-13T16:42:00.0000000Z</dcterms:created>
  <dcterms:modified xsi:type="dcterms:W3CDTF">2024-10-16T19:24:06.3375154Z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