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93A5F" w:rsidR="00871B59" w:rsidP="33632CB1" w:rsidRDefault="00871B59" w14:paraId="636EF3E9" w14:textId="1F7AAE9E">
      <w:pPr>
        <w:pStyle w:val="Normal"/>
        <w:spacing w:before="0" w:beforeAutospacing="off" w:after="0" w:afterAutospacing="off" w:line="240" w:lineRule="auto"/>
        <w:jc w:val="both"/>
        <w:rPr>
          <w:rFonts w:ascii="Verdana" w:hAnsi="Verdana" w:eastAsia="Verdana" w:cs="Verdana"/>
          <w:b w:val="1"/>
          <w:bCs w:val="1"/>
          <w:noProof w:val="0"/>
          <w:sz w:val="22"/>
          <w:szCs w:val="22"/>
          <w:lang w:val="es-MX"/>
        </w:rPr>
      </w:pPr>
      <w:r w:rsidRPr="33632CB1" w:rsidR="077BDD6C">
        <w:rPr>
          <w:rFonts w:ascii="Verdana" w:hAnsi="Verdana" w:eastAsia="Verdana" w:cs="Verdana"/>
          <w:b w:val="1"/>
          <w:bCs w:val="1"/>
          <w:noProof w:val="0"/>
          <w:sz w:val="22"/>
          <w:szCs w:val="22"/>
          <w:lang w:val="es-MX"/>
        </w:rPr>
        <w:t>EXPERIENCIA</w:t>
      </w:r>
      <w:r w:rsidRPr="33632CB1" w:rsidR="077BDD6C">
        <w:rPr>
          <w:rFonts w:ascii="Verdana" w:hAnsi="Verdana" w:eastAsia="Verdana" w:cs="Verdana"/>
          <w:noProof w:val="0"/>
          <w:sz w:val="22"/>
          <w:szCs w:val="22"/>
          <w:lang w:val="es-MX"/>
        </w:rPr>
        <w:t xml:space="preserve"> </w:t>
      </w:r>
      <w:r w:rsidRPr="33632CB1" w:rsidR="077BDD6C">
        <w:rPr>
          <w:rFonts w:ascii="Verdana" w:hAnsi="Verdana" w:eastAsia="Verdana" w:cs="Verdana"/>
          <w:b w:val="1"/>
          <w:bCs w:val="1"/>
          <w:noProof w:val="0"/>
          <w:sz w:val="22"/>
          <w:szCs w:val="22"/>
          <w:lang w:val="es-MX"/>
        </w:rPr>
        <w:t>– Concepto</w:t>
      </w:r>
    </w:p>
    <w:p w:rsidRPr="00593A5F" w:rsidR="00871B59" w:rsidP="33632CB1" w:rsidRDefault="00871B59" w14:paraId="5E48DD63" w14:textId="68D40268">
      <w:pPr>
        <w:spacing w:before="0" w:beforeAutospacing="off" w:after="0" w:afterAutospacing="off" w:line="240" w:lineRule="auto"/>
        <w:jc w:val="both"/>
      </w:pPr>
      <w:r w:rsidRPr="33632CB1" w:rsidR="077BDD6C">
        <w:rPr>
          <w:rFonts w:ascii="Verdana" w:hAnsi="Verdana" w:eastAsia="Verdana" w:cs="Verdana"/>
          <w:b w:val="1"/>
          <w:bCs w:val="1"/>
          <w:noProof w:val="0"/>
          <w:sz w:val="22"/>
          <w:szCs w:val="22"/>
          <w:lang w:val="es-MX"/>
        </w:rPr>
        <w:t xml:space="preserve"> </w:t>
      </w:r>
    </w:p>
    <w:p w:rsidRPr="00593A5F" w:rsidR="00871B59" w:rsidP="33632CB1" w:rsidRDefault="00871B59" w14:paraId="6F29713E" w14:textId="121585AC">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 xml:space="preserve">Dentro de los requisitos habilitantes establecidos por el artículo 5 de la Ley 1150 de 2007 se destaca la experiencia. En el «Manual para determinar y verificar requisitos habilitantes en los procesos de contratación» expedido por Colombia Compra Eficiente se define a la experiencia como “[…] el conocimiento del proponente derivado de su participación previa en actividades iguales o similares a las previstas en el objeto del contrato”. </w:t>
      </w:r>
    </w:p>
    <w:p w:rsidRPr="00593A5F" w:rsidR="00871B59" w:rsidP="33632CB1" w:rsidRDefault="00871B59" w14:paraId="6BBE0D3D" w14:textId="74BCD9DE">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 xml:space="preserve"> </w:t>
      </w:r>
    </w:p>
    <w:p w:rsidRPr="00593A5F" w:rsidR="00871B59" w:rsidP="33632CB1" w:rsidRDefault="00871B59" w14:paraId="312A39C7" w14:textId="7D6CBC2F">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Precisamente, de la experiencia se deriva el conocimiento del proponente, el cual en el marco de la contratación pública se reviste de particular importancia, en la medida en que garantiza en cierto grado que no habrá improvisación ni mayores costos por errores o dificultades originadas en realizar una actividad por primera vez. […]</w:t>
      </w:r>
    </w:p>
    <w:p w:rsidRPr="00593A5F" w:rsidR="00871B59" w:rsidP="33632CB1" w:rsidRDefault="00871B59" w14:paraId="0DBA7004" w14:textId="4EACABF8">
      <w:pPr>
        <w:spacing w:before="0" w:beforeAutospacing="off" w:after="0" w:afterAutospacing="off" w:line="240" w:lineRule="auto"/>
        <w:jc w:val="both"/>
      </w:pPr>
      <w:r w:rsidRPr="33632CB1" w:rsidR="077BDD6C">
        <w:rPr>
          <w:rFonts w:ascii="Verdana" w:hAnsi="Verdana" w:eastAsia="Verdana" w:cs="Verdana"/>
          <w:b w:val="1"/>
          <w:bCs w:val="1"/>
          <w:noProof w:val="0"/>
          <w:color w:val="000000" w:themeColor="text1" w:themeTint="FF" w:themeShade="FF"/>
          <w:sz w:val="22"/>
          <w:szCs w:val="22"/>
          <w:lang w:val="es-MX"/>
        </w:rPr>
        <w:t xml:space="preserve"> </w:t>
      </w:r>
    </w:p>
    <w:p w:rsidRPr="00593A5F" w:rsidR="00871B59" w:rsidP="33632CB1" w:rsidRDefault="00871B59" w14:paraId="313E64EE" w14:textId="12E40DBC">
      <w:pPr>
        <w:spacing w:before="0" w:beforeAutospacing="off" w:after="0" w:afterAutospacing="off" w:line="240" w:lineRule="auto"/>
        <w:jc w:val="both"/>
      </w:pPr>
      <w:r w:rsidRPr="33632CB1" w:rsidR="077BDD6C">
        <w:rPr>
          <w:rFonts w:ascii="Verdana" w:hAnsi="Verdana" w:eastAsia="Verdana" w:cs="Verdana"/>
          <w:b w:val="1"/>
          <w:bCs w:val="1"/>
          <w:noProof w:val="0"/>
          <w:color w:val="000000" w:themeColor="text1" w:themeTint="FF" w:themeShade="FF"/>
          <w:sz w:val="22"/>
          <w:szCs w:val="22"/>
          <w:lang w:val="es-MX"/>
        </w:rPr>
        <w:t>CONVOCATORIAS LIMITADAS A MIPYMES – Limitación Territorial – Carácter discrecional</w:t>
      </w:r>
    </w:p>
    <w:p w:rsidRPr="00593A5F" w:rsidR="00871B59" w:rsidP="33632CB1" w:rsidRDefault="00871B59" w14:paraId="1476E4D0" w14:textId="68B07816">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highlight w:val="yellow"/>
          <w:lang w:val="es-MX"/>
        </w:rPr>
        <w:t xml:space="preserve"> </w:t>
      </w:r>
    </w:p>
    <w:p w:rsidRPr="00593A5F" w:rsidR="00871B59" w:rsidP="33632CB1" w:rsidRDefault="00871B59" w14:paraId="67E54B56" w14:textId="7DC41226">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 xml:space="preserve">[…] lo que debe adoptarse obligatoriamente es la limitación a Mipymes colombianas siempre que se cumplan las condiciones del artículo 2.2.1.2.4.2.2 del Decreto 1082 de 2015, pero no la “limitación territorial” referida en el artículo 2.2.1.2.4.2.3 ibídem, pues esta es facultativa para la entidad. Las únicas exigencias son que la convocatoria esté limitada a las Mipyme colombianas “domiciliadas en los departamentos o municipios en donde se va a ejecutar el contrato” y que la entidad justifique su decisión con base en los “estudios del sector”. No es procedente, entonces, que sean las Mipymes las que soliciten la “limitación territorial” a la que se refiere el artículo 2.2.1.2.4.2.3 del Decreto 1082 de 2015. </w:t>
      </w:r>
    </w:p>
    <w:p w:rsidRPr="00593A5F" w:rsidR="00871B59" w:rsidP="33632CB1" w:rsidRDefault="00871B59" w14:paraId="4C26D48D" w14:textId="08797E68">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 xml:space="preserve"> </w:t>
      </w:r>
    </w:p>
    <w:p w:rsidRPr="00593A5F" w:rsidR="00871B59" w:rsidP="33632CB1" w:rsidRDefault="00871B59" w14:paraId="0CC6E80F" w14:textId="1081D68A">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El origen de las Mipyme que solicitan la “limitación territorial” no es relevante frente a dicha decisión por dos razones: primero, porque las Mipyme no están habilitadas para pedir la “limitación territorial”, lo están para pedir la “convocatoria limitada a Mipymes”, y, segundo, porque el único criterio para tener en cuenta, una vez se ha decidido justificadamente limitar territorialmente la convocatoria previamente limitada a Mipyme, es el lugar donde se va a ejecutar el contrato.</w:t>
      </w:r>
    </w:p>
    <w:p w:rsidRPr="00593A5F" w:rsidR="00871B59" w:rsidP="33632CB1" w:rsidRDefault="00871B59" w14:paraId="65B0A301" w14:textId="1196C6A0">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 xml:space="preserve"> </w:t>
      </w:r>
    </w:p>
    <w:p w:rsidRPr="00593A5F" w:rsidR="00871B59" w:rsidP="33632CB1" w:rsidRDefault="00871B59" w14:paraId="4211E820" w14:textId="753E1C5D">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En resumen, la decisión de limitar o no territorialmente una convocatoria limitada a Mipymes nacionales es una facultad discrecional, de manera que la entidad contratante valorará si es oportuno y conveniente adoptarla. Sin 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w:t>
      </w:r>
    </w:p>
    <w:p w:rsidRPr="00593A5F" w:rsidR="00871B59" w:rsidP="33632CB1" w:rsidRDefault="00871B59" w14:paraId="6C0C19AE" w14:textId="289E740A">
      <w:pPr>
        <w:spacing w:before="0" w:beforeAutospacing="off" w:after="0" w:afterAutospacing="off" w:line="240" w:lineRule="auto"/>
        <w:jc w:val="both"/>
      </w:pPr>
      <w:r w:rsidRPr="33632CB1" w:rsidR="077BDD6C">
        <w:rPr>
          <w:rFonts w:ascii="Arial" w:hAnsi="Arial" w:eastAsia="Arial" w:cs="Arial"/>
          <w:noProof w:val="0"/>
          <w:color w:val="000000" w:themeColor="text1" w:themeTint="FF" w:themeShade="FF"/>
          <w:sz w:val="20"/>
          <w:szCs w:val="20"/>
          <w:lang w:val="es-MX"/>
        </w:rPr>
        <w:t xml:space="preserve"> </w:t>
      </w:r>
    </w:p>
    <w:p w:rsidRPr="00593A5F" w:rsidR="00871B59" w:rsidP="33632CB1" w:rsidRDefault="00871B59" w14:paraId="4D024AD3" w14:textId="4568406E">
      <w:pPr>
        <w:spacing w:before="0" w:beforeAutospacing="off" w:after="0" w:afterAutospacing="off" w:line="257" w:lineRule="auto"/>
        <w:jc w:val="both"/>
      </w:pPr>
      <w:r w:rsidRPr="33632CB1" w:rsidR="077BDD6C">
        <w:rPr>
          <w:rFonts w:ascii="Verdana" w:hAnsi="Verdana" w:eastAsia="Verdana" w:cs="Verdana"/>
          <w:b w:val="1"/>
          <w:bCs w:val="1"/>
          <w:noProof w:val="0"/>
          <w:sz w:val="22"/>
          <w:szCs w:val="22"/>
          <w:lang w:val="es-MX"/>
        </w:rPr>
        <w:t xml:space="preserve">REQUISITOS HABILITANTES – Concepto </w:t>
      </w:r>
    </w:p>
    <w:p w:rsidRPr="00593A5F" w:rsidR="00871B59" w:rsidP="33632CB1" w:rsidRDefault="00871B59" w14:paraId="78EE7F3F" w14:textId="65883983">
      <w:pPr>
        <w:spacing w:before="0" w:beforeAutospacing="off" w:after="0" w:afterAutospacing="off" w:line="257" w:lineRule="auto"/>
        <w:jc w:val="both"/>
      </w:pPr>
      <w:r w:rsidRPr="33632CB1" w:rsidR="077BDD6C">
        <w:rPr>
          <w:rFonts w:ascii="Verdana" w:hAnsi="Verdana" w:eastAsia="Verdana" w:cs="Verdana"/>
          <w:b w:val="1"/>
          <w:bCs w:val="1"/>
          <w:noProof w:val="0"/>
          <w:sz w:val="22"/>
          <w:szCs w:val="22"/>
          <w:lang w:val="es-MX"/>
        </w:rPr>
        <w:t xml:space="preserve"> </w:t>
      </w:r>
    </w:p>
    <w:p w:rsidRPr="00593A5F" w:rsidR="00871B59" w:rsidP="33632CB1" w:rsidRDefault="00871B59" w14:paraId="2C56E70F" w14:textId="276A11AF">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 xml:space="preserve">Los requisitos habilitantes se definen como aquellas exigencias de participación en los procedimientos de selección, establecidas en disposiciones normativas, de carácter legal o reglamentario, o contenidas en el acto administrativo que regula las reglas de la convocatoria–es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rsidRPr="00593A5F" w:rsidR="00871B59" w:rsidP="33632CB1" w:rsidRDefault="00871B59" w14:paraId="778D4005" w14:textId="6ECDE238">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 xml:space="preserve"> </w:t>
      </w:r>
    </w:p>
    <w:p w:rsidRPr="00593A5F" w:rsidR="00871B59" w:rsidP="33632CB1" w:rsidRDefault="00871B59" w14:paraId="23F4D5A0" w14:textId="6741BFF1">
      <w:pPr>
        <w:spacing w:before="0" w:beforeAutospacing="off" w:after="0" w:afterAutospacing="off" w:line="240" w:lineRule="auto"/>
        <w:jc w:val="both"/>
      </w:pPr>
      <w:r w:rsidRPr="33632CB1" w:rsidR="077BDD6C">
        <w:rPr>
          <w:rFonts w:ascii="Verdana" w:hAnsi="Verdana" w:eastAsia="Verdana" w:cs="Verdana"/>
          <w:noProof w:val="0"/>
          <w:sz w:val="20"/>
          <w:szCs w:val="20"/>
          <w:lang w:val="es-MX"/>
        </w:rPr>
        <w:t>[…] Específicamente, el numeral 1º del artículo referido establece que en los procesos de selección de contratistas serán objeto de verificación, como requisitos habilitantes, entre otros, los siguientes: i) la capacidad jurídica; ii) la experiencia; iii) la capacidad financiera y iv) la capacidad de organización.</w:t>
      </w:r>
    </w:p>
    <w:p w:rsidRPr="00593A5F" w:rsidR="00871B59" w:rsidP="33632CB1" w:rsidRDefault="00871B59" w14:paraId="31B2AF83" w14:textId="0F974EE0">
      <w:pPr>
        <w:tabs>
          <w:tab w:val="left" w:leader="none" w:pos="0"/>
        </w:tabs>
        <w:spacing w:before="0" w:beforeAutospacing="off" w:after="0" w:afterAutospacing="off" w:line="240" w:lineRule="auto"/>
        <w:jc w:val="both"/>
      </w:pPr>
      <w:r w:rsidRPr="33632CB1" w:rsidR="077BDD6C">
        <w:rPr>
          <w:rFonts w:ascii="Verdana" w:hAnsi="Verdana" w:eastAsia="Verdana" w:cs="Verdana"/>
          <w:b w:val="1"/>
          <w:bCs w:val="1"/>
          <w:noProof w:val="0"/>
          <w:sz w:val="20"/>
          <w:szCs w:val="20"/>
          <w:lang w:val="es-MX"/>
        </w:rPr>
        <w:t xml:space="preserve"> </w:t>
      </w:r>
    </w:p>
    <w:p w:rsidRPr="00593A5F" w:rsidR="00871B59" w:rsidP="33632CB1" w:rsidRDefault="00871B59" w14:paraId="7309BB49" w14:textId="52398FE4">
      <w:pPr>
        <w:spacing w:before="0" w:beforeAutospacing="off" w:after="0" w:afterAutospacing="off" w:line="240" w:lineRule="auto"/>
        <w:jc w:val="both"/>
      </w:pPr>
      <w:r w:rsidRPr="33632CB1" w:rsidR="077BDD6C">
        <w:rPr>
          <w:rFonts w:ascii="Verdana" w:hAnsi="Verdana" w:eastAsia="Verdana" w:cs="Verdana"/>
          <w:noProof w:val="0"/>
          <w:color w:val="000000" w:themeColor="text1" w:themeTint="FF" w:themeShade="FF"/>
          <w:sz w:val="20"/>
          <w:szCs w:val="20"/>
          <w:lang w:val="es-MX"/>
        </w:rPr>
        <w:t xml:space="preserve"> </w:t>
      </w:r>
    </w:p>
    <w:p w:rsidRPr="00593A5F" w:rsidR="00871B59" w:rsidP="33632CB1" w:rsidRDefault="00871B59" w14:paraId="6E6E254D" w14:textId="45D058FF">
      <w:pPr>
        <w:spacing w:before="0" w:beforeAutospacing="off" w:after="0" w:afterAutospacing="off" w:line="240" w:lineRule="auto"/>
      </w:pPr>
      <w:r w:rsidRPr="33632CB1" w:rsidR="077BDD6C">
        <w:rPr>
          <w:rFonts w:ascii="Verdana" w:hAnsi="Verdana" w:eastAsia="Verdana" w:cs="Verdana"/>
          <w:noProof w:val="0"/>
          <w:color w:val="000000" w:themeColor="text1" w:themeTint="FF" w:themeShade="FF"/>
          <w:sz w:val="22"/>
          <w:szCs w:val="22"/>
          <w:lang w:val="es-MX"/>
        </w:rPr>
        <w:t xml:space="preserve"> </w:t>
      </w:r>
    </w:p>
    <w:p w:rsidRPr="00593A5F" w:rsidR="00871B59" w:rsidP="33632CB1" w:rsidRDefault="00871B59" w14:paraId="509D94FF" w14:textId="78DFA415">
      <w:pPr>
        <w:spacing w:before="0" w:beforeAutospacing="off" w:after="0" w:afterAutospacing="off" w:line="240" w:lineRule="auto"/>
      </w:pPr>
      <w:r w:rsidRPr="33632CB1" w:rsidR="077BDD6C">
        <w:rPr>
          <w:rFonts w:ascii="Verdana" w:hAnsi="Verdana" w:eastAsia="Verdana" w:cs="Verdana"/>
          <w:noProof w:val="0"/>
          <w:color w:val="000000" w:themeColor="text1" w:themeTint="FF" w:themeShade="FF"/>
          <w:sz w:val="22"/>
          <w:szCs w:val="22"/>
          <w:lang w:val="es-MX"/>
        </w:rPr>
        <w:t xml:space="preserve"> </w:t>
      </w:r>
    </w:p>
    <w:p w:rsidRPr="00593A5F" w:rsidR="00871B59" w:rsidP="33632CB1" w:rsidRDefault="00871B59" w14:paraId="193A661A" w14:textId="2AA85EEA">
      <w:pPr>
        <w:spacing w:before="0" w:beforeAutospacing="off" w:after="0" w:afterAutospacing="off" w:line="240" w:lineRule="auto"/>
      </w:pPr>
      <w:r w:rsidRPr="33632CB1" w:rsidR="077BDD6C">
        <w:rPr>
          <w:rFonts w:ascii="Verdana" w:hAnsi="Verdana" w:eastAsia="Verdana" w:cs="Verdana"/>
          <w:noProof w:val="0"/>
          <w:color w:val="000000" w:themeColor="text1" w:themeTint="FF" w:themeShade="FF"/>
          <w:sz w:val="22"/>
          <w:szCs w:val="22"/>
          <w:lang w:val="es-MX"/>
        </w:rPr>
        <w:t xml:space="preserve"> </w:t>
      </w:r>
    </w:p>
    <w:p w:rsidRPr="00593A5F" w:rsidR="00871B59" w:rsidP="33632CB1" w:rsidRDefault="00871B59" w14:paraId="1C5C6DFE" w14:textId="41B3A481">
      <w:pPr>
        <w:spacing w:before="0" w:beforeAutospacing="off" w:after="0" w:afterAutospacing="off" w:line="240" w:lineRule="auto"/>
      </w:pPr>
      <w:r w:rsidRPr="33632CB1" w:rsidR="077BDD6C">
        <w:rPr>
          <w:rFonts w:ascii="Verdana" w:hAnsi="Verdana" w:eastAsia="Verdana" w:cs="Verdana"/>
          <w:noProof w:val="0"/>
          <w:color w:val="000000" w:themeColor="text1" w:themeTint="FF" w:themeShade="FF"/>
          <w:sz w:val="22"/>
          <w:szCs w:val="22"/>
          <w:lang w:val="es-MX"/>
        </w:rPr>
        <w:t xml:space="preserve"> </w:t>
      </w:r>
    </w:p>
    <w:p w:rsidRPr="00593A5F" w:rsidR="00871B59" w:rsidP="33632CB1" w:rsidRDefault="00871B59" w14:paraId="583A3CBB" w14:textId="6FE0FE70">
      <w:pPr>
        <w:spacing w:before="0" w:beforeAutospacing="off" w:after="0" w:afterAutospacing="off" w:line="240" w:lineRule="auto"/>
      </w:pPr>
      <w:r w:rsidRPr="33632CB1" w:rsidR="077BDD6C">
        <w:rPr>
          <w:rFonts w:ascii="Verdana" w:hAnsi="Verdana" w:eastAsia="Verdana" w:cs="Verdana"/>
          <w:noProof w:val="0"/>
          <w:color w:val="000000" w:themeColor="text1" w:themeTint="FF" w:themeShade="FF"/>
          <w:sz w:val="22"/>
          <w:szCs w:val="22"/>
          <w:lang w:val="es-MX"/>
        </w:rPr>
        <w:t xml:space="preserve"> </w:t>
      </w:r>
    </w:p>
    <w:p w:rsidRPr="00593A5F" w:rsidR="00871B59" w:rsidP="33632CB1" w:rsidRDefault="00871B59" w14:paraId="09633707" w14:textId="0F0A705A">
      <w:pPr>
        <w:spacing w:before="0" w:beforeAutospacing="off" w:after="0" w:afterAutospacing="off" w:line="257" w:lineRule="auto"/>
      </w:pPr>
      <w:r w:rsidRPr="33632CB1" w:rsidR="077BDD6C">
        <w:rPr>
          <w:rFonts w:ascii="Verdana" w:hAnsi="Verdana" w:eastAsia="Verdana" w:cs="Verdana"/>
          <w:noProof w:val="0"/>
          <w:sz w:val="22"/>
          <w:szCs w:val="22"/>
          <w:lang w:val="es-MX"/>
        </w:rPr>
        <w:t xml:space="preserve"> </w:t>
      </w:r>
    </w:p>
    <w:p w:rsidRPr="00593A5F" w:rsidR="00871B59" w:rsidP="33632CB1" w:rsidRDefault="00871B59" w14:paraId="31845BDA" w14:textId="11043414">
      <w:pPr>
        <w:spacing w:before="0" w:beforeAutospacing="off" w:after="0" w:afterAutospacing="off" w:line="257" w:lineRule="auto"/>
      </w:pPr>
      <w:r w:rsidRPr="33632CB1" w:rsidR="077BDD6C">
        <w:rPr>
          <w:rFonts w:ascii="Verdana" w:hAnsi="Verdana" w:eastAsia="Verdana" w:cs="Verdana"/>
          <w:noProof w:val="0"/>
          <w:sz w:val="22"/>
          <w:szCs w:val="22"/>
          <w:lang w:val="es-MX"/>
        </w:rPr>
        <w:t xml:space="preserve"> </w:t>
      </w:r>
    </w:p>
    <w:p w:rsidRPr="00593A5F" w:rsidR="00871B59" w:rsidP="33632CB1" w:rsidRDefault="00871B59" w14:paraId="3091D4C7" w14:textId="7F28CF75">
      <w:pPr>
        <w:spacing w:before="0" w:beforeAutospacing="off" w:after="0" w:afterAutospacing="off" w:line="257" w:lineRule="auto"/>
      </w:pPr>
      <w:r w:rsidRPr="33632CB1" w:rsidR="077BDD6C">
        <w:rPr>
          <w:rFonts w:ascii="Verdana" w:hAnsi="Verdana" w:eastAsia="Verdana" w:cs="Verdana"/>
          <w:noProof w:val="0"/>
          <w:sz w:val="22"/>
          <w:szCs w:val="22"/>
          <w:lang w:val="es-MX"/>
        </w:rPr>
        <w:t xml:space="preserve"> </w:t>
      </w:r>
    </w:p>
    <w:p w:rsidRPr="00593A5F" w:rsidR="00871B59" w:rsidP="33632CB1" w:rsidRDefault="00871B59" w14:paraId="2784BB95" w14:textId="39B78E3E">
      <w:pPr>
        <w:spacing w:before="0" w:beforeAutospacing="off" w:after="0" w:afterAutospacing="off" w:line="257" w:lineRule="auto"/>
      </w:pPr>
      <w:r w:rsidRPr="33632CB1" w:rsidR="077BDD6C">
        <w:rPr>
          <w:rFonts w:ascii="Verdana" w:hAnsi="Verdana" w:eastAsia="Verdana" w:cs="Verdana"/>
          <w:noProof w:val="0"/>
          <w:sz w:val="22"/>
          <w:szCs w:val="22"/>
          <w:lang w:val="es-MX"/>
        </w:rPr>
        <w:t xml:space="preserve"> </w:t>
      </w:r>
    </w:p>
    <w:p w:rsidRPr="00593A5F" w:rsidR="00871B59" w:rsidP="33632CB1" w:rsidRDefault="00871B59" w14:paraId="5D0EB53E" w14:textId="4EFEFE09">
      <w:pPr>
        <w:spacing w:before="0" w:beforeAutospacing="off" w:after="0" w:afterAutospacing="off" w:line="257" w:lineRule="auto"/>
      </w:pPr>
      <w:r w:rsidRPr="33632CB1" w:rsidR="077BDD6C">
        <w:rPr>
          <w:rFonts w:ascii="Verdana" w:hAnsi="Verdana" w:eastAsia="Verdana" w:cs="Verdana"/>
          <w:noProof w:val="0"/>
          <w:sz w:val="22"/>
          <w:szCs w:val="22"/>
          <w:lang w:val="es-MX"/>
        </w:rPr>
        <w:t xml:space="preserve"> </w:t>
      </w:r>
    </w:p>
    <w:p w:rsidRPr="00593A5F" w:rsidR="00871B59" w:rsidP="33632CB1" w:rsidRDefault="00871B59" w14:paraId="4D5E493F" w14:textId="0184303F">
      <w:pPr>
        <w:spacing w:before="0" w:beforeAutospacing="off" w:after="0" w:afterAutospacing="off" w:line="257" w:lineRule="auto"/>
      </w:pPr>
      <w:r w:rsidRPr="33632CB1" w:rsidR="077BDD6C">
        <w:rPr>
          <w:rFonts w:ascii="Verdana" w:hAnsi="Verdana" w:eastAsia="Verdana" w:cs="Verdana"/>
          <w:noProof w:val="0"/>
          <w:sz w:val="22"/>
          <w:szCs w:val="22"/>
          <w:lang w:val="es-MX"/>
        </w:rPr>
        <w:t xml:space="preserve"> </w:t>
      </w:r>
    </w:p>
    <w:p w:rsidRPr="00593A5F" w:rsidR="00871B59" w:rsidP="00871B59" w:rsidRDefault="00871B59" w14:paraId="6700D6DA" w14:textId="1A86526A">
      <w:pPr>
        <w:spacing w:after="0" w:line="240" w:lineRule="auto"/>
        <w:rPr>
          <w:rFonts w:ascii="Verdana" w:hAnsi="Verdana" w:eastAsia="Geomanist Light" w:cs="Arial"/>
          <w:color w:val="201F1E"/>
          <w:lang w:val="es-MX"/>
        </w:rPr>
      </w:pPr>
      <w:r w:rsidRPr="33632CB1" w:rsidR="077BDD6C">
        <w:rPr>
          <w:rFonts w:ascii="Verdana" w:hAnsi="Verdana" w:eastAsia="Geomanist Light" w:cs="Arial"/>
          <w:color w:val="000000" w:themeColor="text1" w:themeTint="FF" w:themeShade="FF"/>
          <w:lang w:val="es-MX"/>
        </w:rPr>
        <w:t>Bogo</w:t>
      </w:r>
      <w:r w:rsidRPr="33632CB1" w:rsidR="00871B59">
        <w:rPr>
          <w:rFonts w:ascii="Verdana" w:hAnsi="Verdana" w:eastAsia="Geomanist Light" w:cs="Arial"/>
          <w:color w:val="000000" w:themeColor="text1" w:themeTint="FF" w:themeShade="FF"/>
          <w:lang w:val="es-MX"/>
        </w:rPr>
        <w:t>tá D.C., </w:t>
      </w:r>
      <w:r w:rsidRPr="33632CB1" w:rsidR="00871B59">
        <w:rPr>
          <w:rFonts w:ascii="Verdana" w:hAnsi="Verdana" w:eastAsia="Geomanist Light" w:cs="Arial"/>
          <w:color w:val="201F1E"/>
          <w:lang w:val="es-MX"/>
        </w:rPr>
        <w:t>[Día] de [</w:t>
      </w:r>
      <w:r w:rsidRPr="33632CB1" w:rsidR="00871B59">
        <w:rPr>
          <w:rFonts w:ascii="Verdana" w:hAnsi="Verdana" w:eastAsia="Geomanist Light" w:cs="Arial"/>
          <w:color w:val="201F1E"/>
          <w:lang w:val="es-MX"/>
        </w:rPr>
        <w:t>Mes.NombreCapitalizado</w:t>
      </w:r>
      <w:r w:rsidRPr="33632CB1" w:rsidR="00871B59">
        <w:rPr>
          <w:rFonts w:ascii="Verdana" w:hAnsi="Verdana" w:eastAsia="Geomanist Light" w:cs="Arial"/>
          <w:color w:val="201F1E"/>
          <w:lang w:val="es-MX"/>
        </w:rPr>
        <w:t>] de [Año]</w:t>
      </w:r>
    </w:p>
    <w:p w:rsidRPr="00593A5F" w:rsidR="00871B59" w:rsidP="00871B59" w:rsidRDefault="00871B59" w14:paraId="263F56BE" w14:textId="77777777">
      <w:pPr>
        <w:spacing w:after="0" w:line="240" w:lineRule="auto"/>
        <w:jc w:val="both"/>
        <w:rPr>
          <w:rFonts w:ascii="Verdana" w:hAnsi="Verdana" w:eastAsia="Calibri" w:cs="Arial"/>
          <w:color w:val="000000"/>
          <w:lang w:val="es-ES"/>
        </w:rPr>
      </w:pPr>
    </w:p>
    <w:p w:rsidR="00497240" w:rsidP="00871B59" w:rsidRDefault="00497240" w14:paraId="24769E63" w14:textId="77777777">
      <w:pPr>
        <w:spacing w:after="0" w:line="240" w:lineRule="auto"/>
        <w:jc w:val="both"/>
        <w:rPr>
          <w:rFonts w:ascii="Verdana" w:hAnsi="Verdana" w:eastAsia="Calibri" w:cs="Arial"/>
          <w:lang w:val="es-ES" w:eastAsia="es-ES"/>
        </w:rPr>
      </w:pPr>
    </w:p>
    <w:p w:rsidRPr="00B96799" w:rsidR="00871B59" w:rsidP="00871B59" w:rsidRDefault="00871B59" w14:paraId="66EF7FED" w14:textId="6ADC6578">
      <w:pPr>
        <w:spacing w:after="0" w:line="240" w:lineRule="auto"/>
        <w:jc w:val="both"/>
        <w:rPr>
          <w:rFonts w:ascii="Verdana" w:hAnsi="Verdana" w:eastAsia="Calibri" w:cs="Arial"/>
          <w:lang w:val="es-ES" w:eastAsia="es-ES"/>
        </w:rPr>
      </w:pPr>
      <w:r w:rsidRPr="00B96799">
        <w:rPr>
          <w:rFonts w:ascii="Verdana" w:hAnsi="Verdana" w:eastAsia="Calibri" w:cs="Arial"/>
          <w:lang w:val="es-ES" w:eastAsia="es-ES"/>
        </w:rPr>
        <w:t>Señor</w:t>
      </w:r>
    </w:p>
    <w:p w:rsidRPr="00B96799" w:rsidR="00871B59" w:rsidP="00871B59" w:rsidRDefault="000D2160" w14:paraId="0D0B9D30" w14:textId="43BDE584">
      <w:pPr>
        <w:spacing w:after="0" w:line="240" w:lineRule="auto"/>
        <w:rPr>
          <w:rFonts w:ascii="Verdana" w:hAnsi="Verdana" w:eastAsia="Calibri" w:cs="Arial"/>
          <w:b/>
          <w:lang w:val="es-ES_tradnl" w:eastAsia="es-ES_tradnl"/>
        </w:rPr>
      </w:pPr>
      <w:r>
        <w:rPr>
          <w:rFonts w:ascii="Verdana" w:hAnsi="Verdana" w:eastAsia="Calibri" w:cs="Arial"/>
          <w:b/>
          <w:lang w:val="es-ES_tradnl" w:eastAsia="es-ES_tradnl"/>
        </w:rPr>
        <w:t>WALTER DAVID PORTILLA ERAZO</w:t>
      </w:r>
    </w:p>
    <w:p w:rsidRPr="00B96799" w:rsidR="00871B59" w:rsidP="00871B59" w:rsidRDefault="000D2160" w14:paraId="1199F81B" w14:textId="2A7FC1B2">
      <w:pPr>
        <w:spacing w:after="0" w:line="240" w:lineRule="auto"/>
        <w:rPr>
          <w:rFonts w:ascii="Verdana" w:hAnsi="Verdana" w:eastAsia="Calibri" w:cs="Arial"/>
          <w:u w:val="single"/>
          <w:lang w:val="es-ES" w:eastAsia="es-ES"/>
        </w:rPr>
      </w:pPr>
      <w:r>
        <w:rPr>
          <w:rFonts w:ascii="Verdana" w:hAnsi="Verdana" w:eastAsia="Calibri" w:cs="Arial"/>
          <w:u w:val="single"/>
          <w:lang w:val="es-ES" w:eastAsia="es-ES"/>
        </w:rPr>
        <w:t>david-portilla21</w:t>
      </w:r>
      <w:r w:rsidRPr="00B96799" w:rsidR="00871B59">
        <w:rPr>
          <w:rFonts w:ascii="Verdana" w:hAnsi="Verdana" w:eastAsia="Calibri" w:cs="Arial"/>
          <w:u w:val="single"/>
          <w:lang w:val="es-ES" w:eastAsia="es-ES"/>
        </w:rPr>
        <w:t>@</w:t>
      </w:r>
      <w:r w:rsidR="005B0EF0">
        <w:rPr>
          <w:rFonts w:ascii="Verdana" w:hAnsi="Verdana" w:eastAsia="Calibri" w:cs="Arial"/>
          <w:u w:val="single"/>
          <w:lang w:val="es-ES" w:eastAsia="es-ES"/>
        </w:rPr>
        <w:t>gmail</w:t>
      </w:r>
      <w:r w:rsidRPr="00B96799" w:rsidR="00871B59">
        <w:rPr>
          <w:rFonts w:ascii="Verdana" w:hAnsi="Verdana" w:eastAsia="Calibri" w:cs="Arial"/>
          <w:u w:val="single"/>
          <w:lang w:val="es-ES" w:eastAsia="es-ES"/>
        </w:rPr>
        <w:t>.co</w:t>
      </w:r>
      <w:r w:rsidR="005B0EF0">
        <w:rPr>
          <w:rFonts w:ascii="Verdana" w:hAnsi="Verdana" w:eastAsia="Calibri" w:cs="Arial"/>
          <w:u w:val="single"/>
          <w:lang w:val="es-ES" w:eastAsia="es-ES"/>
        </w:rPr>
        <w:t>m</w:t>
      </w:r>
    </w:p>
    <w:p w:rsidR="00871B59" w:rsidP="00871B59" w:rsidRDefault="000D2160" w14:paraId="5ACFEA17" w14:textId="7714453A">
      <w:pPr>
        <w:spacing w:after="0" w:line="240" w:lineRule="auto"/>
        <w:rPr>
          <w:rFonts w:ascii="Verdana" w:hAnsi="Verdana" w:eastAsia="Calibri" w:cs="Arial"/>
          <w:lang w:val="es-ES" w:eastAsia="es-ES"/>
        </w:rPr>
      </w:pPr>
      <w:r>
        <w:rPr>
          <w:rFonts w:ascii="Verdana" w:hAnsi="Verdana" w:eastAsia="Calibri" w:cs="Arial"/>
          <w:lang w:val="es-ES" w:eastAsia="es-ES"/>
        </w:rPr>
        <w:t>Bogotá D.C.</w:t>
      </w:r>
    </w:p>
    <w:p w:rsidR="00CE20BF" w:rsidP="00871B59" w:rsidRDefault="00CE20BF" w14:paraId="0E0046A2" w14:textId="77777777">
      <w:pPr>
        <w:spacing w:after="0" w:line="240" w:lineRule="auto"/>
        <w:rPr>
          <w:rFonts w:ascii="Verdana" w:hAnsi="Verdana" w:eastAsia="Calibri" w:cs="Arial"/>
          <w:lang w:val="es-ES" w:eastAsia="es-ES"/>
        </w:rPr>
      </w:pPr>
    </w:p>
    <w:p w:rsidR="00CE20BF" w:rsidP="00871B59" w:rsidRDefault="00CE20BF" w14:paraId="61D9810E" w14:textId="77777777">
      <w:pPr>
        <w:spacing w:after="0" w:line="240" w:lineRule="auto"/>
        <w:rPr>
          <w:rFonts w:ascii="Verdana" w:hAnsi="Verdana" w:eastAsia="Calibri" w:cs="Arial"/>
          <w:lang w:val="es-ES" w:eastAsia="es-ES"/>
        </w:rPr>
      </w:pPr>
    </w:p>
    <w:p w:rsidRPr="00B96799" w:rsidR="00CE20BF" w:rsidP="00CE20BF" w:rsidRDefault="00CE20BF" w14:paraId="50F78CF7" w14:textId="0E681B39">
      <w:pPr>
        <w:spacing w:after="0" w:line="240" w:lineRule="auto"/>
        <w:jc w:val="right"/>
        <w:rPr>
          <w:rFonts w:ascii="Verdana" w:hAnsi="Verdana" w:eastAsia="Calibri" w:cs="Arial"/>
          <w:b/>
          <w:bCs/>
          <w:lang w:val="es-ES" w:eastAsia="es-ES"/>
        </w:rPr>
      </w:pPr>
      <w:r>
        <w:rPr>
          <w:rFonts w:ascii="Verdana" w:hAnsi="Verdana" w:eastAsia="Calibri" w:cs="Arial"/>
          <w:b/>
          <w:bCs/>
          <w:noProof/>
          <w:lang w:val="es-ES" w:eastAsia="es-ES"/>
        </w:rPr>
        <w:drawing>
          <wp:inline distT="0" distB="0" distL="0" distR="0" wp14:anchorId="73AF3763" wp14:editId="5E701F28">
            <wp:extent cx="2695575" cy="838200"/>
            <wp:effectExtent l="0" t="0" r="9525" b="0"/>
            <wp:docPr id="1034561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838200"/>
                    </a:xfrm>
                    <a:prstGeom prst="rect">
                      <a:avLst/>
                    </a:prstGeom>
                    <a:noFill/>
                    <a:ln>
                      <a:noFill/>
                    </a:ln>
                  </pic:spPr>
                </pic:pic>
              </a:graphicData>
            </a:graphic>
          </wp:inline>
        </w:drawing>
      </w:r>
    </w:p>
    <w:p w:rsidRPr="00593A5F" w:rsidR="00871B59" w:rsidP="00871B59" w:rsidRDefault="00871B59" w14:paraId="40764CBF"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593A5F" w:rsidR="00871B59" w:rsidTr="002607A7" w14:paraId="6AC1791A" w14:textId="77777777">
        <w:trPr>
          <w:trHeight w:val="884"/>
        </w:trPr>
        <w:tc>
          <w:tcPr>
            <w:tcW w:w="2689" w:type="dxa"/>
          </w:tcPr>
          <w:p w:rsidRPr="00C00976" w:rsidR="00871B59" w:rsidP="002607A7" w:rsidRDefault="00871B59" w14:paraId="156B1AEC" w14:textId="77777777">
            <w:pPr>
              <w:jc w:val="both"/>
              <w:rPr>
                <w:rFonts w:ascii="Verdana" w:hAnsi="Verdana" w:eastAsia="Calibri" w:cs="Arial"/>
                <w:b/>
                <w:bCs/>
                <w:color w:val="7030A0"/>
                <w:lang w:val="es-ES_tradnl" w:eastAsia="es-ES_tradnl"/>
              </w:rPr>
            </w:pPr>
          </w:p>
        </w:tc>
        <w:tc>
          <w:tcPr>
            <w:tcW w:w="6100" w:type="dxa"/>
          </w:tcPr>
          <w:p w:rsidRPr="00C00976" w:rsidR="00871B59" w:rsidP="002607A7" w:rsidRDefault="00871B59" w14:paraId="48F499EA" w14:textId="3C036F94">
            <w:pPr>
              <w:jc w:val="both"/>
              <w:rPr>
                <w:rFonts w:ascii="Verdana" w:hAnsi="Verdana" w:eastAsia="Calibri" w:cs="Arial"/>
                <w:b/>
                <w:bCs/>
                <w:color w:val="7030A0"/>
                <w:lang w:val="es-ES" w:eastAsia="es-ES"/>
              </w:rPr>
            </w:pPr>
            <w:r w:rsidRPr="00247BDE">
              <w:rPr>
                <w:rFonts w:ascii="Verdana" w:hAnsi="Verdana" w:eastAsia="Calibri" w:cs="Arial"/>
                <w:b/>
                <w:bCs/>
                <w:lang w:val="es-ES" w:eastAsia="es-ES"/>
              </w:rPr>
              <w:t xml:space="preserve">Concepto C- </w:t>
            </w:r>
            <w:r w:rsidR="000D2160">
              <w:rPr>
                <w:rFonts w:ascii="Verdana" w:hAnsi="Verdana" w:eastAsia="Calibri" w:cs="Arial"/>
                <w:b/>
                <w:bCs/>
                <w:lang w:val="es-ES" w:eastAsia="es-ES"/>
              </w:rPr>
              <w:t>308</w:t>
            </w:r>
            <w:r w:rsidRPr="005B0EF0">
              <w:rPr>
                <w:rFonts w:ascii="Verdana" w:hAnsi="Verdana" w:eastAsia="Calibri" w:cs="Arial"/>
                <w:b/>
                <w:bCs/>
                <w:lang w:val="es-ES" w:eastAsia="es-ES"/>
              </w:rPr>
              <w:t xml:space="preserve"> de 2024</w:t>
            </w:r>
          </w:p>
        </w:tc>
      </w:tr>
      <w:tr w:rsidRPr="00593A5F" w:rsidR="00871B59" w:rsidTr="002607A7" w14:paraId="0DD246A7" w14:textId="77777777">
        <w:trPr>
          <w:trHeight w:val="884"/>
        </w:trPr>
        <w:tc>
          <w:tcPr>
            <w:tcW w:w="2689" w:type="dxa"/>
          </w:tcPr>
          <w:p w:rsidRPr="00593A5F" w:rsidR="00871B59" w:rsidP="002607A7" w:rsidRDefault="00871B59" w14:paraId="1B4FC525"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100" w:type="dxa"/>
          </w:tcPr>
          <w:p w:rsidR="00DA1A27" w:rsidP="002607A7" w:rsidRDefault="00DA1A27" w14:paraId="7766B8C6" w14:textId="4CA4BE7F">
            <w:pPr>
              <w:spacing w:line="276" w:lineRule="auto"/>
              <w:jc w:val="both"/>
              <w:rPr>
                <w:rFonts w:ascii="Verdana" w:hAnsi="Verdana" w:eastAsia="Calibri" w:cs="Arial"/>
                <w:color w:val="000000" w:themeColor="text1"/>
                <w:lang w:val="es-MX" w:eastAsia="es-ES"/>
              </w:rPr>
            </w:pPr>
            <w:r w:rsidRPr="00AD2128">
              <w:rPr>
                <w:rFonts w:ascii="Verdana" w:hAnsi="Verdana" w:eastAsia="Calibri" w:cs="Arial"/>
                <w:color w:val="000000" w:themeColor="text1"/>
                <w:lang w:val="es-ES" w:eastAsia="es-ES"/>
              </w:rPr>
              <w:t>CONVOCATORIAS LIMITADAS A MIPYMES – Limitación Territorial – Carácter discrecional /</w:t>
            </w:r>
            <w:r>
              <w:rPr>
                <w:rFonts w:ascii="Verdana" w:hAnsi="Verdana" w:eastAsia="Calibri" w:cs="Arial"/>
                <w:color w:val="000000" w:themeColor="text1"/>
                <w:lang w:val="es-ES" w:eastAsia="es-ES"/>
              </w:rPr>
              <w:t xml:space="preserve"> </w:t>
            </w:r>
            <w:r w:rsidRPr="00AB07C0">
              <w:rPr>
                <w:rFonts w:ascii="Verdana" w:hAnsi="Verdana" w:eastAsia="Calibri" w:cs="Arial"/>
                <w:color w:val="000000" w:themeColor="text1"/>
                <w:lang w:val="es-MX" w:eastAsia="es-ES"/>
              </w:rPr>
              <w:t>REQUISITOS HABILITANTES – Concepto / EXPERIENCIA – Concepto</w:t>
            </w:r>
          </w:p>
          <w:p w:rsidRPr="00593A5F" w:rsidR="00BE4B85" w:rsidP="002607A7" w:rsidRDefault="00DA1A27" w14:paraId="7ADD1096" w14:textId="7D606DF1">
            <w:pPr>
              <w:spacing w:line="276" w:lineRule="auto"/>
              <w:jc w:val="both"/>
              <w:rPr>
                <w:rFonts w:ascii="Verdana" w:hAnsi="Verdana" w:eastAsia="Calibri" w:cs="Arial"/>
                <w:lang w:val="es-ES" w:eastAsia="es-ES"/>
              </w:rPr>
            </w:pPr>
            <w:r w:rsidRPr="00AB07C0">
              <w:rPr>
                <w:rFonts w:ascii="Verdana" w:hAnsi="Verdana" w:eastAsia="Calibri" w:cs="Arial"/>
                <w:b/>
                <w:bCs/>
                <w:color w:val="000000" w:themeColor="text1"/>
                <w:lang w:eastAsia="es-ES"/>
              </w:rPr>
              <w:t xml:space="preserve"> </w:t>
            </w:r>
          </w:p>
        </w:tc>
      </w:tr>
      <w:tr w:rsidRPr="00593A5F" w:rsidR="00871B59" w:rsidTr="002607A7" w14:paraId="0A874006" w14:textId="77777777">
        <w:tc>
          <w:tcPr>
            <w:tcW w:w="2689" w:type="dxa"/>
          </w:tcPr>
          <w:p w:rsidRPr="006730E9" w:rsidR="00871B59" w:rsidP="002607A7" w:rsidRDefault="00871B59" w14:paraId="56ED2765"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100" w:type="dxa"/>
          </w:tcPr>
          <w:p w:rsidRPr="006730E9" w:rsidR="00871B59" w:rsidP="002607A7" w:rsidRDefault="00871B59" w14:paraId="630D2668" w14:textId="6467FC90">
            <w:pPr>
              <w:jc w:val="both"/>
              <w:rPr>
                <w:rFonts w:ascii="Verdana" w:hAnsi="Verdana" w:eastAsia="Calibri" w:cs="Arial"/>
                <w:lang w:val="es-ES_tradnl" w:eastAsia="es-ES_tradnl"/>
              </w:rPr>
            </w:pPr>
            <w:r w:rsidRPr="006730E9">
              <w:rPr>
                <w:rFonts w:ascii="Verdana" w:hAnsi="Verdana" w:eastAsia="Calibri" w:cs="Arial"/>
                <w:lang w:val="es-ES_tradnl" w:eastAsia="es-ES_tradnl"/>
              </w:rPr>
              <w:t xml:space="preserve">Respuesta a consulta con radicado No. </w:t>
            </w:r>
            <w:r w:rsidRPr="000F7D8E" w:rsidR="000F7D8E">
              <w:rPr>
                <w:rFonts w:ascii="Verdana" w:hAnsi="Verdana" w:eastAsia="Calibri" w:cs="Arial"/>
                <w:lang w:val="es-ES_tradnl" w:eastAsia="es-ES_tradnl"/>
              </w:rPr>
              <w:t>P20240709006965</w:t>
            </w:r>
          </w:p>
        </w:tc>
      </w:tr>
    </w:tbl>
    <w:p w:rsidRPr="00593A5F" w:rsidR="00871B59" w:rsidP="00871B59" w:rsidRDefault="00871B59" w14:paraId="01AFCA4D" w14:textId="77777777">
      <w:pPr>
        <w:spacing w:after="0" w:line="240" w:lineRule="auto"/>
        <w:jc w:val="both"/>
        <w:rPr>
          <w:rFonts w:ascii="Verdana" w:hAnsi="Verdana" w:eastAsia="Calibri" w:cs="Arial"/>
          <w:color w:val="000000"/>
          <w:lang w:val="es-ES_tradnl" w:eastAsia="es-ES_tradnl"/>
        </w:rPr>
      </w:pPr>
    </w:p>
    <w:p w:rsidRPr="00593A5F" w:rsidR="00871B59" w:rsidP="00871B59" w:rsidRDefault="00871B59" w14:paraId="4FF08E37" w14:textId="77777777">
      <w:pPr>
        <w:spacing w:after="0" w:line="240" w:lineRule="auto"/>
        <w:jc w:val="both"/>
        <w:rPr>
          <w:rFonts w:ascii="Verdana" w:hAnsi="Verdana" w:eastAsia="Calibri" w:cs="Arial"/>
          <w:color w:val="000000"/>
          <w:lang w:val="es-ES_tradnl" w:eastAsia="es-ES_tradnl"/>
        </w:rPr>
      </w:pPr>
    </w:p>
    <w:p w:rsidRPr="006730E9" w:rsidR="00871B59" w:rsidP="00871B59" w:rsidRDefault="00871B59" w14:paraId="5A8CAE32" w14:textId="299750D9">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Estimad</w:t>
      </w:r>
      <w:r w:rsidR="00326382">
        <w:rPr>
          <w:rFonts w:ascii="Verdana" w:hAnsi="Verdana" w:eastAsia="Calibri" w:cs="Arial"/>
          <w:lang w:val="es-ES" w:eastAsia="es-ES"/>
        </w:rPr>
        <w:t xml:space="preserve">o </w:t>
      </w:r>
      <w:r w:rsidRPr="006730E9">
        <w:rPr>
          <w:rFonts w:ascii="Verdana" w:hAnsi="Verdana" w:eastAsia="Calibri" w:cs="Arial"/>
          <w:lang w:val="es-ES" w:eastAsia="es-ES"/>
        </w:rPr>
        <w:t xml:space="preserve">señor </w:t>
      </w:r>
      <w:r w:rsidR="00326382">
        <w:rPr>
          <w:rFonts w:ascii="Verdana" w:hAnsi="Verdana" w:eastAsia="Calibri" w:cs="Arial"/>
          <w:lang w:val="es-ES" w:eastAsia="es-ES"/>
        </w:rPr>
        <w:t>Portilla</w:t>
      </w:r>
      <w:r w:rsidRPr="006730E9">
        <w:rPr>
          <w:rFonts w:ascii="Verdana" w:hAnsi="Verdana" w:eastAsia="Calibri" w:cs="Arial"/>
          <w:lang w:val="es-ES" w:eastAsia="es-ES"/>
        </w:rPr>
        <w:t xml:space="preserve">: </w:t>
      </w:r>
    </w:p>
    <w:p w:rsidR="00871B59" w:rsidP="00871B59" w:rsidRDefault="00871B59" w14:paraId="62039951"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6730E9" w:rsidR="00871B59" w:rsidP="00871B59" w:rsidRDefault="00871B59" w14:paraId="3F1D9A82" w14:textId="42EA1794">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En ejercicio de la competencia otorgada por los artículos 3, numeral 5º, y 11, numeral 8º, del Decreto Ley 4170 de 2011,</w:t>
      </w:r>
      <w:r w:rsidRPr="006730E9">
        <w:rPr>
          <w:rFonts w:ascii="Verdana" w:hAnsi="Verdana" w:eastAsia="Arial MT"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hAnsi="Verdana" w:eastAsia="Calibri" w:cs="Arial"/>
          <w:lang w:val="es-ES" w:eastAsia="es-ES"/>
        </w:rPr>
        <w:t xml:space="preserve">la Agencia Nacional de Contratación Pública – Colombia Compra Eficiente– responde su solicitud de consulta de fecha </w:t>
      </w:r>
      <w:r w:rsidR="00326382">
        <w:rPr>
          <w:rFonts w:ascii="Verdana" w:hAnsi="Verdana" w:eastAsia="Calibri" w:cs="Arial"/>
          <w:lang w:val="es-ES" w:eastAsia="es-ES"/>
        </w:rPr>
        <w:t xml:space="preserve">09 </w:t>
      </w:r>
      <w:r w:rsidRPr="006730E9">
        <w:rPr>
          <w:rFonts w:ascii="Verdana" w:hAnsi="Verdana" w:eastAsia="Calibri" w:cs="Arial"/>
          <w:lang w:val="es-ES" w:eastAsia="es-ES"/>
        </w:rPr>
        <w:t xml:space="preserve">de </w:t>
      </w:r>
      <w:r w:rsidRPr="006730E9" w:rsidR="006730E9">
        <w:rPr>
          <w:rFonts w:ascii="Verdana" w:hAnsi="Verdana" w:eastAsia="Calibri" w:cs="Arial"/>
          <w:lang w:val="es-ES" w:eastAsia="es-ES"/>
        </w:rPr>
        <w:t>ju</w:t>
      </w:r>
      <w:r w:rsidR="00326382">
        <w:rPr>
          <w:rFonts w:ascii="Verdana" w:hAnsi="Verdana" w:eastAsia="Calibri" w:cs="Arial"/>
          <w:lang w:val="es-ES" w:eastAsia="es-ES"/>
        </w:rPr>
        <w:t>l</w:t>
      </w:r>
      <w:r w:rsidRPr="006730E9" w:rsidR="006730E9">
        <w:rPr>
          <w:rFonts w:ascii="Verdana" w:hAnsi="Verdana" w:eastAsia="Calibri" w:cs="Arial"/>
          <w:lang w:val="es-ES" w:eastAsia="es-ES"/>
        </w:rPr>
        <w:t>io</w:t>
      </w:r>
      <w:r w:rsidRPr="006730E9">
        <w:rPr>
          <w:rFonts w:ascii="Verdana" w:hAnsi="Verdana" w:eastAsia="Calibri" w:cs="Arial"/>
          <w:lang w:val="es-ES" w:eastAsia="es-ES"/>
        </w:rPr>
        <w:t xml:space="preserve"> de 20</w:t>
      </w:r>
      <w:r w:rsidRPr="006730E9" w:rsidR="006730E9">
        <w:rPr>
          <w:rFonts w:ascii="Verdana" w:hAnsi="Verdana" w:eastAsia="Calibri" w:cs="Arial"/>
          <w:lang w:val="es-ES" w:eastAsia="es-ES"/>
        </w:rPr>
        <w:t>24</w:t>
      </w:r>
      <w:r w:rsidRPr="006730E9">
        <w:rPr>
          <w:rFonts w:ascii="Verdana" w:hAnsi="Verdana" w:eastAsia="Calibri" w:cs="Arial"/>
          <w:lang w:val="es-ES" w:eastAsia="es-ES"/>
        </w:rPr>
        <w:t xml:space="preserve">, en la cual manifiesta lo siguiente: </w:t>
      </w:r>
    </w:p>
    <w:p w:rsidRPr="00326382" w:rsidR="00326382" w:rsidP="00326382" w:rsidRDefault="00326382" w14:paraId="2715E3F1" w14:textId="28F481FF">
      <w:pPr>
        <w:spacing w:after="0" w:line="240" w:lineRule="auto"/>
        <w:ind w:left="709" w:right="709"/>
        <w:jc w:val="both"/>
        <w:rPr>
          <w:rFonts w:ascii="Verdana" w:hAnsi="Verdana" w:cs="Arial"/>
          <w:sz w:val="20"/>
          <w:szCs w:val="20"/>
          <w:shd w:val="clear" w:color="auto" w:fill="FFFFFF"/>
        </w:rPr>
      </w:pPr>
      <w:bookmarkStart w:name="_Hlk95313578" w:id="0"/>
    </w:p>
    <w:p w:rsidRPr="00326382" w:rsidR="00326382" w:rsidP="00326382" w:rsidRDefault="00326382" w14:paraId="0DD66181" w14:textId="4DAAB527">
      <w:pPr>
        <w:spacing w:after="0" w:line="240" w:lineRule="auto"/>
        <w:ind w:left="709" w:right="709"/>
        <w:jc w:val="both"/>
        <w:rPr>
          <w:rFonts w:ascii="Verdana" w:hAnsi="Verdana" w:cs="Arial"/>
          <w:i/>
          <w:iCs/>
          <w:sz w:val="20"/>
          <w:szCs w:val="20"/>
          <w:shd w:val="clear" w:color="auto" w:fill="FFFFFF"/>
        </w:rPr>
      </w:pPr>
      <w:r w:rsidRPr="00326382">
        <w:rPr>
          <w:rFonts w:ascii="Verdana" w:hAnsi="Verdana" w:cs="Arial"/>
          <w:i/>
          <w:iCs/>
          <w:sz w:val="20"/>
          <w:szCs w:val="20"/>
          <w:shd w:val="clear" w:color="auto" w:fill="FFFFFF"/>
        </w:rPr>
        <w:t xml:space="preserve">“me permito solicitar de manera formal un concepto de su entidad respecto a la verificación de los contratos presentados por los proponentes en los procesos de contratación pública, particularmente en aquellos de </w:t>
      </w:r>
      <w:r w:rsidRPr="00326382">
        <w:rPr>
          <w:rFonts w:ascii="Verdana" w:hAnsi="Verdana" w:cs="Arial"/>
          <w:i/>
          <w:iCs/>
          <w:sz w:val="20"/>
          <w:szCs w:val="20"/>
          <w:shd w:val="clear" w:color="auto" w:fill="FFFFFF"/>
        </w:rPr>
        <w:lastRenderedPageBreak/>
        <w:t xml:space="preserve">mínima cuantía. Esta solicitud se fundamenta en la necesidad de garantizar la transparencia y legalidad en dichos procesos, ya que en diversas ocasiones se ha evidenciado que algunos proponentes presentan contratos ficticios con otras empresas para cumplir con los requisitos y poder participar en los concursos. En este contexto, solicito su orientación sobre los siguientes puntos: </w:t>
      </w:r>
    </w:p>
    <w:p w:rsidRPr="00326382" w:rsidR="00326382" w:rsidP="00326382" w:rsidRDefault="00326382" w14:paraId="03E3D0A7" w14:textId="77777777">
      <w:pPr>
        <w:spacing w:after="0" w:line="240" w:lineRule="auto"/>
        <w:ind w:left="709" w:right="709"/>
        <w:jc w:val="both"/>
        <w:rPr>
          <w:rFonts w:ascii="Verdana" w:hAnsi="Verdana" w:cs="Arial"/>
          <w:i/>
          <w:iCs/>
          <w:sz w:val="20"/>
          <w:szCs w:val="20"/>
          <w:shd w:val="clear" w:color="auto" w:fill="FFFFFF"/>
        </w:rPr>
      </w:pPr>
    </w:p>
    <w:p w:rsidRPr="00326382" w:rsidR="00326382" w:rsidP="00326382" w:rsidRDefault="00326382" w14:paraId="74675A3E" w14:textId="77777777">
      <w:pPr>
        <w:numPr>
          <w:ilvl w:val="0"/>
          <w:numId w:val="10"/>
        </w:numPr>
        <w:spacing w:after="0" w:line="240" w:lineRule="auto"/>
        <w:ind w:left="1418" w:right="709" w:hanging="283"/>
        <w:jc w:val="both"/>
        <w:rPr>
          <w:rFonts w:ascii="Verdana" w:hAnsi="Verdana" w:cs="Arial"/>
          <w:i/>
          <w:iCs/>
          <w:sz w:val="20"/>
          <w:szCs w:val="20"/>
          <w:shd w:val="clear" w:color="auto" w:fill="FFFFFF"/>
        </w:rPr>
      </w:pPr>
      <w:r w:rsidRPr="00326382">
        <w:rPr>
          <w:rFonts w:ascii="Verdana" w:hAnsi="Verdana" w:cs="Arial"/>
          <w:b/>
          <w:bCs/>
          <w:i/>
          <w:iCs/>
          <w:sz w:val="20"/>
          <w:szCs w:val="20"/>
          <w:shd w:val="clear" w:color="auto" w:fill="FFFFFF"/>
        </w:rPr>
        <w:t xml:space="preserve">Validación de Contratos: </w:t>
      </w:r>
      <w:r w:rsidRPr="00326382">
        <w:rPr>
          <w:rFonts w:ascii="Verdana" w:hAnsi="Verdana" w:cs="Arial"/>
          <w:i/>
          <w:iCs/>
          <w:sz w:val="20"/>
          <w:szCs w:val="20"/>
          <w:shd w:val="clear" w:color="auto" w:fill="FFFFFF"/>
        </w:rPr>
        <w:t xml:space="preserve">Procedimiento y mecanismos que se deben implementar para verificar la autenticidad de los contratos presentados por los proponentes. </w:t>
      </w:r>
    </w:p>
    <w:p w:rsidRPr="00326382" w:rsidR="00326382" w:rsidP="00326382" w:rsidRDefault="00326382" w14:paraId="3BFDE832" w14:textId="77777777">
      <w:pPr>
        <w:numPr>
          <w:ilvl w:val="0"/>
          <w:numId w:val="10"/>
        </w:numPr>
        <w:spacing w:after="0" w:line="240" w:lineRule="auto"/>
        <w:ind w:left="1418" w:right="709" w:hanging="283"/>
        <w:jc w:val="both"/>
        <w:rPr>
          <w:rFonts w:ascii="Verdana" w:hAnsi="Verdana" w:cs="Arial"/>
          <w:i/>
          <w:iCs/>
          <w:sz w:val="20"/>
          <w:szCs w:val="20"/>
          <w:shd w:val="clear" w:color="auto" w:fill="FFFFFF"/>
        </w:rPr>
      </w:pPr>
      <w:r w:rsidRPr="00326382">
        <w:rPr>
          <w:rFonts w:ascii="Verdana" w:hAnsi="Verdana" w:cs="Arial"/>
          <w:b/>
          <w:bCs/>
          <w:i/>
          <w:iCs/>
          <w:sz w:val="20"/>
          <w:szCs w:val="20"/>
          <w:shd w:val="clear" w:color="auto" w:fill="FFFFFF"/>
        </w:rPr>
        <w:t xml:space="preserve">Documentación Adicional: </w:t>
      </w:r>
      <w:r w:rsidRPr="00326382">
        <w:rPr>
          <w:rFonts w:ascii="Verdana" w:hAnsi="Verdana" w:cs="Arial"/>
          <w:i/>
          <w:iCs/>
          <w:sz w:val="20"/>
          <w:szCs w:val="20"/>
          <w:shd w:val="clear" w:color="auto" w:fill="FFFFFF"/>
        </w:rPr>
        <w:t xml:space="preserve">Identificación de los documentos adicionales que se pueden requerir a los proponentes para corroborar la veracidad de los contratos suministrados. </w:t>
      </w:r>
    </w:p>
    <w:p w:rsidRPr="00326382" w:rsidR="00326382" w:rsidP="00326382" w:rsidRDefault="00326382" w14:paraId="16C1A0C1" w14:textId="77777777">
      <w:pPr>
        <w:numPr>
          <w:ilvl w:val="0"/>
          <w:numId w:val="10"/>
        </w:numPr>
        <w:spacing w:after="0" w:line="240" w:lineRule="auto"/>
        <w:ind w:left="1418" w:right="709" w:hanging="283"/>
        <w:jc w:val="both"/>
        <w:rPr>
          <w:rFonts w:ascii="Verdana" w:hAnsi="Verdana" w:cs="Arial"/>
          <w:i/>
          <w:iCs/>
          <w:sz w:val="20"/>
          <w:szCs w:val="20"/>
          <w:shd w:val="clear" w:color="auto" w:fill="FFFFFF"/>
        </w:rPr>
      </w:pPr>
      <w:r w:rsidRPr="00326382">
        <w:rPr>
          <w:rFonts w:ascii="Verdana" w:hAnsi="Verdana" w:cs="Arial"/>
          <w:b/>
          <w:bCs/>
          <w:i/>
          <w:iCs/>
          <w:sz w:val="20"/>
          <w:szCs w:val="20"/>
          <w:shd w:val="clear" w:color="auto" w:fill="FFFFFF"/>
        </w:rPr>
        <w:t xml:space="preserve">Sanciones y Medidas Correctivas: </w:t>
      </w:r>
      <w:r w:rsidRPr="00326382">
        <w:rPr>
          <w:rFonts w:ascii="Verdana" w:hAnsi="Verdana" w:cs="Arial"/>
          <w:i/>
          <w:iCs/>
          <w:sz w:val="20"/>
          <w:szCs w:val="20"/>
          <w:shd w:val="clear" w:color="auto" w:fill="FFFFFF"/>
        </w:rPr>
        <w:t xml:space="preserve">Lineamientos sobre las sanciones aplicables y las medidas correctivas a seguir en caso de detectar contratos ficticios o fraudulentos. </w:t>
      </w:r>
    </w:p>
    <w:p w:rsidRPr="00326382" w:rsidR="00326382" w:rsidP="00326382" w:rsidRDefault="00326382" w14:paraId="1D40D6BF" w14:textId="77777777">
      <w:pPr>
        <w:spacing w:after="0" w:line="240" w:lineRule="auto"/>
        <w:ind w:left="709" w:right="709"/>
        <w:jc w:val="both"/>
        <w:rPr>
          <w:rFonts w:ascii="Verdana" w:hAnsi="Verdana" w:cs="Arial"/>
          <w:i/>
          <w:iCs/>
          <w:sz w:val="20"/>
          <w:szCs w:val="20"/>
          <w:shd w:val="clear" w:color="auto" w:fill="FFFFFF"/>
        </w:rPr>
      </w:pPr>
    </w:p>
    <w:p w:rsidRPr="00326382" w:rsidR="00326382" w:rsidP="00326382" w:rsidRDefault="00326382" w14:paraId="5B7B0D90" w14:textId="77777777">
      <w:pPr>
        <w:spacing w:after="0" w:line="240" w:lineRule="auto"/>
        <w:ind w:left="709" w:right="709"/>
        <w:jc w:val="both"/>
        <w:rPr>
          <w:rFonts w:ascii="Verdana" w:hAnsi="Verdana" w:cs="Arial"/>
          <w:i/>
          <w:iCs/>
          <w:sz w:val="20"/>
          <w:szCs w:val="20"/>
          <w:shd w:val="clear" w:color="auto" w:fill="FFFFFF"/>
        </w:rPr>
      </w:pPr>
      <w:r w:rsidRPr="00326382">
        <w:rPr>
          <w:rFonts w:ascii="Verdana" w:hAnsi="Verdana" w:cs="Arial"/>
          <w:i/>
          <w:iCs/>
          <w:sz w:val="20"/>
          <w:szCs w:val="20"/>
          <w:shd w:val="clear" w:color="auto" w:fill="FFFFFF"/>
        </w:rPr>
        <w:t xml:space="preserve">Ahora bien, quisiera plantear la siguiente consulta: ¿qué procede cuando en un proceso de contratación se presentan múltiples limitaciones solicitadas por MIPYMES a nivel municipal, departamental y nacional, en las cuales todas exigen restricciones de participación basadas en su región? </w:t>
      </w:r>
    </w:p>
    <w:p w:rsidRPr="00326382" w:rsidR="00326382" w:rsidP="00326382" w:rsidRDefault="00326382" w14:paraId="00135C25" w14:textId="77777777">
      <w:pPr>
        <w:spacing w:after="0" w:line="240" w:lineRule="auto"/>
        <w:ind w:left="709" w:right="709"/>
        <w:jc w:val="both"/>
        <w:rPr>
          <w:rFonts w:ascii="Verdana" w:hAnsi="Verdana" w:cs="Arial"/>
          <w:i/>
          <w:iCs/>
          <w:sz w:val="20"/>
          <w:szCs w:val="20"/>
          <w:shd w:val="clear" w:color="auto" w:fill="FFFFFF"/>
        </w:rPr>
      </w:pPr>
    </w:p>
    <w:p w:rsidRPr="00326382" w:rsidR="00871B59" w:rsidP="00326382" w:rsidRDefault="00326382" w14:paraId="1006183E" w14:textId="1AC445A6">
      <w:pPr>
        <w:spacing w:after="0" w:line="240" w:lineRule="auto"/>
        <w:ind w:left="709" w:right="709"/>
        <w:jc w:val="both"/>
        <w:rPr>
          <w:rFonts w:ascii="Verdana" w:hAnsi="Verdana" w:eastAsia="Century Gothic" w:cs="Century Gothic"/>
          <w:i/>
          <w:iCs/>
          <w:sz w:val="20"/>
          <w:szCs w:val="20"/>
          <w:lang w:val="es-ES"/>
        </w:rPr>
      </w:pPr>
      <w:r w:rsidRPr="00326382">
        <w:rPr>
          <w:rFonts w:ascii="Verdana" w:hAnsi="Verdana" w:cs="Arial"/>
          <w:i/>
          <w:iCs/>
          <w:sz w:val="20"/>
          <w:szCs w:val="20"/>
          <w:shd w:val="clear" w:color="auto" w:fill="FFFFFF"/>
        </w:rPr>
        <w:t xml:space="preserve">Me gustaría conocer qué criterio se emplea para establecer dichas limitaciones en el proceso de contratación. Específicamente, me interesa saber si se utiliza un concepto como la cantidad de MIPYMES o si la decisión queda a discreción de la entidad contratante. </w:t>
      </w:r>
      <w:r w:rsidRPr="00326382" w:rsidR="00871B59">
        <w:rPr>
          <w:rStyle w:val="normaltextrun"/>
          <w:rFonts w:ascii="Verdana" w:hAnsi="Verdana" w:cs="Arial"/>
          <w:i/>
          <w:iCs/>
          <w:sz w:val="20"/>
          <w:szCs w:val="20"/>
          <w:shd w:val="clear" w:color="auto" w:fill="FFFFFF"/>
          <w:lang w:val="es-ES"/>
        </w:rPr>
        <w:t>[…]</w:t>
      </w:r>
      <w:r w:rsidRPr="00326382" w:rsidR="00871B59">
        <w:rPr>
          <w:rFonts w:ascii="Verdana" w:hAnsi="Verdana" w:eastAsia="Century Gothic" w:cs="Century Gothic"/>
          <w:i/>
          <w:iCs/>
          <w:sz w:val="20"/>
          <w:szCs w:val="20"/>
          <w:lang w:val="es-ES"/>
        </w:rPr>
        <w:t>”</w:t>
      </w:r>
      <w:bookmarkEnd w:id="0"/>
      <w:r w:rsidRPr="00326382" w:rsidR="00871B59">
        <w:rPr>
          <w:rFonts w:ascii="Verdana" w:hAnsi="Verdana" w:eastAsia="Century Gothic" w:cs="Century Gothic"/>
          <w:i/>
          <w:iCs/>
          <w:sz w:val="20"/>
          <w:szCs w:val="20"/>
          <w:lang w:val="es-ES"/>
        </w:rPr>
        <w:t>.</w:t>
      </w:r>
    </w:p>
    <w:p w:rsidRPr="006730E9" w:rsidR="00871B59" w:rsidP="00871B59" w:rsidRDefault="00871B59" w14:paraId="54DCAD4E" w14:textId="77777777">
      <w:pPr>
        <w:pStyle w:val="Prrafodelista"/>
        <w:tabs>
          <w:tab w:val="left" w:pos="142"/>
          <w:tab w:val="left" w:pos="284"/>
        </w:tabs>
        <w:spacing w:line="276" w:lineRule="auto"/>
        <w:ind w:left="0"/>
        <w:jc w:val="both"/>
        <w:rPr>
          <w:rFonts w:ascii="Verdana" w:hAnsi="Verdana" w:eastAsia="Century Gothic" w:cs="Century Gothic"/>
          <w:b/>
          <w:bCs/>
          <w:lang w:val="es-ES"/>
        </w:rPr>
      </w:pPr>
    </w:p>
    <w:p w:rsidR="00871B59" w:rsidP="00871B59" w:rsidRDefault="00871B59" w14:paraId="30F17EAD" w14:textId="77777777">
      <w:pPr>
        <w:spacing w:after="120" w:line="276" w:lineRule="auto"/>
        <w:ind w:firstLine="709"/>
        <w:jc w:val="both"/>
        <w:rPr>
          <w:rFonts w:ascii="Verdana" w:hAnsi="Verdana" w:eastAsia="Calibri" w:cs="Arial"/>
          <w:color w:val="000000"/>
          <w:szCs w:val="24"/>
          <w:lang w:val="es-ES_tradnl" w:eastAsia="es-ES_tradnl"/>
        </w:rPr>
      </w:pPr>
      <w:r w:rsidRPr="00593A5F">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593A5F">
        <w:rPr>
          <w:rFonts w:ascii="Verdana" w:hAnsi="Verdana" w:eastAsia="Calibri" w:cs="Arial"/>
          <w:color w:val="000000"/>
          <w:lang w:val="es-ES" w:eastAsia="es-ES"/>
        </w:rPr>
        <w:lastRenderedPageBreak/>
        <w:t xml:space="preserve">interpretación de normas generales, por definición, no puede extenderse a la resolución de controversias, ni a brindar asesorías sobre casos puntuales. </w:t>
      </w:r>
      <w:r w:rsidRPr="00593A5F">
        <w:rPr>
          <w:rFonts w:ascii="Verdana" w:hAnsi="Verdana" w:eastAsia="Calibri" w:cs="Arial"/>
          <w:color w:val="000000"/>
          <w:szCs w:val="24"/>
          <w:lang w:val="es-ES_tradnl" w:eastAsia="es-ES_tradnl"/>
        </w:rPr>
        <w:tab/>
      </w:r>
    </w:p>
    <w:p w:rsidR="00871B59" w:rsidP="00871B59" w:rsidRDefault="00871B59" w14:paraId="3B95778F" w14:textId="0C90C4D9">
      <w:pPr>
        <w:spacing w:after="0" w:line="276" w:lineRule="auto"/>
        <w:ind w:firstLine="709"/>
        <w:jc w:val="both"/>
        <w:rPr>
          <w:rFonts w:ascii="Verdana" w:hAnsi="Verdana" w:eastAsia="Calibri" w:cs="Arial"/>
          <w:color w:val="000000"/>
          <w:lang w:val="es-ES" w:eastAsia="es-ES"/>
        </w:rPr>
      </w:pPr>
      <w:r w:rsidRPr="00593A5F">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hAnsi="Verdana" w:eastAsia="Calibri" w:cs="Arial"/>
          <w:color w:val="000000"/>
          <w:lang w:val="es-ES" w:eastAsia="es-ES"/>
        </w:rPr>
        <w:t>s circunstancias</w:t>
      </w:r>
      <w:r w:rsidRPr="00593A5F">
        <w:rPr>
          <w:rFonts w:ascii="Verdana" w:hAnsi="Verdana" w:eastAsia="Calibri" w:cs="Arial"/>
          <w:color w:val="000000"/>
          <w:lang w:val="es-ES" w:eastAsia="es-ES"/>
        </w:rPr>
        <w:t xml:space="preserve"> particular</w:t>
      </w:r>
      <w:r>
        <w:rPr>
          <w:rFonts w:ascii="Verdana" w:hAnsi="Verdana" w:eastAsia="Calibri" w:cs="Arial"/>
          <w:color w:val="000000"/>
          <w:lang w:val="es-ES" w:eastAsia="es-ES"/>
        </w:rPr>
        <w:t>es</w:t>
      </w:r>
      <w:r w:rsidRPr="00593A5F">
        <w:rPr>
          <w:rFonts w:ascii="Verdana" w:hAnsi="Verdana" w:eastAsia="Calibri" w:cs="Arial"/>
          <w:color w:val="000000"/>
          <w:lang w:val="es-ES" w:eastAsia="es-ES"/>
        </w:rPr>
        <w:t xml:space="preserve"> y concreta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mencionada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en su petición, pero haciendo unas consideraciones sobre las normas generales relacionadas con </w:t>
      </w:r>
      <w:r w:rsidR="008F4FD8">
        <w:rPr>
          <w:rFonts w:ascii="Verdana" w:hAnsi="Verdana" w:eastAsia="Calibri" w:cs="Arial"/>
          <w:color w:val="000000"/>
          <w:lang w:val="es-ES" w:eastAsia="es-ES"/>
        </w:rPr>
        <w:t>los</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problema</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jurídico</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de su</w:t>
      </w:r>
      <w:r w:rsidRPr="00593A5F">
        <w:rPr>
          <w:rFonts w:ascii="Verdana" w:hAnsi="Verdana" w:eastAsia="Calibri" w:cs="Arial"/>
          <w:color w:val="000000"/>
          <w:lang w:val="es-ES" w:eastAsia="es-ES"/>
        </w:rPr>
        <w:t xml:space="preserve"> consulta. </w:t>
      </w:r>
    </w:p>
    <w:p w:rsidRPr="00593A5F" w:rsidR="00871B59" w:rsidP="00871B59" w:rsidRDefault="00871B59" w14:paraId="70187214" w14:textId="77777777">
      <w:pPr>
        <w:spacing w:after="0" w:line="276" w:lineRule="auto"/>
        <w:ind w:firstLine="709"/>
        <w:jc w:val="both"/>
        <w:rPr>
          <w:rFonts w:ascii="Verdana" w:hAnsi="Verdana" w:eastAsia="Calibri" w:cs="Arial"/>
          <w:color w:val="000000"/>
          <w:lang w:val="es-ES" w:eastAsia="es-ES"/>
        </w:rPr>
      </w:pPr>
    </w:p>
    <w:p w:rsidRPr="00593A5F" w:rsidR="00871B59" w:rsidP="00871B59" w:rsidRDefault="00871B59" w14:paraId="74DD4DE4" w14:textId="77777777">
      <w:pPr>
        <w:pStyle w:val="Prrafodelista"/>
        <w:numPr>
          <w:ilvl w:val="0"/>
          <w:numId w:val="4"/>
        </w:numPr>
        <w:tabs>
          <w:tab w:val="left" w:pos="142"/>
          <w:tab w:val="left" w:pos="284"/>
        </w:tabs>
        <w:spacing w:after="0" w:line="276" w:lineRule="auto"/>
        <w:ind w:left="0" w:firstLine="0"/>
        <w:jc w:val="both"/>
        <w:rPr>
          <w:rFonts w:ascii="Verdana" w:hAnsi="Verdana" w:eastAsia="Century Gothic" w:cs="Century Gothic"/>
          <w:b/>
          <w:bCs/>
          <w:lang w:val="es-ES"/>
        </w:rPr>
      </w:pPr>
      <w:r w:rsidRPr="00593A5F">
        <w:rPr>
          <w:rFonts w:ascii="Verdana" w:hAnsi="Verdana" w:eastAsia="Century Gothic" w:cs="Century Gothic"/>
          <w:b/>
          <w:bCs/>
          <w:lang w:val="es-ES"/>
        </w:rPr>
        <w:t>Problema planteado:</w:t>
      </w:r>
    </w:p>
    <w:p w:rsidRPr="00593A5F" w:rsidR="00871B59" w:rsidP="00871B59" w:rsidRDefault="00871B59" w14:paraId="690221EE" w14:textId="77777777">
      <w:pPr>
        <w:tabs>
          <w:tab w:val="left" w:pos="426"/>
        </w:tabs>
        <w:spacing w:after="0" w:line="276" w:lineRule="auto"/>
        <w:jc w:val="both"/>
        <w:rPr>
          <w:rFonts w:ascii="Verdana" w:hAnsi="Verdana" w:eastAsia="Century Gothic" w:cs="Century Gothic"/>
          <w:lang w:val="es-ES"/>
        </w:rPr>
      </w:pPr>
    </w:p>
    <w:p w:rsidR="00326382" w:rsidP="00871B59" w:rsidRDefault="00871B59" w14:paraId="513EF98F" w14:textId="77777777">
      <w:pPr>
        <w:spacing w:after="0" w:line="276" w:lineRule="auto"/>
        <w:jc w:val="both"/>
        <w:rPr>
          <w:rFonts w:ascii="Verdana" w:hAnsi="Verdana" w:eastAsia="Century Gothic" w:cs="Century Gothic"/>
        </w:rPr>
      </w:pPr>
      <w:r>
        <w:rPr>
          <w:rFonts w:ascii="Verdana" w:hAnsi="Verdana" w:eastAsia="Century Gothic" w:cs="Century Gothic"/>
        </w:rPr>
        <w:t xml:space="preserve">De acuerdo con el contenido de </w:t>
      </w:r>
      <w:r w:rsidRPr="00593A5F">
        <w:rPr>
          <w:rFonts w:ascii="Verdana" w:hAnsi="Verdana" w:eastAsia="Century Gothic" w:cs="Century Gothic"/>
        </w:rPr>
        <w:t xml:space="preserve">su solicitud, esta Agencia resolverá </w:t>
      </w:r>
      <w:r w:rsidRPr="00593A5F" w:rsidR="009D35D4">
        <w:rPr>
          <w:rFonts w:ascii="Verdana" w:hAnsi="Verdana" w:eastAsia="Century Gothic" w:cs="Century Gothic"/>
        </w:rPr>
        <w:t>los</w:t>
      </w:r>
      <w:r w:rsidRPr="00593A5F">
        <w:rPr>
          <w:rFonts w:ascii="Verdana" w:hAnsi="Verdana" w:eastAsia="Century Gothic" w:cs="Century Gothic"/>
        </w:rPr>
        <w:t xml:space="preserve"> siguiente</w:t>
      </w:r>
      <w:r w:rsidR="009D35D4">
        <w:rPr>
          <w:rFonts w:ascii="Verdana" w:hAnsi="Verdana" w:eastAsia="Century Gothic" w:cs="Century Gothic"/>
        </w:rPr>
        <w:t xml:space="preserve">s </w:t>
      </w:r>
      <w:r w:rsidRPr="00593A5F" w:rsidR="009D35D4">
        <w:rPr>
          <w:rFonts w:ascii="Verdana" w:hAnsi="Verdana" w:eastAsia="Century Gothic" w:cs="Century Gothic"/>
        </w:rPr>
        <w:t>problemas jurídicos</w:t>
      </w:r>
      <w:r w:rsidRPr="00593A5F">
        <w:rPr>
          <w:rFonts w:ascii="Verdana" w:hAnsi="Verdana" w:eastAsia="Century Gothic" w:cs="Century Gothic"/>
        </w:rPr>
        <w:t xml:space="preserve">: </w:t>
      </w:r>
    </w:p>
    <w:p w:rsidR="00326382" w:rsidP="00871B59" w:rsidRDefault="00326382" w14:paraId="1AF11442" w14:textId="77777777">
      <w:pPr>
        <w:spacing w:after="0" w:line="276" w:lineRule="auto"/>
        <w:jc w:val="both"/>
        <w:rPr>
          <w:rFonts w:ascii="Verdana" w:hAnsi="Verdana" w:eastAsia="Century Gothic" w:cs="Century Gothic"/>
        </w:rPr>
      </w:pPr>
    </w:p>
    <w:p w:rsidR="00871B59" w:rsidP="00B96FBC" w:rsidRDefault="00326382" w14:paraId="11DC9C47" w14:textId="7FA6DD6D">
      <w:pPr>
        <w:pStyle w:val="Prrafodelista"/>
        <w:numPr>
          <w:ilvl w:val="0"/>
          <w:numId w:val="11"/>
        </w:numPr>
        <w:spacing w:after="0" w:line="276" w:lineRule="auto"/>
        <w:jc w:val="both"/>
        <w:rPr>
          <w:rFonts w:ascii="Verdana" w:hAnsi="Verdana" w:eastAsia="Century Gothic" w:cs="Century Gothic"/>
        </w:rPr>
      </w:pPr>
      <w:r w:rsidRPr="00B96FBC">
        <w:rPr>
          <w:rFonts w:ascii="Verdana" w:hAnsi="Verdana" w:eastAsia="Century Gothic" w:cs="Century Gothic"/>
        </w:rPr>
        <w:t xml:space="preserve">¿Qué medidas se pueden adoptar para garantizar la veracidad </w:t>
      </w:r>
      <w:r w:rsidR="00B96FBC">
        <w:rPr>
          <w:rFonts w:ascii="Verdana" w:hAnsi="Verdana" w:eastAsia="Century Gothic" w:cs="Century Gothic"/>
        </w:rPr>
        <w:t xml:space="preserve">y autenticidad </w:t>
      </w:r>
      <w:r w:rsidRPr="00B96FBC">
        <w:rPr>
          <w:rFonts w:ascii="Verdana" w:hAnsi="Verdana" w:eastAsia="Century Gothic" w:cs="Century Gothic"/>
        </w:rPr>
        <w:t>de los contratos</w:t>
      </w:r>
      <w:r w:rsidRPr="00B96FBC" w:rsidR="00B96FBC">
        <w:rPr>
          <w:rFonts w:ascii="Verdana" w:hAnsi="Verdana" w:eastAsia="Century Gothic" w:cs="Century Gothic"/>
        </w:rPr>
        <w:t xml:space="preserve"> que acreditan la experiencia de un</w:t>
      </w:r>
      <w:r w:rsidRPr="00B96FBC">
        <w:rPr>
          <w:rFonts w:ascii="Verdana" w:hAnsi="Verdana" w:eastAsia="Century Gothic" w:cs="Century Gothic"/>
        </w:rPr>
        <w:t xml:space="preserve"> proponente </w:t>
      </w:r>
      <w:r w:rsidRPr="00B96FBC" w:rsidR="00B96FBC">
        <w:rPr>
          <w:rFonts w:ascii="Verdana" w:hAnsi="Verdana" w:eastAsia="Century Gothic" w:cs="Century Gothic"/>
        </w:rPr>
        <w:t>en el marco de los procesos de contratación de mínima cuantía</w:t>
      </w:r>
      <w:r w:rsidRPr="00B96FBC" w:rsidR="009D35D4">
        <w:rPr>
          <w:rFonts w:ascii="Verdana" w:hAnsi="Verdana" w:eastAsia="Century Gothic" w:cs="Century Gothic"/>
        </w:rPr>
        <w:t>?</w:t>
      </w:r>
    </w:p>
    <w:p w:rsidRPr="00B96FBC" w:rsidR="00B96FBC" w:rsidP="00FB5CA7" w:rsidRDefault="00B96FBC" w14:paraId="1D30B523" w14:textId="74B2FC87">
      <w:pPr>
        <w:pStyle w:val="Prrafodelista"/>
        <w:numPr>
          <w:ilvl w:val="0"/>
          <w:numId w:val="11"/>
        </w:numPr>
        <w:spacing w:after="0" w:line="276" w:lineRule="auto"/>
        <w:jc w:val="both"/>
        <w:rPr>
          <w:rFonts w:ascii="Verdana" w:hAnsi="Verdana" w:eastAsia="Century Gothic" w:cs="Century Gothic"/>
        </w:rPr>
      </w:pPr>
      <w:r w:rsidRPr="00B96FBC">
        <w:rPr>
          <w:rFonts w:ascii="Verdana" w:hAnsi="Verdana" w:eastAsia="Century Gothic" w:cs="Century Gothic"/>
        </w:rPr>
        <w:t>¿Cuál es el criterio para establecer las limitaciones solicitadas por MIPYMES a nivel municipal, departamental y nacional</w:t>
      </w:r>
      <w:r>
        <w:rPr>
          <w:rFonts w:ascii="Verdana" w:hAnsi="Verdana" w:eastAsia="Century Gothic" w:cs="Century Gothic"/>
        </w:rPr>
        <w:t xml:space="preserve"> </w:t>
      </w:r>
      <w:r w:rsidRPr="00B96FBC">
        <w:rPr>
          <w:rFonts w:ascii="Verdana" w:hAnsi="Verdana" w:eastAsia="Century Gothic" w:cs="Century Gothic"/>
        </w:rPr>
        <w:t>?</w:t>
      </w:r>
    </w:p>
    <w:p w:rsidR="00871B59" w:rsidP="00871B59" w:rsidRDefault="00871B59" w14:paraId="57640A16" w14:textId="77777777">
      <w:pPr>
        <w:spacing w:after="0" w:line="276" w:lineRule="auto"/>
        <w:jc w:val="both"/>
        <w:rPr>
          <w:rFonts w:ascii="Verdana" w:hAnsi="Verdana" w:eastAsia="Calibri" w:cs="Arial"/>
          <w:color w:val="7030A0"/>
          <w:lang w:val="es-ES"/>
        </w:rPr>
      </w:pPr>
    </w:p>
    <w:p w:rsidRPr="00593A5F" w:rsidR="00871B59" w:rsidP="00871B59" w:rsidRDefault="00871B59" w14:paraId="33E3D3F8"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Respuesta:</w:t>
      </w:r>
    </w:p>
    <w:p w:rsidRPr="00593A5F" w:rsidR="00871B59" w:rsidP="00871B59" w:rsidRDefault="00871B59" w14:paraId="4647B31A"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871B59" w:rsidTr="002607A7" w14:paraId="14984B9D" w14:textId="77777777">
        <w:tc>
          <w:tcPr>
            <w:tcW w:w="8828" w:type="dxa"/>
            <w:shd w:val="clear" w:color="auto" w:fill="auto"/>
          </w:tcPr>
          <w:p w:rsidR="000F27B5" w:rsidP="002607A7" w:rsidRDefault="000F27B5" w14:paraId="1D5F1AF5" w14:textId="77777777">
            <w:pPr>
              <w:spacing w:line="276" w:lineRule="auto"/>
              <w:jc w:val="both"/>
              <w:rPr>
                <w:rFonts w:ascii="Verdana" w:hAnsi="Verdana" w:eastAsia="Calibri" w:cs="Arial"/>
                <w:lang w:val="es-ES"/>
              </w:rPr>
            </w:pPr>
          </w:p>
          <w:p w:rsidR="000F27B5" w:rsidP="000F27B5" w:rsidRDefault="000F27B5" w14:paraId="669C5D2D" w14:textId="77777777">
            <w:pPr>
              <w:spacing w:line="276" w:lineRule="auto"/>
              <w:jc w:val="both"/>
              <w:rPr>
                <w:rFonts w:ascii="Verdana" w:hAnsi="Verdana" w:eastAsia="Calibri" w:cs="Arial"/>
                <w:color w:val="000000" w:themeColor="text1"/>
                <w:lang w:val="es-ES"/>
              </w:rPr>
            </w:pPr>
            <w:r w:rsidRPr="00523FF9">
              <w:rPr>
                <w:rFonts w:ascii="Verdana" w:hAnsi="Verdana" w:eastAsia="Calibri" w:cs="Arial"/>
                <w:color w:val="000000" w:themeColor="text1"/>
                <w:lang w:val="es-ES"/>
              </w:rPr>
              <w:t>Respecto de los problemas jurídicos antes planteados, la Subdirección manifiesta:</w:t>
            </w:r>
          </w:p>
          <w:p w:rsidRPr="00523FF9" w:rsidR="000F27B5" w:rsidP="000F27B5" w:rsidRDefault="000F27B5" w14:paraId="6266086A" w14:textId="77777777">
            <w:pPr>
              <w:spacing w:line="276" w:lineRule="auto"/>
              <w:jc w:val="both"/>
              <w:rPr>
                <w:rFonts w:ascii="Verdana" w:hAnsi="Verdana" w:eastAsia="Calibri" w:cs="Arial"/>
                <w:color w:val="000000" w:themeColor="text1"/>
                <w:lang w:val="es-ES"/>
              </w:rPr>
            </w:pPr>
          </w:p>
          <w:p w:rsidR="000F27B5" w:rsidP="000F27B5" w:rsidRDefault="00437E4B" w14:paraId="0170508C" w14:textId="4B6CEA71">
            <w:pPr>
              <w:spacing w:line="276" w:lineRule="auto"/>
              <w:jc w:val="both"/>
              <w:rPr>
                <w:rFonts w:ascii="Verdana" w:hAnsi="Verdana" w:eastAsia="Calibri" w:cs="Arial"/>
                <w:color w:val="000000" w:themeColor="text1"/>
              </w:rPr>
            </w:pPr>
            <w:r>
              <w:rPr>
                <w:rFonts w:ascii="Verdana" w:hAnsi="Verdana" w:eastAsia="Calibri" w:cs="Arial"/>
                <w:color w:val="000000" w:themeColor="text1"/>
                <w:lang w:val="es-ES"/>
              </w:rPr>
              <w:t>i)</w:t>
            </w:r>
            <w:r w:rsidR="002A3354">
              <w:rPr>
                <w:rFonts w:ascii="Verdana" w:hAnsi="Verdana" w:eastAsia="Calibri" w:cs="Arial"/>
                <w:color w:val="000000" w:themeColor="text1"/>
                <w:lang w:val="es-ES"/>
              </w:rPr>
              <w:t xml:space="preserve"> </w:t>
            </w:r>
            <w:r w:rsidRPr="00523FF9" w:rsidR="000F27B5">
              <w:rPr>
                <w:rFonts w:ascii="Verdana" w:hAnsi="Verdana" w:eastAsia="Calibri" w:cs="Arial"/>
                <w:color w:val="000000" w:themeColor="text1"/>
                <w:lang w:val="es-ES"/>
              </w:rPr>
              <w:t>L</w:t>
            </w:r>
            <w:r w:rsidRPr="00523FF9" w:rsidR="000F27B5">
              <w:rPr>
                <w:rFonts w:ascii="Verdana" w:hAnsi="Verdana" w:eastAsia="Calibri" w:cs="Arial"/>
                <w:color w:val="000000" w:themeColor="text1"/>
              </w:rPr>
              <w:t xml:space="preserve">as </w:t>
            </w:r>
            <w:r w:rsidR="000F27B5">
              <w:rPr>
                <w:rFonts w:ascii="Verdana" w:hAnsi="Verdana" w:eastAsia="Calibri" w:cs="Arial"/>
                <w:color w:val="000000" w:themeColor="text1"/>
              </w:rPr>
              <w:t>E</w:t>
            </w:r>
            <w:r w:rsidRPr="00523FF9" w:rsidR="000F27B5">
              <w:rPr>
                <w:rFonts w:ascii="Verdana" w:hAnsi="Verdana" w:eastAsia="Calibri" w:cs="Arial"/>
                <w:color w:val="000000" w:themeColor="text1"/>
              </w:rPr>
              <w:t>ntidades</w:t>
            </w:r>
            <w:r w:rsidR="000F27B5">
              <w:rPr>
                <w:rFonts w:ascii="Verdana" w:hAnsi="Verdana" w:eastAsia="Calibri" w:cs="Arial"/>
                <w:color w:val="000000" w:themeColor="text1"/>
              </w:rPr>
              <w:t xml:space="preserve"> Estatales</w:t>
            </w:r>
            <w:r w:rsidRPr="00523FF9" w:rsidR="000F27B5">
              <w:rPr>
                <w:rFonts w:ascii="Verdana" w:hAnsi="Verdana" w:eastAsia="Calibri" w:cs="Arial"/>
                <w:color w:val="000000" w:themeColor="text1"/>
              </w:rPr>
              <w:t xml:space="preserve">, como responsables de la estructuración de sus procedimientos de contratación, son autónomas para requerir la experiencia necesaria para el objeto del contrato, para lo cual, de acuerdo con el artículo 2.2.1.1.1.6.2. del Decreto 1082 de 2015, deben tener en cuenta el estudio del sector y sus componentes como la identificación de riesgos, el mercado y </w:t>
            </w:r>
            <w:r w:rsidRPr="00523FF9" w:rsidR="000F27B5">
              <w:rPr>
                <w:rFonts w:ascii="Verdana" w:hAnsi="Verdana" w:eastAsia="Calibri" w:cs="Arial"/>
                <w:color w:val="000000" w:themeColor="text1"/>
              </w:rPr>
              <w:lastRenderedPageBreak/>
              <w:t>precio del bien, obra o servicio a contratar, y establecer si es adecuado exigir parámetros de sostenibilidad, relacionados con el objeto del contrato.</w:t>
            </w:r>
          </w:p>
          <w:p w:rsidR="000F27B5" w:rsidP="002607A7" w:rsidRDefault="000F27B5" w14:paraId="7E27C6CA" w14:textId="77777777">
            <w:pPr>
              <w:spacing w:line="276" w:lineRule="auto"/>
              <w:jc w:val="both"/>
              <w:rPr>
                <w:rFonts w:ascii="Verdana" w:hAnsi="Verdana" w:eastAsia="Calibri" w:cs="Arial"/>
                <w:lang w:val="es-ES"/>
              </w:rPr>
            </w:pPr>
          </w:p>
          <w:p w:rsidR="00072B4A" w:rsidP="00D32A4D" w:rsidRDefault="000F27B5" w14:paraId="4518CE89" w14:textId="77777777">
            <w:pPr>
              <w:spacing w:line="276" w:lineRule="auto"/>
              <w:jc w:val="both"/>
              <w:rPr>
                <w:rFonts w:ascii="Verdana" w:hAnsi="Verdana" w:eastAsia="Calibri" w:cs="Arial"/>
              </w:rPr>
            </w:pPr>
            <w:r>
              <w:rPr>
                <w:rFonts w:ascii="Verdana" w:hAnsi="Verdana" w:eastAsia="Calibri" w:cs="Arial"/>
                <w:lang w:val="es-ES"/>
              </w:rPr>
              <w:t>Ahora bien</w:t>
            </w:r>
            <w:r w:rsidRPr="00D32A4D" w:rsidR="00D32A4D">
              <w:rPr>
                <w:rFonts w:ascii="Verdana" w:hAnsi="Verdana" w:eastAsia="Calibri" w:cs="Arial"/>
                <w:lang w:val="es-ES"/>
              </w:rPr>
              <w:t>, la acreditación de la experiencia de los proponentes a través de contratos previos es un aspecto crucial para evaluar su capacidad para ejecutar el objeto contractual</w:t>
            </w:r>
            <w:r w:rsidR="00D32A4D">
              <w:rPr>
                <w:rFonts w:ascii="Verdana" w:hAnsi="Verdana" w:eastAsia="Calibri" w:cs="Arial"/>
                <w:lang w:val="es-ES"/>
              </w:rPr>
              <w:t xml:space="preserve"> por lo que </w:t>
            </w:r>
            <w:r w:rsidRPr="00D32A4D" w:rsidR="00D32A4D">
              <w:rPr>
                <w:rFonts w:ascii="Verdana" w:hAnsi="Verdana" w:eastAsia="Calibri" w:cs="Arial"/>
                <w:lang w:val="es-ES"/>
              </w:rPr>
              <w:t xml:space="preserve">corresponde a la misma </w:t>
            </w:r>
            <w:r w:rsidR="00D32A4D">
              <w:rPr>
                <w:rFonts w:ascii="Verdana" w:hAnsi="Verdana" w:eastAsia="Calibri" w:cs="Arial"/>
                <w:lang w:val="es-ES"/>
              </w:rPr>
              <w:t>entidad pública</w:t>
            </w:r>
            <w:r w:rsidRPr="00D32A4D" w:rsidR="00D32A4D">
              <w:rPr>
                <w:rFonts w:ascii="Verdana" w:hAnsi="Verdana" w:eastAsia="Calibri" w:cs="Arial"/>
                <w:lang w:val="es-ES"/>
              </w:rPr>
              <w:t>, en ejercicio de su competencia y previa valoración de los elementos fácticos y jurídicos</w:t>
            </w:r>
            <w:r w:rsidR="00D32A4D">
              <w:rPr>
                <w:rFonts w:ascii="Verdana" w:hAnsi="Verdana" w:eastAsia="Calibri" w:cs="Arial"/>
                <w:lang w:val="es-ES"/>
              </w:rPr>
              <w:t xml:space="preserve"> realizar un análisis de los contratos que el proponente acredite como experiencia, para esto se recomienda </w:t>
            </w:r>
            <w:r w:rsidR="00D12C4D">
              <w:rPr>
                <w:rFonts w:ascii="Verdana" w:hAnsi="Verdana" w:eastAsia="Calibri" w:cs="Arial"/>
                <w:lang w:val="es-ES"/>
              </w:rPr>
              <w:t>acudir a diferentes medidas para garantizar la veracidad y autenticidad como lo son la v</w:t>
            </w:r>
            <w:r w:rsidRPr="00D12C4D" w:rsidR="00D12C4D">
              <w:rPr>
                <w:rFonts w:ascii="Verdana" w:hAnsi="Verdana" w:eastAsia="Calibri" w:cs="Arial"/>
                <w:lang w:val="es-ES"/>
              </w:rPr>
              <w:t>erificación directa con la entidad contratante</w:t>
            </w:r>
            <w:r w:rsidR="00D12C4D">
              <w:rPr>
                <w:rFonts w:ascii="Verdana" w:hAnsi="Verdana" w:eastAsia="Calibri" w:cs="Arial"/>
                <w:lang w:val="es-ES"/>
              </w:rPr>
              <w:t>, asi las cosas l</w:t>
            </w:r>
            <w:r w:rsidRPr="00D12C4D" w:rsidR="00D12C4D">
              <w:rPr>
                <w:rFonts w:ascii="Verdana" w:hAnsi="Verdana" w:eastAsia="Calibri" w:cs="Arial"/>
              </w:rPr>
              <w:t xml:space="preserve">a entidad contratante puede solicitar al proponente que autorice una comunicación directa </w:t>
            </w:r>
            <w:r w:rsidR="00D12C4D">
              <w:rPr>
                <w:rFonts w:ascii="Verdana" w:hAnsi="Verdana" w:eastAsia="Calibri" w:cs="Arial"/>
              </w:rPr>
              <w:t>con los contratantes anteriores</w:t>
            </w:r>
            <w:r w:rsidRPr="00D12C4D" w:rsidR="00D12C4D">
              <w:rPr>
                <w:rFonts w:ascii="Verdana" w:hAnsi="Verdana" w:eastAsia="Calibri" w:cs="Arial"/>
              </w:rPr>
              <w:t xml:space="preserve"> para verificar la veracidad de la información suministrada.</w:t>
            </w:r>
            <w:r w:rsidR="00D12C4D">
              <w:rPr>
                <w:rFonts w:ascii="Verdana" w:hAnsi="Verdana" w:eastAsia="Calibri" w:cs="Arial"/>
              </w:rPr>
              <w:t xml:space="preserve"> </w:t>
            </w:r>
          </w:p>
          <w:p w:rsidR="00072B4A" w:rsidP="00D32A4D" w:rsidRDefault="00072B4A" w14:paraId="2EDDDA77" w14:textId="77777777">
            <w:pPr>
              <w:spacing w:line="276" w:lineRule="auto"/>
              <w:jc w:val="both"/>
              <w:rPr>
                <w:rFonts w:ascii="Verdana" w:hAnsi="Verdana" w:eastAsia="Calibri" w:cs="Arial"/>
              </w:rPr>
            </w:pPr>
          </w:p>
          <w:p w:rsidR="00D12C4D" w:rsidP="00D32A4D" w:rsidRDefault="00D12C4D" w14:paraId="3EDDDBF7" w14:textId="730CDBC8">
            <w:pPr>
              <w:spacing w:line="276" w:lineRule="auto"/>
              <w:jc w:val="both"/>
              <w:rPr>
                <w:rFonts w:ascii="Verdana" w:hAnsi="Verdana" w:eastAsia="Calibri" w:cs="Arial"/>
                <w:color w:val="000000" w:themeColor="text1"/>
              </w:rPr>
            </w:pPr>
            <w:r>
              <w:rPr>
                <w:rFonts w:ascii="Verdana" w:hAnsi="Verdana" w:eastAsia="Calibri" w:cs="Arial"/>
              </w:rPr>
              <w:t>De igual manera s</w:t>
            </w:r>
            <w:r w:rsidRPr="00D12C4D">
              <w:rPr>
                <w:rFonts w:ascii="Verdana" w:hAnsi="Verdana" w:eastAsia="Calibri" w:cs="Arial"/>
              </w:rPr>
              <w:t>e puede solicitar un certificado de cumplimiento expedido por la entidad contratante en el proyecto anterior, en el que se especifique que el proponente cumplió con todas las obligaciones contractuales.</w:t>
            </w:r>
          </w:p>
          <w:p w:rsidR="00D12C4D" w:rsidP="00D32A4D" w:rsidRDefault="00D12C4D" w14:paraId="6F1ECC83" w14:textId="77777777">
            <w:pPr>
              <w:spacing w:line="276" w:lineRule="auto"/>
              <w:jc w:val="both"/>
              <w:rPr>
                <w:rFonts w:ascii="Verdana" w:hAnsi="Verdana" w:eastAsia="Calibri" w:cs="Arial"/>
                <w:color w:val="000000" w:themeColor="text1"/>
              </w:rPr>
            </w:pPr>
          </w:p>
          <w:p w:rsidR="00072B4A" w:rsidP="00D32A4D" w:rsidRDefault="00D12C4D" w14:paraId="0C06A034" w14:textId="100D7935">
            <w:pPr>
              <w:spacing w:line="276" w:lineRule="auto"/>
              <w:jc w:val="both"/>
              <w:rPr>
                <w:rFonts w:ascii="Verdana" w:hAnsi="Verdana" w:eastAsia="Calibri" w:cs="Arial"/>
                <w:color w:val="000000" w:themeColor="text1"/>
              </w:rPr>
            </w:pPr>
            <w:r w:rsidRPr="00072B4A">
              <w:rPr>
                <w:rFonts w:ascii="Verdana" w:hAnsi="Verdana" w:eastAsia="Calibri" w:cs="Arial"/>
                <w:color w:val="000000" w:themeColor="text1"/>
              </w:rPr>
              <w:t>Adicionalmente</w:t>
            </w:r>
            <w:r w:rsidRPr="00072B4A" w:rsidR="00072B4A">
              <w:rPr>
                <w:rFonts w:ascii="Verdana" w:hAnsi="Verdana" w:eastAsia="Calibri" w:cs="Arial"/>
                <w:color w:val="000000" w:themeColor="text1"/>
              </w:rPr>
              <w:t>,</w:t>
            </w:r>
            <w:r w:rsidRPr="00072B4A" w:rsidR="00072B4A">
              <w:rPr>
                <w:rFonts w:ascii="Verdana" w:hAnsi="Verdana"/>
                <w:color w:val="000000" w:themeColor="text1"/>
              </w:rPr>
              <w:t xml:space="preserve"> la experiencia acreditada a través de los contratos</w:t>
            </w:r>
            <w:r w:rsidRPr="00072B4A">
              <w:rPr>
                <w:rFonts w:ascii="Verdana" w:hAnsi="Verdana" w:eastAsia="Calibri" w:cs="Arial"/>
                <w:color w:val="000000" w:themeColor="text1"/>
              </w:rPr>
              <w:t xml:space="preserve"> se puede validar en el </w:t>
            </w:r>
            <w:r w:rsidRPr="00072B4A" w:rsidR="00072B4A">
              <w:rPr>
                <w:rFonts w:ascii="Verdana" w:hAnsi="Verdana" w:eastAsia="Calibri" w:cs="Arial"/>
                <w:color w:val="000000" w:themeColor="text1"/>
              </w:rPr>
              <w:t xml:space="preserve">Sistema Electrónico de Contratación Pública -SECOP- o </w:t>
            </w:r>
            <w:r w:rsidR="00072B4A">
              <w:rPr>
                <w:rFonts w:ascii="Verdana" w:hAnsi="Verdana" w:eastAsia="Calibri" w:cs="Arial"/>
                <w:color w:val="000000" w:themeColor="text1"/>
              </w:rPr>
              <w:t>e</w:t>
            </w:r>
            <w:r w:rsidRPr="00072B4A" w:rsidR="00072B4A">
              <w:rPr>
                <w:rFonts w:ascii="Verdana" w:hAnsi="Verdana" w:eastAsia="Calibri" w:cs="Arial"/>
                <w:color w:val="000000" w:themeColor="text1"/>
              </w:rPr>
              <w:t>n</w:t>
            </w:r>
            <w:r w:rsidR="00072B4A">
              <w:rPr>
                <w:rFonts w:ascii="Verdana" w:hAnsi="Verdana" w:eastAsia="Calibri" w:cs="Arial"/>
                <w:color w:val="000000" w:themeColor="text1"/>
              </w:rPr>
              <w:t xml:space="preserve"> </w:t>
            </w:r>
            <w:r w:rsidRPr="00072B4A" w:rsidR="00072B4A">
              <w:rPr>
                <w:rFonts w:ascii="Verdana" w:hAnsi="Verdana" w:eastAsia="Calibri" w:cs="Arial"/>
                <w:color w:val="000000" w:themeColor="text1"/>
              </w:rPr>
              <w:t xml:space="preserve">el link:                                                              </w:t>
            </w:r>
            <w:r w:rsidRPr="00072B4A" w:rsidR="00072B4A">
              <w:rPr>
                <w:rStyle w:val="Hipervnculo"/>
                <w:rFonts w:ascii="Verdana" w:hAnsi="Verdana"/>
              </w:rPr>
              <w:t xml:space="preserve"> </w:t>
            </w:r>
            <w:r w:rsidRPr="00072B4A" w:rsidR="00072B4A">
              <w:rPr>
                <w:rStyle w:val="Hipervnculo"/>
                <w:rFonts w:ascii="Verdana" w:hAnsi="Verdana" w:eastAsia="Calibri" w:cs="Arial"/>
              </w:rPr>
              <w:t xml:space="preserve">  </w:t>
            </w:r>
            <w:hyperlink w:history="1" r:id="rId12">
              <w:r w:rsidRPr="00072B4A" w:rsidR="00072B4A">
                <w:rPr>
                  <w:rStyle w:val="Hipervnculo"/>
                  <w:rFonts w:ascii="Verdana" w:hAnsi="Verdana" w:eastAsia="Calibri" w:cs="Arial"/>
                </w:rPr>
                <w:t>https://consultaprocesos.colombiacompra.gov.co/</w:t>
              </w:r>
            </w:hyperlink>
            <w:r w:rsidR="00072B4A">
              <w:rPr>
                <w:rFonts w:ascii="Verdana" w:hAnsi="Verdana" w:eastAsia="Calibri" w:cs="Arial"/>
                <w:color w:val="000000" w:themeColor="text1"/>
              </w:rPr>
              <w:t>.</w:t>
            </w:r>
          </w:p>
          <w:p w:rsidR="00C3714D" w:rsidP="00D32A4D" w:rsidRDefault="00C3714D" w14:paraId="44A800ED" w14:textId="77777777">
            <w:pPr>
              <w:spacing w:line="276" w:lineRule="auto"/>
              <w:jc w:val="both"/>
              <w:rPr>
                <w:rFonts w:ascii="Verdana" w:hAnsi="Verdana" w:eastAsia="Calibri" w:cs="Arial"/>
                <w:color w:val="000000" w:themeColor="text1"/>
              </w:rPr>
            </w:pPr>
          </w:p>
          <w:p w:rsidRPr="00523FF9" w:rsidR="00C3714D" w:rsidP="00C3714D" w:rsidRDefault="00437E4B" w14:paraId="71396A9B" w14:textId="57CFDE3D">
            <w:pPr>
              <w:spacing w:line="276" w:lineRule="auto"/>
              <w:jc w:val="both"/>
              <w:rPr>
                <w:rFonts w:ascii="Verdana" w:hAnsi="Verdana" w:eastAsia="Calibri" w:cs="Arial"/>
                <w:color w:val="000000" w:themeColor="text1"/>
              </w:rPr>
            </w:pPr>
            <w:r>
              <w:rPr>
                <w:rFonts w:ascii="Verdana" w:hAnsi="Verdana" w:eastAsia="Calibri" w:cs="Arial"/>
                <w:color w:val="000000" w:themeColor="text1"/>
              </w:rPr>
              <w:t xml:space="preserve">ii) </w:t>
            </w:r>
            <w:r w:rsidR="00C3714D">
              <w:rPr>
                <w:rFonts w:ascii="Verdana" w:hAnsi="Verdana" w:eastAsia="Calibri" w:cs="Arial"/>
                <w:color w:val="000000" w:themeColor="text1"/>
              </w:rPr>
              <w:t xml:space="preserve">Por otra parte,  </w:t>
            </w:r>
            <w:r w:rsidRPr="00523FF9" w:rsidR="00C3714D">
              <w:rPr>
                <w:rFonts w:ascii="Verdana" w:hAnsi="Verdana" w:eastAsia="Calibri" w:cs="Arial"/>
                <w:color w:val="000000" w:themeColor="text1"/>
                <w:lang w:val="es-ES"/>
              </w:rPr>
              <w:t xml:space="preserve">la decisión de limitar o no territorialmente una convocatoria limitada a MiPymes es una facultad discrecional, de manera que la entidad contratante valorará si es oportuno y conveniente adoptarla, con sustento en los estudios del sector </w:t>
            </w:r>
            <w:r w:rsidR="002A3354">
              <w:rPr>
                <w:rFonts w:ascii="Verdana" w:hAnsi="Verdana" w:eastAsia="Calibri" w:cs="Arial"/>
                <w:color w:val="000000" w:themeColor="text1"/>
                <w:lang w:val="es-ES"/>
              </w:rPr>
              <w:t>considerando que se trata de</w:t>
            </w:r>
            <w:r w:rsidRPr="00523FF9" w:rsidR="00C3714D">
              <w:rPr>
                <w:rFonts w:ascii="Verdana" w:hAnsi="Verdana" w:eastAsia="Calibri" w:cs="Arial"/>
                <w:color w:val="000000" w:themeColor="text1"/>
                <w:lang w:val="es-ES"/>
              </w:rPr>
              <w:t xml:space="preserve"> una decisión adecuada y proporcional a los hechos que le sirven de causa.</w:t>
            </w:r>
          </w:p>
          <w:p w:rsidRPr="00072B4A" w:rsidR="00C3714D" w:rsidP="00D32A4D" w:rsidRDefault="00C3714D" w14:paraId="19BD8EC2" w14:textId="42BBA429">
            <w:pPr>
              <w:spacing w:line="276" w:lineRule="auto"/>
              <w:jc w:val="both"/>
              <w:rPr>
                <w:rFonts w:ascii="Verdana" w:hAnsi="Verdana" w:eastAsia="Calibri" w:cs="Arial"/>
                <w:color w:val="000000" w:themeColor="text1"/>
              </w:rPr>
            </w:pPr>
          </w:p>
          <w:p w:rsidRPr="00593A5F" w:rsidR="002973E9" w:rsidP="00C85B07" w:rsidRDefault="00437E4B" w14:paraId="47AEB666" w14:textId="443FA1CD">
            <w:pPr>
              <w:spacing w:line="276" w:lineRule="auto"/>
              <w:jc w:val="both"/>
              <w:rPr>
                <w:rFonts w:ascii="Verdana" w:hAnsi="Verdana" w:eastAsia="Calibri" w:cs="Arial"/>
                <w:color w:val="7030A0"/>
                <w:lang w:val="es-ES"/>
              </w:rPr>
            </w:pPr>
            <w:r>
              <w:rPr>
                <w:rFonts w:ascii="Verdana" w:hAnsi="Verdana" w:eastAsia="Calibri" w:cs="Arial"/>
                <w:color w:val="000000" w:themeColor="text1"/>
              </w:rPr>
              <w:t>Asi las cosas, l</w:t>
            </w:r>
            <w:r w:rsidRPr="00437E4B">
              <w:rPr>
                <w:rFonts w:ascii="Verdana" w:hAnsi="Verdana" w:eastAsia="Calibri" w:cs="Arial"/>
                <w:color w:val="000000" w:themeColor="text1"/>
              </w:rPr>
              <w:t xml:space="preserve">as restricciones de participación </w:t>
            </w:r>
            <w:r>
              <w:rPr>
                <w:rFonts w:ascii="Verdana" w:hAnsi="Verdana" w:eastAsia="Calibri" w:cs="Arial"/>
                <w:color w:val="000000" w:themeColor="text1"/>
              </w:rPr>
              <w:t xml:space="preserve">de </w:t>
            </w:r>
            <w:r w:rsidRPr="00523FF9">
              <w:rPr>
                <w:rFonts w:ascii="Verdana" w:hAnsi="Verdana" w:eastAsia="Calibri" w:cs="Arial"/>
                <w:color w:val="000000" w:themeColor="text1"/>
                <w:lang w:val="es-ES"/>
              </w:rPr>
              <w:t>MiPymes</w:t>
            </w:r>
            <w:r w:rsidRPr="00437E4B">
              <w:rPr>
                <w:rFonts w:ascii="Verdana" w:hAnsi="Verdana" w:eastAsia="Calibri" w:cs="Arial"/>
                <w:color w:val="000000" w:themeColor="text1"/>
              </w:rPr>
              <w:t xml:space="preserve"> basadas en la región pueden obedecer a varios criterios. Estos criterios son establecidos para asegurar una distribución equitativa de oportunidades y promover el desarrollo económico local</w:t>
            </w:r>
            <w:r>
              <w:rPr>
                <w:rFonts w:ascii="Verdana" w:hAnsi="Verdana" w:eastAsia="Calibri" w:cs="Arial"/>
                <w:color w:val="000000" w:themeColor="text1"/>
              </w:rPr>
              <w:t>.</w:t>
            </w:r>
          </w:p>
        </w:tc>
      </w:tr>
      <w:tr w:rsidRPr="00593A5F" w:rsidR="002973E9" w:rsidTr="002607A7" w14:paraId="2D31D686" w14:textId="77777777">
        <w:tc>
          <w:tcPr>
            <w:tcW w:w="8828" w:type="dxa"/>
            <w:shd w:val="clear" w:color="auto" w:fill="auto"/>
          </w:tcPr>
          <w:p w:rsidRPr="002973E9" w:rsidR="002973E9" w:rsidP="002607A7" w:rsidRDefault="002973E9" w14:paraId="212540C0" w14:textId="77777777">
            <w:pPr>
              <w:spacing w:line="276" w:lineRule="auto"/>
              <w:jc w:val="both"/>
              <w:rPr>
                <w:rFonts w:ascii="Verdana" w:hAnsi="Verdana" w:eastAsia="Calibri" w:cs="Arial"/>
                <w:lang w:val="es-ES"/>
              </w:rPr>
            </w:pPr>
          </w:p>
        </w:tc>
      </w:tr>
    </w:tbl>
    <w:p w:rsidRPr="00593A5F" w:rsidR="00871B59" w:rsidP="00871B59" w:rsidRDefault="00871B59" w14:paraId="3199705F"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871B59" w:rsidP="00871B59" w:rsidRDefault="00871B59" w14:paraId="6678B80A"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Razones de la respuesta:</w:t>
      </w:r>
    </w:p>
    <w:p w:rsidRPr="00593A5F" w:rsidR="00871B59" w:rsidP="00871B59" w:rsidRDefault="00871B59" w14:paraId="40393512" w14:textId="77777777">
      <w:pPr>
        <w:spacing w:after="0" w:line="276" w:lineRule="auto"/>
        <w:jc w:val="both"/>
        <w:rPr>
          <w:rFonts w:ascii="Verdana" w:hAnsi="Verdana" w:eastAsia="Calibri" w:cs="Arial"/>
          <w:color w:val="7030A0"/>
          <w:lang w:val="es-ES"/>
        </w:rPr>
      </w:pPr>
    </w:p>
    <w:p w:rsidRPr="00B96799" w:rsidR="00871B59" w:rsidP="00871B59" w:rsidRDefault="00871B59" w14:paraId="6DB5BA6B" w14:textId="77777777">
      <w:pPr>
        <w:spacing w:after="0" w:line="276" w:lineRule="auto"/>
        <w:jc w:val="both"/>
        <w:rPr>
          <w:rFonts w:ascii="Verdana" w:hAnsi="Verdana" w:eastAsia="Calibri" w:cs="Arial"/>
          <w:lang w:val="es-ES"/>
        </w:rPr>
      </w:pPr>
      <w:r w:rsidRPr="00B96799">
        <w:rPr>
          <w:rFonts w:ascii="Verdana" w:hAnsi="Verdana" w:eastAsia="Calibri" w:cs="Arial"/>
          <w:lang w:val="es-ES"/>
        </w:rPr>
        <w:t xml:space="preserve">Lo anterior se sustenta en las siguientes consideraciones: </w:t>
      </w:r>
    </w:p>
    <w:p w:rsidRPr="00593A5F" w:rsidR="00871B59" w:rsidP="00871B59" w:rsidRDefault="00871B59" w14:paraId="6FBD94A1" w14:textId="77777777">
      <w:pPr>
        <w:spacing w:after="0" w:line="276" w:lineRule="auto"/>
        <w:jc w:val="both"/>
        <w:rPr>
          <w:rFonts w:ascii="Verdana" w:hAnsi="Verdana" w:eastAsia="Calibri" w:cs="Arial"/>
          <w:color w:val="7030A0"/>
          <w:lang w:val="es-ES"/>
        </w:rPr>
      </w:pPr>
    </w:p>
    <w:p w:rsidRPr="00DE244F" w:rsidR="00DE244F" w:rsidP="00D32A4D" w:rsidRDefault="00CB5391" w14:paraId="5E5825D8" w14:textId="77777777">
      <w:pPr>
        <w:pStyle w:val="Prrafodelista"/>
        <w:numPr>
          <w:ilvl w:val="0"/>
          <w:numId w:val="7"/>
        </w:numPr>
        <w:spacing w:line="276" w:lineRule="auto"/>
        <w:jc w:val="both"/>
        <w:rPr>
          <w:rFonts w:ascii="Verdana" w:hAnsi="Verdana" w:eastAsia="Calibri" w:cs="Arial"/>
          <w:color w:val="000000" w:themeColor="text1"/>
        </w:rPr>
      </w:pPr>
      <w:r>
        <w:rPr>
          <w:rFonts w:ascii="Verdana" w:hAnsi="Verdana" w:eastAsia="Calibri" w:cs="Arial"/>
          <w:color w:val="000000" w:themeColor="text1"/>
        </w:rPr>
        <w:t>Respecto del primer problema jurídico</w:t>
      </w:r>
      <w:r w:rsidRPr="00CB5391">
        <w:rPr>
          <w:rFonts w:ascii="Verdana" w:hAnsi="Verdana" w:eastAsia="Calibri" w:cs="Arial"/>
        </w:rPr>
        <w:t xml:space="preserve"> </w:t>
      </w:r>
      <w:r>
        <w:rPr>
          <w:rFonts w:ascii="Verdana" w:hAnsi="Verdana" w:eastAsia="Calibri" w:cs="Arial"/>
        </w:rPr>
        <w:t>es de resaltar que g</w:t>
      </w:r>
      <w:r w:rsidRPr="00CB5391">
        <w:rPr>
          <w:rFonts w:ascii="Verdana" w:hAnsi="Verdana" w:eastAsia="Calibri" w:cs="Arial"/>
        </w:rPr>
        <w:t>arantizar la veracidad y autenticidad de los contratos que acreditan la experiencia de un proponente en procesos de contratación es crucial para asegurar la transparencia y equidad en el proceso de selección</w:t>
      </w:r>
      <w:r w:rsidRPr="00CB5391">
        <w:rPr>
          <w:rFonts w:ascii="Verdana" w:hAnsi="Verdana" w:eastAsia="Calibri" w:cs="Arial"/>
          <w:lang w:val="es-ES"/>
        </w:rPr>
        <w:t xml:space="preserve"> </w:t>
      </w:r>
      <w:r>
        <w:rPr>
          <w:rFonts w:ascii="Verdana" w:hAnsi="Verdana" w:eastAsia="Calibri" w:cs="Arial"/>
          <w:lang w:val="es-ES"/>
        </w:rPr>
        <w:t>sin embargo</w:t>
      </w:r>
      <w:r w:rsidR="00BE5044">
        <w:rPr>
          <w:rFonts w:ascii="Verdana" w:hAnsi="Verdana" w:eastAsia="Calibri" w:cs="Arial"/>
          <w:lang w:val="es-ES"/>
        </w:rPr>
        <w:t xml:space="preserve"> es </w:t>
      </w:r>
      <w:r w:rsidR="00DE244F">
        <w:rPr>
          <w:rFonts w:ascii="Verdana" w:hAnsi="Verdana" w:eastAsia="Calibri" w:cs="Arial"/>
          <w:lang w:val="es-ES"/>
        </w:rPr>
        <w:t>potestad</w:t>
      </w:r>
      <w:r w:rsidR="00BE5044">
        <w:rPr>
          <w:rFonts w:ascii="Verdana" w:hAnsi="Verdana" w:eastAsia="Calibri" w:cs="Arial"/>
          <w:lang w:val="es-ES"/>
        </w:rPr>
        <w:t xml:space="preserve"> de la entidad </w:t>
      </w:r>
      <w:r w:rsidR="00DE244F">
        <w:rPr>
          <w:rFonts w:ascii="Verdana" w:hAnsi="Verdana" w:eastAsia="Calibri" w:cs="Arial"/>
          <w:lang w:val="es-ES"/>
        </w:rPr>
        <w:t>pública</w:t>
      </w:r>
      <w:r w:rsidR="00BE5044">
        <w:rPr>
          <w:rFonts w:ascii="Verdana" w:hAnsi="Verdana" w:eastAsia="Calibri" w:cs="Arial"/>
          <w:lang w:val="es-ES"/>
        </w:rPr>
        <w:t xml:space="preserve"> </w:t>
      </w:r>
      <w:r w:rsidR="00DE244F">
        <w:rPr>
          <w:rFonts w:ascii="Verdana" w:hAnsi="Verdana" w:eastAsia="Calibri" w:cs="Arial"/>
          <w:lang w:val="es-ES"/>
        </w:rPr>
        <w:t>acudir a diferentes medidas para garantizar la veracidad y autenticidad de los contratos acreditados por el proponente.</w:t>
      </w:r>
    </w:p>
    <w:p w:rsidRPr="00DE244F" w:rsidR="00DE244F" w:rsidP="00DE244F" w:rsidRDefault="00DE244F" w14:paraId="773B953E" w14:textId="77777777">
      <w:pPr>
        <w:pStyle w:val="Prrafodelista"/>
        <w:spacing w:line="276" w:lineRule="auto"/>
        <w:jc w:val="both"/>
        <w:rPr>
          <w:rFonts w:ascii="Verdana" w:hAnsi="Verdana" w:eastAsia="Calibri" w:cs="Arial"/>
          <w:color w:val="000000" w:themeColor="text1"/>
        </w:rPr>
      </w:pPr>
    </w:p>
    <w:p w:rsidRPr="00D32A4D" w:rsidR="00D32A4D" w:rsidP="00D32A4D" w:rsidRDefault="00DE244F" w14:paraId="339D5367" w14:textId="1EE4B9BE">
      <w:pPr>
        <w:pStyle w:val="Prrafodelista"/>
        <w:numPr>
          <w:ilvl w:val="0"/>
          <w:numId w:val="7"/>
        </w:numPr>
        <w:spacing w:line="276" w:lineRule="auto"/>
        <w:jc w:val="both"/>
        <w:rPr>
          <w:rFonts w:ascii="Verdana" w:hAnsi="Verdana" w:eastAsia="Calibri" w:cs="Arial"/>
          <w:color w:val="000000" w:themeColor="text1"/>
        </w:rPr>
      </w:pPr>
      <w:r>
        <w:rPr>
          <w:rFonts w:ascii="Verdana" w:hAnsi="Verdana" w:eastAsia="Calibri" w:cs="Arial"/>
          <w:lang w:val="es-ES"/>
        </w:rPr>
        <w:t xml:space="preserve">Por otro lado, es </w:t>
      </w:r>
      <w:r w:rsidR="00CB5391">
        <w:rPr>
          <w:rFonts w:ascii="Verdana" w:hAnsi="Verdana" w:eastAsia="Calibri" w:cs="Arial"/>
          <w:lang w:val="es-ES"/>
        </w:rPr>
        <w:t xml:space="preserve">de precisar que el </w:t>
      </w:r>
      <w:r w:rsidRPr="00D32A4D" w:rsidR="00D32A4D">
        <w:rPr>
          <w:rFonts w:ascii="Verdana" w:hAnsi="Verdana" w:eastAsia="Calibri" w:cs="Arial"/>
          <w:color w:val="000000" w:themeColor="text1"/>
        </w:rPr>
        <w:t xml:space="preserve">aporte de contratos relacionados con el bien o servicio a contratar puede constituirse como factor ponderable solo en aquellos procesos de contratación para la selección de consultores, bajo la modalidad de concurso de méritos regulada en el numeral 3 del artículo 2 de la Ley 1150 de 2007. </w:t>
      </w:r>
    </w:p>
    <w:p w:rsidRPr="00D32A4D" w:rsidR="00D32A4D" w:rsidP="00D32A4D" w:rsidRDefault="00D32A4D" w14:paraId="35957700" w14:textId="77777777">
      <w:pPr>
        <w:pStyle w:val="Prrafodelista"/>
        <w:spacing w:line="276" w:lineRule="auto"/>
        <w:jc w:val="both"/>
        <w:rPr>
          <w:rFonts w:ascii="Verdana" w:hAnsi="Verdana" w:eastAsia="Calibri" w:cs="Arial"/>
          <w:color w:val="000000" w:themeColor="text1"/>
        </w:rPr>
      </w:pPr>
    </w:p>
    <w:p w:rsidR="00D32A4D" w:rsidP="00D32A4D" w:rsidRDefault="00DE244F" w14:paraId="42031A02" w14:textId="7296D134">
      <w:pPr>
        <w:pStyle w:val="Prrafodelista"/>
        <w:numPr>
          <w:ilvl w:val="0"/>
          <w:numId w:val="7"/>
        </w:numPr>
        <w:spacing w:line="276" w:lineRule="auto"/>
        <w:jc w:val="both"/>
        <w:rPr>
          <w:rFonts w:ascii="Verdana" w:hAnsi="Verdana" w:eastAsia="Calibri" w:cs="Arial"/>
          <w:color w:val="000000" w:themeColor="text1"/>
        </w:rPr>
      </w:pPr>
      <w:r>
        <w:rPr>
          <w:rFonts w:ascii="Verdana" w:hAnsi="Verdana" w:eastAsia="Calibri" w:cs="Arial"/>
          <w:color w:val="000000" w:themeColor="text1"/>
        </w:rPr>
        <w:t>En las demás</w:t>
      </w:r>
      <w:r w:rsidRPr="00D32A4D" w:rsidR="00D32A4D">
        <w:rPr>
          <w:rFonts w:ascii="Verdana" w:hAnsi="Verdana" w:eastAsia="Calibri" w:cs="Arial"/>
          <w:color w:val="000000" w:themeColor="text1"/>
        </w:rPr>
        <w:t xml:space="preserve"> modalidades de contratación reguladas por el artículo en cita, como es el caso de los contratos de mínima cuantía, la experiencia no es un factor ponderable. En ese sentido, los contratos aportados por el proponente, relacionados con el objeto del contrato, deben ser evaluados como experiencia en cuanto a los requisitos habilitantes que miden la aptitud del proponente y lo avalan para presentar su oferta.</w:t>
      </w:r>
    </w:p>
    <w:p w:rsidRPr="002A3354" w:rsidR="002A3354" w:rsidP="002A3354" w:rsidRDefault="002A3354" w14:paraId="5B3FCB41" w14:textId="77777777">
      <w:pPr>
        <w:pStyle w:val="Prrafodelista"/>
        <w:rPr>
          <w:rFonts w:ascii="Verdana" w:hAnsi="Verdana" w:eastAsia="Calibri" w:cs="Arial"/>
          <w:color w:val="000000" w:themeColor="text1"/>
        </w:rPr>
      </w:pPr>
    </w:p>
    <w:p w:rsidR="00BE5044" w:rsidP="00BE5044" w:rsidRDefault="002A3354" w14:paraId="07585AAC" w14:textId="56FCE716">
      <w:pPr>
        <w:pStyle w:val="Prrafodelista"/>
        <w:numPr>
          <w:ilvl w:val="0"/>
          <w:numId w:val="7"/>
        </w:numPr>
        <w:spacing w:after="0" w:line="276" w:lineRule="auto"/>
        <w:ind w:left="714" w:hanging="357"/>
        <w:jc w:val="both"/>
        <w:rPr>
          <w:rFonts w:ascii="Verdana" w:hAnsi="Verdana" w:eastAsia="Calibri" w:cs="Arial"/>
          <w:color w:val="000000" w:themeColor="text1"/>
        </w:rPr>
      </w:pPr>
      <w:r>
        <w:rPr>
          <w:rFonts w:ascii="Verdana" w:hAnsi="Verdana" w:eastAsia="Calibri" w:cs="Arial"/>
          <w:color w:val="000000" w:themeColor="text1"/>
        </w:rPr>
        <w:t>Respecto del se</w:t>
      </w:r>
      <w:r w:rsidR="00BE5044">
        <w:rPr>
          <w:rFonts w:ascii="Verdana" w:hAnsi="Verdana" w:eastAsia="Calibri" w:cs="Arial"/>
          <w:color w:val="000000" w:themeColor="text1"/>
        </w:rPr>
        <w:t>gundo</w:t>
      </w:r>
      <w:r>
        <w:rPr>
          <w:rFonts w:ascii="Verdana" w:hAnsi="Verdana" w:eastAsia="Calibri" w:cs="Arial"/>
          <w:color w:val="000000" w:themeColor="text1"/>
        </w:rPr>
        <w:t xml:space="preserve"> problema jurídico</w:t>
      </w:r>
      <w:r w:rsidR="00BE5044">
        <w:rPr>
          <w:rFonts w:ascii="Verdana" w:hAnsi="Verdana" w:eastAsia="Calibri" w:cs="Arial"/>
          <w:color w:val="000000" w:themeColor="text1"/>
        </w:rPr>
        <w:t xml:space="preserve">, </w:t>
      </w:r>
      <w:r w:rsidR="00DE244F">
        <w:rPr>
          <w:rFonts w:ascii="Verdana" w:hAnsi="Verdana" w:eastAsia="Calibri" w:cs="Arial"/>
          <w:color w:val="000000" w:themeColor="text1"/>
        </w:rPr>
        <w:t>es de precisar que el</w:t>
      </w:r>
      <w:r w:rsidRPr="00097553" w:rsidR="00BE5044">
        <w:rPr>
          <w:rFonts w:ascii="Verdana" w:hAnsi="Verdana" w:eastAsia="Calibri" w:cs="Arial"/>
          <w:color w:val="000000" w:themeColor="text1"/>
        </w:rPr>
        <w:t xml:space="preserve"> artículo 34 de la Ley de Emprendimiento, el artículo 2.2.1.2.4.2.2 del Decreto 1082 de 2015 –modificado por el </w:t>
      </w:r>
      <w:r w:rsidR="00BE5044">
        <w:rPr>
          <w:rFonts w:ascii="Verdana" w:hAnsi="Verdana" w:eastAsia="Calibri" w:cs="Arial"/>
          <w:color w:val="000000" w:themeColor="text1"/>
        </w:rPr>
        <w:t xml:space="preserve">artículo 5 del </w:t>
      </w:r>
      <w:r w:rsidRPr="00097553" w:rsidR="00BE5044">
        <w:rPr>
          <w:rFonts w:ascii="Verdana" w:hAnsi="Verdana" w:eastAsia="Calibri" w:cs="Arial"/>
          <w:color w:val="000000" w:themeColor="text1"/>
        </w:rPr>
        <w:t xml:space="preserve">Decreto 1860 de 2021– establece los requisitos que se deben acreditar en las “convocatorias limitadas a MiPymes”. El inciso primero de la referida norma exige que las entidades estatales independientemente de su régimen de contratación, los patrimonios autónomos constituidos por entidades estatales y los particulares que ejecuten recursos públicos, limiten las convocatorias de </w:t>
      </w:r>
      <w:r w:rsidRPr="00097553" w:rsidR="00BE5044">
        <w:rPr>
          <w:rFonts w:ascii="Verdana" w:hAnsi="Verdana" w:eastAsia="Calibri" w:cs="Arial"/>
          <w:color w:val="000000" w:themeColor="text1"/>
        </w:rPr>
        <w:lastRenderedPageBreak/>
        <w:t xml:space="preserve">los procesos de contratación a las MiPymes colombianas con mínimo un (1) año de existencia, </w:t>
      </w:r>
      <w:r w:rsidRPr="00CC408F" w:rsidR="00BE5044">
        <w:rPr>
          <w:rFonts w:ascii="Verdana" w:hAnsi="Verdana" w:eastAsia="Calibri" w:cs="Arial"/>
          <w:color w:val="000000" w:themeColor="text1"/>
        </w:rPr>
        <w:t xml:space="preserve">siempre que se cumplan los </w:t>
      </w:r>
      <w:r w:rsidR="00BE5044">
        <w:rPr>
          <w:rFonts w:ascii="Verdana" w:hAnsi="Verdana" w:eastAsia="Calibri" w:cs="Arial"/>
          <w:color w:val="000000" w:themeColor="text1"/>
        </w:rPr>
        <w:t>siguientes requisitos:</w:t>
      </w:r>
    </w:p>
    <w:p w:rsidR="00BE5044" w:rsidP="00BE5044" w:rsidRDefault="00BE5044" w14:paraId="639B334D" w14:textId="77777777">
      <w:pPr>
        <w:spacing w:after="0" w:line="276" w:lineRule="auto"/>
        <w:jc w:val="both"/>
        <w:rPr>
          <w:rFonts w:ascii="Verdana" w:hAnsi="Verdana" w:eastAsia="Calibri" w:cs="Arial"/>
          <w:color w:val="000000" w:themeColor="text1"/>
        </w:rPr>
      </w:pPr>
    </w:p>
    <w:p w:rsidRPr="000920EC" w:rsidR="00BE5044" w:rsidP="00BE5044" w:rsidRDefault="00BE5044" w14:paraId="540C015D" w14:textId="77777777">
      <w:pPr>
        <w:pStyle w:val="Prrafodelista"/>
        <w:spacing w:after="0" w:line="276" w:lineRule="auto"/>
        <w:ind w:left="1049" w:right="709"/>
        <w:jc w:val="both"/>
        <w:rPr>
          <w:rFonts w:ascii="Verdana" w:hAnsi="Verdana" w:eastAsia="Calibri" w:cs="Arial"/>
          <w:color w:val="000000" w:themeColor="text1"/>
          <w:sz w:val="20"/>
          <w:szCs w:val="20"/>
        </w:rPr>
      </w:pPr>
      <w:r>
        <w:rPr>
          <w:rFonts w:ascii="Verdana" w:hAnsi="Verdana" w:eastAsia="Calibri" w:cs="Arial"/>
          <w:color w:val="000000" w:themeColor="text1"/>
          <w:sz w:val="20"/>
          <w:szCs w:val="20"/>
        </w:rPr>
        <w:t>“</w:t>
      </w:r>
      <w:r w:rsidRPr="000920EC">
        <w:rPr>
          <w:rFonts w:ascii="Verdana" w:hAnsi="Verdana" w:eastAsia="Calibri" w:cs="Arial"/>
          <w:color w:val="000000" w:themeColor="text1"/>
          <w:sz w:val="20"/>
          <w:szCs w:val="20"/>
        </w:rPr>
        <w:t>1. El valor del Proceso de Contratación sea menor a ciento veinticinco mil dólares de los Estados Unidos de América (US$125.000), liquidados con la tasa de cambio que para el efecto determina cada dos años el Ministerio de Comercio, Industria y Turismo.</w:t>
      </w:r>
    </w:p>
    <w:p w:rsidRPr="000920EC" w:rsidR="00BE5044" w:rsidP="00BE5044" w:rsidRDefault="00BE5044" w14:paraId="6B9D384E" w14:textId="77777777">
      <w:pPr>
        <w:pStyle w:val="Prrafodelista"/>
        <w:spacing w:after="0" w:line="276" w:lineRule="auto"/>
        <w:ind w:left="714"/>
        <w:jc w:val="both"/>
        <w:rPr>
          <w:rFonts w:ascii="Verdana" w:hAnsi="Verdana" w:eastAsia="Calibri" w:cs="Arial"/>
          <w:color w:val="000000" w:themeColor="text1"/>
          <w:sz w:val="20"/>
          <w:szCs w:val="20"/>
        </w:rPr>
      </w:pPr>
      <w:r w:rsidRPr="000920EC">
        <w:rPr>
          <w:rFonts w:ascii="Verdana" w:hAnsi="Verdana" w:eastAsia="Calibri" w:cs="Arial"/>
          <w:color w:val="000000" w:themeColor="text1"/>
          <w:sz w:val="20"/>
          <w:szCs w:val="20"/>
        </w:rPr>
        <w:t> </w:t>
      </w:r>
    </w:p>
    <w:p w:rsidRPr="000920EC" w:rsidR="00BE5044" w:rsidP="00BE5044" w:rsidRDefault="00BE5044" w14:paraId="0985FB48" w14:textId="77777777">
      <w:pPr>
        <w:pStyle w:val="Prrafodelista"/>
        <w:spacing w:after="0" w:line="276" w:lineRule="auto"/>
        <w:ind w:left="1049" w:right="709"/>
        <w:jc w:val="both"/>
        <w:rPr>
          <w:rFonts w:ascii="Verdana" w:hAnsi="Verdana" w:eastAsia="Calibri" w:cs="Arial"/>
          <w:color w:val="000000" w:themeColor="text1"/>
          <w:sz w:val="20"/>
          <w:szCs w:val="20"/>
        </w:rPr>
      </w:pPr>
      <w:bookmarkStart w:name="2.2.1.2.4.2.2.2" w:id="1"/>
      <w:bookmarkEnd w:id="1"/>
      <w:r w:rsidRPr="000920EC">
        <w:rPr>
          <w:rFonts w:ascii="Verdana" w:hAnsi="Verdana" w:eastAsia="Calibri" w:cs="Arial"/>
          <w:color w:val="000000" w:themeColor="text1"/>
          <w:sz w:val="20"/>
          <w:szCs w:val="20"/>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rsidRPr="000920EC" w:rsidR="00BE5044" w:rsidP="00BE5044" w:rsidRDefault="00BE5044" w14:paraId="74059ED8" w14:textId="77777777">
      <w:pPr>
        <w:pStyle w:val="Prrafodelista"/>
        <w:spacing w:after="0" w:line="276" w:lineRule="auto"/>
        <w:ind w:left="1049" w:right="709"/>
        <w:jc w:val="both"/>
        <w:rPr>
          <w:rFonts w:ascii="Verdana" w:hAnsi="Verdana" w:eastAsia="Calibri" w:cs="Arial"/>
          <w:color w:val="000000" w:themeColor="text1"/>
          <w:sz w:val="20"/>
          <w:szCs w:val="20"/>
        </w:rPr>
      </w:pPr>
      <w:r w:rsidRPr="000920EC">
        <w:rPr>
          <w:rFonts w:ascii="Verdana" w:hAnsi="Verdana" w:eastAsia="Calibri" w:cs="Arial"/>
          <w:color w:val="000000" w:themeColor="text1"/>
          <w:sz w:val="20"/>
          <w:szCs w:val="20"/>
        </w:rPr>
        <w:t>Tratándose de personas jurídicas, las solicitudes solo las podrán realizar Mipyme, cuyo objeto social les permita ejecutar el contrato relacionado con el proceso contractual.</w:t>
      </w:r>
    </w:p>
    <w:p w:rsidRPr="000920EC" w:rsidR="00BE5044" w:rsidP="00BE5044" w:rsidRDefault="00BE5044" w14:paraId="16ABAC52" w14:textId="77777777">
      <w:pPr>
        <w:pStyle w:val="Prrafodelista"/>
        <w:spacing w:after="0" w:line="276" w:lineRule="auto"/>
        <w:ind w:left="714"/>
        <w:jc w:val="both"/>
        <w:rPr>
          <w:rFonts w:ascii="Verdana" w:hAnsi="Verdana" w:eastAsia="Calibri" w:cs="Arial"/>
          <w:color w:val="000000" w:themeColor="text1"/>
          <w:sz w:val="20"/>
          <w:szCs w:val="20"/>
        </w:rPr>
      </w:pPr>
    </w:p>
    <w:p w:rsidRPr="000920EC" w:rsidR="00BE5044" w:rsidP="00BE5044" w:rsidRDefault="00BE5044" w14:paraId="52FE9656" w14:textId="77777777">
      <w:pPr>
        <w:pStyle w:val="Prrafodelista"/>
        <w:spacing w:after="0" w:line="276" w:lineRule="auto"/>
        <w:ind w:left="1049" w:right="709"/>
        <w:jc w:val="both"/>
        <w:rPr>
          <w:rFonts w:ascii="Verdana" w:hAnsi="Verdana" w:eastAsia="Calibri" w:cs="Arial"/>
          <w:color w:val="000000" w:themeColor="text1"/>
          <w:sz w:val="20"/>
          <w:szCs w:val="20"/>
        </w:rPr>
      </w:pPr>
      <w:r w:rsidRPr="000920EC">
        <w:rPr>
          <w:rFonts w:ascii="Verdana" w:hAnsi="Verdana" w:eastAsia="Calibri" w:cs="Arial"/>
          <w:color w:val="000000" w:themeColor="text1"/>
          <w:sz w:val="20"/>
          <w:szCs w:val="20"/>
        </w:rPr>
        <w:t>Parágrafo</w:t>
      </w:r>
      <w:bookmarkStart w:name="2.2.1.2.4.2.2.p" w:id="2"/>
      <w:bookmarkEnd w:id="2"/>
      <w:r w:rsidRPr="000920EC">
        <w:rPr>
          <w:rFonts w:ascii="Verdana" w:hAnsi="Verdana" w:eastAsia="Calibri" w:cs="Arial"/>
          <w:b/>
          <w:bCs/>
          <w:color w:val="000000" w:themeColor="text1"/>
          <w:sz w:val="20"/>
          <w:szCs w:val="20"/>
        </w:rPr>
        <w:t>.</w:t>
      </w:r>
      <w:r w:rsidRPr="000920EC">
        <w:rPr>
          <w:rFonts w:ascii="Verdana" w:hAnsi="Verdana" w:eastAsia="Calibri" w:cs="Arial"/>
          <w:color w:val="000000" w:themeColor="text1"/>
          <w:sz w:val="20"/>
          <w:szCs w:val="20"/>
        </w:rPr>
        <w:t> Las cooperativas y demás entidades de economía solidaria, siempre que tengan la calidad de Mípyme, podrán solicitar y participar en las convocatorias limitadas en las mismas condiciones dispuestas en el presente artículo.”</w:t>
      </w:r>
      <w:r w:rsidRPr="000920EC">
        <w:rPr>
          <w:rStyle w:val="Refdenotaalpie"/>
          <w:rFonts w:ascii="Verdana" w:hAnsi="Verdana" w:eastAsia="Calibri" w:cs="Arial"/>
          <w:color w:val="000000" w:themeColor="text1"/>
          <w:sz w:val="20"/>
          <w:szCs w:val="20"/>
        </w:rPr>
        <w:footnoteReference w:id="2"/>
      </w:r>
    </w:p>
    <w:p w:rsidRPr="000920EC" w:rsidR="00BE5044" w:rsidP="00BE5044" w:rsidRDefault="00BE5044" w14:paraId="0BDA4533" w14:textId="77777777">
      <w:pPr>
        <w:spacing w:after="0" w:line="276" w:lineRule="auto"/>
        <w:jc w:val="both"/>
        <w:rPr>
          <w:rFonts w:ascii="Verdana" w:hAnsi="Verdana" w:eastAsia="Calibri" w:cs="Arial"/>
          <w:color w:val="000000" w:themeColor="text1"/>
          <w:sz w:val="20"/>
          <w:szCs w:val="20"/>
        </w:rPr>
      </w:pPr>
      <w:r w:rsidRPr="000920EC">
        <w:rPr>
          <w:rFonts w:ascii="Verdana" w:hAnsi="Verdana" w:eastAsia="Calibri" w:cs="Arial"/>
          <w:color w:val="000000" w:themeColor="text1"/>
          <w:sz w:val="20"/>
          <w:szCs w:val="20"/>
        </w:rPr>
        <w:t xml:space="preserve"> </w:t>
      </w:r>
    </w:p>
    <w:p w:rsidRPr="002B1471" w:rsidR="00BE5044" w:rsidP="00BE5044" w:rsidRDefault="00BE5044" w14:paraId="66984899" w14:textId="77777777">
      <w:pPr>
        <w:pStyle w:val="Prrafodelista"/>
        <w:numPr>
          <w:ilvl w:val="0"/>
          <w:numId w:val="7"/>
        </w:numPr>
        <w:spacing w:after="0" w:line="276" w:lineRule="auto"/>
        <w:ind w:left="714" w:hanging="357"/>
        <w:jc w:val="both"/>
        <w:rPr>
          <w:rFonts w:ascii="Verdana" w:hAnsi="Verdana" w:eastAsia="Calibri" w:cs="Arial"/>
          <w:color w:val="000000" w:themeColor="text1"/>
        </w:rPr>
      </w:pPr>
      <w:r w:rsidRPr="002B1471">
        <w:rPr>
          <w:rFonts w:ascii="Verdana" w:hAnsi="Verdana" w:eastAsia="Calibri" w:cs="Arial"/>
          <w:color w:val="000000" w:themeColor="text1"/>
        </w:rPr>
        <w:t xml:space="preserve">Por otra parte, en relación con las limitaciones territoriales de las convocatorias a MiPymes, </w:t>
      </w:r>
      <w:r>
        <w:rPr>
          <w:rFonts w:ascii="Verdana" w:hAnsi="Verdana" w:eastAsia="Calibri" w:cs="Arial"/>
          <w:color w:val="000000" w:themeColor="text1"/>
        </w:rPr>
        <w:t xml:space="preserve">el parágrafo 1 del artículo 12 de la Ley 1150 de 2007 y el </w:t>
      </w:r>
      <w:r w:rsidRPr="002B1471">
        <w:rPr>
          <w:rFonts w:ascii="Verdana" w:hAnsi="Verdana" w:cs="Arial"/>
          <w:color w:val="000000" w:themeColor="text1"/>
        </w:rPr>
        <w:t>artículo 2.2.1.2.4.2.3 del Decreto 1082 de 2015, modificado por el artículo 5 del Decreto 1860 de 2021</w:t>
      </w:r>
      <w:r>
        <w:rPr>
          <w:rFonts w:ascii="Verdana" w:hAnsi="Verdana" w:cs="Arial"/>
          <w:color w:val="000000" w:themeColor="text1"/>
        </w:rPr>
        <w:t>,</w:t>
      </w:r>
      <w:r w:rsidRPr="002B1471">
        <w:rPr>
          <w:rFonts w:ascii="Verdana" w:hAnsi="Verdana" w:cs="Arial"/>
          <w:color w:val="000000" w:themeColor="text1"/>
        </w:rPr>
        <w:t xml:space="preserve"> coincide</w:t>
      </w:r>
      <w:r>
        <w:rPr>
          <w:rFonts w:ascii="Verdana" w:hAnsi="Verdana" w:cs="Arial"/>
          <w:color w:val="000000" w:themeColor="text1"/>
        </w:rPr>
        <w:t>n</w:t>
      </w:r>
      <w:r w:rsidRPr="002B1471">
        <w:rPr>
          <w:rFonts w:ascii="Verdana" w:hAnsi="Verdana" w:cs="Arial"/>
          <w:color w:val="000000" w:themeColor="text1"/>
        </w:rPr>
        <w:t xml:space="preserve"> con la redacción del parágrafo 1 del artículo 34 de la Ley 2069 de 2020, según el cual, “En los procesos de selección que se desarrollen con base en el primer inciso, las entidades </w:t>
      </w:r>
      <w:r w:rsidRPr="00D71721">
        <w:rPr>
          <w:rFonts w:ascii="Verdana" w:hAnsi="Verdana" w:cs="Arial"/>
          <w:i/>
          <w:iCs/>
          <w:color w:val="000000" w:themeColor="text1"/>
        </w:rPr>
        <w:t>podrán</w:t>
      </w:r>
      <w:r w:rsidRPr="002B1471">
        <w:rPr>
          <w:rFonts w:ascii="Verdana" w:hAnsi="Verdana" w:cs="Arial"/>
          <w:color w:val="000000" w:themeColor="text1"/>
        </w:rPr>
        <w:t xml:space="preserve"> realizar las convocatorias limitadas que beneficien a las MiPymes del ámbito municipal o departamental correspondiente al de la ejecución del contrato”. En tales términos, la</w:t>
      </w:r>
      <w:r>
        <w:rPr>
          <w:rFonts w:ascii="Verdana" w:hAnsi="Verdana" w:cs="Arial"/>
          <w:color w:val="000000" w:themeColor="text1"/>
        </w:rPr>
        <w:t>s</w:t>
      </w:r>
      <w:r w:rsidRPr="002B1471">
        <w:rPr>
          <w:rFonts w:ascii="Verdana" w:hAnsi="Verdana" w:cs="Arial"/>
          <w:color w:val="000000" w:themeColor="text1"/>
        </w:rPr>
        <w:t xml:space="preserve"> norma</w:t>
      </w:r>
      <w:r>
        <w:rPr>
          <w:rFonts w:ascii="Verdana" w:hAnsi="Verdana" w:cs="Arial"/>
          <w:color w:val="000000" w:themeColor="text1"/>
        </w:rPr>
        <w:t>s</w:t>
      </w:r>
      <w:r w:rsidRPr="002B1471">
        <w:rPr>
          <w:rFonts w:ascii="Verdana" w:hAnsi="Verdana" w:cs="Arial"/>
          <w:color w:val="000000" w:themeColor="text1"/>
        </w:rPr>
        <w:t xml:space="preserve"> citada</w:t>
      </w:r>
      <w:r>
        <w:rPr>
          <w:rFonts w:ascii="Verdana" w:hAnsi="Verdana" w:cs="Arial"/>
          <w:color w:val="000000" w:themeColor="text1"/>
        </w:rPr>
        <w:t>s</w:t>
      </w:r>
      <w:r w:rsidRPr="002B1471">
        <w:rPr>
          <w:rFonts w:ascii="Verdana" w:hAnsi="Verdana" w:cs="Arial"/>
          <w:color w:val="000000" w:themeColor="text1"/>
        </w:rPr>
        <w:t xml:space="preserve"> solo </w:t>
      </w:r>
      <w:r w:rsidRPr="002B1471">
        <w:rPr>
          <w:rFonts w:ascii="Verdana" w:hAnsi="Verdana" w:cs="Arial"/>
          <w:color w:val="000000" w:themeColor="text1"/>
        </w:rPr>
        <w:lastRenderedPageBreak/>
        <w:t>contempla</w:t>
      </w:r>
      <w:r>
        <w:rPr>
          <w:rFonts w:ascii="Verdana" w:hAnsi="Verdana" w:cs="Arial"/>
          <w:color w:val="000000" w:themeColor="text1"/>
        </w:rPr>
        <w:t>n</w:t>
      </w:r>
      <w:r w:rsidRPr="002B1471">
        <w:rPr>
          <w:rFonts w:ascii="Verdana" w:hAnsi="Verdana" w:cs="Arial"/>
          <w:color w:val="000000" w:themeColor="text1"/>
        </w:rPr>
        <w:t xml:space="preserve"> la </w:t>
      </w:r>
      <w:r w:rsidRPr="00B84F7A">
        <w:rPr>
          <w:rFonts w:ascii="Verdana" w:hAnsi="Verdana" w:cs="Arial"/>
          <w:i/>
          <w:iCs/>
          <w:color w:val="000000" w:themeColor="text1"/>
        </w:rPr>
        <w:t>posibilidad</w:t>
      </w:r>
      <w:r w:rsidRPr="002B1471">
        <w:rPr>
          <w:rFonts w:ascii="Verdana" w:hAnsi="Verdana" w:cs="Arial"/>
          <w:color w:val="000000" w:themeColor="text1"/>
        </w:rPr>
        <w:t xml:space="preserve"> </w:t>
      </w:r>
      <w:r>
        <w:rPr>
          <w:rFonts w:ascii="Verdana" w:hAnsi="Verdana" w:cs="Arial"/>
          <w:color w:val="000000" w:themeColor="text1"/>
        </w:rPr>
        <w:t xml:space="preserve">que tienen las entidades contratantes </w:t>
      </w:r>
      <w:r w:rsidRPr="002B1471">
        <w:rPr>
          <w:rFonts w:ascii="Verdana" w:hAnsi="Verdana" w:cs="Arial"/>
          <w:color w:val="000000" w:themeColor="text1"/>
        </w:rPr>
        <w:t xml:space="preserve">de limitar convocatorias a MiPymes con domicilio en esos dos tipos de entidades territoriales. </w:t>
      </w:r>
    </w:p>
    <w:p w:rsidRPr="00097553" w:rsidR="00BE5044" w:rsidP="00BE5044" w:rsidRDefault="00BE5044" w14:paraId="7B261661" w14:textId="77777777">
      <w:pPr>
        <w:pStyle w:val="Prrafodelista"/>
        <w:spacing w:after="0" w:line="276" w:lineRule="auto"/>
        <w:ind w:left="714" w:hanging="357"/>
        <w:jc w:val="both"/>
        <w:rPr>
          <w:rFonts w:ascii="Verdana" w:hAnsi="Verdana" w:eastAsia="Calibri" w:cs="Arial"/>
          <w:color w:val="000000" w:themeColor="text1"/>
        </w:rPr>
      </w:pPr>
    </w:p>
    <w:p w:rsidRPr="00097553" w:rsidR="00BE5044" w:rsidP="00BE5044" w:rsidRDefault="00BE5044" w14:paraId="7F3590A7" w14:textId="77777777">
      <w:pPr>
        <w:pStyle w:val="Prrafodelista"/>
        <w:numPr>
          <w:ilvl w:val="0"/>
          <w:numId w:val="7"/>
        </w:numPr>
        <w:spacing w:after="0" w:line="276" w:lineRule="auto"/>
        <w:ind w:left="714" w:hanging="357"/>
        <w:jc w:val="both"/>
        <w:rPr>
          <w:rFonts w:ascii="Verdana" w:hAnsi="Verdana" w:eastAsia="Calibri" w:cs="Arial"/>
          <w:color w:val="000000" w:themeColor="text1"/>
        </w:rPr>
      </w:pPr>
      <w:r w:rsidRPr="00097553">
        <w:rPr>
          <w:rFonts w:ascii="Verdana" w:hAnsi="Verdana" w:eastAsia="Calibri" w:cs="Arial"/>
          <w:color w:val="000000" w:themeColor="text1"/>
        </w:rPr>
        <w:t xml:space="preserve">En ese sentido, </w:t>
      </w:r>
      <w:r>
        <w:rPr>
          <w:rFonts w:ascii="Verdana" w:hAnsi="Verdana" w:eastAsia="Calibri" w:cs="Arial"/>
          <w:color w:val="000000" w:themeColor="text1"/>
        </w:rPr>
        <w:t xml:space="preserve">sobre la convocatoria limitada a MiPymes nacional, es claro que </w:t>
      </w:r>
      <w:r w:rsidRPr="00097553">
        <w:rPr>
          <w:rFonts w:ascii="Verdana" w:hAnsi="Verdana" w:eastAsia="Calibri" w:cs="Arial"/>
          <w:color w:val="000000" w:themeColor="text1"/>
        </w:rPr>
        <w:t xml:space="preserve">toda empresa constituida bajo las leyes colombianas o que tenga su domicilio principal en el territorio colombiano y, además, cumpla los criterios previstos por la Ley 590 de 2000 y el Decreto 957 de 2019, será considerada MiPymes nacional. </w:t>
      </w:r>
      <w:r>
        <w:rPr>
          <w:rFonts w:ascii="Verdana" w:hAnsi="Verdana" w:eastAsia="Calibri" w:cs="Arial"/>
          <w:color w:val="000000" w:themeColor="text1"/>
        </w:rPr>
        <w:t>Ahora bien, frente a la limitación territorial</w:t>
      </w:r>
      <w:r w:rsidRPr="00097553">
        <w:rPr>
          <w:rFonts w:ascii="Verdana" w:hAnsi="Verdana" w:eastAsia="Calibri" w:cs="Arial"/>
          <w:color w:val="000000" w:themeColor="text1"/>
        </w:rPr>
        <w:t>, las normas de contratación permiten que las MiPymes nacionales puedan beneficiarse de la ejecución de un contrato dentro de la entidad territorial en la que tienen su “domicilio”</w:t>
      </w:r>
      <w:r>
        <w:rPr>
          <w:rFonts w:ascii="Verdana" w:hAnsi="Verdana" w:eastAsia="Calibri" w:cs="Arial"/>
          <w:color w:val="000000" w:themeColor="text1"/>
        </w:rPr>
        <w:t>, ya que dicho marco normativo tiene como propósito el de incentivar la promoción del desarrollo en la contratación estatal.</w:t>
      </w:r>
    </w:p>
    <w:p w:rsidRPr="00097553" w:rsidR="00BE5044" w:rsidP="00BE5044" w:rsidRDefault="00BE5044" w14:paraId="44FB5BF7" w14:textId="77777777">
      <w:pPr>
        <w:pStyle w:val="Prrafodelista"/>
        <w:spacing w:after="0" w:line="276" w:lineRule="auto"/>
        <w:ind w:left="714" w:hanging="357"/>
        <w:rPr>
          <w:rFonts w:ascii="Verdana" w:hAnsi="Verdana" w:eastAsia="Calibri" w:cs="Arial"/>
          <w:color w:val="000000" w:themeColor="text1"/>
        </w:rPr>
      </w:pPr>
    </w:p>
    <w:p w:rsidRPr="0038239A" w:rsidR="00BE5044" w:rsidP="00BE5044" w:rsidRDefault="00BE5044" w14:paraId="7A03F1F6" w14:textId="77777777">
      <w:pPr>
        <w:pStyle w:val="Prrafodelista"/>
        <w:numPr>
          <w:ilvl w:val="0"/>
          <w:numId w:val="7"/>
        </w:numPr>
        <w:spacing w:after="0" w:line="276" w:lineRule="auto"/>
        <w:ind w:left="714" w:hanging="357"/>
        <w:jc w:val="both"/>
        <w:rPr>
          <w:rFonts w:ascii="Verdana" w:hAnsi="Verdana" w:eastAsia="Calibri" w:cs="Arial"/>
          <w:color w:val="000000" w:themeColor="text1"/>
        </w:rPr>
      </w:pPr>
      <w:r w:rsidRPr="0038239A">
        <w:rPr>
          <w:rFonts w:ascii="Verdana" w:hAnsi="Verdana" w:eastAsia="Calibri" w:cs="Arial"/>
          <w:color w:val="000000" w:themeColor="text1"/>
        </w:rPr>
        <w:t xml:space="preserve">No puede perderse de vista que la decisión de limitar “a MiPymes colombianas que tengan domicilio en los departamentos o municipios en donde se va a ejecutar el contrato”, aunque es </w:t>
      </w:r>
      <w:r w:rsidRPr="0038239A">
        <w:rPr>
          <w:rFonts w:ascii="Verdana" w:hAnsi="Verdana" w:eastAsia="Calibri" w:cs="Arial"/>
          <w:i/>
          <w:iCs/>
          <w:color w:val="000000" w:themeColor="text1"/>
        </w:rPr>
        <w:t>facultativa</w:t>
      </w:r>
      <w:r w:rsidRPr="0038239A">
        <w:rPr>
          <w:rFonts w:ascii="Verdana" w:hAnsi="Verdana" w:eastAsia="Calibri" w:cs="Arial"/>
          <w:color w:val="000000" w:themeColor="text1"/>
        </w:rPr>
        <w:t xml:space="preserve"> de la entidad, está supeditada a que se verifiquen los requisitos establecidos en los numerales 1 y 2 del precitado artículo 2.2.1.2.4.2.2 del Decreto 1082 de 2015, modificado por el Decreto 1860 de 2021. En ese sentido, si la entidad no recibió las solicitudes para limitar la convocatoria a MiPymes nacionales, no puede motu proprio 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rsidRPr="00097553" w:rsidR="00BE5044" w:rsidP="00BE5044" w:rsidRDefault="00BE5044" w14:paraId="04666567" w14:textId="77777777">
      <w:pPr>
        <w:pStyle w:val="Prrafodelista"/>
        <w:spacing w:after="0" w:line="276" w:lineRule="auto"/>
        <w:ind w:left="714" w:hanging="357"/>
        <w:jc w:val="both"/>
        <w:rPr>
          <w:rFonts w:ascii="Verdana" w:hAnsi="Verdana" w:eastAsia="Calibri" w:cs="Arial"/>
          <w:color w:val="000000" w:themeColor="text1"/>
        </w:rPr>
      </w:pPr>
    </w:p>
    <w:p w:rsidRPr="00F34CCA" w:rsidR="00BE5044" w:rsidP="00BE5044" w:rsidRDefault="00BE5044" w14:paraId="674CDDC8" w14:textId="77777777">
      <w:pPr>
        <w:pStyle w:val="Prrafodelista"/>
        <w:numPr>
          <w:ilvl w:val="0"/>
          <w:numId w:val="7"/>
        </w:numPr>
        <w:spacing w:after="0" w:line="276" w:lineRule="auto"/>
        <w:ind w:left="714" w:hanging="357"/>
        <w:jc w:val="both"/>
        <w:rPr>
          <w:rFonts w:ascii="Verdana" w:hAnsi="Verdana" w:eastAsia="Calibri" w:cs="Arial"/>
          <w:color w:val="000000" w:themeColor="text1"/>
        </w:rPr>
      </w:pPr>
      <w:r w:rsidRPr="00F34CCA">
        <w:rPr>
          <w:rFonts w:ascii="Verdana" w:hAnsi="Verdana" w:eastAsia="Calibri" w:cs="Arial"/>
          <w:color w:val="000000" w:themeColor="text1"/>
        </w:rPr>
        <w:t xml:space="preserve">En tal sentido, lo que debe adoptarse obligatoriamente es la limitación a MiPymes colombianas siempre que se cumplan las condiciones del artículo 2.2.1.2.4.2.2 del Decreto 1082 de 2015, pero no la “limitación territorial” referida en el artículo 2.2.1.2.4.2.3 ibídem, pues esta es facultativa para la entidad. Las únicas exigencias son que la convocatoria esté limitada a las MiPymes colombianas “domiciliadas en los departamentos o municipios </w:t>
      </w:r>
      <w:r w:rsidRPr="00F34CCA">
        <w:rPr>
          <w:rFonts w:ascii="Verdana" w:hAnsi="Verdana" w:eastAsia="Calibri" w:cs="Arial"/>
          <w:color w:val="000000" w:themeColor="text1"/>
        </w:rPr>
        <w:lastRenderedPageBreak/>
        <w:t>en donde se va a ejecutar el contrato” y que la entidad justifique su decisión con base en los “estudios del sector”</w:t>
      </w:r>
      <w:r w:rsidRPr="00097553">
        <w:rPr>
          <w:rStyle w:val="Refdenotaalpie"/>
          <w:rFonts w:ascii="Verdana" w:hAnsi="Verdana" w:eastAsia="Calibri" w:cs="Arial"/>
          <w:color w:val="000000" w:themeColor="text1"/>
        </w:rPr>
        <w:footnoteReference w:id="3"/>
      </w:r>
      <w:r w:rsidRPr="00F34CCA">
        <w:rPr>
          <w:rFonts w:ascii="Verdana" w:hAnsi="Verdana" w:eastAsia="Calibri" w:cs="Arial"/>
          <w:color w:val="000000" w:themeColor="text1"/>
        </w:rPr>
        <w:t xml:space="preserve">. </w:t>
      </w:r>
    </w:p>
    <w:p w:rsidRPr="00097553" w:rsidR="00BE5044" w:rsidP="00BE5044" w:rsidRDefault="00BE5044" w14:paraId="0AE538CC" w14:textId="77777777">
      <w:pPr>
        <w:pStyle w:val="Prrafodelista"/>
        <w:spacing w:after="0" w:line="276" w:lineRule="auto"/>
        <w:ind w:left="714" w:hanging="357"/>
        <w:rPr>
          <w:rFonts w:ascii="Verdana" w:hAnsi="Verdana" w:eastAsia="Calibri" w:cs="Arial"/>
          <w:color w:val="000000" w:themeColor="text1"/>
        </w:rPr>
      </w:pPr>
    </w:p>
    <w:p w:rsidR="00BE5044" w:rsidP="00BE5044" w:rsidRDefault="00BE5044" w14:paraId="16C0963F" w14:textId="77777777">
      <w:pPr>
        <w:pStyle w:val="Prrafodelista"/>
        <w:numPr>
          <w:ilvl w:val="0"/>
          <w:numId w:val="7"/>
        </w:numPr>
        <w:spacing w:after="0" w:line="276" w:lineRule="auto"/>
        <w:ind w:left="714" w:hanging="357"/>
        <w:jc w:val="both"/>
        <w:rPr>
          <w:rFonts w:ascii="Verdana" w:hAnsi="Verdana" w:eastAsia="Calibri" w:cs="Arial"/>
          <w:color w:val="000000" w:themeColor="text1"/>
        </w:rPr>
      </w:pPr>
      <w:r w:rsidRPr="00097553">
        <w:rPr>
          <w:rFonts w:ascii="Verdana" w:hAnsi="Verdana" w:eastAsia="Calibri" w:cs="Arial"/>
          <w:color w:val="000000" w:themeColor="text1"/>
        </w:rPr>
        <w:t>En resumen, la decisión de limitar o no territorialmente una convocatoria limitada a MiPymes nacionales es una facultad discrecional, de manera que la entidad contratante valorará si es oportuno y conveniente adoptarla. Sin embargo, aunque la discrecionalidad implica una elección administrativa, no puede ser una decisión irracional o arbitraria. Por ello, el ordenamiento impone una carga de motivación en el ejercicio de este tipo de facultades, pues –teniendo en cuenta la remisión del artículo 77 de la Ley 80 de 1993 a las normas que rigen los procedimientos y actuaciones en la función administrativa– el artículo 44 de la Ley 1437 de 2011 dispone que “En la medida en que el contenido de una decisión de carácter general o particular sea discrecional, debe ser adecuada a los fines de la norma que la autoriza, y proporcional a los hechos que le sirven de causa”.</w:t>
      </w:r>
    </w:p>
    <w:p w:rsidRPr="00F20403" w:rsidR="00F20403" w:rsidP="00F20403" w:rsidRDefault="00F20403" w14:paraId="333DA46B" w14:textId="77777777">
      <w:pPr>
        <w:spacing w:after="0" w:line="276" w:lineRule="auto"/>
        <w:jc w:val="both"/>
        <w:rPr>
          <w:rFonts w:ascii="Verdana" w:hAnsi="Verdana" w:eastAsia="Calibri" w:cs="Arial"/>
          <w:color w:val="000000" w:themeColor="text1"/>
        </w:rPr>
      </w:pPr>
    </w:p>
    <w:p w:rsidRPr="003764D0" w:rsidR="00F20403" w:rsidP="00F20403" w:rsidRDefault="00F20403" w14:paraId="4C2D7F0D" w14:textId="77777777">
      <w:pPr>
        <w:numPr>
          <w:ilvl w:val="0"/>
          <w:numId w:val="7"/>
        </w:numPr>
        <w:spacing w:after="0" w:line="276" w:lineRule="auto"/>
        <w:contextualSpacing/>
        <w:jc w:val="both"/>
        <w:rPr>
          <w:rFonts w:ascii="Verdana" w:hAnsi="Verdana" w:eastAsia="Calibri" w:cs="Arial"/>
        </w:rPr>
      </w:pPr>
      <w:r w:rsidRPr="003764D0">
        <w:rPr>
          <w:rFonts w:ascii="Verdana" w:hAnsi="Verdana" w:eastAsia="Calibri"/>
          <w:lang w:val="es-ES"/>
        </w:rPr>
        <w:t xml:space="preserve">Finalmente, es pertinente indicar que la Agencia Nacional de Contratación Pública – Colombia Compra Eficiente, por vía consultiva, no puede definir un criterio universal y absoluto, sino que brinda elementos hermenéuticos </w:t>
      </w:r>
      <w:r w:rsidRPr="003764D0">
        <w:rPr>
          <w:rFonts w:ascii="Verdana" w:hAnsi="Verdana" w:eastAsia="Calibri"/>
          <w:lang w:val="es-ES"/>
        </w:rPr>
        <w:lastRenderedPageBreak/>
        <w:t>de carácter general para que los partícipes del sistema de compras y contratación pública adopten la decisión que corresponda, lo cual es acorde con el principio de juridicidad.</w:t>
      </w:r>
    </w:p>
    <w:p w:rsidRPr="00593A5F" w:rsidR="00871B59" w:rsidP="00871B59" w:rsidRDefault="00871B59" w14:paraId="524C4581" w14:textId="77777777">
      <w:pPr>
        <w:widowControl w:val="0"/>
        <w:autoSpaceDE w:val="0"/>
        <w:autoSpaceDN w:val="0"/>
        <w:spacing w:after="0" w:line="276" w:lineRule="auto"/>
        <w:jc w:val="both"/>
        <w:rPr>
          <w:rFonts w:ascii="Verdana" w:hAnsi="Verdana" w:cs="Arial"/>
        </w:rPr>
      </w:pPr>
    </w:p>
    <w:p w:rsidRPr="00593A5F" w:rsidR="00871B59" w:rsidP="00871B59" w:rsidRDefault="00871B59" w14:paraId="53133908"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Referencias normativas, jurisprudenciales y otras fuentes:</w:t>
      </w:r>
    </w:p>
    <w:p w:rsidRPr="00593A5F" w:rsidR="00871B59" w:rsidP="00871B59" w:rsidRDefault="00871B59" w14:paraId="237FD993"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871B59" w:rsidTr="002607A7" w14:paraId="150F7C2A" w14:textId="77777777">
        <w:trPr>
          <w:trHeight w:val="870"/>
        </w:trPr>
        <w:tc>
          <w:tcPr>
            <w:tcW w:w="8647" w:type="dxa"/>
          </w:tcPr>
          <w:p w:rsidR="00F20403" w:rsidP="00F20403" w:rsidRDefault="000E1DED" w14:paraId="7795E7B2" w14:textId="010B2893">
            <w:pPr>
              <w:pStyle w:val="Prrafodelista"/>
              <w:widowControl w:val="0"/>
              <w:numPr>
                <w:ilvl w:val="0"/>
                <w:numId w:val="8"/>
              </w:numPr>
              <w:autoSpaceDE w:val="0"/>
              <w:autoSpaceDN w:val="0"/>
              <w:spacing w:after="120" w:line="276" w:lineRule="auto"/>
              <w:ind w:left="454"/>
              <w:jc w:val="both"/>
              <w:rPr>
                <w:rFonts w:ascii="Verdana" w:hAnsi="Verdana" w:cs="Arial"/>
              </w:rPr>
            </w:pPr>
            <w:r w:rsidRPr="00F20403">
              <w:rPr>
                <w:rFonts w:ascii="Verdana" w:hAnsi="Verdana" w:cs="Arial"/>
              </w:rPr>
              <w:t xml:space="preserve">Ley 80 de 1993, artículos </w:t>
            </w:r>
            <w:r w:rsidR="00F20403">
              <w:rPr>
                <w:rFonts w:ascii="Verdana" w:hAnsi="Verdana" w:cs="Arial"/>
              </w:rPr>
              <w:t>77.</w:t>
            </w:r>
          </w:p>
          <w:p w:rsidR="00F20403" w:rsidP="00F20403" w:rsidRDefault="00F20403" w14:paraId="3914CA31" w14:textId="388646A1">
            <w:pPr>
              <w:pStyle w:val="Prrafodelista"/>
              <w:widowControl w:val="0"/>
              <w:numPr>
                <w:ilvl w:val="0"/>
                <w:numId w:val="8"/>
              </w:numPr>
              <w:autoSpaceDE w:val="0"/>
              <w:autoSpaceDN w:val="0"/>
              <w:spacing w:after="120" w:line="276" w:lineRule="auto"/>
              <w:ind w:left="454"/>
              <w:jc w:val="both"/>
              <w:rPr>
                <w:rFonts w:ascii="Verdana" w:hAnsi="Verdana" w:cs="Arial"/>
              </w:rPr>
            </w:pPr>
            <w:r>
              <w:rPr>
                <w:rFonts w:ascii="Verdana" w:hAnsi="Verdana" w:cs="Arial"/>
              </w:rPr>
              <w:t>Ley 1437 de 2011 , artículo 44.</w:t>
            </w:r>
            <w:r w:rsidRPr="00F20403" w:rsidR="000E1DED">
              <w:rPr>
                <w:rFonts w:ascii="Verdana" w:hAnsi="Verdana" w:cs="Arial"/>
              </w:rPr>
              <w:t xml:space="preserve"> </w:t>
            </w:r>
          </w:p>
          <w:p w:rsidRPr="00F20403" w:rsidR="00F20403" w:rsidP="00F20403" w:rsidRDefault="00F20403" w14:paraId="22A5E989" w14:textId="77777777">
            <w:pPr>
              <w:pStyle w:val="Prrafodelista"/>
              <w:widowControl w:val="0"/>
              <w:numPr>
                <w:ilvl w:val="0"/>
                <w:numId w:val="8"/>
              </w:numPr>
              <w:autoSpaceDE w:val="0"/>
              <w:autoSpaceDN w:val="0"/>
              <w:spacing w:after="120" w:line="276" w:lineRule="auto"/>
              <w:ind w:left="454"/>
              <w:jc w:val="both"/>
              <w:rPr>
                <w:rFonts w:ascii="Verdana" w:hAnsi="Verdana" w:cs="Arial"/>
              </w:rPr>
            </w:pPr>
            <w:r w:rsidRPr="00F20403">
              <w:rPr>
                <w:rFonts w:ascii="Verdana" w:hAnsi="Verdana" w:eastAsia="Calibri" w:cs="Arial"/>
                <w:lang w:val="es-ES"/>
              </w:rPr>
              <w:t xml:space="preserve">Decreto 1082 de 2015. Subsección 2. Artículos 2.2.1.2.4.2.2, 2.2.1.2.4.2.3, </w:t>
            </w:r>
            <w:r w:rsidRPr="00F20403">
              <w:rPr>
                <w:rFonts w:ascii="Verdana" w:hAnsi="Verdana" w:eastAsia="Calibri"/>
                <w:lang w:val="es-ES"/>
              </w:rPr>
              <w:t>2.2.1.2.4.2.4, 2.2.1.2.4.2.17,</w:t>
            </w:r>
            <w:r w:rsidRPr="003764D0">
              <w:t xml:space="preserve"> </w:t>
            </w:r>
            <w:r w:rsidRPr="00F20403">
              <w:rPr>
                <w:rFonts w:ascii="Verdana" w:hAnsi="Verdana" w:eastAsia="Calibri"/>
                <w:lang w:val="es-ES"/>
              </w:rPr>
              <w:t xml:space="preserve">2.2.1.2.4.2.18, 2.2.1.2.4.2.19 y </w:t>
            </w:r>
            <w:r w:rsidRPr="00F20403">
              <w:rPr>
                <w:rFonts w:ascii="Verdana" w:hAnsi="Verdana" w:eastAsia="Calibri" w:cs="Arial"/>
                <w:lang w:val="es-ES"/>
              </w:rPr>
              <w:t>2.2.1.2.1.5.2</w:t>
            </w:r>
          </w:p>
          <w:p w:rsidR="00F20403" w:rsidP="00F20403" w:rsidRDefault="00F20403" w14:paraId="4FC6B7B1" w14:textId="77777777">
            <w:pPr>
              <w:pStyle w:val="Prrafodelista"/>
              <w:widowControl w:val="0"/>
              <w:numPr>
                <w:ilvl w:val="0"/>
                <w:numId w:val="8"/>
              </w:numPr>
              <w:autoSpaceDE w:val="0"/>
              <w:autoSpaceDN w:val="0"/>
              <w:spacing w:line="276" w:lineRule="auto"/>
              <w:ind w:left="454"/>
              <w:jc w:val="both"/>
              <w:rPr>
                <w:rFonts w:ascii="Verdana" w:hAnsi="Verdana" w:cs="Arial"/>
              </w:rPr>
            </w:pPr>
            <w:r w:rsidRPr="00F20403">
              <w:rPr>
                <w:rFonts w:ascii="Verdana" w:hAnsi="Verdana" w:cs="Arial"/>
              </w:rPr>
              <w:t>Ley 2069 de 2020. Artículo 30,31,34 y 35.</w:t>
            </w:r>
          </w:p>
          <w:p w:rsidRPr="00AC742F" w:rsidR="00871B59" w:rsidP="00F20403" w:rsidRDefault="00F20403" w14:paraId="6ACEA7FD" w14:textId="3319B63B">
            <w:pPr>
              <w:pStyle w:val="Prrafodelista"/>
              <w:widowControl w:val="0"/>
              <w:numPr>
                <w:ilvl w:val="0"/>
                <w:numId w:val="8"/>
              </w:numPr>
              <w:autoSpaceDE w:val="0"/>
              <w:autoSpaceDN w:val="0"/>
              <w:spacing w:line="276" w:lineRule="auto"/>
              <w:ind w:left="454"/>
              <w:jc w:val="both"/>
              <w:rPr>
                <w:rFonts w:ascii="Verdana" w:hAnsi="Verdana" w:cs="Arial"/>
              </w:rPr>
            </w:pPr>
            <w:r w:rsidRPr="00F20403">
              <w:rPr>
                <w:rFonts w:ascii="Verdana" w:hAnsi="Verdana" w:eastAsia="Calibri" w:cs="Arial"/>
                <w:lang w:val="es-ES"/>
              </w:rPr>
              <w:t>Decreto 1860 de 2021. Artículos 2 y 3</w:t>
            </w:r>
            <w:r>
              <w:rPr>
                <w:rFonts w:ascii="Verdana" w:hAnsi="Verdana" w:eastAsia="Calibri" w:cs="Arial"/>
                <w:lang w:val="es-ES"/>
              </w:rPr>
              <w:t>.</w:t>
            </w:r>
            <w:r w:rsidRPr="00EB5468" w:rsidR="00871B59">
              <w:rPr>
                <w:rFonts w:ascii="Verdana" w:hAnsi="Verdana" w:cs="Arial"/>
              </w:rPr>
              <w:t xml:space="preserve"> </w:t>
            </w:r>
          </w:p>
        </w:tc>
      </w:tr>
    </w:tbl>
    <w:p w:rsidRPr="00593A5F" w:rsidR="00871B59" w:rsidP="00871B59" w:rsidRDefault="00871B59" w14:paraId="0E1B166D" w14:textId="77777777">
      <w:pPr>
        <w:widowControl w:val="0"/>
        <w:autoSpaceDE w:val="0"/>
        <w:autoSpaceDN w:val="0"/>
        <w:spacing w:after="0" w:line="276" w:lineRule="auto"/>
        <w:jc w:val="both"/>
        <w:rPr>
          <w:rFonts w:ascii="Verdana" w:hAnsi="Verdana" w:cs="Arial"/>
        </w:rPr>
      </w:pPr>
    </w:p>
    <w:p w:rsidRPr="00593A5F" w:rsidR="00871B59" w:rsidP="00871B59" w:rsidRDefault="00871B59" w14:paraId="40380BCB"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Pr>
          <w:rFonts w:ascii="Verdana" w:hAnsi="Verdana" w:eastAsia="Century Gothic" w:cs="Century Gothic"/>
          <w:b/>
          <w:bCs/>
          <w:lang w:val="es-ES"/>
        </w:rPr>
        <w:t>Doctrina de la Agencia Nacional de Contratación Pública</w:t>
      </w:r>
      <w:r w:rsidRPr="00593A5F">
        <w:rPr>
          <w:rFonts w:ascii="Verdana" w:hAnsi="Verdana" w:eastAsia="Century Gothic" w:cs="Century Gothic"/>
          <w:b/>
          <w:bCs/>
          <w:lang w:val="es-ES"/>
        </w:rPr>
        <w:t>:</w:t>
      </w:r>
    </w:p>
    <w:p w:rsidR="009733C1" w:rsidP="00871B59" w:rsidRDefault="009733C1" w14:paraId="4AA83295"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00871B59" w:rsidP="00871B59" w:rsidRDefault="00DA1A27" w14:paraId="653CF3BE" w14:textId="6C7578D9">
      <w:pPr>
        <w:widowControl w:val="0"/>
        <w:autoSpaceDE w:val="0"/>
        <w:autoSpaceDN w:val="0"/>
        <w:spacing w:after="0" w:line="276" w:lineRule="auto"/>
        <w:jc w:val="both"/>
        <w:rPr>
          <w:rFonts w:ascii="Verdana" w:hAnsi="Verdana" w:cs="Arial"/>
          <w:color w:val="000000" w:themeColor="text1"/>
          <w:shd w:val="clear" w:color="auto" w:fill="FFFFFF"/>
          <w:lang w:val="es-ES"/>
        </w:rPr>
      </w:pPr>
      <w:r w:rsidRPr="00701FB8">
        <w:rPr>
          <w:rStyle w:val="normaltextrun"/>
          <w:rFonts w:ascii="Verdana" w:hAnsi="Verdana" w:cs="Arial"/>
          <w:color w:val="000000" w:themeColor="text1"/>
          <w:shd w:val="clear" w:color="auto" w:fill="FFFFFF"/>
          <w:lang w:val="es-ES"/>
        </w:rPr>
        <w:t xml:space="preserve">La Subdirección de Gestión Contractual se ha pronunciado </w:t>
      </w:r>
      <w:r w:rsidRPr="00701FB8" w:rsidR="00B37B12">
        <w:rPr>
          <w:rFonts w:ascii="Verdana" w:hAnsi="Verdana" w:cs="Arial"/>
          <w:color w:val="000000" w:themeColor="text1"/>
          <w:shd w:val="clear" w:color="auto" w:fill="FFFFFF"/>
          <w:lang w:val="es-ES_tradnl"/>
        </w:rPr>
        <w:t>sobre las convocatorias limitadas</w:t>
      </w:r>
      <w:r w:rsidR="00B37B12">
        <w:rPr>
          <w:rFonts w:ascii="Verdana" w:hAnsi="Verdana" w:cs="Arial"/>
          <w:color w:val="000000" w:themeColor="text1"/>
          <w:shd w:val="clear" w:color="auto" w:fill="FFFFFF"/>
          <w:lang w:val="es-ES_tradnl"/>
        </w:rPr>
        <w:t xml:space="preserve"> a MiPymes</w:t>
      </w:r>
      <w:r w:rsidRPr="00701FB8" w:rsidR="00B37B12">
        <w:rPr>
          <w:rStyle w:val="normaltextrun"/>
          <w:rFonts w:ascii="Verdana" w:hAnsi="Verdana" w:cs="Arial"/>
          <w:color w:val="000000" w:themeColor="text1"/>
          <w:shd w:val="clear" w:color="auto" w:fill="FFFFFF"/>
          <w:lang w:val="es-ES"/>
        </w:rPr>
        <w:t xml:space="preserve"> </w:t>
      </w:r>
      <w:r w:rsidR="00B37B12">
        <w:rPr>
          <w:rStyle w:val="normaltextrun"/>
          <w:rFonts w:ascii="Verdana" w:hAnsi="Verdana" w:cs="Arial"/>
          <w:color w:val="000000" w:themeColor="text1"/>
          <w:shd w:val="clear" w:color="auto" w:fill="FFFFFF"/>
          <w:lang w:val="es-ES"/>
        </w:rPr>
        <w:t>e</w:t>
      </w:r>
      <w:r w:rsidRPr="00701FB8">
        <w:rPr>
          <w:rStyle w:val="normaltextrun"/>
          <w:rFonts w:ascii="Verdana" w:hAnsi="Verdana" w:cs="Arial"/>
          <w:color w:val="000000" w:themeColor="text1"/>
          <w:shd w:val="clear" w:color="auto" w:fill="FFFFFF"/>
          <w:lang w:val="es-ES"/>
        </w:rPr>
        <w:t xml:space="preserve">n los conceptos </w:t>
      </w:r>
      <w:r w:rsidRPr="000C7448">
        <w:rPr>
          <w:rFonts w:ascii="Verdana" w:hAnsi="Verdana" w:cs="Arial"/>
          <w:color w:val="000000" w:themeColor="text1"/>
          <w:shd w:val="clear" w:color="auto" w:fill="FFFFFF"/>
          <w:lang w:val="es-ES_tradnl"/>
        </w:rPr>
        <w:t>C-758 del 10 de noviembre de 2022, C-089 del 28 de abril de 2023, C-159 del 22 de junio de 2023, C-165 del 2 de junio de 2023, C-269 del 12 de julio de 2023, C-295 del 24 de julio de 2023, C-302 del 14 de septiembre de 2023, C-366 del 8 de septiembre de 2023, C-436 del 24 de octubre de 2023, C-279 del 31 de octubre de 2023 y C-017 del 26 de febrero de 2024</w:t>
      </w:r>
      <w:r w:rsidRPr="00701FB8">
        <w:rPr>
          <w:rFonts w:ascii="Verdana" w:hAnsi="Verdana" w:cs="Arial"/>
          <w:color w:val="000000" w:themeColor="text1"/>
          <w:shd w:val="clear" w:color="auto" w:fill="FFFFFF"/>
          <w:lang w:val="es-ES_tradnl"/>
        </w:rPr>
        <w:t xml:space="preserve">, </w:t>
      </w:r>
      <w:r>
        <w:rPr>
          <w:rFonts w:ascii="Verdana" w:hAnsi="Verdana" w:cs="Arial"/>
          <w:color w:val="000000" w:themeColor="text1"/>
          <w:shd w:val="clear" w:color="auto" w:fill="FFFFFF"/>
          <w:lang w:val="es-MX"/>
        </w:rPr>
        <w:t>,</w:t>
      </w:r>
      <w:r w:rsidRPr="00701FB8">
        <w:rPr>
          <w:rFonts w:ascii="Verdana" w:hAnsi="Verdana" w:cs="Arial"/>
          <w:color w:val="000000" w:themeColor="text1"/>
          <w:shd w:val="clear" w:color="auto" w:fill="FFFFFF"/>
          <w:lang w:val="es-MX"/>
        </w:rPr>
        <w:t xml:space="preserve"> </w:t>
      </w:r>
      <w:r w:rsidRPr="00692D10">
        <w:rPr>
          <w:rFonts w:ascii="Verdana" w:hAnsi="Verdana" w:cs="Arial"/>
          <w:shd w:val="clear" w:color="auto" w:fill="FFFFFF"/>
          <w:lang w:val="es-ES"/>
        </w:rPr>
        <w:t>C-278 del 24 de agosto de 2023, C-271 del 15 de agosto de 2023, C-265 de 26 de julio de 2023, C-280 del 06 de junio de 2023, C-216 del 06 de junio de 2023, C-184 del 02 junio de 2023, C-141 de 30 de mayo de 2023, C-053 del 28 de marzo de 2023</w:t>
      </w:r>
      <w:r>
        <w:rPr>
          <w:rFonts w:ascii="Verdana" w:hAnsi="Verdana" w:cs="Arial"/>
          <w:shd w:val="clear" w:color="auto" w:fill="FFFFFF"/>
          <w:lang w:val="es-ES"/>
        </w:rPr>
        <w:t xml:space="preserve"> C-193 de junio de 2024</w:t>
      </w:r>
      <w:r w:rsidR="00B37B12">
        <w:rPr>
          <w:rFonts w:ascii="Verdana" w:hAnsi="Verdana" w:cs="Arial"/>
          <w:shd w:val="clear" w:color="auto" w:fill="FFFFFF"/>
          <w:lang w:val="es-ES"/>
        </w:rPr>
        <w:t xml:space="preserve"> y C-227 del 24 de julio de 2024, </w:t>
      </w:r>
      <w:r w:rsidRPr="00692D10">
        <w:rPr>
          <w:rFonts w:ascii="Verdana" w:hAnsi="Verdana" w:cs="Arial"/>
          <w:shd w:val="clear" w:color="auto" w:fill="FFFFFF"/>
          <w:lang w:val="es-ES"/>
        </w:rPr>
        <w:t>entre otros.</w:t>
      </w:r>
      <w:r w:rsidRPr="00701FB8">
        <w:rPr>
          <w:rFonts w:ascii="Verdana" w:hAnsi="Verdana" w:cs="Arial"/>
          <w:color w:val="000000" w:themeColor="text1"/>
          <w:shd w:val="clear" w:color="auto" w:fill="FFFFFF"/>
          <w:lang w:val="es-ES"/>
        </w:rPr>
        <w:t xml:space="preserve"> </w:t>
      </w:r>
    </w:p>
    <w:p w:rsidR="00DA1A27" w:rsidP="00871B59" w:rsidRDefault="00DA1A27" w14:paraId="5DC8A723"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DA1A27" w:rsidP="00DA1A27" w:rsidRDefault="00DA1A27" w14:paraId="52BB3939"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w:history="1" r:id="rId13">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rsidR="00DA1A27" w:rsidP="00871B59" w:rsidRDefault="00DA1A27" w14:paraId="68D51CB5"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871B59" w:rsidP="00871B59" w:rsidRDefault="00871B59" w14:paraId="6E5FBA74"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 xml:space="preserve">También le invitamos a consultar las versiones I y II de 2024 del Boletín de Relatoría de la Subdirección de Gestión Contractual, las cuales puede descargar </w:t>
      </w:r>
      <w:r w:rsidRPr="00985B04">
        <w:rPr>
          <w:rStyle w:val="normaltextrun"/>
          <w:rFonts w:ascii="Verdana" w:hAnsi="Verdana" w:cs="Arial"/>
          <w:color w:val="000000" w:themeColor="text1"/>
          <w:shd w:val="clear" w:color="auto" w:fill="FFFFFF"/>
          <w:lang w:val="es-ES"/>
        </w:rPr>
        <w:lastRenderedPageBreak/>
        <w:t>en la página web de la Agencia:</w:t>
      </w:r>
      <w:r>
        <w:rPr>
          <w:rStyle w:val="normaltextrun"/>
          <w:rFonts w:ascii="Verdana" w:hAnsi="Verdana" w:cs="Arial"/>
          <w:color w:val="FF0000"/>
          <w:shd w:val="clear" w:color="auto" w:fill="FFFFFF"/>
          <w:lang w:val="es-ES"/>
        </w:rPr>
        <w:t xml:space="preserve"> </w:t>
      </w:r>
      <w:hyperlink w:history="1" r:id="rId14">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8F4FD8" w:rsidP="008815E5" w:rsidRDefault="008F4FD8" w14:paraId="698DCFE1" w14:textId="77777777">
      <w:pPr>
        <w:spacing w:after="0" w:line="240" w:lineRule="auto"/>
        <w:jc w:val="both"/>
        <w:rPr>
          <w:rFonts w:ascii="Verdana" w:hAnsi="Verdana"/>
        </w:rPr>
      </w:pPr>
    </w:p>
    <w:p w:rsidRPr="003E2460" w:rsidR="008815E5" w:rsidP="008815E5" w:rsidRDefault="008815E5" w14:paraId="1570ED43" w14:textId="28EEBB22">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8815E5" w:rsidP="008815E5" w:rsidRDefault="008815E5" w14:paraId="284AF384" w14:textId="77777777">
      <w:pPr>
        <w:spacing w:after="0" w:line="240" w:lineRule="auto"/>
        <w:jc w:val="both"/>
        <w:rPr>
          <w:rFonts w:ascii="Verdana" w:hAnsi="Verdana"/>
        </w:rPr>
      </w:pPr>
    </w:p>
    <w:p w:rsidRPr="003E2460" w:rsidR="008815E5" w:rsidP="008815E5" w:rsidRDefault="008815E5" w14:paraId="5E6CD010"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8815E5" w:rsidP="008815E5" w:rsidRDefault="008815E5" w14:paraId="0F76F019"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8815E5" w:rsidP="008815E5" w:rsidRDefault="008815E5" w14:paraId="60E5B357"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871B59" w:rsidP="00871B59" w:rsidRDefault="00871B59" w14:paraId="6980ECB3" w14:textId="77777777">
      <w:pPr>
        <w:widowControl w:val="0"/>
        <w:autoSpaceDE w:val="0"/>
        <w:autoSpaceDN w:val="0"/>
        <w:spacing w:after="0" w:line="276" w:lineRule="auto"/>
        <w:jc w:val="both"/>
        <w:rPr>
          <w:rFonts w:ascii="Verdana" w:hAnsi="Verdana" w:cs="Arial"/>
        </w:rPr>
      </w:pPr>
    </w:p>
    <w:p w:rsidRPr="00593A5F" w:rsidR="00871B59" w:rsidP="00871B59" w:rsidRDefault="00871B59" w14:paraId="120572E9"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871B59" w:rsidP="00871B59" w:rsidRDefault="00871B59" w14:paraId="76160CFD" w14:textId="77777777">
      <w:pPr>
        <w:widowControl w:val="0"/>
        <w:autoSpaceDE w:val="0"/>
        <w:autoSpaceDN w:val="0"/>
        <w:spacing w:after="0" w:line="276" w:lineRule="auto"/>
        <w:jc w:val="both"/>
        <w:rPr>
          <w:rFonts w:ascii="Verdana" w:hAnsi="Verdana" w:cs="Arial"/>
        </w:rPr>
      </w:pPr>
    </w:p>
    <w:p w:rsidRPr="00593A5F" w:rsidR="00871B59" w:rsidP="00871B59" w:rsidRDefault="00871B59" w14:paraId="46FD3687"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00871B59" w:rsidP="00871B59" w:rsidRDefault="00871B59" w14:paraId="7B21B32E" w14:textId="4AE91D71">
      <w:pPr>
        <w:spacing w:line="276" w:lineRule="auto"/>
        <w:jc w:val="center"/>
        <w:rPr>
          <w:rFonts w:ascii="Verdana" w:hAnsi="Verdana"/>
          <w:noProof/>
        </w:rPr>
      </w:pPr>
    </w:p>
    <w:p w:rsidRPr="00CE20BF" w:rsidR="00CE20BF" w:rsidP="00CE20BF" w:rsidRDefault="00CE20BF" w14:paraId="2C5EBDC6" w14:textId="556257E5">
      <w:pPr>
        <w:spacing w:line="276" w:lineRule="auto"/>
        <w:jc w:val="center"/>
        <w:rPr>
          <w:rFonts w:ascii="Verdana" w:hAnsi="Verdana" w:cs="Arial"/>
          <w:noProof/>
          <w:color w:val="000000"/>
          <w:lang w:eastAsia="es-CO"/>
        </w:rPr>
      </w:pPr>
      <w:r w:rsidRPr="00CE20BF">
        <w:rPr>
          <w:rFonts w:ascii="Verdana" w:hAnsi="Verdana" w:cs="Arial"/>
          <w:noProof/>
          <w:color w:val="000000"/>
          <w:lang w:eastAsia="es-CO"/>
        </w:rPr>
        <w:drawing>
          <wp:inline distT="0" distB="0" distL="0" distR="0" wp14:anchorId="68BCC1AB" wp14:editId="095FABD2">
            <wp:extent cx="2745105" cy="1178426"/>
            <wp:effectExtent l="0" t="0" r="0" b="3175"/>
            <wp:docPr id="4975692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284" cy="1180220"/>
                    </a:xfrm>
                    <a:prstGeom prst="rect">
                      <a:avLst/>
                    </a:prstGeom>
                    <a:noFill/>
                    <a:ln>
                      <a:noFill/>
                    </a:ln>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871B59" w:rsidTr="002607A7" w14:paraId="2A20789D" w14:textId="77777777">
        <w:trPr>
          <w:trHeight w:val="315"/>
        </w:trPr>
        <w:tc>
          <w:tcPr>
            <w:tcW w:w="893" w:type="dxa"/>
            <w:vAlign w:val="center"/>
            <w:hideMark/>
          </w:tcPr>
          <w:p w:rsidRPr="003751C7" w:rsidR="00871B59" w:rsidP="002607A7" w:rsidRDefault="00871B59" w14:paraId="56E3D941"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BE4B85" w:rsidR="00871B59" w:rsidP="002607A7" w:rsidRDefault="008F4FD8" w14:paraId="7E128207" w14:textId="35FFBEA2">
            <w:pPr>
              <w:contextualSpacing/>
              <w:rPr>
                <w:rFonts w:ascii="Verdana" w:hAnsi="Verdana" w:eastAsia="Arial" w:cs="Arial"/>
                <w:color w:val="7030A0"/>
                <w:sz w:val="16"/>
                <w:szCs w:val="16"/>
              </w:rPr>
            </w:pPr>
            <w:r w:rsidRPr="00BE4B85">
              <w:rPr>
                <w:rStyle w:val="normaltextrun"/>
                <w:rFonts w:ascii="Verdana" w:hAnsi="Verdana"/>
                <w:sz w:val="16"/>
                <w:szCs w:val="16"/>
              </w:rPr>
              <w:t>Christian Camilo Orjuela Galeano</w:t>
            </w:r>
          </w:p>
          <w:p w:rsidRPr="00BE4B85" w:rsidR="00871B59" w:rsidP="002607A7" w:rsidRDefault="008F4FD8" w14:paraId="27134A92" w14:textId="3E019D83">
            <w:pPr>
              <w:contextualSpacing/>
              <w:rPr>
                <w:rFonts w:ascii="Verdana" w:hAnsi="Verdana" w:eastAsia="Arial" w:cs="Arial"/>
                <w:sz w:val="16"/>
                <w:szCs w:val="16"/>
              </w:rPr>
            </w:pPr>
            <w:r w:rsidRPr="00BE4B85">
              <w:rPr>
                <w:rStyle w:val="normaltextrun"/>
                <w:rFonts w:ascii="Verdana" w:hAnsi="Verdana" w:eastAsia="Arial" w:cs="Arial"/>
                <w:sz w:val="16"/>
                <w:szCs w:val="16"/>
              </w:rPr>
              <w:t xml:space="preserve">Contratista </w:t>
            </w:r>
            <w:r w:rsidRPr="00BE4B85" w:rsidR="00871B59">
              <w:rPr>
                <w:rStyle w:val="normaltextrun"/>
                <w:rFonts w:ascii="Verdana" w:hAnsi="Verdana" w:eastAsia="Arial" w:cs="Arial"/>
                <w:sz w:val="16"/>
                <w:szCs w:val="16"/>
              </w:rPr>
              <w:t>de la Subdirección de Gestión Contractual</w:t>
            </w:r>
          </w:p>
        </w:tc>
      </w:tr>
      <w:tr w:rsidRPr="00593A5F" w:rsidR="00871B59" w:rsidTr="002607A7" w14:paraId="409BBACC" w14:textId="77777777">
        <w:trPr>
          <w:trHeight w:val="330"/>
        </w:trPr>
        <w:tc>
          <w:tcPr>
            <w:tcW w:w="893" w:type="dxa"/>
            <w:vAlign w:val="center"/>
            <w:hideMark/>
          </w:tcPr>
          <w:p w:rsidRPr="003751C7" w:rsidR="00871B59" w:rsidP="002607A7" w:rsidRDefault="00871B59" w14:paraId="3ABFF401"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00871B59" w:rsidP="002607A7" w:rsidRDefault="00DA1A27" w14:paraId="7626B983" w14:textId="77777777">
            <w:pPr>
              <w:pStyle w:val="paragraph"/>
              <w:spacing w:before="0" w:beforeAutospacing="0" w:after="0" w:afterAutospacing="0"/>
              <w:contextualSpacing/>
              <w:textAlignment w:val="baseline"/>
              <w:rPr>
                <w:rStyle w:val="normaltextrun"/>
                <w:rFonts w:ascii="Verdana" w:hAnsi="Verdana" w:cstheme="minorHAnsi"/>
                <w:sz w:val="16"/>
                <w:szCs w:val="16"/>
              </w:rPr>
            </w:pPr>
            <w:r w:rsidRPr="00DA1A27">
              <w:rPr>
                <w:rFonts w:ascii="Verdana" w:hAnsi="Verdana" w:cstheme="minorHAnsi"/>
                <w:sz w:val="16"/>
                <w:szCs w:val="16"/>
              </w:rPr>
              <w:t>Adriana Katherine López Rodríguez</w:t>
            </w:r>
            <w:r w:rsidRPr="00DA1A27">
              <w:rPr>
                <w:rStyle w:val="normaltextrun"/>
                <w:rFonts w:ascii="Verdana" w:hAnsi="Verdana" w:cstheme="minorHAnsi"/>
                <w:sz w:val="16"/>
                <w:szCs w:val="16"/>
              </w:rPr>
              <w:t xml:space="preserve"> </w:t>
            </w:r>
          </w:p>
          <w:p w:rsidRPr="00BE4B85" w:rsidR="00DA1A27" w:rsidP="002607A7" w:rsidRDefault="00DA1A27" w14:paraId="408B71DB" w14:textId="46A7CD5A">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hAnsi="Verdana" w:eastAsia="Arial" w:cs="Arial"/>
                <w:sz w:val="16"/>
                <w:szCs w:val="16"/>
              </w:rPr>
              <w:t>Contratista de la Subdirección de Gestión Contractual</w:t>
            </w:r>
          </w:p>
        </w:tc>
      </w:tr>
      <w:tr w:rsidRPr="00593A5F" w:rsidR="00871B59" w:rsidTr="002607A7" w14:paraId="2A81CFC8" w14:textId="77777777">
        <w:trPr>
          <w:trHeight w:val="300"/>
        </w:trPr>
        <w:tc>
          <w:tcPr>
            <w:tcW w:w="893" w:type="dxa"/>
            <w:vAlign w:val="center"/>
          </w:tcPr>
          <w:p w:rsidRPr="003751C7" w:rsidR="00871B59" w:rsidP="002607A7" w:rsidRDefault="00871B59" w14:paraId="3159EE97"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BE4B85" w:rsidR="00871B59" w:rsidP="002607A7" w:rsidRDefault="00871B59" w14:paraId="6222DF76"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val="pt-BR" w:eastAsia="es-ES"/>
              </w:rPr>
              <w:t>Carolina Quintero Gacharná</w:t>
            </w:r>
          </w:p>
          <w:p w:rsidRPr="00BE4B85" w:rsidR="00871B59" w:rsidP="002607A7" w:rsidRDefault="00871B59" w14:paraId="6EE38C1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eastAsia="es-ES"/>
              </w:rPr>
              <w:t>Subdirectora</w:t>
            </w:r>
            <w:r w:rsidRPr="00BE4B85">
              <w:rPr>
                <w:rFonts w:ascii="Verdana" w:hAnsi="Verdana" w:eastAsia="Calibri" w:cs="Arial"/>
                <w:sz w:val="16"/>
                <w:szCs w:val="16"/>
                <w:lang w:val="pt-BR" w:eastAsia="es-ES"/>
              </w:rPr>
              <w:t xml:space="preserve"> de Gestión Contractual ANCP – CCE</w:t>
            </w:r>
          </w:p>
        </w:tc>
      </w:tr>
    </w:tbl>
    <w:p w:rsidRPr="00593A5F" w:rsidR="00871B59" w:rsidP="00871B59" w:rsidRDefault="00871B59" w14:paraId="510CF084" w14:textId="77777777">
      <w:pPr>
        <w:spacing w:after="0" w:line="240" w:lineRule="auto"/>
        <w:rPr>
          <w:rFonts w:ascii="Verdana" w:hAnsi="Verdana" w:eastAsia="Times New Roman" w:cs="Arial"/>
          <w:sz w:val="24"/>
          <w:szCs w:val="24"/>
          <w:lang w:eastAsia="es-ES"/>
        </w:rPr>
      </w:pPr>
    </w:p>
    <w:p w:rsidRPr="00871B59" w:rsidR="5D8505AD" w:rsidP="00871B59" w:rsidRDefault="5D8505AD" w14:paraId="0083C991" w14:textId="5C765C2F"/>
    <w:sectPr w:rsidRPr="00871B59" w:rsidR="5D8505AD" w:rsidSect="00E45F4B">
      <w:headerReference w:type="default" r:id="rId16"/>
      <w:footerReference w:type="default" r:id="rId17"/>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40E3" w:rsidP="00B30448" w:rsidRDefault="003A40E3" w14:paraId="79633D50" w14:textId="77777777">
      <w:pPr>
        <w:spacing w:after="0" w:line="240" w:lineRule="auto"/>
      </w:pPr>
      <w:r>
        <w:separator/>
      </w:r>
    </w:p>
  </w:endnote>
  <w:endnote w:type="continuationSeparator" w:id="0">
    <w:p w:rsidR="003A40E3" w:rsidP="00B30448" w:rsidRDefault="003A40E3" w14:paraId="3BD8710A" w14:textId="77777777">
      <w:pPr>
        <w:spacing w:after="0" w:line="240" w:lineRule="auto"/>
      </w:pPr>
      <w:r>
        <w:continuationSeparator/>
      </w:r>
    </w:p>
  </w:endnote>
  <w:endnote w:type="continuationNotice" w:id="1">
    <w:p w:rsidR="003A40E3" w:rsidRDefault="003A40E3" w14:paraId="294D71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49D5" w:rsidP="000849D5" w:rsidRDefault="000849D5" w14:paraId="74A7DACD" w14:textId="77777777">
    <w:pPr>
      <w:spacing w:after="0"/>
      <w:rPr>
        <w:rFonts w:ascii="Verdana" w:hAnsi="Verdana"/>
        <w:b/>
        <w:bCs/>
        <w:sz w:val="20"/>
        <w:szCs w:val="20"/>
      </w:rPr>
    </w:pPr>
  </w:p>
  <w:p w:rsidRPr="00174B77" w:rsidR="000849D5" w:rsidP="000849D5" w:rsidRDefault="000849D5" w14:paraId="6681ECB2"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0849D5" w:rsidP="000849D5" w:rsidRDefault="000849D5" w14:paraId="21625D2E"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0849D5" w:rsidP="000849D5" w:rsidRDefault="000849D5" w14:paraId="559D727E" w14:textId="77777777">
    <w:pPr>
      <w:spacing w:after="0"/>
      <w:jc w:val="both"/>
      <w:rPr>
        <w:rFonts w:ascii="Verdana" w:hAnsi="Verdana"/>
        <w:sz w:val="18"/>
        <w:szCs w:val="18"/>
      </w:rPr>
    </w:pPr>
    <w:r w:rsidRPr="00E41027">
      <w:rPr>
        <w:rFonts w:ascii="Verdana" w:hAnsi="Verdana"/>
        <w:sz w:val="18"/>
        <w:szCs w:val="18"/>
      </w:rPr>
      <w:t>Mesa de servicio: (+57) 601 7456788</w:t>
    </w:r>
  </w:p>
  <w:p w:rsidR="000849D5" w:rsidP="000849D5" w:rsidRDefault="000849D5" w14:paraId="143E423D" w14:textId="77777777">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rsidRPr="007D04B2" w:rsidR="000849D5" w:rsidP="000849D5" w:rsidRDefault="000849D5" w14:paraId="337FD84E" w14:textId="77777777">
    <w:pPr>
      <w:pStyle w:val="Piedepgina"/>
    </w:pPr>
  </w:p>
  <w:p w:rsidRPr="000849D5" w:rsidR="00B30448" w:rsidP="000849D5" w:rsidRDefault="00B30448" w14:paraId="769219E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40E3" w:rsidP="00B30448" w:rsidRDefault="003A40E3" w14:paraId="012584F4" w14:textId="77777777">
      <w:pPr>
        <w:spacing w:after="0" w:line="240" w:lineRule="auto"/>
      </w:pPr>
      <w:r>
        <w:separator/>
      </w:r>
    </w:p>
  </w:footnote>
  <w:footnote w:type="continuationSeparator" w:id="0">
    <w:p w:rsidR="003A40E3" w:rsidP="00B30448" w:rsidRDefault="003A40E3" w14:paraId="5EFDBF55" w14:textId="77777777">
      <w:pPr>
        <w:spacing w:after="0" w:line="240" w:lineRule="auto"/>
      </w:pPr>
      <w:r>
        <w:continuationSeparator/>
      </w:r>
    </w:p>
  </w:footnote>
  <w:footnote w:type="continuationNotice" w:id="1">
    <w:p w:rsidR="003A40E3" w:rsidRDefault="003A40E3" w14:paraId="2D13DCB0" w14:textId="77777777">
      <w:pPr>
        <w:spacing w:after="0" w:line="240" w:lineRule="auto"/>
      </w:pPr>
    </w:p>
  </w:footnote>
  <w:footnote w:id="2">
    <w:p w:rsidRPr="000920EC" w:rsidR="00BE5044" w:rsidP="00BE5044" w:rsidRDefault="00BE5044" w14:paraId="315D7C5D" w14:textId="77777777">
      <w:pPr>
        <w:pStyle w:val="Textonotapie"/>
        <w:ind w:firstLine="708"/>
        <w:rPr>
          <w:rFonts w:ascii="Verdana" w:hAnsi="Verdana"/>
          <w:sz w:val="16"/>
          <w:szCs w:val="16"/>
          <w:lang w:val="es-ES"/>
        </w:rPr>
      </w:pPr>
      <w:r w:rsidRPr="000920EC">
        <w:rPr>
          <w:rStyle w:val="Refdenotaalpie"/>
          <w:rFonts w:ascii="Verdana" w:hAnsi="Verdana"/>
          <w:sz w:val="16"/>
          <w:szCs w:val="16"/>
        </w:rPr>
        <w:footnoteRef/>
      </w:r>
      <w:r w:rsidRPr="000920EC">
        <w:rPr>
          <w:rFonts w:ascii="Verdana" w:hAnsi="Verdana"/>
          <w:sz w:val="16"/>
          <w:szCs w:val="16"/>
        </w:rPr>
        <w:t xml:space="preserve"> </w:t>
      </w:r>
      <w:r w:rsidRPr="000920EC">
        <w:rPr>
          <w:rFonts w:ascii="Verdana" w:hAnsi="Verdana" w:eastAsia="Calibri" w:cs="Arial"/>
          <w:color w:val="000000" w:themeColor="text1"/>
          <w:sz w:val="16"/>
          <w:szCs w:val="16"/>
        </w:rPr>
        <w:t>Artículo 2.2.1.2.4.2.2 del Decreto 1082 de 2015</w:t>
      </w:r>
    </w:p>
  </w:footnote>
  <w:footnote w:id="3">
    <w:p w:rsidRPr="00774370" w:rsidR="00BE5044" w:rsidP="00BE5044" w:rsidRDefault="00BE5044" w14:paraId="6A78CBBB" w14:textId="77777777">
      <w:pPr>
        <w:pStyle w:val="Textonotapie"/>
        <w:ind w:firstLine="708"/>
        <w:jc w:val="both"/>
        <w:rPr>
          <w:rFonts w:ascii="Verdana" w:hAnsi="Verdana" w:cs="Arial"/>
          <w:sz w:val="16"/>
          <w:szCs w:val="16"/>
        </w:rPr>
      </w:pPr>
      <w:r w:rsidRPr="00774370">
        <w:rPr>
          <w:rStyle w:val="Refdenotaalpie"/>
          <w:rFonts w:ascii="Verdana" w:hAnsi="Verdana" w:cs="Arial"/>
          <w:sz w:val="16"/>
          <w:szCs w:val="16"/>
        </w:rPr>
        <w:footnoteRef/>
      </w:r>
      <w:r w:rsidRPr="00774370">
        <w:rPr>
          <w:rFonts w:ascii="Verdana" w:hAnsi="Verdana" w:cs="Arial"/>
          <w:sz w:val="16"/>
          <w:szCs w:val="16"/>
        </w:rPr>
        <w:t xml:space="preserve"> Al respecto, de acuerdo con el Concepto C-089 del 28 de abril de 2023, la Agencia estima que “el debido ejercicio de la referida potestad discrecional exige que converjan unos mínimos presupuestos de adecuación, para que resulte adecuada la decisión de limitar una convocatoria a la participación exclusiva de mipymes. Es por esto por lo que la decisión de limitar territorialmente una convocatoria solo puede resultar razonable si la información recolectada en el marco del análisis del sector indica que en el lugar de ejecución del contrato existe un número significativo de mipymes allí domiciliadas, cuyo objeto social les permitiría desarrollar el contrato o que estén interesadas en participar en el respectivo proceso de contratación. Adicionalmente, se torna relevante determinar que tantas de esas mipymes tendrían la posibilidad de participar en el respectivo proceso de contratación en consideración en atención a las aptitudes e idoneidad requerida.  De acuerdo con lo anterior, difícilmente podría entenderse adecuada la decisión de limitar una convocatoria por el referido factor territorial, si dentro del estudio del sector no se identifican una pluralidad de mipymes que estén en posición de participar en el respectivo proceso.</w:t>
      </w:r>
    </w:p>
    <w:p w:rsidRPr="00774370" w:rsidR="00BE5044" w:rsidP="00BE5044" w:rsidRDefault="00BE5044" w14:paraId="372CBDDE" w14:textId="77777777">
      <w:pPr>
        <w:pStyle w:val="Textonotapie"/>
        <w:ind w:firstLine="708"/>
        <w:jc w:val="both"/>
        <w:rPr>
          <w:rFonts w:ascii="Verdana" w:hAnsi="Verdana" w:cs="Arial"/>
          <w:sz w:val="16"/>
          <w:szCs w:val="16"/>
        </w:rPr>
      </w:pPr>
      <w:r w:rsidRPr="00774370">
        <w:rPr>
          <w:rFonts w:ascii="Verdana" w:hAnsi="Verdana" w:cs="Arial"/>
          <w:sz w:val="16"/>
          <w:szCs w:val="16"/>
        </w:rPr>
        <w:t>En atención a lo anterior, situaciones en las que se presentan un ejercicio de la potestad de limitar a mipymes desconociendo los anteriores presupuestos mínimos, bien podrían ser cuestionadas por los proponentes, veedores y ciudadanía en general ya sea a través de observaciones, en el ejercicio del derecho fundamental de petición ante la respectiva entidad estatal o la presentación de denuncias antes las autoridades competentes en el caso de que se evidencien prácticas restrictivas a la competencia, o con relevancia penal o disciplinaria. Así mismo, en atención al interés general que revisten los procesos de contratación, cualquier ciudadano podría también solicitar el control judicial del respectivo pliego de condiciones –o invitación en los procesos de mínima cuantía–, cuando encuentre que estos contravienen el marco legal que les aplica”.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15FB5" w:rsidP="00515FB5" w:rsidRDefault="00515FB5" w14:paraId="72849537" w14:textId="77777777">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515FB5" w:rsidP="00515FB5" w:rsidRDefault="00515FB5" w14:paraId="635D63E7" w14:textId="77777777">
    <w:pPr>
      <w:pStyle w:val="Encabezado"/>
    </w:pPr>
  </w:p>
  <w:p w:rsidR="00515FB5" w:rsidP="00515FB5" w:rsidRDefault="00515FB5" w14:paraId="10CE77C0" w14:textId="77777777">
    <w:pPr>
      <w:pStyle w:val="Encabezado"/>
    </w:pPr>
  </w:p>
  <w:p w:rsidR="00515FB5" w:rsidP="00515FB5" w:rsidRDefault="00515FB5" w14:paraId="5BD4CAA1" w14:textId="77777777">
    <w:pPr>
      <w:pStyle w:val="Encabezado"/>
    </w:pPr>
  </w:p>
  <w:p w:rsidRPr="00AB7B56" w:rsidR="00515FB5" w:rsidP="00515FB5" w:rsidRDefault="00515FB5" w14:paraId="0D6E6014" w14:textId="77777777">
    <w:pPr>
      <w:pStyle w:val="Encabezado"/>
    </w:pPr>
  </w:p>
  <w:p w:rsidRPr="00515FB5" w:rsidR="00B30448" w:rsidP="00515FB5" w:rsidRDefault="00B30448" w14:paraId="68E0C02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hint="default" w:ascii="Arial" w:hAnsi="Arial" w:eastAsia="Arial" w:cs="Arial"/>
        <w:b/>
        <w:bCs/>
        <w:w w:val="100"/>
        <w:sz w:val="22"/>
        <w:szCs w:val="22"/>
        <w:lang w:val="es-ES" w:eastAsia="en-US" w:bidi="ar-SA"/>
      </w:rPr>
    </w:lvl>
    <w:lvl w:ilvl="1">
      <w:start w:val="1"/>
      <w:numFmt w:val="decimal"/>
      <w:lvlText w:val="%1.%2."/>
      <w:lvlJc w:val="left"/>
      <w:pPr>
        <w:ind w:left="529" w:hanging="430"/>
      </w:pPr>
      <w:rPr>
        <w:rFonts w:hint="default" w:ascii="Arial" w:hAnsi="Arial" w:eastAsia="Arial" w:cs="Arial"/>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16BE90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1B6B92"/>
    <w:multiLevelType w:val="hybridMultilevel"/>
    <w:tmpl w:val="332ED11C"/>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9" w15:restartNumberingAfterBreak="0">
    <w:nsid w:val="4AA7326E"/>
    <w:multiLevelType w:val="multilevel"/>
    <w:tmpl w:val="5CE2D418"/>
    <w:lvl w:ilvl="0">
      <w:start w:val="1"/>
      <w:numFmt w:val="decimal"/>
      <w:lvlText w:val="%1."/>
      <w:lvlJc w:val="left"/>
      <w:pPr>
        <w:ind w:left="48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88" w:hanging="578"/>
      </w:pPr>
      <w:rPr>
        <w:rFonts w:hint="default" w:ascii="Arial" w:hAnsi="Arial" w:eastAsia="Arial" w:cs="Arial"/>
        <w:b/>
        <w:bCs/>
        <w:color w:val="4E4D4D"/>
        <w:spacing w:val="-3"/>
        <w:w w:val="100"/>
        <w:sz w:val="22"/>
        <w:szCs w:val="22"/>
        <w:lang w:val="es-ES" w:eastAsia="en-US" w:bidi="ar-SA"/>
      </w:rPr>
    </w:lvl>
    <w:lvl w:ilvl="2">
      <w:start w:val="1"/>
      <w:numFmt w:val="lowerLetter"/>
      <w:lvlText w:val="%3)"/>
      <w:lvlJc w:val="left"/>
      <w:pPr>
        <w:ind w:left="800" w:hanging="325"/>
      </w:pPr>
      <w:rPr>
        <w:rFonts w:hint="default" w:ascii="Arial" w:hAnsi="Arial" w:eastAsia="Arial" w:cs="Arial"/>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0" w15:restartNumberingAfterBreak="0">
    <w:nsid w:val="793250A3"/>
    <w:multiLevelType w:val="hybridMultilevel"/>
    <w:tmpl w:val="6CC4F29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290670214">
    <w:abstractNumId w:val="7"/>
  </w:num>
  <w:num w:numId="2" w16cid:durableId="4285022">
    <w:abstractNumId w:val="2"/>
  </w:num>
  <w:num w:numId="3" w16cid:durableId="881983949">
    <w:abstractNumId w:val="3"/>
  </w:num>
  <w:num w:numId="4" w16cid:durableId="341274352">
    <w:abstractNumId w:val="0"/>
  </w:num>
  <w:num w:numId="5" w16cid:durableId="1887524674">
    <w:abstractNumId w:val="9"/>
  </w:num>
  <w:num w:numId="6" w16cid:durableId="1082990391">
    <w:abstractNumId w:val="1"/>
  </w:num>
  <w:num w:numId="7" w16cid:durableId="1492209491">
    <w:abstractNumId w:val="6"/>
  </w:num>
  <w:num w:numId="8" w16cid:durableId="679089576">
    <w:abstractNumId w:val="8"/>
  </w:num>
  <w:num w:numId="9" w16cid:durableId="1311637980">
    <w:abstractNumId w:val="5"/>
  </w:num>
  <w:num w:numId="10" w16cid:durableId="1101610531">
    <w:abstractNumId w:val="4"/>
  </w:num>
  <w:num w:numId="11" w16cid:durableId="1489860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2B4A"/>
    <w:rsid w:val="00080C86"/>
    <w:rsid w:val="00082E4C"/>
    <w:rsid w:val="000849D5"/>
    <w:rsid w:val="0008528F"/>
    <w:rsid w:val="000A6E0C"/>
    <w:rsid w:val="000A7A56"/>
    <w:rsid w:val="000B1FF7"/>
    <w:rsid w:val="000B2513"/>
    <w:rsid w:val="000B4024"/>
    <w:rsid w:val="000C3C51"/>
    <w:rsid w:val="000C7262"/>
    <w:rsid w:val="000D2160"/>
    <w:rsid w:val="000D2A7F"/>
    <w:rsid w:val="000D4FCE"/>
    <w:rsid w:val="000E1DED"/>
    <w:rsid w:val="000F27B5"/>
    <w:rsid w:val="000F7D8E"/>
    <w:rsid w:val="0011037E"/>
    <w:rsid w:val="001363C7"/>
    <w:rsid w:val="00137E5C"/>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C04FC"/>
    <w:rsid w:val="001C25A3"/>
    <w:rsid w:val="001C5D03"/>
    <w:rsid w:val="001C7771"/>
    <w:rsid w:val="001D62FF"/>
    <w:rsid w:val="001F3F48"/>
    <w:rsid w:val="002000AA"/>
    <w:rsid w:val="00204109"/>
    <w:rsid w:val="00211E6E"/>
    <w:rsid w:val="00212A46"/>
    <w:rsid w:val="0021401D"/>
    <w:rsid w:val="002146B8"/>
    <w:rsid w:val="00215516"/>
    <w:rsid w:val="002527C2"/>
    <w:rsid w:val="00253E42"/>
    <w:rsid w:val="00270443"/>
    <w:rsid w:val="00270EE2"/>
    <w:rsid w:val="00272972"/>
    <w:rsid w:val="0028611C"/>
    <w:rsid w:val="00286491"/>
    <w:rsid w:val="002973E9"/>
    <w:rsid w:val="002A0F8D"/>
    <w:rsid w:val="002A3354"/>
    <w:rsid w:val="002B6E44"/>
    <w:rsid w:val="002E1DB5"/>
    <w:rsid w:val="002F6CCB"/>
    <w:rsid w:val="0030461E"/>
    <w:rsid w:val="00326382"/>
    <w:rsid w:val="0032756A"/>
    <w:rsid w:val="00334EF8"/>
    <w:rsid w:val="00336408"/>
    <w:rsid w:val="00340DFB"/>
    <w:rsid w:val="0034404F"/>
    <w:rsid w:val="003503A5"/>
    <w:rsid w:val="00356980"/>
    <w:rsid w:val="00367462"/>
    <w:rsid w:val="00371ECA"/>
    <w:rsid w:val="00372748"/>
    <w:rsid w:val="0037332A"/>
    <w:rsid w:val="0038151A"/>
    <w:rsid w:val="0039082A"/>
    <w:rsid w:val="00390C21"/>
    <w:rsid w:val="003A37BD"/>
    <w:rsid w:val="003A40E3"/>
    <w:rsid w:val="003B6D94"/>
    <w:rsid w:val="003C4C96"/>
    <w:rsid w:val="003C55E0"/>
    <w:rsid w:val="003F519B"/>
    <w:rsid w:val="0040544F"/>
    <w:rsid w:val="00406A19"/>
    <w:rsid w:val="0041222D"/>
    <w:rsid w:val="0041483E"/>
    <w:rsid w:val="00415369"/>
    <w:rsid w:val="00430492"/>
    <w:rsid w:val="00437E4B"/>
    <w:rsid w:val="00450BE7"/>
    <w:rsid w:val="0046741E"/>
    <w:rsid w:val="00472CC6"/>
    <w:rsid w:val="0048026E"/>
    <w:rsid w:val="004807A9"/>
    <w:rsid w:val="004813EE"/>
    <w:rsid w:val="00493278"/>
    <w:rsid w:val="004943D9"/>
    <w:rsid w:val="00497240"/>
    <w:rsid w:val="004A0E7B"/>
    <w:rsid w:val="004A3498"/>
    <w:rsid w:val="004B0C45"/>
    <w:rsid w:val="004C0AB2"/>
    <w:rsid w:val="004C1619"/>
    <w:rsid w:val="004C1A26"/>
    <w:rsid w:val="004C1CC9"/>
    <w:rsid w:val="004C3755"/>
    <w:rsid w:val="004C4485"/>
    <w:rsid w:val="004D11AF"/>
    <w:rsid w:val="00500DFA"/>
    <w:rsid w:val="005019AA"/>
    <w:rsid w:val="005021BB"/>
    <w:rsid w:val="00503F07"/>
    <w:rsid w:val="005139E7"/>
    <w:rsid w:val="005147DA"/>
    <w:rsid w:val="00515FB5"/>
    <w:rsid w:val="0052365C"/>
    <w:rsid w:val="005271EB"/>
    <w:rsid w:val="005426DB"/>
    <w:rsid w:val="0055082B"/>
    <w:rsid w:val="00552503"/>
    <w:rsid w:val="00552B57"/>
    <w:rsid w:val="00557DA1"/>
    <w:rsid w:val="0056322C"/>
    <w:rsid w:val="0057162E"/>
    <w:rsid w:val="0058743A"/>
    <w:rsid w:val="005A4DB0"/>
    <w:rsid w:val="005A7B8E"/>
    <w:rsid w:val="005B012B"/>
    <w:rsid w:val="005B0C87"/>
    <w:rsid w:val="005B0EF0"/>
    <w:rsid w:val="005D0860"/>
    <w:rsid w:val="005D23F6"/>
    <w:rsid w:val="005D2FA8"/>
    <w:rsid w:val="005E11FB"/>
    <w:rsid w:val="005E2281"/>
    <w:rsid w:val="005E667C"/>
    <w:rsid w:val="005F077C"/>
    <w:rsid w:val="005F63D0"/>
    <w:rsid w:val="005F7973"/>
    <w:rsid w:val="0061690E"/>
    <w:rsid w:val="00627361"/>
    <w:rsid w:val="0063017E"/>
    <w:rsid w:val="00631B28"/>
    <w:rsid w:val="00645B90"/>
    <w:rsid w:val="00650991"/>
    <w:rsid w:val="006511D7"/>
    <w:rsid w:val="00663D75"/>
    <w:rsid w:val="00670AEF"/>
    <w:rsid w:val="006730E9"/>
    <w:rsid w:val="00675678"/>
    <w:rsid w:val="00677012"/>
    <w:rsid w:val="006825B4"/>
    <w:rsid w:val="00682AF2"/>
    <w:rsid w:val="006864DF"/>
    <w:rsid w:val="006A3C8A"/>
    <w:rsid w:val="006A7552"/>
    <w:rsid w:val="006B5953"/>
    <w:rsid w:val="006B7A81"/>
    <w:rsid w:val="006C4BAC"/>
    <w:rsid w:val="006C52F3"/>
    <w:rsid w:val="006E7F37"/>
    <w:rsid w:val="006F3B81"/>
    <w:rsid w:val="006F4F79"/>
    <w:rsid w:val="00705B37"/>
    <w:rsid w:val="00711FD9"/>
    <w:rsid w:val="00735062"/>
    <w:rsid w:val="00746BA5"/>
    <w:rsid w:val="00751D23"/>
    <w:rsid w:val="00770577"/>
    <w:rsid w:val="00777666"/>
    <w:rsid w:val="0078159B"/>
    <w:rsid w:val="00782E10"/>
    <w:rsid w:val="0078706B"/>
    <w:rsid w:val="00790836"/>
    <w:rsid w:val="00797131"/>
    <w:rsid w:val="007A3C1D"/>
    <w:rsid w:val="007B285D"/>
    <w:rsid w:val="007C6BC6"/>
    <w:rsid w:val="00807D79"/>
    <w:rsid w:val="00813634"/>
    <w:rsid w:val="00816CA4"/>
    <w:rsid w:val="00822821"/>
    <w:rsid w:val="00831C29"/>
    <w:rsid w:val="008431EF"/>
    <w:rsid w:val="008468E0"/>
    <w:rsid w:val="00861BA6"/>
    <w:rsid w:val="00871B59"/>
    <w:rsid w:val="00877D03"/>
    <w:rsid w:val="00877E96"/>
    <w:rsid w:val="008806CA"/>
    <w:rsid w:val="008815E5"/>
    <w:rsid w:val="00887B37"/>
    <w:rsid w:val="008909B9"/>
    <w:rsid w:val="00891DFC"/>
    <w:rsid w:val="008B12B4"/>
    <w:rsid w:val="008B7914"/>
    <w:rsid w:val="008C5D2A"/>
    <w:rsid w:val="008C7AF4"/>
    <w:rsid w:val="008D529F"/>
    <w:rsid w:val="008F1CE8"/>
    <w:rsid w:val="008F4FD8"/>
    <w:rsid w:val="008F5CC8"/>
    <w:rsid w:val="009061B8"/>
    <w:rsid w:val="0091008B"/>
    <w:rsid w:val="00911EA2"/>
    <w:rsid w:val="00913DAE"/>
    <w:rsid w:val="00916C7D"/>
    <w:rsid w:val="009231E5"/>
    <w:rsid w:val="0092575D"/>
    <w:rsid w:val="009341DA"/>
    <w:rsid w:val="009430F9"/>
    <w:rsid w:val="009442E8"/>
    <w:rsid w:val="00946BD0"/>
    <w:rsid w:val="0095426C"/>
    <w:rsid w:val="00970087"/>
    <w:rsid w:val="00971074"/>
    <w:rsid w:val="009733C1"/>
    <w:rsid w:val="00995D86"/>
    <w:rsid w:val="009A279B"/>
    <w:rsid w:val="009A5453"/>
    <w:rsid w:val="009B4D94"/>
    <w:rsid w:val="009C2871"/>
    <w:rsid w:val="009D35D4"/>
    <w:rsid w:val="009D3C33"/>
    <w:rsid w:val="009D7F3A"/>
    <w:rsid w:val="009E4885"/>
    <w:rsid w:val="00A07DB6"/>
    <w:rsid w:val="00A10A73"/>
    <w:rsid w:val="00A170B3"/>
    <w:rsid w:val="00A223D5"/>
    <w:rsid w:val="00A27239"/>
    <w:rsid w:val="00A33387"/>
    <w:rsid w:val="00A37D1C"/>
    <w:rsid w:val="00A5453E"/>
    <w:rsid w:val="00A56F6C"/>
    <w:rsid w:val="00A6400B"/>
    <w:rsid w:val="00A76C8C"/>
    <w:rsid w:val="00A85F30"/>
    <w:rsid w:val="00A871A0"/>
    <w:rsid w:val="00A9099E"/>
    <w:rsid w:val="00A91FB7"/>
    <w:rsid w:val="00A9298F"/>
    <w:rsid w:val="00AA0351"/>
    <w:rsid w:val="00AA5F4A"/>
    <w:rsid w:val="00AB1984"/>
    <w:rsid w:val="00AB52B1"/>
    <w:rsid w:val="00AC353D"/>
    <w:rsid w:val="00AC4CB3"/>
    <w:rsid w:val="00AC780D"/>
    <w:rsid w:val="00AD036B"/>
    <w:rsid w:val="00AD1996"/>
    <w:rsid w:val="00AD4099"/>
    <w:rsid w:val="00AD4901"/>
    <w:rsid w:val="00B02FE0"/>
    <w:rsid w:val="00B057B6"/>
    <w:rsid w:val="00B24F61"/>
    <w:rsid w:val="00B30448"/>
    <w:rsid w:val="00B34786"/>
    <w:rsid w:val="00B37B12"/>
    <w:rsid w:val="00B400EC"/>
    <w:rsid w:val="00B40162"/>
    <w:rsid w:val="00B41ACE"/>
    <w:rsid w:val="00B50156"/>
    <w:rsid w:val="00B518AD"/>
    <w:rsid w:val="00B60A96"/>
    <w:rsid w:val="00B678EC"/>
    <w:rsid w:val="00B76C94"/>
    <w:rsid w:val="00B772D0"/>
    <w:rsid w:val="00B836EA"/>
    <w:rsid w:val="00B839D9"/>
    <w:rsid w:val="00B84C05"/>
    <w:rsid w:val="00B91B81"/>
    <w:rsid w:val="00B96FBC"/>
    <w:rsid w:val="00B97135"/>
    <w:rsid w:val="00BB3072"/>
    <w:rsid w:val="00BC7632"/>
    <w:rsid w:val="00BD48A9"/>
    <w:rsid w:val="00BD630F"/>
    <w:rsid w:val="00BD6B28"/>
    <w:rsid w:val="00BD7EC6"/>
    <w:rsid w:val="00BE4B85"/>
    <w:rsid w:val="00BE5044"/>
    <w:rsid w:val="00BE73FA"/>
    <w:rsid w:val="00BF6B4B"/>
    <w:rsid w:val="00C0511C"/>
    <w:rsid w:val="00C20ACF"/>
    <w:rsid w:val="00C22307"/>
    <w:rsid w:val="00C23469"/>
    <w:rsid w:val="00C30C62"/>
    <w:rsid w:val="00C3714D"/>
    <w:rsid w:val="00C371DF"/>
    <w:rsid w:val="00C42055"/>
    <w:rsid w:val="00C44B4C"/>
    <w:rsid w:val="00C46734"/>
    <w:rsid w:val="00C47A86"/>
    <w:rsid w:val="00C53220"/>
    <w:rsid w:val="00C53B1E"/>
    <w:rsid w:val="00C85B07"/>
    <w:rsid w:val="00CA3347"/>
    <w:rsid w:val="00CB5391"/>
    <w:rsid w:val="00CC299A"/>
    <w:rsid w:val="00CD03E3"/>
    <w:rsid w:val="00CE20BF"/>
    <w:rsid w:val="00CE22FC"/>
    <w:rsid w:val="00CE6BDA"/>
    <w:rsid w:val="00D03DBE"/>
    <w:rsid w:val="00D072C0"/>
    <w:rsid w:val="00D12C4D"/>
    <w:rsid w:val="00D32A4D"/>
    <w:rsid w:val="00D34C82"/>
    <w:rsid w:val="00D3757A"/>
    <w:rsid w:val="00D504A9"/>
    <w:rsid w:val="00D5206D"/>
    <w:rsid w:val="00D6347D"/>
    <w:rsid w:val="00D7177D"/>
    <w:rsid w:val="00D81311"/>
    <w:rsid w:val="00DA1A27"/>
    <w:rsid w:val="00DA274D"/>
    <w:rsid w:val="00DB201E"/>
    <w:rsid w:val="00DC0E68"/>
    <w:rsid w:val="00DD25ED"/>
    <w:rsid w:val="00DE0D6E"/>
    <w:rsid w:val="00DE244F"/>
    <w:rsid w:val="00DE2DB4"/>
    <w:rsid w:val="00E1610C"/>
    <w:rsid w:val="00E16D73"/>
    <w:rsid w:val="00E23E9E"/>
    <w:rsid w:val="00E25722"/>
    <w:rsid w:val="00E27F0A"/>
    <w:rsid w:val="00E4231E"/>
    <w:rsid w:val="00E4302C"/>
    <w:rsid w:val="00E44AC7"/>
    <w:rsid w:val="00E45F4B"/>
    <w:rsid w:val="00E60A16"/>
    <w:rsid w:val="00E82B6E"/>
    <w:rsid w:val="00E94258"/>
    <w:rsid w:val="00E96C18"/>
    <w:rsid w:val="00EA2E61"/>
    <w:rsid w:val="00EA7D7F"/>
    <w:rsid w:val="00EB02F4"/>
    <w:rsid w:val="00EB2FA2"/>
    <w:rsid w:val="00EB5468"/>
    <w:rsid w:val="00EB769A"/>
    <w:rsid w:val="00EC3A35"/>
    <w:rsid w:val="00ED015B"/>
    <w:rsid w:val="00EE17F2"/>
    <w:rsid w:val="00EE3138"/>
    <w:rsid w:val="00EF2AC7"/>
    <w:rsid w:val="00EF400A"/>
    <w:rsid w:val="00EF6BE4"/>
    <w:rsid w:val="00EF6E5D"/>
    <w:rsid w:val="00F07764"/>
    <w:rsid w:val="00F12517"/>
    <w:rsid w:val="00F131DD"/>
    <w:rsid w:val="00F16BA1"/>
    <w:rsid w:val="00F20403"/>
    <w:rsid w:val="00F24435"/>
    <w:rsid w:val="00F30C0F"/>
    <w:rsid w:val="00F314E8"/>
    <w:rsid w:val="00F323A2"/>
    <w:rsid w:val="00F33B57"/>
    <w:rsid w:val="00F33D5C"/>
    <w:rsid w:val="00F34E90"/>
    <w:rsid w:val="00F356D6"/>
    <w:rsid w:val="00F53BE2"/>
    <w:rsid w:val="00F55684"/>
    <w:rsid w:val="00F64D5A"/>
    <w:rsid w:val="00F709CD"/>
    <w:rsid w:val="00F906F4"/>
    <w:rsid w:val="00FA0716"/>
    <w:rsid w:val="00FB018A"/>
    <w:rsid w:val="00FB34E3"/>
    <w:rsid w:val="00FB4629"/>
    <w:rsid w:val="00FB6FB1"/>
    <w:rsid w:val="00FB7063"/>
    <w:rsid w:val="00FC7056"/>
    <w:rsid w:val="00FD6044"/>
    <w:rsid w:val="00FE05FF"/>
    <w:rsid w:val="00FE1A00"/>
    <w:rsid w:val="024D7E2C"/>
    <w:rsid w:val="077BDD6C"/>
    <w:rsid w:val="0D2EB883"/>
    <w:rsid w:val="0D8163B6"/>
    <w:rsid w:val="13A69650"/>
    <w:rsid w:val="1BB32F19"/>
    <w:rsid w:val="1F2C3AF5"/>
    <w:rsid w:val="1FF4886A"/>
    <w:rsid w:val="22D2584A"/>
    <w:rsid w:val="28751A95"/>
    <w:rsid w:val="29FA8189"/>
    <w:rsid w:val="2C00A012"/>
    <w:rsid w:val="33632CB1"/>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styleId="TextonotapieCar1" w:customStyle="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styleId="Appelnotedebasde" w:customStyle="1">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styleId="TextocomentarioCar" w:customStyle="1">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styleId="AsuntodelcomentarioCar" w:customStyle="1">
    <w:name w:val="Asunto del comentario Car"/>
    <w:basedOn w:val="TextocomentarioCar"/>
    <w:link w:val="Asuntodelcomentario"/>
    <w:uiPriority w:val="99"/>
    <w:semiHidden/>
    <w:rsid w:val="00A37D1C"/>
    <w:rPr>
      <w:b/>
      <w:bCs/>
      <w:sz w:val="20"/>
      <w:szCs w:val="20"/>
    </w:rPr>
  </w:style>
  <w:style w:type="paragraph" w:styleId="Normal11pt" w:customStyle="1">
    <w:name w:val="Normal + 11 pt"/>
    <w:aliases w:val="Negro,Justificado,Izquierda:  -0,95 cm,Derecha:  0,04 cm"/>
    <w:basedOn w:val="Normal"/>
    <w:uiPriority w:val="99"/>
    <w:rsid w:val="00B76C94"/>
    <w:pPr>
      <w:spacing w:after="0" w:line="240" w:lineRule="auto"/>
      <w:ind w:left="-540"/>
      <w:jc w:val="both"/>
    </w:pPr>
    <w:rPr>
      <w:rFonts w:ascii="Arial" w:hAnsi="Arial" w:eastAsia="Times New Roman" w:cs="Arial"/>
      <w:color w:val="000000"/>
      <w:lang w:val="es-ES_tradnl" w:eastAsia="es-ES"/>
    </w:rPr>
  </w:style>
  <w:style w:type="paragraph" w:styleId="Revisin">
    <w:name w:val="Revision"/>
    <w:hidden/>
    <w:uiPriority w:val="99"/>
    <w:semiHidden/>
    <w:rsid w:val="00F64D5A"/>
    <w:pPr>
      <w:spacing w:after="0" w:line="240" w:lineRule="auto"/>
    </w:pPr>
  </w:style>
  <w:style w:type="character" w:styleId="cf01" w:customStyle="1">
    <w:name w:val="cf01"/>
    <w:basedOn w:val="Fuentedeprrafopredeter"/>
    <w:rsid w:val="005019AA"/>
    <w:rPr>
      <w:rFonts w:hint="default" w:ascii="Segoe UI" w:hAnsi="Segoe UI" w:cs="Segoe UI"/>
      <w:i/>
      <w:iCs/>
      <w:sz w:val="18"/>
      <w:szCs w:val="18"/>
    </w:rPr>
  </w:style>
  <w:style w:type="character" w:styleId="normaltextrun" w:customStyle="1">
    <w:name w:val="normaltextrun"/>
    <w:basedOn w:val="Fuentedeprrafopredeter"/>
    <w:rsid w:val="5D8505AD"/>
  </w:style>
  <w:style w:type="character" w:styleId="eop" w:customStyle="1">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styleId="Hipervnculo1" w:customStyle="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styleId="TextoindependienteCar" w:customStyle="1">
    <w:name w:val="Texto independiente Car"/>
    <w:basedOn w:val="Fuentedeprrafopredeter"/>
    <w:link w:val="Textoindependiente"/>
    <w:uiPriority w:val="99"/>
    <w:rsid w:val="00430492"/>
  </w:style>
  <w:style w:type="paragraph" w:styleId="Car1" w:customStyle="1">
    <w:name w:val="Car1"/>
    <w:basedOn w:val="Normal"/>
    <w:next w:val="Textonotapie"/>
    <w:uiPriority w:val="99"/>
    <w:unhideWhenUsed/>
    <w:qFormat/>
    <w:rsid w:val="00430492"/>
    <w:pPr>
      <w:spacing w:after="0" w:line="240" w:lineRule="auto"/>
    </w:pPr>
    <w:rPr>
      <w:sz w:val="20"/>
      <w:szCs w:val="20"/>
      <w:lang w:val="es-MX"/>
    </w:rPr>
  </w:style>
  <w:style w:type="paragraph" w:styleId="Cuadrculamedia1-nfasis21" w:customStyle="1">
    <w:name w:val="Cuadrícula media 1 - Énfasis 21"/>
    <w:basedOn w:val="Normal"/>
    <w:uiPriority w:val="34"/>
    <w:qFormat/>
    <w:rsid w:val="009C2871"/>
    <w:pPr>
      <w:ind w:left="720"/>
      <w:contextualSpacing/>
    </w:pPr>
    <w:rPr>
      <w:rFonts w:ascii="Calibri" w:hAnsi="Calibri" w:eastAsia="Calibri" w:cs="Times New Roman"/>
    </w:rPr>
  </w:style>
  <w:style w:type="character" w:styleId="Ttulo1Car" w:customStyle="1">
    <w:name w:val="Título 1 Car"/>
    <w:basedOn w:val="Fuentedeprrafopredeter"/>
    <w:link w:val="Ttulo1"/>
    <w:uiPriority w:val="1"/>
    <w:rsid w:val="00B34786"/>
    <w:rPr>
      <w:rFonts w:ascii="Arial" w:hAnsi="Arial" w:eastAsia="Arial" w:cs="Arial"/>
      <w:b/>
      <w:bCs/>
      <w:lang w:val="es-ES"/>
    </w:rPr>
  </w:style>
  <w:style w:type="paragraph" w:styleId="Default" w:customStyle="1">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B34786"/>
    <w:rPr>
      <w:rFonts w:ascii="Geomanist" w:hAnsi="Geomanist" w:eastAsiaTheme="majorEastAsia" w:cstheme="majorBidi"/>
      <w:spacing w:val="-10"/>
      <w:kern w:val="28"/>
      <w:szCs w:val="56"/>
      <w:lang w:val="es-ES"/>
    </w:rPr>
  </w:style>
  <w:style w:type="table" w:styleId="Tablaconcuadrcula1" w:customStyle="1">
    <w:name w:val="Tabla con cuadrícula1"/>
    <w:basedOn w:val="Tablanormal"/>
    <w:next w:val="Tablaconcuadrcula"/>
    <w:uiPriority w:val="59"/>
    <w:qFormat/>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inlista1" w:customStyle="1">
    <w:name w:val="Sin lista1"/>
    <w:next w:val="Sinlista"/>
    <w:uiPriority w:val="99"/>
    <w:semiHidden/>
    <w:unhideWhenUsed/>
    <w:rsid w:val="00B34786"/>
  </w:style>
  <w:style w:type="table" w:styleId="TableNormal" w:customStyle="1">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B34786"/>
    <w:pPr>
      <w:widowControl w:val="0"/>
      <w:autoSpaceDE w:val="0"/>
      <w:autoSpaceDN w:val="0"/>
      <w:spacing w:after="0" w:line="208" w:lineRule="exact"/>
      <w:ind w:left="119"/>
    </w:pPr>
    <w:rPr>
      <w:rFonts w:ascii="Calibri" w:hAnsi="Calibri" w:eastAsia="Calibri" w:cs="Calibri"/>
      <w:lang w:val="es-ES"/>
    </w:rPr>
  </w:style>
  <w:style w:type="table" w:styleId="Tablaconcuadrcula2" w:customStyle="1">
    <w:name w:val="Tabla con cuadrícula2"/>
    <w:basedOn w:val="Tablanormal"/>
    <w:next w:val="Tablaconcuadrcula"/>
    <w:uiPriority w:val="39"/>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A5DD4"/>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364986123">
      <w:bodyDiv w:val="1"/>
      <w:marLeft w:val="0"/>
      <w:marRight w:val="0"/>
      <w:marTop w:val="0"/>
      <w:marBottom w:val="0"/>
      <w:divBdr>
        <w:top w:val="none" w:sz="0" w:space="0" w:color="auto"/>
        <w:left w:val="none" w:sz="0" w:space="0" w:color="auto"/>
        <w:bottom w:val="none" w:sz="0" w:space="0" w:color="auto"/>
        <w:right w:val="none" w:sz="0" w:space="0" w:color="auto"/>
      </w:divBdr>
    </w:div>
    <w:div w:id="47776873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659581978">
      <w:bodyDiv w:val="1"/>
      <w:marLeft w:val="0"/>
      <w:marRight w:val="0"/>
      <w:marTop w:val="0"/>
      <w:marBottom w:val="0"/>
      <w:divBdr>
        <w:top w:val="none" w:sz="0" w:space="0" w:color="auto"/>
        <w:left w:val="none" w:sz="0" w:space="0" w:color="auto"/>
        <w:bottom w:val="none" w:sz="0" w:space="0" w:color="auto"/>
        <w:right w:val="none" w:sz="0" w:space="0" w:color="auto"/>
      </w:divBdr>
    </w:div>
    <w:div w:id="774516891">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928273780">
      <w:bodyDiv w:val="1"/>
      <w:marLeft w:val="0"/>
      <w:marRight w:val="0"/>
      <w:marTop w:val="0"/>
      <w:marBottom w:val="0"/>
      <w:divBdr>
        <w:top w:val="none" w:sz="0" w:space="0" w:color="auto"/>
        <w:left w:val="none" w:sz="0" w:space="0" w:color="auto"/>
        <w:bottom w:val="none" w:sz="0" w:space="0" w:color="auto"/>
        <w:right w:val="none" w:sz="0" w:space="0" w:color="auto"/>
      </w:divBdr>
    </w:div>
    <w:div w:id="973410629">
      <w:bodyDiv w:val="1"/>
      <w:marLeft w:val="0"/>
      <w:marRight w:val="0"/>
      <w:marTop w:val="0"/>
      <w:marBottom w:val="0"/>
      <w:divBdr>
        <w:top w:val="none" w:sz="0" w:space="0" w:color="auto"/>
        <w:left w:val="none" w:sz="0" w:space="0" w:color="auto"/>
        <w:bottom w:val="none" w:sz="0" w:space="0" w:color="auto"/>
        <w:right w:val="none" w:sz="0" w:space="0" w:color="auto"/>
      </w:divBdr>
    </w:div>
    <w:div w:id="1187870855">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50844540">
      <w:bodyDiv w:val="1"/>
      <w:marLeft w:val="0"/>
      <w:marRight w:val="0"/>
      <w:marTop w:val="0"/>
      <w:marBottom w:val="0"/>
      <w:divBdr>
        <w:top w:val="none" w:sz="0" w:space="0" w:color="auto"/>
        <w:left w:val="none" w:sz="0" w:space="0" w:color="auto"/>
        <w:bottom w:val="none" w:sz="0" w:space="0" w:color="auto"/>
        <w:right w:val="none" w:sz="0" w:space="0" w:color="auto"/>
      </w:divBdr>
    </w:div>
    <w:div w:id="1299267078">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15792695">
      <w:bodyDiv w:val="1"/>
      <w:marLeft w:val="0"/>
      <w:marRight w:val="0"/>
      <w:marTop w:val="0"/>
      <w:marBottom w:val="0"/>
      <w:divBdr>
        <w:top w:val="none" w:sz="0" w:space="0" w:color="auto"/>
        <w:left w:val="none" w:sz="0" w:space="0" w:color="auto"/>
        <w:bottom w:val="none" w:sz="0" w:space="0" w:color="auto"/>
        <w:right w:val="none" w:sz="0" w:space="0" w:color="auto"/>
      </w:divBdr>
    </w:div>
    <w:div w:id="167746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busqueda/concepto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onsultaprocesos.colombiacompra.gov.co/"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lombiacompra.gov.co/sala-de-prensa/boletin-digital"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ANCP-SGC</dc:creator>
  <keywords/>
  <dc:description/>
  <lastModifiedBy>Christian Camilo Orjuela Galeano</lastModifiedBy>
  <revision>19</revision>
  <dcterms:created xsi:type="dcterms:W3CDTF">2024-07-19T12:31:00.0000000Z</dcterms:created>
  <dcterms:modified xsi:type="dcterms:W3CDTF">2024-10-11T14:26:05.7278114Z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