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17898" w:rsidP="00E245AB" w:rsidRDefault="00F17898" w14:paraId="329E09B0" w14:textId="77777777">
      <w:pPr>
        <w:spacing w:after="0"/>
        <w:rPr>
          <w:rFonts w:ascii="Verdana" w:hAnsi="Verdana"/>
        </w:rPr>
      </w:pPr>
      <w:bookmarkStart w:name="_Hlk143780582" w:id="0"/>
    </w:p>
    <w:p w:rsidR="00F17898" w:rsidP="12ED9A71" w:rsidRDefault="00F17898" w14:paraId="28E64CAE" w14:textId="7F6C3C1B">
      <w:pPr>
        <w:spacing w:before="0" w:beforeAutospacing="off" w:after="160" w:afterAutospacing="off" w:line="276" w:lineRule="auto"/>
        <w:jc w:val="both"/>
      </w:pPr>
      <w:r w:rsidRPr="12ED9A71" w:rsidR="4302103E">
        <w:rPr>
          <w:rFonts w:ascii="Verdana" w:hAnsi="Verdana" w:eastAsia="Verdana" w:cs="Verdana"/>
          <w:b w:val="1"/>
          <w:bCs w:val="1"/>
          <w:noProof w:val="0"/>
          <w:sz w:val="22"/>
          <w:szCs w:val="22"/>
          <w:lang w:val="es"/>
        </w:rPr>
        <w:t>REQUISITOS HABILITANTES – Noción</w:t>
      </w:r>
    </w:p>
    <w:p w:rsidR="00F17898" w:rsidP="12ED9A71" w:rsidRDefault="00F17898" w14:paraId="686BBA0D" w14:textId="631248CE">
      <w:pPr>
        <w:spacing w:before="0" w:beforeAutospacing="off" w:after="0" w:afterAutospacing="off" w:line="276" w:lineRule="auto"/>
        <w:jc w:val="both"/>
      </w:pPr>
      <w:r w:rsidRPr="12ED9A71" w:rsidR="4302103E">
        <w:rPr>
          <w:rFonts w:ascii="Verdana" w:hAnsi="Verdana" w:eastAsia="Verdana" w:cs="Verdana"/>
          <w:noProof w:val="0"/>
          <w:sz w:val="22"/>
          <w:szCs w:val="22"/>
          <w:lang w:val="es"/>
        </w:rPr>
        <w:t xml:space="preserve"> </w:t>
      </w:r>
    </w:p>
    <w:p w:rsidR="00F17898" w:rsidP="12ED9A71" w:rsidRDefault="00F17898" w14:paraId="37F31323" w14:textId="4834F38B">
      <w:pPr>
        <w:spacing w:before="0" w:beforeAutospacing="off" w:after="0" w:afterAutospacing="off" w:line="276" w:lineRule="auto"/>
        <w:jc w:val="both"/>
      </w:pPr>
      <w:r w:rsidRPr="12ED9A71" w:rsidR="4302103E">
        <w:rPr>
          <w:rFonts w:ascii="Verdana" w:hAnsi="Verdana" w:eastAsia="Verdana" w:cs="Verdana"/>
          <w:noProof w:val="0"/>
          <w:sz w:val="22"/>
          <w:szCs w:val="22"/>
          <w:lang w:val="es"/>
        </w:rPr>
        <w:t xml:space="preserve">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rsidR="00F17898" w:rsidP="12ED9A71" w:rsidRDefault="00F17898" w14:paraId="1F82C74F" w14:textId="2D2C8A1E">
      <w:pPr>
        <w:spacing w:before="0" w:beforeAutospacing="off" w:after="0" w:afterAutospacing="off" w:line="276" w:lineRule="auto"/>
        <w:jc w:val="both"/>
      </w:pPr>
      <w:r w:rsidRPr="12ED9A71" w:rsidR="4302103E">
        <w:rPr>
          <w:rFonts w:ascii="Verdana" w:hAnsi="Verdana" w:eastAsia="Verdana" w:cs="Verdana"/>
          <w:noProof w:val="0"/>
          <w:sz w:val="22"/>
          <w:szCs w:val="22"/>
          <w:lang w:val="es"/>
        </w:rPr>
        <w:t xml:space="preserve"> </w:t>
      </w:r>
    </w:p>
    <w:p w:rsidR="00F17898" w:rsidP="12ED9A71" w:rsidRDefault="00F17898" w14:paraId="2BC99BE6" w14:textId="699908C4">
      <w:pPr>
        <w:spacing w:before="0" w:beforeAutospacing="off" w:after="0" w:afterAutospacing="off" w:line="276" w:lineRule="auto"/>
        <w:jc w:val="both"/>
        <w:rPr>
          <w:rFonts w:ascii="Verdana" w:hAnsi="Verdana" w:eastAsia="Verdana" w:cs="Verdana"/>
          <w:noProof w:val="0"/>
          <w:sz w:val="22"/>
          <w:szCs w:val="22"/>
          <w:lang w:val="es-ES"/>
        </w:rPr>
      </w:pPr>
      <w:r w:rsidRPr="12ED9A71" w:rsidR="4302103E">
        <w:rPr>
          <w:rFonts w:ascii="Verdana" w:hAnsi="Verdana" w:eastAsia="Verdana" w:cs="Verdana"/>
          <w:noProof w:val="0"/>
          <w:sz w:val="22"/>
          <w:szCs w:val="22"/>
          <w:lang w:val="es-ES"/>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w:t>
      </w:r>
      <w:r w:rsidRPr="12ED9A71" w:rsidR="4302103E">
        <w:rPr>
          <w:rFonts w:ascii="Verdana" w:hAnsi="Verdana" w:eastAsia="Verdana" w:cs="Verdana"/>
          <w:noProof w:val="0"/>
          <w:sz w:val="22"/>
          <w:szCs w:val="22"/>
          <w:lang w:val="es-ES"/>
        </w:rPr>
        <w:t xml:space="preserve"> </w:t>
      </w:r>
      <w:r w:rsidRPr="12ED9A71" w:rsidR="4302103E">
        <w:rPr>
          <w:rFonts w:ascii="Verdana" w:hAnsi="Verdana" w:eastAsia="Verdana" w:cs="Verdana"/>
          <w:noProof w:val="0"/>
          <w:sz w:val="22"/>
          <w:szCs w:val="22"/>
          <w:lang w:val="es-ES"/>
        </w:rPr>
        <w:t>Esto sin perjuicio del derecho que tienen los oferentes de subsanar los defectos que se presenten en la prueba de tales requisitos, de conformidad con el artículo 5, parágrafos 1º al 4º, de la Ley 1150 de 2007.</w:t>
      </w:r>
    </w:p>
    <w:p w:rsidR="00F17898" w:rsidP="12ED9A71" w:rsidRDefault="00F17898" w14:paraId="1DE0A093" w14:textId="6ABD9BDD">
      <w:pPr>
        <w:spacing w:before="0" w:beforeAutospacing="off" w:after="0" w:afterAutospacing="off" w:line="276" w:lineRule="auto"/>
        <w:jc w:val="both"/>
      </w:pPr>
      <w:r w:rsidRPr="12ED9A71" w:rsidR="4302103E">
        <w:rPr>
          <w:rFonts w:ascii="Verdana" w:hAnsi="Verdana" w:eastAsia="Verdana" w:cs="Verdana"/>
          <w:b w:val="1"/>
          <w:bCs w:val="1"/>
          <w:noProof w:val="0"/>
          <w:sz w:val="22"/>
          <w:szCs w:val="22"/>
          <w:lang w:val="es"/>
        </w:rPr>
        <w:t xml:space="preserve"> </w:t>
      </w:r>
    </w:p>
    <w:p w:rsidR="00F17898" w:rsidP="12ED9A71" w:rsidRDefault="00F17898" w14:paraId="259B9838" w14:textId="497FB760">
      <w:pPr>
        <w:spacing w:before="0" w:beforeAutospacing="off" w:after="0" w:afterAutospacing="off" w:line="276" w:lineRule="auto"/>
        <w:jc w:val="both"/>
      </w:pPr>
      <w:r w:rsidRPr="12ED9A71" w:rsidR="4302103E">
        <w:rPr>
          <w:rFonts w:ascii="Verdana" w:hAnsi="Verdana" w:eastAsia="Verdana" w:cs="Verdana"/>
          <w:b w:val="1"/>
          <w:bCs w:val="1"/>
          <w:noProof w:val="0"/>
          <w:sz w:val="22"/>
          <w:szCs w:val="22"/>
          <w:lang w:val="es"/>
        </w:rPr>
        <w:t>REQUISITOS HABILITANTES – Autonomía</w:t>
      </w:r>
    </w:p>
    <w:p w:rsidR="00F17898" w:rsidP="12ED9A71" w:rsidRDefault="00F17898" w14:paraId="467DD544" w14:textId="5601A533">
      <w:pPr>
        <w:spacing w:before="0" w:beforeAutospacing="off" w:after="0" w:afterAutospacing="off" w:line="276" w:lineRule="auto"/>
        <w:jc w:val="both"/>
      </w:pPr>
      <w:r w:rsidRPr="12ED9A71" w:rsidR="4302103E">
        <w:rPr>
          <w:rFonts w:ascii="Verdana" w:hAnsi="Verdana" w:eastAsia="Verdana" w:cs="Verdana"/>
          <w:noProof w:val="0"/>
          <w:sz w:val="22"/>
          <w:szCs w:val="22"/>
          <w:lang w:val="es"/>
        </w:rPr>
        <w:t xml:space="preserve"> </w:t>
      </w:r>
    </w:p>
    <w:p w:rsidR="00F17898" w:rsidP="12ED9A71" w:rsidRDefault="00F17898" w14:paraId="28518AA0" w14:textId="69E41DC7">
      <w:pPr>
        <w:spacing w:before="0" w:beforeAutospacing="off" w:after="0" w:afterAutospacing="off" w:line="276" w:lineRule="auto"/>
        <w:jc w:val="both"/>
      </w:pPr>
      <w:r w:rsidRPr="12ED9A71" w:rsidR="4302103E">
        <w:rPr>
          <w:rFonts w:ascii="Verdana" w:hAnsi="Verdana" w:eastAsia="Verdana" w:cs="Verdana"/>
          <w:noProof w:val="0"/>
          <w:sz w:val="22"/>
          <w:szCs w:val="22"/>
          <w:lang w:val="es"/>
        </w:rPr>
        <w:t xml:space="preserve">Esta Agencia puso a disposición de los interesados el “Manual para determinar y verificar los requisitos habilitantes en los procesos de contratación”. En dicho Manual se plantean definiciones para cada requisito habilitante y se indican lineamientos orientadores que la Entidad Estatal puede considerar para establecerlos, pero en todo caso, es ella quien los define, de forma proporcional a la naturaleza y al valor del contrato, por lo que para ello deberá observarse los resultados de los Estudios del Sector que se hayan realizado para el respectivo Proceso de Contratación. </w:t>
      </w:r>
    </w:p>
    <w:p w:rsidR="00F17898" w:rsidP="12ED9A71" w:rsidRDefault="00F17898" w14:paraId="7E09CAEF" w14:textId="1AE5B1DF">
      <w:pPr>
        <w:spacing w:before="0" w:beforeAutospacing="off" w:after="0" w:afterAutospacing="off" w:line="276" w:lineRule="auto"/>
        <w:jc w:val="both"/>
      </w:pPr>
      <w:r w:rsidRPr="12ED9A71" w:rsidR="4302103E">
        <w:rPr>
          <w:rFonts w:ascii="Verdana" w:hAnsi="Verdana" w:eastAsia="Verdana" w:cs="Verdana"/>
          <w:noProof w:val="0"/>
          <w:sz w:val="22"/>
          <w:szCs w:val="22"/>
          <w:lang w:val="es"/>
        </w:rPr>
        <w:t xml:space="preserve"> </w:t>
      </w:r>
    </w:p>
    <w:p w:rsidR="00F17898" w:rsidP="12ED9A71" w:rsidRDefault="00F17898" w14:paraId="6B8E15D3" w14:textId="5DA3FA4B">
      <w:pPr>
        <w:spacing w:before="0" w:beforeAutospacing="off" w:after="0" w:afterAutospacing="off" w:line="276" w:lineRule="auto"/>
        <w:jc w:val="both"/>
      </w:pPr>
      <w:r w:rsidRPr="12ED9A71" w:rsidR="4302103E">
        <w:rPr>
          <w:rFonts w:ascii="Verdana" w:hAnsi="Verdana" w:eastAsia="Verdana" w:cs="Verdana"/>
          <w:noProof w:val="0"/>
          <w:sz w:val="22"/>
          <w:szCs w:val="22"/>
          <w:lang w:val="es-ES"/>
        </w:rPr>
        <w:t>Considerando la discrecionalidad para establecer el requisito habilitante, es necesario tener en cuenta que 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los hechos que le sirven de causa”. En consecuencia, para efectos de los escenarios descritos en el párrafo precedente, la inclusión o exclusión de los indicadores previstos en el artículo 2.2.1.1.1.5.3. del Decreto 1082 de 2015 está unida a la carga justificativa de la Entidad Estatal en los estudios y documentos previos del proceso de selección.</w:t>
      </w:r>
    </w:p>
    <w:p w:rsidR="00F17898" w:rsidP="12ED9A71" w:rsidRDefault="00F17898" w14:paraId="2685D7A6" w14:textId="5438DDC3">
      <w:pPr>
        <w:spacing w:before="0" w:beforeAutospacing="off" w:after="0" w:afterAutospacing="off" w:line="276" w:lineRule="auto"/>
        <w:jc w:val="both"/>
      </w:pPr>
      <w:r w:rsidRPr="12ED9A71" w:rsidR="4302103E">
        <w:rPr>
          <w:rFonts w:ascii="Verdana" w:hAnsi="Verdana" w:eastAsia="Verdana" w:cs="Verdana"/>
          <w:noProof w:val="0"/>
          <w:sz w:val="22"/>
          <w:szCs w:val="22"/>
          <w:lang w:val="es"/>
        </w:rPr>
        <w:t xml:space="preserve"> </w:t>
      </w:r>
    </w:p>
    <w:p w:rsidR="00F17898" w:rsidP="12ED9A71" w:rsidRDefault="00F17898" w14:paraId="03594574" w14:textId="29909B84">
      <w:pPr>
        <w:spacing w:before="0" w:beforeAutospacing="off" w:after="0" w:afterAutospacing="off" w:line="276" w:lineRule="auto"/>
        <w:jc w:val="both"/>
      </w:pPr>
      <w:r w:rsidRPr="12ED9A71" w:rsidR="4302103E">
        <w:rPr>
          <w:rFonts w:ascii="Verdana" w:hAnsi="Verdana" w:eastAsia="Verdana" w:cs="Verdana"/>
          <w:b w:val="1"/>
          <w:bCs w:val="1"/>
          <w:noProof w:val="0"/>
          <w:sz w:val="22"/>
          <w:szCs w:val="22"/>
          <w:lang w:val="es"/>
        </w:rPr>
        <w:t>CAPACIDAD FINANCIERA Y ORGANIZACIONAL – Definición</w:t>
      </w:r>
    </w:p>
    <w:p w:rsidR="00F17898" w:rsidP="12ED9A71" w:rsidRDefault="00F17898" w14:paraId="57E104A2" w14:textId="4AD32EFE">
      <w:pPr>
        <w:spacing w:before="0" w:beforeAutospacing="off" w:after="0" w:afterAutospacing="off" w:line="276" w:lineRule="auto"/>
        <w:jc w:val="both"/>
      </w:pPr>
      <w:r w:rsidRPr="12ED9A71" w:rsidR="4302103E">
        <w:rPr>
          <w:rFonts w:ascii="Verdana" w:hAnsi="Verdana" w:eastAsia="Verdana" w:cs="Verdana"/>
          <w:noProof w:val="0"/>
          <w:sz w:val="22"/>
          <w:szCs w:val="22"/>
          <w:lang w:val="es"/>
        </w:rPr>
        <w:t xml:space="preserve"> </w:t>
      </w:r>
    </w:p>
    <w:p w:rsidR="00F17898" w:rsidP="12ED9A71" w:rsidRDefault="00F17898" w14:paraId="7E160897" w14:textId="33E41A16">
      <w:pPr>
        <w:spacing w:before="0" w:beforeAutospacing="off" w:after="0" w:afterAutospacing="off" w:line="276" w:lineRule="auto"/>
        <w:jc w:val="both"/>
      </w:pPr>
      <w:r w:rsidRPr="12ED9A71" w:rsidR="4302103E">
        <w:rPr>
          <w:rFonts w:ascii="Verdana" w:hAnsi="Verdana" w:eastAsia="Verdana" w:cs="Verdana"/>
          <w:noProof w:val="0"/>
          <w:sz w:val="22"/>
          <w:szCs w:val="22"/>
          <w:lang w:val="es"/>
        </w:rPr>
        <w:t>La capacidad financiera se deriva del comportamiento contable de la empresa, su liquidez y endeudamiento, para determinar que sus recursos y solidez financiera le permita cumplir los compromisos que adquiera. Como explica esta Agencia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rsidR="00F17898" w:rsidP="12ED9A71" w:rsidRDefault="00F17898" w14:paraId="0C73F0B5" w14:textId="41177B1B">
      <w:pPr>
        <w:spacing w:before="0" w:beforeAutospacing="off" w:after="0" w:afterAutospacing="off" w:line="276" w:lineRule="auto"/>
        <w:jc w:val="both"/>
      </w:pPr>
      <w:r w:rsidRPr="12ED9A71" w:rsidR="4302103E">
        <w:rPr>
          <w:rFonts w:ascii="Verdana" w:hAnsi="Verdana" w:eastAsia="Verdana" w:cs="Verdana"/>
          <w:noProof w:val="0"/>
          <w:sz w:val="22"/>
          <w:szCs w:val="22"/>
          <w:lang w:val="es"/>
        </w:rPr>
        <w:t xml:space="preserve"> </w:t>
      </w:r>
      <w:r w:rsidRPr="12ED9A71" w:rsidR="4302103E">
        <w:rPr>
          <w:rFonts w:ascii="Verdana" w:hAnsi="Verdana" w:eastAsia="Verdana" w:cs="Verdana"/>
          <w:b w:val="1"/>
          <w:bCs w:val="1"/>
          <w:noProof w:val="0"/>
          <w:sz w:val="22"/>
          <w:szCs w:val="22"/>
          <w:lang w:val="es"/>
        </w:rPr>
        <w:t xml:space="preserve"> </w:t>
      </w:r>
    </w:p>
    <w:p w:rsidR="00F17898" w:rsidP="12ED9A71" w:rsidRDefault="00F17898" w14:paraId="7AC58F34" w14:textId="2306CA1B">
      <w:pPr>
        <w:spacing w:before="0" w:beforeAutospacing="off" w:after="0" w:afterAutospacing="off" w:line="276" w:lineRule="auto"/>
        <w:jc w:val="both"/>
      </w:pPr>
      <w:r w:rsidRPr="12ED9A71" w:rsidR="4302103E">
        <w:rPr>
          <w:rFonts w:ascii="Verdana" w:hAnsi="Verdana" w:eastAsia="Verdana" w:cs="Verdana"/>
          <w:b w:val="1"/>
          <w:bCs w:val="1"/>
          <w:noProof w:val="0"/>
          <w:sz w:val="22"/>
          <w:szCs w:val="22"/>
          <w:lang w:val="es"/>
        </w:rPr>
        <w:t xml:space="preserve">DECRETO 1041 DE 2022 – Finalidad – Reactivación económica </w:t>
      </w:r>
    </w:p>
    <w:p w:rsidR="00F17898" w:rsidP="12ED9A71" w:rsidRDefault="00F17898" w14:paraId="72C7DCCE" w14:textId="01CD24CA">
      <w:pPr>
        <w:spacing w:before="0" w:beforeAutospacing="off" w:after="0" w:afterAutospacing="off" w:line="276" w:lineRule="auto"/>
        <w:jc w:val="both"/>
      </w:pPr>
      <w:r w:rsidRPr="12ED9A71" w:rsidR="4302103E">
        <w:rPr>
          <w:rFonts w:ascii="Verdana" w:hAnsi="Verdana" w:eastAsia="Verdana" w:cs="Verdana"/>
          <w:noProof w:val="0"/>
          <w:sz w:val="22"/>
          <w:szCs w:val="22"/>
          <w:lang w:val="es"/>
        </w:rPr>
        <w:t xml:space="preserve"> </w:t>
      </w:r>
    </w:p>
    <w:p w:rsidR="00F17898" w:rsidP="12ED9A71" w:rsidRDefault="00F17898" w14:paraId="62B1E978" w14:textId="5FC48A08">
      <w:pPr>
        <w:spacing w:before="0" w:beforeAutospacing="off" w:after="0" w:afterAutospacing="off" w:line="276" w:lineRule="auto"/>
        <w:jc w:val="both"/>
      </w:pPr>
      <w:r w:rsidRPr="12ED9A71" w:rsidR="4302103E">
        <w:rPr>
          <w:rFonts w:ascii="Verdana" w:hAnsi="Verdana" w:eastAsia="Verdana" w:cs="Verdana"/>
          <w:noProof w:val="0"/>
          <w:sz w:val="22"/>
          <w:szCs w:val="22"/>
          <w:lang w:val="es"/>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–con la modificación posteriormente introducida por el Decreto 579 de 2021– que, a partir del 1 de julio de 2021, las Entidades Estatales deberán tener en cuenta los datos sobre la capacidad financiera y organizacional de los últimos tres años, consignada en el RUP. Así lo justifica textualmente el reglamento mencionado, en sus consideraciones cuando manifiesta 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rsidR="00F17898" w:rsidP="12ED9A71" w:rsidRDefault="00F17898" w14:paraId="78D04CBA" w14:textId="4CD086C1">
      <w:pPr>
        <w:spacing w:before="0" w:beforeAutospacing="off" w:after="0" w:afterAutospacing="off" w:line="276" w:lineRule="auto"/>
        <w:jc w:val="both"/>
      </w:pPr>
      <w:r w:rsidRPr="12ED9A71" w:rsidR="4302103E">
        <w:rPr>
          <w:rFonts w:ascii="Verdana" w:hAnsi="Verdana" w:eastAsia="Verdana" w:cs="Verdana"/>
          <w:noProof w:val="0"/>
          <w:sz w:val="22"/>
          <w:szCs w:val="22"/>
          <w:lang w:val="es"/>
        </w:rPr>
        <w:t xml:space="preserve"> </w:t>
      </w:r>
    </w:p>
    <w:p w:rsidR="00F17898" w:rsidP="12ED9A71" w:rsidRDefault="00F17898" w14:paraId="42C35D11" w14:textId="5E493C57">
      <w:pPr>
        <w:spacing w:before="0" w:beforeAutospacing="off" w:after="0" w:afterAutospacing="off" w:line="276" w:lineRule="auto"/>
        <w:jc w:val="both"/>
      </w:pPr>
      <w:r w:rsidRPr="12ED9A71" w:rsidR="4302103E">
        <w:rPr>
          <w:rFonts w:ascii="Verdana" w:hAnsi="Verdana" w:eastAsia="Verdana" w:cs="Verdana"/>
          <w:noProof w:val="0"/>
          <w:sz w:val="22"/>
          <w:szCs w:val="22"/>
          <w:lang w:val="es-ES"/>
        </w:rPr>
        <w:t xml:space="preserve">En tal sentido, el artículo 4 del Decreto 399 de 2021 adicionó dos parágrafos transitorios al artículo 2.2.1.1.1.5.2. </w:t>
      </w:r>
      <w:r w:rsidRPr="12ED9A71" w:rsidR="4302103E">
        <w:rPr>
          <w:rFonts w:ascii="Verdana" w:hAnsi="Verdana" w:eastAsia="Verdana" w:cs="Verdana"/>
          <w:noProof w:val="0"/>
          <w:sz w:val="22"/>
          <w:szCs w:val="22"/>
          <w:lang w:val="es-ES"/>
        </w:rPr>
        <w:t>del Decreto 1082 de 2015, que a su vez fueron sustituidos por el artículo 1 del Decreto 579 del 31 de mayo de 202113 y posteriormente se adicionó un parágrafo transitorio adicional al artículo 2.2.1.1.1.5.2.</w:t>
      </w:r>
      <w:r w:rsidRPr="12ED9A71" w:rsidR="4302103E">
        <w:rPr>
          <w:rFonts w:ascii="Verdana" w:hAnsi="Verdana" w:eastAsia="Verdana" w:cs="Verdana"/>
          <w:noProof w:val="0"/>
          <w:sz w:val="22"/>
          <w:szCs w:val="22"/>
          <w:lang w:val="es-ES"/>
        </w:rPr>
        <w:t xml:space="preserve"> del Decreto 1082 de 2015 por el artículo 1 del Decreto 1041 de 2022. En igual sentido, el parágrafo transitorio 3 incluido por el Decreto 1041 de 2022 mantuvo la anterior medida para el año 2023, permitiendo que para la inscripción en el RUP o para su renovación, el interesado pueda reportar la información contable y los estados financieros de los tres últimos años fiscales.</w:t>
      </w:r>
    </w:p>
    <w:p w:rsidR="00F17898" w:rsidP="12ED9A71" w:rsidRDefault="00F17898" w14:paraId="42D94CE3" w14:textId="55D20CA7">
      <w:pPr>
        <w:spacing w:before="0" w:beforeAutospacing="off" w:after="0" w:afterAutospacing="off" w:line="276" w:lineRule="auto"/>
        <w:jc w:val="both"/>
      </w:pPr>
      <w:r w:rsidRPr="12ED9A71" w:rsidR="4302103E">
        <w:rPr>
          <w:rFonts w:ascii="Verdana" w:hAnsi="Verdana" w:eastAsia="Verdana" w:cs="Verdana"/>
          <w:noProof w:val="0"/>
          <w:sz w:val="22"/>
          <w:szCs w:val="22"/>
          <w:lang w:val="es"/>
        </w:rPr>
        <w:t xml:space="preserve"> </w:t>
      </w:r>
    </w:p>
    <w:p w:rsidR="00F17898" w:rsidP="12ED9A71" w:rsidRDefault="00F17898" w14:paraId="5AAF8BF3" w14:textId="75DCAC11">
      <w:pPr>
        <w:spacing w:before="0" w:beforeAutospacing="off" w:after="0" w:afterAutospacing="off" w:line="276" w:lineRule="auto"/>
        <w:jc w:val="both"/>
      </w:pPr>
      <w:r w:rsidRPr="12ED9A71" w:rsidR="4302103E">
        <w:rPr>
          <w:rFonts w:ascii="Verdana" w:hAnsi="Verdana" w:eastAsia="Verdana" w:cs="Verdana"/>
          <w:b w:val="1"/>
          <w:bCs w:val="1"/>
          <w:noProof w:val="0"/>
          <w:sz w:val="22"/>
          <w:szCs w:val="22"/>
          <w:lang w:val="es"/>
        </w:rPr>
        <w:t>MEJOR AÑO FISCAL – Decreto 579 de 2021 – Capacidad financiera – Capacidad organizacional – Interpretación</w:t>
      </w:r>
    </w:p>
    <w:p w:rsidR="00F17898" w:rsidP="12ED9A71" w:rsidRDefault="00F17898" w14:paraId="5CEF14B2" w14:textId="4F989C22">
      <w:pPr>
        <w:spacing w:before="0" w:beforeAutospacing="off" w:after="0" w:afterAutospacing="off" w:line="276" w:lineRule="auto"/>
        <w:jc w:val="both"/>
      </w:pPr>
      <w:r w:rsidRPr="12ED9A71" w:rsidR="4302103E">
        <w:rPr>
          <w:rFonts w:ascii="Verdana" w:hAnsi="Verdana" w:eastAsia="Verdana" w:cs="Verdana"/>
          <w:b w:val="1"/>
          <w:bCs w:val="1"/>
          <w:noProof w:val="0"/>
          <w:sz w:val="22"/>
          <w:szCs w:val="22"/>
          <w:lang w:val="es"/>
        </w:rPr>
        <w:t xml:space="preserve"> </w:t>
      </w:r>
    </w:p>
    <w:p w:rsidR="00F17898" w:rsidP="12ED9A71" w:rsidRDefault="00F17898" w14:paraId="36118B33" w14:textId="791BBED6">
      <w:pPr>
        <w:spacing w:before="0" w:beforeAutospacing="off" w:after="0" w:afterAutospacing="off" w:line="276" w:lineRule="auto"/>
        <w:jc w:val="both"/>
      </w:pPr>
      <w:r w:rsidRPr="12ED9A71" w:rsidR="4302103E">
        <w:rPr>
          <w:rFonts w:ascii="Verdana" w:hAnsi="Verdana" w:eastAsia="Verdana" w:cs="Verdana"/>
          <w:noProof w:val="0"/>
          <w:sz w:val="22"/>
          <w:szCs w:val="22"/>
          <w:lang w:val="es"/>
        </w:rPr>
        <w:t>Ahora bien, teniendo en cuenta que 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sustituido por el artículo 3 del Decreto 579 de 2021 y reiterado por el Decreto 1041 de 2022,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rsidR="00F17898" w:rsidP="12ED9A71" w:rsidRDefault="00F17898" w14:paraId="128DA729" w14:textId="64F73D54">
      <w:pPr>
        <w:spacing w:before="0" w:beforeAutospacing="off" w:after="0" w:afterAutospacing="off"/>
      </w:pPr>
      <w:r w:rsidRPr="12ED9A71" w:rsidR="4302103E">
        <w:rPr>
          <w:rFonts w:ascii="Verdana" w:hAnsi="Verdana" w:eastAsia="Verdana" w:cs="Verdana"/>
          <w:noProof w:val="0"/>
          <w:color w:val="000000" w:themeColor="text1" w:themeTint="FF" w:themeShade="FF"/>
          <w:sz w:val="22"/>
          <w:szCs w:val="22"/>
          <w:lang w:val="es-MX"/>
        </w:rPr>
        <w:t xml:space="preserve"> </w:t>
      </w:r>
    </w:p>
    <w:p w:rsidR="00F17898" w:rsidP="12ED9A71" w:rsidRDefault="00F17898" w14:paraId="18D45286" w14:textId="00D9B57C">
      <w:pPr>
        <w:spacing w:before="0" w:beforeAutospacing="off" w:after="0" w:afterAutospacing="off" w:line="276" w:lineRule="auto"/>
        <w:jc w:val="both"/>
      </w:pPr>
      <w:r w:rsidRPr="12ED9A71" w:rsidR="4302103E">
        <w:rPr>
          <w:rFonts w:ascii="Verdana" w:hAnsi="Verdana" w:eastAsia="Verdana" w:cs="Verdana"/>
          <w:b w:val="1"/>
          <w:bCs w:val="1"/>
          <w:noProof w:val="0"/>
          <w:sz w:val="22"/>
          <w:szCs w:val="22"/>
          <w:lang w:val="es"/>
        </w:rPr>
        <w:t xml:space="preserve">DECRETO 1041 DE 2022 – Información – Capacidad financiera – Capacidad organizacional </w:t>
      </w:r>
    </w:p>
    <w:p w:rsidR="00F17898" w:rsidP="12ED9A71" w:rsidRDefault="00F17898" w14:paraId="79D08A3F" w14:textId="440A8650">
      <w:pPr>
        <w:spacing w:before="0" w:beforeAutospacing="off" w:after="0" w:afterAutospacing="off" w:line="276" w:lineRule="auto"/>
        <w:jc w:val="both"/>
      </w:pPr>
      <w:r w:rsidRPr="12ED9A71" w:rsidR="4302103E">
        <w:rPr>
          <w:rFonts w:ascii="Verdana" w:hAnsi="Verdana" w:eastAsia="Verdana" w:cs="Verdana"/>
          <w:noProof w:val="0"/>
          <w:sz w:val="22"/>
          <w:szCs w:val="22"/>
          <w:lang w:val="es"/>
        </w:rPr>
        <w:t xml:space="preserve"> </w:t>
      </w:r>
    </w:p>
    <w:p w:rsidR="00F17898" w:rsidP="12ED9A71" w:rsidRDefault="00F17898" w14:paraId="0E7419DC" w14:textId="7DD818B5">
      <w:pPr>
        <w:spacing w:before="0" w:beforeAutospacing="off" w:after="0" w:afterAutospacing="off" w:line="276" w:lineRule="auto"/>
        <w:jc w:val="both"/>
      </w:pPr>
      <w:r w:rsidRPr="12ED9A71" w:rsidR="4302103E">
        <w:rPr>
          <w:rFonts w:ascii="Verdana" w:hAnsi="Verdana" w:eastAsia="Verdana" w:cs="Verdana"/>
          <w:noProof w:val="0"/>
          <w:sz w:val="22"/>
          <w:szCs w:val="22"/>
          <w:lang w:val="es"/>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debían tener en cuenta la información sobre la capacidad financiera y organizacional “correspondiente a los últimos tres (3) años fiscales anteriores al respectivo acto” o “desde su primer cierre fiscal”, según el caso. (…)</w:t>
      </w:r>
    </w:p>
    <w:p w:rsidR="00F17898" w:rsidP="12ED9A71" w:rsidRDefault="00F17898" w14:paraId="309F1862" w14:textId="77C33AC4">
      <w:pPr>
        <w:spacing w:before="0" w:beforeAutospacing="off" w:after="0" w:afterAutospacing="off" w:line="257" w:lineRule="auto"/>
        <w:jc w:val="both"/>
      </w:pPr>
      <w:r w:rsidRPr="12ED9A71" w:rsidR="4302103E">
        <w:rPr>
          <w:rFonts w:ascii="Verdana" w:hAnsi="Verdana" w:eastAsia="Verdana" w:cs="Verdana"/>
          <w:noProof w:val="0"/>
          <w:sz w:val="22"/>
          <w:szCs w:val="22"/>
          <w:lang w:val="es-CO"/>
        </w:rPr>
        <w:t xml:space="preserve"> </w:t>
      </w:r>
    </w:p>
    <w:p w:rsidR="00F17898" w:rsidP="12ED9A71" w:rsidRDefault="00F17898" w14:paraId="4F6EBBBB" w14:textId="51435359">
      <w:pPr>
        <w:spacing w:before="0" w:beforeAutospacing="off" w:after="0" w:afterAutospacing="off" w:line="257" w:lineRule="auto"/>
        <w:jc w:val="both"/>
      </w:pPr>
      <w:r w:rsidRPr="12ED9A71" w:rsidR="4302103E">
        <w:rPr>
          <w:rFonts w:ascii="Verdana" w:hAnsi="Verdana" w:eastAsia="Verdana" w:cs="Verdana"/>
          <w:b w:val="1"/>
          <w:bCs w:val="1"/>
          <w:noProof w:val="0"/>
          <w:sz w:val="22"/>
          <w:szCs w:val="22"/>
          <w:lang w:val="es-CO"/>
        </w:rPr>
        <w:t xml:space="preserve">DOCUMENTOS TIPO – Fundamento normativo </w:t>
      </w:r>
    </w:p>
    <w:p w:rsidR="00F17898" w:rsidP="12ED9A71" w:rsidRDefault="00F17898" w14:paraId="75052059" w14:textId="1EA1A198">
      <w:pPr>
        <w:spacing w:before="0" w:beforeAutospacing="off" w:after="0" w:afterAutospacing="off" w:line="257" w:lineRule="auto"/>
        <w:jc w:val="both"/>
      </w:pPr>
      <w:r w:rsidRPr="12ED9A71" w:rsidR="4302103E">
        <w:rPr>
          <w:rFonts w:ascii="Verdana" w:hAnsi="Verdana" w:eastAsia="Verdana" w:cs="Verdana"/>
          <w:noProof w:val="0"/>
          <w:sz w:val="22"/>
          <w:szCs w:val="22"/>
          <w:lang w:val="es-CO"/>
        </w:rPr>
        <w:t xml:space="preserve"> </w:t>
      </w:r>
    </w:p>
    <w:p w:rsidR="00F17898" w:rsidP="12ED9A71" w:rsidRDefault="00F17898" w14:paraId="050B3517" w14:textId="5EB686B1">
      <w:pPr>
        <w:spacing w:before="0" w:beforeAutospacing="off" w:after="0" w:afterAutospacing="off" w:line="257" w:lineRule="auto"/>
        <w:jc w:val="both"/>
      </w:pPr>
      <w:r w:rsidRPr="12ED9A71" w:rsidR="4302103E">
        <w:rPr>
          <w:rFonts w:ascii="Verdana" w:hAnsi="Verdana" w:eastAsia="Verdana" w:cs="Verdana"/>
          <w:noProof w:val="0"/>
          <w:sz w:val="22"/>
          <w:szCs w:val="22"/>
          <w:lang w:val="es-CO"/>
        </w:rPr>
        <w:t>[…]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w:t>
      </w:r>
    </w:p>
    <w:p w:rsidR="00F17898" w:rsidP="12ED9A71" w:rsidRDefault="00F17898" w14:paraId="03CB0DEA" w14:textId="51A81FF4">
      <w:pPr>
        <w:spacing w:before="0" w:beforeAutospacing="off" w:after="0" w:afterAutospacing="off" w:line="257" w:lineRule="auto"/>
        <w:jc w:val="both"/>
      </w:pPr>
      <w:r w:rsidRPr="12ED9A71" w:rsidR="4302103E">
        <w:rPr>
          <w:rFonts w:ascii="Verdana" w:hAnsi="Verdana" w:eastAsia="Verdana" w:cs="Verdana"/>
          <w:noProof w:val="0"/>
          <w:sz w:val="22"/>
          <w:szCs w:val="22"/>
          <w:lang w:val="es-CO"/>
        </w:rPr>
        <w:t xml:space="preserve">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 </w:t>
      </w:r>
    </w:p>
    <w:p w:rsidR="00F17898" w:rsidP="12ED9A71" w:rsidRDefault="00F17898" w14:paraId="775D1351" w14:textId="0B5EEF24">
      <w:pPr>
        <w:spacing w:before="0" w:beforeAutospacing="off" w:after="0" w:afterAutospacing="off" w:line="257" w:lineRule="auto"/>
        <w:jc w:val="both"/>
      </w:pPr>
      <w:r w:rsidRPr="12ED9A71" w:rsidR="4302103E">
        <w:rPr>
          <w:rFonts w:ascii="Verdana" w:hAnsi="Verdana" w:eastAsia="Verdana" w:cs="Verdana"/>
          <w:noProof w:val="0"/>
          <w:sz w:val="22"/>
          <w:szCs w:val="22"/>
          <w:lang w:val="es-CO"/>
        </w:rPr>
        <w:t xml:space="preserve"> </w:t>
      </w:r>
    </w:p>
    <w:p w:rsidR="00F17898" w:rsidP="12ED9A71" w:rsidRDefault="00F17898" w14:paraId="5717C773" w14:textId="5E145B31">
      <w:pPr>
        <w:spacing w:before="0" w:beforeAutospacing="off" w:after="0" w:afterAutospacing="off" w:line="257" w:lineRule="auto"/>
        <w:jc w:val="both"/>
      </w:pPr>
      <w:r w:rsidRPr="12ED9A71" w:rsidR="4302103E">
        <w:rPr>
          <w:rFonts w:ascii="Verdana" w:hAnsi="Verdana" w:eastAsia="Verdana" w:cs="Verdana"/>
          <w:b w:val="1"/>
          <w:bCs w:val="1"/>
          <w:noProof w:val="0"/>
          <w:sz w:val="22"/>
          <w:szCs w:val="22"/>
          <w:lang w:val="es-CO"/>
        </w:rPr>
        <w:t xml:space="preserve">DOCUMENTOS TIPO – Obligatoriedad de los documentos o pliegos tipo – Ley 2022 de 2020 </w:t>
      </w:r>
    </w:p>
    <w:p w:rsidR="00F17898" w:rsidP="12ED9A71" w:rsidRDefault="00F17898" w14:paraId="1C41F990" w14:textId="2AED57D9">
      <w:pPr>
        <w:spacing w:before="0" w:beforeAutospacing="off" w:after="0" w:afterAutospacing="off" w:line="257" w:lineRule="auto"/>
        <w:jc w:val="both"/>
      </w:pPr>
      <w:r w:rsidRPr="12ED9A71" w:rsidR="4302103E">
        <w:rPr>
          <w:rFonts w:ascii="Verdana" w:hAnsi="Verdana" w:eastAsia="Verdana" w:cs="Verdana"/>
          <w:noProof w:val="0"/>
          <w:sz w:val="22"/>
          <w:szCs w:val="22"/>
          <w:lang w:val="es-CO"/>
        </w:rPr>
        <w:t xml:space="preserve"> </w:t>
      </w:r>
    </w:p>
    <w:p w:rsidR="00F17898" w:rsidP="12ED9A71" w:rsidRDefault="00F17898" w14:paraId="2303EA5E" w14:textId="1018DB0C">
      <w:pPr>
        <w:spacing w:before="0" w:beforeAutospacing="off" w:after="0" w:afterAutospacing="off" w:line="257" w:lineRule="auto"/>
        <w:jc w:val="both"/>
      </w:pPr>
      <w:r w:rsidRPr="12ED9A71" w:rsidR="4302103E">
        <w:rPr>
          <w:rFonts w:ascii="Verdana" w:hAnsi="Verdana" w:eastAsia="Verdana" w:cs="Verdana"/>
          <w:noProof w:val="0"/>
          <w:sz w:val="22"/>
          <w:szCs w:val="22"/>
          <w:lang w:val="es-CO"/>
        </w:rPr>
        <w:t xml:space="preserve">La Ley 2022 de 2020 señala, en su artículo 1, que los documentos tipo adoptados por la Agencia Nacional de Contratación Pública son de obligatorio cumplimiento por todas las entidades públicas, cuyo régimen de contratación sea el Estatuto General de la Contratación de la Administración Pública ‒EGCAP‒. Esta obligatoriedad implica, a su vez, que las entidades estatales tengan que adelantar los procesos de contratación bajo las condiciones establecidas en los documentos tipo que rijan para el objeto a contratar y el procedimiento de selección aplicables, sin que puedan variarse los requisitos fijados en ellos. Lo anterior, por cuanto los documentos tipo se caracterizan por ser inalterables, es decir, que las entidades públicas carecen de la facultad de modificarlos, con excepción de aquellos aspectos que pueden diligenciar, que son las descripciones que están incluidas entre corchetes y resaltadas en gris en cada uno de los documentos tipo. […]  En conclusión, la definición de si a un proceso de contratación le aplican los documentos tipo radicará en si el contrato a ejecutar se enmarca en las actividades establecidas en la matriz de experiencia del documento tipo, de modo que las entidades estatales sometidas al Estatuto General de Contratación de la Administración Pública deberán aplicar los documentos tipo en dichos supuestos. En todo caso, independientemente de la correspondencia entre el objeto a contratar y alguna de las actividades tipificadas en las matrices de experiencia, la aplicación del documento tipo solo será forzosa, si además el correspondiente documento tipo ha sido expedido para la modalidad de escogencia en la que se debe adelantar el proceso de selección. </w:t>
      </w:r>
    </w:p>
    <w:p w:rsidR="00F17898" w:rsidP="12ED9A71" w:rsidRDefault="00F17898" w14:paraId="10F16D52" w14:textId="1402586C">
      <w:pPr>
        <w:spacing w:before="0" w:beforeAutospacing="off" w:after="0" w:afterAutospacing="off" w:line="257" w:lineRule="auto"/>
      </w:pPr>
      <w:r w:rsidRPr="12ED9A71" w:rsidR="4302103E">
        <w:rPr>
          <w:rFonts w:ascii="Verdana" w:hAnsi="Verdana" w:eastAsia="Verdana" w:cs="Verdana"/>
          <w:noProof w:val="0"/>
          <w:sz w:val="22"/>
          <w:szCs w:val="22"/>
          <w:lang w:val="es-CO"/>
        </w:rPr>
        <w:t xml:space="preserve"> </w:t>
      </w:r>
    </w:p>
    <w:p w:rsidR="00F17898" w:rsidP="12ED9A71" w:rsidRDefault="00F17898" w14:paraId="04EA13D4" w14:textId="59050879">
      <w:pPr>
        <w:spacing w:before="0" w:beforeAutospacing="off" w:after="0" w:afterAutospacing="off" w:line="257" w:lineRule="auto"/>
      </w:pPr>
      <w:r w:rsidRPr="12ED9A71" w:rsidR="4302103E">
        <w:rPr>
          <w:rFonts w:ascii="Verdana" w:hAnsi="Verdana" w:eastAsia="Verdana" w:cs="Verdana"/>
          <w:noProof w:val="0"/>
          <w:sz w:val="22"/>
          <w:szCs w:val="22"/>
          <w:lang w:val="es-CO"/>
        </w:rPr>
        <w:t xml:space="preserve"> </w:t>
      </w:r>
    </w:p>
    <w:p w:rsidR="00F17898" w:rsidP="12ED9A71" w:rsidRDefault="00F17898" w14:paraId="7463314C" w14:textId="2AA63327">
      <w:pPr>
        <w:spacing w:before="0" w:beforeAutospacing="off" w:after="0" w:afterAutospacing="off" w:line="257" w:lineRule="auto"/>
      </w:pPr>
      <w:r w:rsidRPr="12ED9A71" w:rsidR="4302103E">
        <w:rPr>
          <w:rFonts w:ascii="Verdana" w:hAnsi="Verdana" w:eastAsia="Verdana" w:cs="Verdana"/>
          <w:noProof w:val="0"/>
          <w:sz w:val="22"/>
          <w:szCs w:val="22"/>
          <w:lang w:val="es-CO"/>
        </w:rPr>
        <w:t xml:space="preserve"> </w:t>
      </w:r>
    </w:p>
    <w:p w:rsidR="00F17898" w:rsidP="12ED9A71" w:rsidRDefault="00F17898" w14:paraId="69DB148A" w14:textId="07094AAF">
      <w:pPr>
        <w:spacing w:before="0" w:beforeAutospacing="off" w:after="0" w:afterAutospacing="off" w:line="257" w:lineRule="auto"/>
      </w:pPr>
      <w:r w:rsidRPr="12ED9A71" w:rsidR="4302103E">
        <w:rPr>
          <w:rFonts w:ascii="Verdana" w:hAnsi="Verdana" w:eastAsia="Verdana" w:cs="Verdana"/>
          <w:noProof w:val="0"/>
          <w:sz w:val="22"/>
          <w:szCs w:val="22"/>
          <w:lang w:val="es-CO"/>
        </w:rPr>
        <w:t xml:space="preserve"> </w:t>
      </w:r>
    </w:p>
    <w:p w:rsidR="00F17898" w:rsidP="12ED9A71" w:rsidRDefault="00F17898" w14:paraId="43686814" w14:textId="27752212">
      <w:pPr>
        <w:spacing w:before="0" w:beforeAutospacing="off" w:after="0" w:afterAutospacing="off" w:line="257" w:lineRule="auto"/>
      </w:pPr>
      <w:r w:rsidRPr="12ED9A71" w:rsidR="4302103E">
        <w:rPr>
          <w:rFonts w:ascii="Verdana" w:hAnsi="Verdana" w:eastAsia="Verdana" w:cs="Verdana"/>
          <w:noProof w:val="0"/>
          <w:sz w:val="22"/>
          <w:szCs w:val="22"/>
          <w:lang w:val="es-CO"/>
        </w:rPr>
        <w:t xml:space="preserve"> </w:t>
      </w:r>
    </w:p>
    <w:p w:rsidR="00F17898" w:rsidP="12ED9A71" w:rsidRDefault="00F17898" w14:paraId="08A4068E" w14:textId="627B49DA">
      <w:pPr>
        <w:spacing w:before="0" w:beforeAutospacing="off" w:after="0" w:afterAutospacing="off" w:line="257" w:lineRule="auto"/>
      </w:pPr>
      <w:r w:rsidRPr="12ED9A71" w:rsidR="4302103E">
        <w:rPr>
          <w:rFonts w:ascii="Verdana" w:hAnsi="Verdana" w:eastAsia="Verdana" w:cs="Verdana"/>
          <w:noProof w:val="0"/>
          <w:sz w:val="22"/>
          <w:szCs w:val="22"/>
          <w:lang w:val="es-CO"/>
        </w:rPr>
        <w:t xml:space="preserve"> </w:t>
      </w:r>
    </w:p>
    <w:p w:rsidR="00F17898" w:rsidP="12ED9A71" w:rsidRDefault="00F17898" w14:paraId="25E7DCB6" w14:textId="3F689AEA">
      <w:pPr>
        <w:spacing w:before="0" w:beforeAutospacing="off" w:after="0" w:afterAutospacing="off" w:line="257" w:lineRule="auto"/>
      </w:pPr>
      <w:r w:rsidRPr="12ED9A71" w:rsidR="4302103E">
        <w:rPr>
          <w:rFonts w:ascii="Verdana" w:hAnsi="Verdana" w:eastAsia="Verdana" w:cs="Verdana"/>
          <w:noProof w:val="0"/>
          <w:sz w:val="22"/>
          <w:szCs w:val="22"/>
          <w:lang w:val="es-CO"/>
        </w:rPr>
        <w:t xml:space="preserve"> </w:t>
      </w:r>
    </w:p>
    <w:p w:rsidR="00F17898" w:rsidP="12ED9A71" w:rsidRDefault="00F17898" w14:paraId="71D9D46C" w14:textId="2991C9B6">
      <w:pPr>
        <w:spacing w:before="0" w:beforeAutospacing="off" w:after="0" w:afterAutospacing="off" w:line="257" w:lineRule="auto"/>
      </w:pPr>
      <w:r w:rsidRPr="12ED9A71" w:rsidR="4302103E">
        <w:rPr>
          <w:rFonts w:ascii="Verdana" w:hAnsi="Verdana" w:eastAsia="Verdana" w:cs="Verdana"/>
          <w:noProof w:val="0"/>
          <w:sz w:val="22"/>
          <w:szCs w:val="22"/>
          <w:lang w:val="es-CO"/>
        </w:rPr>
        <w:t xml:space="preserve"> </w:t>
      </w:r>
    </w:p>
    <w:p w:rsidR="00F17898" w:rsidP="12ED9A71" w:rsidRDefault="00F17898" w14:paraId="4F076705" w14:textId="690E4B91">
      <w:pPr>
        <w:spacing w:before="0" w:beforeAutospacing="off" w:after="0" w:afterAutospacing="off" w:line="257" w:lineRule="auto"/>
        <w:rPr>
          <w:rFonts w:ascii="Verdana" w:hAnsi="Verdana" w:eastAsia="Verdana" w:cs="Verdana"/>
          <w:noProof w:val="0"/>
          <w:sz w:val="22"/>
          <w:szCs w:val="22"/>
          <w:lang w:val="es-CO"/>
        </w:rPr>
      </w:pPr>
    </w:p>
    <w:p w:rsidR="00F17898" w:rsidP="00E245AB" w:rsidRDefault="00F17898" w14:paraId="7FE33B72" w14:textId="6E3741AC">
      <w:pPr>
        <w:spacing w:after="0"/>
        <w:rPr>
          <w:rFonts w:ascii="Verdana" w:hAnsi="Verdana"/>
        </w:rPr>
      </w:pPr>
    </w:p>
    <w:p w:rsidR="00F17898" w:rsidP="00E245AB" w:rsidRDefault="00F17898" w14:paraId="1F72D8C4" w14:textId="77777777">
      <w:pPr>
        <w:spacing w:after="0"/>
        <w:rPr>
          <w:rFonts w:ascii="Verdana" w:hAnsi="Verdana"/>
        </w:rPr>
      </w:pPr>
    </w:p>
    <w:p w:rsidRPr="0044528D" w:rsidR="00E245AB" w:rsidP="00E245AB" w:rsidRDefault="00E245AB" w14:paraId="3FE2184B" w14:textId="001750A3">
      <w:pPr>
        <w:spacing w:after="0"/>
        <w:rPr>
          <w:rFonts w:ascii="Verdana" w:hAnsi="Verdana"/>
        </w:rPr>
      </w:pPr>
      <w:bookmarkStart w:name="_Hlk175586357" w:id="1"/>
      <w:r w:rsidRPr="0044528D">
        <w:rPr>
          <w:rFonts w:ascii="Verdana" w:hAnsi="Verdana"/>
        </w:rPr>
        <w:t xml:space="preserve">Bogotá D.C., </w:t>
      </w:r>
      <w:r w:rsidR="0045104E">
        <w:rPr>
          <w:rFonts w:ascii="Verdana" w:hAnsi="Verdana"/>
        </w:rPr>
        <w:t>27 de agosto de 2024</w:t>
      </w:r>
    </w:p>
    <w:p w:rsidRPr="0044528D" w:rsidR="00E245AB" w:rsidP="00E245AB" w:rsidRDefault="00E245AB" w14:paraId="5FCADBF9" w14:textId="77777777">
      <w:pPr>
        <w:spacing w:after="0"/>
        <w:rPr>
          <w:rFonts w:ascii="Verdana" w:hAnsi="Verdana"/>
        </w:rPr>
      </w:pPr>
    </w:p>
    <w:p w:rsidRPr="000A6E11" w:rsidR="00CD638B" w:rsidP="00CD638B" w:rsidRDefault="00CD638B" w14:paraId="4E936718" w14:textId="77777777">
      <w:pPr>
        <w:spacing w:after="0" w:line="240" w:lineRule="auto"/>
        <w:jc w:val="both"/>
        <w:rPr>
          <w:rFonts w:ascii="Verdana" w:hAnsi="Verdana" w:eastAsia="Calibri" w:cs="Arial"/>
          <w:lang w:val="en-US" w:eastAsia="es-ES"/>
        </w:rPr>
      </w:pPr>
      <w:r w:rsidRPr="000A6E11">
        <w:rPr>
          <w:rFonts w:ascii="Verdana" w:hAnsi="Verdana" w:eastAsia="Calibri" w:cs="Arial"/>
          <w:lang w:val="en-US" w:eastAsia="es-ES"/>
        </w:rPr>
        <w:t>Señor</w:t>
      </w:r>
    </w:p>
    <w:p w:rsidR="00CD638B" w:rsidP="00CD638B" w:rsidRDefault="00CD638B" w14:paraId="07E6DE9C" w14:textId="77777777">
      <w:pPr>
        <w:spacing w:after="0" w:line="240" w:lineRule="auto"/>
        <w:rPr>
          <w:rFonts w:ascii="Verdana" w:hAnsi="Verdana" w:eastAsia="Calibri" w:cs="Arial"/>
          <w:b/>
          <w:lang w:val="en-US" w:eastAsia="es-ES_tradnl"/>
        </w:rPr>
      </w:pPr>
      <w:r w:rsidRPr="0000468B">
        <w:rPr>
          <w:rFonts w:ascii="Verdana" w:hAnsi="Verdana" w:eastAsia="Calibri" w:cs="Arial"/>
          <w:b/>
          <w:lang w:val="en-US" w:eastAsia="es-ES_tradnl"/>
        </w:rPr>
        <w:t>WILFER MORENO DUARTE</w:t>
      </w:r>
    </w:p>
    <w:p w:rsidRPr="000A6E11" w:rsidR="00CD638B" w:rsidP="00CD638B" w:rsidRDefault="00CD638B" w14:paraId="3EF6C6D0" w14:textId="77777777">
      <w:pPr>
        <w:spacing w:after="0" w:line="240" w:lineRule="auto"/>
        <w:rPr>
          <w:rFonts w:ascii="Verdana" w:hAnsi="Verdana" w:eastAsia="Calibri" w:cs="Arial"/>
          <w:u w:val="single"/>
          <w:lang w:val="en-US" w:eastAsia="es-ES"/>
        </w:rPr>
      </w:pPr>
      <w:r>
        <w:rPr>
          <w:rFonts w:ascii="Verdana" w:hAnsi="Verdana" w:eastAsia="Calibri" w:cs="Arial"/>
          <w:u w:val="single"/>
          <w:lang w:val="en-US" w:eastAsia="es-ES"/>
        </w:rPr>
        <w:t>metadatos@gmail.com</w:t>
      </w:r>
    </w:p>
    <w:p w:rsidR="00CD638B" w:rsidP="00CD638B" w:rsidRDefault="00CD638B" w14:paraId="1C35DF9F" w14:textId="77777777">
      <w:pPr>
        <w:spacing w:after="0" w:line="240" w:lineRule="auto"/>
        <w:rPr>
          <w:rFonts w:ascii="Verdana" w:hAnsi="Verdana" w:eastAsia="Calibri" w:cs="Arial"/>
          <w:lang w:val="es-ES" w:eastAsia="es-ES"/>
        </w:rPr>
      </w:pPr>
      <w:r>
        <w:rPr>
          <w:rFonts w:ascii="Verdana" w:hAnsi="Verdana" w:eastAsia="Calibri" w:cs="Arial"/>
          <w:lang w:val="es-ES" w:eastAsia="es-ES"/>
        </w:rPr>
        <w:t>Bogotá D.C.</w:t>
      </w:r>
    </w:p>
    <w:p w:rsidR="0045104E" w:rsidP="00CD638B" w:rsidRDefault="0045104E" w14:paraId="4327F20D" w14:textId="77777777">
      <w:pPr>
        <w:spacing w:after="0" w:line="240" w:lineRule="auto"/>
        <w:rPr>
          <w:rFonts w:ascii="Verdana" w:hAnsi="Verdana" w:eastAsia="Calibri" w:cs="Arial"/>
          <w:lang w:val="es-ES" w:eastAsia="es-ES"/>
        </w:rPr>
      </w:pPr>
    </w:p>
    <w:p w:rsidRPr="00B96799" w:rsidR="0045104E" w:rsidP="0045104E" w:rsidRDefault="0045104E" w14:paraId="71DB38D6" w14:textId="1E7201EA">
      <w:pPr>
        <w:spacing w:after="0" w:line="240" w:lineRule="auto"/>
        <w:jc w:val="right"/>
        <w:rPr>
          <w:rFonts w:ascii="Verdana" w:hAnsi="Verdana" w:eastAsia="Calibri" w:cs="Arial"/>
          <w:b/>
          <w:bCs/>
          <w:lang w:val="es-ES" w:eastAsia="es-ES"/>
        </w:rPr>
      </w:pPr>
      <w:r>
        <w:rPr>
          <w:rFonts w:ascii="Verdana" w:hAnsi="Verdana" w:eastAsia="Calibri" w:cs="Arial"/>
          <w:b/>
          <w:bCs/>
          <w:noProof/>
          <w:lang w:val="es-ES" w:eastAsia="es-ES"/>
        </w:rPr>
        <w:drawing>
          <wp:inline distT="0" distB="0" distL="0" distR="0" wp14:anchorId="24531BDC" wp14:editId="6A42C44F">
            <wp:extent cx="2762250" cy="828675"/>
            <wp:effectExtent l="0" t="0" r="0" b="9525"/>
            <wp:docPr id="157211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828675"/>
                    </a:xfrm>
                    <a:prstGeom prst="rect">
                      <a:avLst/>
                    </a:prstGeom>
                    <a:noFill/>
                    <a:ln>
                      <a:noFill/>
                    </a:ln>
                  </pic:spPr>
                </pic:pic>
              </a:graphicData>
            </a:graphic>
          </wp:inline>
        </w:drawing>
      </w:r>
    </w:p>
    <w:p w:rsidRPr="00593A5F" w:rsidR="00CD638B" w:rsidP="00CD638B" w:rsidRDefault="00CD638B" w14:paraId="59D0AA3B" w14:textId="77777777">
      <w:pPr>
        <w:spacing w:after="0" w:line="240" w:lineRule="auto"/>
        <w:rPr>
          <w:rFonts w:ascii="Verdana" w:hAnsi="Verdana" w:eastAsia="Calibri" w:cs="Arial"/>
          <w:b/>
          <w:bCs/>
          <w:color w:val="000000"/>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593A5F" w:rsidR="00CD638B" w:rsidTr="00943A7D" w14:paraId="4FD05D5F" w14:textId="77777777">
        <w:trPr>
          <w:trHeight w:val="884"/>
        </w:trPr>
        <w:tc>
          <w:tcPr>
            <w:tcW w:w="2689" w:type="dxa"/>
          </w:tcPr>
          <w:p w:rsidRPr="00C00976" w:rsidR="00CD638B" w:rsidP="00943A7D" w:rsidRDefault="00CD638B" w14:paraId="351F809C" w14:textId="77777777">
            <w:pPr>
              <w:jc w:val="both"/>
              <w:rPr>
                <w:rFonts w:ascii="Verdana" w:hAnsi="Verdana" w:eastAsia="Calibri" w:cs="Arial"/>
                <w:b/>
                <w:bCs/>
                <w:color w:val="7030A0"/>
                <w:lang w:val="es-ES_tradnl" w:eastAsia="es-ES_tradnl"/>
              </w:rPr>
            </w:pPr>
          </w:p>
        </w:tc>
        <w:tc>
          <w:tcPr>
            <w:tcW w:w="6100" w:type="dxa"/>
          </w:tcPr>
          <w:p w:rsidRPr="00C00976" w:rsidR="00CD638B" w:rsidP="00943A7D" w:rsidRDefault="00CD638B" w14:paraId="1495BF16" w14:textId="77777777">
            <w:pPr>
              <w:jc w:val="both"/>
              <w:rPr>
                <w:rFonts w:ascii="Verdana" w:hAnsi="Verdana" w:eastAsia="Calibri" w:cs="Arial"/>
                <w:b/>
                <w:bCs/>
                <w:color w:val="7030A0"/>
                <w:lang w:val="es-ES" w:eastAsia="es-ES"/>
              </w:rPr>
            </w:pPr>
            <w:r w:rsidRPr="00247BDE">
              <w:rPr>
                <w:rFonts w:ascii="Verdana" w:hAnsi="Verdana" w:eastAsia="Calibri" w:cs="Arial"/>
                <w:b/>
                <w:bCs/>
                <w:lang w:val="es-ES" w:eastAsia="es-ES"/>
              </w:rPr>
              <w:t xml:space="preserve">Concepto C- </w:t>
            </w:r>
            <w:r>
              <w:rPr>
                <w:rFonts w:ascii="Verdana" w:hAnsi="Verdana" w:eastAsia="Calibri" w:cs="Arial"/>
                <w:b/>
                <w:bCs/>
                <w:lang w:val="es-ES" w:eastAsia="es-ES"/>
              </w:rPr>
              <w:t>333</w:t>
            </w:r>
            <w:r w:rsidRPr="005B0EF0">
              <w:rPr>
                <w:rFonts w:ascii="Verdana" w:hAnsi="Verdana" w:eastAsia="Calibri" w:cs="Arial"/>
                <w:b/>
                <w:bCs/>
                <w:lang w:val="es-ES" w:eastAsia="es-ES"/>
              </w:rPr>
              <w:t xml:space="preserve"> de 2024</w:t>
            </w:r>
          </w:p>
        </w:tc>
      </w:tr>
      <w:tr w:rsidRPr="00593A5F" w:rsidR="00CD638B" w:rsidTr="00943A7D" w14:paraId="1ACF9A29" w14:textId="77777777">
        <w:trPr>
          <w:trHeight w:val="884"/>
        </w:trPr>
        <w:tc>
          <w:tcPr>
            <w:tcW w:w="2689" w:type="dxa"/>
          </w:tcPr>
          <w:p w:rsidRPr="00593A5F" w:rsidR="00CD638B" w:rsidP="00943A7D" w:rsidRDefault="00CD638B" w14:paraId="079AF010" w14:textId="77777777">
            <w:pPr>
              <w:jc w:val="both"/>
              <w:rPr>
                <w:rFonts w:ascii="Verdana" w:hAnsi="Verdana" w:eastAsia="Calibri" w:cs="Arial"/>
                <w:color w:val="000000"/>
                <w:lang w:val="es-ES_tradnl" w:eastAsia="es-ES_tradnl"/>
              </w:rPr>
            </w:pPr>
            <w:r w:rsidRPr="00593A5F">
              <w:rPr>
                <w:rFonts w:ascii="Verdana" w:hAnsi="Verdana" w:eastAsia="Calibri" w:cs="Arial"/>
                <w:b/>
                <w:color w:val="000000"/>
                <w:lang w:val="es-ES_tradnl" w:eastAsia="es-ES_tradnl"/>
              </w:rPr>
              <w:t>Temas:</w:t>
            </w:r>
            <w:r w:rsidRPr="00593A5F">
              <w:rPr>
                <w:rFonts w:ascii="Verdana" w:hAnsi="Verdana" w:eastAsia="Calibri" w:cs="Arial"/>
                <w:color w:val="000000"/>
                <w:lang w:val="es-ES_tradnl" w:eastAsia="es-ES_tradnl"/>
              </w:rPr>
              <w:t xml:space="preserve">                   </w:t>
            </w:r>
          </w:p>
        </w:tc>
        <w:tc>
          <w:tcPr>
            <w:tcW w:w="6100" w:type="dxa"/>
          </w:tcPr>
          <w:p w:rsidRPr="000D446F" w:rsidR="00CD638B" w:rsidP="00943A7D" w:rsidRDefault="00CD638B" w14:paraId="5DF85487" w14:textId="77777777">
            <w:pPr>
              <w:spacing w:after="160"/>
              <w:jc w:val="both"/>
              <w:rPr>
                <w:rFonts w:ascii="Verdana" w:hAnsi="Verdana" w:eastAsia="Calibri" w:cs="Arial"/>
                <w:lang w:val="es-ES" w:eastAsia="es-ES"/>
              </w:rPr>
            </w:pPr>
            <w:bookmarkStart w:name="_Hlk176160871" w:id="2"/>
            <w:r w:rsidRPr="000D446F">
              <w:rPr>
                <w:rFonts w:ascii="Verdana" w:hAnsi="Verdana" w:eastAsia="Century Gothic" w:cs="Century Gothic"/>
                <w:lang w:val="es-MX"/>
              </w:rPr>
              <w:t>REQUISITOS HABILITANTES – Noción / REQUISITOS HABILITANTES – Autonomía / CAPACIDAD FINANCIERA Y ORGANIZACIONAL – Definición / RUP – Renovación – Efectos – Validez de la información antigua / DECRETO 1041 DE 2022 – Finalidad – Reactivación económica / DECRETO 1041 DE 2022 – Información – Capacidad financiera – Capacidad organizacional / MEJOR AÑO FISCAL – Decreto 399 de 2021– Capacidad financiera – Capacidad organizacional – Interpretación,</w:t>
            </w:r>
            <w:r w:rsidRPr="000D446F">
              <w:rPr>
                <w:rFonts w:ascii="Verdana" w:hAnsi="Verdana" w:eastAsia="Calibri" w:cs="Arial"/>
                <w:lang w:val="es-ES" w:eastAsia="en-GB"/>
              </w:rPr>
              <w:t xml:space="preserve"> </w:t>
            </w:r>
            <w:r w:rsidRPr="000D446F">
              <w:rPr>
                <w:rFonts w:ascii="Verdana" w:hAnsi="Verdana" w:eastAsia="Century Gothic" w:cs="Century Gothic"/>
                <w:lang w:val="es-ES"/>
              </w:rPr>
              <w:t xml:space="preserve">DOCUMENTOS TIPO – Fundamento normativo / </w:t>
            </w:r>
            <w:bookmarkStart w:name="_Hlk92205805" w:id="3"/>
            <w:r w:rsidRPr="000D446F">
              <w:rPr>
                <w:rFonts w:ascii="Verdana" w:hAnsi="Verdana" w:eastAsia="Century Gothic" w:cs="Century Gothic"/>
                <w:lang w:val="es-ES"/>
              </w:rPr>
              <w:t xml:space="preserve">DOCUMENTOS TIPO </w:t>
            </w:r>
            <w:bookmarkEnd w:id="3"/>
            <w:r w:rsidRPr="000D446F">
              <w:rPr>
                <w:rFonts w:ascii="Verdana" w:hAnsi="Verdana" w:eastAsia="Century Gothic" w:cs="Century Gothic"/>
              </w:rPr>
              <w:t xml:space="preserve">– Obligatoriedad de los documentos o pliegos tipo – Ley 2022 de 2020 </w:t>
            </w:r>
            <w:bookmarkEnd w:id="2"/>
            <w:r w:rsidRPr="000D446F">
              <w:rPr>
                <w:rFonts w:ascii="Verdana" w:hAnsi="Verdana" w:eastAsia="Century Gothic" w:cs="Century Gothic"/>
              </w:rPr>
              <w:t>/</w:t>
            </w:r>
          </w:p>
        </w:tc>
      </w:tr>
      <w:tr w:rsidRPr="00593A5F" w:rsidR="00CD638B" w:rsidTr="00943A7D" w14:paraId="5E031B76" w14:textId="77777777">
        <w:tc>
          <w:tcPr>
            <w:tcW w:w="2689" w:type="dxa"/>
          </w:tcPr>
          <w:p w:rsidRPr="006730E9" w:rsidR="00CD638B" w:rsidP="00943A7D" w:rsidRDefault="00CD638B" w14:paraId="2959C594" w14:textId="77777777">
            <w:pPr>
              <w:jc w:val="both"/>
              <w:rPr>
                <w:rFonts w:ascii="Verdana" w:hAnsi="Verdana" w:eastAsia="Calibri" w:cs="Arial"/>
                <w:b/>
                <w:lang w:val="es-ES_tradnl" w:eastAsia="es-ES_tradnl"/>
              </w:rPr>
            </w:pPr>
            <w:r w:rsidRPr="006730E9">
              <w:rPr>
                <w:rFonts w:ascii="Verdana" w:hAnsi="Verdana" w:eastAsia="Calibri" w:cs="Arial"/>
                <w:b/>
                <w:lang w:val="es-ES_tradnl" w:eastAsia="es-ES_tradnl"/>
              </w:rPr>
              <w:t>Radicación:</w:t>
            </w:r>
            <w:r w:rsidRPr="006730E9">
              <w:rPr>
                <w:rFonts w:ascii="Verdana" w:hAnsi="Verdana" w:eastAsia="Calibri" w:cs="Arial"/>
                <w:lang w:val="es-ES_tradnl" w:eastAsia="es-ES_tradnl"/>
              </w:rPr>
              <w:t xml:space="preserve">               </w:t>
            </w:r>
          </w:p>
        </w:tc>
        <w:tc>
          <w:tcPr>
            <w:tcW w:w="6100" w:type="dxa"/>
          </w:tcPr>
          <w:p w:rsidRPr="006730E9" w:rsidR="00CD638B" w:rsidP="00943A7D" w:rsidRDefault="00CD638B" w14:paraId="73FD7875" w14:textId="77777777">
            <w:pPr>
              <w:jc w:val="both"/>
              <w:rPr>
                <w:rFonts w:ascii="Verdana" w:hAnsi="Verdana" w:eastAsia="Calibri" w:cs="Arial"/>
                <w:lang w:val="es-ES_tradnl" w:eastAsia="es-ES_tradnl"/>
              </w:rPr>
            </w:pPr>
            <w:r w:rsidRPr="00985D4C">
              <w:rPr>
                <w:rFonts w:ascii="Verdana" w:hAnsi="Verdana" w:eastAsia="Calibri" w:cs="Arial"/>
                <w:lang w:val="es-ES_tradnl" w:eastAsia="es-ES_tradnl"/>
              </w:rPr>
              <w:t>Respuesta a consulta con radicado No. P20240712007135</w:t>
            </w:r>
          </w:p>
        </w:tc>
      </w:tr>
    </w:tbl>
    <w:p w:rsidRPr="00593A5F" w:rsidR="00CD638B" w:rsidP="00CD638B" w:rsidRDefault="00CD638B" w14:paraId="38415A8E" w14:textId="77777777">
      <w:pPr>
        <w:spacing w:after="0" w:line="240" w:lineRule="auto"/>
        <w:jc w:val="both"/>
        <w:rPr>
          <w:rFonts w:ascii="Verdana" w:hAnsi="Verdana" w:eastAsia="Calibri" w:cs="Arial"/>
          <w:color w:val="000000"/>
          <w:lang w:val="es-ES_tradnl" w:eastAsia="es-ES_tradnl"/>
        </w:rPr>
      </w:pPr>
    </w:p>
    <w:p w:rsidRPr="00593A5F" w:rsidR="00CD638B" w:rsidP="00CD638B" w:rsidRDefault="00CD638B" w14:paraId="3E3BC783" w14:textId="77777777">
      <w:pPr>
        <w:spacing w:after="0" w:line="240" w:lineRule="auto"/>
        <w:jc w:val="both"/>
        <w:rPr>
          <w:rFonts w:ascii="Verdana" w:hAnsi="Verdana" w:eastAsia="Calibri" w:cs="Arial"/>
          <w:color w:val="000000"/>
          <w:lang w:val="es-ES_tradnl" w:eastAsia="es-ES_tradnl"/>
        </w:rPr>
      </w:pPr>
    </w:p>
    <w:p w:rsidRPr="006730E9" w:rsidR="00CD638B" w:rsidP="00CD638B" w:rsidRDefault="00CD638B" w14:paraId="1661C2D6" w14:textId="77777777">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Estimad</w:t>
      </w:r>
      <w:r>
        <w:rPr>
          <w:rFonts w:ascii="Verdana" w:hAnsi="Verdana" w:eastAsia="Calibri" w:cs="Arial"/>
          <w:lang w:val="es-ES" w:eastAsia="es-ES"/>
        </w:rPr>
        <w:t xml:space="preserve">o </w:t>
      </w:r>
      <w:r w:rsidRPr="006730E9">
        <w:rPr>
          <w:rFonts w:ascii="Verdana" w:hAnsi="Verdana" w:eastAsia="Calibri" w:cs="Arial"/>
          <w:lang w:val="es-ES" w:eastAsia="es-ES"/>
        </w:rPr>
        <w:t xml:space="preserve">señor </w:t>
      </w:r>
      <w:r>
        <w:rPr>
          <w:rFonts w:ascii="Verdana" w:hAnsi="Verdana" w:eastAsia="Calibri" w:cs="Arial"/>
          <w:lang w:val="es-ES" w:eastAsia="es-ES"/>
        </w:rPr>
        <w:t>Moreno;</w:t>
      </w:r>
      <w:r w:rsidRPr="006730E9">
        <w:rPr>
          <w:rFonts w:ascii="Verdana" w:hAnsi="Verdana" w:eastAsia="Calibri" w:cs="Arial"/>
          <w:lang w:val="es-ES" w:eastAsia="es-ES"/>
        </w:rPr>
        <w:t xml:space="preserve"> </w:t>
      </w:r>
    </w:p>
    <w:p w:rsidR="00CD638B" w:rsidP="00CD638B" w:rsidRDefault="00CD638B" w14:paraId="3F7C41D7" w14:textId="77777777">
      <w:pPr>
        <w:tabs>
          <w:tab w:val="left" w:pos="3768"/>
        </w:tabs>
        <w:spacing w:after="0" w:line="276" w:lineRule="auto"/>
        <w:jc w:val="both"/>
        <w:rPr>
          <w:rFonts w:ascii="Verdana" w:hAnsi="Verdana" w:eastAsia="Calibri" w:cs="Arial"/>
          <w:color w:val="000000" w:themeColor="text1"/>
          <w:lang w:val="es-ES" w:eastAsia="es-ES"/>
        </w:rPr>
      </w:pPr>
      <w:r>
        <w:rPr>
          <w:rFonts w:ascii="Verdana" w:hAnsi="Verdana" w:eastAsia="Calibri" w:cs="Arial"/>
          <w:color w:val="000000" w:themeColor="text1"/>
          <w:lang w:val="es-ES" w:eastAsia="es-ES"/>
        </w:rPr>
        <w:tab/>
      </w:r>
    </w:p>
    <w:p w:rsidRPr="006730E9" w:rsidR="00CD638B" w:rsidP="00CD638B" w:rsidRDefault="00CD638B" w14:paraId="1CF6B47E" w14:textId="2C02BB17">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En ejercicio de la competencia otorgada por los artículos 3, numeral 5º, y 11, numeral 8º, del Decreto Ley 4170 de 2011,</w:t>
      </w:r>
      <w:r w:rsidRPr="006730E9">
        <w:rPr>
          <w:rFonts w:ascii="Verdana" w:hAnsi="Verdana" w:eastAsia="Arial MT"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hAnsi="Verdana" w:eastAsia="Calibri" w:cs="Arial"/>
          <w:lang w:val="es-ES" w:eastAsia="es-ES"/>
        </w:rPr>
        <w:t xml:space="preserve">la Agencia Nacional de Contratación Pública – Colombia Compra Eficiente– responde su solicitud de consulta de fecha </w:t>
      </w:r>
      <w:r>
        <w:rPr>
          <w:rFonts w:ascii="Verdana" w:hAnsi="Verdana" w:eastAsia="Calibri" w:cs="Arial"/>
          <w:lang w:val="es-ES" w:eastAsia="es-ES"/>
        </w:rPr>
        <w:t xml:space="preserve">16 </w:t>
      </w:r>
      <w:r w:rsidRPr="006730E9">
        <w:rPr>
          <w:rFonts w:ascii="Verdana" w:hAnsi="Verdana" w:eastAsia="Calibri" w:cs="Arial"/>
          <w:lang w:val="es-ES" w:eastAsia="es-ES"/>
        </w:rPr>
        <w:t>de ju</w:t>
      </w:r>
      <w:r>
        <w:rPr>
          <w:rFonts w:ascii="Verdana" w:hAnsi="Verdana" w:eastAsia="Calibri" w:cs="Arial"/>
          <w:lang w:val="es-ES" w:eastAsia="es-ES"/>
        </w:rPr>
        <w:t>l</w:t>
      </w:r>
      <w:r w:rsidRPr="006730E9">
        <w:rPr>
          <w:rFonts w:ascii="Verdana" w:hAnsi="Verdana" w:eastAsia="Calibri" w:cs="Arial"/>
          <w:lang w:val="es-ES" w:eastAsia="es-ES"/>
        </w:rPr>
        <w:t xml:space="preserve">io de 2024, en la cual manifiesta lo siguiente: </w:t>
      </w:r>
    </w:p>
    <w:p w:rsidRPr="00326382" w:rsidR="00CD638B" w:rsidP="00CD638B" w:rsidRDefault="00CD638B" w14:paraId="3F770204" w14:textId="77777777">
      <w:pPr>
        <w:spacing w:after="0" w:line="240" w:lineRule="auto"/>
        <w:ind w:left="709" w:right="709"/>
        <w:jc w:val="both"/>
        <w:rPr>
          <w:rFonts w:ascii="Verdana" w:hAnsi="Verdana" w:cs="Arial"/>
          <w:sz w:val="20"/>
          <w:szCs w:val="20"/>
          <w:shd w:val="clear" w:color="auto" w:fill="FFFFFF"/>
        </w:rPr>
      </w:pPr>
      <w:bookmarkStart w:name="_Hlk95313578" w:id="4"/>
    </w:p>
    <w:bookmarkEnd w:id="4"/>
    <w:p w:rsidRPr="004D12FA" w:rsidR="00CD638B" w:rsidP="00CD638B" w:rsidRDefault="00CD638B" w14:paraId="53952ECA" w14:textId="77777777">
      <w:pPr>
        <w:pStyle w:val="Prrafodelista"/>
        <w:tabs>
          <w:tab w:val="left" w:pos="142"/>
          <w:tab w:val="left" w:pos="284"/>
        </w:tabs>
        <w:spacing w:line="276" w:lineRule="auto"/>
        <w:ind w:left="426" w:right="1183"/>
        <w:jc w:val="both"/>
        <w:rPr>
          <w:rFonts w:ascii="Verdana" w:hAnsi="Verdana" w:eastAsia="Century Gothic" w:cs="Century Gothic"/>
          <w:i/>
          <w:iCs/>
          <w:lang w:val="es-CO"/>
        </w:rPr>
      </w:pPr>
      <w:r>
        <w:rPr>
          <w:rFonts w:ascii="Verdana" w:hAnsi="Verdana" w:eastAsia="Century Gothic" w:cs="Century Gothic"/>
          <w:i/>
          <w:iCs/>
          <w:lang w:val="es-CO"/>
        </w:rPr>
        <w:t>“</w:t>
      </w:r>
      <w:r w:rsidRPr="004D12FA">
        <w:rPr>
          <w:rFonts w:ascii="Verdana" w:hAnsi="Verdana" w:eastAsia="Century Gothic" w:cs="Century Gothic"/>
          <w:i/>
          <w:iCs/>
          <w:lang w:val="es-CO"/>
        </w:rPr>
        <w:t>1. De conformidad con el Decreto 579 de 31 de mayo de 2022</w:t>
      </w:r>
      <w:r>
        <w:rPr>
          <w:rFonts w:ascii="Verdana" w:hAnsi="Verdana" w:eastAsia="Century Gothic" w:cs="Century Gothic"/>
          <w:i/>
          <w:iCs/>
          <w:lang w:val="es-CO"/>
        </w:rPr>
        <w:t xml:space="preserve"> </w:t>
      </w:r>
      <w:r w:rsidRPr="008A711B">
        <w:rPr>
          <w:rFonts w:ascii="Verdana" w:hAnsi="Verdana" w:eastAsia="Century Gothic" w:cs="Century Gothic"/>
          <w:lang w:val="es-CO"/>
        </w:rPr>
        <w:t>(SIC)</w:t>
      </w:r>
      <w:r w:rsidRPr="004D12FA">
        <w:rPr>
          <w:rFonts w:ascii="Verdana" w:hAnsi="Verdana" w:eastAsia="Century Gothic" w:cs="Century Gothic"/>
          <w:i/>
          <w:iCs/>
          <w:lang w:val="es-CO"/>
        </w:rPr>
        <w:t xml:space="preserve"> las entidades públicas que se rigen o no por el marco jurídico de la contratación estatal en Colombia, Ley 80 y demás decretos reglamentarios, deben evaluar los indicadores financieros, ¿teniendo en cuenta el mejor año fiscal que se refleje en el registro de cada proponente?</w:t>
      </w:r>
    </w:p>
    <w:p w:rsidRPr="004D12FA" w:rsidR="00CD638B" w:rsidP="00CD638B" w:rsidRDefault="00CD638B" w14:paraId="1D30E555" w14:textId="77777777">
      <w:pPr>
        <w:pStyle w:val="Prrafodelista"/>
        <w:tabs>
          <w:tab w:val="left" w:pos="142"/>
          <w:tab w:val="left" w:pos="284"/>
        </w:tabs>
        <w:spacing w:line="276" w:lineRule="auto"/>
        <w:ind w:left="426" w:right="1183"/>
        <w:jc w:val="both"/>
        <w:rPr>
          <w:rFonts w:ascii="Verdana" w:hAnsi="Verdana" w:eastAsia="Century Gothic" w:cs="Century Gothic"/>
          <w:i/>
          <w:iCs/>
          <w:lang w:val="es-CO"/>
        </w:rPr>
      </w:pPr>
      <w:r w:rsidRPr="004D12FA">
        <w:rPr>
          <w:rFonts w:ascii="Verdana" w:hAnsi="Verdana" w:eastAsia="Century Gothic" w:cs="Century Gothic"/>
          <w:i/>
          <w:iCs/>
          <w:lang w:val="es-CO"/>
        </w:rPr>
        <w:t> </w:t>
      </w:r>
    </w:p>
    <w:p w:rsidRPr="004D12FA" w:rsidR="00CD638B" w:rsidP="00CD638B" w:rsidRDefault="00CD638B" w14:paraId="77DAC192" w14:textId="77777777">
      <w:pPr>
        <w:pStyle w:val="Prrafodelista"/>
        <w:tabs>
          <w:tab w:val="left" w:pos="142"/>
          <w:tab w:val="left" w:pos="284"/>
        </w:tabs>
        <w:spacing w:line="276" w:lineRule="auto"/>
        <w:ind w:left="426" w:right="1183"/>
        <w:jc w:val="both"/>
        <w:rPr>
          <w:rFonts w:ascii="Verdana" w:hAnsi="Verdana" w:eastAsia="Century Gothic" w:cs="Century Gothic"/>
          <w:i/>
          <w:iCs/>
          <w:lang w:val="es-CO"/>
        </w:rPr>
      </w:pPr>
      <w:r w:rsidRPr="004D12FA">
        <w:rPr>
          <w:rFonts w:ascii="Verdana" w:hAnsi="Verdana" w:eastAsia="Century Gothic" w:cs="Century Gothic"/>
          <w:i/>
          <w:iCs/>
          <w:lang w:val="es-CO"/>
        </w:rPr>
        <w:t>"PARÁGRAFO TRANSITORIO: De conformidad con los parágrafos transitorios de los artículos 2.2.1.1.1.5.2. y 2.2.1.1.1.5.6., yen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w:t>
      </w:r>
    </w:p>
    <w:p w:rsidRPr="004D12FA" w:rsidR="00CD638B" w:rsidP="00CD638B" w:rsidRDefault="00CD638B" w14:paraId="1E40FA1F" w14:textId="77777777">
      <w:pPr>
        <w:pStyle w:val="Prrafodelista"/>
        <w:tabs>
          <w:tab w:val="left" w:pos="142"/>
          <w:tab w:val="left" w:pos="284"/>
        </w:tabs>
        <w:spacing w:line="276" w:lineRule="auto"/>
        <w:ind w:left="426" w:right="1183"/>
        <w:jc w:val="both"/>
        <w:rPr>
          <w:rFonts w:ascii="Verdana" w:hAnsi="Verdana" w:eastAsia="Century Gothic" w:cs="Century Gothic"/>
          <w:i/>
          <w:iCs/>
          <w:lang w:val="es-CO"/>
        </w:rPr>
      </w:pPr>
    </w:p>
    <w:p w:rsidRPr="004D12FA" w:rsidR="00CD638B" w:rsidP="00CD638B" w:rsidRDefault="00CD638B" w14:paraId="3DC8494F" w14:textId="77777777">
      <w:pPr>
        <w:pStyle w:val="Prrafodelista"/>
        <w:tabs>
          <w:tab w:val="left" w:pos="142"/>
          <w:tab w:val="left" w:pos="284"/>
        </w:tabs>
        <w:spacing w:line="276" w:lineRule="auto"/>
        <w:ind w:left="426" w:right="1183"/>
        <w:jc w:val="both"/>
        <w:rPr>
          <w:rFonts w:ascii="Verdana" w:hAnsi="Verdana" w:eastAsia="Century Gothic" w:cs="Century Gothic"/>
          <w:i/>
          <w:iCs/>
          <w:lang w:val="es-CO"/>
        </w:rPr>
      </w:pPr>
      <w:r w:rsidRPr="004D12FA">
        <w:rPr>
          <w:rFonts w:ascii="Verdana" w:hAnsi="Verdana" w:eastAsia="Century Gothic" w:cs="Century Gothic"/>
          <w:i/>
          <w:iCs/>
          <w:lang w:val="es-CO"/>
        </w:rPr>
        <w:t>2. En los pliego tipo, se establecen de cuanto deben ser los valores mínimos de todos y cada uno de los indicadores financieros que una entidad estatal, pueda solicitar?</w:t>
      </w:r>
    </w:p>
    <w:p w:rsidRPr="004D12FA" w:rsidR="00CD638B" w:rsidP="00CD638B" w:rsidRDefault="00CD638B" w14:paraId="47B13191" w14:textId="77777777">
      <w:pPr>
        <w:pStyle w:val="Prrafodelista"/>
        <w:tabs>
          <w:tab w:val="left" w:pos="142"/>
          <w:tab w:val="left" w:pos="284"/>
        </w:tabs>
        <w:spacing w:line="276" w:lineRule="auto"/>
        <w:ind w:left="426" w:right="1183"/>
        <w:jc w:val="both"/>
        <w:rPr>
          <w:rFonts w:ascii="Verdana" w:hAnsi="Verdana" w:eastAsia="Century Gothic" w:cs="Century Gothic"/>
          <w:i/>
          <w:iCs/>
          <w:lang w:val="es-CO"/>
        </w:rPr>
      </w:pPr>
    </w:p>
    <w:p w:rsidRPr="004D12FA" w:rsidR="00CD638B" w:rsidP="00CD638B" w:rsidRDefault="00CD638B" w14:paraId="73C767A8" w14:textId="77777777">
      <w:pPr>
        <w:pStyle w:val="Prrafodelista"/>
        <w:tabs>
          <w:tab w:val="left" w:pos="142"/>
          <w:tab w:val="left" w:pos="284"/>
        </w:tabs>
        <w:spacing w:line="276" w:lineRule="auto"/>
        <w:ind w:left="426" w:right="1183"/>
        <w:jc w:val="both"/>
        <w:rPr>
          <w:rFonts w:ascii="Verdana" w:hAnsi="Verdana" w:eastAsia="Century Gothic" w:cs="Century Gothic"/>
          <w:i/>
          <w:iCs/>
          <w:lang w:val="es-CO"/>
        </w:rPr>
      </w:pPr>
      <w:r w:rsidRPr="004D12FA">
        <w:rPr>
          <w:rFonts w:ascii="Verdana" w:hAnsi="Verdana" w:eastAsia="Century Gothic" w:cs="Century Gothic"/>
          <w:i/>
          <w:iCs/>
          <w:lang w:val="es-CO"/>
        </w:rPr>
        <w:t>3. Están obligadas todas las entidades públicas, que se rigen por el marco jurídico de la contratación estatal en Colombia, Ley 80 y demás decretos reglamentarios, a implementar estos pliegos tipo?</w:t>
      </w:r>
      <w:r>
        <w:rPr>
          <w:rFonts w:ascii="Verdana" w:hAnsi="Verdana" w:eastAsia="Century Gothic" w:cs="Century Gothic"/>
          <w:i/>
          <w:iCs/>
          <w:lang w:val="es-CO"/>
        </w:rPr>
        <w:t>”</w:t>
      </w:r>
    </w:p>
    <w:p w:rsidRPr="006730E9" w:rsidR="00CD638B" w:rsidP="00CD638B" w:rsidRDefault="00CD638B" w14:paraId="43E08C05" w14:textId="77777777">
      <w:pPr>
        <w:pStyle w:val="Prrafodelista"/>
        <w:tabs>
          <w:tab w:val="left" w:pos="142"/>
          <w:tab w:val="left" w:pos="284"/>
        </w:tabs>
        <w:spacing w:line="276" w:lineRule="auto"/>
        <w:ind w:left="0"/>
        <w:jc w:val="both"/>
        <w:rPr>
          <w:rFonts w:ascii="Verdana" w:hAnsi="Verdana" w:eastAsia="Century Gothic" w:cs="Century Gothic"/>
          <w:b/>
          <w:bCs/>
        </w:rPr>
      </w:pPr>
    </w:p>
    <w:p w:rsidR="00CD638B" w:rsidP="00CD638B" w:rsidRDefault="00CD638B" w14:paraId="18687C8D" w14:textId="77777777">
      <w:pPr>
        <w:spacing w:after="120" w:line="276" w:lineRule="auto"/>
        <w:ind w:firstLine="709"/>
        <w:jc w:val="both"/>
        <w:rPr>
          <w:rFonts w:ascii="Verdana" w:hAnsi="Verdana" w:eastAsia="Calibri" w:cs="Arial"/>
          <w:color w:val="000000"/>
          <w:szCs w:val="24"/>
          <w:lang w:val="es-ES_tradnl" w:eastAsia="es-ES_tradnl"/>
        </w:rPr>
      </w:pPr>
      <w:r w:rsidRPr="00593A5F">
        <w:rPr>
          <w:rFonts w:ascii="Verdana" w:hAnsi="Verdana" w:eastAsia="Calibri"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w:t>
      </w:r>
      <w:r w:rsidRPr="00593A5F">
        <w:rPr>
          <w:rFonts w:ascii="Verdana" w:hAnsi="Verdana" w:eastAsia="Calibri" w:cs="Arial"/>
          <w:color w:val="000000"/>
          <w:lang w:val="es-ES" w:eastAsia="es-ES"/>
        </w:rPr>
        <w:t xml:space="preserve">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hAnsi="Verdana" w:eastAsia="Calibri" w:cs="Arial"/>
          <w:color w:val="000000"/>
          <w:szCs w:val="24"/>
          <w:lang w:val="es-ES_tradnl" w:eastAsia="es-ES_tradnl"/>
        </w:rPr>
        <w:tab/>
      </w:r>
    </w:p>
    <w:p w:rsidR="00CD638B" w:rsidP="00CD638B" w:rsidRDefault="00CD638B" w14:paraId="7B7EF3CD" w14:textId="77777777">
      <w:pPr>
        <w:spacing w:after="0" w:line="276" w:lineRule="auto"/>
        <w:ind w:firstLine="709"/>
        <w:jc w:val="both"/>
        <w:rPr>
          <w:rFonts w:ascii="Verdana" w:hAnsi="Verdana" w:eastAsia="Calibri" w:cs="Arial"/>
          <w:color w:val="000000"/>
          <w:lang w:val="es-ES" w:eastAsia="es-ES"/>
        </w:rPr>
      </w:pPr>
      <w:r w:rsidRPr="00593A5F">
        <w:rPr>
          <w:rFonts w:ascii="Verdana" w:hAnsi="Verdana" w:eastAsia="Calibri"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hAnsi="Verdana" w:eastAsia="Calibri" w:cs="Arial"/>
          <w:color w:val="000000"/>
          <w:lang w:val="es-ES" w:eastAsia="es-ES"/>
        </w:rPr>
        <w:t>s circunstancias</w:t>
      </w:r>
      <w:r w:rsidRPr="00593A5F">
        <w:rPr>
          <w:rFonts w:ascii="Verdana" w:hAnsi="Verdana" w:eastAsia="Calibri" w:cs="Arial"/>
          <w:color w:val="000000"/>
          <w:lang w:val="es-ES" w:eastAsia="es-ES"/>
        </w:rPr>
        <w:t xml:space="preserve"> particular</w:t>
      </w:r>
      <w:r>
        <w:rPr>
          <w:rFonts w:ascii="Verdana" w:hAnsi="Verdana" w:eastAsia="Calibri" w:cs="Arial"/>
          <w:color w:val="000000"/>
          <w:lang w:val="es-ES" w:eastAsia="es-ES"/>
        </w:rPr>
        <w:t>es</w:t>
      </w:r>
      <w:r w:rsidRPr="00593A5F">
        <w:rPr>
          <w:rFonts w:ascii="Verdana" w:hAnsi="Verdana" w:eastAsia="Calibri" w:cs="Arial"/>
          <w:color w:val="000000"/>
          <w:lang w:val="es-ES" w:eastAsia="es-ES"/>
        </w:rPr>
        <w:t xml:space="preserve"> y concreta</w:t>
      </w:r>
      <w:r>
        <w:rPr>
          <w:rFonts w:ascii="Verdana" w:hAnsi="Verdana" w:eastAsia="Calibri" w:cs="Arial"/>
          <w:color w:val="000000"/>
          <w:lang w:val="es-ES" w:eastAsia="es-ES"/>
        </w:rPr>
        <w:t>s</w:t>
      </w:r>
      <w:r w:rsidRPr="00593A5F">
        <w:rPr>
          <w:rFonts w:ascii="Verdana" w:hAnsi="Verdana" w:eastAsia="Calibri" w:cs="Arial"/>
          <w:color w:val="000000"/>
          <w:lang w:val="es-ES" w:eastAsia="es-ES"/>
        </w:rPr>
        <w:t xml:space="preserve"> mencionada</w:t>
      </w:r>
      <w:r>
        <w:rPr>
          <w:rFonts w:ascii="Verdana" w:hAnsi="Verdana" w:eastAsia="Calibri" w:cs="Arial"/>
          <w:color w:val="000000"/>
          <w:lang w:val="es-ES" w:eastAsia="es-ES"/>
        </w:rPr>
        <w:t>s</w:t>
      </w:r>
      <w:r w:rsidRPr="00593A5F">
        <w:rPr>
          <w:rFonts w:ascii="Verdana" w:hAnsi="Verdana" w:eastAsia="Calibri" w:cs="Arial"/>
          <w:color w:val="000000"/>
          <w:lang w:val="es-ES" w:eastAsia="es-ES"/>
        </w:rPr>
        <w:t xml:space="preserve"> en su petición, pero haciendo unas consideraciones sobre las normas generales relacionadas con </w:t>
      </w:r>
      <w:r>
        <w:rPr>
          <w:rFonts w:ascii="Verdana" w:hAnsi="Verdana" w:eastAsia="Calibri" w:cs="Arial"/>
          <w:color w:val="000000"/>
          <w:lang w:val="es-ES" w:eastAsia="es-ES"/>
        </w:rPr>
        <w:t>los</w:t>
      </w:r>
      <w:r w:rsidRPr="00247BDE">
        <w:rPr>
          <w:rFonts w:ascii="Verdana" w:hAnsi="Verdana" w:eastAsia="Calibri" w:cs="Arial"/>
          <w:color w:val="7030A0"/>
          <w:lang w:val="es-ES" w:eastAsia="es-ES"/>
        </w:rPr>
        <w:t xml:space="preserve"> </w:t>
      </w:r>
      <w:r>
        <w:rPr>
          <w:rFonts w:ascii="Verdana" w:hAnsi="Verdana" w:eastAsia="Calibri" w:cs="Arial"/>
          <w:color w:val="000000"/>
          <w:lang w:val="es-ES" w:eastAsia="es-ES"/>
        </w:rPr>
        <w:t>problema</w:t>
      </w:r>
      <w:r w:rsidRPr="00247BDE">
        <w:rPr>
          <w:rFonts w:ascii="Verdana" w:hAnsi="Verdana" w:eastAsia="Calibri" w:cs="Arial"/>
          <w:color w:val="7030A0"/>
          <w:lang w:val="es-ES" w:eastAsia="es-ES"/>
        </w:rPr>
        <w:t xml:space="preserve">s </w:t>
      </w:r>
      <w:r>
        <w:rPr>
          <w:rFonts w:ascii="Verdana" w:hAnsi="Verdana" w:eastAsia="Calibri" w:cs="Arial"/>
          <w:color w:val="000000"/>
          <w:lang w:val="es-ES" w:eastAsia="es-ES"/>
        </w:rPr>
        <w:t>jurídico</w:t>
      </w:r>
      <w:r w:rsidRPr="00247BDE">
        <w:rPr>
          <w:rFonts w:ascii="Verdana" w:hAnsi="Verdana" w:eastAsia="Calibri" w:cs="Arial"/>
          <w:color w:val="7030A0"/>
          <w:lang w:val="es-ES" w:eastAsia="es-ES"/>
        </w:rPr>
        <w:t xml:space="preserve">s </w:t>
      </w:r>
      <w:r>
        <w:rPr>
          <w:rFonts w:ascii="Verdana" w:hAnsi="Verdana" w:eastAsia="Calibri" w:cs="Arial"/>
          <w:color w:val="000000"/>
          <w:lang w:val="es-ES" w:eastAsia="es-ES"/>
        </w:rPr>
        <w:t>de su</w:t>
      </w:r>
      <w:r w:rsidRPr="00593A5F">
        <w:rPr>
          <w:rFonts w:ascii="Verdana" w:hAnsi="Verdana" w:eastAsia="Calibri" w:cs="Arial"/>
          <w:color w:val="000000"/>
          <w:lang w:val="es-ES" w:eastAsia="es-ES"/>
        </w:rPr>
        <w:t xml:space="preserve"> consulta. </w:t>
      </w:r>
    </w:p>
    <w:p w:rsidRPr="00593A5F" w:rsidR="00CD638B" w:rsidP="00CD638B" w:rsidRDefault="00CD638B" w14:paraId="505C03B8" w14:textId="77777777">
      <w:pPr>
        <w:spacing w:after="0" w:line="276" w:lineRule="auto"/>
        <w:ind w:firstLine="709"/>
        <w:jc w:val="both"/>
        <w:rPr>
          <w:rFonts w:ascii="Verdana" w:hAnsi="Verdana" w:eastAsia="Calibri" w:cs="Arial"/>
          <w:color w:val="000000"/>
          <w:lang w:val="es-ES" w:eastAsia="es-ES"/>
        </w:rPr>
      </w:pPr>
    </w:p>
    <w:p w:rsidRPr="00593A5F" w:rsidR="00CD638B" w:rsidP="00CD638B" w:rsidRDefault="00CD638B" w14:paraId="75079A9C"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593A5F">
        <w:rPr>
          <w:rFonts w:ascii="Verdana" w:hAnsi="Verdana" w:eastAsia="Century Gothic" w:cs="Century Gothic"/>
          <w:b/>
          <w:bCs/>
        </w:rPr>
        <w:t>Problema planteado:</w:t>
      </w:r>
    </w:p>
    <w:p w:rsidRPr="00593A5F" w:rsidR="00CD638B" w:rsidP="00CD638B" w:rsidRDefault="00CD638B" w14:paraId="3FC33AAC" w14:textId="77777777">
      <w:pPr>
        <w:tabs>
          <w:tab w:val="left" w:pos="426"/>
        </w:tabs>
        <w:spacing w:after="0" w:line="276" w:lineRule="auto"/>
        <w:jc w:val="both"/>
        <w:rPr>
          <w:rFonts w:ascii="Verdana" w:hAnsi="Verdana" w:eastAsia="Century Gothic" w:cs="Century Gothic"/>
          <w:lang w:val="es-ES"/>
        </w:rPr>
      </w:pPr>
    </w:p>
    <w:p w:rsidR="00CD638B" w:rsidP="00CD638B" w:rsidRDefault="00CD638B" w14:paraId="3FAEB6D2" w14:textId="77777777">
      <w:pPr>
        <w:spacing w:after="0" w:line="276" w:lineRule="auto"/>
        <w:jc w:val="both"/>
        <w:rPr>
          <w:rFonts w:ascii="Verdana" w:hAnsi="Verdana" w:eastAsia="Century Gothic" w:cs="Century Gothic"/>
        </w:rPr>
      </w:pPr>
      <w:r>
        <w:rPr>
          <w:rFonts w:ascii="Verdana" w:hAnsi="Verdana" w:eastAsia="Century Gothic" w:cs="Century Gothic"/>
        </w:rPr>
        <w:t xml:space="preserve">De acuerdo con el contenido de </w:t>
      </w:r>
      <w:r w:rsidRPr="00593A5F">
        <w:rPr>
          <w:rFonts w:ascii="Verdana" w:hAnsi="Verdana" w:eastAsia="Century Gothic" w:cs="Century Gothic"/>
        </w:rPr>
        <w:t>su solicitud, esta Agencia resolverá los siguiente</w:t>
      </w:r>
      <w:r>
        <w:rPr>
          <w:rFonts w:ascii="Verdana" w:hAnsi="Verdana" w:eastAsia="Century Gothic" w:cs="Century Gothic"/>
        </w:rPr>
        <w:t xml:space="preserve">s </w:t>
      </w:r>
      <w:r w:rsidRPr="00593A5F">
        <w:rPr>
          <w:rFonts w:ascii="Verdana" w:hAnsi="Verdana" w:eastAsia="Century Gothic" w:cs="Century Gothic"/>
        </w:rPr>
        <w:t xml:space="preserve">problemas jurídicos: </w:t>
      </w:r>
    </w:p>
    <w:p w:rsidR="00CD638B" w:rsidP="00CD638B" w:rsidRDefault="00CD638B" w14:paraId="2CA86411" w14:textId="77777777">
      <w:pPr>
        <w:spacing w:after="0" w:line="276" w:lineRule="auto"/>
        <w:jc w:val="both"/>
        <w:rPr>
          <w:rFonts w:ascii="Verdana" w:hAnsi="Verdana" w:eastAsia="Century Gothic" w:cs="Century Gothic"/>
        </w:rPr>
      </w:pPr>
    </w:p>
    <w:p w:rsidRPr="00E06883" w:rsidR="00CD638B" w:rsidP="00CD638B" w:rsidRDefault="00CD638B" w14:paraId="5313A87B" w14:textId="6B609AF2">
      <w:pPr>
        <w:pStyle w:val="Prrafodelista"/>
        <w:numPr>
          <w:ilvl w:val="0"/>
          <w:numId w:val="19"/>
        </w:numPr>
        <w:spacing w:after="0" w:line="276" w:lineRule="auto"/>
        <w:jc w:val="both"/>
        <w:rPr>
          <w:rFonts w:ascii="Verdana" w:hAnsi="Verdana" w:eastAsia="Century Gothic" w:cs="Century Gothic"/>
        </w:rPr>
      </w:pPr>
      <w:r w:rsidRPr="00D83989">
        <w:rPr>
          <w:rFonts w:ascii="Verdana" w:hAnsi="Verdana" w:eastAsia="Century Gothic" w:cs="Century Gothic"/>
        </w:rPr>
        <w:t>¿</w:t>
      </w:r>
      <w:r>
        <w:rPr>
          <w:rFonts w:ascii="Verdana" w:hAnsi="Verdana" w:eastAsia="Century Gothic" w:cs="Century Gothic"/>
          <w:lang w:val="es-CO"/>
        </w:rPr>
        <w:t xml:space="preserve">cómo deben evaluarse </w:t>
      </w:r>
      <w:r w:rsidRPr="00E06883">
        <w:rPr>
          <w:rFonts w:ascii="Verdana" w:hAnsi="Verdana" w:eastAsia="Century Gothic" w:cs="Century Gothic"/>
        </w:rPr>
        <w:t xml:space="preserve">los indicadores financieros en el marco de </w:t>
      </w:r>
      <w:r w:rsidRPr="00E06883">
        <w:rPr>
          <w:rFonts w:ascii="Verdana" w:hAnsi="Verdana" w:eastAsia="Century Gothic" w:cs="Century Gothic"/>
          <w:lang w:val="es-CO"/>
        </w:rPr>
        <w:t>los procesos de selección de contratación pública</w:t>
      </w:r>
      <w:r w:rsidRPr="00E06883">
        <w:rPr>
          <w:rFonts w:ascii="Verdana" w:hAnsi="Verdana" w:eastAsia="Century Gothic" w:cs="Century Gothic"/>
        </w:rPr>
        <w:t>?</w:t>
      </w:r>
      <w:r w:rsidRPr="00E06883">
        <w:rPr>
          <w:rFonts w:ascii="Verdana" w:hAnsi="Verdana" w:eastAsia="Century Gothic" w:cs="Century Gothic"/>
        </w:rPr>
        <w:tab/>
      </w:r>
      <w:r w:rsidRPr="00E06883">
        <w:rPr>
          <w:rFonts w:ascii="Verdana" w:hAnsi="Verdana" w:eastAsia="Century Gothic" w:cs="Century Gothic"/>
        </w:rPr>
        <w:t xml:space="preserve"> </w:t>
      </w:r>
    </w:p>
    <w:p w:rsidRPr="00D83989" w:rsidR="00CD638B" w:rsidP="00CD638B" w:rsidRDefault="00CD638B" w14:paraId="34335B63" w14:textId="74252960">
      <w:pPr>
        <w:pStyle w:val="Prrafodelista"/>
        <w:numPr>
          <w:ilvl w:val="0"/>
          <w:numId w:val="19"/>
        </w:numPr>
        <w:spacing w:after="0" w:line="276" w:lineRule="auto"/>
        <w:jc w:val="both"/>
        <w:rPr>
          <w:rFonts w:ascii="Verdana" w:hAnsi="Verdana" w:eastAsia="Century Gothic" w:cs="Century Gothic"/>
        </w:rPr>
      </w:pPr>
      <w:r w:rsidRPr="00D83989">
        <w:rPr>
          <w:rFonts w:ascii="Verdana" w:hAnsi="Verdana" w:eastAsia="Century Gothic" w:cs="Century Gothic"/>
        </w:rPr>
        <w:t>¿</w:t>
      </w:r>
      <w:r w:rsidRPr="00D83989">
        <w:rPr>
          <w:rFonts w:ascii="Segoe UI" w:hAnsi="Segoe UI" w:cs="Segoe UI"/>
          <w:lang w:val="es-CO"/>
        </w:rPr>
        <w:t xml:space="preserve"> </w:t>
      </w:r>
      <w:r w:rsidRPr="00D83989">
        <w:rPr>
          <w:rFonts w:ascii="Verdana" w:hAnsi="Verdana" w:cs="Segoe UI"/>
          <w:lang w:val="es-CO"/>
        </w:rPr>
        <w:t>Es</w:t>
      </w:r>
      <w:r w:rsidRPr="00D83989">
        <w:rPr>
          <w:rFonts w:ascii="Verdana" w:hAnsi="Verdana" w:eastAsia="Century Gothic" w:cs="Century Gothic"/>
          <w:lang w:val="es-CO"/>
        </w:rPr>
        <w:t xml:space="preserve"> obligatorio por todas las entidades públicas, que se rigen por el marco jurídico de la contratación estatal en Colombia, Ley 80 y demás decretos reglamentarios la implementación de los pliegos tipo y que establecen los mismos frente a los </w:t>
      </w:r>
      <w:r w:rsidRPr="004D12FA">
        <w:rPr>
          <w:rFonts w:ascii="Verdana" w:hAnsi="Verdana" w:eastAsia="Calibri" w:cs="Arial"/>
          <w:color w:val="000000" w:themeColor="text1"/>
          <w:lang w:val="es-CO"/>
        </w:rPr>
        <w:t>indicadores de capacidad financiera</w:t>
      </w:r>
      <w:r w:rsidRPr="00D83989">
        <w:rPr>
          <w:rFonts w:ascii="Verdana" w:hAnsi="Verdana" w:eastAsia="Century Gothic" w:cs="Century Gothic"/>
        </w:rPr>
        <w:t>?</w:t>
      </w:r>
      <w:r w:rsidRPr="004D12FA">
        <w:rPr>
          <w:rFonts w:ascii="Verdana" w:hAnsi="Verdana" w:eastAsia="Calibri" w:cs="Arial"/>
          <w:color w:val="000000" w:themeColor="text1"/>
          <w:lang w:val="es-CO"/>
        </w:rPr>
        <w:t xml:space="preserve"> </w:t>
      </w:r>
    </w:p>
    <w:p w:rsidR="00CD638B" w:rsidP="00CD638B" w:rsidRDefault="00CD638B" w14:paraId="3145C39A" w14:textId="77777777">
      <w:pPr>
        <w:spacing w:after="0" w:line="276" w:lineRule="auto"/>
        <w:jc w:val="both"/>
        <w:rPr>
          <w:rFonts w:ascii="Verdana" w:hAnsi="Verdana" w:eastAsia="Calibri" w:cs="Arial"/>
          <w:color w:val="7030A0"/>
          <w:lang w:val="es-ES"/>
        </w:rPr>
      </w:pPr>
    </w:p>
    <w:p w:rsidRPr="00593A5F" w:rsidR="00CD638B" w:rsidP="00CD638B" w:rsidRDefault="00CD638B" w14:paraId="5C6DAE3B"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Respuesta:</w:t>
      </w:r>
    </w:p>
    <w:p w:rsidRPr="00593A5F" w:rsidR="00CD638B" w:rsidP="00CD638B" w:rsidRDefault="00CD638B" w14:paraId="76C1EB9E"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593A5F" w:rsidR="00CD638B" w:rsidTr="00943A7D" w14:paraId="4FA6CEFD" w14:textId="77777777">
        <w:tc>
          <w:tcPr>
            <w:tcW w:w="8828" w:type="dxa"/>
            <w:shd w:val="clear" w:color="auto" w:fill="auto"/>
          </w:tcPr>
          <w:p w:rsidR="00CD638B" w:rsidP="00943A7D" w:rsidRDefault="00CD638B" w14:paraId="0878F29B" w14:textId="77777777">
            <w:pPr>
              <w:spacing w:line="276" w:lineRule="auto"/>
              <w:jc w:val="both"/>
              <w:rPr>
                <w:rFonts w:ascii="Verdana" w:hAnsi="Verdana" w:eastAsia="Calibri" w:cs="Arial"/>
                <w:lang w:val="es-ES"/>
              </w:rPr>
            </w:pPr>
          </w:p>
          <w:p w:rsidR="00CD638B" w:rsidP="00943A7D" w:rsidRDefault="00CD638B" w14:paraId="22FFCE7F" w14:textId="3BA2BEF6">
            <w:pPr>
              <w:spacing w:line="276" w:lineRule="auto"/>
              <w:jc w:val="both"/>
              <w:rPr>
                <w:rFonts w:ascii="Verdana" w:hAnsi="Verdana" w:eastAsia="Calibri" w:cs="Arial"/>
                <w:color w:val="000000" w:themeColor="text1"/>
                <w:lang w:val="es-ES"/>
              </w:rPr>
            </w:pPr>
            <w:r w:rsidRPr="00523FF9">
              <w:rPr>
                <w:rFonts w:ascii="Verdana" w:hAnsi="Verdana" w:eastAsia="Calibri" w:cs="Arial"/>
                <w:color w:val="000000" w:themeColor="text1"/>
                <w:lang w:val="es-ES"/>
              </w:rPr>
              <w:t xml:space="preserve">Respecto de los problemas jurídicos antes planteados, </w:t>
            </w:r>
            <w:r w:rsidR="00E70BDC">
              <w:rPr>
                <w:rFonts w:ascii="Verdana" w:hAnsi="Verdana" w:eastAsia="Calibri" w:cs="Arial"/>
                <w:color w:val="000000" w:themeColor="text1"/>
                <w:lang w:val="es-ES"/>
              </w:rPr>
              <w:t>es menester señalar que</w:t>
            </w:r>
          </w:p>
          <w:p w:rsidR="00CD638B" w:rsidP="00943A7D" w:rsidRDefault="00CD638B" w14:paraId="4AA19BBA" w14:textId="77777777">
            <w:pPr>
              <w:spacing w:line="276" w:lineRule="auto"/>
              <w:jc w:val="both"/>
              <w:rPr>
                <w:rFonts w:ascii="Verdana" w:hAnsi="Verdana" w:eastAsia="Calibri" w:cs="Arial"/>
                <w:color w:val="000000" w:themeColor="text1"/>
                <w:lang w:val="es-ES"/>
              </w:rPr>
            </w:pPr>
          </w:p>
          <w:p w:rsidR="00E70BDC" w:rsidP="00E70BDC" w:rsidRDefault="00E70BDC" w14:paraId="2F3A25C5" w14:textId="13F5D055">
            <w:pPr>
              <w:spacing w:line="276" w:lineRule="auto"/>
              <w:jc w:val="both"/>
              <w:rPr>
                <w:rFonts w:ascii="Verdana" w:hAnsi="Verdana" w:eastAsia="Calibri" w:cs="Arial"/>
                <w:color w:val="000000" w:themeColor="text1"/>
              </w:rPr>
            </w:pPr>
            <w:r w:rsidRPr="002D5921">
              <w:rPr>
                <w:rFonts w:ascii="Verdana" w:hAnsi="Verdana" w:eastAsia="Calibri" w:cs="Arial"/>
                <w:color w:val="000000" w:themeColor="text1"/>
              </w:rPr>
              <w:t xml:space="preserve">Frente al primer interrogante, es pertinente señalar que para establecer los requisitos habilitantes, correspondiente a la capacidad financiera dentro de un proceso de selección sometido al Estatuto General de Contratación de la Administración Pública-EG C AP, cada entidad al momento de estructurar el </w:t>
            </w:r>
            <w:r w:rsidRPr="002D5921">
              <w:rPr>
                <w:rFonts w:ascii="Verdana" w:hAnsi="Verdana" w:eastAsia="Calibri" w:cs="Arial"/>
                <w:color w:val="000000" w:themeColor="text1"/>
              </w:rPr>
              <w:t>proceso de selección, es la responsable de definir los indicadores, de forma proporcional a la naturaleza y al valor del contrato, por lo que para ello deberá observarse los resultados del</w:t>
            </w:r>
            <w:r w:rsidR="001A7FA7">
              <w:rPr>
                <w:rFonts w:ascii="Verdana" w:hAnsi="Verdana" w:eastAsia="Calibri" w:cs="Arial"/>
                <w:color w:val="000000" w:themeColor="text1"/>
              </w:rPr>
              <w:t xml:space="preserve"> analisis del</w:t>
            </w:r>
            <w:r w:rsidRPr="002D5921">
              <w:rPr>
                <w:rFonts w:ascii="Verdana" w:hAnsi="Verdana" w:eastAsia="Calibri" w:cs="Arial"/>
                <w:color w:val="000000" w:themeColor="text1"/>
              </w:rPr>
              <w:t xml:space="preserve"> Sector</w:t>
            </w:r>
            <w:r w:rsidR="001A7FA7">
              <w:rPr>
                <w:rFonts w:ascii="Verdana" w:hAnsi="Verdana" w:eastAsia="Calibri" w:cs="Arial"/>
                <w:color w:val="000000" w:themeColor="text1"/>
              </w:rPr>
              <w:t xml:space="preserve"> y lo estructurado en los estudios previos</w:t>
            </w:r>
            <w:r w:rsidRPr="002D5921">
              <w:rPr>
                <w:rFonts w:ascii="Verdana" w:hAnsi="Verdana" w:eastAsia="Calibri" w:cs="Arial"/>
                <w:color w:val="000000" w:themeColor="text1"/>
              </w:rPr>
              <w:t xml:space="preserve"> para el respectivo Proceso de Contratación. </w:t>
            </w:r>
          </w:p>
          <w:p w:rsidRPr="002D5921" w:rsidR="00E70BDC" w:rsidP="002D5921" w:rsidRDefault="00E70BDC" w14:paraId="64C7CBC2" w14:textId="77777777">
            <w:pPr>
              <w:spacing w:line="276" w:lineRule="auto"/>
              <w:jc w:val="both"/>
              <w:rPr>
                <w:rFonts w:ascii="Verdana" w:hAnsi="Verdana" w:eastAsia="Calibri" w:cs="Arial"/>
                <w:color w:val="000000" w:themeColor="text1"/>
              </w:rPr>
            </w:pPr>
          </w:p>
          <w:p w:rsidRPr="002D5921" w:rsidR="00E70BDC" w:rsidP="002D5921" w:rsidRDefault="00E70BDC" w14:paraId="4222210F" w14:textId="5B86F5F2">
            <w:pPr>
              <w:spacing w:line="276" w:lineRule="auto"/>
              <w:jc w:val="both"/>
              <w:rPr>
                <w:rFonts w:ascii="Verdana" w:hAnsi="Verdana" w:eastAsia="Calibri" w:cs="Arial"/>
                <w:color w:val="000000" w:themeColor="text1"/>
              </w:rPr>
            </w:pPr>
            <w:r w:rsidRPr="002D5921">
              <w:rPr>
                <w:rFonts w:ascii="Verdana" w:hAnsi="Verdana" w:eastAsia="Calibri" w:cs="Arial"/>
                <w:color w:val="000000" w:themeColor="text1"/>
              </w:rPr>
              <w:t xml:space="preserve">En </w:t>
            </w:r>
            <w:r w:rsidR="001A7FA7">
              <w:rPr>
                <w:rFonts w:ascii="Verdana" w:hAnsi="Verdana" w:eastAsia="Calibri" w:cs="Arial"/>
                <w:color w:val="000000" w:themeColor="text1"/>
              </w:rPr>
              <w:t>ese sentido</w:t>
            </w:r>
            <w:r w:rsidRPr="002D5921">
              <w:rPr>
                <w:rFonts w:ascii="Verdana" w:hAnsi="Verdana" w:eastAsia="Calibri" w:cs="Arial"/>
                <w:color w:val="000000" w:themeColor="text1"/>
              </w:rPr>
              <w:t>,</w:t>
            </w:r>
            <w:r w:rsidR="001A7FA7">
              <w:rPr>
                <w:rFonts w:ascii="Verdana" w:hAnsi="Verdana" w:eastAsia="Calibri" w:cs="Arial"/>
                <w:color w:val="000000" w:themeColor="text1"/>
              </w:rPr>
              <w:t xml:space="preserve"> la entidad estatal </w:t>
            </w:r>
            <w:r w:rsidRPr="002D5921">
              <w:rPr>
                <w:rFonts w:ascii="Verdana" w:hAnsi="Verdana" w:eastAsia="Calibri" w:cs="Arial"/>
                <w:color w:val="000000" w:themeColor="text1"/>
              </w:rPr>
              <w:t xml:space="preserve">deberá </w:t>
            </w:r>
            <w:r w:rsidR="001A7FA7">
              <w:rPr>
                <w:rFonts w:ascii="Verdana" w:hAnsi="Verdana" w:eastAsia="Calibri" w:cs="Arial"/>
                <w:color w:val="000000" w:themeColor="text1"/>
              </w:rPr>
              <w:t>fijar</w:t>
            </w:r>
            <w:r w:rsidRPr="002D5921">
              <w:rPr>
                <w:rFonts w:ascii="Verdana" w:hAnsi="Verdana" w:eastAsia="Calibri" w:cs="Arial"/>
                <w:color w:val="000000" w:themeColor="text1"/>
              </w:rPr>
              <w:t xml:space="preserve"> las condiciones de los indicadores financieros con los que cuentan los posibles proponentes</w:t>
            </w:r>
            <w:r w:rsidR="001A7FA7">
              <w:rPr>
                <w:rFonts w:ascii="Verdana" w:hAnsi="Verdana" w:eastAsia="Calibri" w:cs="Arial"/>
                <w:color w:val="000000" w:themeColor="text1"/>
              </w:rPr>
              <w:t xml:space="preserve"> tanto en el estudio previo como en los documentos precontractuales</w:t>
            </w:r>
            <w:r w:rsidRPr="002D5921">
              <w:rPr>
                <w:rFonts w:ascii="Verdana" w:hAnsi="Verdana" w:eastAsia="Calibri" w:cs="Arial"/>
                <w:color w:val="000000" w:themeColor="text1"/>
              </w:rPr>
              <w:t xml:space="preserve">, </w:t>
            </w:r>
            <w:r w:rsidR="001A7FA7">
              <w:rPr>
                <w:rFonts w:ascii="Verdana" w:hAnsi="Verdana" w:eastAsia="Calibri" w:cs="Arial"/>
                <w:color w:val="000000" w:themeColor="text1"/>
              </w:rPr>
              <w:t>y evaluarlos en el momento oportuno conforme a lo estipulado en la normativa vigente. En consecuecia, s</w:t>
            </w:r>
            <w:r w:rsidRPr="002D5921">
              <w:rPr>
                <w:rFonts w:ascii="Verdana" w:hAnsi="Verdana" w:eastAsia="Calibri" w:cs="Arial"/>
                <w:color w:val="000000" w:themeColor="text1"/>
              </w:rPr>
              <w:t>on indicadores de la capacidad financiera los señalados en el artículo 2.2.1.1.1.5.3.</w:t>
            </w:r>
            <w:r>
              <w:rPr>
                <w:rStyle w:val="Refdenotaalpie"/>
                <w:rFonts w:ascii="Verdana" w:hAnsi="Verdana" w:eastAsia="Calibri" w:cs="Arial"/>
                <w:color w:val="000000" w:themeColor="text1"/>
              </w:rPr>
              <w:footnoteReference w:id="1"/>
            </w:r>
            <w:r w:rsidRPr="002D5921">
              <w:rPr>
                <w:rFonts w:ascii="Verdana" w:hAnsi="Verdana" w:eastAsia="Calibri" w:cs="Arial"/>
                <w:color w:val="000000" w:themeColor="text1"/>
              </w:rPr>
              <w:t xml:space="preserve"> del Decreto 1082 de 2015</w:t>
            </w:r>
            <w:r w:rsidR="001A7FA7">
              <w:rPr>
                <w:rFonts w:ascii="Verdana" w:hAnsi="Verdana" w:eastAsia="Calibri" w:cs="Arial"/>
                <w:color w:val="000000" w:themeColor="text1"/>
              </w:rPr>
              <w:t xml:space="preserve"> relacionados con el indice de liquidez, indice de endeudamiento y razón de cobertura de intereses, los cuales permitiran escoger la oferta más favorable en cuanto al musculo financiero que requiere la entidad por parte del proveedor.</w:t>
            </w:r>
          </w:p>
          <w:p w:rsidR="00E70BDC" w:rsidP="00E70BDC" w:rsidRDefault="00E70BDC" w14:paraId="325B22BA" w14:textId="77777777">
            <w:pPr>
              <w:spacing w:line="276" w:lineRule="auto"/>
              <w:jc w:val="both"/>
              <w:rPr>
                <w:rFonts w:ascii="Verdana" w:hAnsi="Verdana" w:eastAsia="Calibri" w:cs="Arial"/>
                <w:color w:val="000000" w:themeColor="text1"/>
                <w:lang w:val="es-ES"/>
              </w:rPr>
            </w:pPr>
          </w:p>
          <w:p w:rsidR="00E70BDC" w:rsidP="00E70BDC" w:rsidRDefault="00E70BDC" w14:paraId="6D501116" w14:textId="3AA74986">
            <w:pPr>
              <w:spacing w:line="276" w:lineRule="auto"/>
              <w:jc w:val="both"/>
              <w:rPr>
                <w:rFonts w:ascii="Verdana" w:hAnsi="Verdana" w:eastAsia="Calibri" w:cs="Arial"/>
                <w:color w:val="000000" w:themeColor="text1"/>
              </w:rPr>
            </w:pPr>
            <w:r w:rsidRPr="00473EF8">
              <w:rPr>
                <w:rFonts w:ascii="Verdana" w:hAnsi="Verdana" w:eastAsia="Calibri" w:cs="Arial"/>
                <w:color w:val="000000" w:themeColor="text1"/>
              </w:rPr>
              <w:t>En ese sent</w:t>
            </w:r>
            <w:r w:rsidR="00B52F90">
              <w:rPr>
                <w:rFonts w:ascii="Verdana" w:hAnsi="Verdana" w:eastAsia="Calibri" w:cs="Arial"/>
                <w:color w:val="000000" w:themeColor="text1"/>
              </w:rPr>
              <w:t>ido</w:t>
            </w:r>
            <w:r w:rsidRPr="00473EF8">
              <w:rPr>
                <w:rFonts w:ascii="Verdana" w:hAnsi="Verdana" w:eastAsia="Calibri" w:cs="Arial"/>
                <w:color w:val="000000" w:themeColor="text1"/>
              </w:rPr>
              <w:t xml:space="preserve">, la Entidad Estatal debe determinar los </w:t>
            </w:r>
            <w:r w:rsidR="00B52F90">
              <w:rPr>
                <w:rFonts w:ascii="Verdana" w:hAnsi="Verdana" w:eastAsia="Calibri" w:cs="Arial"/>
                <w:color w:val="000000" w:themeColor="text1"/>
              </w:rPr>
              <w:t xml:space="preserve">rangos de los indicadores financieros </w:t>
            </w:r>
            <w:r w:rsidRPr="00473EF8">
              <w:rPr>
                <w:rFonts w:ascii="Verdana" w:hAnsi="Verdana" w:eastAsia="Calibri" w:cs="Arial"/>
                <w:color w:val="000000" w:themeColor="text1"/>
              </w:rPr>
              <w:t>en comento teniendo en cuenta lo que mide el indicador</w:t>
            </w:r>
            <w:r w:rsidR="00B52F90">
              <w:rPr>
                <w:rFonts w:ascii="Verdana" w:hAnsi="Verdana" w:eastAsia="Calibri" w:cs="Arial"/>
                <w:color w:val="000000" w:themeColor="text1"/>
              </w:rPr>
              <w:t xml:space="preserve">: </w:t>
            </w:r>
          </w:p>
          <w:p w:rsidR="00B52F90" w:rsidP="002D5921" w:rsidRDefault="00B52F90" w14:paraId="73F7C539" w14:textId="77777777">
            <w:pPr>
              <w:pStyle w:val="NormalWeb"/>
              <w:numPr>
                <w:ilvl w:val="0"/>
                <w:numId w:val="22"/>
              </w:numPr>
              <w:shd w:val="clear" w:color="auto" w:fill="FFFFFF"/>
              <w:spacing w:before="0" w:beforeAutospacing="0" w:after="0" w:afterAutospacing="0"/>
              <w:jc w:val="both"/>
              <w:rPr>
                <w:rFonts w:ascii="Arial" w:hAnsi="Arial" w:cs="Arial"/>
                <w:color w:val="333333"/>
              </w:rPr>
            </w:pPr>
            <w:r>
              <w:rPr>
                <w:rFonts w:ascii="Arial" w:hAnsi="Arial" w:cs="Arial"/>
                <w:color w:val="333333"/>
              </w:rPr>
              <w:t>Índice de liquidez: activo corriente dividido por el pasivo corriente.</w:t>
            </w:r>
          </w:p>
          <w:p w:rsidRPr="00B52F90" w:rsidR="00B52F90" w:rsidP="002D5921" w:rsidRDefault="00B52F90" w14:paraId="287054B1" w14:textId="7BE3F9EC">
            <w:pPr>
              <w:pStyle w:val="NormalWeb"/>
              <w:numPr>
                <w:ilvl w:val="0"/>
                <w:numId w:val="22"/>
              </w:numPr>
              <w:shd w:val="clear" w:color="auto" w:fill="FFFFFF"/>
              <w:spacing w:before="0" w:beforeAutospacing="0" w:after="0" w:afterAutospacing="0"/>
              <w:jc w:val="both"/>
              <w:rPr>
                <w:rFonts w:ascii="Arial" w:hAnsi="Arial" w:cs="Arial"/>
                <w:color w:val="333333"/>
              </w:rPr>
            </w:pPr>
            <w:r w:rsidRPr="00B52F90">
              <w:rPr>
                <w:rFonts w:ascii="Arial" w:hAnsi="Arial" w:cs="Arial"/>
                <w:color w:val="333333"/>
              </w:rPr>
              <w:t>Índice de endeudamiento: pasivo total dividido por el activo total.</w:t>
            </w:r>
          </w:p>
          <w:p w:rsidR="00B52F90" w:rsidP="002D5921" w:rsidRDefault="00B52F90" w14:paraId="786DC3FE" w14:textId="541127EE">
            <w:pPr>
              <w:pStyle w:val="NormalWeb"/>
              <w:numPr>
                <w:ilvl w:val="0"/>
                <w:numId w:val="22"/>
              </w:numPr>
              <w:shd w:val="clear" w:color="auto" w:fill="FFFFFF"/>
              <w:spacing w:before="0" w:beforeAutospacing="0" w:after="0" w:afterAutospacing="0"/>
              <w:jc w:val="both"/>
              <w:rPr>
                <w:rFonts w:ascii="Arial" w:hAnsi="Arial" w:cs="Arial"/>
                <w:color w:val="333333"/>
              </w:rPr>
            </w:pPr>
            <w:r>
              <w:rPr>
                <w:rFonts w:ascii="Arial" w:hAnsi="Arial" w:cs="Arial"/>
                <w:color w:val="333333"/>
              </w:rPr>
              <w:t>Razón de cobertura de intereses: utilidad operacional dividida por los gastos de intereses.</w:t>
            </w:r>
          </w:p>
          <w:p w:rsidR="00E70BDC" w:rsidP="00E70BDC" w:rsidRDefault="00E70BDC" w14:paraId="33AC58D4" w14:textId="77777777">
            <w:pPr>
              <w:spacing w:line="276" w:lineRule="auto"/>
              <w:jc w:val="both"/>
              <w:rPr>
                <w:rFonts w:ascii="Verdana" w:hAnsi="Verdana" w:eastAsia="Calibri" w:cs="Arial"/>
                <w:color w:val="000000" w:themeColor="text1"/>
              </w:rPr>
            </w:pPr>
          </w:p>
          <w:p w:rsidR="00E70BDC" w:rsidP="00E70BDC" w:rsidRDefault="00B52F90" w14:paraId="45181ECA" w14:textId="050FBF94">
            <w:pPr>
              <w:spacing w:line="276" w:lineRule="auto"/>
              <w:jc w:val="both"/>
              <w:rPr>
                <w:rFonts w:ascii="Verdana" w:hAnsi="Verdana" w:eastAsia="Calibri" w:cs="Arial"/>
                <w:color w:val="000000" w:themeColor="text1"/>
              </w:rPr>
            </w:pPr>
            <w:r>
              <w:rPr>
                <w:rFonts w:ascii="Verdana" w:hAnsi="Verdana" w:eastAsia="Calibri" w:cs="Arial"/>
                <w:color w:val="000000" w:themeColor="text1"/>
              </w:rPr>
              <w:t xml:space="preserve">En todo caso, </w:t>
            </w:r>
            <w:r>
              <w:rPr>
                <w:rFonts w:ascii="Verdana" w:hAnsi="Verdana" w:eastAsia="Calibri" w:cs="Arial"/>
                <w:color w:val="000000" w:themeColor="text1"/>
                <w:lang w:val="es-ES"/>
              </w:rPr>
              <w:t>p</w:t>
            </w:r>
            <w:r w:rsidR="00E70BDC">
              <w:rPr>
                <w:rFonts w:ascii="Verdana" w:hAnsi="Verdana" w:eastAsia="Calibri" w:cs="Arial"/>
                <w:color w:val="000000" w:themeColor="text1"/>
                <w:lang w:val="es-ES"/>
              </w:rPr>
              <w:t xml:space="preserve">ara evaluar la capacidad financiera, la entidad contratante, deberá </w:t>
            </w:r>
            <w:r w:rsidR="00E70BDC">
              <w:rPr>
                <w:rFonts w:ascii="Verdana" w:hAnsi="Verdana" w:eastAsia="Calibri" w:cs="Arial"/>
                <w:color w:val="000000" w:themeColor="text1"/>
              </w:rPr>
              <w:t xml:space="preserve">verificar </w:t>
            </w:r>
            <w:r w:rsidRPr="00880B0C" w:rsidR="00E70BDC">
              <w:rPr>
                <w:rFonts w:ascii="Verdana" w:hAnsi="Verdana" w:eastAsia="Calibri" w:cs="Arial"/>
                <w:color w:val="000000" w:themeColor="text1"/>
              </w:rPr>
              <w:t xml:space="preserve">los requisitos </w:t>
            </w:r>
            <w:r w:rsidR="00E70BDC">
              <w:rPr>
                <w:rFonts w:ascii="Verdana" w:hAnsi="Verdana" w:eastAsia="Calibri" w:cs="Arial"/>
                <w:color w:val="000000" w:themeColor="text1"/>
              </w:rPr>
              <w:t>requeridos en el pliego de condiciones</w:t>
            </w:r>
            <w:r w:rsidRPr="00880B0C" w:rsidR="00E70BDC">
              <w:rPr>
                <w:rFonts w:ascii="Verdana" w:hAnsi="Verdana" w:eastAsia="Calibri" w:cs="Arial"/>
                <w:color w:val="000000" w:themeColor="text1"/>
              </w:rPr>
              <w:t>,</w:t>
            </w:r>
            <w:r w:rsidR="00E70BDC">
              <w:rPr>
                <w:rFonts w:ascii="Verdana" w:hAnsi="Verdana" w:eastAsia="Calibri" w:cs="Arial"/>
                <w:color w:val="000000" w:themeColor="text1"/>
              </w:rPr>
              <w:t xml:space="preserve"> conforme a lo señalado </w:t>
            </w:r>
            <w:r w:rsidRPr="00880B0C" w:rsidR="00E70BDC">
              <w:rPr>
                <w:rFonts w:ascii="Verdana" w:hAnsi="Verdana" w:eastAsia="Calibri" w:cs="Arial"/>
                <w:color w:val="000000" w:themeColor="text1"/>
              </w:rPr>
              <w:t>el artículo 5 de la Ley 1150 de 2007 y el artículo 2.2.1.1.1.5.3 del Decreto 1082 de 2015</w:t>
            </w:r>
            <w:r w:rsidR="00E70BDC">
              <w:rPr>
                <w:rFonts w:ascii="Verdana" w:hAnsi="Verdana" w:eastAsia="Calibri" w:cs="Arial"/>
                <w:color w:val="000000" w:themeColor="text1"/>
              </w:rPr>
              <w:t>.</w:t>
            </w:r>
            <w:r w:rsidRPr="00880B0C" w:rsidR="00E70BDC">
              <w:rPr>
                <w:rFonts w:ascii="Verdana" w:hAnsi="Verdana" w:eastAsia="Calibri" w:cs="Arial"/>
                <w:color w:val="000000" w:themeColor="text1"/>
              </w:rPr>
              <w:t xml:space="preserve"> </w:t>
            </w:r>
            <w:r w:rsidR="00E70BDC">
              <w:rPr>
                <w:rFonts w:ascii="Verdana" w:hAnsi="Verdana" w:eastAsia="Calibri" w:cs="Arial"/>
                <w:color w:val="000000" w:themeColor="text1"/>
              </w:rPr>
              <w:t xml:space="preserve">Es decir, </w:t>
            </w:r>
            <w:r w:rsidRPr="00880B0C" w:rsidR="00E70BDC">
              <w:rPr>
                <w:rFonts w:ascii="Verdana" w:hAnsi="Verdana" w:eastAsia="Calibri" w:cs="Arial"/>
                <w:color w:val="000000" w:themeColor="text1"/>
              </w:rPr>
              <w:t>a través del RUP con los estados financieros del proponente, suscritos por el representante legal y el revisor fiscal, cuando aplique</w:t>
            </w:r>
            <w:r w:rsidR="00E70BDC">
              <w:rPr>
                <w:rFonts w:ascii="Verdana" w:hAnsi="Verdana" w:eastAsia="Calibri" w:cs="Arial"/>
                <w:color w:val="000000" w:themeColor="text1"/>
              </w:rPr>
              <w:t>, d</w:t>
            </w:r>
            <w:r w:rsidRPr="00880B0C" w:rsidR="00E70BDC">
              <w:rPr>
                <w:rFonts w:ascii="Verdana" w:hAnsi="Verdana" w:eastAsia="Calibri" w:cs="Arial"/>
                <w:color w:val="000000" w:themeColor="text1"/>
              </w:rPr>
              <w:t>e este modo, lo que se verifica con el registro es que el proponente tenga los indicadores financieros solicitados por la Entidad, que le permitan satisfacer la necesidad que se contratará una vez desarrollado el procedimiento de selección</w:t>
            </w:r>
            <w:r w:rsidR="00E70BDC">
              <w:rPr>
                <w:rFonts w:ascii="Verdana" w:hAnsi="Verdana" w:eastAsia="Calibri" w:cs="Arial"/>
                <w:color w:val="000000" w:themeColor="text1"/>
              </w:rPr>
              <w:t xml:space="preserve">. </w:t>
            </w:r>
          </w:p>
          <w:p w:rsidR="00E70BDC" w:rsidP="00E70BDC" w:rsidRDefault="00E70BDC" w14:paraId="49620C7D" w14:textId="77777777">
            <w:pPr>
              <w:spacing w:line="276" w:lineRule="auto"/>
              <w:jc w:val="both"/>
              <w:rPr>
                <w:rFonts w:ascii="Verdana" w:hAnsi="Verdana" w:eastAsia="Calibri" w:cs="Arial"/>
                <w:color w:val="000000" w:themeColor="text1"/>
                <w:lang w:val="es-ES"/>
              </w:rPr>
            </w:pPr>
          </w:p>
          <w:p w:rsidR="00E70BDC" w:rsidP="00E70BDC" w:rsidRDefault="00E70BDC" w14:paraId="518600D5" w14:textId="6E8D96B2">
            <w:pPr>
              <w:spacing w:line="276" w:lineRule="auto"/>
              <w:jc w:val="both"/>
              <w:rPr>
                <w:rFonts w:ascii="Verdana" w:hAnsi="Verdana" w:eastAsia="Calibri" w:cs="Arial"/>
                <w:color w:val="000000" w:themeColor="text1"/>
                <w:lang w:val="es-ES"/>
              </w:rPr>
            </w:pPr>
            <w:r>
              <w:rPr>
                <w:rFonts w:ascii="Verdana" w:hAnsi="Verdana" w:eastAsia="Calibri" w:cs="Arial"/>
                <w:color w:val="000000" w:themeColor="text1"/>
                <w:lang w:val="es-ES"/>
              </w:rPr>
              <w:t>En caso de que el proceso de contratación no requiera RUP, los requisitos de capacidad financiera se evaluarán conforme a la documentación que solicite la entidad contratante en el pliego de condiciones.</w:t>
            </w:r>
          </w:p>
          <w:p w:rsidR="00E70BDC" w:rsidP="00943A7D" w:rsidRDefault="00E70BDC" w14:paraId="68DEC7E9" w14:textId="13114163">
            <w:pPr>
              <w:spacing w:line="276" w:lineRule="auto"/>
              <w:jc w:val="both"/>
              <w:rPr>
                <w:rFonts w:ascii="Verdana" w:hAnsi="Verdana" w:eastAsia="Calibri" w:cs="Arial"/>
                <w:color w:val="000000" w:themeColor="text1"/>
                <w:lang w:val="es-ES"/>
              </w:rPr>
            </w:pPr>
          </w:p>
          <w:p w:rsidR="004E0230" w:rsidP="00943A7D" w:rsidRDefault="004E0230" w14:paraId="18F85027" w14:textId="4131118C">
            <w:pPr>
              <w:spacing w:line="276" w:lineRule="auto"/>
              <w:jc w:val="both"/>
              <w:rPr>
                <w:rFonts w:ascii="Verdana" w:hAnsi="Verdana" w:eastAsia="Calibri" w:cs="Arial"/>
                <w:color w:val="000000" w:themeColor="text1"/>
                <w:lang w:val="es-ES"/>
              </w:rPr>
            </w:pPr>
            <w:r>
              <w:rPr>
                <w:rFonts w:ascii="Verdana" w:hAnsi="Verdana" w:eastAsia="Calibri" w:cs="Arial"/>
                <w:color w:val="000000" w:themeColor="text1"/>
                <w:lang w:val="es-ES"/>
              </w:rPr>
              <w:t>Ahora bien, en cuanto a la vigencia del Decreto 579 de 202, este no se encuentra vigente, puesto se expidió en el marco de la pandemia, al desaparecer las causas que lo originaron ya no es aplicado por las entidades estatales; en su defecto se aplica el último año fiscal al momento de evaluar la capacidad financiera</w:t>
            </w:r>
            <w:r w:rsidR="009D405C">
              <w:rPr>
                <w:rFonts w:ascii="Verdana" w:hAnsi="Verdana" w:eastAsia="Calibri" w:cs="Arial"/>
                <w:color w:val="000000" w:themeColor="text1"/>
                <w:lang w:val="es-ES"/>
              </w:rPr>
              <w:t xml:space="preserve">. </w:t>
            </w:r>
            <w:r>
              <w:rPr>
                <w:rFonts w:ascii="Verdana" w:hAnsi="Verdana" w:eastAsia="Calibri" w:cs="Arial"/>
                <w:color w:val="000000" w:themeColor="text1"/>
                <w:lang w:val="es-ES"/>
              </w:rPr>
              <w:t xml:space="preserve">  </w:t>
            </w:r>
          </w:p>
          <w:p w:rsidR="004E0230" w:rsidP="00943A7D" w:rsidRDefault="004E0230" w14:paraId="5014D468" w14:textId="77777777">
            <w:pPr>
              <w:spacing w:line="276" w:lineRule="auto"/>
              <w:jc w:val="both"/>
              <w:rPr>
                <w:rFonts w:ascii="Verdana" w:hAnsi="Verdana" w:eastAsia="Calibri" w:cs="Arial"/>
                <w:color w:val="000000" w:themeColor="text1"/>
                <w:lang w:val="es-ES"/>
              </w:rPr>
            </w:pPr>
          </w:p>
          <w:p w:rsidR="009D405C" w:rsidP="00943A7D" w:rsidRDefault="009D405C" w14:paraId="55C343DA" w14:textId="0AD89768">
            <w:pPr>
              <w:spacing w:line="276" w:lineRule="auto"/>
              <w:jc w:val="both"/>
              <w:rPr>
                <w:rFonts w:ascii="Verdana" w:hAnsi="Verdana" w:eastAsia="Calibri" w:cs="Arial"/>
                <w:color w:val="000000" w:themeColor="text1"/>
                <w:lang w:val="es-ES"/>
              </w:rPr>
            </w:pPr>
            <w:r>
              <w:rPr>
                <w:rFonts w:ascii="Verdana" w:hAnsi="Verdana" w:eastAsia="Calibri" w:cs="Arial"/>
                <w:color w:val="000000" w:themeColor="text1"/>
                <w:lang w:val="es-ES"/>
              </w:rPr>
              <w:t xml:space="preserve">Con el fin de recortarle lo estipulado en esa normativa, </w:t>
            </w:r>
            <w:r w:rsidR="00CD638B">
              <w:rPr>
                <w:rFonts w:ascii="Verdana" w:hAnsi="Verdana" w:eastAsia="Calibri" w:cs="Arial"/>
                <w:color w:val="000000" w:themeColor="text1"/>
                <w:lang w:val="es-ES"/>
              </w:rPr>
              <w:t>el</w:t>
            </w:r>
            <w:r w:rsidRPr="001A6BAB" w:rsidR="00CD638B">
              <w:rPr>
                <w:rFonts w:ascii="Verdana" w:hAnsi="Verdana" w:eastAsia="Calibri" w:cs="Arial"/>
                <w:color w:val="000000" w:themeColor="text1"/>
                <w:lang w:val="es-ES"/>
              </w:rPr>
              <w:t xml:space="preserve"> decreto establec</w:t>
            </w:r>
            <w:r w:rsidR="00CD638B">
              <w:rPr>
                <w:rFonts w:ascii="Verdana" w:hAnsi="Verdana" w:eastAsia="Calibri" w:cs="Arial"/>
                <w:color w:val="000000" w:themeColor="text1"/>
                <w:lang w:val="es-ES"/>
              </w:rPr>
              <w:t>ía</w:t>
            </w:r>
            <w:r w:rsidRPr="001A6BAB" w:rsidR="00CD638B">
              <w:rPr>
                <w:rFonts w:ascii="Verdana" w:hAnsi="Verdana" w:eastAsia="Calibri" w:cs="Arial"/>
                <w:color w:val="000000" w:themeColor="text1"/>
                <w:lang w:val="es-ES"/>
              </w:rPr>
              <w:t xml:space="preserve"> que, para los procesos de selección cuyo acto administrativo de apertura o invitación se publique a partir del 1 de julio de 2021, se considerará el mejor año fiscal de los últimos tres años reflejado en el Registro Único de Proponentes (RUP) para evaluar los indicadores financieros y organizacionales.   </w:t>
            </w:r>
            <w:r w:rsidR="00CD638B">
              <w:rPr>
                <w:rFonts w:ascii="Verdana" w:hAnsi="Verdana" w:eastAsia="Calibri" w:cs="Arial"/>
                <w:color w:val="000000" w:themeColor="text1"/>
                <w:lang w:val="es-ES"/>
              </w:rPr>
              <w:t xml:space="preserve">No </w:t>
            </w:r>
            <w:r>
              <w:rPr>
                <w:rFonts w:ascii="Verdana" w:hAnsi="Verdana" w:eastAsia="Calibri" w:cs="Arial"/>
                <w:color w:val="000000" w:themeColor="text1"/>
                <w:lang w:val="es-ES"/>
              </w:rPr>
              <w:t>o</w:t>
            </w:r>
            <w:r w:rsidR="00CD638B">
              <w:rPr>
                <w:rFonts w:ascii="Verdana" w:hAnsi="Verdana" w:eastAsia="Calibri" w:cs="Arial"/>
                <w:color w:val="000000" w:themeColor="text1"/>
                <w:lang w:val="es-ES"/>
              </w:rPr>
              <w:t>bstante,</w:t>
            </w:r>
            <w:r w:rsidRPr="00720FD7" w:rsidR="00CD638B">
              <w:rPr>
                <w:rFonts w:ascii="Verdana" w:hAnsi="Verdana" w:eastAsia="Calibri" w:cs="Arial"/>
                <w:color w:val="000000" w:themeColor="text1"/>
                <w:lang w:val="es-ES"/>
              </w:rPr>
              <w:t xml:space="preserve"> los parágrafos adicionados por los Decretos 399 de 2021, 579 de 2021 y 1041 de 2022 </w:t>
            </w:r>
            <w:r w:rsidR="00CD638B">
              <w:rPr>
                <w:rFonts w:ascii="Verdana" w:hAnsi="Verdana" w:eastAsia="Calibri" w:cs="Arial"/>
                <w:color w:val="000000" w:themeColor="text1"/>
                <w:lang w:val="es-ES"/>
              </w:rPr>
              <w:t xml:space="preserve">perdieron su vigencia </w:t>
            </w:r>
            <w:r w:rsidRPr="00720FD7" w:rsidR="00CD638B">
              <w:rPr>
                <w:rFonts w:ascii="Verdana" w:hAnsi="Verdana" w:eastAsia="Calibri" w:cs="Arial"/>
                <w:color w:val="000000" w:themeColor="text1"/>
                <w:lang w:val="es-ES"/>
              </w:rPr>
              <w:t xml:space="preserve">con la finalización de la emergencia sanitaria, pues el Decreto 1041 de 2022 –al prorrogar las medidas de los Decretos 399 y 579 de 2021– las extendió durante el 2023, vigencia fiscal que finalizó el 31 de diciembre pasado. Por ello, con la expiración de su vigencia y a falta de un reglamento que prorrogue las medidas adoptadas, la capacidad financiera y organizacional debe acreditarse a la Cámara de Comercio en las condiciones descritas en los numerales 1.3 y 2.3 del artículo 2.2.1.1.1.5.2 del Decreto 1082 de 2015. </w:t>
            </w:r>
          </w:p>
          <w:p w:rsidR="009D405C" w:rsidP="00943A7D" w:rsidRDefault="009D405C" w14:paraId="3BA2AE55" w14:textId="77777777">
            <w:pPr>
              <w:spacing w:line="276" w:lineRule="auto"/>
              <w:jc w:val="both"/>
              <w:rPr>
                <w:rFonts w:ascii="Verdana" w:hAnsi="Verdana" w:eastAsia="Calibri" w:cs="Arial"/>
                <w:color w:val="000000" w:themeColor="text1"/>
                <w:lang w:val="es-ES"/>
              </w:rPr>
            </w:pPr>
          </w:p>
          <w:p w:rsidR="009D405C" w:rsidP="009D405C" w:rsidRDefault="009D405C" w14:paraId="6B06D69B" w14:textId="77777777">
            <w:pPr>
              <w:spacing w:line="276" w:lineRule="auto"/>
              <w:jc w:val="both"/>
              <w:rPr>
                <w:rFonts w:ascii="Verdana" w:hAnsi="Verdana" w:eastAsia="Calibri" w:cs="Arial"/>
                <w:color w:val="000000" w:themeColor="text1"/>
                <w:lang w:val="es-ES"/>
              </w:rPr>
            </w:pPr>
            <w:r w:rsidRPr="00720FD7">
              <w:rPr>
                <w:rFonts w:ascii="Verdana" w:hAnsi="Verdana" w:eastAsia="Calibri" w:cs="Arial"/>
                <w:color w:val="000000" w:themeColor="text1"/>
                <w:lang w:val="es-ES"/>
              </w:rPr>
              <w:t>En ese sentido, debe tenerse en cuenta que por no existir una norma que amplié a la vigencia 2024 las medidas adoptadas en los Decretos 399 y 579 de 2021 y Decreto 1041 de 2022, aquellas personas que partir del 1° de enero de 2024 realicen la inscripción o renovación del Registro Único de Proponentes solo podrán reportar ante las Cámaras de Comercio la información contable y los estados financieros del último año fiscal. Asimismo, es menester precisar que los proponentes que a la fecha no hayan realizado la respectiva actualización podrán acreditar la capacidad financiera dentro de un Proceso de Contratación con el RUP vigente, teniendo en cuenta que allí también reposa la información correspondiente al último año fiscal.</w:t>
            </w:r>
          </w:p>
          <w:p w:rsidRPr="00720FD7" w:rsidR="00CD638B" w:rsidP="00943A7D" w:rsidRDefault="00CD638B" w14:paraId="2C15FEDF" w14:textId="32352921">
            <w:pPr>
              <w:spacing w:line="276" w:lineRule="auto"/>
              <w:jc w:val="both"/>
              <w:rPr>
                <w:rFonts w:ascii="Verdana" w:hAnsi="Verdana" w:eastAsia="Calibri" w:cs="Arial"/>
                <w:color w:val="000000" w:themeColor="text1"/>
                <w:lang w:val="es-ES"/>
              </w:rPr>
            </w:pPr>
            <w:r w:rsidRPr="00720FD7">
              <w:rPr>
                <w:rFonts w:ascii="Verdana" w:hAnsi="Verdana" w:eastAsia="Calibri" w:cs="Arial"/>
                <w:color w:val="000000" w:themeColor="text1"/>
                <w:lang w:val="es-ES"/>
              </w:rPr>
              <w:t xml:space="preserve"> </w:t>
            </w:r>
          </w:p>
          <w:p w:rsidRPr="00720FD7" w:rsidR="00CD638B" w:rsidP="00943A7D" w:rsidRDefault="00CD638B" w14:paraId="62DF7A84" w14:textId="3C77A13E">
            <w:pPr>
              <w:spacing w:line="276" w:lineRule="auto"/>
              <w:jc w:val="both"/>
              <w:rPr>
                <w:rFonts w:ascii="Verdana" w:hAnsi="Verdana" w:eastAsia="Calibri" w:cs="Arial"/>
                <w:color w:val="000000" w:themeColor="text1"/>
                <w:lang w:val="es-ES"/>
              </w:rPr>
            </w:pPr>
            <w:r w:rsidRPr="00720FD7">
              <w:rPr>
                <w:rFonts w:ascii="Verdana" w:hAnsi="Verdana" w:eastAsia="Calibri" w:cs="Arial"/>
                <w:color w:val="000000" w:themeColor="text1"/>
                <w:lang w:val="es-ES"/>
              </w:rPr>
              <w:t>Así,</w:t>
            </w:r>
            <w:r w:rsidR="009D405C">
              <w:rPr>
                <w:rFonts w:ascii="Verdana" w:hAnsi="Verdana" w:eastAsia="Calibri" w:cs="Arial"/>
                <w:color w:val="000000" w:themeColor="text1"/>
                <w:lang w:val="es-ES"/>
              </w:rPr>
              <w:t xml:space="preserve"> hoy en la normatividad vigente </w:t>
            </w:r>
            <w:r w:rsidRPr="00720FD7">
              <w:rPr>
                <w:rFonts w:ascii="Verdana" w:hAnsi="Verdana" w:eastAsia="Calibri" w:cs="Arial"/>
                <w:color w:val="000000" w:themeColor="text1"/>
                <w:lang w:val="es-ES"/>
              </w:rPr>
              <w:t>tratándose de personas naturales obligadas a llevar contabilidad, deben presentar copia de la información contable del último año exigida por las normas tributarias. En contraste, las 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rsidRPr="00720FD7" w:rsidR="00CD638B" w:rsidP="00943A7D" w:rsidRDefault="00CD638B" w14:paraId="326BFB10" w14:textId="0673ED2D">
            <w:pPr>
              <w:spacing w:line="276" w:lineRule="auto"/>
              <w:jc w:val="both"/>
              <w:rPr>
                <w:rFonts w:ascii="Verdana" w:hAnsi="Verdana" w:eastAsia="Calibri" w:cs="Arial"/>
                <w:color w:val="000000" w:themeColor="text1"/>
                <w:lang w:val="es-ES"/>
              </w:rPr>
            </w:pPr>
          </w:p>
          <w:p w:rsidRPr="00720FD7" w:rsidR="00CD638B" w:rsidP="00943A7D" w:rsidRDefault="00CD638B" w14:paraId="5CFAFA62" w14:textId="10C2FC79">
            <w:pPr>
              <w:spacing w:line="276" w:lineRule="auto"/>
              <w:jc w:val="both"/>
              <w:rPr>
                <w:rFonts w:ascii="Verdana" w:hAnsi="Verdana" w:eastAsia="Calibri" w:cs="Arial"/>
                <w:color w:val="000000" w:themeColor="text1"/>
                <w:lang w:val="es-ES"/>
              </w:rPr>
            </w:pPr>
            <w:r w:rsidRPr="00720FD7">
              <w:rPr>
                <w:rFonts w:ascii="Verdana" w:hAnsi="Verdana" w:eastAsia="Calibri" w:cs="Arial"/>
                <w:color w:val="000000" w:themeColor="text1"/>
                <w:lang w:val="es-ES"/>
              </w:rPr>
              <w:t>En consecuencia, una interpretación razonable permite concluir que a partir del 1° de enero de 2024 los indicadores deben acreditarse frente a la Cámara de Comercio conforme a las reglas de generales del Decreto 1082 de 2015, es decir, con la información contable del año inmediatamente anterior –nums. 1.3 y 2.3 del artículo 2.2.1.1.1.5.2 del Decreto 1082 de 2015–.</w:t>
            </w:r>
          </w:p>
          <w:p w:rsidR="00CD638B" w:rsidP="00943A7D" w:rsidRDefault="00CD638B" w14:paraId="645F3675" w14:textId="20776CD3">
            <w:pPr>
              <w:spacing w:line="276" w:lineRule="auto"/>
              <w:jc w:val="both"/>
              <w:rPr>
                <w:rFonts w:ascii="Verdana" w:hAnsi="Verdana" w:eastAsia="Calibri" w:cs="Arial"/>
                <w:color w:val="000000" w:themeColor="text1"/>
                <w:lang w:val="es-ES"/>
              </w:rPr>
            </w:pPr>
            <w:r w:rsidRPr="00720FD7">
              <w:rPr>
                <w:rFonts w:ascii="Verdana" w:hAnsi="Verdana" w:eastAsia="Calibri" w:cs="Arial"/>
                <w:color w:val="000000" w:themeColor="text1"/>
                <w:lang w:val="es-ES"/>
              </w:rPr>
              <w:t xml:space="preserve"> </w:t>
            </w:r>
          </w:p>
          <w:p w:rsidRPr="004D12FA" w:rsidR="00CD638B" w:rsidP="00943A7D" w:rsidRDefault="00C84D15" w14:paraId="33B90657" w14:textId="4CC003AD">
            <w:pPr>
              <w:spacing w:line="276" w:lineRule="auto"/>
              <w:jc w:val="both"/>
              <w:rPr>
                <w:rFonts w:ascii="Verdana" w:hAnsi="Verdana" w:eastAsia="Calibri" w:cs="Arial"/>
                <w:color w:val="000000" w:themeColor="text1"/>
              </w:rPr>
            </w:pPr>
            <w:r>
              <w:rPr>
                <w:rFonts w:ascii="Verdana" w:hAnsi="Verdana" w:eastAsia="Calibri" w:cs="Arial"/>
                <w:color w:val="000000" w:themeColor="text1"/>
                <w:lang w:val="es-ES"/>
              </w:rPr>
              <w:t xml:space="preserve">Respecto al segundo interrogante planteado, </w:t>
            </w:r>
            <w:r>
              <w:rPr>
                <w:rFonts w:ascii="Verdana" w:hAnsi="Verdana" w:eastAsia="Calibri" w:cs="Arial"/>
                <w:color w:val="000000" w:themeColor="text1"/>
              </w:rPr>
              <w:t>c</w:t>
            </w:r>
            <w:r w:rsidRPr="004D12FA" w:rsidR="00CD638B">
              <w:rPr>
                <w:rFonts w:ascii="Verdana" w:hAnsi="Verdana" w:eastAsia="Calibri" w:cs="Arial"/>
                <w:color w:val="000000" w:themeColor="text1"/>
              </w:rPr>
              <w:t>onforme con lo establecido en el parágrafo 7º de</w:t>
            </w:r>
            <w:r>
              <w:rPr>
                <w:rFonts w:ascii="Verdana" w:hAnsi="Verdana" w:eastAsia="Calibri" w:cs="Arial"/>
                <w:color w:val="000000" w:themeColor="text1"/>
              </w:rPr>
              <w:t xml:space="preserve">l articulo 2 de </w:t>
            </w:r>
            <w:r w:rsidRPr="004D12FA" w:rsidR="00CD638B">
              <w:rPr>
                <w:rFonts w:ascii="Verdana" w:hAnsi="Verdana" w:eastAsia="Calibri" w:cs="Arial"/>
                <w:color w:val="000000" w:themeColor="text1"/>
              </w:rPr>
              <w:t xml:space="preserve"> la </w:t>
            </w:r>
            <w:r w:rsidR="00CD638B">
              <w:rPr>
                <w:rFonts w:ascii="Verdana" w:hAnsi="Verdana" w:eastAsia="Calibri" w:cs="Arial"/>
                <w:color w:val="000000" w:themeColor="text1"/>
              </w:rPr>
              <w:t>L</w:t>
            </w:r>
            <w:r w:rsidRPr="004D12FA" w:rsidR="00CD638B">
              <w:rPr>
                <w:rFonts w:ascii="Verdana" w:hAnsi="Verdana" w:eastAsia="Calibri" w:cs="Arial"/>
                <w:color w:val="000000" w:themeColor="text1"/>
              </w:rPr>
              <w:t xml:space="preserve">ey 1150 de 2007 (adicionado de acuerdo </w:t>
            </w:r>
            <w:r w:rsidR="00CD638B">
              <w:rPr>
                <w:rFonts w:ascii="Verdana" w:hAnsi="Verdana" w:eastAsia="Calibri" w:cs="Arial"/>
                <w:color w:val="000000" w:themeColor="text1"/>
              </w:rPr>
              <w:t>con</w:t>
            </w:r>
            <w:r w:rsidRPr="004D12FA" w:rsidR="00CD638B">
              <w:rPr>
                <w:rFonts w:ascii="Verdana" w:hAnsi="Verdana" w:eastAsia="Calibri" w:cs="Arial"/>
                <w:color w:val="000000" w:themeColor="text1"/>
              </w:rPr>
              <w:t xml:space="preserve"> las disposiciones de la Ley 2022 de 2020),</w:t>
            </w:r>
            <w:r>
              <w:rPr>
                <w:rFonts w:ascii="Verdana" w:hAnsi="Verdana" w:eastAsia="Calibri" w:cs="Arial"/>
                <w:color w:val="000000" w:themeColor="text1"/>
              </w:rPr>
              <w:t xml:space="preserve"> se señalo que </w:t>
            </w:r>
            <w:r w:rsidRPr="004D12FA" w:rsidR="00CD638B">
              <w:rPr>
                <w:rFonts w:ascii="Verdana" w:hAnsi="Verdana" w:eastAsia="Calibri" w:cs="Arial"/>
                <w:color w:val="000000" w:themeColor="text1"/>
              </w:rPr>
              <w:t xml:space="preserve"> “La Agencia Nacional de Contratación Pública Colombia Compra Eficiente o quien haga sus veces, adoptará documentos tipo que serán de </w:t>
            </w:r>
            <w:r w:rsidRPr="007D19D0" w:rsidR="00CD638B">
              <w:rPr>
                <w:rFonts w:ascii="Verdana" w:hAnsi="Verdana" w:eastAsia="Calibri" w:cs="Arial"/>
                <w:b/>
                <w:bCs/>
                <w:color w:val="000000" w:themeColor="text1"/>
              </w:rPr>
              <w:t>obligatorio cumplimiento</w:t>
            </w:r>
            <w:r w:rsidRPr="004D12FA" w:rsidR="00CD638B">
              <w:rPr>
                <w:rFonts w:ascii="Verdana" w:hAnsi="Verdana" w:eastAsia="Calibri" w:cs="Arial"/>
                <w:color w:val="000000" w:themeColor="text1"/>
              </w:rPr>
              <w:t xml:space="preserve"> en la actividad contractual de todas las entidades sometidas al Estatuto General de Contratación de la Administración Pública.</w:t>
            </w:r>
          </w:p>
          <w:p w:rsidRPr="004D12FA" w:rsidR="00CD638B" w:rsidP="00943A7D" w:rsidRDefault="00CD638B" w14:paraId="5C34F74B" w14:textId="77777777">
            <w:pPr>
              <w:spacing w:line="276" w:lineRule="auto"/>
              <w:jc w:val="both"/>
              <w:rPr>
                <w:rFonts w:ascii="Verdana" w:hAnsi="Verdana" w:eastAsia="Calibri" w:cs="Arial"/>
                <w:color w:val="000000" w:themeColor="text1"/>
              </w:rPr>
            </w:pPr>
            <w:r w:rsidRPr="004D12FA">
              <w:rPr>
                <w:rFonts w:ascii="Verdana" w:hAnsi="Verdana" w:eastAsia="Calibri" w:cs="Arial"/>
                <w:color w:val="000000" w:themeColor="text1"/>
              </w:rPr>
              <w:t> </w:t>
            </w:r>
          </w:p>
          <w:p w:rsidR="00CD638B" w:rsidP="00943A7D" w:rsidRDefault="00CD638B" w14:paraId="76FFE138" w14:textId="77777777">
            <w:pPr>
              <w:spacing w:line="276" w:lineRule="auto"/>
              <w:jc w:val="both"/>
              <w:rPr>
                <w:rFonts w:ascii="Verdana" w:hAnsi="Verdana" w:eastAsia="Calibri" w:cs="Arial"/>
                <w:color w:val="000000" w:themeColor="text1"/>
              </w:rPr>
            </w:pPr>
            <w:r w:rsidRPr="004D12FA">
              <w:rPr>
                <w:rFonts w:ascii="Verdana" w:hAnsi="Verdana" w:eastAsia="Calibri" w:cs="Arial"/>
                <w:color w:val="000000" w:themeColor="text1"/>
              </w:rPr>
              <w:t>Dentro de estos documentos tipo, se establecerán los </w:t>
            </w:r>
            <w:r w:rsidRPr="004D12FA">
              <w:rPr>
                <w:rFonts w:ascii="Verdana" w:hAnsi="Verdana" w:eastAsia="Calibri" w:cs="Arial"/>
                <w:b/>
                <w:bCs/>
                <w:color w:val="000000" w:themeColor="text1"/>
              </w:rPr>
              <w:t>requisitos habilitantes</w:t>
            </w:r>
            <w:r w:rsidRPr="004D12FA">
              <w:rPr>
                <w:rFonts w:ascii="Verdana" w:hAnsi="Verdana" w:eastAsia="Calibri" w:cs="Arial"/>
                <w:color w:val="000000" w:themeColor="text1"/>
              </w:rPr>
              <w:t>, factores técnicos, económicos y otros factores de escogencia, así como aquellos requisitos que, previa justificación, representen buenas prácticas contractuales que procuren el adecuado desarrollo de los principios que rigen la contratación pública”. (…)</w:t>
            </w:r>
          </w:p>
          <w:p w:rsidR="00E70BDC" w:rsidP="00943A7D" w:rsidRDefault="00E70BDC" w14:paraId="5B7CFD46" w14:textId="77777777">
            <w:pPr>
              <w:spacing w:line="276" w:lineRule="auto"/>
              <w:jc w:val="both"/>
              <w:rPr>
                <w:rFonts w:ascii="Verdana" w:hAnsi="Verdana" w:eastAsia="Calibri" w:cs="Arial"/>
                <w:color w:val="000000" w:themeColor="text1"/>
              </w:rPr>
            </w:pPr>
          </w:p>
          <w:p w:rsidRPr="004D12FA" w:rsidR="00E70BDC" w:rsidP="00943A7D" w:rsidRDefault="00E70BDC" w14:paraId="0383F77E" w14:textId="4B7AAB61">
            <w:pPr>
              <w:spacing w:line="276" w:lineRule="auto"/>
              <w:jc w:val="both"/>
              <w:rPr>
                <w:rFonts w:ascii="Verdana" w:hAnsi="Verdana" w:eastAsia="Calibri" w:cs="Arial"/>
                <w:color w:val="000000" w:themeColor="text1"/>
              </w:rPr>
            </w:pPr>
            <w:r>
              <w:rPr>
                <w:rFonts w:ascii="Verdana" w:hAnsi="Verdana" w:eastAsia="Calibri" w:cs="Arial"/>
                <w:color w:val="000000" w:themeColor="text1"/>
              </w:rPr>
              <w:t>Ahora bien, e</w:t>
            </w:r>
            <w:r w:rsidRPr="00E70BDC">
              <w:rPr>
                <w:rFonts w:ascii="Verdana" w:hAnsi="Verdana" w:eastAsia="Calibri" w:cs="Arial"/>
                <w:color w:val="000000" w:themeColor="text1"/>
              </w:rPr>
              <w:t xml:space="preserve">l artículo 2.2.1.2.6.1.4. del Decreto 1082 de 2015 establece la inalterabilidad de los Documentos Tipo, </w:t>
            </w:r>
            <w:r>
              <w:rPr>
                <w:rFonts w:ascii="Verdana" w:hAnsi="Verdana" w:eastAsia="Calibri" w:cs="Arial"/>
                <w:color w:val="000000" w:themeColor="text1"/>
              </w:rPr>
              <w:t xml:space="preserve">la cual </w:t>
            </w:r>
            <w:r w:rsidRPr="00E70BDC">
              <w:rPr>
                <w:rFonts w:ascii="Verdana" w:hAnsi="Verdana" w:eastAsia="Calibri" w:cs="Arial"/>
                <w:color w:val="000000" w:themeColor="text1"/>
              </w:rPr>
              <w:t xml:space="preserve">consiste en que las entidades estatales no pueden incluir o modificar en los documentos del proceso las </w:t>
            </w:r>
            <w:r w:rsidRPr="00E70BDC">
              <w:rPr>
                <w:rFonts w:ascii="Verdana" w:hAnsi="Verdana" w:eastAsia="Calibri" w:cs="Arial"/>
                <w:color w:val="000000" w:themeColor="text1"/>
              </w:rPr>
              <w:t xml:space="preserve">condiciones habilitantes, los factores técnicos y económicos de escogencia y los sistemas de ponderación distintos a los señalados en los Documentos Tipo. </w:t>
            </w:r>
          </w:p>
          <w:p w:rsidRPr="004D12FA" w:rsidR="00CD638B" w:rsidP="00943A7D" w:rsidRDefault="00CD638B" w14:paraId="51700D8A" w14:textId="77777777">
            <w:pPr>
              <w:spacing w:line="276" w:lineRule="auto"/>
              <w:jc w:val="both"/>
              <w:rPr>
                <w:rFonts w:ascii="Verdana" w:hAnsi="Verdana" w:eastAsia="Calibri" w:cs="Arial"/>
                <w:color w:val="000000" w:themeColor="text1"/>
              </w:rPr>
            </w:pPr>
            <w:r w:rsidRPr="004D12FA">
              <w:rPr>
                <w:rFonts w:ascii="Verdana" w:hAnsi="Verdana" w:eastAsia="Calibri" w:cs="Arial"/>
                <w:color w:val="000000" w:themeColor="text1"/>
              </w:rPr>
              <w:t> </w:t>
            </w:r>
          </w:p>
          <w:p w:rsidRPr="00593A5F" w:rsidR="00CD638B" w:rsidP="00943A7D" w:rsidRDefault="00CD638B" w14:paraId="52C44C0F" w14:textId="69F72F63">
            <w:pPr>
              <w:spacing w:line="276" w:lineRule="auto"/>
              <w:jc w:val="both"/>
              <w:rPr>
                <w:rFonts w:ascii="Verdana" w:hAnsi="Verdana" w:eastAsia="Calibri" w:cs="Arial"/>
                <w:color w:val="7030A0"/>
                <w:lang w:val="es-ES"/>
              </w:rPr>
            </w:pPr>
            <w:r w:rsidRPr="004D12FA">
              <w:rPr>
                <w:rFonts w:ascii="Verdana" w:hAnsi="Verdana" w:eastAsia="Calibri" w:cs="Arial"/>
                <w:color w:val="000000" w:themeColor="text1"/>
              </w:rPr>
              <w:t xml:space="preserve">Toda vez que </w:t>
            </w:r>
            <w:r w:rsidR="00C84D15">
              <w:rPr>
                <w:rFonts w:ascii="Verdana" w:hAnsi="Verdana" w:eastAsia="Calibri" w:cs="Arial"/>
                <w:color w:val="000000" w:themeColor="text1"/>
              </w:rPr>
              <w:t>el</w:t>
            </w:r>
            <w:r w:rsidRPr="004D12FA">
              <w:rPr>
                <w:rFonts w:ascii="Verdana" w:hAnsi="Verdana" w:eastAsia="Calibri" w:cs="Arial"/>
                <w:color w:val="000000" w:themeColor="text1"/>
              </w:rPr>
              <w:t xml:space="preserve"> </w:t>
            </w:r>
            <w:r w:rsidRPr="004D12FA">
              <w:rPr>
                <w:rFonts w:ascii="Verdana" w:hAnsi="Verdana" w:eastAsia="Calibri" w:cs="Arial"/>
                <w:b/>
                <w:bCs/>
                <w:color w:val="000000" w:themeColor="text1"/>
              </w:rPr>
              <w:t>indicador de capacidad financiera hace parte de los requisitos habilitantes exigibles en procesos de selección</w:t>
            </w:r>
            <w:r w:rsidRPr="004D12FA">
              <w:rPr>
                <w:rFonts w:ascii="Verdana" w:hAnsi="Verdana" w:eastAsia="Calibri" w:cs="Arial"/>
                <w:color w:val="000000" w:themeColor="text1"/>
              </w:rPr>
              <w:t xml:space="preserve"> </w:t>
            </w:r>
            <w:r w:rsidR="00C84D15">
              <w:rPr>
                <w:rFonts w:ascii="Verdana" w:hAnsi="Verdana" w:eastAsia="Calibri" w:cs="Arial"/>
                <w:color w:val="000000" w:themeColor="text1"/>
              </w:rPr>
              <w:t>cuando el proceso sea adelantado mediante un pliego tipo, este requisito se evaluar</w:t>
            </w:r>
            <w:r w:rsidR="008F4F27">
              <w:rPr>
                <w:rFonts w:ascii="Verdana" w:hAnsi="Verdana" w:eastAsia="Calibri" w:cs="Arial"/>
                <w:color w:val="000000" w:themeColor="text1"/>
              </w:rPr>
              <w:t>á</w:t>
            </w:r>
            <w:r w:rsidR="00C84D15">
              <w:rPr>
                <w:rFonts w:ascii="Verdana" w:hAnsi="Verdana" w:eastAsia="Calibri" w:cs="Arial"/>
                <w:color w:val="000000" w:themeColor="text1"/>
              </w:rPr>
              <w:t xml:space="preserve"> conforme este lo señale.-</w:t>
            </w:r>
          </w:p>
        </w:tc>
      </w:tr>
      <w:tr w:rsidRPr="00593A5F" w:rsidR="00CD638B" w:rsidTr="00943A7D" w14:paraId="681E6679" w14:textId="77777777">
        <w:tc>
          <w:tcPr>
            <w:tcW w:w="8828" w:type="dxa"/>
            <w:shd w:val="clear" w:color="auto" w:fill="auto"/>
          </w:tcPr>
          <w:p w:rsidRPr="002973E9" w:rsidR="00CD638B" w:rsidP="00943A7D" w:rsidRDefault="00CD638B" w14:paraId="4D5F9D32" w14:textId="77777777">
            <w:pPr>
              <w:spacing w:line="276" w:lineRule="auto"/>
              <w:jc w:val="both"/>
              <w:rPr>
                <w:rFonts w:ascii="Verdana" w:hAnsi="Verdana" w:eastAsia="Calibri" w:cs="Arial"/>
                <w:lang w:val="es-ES"/>
              </w:rPr>
            </w:pPr>
          </w:p>
        </w:tc>
      </w:tr>
    </w:tbl>
    <w:p w:rsidR="00CD638B" w:rsidP="00CD638B" w:rsidRDefault="00CD638B" w14:paraId="714E0B97" w14:textId="77777777">
      <w:pPr>
        <w:tabs>
          <w:tab w:val="left" w:pos="142"/>
          <w:tab w:val="left" w:pos="284"/>
        </w:tabs>
        <w:spacing w:after="0" w:line="276" w:lineRule="auto"/>
        <w:jc w:val="both"/>
        <w:rPr>
          <w:rFonts w:ascii="Verdana" w:hAnsi="Verdana" w:eastAsia="Century Gothic" w:cs="Century Gothic"/>
          <w:b/>
          <w:bCs/>
          <w:lang w:val="es-ES"/>
        </w:rPr>
      </w:pPr>
    </w:p>
    <w:p w:rsidRPr="00593A5F" w:rsidR="00CD638B" w:rsidP="00CD638B" w:rsidRDefault="00CD638B" w14:paraId="5A1FA5AD"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Razones de la respuesta:</w:t>
      </w:r>
    </w:p>
    <w:p w:rsidRPr="00593A5F" w:rsidR="00CD638B" w:rsidP="00CD638B" w:rsidRDefault="00CD638B" w14:paraId="0B23C793" w14:textId="77777777">
      <w:pPr>
        <w:spacing w:after="0" w:line="276" w:lineRule="auto"/>
        <w:jc w:val="both"/>
        <w:rPr>
          <w:rFonts w:ascii="Verdana" w:hAnsi="Verdana" w:eastAsia="Calibri" w:cs="Arial"/>
          <w:color w:val="7030A0"/>
          <w:lang w:val="es-ES"/>
        </w:rPr>
      </w:pPr>
    </w:p>
    <w:p w:rsidRPr="00B96799" w:rsidR="00CD638B" w:rsidP="00CD638B" w:rsidRDefault="00CD638B" w14:paraId="76AC1130" w14:textId="77777777">
      <w:pPr>
        <w:spacing w:after="0" w:line="276" w:lineRule="auto"/>
        <w:jc w:val="both"/>
        <w:rPr>
          <w:rFonts w:ascii="Verdana" w:hAnsi="Verdana" w:eastAsia="Calibri" w:cs="Arial"/>
          <w:lang w:val="es-ES"/>
        </w:rPr>
      </w:pPr>
      <w:r w:rsidRPr="00B96799">
        <w:rPr>
          <w:rFonts w:ascii="Verdana" w:hAnsi="Verdana" w:eastAsia="Calibri" w:cs="Arial"/>
          <w:lang w:val="es-ES"/>
        </w:rPr>
        <w:t xml:space="preserve">Lo anterior se sustenta en las siguientes consideraciones: </w:t>
      </w:r>
    </w:p>
    <w:p w:rsidRPr="00593A5F" w:rsidR="00CD638B" w:rsidP="00CD638B" w:rsidRDefault="00CD638B" w14:paraId="421C66E2" w14:textId="77777777">
      <w:pPr>
        <w:spacing w:after="0" w:line="276" w:lineRule="auto"/>
        <w:jc w:val="both"/>
        <w:rPr>
          <w:rFonts w:ascii="Verdana" w:hAnsi="Verdana" w:eastAsia="Calibri" w:cs="Arial"/>
          <w:color w:val="7030A0"/>
          <w:lang w:val="es-ES"/>
        </w:rPr>
      </w:pPr>
    </w:p>
    <w:p w:rsidRPr="00880B0C" w:rsidR="00CD638B" w:rsidP="00CD638B" w:rsidRDefault="00CD638B" w14:paraId="629A4F7B" w14:textId="77777777">
      <w:pPr>
        <w:pStyle w:val="Prrafodelista"/>
        <w:spacing w:line="276" w:lineRule="auto"/>
        <w:jc w:val="both"/>
        <w:rPr>
          <w:rFonts w:ascii="Verdana" w:hAnsi="Verdana" w:eastAsia="Calibri" w:cs="Arial"/>
          <w:color w:val="000000" w:themeColor="text1"/>
          <w:lang w:val="es-CO"/>
        </w:rPr>
      </w:pPr>
    </w:p>
    <w:p w:rsidR="00CD638B" w:rsidP="00CD638B" w:rsidRDefault="00CD638B" w14:paraId="54E814FF" w14:textId="77777777">
      <w:pPr>
        <w:pStyle w:val="Prrafodelista"/>
        <w:numPr>
          <w:ilvl w:val="0"/>
          <w:numId w:val="17"/>
        </w:numPr>
        <w:spacing w:line="276" w:lineRule="auto"/>
        <w:jc w:val="both"/>
        <w:rPr>
          <w:rFonts w:ascii="Verdana" w:hAnsi="Verdana" w:eastAsia="Calibri" w:cs="Arial"/>
          <w:color w:val="000000" w:themeColor="text1"/>
          <w:lang w:val="es-CO"/>
        </w:rPr>
      </w:pPr>
      <w:r w:rsidRPr="00880B0C">
        <w:rPr>
          <w:rFonts w:ascii="Verdana" w:hAnsi="Verdana" w:eastAsia="Calibri" w:cs="Arial"/>
          <w:color w:val="000000" w:themeColor="text1"/>
          <w:lang w:val="es-CO"/>
        </w:rPr>
        <w:t xml:space="preserve">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rsidRPr="009E2F31" w:rsidR="009E2F31" w:rsidP="009E2F31" w:rsidRDefault="009E2F31" w14:paraId="528D9CAA" w14:textId="77777777">
      <w:pPr>
        <w:pStyle w:val="Prrafodelista"/>
        <w:rPr>
          <w:rFonts w:ascii="Verdana" w:hAnsi="Verdana" w:eastAsia="Calibri" w:cs="Arial"/>
          <w:color w:val="000000" w:themeColor="text1"/>
          <w:lang w:val="es-CO"/>
        </w:rPr>
      </w:pPr>
    </w:p>
    <w:p w:rsidRPr="009E2F31" w:rsidR="009E2F31" w:rsidP="00CD638B" w:rsidRDefault="009E2F31" w14:paraId="0C667B1C" w14:textId="2CEB1873">
      <w:pPr>
        <w:pStyle w:val="Prrafodelista"/>
        <w:numPr>
          <w:ilvl w:val="0"/>
          <w:numId w:val="17"/>
        </w:numPr>
        <w:spacing w:line="276" w:lineRule="auto"/>
        <w:jc w:val="both"/>
        <w:rPr>
          <w:rFonts w:ascii="Verdana" w:hAnsi="Verdana" w:eastAsia="Calibri" w:cs="Arial"/>
          <w:color w:val="000000" w:themeColor="text1"/>
          <w:lang w:val="es-CO"/>
        </w:rPr>
      </w:pPr>
      <w:r w:rsidRPr="009E2F31">
        <w:rPr>
          <w:rFonts w:ascii="Verdana" w:hAnsi="Verdana"/>
        </w:rPr>
        <w:t xml:space="preserve">Específicamente, el numeral 1º del artículo 5 de la Ley 1150 de 2007 establece que en los procesos de selección de contratistas serán objeto de verificación, como requisitos habilitantes, entre otros, los siguientes: i) la capacidad jurídica; ii) la experiencia; iii) </w:t>
      </w:r>
      <w:r w:rsidRPr="009E2F31">
        <w:rPr>
          <w:rFonts w:ascii="Verdana" w:hAnsi="Verdana" w:cs="FAAABA+Verdana-Bold"/>
          <w:b/>
          <w:bCs/>
        </w:rPr>
        <w:t xml:space="preserve">la capacidad financiera </w:t>
      </w:r>
      <w:r w:rsidRPr="009E2F31">
        <w:rPr>
          <w:rFonts w:ascii="Verdana" w:hAnsi="Verdana"/>
        </w:rPr>
        <w:t>y iv) la capacidad de organización</w:t>
      </w:r>
      <w:r w:rsidRPr="009E2F31">
        <w:rPr>
          <w:rStyle w:val="Refdenotaalpie"/>
          <w:rFonts w:ascii="Verdana" w:hAnsi="Verdana" w:eastAsia="Calibri" w:cs="Arial"/>
          <w:color w:val="000000" w:themeColor="text1"/>
          <w:lang w:val="es-CO"/>
        </w:rPr>
        <w:footnoteReference w:id="2"/>
      </w:r>
    </w:p>
    <w:p w:rsidRPr="009E2F31" w:rsidR="00CD638B" w:rsidP="00CD638B" w:rsidRDefault="00CD638B" w14:paraId="667A6961" w14:textId="77777777">
      <w:pPr>
        <w:pStyle w:val="Prrafodelista"/>
        <w:spacing w:line="276" w:lineRule="auto"/>
        <w:jc w:val="both"/>
        <w:rPr>
          <w:rFonts w:ascii="Verdana" w:hAnsi="Verdana" w:eastAsia="Calibri" w:cs="Arial"/>
          <w:color w:val="000000" w:themeColor="text1"/>
          <w:lang w:val="es-CO"/>
        </w:rPr>
      </w:pPr>
    </w:p>
    <w:p w:rsidRPr="009E2F31" w:rsidR="009E2F31" w:rsidP="009E2F31" w:rsidRDefault="00CD638B" w14:paraId="26D4D5B4" w14:textId="52458D4F">
      <w:pPr>
        <w:pStyle w:val="Prrafodelista"/>
        <w:numPr>
          <w:ilvl w:val="0"/>
          <w:numId w:val="17"/>
        </w:numPr>
        <w:spacing w:line="276" w:lineRule="auto"/>
        <w:jc w:val="both"/>
        <w:rPr>
          <w:rFonts w:ascii="Verdana" w:hAnsi="Verdana" w:eastAsia="Calibri" w:cs="Arial"/>
          <w:color w:val="000000" w:themeColor="text1"/>
          <w:lang w:val="es-CO"/>
        </w:rPr>
      </w:pPr>
      <w:r w:rsidRPr="00880B0C">
        <w:rPr>
          <w:rFonts w:ascii="Verdana" w:hAnsi="Verdana" w:eastAsia="Calibri" w:cs="Arial"/>
          <w:color w:val="000000" w:themeColor="text1"/>
          <w:lang w:val="es-CO"/>
        </w:rPr>
        <w:t xml:space="preserve">Al respecto, la Entidad Estatal, como responsable de la estructuración de su procedimiento de selección, es autónoma para requerir la capacidad </w:t>
      </w:r>
      <w:r w:rsidRPr="00880B0C">
        <w:rPr>
          <w:rFonts w:ascii="Verdana" w:hAnsi="Verdana" w:eastAsia="Calibri" w:cs="Arial"/>
          <w:color w:val="000000" w:themeColor="text1"/>
          <w:lang w:val="es-CO"/>
        </w:rPr>
        <w:t>necesaria de acuerdo con el objeto contractual que se pretende satisfacer. Según el artículo 2.2.1.1.1.6.2 del Decreto 1082 de 2015, la Entidad Estatal debe tener en cuenta, para la determinación de la capacidad financiera y organizacional, el estudio del sector y sus componentes como la identificación de riesgos, el mercado y precio del bien, obra o servicio a contratar.</w:t>
      </w:r>
    </w:p>
    <w:p w:rsidRPr="00880B0C" w:rsidR="00CD638B" w:rsidP="00CD638B" w:rsidRDefault="00CD638B" w14:paraId="34025A29" w14:textId="77777777">
      <w:pPr>
        <w:pStyle w:val="Prrafodelista"/>
        <w:spacing w:line="276" w:lineRule="auto"/>
        <w:jc w:val="both"/>
        <w:rPr>
          <w:rFonts w:ascii="Verdana" w:hAnsi="Verdana" w:eastAsia="Calibri" w:cs="Arial"/>
          <w:color w:val="000000" w:themeColor="text1"/>
          <w:lang w:val="es-CO"/>
        </w:rPr>
      </w:pPr>
    </w:p>
    <w:p w:rsidR="008F4F27" w:rsidP="009E2F31" w:rsidRDefault="00CD638B" w14:paraId="413B8335" w14:textId="757625C7">
      <w:pPr>
        <w:pStyle w:val="Prrafodelista"/>
        <w:numPr>
          <w:ilvl w:val="0"/>
          <w:numId w:val="17"/>
        </w:numPr>
        <w:spacing w:line="276" w:lineRule="auto"/>
        <w:jc w:val="both"/>
        <w:rPr>
          <w:rFonts w:ascii="Verdana" w:hAnsi="Verdana" w:eastAsia="Calibri" w:cs="Arial"/>
          <w:color w:val="000000" w:themeColor="text1"/>
          <w:lang w:val="es-CO"/>
        </w:rPr>
      </w:pPr>
      <w:r w:rsidRPr="009E2F31">
        <w:rPr>
          <w:rFonts w:ascii="Verdana" w:hAnsi="Verdana" w:eastAsia="Calibri" w:cs="Arial"/>
          <w:color w:val="000000" w:themeColor="text1"/>
          <w:lang w:val="es-CO"/>
        </w:rPr>
        <w:t xml:space="preserve">La capacidad financiera se deriva del comportamiento contable de la empresa, su liquidez y endeudamiento, para determinar que sus recursos y solidez financiera le permita cumplir los compromisos que adquiera. Como explica esta Agencia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w:t>
      </w:r>
    </w:p>
    <w:p w:rsidRPr="002D5921" w:rsidR="009E2F31" w:rsidP="002D5921" w:rsidRDefault="009E2F31" w14:paraId="2882E503" w14:textId="77777777">
      <w:pPr>
        <w:pStyle w:val="Prrafodelista"/>
        <w:rPr>
          <w:rFonts w:ascii="Verdana" w:hAnsi="Verdana" w:eastAsia="Calibri" w:cs="Arial"/>
          <w:color w:val="000000" w:themeColor="text1"/>
          <w:lang w:val="es-CO"/>
        </w:rPr>
      </w:pPr>
    </w:p>
    <w:p w:rsidRPr="00880B0C" w:rsidR="00CD638B" w:rsidP="00CD638B" w:rsidRDefault="00CD638B" w14:paraId="60BDE8F5" w14:textId="77777777">
      <w:pPr>
        <w:pStyle w:val="Prrafodelista"/>
        <w:numPr>
          <w:ilvl w:val="0"/>
          <w:numId w:val="17"/>
        </w:numPr>
        <w:spacing w:line="276" w:lineRule="auto"/>
        <w:jc w:val="both"/>
        <w:rPr>
          <w:rFonts w:ascii="Verdana" w:hAnsi="Verdana" w:eastAsia="Calibri" w:cs="Arial"/>
          <w:color w:val="000000" w:themeColor="text1"/>
          <w:lang w:val="es-CO"/>
        </w:rPr>
      </w:pPr>
      <w:r w:rsidRPr="00880B0C">
        <w:rPr>
          <w:rFonts w:ascii="Verdana" w:hAnsi="Verdana" w:eastAsia="Calibri" w:cs="Arial"/>
          <w:color w:val="000000" w:themeColor="text1"/>
          <w:lang w:val="es-CO"/>
        </w:rPr>
        <w:t>Para acreditar los requisitos de la capacidad financiera, el artículo 5 de la Ley 1150 de 2007 y el artículo 2.2.1.1.1.5.3 del Decreto 1082 de 2015 indican que esto se realiza a través del RUP con los estados financieros del proponente, suscritos por el representante legal y el revisor fiscal, cuando aplique. De este modo, lo que se verifica con el registro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señalados en el artículo 2.2.1.1.1.5.3 del Decreto 1082 de 2015.</w:t>
      </w:r>
    </w:p>
    <w:p w:rsidRPr="00880B0C" w:rsidR="00CD638B" w:rsidP="00CD638B" w:rsidRDefault="00CD638B" w14:paraId="709EE188" w14:textId="77777777">
      <w:pPr>
        <w:pStyle w:val="Prrafodelista"/>
        <w:spacing w:line="276" w:lineRule="auto"/>
        <w:jc w:val="both"/>
        <w:rPr>
          <w:rFonts w:ascii="Verdana" w:hAnsi="Verdana" w:eastAsia="Calibri" w:cs="Arial"/>
          <w:color w:val="000000" w:themeColor="text1"/>
          <w:lang w:val="es-CO"/>
        </w:rPr>
      </w:pPr>
    </w:p>
    <w:p w:rsidR="009E2F31" w:rsidP="00CD638B" w:rsidRDefault="009E2F31" w14:paraId="16B8A429" w14:textId="71EA8332">
      <w:pPr>
        <w:pStyle w:val="Prrafodelista"/>
        <w:numPr>
          <w:ilvl w:val="0"/>
          <w:numId w:val="17"/>
        </w:numPr>
        <w:spacing w:line="276" w:lineRule="auto"/>
        <w:jc w:val="both"/>
        <w:rPr>
          <w:rFonts w:ascii="Verdana" w:hAnsi="Verdana" w:eastAsia="Calibri" w:cs="Arial"/>
          <w:color w:val="000000" w:themeColor="text1"/>
          <w:lang w:val="es-CO"/>
        </w:rPr>
      </w:pPr>
      <w:r w:rsidRPr="009E2F31">
        <w:rPr>
          <w:rFonts w:ascii="Verdana" w:hAnsi="Verdana" w:eastAsia="Calibri" w:cs="Arial"/>
          <w:color w:val="000000" w:themeColor="text1"/>
          <w:lang w:val="es-CO"/>
        </w:rPr>
        <w:t>Pues bien, se puede indicar que la capacidad financiera se deriva del comportamiento contable de la empresa</w:t>
      </w:r>
      <w:r w:rsidR="008F4F27">
        <w:rPr>
          <w:rFonts w:ascii="Verdana" w:hAnsi="Verdana" w:eastAsia="Calibri" w:cs="Arial"/>
          <w:color w:val="000000" w:themeColor="text1"/>
          <w:lang w:val="es-CO"/>
        </w:rPr>
        <w:t xml:space="preserve"> o de la persona natural</w:t>
      </w:r>
      <w:r w:rsidRPr="009E2F31">
        <w:rPr>
          <w:rFonts w:ascii="Verdana" w:hAnsi="Verdana" w:eastAsia="Calibri" w:cs="Arial"/>
          <w:color w:val="000000" w:themeColor="text1"/>
          <w:lang w:val="es-CO"/>
        </w:rPr>
        <w:t>, su liquidez y endeudamiento, para determinar que sus recursos y solidez financiera le permita</w:t>
      </w:r>
      <w:r w:rsidR="008F4F27">
        <w:rPr>
          <w:rFonts w:ascii="Verdana" w:hAnsi="Verdana" w:eastAsia="Calibri" w:cs="Arial"/>
          <w:color w:val="000000" w:themeColor="text1"/>
          <w:lang w:val="es-CO"/>
        </w:rPr>
        <w:t>n</w:t>
      </w:r>
      <w:r w:rsidRPr="009E2F31">
        <w:rPr>
          <w:rFonts w:ascii="Verdana" w:hAnsi="Verdana" w:eastAsia="Calibri" w:cs="Arial"/>
          <w:color w:val="000000" w:themeColor="text1"/>
          <w:lang w:val="es-CO"/>
        </w:rPr>
        <w:t xml:space="preserve"> cumplir los compromisos que adquiera.</w:t>
      </w:r>
    </w:p>
    <w:p w:rsidRPr="002D5921" w:rsidR="009E2F31" w:rsidP="002D5921" w:rsidRDefault="009E2F31" w14:paraId="447E6720" w14:textId="77777777">
      <w:pPr>
        <w:pStyle w:val="Prrafodelista"/>
        <w:rPr>
          <w:rFonts w:ascii="Verdana" w:hAnsi="Verdana" w:eastAsia="Calibri" w:cs="Arial"/>
          <w:color w:val="000000" w:themeColor="text1"/>
          <w:lang w:val="es-CO"/>
        </w:rPr>
      </w:pPr>
    </w:p>
    <w:p w:rsidR="00CD638B" w:rsidP="00CD638B" w:rsidRDefault="00CD638B" w14:paraId="1A3F1924" w14:textId="5055B764">
      <w:pPr>
        <w:pStyle w:val="Prrafodelista"/>
        <w:numPr>
          <w:ilvl w:val="0"/>
          <w:numId w:val="17"/>
        </w:numPr>
        <w:spacing w:line="276" w:lineRule="auto"/>
        <w:jc w:val="both"/>
        <w:rPr>
          <w:rFonts w:ascii="Verdana" w:hAnsi="Verdana" w:eastAsia="Calibri" w:cs="Arial"/>
          <w:color w:val="000000" w:themeColor="text1"/>
          <w:lang w:val="es-CO"/>
        </w:rPr>
      </w:pPr>
      <w:r w:rsidRPr="00880B0C">
        <w:rPr>
          <w:rFonts w:ascii="Verdana" w:hAnsi="Verdana" w:eastAsia="Calibri" w:cs="Arial"/>
          <w:color w:val="000000" w:themeColor="text1"/>
          <w:lang w:val="es-CO"/>
        </w:rPr>
        <w:t xml:space="preserve">Esta Agencia puso a disposición de los interesados el “Manual para determinar y verificar los requisitos habilitantes en los procesos de contratación”. En dicho Manual se plantean definiciones para cada </w:t>
      </w:r>
      <w:r w:rsidRPr="00880B0C">
        <w:rPr>
          <w:rFonts w:ascii="Verdana" w:hAnsi="Verdana" w:eastAsia="Calibri" w:cs="Arial"/>
          <w:color w:val="000000" w:themeColor="text1"/>
          <w:lang w:val="es-CO"/>
        </w:rPr>
        <w:t>requisito habilitante y se indican lineamientos orientadores que la Entidad Estatal puede considerar para establecerlos, pero en todo caso, es ella quien los define, de forma proporcional a la naturaleza y al valor del contrato, por lo que para ello deberá observarse los resultados de los Estudios del Sector que se hayan realizado para el respectivo Proceso de Contratación.</w:t>
      </w:r>
    </w:p>
    <w:p w:rsidRPr="002D5921" w:rsidR="009E2F31" w:rsidP="002D5921" w:rsidRDefault="009E2F31" w14:paraId="0BD2D781" w14:textId="77777777">
      <w:pPr>
        <w:pStyle w:val="Prrafodelista"/>
        <w:rPr>
          <w:rFonts w:ascii="Verdana" w:hAnsi="Verdana" w:eastAsia="Calibri" w:cs="Arial"/>
          <w:color w:val="000000" w:themeColor="text1"/>
          <w:lang w:val="es-CO"/>
        </w:rPr>
      </w:pPr>
    </w:p>
    <w:p w:rsidRPr="00880B0C" w:rsidR="009E2F31" w:rsidP="00CD638B" w:rsidRDefault="009E2F31" w14:paraId="20D7A49D" w14:textId="10297AEF">
      <w:pPr>
        <w:pStyle w:val="Prrafodelista"/>
        <w:numPr>
          <w:ilvl w:val="0"/>
          <w:numId w:val="17"/>
        </w:numPr>
        <w:spacing w:line="276" w:lineRule="auto"/>
        <w:jc w:val="both"/>
        <w:rPr>
          <w:rFonts w:ascii="Verdana" w:hAnsi="Verdana" w:eastAsia="Calibri" w:cs="Arial"/>
          <w:color w:val="000000" w:themeColor="text1"/>
          <w:lang w:val="es-CO"/>
        </w:rPr>
      </w:pPr>
      <w:r w:rsidRPr="009E2F31">
        <w:rPr>
          <w:rFonts w:ascii="Verdana" w:hAnsi="Verdana" w:eastAsia="Calibri" w:cs="Arial"/>
          <w:color w:val="000000" w:themeColor="text1"/>
          <w:lang w:val="es-CO"/>
        </w:rPr>
        <w:t xml:space="preserve">De manera particular, el Manual para determinar y verificar los requisitos habilitantes, antes señalado, hace referencia particular a la Guía para la Elaboración de Estudios de Sector </w:t>
      </w:r>
      <w:r>
        <w:rPr>
          <w:rStyle w:val="Refdenotaalpie"/>
          <w:rFonts w:ascii="Verdana" w:hAnsi="Verdana" w:eastAsia="Calibri" w:cs="Arial"/>
          <w:color w:val="000000" w:themeColor="text1"/>
          <w:lang w:val="es-CO"/>
        </w:rPr>
        <w:footnoteReference w:id="3"/>
      </w:r>
      <w:r w:rsidRPr="009E2F31">
        <w:rPr>
          <w:rFonts w:ascii="Verdana" w:hAnsi="Verdana" w:eastAsia="Calibri" w:cs="Arial"/>
          <w:color w:val="000000" w:themeColor="text1"/>
          <w:lang w:val="es-CO"/>
        </w:rPr>
        <w:t>, en donde se señala cómo efectuar cálculos que permiten comprender las estadísticas del sector estudiado con el fin de tener herramientas que ayuden a definir el límite de los indicadores.</w:t>
      </w:r>
    </w:p>
    <w:p w:rsidRPr="00880B0C" w:rsidR="00CD638B" w:rsidP="00CD638B" w:rsidRDefault="00CD638B" w14:paraId="01B441F0" w14:textId="77777777">
      <w:pPr>
        <w:pStyle w:val="Prrafodelista"/>
        <w:spacing w:line="276" w:lineRule="auto"/>
        <w:jc w:val="both"/>
        <w:rPr>
          <w:rFonts w:ascii="Verdana" w:hAnsi="Verdana" w:eastAsia="Calibri" w:cs="Arial"/>
          <w:color w:val="000000" w:themeColor="text1"/>
          <w:lang w:val="es-CO"/>
        </w:rPr>
      </w:pPr>
    </w:p>
    <w:p w:rsidR="00E034F8" w:rsidP="00CD638B" w:rsidRDefault="00CD638B" w14:paraId="2A8EBD06" w14:textId="77777777">
      <w:pPr>
        <w:pStyle w:val="Prrafodelista"/>
        <w:numPr>
          <w:ilvl w:val="0"/>
          <w:numId w:val="17"/>
        </w:numPr>
        <w:spacing w:line="276" w:lineRule="auto"/>
        <w:jc w:val="both"/>
        <w:rPr>
          <w:rFonts w:ascii="Verdana" w:hAnsi="Verdana" w:eastAsia="Calibri" w:cs="Arial"/>
          <w:color w:val="000000" w:themeColor="text1"/>
          <w:lang w:val="es-CO"/>
        </w:rPr>
      </w:pPr>
      <w:r w:rsidRPr="00880B0C">
        <w:rPr>
          <w:rFonts w:ascii="Verdana" w:hAnsi="Verdana" w:eastAsia="Calibri" w:cs="Arial"/>
          <w:color w:val="000000" w:themeColor="text1"/>
          <w:lang w:val="es-CO"/>
        </w:rPr>
        <w:t xml:space="preserve">Considerando la discrecionalidad para establecer los requisitos habilitantes, es necesario tener en cuenta que 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los hechos que le sirven de causa”. </w:t>
      </w:r>
    </w:p>
    <w:p w:rsidRPr="002D5921" w:rsidR="00E034F8" w:rsidP="002D5921" w:rsidRDefault="00E034F8" w14:paraId="40F64DBF" w14:textId="77777777">
      <w:pPr>
        <w:pStyle w:val="Prrafodelista"/>
        <w:rPr>
          <w:rFonts w:ascii="Verdana" w:hAnsi="Verdana" w:eastAsia="Calibri" w:cs="Arial"/>
          <w:color w:val="000000" w:themeColor="text1"/>
          <w:lang w:val="es-CO"/>
        </w:rPr>
      </w:pPr>
    </w:p>
    <w:p w:rsidRPr="00880B0C" w:rsidR="00CD638B" w:rsidP="00CD638B" w:rsidRDefault="00CD638B" w14:paraId="7B524F14" w14:textId="5AF600EF">
      <w:pPr>
        <w:pStyle w:val="Prrafodelista"/>
        <w:numPr>
          <w:ilvl w:val="0"/>
          <w:numId w:val="17"/>
        </w:numPr>
        <w:spacing w:line="276" w:lineRule="auto"/>
        <w:jc w:val="both"/>
        <w:rPr>
          <w:rFonts w:ascii="Verdana" w:hAnsi="Verdana" w:eastAsia="Calibri" w:cs="Arial"/>
          <w:color w:val="000000" w:themeColor="text1"/>
          <w:lang w:val="es-CO"/>
        </w:rPr>
      </w:pPr>
      <w:r w:rsidRPr="00880B0C">
        <w:rPr>
          <w:rFonts w:ascii="Verdana" w:hAnsi="Verdana" w:eastAsia="Calibri" w:cs="Arial"/>
          <w:color w:val="000000" w:themeColor="text1"/>
          <w:lang w:val="es-CO"/>
        </w:rPr>
        <w:t xml:space="preserve">En consecuencia, para efectos de los escenarios descritos en el párrafo precedente, la inclusión o exclusión de los indicadores previstos en el artículo 2.2.1.1.1.5.3 del Decreto 1082 de 2015 está unida a la carga justificativa de la Entidad Estatal en los estudios y documentos previos del proceso de selección.   </w:t>
      </w:r>
    </w:p>
    <w:p w:rsidRPr="00880B0C" w:rsidR="00CD638B" w:rsidP="00CD638B" w:rsidRDefault="00CD638B" w14:paraId="1FB0A9A2" w14:textId="77777777">
      <w:pPr>
        <w:pStyle w:val="Prrafodelista"/>
        <w:spacing w:line="276" w:lineRule="auto"/>
        <w:jc w:val="both"/>
        <w:rPr>
          <w:rFonts w:ascii="Verdana" w:hAnsi="Verdana" w:eastAsia="Calibri" w:cs="Arial"/>
          <w:color w:val="000000" w:themeColor="text1"/>
          <w:lang w:val="es-CO"/>
        </w:rPr>
      </w:pPr>
    </w:p>
    <w:p w:rsidR="00CD638B" w:rsidP="00CD638B" w:rsidRDefault="00CD638B" w14:paraId="57685D87" w14:textId="77777777">
      <w:pPr>
        <w:pStyle w:val="Prrafodelista"/>
        <w:numPr>
          <w:ilvl w:val="0"/>
          <w:numId w:val="17"/>
        </w:numPr>
        <w:spacing w:line="276" w:lineRule="auto"/>
        <w:jc w:val="both"/>
        <w:rPr>
          <w:rFonts w:ascii="Verdana" w:hAnsi="Verdana" w:eastAsia="Calibri" w:cs="Arial"/>
          <w:color w:val="000000" w:themeColor="text1"/>
          <w:lang w:val="es-CO"/>
        </w:rPr>
      </w:pPr>
      <w:r w:rsidRPr="00880B0C">
        <w:rPr>
          <w:rFonts w:ascii="Verdana" w:hAnsi="Verdana" w:eastAsia="Calibri" w:cs="Arial"/>
          <w:color w:val="000000" w:themeColor="text1"/>
          <w:lang w:val="es-CO"/>
        </w:rPr>
        <w:t xml:space="preserve">Al respecto, es importante señalar que para que la Entidad Estatal defina ciertos indicadores como requisitos habilitantes, no es suficiente la aplicación mecánica de fórmulas financieras, pues deben conocer cada indicador, sus fórmulas de cálculo y su interpretación, para que así se garantice que en su aplicación se entiende el resultado y sus implicaciones para el procedimiento contractual. Sus resultados deben interpretarse observando el riesgo que un indicador alto o bajo representa para el procedimiento. Por ende, la Entidad Estatal debe establecer unos límites </w:t>
      </w:r>
      <w:r w:rsidRPr="00880B0C">
        <w:rPr>
          <w:rFonts w:ascii="Verdana" w:hAnsi="Verdana" w:eastAsia="Calibri" w:cs="Arial"/>
          <w:color w:val="000000" w:themeColor="text1"/>
          <w:lang w:val="es-CO"/>
        </w:rPr>
        <w:t>dentro de los cuales se garantice que el proponente pueda cumplir el contrato en caso de celebrarlo.</w:t>
      </w:r>
    </w:p>
    <w:p w:rsidRPr="00880B0C" w:rsidR="00CD638B" w:rsidP="00CD638B" w:rsidRDefault="00CD638B" w14:paraId="59D8EE4A" w14:textId="77777777">
      <w:pPr>
        <w:pStyle w:val="Prrafodelista"/>
        <w:rPr>
          <w:rFonts w:ascii="Verdana" w:hAnsi="Verdana" w:eastAsia="Calibri" w:cs="Arial"/>
          <w:color w:val="000000" w:themeColor="text1"/>
          <w:lang w:val="es-CO"/>
        </w:rPr>
      </w:pPr>
    </w:p>
    <w:p w:rsidR="00E034F8" w:rsidP="00CD638B" w:rsidRDefault="00E034F8" w14:paraId="3FB897DD" w14:textId="7D42F329">
      <w:pPr>
        <w:pStyle w:val="Prrafodelista"/>
        <w:numPr>
          <w:ilvl w:val="0"/>
          <w:numId w:val="17"/>
        </w:numPr>
        <w:spacing w:line="276" w:lineRule="auto"/>
        <w:jc w:val="both"/>
        <w:rPr>
          <w:rFonts w:ascii="Verdana" w:hAnsi="Verdana" w:eastAsia="Century Gothic" w:cs="Century Gothic"/>
        </w:rPr>
      </w:pPr>
      <w:r>
        <w:rPr>
          <w:rFonts w:ascii="Verdana" w:hAnsi="Verdana" w:eastAsia="Century Gothic" w:cs="Century Gothic"/>
        </w:rPr>
        <w:t>De forma específica frente a la norma que señala el peticionario, hemos de manifestar que, p</w:t>
      </w:r>
      <w:r w:rsidRPr="00880B0C" w:rsidR="00CD638B">
        <w:rPr>
          <w:rFonts w:ascii="Verdana" w:hAnsi="Verdana" w:eastAsia="Century Gothic" w:cs="Century Gothic"/>
        </w:rPr>
        <w:t xml:space="preserve">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w:t>
      </w:r>
    </w:p>
    <w:p w:rsidRPr="00E034F8" w:rsidR="00E034F8" w:rsidP="00E034F8" w:rsidRDefault="00E034F8" w14:paraId="27A6C56A" w14:textId="77777777">
      <w:pPr>
        <w:pStyle w:val="Prrafodelista"/>
        <w:rPr>
          <w:rFonts w:ascii="Verdana" w:hAnsi="Verdana" w:eastAsia="Century Gothic" w:cs="Century Gothic"/>
        </w:rPr>
      </w:pPr>
    </w:p>
    <w:p w:rsidRPr="00880B0C" w:rsidR="00CD638B" w:rsidP="00CD638B" w:rsidRDefault="00CD638B" w14:paraId="723A7C73" w14:textId="6A57A90E">
      <w:pPr>
        <w:pStyle w:val="Prrafodelista"/>
        <w:numPr>
          <w:ilvl w:val="0"/>
          <w:numId w:val="17"/>
        </w:numPr>
        <w:spacing w:line="276" w:lineRule="auto"/>
        <w:jc w:val="both"/>
        <w:rPr>
          <w:rFonts w:ascii="Verdana" w:hAnsi="Verdana" w:eastAsia="Century Gothic" w:cs="Century Gothic"/>
        </w:rPr>
      </w:pPr>
      <w:r w:rsidRPr="00880B0C">
        <w:rPr>
          <w:rFonts w:ascii="Verdana" w:hAnsi="Verdana" w:eastAsia="Century Gothic" w:cs="Century Gothic"/>
        </w:rPr>
        <w:t xml:space="preserve">En tal sentido, se indicó –con la modificación posteriormente introducida por el Decreto 579 de 2021– que a partir del 1 de julio de 2021 las Entidades Estatales deberán tener en cuenta los datos sobre la capacidad financiera y organizacional de los últimos tres años, consignada en el RUP. Así lo justifica textualmente el reglamento mencionado, en sus consideraciones cuando manifiesta 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 </w:t>
      </w:r>
    </w:p>
    <w:p w:rsidRPr="00880B0C" w:rsidR="00CD638B" w:rsidP="00CD638B" w:rsidRDefault="00CD638B" w14:paraId="48C53360" w14:textId="77777777">
      <w:pPr>
        <w:pStyle w:val="Prrafodelista"/>
        <w:spacing w:line="276" w:lineRule="auto"/>
        <w:jc w:val="both"/>
        <w:rPr>
          <w:rFonts w:ascii="Verdana" w:hAnsi="Verdana" w:eastAsia="Century Gothic" w:cs="Century Gothic"/>
        </w:rPr>
      </w:pPr>
    </w:p>
    <w:p w:rsidRPr="00880B0C" w:rsidR="00CD638B" w:rsidP="00CD638B" w:rsidRDefault="00CD638B" w14:paraId="5050BD6B" w14:textId="041D41DA">
      <w:pPr>
        <w:pStyle w:val="Prrafodelista"/>
        <w:numPr>
          <w:ilvl w:val="0"/>
          <w:numId w:val="17"/>
        </w:numPr>
        <w:spacing w:line="276" w:lineRule="auto"/>
        <w:jc w:val="both"/>
        <w:rPr>
          <w:rFonts w:ascii="Verdana" w:hAnsi="Verdana" w:eastAsia="Century Gothic" w:cs="Century Gothic"/>
        </w:rPr>
      </w:pPr>
      <w:r w:rsidRPr="00880B0C">
        <w:rPr>
          <w:rFonts w:ascii="Verdana" w:hAnsi="Verdana" w:eastAsia="Century Gothic" w:cs="Century Gothic"/>
        </w:rPr>
        <w:t>En tal sentido, el artículo 4 del Decreto 399 de 2021 adicionó dos parágrafos transitorios al artículo 2.2.1.1.1.5.2 del Decreto 1082 de 2015, que a su vez fueron sustituidos por el artículo 1 del Decreto 579 del 31 de mayo de 2021 y posteriormente se adicionó un parágrafo transitorio adicional al artículo 2.2.1.1.1.5.2 del Decreto 1082 de 2015 por el artículo 1 del Decreto 1041 de 2022.</w:t>
      </w:r>
    </w:p>
    <w:p w:rsidRPr="00880B0C" w:rsidR="00CD638B" w:rsidP="00CD638B" w:rsidRDefault="00CD638B" w14:paraId="447FA004" w14:textId="77777777">
      <w:pPr>
        <w:pStyle w:val="Prrafodelista"/>
        <w:spacing w:line="276" w:lineRule="auto"/>
        <w:jc w:val="both"/>
        <w:rPr>
          <w:rFonts w:ascii="Verdana" w:hAnsi="Verdana" w:eastAsia="Century Gothic" w:cs="Century Gothic"/>
        </w:rPr>
      </w:pPr>
    </w:p>
    <w:p w:rsidRPr="00880B0C" w:rsidR="00CD638B" w:rsidP="00CD638B" w:rsidRDefault="00CD638B" w14:paraId="6F2A93BD" w14:textId="77777777">
      <w:pPr>
        <w:pStyle w:val="Prrafodelista"/>
        <w:numPr>
          <w:ilvl w:val="0"/>
          <w:numId w:val="17"/>
        </w:numPr>
        <w:spacing w:line="276" w:lineRule="auto"/>
        <w:jc w:val="both"/>
        <w:rPr>
          <w:rFonts w:ascii="Verdana" w:hAnsi="Verdana" w:eastAsia="Century Gothic" w:cs="Century Gothic"/>
        </w:rPr>
      </w:pPr>
      <w:r w:rsidRPr="00880B0C">
        <w:rPr>
          <w:rFonts w:ascii="Verdana" w:hAnsi="Verdana" w:eastAsia="Century Gothic" w:cs="Century Gothic"/>
        </w:rPr>
        <w:t xml:space="preserve">El parágrafo transitorio 1 dispone que desde el 1 de junio de 2021 los interesados en inscribirse en el RUP deben reportar la información contable y los </w:t>
      </w:r>
      <w:r w:rsidRPr="002D5921">
        <w:rPr>
          <w:rFonts w:ascii="Verdana" w:hAnsi="Verdana" w:eastAsia="Century Gothic" w:cs="Century Gothic"/>
          <w:b/>
          <w:bCs/>
        </w:rPr>
        <w:t>estados financieros de los tres últimos años fiscales.</w:t>
      </w:r>
      <w:r w:rsidRPr="00880B0C">
        <w:rPr>
          <w:rFonts w:ascii="Verdana" w:hAnsi="Verdana" w:eastAsia="Century Gothic" w:cs="Century Gothic"/>
        </w:rPr>
        <w:t xml:space="preserve">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w:t>
      </w:r>
      <w:r w:rsidRPr="00880B0C">
        <w:rPr>
          <w:rFonts w:ascii="Verdana" w:hAnsi="Verdana" w:eastAsia="Century Gothic" w:cs="Century Gothic"/>
        </w:rPr>
        <w:t>aclara que, si el proponente tiene registrada la información de dichos años en la cámara de comercio, no deberá presentar esta información.</w:t>
      </w:r>
    </w:p>
    <w:p w:rsidRPr="00880B0C" w:rsidR="00CD638B" w:rsidP="00CD638B" w:rsidRDefault="00CD638B" w14:paraId="4F72B524" w14:textId="77777777">
      <w:pPr>
        <w:pStyle w:val="Prrafodelista"/>
        <w:spacing w:line="276" w:lineRule="auto"/>
        <w:jc w:val="both"/>
        <w:rPr>
          <w:rFonts w:ascii="Verdana" w:hAnsi="Verdana" w:eastAsia="Century Gothic" w:cs="Century Gothic"/>
        </w:rPr>
      </w:pPr>
    </w:p>
    <w:p w:rsidRPr="00880B0C" w:rsidR="00CD638B" w:rsidP="00CD638B" w:rsidRDefault="00CD638B" w14:paraId="7E9C0D1A" w14:textId="77777777">
      <w:pPr>
        <w:pStyle w:val="Prrafodelista"/>
        <w:numPr>
          <w:ilvl w:val="0"/>
          <w:numId w:val="17"/>
        </w:numPr>
        <w:spacing w:line="276" w:lineRule="auto"/>
        <w:jc w:val="both"/>
        <w:rPr>
          <w:rFonts w:ascii="Verdana" w:hAnsi="Verdana" w:eastAsia="Century Gothic" w:cs="Century Gothic"/>
        </w:rPr>
      </w:pPr>
      <w:r w:rsidRPr="00880B0C">
        <w:rPr>
          <w:rFonts w:ascii="Verdana" w:hAnsi="Verdana" w:eastAsia="Century Gothic" w:cs="Century Gothic"/>
        </w:rPr>
        <w:t xml:space="preserve">El parágrafo transitorio 2 señala que, en el año 2022, para la inscripción en el RUP o para su renovación, el interesado debe reportar la información contable y los estados financieros de los tres últimos años fiscales. Además, reitera que, si aquel no cuenta con la información financiera de dichos años, por no tener la antigüedad suficiente, podrá aportar la información de su primer cierre fiscal. </w:t>
      </w:r>
    </w:p>
    <w:p w:rsidRPr="00880B0C" w:rsidR="00CD638B" w:rsidP="00CD638B" w:rsidRDefault="00CD638B" w14:paraId="43AF9548" w14:textId="77777777">
      <w:pPr>
        <w:pStyle w:val="Prrafodelista"/>
        <w:spacing w:line="276" w:lineRule="auto"/>
        <w:jc w:val="both"/>
        <w:rPr>
          <w:rFonts w:ascii="Verdana" w:hAnsi="Verdana" w:eastAsia="Century Gothic" w:cs="Century Gothic"/>
        </w:rPr>
      </w:pPr>
    </w:p>
    <w:p w:rsidRPr="00880B0C" w:rsidR="00CD638B" w:rsidP="00CD638B" w:rsidRDefault="00CD638B" w14:paraId="41FEC84B" w14:textId="77777777">
      <w:pPr>
        <w:pStyle w:val="Prrafodelista"/>
        <w:numPr>
          <w:ilvl w:val="0"/>
          <w:numId w:val="17"/>
        </w:numPr>
        <w:spacing w:line="276" w:lineRule="auto"/>
        <w:jc w:val="both"/>
        <w:rPr>
          <w:rFonts w:ascii="Verdana" w:hAnsi="Verdana" w:eastAsia="Century Gothic" w:cs="Century Gothic"/>
        </w:rPr>
      </w:pPr>
      <w:r w:rsidRPr="00880B0C">
        <w:rPr>
          <w:rFonts w:ascii="Verdana" w:hAnsi="Verdana" w:eastAsia="Century Gothic" w:cs="Century Gothic"/>
        </w:rPr>
        <w:t xml:space="preserve">En igual sentido, el parágrafo transitorio 3 incluido por el Decreto 1041 de 2022 mantuvo la anterior medida para el año 2023, permitiendo que para la inscripción en el RUP o para su renovación, el interesado pueda reportar la información contable y los estados financieros de los tres últimos años fiscales. </w:t>
      </w:r>
    </w:p>
    <w:p w:rsidRPr="00880B0C" w:rsidR="00CD638B" w:rsidP="00CD638B" w:rsidRDefault="00CD638B" w14:paraId="6656B69E" w14:textId="77777777">
      <w:pPr>
        <w:pStyle w:val="Prrafodelista"/>
        <w:spacing w:line="276" w:lineRule="auto"/>
        <w:jc w:val="both"/>
        <w:rPr>
          <w:rFonts w:ascii="Verdana" w:hAnsi="Verdana" w:eastAsia="Century Gothic" w:cs="Century Gothic"/>
        </w:rPr>
      </w:pPr>
    </w:p>
    <w:p w:rsidR="00E034F8" w:rsidP="00CD638B" w:rsidRDefault="00CD638B" w14:paraId="4767DE2C" w14:textId="77777777">
      <w:pPr>
        <w:pStyle w:val="Prrafodelista"/>
        <w:numPr>
          <w:ilvl w:val="0"/>
          <w:numId w:val="17"/>
        </w:numPr>
        <w:spacing w:line="276" w:lineRule="auto"/>
        <w:jc w:val="both"/>
        <w:rPr>
          <w:rFonts w:ascii="Verdana" w:hAnsi="Verdana" w:eastAsia="Century Gothic" w:cs="Century Gothic"/>
        </w:rPr>
      </w:pPr>
      <w:r w:rsidRPr="00880B0C">
        <w:rPr>
          <w:rFonts w:ascii="Verdana" w:hAnsi="Verdana" w:eastAsia="Century Gothic" w:cs="Century Gothic"/>
        </w:rPr>
        <w:t xml:space="preserve">Por otra parte, el artículo 5 del Decreto 399 de 2021 adicionó dos parágrafos transitorios al artículo 2.2.1.1.1.5.6 del Decreto 1082 de 2015, que regula el contenido del certificado del RUP. El primer parágrafo transitorio, que fue posteriormente sustituido por el artículo 2 del Decreto 579 de 2021, establece que “[…] 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w:t>
      </w:r>
    </w:p>
    <w:p w:rsidRPr="002D5921" w:rsidR="00E034F8" w:rsidP="002D5921" w:rsidRDefault="00E034F8" w14:paraId="76C31772" w14:textId="77777777">
      <w:pPr>
        <w:pStyle w:val="Prrafodelista"/>
        <w:rPr>
          <w:rFonts w:ascii="Verdana" w:hAnsi="Verdana" w:eastAsia="Century Gothic" w:cs="Century Gothic"/>
        </w:rPr>
      </w:pPr>
    </w:p>
    <w:p w:rsidRPr="00880B0C" w:rsidR="00CD638B" w:rsidP="00CD638B" w:rsidRDefault="00CD638B" w14:paraId="27A8AF48" w14:textId="2C97676F">
      <w:pPr>
        <w:pStyle w:val="Prrafodelista"/>
        <w:numPr>
          <w:ilvl w:val="0"/>
          <w:numId w:val="17"/>
        </w:numPr>
        <w:spacing w:line="276" w:lineRule="auto"/>
        <w:jc w:val="both"/>
        <w:rPr>
          <w:rFonts w:ascii="Verdana" w:hAnsi="Verdana" w:eastAsia="Century Gothic" w:cs="Century Gothic"/>
        </w:rPr>
      </w:pPr>
      <w:r w:rsidRPr="00880B0C">
        <w:rPr>
          <w:rFonts w:ascii="Verdana" w:hAnsi="Verdana" w:eastAsia="Century Gothic" w:cs="Century Gothic"/>
        </w:rPr>
        <w:t>Para esto, las cámaras de comercio, a partir del 1 de julio de 2021, “certificarán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indicadores de capacidad organizacional son: i) la rentabilidad del patrimonio y ii) la rentabilidad del activo.</w:t>
      </w:r>
    </w:p>
    <w:p w:rsidRPr="00880B0C" w:rsidR="00CD638B" w:rsidP="00CD638B" w:rsidRDefault="00CD638B" w14:paraId="0D591581" w14:textId="77777777">
      <w:pPr>
        <w:pStyle w:val="Prrafodelista"/>
        <w:spacing w:line="276" w:lineRule="auto"/>
        <w:jc w:val="both"/>
        <w:rPr>
          <w:rFonts w:ascii="Verdana" w:hAnsi="Verdana" w:eastAsia="Century Gothic" w:cs="Century Gothic"/>
        </w:rPr>
      </w:pPr>
    </w:p>
    <w:p w:rsidRPr="00880B0C" w:rsidR="00CD638B" w:rsidP="00CD638B" w:rsidRDefault="00CD638B" w14:paraId="2D9AC01E" w14:textId="77777777">
      <w:pPr>
        <w:pStyle w:val="Prrafodelista"/>
        <w:numPr>
          <w:ilvl w:val="0"/>
          <w:numId w:val="17"/>
        </w:numPr>
        <w:spacing w:line="276" w:lineRule="auto"/>
        <w:jc w:val="both"/>
        <w:rPr>
          <w:rFonts w:ascii="Verdana" w:hAnsi="Verdana" w:eastAsia="Century Gothic" w:cs="Century Gothic"/>
        </w:rPr>
      </w:pPr>
      <w:r w:rsidRPr="00880B0C">
        <w:rPr>
          <w:rFonts w:ascii="Verdana" w:hAnsi="Verdana" w:eastAsia="Century Gothic" w:cs="Century Gothic"/>
        </w:rPr>
        <w:t xml:space="preserve">Posteriormente, el segundo parágrafo transitorio del artículo 2.2.1.1.1.5.6 del Decreto 1082 de 2015, modificado por el artículo 2 del Decreto 1041 del 21 de junio 2022 dispone que “El proponente que cuente con </w:t>
      </w:r>
      <w:r w:rsidRPr="00880B0C">
        <w:rPr>
          <w:rFonts w:ascii="Verdana" w:hAnsi="Verdana" w:eastAsia="Century Gothic" w:cs="Century Gothic"/>
        </w:rPr>
        <w:t>inscripción activa y vigente en el RUP, que reporte la información de la capacidad financiera y organizacional, señalada en los parágrafos transitorios 1, 2 Y 3 del artículo 2.2.1.1.1.5.2 del presente Decreto, deberá presentarla en el formato unificado que las cámaras de comercio dispongan para tal efecto”. Como se observa, las normas anteriormente transcritas disponen que:</w:t>
      </w:r>
    </w:p>
    <w:p w:rsidRPr="00880B0C" w:rsidR="00CD638B" w:rsidP="00CD638B" w:rsidRDefault="00CD638B" w14:paraId="24C918F7" w14:textId="77777777">
      <w:pPr>
        <w:pStyle w:val="Prrafodelista"/>
        <w:spacing w:line="276" w:lineRule="auto"/>
        <w:jc w:val="both"/>
        <w:rPr>
          <w:rFonts w:ascii="Verdana" w:hAnsi="Verdana" w:eastAsia="Century Gothic" w:cs="Century Gothic"/>
        </w:rPr>
      </w:pPr>
    </w:p>
    <w:p w:rsidRPr="00880B0C" w:rsidR="00CD638B" w:rsidP="00CD638B" w:rsidRDefault="00CD638B" w14:paraId="51CF7BF1" w14:textId="77777777">
      <w:pPr>
        <w:pStyle w:val="Prrafodelista"/>
        <w:spacing w:line="276" w:lineRule="auto"/>
        <w:jc w:val="both"/>
        <w:rPr>
          <w:rFonts w:ascii="Verdana" w:hAnsi="Verdana" w:eastAsia="Century Gothic" w:cs="Century Gothic"/>
        </w:rPr>
      </w:pPr>
      <w:r w:rsidRPr="00880B0C">
        <w:rPr>
          <w:rFonts w:ascii="Verdana" w:hAnsi="Verdana" w:eastAsia="Century Gothic" w:cs="Century Gothic"/>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debían tener en cuenta la información sobre la capacidad financiera y organizacional “correspondiente a los últimos tres (3) años fiscales anteriores al respectivo acto” o “desde su primer cierre fiscal”, según el caso.</w:t>
      </w:r>
    </w:p>
    <w:p w:rsidRPr="00880B0C" w:rsidR="00CD638B" w:rsidP="00CD638B" w:rsidRDefault="00CD638B" w14:paraId="1FD2BFF1" w14:textId="77777777">
      <w:pPr>
        <w:pStyle w:val="Prrafodelista"/>
        <w:spacing w:line="276" w:lineRule="auto"/>
        <w:jc w:val="both"/>
        <w:rPr>
          <w:rFonts w:ascii="Verdana" w:hAnsi="Verdana" w:eastAsia="Century Gothic" w:cs="Century Gothic"/>
        </w:rPr>
      </w:pPr>
    </w:p>
    <w:p w:rsidRPr="00880B0C" w:rsidR="00CD638B" w:rsidP="00CD638B" w:rsidRDefault="00CD638B" w14:paraId="731A4FE6" w14:textId="77777777">
      <w:pPr>
        <w:pStyle w:val="Prrafodelista"/>
        <w:spacing w:line="276" w:lineRule="auto"/>
        <w:jc w:val="both"/>
        <w:rPr>
          <w:rFonts w:ascii="Verdana" w:hAnsi="Verdana" w:eastAsia="Century Gothic" w:cs="Century Gothic"/>
        </w:rPr>
      </w:pPr>
      <w:r w:rsidRPr="00880B0C">
        <w:rPr>
          <w:rFonts w:ascii="Verdana" w:hAnsi="Verdana" w:eastAsia="Century Gothic" w:cs="Century Gothic"/>
        </w:rPr>
        <w:t>ii)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rsidRPr="00880B0C" w:rsidR="00CD638B" w:rsidP="00CD638B" w:rsidRDefault="00CD638B" w14:paraId="5378121B" w14:textId="77777777">
      <w:pPr>
        <w:pStyle w:val="Prrafodelista"/>
        <w:spacing w:line="276" w:lineRule="auto"/>
        <w:jc w:val="both"/>
        <w:rPr>
          <w:rFonts w:ascii="Verdana" w:hAnsi="Verdana" w:eastAsia="Century Gothic" w:cs="Century Gothic"/>
        </w:rPr>
      </w:pPr>
    </w:p>
    <w:p w:rsidRPr="00880B0C" w:rsidR="00CD638B" w:rsidP="00CD638B" w:rsidRDefault="00CD638B" w14:paraId="405B70D9" w14:textId="77777777">
      <w:pPr>
        <w:pStyle w:val="Prrafodelista"/>
        <w:spacing w:line="276" w:lineRule="auto"/>
        <w:jc w:val="both"/>
        <w:rPr>
          <w:rFonts w:ascii="Verdana" w:hAnsi="Verdana" w:eastAsia="Century Gothic" w:cs="Century Gothic"/>
        </w:rPr>
      </w:pPr>
      <w:r w:rsidRPr="00880B0C">
        <w:rPr>
          <w:rFonts w:ascii="Verdana" w:hAnsi="Verdana" w:eastAsia="Century Gothic" w:cs="Century Gothic"/>
        </w:rPr>
        <w:t>iii) En los procesos de selección cuyo acto administrativo de apertura o invitación se publique a partir del 1 de julio de 2021 las Entidades Estatales deberán tener en cuenta la información financiera y organizacional que esté vigente y en firme en el RUP.</w:t>
      </w:r>
    </w:p>
    <w:p w:rsidRPr="00880B0C" w:rsidR="00CD638B" w:rsidP="00CD638B" w:rsidRDefault="00CD638B" w14:paraId="0F0502E9" w14:textId="77777777">
      <w:pPr>
        <w:pStyle w:val="Prrafodelista"/>
        <w:spacing w:line="276" w:lineRule="auto"/>
        <w:jc w:val="both"/>
        <w:rPr>
          <w:rFonts w:ascii="Verdana" w:hAnsi="Verdana" w:eastAsia="Century Gothic" w:cs="Century Gothic"/>
        </w:rPr>
      </w:pPr>
    </w:p>
    <w:p w:rsidRPr="00880B0C" w:rsidR="00CD638B" w:rsidP="00CD638B" w:rsidRDefault="00CD638B" w14:paraId="4E4D6276" w14:textId="77777777">
      <w:pPr>
        <w:pStyle w:val="Prrafodelista"/>
        <w:spacing w:line="276" w:lineRule="auto"/>
        <w:jc w:val="both"/>
        <w:rPr>
          <w:rFonts w:ascii="Verdana" w:hAnsi="Verdana" w:eastAsia="Century Gothic" w:cs="Century Gothic"/>
        </w:rPr>
      </w:pPr>
      <w:r w:rsidRPr="00880B0C">
        <w:rPr>
          <w:rFonts w:ascii="Verdana" w:hAnsi="Verdana" w:eastAsia="Century Gothic" w:cs="Century Gothic"/>
        </w:rPr>
        <w:t xml:space="preserve">iv) A partir de la fecha establecida anteriormente, la evaluación de los indicadores de capacidad financiera –índice de liquidez, índice de endeudamiento y razón de cobertura de intereses– y organizacional –rentabilidad del patrimonio y rentabilidad del activo–, se deberá realizar por parte de las entidades estatales “teniendo en cuenta el mejor año fiscal que se refleje en el registro de cada proponente” (Énfasis fuera de texto). </w:t>
      </w:r>
    </w:p>
    <w:p w:rsidRPr="00880B0C" w:rsidR="00CD638B" w:rsidP="00CD638B" w:rsidRDefault="00CD638B" w14:paraId="09C71D17" w14:textId="77777777">
      <w:pPr>
        <w:pStyle w:val="Prrafodelista"/>
        <w:spacing w:line="276" w:lineRule="auto"/>
        <w:jc w:val="both"/>
        <w:rPr>
          <w:rFonts w:ascii="Verdana" w:hAnsi="Verdana" w:eastAsia="Century Gothic" w:cs="Century Gothic"/>
        </w:rPr>
      </w:pPr>
    </w:p>
    <w:p w:rsidRPr="000D446F" w:rsidR="00CD638B" w:rsidP="00CD638B" w:rsidRDefault="00CD638B" w14:paraId="36B3B520" w14:textId="77777777">
      <w:pPr>
        <w:pStyle w:val="Prrafodelista"/>
        <w:spacing w:line="276" w:lineRule="auto"/>
        <w:jc w:val="both"/>
        <w:rPr>
          <w:rFonts w:ascii="Verdana" w:hAnsi="Verdana" w:eastAsia="Century Gothic" w:cs="Century Gothic"/>
        </w:rPr>
      </w:pPr>
      <w:r w:rsidRPr="000D446F">
        <w:rPr>
          <w:rFonts w:ascii="Verdana" w:hAnsi="Verdana" w:eastAsia="Century Gothic" w:cs="Century Gothic"/>
        </w:rPr>
        <w:t xml:space="preserve">v) Dichas medidas </w:t>
      </w:r>
      <w:r w:rsidRPr="002D5921">
        <w:rPr>
          <w:rFonts w:ascii="Verdana" w:hAnsi="Verdana" w:eastAsia="Century Gothic" w:cs="Century Gothic"/>
          <w:b/>
          <w:bCs/>
        </w:rPr>
        <w:t>se mantienen hasta el año 2023</w:t>
      </w:r>
      <w:r w:rsidRPr="000D446F">
        <w:rPr>
          <w:rFonts w:ascii="Verdana" w:hAnsi="Verdana" w:eastAsia="Century Gothic" w:cs="Century Gothic"/>
        </w:rPr>
        <w:t xml:space="preserve"> en virtud de lo consagrado en el Decreto 1041 de 2022.</w:t>
      </w:r>
    </w:p>
    <w:p w:rsidRPr="000D446F" w:rsidR="00CD638B" w:rsidP="00CD638B" w:rsidRDefault="00CD638B" w14:paraId="27386830" w14:textId="77777777">
      <w:pPr>
        <w:pStyle w:val="Prrafodelista"/>
        <w:spacing w:line="276" w:lineRule="auto"/>
        <w:jc w:val="both"/>
        <w:rPr>
          <w:rFonts w:ascii="Verdana" w:hAnsi="Verdana" w:eastAsia="Century Gothic" w:cs="Century Gothic"/>
        </w:rPr>
      </w:pPr>
    </w:p>
    <w:p w:rsidR="00693ACC" w:rsidP="00CD638B" w:rsidRDefault="00CD638B" w14:paraId="1ADD8529" w14:textId="77777777">
      <w:pPr>
        <w:pStyle w:val="Prrafodelista"/>
        <w:numPr>
          <w:ilvl w:val="0"/>
          <w:numId w:val="17"/>
        </w:numPr>
        <w:spacing w:line="276" w:lineRule="auto"/>
        <w:jc w:val="both"/>
        <w:rPr>
          <w:rFonts w:ascii="Verdana" w:hAnsi="Verdana" w:eastAsia="Century Gothic" w:cs="Century Gothic"/>
        </w:rPr>
      </w:pPr>
      <w:r w:rsidRPr="000D446F">
        <w:rPr>
          <w:rFonts w:ascii="Verdana" w:hAnsi="Verdana" w:eastAsia="Century Gothic" w:cs="Century Gothic"/>
        </w:rPr>
        <w:t>Ahora bien, teniendo en cuenta que 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w:t>
      </w:r>
    </w:p>
    <w:p w:rsidRPr="000D446F" w:rsidR="00CD638B" w:rsidP="00CD638B" w:rsidRDefault="00CD638B" w14:paraId="3A01D1EE" w14:textId="36A2B3EE">
      <w:pPr>
        <w:pStyle w:val="Prrafodelista"/>
        <w:numPr>
          <w:ilvl w:val="0"/>
          <w:numId w:val="17"/>
        </w:numPr>
        <w:spacing w:line="276" w:lineRule="auto"/>
        <w:jc w:val="both"/>
        <w:rPr>
          <w:rFonts w:ascii="Verdana" w:hAnsi="Verdana" w:eastAsia="Century Gothic" w:cs="Century Gothic"/>
        </w:rPr>
      </w:pPr>
      <w:r w:rsidRPr="000D446F">
        <w:rPr>
          <w:rFonts w:ascii="Verdana" w:hAnsi="Verdana" w:eastAsia="Century Gothic" w:cs="Century Gothic"/>
        </w:rPr>
        <w:t xml:space="preserve">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sustituido por el artículo 3 del Decreto 579 de 2021 y reiterado por el Decreto 1041 de 2022,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rsidRPr="000D446F" w:rsidR="00CD638B" w:rsidP="00CD638B" w:rsidRDefault="00CD638B" w14:paraId="72DF5ECA" w14:textId="77777777">
      <w:pPr>
        <w:pStyle w:val="Prrafodelista"/>
        <w:spacing w:line="276" w:lineRule="auto"/>
        <w:jc w:val="both"/>
        <w:rPr>
          <w:rFonts w:ascii="Verdana" w:hAnsi="Verdana" w:eastAsia="Century Gothic" w:cs="Century Gothic"/>
        </w:rPr>
      </w:pPr>
    </w:p>
    <w:p w:rsidRPr="000D446F" w:rsidR="00CD638B" w:rsidP="00CD638B" w:rsidRDefault="00693ACC" w14:paraId="7E446896" w14:textId="540AC3B2">
      <w:pPr>
        <w:pStyle w:val="Prrafodelista"/>
        <w:numPr>
          <w:ilvl w:val="0"/>
          <w:numId w:val="17"/>
        </w:numPr>
        <w:spacing w:line="276" w:lineRule="auto"/>
        <w:jc w:val="both"/>
        <w:rPr>
          <w:rFonts w:ascii="Verdana" w:hAnsi="Verdana" w:eastAsia="Century Gothic" w:cs="Century Gothic"/>
        </w:rPr>
      </w:pPr>
      <w:r>
        <w:rPr>
          <w:rFonts w:ascii="Verdana" w:hAnsi="Verdana" w:eastAsia="Century Gothic" w:cs="Century Gothic"/>
        </w:rPr>
        <w:t>No obstante lo anterior</w:t>
      </w:r>
      <w:r w:rsidRPr="000D446F" w:rsidR="00CD638B">
        <w:rPr>
          <w:rFonts w:ascii="Verdana" w:hAnsi="Verdana" w:eastAsia="Century Gothic" w:cs="Century Gothic"/>
        </w:rPr>
        <w:t>,</w:t>
      </w:r>
      <w:r>
        <w:rPr>
          <w:rFonts w:ascii="Verdana" w:hAnsi="Verdana" w:eastAsia="Century Gothic" w:cs="Century Gothic"/>
        </w:rPr>
        <w:t xml:space="preserve"> es menester señalar</w:t>
      </w:r>
      <w:r w:rsidRPr="000D446F" w:rsidR="00CD638B">
        <w:rPr>
          <w:rFonts w:ascii="Verdana" w:hAnsi="Verdana" w:eastAsia="Century Gothic" w:cs="Century Gothic"/>
        </w:rPr>
        <w:t xml:space="preserve"> que los parágrafos adicionados por los Decretos 399 de 2021, 579 de 2021 y 1041 de 2022 </w:t>
      </w:r>
      <w:r w:rsidRPr="002D5921" w:rsidR="00CD638B">
        <w:rPr>
          <w:rFonts w:ascii="Verdana" w:hAnsi="Verdana" w:eastAsia="Century Gothic" w:cs="Century Gothic"/>
          <w:b/>
          <w:bCs/>
        </w:rPr>
        <w:t>tienen naturaleza transitoria</w:t>
      </w:r>
      <w:r w:rsidRPr="000D446F" w:rsidR="00CD638B">
        <w:rPr>
          <w:rFonts w:ascii="Verdana" w:hAnsi="Verdana" w:eastAsia="Century Gothic" w:cs="Century Gothic"/>
        </w:rPr>
        <w:t xml:space="preserve">. Conforme a la definición del Diccionario de la RAE, por dicha expresión se entiende todos aquello que es “Pasajero, temporal” o “Caduco, perecedero, fugaz”. Es decir, el marco normativo descrito en los párrafos precedentes carece de vocación de permanencia, pues se trata de disposiciones efímeras, pasajeras, momentáneas, breves, temporales, provisionales y temporarias. Por ello, con la expiración de su vigencia y a falta de un reglamento que prorrogue las medidas adoptadas, la capacidad financiera y organizacional debe acreditarse a la Cámara de Comercio en las condiciones descritas en los numerales 1.3 y 2.3 del artículo 2.2.1.1.1.5.2 del Decreto 1082 de 2015.  </w:t>
      </w:r>
    </w:p>
    <w:p w:rsidRPr="000D446F" w:rsidR="00CD638B" w:rsidP="00CD638B" w:rsidRDefault="00CD638B" w14:paraId="216D306A" w14:textId="77777777">
      <w:pPr>
        <w:pStyle w:val="Prrafodelista"/>
        <w:spacing w:line="276" w:lineRule="auto"/>
        <w:jc w:val="both"/>
        <w:rPr>
          <w:rFonts w:ascii="Verdana" w:hAnsi="Verdana" w:eastAsia="Century Gothic" w:cs="Century Gothic"/>
        </w:rPr>
      </w:pPr>
    </w:p>
    <w:p w:rsidRPr="000D446F" w:rsidR="00CD638B" w:rsidP="00CD638B" w:rsidRDefault="00CD638B" w14:paraId="74E717F7" w14:textId="77777777">
      <w:pPr>
        <w:pStyle w:val="Prrafodelista"/>
        <w:numPr>
          <w:ilvl w:val="0"/>
          <w:numId w:val="17"/>
        </w:numPr>
        <w:spacing w:line="276" w:lineRule="auto"/>
        <w:jc w:val="both"/>
        <w:rPr>
          <w:rFonts w:ascii="Verdana" w:hAnsi="Verdana" w:eastAsia="Century Gothic" w:cs="Century Gothic"/>
        </w:rPr>
      </w:pPr>
      <w:r w:rsidRPr="000D446F">
        <w:rPr>
          <w:rFonts w:ascii="Verdana" w:hAnsi="Verdana" w:eastAsia="Century Gothic" w:cs="Century Gothic"/>
        </w:rPr>
        <w:t xml:space="preserve">Así, tratándose de personas naturales obligadas a llevar contabilidad, deben presentar copia de la información contable del último año exigida por las normas tributarias. En contraste, las personas jurídicas deben </w:t>
      </w:r>
      <w:r w:rsidRPr="000D446F">
        <w:rPr>
          <w:rFonts w:ascii="Verdana" w:hAnsi="Verdana" w:eastAsia="Century Gothic" w:cs="Century Gothic"/>
        </w:rPr>
        <w:t>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rsidRPr="000D446F" w:rsidR="00CD638B" w:rsidP="00CD638B" w:rsidRDefault="00CD638B" w14:paraId="608F472E" w14:textId="77777777">
      <w:pPr>
        <w:pStyle w:val="Prrafodelista"/>
        <w:spacing w:line="276" w:lineRule="auto"/>
        <w:jc w:val="both"/>
        <w:rPr>
          <w:rFonts w:ascii="Verdana" w:hAnsi="Verdana" w:eastAsia="Century Gothic" w:cs="Century Gothic"/>
        </w:rPr>
      </w:pPr>
    </w:p>
    <w:p w:rsidRPr="002D5921" w:rsidR="00CD638B" w:rsidP="00CD638B" w:rsidRDefault="00CD638B" w14:paraId="73AA91A4" w14:textId="77777777">
      <w:pPr>
        <w:pStyle w:val="Prrafodelista"/>
        <w:numPr>
          <w:ilvl w:val="0"/>
          <w:numId w:val="17"/>
        </w:numPr>
        <w:spacing w:line="276" w:lineRule="auto"/>
        <w:jc w:val="both"/>
        <w:rPr>
          <w:rFonts w:ascii="Verdana" w:hAnsi="Verdana" w:eastAsia="Century Gothic" w:cs="Century Gothic"/>
          <w:b/>
          <w:bCs/>
        </w:rPr>
      </w:pPr>
      <w:r w:rsidRPr="000D446F">
        <w:rPr>
          <w:rFonts w:ascii="Verdana" w:hAnsi="Verdana" w:eastAsia="Century Gothic" w:cs="Century Gothic"/>
        </w:rPr>
        <w:t xml:space="preserve">En este contexto, los indicadores de capacidad financiera y organizacional ya no corresponderán a los últimos tres (3) años fiscales anteriores a la inscripción o renovación. Asimismo, con la pérdida de vigencia de los parágrafos transitorios de los artículos 2.2.1.1.1.5.2 y 2.2.1.1.1.5.6 del Decreto 1082 de 2015, el parágrafo transitorio del artículo 2.2.1.1.1.6.2 ibidem –adicionados por el art. 6 del Decreto 399 de 2021 y sustituido por el art. 3 del Decreto 579 de 2021– es inaplicable por sustracción de materia. En consecuencia, </w:t>
      </w:r>
      <w:r w:rsidRPr="002D5921">
        <w:rPr>
          <w:rFonts w:ascii="Verdana" w:hAnsi="Verdana" w:eastAsia="Century Gothic" w:cs="Century Gothic"/>
          <w:b/>
          <w:bCs/>
        </w:rPr>
        <w:t>cesa la posibilidad de acreditar los indicadores de los numerales 3 y 4 artículo 2.2.1.1.1.5.3 ibidem teniendo en cuenta el mejor año fiscal que se refleje en el registro de cada proponente.</w:t>
      </w:r>
    </w:p>
    <w:p w:rsidRPr="000D446F" w:rsidR="00CD638B" w:rsidP="00CD638B" w:rsidRDefault="00CD638B" w14:paraId="71A229ED" w14:textId="77777777">
      <w:pPr>
        <w:pStyle w:val="Prrafodelista"/>
        <w:spacing w:line="276" w:lineRule="auto"/>
        <w:jc w:val="both"/>
        <w:rPr>
          <w:rFonts w:ascii="Verdana" w:hAnsi="Verdana" w:eastAsia="Century Gothic" w:cs="Century Gothic"/>
        </w:rPr>
      </w:pPr>
    </w:p>
    <w:p w:rsidRPr="000D446F" w:rsidR="00CD638B" w:rsidP="00CD638B" w:rsidRDefault="00693ACC" w14:paraId="752F51EB" w14:textId="5BE1A6A9">
      <w:pPr>
        <w:pStyle w:val="Prrafodelista"/>
        <w:numPr>
          <w:ilvl w:val="0"/>
          <w:numId w:val="17"/>
        </w:numPr>
        <w:spacing w:line="276" w:lineRule="auto"/>
        <w:jc w:val="both"/>
        <w:rPr>
          <w:rFonts w:ascii="Verdana" w:hAnsi="Verdana" w:eastAsia="Century Gothic" w:cs="Century Gothic"/>
        </w:rPr>
      </w:pPr>
      <w:r>
        <w:rPr>
          <w:rFonts w:ascii="Verdana" w:hAnsi="Verdana" w:eastAsia="Century Gothic" w:cs="Century Gothic"/>
        </w:rPr>
        <w:t>Ahora bien, e</w:t>
      </w:r>
      <w:r w:rsidRPr="000D446F" w:rsidR="00CD638B">
        <w:rPr>
          <w:rFonts w:ascii="Verdana" w:hAnsi="Verdana" w:eastAsia="Century Gothic" w:cs="Century Gothic"/>
        </w:rPr>
        <w:t xml:space="preserve">stas normas transitorias no perdieron su vigencia con la finalización de la emergencia sanitaria, pues el Decreto 1041 de 2022 –al prorrogar las medidas de los Decretos 399 y 579 de 2021– </w:t>
      </w:r>
      <w:r w:rsidRPr="002D5921" w:rsidR="00CD638B">
        <w:rPr>
          <w:rFonts w:ascii="Verdana" w:hAnsi="Verdana" w:eastAsia="Century Gothic" w:cs="Century Gothic"/>
          <w:b/>
          <w:bCs/>
        </w:rPr>
        <w:t>las extendió durante el 2023, vigencia fiscal que finalizó el 31 de diciembre pasado</w:t>
      </w:r>
      <w:r w:rsidRPr="000D446F" w:rsidR="00CD638B">
        <w:rPr>
          <w:rFonts w:ascii="Verdana" w:hAnsi="Verdana" w:eastAsia="Century Gothic" w:cs="Century Gothic"/>
        </w:rPr>
        <w:t>. En consecuencia, una interpretación razonable permite concluir que a partir del 1° de enero de 2024 los indicadores deben acreditarse frente a la Cámara de Comercio conforme a las reglas de generales del Decreto 1082 de 2015, es decir, con la información contable del año inmediatamente anterior –nums. 1.3 y 2.3 del artículo 2.2.1.1.1.5.2 del Decreto 1082 de 2015–.</w:t>
      </w:r>
    </w:p>
    <w:p w:rsidRPr="000D446F" w:rsidR="00CD638B" w:rsidP="00CD638B" w:rsidRDefault="00CD638B" w14:paraId="3366A912" w14:textId="77777777">
      <w:pPr>
        <w:pStyle w:val="Prrafodelista"/>
        <w:spacing w:line="276" w:lineRule="auto"/>
        <w:jc w:val="both"/>
        <w:rPr>
          <w:rFonts w:ascii="Verdana" w:hAnsi="Verdana" w:eastAsia="Century Gothic" w:cs="Century Gothic"/>
        </w:rPr>
      </w:pPr>
      <w:r w:rsidRPr="000D446F">
        <w:rPr>
          <w:rFonts w:ascii="Verdana" w:hAnsi="Verdana" w:eastAsia="Century Gothic" w:cs="Century Gothic"/>
        </w:rPr>
        <w:t xml:space="preserve"> </w:t>
      </w:r>
    </w:p>
    <w:p w:rsidRPr="000D446F" w:rsidR="00CD638B" w:rsidP="00CD638B" w:rsidRDefault="00CD638B" w14:paraId="0470E565" w14:textId="77777777">
      <w:pPr>
        <w:pStyle w:val="Prrafodelista"/>
        <w:numPr>
          <w:ilvl w:val="0"/>
          <w:numId w:val="17"/>
        </w:numPr>
        <w:spacing w:line="276" w:lineRule="auto"/>
        <w:jc w:val="both"/>
        <w:rPr>
          <w:rFonts w:ascii="Verdana" w:hAnsi="Verdana" w:eastAsia="Century Gothic" w:cs="Century Gothic"/>
        </w:rPr>
      </w:pPr>
      <w:r w:rsidRPr="000D446F">
        <w:rPr>
          <w:rFonts w:ascii="Verdana" w:hAnsi="Verdana" w:eastAsia="Century Gothic" w:cs="Century Gothic"/>
        </w:rPr>
        <w:t xml:space="preserve">En ese sentido, debe tenerse en cuenta que por no existir una norma que amplié a la vigencia 2024 las medidas adoptadas en los Decretos 399 y 579 de 2021 y Decreto 1041 de 2022, aquellas personas que partir del 1° de enero de 2024 realicen la inscripción o renovación del Registro Único </w:t>
      </w:r>
      <w:r w:rsidRPr="000D446F">
        <w:rPr>
          <w:rFonts w:ascii="Verdana" w:hAnsi="Verdana" w:eastAsia="Century Gothic" w:cs="Century Gothic"/>
        </w:rPr>
        <w:t xml:space="preserve">de Proponentes solo podrán reportar ante las Cámaras de Comercio la información contable y los estados financieros del último año fiscal. Asimismo, es menester precisar que los proponentes que a la fecha no hayan realizado la respectiva actualización podrán acreditar la capacidad financiera dentro de un Proceso de Contratación con el RUP vigente, teniendo en cuenta que allí también reposa la información correspondiente al último año fiscal. </w:t>
      </w:r>
    </w:p>
    <w:p w:rsidRPr="000D446F" w:rsidR="00CD638B" w:rsidP="00CD638B" w:rsidRDefault="00CD638B" w14:paraId="7A1CFC99" w14:textId="77777777">
      <w:pPr>
        <w:pStyle w:val="Prrafodelista"/>
        <w:rPr>
          <w:rFonts w:ascii="Verdana" w:hAnsi="Verdana" w:eastAsia="Century Gothic" w:cs="Century Gothic"/>
        </w:rPr>
      </w:pPr>
    </w:p>
    <w:p w:rsidRPr="000D446F" w:rsidR="00CD638B" w:rsidP="00CD638B" w:rsidRDefault="00CD638B" w14:paraId="45138087" w14:textId="77777777">
      <w:pPr>
        <w:pStyle w:val="Prrafodelista"/>
        <w:spacing w:line="276" w:lineRule="auto"/>
        <w:jc w:val="both"/>
        <w:rPr>
          <w:rFonts w:ascii="Verdana" w:hAnsi="Verdana" w:eastAsia="Calibri" w:cs="Arial"/>
          <w:sz w:val="18"/>
          <w:szCs w:val="18"/>
        </w:rPr>
      </w:pPr>
    </w:p>
    <w:p w:rsidR="00693ACC" w:rsidP="00CD638B" w:rsidRDefault="00CD638B" w14:paraId="1CE170F5" w14:textId="0E8BFA4C">
      <w:pPr>
        <w:pStyle w:val="Prrafodelista"/>
        <w:numPr>
          <w:ilvl w:val="0"/>
          <w:numId w:val="17"/>
        </w:numPr>
        <w:spacing w:after="120" w:line="276" w:lineRule="auto"/>
        <w:jc w:val="both"/>
        <w:rPr>
          <w:rFonts w:ascii="Verdana" w:hAnsi="Verdana" w:eastAsia="Calibri" w:cs="Arial"/>
        </w:rPr>
      </w:pPr>
      <w:bookmarkStart w:name="_Hlk104104496" w:id="10"/>
      <w:r>
        <w:rPr>
          <w:rFonts w:ascii="Verdana" w:hAnsi="Verdana" w:eastAsia="Calibri" w:cs="Arial"/>
        </w:rPr>
        <w:t>Por otra parte,</w:t>
      </w:r>
      <w:r w:rsidR="00693ACC">
        <w:rPr>
          <w:rFonts w:ascii="Verdana" w:hAnsi="Verdana" w:eastAsia="Calibri" w:cs="Arial"/>
        </w:rPr>
        <w:t xml:space="preserve"> respecto al segundo interrogante planteado,  el artículo 1 de </w:t>
      </w:r>
      <w:r>
        <w:rPr>
          <w:rFonts w:ascii="Verdana" w:hAnsi="Verdana" w:eastAsia="Calibri" w:cs="Arial"/>
        </w:rPr>
        <w:t>l</w:t>
      </w:r>
      <w:r w:rsidRPr="000D446F">
        <w:rPr>
          <w:rFonts w:ascii="Verdana" w:hAnsi="Verdana" w:eastAsia="Calibri" w:cs="Arial"/>
        </w:rPr>
        <w:t>a Ley 2022 de 2020 señalaque</w:t>
      </w:r>
      <w:r w:rsidR="00693ACC">
        <w:rPr>
          <w:rFonts w:ascii="Verdana" w:hAnsi="Verdana" w:eastAsia="Calibri" w:cs="Arial"/>
        </w:rPr>
        <w:t xml:space="preserve">, </w:t>
      </w:r>
      <w:r w:rsidRPr="000D446F">
        <w:rPr>
          <w:rFonts w:ascii="Verdana" w:hAnsi="Verdana" w:eastAsia="Calibri" w:cs="Arial"/>
        </w:rPr>
        <w:t xml:space="preserve"> los documentos tipo adoptados por la Agencia Nacional de Contratación Pública son de </w:t>
      </w:r>
      <w:r w:rsidRPr="000D446F">
        <w:rPr>
          <w:rFonts w:ascii="Verdana" w:hAnsi="Verdana" w:eastAsia="Calibri" w:cs="Arial"/>
          <w:i/>
        </w:rPr>
        <w:t>obligatorio</w:t>
      </w:r>
      <w:r w:rsidRPr="000D446F">
        <w:rPr>
          <w:rFonts w:ascii="Verdana" w:hAnsi="Verdana" w:eastAsia="Calibri" w:cs="Arial"/>
        </w:rPr>
        <w:t xml:space="preserve"> cumplimiento por todas las entidades públicas, cuyo régimen de contratación sea el Estatuto General de la Contratación de la Administración Pública ‒EGCAP‒. </w:t>
      </w:r>
    </w:p>
    <w:p w:rsidR="00CD638B" w:rsidP="00CD638B" w:rsidRDefault="00CD638B" w14:paraId="18369A21" w14:textId="1A251D4A">
      <w:pPr>
        <w:pStyle w:val="Prrafodelista"/>
        <w:numPr>
          <w:ilvl w:val="0"/>
          <w:numId w:val="17"/>
        </w:numPr>
        <w:spacing w:after="120" w:line="276" w:lineRule="auto"/>
        <w:jc w:val="both"/>
        <w:rPr>
          <w:rFonts w:ascii="Verdana" w:hAnsi="Verdana" w:eastAsia="Calibri" w:cs="Arial"/>
        </w:rPr>
      </w:pPr>
      <w:r w:rsidRPr="000D446F">
        <w:rPr>
          <w:rFonts w:ascii="Verdana" w:hAnsi="Verdana" w:eastAsia="Calibri" w:cs="Arial"/>
        </w:rPr>
        <w:t xml:space="preserve">Esta obligatoriedad implica, a su vez, que las entidades estatales tengan que adelantar los procesos de contratación bajo las condiciones establecidas en los documentos tipo que rijan para el objeto a contratar y el procedimiento de selección aplicables, sin que puedan variarse los requisitos fijados en ellos. Lo anterior, por cuanto los documentos tipo se caracterizan por ser inalterables, es decir, que las entidades públicas carecen de la facultad de modificarlos, con excepción de aquellos aspectos que pueden diligenciar, que son las descripciones que están incluidas entre corchetes y resaltadas en gris en cada uno de los documentos tipo. </w:t>
      </w:r>
    </w:p>
    <w:p w:rsidRPr="000D446F" w:rsidR="00CD638B" w:rsidP="00CD638B" w:rsidRDefault="00CD638B" w14:paraId="01C3AABA" w14:textId="77777777">
      <w:pPr>
        <w:pStyle w:val="Prrafodelista"/>
        <w:spacing w:after="120" w:line="276" w:lineRule="auto"/>
        <w:jc w:val="both"/>
        <w:rPr>
          <w:rFonts w:ascii="Verdana" w:hAnsi="Verdana" w:eastAsia="Calibri" w:cs="Arial"/>
        </w:rPr>
      </w:pPr>
    </w:p>
    <w:bookmarkEnd w:id="10"/>
    <w:p w:rsidR="00CD638B" w:rsidP="00CD638B" w:rsidRDefault="00CD638B" w14:paraId="4A7940AA" w14:textId="77777777">
      <w:pPr>
        <w:pStyle w:val="Prrafodelista"/>
        <w:numPr>
          <w:ilvl w:val="0"/>
          <w:numId w:val="17"/>
        </w:numPr>
        <w:spacing w:after="120" w:line="276" w:lineRule="auto"/>
        <w:jc w:val="both"/>
        <w:rPr>
          <w:rFonts w:ascii="Verdana" w:hAnsi="Verdana" w:eastAsia="Calibri" w:cs="Arial"/>
        </w:rPr>
      </w:pPr>
      <w:r w:rsidRPr="000D446F">
        <w:rPr>
          <w:rFonts w:ascii="Verdana" w:hAnsi="Verdana" w:eastAsia="Calibri" w:cs="Arial"/>
          <w:shd w:val="clear" w:color="auto" w:fill="FFFFFF"/>
        </w:rPr>
        <w:t xml:space="preserve">De acuerdo con lo expuesto, </w:t>
      </w:r>
      <w:r w:rsidRPr="000D446F">
        <w:rPr>
          <w:rFonts w:ascii="Verdana" w:hAnsi="Verdana" w:eastAsia="Calibri" w:cs="Arial"/>
        </w:rPr>
        <w:t>las entidades estatales regidas por el Estatuto General de Contratación de la Administración Pública, de conformidad con el parágrafo 7 del artículo 2 de la Ley 1150 de 2007, adicionado por la Ley 1882 de 2018 y modificado por la Ley 2022 de 2020, se encuentran obligadas a aplicar los documentos tipo implementados por esta Agencia para adelantar los procesos de contratación que se encuentren cobijados por los documentos tipo expedidos. Sin embargo, si el objeto contractual no se relaciona con actividades u objetos contractuales descritos en los documentos tipo que han sido expedidos por Colombia Compra Eficiente, o estos no aplican a la modalidad de escogencia aplicable, no será obligatorio aplicar los pliegos tipo.</w:t>
      </w:r>
    </w:p>
    <w:p w:rsidRPr="000D446F" w:rsidR="00CD638B" w:rsidP="00CD638B" w:rsidRDefault="00CD638B" w14:paraId="28B2A236" w14:textId="77777777">
      <w:pPr>
        <w:spacing w:after="120" w:line="276" w:lineRule="auto"/>
        <w:jc w:val="both"/>
        <w:rPr>
          <w:rFonts w:ascii="Verdana" w:hAnsi="Verdana" w:eastAsia="Calibri" w:cs="Arial"/>
        </w:rPr>
      </w:pPr>
      <w:r w:rsidRPr="000D446F">
        <w:rPr>
          <w:rFonts w:ascii="Verdana" w:hAnsi="Verdana" w:eastAsia="Calibri" w:cs="Arial"/>
        </w:rPr>
        <w:t xml:space="preserve"> </w:t>
      </w:r>
    </w:p>
    <w:p w:rsidRPr="000D446F" w:rsidR="00CD638B" w:rsidP="00CD638B" w:rsidRDefault="00CD638B" w14:paraId="6805C409" w14:textId="77777777">
      <w:pPr>
        <w:pStyle w:val="Prrafodelista"/>
        <w:numPr>
          <w:ilvl w:val="0"/>
          <w:numId w:val="17"/>
        </w:numPr>
        <w:spacing w:after="120" w:line="276" w:lineRule="auto"/>
        <w:jc w:val="both"/>
        <w:rPr>
          <w:rFonts w:ascii="Verdana" w:hAnsi="Verdana" w:eastAsia="Calibri" w:cs="Arial"/>
          <w:lang w:val="es-ES_tradnl"/>
        </w:rPr>
      </w:pPr>
      <w:r w:rsidRPr="000D446F">
        <w:rPr>
          <w:rFonts w:ascii="Verdana" w:hAnsi="Verdana" w:eastAsia="Calibri" w:cs="Arial"/>
        </w:rPr>
        <w:t>Además del objeto y la modalidad de escogencia aplicable, para delimitar de forma más precisa el ámbito de aplicación de cada uno de los documentos tipo será necesario analizar la matriz de experiencia asociada a cada uno de ellos, pues estos aplicarán a los proyectos y/o actividades específicas contempladas en cada una de dichas matrices de experiencia. En este sentido, la matriz de experiencia de cada uno de los documentos tipo, además de estandarizar este importante requisito en los procedimientos de selección, delimita o precisa el ámbito de aplicación de los mismos, por lo que aplicarán a las actividades establecidas en cada una de estas matrices</w:t>
      </w:r>
      <w:r w:rsidRPr="000D446F">
        <w:rPr>
          <w:rStyle w:val="Refdenotaalpie"/>
          <w:rFonts w:ascii="Verdana" w:hAnsi="Verdana" w:eastAsia="Calibri" w:cs="Arial"/>
        </w:rPr>
        <w:footnoteReference w:id="4"/>
      </w:r>
      <w:r w:rsidRPr="000D446F">
        <w:rPr>
          <w:rFonts w:ascii="Verdana" w:hAnsi="Verdana" w:eastAsia="Calibri" w:cs="Arial"/>
        </w:rPr>
        <w:t>.</w:t>
      </w:r>
    </w:p>
    <w:p w:rsidR="00CD638B" w:rsidP="00CD638B" w:rsidRDefault="00693ACC" w14:paraId="39A6B990" w14:textId="7DA72BFA">
      <w:pPr>
        <w:pStyle w:val="Prrafodelista"/>
        <w:numPr>
          <w:ilvl w:val="0"/>
          <w:numId w:val="17"/>
        </w:numPr>
        <w:spacing w:after="120" w:line="276" w:lineRule="auto"/>
        <w:jc w:val="both"/>
        <w:rPr>
          <w:rFonts w:ascii="Verdana" w:hAnsi="Verdana" w:cs="Arial"/>
        </w:rPr>
      </w:pPr>
      <w:r>
        <w:rPr>
          <w:rFonts w:ascii="Verdana" w:hAnsi="Verdana" w:cs="Arial"/>
        </w:rPr>
        <w:t>E</w:t>
      </w:r>
      <w:r w:rsidRPr="000D446F" w:rsidR="00CD638B">
        <w:rPr>
          <w:rFonts w:ascii="Verdana" w:hAnsi="Verdana" w:cs="Arial"/>
        </w:rPr>
        <w:t xml:space="preserve">sta Agencia ha expedido diversos grupos de documentos tipo aplicables principalmente a la contratación de obras públicas de infraestructura de transporte, agua potable, saneamiento básico y social, infraestructura social, pero también para interventoría y consultoría de estudios de ingeniería. De conformidad con las modalidades de selección establecidas en el artículo 2 de la Ley 1150 de 2007, estos documentos tipo se han expedido para las modalidades de selección de licitación pública, selección abreviada de menor cuantía y concurso de méritos. </w:t>
      </w:r>
    </w:p>
    <w:p w:rsidRPr="000D446F" w:rsidR="00693ACC" w:rsidP="00693ACC" w:rsidRDefault="00693ACC" w14:paraId="0E9EA473" w14:textId="77777777">
      <w:pPr>
        <w:pStyle w:val="Prrafodelista"/>
        <w:numPr>
          <w:ilvl w:val="0"/>
          <w:numId w:val="17"/>
        </w:numPr>
        <w:spacing w:after="120" w:line="276" w:lineRule="auto"/>
        <w:jc w:val="both"/>
        <w:rPr>
          <w:rFonts w:ascii="Verdana" w:hAnsi="Verdana" w:cs="Arial"/>
        </w:rPr>
      </w:pPr>
      <w:r w:rsidRPr="000D446F">
        <w:rPr>
          <w:rFonts w:ascii="Verdana" w:hAnsi="Verdana" w:cs="Arial"/>
        </w:rPr>
        <w:t xml:space="preserve">En conclusión, la definición de si a un proceso de contratación le aplican los documentos tipo radicará en si el contrato a ejecutar se enmarca dentro de las actividades establecidas en la matriz de experiencia del documento tipo, de modo que las entidades estatales sometidas al Estatuto General de Contratación de la Administración Pública deberán aplicar los documentos tipo en dichos supuestos. En todo caso, independientemente de la correspondencia entre el objeto a contratar y alguna de las actividades tipificadas en las matrices de experiencia, la aplicación del documento tipo solo será forzosa, si además el correspondiente documento tipo ha sido expedido para la modalidad de escogencia en la que se debe adelantar el proceso de selección. </w:t>
      </w:r>
    </w:p>
    <w:p w:rsidRPr="000D446F" w:rsidR="00693ACC" w:rsidP="002D5921" w:rsidRDefault="00693ACC" w14:paraId="32B3AF3C" w14:textId="77777777">
      <w:pPr>
        <w:pStyle w:val="Prrafodelista"/>
        <w:spacing w:after="120" w:line="276" w:lineRule="auto"/>
        <w:jc w:val="both"/>
        <w:rPr>
          <w:rFonts w:ascii="Verdana" w:hAnsi="Verdana" w:cs="Arial"/>
        </w:rPr>
      </w:pPr>
    </w:p>
    <w:p w:rsidRPr="00880B0C" w:rsidR="00CD638B" w:rsidP="00CD638B" w:rsidRDefault="00CD638B" w14:paraId="72D832AF" w14:textId="77777777">
      <w:pPr>
        <w:pStyle w:val="Prrafodelista"/>
        <w:spacing w:line="276" w:lineRule="auto"/>
        <w:rPr>
          <w:rFonts w:ascii="Century Gothic" w:hAnsi="Century Gothic" w:eastAsia="Century Gothic" w:cs="Century Gothic"/>
          <w:color w:val="000000" w:themeColor="text1"/>
        </w:rPr>
      </w:pPr>
    </w:p>
    <w:p w:rsidRPr="00593A5F" w:rsidR="00CD638B" w:rsidP="00CD638B" w:rsidRDefault="00CD638B" w14:paraId="6B1D5C95"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Referencias normativas, jurisprudenciales y otras fuentes:</w:t>
      </w:r>
    </w:p>
    <w:p w:rsidRPr="00593A5F" w:rsidR="00CD638B" w:rsidP="00CD638B" w:rsidRDefault="00CD638B" w14:paraId="6075A774"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593A5F" w:rsidR="00CD638B" w:rsidTr="00943A7D" w14:paraId="153DF02D" w14:textId="77777777">
        <w:trPr>
          <w:trHeight w:val="870"/>
        </w:trPr>
        <w:tc>
          <w:tcPr>
            <w:tcW w:w="8647" w:type="dxa"/>
          </w:tcPr>
          <w:p w:rsidR="00CD638B" w:rsidP="00943A7D" w:rsidRDefault="00CD638B" w14:paraId="1CA5F990" w14:textId="77777777">
            <w:pPr>
              <w:pStyle w:val="Prrafodelista"/>
              <w:widowControl w:val="0"/>
              <w:numPr>
                <w:ilvl w:val="0"/>
                <w:numId w:val="18"/>
              </w:numPr>
              <w:autoSpaceDE w:val="0"/>
              <w:autoSpaceDN w:val="0"/>
              <w:spacing w:after="120" w:line="276" w:lineRule="auto"/>
              <w:ind w:left="454"/>
              <w:jc w:val="both"/>
              <w:rPr>
                <w:rFonts w:ascii="Verdana" w:hAnsi="Verdana" w:cs="Arial"/>
              </w:rPr>
            </w:pPr>
            <w:r w:rsidRPr="000D446F">
              <w:rPr>
                <w:rFonts w:ascii="Verdana" w:hAnsi="Verdana" w:cs="Arial"/>
              </w:rPr>
              <w:t>Ley 80 de 1993, artículos 77.</w:t>
            </w:r>
          </w:p>
          <w:p w:rsidRPr="000D446F" w:rsidR="005D3368" w:rsidP="00943A7D" w:rsidRDefault="005D3368" w14:paraId="245C0147" w14:textId="7F664382">
            <w:pPr>
              <w:pStyle w:val="Prrafodelista"/>
              <w:widowControl w:val="0"/>
              <w:numPr>
                <w:ilvl w:val="0"/>
                <w:numId w:val="18"/>
              </w:numPr>
              <w:autoSpaceDE w:val="0"/>
              <w:autoSpaceDN w:val="0"/>
              <w:spacing w:after="120" w:line="276" w:lineRule="auto"/>
              <w:ind w:left="454"/>
              <w:jc w:val="both"/>
              <w:rPr>
                <w:rFonts w:ascii="Verdana" w:hAnsi="Verdana" w:cs="Arial"/>
              </w:rPr>
            </w:pPr>
            <w:r>
              <w:rPr>
                <w:rFonts w:ascii="Verdana" w:hAnsi="Verdana" w:cs="Arial"/>
              </w:rPr>
              <w:t>Ley 1150 de 20</w:t>
            </w:r>
            <w:r w:rsidR="00CE123C">
              <w:rPr>
                <w:rFonts w:ascii="Verdana" w:hAnsi="Verdana" w:cs="Arial"/>
              </w:rPr>
              <w:t>07</w:t>
            </w:r>
          </w:p>
          <w:p w:rsidRPr="000D446F" w:rsidR="00CD638B" w:rsidP="00943A7D" w:rsidRDefault="00CD638B" w14:paraId="2663DCC9" w14:textId="77777777">
            <w:pPr>
              <w:pStyle w:val="Prrafodelista"/>
              <w:widowControl w:val="0"/>
              <w:numPr>
                <w:ilvl w:val="0"/>
                <w:numId w:val="18"/>
              </w:numPr>
              <w:autoSpaceDE w:val="0"/>
              <w:autoSpaceDN w:val="0"/>
              <w:spacing w:after="120" w:line="276" w:lineRule="auto"/>
              <w:ind w:left="454"/>
              <w:jc w:val="both"/>
              <w:rPr>
                <w:rFonts w:ascii="Verdana" w:hAnsi="Verdana" w:cs="Arial"/>
              </w:rPr>
            </w:pPr>
            <w:r w:rsidRPr="000D446F">
              <w:rPr>
                <w:rFonts w:ascii="Verdana" w:hAnsi="Verdana" w:cs="Arial"/>
              </w:rPr>
              <w:t xml:space="preserve">Ley 1437 de 2011 </w:t>
            </w:r>
          </w:p>
          <w:p w:rsidRPr="00CE123C" w:rsidR="00CD638B" w:rsidP="00943A7D" w:rsidRDefault="00CD638B" w14:paraId="6019CBD5" w14:textId="77777777">
            <w:pPr>
              <w:pStyle w:val="Prrafodelista"/>
              <w:widowControl w:val="0"/>
              <w:numPr>
                <w:ilvl w:val="0"/>
                <w:numId w:val="18"/>
              </w:numPr>
              <w:autoSpaceDE w:val="0"/>
              <w:autoSpaceDN w:val="0"/>
              <w:spacing w:after="120" w:line="276" w:lineRule="auto"/>
              <w:ind w:left="454"/>
              <w:jc w:val="both"/>
              <w:rPr>
                <w:rFonts w:ascii="Verdana" w:hAnsi="Verdana" w:cs="Arial"/>
              </w:rPr>
            </w:pPr>
            <w:r w:rsidRPr="000D446F">
              <w:rPr>
                <w:rFonts w:ascii="Verdana" w:hAnsi="Verdana" w:eastAsia="Calibri" w:cs="Arial"/>
              </w:rPr>
              <w:t xml:space="preserve">Decreto 1082 de 2015. </w:t>
            </w:r>
          </w:p>
          <w:p w:rsidRPr="000D446F" w:rsidR="00CE123C" w:rsidP="00943A7D" w:rsidRDefault="00CE123C" w14:paraId="7EBEC6E1" w14:textId="77E094B4">
            <w:pPr>
              <w:pStyle w:val="Prrafodelista"/>
              <w:widowControl w:val="0"/>
              <w:numPr>
                <w:ilvl w:val="0"/>
                <w:numId w:val="18"/>
              </w:numPr>
              <w:autoSpaceDE w:val="0"/>
              <w:autoSpaceDN w:val="0"/>
              <w:spacing w:after="120" w:line="276" w:lineRule="auto"/>
              <w:ind w:left="454"/>
              <w:jc w:val="both"/>
              <w:rPr>
                <w:rFonts w:ascii="Verdana" w:hAnsi="Verdana" w:cs="Arial"/>
              </w:rPr>
            </w:pPr>
            <w:r w:rsidRPr="000D446F">
              <w:rPr>
                <w:rFonts w:ascii="Verdana" w:hAnsi="Verdana" w:eastAsia="Calibri" w:cs="Arial"/>
              </w:rPr>
              <w:t>Ley 1882 de 2018</w:t>
            </w:r>
          </w:p>
          <w:p w:rsidRPr="000D446F" w:rsidR="00CD638B" w:rsidP="00943A7D" w:rsidRDefault="00CD638B" w14:paraId="58AD88CA" w14:textId="77777777">
            <w:pPr>
              <w:pStyle w:val="Prrafodelista"/>
              <w:widowControl w:val="0"/>
              <w:numPr>
                <w:ilvl w:val="0"/>
                <w:numId w:val="18"/>
              </w:numPr>
              <w:autoSpaceDE w:val="0"/>
              <w:autoSpaceDN w:val="0"/>
              <w:spacing w:after="120" w:line="276" w:lineRule="auto"/>
              <w:ind w:left="454"/>
              <w:jc w:val="both"/>
              <w:rPr>
                <w:rFonts w:ascii="Verdana" w:hAnsi="Verdana" w:cs="Arial"/>
              </w:rPr>
            </w:pPr>
            <w:r w:rsidRPr="000D446F">
              <w:rPr>
                <w:rFonts w:ascii="Verdana" w:hAnsi="Verdana" w:cs="Arial"/>
              </w:rPr>
              <w:t>Decreto 579 de 2021</w:t>
            </w:r>
          </w:p>
          <w:p w:rsidRPr="002D5921" w:rsidR="00CD638B" w:rsidP="00943A7D" w:rsidRDefault="00CD638B" w14:paraId="0056E385" w14:textId="77777777">
            <w:pPr>
              <w:pStyle w:val="Prrafodelista"/>
              <w:widowControl w:val="0"/>
              <w:numPr>
                <w:ilvl w:val="0"/>
                <w:numId w:val="18"/>
              </w:numPr>
              <w:autoSpaceDE w:val="0"/>
              <w:autoSpaceDN w:val="0"/>
              <w:spacing w:after="120" w:line="276" w:lineRule="auto"/>
              <w:ind w:left="454"/>
              <w:jc w:val="both"/>
              <w:rPr>
                <w:rFonts w:ascii="Verdana" w:hAnsi="Verdana" w:cs="Arial"/>
              </w:rPr>
            </w:pPr>
            <w:r w:rsidRPr="000D446F">
              <w:rPr>
                <w:rFonts w:ascii="Verdana" w:hAnsi="Verdana" w:eastAsia="Century Gothic" w:cs="Century Gothic"/>
                <w:lang w:val="es-MX"/>
              </w:rPr>
              <w:t>Decreto 399 de 2021</w:t>
            </w:r>
          </w:p>
          <w:p w:rsidRPr="000D446F" w:rsidR="000D69EF" w:rsidP="00943A7D" w:rsidRDefault="000D69EF" w14:paraId="14658221" w14:textId="70BBD084">
            <w:pPr>
              <w:pStyle w:val="Prrafodelista"/>
              <w:widowControl w:val="0"/>
              <w:numPr>
                <w:ilvl w:val="0"/>
                <w:numId w:val="18"/>
              </w:numPr>
              <w:autoSpaceDE w:val="0"/>
              <w:autoSpaceDN w:val="0"/>
              <w:spacing w:after="120" w:line="276" w:lineRule="auto"/>
              <w:ind w:left="454"/>
              <w:jc w:val="both"/>
              <w:rPr>
                <w:rFonts w:ascii="Verdana" w:hAnsi="Verdana" w:cs="Arial"/>
              </w:rPr>
            </w:pPr>
            <w:r w:rsidRPr="009E2F31">
              <w:rPr>
                <w:rFonts w:ascii="Verdana" w:hAnsi="Verdana" w:eastAsia="Calibri" w:cs="Arial"/>
                <w:color w:val="000000" w:themeColor="text1"/>
                <w:lang w:val="es-CO"/>
              </w:rPr>
              <w:t>Manual para determinar y verificar los requisitos habilitantes en los procesos de contratación</w:t>
            </w:r>
          </w:p>
        </w:tc>
      </w:tr>
    </w:tbl>
    <w:p w:rsidRPr="00593A5F" w:rsidR="00CD638B" w:rsidP="00CD638B" w:rsidRDefault="00CD638B" w14:paraId="0433AD11" w14:textId="77777777">
      <w:pPr>
        <w:widowControl w:val="0"/>
        <w:autoSpaceDE w:val="0"/>
        <w:autoSpaceDN w:val="0"/>
        <w:spacing w:after="0" w:line="276" w:lineRule="auto"/>
        <w:jc w:val="both"/>
        <w:rPr>
          <w:rFonts w:ascii="Verdana" w:hAnsi="Verdana" w:cs="Arial"/>
        </w:rPr>
      </w:pPr>
    </w:p>
    <w:p w:rsidRPr="00593A5F" w:rsidR="00CD638B" w:rsidP="00CD638B" w:rsidRDefault="00CD638B" w14:paraId="4D8319ED"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Pr>
          <w:rFonts w:ascii="Verdana" w:hAnsi="Verdana" w:eastAsia="Century Gothic" w:cs="Century Gothic"/>
          <w:b/>
          <w:bCs/>
        </w:rPr>
        <w:t>Doctrina de la Agencia Nacional de Contratación Pública</w:t>
      </w:r>
      <w:r w:rsidRPr="00593A5F">
        <w:rPr>
          <w:rFonts w:ascii="Verdana" w:hAnsi="Verdana" w:eastAsia="Century Gothic" w:cs="Century Gothic"/>
          <w:b/>
          <w:bCs/>
        </w:rPr>
        <w:t>:</w:t>
      </w:r>
    </w:p>
    <w:p w:rsidR="00CD638B" w:rsidP="00CD638B" w:rsidRDefault="00CD638B" w14:paraId="39866E24" w14:textId="77777777">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rsidR="00CD638B" w:rsidP="00CD638B" w:rsidRDefault="00CD638B" w14:paraId="753C3B22" w14:textId="71B326CA">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701FB8">
        <w:rPr>
          <w:rStyle w:val="normaltextrun"/>
          <w:rFonts w:ascii="Verdana" w:hAnsi="Verdana" w:cs="Arial"/>
          <w:color w:val="000000" w:themeColor="text1"/>
          <w:shd w:val="clear" w:color="auto" w:fill="FFFFFF"/>
          <w:lang w:val="es-ES"/>
        </w:rPr>
        <w:t xml:space="preserve">La Subdirección de Gestión Contractual se ha pronunciado </w:t>
      </w:r>
      <w:r w:rsidRPr="00EE1566">
        <w:rPr>
          <w:rFonts w:ascii="Verdana" w:hAnsi="Verdana" w:cs="Arial"/>
          <w:color w:val="000000" w:themeColor="text1"/>
          <w:shd w:val="clear" w:color="auto" w:fill="FFFFFF"/>
          <w:lang w:val="es-ES_tradnl"/>
        </w:rPr>
        <w:t xml:space="preserve">ha impartido lineamientos sobre la acreditación de los indicadores de capacidad financiera y organizacional de los oferentes mediante el RUP en los conceptos No. 4201912000006798 del 24 de octubre de 2019, C-002 del 12 de febrero de 2020, C-089 del 4 de marzo de 2020, C-099 del 06 de abril de 2020, C-166 del 14 de abril de 2020, C-233 del 16 de abril de 2020, C-326 del 9 de junio de 2020, C-140 del 9 de abril de 202, entre otros. Respecto de la reciente reglamentación establecida en los Decretos 399 y 579 de 2021 y 1041 de 2022 se pronunció en los Conceptos C-288 de 17 de junio de 2021, C-353 del 19 de julio de 2021, C-366 del 26 de julio de 2021 y C-372 del 28 de julio de 2021, C-406 del 8 de agosto de 2021, C-407 del 25 de agosto de 2021, C-439 de 5 de julio de 2022, C-831 del 28 de noviembre del 2022, C-005 de 21 de febrero de 2023, C-050 de 22 de marzo de 2023, C-185 de 8 de junio de 2023, C-277 de 14 de julio de 2023, C-350 del 28 de agosto de 2023, C-355 del 30 de agosto de 2023, C-006 de marzo 2024 </w:t>
      </w:r>
      <w:r w:rsidR="00F34A9F">
        <w:rPr>
          <w:rFonts w:ascii="Verdana" w:hAnsi="Verdana" w:cs="Arial"/>
          <w:color w:val="000000" w:themeColor="text1"/>
          <w:shd w:val="clear" w:color="auto" w:fill="FFFFFF"/>
          <w:lang w:val="es-ES_tradnl"/>
        </w:rPr>
        <w:t xml:space="preserve">, </w:t>
      </w:r>
      <w:r w:rsidRPr="00EE1566">
        <w:rPr>
          <w:rFonts w:ascii="Verdana" w:hAnsi="Verdana" w:cs="Arial"/>
          <w:color w:val="000000" w:themeColor="text1"/>
          <w:shd w:val="clear" w:color="auto" w:fill="FFFFFF"/>
          <w:lang w:val="es-ES_tradnl"/>
        </w:rPr>
        <w:t>C-26 de 2024</w:t>
      </w:r>
      <w:r w:rsidR="00F34A9F">
        <w:rPr>
          <w:rFonts w:ascii="Verdana" w:hAnsi="Verdana" w:cs="Arial"/>
          <w:color w:val="000000" w:themeColor="text1"/>
          <w:shd w:val="clear" w:color="auto" w:fill="FFFFFF"/>
          <w:lang w:val="es-ES_tradnl"/>
        </w:rPr>
        <w:t xml:space="preserve"> y </w:t>
      </w:r>
      <w:r w:rsidRPr="00F34A9F" w:rsidR="00F34A9F">
        <w:rPr>
          <w:rFonts w:ascii="Verdana" w:hAnsi="Verdana" w:cs="Arial"/>
          <w:color w:val="000000" w:themeColor="text1"/>
          <w:shd w:val="clear" w:color="auto" w:fill="FFFFFF"/>
        </w:rPr>
        <w:t>Concepto C- 277 de 2024</w:t>
      </w:r>
      <w:r>
        <w:rPr>
          <w:rFonts w:ascii="Verdana" w:hAnsi="Verdana" w:cs="Arial"/>
          <w:color w:val="000000" w:themeColor="text1"/>
          <w:shd w:val="clear" w:color="auto" w:fill="FFFFFF"/>
          <w:lang w:val="es-ES_tradnl"/>
        </w:rPr>
        <w:t>.</w:t>
      </w:r>
    </w:p>
    <w:p w:rsidR="00CD638B" w:rsidP="00CD638B" w:rsidRDefault="00CD638B" w14:paraId="22B58250" w14:textId="77777777">
      <w:pPr>
        <w:widowControl w:val="0"/>
        <w:autoSpaceDE w:val="0"/>
        <w:autoSpaceDN w:val="0"/>
        <w:spacing w:after="0" w:line="276" w:lineRule="auto"/>
        <w:jc w:val="both"/>
        <w:rPr>
          <w:rFonts w:ascii="Verdana" w:hAnsi="Verdana" w:cs="Arial"/>
          <w:color w:val="000000" w:themeColor="text1"/>
          <w:shd w:val="clear" w:color="auto" w:fill="FFFFFF"/>
          <w:lang w:val="es-ES_tradnl"/>
        </w:rPr>
      </w:pPr>
    </w:p>
    <w:p w:rsidR="00CD638B" w:rsidP="00CD638B" w:rsidRDefault="00CD638B" w14:paraId="2854ED63" w14:textId="60FD7438">
      <w:pPr>
        <w:widowControl w:val="0"/>
        <w:autoSpaceDE w:val="0"/>
        <w:autoSpaceDN w:val="0"/>
        <w:spacing w:after="0" w:line="276" w:lineRule="auto"/>
        <w:jc w:val="both"/>
        <w:rPr>
          <w:rFonts w:ascii="Verdana" w:hAnsi="Verdana" w:cs="Arial"/>
          <w:color w:val="000000" w:themeColor="text1"/>
          <w:shd w:val="clear" w:color="auto" w:fill="FFFFFF"/>
          <w:lang w:val="es-ES_tradnl"/>
        </w:rPr>
      </w:pPr>
      <w:r>
        <w:rPr>
          <w:rFonts w:ascii="Verdana" w:hAnsi="Verdana" w:cs="Arial"/>
          <w:color w:val="000000" w:themeColor="text1"/>
          <w:shd w:val="clear" w:color="auto" w:fill="FFFFFF"/>
          <w:lang w:val="es-ES_tradnl"/>
        </w:rPr>
        <w:t xml:space="preserve">Por su parte </w:t>
      </w:r>
      <w:r w:rsidRPr="00A8619D">
        <w:rPr>
          <w:rFonts w:ascii="Verdana" w:hAnsi="Verdana" w:cs="Arial"/>
          <w:color w:val="000000" w:themeColor="text1"/>
          <w:shd w:val="clear" w:color="auto" w:fill="FFFFFF"/>
          <w:lang w:val="es-ES_tradnl"/>
        </w:rPr>
        <w:t>en los conceptos C-645 del 6 de noviembre de 2020, C-673 del 11 de noviembre de 2020, C-692 del 27 de noviembre de 2020, C-778 del 18 de enero de 2021, C-021 del 22 de febrero de 2021, C-064 del 8 de marzo de 2021, C-071 del 17 de marzo de 2021, C-076 del 17 de marzo de 2021, C-375 de 27 de septiembre de 2021, C-536 de 29 de septiembre de 2021, y C-719 de 24 de enero de 2022, analizó el ámbito de aplicación de los documentos tipo. Así mismo, en los conceptos C- 090 del 16 de marzo de 2022, C-228 del 27 de abril de 2022 y C-242 del 2 de mayo de 2022, C-937 de 2022,</w:t>
      </w:r>
      <w:r w:rsidRPr="00693ACC" w:rsidR="00693ACC">
        <w:rPr>
          <w:rFonts w:ascii="FAAABA+Verdana-Bold" w:hAnsi="FAAABA+Verdana-Bold" w:cs="FAAABA+Verdana-Bold"/>
          <w:b/>
          <w:bCs/>
          <w:color w:val="000000"/>
        </w:rPr>
        <w:t xml:space="preserve"> </w:t>
      </w:r>
      <w:r w:rsidRPr="00D42A09" w:rsidR="00693ACC">
        <w:rPr>
          <w:rFonts w:ascii="Verdana" w:hAnsi="Verdana" w:cs="Arial"/>
          <w:color w:val="000000" w:themeColor="text1"/>
          <w:shd w:val="clear" w:color="auto" w:fill="FFFFFF"/>
        </w:rPr>
        <w:t>Concepto C–123 de 2024</w:t>
      </w:r>
      <w:r w:rsidRPr="00693ACC" w:rsidR="00693ACC">
        <w:rPr>
          <w:rFonts w:ascii="Verdana" w:hAnsi="Verdana" w:cs="Arial"/>
          <w:b/>
          <w:bCs/>
          <w:color w:val="000000" w:themeColor="text1"/>
          <w:shd w:val="clear" w:color="auto" w:fill="FFFFFF"/>
        </w:rPr>
        <w:t xml:space="preserve"> </w:t>
      </w:r>
      <w:r w:rsidRPr="00A8619D">
        <w:rPr>
          <w:rFonts w:ascii="Verdana" w:hAnsi="Verdana" w:cs="Arial"/>
          <w:color w:val="000000" w:themeColor="text1"/>
          <w:shd w:val="clear" w:color="auto" w:fill="FFFFFF"/>
          <w:lang w:val="es-ES_tradnl"/>
        </w:rPr>
        <w:t xml:space="preserve"> esta Agencia estudió las particularidades de los documentos tipo.</w:t>
      </w:r>
    </w:p>
    <w:p w:rsidR="00CD638B" w:rsidP="00CD638B" w:rsidRDefault="00CD638B" w14:paraId="5D23BCE4" w14:textId="77777777">
      <w:pPr>
        <w:widowControl w:val="0"/>
        <w:autoSpaceDE w:val="0"/>
        <w:autoSpaceDN w:val="0"/>
        <w:spacing w:after="0" w:line="276" w:lineRule="auto"/>
        <w:jc w:val="both"/>
        <w:rPr>
          <w:rFonts w:ascii="Verdana" w:hAnsi="Verdana" w:cs="Arial"/>
          <w:color w:val="000000" w:themeColor="text1"/>
          <w:shd w:val="clear" w:color="auto" w:fill="FFFFFF"/>
          <w:lang w:val="es-ES_tradnl"/>
        </w:rPr>
      </w:pPr>
    </w:p>
    <w:p w:rsidR="00CD638B" w:rsidP="00CD638B" w:rsidRDefault="00CD638B" w14:paraId="3F124D12" w14:textId="77777777">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w:tgtFrame="_blank" w:tooltip="Dirección URL original: https://relatoria.colombiacompra.gov.co/. Haga clic o pulse si confía en este vínculo." w:history="1" r:id="rId12">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 Te invitamos también a revisar la tercera edición del  Boletín de Relatoría de 2024 en el cual podrás consultar en detalle el marco normativo de documentos tipo: </w:t>
      </w:r>
      <w:hyperlink w:tgtFrame="_blank" w:tooltip="Dirección URL original: https://www.colombiacompra.gov.co/sites/cce_public/files/files_2020/boletin_de_realtoria_iii.pdf. Haga clic o pulse si confía en este vínculo." w:history="1" r:id="rId13">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rsidR="00CD638B" w:rsidP="00CD638B" w:rsidRDefault="00CD638B" w14:paraId="3C238800" w14:textId="77777777">
      <w:pPr>
        <w:widowControl w:val="0"/>
        <w:autoSpaceDE w:val="0"/>
        <w:autoSpaceDN w:val="0"/>
        <w:spacing w:after="0" w:line="276" w:lineRule="auto"/>
        <w:jc w:val="both"/>
        <w:rPr>
          <w:rFonts w:ascii="Verdana" w:hAnsi="Verdana" w:cs="Arial"/>
          <w:color w:val="000000" w:themeColor="text1"/>
          <w:shd w:val="clear" w:color="auto" w:fill="FFFFFF"/>
          <w:lang w:val="es-ES_tradnl"/>
        </w:rPr>
      </w:pPr>
    </w:p>
    <w:p w:rsidR="00CD638B" w:rsidP="00CD638B" w:rsidRDefault="00CD638B" w14:paraId="3A254762" w14:textId="77777777">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w:t>
      </w:r>
      <w:r>
        <w:rPr>
          <w:rFonts w:ascii="Verdana" w:hAnsi="Verdana" w:cs="Arial"/>
          <w:color w:val="000000" w:themeColor="text1"/>
          <w:shd w:val="clear" w:color="auto" w:fill="FFFFFF"/>
        </w:rPr>
        <w:t xml:space="preserve"> e</w:t>
      </w:r>
      <w:r w:rsidRPr="00A8619D">
        <w:rPr>
          <w:rFonts w:ascii="Verdana" w:hAnsi="Verdana" w:cs="Arial"/>
          <w:color w:val="000000" w:themeColor="text1"/>
          <w:shd w:val="clear" w:color="auto" w:fill="FFFFFF"/>
        </w:rPr>
        <w:t>nlaces: </w:t>
      </w:r>
      <w:hyperlink w:history="1" r:id="rId14">
        <w:r w:rsidRPr="000269A7">
          <w:rPr>
            <w:rStyle w:val="Hipervnculo"/>
            <w:rFonts w:ascii="Verdana" w:hAnsi="Verdana" w:cs="Arial"/>
            <w:shd w:val="clear" w:color="auto" w:fill="FFFFFF"/>
          </w:rPr>
          <w:t>https://www.sucop.gov.co/entidades/colombiacompra /Normativa?IDNorma=17363</w:t>
        </w:r>
      </w:hyperlink>
      <w:r w:rsidRPr="00A8619D">
        <w:rPr>
          <w:rFonts w:ascii="Verdana" w:hAnsi="Verdana" w:cs="Arial"/>
          <w:color w:val="000000" w:themeColor="text1"/>
          <w:shd w:val="clear" w:color="auto" w:fill="FFFFFF"/>
        </w:rPr>
        <w:t> y </w:t>
      </w:r>
      <w:hyperlink w:tgtFrame="_blank" w:tooltip="Dirección URL original: https://www.colombiacompra.gov.co/content/convocatorias. Haga clic o pulse si confía en este vínculo." w:history="1" r:id="rId15">
        <w:r w:rsidRPr="00A8619D">
          <w:rPr>
            <w:rStyle w:val="Hipervnculo"/>
            <w:rFonts w:ascii="Verdana" w:hAnsi="Verdana" w:cs="Arial"/>
            <w:shd w:val="clear" w:color="auto" w:fill="FFFFFF"/>
          </w:rPr>
          <w:t>https://www.colombiacompra.gov.co/content/convocatorias</w:t>
        </w:r>
      </w:hyperlink>
      <w:r w:rsidRPr="00A8619D">
        <w:rPr>
          <w:rFonts w:ascii="Verdana" w:hAnsi="Verdana" w:cs="Arial"/>
          <w:color w:val="000000" w:themeColor="text1"/>
          <w:shd w:val="clear" w:color="auto" w:fill="FFFFFF"/>
        </w:rPr>
        <w:t> ". </w:t>
      </w:r>
    </w:p>
    <w:p w:rsidR="00CD638B" w:rsidP="00CD638B" w:rsidRDefault="00CD638B" w14:paraId="43305D35"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rsidR="00CD638B" w:rsidP="00CD638B" w:rsidRDefault="00CD638B" w14:paraId="31749598"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w:history="1" r:id="rId16">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rsidR="00CD638B" w:rsidP="00CD638B" w:rsidRDefault="00CD638B" w14:paraId="609BABCD" w14:textId="77777777">
      <w:pPr>
        <w:spacing w:after="0" w:line="240" w:lineRule="auto"/>
        <w:jc w:val="both"/>
        <w:rPr>
          <w:rFonts w:ascii="Verdana" w:hAnsi="Verdana"/>
        </w:rPr>
      </w:pPr>
    </w:p>
    <w:p w:rsidRPr="003E2460" w:rsidR="00CD638B" w:rsidP="00CD638B" w:rsidRDefault="00CD638B" w14:paraId="4F1AD188" w14:textId="77777777">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rsidRPr="003E2460" w:rsidR="00CD638B" w:rsidP="00CD638B" w:rsidRDefault="00CD638B" w14:paraId="52E52420" w14:textId="77777777">
      <w:pPr>
        <w:spacing w:after="0" w:line="240" w:lineRule="auto"/>
        <w:jc w:val="both"/>
        <w:rPr>
          <w:rFonts w:ascii="Verdana" w:hAnsi="Verdana"/>
        </w:rPr>
      </w:pPr>
    </w:p>
    <w:p w:rsidRPr="003E2460" w:rsidR="00CD638B" w:rsidP="00CD638B" w:rsidRDefault="00CD638B" w14:paraId="3BA7B1AC" w14:textId="77777777">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rsidRPr="003E2460" w:rsidR="00CD638B" w:rsidP="00CD638B" w:rsidRDefault="00CD638B" w14:paraId="2B57E95B" w14:textId="77777777">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rsidRPr="003E2460" w:rsidR="00CD638B" w:rsidP="00CD638B" w:rsidRDefault="00CD638B" w14:paraId="66A001AD" w14:textId="77777777">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rsidRPr="00593A5F" w:rsidR="00CD638B" w:rsidP="00CD638B" w:rsidRDefault="00CD638B" w14:paraId="236D3DD7" w14:textId="77777777">
      <w:pPr>
        <w:widowControl w:val="0"/>
        <w:autoSpaceDE w:val="0"/>
        <w:autoSpaceDN w:val="0"/>
        <w:spacing w:after="0" w:line="276" w:lineRule="auto"/>
        <w:jc w:val="both"/>
        <w:rPr>
          <w:rFonts w:ascii="Verdana" w:hAnsi="Verdana" w:cs="Arial"/>
        </w:rPr>
      </w:pPr>
    </w:p>
    <w:p w:rsidRPr="00593A5F" w:rsidR="00CD638B" w:rsidP="00CD638B" w:rsidRDefault="00CD638B" w14:paraId="30EA1B7A" w14:textId="777777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rsidRPr="00593A5F" w:rsidR="00CD638B" w:rsidP="00CD638B" w:rsidRDefault="00CD638B" w14:paraId="202CDDE8" w14:textId="77777777">
      <w:pPr>
        <w:widowControl w:val="0"/>
        <w:autoSpaceDE w:val="0"/>
        <w:autoSpaceDN w:val="0"/>
        <w:spacing w:after="0" w:line="276" w:lineRule="auto"/>
        <w:jc w:val="both"/>
        <w:rPr>
          <w:rFonts w:ascii="Verdana" w:hAnsi="Verdana" w:cs="Arial"/>
        </w:rPr>
      </w:pPr>
    </w:p>
    <w:p w:rsidRPr="00593A5F" w:rsidR="00CD638B" w:rsidP="00CD638B" w:rsidRDefault="00CD638B" w14:paraId="7449C4CD" w14:textId="77777777">
      <w:pPr>
        <w:spacing w:after="0" w:line="240" w:lineRule="auto"/>
        <w:rPr>
          <w:rFonts w:ascii="Verdana" w:hAnsi="Verdana" w:cs="Arial"/>
          <w:lang w:eastAsia="es-CO"/>
        </w:rPr>
      </w:pPr>
      <w:r w:rsidRPr="00593A5F">
        <w:rPr>
          <w:rFonts w:ascii="Verdana" w:hAnsi="Verdana" w:eastAsia="Times New Roman" w:cs="Arial"/>
          <w:lang w:eastAsia="es-CO"/>
        </w:rPr>
        <w:t>Atentamente,</w:t>
      </w:r>
      <w:r w:rsidRPr="00593A5F">
        <w:rPr>
          <w:rFonts w:ascii="Verdana" w:hAnsi="Verdana" w:cs="Arial"/>
          <w:lang w:eastAsia="es-CO"/>
        </w:rPr>
        <w:t xml:space="preserve"> </w:t>
      </w:r>
    </w:p>
    <w:p w:rsidRPr="00593A5F" w:rsidR="00CD638B" w:rsidP="00CD638B" w:rsidRDefault="0045104E" w14:paraId="4D0FDD2A" w14:textId="6E2FFFD3">
      <w:pPr>
        <w:spacing w:line="276" w:lineRule="auto"/>
        <w:jc w:val="center"/>
        <w:rPr>
          <w:rFonts w:ascii="Verdana" w:hAnsi="Verdana" w:cs="Arial"/>
          <w:color w:val="000000"/>
          <w:lang w:val="es-ES_tradnl" w:eastAsia="es-CO"/>
        </w:rPr>
      </w:pPr>
      <w:r w:rsidRPr="00E950DA">
        <w:rPr>
          <w:rFonts w:ascii="Verdana" w:hAnsi="Verdana" w:cs="Arial"/>
          <w:color w:val="000000"/>
          <w:lang w:eastAsia="es-CO"/>
        </w:rPr>
        <w:drawing>
          <wp:inline distT="0" distB="0" distL="0" distR="0" wp14:anchorId="4276400E" wp14:editId="4D844369">
            <wp:extent cx="2573655" cy="1104825"/>
            <wp:effectExtent l="0" t="0" r="0" b="635"/>
            <wp:docPr id="56499300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627" cy="1112111"/>
                    </a:xfrm>
                    <a:prstGeom prst="rect">
                      <a:avLst/>
                    </a:prstGeom>
                    <a:noFill/>
                    <a:ln>
                      <a:noFill/>
                    </a:ln>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593A5F" w:rsidR="00CD638B" w:rsidTr="00943A7D" w14:paraId="3AA5BD4C" w14:textId="77777777">
        <w:trPr>
          <w:trHeight w:val="315"/>
        </w:trPr>
        <w:tc>
          <w:tcPr>
            <w:tcW w:w="893" w:type="dxa"/>
            <w:vAlign w:val="center"/>
            <w:hideMark/>
          </w:tcPr>
          <w:p w:rsidRPr="003751C7" w:rsidR="00CD638B" w:rsidP="00943A7D" w:rsidRDefault="00CD638B" w14:paraId="74A47549"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BE4B85" w:rsidR="00CD638B" w:rsidP="00943A7D" w:rsidRDefault="00CD638B" w14:paraId="64347A56" w14:textId="77777777">
            <w:pPr>
              <w:contextualSpacing/>
              <w:rPr>
                <w:rFonts w:ascii="Verdana" w:hAnsi="Verdana" w:eastAsia="Arial" w:cs="Arial"/>
                <w:color w:val="7030A0"/>
                <w:sz w:val="16"/>
                <w:szCs w:val="16"/>
              </w:rPr>
            </w:pPr>
            <w:r w:rsidRPr="00BE4B85">
              <w:rPr>
                <w:rStyle w:val="normaltextrun"/>
                <w:rFonts w:ascii="Verdana" w:hAnsi="Verdana"/>
                <w:sz w:val="16"/>
                <w:szCs w:val="16"/>
              </w:rPr>
              <w:t>Christian Camilo Orjuela Galeano</w:t>
            </w:r>
          </w:p>
          <w:p w:rsidRPr="00BE4B85" w:rsidR="00CD638B" w:rsidP="00943A7D" w:rsidRDefault="00CD638B" w14:paraId="4C462928" w14:textId="77777777">
            <w:pPr>
              <w:contextualSpacing/>
              <w:rPr>
                <w:rFonts w:ascii="Verdana" w:hAnsi="Verdana" w:eastAsia="Arial" w:cs="Arial"/>
                <w:sz w:val="16"/>
                <w:szCs w:val="16"/>
              </w:rPr>
            </w:pPr>
            <w:r w:rsidRPr="00BE4B85">
              <w:rPr>
                <w:rStyle w:val="normaltextrun"/>
                <w:rFonts w:ascii="Verdana" w:hAnsi="Verdana" w:eastAsia="Arial" w:cs="Arial"/>
                <w:sz w:val="16"/>
                <w:szCs w:val="16"/>
              </w:rPr>
              <w:t>Contratista de la Subdirección de Gestión Contractual</w:t>
            </w:r>
          </w:p>
        </w:tc>
      </w:tr>
      <w:tr w:rsidRPr="00593A5F" w:rsidR="00CD638B" w:rsidTr="00943A7D" w14:paraId="6D944AF6" w14:textId="77777777">
        <w:trPr>
          <w:trHeight w:val="330"/>
        </w:trPr>
        <w:tc>
          <w:tcPr>
            <w:tcW w:w="893" w:type="dxa"/>
            <w:vAlign w:val="center"/>
            <w:hideMark/>
          </w:tcPr>
          <w:p w:rsidRPr="003751C7" w:rsidR="00CD638B" w:rsidP="00943A7D" w:rsidRDefault="00CD638B" w14:paraId="035BD751"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00CD638B" w:rsidP="00943A7D" w:rsidRDefault="00CD638B" w14:paraId="755FF592" w14:textId="32C8BFA4">
            <w:pPr>
              <w:pStyle w:val="paragraph"/>
              <w:spacing w:before="0" w:beforeAutospacing="0" w:after="0" w:afterAutospacing="0"/>
              <w:contextualSpacing/>
              <w:textAlignment w:val="baseline"/>
              <w:rPr>
                <w:rStyle w:val="normaltextrun"/>
                <w:rFonts w:ascii="Verdana" w:hAnsi="Verdana" w:cstheme="minorHAnsi"/>
                <w:sz w:val="16"/>
                <w:szCs w:val="16"/>
              </w:rPr>
            </w:pPr>
            <w:r>
              <w:rPr>
                <w:rFonts w:ascii="Verdana" w:hAnsi="Verdana" w:cstheme="minorHAnsi"/>
                <w:sz w:val="16"/>
                <w:szCs w:val="16"/>
              </w:rPr>
              <w:t>Cielo González Mesa</w:t>
            </w:r>
          </w:p>
          <w:p w:rsidRPr="00BE4B85" w:rsidR="00CD638B" w:rsidP="00943A7D" w:rsidRDefault="00CD638B" w14:paraId="7D5CD640" w14:textId="77777777">
            <w:pPr>
              <w:pStyle w:val="paragraph"/>
              <w:spacing w:before="0" w:beforeAutospacing="0" w:after="0" w:afterAutospacing="0"/>
              <w:contextualSpacing/>
              <w:textAlignment w:val="baseline"/>
              <w:rPr>
                <w:rFonts w:ascii="Verdana" w:hAnsi="Verdana" w:cs="Segoe UI"/>
                <w:sz w:val="16"/>
                <w:szCs w:val="16"/>
              </w:rPr>
            </w:pPr>
            <w:r w:rsidRPr="00BE4B85">
              <w:rPr>
                <w:rStyle w:val="normaltextrun"/>
                <w:rFonts w:ascii="Verdana" w:hAnsi="Verdana" w:eastAsia="Arial" w:cs="Arial"/>
                <w:sz w:val="16"/>
                <w:szCs w:val="16"/>
              </w:rPr>
              <w:t>Contratista de la Subdirección de Gestión Contractual</w:t>
            </w:r>
          </w:p>
        </w:tc>
      </w:tr>
      <w:tr w:rsidRPr="00593A5F" w:rsidR="00CD638B" w:rsidTr="00943A7D" w14:paraId="5EEF90B4" w14:textId="77777777">
        <w:trPr>
          <w:trHeight w:val="300"/>
        </w:trPr>
        <w:tc>
          <w:tcPr>
            <w:tcW w:w="893" w:type="dxa"/>
            <w:vAlign w:val="center"/>
          </w:tcPr>
          <w:p w:rsidRPr="003751C7" w:rsidR="00CD638B" w:rsidP="00943A7D" w:rsidRDefault="00CD638B" w14:paraId="6D0CA6FE"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BE4B85" w:rsidR="00CD638B" w:rsidP="00943A7D" w:rsidRDefault="00CD638B" w14:paraId="196F4035"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val="pt-BR" w:eastAsia="es-ES"/>
              </w:rPr>
              <w:t>Carolina Quintero Gacharná</w:t>
            </w:r>
          </w:p>
          <w:p w:rsidRPr="00BE4B85" w:rsidR="00CD638B" w:rsidP="00943A7D" w:rsidRDefault="00CD638B" w14:paraId="5BFEF450"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eastAsia="es-ES"/>
              </w:rPr>
              <w:t>Subdirectora</w:t>
            </w:r>
            <w:r w:rsidRPr="00BE4B85">
              <w:rPr>
                <w:rFonts w:ascii="Verdana" w:hAnsi="Verdana" w:eastAsia="Calibri" w:cs="Arial"/>
                <w:sz w:val="16"/>
                <w:szCs w:val="16"/>
                <w:lang w:val="pt-BR" w:eastAsia="es-ES"/>
              </w:rPr>
              <w:t xml:space="preserve"> de Gestión Contractual ANCP – CCE</w:t>
            </w:r>
          </w:p>
        </w:tc>
      </w:tr>
    </w:tbl>
    <w:p w:rsidRPr="00593A5F" w:rsidR="00CD638B" w:rsidP="00CD638B" w:rsidRDefault="00CD638B" w14:paraId="278F3BF5" w14:textId="77777777">
      <w:pPr>
        <w:spacing w:after="0" w:line="240" w:lineRule="auto"/>
        <w:rPr>
          <w:rFonts w:ascii="Verdana" w:hAnsi="Verdana" w:eastAsia="Times New Roman" w:cs="Arial"/>
          <w:sz w:val="24"/>
          <w:szCs w:val="24"/>
          <w:lang w:eastAsia="es-ES"/>
        </w:rPr>
      </w:pPr>
    </w:p>
    <w:p w:rsidRPr="00871B59" w:rsidR="00CD638B" w:rsidP="00CD638B" w:rsidRDefault="00CD638B" w14:paraId="3CFBF56E" w14:textId="77777777"/>
    <w:p w:rsidRPr="0044528D" w:rsidR="00CD638B" w:rsidP="00CD638B" w:rsidRDefault="00CD638B" w14:paraId="2903451E" w14:textId="77777777">
      <w:pPr>
        <w:spacing w:after="0"/>
        <w:rPr>
          <w:rFonts w:ascii="Verdana" w:hAnsi="Verdana"/>
        </w:rPr>
      </w:pPr>
    </w:p>
    <w:bookmarkEnd w:id="0"/>
    <w:bookmarkEnd w:id="1"/>
    <w:p w:rsidRPr="0044528D" w:rsidR="00E245AB" w:rsidP="00E245AB" w:rsidRDefault="00E245AB" w14:paraId="0465BA6D" w14:textId="77777777">
      <w:pPr>
        <w:spacing w:after="0"/>
        <w:rPr>
          <w:rFonts w:ascii="Verdana" w:hAnsi="Verdana"/>
        </w:rPr>
      </w:pPr>
    </w:p>
    <w:sectPr w:rsidRPr="0044528D" w:rsidR="00E245AB" w:rsidSect="007C0C0F">
      <w:headerReference w:type="default" r:id="rId18"/>
      <w:footerReference w:type="default" r:id="rId19"/>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13B2" w:rsidP="004A1847" w:rsidRDefault="001113B2" w14:paraId="0DF2771B" w14:textId="77777777">
      <w:pPr>
        <w:spacing w:after="0" w:line="240" w:lineRule="auto"/>
      </w:pPr>
      <w:r>
        <w:separator/>
      </w:r>
    </w:p>
  </w:endnote>
  <w:endnote w:type="continuationSeparator" w:id="0">
    <w:p w:rsidR="001113B2" w:rsidP="004A1847" w:rsidRDefault="001113B2" w14:paraId="2C73A0A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FAAABA+Verdana-Bold">
    <w:altName w:val="Verdana"/>
    <w:panose1 w:val="00000000000000000000"/>
    <w:charset w:val="00"/>
    <w:family w:val="swiss"/>
    <w:notTrueType/>
    <w:pitch w:val="default"/>
    <w:sig w:usb0="00000003" w:usb1="00000000" w:usb2="00000000" w:usb3="00000000" w:csb0="00000001" w:csb1="00000000"/>
  </w:font>
  <w:font w:name="FAAAGA+Verdana-Italic">
    <w:altName w:val="Verdana"/>
    <w:panose1 w:val="00000000000000000000"/>
    <w:charset w:val="00"/>
    <w:family w:val="swiss"/>
    <w:notTrueType/>
    <w:pitch w:val="default"/>
    <w:sig w:usb0="00000003" w:usb1="00000000"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13B2" w:rsidP="004A1847" w:rsidRDefault="001113B2" w14:paraId="4EED7FFF" w14:textId="77777777">
      <w:pPr>
        <w:spacing w:after="0" w:line="240" w:lineRule="auto"/>
      </w:pPr>
      <w:r>
        <w:separator/>
      </w:r>
    </w:p>
  </w:footnote>
  <w:footnote w:type="continuationSeparator" w:id="0">
    <w:p w:rsidR="001113B2" w:rsidP="004A1847" w:rsidRDefault="001113B2" w14:paraId="20F444BF" w14:textId="77777777">
      <w:pPr>
        <w:spacing w:after="0" w:line="240" w:lineRule="auto"/>
      </w:pPr>
      <w:r>
        <w:continuationSeparator/>
      </w:r>
    </w:p>
  </w:footnote>
  <w:footnote w:id="1">
    <w:p w:rsidRPr="00E749CB" w:rsidR="00E70BDC" w:rsidP="00E70BDC" w:rsidRDefault="00E70BDC" w14:paraId="18061C07" w14:textId="77777777">
      <w:pPr>
        <w:pStyle w:val="Textonotapie"/>
        <w:rPr>
          <w:rFonts w:ascii="Verdana" w:hAnsi="Verdana"/>
          <w:sz w:val="18"/>
          <w:szCs w:val="18"/>
          <w:lang w:val="es-CO"/>
        </w:rPr>
      </w:pPr>
      <w:r w:rsidRPr="00E749CB">
        <w:rPr>
          <w:rStyle w:val="Refdenotaalpie"/>
          <w:rFonts w:ascii="Verdana" w:hAnsi="Verdana"/>
          <w:sz w:val="18"/>
          <w:szCs w:val="18"/>
        </w:rPr>
        <w:footnoteRef/>
      </w:r>
      <w:r w:rsidRPr="00E749CB">
        <w:rPr>
          <w:rFonts w:ascii="Verdana" w:hAnsi="Verdana"/>
          <w:sz w:val="18"/>
          <w:szCs w:val="18"/>
        </w:rPr>
        <w:t xml:space="preserve"> (…) </w:t>
      </w:r>
      <w:r w:rsidRPr="00E749CB">
        <w:rPr>
          <w:rFonts w:ascii="Verdana" w:hAnsi="Verdana"/>
          <w:sz w:val="18"/>
          <w:szCs w:val="18"/>
          <w:lang w:val="es-CO"/>
        </w:rPr>
        <w:t>3.1. Índice de liquidez: activo corriente dividido por el pasivo corriente.</w:t>
      </w:r>
    </w:p>
    <w:p w:rsidRPr="00E749CB" w:rsidR="00E70BDC" w:rsidP="00E70BDC" w:rsidRDefault="00E70BDC" w14:paraId="3D6E00B3" w14:textId="77777777">
      <w:pPr>
        <w:pStyle w:val="Textonotapie"/>
        <w:rPr>
          <w:rFonts w:ascii="Verdana" w:hAnsi="Verdana"/>
          <w:sz w:val="18"/>
          <w:szCs w:val="18"/>
          <w:lang w:val="es-CO"/>
        </w:rPr>
      </w:pPr>
      <w:bookmarkStart w:name="2.2.1.1.1.5.3.3.2" w:id="5"/>
      <w:bookmarkEnd w:id="5"/>
      <w:r w:rsidRPr="00E749CB">
        <w:rPr>
          <w:rFonts w:ascii="Verdana" w:hAnsi="Verdana"/>
          <w:sz w:val="18"/>
          <w:szCs w:val="18"/>
          <w:lang w:val="es-CO"/>
        </w:rPr>
        <w:t>3.2. Índice de endeudamiento: pasivo total dividido por el activo total.</w:t>
      </w:r>
    </w:p>
    <w:p w:rsidRPr="00E749CB" w:rsidR="00E70BDC" w:rsidP="00E70BDC" w:rsidRDefault="00E70BDC" w14:paraId="401DA9CB" w14:textId="77777777">
      <w:pPr>
        <w:pStyle w:val="Textonotapie"/>
        <w:rPr>
          <w:rFonts w:ascii="Verdana" w:hAnsi="Verdana"/>
          <w:sz w:val="18"/>
          <w:szCs w:val="18"/>
          <w:lang w:val="es-CO"/>
        </w:rPr>
      </w:pPr>
      <w:bookmarkStart w:name="2.2.1.1.1.5.3.3.3" w:id="6"/>
      <w:bookmarkEnd w:id="6"/>
      <w:r w:rsidRPr="00E749CB">
        <w:rPr>
          <w:rFonts w:ascii="Verdana" w:hAnsi="Verdana"/>
          <w:sz w:val="18"/>
          <w:szCs w:val="18"/>
          <w:lang w:val="es-CO"/>
        </w:rPr>
        <w:t>3.3. Razón de cobertura de intereses: utilidad operacional dividida por los gastos de intereses.</w:t>
      </w:r>
    </w:p>
    <w:p w:rsidRPr="00E749CB" w:rsidR="00E70BDC" w:rsidP="00E70BDC" w:rsidRDefault="00E70BDC" w14:paraId="4D07B79F" w14:textId="77777777">
      <w:pPr>
        <w:pStyle w:val="Textonotapie"/>
        <w:rPr>
          <w:rFonts w:ascii="Verdana" w:hAnsi="Verdana"/>
          <w:sz w:val="18"/>
          <w:szCs w:val="18"/>
          <w:lang w:val="es-CO"/>
        </w:rPr>
      </w:pPr>
      <w:bookmarkStart w:name="2.2.1.1.1.5.3.4" w:id="7"/>
      <w:bookmarkEnd w:id="7"/>
      <w:r w:rsidRPr="00E749CB">
        <w:rPr>
          <w:rFonts w:ascii="Verdana" w:hAnsi="Verdana"/>
          <w:sz w:val="18"/>
          <w:szCs w:val="18"/>
          <w:lang w:val="es-CO"/>
        </w:rPr>
        <w:t>4. Capacidad Organizacional - los siguientes indicadores miden el rendimiento de las inversiones y la eficiencia en el uso de activos del interesado:</w:t>
      </w:r>
    </w:p>
    <w:p w:rsidRPr="00E749CB" w:rsidR="00E70BDC" w:rsidP="00E70BDC" w:rsidRDefault="00E70BDC" w14:paraId="3C1C37A9" w14:textId="77777777">
      <w:pPr>
        <w:pStyle w:val="Textonotapie"/>
        <w:rPr>
          <w:rFonts w:ascii="Verdana" w:hAnsi="Verdana"/>
          <w:sz w:val="18"/>
          <w:szCs w:val="18"/>
          <w:lang w:val="es-CO"/>
        </w:rPr>
      </w:pPr>
      <w:bookmarkStart w:name="2.2.1.1.1.5.3.4.1" w:id="8"/>
      <w:bookmarkEnd w:id="8"/>
      <w:r w:rsidRPr="00E749CB">
        <w:rPr>
          <w:rFonts w:ascii="Verdana" w:hAnsi="Verdana"/>
          <w:sz w:val="18"/>
          <w:szCs w:val="18"/>
          <w:lang w:val="es-CO"/>
        </w:rPr>
        <w:t>4.1. Rentabilidad del patrimonio: utilidad operacional dividida por el patrimonio.</w:t>
      </w:r>
    </w:p>
    <w:p w:rsidRPr="00E749CB" w:rsidR="00E70BDC" w:rsidP="00E70BDC" w:rsidRDefault="00E70BDC" w14:paraId="219033A0" w14:textId="77777777">
      <w:pPr>
        <w:pStyle w:val="Textonotapie"/>
        <w:rPr>
          <w:rFonts w:ascii="Verdana" w:hAnsi="Verdana"/>
          <w:sz w:val="18"/>
          <w:szCs w:val="18"/>
          <w:lang w:val="es-CO"/>
        </w:rPr>
      </w:pPr>
      <w:bookmarkStart w:name="2.2.1.1.1.5.3.4.2" w:id="9"/>
      <w:bookmarkEnd w:id="9"/>
      <w:r w:rsidRPr="00E749CB">
        <w:rPr>
          <w:rFonts w:ascii="Verdana" w:hAnsi="Verdana"/>
          <w:sz w:val="18"/>
          <w:szCs w:val="18"/>
          <w:lang w:val="es-CO"/>
        </w:rPr>
        <w:t>4.2. Rentabilidad del activo: utilidad operacional dividida por el activo total. (…)</w:t>
      </w:r>
    </w:p>
    <w:p w:rsidRPr="002D5921" w:rsidR="00E70BDC" w:rsidP="00E70BDC" w:rsidRDefault="00E70BDC" w14:paraId="341943D0" w14:textId="77777777">
      <w:pPr>
        <w:pStyle w:val="Textonotapie"/>
        <w:rPr>
          <w:lang w:val="es-ES"/>
        </w:rPr>
      </w:pPr>
    </w:p>
  </w:footnote>
  <w:footnote w:id="2">
    <w:p w:rsidRPr="009E2F31" w:rsidR="009E2F31" w:rsidP="009E2F31" w:rsidRDefault="009E2F31" w14:paraId="5215CA05" w14:textId="5D627139">
      <w:pPr>
        <w:pStyle w:val="Textonotapie"/>
        <w:jc w:val="both"/>
        <w:rPr>
          <w:rFonts w:ascii="Verdana" w:hAnsi="Verdana"/>
          <w:sz w:val="16"/>
          <w:szCs w:val="16"/>
          <w:lang w:val="es-ES"/>
        </w:rPr>
      </w:pPr>
      <w:r w:rsidRPr="009E2F31">
        <w:rPr>
          <w:rStyle w:val="Refdenotaalpie"/>
          <w:rFonts w:ascii="Verdana" w:hAnsi="Verdana"/>
          <w:sz w:val="16"/>
          <w:szCs w:val="16"/>
        </w:rPr>
        <w:footnoteRef/>
      </w:r>
      <w:r w:rsidRPr="009E2F31">
        <w:rPr>
          <w:rFonts w:ascii="Verdana" w:hAnsi="Verdana"/>
          <w:sz w:val="16"/>
          <w:szCs w:val="16"/>
        </w:rPr>
        <w:t xml:space="preserve"> Ley 1150 de 2007, Artículo 5 señala: ( … ) 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w:t>
      </w:r>
      <w:r w:rsidRPr="009E2F31">
        <w:rPr>
          <w:rFonts w:ascii="Verdana" w:hAnsi="Verdana" w:cs="FAAAGA+Verdana-Italic"/>
          <w:sz w:val="16"/>
          <w:szCs w:val="16"/>
        </w:rPr>
        <w:t>”</w:t>
      </w:r>
      <w:r w:rsidRPr="009E2F31">
        <w:rPr>
          <w:rFonts w:ascii="Verdana" w:hAnsi="Verdana"/>
          <w:sz w:val="16"/>
          <w:szCs w:val="16"/>
        </w:rPr>
        <w:t>.</w:t>
      </w:r>
    </w:p>
  </w:footnote>
  <w:footnote w:id="3">
    <w:p w:rsidRPr="009E2F31" w:rsidR="009E2F31" w:rsidP="009E2F31" w:rsidRDefault="009E2F31" w14:paraId="225DE955" w14:textId="77777777">
      <w:pPr>
        <w:pStyle w:val="Textonotapie"/>
        <w:rPr>
          <w:rFonts w:ascii="Century Gothic" w:hAnsi="Century Gothic"/>
          <w:sz w:val="16"/>
          <w:szCs w:val="16"/>
          <w:lang w:val="es-ES"/>
        </w:rPr>
      </w:pPr>
      <w:r w:rsidRPr="009E2F31">
        <w:rPr>
          <w:rStyle w:val="Refdenotaalpie"/>
          <w:rFonts w:ascii="Century Gothic" w:hAnsi="Century Gothic"/>
          <w:sz w:val="16"/>
          <w:szCs w:val="16"/>
        </w:rPr>
        <w:footnoteRef/>
      </w:r>
      <w:r w:rsidRPr="009E2F31">
        <w:rPr>
          <w:rFonts w:ascii="Century Gothic" w:hAnsi="Century Gothic"/>
          <w:sz w:val="16"/>
          <w:szCs w:val="16"/>
        </w:rPr>
        <w:t xml:space="preserve"> </w:t>
      </w:r>
      <w:r w:rsidRPr="009E2F31">
        <w:rPr>
          <w:rFonts w:ascii="Century Gothic" w:hAnsi="Century Gothic"/>
          <w:sz w:val="16"/>
          <w:szCs w:val="16"/>
          <w:lang w:val="es-CO"/>
        </w:rPr>
        <w:t>Para consulta: https://colombiacompra.gov.co/sites/cce_public/files/cce_documentos/cce-eicp-gi 18._gees_v.2_2.pdf</w:t>
      </w:r>
    </w:p>
  </w:footnote>
  <w:footnote w:id="4">
    <w:p w:rsidRPr="000D446F" w:rsidR="00CD638B" w:rsidP="00CD638B" w:rsidRDefault="00CD638B" w14:paraId="5D68BDF8" w14:textId="77777777">
      <w:pPr>
        <w:pStyle w:val="Textonotapie"/>
        <w:contextualSpacing/>
        <w:jc w:val="both"/>
        <w:rPr>
          <w:rFonts w:ascii="Verdana" w:hAnsi="Verdana" w:cs="Arial"/>
          <w:sz w:val="16"/>
          <w:szCs w:val="16"/>
        </w:rPr>
      </w:pPr>
      <w:r w:rsidRPr="000D446F">
        <w:rPr>
          <w:rStyle w:val="Refdenotaalpie"/>
          <w:rFonts w:ascii="Verdana" w:hAnsi="Verdana" w:cs="Arial"/>
          <w:sz w:val="16"/>
          <w:szCs w:val="16"/>
        </w:rPr>
        <w:footnoteRef/>
      </w:r>
      <w:r w:rsidRPr="000D446F">
        <w:rPr>
          <w:rFonts w:ascii="Verdana" w:hAnsi="Verdana" w:cs="Arial"/>
          <w:sz w:val="16"/>
          <w:szCs w:val="16"/>
        </w:rPr>
        <w:t xml:space="preserve"> En este sentido, a modo de ejemplo, en el «documento base» del documento tipo de licitación se establece lo siguiente: “Los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9" style="width:14.25pt;height:14.25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B3CF4"/>
    <w:multiLevelType w:val="hybridMultilevel"/>
    <w:tmpl w:val="3126E20E"/>
    <w:lvl w:ilvl="0" w:tplc="240A0001">
      <w:start w:val="1"/>
      <w:numFmt w:val="bullet"/>
      <w:lvlText w:val=""/>
      <w:lvlJc w:val="left"/>
      <w:pPr>
        <w:ind w:left="795" w:hanging="360"/>
      </w:pPr>
      <w:rPr>
        <w:rFonts w:hint="default" w:ascii="Symbol" w:hAnsi="Symbol"/>
      </w:rPr>
    </w:lvl>
    <w:lvl w:ilvl="1" w:tplc="240A0003" w:tentative="1">
      <w:start w:val="1"/>
      <w:numFmt w:val="bullet"/>
      <w:lvlText w:val="o"/>
      <w:lvlJc w:val="left"/>
      <w:pPr>
        <w:ind w:left="1515" w:hanging="360"/>
      </w:pPr>
      <w:rPr>
        <w:rFonts w:hint="default" w:ascii="Courier New" w:hAnsi="Courier New" w:cs="Courier New"/>
      </w:rPr>
    </w:lvl>
    <w:lvl w:ilvl="2" w:tplc="240A0005" w:tentative="1">
      <w:start w:val="1"/>
      <w:numFmt w:val="bullet"/>
      <w:lvlText w:val=""/>
      <w:lvlJc w:val="left"/>
      <w:pPr>
        <w:ind w:left="2235" w:hanging="360"/>
      </w:pPr>
      <w:rPr>
        <w:rFonts w:hint="default" w:ascii="Wingdings" w:hAnsi="Wingdings"/>
      </w:rPr>
    </w:lvl>
    <w:lvl w:ilvl="3" w:tplc="240A0001" w:tentative="1">
      <w:start w:val="1"/>
      <w:numFmt w:val="bullet"/>
      <w:lvlText w:val=""/>
      <w:lvlJc w:val="left"/>
      <w:pPr>
        <w:ind w:left="2955" w:hanging="360"/>
      </w:pPr>
      <w:rPr>
        <w:rFonts w:hint="default" w:ascii="Symbol" w:hAnsi="Symbol"/>
      </w:rPr>
    </w:lvl>
    <w:lvl w:ilvl="4" w:tplc="240A0003" w:tentative="1">
      <w:start w:val="1"/>
      <w:numFmt w:val="bullet"/>
      <w:lvlText w:val="o"/>
      <w:lvlJc w:val="left"/>
      <w:pPr>
        <w:ind w:left="3675" w:hanging="360"/>
      </w:pPr>
      <w:rPr>
        <w:rFonts w:hint="default" w:ascii="Courier New" w:hAnsi="Courier New" w:cs="Courier New"/>
      </w:rPr>
    </w:lvl>
    <w:lvl w:ilvl="5" w:tplc="240A0005" w:tentative="1">
      <w:start w:val="1"/>
      <w:numFmt w:val="bullet"/>
      <w:lvlText w:val=""/>
      <w:lvlJc w:val="left"/>
      <w:pPr>
        <w:ind w:left="4395" w:hanging="360"/>
      </w:pPr>
      <w:rPr>
        <w:rFonts w:hint="default" w:ascii="Wingdings" w:hAnsi="Wingdings"/>
      </w:rPr>
    </w:lvl>
    <w:lvl w:ilvl="6" w:tplc="240A0001" w:tentative="1">
      <w:start w:val="1"/>
      <w:numFmt w:val="bullet"/>
      <w:lvlText w:val=""/>
      <w:lvlJc w:val="left"/>
      <w:pPr>
        <w:ind w:left="5115" w:hanging="360"/>
      </w:pPr>
      <w:rPr>
        <w:rFonts w:hint="default" w:ascii="Symbol" w:hAnsi="Symbol"/>
      </w:rPr>
    </w:lvl>
    <w:lvl w:ilvl="7" w:tplc="240A0003" w:tentative="1">
      <w:start w:val="1"/>
      <w:numFmt w:val="bullet"/>
      <w:lvlText w:val="o"/>
      <w:lvlJc w:val="left"/>
      <w:pPr>
        <w:ind w:left="5835" w:hanging="360"/>
      </w:pPr>
      <w:rPr>
        <w:rFonts w:hint="default" w:ascii="Courier New" w:hAnsi="Courier New" w:cs="Courier New"/>
      </w:rPr>
    </w:lvl>
    <w:lvl w:ilvl="8" w:tplc="240A0005" w:tentative="1">
      <w:start w:val="1"/>
      <w:numFmt w:val="bullet"/>
      <w:lvlText w:val=""/>
      <w:lvlJc w:val="left"/>
      <w:pPr>
        <w:ind w:left="6555" w:hanging="360"/>
      </w:pPr>
      <w:rPr>
        <w:rFonts w:hint="default" w:ascii="Wingdings" w:hAnsi="Wingdings"/>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3572FF"/>
    <w:multiLevelType w:val="hybridMultilevel"/>
    <w:tmpl w:val="DDA45AE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3" w15:restartNumberingAfterBreak="0">
    <w:nsid w:val="3A88229A"/>
    <w:multiLevelType w:val="hybridMultilevel"/>
    <w:tmpl w:val="470037C4"/>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3250A3"/>
    <w:multiLevelType w:val="hybridMultilevel"/>
    <w:tmpl w:val="C6204D3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713921433">
    <w:abstractNumId w:val="9"/>
  </w:num>
  <w:num w:numId="2" w16cid:durableId="277950318">
    <w:abstractNumId w:val="2"/>
  </w:num>
  <w:num w:numId="3" w16cid:durableId="869495537">
    <w:abstractNumId w:val="5"/>
  </w:num>
  <w:num w:numId="4" w16cid:durableId="417094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9110748">
    <w:abstractNumId w:val="2"/>
  </w:num>
  <w:num w:numId="6" w16cid:durableId="1498688533">
    <w:abstractNumId w:val="17"/>
  </w:num>
  <w:num w:numId="7" w16cid:durableId="1576360886">
    <w:abstractNumId w:val="8"/>
  </w:num>
  <w:num w:numId="8" w16cid:durableId="2074422855">
    <w:abstractNumId w:val="16"/>
  </w:num>
  <w:num w:numId="9" w16cid:durableId="2076118739">
    <w:abstractNumId w:val="10"/>
  </w:num>
  <w:num w:numId="10" w16cid:durableId="701398634">
    <w:abstractNumId w:val="15"/>
  </w:num>
  <w:num w:numId="11" w16cid:durableId="1053967272">
    <w:abstractNumId w:val="11"/>
  </w:num>
  <w:num w:numId="12" w16cid:durableId="906648165">
    <w:abstractNumId w:val="1"/>
  </w:num>
  <w:num w:numId="13" w16cid:durableId="1825462858">
    <w:abstractNumId w:val="3"/>
  </w:num>
  <w:num w:numId="14" w16cid:durableId="392048345">
    <w:abstractNumId w:val="18"/>
  </w:num>
  <w:num w:numId="15" w16cid:durableId="415594324">
    <w:abstractNumId w:val="14"/>
  </w:num>
  <w:num w:numId="16" w16cid:durableId="410934390">
    <w:abstractNumId w:val="0"/>
  </w:num>
  <w:num w:numId="17" w16cid:durableId="540896916">
    <w:abstractNumId w:val="7"/>
  </w:num>
  <w:num w:numId="18" w16cid:durableId="2107383609">
    <w:abstractNumId w:val="12"/>
  </w:num>
  <w:num w:numId="19" w16cid:durableId="235945590">
    <w:abstractNumId w:val="19"/>
  </w:num>
  <w:num w:numId="20" w16cid:durableId="496767546">
    <w:abstractNumId w:val="4"/>
  </w:num>
  <w:num w:numId="21" w16cid:durableId="455762834">
    <w:abstractNumId w:val="13"/>
  </w:num>
  <w:num w:numId="22" w16cid:durableId="63040535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B05"/>
    <w:rsid w:val="000118BA"/>
    <w:rsid w:val="00022730"/>
    <w:rsid w:val="00061B2A"/>
    <w:rsid w:val="00082362"/>
    <w:rsid w:val="000A683E"/>
    <w:rsid w:val="000B19B9"/>
    <w:rsid w:val="000D0334"/>
    <w:rsid w:val="000D69EF"/>
    <w:rsid w:val="000F6486"/>
    <w:rsid w:val="001113B2"/>
    <w:rsid w:val="00125105"/>
    <w:rsid w:val="00127233"/>
    <w:rsid w:val="00160B2A"/>
    <w:rsid w:val="00187026"/>
    <w:rsid w:val="001A7FA7"/>
    <w:rsid w:val="001E4177"/>
    <w:rsid w:val="001F7DC6"/>
    <w:rsid w:val="002421BB"/>
    <w:rsid w:val="0025796E"/>
    <w:rsid w:val="002707A2"/>
    <w:rsid w:val="002951A0"/>
    <w:rsid w:val="002962BC"/>
    <w:rsid w:val="002A093D"/>
    <w:rsid w:val="002A0DD0"/>
    <w:rsid w:val="002A49AC"/>
    <w:rsid w:val="002A64FD"/>
    <w:rsid w:val="002C7A84"/>
    <w:rsid w:val="002D5921"/>
    <w:rsid w:val="002E4FD9"/>
    <w:rsid w:val="00310AC0"/>
    <w:rsid w:val="00315831"/>
    <w:rsid w:val="00322A85"/>
    <w:rsid w:val="00324168"/>
    <w:rsid w:val="003448F4"/>
    <w:rsid w:val="00374F5E"/>
    <w:rsid w:val="00377E3E"/>
    <w:rsid w:val="003A26D1"/>
    <w:rsid w:val="003A779E"/>
    <w:rsid w:val="003D0F4D"/>
    <w:rsid w:val="003D5B0D"/>
    <w:rsid w:val="003E0499"/>
    <w:rsid w:val="003F3941"/>
    <w:rsid w:val="00406575"/>
    <w:rsid w:val="0042722E"/>
    <w:rsid w:val="00427B55"/>
    <w:rsid w:val="0044528D"/>
    <w:rsid w:val="0045104E"/>
    <w:rsid w:val="00494E67"/>
    <w:rsid w:val="004A1847"/>
    <w:rsid w:val="004A305D"/>
    <w:rsid w:val="004E0230"/>
    <w:rsid w:val="004F21C4"/>
    <w:rsid w:val="004F685F"/>
    <w:rsid w:val="005259B4"/>
    <w:rsid w:val="005566E8"/>
    <w:rsid w:val="00574867"/>
    <w:rsid w:val="00575F2B"/>
    <w:rsid w:val="00591460"/>
    <w:rsid w:val="00592628"/>
    <w:rsid w:val="005C3777"/>
    <w:rsid w:val="005C5CDC"/>
    <w:rsid w:val="005D3368"/>
    <w:rsid w:val="005D476C"/>
    <w:rsid w:val="00610812"/>
    <w:rsid w:val="006219F8"/>
    <w:rsid w:val="00635618"/>
    <w:rsid w:val="00650FF7"/>
    <w:rsid w:val="00665D70"/>
    <w:rsid w:val="00671DAC"/>
    <w:rsid w:val="006900D9"/>
    <w:rsid w:val="00693ACC"/>
    <w:rsid w:val="006A05EB"/>
    <w:rsid w:val="006D12F8"/>
    <w:rsid w:val="006E57A7"/>
    <w:rsid w:val="006E681B"/>
    <w:rsid w:val="007033DE"/>
    <w:rsid w:val="00706C16"/>
    <w:rsid w:val="00756841"/>
    <w:rsid w:val="0075779B"/>
    <w:rsid w:val="007649AB"/>
    <w:rsid w:val="00771D0C"/>
    <w:rsid w:val="007833AC"/>
    <w:rsid w:val="007B268C"/>
    <w:rsid w:val="007B7171"/>
    <w:rsid w:val="007C0C0F"/>
    <w:rsid w:val="007C3DC2"/>
    <w:rsid w:val="007E5497"/>
    <w:rsid w:val="008008C9"/>
    <w:rsid w:val="00806F5F"/>
    <w:rsid w:val="00820278"/>
    <w:rsid w:val="0087018C"/>
    <w:rsid w:val="008843B6"/>
    <w:rsid w:val="00891928"/>
    <w:rsid w:val="008A446D"/>
    <w:rsid w:val="008D180B"/>
    <w:rsid w:val="008F0EA7"/>
    <w:rsid w:val="008F4F27"/>
    <w:rsid w:val="00923EEF"/>
    <w:rsid w:val="009419F9"/>
    <w:rsid w:val="0095685E"/>
    <w:rsid w:val="00961B09"/>
    <w:rsid w:val="00965334"/>
    <w:rsid w:val="0097093E"/>
    <w:rsid w:val="009713A8"/>
    <w:rsid w:val="009A0DFA"/>
    <w:rsid w:val="009B2D26"/>
    <w:rsid w:val="009C71FA"/>
    <w:rsid w:val="009C72E7"/>
    <w:rsid w:val="009D3058"/>
    <w:rsid w:val="009D405C"/>
    <w:rsid w:val="009E2F31"/>
    <w:rsid w:val="009F3A13"/>
    <w:rsid w:val="00A122D3"/>
    <w:rsid w:val="00A131E9"/>
    <w:rsid w:val="00A17F13"/>
    <w:rsid w:val="00A20739"/>
    <w:rsid w:val="00A33C78"/>
    <w:rsid w:val="00A4712E"/>
    <w:rsid w:val="00AB0ADB"/>
    <w:rsid w:val="00AB3311"/>
    <w:rsid w:val="00AF3D4D"/>
    <w:rsid w:val="00B01B1A"/>
    <w:rsid w:val="00B52F90"/>
    <w:rsid w:val="00B72CD3"/>
    <w:rsid w:val="00B72FFF"/>
    <w:rsid w:val="00B754B4"/>
    <w:rsid w:val="00B839D9"/>
    <w:rsid w:val="00BC3D36"/>
    <w:rsid w:val="00BD7F72"/>
    <w:rsid w:val="00C04FB3"/>
    <w:rsid w:val="00C2301C"/>
    <w:rsid w:val="00C330EB"/>
    <w:rsid w:val="00C754BE"/>
    <w:rsid w:val="00C76B1C"/>
    <w:rsid w:val="00C84D15"/>
    <w:rsid w:val="00CB6357"/>
    <w:rsid w:val="00CC1B26"/>
    <w:rsid w:val="00CD638B"/>
    <w:rsid w:val="00CE123C"/>
    <w:rsid w:val="00CE3BFA"/>
    <w:rsid w:val="00CF1F79"/>
    <w:rsid w:val="00D423A2"/>
    <w:rsid w:val="00D42A09"/>
    <w:rsid w:val="00D520D8"/>
    <w:rsid w:val="00D63AC2"/>
    <w:rsid w:val="00D7383B"/>
    <w:rsid w:val="00DA231B"/>
    <w:rsid w:val="00DA23A0"/>
    <w:rsid w:val="00DB11A8"/>
    <w:rsid w:val="00DC39FC"/>
    <w:rsid w:val="00DF5254"/>
    <w:rsid w:val="00E034F8"/>
    <w:rsid w:val="00E16408"/>
    <w:rsid w:val="00E20894"/>
    <w:rsid w:val="00E245AB"/>
    <w:rsid w:val="00E2764C"/>
    <w:rsid w:val="00E27F2E"/>
    <w:rsid w:val="00E413EA"/>
    <w:rsid w:val="00E50AFE"/>
    <w:rsid w:val="00E70BDC"/>
    <w:rsid w:val="00E749CB"/>
    <w:rsid w:val="00E75C92"/>
    <w:rsid w:val="00E771DC"/>
    <w:rsid w:val="00E8772A"/>
    <w:rsid w:val="00E90F6B"/>
    <w:rsid w:val="00E92C27"/>
    <w:rsid w:val="00EA0008"/>
    <w:rsid w:val="00EA0E3D"/>
    <w:rsid w:val="00EC38A7"/>
    <w:rsid w:val="00EE1AA8"/>
    <w:rsid w:val="00F17898"/>
    <w:rsid w:val="00F31EDC"/>
    <w:rsid w:val="00F34A9F"/>
    <w:rsid w:val="00F462B3"/>
    <w:rsid w:val="00F5664F"/>
    <w:rsid w:val="00F666C4"/>
    <w:rsid w:val="00F76AFC"/>
    <w:rsid w:val="00F90C35"/>
    <w:rsid w:val="00FA47C0"/>
    <w:rsid w:val="00FB5DD1"/>
    <w:rsid w:val="00FC2B5D"/>
    <w:rsid w:val="00FF1449"/>
    <w:rsid w:val="12ED9A71"/>
    <w:rsid w:val="4302103E"/>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CD638B"/>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D638B"/>
    <w:rPr>
      <w:rFonts w:ascii="Geomanist Light" w:hAnsi="Geomanist Light"/>
      <w:lang w:val="es-ES"/>
    </w:rPr>
  </w:style>
  <w:style w:type="character" w:styleId="Refdecomentario">
    <w:name w:val="annotation reference"/>
    <w:basedOn w:val="Fuentedeprrafopredeter"/>
    <w:uiPriority w:val="99"/>
    <w:semiHidden/>
    <w:unhideWhenUsed/>
    <w:rsid w:val="00E70BDC"/>
    <w:rPr>
      <w:sz w:val="16"/>
      <w:szCs w:val="16"/>
    </w:rPr>
  </w:style>
  <w:style w:type="paragraph" w:styleId="Textocomentario">
    <w:name w:val="annotation text"/>
    <w:basedOn w:val="Normal"/>
    <w:link w:val="TextocomentarioCar"/>
    <w:uiPriority w:val="99"/>
    <w:unhideWhenUsed/>
    <w:rsid w:val="00E70BDC"/>
    <w:pPr>
      <w:spacing w:line="240" w:lineRule="auto"/>
    </w:pPr>
    <w:rPr>
      <w:sz w:val="20"/>
      <w:szCs w:val="20"/>
    </w:rPr>
  </w:style>
  <w:style w:type="character" w:styleId="TextocomentarioCar" w:customStyle="1">
    <w:name w:val="Texto comentario Car"/>
    <w:basedOn w:val="Fuentedeprrafopredeter"/>
    <w:link w:val="Textocomentario"/>
    <w:uiPriority w:val="99"/>
    <w:rsid w:val="00E70BDC"/>
    <w:rPr>
      <w:sz w:val="20"/>
      <w:szCs w:val="20"/>
    </w:rPr>
  </w:style>
  <w:style w:type="paragraph" w:styleId="Asuntodelcomentario">
    <w:name w:val="annotation subject"/>
    <w:basedOn w:val="Textocomentario"/>
    <w:next w:val="Textocomentario"/>
    <w:link w:val="AsuntodelcomentarioCar"/>
    <w:uiPriority w:val="99"/>
    <w:semiHidden/>
    <w:unhideWhenUsed/>
    <w:rsid w:val="00E70BDC"/>
    <w:rPr>
      <w:b/>
      <w:bCs/>
    </w:rPr>
  </w:style>
  <w:style w:type="character" w:styleId="AsuntodelcomentarioCar" w:customStyle="1">
    <w:name w:val="Asunto del comentario Car"/>
    <w:basedOn w:val="TextocomentarioCar"/>
    <w:link w:val="Asuntodelcomentario"/>
    <w:uiPriority w:val="99"/>
    <w:semiHidden/>
    <w:rsid w:val="00E70BDC"/>
    <w:rPr>
      <w:b/>
      <w:bCs/>
      <w:sz w:val="20"/>
      <w:szCs w:val="20"/>
    </w:rPr>
  </w:style>
  <w:style w:type="paragraph" w:styleId="Textodeglobo">
    <w:name w:val="Balloon Text"/>
    <w:basedOn w:val="Normal"/>
    <w:link w:val="TextodegloboCar"/>
    <w:uiPriority w:val="99"/>
    <w:semiHidden/>
    <w:unhideWhenUsed/>
    <w:rsid w:val="00AB3311"/>
    <w:pPr>
      <w:spacing w:after="0" w:line="240" w:lineRule="auto"/>
    </w:pPr>
    <w:rPr>
      <w:rFonts w:ascii="Times New Roman" w:hAnsi="Times New Roman" w:cs="Times New Roman"/>
      <w:sz w:val="18"/>
      <w:szCs w:val="18"/>
    </w:rPr>
  </w:style>
  <w:style w:type="character" w:styleId="TextodegloboCar" w:customStyle="1">
    <w:name w:val="Texto de globo Car"/>
    <w:basedOn w:val="Fuentedeprrafopredeter"/>
    <w:link w:val="Textodeglobo"/>
    <w:uiPriority w:val="99"/>
    <w:semiHidden/>
    <w:rsid w:val="00AB331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1186">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23911443">
      <w:bodyDiv w:val="1"/>
      <w:marLeft w:val="0"/>
      <w:marRight w:val="0"/>
      <w:marTop w:val="0"/>
      <w:marBottom w:val="0"/>
      <w:divBdr>
        <w:top w:val="none" w:sz="0" w:space="0" w:color="auto"/>
        <w:left w:val="none" w:sz="0" w:space="0" w:color="auto"/>
        <w:bottom w:val="none" w:sz="0" w:space="0" w:color="auto"/>
        <w:right w:val="none" w:sz="0" w:space="0" w:color="auto"/>
      </w:divBdr>
    </w:div>
    <w:div w:id="1790858686">
      <w:bodyDiv w:val="1"/>
      <w:marLeft w:val="0"/>
      <w:marRight w:val="0"/>
      <w:marTop w:val="0"/>
      <w:marBottom w:val="0"/>
      <w:divBdr>
        <w:top w:val="none" w:sz="0" w:space="0" w:color="auto"/>
        <w:left w:val="none" w:sz="0" w:space="0" w:color="auto"/>
        <w:bottom w:val="none" w:sz="0" w:space="0" w:color="auto"/>
        <w:right w:val="none" w:sz="0" w:space="0" w:color="auto"/>
      </w:divBdr>
    </w:div>
    <w:div w:id="1831406693">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 Id="rId12" /><Relationship Type="http://schemas.openxmlformats.org/officeDocument/2006/relationships/image" Target="media/image3.jpeg" Id="rId17" /><Relationship Type="http://schemas.openxmlformats.org/officeDocument/2006/relationships/customXml" Target="../customXml/item2.xml" Id="rId2" /><Relationship Type="http://schemas.openxmlformats.org/officeDocument/2006/relationships/hyperlink" Target="https://www.colombiacompra.gov.co/sala-de-prensa/boletin-digital"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hyperlink" Target="https://nam02.safelinks.protection.outlook.com/?url=https%3A%2F%2Fwww.colombiacompra.gov.co%2Fcontent%2Fconvocatorias&amp;data=05%7C02%7Cchristian.orjuela%40colombiacompra.gov.co%7C5aad36a736844ec87b2108dcc1fa4639%7C7b09041e245149d08cb179d5e3d8c1be%7C0%7C0%7C638598527916627567%7CUnknown%7CTWFpbGZsb3d8eyJWIjoiMC4wLjAwMDAiLCJQIjoiV2luMzIiLCJBTiI6Ik1haWwiLCJXVCI6Mn0%3D%7C0%7C%7C%7C&amp;sdata=%2B35Xc12olBEETYSOsPu6sFc0AeviqFZ%2Bhk0u%2B9ns2%2Bo%3D&amp;reserved=0"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cop.gov.co/entidades/colombiacompra%20/Normativa?IDNorma=17363"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0E7D0F19-090F-479F-9D0A-FA0925FBB994}"/>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AAA64837-4C70-DE4C-860E-3098E066043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Christian Camilo Orjuela Galeano</lastModifiedBy>
  <revision>10</revision>
  <lastPrinted>2023-01-10T21:18:00.0000000Z</lastPrinted>
  <dcterms:created xsi:type="dcterms:W3CDTF">2024-08-26T22:07:00.0000000Z</dcterms:created>
  <dcterms:modified xsi:type="dcterms:W3CDTF">2024-10-11T14:30:12.7241936Z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