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28BDF" w14:textId="77777777" w:rsidR="00F8377E" w:rsidRPr="0029294F" w:rsidRDefault="00F8377E" w:rsidP="00F8377E">
      <w:pPr>
        <w:spacing w:after="0" w:line="240" w:lineRule="auto"/>
        <w:jc w:val="both"/>
        <w:rPr>
          <w:rFonts w:ascii="Verdana" w:eastAsia="Calibri" w:hAnsi="Verdana" w:cs="Arial"/>
          <w:color w:val="000000"/>
          <w:lang w:val="es-ES_tradnl"/>
        </w:rPr>
      </w:pPr>
      <w:r w:rsidRPr="0029294F">
        <w:rPr>
          <w:rFonts w:ascii="Verdana" w:eastAsia="Calibri" w:hAnsi="Verdana" w:cs="Arial"/>
          <w:b/>
          <w:color w:val="000000"/>
          <w:lang w:val="es-ES_tradnl"/>
        </w:rPr>
        <w:t>REQUISITOS HABILITANTES – Contenido</w:t>
      </w:r>
    </w:p>
    <w:p w14:paraId="50AC8DC0" w14:textId="77777777" w:rsidR="00F8377E" w:rsidRPr="0029294F" w:rsidRDefault="00F8377E" w:rsidP="00F8377E">
      <w:pPr>
        <w:spacing w:after="0" w:line="240" w:lineRule="auto"/>
        <w:jc w:val="both"/>
        <w:rPr>
          <w:rFonts w:ascii="Verdana" w:eastAsia="Calibri" w:hAnsi="Verdana" w:cs="Arial"/>
          <w:color w:val="000000"/>
          <w:lang w:val="es-ES_tradnl"/>
        </w:rPr>
      </w:pPr>
    </w:p>
    <w:p w14:paraId="06C6F13F" w14:textId="77777777" w:rsidR="00F8377E" w:rsidRPr="0029294F" w:rsidRDefault="00F8377E" w:rsidP="00F8377E">
      <w:pPr>
        <w:spacing w:after="0" w:line="240" w:lineRule="auto"/>
        <w:jc w:val="both"/>
        <w:rPr>
          <w:rFonts w:ascii="Verdana" w:eastAsia="Calibri" w:hAnsi="Verdana" w:cs="Arial"/>
          <w:color w:val="000000"/>
          <w:sz w:val="20"/>
          <w:lang w:val="es-ES_tradnl"/>
        </w:rPr>
      </w:pPr>
      <w:r w:rsidRPr="0029294F">
        <w:rPr>
          <w:rFonts w:ascii="Verdana" w:eastAsia="Calibri" w:hAnsi="Verdana" w:cs="Arial"/>
          <w:color w:val="000000"/>
          <w:sz w:val="20"/>
          <w:lang w:val="es-ES_tradnl"/>
        </w:rPr>
        <w:t>[…] el numeral 1 del artículo 5 de la Ley 1150 de 2007 se refiere a algunos requisitos exigibles en la generalidad de procesos de selección adelantados conforme al EGCAP, tales como la capacidad jurídica, las condiciones de experiencia, la capacidad financiera y de organización, denominados requisitos habilitantes, los cuales –por expresa disposición legal– no otorgan puntaje, salvo que excepcionalmente se permita lo contrario. Esto comoquiera que estos, no se refieren a la oferta misma sino a la idoneidad del oferente para asumir adecuadamente la ejecución del contrato. Los oferentes que cumplan estos requisitos habilitantes son considerados idóneos para ejecutar el objeto contractual, de manera que sus ofertas pueden ser consideradas en la evaluación dirigida a determinar cuál es la más favorable para la entidad y los fines de la contratación. En este sentido, los requisitos habilitantes son aquellos que deben cumplir en igualdad de condiciones los proponentes y cumplido el mínimo establecido en el pliego de condiciones o documento equivalente hacen que los proponentes se habiliten en el procedimiento de selección y sean susceptibles de ser seleccionados como futuros contratistas.</w:t>
      </w:r>
      <w:r w:rsidRPr="0029294F">
        <w:rPr>
          <w:rFonts w:ascii="Verdana" w:eastAsia="Calibri" w:hAnsi="Verdana" w:cs="Arial"/>
          <w:color w:val="000000"/>
          <w:sz w:val="20"/>
          <w:lang w:val="es-ES_tradnl"/>
        </w:rPr>
        <w:tab/>
      </w:r>
    </w:p>
    <w:p w14:paraId="19219FFB" w14:textId="77777777" w:rsidR="00F8377E" w:rsidRPr="0029294F" w:rsidRDefault="00F8377E" w:rsidP="00F8377E">
      <w:pPr>
        <w:spacing w:after="0" w:line="240" w:lineRule="auto"/>
        <w:jc w:val="both"/>
        <w:rPr>
          <w:rFonts w:ascii="Verdana" w:eastAsia="Calibri" w:hAnsi="Verdana" w:cs="Arial"/>
          <w:color w:val="000000"/>
          <w:lang w:val="es-ES_tradnl"/>
        </w:rPr>
      </w:pPr>
    </w:p>
    <w:p w14:paraId="3A032C76" w14:textId="77777777" w:rsidR="00F8377E" w:rsidRPr="0029294F" w:rsidRDefault="00F8377E" w:rsidP="00F8377E">
      <w:pPr>
        <w:spacing w:after="0" w:line="240" w:lineRule="auto"/>
        <w:jc w:val="both"/>
        <w:rPr>
          <w:rFonts w:ascii="Verdana" w:eastAsia="Calibri" w:hAnsi="Verdana" w:cs="Arial"/>
          <w:b/>
          <w:color w:val="000000"/>
          <w:lang w:val="es-ES"/>
        </w:rPr>
      </w:pPr>
      <w:r w:rsidRPr="0029294F">
        <w:rPr>
          <w:rFonts w:ascii="Verdana" w:eastAsia="Calibri" w:hAnsi="Verdana" w:cs="Arial"/>
          <w:b/>
          <w:color w:val="000000"/>
          <w:lang w:val="es-ES"/>
        </w:rPr>
        <w:t>SELECCIÓN OBJETIVA – Requisitos de ponderación – Asignación de puntaje – Comparación de ofertas</w:t>
      </w:r>
    </w:p>
    <w:p w14:paraId="26CD8143" w14:textId="77777777" w:rsidR="00F8377E" w:rsidRPr="0029294F" w:rsidRDefault="00F8377E" w:rsidP="00F8377E">
      <w:pPr>
        <w:spacing w:after="0" w:line="240" w:lineRule="auto"/>
        <w:jc w:val="both"/>
        <w:rPr>
          <w:rFonts w:ascii="Verdana" w:eastAsia="Calibri" w:hAnsi="Verdana" w:cs="Arial"/>
          <w:color w:val="000000"/>
          <w:lang w:val="es-ES_tradnl"/>
        </w:rPr>
      </w:pPr>
    </w:p>
    <w:p w14:paraId="34E4AB60" w14:textId="77777777" w:rsidR="00F8377E" w:rsidRPr="0029294F" w:rsidRDefault="00F8377E" w:rsidP="00F8377E">
      <w:pPr>
        <w:spacing w:after="120" w:line="240" w:lineRule="auto"/>
        <w:jc w:val="both"/>
        <w:rPr>
          <w:rFonts w:ascii="Verdana" w:eastAsia="Calibri" w:hAnsi="Verdana" w:cs="Arial"/>
          <w:sz w:val="20"/>
          <w:szCs w:val="20"/>
          <w:lang w:val="es-MX"/>
        </w:rPr>
      </w:pPr>
      <w:r w:rsidRPr="0029294F">
        <w:rPr>
          <w:rFonts w:ascii="Verdana" w:eastAsia="Calibri" w:hAnsi="Verdana" w:cs="Arial"/>
          <w:sz w:val="20"/>
          <w:szCs w:val="20"/>
          <w:lang w:val="es-MX"/>
        </w:rPr>
        <w:t xml:space="preserve">[…] el artículo 5 de la Ley 1150 de 2007, alude a diferentes conceptos como factores de escogencia, de calificación, técnicos y económicos de escogencia, de evaluación y calificación. Además, el artículo alude a unos factores que no otorgan puntaje y de otros que inciden en la comparación de ofertas. Por ello, la doctrina define los requisitos o factores ponderables como </w:t>
      </w:r>
      <w:r>
        <w:rPr>
          <w:rFonts w:ascii="Verdana" w:eastAsia="Calibri" w:hAnsi="Verdana" w:cs="Arial"/>
          <w:sz w:val="20"/>
          <w:szCs w:val="20"/>
          <w:lang w:val="es-ES_tradnl"/>
        </w:rPr>
        <w:t>“</w:t>
      </w:r>
      <w:r w:rsidRPr="0029294F">
        <w:rPr>
          <w:rFonts w:ascii="Verdana" w:eastAsia="Calibri" w:hAnsi="Verdana" w:cs="Arial"/>
          <w:sz w:val="20"/>
          <w:szCs w:val="20"/>
          <w:lang w:val="es-ES_tradnl"/>
        </w:rPr>
        <w:t>[…]</w:t>
      </w:r>
      <w:r w:rsidRPr="0029294F">
        <w:rPr>
          <w:rFonts w:ascii="Verdana" w:eastAsia="Calibri" w:hAnsi="Verdana" w:cs="Arial"/>
          <w:sz w:val="20"/>
          <w:szCs w:val="20"/>
          <w:lang w:val="es-MX"/>
        </w:rPr>
        <w:t xml:space="preserve"> aquellas condiciones de la oferta y no de quien la presenta, que sí entrarán a ser evaluadas por la Administración y </w:t>
      </w:r>
      <w:proofErr w:type="gramStart"/>
      <w:r w:rsidRPr="0029294F">
        <w:rPr>
          <w:rFonts w:ascii="Verdana" w:eastAsia="Calibri" w:hAnsi="Verdana" w:cs="Arial"/>
          <w:sz w:val="20"/>
          <w:szCs w:val="20"/>
          <w:lang w:val="es-MX"/>
        </w:rPr>
        <w:t>que</w:t>
      </w:r>
      <w:proofErr w:type="gramEnd"/>
      <w:r w:rsidRPr="0029294F">
        <w:rPr>
          <w:rFonts w:ascii="Verdana" w:eastAsia="Calibri" w:hAnsi="Verdana" w:cs="Arial"/>
          <w:sz w:val="20"/>
          <w:szCs w:val="20"/>
          <w:lang w:val="es-MX"/>
        </w:rPr>
        <w:t xml:space="preserve"> en consecuencia, darán lugar a la escogencia objetiva de la mejor propuesta para la entidad</w:t>
      </w:r>
      <w:r>
        <w:rPr>
          <w:rFonts w:ascii="Verdana" w:eastAsia="Calibri" w:hAnsi="Verdana" w:cs="Arial"/>
          <w:sz w:val="20"/>
          <w:szCs w:val="20"/>
          <w:lang w:val="es-MX"/>
        </w:rPr>
        <w:t>”</w:t>
      </w:r>
      <w:r w:rsidRPr="0029294F">
        <w:rPr>
          <w:rFonts w:ascii="Verdana" w:eastAsia="Calibri" w:hAnsi="Verdana" w:cs="Arial"/>
          <w:sz w:val="20"/>
          <w:szCs w:val="20"/>
          <w:lang w:val="es-MX"/>
        </w:rPr>
        <w:t xml:space="preserve">. Todas estas categorías designan los </w:t>
      </w:r>
      <w:r>
        <w:rPr>
          <w:rFonts w:ascii="Verdana" w:eastAsia="Calibri" w:hAnsi="Verdana" w:cs="Arial"/>
          <w:sz w:val="20"/>
          <w:szCs w:val="20"/>
          <w:lang w:val="es-ES_tradnl"/>
        </w:rPr>
        <w:t>“</w:t>
      </w:r>
      <w:r w:rsidRPr="0029294F">
        <w:rPr>
          <w:rFonts w:ascii="Verdana" w:eastAsia="Calibri" w:hAnsi="Verdana" w:cs="Arial"/>
          <w:sz w:val="20"/>
          <w:szCs w:val="20"/>
          <w:lang w:val="es-ES_tradnl"/>
        </w:rPr>
        <w:t>[…]</w:t>
      </w:r>
      <w:r w:rsidRPr="0029294F">
        <w:rPr>
          <w:rFonts w:ascii="Verdana" w:eastAsia="Calibri" w:hAnsi="Verdana" w:cs="Arial"/>
          <w:sz w:val="20"/>
          <w:szCs w:val="20"/>
          <w:lang w:val="es-MX"/>
        </w:rPr>
        <w:t xml:space="preserve"> factores a los cuales cabe otorgarles puntajes o que pueden ser ponderados, precisamente, pues estos son los factores que en últimas permiten una comparación de ofertas y una diferenciación entre ellas</w:t>
      </w:r>
      <w:r>
        <w:rPr>
          <w:rFonts w:ascii="Verdana" w:eastAsia="Calibri" w:hAnsi="Verdana" w:cs="Arial"/>
          <w:sz w:val="20"/>
          <w:szCs w:val="20"/>
          <w:lang w:val="es-MX"/>
        </w:rPr>
        <w:t>”</w:t>
      </w:r>
      <w:r w:rsidRPr="0029294F">
        <w:rPr>
          <w:rFonts w:ascii="Verdana" w:eastAsia="Calibri" w:hAnsi="Verdana" w:cs="Arial"/>
          <w:sz w:val="20"/>
          <w:szCs w:val="20"/>
          <w:lang w:val="es-MX"/>
        </w:rPr>
        <w:t xml:space="preserve"> […].</w:t>
      </w:r>
    </w:p>
    <w:p w14:paraId="438F5904" w14:textId="77777777" w:rsidR="00F8377E" w:rsidRPr="0029294F" w:rsidRDefault="00F8377E" w:rsidP="00F8377E">
      <w:pPr>
        <w:spacing w:after="0" w:line="240" w:lineRule="auto"/>
        <w:jc w:val="both"/>
        <w:rPr>
          <w:rFonts w:ascii="Verdana" w:eastAsia="Calibri" w:hAnsi="Verdana" w:cs="Arial"/>
          <w:color w:val="000000"/>
          <w:sz w:val="20"/>
          <w:szCs w:val="20"/>
          <w:lang w:val="es-ES_tradnl"/>
        </w:rPr>
      </w:pPr>
      <w:r w:rsidRPr="0029294F">
        <w:rPr>
          <w:rFonts w:ascii="Verdana" w:eastAsia="Calibri" w:hAnsi="Verdana" w:cs="Arial"/>
          <w:color w:val="000000"/>
          <w:sz w:val="20"/>
          <w:szCs w:val="20"/>
          <w:lang w:val="es-ES_tradnl"/>
        </w:rPr>
        <w:t>[…]</w:t>
      </w:r>
    </w:p>
    <w:p w14:paraId="6D56D1CE" w14:textId="77777777" w:rsidR="00F8377E" w:rsidRPr="0029294F" w:rsidRDefault="00F8377E" w:rsidP="00F8377E">
      <w:pPr>
        <w:spacing w:after="120" w:line="240" w:lineRule="auto"/>
        <w:jc w:val="both"/>
        <w:rPr>
          <w:rFonts w:ascii="Verdana" w:eastAsia="Calibri" w:hAnsi="Verdana" w:cs="Arial"/>
          <w:sz w:val="20"/>
          <w:szCs w:val="20"/>
          <w:lang w:val="es-MX"/>
        </w:rPr>
      </w:pPr>
      <w:r w:rsidRPr="0029294F">
        <w:rPr>
          <w:rFonts w:ascii="Verdana" w:eastAsia="Calibri" w:hAnsi="Verdana" w:cs="Arial"/>
          <w:sz w:val="20"/>
          <w:szCs w:val="20"/>
          <w:lang w:val="es-MX"/>
        </w:rPr>
        <w:t>De acuerdo con lo anterior, es posible asimilar las diferentes categorías a las que hace referencia el artículo 5 de la Ley 1150 de 2007, cuando alude a los factores que, a diferencia de los requisitos habilitantes, determinan la oferta más favorable para la entidad, y que, por lo tanto, hacen que una oferta sea mejor que otra, pese a tener que cumplir todas ellas los requisitos habilitantes. Es frente a aquellos factores que determinan comparativamente que una oferta sea mejor que otra, que la entidad concibe el otorgamiento de puntajes, como mecanismos para ponderar y comparar los ofrecimientos, con el fin de determinar objetivamente la oferta más favorable, aplicando para ello las reglas establecidas en el pliego o documento equivalente para la ponderación de las ofertas.</w:t>
      </w:r>
    </w:p>
    <w:p w14:paraId="36BBC67F" w14:textId="77777777" w:rsidR="00F8377E" w:rsidRDefault="00F8377E" w:rsidP="00F8377E">
      <w:pPr>
        <w:spacing w:after="0" w:line="240" w:lineRule="auto"/>
        <w:jc w:val="both"/>
        <w:rPr>
          <w:rFonts w:ascii="Verdana" w:eastAsia="Calibri" w:hAnsi="Verdana" w:cs="Arial"/>
          <w:sz w:val="20"/>
          <w:szCs w:val="20"/>
          <w:lang w:val="es-MX"/>
        </w:rPr>
      </w:pPr>
      <w:r w:rsidRPr="0029294F">
        <w:rPr>
          <w:rFonts w:ascii="Verdana" w:eastAsia="Calibri" w:hAnsi="Verdana" w:cs="Arial"/>
          <w:sz w:val="20"/>
          <w:szCs w:val="20"/>
          <w:lang w:val="es-MX"/>
        </w:rPr>
        <w:t xml:space="preserve">En ese sentido, la asignación de puntaje es un mecanismo mediante el cual las entidades ponderan los factores de calificación </w:t>
      </w:r>
      <w:r w:rsidRPr="0029294F">
        <w:rPr>
          <w:rFonts w:ascii="Arial" w:eastAsia="Calibri" w:hAnsi="Arial" w:cs="Arial"/>
          <w:sz w:val="20"/>
          <w:szCs w:val="20"/>
          <w:lang w:val="es-MX"/>
        </w:rPr>
        <w:t>ꟷ</w:t>
      </w:r>
      <w:r w:rsidRPr="0029294F">
        <w:rPr>
          <w:rFonts w:ascii="Verdana" w:eastAsia="Calibri" w:hAnsi="Verdana" w:cs="Arial"/>
          <w:i/>
          <w:sz w:val="20"/>
          <w:szCs w:val="20"/>
          <w:lang w:val="es-MX"/>
        </w:rPr>
        <w:t>v.g.</w:t>
      </w:r>
      <w:r w:rsidRPr="0029294F">
        <w:rPr>
          <w:rFonts w:ascii="Verdana" w:eastAsia="Calibri" w:hAnsi="Verdana" w:cs="Arial"/>
          <w:sz w:val="20"/>
          <w:szCs w:val="20"/>
          <w:lang w:val="es-MX"/>
        </w:rPr>
        <w:t xml:space="preserve"> técnicos y económicos, de calidad y precio</w:t>
      </w:r>
      <w:r w:rsidRPr="0029294F">
        <w:rPr>
          <w:rFonts w:ascii="Verdana" w:eastAsia="Calibri" w:hAnsi="Verdana" w:cs="Arial"/>
          <w:sz w:val="20"/>
          <w:szCs w:val="20"/>
          <w:lang w:val="es-MX"/>
        </w:rPr>
        <w:softHyphen/>
        <w:t>, etc.</w:t>
      </w:r>
      <w:r w:rsidRPr="0029294F">
        <w:rPr>
          <w:rFonts w:ascii="Arial" w:eastAsia="Calibri" w:hAnsi="Arial" w:cs="Arial"/>
          <w:sz w:val="20"/>
          <w:szCs w:val="20"/>
          <w:lang w:val="es-MX"/>
        </w:rPr>
        <w:t>ꟷ</w:t>
      </w:r>
      <w:r w:rsidRPr="0029294F">
        <w:rPr>
          <w:rFonts w:ascii="Verdana" w:eastAsia="Calibri" w:hAnsi="Verdana" w:cs="Arial"/>
          <w:sz w:val="20"/>
          <w:szCs w:val="20"/>
          <w:lang w:val="es-MX"/>
        </w:rPr>
        <w:t xml:space="preserve"> en un determinado proceso de selecci</w:t>
      </w:r>
      <w:r w:rsidRPr="0029294F">
        <w:rPr>
          <w:rFonts w:ascii="Verdana" w:eastAsia="Calibri" w:hAnsi="Verdana" w:cs="Verdana"/>
          <w:sz w:val="20"/>
          <w:szCs w:val="20"/>
          <w:lang w:val="es-MX"/>
        </w:rPr>
        <w:t>ó</w:t>
      </w:r>
      <w:r w:rsidRPr="0029294F">
        <w:rPr>
          <w:rFonts w:ascii="Verdana" w:eastAsia="Calibri" w:hAnsi="Verdana" w:cs="Arial"/>
          <w:sz w:val="20"/>
          <w:szCs w:val="20"/>
          <w:lang w:val="es-MX"/>
        </w:rPr>
        <w:t>n, como se desprende del literal a) del numeral 2 del art</w:t>
      </w:r>
      <w:r w:rsidRPr="0029294F">
        <w:rPr>
          <w:rFonts w:ascii="Verdana" w:eastAsia="Calibri" w:hAnsi="Verdana" w:cs="Verdana"/>
          <w:sz w:val="20"/>
          <w:szCs w:val="20"/>
          <w:lang w:val="es-MX"/>
        </w:rPr>
        <w:t>í</w:t>
      </w:r>
      <w:r w:rsidRPr="0029294F">
        <w:rPr>
          <w:rFonts w:ascii="Verdana" w:eastAsia="Calibri" w:hAnsi="Verdana" w:cs="Arial"/>
          <w:sz w:val="20"/>
          <w:szCs w:val="20"/>
          <w:lang w:val="es-MX"/>
        </w:rPr>
        <w:t xml:space="preserve">culo 5 de la Ley 1150 de 2007, en el que expresamente se alude al puntaje. Sin embargo, no es este el </w:t>
      </w:r>
      <w:r w:rsidRPr="0029294F">
        <w:rPr>
          <w:rFonts w:ascii="Verdana" w:eastAsia="Calibri" w:hAnsi="Verdana" w:cs="Verdana"/>
          <w:sz w:val="20"/>
          <w:szCs w:val="20"/>
          <w:lang w:val="es-MX"/>
        </w:rPr>
        <w:t>ú</w:t>
      </w:r>
      <w:r w:rsidRPr="0029294F">
        <w:rPr>
          <w:rFonts w:ascii="Verdana" w:eastAsia="Calibri" w:hAnsi="Verdana" w:cs="Arial"/>
          <w:sz w:val="20"/>
          <w:szCs w:val="20"/>
          <w:lang w:val="es-MX"/>
        </w:rPr>
        <w:t>nico mecanismo de ponderaci</w:t>
      </w:r>
      <w:r w:rsidRPr="0029294F">
        <w:rPr>
          <w:rFonts w:ascii="Verdana" w:eastAsia="Calibri" w:hAnsi="Verdana" w:cs="Verdana"/>
          <w:sz w:val="20"/>
          <w:szCs w:val="20"/>
          <w:lang w:val="es-MX"/>
        </w:rPr>
        <w:t>ó</w:t>
      </w:r>
      <w:r w:rsidRPr="0029294F">
        <w:rPr>
          <w:rFonts w:ascii="Verdana" w:eastAsia="Calibri" w:hAnsi="Verdana" w:cs="Arial"/>
          <w:sz w:val="20"/>
          <w:szCs w:val="20"/>
          <w:lang w:val="es-MX"/>
        </w:rPr>
        <w:t>n que tienen a su alcance las entidades estatales para determinar el ofrecimiento m</w:t>
      </w:r>
      <w:r w:rsidRPr="0029294F">
        <w:rPr>
          <w:rFonts w:ascii="Verdana" w:eastAsia="Calibri" w:hAnsi="Verdana" w:cs="Verdana"/>
          <w:sz w:val="20"/>
          <w:szCs w:val="20"/>
          <w:lang w:val="es-MX"/>
        </w:rPr>
        <w:t>á</w:t>
      </w:r>
      <w:r w:rsidRPr="0029294F">
        <w:rPr>
          <w:rFonts w:ascii="Verdana" w:eastAsia="Calibri" w:hAnsi="Verdana" w:cs="Arial"/>
          <w:sz w:val="20"/>
          <w:szCs w:val="20"/>
          <w:lang w:val="es-MX"/>
        </w:rPr>
        <w:t xml:space="preserve">s favorable, ya que </w:t>
      </w:r>
      <w:r w:rsidRPr="0029294F">
        <w:rPr>
          <w:rFonts w:ascii="Verdana" w:eastAsia="Calibri" w:hAnsi="Verdana" w:cs="Arial"/>
          <w:sz w:val="20"/>
          <w:szCs w:val="20"/>
          <w:lang w:val="es-MX"/>
        </w:rPr>
        <w:lastRenderedPageBreak/>
        <w:t>el propio literal b) del art</w:t>
      </w:r>
      <w:r w:rsidRPr="0029294F">
        <w:rPr>
          <w:rFonts w:ascii="Verdana" w:eastAsia="Calibri" w:hAnsi="Verdana" w:cs="Verdana"/>
          <w:sz w:val="20"/>
          <w:szCs w:val="20"/>
          <w:lang w:val="es-MX"/>
        </w:rPr>
        <w:t>í</w:t>
      </w:r>
      <w:r w:rsidRPr="0029294F">
        <w:rPr>
          <w:rFonts w:ascii="Verdana" w:eastAsia="Calibri" w:hAnsi="Verdana" w:cs="Arial"/>
          <w:sz w:val="20"/>
          <w:szCs w:val="20"/>
          <w:lang w:val="es-MX"/>
        </w:rPr>
        <w:t>culo 5.2 posibilita que el ofrecimiento m</w:t>
      </w:r>
      <w:r w:rsidRPr="0029294F">
        <w:rPr>
          <w:rFonts w:ascii="Verdana" w:eastAsia="Calibri" w:hAnsi="Verdana" w:cs="Verdana"/>
          <w:sz w:val="20"/>
          <w:szCs w:val="20"/>
          <w:lang w:val="es-MX"/>
        </w:rPr>
        <w:t>á</w:t>
      </w:r>
      <w:r w:rsidRPr="0029294F">
        <w:rPr>
          <w:rFonts w:ascii="Verdana" w:eastAsia="Calibri" w:hAnsi="Verdana" w:cs="Arial"/>
          <w:sz w:val="20"/>
          <w:szCs w:val="20"/>
          <w:lang w:val="es-MX"/>
        </w:rPr>
        <w:t>s favorable se determine con un an</w:t>
      </w:r>
      <w:r w:rsidRPr="0029294F">
        <w:rPr>
          <w:rFonts w:ascii="Verdana" w:eastAsia="Calibri" w:hAnsi="Verdana" w:cs="Verdana"/>
          <w:sz w:val="20"/>
          <w:szCs w:val="20"/>
          <w:lang w:val="es-MX"/>
        </w:rPr>
        <w:t>á</w:t>
      </w:r>
      <w:r w:rsidRPr="0029294F">
        <w:rPr>
          <w:rFonts w:ascii="Verdana" w:eastAsia="Calibri" w:hAnsi="Verdana" w:cs="Arial"/>
          <w:sz w:val="20"/>
          <w:szCs w:val="20"/>
          <w:lang w:val="es-MX"/>
        </w:rPr>
        <w:t>lisis de la relaci</w:t>
      </w:r>
      <w:r w:rsidRPr="0029294F">
        <w:rPr>
          <w:rFonts w:ascii="Verdana" w:eastAsia="Calibri" w:hAnsi="Verdana" w:cs="Verdana"/>
          <w:sz w:val="20"/>
          <w:szCs w:val="20"/>
          <w:lang w:val="es-MX"/>
        </w:rPr>
        <w:t>ó</w:t>
      </w:r>
      <w:r w:rsidRPr="0029294F">
        <w:rPr>
          <w:rFonts w:ascii="Verdana" w:eastAsia="Calibri" w:hAnsi="Verdana" w:cs="Arial"/>
          <w:sz w:val="20"/>
          <w:szCs w:val="20"/>
          <w:lang w:val="es-MX"/>
        </w:rPr>
        <w:t>n costo-beneficio, evento en el no habría necesidad de acudir obligatoriamente a sistemas de asignación de puntaje. A estos se suman, los procesos de selección de bienes y servicios de características técnicas uniformes y de común utilización, así como los de mínima cuantía, en los que –según los artículos 5.3 y 2.5 de la Ley 1150 de 2007– el único factor de selección es el menor precio ofertado, por lo que no hay lugar a ponderación mediante puntajes.</w:t>
      </w:r>
    </w:p>
    <w:p w14:paraId="5CBAB6F3" w14:textId="77777777" w:rsidR="00F8377E" w:rsidRDefault="00F8377E" w:rsidP="00F8377E">
      <w:pPr>
        <w:spacing w:after="0" w:line="240" w:lineRule="auto"/>
        <w:jc w:val="both"/>
        <w:rPr>
          <w:rFonts w:ascii="Verdana" w:eastAsia="Calibri" w:hAnsi="Verdana" w:cs="Arial"/>
          <w:sz w:val="20"/>
          <w:szCs w:val="20"/>
          <w:lang w:val="es-MX"/>
        </w:rPr>
      </w:pPr>
    </w:p>
    <w:p w14:paraId="020966B1" w14:textId="77777777" w:rsidR="00F8377E" w:rsidRPr="00505991" w:rsidRDefault="00F8377E" w:rsidP="00F8377E">
      <w:pPr>
        <w:spacing w:after="0" w:line="240" w:lineRule="auto"/>
        <w:jc w:val="both"/>
        <w:rPr>
          <w:rFonts w:ascii="Verdana" w:eastAsia="Calibri" w:hAnsi="Verdana" w:cs="Arial"/>
          <w:b/>
          <w:bCs/>
          <w:color w:val="000000" w:themeColor="text1"/>
          <w:lang w:val="es-ES_tradnl"/>
        </w:rPr>
      </w:pPr>
      <w:r w:rsidRPr="00505991">
        <w:rPr>
          <w:rFonts w:ascii="Verdana" w:eastAsia="Calibri" w:hAnsi="Verdana" w:cs="Arial"/>
          <w:b/>
          <w:bCs/>
          <w:color w:val="000000" w:themeColor="text1"/>
          <w:lang w:val="es-ES_tradnl"/>
        </w:rPr>
        <w:t>REQUISITOS HABILITANTES – Ley 1150 DE 2007 – Carácter enunciativo</w:t>
      </w:r>
    </w:p>
    <w:p w14:paraId="3DB542AF" w14:textId="77777777" w:rsidR="00F8377E" w:rsidRPr="00505991" w:rsidRDefault="00F8377E" w:rsidP="00F8377E">
      <w:pPr>
        <w:spacing w:after="0" w:line="240" w:lineRule="auto"/>
        <w:rPr>
          <w:rFonts w:ascii="Verdana" w:eastAsia="Calibri" w:hAnsi="Verdana" w:cs="Arial"/>
          <w:b/>
          <w:bCs/>
          <w:color w:val="000000" w:themeColor="text1"/>
          <w:sz w:val="20"/>
          <w:szCs w:val="20"/>
          <w:lang w:val="es-ES_tradnl"/>
        </w:rPr>
      </w:pPr>
    </w:p>
    <w:p w14:paraId="6DCBF7C2" w14:textId="77777777" w:rsidR="00F8377E" w:rsidRPr="00505991" w:rsidRDefault="00F8377E" w:rsidP="00F8377E">
      <w:pPr>
        <w:spacing w:after="0" w:line="240" w:lineRule="auto"/>
        <w:jc w:val="both"/>
        <w:rPr>
          <w:rFonts w:ascii="Verdana" w:eastAsia="Calibri" w:hAnsi="Verdana" w:cs="Arial"/>
          <w:b/>
          <w:bCs/>
          <w:color w:val="000000" w:themeColor="text1"/>
          <w:sz w:val="20"/>
          <w:szCs w:val="20"/>
          <w:lang w:val="es-ES_tradnl"/>
        </w:rPr>
      </w:pPr>
      <w:r w:rsidRPr="00505991">
        <w:rPr>
          <w:rFonts w:ascii="Verdana" w:eastAsia="Calibri" w:hAnsi="Verdana" w:cs="Arial"/>
          <w:color w:val="000000" w:themeColor="text1"/>
          <w:sz w:val="20"/>
          <w:szCs w:val="20"/>
          <w:lang w:val="es-ES"/>
        </w:rPr>
        <w:t>Ahora bien, en este punto vale la pena preguntarse si los cuatro requisitos habilitantes establecidos en el artículo 5, numeral 1, de la Ley 1150 de 2007, cuyo alcance fue explicado previamente, son taxativos, esto es, si son los únicos requisitos habilitantes que puede exigirles una entidad a los proponentes. Esta pregunta tiene, al menos, dos respuestas posibles. Por un lado, que sí lo son, ya que la norma no hace referencia a otros diferentes y, por el otro, que no lo son, pues esta no contiene una expresión como «únicamente» o «solo», al referirse a los requisitos habilitantes y, además, debido a que la lectura integral de las normas que regulan la contratación estatal permite concluir que existen otras condiciones que deben cumplirse para la contratación con una entidad pública, como pasa, por ejemplo, con la capacidad residual a la que se refiere el artículo 6º, parágrafo 1, de la Ley 1150 de 2007, norma que establece que «para poder participar en los procesos de selección de los contratos de obra, la capacidad residual del proponente o K de contratación deberá ser igual o superior al que la entidad haya establecido para el efecto en los pliegos de condiciones». Esta segunda respuesta contiene la interpretación legal que comparte la Agencia Nacional de Contratación Pública.</w:t>
      </w:r>
    </w:p>
    <w:p w14:paraId="44ECC98F" w14:textId="77777777" w:rsidR="00F8377E" w:rsidRPr="0029294F" w:rsidRDefault="00F8377E" w:rsidP="00F8377E">
      <w:pPr>
        <w:spacing w:after="0" w:line="240" w:lineRule="auto"/>
        <w:jc w:val="both"/>
        <w:rPr>
          <w:rFonts w:ascii="Verdana" w:eastAsia="Calibri" w:hAnsi="Verdana" w:cs="Arial"/>
          <w:color w:val="000000"/>
          <w:sz w:val="20"/>
          <w:szCs w:val="20"/>
          <w:lang w:val="es-ES_tradnl"/>
        </w:rPr>
      </w:pPr>
    </w:p>
    <w:p w14:paraId="4AFD44FF" w14:textId="77777777" w:rsidR="00F8377E" w:rsidRPr="0029294F" w:rsidRDefault="00F8377E" w:rsidP="00F8377E">
      <w:pPr>
        <w:spacing w:after="0" w:line="240" w:lineRule="auto"/>
        <w:jc w:val="both"/>
        <w:rPr>
          <w:rFonts w:ascii="Verdana" w:eastAsia="Calibri" w:hAnsi="Verdana" w:cs="Arial"/>
          <w:color w:val="000000"/>
          <w:sz w:val="20"/>
          <w:lang w:val="es-ES_tradnl"/>
        </w:rPr>
      </w:pPr>
    </w:p>
    <w:p w14:paraId="714CC080" w14:textId="77777777" w:rsidR="00F8377E" w:rsidRPr="008C52F1" w:rsidRDefault="00F8377E" w:rsidP="00F8377E">
      <w:pPr>
        <w:spacing w:after="0"/>
        <w:jc w:val="both"/>
        <w:rPr>
          <w:rFonts w:ascii="Verdana" w:eastAsia="Geomanist Light" w:hAnsi="Verdana" w:cs="Arial"/>
          <w:b/>
          <w:bCs/>
          <w:lang w:val="es-MX"/>
        </w:rPr>
      </w:pPr>
      <w:r w:rsidRPr="008C52F1">
        <w:rPr>
          <w:rFonts w:ascii="Verdana" w:eastAsia="Geomanist Light" w:hAnsi="Verdana" w:cs="Arial"/>
          <w:b/>
          <w:bCs/>
          <w:lang w:val="es-MX"/>
        </w:rPr>
        <w:t xml:space="preserve">SUBSANALIDAD Y ACLARACIÓN DE LA OFERTA – Diferencias </w:t>
      </w:r>
    </w:p>
    <w:p w14:paraId="2881F4D9" w14:textId="77777777" w:rsidR="00F8377E" w:rsidRPr="008C52F1" w:rsidRDefault="00F8377E" w:rsidP="00F8377E">
      <w:pPr>
        <w:spacing w:after="0"/>
        <w:jc w:val="both"/>
        <w:rPr>
          <w:rFonts w:ascii="Verdana" w:eastAsia="Geomanist Light" w:hAnsi="Verdana" w:cs="Arial"/>
          <w:b/>
          <w:bCs/>
          <w:lang w:val="es-MX"/>
        </w:rPr>
      </w:pPr>
    </w:p>
    <w:p w14:paraId="1C9AF689" w14:textId="77777777" w:rsidR="00F8377E" w:rsidRPr="008C52F1" w:rsidRDefault="00F8377E" w:rsidP="00F8377E">
      <w:pPr>
        <w:spacing w:after="0" w:line="240" w:lineRule="auto"/>
        <w:jc w:val="both"/>
        <w:rPr>
          <w:rFonts w:ascii="Verdana" w:hAnsi="Verdana" w:cs="Arial"/>
          <w:bCs/>
          <w:sz w:val="20"/>
          <w:szCs w:val="20"/>
        </w:rPr>
      </w:pPr>
      <w:r w:rsidRPr="008C52F1">
        <w:rPr>
          <w:rFonts w:ascii="Verdana" w:hAnsi="Verdana" w:cs="Arial"/>
          <w:bCs/>
          <w:sz w:val="20"/>
          <w:szCs w:val="20"/>
        </w:rPr>
        <w:t>“[…] es distinto aclarar y subsanar una oferta, siendo este último un instituto que procura porque el oferente presente, dentro del plazo y bajo las condiciones dadas por la norma aplicable, los documentos que acrediten el cumplimiento de los requisitos exigidos como habilitantes para participar en el respectivo procedimiento de selección, mientras que la aclaración permite mejor el entendimiento de los elementos de la oferta, sean o no subsanables, para la correcta verificación y evaluación de los mismos por parte de la entidad pública.  Finalmente, como dispone el artículo 30.7 de la Ley 80 de 1993, la aclaración de las propuestas se realiza durante la evaluación de estas, pues es necesario esclarecer los aspectos dudosos de las ofertas antes de la adjudicación. Por ello, la jurisprudencia también explica que “[…] el proponente debe acogerse al tiempo que le otorga la administración para subsanar o aclarar la oferta, lapso que la entidad no puede extender más allá de la adjudicación […]”. De esta manera, “lo ideal en un proceso de selección es que las aclaraciones y explicaciones se anticipen y soliciten durante la etapa de evaluación, lo más pronto posible, es decir, antes de que la entidad elabore el informe respectivo, de tal manera que las tenga en cuenta para producir ese acto administrativo”.</w:t>
      </w:r>
    </w:p>
    <w:p w14:paraId="7FF0A71A" w14:textId="77777777" w:rsidR="00F8377E" w:rsidRPr="00505991" w:rsidRDefault="00F8377E" w:rsidP="00F8377E">
      <w:pPr>
        <w:spacing w:after="0" w:line="240" w:lineRule="auto"/>
        <w:jc w:val="both"/>
        <w:rPr>
          <w:rFonts w:ascii="Verdana" w:eastAsia="Times New Roman" w:hAnsi="Verdana" w:cs="Arial"/>
          <w:noProof/>
          <w:lang w:eastAsia="es-ES_tradnl"/>
        </w:rPr>
      </w:pPr>
    </w:p>
    <w:p w14:paraId="4E479FA2" w14:textId="77777777" w:rsidR="00F8377E" w:rsidRDefault="00F8377E" w:rsidP="00F8377E">
      <w:pPr>
        <w:spacing w:after="0" w:line="240" w:lineRule="auto"/>
        <w:jc w:val="both"/>
        <w:rPr>
          <w:rFonts w:ascii="Verdana" w:eastAsia="Times New Roman" w:hAnsi="Verdana" w:cs="Arial"/>
          <w:noProof/>
          <w:lang w:val="es-ES_tradnl" w:eastAsia="es-ES_tradnl"/>
        </w:rPr>
      </w:pPr>
    </w:p>
    <w:p w14:paraId="2CC3E830" w14:textId="77777777" w:rsidR="00F8377E" w:rsidRPr="00262582" w:rsidRDefault="00F8377E" w:rsidP="00F8377E">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72AF4736" w14:textId="77777777" w:rsidR="00F8377E" w:rsidRPr="00262582" w:rsidRDefault="00F8377E" w:rsidP="00F8377E">
      <w:pPr>
        <w:spacing w:after="0" w:line="240" w:lineRule="auto"/>
        <w:jc w:val="both"/>
        <w:rPr>
          <w:rFonts w:ascii="Verdana" w:eastAsia="Times New Roman" w:hAnsi="Verdana" w:cs="Arial"/>
          <w:noProof/>
          <w:lang w:val="es-ES_tradnl" w:eastAsia="es-ES_tradnl"/>
        </w:rPr>
      </w:pPr>
    </w:p>
    <w:p w14:paraId="494BD149" w14:textId="4B556716" w:rsidR="00F8377E" w:rsidRPr="00262582" w:rsidRDefault="009428AE" w:rsidP="00F8377E">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26609900" wp14:editId="5D5DE61D">
            <wp:extent cx="3260090" cy="958850"/>
            <wp:effectExtent l="0" t="0" r="0" b="0"/>
            <wp:docPr id="22868166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81669" name="Imagen 1" descr="Interfaz de usuario gráfica, Aplicación, Word&#10;&#10;Descripción generada automáticamente"/>
                    <pic:cNvPicPr/>
                  </pic:nvPicPr>
                  <pic:blipFill rotWithShape="1">
                    <a:blip r:embed="rId10"/>
                    <a:srcRect l="10523" t="37476" r="52931" b="26195"/>
                    <a:stretch/>
                  </pic:blipFill>
                  <pic:spPr bwMode="auto">
                    <a:xfrm>
                      <a:off x="0" y="0"/>
                      <a:ext cx="3261669" cy="959314"/>
                    </a:xfrm>
                    <a:prstGeom prst="rect">
                      <a:avLst/>
                    </a:prstGeom>
                    <a:ln>
                      <a:noFill/>
                    </a:ln>
                    <a:extLst>
                      <a:ext uri="{53640926-AAD7-44D8-BBD7-CCE9431645EC}">
                        <a14:shadowObscured xmlns:a14="http://schemas.microsoft.com/office/drawing/2010/main"/>
                      </a:ext>
                    </a:extLst>
                  </pic:spPr>
                </pic:pic>
              </a:graphicData>
            </a:graphic>
          </wp:inline>
        </w:drawing>
      </w:r>
    </w:p>
    <w:p w14:paraId="7CA8C24B" w14:textId="77777777" w:rsidR="00F8377E" w:rsidRPr="00262582" w:rsidRDefault="00F8377E" w:rsidP="00F8377E">
      <w:pPr>
        <w:spacing w:after="0" w:line="240" w:lineRule="auto"/>
        <w:jc w:val="both"/>
        <w:rPr>
          <w:rFonts w:ascii="Verdana" w:eastAsia="Calibri" w:hAnsi="Verdana" w:cs="Arial"/>
          <w:lang w:val="es-ES" w:eastAsia="es-ES_tradnl"/>
        </w:rPr>
      </w:pPr>
      <w:r w:rsidRPr="00262582">
        <w:rPr>
          <w:rFonts w:ascii="Verdana" w:eastAsia="Calibri" w:hAnsi="Verdana" w:cs="Arial"/>
          <w:lang w:val="es-ES" w:eastAsia="es-ES_tradnl"/>
        </w:rPr>
        <w:t>Señora</w:t>
      </w:r>
    </w:p>
    <w:p w14:paraId="7132C336" w14:textId="77777777" w:rsidR="00F8377E" w:rsidRPr="00262582" w:rsidRDefault="00F8377E" w:rsidP="00F8377E">
      <w:pPr>
        <w:spacing w:after="0" w:line="240" w:lineRule="auto"/>
        <w:rPr>
          <w:rFonts w:ascii="Verdana" w:eastAsia="Calibri" w:hAnsi="Verdana" w:cs="Arial"/>
          <w:b/>
          <w:bCs/>
          <w:lang w:val="es-ES" w:eastAsia="es-ES_tradnl"/>
        </w:rPr>
      </w:pPr>
      <w:proofErr w:type="spellStart"/>
      <w:r>
        <w:rPr>
          <w:rFonts w:ascii="Verdana" w:eastAsia="Calibri" w:hAnsi="Verdana" w:cs="Arial"/>
          <w:b/>
          <w:bCs/>
          <w:lang w:val="es-ES" w:eastAsia="es-ES_tradnl"/>
        </w:rPr>
        <w:t>Nicolle</w:t>
      </w:r>
      <w:proofErr w:type="spellEnd"/>
      <w:r>
        <w:rPr>
          <w:rFonts w:ascii="Verdana" w:eastAsia="Calibri" w:hAnsi="Verdana" w:cs="Arial"/>
          <w:b/>
          <w:bCs/>
          <w:lang w:val="es-ES" w:eastAsia="es-ES_tradnl"/>
        </w:rPr>
        <w:t xml:space="preserve"> Daniela Rueda </w:t>
      </w:r>
      <w:proofErr w:type="spellStart"/>
      <w:r>
        <w:rPr>
          <w:rFonts w:ascii="Verdana" w:eastAsia="Calibri" w:hAnsi="Verdana" w:cs="Arial"/>
          <w:b/>
          <w:bCs/>
          <w:lang w:val="es-ES" w:eastAsia="es-ES_tradnl"/>
        </w:rPr>
        <w:t>Fernandez</w:t>
      </w:r>
      <w:proofErr w:type="spellEnd"/>
    </w:p>
    <w:p w14:paraId="4377D425" w14:textId="77777777" w:rsidR="00F8377E" w:rsidRPr="00262582" w:rsidRDefault="00F8377E" w:rsidP="00F8377E">
      <w:pPr>
        <w:spacing w:after="0" w:line="240" w:lineRule="auto"/>
        <w:rPr>
          <w:rFonts w:ascii="Verdana" w:eastAsia="Calibri" w:hAnsi="Verdana" w:cs="Arial"/>
          <w:lang w:val="es-ES_tradnl" w:eastAsia="es-ES_tradnl"/>
        </w:rPr>
      </w:pPr>
      <w:r w:rsidRPr="00262582">
        <w:rPr>
          <w:rFonts w:ascii="Verdana" w:eastAsia="Calibri" w:hAnsi="Verdana" w:cs="Arial"/>
          <w:bCs/>
          <w:lang w:val="es-ES_tradnl" w:eastAsia="es-ES_tradnl"/>
        </w:rPr>
        <w:t>Ciudad</w:t>
      </w:r>
    </w:p>
    <w:p w14:paraId="67126E13" w14:textId="77777777" w:rsidR="00F8377E" w:rsidRPr="00262582" w:rsidRDefault="00F8377E" w:rsidP="00F8377E">
      <w:pPr>
        <w:spacing w:after="0" w:line="240" w:lineRule="auto"/>
        <w:rPr>
          <w:rFonts w:ascii="Verdana" w:eastAsia="Calibri" w:hAnsi="Verdana" w:cs="Arial"/>
          <w:lang w:val="es-ES_tradnl" w:eastAsia="es-ES_tradnl"/>
        </w:rPr>
      </w:pPr>
    </w:p>
    <w:p w14:paraId="4915B88D" w14:textId="77777777" w:rsidR="00F8377E" w:rsidRPr="00262582" w:rsidRDefault="00F8377E" w:rsidP="00F8377E">
      <w:pPr>
        <w:spacing w:after="0" w:line="240" w:lineRule="auto"/>
        <w:rPr>
          <w:rFonts w:ascii="Verdana" w:eastAsia="Calibri" w:hAnsi="Verdana" w:cs="Arial"/>
          <w:lang w:val="es-ES_tradnl" w:eastAsia="es-ES_tradnl"/>
        </w:rPr>
      </w:pPr>
    </w:p>
    <w:p w14:paraId="6155D768" w14:textId="77777777" w:rsidR="00F8377E" w:rsidRPr="00262582" w:rsidRDefault="00F8377E" w:rsidP="00F8377E">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C-3</w:t>
      </w:r>
      <w:r>
        <w:rPr>
          <w:rFonts w:ascii="Verdana" w:eastAsia="Calibri" w:hAnsi="Verdana" w:cs="Arial"/>
          <w:b/>
          <w:bCs/>
          <w:lang w:val="es-ES" w:eastAsia="es-ES_tradnl"/>
        </w:rPr>
        <w:t>54</w:t>
      </w:r>
      <w:r w:rsidRPr="00262582">
        <w:rPr>
          <w:rFonts w:ascii="Verdana" w:eastAsia="Calibri" w:hAnsi="Verdana" w:cs="Arial"/>
          <w:b/>
          <w:bCs/>
          <w:lang w:val="es-ES" w:eastAsia="es-ES_tradnl"/>
        </w:rPr>
        <w:t xml:space="preserve"> de 2024</w:t>
      </w:r>
    </w:p>
    <w:p w14:paraId="353596FC" w14:textId="77777777" w:rsidR="00F8377E" w:rsidRPr="00262582" w:rsidRDefault="00F8377E" w:rsidP="00F8377E">
      <w:pPr>
        <w:spacing w:after="0" w:line="240" w:lineRule="auto"/>
        <w:jc w:val="both"/>
        <w:rPr>
          <w:rFonts w:ascii="Verdana" w:eastAsia="Calibri" w:hAnsi="Verdana" w:cs="Arial"/>
          <w:lang w:val="es-ES_tradnl" w:eastAsia="es-ES_tradnl"/>
        </w:rPr>
      </w:pPr>
    </w:p>
    <w:tbl>
      <w:tblPr>
        <w:tblStyle w:val="Tablaconcuadrcula"/>
        <w:tblW w:w="87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6237"/>
      </w:tblGrid>
      <w:tr w:rsidR="00F8377E" w:rsidRPr="00262582" w14:paraId="09C1DA2A" w14:textId="77777777" w:rsidTr="00A92350">
        <w:trPr>
          <w:jc w:val="right"/>
        </w:trPr>
        <w:tc>
          <w:tcPr>
            <w:tcW w:w="2547" w:type="dxa"/>
          </w:tcPr>
          <w:p w14:paraId="63EE1218" w14:textId="77777777" w:rsidR="00F8377E" w:rsidRPr="00262582" w:rsidRDefault="00F8377E" w:rsidP="00A92350">
            <w:pP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6237" w:type="dxa"/>
          </w:tcPr>
          <w:p w14:paraId="3F3906AC" w14:textId="2413A440" w:rsidR="00F8377E" w:rsidRPr="00262582" w:rsidRDefault="00F8377E" w:rsidP="00A92350">
            <w:pPr>
              <w:jc w:val="both"/>
              <w:textAlignment w:val="baseline"/>
              <w:rPr>
                <w:rFonts w:ascii="Verdana" w:eastAsia="Times New Roman" w:hAnsi="Verdana" w:cs="Arial"/>
                <w:lang w:val="es-ES" w:eastAsia="es-ES_tradnl"/>
              </w:rPr>
            </w:pPr>
            <w:r w:rsidRPr="00505991">
              <w:rPr>
                <w:rFonts w:ascii="Verdana" w:eastAsia="Calibri" w:hAnsi="Verdana" w:cs="Arial"/>
                <w:color w:val="000000" w:themeColor="text1"/>
                <w:szCs w:val="24"/>
                <w:lang w:eastAsia="es-ES_tradnl"/>
              </w:rPr>
              <w:t>REQUISITOS HABILITANTES – Contenido / SELECCIÓN OBJETIVA – Requisitos de ponderación – Asignación de puntaje – Comparación de ofertas / REQUISITOS HABILITANTES – Ley 1150 DE 2007 – Carácter enunciativo</w:t>
            </w:r>
            <w:r>
              <w:rPr>
                <w:rFonts w:ascii="Verdana" w:eastAsia="Calibri" w:hAnsi="Verdana" w:cs="Arial"/>
                <w:color w:val="000000" w:themeColor="text1"/>
                <w:szCs w:val="24"/>
                <w:lang w:eastAsia="es-ES_tradnl"/>
              </w:rPr>
              <w:t xml:space="preserve"> / </w:t>
            </w:r>
            <w:r w:rsidR="00EC7744" w:rsidRPr="00505991">
              <w:rPr>
                <w:rFonts w:ascii="Verdana" w:eastAsia="Calibri" w:hAnsi="Verdana" w:cs="Arial"/>
                <w:color w:val="000000" w:themeColor="text1"/>
                <w:szCs w:val="24"/>
                <w:lang w:eastAsia="es-ES_tradnl"/>
              </w:rPr>
              <w:t>SUBSANALIDAD Y ACLARACIÓN DE LA OFERTA</w:t>
            </w:r>
            <w:r w:rsidRPr="00505991">
              <w:rPr>
                <w:rFonts w:ascii="Verdana" w:eastAsia="Calibri" w:hAnsi="Verdana" w:cs="Arial"/>
                <w:color w:val="000000" w:themeColor="text1"/>
                <w:szCs w:val="24"/>
                <w:lang w:eastAsia="es-ES_tradnl"/>
              </w:rPr>
              <w:t xml:space="preserve"> – Diferencias</w:t>
            </w:r>
          </w:p>
        </w:tc>
      </w:tr>
      <w:tr w:rsidR="00F8377E" w:rsidRPr="00262582" w14:paraId="6BA99B55" w14:textId="77777777" w:rsidTr="00A92350">
        <w:trPr>
          <w:jc w:val="right"/>
        </w:trPr>
        <w:tc>
          <w:tcPr>
            <w:tcW w:w="2547" w:type="dxa"/>
          </w:tcPr>
          <w:p w14:paraId="6CDB4363" w14:textId="77777777" w:rsidR="00F8377E" w:rsidRPr="00262582" w:rsidRDefault="00F8377E" w:rsidP="00A92350">
            <w:pP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6237" w:type="dxa"/>
          </w:tcPr>
          <w:p w14:paraId="32B52DC5" w14:textId="77777777" w:rsidR="00F8377E" w:rsidRPr="00262582" w:rsidRDefault="00F8377E" w:rsidP="00A92350">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FE3B77">
              <w:rPr>
                <w:rFonts w:ascii="Verdana" w:eastAsia="Times New Roman" w:hAnsi="Verdana" w:cs="Arial"/>
                <w:lang w:eastAsia="es-ES_tradnl"/>
              </w:rPr>
              <w:t>P20240717007315</w:t>
            </w:r>
          </w:p>
        </w:tc>
      </w:tr>
    </w:tbl>
    <w:p w14:paraId="64B8F1A1" w14:textId="77777777" w:rsidR="00F8377E" w:rsidRPr="00262582" w:rsidRDefault="00F8377E" w:rsidP="00F8377E">
      <w:pPr>
        <w:spacing w:after="0" w:line="240" w:lineRule="auto"/>
        <w:jc w:val="both"/>
        <w:rPr>
          <w:rFonts w:ascii="Verdana" w:eastAsia="Calibri" w:hAnsi="Verdana" w:cs="Arial"/>
          <w:lang w:val="es-ES_tradnl" w:eastAsia="es-ES_tradnl"/>
        </w:rPr>
      </w:pPr>
    </w:p>
    <w:p w14:paraId="261AA11B" w14:textId="77777777" w:rsidR="00F8377E" w:rsidRPr="00262582" w:rsidRDefault="00F8377E" w:rsidP="00F8377E">
      <w:pPr>
        <w:spacing w:after="0" w:line="240" w:lineRule="auto"/>
        <w:jc w:val="both"/>
        <w:rPr>
          <w:rFonts w:ascii="Verdana" w:eastAsia="Calibri" w:hAnsi="Verdana" w:cs="Arial"/>
          <w:lang w:val="es-ES_tradnl" w:eastAsia="es-ES_tradnl"/>
        </w:rPr>
      </w:pPr>
    </w:p>
    <w:p w14:paraId="66A346B3" w14:textId="77777777" w:rsidR="00F8377E" w:rsidRPr="00262582" w:rsidRDefault="00F8377E" w:rsidP="00F8377E">
      <w:pPr>
        <w:spacing w:after="0" w:line="276" w:lineRule="auto"/>
        <w:contextualSpacing/>
        <w:jc w:val="both"/>
        <w:rPr>
          <w:rFonts w:ascii="Verdana" w:eastAsia="Calibri" w:hAnsi="Verdana" w:cs="Arial"/>
          <w:bCs/>
          <w:lang w:val="es-ES_tradnl" w:eastAsia="es-ES_tradnl"/>
        </w:rPr>
      </w:pPr>
      <w:r w:rsidRPr="00262582">
        <w:rPr>
          <w:rFonts w:ascii="Verdana" w:eastAsia="Calibri" w:hAnsi="Verdana" w:cs="Arial"/>
          <w:lang w:val="es-ES_tradnl" w:eastAsia="es-ES_tradnl"/>
        </w:rPr>
        <w:t xml:space="preserve">Estimada señora </w:t>
      </w:r>
      <w:r>
        <w:rPr>
          <w:rFonts w:ascii="Verdana" w:eastAsia="Calibri" w:hAnsi="Verdana" w:cs="Arial"/>
          <w:lang w:val="es-ES_tradnl" w:eastAsia="es-ES_tradnl"/>
        </w:rPr>
        <w:t>Rueda</w:t>
      </w:r>
      <w:r w:rsidRPr="00262582">
        <w:rPr>
          <w:rFonts w:ascii="Verdana" w:eastAsia="Calibri" w:hAnsi="Verdana" w:cs="Arial"/>
          <w:bCs/>
          <w:lang w:val="es-ES_tradnl" w:eastAsia="es-ES_tradnl"/>
        </w:rPr>
        <w:t>:</w:t>
      </w:r>
    </w:p>
    <w:p w14:paraId="20DC1C38" w14:textId="77777777" w:rsidR="00F8377E" w:rsidRPr="00262582" w:rsidRDefault="00F8377E" w:rsidP="00F8377E">
      <w:pPr>
        <w:spacing w:after="0" w:line="276" w:lineRule="auto"/>
        <w:contextualSpacing/>
        <w:jc w:val="both"/>
        <w:rPr>
          <w:rFonts w:ascii="Verdana" w:eastAsia="Calibri" w:hAnsi="Verdana" w:cs="Arial"/>
          <w:lang w:val="es-ES_tradnl" w:eastAsia="es-ES_tradnl"/>
        </w:rPr>
      </w:pPr>
    </w:p>
    <w:p w14:paraId="373345FE" w14:textId="77777777" w:rsidR="00F8377E" w:rsidRPr="00262582" w:rsidRDefault="00F8377E" w:rsidP="00F8377E">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w:t>
      </w:r>
      <w:r>
        <w:rPr>
          <w:rFonts w:ascii="Verdana" w:eastAsia="Calibri" w:hAnsi="Verdana" w:cs="Arial"/>
          <w:lang w:val="es-ES" w:eastAsia="es-ES_tradnl"/>
        </w:rPr>
        <w:t xml:space="preserve"> 17</w:t>
      </w:r>
      <w:r w:rsidRPr="00262582">
        <w:rPr>
          <w:rFonts w:ascii="Verdana" w:eastAsia="Calibri" w:hAnsi="Verdana" w:cs="Arial"/>
          <w:lang w:val="es-ES" w:eastAsia="es-ES_tradnl"/>
        </w:rPr>
        <w:t xml:space="preserve"> de julio de 2024, en la cual manifiesta lo siguiente:</w:t>
      </w:r>
    </w:p>
    <w:p w14:paraId="4510FD36" w14:textId="77777777" w:rsidR="00F8377E" w:rsidRPr="00262582" w:rsidRDefault="00F8377E" w:rsidP="00F8377E">
      <w:pPr>
        <w:spacing w:after="0" w:line="276" w:lineRule="auto"/>
        <w:contextualSpacing/>
        <w:jc w:val="both"/>
        <w:rPr>
          <w:rFonts w:ascii="Verdana" w:eastAsia="Calibri" w:hAnsi="Verdana" w:cs="Arial"/>
          <w:b/>
          <w:szCs w:val="24"/>
          <w:lang w:val="es-ES_tradnl" w:eastAsia="es-ES_tradnl"/>
        </w:rPr>
      </w:pPr>
    </w:p>
    <w:p w14:paraId="37CED596" w14:textId="77777777" w:rsidR="00F8377E" w:rsidRPr="00534A2A"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w:t>
      </w:r>
      <w:r w:rsidRPr="00534A2A">
        <w:rPr>
          <w:rFonts w:ascii="Verdana" w:eastAsia="Times New Roman" w:hAnsi="Verdana" w:cs="Arial"/>
          <w:sz w:val="21"/>
          <w:szCs w:val="21"/>
          <w:lang w:eastAsia="es-ES_tradnl"/>
        </w:rPr>
        <w:t xml:space="preserve">¿Cuáles son los requisitos de la futura contratación?  </w:t>
      </w:r>
    </w:p>
    <w:p w14:paraId="14E4B496" w14:textId="77777777" w:rsidR="00F8377E" w:rsidRPr="00534A2A"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534A2A">
        <w:rPr>
          <w:rFonts w:ascii="Verdana" w:eastAsia="Times New Roman" w:hAnsi="Verdana" w:cs="Arial"/>
          <w:sz w:val="21"/>
          <w:szCs w:val="21"/>
          <w:lang w:eastAsia="es-ES_tradnl"/>
        </w:rPr>
        <w:t xml:space="preserve">¿Cuáles son los requisitos no necesarios para la comparación de las ofertas?  </w:t>
      </w:r>
    </w:p>
    <w:p w14:paraId="24F090D9" w14:textId="77777777" w:rsidR="00F8377E" w:rsidRPr="00534A2A"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534A2A">
        <w:rPr>
          <w:rFonts w:ascii="Verdana" w:eastAsia="Times New Roman" w:hAnsi="Verdana" w:cs="Arial"/>
          <w:sz w:val="21"/>
          <w:szCs w:val="21"/>
          <w:lang w:eastAsia="es-ES_tradnl"/>
        </w:rPr>
        <w:t xml:space="preserve">¿Cuáles son los requisitos ponderables existentes y vigentes?  </w:t>
      </w:r>
    </w:p>
    <w:p w14:paraId="3BF18AB5" w14:textId="77777777" w:rsidR="00F8377E" w:rsidRPr="00534A2A"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534A2A">
        <w:rPr>
          <w:rFonts w:ascii="Verdana" w:eastAsia="Times New Roman" w:hAnsi="Verdana" w:cs="Arial"/>
          <w:sz w:val="21"/>
          <w:szCs w:val="21"/>
          <w:lang w:eastAsia="es-ES_tradnl"/>
        </w:rPr>
        <w:t>¿</w:t>
      </w:r>
      <w:r>
        <w:rPr>
          <w:rFonts w:ascii="Verdana" w:eastAsia="Times New Roman" w:hAnsi="Verdana" w:cs="Arial"/>
          <w:sz w:val="21"/>
          <w:szCs w:val="21"/>
          <w:lang w:eastAsia="es-ES_tradnl"/>
        </w:rPr>
        <w:t>C</w:t>
      </w:r>
      <w:r w:rsidRPr="00534A2A">
        <w:rPr>
          <w:rFonts w:ascii="Verdana" w:eastAsia="Times New Roman" w:hAnsi="Verdana" w:cs="Arial"/>
          <w:sz w:val="21"/>
          <w:szCs w:val="21"/>
          <w:lang w:eastAsia="es-ES_tradnl"/>
        </w:rPr>
        <w:t xml:space="preserve">uáles son los requisitos habilitantes vigente dentro de nuestra legislación colombiana? </w:t>
      </w:r>
    </w:p>
    <w:p w14:paraId="3C630C3C" w14:textId="77777777" w:rsidR="00F8377E" w:rsidRPr="00534A2A"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534A2A">
        <w:rPr>
          <w:rFonts w:ascii="Verdana" w:eastAsia="Times New Roman" w:hAnsi="Verdana" w:cs="Arial"/>
          <w:sz w:val="21"/>
          <w:szCs w:val="21"/>
          <w:lang w:eastAsia="es-ES_tradnl"/>
        </w:rPr>
        <w:t xml:space="preserve">¿La oferta económica es un requisito ponderable y es un requisito necesario para comparación de las ofertas? </w:t>
      </w:r>
    </w:p>
    <w:p w14:paraId="3ED92267" w14:textId="77777777" w:rsidR="00F8377E" w:rsidRPr="00534A2A"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534A2A">
        <w:rPr>
          <w:rFonts w:ascii="Verdana" w:eastAsia="Times New Roman" w:hAnsi="Verdana" w:cs="Arial"/>
          <w:sz w:val="21"/>
          <w:szCs w:val="21"/>
          <w:lang w:eastAsia="es-ES_tradnl"/>
        </w:rPr>
        <w:t xml:space="preserve">¿La oferta económica es corregible?  </w:t>
      </w:r>
    </w:p>
    <w:p w14:paraId="2B09A3A2" w14:textId="77777777" w:rsidR="00F8377E" w:rsidRPr="00262582" w:rsidRDefault="00F8377E" w:rsidP="00F8377E">
      <w:pPr>
        <w:spacing w:after="0" w:line="240" w:lineRule="auto"/>
        <w:ind w:left="709" w:right="709"/>
        <w:contextualSpacing/>
        <w:jc w:val="both"/>
        <w:rPr>
          <w:rFonts w:ascii="Verdana" w:eastAsia="Times New Roman" w:hAnsi="Verdana" w:cs="Arial"/>
          <w:sz w:val="21"/>
          <w:szCs w:val="21"/>
          <w:lang w:eastAsia="es-ES_tradnl"/>
        </w:rPr>
      </w:pPr>
      <w:r w:rsidRPr="00534A2A">
        <w:rPr>
          <w:rFonts w:ascii="Verdana" w:eastAsia="Times New Roman" w:hAnsi="Verdana" w:cs="Arial"/>
          <w:sz w:val="21"/>
          <w:szCs w:val="21"/>
          <w:lang w:eastAsia="es-ES_tradnl"/>
        </w:rPr>
        <w:t xml:space="preserve">¿Qué errores en la oferta económica son </w:t>
      </w:r>
      <w:proofErr w:type="spellStart"/>
      <w:r w:rsidRPr="00534A2A">
        <w:rPr>
          <w:rFonts w:ascii="Verdana" w:eastAsia="Times New Roman" w:hAnsi="Verdana" w:cs="Arial"/>
          <w:sz w:val="21"/>
          <w:szCs w:val="21"/>
          <w:lang w:eastAsia="es-ES_tradnl"/>
        </w:rPr>
        <w:t>saneables</w:t>
      </w:r>
      <w:proofErr w:type="spellEnd"/>
      <w:r w:rsidRPr="00534A2A">
        <w:rPr>
          <w:rFonts w:ascii="Verdana" w:eastAsia="Times New Roman" w:hAnsi="Verdana" w:cs="Arial"/>
          <w:sz w:val="21"/>
          <w:szCs w:val="21"/>
          <w:lang w:eastAsia="es-ES_tradnl"/>
        </w:rPr>
        <w:t xml:space="preserve"> y cuáles no?</w:t>
      </w:r>
      <w:r w:rsidRPr="00262582">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(SIC)</w:t>
      </w:r>
      <w:r w:rsidRPr="00262582">
        <w:rPr>
          <w:rFonts w:ascii="Verdana" w:eastAsia="Times New Roman" w:hAnsi="Verdana" w:cs="Arial"/>
          <w:sz w:val="21"/>
          <w:szCs w:val="21"/>
          <w:lang w:eastAsia="es-ES_tradnl"/>
        </w:rPr>
        <w:t>.</w:t>
      </w:r>
    </w:p>
    <w:p w14:paraId="2BD74C01" w14:textId="77777777" w:rsidR="00F8377E" w:rsidRPr="00262582" w:rsidRDefault="00F8377E" w:rsidP="00F8377E">
      <w:pPr>
        <w:spacing w:after="0" w:line="240" w:lineRule="auto"/>
        <w:ind w:left="709" w:right="709"/>
        <w:contextualSpacing/>
        <w:jc w:val="both"/>
        <w:rPr>
          <w:rFonts w:ascii="Verdana" w:eastAsia="Times New Roman" w:hAnsi="Verdana" w:cs="Arial"/>
          <w:sz w:val="21"/>
          <w:szCs w:val="21"/>
          <w:lang w:eastAsia="es-ES_tradnl"/>
        </w:rPr>
      </w:pPr>
    </w:p>
    <w:p w14:paraId="7D8B8725" w14:textId="77777777" w:rsidR="00F8377E" w:rsidRPr="00262582" w:rsidRDefault="00F8377E" w:rsidP="00F8377E">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lastRenderedPageBreak/>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262582">
        <w:rPr>
          <w:rFonts w:ascii="Verdana" w:eastAsia="Calibri" w:hAnsi="Verdana" w:cs="Arial"/>
          <w:color w:val="000000"/>
          <w:szCs w:val="24"/>
          <w:lang w:val="es-ES_tradnl" w:eastAsia="es-ES_tradnl"/>
        </w:rPr>
        <w:tab/>
      </w:r>
    </w:p>
    <w:p w14:paraId="6CCC8CE7" w14:textId="77777777" w:rsidR="00F8377E" w:rsidRPr="00262582" w:rsidRDefault="00F8377E" w:rsidP="00F8377E">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7E465A7F" w14:textId="77777777" w:rsidR="00F8377E" w:rsidRPr="00262582" w:rsidRDefault="00F8377E" w:rsidP="00F8377E">
      <w:pPr>
        <w:spacing w:after="0" w:line="276" w:lineRule="auto"/>
        <w:contextualSpacing/>
        <w:jc w:val="both"/>
        <w:rPr>
          <w:rFonts w:ascii="Verdana" w:eastAsia="Times New Roman" w:hAnsi="Verdana" w:cs="Arial"/>
          <w:szCs w:val="24"/>
          <w:lang w:val="es-ES_tradnl" w:eastAsia="es-ES_tradnl"/>
        </w:rPr>
      </w:pPr>
    </w:p>
    <w:p w14:paraId="6C0ABF95" w14:textId="77777777" w:rsidR="00F8377E" w:rsidRPr="00262582" w:rsidRDefault="00F8377E" w:rsidP="00F8377E">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t>1. Problema</w:t>
      </w:r>
      <w:r>
        <w:rPr>
          <w:rFonts w:ascii="Verdana" w:eastAsia="Calibri" w:hAnsi="Verdana" w:cs="Arial"/>
          <w:b/>
          <w:lang w:val="es-ES_tradnl"/>
        </w:rPr>
        <w:t>s</w:t>
      </w:r>
      <w:r w:rsidRPr="00262582">
        <w:rPr>
          <w:rFonts w:ascii="Verdana" w:eastAsia="Calibri" w:hAnsi="Verdana" w:cs="Arial"/>
          <w:b/>
          <w:lang w:val="es-ES_tradnl"/>
        </w:rPr>
        <w:t xml:space="preserve"> planteado</w:t>
      </w:r>
      <w:r>
        <w:rPr>
          <w:rFonts w:ascii="Verdana" w:eastAsia="Calibri" w:hAnsi="Verdana" w:cs="Arial"/>
          <w:b/>
          <w:lang w:val="es-ES_tradnl"/>
        </w:rPr>
        <w:t>s</w:t>
      </w:r>
      <w:r w:rsidRPr="00262582">
        <w:rPr>
          <w:rFonts w:ascii="Verdana" w:eastAsia="Calibri" w:hAnsi="Verdana" w:cs="Arial"/>
          <w:b/>
          <w:lang w:val="es-ES_tradnl"/>
        </w:rPr>
        <w:t>:</w:t>
      </w:r>
    </w:p>
    <w:p w14:paraId="7364A44C" w14:textId="77777777" w:rsidR="00F8377E" w:rsidRPr="00262582" w:rsidRDefault="00F8377E" w:rsidP="00F8377E">
      <w:pPr>
        <w:tabs>
          <w:tab w:val="left" w:pos="0"/>
          <w:tab w:val="left" w:pos="284"/>
        </w:tabs>
        <w:spacing w:after="0" w:line="276" w:lineRule="auto"/>
        <w:contextualSpacing/>
        <w:jc w:val="both"/>
        <w:rPr>
          <w:rFonts w:ascii="Verdana" w:eastAsia="Calibri" w:hAnsi="Verdana" w:cs="Arial"/>
          <w:b/>
          <w:lang w:val="es-ES_tradnl"/>
        </w:rPr>
      </w:pPr>
    </w:p>
    <w:p w14:paraId="76FFEA79" w14:textId="77777777" w:rsidR="00F8377E" w:rsidRPr="00262582" w:rsidRDefault="00F8377E" w:rsidP="00F8377E">
      <w:pPr>
        <w:spacing w:after="0" w:line="276" w:lineRule="auto"/>
        <w:jc w:val="both"/>
        <w:rPr>
          <w:rFonts w:ascii="Verdana" w:eastAsia="Century Gothic" w:hAnsi="Verdana" w:cs="Century Gothic"/>
        </w:rPr>
      </w:pPr>
      <w:r w:rsidRPr="00262582">
        <w:rPr>
          <w:rFonts w:ascii="Verdana" w:eastAsia="Century Gothic" w:hAnsi="Verdana" w:cs="Century Gothic"/>
        </w:rPr>
        <w:t xml:space="preserve">De acuerdo con el contenido de su solicitud, esta Agencia resolverá el siguiente problema jurídico: </w:t>
      </w:r>
      <w:r>
        <w:rPr>
          <w:rFonts w:ascii="Verdana" w:eastAsia="Century Gothic" w:hAnsi="Verdana" w:cs="Century Gothic"/>
        </w:rPr>
        <w:t>¿Cuáles son los</w:t>
      </w:r>
      <w:r w:rsidRPr="009069E7">
        <w:rPr>
          <w:rFonts w:ascii="Verdana" w:eastAsia="Century Gothic" w:hAnsi="Verdana" w:cs="Century Gothic"/>
        </w:rPr>
        <w:t xml:space="preserve"> requisitos </w:t>
      </w:r>
      <w:r>
        <w:rPr>
          <w:rFonts w:ascii="Verdana" w:eastAsia="Century Gothic" w:hAnsi="Verdana" w:cs="Century Gothic"/>
        </w:rPr>
        <w:t>habilitantes y criterios evaluables en un Proceso de Contratación</w:t>
      </w:r>
      <w:r w:rsidRPr="00765A7D">
        <w:rPr>
          <w:rFonts w:ascii="Verdana" w:eastAsia="Century Gothic" w:hAnsi="Verdana" w:cs="Century Gothic"/>
        </w:rPr>
        <w:t>?</w:t>
      </w:r>
      <w:r>
        <w:rPr>
          <w:rFonts w:ascii="Verdana" w:eastAsia="Century Gothic" w:hAnsi="Verdana" w:cs="Century Gothic"/>
        </w:rPr>
        <w:t xml:space="preserve"> ¿Se puede subsanar la oferta económica por parte del oferente en un proceso de selección</w:t>
      </w:r>
      <w:r w:rsidRPr="00765A7D">
        <w:rPr>
          <w:rFonts w:ascii="Verdana" w:eastAsia="Century Gothic" w:hAnsi="Verdana" w:cs="Century Gothic"/>
        </w:rPr>
        <w:t>?</w:t>
      </w:r>
    </w:p>
    <w:p w14:paraId="52D30F54" w14:textId="77777777" w:rsidR="00F8377E" w:rsidRPr="00262582" w:rsidRDefault="00F8377E" w:rsidP="00F8377E">
      <w:pPr>
        <w:spacing w:after="0" w:line="276" w:lineRule="auto"/>
        <w:ind w:firstLine="709"/>
        <w:jc w:val="both"/>
        <w:rPr>
          <w:rFonts w:ascii="Verdana" w:eastAsia="Calibri" w:hAnsi="Verdana" w:cs="Arial"/>
          <w:lang w:val="es-ES" w:eastAsia="es-ES_tradnl"/>
        </w:rPr>
      </w:pPr>
    </w:p>
    <w:p w14:paraId="05FFEE99" w14:textId="77777777" w:rsidR="00F8377E" w:rsidRPr="00262582" w:rsidRDefault="00F8377E" w:rsidP="00F8377E">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r>
        <w:rPr>
          <w:rFonts w:ascii="Verdana" w:eastAsia="Century Gothic" w:hAnsi="Verdana" w:cs="Century Gothic"/>
          <w:b/>
          <w:bCs/>
        </w:rPr>
        <w:t>s</w:t>
      </w:r>
      <w:r w:rsidRPr="00262582">
        <w:rPr>
          <w:rFonts w:ascii="Verdana" w:eastAsia="Century Gothic" w:hAnsi="Verdana" w:cs="Century Gothic"/>
          <w:b/>
          <w:bCs/>
        </w:rPr>
        <w:t>:</w:t>
      </w:r>
    </w:p>
    <w:p w14:paraId="46711855" w14:textId="77777777" w:rsidR="00F8377E" w:rsidRPr="00262582" w:rsidRDefault="00F8377E" w:rsidP="00F8377E">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F8377E" w:rsidRPr="00262582" w14:paraId="7FA82580" w14:textId="77777777" w:rsidTr="00A92350">
        <w:tc>
          <w:tcPr>
            <w:tcW w:w="8828" w:type="dxa"/>
            <w:shd w:val="clear" w:color="auto" w:fill="auto"/>
          </w:tcPr>
          <w:p w14:paraId="7BBF49EB" w14:textId="77777777" w:rsidR="00F8377E" w:rsidRPr="00366F9F" w:rsidRDefault="00F8377E" w:rsidP="00A92350">
            <w:pPr>
              <w:spacing w:before="120" w:after="120" w:line="276" w:lineRule="auto"/>
              <w:jc w:val="both"/>
              <w:rPr>
                <w:rFonts w:ascii="Verdana" w:hAnsi="Verdana" w:cs="Arial"/>
                <w:color w:val="000000" w:themeColor="text1"/>
                <w:lang w:val="es-ES"/>
              </w:rPr>
            </w:pPr>
            <w:r w:rsidRPr="00366F9F">
              <w:rPr>
                <w:rFonts w:ascii="Verdana" w:eastAsia="Times New Roman" w:hAnsi="Verdana" w:cs="Arial"/>
                <w:color w:val="000000" w:themeColor="text1"/>
                <w:lang w:eastAsia="es-CO"/>
              </w:rPr>
              <w:t xml:space="preserve">Al respecto, el numeral 1 del </w:t>
            </w:r>
            <w:r w:rsidRPr="00366F9F">
              <w:rPr>
                <w:rFonts w:ascii="Verdana" w:hAnsi="Verdana" w:cs="Arial"/>
                <w:color w:val="000000" w:themeColor="text1"/>
                <w:lang w:val="es-ES"/>
              </w:rPr>
              <w:t xml:space="preserve">artículo 5 de la Ley 1150 de 2007 especifica que en los procesos de selección las Entidades Estatales establecerán en los pliegos de condiciones o sus equivalentes como requisitos habilitantes los siguientes: i) la capacidad jurídica, </w:t>
            </w:r>
            <w:proofErr w:type="spellStart"/>
            <w:r w:rsidRPr="00366F9F">
              <w:rPr>
                <w:rFonts w:ascii="Verdana" w:hAnsi="Verdana" w:cs="Arial"/>
                <w:color w:val="000000" w:themeColor="text1"/>
                <w:lang w:val="es-ES"/>
              </w:rPr>
              <w:t>ii</w:t>
            </w:r>
            <w:proofErr w:type="spellEnd"/>
            <w:r w:rsidRPr="00366F9F">
              <w:rPr>
                <w:rFonts w:ascii="Verdana" w:hAnsi="Verdana" w:cs="Arial"/>
                <w:color w:val="000000" w:themeColor="text1"/>
                <w:lang w:val="es-ES"/>
              </w:rPr>
              <w:t xml:space="preserve">) la experiencia, </w:t>
            </w:r>
            <w:proofErr w:type="spellStart"/>
            <w:r w:rsidRPr="00366F9F">
              <w:rPr>
                <w:rFonts w:ascii="Verdana" w:hAnsi="Verdana" w:cs="Arial"/>
                <w:color w:val="000000" w:themeColor="text1"/>
                <w:lang w:val="es-ES"/>
              </w:rPr>
              <w:t>iii</w:t>
            </w:r>
            <w:proofErr w:type="spellEnd"/>
            <w:r w:rsidRPr="00366F9F">
              <w:rPr>
                <w:rFonts w:ascii="Verdana" w:hAnsi="Verdana" w:cs="Arial"/>
                <w:color w:val="000000" w:themeColor="text1"/>
                <w:lang w:val="es-ES"/>
              </w:rPr>
              <w:t xml:space="preserve">) la capacidad financiera y iv) la capacidad de organización. En todo caso, no son taxativos y, por lo tanto, la Entidad Estatal podrá exigir requisitos adicionales, debido a que la norma no contiene una expresión como “únicamente” o “solo”, al referirse a estos. Ahora, bajo una interpretación integral de las normas que regulan la contratación estatal, es fácil concluir que existen otras condiciones que deben </w:t>
            </w:r>
            <w:r w:rsidRPr="00366F9F">
              <w:rPr>
                <w:rFonts w:ascii="Verdana" w:hAnsi="Verdana" w:cs="Arial"/>
                <w:color w:val="000000" w:themeColor="text1"/>
                <w:lang w:val="es-ES"/>
              </w:rPr>
              <w:lastRenderedPageBreak/>
              <w:t>cumplirse para la contratación con una Entidad Estatal, como pasa, por ejemplo, con la capacidad residual a la que se refiere el artículo 6º, parágrafo 1, de la Ley 1150 de 2007.</w:t>
            </w:r>
          </w:p>
          <w:p w14:paraId="7483C2CA" w14:textId="77777777" w:rsidR="00F8377E" w:rsidRPr="00366F9F" w:rsidRDefault="00F8377E" w:rsidP="00A92350">
            <w:pPr>
              <w:spacing w:before="120" w:after="120" w:line="276" w:lineRule="auto"/>
              <w:jc w:val="both"/>
              <w:rPr>
                <w:rFonts w:ascii="Verdana" w:eastAsia="Calibri" w:hAnsi="Verdana" w:cs="Arial"/>
                <w:lang w:val="es-ES_tradnl"/>
              </w:rPr>
            </w:pPr>
            <w:r w:rsidRPr="00366F9F">
              <w:rPr>
                <w:rFonts w:ascii="Verdana" w:eastAsia="Calibri" w:hAnsi="Verdana" w:cs="Arial"/>
              </w:rPr>
              <w:t xml:space="preserve">Ahora bien, respecto de los requisitos ponderables o evaluables, es </w:t>
            </w:r>
            <w:r w:rsidRPr="00366F9F">
              <w:rPr>
                <w:rFonts w:ascii="Verdana" w:hAnsi="Verdana" w:cs="Arial"/>
                <w:color w:val="000000" w:themeColor="text1"/>
                <w:lang w:val="es-ES"/>
              </w:rPr>
              <w:t xml:space="preserve">necesario destacar que las reglas para establecer la oferta más favorable conforme al artículo 5 de la Ley 1150 de 2007, se encuentran reglamentadas en el artículo 2.2.1.1.2.2.2 del Decreto 1082 de 2015. Este artículo desarrolla los mecanismos de ponderación previstos en los literales a) y b) del artículo 5.2 de la Ley 1150 de 2007, disponiendo unas pautas para la ponderación de los elementos de calidad y precio que representen la mejor relación de costo-beneficio. Conforme a este artículo, la oferta más favorable en estos casos debe determinarse ponderando en las ofertas: i) las condiciones técnicas y económicas mínimas; </w:t>
            </w:r>
            <w:proofErr w:type="spellStart"/>
            <w:r w:rsidRPr="00366F9F">
              <w:rPr>
                <w:rFonts w:ascii="Verdana" w:hAnsi="Verdana" w:cs="Arial"/>
                <w:color w:val="000000" w:themeColor="text1"/>
                <w:lang w:val="es-ES"/>
              </w:rPr>
              <w:t>ii</w:t>
            </w:r>
            <w:proofErr w:type="spellEnd"/>
            <w:r w:rsidRPr="00366F9F">
              <w:rPr>
                <w:rFonts w:ascii="Verdana" w:hAnsi="Verdana" w:cs="Arial"/>
                <w:color w:val="000000" w:themeColor="text1"/>
                <w:lang w:val="es-ES"/>
              </w:rPr>
              <w:t xml:space="preserve">) las condiciones técnicas adicionales que representan ventajas de calidad o de funcionamiento; </w:t>
            </w:r>
            <w:proofErr w:type="spellStart"/>
            <w:r w:rsidRPr="00366F9F">
              <w:rPr>
                <w:rFonts w:ascii="Verdana" w:hAnsi="Verdana" w:cs="Arial"/>
                <w:color w:val="000000" w:themeColor="text1"/>
                <w:lang w:val="es-ES"/>
              </w:rPr>
              <w:t>iii</w:t>
            </w:r>
            <w:proofErr w:type="spellEnd"/>
            <w:r w:rsidRPr="00366F9F">
              <w:rPr>
                <w:rFonts w:ascii="Verdana" w:hAnsi="Verdana" w:cs="Arial"/>
                <w:color w:val="000000" w:themeColor="text1"/>
                <w:lang w:val="es-ES"/>
              </w:rPr>
              <w:t xml:space="preserve">) las condiciones económicas adicionales que representen ventajas en términos de economía, eficiencia y eficacia; y iv) el valor en dinero que la entidad estatal asigna a cada ofrecimiento técnico o económico adicional. </w:t>
            </w:r>
          </w:p>
          <w:p w14:paraId="7DD4BA7D" w14:textId="77777777" w:rsidR="00F8377E" w:rsidRPr="00366F9F" w:rsidRDefault="00F8377E" w:rsidP="00A92350">
            <w:pPr>
              <w:spacing w:after="120" w:line="276" w:lineRule="auto"/>
              <w:jc w:val="both"/>
              <w:rPr>
                <w:rFonts w:ascii="Verdana" w:hAnsi="Verdana" w:cs="Arial"/>
                <w:color w:val="000000" w:themeColor="text1"/>
              </w:rPr>
            </w:pPr>
            <w:r w:rsidRPr="00366F9F">
              <w:rPr>
                <w:rFonts w:ascii="Verdana" w:hAnsi="Verdana" w:cs="Arial"/>
                <w:color w:val="000000" w:themeColor="text1"/>
                <w:lang w:val="es-ES"/>
              </w:rPr>
              <w:t>Ahora bien, en cuanto a la subsanación de las propuestas, es posible señalar que una vez verificada la ausencia de requisitos y/o documentos de la oferta, para saber si se puede subsanar, la Administración se debe preguntar, en primer lugar, si lo que hace falta es un documento o información que otorga puntaje o no y, en segundo lugar, si el cumplimiento del requisito constituye una circunstancia ocurrida con anterioridad o con posterioridad al cierre del proceso. Para arribar a la conclusión de que lo omitido puede subsanarse, la respuesta al primer interrogante debe ser negativa, es decir, que lo omitido no sea un factor que otorgue puntaje, y la respuesta al segundo interrogante debe dar cuenta de que lo omitido sea la prueba de una circunstancia o hecho que ocurrió con anterioridad al cierre del proceso. Con dicha afirmación, es que se puede establecer si lo presentado en el trámite para corregir la oferta mejora la misma, o si es un documento que demuestra una condición previamente consolidada.</w:t>
            </w:r>
          </w:p>
          <w:p w14:paraId="65033808" w14:textId="77777777" w:rsidR="00F8377E" w:rsidRPr="00366F9F" w:rsidRDefault="00F8377E" w:rsidP="00A92350">
            <w:pPr>
              <w:spacing w:after="120" w:line="276" w:lineRule="auto"/>
              <w:jc w:val="both"/>
              <w:rPr>
                <w:rFonts w:ascii="Verdana" w:hAnsi="Verdana" w:cs="Arial"/>
                <w:color w:val="000000" w:themeColor="text1"/>
                <w:lang w:val="es-ES"/>
              </w:rPr>
            </w:pPr>
            <w:r w:rsidRPr="00366F9F">
              <w:rPr>
                <w:rFonts w:ascii="Verdana" w:hAnsi="Verdana" w:cs="Arial"/>
                <w:color w:val="000000" w:themeColor="text1"/>
              </w:rPr>
              <w:t>En este sentido, dado que la oferta económica es un criterio ponderable y se asigna un puntaje, no es susceptible de subsanación. Sin embargo, según lo expuesto anteriormente, se pueden realizar aclaraciones sobre aspectos meramente formales, pero no sobre requisitos esenciales del pliego de condiciones ni sobre factores calificables, como es el componente económico.</w:t>
            </w:r>
          </w:p>
          <w:p w14:paraId="47897707" w14:textId="77777777" w:rsidR="00F8377E" w:rsidRPr="00366F9F" w:rsidRDefault="00F8377E" w:rsidP="00A92350">
            <w:pPr>
              <w:spacing w:after="120" w:line="276" w:lineRule="auto"/>
              <w:jc w:val="both"/>
              <w:rPr>
                <w:rFonts w:ascii="Verdana" w:eastAsia="Calibri" w:hAnsi="Verdana" w:cs="Arial"/>
                <w:color w:val="7030A0"/>
                <w:lang w:val="es-ES"/>
              </w:rPr>
            </w:pPr>
            <w:r w:rsidRPr="00366F9F">
              <w:rPr>
                <w:rFonts w:ascii="Verdana" w:hAnsi="Verdana" w:cs="Arial"/>
                <w:color w:val="000000" w:themeColor="text1"/>
                <w:lang w:val="es-ES"/>
              </w:rPr>
              <w:lastRenderedPageBreak/>
              <w:t>En todo caso, la implementación y evaluación de este tipo de criterios está sometida a la autonomía de las entidades estatales contratantes, quienes podrán implementarlos cuando lo encuentren justificado en virtud de su relacionamiento con el objeto del contrato y según las reglas que se incluyan en los pliegos de condiciones.</w:t>
            </w:r>
          </w:p>
        </w:tc>
      </w:tr>
    </w:tbl>
    <w:p w14:paraId="70B39728" w14:textId="77777777" w:rsidR="00F8377E" w:rsidRPr="00262582" w:rsidRDefault="00F8377E" w:rsidP="00F8377E">
      <w:pPr>
        <w:spacing w:after="0" w:line="276" w:lineRule="auto"/>
        <w:contextualSpacing/>
        <w:jc w:val="both"/>
        <w:rPr>
          <w:rFonts w:ascii="Verdana" w:eastAsia="Times New Roman" w:hAnsi="Verdana" w:cs="Arial"/>
          <w:lang w:eastAsia="es-ES_tradnl"/>
        </w:rPr>
      </w:pPr>
    </w:p>
    <w:p w14:paraId="34BADCE2" w14:textId="77777777" w:rsidR="00F8377E" w:rsidRPr="00262582" w:rsidRDefault="00F8377E" w:rsidP="00F8377E">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7FB88D9C" w14:textId="77777777" w:rsidR="00F8377E" w:rsidRPr="00262582" w:rsidRDefault="00F8377E" w:rsidP="00F8377E">
      <w:pPr>
        <w:spacing w:after="0" w:line="276" w:lineRule="auto"/>
        <w:jc w:val="both"/>
        <w:rPr>
          <w:rFonts w:ascii="Verdana" w:eastAsia="Calibri" w:hAnsi="Verdana" w:cs="Arial"/>
          <w:color w:val="7030A0"/>
          <w:lang w:val="es-ES"/>
        </w:rPr>
      </w:pPr>
    </w:p>
    <w:p w14:paraId="661D8CC2" w14:textId="77777777" w:rsidR="00F8377E" w:rsidRPr="00262582" w:rsidRDefault="00F8377E" w:rsidP="00F8377E">
      <w:pPr>
        <w:spacing w:after="0" w:line="276" w:lineRule="auto"/>
        <w:jc w:val="both"/>
        <w:rPr>
          <w:rFonts w:ascii="Verdana" w:eastAsia="Calibri" w:hAnsi="Verdana" w:cs="Arial"/>
          <w:lang w:val="es-ES"/>
        </w:rPr>
      </w:pPr>
      <w:r w:rsidRPr="00262582">
        <w:rPr>
          <w:rFonts w:ascii="Verdana" w:eastAsia="Calibri" w:hAnsi="Verdana" w:cs="Arial"/>
          <w:lang w:val="es-ES"/>
        </w:rPr>
        <w:t xml:space="preserve">Lo anterior se sustenta en las siguientes consideraciones: </w:t>
      </w:r>
    </w:p>
    <w:p w14:paraId="16ADEEAF" w14:textId="77777777" w:rsidR="00F8377E" w:rsidRPr="00262582" w:rsidRDefault="00F8377E" w:rsidP="00F8377E">
      <w:pPr>
        <w:spacing w:after="0" w:line="276" w:lineRule="auto"/>
        <w:jc w:val="both"/>
        <w:rPr>
          <w:rFonts w:ascii="Verdana" w:eastAsia="Calibri" w:hAnsi="Verdana" w:cs="Arial"/>
          <w:lang w:val="es-ES"/>
        </w:rPr>
      </w:pPr>
    </w:p>
    <w:p w14:paraId="29AA5AE2" w14:textId="77777777" w:rsidR="00F8377E" w:rsidRPr="00403B1E" w:rsidRDefault="00F8377E" w:rsidP="00F8377E">
      <w:pPr>
        <w:pStyle w:val="Prrafodelista"/>
        <w:numPr>
          <w:ilvl w:val="0"/>
          <w:numId w:val="2"/>
        </w:numPr>
        <w:tabs>
          <w:tab w:val="left" w:pos="0"/>
        </w:tabs>
        <w:spacing w:after="120" w:line="276" w:lineRule="auto"/>
        <w:jc w:val="both"/>
        <w:rPr>
          <w:rFonts w:ascii="Verdana" w:eastAsia="Calibri" w:hAnsi="Verdana" w:cs="Arial"/>
        </w:rPr>
      </w:pPr>
      <w:bookmarkStart w:id="0" w:name="_Hlk75296202"/>
      <w:r>
        <w:rPr>
          <w:rFonts w:ascii="Verdana" w:eastAsia="Calibri" w:hAnsi="Verdana" w:cs="Arial"/>
        </w:rPr>
        <w:t>El</w:t>
      </w:r>
      <w:r w:rsidRPr="00403B1E">
        <w:rPr>
          <w:rFonts w:ascii="Verdana" w:eastAsia="Calibri" w:hAnsi="Verdana" w:cs="Arial"/>
        </w:rPr>
        <w:t xml:space="preserve"> numeral 1 del artículo 5 de la Ley 1150 de 2007 se refiere a algunos requisitos exigibles en la generalidad de procesos de selección adelantados conforme al EGCAP, tales como la capacidad jurídica, las condiciones de experiencia, la capacidad financiera y de organización, denominados requisitos habilitantes, los cuales –por expresa disposición legal– no otorgan puntaje, salvo que</w:t>
      </w:r>
      <w:r w:rsidRPr="00403B1E">
        <w:rPr>
          <w:rFonts w:ascii="Verdana" w:eastAsia="Calibri" w:hAnsi="Verdana" w:cs="Arial"/>
          <w:bCs/>
        </w:rPr>
        <w:t>,</w:t>
      </w:r>
      <w:r w:rsidRPr="00403B1E">
        <w:rPr>
          <w:rFonts w:ascii="Verdana" w:eastAsia="Calibri" w:hAnsi="Verdana" w:cs="Arial"/>
        </w:rPr>
        <w:t xml:space="preserve"> excepcionalmente</w:t>
      </w:r>
      <w:r w:rsidRPr="00403B1E">
        <w:rPr>
          <w:rFonts w:ascii="Verdana" w:eastAsia="Calibri" w:hAnsi="Verdana" w:cs="Arial"/>
          <w:bCs/>
        </w:rPr>
        <w:t>,</w:t>
      </w:r>
      <w:r w:rsidRPr="00403B1E">
        <w:rPr>
          <w:rFonts w:ascii="Verdana" w:eastAsia="Calibri" w:hAnsi="Verdana" w:cs="Arial"/>
        </w:rPr>
        <w:t xml:space="preserve"> se permita lo contrario. Esto comoquiera que estos, no se refieren a la oferta misma sino a la idoneidad del oferente para asumir adecuadamente la ejecución del contrato</w:t>
      </w:r>
      <w:r w:rsidRPr="00403B1E">
        <w:rPr>
          <w:rStyle w:val="Refdenotaalpie"/>
          <w:rFonts w:ascii="Verdana" w:eastAsia="Calibri" w:hAnsi="Verdana" w:cs="Arial"/>
        </w:rPr>
        <w:footnoteReference w:id="1"/>
      </w:r>
      <w:r w:rsidRPr="00403B1E">
        <w:rPr>
          <w:rFonts w:ascii="Verdana" w:eastAsia="Calibri" w:hAnsi="Verdana" w:cs="Arial"/>
        </w:rPr>
        <w:t xml:space="preserve">. Los oferentes que cumplan estos requisitos habilitantes son considerados idóneos para ejecutar el objeto contractual, de manera que sus ofertas pueden ser consideradas en la evaluación dirigida a determinar cuál es la más favorable para la entidad y los fines de la contratación. En este sentido, los requisitos </w:t>
      </w:r>
      <w:r w:rsidRPr="00403B1E">
        <w:rPr>
          <w:rFonts w:ascii="Verdana" w:eastAsia="Calibri" w:hAnsi="Verdana" w:cs="Arial"/>
          <w:i/>
        </w:rPr>
        <w:t xml:space="preserve">habilitantes </w:t>
      </w:r>
      <w:r w:rsidRPr="00403B1E">
        <w:rPr>
          <w:rFonts w:ascii="Verdana" w:eastAsia="Calibri" w:hAnsi="Verdana" w:cs="Arial"/>
        </w:rPr>
        <w:t>son aquellos que deben cumplir en igualdad de condiciones los proponentes y cumplido el mínimo establecido en el pliego de condiciones o documento equivalente hacen que los proponentes se habiliten en el procedimiento de selección y sean susceptibles de ser seleccionados como futuros contratistas.</w:t>
      </w:r>
      <w:bookmarkEnd w:id="0"/>
    </w:p>
    <w:p w14:paraId="076D697F" w14:textId="77777777" w:rsidR="00F8377E" w:rsidRPr="00403B1E" w:rsidRDefault="00F8377E" w:rsidP="00F8377E">
      <w:pPr>
        <w:pStyle w:val="Prrafodelista"/>
        <w:tabs>
          <w:tab w:val="left" w:pos="0"/>
        </w:tabs>
        <w:spacing w:after="120" w:line="276" w:lineRule="auto"/>
        <w:jc w:val="both"/>
        <w:rPr>
          <w:rFonts w:ascii="Verdana" w:hAnsi="Verdana" w:cs="Arial"/>
        </w:rPr>
      </w:pPr>
    </w:p>
    <w:p w14:paraId="0B74D501" w14:textId="77777777" w:rsidR="00F8377E" w:rsidRPr="00403B1E" w:rsidRDefault="00F8377E" w:rsidP="00F8377E">
      <w:pPr>
        <w:pStyle w:val="Prrafodelista"/>
        <w:numPr>
          <w:ilvl w:val="0"/>
          <w:numId w:val="2"/>
        </w:numPr>
        <w:tabs>
          <w:tab w:val="left" w:pos="0"/>
        </w:tabs>
        <w:spacing w:after="120" w:line="276" w:lineRule="auto"/>
        <w:jc w:val="both"/>
        <w:rPr>
          <w:rFonts w:ascii="Verdana" w:hAnsi="Verdana" w:cs="Arial"/>
        </w:rPr>
      </w:pPr>
      <w:r>
        <w:rPr>
          <w:rFonts w:ascii="Verdana" w:eastAsia="Calibri" w:hAnsi="Verdana" w:cs="Arial"/>
        </w:rPr>
        <w:t>Por otra parte</w:t>
      </w:r>
      <w:r w:rsidRPr="00403B1E">
        <w:rPr>
          <w:rFonts w:ascii="Verdana" w:eastAsia="Calibri" w:hAnsi="Verdana" w:cs="Arial"/>
        </w:rPr>
        <w:t xml:space="preserve">, el artículo 5 de la Ley 1150 de 2007 regula los factores dirigidos a determinar cuál es la propuesta comparativamente más favorable. En ese sentido, el inciso primero dispone los factores de escogencia y calificación que deben indicarse en los pliegos de condiciones. El numeral 2 de esta norma establece que la oferta más favorable es aquella que resulte ser la más ventajosa para la entidad, una vez se realice la ponderación precisa y detallada de </w:t>
      </w:r>
      <w:r w:rsidRPr="00403B1E">
        <w:rPr>
          <w:rFonts w:ascii="Verdana" w:hAnsi="Verdana" w:cs="Arial"/>
        </w:rPr>
        <w:t xml:space="preserve">los factores técnicos y económicos de escogencia, de acuerdo con los parámetros establecidos </w:t>
      </w:r>
      <w:r w:rsidRPr="00403B1E">
        <w:rPr>
          <w:rFonts w:ascii="Verdana" w:hAnsi="Verdana" w:cs="Arial"/>
        </w:rPr>
        <w:lastRenderedPageBreak/>
        <w:t xml:space="preserve">en los pliegos de condiciones o equivalentes que permiten la comparación de ofertas. Este numeral 2 se divide en dos literales, cada uno de los cuales hace referencia a los mecanismos por los que pueden optar las entidades para ponderar los elementos de calidad y precio de las ofertas. El literal a) alude a la ponderación de los referidos elementos mediante puntajes o fórmulas, mientras que el literal b) se refiere la elección de la oferta que represente la mejor relación costo – beneficio para la entidad. </w:t>
      </w:r>
    </w:p>
    <w:p w14:paraId="1C1C2CC1" w14:textId="77777777" w:rsidR="00F8377E" w:rsidRDefault="00F8377E" w:rsidP="00F8377E">
      <w:pPr>
        <w:pStyle w:val="Prrafodelista"/>
        <w:tabs>
          <w:tab w:val="left" w:pos="0"/>
        </w:tabs>
        <w:spacing w:after="120" w:line="276" w:lineRule="auto"/>
        <w:jc w:val="both"/>
        <w:rPr>
          <w:rFonts w:ascii="Verdana" w:hAnsi="Verdana" w:cs="Arial"/>
        </w:rPr>
      </w:pPr>
    </w:p>
    <w:p w14:paraId="7FEDB416" w14:textId="77777777" w:rsidR="00F8377E" w:rsidRPr="00403B1E" w:rsidRDefault="00F8377E" w:rsidP="00F8377E">
      <w:pPr>
        <w:pStyle w:val="Prrafodelista"/>
        <w:numPr>
          <w:ilvl w:val="0"/>
          <w:numId w:val="2"/>
        </w:numPr>
        <w:tabs>
          <w:tab w:val="left" w:pos="0"/>
        </w:tabs>
        <w:spacing w:after="120" w:line="276" w:lineRule="auto"/>
        <w:jc w:val="both"/>
        <w:rPr>
          <w:rFonts w:ascii="Verdana" w:hAnsi="Verdana" w:cs="Arial"/>
        </w:rPr>
      </w:pPr>
      <w:r w:rsidRPr="00403B1E">
        <w:rPr>
          <w:rFonts w:ascii="Verdana" w:hAnsi="Verdana" w:cs="Arial"/>
        </w:rPr>
        <w:t>Por su parte, el numeral 3 establece que en los procesos de selección de bienes y servicios de características técnicas uniformes y de común utilización el único factor de evaluación consiste en el menor precio. Por último, el numeral 4, referente a procedimientos para selección de consultores, señala que debe hacerse uso de factores de calificación, para valorar los aspectos técnicos de la oferta, permitiendo que entre ellos se pondere la experiencia.</w:t>
      </w:r>
    </w:p>
    <w:p w14:paraId="5D22B73C" w14:textId="77777777" w:rsidR="00F8377E" w:rsidRDefault="00F8377E" w:rsidP="00F8377E">
      <w:pPr>
        <w:pStyle w:val="Prrafodelista"/>
        <w:tabs>
          <w:tab w:val="left" w:pos="0"/>
        </w:tabs>
        <w:spacing w:after="0" w:line="276" w:lineRule="auto"/>
        <w:jc w:val="both"/>
        <w:rPr>
          <w:rFonts w:ascii="Verdana" w:hAnsi="Verdana" w:cs="Arial"/>
        </w:rPr>
      </w:pPr>
    </w:p>
    <w:p w14:paraId="17DC73C2" w14:textId="77777777" w:rsidR="00F8377E" w:rsidRPr="00403B1E" w:rsidRDefault="00F8377E" w:rsidP="00F8377E">
      <w:pPr>
        <w:pStyle w:val="Prrafodelista"/>
        <w:numPr>
          <w:ilvl w:val="0"/>
          <w:numId w:val="2"/>
        </w:numPr>
        <w:tabs>
          <w:tab w:val="left" w:pos="0"/>
        </w:tabs>
        <w:spacing w:after="120" w:line="276" w:lineRule="auto"/>
        <w:jc w:val="both"/>
        <w:rPr>
          <w:rFonts w:ascii="Verdana" w:eastAsia="Calibri" w:hAnsi="Verdana" w:cs="Arial"/>
        </w:rPr>
      </w:pPr>
      <w:r w:rsidRPr="00403B1E">
        <w:rPr>
          <w:rFonts w:ascii="Verdana" w:eastAsia="Calibri" w:hAnsi="Verdana" w:cs="Arial"/>
        </w:rPr>
        <w:t xml:space="preserve">De acuerdo con lo anterior, es posible asimilar las diferentes categorías a las que hace referencia el artículo 5 de la Ley 1150 de 2007, cuando alude a los factores que, a diferencia de los requisitos habilitantes, determinan la oferta más favorable para la entidad y que, por lo tanto, hacen que una oferta sea mejor que otra, pese a tener que cumplir todas ellas los requisitos habilitantes. Es frente a aquellos factores que determinan comparativamente que una oferta sea mejor que otra, que la entidad concibe el otorgamiento de puntajes, como mecanismos para ponderar y comparar los ofrecimientos, con el fin de determinar objetivamente la oferta más favorable, aplicando para ello las reglas establecidas en el pliego o documento equivalente para la ponderación de las ofertas. </w:t>
      </w:r>
    </w:p>
    <w:p w14:paraId="7F518FB9" w14:textId="77777777" w:rsidR="00F8377E" w:rsidRDefault="00F8377E" w:rsidP="00F8377E">
      <w:pPr>
        <w:pStyle w:val="Prrafodelista"/>
        <w:tabs>
          <w:tab w:val="left" w:pos="0"/>
        </w:tabs>
        <w:spacing w:after="120" w:line="276" w:lineRule="auto"/>
        <w:jc w:val="both"/>
        <w:rPr>
          <w:rFonts w:ascii="Verdana" w:eastAsia="Calibri" w:hAnsi="Verdana" w:cs="Arial"/>
        </w:rPr>
      </w:pPr>
    </w:p>
    <w:p w14:paraId="77039986" w14:textId="77777777" w:rsidR="00F8377E" w:rsidRPr="00EE06B2" w:rsidRDefault="00F8377E" w:rsidP="00F8377E">
      <w:pPr>
        <w:pStyle w:val="Prrafodelista"/>
        <w:numPr>
          <w:ilvl w:val="0"/>
          <w:numId w:val="2"/>
        </w:numPr>
        <w:spacing w:after="120" w:line="276" w:lineRule="auto"/>
        <w:jc w:val="both"/>
        <w:rPr>
          <w:rFonts w:ascii="Verdana" w:hAnsi="Verdana" w:cs="Arial"/>
          <w:lang w:eastAsia="es-CO"/>
        </w:rPr>
      </w:pPr>
      <w:r w:rsidRPr="00403B1E">
        <w:rPr>
          <w:rFonts w:ascii="Verdana" w:eastAsia="Calibri" w:hAnsi="Verdana" w:cs="Arial"/>
        </w:rPr>
        <w:t>Es necesario destacar, que las reglas para establecer la oferta más favorable conforme al artículo 5 de la Ley 1150 de 2007, se encuentran reglamentadas en el artículo 2.2.1.1.2.2.2 del Decreto 1082 de 2015. Este artículo desarrolla los mecanismos de ponderación previstos en los literales a) y b) del artículo 5</w:t>
      </w:r>
      <w:r w:rsidRPr="00403B1E">
        <w:rPr>
          <w:rFonts w:ascii="Verdana" w:eastAsia="Calibri" w:hAnsi="Verdana" w:cs="Arial"/>
        </w:rPr>
        <w:softHyphen/>
        <w:t>.2 de la Ley 1150 de 2007, disponiendo unas pautas para la p</w:t>
      </w:r>
      <w:r w:rsidRPr="00403B1E">
        <w:rPr>
          <w:rFonts w:ascii="Verdana" w:hAnsi="Verdana" w:cs="Arial"/>
        </w:rPr>
        <w:t xml:space="preserve">onderación de los elementos de calidad y precio que representen la mejor relación de costo-beneficio. Conforme a este artículo, la oferta más favorable en estos casos debe determinarse ponderando en las ofertas: i) </w:t>
      </w:r>
      <w:r w:rsidRPr="00403B1E">
        <w:rPr>
          <w:rFonts w:ascii="Verdana" w:hAnsi="Verdana" w:cs="Arial"/>
          <w:lang w:eastAsia="es-CO"/>
        </w:rPr>
        <w:t xml:space="preserve">las condiciones técnicas y económicas mínimas; </w:t>
      </w:r>
      <w:proofErr w:type="spellStart"/>
      <w:r w:rsidRPr="00403B1E">
        <w:rPr>
          <w:rFonts w:ascii="Verdana" w:hAnsi="Verdana" w:cs="Arial"/>
          <w:lang w:eastAsia="es-CO"/>
        </w:rPr>
        <w:t>ii</w:t>
      </w:r>
      <w:proofErr w:type="spellEnd"/>
      <w:r w:rsidRPr="00403B1E">
        <w:rPr>
          <w:rFonts w:ascii="Verdana" w:hAnsi="Verdana" w:cs="Arial"/>
          <w:lang w:eastAsia="es-CO"/>
        </w:rPr>
        <w:t xml:space="preserve">) las condiciones técnicas adicionales que representan ventajas </w:t>
      </w:r>
      <w:r w:rsidRPr="00403B1E">
        <w:rPr>
          <w:rFonts w:ascii="Verdana" w:hAnsi="Verdana" w:cs="Arial"/>
          <w:lang w:eastAsia="es-CO"/>
        </w:rPr>
        <w:lastRenderedPageBreak/>
        <w:t xml:space="preserve">de calidad o de funcionamiento; </w:t>
      </w:r>
      <w:proofErr w:type="spellStart"/>
      <w:r w:rsidRPr="00403B1E">
        <w:rPr>
          <w:rFonts w:ascii="Verdana" w:hAnsi="Verdana" w:cs="Arial"/>
          <w:lang w:eastAsia="es-CO"/>
        </w:rPr>
        <w:t>iii</w:t>
      </w:r>
      <w:proofErr w:type="spellEnd"/>
      <w:r w:rsidRPr="00403B1E">
        <w:rPr>
          <w:rFonts w:ascii="Verdana" w:hAnsi="Verdana" w:cs="Arial"/>
          <w:lang w:eastAsia="es-CO"/>
        </w:rPr>
        <w:t xml:space="preserve">) las condiciones económicas adicionales que representen ventajas en términos de economía, eficiencia y eficacia; y iv) el valor en dinero que la entidad estatal asigna a cada ofrecimiento técnico o económico adicional. Teniendo en cuenta estos elementos, la entidad estatal debe calcular la relación costo-beneficio de cada oferta </w:t>
      </w:r>
      <w:r>
        <w:rPr>
          <w:rFonts w:ascii="Verdana" w:eastAsia="Calibri" w:hAnsi="Verdana" w:cs="Arial"/>
        </w:rPr>
        <w:t>“</w:t>
      </w:r>
      <w:r w:rsidRPr="00403B1E">
        <w:rPr>
          <w:rFonts w:ascii="Verdana" w:eastAsia="Calibri" w:hAnsi="Verdana" w:cs="Arial"/>
        </w:rPr>
        <w:t xml:space="preserve">[…] </w:t>
      </w:r>
      <w:r w:rsidRPr="00403B1E">
        <w:rPr>
          <w:rFonts w:ascii="Verdana" w:hAnsi="Verdana" w:cs="Arial"/>
          <w:lang w:eastAsia="es-CO"/>
        </w:rPr>
        <w:t>restando del precio total ofrecido los valores monetarios asignados a cada una de las condiciones técnicas y económicas adicionales ofrecidas. La mejor relación costo-beneficio para la Entidad Estatal es la de la oferta que una vez aplicada la metodología anterior tenga el resultado más bajo</w:t>
      </w:r>
      <w:r w:rsidRPr="00403B1E">
        <w:rPr>
          <w:rFonts w:ascii="Verdana" w:eastAsia="Calibri" w:hAnsi="Verdana" w:cs="Arial"/>
        </w:rPr>
        <w:t xml:space="preserve"> </w:t>
      </w:r>
      <w:r w:rsidRPr="00403B1E">
        <w:rPr>
          <w:rFonts w:ascii="Verdana" w:hAnsi="Verdana" w:cs="Arial"/>
        </w:rPr>
        <w:t>[…]</w:t>
      </w:r>
      <w:r>
        <w:rPr>
          <w:rFonts w:ascii="Verdana" w:eastAsia="Calibri" w:hAnsi="Verdana" w:cs="Arial"/>
        </w:rPr>
        <w:t>”</w:t>
      </w:r>
      <w:r w:rsidRPr="00403B1E">
        <w:rPr>
          <w:rStyle w:val="Refdenotaalpie"/>
          <w:rFonts w:ascii="Verdana" w:hAnsi="Verdana" w:cs="Arial"/>
          <w:lang w:eastAsia="es-CO"/>
        </w:rPr>
        <w:footnoteReference w:id="2"/>
      </w:r>
      <w:r w:rsidRPr="00403B1E">
        <w:rPr>
          <w:rFonts w:ascii="Verdana" w:eastAsia="Calibri" w:hAnsi="Verdana" w:cs="Arial"/>
        </w:rPr>
        <w:t>.</w:t>
      </w:r>
    </w:p>
    <w:p w14:paraId="6025AA7B" w14:textId="77777777" w:rsidR="00F8377E" w:rsidRPr="00403B1E" w:rsidRDefault="00F8377E" w:rsidP="00F8377E">
      <w:pPr>
        <w:pStyle w:val="Prrafodelista"/>
        <w:spacing w:after="120" w:line="276" w:lineRule="auto"/>
        <w:jc w:val="both"/>
        <w:rPr>
          <w:rFonts w:ascii="Verdana" w:hAnsi="Verdana" w:cs="Arial"/>
          <w:lang w:eastAsia="es-CO"/>
        </w:rPr>
      </w:pPr>
    </w:p>
    <w:p w14:paraId="200A13D1" w14:textId="77777777" w:rsidR="00F8377E" w:rsidRDefault="00F8377E" w:rsidP="00F8377E">
      <w:pPr>
        <w:pStyle w:val="Prrafodelista"/>
        <w:numPr>
          <w:ilvl w:val="0"/>
          <w:numId w:val="2"/>
        </w:numPr>
        <w:spacing w:after="120" w:line="276" w:lineRule="auto"/>
        <w:jc w:val="both"/>
        <w:rPr>
          <w:rFonts w:ascii="Verdana" w:hAnsi="Verdana" w:cs="Arial"/>
          <w:color w:val="000000" w:themeColor="text1"/>
          <w:lang w:val="es-ES_tradnl"/>
        </w:rPr>
      </w:pPr>
      <w:r>
        <w:rPr>
          <w:rFonts w:ascii="Verdana" w:hAnsi="Verdana" w:cs="Arial"/>
          <w:color w:val="000000" w:themeColor="text1"/>
        </w:rPr>
        <w:t xml:space="preserve">Por otra parte, sobre los cuatro requisitos habilitantes mencionados en el </w:t>
      </w:r>
      <w:r w:rsidRPr="00403B1E">
        <w:rPr>
          <w:rFonts w:ascii="Verdana" w:hAnsi="Verdana" w:cs="Arial"/>
          <w:color w:val="000000" w:themeColor="text1"/>
          <w:lang w:val="es-ES_tradnl"/>
        </w:rPr>
        <w:t>artículo 5, numeral 1, de la Ley 1150 de 2007, cuyo alcance fue explicado previamente</w:t>
      </w:r>
      <w:r>
        <w:rPr>
          <w:rFonts w:ascii="Verdana" w:hAnsi="Verdana" w:cs="Arial"/>
          <w:color w:val="000000" w:themeColor="text1"/>
        </w:rPr>
        <w:t>, vale</w:t>
      </w:r>
      <w:r w:rsidRPr="00403B1E">
        <w:rPr>
          <w:rFonts w:ascii="Verdana" w:hAnsi="Verdana" w:cs="Arial"/>
          <w:color w:val="000000" w:themeColor="text1"/>
          <w:lang w:val="es-ES_tradnl"/>
        </w:rPr>
        <w:t xml:space="preserve"> la pena preguntarse si son taxativos, esto es, si son los únicos requisitos habilitantes que puede exigirles una entidad a los proponentes. Esta pregunta tiene, al menos, dos respuestas posibles. Por un lado, que sí lo son, ya que la norma no hace referencia a otros diferentes y, por el otro, que no lo son, pues esta no contiene una expresión como “únicamente” o “solo”, al referirse a los requisitos habilitantes y, además, debido a que la lectura integral de las normas que regulan la contratación estatal permite concluir que existen otras condiciones que deben cumplirse para la contratación con una entidad pública, como pasa, por ejemplo, con la capacidad residual a la que se refiere el artículo 6º, parágrafo 1, de la Ley 1150 de 2007, norma que establece que “para poder participar en los procesos de selección de los contratos de obra, la capacidad residual del proponente o K de contratación deberá ser igual o superior al que la entidad haya establecido </w:t>
      </w:r>
      <w:r w:rsidRPr="00403B1E">
        <w:rPr>
          <w:rFonts w:ascii="Verdana" w:hAnsi="Verdana" w:cs="Arial"/>
          <w:color w:val="000000" w:themeColor="text1"/>
          <w:lang w:val="es-ES_tradnl"/>
        </w:rPr>
        <w:lastRenderedPageBreak/>
        <w:t xml:space="preserve">para el efecto en los pliegos de condiciones”. Esta segunda respuesta contiene la interpretación legal que comparte la Agencia Nacional de Contratación Pública. </w:t>
      </w:r>
    </w:p>
    <w:p w14:paraId="3DA6F851" w14:textId="77777777" w:rsidR="00F8377E" w:rsidRPr="00403B1E" w:rsidRDefault="00F8377E" w:rsidP="00F8377E">
      <w:pPr>
        <w:pStyle w:val="Prrafodelista"/>
        <w:spacing w:after="120" w:line="276" w:lineRule="auto"/>
        <w:jc w:val="both"/>
        <w:rPr>
          <w:rFonts w:ascii="Verdana" w:hAnsi="Verdana" w:cs="Arial"/>
          <w:color w:val="000000" w:themeColor="text1"/>
          <w:lang w:val="es-ES_tradnl"/>
        </w:rPr>
      </w:pPr>
    </w:p>
    <w:p w14:paraId="49910887" w14:textId="77777777" w:rsidR="00F8377E" w:rsidRPr="009B593A" w:rsidRDefault="00F8377E" w:rsidP="00F8377E">
      <w:pPr>
        <w:pStyle w:val="Prrafodelista"/>
        <w:rPr>
          <w:rFonts w:ascii="Verdana" w:hAnsi="Verdana" w:cs="Arial"/>
          <w:color w:val="000000" w:themeColor="text1"/>
          <w:lang w:val="es-ES_tradnl"/>
        </w:rPr>
      </w:pPr>
    </w:p>
    <w:p w14:paraId="5C00F95C" w14:textId="77777777" w:rsidR="00F8377E" w:rsidRPr="00366F9F" w:rsidRDefault="00F8377E" w:rsidP="00F8377E">
      <w:pPr>
        <w:pStyle w:val="Prrafodelista"/>
        <w:numPr>
          <w:ilvl w:val="0"/>
          <w:numId w:val="3"/>
        </w:numPr>
        <w:spacing w:after="120" w:line="276" w:lineRule="auto"/>
        <w:jc w:val="both"/>
        <w:rPr>
          <w:rFonts w:ascii="Verdana" w:hAnsi="Verdana" w:cs="Arial"/>
          <w:color w:val="000000" w:themeColor="text1"/>
        </w:rPr>
      </w:pPr>
      <w:bookmarkStart w:id="1" w:name="_Hlk34917473"/>
      <w:r w:rsidRPr="00366F9F">
        <w:rPr>
          <w:rFonts w:ascii="Verdana" w:hAnsi="Verdana" w:cs="Arial"/>
          <w:color w:val="000000" w:themeColor="text1"/>
        </w:rPr>
        <w:t xml:space="preserve">En consecuencia, corresponde a las entidades estatales, durante la etapa de planeación del contrato estatal, estudiar y determinar los requisitos habilitantes que establecerán en los pliegos de condiciones, los cuales deben fijarse de forma adecuada y proporcional. Esto último, según se deriva de la lectura del artículo 2.2.1.1.1.6.2 del Decreto 1082 de 2015, debe hacerse de acuerdo con la naturaleza, el valor del contrato, la forma de pago, los riesgos asociados al contrato, el plazo y la complejidad de ejecución del objeto. Todo porque la facultad de establecer los requisitos habilitantes no puede ejercerse de forma arbitraria, caprichosa y, mucho menos, con el ánimo de direccionar el proceso de contratación o favorecer a alguno de los proponentes, así como tampoco puede ejercerse desconociendo límites legales, como, por ejemplo, el que estable el artículo 5, parágrafo 2, de la Ley 1150 de 2007, relacionado con la prohibición de exigir certificaciones de sistemas de gestión de calidad como requisito habilitante. </w:t>
      </w:r>
    </w:p>
    <w:bookmarkEnd w:id="1"/>
    <w:p w14:paraId="2C6B21DA" w14:textId="77777777" w:rsidR="00F8377E" w:rsidRDefault="00F8377E" w:rsidP="00F8377E">
      <w:pPr>
        <w:pStyle w:val="Prrafodelista"/>
        <w:spacing w:after="120" w:line="276" w:lineRule="auto"/>
        <w:jc w:val="both"/>
        <w:rPr>
          <w:rFonts w:ascii="Verdana" w:hAnsi="Verdana" w:cs="Arial"/>
          <w:color w:val="000000" w:themeColor="text1"/>
          <w:lang w:val="es-ES_tradnl"/>
        </w:rPr>
      </w:pPr>
    </w:p>
    <w:p w14:paraId="24FE8376" w14:textId="77777777" w:rsidR="00F8377E" w:rsidRPr="00403B1E" w:rsidRDefault="00F8377E" w:rsidP="00F8377E">
      <w:pPr>
        <w:pStyle w:val="Prrafodelista"/>
        <w:numPr>
          <w:ilvl w:val="0"/>
          <w:numId w:val="2"/>
        </w:numPr>
        <w:spacing w:after="0" w:line="276" w:lineRule="auto"/>
        <w:jc w:val="both"/>
        <w:rPr>
          <w:rFonts w:ascii="Verdana" w:hAnsi="Verdana" w:cs="Arial"/>
          <w:color w:val="000000" w:themeColor="text1"/>
          <w:lang w:val="es-ES_tradnl"/>
        </w:rPr>
      </w:pPr>
      <w:r w:rsidRPr="00403B1E">
        <w:rPr>
          <w:rFonts w:ascii="Verdana" w:hAnsi="Verdana" w:cs="Arial"/>
          <w:color w:val="000000" w:themeColor="text1"/>
          <w:lang w:val="es-ES_tradnl"/>
        </w:rPr>
        <w:t xml:space="preserve">Una vez fijados los requisitos habilitantes por la entidad estatal, quienes presenten ofertas deben </w:t>
      </w:r>
      <w:r w:rsidRPr="00403B1E">
        <w:rPr>
          <w:rFonts w:ascii="Verdana" w:hAnsi="Verdana" w:cs="Arial"/>
          <w:bCs/>
          <w:i/>
          <w:iCs/>
          <w:color w:val="000000" w:themeColor="text1"/>
          <w:lang w:val="es-ES_tradnl"/>
        </w:rPr>
        <w:t>acreditar</w:t>
      </w:r>
      <w:r w:rsidRPr="00403B1E">
        <w:rPr>
          <w:rFonts w:ascii="Verdana" w:hAnsi="Verdana" w:cs="Arial"/>
          <w:color w:val="000000" w:themeColor="text1"/>
          <w:lang w:val="es-ES_tradnl"/>
        </w:rPr>
        <w:t xml:space="preserve"> que cumplen con los mismos, pues, en el evento contrario, las propuestas deberán ser rechazadas. Lo anterior, sin perjuicio de la posibilidad de </w:t>
      </w:r>
      <w:r w:rsidRPr="00403B1E">
        <w:rPr>
          <w:rFonts w:ascii="Verdana" w:hAnsi="Verdana" w:cs="Arial"/>
          <w:bCs/>
          <w:i/>
          <w:iCs/>
          <w:color w:val="000000" w:themeColor="text1"/>
          <w:lang w:val="es-ES_tradnl"/>
        </w:rPr>
        <w:t>subsanar</w:t>
      </w:r>
      <w:r w:rsidRPr="00403B1E">
        <w:rPr>
          <w:rFonts w:ascii="Verdana" w:hAnsi="Verdana" w:cs="Arial"/>
          <w:color w:val="000000" w:themeColor="text1"/>
          <w:lang w:val="es-ES_tradnl"/>
        </w:rPr>
        <w:t>, prevista en el artículo 5 de la Ley 1882 de 2018, que modificó el parágrafo 1º del artículo 5 de la Ley 1150 de 2007, en los siguientes términos:</w:t>
      </w:r>
    </w:p>
    <w:p w14:paraId="5306027C" w14:textId="77777777" w:rsidR="00F8377E" w:rsidRPr="00403B1E" w:rsidRDefault="00F8377E" w:rsidP="00F8377E">
      <w:pPr>
        <w:pStyle w:val="Prrafodelista"/>
        <w:spacing w:after="0" w:line="276" w:lineRule="auto"/>
        <w:jc w:val="both"/>
        <w:rPr>
          <w:rFonts w:ascii="Verdana" w:hAnsi="Verdana" w:cs="Arial"/>
          <w:color w:val="000000" w:themeColor="text1"/>
          <w:lang w:val="es-ES_tradnl"/>
        </w:rPr>
      </w:pPr>
    </w:p>
    <w:p w14:paraId="289A26DD" w14:textId="77777777" w:rsidR="00F8377E" w:rsidRPr="00366F9F" w:rsidRDefault="00F8377E" w:rsidP="00F8377E">
      <w:pPr>
        <w:pStyle w:val="Prrafodelista"/>
        <w:spacing w:after="0" w:line="276" w:lineRule="auto"/>
        <w:ind w:left="1049" w:right="760"/>
        <w:jc w:val="both"/>
        <w:rPr>
          <w:rFonts w:ascii="Verdana" w:hAnsi="Verdana" w:cs="Arial"/>
          <w:color w:val="000000" w:themeColor="text1"/>
          <w:sz w:val="21"/>
          <w:szCs w:val="21"/>
          <w:lang w:val="es-ES_tradnl"/>
        </w:rPr>
      </w:pPr>
      <w:r w:rsidRPr="00366F9F">
        <w:rPr>
          <w:rFonts w:ascii="Verdana" w:hAnsi="Verdana" w:cs="Arial"/>
          <w:color w:val="000000" w:themeColor="text1"/>
          <w:sz w:val="21"/>
          <w:szCs w:val="21"/>
          <w:lang w:val="es-ES_tradnl"/>
        </w:rPr>
        <w:t xml:space="preserve">“Artículo 5°. De la selección objetiva. </w:t>
      </w:r>
    </w:p>
    <w:p w14:paraId="3CD1C1A1" w14:textId="77777777" w:rsidR="00F8377E" w:rsidRPr="00366F9F" w:rsidRDefault="00F8377E" w:rsidP="00F8377E">
      <w:pPr>
        <w:pStyle w:val="Prrafodelista"/>
        <w:spacing w:after="120" w:line="276" w:lineRule="auto"/>
        <w:ind w:left="1049" w:right="760"/>
        <w:jc w:val="both"/>
        <w:rPr>
          <w:rFonts w:ascii="Verdana" w:hAnsi="Verdana" w:cs="Arial"/>
          <w:color w:val="000000" w:themeColor="text1"/>
          <w:sz w:val="21"/>
          <w:szCs w:val="21"/>
          <w:lang w:val="es-ES_tradnl"/>
        </w:rPr>
      </w:pPr>
      <w:r w:rsidRPr="00366F9F">
        <w:rPr>
          <w:rFonts w:ascii="Verdana" w:hAnsi="Verdana" w:cs="Arial"/>
          <w:color w:val="000000" w:themeColor="text1"/>
          <w:sz w:val="21"/>
          <w:szCs w:val="21"/>
          <w:lang w:val="es-ES_tradnl"/>
        </w:rPr>
        <w:t xml:space="preserve">[...] </w:t>
      </w:r>
    </w:p>
    <w:p w14:paraId="55FE130E" w14:textId="77777777" w:rsidR="00F8377E" w:rsidRPr="00366F9F" w:rsidRDefault="00F8377E" w:rsidP="00F8377E">
      <w:pPr>
        <w:pStyle w:val="Prrafodelista"/>
        <w:spacing w:after="0" w:line="276" w:lineRule="auto"/>
        <w:ind w:left="1049" w:right="760"/>
        <w:jc w:val="both"/>
        <w:rPr>
          <w:rFonts w:ascii="Verdana" w:hAnsi="Verdana" w:cs="Arial"/>
          <w:color w:val="000000" w:themeColor="text1"/>
          <w:sz w:val="21"/>
          <w:szCs w:val="21"/>
        </w:rPr>
      </w:pPr>
      <w:r w:rsidRPr="00366F9F">
        <w:rPr>
          <w:rFonts w:ascii="Verdana" w:hAnsi="Verdana" w:cs="Arial"/>
          <w:color w:val="000000" w:themeColor="text1"/>
          <w:sz w:val="21"/>
          <w:szCs w:val="21"/>
        </w:rPr>
        <w:t xml:space="preserve">Parágrafo 1º. La ausencia de requisitos o la falta de documentos referentes a la futura contratación o al proponente, no necesarios para la comparación de las propuestas no servirán de título suficiente para el rechazo de los ofrecimientos hechos. En consecuencia, todos aquellos requisitos de la propuesta que no afecten la asignación de puntaje deberán ser solicitados por las entidades estatales y deberán ser entregados por los proponentes hasta el término de traslado del informe de evaluación que corresponda a cada modalidad de selección, salvo lo dispuesto para </w:t>
      </w:r>
      <w:r w:rsidRPr="00366F9F">
        <w:rPr>
          <w:rFonts w:ascii="Verdana" w:hAnsi="Verdana" w:cs="Arial"/>
          <w:color w:val="000000" w:themeColor="text1"/>
          <w:sz w:val="21"/>
          <w:szCs w:val="21"/>
        </w:rPr>
        <w:lastRenderedPageBreak/>
        <w:t xml:space="preserve">el proceso de Mínima cuantía y para el proceso de selección a través del sistema de subasta. Serán rechazadas las ofertas de aquellos proponentes que no suministren la información y la documentación solicitada por la entidad estatal hasta el plazo anteriormente señalado. Durante el término otorgado para subsanar las ofertas, los proponentes no podrán acreditar circunstancias ocurridas con posterioridad al cierre del proceso”. </w:t>
      </w:r>
    </w:p>
    <w:p w14:paraId="0F2DEA90" w14:textId="77777777" w:rsidR="00F8377E" w:rsidRPr="00403B1E" w:rsidRDefault="00F8377E" w:rsidP="00F8377E">
      <w:pPr>
        <w:pStyle w:val="Prrafodelista"/>
        <w:spacing w:after="0" w:line="276" w:lineRule="auto"/>
        <w:jc w:val="both"/>
        <w:rPr>
          <w:rFonts w:ascii="Verdana" w:hAnsi="Verdana" w:cs="Arial"/>
          <w:b/>
          <w:color w:val="000000" w:themeColor="text1"/>
          <w:lang w:val="es-ES_tradnl"/>
        </w:rPr>
      </w:pPr>
    </w:p>
    <w:p w14:paraId="6F8C4E0E" w14:textId="77777777" w:rsidR="00F8377E" w:rsidRPr="00403B1E" w:rsidRDefault="00F8377E" w:rsidP="00F8377E">
      <w:pPr>
        <w:pStyle w:val="Prrafodelista"/>
        <w:numPr>
          <w:ilvl w:val="0"/>
          <w:numId w:val="2"/>
        </w:numPr>
        <w:spacing w:after="120" w:line="276" w:lineRule="auto"/>
        <w:jc w:val="both"/>
        <w:rPr>
          <w:rFonts w:ascii="Verdana" w:eastAsia="Calibri" w:hAnsi="Verdana" w:cs="Arial"/>
          <w:color w:val="000000" w:themeColor="text1"/>
        </w:rPr>
      </w:pPr>
      <w:r w:rsidRPr="5E0DF234">
        <w:rPr>
          <w:rFonts w:ascii="Verdana" w:hAnsi="Verdana" w:cs="Arial"/>
          <w:color w:val="000000" w:themeColor="text1"/>
        </w:rPr>
        <w:t xml:space="preserve">Esta norma, como lo indicó esta Subdirección en el Concepto CU-060 de 2020, por un lado, mantiene el criterio de la Ley 80 de 1993, relativo a que todo lo que no sea necesario para la comparación de propuestas no es título suficiente para su rechazo y, por el otro, conserva la idea aclaratoria de la Ley 1150 de 2007, según el cual todo lo que no afecte la asignación de puntaje puede subsanarse. También introduce modificaciones en relación con: i) el ámbito temporal para ejercer la facultad de subsanar la oferta; </w:t>
      </w:r>
      <w:proofErr w:type="spellStart"/>
      <w:r w:rsidRPr="5E0DF234">
        <w:rPr>
          <w:rFonts w:ascii="Verdana" w:hAnsi="Verdana" w:cs="Arial"/>
          <w:color w:val="000000" w:themeColor="text1"/>
        </w:rPr>
        <w:t>ii</w:t>
      </w:r>
      <w:proofErr w:type="spellEnd"/>
      <w:r w:rsidRPr="5E0DF234">
        <w:rPr>
          <w:rFonts w:ascii="Verdana" w:hAnsi="Verdana" w:cs="Arial"/>
          <w:color w:val="000000" w:themeColor="text1"/>
        </w:rPr>
        <w:t xml:space="preserve">) </w:t>
      </w:r>
      <w:r w:rsidRPr="5E0DF234">
        <w:rPr>
          <w:rFonts w:ascii="Verdana" w:eastAsia="Calibri" w:hAnsi="Verdana" w:cs="Arial"/>
          <w:color w:val="000000" w:themeColor="text1"/>
        </w:rPr>
        <w:t>la consagración de un criterio material, directamente relacionado con los aspectos subsanables: “</w:t>
      </w:r>
      <w:r w:rsidRPr="5E0DF234">
        <w:rPr>
          <w:rFonts w:ascii="Verdana" w:hAnsi="Verdana" w:cs="Arial"/>
          <w:color w:val="000000" w:themeColor="text1"/>
        </w:rPr>
        <w:t xml:space="preserve">los proponentes no podrán acreditar circunstancias ocurridas con posterioridad al cierre del proceso”; y </w:t>
      </w:r>
      <w:proofErr w:type="spellStart"/>
      <w:r w:rsidRPr="5E0DF234">
        <w:rPr>
          <w:rFonts w:ascii="Verdana" w:hAnsi="Verdana" w:cs="Arial"/>
          <w:color w:val="000000" w:themeColor="text1"/>
        </w:rPr>
        <w:t>iii</w:t>
      </w:r>
      <w:proofErr w:type="spellEnd"/>
      <w:r w:rsidRPr="5E0DF234">
        <w:rPr>
          <w:rFonts w:ascii="Verdana" w:hAnsi="Verdana" w:cs="Arial"/>
          <w:color w:val="000000" w:themeColor="text1"/>
        </w:rPr>
        <w:t xml:space="preserve">) la determinación </w:t>
      </w:r>
      <w:r w:rsidRPr="5E0DF234">
        <w:rPr>
          <w:rFonts w:ascii="Verdana" w:eastAsia="Calibri" w:hAnsi="Verdana" w:cs="Arial"/>
          <w:color w:val="000000" w:themeColor="text1"/>
        </w:rPr>
        <w:t>expresa de que “la no entrega de la garantía de seriedad junto con la propuesta no será subsanable y será causal de rechazo de la misma”, dejando claro que se trata de un documento de obligatoria presentación junto con la propuesta y que materializa los principios de seriedad e irrevocabilidad de la oferta.</w:t>
      </w:r>
    </w:p>
    <w:p w14:paraId="749B74AE" w14:textId="77777777" w:rsidR="00F8377E" w:rsidRPr="009B593A" w:rsidRDefault="00F8377E" w:rsidP="00F8377E">
      <w:pPr>
        <w:pStyle w:val="Prrafodelista"/>
        <w:rPr>
          <w:rFonts w:ascii="Verdana" w:eastAsia="Calibri" w:hAnsi="Verdana" w:cs="Arial"/>
          <w:color w:val="000000" w:themeColor="text1"/>
          <w:lang w:val="es-ES_tradnl"/>
        </w:rPr>
      </w:pPr>
    </w:p>
    <w:p w14:paraId="0AD83252" w14:textId="77777777" w:rsidR="00F8377E" w:rsidRPr="00425C73" w:rsidRDefault="00F8377E" w:rsidP="00F8377E">
      <w:pPr>
        <w:pStyle w:val="Prrafodelista"/>
        <w:numPr>
          <w:ilvl w:val="0"/>
          <w:numId w:val="2"/>
        </w:numPr>
        <w:spacing w:before="120" w:after="0" w:line="276" w:lineRule="auto"/>
        <w:jc w:val="both"/>
        <w:rPr>
          <w:rFonts w:ascii="Verdana" w:eastAsia="Calibri" w:hAnsi="Verdana" w:cs="Arial"/>
        </w:rPr>
      </w:pPr>
      <w:r w:rsidRPr="5E0DF234">
        <w:rPr>
          <w:rFonts w:ascii="Verdana" w:eastAsia="Calibri" w:hAnsi="Verdana" w:cs="Arial"/>
        </w:rPr>
        <w:t>En línea con lo anterior, una vez verificada la ausencia de requisitos y/o documentos de la oferta, para efectos de saber si se pueden subsanar, la entidad contratante debe preguntarse, en primer lugar, si lo que hace falta es un documento que afecte la asignación de puntaje o no y, en segundo lugar, si el cumplimiento del requisito constituye una circunstancia ocurrida con anterioridad o con posterioridad al cierre del proceso. Para arribar a la conclusión de que lo omitido puede subsanarse, la respuesta al primer interrogante debe ser negativa, es decir, que lo omitido no sea un factor que afecte la asignación de puntaje y la respuesta al segundo interrogante debe dar cuenta de que lo omitido sea la prueba de una circunstancia o hecho que ocurrió con anterioridad al cierre del proceso.</w:t>
      </w:r>
    </w:p>
    <w:p w14:paraId="230F380D" w14:textId="77777777" w:rsidR="00F8377E" w:rsidRDefault="00F8377E" w:rsidP="00F8377E">
      <w:pPr>
        <w:pStyle w:val="Prrafodelista"/>
        <w:spacing w:before="120" w:after="0" w:line="276" w:lineRule="auto"/>
        <w:jc w:val="both"/>
        <w:rPr>
          <w:rFonts w:ascii="Verdana" w:eastAsia="Calibri" w:hAnsi="Verdana" w:cs="Arial"/>
          <w:lang w:val="es-ES_tradnl"/>
        </w:rPr>
      </w:pPr>
    </w:p>
    <w:p w14:paraId="19E61069" w14:textId="77777777" w:rsidR="00F8377E" w:rsidRPr="00425C73" w:rsidRDefault="00F8377E" w:rsidP="00F8377E">
      <w:pPr>
        <w:pStyle w:val="Prrafodelista"/>
        <w:numPr>
          <w:ilvl w:val="0"/>
          <w:numId w:val="2"/>
        </w:numPr>
        <w:spacing w:before="120" w:after="0" w:line="276" w:lineRule="auto"/>
        <w:jc w:val="both"/>
        <w:rPr>
          <w:rFonts w:ascii="Verdana" w:eastAsia="Calibri" w:hAnsi="Verdana" w:cs="Arial"/>
        </w:rPr>
      </w:pPr>
      <w:r w:rsidRPr="5E0DF234">
        <w:rPr>
          <w:rFonts w:ascii="Verdana" w:eastAsia="Calibri" w:hAnsi="Verdana" w:cs="Arial"/>
        </w:rPr>
        <w:lastRenderedPageBreak/>
        <w:t>Ahora bien, teniendo en cuenta el objeto bajo consulta, se hace necesario que esta Agencia se manifieste sobre la diferencia entre la regla sobre subsanación de ofertas en los procesos de selección antes explicada, y la aclaración de las ofertas, cuestiones que resultan ser distintas, pese a que ambas puedan contener considerandos como elementos propios del principio de selección objetiva. Así, es aras de que la Entidad Estatal al momento de evaluar las ofertas recibidas y, con el fin de comprender integralmente cada documento contenido en la oferta, podrá acudir a la facultad que le otorga expresamente el numeral 7 del artículo 30 de la Ley 80 de 1993. Dicha norma señala que entre los componentes que deberá contener el pliego de condiciones incluye al “plazo razonable dentro del cual la entidad deberá elaborar los estudios técnicos, económicos y jurídicos necesarios para la evaluación de las propuestas y para solicitar a los proponentes las aclaraciones y explicaciones que se estimen indispensables”.</w:t>
      </w:r>
    </w:p>
    <w:p w14:paraId="2A103CC6" w14:textId="77777777" w:rsidR="00F8377E" w:rsidRPr="00DF1562" w:rsidRDefault="00F8377E" w:rsidP="00F8377E">
      <w:pPr>
        <w:pStyle w:val="Prrafodelista"/>
        <w:spacing w:before="120" w:after="0" w:line="276" w:lineRule="auto"/>
        <w:jc w:val="both"/>
        <w:rPr>
          <w:rFonts w:ascii="Verdana" w:hAnsi="Verdana" w:cs="Arial"/>
          <w:bCs/>
        </w:rPr>
      </w:pPr>
    </w:p>
    <w:p w14:paraId="4BF84D59" w14:textId="77777777" w:rsidR="00F8377E" w:rsidRPr="00366F9F" w:rsidRDefault="00F8377E" w:rsidP="00F8377E">
      <w:pPr>
        <w:pStyle w:val="Prrafodelista"/>
        <w:numPr>
          <w:ilvl w:val="0"/>
          <w:numId w:val="2"/>
        </w:numPr>
        <w:spacing w:before="120" w:after="120" w:line="276" w:lineRule="auto"/>
        <w:jc w:val="both"/>
        <w:rPr>
          <w:rFonts w:ascii="Verdana" w:eastAsia="Calibri" w:hAnsi="Verdana" w:cs="Arial"/>
        </w:rPr>
      </w:pPr>
      <w:r w:rsidRPr="00366F9F">
        <w:rPr>
          <w:rFonts w:ascii="Verdana" w:eastAsia="Calibri" w:hAnsi="Verdana" w:cs="Arial"/>
        </w:rPr>
        <w:t>En este sentido, teniendo en cuenta que la oferta económica es un criterio ponderable, es decir, se otorga puntaje no es susceptible de subsanación. Sin embargo</w:t>
      </w:r>
      <w:r>
        <w:rPr>
          <w:rFonts w:ascii="Verdana" w:eastAsia="Calibri" w:hAnsi="Verdana" w:cs="Arial"/>
        </w:rPr>
        <w:t>,</w:t>
      </w:r>
      <w:r w:rsidRPr="00366F9F">
        <w:rPr>
          <w:rFonts w:ascii="Verdana" w:eastAsia="Calibri" w:hAnsi="Verdana" w:cs="Arial"/>
        </w:rPr>
        <w:t xml:space="preserve"> bajo lo anteriormente expuesto, se pueden realizar aclaraciones sobre aspectos meramente formales</w:t>
      </w:r>
      <w:r w:rsidRPr="00366F9F">
        <w:rPr>
          <w:rFonts w:ascii="Verdana" w:eastAsia="Calibri" w:hAnsi="Verdana" w:cs="Arial"/>
          <w:lang w:val="es-ES"/>
        </w:rPr>
        <w:t>, pero no sobre requisitos esenciales del pliego de condiciones o factores calificables, como lo es el componente económico. </w:t>
      </w:r>
    </w:p>
    <w:p w14:paraId="0FBC2BDF" w14:textId="77777777" w:rsidR="00F8377E" w:rsidRDefault="00F8377E" w:rsidP="00F8377E">
      <w:pPr>
        <w:pStyle w:val="Prrafodelista"/>
        <w:spacing w:line="276" w:lineRule="auto"/>
        <w:jc w:val="both"/>
        <w:rPr>
          <w:rFonts w:ascii="Verdana" w:hAnsi="Verdana" w:cs="Arial"/>
          <w:color w:val="000000" w:themeColor="text1"/>
          <w:sz w:val="20"/>
          <w:szCs w:val="20"/>
        </w:rPr>
      </w:pPr>
    </w:p>
    <w:p w14:paraId="40EBCA00" w14:textId="77777777" w:rsidR="00F8377E" w:rsidRPr="00366F9F" w:rsidRDefault="00F8377E" w:rsidP="00F8377E">
      <w:pPr>
        <w:pStyle w:val="Prrafodelista"/>
        <w:numPr>
          <w:ilvl w:val="0"/>
          <w:numId w:val="2"/>
        </w:numPr>
        <w:spacing w:line="276" w:lineRule="auto"/>
        <w:jc w:val="both"/>
        <w:rPr>
          <w:rFonts w:ascii="Verdana" w:eastAsia="Calibri" w:hAnsi="Verdana" w:cs="Arial"/>
          <w:lang w:val="es-ES"/>
        </w:rPr>
      </w:pPr>
      <w:r w:rsidRPr="00366F9F">
        <w:rPr>
          <w:rFonts w:ascii="Verdana" w:eastAsia="Calibri" w:hAnsi="Verdana" w:cs="Arial"/>
          <w:lang w:val="es-ES"/>
        </w:rPr>
        <w:t>En todo caso, la implementación y evaluación de este tipo de criterios está sometida a la autonomía de las entidades estatales contratantes, quienes podrán implementarlos cuando lo encuentren justificado en virtud de su relacionamiento con el objeto del contrato y según las reglas que se incluyan en los pliegos de condiciones.</w:t>
      </w:r>
    </w:p>
    <w:p w14:paraId="30B1407C" w14:textId="77777777" w:rsidR="00F8377E" w:rsidRPr="00425C73" w:rsidRDefault="00F8377E" w:rsidP="00F8377E">
      <w:pPr>
        <w:spacing w:before="120" w:after="0" w:line="276" w:lineRule="auto"/>
        <w:ind w:left="360"/>
        <w:jc w:val="both"/>
        <w:rPr>
          <w:rFonts w:ascii="Verdana" w:eastAsia="Calibri" w:hAnsi="Verdana" w:cs="Arial"/>
          <w:lang w:val="es-ES_tradnl"/>
        </w:rPr>
      </w:pPr>
    </w:p>
    <w:p w14:paraId="1B03B0C3" w14:textId="77777777" w:rsidR="00F8377E" w:rsidRPr="00262582" w:rsidRDefault="00F8377E" w:rsidP="00F8377E">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77A0E8E7" w14:textId="77777777" w:rsidR="00F8377E" w:rsidRPr="00262582" w:rsidRDefault="00F8377E" w:rsidP="00F8377E">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F8377E" w:rsidRPr="00262582" w14:paraId="741D7A1B" w14:textId="77777777" w:rsidTr="00A92350">
        <w:trPr>
          <w:trHeight w:val="870"/>
        </w:trPr>
        <w:tc>
          <w:tcPr>
            <w:tcW w:w="8647" w:type="dxa"/>
          </w:tcPr>
          <w:p w14:paraId="7313CB5E" w14:textId="77777777" w:rsidR="00F8377E" w:rsidRDefault="00F8377E" w:rsidP="00F8377E">
            <w:pPr>
              <w:pStyle w:val="Prrafodelista"/>
              <w:widowControl w:val="0"/>
              <w:numPr>
                <w:ilvl w:val="0"/>
                <w:numId w:val="1"/>
              </w:numPr>
              <w:autoSpaceDE w:val="0"/>
              <w:autoSpaceDN w:val="0"/>
              <w:spacing w:line="276" w:lineRule="auto"/>
              <w:jc w:val="both"/>
              <w:rPr>
                <w:rFonts w:ascii="Verdana" w:hAnsi="Verdana" w:cs="Arial"/>
              </w:rPr>
            </w:pPr>
            <w:r>
              <w:rPr>
                <w:rFonts w:ascii="Verdana" w:hAnsi="Verdana" w:cs="Arial"/>
              </w:rPr>
              <w:t>Ley 80 de 1993, artículo 30.</w:t>
            </w:r>
          </w:p>
          <w:p w14:paraId="596DD340" w14:textId="77777777" w:rsidR="00F8377E" w:rsidRPr="00312719" w:rsidRDefault="00F8377E" w:rsidP="00F8377E">
            <w:pPr>
              <w:pStyle w:val="Prrafodelista"/>
              <w:widowControl w:val="0"/>
              <w:numPr>
                <w:ilvl w:val="0"/>
                <w:numId w:val="1"/>
              </w:numPr>
              <w:autoSpaceDE w:val="0"/>
              <w:autoSpaceDN w:val="0"/>
              <w:spacing w:line="276" w:lineRule="auto"/>
              <w:jc w:val="both"/>
              <w:rPr>
                <w:rFonts w:ascii="Verdana" w:hAnsi="Verdana" w:cs="Arial"/>
              </w:rPr>
            </w:pPr>
            <w:r w:rsidRPr="00312719">
              <w:rPr>
                <w:rFonts w:ascii="Verdana" w:hAnsi="Verdana" w:cs="Arial"/>
              </w:rPr>
              <w:t>Ley 1150 de 2007, artículo</w:t>
            </w:r>
            <w:r>
              <w:rPr>
                <w:rFonts w:ascii="Verdana" w:hAnsi="Verdana" w:cs="Arial"/>
              </w:rPr>
              <w:t>s</w:t>
            </w:r>
            <w:r w:rsidRPr="00312719">
              <w:rPr>
                <w:rFonts w:ascii="Verdana" w:hAnsi="Verdana" w:cs="Arial"/>
              </w:rPr>
              <w:t xml:space="preserve"> 5</w:t>
            </w:r>
            <w:r>
              <w:rPr>
                <w:rFonts w:ascii="Verdana" w:hAnsi="Verdana" w:cs="Arial"/>
              </w:rPr>
              <w:t xml:space="preserve"> y 6</w:t>
            </w:r>
            <w:r w:rsidRPr="00312719">
              <w:rPr>
                <w:rFonts w:ascii="Verdana" w:hAnsi="Verdana" w:cs="Arial"/>
              </w:rPr>
              <w:t>.</w:t>
            </w:r>
          </w:p>
          <w:p w14:paraId="654E3310" w14:textId="77777777" w:rsidR="00F8377E" w:rsidRPr="00972375"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312719">
              <w:rPr>
                <w:rFonts w:ascii="Verdana" w:hAnsi="Verdana" w:cs="Arial"/>
              </w:rPr>
              <w:t>Decreto 1082 de 2015,</w:t>
            </w:r>
            <w:r>
              <w:rPr>
                <w:rFonts w:ascii="Verdana" w:hAnsi="Verdana" w:cs="Arial"/>
              </w:rPr>
              <w:t xml:space="preserve"> artículos</w:t>
            </w:r>
            <w:r w:rsidRPr="00312719">
              <w:rPr>
                <w:rFonts w:ascii="Verdana" w:hAnsi="Verdana" w:cs="Arial"/>
              </w:rPr>
              <w:t xml:space="preserve"> </w:t>
            </w:r>
            <w:r w:rsidRPr="00312719">
              <w:rPr>
                <w:rFonts w:ascii="Verdana" w:eastAsia="Calibri" w:hAnsi="Verdana" w:cs="Arial"/>
                <w:bCs/>
                <w:color w:val="000000"/>
                <w:szCs w:val="24"/>
                <w:lang w:eastAsia="es-ES_tradnl" w:bidi="es-ES"/>
              </w:rPr>
              <w:t>2.2.1.1.2.2.2</w:t>
            </w:r>
            <w:r>
              <w:rPr>
                <w:rFonts w:ascii="Verdana" w:eastAsia="Calibri" w:hAnsi="Verdana" w:cs="Arial"/>
                <w:bCs/>
                <w:color w:val="000000"/>
                <w:szCs w:val="24"/>
                <w:lang w:eastAsia="es-ES_tradnl" w:bidi="es-ES"/>
              </w:rPr>
              <w:t xml:space="preserve">, </w:t>
            </w:r>
            <w:r w:rsidRPr="00146338">
              <w:rPr>
                <w:rFonts w:ascii="Verdana" w:eastAsia="Calibri" w:hAnsi="Verdana" w:cs="Arial"/>
                <w:bCs/>
                <w:color w:val="000000"/>
                <w:szCs w:val="24"/>
                <w:lang w:eastAsia="es-ES_tradnl" w:bidi="es-ES"/>
              </w:rPr>
              <w:t>2.2.1.1.1.6.2</w:t>
            </w:r>
            <w:r>
              <w:rPr>
                <w:rFonts w:ascii="Verdana" w:eastAsia="Calibri" w:hAnsi="Verdana" w:cs="Arial"/>
                <w:bCs/>
                <w:color w:val="000000"/>
                <w:szCs w:val="24"/>
                <w:lang w:eastAsia="es-ES_tradnl" w:bidi="es-ES"/>
              </w:rPr>
              <w:t>.</w:t>
            </w:r>
            <w:r>
              <w:t xml:space="preserve"> </w:t>
            </w:r>
            <w:r w:rsidRPr="00D911D2">
              <w:rPr>
                <w:rFonts w:ascii="Verdana" w:eastAsia="Calibri" w:hAnsi="Verdana" w:cs="Arial"/>
                <w:bCs/>
                <w:color w:val="000000"/>
                <w:szCs w:val="24"/>
                <w:lang w:eastAsia="es-ES_tradnl" w:bidi="es-ES"/>
              </w:rPr>
              <w:t>2.2.1.1.2.2.4</w:t>
            </w:r>
            <w:r>
              <w:rPr>
                <w:rFonts w:ascii="Verdana" w:eastAsia="Calibri" w:hAnsi="Verdana" w:cs="Arial"/>
                <w:bCs/>
                <w:color w:val="000000"/>
                <w:szCs w:val="24"/>
                <w:lang w:eastAsia="es-ES_tradnl" w:bidi="es-ES"/>
              </w:rPr>
              <w:t xml:space="preserve"> y</w:t>
            </w:r>
            <w:r w:rsidRPr="00D911D2">
              <w:rPr>
                <w:rFonts w:ascii="Verdana" w:eastAsia="Calibri" w:hAnsi="Verdana" w:cs="Arial"/>
                <w:bCs/>
                <w:color w:val="000000"/>
                <w:szCs w:val="24"/>
                <w:lang w:eastAsia="es-ES_tradnl" w:bidi="es-ES"/>
              </w:rPr>
              <w:t xml:space="preserve"> 2.2.1.2.1.3.12</w:t>
            </w:r>
          </w:p>
          <w:p w14:paraId="0409CD79" w14:textId="77777777" w:rsidR="00F8377E" w:rsidRPr="00620D0E"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620D0E">
              <w:rPr>
                <w:rFonts w:ascii="Verdana" w:hAnsi="Verdana" w:cs="Arial"/>
                <w:lang w:val="pt-BR"/>
              </w:rPr>
              <w:t xml:space="preserve">Corte Constitucional. Sentencia C-569 de 2004. M.P. Rodrigo </w:t>
            </w:r>
            <w:proofErr w:type="spellStart"/>
            <w:r w:rsidRPr="00620D0E">
              <w:rPr>
                <w:rFonts w:ascii="Verdana" w:hAnsi="Verdana" w:cs="Arial"/>
                <w:lang w:val="pt-BR"/>
              </w:rPr>
              <w:t>Uprimny</w:t>
            </w:r>
            <w:proofErr w:type="spellEnd"/>
            <w:r w:rsidRPr="00620D0E">
              <w:rPr>
                <w:rFonts w:ascii="Verdana" w:hAnsi="Verdana" w:cs="Arial"/>
                <w:lang w:val="pt-BR"/>
              </w:rPr>
              <w:t xml:space="preserve"> Yepes.</w:t>
            </w:r>
          </w:p>
          <w:p w14:paraId="071C5A93" w14:textId="77777777" w:rsidR="00F8377E"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972375">
              <w:rPr>
                <w:rFonts w:ascii="Verdana" w:hAnsi="Verdana" w:cs="Arial"/>
              </w:rPr>
              <w:lastRenderedPageBreak/>
              <w:t>Consejo de Estado. Sección Tercera. Providencias del 11 de diciembre de 2002, dictada dentro del expediente AG-1683, y del 18 de octubre de 2001, proferida dentro del plenario AG-021.</w:t>
            </w:r>
          </w:p>
          <w:p w14:paraId="65CB750B" w14:textId="77777777" w:rsidR="00F8377E" w:rsidRPr="005D7EFA"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972375">
              <w:rPr>
                <w:rFonts w:ascii="Verdana" w:hAnsi="Verdana" w:cs="Arial"/>
              </w:rPr>
              <w:t>Consejo de Estado</w:t>
            </w:r>
            <w:r w:rsidRPr="00182664">
              <w:rPr>
                <w:rFonts w:ascii="Verdana" w:hAnsi="Verdana" w:cs="Arial"/>
              </w:rPr>
              <w:t>. Sección Tercera. Subsección C. Sentencia del 12 de noviembre de 2014. Exp. 27.986. C.P. Enrique Gil Botero.</w:t>
            </w:r>
          </w:p>
          <w:p w14:paraId="49561750" w14:textId="77777777" w:rsidR="00F8377E" w:rsidRPr="00434880"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 xml:space="preserve">Colombia Compra Eficiente, </w:t>
            </w:r>
            <w:r w:rsidRPr="0099737B">
              <w:rPr>
                <w:rFonts w:ascii="Verdana" w:hAnsi="Verdana" w:cs="Arial"/>
              </w:rPr>
              <w:t>Manual para determinar y verificar los requisitos habilitantes en los Procesos de Contratación</w:t>
            </w:r>
            <w:r>
              <w:rPr>
                <w:rFonts w:ascii="Verdana" w:hAnsi="Verdana" w:cs="Arial"/>
              </w:rPr>
              <w:t xml:space="preserve">. Disponible en: </w:t>
            </w:r>
            <w:hyperlink r:id="rId11" w:history="1">
              <w:r w:rsidRPr="00F32A09">
                <w:rPr>
                  <w:rStyle w:val="Hipervnculo"/>
                  <w:rFonts w:ascii="Verdana" w:hAnsi="Verdana" w:cs="Arial"/>
                </w:rPr>
                <w:t>https://www.colombiacompra.gov.co/sites/cce_public/files/cce_documents/cce-eicp-ma-04._manual_requisitos_habilitantes_v3_29-09-2023.pdf</w:t>
              </w:r>
            </w:hyperlink>
            <w:r>
              <w:rPr>
                <w:rFonts w:ascii="Verdana" w:hAnsi="Verdana" w:cs="Arial"/>
              </w:rPr>
              <w:t xml:space="preserve"> </w:t>
            </w:r>
          </w:p>
          <w:p w14:paraId="06C93C9F" w14:textId="77777777" w:rsidR="00F8377E"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312719">
              <w:rPr>
                <w:rFonts w:ascii="Verdana" w:hAnsi="Verdana" w:cs="Arial"/>
              </w:rPr>
              <w:t>RODRÍGUEZ TAMAYO, Mauricio F. Evaluación y rechazo de ofertas en la Ley 80 de 1993.</w:t>
            </w:r>
            <w:r w:rsidRPr="00434880">
              <w:rPr>
                <w:rFonts w:ascii="Verdana" w:hAnsi="Verdana" w:cs="Arial"/>
              </w:rPr>
              <w:t xml:space="preserve"> Primera edición. Medellín: Librería Jurídica Sánchez, 2016.</w:t>
            </w:r>
          </w:p>
          <w:p w14:paraId="71274A18" w14:textId="77777777" w:rsidR="00F8377E"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434880">
              <w:rPr>
                <w:rFonts w:ascii="Verdana" w:hAnsi="Verdana" w:cs="Arial"/>
              </w:rPr>
              <w:t>EXPÓSITO VELEZ, Juan C., El deber de selección objetiva, en: Del contrato estatal a los sistemas de compras públicas, por COVILLA MARTINEZ Juan C. y LOZANO VILLEGAS Germán (Eds.). Universidad Externado de Colombia, Bogotá, 2019.</w:t>
            </w:r>
          </w:p>
          <w:p w14:paraId="0B526C9D" w14:textId="77777777" w:rsidR="00F8377E" w:rsidRPr="00262582" w:rsidRDefault="00F8377E" w:rsidP="00F8377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40F73">
              <w:rPr>
                <w:rFonts w:ascii="Verdana" w:hAnsi="Verdana" w:cs="Arial"/>
              </w:rPr>
              <w:t>DÁVILA VINUEZA, Luis Guillermo. Régimen jurídico de la contratación estatal. Tercera edición, Bogotá: Legis, 2016.</w:t>
            </w:r>
          </w:p>
        </w:tc>
      </w:tr>
    </w:tbl>
    <w:p w14:paraId="29E24B0E" w14:textId="77777777" w:rsidR="00F8377E" w:rsidRPr="00262582" w:rsidRDefault="00F8377E" w:rsidP="00F8377E">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69662BA1" w14:textId="77777777" w:rsidR="00F8377E" w:rsidRPr="00262582" w:rsidRDefault="00F8377E" w:rsidP="00F8377E">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0FA4ADA3" w14:textId="77777777" w:rsidR="00F8377E" w:rsidRPr="00262582" w:rsidRDefault="00F8377E" w:rsidP="00F8377E">
      <w:pPr>
        <w:spacing w:after="0" w:line="276" w:lineRule="auto"/>
        <w:ind w:firstLine="709"/>
        <w:jc w:val="both"/>
        <w:rPr>
          <w:rFonts w:ascii="Verdana" w:eastAsia="Times New Roman" w:hAnsi="Verdana" w:cs="Arial"/>
          <w:szCs w:val="24"/>
          <w:lang w:val="es-ES" w:eastAsia="es-ES_tradnl"/>
        </w:rPr>
      </w:pPr>
    </w:p>
    <w:p w14:paraId="3BA5FA24" w14:textId="77777777" w:rsidR="00F8377E" w:rsidRDefault="00F8377E" w:rsidP="00F8377E">
      <w:pPr>
        <w:widowControl w:val="0"/>
        <w:autoSpaceDE w:val="0"/>
        <w:autoSpaceDN w:val="0"/>
        <w:spacing w:after="0" w:line="276" w:lineRule="auto"/>
        <w:jc w:val="both"/>
        <w:rPr>
          <w:rFonts w:ascii="Verdana" w:eastAsia="Calibri" w:hAnsi="Verdana" w:cs="Arial"/>
          <w:lang w:val="es-ES" w:eastAsia="es-ES_tradnl"/>
        </w:rPr>
      </w:pPr>
      <w:r w:rsidRPr="00F154ED">
        <w:rPr>
          <w:rFonts w:ascii="Verdana" w:eastAsia="Calibri" w:hAnsi="Verdana" w:cs="Arial"/>
          <w:lang w:val="es-ES_tradnl" w:eastAsia="es-ES_tradnl"/>
        </w:rPr>
        <w:t>Sobre los requisitos habilitantes y los requisitos ponderables, se pronunció esta Subdirección en los conceptos</w:t>
      </w:r>
      <w:r w:rsidRPr="00F47F19">
        <w:rPr>
          <w:rFonts w:ascii="Verdana" w:eastAsia="Calibri" w:hAnsi="Verdana" w:cs="Arial"/>
          <w:lang w:val="es-MX"/>
        </w:rPr>
        <w:t xml:space="preserve"> del 15 de noviembre, del 28 de noviembre, 16 de diciembre de 2019 –radicados No. 2201913000008520, 4201912000007329 y 2201913000009295–, así como en los conceptos C-120 del 3 de marzo de 2020, C-204 del 31 de marzo de 2020, C-099 del 6 de abril  de 2020, C-195 del 13 de abril de 2020, C-013 del 17 de abril de 2020, C-330 del 27 de mayo de 2020, C-396 de 16 de julio de 2020, C-387 de 3 de agosto de 2021, C-669 de 3 de diciembre de 2021, C-573 de 13 de septiembre de 2022, C- 831 de 28 de noviembre de 2022 y C-868 del 19 de diciembre de 2022,</w:t>
      </w:r>
      <w:r>
        <w:rPr>
          <w:rFonts w:ascii="Verdana" w:eastAsia="Calibri" w:hAnsi="Verdana" w:cs="Arial"/>
          <w:lang w:val="es-MX"/>
        </w:rPr>
        <w:t xml:space="preserve"> C-877 del 26 de diciembre de 2022, C-417 del 27 de septiembre de 2023 ,C-432 del 23 de octubre de 2023, C-174 del 23 de julio de 2024 y C-291 del 20 de agosto de 2024. Así mismo, en los conceptos No. </w:t>
      </w:r>
      <w:r w:rsidRPr="009C43D8">
        <w:rPr>
          <w:rFonts w:ascii="Verdana" w:eastAsia="Calibri" w:hAnsi="Verdana" w:cs="Arial"/>
          <w:lang w:val="es-MX"/>
        </w:rPr>
        <w:t xml:space="preserve">CU - 060 de 16 de enero de 2020 y C-791 del 24 de noviembre del 2022, , C−372 de 30 de junio de 2020, C−410 de 26 de junio de 2020, C−481 de 27 julio de 2020, C−420 de 28 de julio de 2020, C-730 de 14 de diciembre de 2020, C–779 de 18 de enero de 2020, C-077 de 14 de enero de 2021, C-010 de 16 de febrero de 2021, C-250 del 2 de junio de </w:t>
      </w:r>
      <w:r w:rsidRPr="009C43D8">
        <w:rPr>
          <w:rFonts w:ascii="Verdana" w:eastAsia="Calibri" w:hAnsi="Verdana" w:cs="Arial"/>
          <w:lang w:val="es-MX"/>
        </w:rPr>
        <w:lastRenderedPageBreak/>
        <w:t>2021 C-568 del 11 de octubre de 2021, C-728 del 25 de enero de 2022, C-140 del 28 de marzo de 2022, C-285 del 20 de mayo de 2022, C-416 del 30 de junio de 2022, C-431 del 7 de julio de 2022, C-470 del 25 de julio de 2022, C-505 de 8 de agosto de 2022, C-681 de 19 de octubre de 2022, C-181 del 07 de ju</w:t>
      </w:r>
      <w:r>
        <w:rPr>
          <w:rFonts w:ascii="Verdana" w:eastAsia="Calibri" w:hAnsi="Verdana" w:cs="Arial"/>
          <w:lang w:val="es-MX"/>
        </w:rPr>
        <w:t>n</w:t>
      </w:r>
      <w:r w:rsidRPr="009C43D8">
        <w:rPr>
          <w:rFonts w:ascii="Verdana" w:eastAsia="Calibri" w:hAnsi="Verdana" w:cs="Arial"/>
          <w:lang w:val="es-MX"/>
        </w:rPr>
        <w:t>io de 2023</w:t>
      </w:r>
      <w:r>
        <w:rPr>
          <w:rFonts w:ascii="Verdana" w:eastAsia="Calibri" w:hAnsi="Verdana" w:cs="Arial"/>
          <w:lang w:val="es-MX"/>
        </w:rPr>
        <w:t xml:space="preserve"> y C-197 del 7 de julio de 2023 se pronunció sobre la subsanación y aclaración de la oferta económica. </w:t>
      </w:r>
      <w:r w:rsidRPr="00335563">
        <w:rPr>
          <w:rFonts w:ascii="Verdana" w:eastAsia="Calibri" w:hAnsi="Verdana" w:cs="Arial"/>
          <w:lang w:val="es-ES"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2" w:history="1">
        <w:r w:rsidRPr="00F32A09">
          <w:rPr>
            <w:rStyle w:val="Hipervnculo"/>
            <w:rFonts w:ascii="Verdana" w:eastAsia="Calibri" w:hAnsi="Verdana" w:cs="Arial"/>
            <w:lang w:val="es-ES" w:eastAsia="es-ES_tradnl"/>
          </w:rPr>
          <w:t>https://relatoria.colombiacompra.gov.co/</w:t>
        </w:r>
      </w:hyperlink>
      <w:r>
        <w:rPr>
          <w:rFonts w:ascii="Verdana" w:eastAsia="Calibri" w:hAnsi="Verdana" w:cs="Arial"/>
          <w:lang w:val="es-ES" w:eastAsia="es-ES_tradnl"/>
        </w:rPr>
        <w:t xml:space="preserve"> </w:t>
      </w:r>
    </w:p>
    <w:p w14:paraId="697A0C32" w14:textId="77777777" w:rsidR="00F8377E" w:rsidRDefault="00F8377E" w:rsidP="00F8377E">
      <w:pPr>
        <w:widowControl w:val="0"/>
        <w:autoSpaceDE w:val="0"/>
        <w:autoSpaceDN w:val="0"/>
        <w:spacing w:after="0" w:line="276" w:lineRule="auto"/>
        <w:jc w:val="both"/>
        <w:rPr>
          <w:rFonts w:ascii="Verdana" w:eastAsia="Calibri" w:hAnsi="Verdana" w:cs="Arial"/>
          <w:lang w:val="es-ES" w:eastAsia="es-ES_tradnl"/>
        </w:rPr>
      </w:pPr>
    </w:p>
    <w:p w14:paraId="0A32C132" w14:textId="77777777" w:rsidR="00F8377E" w:rsidRDefault="00F8377E" w:rsidP="00F8377E">
      <w:pPr>
        <w:widowControl w:val="0"/>
        <w:autoSpaceDE w:val="0"/>
        <w:autoSpaceDN w:val="0"/>
        <w:spacing w:after="0" w:line="276" w:lineRule="auto"/>
        <w:jc w:val="both"/>
        <w:rPr>
          <w:rFonts w:ascii="Verdana" w:eastAsia="Calibri" w:hAnsi="Verdana" w:cs="Arial"/>
          <w:lang w:val="es-ES" w:eastAsia="es-ES_tradnl"/>
        </w:rPr>
      </w:pPr>
      <w:r w:rsidRPr="00335563">
        <w:rPr>
          <w:rFonts w:ascii="Verdana" w:eastAsia="Calibri" w:hAnsi="Verdana" w:cs="Arial"/>
          <w:lang w:val="es-ES" w:eastAsia="es-ES_tradnl"/>
        </w:rPr>
        <w:t xml:space="preserve">Te invitamos también a revisar la tercera edición del Boletín de Relatoría de 2024 en el cual podrás consultar en detalle el marco normativo de documentos tipo: </w:t>
      </w:r>
    </w:p>
    <w:p w14:paraId="582A4546" w14:textId="77777777" w:rsidR="00F8377E" w:rsidRDefault="00F8377E" w:rsidP="00F8377E">
      <w:pPr>
        <w:widowControl w:val="0"/>
        <w:autoSpaceDE w:val="0"/>
        <w:autoSpaceDN w:val="0"/>
        <w:spacing w:after="0" w:line="276" w:lineRule="auto"/>
        <w:jc w:val="both"/>
        <w:rPr>
          <w:rFonts w:ascii="Verdana" w:eastAsia="Calibri" w:hAnsi="Verdana" w:cs="Arial"/>
          <w:lang w:val="es-ES" w:eastAsia="es-ES_tradnl"/>
        </w:rPr>
      </w:pPr>
    </w:p>
    <w:p w14:paraId="68B06B6A" w14:textId="77777777" w:rsidR="00F8377E" w:rsidRDefault="00F8377E" w:rsidP="00F8377E">
      <w:pPr>
        <w:widowControl w:val="0"/>
        <w:autoSpaceDE w:val="0"/>
        <w:autoSpaceDN w:val="0"/>
        <w:spacing w:after="0" w:line="276" w:lineRule="auto"/>
        <w:jc w:val="both"/>
        <w:rPr>
          <w:rFonts w:ascii="Verdana" w:eastAsia="Calibri" w:hAnsi="Verdana" w:cs="Arial"/>
          <w:lang w:val="es-ES" w:eastAsia="es-ES_tradnl"/>
        </w:rPr>
      </w:pPr>
      <w:hyperlink r:id="rId13" w:history="1">
        <w:r w:rsidRPr="00F32A09">
          <w:rPr>
            <w:rStyle w:val="Hipervnculo"/>
            <w:rFonts w:ascii="Verdana" w:eastAsia="Calibri" w:hAnsi="Verdana" w:cs="Arial"/>
            <w:lang w:val="es-ES" w:eastAsia="es-ES_tradnl"/>
          </w:rPr>
          <w:t>https://www.colombiacompra.gov.co/sites/cce_public/files/files_2020/boletin_de_realtoria_iii.pdf</w:t>
        </w:r>
      </w:hyperlink>
    </w:p>
    <w:p w14:paraId="5315AB4E" w14:textId="77777777" w:rsidR="00F8377E" w:rsidRPr="00262582" w:rsidRDefault="00F8377E" w:rsidP="00F8377E">
      <w:pPr>
        <w:widowControl w:val="0"/>
        <w:autoSpaceDE w:val="0"/>
        <w:autoSpaceDN w:val="0"/>
        <w:spacing w:after="0" w:line="276" w:lineRule="auto"/>
        <w:jc w:val="both"/>
        <w:rPr>
          <w:rFonts w:ascii="Verdana" w:hAnsi="Verdana"/>
        </w:rPr>
      </w:pPr>
    </w:p>
    <w:p w14:paraId="0159BB76" w14:textId="77777777" w:rsidR="00F8377E" w:rsidRPr="00262582" w:rsidRDefault="00F8377E" w:rsidP="00F8377E">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6A795576" w14:textId="77777777" w:rsidR="00F8377E" w:rsidRPr="00262582" w:rsidRDefault="00F8377E" w:rsidP="00F8377E">
      <w:pPr>
        <w:spacing w:after="0" w:line="240" w:lineRule="auto"/>
        <w:jc w:val="both"/>
        <w:rPr>
          <w:rFonts w:ascii="Verdana" w:hAnsi="Verdana"/>
        </w:rPr>
      </w:pPr>
    </w:p>
    <w:p w14:paraId="4BD08787" w14:textId="77777777" w:rsidR="00F8377E" w:rsidRPr="00262582" w:rsidRDefault="00F8377E" w:rsidP="00F8377E">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19EC2E6C" w14:textId="77777777" w:rsidR="00F8377E" w:rsidRPr="00262582" w:rsidRDefault="00F8377E" w:rsidP="00F8377E">
      <w:pPr>
        <w:spacing w:after="0" w:line="240" w:lineRule="auto"/>
        <w:jc w:val="both"/>
        <w:rPr>
          <w:rFonts w:ascii="Verdana" w:hAnsi="Verdana"/>
        </w:rPr>
      </w:pPr>
      <w:r w:rsidRPr="00262582">
        <w:rPr>
          <w:rFonts w:ascii="Verdana" w:hAnsi="Verdana"/>
        </w:rPr>
        <w:t xml:space="preserve">Facebook: </w:t>
      </w:r>
      <w:r w:rsidRPr="00262582">
        <w:rPr>
          <w:rStyle w:val="Hipervnculo"/>
          <w:rFonts w:ascii="Verdana" w:hAnsi="Verdana"/>
          <w:color w:val="4472C4" w:themeColor="accent1"/>
        </w:rPr>
        <w:t>ColombiaCompraEficiente</w:t>
      </w:r>
    </w:p>
    <w:p w14:paraId="14BD99B0" w14:textId="77777777" w:rsidR="00F8377E" w:rsidRPr="00262582" w:rsidRDefault="00F8377E" w:rsidP="00F8377E">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48BDAE1C" w14:textId="77777777" w:rsidR="00F8377E" w:rsidRPr="00262582" w:rsidRDefault="00F8377E" w:rsidP="00F8377E">
      <w:pPr>
        <w:widowControl w:val="0"/>
        <w:autoSpaceDE w:val="0"/>
        <w:autoSpaceDN w:val="0"/>
        <w:spacing w:after="0" w:line="276" w:lineRule="auto"/>
        <w:jc w:val="both"/>
        <w:rPr>
          <w:rFonts w:ascii="Verdana" w:hAnsi="Verdana" w:cs="Arial"/>
        </w:rPr>
      </w:pPr>
    </w:p>
    <w:p w14:paraId="2FCD325A" w14:textId="77777777" w:rsidR="00F8377E" w:rsidRPr="00262582" w:rsidRDefault="00F8377E" w:rsidP="00F8377E">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y las expresiones aquí utilizadas con mayúscula inicial deben ser entendidas con el significado que les otorga el artículo 2.2.1.1.1.3.1. del Decreto 1082 de 2015.</w:t>
      </w:r>
    </w:p>
    <w:p w14:paraId="6E1179CA" w14:textId="77777777" w:rsidR="00F8377E" w:rsidRPr="00262582" w:rsidRDefault="00F8377E" w:rsidP="00F8377E">
      <w:pPr>
        <w:spacing w:after="0" w:line="276" w:lineRule="auto"/>
        <w:ind w:firstLine="709"/>
        <w:jc w:val="both"/>
        <w:rPr>
          <w:rFonts w:ascii="Verdana" w:eastAsia="Times New Roman" w:hAnsi="Verdana" w:cs="Arial"/>
          <w:szCs w:val="24"/>
          <w:lang w:val="es-ES_tradnl" w:eastAsia="es-ES_tradnl"/>
        </w:rPr>
      </w:pPr>
    </w:p>
    <w:p w14:paraId="2F7A2515" w14:textId="77777777" w:rsidR="00F8377E" w:rsidRPr="00262582" w:rsidRDefault="00F8377E" w:rsidP="00F8377E">
      <w:pPr>
        <w:spacing w:after="0" w:line="276" w:lineRule="auto"/>
        <w:jc w:val="both"/>
        <w:rPr>
          <w:rFonts w:ascii="Verdana" w:eastAsia="Times New Roman" w:hAnsi="Verdana" w:cs="Arial"/>
          <w:lang w:val="es-ES_tradnl" w:eastAsia="es-CO"/>
        </w:rPr>
      </w:pPr>
      <w:bookmarkStart w:id="2" w:name="_Hlk117695077"/>
      <w:r w:rsidRPr="00262582">
        <w:rPr>
          <w:rFonts w:ascii="Verdana" w:eastAsia="Times New Roman" w:hAnsi="Verdana" w:cs="Arial"/>
          <w:lang w:val="es-ES_tradnl" w:eastAsia="es-CO"/>
        </w:rPr>
        <w:t>Atentamente,</w:t>
      </w:r>
    </w:p>
    <w:bookmarkEnd w:id="2"/>
    <w:p w14:paraId="5D069407" w14:textId="1E4AE437" w:rsidR="00F8377E" w:rsidRPr="00262582" w:rsidRDefault="009428AE" w:rsidP="009428AE">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6D3CF775" wp14:editId="56EE3E3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4"/>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636"/>
      </w:tblGrid>
      <w:tr w:rsidR="00F8377E" w:rsidRPr="00262582" w14:paraId="209FD4F9" w14:textId="77777777" w:rsidTr="00A92350">
        <w:trPr>
          <w:trHeight w:val="286"/>
        </w:trPr>
        <w:tc>
          <w:tcPr>
            <w:tcW w:w="893" w:type="dxa"/>
            <w:vAlign w:val="center"/>
            <w:hideMark/>
          </w:tcPr>
          <w:p w14:paraId="6069A67C" w14:textId="77777777" w:rsidR="00F8377E" w:rsidRPr="00262582" w:rsidRDefault="00F8377E"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636" w:type="dxa"/>
            <w:tcBorders>
              <w:top w:val="nil"/>
              <w:left w:val="nil"/>
              <w:bottom w:val="dotted" w:sz="4" w:space="0" w:color="7F7F7F"/>
              <w:right w:val="nil"/>
            </w:tcBorders>
            <w:vAlign w:val="center"/>
            <w:hideMark/>
          </w:tcPr>
          <w:p w14:paraId="5024C9FF" w14:textId="77777777" w:rsidR="00F8377E" w:rsidRPr="00262582" w:rsidRDefault="00F8377E" w:rsidP="00A92350">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 xml:space="preserve">Sergio </w:t>
            </w:r>
            <w:r>
              <w:rPr>
                <w:rFonts w:ascii="Verdana" w:eastAsia="Times New Roman" w:hAnsi="Verdana" w:cs="Arial"/>
                <w:sz w:val="16"/>
                <w:szCs w:val="16"/>
                <w:lang w:val="es-ES_tradnl" w:eastAsia="es-ES"/>
              </w:rPr>
              <w:t>Enrique Caballero Lesmes</w:t>
            </w:r>
          </w:p>
          <w:p w14:paraId="2E662B82" w14:textId="77777777" w:rsidR="00F8377E" w:rsidRPr="00262582" w:rsidRDefault="00F8377E"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262582">
              <w:rPr>
                <w:rFonts w:ascii="Verdana" w:eastAsia="Times New Roman" w:hAnsi="Verdana" w:cs="Arial"/>
                <w:sz w:val="16"/>
                <w:szCs w:val="16"/>
                <w:lang w:eastAsia="es-ES"/>
              </w:rPr>
              <w:t>-1 de la Subdirección de Gestión Contractual</w:t>
            </w:r>
          </w:p>
        </w:tc>
      </w:tr>
      <w:tr w:rsidR="00F8377E" w:rsidRPr="00262582" w14:paraId="02004573" w14:textId="77777777" w:rsidTr="00A92350">
        <w:trPr>
          <w:trHeight w:val="299"/>
        </w:trPr>
        <w:tc>
          <w:tcPr>
            <w:tcW w:w="893" w:type="dxa"/>
            <w:vAlign w:val="center"/>
            <w:hideMark/>
          </w:tcPr>
          <w:p w14:paraId="2EBA1785" w14:textId="77777777" w:rsidR="00F8377E" w:rsidRPr="00262582" w:rsidRDefault="00F8377E"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636" w:type="dxa"/>
            <w:tcBorders>
              <w:top w:val="dotted" w:sz="4" w:space="0" w:color="7F7F7F"/>
              <w:left w:val="nil"/>
              <w:bottom w:val="dotted" w:sz="4" w:space="0" w:color="7F7F7F"/>
              <w:right w:val="nil"/>
            </w:tcBorders>
            <w:vAlign w:val="center"/>
            <w:hideMark/>
          </w:tcPr>
          <w:p w14:paraId="34251299" w14:textId="77777777" w:rsidR="00F8377E" w:rsidRPr="00262582" w:rsidRDefault="00F8377E" w:rsidP="00A92350">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Martha Alicia Romero Vargas</w:t>
            </w:r>
          </w:p>
          <w:p w14:paraId="0D4743CA" w14:textId="77777777" w:rsidR="00F8377E" w:rsidRPr="00262582" w:rsidRDefault="00F8377E" w:rsidP="00A92350">
            <w:pPr>
              <w:rPr>
                <w:rFonts w:ascii="Verdana" w:eastAsia="Times New Roman" w:hAnsi="Verdana" w:cs="Arial"/>
                <w:sz w:val="14"/>
                <w:szCs w:val="14"/>
                <w:lang w:eastAsia="es-ES"/>
              </w:rPr>
            </w:pPr>
            <w:r>
              <w:rPr>
                <w:rFonts w:ascii="Verdana" w:eastAsia="Times New Roman" w:hAnsi="Verdana" w:cs="Arial"/>
                <w:sz w:val="16"/>
                <w:szCs w:val="16"/>
                <w:lang w:eastAsia="es-ES"/>
              </w:rPr>
              <w:t>Gestor T1-15</w:t>
            </w:r>
            <w:r w:rsidRPr="00262582">
              <w:rPr>
                <w:rFonts w:ascii="Verdana" w:eastAsia="Times New Roman" w:hAnsi="Verdana" w:cs="Arial"/>
                <w:sz w:val="16"/>
                <w:szCs w:val="16"/>
                <w:lang w:eastAsia="es-ES"/>
              </w:rPr>
              <w:t xml:space="preserve"> de la Subdirección de Gestión Contractual</w:t>
            </w:r>
          </w:p>
        </w:tc>
      </w:tr>
      <w:tr w:rsidR="00F8377E" w:rsidRPr="00262582" w14:paraId="56548D50" w14:textId="77777777" w:rsidTr="00A92350">
        <w:trPr>
          <w:trHeight w:val="272"/>
        </w:trPr>
        <w:tc>
          <w:tcPr>
            <w:tcW w:w="893" w:type="dxa"/>
            <w:vAlign w:val="center"/>
            <w:hideMark/>
          </w:tcPr>
          <w:p w14:paraId="5F74EE92" w14:textId="77777777" w:rsidR="00F8377E" w:rsidRPr="00262582" w:rsidRDefault="00F8377E"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636" w:type="dxa"/>
            <w:tcBorders>
              <w:top w:val="dotted" w:sz="4" w:space="0" w:color="7F7F7F"/>
              <w:left w:val="nil"/>
              <w:bottom w:val="dotted" w:sz="4" w:space="0" w:color="7F7F7F"/>
              <w:right w:val="nil"/>
            </w:tcBorders>
            <w:vAlign w:val="center"/>
            <w:hideMark/>
          </w:tcPr>
          <w:p w14:paraId="23F12DCF" w14:textId="77777777" w:rsidR="00F8377E" w:rsidRPr="00262582" w:rsidRDefault="00F8377E" w:rsidP="00A92350">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767735B6" w14:textId="77777777" w:rsidR="00F8377E" w:rsidRPr="00262582" w:rsidRDefault="00F8377E"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04BE1C32" w14:textId="77777777" w:rsidR="00F8377E" w:rsidRPr="00262582" w:rsidRDefault="00F8377E" w:rsidP="00F8377E">
      <w:pPr>
        <w:spacing w:after="0" w:line="276" w:lineRule="auto"/>
        <w:jc w:val="both"/>
        <w:rPr>
          <w:rFonts w:ascii="Verdana" w:eastAsia="Times New Roman" w:hAnsi="Verdana" w:cs="Arial"/>
          <w:lang w:val="es-ES_tradnl"/>
        </w:rPr>
      </w:pPr>
    </w:p>
    <w:p w14:paraId="0C4C4D62" w14:textId="77777777" w:rsidR="00F8377E" w:rsidRPr="00262582" w:rsidRDefault="00F8377E" w:rsidP="00F8377E">
      <w:pPr>
        <w:spacing w:after="0" w:line="240" w:lineRule="auto"/>
        <w:rPr>
          <w:rFonts w:ascii="Verdana" w:eastAsia="Times New Roman" w:hAnsi="Verdana" w:cs="Arial"/>
          <w:sz w:val="24"/>
          <w:szCs w:val="24"/>
          <w:lang w:eastAsia="es-ES_tradnl"/>
        </w:rPr>
      </w:pPr>
    </w:p>
    <w:p w14:paraId="66416A50" w14:textId="77777777" w:rsidR="00F8377E" w:rsidRPr="00262582" w:rsidRDefault="00F8377E" w:rsidP="00F8377E">
      <w:pPr>
        <w:rPr>
          <w:rFonts w:ascii="Verdana" w:hAnsi="Verdana"/>
        </w:rPr>
      </w:pPr>
    </w:p>
    <w:p w14:paraId="7698645D" w14:textId="77777777" w:rsidR="00F8377E" w:rsidRPr="00620D0E" w:rsidRDefault="00F8377E" w:rsidP="00F8377E"/>
    <w:p w14:paraId="13AA6822" w14:textId="77777777" w:rsidR="00C24FFE" w:rsidRDefault="00C24FFE"/>
    <w:sectPr w:rsidR="00C24FFE" w:rsidSect="00F8377E">
      <w:headerReference w:type="default" r:id="rId15"/>
      <w:footerReference w:type="default" r:id="rId1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29E95" w14:textId="77777777" w:rsidR="00005B0C" w:rsidRDefault="00005B0C" w:rsidP="00F8377E">
      <w:pPr>
        <w:spacing w:after="0" w:line="240" w:lineRule="auto"/>
      </w:pPr>
      <w:r>
        <w:separator/>
      </w:r>
    </w:p>
  </w:endnote>
  <w:endnote w:type="continuationSeparator" w:id="0">
    <w:p w14:paraId="0E38B8D0" w14:textId="77777777" w:rsidR="00005B0C" w:rsidRDefault="00005B0C" w:rsidP="00F8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ED9D4" w14:textId="77777777" w:rsidR="00F8377E" w:rsidRDefault="00F8377E">
    <w:pPr>
      <w:pStyle w:val="Piedepgina"/>
    </w:pPr>
  </w:p>
  <w:p w14:paraId="5E179F16" w14:textId="77777777" w:rsidR="00F8377E" w:rsidRPr="00174B77" w:rsidRDefault="00F8377E"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4B3EFF9C" w14:textId="77777777" w:rsidR="00F8377E" w:rsidRDefault="00F8377E"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4AE0DDBC" w14:textId="77777777" w:rsidR="00F8377E" w:rsidRPr="00E41027" w:rsidRDefault="00F8377E" w:rsidP="00D520D8">
    <w:pPr>
      <w:spacing w:after="0"/>
      <w:jc w:val="both"/>
      <w:rPr>
        <w:rFonts w:ascii="Verdana" w:hAnsi="Verdana"/>
        <w:sz w:val="18"/>
        <w:szCs w:val="18"/>
      </w:rPr>
    </w:pPr>
    <w:r w:rsidRPr="00E41027">
      <w:rPr>
        <w:rFonts w:ascii="Verdana" w:hAnsi="Verdana"/>
        <w:sz w:val="18"/>
        <w:szCs w:val="18"/>
      </w:rPr>
      <w:t>Mesa de servicio: (+57) 601 7456788</w:t>
    </w:r>
  </w:p>
  <w:p w14:paraId="2FA75BE0" w14:textId="77777777" w:rsidR="00F8377E" w:rsidRDefault="00F8377E"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E7ECF" w14:textId="77777777" w:rsidR="00005B0C" w:rsidRDefault="00005B0C" w:rsidP="00F8377E">
      <w:pPr>
        <w:spacing w:after="0" w:line="240" w:lineRule="auto"/>
      </w:pPr>
      <w:r>
        <w:separator/>
      </w:r>
    </w:p>
  </w:footnote>
  <w:footnote w:type="continuationSeparator" w:id="0">
    <w:p w14:paraId="1CB36DB4" w14:textId="77777777" w:rsidR="00005B0C" w:rsidRDefault="00005B0C" w:rsidP="00F8377E">
      <w:pPr>
        <w:spacing w:after="0" w:line="240" w:lineRule="auto"/>
      </w:pPr>
      <w:r>
        <w:continuationSeparator/>
      </w:r>
    </w:p>
  </w:footnote>
  <w:footnote w:id="1">
    <w:p w14:paraId="3F9F3F02" w14:textId="77777777" w:rsidR="00F8377E" w:rsidRPr="00BC0673" w:rsidRDefault="00F8377E" w:rsidP="00F8377E">
      <w:pPr>
        <w:pStyle w:val="Textonotapie"/>
        <w:ind w:firstLine="708"/>
        <w:contextualSpacing/>
        <w:jc w:val="both"/>
        <w:rPr>
          <w:rFonts w:ascii="Verdana" w:hAnsi="Verdana" w:cs="Arial"/>
          <w:sz w:val="12"/>
          <w:szCs w:val="12"/>
          <w:lang w:val="es-CO"/>
        </w:rPr>
      </w:pPr>
      <w:r w:rsidRPr="00BC0673">
        <w:rPr>
          <w:rStyle w:val="Refdenotaalpie"/>
          <w:rFonts w:ascii="Verdana" w:hAnsi="Verdana" w:cs="Arial"/>
          <w:sz w:val="12"/>
          <w:szCs w:val="12"/>
        </w:rPr>
        <w:footnoteRef/>
      </w:r>
      <w:r w:rsidRPr="00BC0673">
        <w:rPr>
          <w:rFonts w:ascii="Verdana" w:hAnsi="Verdana" w:cs="Arial"/>
          <w:sz w:val="12"/>
          <w:szCs w:val="12"/>
        </w:rPr>
        <w:t xml:space="preserve"> </w:t>
      </w:r>
      <w:r w:rsidRPr="00BC0673">
        <w:rPr>
          <w:rFonts w:ascii="Verdana" w:hAnsi="Verdana" w:cs="Arial"/>
          <w:sz w:val="12"/>
          <w:szCs w:val="12"/>
          <w:lang w:val="es-CO"/>
        </w:rPr>
        <w:t>DÁVILA VINUEZA, Luis Guillermo. Régimen jurídico de la contratación estatal. Tercera edición, Bogotá: Legis, 2016. p. 355.</w:t>
      </w:r>
    </w:p>
    <w:p w14:paraId="5B40F5A2" w14:textId="77777777" w:rsidR="00F8377E" w:rsidRPr="00BC0673" w:rsidRDefault="00F8377E" w:rsidP="00F8377E">
      <w:pPr>
        <w:pStyle w:val="Textonotapie"/>
        <w:ind w:firstLine="708"/>
        <w:contextualSpacing/>
        <w:jc w:val="both"/>
        <w:rPr>
          <w:rFonts w:ascii="Verdana" w:hAnsi="Verdana" w:cs="Arial"/>
          <w:sz w:val="12"/>
          <w:szCs w:val="12"/>
          <w:lang w:val="es-CO"/>
        </w:rPr>
      </w:pPr>
    </w:p>
  </w:footnote>
  <w:footnote w:id="2">
    <w:p w14:paraId="661C33BF" w14:textId="77777777" w:rsidR="00F8377E" w:rsidRPr="00BC0673" w:rsidRDefault="00F8377E" w:rsidP="00F8377E">
      <w:pPr>
        <w:spacing w:after="0" w:line="240" w:lineRule="auto"/>
        <w:ind w:firstLine="708"/>
        <w:contextualSpacing/>
        <w:jc w:val="both"/>
        <w:rPr>
          <w:rFonts w:ascii="Verdana" w:hAnsi="Verdana" w:cs="Arial"/>
          <w:sz w:val="12"/>
          <w:szCs w:val="12"/>
          <w:lang w:eastAsia="es-CO"/>
        </w:rPr>
      </w:pPr>
      <w:r w:rsidRPr="00BC0673">
        <w:rPr>
          <w:rStyle w:val="Refdenotaalpie"/>
          <w:rFonts w:ascii="Verdana" w:hAnsi="Verdana" w:cs="Arial"/>
          <w:sz w:val="12"/>
          <w:szCs w:val="12"/>
        </w:rPr>
        <w:footnoteRef/>
      </w:r>
      <w:r w:rsidRPr="00BC0673">
        <w:rPr>
          <w:rFonts w:ascii="Verdana" w:hAnsi="Verdana" w:cs="Arial"/>
          <w:sz w:val="12"/>
          <w:szCs w:val="12"/>
        </w:rPr>
        <w:t xml:space="preserve"> Decreto 1082 de 2015 </w:t>
      </w:r>
      <w:r w:rsidRPr="00BC0673">
        <w:rPr>
          <w:rFonts w:ascii="Verdana" w:eastAsia="Calibri" w:hAnsi="Verdana" w:cs="Arial"/>
          <w:sz w:val="12"/>
          <w:szCs w:val="12"/>
        </w:rPr>
        <w:t>“</w:t>
      </w:r>
      <w:r w:rsidRPr="00BC0673">
        <w:rPr>
          <w:rFonts w:ascii="Verdana" w:hAnsi="Verdana" w:cs="Arial"/>
          <w:sz w:val="12"/>
          <w:szCs w:val="12"/>
          <w:lang w:eastAsia="es-CO"/>
        </w:rPr>
        <w:t>Artículo 2.2.1.1.2.2.2. Ofrecimiento más favorable. La Entidad Estatal debe determinar la oferta más favorable teniendo en cuenta las normas aplicables a cada modalidad de selección del contratista. </w:t>
      </w:r>
    </w:p>
    <w:p w14:paraId="62FA15CE" w14:textId="77777777" w:rsidR="00F8377E" w:rsidRPr="00BC0673" w:rsidRDefault="00F8377E" w:rsidP="00F8377E">
      <w:pPr>
        <w:spacing w:after="0" w:line="240" w:lineRule="auto"/>
        <w:contextualSpacing/>
        <w:jc w:val="both"/>
        <w:rPr>
          <w:rFonts w:ascii="Verdana" w:hAnsi="Verdana" w:cs="Arial"/>
          <w:sz w:val="12"/>
          <w:szCs w:val="12"/>
          <w:lang w:eastAsia="es-CO"/>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En la licitación y la selección abreviada de menor cuantía, la Entidad Estatal debe determinar la oferta más favorable teniendo en cuenta: (a) la ponderación de los elementos de calidad y precio soportados en puntajes o fórmulas; o (b) la ponderación de los elementos de calidad y precio que representen la mejor relación de costo-beneficio. Si la Entidad Estatal decide determinar la oferta de acuerdo con el literal (b) anterior debe señalar en los pliegos de condiciones: </w:t>
      </w:r>
    </w:p>
    <w:p w14:paraId="2F235D7F" w14:textId="77777777" w:rsidR="00F8377E" w:rsidRPr="00BC0673" w:rsidRDefault="00F8377E" w:rsidP="00F8377E">
      <w:pPr>
        <w:spacing w:after="0" w:line="240" w:lineRule="auto"/>
        <w:contextualSpacing/>
        <w:jc w:val="both"/>
        <w:rPr>
          <w:rFonts w:ascii="Verdana" w:hAnsi="Verdana" w:cs="Arial"/>
          <w:sz w:val="12"/>
          <w:szCs w:val="12"/>
          <w:lang w:eastAsia="es-CO"/>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1. Las condiciones técnicas y económicas mínimas de la oferta. </w:t>
      </w:r>
    </w:p>
    <w:p w14:paraId="7AC6ACEC" w14:textId="77777777" w:rsidR="00F8377E" w:rsidRPr="00BC0673" w:rsidRDefault="00F8377E" w:rsidP="00F8377E">
      <w:pPr>
        <w:spacing w:after="0" w:line="240" w:lineRule="auto"/>
        <w:contextualSpacing/>
        <w:jc w:val="both"/>
        <w:rPr>
          <w:rFonts w:ascii="Verdana" w:hAnsi="Verdana" w:cs="Arial"/>
          <w:sz w:val="12"/>
          <w:szCs w:val="12"/>
          <w:lang w:eastAsia="es-CO"/>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2. Las condiciones técnicas adicionales que representan ventajas de calidad o de funcionamiento, tales como el uso de tecnología o materiales que generen mayor eficiencia, rendimiento o duración del bien, obra o servicio. </w:t>
      </w:r>
    </w:p>
    <w:p w14:paraId="32E4C721" w14:textId="77777777" w:rsidR="00F8377E" w:rsidRPr="00BC0673" w:rsidRDefault="00F8377E" w:rsidP="00F8377E">
      <w:pPr>
        <w:spacing w:after="0" w:line="240" w:lineRule="auto"/>
        <w:contextualSpacing/>
        <w:jc w:val="both"/>
        <w:rPr>
          <w:rFonts w:ascii="Verdana" w:hAnsi="Verdana" w:cs="Arial"/>
          <w:sz w:val="12"/>
          <w:szCs w:val="12"/>
          <w:lang w:eastAsia="es-CO"/>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3. Las condiciones económicas adicionales que representen ventajas en términos de economía, eficiencia y eficacia, que puedan ser valoradas en dinero, como por ejemplo la forma de pago, descuentos por adjudicación de varios lotes, descuentos por variaciones en programas de entregas, mayor garantía del bien o servicio respecto de la mínima requerida, impacto económico sobre las condiciones existentes de la Entidad Estatal relacionadas con el objeto a contratar, mayor asunción de los Riesgos, servicios o bienes adicionales y que representen un mayor grado de satisfacción para la entidad, entre otras. </w:t>
      </w:r>
    </w:p>
    <w:p w14:paraId="0DB81E53" w14:textId="77777777" w:rsidR="00F8377E" w:rsidRPr="00BC0673" w:rsidRDefault="00F8377E" w:rsidP="00F8377E">
      <w:pPr>
        <w:spacing w:after="0" w:line="240" w:lineRule="auto"/>
        <w:contextualSpacing/>
        <w:jc w:val="both"/>
        <w:rPr>
          <w:rFonts w:ascii="Verdana" w:hAnsi="Verdana" w:cs="Arial"/>
          <w:sz w:val="12"/>
          <w:szCs w:val="12"/>
          <w:lang w:eastAsia="es-CO"/>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4. El valor en dinero que la Entidad Estatal asigna a cada ofrecimiento técnico o económico adicional, para permitir la ponderación de las ofertas presentadas. </w:t>
      </w:r>
    </w:p>
    <w:p w14:paraId="6B7007C1" w14:textId="77777777" w:rsidR="00F8377E" w:rsidRPr="00BC0673" w:rsidRDefault="00F8377E" w:rsidP="00F8377E">
      <w:pPr>
        <w:spacing w:after="0" w:line="240" w:lineRule="auto"/>
        <w:contextualSpacing/>
        <w:jc w:val="both"/>
        <w:rPr>
          <w:rFonts w:ascii="Verdana" w:hAnsi="Verdana" w:cs="Arial"/>
          <w:sz w:val="12"/>
          <w:szCs w:val="12"/>
          <w:lang w:eastAsia="es-CO"/>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La Entidad Estatal debe calcular la relación costo-beneficio de cada oferta restando del precio total ofrecido los valores monetarios asignados a cada una de las condiciones técnicas y económicas adicionales ofrecidas. La mejor relación costo-beneficio para la Entidad Estatal es la de la oferta que una vez aplicada la metodología anterior tenga el resultado más bajo. </w:t>
      </w:r>
    </w:p>
    <w:p w14:paraId="43E65A65" w14:textId="77777777" w:rsidR="00F8377E" w:rsidRPr="00BC0673" w:rsidRDefault="00F8377E" w:rsidP="00F8377E">
      <w:pPr>
        <w:spacing w:after="0" w:line="240" w:lineRule="auto"/>
        <w:contextualSpacing/>
        <w:jc w:val="both"/>
        <w:rPr>
          <w:rFonts w:ascii="Verdana" w:hAnsi="Verdana" w:cs="Arial"/>
          <w:sz w:val="12"/>
          <w:szCs w:val="12"/>
        </w:rPr>
      </w:pPr>
      <w:r w:rsidRPr="00BC0673">
        <w:rPr>
          <w:rFonts w:ascii="Verdana" w:hAnsi="Verdana" w:cs="Arial"/>
          <w:sz w:val="12"/>
          <w:szCs w:val="12"/>
          <w:lang w:eastAsia="es-CO"/>
        </w:rPr>
        <w:t>  </w:t>
      </w:r>
      <w:r w:rsidRPr="00BC0673">
        <w:rPr>
          <w:rFonts w:ascii="Verdana" w:hAnsi="Verdana" w:cs="Arial"/>
          <w:sz w:val="12"/>
          <w:szCs w:val="12"/>
          <w:lang w:eastAsia="es-CO"/>
        </w:rPr>
        <w:tab/>
      </w:r>
      <w:r w:rsidRPr="00BC0673">
        <w:rPr>
          <w:rFonts w:ascii="Verdana" w:eastAsia="Calibri" w:hAnsi="Verdana" w:cs="Arial"/>
          <w:sz w:val="12"/>
          <w:szCs w:val="12"/>
        </w:rPr>
        <w:t>“</w:t>
      </w:r>
      <w:r w:rsidRPr="00BC0673">
        <w:rPr>
          <w:rFonts w:ascii="Verdana" w:hAnsi="Verdana" w:cs="Arial"/>
          <w:sz w:val="12"/>
          <w:szCs w:val="12"/>
          <w:lang w:eastAsia="es-CO"/>
        </w:rPr>
        <w:t>La Entidad Estatal debe adjudicar al oferente que presentó la oferta con la mejor relación costo-beneficio y suscribir el contrato por el precio total ofrecido</w:t>
      </w:r>
      <w:r w:rsidRPr="00BC0673">
        <w:rPr>
          <w:rFonts w:ascii="Verdana" w:eastAsia="Calibri" w:hAnsi="Verdana" w:cs="Arial"/>
          <w:sz w:val="12"/>
          <w:szCs w:val="12"/>
        </w:rPr>
        <w:t>”</w:t>
      </w:r>
      <w:r w:rsidRPr="00BC0673">
        <w:rPr>
          <w:rFonts w:ascii="Verdana" w:hAnsi="Verdana" w:cs="Arial"/>
          <w:sz w:val="12"/>
          <w:szCs w:val="12"/>
          <w:lang w:eastAsia="es-CO"/>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6A217" w14:textId="77777777" w:rsidR="00F8377E" w:rsidRDefault="00F8377E">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A7DD7C5" wp14:editId="08CB61C2">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7D7203FF" wp14:editId="1A105A81">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20253E8C" w14:textId="77777777" w:rsidR="00F8377E" w:rsidRDefault="00F8377E">
    <w:pPr>
      <w:pStyle w:val="Encabezado"/>
    </w:pPr>
  </w:p>
  <w:p w14:paraId="4FDD53CE" w14:textId="77777777" w:rsidR="00F8377E" w:rsidRDefault="00F8377E" w:rsidP="004A305D">
    <w:pPr>
      <w:spacing w:after="0"/>
      <w:rPr>
        <w:rFonts w:ascii="Verdana" w:hAnsi="Verdana"/>
        <w:b/>
        <w:bCs/>
      </w:rPr>
    </w:pPr>
  </w:p>
  <w:p w14:paraId="78E4E298" w14:textId="77777777" w:rsidR="00F8377E" w:rsidRPr="004A305D" w:rsidRDefault="00F8377E" w:rsidP="00B01B1A">
    <w:pPr>
      <w:spacing w:after="0" w:line="120" w:lineRule="auto"/>
      <w:rPr>
        <w:rFonts w:ascii="Century Gothic" w:eastAsia="Geo" w:hAnsi="Century Gothic" w:cs="Geo"/>
        <w:sz w:val="16"/>
        <w:szCs w:val="16"/>
        <w:lang w:eastAsia="es-CO"/>
      </w:rPr>
    </w:pPr>
  </w:p>
  <w:p w14:paraId="7FD5DC79" w14:textId="77777777" w:rsidR="00F8377E" w:rsidRDefault="00F8377E"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74E3B"/>
    <w:multiLevelType w:val="hybridMultilevel"/>
    <w:tmpl w:val="925C7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1C03451"/>
    <w:multiLevelType w:val="hybridMultilevel"/>
    <w:tmpl w:val="8BF6C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1"/>
  </w:num>
  <w:num w:numId="2" w16cid:durableId="1127511889">
    <w:abstractNumId w:val="0"/>
  </w:num>
  <w:num w:numId="3" w16cid:durableId="2045211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77E"/>
    <w:rsid w:val="00005B0C"/>
    <w:rsid w:val="00322A15"/>
    <w:rsid w:val="00474DF4"/>
    <w:rsid w:val="004F471F"/>
    <w:rsid w:val="009428AE"/>
    <w:rsid w:val="009F36E2"/>
    <w:rsid w:val="00B502F6"/>
    <w:rsid w:val="00BF794B"/>
    <w:rsid w:val="00C24FFE"/>
    <w:rsid w:val="00EC7744"/>
    <w:rsid w:val="00F837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36F0E"/>
  <w15:chartTrackingRefBased/>
  <w15:docId w15:val="{C92DC477-3251-49CF-880A-FF0400B2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77E"/>
    <w:rPr>
      <w:kern w:val="0"/>
      <w14:ligatures w14:val="none"/>
    </w:rPr>
  </w:style>
  <w:style w:type="paragraph" w:styleId="Ttulo1">
    <w:name w:val="heading 1"/>
    <w:basedOn w:val="Normal"/>
    <w:next w:val="Normal"/>
    <w:link w:val="Ttulo1Car"/>
    <w:uiPriority w:val="9"/>
    <w:qFormat/>
    <w:rsid w:val="00F837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837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8377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8377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8377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837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37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37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37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37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837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8377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8377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8377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837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37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37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377E"/>
    <w:rPr>
      <w:rFonts w:eastAsiaTheme="majorEastAsia" w:cstheme="majorBidi"/>
      <w:color w:val="272727" w:themeColor="text1" w:themeTint="D8"/>
    </w:rPr>
  </w:style>
  <w:style w:type="paragraph" w:styleId="Ttulo">
    <w:name w:val="Title"/>
    <w:basedOn w:val="Normal"/>
    <w:next w:val="Normal"/>
    <w:link w:val="TtuloCar"/>
    <w:uiPriority w:val="10"/>
    <w:qFormat/>
    <w:rsid w:val="00F837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37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377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37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377E"/>
    <w:pPr>
      <w:spacing w:before="160"/>
      <w:jc w:val="center"/>
    </w:pPr>
    <w:rPr>
      <w:i/>
      <w:iCs/>
      <w:color w:val="404040" w:themeColor="text1" w:themeTint="BF"/>
    </w:rPr>
  </w:style>
  <w:style w:type="character" w:customStyle="1" w:styleId="CitaCar">
    <w:name w:val="Cita Car"/>
    <w:basedOn w:val="Fuentedeprrafopredeter"/>
    <w:link w:val="Cita"/>
    <w:uiPriority w:val="29"/>
    <w:rsid w:val="00F8377E"/>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F8377E"/>
    <w:pPr>
      <w:ind w:left="720"/>
      <w:contextualSpacing/>
    </w:pPr>
  </w:style>
  <w:style w:type="character" w:styleId="nfasisintenso">
    <w:name w:val="Intense Emphasis"/>
    <w:basedOn w:val="Fuentedeprrafopredeter"/>
    <w:uiPriority w:val="21"/>
    <w:qFormat/>
    <w:rsid w:val="00F8377E"/>
    <w:rPr>
      <w:i/>
      <w:iCs/>
      <w:color w:val="2F5496" w:themeColor="accent1" w:themeShade="BF"/>
    </w:rPr>
  </w:style>
  <w:style w:type="paragraph" w:styleId="Citadestacada">
    <w:name w:val="Intense Quote"/>
    <w:basedOn w:val="Normal"/>
    <w:next w:val="Normal"/>
    <w:link w:val="CitadestacadaCar"/>
    <w:uiPriority w:val="30"/>
    <w:qFormat/>
    <w:rsid w:val="00F837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8377E"/>
    <w:rPr>
      <w:i/>
      <w:iCs/>
      <w:color w:val="2F5496" w:themeColor="accent1" w:themeShade="BF"/>
    </w:rPr>
  </w:style>
  <w:style w:type="character" w:styleId="Referenciaintensa">
    <w:name w:val="Intense Reference"/>
    <w:basedOn w:val="Fuentedeprrafopredeter"/>
    <w:uiPriority w:val="32"/>
    <w:qFormat/>
    <w:rsid w:val="00F8377E"/>
    <w:rPr>
      <w:b/>
      <w:bCs/>
      <w:smallCaps/>
      <w:color w:val="2F5496" w:themeColor="accent1" w:themeShade="BF"/>
      <w:spacing w:val="5"/>
    </w:rPr>
  </w:style>
  <w:style w:type="paragraph" w:styleId="Encabezado">
    <w:name w:val="header"/>
    <w:basedOn w:val="Normal"/>
    <w:link w:val="EncabezadoCar"/>
    <w:uiPriority w:val="99"/>
    <w:unhideWhenUsed/>
    <w:rsid w:val="00F83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77E"/>
    <w:rPr>
      <w:kern w:val="0"/>
      <w14:ligatures w14:val="none"/>
    </w:rPr>
  </w:style>
  <w:style w:type="paragraph" w:styleId="Piedepgina">
    <w:name w:val="footer"/>
    <w:basedOn w:val="Normal"/>
    <w:link w:val="PiedepginaCar"/>
    <w:uiPriority w:val="99"/>
    <w:unhideWhenUsed/>
    <w:rsid w:val="00F83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77E"/>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F8377E"/>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F8377E"/>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F8377E"/>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nhideWhenUsed/>
    <w:qFormat/>
    <w:rsid w:val="00F8377E"/>
    <w:rPr>
      <w:vertAlign w:val="superscript"/>
    </w:rPr>
  </w:style>
  <w:style w:type="table" w:styleId="Tablaconcuadrcula">
    <w:name w:val="Table Grid"/>
    <w:basedOn w:val="Tablanormal"/>
    <w:uiPriority w:val="39"/>
    <w:qFormat/>
    <w:rsid w:val="00F837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8377E"/>
    <w:rPr>
      <w:color w:val="0000FF"/>
      <w:u w:val="single"/>
    </w:rPr>
  </w:style>
  <w:style w:type="table" w:customStyle="1" w:styleId="Tablaconcuadrcula1">
    <w:name w:val="Tabla con cuadrícula1"/>
    <w:basedOn w:val="Tablanormal"/>
    <w:next w:val="Tablaconcuadrcula"/>
    <w:uiPriority w:val="59"/>
    <w:rsid w:val="00F8377E"/>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rsid w:val="00F8377E"/>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F83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lombiacompra.gov.co/sites/cce_public/files/files_2020/boletin_de_realtoria_iii.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elatoria.colombiacompra.gov.c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lombiacompra.gov.co/sites/cce_public/files/cce_documents/cce-eicp-ma-04._manual_requisitos_habilitantes_v3_29-09-2023.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6E1914-4A12-4EC6-9D16-9FAE714E743D}">
  <ds:schemaRefs>
    <ds:schemaRef ds:uri="http://www.w3.org/XML/1998/namespace"/>
    <ds:schemaRef ds:uri="9d85dbaf-23eb-4e57-a637-93dcacc8b1a1"/>
    <ds:schemaRef ds:uri="http://purl.org/dc/elements/1.1/"/>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a6cb9e4b-f1d1-4245-83ec-6cad768d538a"/>
    <ds:schemaRef ds:uri="http://schemas.microsoft.com/office/2006/metadata/properties"/>
  </ds:schemaRefs>
</ds:datastoreItem>
</file>

<file path=customXml/itemProps2.xml><?xml version="1.0" encoding="utf-8"?>
<ds:datastoreItem xmlns:ds="http://schemas.openxmlformats.org/officeDocument/2006/customXml" ds:itemID="{AF785163-4DBC-4846-BE61-B386B09AF28A}">
  <ds:schemaRefs>
    <ds:schemaRef ds:uri="http://schemas.microsoft.com/sharepoint/v3/contenttype/forms"/>
  </ds:schemaRefs>
</ds:datastoreItem>
</file>

<file path=customXml/itemProps3.xml><?xml version="1.0" encoding="utf-8"?>
<ds:datastoreItem xmlns:ds="http://schemas.openxmlformats.org/officeDocument/2006/customXml" ds:itemID="{E9550BAC-999A-4232-8829-7CCD02FDE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4726</Words>
  <Characters>25997</Characters>
  <Application>Microsoft Office Word</Application>
  <DocSecurity>0</DocSecurity>
  <Lines>216</Lines>
  <Paragraphs>61</Paragraphs>
  <ScaleCrop>false</ScaleCrop>
  <Company/>
  <LinksUpToDate>false</LinksUpToDate>
  <CharactersWithSpaces>30662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2024-10-02T22:35:00Z</dcterms:created>
  <dcterms:modified xsi:type="dcterms:W3CDTF">2024-10-02T22:35:00Z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