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74D20" w14:textId="77777777" w:rsidR="003D455F" w:rsidRPr="003D455F" w:rsidRDefault="003D455F" w:rsidP="003D455F">
      <w:pPr>
        <w:spacing w:after="0" w:line="240" w:lineRule="auto"/>
        <w:jc w:val="both"/>
        <w:rPr>
          <w:rFonts w:ascii="Verdana" w:eastAsia="Calibri" w:hAnsi="Verdana" w:cs="Arial"/>
          <w:b/>
          <w:bCs/>
          <w:color w:val="000000" w:themeColor="text1"/>
          <w:lang w:val="es-ES_tradnl"/>
        </w:rPr>
      </w:pPr>
      <w:bookmarkStart w:id="0" w:name="_Hlk143780582"/>
      <w:r w:rsidRPr="003D455F">
        <w:rPr>
          <w:rFonts w:ascii="Verdana" w:eastAsia="Calibri" w:hAnsi="Verdana" w:cs="Arial"/>
          <w:b/>
          <w:bCs/>
          <w:color w:val="000000" w:themeColor="text1"/>
          <w:lang w:val="es-ES_tradnl"/>
        </w:rPr>
        <w:t xml:space="preserve">RÉGIMEN DE INHABILIDADES E INCOMPATIBILIDADES </w:t>
      </w:r>
      <w:r w:rsidRPr="003D455F">
        <w:rPr>
          <w:rFonts w:ascii="Verdana" w:eastAsia="Calibri" w:hAnsi="Verdana" w:cs="Arial"/>
          <w:b/>
          <w:color w:val="000000" w:themeColor="text1"/>
        </w:rPr>
        <w:t>–</w:t>
      </w:r>
      <w:r w:rsidRPr="003D455F">
        <w:rPr>
          <w:rFonts w:ascii="Verdana" w:eastAsia="Calibri" w:hAnsi="Verdana" w:cs="Arial"/>
          <w:b/>
          <w:bCs/>
          <w:color w:val="000000" w:themeColor="text1"/>
          <w:lang w:val="es-ES_tradnl"/>
        </w:rPr>
        <w:t xml:space="preserve"> Concepto </w:t>
      </w:r>
      <w:r w:rsidRPr="003D455F">
        <w:rPr>
          <w:rFonts w:ascii="Verdana" w:eastAsia="Calibri" w:hAnsi="Verdana" w:cs="Arial"/>
          <w:b/>
          <w:color w:val="000000" w:themeColor="text1"/>
        </w:rPr>
        <w:t>–</w:t>
      </w:r>
      <w:r w:rsidRPr="003D455F">
        <w:rPr>
          <w:rFonts w:ascii="Verdana" w:eastAsia="Calibri" w:hAnsi="Verdana" w:cs="Arial"/>
          <w:b/>
          <w:bCs/>
          <w:color w:val="000000" w:themeColor="text1"/>
          <w:lang w:val="es-ES_tradnl"/>
        </w:rPr>
        <w:t xml:space="preserve"> Principio de legalidad</w:t>
      </w:r>
    </w:p>
    <w:p w14:paraId="1726A177" w14:textId="77777777" w:rsidR="003D455F" w:rsidRPr="003D455F" w:rsidRDefault="003D455F" w:rsidP="003D455F">
      <w:pPr>
        <w:spacing w:after="0" w:line="240" w:lineRule="auto"/>
        <w:jc w:val="both"/>
        <w:rPr>
          <w:rFonts w:ascii="Verdana" w:eastAsia="Calibri" w:hAnsi="Verdana" w:cs="Arial"/>
          <w:b/>
          <w:bCs/>
          <w:color w:val="000000" w:themeColor="text1"/>
          <w:lang w:val="es-ES_tradnl"/>
        </w:rPr>
      </w:pPr>
    </w:p>
    <w:p w14:paraId="400D07BB" w14:textId="77777777" w:rsidR="003D455F" w:rsidRPr="003D455F" w:rsidRDefault="003D455F" w:rsidP="4FEAD1F3">
      <w:pPr>
        <w:spacing w:after="0" w:line="240" w:lineRule="auto"/>
        <w:jc w:val="both"/>
        <w:rPr>
          <w:rFonts w:ascii="Verdana" w:eastAsia="Calibri" w:hAnsi="Verdana" w:cs="Arial"/>
          <w:color w:val="000000" w:themeColor="text1"/>
          <w:lang w:val="es-ES"/>
        </w:rPr>
      </w:pPr>
      <w:r w:rsidRPr="4FEAD1F3">
        <w:rPr>
          <w:rFonts w:ascii="Verdana" w:eastAsia="Calibri" w:hAnsi="Verdana" w:cs="Arial"/>
          <w:color w:val="000000" w:themeColor="text1"/>
          <w:lang w:val="es-ES"/>
        </w:rPr>
        <w:t>El régimen de inhabilidades e incompatibilidades en la contratación pública responde al propósito de asegurar que la actividad de adquisición y provisión de bienes y servicios por parte de las entidades estatales se efectúe cumpliendo con los principios de la función administrativa y de la gestión fiscal, especialmente con probidad y transparencia. Por ello, como lo ha destacado la doctrina, las inhabilidades e incompatibilidades se han convertido en herramientas en la lucha contra la corrupción, adoptando paulatinamente un carácter sancionatorio o “neopunitivo”. Si bien no todas las causales de inhabilidad y de incompatibilidad son consecuencia de una medida de reproche ni de una sanción previa, es indiscutible que en los años más recientes los lamentables hechos de corrupción han generado como respuesta del legislador, un incremento de las restricciones a la capacidad contractual, dirigidas a prevenir este tipo de situaciones o a sancionar tales conductas.</w:t>
      </w:r>
    </w:p>
    <w:p w14:paraId="4EEE5EEF" w14:textId="77777777" w:rsidR="003D455F" w:rsidRPr="003D455F" w:rsidRDefault="003D455F" w:rsidP="003D455F">
      <w:pPr>
        <w:spacing w:after="0" w:line="240" w:lineRule="auto"/>
        <w:jc w:val="both"/>
        <w:rPr>
          <w:rFonts w:ascii="Verdana" w:eastAsia="Calibri" w:hAnsi="Verdana" w:cs="Arial"/>
          <w:color w:val="000000" w:themeColor="text1"/>
          <w:lang w:val="es-ES_tradnl"/>
        </w:rPr>
      </w:pPr>
    </w:p>
    <w:p w14:paraId="29BCD409" w14:textId="77777777" w:rsidR="003D455F" w:rsidRPr="003D455F" w:rsidRDefault="003D455F" w:rsidP="003D455F">
      <w:pPr>
        <w:spacing w:after="0" w:line="240" w:lineRule="auto"/>
        <w:jc w:val="both"/>
        <w:rPr>
          <w:rFonts w:ascii="Verdana" w:eastAsia="Calibri" w:hAnsi="Verdana" w:cs="Arial"/>
          <w:b/>
          <w:bCs/>
          <w:color w:val="000000" w:themeColor="text1"/>
          <w:lang w:val="es-ES_tradnl"/>
        </w:rPr>
      </w:pPr>
      <w:r w:rsidRPr="003D455F">
        <w:rPr>
          <w:rFonts w:ascii="Verdana" w:eastAsia="Calibri" w:hAnsi="Verdana" w:cs="Arial"/>
          <w:b/>
          <w:bCs/>
          <w:color w:val="000000" w:themeColor="text1"/>
          <w:lang w:val="es-ES_tradnl"/>
        </w:rPr>
        <w:t>INHABILIDADES E INCOMPATIBILIDADES ― Interpretación restrictiva</w:t>
      </w:r>
    </w:p>
    <w:p w14:paraId="4C1F359C" w14:textId="77777777" w:rsidR="003D455F" w:rsidRPr="003D455F" w:rsidRDefault="003D455F" w:rsidP="003D455F">
      <w:pPr>
        <w:spacing w:after="0" w:line="240" w:lineRule="auto"/>
        <w:jc w:val="both"/>
        <w:rPr>
          <w:rFonts w:ascii="Verdana" w:eastAsia="Calibri" w:hAnsi="Verdana" w:cs="Arial"/>
          <w:color w:val="000000" w:themeColor="text1"/>
          <w:lang w:val="es-ES_tradnl"/>
        </w:rPr>
      </w:pPr>
    </w:p>
    <w:p w14:paraId="6458816E" w14:textId="77777777" w:rsidR="003D455F" w:rsidRPr="003D455F" w:rsidRDefault="003D455F" w:rsidP="003D455F">
      <w:pPr>
        <w:spacing w:after="0" w:line="240" w:lineRule="auto"/>
        <w:jc w:val="both"/>
        <w:rPr>
          <w:rFonts w:ascii="Verdana" w:eastAsia="Calibri" w:hAnsi="Verdana" w:cs="Arial"/>
          <w:color w:val="000000" w:themeColor="text1"/>
          <w:lang w:val="es-ES_tradnl"/>
        </w:rPr>
      </w:pPr>
      <w:r w:rsidRPr="003D455F">
        <w:rPr>
          <w:rFonts w:ascii="Verdana" w:eastAsia="Calibri" w:hAnsi="Verdana" w:cs="Arial"/>
          <w:color w:val="000000" w:themeColor="text1"/>
          <w:lang w:val="es-ES_tradnl"/>
        </w:rPr>
        <w:t>Ahora bien, las inhabilidades e incompatibilidades –como ya se dijo– al ser restricciones o límites especiales a la capacidad para presentar ofertas y celebrar contratos estatales, solo pueden tipificarse en la ley –o sea, deben satisfacer el principio de legalidad– y su interpretación debe ser restrictiva. En efecto, si se admitiera una interpretación amplia, extensiva o finalista de las mismas, tales enunciados normativos podrían contemplar múltiples supuestos indeterminados, según el parecer o el sentido común de los operadores jurídicos, poniendo en riesgo principios como la igualdad, el debido proceso, la libre concurrencia y el ejercicio de la profesión u oficio.</w:t>
      </w:r>
    </w:p>
    <w:p w14:paraId="326A380C" w14:textId="77777777" w:rsidR="003D455F" w:rsidRPr="003D455F" w:rsidRDefault="003D455F" w:rsidP="003D455F">
      <w:pPr>
        <w:spacing w:after="0" w:line="240" w:lineRule="auto"/>
        <w:jc w:val="both"/>
        <w:rPr>
          <w:rFonts w:ascii="Verdana" w:eastAsia="Calibri" w:hAnsi="Verdana" w:cs="Arial"/>
          <w:color w:val="000000" w:themeColor="text1"/>
          <w:lang w:val="es-ES_tradnl"/>
        </w:rPr>
      </w:pPr>
      <w:r w:rsidRPr="003D455F">
        <w:rPr>
          <w:rFonts w:ascii="Verdana" w:eastAsia="Calibri" w:hAnsi="Verdana" w:cs="Arial"/>
          <w:color w:val="000000" w:themeColor="text1"/>
          <w:lang w:val="es-ES_tradnl"/>
        </w:rPr>
        <w:t>(…)</w:t>
      </w:r>
    </w:p>
    <w:p w14:paraId="2FF4EB18" w14:textId="77777777" w:rsidR="003D455F" w:rsidRPr="003D455F" w:rsidRDefault="003D455F" w:rsidP="4FEAD1F3">
      <w:pPr>
        <w:spacing w:after="0" w:line="240" w:lineRule="auto"/>
        <w:jc w:val="both"/>
        <w:rPr>
          <w:rFonts w:ascii="Verdana" w:eastAsia="Calibri" w:hAnsi="Verdana" w:cs="Arial"/>
          <w:color w:val="000000" w:themeColor="text1"/>
          <w:lang w:val="es-ES"/>
        </w:rPr>
      </w:pPr>
      <w:r w:rsidRPr="4FEAD1F3">
        <w:rPr>
          <w:rFonts w:ascii="Verdana" w:eastAsia="Calibri" w:hAnsi="Verdana" w:cs="Arial"/>
          <w:color w:val="000000" w:themeColor="text1"/>
          <w:lang w:val="es-ES"/>
        </w:rPr>
        <w:t xml:space="preserve">Como se aprecia, el principio </w:t>
      </w:r>
      <w:r w:rsidRPr="4FEAD1F3">
        <w:rPr>
          <w:rFonts w:ascii="Verdana" w:eastAsia="Calibri" w:hAnsi="Verdana" w:cs="Arial"/>
          <w:i/>
          <w:iCs/>
          <w:color w:val="000000" w:themeColor="text1"/>
          <w:lang w:val="es-ES"/>
        </w:rPr>
        <w:t>pro libertate</w:t>
      </w:r>
      <w:r w:rsidRPr="4FEAD1F3">
        <w:rPr>
          <w:rFonts w:ascii="Verdana" w:eastAsia="Calibri" w:hAnsi="Verdana" w:cs="Arial"/>
          <w:color w:val="000000" w:themeColor="text1"/>
          <w:lang w:val="es-ES"/>
        </w:rPr>
        <w:t xml:space="preserve"> es el que debe dirigir la interpretación de las disposiciones normativas que consagran restricciones de derechos, como sucede con las causales de inhabilidad e incompatibilidad en la contratación estatal. </w:t>
      </w:r>
    </w:p>
    <w:p w14:paraId="61EBBD2D" w14:textId="77777777" w:rsidR="003D455F" w:rsidRPr="003D455F" w:rsidRDefault="003D455F" w:rsidP="003D455F">
      <w:pPr>
        <w:spacing w:after="0" w:line="240" w:lineRule="auto"/>
        <w:jc w:val="both"/>
        <w:rPr>
          <w:rFonts w:ascii="Verdana" w:eastAsia="Calibri" w:hAnsi="Verdana" w:cs="Arial"/>
          <w:color w:val="000000" w:themeColor="text1"/>
          <w:lang w:val="es-ES_tradnl"/>
        </w:rPr>
      </w:pPr>
    </w:p>
    <w:p w14:paraId="2BC54FCD" w14:textId="77777777" w:rsidR="003D455F" w:rsidRPr="003D455F" w:rsidRDefault="003D455F" w:rsidP="003D455F">
      <w:pPr>
        <w:spacing w:after="0" w:line="240" w:lineRule="auto"/>
        <w:jc w:val="both"/>
        <w:rPr>
          <w:rFonts w:ascii="Verdana" w:eastAsia="Calibri" w:hAnsi="Verdana" w:cs="Arial"/>
          <w:b/>
          <w:bCs/>
          <w:lang w:val="es-ES_tradnl"/>
        </w:rPr>
      </w:pPr>
      <w:r w:rsidRPr="003D455F">
        <w:rPr>
          <w:rFonts w:ascii="Verdana" w:eastAsia="Calibri" w:hAnsi="Verdana" w:cs="Arial"/>
          <w:b/>
          <w:bCs/>
          <w:lang w:val="es-ES_tradnl"/>
        </w:rPr>
        <w:t>PROHIBICIÓN PARA EXSERVIDORES PÚBLICOS – Ley 734 de 2022 – Ley 1952 de 2019 – Alcance</w:t>
      </w:r>
    </w:p>
    <w:p w14:paraId="4B9326E4" w14:textId="77777777" w:rsidR="003D455F" w:rsidRPr="003D455F" w:rsidRDefault="003D455F" w:rsidP="003D455F">
      <w:pPr>
        <w:spacing w:after="0" w:line="240" w:lineRule="auto"/>
        <w:jc w:val="both"/>
        <w:rPr>
          <w:rFonts w:ascii="Verdana" w:eastAsia="Calibri" w:hAnsi="Verdana" w:cs="Arial"/>
          <w:b/>
          <w:bCs/>
          <w:lang w:val="es-ES_tradnl"/>
        </w:rPr>
      </w:pPr>
    </w:p>
    <w:p w14:paraId="6747D43D" w14:textId="77777777" w:rsidR="003D455F" w:rsidRPr="003D455F" w:rsidRDefault="003D455F" w:rsidP="003D455F">
      <w:pPr>
        <w:spacing w:after="0" w:line="240" w:lineRule="auto"/>
        <w:jc w:val="both"/>
        <w:rPr>
          <w:rFonts w:ascii="Verdana" w:hAnsi="Verdana" w:cs="Arial"/>
          <w:sz w:val="20"/>
          <w:szCs w:val="20"/>
          <w:lang w:eastAsia="es-ES"/>
        </w:rPr>
      </w:pPr>
      <w:r w:rsidRPr="003D455F">
        <w:rPr>
          <w:rFonts w:ascii="Verdana" w:hAnsi="Verdana" w:cs="Arial"/>
        </w:rPr>
        <w:t xml:space="preserve">[…] Se advierte que el numeral 4 del artículo 56  del  Código General Disciplinario también consagró una prohibición en términos casi idénticos a la establecida en  el artículo 35, numeral 22 de la Ley 734 de 2002, en virtud de la cual se impide a los funcionarios y exfuncionarios prestar, a título personal o por interpuesta persona, servicios de asistencia, representación o asesoría en asuntos relacionados con las funciones propias del cargo, o permitir que ello ocurra con posterioridad a la desvinculación del cargo. La diferencia sustancial con lo </w:t>
      </w:r>
      <w:r w:rsidRPr="003D455F">
        <w:rPr>
          <w:rFonts w:ascii="Verdana" w:hAnsi="Verdana" w:cs="Arial"/>
        </w:rPr>
        <w:lastRenderedPageBreak/>
        <w:t>dispuesto por la disposición modificada por el artículo 3 de la Ley 1474 de 2011 estriba en que, en lo relativo a los exfuncionarios, la disposición hoy día vigente varió el plazo durante el cual se extiende la prohibición para los exfuncionarios, en la medida en que ahora dicho término es un año y no de dos.</w:t>
      </w:r>
    </w:p>
    <w:p w14:paraId="49A61914" w14:textId="77777777" w:rsidR="003D455F" w:rsidRPr="003D455F" w:rsidRDefault="003D455F" w:rsidP="003D455F">
      <w:pPr>
        <w:spacing w:after="0" w:line="240" w:lineRule="auto"/>
        <w:jc w:val="both"/>
        <w:rPr>
          <w:rFonts w:ascii="Verdana" w:hAnsi="Verdana" w:cs="Arial"/>
          <w:sz w:val="20"/>
          <w:szCs w:val="20"/>
          <w:lang w:val="es-ES_tradnl" w:eastAsia="es-ES"/>
        </w:rPr>
      </w:pPr>
    </w:p>
    <w:p w14:paraId="041CE3D8" w14:textId="77777777" w:rsidR="003D455F" w:rsidRPr="003D455F" w:rsidRDefault="003D455F" w:rsidP="003D455F">
      <w:pPr>
        <w:spacing w:after="0" w:line="240" w:lineRule="auto"/>
        <w:jc w:val="both"/>
        <w:rPr>
          <w:rFonts w:ascii="Verdana" w:hAnsi="Verdana" w:cs="Arial"/>
          <w:sz w:val="20"/>
          <w:szCs w:val="20"/>
          <w:lang w:val="es-ES_tradnl" w:eastAsia="es-ES"/>
        </w:rPr>
      </w:pPr>
    </w:p>
    <w:p w14:paraId="635D8532" w14:textId="77777777" w:rsidR="003D455F" w:rsidRPr="003D455F" w:rsidRDefault="003D455F" w:rsidP="003D455F">
      <w:pPr>
        <w:spacing w:after="0" w:line="240" w:lineRule="auto"/>
        <w:jc w:val="both"/>
        <w:rPr>
          <w:rFonts w:ascii="Verdana" w:hAnsi="Verdana" w:cs="Arial"/>
          <w:sz w:val="20"/>
          <w:szCs w:val="20"/>
          <w:lang w:val="es-ES_tradnl" w:eastAsia="es-ES"/>
        </w:rPr>
      </w:pPr>
    </w:p>
    <w:p w14:paraId="15CBC40E" w14:textId="77777777" w:rsidR="003D455F" w:rsidRPr="003D455F" w:rsidRDefault="003D455F" w:rsidP="003D455F">
      <w:pPr>
        <w:spacing w:after="0" w:line="240" w:lineRule="auto"/>
        <w:jc w:val="both"/>
        <w:rPr>
          <w:rFonts w:ascii="Verdana" w:hAnsi="Verdana" w:cs="Arial"/>
          <w:sz w:val="20"/>
          <w:szCs w:val="20"/>
          <w:lang w:val="es-ES_tradnl" w:eastAsia="es-ES"/>
        </w:rPr>
      </w:pPr>
    </w:p>
    <w:p w14:paraId="452D0E59" w14:textId="77777777" w:rsidR="003D455F" w:rsidRPr="003D455F" w:rsidRDefault="003D455F" w:rsidP="003D455F">
      <w:pPr>
        <w:spacing w:after="0" w:line="240" w:lineRule="auto"/>
        <w:jc w:val="both"/>
        <w:rPr>
          <w:rFonts w:ascii="Verdana" w:hAnsi="Verdana" w:cs="Arial"/>
          <w:sz w:val="20"/>
          <w:szCs w:val="20"/>
          <w:lang w:val="es-ES_tradnl" w:eastAsia="es-ES"/>
        </w:rPr>
      </w:pPr>
    </w:p>
    <w:p w14:paraId="6C8C4E30" w14:textId="77777777" w:rsidR="003D455F" w:rsidRPr="003D455F" w:rsidRDefault="003D455F" w:rsidP="003D455F">
      <w:pPr>
        <w:spacing w:after="0" w:line="240" w:lineRule="auto"/>
        <w:jc w:val="both"/>
        <w:rPr>
          <w:rFonts w:ascii="Verdana" w:hAnsi="Verdana" w:cs="Arial"/>
          <w:sz w:val="20"/>
          <w:szCs w:val="20"/>
          <w:lang w:val="es-ES_tradnl" w:eastAsia="es-ES"/>
        </w:rPr>
      </w:pPr>
    </w:p>
    <w:p w14:paraId="5DA069D1" w14:textId="77777777" w:rsidR="003D455F" w:rsidRPr="003D455F" w:rsidRDefault="003D455F" w:rsidP="003D455F">
      <w:pPr>
        <w:spacing w:after="0" w:line="240" w:lineRule="auto"/>
        <w:jc w:val="both"/>
        <w:rPr>
          <w:rFonts w:ascii="Verdana" w:hAnsi="Verdana" w:cs="Arial"/>
          <w:sz w:val="20"/>
          <w:szCs w:val="20"/>
          <w:lang w:val="es-ES_tradnl" w:eastAsia="es-ES"/>
        </w:rPr>
      </w:pPr>
    </w:p>
    <w:p w14:paraId="6E0863CB" w14:textId="77777777" w:rsidR="003D455F" w:rsidRPr="003D455F" w:rsidRDefault="003D455F" w:rsidP="003D455F">
      <w:pPr>
        <w:spacing w:after="0" w:line="240" w:lineRule="auto"/>
        <w:jc w:val="both"/>
        <w:rPr>
          <w:rFonts w:ascii="Verdana" w:hAnsi="Verdana" w:cs="Arial"/>
          <w:sz w:val="20"/>
          <w:szCs w:val="20"/>
          <w:lang w:val="es-ES_tradnl" w:eastAsia="es-ES"/>
        </w:rPr>
      </w:pPr>
    </w:p>
    <w:p w14:paraId="52E96006" w14:textId="77777777" w:rsidR="003D455F" w:rsidRPr="003D455F" w:rsidRDefault="003D455F" w:rsidP="003D455F">
      <w:pPr>
        <w:spacing w:after="0" w:line="240" w:lineRule="auto"/>
        <w:jc w:val="both"/>
        <w:rPr>
          <w:rFonts w:ascii="Verdana" w:hAnsi="Verdana" w:cs="Arial"/>
          <w:sz w:val="20"/>
          <w:szCs w:val="20"/>
          <w:lang w:val="es-ES_tradnl" w:eastAsia="es-ES"/>
        </w:rPr>
      </w:pPr>
    </w:p>
    <w:p w14:paraId="5E15BAFE" w14:textId="77777777" w:rsidR="003D455F" w:rsidRPr="003D455F" w:rsidRDefault="003D455F" w:rsidP="003D455F">
      <w:pPr>
        <w:spacing w:after="0" w:line="240" w:lineRule="auto"/>
        <w:jc w:val="both"/>
        <w:rPr>
          <w:rFonts w:ascii="Verdana" w:hAnsi="Verdana" w:cs="Arial"/>
          <w:sz w:val="20"/>
          <w:szCs w:val="20"/>
          <w:lang w:val="es-ES_tradnl" w:eastAsia="es-ES"/>
        </w:rPr>
      </w:pPr>
    </w:p>
    <w:p w14:paraId="02B382EF" w14:textId="77777777" w:rsidR="003D455F" w:rsidRPr="003D455F" w:rsidRDefault="003D455F" w:rsidP="003D455F">
      <w:pPr>
        <w:spacing w:after="0" w:line="240" w:lineRule="auto"/>
        <w:jc w:val="both"/>
        <w:rPr>
          <w:rFonts w:ascii="Verdana" w:hAnsi="Verdana" w:cs="Arial"/>
          <w:sz w:val="20"/>
          <w:szCs w:val="20"/>
          <w:lang w:val="es-ES_tradnl" w:eastAsia="es-ES"/>
        </w:rPr>
      </w:pPr>
    </w:p>
    <w:p w14:paraId="3BB2CA70" w14:textId="77777777" w:rsidR="003D455F" w:rsidRPr="003D455F" w:rsidRDefault="003D455F" w:rsidP="003D455F">
      <w:pPr>
        <w:spacing w:after="0" w:line="240" w:lineRule="auto"/>
        <w:jc w:val="both"/>
        <w:rPr>
          <w:rFonts w:ascii="Verdana" w:hAnsi="Verdana" w:cs="Arial"/>
          <w:sz w:val="20"/>
          <w:szCs w:val="20"/>
          <w:lang w:val="es-ES_tradnl" w:eastAsia="es-ES"/>
        </w:rPr>
      </w:pPr>
    </w:p>
    <w:p w14:paraId="550D0CB2" w14:textId="77777777" w:rsidR="003D455F" w:rsidRPr="003D455F" w:rsidRDefault="003D455F" w:rsidP="003D455F">
      <w:pPr>
        <w:spacing w:after="0" w:line="240" w:lineRule="auto"/>
        <w:jc w:val="both"/>
        <w:rPr>
          <w:rFonts w:ascii="Verdana" w:hAnsi="Verdana" w:cs="Arial"/>
          <w:sz w:val="20"/>
          <w:szCs w:val="20"/>
          <w:lang w:val="es-ES_tradnl" w:eastAsia="es-ES"/>
        </w:rPr>
      </w:pPr>
    </w:p>
    <w:p w14:paraId="70ACE99E" w14:textId="77777777" w:rsidR="003D455F" w:rsidRPr="003D455F" w:rsidRDefault="003D455F" w:rsidP="003D455F">
      <w:pPr>
        <w:spacing w:after="0" w:line="240" w:lineRule="auto"/>
        <w:jc w:val="both"/>
        <w:rPr>
          <w:rFonts w:ascii="Verdana" w:hAnsi="Verdana" w:cs="Arial"/>
          <w:sz w:val="20"/>
          <w:szCs w:val="20"/>
          <w:lang w:val="es-ES_tradnl" w:eastAsia="es-ES"/>
        </w:rPr>
      </w:pPr>
    </w:p>
    <w:p w14:paraId="348B5440" w14:textId="77777777" w:rsidR="003D455F" w:rsidRPr="003D455F" w:rsidRDefault="003D455F" w:rsidP="003D455F">
      <w:pPr>
        <w:spacing w:after="0" w:line="240" w:lineRule="auto"/>
        <w:jc w:val="both"/>
        <w:rPr>
          <w:rFonts w:ascii="Verdana" w:hAnsi="Verdana" w:cs="Arial"/>
          <w:sz w:val="20"/>
          <w:szCs w:val="20"/>
          <w:lang w:val="es-ES_tradnl" w:eastAsia="es-ES"/>
        </w:rPr>
      </w:pPr>
    </w:p>
    <w:p w14:paraId="602BECD8" w14:textId="77777777" w:rsidR="003D455F" w:rsidRPr="003D455F" w:rsidRDefault="003D455F" w:rsidP="003D455F">
      <w:pPr>
        <w:spacing w:after="0" w:line="240" w:lineRule="auto"/>
        <w:jc w:val="both"/>
        <w:rPr>
          <w:rFonts w:ascii="Verdana" w:hAnsi="Verdana" w:cs="Arial"/>
          <w:sz w:val="20"/>
          <w:szCs w:val="20"/>
          <w:lang w:val="es-ES_tradnl" w:eastAsia="es-ES"/>
        </w:rPr>
      </w:pPr>
    </w:p>
    <w:p w14:paraId="102A1342" w14:textId="77777777" w:rsidR="003D455F" w:rsidRPr="003D455F" w:rsidRDefault="003D455F" w:rsidP="003D455F">
      <w:pPr>
        <w:spacing w:after="0" w:line="240" w:lineRule="auto"/>
        <w:jc w:val="both"/>
        <w:rPr>
          <w:rFonts w:ascii="Verdana" w:hAnsi="Verdana" w:cs="Arial"/>
          <w:sz w:val="20"/>
          <w:szCs w:val="20"/>
          <w:lang w:val="es-ES_tradnl" w:eastAsia="es-ES"/>
        </w:rPr>
      </w:pPr>
    </w:p>
    <w:p w14:paraId="393176F6" w14:textId="77777777" w:rsidR="003D455F" w:rsidRPr="003D455F" w:rsidRDefault="003D455F" w:rsidP="003D455F">
      <w:pPr>
        <w:spacing w:after="0" w:line="240" w:lineRule="auto"/>
        <w:jc w:val="both"/>
        <w:rPr>
          <w:rFonts w:ascii="Verdana" w:hAnsi="Verdana" w:cs="Arial"/>
          <w:sz w:val="20"/>
          <w:szCs w:val="20"/>
          <w:lang w:val="es-ES_tradnl" w:eastAsia="es-ES"/>
        </w:rPr>
      </w:pPr>
    </w:p>
    <w:p w14:paraId="39AD86BF" w14:textId="77777777" w:rsidR="003D455F" w:rsidRPr="003D455F" w:rsidRDefault="003D455F" w:rsidP="003D455F">
      <w:pPr>
        <w:spacing w:after="0" w:line="240" w:lineRule="auto"/>
        <w:jc w:val="both"/>
        <w:rPr>
          <w:rFonts w:ascii="Verdana" w:hAnsi="Verdana" w:cs="Arial"/>
          <w:sz w:val="20"/>
          <w:szCs w:val="20"/>
          <w:lang w:val="es-ES_tradnl" w:eastAsia="es-ES"/>
        </w:rPr>
      </w:pPr>
    </w:p>
    <w:p w14:paraId="51171CE3" w14:textId="77777777" w:rsidR="003D455F" w:rsidRPr="003D455F" w:rsidRDefault="003D455F" w:rsidP="003D455F">
      <w:pPr>
        <w:spacing w:after="0" w:line="240" w:lineRule="auto"/>
        <w:jc w:val="both"/>
        <w:rPr>
          <w:rFonts w:ascii="Verdana" w:hAnsi="Verdana" w:cs="Arial"/>
          <w:sz w:val="20"/>
          <w:szCs w:val="20"/>
          <w:lang w:val="es-ES_tradnl" w:eastAsia="es-ES"/>
        </w:rPr>
      </w:pPr>
    </w:p>
    <w:p w14:paraId="7EBBFF96" w14:textId="77777777" w:rsidR="003D455F" w:rsidRPr="003D455F" w:rsidRDefault="003D455F" w:rsidP="003D455F">
      <w:pPr>
        <w:spacing w:after="0" w:line="240" w:lineRule="auto"/>
        <w:jc w:val="both"/>
        <w:rPr>
          <w:rFonts w:ascii="Verdana" w:hAnsi="Verdana" w:cs="Arial"/>
          <w:sz w:val="20"/>
          <w:szCs w:val="20"/>
          <w:lang w:val="es-ES_tradnl" w:eastAsia="es-ES"/>
        </w:rPr>
      </w:pPr>
    </w:p>
    <w:p w14:paraId="0D491681" w14:textId="77777777" w:rsidR="003D455F" w:rsidRPr="003D455F" w:rsidRDefault="003D455F" w:rsidP="003D455F">
      <w:pPr>
        <w:spacing w:after="0" w:line="240" w:lineRule="auto"/>
        <w:jc w:val="both"/>
        <w:rPr>
          <w:rFonts w:ascii="Verdana" w:hAnsi="Verdana" w:cs="Arial"/>
          <w:sz w:val="20"/>
          <w:szCs w:val="20"/>
          <w:lang w:val="es-ES_tradnl" w:eastAsia="es-ES"/>
        </w:rPr>
      </w:pPr>
    </w:p>
    <w:p w14:paraId="47F113D3" w14:textId="77777777" w:rsidR="003D455F" w:rsidRPr="003D455F" w:rsidRDefault="003D455F" w:rsidP="003D455F">
      <w:pPr>
        <w:spacing w:after="0" w:line="240" w:lineRule="auto"/>
        <w:jc w:val="both"/>
        <w:rPr>
          <w:rFonts w:ascii="Verdana" w:hAnsi="Verdana" w:cs="Arial"/>
          <w:sz w:val="20"/>
          <w:szCs w:val="20"/>
          <w:lang w:val="es-ES_tradnl" w:eastAsia="es-ES"/>
        </w:rPr>
      </w:pPr>
    </w:p>
    <w:p w14:paraId="06927201" w14:textId="77777777" w:rsidR="003D455F" w:rsidRPr="003D455F" w:rsidRDefault="003D455F" w:rsidP="003D455F">
      <w:pPr>
        <w:spacing w:after="0" w:line="240" w:lineRule="auto"/>
        <w:jc w:val="both"/>
        <w:rPr>
          <w:rFonts w:ascii="Verdana" w:hAnsi="Verdana" w:cs="Arial"/>
          <w:sz w:val="20"/>
          <w:szCs w:val="20"/>
          <w:lang w:val="es-ES_tradnl" w:eastAsia="es-ES"/>
        </w:rPr>
      </w:pPr>
    </w:p>
    <w:p w14:paraId="3B2C3681" w14:textId="77777777" w:rsidR="003D455F" w:rsidRPr="003D455F" w:rsidRDefault="003D455F" w:rsidP="003D455F">
      <w:pPr>
        <w:spacing w:after="0" w:line="240" w:lineRule="auto"/>
        <w:jc w:val="both"/>
        <w:rPr>
          <w:rFonts w:ascii="Verdana" w:hAnsi="Verdana" w:cs="Arial"/>
          <w:sz w:val="20"/>
          <w:szCs w:val="20"/>
          <w:lang w:val="es-ES_tradnl" w:eastAsia="es-ES"/>
        </w:rPr>
      </w:pPr>
    </w:p>
    <w:p w14:paraId="2A33B7CD" w14:textId="77777777" w:rsidR="003D455F" w:rsidRPr="003D455F" w:rsidRDefault="003D455F" w:rsidP="003D455F">
      <w:pPr>
        <w:spacing w:after="0" w:line="240" w:lineRule="auto"/>
        <w:jc w:val="both"/>
        <w:rPr>
          <w:rFonts w:ascii="Verdana" w:hAnsi="Verdana" w:cs="Arial"/>
          <w:sz w:val="20"/>
          <w:szCs w:val="20"/>
          <w:lang w:val="es-ES_tradnl" w:eastAsia="es-ES"/>
        </w:rPr>
      </w:pPr>
    </w:p>
    <w:p w14:paraId="1D1EEB26" w14:textId="77777777" w:rsidR="003D455F" w:rsidRPr="003D455F" w:rsidRDefault="003D455F" w:rsidP="003D455F">
      <w:pPr>
        <w:spacing w:after="0" w:line="240" w:lineRule="auto"/>
        <w:jc w:val="both"/>
        <w:rPr>
          <w:rFonts w:ascii="Verdana" w:hAnsi="Verdana" w:cs="Arial"/>
          <w:sz w:val="20"/>
          <w:szCs w:val="20"/>
          <w:lang w:val="es-ES_tradnl" w:eastAsia="es-ES"/>
        </w:rPr>
      </w:pPr>
    </w:p>
    <w:p w14:paraId="462FC2B5" w14:textId="77777777" w:rsidR="003D455F" w:rsidRPr="003D455F" w:rsidRDefault="003D455F" w:rsidP="003D455F">
      <w:pPr>
        <w:spacing w:after="0" w:line="240" w:lineRule="auto"/>
        <w:jc w:val="both"/>
        <w:rPr>
          <w:rFonts w:ascii="Verdana" w:hAnsi="Verdana" w:cs="Arial"/>
          <w:sz w:val="20"/>
          <w:szCs w:val="20"/>
          <w:lang w:val="es-ES_tradnl" w:eastAsia="es-ES"/>
        </w:rPr>
      </w:pPr>
    </w:p>
    <w:p w14:paraId="314D728C" w14:textId="77777777" w:rsidR="003D455F" w:rsidRPr="003D455F" w:rsidRDefault="003D455F" w:rsidP="003D455F">
      <w:pPr>
        <w:spacing w:after="0" w:line="240" w:lineRule="auto"/>
        <w:jc w:val="both"/>
        <w:rPr>
          <w:rFonts w:ascii="Verdana" w:hAnsi="Verdana" w:cs="Arial"/>
          <w:sz w:val="20"/>
          <w:szCs w:val="20"/>
          <w:lang w:val="es-ES_tradnl" w:eastAsia="es-ES"/>
        </w:rPr>
      </w:pPr>
    </w:p>
    <w:p w14:paraId="033021B5" w14:textId="77777777" w:rsidR="003D455F" w:rsidRPr="003D455F" w:rsidRDefault="003D455F" w:rsidP="003D455F">
      <w:pPr>
        <w:spacing w:after="0" w:line="240" w:lineRule="auto"/>
        <w:jc w:val="both"/>
        <w:rPr>
          <w:rFonts w:ascii="Verdana" w:hAnsi="Verdana" w:cs="Arial"/>
          <w:sz w:val="20"/>
          <w:szCs w:val="20"/>
          <w:lang w:val="es-ES_tradnl" w:eastAsia="es-ES"/>
        </w:rPr>
      </w:pPr>
    </w:p>
    <w:p w14:paraId="6889BCBF" w14:textId="77777777" w:rsidR="003D455F" w:rsidRPr="003D455F" w:rsidRDefault="003D455F" w:rsidP="003D455F">
      <w:pPr>
        <w:spacing w:after="0" w:line="240" w:lineRule="auto"/>
        <w:jc w:val="both"/>
        <w:rPr>
          <w:rFonts w:ascii="Verdana" w:hAnsi="Verdana" w:cs="Arial"/>
          <w:sz w:val="20"/>
          <w:szCs w:val="20"/>
          <w:lang w:val="es-ES_tradnl" w:eastAsia="es-ES"/>
        </w:rPr>
      </w:pPr>
    </w:p>
    <w:p w14:paraId="071ADABC" w14:textId="77777777" w:rsidR="003D455F" w:rsidRPr="003D455F" w:rsidRDefault="003D455F" w:rsidP="003D455F">
      <w:pPr>
        <w:spacing w:after="0" w:line="240" w:lineRule="auto"/>
        <w:jc w:val="both"/>
        <w:rPr>
          <w:rFonts w:ascii="Verdana" w:hAnsi="Verdana" w:cs="Arial"/>
          <w:sz w:val="20"/>
          <w:szCs w:val="20"/>
          <w:lang w:val="es-ES_tradnl" w:eastAsia="es-ES"/>
        </w:rPr>
      </w:pPr>
    </w:p>
    <w:p w14:paraId="2C4625A1" w14:textId="77777777" w:rsidR="003D455F" w:rsidRPr="003D455F" w:rsidRDefault="003D455F" w:rsidP="003D455F">
      <w:pPr>
        <w:spacing w:after="0" w:line="240" w:lineRule="auto"/>
        <w:jc w:val="both"/>
        <w:rPr>
          <w:rFonts w:ascii="Verdana" w:hAnsi="Verdana" w:cs="Arial"/>
          <w:sz w:val="20"/>
          <w:szCs w:val="20"/>
          <w:lang w:val="es-ES_tradnl" w:eastAsia="es-ES"/>
        </w:rPr>
      </w:pPr>
    </w:p>
    <w:p w14:paraId="1A1E6855" w14:textId="77777777" w:rsidR="003D455F" w:rsidRPr="003D455F" w:rsidRDefault="003D455F" w:rsidP="003D455F">
      <w:pPr>
        <w:spacing w:after="0" w:line="240" w:lineRule="auto"/>
        <w:jc w:val="both"/>
        <w:rPr>
          <w:rFonts w:ascii="Verdana" w:hAnsi="Verdana" w:cs="Arial"/>
          <w:sz w:val="20"/>
          <w:szCs w:val="20"/>
          <w:lang w:val="es-ES_tradnl" w:eastAsia="es-ES"/>
        </w:rPr>
      </w:pPr>
    </w:p>
    <w:p w14:paraId="1B954C5D" w14:textId="77777777" w:rsidR="003D455F" w:rsidRPr="003D455F" w:rsidRDefault="003D455F" w:rsidP="003D455F">
      <w:pPr>
        <w:spacing w:after="0" w:line="240" w:lineRule="auto"/>
        <w:jc w:val="both"/>
        <w:rPr>
          <w:rFonts w:ascii="Verdana" w:hAnsi="Verdana" w:cs="Arial"/>
          <w:sz w:val="20"/>
          <w:szCs w:val="20"/>
          <w:lang w:val="es-ES_tradnl" w:eastAsia="es-ES"/>
        </w:rPr>
      </w:pPr>
    </w:p>
    <w:p w14:paraId="499F4A33" w14:textId="77777777" w:rsidR="003D455F" w:rsidRPr="003D455F" w:rsidRDefault="003D455F" w:rsidP="003D455F">
      <w:pPr>
        <w:spacing w:after="0" w:line="240" w:lineRule="auto"/>
        <w:jc w:val="both"/>
        <w:rPr>
          <w:rFonts w:ascii="Verdana" w:hAnsi="Verdana" w:cs="Arial"/>
          <w:sz w:val="20"/>
          <w:szCs w:val="20"/>
          <w:lang w:val="es-ES_tradnl" w:eastAsia="es-ES"/>
        </w:rPr>
      </w:pPr>
    </w:p>
    <w:p w14:paraId="7EEE6C20" w14:textId="77777777" w:rsidR="003D455F" w:rsidRPr="003D455F" w:rsidRDefault="003D455F" w:rsidP="003D455F">
      <w:pPr>
        <w:spacing w:after="0" w:line="240" w:lineRule="auto"/>
        <w:jc w:val="both"/>
        <w:rPr>
          <w:rFonts w:ascii="Verdana" w:hAnsi="Verdana" w:cs="Arial"/>
          <w:sz w:val="20"/>
          <w:szCs w:val="20"/>
          <w:lang w:val="es-ES_tradnl" w:eastAsia="es-ES"/>
        </w:rPr>
      </w:pPr>
    </w:p>
    <w:p w14:paraId="1BB71385" w14:textId="77777777" w:rsidR="003D455F" w:rsidRPr="003D455F" w:rsidRDefault="003D455F" w:rsidP="003D455F">
      <w:pPr>
        <w:spacing w:after="0" w:line="240" w:lineRule="auto"/>
        <w:jc w:val="both"/>
        <w:rPr>
          <w:rFonts w:ascii="Verdana" w:hAnsi="Verdana" w:cs="Arial"/>
          <w:sz w:val="20"/>
          <w:szCs w:val="20"/>
          <w:lang w:val="es-ES_tradnl" w:eastAsia="es-ES"/>
        </w:rPr>
      </w:pPr>
    </w:p>
    <w:p w14:paraId="59748D96" w14:textId="77777777" w:rsidR="003D455F" w:rsidRPr="003D455F" w:rsidRDefault="003D455F" w:rsidP="003D455F">
      <w:pPr>
        <w:spacing w:after="0" w:line="240" w:lineRule="auto"/>
        <w:jc w:val="both"/>
        <w:rPr>
          <w:rFonts w:ascii="Verdana" w:hAnsi="Verdana" w:cs="Arial"/>
          <w:sz w:val="20"/>
          <w:szCs w:val="20"/>
          <w:lang w:val="es-ES_tradnl" w:eastAsia="es-ES"/>
        </w:rPr>
      </w:pPr>
    </w:p>
    <w:p w14:paraId="67689D24" w14:textId="77777777" w:rsidR="003D455F" w:rsidRDefault="003D455F" w:rsidP="003D455F">
      <w:pPr>
        <w:spacing w:after="0" w:line="240" w:lineRule="auto"/>
        <w:jc w:val="both"/>
        <w:rPr>
          <w:rFonts w:ascii="Verdana" w:hAnsi="Verdana" w:cs="Arial"/>
          <w:sz w:val="20"/>
          <w:szCs w:val="20"/>
          <w:lang w:val="es-ES_tradnl" w:eastAsia="es-ES"/>
        </w:rPr>
      </w:pPr>
    </w:p>
    <w:p w14:paraId="057B033D" w14:textId="77777777" w:rsidR="00336176" w:rsidRDefault="00336176" w:rsidP="003D455F">
      <w:pPr>
        <w:spacing w:after="0" w:line="240" w:lineRule="auto"/>
        <w:jc w:val="both"/>
        <w:rPr>
          <w:rFonts w:ascii="Verdana" w:hAnsi="Verdana" w:cs="Arial"/>
          <w:sz w:val="20"/>
          <w:szCs w:val="20"/>
          <w:lang w:val="es-ES_tradnl" w:eastAsia="es-ES"/>
        </w:rPr>
      </w:pPr>
    </w:p>
    <w:p w14:paraId="0CBF09E6" w14:textId="77777777" w:rsidR="00336176" w:rsidRDefault="00336176" w:rsidP="003D455F">
      <w:pPr>
        <w:spacing w:after="0" w:line="240" w:lineRule="auto"/>
        <w:jc w:val="both"/>
        <w:rPr>
          <w:rFonts w:ascii="Verdana" w:hAnsi="Verdana" w:cs="Arial"/>
          <w:sz w:val="20"/>
          <w:szCs w:val="20"/>
          <w:lang w:val="es-ES_tradnl" w:eastAsia="es-ES"/>
        </w:rPr>
      </w:pPr>
    </w:p>
    <w:p w14:paraId="3D63DE05" w14:textId="77777777" w:rsidR="00336176" w:rsidRPr="003D455F" w:rsidRDefault="00336176" w:rsidP="003D455F">
      <w:pPr>
        <w:spacing w:after="0" w:line="240" w:lineRule="auto"/>
        <w:jc w:val="both"/>
        <w:rPr>
          <w:rFonts w:ascii="Verdana" w:hAnsi="Verdana" w:cs="Arial"/>
          <w:sz w:val="20"/>
          <w:szCs w:val="20"/>
          <w:lang w:val="es-ES_tradnl" w:eastAsia="es-ES"/>
        </w:rPr>
      </w:pPr>
    </w:p>
    <w:p w14:paraId="33614C44" w14:textId="77777777" w:rsidR="003D455F" w:rsidRPr="003D455F" w:rsidRDefault="003D455F" w:rsidP="003D455F">
      <w:pPr>
        <w:spacing w:after="0" w:line="240" w:lineRule="auto"/>
        <w:jc w:val="both"/>
        <w:rPr>
          <w:rFonts w:ascii="Verdana" w:hAnsi="Verdana" w:cs="Arial"/>
          <w:sz w:val="20"/>
          <w:szCs w:val="20"/>
          <w:lang w:val="es-ES_tradnl" w:eastAsia="es-ES"/>
        </w:rPr>
      </w:pPr>
    </w:p>
    <w:p w14:paraId="36B78C8B" w14:textId="3961AF18" w:rsidR="003D455F" w:rsidRDefault="003D455F" w:rsidP="003D455F">
      <w:pPr>
        <w:spacing w:after="0" w:line="240" w:lineRule="auto"/>
        <w:jc w:val="both"/>
        <w:rPr>
          <w:rFonts w:ascii="Verdana" w:eastAsia="Times New Roman" w:hAnsi="Verdana" w:cs="Arial"/>
          <w:noProof/>
          <w:lang w:val="es-ES_tradnl" w:eastAsia="es-ES_tradnl"/>
        </w:rPr>
      </w:pPr>
      <w:r w:rsidRPr="003D455F">
        <w:rPr>
          <w:rFonts w:ascii="Verdana" w:eastAsia="Times New Roman" w:hAnsi="Verdana" w:cs="Arial"/>
          <w:noProof/>
          <w:lang w:val="es-ES_tradnl" w:eastAsia="es-ES_tradnl"/>
        </w:rPr>
        <w:lastRenderedPageBreak/>
        <w:t xml:space="preserve">Bogotá D.C., </w:t>
      </w:r>
      <w:r w:rsidR="000463BD">
        <w:rPr>
          <w:rFonts w:ascii="Verdana" w:eastAsia="Times New Roman" w:hAnsi="Verdana" w:cs="Arial"/>
          <w:noProof/>
          <w:lang w:val="es-ES_tradnl" w:eastAsia="es-ES_tradnl"/>
        </w:rPr>
        <w:t>5 de septiembre de 2024</w:t>
      </w:r>
    </w:p>
    <w:p w14:paraId="1D059484" w14:textId="72FF26B8" w:rsidR="00F71C0A" w:rsidRDefault="00EB1847" w:rsidP="003D455F">
      <w:pPr>
        <w:spacing w:after="0" w:line="240" w:lineRule="auto"/>
        <w:jc w:val="both"/>
        <w:rPr>
          <w:rFonts w:ascii="Verdana" w:eastAsia="Times New Roman" w:hAnsi="Verdana" w:cs="Arial"/>
          <w:noProof/>
          <w:lang w:val="es-ES_tradnl" w:eastAsia="es-ES_tradnl"/>
        </w:rPr>
      </w:pPr>
      <w:r w:rsidRPr="00F71C0A">
        <w:rPr>
          <w:rFonts w:ascii="Verdana" w:eastAsia="Times New Roman" w:hAnsi="Verdana" w:cs="Arial"/>
          <w:noProof/>
          <w:lang w:val="es-ES_tradnl" w:eastAsia="es-ES_tradnl"/>
        </w:rPr>
        <w:drawing>
          <wp:anchor distT="0" distB="0" distL="114300" distR="114300" simplePos="0" relativeHeight="251658240" behindDoc="0" locked="0" layoutInCell="1" allowOverlap="1" wp14:anchorId="0C797A35" wp14:editId="11F8C7B0">
            <wp:simplePos x="0" y="0"/>
            <wp:positionH relativeFrom="column">
              <wp:posOffset>2253614</wp:posOffset>
            </wp:positionH>
            <wp:positionV relativeFrom="paragraph">
              <wp:posOffset>165735</wp:posOffset>
            </wp:positionV>
            <wp:extent cx="3352801" cy="905453"/>
            <wp:effectExtent l="0" t="0" r="0" b="9525"/>
            <wp:wrapNone/>
            <wp:docPr id="195638973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389738" name="Imagen 1" descr="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3356084" cy="906340"/>
                    </a:xfrm>
                    <a:prstGeom prst="rect">
                      <a:avLst/>
                    </a:prstGeom>
                  </pic:spPr>
                </pic:pic>
              </a:graphicData>
            </a:graphic>
            <wp14:sizeRelH relativeFrom="margin">
              <wp14:pctWidth>0</wp14:pctWidth>
            </wp14:sizeRelH>
            <wp14:sizeRelV relativeFrom="margin">
              <wp14:pctHeight>0</wp14:pctHeight>
            </wp14:sizeRelV>
          </wp:anchor>
        </w:drawing>
      </w:r>
    </w:p>
    <w:p w14:paraId="200FBFC0" w14:textId="7934A086" w:rsidR="00F71C0A" w:rsidRPr="003D455F" w:rsidRDefault="00F71C0A" w:rsidP="00F71C0A">
      <w:pPr>
        <w:spacing w:after="0" w:line="240" w:lineRule="auto"/>
        <w:jc w:val="right"/>
        <w:rPr>
          <w:rFonts w:ascii="Verdana" w:eastAsia="Times New Roman" w:hAnsi="Verdana" w:cs="Arial"/>
          <w:noProof/>
          <w:lang w:val="es-ES_tradnl" w:eastAsia="es-ES_tradnl"/>
        </w:rPr>
      </w:pPr>
    </w:p>
    <w:p w14:paraId="3A97810B" w14:textId="77777777" w:rsidR="003D455F" w:rsidRPr="003D455F" w:rsidRDefault="003D455F" w:rsidP="003D455F">
      <w:pPr>
        <w:spacing w:after="0" w:line="240" w:lineRule="auto"/>
        <w:jc w:val="both"/>
        <w:rPr>
          <w:rFonts w:ascii="Verdana" w:eastAsia="Times New Roman" w:hAnsi="Verdana" w:cs="Arial"/>
          <w:noProof/>
          <w:lang w:val="es-ES_tradnl" w:eastAsia="es-ES_tradnl"/>
        </w:rPr>
      </w:pPr>
    </w:p>
    <w:p w14:paraId="613E66F3" w14:textId="77777777" w:rsidR="003D455F" w:rsidRPr="003D455F" w:rsidRDefault="003D455F" w:rsidP="003D455F">
      <w:pPr>
        <w:spacing w:after="0" w:line="240" w:lineRule="auto"/>
        <w:jc w:val="right"/>
        <w:rPr>
          <w:rFonts w:ascii="Verdana" w:eastAsia="Times New Roman" w:hAnsi="Verdana" w:cs="Arial"/>
          <w:noProof/>
          <w:lang w:val="es-ES_tradnl" w:eastAsia="es-ES_tradnl"/>
        </w:rPr>
      </w:pPr>
    </w:p>
    <w:p w14:paraId="32005DF5" w14:textId="77777777" w:rsidR="003D455F" w:rsidRPr="003D455F" w:rsidRDefault="003D455F" w:rsidP="003D455F">
      <w:pPr>
        <w:spacing w:after="0" w:line="240" w:lineRule="auto"/>
        <w:jc w:val="both"/>
        <w:rPr>
          <w:rFonts w:ascii="Verdana" w:eastAsia="Calibri" w:hAnsi="Verdana" w:cs="Arial"/>
          <w:lang w:val="es-ES" w:eastAsia="es-ES_tradnl"/>
        </w:rPr>
      </w:pPr>
      <w:r w:rsidRPr="003D455F">
        <w:rPr>
          <w:rFonts w:ascii="Verdana" w:eastAsia="Calibri" w:hAnsi="Verdana" w:cs="Arial"/>
          <w:lang w:val="es-ES" w:eastAsia="es-ES_tradnl"/>
        </w:rPr>
        <w:t>Señor</w:t>
      </w:r>
    </w:p>
    <w:p w14:paraId="53214623" w14:textId="77777777" w:rsidR="003D455F" w:rsidRPr="003D455F" w:rsidRDefault="003D455F" w:rsidP="003D455F">
      <w:pPr>
        <w:spacing w:after="0" w:line="240" w:lineRule="auto"/>
        <w:rPr>
          <w:rFonts w:ascii="Verdana" w:eastAsia="Calibri" w:hAnsi="Verdana" w:cs="Arial"/>
          <w:b/>
          <w:bCs/>
          <w:lang w:val="es-ES" w:eastAsia="es-ES_tradnl"/>
        </w:rPr>
      </w:pPr>
      <w:r w:rsidRPr="003D455F">
        <w:rPr>
          <w:rFonts w:ascii="Verdana" w:eastAsia="Calibri" w:hAnsi="Verdana" w:cs="Arial"/>
          <w:b/>
          <w:bCs/>
          <w:lang w:val="es-ES" w:eastAsia="es-ES_tradnl"/>
        </w:rPr>
        <w:t>Jhon Steven Patiño Ávila</w:t>
      </w:r>
    </w:p>
    <w:p w14:paraId="3E8C8727" w14:textId="77777777" w:rsidR="003D455F" w:rsidRPr="003D455F" w:rsidRDefault="003D455F" w:rsidP="003D455F">
      <w:pPr>
        <w:spacing w:after="0" w:line="240" w:lineRule="auto"/>
        <w:rPr>
          <w:rFonts w:ascii="Verdana" w:eastAsia="Calibri" w:hAnsi="Verdana" w:cs="Arial"/>
          <w:lang w:val="es-ES_tradnl" w:eastAsia="es-ES_tradnl"/>
        </w:rPr>
      </w:pPr>
      <w:r w:rsidRPr="003D455F">
        <w:rPr>
          <w:rFonts w:ascii="Verdana" w:eastAsia="Calibri" w:hAnsi="Verdana" w:cs="Arial"/>
          <w:bCs/>
          <w:lang w:val="es-ES_tradnl" w:eastAsia="es-ES_tradnl"/>
        </w:rPr>
        <w:t>Ciudad</w:t>
      </w:r>
    </w:p>
    <w:p w14:paraId="3029C639" w14:textId="77777777" w:rsidR="003D455F" w:rsidRPr="003D455F" w:rsidRDefault="003D455F" w:rsidP="003D455F">
      <w:pPr>
        <w:spacing w:after="0" w:line="240" w:lineRule="auto"/>
        <w:rPr>
          <w:rFonts w:ascii="Verdana" w:eastAsia="Calibri" w:hAnsi="Verdana" w:cs="Arial"/>
          <w:lang w:val="es-ES_tradnl" w:eastAsia="es-ES_tradnl"/>
        </w:rPr>
      </w:pPr>
    </w:p>
    <w:p w14:paraId="4DA6577E" w14:textId="77777777" w:rsidR="003D455F" w:rsidRPr="003D455F" w:rsidRDefault="003D455F" w:rsidP="003D455F">
      <w:pPr>
        <w:spacing w:after="0" w:line="240" w:lineRule="auto"/>
        <w:rPr>
          <w:rFonts w:ascii="Verdana" w:eastAsia="Calibri" w:hAnsi="Verdana" w:cs="Arial"/>
          <w:lang w:val="es-ES_tradnl" w:eastAsia="es-ES_tradnl"/>
        </w:rPr>
      </w:pPr>
    </w:p>
    <w:p w14:paraId="01774E00" w14:textId="77777777" w:rsidR="003D455F" w:rsidRPr="003D455F" w:rsidRDefault="003D455F" w:rsidP="003D455F">
      <w:pPr>
        <w:spacing w:after="0" w:line="240" w:lineRule="auto"/>
        <w:ind w:left="2694"/>
        <w:rPr>
          <w:rFonts w:ascii="Verdana" w:eastAsia="Calibri" w:hAnsi="Verdana" w:cs="Arial"/>
          <w:b/>
          <w:bCs/>
          <w:lang w:val="es-ES" w:eastAsia="es-ES_tradnl"/>
        </w:rPr>
      </w:pPr>
      <w:r w:rsidRPr="003D455F">
        <w:rPr>
          <w:rFonts w:ascii="Verdana" w:eastAsia="Calibri" w:hAnsi="Verdana" w:cs="Arial"/>
          <w:b/>
          <w:bCs/>
          <w:lang w:val="es-ES" w:eastAsia="es-ES_tradnl"/>
        </w:rPr>
        <w:t>Concepto C-381 de 2024</w:t>
      </w:r>
    </w:p>
    <w:p w14:paraId="58F80594" w14:textId="77777777" w:rsidR="003D455F" w:rsidRPr="003D455F" w:rsidRDefault="003D455F" w:rsidP="003D455F">
      <w:pPr>
        <w:spacing w:after="0" w:line="240" w:lineRule="auto"/>
        <w:jc w:val="both"/>
        <w:rPr>
          <w:rFonts w:ascii="Verdana" w:eastAsia="Calibri" w:hAnsi="Verdana" w:cs="Arial"/>
          <w:lang w:val="es-ES_tradnl" w:eastAsia="es-ES_tradnl"/>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3D455F" w:rsidRPr="003D455F" w14:paraId="38323CA7" w14:textId="77777777">
        <w:trPr>
          <w:jc w:val="right"/>
        </w:trPr>
        <w:tc>
          <w:tcPr>
            <w:tcW w:w="1838" w:type="dxa"/>
          </w:tcPr>
          <w:p w14:paraId="3DFAE5B8" w14:textId="77777777" w:rsidR="003D455F" w:rsidRPr="003D455F" w:rsidRDefault="003D455F" w:rsidP="003D455F">
            <w:pPr>
              <w:jc w:val="center"/>
              <w:rPr>
                <w:rFonts w:ascii="Verdana" w:eastAsia="Calibri" w:hAnsi="Verdana" w:cs="Arial"/>
                <w:lang w:val="es-ES_tradnl" w:eastAsia="es-ES_tradnl"/>
              </w:rPr>
            </w:pPr>
            <w:r w:rsidRPr="003D455F">
              <w:rPr>
                <w:rFonts w:ascii="Verdana" w:eastAsia="Calibri" w:hAnsi="Verdana" w:cs="Arial"/>
                <w:b/>
                <w:lang w:val="es-ES_tradnl" w:eastAsia="es-ES_tradnl"/>
              </w:rPr>
              <w:t>Temas:</w:t>
            </w:r>
          </w:p>
        </w:tc>
        <w:tc>
          <w:tcPr>
            <w:tcW w:w="6237" w:type="dxa"/>
          </w:tcPr>
          <w:p w14:paraId="5D4B98D0" w14:textId="77777777" w:rsidR="003D455F" w:rsidRPr="003D455F" w:rsidRDefault="003D455F" w:rsidP="003D455F">
            <w:pPr>
              <w:jc w:val="both"/>
              <w:textAlignment w:val="baseline"/>
              <w:rPr>
                <w:rFonts w:ascii="Verdana" w:eastAsia="Times New Roman" w:hAnsi="Verdana" w:cs="Arial"/>
                <w:lang w:val="es-ES_tradnl" w:eastAsia="es-ES_tradnl"/>
              </w:rPr>
            </w:pPr>
            <w:r w:rsidRPr="003D455F">
              <w:rPr>
                <w:rFonts w:ascii="Verdana" w:eastAsia="Times New Roman" w:hAnsi="Verdana" w:cs="Arial"/>
                <w:lang w:eastAsia="es-ES_tradnl"/>
              </w:rPr>
              <w:t>RÉGIMEN DE INHABILIDADES E INCOMPATIBILIDADES – Concepto – Principio de legalidad / INHABILIDADES E INCOMPATIBILIDADES ― Interpretación restrictiva / PROHIBICIÓN PARA EXSERVIDORES PÚBLICOS – Ley 734 de 2022 – Ley 1952 de 2019 – Alcance</w:t>
            </w:r>
          </w:p>
        </w:tc>
      </w:tr>
      <w:tr w:rsidR="003D455F" w:rsidRPr="003D455F" w14:paraId="7E0AC4A8" w14:textId="77777777">
        <w:trPr>
          <w:jc w:val="right"/>
        </w:trPr>
        <w:tc>
          <w:tcPr>
            <w:tcW w:w="1838" w:type="dxa"/>
          </w:tcPr>
          <w:p w14:paraId="7A4DAB61" w14:textId="77777777" w:rsidR="003D455F" w:rsidRPr="003D455F" w:rsidRDefault="003D455F" w:rsidP="003D455F">
            <w:pPr>
              <w:jc w:val="center"/>
              <w:rPr>
                <w:rFonts w:ascii="Verdana" w:eastAsia="Calibri" w:hAnsi="Verdana" w:cs="Arial"/>
                <w:b/>
                <w:lang w:val="es-ES" w:eastAsia="es-ES_tradnl"/>
              </w:rPr>
            </w:pPr>
            <w:r w:rsidRPr="003D455F">
              <w:rPr>
                <w:rFonts w:ascii="Verdana" w:eastAsia="Calibri" w:hAnsi="Verdana" w:cs="Arial"/>
                <w:b/>
                <w:lang w:val="es-ES" w:eastAsia="es-ES_tradnl"/>
              </w:rPr>
              <w:t>Radicación:</w:t>
            </w:r>
          </w:p>
        </w:tc>
        <w:tc>
          <w:tcPr>
            <w:tcW w:w="6237" w:type="dxa"/>
          </w:tcPr>
          <w:p w14:paraId="10B4AAD7" w14:textId="77777777" w:rsidR="003D455F" w:rsidRPr="003D455F" w:rsidRDefault="003D455F" w:rsidP="003D455F">
            <w:pPr>
              <w:jc w:val="both"/>
              <w:rPr>
                <w:rFonts w:ascii="Verdana" w:eastAsia="Calibri" w:hAnsi="Verdana" w:cs="Arial"/>
                <w:lang w:val="es-ES" w:eastAsia="es-ES_tradnl"/>
              </w:rPr>
            </w:pPr>
            <w:r w:rsidRPr="003D455F">
              <w:rPr>
                <w:rFonts w:ascii="Verdana" w:eastAsia="Calibri" w:hAnsi="Verdana" w:cs="Arial"/>
                <w:lang w:val="es-ES" w:eastAsia="es-ES_tradnl"/>
              </w:rPr>
              <w:t xml:space="preserve">Respuesta a consulta radicado No. </w:t>
            </w:r>
            <w:r w:rsidRPr="003D455F">
              <w:rPr>
                <w:rFonts w:ascii="Verdana" w:eastAsia="Times New Roman" w:hAnsi="Verdana" w:cs="Arial"/>
                <w:lang w:eastAsia="es-ES_tradnl"/>
              </w:rPr>
              <w:t>P20240724007596</w:t>
            </w:r>
          </w:p>
        </w:tc>
      </w:tr>
    </w:tbl>
    <w:p w14:paraId="7E2756F7" w14:textId="77777777" w:rsidR="003D455F" w:rsidRPr="003D455F" w:rsidRDefault="003D455F" w:rsidP="003D455F">
      <w:pPr>
        <w:spacing w:after="0" w:line="240" w:lineRule="auto"/>
        <w:jc w:val="both"/>
        <w:rPr>
          <w:rFonts w:ascii="Verdana" w:eastAsia="Calibri" w:hAnsi="Verdana" w:cs="Arial"/>
          <w:lang w:val="es-ES_tradnl" w:eastAsia="es-ES_tradnl"/>
        </w:rPr>
      </w:pPr>
    </w:p>
    <w:p w14:paraId="46403E56" w14:textId="77777777" w:rsidR="003D455F" w:rsidRPr="003D455F" w:rsidRDefault="003D455F" w:rsidP="003D455F">
      <w:pPr>
        <w:spacing w:after="0" w:line="240" w:lineRule="auto"/>
        <w:jc w:val="both"/>
        <w:rPr>
          <w:rFonts w:ascii="Verdana" w:eastAsia="Calibri" w:hAnsi="Verdana" w:cs="Arial"/>
          <w:lang w:val="es-ES_tradnl" w:eastAsia="es-ES_tradnl"/>
        </w:rPr>
      </w:pPr>
    </w:p>
    <w:p w14:paraId="29A445C8" w14:textId="77777777" w:rsidR="003D455F" w:rsidRPr="003D455F" w:rsidRDefault="003D455F" w:rsidP="003D455F">
      <w:pPr>
        <w:spacing w:after="0" w:line="276" w:lineRule="auto"/>
        <w:contextualSpacing/>
        <w:jc w:val="both"/>
        <w:rPr>
          <w:rFonts w:ascii="Verdana" w:eastAsia="Calibri" w:hAnsi="Verdana" w:cs="Arial"/>
          <w:bCs/>
          <w:lang w:val="es-ES_tradnl" w:eastAsia="es-ES_tradnl"/>
        </w:rPr>
      </w:pPr>
      <w:r w:rsidRPr="003D455F">
        <w:rPr>
          <w:rFonts w:ascii="Verdana" w:eastAsia="Calibri" w:hAnsi="Verdana" w:cs="Arial"/>
          <w:lang w:val="es-ES_tradnl" w:eastAsia="es-ES_tradnl"/>
        </w:rPr>
        <w:t>Estimado señor Patiño</w:t>
      </w:r>
      <w:r w:rsidRPr="003D455F">
        <w:rPr>
          <w:rFonts w:ascii="Verdana" w:eastAsia="Calibri" w:hAnsi="Verdana" w:cs="Arial"/>
          <w:bCs/>
          <w:lang w:val="es-ES_tradnl" w:eastAsia="es-ES_tradnl"/>
        </w:rPr>
        <w:t>:</w:t>
      </w:r>
    </w:p>
    <w:p w14:paraId="1E15C9A6" w14:textId="77777777" w:rsidR="003D455F" w:rsidRPr="003D455F" w:rsidRDefault="003D455F" w:rsidP="003D455F">
      <w:pPr>
        <w:spacing w:after="0" w:line="276" w:lineRule="auto"/>
        <w:contextualSpacing/>
        <w:jc w:val="both"/>
        <w:rPr>
          <w:rFonts w:ascii="Verdana" w:eastAsia="Calibri" w:hAnsi="Verdana" w:cs="Arial"/>
          <w:lang w:val="es-ES_tradnl" w:eastAsia="es-ES_tradnl"/>
        </w:rPr>
      </w:pPr>
    </w:p>
    <w:p w14:paraId="44E59D6D" w14:textId="77777777" w:rsidR="003D455F" w:rsidRPr="003D455F" w:rsidRDefault="003D455F" w:rsidP="003D455F">
      <w:pPr>
        <w:spacing w:after="0" w:line="276" w:lineRule="auto"/>
        <w:contextualSpacing/>
        <w:jc w:val="both"/>
        <w:rPr>
          <w:rFonts w:ascii="Verdana" w:eastAsia="Calibri" w:hAnsi="Verdana" w:cs="Arial"/>
          <w:lang w:val="es-ES" w:eastAsia="es-ES_tradnl"/>
        </w:rPr>
      </w:pPr>
      <w:r w:rsidRPr="003D455F">
        <w:rPr>
          <w:rFonts w:ascii="Verdana" w:eastAsia="Calibri" w:hAnsi="Verdana" w:cs="Arial"/>
          <w:lang w:val="es-ES" w:eastAsia="es-ES_tradnl"/>
        </w:rPr>
        <w:t>En ejercicio de la competencia otorgada por los artículos 3, numeral 5º, y 11, numeral 8º, del Decreto Ley 4170 de 2011, así como lo establecido en el artículo 4 de la Resolución 1707 de 2018 expedida por esta Entidad, la Agencia Nacional de Contratación Pública – Colombia Compra Eficiente– responde su solicitud de consulta de fecha 24 de julio de 2024, en la cual manifiesta lo siguiente:</w:t>
      </w:r>
    </w:p>
    <w:p w14:paraId="37D53A50" w14:textId="77777777" w:rsidR="003D455F" w:rsidRPr="003D455F" w:rsidRDefault="003D455F" w:rsidP="003D455F">
      <w:pPr>
        <w:spacing w:after="0" w:line="276" w:lineRule="auto"/>
        <w:contextualSpacing/>
        <w:jc w:val="both"/>
        <w:rPr>
          <w:rFonts w:ascii="Verdana" w:eastAsia="Calibri" w:hAnsi="Verdana" w:cs="Arial"/>
          <w:b/>
          <w:szCs w:val="24"/>
          <w:lang w:val="es-ES_tradnl" w:eastAsia="es-ES_tradnl"/>
        </w:rPr>
      </w:pPr>
    </w:p>
    <w:p w14:paraId="0A2ACF21" w14:textId="77777777" w:rsidR="003D455F" w:rsidRPr="003D455F" w:rsidRDefault="003D455F" w:rsidP="003D455F">
      <w:pPr>
        <w:spacing w:after="0" w:line="240" w:lineRule="auto"/>
        <w:ind w:left="709" w:right="709"/>
        <w:contextualSpacing/>
        <w:jc w:val="both"/>
        <w:rPr>
          <w:rFonts w:ascii="Verdana" w:eastAsia="Times New Roman" w:hAnsi="Verdana" w:cs="Arial"/>
          <w:sz w:val="21"/>
          <w:szCs w:val="21"/>
          <w:lang w:eastAsia="es-ES_tradnl"/>
        </w:rPr>
      </w:pPr>
      <w:r w:rsidRPr="003D455F">
        <w:rPr>
          <w:rFonts w:ascii="Verdana" w:eastAsia="Times New Roman" w:hAnsi="Verdana" w:cs="Arial"/>
          <w:sz w:val="21"/>
          <w:szCs w:val="21"/>
          <w:lang w:eastAsia="es-ES_tradnl"/>
        </w:rPr>
        <w:t>“Teniendo en cuenta que la ley 734 de 2002 fue derogada, a partir del 29 de marzo de 2022, por el artículo 265 de la Ley 1952 de 2019, derogando también el artículo 3 de la ley 1474 de 2011 ¿Existe a la fecha alguna prohibición o impedimento que impida que ex servidores públicos gestionen intereses privados y/o contraten con entidades estatales?, entendidos estos como la prestación de servicios de asistencia, representación o asesoría en asuntos relacionados con las funciones propias del cargo hasta por el término de dos (02) años después de la dejación del cargo, con respecto de la entidad o corporación en la cual prestó sus servicios o con respecto a las entidades que estuvieron sujetos a la inspección, vigilancia, control o regulación de la entidad, corporación u organismos al que se haya estado vinculado”.</w:t>
      </w:r>
    </w:p>
    <w:p w14:paraId="2758E414" w14:textId="77777777" w:rsidR="003D455F" w:rsidRPr="003D455F" w:rsidRDefault="003D455F" w:rsidP="003D455F">
      <w:pPr>
        <w:spacing w:after="0" w:line="240" w:lineRule="auto"/>
        <w:ind w:left="709" w:right="709"/>
        <w:contextualSpacing/>
        <w:jc w:val="both"/>
        <w:rPr>
          <w:rFonts w:ascii="Verdana" w:eastAsia="Times New Roman" w:hAnsi="Verdana" w:cs="Arial"/>
          <w:sz w:val="21"/>
          <w:szCs w:val="21"/>
          <w:lang w:eastAsia="es-ES_tradnl"/>
        </w:rPr>
      </w:pPr>
    </w:p>
    <w:p w14:paraId="1832AADC" w14:textId="77777777" w:rsidR="003D455F" w:rsidRPr="003D455F" w:rsidRDefault="003D455F" w:rsidP="003D455F">
      <w:pPr>
        <w:spacing w:after="120" w:line="276" w:lineRule="auto"/>
        <w:ind w:firstLine="709"/>
        <w:jc w:val="both"/>
        <w:rPr>
          <w:rFonts w:ascii="Verdana" w:eastAsia="Calibri" w:hAnsi="Verdana" w:cs="Arial"/>
          <w:color w:val="000000"/>
          <w:szCs w:val="24"/>
          <w:lang w:val="es-ES_tradnl" w:eastAsia="es-ES_tradnl"/>
        </w:rPr>
      </w:pPr>
      <w:r w:rsidRPr="003D455F">
        <w:rPr>
          <w:rFonts w:ascii="Verdana" w:eastAsia="Calibri" w:hAnsi="Verdana" w:cs="Arial"/>
          <w:color w:val="000000"/>
          <w:lang w:val="es-ES" w:eastAsia="es-ES"/>
        </w:rPr>
        <w:lastRenderedPageBreak/>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3D455F">
        <w:rPr>
          <w:rFonts w:ascii="Verdana" w:eastAsia="Calibri" w:hAnsi="Verdana" w:cs="Arial"/>
          <w:color w:val="000000"/>
          <w:szCs w:val="24"/>
          <w:lang w:val="es-ES_tradnl" w:eastAsia="es-ES_tradnl"/>
        </w:rPr>
        <w:tab/>
      </w:r>
    </w:p>
    <w:p w14:paraId="6AD17A5C" w14:textId="77777777" w:rsidR="003D455F" w:rsidRPr="003D455F" w:rsidRDefault="003D455F" w:rsidP="003D455F">
      <w:pPr>
        <w:spacing w:after="0" w:line="276" w:lineRule="auto"/>
        <w:ind w:firstLine="709"/>
        <w:jc w:val="both"/>
        <w:rPr>
          <w:rFonts w:ascii="Verdana" w:eastAsia="Calibri" w:hAnsi="Verdana" w:cs="Arial"/>
          <w:lang w:val="es-ES" w:eastAsia="es-ES"/>
        </w:rPr>
      </w:pPr>
      <w:r w:rsidRPr="003D455F">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014FFD5B" w14:textId="77777777" w:rsidR="003D455F" w:rsidRPr="003D455F" w:rsidRDefault="003D455F" w:rsidP="003D455F">
      <w:pPr>
        <w:spacing w:after="0" w:line="276" w:lineRule="auto"/>
        <w:contextualSpacing/>
        <w:jc w:val="both"/>
        <w:rPr>
          <w:rFonts w:ascii="Verdana" w:eastAsia="Times New Roman" w:hAnsi="Verdana" w:cs="Arial"/>
          <w:szCs w:val="24"/>
          <w:lang w:val="es-ES_tradnl" w:eastAsia="es-ES_tradnl"/>
        </w:rPr>
      </w:pPr>
    </w:p>
    <w:p w14:paraId="74B74F1E" w14:textId="77777777" w:rsidR="003D455F" w:rsidRPr="003D455F" w:rsidRDefault="003D455F" w:rsidP="003D455F">
      <w:pPr>
        <w:tabs>
          <w:tab w:val="left" w:pos="0"/>
          <w:tab w:val="left" w:pos="284"/>
        </w:tabs>
        <w:spacing w:after="0" w:line="276" w:lineRule="auto"/>
        <w:contextualSpacing/>
        <w:jc w:val="both"/>
        <w:rPr>
          <w:rFonts w:ascii="Verdana" w:eastAsia="Calibri" w:hAnsi="Verdana" w:cs="Arial"/>
          <w:b/>
          <w:lang w:val="es-ES_tradnl"/>
        </w:rPr>
      </w:pPr>
      <w:r w:rsidRPr="003D455F">
        <w:rPr>
          <w:rFonts w:ascii="Verdana" w:eastAsia="Calibri" w:hAnsi="Verdana" w:cs="Arial"/>
          <w:b/>
          <w:lang w:val="es-ES_tradnl"/>
        </w:rPr>
        <w:t>1. Problema planteado:</w:t>
      </w:r>
    </w:p>
    <w:p w14:paraId="3763218B" w14:textId="77777777" w:rsidR="003D455F" w:rsidRPr="003D455F" w:rsidRDefault="003D455F" w:rsidP="003D455F">
      <w:pPr>
        <w:tabs>
          <w:tab w:val="left" w:pos="0"/>
          <w:tab w:val="left" w:pos="284"/>
        </w:tabs>
        <w:spacing w:after="0" w:line="276" w:lineRule="auto"/>
        <w:contextualSpacing/>
        <w:jc w:val="both"/>
        <w:rPr>
          <w:rFonts w:ascii="Verdana" w:eastAsia="Calibri" w:hAnsi="Verdana" w:cs="Arial"/>
          <w:b/>
          <w:lang w:val="es-ES_tradnl"/>
        </w:rPr>
      </w:pPr>
    </w:p>
    <w:p w14:paraId="710AA93C" w14:textId="77777777" w:rsidR="003D455F" w:rsidRPr="003D455F" w:rsidRDefault="003D455F" w:rsidP="003D455F">
      <w:pPr>
        <w:spacing w:after="0" w:line="276" w:lineRule="auto"/>
        <w:jc w:val="both"/>
        <w:rPr>
          <w:rFonts w:ascii="Verdana" w:eastAsia="Century Gothic" w:hAnsi="Verdana" w:cs="Century Gothic"/>
        </w:rPr>
      </w:pPr>
      <w:r w:rsidRPr="003D455F">
        <w:rPr>
          <w:rFonts w:ascii="Verdana" w:eastAsia="Century Gothic" w:hAnsi="Verdana" w:cs="Century Gothic"/>
        </w:rPr>
        <w:t>De acuerdo con el contenido de su solicitud, esta Agencia resolverá el siguiente problema jurídico: ¿Existe impedimento, inhabilidad o prohibición para que un exservidor público sea contratado en el ámbito privado o por una entidad estatal</w:t>
      </w:r>
      <w:r w:rsidRPr="003D455F">
        <w:t xml:space="preserve"> </w:t>
      </w:r>
      <w:r w:rsidRPr="003D455F">
        <w:rPr>
          <w:rFonts w:ascii="Verdana" w:eastAsia="Century Gothic" w:hAnsi="Verdana" w:cs="Century Gothic"/>
        </w:rPr>
        <w:t xml:space="preserve">en asuntos relacionados con las funciones propias del cargo que tuvo? </w:t>
      </w:r>
    </w:p>
    <w:p w14:paraId="410B5789" w14:textId="77777777" w:rsidR="003D455F" w:rsidRPr="003D455F" w:rsidRDefault="003D455F" w:rsidP="003D455F">
      <w:pPr>
        <w:spacing w:after="0" w:line="276" w:lineRule="auto"/>
        <w:ind w:firstLine="709"/>
        <w:jc w:val="both"/>
        <w:rPr>
          <w:rFonts w:ascii="Verdana" w:eastAsia="Calibri" w:hAnsi="Verdana" w:cs="Arial"/>
          <w:lang w:val="es-ES" w:eastAsia="es-ES_tradnl"/>
        </w:rPr>
      </w:pPr>
    </w:p>
    <w:p w14:paraId="6B29FC9B" w14:textId="77777777" w:rsidR="003D455F" w:rsidRPr="003D455F" w:rsidRDefault="003D455F" w:rsidP="003D455F">
      <w:pPr>
        <w:tabs>
          <w:tab w:val="left" w:pos="142"/>
          <w:tab w:val="left" w:pos="284"/>
        </w:tabs>
        <w:spacing w:after="0" w:line="276" w:lineRule="auto"/>
        <w:jc w:val="both"/>
        <w:rPr>
          <w:rFonts w:ascii="Verdana" w:eastAsia="Century Gothic" w:hAnsi="Verdana" w:cs="Century Gothic"/>
          <w:b/>
          <w:bCs/>
        </w:rPr>
      </w:pPr>
      <w:r w:rsidRPr="003D455F">
        <w:rPr>
          <w:rFonts w:ascii="Verdana" w:eastAsia="Century Gothic" w:hAnsi="Verdana" w:cs="Century Gothic"/>
          <w:b/>
          <w:bCs/>
        </w:rPr>
        <w:t>2. Respuesta:</w:t>
      </w:r>
    </w:p>
    <w:p w14:paraId="44CCBE58" w14:textId="77777777" w:rsidR="003D455F" w:rsidRPr="003D455F" w:rsidRDefault="003D455F" w:rsidP="003D455F">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3D455F" w:rsidRPr="003D455F" w14:paraId="604B21FD" w14:textId="77777777">
        <w:tc>
          <w:tcPr>
            <w:tcW w:w="8828" w:type="dxa"/>
            <w:shd w:val="clear" w:color="auto" w:fill="auto"/>
          </w:tcPr>
          <w:p w14:paraId="7DAF0F81" w14:textId="77777777" w:rsidR="003D455F" w:rsidRPr="003D455F" w:rsidRDefault="003D455F" w:rsidP="003D455F">
            <w:pPr>
              <w:spacing w:after="120" w:line="276" w:lineRule="auto"/>
              <w:jc w:val="both"/>
              <w:rPr>
                <w:rFonts w:ascii="Verdana" w:hAnsi="Verdana" w:cs="Arial"/>
              </w:rPr>
            </w:pPr>
            <w:r w:rsidRPr="003D455F">
              <w:rPr>
                <w:rFonts w:ascii="Verdana" w:hAnsi="Verdana" w:cs="Arial"/>
              </w:rPr>
              <w:t xml:space="preserve">Los artículos 35, numeral 22 de la Ley 734 de 2002 y 56, numeral 4 de la Ley 1952 de 2019, coinciden en señalar la prohibición en virtud de la cual funcionarios y exfuncionarios tienen vedada la posibilidad de prestar, a título personal o por interpuesta persona, servicios de asistencia, representación o asesoría en asuntos relacionados con las funciones propias del cargo o permitir que eso suceda con posterioridad a la dejación del cargo. La diferencia sustancial entre lo dispuesto en tales normas consiste en que, en lo relativo a los exfuncionarios, la disposición hoy día vigente redujo de dos a un año el </w:t>
            </w:r>
            <w:r w:rsidRPr="003D455F">
              <w:rPr>
                <w:rFonts w:ascii="Verdana" w:hAnsi="Verdana" w:cs="Arial"/>
              </w:rPr>
              <w:lastRenderedPageBreak/>
              <w:t>periodo durante el cual rige la restricción para los exfuncionarios, el cual debe ser contado a partir de la dejación del cargo.</w:t>
            </w:r>
          </w:p>
          <w:p w14:paraId="3FF2CA64" w14:textId="77777777" w:rsidR="003D455F" w:rsidRPr="003D455F" w:rsidRDefault="003D455F" w:rsidP="003D455F">
            <w:pPr>
              <w:spacing w:after="120" w:line="276" w:lineRule="auto"/>
              <w:ind w:firstLine="708"/>
              <w:jc w:val="both"/>
              <w:rPr>
                <w:rFonts w:ascii="Verdana" w:eastAsia="Calibri" w:hAnsi="Verdana" w:cs="Arial"/>
                <w:color w:val="7030A0"/>
              </w:rPr>
            </w:pPr>
            <w:r w:rsidRPr="003D455F">
              <w:rPr>
                <w:rFonts w:ascii="Verdana" w:eastAsia="Times New Roman" w:hAnsi="Verdana" w:cs="Arial"/>
                <w:color w:val="000000" w:themeColor="text1"/>
                <w:lang w:eastAsia="es-CO"/>
              </w:rPr>
              <w:t xml:space="preserve">No obstante, al tratarse de un análisis que debe realizarse en cada procedimiento contractual específico, la Agencia no puede definir un criterio universal y absoluto por vía consultiva, sino que brinda elementos de carácter general para que los partícipes del sistema de compras y contratación pública adopten la decisión que corresponda, lo cual es acorde con el principio de juridicidad. De esta manera, cada uno de ellos definirá la forma de adelantar su gestión contractual, sin que sea atribución de Colombia Compra Eficiente validar sus actuaciones. </w:t>
            </w:r>
          </w:p>
        </w:tc>
      </w:tr>
    </w:tbl>
    <w:p w14:paraId="3D63C193" w14:textId="77777777" w:rsidR="003D455F" w:rsidRPr="003D455F" w:rsidRDefault="003D455F" w:rsidP="003D455F">
      <w:pPr>
        <w:spacing w:after="0" w:line="276" w:lineRule="auto"/>
        <w:contextualSpacing/>
        <w:jc w:val="both"/>
        <w:rPr>
          <w:rFonts w:ascii="Verdana" w:eastAsia="Times New Roman" w:hAnsi="Verdana" w:cs="Arial"/>
          <w:lang w:eastAsia="es-ES_tradnl"/>
        </w:rPr>
      </w:pPr>
    </w:p>
    <w:p w14:paraId="3705F600" w14:textId="77777777" w:rsidR="003D455F" w:rsidRPr="003D455F" w:rsidRDefault="003D455F" w:rsidP="003D455F">
      <w:pPr>
        <w:tabs>
          <w:tab w:val="left" w:pos="142"/>
          <w:tab w:val="left" w:pos="284"/>
        </w:tabs>
        <w:spacing w:after="0" w:line="276" w:lineRule="auto"/>
        <w:jc w:val="both"/>
        <w:rPr>
          <w:rFonts w:ascii="Verdana" w:eastAsia="Century Gothic" w:hAnsi="Verdana" w:cs="Century Gothic"/>
          <w:b/>
          <w:bCs/>
          <w:lang w:val="es-ES"/>
        </w:rPr>
      </w:pPr>
      <w:r w:rsidRPr="003D455F">
        <w:rPr>
          <w:rFonts w:ascii="Verdana" w:eastAsia="Century Gothic" w:hAnsi="Verdana" w:cs="Century Gothic"/>
          <w:b/>
          <w:bCs/>
          <w:lang w:val="es-ES"/>
        </w:rPr>
        <w:t>3. Razones de la respuesta:</w:t>
      </w:r>
    </w:p>
    <w:p w14:paraId="7ABB306B" w14:textId="77777777" w:rsidR="003D455F" w:rsidRPr="003D455F" w:rsidRDefault="003D455F" w:rsidP="003D455F">
      <w:pPr>
        <w:spacing w:after="0" w:line="276" w:lineRule="auto"/>
        <w:jc w:val="both"/>
        <w:rPr>
          <w:rFonts w:ascii="Verdana" w:eastAsia="Calibri" w:hAnsi="Verdana" w:cs="Arial"/>
          <w:color w:val="7030A0"/>
          <w:lang w:val="es-ES"/>
        </w:rPr>
      </w:pPr>
    </w:p>
    <w:p w14:paraId="7A3D7194" w14:textId="77777777" w:rsidR="003D455F" w:rsidRPr="003D455F" w:rsidRDefault="003D455F" w:rsidP="003D455F">
      <w:pPr>
        <w:spacing w:after="0" w:line="276" w:lineRule="auto"/>
        <w:jc w:val="both"/>
        <w:rPr>
          <w:rFonts w:ascii="Verdana" w:eastAsia="Calibri" w:hAnsi="Verdana" w:cs="Arial"/>
          <w:lang w:val="es-ES"/>
        </w:rPr>
      </w:pPr>
      <w:r w:rsidRPr="003D455F">
        <w:rPr>
          <w:rFonts w:ascii="Verdana" w:eastAsia="Calibri" w:hAnsi="Verdana" w:cs="Arial"/>
          <w:lang w:val="es-ES"/>
        </w:rPr>
        <w:t xml:space="preserve">Lo anterior se sustenta en las siguientes consideraciones: </w:t>
      </w:r>
    </w:p>
    <w:p w14:paraId="223B2C95" w14:textId="77777777" w:rsidR="003D455F" w:rsidRPr="003D455F" w:rsidRDefault="003D455F" w:rsidP="003D455F">
      <w:pPr>
        <w:spacing w:after="0" w:line="276" w:lineRule="auto"/>
        <w:jc w:val="both"/>
        <w:rPr>
          <w:rFonts w:ascii="Verdana" w:eastAsia="Calibri" w:hAnsi="Verdana" w:cs="Arial"/>
          <w:lang w:val="es-ES"/>
        </w:rPr>
      </w:pPr>
    </w:p>
    <w:p w14:paraId="532A26AC" w14:textId="77777777" w:rsidR="003D455F" w:rsidRPr="003D455F" w:rsidRDefault="003D455F" w:rsidP="003D455F">
      <w:pPr>
        <w:widowControl w:val="0"/>
        <w:numPr>
          <w:ilvl w:val="0"/>
          <w:numId w:val="17"/>
        </w:numPr>
        <w:autoSpaceDE w:val="0"/>
        <w:autoSpaceDN w:val="0"/>
        <w:spacing w:after="0" w:line="276" w:lineRule="auto"/>
        <w:ind w:right="68"/>
        <w:contextualSpacing/>
        <w:jc w:val="both"/>
        <w:rPr>
          <w:rFonts w:ascii="Verdana" w:eastAsia="Arial MT" w:hAnsi="Verdana" w:cs="Arial"/>
          <w:u w:val="single"/>
          <w:lang w:val="es-ES"/>
        </w:rPr>
      </w:pPr>
      <w:r w:rsidRPr="003D455F">
        <w:rPr>
          <w:rFonts w:ascii="Verdana" w:eastAsia="Arial MT" w:hAnsi="Verdana" w:cs="Arial"/>
          <w:lang w:val="es-ES"/>
        </w:rPr>
        <w:t>El régimen de inhabilidades e incompatibilidades en la contratación pública</w:t>
      </w:r>
      <w:r w:rsidRPr="003D455F">
        <w:rPr>
          <w:rFonts w:ascii="Verdana" w:eastAsia="Arial MT" w:hAnsi="Verdana" w:cs="Arial"/>
          <w:spacing w:val="1"/>
          <w:lang w:val="es-ES"/>
        </w:rPr>
        <w:t xml:space="preserve"> </w:t>
      </w:r>
      <w:r w:rsidRPr="003D455F">
        <w:rPr>
          <w:rFonts w:ascii="Verdana" w:eastAsia="Arial MT" w:hAnsi="Verdana" w:cs="Arial"/>
          <w:lang w:val="es-ES"/>
        </w:rPr>
        <w:t xml:space="preserve">responde al propósito de asegurar que la actividad de adquisición y provisión de </w:t>
      </w:r>
      <w:r w:rsidRPr="003D455F">
        <w:rPr>
          <w:rFonts w:ascii="Verdana" w:eastAsia="Arial MT" w:hAnsi="Verdana" w:cs="Arial"/>
          <w:spacing w:val="1"/>
          <w:lang w:val="es-ES"/>
        </w:rPr>
        <w:t>bienes</w:t>
      </w:r>
      <w:r w:rsidRPr="003D455F">
        <w:rPr>
          <w:rFonts w:ascii="Verdana" w:eastAsia="Arial MT" w:hAnsi="Verdana" w:cs="Arial"/>
          <w:lang w:val="es-ES"/>
        </w:rPr>
        <w:t xml:space="preserve"> y servicios por parte de las entidades estatales se efectúe cumpliendo con los</w:t>
      </w:r>
      <w:r w:rsidRPr="003D455F">
        <w:rPr>
          <w:rFonts w:ascii="Verdana" w:eastAsia="Arial MT" w:hAnsi="Verdana" w:cs="Arial"/>
          <w:spacing w:val="1"/>
          <w:lang w:val="es-ES"/>
        </w:rPr>
        <w:t xml:space="preserve"> </w:t>
      </w:r>
      <w:r w:rsidRPr="003D455F">
        <w:rPr>
          <w:rFonts w:ascii="Verdana" w:eastAsia="Arial MT" w:hAnsi="Verdana" w:cs="Arial"/>
          <w:lang w:val="es-ES"/>
        </w:rPr>
        <w:t>principios</w:t>
      </w:r>
      <w:r w:rsidRPr="003D455F">
        <w:rPr>
          <w:rFonts w:ascii="Verdana" w:eastAsia="Arial MT" w:hAnsi="Verdana" w:cs="Arial"/>
          <w:spacing w:val="-11"/>
          <w:lang w:val="es-ES"/>
        </w:rPr>
        <w:t xml:space="preserve"> </w:t>
      </w:r>
      <w:r w:rsidRPr="003D455F">
        <w:rPr>
          <w:rFonts w:ascii="Verdana" w:eastAsia="Arial MT" w:hAnsi="Verdana" w:cs="Arial"/>
          <w:lang w:val="es-ES"/>
        </w:rPr>
        <w:t>de</w:t>
      </w:r>
      <w:r w:rsidRPr="003D455F">
        <w:rPr>
          <w:rFonts w:ascii="Verdana" w:eastAsia="Arial MT" w:hAnsi="Verdana" w:cs="Arial"/>
          <w:spacing w:val="-11"/>
          <w:lang w:val="es-ES"/>
        </w:rPr>
        <w:t xml:space="preserve"> </w:t>
      </w:r>
      <w:r w:rsidRPr="003D455F">
        <w:rPr>
          <w:rFonts w:ascii="Verdana" w:eastAsia="Arial MT" w:hAnsi="Verdana" w:cs="Arial"/>
          <w:lang w:val="es-ES"/>
        </w:rPr>
        <w:t>la</w:t>
      </w:r>
      <w:r w:rsidRPr="003D455F">
        <w:rPr>
          <w:rFonts w:ascii="Verdana" w:eastAsia="Arial MT" w:hAnsi="Verdana" w:cs="Arial"/>
          <w:spacing w:val="-11"/>
          <w:lang w:val="es-ES"/>
        </w:rPr>
        <w:t xml:space="preserve"> </w:t>
      </w:r>
      <w:r w:rsidRPr="003D455F">
        <w:rPr>
          <w:rFonts w:ascii="Verdana" w:eastAsia="Arial MT" w:hAnsi="Verdana" w:cs="Arial"/>
          <w:lang w:val="es-ES"/>
        </w:rPr>
        <w:t>función</w:t>
      </w:r>
      <w:r w:rsidRPr="003D455F">
        <w:rPr>
          <w:rFonts w:ascii="Verdana" w:eastAsia="Arial MT" w:hAnsi="Verdana" w:cs="Arial"/>
          <w:spacing w:val="-10"/>
          <w:lang w:val="es-ES"/>
        </w:rPr>
        <w:t xml:space="preserve"> </w:t>
      </w:r>
      <w:r w:rsidRPr="003D455F">
        <w:rPr>
          <w:rFonts w:ascii="Verdana" w:eastAsia="Arial MT" w:hAnsi="Verdana" w:cs="Arial"/>
          <w:lang w:val="es-ES"/>
        </w:rPr>
        <w:t>administrativa</w:t>
      </w:r>
      <w:r w:rsidRPr="003D455F">
        <w:rPr>
          <w:rFonts w:ascii="Verdana" w:eastAsia="Arial MT" w:hAnsi="Verdana" w:cs="Arial"/>
          <w:spacing w:val="-11"/>
          <w:lang w:val="es-ES"/>
        </w:rPr>
        <w:t xml:space="preserve"> </w:t>
      </w:r>
      <w:r w:rsidRPr="003D455F">
        <w:rPr>
          <w:rFonts w:ascii="Verdana" w:eastAsia="Arial MT" w:hAnsi="Verdana" w:cs="Arial"/>
          <w:lang w:val="es-ES"/>
        </w:rPr>
        <w:t>y</w:t>
      </w:r>
      <w:r w:rsidRPr="003D455F">
        <w:rPr>
          <w:rFonts w:ascii="Verdana" w:eastAsia="Arial MT" w:hAnsi="Verdana" w:cs="Arial"/>
          <w:spacing w:val="-10"/>
          <w:lang w:val="es-ES"/>
        </w:rPr>
        <w:t xml:space="preserve"> </w:t>
      </w:r>
      <w:r w:rsidRPr="003D455F">
        <w:rPr>
          <w:rFonts w:ascii="Verdana" w:eastAsia="Arial MT" w:hAnsi="Verdana" w:cs="Arial"/>
          <w:lang w:val="es-ES"/>
        </w:rPr>
        <w:t>de</w:t>
      </w:r>
      <w:r w:rsidRPr="003D455F">
        <w:rPr>
          <w:rFonts w:ascii="Verdana" w:eastAsia="Arial MT" w:hAnsi="Verdana" w:cs="Arial"/>
          <w:spacing w:val="-11"/>
          <w:lang w:val="es-ES"/>
        </w:rPr>
        <w:t xml:space="preserve"> </w:t>
      </w:r>
      <w:r w:rsidRPr="003D455F">
        <w:rPr>
          <w:rFonts w:ascii="Verdana" w:eastAsia="Arial MT" w:hAnsi="Verdana" w:cs="Arial"/>
          <w:lang w:val="es-ES"/>
        </w:rPr>
        <w:t>la</w:t>
      </w:r>
      <w:r w:rsidRPr="003D455F">
        <w:rPr>
          <w:rFonts w:ascii="Verdana" w:eastAsia="Arial MT" w:hAnsi="Verdana" w:cs="Arial"/>
          <w:spacing w:val="-11"/>
          <w:lang w:val="es-ES"/>
        </w:rPr>
        <w:t xml:space="preserve"> </w:t>
      </w:r>
      <w:r w:rsidRPr="003D455F">
        <w:rPr>
          <w:rFonts w:ascii="Verdana" w:eastAsia="Arial MT" w:hAnsi="Verdana" w:cs="Arial"/>
          <w:lang w:val="es-ES"/>
        </w:rPr>
        <w:t>gestión</w:t>
      </w:r>
      <w:r w:rsidRPr="003D455F">
        <w:rPr>
          <w:rFonts w:ascii="Verdana" w:eastAsia="Arial MT" w:hAnsi="Verdana" w:cs="Arial"/>
          <w:spacing w:val="-11"/>
          <w:lang w:val="es-ES"/>
        </w:rPr>
        <w:t xml:space="preserve"> </w:t>
      </w:r>
      <w:r w:rsidRPr="003D455F">
        <w:rPr>
          <w:rFonts w:ascii="Verdana" w:eastAsia="Arial MT" w:hAnsi="Verdana" w:cs="Arial"/>
          <w:lang w:val="es-ES"/>
        </w:rPr>
        <w:t>fiscal,</w:t>
      </w:r>
      <w:r w:rsidRPr="003D455F">
        <w:rPr>
          <w:rFonts w:ascii="Verdana" w:eastAsia="Arial MT" w:hAnsi="Verdana" w:cs="Arial"/>
          <w:spacing w:val="-10"/>
          <w:lang w:val="es-ES"/>
        </w:rPr>
        <w:t xml:space="preserve"> </w:t>
      </w:r>
      <w:r w:rsidRPr="003D455F">
        <w:rPr>
          <w:rFonts w:ascii="Verdana" w:eastAsia="Arial MT" w:hAnsi="Verdana" w:cs="Arial"/>
          <w:lang w:val="es-ES"/>
        </w:rPr>
        <w:t>especialmente</w:t>
      </w:r>
      <w:r w:rsidRPr="003D455F">
        <w:rPr>
          <w:rFonts w:ascii="Verdana" w:eastAsia="Arial MT" w:hAnsi="Verdana" w:cs="Arial"/>
          <w:spacing w:val="-11"/>
          <w:lang w:val="es-ES"/>
        </w:rPr>
        <w:t xml:space="preserve"> </w:t>
      </w:r>
      <w:r w:rsidRPr="003D455F">
        <w:rPr>
          <w:rFonts w:ascii="Verdana" w:eastAsia="Arial MT" w:hAnsi="Verdana" w:cs="Arial"/>
          <w:lang w:val="es-ES"/>
        </w:rPr>
        <w:t>con</w:t>
      </w:r>
      <w:r w:rsidRPr="003D455F">
        <w:rPr>
          <w:rFonts w:ascii="Verdana" w:eastAsia="Arial MT" w:hAnsi="Verdana" w:cs="Arial"/>
          <w:spacing w:val="-11"/>
          <w:lang w:val="es-ES"/>
        </w:rPr>
        <w:t xml:space="preserve"> </w:t>
      </w:r>
      <w:r w:rsidRPr="003D455F">
        <w:rPr>
          <w:rFonts w:ascii="Verdana" w:eastAsia="Arial MT" w:hAnsi="Verdana" w:cs="Arial"/>
          <w:lang w:val="es-ES"/>
        </w:rPr>
        <w:t>probidad</w:t>
      </w:r>
      <w:r w:rsidRPr="003D455F">
        <w:rPr>
          <w:rFonts w:ascii="Verdana" w:eastAsia="Arial MT" w:hAnsi="Verdana" w:cs="Arial"/>
          <w:spacing w:val="1"/>
          <w:lang w:val="es-ES"/>
        </w:rPr>
        <w:t xml:space="preserve"> </w:t>
      </w:r>
      <w:r w:rsidRPr="003D455F">
        <w:rPr>
          <w:rFonts w:ascii="Verdana" w:eastAsia="Arial MT" w:hAnsi="Verdana" w:cs="Arial"/>
          <w:lang w:val="es-ES"/>
        </w:rPr>
        <w:t>y</w:t>
      </w:r>
      <w:r w:rsidRPr="003D455F">
        <w:rPr>
          <w:rFonts w:ascii="Verdana" w:eastAsia="Arial MT" w:hAnsi="Verdana" w:cs="Arial"/>
          <w:spacing w:val="1"/>
          <w:lang w:val="es-ES"/>
        </w:rPr>
        <w:t xml:space="preserve"> </w:t>
      </w:r>
      <w:r w:rsidRPr="003D455F">
        <w:rPr>
          <w:rFonts w:ascii="Verdana" w:eastAsia="Arial MT" w:hAnsi="Verdana" w:cs="Arial"/>
          <w:lang w:val="es-ES"/>
        </w:rPr>
        <w:t>transparencia.</w:t>
      </w:r>
      <w:r w:rsidRPr="003D455F">
        <w:rPr>
          <w:rFonts w:ascii="Verdana" w:eastAsia="Arial MT" w:hAnsi="Verdana" w:cs="Arial"/>
          <w:spacing w:val="1"/>
          <w:lang w:val="es-ES"/>
        </w:rPr>
        <w:t xml:space="preserve"> </w:t>
      </w:r>
      <w:r w:rsidRPr="003D455F">
        <w:rPr>
          <w:rFonts w:ascii="Verdana" w:eastAsia="Arial MT" w:hAnsi="Verdana" w:cs="Arial"/>
          <w:lang w:val="es-ES"/>
        </w:rPr>
        <w:t>Por</w:t>
      </w:r>
      <w:r w:rsidRPr="003D455F">
        <w:rPr>
          <w:rFonts w:ascii="Verdana" w:eastAsia="Arial MT" w:hAnsi="Verdana" w:cs="Arial"/>
          <w:spacing w:val="1"/>
          <w:lang w:val="es-ES"/>
        </w:rPr>
        <w:t xml:space="preserve"> </w:t>
      </w:r>
      <w:r w:rsidRPr="003D455F">
        <w:rPr>
          <w:rFonts w:ascii="Verdana" w:eastAsia="Arial MT" w:hAnsi="Verdana" w:cs="Arial"/>
          <w:lang w:val="es-ES"/>
        </w:rPr>
        <w:t>ello,</w:t>
      </w:r>
      <w:r w:rsidRPr="003D455F">
        <w:rPr>
          <w:rFonts w:ascii="Verdana" w:eastAsia="Arial MT" w:hAnsi="Verdana" w:cs="Arial"/>
          <w:spacing w:val="1"/>
          <w:lang w:val="es-ES"/>
        </w:rPr>
        <w:t xml:space="preserve"> </w:t>
      </w:r>
      <w:r w:rsidRPr="003D455F">
        <w:rPr>
          <w:rFonts w:ascii="Verdana" w:eastAsia="Arial MT" w:hAnsi="Verdana" w:cs="Arial"/>
          <w:lang w:val="es-ES"/>
        </w:rPr>
        <w:t>como</w:t>
      </w:r>
      <w:r w:rsidRPr="003D455F">
        <w:rPr>
          <w:rFonts w:ascii="Verdana" w:eastAsia="Arial MT" w:hAnsi="Verdana" w:cs="Arial"/>
          <w:spacing w:val="1"/>
          <w:lang w:val="es-ES"/>
        </w:rPr>
        <w:t xml:space="preserve"> </w:t>
      </w:r>
      <w:r w:rsidRPr="003D455F">
        <w:rPr>
          <w:rFonts w:ascii="Verdana" w:eastAsia="Arial MT" w:hAnsi="Verdana" w:cs="Arial"/>
          <w:lang w:val="es-ES"/>
        </w:rPr>
        <w:t>lo</w:t>
      </w:r>
      <w:r w:rsidRPr="003D455F">
        <w:rPr>
          <w:rFonts w:ascii="Verdana" w:eastAsia="Arial MT" w:hAnsi="Verdana" w:cs="Arial"/>
          <w:spacing w:val="1"/>
          <w:lang w:val="es-ES"/>
        </w:rPr>
        <w:t xml:space="preserve"> </w:t>
      </w:r>
      <w:r w:rsidRPr="003D455F">
        <w:rPr>
          <w:rFonts w:ascii="Verdana" w:eastAsia="Arial MT" w:hAnsi="Verdana" w:cs="Arial"/>
          <w:lang w:val="es-ES"/>
        </w:rPr>
        <w:t>ha</w:t>
      </w:r>
      <w:r w:rsidRPr="003D455F">
        <w:rPr>
          <w:rFonts w:ascii="Verdana" w:eastAsia="Arial MT" w:hAnsi="Verdana" w:cs="Arial"/>
          <w:spacing w:val="1"/>
          <w:lang w:val="es-ES"/>
        </w:rPr>
        <w:t xml:space="preserve"> </w:t>
      </w:r>
      <w:r w:rsidRPr="003D455F">
        <w:rPr>
          <w:rFonts w:ascii="Verdana" w:eastAsia="Arial MT" w:hAnsi="Verdana" w:cs="Arial"/>
          <w:lang w:val="es-ES"/>
        </w:rPr>
        <w:t>destacado</w:t>
      </w:r>
      <w:r w:rsidRPr="003D455F">
        <w:rPr>
          <w:rFonts w:ascii="Verdana" w:eastAsia="Arial MT" w:hAnsi="Verdana" w:cs="Arial"/>
          <w:spacing w:val="1"/>
          <w:lang w:val="es-ES"/>
        </w:rPr>
        <w:t xml:space="preserve"> </w:t>
      </w:r>
      <w:r w:rsidRPr="003D455F">
        <w:rPr>
          <w:rFonts w:ascii="Verdana" w:eastAsia="Arial MT" w:hAnsi="Verdana" w:cs="Arial"/>
          <w:lang w:val="es-ES"/>
        </w:rPr>
        <w:t>la</w:t>
      </w:r>
      <w:r w:rsidRPr="003D455F">
        <w:rPr>
          <w:rFonts w:ascii="Verdana" w:eastAsia="Arial MT" w:hAnsi="Verdana" w:cs="Arial"/>
          <w:spacing w:val="1"/>
          <w:lang w:val="es-ES"/>
        </w:rPr>
        <w:t xml:space="preserve"> </w:t>
      </w:r>
      <w:r w:rsidRPr="003D455F">
        <w:rPr>
          <w:rFonts w:ascii="Verdana" w:eastAsia="Arial MT" w:hAnsi="Verdana" w:cs="Arial"/>
          <w:lang w:val="es-ES"/>
        </w:rPr>
        <w:t>doctrina,</w:t>
      </w:r>
      <w:r w:rsidRPr="003D455F">
        <w:rPr>
          <w:rFonts w:ascii="Verdana" w:eastAsia="Arial MT" w:hAnsi="Verdana" w:cs="Arial"/>
          <w:spacing w:val="1"/>
          <w:lang w:val="es-ES"/>
        </w:rPr>
        <w:t xml:space="preserve"> </w:t>
      </w:r>
      <w:r w:rsidRPr="003D455F">
        <w:rPr>
          <w:rFonts w:ascii="Verdana" w:eastAsia="Arial MT" w:hAnsi="Verdana" w:cs="Arial"/>
          <w:lang w:val="es-ES"/>
        </w:rPr>
        <w:t>las</w:t>
      </w:r>
      <w:r w:rsidRPr="003D455F">
        <w:rPr>
          <w:rFonts w:ascii="Verdana" w:eastAsia="Arial MT" w:hAnsi="Verdana" w:cs="Arial"/>
          <w:spacing w:val="1"/>
          <w:lang w:val="es-ES"/>
        </w:rPr>
        <w:t xml:space="preserve"> </w:t>
      </w:r>
      <w:r w:rsidRPr="003D455F">
        <w:rPr>
          <w:rFonts w:ascii="Verdana" w:eastAsia="Arial MT" w:hAnsi="Verdana" w:cs="Arial"/>
          <w:lang w:val="es-ES"/>
        </w:rPr>
        <w:t>inhabilidades</w:t>
      </w:r>
      <w:r w:rsidRPr="003D455F">
        <w:rPr>
          <w:rFonts w:ascii="Verdana" w:eastAsia="Arial MT" w:hAnsi="Verdana" w:cs="Arial"/>
          <w:spacing w:val="1"/>
          <w:lang w:val="es-ES"/>
        </w:rPr>
        <w:t xml:space="preserve"> </w:t>
      </w:r>
      <w:r w:rsidRPr="003D455F">
        <w:rPr>
          <w:rFonts w:ascii="Verdana" w:eastAsia="Arial MT" w:hAnsi="Verdana" w:cs="Arial"/>
          <w:lang w:val="es-ES"/>
        </w:rPr>
        <w:t>e</w:t>
      </w:r>
      <w:r w:rsidRPr="003D455F">
        <w:rPr>
          <w:rFonts w:ascii="Verdana" w:eastAsia="Arial MT" w:hAnsi="Verdana" w:cs="Arial"/>
          <w:spacing w:val="1"/>
          <w:lang w:val="es-ES"/>
        </w:rPr>
        <w:t xml:space="preserve"> </w:t>
      </w:r>
      <w:r w:rsidRPr="003D455F">
        <w:rPr>
          <w:rFonts w:ascii="Verdana" w:eastAsia="Arial MT" w:hAnsi="Verdana" w:cs="Arial"/>
          <w:lang w:val="es-ES"/>
        </w:rPr>
        <w:t>incompatibilidades se han convertido en herramientas en la lucha contra la corrupción,</w:t>
      </w:r>
      <w:r w:rsidRPr="003D455F">
        <w:rPr>
          <w:rFonts w:ascii="Verdana" w:eastAsia="Arial MT" w:hAnsi="Verdana" w:cs="Arial"/>
          <w:spacing w:val="1"/>
          <w:lang w:val="es-ES"/>
        </w:rPr>
        <w:t xml:space="preserve"> </w:t>
      </w:r>
      <w:r w:rsidRPr="003D455F">
        <w:rPr>
          <w:rFonts w:ascii="Verdana" w:eastAsia="Arial MT" w:hAnsi="Verdana" w:cs="Arial"/>
          <w:lang w:val="es-ES"/>
        </w:rPr>
        <w:t>adoptando</w:t>
      </w:r>
      <w:r w:rsidRPr="003D455F">
        <w:rPr>
          <w:rFonts w:ascii="Verdana" w:eastAsia="Arial MT" w:hAnsi="Verdana" w:cs="Arial"/>
          <w:spacing w:val="-14"/>
          <w:lang w:val="es-ES"/>
        </w:rPr>
        <w:t xml:space="preserve"> </w:t>
      </w:r>
      <w:r w:rsidRPr="003D455F">
        <w:rPr>
          <w:rFonts w:ascii="Verdana" w:eastAsia="Arial MT" w:hAnsi="Verdana" w:cs="Arial"/>
          <w:lang w:val="es-ES"/>
        </w:rPr>
        <w:t>paulatinamente</w:t>
      </w:r>
      <w:r w:rsidRPr="003D455F">
        <w:rPr>
          <w:rFonts w:ascii="Verdana" w:eastAsia="Arial MT" w:hAnsi="Verdana" w:cs="Arial"/>
          <w:spacing w:val="-14"/>
          <w:lang w:val="es-ES"/>
        </w:rPr>
        <w:t xml:space="preserve"> </w:t>
      </w:r>
      <w:r w:rsidRPr="003D455F">
        <w:rPr>
          <w:rFonts w:ascii="Verdana" w:eastAsia="Arial MT" w:hAnsi="Verdana" w:cs="Arial"/>
          <w:lang w:val="es-ES"/>
        </w:rPr>
        <w:t>un</w:t>
      </w:r>
      <w:r w:rsidRPr="003D455F">
        <w:rPr>
          <w:rFonts w:ascii="Verdana" w:eastAsia="Arial MT" w:hAnsi="Verdana" w:cs="Arial"/>
          <w:spacing w:val="-14"/>
          <w:lang w:val="es-ES"/>
        </w:rPr>
        <w:t xml:space="preserve"> </w:t>
      </w:r>
      <w:r w:rsidRPr="003D455F">
        <w:rPr>
          <w:rFonts w:ascii="Verdana" w:eastAsia="Arial MT" w:hAnsi="Verdana" w:cs="Arial"/>
          <w:lang w:val="es-ES"/>
        </w:rPr>
        <w:t>carácter</w:t>
      </w:r>
      <w:r w:rsidRPr="003D455F">
        <w:rPr>
          <w:rFonts w:ascii="Verdana" w:eastAsia="Arial MT" w:hAnsi="Verdana" w:cs="Arial"/>
          <w:spacing w:val="-15"/>
          <w:lang w:val="es-ES"/>
        </w:rPr>
        <w:t xml:space="preserve"> </w:t>
      </w:r>
      <w:r w:rsidRPr="003D455F">
        <w:rPr>
          <w:rFonts w:ascii="Verdana" w:eastAsia="Arial MT" w:hAnsi="Verdana" w:cs="Arial"/>
          <w:lang w:val="es-ES"/>
        </w:rPr>
        <w:t>sancionatorio</w:t>
      </w:r>
      <w:r w:rsidRPr="003D455F">
        <w:rPr>
          <w:rFonts w:ascii="Verdana" w:eastAsia="Arial MT" w:hAnsi="Verdana" w:cs="Arial"/>
          <w:spacing w:val="-14"/>
          <w:lang w:val="es-ES"/>
        </w:rPr>
        <w:t xml:space="preserve"> </w:t>
      </w:r>
      <w:r w:rsidRPr="003D455F">
        <w:rPr>
          <w:rFonts w:ascii="Verdana" w:eastAsia="Arial MT" w:hAnsi="Verdana" w:cs="Arial"/>
          <w:lang w:val="es-ES"/>
        </w:rPr>
        <w:t>o</w:t>
      </w:r>
      <w:r w:rsidRPr="003D455F">
        <w:rPr>
          <w:rFonts w:ascii="Verdana" w:eastAsia="Arial MT" w:hAnsi="Verdana" w:cs="Arial"/>
          <w:spacing w:val="-15"/>
          <w:lang w:val="es-ES"/>
        </w:rPr>
        <w:t xml:space="preserve"> </w:t>
      </w:r>
      <w:r w:rsidRPr="003D455F">
        <w:rPr>
          <w:rFonts w:ascii="Verdana" w:eastAsia="Arial MT" w:hAnsi="Verdana" w:cs="Arial"/>
          <w:lang w:val="es-ES"/>
        </w:rPr>
        <w:t>“neopunitivo”</w:t>
      </w:r>
      <w:r w:rsidRPr="003D455F">
        <w:rPr>
          <w:rFonts w:ascii="Geomanist Light" w:hAnsi="Geomanist Light"/>
          <w:vertAlign w:val="superscript"/>
          <w:lang w:val="es-ES"/>
        </w:rPr>
        <w:footnoteReference w:id="2"/>
      </w:r>
      <w:r w:rsidRPr="003D455F">
        <w:rPr>
          <w:rFonts w:ascii="Verdana" w:eastAsia="Arial MT" w:hAnsi="Verdana" w:cs="Arial"/>
          <w:lang w:val="es-ES"/>
        </w:rPr>
        <w:t>.</w:t>
      </w:r>
      <w:r w:rsidRPr="003D455F">
        <w:rPr>
          <w:rFonts w:ascii="Verdana" w:eastAsia="Arial MT" w:hAnsi="Verdana" w:cs="Arial"/>
          <w:spacing w:val="-14"/>
          <w:lang w:val="es-ES"/>
        </w:rPr>
        <w:t xml:space="preserve"> </w:t>
      </w:r>
      <w:r w:rsidRPr="003D455F">
        <w:rPr>
          <w:rFonts w:ascii="Verdana" w:eastAsia="Arial MT" w:hAnsi="Verdana" w:cs="Arial"/>
          <w:lang w:val="es-ES"/>
        </w:rPr>
        <w:t>Si</w:t>
      </w:r>
      <w:r w:rsidRPr="003D455F">
        <w:rPr>
          <w:rFonts w:ascii="Verdana" w:eastAsia="Arial MT" w:hAnsi="Verdana" w:cs="Arial"/>
          <w:spacing w:val="-14"/>
          <w:lang w:val="es-ES"/>
        </w:rPr>
        <w:t xml:space="preserve"> </w:t>
      </w:r>
      <w:r w:rsidRPr="003D455F">
        <w:rPr>
          <w:rFonts w:ascii="Verdana" w:eastAsia="Arial MT" w:hAnsi="Verdana" w:cs="Arial"/>
          <w:lang w:val="es-ES"/>
        </w:rPr>
        <w:t>bien</w:t>
      </w:r>
      <w:r w:rsidRPr="003D455F">
        <w:rPr>
          <w:rFonts w:ascii="Verdana" w:eastAsia="Arial MT" w:hAnsi="Verdana" w:cs="Arial"/>
          <w:spacing w:val="-14"/>
          <w:lang w:val="es-ES"/>
        </w:rPr>
        <w:t xml:space="preserve"> </w:t>
      </w:r>
      <w:r w:rsidRPr="003D455F">
        <w:rPr>
          <w:rFonts w:ascii="Verdana" w:eastAsia="Arial MT" w:hAnsi="Verdana" w:cs="Arial"/>
          <w:lang w:val="es-ES"/>
        </w:rPr>
        <w:t>no</w:t>
      </w:r>
      <w:r w:rsidRPr="003D455F">
        <w:rPr>
          <w:rFonts w:ascii="Verdana" w:eastAsia="Arial MT" w:hAnsi="Verdana" w:cs="Arial"/>
          <w:spacing w:val="-14"/>
          <w:lang w:val="es-ES"/>
        </w:rPr>
        <w:t xml:space="preserve"> </w:t>
      </w:r>
      <w:r w:rsidRPr="003D455F">
        <w:rPr>
          <w:rFonts w:ascii="Verdana" w:eastAsia="Arial MT" w:hAnsi="Verdana" w:cs="Arial"/>
          <w:lang w:val="es-ES"/>
        </w:rPr>
        <w:t>todas las causales de inhabilidad y de incompatibilidad son consecuencia de una medida de</w:t>
      </w:r>
      <w:r w:rsidRPr="003D455F">
        <w:rPr>
          <w:rFonts w:ascii="Verdana" w:eastAsia="Arial MT" w:hAnsi="Verdana" w:cs="Arial"/>
          <w:spacing w:val="1"/>
          <w:lang w:val="es-ES"/>
        </w:rPr>
        <w:t xml:space="preserve"> </w:t>
      </w:r>
      <w:r w:rsidRPr="003D455F">
        <w:rPr>
          <w:rFonts w:ascii="Verdana" w:eastAsia="Arial MT" w:hAnsi="Verdana" w:cs="Arial"/>
          <w:lang w:val="es-ES"/>
        </w:rPr>
        <w:t>reproche</w:t>
      </w:r>
      <w:r w:rsidRPr="003D455F">
        <w:rPr>
          <w:rFonts w:ascii="Verdana" w:eastAsia="Arial MT" w:hAnsi="Verdana" w:cs="Arial"/>
          <w:spacing w:val="2"/>
          <w:lang w:val="es-ES"/>
        </w:rPr>
        <w:t xml:space="preserve"> </w:t>
      </w:r>
      <w:r w:rsidRPr="003D455F">
        <w:rPr>
          <w:rFonts w:ascii="Verdana" w:eastAsia="Arial MT" w:hAnsi="Verdana" w:cs="Arial"/>
          <w:lang w:val="es-ES"/>
        </w:rPr>
        <w:t>ni</w:t>
      </w:r>
      <w:r w:rsidRPr="003D455F">
        <w:rPr>
          <w:rFonts w:ascii="Verdana" w:eastAsia="Arial MT" w:hAnsi="Verdana" w:cs="Arial"/>
          <w:spacing w:val="3"/>
          <w:lang w:val="es-ES"/>
        </w:rPr>
        <w:t xml:space="preserve"> </w:t>
      </w:r>
      <w:r w:rsidRPr="003D455F">
        <w:rPr>
          <w:rFonts w:ascii="Verdana" w:eastAsia="Arial MT" w:hAnsi="Verdana" w:cs="Arial"/>
          <w:lang w:val="es-ES"/>
        </w:rPr>
        <w:t>de</w:t>
      </w:r>
      <w:r w:rsidRPr="003D455F">
        <w:rPr>
          <w:rFonts w:ascii="Verdana" w:eastAsia="Arial MT" w:hAnsi="Verdana" w:cs="Arial"/>
          <w:spacing w:val="2"/>
          <w:lang w:val="es-ES"/>
        </w:rPr>
        <w:t xml:space="preserve"> </w:t>
      </w:r>
      <w:r w:rsidRPr="003D455F">
        <w:rPr>
          <w:rFonts w:ascii="Verdana" w:eastAsia="Arial MT" w:hAnsi="Verdana" w:cs="Arial"/>
          <w:lang w:val="es-ES"/>
        </w:rPr>
        <w:t>una</w:t>
      </w:r>
      <w:r w:rsidRPr="003D455F">
        <w:rPr>
          <w:rFonts w:ascii="Verdana" w:eastAsia="Arial MT" w:hAnsi="Verdana" w:cs="Arial"/>
          <w:spacing w:val="3"/>
          <w:lang w:val="es-ES"/>
        </w:rPr>
        <w:t xml:space="preserve"> </w:t>
      </w:r>
      <w:r w:rsidRPr="003D455F">
        <w:rPr>
          <w:rFonts w:ascii="Verdana" w:eastAsia="Arial MT" w:hAnsi="Verdana" w:cs="Arial"/>
          <w:lang w:val="es-ES"/>
        </w:rPr>
        <w:t>sanción</w:t>
      </w:r>
      <w:r w:rsidRPr="003D455F">
        <w:rPr>
          <w:rFonts w:ascii="Verdana" w:eastAsia="Arial MT" w:hAnsi="Verdana" w:cs="Arial"/>
          <w:spacing w:val="2"/>
          <w:lang w:val="es-ES"/>
        </w:rPr>
        <w:t xml:space="preserve"> </w:t>
      </w:r>
      <w:r w:rsidRPr="003D455F">
        <w:rPr>
          <w:rFonts w:ascii="Verdana" w:eastAsia="Arial MT" w:hAnsi="Verdana" w:cs="Arial"/>
          <w:lang w:val="es-ES"/>
        </w:rPr>
        <w:t>previa,</w:t>
      </w:r>
      <w:r w:rsidRPr="003D455F">
        <w:rPr>
          <w:rFonts w:ascii="Verdana" w:eastAsia="Arial MT" w:hAnsi="Verdana" w:cs="Arial"/>
          <w:spacing w:val="3"/>
          <w:lang w:val="es-ES"/>
        </w:rPr>
        <w:t xml:space="preserve"> </w:t>
      </w:r>
      <w:r w:rsidRPr="003D455F">
        <w:rPr>
          <w:rFonts w:ascii="Verdana" w:eastAsia="Arial MT" w:hAnsi="Verdana" w:cs="Arial"/>
          <w:lang w:val="es-ES"/>
        </w:rPr>
        <w:t>es</w:t>
      </w:r>
      <w:r w:rsidRPr="003D455F">
        <w:rPr>
          <w:rFonts w:ascii="Verdana" w:eastAsia="Arial MT" w:hAnsi="Verdana" w:cs="Arial"/>
          <w:spacing w:val="3"/>
          <w:lang w:val="es-ES"/>
        </w:rPr>
        <w:t xml:space="preserve"> </w:t>
      </w:r>
      <w:r w:rsidRPr="003D455F">
        <w:rPr>
          <w:rFonts w:ascii="Verdana" w:eastAsia="Arial MT" w:hAnsi="Verdana" w:cs="Arial"/>
          <w:lang w:val="es-ES"/>
        </w:rPr>
        <w:t>indiscutible</w:t>
      </w:r>
      <w:r w:rsidRPr="003D455F">
        <w:rPr>
          <w:rFonts w:ascii="Verdana" w:eastAsia="Arial MT" w:hAnsi="Verdana" w:cs="Arial"/>
          <w:spacing w:val="2"/>
          <w:lang w:val="es-ES"/>
        </w:rPr>
        <w:t xml:space="preserve"> </w:t>
      </w:r>
      <w:r w:rsidRPr="003D455F">
        <w:rPr>
          <w:rFonts w:ascii="Verdana" w:eastAsia="Arial MT" w:hAnsi="Verdana" w:cs="Arial"/>
          <w:lang w:val="es-ES"/>
        </w:rPr>
        <w:t>que</w:t>
      </w:r>
      <w:r w:rsidRPr="003D455F">
        <w:rPr>
          <w:rFonts w:ascii="Verdana" w:eastAsia="Arial MT" w:hAnsi="Verdana" w:cs="Arial"/>
          <w:spacing w:val="3"/>
          <w:lang w:val="es-ES"/>
        </w:rPr>
        <w:t xml:space="preserve"> </w:t>
      </w:r>
      <w:r w:rsidRPr="003D455F">
        <w:rPr>
          <w:rFonts w:ascii="Verdana" w:eastAsia="Arial MT" w:hAnsi="Verdana" w:cs="Arial"/>
          <w:lang w:val="es-ES"/>
        </w:rPr>
        <w:t>en</w:t>
      </w:r>
      <w:r w:rsidRPr="003D455F">
        <w:rPr>
          <w:rFonts w:ascii="Verdana" w:eastAsia="Arial MT" w:hAnsi="Verdana" w:cs="Arial"/>
          <w:spacing w:val="3"/>
          <w:lang w:val="es-ES"/>
        </w:rPr>
        <w:t xml:space="preserve"> </w:t>
      </w:r>
      <w:r w:rsidRPr="003D455F">
        <w:rPr>
          <w:rFonts w:ascii="Verdana" w:eastAsia="Arial MT" w:hAnsi="Verdana" w:cs="Arial"/>
          <w:lang w:val="es-ES"/>
        </w:rPr>
        <w:t>los</w:t>
      </w:r>
      <w:r w:rsidRPr="003D455F">
        <w:rPr>
          <w:rFonts w:ascii="Verdana" w:eastAsia="Arial MT" w:hAnsi="Verdana" w:cs="Arial"/>
          <w:spacing w:val="2"/>
          <w:lang w:val="es-ES"/>
        </w:rPr>
        <w:t xml:space="preserve"> </w:t>
      </w:r>
      <w:r w:rsidRPr="003D455F">
        <w:rPr>
          <w:rFonts w:ascii="Verdana" w:eastAsia="Arial MT" w:hAnsi="Verdana" w:cs="Arial"/>
          <w:lang w:val="es-ES"/>
        </w:rPr>
        <w:t>años más recientes los lamentables hechos de corrupción han generado como respuesta</w:t>
      </w:r>
      <w:r w:rsidRPr="003D455F">
        <w:rPr>
          <w:rFonts w:ascii="Verdana" w:eastAsia="Arial MT" w:hAnsi="Verdana" w:cs="Arial"/>
          <w:spacing w:val="1"/>
          <w:lang w:val="es-ES"/>
        </w:rPr>
        <w:t xml:space="preserve"> </w:t>
      </w:r>
      <w:r w:rsidRPr="003D455F">
        <w:rPr>
          <w:rFonts w:ascii="Verdana" w:eastAsia="Arial MT" w:hAnsi="Verdana" w:cs="Arial"/>
          <w:lang w:val="es-ES"/>
        </w:rPr>
        <w:t>del legislador, un incremento de las restricciones a la capacidad contractual, dirigidas a</w:t>
      </w:r>
      <w:r w:rsidRPr="003D455F">
        <w:rPr>
          <w:rFonts w:ascii="Verdana" w:eastAsia="Arial MT" w:hAnsi="Verdana" w:cs="Arial"/>
          <w:spacing w:val="-59"/>
          <w:lang w:val="es-ES"/>
        </w:rPr>
        <w:t xml:space="preserve"> </w:t>
      </w:r>
      <w:r w:rsidRPr="003D455F">
        <w:rPr>
          <w:rFonts w:ascii="Verdana" w:eastAsia="Arial MT" w:hAnsi="Verdana" w:cs="Arial"/>
          <w:lang w:val="es-ES"/>
        </w:rPr>
        <w:t>prevenir</w:t>
      </w:r>
      <w:r w:rsidRPr="003D455F">
        <w:rPr>
          <w:rFonts w:ascii="Verdana" w:eastAsia="Arial MT" w:hAnsi="Verdana" w:cs="Arial"/>
          <w:spacing w:val="-2"/>
          <w:lang w:val="es-ES"/>
        </w:rPr>
        <w:t xml:space="preserve"> </w:t>
      </w:r>
      <w:r w:rsidRPr="003D455F">
        <w:rPr>
          <w:rFonts w:ascii="Verdana" w:eastAsia="Arial MT" w:hAnsi="Verdana" w:cs="Arial"/>
          <w:lang w:val="es-ES"/>
        </w:rPr>
        <w:t>este</w:t>
      </w:r>
      <w:r w:rsidRPr="003D455F">
        <w:rPr>
          <w:rFonts w:ascii="Verdana" w:eastAsia="Arial MT" w:hAnsi="Verdana" w:cs="Arial"/>
          <w:spacing w:val="-1"/>
          <w:lang w:val="es-ES"/>
        </w:rPr>
        <w:t xml:space="preserve"> </w:t>
      </w:r>
      <w:r w:rsidRPr="003D455F">
        <w:rPr>
          <w:rFonts w:ascii="Verdana" w:eastAsia="Arial MT" w:hAnsi="Verdana" w:cs="Arial"/>
          <w:lang w:val="es-ES"/>
        </w:rPr>
        <w:t>tipo</w:t>
      </w:r>
      <w:r w:rsidRPr="003D455F">
        <w:rPr>
          <w:rFonts w:ascii="Verdana" w:eastAsia="Arial MT" w:hAnsi="Verdana" w:cs="Arial"/>
          <w:spacing w:val="-2"/>
          <w:lang w:val="es-ES"/>
        </w:rPr>
        <w:t xml:space="preserve"> </w:t>
      </w:r>
      <w:r w:rsidRPr="003D455F">
        <w:rPr>
          <w:rFonts w:ascii="Verdana" w:eastAsia="Arial MT" w:hAnsi="Verdana" w:cs="Arial"/>
          <w:lang w:val="es-ES"/>
        </w:rPr>
        <w:t>de</w:t>
      </w:r>
      <w:r w:rsidRPr="003D455F">
        <w:rPr>
          <w:rFonts w:ascii="Verdana" w:eastAsia="Arial MT" w:hAnsi="Verdana" w:cs="Arial"/>
          <w:spacing w:val="-1"/>
          <w:lang w:val="es-ES"/>
        </w:rPr>
        <w:t xml:space="preserve"> </w:t>
      </w:r>
      <w:r w:rsidRPr="003D455F">
        <w:rPr>
          <w:rFonts w:ascii="Verdana" w:eastAsia="Arial MT" w:hAnsi="Verdana" w:cs="Arial"/>
          <w:lang w:val="es-ES"/>
        </w:rPr>
        <w:t>situaciones</w:t>
      </w:r>
      <w:r w:rsidRPr="003D455F">
        <w:rPr>
          <w:rFonts w:ascii="Verdana" w:eastAsia="Arial MT" w:hAnsi="Verdana" w:cs="Arial"/>
          <w:spacing w:val="-1"/>
          <w:lang w:val="es-ES"/>
        </w:rPr>
        <w:t xml:space="preserve"> </w:t>
      </w:r>
      <w:r w:rsidRPr="003D455F">
        <w:rPr>
          <w:rFonts w:ascii="Verdana" w:eastAsia="Arial MT" w:hAnsi="Verdana" w:cs="Arial"/>
          <w:lang w:val="es-ES"/>
        </w:rPr>
        <w:t>o</w:t>
      </w:r>
      <w:r w:rsidRPr="003D455F">
        <w:rPr>
          <w:rFonts w:ascii="Verdana" w:eastAsia="Arial MT" w:hAnsi="Verdana" w:cs="Arial"/>
          <w:spacing w:val="-2"/>
          <w:lang w:val="es-ES"/>
        </w:rPr>
        <w:t xml:space="preserve"> </w:t>
      </w:r>
      <w:r w:rsidRPr="003D455F">
        <w:rPr>
          <w:rFonts w:ascii="Verdana" w:eastAsia="Arial MT" w:hAnsi="Verdana" w:cs="Arial"/>
          <w:lang w:val="es-ES"/>
        </w:rPr>
        <w:t>a</w:t>
      </w:r>
      <w:r w:rsidRPr="003D455F">
        <w:rPr>
          <w:rFonts w:ascii="Verdana" w:eastAsia="Arial MT" w:hAnsi="Verdana" w:cs="Arial"/>
          <w:spacing w:val="-1"/>
          <w:lang w:val="es-ES"/>
        </w:rPr>
        <w:t xml:space="preserve"> </w:t>
      </w:r>
      <w:r w:rsidRPr="003D455F">
        <w:rPr>
          <w:rFonts w:ascii="Verdana" w:eastAsia="Arial MT" w:hAnsi="Verdana" w:cs="Arial"/>
          <w:lang w:val="es-ES"/>
        </w:rPr>
        <w:t>sancionar</w:t>
      </w:r>
      <w:r w:rsidRPr="003D455F">
        <w:rPr>
          <w:rFonts w:ascii="Verdana" w:eastAsia="Arial MT" w:hAnsi="Verdana" w:cs="Arial"/>
          <w:spacing w:val="-1"/>
          <w:lang w:val="es-ES"/>
        </w:rPr>
        <w:t xml:space="preserve"> </w:t>
      </w:r>
      <w:r w:rsidRPr="003D455F">
        <w:rPr>
          <w:rFonts w:ascii="Verdana" w:eastAsia="Arial MT" w:hAnsi="Verdana" w:cs="Arial"/>
          <w:lang w:val="es-ES"/>
        </w:rPr>
        <w:t>tales</w:t>
      </w:r>
      <w:r w:rsidRPr="003D455F">
        <w:rPr>
          <w:rFonts w:ascii="Verdana" w:eastAsia="Arial MT" w:hAnsi="Verdana" w:cs="Arial"/>
          <w:spacing w:val="-2"/>
          <w:lang w:val="es-ES"/>
        </w:rPr>
        <w:t xml:space="preserve"> </w:t>
      </w:r>
      <w:r w:rsidRPr="003D455F">
        <w:rPr>
          <w:rFonts w:ascii="Verdana" w:eastAsia="Arial MT" w:hAnsi="Verdana" w:cs="Arial"/>
          <w:lang w:val="es-ES"/>
        </w:rPr>
        <w:t>conductas.</w:t>
      </w:r>
    </w:p>
    <w:p w14:paraId="131A6676" w14:textId="77777777" w:rsidR="003D455F" w:rsidRPr="003D455F" w:rsidRDefault="003D455F" w:rsidP="003D455F">
      <w:pPr>
        <w:widowControl w:val="0"/>
        <w:autoSpaceDE w:val="0"/>
        <w:autoSpaceDN w:val="0"/>
        <w:spacing w:after="0" w:line="276" w:lineRule="auto"/>
        <w:ind w:left="720" w:right="68"/>
        <w:contextualSpacing/>
        <w:jc w:val="both"/>
        <w:rPr>
          <w:rFonts w:ascii="Verdana" w:eastAsia="Arial MT" w:hAnsi="Verdana" w:cs="Arial"/>
          <w:u w:val="single"/>
          <w:lang w:val="es-ES"/>
        </w:rPr>
      </w:pPr>
    </w:p>
    <w:p w14:paraId="76D96566" w14:textId="77777777" w:rsidR="003D455F" w:rsidRPr="003D455F" w:rsidRDefault="003D455F" w:rsidP="003D455F">
      <w:pPr>
        <w:widowControl w:val="0"/>
        <w:numPr>
          <w:ilvl w:val="0"/>
          <w:numId w:val="17"/>
        </w:numPr>
        <w:autoSpaceDE w:val="0"/>
        <w:autoSpaceDN w:val="0"/>
        <w:spacing w:before="120" w:after="0" w:line="276" w:lineRule="auto"/>
        <w:contextualSpacing/>
        <w:jc w:val="both"/>
        <w:rPr>
          <w:rFonts w:ascii="Verdana" w:eastAsia="Arial MT" w:hAnsi="Verdana" w:cs="Arial"/>
          <w:lang w:val="es-ES"/>
        </w:rPr>
      </w:pPr>
      <w:r w:rsidRPr="003D455F">
        <w:rPr>
          <w:rFonts w:ascii="Verdana" w:eastAsia="Arial MT" w:hAnsi="Verdana" w:cs="Arial"/>
          <w:lang w:val="es-ES"/>
        </w:rPr>
        <w:t>Ahora bien, las inhabilidades e incompatibilidades, al ser</w:t>
      </w:r>
      <w:r w:rsidRPr="003D455F">
        <w:rPr>
          <w:rFonts w:ascii="Verdana" w:eastAsia="Arial MT" w:hAnsi="Verdana" w:cs="Arial"/>
          <w:spacing w:val="1"/>
          <w:lang w:val="es-ES"/>
        </w:rPr>
        <w:t xml:space="preserve"> </w:t>
      </w:r>
      <w:r w:rsidRPr="003D455F">
        <w:rPr>
          <w:rFonts w:ascii="Verdana" w:eastAsia="Arial MT" w:hAnsi="Verdana" w:cs="Arial"/>
          <w:lang w:val="es-ES"/>
        </w:rPr>
        <w:t>restricciones o límites especiales a la capacidad para presentar ofertas y celebrar</w:t>
      </w:r>
      <w:r w:rsidRPr="003D455F">
        <w:rPr>
          <w:rFonts w:ascii="Verdana" w:eastAsia="Arial MT" w:hAnsi="Verdana" w:cs="Arial"/>
          <w:spacing w:val="1"/>
          <w:lang w:val="es-ES"/>
        </w:rPr>
        <w:t xml:space="preserve"> </w:t>
      </w:r>
      <w:r w:rsidRPr="003D455F">
        <w:rPr>
          <w:rFonts w:ascii="Verdana" w:eastAsia="Arial MT" w:hAnsi="Verdana" w:cs="Arial"/>
          <w:lang w:val="es-ES"/>
        </w:rPr>
        <w:t>contratos</w:t>
      </w:r>
      <w:r w:rsidRPr="003D455F">
        <w:rPr>
          <w:rFonts w:ascii="Verdana" w:eastAsia="Arial MT" w:hAnsi="Verdana" w:cs="Arial"/>
          <w:spacing w:val="-12"/>
          <w:lang w:val="es-ES"/>
        </w:rPr>
        <w:t xml:space="preserve"> </w:t>
      </w:r>
      <w:r w:rsidRPr="003D455F">
        <w:rPr>
          <w:rFonts w:ascii="Verdana" w:eastAsia="Arial MT" w:hAnsi="Verdana" w:cs="Arial"/>
          <w:lang w:val="es-ES"/>
        </w:rPr>
        <w:t>estatales,</w:t>
      </w:r>
      <w:r w:rsidRPr="003D455F">
        <w:rPr>
          <w:rFonts w:ascii="Verdana" w:eastAsia="Arial MT" w:hAnsi="Verdana" w:cs="Arial"/>
          <w:spacing w:val="-12"/>
          <w:lang w:val="es-ES"/>
        </w:rPr>
        <w:t xml:space="preserve"> </w:t>
      </w:r>
      <w:r w:rsidRPr="003D455F">
        <w:rPr>
          <w:rFonts w:ascii="Verdana" w:eastAsia="Arial MT" w:hAnsi="Verdana" w:cs="Arial"/>
          <w:lang w:val="es-ES"/>
        </w:rPr>
        <w:t>solo</w:t>
      </w:r>
      <w:r w:rsidRPr="003D455F">
        <w:rPr>
          <w:rFonts w:ascii="Verdana" w:eastAsia="Arial MT" w:hAnsi="Verdana" w:cs="Arial"/>
          <w:spacing w:val="-12"/>
          <w:lang w:val="es-ES"/>
        </w:rPr>
        <w:t xml:space="preserve"> </w:t>
      </w:r>
      <w:r w:rsidRPr="003D455F">
        <w:rPr>
          <w:rFonts w:ascii="Verdana" w:eastAsia="Arial MT" w:hAnsi="Verdana" w:cs="Arial"/>
          <w:lang w:val="es-ES"/>
        </w:rPr>
        <w:t>pueden</w:t>
      </w:r>
      <w:r w:rsidRPr="003D455F">
        <w:rPr>
          <w:rFonts w:ascii="Verdana" w:eastAsia="Arial MT" w:hAnsi="Verdana" w:cs="Arial"/>
          <w:spacing w:val="-11"/>
          <w:lang w:val="es-ES"/>
        </w:rPr>
        <w:t xml:space="preserve"> </w:t>
      </w:r>
      <w:r w:rsidRPr="003D455F">
        <w:rPr>
          <w:rFonts w:ascii="Verdana" w:eastAsia="Arial MT" w:hAnsi="Verdana" w:cs="Arial"/>
          <w:lang w:val="es-ES"/>
        </w:rPr>
        <w:t>tipificarse</w:t>
      </w:r>
      <w:r w:rsidRPr="003D455F">
        <w:rPr>
          <w:rFonts w:ascii="Verdana" w:eastAsia="Arial MT" w:hAnsi="Verdana" w:cs="Arial"/>
          <w:spacing w:val="-10"/>
          <w:lang w:val="es-ES"/>
        </w:rPr>
        <w:t xml:space="preserve"> </w:t>
      </w:r>
      <w:r w:rsidRPr="003D455F">
        <w:rPr>
          <w:rFonts w:ascii="Verdana" w:eastAsia="Arial MT" w:hAnsi="Verdana" w:cs="Arial"/>
          <w:lang w:val="es-ES"/>
        </w:rPr>
        <w:t>en</w:t>
      </w:r>
      <w:r w:rsidRPr="003D455F">
        <w:rPr>
          <w:rFonts w:ascii="Verdana" w:eastAsia="Arial MT" w:hAnsi="Verdana" w:cs="Arial"/>
          <w:spacing w:val="-12"/>
          <w:lang w:val="es-ES"/>
        </w:rPr>
        <w:t xml:space="preserve"> </w:t>
      </w:r>
      <w:r w:rsidRPr="003D455F">
        <w:rPr>
          <w:rFonts w:ascii="Verdana" w:eastAsia="Arial MT" w:hAnsi="Verdana" w:cs="Arial"/>
          <w:lang w:val="es-ES"/>
        </w:rPr>
        <w:t>la</w:t>
      </w:r>
      <w:r w:rsidRPr="003D455F">
        <w:rPr>
          <w:rFonts w:ascii="Verdana" w:eastAsia="Arial MT" w:hAnsi="Verdana" w:cs="Arial"/>
          <w:spacing w:val="-12"/>
          <w:lang w:val="es-ES"/>
        </w:rPr>
        <w:t xml:space="preserve"> </w:t>
      </w:r>
      <w:r w:rsidRPr="003D455F">
        <w:rPr>
          <w:rFonts w:ascii="Verdana" w:eastAsia="Arial MT" w:hAnsi="Verdana" w:cs="Arial"/>
          <w:lang w:val="es-ES"/>
        </w:rPr>
        <w:t>ley</w:t>
      </w:r>
      <w:r w:rsidRPr="003D455F">
        <w:rPr>
          <w:rFonts w:ascii="Verdana" w:eastAsia="Arial MT" w:hAnsi="Verdana" w:cs="Arial"/>
          <w:spacing w:val="-12"/>
          <w:lang w:val="es-ES"/>
        </w:rPr>
        <w:t xml:space="preserve"> </w:t>
      </w:r>
      <w:r w:rsidRPr="003D455F">
        <w:rPr>
          <w:rFonts w:ascii="Verdana" w:eastAsia="Arial MT" w:hAnsi="Verdana" w:cs="Arial"/>
          <w:lang w:val="es-ES"/>
        </w:rPr>
        <w:t xml:space="preserve">y su interpretación debe ser </w:t>
      </w:r>
      <w:r w:rsidRPr="003D455F">
        <w:rPr>
          <w:rFonts w:ascii="Verdana" w:eastAsia="Arial MT" w:hAnsi="Verdana" w:cs="Arial"/>
          <w:i/>
          <w:lang w:val="es-ES"/>
        </w:rPr>
        <w:t>restrictiva</w:t>
      </w:r>
      <w:r w:rsidRPr="003D455F">
        <w:rPr>
          <w:rFonts w:ascii="Geomanist Light" w:hAnsi="Geomanist Light"/>
          <w:i/>
          <w:vertAlign w:val="superscript"/>
          <w:lang w:val="es-ES"/>
        </w:rPr>
        <w:footnoteReference w:id="3"/>
      </w:r>
      <w:r w:rsidRPr="003D455F">
        <w:rPr>
          <w:rFonts w:ascii="Verdana" w:eastAsia="Arial MT" w:hAnsi="Verdana" w:cs="Arial"/>
          <w:lang w:val="es-ES"/>
        </w:rPr>
        <w:t>. De admitirse una interpretación</w:t>
      </w:r>
      <w:r w:rsidRPr="003D455F">
        <w:rPr>
          <w:rFonts w:ascii="Verdana" w:eastAsia="Arial MT" w:hAnsi="Verdana" w:cs="Arial"/>
          <w:spacing w:val="1"/>
          <w:lang w:val="es-ES"/>
        </w:rPr>
        <w:t xml:space="preserve"> </w:t>
      </w:r>
      <w:r w:rsidRPr="003D455F">
        <w:rPr>
          <w:rFonts w:ascii="Verdana" w:eastAsia="Arial MT" w:hAnsi="Verdana" w:cs="Arial"/>
          <w:lang w:val="es-ES"/>
        </w:rPr>
        <w:t>extensiva,</w:t>
      </w:r>
      <w:r w:rsidRPr="003D455F">
        <w:rPr>
          <w:rFonts w:ascii="Verdana" w:eastAsia="Arial MT" w:hAnsi="Verdana" w:cs="Arial"/>
          <w:spacing w:val="1"/>
          <w:lang w:val="es-ES"/>
        </w:rPr>
        <w:t xml:space="preserve"> </w:t>
      </w:r>
      <w:r w:rsidRPr="003D455F">
        <w:rPr>
          <w:rFonts w:ascii="Verdana" w:eastAsia="Arial MT" w:hAnsi="Verdana" w:cs="Arial"/>
          <w:lang w:val="es-ES"/>
        </w:rPr>
        <w:t>tales</w:t>
      </w:r>
      <w:r w:rsidRPr="003D455F">
        <w:rPr>
          <w:rFonts w:ascii="Verdana" w:eastAsia="Arial MT" w:hAnsi="Verdana" w:cs="Arial"/>
          <w:spacing w:val="1"/>
          <w:lang w:val="es-ES"/>
        </w:rPr>
        <w:t xml:space="preserve"> </w:t>
      </w:r>
      <w:r w:rsidRPr="003D455F">
        <w:rPr>
          <w:rFonts w:ascii="Verdana" w:eastAsia="Arial MT" w:hAnsi="Verdana" w:cs="Arial"/>
          <w:lang w:val="es-ES"/>
        </w:rPr>
        <w:lastRenderedPageBreak/>
        <w:t>enunciados</w:t>
      </w:r>
      <w:r w:rsidRPr="003D455F">
        <w:rPr>
          <w:rFonts w:ascii="Verdana" w:eastAsia="Arial MT" w:hAnsi="Verdana" w:cs="Arial"/>
          <w:spacing w:val="1"/>
          <w:lang w:val="es-ES"/>
        </w:rPr>
        <w:t xml:space="preserve"> </w:t>
      </w:r>
      <w:r w:rsidRPr="003D455F">
        <w:rPr>
          <w:rFonts w:ascii="Verdana" w:eastAsia="Arial MT" w:hAnsi="Verdana" w:cs="Arial"/>
          <w:lang w:val="es-ES"/>
        </w:rPr>
        <w:t>normativos</w:t>
      </w:r>
      <w:r w:rsidRPr="003D455F">
        <w:rPr>
          <w:rFonts w:ascii="Verdana" w:eastAsia="Arial MT" w:hAnsi="Verdana" w:cs="Arial"/>
          <w:spacing w:val="1"/>
          <w:lang w:val="es-ES"/>
        </w:rPr>
        <w:t xml:space="preserve"> </w:t>
      </w:r>
      <w:r w:rsidRPr="003D455F">
        <w:rPr>
          <w:rFonts w:ascii="Verdana" w:eastAsia="Arial MT" w:hAnsi="Verdana" w:cs="Arial"/>
          <w:lang w:val="es-ES"/>
        </w:rPr>
        <w:t>podrían</w:t>
      </w:r>
      <w:r w:rsidRPr="003D455F">
        <w:rPr>
          <w:rFonts w:ascii="Verdana" w:eastAsia="Arial MT" w:hAnsi="Verdana" w:cs="Arial"/>
          <w:spacing w:val="1"/>
          <w:lang w:val="es-ES"/>
        </w:rPr>
        <w:t xml:space="preserve"> </w:t>
      </w:r>
      <w:r w:rsidRPr="003D455F">
        <w:rPr>
          <w:rFonts w:ascii="Verdana" w:eastAsia="Arial MT" w:hAnsi="Verdana" w:cs="Arial"/>
          <w:lang w:val="es-ES"/>
        </w:rPr>
        <w:t>contemplar</w:t>
      </w:r>
      <w:r w:rsidRPr="003D455F">
        <w:rPr>
          <w:rFonts w:ascii="Verdana" w:eastAsia="Arial MT" w:hAnsi="Verdana" w:cs="Arial"/>
          <w:spacing w:val="1"/>
          <w:lang w:val="es-ES"/>
        </w:rPr>
        <w:t xml:space="preserve"> </w:t>
      </w:r>
      <w:r w:rsidRPr="003D455F">
        <w:rPr>
          <w:rFonts w:ascii="Verdana" w:eastAsia="Arial MT" w:hAnsi="Verdana" w:cs="Arial"/>
          <w:lang w:val="es-ES"/>
        </w:rPr>
        <w:t>múltiples</w:t>
      </w:r>
      <w:r w:rsidRPr="003D455F">
        <w:rPr>
          <w:rFonts w:ascii="Verdana" w:eastAsia="Arial MT" w:hAnsi="Verdana" w:cs="Arial"/>
          <w:spacing w:val="1"/>
          <w:lang w:val="es-ES"/>
        </w:rPr>
        <w:t xml:space="preserve"> </w:t>
      </w:r>
      <w:r w:rsidRPr="003D455F">
        <w:rPr>
          <w:rFonts w:ascii="Verdana" w:eastAsia="Arial MT" w:hAnsi="Verdana" w:cs="Arial"/>
          <w:lang w:val="es-ES"/>
        </w:rPr>
        <w:t>supuestos</w:t>
      </w:r>
      <w:r w:rsidRPr="003D455F">
        <w:rPr>
          <w:rFonts w:ascii="Verdana" w:eastAsia="Arial MT" w:hAnsi="Verdana" w:cs="Arial"/>
          <w:spacing w:val="1"/>
          <w:lang w:val="es-ES"/>
        </w:rPr>
        <w:t xml:space="preserve"> </w:t>
      </w:r>
      <w:r w:rsidRPr="003D455F">
        <w:rPr>
          <w:rFonts w:ascii="Verdana" w:eastAsia="Arial MT" w:hAnsi="Verdana" w:cs="Arial"/>
          <w:lang w:val="es-ES"/>
        </w:rPr>
        <w:t>indeterminados,</w:t>
      </w:r>
      <w:r w:rsidRPr="003D455F">
        <w:rPr>
          <w:rFonts w:ascii="Verdana" w:eastAsia="Arial MT" w:hAnsi="Verdana" w:cs="Arial"/>
          <w:spacing w:val="-4"/>
          <w:lang w:val="es-ES"/>
        </w:rPr>
        <w:t xml:space="preserve"> </w:t>
      </w:r>
      <w:r w:rsidRPr="003D455F">
        <w:rPr>
          <w:rFonts w:ascii="Verdana" w:eastAsia="Arial MT" w:hAnsi="Verdana" w:cs="Arial"/>
          <w:lang w:val="es-ES"/>
        </w:rPr>
        <w:t>adquiriendo</w:t>
      </w:r>
      <w:r w:rsidRPr="003D455F">
        <w:rPr>
          <w:rFonts w:ascii="Verdana" w:eastAsia="Arial MT" w:hAnsi="Verdana" w:cs="Arial"/>
          <w:spacing w:val="-4"/>
          <w:lang w:val="es-ES"/>
        </w:rPr>
        <w:t xml:space="preserve"> </w:t>
      </w:r>
      <w:r w:rsidRPr="003D455F">
        <w:rPr>
          <w:rFonts w:ascii="Verdana" w:eastAsia="Arial MT" w:hAnsi="Verdana" w:cs="Arial"/>
          <w:lang w:val="es-ES"/>
        </w:rPr>
        <w:t>un</w:t>
      </w:r>
      <w:r w:rsidRPr="003D455F">
        <w:rPr>
          <w:rFonts w:ascii="Verdana" w:eastAsia="Arial MT" w:hAnsi="Verdana" w:cs="Arial"/>
          <w:spacing w:val="-4"/>
          <w:lang w:val="es-ES"/>
        </w:rPr>
        <w:t xml:space="preserve"> </w:t>
      </w:r>
      <w:r w:rsidRPr="003D455F">
        <w:rPr>
          <w:rFonts w:ascii="Verdana" w:eastAsia="Arial MT" w:hAnsi="Verdana" w:cs="Arial"/>
          <w:lang w:val="es-ES"/>
        </w:rPr>
        <w:t>cariz</w:t>
      </w:r>
      <w:r w:rsidRPr="003D455F">
        <w:rPr>
          <w:rFonts w:ascii="Verdana" w:eastAsia="Arial MT" w:hAnsi="Verdana" w:cs="Arial"/>
          <w:spacing w:val="-4"/>
          <w:lang w:val="es-ES"/>
        </w:rPr>
        <w:t xml:space="preserve"> </w:t>
      </w:r>
      <w:r w:rsidRPr="003D455F">
        <w:rPr>
          <w:rFonts w:ascii="Verdana" w:eastAsia="Arial MT" w:hAnsi="Verdana" w:cs="Arial"/>
          <w:lang w:val="es-ES"/>
        </w:rPr>
        <w:t>subjetivo,</w:t>
      </w:r>
      <w:r w:rsidRPr="003D455F">
        <w:rPr>
          <w:rFonts w:ascii="Verdana" w:eastAsia="Arial MT" w:hAnsi="Verdana" w:cs="Arial"/>
          <w:spacing w:val="-3"/>
          <w:lang w:val="es-ES"/>
        </w:rPr>
        <w:t xml:space="preserve"> </w:t>
      </w:r>
      <w:r w:rsidRPr="003D455F">
        <w:rPr>
          <w:rFonts w:ascii="Verdana" w:eastAsia="Arial MT" w:hAnsi="Verdana" w:cs="Arial"/>
          <w:lang w:val="es-ES"/>
        </w:rPr>
        <w:t>según</w:t>
      </w:r>
      <w:r w:rsidRPr="003D455F">
        <w:rPr>
          <w:rFonts w:ascii="Verdana" w:eastAsia="Arial MT" w:hAnsi="Verdana" w:cs="Arial"/>
          <w:spacing w:val="-4"/>
          <w:lang w:val="es-ES"/>
        </w:rPr>
        <w:t xml:space="preserve"> </w:t>
      </w:r>
      <w:r w:rsidRPr="003D455F">
        <w:rPr>
          <w:rFonts w:ascii="Verdana" w:eastAsia="Arial MT" w:hAnsi="Verdana" w:cs="Arial"/>
          <w:lang w:val="es-ES"/>
        </w:rPr>
        <w:t>el</w:t>
      </w:r>
      <w:r w:rsidRPr="003D455F">
        <w:rPr>
          <w:rFonts w:ascii="Verdana" w:eastAsia="Arial MT" w:hAnsi="Verdana" w:cs="Arial"/>
          <w:spacing w:val="-4"/>
          <w:lang w:val="es-ES"/>
        </w:rPr>
        <w:t xml:space="preserve"> </w:t>
      </w:r>
      <w:r w:rsidRPr="003D455F">
        <w:rPr>
          <w:rFonts w:ascii="Verdana" w:eastAsia="Arial MT" w:hAnsi="Verdana" w:cs="Arial"/>
          <w:lang w:val="es-ES"/>
        </w:rPr>
        <w:t>parecer</w:t>
      </w:r>
      <w:r w:rsidRPr="003D455F">
        <w:rPr>
          <w:rFonts w:ascii="Verdana" w:eastAsia="Arial MT" w:hAnsi="Verdana" w:cs="Arial"/>
          <w:spacing w:val="-4"/>
          <w:lang w:val="es-ES"/>
        </w:rPr>
        <w:t xml:space="preserve"> </w:t>
      </w:r>
      <w:r w:rsidRPr="003D455F">
        <w:rPr>
          <w:rFonts w:ascii="Verdana" w:eastAsia="Arial MT" w:hAnsi="Verdana" w:cs="Arial"/>
          <w:lang w:val="es-ES"/>
        </w:rPr>
        <w:t>o</w:t>
      </w:r>
      <w:r w:rsidRPr="003D455F">
        <w:rPr>
          <w:rFonts w:ascii="Verdana" w:eastAsia="Arial MT" w:hAnsi="Verdana" w:cs="Arial"/>
          <w:spacing w:val="-3"/>
          <w:lang w:val="es-ES"/>
        </w:rPr>
        <w:t xml:space="preserve"> </w:t>
      </w:r>
      <w:r w:rsidRPr="003D455F">
        <w:rPr>
          <w:rFonts w:ascii="Verdana" w:eastAsia="Arial MT" w:hAnsi="Verdana" w:cs="Arial"/>
          <w:lang w:val="es-ES"/>
        </w:rPr>
        <w:t>el</w:t>
      </w:r>
      <w:r w:rsidRPr="003D455F">
        <w:rPr>
          <w:rFonts w:ascii="Verdana" w:eastAsia="Arial MT" w:hAnsi="Verdana" w:cs="Arial"/>
          <w:spacing w:val="-4"/>
          <w:lang w:val="es-ES"/>
        </w:rPr>
        <w:t xml:space="preserve"> </w:t>
      </w:r>
      <w:r w:rsidRPr="003D455F">
        <w:rPr>
          <w:rFonts w:ascii="Verdana" w:eastAsia="Arial MT" w:hAnsi="Verdana" w:cs="Arial"/>
          <w:lang w:val="es-ES"/>
        </w:rPr>
        <w:t>sentido</w:t>
      </w:r>
      <w:r w:rsidRPr="003D455F">
        <w:rPr>
          <w:rFonts w:ascii="Verdana" w:eastAsia="Arial MT" w:hAnsi="Verdana" w:cs="Arial"/>
          <w:spacing w:val="-4"/>
          <w:lang w:val="es-ES"/>
        </w:rPr>
        <w:t xml:space="preserve"> </w:t>
      </w:r>
      <w:r w:rsidRPr="003D455F">
        <w:rPr>
          <w:rFonts w:ascii="Verdana" w:eastAsia="Arial MT" w:hAnsi="Verdana" w:cs="Arial"/>
          <w:lang w:val="es-ES"/>
        </w:rPr>
        <w:t>común</w:t>
      </w:r>
      <w:r w:rsidRPr="003D455F">
        <w:rPr>
          <w:rFonts w:ascii="Verdana" w:eastAsia="Arial MT" w:hAnsi="Verdana" w:cs="Arial"/>
          <w:spacing w:val="-4"/>
          <w:lang w:val="es-ES"/>
        </w:rPr>
        <w:t xml:space="preserve"> </w:t>
      </w:r>
      <w:r w:rsidRPr="003D455F">
        <w:rPr>
          <w:rFonts w:ascii="Verdana" w:eastAsia="Arial MT" w:hAnsi="Verdana" w:cs="Arial"/>
          <w:lang w:val="es-ES"/>
        </w:rPr>
        <w:t xml:space="preserve">de </w:t>
      </w:r>
      <w:r w:rsidRPr="003D455F">
        <w:rPr>
          <w:rFonts w:ascii="Verdana" w:eastAsia="Arial MT" w:hAnsi="Verdana" w:cs="Arial"/>
          <w:spacing w:val="-58"/>
          <w:lang w:val="es-ES"/>
        </w:rPr>
        <w:t>los</w:t>
      </w:r>
      <w:r w:rsidRPr="003D455F">
        <w:rPr>
          <w:rFonts w:ascii="Verdana" w:eastAsia="Arial MT" w:hAnsi="Verdana" w:cs="Arial"/>
          <w:lang w:val="es-ES"/>
        </w:rPr>
        <w:t xml:space="preserve"> operadores jurídicos, poniendo en riesgo principios como la igualdad, el debido</w:t>
      </w:r>
      <w:r w:rsidRPr="003D455F">
        <w:rPr>
          <w:rFonts w:ascii="Verdana" w:eastAsia="Arial MT" w:hAnsi="Verdana" w:cs="Arial"/>
          <w:spacing w:val="1"/>
          <w:lang w:val="es-ES"/>
        </w:rPr>
        <w:t xml:space="preserve"> </w:t>
      </w:r>
      <w:r w:rsidRPr="003D455F">
        <w:rPr>
          <w:rFonts w:ascii="Verdana" w:eastAsia="Arial MT" w:hAnsi="Verdana" w:cs="Arial"/>
          <w:lang w:val="es-ES"/>
        </w:rPr>
        <w:t>proceso, la libre concurrencia y el ejercicio de la profesión u oficio. Tal ha sido la postura al interior de la jurisprudencia, tanto de la Corte Constitucional como de la Sección</w:t>
      </w:r>
      <w:r w:rsidRPr="003D455F">
        <w:rPr>
          <w:rFonts w:ascii="Verdana" w:eastAsia="Arial MT" w:hAnsi="Verdana" w:cs="Arial"/>
          <w:spacing w:val="1"/>
          <w:lang w:val="es-ES"/>
        </w:rPr>
        <w:t xml:space="preserve"> </w:t>
      </w:r>
      <w:r w:rsidRPr="003D455F">
        <w:rPr>
          <w:rFonts w:ascii="Verdana" w:eastAsia="Arial MT" w:hAnsi="Verdana" w:cs="Arial"/>
          <w:lang w:val="es-ES"/>
        </w:rPr>
        <w:t>Tercera</w:t>
      </w:r>
      <w:r w:rsidRPr="003D455F">
        <w:rPr>
          <w:rFonts w:ascii="Verdana" w:eastAsia="Arial MT" w:hAnsi="Verdana" w:cs="Arial"/>
          <w:spacing w:val="-2"/>
          <w:lang w:val="es-ES"/>
        </w:rPr>
        <w:t xml:space="preserve"> </w:t>
      </w:r>
      <w:r w:rsidRPr="003D455F">
        <w:rPr>
          <w:rFonts w:ascii="Verdana" w:eastAsia="Arial MT" w:hAnsi="Verdana" w:cs="Arial"/>
          <w:lang w:val="es-ES"/>
        </w:rPr>
        <w:t>del</w:t>
      </w:r>
      <w:r w:rsidRPr="003D455F">
        <w:rPr>
          <w:rFonts w:ascii="Verdana" w:eastAsia="Arial MT" w:hAnsi="Verdana" w:cs="Arial"/>
          <w:spacing w:val="-1"/>
          <w:lang w:val="es-ES"/>
        </w:rPr>
        <w:t xml:space="preserve"> </w:t>
      </w:r>
      <w:r w:rsidRPr="003D455F">
        <w:rPr>
          <w:rFonts w:ascii="Verdana" w:eastAsia="Arial MT" w:hAnsi="Verdana" w:cs="Arial"/>
          <w:lang w:val="es-ES"/>
        </w:rPr>
        <w:t>Consejo</w:t>
      </w:r>
      <w:r w:rsidRPr="003D455F">
        <w:rPr>
          <w:rFonts w:ascii="Verdana" w:eastAsia="Arial MT" w:hAnsi="Verdana" w:cs="Arial"/>
          <w:spacing w:val="-1"/>
          <w:lang w:val="es-ES"/>
        </w:rPr>
        <w:t xml:space="preserve"> </w:t>
      </w:r>
      <w:r w:rsidRPr="003D455F">
        <w:rPr>
          <w:rFonts w:ascii="Verdana" w:eastAsia="Arial MT" w:hAnsi="Verdana" w:cs="Arial"/>
          <w:lang w:val="es-ES"/>
        </w:rPr>
        <w:t>de</w:t>
      </w:r>
      <w:r w:rsidRPr="003D455F">
        <w:rPr>
          <w:rFonts w:ascii="Verdana" w:eastAsia="Arial MT" w:hAnsi="Verdana" w:cs="Arial"/>
          <w:spacing w:val="-1"/>
          <w:lang w:val="es-ES"/>
        </w:rPr>
        <w:t xml:space="preserve"> </w:t>
      </w:r>
      <w:r w:rsidRPr="003D455F">
        <w:rPr>
          <w:rFonts w:ascii="Verdana" w:eastAsia="Arial MT" w:hAnsi="Verdana" w:cs="Arial"/>
          <w:lang w:val="es-ES"/>
        </w:rPr>
        <w:t>Estado.</w:t>
      </w:r>
    </w:p>
    <w:p w14:paraId="0D140487" w14:textId="77777777" w:rsidR="003D455F" w:rsidRPr="003D455F" w:rsidRDefault="003D455F" w:rsidP="003D455F">
      <w:pPr>
        <w:ind w:left="720"/>
        <w:contextualSpacing/>
        <w:rPr>
          <w:rFonts w:ascii="Verdana" w:eastAsia="Arial MT" w:hAnsi="Verdana" w:cs="Arial"/>
          <w:lang w:val="es-ES"/>
        </w:rPr>
      </w:pPr>
    </w:p>
    <w:p w14:paraId="53FE55EE" w14:textId="77777777" w:rsidR="003D455F" w:rsidRPr="003D455F" w:rsidRDefault="003D455F" w:rsidP="003D455F">
      <w:pPr>
        <w:widowControl w:val="0"/>
        <w:numPr>
          <w:ilvl w:val="0"/>
          <w:numId w:val="17"/>
        </w:numPr>
        <w:autoSpaceDE w:val="0"/>
        <w:autoSpaceDN w:val="0"/>
        <w:spacing w:before="120" w:after="0" w:line="276" w:lineRule="auto"/>
        <w:contextualSpacing/>
        <w:jc w:val="both"/>
        <w:rPr>
          <w:rFonts w:ascii="Verdana" w:eastAsia="Arial MT" w:hAnsi="Verdana" w:cs="Arial"/>
          <w:lang w:val="es-ES"/>
        </w:rPr>
      </w:pPr>
      <w:r w:rsidRPr="003D455F">
        <w:rPr>
          <w:rFonts w:ascii="Verdana" w:eastAsia="Arial MT" w:hAnsi="Verdana" w:cs="Arial"/>
          <w:lang w:val="es-ES"/>
        </w:rPr>
        <w:t>En</w:t>
      </w:r>
      <w:r w:rsidRPr="003D455F">
        <w:rPr>
          <w:rFonts w:ascii="Verdana" w:eastAsia="Arial MT" w:hAnsi="Verdana" w:cs="Arial"/>
          <w:spacing w:val="-11"/>
          <w:lang w:val="es-ES"/>
        </w:rPr>
        <w:t xml:space="preserve"> </w:t>
      </w:r>
      <w:r w:rsidRPr="003D455F">
        <w:rPr>
          <w:rFonts w:ascii="Verdana" w:eastAsia="Arial MT" w:hAnsi="Verdana" w:cs="Arial"/>
          <w:lang w:val="es-ES"/>
        </w:rPr>
        <w:t>efecto,</w:t>
      </w:r>
      <w:r w:rsidRPr="003D455F">
        <w:rPr>
          <w:rFonts w:ascii="Verdana" w:eastAsia="Arial MT" w:hAnsi="Verdana" w:cs="Arial"/>
          <w:spacing w:val="-10"/>
          <w:lang w:val="es-ES"/>
        </w:rPr>
        <w:t xml:space="preserve"> </w:t>
      </w:r>
      <w:r w:rsidRPr="003D455F">
        <w:rPr>
          <w:rFonts w:ascii="Verdana" w:eastAsia="Arial MT" w:hAnsi="Verdana" w:cs="Arial"/>
          <w:lang w:val="es-ES"/>
        </w:rPr>
        <w:t>el</w:t>
      </w:r>
      <w:r w:rsidRPr="003D455F">
        <w:rPr>
          <w:rFonts w:ascii="Verdana" w:eastAsia="Arial MT" w:hAnsi="Verdana" w:cs="Arial"/>
          <w:spacing w:val="-10"/>
          <w:lang w:val="es-ES"/>
        </w:rPr>
        <w:t xml:space="preserve"> </w:t>
      </w:r>
      <w:r w:rsidRPr="003D455F">
        <w:rPr>
          <w:rFonts w:ascii="Verdana" w:eastAsia="Arial MT" w:hAnsi="Verdana" w:cs="Arial"/>
          <w:lang w:val="es-ES"/>
        </w:rPr>
        <w:t>máximo</w:t>
      </w:r>
      <w:r w:rsidRPr="003D455F">
        <w:rPr>
          <w:rFonts w:ascii="Verdana" w:eastAsia="Arial MT" w:hAnsi="Verdana" w:cs="Arial"/>
          <w:spacing w:val="-10"/>
          <w:lang w:val="es-ES"/>
        </w:rPr>
        <w:t xml:space="preserve"> </w:t>
      </w:r>
      <w:r w:rsidRPr="003D455F">
        <w:rPr>
          <w:rFonts w:ascii="Verdana" w:eastAsia="Arial MT" w:hAnsi="Verdana" w:cs="Arial"/>
          <w:lang w:val="es-ES"/>
        </w:rPr>
        <w:t>tribunal</w:t>
      </w:r>
      <w:r w:rsidRPr="003D455F">
        <w:rPr>
          <w:rFonts w:ascii="Verdana" w:eastAsia="Arial MT" w:hAnsi="Verdana" w:cs="Arial"/>
          <w:spacing w:val="-9"/>
          <w:lang w:val="es-ES"/>
        </w:rPr>
        <w:t xml:space="preserve"> </w:t>
      </w:r>
      <w:r w:rsidRPr="003D455F">
        <w:rPr>
          <w:rFonts w:ascii="Verdana" w:eastAsia="Arial MT" w:hAnsi="Verdana" w:cs="Arial"/>
          <w:lang w:val="es-ES"/>
        </w:rPr>
        <w:t>constitucional</w:t>
      </w:r>
      <w:r w:rsidRPr="003D455F">
        <w:rPr>
          <w:rFonts w:ascii="Verdana" w:eastAsia="Arial MT" w:hAnsi="Verdana" w:cs="Arial"/>
          <w:spacing w:val="-11"/>
          <w:lang w:val="es-ES"/>
        </w:rPr>
        <w:t xml:space="preserve"> </w:t>
      </w:r>
      <w:r w:rsidRPr="003D455F">
        <w:rPr>
          <w:rFonts w:ascii="Verdana" w:eastAsia="Arial MT" w:hAnsi="Verdana" w:cs="Arial"/>
          <w:lang w:val="es-ES"/>
        </w:rPr>
        <w:t>ha</w:t>
      </w:r>
      <w:r w:rsidRPr="003D455F">
        <w:rPr>
          <w:rFonts w:ascii="Verdana" w:eastAsia="Arial MT" w:hAnsi="Verdana" w:cs="Arial"/>
          <w:spacing w:val="-10"/>
          <w:lang w:val="es-ES"/>
        </w:rPr>
        <w:t xml:space="preserve"> </w:t>
      </w:r>
      <w:r w:rsidRPr="003D455F">
        <w:rPr>
          <w:rFonts w:ascii="Verdana" w:eastAsia="Arial MT" w:hAnsi="Verdana" w:cs="Arial"/>
          <w:lang w:val="es-ES"/>
        </w:rPr>
        <w:t>indicado</w:t>
      </w:r>
      <w:r w:rsidRPr="003D455F">
        <w:rPr>
          <w:rFonts w:ascii="Verdana" w:eastAsia="Arial MT" w:hAnsi="Verdana" w:cs="Arial"/>
          <w:spacing w:val="-10"/>
          <w:lang w:val="es-ES"/>
        </w:rPr>
        <w:t xml:space="preserve"> </w:t>
      </w:r>
      <w:r w:rsidRPr="003D455F">
        <w:rPr>
          <w:rFonts w:ascii="Verdana" w:eastAsia="Arial MT" w:hAnsi="Verdana" w:cs="Arial"/>
          <w:lang w:val="es-ES"/>
        </w:rPr>
        <w:t>que,</w:t>
      </w:r>
      <w:r w:rsidRPr="003D455F">
        <w:rPr>
          <w:rFonts w:ascii="Verdana" w:eastAsia="Arial MT" w:hAnsi="Verdana" w:cs="Arial"/>
          <w:spacing w:val="-10"/>
          <w:lang w:val="es-ES"/>
        </w:rPr>
        <w:t xml:space="preserve"> </w:t>
      </w:r>
      <w:r w:rsidRPr="003D455F">
        <w:rPr>
          <w:rFonts w:ascii="Verdana" w:eastAsia="Arial MT" w:hAnsi="Verdana" w:cs="Arial"/>
          <w:lang w:val="es-ES"/>
        </w:rPr>
        <w:t>al</w:t>
      </w:r>
      <w:r w:rsidRPr="003D455F">
        <w:rPr>
          <w:rFonts w:ascii="Verdana" w:eastAsia="Arial MT" w:hAnsi="Verdana" w:cs="Arial"/>
          <w:spacing w:val="-10"/>
          <w:lang w:val="es-ES"/>
        </w:rPr>
        <w:t xml:space="preserve"> </w:t>
      </w:r>
      <w:r w:rsidRPr="003D455F">
        <w:rPr>
          <w:rFonts w:ascii="Verdana" w:eastAsia="Arial MT" w:hAnsi="Verdana" w:cs="Arial"/>
          <w:lang w:val="es-ES"/>
        </w:rPr>
        <w:t>tratar</w:t>
      </w:r>
      <w:r w:rsidRPr="003D455F">
        <w:rPr>
          <w:rFonts w:ascii="Verdana" w:eastAsia="Arial MT" w:hAnsi="Verdana" w:cs="Arial"/>
          <w:spacing w:val="-10"/>
          <w:lang w:val="es-ES"/>
        </w:rPr>
        <w:t xml:space="preserve"> </w:t>
      </w:r>
      <w:r w:rsidRPr="003D455F">
        <w:rPr>
          <w:rFonts w:ascii="Verdana" w:eastAsia="Arial MT" w:hAnsi="Verdana" w:cs="Arial"/>
          <w:lang w:val="es-ES"/>
        </w:rPr>
        <w:t>de</w:t>
      </w:r>
      <w:r w:rsidRPr="003D455F">
        <w:rPr>
          <w:rFonts w:ascii="Verdana" w:eastAsia="Arial MT" w:hAnsi="Verdana" w:cs="Arial"/>
          <w:spacing w:val="-10"/>
          <w:lang w:val="es-ES"/>
        </w:rPr>
        <w:t xml:space="preserve"> </w:t>
      </w:r>
      <w:r w:rsidRPr="003D455F">
        <w:rPr>
          <w:rFonts w:ascii="Verdana" w:eastAsia="Arial MT" w:hAnsi="Verdana" w:cs="Arial"/>
          <w:lang w:val="es-ES"/>
        </w:rPr>
        <w:t>precisar el sentido</w:t>
      </w:r>
      <w:r w:rsidRPr="003D455F">
        <w:rPr>
          <w:rFonts w:ascii="Verdana" w:eastAsia="Arial MT" w:hAnsi="Verdana" w:cs="Arial"/>
          <w:spacing w:val="-6"/>
          <w:lang w:val="es-ES"/>
        </w:rPr>
        <w:t xml:space="preserve"> </w:t>
      </w:r>
      <w:r w:rsidRPr="003D455F">
        <w:rPr>
          <w:rFonts w:ascii="Verdana" w:eastAsia="Arial MT" w:hAnsi="Verdana" w:cs="Arial"/>
          <w:lang w:val="es-ES"/>
        </w:rPr>
        <w:t>de</w:t>
      </w:r>
      <w:r w:rsidRPr="003D455F">
        <w:rPr>
          <w:rFonts w:ascii="Verdana" w:eastAsia="Arial MT" w:hAnsi="Verdana" w:cs="Arial"/>
          <w:spacing w:val="-5"/>
          <w:lang w:val="es-ES"/>
        </w:rPr>
        <w:t xml:space="preserve"> </w:t>
      </w:r>
      <w:r w:rsidRPr="003D455F">
        <w:rPr>
          <w:rFonts w:ascii="Verdana" w:eastAsia="Arial MT" w:hAnsi="Verdana" w:cs="Arial"/>
          <w:lang w:val="es-ES"/>
        </w:rPr>
        <w:t>este</w:t>
      </w:r>
      <w:r w:rsidRPr="003D455F">
        <w:rPr>
          <w:rFonts w:ascii="Verdana" w:eastAsia="Arial MT" w:hAnsi="Verdana" w:cs="Arial"/>
          <w:spacing w:val="-6"/>
          <w:lang w:val="es-ES"/>
        </w:rPr>
        <w:t xml:space="preserve"> </w:t>
      </w:r>
      <w:r w:rsidRPr="003D455F">
        <w:rPr>
          <w:rFonts w:ascii="Verdana" w:eastAsia="Arial MT" w:hAnsi="Verdana" w:cs="Arial"/>
          <w:lang w:val="es-ES"/>
        </w:rPr>
        <w:t>tipo</w:t>
      </w:r>
      <w:r w:rsidRPr="003D455F">
        <w:rPr>
          <w:rFonts w:ascii="Verdana" w:eastAsia="Arial MT" w:hAnsi="Verdana" w:cs="Arial"/>
          <w:spacing w:val="-4"/>
          <w:lang w:val="es-ES"/>
        </w:rPr>
        <w:t xml:space="preserve"> </w:t>
      </w:r>
      <w:r w:rsidRPr="003D455F">
        <w:rPr>
          <w:rFonts w:ascii="Verdana" w:eastAsia="Arial MT" w:hAnsi="Verdana" w:cs="Arial"/>
          <w:lang w:val="es-ES"/>
        </w:rPr>
        <w:t>de</w:t>
      </w:r>
      <w:r w:rsidRPr="003D455F">
        <w:rPr>
          <w:rFonts w:ascii="Verdana" w:eastAsia="Arial MT" w:hAnsi="Verdana" w:cs="Arial"/>
          <w:spacing w:val="-6"/>
          <w:lang w:val="es-ES"/>
        </w:rPr>
        <w:t xml:space="preserve"> </w:t>
      </w:r>
      <w:r w:rsidRPr="003D455F">
        <w:rPr>
          <w:rFonts w:ascii="Verdana" w:eastAsia="Arial MT" w:hAnsi="Verdana" w:cs="Arial"/>
          <w:lang w:val="es-ES"/>
        </w:rPr>
        <w:t>normas,</w:t>
      </w:r>
      <w:r w:rsidRPr="003D455F">
        <w:rPr>
          <w:rFonts w:ascii="Verdana" w:eastAsia="Arial MT" w:hAnsi="Verdana" w:cs="Arial"/>
          <w:spacing w:val="-6"/>
          <w:lang w:val="es-ES"/>
        </w:rPr>
        <w:t xml:space="preserve"> </w:t>
      </w:r>
      <w:r w:rsidRPr="003D455F">
        <w:rPr>
          <w:rFonts w:ascii="Verdana" w:eastAsia="Arial MT" w:hAnsi="Verdana" w:cs="Arial"/>
          <w:lang w:val="es-ES"/>
        </w:rPr>
        <w:t>“[…]</w:t>
      </w:r>
      <w:r w:rsidRPr="003D455F">
        <w:rPr>
          <w:rFonts w:ascii="Verdana" w:eastAsia="Arial MT" w:hAnsi="Verdana" w:cs="Arial"/>
          <w:spacing w:val="-5"/>
          <w:lang w:val="es-ES"/>
        </w:rPr>
        <w:t xml:space="preserve"> </w:t>
      </w:r>
      <w:r w:rsidRPr="003D455F">
        <w:rPr>
          <w:rFonts w:ascii="Verdana" w:eastAsia="Arial MT" w:hAnsi="Verdana" w:cs="Arial"/>
          <w:lang w:val="es-ES"/>
        </w:rPr>
        <w:t>el</w:t>
      </w:r>
      <w:r w:rsidRPr="003D455F">
        <w:rPr>
          <w:rFonts w:ascii="Verdana" w:eastAsia="Arial MT" w:hAnsi="Verdana" w:cs="Arial"/>
          <w:spacing w:val="-6"/>
          <w:lang w:val="es-ES"/>
        </w:rPr>
        <w:t xml:space="preserve"> </w:t>
      </w:r>
      <w:r w:rsidRPr="003D455F">
        <w:rPr>
          <w:rFonts w:ascii="Verdana" w:eastAsia="Arial MT" w:hAnsi="Verdana" w:cs="Arial"/>
          <w:lang w:val="es-ES"/>
        </w:rPr>
        <w:t>intérprete</w:t>
      </w:r>
      <w:r w:rsidRPr="003D455F">
        <w:rPr>
          <w:rFonts w:ascii="Verdana" w:eastAsia="Arial MT" w:hAnsi="Verdana" w:cs="Arial"/>
          <w:spacing w:val="-5"/>
          <w:lang w:val="es-ES"/>
        </w:rPr>
        <w:t xml:space="preserve"> </w:t>
      </w:r>
      <w:r w:rsidRPr="003D455F">
        <w:rPr>
          <w:rFonts w:ascii="Verdana" w:eastAsia="Arial MT" w:hAnsi="Verdana" w:cs="Arial"/>
          <w:lang w:val="es-ES"/>
        </w:rPr>
        <w:t>de</w:t>
      </w:r>
      <w:r w:rsidRPr="003D455F">
        <w:rPr>
          <w:rFonts w:ascii="Verdana" w:eastAsia="Arial MT" w:hAnsi="Verdana" w:cs="Arial"/>
          <w:spacing w:val="-6"/>
          <w:lang w:val="es-ES"/>
        </w:rPr>
        <w:t xml:space="preserve"> </w:t>
      </w:r>
      <w:r w:rsidRPr="003D455F">
        <w:rPr>
          <w:rFonts w:ascii="Verdana" w:eastAsia="Arial MT" w:hAnsi="Verdana" w:cs="Arial"/>
          <w:lang w:val="es-ES"/>
        </w:rPr>
        <w:t>las</w:t>
      </w:r>
      <w:r w:rsidRPr="003D455F">
        <w:rPr>
          <w:rFonts w:ascii="Verdana" w:eastAsia="Arial MT" w:hAnsi="Verdana" w:cs="Arial"/>
          <w:spacing w:val="-5"/>
          <w:lang w:val="es-ES"/>
        </w:rPr>
        <w:t xml:space="preserve"> </w:t>
      </w:r>
      <w:r w:rsidRPr="003D455F">
        <w:rPr>
          <w:rFonts w:ascii="Verdana" w:eastAsia="Arial MT" w:hAnsi="Verdana" w:cs="Arial"/>
          <w:lang w:val="es-ES"/>
        </w:rPr>
        <w:t>disposiciones</w:t>
      </w:r>
      <w:r w:rsidRPr="003D455F">
        <w:rPr>
          <w:rFonts w:ascii="Verdana" w:eastAsia="Arial MT" w:hAnsi="Verdana" w:cs="Arial"/>
          <w:spacing w:val="-5"/>
          <w:lang w:val="es-ES"/>
        </w:rPr>
        <w:t xml:space="preserve"> </w:t>
      </w:r>
      <w:r w:rsidRPr="003D455F">
        <w:rPr>
          <w:rFonts w:ascii="Verdana" w:eastAsia="Arial MT" w:hAnsi="Verdana" w:cs="Arial"/>
          <w:lang w:val="es-ES"/>
        </w:rPr>
        <w:t>legislativas</w:t>
      </w:r>
      <w:r w:rsidRPr="003D455F">
        <w:rPr>
          <w:rFonts w:ascii="Verdana" w:eastAsia="Arial MT" w:hAnsi="Verdana" w:cs="Arial"/>
          <w:spacing w:val="-5"/>
          <w:lang w:val="es-ES"/>
        </w:rPr>
        <w:t xml:space="preserve"> </w:t>
      </w:r>
      <w:r w:rsidRPr="003D455F">
        <w:rPr>
          <w:rFonts w:ascii="Verdana" w:eastAsia="Arial MT" w:hAnsi="Verdana" w:cs="Arial"/>
          <w:lang w:val="es-ES"/>
        </w:rPr>
        <w:t>en</w:t>
      </w:r>
      <w:r w:rsidRPr="003D455F">
        <w:rPr>
          <w:rFonts w:ascii="Verdana" w:eastAsia="Arial MT" w:hAnsi="Verdana" w:cs="Arial"/>
          <w:spacing w:val="-58"/>
          <w:lang w:val="es-ES"/>
        </w:rPr>
        <w:t xml:space="preserve">    </w:t>
      </w:r>
      <w:r w:rsidRPr="003D455F">
        <w:rPr>
          <w:rFonts w:ascii="Verdana" w:eastAsia="Arial MT" w:hAnsi="Verdana" w:cs="Arial"/>
          <w:lang w:val="es-ES"/>
        </w:rPr>
        <w:t xml:space="preserve"> la materia ha de ceñirse en la mayor medida posible al tenor literal y gramatical de los</w:t>
      </w:r>
      <w:r w:rsidRPr="003D455F">
        <w:rPr>
          <w:rFonts w:ascii="Verdana" w:eastAsia="Arial MT" w:hAnsi="Verdana" w:cs="Arial"/>
          <w:spacing w:val="1"/>
          <w:lang w:val="es-ES"/>
        </w:rPr>
        <w:t xml:space="preserve"> </w:t>
      </w:r>
      <w:r w:rsidRPr="003D455F">
        <w:rPr>
          <w:rFonts w:ascii="Verdana" w:eastAsia="Arial MT" w:hAnsi="Verdana" w:cs="Arial"/>
          <w:lang w:val="es-ES"/>
        </w:rPr>
        <w:t>enunciados</w:t>
      </w:r>
      <w:r w:rsidRPr="003D455F">
        <w:rPr>
          <w:rFonts w:ascii="Verdana" w:eastAsia="Arial MT" w:hAnsi="Verdana" w:cs="Arial"/>
          <w:spacing w:val="-9"/>
          <w:lang w:val="es-ES"/>
        </w:rPr>
        <w:t xml:space="preserve"> </w:t>
      </w:r>
      <w:r w:rsidRPr="003D455F">
        <w:rPr>
          <w:rFonts w:ascii="Verdana" w:eastAsia="Arial MT" w:hAnsi="Verdana" w:cs="Arial"/>
          <w:lang w:val="es-ES"/>
        </w:rPr>
        <w:t>normativos,</w:t>
      </w:r>
      <w:r w:rsidRPr="003D455F">
        <w:rPr>
          <w:rFonts w:ascii="Verdana" w:eastAsia="Arial MT" w:hAnsi="Verdana" w:cs="Arial"/>
          <w:spacing w:val="-9"/>
          <w:lang w:val="es-ES"/>
        </w:rPr>
        <w:t xml:space="preserve"> </w:t>
      </w:r>
      <w:r w:rsidRPr="003D455F">
        <w:rPr>
          <w:rFonts w:ascii="Verdana" w:eastAsia="Arial MT" w:hAnsi="Verdana" w:cs="Arial"/>
          <w:lang w:val="es-ES"/>
        </w:rPr>
        <w:t>sin</w:t>
      </w:r>
      <w:r w:rsidRPr="003D455F">
        <w:rPr>
          <w:rFonts w:ascii="Verdana" w:eastAsia="Arial MT" w:hAnsi="Verdana" w:cs="Arial"/>
          <w:spacing w:val="-9"/>
          <w:lang w:val="es-ES"/>
        </w:rPr>
        <w:t xml:space="preserve"> </w:t>
      </w:r>
      <w:r w:rsidRPr="003D455F">
        <w:rPr>
          <w:rFonts w:ascii="Verdana" w:eastAsia="Arial MT" w:hAnsi="Verdana" w:cs="Arial"/>
          <w:lang w:val="es-ES"/>
        </w:rPr>
        <w:t>que</w:t>
      </w:r>
      <w:r w:rsidRPr="003D455F">
        <w:rPr>
          <w:rFonts w:ascii="Verdana" w:eastAsia="Arial MT" w:hAnsi="Verdana" w:cs="Arial"/>
          <w:spacing w:val="-8"/>
          <w:lang w:val="es-ES"/>
        </w:rPr>
        <w:t xml:space="preserve"> </w:t>
      </w:r>
      <w:r w:rsidRPr="003D455F">
        <w:rPr>
          <w:rFonts w:ascii="Verdana" w:eastAsia="Arial MT" w:hAnsi="Verdana" w:cs="Arial"/>
          <w:lang w:val="es-ES"/>
        </w:rPr>
        <w:t>pueda</w:t>
      </w:r>
      <w:r w:rsidRPr="003D455F">
        <w:rPr>
          <w:rFonts w:ascii="Verdana" w:eastAsia="Arial MT" w:hAnsi="Verdana" w:cs="Arial"/>
          <w:spacing w:val="-9"/>
          <w:lang w:val="es-ES"/>
        </w:rPr>
        <w:t xml:space="preserve"> </w:t>
      </w:r>
      <w:r w:rsidRPr="003D455F">
        <w:rPr>
          <w:rFonts w:ascii="Verdana" w:eastAsia="Arial MT" w:hAnsi="Verdana" w:cs="Arial"/>
          <w:lang w:val="es-ES"/>
        </w:rPr>
        <w:t>acudir</w:t>
      </w:r>
      <w:r w:rsidRPr="003D455F">
        <w:rPr>
          <w:rFonts w:ascii="Verdana" w:eastAsia="Arial MT" w:hAnsi="Verdana" w:cs="Arial"/>
          <w:spacing w:val="-9"/>
          <w:lang w:val="es-ES"/>
        </w:rPr>
        <w:t xml:space="preserve"> </w:t>
      </w:r>
      <w:r w:rsidRPr="003D455F">
        <w:rPr>
          <w:rFonts w:ascii="Verdana" w:eastAsia="Arial MT" w:hAnsi="Verdana" w:cs="Arial"/>
          <w:lang w:val="es-ES"/>
        </w:rPr>
        <w:t>prima</w:t>
      </w:r>
      <w:r w:rsidRPr="003D455F">
        <w:rPr>
          <w:rFonts w:ascii="Verdana" w:eastAsia="Arial MT" w:hAnsi="Verdana" w:cs="Arial"/>
          <w:spacing w:val="-9"/>
          <w:lang w:val="es-ES"/>
        </w:rPr>
        <w:t xml:space="preserve"> </w:t>
      </w:r>
      <w:r w:rsidRPr="003D455F">
        <w:rPr>
          <w:rFonts w:ascii="Verdana" w:eastAsia="Arial MT" w:hAnsi="Verdana" w:cs="Arial"/>
          <w:lang w:val="es-ES"/>
        </w:rPr>
        <w:t>facie</w:t>
      </w:r>
      <w:r w:rsidRPr="003D455F">
        <w:rPr>
          <w:rFonts w:ascii="Verdana" w:eastAsia="Arial MT" w:hAnsi="Verdana" w:cs="Arial"/>
          <w:spacing w:val="-8"/>
          <w:lang w:val="es-ES"/>
        </w:rPr>
        <w:t xml:space="preserve"> </w:t>
      </w:r>
      <w:r w:rsidRPr="003D455F">
        <w:rPr>
          <w:rFonts w:ascii="Verdana" w:eastAsia="Arial MT" w:hAnsi="Verdana" w:cs="Arial"/>
          <w:lang w:val="es-ES"/>
        </w:rPr>
        <w:t>a</w:t>
      </w:r>
      <w:r w:rsidRPr="003D455F">
        <w:rPr>
          <w:rFonts w:ascii="Verdana" w:eastAsia="Arial MT" w:hAnsi="Verdana" w:cs="Arial"/>
          <w:spacing w:val="-9"/>
          <w:lang w:val="es-ES"/>
        </w:rPr>
        <w:t xml:space="preserve"> </w:t>
      </w:r>
      <w:r w:rsidRPr="003D455F">
        <w:rPr>
          <w:rFonts w:ascii="Verdana" w:eastAsia="Arial MT" w:hAnsi="Verdana" w:cs="Arial"/>
          <w:lang w:val="es-ES"/>
        </w:rPr>
        <w:t>criterios</w:t>
      </w:r>
      <w:r w:rsidRPr="003D455F">
        <w:rPr>
          <w:rFonts w:ascii="Verdana" w:eastAsia="Arial MT" w:hAnsi="Verdana" w:cs="Arial"/>
          <w:spacing w:val="-9"/>
          <w:lang w:val="es-ES"/>
        </w:rPr>
        <w:t xml:space="preserve"> </w:t>
      </w:r>
      <w:r w:rsidRPr="003D455F">
        <w:rPr>
          <w:rFonts w:ascii="Verdana" w:eastAsia="Arial MT" w:hAnsi="Verdana" w:cs="Arial"/>
          <w:lang w:val="es-ES"/>
        </w:rPr>
        <w:t>interpretativos</w:t>
      </w:r>
      <w:r w:rsidRPr="003D455F">
        <w:rPr>
          <w:rFonts w:ascii="Verdana" w:eastAsia="Arial MT" w:hAnsi="Verdana" w:cs="Arial"/>
          <w:spacing w:val="-9"/>
          <w:lang w:val="es-ES"/>
        </w:rPr>
        <w:t xml:space="preserve"> </w:t>
      </w:r>
      <w:r w:rsidRPr="003D455F">
        <w:rPr>
          <w:rFonts w:ascii="Verdana" w:eastAsia="Arial MT" w:hAnsi="Verdana" w:cs="Arial"/>
          <w:lang w:val="es-ES"/>
        </w:rPr>
        <w:t>tales</w:t>
      </w:r>
      <w:r w:rsidRPr="003D455F">
        <w:rPr>
          <w:rFonts w:ascii="Verdana" w:eastAsia="Arial MT" w:hAnsi="Verdana" w:cs="Arial"/>
          <w:spacing w:val="-58"/>
          <w:lang w:val="es-ES"/>
        </w:rPr>
        <w:t xml:space="preserve"> </w:t>
      </w:r>
      <w:r w:rsidRPr="003D455F">
        <w:rPr>
          <w:rFonts w:ascii="Verdana" w:eastAsia="Arial MT" w:hAnsi="Verdana" w:cs="Arial"/>
          <w:lang w:val="es-ES"/>
        </w:rPr>
        <w:t>como la analogía, la interpretación extensiva para ampliar el alcance de las causales</w:t>
      </w:r>
      <w:r w:rsidRPr="003D455F">
        <w:rPr>
          <w:rFonts w:ascii="Verdana" w:eastAsia="Arial MT" w:hAnsi="Verdana" w:cs="Arial"/>
          <w:spacing w:val="1"/>
          <w:lang w:val="es-ES"/>
        </w:rPr>
        <w:t xml:space="preserve"> </w:t>
      </w:r>
      <w:r w:rsidRPr="003D455F">
        <w:rPr>
          <w:rFonts w:ascii="Verdana" w:eastAsia="Arial MT" w:hAnsi="Verdana" w:cs="Arial"/>
          <w:lang w:val="es-ES"/>
        </w:rPr>
        <w:t>legalmente fijadas”</w:t>
      </w:r>
      <w:r w:rsidRPr="003D455F">
        <w:rPr>
          <w:rFonts w:ascii="Geomanist Light" w:hAnsi="Geomanist Light"/>
          <w:vertAlign w:val="superscript"/>
          <w:lang w:val="es-ES"/>
        </w:rPr>
        <w:footnoteReference w:id="4"/>
      </w:r>
      <w:r w:rsidRPr="003D455F">
        <w:rPr>
          <w:rFonts w:ascii="Verdana" w:eastAsia="Arial MT" w:hAnsi="Verdana" w:cs="Arial"/>
          <w:lang w:val="es-ES"/>
        </w:rPr>
        <w:t>. Por su parte, el Consejo de Estado también ha acogido este</w:t>
      </w:r>
      <w:r w:rsidRPr="003D455F">
        <w:rPr>
          <w:rFonts w:ascii="Verdana" w:eastAsia="Arial MT" w:hAnsi="Verdana" w:cs="Arial"/>
          <w:spacing w:val="1"/>
          <w:lang w:val="es-ES"/>
        </w:rPr>
        <w:t xml:space="preserve"> </w:t>
      </w:r>
      <w:r w:rsidRPr="003D455F">
        <w:rPr>
          <w:rFonts w:ascii="Verdana" w:eastAsia="Arial MT" w:hAnsi="Verdana" w:cs="Arial"/>
          <w:lang w:val="es-ES"/>
        </w:rPr>
        <w:t>criterio, considerando –como expresa la Sala de Consulta y Servicio Civil–, que “La</w:t>
      </w:r>
      <w:r w:rsidRPr="003D455F">
        <w:rPr>
          <w:rFonts w:ascii="Verdana" w:eastAsia="Arial MT" w:hAnsi="Verdana" w:cs="Arial"/>
          <w:spacing w:val="1"/>
          <w:lang w:val="es-ES"/>
        </w:rPr>
        <w:t xml:space="preserve"> </w:t>
      </w:r>
      <w:r w:rsidRPr="003D455F">
        <w:rPr>
          <w:rFonts w:ascii="Verdana" w:eastAsia="Arial MT" w:hAnsi="Verdana" w:cs="Arial"/>
          <w:lang w:val="es-ES"/>
        </w:rPr>
        <w:t>interpretación restrictiva de las normas que establecen inhabilidades constituye una</w:t>
      </w:r>
      <w:r w:rsidRPr="003D455F">
        <w:rPr>
          <w:rFonts w:ascii="Verdana" w:eastAsia="Arial MT" w:hAnsi="Verdana" w:cs="Arial"/>
          <w:spacing w:val="1"/>
          <w:lang w:val="es-ES"/>
        </w:rPr>
        <w:t xml:space="preserve"> </w:t>
      </w:r>
      <w:r w:rsidRPr="003D455F">
        <w:rPr>
          <w:rFonts w:ascii="Verdana" w:eastAsia="Arial MT" w:hAnsi="Verdana" w:cs="Arial"/>
          <w:lang w:val="es-ES"/>
        </w:rPr>
        <w:t>aplicación</w:t>
      </w:r>
      <w:r w:rsidRPr="003D455F">
        <w:rPr>
          <w:rFonts w:ascii="Verdana" w:eastAsia="Arial MT" w:hAnsi="Verdana" w:cs="Arial"/>
          <w:spacing w:val="1"/>
          <w:lang w:val="es-ES"/>
        </w:rPr>
        <w:t xml:space="preserve"> </w:t>
      </w:r>
      <w:r w:rsidRPr="003D455F">
        <w:rPr>
          <w:rFonts w:ascii="Verdana" w:eastAsia="Arial MT" w:hAnsi="Verdana" w:cs="Arial"/>
          <w:lang w:val="es-ES"/>
        </w:rPr>
        <w:t>del</w:t>
      </w:r>
      <w:r w:rsidRPr="003D455F">
        <w:rPr>
          <w:rFonts w:ascii="Verdana" w:eastAsia="Arial MT" w:hAnsi="Verdana" w:cs="Arial"/>
          <w:spacing w:val="1"/>
          <w:lang w:val="es-ES"/>
        </w:rPr>
        <w:t xml:space="preserve"> </w:t>
      </w:r>
      <w:r w:rsidRPr="003D455F">
        <w:rPr>
          <w:rFonts w:ascii="Verdana" w:eastAsia="Arial MT" w:hAnsi="Verdana" w:cs="Arial"/>
          <w:lang w:val="es-ES"/>
        </w:rPr>
        <w:t>principio</w:t>
      </w:r>
      <w:r w:rsidRPr="003D455F">
        <w:rPr>
          <w:rFonts w:ascii="Verdana" w:eastAsia="Arial MT" w:hAnsi="Verdana" w:cs="Arial"/>
          <w:spacing w:val="1"/>
          <w:lang w:val="es-ES"/>
        </w:rPr>
        <w:t xml:space="preserve"> </w:t>
      </w:r>
      <w:r w:rsidRPr="003D455F">
        <w:rPr>
          <w:rFonts w:ascii="Verdana" w:eastAsia="Arial MT" w:hAnsi="Verdana" w:cs="Arial"/>
          <w:lang w:val="es-ES"/>
        </w:rPr>
        <w:t>del</w:t>
      </w:r>
      <w:r w:rsidRPr="003D455F">
        <w:rPr>
          <w:rFonts w:ascii="Verdana" w:eastAsia="Arial MT" w:hAnsi="Verdana" w:cs="Arial"/>
          <w:spacing w:val="1"/>
          <w:lang w:val="es-ES"/>
        </w:rPr>
        <w:t xml:space="preserve"> </w:t>
      </w:r>
      <w:r w:rsidRPr="003D455F">
        <w:rPr>
          <w:rFonts w:ascii="Verdana" w:eastAsia="Arial MT" w:hAnsi="Verdana" w:cs="Arial"/>
          <w:lang w:val="es-ES"/>
        </w:rPr>
        <w:t>Estado</w:t>
      </w:r>
      <w:r w:rsidRPr="003D455F">
        <w:rPr>
          <w:rFonts w:ascii="Verdana" w:eastAsia="Arial MT" w:hAnsi="Verdana" w:cs="Arial"/>
          <w:spacing w:val="1"/>
          <w:lang w:val="es-ES"/>
        </w:rPr>
        <w:t xml:space="preserve"> </w:t>
      </w:r>
      <w:r w:rsidRPr="003D455F">
        <w:rPr>
          <w:rFonts w:ascii="Verdana" w:eastAsia="Arial MT" w:hAnsi="Verdana" w:cs="Arial"/>
          <w:lang w:val="es-ES"/>
        </w:rPr>
        <w:t>de</w:t>
      </w:r>
      <w:r w:rsidRPr="003D455F">
        <w:rPr>
          <w:rFonts w:ascii="Verdana" w:eastAsia="Arial MT" w:hAnsi="Verdana" w:cs="Arial"/>
          <w:spacing w:val="1"/>
          <w:lang w:val="es-ES"/>
        </w:rPr>
        <w:t xml:space="preserve"> </w:t>
      </w:r>
      <w:r w:rsidRPr="003D455F">
        <w:rPr>
          <w:rFonts w:ascii="Verdana" w:eastAsia="Arial MT" w:hAnsi="Verdana" w:cs="Arial"/>
          <w:lang w:val="es-ES"/>
        </w:rPr>
        <w:t>Derecho</w:t>
      </w:r>
      <w:r w:rsidRPr="003D455F">
        <w:rPr>
          <w:rFonts w:ascii="Verdana" w:eastAsia="Arial MT" w:hAnsi="Verdana" w:cs="Arial"/>
          <w:spacing w:val="1"/>
          <w:lang w:val="es-ES"/>
        </w:rPr>
        <w:t xml:space="preserve"> </w:t>
      </w:r>
      <w:r w:rsidRPr="003D455F">
        <w:rPr>
          <w:rFonts w:ascii="Verdana" w:eastAsia="Arial MT" w:hAnsi="Verdana" w:cs="Arial"/>
          <w:lang w:val="es-ES"/>
        </w:rPr>
        <w:t>previsto</w:t>
      </w:r>
      <w:r w:rsidRPr="003D455F">
        <w:rPr>
          <w:rFonts w:ascii="Verdana" w:eastAsia="Arial MT" w:hAnsi="Verdana" w:cs="Arial"/>
          <w:spacing w:val="1"/>
          <w:lang w:val="es-ES"/>
        </w:rPr>
        <w:t xml:space="preserve"> </w:t>
      </w:r>
      <w:r w:rsidRPr="003D455F">
        <w:rPr>
          <w:rFonts w:ascii="Verdana" w:eastAsia="Arial MT" w:hAnsi="Verdana" w:cs="Arial"/>
          <w:lang w:val="es-ES"/>
        </w:rPr>
        <w:t>en</w:t>
      </w:r>
      <w:r w:rsidRPr="003D455F">
        <w:rPr>
          <w:rFonts w:ascii="Verdana" w:eastAsia="Arial MT" w:hAnsi="Verdana" w:cs="Arial"/>
          <w:spacing w:val="1"/>
          <w:lang w:val="es-ES"/>
        </w:rPr>
        <w:t xml:space="preserve"> </w:t>
      </w:r>
      <w:r w:rsidRPr="003D455F">
        <w:rPr>
          <w:rFonts w:ascii="Verdana" w:eastAsia="Arial MT" w:hAnsi="Verdana" w:cs="Arial"/>
          <w:lang w:val="es-ES"/>
        </w:rPr>
        <w:t>el</w:t>
      </w:r>
      <w:r w:rsidRPr="003D455F">
        <w:rPr>
          <w:rFonts w:ascii="Verdana" w:eastAsia="Arial MT" w:hAnsi="Verdana" w:cs="Arial"/>
          <w:spacing w:val="1"/>
          <w:lang w:val="es-ES"/>
        </w:rPr>
        <w:t xml:space="preserve"> </w:t>
      </w:r>
      <w:r w:rsidRPr="003D455F">
        <w:rPr>
          <w:rFonts w:ascii="Verdana" w:eastAsia="Arial MT" w:hAnsi="Verdana" w:cs="Arial"/>
          <w:lang w:val="es-ES"/>
        </w:rPr>
        <w:t>artículo</w:t>
      </w:r>
      <w:r w:rsidRPr="003D455F">
        <w:rPr>
          <w:rFonts w:ascii="Verdana" w:eastAsia="Arial MT" w:hAnsi="Verdana" w:cs="Arial"/>
          <w:spacing w:val="1"/>
          <w:lang w:val="es-ES"/>
        </w:rPr>
        <w:t xml:space="preserve"> </w:t>
      </w:r>
      <w:r w:rsidRPr="003D455F">
        <w:rPr>
          <w:rFonts w:ascii="Verdana" w:eastAsia="Arial MT" w:hAnsi="Verdana" w:cs="Arial"/>
          <w:lang w:val="es-ES"/>
        </w:rPr>
        <w:t>6º</w:t>
      </w:r>
      <w:r w:rsidRPr="003D455F">
        <w:rPr>
          <w:rFonts w:ascii="Verdana" w:eastAsia="Arial MT" w:hAnsi="Verdana" w:cs="Arial"/>
          <w:spacing w:val="1"/>
          <w:lang w:val="es-ES"/>
        </w:rPr>
        <w:t xml:space="preserve"> </w:t>
      </w:r>
      <w:r w:rsidRPr="003D455F">
        <w:rPr>
          <w:rFonts w:ascii="Verdana" w:eastAsia="Arial MT" w:hAnsi="Verdana" w:cs="Arial"/>
          <w:lang w:val="es-ES"/>
        </w:rPr>
        <w:t>de</w:t>
      </w:r>
      <w:r w:rsidRPr="003D455F">
        <w:rPr>
          <w:rFonts w:ascii="Verdana" w:eastAsia="Arial MT" w:hAnsi="Verdana" w:cs="Arial"/>
          <w:spacing w:val="1"/>
          <w:lang w:val="es-ES"/>
        </w:rPr>
        <w:t xml:space="preserve"> </w:t>
      </w:r>
      <w:r w:rsidRPr="003D455F">
        <w:rPr>
          <w:rFonts w:ascii="Verdana" w:eastAsia="Arial MT" w:hAnsi="Verdana" w:cs="Arial"/>
          <w:lang w:val="es-ES"/>
        </w:rPr>
        <w:t>la</w:t>
      </w:r>
      <w:r w:rsidRPr="003D455F">
        <w:rPr>
          <w:rFonts w:ascii="Verdana" w:eastAsia="Arial MT" w:hAnsi="Verdana" w:cs="Arial"/>
          <w:spacing w:val="1"/>
          <w:lang w:val="es-ES"/>
        </w:rPr>
        <w:t xml:space="preserve"> </w:t>
      </w:r>
      <w:r w:rsidRPr="003D455F">
        <w:rPr>
          <w:rFonts w:ascii="Verdana" w:eastAsia="Arial MT" w:hAnsi="Verdana" w:cs="Arial"/>
          <w:lang w:val="es-ES"/>
        </w:rPr>
        <w:t>Constitución,</w:t>
      </w:r>
      <w:r w:rsidRPr="003D455F">
        <w:rPr>
          <w:rFonts w:ascii="Verdana" w:eastAsia="Arial MT" w:hAnsi="Verdana" w:cs="Arial"/>
          <w:spacing w:val="-14"/>
          <w:lang w:val="es-ES"/>
        </w:rPr>
        <w:t xml:space="preserve"> </w:t>
      </w:r>
      <w:r w:rsidRPr="003D455F">
        <w:rPr>
          <w:rFonts w:ascii="Verdana" w:eastAsia="Arial MT" w:hAnsi="Verdana" w:cs="Arial"/>
          <w:lang w:val="es-ES"/>
        </w:rPr>
        <w:t>según</w:t>
      </w:r>
      <w:r w:rsidRPr="003D455F">
        <w:rPr>
          <w:rFonts w:ascii="Verdana" w:eastAsia="Arial MT" w:hAnsi="Verdana" w:cs="Arial"/>
          <w:spacing w:val="-14"/>
          <w:lang w:val="es-ES"/>
        </w:rPr>
        <w:t xml:space="preserve"> </w:t>
      </w:r>
      <w:r w:rsidRPr="003D455F">
        <w:rPr>
          <w:rFonts w:ascii="Verdana" w:eastAsia="Arial MT" w:hAnsi="Verdana" w:cs="Arial"/>
          <w:lang w:val="es-ES"/>
        </w:rPr>
        <w:t>el</w:t>
      </w:r>
      <w:r w:rsidRPr="003D455F">
        <w:rPr>
          <w:rFonts w:ascii="Verdana" w:eastAsia="Arial MT" w:hAnsi="Verdana" w:cs="Arial"/>
          <w:spacing w:val="-13"/>
          <w:lang w:val="es-ES"/>
        </w:rPr>
        <w:t xml:space="preserve"> </w:t>
      </w:r>
      <w:r w:rsidRPr="003D455F">
        <w:rPr>
          <w:rFonts w:ascii="Verdana" w:eastAsia="Arial MT" w:hAnsi="Verdana" w:cs="Arial"/>
          <w:lang w:val="es-ES"/>
        </w:rPr>
        <w:t>cual</w:t>
      </w:r>
      <w:r w:rsidRPr="003D455F">
        <w:rPr>
          <w:rFonts w:ascii="Verdana" w:eastAsia="Arial MT" w:hAnsi="Verdana" w:cs="Arial"/>
          <w:spacing w:val="-14"/>
          <w:lang w:val="es-ES"/>
        </w:rPr>
        <w:t xml:space="preserve"> </w:t>
      </w:r>
      <w:r w:rsidRPr="003D455F">
        <w:rPr>
          <w:rFonts w:ascii="Verdana" w:eastAsia="Arial MT" w:hAnsi="Verdana" w:cs="Arial"/>
          <w:lang w:val="es-ES"/>
        </w:rPr>
        <w:t>“Los</w:t>
      </w:r>
      <w:r w:rsidRPr="003D455F">
        <w:rPr>
          <w:rFonts w:ascii="Verdana" w:eastAsia="Arial MT" w:hAnsi="Verdana" w:cs="Arial"/>
          <w:spacing w:val="-13"/>
          <w:lang w:val="es-ES"/>
        </w:rPr>
        <w:t xml:space="preserve"> </w:t>
      </w:r>
      <w:r w:rsidRPr="003D455F">
        <w:rPr>
          <w:rFonts w:ascii="Verdana" w:eastAsia="Arial MT" w:hAnsi="Verdana" w:cs="Arial"/>
          <w:lang w:val="es-ES"/>
        </w:rPr>
        <w:t>particulares</w:t>
      </w:r>
      <w:r w:rsidRPr="003D455F">
        <w:rPr>
          <w:rFonts w:ascii="Verdana" w:eastAsia="Arial MT" w:hAnsi="Verdana" w:cs="Arial"/>
          <w:spacing w:val="-14"/>
          <w:lang w:val="es-ES"/>
        </w:rPr>
        <w:t xml:space="preserve"> </w:t>
      </w:r>
      <w:r w:rsidRPr="003D455F">
        <w:rPr>
          <w:rFonts w:ascii="Verdana" w:eastAsia="Arial MT" w:hAnsi="Verdana" w:cs="Arial"/>
          <w:lang w:val="es-ES"/>
        </w:rPr>
        <w:t>sólo</w:t>
      </w:r>
      <w:r w:rsidRPr="003D455F">
        <w:rPr>
          <w:rFonts w:ascii="Verdana" w:eastAsia="Arial MT" w:hAnsi="Verdana" w:cs="Arial"/>
          <w:spacing w:val="-13"/>
          <w:lang w:val="es-ES"/>
        </w:rPr>
        <w:t xml:space="preserve"> </w:t>
      </w:r>
      <w:r w:rsidRPr="003D455F">
        <w:rPr>
          <w:rFonts w:ascii="Verdana" w:eastAsia="Arial MT" w:hAnsi="Verdana" w:cs="Arial"/>
          <w:lang w:val="es-ES"/>
        </w:rPr>
        <w:t>son</w:t>
      </w:r>
      <w:r w:rsidRPr="003D455F">
        <w:rPr>
          <w:rFonts w:ascii="Verdana" w:eastAsia="Arial MT" w:hAnsi="Verdana" w:cs="Arial"/>
          <w:spacing w:val="-14"/>
          <w:lang w:val="es-ES"/>
        </w:rPr>
        <w:t xml:space="preserve"> </w:t>
      </w:r>
      <w:r w:rsidRPr="003D455F">
        <w:rPr>
          <w:rFonts w:ascii="Verdana" w:eastAsia="Arial MT" w:hAnsi="Verdana" w:cs="Arial"/>
          <w:lang w:val="es-ES"/>
        </w:rPr>
        <w:t>responsables</w:t>
      </w:r>
      <w:r w:rsidRPr="003D455F">
        <w:rPr>
          <w:rFonts w:ascii="Verdana" w:eastAsia="Arial MT" w:hAnsi="Verdana" w:cs="Arial"/>
          <w:spacing w:val="-13"/>
          <w:lang w:val="es-ES"/>
        </w:rPr>
        <w:t xml:space="preserve"> </w:t>
      </w:r>
      <w:r w:rsidRPr="003D455F">
        <w:rPr>
          <w:rFonts w:ascii="Verdana" w:eastAsia="Arial MT" w:hAnsi="Verdana" w:cs="Arial"/>
          <w:lang w:val="es-ES"/>
        </w:rPr>
        <w:t>ante</w:t>
      </w:r>
      <w:r w:rsidRPr="003D455F">
        <w:rPr>
          <w:rFonts w:ascii="Verdana" w:eastAsia="Arial MT" w:hAnsi="Verdana" w:cs="Arial"/>
          <w:spacing w:val="-14"/>
          <w:lang w:val="es-ES"/>
        </w:rPr>
        <w:t xml:space="preserve"> </w:t>
      </w:r>
      <w:r w:rsidRPr="003D455F">
        <w:rPr>
          <w:rFonts w:ascii="Verdana" w:eastAsia="Arial MT" w:hAnsi="Verdana" w:cs="Arial"/>
          <w:lang w:val="es-ES"/>
        </w:rPr>
        <w:t>las</w:t>
      </w:r>
      <w:r w:rsidRPr="003D455F">
        <w:rPr>
          <w:rFonts w:ascii="Verdana" w:eastAsia="Arial MT" w:hAnsi="Verdana" w:cs="Arial"/>
          <w:spacing w:val="-13"/>
          <w:lang w:val="es-ES"/>
        </w:rPr>
        <w:t xml:space="preserve"> </w:t>
      </w:r>
      <w:r w:rsidRPr="003D455F">
        <w:rPr>
          <w:rFonts w:ascii="Verdana" w:eastAsia="Arial MT" w:hAnsi="Verdana" w:cs="Arial"/>
          <w:lang w:val="es-ES"/>
        </w:rPr>
        <w:t>autoridades</w:t>
      </w:r>
      <w:r w:rsidRPr="003D455F">
        <w:rPr>
          <w:rFonts w:ascii="Verdana" w:eastAsia="Arial MT" w:hAnsi="Verdana" w:cs="Arial"/>
          <w:spacing w:val="-59"/>
          <w:lang w:val="es-ES"/>
        </w:rPr>
        <w:t xml:space="preserve"> </w:t>
      </w:r>
      <w:r w:rsidRPr="003D455F">
        <w:rPr>
          <w:rFonts w:ascii="Verdana" w:eastAsia="Arial MT" w:hAnsi="Verdana" w:cs="Arial"/>
          <w:lang w:val="es-ES"/>
        </w:rPr>
        <w:t>por infringir la Constitución y las leyes” lo que se traduce en que pueden hacer todo</w:t>
      </w:r>
      <w:r w:rsidRPr="003D455F">
        <w:rPr>
          <w:rFonts w:ascii="Verdana" w:eastAsia="Arial MT" w:hAnsi="Verdana" w:cs="Arial"/>
          <w:spacing w:val="1"/>
          <w:lang w:val="es-ES"/>
        </w:rPr>
        <w:t xml:space="preserve"> </w:t>
      </w:r>
      <w:r w:rsidRPr="003D455F">
        <w:rPr>
          <w:rFonts w:ascii="Verdana" w:eastAsia="Arial MT" w:hAnsi="Verdana" w:cs="Arial"/>
          <w:lang w:val="es-ES"/>
        </w:rPr>
        <w:t>aquello que no les esté expresamente prohibido”</w:t>
      </w:r>
      <w:r w:rsidRPr="003D455F">
        <w:rPr>
          <w:rFonts w:ascii="Geomanist Light" w:hAnsi="Geomanist Light"/>
          <w:vertAlign w:val="superscript"/>
          <w:lang w:val="es-ES"/>
        </w:rPr>
        <w:footnoteReference w:id="5"/>
      </w:r>
      <w:r w:rsidRPr="003D455F">
        <w:rPr>
          <w:rFonts w:ascii="Verdana" w:eastAsia="Arial MT" w:hAnsi="Verdana" w:cs="Arial"/>
          <w:lang w:val="es-ES"/>
        </w:rPr>
        <w:t>. En tal sentido, la Sección Tercera</w:t>
      </w:r>
      <w:r w:rsidRPr="003D455F">
        <w:rPr>
          <w:rFonts w:ascii="Verdana" w:eastAsia="Arial MT" w:hAnsi="Verdana" w:cs="Arial"/>
          <w:spacing w:val="1"/>
          <w:lang w:val="es-ES"/>
        </w:rPr>
        <w:t xml:space="preserve"> </w:t>
      </w:r>
      <w:r w:rsidRPr="003D455F">
        <w:rPr>
          <w:rFonts w:ascii="Verdana" w:eastAsia="Arial MT" w:hAnsi="Verdana" w:cs="Arial"/>
          <w:lang w:val="es-ES"/>
        </w:rPr>
        <w:t>ha</w:t>
      </w:r>
      <w:r w:rsidRPr="003D455F">
        <w:rPr>
          <w:rFonts w:ascii="Verdana" w:eastAsia="Arial MT" w:hAnsi="Verdana" w:cs="Arial"/>
          <w:spacing w:val="-2"/>
          <w:lang w:val="es-ES"/>
        </w:rPr>
        <w:t xml:space="preserve"> </w:t>
      </w:r>
      <w:r w:rsidRPr="003D455F">
        <w:rPr>
          <w:rFonts w:ascii="Verdana" w:eastAsia="Arial MT" w:hAnsi="Verdana" w:cs="Arial"/>
          <w:lang w:val="es-ES"/>
        </w:rPr>
        <w:t>señalado</w:t>
      </w:r>
      <w:r w:rsidRPr="003D455F">
        <w:rPr>
          <w:rFonts w:ascii="Verdana" w:eastAsia="Arial MT" w:hAnsi="Verdana" w:cs="Arial"/>
          <w:spacing w:val="-1"/>
          <w:lang w:val="es-ES"/>
        </w:rPr>
        <w:t xml:space="preserve"> </w:t>
      </w:r>
      <w:r w:rsidRPr="003D455F">
        <w:rPr>
          <w:rFonts w:ascii="Verdana" w:eastAsia="Arial MT" w:hAnsi="Verdana" w:cs="Arial"/>
          <w:lang w:val="es-ES"/>
        </w:rPr>
        <w:t>que:</w:t>
      </w:r>
    </w:p>
    <w:p w14:paraId="5F336FB7" w14:textId="77777777" w:rsidR="003D455F" w:rsidRPr="003D455F" w:rsidRDefault="003D455F" w:rsidP="003D455F">
      <w:pPr>
        <w:widowControl w:val="0"/>
        <w:autoSpaceDE w:val="0"/>
        <w:autoSpaceDN w:val="0"/>
        <w:spacing w:before="3" w:after="0" w:line="240" w:lineRule="auto"/>
        <w:rPr>
          <w:rFonts w:ascii="Verdana" w:eastAsia="Arial MT" w:hAnsi="Verdana" w:cs="Arial"/>
          <w:sz w:val="25"/>
          <w:lang w:val="es-ES"/>
        </w:rPr>
      </w:pPr>
    </w:p>
    <w:p w14:paraId="53519AAB" w14:textId="77777777" w:rsidR="003D455F" w:rsidRPr="003D455F" w:rsidRDefault="003D455F" w:rsidP="003D455F">
      <w:pPr>
        <w:widowControl w:val="0"/>
        <w:autoSpaceDE w:val="0"/>
        <w:autoSpaceDN w:val="0"/>
        <w:spacing w:after="0" w:line="240" w:lineRule="auto"/>
        <w:ind w:left="709" w:right="709"/>
        <w:jc w:val="both"/>
        <w:rPr>
          <w:rFonts w:ascii="Verdana" w:eastAsia="Calibri" w:hAnsi="Verdana" w:cs="Arial"/>
          <w:sz w:val="21"/>
          <w:lang w:val="es-MX"/>
        </w:rPr>
      </w:pPr>
      <w:r w:rsidRPr="003D455F">
        <w:rPr>
          <w:rFonts w:ascii="Verdana" w:eastAsia="Arial MT" w:hAnsi="Verdana" w:cs="Arial"/>
          <w:sz w:val="21"/>
          <w:lang w:val="es-ES"/>
        </w:rPr>
        <w:t>[…]</w:t>
      </w:r>
      <w:r w:rsidRPr="003D455F">
        <w:rPr>
          <w:rFonts w:ascii="Verdana" w:eastAsia="Arial MT" w:hAnsi="Verdana" w:cs="Arial"/>
          <w:spacing w:val="1"/>
          <w:sz w:val="21"/>
          <w:lang w:val="es-ES"/>
        </w:rPr>
        <w:t xml:space="preserve"> </w:t>
      </w:r>
      <w:r w:rsidRPr="003D455F">
        <w:rPr>
          <w:rFonts w:ascii="Verdana" w:eastAsia="Arial MT" w:hAnsi="Verdana" w:cs="Arial"/>
          <w:sz w:val="21"/>
          <w:lang w:val="es-ES"/>
        </w:rPr>
        <w:t>de</w:t>
      </w:r>
      <w:r w:rsidRPr="003D455F">
        <w:rPr>
          <w:rFonts w:ascii="Verdana" w:eastAsia="Arial MT" w:hAnsi="Verdana" w:cs="Arial"/>
          <w:spacing w:val="1"/>
          <w:sz w:val="21"/>
          <w:lang w:val="es-ES"/>
        </w:rPr>
        <w:t xml:space="preserve"> </w:t>
      </w:r>
      <w:r w:rsidRPr="003D455F">
        <w:rPr>
          <w:rFonts w:ascii="Verdana" w:eastAsia="Arial MT" w:hAnsi="Verdana" w:cs="Arial"/>
          <w:sz w:val="21"/>
          <w:lang w:val="es-ES"/>
        </w:rPr>
        <w:t>conformidad</w:t>
      </w:r>
      <w:r w:rsidRPr="003D455F">
        <w:rPr>
          <w:rFonts w:ascii="Verdana" w:eastAsia="Arial MT" w:hAnsi="Verdana" w:cs="Arial"/>
          <w:spacing w:val="1"/>
          <w:sz w:val="21"/>
          <w:lang w:val="es-ES"/>
        </w:rPr>
        <w:t xml:space="preserve"> </w:t>
      </w:r>
      <w:r w:rsidRPr="003D455F">
        <w:rPr>
          <w:rFonts w:ascii="Verdana" w:eastAsia="Arial MT" w:hAnsi="Verdana" w:cs="Arial"/>
          <w:sz w:val="21"/>
          <w:lang w:val="es-ES"/>
        </w:rPr>
        <w:t>con</w:t>
      </w:r>
      <w:r w:rsidRPr="003D455F">
        <w:rPr>
          <w:rFonts w:ascii="Verdana" w:eastAsia="Arial MT" w:hAnsi="Verdana" w:cs="Arial"/>
          <w:spacing w:val="1"/>
          <w:sz w:val="21"/>
          <w:lang w:val="es-ES"/>
        </w:rPr>
        <w:t xml:space="preserve"> </w:t>
      </w:r>
      <w:r w:rsidRPr="003D455F">
        <w:rPr>
          <w:rFonts w:ascii="Verdana" w:eastAsia="Arial MT" w:hAnsi="Verdana" w:cs="Arial"/>
          <w:sz w:val="21"/>
          <w:lang w:val="es-ES"/>
        </w:rPr>
        <w:t>la</w:t>
      </w:r>
      <w:r w:rsidRPr="003D455F">
        <w:rPr>
          <w:rFonts w:ascii="Verdana" w:eastAsia="Arial MT" w:hAnsi="Verdana" w:cs="Arial"/>
          <w:spacing w:val="1"/>
          <w:sz w:val="21"/>
          <w:lang w:val="es-ES"/>
        </w:rPr>
        <w:t xml:space="preserve"> </w:t>
      </w:r>
      <w:r w:rsidRPr="003D455F">
        <w:rPr>
          <w:rFonts w:ascii="Verdana" w:eastAsia="Arial MT" w:hAnsi="Verdana" w:cs="Arial"/>
          <w:sz w:val="21"/>
          <w:lang w:val="es-ES"/>
        </w:rPr>
        <w:t>jurisprudencia</w:t>
      </w:r>
      <w:r w:rsidRPr="003D455F">
        <w:rPr>
          <w:rFonts w:ascii="Verdana" w:eastAsia="Arial MT" w:hAnsi="Verdana" w:cs="Arial"/>
          <w:spacing w:val="1"/>
          <w:sz w:val="21"/>
          <w:lang w:val="es-ES"/>
        </w:rPr>
        <w:t xml:space="preserve"> </w:t>
      </w:r>
      <w:r w:rsidRPr="003D455F">
        <w:rPr>
          <w:rFonts w:ascii="Verdana" w:eastAsia="Arial MT" w:hAnsi="Verdana" w:cs="Arial"/>
          <w:sz w:val="21"/>
          <w:lang w:val="es-ES"/>
        </w:rPr>
        <w:t>uniforme</w:t>
      </w:r>
      <w:r w:rsidRPr="003D455F">
        <w:rPr>
          <w:rFonts w:ascii="Verdana" w:eastAsia="Arial MT" w:hAnsi="Verdana" w:cs="Arial"/>
          <w:spacing w:val="1"/>
          <w:sz w:val="21"/>
          <w:lang w:val="es-ES"/>
        </w:rPr>
        <w:t xml:space="preserve"> </w:t>
      </w:r>
      <w:r w:rsidRPr="003D455F">
        <w:rPr>
          <w:rFonts w:ascii="Verdana" w:eastAsia="Arial MT" w:hAnsi="Verdana" w:cs="Arial"/>
          <w:sz w:val="21"/>
          <w:lang w:val="es-ES"/>
        </w:rPr>
        <w:t>y</w:t>
      </w:r>
      <w:r w:rsidRPr="003D455F">
        <w:rPr>
          <w:rFonts w:ascii="Verdana" w:eastAsia="Arial MT" w:hAnsi="Verdana" w:cs="Arial"/>
          <w:spacing w:val="1"/>
          <w:sz w:val="21"/>
          <w:lang w:val="es-ES"/>
        </w:rPr>
        <w:t xml:space="preserve"> </w:t>
      </w:r>
      <w:r w:rsidRPr="003D455F">
        <w:rPr>
          <w:rFonts w:ascii="Verdana" w:eastAsia="Arial MT" w:hAnsi="Verdana" w:cs="Arial"/>
          <w:sz w:val="21"/>
          <w:lang w:val="es-ES"/>
        </w:rPr>
        <w:t>reiterada</w:t>
      </w:r>
      <w:r w:rsidRPr="003D455F">
        <w:rPr>
          <w:rFonts w:ascii="Verdana" w:eastAsia="Arial MT" w:hAnsi="Verdana" w:cs="Arial"/>
          <w:spacing w:val="1"/>
          <w:sz w:val="21"/>
          <w:lang w:val="es-ES"/>
        </w:rPr>
        <w:t xml:space="preserve"> </w:t>
      </w:r>
      <w:r w:rsidRPr="003D455F">
        <w:rPr>
          <w:rFonts w:ascii="Verdana" w:eastAsia="Arial MT" w:hAnsi="Verdana" w:cs="Arial"/>
          <w:sz w:val="21"/>
          <w:lang w:val="es-ES"/>
        </w:rPr>
        <w:t>de</w:t>
      </w:r>
      <w:r w:rsidRPr="003D455F">
        <w:rPr>
          <w:rFonts w:ascii="Verdana" w:eastAsia="Arial MT" w:hAnsi="Verdana" w:cs="Arial"/>
          <w:spacing w:val="1"/>
          <w:sz w:val="21"/>
          <w:lang w:val="es-ES"/>
        </w:rPr>
        <w:t xml:space="preserve"> </w:t>
      </w:r>
      <w:r w:rsidRPr="003D455F">
        <w:rPr>
          <w:rFonts w:ascii="Verdana" w:eastAsia="Arial MT" w:hAnsi="Verdana" w:cs="Arial"/>
          <w:sz w:val="21"/>
          <w:lang w:val="es-ES"/>
        </w:rPr>
        <w:t>esta</w:t>
      </w:r>
      <w:r w:rsidRPr="003D455F">
        <w:rPr>
          <w:rFonts w:ascii="Verdana" w:eastAsia="Arial MT" w:hAnsi="Verdana" w:cs="Arial"/>
          <w:spacing w:val="-56"/>
          <w:sz w:val="21"/>
          <w:lang w:val="es-ES"/>
        </w:rPr>
        <w:t xml:space="preserve"> </w:t>
      </w:r>
      <w:r w:rsidRPr="003D455F">
        <w:rPr>
          <w:rFonts w:ascii="Verdana" w:eastAsia="Arial MT" w:hAnsi="Verdana" w:cs="Arial"/>
          <w:sz w:val="21"/>
          <w:lang w:val="es-ES"/>
        </w:rPr>
        <w:t>Corporación, la aplicación de las normas que contemplan inhabilidades e</w:t>
      </w:r>
      <w:r w:rsidRPr="003D455F">
        <w:rPr>
          <w:rFonts w:ascii="Verdana" w:eastAsia="Arial MT" w:hAnsi="Verdana" w:cs="Arial"/>
          <w:spacing w:val="1"/>
          <w:sz w:val="21"/>
          <w:lang w:val="es-ES"/>
        </w:rPr>
        <w:t xml:space="preserve"> </w:t>
      </w:r>
      <w:r w:rsidRPr="003D455F">
        <w:rPr>
          <w:rFonts w:ascii="Verdana" w:eastAsia="Arial MT" w:hAnsi="Verdana" w:cs="Arial"/>
          <w:sz w:val="21"/>
          <w:lang w:val="es-ES"/>
        </w:rPr>
        <w:t>incompatibilidades,</w:t>
      </w:r>
      <w:r w:rsidRPr="003D455F">
        <w:rPr>
          <w:rFonts w:ascii="Verdana" w:eastAsia="Arial MT" w:hAnsi="Verdana" w:cs="Arial"/>
          <w:spacing w:val="1"/>
          <w:sz w:val="21"/>
          <w:lang w:val="es-ES"/>
        </w:rPr>
        <w:t xml:space="preserve"> </w:t>
      </w:r>
      <w:r w:rsidRPr="003D455F">
        <w:rPr>
          <w:rFonts w:ascii="Verdana" w:eastAsia="Arial MT" w:hAnsi="Verdana" w:cs="Arial"/>
          <w:sz w:val="21"/>
          <w:lang w:val="es-ES"/>
        </w:rPr>
        <w:t>como</w:t>
      </w:r>
      <w:r w:rsidRPr="003D455F">
        <w:rPr>
          <w:rFonts w:ascii="Verdana" w:eastAsia="Arial MT" w:hAnsi="Verdana" w:cs="Arial"/>
          <w:spacing w:val="1"/>
          <w:sz w:val="21"/>
          <w:lang w:val="es-ES"/>
        </w:rPr>
        <w:t xml:space="preserve"> </w:t>
      </w:r>
      <w:r w:rsidRPr="003D455F">
        <w:rPr>
          <w:rFonts w:ascii="Verdana" w:eastAsia="Arial MT" w:hAnsi="Verdana" w:cs="Arial"/>
          <w:sz w:val="21"/>
          <w:lang w:val="es-ES"/>
        </w:rPr>
        <w:t>en</w:t>
      </w:r>
      <w:r w:rsidRPr="003D455F">
        <w:rPr>
          <w:rFonts w:ascii="Verdana" w:eastAsia="Arial MT" w:hAnsi="Verdana" w:cs="Arial"/>
          <w:spacing w:val="1"/>
          <w:sz w:val="21"/>
          <w:lang w:val="es-ES"/>
        </w:rPr>
        <w:t xml:space="preserve"> </w:t>
      </w:r>
      <w:r w:rsidRPr="003D455F">
        <w:rPr>
          <w:rFonts w:ascii="Verdana" w:eastAsia="Arial MT" w:hAnsi="Verdana" w:cs="Arial"/>
          <w:sz w:val="21"/>
          <w:lang w:val="es-ES"/>
        </w:rPr>
        <w:t>general</w:t>
      </w:r>
      <w:r w:rsidRPr="003D455F">
        <w:rPr>
          <w:rFonts w:ascii="Verdana" w:eastAsia="Arial MT" w:hAnsi="Verdana" w:cs="Arial"/>
          <w:spacing w:val="1"/>
          <w:sz w:val="21"/>
          <w:lang w:val="es-ES"/>
        </w:rPr>
        <w:t xml:space="preserve"> </w:t>
      </w:r>
      <w:r w:rsidRPr="003D455F">
        <w:rPr>
          <w:rFonts w:ascii="Verdana" w:eastAsia="Arial MT" w:hAnsi="Verdana" w:cs="Arial"/>
          <w:sz w:val="21"/>
          <w:lang w:val="es-ES"/>
        </w:rPr>
        <w:t>de</w:t>
      </w:r>
      <w:r w:rsidRPr="003D455F">
        <w:rPr>
          <w:rFonts w:ascii="Verdana" w:eastAsia="Arial MT" w:hAnsi="Verdana" w:cs="Arial"/>
          <w:spacing w:val="1"/>
          <w:sz w:val="21"/>
          <w:lang w:val="es-ES"/>
        </w:rPr>
        <w:t xml:space="preserve"> </w:t>
      </w:r>
      <w:r w:rsidRPr="003D455F">
        <w:rPr>
          <w:rFonts w:ascii="Verdana" w:eastAsia="Arial MT" w:hAnsi="Verdana" w:cs="Arial"/>
          <w:sz w:val="21"/>
          <w:lang w:val="es-ES"/>
        </w:rPr>
        <w:t>todas</w:t>
      </w:r>
      <w:r w:rsidRPr="003D455F">
        <w:rPr>
          <w:rFonts w:ascii="Verdana" w:eastAsia="Arial MT" w:hAnsi="Verdana" w:cs="Arial"/>
          <w:spacing w:val="1"/>
          <w:sz w:val="21"/>
          <w:lang w:val="es-ES"/>
        </w:rPr>
        <w:t xml:space="preserve"> </w:t>
      </w:r>
      <w:r w:rsidRPr="003D455F">
        <w:rPr>
          <w:rFonts w:ascii="Verdana" w:eastAsia="Arial MT" w:hAnsi="Verdana" w:cs="Arial"/>
          <w:sz w:val="21"/>
          <w:lang w:val="es-ES"/>
        </w:rPr>
        <w:t>aquellas</w:t>
      </w:r>
      <w:r w:rsidRPr="003D455F">
        <w:rPr>
          <w:rFonts w:ascii="Verdana" w:eastAsia="Arial MT" w:hAnsi="Verdana" w:cs="Arial"/>
          <w:spacing w:val="1"/>
          <w:sz w:val="21"/>
          <w:lang w:val="es-ES"/>
        </w:rPr>
        <w:t xml:space="preserve"> </w:t>
      </w:r>
      <w:r w:rsidRPr="003D455F">
        <w:rPr>
          <w:rFonts w:ascii="Verdana" w:eastAsia="Arial MT" w:hAnsi="Verdana" w:cs="Arial"/>
          <w:sz w:val="21"/>
          <w:lang w:val="es-ES"/>
        </w:rPr>
        <w:t>que</w:t>
      </w:r>
      <w:r w:rsidRPr="003D455F">
        <w:rPr>
          <w:rFonts w:ascii="Verdana" w:eastAsia="Arial MT" w:hAnsi="Verdana" w:cs="Arial"/>
          <w:spacing w:val="1"/>
          <w:sz w:val="21"/>
          <w:lang w:val="es-ES"/>
        </w:rPr>
        <w:t xml:space="preserve"> </w:t>
      </w:r>
      <w:r w:rsidRPr="003D455F">
        <w:rPr>
          <w:rFonts w:ascii="Verdana" w:eastAsia="Arial MT" w:hAnsi="Verdana" w:cs="Arial"/>
          <w:sz w:val="21"/>
          <w:lang w:val="es-ES"/>
        </w:rPr>
        <w:t>comportan</w:t>
      </w:r>
      <w:r w:rsidRPr="003D455F">
        <w:rPr>
          <w:rFonts w:ascii="Verdana" w:eastAsia="Arial MT" w:hAnsi="Verdana" w:cs="Arial"/>
          <w:spacing w:val="-56"/>
          <w:sz w:val="21"/>
          <w:lang w:val="es-ES"/>
        </w:rPr>
        <w:t xml:space="preserve"> </w:t>
      </w:r>
      <w:r w:rsidRPr="003D455F">
        <w:rPr>
          <w:rFonts w:ascii="Verdana" w:eastAsia="Arial MT" w:hAnsi="Verdana" w:cs="Arial"/>
          <w:sz w:val="21"/>
          <w:lang w:val="es-ES"/>
        </w:rPr>
        <w:t>prohibiciones</w:t>
      </w:r>
      <w:r w:rsidRPr="003D455F">
        <w:rPr>
          <w:rFonts w:ascii="Verdana" w:eastAsia="Arial MT" w:hAnsi="Verdana" w:cs="Arial"/>
          <w:spacing w:val="-12"/>
          <w:sz w:val="21"/>
          <w:lang w:val="es-ES"/>
        </w:rPr>
        <w:t xml:space="preserve"> </w:t>
      </w:r>
      <w:r w:rsidRPr="003D455F">
        <w:rPr>
          <w:rFonts w:ascii="Verdana" w:eastAsia="Arial MT" w:hAnsi="Verdana" w:cs="Arial"/>
          <w:sz w:val="21"/>
          <w:lang w:val="es-ES"/>
        </w:rPr>
        <w:t>o</w:t>
      </w:r>
      <w:r w:rsidRPr="003D455F">
        <w:rPr>
          <w:rFonts w:ascii="Verdana" w:eastAsia="Arial MT" w:hAnsi="Verdana" w:cs="Arial"/>
          <w:spacing w:val="-13"/>
          <w:sz w:val="21"/>
          <w:lang w:val="es-ES"/>
        </w:rPr>
        <w:t xml:space="preserve"> </w:t>
      </w:r>
      <w:r w:rsidRPr="003D455F">
        <w:rPr>
          <w:rFonts w:ascii="Verdana" w:eastAsia="Arial MT" w:hAnsi="Verdana" w:cs="Arial"/>
          <w:sz w:val="21"/>
          <w:lang w:val="es-ES"/>
        </w:rPr>
        <w:t>limitaciones,</w:t>
      </w:r>
      <w:r w:rsidRPr="003D455F">
        <w:rPr>
          <w:rFonts w:ascii="Verdana" w:eastAsia="Arial MT" w:hAnsi="Verdana" w:cs="Arial"/>
          <w:spacing w:val="-12"/>
          <w:sz w:val="21"/>
          <w:lang w:val="es-ES"/>
        </w:rPr>
        <w:t xml:space="preserve"> </w:t>
      </w:r>
      <w:r w:rsidRPr="003D455F">
        <w:rPr>
          <w:rFonts w:ascii="Verdana" w:eastAsia="Arial MT" w:hAnsi="Verdana" w:cs="Arial"/>
          <w:sz w:val="21"/>
          <w:lang w:val="es-ES"/>
        </w:rPr>
        <w:t>deben</w:t>
      </w:r>
      <w:r w:rsidRPr="003D455F">
        <w:rPr>
          <w:rFonts w:ascii="Verdana" w:eastAsia="Arial MT" w:hAnsi="Verdana" w:cs="Arial"/>
          <w:spacing w:val="-13"/>
          <w:sz w:val="21"/>
          <w:lang w:val="es-ES"/>
        </w:rPr>
        <w:t xml:space="preserve"> </w:t>
      </w:r>
      <w:r w:rsidRPr="003D455F">
        <w:rPr>
          <w:rFonts w:ascii="Verdana" w:eastAsia="Arial MT" w:hAnsi="Verdana" w:cs="Arial"/>
          <w:sz w:val="21"/>
          <w:lang w:val="es-ES"/>
        </w:rPr>
        <w:t>responder</w:t>
      </w:r>
      <w:r w:rsidRPr="003D455F">
        <w:rPr>
          <w:rFonts w:ascii="Verdana" w:eastAsia="Arial MT" w:hAnsi="Verdana" w:cs="Arial"/>
          <w:spacing w:val="-13"/>
          <w:sz w:val="21"/>
          <w:lang w:val="es-ES"/>
        </w:rPr>
        <w:t xml:space="preserve"> </w:t>
      </w:r>
      <w:r w:rsidRPr="003D455F">
        <w:rPr>
          <w:rFonts w:ascii="Verdana" w:eastAsia="Arial MT" w:hAnsi="Verdana" w:cs="Arial"/>
          <w:sz w:val="21"/>
          <w:lang w:val="es-ES"/>
        </w:rPr>
        <w:t>a</w:t>
      </w:r>
      <w:r w:rsidRPr="003D455F">
        <w:rPr>
          <w:rFonts w:ascii="Verdana" w:eastAsia="Arial MT" w:hAnsi="Verdana" w:cs="Arial"/>
          <w:spacing w:val="-12"/>
          <w:sz w:val="21"/>
          <w:lang w:val="es-ES"/>
        </w:rPr>
        <w:t xml:space="preserve"> </w:t>
      </w:r>
      <w:r w:rsidRPr="003D455F">
        <w:rPr>
          <w:rFonts w:ascii="Verdana" w:eastAsia="Arial MT" w:hAnsi="Verdana" w:cs="Arial"/>
          <w:sz w:val="21"/>
          <w:lang w:val="es-ES"/>
        </w:rPr>
        <w:t>una</w:t>
      </w:r>
      <w:r w:rsidRPr="003D455F">
        <w:rPr>
          <w:rFonts w:ascii="Verdana" w:eastAsia="Arial MT" w:hAnsi="Verdana" w:cs="Arial"/>
          <w:spacing w:val="-13"/>
          <w:sz w:val="21"/>
          <w:lang w:val="es-ES"/>
        </w:rPr>
        <w:t xml:space="preserve"> </w:t>
      </w:r>
      <w:r w:rsidRPr="003D455F">
        <w:rPr>
          <w:rFonts w:ascii="Verdana" w:eastAsia="Arial MT" w:hAnsi="Verdana" w:cs="Arial"/>
          <w:sz w:val="21"/>
          <w:lang w:val="es-ES"/>
        </w:rPr>
        <w:t>interpretación</w:t>
      </w:r>
      <w:r w:rsidRPr="003D455F">
        <w:rPr>
          <w:rFonts w:ascii="Verdana" w:eastAsia="Arial MT" w:hAnsi="Verdana" w:cs="Arial"/>
          <w:spacing w:val="-12"/>
          <w:sz w:val="21"/>
          <w:lang w:val="es-ES"/>
        </w:rPr>
        <w:t xml:space="preserve"> </w:t>
      </w:r>
      <w:r w:rsidRPr="003D455F">
        <w:rPr>
          <w:rFonts w:ascii="Verdana" w:eastAsia="Arial MT" w:hAnsi="Verdana" w:cs="Arial"/>
          <w:sz w:val="21"/>
          <w:lang w:val="es-ES"/>
        </w:rPr>
        <w:t xml:space="preserve">restrictiva </w:t>
      </w:r>
      <w:r w:rsidRPr="003D455F">
        <w:rPr>
          <w:rFonts w:ascii="Verdana" w:eastAsia="Calibri" w:hAnsi="Verdana" w:cs="Arial"/>
          <w:sz w:val="21"/>
          <w:lang w:val="es-MX"/>
        </w:rPr>
        <w:t>que</w:t>
      </w:r>
      <w:r w:rsidRPr="003D455F">
        <w:rPr>
          <w:rFonts w:ascii="Verdana" w:eastAsia="Calibri" w:hAnsi="Verdana" w:cs="Arial"/>
          <w:spacing w:val="-6"/>
          <w:sz w:val="21"/>
          <w:lang w:val="es-MX"/>
        </w:rPr>
        <w:t xml:space="preserve"> </w:t>
      </w:r>
      <w:r w:rsidRPr="003D455F">
        <w:rPr>
          <w:rFonts w:ascii="Verdana" w:eastAsia="Calibri" w:hAnsi="Verdana" w:cs="Arial"/>
          <w:sz w:val="21"/>
          <w:lang w:val="es-MX"/>
        </w:rPr>
        <w:t>no</w:t>
      </w:r>
      <w:r w:rsidRPr="003D455F">
        <w:rPr>
          <w:rFonts w:ascii="Verdana" w:eastAsia="Calibri" w:hAnsi="Verdana" w:cs="Arial"/>
          <w:spacing w:val="-5"/>
          <w:sz w:val="21"/>
          <w:lang w:val="es-MX"/>
        </w:rPr>
        <w:t xml:space="preserve"> </w:t>
      </w:r>
      <w:r w:rsidRPr="003D455F">
        <w:rPr>
          <w:rFonts w:ascii="Verdana" w:eastAsia="Calibri" w:hAnsi="Verdana" w:cs="Arial"/>
          <w:sz w:val="21"/>
          <w:lang w:val="es-MX"/>
        </w:rPr>
        <w:t>permite</w:t>
      </w:r>
      <w:r w:rsidRPr="003D455F">
        <w:rPr>
          <w:rFonts w:ascii="Verdana" w:eastAsia="Calibri" w:hAnsi="Verdana" w:cs="Arial"/>
          <w:spacing w:val="-6"/>
          <w:sz w:val="21"/>
          <w:lang w:val="es-MX"/>
        </w:rPr>
        <w:t xml:space="preserve"> </w:t>
      </w:r>
      <w:r w:rsidRPr="003D455F">
        <w:rPr>
          <w:rFonts w:ascii="Verdana" w:eastAsia="Calibri" w:hAnsi="Verdana" w:cs="Arial"/>
          <w:sz w:val="21"/>
          <w:lang w:val="es-MX"/>
        </w:rPr>
        <w:t>su</w:t>
      </w:r>
      <w:r w:rsidRPr="003D455F">
        <w:rPr>
          <w:rFonts w:ascii="Verdana" w:eastAsia="Calibri" w:hAnsi="Verdana" w:cs="Arial"/>
          <w:spacing w:val="-5"/>
          <w:sz w:val="21"/>
          <w:lang w:val="es-MX"/>
        </w:rPr>
        <w:t xml:space="preserve"> </w:t>
      </w:r>
      <w:r w:rsidRPr="003D455F">
        <w:rPr>
          <w:rFonts w:ascii="Verdana" w:eastAsia="Calibri" w:hAnsi="Verdana" w:cs="Arial"/>
          <w:sz w:val="21"/>
          <w:lang w:val="es-MX"/>
        </w:rPr>
        <w:t>extensión,</w:t>
      </w:r>
      <w:r w:rsidRPr="003D455F">
        <w:rPr>
          <w:rFonts w:ascii="Verdana" w:eastAsia="Calibri" w:hAnsi="Verdana" w:cs="Arial"/>
          <w:spacing w:val="-6"/>
          <w:sz w:val="21"/>
          <w:lang w:val="es-MX"/>
        </w:rPr>
        <w:t xml:space="preserve"> </w:t>
      </w:r>
      <w:r w:rsidRPr="003D455F">
        <w:rPr>
          <w:rFonts w:ascii="Verdana" w:eastAsia="Calibri" w:hAnsi="Verdana" w:cs="Arial"/>
          <w:sz w:val="21"/>
          <w:lang w:val="es-MX"/>
        </w:rPr>
        <w:t>por</w:t>
      </w:r>
      <w:r w:rsidRPr="003D455F">
        <w:rPr>
          <w:rFonts w:ascii="Verdana" w:eastAsia="Calibri" w:hAnsi="Verdana" w:cs="Arial"/>
          <w:spacing w:val="-5"/>
          <w:sz w:val="21"/>
          <w:lang w:val="es-MX"/>
        </w:rPr>
        <w:t xml:space="preserve"> </w:t>
      </w:r>
      <w:r w:rsidRPr="003D455F">
        <w:rPr>
          <w:rFonts w:ascii="Verdana" w:eastAsia="Calibri" w:hAnsi="Verdana" w:cs="Arial"/>
          <w:sz w:val="21"/>
          <w:lang w:val="es-MX"/>
        </w:rPr>
        <w:t>vía</w:t>
      </w:r>
      <w:r w:rsidRPr="003D455F">
        <w:rPr>
          <w:rFonts w:ascii="Verdana" w:eastAsia="Calibri" w:hAnsi="Verdana" w:cs="Arial"/>
          <w:spacing w:val="-6"/>
          <w:sz w:val="21"/>
          <w:lang w:val="es-MX"/>
        </w:rPr>
        <w:t xml:space="preserve"> </w:t>
      </w:r>
      <w:r w:rsidRPr="003D455F">
        <w:rPr>
          <w:rFonts w:ascii="Verdana" w:eastAsia="Calibri" w:hAnsi="Verdana" w:cs="Arial"/>
          <w:sz w:val="21"/>
          <w:lang w:val="es-MX"/>
        </w:rPr>
        <w:t>de</w:t>
      </w:r>
      <w:r w:rsidRPr="003D455F">
        <w:rPr>
          <w:rFonts w:ascii="Verdana" w:eastAsia="Calibri" w:hAnsi="Verdana" w:cs="Arial"/>
          <w:spacing w:val="-5"/>
          <w:sz w:val="21"/>
          <w:lang w:val="es-MX"/>
        </w:rPr>
        <w:t xml:space="preserve"> </w:t>
      </w:r>
      <w:r w:rsidRPr="003D455F">
        <w:rPr>
          <w:rFonts w:ascii="Verdana" w:eastAsia="Calibri" w:hAnsi="Verdana" w:cs="Arial"/>
          <w:sz w:val="21"/>
          <w:lang w:val="es-MX"/>
        </w:rPr>
        <w:t>la</w:t>
      </w:r>
      <w:r w:rsidRPr="003D455F">
        <w:rPr>
          <w:rFonts w:ascii="Verdana" w:eastAsia="Calibri" w:hAnsi="Verdana" w:cs="Arial"/>
          <w:spacing w:val="-6"/>
          <w:sz w:val="21"/>
          <w:lang w:val="es-MX"/>
        </w:rPr>
        <w:t xml:space="preserve"> </w:t>
      </w:r>
      <w:r w:rsidRPr="003D455F">
        <w:rPr>
          <w:rFonts w:ascii="Verdana" w:eastAsia="Calibri" w:hAnsi="Verdana" w:cs="Arial"/>
          <w:sz w:val="21"/>
          <w:lang w:val="es-MX"/>
        </w:rPr>
        <w:t>figura</w:t>
      </w:r>
      <w:r w:rsidRPr="003D455F">
        <w:rPr>
          <w:rFonts w:ascii="Verdana" w:eastAsia="Calibri" w:hAnsi="Verdana" w:cs="Arial"/>
          <w:spacing w:val="-4"/>
          <w:sz w:val="21"/>
          <w:lang w:val="es-MX"/>
        </w:rPr>
        <w:t xml:space="preserve"> </w:t>
      </w:r>
      <w:r w:rsidRPr="003D455F">
        <w:rPr>
          <w:rFonts w:ascii="Verdana" w:eastAsia="Calibri" w:hAnsi="Verdana" w:cs="Arial"/>
          <w:sz w:val="21"/>
          <w:lang w:val="es-MX"/>
        </w:rPr>
        <w:t>de</w:t>
      </w:r>
      <w:r w:rsidRPr="003D455F">
        <w:rPr>
          <w:rFonts w:ascii="Verdana" w:eastAsia="Calibri" w:hAnsi="Verdana" w:cs="Arial"/>
          <w:spacing w:val="-6"/>
          <w:sz w:val="21"/>
          <w:lang w:val="es-MX"/>
        </w:rPr>
        <w:t xml:space="preserve"> </w:t>
      </w:r>
      <w:r w:rsidRPr="003D455F">
        <w:rPr>
          <w:rFonts w:ascii="Verdana" w:eastAsia="Calibri" w:hAnsi="Verdana" w:cs="Arial"/>
          <w:sz w:val="21"/>
          <w:lang w:val="es-MX"/>
        </w:rPr>
        <w:t>la</w:t>
      </w:r>
      <w:r w:rsidRPr="003D455F">
        <w:rPr>
          <w:rFonts w:ascii="Verdana" w:eastAsia="Calibri" w:hAnsi="Verdana" w:cs="Arial"/>
          <w:spacing w:val="-5"/>
          <w:sz w:val="21"/>
          <w:lang w:val="es-MX"/>
        </w:rPr>
        <w:t xml:space="preserve"> </w:t>
      </w:r>
      <w:r w:rsidRPr="003D455F">
        <w:rPr>
          <w:rFonts w:ascii="Verdana" w:eastAsia="Calibri" w:hAnsi="Verdana" w:cs="Arial"/>
          <w:sz w:val="21"/>
          <w:lang w:val="es-MX"/>
        </w:rPr>
        <w:t>analogía,</w:t>
      </w:r>
      <w:r w:rsidRPr="003D455F">
        <w:rPr>
          <w:rFonts w:ascii="Verdana" w:eastAsia="Calibri" w:hAnsi="Verdana" w:cs="Arial"/>
          <w:spacing w:val="-6"/>
          <w:sz w:val="21"/>
          <w:lang w:val="es-MX"/>
        </w:rPr>
        <w:t xml:space="preserve"> </w:t>
      </w:r>
      <w:r w:rsidRPr="003D455F">
        <w:rPr>
          <w:rFonts w:ascii="Verdana" w:eastAsia="Calibri" w:hAnsi="Verdana" w:cs="Arial"/>
          <w:sz w:val="21"/>
          <w:lang w:val="es-MX"/>
        </w:rPr>
        <w:t>a</w:t>
      </w:r>
      <w:r w:rsidRPr="003D455F">
        <w:rPr>
          <w:rFonts w:ascii="Verdana" w:eastAsia="Calibri" w:hAnsi="Verdana" w:cs="Arial"/>
          <w:spacing w:val="-5"/>
          <w:sz w:val="21"/>
          <w:lang w:val="es-MX"/>
        </w:rPr>
        <w:t xml:space="preserve"> </w:t>
      </w:r>
      <w:r w:rsidRPr="003D455F">
        <w:rPr>
          <w:rFonts w:ascii="Verdana" w:eastAsia="Calibri" w:hAnsi="Verdana" w:cs="Arial"/>
          <w:sz w:val="21"/>
          <w:lang w:val="es-MX"/>
        </w:rPr>
        <w:t>supuestos</w:t>
      </w:r>
      <w:r w:rsidRPr="003D455F">
        <w:rPr>
          <w:rFonts w:ascii="Verdana" w:eastAsia="Calibri" w:hAnsi="Verdana" w:cs="Arial"/>
          <w:spacing w:val="-56"/>
          <w:sz w:val="21"/>
          <w:lang w:val="es-MX"/>
        </w:rPr>
        <w:t xml:space="preserve"> </w:t>
      </w:r>
      <w:r w:rsidRPr="003D455F">
        <w:rPr>
          <w:rFonts w:ascii="Verdana" w:eastAsia="Calibri" w:hAnsi="Verdana" w:cs="Arial"/>
          <w:sz w:val="21"/>
          <w:lang w:val="es-MX"/>
        </w:rPr>
        <w:t>no</w:t>
      </w:r>
      <w:r w:rsidRPr="003D455F">
        <w:rPr>
          <w:rFonts w:ascii="Verdana" w:eastAsia="Calibri" w:hAnsi="Verdana" w:cs="Arial"/>
          <w:spacing w:val="-2"/>
          <w:sz w:val="21"/>
          <w:lang w:val="es-MX"/>
        </w:rPr>
        <w:t xml:space="preserve"> </w:t>
      </w:r>
      <w:r w:rsidRPr="003D455F">
        <w:rPr>
          <w:rFonts w:ascii="Verdana" w:eastAsia="Calibri" w:hAnsi="Verdana" w:cs="Arial"/>
          <w:sz w:val="21"/>
          <w:lang w:val="es-MX"/>
        </w:rPr>
        <w:t>contemplados</w:t>
      </w:r>
      <w:r w:rsidRPr="003D455F">
        <w:rPr>
          <w:rFonts w:ascii="Verdana" w:eastAsia="Calibri" w:hAnsi="Verdana" w:cs="Arial"/>
          <w:spacing w:val="-1"/>
          <w:sz w:val="21"/>
          <w:lang w:val="es-MX"/>
        </w:rPr>
        <w:t xml:space="preserve"> </w:t>
      </w:r>
      <w:r w:rsidRPr="003D455F">
        <w:rPr>
          <w:rFonts w:ascii="Verdana" w:eastAsia="Calibri" w:hAnsi="Verdana" w:cs="Arial"/>
          <w:sz w:val="21"/>
          <w:lang w:val="es-MX"/>
        </w:rPr>
        <w:t>por</w:t>
      </w:r>
      <w:r w:rsidRPr="003D455F">
        <w:rPr>
          <w:rFonts w:ascii="Verdana" w:eastAsia="Calibri" w:hAnsi="Verdana" w:cs="Arial"/>
          <w:spacing w:val="-1"/>
          <w:sz w:val="21"/>
          <w:lang w:val="es-MX"/>
        </w:rPr>
        <w:t xml:space="preserve"> </w:t>
      </w:r>
      <w:r w:rsidRPr="003D455F">
        <w:rPr>
          <w:rFonts w:ascii="Verdana" w:eastAsia="Calibri" w:hAnsi="Verdana" w:cs="Arial"/>
          <w:sz w:val="21"/>
          <w:lang w:val="es-MX"/>
        </w:rPr>
        <w:t>el</w:t>
      </w:r>
      <w:r w:rsidRPr="003D455F">
        <w:rPr>
          <w:rFonts w:ascii="Verdana" w:eastAsia="Calibri" w:hAnsi="Verdana" w:cs="Arial"/>
          <w:spacing w:val="-1"/>
          <w:sz w:val="21"/>
          <w:lang w:val="es-MX"/>
        </w:rPr>
        <w:t xml:space="preserve"> </w:t>
      </w:r>
      <w:r w:rsidRPr="003D455F">
        <w:rPr>
          <w:rFonts w:ascii="Verdana" w:eastAsia="Calibri" w:hAnsi="Verdana" w:cs="Arial"/>
          <w:sz w:val="21"/>
          <w:lang w:val="es-MX"/>
        </w:rPr>
        <w:t>ordenamiento</w:t>
      </w:r>
      <w:r w:rsidRPr="003D455F">
        <w:rPr>
          <w:rFonts w:ascii="Verdana" w:eastAsia="Calibri" w:hAnsi="Verdana" w:cs="Arial"/>
          <w:sz w:val="21"/>
          <w:vertAlign w:val="superscript"/>
          <w:lang w:val="es-MX"/>
        </w:rPr>
        <w:footnoteReference w:id="6"/>
      </w:r>
      <w:r w:rsidRPr="003D455F">
        <w:rPr>
          <w:rFonts w:ascii="Verdana" w:eastAsia="Calibri" w:hAnsi="Verdana" w:cs="Arial"/>
          <w:sz w:val="21"/>
          <w:lang w:val="es-MX"/>
        </w:rPr>
        <w:t>.</w:t>
      </w:r>
    </w:p>
    <w:p w14:paraId="7CA76E21" w14:textId="77777777" w:rsidR="003D455F" w:rsidRPr="003D455F" w:rsidRDefault="003D455F" w:rsidP="003D455F">
      <w:pPr>
        <w:widowControl w:val="0"/>
        <w:autoSpaceDE w:val="0"/>
        <w:autoSpaceDN w:val="0"/>
        <w:spacing w:after="0" w:line="240" w:lineRule="auto"/>
        <w:ind w:left="709" w:right="709"/>
        <w:jc w:val="both"/>
        <w:rPr>
          <w:rFonts w:ascii="Verdana" w:eastAsia="Arial MT" w:hAnsi="Verdana" w:cs="Arial"/>
          <w:sz w:val="21"/>
          <w:lang w:val="es-ES"/>
        </w:rPr>
      </w:pPr>
    </w:p>
    <w:p w14:paraId="3E38EA4A" w14:textId="77777777" w:rsidR="003D455F" w:rsidRPr="003D455F" w:rsidRDefault="003D455F" w:rsidP="003D455F">
      <w:pPr>
        <w:widowControl w:val="0"/>
        <w:autoSpaceDE w:val="0"/>
        <w:autoSpaceDN w:val="0"/>
        <w:spacing w:after="0" w:line="240" w:lineRule="auto"/>
        <w:ind w:right="709"/>
        <w:jc w:val="both"/>
        <w:rPr>
          <w:rFonts w:ascii="Verdana" w:eastAsia="Arial MT" w:hAnsi="Verdana" w:cs="Arial"/>
          <w:lang w:val="es-ES_tradnl"/>
        </w:rPr>
      </w:pPr>
      <w:r w:rsidRPr="003D455F">
        <w:rPr>
          <w:rFonts w:ascii="Verdana" w:eastAsia="Arial MT" w:hAnsi="Verdana" w:cs="Arial"/>
          <w:lang w:val="es-ES_tradnl"/>
        </w:rPr>
        <w:t>En el mismo sentido ha expuesto que:</w:t>
      </w:r>
    </w:p>
    <w:p w14:paraId="2880EDEE" w14:textId="77777777" w:rsidR="003D455F" w:rsidRPr="003D455F" w:rsidRDefault="003D455F" w:rsidP="003D455F">
      <w:pPr>
        <w:widowControl w:val="0"/>
        <w:autoSpaceDE w:val="0"/>
        <w:autoSpaceDN w:val="0"/>
        <w:spacing w:after="0" w:line="240" w:lineRule="auto"/>
        <w:ind w:right="709"/>
        <w:jc w:val="both"/>
        <w:rPr>
          <w:rFonts w:ascii="Verdana" w:eastAsia="Arial MT" w:hAnsi="Verdana" w:cs="Arial"/>
          <w:lang w:val="es-ES_tradnl"/>
        </w:rPr>
      </w:pPr>
    </w:p>
    <w:p w14:paraId="75347D27" w14:textId="77777777" w:rsidR="003D455F" w:rsidRPr="003D455F" w:rsidRDefault="003D455F" w:rsidP="003D455F">
      <w:pPr>
        <w:widowControl w:val="0"/>
        <w:autoSpaceDE w:val="0"/>
        <w:autoSpaceDN w:val="0"/>
        <w:spacing w:after="0" w:line="240" w:lineRule="auto"/>
        <w:ind w:left="709" w:right="709"/>
        <w:jc w:val="both"/>
        <w:rPr>
          <w:rFonts w:ascii="Verdana" w:eastAsia="Arial MT" w:hAnsi="Verdana" w:cs="Arial"/>
          <w:sz w:val="21"/>
          <w:szCs w:val="21"/>
          <w:lang w:val="es-ES"/>
        </w:rPr>
      </w:pPr>
      <w:r w:rsidRPr="003D455F">
        <w:rPr>
          <w:rFonts w:ascii="Verdana" w:eastAsia="Arial MT" w:hAnsi="Verdana" w:cs="Arial"/>
          <w:sz w:val="21"/>
          <w:szCs w:val="21"/>
          <w:lang w:val="es-ES"/>
        </w:rPr>
        <w:t xml:space="preserve">[…] la aplicación de estos preceptos exige una interpretación restrictiva, dado que según el principio hermenéutico pro libertate, </w:t>
      </w:r>
      <w:r w:rsidRPr="003D455F">
        <w:rPr>
          <w:rFonts w:ascii="Verdana" w:eastAsia="Arial MT" w:hAnsi="Verdana" w:cs="Arial"/>
          <w:sz w:val="21"/>
          <w:szCs w:val="21"/>
          <w:lang w:val="es-ES"/>
        </w:rPr>
        <w:lastRenderedPageBreak/>
        <w:t>entre varias interpretaciones posibles de una norma que regula una inhabilidad, debe preferirse aquella que menos limita el derecho de las personas; en otros términos, se encuentra prohibida constitucionalmente la interpretación extensiva de las causales de inhabilidad, toda vez que las palabras de la ley son la frontera que no se puede traspasar en el ejercicio hermenéutico de las mismas, pues de hacerlo se vulnerarían los derechos fundamentales al debido proceso (art. 29 CN) y a la igualdad (art. 13 Ibid.); […]</w:t>
      </w:r>
      <w:r w:rsidRPr="003D455F">
        <w:rPr>
          <w:rFonts w:ascii="Verdana" w:eastAsia="Arial MT" w:hAnsi="Verdana" w:cs="Arial"/>
          <w:sz w:val="21"/>
          <w:szCs w:val="21"/>
          <w:vertAlign w:val="superscript"/>
          <w:lang w:val="es-ES"/>
        </w:rPr>
        <w:footnoteReference w:id="7"/>
      </w:r>
      <w:r w:rsidRPr="003D455F">
        <w:rPr>
          <w:rFonts w:ascii="Verdana" w:eastAsia="Arial MT" w:hAnsi="Verdana" w:cs="Arial"/>
          <w:sz w:val="21"/>
          <w:szCs w:val="21"/>
          <w:lang w:val="es-ES"/>
        </w:rPr>
        <w:t>.</w:t>
      </w:r>
    </w:p>
    <w:p w14:paraId="79B23C1F" w14:textId="77777777" w:rsidR="003D455F" w:rsidRPr="003D455F" w:rsidRDefault="003D455F" w:rsidP="003D455F">
      <w:pPr>
        <w:widowControl w:val="0"/>
        <w:autoSpaceDE w:val="0"/>
        <w:autoSpaceDN w:val="0"/>
        <w:spacing w:after="0" w:line="240" w:lineRule="auto"/>
        <w:ind w:left="810" w:right="1243"/>
        <w:jc w:val="both"/>
        <w:rPr>
          <w:rFonts w:ascii="Verdana" w:eastAsia="Arial MT" w:hAnsi="Verdana" w:cs="Arial"/>
          <w:sz w:val="20"/>
          <w:lang w:val="es-ES"/>
        </w:rPr>
      </w:pPr>
    </w:p>
    <w:p w14:paraId="45B97450" w14:textId="77777777" w:rsidR="003D455F" w:rsidRPr="003D455F" w:rsidRDefault="003D455F" w:rsidP="003D455F">
      <w:pPr>
        <w:widowControl w:val="0"/>
        <w:numPr>
          <w:ilvl w:val="0"/>
          <w:numId w:val="18"/>
        </w:numPr>
        <w:autoSpaceDE w:val="0"/>
        <w:autoSpaceDN w:val="0"/>
        <w:spacing w:after="120" w:line="276" w:lineRule="auto"/>
        <w:contextualSpacing/>
        <w:jc w:val="both"/>
        <w:rPr>
          <w:rFonts w:ascii="Verdana" w:eastAsia="Arial" w:hAnsi="Verdana" w:cs="Arial"/>
          <w:color w:val="333333"/>
          <w:shd w:val="clear" w:color="auto" w:fill="FFFFFF"/>
          <w:lang w:val="es-ES" w:eastAsia="es-ES" w:bidi="es-ES"/>
        </w:rPr>
      </w:pPr>
      <w:r w:rsidRPr="003D455F">
        <w:rPr>
          <w:rFonts w:ascii="Verdana" w:eastAsia="Arial MT" w:hAnsi="Verdana" w:cs="Arial"/>
          <w:lang w:val="es-ES" w:eastAsia="es-ES" w:bidi="es-ES"/>
        </w:rPr>
        <w:t xml:space="preserve">De igual forma, </w:t>
      </w:r>
      <w:r w:rsidRPr="003D455F">
        <w:rPr>
          <w:rFonts w:ascii="Verdana" w:eastAsia="Arial" w:hAnsi="Verdana" w:cs="Arial"/>
          <w:lang w:val="es-ES" w:eastAsia="es-ES" w:bidi="es-ES"/>
        </w:rPr>
        <w:t>la Corte Constitucional en jurisprudencia</w:t>
      </w:r>
      <w:r w:rsidRPr="003D455F">
        <w:rPr>
          <w:rFonts w:ascii="Geomanist Light" w:hAnsi="Geomanist Light"/>
          <w:vertAlign w:val="superscript"/>
          <w:lang w:val="es-ES" w:eastAsia="es-ES" w:bidi="es-ES"/>
        </w:rPr>
        <w:footnoteReference w:id="8"/>
      </w:r>
      <w:r w:rsidRPr="003D455F">
        <w:rPr>
          <w:rFonts w:ascii="Verdana" w:eastAsia="Arial" w:hAnsi="Verdana" w:cs="Arial"/>
          <w:lang w:val="es-ES" w:eastAsia="es-ES" w:bidi="es-ES"/>
        </w:rPr>
        <w:t xml:space="preserve"> citada a su vez por el Consejo de Estado</w:t>
      </w:r>
      <w:r w:rsidRPr="003D455F">
        <w:rPr>
          <w:rFonts w:ascii="Geomanist Light" w:hAnsi="Geomanist Light"/>
          <w:vertAlign w:val="superscript"/>
          <w:lang w:val="es-ES" w:eastAsia="es-ES" w:bidi="es-ES"/>
        </w:rPr>
        <w:footnoteReference w:id="9"/>
      </w:r>
      <w:r w:rsidRPr="003D455F">
        <w:rPr>
          <w:rFonts w:ascii="Verdana" w:eastAsia="Arial" w:hAnsi="Verdana" w:cs="Arial"/>
          <w:lang w:val="es-ES" w:eastAsia="es-ES" w:bidi="es-ES"/>
        </w:rPr>
        <w:t xml:space="preserve">, se ha referido al régimen general de inhabilidades e incompatibilidades, destacando de este la prevalencia del interés general sobre el particular y su doble connotación, como quiera que no solo puede ser consecuencia de una sanción sino también erigirse con una finalidad preventiva que busca asegurar la no afectación del interés general, en suma, </w:t>
      </w:r>
      <w:r w:rsidRPr="003D455F">
        <w:rPr>
          <w:rFonts w:ascii="Verdana" w:eastAsia="Arial MT" w:hAnsi="Verdana" w:cs="Arial"/>
          <w:lang w:val="es-ES" w:eastAsia="es-ES" w:bidi="es-ES"/>
        </w:rPr>
        <w:t>“[…] l</w:t>
      </w:r>
      <w:r w:rsidRPr="003D455F">
        <w:rPr>
          <w:rFonts w:ascii="Verdana" w:eastAsia="Arial" w:hAnsi="Verdana" w:cs="Arial"/>
          <w:color w:val="333333"/>
          <w:shd w:val="clear" w:color="auto" w:fill="FFFFFF"/>
          <w:lang w:val="es-ES" w:eastAsia="es-ES" w:bidi="es-ES"/>
        </w:rPr>
        <w:t>a inhabilidad no es una pena sino una garantía de que el comportamiento anterior no afectará el desempeño de la función o cargo, de protección del interés general y de la idoneidad, probidad y moralidad del aspirante</w:t>
      </w:r>
      <w:r w:rsidRPr="003D455F">
        <w:rPr>
          <w:rFonts w:ascii="Verdana" w:eastAsia="Arial MT" w:hAnsi="Verdana" w:cs="Arial"/>
          <w:lang w:val="es-ES" w:eastAsia="es-ES" w:bidi="es-ES"/>
        </w:rPr>
        <w:t>”</w:t>
      </w:r>
      <w:r w:rsidRPr="003D455F">
        <w:rPr>
          <w:rFonts w:ascii="Verdana" w:eastAsia="Arial" w:hAnsi="Verdana" w:cs="Arial"/>
          <w:color w:val="333333"/>
          <w:shd w:val="clear" w:color="auto" w:fill="FFFFFF"/>
          <w:vertAlign w:val="superscript"/>
          <w:lang w:val="es-ES" w:eastAsia="es-ES" w:bidi="es-ES"/>
        </w:rPr>
        <w:t>12</w:t>
      </w:r>
      <w:r w:rsidRPr="003D455F">
        <w:rPr>
          <w:rFonts w:ascii="Verdana" w:eastAsia="Arial" w:hAnsi="Verdana" w:cs="Arial"/>
          <w:color w:val="333333"/>
          <w:shd w:val="clear" w:color="auto" w:fill="FFFFFF"/>
          <w:lang w:val="es-ES" w:eastAsia="es-ES" w:bidi="es-ES"/>
        </w:rPr>
        <w:t>; en este sentido, en el ámbito contractual se propende por la adquisición de bienes y servicios por parte de las entidades públicas, sin condiciones anteriores o injerencia de intereses que afecten la misma, de modo que se salvaguarda el principio de transparencia y con ello la consecución en general de los fines que rigen la función pública.</w:t>
      </w:r>
    </w:p>
    <w:p w14:paraId="76AFEF0F" w14:textId="77777777" w:rsidR="003D455F" w:rsidRPr="003D455F" w:rsidRDefault="003D455F" w:rsidP="003D455F">
      <w:pPr>
        <w:widowControl w:val="0"/>
        <w:autoSpaceDE w:val="0"/>
        <w:autoSpaceDN w:val="0"/>
        <w:spacing w:after="120" w:line="276" w:lineRule="auto"/>
        <w:ind w:left="720"/>
        <w:contextualSpacing/>
        <w:jc w:val="both"/>
        <w:rPr>
          <w:rFonts w:ascii="Verdana" w:eastAsia="Arial" w:hAnsi="Verdana" w:cs="Arial"/>
          <w:color w:val="333333"/>
          <w:shd w:val="clear" w:color="auto" w:fill="FFFFFF"/>
          <w:lang w:val="es-ES" w:eastAsia="es-ES" w:bidi="es-ES"/>
        </w:rPr>
      </w:pPr>
    </w:p>
    <w:p w14:paraId="56731606" w14:textId="77777777" w:rsidR="003D455F" w:rsidRPr="003D455F" w:rsidRDefault="003D455F" w:rsidP="003D455F">
      <w:pPr>
        <w:numPr>
          <w:ilvl w:val="0"/>
          <w:numId w:val="18"/>
        </w:numPr>
        <w:spacing w:after="0" w:line="276" w:lineRule="auto"/>
        <w:contextualSpacing/>
        <w:jc w:val="both"/>
        <w:rPr>
          <w:rFonts w:ascii="Verdana" w:eastAsia="Calibri" w:hAnsi="Verdana" w:cs="Arial"/>
          <w:color w:val="000000"/>
          <w:szCs w:val="24"/>
          <w:lang w:val="es-ES"/>
        </w:rPr>
      </w:pPr>
      <w:r w:rsidRPr="003D455F">
        <w:rPr>
          <w:rFonts w:ascii="Verdana" w:eastAsia="Arial" w:hAnsi="Verdana" w:cs="Arial"/>
          <w:color w:val="000000"/>
          <w:lang w:val="es-ES_tradnl"/>
        </w:rPr>
        <w:t xml:space="preserve">Como se aprecia, el principio </w:t>
      </w:r>
      <w:r w:rsidRPr="003D455F">
        <w:rPr>
          <w:rFonts w:ascii="Verdana" w:eastAsia="Arial" w:hAnsi="Verdana" w:cs="Arial"/>
          <w:i/>
          <w:iCs/>
          <w:color w:val="000000"/>
          <w:lang w:val="es-ES_tradnl"/>
        </w:rPr>
        <w:t>pro libertate</w:t>
      </w:r>
      <w:r w:rsidRPr="003D455F">
        <w:rPr>
          <w:rFonts w:ascii="Verdana" w:eastAsia="Arial" w:hAnsi="Verdana" w:cs="Arial"/>
          <w:color w:val="000000"/>
          <w:lang w:val="es-ES_tradnl"/>
        </w:rPr>
        <w:t xml:space="preserve"> es el que debe dirigir la interpretación de las disposiciones normativas que consagran restricciones de derechos, como sucede con las causales de inhabilidad e incompatibilidad en la contratación estatal. Además, en relación con la determinación de las causales de inhabilidad e incompatibilidad, la</w:t>
      </w:r>
      <w:r w:rsidRPr="003D455F">
        <w:rPr>
          <w:rFonts w:ascii="Verdana" w:eastAsia="Calibri" w:hAnsi="Verdana" w:cs="Arial"/>
          <w:color w:val="000000"/>
          <w:lang w:val="es-MX"/>
        </w:rPr>
        <w:t xml:space="preserve"> Corte Constitucional ha resaltado que la competencia para determinar qué hechos o situaciones generan inhabilidades o incompatibilidades para contratar con el Estado la tiene el legislador, pues este régimen es un aspecto propio del Estatuto General de la Contratación de la Administración Pública, cuya expedición compete al Congreso de la </w:t>
      </w:r>
      <w:r w:rsidRPr="003D455F">
        <w:rPr>
          <w:rFonts w:ascii="Verdana" w:eastAsia="Calibri" w:hAnsi="Verdana" w:cs="Arial"/>
          <w:color w:val="000000"/>
          <w:lang w:val="es-MX"/>
        </w:rPr>
        <w:lastRenderedPageBreak/>
        <w:t>República, conforme al artículo 150 de la Constitución Política, y que en esta materia rige el principio de legalidad:</w:t>
      </w:r>
    </w:p>
    <w:p w14:paraId="1820BC86" w14:textId="77777777" w:rsidR="003D455F" w:rsidRPr="003D455F" w:rsidRDefault="003D455F" w:rsidP="003D455F">
      <w:pPr>
        <w:tabs>
          <w:tab w:val="left" w:pos="1532"/>
        </w:tabs>
        <w:spacing w:after="0" w:line="276" w:lineRule="auto"/>
        <w:jc w:val="both"/>
        <w:rPr>
          <w:rFonts w:ascii="Verdana" w:eastAsia="Calibri" w:hAnsi="Verdana" w:cs="Arial"/>
          <w:color w:val="000000"/>
          <w:lang w:val="es-MX"/>
        </w:rPr>
      </w:pPr>
      <w:r w:rsidRPr="003D455F">
        <w:rPr>
          <w:rFonts w:ascii="Verdana" w:eastAsia="Calibri" w:hAnsi="Verdana" w:cs="Arial"/>
          <w:color w:val="000000"/>
          <w:sz w:val="24"/>
          <w:lang w:val="es-MX"/>
        </w:rPr>
        <w:tab/>
      </w:r>
    </w:p>
    <w:p w14:paraId="3AED1A13" w14:textId="77777777" w:rsidR="003D455F" w:rsidRPr="003D455F" w:rsidRDefault="003D455F" w:rsidP="003D455F">
      <w:pPr>
        <w:spacing w:after="120" w:line="240" w:lineRule="auto"/>
        <w:ind w:left="709" w:right="709"/>
        <w:jc w:val="both"/>
        <w:rPr>
          <w:rFonts w:ascii="Verdana" w:eastAsia="Calibri" w:hAnsi="Verdana" w:cs="Arial"/>
          <w:color w:val="000000"/>
          <w:sz w:val="21"/>
          <w:szCs w:val="21"/>
          <w:lang w:val="es-MX"/>
        </w:rPr>
      </w:pPr>
      <w:r w:rsidRPr="003D455F">
        <w:rPr>
          <w:rFonts w:ascii="Verdana" w:eastAsia="Calibri" w:hAnsi="Verdana" w:cs="Arial"/>
          <w:color w:val="000000"/>
          <w:sz w:val="21"/>
          <w:szCs w:val="21"/>
          <w:lang w:val="es-MX"/>
        </w:rPr>
        <w:t>[…]</w:t>
      </w:r>
    </w:p>
    <w:p w14:paraId="350E29FD" w14:textId="77777777" w:rsidR="003D455F" w:rsidRPr="003D455F" w:rsidRDefault="003D455F" w:rsidP="003D455F">
      <w:pPr>
        <w:spacing w:after="120" w:line="240" w:lineRule="auto"/>
        <w:ind w:left="709" w:right="709"/>
        <w:jc w:val="both"/>
        <w:rPr>
          <w:rFonts w:ascii="Verdana" w:eastAsia="Calibri" w:hAnsi="Verdana" w:cs="Arial"/>
          <w:color w:val="000000"/>
          <w:sz w:val="21"/>
          <w:szCs w:val="21"/>
          <w:lang w:val="es-MX"/>
        </w:rPr>
      </w:pPr>
      <w:r w:rsidRPr="003D455F">
        <w:rPr>
          <w:rFonts w:ascii="Verdana" w:eastAsia="Calibri" w:hAnsi="Verdana" w:cs="Arial"/>
          <w:color w:val="000000"/>
          <w:sz w:val="21"/>
          <w:szCs w:val="21"/>
          <w:lang w:val="es-MX"/>
        </w:rPr>
        <w:t xml:space="preserve">Las limitaciones y restricciones que se contienen en el citado estatuto, predicables de la relación Estado-particulares y que afectan los diversos momentos de formación, celebración y ejecución de los contratos estatales, se refieren a una faceta de la actividad del Estado y en la que se contempla, en los términos de la ley, una especial modalidad de participación o colaboración de los particulares en su papel de contratistas. La ley demandada recae sobre una materia que pertenece al dominio de la esfera estatal y pública, dentro de la cual no rige el principio pro libertate, sino el de legalidad, el que ordena que la función pública debe someterse estrictamente a lo que disponga la Constitución y la ley (CP art. 6). </w:t>
      </w:r>
    </w:p>
    <w:p w14:paraId="7B6D95A4" w14:textId="77777777" w:rsidR="003D455F" w:rsidRPr="003D455F" w:rsidRDefault="003D455F" w:rsidP="003D455F">
      <w:pPr>
        <w:spacing w:after="120" w:line="240" w:lineRule="auto"/>
        <w:ind w:left="709" w:right="709"/>
        <w:jc w:val="both"/>
        <w:rPr>
          <w:rFonts w:ascii="Verdana" w:eastAsia="Calibri" w:hAnsi="Verdana" w:cs="Arial"/>
          <w:color w:val="000000"/>
          <w:sz w:val="21"/>
          <w:szCs w:val="21"/>
          <w:lang w:val="es-MX"/>
        </w:rPr>
      </w:pPr>
      <w:r w:rsidRPr="003D455F">
        <w:rPr>
          <w:rFonts w:ascii="Verdana" w:eastAsia="Calibri" w:hAnsi="Verdana" w:cs="Arial"/>
          <w:color w:val="000000"/>
          <w:sz w:val="21"/>
          <w:szCs w:val="21"/>
          <w:lang w:val="es-MX"/>
        </w:rPr>
        <w:t>[…]</w:t>
      </w:r>
    </w:p>
    <w:p w14:paraId="3612A067" w14:textId="77777777" w:rsidR="003D455F" w:rsidRPr="003D455F" w:rsidRDefault="003D455F" w:rsidP="003D455F">
      <w:pPr>
        <w:spacing w:after="0" w:line="240" w:lineRule="auto"/>
        <w:ind w:left="709" w:right="709"/>
        <w:jc w:val="both"/>
        <w:rPr>
          <w:rFonts w:ascii="Verdana" w:eastAsia="Calibri" w:hAnsi="Verdana" w:cs="Arial"/>
          <w:color w:val="000000"/>
          <w:sz w:val="21"/>
          <w:szCs w:val="21"/>
          <w:lang w:val="es-MX"/>
        </w:rPr>
      </w:pPr>
      <w:r w:rsidRPr="003D455F">
        <w:rPr>
          <w:rFonts w:ascii="Verdana" w:eastAsia="Calibri" w:hAnsi="Verdana" w:cs="Arial"/>
          <w:color w:val="000000"/>
          <w:sz w:val="21"/>
          <w:szCs w:val="21"/>
          <w:lang w:val="es-MX"/>
        </w:rPr>
        <w:t>Se comprende con facilidad que el régimen de inhabilidades e incompatibilidades, corresponde a una materia de normal y obligada inclusión en un estatuto contractual. El legislador, a quien se ha confiado expedir el indicado estatuto, tiene, pues, competencia para establecerlo (CP art. 150)</w:t>
      </w:r>
      <w:r w:rsidRPr="003D455F">
        <w:rPr>
          <w:rFonts w:ascii="Verdana" w:eastAsia="Calibri" w:hAnsi="Verdana" w:cs="Arial"/>
          <w:color w:val="000000"/>
          <w:sz w:val="21"/>
          <w:szCs w:val="21"/>
          <w:vertAlign w:val="superscript"/>
          <w:lang w:val="es-MX"/>
        </w:rPr>
        <w:footnoteReference w:id="10"/>
      </w:r>
      <w:r w:rsidRPr="003D455F">
        <w:rPr>
          <w:rFonts w:ascii="Verdana" w:eastAsia="Calibri" w:hAnsi="Verdana" w:cs="Arial"/>
          <w:color w:val="000000"/>
          <w:sz w:val="21"/>
          <w:szCs w:val="21"/>
          <w:lang w:val="es-MX"/>
        </w:rPr>
        <w:t>.</w:t>
      </w:r>
    </w:p>
    <w:p w14:paraId="03A05195" w14:textId="77777777" w:rsidR="003D455F" w:rsidRPr="003D455F" w:rsidRDefault="003D455F" w:rsidP="003D455F">
      <w:pPr>
        <w:widowControl w:val="0"/>
        <w:autoSpaceDE w:val="0"/>
        <w:autoSpaceDN w:val="0"/>
        <w:spacing w:after="0" w:line="276" w:lineRule="auto"/>
        <w:ind w:firstLine="709"/>
        <w:jc w:val="both"/>
        <w:rPr>
          <w:rFonts w:ascii="Verdana" w:eastAsia="Arial" w:hAnsi="Verdana" w:cs="Arial"/>
          <w:color w:val="333333"/>
          <w:shd w:val="clear" w:color="auto" w:fill="FFFFFF"/>
          <w:lang w:val="es-MX" w:eastAsia="es-ES" w:bidi="es-ES"/>
        </w:rPr>
      </w:pPr>
    </w:p>
    <w:p w14:paraId="38668384" w14:textId="77777777" w:rsidR="003D455F" w:rsidRPr="003D455F" w:rsidRDefault="003D455F" w:rsidP="003D455F">
      <w:pPr>
        <w:widowControl w:val="0"/>
        <w:numPr>
          <w:ilvl w:val="0"/>
          <w:numId w:val="19"/>
        </w:numPr>
        <w:autoSpaceDE w:val="0"/>
        <w:autoSpaceDN w:val="0"/>
        <w:spacing w:after="0" w:line="276" w:lineRule="auto"/>
        <w:contextualSpacing/>
        <w:jc w:val="both"/>
        <w:rPr>
          <w:rFonts w:ascii="Verdana" w:eastAsia="Arial MT" w:hAnsi="Verdana" w:cs="Arial"/>
          <w:lang w:val="es-ES" w:eastAsia="es-ES" w:bidi="es-ES"/>
        </w:rPr>
      </w:pPr>
      <w:r w:rsidRPr="003D455F">
        <w:rPr>
          <w:rFonts w:ascii="Verdana" w:eastAsia="Arial MT" w:hAnsi="Verdana" w:cs="Arial"/>
          <w:lang w:val="es-ES" w:eastAsia="es-ES" w:bidi="es-ES"/>
        </w:rPr>
        <w:t>En suma, el régimen de inhabilidades e incompatibilidades se origina en la prerrogativa legislativa, obedece al principio de legalidad y su interpretación es restrictiva, como quiera que su aplicación implica limitaciones para el acceso a cargos o ejercicio funciones públicas y para participar en procesos de contratación pública adelantados por las entidades estatales, según sea el caso.</w:t>
      </w:r>
    </w:p>
    <w:p w14:paraId="4FD0363E" w14:textId="77777777" w:rsidR="003D455F" w:rsidRPr="003D455F" w:rsidRDefault="003D455F" w:rsidP="003D455F">
      <w:pPr>
        <w:spacing w:line="276" w:lineRule="auto"/>
        <w:ind w:left="720"/>
        <w:contextualSpacing/>
        <w:jc w:val="both"/>
        <w:rPr>
          <w:rFonts w:ascii="Verdana" w:eastAsia="Calibri" w:hAnsi="Verdana" w:cs="Arial"/>
          <w:color w:val="000000" w:themeColor="text1"/>
          <w:lang w:val="es-ES"/>
        </w:rPr>
      </w:pPr>
    </w:p>
    <w:p w14:paraId="01BDD9D2" w14:textId="77777777" w:rsidR="003D455F" w:rsidRPr="003D455F" w:rsidRDefault="003D455F" w:rsidP="003D455F">
      <w:pPr>
        <w:numPr>
          <w:ilvl w:val="0"/>
          <w:numId w:val="19"/>
        </w:numPr>
        <w:spacing w:line="276" w:lineRule="auto"/>
        <w:contextualSpacing/>
        <w:jc w:val="both"/>
        <w:rPr>
          <w:rFonts w:ascii="Verdana" w:eastAsia="Calibri" w:hAnsi="Verdana" w:cs="Arial"/>
          <w:color w:val="000000" w:themeColor="text1"/>
          <w:lang w:val="es-ES"/>
        </w:rPr>
      </w:pPr>
      <w:r w:rsidRPr="003D455F">
        <w:rPr>
          <w:rFonts w:ascii="Verdana" w:eastAsia="Calibri" w:hAnsi="Verdana" w:cs="Arial"/>
          <w:color w:val="000000" w:themeColor="text1"/>
          <w:lang w:val="es-ES"/>
        </w:rPr>
        <w:t xml:space="preserve">Resulta importante aclarar que el régimen jurídico de inhabilidades e incompatibilidades aplicable a la contratación estatal se encuentra en los artículos 8 y siguientes de la Ley 80 de 1993. De manera que, como se pasa a explicar, por regla general no resulta extrapolable a la contratación estatal la normativa en materia de control disciplinario establecida en la Ley 734 de 2002 y en la </w:t>
      </w:r>
      <w:r w:rsidRPr="003D455F">
        <w:rPr>
          <w:rFonts w:ascii="Verdana" w:eastAsia="Calibri" w:hAnsi="Verdana" w:cs="Arial"/>
          <w:color w:val="000000" w:themeColor="text1"/>
          <w:lang w:val="es-MX"/>
        </w:rPr>
        <w:t>Ley 1952 de 2019</w:t>
      </w:r>
      <w:r w:rsidRPr="003D455F">
        <w:rPr>
          <w:rFonts w:ascii="Verdana" w:eastAsia="Calibri" w:hAnsi="Verdana" w:cs="Arial"/>
          <w:color w:val="000000" w:themeColor="text1"/>
          <w:lang w:val="es-ES"/>
        </w:rPr>
        <w:t>, a excepción de las excepciones específicas establecidas en dicha normativa y en la jurisprudencia.</w:t>
      </w:r>
    </w:p>
    <w:p w14:paraId="6B59F2FA" w14:textId="77777777" w:rsidR="003D455F" w:rsidRPr="003D455F" w:rsidRDefault="003D455F" w:rsidP="003D455F">
      <w:pPr>
        <w:spacing w:line="276" w:lineRule="auto"/>
        <w:ind w:left="720"/>
        <w:contextualSpacing/>
        <w:jc w:val="both"/>
        <w:rPr>
          <w:rFonts w:ascii="Verdana" w:eastAsia="Calibri" w:hAnsi="Verdana" w:cs="Arial"/>
          <w:color w:val="000000" w:themeColor="text1"/>
          <w:lang w:val="es-ES"/>
        </w:rPr>
      </w:pPr>
    </w:p>
    <w:p w14:paraId="74CB48AC" w14:textId="77777777" w:rsidR="003D455F" w:rsidRPr="003D455F" w:rsidRDefault="003D455F" w:rsidP="003D455F">
      <w:pPr>
        <w:numPr>
          <w:ilvl w:val="0"/>
          <w:numId w:val="19"/>
        </w:numPr>
        <w:spacing w:line="276" w:lineRule="auto"/>
        <w:contextualSpacing/>
        <w:jc w:val="both"/>
        <w:rPr>
          <w:rFonts w:ascii="Verdana" w:eastAsia="Calibri" w:hAnsi="Verdana" w:cs="Arial"/>
          <w:color w:val="000000" w:themeColor="text1"/>
          <w:lang w:val="es-ES"/>
        </w:rPr>
      </w:pPr>
      <w:r w:rsidRPr="003D455F">
        <w:rPr>
          <w:rFonts w:ascii="Verdana" w:hAnsi="Verdana" w:cs="Arial"/>
          <w:color w:val="000000"/>
          <w:bdr w:val="none" w:sz="0" w:space="0" w:color="auto" w:frame="1"/>
          <w:lang w:val="es-ES"/>
        </w:rPr>
        <w:lastRenderedPageBreak/>
        <w:t>Por otra parte, el artículo 35, numeral 22 de la Ley 734 de 2002, contentiva del Código Disciplinario Único, estableció en su momento una prohibición dirigida a los funcionarios y exfuncionarios públicos, en virtud de la cual estaba proscrita servicios de asistencia, representación o asesoría en asuntos relacionados con las funciones propias del cargo. El texto de esta disposición</w:t>
      </w:r>
      <w:r w:rsidRPr="003D455F">
        <w:rPr>
          <w:rFonts w:ascii="Verdana" w:eastAsia="Calibri" w:hAnsi="Verdana" w:cs="Arial"/>
          <w:color w:val="000000" w:themeColor="text1"/>
          <w:lang w:val="es-ES"/>
        </w:rPr>
        <w:t>, modificado por el artículo 3° de la Ley 1474 de 2011, señalaba lo siguiente:</w:t>
      </w:r>
    </w:p>
    <w:p w14:paraId="35AFD5F6" w14:textId="77777777" w:rsidR="003D455F" w:rsidRPr="003D455F" w:rsidRDefault="003D455F" w:rsidP="003D455F">
      <w:pPr>
        <w:ind w:left="720"/>
        <w:contextualSpacing/>
        <w:rPr>
          <w:rFonts w:ascii="Verdana" w:eastAsia="Calibri" w:hAnsi="Verdana" w:cs="Arial"/>
          <w:color w:val="000000" w:themeColor="text1"/>
          <w:lang w:val="es-ES"/>
        </w:rPr>
      </w:pPr>
    </w:p>
    <w:p w14:paraId="35B0125D" w14:textId="77777777" w:rsidR="003D455F" w:rsidRPr="003D455F" w:rsidRDefault="003D455F" w:rsidP="003D455F">
      <w:pPr>
        <w:shd w:val="clear" w:color="auto" w:fill="FFFFFF"/>
        <w:spacing w:after="100" w:afterAutospacing="1" w:line="276" w:lineRule="auto"/>
        <w:ind w:left="720" w:right="709"/>
        <w:contextualSpacing/>
        <w:jc w:val="both"/>
        <w:rPr>
          <w:rFonts w:ascii="Verdana" w:eastAsia="Calibri" w:hAnsi="Verdana" w:cs="Arial"/>
          <w:color w:val="000000" w:themeColor="text1"/>
          <w:sz w:val="21"/>
          <w:szCs w:val="21"/>
          <w:lang w:val="es-ES_tradnl"/>
        </w:rPr>
      </w:pPr>
      <w:r w:rsidRPr="003D455F">
        <w:rPr>
          <w:rFonts w:ascii="Verdana" w:eastAsia="Calibri" w:hAnsi="Verdana" w:cs="Arial"/>
          <w:color w:val="000000" w:themeColor="text1"/>
          <w:lang w:val="es-ES_tradnl"/>
        </w:rPr>
        <w:t>“</w:t>
      </w:r>
      <w:r w:rsidRPr="003D455F">
        <w:rPr>
          <w:rFonts w:ascii="Verdana" w:hAnsi="Verdana" w:cs="Arial"/>
          <w:b/>
          <w:bCs/>
          <w:color w:val="000000"/>
          <w:sz w:val="20"/>
          <w:szCs w:val="20"/>
          <w:lang w:val="es-ES"/>
        </w:rPr>
        <w:t>Artículo 35.</w:t>
      </w:r>
      <w:r w:rsidRPr="003D455F">
        <w:rPr>
          <w:rFonts w:ascii="Verdana" w:hAnsi="Verdana" w:cs="Arial"/>
          <w:i/>
          <w:iCs/>
          <w:color w:val="000000"/>
          <w:sz w:val="20"/>
          <w:szCs w:val="20"/>
          <w:lang w:val="es-ES"/>
        </w:rPr>
        <w:t>Prohibiciones</w:t>
      </w:r>
      <w:r w:rsidRPr="003D455F">
        <w:rPr>
          <w:rFonts w:ascii="Verdana" w:hAnsi="Verdana" w:cs="Arial"/>
          <w:color w:val="000000"/>
          <w:sz w:val="20"/>
          <w:szCs w:val="20"/>
          <w:lang w:val="es-ES"/>
        </w:rPr>
        <w:t>. A todo servidor público le está prohibido: </w:t>
      </w:r>
      <w:r w:rsidRPr="003D455F">
        <w:rPr>
          <w:rFonts w:ascii="Verdana" w:eastAsia="Calibri" w:hAnsi="Verdana" w:cs="Arial"/>
          <w:color w:val="000000" w:themeColor="text1"/>
          <w:sz w:val="21"/>
          <w:szCs w:val="21"/>
          <w:lang w:val="es-ES_tradnl"/>
        </w:rPr>
        <w:t xml:space="preserve"> </w:t>
      </w:r>
    </w:p>
    <w:p w14:paraId="3EBD4503" w14:textId="77777777" w:rsidR="003D455F" w:rsidRPr="003D455F" w:rsidRDefault="003D455F" w:rsidP="003D455F">
      <w:pPr>
        <w:shd w:val="clear" w:color="auto" w:fill="FFFFFF"/>
        <w:spacing w:after="100" w:afterAutospacing="1" w:line="276" w:lineRule="auto"/>
        <w:ind w:left="720" w:right="709"/>
        <w:contextualSpacing/>
        <w:jc w:val="both"/>
        <w:rPr>
          <w:rFonts w:ascii="Verdana" w:eastAsia="Calibri" w:hAnsi="Verdana" w:cs="Arial"/>
          <w:color w:val="000000" w:themeColor="text1"/>
          <w:sz w:val="21"/>
          <w:szCs w:val="21"/>
          <w:lang w:val="es-ES_tradnl"/>
        </w:rPr>
      </w:pPr>
      <w:r w:rsidRPr="003D455F">
        <w:rPr>
          <w:rFonts w:ascii="Verdana" w:eastAsia="Calibri" w:hAnsi="Verdana" w:cs="Arial"/>
          <w:color w:val="000000" w:themeColor="text1"/>
          <w:sz w:val="21"/>
          <w:szCs w:val="21"/>
          <w:lang w:val="es-ES_tradnl"/>
        </w:rPr>
        <w:t>[…]</w:t>
      </w:r>
    </w:p>
    <w:p w14:paraId="7E0D6C03" w14:textId="77777777" w:rsidR="003D455F" w:rsidRPr="003D455F" w:rsidRDefault="003D455F" w:rsidP="003D455F">
      <w:pPr>
        <w:shd w:val="clear" w:color="auto" w:fill="FFFFFF"/>
        <w:spacing w:after="100" w:afterAutospacing="1" w:line="276" w:lineRule="auto"/>
        <w:ind w:left="720" w:right="709"/>
        <w:contextualSpacing/>
        <w:jc w:val="both"/>
        <w:rPr>
          <w:rFonts w:ascii="Verdana" w:eastAsia="Calibri" w:hAnsi="Verdana" w:cs="Arial"/>
          <w:i/>
          <w:color w:val="000000" w:themeColor="text1"/>
          <w:sz w:val="21"/>
          <w:szCs w:val="21"/>
          <w:lang w:val="es-ES_tradnl"/>
        </w:rPr>
      </w:pPr>
      <w:r w:rsidRPr="003D455F">
        <w:rPr>
          <w:rFonts w:ascii="Verdana" w:eastAsia="Calibri" w:hAnsi="Verdana" w:cs="Arial"/>
          <w:i/>
          <w:color w:val="000000" w:themeColor="text1"/>
          <w:sz w:val="21"/>
          <w:szCs w:val="21"/>
          <w:lang w:val="es-ES_tradnl"/>
        </w:rPr>
        <w:t>22. Prestar, a título personal o por interpuesta  persona, servicios de asistencia, representación o asesoría en asuntos relacionados con las funciones propias  del cargo, o permitir que ello ocurra, hasta por el término de dos (2) años después de la dejación del cargo,  con respecto del organismo, entidad o corporación en la cual prestó sus servicios, y para la prestación de  servicios de asistencia, representación o asesoría a quienes estuvieron sujetos a la inspección, vigilancia,  control o regulación de la entidad, corporación u organismos al que se haya estado vinculado</w:t>
      </w:r>
      <w:r w:rsidRPr="003D455F">
        <w:rPr>
          <w:rFonts w:ascii="Verdana" w:eastAsia="Calibri" w:hAnsi="Verdana" w:cs="Arial"/>
          <w:color w:val="000000" w:themeColor="text1"/>
          <w:sz w:val="21"/>
          <w:szCs w:val="21"/>
          <w:lang w:val="es-ES_tradnl"/>
        </w:rPr>
        <w:t>”</w:t>
      </w:r>
      <w:r w:rsidRPr="003D455F">
        <w:rPr>
          <w:rFonts w:ascii="Verdana" w:eastAsia="Calibri" w:hAnsi="Verdana" w:cs="Arial"/>
          <w:i/>
          <w:iCs/>
          <w:color w:val="000000" w:themeColor="text1"/>
          <w:sz w:val="21"/>
          <w:szCs w:val="21"/>
          <w:lang w:val="es-ES_tradnl"/>
        </w:rPr>
        <w:t xml:space="preserve"> </w:t>
      </w:r>
      <w:r w:rsidRPr="003D455F">
        <w:rPr>
          <w:rFonts w:ascii="Verdana" w:eastAsia="Calibri" w:hAnsi="Verdana" w:cs="Arial"/>
          <w:color w:val="000000" w:themeColor="text1"/>
          <w:sz w:val="21"/>
          <w:szCs w:val="21"/>
          <w:lang w:val="es-ES_tradnl"/>
        </w:rPr>
        <w:t>[Énfasis fuera de texto]</w:t>
      </w:r>
      <w:r w:rsidRPr="003D455F">
        <w:rPr>
          <w:rFonts w:ascii="Verdana" w:eastAsia="Calibri" w:hAnsi="Verdana" w:cs="Arial"/>
          <w:i/>
          <w:iCs/>
          <w:color w:val="000000" w:themeColor="text1"/>
          <w:sz w:val="21"/>
          <w:szCs w:val="21"/>
          <w:lang w:val="es-ES_tradnl"/>
        </w:rPr>
        <w:t>.</w:t>
      </w:r>
    </w:p>
    <w:p w14:paraId="63F5ACD1" w14:textId="77777777" w:rsidR="003D455F" w:rsidRPr="003D455F" w:rsidRDefault="003D455F" w:rsidP="003D455F">
      <w:pPr>
        <w:shd w:val="clear" w:color="auto" w:fill="FFFFFF"/>
        <w:spacing w:after="100" w:afterAutospacing="1" w:line="276" w:lineRule="auto"/>
        <w:ind w:left="720" w:right="709"/>
        <w:contextualSpacing/>
        <w:jc w:val="both"/>
        <w:rPr>
          <w:rFonts w:ascii="Verdana" w:eastAsia="Calibri" w:hAnsi="Verdana" w:cs="Arial"/>
          <w:i/>
          <w:color w:val="000000" w:themeColor="text1"/>
          <w:sz w:val="21"/>
          <w:szCs w:val="21"/>
          <w:lang w:val="es-ES_tradnl"/>
        </w:rPr>
      </w:pPr>
    </w:p>
    <w:p w14:paraId="62F3C655" w14:textId="77777777" w:rsidR="003D455F" w:rsidRPr="003D455F" w:rsidRDefault="003D455F" w:rsidP="003D455F">
      <w:pPr>
        <w:numPr>
          <w:ilvl w:val="0"/>
          <w:numId w:val="19"/>
        </w:numPr>
        <w:shd w:val="clear" w:color="auto" w:fill="FFFFFF"/>
        <w:spacing w:after="120" w:line="276" w:lineRule="auto"/>
        <w:contextualSpacing/>
        <w:jc w:val="both"/>
        <w:rPr>
          <w:rFonts w:ascii="Verdana" w:hAnsi="Verdana" w:cs="Arial"/>
          <w:color w:val="000000"/>
          <w:bdr w:val="none" w:sz="0" w:space="0" w:color="auto" w:frame="1"/>
          <w:lang w:val="es-ES"/>
        </w:rPr>
      </w:pPr>
      <w:r w:rsidRPr="003D455F">
        <w:rPr>
          <w:rFonts w:ascii="Verdana" w:hAnsi="Verdana" w:cs="Arial"/>
          <w:color w:val="000000"/>
          <w:bdr w:val="none" w:sz="0" w:space="0" w:color="auto" w:frame="1"/>
          <w:lang w:val="es-ES"/>
        </w:rPr>
        <w:t xml:space="preserve">De acuerdo con el artículo citado, un empleado no podría prestar, a título personal o por interpuesta persona, servicios de asistencia, representación o asesoría en asuntos relacionados con las funciones propias del cargo, con respecto de la entidad en la cual presta sus servicios. Tampoco podría prestar servicios de asistencia, representación o asesoría a quienes están sujetos a la inspección, vigilancia, control o regulación de la entidad, corporación u organismos al que está vinculado. De acuerdo con el texto de esta prohibición introducido por el artículo 3 de la Ley 1474 de 2011, su ámbito de aplicación se extendía durante el término de permanencia en el respectivo empleo y hasta por el periodo de dos años contados a partir de su dejación, lo que redundaba en la imposibilidad de que los exfuncionarios se vincularan como contratistas durante dicho periodo, para desempeñar objetos asociados a los asuntos que fueron de su conocimiento mientras estuvieron vinculados como empleados públicos.  </w:t>
      </w:r>
    </w:p>
    <w:p w14:paraId="3D0CA71C" w14:textId="77777777" w:rsidR="003D455F" w:rsidRPr="003D455F" w:rsidRDefault="003D455F" w:rsidP="003D455F">
      <w:pPr>
        <w:ind w:left="720"/>
        <w:contextualSpacing/>
        <w:rPr>
          <w:rFonts w:ascii="Verdana" w:hAnsi="Verdana" w:cs="Arial"/>
          <w:color w:val="000000"/>
          <w:bdr w:val="none" w:sz="0" w:space="0" w:color="auto" w:frame="1"/>
          <w:lang w:val="es-ES"/>
        </w:rPr>
      </w:pPr>
    </w:p>
    <w:p w14:paraId="2973BD28" w14:textId="77777777" w:rsidR="003D455F" w:rsidRPr="003D455F" w:rsidRDefault="003D455F" w:rsidP="003D455F">
      <w:pPr>
        <w:numPr>
          <w:ilvl w:val="0"/>
          <w:numId w:val="19"/>
        </w:numPr>
        <w:shd w:val="clear" w:color="auto" w:fill="FFFFFF"/>
        <w:spacing w:after="100" w:afterAutospacing="1" w:line="276" w:lineRule="auto"/>
        <w:contextualSpacing/>
        <w:jc w:val="both"/>
        <w:rPr>
          <w:rFonts w:ascii="Verdana" w:hAnsi="Verdana" w:cs="Arial"/>
          <w:color w:val="000000"/>
          <w:bdr w:val="none" w:sz="0" w:space="0" w:color="auto" w:frame="1"/>
          <w:lang w:val="es-ES"/>
        </w:rPr>
      </w:pPr>
      <w:r w:rsidRPr="003D455F">
        <w:rPr>
          <w:rFonts w:ascii="Verdana" w:hAnsi="Verdana" w:cs="Arial"/>
          <w:color w:val="000000"/>
          <w:bdr w:val="none" w:sz="0" w:space="0" w:color="auto" w:frame="1"/>
          <w:lang w:val="es-ES"/>
        </w:rPr>
        <w:t xml:space="preserve">Sin embargo, el 28 de enero de 2019, se expidió la Ley 1952 “Por medio de la cual se expide el código general disciplinario se derogan la Ley 734 de 2002 y algunas disposiciones de la ley 1474 de 2011, relacionadas con </w:t>
      </w:r>
      <w:r w:rsidRPr="003D455F">
        <w:rPr>
          <w:rFonts w:ascii="Verdana" w:hAnsi="Verdana" w:cs="Arial"/>
          <w:color w:val="000000"/>
          <w:bdr w:val="none" w:sz="0" w:space="0" w:color="auto" w:frame="1"/>
          <w:lang w:val="es-ES"/>
        </w:rPr>
        <w:lastRenderedPageBreak/>
        <w:t xml:space="preserve">el derecho disciplinario”. Es importante señalar que la mencionada norma en el artículo 56 estableció un conjunto de faltas disciplinarias particularmente relacionadas con el régimen de incompatibilidades, inhabilidades, impedimentos y conflictos de intereses de los servidores públicos, las cuales son relevantes para el tema objeto de consulta. </w:t>
      </w:r>
    </w:p>
    <w:p w14:paraId="582C7528" w14:textId="77777777" w:rsidR="003D455F" w:rsidRPr="003D455F" w:rsidRDefault="003D455F" w:rsidP="003D455F">
      <w:pPr>
        <w:ind w:left="720"/>
        <w:contextualSpacing/>
        <w:rPr>
          <w:rFonts w:ascii="Verdana" w:hAnsi="Verdana" w:cs="Arial"/>
          <w:color w:val="000000"/>
          <w:bdr w:val="none" w:sz="0" w:space="0" w:color="auto" w:frame="1"/>
          <w:lang w:val="es-ES"/>
        </w:rPr>
      </w:pPr>
    </w:p>
    <w:p w14:paraId="3C976044" w14:textId="77777777" w:rsidR="003D455F" w:rsidRPr="003D455F" w:rsidRDefault="003D455F" w:rsidP="003D455F">
      <w:pPr>
        <w:shd w:val="clear" w:color="auto" w:fill="FFFFFF"/>
        <w:ind w:left="720" w:right="709"/>
        <w:contextualSpacing/>
        <w:jc w:val="both"/>
        <w:rPr>
          <w:rFonts w:ascii="Verdana" w:hAnsi="Verdana" w:cs="Arial"/>
          <w:sz w:val="21"/>
          <w:szCs w:val="21"/>
          <w:lang w:val="es-ES"/>
        </w:rPr>
      </w:pPr>
      <w:r w:rsidRPr="003D455F">
        <w:rPr>
          <w:rFonts w:ascii="Verdana" w:hAnsi="Verdana" w:cs="Arial"/>
          <w:sz w:val="21"/>
          <w:szCs w:val="21"/>
          <w:lang w:val="es-ES"/>
        </w:rPr>
        <w:t>“Artículo 56. Faltas relacionadas con el régimen de incompatibilidades, inhabilidades, impedimentos y conflictos de intereses.</w:t>
      </w:r>
    </w:p>
    <w:p w14:paraId="1654D74A" w14:textId="77777777" w:rsidR="003D455F" w:rsidRPr="003D455F" w:rsidRDefault="003D455F" w:rsidP="003D455F">
      <w:pPr>
        <w:shd w:val="clear" w:color="auto" w:fill="FFFFFF"/>
        <w:ind w:left="720" w:right="709"/>
        <w:contextualSpacing/>
        <w:jc w:val="both"/>
        <w:rPr>
          <w:rFonts w:ascii="Verdana" w:hAnsi="Verdana" w:cs="Arial"/>
          <w:sz w:val="21"/>
          <w:szCs w:val="21"/>
          <w:lang w:val="es-ES"/>
        </w:rPr>
      </w:pPr>
    </w:p>
    <w:p w14:paraId="4FD3E967" w14:textId="77777777" w:rsidR="003D455F" w:rsidRPr="003D455F" w:rsidRDefault="003D455F" w:rsidP="003D455F">
      <w:pPr>
        <w:shd w:val="clear" w:color="auto" w:fill="FFFFFF"/>
        <w:spacing w:after="100" w:afterAutospacing="1"/>
        <w:ind w:left="720" w:right="709"/>
        <w:contextualSpacing/>
        <w:jc w:val="both"/>
        <w:rPr>
          <w:rFonts w:ascii="Verdana" w:hAnsi="Verdana" w:cs="Arial"/>
          <w:sz w:val="21"/>
          <w:szCs w:val="21"/>
          <w:lang w:val="es-ES"/>
        </w:rPr>
      </w:pPr>
      <w:r w:rsidRPr="003D455F">
        <w:rPr>
          <w:rFonts w:ascii="Verdana" w:hAnsi="Verdana" w:cs="Arial"/>
          <w:sz w:val="21"/>
          <w:szCs w:val="21"/>
          <w:lang w:val="es-ES"/>
        </w:rPr>
        <w:t>1. Actuar u omitir, a pesar de la existencia de causales de incompatibilidad, inhabilidad y conflicto de intereses, de acuerdo con las previsiones constitucionales y legales.</w:t>
      </w:r>
    </w:p>
    <w:p w14:paraId="0FAE051D" w14:textId="77777777" w:rsidR="003D455F" w:rsidRPr="003D455F" w:rsidRDefault="003D455F" w:rsidP="003D455F">
      <w:pPr>
        <w:shd w:val="clear" w:color="auto" w:fill="FFFFFF"/>
        <w:spacing w:after="100" w:afterAutospacing="1"/>
        <w:ind w:left="720" w:right="709"/>
        <w:contextualSpacing/>
        <w:jc w:val="both"/>
        <w:rPr>
          <w:rFonts w:ascii="Verdana" w:hAnsi="Verdana" w:cs="Arial"/>
          <w:sz w:val="21"/>
          <w:szCs w:val="21"/>
          <w:lang w:val="es-ES"/>
        </w:rPr>
      </w:pPr>
      <w:r w:rsidRPr="003D455F">
        <w:rPr>
          <w:rFonts w:ascii="Verdana" w:hAnsi="Verdana" w:cs="Arial"/>
          <w:sz w:val="21"/>
          <w:szCs w:val="21"/>
          <w:lang w:val="es-ES"/>
        </w:rPr>
        <w:t>2. Nombrar, designar, elegir, postular o intervenir en la postulación de una persona a sabiendas de que en ella concurre causal de inhabilidad, incompatibilidad o conflicto de intereses.</w:t>
      </w:r>
    </w:p>
    <w:p w14:paraId="2206E435" w14:textId="77777777" w:rsidR="003D455F" w:rsidRPr="003D455F" w:rsidRDefault="003D455F" w:rsidP="003D455F">
      <w:pPr>
        <w:shd w:val="clear" w:color="auto" w:fill="FFFFFF"/>
        <w:spacing w:after="100" w:afterAutospacing="1"/>
        <w:ind w:left="720" w:right="709"/>
        <w:contextualSpacing/>
        <w:jc w:val="both"/>
        <w:rPr>
          <w:rFonts w:ascii="Verdana" w:hAnsi="Verdana" w:cs="Arial"/>
          <w:sz w:val="21"/>
          <w:szCs w:val="21"/>
          <w:lang w:val="es-ES"/>
        </w:rPr>
      </w:pPr>
      <w:r w:rsidRPr="003D455F">
        <w:rPr>
          <w:rFonts w:ascii="Verdana" w:hAnsi="Verdana" w:cs="Arial"/>
          <w:sz w:val="21"/>
          <w:szCs w:val="21"/>
          <w:lang w:val="es-ES"/>
        </w:rPr>
        <w:t>3. Contraer obligaciones con personas naturales o jurídicas con las cuales se tengan relaciones oficiales en razón del cargo que desempeña violando el régimen de inhabilidades e incompatibilidades señaladas en las normas vigentes.</w:t>
      </w:r>
    </w:p>
    <w:p w14:paraId="7D6D8158" w14:textId="77777777" w:rsidR="003D455F" w:rsidRPr="003D455F" w:rsidRDefault="003D455F" w:rsidP="003D455F">
      <w:pPr>
        <w:shd w:val="clear" w:color="auto" w:fill="FFFFFF"/>
        <w:spacing w:after="100" w:afterAutospacing="1"/>
        <w:ind w:left="720" w:right="709"/>
        <w:contextualSpacing/>
        <w:jc w:val="both"/>
        <w:rPr>
          <w:rFonts w:ascii="Verdana" w:hAnsi="Verdana" w:cs="Arial"/>
          <w:i/>
          <w:sz w:val="21"/>
          <w:szCs w:val="21"/>
          <w:lang w:val="es-ES"/>
        </w:rPr>
      </w:pPr>
      <w:r w:rsidRPr="003D455F">
        <w:rPr>
          <w:rFonts w:ascii="Verdana" w:hAnsi="Verdana" w:cs="Arial"/>
          <w:sz w:val="21"/>
          <w:szCs w:val="21"/>
          <w:lang w:val="es-ES"/>
        </w:rPr>
        <w:t xml:space="preserve">4. Prestar, a título personal o por interpuesta persona, servicios de asistencia, representación o asesoría en asuntos relacionados con las funciones propias del cargo, </w:t>
      </w:r>
      <w:r w:rsidRPr="003D455F">
        <w:rPr>
          <w:rFonts w:ascii="Verdana" w:hAnsi="Verdana" w:cs="Arial"/>
          <w:i/>
          <w:sz w:val="21"/>
          <w:szCs w:val="21"/>
          <w:lang w:val="es-ES"/>
        </w:rPr>
        <w:t xml:space="preserve">o permitir que ello ocurra, hasta por el término de </w:t>
      </w:r>
      <w:r w:rsidRPr="003D455F">
        <w:rPr>
          <w:rFonts w:ascii="Verdana" w:hAnsi="Verdana" w:cs="Arial"/>
          <w:b/>
          <w:i/>
          <w:sz w:val="21"/>
          <w:szCs w:val="21"/>
          <w:lang w:val="es-ES"/>
        </w:rPr>
        <w:t>un (1) año</w:t>
      </w:r>
      <w:r w:rsidRPr="003D455F">
        <w:rPr>
          <w:rFonts w:ascii="Verdana" w:hAnsi="Verdana" w:cs="Arial"/>
          <w:i/>
          <w:sz w:val="21"/>
          <w:szCs w:val="21"/>
          <w:lang w:val="es-ES"/>
        </w:rPr>
        <w:t xml:space="preserve"> después de la dejación del cargo, con respecto del organismo, entidad o corporación en la cual presto sus servicios, y para la prestación de servicios de asistencia, representación o asesoría a quienes estuvieron sujetos a la inspección, vigilancia, control o regulación de la entidad, corporación u organismo al que haya estado vinculado.</w:t>
      </w:r>
    </w:p>
    <w:p w14:paraId="6D0800BB" w14:textId="77777777" w:rsidR="003D455F" w:rsidRPr="003D455F" w:rsidRDefault="003D455F" w:rsidP="003D455F">
      <w:pPr>
        <w:shd w:val="clear" w:color="auto" w:fill="FFFFFF"/>
        <w:spacing w:after="100" w:afterAutospacing="1"/>
        <w:ind w:left="720" w:right="709"/>
        <w:contextualSpacing/>
        <w:jc w:val="both"/>
        <w:rPr>
          <w:rFonts w:ascii="Verdana" w:hAnsi="Verdana" w:cs="Arial"/>
          <w:sz w:val="21"/>
          <w:szCs w:val="21"/>
          <w:lang w:val="es-ES"/>
        </w:rPr>
      </w:pPr>
      <w:r w:rsidRPr="003D455F">
        <w:rPr>
          <w:rFonts w:ascii="Verdana" w:hAnsi="Verdana" w:cs="Arial"/>
          <w:sz w:val="21"/>
          <w:szCs w:val="21"/>
          <w:lang w:val="es-ES"/>
        </w:rPr>
        <w:t>Esta incompatibilidad será indefinida en el tiempo respecto de los asuntos concretos de los cuales el servidor público conoció en ejercicio de sus funciones.</w:t>
      </w:r>
    </w:p>
    <w:p w14:paraId="6710F832" w14:textId="77777777" w:rsidR="003D455F" w:rsidRPr="003D455F" w:rsidRDefault="003D455F" w:rsidP="003D455F">
      <w:pPr>
        <w:shd w:val="clear" w:color="auto" w:fill="FFFFFF"/>
        <w:spacing w:after="100" w:afterAutospacing="1"/>
        <w:ind w:left="720" w:right="709"/>
        <w:contextualSpacing/>
        <w:jc w:val="both"/>
        <w:rPr>
          <w:rFonts w:ascii="Verdana" w:hAnsi="Verdana" w:cs="Arial"/>
          <w:sz w:val="21"/>
          <w:szCs w:val="21"/>
          <w:lang w:val="es-ES"/>
        </w:rPr>
      </w:pPr>
      <w:r w:rsidRPr="003D455F">
        <w:rPr>
          <w:rFonts w:ascii="Verdana" w:hAnsi="Verdana" w:cs="Arial"/>
          <w:sz w:val="21"/>
          <w:szCs w:val="21"/>
          <w:lang w:val="es-ES"/>
        </w:rPr>
        <w:t>Se entiende por asuntos concretos de los cuales conoció en ejercicio de sus funciones aquellos de carácter particular y concreto que fueron objeto de decisión durante el ejercicio de sus funciones y de los cuales existen sujetos claramente determinados.</w:t>
      </w:r>
    </w:p>
    <w:p w14:paraId="110E9685" w14:textId="77777777" w:rsidR="003D455F" w:rsidRPr="003D455F" w:rsidRDefault="003D455F" w:rsidP="003D455F">
      <w:pPr>
        <w:shd w:val="clear" w:color="auto" w:fill="FFFFFF"/>
        <w:spacing w:after="100" w:afterAutospacing="1"/>
        <w:ind w:left="720" w:right="709"/>
        <w:contextualSpacing/>
        <w:jc w:val="both"/>
        <w:rPr>
          <w:rFonts w:ascii="Verdana" w:hAnsi="Verdana" w:cs="Arial"/>
          <w:sz w:val="21"/>
          <w:szCs w:val="21"/>
          <w:lang w:val="es-ES"/>
        </w:rPr>
      </w:pPr>
      <w:r w:rsidRPr="003D455F">
        <w:rPr>
          <w:rFonts w:ascii="Verdana" w:hAnsi="Verdana" w:cs="Arial"/>
          <w:sz w:val="21"/>
          <w:szCs w:val="21"/>
          <w:lang w:val="es-ES"/>
        </w:rPr>
        <w:t>5. No declararse impedido oportunamente, cuando exista la obligación de hacerlo, demorar el trámite de las recusaciones, o actuar después de separado del asunto” [Énfasis fuera texto].</w:t>
      </w:r>
    </w:p>
    <w:p w14:paraId="77B1258F" w14:textId="77777777" w:rsidR="003D455F" w:rsidRPr="003D455F" w:rsidRDefault="003D455F" w:rsidP="003D455F">
      <w:pPr>
        <w:spacing w:line="276" w:lineRule="auto"/>
        <w:ind w:left="720"/>
        <w:contextualSpacing/>
        <w:jc w:val="both"/>
        <w:rPr>
          <w:rFonts w:ascii="Verdana" w:hAnsi="Verdana" w:cs="Arial"/>
          <w:lang w:val="es-ES"/>
        </w:rPr>
      </w:pPr>
    </w:p>
    <w:p w14:paraId="61FAD675" w14:textId="77777777" w:rsidR="003D455F" w:rsidRPr="003D455F" w:rsidRDefault="003D455F" w:rsidP="003D455F">
      <w:pPr>
        <w:widowControl w:val="0"/>
        <w:numPr>
          <w:ilvl w:val="0"/>
          <w:numId w:val="19"/>
        </w:numPr>
        <w:autoSpaceDE w:val="0"/>
        <w:autoSpaceDN w:val="0"/>
        <w:spacing w:after="0" w:line="276" w:lineRule="auto"/>
        <w:contextualSpacing/>
        <w:jc w:val="both"/>
        <w:rPr>
          <w:rFonts w:ascii="Verdana" w:eastAsia="Arial MT" w:hAnsi="Verdana" w:cs="Arial"/>
          <w:lang w:val="es-ES" w:eastAsia="es-ES" w:bidi="es-ES"/>
        </w:rPr>
      </w:pPr>
      <w:r w:rsidRPr="003D455F">
        <w:rPr>
          <w:rFonts w:ascii="Verdana" w:hAnsi="Verdana" w:cs="Arial"/>
          <w:lang w:val="es-ES"/>
        </w:rPr>
        <w:t xml:space="preserve">Como se colige del texto en cita, se advierte que el numeral 4 del artículo 56  del  Código General Disciplinario también consagró una prohibición en términos casi idénticos a la establecida en el artículo 35, numeral 22 de </w:t>
      </w:r>
      <w:r w:rsidRPr="003D455F">
        <w:rPr>
          <w:rFonts w:ascii="Verdana" w:hAnsi="Verdana" w:cs="Arial"/>
          <w:lang w:val="es-ES"/>
        </w:rPr>
        <w:lastRenderedPageBreak/>
        <w:t xml:space="preserve">la Ley 734 de 2002, en virtud de la cual se impide a los funcionarios y exfuncionarios prestar, a título personal o por interpuesta persona, servicios de asistencia, representación o asesoría en asuntos relacionados con las funciones propias del cargo, o permitir que ello ocurra con posterioridad a la desvinculación del cargo. La diferencia sustancial con lo dispuesto por la disposición modificada por el artículo 3 de la Ley 1474 de 2011 estriba en que, en lo relativo a los exfuncionarios, la disposición hoy día vigente varió el plazo durante el cual se extiende la prohibición para los exfuncionarios, en la medida en que ahora dicho término es un año y no de dos.  </w:t>
      </w:r>
    </w:p>
    <w:p w14:paraId="6F023BEA" w14:textId="77777777" w:rsidR="003D455F" w:rsidRPr="003D455F" w:rsidRDefault="003D455F" w:rsidP="003D455F">
      <w:pPr>
        <w:widowControl w:val="0"/>
        <w:autoSpaceDE w:val="0"/>
        <w:autoSpaceDN w:val="0"/>
        <w:spacing w:after="0" w:line="276" w:lineRule="auto"/>
        <w:ind w:left="720"/>
        <w:contextualSpacing/>
        <w:jc w:val="both"/>
        <w:rPr>
          <w:rFonts w:ascii="Verdana" w:eastAsia="Arial MT" w:hAnsi="Verdana" w:cs="Arial"/>
          <w:lang w:val="es-ES" w:eastAsia="es-ES" w:bidi="es-ES"/>
        </w:rPr>
      </w:pPr>
    </w:p>
    <w:p w14:paraId="43C1720C" w14:textId="77777777" w:rsidR="003D455F" w:rsidRPr="003D455F" w:rsidRDefault="003D455F" w:rsidP="003D455F">
      <w:pPr>
        <w:tabs>
          <w:tab w:val="left" w:pos="142"/>
          <w:tab w:val="left" w:pos="284"/>
        </w:tabs>
        <w:spacing w:after="0" w:line="276" w:lineRule="auto"/>
        <w:jc w:val="both"/>
        <w:rPr>
          <w:rFonts w:ascii="Verdana" w:eastAsia="Century Gothic" w:hAnsi="Verdana" w:cs="Century Gothic"/>
          <w:b/>
          <w:bCs/>
        </w:rPr>
      </w:pPr>
      <w:r w:rsidRPr="003D455F">
        <w:rPr>
          <w:rFonts w:ascii="Verdana" w:eastAsia="Century Gothic" w:hAnsi="Verdana" w:cs="Century Gothic"/>
          <w:b/>
          <w:bCs/>
        </w:rPr>
        <w:t>4. Referencias normativas, jurisprudenciales y otras fuentes:</w:t>
      </w:r>
    </w:p>
    <w:p w14:paraId="6F4121E1" w14:textId="77777777" w:rsidR="003D455F" w:rsidRPr="003D455F" w:rsidRDefault="003D455F" w:rsidP="003D455F">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3D455F" w:rsidRPr="003D455F" w14:paraId="5983F3AD" w14:textId="77777777">
        <w:trPr>
          <w:trHeight w:val="870"/>
        </w:trPr>
        <w:tc>
          <w:tcPr>
            <w:tcW w:w="8647" w:type="dxa"/>
          </w:tcPr>
          <w:p w14:paraId="30BDA7AE" w14:textId="77777777" w:rsidR="003D455F" w:rsidRPr="003D455F" w:rsidRDefault="003D455F" w:rsidP="003D455F">
            <w:pPr>
              <w:widowControl w:val="0"/>
              <w:numPr>
                <w:ilvl w:val="0"/>
                <w:numId w:val="16"/>
              </w:numPr>
              <w:autoSpaceDE w:val="0"/>
              <w:autoSpaceDN w:val="0"/>
              <w:spacing w:line="276" w:lineRule="auto"/>
              <w:contextualSpacing/>
              <w:jc w:val="both"/>
              <w:rPr>
                <w:rFonts w:ascii="Verdana" w:hAnsi="Verdana" w:cs="Arial"/>
                <w:lang w:val="es-ES"/>
              </w:rPr>
            </w:pPr>
            <w:r w:rsidRPr="003D455F">
              <w:rPr>
                <w:rFonts w:ascii="Verdana" w:hAnsi="Verdana" w:cs="Arial"/>
                <w:lang w:val="es-ES"/>
              </w:rPr>
              <w:t>Constitución Política, artículo 150.</w:t>
            </w:r>
          </w:p>
          <w:p w14:paraId="76D68A43" w14:textId="77777777" w:rsidR="003D455F" w:rsidRPr="003D455F" w:rsidRDefault="003D455F" w:rsidP="003D455F">
            <w:pPr>
              <w:widowControl w:val="0"/>
              <w:numPr>
                <w:ilvl w:val="0"/>
                <w:numId w:val="16"/>
              </w:numPr>
              <w:autoSpaceDE w:val="0"/>
              <w:autoSpaceDN w:val="0"/>
              <w:spacing w:line="276" w:lineRule="auto"/>
              <w:contextualSpacing/>
              <w:jc w:val="both"/>
              <w:rPr>
                <w:rFonts w:ascii="Verdana" w:hAnsi="Verdana" w:cs="Arial"/>
                <w:lang w:val="es-ES"/>
              </w:rPr>
            </w:pPr>
            <w:r w:rsidRPr="003D455F">
              <w:rPr>
                <w:rFonts w:ascii="Verdana" w:hAnsi="Verdana" w:cs="Arial"/>
                <w:lang w:val="es-ES"/>
              </w:rPr>
              <w:t>Ley 80 de 1993, artículo 8.</w:t>
            </w:r>
          </w:p>
          <w:p w14:paraId="1F831431" w14:textId="77777777" w:rsidR="003D455F" w:rsidRPr="003D455F" w:rsidRDefault="003D455F" w:rsidP="003D455F">
            <w:pPr>
              <w:widowControl w:val="0"/>
              <w:numPr>
                <w:ilvl w:val="0"/>
                <w:numId w:val="16"/>
              </w:numPr>
              <w:autoSpaceDE w:val="0"/>
              <w:autoSpaceDN w:val="0"/>
              <w:spacing w:line="276" w:lineRule="auto"/>
              <w:contextualSpacing/>
              <w:jc w:val="both"/>
              <w:rPr>
                <w:rFonts w:ascii="Verdana" w:hAnsi="Verdana" w:cs="Arial"/>
                <w:lang w:val="es-ES"/>
              </w:rPr>
            </w:pPr>
            <w:r w:rsidRPr="003D455F">
              <w:rPr>
                <w:rFonts w:ascii="Verdana" w:hAnsi="Verdana" w:cs="Arial"/>
                <w:color w:val="000000"/>
                <w:bdr w:val="none" w:sz="0" w:space="0" w:color="auto" w:frame="1"/>
                <w:lang w:val="es-ES"/>
              </w:rPr>
              <w:t>Ley 1952 de 2019, artículo 56.</w:t>
            </w:r>
          </w:p>
          <w:p w14:paraId="02AA6C5A" w14:textId="77777777" w:rsidR="003D455F" w:rsidRPr="003D455F" w:rsidRDefault="003D455F" w:rsidP="003D455F">
            <w:pPr>
              <w:widowControl w:val="0"/>
              <w:numPr>
                <w:ilvl w:val="0"/>
                <w:numId w:val="16"/>
              </w:numPr>
              <w:tabs>
                <w:tab w:val="left" w:pos="8419"/>
              </w:tabs>
              <w:autoSpaceDE w:val="0"/>
              <w:autoSpaceDN w:val="0"/>
              <w:spacing w:line="276" w:lineRule="auto"/>
              <w:contextualSpacing/>
              <w:jc w:val="both"/>
              <w:rPr>
                <w:rFonts w:ascii="Verdana" w:hAnsi="Verdana" w:cs="Arial"/>
                <w:lang w:val="es-ES"/>
              </w:rPr>
            </w:pPr>
            <w:r w:rsidRPr="003D455F">
              <w:rPr>
                <w:rFonts w:ascii="Verdana" w:hAnsi="Verdana" w:cs="Arial"/>
                <w:lang w:val="es-ES"/>
              </w:rPr>
              <w:t>Corte Constitucional. Sentencia T-1039 de 2006. Magistrado Ponente: Humberto Sierra Porto.</w:t>
            </w:r>
          </w:p>
          <w:p w14:paraId="5F0B7649" w14:textId="77777777" w:rsidR="003D455F" w:rsidRPr="003D455F" w:rsidRDefault="003D455F" w:rsidP="003D455F">
            <w:pPr>
              <w:widowControl w:val="0"/>
              <w:numPr>
                <w:ilvl w:val="0"/>
                <w:numId w:val="16"/>
              </w:numPr>
              <w:tabs>
                <w:tab w:val="left" w:pos="8419"/>
              </w:tabs>
              <w:autoSpaceDE w:val="0"/>
              <w:autoSpaceDN w:val="0"/>
              <w:spacing w:line="276" w:lineRule="auto"/>
              <w:contextualSpacing/>
              <w:jc w:val="both"/>
              <w:rPr>
                <w:rFonts w:ascii="Verdana" w:hAnsi="Verdana" w:cs="Arial"/>
                <w:lang w:val="es-ES"/>
              </w:rPr>
            </w:pPr>
            <w:r w:rsidRPr="003D455F">
              <w:rPr>
                <w:rFonts w:ascii="Verdana" w:hAnsi="Verdana" w:cs="Arial"/>
                <w:lang w:val="es-ES"/>
              </w:rPr>
              <w:t>Consejo de Estado. Sala de Consulta y Servicio Civil. Concepto del 30 de abril de 2015. Expediente: 2251. Consejero Ponente: Álvaro Namén Vargas.</w:t>
            </w:r>
          </w:p>
          <w:p w14:paraId="55C5B433" w14:textId="77777777" w:rsidR="003D455F" w:rsidRPr="003D455F" w:rsidRDefault="003D455F" w:rsidP="003D455F">
            <w:pPr>
              <w:widowControl w:val="0"/>
              <w:numPr>
                <w:ilvl w:val="0"/>
                <w:numId w:val="16"/>
              </w:numPr>
              <w:tabs>
                <w:tab w:val="left" w:pos="8419"/>
              </w:tabs>
              <w:autoSpaceDE w:val="0"/>
              <w:autoSpaceDN w:val="0"/>
              <w:spacing w:line="276" w:lineRule="auto"/>
              <w:contextualSpacing/>
              <w:jc w:val="both"/>
              <w:rPr>
                <w:rFonts w:ascii="Verdana" w:hAnsi="Verdana" w:cs="Arial"/>
                <w:lang w:val="es-ES"/>
              </w:rPr>
            </w:pPr>
            <w:r w:rsidRPr="003D455F">
              <w:rPr>
                <w:rFonts w:ascii="Verdana" w:hAnsi="Verdana" w:cs="Arial"/>
                <w:lang w:val="es-ES"/>
              </w:rPr>
              <w:t>Consejo de Estado. Sección Tercera. Subsección A. Sentencia del 24 de junio de 2015. Exp. 40.635. Consejero Ponente: Hernán Andrade Rincón (E).</w:t>
            </w:r>
          </w:p>
          <w:p w14:paraId="1C9EE5AA" w14:textId="77777777" w:rsidR="003D455F" w:rsidRPr="003D455F" w:rsidRDefault="003D455F" w:rsidP="003D455F">
            <w:pPr>
              <w:widowControl w:val="0"/>
              <w:numPr>
                <w:ilvl w:val="0"/>
                <w:numId w:val="16"/>
              </w:numPr>
              <w:tabs>
                <w:tab w:val="left" w:pos="8419"/>
              </w:tabs>
              <w:autoSpaceDE w:val="0"/>
              <w:autoSpaceDN w:val="0"/>
              <w:spacing w:line="276" w:lineRule="auto"/>
              <w:contextualSpacing/>
              <w:jc w:val="both"/>
              <w:rPr>
                <w:rFonts w:ascii="Verdana" w:hAnsi="Verdana" w:cs="Arial"/>
                <w:lang w:val="es-ES"/>
              </w:rPr>
            </w:pPr>
            <w:r w:rsidRPr="003D455F">
              <w:rPr>
                <w:rFonts w:ascii="Verdana" w:hAnsi="Verdana" w:cs="Arial"/>
                <w:lang w:val="es-ES"/>
              </w:rPr>
              <w:t xml:space="preserve">Consejo de Estado. Sección Tercera. Subsección C. Sentencia del 22 de mayo de 2013. Exp. 24.057. Consejera Ponente: Olga </w:t>
            </w:r>
            <w:proofErr w:type="spellStart"/>
            <w:r w:rsidRPr="003D455F">
              <w:rPr>
                <w:rFonts w:ascii="Verdana" w:hAnsi="Verdana" w:cs="Arial"/>
                <w:lang w:val="es-ES"/>
              </w:rPr>
              <w:t>Melida</w:t>
            </w:r>
            <w:proofErr w:type="spellEnd"/>
            <w:r w:rsidRPr="003D455F">
              <w:rPr>
                <w:rFonts w:ascii="Verdana" w:hAnsi="Verdana" w:cs="Arial"/>
                <w:lang w:val="es-ES"/>
              </w:rPr>
              <w:t xml:space="preserve"> Valle De La Hoz.</w:t>
            </w:r>
          </w:p>
          <w:p w14:paraId="16DD7C22" w14:textId="77777777" w:rsidR="003D455F" w:rsidRPr="003D455F" w:rsidRDefault="003D455F" w:rsidP="003D455F">
            <w:pPr>
              <w:widowControl w:val="0"/>
              <w:numPr>
                <w:ilvl w:val="0"/>
                <w:numId w:val="16"/>
              </w:numPr>
              <w:tabs>
                <w:tab w:val="left" w:pos="8419"/>
              </w:tabs>
              <w:autoSpaceDE w:val="0"/>
              <w:autoSpaceDN w:val="0"/>
              <w:spacing w:line="276" w:lineRule="auto"/>
              <w:contextualSpacing/>
              <w:jc w:val="both"/>
              <w:rPr>
                <w:rFonts w:ascii="Verdana" w:hAnsi="Verdana" w:cs="Arial"/>
                <w:lang w:val="es-ES"/>
              </w:rPr>
            </w:pPr>
            <w:r w:rsidRPr="003D455F">
              <w:rPr>
                <w:rFonts w:ascii="Verdana" w:hAnsi="Verdana" w:cs="Arial"/>
                <w:lang w:val="es-ES"/>
              </w:rPr>
              <w:t>Corte Constitucional, sentencia C- 373 de 2002, Magistrado ponente Jaime Córdoba Triviño.</w:t>
            </w:r>
          </w:p>
          <w:p w14:paraId="49EFE1DE" w14:textId="77777777" w:rsidR="003D455F" w:rsidRPr="003D455F" w:rsidRDefault="003D455F" w:rsidP="003D455F">
            <w:pPr>
              <w:widowControl w:val="0"/>
              <w:numPr>
                <w:ilvl w:val="0"/>
                <w:numId w:val="16"/>
              </w:numPr>
              <w:tabs>
                <w:tab w:val="left" w:pos="8419"/>
              </w:tabs>
              <w:autoSpaceDE w:val="0"/>
              <w:autoSpaceDN w:val="0"/>
              <w:spacing w:line="276" w:lineRule="auto"/>
              <w:contextualSpacing/>
              <w:jc w:val="both"/>
              <w:rPr>
                <w:rFonts w:ascii="Verdana" w:hAnsi="Verdana" w:cs="Arial"/>
                <w:lang w:val="es-ES"/>
              </w:rPr>
            </w:pPr>
            <w:r w:rsidRPr="003D455F">
              <w:rPr>
                <w:rFonts w:ascii="Verdana" w:hAnsi="Verdana" w:cs="Arial"/>
                <w:lang w:val="es-ES"/>
              </w:rPr>
              <w:t>Corte Constitucional, sentencia C-325 de 2009, Magistrado ponente Gabriel Eduardo Mendoza Martelo.</w:t>
            </w:r>
          </w:p>
          <w:p w14:paraId="12B8E05C" w14:textId="77777777" w:rsidR="003D455F" w:rsidRPr="003D455F" w:rsidRDefault="003D455F" w:rsidP="003D455F">
            <w:pPr>
              <w:widowControl w:val="0"/>
              <w:numPr>
                <w:ilvl w:val="0"/>
                <w:numId w:val="16"/>
              </w:numPr>
              <w:tabs>
                <w:tab w:val="left" w:pos="8419"/>
              </w:tabs>
              <w:autoSpaceDE w:val="0"/>
              <w:autoSpaceDN w:val="0"/>
              <w:spacing w:line="276" w:lineRule="auto"/>
              <w:contextualSpacing/>
              <w:jc w:val="both"/>
              <w:rPr>
                <w:rFonts w:ascii="Verdana" w:hAnsi="Verdana" w:cs="Arial"/>
                <w:lang w:val="es-ES"/>
              </w:rPr>
            </w:pPr>
            <w:r w:rsidRPr="003D455F">
              <w:rPr>
                <w:rFonts w:ascii="Verdana" w:hAnsi="Verdana" w:cs="Arial"/>
                <w:lang w:val="es-ES"/>
              </w:rPr>
              <w:t>Consejo de Estado, Sentencia 00111 del 13 de junio de 2019, Sala de lo Contencioso Administrativo, Sección Quinta 00111 del 13 de junio de 2019, consejera ponente Rocío Araújo Oñate.</w:t>
            </w:r>
          </w:p>
        </w:tc>
      </w:tr>
    </w:tbl>
    <w:p w14:paraId="36280DEA" w14:textId="77777777" w:rsidR="003D455F" w:rsidRPr="003D455F" w:rsidRDefault="003D455F" w:rsidP="003D455F">
      <w:pPr>
        <w:tabs>
          <w:tab w:val="left" w:pos="142"/>
          <w:tab w:val="left" w:pos="284"/>
        </w:tabs>
        <w:spacing w:after="0" w:line="276" w:lineRule="auto"/>
        <w:jc w:val="both"/>
        <w:rPr>
          <w:rFonts w:ascii="Verdana" w:eastAsia="Century Gothic" w:hAnsi="Verdana" w:cs="Century Gothic"/>
          <w:b/>
          <w:bCs/>
        </w:rPr>
      </w:pPr>
    </w:p>
    <w:p w14:paraId="39AA8A39" w14:textId="77777777" w:rsidR="003D455F" w:rsidRPr="003D455F" w:rsidRDefault="003D455F" w:rsidP="003D455F">
      <w:pPr>
        <w:tabs>
          <w:tab w:val="left" w:pos="142"/>
          <w:tab w:val="left" w:pos="284"/>
        </w:tabs>
        <w:spacing w:after="0" w:line="276" w:lineRule="auto"/>
        <w:jc w:val="both"/>
        <w:rPr>
          <w:rFonts w:ascii="Verdana" w:eastAsia="Century Gothic" w:hAnsi="Verdana" w:cs="Century Gothic"/>
          <w:b/>
          <w:bCs/>
          <w:lang w:val="es-ES"/>
        </w:rPr>
      </w:pPr>
      <w:r w:rsidRPr="003D455F">
        <w:rPr>
          <w:rFonts w:ascii="Verdana" w:eastAsia="Century Gothic" w:hAnsi="Verdana" w:cs="Century Gothic"/>
          <w:b/>
          <w:bCs/>
        </w:rPr>
        <w:t xml:space="preserve">5. </w:t>
      </w:r>
      <w:r w:rsidRPr="003D455F">
        <w:rPr>
          <w:rFonts w:ascii="Verdana" w:eastAsia="Century Gothic" w:hAnsi="Verdana" w:cs="Century Gothic"/>
          <w:b/>
          <w:bCs/>
          <w:lang w:val="es-ES"/>
        </w:rPr>
        <w:t>Doctrina de la Agencia Nacional de Contratación Pública:</w:t>
      </w:r>
    </w:p>
    <w:p w14:paraId="5E8579BB" w14:textId="77777777" w:rsidR="003D455F" w:rsidRPr="003D455F" w:rsidRDefault="003D455F" w:rsidP="003D455F">
      <w:pPr>
        <w:spacing w:after="0" w:line="276" w:lineRule="auto"/>
        <w:ind w:firstLine="709"/>
        <w:jc w:val="both"/>
        <w:rPr>
          <w:rFonts w:ascii="Verdana" w:eastAsia="Times New Roman" w:hAnsi="Verdana" w:cs="Arial"/>
          <w:szCs w:val="24"/>
          <w:lang w:val="es-ES" w:eastAsia="es-ES_tradnl"/>
        </w:rPr>
      </w:pPr>
    </w:p>
    <w:p w14:paraId="419BF0A5" w14:textId="77777777" w:rsidR="003D455F" w:rsidRPr="003D455F" w:rsidRDefault="003D455F" w:rsidP="003D455F">
      <w:pPr>
        <w:widowControl w:val="0"/>
        <w:autoSpaceDE w:val="0"/>
        <w:autoSpaceDN w:val="0"/>
        <w:spacing w:after="0" w:line="276" w:lineRule="auto"/>
        <w:jc w:val="both"/>
        <w:rPr>
          <w:rFonts w:ascii="Verdana" w:hAnsi="Verdana" w:cs="Arial"/>
          <w:color w:val="000000" w:themeColor="text1"/>
          <w:shd w:val="clear" w:color="auto" w:fill="FFFFFF"/>
          <w:lang w:val="es-ES"/>
        </w:rPr>
      </w:pPr>
      <w:r w:rsidRPr="003D455F">
        <w:rPr>
          <w:rFonts w:ascii="Verdana" w:eastAsia="Calibri" w:hAnsi="Verdana" w:cs="Arial"/>
          <w:lang w:val="es-ES_tradnl" w:eastAsia="es-ES_tradnl"/>
        </w:rPr>
        <w:t xml:space="preserve">Sobre el régimen de inhabilidades e incompatibilidades se pronunció esta </w:t>
      </w:r>
      <w:r w:rsidRPr="003D455F">
        <w:rPr>
          <w:rFonts w:ascii="Verdana" w:eastAsia="Calibri" w:hAnsi="Verdana" w:cs="Arial"/>
          <w:lang w:val="es-ES_tradnl" w:eastAsia="es-ES_tradnl"/>
        </w:rPr>
        <w:lastRenderedPageBreak/>
        <w:t xml:space="preserve">Subdirección en los conceptos </w:t>
      </w:r>
      <w:r w:rsidRPr="003D455F">
        <w:rPr>
          <w:rFonts w:ascii="Verdana" w:eastAsia="Calibri" w:hAnsi="Verdana" w:cs="Arial"/>
          <w:lang w:val="es-MX"/>
        </w:rPr>
        <w:t>No. 4201912000004765 de 29 de agosto de 2019, 4201913000005694 del 3 de octubre de 2019, 4201912000006288 del 7 de septiembre de 2019, 4201912000006259 del 13 de noviembre de 2019, 4201913000006917 del 21 de noviembre de 2019, 4201912000006978 del 25 de noviembre de 2019, 4201912000007291 del 3 de diciembre de 2019, 4201912000007281 del 5 de diciembre de 2019, 4201912000007060 del 11 de diciembre de 2019, 4201912000007512 del 16  diciembre de 2019, 4201912000008460 del 14 de febrero de 2020, C−032 del 19 de febrero de 2020,  C−402 del 26 de junio de 2020, C−365 del 30 de junio de 2020, C−386 del 24 de julio de 2020, C-585 del 14 de septiembre de 2020, C–592 del 14 de septiembre de 2020, C−551 de 24 de septiembre de 2020, C−709 del 7 de diciembre de 2020, C–721 de 14 de diciembre de 2020, C–004 del 12 de febrero de 2021, C–815 del 18 de febrero de 2021, C–047 del 8 de marzo de 2021, C–113 del 30 de marzo de 2021, C–122 del 30 de marzo de 2021, C–178 del 28 de abril de 2021, C−190 del 30 de abril de 2021, C−210 del 12 de mayo de 2021, C−275 del 11 de junio de 2021, C−293 del 28 de junio de 2021, C−321 del 2 de julio de 2021, C−410 del 7 de julio de 2021, C−491 del 14 de septiembre de 2021, C−522 del 1 de octubre de 2021, C-908 del 13 de febrero de 2023, C−128 del 25 de marzo de 2022, C−252 del 3 de mayo de 2022, C−376 del 14 de junio de 2022, C−413 del 24 de junio de 2022, C−691 del 20 de octubre de 2022, C−731 del 10 de noviembre de 2022, C−928 del 26 de enero de 2023, C−126 del 24 de abril de 2023, C−175 del 4 de mayo de 2023, C−234 del 5 de julio de 2023, C−010 del 31 de enero de 2024 y C-039 del 23 de abril de 2024</w:t>
      </w:r>
      <w:r w:rsidRPr="003D455F">
        <w:rPr>
          <w:rFonts w:ascii="Verdana" w:eastAsia="Calibri" w:hAnsi="Verdana" w:cs="Arial"/>
          <w:lang w:val="es-ES" w:eastAsia="es-ES_tradnl"/>
        </w:rPr>
        <w:t>. Estos</w:t>
      </w:r>
      <w:r w:rsidRPr="003D455F">
        <w:rPr>
          <w:rFonts w:ascii="Verdana" w:hAnsi="Verdana"/>
        </w:rPr>
        <w:t xml:space="preserve"> y otros conceptos se encuentran disponibles para consulta en el Sistema de relatoría de la Agencia, al cual se puede acceder a través del siguiente enlace:</w:t>
      </w:r>
      <w:r w:rsidRPr="003D455F">
        <w:rPr>
          <w:rFonts w:ascii="Verdana" w:hAnsi="Verdana" w:cs="Arial"/>
          <w:shd w:val="clear" w:color="auto" w:fill="FFFFFF"/>
          <w:lang w:val="es-ES"/>
        </w:rPr>
        <w:t xml:space="preserve"> </w:t>
      </w:r>
      <w:hyperlink r:id="rId11" w:history="1">
        <w:r w:rsidRPr="003D455F">
          <w:rPr>
            <w:rFonts w:ascii="Verdana" w:hAnsi="Verdana" w:cs="Arial"/>
            <w:color w:val="0563C1" w:themeColor="hyperlink"/>
            <w:u w:val="single"/>
            <w:shd w:val="clear" w:color="auto" w:fill="FFFFFF"/>
            <w:lang w:val="es-ES"/>
          </w:rPr>
          <w:t>https://relatoria.colombiacompra.gov.co/busqueda/conceptos</w:t>
        </w:r>
      </w:hyperlink>
    </w:p>
    <w:p w14:paraId="166BD17F" w14:textId="77777777" w:rsidR="003D455F" w:rsidRPr="003D455F" w:rsidRDefault="003D455F" w:rsidP="003D455F">
      <w:pPr>
        <w:widowControl w:val="0"/>
        <w:autoSpaceDE w:val="0"/>
        <w:autoSpaceDN w:val="0"/>
        <w:spacing w:after="0" w:line="276" w:lineRule="auto"/>
        <w:jc w:val="both"/>
        <w:rPr>
          <w:rFonts w:ascii="Verdana" w:hAnsi="Verdana" w:cs="Arial"/>
          <w:color w:val="000000" w:themeColor="text1"/>
          <w:shd w:val="clear" w:color="auto" w:fill="FFFFFF"/>
          <w:lang w:val="es-ES"/>
        </w:rPr>
      </w:pPr>
    </w:p>
    <w:p w14:paraId="4150A9A9" w14:textId="77777777" w:rsidR="003D455F" w:rsidRPr="003D455F" w:rsidRDefault="003D455F" w:rsidP="003D455F">
      <w:pPr>
        <w:widowControl w:val="0"/>
        <w:autoSpaceDE w:val="0"/>
        <w:autoSpaceDN w:val="0"/>
        <w:spacing w:after="0" w:line="276" w:lineRule="auto"/>
        <w:jc w:val="both"/>
        <w:rPr>
          <w:rFonts w:ascii="Verdana" w:hAnsi="Verdana" w:cs="Arial"/>
          <w:color w:val="FF0000"/>
          <w:shd w:val="clear" w:color="auto" w:fill="FFFFFF"/>
          <w:lang w:val="es-ES"/>
        </w:rPr>
      </w:pPr>
      <w:r w:rsidRPr="003D455F">
        <w:rPr>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sidRPr="003D455F">
        <w:rPr>
          <w:rFonts w:ascii="Verdana" w:hAnsi="Verdana" w:cs="Arial"/>
          <w:color w:val="FF0000"/>
          <w:shd w:val="clear" w:color="auto" w:fill="FFFFFF"/>
          <w:lang w:val="es-ES"/>
        </w:rPr>
        <w:t xml:space="preserve"> </w:t>
      </w:r>
      <w:hyperlink r:id="rId12" w:history="1">
        <w:r w:rsidRPr="003D455F">
          <w:rPr>
            <w:rFonts w:ascii="Verdana" w:hAnsi="Verdana" w:cs="Arial"/>
            <w:color w:val="0563C1" w:themeColor="hyperlink"/>
            <w:u w:val="single"/>
            <w:shd w:val="clear" w:color="auto" w:fill="FFFFFF"/>
            <w:lang w:val="es-ES"/>
          </w:rPr>
          <w:t>https://www.colombiacompra.gov.co/sala-de-prensa/boletin-digital</w:t>
        </w:r>
      </w:hyperlink>
      <w:r w:rsidRPr="003D455F">
        <w:rPr>
          <w:rFonts w:ascii="Verdana" w:hAnsi="Verdana" w:cs="Arial"/>
          <w:color w:val="FF0000"/>
          <w:shd w:val="clear" w:color="auto" w:fill="FFFFFF"/>
          <w:lang w:val="es-ES"/>
        </w:rPr>
        <w:t xml:space="preserve">      </w:t>
      </w:r>
    </w:p>
    <w:p w14:paraId="4E899EE5" w14:textId="77777777" w:rsidR="003D455F" w:rsidRPr="003D455F" w:rsidRDefault="003D455F" w:rsidP="003D455F">
      <w:pPr>
        <w:spacing w:after="0" w:line="240" w:lineRule="auto"/>
        <w:jc w:val="both"/>
        <w:rPr>
          <w:rFonts w:ascii="Verdana" w:hAnsi="Verdana"/>
        </w:rPr>
      </w:pPr>
    </w:p>
    <w:p w14:paraId="10A1A39E" w14:textId="77777777" w:rsidR="003D455F" w:rsidRPr="003D455F" w:rsidRDefault="003D455F" w:rsidP="003D455F">
      <w:pPr>
        <w:spacing w:after="0" w:line="240" w:lineRule="auto"/>
        <w:jc w:val="both"/>
        <w:rPr>
          <w:rFonts w:ascii="Verdana" w:hAnsi="Verdana"/>
        </w:rPr>
      </w:pPr>
      <w:r w:rsidRPr="003D455F">
        <w:rPr>
          <w:rFonts w:ascii="Verdana" w:hAnsi="Verdana"/>
        </w:rPr>
        <w:t xml:space="preserve">Por último, lo invitamos a seguirnos en las redes sociales en las cuales se difunde información institucional: </w:t>
      </w:r>
    </w:p>
    <w:p w14:paraId="240E9182" w14:textId="77777777" w:rsidR="003D455F" w:rsidRPr="003D455F" w:rsidRDefault="003D455F" w:rsidP="003D455F">
      <w:pPr>
        <w:spacing w:after="0" w:line="240" w:lineRule="auto"/>
        <w:jc w:val="both"/>
        <w:rPr>
          <w:rFonts w:ascii="Verdana" w:hAnsi="Verdana"/>
        </w:rPr>
      </w:pPr>
    </w:p>
    <w:p w14:paraId="5DF0E90A" w14:textId="77777777" w:rsidR="003D455F" w:rsidRPr="003D455F" w:rsidRDefault="003D455F" w:rsidP="003D455F">
      <w:pPr>
        <w:spacing w:after="0" w:line="240" w:lineRule="auto"/>
        <w:jc w:val="both"/>
        <w:rPr>
          <w:rFonts w:ascii="Verdana" w:hAnsi="Verdana"/>
        </w:rPr>
      </w:pPr>
      <w:r w:rsidRPr="003D455F">
        <w:rPr>
          <w:rFonts w:ascii="Verdana" w:hAnsi="Verdana"/>
        </w:rPr>
        <w:t xml:space="preserve">Twitter: </w:t>
      </w:r>
      <w:r w:rsidRPr="003D455F">
        <w:rPr>
          <w:rFonts w:ascii="Verdana" w:hAnsi="Verdana"/>
          <w:color w:val="4472C4" w:themeColor="accent1"/>
          <w:u w:val="single"/>
        </w:rPr>
        <w:t>@colombiacompra</w:t>
      </w:r>
      <w:r w:rsidRPr="003D455F">
        <w:rPr>
          <w:rFonts w:ascii="Verdana" w:hAnsi="Verdana"/>
          <w:color w:val="4472C4" w:themeColor="accent1"/>
        </w:rPr>
        <w:t xml:space="preserve"> </w:t>
      </w:r>
    </w:p>
    <w:p w14:paraId="7E29030A" w14:textId="77777777" w:rsidR="003D455F" w:rsidRPr="003D455F" w:rsidRDefault="003D455F" w:rsidP="003D455F">
      <w:pPr>
        <w:spacing w:after="0" w:line="240" w:lineRule="auto"/>
        <w:jc w:val="both"/>
        <w:rPr>
          <w:rFonts w:ascii="Verdana" w:hAnsi="Verdana"/>
        </w:rPr>
      </w:pPr>
      <w:r w:rsidRPr="003D455F">
        <w:rPr>
          <w:rFonts w:ascii="Verdana" w:hAnsi="Verdana"/>
        </w:rPr>
        <w:t xml:space="preserve">Facebook: </w:t>
      </w:r>
      <w:r w:rsidRPr="003D455F">
        <w:rPr>
          <w:rFonts w:ascii="Verdana" w:hAnsi="Verdana"/>
          <w:color w:val="4472C4" w:themeColor="accent1"/>
          <w:u w:val="single"/>
        </w:rPr>
        <w:t>ColombiaCompraEficiente</w:t>
      </w:r>
    </w:p>
    <w:p w14:paraId="066691BE" w14:textId="77777777" w:rsidR="003D455F" w:rsidRPr="003D455F" w:rsidRDefault="003D455F" w:rsidP="003D455F">
      <w:pPr>
        <w:spacing w:after="0" w:line="240" w:lineRule="auto"/>
        <w:jc w:val="both"/>
        <w:rPr>
          <w:rFonts w:ascii="Verdana" w:hAnsi="Verdana"/>
        </w:rPr>
      </w:pPr>
      <w:r w:rsidRPr="003D455F">
        <w:rPr>
          <w:rFonts w:ascii="Verdana" w:hAnsi="Verdana"/>
        </w:rPr>
        <w:t xml:space="preserve">LinkedIn: </w:t>
      </w:r>
      <w:r w:rsidRPr="003D455F">
        <w:rPr>
          <w:rFonts w:ascii="Verdana" w:hAnsi="Verdana"/>
          <w:color w:val="4472C4" w:themeColor="accent1"/>
          <w:u w:val="single"/>
        </w:rPr>
        <w:t>Agencia Nacional de Contratación Pública - Colombia Compra Eficiente</w:t>
      </w:r>
      <w:r w:rsidRPr="003D455F">
        <w:rPr>
          <w:rFonts w:ascii="Verdana" w:hAnsi="Verdana"/>
          <w:color w:val="4472C4" w:themeColor="accent1"/>
        </w:rPr>
        <w:t xml:space="preserve"> </w:t>
      </w:r>
      <w:r w:rsidRPr="003D455F">
        <w:rPr>
          <w:rFonts w:ascii="Verdana" w:hAnsi="Verdana"/>
        </w:rPr>
        <w:t xml:space="preserve">Instagram: </w:t>
      </w:r>
      <w:r w:rsidRPr="003D455F">
        <w:rPr>
          <w:rFonts w:ascii="Verdana" w:hAnsi="Verdana"/>
          <w:color w:val="4472C4" w:themeColor="accent1"/>
          <w:u w:val="single"/>
        </w:rPr>
        <w:t>@colombiacompraeficiente_cce</w:t>
      </w:r>
    </w:p>
    <w:p w14:paraId="27F1EA49" w14:textId="77777777" w:rsidR="003D455F" w:rsidRPr="003D455F" w:rsidRDefault="003D455F" w:rsidP="003D455F">
      <w:pPr>
        <w:widowControl w:val="0"/>
        <w:autoSpaceDE w:val="0"/>
        <w:autoSpaceDN w:val="0"/>
        <w:spacing w:after="0" w:line="276" w:lineRule="auto"/>
        <w:jc w:val="both"/>
        <w:rPr>
          <w:rFonts w:ascii="Verdana" w:hAnsi="Verdana" w:cs="Arial"/>
        </w:rPr>
      </w:pPr>
    </w:p>
    <w:p w14:paraId="06B5B835" w14:textId="77777777" w:rsidR="003D455F" w:rsidRPr="003D455F" w:rsidRDefault="003D455F" w:rsidP="003D455F">
      <w:pPr>
        <w:widowControl w:val="0"/>
        <w:autoSpaceDE w:val="0"/>
        <w:autoSpaceDN w:val="0"/>
        <w:spacing w:after="0" w:line="276" w:lineRule="auto"/>
        <w:jc w:val="both"/>
        <w:rPr>
          <w:rFonts w:ascii="Verdana" w:hAnsi="Verdana" w:cs="Arial"/>
          <w:lang w:val="es-ES_tradnl"/>
        </w:rPr>
      </w:pPr>
      <w:r w:rsidRPr="003D455F">
        <w:rPr>
          <w:rFonts w:ascii="Verdana" w:hAnsi="Verdana" w:cs="Arial"/>
        </w:rPr>
        <w:t xml:space="preserve">Este concepto tiene el alcance previsto en el artículo 28 del Código de Procedimiento Administrativo y de lo Contencioso Administrativo </w:t>
      </w:r>
      <w:r w:rsidRPr="003D455F">
        <w:rPr>
          <w:rFonts w:ascii="Verdana" w:hAnsi="Verdana" w:cs="Arial"/>
          <w:lang w:val="es-ES_tradnl"/>
        </w:rPr>
        <w:t>y las expresiones aquí utilizadas con mayúscula inicial deben ser entendidas con el significado que les otorga el artículo 2.2.1.1.1.3.1. del Decreto 1082 de 2015.</w:t>
      </w:r>
    </w:p>
    <w:p w14:paraId="046879E3" w14:textId="77777777" w:rsidR="003D455F" w:rsidRPr="003D455F" w:rsidRDefault="003D455F" w:rsidP="003D455F">
      <w:pPr>
        <w:spacing w:after="0" w:line="276" w:lineRule="auto"/>
        <w:ind w:firstLine="709"/>
        <w:jc w:val="both"/>
        <w:rPr>
          <w:rFonts w:ascii="Verdana" w:eastAsia="Times New Roman" w:hAnsi="Verdana" w:cs="Arial"/>
          <w:szCs w:val="24"/>
          <w:lang w:val="es-ES_tradnl" w:eastAsia="es-ES_tradnl"/>
        </w:rPr>
      </w:pPr>
    </w:p>
    <w:p w14:paraId="3718A885" w14:textId="77777777" w:rsidR="003D455F" w:rsidRPr="003D455F" w:rsidRDefault="003D455F" w:rsidP="003D455F">
      <w:pPr>
        <w:spacing w:after="0" w:line="276" w:lineRule="auto"/>
        <w:jc w:val="both"/>
        <w:rPr>
          <w:rFonts w:ascii="Verdana" w:eastAsia="Times New Roman" w:hAnsi="Verdana" w:cs="Arial"/>
          <w:lang w:val="es-ES_tradnl" w:eastAsia="es-CO"/>
        </w:rPr>
      </w:pPr>
      <w:bookmarkStart w:id="1" w:name="_Hlk117695077"/>
      <w:r w:rsidRPr="003D455F">
        <w:rPr>
          <w:rFonts w:ascii="Verdana" w:eastAsia="Times New Roman" w:hAnsi="Verdana" w:cs="Arial"/>
          <w:lang w:val="es-ES_tradnl" w:eastAsia="es-CO"/>
        </w:rPr>
        <w:t>Atentamente,</w:t>
      </w:r>
    </w:p>
    <w:bookmarkEnd w:id="1"/>
    <w:p w14:paraId="4805D2DA" w14:textId="64104E79" w:rsidR="003D455F" w:rsidRPr="003D455F" w:rsidRDefault="0006707B" w:rsidP="003D455F">
      <w:pPr>
        <w:spacing w:after="18" w:line="240" w:lineRule="auto"/>
        <w:jc w:val="center"/>
        <w:rPr>
          <w:rFonts w:ascii="Verdana" w:eastAsia="Times New Roman" w:hAnsi="Verdana" w:cs="Arial"/>
          <w:sz w:val="24"/>
          <w:szCs w:val="24"/>
          <w:lang w:eastAsia="es-CO"/>
        </w:rPr>
      </w:pPr>
      <w:r>
        <w:rPr>
          <w:noProof/>
        </w:rPr>
        <w:drawing>
          <wp:inline distT="0" distB="0" distL="0" distR="0" wp14:anchorId="609F72EA" wp14:editId="6008579E">
            <wp:extent cx="3771900" cy="1400175"/>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3"/>
                    <a:stretch>
                      <a:fillRect/>
                    </a:stretch>
                  </pic:blipFill>
                  <pic:spPr>
                    <a:xfrm>
                      <a:off x="0" y="0"/>
                      <a:ext cx="3771900" cy="1400175"/>
                    </a:xfrm>
                    <a:prstGeom prst="rect">
                      <a:avLst/>
                    </a:prstGeom>
                  </pic:spPr>
                </pic:pic>
              </a:graphicData>
            </a:graphic>
          </wp:inline>
        </w:drawing>
      </w:r>
    </w:p>
    <w:p w14:paraId="2276DB8D" w14:textId="77777777" w:rsidR="003D455F" w:rsidRPr="003D455F" w:rsidRDefault="003D455F" w:rsidP="003D455F">
      <w:pPr>
        <w:spacing w:after="18" w:line="240" w:lineRule="auto"/>
        <w:jc w:val="center"/>
        <w:rPr>
          <w:rFonts w:ascii="Verdana" w:eastAsia="Times New Roman" w:hAnsi="Verdana" w:cs="Arial"/>
          <w:sz w:val="24"/>
          <w:szCs w:val="24"/>
          <w:lang w:eastAsia="es-CO"/>
        </w:rPr>
      </w:pPr>
    </w:p>
    <w:tbl>
      <w:tblPr>
        <w:tblStyle w:val="Tablaconcuadrcula1"/>
        <w:tblpPr w:leftFromText="141" w:rightFromText="141" w:vertAnchor="text" w:horzAnchor="margin" w:tblpY="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4217"/>
      </w:tblGrid>
      <w:tr w:rsidR="003D455F" w:rsidRPr="003D455F" w14:paraId="212C72AC" w14:textId="77777777">
        <w:trPr>
          <w:trHeight w:val="286"/>
        </w:trPr>
        <w:tc>
          <w:tcPr>
            <w:tcW w:w="886" w:type="dxa"/>
            <w:vAlign w:val="center"/>
            <w:hideMark/>
          </w:tcPr>
          <w:p w14:paraId="44D16858" w14:textId="77777777" w:rsidR="003D455F" w:rsidRPr="003D455F" w:rsidRDefault="003D455F" w:rsidP="003D455F">
            <w:pPr>
              <w:rPr>
                <w:rFonts w:ascii="Verdana" w:hAnsi="Verdana" w:cs="Arial"/>
                <w:sz w:val="14"/>
                <w:szCs w:val="14"/>
                <w:lang w:eastAsia="es-ES"/>
              </w:rPr>
            </w:pPr>
            <w:r w:rsidRPr="003D455F">
              <w:rPr>
                <w:rFonts w:ascii="Verdana" w:hAnsi="Verdana" w:cs="Arial"/>
                <w:sz w:val="16"/>
                <w:szCs w:val="16"/>
                <w:lang w:eastAsia="es-ES"/>
              </w:rPr>
              <w:t>Elaboró:</w:t>
            </w:r>
          </w:p>
        </w:tc>
        <w:tc>
          <w:tcPr>
            <w:tcW w:w="4217" w:type="dxa"/>
            <w:tcBorders>
              <w:top w:val="nil"/>
              <w:left w:val="nil"/>
              <w:bottom w:val="dotted" w:sz="4" w:space="0" w:color="7F7F7F"/>
              <w:right w:val="nil"/>
            </w:tcBorders>
            <w:vAlign w:val="center"/>
            <w:hideMark/>
          </w:tcPr>
          <w:p w14:paraId="309CD3AF" w14:textId="77777777" w:rsidR="003D455F" w:rsidRPr="003D455F" w:rsidRDefault="003D455F" w:rsidP="003D455F">
            <w:pPr>
              <w:rPr>
                <w:rFonts w:ascii="Verdana" w:hAnsi="Verdana" w:cs="Arial"/>
                <w:sz w:val="16"/>
                <w:szCs w:val="16"/>
                <w:lang w:val="es-ES_tradnl" w:eastAsia="es-ES"/>
              </w:rPr>
            </w:pPr>
            <w:r w:rsidRPr="003D455F">
              <w:rPr>
                <w:rFonts w:ascii="Verdana" w:hAnsi="Verdana" w:cs="Arial"/>
                <w:sz w:val="16"/>
                <w:szCs w:val="16"/>
                <w:lang w:val="es-ES_tradnl" w:eastAsia="es-ES"/>
              </w:rPr>
              <w:t>Ximena Ríos López</w:t>
            </w:r>
          </w:p>
          <w:p w14:paraId="0B71A0A4" w14:textId="77777777" w:rsidR="003D455F" w:rsidRPr="003D455F" w:rsidRDefault="003D455F" w:rsidP="003D455F">
            <w:pPr>
              <w:rPr>
                <w:rFonts w:ascii="Verdana" w:hAnsi="Verdana" w:cs="Arial"/>
                <w:sz w:val="14"/>
                <w:szCs w:val="14"/>
                <w:lang w:eastAsia="es-ES"/>
              </w:rPr>
            </w:pPr>
            <w:r w:rsidRPr="003D455F">
              <w:rPr>
                <w:rFonts w:ascii="Verdana" w:hAnsi="Verdana" w:cs="Arial"/>
                <w:sz w:val="16"/>
                <w:szCs w:val="16"/>
                <w:lang w:eastAsia="es-ES"/>
              </w:rPr>
              <w:t>Gestor T1-11 de la Subdirección de Gestión Contractual</w:t>
            </w:r>
          </w:p>
        </w:tc>
      </w:tr>
      <w:tr w:rsidR="003D455F" w:rsidRPr="003D455F" w14:paraId="4F2D7952" w14:textId="77777777">
        <w:trPr>
          <w:trHeight w:val="299"/>
        </w:trPr>
        <w:tc>
          <w:tcPr>
            <w:tcW w:w="886" w:type="dxa"/>
            <w:vAlign w:val="center"/>
            <w:hideMark/>
          </w:tcPr>
          <w:p w14:paraId="4137E1B6" w14:textId="77777777" w:rsidR="003D455F" w:rsidRPr="003D455F" w:rsidRDefault="003D455F" w:rsidP="003D455F">
            <w:pPr>
              <w:rPr>
                <w:rFonts w:ascii="Verdana" w:hAnsi="Verdana" w:cs="Arial"/>
                <w:sz w:val="14"/>
                <w:szCs w:val="14"/>
                <w:lang w:eastAsia="es-ES"/>
              </w:rPr>
            </w:pPr>
            <w:r w:rsidRPr="003D455F">
              <w:rPr>
                <w:rFonts w:ascii="Verdana" w:hAnsi="Verdana" w:cs="Arial"/>
                <w:sz w:val="16"/>
                <w:szCs w:val="16"/>
                <w:lang w:eastAsia="es-ES"/>
              </w:rPr>
              <w:t>Revisó:</w:t>
            </w:r>
          </w:p>
        </w:tc>
        <w:tc>
          <w:tcPr>
            <w:tcW w:w="4217" w:type="dxa"/>
            <w:tcBorders>
              <w:top w:val="dotted" w:sz="4" w:space="0" w:color="7F7F7F"/>
              <w:left w:val="nil"/>
              <w:bottom w:val="dotted" w:sz="4" w:space="0" w:color="7F7F7F"/>
              <w:right w:val="nil"/>
            </w:tcBorders>
            <w:vAlign w:val="center"/>
            <w:hideMark/>
          </w:tcPr>
          <w:p w14:paraId="17DAE9EC" w14:textId="462FFBB6" w:rsidR="003D455F" w:rsidRPr="003D455F" w:rsidRDefault="003D455F" w:rsidP="003D455F">
            <w:pPr>
              <w:rPr>
                <w:rFonts w:ascii="Verdana" w:hAnsi="Verdana" w:cs="Arial"/>
                <w:sz w:val="16"/>
                <w:szCs w:val="16"/>
                <w:lang w:val="es-ES_tradnl" w:eastAsia="es-ES"/>
              </w:rPr>
            </w:pPr>
            <w:r w:rsidRPr="003D455F">
              <w:rPr>
                <w:rFonts w:ascii="Verdana" w:hAnsi="Verdana" w:cs="Arial"/>
                <w:sz w:val="16"/>
                <w:szCs w:val="16"/>
                <w:lang w:val="es-ES_tradnl" w:eastAsia="es-ES"/>
              </w:rPr>
              <w:t xml:space="preserve">Juan </w:t>
            </w:r>
            <w:r w:rsidR="000317EB">
              <w:rPr>
                <w:rFonts w:ascii="Verdana" w:hAnsi="Verdana" w:cs="Arial"/>
                <w:sz w:val="16"/>
                <w:szCs w:val="16"/>
                <w:lang w:val="es-ES_tradnl" w:eastAsia="es-ES"/>
              </w:rPr>
              <w:t xml:space="preserve">David </w:t>
            </w:r>
            <w:r w:rsidRPr="003D455F">
              <w:rPr>
                <w:rFonts w:ascii="Verdana" w:hAnsi="Verdana" w:cs="Arial"/>
                <w:sz w:val="16"/>
                <w:szCs w:val="16"/>
                <w:lang w:val="es-ES_tradnl" w:eastAsia="es-ES"/>
              </w:rPr>
              <w:t>Cárdenas</w:t>
            </w:r>
            <w:r w:rsidR="000317EB">
              <w:rPr>
                <w:rFonts w:ascii="Verdana" w:hAnsi="Verdana" w:cs="Arial"/>
                <w:sz w:val="16"/>
                <w:szCs w:val="16"/>
                <w:lang w:val="es-ES_tradnl" w:eastAsia="es-ES"/>
              </w:rPr>
              <w:t xml:space="preserve"> Cabeza</w:t>
            </w:r>
          </w:p>
          <w:p w14:paraId="444CBE4D" w14:textId="77777777" w:rsidR="003D455F" w:rsidRPr="003D455F" w:rsidRDefault="003D455F" w:rsidP="003D455F">
            <w:pPr>
              <w:rPr>
                <w:rFonts w:ascii="Verdana" w:hAnsi="Verdana" w:cs="Arial"/>
                <w:sz w:val="14"/>
                <w:szCs w:val="14"/>
                <w:lang w:eastAsia="es-ES"/>
              </w:rPr>
            </w:pPr>
            <w:r w:rsidRPr="003D455F">
              <w:rPr>
                <w:rFonts w:ascii="Verdana" w:hAnsi="Verdana" w:cs="Arial"/>
                <w:sz w:val="16"/>
                <w:szCs w:val="16"/>
                <w:lang w:eastAsia="es-ES"/>
              </w:rPr>
              <w:t>Contratista de la Subdirección de Gestión Contractual</w:t>
            </w:r>
          </w:p>
        </w:tc>
      </w:tr>
      <w:tr w:rsidR="003D455F" w:rsidRPr="003D455F" w14:paraId="080886E5" w14:textId="77777777">
        <w:trPr>
          <w:trHeight w:val="272"/>
        </w:trPr>
        <w:tc>
          <w:tcPr>
            <w:tcW w:w="886" w:type="dxa"/>
            <w:vAlign w:val="center"/>
            <w:hideMark/>
          </w:tcPr>
          <w:p w14:paraId="1E942777" w14:textId="77777777" w:rsidR="003D455F" w:rsidRPr="003D455F" w:rsidRDefault="003D455F" w:rsidP="003D455F">
            <w:pPr>
              <w:rPr>
                <w:rFonts w:ascii="Verdana" w:hAnsi="Verdana" w:cs="Arial"/>
                <w:sz w:val="14"/>
                <w:szCs w:val="14"/>
                <w:lang w:eastAsia="es-ES"/>
              </w:rPr>
            </w:pPr>
            <w:r w:rsidRPr="003D455F">
              <w:rPr>
                <w:rFonts w:ascii="Verdana" w:hAnsi="Verdana" w:cs="Arial"/>
                <w:sz w:val="16"/>
                <w:szCs w:val="16"/>
                <w:lang w:eastAsia="es-ES"/>
              </w:rPr>
              <w:t>Aprobó:</w:t>
            </w:r>
          </w:p>
        </w:tc>
        <w:tc>
          <w:tcPr>
            <w:tcW w:w="4217" w:type="dxa"/>
            <w:tcBorders>
              <w:top w:val="dotted" w:sz="4" w:space="0" w:color="7F7F7F"/>
              <w:left w:val="nil"/>
              <w:bottom w:val="dotted" w:sz="4" w:space="0" w:color="7F7F7F"/>
              <w:right w:val="nil"/>
            </w:tcBorders>
            <w:vAlign w:val="center"/>
            <w:hideMark/>
          </w:tcPr>
          <w:p w14:paraId="34BAD08E" w14:textId="77777777" w:rsidR="003D455F" w:rsidRPr="003D455F" w:rsidRDefault="003D455F" w:rsidP="003D455F">
            <w:pPr>
              <w:rPr>
                <w:rFonts w:ascii="Verdana" w:hAnsi="Verdana" w:cs="Arial"/>
                <w:sz w:val="16"/>
                <w:szCs w:val="16"/>
                <w:lang w:eastAsia="es-ES"/>
              </w:rPr>
            </w:pPr>
            <w:r w:rsidRPr="003D455F">
              <w:rPr>
                <w:rFonts w:ascii="Verdana" w:hAnsi="Verdana" w:cs="Arial"/>
                <w:sz w:val="16"/>
                <w:szCs w:val="16"/>
                <w:lang w:eastAsia="es-ES"/>
              </w:rPr>
              <w:t>Carolina Quintero Gacharná</w:t>
            </w:r>
          </w:p>
          <w:p w14:paraId="7DDFA6A2" w14:textId="77777777" w:rsidR="003D455F" w:rsidRPr="003D455F" w:rsidRDefault="003D455F" w:rsidP="003D455F">
            <w:pPr>
              <w:rPr>
                <w:rFonts w:ascii="Verdana" w:hAnsi="Verdana" w:cs="Arial"/>
                <w:sz w:val="14"/>
                <w:szCs w:val="14"/>
                <w:lang w:eastAsia="es-ES"/>
              </w:rPr>
            </w:pPr>
            <w:r w:rsidRPr="003D455F">
              <w:rPr>
                <w:rFonts w:ascii="Verdana" w:hAnsi="Verdana" w:cs="Arial"/>
                <w:sz w:val="16"/>
                <w:szCs w:val="16"/>
                <w:lang w:eastAsia="es-ES"/>
              </w:rPr>
              <w:t>Subdirectora de Gestión Contractual ANCP – CCE</w:t>
            </w:r>
          </w:p>
        </w:tc>
      </w:tr>
    </w:tbl>
    <w:p w14:paraId="4A2BC45A" w14:textId="77777777" w:rsidR="003D455F" w:rsidRPr="003D455F" w:rsidRDefault="003D455F" w:rsidP="003D455F">
      <w:pPr>
        <w:spacing w:after="0" w:line="276" w:lineRule="auto"/>
        <w:jc w:val="both"/>
        <w:rPr>
          <w:rFonts w:ascii="Verdana" w:eastAsia="Times New Roman" w:hAnsi="Verdana" w:cs="Arial"/>
          <w:lang w:val="es-ES_tradnl"/>
        </w:rPr>
      </w:pPr>
    </w:p>
    <w:p w14:paraId="0C187D47" w14:textId="77777777" w:rsidR="003D455F" w:rsidRPr="003D455F" w:rsidRDefault="003D455F" w:rsidP="003D455F">
      <w:pPr>
        <w:spacing w:after="0" w:line="240" w:lineRule="auto"/>
        <w:rPr>
          <w:rFonts w:ascii="Verdana" w:eastAsia="Times New Roman" w:hAnsi="Verdana" w:cs="Arial"/>
          <w:sz w:val="24"/>
          <w:szCs w:val="24"/>
          <w:lang w:eastAsia="es-ES_tradnl"/>
        </w:rPr>
      </w:pPr>
    </w:p>
    <w:p w14:paraId="228AB256" w14:textId="77777777" w:rsidR="003D455F" w:rsidRPr="003D455F" w:rsidRDefault="003D455F" w:rsidP="003D455F">
      <w:pPr>
        <w:rPr>
          <w:rFonts w:ascii="Verdana" w:hAnsi="Verdana"/>
        </w:rPr>
      </w:pPr>
    </w:p>
    <w:p w14:paraId="6FAF0BCA" w14:textId="77777777" w:rsidR="002707A2" w:rsidRPr="0044528D" w:rsidRDefault="002707A2" w:rsidP="00E245AB">
      <w:pPr>
        <w:spacing w:after="0"/>
        <w:jc w:val="both"/>
        <w:rPr>
          <w:rStyle w:val="Hipervnculo"/>
          <w:rFonts w:ascii="Verdana" w:hAnsi="Verdana"/>
        </w:rPr>
      </w:pPr>
    </w:p>
    <w:bookmarkEnd w:id="0"/>
    <w:p w14:paraId="48997F8F" w14:textId="77777777" w:rsidR="00322A85" w:rsidRPr="0044528D" w:rsidRDefault="00322A85" w:rsidP="00322A85">
      <w:pPr>
        <w:spacing w:after="0" w:line="240" w:lineRule="auto"/>
        <w:jc w:val="both"/>
        <w:textAlignment w:val="baseline"/>
        <w:rPr>
          <w:rFonts w:ascii="Verdana" w:eastAsia="Times New Roman" w:hAnsi="Verdana" w:cs="Segoe UI"/>
          <w:sz w:val="18"/>
          <w:szCs w:val="18"/>
          <w:lang w:eastAsia="es-CO"/>
        </w:rPr>
      </w:pPr>
      <w:r w:rsidRPr="0044528D">
        <w:rPr>
          <w:rFonts w:ascii="Verdana" w:eastAsia="Times New Roman" w:hAnsi="Verdana" w:cs="Segoe UI"/>
          <w:lang w:eastAsia="es-CO"/>
        </w:rPr>
        <w:t> </w:t>
      </w:r>
    </w:p>
    <w:p w14:paraId="43BF5FD9" w14:textId="77777777" w:rsidR="00322A85" w:rsidRPr="0044528D" w:rsidRDefault="00322A85" w:rsidP="00322A85">
      <w:pPr>
        <w:spacing w:after="0" w:line="240" w:lineRule="auto"/>
        <w:textAlignment w:val="baseline"/>
        <w:rPr>
          <w:rFonts w:ascii="Verdana" w:eastAsia="Times New Roman" w:hAnsi="Verdana" w:cs="Segoe UI"/>
          <w:sz w:val="18"/>
          <w:szCs w:val="18"/>
          <w:lang w:eastAsia="es-CO"/>
        </w:rPr>
      </w:pPr>
      <w:r w:rsidRPr="0044528D">
        <w:rPr>
          <w:rFonts w:ascii="Verdana" w:eastAsia="Times New Roman" w:hAnsi="Verdana" w:cs="Segoe UI"/>
          <w:color w:val="404040"/>
          <w:lang w:eastAsia="es-CO"/>
        </w:rPr>
        <w:t> </w:t>
      </w:r>
    </w:p>
    <w:p w14:paraId="21C4051F" w14:textId="77777777" w:rsidR="00322A85" w:rsidRPr="0044528D" w:rsidRDefault="00322A85" w:rsidP="00322A85">
      <w:pPr>
        <w:spacing w:after="0" w:line="240" w:lineRule="auto"/>
        <w:jc w:val="both"/>
        <w:textAlignment w:val="baseline"/>
        <w:rPr>
          <w:rFonts w:ascii="Verdana" w:eastAsia="Times New Roman" w:hAnsi="Verdana" w:cs="Segoe UI"/>
          <w:sz w:val="18"/>
          <w:szCs w:val="18"/>
          <w:lang w:eastAsia="es-CO"/>
        </w:rPr>
      </w:pPr>
      <w:r w:rsidRPr="0044528D">
        <w:rPr>
          <w:rFonts w:ascii="Verdana" w:eastAsia="Times New Roman" w:hAnsi="Verdana" w:cs="Segoe UI"/>
          <w:lang w:eastAsia="es-CO"/>
        </w:rPr>
        <w:t> </w:t>
      </w:r>
    </w:p>
    <w:p w14:paraId="78053B45" w14:textId="77777777" w:rsidR="00322A85" w:rsidRPr="0044528D" w:rsidRDefault="00322A85" w:rsidP="00322A85">
      <w:pPr>
        <w:spacing w:after="0" w:line="240" w:lineRule="auto"/>
        <w:jc w:val="both"/>
        <w:textAlignment w:val="baseline"/>
        <w:rPr>
          <w:rFonts w:ascii="Verdana" w:eastAsia="Times New Roman" w:hAnsi="Verdana" w:cs="Segoe UI"/>
          <w:sz w:val="18"/>
          <w:szCs w:val="18"/>
          <w:lang w:eastAsia="es-CO"/>
        </w:rPr>
      </w:pPr>
      <w:r w:rsidRPr="0044528D">
        <w:rPr>
          <w:rFonts w:ascii="Verdana" w:eastAsia="Times New Roman" w:hAnsi="Verdana" w:cs="Segoe UI"/>
          <w:lang w:eastAsia="es-CO"/>
        </w:rPr>
        <w:t>  </w:t>
      </w:r>
    </w:p>
    <w:p w14:paraId="0F293BF4" w14:textId="7BBFAB11" w:rsidR="00127233" w:rsidRPr="0044528D" w:rsidRDefault="00127233" w:rsidP="00665D70">
      <w:pPr>
        <w:spacing w:after="0"/>
        <w:jc w:val="both"/>
        <w:rPr>
          <w:rFonts w:ascii="Verdana" w:hAnsi="Verdana"/>
        </w:rPr>
      </w:pPr>
    </w:p>
    <w:sectPr w:rsidR="00127233" w:rsidRPr="0044528D" w:rsidSect="007C0C0F">
      <w:headerReference w:type="default" r:id="rId14"/>
      <w:footerReference w:type="default" r:id="rId15"/>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1B78C" w14:textId="77777777" w:rsidR="00755EB4" w:rsidRDefault="00755EB4" w:rsidP="004A1847">
      <w:pPr>
        <w:spacing w:after="0" w:line="240" w:lineRule="auto"/>
      </w:pPr>
      <w:r>
        <w:separator/>
      </w:r>
    </w:p>
  </w:endnote>
  <w:endnote w:type="continuationSeparator" w:id="0">
    <w:p w14:paraId="0C76142C" w14:textId="77777777" w:rsidR="00755EB4" w:rsidRDefault="00755EB4" w:rsidP="004A1847">
      <w:pPr>
        <w:spacing w:after="0" w:line="240" w:lineRule="auto"/>
      </w:pPr>
      <w:r>
        <w:continuationSeparator/>
      </w:r>
    </w:p>
  </w:endnote>
  <w:endnote w:type="continuationNotice" w:id="1">
    <w:p w14:paraId="2E9180FE" w14:textId="77777777" w:rsidR="00755EB4" w:rsidRDefault="00755E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50AE0" w14:textId="77777777" w:rsidR="00755EB4" w:rsidRDefault="00755EB4" w:rsidP="004A1847">
      <w:pPr>
        <w:spacing w:after="0" w:line="240" w:lineRule="auto"/>
      </w:pPr>
      <w:r>
        <w:separator/>
      </w:r>
    </w:p>
  </w:footnote>
  <w:footnote w:type="continuationSeparator" w:id="0">
    <w:p w14:paraId="68AA9D24" w14:textId="77777777" w:rsidR="00755EB4" w:rsidRDefault="00755EB4" w:rsidP="004A1847">
      <w:pPr>
        <w:spacing w:after="0" w:line="240" w:lineRule="auto"/>
      </w:pPr>
      <w:r>
        <w:continuationSeparator/>
      </w:r>
    </w:p>
  </w:footnote>
  <w:footnote w:type="continuationNotice" w:id="1">
    <w:p w14:paraId="6F5857B8" w14:textId="77777777" w:rsidR="00755EB4" w:rsidRDefault="00755EB4">
      <w:pPr>
        <w:spacing w:after="0" w:line="240" w:lineRule="auto"/>
      </w:pPr>
    </w:p>
  </w:footnote>
  <w:footnote w:id="2">
    <w:p w14:paraId="38859F3C" w14:textId="77777777" w:rsidR="003D455F" w:rsidRPr="000D4DD3" w:rsidRDefault="003D455F" w:rsidP="003D455F">
      <w:pPr>
        <w:spacing w:after="0" w:line="240" w:lineRule="auto"/>
        <w:ind w:firstLine="709"/>
        <w:jc w:val="both"/>
        <w:rPr>
          <w:rFonts w:ascii="Verdana" w:hAnsi="Verdana" w:cs="Arial"/>
          <w:color w:val="000000"/>
          <w:sz w:val="10"/>
          <w:szCs w:val="10"/>
        </w:rPr>
      </w:pPr>
      <w:r w:rsidRPr="000D4DD3">
        <w:rPr>
          <w:rStyle w:val="Refdenotaalpie"/>
          <w:rFonts w:ascii="Verdana" w:hAnsi="Verdana" w:cs="Arial"/>
          <w:color w:val="000000"/>
          <w:sz w:val="10"/>
          <w:szCs w:val="10"/>
        </w:rPr>
        <w:footnoteRef/>
      </w:r>
      <w:r w:rsidRPr="000D4DD3">
        <w:rPr>
          <w:rFonts w:ascii="Verdana" w:hAnsi="Verdana" w:cs="Arial"/>
          <w:color w:val="000000"/>
          <w:sz w:val="10"/>
          <w:szCs w:val="10"/>
        </w:rPr>
        <w:t xml:space="preserve"> BARRETO MORENO, Antonio Alejandro. Inhabilidades de la contratación estatal, efectos y neopunitivismo en el Estatuto Anticorrupción. En: ALVIAR GARCÍA, Helena (Coordinadora). Nuevas tendencias del Derecho administrativo. Bogotá: Universidad de los Andes; Temis, 2016. pp. 63-99.</w:t>
      </w:r>
    </w:p>
    <w:p w14:paraId="793A8F65" w14:textId="77777777" w:rsidR="003D455F" w:rsidRPr="000D4DD3" w:rsidRDefault="003D455F" w:rsidP="003D455F">
      <w:pPr>
        <w:spacing w:after="0" w:line="240" w:lineRule="auto"/>
        <w:ind w:firstLine="709"/>
        <w:jc w:val="both"/>
        <w:rPr>
          <w:rFonts w:ascii="Verdana" w:hAnsi="Verdana" w:cs="Arial"/>
          <w:color w:val="000000"/>
          <w:sz w:val="10"/>
          <w:szCs w:val="10"/>
        </w:rPr>
      </w:pPr>
    </w:p>
  </w:footnote>
  <w:footnote w:id="3">
    <w:p w14:paraId="569C0449" w14:textId="77777777" w:rsidR="003D455F" w:rsidRPr="000D4DD3" w:rsidRDefault="003D455F" w:rsidP="003D455F">
      <w:pPr>
        <w:pStyle w:val="Textonotapie"/>
        <w:ind w:firstLine="709"/>
        <w:jc w:val="both"/>
        <w:rPr>
          <w:rFonts w:ascii="Verdana" w:hAnsi="Verdana" w:cs="Arial"/>
          <w:color w:val="000000"/>
          <w:sz w:val="10"/>
          <w:szCs w:val="10"/>
        </w:rPr>
      </w:pPr>
      <w:r w:rsidRPr="000D4DD3">
        <w:rPr>
          <w:rStyle w:val="Refdenotaalpie"/>
          <w:rFonts w:ascii="Verdana" w:hAnsi="Verdana" w:cs="Arial"/>
          <w:color w:val="000000"/>
          <w:sz w:val="10"/>
          <w:szCs w:val="10"/>
        </w:rPr>
        <w:footnoteRef/>
      </w:r>
      <w:r w:rsidRPr="000D4DD3">
        <w:rPr>
          <w:rFonts w:ascii="Verdana" w:hAnsi="Verdana" w:cs="Arial"/>
          <w:color w:val="000000"/>
          <w:sz w:val="10"/>
          <w:szCs w:val="10"/>
        </w:rPr>
        <w:t xml:space="preserve"> </w:t>
      </w:r>
      <w:proofErr w:type="spellStart"/>
      <w:r w:rsidRPr="000D4DD3">
        <w:rPr>
          <w:rFonts w:ascii="Verdana" w:hAnsi="Verdana" w:cs="Arial"/>
          <w:color w:val="000000"/>
          <w:sz w:val="10"/>
          <w:szCs w:val="10"/>
        </w:rPr>
        <w:t>Ibíd</w:t>
      </w:r>
      <w:proofErr w:type="spellEnd"/>
      <w:r w:rsidRPr="000D4DD3">
        <w:rPr>
          <w:rFonts w:ascii="Verdana" w:hAnsi="Verdana" w:cs="Arial"/>
          <w:color w:val="000000"/>
          <w:sz w:val="10"/>
          <w:szCs w:val="10"/>
        </w:rPr>
        <w:t>., p. 69</w:t>
      </w:r>
    </w:p>
    <w:p w14:paraId="3A5D4241" w14:textId="77777777" w:rsidR="003D455F" w:rsidRPr="000D4DD3" w:rsidRDefault="003D455F" w:rsidP="003D455F">
      <w:pPr>
        <w:pStyle w:val="Textonotapie"/>
        <w:ind w:firstLine="709"/>
        <w:jc w:val="both"/>
        <w:rPr>
          <w:rFonts w:ascii="Verdana" w:hAnsi="Verdana" w:cs="Arial"/>
          <w:color w:val="000000"/>
          <w:sz w:val="10"/>
          <w:szCs w:val="10"/>
        </w:rPr>
      </w:pPr>
    </w:p>
  </w:footnote>
  <w:footnote w:id="4">
    <w:p w14:paraId="26C39A5F" w14:textId="77777777" w:rsidR="003D455F" w:rsidRPr="000D4DD3" w:rsidRDefault="003D455F" w:rsidP="003D455F">
      <w:pPr>
        <w:pStyle w:val="Textonotapie"/>
        <w:ind w:firstLine="709"/>
        <w:jc w:val="both"/>
        <w:rPr>
          <w:rFonts w:ascii="Verdana" w:hAnsi="Verdana" w:cs="Arial"/>
          <w:color w:val="000000"/>
          <w:sz w:val="10"/>
          <w:szCs w:val="10"/>
        </w:rPr>
      </w:pPr>
      <w:r w:rsidRPr="000D4DD3">
        <w:rPr>
          <w:rStyle w:val="Refdenotaalpie"/>
          <w:rFonts w:ascii="Verdana" w:hAnsi="Verdana" w:cs="Arial"/>
          <w:color w:val="000000"/>
          <w:sz w:val="10"/>
          <w:szCs w:val="10"/>
        </w:rPr>
        <w:footnoteRef/>
      </w:r>
      <w:r w:rsidRPr="000D4DD3">
        <w:rPr>
          <w:rFonts w:ascii="Verdana" w:hAnsi="Verdana" w:cs="Arial"/>
          <w:color w:val="000000"/>
          <w:sz w:val="10"/>
          <w:szCs w:val="10"/>
        </w:rPr>
        <w:t xml:space="preserve"> Corte Constitucional. Sentencia T-1039 de 2006. Magistrado Ponente: Humberto Sierra Porto. La Corte ha mantenido este criterio en las sentencias: C-903 de 2008. Magistrado Ponente: Jaime Araujo Rentería; C-101 de 2018. Magistrada Ponente Gloria Stella Ortiz Delgado; entre otras.</w:t>
      </w:r>
    </w:p>
    <w:p w14:paraId="3905F16C" w14:textId="77777777" w:rsidR="003D455F" w:rsidRPr="000D4DD3" w:rsidRDefault="003D455F" w:rsidP="003D455F">
      <w:pPr>
        <w:pStyle w:val="Textonotapie"/>
        <w:ind w:firstLine="709"/>
        <w:jc w:val="both"/>
        <w:rPr>
          <w:rFonts w:ascii="Verdana" w:hAnsi="Verdana" w:cs="Arial"/>
          <w:color w:val="000000"/>
          <w:sz w:val="10"/>
          <w:szCs w:val="10"/>
        </w:rPr>
      </w:pPr>
    </w:p>
  </w:footnote>
  <w:footnote w:id="5">
    <w:p w14:paraId="340B9DF1" w14:textId="77777777" w:rsidR="003D455F" w:rsidRPr="000D4DD3" w:rsidRDefault="003D455F" w:rsidP="003D455F">
      <w:pPr>
        <w:pStyle w:val="Textonotapie"/>
        <w:ind w:firstLine="709"/>
        <w:jc w:val="both"/>
        <w:rPr>
          <w:rFonts w:ascii="Verdana" w:hAnsi="Verdana" w:cs="Arial"/>
          <w:color w:val="000000"/>
          <w:sz w:val="10"/>
          <w:szCs w:val="10"/>
        </w:rPr>
      </w:pPr>
      <w:r w:rsidRPr="000D4DD3">
        <w:rPr>
          <w:rStyle w:val="Refdenotaalpie"/>
          <w:rFonts w:ascii="Verdana" w:hAnsi="Verdana" w:cs="Arial"/>
          <w:color w:val="000000"/>
          <w:sz w:val="10"/>
          <w:szCs w:val="10"/>
        </w:rPr>
        <w:footnoteRef/>
      </w:r>
      <w:r w:rsidRPr="000D4DD3">
        <w:rPr>
          <w:rFonts w:ascii="Verdana" w:hAnsi="Verdana" w:cs="Arial"/>
          <w:color w:val="000000"/>
          <w:sz w:val="10"/>
          <w:szCs w:val="10"/>
        </w:rPr>
        <w:t xml:space="preserve"> Consejo de Estado. Sala de Consulta y Servicio Civil. Concepto del 30 de abril de 2015. Expediente: 2251. Consejero Ponente: Álvaro Namén Vargas.</w:t>
      </w:r>
    </w:p>
    <w:p w14:paraId="3CB6FAFF" w14:textId="77777777" w:rsidR="003D455F" w:rsidRPr="000D4DD3" w:rsidRDefault="003D455F" w:rsidP="003D455F">
      <w:pPr>
        <w:pStyle w:val="Textonotapie"/>
        <w:ind w:firstLine="709"/>
        <w:jc w:val="both"/>
        <w:rPr>
          <w:rFonts w:ascii="Verdana" w:hAnsi="Verdana" w:cs="Arial"/>
          <w:color w:val="000000"/>
          <w:sz w:val="10"/>
          <w:szCs w:val="10"/>
        </w:rPr>
      </w:pPr>
    </w:p>
  </w:footnote>
  <w:footnote w:id="6">
    <w:p w14:paraId="52C7D750" w14:textId="77777777" w:rsidR="003D455F" w:rsidRPr="000D4DD3" w:rsidRDefault="003D455F" w:rsidP="003D455F">
      <w:pPr>
        <w:spacing w:after="0" w:line="240" w:lineRule="auto"/>
        <w:ind w:firstLine="709"/>
        <w:jc w:val="both"/>
        <w:rPr>
          <w:rFonts w:ascii="Verdana" w:hAnsi="Verdana" w:cs="Arial"/>
          <w:color w:val="000000"/>
          <w:sz w:val="10"/>
          <w:szCs w:val="10"/>
        </w:rPr>
      </w:pPr>
      <w:r w:rsidRPr="000D4DD3">
        <w:rPr>
          <w:rStyle w:val="Refdenotaalpie"/>
          <w:rFonts w:ascii="Verdana" w:hAnsi="Verdana" w:cs="Arial"/>
          <w:color w:val="000000"/>
          <w:sz w:val="10"/>
          <w:szCs w:val="10"/>
        </w:rPr>
        <w:footnoteRef/>
      </w:r>
      <w:r w:rsidRPr="000D4DD3">
        <w:rPr>
          <w:rFonts w:ascii="Verdana" w:hAnsi="Verdana" w:cs="Arial"/>
          <w:color w:val="000000"/>
          <w:sz w:val="10"/>
          <w:szCs w:val="10"/>
        </w:rPr>
        <w:t xml:space="preserve"> Consejo</w:t>
      </w:r>
      <w:r w:rsidRPr="000D4DD3">
        <w:rPr>
          <w:rFonts w:ascii="Verdana" w:hAnsi="Verdana" w:cs="Arial"/>
          <w:color w:val="000000"/>
          <w:spacing w:val="12"/>
          <w:sz w:val="10"/>
          <w:szCs w:val="10"/>
        </w:rPr>
        <w:t xml:space="preserve"> </w:t>
      </w:r>
      <w:r w:rsidRPr="000D4DD3">
        <w:rPr>
          <w:rFonts w:ascii="Verdana" w:hAnsi="Verdana" w:cs="Arial"/>
          <w:color w:val="000000"/>
          <w:sz w:val="10"/>
          <w:szCs w:val="10"/>
        </w:rPr>
        <w:t>de</w:t>
      </w:r>
      <w:r w:rsidRPr="000D4DD3">
        <w:rPr>
          <w:rFonts w:ascii="Verdana" w:hAnsi="Verdana" w:cs="Arial"/>
          <w:color w:val="000000"/>
          <w:spacing w:val="11"/>
          <w:sz w:val="10"/>
          <w:szCs w:val="10"/>
        </w:rPr>
        <w:t xml:space="preserve"> </w:t>
      </w:r>
      <w:r w:rsidRPr="000D4DD3">
        <w:rPr>
          <w:rFonts w:ascii="Verdana" w:hAnsi="Verdana" w:cs="Arial"/>
          <w:color w:val="000000"/>
          <w:sz w:val="10"/>
          <w:szCs w:val="10"/>
        </w:rPr>
        <w:t>Estado.</w:t>
      </w:r>
      <w:r w:rsidRPr="000D4DD3">
        <w:rPr>
          <w:rFonts w:ascii="Verdana" w:hAnsi="Verdana" w:cs="Arial"/>
          <w:color w:val="000000"/>
          <w:spacing w:val="12"/>
          <w:sz w:val="10"/>
          <w:szCs w:val="10"/>
        </w:rPr>
        <w:t xml:space="preserve"> </w:t>
      </w:r>
      <w:r w:rsidRPr="000D4DD3">
        <w:rPr>
          <w:rFonts w:ascii="Verdana" w:hAnsi="Verdana" w:cs="Arial"/>
          <w:color w:val="000000"/>
          <w:sz w:val="10"/>
          <w:szCs w:val="10"/>
        </w:rPr>
        <w:t>Sección</w:t>
      </w:r>
      <w:r w:rsidRPr="000D4DD3">
        <w:rPr>
          <w:rFonts w:ascii="Verdana" w:hAnsi="Verdana" w:cs="Arial"/>
          <w:color w:val="000000"/>
          <w:spacing w:val="12"/>
          <w:sz w:val="10"/>
          <w:szCs w:val="10"/>
        </w:rPr>
        <w:t xml:space="preserve"> </w:t>
      </w:r>
      <w:r w:rsidRPr="000D4DD3">
        <w:rPr>
          <w:rFonts w:ascii="Verdana" w:hAnsi="Verdana" w:cs="Arial"/>
          <w:color w:val="000000"/>
          <w:sz w:val="10"/>
          <w:szCs w:val="10"/>
        </w:rPr>
        <w:t>Tercera.</w:t>
      </w:r>
      <w:r w:rsidRPr="000D4DD3">
        <w:rPr>
          <w:rFonts w:ascii="Verdana" w:hAnsi="Verdana" w:cs="Arial"/>
          <w:color w:val="000000"/>
          <w:spacing w:val="12"/>
          <w:sz w:val="10"/>
          <w:szCs w:val="10"/>
        </w:rPr>
        <w:t xml:space="preserve"> </w:t>
      </w:r>
      <w:r w:rsidRPr="000D4DD3">
        <w:rPr>
          <w:rFonts w:ascii="Verdana" w:hAnsi="Verdana" w:cs="Arial"/>
          <w:color w:val="000000"/>
          <w:sz w:val="10"/>
          <w:szCs w:val="10"/>
        </w:rPr>
        <w:t>Subsección</w:t>
      </w:r>
      <w:r w:rsidRPr="000D4DD3">
        <w:rPr>
          <w:rFonts w:ascii="Verdana" w:hAnsi="Verdana" w:cs="Arial"/>
          <w:color w:val="000000"/>
          <w:spacing w:val="13"/>
          <w:sz w:val="10"/>
          <w:szCs w:val="10"/>
        </w:rPr>
        <w:t xml:space="preserve"> </w:t>
      </w:r>
      <w:r w:rsidRPr="000D4DD3">
        <w:rPr>
          <w:rFonts w:ascii="Verdana" w:hAnsi="Verdana" w:cs="Arial"/>
          <w:color w:val="000000"/>
          <w:sz w:val="10"/>
          <w:szCs w:val="10"/>
        </w:rPr>
        <w:t>A.</w:t>
      </w:r>
      <w:r w:rsidRPr="000D4DD3">
        <w:rPr>
          <w:rFonts w:ascii="Verdana" w:hAnsi="Verdana" w:cs="Arial"/>
          <w:color w:val="000000"/>
          <w:spacing w:val="12"/>
          <w:sz w:val="10"/>
          <w:szCs w:val="10"/>
        </w:rPr>
        <w:t xml:space="preserve"> </w:t>
      </w:r>
      <w:r w:rsidRPr="000D4DD3">
        <w:rPr>
          <w:rFonts w:ascii="Verdana" w:hAnsi="Verdana" w:cs="Arial"/>
          <w:color w:val="000000"/>
          <w:sz w:val="10"/>
          <w:szCs w:val="10"/>
        </w:rPr>
        <w:t>Sentencia</w:t>
      </w:r>
      <w:r w:rsidRPr="000D4DD3">
        <w:rPr>
          <w:rFonts w:ascii="Verdana" w:hAnsi="Verdana" w:cs="Arial"/>
          <w:color w:val="000000"/>
          <w:spacing w:val="13"/>
          <w:sz w:val="10"/>
          <w:szCs w:val="10"/>
        </w:rPr>
        <w:t xml:space="preserve"> </w:t>
      </w:r>
      <w:r w:rsidRPr="000D4DD3">
        <w:rPr>
          <w:rFonts w:ascii="Verdana" w:hAnsi="Verdana" w:cs="Arial"/>
          <w:color w:val="000000"/>
          <w:sz w:val="10"/>
          <w:szCs w:val="10"/>
        </w:rPr>
        <w:t>del</w:t>
      </w:r>
      <w:r w:rsidRPr="000D4DD3">
        <w:rPr>
          <w:rFonts w:ascii="Verdana" w:hAnsi="Verdana" w:cs="Arial"/>
          <w:color w:val="000000"/>
          <w:spacing w:val="11"/>
          <w:sz w:val="10"/>
          <w:szCs w:val="10"/>
        </w:rPr>
        <w:t xml:space="preserve"> </w:t>
      </w:r>
      <w:r w:rsidRPr="000D4DD3">
        <w:rPr>
          <w:rFonts w:ascii="Verdana" w:hAnsi="Verdana" w:cs="Arial"/>
          <w:color w:val="000000"/>
          <w:sz w:val="10"/>
          <w:szCs w:val="10"/>
        </w:rPr>
        <w:t>24</w:t>
      </w:r>
      <w:r w:rsidRPr="000D4DD3">
        <w:rPr>
          <w:rFonts w:ascii="Verdana" w:hAnsi="Verdana" w:cs="Arial"/>
          <w:color w:val="000000"/>
          <w:spacing w:val="11"/>
          <w:sz w:val="10"/>
          <w:szCs w:val="10"/>
        </w:rPr>
        <w:t xml:space="preserve"> </w:t>
      </w:r>
      <w:r w:rsidRPr="000D4DD3">
        <w:rPr>
          <w:rFonts w:ascii="Verdana" w:hAnsi="Verdana" w:cs="Arial"/>
          <w:color w:val="000000"/>
          <w:sz w:val="10"/>
          <w:szCs w:val="10"/>
        </w:rPr>
        <w:t>de</w:t>
      </w:r>
      <w:r w:rsidRPr="000D4DD3">
        <w:rPr>
          <w:rFonts w:ascii="Verdana" w:hAnsi="Verdana" w:cs="Arial"/>
          <w:color w:val="000000"/>
          <w:spacing w:val="11"/>
          <w:sz w:val="10"/>
          <w:szCs w:val="10"/>
        </w:rPr>
        <w:t xml:space="preserve"> </w:t>
      </w:r>
      <w:r w:rsidRPr="000D4DD3">
        <w:rPr>
          <w:rFonts w:ascii="Verdana" w:hAnsi="Verdana" w:cs="Arial"/>
          <w:color w:val="000000"/>
          <w:sz w:val="10"/>
          <w:szCs w:val="10"/>
        </w:rPr>
        <w:t>junio</w:t>
      </w:r>
      <w:r w:rsidRPr="000D4DD3">
        <w:rPr>
          <w:rFonts w:ascii="Verdana" w:hAnsi="Verdana" w:cs="Arial"/>
          <w:color w:val="000000"/>
          <w:spacing w:val="11"/>
          <w:sz w:val="10"/>
          <w:szCs w:val="10"/>
        </w:rPr>
        <w:t xml:space="preserve"> </w:t>
      </w:r>
      <w:r w:rsidRPr="000D4DD3">
        <w:rPr>
          <w:rFonts w:ascii="Verdana" w:hAnsi="Verdana" w:cs="Arial"/>
          <w:color w:val="000000"/>
          <w:sz w:val="10"/>
          <w:szCs w:val="10"/>
        </w:rPr>
        <w:t>de</w:t>
      </w:r>
      <w:r w:rsidRPr="000D4DD3">
        <w:rPr>
          <w:rFonts w:ascii="Verdana" w:hAnsi="Verdana" w:cs="Arial"/>
          <w:color w:val="000000"/>
          <w:spacing w:val="11"/>
          <w:sz w:val="10"/>
          <w:szCs w:val="10"/>
        </w:rPr>
        <w:t xml:space="preserve"> </w:t>
      </w:r>
      <w:r w:rsidRPr="000D4DD3">
        <w:rPr>
          <w:rFonts w:ascii="Verdana" w:hAnsi="Verdana" w:cs="Arial"/>
          <w:color w:val="000000"/>
          <w:sz w:val="10"/>
          <w:szCs w:val="10"/>
        </w:rPr>
        <w:t>2015.</w:t>
      </w:r>
      <w:r w:rsidRPr="000D4DD3">
        <w:rPr>
          <w:rFonts w:ascii="Verdana" w:hAnsi="Verdana" w:cs="Arial"/>
          <w:color w:val="000000"/>
          <w:spacing w:val="1"/>
          <w:sz w:val="10"/>
          <w:szCs w:val="10"/>
        </w:rPr>
        <w:t xml:space="preserve"> </w:t>
      </w:r>
      <w:r w:rsidRPr="000D4DD3">
        <w:rPr>
          <w:rFonts w:ascii="Verdana" w:hAnsi="Verdana" w:cs="Arial"/>
          <w:color w:val="000000"/>
          <w:sz w:val="10"/>
          <w:szCs w:val="10"/>
        </w:rPr>
        <w:t>Exp.</w:t>
      </w:r>
      <w:r w:rsidRPr="000D4DD3">
        <w:rPr>
          <w:rFonts w:ascii="Verdana" w:hAnsi="Verdana" w:cs="Arial"/>
          <w:color w:val="000000"/>
          <w:spacing w:val="-2"/>
          <w:sz w:val="10"/>
          <w:szCs w:val="10"/>
        </w:rPr>
        <w:t xml:space="preserve"> </w:t>
      </w:r>
      <w:r w:rsidRPr="000D4DD3">
        <w:rPr>
          <w:rFonts w:ascii="Verdana" w:hAnsi="Verdana" w:cs="Arial"/>
          <w:color w:val="000000"/>
          <w:sz w:val="10"/>
          <w:szCs w:val="10"/>
        </w:rPr>
        <w:t>40.635.</w:t>
      </w:r>
      <w:r w:rsidRPr="000D4DD3">
        <w:rPr>
          <w:rFonts w:ascii="Verdana" w:hAnsi="Verdana" w:cs="Arial"/>
          <w:color w:val="000000"/>
          <w:spacing w:val="-2"/>
          <w:sz w:val="10"/>
          <w:szCs w:val="10"/>
        </w:rPr>
        <w:t xml:space="preserve"> </w:t>
      </w:r>
      <w:r w:rsidRPr="000D4DD3">
        <w:rPr>
          <w:rFonts w:ascii="Verdana" w:hAnsi="Verdana" w:cs="Arial"/>
          <w:color w:val="000000"/>
          <w:sz w:val="10"/>
          <w:szCs w:val="10"/>
        </w:rPr>
        <w:t>Consejero</w:t>
      </w:r>
      <w:r w:rsidRPr="000D4DD3">
        <w:rPr>
          <w:rFonts w:ascii="Verdana" w:hAnsi="Verdana" w:cs="Arial"/>
          <w:color w:val="000000"/>
          <w:spacing w:val="-1"/>
          <w:sz w:val="10"/>
          <w:szCs w:val="10"/>
        </w:rPr>
        <w:t xml:space="preserve"> </w:t>
      </w:r>
      <w:r w:rsidRPr="000D4DD3">
        <w:rPr>
          <w:rFonts w:ascii="Verdana" w:hAnsi="Verdana" w:cs="Arial"/>
          <w:color w:val="000000"/>
          <w:sz w:val="10"/>
          <w:szCs w:val="10"/>
        </w:rPr>
        <w:t>Ponente:</w:t>
      </w:r>
      <w:r w:rsidRPr="000D4DD3">
        <w:rPr>
          <w:rFonts w:ascii="Verdana" w:hAnsi="Verdana" w:cs="Arial"/>
          <w:color w:val="000000"/>
          <w:spacing w:val="-2"/>
          <w:sz w:val="10"/>
          <w:szCs w:val="10"/>
        </w:rPr>
        <w:t xml:space="preserve"> </w:t>
      </w:r>
      <w:r w:rsidRPr="000D4DD3">
        <w:rPr>
          <w:rFonts w:ascii="Verdana" w:hAnsi="Verdana" w:cs="Arial"/>
          <w:color w:val="000000"/>
          <w:sz w:val="10"/>
          <w:szCs w:val="10"/>
        </w:rPr>
        <w:t>Hernán</w:t>
      </w:r>
      <w:r w:rsidRPr="000D4DD3">
        <w:rPr>
          <w:rFonts w:ascii="Verdana" w:hAnsi="Verdana" w:cs="Arial"/>
          <w:color w:val="000000"/>
          <w:spacing w:val="-1"/>
          <w:sz w:val="10"/>
          <w:szCs w:val="10"/>
        </w:rPr>
        <w:t xml:space="preserve"> </w:t>
      </w:r>
      <w:r w:rsidRPr="000D4DD3">
        <w:rPr>
          <w:rFonts w:ascii="Verdana" w:hAnsi="Verdana" w:cs="Arial"/>
          <w:color w:val="000000"/>
          <w:sz w:val="10"/>
          <w:szCs w:val="10"/>
        </w:rPr>
        <w:t>Andrade</w:t>
      </w:r>
      <w:r w:rsidRPr="000D4DD3">
        <w:rPr>
          <w:rFonts w:ascii="Verdana" w:hAnsi="Verdana" w:cs="Arial"/>
          <w:color w:val="000000"/>
          <w:spacing w:val="-2"/>
          <w:sz w:val="10"/>
          <w:szCs w:val="10"/>
        </w:rPr>
        <w:t xml:space="preserve"> </w:t>
      </w:r>
      <w:r w:rsidRPr="000D4DD3">
        <w:rPr>
          <w:rFonts w:ascii="Verdana" w:hAnsi="Verdana" w:cs="Arial"/>
          <w:color w:val="000000"/>
          <w:sz w:val="10"/>
          <w:szCs w:val="10"/>
        </w:rPr>
        <w:t>Rincón</w:t>
      </w:r>
      <w:r w:rsidRPr="000D4DD3">
        <w:rPr>
          <w:rFonts w:ascii="Verdana" w:hAnsi="Verdana" w:cs="Arial"/>
          <w:color w:val="000000"/>
          <w:spacing w:val="-1"/>
          <w:sz w:val="10"/>
          <w:szCs w:val="10"/>
        </w:rPr>
        <w:t xml:space="preserve"> </w:t>
      </w:r>
      <w:r w:rsidRPr="000D4DD3">
        <w:rPr>
          <w:rFonts w:ascii="Verdana" w:hAnsi="Verdana" w:cs="Arial"/>
          <w:color w:val="000000"/>
          <w:sz w:val="10"/>
          <w:szCs w:val="10"/>
        </w:rPr>
        <w:t>(E).</w:t>
      </w:r>
    </w:p>
    <w:p w14:paraId="579BE743" w14:textId="77777777" w:rsidR="003D455F" w:rsidRPr="000D4DD3" w:rsidRDefault="003D455F" w:rsidP="003D455F">
      <w:pPr>
        <w:pStyle w:val="Textonotapie"/>
        <w:ind w:firstLine="709"/>
        <w:jc w:val="both"/>
        <w:rPr>
          <w:rFonts w:ascii="Verdana" w:hAnsi="Verdana" w:cs="Arial"/>
          <w:color w:val="000000"/>
          <w:sz w:val="10"/>
          <w:szCs w:val="10"/>
        </w:rPr>
      </w:pPr>
    </w:p>
  </w:footnote>
  <w:footnote w:id="7">
    <w:p w14:paraId="1303CEF5" w14:textId="77777777" w:rsidR="003D455F" w:rsidRPr="000D4DD3" w:rsidRDefault="003D455F" w:rsidP="003D455F">
      <w:pPr>
        <w:pStyle w:val="Textonotapie"/>
        <w:ind w:firstLine="709"/>
        <w:jc w:val="both"/>
        <w:rPr>
          <w:rFonts w:ascii="Verdana" w:hAnsi="Verdana" w:cs="Arial"/>
          <w:color w:val="000000"/>
          <w:sz w:val="10"/>
          <w:szCs w:val="10"/>
        </w:rPr>
      </w:pPr>
      <w:r w:rsidRPr="000D4DD3">
        <w:rPr>
          <w:rStyle w:val="Refdenotaalpie"/>
          <w:rFonts w:ascii="Verdana" w:hAnsi="Verdana" w:cs="Arial"/>
          <w:color w:val="000000"/>
          <w:sz w:val="10"/>
          <w:szCs w:val="10"/>
        </w:rPr>
        <w:footnoteRef/>
      </w:r>
      <w:r w:rsidRPr="000D4DD3">
        <w:rPr>
          <w:rFonts w:ascii="Verdana" w:hAnsi="Verdana" w:cs="Arial"/>
          <w:color w:val="000000"/>
          <w:sz w:val="10"/>
          <w:szCs w:val="10"/>
        </w:rPr>
        <w:t xml:space="preserve"> Consejo de Estado. Sección Tercera. Subsección C. Sentencia del 22 de mayo de 2013. Exp. 24.057. Consejera Ponente: Olga </w:t>
      </w:r>
      <w:proofErr w:type="spellStart"/>
      <w:r w:rsidRPr="000D4DD3">
        <w:rPr>
          <w:rFonts w:ascii="Verdana" w:hAnsi="Verdana" w:cs="Arial"/>
          <w:color w:val="000000"/>
          <w:sz w:val="10"/>
          <w:szCs w:val="10"/>
        </w:rPr>
        <w:t>Melida</w:t>
      </w:r>
      <w:proofErr w:type="spellEnd"/>
      <w:r w:rsidRPr="000D4DD3">
        <w:rPr>
          <w:rFonts w:ascii="Verdana" w:hAnsi="Verdana" w:cs="Arial"/>
          <w:color w:val="000000"/>
          <w:sz w:val="10"/>
          <w:szCs w:val="10"/>
        </w:rPr>
        <w:t xml:space="preserve"> Valle De La Hoz.</w:t>
      </w:r>
    </w:p>
    <w:p w14:paraId="142749C6" w14:textId="77777777" w:rsidR="003D455F" w:rsidRPr="000D4DD3" w:rsidRDefault="003D455F" w:rsidP="003D455F">
      <w:pPr>
        <w:pStyle w:val="Textonotapie"/>
        <w:ind w:firstLine="709"/>
        <w:jc w:val="both"/>
        <w:rPr>
          <w:rFonts w:ascii="Verdana" w:hAnsi="Verdana" w:cs="Arial"/>
          <w:color w:val="000000"/>
          <w:sz w:val="10"/>
          <w:szCs w:val="10"/>
          <w:lang w:val="es-ES"/>
        </w:rPr>
      </w:pPr>
    </w:p>
  </w:footnote>
  <w:footnote w:id="8">
    <w:p w14:paraId="4245F052" w14:textId="77777777" w:rsidR="003D455F" w:rsidRPr="000D4DD3" w:rsidRDefault="003D455F" w:rsidP="003D455F">
      <w:pPr>
        <w:pStyle w:val="Textonotapie"/>
        <w:ind w:firstLine="709"/>
        <w:jc w:val="both"/>
        <w:rPr>
          <w:rFonts w:ascii="Verdana" w:hAnsi="Verdana" w:cs="Arial"/>
          <w:color w:val="000000"/>
          <w:sz w:val="10"/>
          <w:szCs w:val="10"/>
        </w:rPr>
      </w:pPr>
      <w:r w:rsidRPr="000D4DD3">
        <w:rPr>
          <w:rStyle w:val="Refdenotaalpie"/>
          <w:rFonts w:ascii="Verdana" w:hAnsi="Verdana" w:cs="Arial"/>
          <w:color w:val="000000"/>
          <w:sz w:val="10"/>
          <w:szCs w:val="10"/>
        </w:rPr>
        <w:footnoteRef/>
      </w:r>
      <w:r w:rsidRPr="000D4DD3">
        <w:rPr>
          <w:rFonts w:ascii="Verdana" w:hAnsi="Verdana" w:cs="Arial"/>
          <w:color w:val="000000"/>
          <w:sz w:val="10"/>
          <w:szCs w:val="10"/>
        </w:rPr>
        <w:t xml:space="preserve"> Sentencia C- 373 de 2002,  Magistrado ponente Jaime Córdoba Triviño; sentencia C-325 de 2009, Magistrado ponente  Gabriel Eduardo Mendoza Martelo.</w:t>
      </w:r>
    </w:p>
    <w:p w14:paraId="102146E5" w14:textId="77777777" w:rsidR="003D455F" w:rsidRPr="000D4DD3" w:rsidRDefault="003D455F" w:rsidP="003D455F">
      <w:pPr>
        <w:pStyle w:val="Textonotapie"/>
        <w:ind w:firstLine="709"/>
        <w:jc w:val="both"/>
        <w:rPr>
          <w:rFonts w:ascii="Verdana" w:hAnsi="Verdana" w:cs="Arial"/>
          <w:color w:val="000000"/>
          <w:sz w:val="10"/>
          <w:szCs w:val="10"/>
        </w:rPr>
      </w:pPr>
    </w:p>
  </w:footnote>
  <w:footnote w:id="9">
    <w:p w14:paraId="67A96F25" w14:textId="77777777" w:rsidR="003D455F" w:rsidRPr="000D4DD3" w:rsidRDefault="003D455F" w:rsidP="003D455F">
      <w:pPr>
        <w:pStyle w:val="Textonotapie"/>
        <w:ind w:firstLine="709"/>
        <w:jc w:val="both"/>
        <w:rPr>
          <w:rFonts w:ascii="Verdana" w:hAnsi="Verdana" w:cs="Arial"/>
          <w:color w:val="000000"/>
          <w:sz w:val="10"/>
          <w:szCs w:val="10"/>
        </w:rPr>
      </w:pPr>
      <w:r w:rsidRPr="000D4DD3">
        <w:rPr>
          <w:rStyle w:val="Refdenotaalpie"/>
          <w:rFonts w:ascii="Verdana" w:hAnsi="Verdana" w:cs="Arial"/>
          <w:color w:val="000000"/>
          <w:sz w:val="10"/>
          <w:szCs w:val="10"/>
        </w:rPr>
        <w:footnoteRef/>
      </w:r>
      <w:r w:rsidRPr="000D4DD3">
        <w:rPr>
          <w:rFonts w:ascii="Verdana" w:hAnsi="Verdana" w:cs="Arial"/>
          <w:color w:val="000000"/>
          <w:sz w:val="10"/>
          <w:szCs w:val="10"/>
        </w:rPr>
        <w:t xml:space="preserve"> Sentencia 00111 del 13 de junio de 2019 del Consejo de Estado, Sala de  lo Contencioso Administrativo, Sección Quinta  00111 del 13 de junio de 2019, Consejera ponente Rocío Araújo Oñate.</w:t>
      </w:r>
    </w:p>
  </w:footnote>
  <w:footnote w:id="10">
    <w:p w14:paraId="6A19C1DE" w14:textId="77777777" w:rsidR="003D455F" w:rsidRPr="000D4DD3" w:rsidRDefault="003D455F" w:rsidP="003D455F">
      <w:pPr>
        <w:pStyle w:val="Textonotapie"/>
        <w:ind w:firstLine="709"/>
        <w:jc w:val="both"/>
        <w:rPr>
          <w:rFonts w:ascii="Verdana" w:hAnsi="Verdana" w:cs="Arial"/>
          <w:color w:val="000000"/>
          <w:sz w:val="10"/>
          <w:szCs w:val="10"/>
        </w:rPr>
      </w:pPr>
      <w:r w:rsidRPr="000D4DD3">
        <w:rPr>
          <w:rStyle w:val="Refdenotaalpie"/>
          <w:rFonts w:ascii="Verdana" w:hAnsi="Verdana" w:cs="Arial"/>
          <w:color w:val="000000"/>
          <w:sz w:val="10"/>
          <w:szCs w:val="10"/>
        </w:rPr>
        <w:footnoteRef/>
      </w:r>
      <w:r w:rsidRPr="000D4DD3">
        <w:rPr>
          <w:rFonts w:ascii="Verdana" w:hAnsi="Verdana" w:cs="Arial"/>
          <w:color w:val="000000"/>
          <w:sz w:val="10"/>
          <w:szCs w:val="10"/>
        </w:rPr>
        <w:t xml:space="preserve"> </w:t>
      </w:r>
      <w:r w:rsidRPr="000D4DD3">
        <w:rPr>
          <w:rFonts w:ascii="Verdana" w:hAnsi="Verdana" w:cs="Arial"/>
          <w:i/>
          <w:iCs/>
          <w:color w:val="000000"/>
          <w:sz w:val="10"/>
          <w:szCs w:val="10"/>
        </w:rPr>
        <w:t>Ibid</w:t>
      </w:r>
      <w:r w:rsidRPr="000D4DD3">
        <w:rPr>
          <w:rFonts w:ascii="Verdana" w:hAnsi="Verdana" w:cs="Arial"/>
          <w:color w:val="000000"/>
          <w:sz w:val="10"/>
          <w:szCs w:val="10"/>
        </w:rPr>
        <w:t xml:space="preserve">. </w:t>
      </w:r>
    </w:p>
    <w:p w14:paraId="792F6345" w14:textId="77777777" w:rsidR="003D455F" w:rsidRPr="000D4DD3" w:rsidRDefault="003D455F" w:rsidP="003D455F">
      <w:pPr>
        <w:pStyle w:val="Textonotapie"/>
        <w:ind w:firstLine="709"/>
        <w:jc w:val="both"/>
        <w:rPr>
          <w:rFonts w:ascii="Verdana" w:hAnsi="Verdana" w:cs="Arial"/>
          <w:color w:val="000000"/>
          <w:sz w:val="10"/>
          <w:szCs w:val="1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8BA6D35"/>
    <w:multiLevelType w:val="hybridMultilevel"/>
    <w:tmpl w:val="132012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726F5"/>
    <w:multiLevelType w:val="hybridMultilevel"/>
    <w:tmpl w:val="A77E244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5E2B5288"/>
    <w:multiLevelType w:val="hybridMultilevel"/>
    <w:tmpl w:val="2690AA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F0422BB"/>
    <w:multiLevelType w:val="hybridMultilevel"/>
    <w:tmpl w:val="676AB1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48779781">
    <w:abstractNumId w:val="6"/>
  </w:num>
  <w:num w:numId="2" w16cid:durableId="19822139">
    <w:abstractNumId w:val="1"/>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1"/>
  </w:num>
  <w:num w:numId="6" w16cid:durableId="316692925">
    <w:abstractNumId w:val="14"/>
  </w:num>
  <w:num w:numId="7" w16cid:durableId="1946422806">
    <w:abstractNumId w:val="5"/>
  </w:num>
  <w:num w:numId="8" w16cid:durableId="152644682">
    <w:abstractNumId w:val="13"/>
  </w:num>
  <w:num w:numId="9" w16cid:durableId="1317221377">
    <w:abstractNumId w:val="7"/>
  </w:num>
  <w:num w:numId="10" w16cid:durableId="1471245386">
    <w:abstractNumId w:val="12"/>
  </w:num>
  <w:num w:numId="11" w16cid:durableId="289172385">
    <w:abstractNumId w:val="8"/>
  </w:num>
  <w:num w:numId="12" w16cid:durableId="1470781324">
    <w:abstractNumId w:val="0"/>
  </w:num>
  <w:num w:numId="13" w16cid:durableId="1512908409">
    <w:abstractNumId w:val="3"/>
  </w:num>
  <w:num w:numId="14" w16cid:durableId="895897244">
    <w:abstractNumId w:val="15"/>
  </w:num>
  <w:num w:numId="15" w16cid:durableId="390349800">
    <w:abstractNumId w:val="11"/>
  </w:num>
  <w:num w:numId="16" w16cid:durableId="679089576">
    <w:abstractNumId w:val="9"/>
  </w:num>
  <w:num w:numId="17" w16cid:durableId="336813632">
    <w:abstractNumId w:val="2"/>
  </w:num>
  <w:num w:numId="18" w16cid:durableId="706025072">
    <w:abstractNumId w:val="16"/>
  </w:num>
  <w:num w:numId="19" w16cid:durableId="11405401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4F12"/>
    <w:rsid w:val="00016201"/>
    <w:rsid w:val="000317EB"/>
    <w:rsid w:val="000463BD"/>
    <w:rsid w:val="00061B2A"/>
    <w:rsid w:val="0006707B"/>
    <w:rsid w:val="00082362"/>
    <w:rsid w:val="000A683E"/>
    <w:rsid w:val="000B19B9"/>
    <w:rsid w:val="000D0334"/>
    <w:rsid w:val="000F6486"/>
    <w:rsid w:val="001131E7"/>
    <w:rsid w:val="00125105"/>
    <w:rsid w:val="00127233"/>
    <w:rsid w:val="001E1CB9"/>
    <w:rsid w:val="001E4177"/>
    <w:rsid w:val="001F7DC6"/>
    <w:rsid w:val="002420F9"/>
    <w:rsid w:val="002421BB"/>
    <w:rsid w:val="0025796E"/>
    <w:rsid w:val="002707A2"/>
    <w:rsid w:val="002951A0"/>
    <w:rsid w:val="002962BC"/>
    <w:rsid w:val="002A093D"/>
    <w:rsid w:val="002A0DD0"/>
    <w:rsid w:val="002A49AC"/>
    <w:rsid w:val="002A64FD"/>
    <w:rsid w:val="002C7A84"/>
    <w:rsid w:val="002D6DCC"/>
    <w:rsid w:val="002E4FD9"/>
    <w:rsid w:val="00322A85"/>
    <w:rsid w:val="00324168"/>
    <w:rsid w:val="00336176"/>
    <w:rsid w:val="003448F4"/>
    <w:rsid w:val="00351B9A"/>
    <w:rsid w:val="00355CCF"/>
    <w:rsid w:val="00361A36"/>
    <w:rsid w:val="00374F5E"/>
    <w:rsid w:val="00377E3E"/>
    <w:rsid w:val="003A26D1"/>
    <w:rsid w:val="003A779E"/>
    <w:rsid w:val="003D0F4D"/>
    <w:rsid w:val="003D455F"/>
    <w:rsid w:val="003D5B0D"/>
    <w:rsid w:val="003E0499"/>
    <w:rsid w:val="003F3941"/>
    <w:rsid w:val="003F442B"/>
    <w:rsid w:val="00406575"/>
    <w:rsid w:val="0042722E"/>
    <w:rsid w:val="0044528D"/>
    <w:rsid w:val="004A1847"/>
    <w:rsid w:val="004A305D"/>
    <w:rsid w:val="004F21C4"/>
    <w:rsid w:val="004F685F"/>
    <w:rsid w:val="005566E8"/>
    <w:rsid w:val="00574867"/>
    <w:rsid w:val="00591460"/>
    <w:rsid w:val="00592628"/>
    <w:rsid w:val="005C3777"/>
    <w:rsid w:val="005C5CDC"/>
    <w:rsid w:val="005D476C"/>
    <w:rsid w:val="00601A2A"/>
    <w:rsid w:val="00610812"/>
    <w:rsid w:val="006219F8"/>
    <w:rsid w:val="0063155F"/>
    <w:rsid w:val="00650FF7"/>
    <w:rsid w:val="006654D5"/>
    <w:rsid w:val="00665D70"/>
    <w:rsid w:val="00671DAC"/>
    <w:rsid w:val="006900D9"/>
    <w:rsid w:val="006D12F8"/>
    <w:rsid w:val="00706C16"/>
    <w:rsid w:val="00755EB4"/>
    <w:rsid w:val="00756841"/>
    <w:rsid w:val="007649AB"/>
    <w:rsid w:val="00771D0C"/>
    <w:rsid w:val="007833AC"/>
    <w:rsid w:val="007B268C"/>
    <w:rsid w:val="007B7171"/>
    <w:rsid w:val="007C0C0F"/>
    <w:rsid w:val="007C3DC2"/>
    <w:rsid w:val="007D5413"/>
    <w:rsid w:val="007E5497"/>
    <w:rsid w:val="00806F5F"/>
    <w:rsid w:val="00820278"/>
    <w:rsid w:val="008843B6"/>
    <w:rsid w:val="00891928"/>
    <w:rsid w:val="008A446D"/>
    <w:rsid w:val="008D180B"/>
    <w:rsid w:val="008F0EA7"/>
    <w:rsid w:val="00923EEF"/>
    <w:rsid w:val="0093582B"/>
    <w:rsid w:val="009419F9"/>
    <w:rsid w:val="0095685E"/>
    <w:rsid w:val="00961B09"/>
    <w:rsid w:val="00965334"/>
    <w:rsid w:val="0097093E"/>
    <w:rsid w:val="009A0DFA"/>
    <w:rsid w:val="009B2D26"/>
    <w:rsid w:val="009C71FA"/>
    <w:rsid w:val="009C72E7"/>
    <w:rsid w:val="009D3058"/>
    <w:rsid w:val="009D5164"/>
    <w:rsid w:val="009F3A13"/>
    <w:rsid w:val="00A122D3"/>
    <w:rsid w:val="00A17F13"/>
    <w:rsid w:val="00A20739"/>
    <w:rsid w:val="00A33C78"/>
    <w:rsid w:val="00AB0ADB"/>
    <w:rsid w:val="00AF64B0"/>
    <w:rsid w:val="00B01B1A"/>
    <w:rsid w:val="00B142BF"/>
    <w:rsid w:val="00B145BF"/>
    <w:rsid w:val="00B55482"/>
    <w:rsid w:val="00B72CD3"/>
    <w:rsid w:val="00B72FFF"/>
    <w:rsid w:val="00BC3D36"/>
    <w:rsid w:val="00BD7F72"/>
    <w:rsid w:val="00C04FB3"/>
    <w:rsid w:val="00C330EB"/>
    <w:rsid w:val="00C754BE"/>
    <w:rsid w:val="00C76B1C"/>
    <w:rsid w:val="00CA1D7F"/>
    <w:rsid w:val="00CB6357"/>
    <w:rsid w:val="00CC1B26"/>
    <w:rsid w:val="00D423A2"/>
    <w:rsid w:val="00D520D8"/>
    <w:rsid w:val="00D63AC2"/>
    <w:rsid w:val="00D64EDD"/>
    <w:rsid w:val="00D7383B"/>
    <w:rsid w:val="00D833A3"/>
    <w:rsid w:val="00DA231B"/>
    <w:rsid w:val="00DA23A0"/>
    <w:rsid w:val="00DC39FC"/>
    <w:rsid w:val="00DE4752"/>
    <w:rsid w:val="00DF5254"/>
    <w:rsid w:val="00E16408"/>
    <w:rsid w:val="00E20894"/>
    <w:rsid w:val="00E245AB"/>
    <w:rsid w:val="00E2764C"/>
    <w:rsid w:val="00E27F2E"/>
    <w:rsid w:val="00E413EA"/>
    <w:rsid w:val="00E50AFE"/>
    <w:rsid w:val="00E75C92"/>
    <w:rsid w:val="00E771DC"/>
    <w:rsid w:val="00E8772A"/>
    <w:rsid w:val="00E90F6B"/>
    <w:rsid w:val="00E92C27"/>
    <w:rsid w:val="00EA0E3D"/>
    <w:rsid w:val="00EA2FFD"/>
    <w:rsid w:val="00EB1847"/>
    <w:rsid w:val="00EC38A7"/>
    <w:rsid w:val="00EE1AA8"/>
    <w:rsid w:val="00F31EDC"/>
    <w:rsid w:val="00F462B3"/>
    <w:rsid w:val="00F5664F"/>
    <w:rsid w:val="00F666C4"/>
    <w:rsid w:val="00F71C0A"/>
    <w:rsid w:val="00F76AFC"/>
    <w:rsid w:val="00FA47C0"/>
    <w:rsid w:val="00FB5DD1"/>
    <w:rsid w:val="00FC2B5D"/>
    <w:rsid w:val="00FF1449"/>
    <w:rsid w:val="4FEAD1F3"/>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F1A5431F-895D-4893-A715-649B773A0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table" w:customStyle="1" w:styleId="Tablaconcuadrcula1">
    <w:name w:val="Tabla con cuadrícula1"/>
    <w:basedOn w:val="Tablanormal"/>
    <w:next w:val="Tablaconcuadrcula"/>
    <w:uiPriority w:val="59"/>
    <w:rsid w:val="003D455F"/>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3D455F"/>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lombiacompra.gov.co/sala-de-prensa/boletin-digita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latoria.colombiacompra.gov.co/busqueda/concepto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70D473C3-8BDE-4046-B65D-479102FFF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3890</Words>
  <Characters>21400</Characters>
  <Application>Microsoft Office Word</Application>
  <DocSecurity>0</DocSecurity>
  <Lines>178</Lines>
  <Paragraphs>50</Paragraphs>
  <ScaleCrop>false</ScaleCrop>
  <Company/>
  <LinksUpToDate>false</LinksUpToDate>
  <CharactersWithSpaces>25240</CharactersWithSpaces>
  <SharedDoc>false</SharedDoc>
  <HLinks>
    <vt:vector size="12" baseType="variant">
      <vt:variant>
        <vt:i4>5439494</vt:i4>
      </vt:variant>
      <vt:variant>
        <vt:i4>3</vt:i4>
      </vt:variant>
      <vt:variant>
        <vt:i4>0</vt:i4>
      </vt:variant>
      <vt:variant>
        <vt:i4>5</vt:i4>
      </vt:variant>
      <vt:variant>
        <vt:lpwstr>https://www.colombiacompra.gov.co/sala-de-prensa/boletin-digital</vt:lpwstr>
      </vt:variant>
      <vt:variant>
        <vt:lpwstr/>
      </vt:variant>
      <vt:variant>
        <vt:i4>7471218</vt:i4>
      </vt:variant>
      <vt:variant>
        <vt:i4>0</vt:i4>
      </vt:variant>
      <vt:variant>
        <vt:i4>0</vt:i4>
      </vt:variant>
      <vt:variant>
        <vt:i4>5</vt:i4>
      </vt:variant>
      <vt:variant>
        <vt:lpwstr>https://relatoria.colombiacompra.gov.co/busqueda/conceptos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3</cp:revision>
  <cp:lastPrinted>2023-01-11T00:18:00Z</cp:lastPrinted>
  <dcterms:created xsi:type="dcterms:W3CDTF">2024-09-05T14:50:00Z</dcterms:created>
  <dcterms:modified xsi:type="dcterms:W3CDTF">2024-10-03T17:02:00Z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