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EC00" w14:textId="4C8C44BF" w:rsidR="009A24FD" w:rsidRPr="009A24FD" w:rsidRDefault="009A24FD" w:rsidP="009A24FD">
      <w:pPr>
        <w:spacing w:after="0"/>
        <w:jc w:val="both"/>
        <w:rPr>
          <w:rFonts w:ascii="Verdana" w:hAnsi="Verdana"/>
        </w:rPr>
      </w:pPr>
      <w:bookmarkStart w:id="0" w:name="_Hlk143780582"/>
      <w:r w:rsidRPr="009A24FD">
        <w:rPr>
          <w:rFonts w:ascii="Verdana" w:eastAsia="Aptos" w:hAnsi="Verdana" w:cs="Times New Roman"/>
          <w:b/>
          <w:bCs/>
          <w:kern w:val="2"/>
          <w14:ligatures w14:val="standardContextual"/>
        </w:rPr>
        <w:t xml:space="preserve">CONTRATACIÓN CON ESAL – Constitución Política – Artículo 355 – Fundamento </w:t>
      </w:r>
    </w:p>
    <w:p w14:paraId="3BFABDB4" w14:textId="77777777" w:rsidR="009A24FD" w:rsidRPr="009A24FD" w:rsidRDefault="009A24FD" w:rsidP="009A24FD">
      <w:pPr>
        <w:spacing w:after="0" w:line="276" w:lineRule="auto"/>
        <w:jc w:val="both"/>
        <w:rPr>
          <w:rFonts w:ascii="Verdana" w:eastAsia="Aptos" w:hAnsi="Verdana" w:cs="Times New Roman"/>
          <w:b/>
          <w:bCs/>
          <w:kern w:val="2"/>
          <w14:ligatures w14:val="standardContextual"/>
        </w:rPr>
      </w:pPr>
    </w:p>
    <w:p w14:paraId="1D4C660E" w14:textId="4C512AE7" w:rsidR="009A24FD" w:rsidRPr="009A24FD" w:rsidRDefault="005056DE" w:rsidP="009A24FD">
      <w:pPr>
        <w:spacing w:after="0" w:line="240" w:lineRule="auto"/>
        <w:jc w:val="both"/>
        <w:rPr>
          <w:rFonts w:ascii="Verdana" w:eastAsia="Aptos" w:hAnsi="Verdana" w:cs="Times New Roman"/>
          <w:b/>
          <w:bCs/>
          <w:kern w:val="2"/>
          <w:sz w:val="20"/>
          <w:szCs w:val="20"/>
          <w14:ligatures w14:val="standardContextual"/>
        </w:rPr>
      </w:pPr>
      <w:r w:rsidRPr="005056DE">
        <w:rPr>
          <w:rFonts w:ascii="Verdana" w:eastAsia="Calibri" w:hAnsi="Verdana" w:cs="Arial"/>
          <w:color w:val="000000"/>
          <w:kern w:val="2"/>
          <w:sz w:val="20"/>
          <w:szCs w:val="20"/>
          <w:lang w:val="es-ES"/>
          <w14:ligatures w14:val="standardContextu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16F3DB64" w14:textId="77777777" w:rsidR="009A24FD" w:rsidRPr="009A24FD" w:rsidRDefault="009A24FD" w:rsidP="009A24FD">
      <w:pPr>
        <w:snapToGrid w:val="0"/>
        <w:spacing w:after="0" w:line="276" w:lineRule="auto"/>
        <w:jc w:val="both"/>
        <w:rPr>
          <w:rFonts w:ascii="Verdana" w:eastAsia="Geomanist Light" w:hAnsi="Verdana" w:cs="Arial"/>
          <w:lang w:val="es-MX"/>
        </w:rPr>
      </w:pPr>
    </w:p>
    <w:p w14:paraId="24343690" w14:textId="77777777" w:rsidR="009A24FD" w:rsidRPr="009A24FD" w:rsidRDefault="009A24FD" w:rsidP="009A24FD">
      <w:pPr>
        <w:snapToGrid w:val="0"/>
        <w:spacing w:after="0" w:line="276" w:lineRule="auto"/>
        <w:jc w:val="both"/>
        <w:rPr>
          <w:rFonts w:ascii="Verdana" w:eastAsia="Geomanist Light" w:hAnsi="Verdana" w:cs="Arial"/>
          <w:b/>
          <w:bCs/>
          <w:lang w:val="es-MX"/>
        </w:rPr>
      </w:pPr>
      <w:r w:rsidRPr="009A24FD">
        <w:rPr>
          <w:rFonts w:ascii="Verdana" w:eastAsia="Geomanist Light" w:hAnsi="Verdana" w:cs="Arial"/>
          <w:b/>
          <w:bCs/>
          <w:lang w:val="es-MX"/>
        </w:rPr>
        <w:t>DECRETO 092 DE 2017 – Contratos de colaboración – Convenios de asociación</w:t>
      </w:r>
    </w:p>
    <w:p w14:paraId="021E04BD" w14:textId="77777777" w:rsidR="009A24FD" w:rsidRPr="009A24FD" w:rsidRDefault="009A24FD" w:rsidP="009A24FD">
      <w:pPr>
        <w:snapToGrid w:val="0"/>
        <w:spacing w:after="0" w:line="276" w:lineRule="auto"/>
        <w:jc w:val="both"/>
        <w:rPr>
          <w:rFonts w:ascii="Verdana" w:eastAsia="Geomanist Light" w:hAnsi="Verdana" w:cs="Arial"/>
          <w:lang w:val="es-MX"/>
        </w:rPr>
      </w:pPr>
    </w:p>
    <w:p w14:paraId="12FA61DA" w14:textId="21EC691C" w:rsidR="00714DD3" w:rsidRPr="00714DD3" w:rsidRDefault="00714DD3" w:rsidP="00714DD3">
      <w:pPr>
        <w:spacing w:after="0" w:line="240" w:lineRule="auto"/>
        <w:jc w:val="both"/>
        <w:rPr>
          <w:rFonts w:ascii="Verdana" w:eastAsia="Calibri" w:hAnsi="Verdana" w:cs="Arial"/>
          <w:kern w:val="2"/>
          <w:sz w:val="20"/>
          <w:szCs w:val="20"/>
          <w:lang w:val="es-ES"/>
          <w14:ligatures w14:val="standardContextual"/>
        </w:rPr>
      </w:pPr>
      <w:r w:rsidRPr="00714DD3">
        <w:rPr>
          <w:rFonts w:ascii="Verdana" w:eastAsia="Calibri" w:hAnsi="Verdana" w:cs="Arial"/>
          <w:kern w:val="2"/>
          <w:sz w:val="20"/>
          <w:szCs w:val="20"/>
          <w:lang w:val="es-ES"/>
          <w14:ligatures w14:val="standardContextual"/>
        </w:rPr>
        <w:t xml:space="preserve">Los </w:t>
      </w:r>
      <w:r w:rsidRPr="00714DD3">
        <w:rPr>
          <w:rFonts w:ascii="Verdana" w:eastAsia="Calibri" w:hAnsi="Verdana" w:cs="Arial"/>
          <w:i/>
          <w:kern w:val="2"/>
          <w:sz w:val="20"/>
          <w:szCs w:val="20"/>
          <w:lang w:val="es-ES"/>
          <w14:ligatures w14:val="standardContextual"/>
        </w:rPr>
        <w:t>contratos del artículo 355 de la Constitución Política</w:t>
      </w:r>
      <w:r w:rsidRPr="00714DD3">
        <w:rPr>
          <w:rFonts w:ascii="Verdana" w:eastAsia="Calibri" w:hAnsi="Verdana" w:cs="Arial"/>
          <w:kern w:val="2"/>
          <w:sz w:val="20"/>
          <w:szCs w:val="20"/>
          <w:lang w:val="es-ES"/>
          <w14:ligatures w14:val="standardContextu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w:t>
      </w:r>
    </w:p>
    <w:p w14:paraId="2A88B0F4" w14:textId="77777777" w:rsidR="00714DD3" w:rsidRPr="00714DD3" w:rsidRDefault="00714DD3" w:rsidP="00714DD3">
      <w:pPr>
        <w:spacing w:after="0" w:line="240" w:lineRule="auto"/>
        <w:jc w:val="both"/>
        <w:rPr>
          <w:rFonts w:ascii="Verdana" w:eastAsia="Calibri" w:hAnsi="Verdana" w:cs="Arial"/>
          <w:kern w:val="2"/>
          <w:sz w:val="20"/>
          <w:szCs w:val="20"/>
          <w:lang w:val="es-ES"/>
          <w14:ligatures w14:val="standardContextual"/>
        </w:rPr>
      </w:pPr>
    </w:p>
    <w:p w14:paraId="58F9426D" w14:textId="441207C9" w:rsidR="00714DD3" w:rsidRPr="00714DD3" w:rsidRDefault="00714DD3" w:rsidP="00714DD3">
      <w:pPr>
        <w:spacing w:after="0" w:line="240" w:lineRule="auto"/>
        <w:jc w:val="both"/>
        <w:rPr>
          <w:rFonts w:ascii="Verdana" w:eastAsia="Calibri" w:hAnsi="Verdana" w:cs="Arial"/>
          <w:kern w:val="2"/>
          <w:sz w:val="20"/>
          <w:szCs w:val="20"/>
          <w:lang w:val="es-ES"/>
          <w14:ligatures w14:val="standardContextual"/>
        </w:rPr>
      </w:pPr>
      <w:r w:rsidRPr="00714DD3">
        <w:rPr>
          <w:rFonts w:ascii="Verdana" w:eastAsia="Calibri" w:hAnsi="Verdana" w:cs="Arial"/>
          <w:kern w:val="2"/>
          <w:sz w:val="20"/>
          <w:szCs w:val="20"/>
          <w:lang w:val="es-ES"/>
          <w14:ligatures w14:val="standardContextual"/>
        </w:rPr>
        <w:t xml:space="preserve">De otro lado, los </w:t>
      </w:r>
      <w:r w:rsidRPr="00714DD3">
        <w:rPr>
          <w:rFonts w:ascii="Verdana" w:eastAsia="Calibri" w:hAnsi="Verdana" w:cs="Arial"/>
          <w:i/>
          <w:kern w:val="2"/>
          <w:sz w:val="20"/>
          <w:szCs w:val="20"/>
          <w:lang w:val="es-ES"/>
          <w14:ligatures w14:val="standardContextual"/>
        </w:rPr>
        <w:t>convenios de asociación</w:t>
      </w:r>
      <w:r w:rsidRPr="00714DD3">
        <w:rPr>
          <w:rFonts w:ascii="Verdana" w:eastAsia="Calibri" w:hAnsi="Verdana" w:cs="Arial"/>
          <w:kern w:val="2"/>
          <w:sz w:val="20"/>
          <w:szCs w:val="20"/>
          <w:lang w:val="es-ES"/>
          <w14:ligatures w14:val="standardContextual"/>
        </w:rPr>
        <w:t xml:space="preserve"> “[…] [t]</w:t>
      </w:r>
      <w:proofErr w:type="spellStart"/>
      <w:r w:rsidRPr="00714DD3">
        <w:rPr>
          <w:rFonts w:ascii="Verdana" w:eastAsia="Calibri" w:hAnsi="Verdana" w:cs="Arial"/>
          <w:kern w:val="2"/>
          <w:sz w:val="20"/>
          <w:szCs w:val="20"/>
          <w:lang w:val="es-ES"/>
          <w14:ligatures w14:val="standardContextual"/>
        </w:rPr>
        <w:t>ienen</w:t>
      </w:r>
      <w:proofErr w:type="spellEnd"/>
      <w:r w:rsidRPr="00714DD3">
        <w:rPr>
          <w:rFonts w:ascii="Verdana" w:eastAsia="Calibri" w:hAnsi="Verdana" w:cs="Arial"/>
          <w:kern w:val="2"/>
          <w:sz w:val="20"/>
          <w:szCs w:val="20"/>
          <w:lang w:val="es-ES"/>
          <w14:ligatures w14:val="standardContextu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6BE4034A" w14:textId="6D763BDE" w:rsidR="009A24FD" w:rsidRPr="009A24FD" w:rsidRDefault="009A24FD" w:rsidP="00714DD3">
      <w:pPr>
        <w:spacing w:after="0" w:line="240" w:lineRule="auto"/>
        <w:jc w:val="both"/>
        <w:rPr>
          <w:rFonts w:ascii="Verdana" w:eastAsia="Calibri" w:hAnsi="Verdana" w:cs="Arial"/>
          <w:kern w:val="2"/>
          <w:sz w:val="20"/>
          <w:szCs w:val="20"/>
          <w:lang w:val="es-ES"/>
          <w14:ligatures w14:val="standardContextual"/>
        </w:rPr>
      </w:pPr>
    </w:p>
    <w:p w14:paraId="255F1A4E" w14:textId="77777777" w:rsidR="009A24FD" w:rsidRPr="009A24FD" w:rsidRDefault="009A24FD" w:rsidP="009A24FD">
      <w:pPr>
        <w:spacing w:after="0" w:line="240" w:lineRule="auto"/>
        <w:rPr>
          <w:rFonts w:ascii="Verdana" w:eastAsia="Geomanist Light" w:hAnsi="Verdana" w:cs="Arial"/>
          <w:lang w:val="es-MX"/>
        </w:rPr>
      </w:pPr>
    </w:p>
    <w:p w14:paraId="4C80F5E1" w14:textId="77777777" w:rsidR="009A24FD" w:rsidRPr="009A24FD" w:rsidRDefault="009A24FD" w:rsidP="009A24FD">
      <w:pPr>
        <w:spacing w:after="0" w:line="240" w:lineRule="auto"/>
        <w:rPr>
          <w:rFonts w:ascii="Verdana" w:eastAsia="Geomanist Light" w:hAnsi="Verdana" w:cs="Arial"/>
          <w:lang w:val="es-MX"/>
        </w:rPr>
      </w:pPr>
    </w:p>
    <w:p w14:paraId="0A65A6E3" w14:textId="77777777" w:rsidR="009A24FD" w:rsidRPr="009A24FD" w:rsidRDefault="009A24FD" w:rsidP="009A24FD">
      <w:pPr>
        <w:spacing w:after="0" w:line="240" w:lineRule="auto"/>
        <w:rPr>
          <w:rFonts w:ascii="Verdana" w:eastAsia="Geomanist Light" w:hAnsi="Verdana" w:cs="Arial"/>
          <w:lang w:val="es-MX"/>
        </w:rPr>
      </w:pPr>
    </w:p>
    <w:p w14:paraId="78C00663" w14:textId="77777777" w:rsidR="009A24FD" w:rsidRPr="009A24FD" w:rsidRDefault="009A24FD" w:rsidP="009A24FD">
      <w:pPr>
        <w:spacing w:after="0" w:line="240" w:lineRule="auto"/>
        <w:rPr>
          <w:rFonts w:ascii="Verdana" w:eastAsia="Geomanist Light" w:hAnsi="Verdana" w:cs="Arial"/>
          <w:lang w:val="es-MX"/>
        </w:rPr>
      </w:pPr>
    </w:p>
    <w:p w14:paraId="6DE50B89" w14:textId="77777777" w:rsidR="009A24FD" w:rsidRDefault="009A24FD" w:rsidP="009A24FD">
      <w:pPr>
        <w:spacing w:after="0" w:line="240" w:lineRule="auto"/>
        <w:jc w:val="both"/>
        <w:rPr>
          <w:rFonts w:ascii="Verdana" w:eastAsia="Calibri" w:hAnsi="Verdana" w:cs="Times New Roman"/>
        </w:rPr>
      </w:pPr>
    </w:p>
    <w:p w14:paraId="6F020353" w14:textId="77777777" w:rsidR="009A24FD" w:rsidRDefault="009A24FD" w:rsidP="009A24FD">
      <w:pPr>
        <w:spacing w:after="0" w:line="240" w:lineRule="auto"/>
        <w:jc w:val="both"/>
        <w:rPr>
          <w:rFonts w:ascii="Verdana" w:eastAsia="Calibri" w:hAnsi="Verdana" w:cs="Times New Roman"/>
        </w:rPr>
      </w:pPr>
    </w:p>
    <w:p w14:paraId="1BBDC011" w14:textId="597E0E69" w:rsidR="009A24FD" w:rsidRPr="009A24FD" w:rsidRDefault="009A24FD" w:rsidP="009A24FD">
      <w:pPr>
        <w:spacing w:after="0" w:line="240" w:lineRule="auto"/>
        <w:jc w:val="both"/>
        <w:rPr>
          <w:rFonts w:ascii="Verdana" w:eastAsia="Geomanist Light" w:hAnsi="Verdana" w:cs="Arial"/>
          <w:lang w:val="es-MX"/>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06F86C9A" w14:textId="38CAB90B" w:rsidR="009A24FD" w:rsidRDefault="00C1622C" w:rsidP="009A24FD">
      <w:pPr>
        <w:spacing w:after="0" w:line="240" w:lineRule="auto"/>
        <w:jc w:val="both"/>
        <w:rPr>
          <w:rFonts w:ascii="Verdana" w:eastAsia="Calibri" w:hAnsi="Verdana" w:cs="Arial"/>
          <w:lang w:val="es-ES"/>
        </w:rPr>
      </w:pPr>
      <w:r w:rsidRPr="00C1622C">
        <w:rPr>
          <w:rFonts w:ascii="Verdana" w:eastAsia="Calibri" w:hAnsi="Verdana" w:cs="Arial"/>
          <w:noProof/>
          <w:lang w:val="es-ES"/>
        </w:rPr>
        <w:drawing>
          <wp:anchor distT="0" distB="0" distL="114300" distR="114300" simplePos="0" relativeHeight="251658240" behindDoc="1" locked="0" layoutInCell="1" allowOverlap="1" wp14:anchorId="0F768751" wp14:editId="5F6D0304">
            <wp:simplePos x="0" y="0"/>
            <wp:positionH relativeFrom="column">
              <wp:posOffset>1740535</wp:posOffset>
            </wp:positionH>
            <wp:positionV relativeFrom="paragraph">
              <wp:posOffset>60325</wp:posOffset>
            </wp:positionV>
            <wp:extent cx="3476625" cy="1038225"/>
            <wp:effectExtent l="0" t="0" r="9525" b="9525"/>
            <wp:wrapTight wrapText="bothSides">
              <wp:wrapPolygon edited="0">
                <wp:start x="0" y="0"/>
                <wp:lineTo x="0" y="21402"/>
                <wp:lineTo x="21541" y="21402"/>
                <wp:lineTo x="21541" y="0"/>
                <wp:lineTo x="0" y="0"/>
              </wp:wrapPolygon>
            </wp:wrapTight>
            <wp:docPr id="962772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72947" name=""/>
                    <pic:cNvPicPr/>
                  </pic:nvPicPr>
                  <pic:blipFill>
                    <a:blip r:embed="rId10">
                      <a:extLst>
                        <a:ext uri="{28A0092B-C50C-407E-A947-70E740481C1C}">
                          <a14:useLocalDpi xmlns:a14="http://schemas.microsoft.com/office/drawing/2010/main" val="0"/>
                        </a:ext>
                      </a:extLst>
                    </a:blip>
                    <a:stretch>
                      <a:fillRect/>
                    </a:stretch>
                  </pic:blipFill>
                  <pic:spPr>
                    <a:xfrm>
                      <a:off x="0" y="0"/>
                      <a:ext cx="3476625" cy="1038225"/>
                    </a:xfrm>
                    <a:prstGeom prst="rect">
                      <a:avLst/>
                    </a:prstGeom>
                  </pic:spPr>
                </pic:pic>
              </a:graphicData>
            </a:graphic>
          </wp:anchor>
        </w:drawing>
      </w:r>
    </w:p>
    <w:p w14:paraId="090BFE35" w14:textId="77777777" w:rsidR="00C1622C" w:rsidRDefault="00C1622C" w:rsidP="009A24FD">
      <w:pPr>
        <w:spacing w:after="0" w:line="240" w:lineRule="auto"/>
        <w:jc w:val="both"/>
        <w:rPr>
          <w:rFonts w:ascii="Verdana" w:eastAsia="Calibri" w:hAnsi="Verdana" w:cs="Arial"/>
          <w:lang w:val="es-ES"/>
        </w:rPr>
      </w:pPr>
    </w:p>
    <w:p w14:paraId="7BB6D9A9" w14:textId="77777777" w:rsidR="00C1622C" w:rsidRDefault="00C1622C" w:rsidP="009A24FD">
      <w:pPr>
        <w:spacing w:after="0" w:line="240" w:lineRule="auto"/>
        <w:jc w:val="both"/>
        <w:rPr>
          <w:rFonts w:ascii="Verdana" w:eastAsia="Calibri" w:hAnsi="Verdana" w:cs="Arial"/>
          <w:lang w:val="es-ES"/>
        </w:rPr>
      </w:pPr>
    </w:p>
    <w:p w14:paraId="2D054B56" w14:textId="0D881643" w:rsidR="00C1622C" w:rsidRDefault="00C1622C" w:rsidP="009A24FD">
      <w:pPr>
        <w:spacing w:after="0" w:line="240" w:lineRule="auto"/>
        <w:jc w:val="both"/>
        <w:rPr>
          <w:rFonts w:ascii="Verdana" w:eastAsia="Calibri" w:hAnsi="Verdana" w:cs="Arial"/>
          <w:lang w:val="es-ES"/>
        </w:rPr>
      </w:pPr>
    </w:p>
    <w:p w14:paraId="7BC22603" w14:textId="77777777" w:rsidR="00C1622C" w:rsidRPr="009A24FD" w:rsidRDefault="00C1622C" w:rsidP="009A24FD">
      <w:pPr>
        <w:spacing w:after="0" w:line="240" w:lineRule="auto"/>
        <w:jc w:val="both"/>
        <w:rPr>
          <w:rFonts w:ascii="Verdana" w:eastAsia="Calibri" w:hAnsi="Verdana" w:cs="Arial"/>
          <w:lang w:val="es-ES"/>
        </w:rPr>
      </w:pPr>
    </w:p>
    <w:p w14:paraId="28A4BF41" w14:textId="77777777" w:rsidR="009A24FD" w:rsidRDefault="009A24FD" w:rsidP="009A24FD">
      <w:pPr>
        <w:spacing w:after="0" w:line="240" w:lineRule="auto"/>
        <w:jc w:val="both"/>
        <w:rPr>
          <w:rFonts w:ascii="Verdana" w:eastAsia="Calibri" w:hAnsi="Verdana" w:cs="Arial"/>
          <w:lang w:val="es-ES" w:eastAsia="es-ES"/>
        </w:rPr>
      </w:pPr>
    </w:p>
    <w:p w14:paraId="14C99AAD" w14:textId="77777777" w:rsidR="00C1622C" w:rsidRDefault="00C1622C" w:rsidP="009A24FD">
      <w:pPr>
        <w:spacing w:after="0" w:line="240" w:lineRule="auto"/>
        <w:jc w:val="both"/>
        <w:rPr>
          <w:rFonts w:ascii="Verdana" w:eastAsia="Calibri" w:hAnsi="Verdana" w:cs="Arial"/>
          <w:lang w:val="es-ES" w:eastAsia="es-ES"/>
        </w:rPr>
      </w:pPr>
    </w:p>
    <w:p w14:paraId="036AFDBB" w14:textId="7419972D" w:rsidR="009A24FD" w:rsidRPr="009A24FD" w:rsidRDefault="009A24FD" w:rsidP="009A24FD">
      <w:pPr>
        <w:spacing w:after="0" w:line="240" w:lineRule="auto"/>
        <w:jc w:val="both"/>
        <w:rPr>
          <w:rFonts w:ascii="Verdana" w:eastAsia="Calibri" w:hAnsi="Verdana" w:cs="Arial"/>
          <w:lang w:val="es-ES" w:eastAsia="es-ES"/>
        </w:rPr>
      </w:pPr>
      <w:r w:rsidRPr="009A24FD">
        <w:rPr>
          <w:rFonts w:ascii="Verdana" w:eastAsia="Calibri" w:hAnsi="Verdana" w:cs="Arial"/>
          <w:lang w:val="es-ES" w:eastAsia="es-ES"/>
        </w:rPr>
        <w:t>Señor</w:t>
      </w:r>
    </w:p>
    <w:p w14:paraId="3A94A1BC" w14:textId="77777777" w:rsidR="009A24FD" w:rsidRPr="009A24FD" w:rsidRDefault="009A24FD" w:rsidP="009A24FD">
      <w:pPr>
        <w:spacing w:after="0" w:line="240" w:lineRule="auto"/>
        <w:rPr>
          <w:rFonts w:ascii="Verdana" w:eastAsia="Calibri" w:hAnsi="Verdana" w:cs="Arial"/>
          <w:b/>
          <w:lang w:val="es-ES" w:eastAsia="es-ES"/>
        </w:rPr>
      </w:pPr>
      <w:r w:rsidRPr="29E65C17">
        <w:rPr>
          <w:rFonts w:ascii="Verdana" w:eastAsia="Calibri" w:hAnsi="Verdana" w:cs="Arial"/>
          <w:b/>
          <w:lang w:val="es-ES" w:eastAsia="es-ES"/>
        </w:rPr>
        <w:t xml:space="preserve">Guillermo Abril </w:t>
      </w:r>
      <w:proofErr w:type="spellStart"/>
      <w:r w:rsidRPr="29E65C17">
        <w:rPr>
          <w:rFonts w:ascii="Verdana" w:eastAsia="Calibri" w:hAnsi="Verdana" w:cs="Arial"/>
          <w:b/>
          <w:lang w:val="es-ES" w:eastAsia="es-ES"/>
        </w:rPr>
        <w:t>Abril</w:t>
      </w:r>
      <w:proofErr w:type="spellEnd"/>
    </w:p>
    <w:p w14:paraId="730D88FA" w14:textId="77777777" w:rsidR="009A24FD" w:rsidRPr="009A24FD" w:rsidRDefault="009A24FD" w:rsidP="009A24FD">
      <w:pPr>
        <w:spacing w:after="0" w:line="240" w:lineRule="auto"/>
        <w:rPr>
          <w:rFonts w:ascii="Verdana" w:eastAsia="Calibri" w:hAnsi="Verdana" w:cs="Arial"/>
          <w:lang w:val="es-ES" w:eastAsia="es-ES"/>
        </w:rPr>
      </w:pPr>
      <w:r w:rsidRPr="009A24FD">
        <w:rPr>
          <w:rFonts w:ascii="Verdana" w:eastAsia="Calibri" w:hAnsi="Verdana" w:cs="Arial"/>
          <w:lang w:val="es-ES" w:eastAsia="es-ES"/>
        </w:rPr>
        <w:t>Ciudad</w:t>
      </w:r>
    </w:p>
    <w:p w14:paraId="694CDD4C" w14:textId="77777777" w:rsidR="009A24FD" w:rsidRPr="009A24FD" w:rsidRDefault="009A24FD" w:rsidP="009A24FD">
      <w:pPr>
        <w:spacing w:after="0" w:line="240" w:lineRule="auto"/>
        <w:rPr>
          <w:rFonts w:ascii="Verdana" w:eastAsia="Calibri" w:hAnsi="Verdana" w:cs="Arial"/>
          <w:b/>
          <w:bCs/>
          <w:lang w:val="es-ES_tradnl" w:eastAsia="es-ES_tradnl"/>
        </w:rPr>
      </w:pPr>
    </w:p>
    <w:p w14:paraId="44D29DD3" w14:textId="77777777" w:rsidR="009A24FD" w:rsidRPr="009A24FD" w:rsidRDefault="009A24FD" w:rsidP="009A24F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A24FD" w:rsidRPr="009A24FD" w14:paraId="611E731C" w14:textId="77777777" w:rsidTr="00DA49DD">
        <w:trPr>
          <w:trHeight w:val="884"/>
        </w:trPr>
        <w:tc>
          <w:tcPr>
            <w:tcW w:w="2689" w:type="dxa"/>
          </w:tcPr>
          <w:p w14:paraId="5EFD9319" w14:textId="77777777" w:rsidR="009A24FD" w:rsidRPr="009A24FD" w:rsidRDefault="009A24FD" w:rsidP="009A24FD">
            <w:pPr>
              <w:jc w:val="both"/>
              <w:rPr>
                <w:rFonts w:ascii="Verdana" w:eastAsia="Calibri" w:hAnsi="Verdana" w:cs="Arial"/>
                <w:b/>
                <w:bCs/>
                <w:lang w:val="es-ES_tradnl" w:eastAsia="es-ES_tradnl"/>
              </w:rPr>
            </w:pPr>
          </w:p>
        </w:tc>
        <w:tc>
          <w:tcPr>
            <w:tcW w:w="6100" w:type="dxa"/>
          </w:tcPr>
          <w:p w14:paraId="4101120E" w14:textId="77777777" w:rsidR="009A24FD" w:rsidRPr="009A24FD" w:rsidRDefault="009A24FD" w:rsidP="009A24FD">
            <w:pPr>
              <w:jc w:val="both"/>
              <w:rPr>
                <w:rFonts w:ascii="Verdana" w:eastAsia="Calibri" w:hAnsi="Verdana" w:cs="Arial"/>
                <w:b/>
                <w:bCs/>
                <w:lang w:val="es-ES" w:eastAsia="es-ES"/>
              </w:rPr>
            </w:pPr>
            <w:r w:rsidRPr="009A24FD">
              <w:rPr>
                <w:rFonts w:ascii="Verdana" w:eastAsia="Calibri" w:hAnsi="Verdana" w:cs="Arial"/>
                <w:b/>
                <w:bCs/>
                <w:lang w:val="es-ES" w:eastAsia="es-ES"/>
              </w:rPr>
              <w:t>Concepto C – 383 de 2024</w:t>
            </w:r>
          </w:p>
        </w:tc>
      </w:tr>
      <w:tr w:rsidR="009A24FD" w:rsidRPr="009A24FD" w14:paraId="164D71DA" w14:textId="77777777" w:rsidTr="00DA49DD">
        <w:trPr>
          <w:trHeight w:val="884"/>
        </w:trPr>
        <w:tc>
          <w:tcPr>
            <w:tcW w:w="2689" w:type="dxa"/>
          </w:tcPr>
          <w:p w14:paraId="6832D2B6" w14:textId="77777777" w:rsidR="009A24FD" w:rsidRPr="009A24FD" w:rsidRDefault="009A24FD" w:rsidP="009A24FD">
            <w:pPr>
              <w:jc w:val="both"/>
              <w:rPr>
                <w:rFonts w:ascii="Verdana" w:eastAsia="Calibri" w:hAnsi="Verdana" w:cs="Arial"/>
                <w:lang w:val="es-ES_tradnl" w:eastAsia="es-ES_tradnl"/>
              </w:rPr>
            </w:pPr>
            <w:r w:rsidRPr="009A24FD">
              <w:rPr>
                <w:rFonts w:ascii="Verdana" w:eastAsia="Calibri" w:hAnsi="Verdana" w:cs="Arial"/>
                <w:b/>
                <w:lang w:val="es-ES_tradnl" w:eastAsia="es-ES_tradnl"/>
              </w:rPr>
              <w:t>Temas:</w:t>
            </w:r>
            <w:r w:rsidRPr="009A24FD">
              <w:rPr>
                <w:rFonts w:ascii="Verdana" w:eastAsia="Calibri" w:hAnsi="Verdana" w:cs="Arial"/>
                <w:lang w:val="es-ES_tradnl" w:eastAsia="es-ES_tradnl"/>
              </w:rPr>
              <w:t xml:space="preserve">                   </w:t>
            </w:r>
          </w:p>
        </w:tc>
        <w:tc>
          <w:tcPr>
            <w:tcW w:w="6100" w:type="dxa"/>
          </w:tcPr>
          <w:p w14:paraId="00CA6C48" w14:textId="77777777" w:rsidR="009A24FD" w:rsidRPr="009A24FD" w:rsidRDefault="009A24FD" w:rsidP="009A24FD">
            <w:pPr>
              <w:snapToGrid w:val="0"/>
              <w:spacing w:line="276" w:lineRule="auto"/>
              <w:jc w:val="both"/>
              <w:rPr>
                <w:rFonts w:ascii="Verdana" w:eastAsia="Calibri" w:hAnsi="Verdana" w:cs="Arial"/>
                <w:lang w:val="es-ES" w:eastAsia="es-ES"/>
              </w:rPr>
            </w:pPr>
            <w:r w:rsidRPr="009A24FD">
              <w:rPr>
                <w:rFonts w:ascii="Verdana" w:eastAsia="Calibri" w:hAnsi="Verdana" w:cs="Arial"/>
                <w:lang w:val="es-ES" w:eastAsia="es-ES"/>
              </w:rPr>
              <w:t>CONTRATACIÓN CON ESAL – Constitución Política – Artículo 355 – Fundamento / DECRETO 092 DE 2017 – Contratos de colaboración – Convenios de asociación</w:t>
            </w:r>
          </w:p>
          <w:p w14:paraId="70A8C9AA" w14:textId="77777777" w:rsidR="009A24FD" w:rsidRPr="009A24FD" w:rsidRDefault="009A24FD" w:rsidP="009A24FD">
            <w:pPr>
              <w:snapToGrid w:val="0"/>
              <w:spacing w:line="276" w:lineRule="auto"/>
              <w:jc w:val="both"/>
              <w:rPr>
                <w:rFonts w:ascii="Verdana" w:eastAsia="Calibri" w:hAnsi="Verdana" w:cs="Arial"/>
                <w:highlight w:val="yellow"/>
                <w:lang w:val="es-ES" w:eastAsia="es-ES"/>
              </w:rPr>
            </w:pPr>
          </w:p>
        </w:tc>
      </w:tr>
      <w:tr w:rsidR="009A24FD" w:rsidRPr="009A24FD" w14:paraId="12D3C616" w14:textId="77777777" w:rsidTr="00493E95">
        <w:trPr>
          <w:trHeight w:val="433"/>
        </w:trPr>
        <w:tc>
          <w:tcPr>
            <w:tcW w:w="2689" w:type="dxa"/>
          </w:tcPr>
          <w:p w14:paraId="34157736" w14:textId="77777777" w:rsidR="009A24FD" w:rsidRPr="009A24FD" w:rsidRDefault="009A24FD" w:rsidP="009A24FD">
            <w:pPr>
              <w:jc w:val="both"/>
              <w:rPr>
                <w:rFonts w:ascii="Verdana" w:eastAsia="Calibri" w:hAnsi="Verdana" w:cs="Arial"/>
                <w:b/>
                <w:lang w:val="es-ES_tradnl" w:eastAsia="es-ES_tradnl"/>
              </w:rPr>
            </w:pPr>
            <w:r w:rsidRPr="009A24FD">
              <w:rPr>
                <w:rFonts w:ascii="Verdana" w:eastAsia="Calibri" w:hAnsi="Verdana" w:cs="Arial"/>
                <w:b/>
                <w:lang w:val="es-ES_tradnl" w:eastAsia="es-ES_tradnl"/>
              </w:rPr>
              <w:t>Radicación:</w:t>
            </w:r>
            <w:r w:rsidRPr="009A24FD">
              <w:rPr>
                <w:rFonts w:ascii="Verdana" w:eastAsia="Calibri" w:hAnsi="Verdana" w:cs="Arial"/>
                <w:lang w:val="es-ES_tradnl" w:eastAsia="es-ES_tradnl"/>
              </w:rPr>
              <w:t xml:space="preserve">               </w:t>
            </w:r>
          </w:p>
        </w:tc>
        <w:tc>
          <w:tcPr>
            <w:tcW w:w="6100" w:type="dxa"/>
          </w:tcPr>
          <w:p w14:paraId="368B233E" w14:textId="77777777" w:rsidR="009A24FD" w:rsidRPr="009A24FD" w:rsidRDefault="009A24FD" w:rsidP="009A24FD">
            <w:pPr>
              <w:jc w:val="both"/>
              <w:rPr>
                <w:rFonts w:ascii="Verdana" w:eastAsia="Calibri" w:hAnsi="Verdana" w:cs="Arial"/>
                <w:lang w:val="es-ES_tradnl" w:eastAsia="es-ES_tradnl"/>
              </w:rPr>
            </w:pPr>
            <w:r w:rsidRPr="009A24FD">
              <w:rPr>
                <w:rFonts w:ascii="Verdana" w:eastAsia="Calibri" w:hAnsi="Verdana" w:cs="Arial"/>
                <w:lang w:val="es-ES_tradnl" w:eastAsia="es-ES_tradnl"/>
              </w:rPr>
              <w:t>Respuesta a consulta con radicado No. P20240723007551</w:t>
            </w:r>
          </w:p>
        </w:tc>
      </w:tr>
    </w:tbl>
    <w:p w14:paraId="6162F52F" w14:textId="77777777" w:rsidR="009A24FD" w:rsidRPr="009A24FD" w:rsidRDefault="009A24FD" w:rsidP="009A24FD">
      <w:pPr>
        <w:spacing w:after="0" w:line="240" w:lineRule="auto"/>
        <w:jc w:val="both"/>
        <w:rPr>
          <w:rFonts w:ascii="Verdana" w:eastAsia="Calibri" w:hAnsi="Verdana" w:cs="Arial"/>
          <w:lang w:val="es-ES_tradnl" w:eastAsia="es-ES_tradnl"/>
        </w:rPr>
      </w:pPr>
    </w:p>
    <w:p w14:paraId="2C64F8F2" w14:textId="77777777" w:rsidR="009A24FD" w:rsidRPr="009A24FD" w:rsidRDefault="009A24FD" w:rsidP="009A24FD">
      <w:pPr>
        <w:spacing w:after="0" w:line="240" w:lineRule="auto"/>
        <w:jc w:val="both"/>
        <w:rPr>
          <w:rFonts w:ascii="Verdana" w:eastAsia="Calibri" w:hAnsi="Verdana" w:cs="Arial"/>
          <w:lang w:val="es-ES_tradnl" w:eastAsia="es-ES_tradnl"/>
        </w:rPr>
      </w:pPr>
    </w:p>
    <w:p w14:paraId="38AF32D5" w14:textId="77777777" w:rsidR="009A24FD" w:rsidRPr="009A24FD" w:rsidRDefault="009A24FD" w:rsidP="009A24FD">
      <w:pPr>
        <w:spacing w:after="0" w:line="276" w:lineRule="auto"/>
        <w:jc w:val="both"/>
        <w:rPr>
          <w:rFonts w:ascii="Verdana" w:eastAsia="Calibri" w:hAnsi="Verdana" w:cs="Arial"/>
          <w:lang w:val="es-ES" w:eastAsia="es-ES"/>
        </w:rPr>
      </w:pPr>
      <w:r w:rsidRPr="009A24FD">
        <w:rPr>
          <w:rFonts w:ascii="Verdana" w:eastAsia="Calibri" w:hAnsi="Verdana" w:cs="Arial"/>
          <w:lang w:val="es-ES" w:eastAsia="es-ES"/>
        </w:rPr>
        <w:t xml:space="preserve">Estimado señor Abril </w:t>
      </w:r>
      <w:proofErr w:type="spellStart"/>
      <w:r w:rsidRPr="009A24FD">
        <w:rPr>
          <w:rFonts w:ascii="Verdana" w:eastAsia="Calibri" w:hAnsi="Verdana" w:cs="Arial"/>
          <w:lang w:val="es-ES" w:eastAsia="es-ES"/>
        </w:rPr>
        <w:t>Abril</w:t>
      </w:r>
      <w:proofErr w:type="spellEnd"/>
      <w:r w:rsidRPr="009A24FD">
        <w:rPr>
          <w:rFonts w:ascii="Verdana" w:eastAsia="Calibri" w:hAnsi="Verdana" w:cs="Arial"/>
          <w:lang w:val="es-ES" w:eastAsia="es-ES"/>
        </w:rPr>
        <w:t xml:space="preserve">: </w:t>
      </w:r>
    </w:p>
    <w:p w14:paraId="343DE3D4" w14:textId="77777777" w:rsidR="009A24FD" w:rsidRPr="009A24FD" w:rsidRDefault="009A24FD" w:rsidP="009A24FD">
      <w:pPr>
        <w:tabs>
          <w:tab w:val="left" w:pos="3768"/>
        </w:tabs>
        <w:spacing w:after="0" w:line="276" w:lineRule="auto"/>
        <w:jc w:val="both"/>
        <w:rPr>
          <w:rFonts w:ascii="Verdana" w:eastAsia="Calibri" w:hAnsi="Verdana" w:cs="Arial"/>
          <w:lang w:val="es-ES" w:eastAsia="es-ES"/>
        </w:rPr>
      </w:pPr>
      <w:r w:rsidRPr="009A24FD">
        <w:rPr>
          <w:rFonts w:ascii="Verdana" w:eastAsia="Calibri" w:hAnsi="Verdana" w:cs="Arial"/>
          <w:lang w:val="es-ES" w:eastAsia="es-ES"/>
        </w:rPr>
        <w:tab/>
      </w:r>
    </w:p>
    <w:p w14:paraId="455A1CAC" w14:textId="77777777" w:rsidR="009A24FD" w:rsidRPr="009A24FD" w:rsidRDefault="009A24FD" w:rsidP="009A24FD">
      <w:pPr>
        <w:spacing w:after="0" w:line="276" w:lineRule="auto"/>
        <w:jc w:val="both"/>
        <w:rPr>
          <w:rFonts w:ascii="Verdana" w:eastAsia="Calibri" w:hAnsi="Verdana" w:cs="Arial"/>
          <w:lang w:val="es-ES" w:eastAsia="es-ES"/>
        </w:rPr>
      </w:pPr>
      <w:r w:rsidRPr="009A24FD">
        <w:rPr>
          <w:rFonts w:ascii="Verdana" w:eastAsia="Calibri" w:hAnsi="Verdana" w:cs="Arial"/>
          <w:lang w:val="es-ES" w:eastAsia="es-ES"/>
        </w:rPr>
        <w:t>En ejercicio de la competencia otorgada por los artículos 3, numeral 5º, y 11, numeral 8º, del Decreto Ley 4170 de 2011,</w:t>
      </w:r>
      <w:r w:rsidRPr="009A24FD">
        <w:rPr>
          <w:rFonts w:ascii="Verdana" w:eastAsia="Arial MT" w:hAnsi="Verdana" w:cs="Arial MT"/>
          <w:lang w:val="es-ES" w:eastAsia="es-ES"/>
        </w:rPr>
        <w:t xml:space="preserve"> </w:t>
      </w:r>
      <w:r w:rsidRPr="009A24FD">
        <w:rPr>
          <w:rFonts w:ascii="Verdana" w:eastAsia="Calibri" w:hAnsi="Verdana" w:cs="Arial"/>
        </w:rPr>
        <w:t xml:space="preserve">así como lo establecido en el artículo 4 de la Resolución 1707 de 2018 expedida por esta Entidad, </w:t>
      </w:r>
      <w:r w:rsidRPr="009A24FD">
        <w:rPr>
          <w:rFonts w:ascii="Verdana" w:eastAsia="Calibri" w:hAnsi="Verdana" w:cs="Arial"/>
          <w:lang w:val="es-ES" w:eastAsia="es-ES"/>
        </w:rPr>
        <w:t>la Agencia Nacional de Contratación Pública – Colombia Compra Eficiente– responde su solicitud de consulta de fecha 23 de julio de 2024. Esta consulta fue remitida por el Departamento Nacional de Planeación, mediante oficio con radicado No. 20245500843641 de la misma fecha. En esta, usted pregunta lo siguiente:</w:t>
      </w:r>
    </w:p>
    <w:p w14:paraId="2D0AD877" w14:textId="77777777" w:rsidR="009A24FD" w:rsidRPr="009A24FD" w:rsidRDefault="009A24FD" w:rsidP="009A24FD">
      <w:pPr>
        <w:tabs>
          <w:tab w:val="left" w:pos="142"/>
          <w:tab w:val="left" w:pos="284"/>
        </w:tabs>
        <w:spacing w:line="240" w:lineRule="auto"/>
        <w:contextualSpacing/>
        <w:jc w:val="both"/>
        <w:rPr>
          <w:rFonts w:ascii="Verdana" w:eastAsia="Century Gothic" w:hAnsi="Verdana" w:cs="Century Gothic"/>
          <w:b/>
          <w:bCs/>
          <w:sz w:val="21"/>
          <w:szCs w:val="21"/>
          <w:lang w:val="es-ES"/>
        </w:rPr>
      </w:pPr>
    </w:p>
    <w:p w14:paraId="141F08E0" w14:textId="77777777" w:rsidR="009A24FD" w:rsidRPr="009A24FD" w:rsidRDefault="009A24FD" w:rsidP="009A24FD">
      <w:pPr>
        <w:spacing w:after="0" w:line="240" w:lineRule="auto"/>
        <w:ind w:left="709" w:right="709"/>
        <w:jc w:val="both"/>
        <w:rPr>
          <w:rFonts w:ascii="Verdana" w:eastAsia="Century Gothic" w:hAnsi="Verdana" w:cs="Century Gothic"/>
          <w:sz w:val="21"/>
          <w:szCs w:val="21"/>
          <w:lang w:val="es-ES"/>
        </w:rPr>
      </w:pPr>
      <w:bookmarkStart w:id="1" w:name="_Hlk95313578"/>
      <w:r w:rsidRPr="009A24FD">
        <w:rPr>
          <w:rFonts w:ascii="Verdana" w:eastAsia="Century Gothic" w:hAnsi="Verdana" w:cs="Century Gothic"/>
          <w:sz w:val="21"/>
          <w:szCs w:val="21"/>
          <w:lang w:val="es-ES"/>
        </w:rPr>
        <w:t>“</w:t>
      </w:r>
      <w:bookmarkEnd w:id="1"/>
      <w:r w:rsidRPr="009A24FD">
        <w:rPr>
          <w:rFonts w:ascii="Verdana" w:eastAsia="Century Gothic" w:hAnsi="Verdana" w:cs="Century Gothic"/>
          <w:sz w:val="21"/>
          <w:szCs w:val="21"/>
          <w:lang w:val="es-ES"/>
        </w:rPr>
        <w:t>1. ¿Si las asociaciones y/o entidades sin ánimo de lucro pueden celebrar contratos con el estado a nivel nacional, departamental, municipal o distrital?</w:t>
      </w:r>
    </w:p>
    <w:p w14:paraId="05A44355" w14:textId="77777777" w:rsidR="009A24FD" w:rsidRPr="009A24FD" w:rsidRDefault="009A24FD" w:rsidP="009A24FD">
      <w:pPr>
        <w:spacing w:after="0" w:line="240" w:lineRule="auto"/>
        <w:ind w:left="709" w:right="709"/>
        <w:jc w:val="both"/>
        <w:rPr>
          <w:rFonts w:ascii="Verdana" w:eastAsia="Century Gothic" w:hAnsi="Verdana" w:cs="Century Gothic"/>
          <w:sz w:val="21"/>
          <w:szCs w:val="21"/>
          <w:lang w:val="es-ES"/>
        </w:rPr>
      </w:pPr>
    </w:p>
    <w:p w14:paraId="09B7D213" w14:textId="77777777" w:rsidR="009A24FD" w:rsidRPr="009A24FD" w:rsidRDefault="009A24FD" w:rsidP="009A24FD">
      <w:pPr>
        <w:spacing w:after="0" w:line="240" w:lineRule="auto"/>
        <w:ind w:left="709" w:right="709"/>
        <w:jc w:val="both"/>
        <w:rPr>
          <w:rFonts w:ascii="Verdana" w:eastAsia="Century Gothic" w:hAnsi="Verdana" w:cs="Century Gothic"/>
          <w:sz w:val="21"/>
          <w:szCs w:val="21"/>
          <w:lang w:val="es-ES"/>
        </w:rPr>
      </w:pPr>
      <w:r w:rsidRPr="009A24FD">
        <w:rPr>
          <w:rFonts w:ascii="Verdana" w:eastAsia="Century Gothic" w:hAnsi="Verdana" w:cs="Century Gothic"/>
          <w:sz w:val="21"/>
          <w:szCs w:val="21"/>
          <w:lang w:val="es-ES"/>
        </w:rPr>
        <w:t>2. ¿Si un gobernador de alguno de los 32 departamentos de Colombia puede contratar con asociaciones de albañiles y constructores para la ejecución de obras de mejoramiento de vivienda u otro tipo de obras de construcción?</w:t>
      </w:r>
    </w:p>
    <w:p w14:paraId="6C02CD3C" w14:textId="77777777" w:rsidR="009A24FD" w:rsidRPr="009A24FD" w:rsidRDefault="009A24FD" w:rsidP="009A24FD">
      <w:pPr>
        <w:spacing w:after="0" w:line="240" w:lineRule="auto"/>
        <w:ind w:left="709" w:right="709"/>
        <w:jc w:val="both"/>
        <w:rPr>
          <w:rFonts w:ascii="Verdana" w:eastAsia="Century Gothic" w:hAnsi="Verdana" w:cs="Century Gothic"/>
          <w:sz w:val="21"/>
          <w:szCs w:val="21"/>
          <w:lang w:val="es-ES"/>
        </w:rPr>
      </w:pPr>
    </w:p>
    <w:p w14:paraId="428868B0" w14:textId="77777777" w:rsidR="009A24FD" w:rsidRPr="009A24FD" w:rsidRDefault="009A24FD" w:rsidP="009A24FD">
      <w:pPr>
        <w:spacing w:after="0" w:line="240" w:lineRule="auto"/>
        <w:ind w:left="709" w:right="709"/>
        <w:jc w:val="both"/>
        <w:rPr>
          <w:rFonts w:ascii="Verdana" w:eastAsia="Century Gothic" w:hAnsi="Verdana" w:cs="Century Gothic"/>
          <w:sz w:val="21"/>
          <w:szCs w:val="21"/>
          <w:lang w:val="es-ES"/>
        </w:rPr>
      </w:pPr>
      <w:r w:rsidRPr="009A24FD">
        <w:rPr>
          <w:rFonts w:ascii="Verdana" w:eastAsia="Century Gothic" w:hAnsi="Verdana" w:cs="Century Gothic"/>
          <w:sz w:val="21"/>
          <w:szCs w:val="21"/>
          <w:lang w:val="es-ES"/>
        </w:rPr>
        <w:t>3. ¿Si los alcaldes de los municipios y distritos de Colombia pueden contratar directamente con las asociaciones de albañiles y constructores?”</w:t>
      </w:r>
    </w:p>
    <w:p w14:paraId="06250560" w14:textId="77777777" w:rsidR="009A24FD" w:rsidRPr="009A24FD" w:rsidRDefault="009A24FD" w:rsidP="009A24FD">
      <w:pPr>
        <w:tabs>
          <w:tab w:val="left" w:pos="142"/>
          <w:tab w:val="left" w:pos="284"/>
        </w:tabs>
        <w:spacing w:line="276" w:lineRule="auto"/>
        <w:contextualSpacing/>
        <w:jc w:val="both"/>
        <w:rPr>
          <w:rFonts w:ascii="Verdana" w:eastAsia="Century Gothic" w:hAnsi="Verdana" w:cs="Century Gothic"/>
          <w:b/>
          <w:bCs/>
          <w:lang w:val="es-ES"/>
        </w:rPr>
      </w:pPr>
    </w:p>
    <w:p w14:paraId="554BFAC2" w14:textId="77777777" w:rsidR="009A24FD" w:rsidRPr="009A24FD" w:rsidRDefault="009A24FD" w:rsidP="009A24FD">
      <w:pPr>
        <w:spacing w:after="120" w:line="276" w:lineRule="auto"/>
        <w:ind w:firstLine="709"/>
        <w:jc w:val="both"/>
        <w:rPr>
          <w:rFonts w:ascii="Verdana" w:eastAsia="Calibri" w:hAnsi="Verdana" w:cs="Arial"/>
          <w:szCs w:val="24"/>
          <w:lang w:val="es-ES_tradnl" w:eastAsia="es-ES_tradnl"/>
        </w:rPr>
      </w:pPr>
      <w:r w:rsidRPr="009A24F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A24FD">
        <w:rPr>
          <w:rFonts w:ascii="Verdana" w:eastAsia="Calibri" w:hAnsi="Verdana" w:cs="Arial"/>
          <w:szCs w:val="24"/>
          <w:lang w:val="es-ES_tradnl" w:eastAsia="es-ES_tradnl"/>
        </w:rPr>
        <w:tab/>
      </w:r>
    </w:p>
    <w:p w14:paraId="5EDFB7DF" w14:textId="77777777" w:rsidR="009A24FD" w:rsidRPr="009A24FD" w:rsidRDefault="009A24FD" w:rsidP="009A24FD">
      <w:pPr>
        <w:spacing w:after="0" w:line="276" w:lineRule="auto"/>
        <w:ind w:firstLine="709"/>
        <w:jc w:val="both"/>
        <w:rPr>
          <w:rFonts w:ascii="Verdana" w:eastAsia="Calibri" w:hAnsi="Verdana" w:cs="Arial"/>
          <w:lang w:val="es-ES" w:eastAsia="es-ES"/>
        </w:rPr>
      </w:pPr>
      <w:r w:rsidRPr="009A24FD">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79DC638" w14:textId="77777777" w:rsidR="009A24FD" w:rsidRPr="009A24FD" w:rsidRDefault="009A24FD" w:rsidP="009A24FD">
      <w:pPr>
        <w:spacing w:after="0" w:line="276" w:lineRule="auto"/>
        <w:ind w:firstLine="709"/>
        <w:jc w:val="both"/>
        <w:rPr>
          <w:rFonts w:ascii="Verdana" w:eastAsia="Calibri" w:hAnsi="Verdana" w:cs="Arial"/>
          <w:lang w:val="es-ES" w:eastAsia="es-ES"/>
        </w:rPr>
      </w:pPr>
    </w:p>
    <w:p w14:paraId="0ACA34E1" w14:textId="77777777" w:rsidR="009A24FD" w:rsidRPr="009A24FD" w:rsidRDefault="009A24FD" w:rsidP="009A24FD">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9A24FD">
        <w:rPr>
          <w:rFonts w:ascii="Verdana" w:eastAsia="Century Gothic" w:hAnsi="Verdana" w:cs="Century Gothic"/>
          <w:b/>
          <w:bCs/>
          <w:lang w:val="es-ES"/>
        </w:rPr>
        <w:t>Problema planteado:</w:t>
      </w:r>
    </w:p>
    <w:p w14:paraId="0A5B49BF" w14:textId="77777777" w:rsidR="009A24FD" w:rsidRPr="009A24FD" w:rsidRDefault="009A24FD" w:rsidP="009A24FD">
      <w:pPr>
        <w:tabs>
          <w:tab w:val="left" w:pos="426"/>
        </w:tabs>
        <w:spacing w:after="0" w:line="276" w:lineRule="auto"/>
        <w:jc w:val="both"/>
        <w:rPr>
          <w:rFonts w:ascii="Verdana" w:eastAsia="Century Gothic" w:hAnsi="Verdana" w:cs="Century Gothic"/>
          <w:lang w:val="es-ES"/>
        </w:rPr>
      </w:pPr>
    </w:p>
    <w:p w14:paraId="6B28EC17" w14:textId="77777777" w:rsidR="009A24FD" w:rsidRPr="009A24FD" w:rsidRDefault="009A24FD" w:rsidP="009A24FD">
      <w:pPr>
        <w:spacing w:after="0" w:line="276" w:lineRule="auto"/>
        <w:jc w:val="both"/>
        <w:rPr>
          <w:rFonts w:ascii="Verdana" w:eastAsia="Century Gothic" w:hAnsi="Verdana" w:cs="Century Gothic"/>
        </w:rPr>
      </w:pPr>
      <w:r w:rsidRPr="009A24FD">
        <w:rPr>
          <w:rFonts w:ascii="Verdana" w:eastAsia="Century Gothic" w:hAnsi="Verdana" w:cs="Century Gothic"/>
        </w:rPr>
        <w:t>De acuerdo con el contenido de su solicitud, esta Agencia resolverá los siguientes problemas jurídicos:</w:t>
      </w:r>
    </w:p>
    <w:p w14:paraId="1BF6280B" w14:textId="77777777" w:rsidR="009A24FD" w:rsidRPr="009A24FD" w:rsidRDefault="009A24FD" w:rsidP="009A24FD">
      <w:pPr>
        <w:spacing w:after="0" w:line="276" w:lineRule="auto"/>
        <w:jc w:val="both"/>
        <w:rPr>
          <w:rFonts w:ascii="Verdana" w:eastAsia="Century Gothic" w:hAnsi="Verdana" w:cs="Century Gothic"/>
        </w:rPr>
      </w:pPr>
    </w:p>
    <w:p w14:paraId="4D6AE0DF" w14:textId="77777777" w:rsidR="009A24FD" w:rsidRPr="009A24FD" w:rsidRDefault="009A24FD" w:rsidP="009A24FD">
      <w:pPr>
        <w:numPr>
          <w:ilvl w:val="0"/>
          <w:numId w:val="19"/>
        </w:numPr>
        <w:spacing w:after="0" w:line="276" w:lineRule="auto"/>
        <w:contextualSpacing/>
        <w:jc w:val="both"/>
        <w:rPr>
          <w:rFonts w:ascii="Verdana" w:eastAsia="Century Gothic" w:hAnsi="Verdana" w:cs="Century Gothic"/>
        </w:rPr>
      </w:pPr>
      <w:r w:rsidRPr="009A24FD">
        <w:rPr>
          <w:rFonts w:ascii="Verdana" w:eastAsia="Century Gothic" w:hAnsi="Verdana" w:cs="Century Gothic"/>
        </w:rPr>
        <w:t>¿Las asociaciones y/o entidades sin ánimo de lucro pueden contratar con las entidades estatales del orden nacional y territorial?</w:t>
      </w:r>
    </w:p>
    <w:p w14:paraId="1841B1AB" w14:textId="77777777" w:rsidR="009A24FD" w:rsidRPr="009A24FD" w:rsidRDefault="009A24FD" w:rsidP="009A24FD">
      <w:pPr>
        <w:spacing w:after="0" w:line="276" w:lineRule="auto"/>
        <w:ind w:left="720"/>
        <w:contextualSpacing/>
        <w:jc w:val="both"/>
        <w:rPr>
          <w:rFonts w:ascii="Verdana" w:eastAsia="Century Gothic" w:hAnsi="Verdana" w:cs="Century Gothic"/>
        </w:rPr>
      </w:pPr>
    </w:p>
    <w:p w14:paraId="2B499AC1" w14:textId="77777777" w:rsidR="009A24FD" w:rsidRPr="009A24FD" w:rsidRDefault="009A24FD" w:rsidP="009A24FD">
      <w:pPr>
        <w:numPr>
          <w:ilvl w:val="0"/>
          <w:numId w:val="19"/>
        </w:numPr>
        <w:spacing w:after="0" w:line="276" w:lineRule="auto"/>
        <w:contextualSpacing/>
        <w:jc w:val="both"/>
        <w:rPr>
          <w:rFonts w:ascii="Verdana" w:eastAsia="Century Gothic" w:hAnsi="Verdana" w:cs="Century Gothic"/>
        </w:rPr>
      </w:pPr>
      <w:r w:rsidRPr="009A24FD">
        <w:rPr>
          <w:rFonts w:ascii="Verdana" w:eastAsia="Century Gothic" w:hAnsi="Verdana" w:cs="Century Gothic"/>
        </w:rPr>
        <w:t>¿Las entidades estatales del orden territorial pueden contratar con asociaciones de albañiles y constructores, y puede esto hacerse de forma directa?</w:t>
      </w:r>
    </w:p>
    <w:p w14:paraId="41C2A957" w14:textId="77777777" w:rsidR="009A24FD" w:rsidRPr="009A24FD" w:rsidRDefault="009A24FD" w:rsidP="009A24FD">
      <w:pPr>
        <w:spacing w:after="0" w:line="276" w:lineRule="auto"/>
        <w:jc w:val="both"/>
        <w:rPr>
          <w:rFonts w:ascii="Verdana" w:eastAsia="Calibri" w:hAnsi="Verdana" w:cs="Arial"/>
          <w:lang w:val="es-ES"/>
        </w:rPr>
      </w:pPr>
    </w:p>
    <w:p w14:paraId="63E75687" w14:textId="77777777" w:rsidR="009A24FD" w:rsidRPr="009A24FD" w:rsidRDefault="009A24FD" w:rsidP="009A24F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A24FD">
        <w:rPr>
          <w:rFonts w:ascii="Verdana" w:eastAsia="Century Gothic" w:hAnsi="Verdana" w:cs="Century Gothic"/>
          <w:b/>
          <w:bCs/>
          <w:lang w:val="es-ES"/>
        </w:rPr>
        <w:t>Respuesta:</w:t>
      </w:r>
    </w:p>
    <w:p w14:paraId="3CEF76C6" w14:textId="77777777" w:rsidR="009A24FD" w:rsidRPr="009A24FD" w:rsidRDefault="009A24FD" w:rsidP="009A24F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A24FD" w:rsidRPr="009A24FD" w14:paraId="0E42E108" w14:textId="77777777" w:rsidTr="00DA49DD">
        <w:tc>
          <w:tcPr>
            <w:tcW w:w="8828" w:type="dxa"/>
            <w:shd w:val="clear" w:color="auto" w:fill="auto"/>
          </w:tcPr>
          <w:p w14:paraId="49AC5BD3" w14:textId="77777777" w:rsidR="009A24FD" w:rsidRPr="009A24FD" w:rsidRDefault="009A24FD" w:rsidP="009A24FD">
            <w:pPr>
              <w:spacing w:line="276" w:lineRule="auto"/>
              <w:jc w:val="both"/>
              <w:rPr>
                <w:rFonts w:ascii="Verdana" w:eastAsia="Calibri" w:hAnsi="Verdana" w:cs="Arial"/>
                <w:lang w:val="es-ES"/>
              </w:rPr>
            </w:pPr>
            <w:r w:rsidRPr="009A24FD">
              <w:rPr>
                <w:rFonts w:ascii="Verdana" w:eastAsia="Calibri" w:hAnsi="Verdana" w:cs="Arial"/>
                <w:lang w:val="es-ES"/>
              </w:rPr>
              <w:lastRenderedPageBreak/>
              <w:t xml:space="preserve">El Decreto 092 de 2017 dispone reglas para las contrataciones que realicen las entidades estatales (del orden nacional y territorial) con las ESAL. Para estos efectos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744B9BF2" w14:textId="77777777" w:rsidR="009A24FD" w:rsidRPr="009A24FD" w:rsidRDefault="009A24FD" w:rsidP="009A24FD">
            <w:pPr>
              <w:spacing w:line="276" w:lineRule="auto"/>
              <w:contextualSpacing/>
              <w:jc w:val="both"/>
              <w:rPr>
                <w:rFonts w:ascii="Verdana" w:eastAsia="Calibri" w:hAnsi="Verdana" w:cs="Arial"/>
              </w:rPr>
            </w:pPr>
          </w:p>
          <w:p w14:paraId="13AA7B24" w14:textId="77777777" w:rsidR="009A24FD" w:rsidRPr="009A24FD" w:rsidRDefault="009A24FD" w:rsidP="009A24FD">
            <w:pPr>
              <w:spacing w:line="276" w:lineRule="auto"/>
              <w:contextualSpacing/>
              <w:jc w:val="both"/>
              <w:rPr>
                <w:rFonts w:ascii="Verdana" w:eastAsia="Calibri" w:hAnsi="Verdana" w:cs="Arial"/>
              </w:rPr>
            </w:pPr>
            <w:r w:rsidRPr="009A24FD">
              <w:rPr>
                <w:rFonts w:ascii="Verdana" w:eastAsia="Calibri" w:hAnsi="Verdana" w:cs="Arial"/>
                <w:color w:val="000000"/>
              </w:rPr>
              <w:t>Sin embargo, no todas las actividades que las Entidades Estatales deben desarrollar para alcanzar sus objetivos misionales deben ejecutarse a través de la celebración de contratos del artículo 355 superior o convenios de asociación. Al respecto,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p>
        </w:tc>
      </w:tr>
    </w:tbl>
    <w:p w14:paraId="36BFB84A" w14:textId="77777777" w:rsidR="009A24FD" w:rsidRPr="009A24FD" w:rsidRDefault="009A24FD" w:rsidP="009A24FD">
      <w:pPr>
        <w:tabs>
          <w:tab w:val="left" w:pos="142"/>
          <w:tab w:val="left" w:pos="284"/>
        </w:tabs>
        <w:spacing w:after="0" w:line="276" w:lineRule="auto"/>
        <w:jc w:val="both"/>
        <w:rPr>
          <w:rFonts w:ascii="Verdana" w:eastAsia="Century Gothic" w:hAnsi="Verdana" w:cs="Century Gothic"/>
          <w:b/>
          <w:bCs/>
          <w:lang w:val="es-ES"/>
        </w:rPr>
      </w:pPr>
    </w:p>
    <w:p w14:paraId="740DB430" w14:textId="77777777" w:rsidR="009A24FD" w:rsidRPr="009A24FD" w:rsidRDefault="009A24FD" w:rsidP="009A24F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A24FD">
        <w:rPr>
          <w:rFonts w:ascii="Verdana" w:eastAsia="Century Gothic" w:hAnsi="Verdana" w:cs="Century Gothic"/>
          <w:b/>
          <w:bCs/>
          <w:lang w:val="es-ES"/>
        </w:rPr>
        <w:t>Razones de la respuesta:</w:t>
      </w:r>
    </w:p>
    <w:p w14:paraId="4CC69650" w14:textId="77777777" w:rsidR="009A24FD" w:rsidRPr="009A24FD" w:rsidRDefault="009A24FD" w:rsidP="009A24FD">
      <w:pPr>
        <w:spacing w:after="0" w:line="276" w:lineRule="auto"/>
        <w:jc w:val="both"/>
        <w:rPr>
          <w:rFonts w:ascii="Verdana" w:eastAsia="Calibri" w:hAnsi="Verdana" w:cs="Arial"/>
          <w:lang w:val="es-ES"/>
        </w:rPr>
      </w:pPr>
    </w:p>
    <w:p w14:paraId="79816515" w14:textId="77777777" w:rsidR="009A24FD" w:rsidRPr="009A24FD" w:rsidRDefault="009A24FD" w:rsidP="009A24FD">
      <w:pPr>
        <w:spacing w:after="0" w:line="276" w:lineRule="auto"/>
        <w:jc w:val="both"/>
        <w:rPr>
          <w:rFonts w:ascii="Verdana" w:eastAsia="Calibri" w:hAnsi="Verdana" w:cs="Arial"/>
          <w:lang w:val="es-ES"/>
        </w:rPr>
      </w:pPr>
      <w:r w:rsidRPr="009A24FD">
        <w:rPr>
          <w:rFonts w:ascii="Verdana" w:eastAsia="Calibri" w:hAnsi="Verdana" w:cs="Arial"/>
          <w:lang w:val="es-ES"/>
        </w:rPr>
        <w:t xml:space="preserve">Lo anterior se sustenta en las siguientes consideraciones: </w:t>
      </w:r>
    </w:p>
    <w:p w14:paraId="740FD7A7" w14:textId="77777777" w:rsidR="009A24FD" w:rsidRPr="009A24FD" w:rsidRDefault="009A24FD" w:rsidP="009A24FD">
      <w:pPr>
        <w:spacing w:after="0" w:line="276" w:lineRule="auto"/>
        <w:jc w:val="both"/>
        <w:rPr>
          <w:rFonts w:ascii="Verdana" w:eastAsia="Calibri" w:hAnsi="Verdana" w:cs="Arial"/>
          <w:lang w:val="es-ES"/>
        </w:rPr>
      </w:pPr>
    </w:p>
    <w:p w14:paraId="1ED119C8" w14:textId="77777777" w:rsidR="009A24FD" w:rsidRPr="009A24FD" w:rsidRDefault="009A24FD" w:rsidP="009A24FD">
      <w:pPr>
        <w:numPr>
          <w:ilvl w:val="0"/>
          <w:numId w:val="17"/>
        </w:numPr>
        <w:spacing w:after="0" w:line="276" w:lineRule="auto"/>
        <w:jc w:val="both"/>
        <w:rPr>
          <w:rFonts w:ascii="Verdana" w:eastAsia="Calibri" w:hAnsi="Verdana" w:cs="Arial"/>
          <w:kern w:val="2"/>
          <w:lang w:val="es-ES"/>
          <w14:ligatures w14:val="standardContextual"/>
        </w:rPr>
      </w:pPr>
      <w:r w:rsidRPr="009A24FD">
        <w:rPr>
          <w:rFonts w:ascii="Verdana" w:eastAsia="Calibri" w:hAnsi="Verdana" w:cs="Arial"/>
          <w:kern w:val="2"/>
          <w:lang w:val="es-ES"/>
          <w14:ligatures w14:val="standardContextu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9A24FD">
        <w:rPr>
          <w:rFonts w:ascii="Verdana" w:eastAsia="Aptos" w:hAnsi="Verdana" w:cs="Arial"/>
          <w:kern w:val="2"/>
          <w:vertAlign w:val="superscript"/>
          <w:lang w:val="es-ES_tradnl"/>
          <w14:ligatures w14:val="standardContextual"/>
        </w:rPr>
        <w:footnoteReference w:id="2"/>
      </w:r>
      <w:r w:rsidRPr="009A24FD">
        <w:rPr>
          <w:rFonts w:ascii="Verdana" w:eastAsia="Calibri" w:hAnsi="Verdana" w:cs="Arial"/>
          <w:kern w:val="2"/>
          <w:lang w:val="es-ES"/>
          <w14:ligatures w14:val="standardContextual"/>
        </w:rPr>
        <w:t xml:space="preserve">.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w:t>
      </w:r>
      <w:r w:rsidRPr="009A24FD">
        <w:rPr>
          <w:rFonts w:ascii="Verdana" w:eastAsia="Calibri" w:hAnsi="Verdana" w:cs="Arial"/>
          <w:kern w:val="2"/>
          <w:lang w:val="es-ES"/>
          <w14:ligatures w14:val="standardContextual"/>
        </w:rPr>
        <w:lastRenderedPageBreak/>
        <w:t>fin desarrollar conjuntamente actividades relacionadas con los cometidos y funciones legales asignadas a la entidad</w:t>
      </w:r>
      <w:r w:rsidRPr="009A24FD">
        <w:rPr>
          <w:rFonts w:ascii="Verdana" w:eastAsia="Calibri" w:hAnsi="Verdana" w:cs="Arial"/>
          <w:kern w:val="2"/>
          <w:vertAlign w:val="superscript"/>
          <w:lang w:val="es-ES_tradnl"/>
          <w14:ligatures w14:val="standardContextual"/>
        </w:rPr>
        <w:footnoteReference w:id="3"/>
      </w:r>
      <w:r w:rsidRPr="009A24FD">
        <w:rPr>
          <w:rFonts w:ascii="Verdana" w:eastAsia="Calibri" w:hAnsi="Verdana" w:cs="Arial"/>
          <w:kern w:val="2"/>
          <w:lang w:val="es-ES"/>
          <w14:ligatures w14:val="standardContextual"/>
        </w:rPr>
        <w:t>.</w:t>
      </w:r>
    </w:p>
    <w:p w14:paraId="56D6C7BA" w14:textId="77777777" w:rsidR="009A24FD" w:rsidRPr="009A24FD" w:rsidRDefault="009A24FD" w:rsidP="009A24FD">
      <w:pPr>
        <w:spacing w:after="0" w:line="276" w:lineRule="auto"/>
        <w:ind w:left="720"/>
        <w:jc w:val="both"/>
        <w:rPr>
          <w:rFonts w:ascii="Verdana" w:eastAsia="Calibri" w:hAnsi="Verdana" w:cs="Arial"/>
          <w:kern w:val="2"/>
          <w:lang w:val="es-ES"/>
          <w14:ligatures w14:val="standardContextual"/>
        </w:rPr>
      </w:pPr>
    </w:p>
    <w:p w14:paraId="08B8FBA5" w14:textId="77777777" w:rsidR="009A24FD" w:rsidRPr="009A24FD" w:rsidRDefault="009A24FD" w:rsidP="009A24FD">
      <w:pPr>
        <w:numPr>
          <w:ilvl w:val="0"/>
          <w:numId w:val="17"/>
        </w:numPr>
        <w:spacing w:after="0" w:line="276" w:lineRule="auto"/>
        <w:ind w:left="714" w:hanging="357"/>
        <w:jc w:val="both"/>
        <w:rPr>
          <w:rFonts w:ascii="Verdana" w:eastAsia="Calibri" w:hAnsi="Verdana" w:cs="Arial"/>
          <w:kern w:val="2"/>
          <w:lang w:val="es-ES"/>
          <w14:ligatures w14:val="standardContextual"/>
        </w:rPr>
      </w:pPr>
      <w:bookmarkStart w:id="3" w:name="_Hlk38819155"/>
      <w:r w:rsidRPr="009A24FD">
        <w:rPr>
          <w:rFonts w:ascii="Verdana" w:eastAsia="Calibri" w:hAnsi="Verdana" w:cs="Arial"/>
          <w:kern w:val="2"/>
          <w:lang w:val="es-ES"/>
          <w14:ligatures w14:val="standardContextual"/>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3B9AB0F3" w14:textId="77777777" w:rsidR="009A24FD" w:rsidRPr="009A24FD" w:rsidRDefault="009A24FD" w:rsidP="009A24FD">
      <w:pPr>
        <w:spacing w:after="0" w:line="276" w:lineRule="auto"/>
        <w:jc w:val="both"/>
        <w:rPr>
          <w:rFonts w:ascii="Verdana" w:eastAsia="Calibri" w:hAnsi="Verdana" w:cs="Arial"/>
          <w:kern w:val="2"/>
          <w:lang w:val="es-ES"/>
          <w14:ligatures w14:val="standardContextual"/>
        </w:rPr>
      </w:pPr>
    </w:p>
    <w:bookmarkEnd w:id="3"/>
    <w:p w14:paraId="3883231C" w14:textId="77777777" w:rsidR="009A24FD" w:rsidRPr="009A24FD" w:rsidRDefault="009A24FD" w:rsidP="009A24FD">
      <w:pPr>
        <w:numPr>
          <w:ilvl w:val="0"/>
          <w:numId w:val="17"/>
        </w:numPr>
        <w:spacing w:after="0" w:line="276" w:lineRule="auto"/>
        <w:ind w:left="714" w:hanging="357"/>
        <w:jc w:val="both"/>
        <w:rPr>
          <w:rFonts w:ascii="Verdana" w:eastAsia="Calibri" w:hAnsi="Verdana" w:cs="Arial"/>
          <w:kern w:val="2"/>
          <w:lang w:val="es-ES"/>
          <w14:ligatures w14:val="standardContextual"/>
        </w:rPr>
      </w:pPr>
      <w:r w:rsidRPr="009A24FD">
        <w:rPr>
          <w:rFonts w:ascii="Verdana" w:eastAsia="Calibri" w:hAnsi="Verdana" w:cs="Arial"/>
          <w:kern w:val="2"/>
          <w:lang w:val="es-ES"/>
          <w14:ligatures w14:val="standardContextual"/>
        </w:rPr>
        <w:t xml:space="preserve">Los </w:t>
      </w:r>
      <w:r w:rsidRPr="009A24FD">
        <w:rPr>
          <w:rFonts w:ascii="Verdana" w:eastAsia="Calibri" w:hAnsi="Verdana" w:cs="Arial"/>
          <w:i/>
          <w:kern w:val="2"/>
          <w:lang w:val="es-ES"/>
          <w14:ligatures w14:val="standardContextual"/>
        </w:rPr>
        <w:t>contratos del artículo 355 de la Constitución Política</w:t>
      </w:r>
      <w:r w:rsidRPr="009A24FD">
        <w:rPr>
          <w:rFonts w:ascii="Verdana" w:eastAsia="Calibri" w:hAnsi="Verdana" w:cs="Arial"/>
          <w:kern w:val="2"/>
          <w:lang w:val="es-ES"/>
          <w14:ligatures w14:val="standardContextu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w:t>
      </w:r>
    </w:p>
    <w:p w14:paraId="19E6B1EE" w14:textId="77777777" w:rsidR="009A24FD" w:rsidRPr="009A24FD" w:rsidRDefault="009A24FD" w:rsidP="009A24FD">
      <w:pPr>
        <w:spacing w:after="0" w:line="276" w:lineRule="auto"/>
        <w:jc w:val="both"/>
        <w:rPr>
          <w:rFonts w:ascii="Verdana" w:eastAsia="Calibri" w:hAnsi="Verdana" w:cs="Arial"/>
          <w:kern w:val="2"/>
          <w:lang w:val="es-ES"/>
          <w14:ligatures w14:val="standardContextual"/>
        </w:rPr>
      </w:pPr>
    </w:p>
    <w:p w14:paraId="4244B940" w14:textId="77777777" w:rsidR="009A24FD" w:rsidRPr="009A24FD" w:rsidRDefault="009A24FD" w:rsidP="009A24FD">
      <w:pPr>
        <w:numPr>
          <w:ilvl w:val="0"/>
          <w:numId w:val="17"/>
        </w:numPr>
        <w:spacing w:after="0" w:line="276" w:lineRule="auto"/>
        <w:ind w:left="714" w:hanging="357"/>
        <w:jc w:val="both"/>
        <w:rPr>
          <w:rFonts w:ascii="Verdana" w:eastAsia="Calibri" w:hAnsi="Verdana" w:cs="Arial"/>
          <w:kern w:val="2"/>
          <w:lang w:val="es-ES"/>
          <w14:ligatures w14:val="standardContextual"/>
        </w:rPr>
      </w:pPr>
      <w:r w:rsidRPr="009A24FD">
        <w:rPr>
          <w:rFonts w:ascii="Verdana" w:eastAsia="Calibri" w:hAnsi="Verdana" w:cs="Arial"/>
          <w:kern w:val="2"/>
          <w:lang w:val="es-ES"/>
          <w14:ligatures w14:val="standardContextual"/>
        </w:rPr>
        <w:t xml:space="preserve">De otro lado, los </w:t>
      </w:r>
      <w:r w:rsidRPr="009A24FD">
        <w:rPr>
          <w:rFonts w:ascii="Verdana" w:eastAsia="Calibri" w:hAnsi="Verdana" w:cs="Arial"/>
          <w:i/>
          <w:kern w:val="2"/>
          <w:lang w:val="es-ES"/>
          <w14:ligatures w14:val="standardContextual"/>
        </w:rPr>
        <w:t>convenios de asociación</w:t>
      </w:r>
      <w:r w:rsidRPr="009A24FD">
        <w:rPr>
          <w:rFonts w:ascii="Verdana" w:eastAsia="Calibri" w:hAnsi="Verdana" w:cs="Arial"/>
          <w:kern w:val="2"/>
          <w:lang w:val="es-ES"/>
          <w14:ligatures w14:val="standardContextual"/>
        </w:rPr>
        <w:t xml:space="preserve"> “[…] [t]</w:t>
      </w:r>
      <w:proofErr w:type="spellStart"/>
      <w:r w:rsidRPr="009A24FD">
        <w:rPr>
          <w:rFonts w:ascii="Verdana" w:eastAsia="Calibri" w:hAnsi="Verdana" w:cs="Arial"/>
          <w:kern w:val="2"/>
          <w:lang w:val="es-ES"/>
          <w14:ligatures w14:val="standardContextual"/>
        </w:rPr>
        <w:t>ienen</w:t>
      </w:r>
      <w:proofErr w:type="spellEnd"/>
      <w:r w:rsidRPr="009A24FD">
        <w:rPr>
          <w:rFonts w:ascii="Verdana" w:eastAsia="Calibri" w:hAnsi="Verdana" w:cs="Arial"/>
          <w:kern w:val="2"/>
          <w:lang w:val="es-ES"/>
          <w14:ligatures w14:val="standardContextu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A24FD">
        <w:rPr>
          <w:rFonts w:ascii="Verdana" w:eastAsia="Aptos" w:hAnsi="Verdana" w:cs="Arial"/>
          <w:kern w:val="2"/>
          <w:vertAlign w:val="superscript"/>
          <w:lang w:val="es-ES"/>
          <w14:ligatures w14:val="standardContextual"/>
        </w:rPr>
        <w:footnoteReference w:id="4"/>
      </w:r>
      <w:r w:rsidRPr="009A24FD">
        <w:rPr>
          <w:rFonts w:ascii="Verdana" w:eastAsia="Calibri" w:hAnsi="Verdana" w:cs="Arial"/>
          <w:kern w:val="2"/>
          <w:lang w:val="es-ES"/>
          <w14:ligatures w14:val="standardContextual"/>
        </w:rPr>
        <w:t xml:space="preserve">. En estos convenios existen aportes dirigidos, especialmente, a lograr la </w:t>
      </w:r>
      <w:r w:rsidRPr="009A24FD">
        <w:rPr>
          <w:rFonts w:ascii="Verdana" w:eastAsia="Calibri" w:hAnsi="Verdana" w:cs="Arial"/>
          <w:kern w:val="2"/>
          <w:lang w:val="es-ES"/>
          <w14:ligatures w14:val="standardContextual"/>
        </w:rPr>
        <w:lastRenderedPageBreak/>
        <w:t>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9A24FD">
        <w:rPr>
          <w:rFonts w:ascii="Verdana" w:eastAsia="Aptos" w:hAnsi="Verdana" w:cs="Arial"/>
          <w:kern w:val="2"/>
          <w:vertAlign w:val="superscript"/>
          <w:lang w:val="es-ES"/>
          <w14:ligatures w14:val="standardContextual"/>
        </w:rPr>
        <w:footnoteReference w:id="5"/>
      </w:r>
      <w:r w:rsidRPr="009A24FD">
        <w:rPr>
          <w:rFonts w:ascii="Verdana" w:eastAsia="Calibri" w:hAnsi="Verdana" w:cs="Arial"/>
          <w:kern w:val="2"/>
          <w:lang w:val="es-ES"/>
          <w14:ligatures w14:val="standardContextual"/>
        </w:rPr>
        <w:t>.</w:t>
      </w:r>
    </w:p>
    <w:p w14:paraId="61839228" w14:textId="77777777" w:rsidR="009A24FD" w:rsidRPr="009A24FD" w:rsidRDefault="009A24FD" w:rsidP="009A24FD">
      <w:pPr>
        <w:spacing w:after="0" w:line="276" w:lineRule="auto"/>
        <w:jc w:val="both"/>
        <w:rPr>
          <w:rFonts w:ascii="Verdana" w:eastAsia="Calibri" w:hAnsi="Verdana" w:cs="Arial"/>
          <w:kern w:val="2"/>
          <w:lang w:val="es-ES"/>
          <w14:ligatures w14:val="standardContextual"/>
        </w:rPr>
      </w:pPr>
    </w:p>
    <w:p w14:paraId="0F8AF46E" w14:textId="77777777" w:rsidR="009A24FD" w:rsidRPr="009A24FD" w:rsidRDefault="009A24FD" w:rsidP="009A24FD">
      <w:pPr>
        <w:numPr>
          <w:ilvl w:val="0"/>
          <w:numId w:val="17"/>
        </w:numPr>
        <w:spacing w:after="0" w:line="276" w:lineRule="auto"/>
        <w:ind w:left="714" w:hanging="357"/>
        <w:jc w:val="both"/>
        <w:rPr>
          <w:rFonts w:ascii="Verdana" w:eastAsia="Calibri" w:hAnsi="Verdana" w:cs="Arial"/>
          <w:kern w:val="2"/>
          <w:lang w:val="es-ES_tradnl"/>
          <w14:ligatures w14:val="standardContextual"/>
        </w:rPr>
      </w:pPr>
      <w:r w:rsidRPr="009A24FD">
        <w:rPr>
          <w:rFonts w:ascii="Verdana" w:eastAsia="Calibri" w:hAnsi="Verdana" w:cs="Arial"/>
          <w:kern w:val="2"/>
          <w:lang w:val="es-ES_tradnl"/>
          <w14:ligatures w14:val="standardContextual"/>
        </w:rPr>
        <w:t xml:space="preserve">La normativa vigente no impide que varias entidades suscriban conjuntamente el convenio de asociación y tampoco que dos o más ESAL puedan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60CFE904" w14:textId="77777777" w:rsidR="009A24FD" w:rsidRPr="009A24FD" w:rsidRDefault="009A24FD" w:rsidP="009A24FD">
      <w:pPr>
        <w:spacing w:after="0" w:line="276" w:lineRule="auto"/>
        <w:jc w:val="both"/>
        <w:rPr>
          <w:rFonts w:ascii="Verdana" w:eastAsia="Calibri" w:hAnsi="Verdana" w:cs="Arial"/>
          <w:kern w:val="2"/>
          <w:lang w:val="es-ES_tradnl"/>
          <w14:ligatures w14:val="standardContextual"/>
        </w:rPr>
      </w:pPr>
    </w:p>
    <w:p w14:paraId="232B1C1E" w14:textId="77777777" w:rsidR="009A24FD" w:rsidRPr="009A24FD" w:rsidRDefault="009A24FD" w:rsidP="009A24FD">
      <w:pPr>
        <w:numPr>
          <w:ilvl w:val="0"/>
          <w:numId w:val="17"/>
        </w:numPr>
        <w:spacing w:after="0" w:line="276" w:lineRule="auto"/>
        <w:jc w:val="both"/>
        <w:rPr>
          <w:rFonts w:ascii="Verdana" w:eastAsia="Calibri" w:hAnsi="Verdana" w:cs="Arial"/>
          <w:kern w:val="2"/>
          <w:lang w:val="es-ES_tradnl"/>
          <w14:ligatures w14:val="standardContextual"/>
        </w:rPr>
      </w:pPr>
      <w:r w:rsidRPr="009A24FD">
        <w:rPr>
          <w:rFonts w:ascii="Verdana" w:eastAsia="Calibri" w:hAnsi="Verdana" w:cs="Arial"/>
          <w:kern w:val="2"/>
          <w:lang w:val="es-ES_tradnl"/>
          <w14:ligatures w14:val="standardContextual"/>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w:t>
      </w:r>
      <w:r w:rsidRPr="009A24FD">
        <w:rPr>
          <w:rFonts w:ascii="Verdana" w:eastAsia="Calibri" w:hAnsi="Verdana" w:cs="Arial"/>
          <w:i/>
          <w:kern w:val="2"/>
          <w:lang w:val="es-ES_tradnl"/>
          <w14:ligatures w14:val="standardContextual"/>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47E26052" w14:textId="77777777" w:rsidR="009A24FD" w:rsidRPr="009A24FD" w:rsidRDefault="009A24FD" w:rsidP="009A24FD">
      <w:pPr>
        <w:spacing w:after="0" w:line="276" w:lineRule="auto"/>
        <w:jc w:val="both"/>
        <w:rPr>
          <w:rFonts w:ascii="Verdana" w:eastAsia="Calibri" w:hAnsi="Verdana" w:cs="Arial"/>
          <w:kern w:val="2"/>
          <w:lang w:val="es-ES_tradnl"/>
          <w14:ligatures w14:val="standardContextual"/>
        </w:rPr>
      </w:pPr>
    </w:p>
    <w:p w14:paraId="5296172F" w14:textId="77777777" w:rsidR="009A24FD" w:rsidRPr="009A24FD" w:rsidRDefault="009A24FD" w:rsidP="009A24FD">
      <w:pPr>
        <w:numPr>
          <w:ilvl w:val="0"/>
          <w:numId w:val="17"/>
        </w:numPr>
        <w:spacing w:after="0" w:line="276" w:lineRule="auto"/>
        <w:jc w:val="both"/>
        <w:rPr>
          <w:rFonts w:ascii="Verdana" w:eastAsia="Calibri" w:hAnsi="Verdana" w:cs="Arial"/>
          <w:kern w:val="2"/>
          <w:lang w:val="es-ES"/>
          <w14:ligatures w14:val="standardContextual"/>
        </w:rPr>
      </w:pPr>
      <w:r w:rsidRPr="009A24FD">
        <w:rPr>
          <w:rFonts w:ascii="Verdana" w:eastAsia="Calibri" w:hAnsi="Verdana" w:cs="Arial"/>
          <w:kern w:val="2"/>
          <w:lang w:val="es-ES"/>
          <w14:ligatures w14:val="standardContextual"/>
        </w:rPr>
        <w:t xml:space="preserve">De conformidad con lo anterior, el citado artículo 355 establece el régimen de la contratación con ESALES, el cual –además de extenderse a los </w:t>
      </w:r>
      <w:r w:rsidRPr="009A24FD">
        <w:rPr>
          <w:rFonts w:ascii="Verdana" w:eastAsia="Calibri" w:hAnsi="Verdana" w:cs="Arial"/>
          <w:i/>
          <w:kern w:val="2"/>
          <w:lang w:val="es-ES"/>
          <w14:ligatures w14:val="standardContextual"/>
        </w:rPr>
        <w:t>convenios de asociación</w:t>
      </w:r>
      <w:r w:rsidRPr="009A24FD">
        <w:rPr>
          <w:rFonts w:ascii="Verdana" w:eastAsia="Calibri" w:hAnsi="Verdana" w:cs="Arial"/>
          <w:kern w:val="2"/>
          <w:lang w:val="es-ES"/>
          <w14:ligatures w14:val="standardContextual"/>
        </w:rPr>
        <w:t xml:space="preserve"> en virtud de lo dispuesto en el artículo 96 de la Ley 489 de 1998– se desarrolló a través del Decreto 092 de 2017. Esta </w:t>
      </w:r>
      <w:r w:rsidRPr="009A24FD">
        <w:rPr>
          <w:rFonts w:ascii="Verdana" w:eastAsia="Calibri" w:hAnsi="Verdana" w:cs="Arial"/>
          <w:kern w:val="2"/>
          <w:lang w:val="es-ES"/>
          <w14:ligatures w14:val="standardContextual"/>
        </w:rPr>
        <w:lastRenderedPageBreak/>
        <w:t>contratación, si bien está regulada, principalmente, por dicho decreto autónomo, también está sometida a las prohibiciones, inhabilidades e incompatibilidades establecidas en la Constitución y en las Leyes 80 de 1993, 1150 de 2007 y 1474 de 2011, según reconoce el artículo 6 del decreto</w:t>
      </w:r>
      <w:r w:rsidRPr="009A24FD">
        <w:rPr>
          <w:rFonts w:ascii="Verdana" w:eastAsia="Calibri" w:hAnsi="Verdana" w:cs="Arial"/>
          <w:kern w:val="2"/>
          <w:vertAlign w:val="superscript"/>
          <w:lang w:val="es-ES"/>
          <w14:ligatures w14:val="standardContextual"/>
        </w:rPr>
        <w:footnoteReference w:id="6"/>
      </w:r>
      <w:r w:rsidRPr="009A24FD">
        <w:rPr>
          <w:rFonts w:ascii="Verdana" w:eastAsia="Calibri" w:hAnsi="Verdana" w:cs="Arial"/>
          <w:kern w:val="2"/>
          <w:lang w:val="es-ES"/>
          <w14:ligatures w14:val="standardContextual"/>
        </w:rPr>
        <w:t>, así como a los principios de la contratación estatal y las normas presupuestales, según indica el artículo 7</w:t>
      </w:r>
      <w:r w:rsidRPr="009A24FD">
        <w:rPr>
          <w:rFonts w:ascii="Verdana" w:eastAsia="Calibri" w:hAnsi="Verdana" w:cs="Arial"/>
          <w:kern w:val="2"/>
          <w:vertAlign w:val="superscript"/>
          <w:lang w:val="es-ES"/>
          <w14:ligatures w14:val="standardContextual"/>
        </w:rPr>
        <w:footnoteReference w:id="7"/>
      </w:r>
      <w:r w:rsidRPr="009A24FD">
        <w:rPr>
          <w:rFonts w:ascii="Verdana" w:eastAsia="Calibri" w:hAnsi="Verdana" w:cs="Arial"/>
          <w:kern w:val="2"/>
          <w:lang w:val="es-ES"/>
          <w14:ligatures w14:val="standardContextual"/>
        </w:rPr>
        <w:t xml:space="preserve">. </w:t>
      </w:r>
    </w:p>
    <w:p w14:paraId="63044767" w14:textId="77777777" w:rsidR="009A24FD" w:rsidRPr="009A24FD" w:rsidRDefault="009A24FD" w:rsidP="009A24FD">
      <w:pPr>
        <w:spacing w:after="0" w:line="276" w:lineRule="auto"/>
        <w:jc w:val="both"/>
        <w:rPr>
          <w:rFonts w:ascii="Verdana" w:eastAsia="Calibri" w:hAnsi="Verdana" w:cs="Arial"/>
          <w:kern w:val="2"/>
          <w:lang w:val="es-ES"/>
          <w14:ligatures w14:val="standardContextual"/>
        </w:rPr>
      </w:pPr>
    </w:p>
    <w:p w14:paraId="363438BF" w14:textId="77777777" w:rsidR="009A24FD" w:rsidRPr="009A24FD" w:rsidRDefault="009A24FD" w:rsidP="009A24FD">
      <w:pPr>
        <w:numPr>
          <w:ilvl w:val="0"/>
          <w:numId w:val="17"/>
        </w:numPr>
        <w:spacing w:after="0" w:line="276" w:lineRule="auto"/>
        <w:jc w:val="both"/>
        <w:rPr>
          <w:rFonts w:ascii="Verdana" w:eastAsia="Century Gothic" w:hAnsi="Verdana" w:cs="Century Gothic"/>
          <w:kern w:val="2"/>
          <w14:ligatures w14:val="standardContextual"/>
        </w:rPr>
      </w:pPr>
      <w:r w:rsidRPr="009A24FD">
        <w:rPr>
          <w:rFonts w:ascii="Verdana" w:eastAsia="Calibri" w:hAnsi="Verdana" w:cs="Arial"/>
          <w:kern w:val="2"/>
          <w:lang w:val="es-ES_tradnl"/>
          <w14:ligatures w14:val="standardContextual"/>
        </w:rPr>
        <w:t>A su vez, el artículo 8 de esta normativa integra las disposiciones generales del sistema de compra pública, en lo no regulado por el Decreto 092 de 2017</w:t>
      </w:r>
      <w:r w:rsidRPr="009A24FD">
        <w:rPr>
          <w:rFonts w:ascii="Verdana" w:eastAsia="Calibri" w:hAnsi="Verdana" w:cs="Arial"/>
          <w:kern w:val="2"/>
          <w:vertAlign w:val="superscript"/>
          <w:lang w:val="es-ES_tradnl"/>
          <w14:ligatures w14:val="standardContextual"/>
        </w:rPr>
        <w:footnoteReference w:id="8"/>
      </w:r>
      <w:r w:rsidRPr="009A24FD">
        <w:rPr>
          <w:rFonts w:ascii="Verdana" w:eastAsia="Calibri" w:hAnsi="Verdana" w:cs="Arial"/>
          <w:kern w:val="2"/>
          <w:lang w:val="es-ES_tradnl"/>
          <w14:ligatures w14:val="standardContextual"/>
        </w:rPr>
        <w:t xml:space="preserve">.  Estas normas integran las lagunas o vacíos normativos del reglamento autónomo, y se aplican a todo lo que no esté expresamente regulado en él. </w:t>
      </w:r>
    </w:p>
    <w:p w14:paraId="0C71DAAC" w14:textId="77777777" w:rsidR="009A24FD" w:rsidRPr="009A24FD" w:rsidRDefault="009A24FD" w:rsidP="009A24FD">
      <w:pPr>
        <w:spacing w:after="0" w:line="276" w:lineRule="auto"/>
        <w:jc w:val="both"/>
        <w:rPr>
          <w:rFonts w:ascii="Verdana" w:eastAsia="Century Gothic" w:hAnsi="Verdana" w:cs="Century Gothic"/>
          <w:kern w:val="2"/>
          <w14:ligatures w14:val="standardContextual"/>
        </w:rPr>
      </w:pPr>
    </w:p>
    <w:p w14:paraId="06DE9F73" w14:textId="77777777" w:rsidR="009A24FD" w:rsidRPr="009A24FD" w:rsidRDefault="009A24FD" w:rsidP="009A24FD">
      <w:pPr>
        <w:numPr>
          <w:ilvl w:val="0"/>
          <w:numId w:val="17"/>
        </w:numPr>
        <w:spacing w:after="0" w:line="276" w:lineRule="auto"/>
        <w:jc w:val="both"/>
        <w:rPr>
          <w:rFonts w:ascii="Verdana" w:eastAsia="Century Gothic" w:hAnsi="Verdana" w:cs="Century Gothic"/>
          <w:kern w:val="2"/>
          <w14:ligatures w14:val="standardContextual"/>
        </w:rPr>
      </w:pPr>
      <w:r w:rsidRPr="009A24FD">
        <w:rPr>
          <w:rFonts w:ascii="Verdana" w:eastAsia="Calibri" w:hAnsi="Verdana" w:cs="Arial"/>
          <w:color w:val="000000"/>
          <w:kern w:val="2"/>
          <w14:ligatures w14:val="standardContextual"/>
        </w:rPr>
        <w:t xml:space="preserve">De acuerdo con lo expuesto, no todas las actividades que las Entidades Estatales deben desarrollar para alcanzar sus objetivos misionales deben ejecutarse a través de la celebración de contratos del artículo 355 superior o convenios de asociación. Al respecto,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 Así lo reconoció la </w:t>
      </w:r>
      <w:bookmarkStart w:id="4" w:name="_Hlk173774576"/>
      <w:r w:rsidRPr="009A24FD">
        <w:rPr>
          <w:rFonts w:ascii="Verdana" w:eastAsia="Calibri" w:hAnsi="Verdana" w:cs="Arial"/>
          <w:color w:val="000000"/>
          <w:kern w:val="2"/>
          <w14:ligatures w14:val="standardContextual"/>
        </w:rPr>
        <w:t>Corte Constitucional, en la sentencia C-287 del 18 de abril de 2012</w:t>
      </w:r>
      <w:bookmarkEnd w:id="4"/>
      <w:r w:rsidRPr="009A24FD">
        <w:rPr>
          <w:rFonts w:ascii="Verdana" w:eastAsia="Calibri" w:hAnsi="Verdana" w:cs="Arial"/>
          <w:color w:val="000000"/>
          <w:kern w:val="2"/>
          <w14:ligatures w14:val="standardContextual"/>
        </w:rPr>
        <w:t>, en la que sostuvo lo siguiente:</w:t>
      </w:r>
    </w:p>
    <w:p w14:paraId="2597C3A3" w14:textId="77777777" w:rsidR="009A24FD" w:rsidRPr="009A24FD" w:rsidRDefault="009A24FD" w:rsidP="009A24FD">
      <w:pPr>
        <w:spacing w:after="0" w:line="276" w:lineRule="auto"/>
        <w:ind w:left="357"/>
        <w:jc w:val="both"/>
        <w:rPr>
          <w:rFonts w:ascii="Verdana" w:eastAsia="Calibri" w:hAnsi="Verdana" w:cs="Arial"/>
          <w:color w:val="000000"/>
          <w:kern w:val="2"/>
          <w:sz w:val="24"/>
          <w:szCs w:val="24"/>
          <w14:ligatures w14:val="standardContextual"/>
        </w:rPr>
      </w:pPr>
    </w:p>
    <w:p w14:paraId="4A391B48" w14:textId="77777777" w:rsidR="009A24FD" w:rsidRPr="009A24FD" w:rsidRDefault="009A24FD" w:rsidP="009A24FD">
      <w:pPr>
        <w:spacing w:after="0" w:line="240" w:lineRule="auto"/>
        <w:ind w:left="709" w:right="709"/>
        <w:jc w:val="both"/>
        <w:rPr>
          <w:rFonts w:ascii="Verdana" w:eastAsia="Calibri" w:hAnsi="Verdana" w:cs="Arial"/>
          <w:color w:val="000000"/>
          <w:kern w:val="2"/>
          <w:sz w:val="21"/>
          <w:szCs w:val="21"/>
          <w14:ligatures w14:val="standardContextual"/>
        </w:rPr>
      </w:pPr>
      <w:r w:rsidRPr="009A24FD">
        <w:rPr>
          <w:rFonts w:ascii="Verdana" w:eastAsia="Calibri" w:hAnsi="Verdana" w:cs="Arial"/>
          <w:color w:val="000000"/>
          <w:kern w:val="2"/>
          <w:sz w:val="21"/>
          <w:szCs w:val="21"/>
          <w14:ligatures w14:val="standardContextual"/>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0BD8758C" w14:textId="77777777" w:rsidR="009A24FD" w:rsidRPr="009A24FD" w:rsidRDefault="009A24FD" w:rsidP="009A24FD">
      <w:pPr>
        <w:spacing w:after="0" w:line="240" w:lineRule="auto"/>
        <w:ind w:left="709" w:right="709"/>
        <w:jc w:val="both"/>
        <w:rPr>
          <w:rFonts w:ascii="Verdana" w:eastAsia="Calibri" w:hAnsi="Verdana" w:cs="Arial"/>
          <w:color w:val="000000"/>
          <w:kern w:val="2"/>
          <w:sz w:val="21"/>
          <w:szCs w:val="21"/>
          <w14:ligatures w14:val="standardContextual"/>
        </w:rPr>
      </w:pPr>
    </w:p>
    <w:p w14:paraId="0A222DEA" w14:textId="77777777" w:rsidR="009A24FD" w:rsidRPr="009A24FD" w:rsidRDefault="009A24FD" w:rsidP="009A24FD">
      <w:pPr>
        <w:spacing w:after="0" w:line="240" w:lineRule="auto"/>
        <w:ind w:left="709" w:right="709"/>
        <w:jc w:val="both"/>
        <w:rPr>
          <w:rFonts w:ascii="Verdana" w:eastAsia="Calibri" w:hAnsi="Verdana" w:cs="Arial"/>
          <w:color w:val="000000"/>
          <w:kern w:val="2"/>
          <w:sz w:val="21"/>
          <w:szCs w:val="21"/>
          <w14:ligatures w14:val="standardContextual"/>
        </w:rPr>
      </w:pPr>
      <w:r w:rsidRPr="009A24FD">
        <w:rPr>
          <w:rFonts w:ascii="Verdana" w:eastAsia="Calibri" w:hAnsi="Verdana" w:cs="Arial"/>
          <w:i/>
          <w:iCs/>
          <w:color w:val="000000"/>
          <w:kern w:val="2"/>
          <w:sz w:val="21"/>
          <w:szCs w:val="21"/>
          <w14:ligatures w14:val="standardContextual"/>
        </w:rPr>
        <w:t xml:space="preserve">Sin embargo, el hecho que no persigan una finalidad </w:t>
      </w:r>
      <w:proofErr w:type="gramStart"/>
      <w:r w:rsidRPr="009A24FD">
        <w:rPr>
          <w:rFonts w:ascii="Verdana" w:eastAsia="Calibri" w:hAnsi="Verdana" w:cs="Arial"/>
          <w:i/>
          <w:iCs/>
          <w:color w:val="000000"/>
          <w:kern w:val="2"/>
          <w:sz w:val="21"/>
          <w:szCs w:val="21"/>
          <w14:ligatures w14:val="standardContextual"/>
        </w:rPr>
        <w:t>lucrativa,</w:t>
      </w:r>
      <w:proofErr w:type="gramEnd"/>
      <w:r w:rsidRPr="009A24FD">
        <w:rPr>
          <w:rFonts w:ascii="Verdana" w:eastAsia="Calibri" w:hAnsi="Verdana" w:cs="Arial"/>
          <w:i/>
          <w:iCs/>
          <w:color w:val="000000"/>
          <w:kern w:val="2"/>
          <w:sz w:val="21"/>
          <w:szCs w:val="21"/>
          <w14:ligatures w14:val="standardContextual"/>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9A24FD">
        <w:rPr>
          <w:rFonts w:ascii="Verdana" w:eastAsia="Calibri" w:hAnsi="Verdana" w:cs="Arial"/>
          <w:color w:val="000000"/>
          <w:kern w:val="2"/>
          <w:sz w:val="21"/>
          <w:szCs w:val="21"/>
          <w14:ligatures w14:val="standardContextual"/>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del texto original]</w:t>
      </w:r>
    </w:p>
    <w:p w14:paraId="5C482A5F" w14:textId="77777777" w:rsidR="009A24FD" w:rsidRPr="009A24FD" w:rsidRDefault="009A24FD" w:rsidP="009A24FD">
      <w:pPr>
        <w:spacing w:after="0" w:line="276" w:lineRule="auto"/>
        <w:ind w:left="357"/>
        <w:jc w:val="both"/>
        <w:rPr>
          <w:rFonts w:ascii="Verdana" w:eastAsia="Calibri" w:hAnsi="Verdana" w:cs="Arial"/>
          <w:color w:val="000000"/>
          <w:kern w:val="2"/>
          <w14:ligatures w14:val="standardContextual"/>
        </w:rPr>
      </w:pPr>
    </w:p>
    <w:p w14:paraId="578E5979" w14:textId="77777777" w:rsidR="009A24FD" w:rsidRPr="009A24FD" w:rsidRDefault="009A24FD" w:rsidP="009A24FD">
      <w:pPr>
        <w:numPr>
          <w:ilvl w:val="0"/>
          <w:numId w:val="20"/>
        </w:numPr>
        <w:spacing w:after="0" w:line="276" w:lineRule="auto"/>
        <w:jc w:val="both"/>
        <w:rPr>
          <w:rFonts w:ascii="Verdana" w:eastAsia="Calibri" w:hAnsi="Verdana" w:cs="Arial"/>
          <w:color w:val="000000"/>
          <w:kern w:val="2"/>
          <w14:ligatures w14:val="standardContextual"/>
        </w:rPr>
      </w:pPr>
      <w:r w:rsidRPr="009A24FD">
        <w:rPr>
          <w:rFonts w:ascii="Verdana" w:eastAsia="Calibri" w:hAnsi="Verdana" w:cs="Arial"/>
          <w:color w:val="000000"/>
          <w:kern w:val="2"/>
          <w14:ligatures w14:val="standardContextual"/>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0B0B646E" w14:textId="77777777" w:rsidR="009A24FD" w:rsidRPr="009A24FD" w:rsidRDefault="009A24FD" w:rsidP="009A24FD">
      <w:pPr>
        <w:spacing w:after="0" w:line="276" w:lineRule="auto"/>
        <w:jc w:val="both"/>
        <w:rPr>
          <w:rFonts w:ascii="Verdana" w:eastAsia="Calibri" w:hAnsi="Verdana" w:cs="Arial"/>
        </w:rPr>
      </w:pPr>
    </w:p>
    <w:p w14:paraId="4F1891E6" w14:textId="77777777" w:rsidR="009A24FD" w:rsidRPr="009A24FD" w:rsidRDefault="009A24FD" w:rsidP="009A24F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A24FD">
        <w:rPr>
          <w:rFonts w:ascii="Verdana" w:eastAsia="Century Gothic" w:hAnsi="Verdana" w:cs="Century Gothic"/>
          <w:b/>
          <w:bCs/>
          <w:lang w:val="es-ES"/>
        </w:rPr>
        <w:t>Referencias normativas, jurisprudenciales y otras fuentes:</w:t>
      </w:r>
    </w:p>
    <w:p w14:paraId="7CA1F865" w14:textId="77777777" w:rsidR="009A24FD" w:rsidRPr="009A24FD" w:rsidRDefault="009A24FD" w:rsidP="009A24FD">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9A24FD" w:rsidRPr="009A24FD" w14:paraId="3581CB2B" w14:textId="77777777" w:rsidTr="00DA49DD">
        <w:trPr>
          <w:trHeight w:val="870"/>
        </w:trPr>
        <w:tc>
          <w:tcPr>
            <w:tcW w:w="8647" w:type="dxa"/>
          </w:tcPr>
          <w:p w14:paraId="6CC344B5" w14:textId="77777777" w:rsidR="009A24FD" w:rsidRPr="009A24FD" w:rsidRDefault="009A24FD" w:rsidP="009A24FD">
            <w:pPr>
              <w:widowControl w:val="0"/>
              <w:numPr>
                <w:ilvl w:val="0"/>
                <w:numId w:val="18"/>
              </w:numPr>
              <w:autoSpaceDE w:val="0"/>
              <w:autoSpaceDN w:val="0"/>
              <w:spacing w:after="120" w:line="276" w:lineRule="auto"/>
              <w:jc w:val="both"/>
              <w:rPr>
                <w:rFonts w:ascii="Verdana" w:eastAsia="Calibri" w:hAnsi="Verdana" w:cs="Arial"/>
              </w:rPr>
            </w:pPr>
            <w:r w:rsidRPr="009A24FD">
              <w:rPr>
                <w:rFonts w:ascii="Verdana" w:eastAsia="Calibri" w:hAnsi="Verdana" w:cs="Arial"/>
              </w:rPr>
              <w:t>Constitución Política de Colombia, artículo 355.</w:t>
            </w:r>
          </w:p>
          <w:p w14:paraId="1A2FC413" w14:textId="77777777" w:rsidR="009A24FD" w:rsidRPr="009A24FD" w:rsidRDefault="009A24FD" w:rsidP="009A24FD">
            <w:pPr>
              <w:widowControl w:val="0"/>
              <w:numPr>
                <w:ilvl w:val="0"/>
                <w:numId w:val="18"/>
              </w:numPr>
              <w:autoSpaceDE w:val="0"/>
              <w:autoSpaceDN w:val="0"/>
              <w:spacing w:after="120" w:line="276" w:lineRule="auto"/>
              <w:jc w:val="both"/>
              <w:rPr>
                <w:rFonts w:ascii="Verdana" w:eastAsia="Calibri" w:hAnsi="Verdana" w:cs="Arial"/>
              </w:rPr>
            </w:pPr>
            <w:r w:rsidRPr="009A24FD">
              <w:rPr>
                <w:rFonts w:ascii="Verdana" w:eastAsia="Calibri" w:hAnsi="Verdana" w:cs="Arial"/>
              </w:rPr>
              <w:t xml:space="preserve">Decreto 092 de 2017, artículos 2, 4, 5 y 8. </w:t>
            </w:r>
          </w:p>
        </w:tc>
      </w:tr>
    </w:tbl>
    <w:p w14:paraId="4F5C0849" w14:textId="77777777" w:rsidR="009A24FD" w:rsidRPr="009A24FD" w:rsidRDefault="009A24FD" w:rsidP="009A24FD">
      <w:pPr>
        <w:widowControl w:val="0"/>
        <w:autoSpaceDE w:val="0"/>
        <w:autoSpaceDN w:val="0"/>
        <w:snapToGrid w:val="0"/>
        <w:spacing w:after="0" w:line="276" w:lineRule="auto"/>
        <w:jc w:val="both"/>
        <w:rPr>
          <w:rFonts w:ascii="Verdana" w:eastAsia="Calibri" w:hAnsi="Verdana" w:cs="Arial"/>
        </w:rPr>
      </w:pPr>
    </w:p>
    <w:p w14:paraId="18B6C64B" w14:textId="77777777" w:rsidR="009A24FD" w:rsidRPr="009A24FD" w:rsidRDefault="009A24FD" w:rsidP="009A24F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9A24FD">
        <w:rPr>
          <w:rFonts w:ascii="Verdana" w:eastAsia="Century Gothic" w:hAnsi="Verdana" w:cs="Century Gothic"/>
          <w:b/>
          <w:bCs/>
          <w:lang w:val="es-ES"/>
        </w:rPr>
        <w:t>Doctrina de la Agencia Nacional de Contratación Pública:</w:t>
      </w:r>
    </w:p>
    <w:p w14:paraId="36E1E2B2" w14:textId="77777777" w:rsidR="009A24FD" w:rsidRPr="009A24FD" w:rsidRDefault="009A24FD" w:rsidP="009A24FD">
      <w:pPr>
        <w:tabs>
          <w:tab w:val="left" w:pos="142"/>
          <w:tab w:val="left" w:pos="284"/>
        </w:tabs>
        <w:snapToGrid w:val="0"/>
        <w:spacing w:after="0" w:line="276" w:lineRule="auto"/>
        <w:ind w:left="357"/>
        <w:jc w:val="both"/>
        <w:rPr>
          <w:rFonts w:ascii="Verdana" w:eastAsia="Century Gothic" w:hAnsi="Verdana" w:cs="Century Gothic"/>
          <w:b/>
          <w:bCs/>
          <w:lang w:val="es-ES"/>
        </w:rPr>
      </w:pPr>
    </w:p>
    <w:p w14:paraId="12C28A07" w14:textId="77777777" w:rsidR="009A24FD" w:rsidRPr="009A24FD" w:rsidRDefault="009A24FD" w:rsidP="009A24FD">
      <w:pPr>
        <w:spacing w:after="0" w:line="276" w:lineRule="auto"/>
        <w:jc w:val="both"/>
        <w:rPr>
          <w:rFonts w:ascii="Verdana" w:eastAsia="Calibri" w:hAnsi="Verdana" w:cs="Arial"/>
          <w:shd w:val="clear" w:color="auto" w:fill="FFFFFF"/>
          <w:lang w:val="es-ES"/>
        </w:rPr>
      </w:pPr>
      <w:r w:rsidRPr="009A24FD">
        <w:rPr>
          <w:rFonts w:ascii="Verdana" w:eastAsia="Calibri" w:hAnsi="Verdana" w:cs="Arial"/>
          <w:shd w:val="clear" w:color="auto" w:fill="FFFFFF"/>
          <w:lang w:val="es-ES"/>
        </w:rPr>
        <w:t>La Agencia Nacional de Contratación Pública – Colombia Compra Eficiente analizó</w:t>
      </w:r>
      <w:r w:rsidRPr="009A24FD">
        <w:rPr>
          <w:rFonts w:ascii="Aptos" w:eastAsia="Aptos" w:hAnsi="Aptos" w:cs="Times New Roman"/>
          <w:kern w:val="2"/>
          <w:sz w:val="24"/>
          <w:szCs w:val="24"/>
          <w14:ligatures w14:val="standardContextual"/>
        </w:rPr>
        <w:t xml:space="preserve"> </w:t>
      </w:r>
      <w:r w:rsidRPr="009A24FD">
        <w:rPr>
          <w:rFonts w:ascii="Verdana" w:eastAsia="Calibri" w:hAnsi="Verdana" w:cs="Arial"/>
          <w:shd w:val="clear" w:color="auto" w:fill="FFFFFF"/>
          <w:lang w:val="es-ES"/>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C-115 del 16 de julio de 2024 y C-296 del 21 de agosto de 2024.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4C35ED55" w14:textId="77777777" w:rsidR="009A24FD" w:rsidRPr="009A24FD" w:rsidRDefault="009A24FD" w:rsidP="009A24FD">
      <w:pPr>
        <w:widowControl w:val="0"/>
        <w:autoSpaceDE w:val="0"/>
        <w:autoSpaceDN w:val="0"/>
        <w:spacing w:after="0" w:line="276" w:lineRule="auto"/>
        <w:jc w:val="both"/>
        <w:rPr>
          <w:rFonts w:ascii="Verdana" w:eastAsia="Calibri" w:hAnsi="Verdana" w:cs="Arial"/>
          <w:shd w:val="clear" w:color="auto" w:fill="FFFFFF"/>
          <w:lang w:val="es-ES"/>
        </w:rPr>
      </w:pPr>
    </w:p>
    <w:p w14:paraId="4BDEB7F6" w14:textId="7C0C3CA1" w:rsidR="009A24FD" w:rsidRPr="009A24FD" w:rsidRDefault="009A24FD" w:rsidP="009A24FD">
      <w:pPr>
        <w:widowControl w:val="0"/>
        <w:autoSpaceDE w:val="0"/>
        <w:autoSpaceDN w:val="0"/>
        <w:spacing w:after="0" w:line="276" w:lineRule="auto"/>
        <w:jc w:val="both"/>
        <w:rPr>
          <w:rFonts w:ascii="Verdana" w:eastAsia="Calibri" w:hAnsi="Verdana" w:cs="Arial"/>
          <w:shd w:val="clear" w:color="auto" w:fill="FFFFFF"/>
          <w:lang w:val="es-ES"/>
        </w:rPr>
      </w:pPr>
      <w:r w:rsidRPr="009A24FD">
        <w:rPr>
          <w:rFonts w:ascii="Verdana" w:eastAsia="Calibri" w:hAnsi="Verdana" w:cs="Arial"/>
          <w:shd w:val="clear" w:color="auto" w:fill="FFFFFF"/>
          <w:lang w:val="es-ES"/>
        </w:rPr>
        <w:t>También, le invitamos a revisar la tercera edición del Boletín de Relatoría de 2024, en el cual podrá encontrar en detalle el marco normativo de documentos tipo:</w:t>
      </w:r>
      <w:hyperlink r:id="rId11" w:history="1">
        <w:r w:rsidRPr="009A24FD">
          <w:rPr>
            <w:rFonts w:ascii="Verdana" w:eastAsia="Calibri" w:hAnsi="Verdana" w:cs="Arial"/>
            <w:color w:val="467886"/>
            <w:u w:val="single"/>
            <w:shd w:val="clear" w:color="auto" w:fill="FFFFFF"/>
            <w:lang w:val="es-ES"/>
          </w:rPr>
          <w:t>https://www.colombiacompra.gov.co/sites/cce_public/files/files_2020/boletin_de_realtoria_iii.pdf</w:t>
        </w:r>
      </w:hyperlink>
      <w:r w:rsidRPr="009A24FD">
        <w:rPr>
          <w:rFonts w:ascii="Verdana" w:eastAsia="Calibri" w:hAnsi="Verdana" w:cs="Arial"/>
          <w:shd w:val="clear" w:color="auto" w:fill="FFFFFF"/>
          <w:lang w:val="es-ES"/>
        </w:rPr>
        <w:t xml:space="preserve">. </w:t>
      </w:r>
    </w:p>
    <w:p w14:paraId="3A44294A" w14:textId="77777777" w:rsidR="009A24FD" w:rsidRPr="009A24FD" w:rsidRDefault="009A24FD" w:rsidP="009A24FD">
      <w:pPr>
        <w:widowControl w:val="0"/>
        <w:autoSpaceDE w:val="0"/>
        <w:autoSpaceDN w:val="0"/>
        <w:spacing w:after="0" w:line="276" w:lineRule="auto"/>
        <w:jc w:val="both"/>
        <w:rPr>
          <w:rFonts w:ascii="Verdana" w:eastAsia="Calibri" w:hAnsi="Verdana" w:cs="Arial"/>
          <w:shd w:val="clear" w:color="auto" w:fill="FFFFFF"/>
          <w:lang w:val="es-ES"/>
        </w:rPr>
      </w:pPr>
    </w:p>
    <w:p w14:paraId="63F0DC50" w14:textId="77777777" w:rsidR="009A24FD" w:rsidRPr="009A24FD" w:rsidRDefault="009A24FD" w:rsidP="009A24FD">
      <w:pPr>
        <w:spacing w:after="0" w:line="240" w:lineRule="auto"/>
        <w:jc w:val="both"/>
        <w:rPr>
          <w:rFonts w:ascii="Verdana" w:eastAsia="Calibri" w:hAnsi="Verdana" w:cs="Times New Roman"/>
        </w:rPr>
      </w:pPr>
      <w:r w:rsidRPr="009A24FD">
        <w:rPr>
          <w:rFonts w:ascii="Verdana" w:eastAsia="Calibri" w:hAnsi="Verdana" w:cs="Times New Roman"/>
        </w:rPr>
        <w:t xml:space="preserve">Por último, los invitamos a seguirnos en las redes sociales, en las cuales se difunde información institucional: </w:t>
      </w:r>
    </w:p>
    <w:p w14:paraId="2A40E080" w14:textId="77777777" w:rsidR="009A24FD" w:rsidRPr="009A24FD" w:rsidRDefault="009A24FD" w:rsidP="009A24FD">
      <w:pPr>
        <w:spacing w:after="0" w:line="240" w:lineRule="auto"/>
        <w:jc w:val="both"/>
        <w:rPr>
          <w:rFonts w:ascii="Verdana" w:eastAsia="Calibri" w:hAnsi="Verdana" w:cs="Times New Roman"/>
        </w:rPr>
      </w:pPr>
    </w:p>
    <w:p w14:paraId="15F15682" w14:textId="77777777" w:rsidR="009A24FD" w:rsidRPr="009A24FD" w:rsidRDefault="009A24FD" w:rsidP="009A24FD">
      <w:pPr>
        <w:spacing w:after="0" w:line="240" w:lineRule="auto"/>
        <w:jc w:val="both"/>
        <w:rPr>
          <w:rFonts w:ascii="Verdana" w:eastAsia="Calibri" w:hAnsi="Verdana" w:cs="Times New Roman"/>
        </w:rPr>
      </w:pPr>
      <w:r w:rsidRPr="009A24FD">
        <w:rPr>
          <w:rFonts w:ascii="Verdana" w:eastAsia="Calibri" w:hAnsi="Verdana" w:cs="Times New Roman"/>
        </w:rPr>
        <w:t xml:space="preserve">Twitter: </w:t>
      </w:r>
      <w:r w:rsidRPr="009A24FD">
        <w:rPr>
          <w:rFonts w:ascii="Verdana" w:eastAsia="Calibri" w:hAnsi="Verdana" w:cs="Times New Roman"/>
          <w:u w:val="single"/>
        </w:rPr>
        <w:t>@colombiacompra</w:t>
      </w:r>
      <w:r w:rsidRPr="009A24FD">
        <w:rPr>
          <w:rFonts w:ascii="Verdana" w:eastAsia="Calibri" w:hAnsi="Verdana" w:cs="Times New Roman"/>
        </w:rPr>
        <w:t xml:space="preserve"> </w:t>
      </w:r>
    </w:p>
    <w:p w14:paraId="6690820E" w14:textId="77777777" w:rsidR="009A24FD" w:rsidRPr="009A24FD" w:rsidRDefault="009A24FD" w:rsidP="009A24FD">
      <w:pPr>
        <w:spacing w:after="0" w:line="240" w:lineRule="auto"/>
        <w:jc w:val="both"/>
        <w:rPr>
          <w:rFonts w:ascii="Verdana" w:eastAsia="Calibri" w:hAnsi="Verdana" w:cs="Times New Roman"/>
        </w:rPr>
      </w:pPr>
      <w:r w:rsidRPr="009A24FD">
        <w:rPr>
          <w:rFonts w:ascii="Verdana" w:eastAsia="Calibri" w:hAnsi="Verdana" w:cs="Times New Roman"/>
        </w:rPr>
        <w:t xml:space="preserve">Facebook: </w:t>
      </w:r>
      <w:r w:rsidRPr="009A24FD">
        <w:rPr>
          <w:rFonts w:ascii="Verdana" w:eastAsia="Calibri" w:hAnsi="Verdana" w:cs="Times New Roman"/>
          <w:u w:val="single"/>
        </w:rPr>
        <w:t>ColombiaCompraEficiente</w:t>
      </w:r>
    </w:p>
    <w:p w14:paraId="50DA4234" w14:textId="77777777" w:rsidR="009A24FD" w:rsidRPr="009A24FD" w:rsidRDefault="009A24FD" w:rsidP="009A24FD">
      <w:pPr>
        <w:spacing w:after="0" w:line="240" w:lineRule="auto"/>
        <w:jc w:val="both"/>
        <w:rPr>
          <w:rFonts w:ascii="Verdana" w:eastAsia="Calibri" w:hAnsi="Verdana" w:cs="Times New Roman"/>
        </w:rPr>
      </w:pPr>
      <w:r w:rsidRPr="009A24FD">
        <w:rPr>
          <w:rFonts w:ascii="Verdana" w:eastAsia="Calibri" w:hAnsi="Verdana" w:cs="Times New Roman"/>
        </w:rPr>
        <w:t xml:space="preserve">LinkedIn: </w:t>
      </w:r>
      <w:r w:rsidRPr="009A24FD">
        <w:rPr>
          <w:rFonts w:ascii="Verdana" w:eastAsia="Calibri" w:hAnsi="Verdana" w:cs="Times New Roman"/>
          <w:u w:val="single"/>
        </w:rPr>
        <w:t>Agencia Nacional de Contratación Pública - Colombia Compra Eficiente</w:t>
      </w:r>
      <w:r w:rsidRPr="009A24FD">
        <w:rPr>
          <w:rFonts w:ascii="Verdana" w:eastAsia="Calibri" w:hAnsi="Verdana" w:cs="Times New Roman"/>
        </w:rPr>
        <w:t xml:space="preserve"> Instagram: </w:t>
      </w:r>
      <w:r w:rsidRPr="009A24FD">
        <w:rPr>
          <w:rFonts w:ascii="Verdana" w:eastAsia="Calibri" w:hAnsi="Verdana" w:cs="Times New Roman"/>
          <w:u w:val="single"/>
        </w:rPr>
        <w:t>@colombiacompraeficiente_cce</w:t>
      </w:r>
    </w:p>
    <w:p w14:paraId="602AAD0A" w14:textId="77777777" w:rsidR="009A24FD" w:rsidRPr="009A24FD" w:rsidRDefault="009A24FD" w:rsidP="009A24FD">
      <w:pPr>
        <w:widowControl w:val="0"/>
        <w:autoSpaceDE w:val="0"/>
        <w:autoSpaceDN w:val="0"/>
        <w:spacing w:after="0" w:line="276" w:lineRule="auto"/>
        <w:jc w:val="both"/>
        <w:rPr>
          <w:rFonts w:ascii="Verdana" w:eastAsia="Calibri" w:hAnsi="Verdana" w:cs="Arial"/>
        </w:rPr>
      </w:pPr>
    </w:p>
    <w:p w14:paraId="603D44E7" w14:textId="77777777" w:rsidR="009A24FD" w:rsidRPr="009A24FD" w:rsidRDefault="009A24FD" w:rsidP="009A24FD">
      <w:pPr>
        <w:widowControl w:val="0"/>
        <w:autoSpaceDE w:val="0"/>
        <w:autoSpaceDN w:val="0"/>
        <w:spacing w:after="0" w:line="276" w:lineRule="auto"/>
        <w:jc w:val="both"/>
        <w:rPr>
          <w:rFonts w:ascii="Verdana" w:eastAsia="Calibri" w:hAnsi="Verdana" w:cs="Arial"/>
          <w:lang w:val="es-ES_tradnl"/>
        </w:rPr>
      </w:pPr>
      <w:r w:rsidRPr="009A24FD">
        <w:rPr>
          <w:rFonts w:ascii="Verdana" w:eastAsia="Calibri" w:hAnsi="Verdana" w:cs="Arial"/>
        </w:rPr>
        <w:t xml:space="preserve">Este concepto tiene el alcance previsto en el artículo 28 del Código de Procedimiento Administrativo y de lo Contencioso Administrativo </w:t>
      </w:r>
      <w:r w:rsidRPr="009A24FD">
        <w:rPr>
          <w:rFonts w:ascii="Verdana" w:eastAsia="Calibri" w:hAnsi="Verdana" w:cs="Arial"/>
          <w:lang w:val="es-ES_tradnl"/>
        </w:rPr>
        <w:t xml:space="preserve">y las expresiones aquí utilizadas con mayúscula inicial deben ser entendidas con el </w:t>
      </w:r>
      <w:r w:rsidRPr="009A24FD">
        <w:rPr>
          <w:rFonts w:ascii="Verdana" w:eastAsia="Calibri" w:hAnsi="Verdana" w:cs="Arial"/>
          <w:lang w:val="es-ES_tradnl"/>
        </w:rPr>
        <w:lastRenderedPageBreak/>
        <w:t>significado que les otorga el artículo 2.2.1.1.1.3.1. del Decreto 1082 de 2015.</w:t>
      </w:r>
    </w:p>
    <w:p w14:paraId="29893DD1" w14:textId="77777777" w:rsidR="009A24FD" w:rsidRPr="009A24FD" w:rsidRDefault="009A24FD" w:rsidP="009A24FD">
      <w:pPr>
        <w:widowControl w:val="0"/>
        <w:autoSpaceDE w:val="0"/>
        <w:autoSpaceDN w:val="0"/>
        <w:spacing w:after="0" w:line="276" w:lineRule="auto"/>
        <w:jc w:val="both"/>
        <w:rPr>
          <w:rFonts w:ascii="Verdana" w:eastAsia="Calibri" w:hAnsi="Verdana" w:cs="Arial"/>
        </w:rPr>
      </w:pPr>
    </w:p>
    <w:p w14:paraId="111543FC" w14:textId="77777777" w:rsidR="009A24FD" w:rsidRPr="009A24FD" w:rsidRDefault="009A24FD" w:rsidP="009A24FD">
      <w:pPr>
        <w:spacing w:after="0" w:line="240" w:lineRule="auto"/>
        <w:rPr>
          <w:rFonts w:ascii="Verdana" w:eastAsia="Calibri" w:hAnsi="Verdana" w:cs="Arial"/>
          <w:lang w:eastAsia="es-CO"/>
        </w:rPr>
      </w:pPr>
      <w:r w:rsidRPr="009A24FD">
        <w:rPr>
          <w:rFonts w:ascii="Verdana" w:eastAsia="Times New Roman" w:hAnsi="Verdana" w:cs="Arial"/>
          <w:lang w:eastAsia="es-CO"/>
        </w:rPr>
        <w:t>Atentamente,</w:t>
      </w:r>
      <w:r w:rsidRPr="009A24FD">
        <w:rPr>
          <w:rFonts w:ascii="Verdana" w:eastAsia="Calibri" w:hAnsi="Verdana" w:cs="Arial"/>
          <w:lang w:eastAsia="es-CO"/>
        </w:rPr>
        <w:t xml:space="preserve"> </w:t>
      </w:r>
    </w:p>
    <w:p w14:paraId="77DDD1D7" w14:textId="23E275C1" w:rsidR="009A24FD" w:rsidRPr="009A24FD" w:rsidRDefault="00C1622C" w:rsidP="009A24FD">
      <w:pPr>
        <w:spacing w:line="276" w:lineRule="auto"/>
        <w:jc w:val="center"/>
        <w:rPr>
          <w:rFonts w:ascii="Verdana" w:eastAsia="Calibri" w:hAnsi="Verdana" w:cs="Arial"/>
          <w:lang w:val="es-ES_tradnl" w:eastAsia="es-CO"/>
        </w:rPr>
      </w:pPr>
      <w:r>
        <w:rPr>
          <w:noProof/>
        </w:rPr>
        <w:drawing>
          <wp:inline distT="0" distB="0" distL="0" distR="0" wp14:anchorId="41CC2981" wp14:editId="50612323">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2"/>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A24FD" w:rsidRPr="009A24FD" w14:paraId="4E5F3D4E" w14:textId="77777777" w:rsidTr="00DA49DD">
        <w:trPr>
          <w:trHeight w:val="315"/>
        </w:trPr>
        <w:tc>
          <w:tcPr>
            <w:tcW w:w="893" w:type="dxa"/>
            <w:vAlign w:val="center"/>
            <w:hideMark/>
          </w:tcPr>
          <w:p w14:paraId="13C82742" w14:textId="77777777" w:rsidR="009A24FD" w:rsidRPr="009A24FD" w:rsidRDefault="009A24FD" w:rsidP="009A24FD">
            <w:pPr>
              <w:rPr>
                <w:rFonts w:ascii="Verdana" w:eastAsia="Calibri" w:hAnsi="Verdana" w:cs="Arial"/>
                <w:sz w:val="16"/>
                <w:szCs w:val="16"/>
                <w:lang w:val="es-ES" w:eastAsia="es-ES"/>
              </w:rPr>
            </w:pPr>
            <w:r w:rsidRPr="009A24FD">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0096D616" w14:textId="77777777" w:rsidR="009A24FD" w:rsidRPr="009A24FD" w:rsidRDefault="009A24FD" w:rsidP="009A24FD">
            <w:pPr>
              <w:rPr>
                <w:rFonts w:ascii="Verdana" w:eastAsia="Arial" w:hAnsi="Verdana" w:cs="Arial"/>
                <w:sz w:val="16"/>
                <w:szCs w:val="16"/>
              </w:rPr>
            </w:pPr>
            <w:r w:rsidRPr="009A24FD">
              <w:rPr>
                <w:rFonts w:ascii="Verdana" w:eastAsia="Arial" w:hAnsi="Verdana" w:cs="Arial"/>
                <w:sz w:val="16"/>
                <w:szCs w:val="16"/>
              </w:rPr>
              <w:t>Kevin Arlid Herrera Santa</w:t>
            </w:r>
          </w:p>
          <w:p w14:paraId="359FCBEE" w14:textId="77777777" w:rsidR="009A24FD" w:rsidRPr="009A24FD" w:rsidRDefault="009A24FD" w:rsidP="009A24FD">
            <w:pPr>
              <w:rPr>
                <w:rFonts w:ascii="Verdana" w:eastAsia="Arial" w:hAnsi="Verdana" w:cs="Arial"/>
                <w:sz w:val="16"/>
                <w:szCs w:val="16"/>
              </w:rPr>
            </w:pPr>
            <w:r w:rsidRPr="009A24FD">
              <w:rPr>
                <w:rFonts w:ascii="Verdana" w:eastAsia="Arial" w:hAnsi="Verdana" w:cs="Arial"/>
                <w:sz w:val="16"/>
                <w:szCs w:val="16"/>
              </w:rPr>
              <w:t>Contratista de la Subdirección de Gestión Contractual</w:t>
            </w:r>
          </w:p>
        </w:tc>
      </w:tr>
      <w:tr w:rsidR="009A24FD" w:rsidRPr="009A24FD" w14:paraId="1EA6DD24" w14:textId="77777777" w:rsidTr="00DA49DD">
        <w:trPr>
          <w:trHeight w:val="330"/>
        </w:trPr>
        <w:tc>
          <w:tcPr>
            <w:tcW w:w="893" w:type="dxa"/>
            <w:vAlign w:val="center"/>
            <w:hideMark/>
          </w:tcPr>
          <w:p w14:paraId="36BFC875" w14:textId="77777777" w:rsidR="009A24FD" w:rsidRPr="009A24FD" w:rsidRDefault="009A24FD" w:rsidP="009A24FD">
            <w:pPr>
              <w:rPr>
                <w:rFonts w:ascii="Verdana" w:eastAsia="Calibri" w:hAnsi="Verdana" w:cs="Arial"/>
                <w:sz w:val="16"/>
                <w:szCs w:val="16"/>
                <w:lang w:val="es-ES" w:eastAsia="es-ES"/>
              </w:rPr>
            </w:pPr>
            <w:r w:rsidRPr="009A24FD">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7679F24A" w14:textId="77777777" w:rsidR="009A24FD" w:rsidRPr="009A24FD" w:rsidRDefault="009A24FD" w:rsidP="009A24FD">
            <w:pPr>
              <w:textAlignment w:val="baseline"/>
              <w:rPr>
                <w:rFonts w:ascii="Verdana" w:eastAsia="Times New Roman" w:hAnsi="Verdana" w:cs="Segoe UI"/>
                <w:sz w:val="16"/>
                <w:szCs w:val="16"/>
                <w:lang w:eastAsia="es-ES_tradnl"/>
              </w:rPr>
            </w:pPr>
            <w:r w:rsidRPr="009A24FD">
              <w:rPr>
                <w:rFonts w:ascii="Verdana" w:eastAsia="Times New Roman" w:hAnsi="Verdana" w:cs="Segoe UI"/>
                <w:sz w:val="16"/>
                <w:szCs w:val="16"/>
                <w:lang w:eastAsia="es-ES_tradnl"/>
              </w:rPr>
              <w:t>Martha Alicia Romero Vargas</w:t>
            </w:r>
          </w:p>
          <w:p w14:paraId="3F50ED28" w14:textId="77777777" w:rsidR="009A24FD" w:rsidRPr="009A24FD" w:rsidRDefault="009A24FD" w:rsidP="009A24FD">
            <w:pPr>
              <w:textAlignment w:val="baseline"/>
              <w:rPr>
                <w:rFonts w:ascii="Verdana" w:eastAsia="Times New Roman" w:hAnsi="Verdana" w:cs="Segoe UI"/>
                <w:sz w:val="16"/>
                <w:szCs w:val="16"/>
                <w:lang w:eastAsia="es-ES_tradnl"/>
              </w:rPr>
            </w:pPr>
            <w:r w:rsidRPr="009A24FD">
              <w:rPr>
                <w:rFonts w:ascii="Verdana" w:eastAsia="Times New Roman" w:hAnsi="Verdana" w:cs="Arial"/>
                <w:sz w:val="16"/>
                <w:szCs w:val="16"/>
                <w:lang w:val="es-ES" w:eastAsia="es-ES_tradnl"/>
              </w:rPr>
              <w:t>Gestor T1-15 de la Subdirección de Gestión Contractual</w:t>
            </w:r>
            <w:r w:rsidRPr="009A24FD">
              <w:rPr>
                <w:rFonts w:ascii="Verdana" w:eastAsia="Times New Roman" w:hAnsi="Verdana" w:cs="Arial"/>
                <w:sz w:val="16"/>
                <w:szCs w:val="16"/>
                <w:lang w:eastAsia="es-ES_tradnl"/>
              </w:rPr>
              <w:t> </w:t>
            </w:r>
          </w:p>
        </w:tc>
      </w:tr>
      <w:tr w:rsidR="009A24FD" w:rsidRPr="009A24FD" w14:paraId="177987A2" w14:textId="77777777" w:rsidTr="00DA49DD">
        <w:trPr>
          <w:trHeight w:val="300"/>
        </w:trPr>
        <w:tc>
          <w:tcPr>
            <w:tcW w:w="893" w:type="dxa"/>
            <w:vAlign w:val="center"/>
          </w:tcPr>
          <w:p w14:paraId="027E7E1B" w14:textId="77777777" w:rsidR="009A24FD" w:rsidRPr="009A24FD" w:rsidRDefault="009A24FD" w:rsidP="009A24FD">
            <w:pPr>
              <w:rPr>
                <w:rFonts w:ascii="Verdana" w:eastAsia="Calibri" w:hAnsi="Verdana" w:cs="Arial"/>
                <w:sz w:val="16"/>
                <w:szCs w:val="16"/>
                <w:lang w:val="es-ES" w:eastAsia="es-ES"/>
              </w:rPr>
            </w:pPr>
            <w:r w:rsidRPr="009A24FD">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49B884FC" w14:textId="77777777" w:rsidR="009A24FD" w:rsidRPr="009A24FD" w:rsidRDefault="009A24FD" w:rsidP="009A24FD">
            <w:pPr>
              <w:rPr>
                <w:rFonts w:ascii="Verdana" w:eastAsia="Calibri" w:hAnsi="Verdana" w:cs="Arial"/>
                <w:sz w:val="16"/>
                <w:szCs w:val="16"/>
                <w:lang w:val="pt-BR" w:eastAsia="es-ES"/>
              </w:rPr>
            </w:pPr>
            <w:r w:rsidRPr="009A24FD">
              <w:rPr>
                <w:rFonts w:ascii="Verdana" w:eastAsia="Calibri" w:hAnsi="Verdana" w:cs="Arial"/>
                <w:sz w:val="16"/>
                <w:szCs w:val="16"/>
                <w:lang w:val="pt-BR" w:eastAsia="es-ES"/>
              </w:rPr>
              <w:t>Carolina Quintero Gacharná</w:t>
            </w:r>
          </w:p>
          <w:p w14:paraId="46D293B6" w14:textId="77777777" w:rsidR="009A24FD" w:rsidRPr="009A24FD" w:rsidRDefault="009A24FD" w:rsidP="009A24FD">
            <w:pPr>
              <w:rPr>
                <w:rFonts w:ascii="Verdana" w:eastAsia="Calibri" w:hAnsi="Verdana" w:cs="Arial"/>
                <w:sz w:val="16"/>
                <w:szCs w:val="16"/>
                <w:lang w:val="pt-BR" w:eastAsia="es-ES"/>
              </w:rPr>
            </w:pPr>
            <w:r w:rsidRPr="009A24FD">
              <w:rPr>
                <w:rFonts w:ascii="Verdana" w:eastAsia="Calibri" w:hAnsi="Verdana" w:cs="Arial"/>
                <w:sz w:val="16"/>
                <w:szCs w:val="16"/>
                <w:lang w:eastAsia="es-ES"/>
              </w:rPr>
              <w:t>Subdirectora</w:t>
            </w:r>
            <w:r w:rsidRPr="009A24FD">
              <w:rPr>
                <w:rFonts w:ascii="Verdana" w:eastAsia="Calibri" w:hAnsi="Verdana" w:cs="Arial"/>
                <w:sz w:val="16"/>
                <w:szCs w:val="16"/>
                <w:lang w:val="pt-BR" w:eastAsia="es-ES"/>
              </w:rPr>
              <w:t xml:space="preserve"> de Gestión Contratual ANCP – CCE</w:t>
            </w:r>
          </w:p>
        </w:tc>
      </w:tr>
    </w:tbl>
    <w:p w14:paraId="2C551583" w14:textId="77777777" w:rsidR="009A24FD" w:rsidRPr="009A24FD" w:rsidRDefault="009A24FD" w:rsidP="009A24FD">
      <w:pPr>
        <w:spacing w:after="0" w:line="240" w:lineRule="auto"/>
        <w:rPr>
          <w:rFonts w:ascii="Aptos" w:eastAsia="Aptos" w:hAnsi="Aptos" w:cs="Times New Roman"/>
          <w:kern w:val="2"/>
          <w:sz w:val="24"/>
          <w:szCs w:val="24"/>
          <w:lang w:val="es-ES_tradnl"/>
          <w14:ligatures w14:val="standardContextual"/>
        </w:rPr>
      </w:pPr>
    </w:p>
    <w:p w14:paraId="57271D41" w14:textId="77777777" w:rsidR="009A24FD" w:rsidRPr="009A24FD" w:rsidRDefault="009A24FD" w:rsidP="009A24FD">
      <w:pPr>
        <w:spacing w:after="0"/>
        <w:rPr>
          <w:rFonts w:ascii="Verdana" w:eastAsia="Calibri" w:hAnsi="Verdana" w:cs="Times New Roman"/>
        </w:rPr>
      </w:pPr>
    </w:p>
    <w:p w14:paraId="129A1837" w14:textId="77777777" w:rsidR="009A24FD" w:rsidRPr="009A24FD" w:rsidRDefault="009A24FD" w:rsidP="009A24FD">
      <w:pPr>
        <w:spacing w:line="278" w:lineRule="auto"/>
        <w:rPr>
          <w:rFonts w:ascii="Aptos" w:eastAsia="Aptos" w:hAnsi="Aptos" w:cs="Times New Roman"/>
          <w:kern w:val="2"/>
          <w:sz w:val="24"/>
          <w:szCs w:val="24"/>
          <w14:ligatures w14:val="standardContextual"/>
        </w:rPr>
      </w:pPr>
    </w:p>
    <w:p w14:paraId="0465BA6D" w14:textId="77777777" w:rsidR="00E245AB" w:rsidRPr="0044528D" w:rsidRDefault="00E245AB" w:rsidP="00E245AB">
      <w:pPr>
        <w:spacing w:after="0"/>
        <w:rPr>
          <w:rFonts w:ascii="Verdana" w:hAnsi="Verdana"/>
        </w:rPr>
      </w:pPr>
    </w:p>
    <w:bookmarkEnd w:id="0"/>
    <w:sectPr w:rsidR="00E245AB" w:rsidRPr="0044528D"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A2BD" w14:textId="77777777" w:rsidR="003A26D1" w:rsidRDefault="003A26D1" w:rsidP="004A1847">
      <w:pPr>
        <w:spacing w:after="0" w:line="240" w:lineRule="auto"/>
      </w:pPr>
      <w:r>
        <w:separator/>
      </w:r>
    </w:p>
  </w:endnote>
  <w:endnote w:type="continuationSeparator" w:id="0">
    <w:p w14:paraId="77A696E4" w14:textId="77777777" w:rsidR="003A26D1" w:rsidRDefault="003A26D1" w:rsidP="004A1847">
      <w:pPr>
        <w:spacing w:after="0" w:line="240" w:lineRule="auto"/>
      </w:pPr>
      <w:r>
        <w:continuationSeparator/>
      </w:r>
    </w:p>
  </w:endnote>
  <w:endnote w:type="continuationNotice" w:id="1">
    <w:p w14:paraId="2D9906E8" w14:textId="77777777" w:rsidR="00636C0B" w:rsidRDefault="00636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C19FA" w14:textId="77777777" w:rsidR="003A26D1" w:rsidRDefault="003A26D1" w:rsidP="004A1847">
      <w:pPr>
        <w:spacing w:after="0" w:line="240" w:lineRule="auto"/>
      </w:pPr>
      <w:r>
        <w:separator/>
      </w:r>
    </w:p>
  </w:footnote>
  <w:footnote w:type="continuationSeparator" w:id="0">
    <w:p w14:paraId="10EA1442" w14:textId="77777777" w:rsidR="003A26D1" w:rsidRDefault="003A26D1" w:rsidP="004A1847">
      <w:pPr>
        <w:spacing w:after="0" w:line="240" w:lineRule="auto"/>
      </w:pPr>
      <w:r>
        <w:continuationSeparator/>
      </w:r>
    </w:p>
  </w:footnote>
  <w:footnote w:type="continuationNotice" w:id="1">
    <w:p w14:paraId="27E06E8E" w14:textId="77777777" w:rsidR="00636C0B" w:rsidRDefault="00636C0B">
      <w:pPr>
        <w:spacing w:after="0" w:line="240" w:lineRule="auto"/>
      </w:pPr>
    </w:p>
  </w:footnote>
  <w:footnote w:id="2">
    <w:p w14:paraId="615C078F" w14:textId="77777777" w:rsidR="009A24FD" w:rsidRPr="009A24FD" w:rsidRDefault="009A24FD" w:rsidP="009A24FD">
      <w:pPr>
        <w:pStyle w:val="Textonotapie"/>
        <w:ind w:firstLine="709"/>
        <w:jc w:val="both"/>
        <w:rPr>
          <w:rFonts w:ascii="Verdana" w:hAnsi="Verdana" w:cs="Arial"/>
          <w:color w:val="000000"/>
          <w:sz w:val="18"/>
          <w:szCs w:val="18"/>
        </w:rPr>
      </w:pPr>
      <w:r w:rsidRPr="009A24FD">
        <w:rPr>
          <w:rStyle w:val="Refdenotaalpie"/>
          <w:rFonts w:ascii="Verdana" w:hAnsi="Verdana" w:cs="Arial"/>
          <w:color w:val="000000"/>
          <w:sz w:val="18"/>
          <w:szCs w:val="18"/>
        </w:rPr>
        <w:footnoteRef/>
      </w:r>
      <w:r w:rsidRPr="009A24FD">
        <w:rPr>
          <w:rFonts w:ascii="Verdana" w:hAnsi="Verdana" w:cs="Arial"/>
          <w:color w:val="000000"/>
          <w:sz w:val="18"/>
          <w:szCs w:val="18"/>
        </w:rPr>
        <w:t xml:space="preserve"> Sobre esta norma, consultar los conceptos del 8 de octubre de 2019, con radicado No. 2201913000007532, y del 20 de diciembre de 2019, con radicado No. 4201913000008240.</w:t>
      </w:r>
    </w:p>
    <w:p w14:paraId="229AEED0" w14:textId="77777777" w:rsidR="009A24FD" w:rsidRPr="009A24FD" w:rsidRDefault="009A24FD" w:rsidP="009A24FD">
      <w:pPr>
        <w:pStyle w:val="Textonotapie"/>
        <w:ind w:firstLine="709"/>
        <w:jc w:val="both"/>
        <w:rPr>
          <w:rFonts w:ascii="Verdana" w:hAnsi="Verdana" w:cs="Arial"/>
          <w:color w:val="000000"/>
          <w:sz w:val="18"/>
          <w:szCs w:val="18"/>
          <w:lang w:val="es-ES"/>
        </w:rPr>
      </w:pPr>
    </w:p>
  </w:footnote>
  <w:footnote w:id="3">
    <w:p w14:paraId="2CC870B0" w14:textId="77777777" w:rsidR="009A24FD" w:rsidRPr="009A24FD" w:rsidRDefault="009A24FD" w:rsidP="009A24FD">
      <w:pPr>
        <w:pStyle w:val="Textonotapie"/>
        <w:ind w:firstLine="709"/>
        <w:jc w:val="both"/>
        <w:rPr>
          <w:rFonts w:ascii="Verdana" w:hAnsi="Verdana" w:cs="Arial"/>
          <w:color w:val="000000"/>
          <w:sz w:val="18"/>
          <w:szCs w:val="18"/>
        </w:rPr>
      </w:pPr>
      <w:r w:rsidRPr="009A24FD">
        <w:rPr>
          <w:rStyle w:val="Refdenotaalpie"/>
          <w:rFonts w:ascii="Verdana" w:hAnsi="Verdana" w:cs="Arial"/>
          <w:color w:val="000000"/>
          <w:sz w:val="18"/>
          <w:szCs w:val="18"/>
        </w:rPr>
        <w:footnoteRef/>
      </w:r>
      <w:r w:rsidRPr="009A24FD">
        <w:rPr>
          <w:rFonts w:ascii="Verdana" w:hAnsi="Verdana" w:cs="Arial"/>
          <w:color w:val="000000"/>
          <w:sz w:val="18"/>
          <w:szCs w:val="18"/>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097E296" w14:textId="77777777" w:rsidR="009A24FD" w:rsidRPr="009A24FD" w:rsidRDefault="009A24FD" w:rsidP="009A24FD">
      <w:pPr>
        <w:pStyle w:val="Textonotapie"/>
        <w:ind w:firstLine="709"/>
        <w:jc w:val="both"/>
        <w:rPr>
          <w:rFonts w:ascii="Verdana" w:hAnsi="Verdana" w:cs="Arial"/>
          <w:color w:val="000000"/>
          <w:sz w:val="18"/>
          <w:szCs w:val="18"/>
        </w:rPr>
      </w:pPr>
      <w:r w:rsidRPr="009A24FD">
        <w:rPr>
          <w:rFonts w:ascii="Verdana" w:hAnsi="Verdana" w:cs="Arial"/>
          <w:color w:val="000000"/>
          <w:sz w:val="18"/>
          <w:szCs w:val="18"/>
        </w:rPr>
        <w:t xml:space="preserve">Los convenios de asociación a que se refiere el presente artículo </w:t>
      </w:r>
      <w:bookmarkStart w:id="2" w:name="_Hlk36023315"/>
      <w:r w:rsidRPr="009A24FD">
        <w:rPr>
          <w:rFonts w:ascii="Verdana" w:hAnsi="Verdana" w:cs="Arial"/>
          <w:color w:val="000000"/>
          <w:sz w:val="18"/>
          <w:szCs w:val="18"/>
        </w:rPr>
        <w:t>se celebrarán de conformidad con lo dispuesto en el artículo 355 de la Constitución Política</w:t>
      </w:r>
      <w:bookmarkEnd w:id="2"/>
      <w:r w:rsidRPr="009A24FD">
        <w:rPr>
          <w:rFonts w:ascii="Verdana" w:hAnsi="Verdana" w:cs="Arial"/>
          <w:color w:val="000000"/>
          <w:sz w:val="18"/>
          <w:szCs w:val="18"/>
        </w:rPr>
        <w:t>, en ellos se determinará con precisión su objeto, término, obligaciones de las partes, aportes, coordinación y todos aquellos aspectos que se consideren pertinentes”.</w:t>
      </w:r>
    </w:p>
    <w:p w14:paraId="7DDC5560" w14:textId="77777777" w:rsidR="009A24FD" w:rsidRPr="009A24FD" w:rsidRDefault="009A24FD" w:rsidP="009A24FD">
      <w:pPr>
        <w:pStyle w:val="Textonotapie"/>
        <w:ind w:firstLine="709"/>
        <w:jc w:val="both"/>
        <w:rPr>
          <w:rFonts w:ascii="Verdana" w:hAnsi="Verdana" w:cs="Arial"/>
          <w:color w:val="000000"/>
          <w:sz w:val="18"/>
          <w:szCs w:val="18"/>
          <w:lang w:val="es-ES"/>
        </w:rPr>
      </w:pPr>
      <w:r w:rsidRPr="009A24FD">
        <w:rPr>
          <w:rFonts w:ascii="Verdana" w:hAnsi="Verdana" w:cs="Arial"/>
          <w:color w:val="000000"/>
          <w:sz w:val="18"/>
          <w:szCs w:val="18"/>
        </w:rPr>
        <w:t xml:space="preserve"> </w:t>
      </w:r>
    </w:p>
  </w:footnote>
  <w:footnote w:id="4">
    <w:p w14:paraId="08C44F9F" w14:textId="77777777" w:rsidR="009A24FD" w:rsidRPr="009A24FD" w:rsidRDefault="009A24FD" w:rsidP="009A24FD">
      <w:pPr>
        <w:pStyle w:val="Textonotapie"/>
        <w:ind w:firstLine="709"/>
        <w:jc w:val="both"/>
        <w:rPr>
          <w:rFonts w:ascii="Verdana" w:hAnsi="Verdana" w:cs="Arial"/>
          <w:color w:val="000000"/>
          <w:sz w:val="18"/>
          <w:szCs w:val="18"/>
        </w:rPr>
      </w:pPr>
      <w:r w:rsidRPr="009A24FD">
        <w:rPr>
          <w:rStyle w:val="Refdenotaalpie"/>
          <w:rFonts w:ascii="Verdana" w:hAnsi="Verdana" w:cs="Arial"/>
          <w:color w:val="000000"/>
          <w:sz w:val="18"/>
          <w:szCs w:val="18"/>
        </w:rPr>
        <w:footnoteRef/>
      </w:r>
      <w:r w:rsidRPr="009A24FD">
        <w:rPr>
          <w:rFonts w:ascii="Verdana" w:hAnsi="Verdana" w:cs="Arial"/>
          <w:color w:val="000000"/>
          <w:sz w:val="18"/>
          <w:szCs w:val="18"/>
        </w:rPr>
        <w:t xml:space="preserve"> Concepto del 3 de septiembre de 2019, con radicado No. 2201913000006512.</w:t>
      </w:r>
    </w:p>
    <w:p w14:paraId="6E2F3118" w14:textId="77777777" w:rsidR="009A24FD" w:rsidRPr="009A24FD" w:rsidRDefault="009A24FD" w:rsidP="009A24FD">
      <w:pPr>
        <w:pStyle w:val="Textonotapie"/>
        <w:ind w:firstLine="709"/>
        <w:jc w:val="both"/>
        <w:rPr>
          <w:rFonts w:ascii="Verdana" w:hAnsi="Verdana" w:cs="Arial"/>
          <w:color w:val="000000"/>
          <w:sz w:val="18"/>
          <w:szCs w:val="18"/>
        </w:rPr>
      </w:pPr>
    </w:p>
  </w:footnote>
  <w:footnote w:id="5">
    <w:p w14:paraId="237B579D" w14:textId="77777777" w:rsidR="009A24FD" w:rsidRPr="009A24FD" w:rsidRDefault="009A24FD" w:rsidP="009A24FD">
      <w:pPr>
        <w:pStyle w:val="Textonotapie"/>
        <w:ind w:firstLine="709"/>
        <w:jc w:val="both"/>
        <w:rPr>
          <w:rFonts w:ascii="Verdana" w:hAnsi="Verdana" w:cs="Arial"/>
          <w:color w:val="000000"/>
          <w:sz w:val="18"/>
          <w:szCs w:val="18"/>
        </w:rPr>
      </w:pPr>
      <w:r w:rsidRPr="009A24FD">
        <w:rPr>
          <w:rStyle w:val="Refdenotaalpie"/>
          <w:rFonts w:ascii="Verdana" w:hAnsi="Verdana" w:cs="Arial"/>
          <w:color w:val="000000"/>
          <w:sz w:val="18"/>
          <w:szCs w:val="18"/>
        </w:rPr>
        <w:footnoteRef/>
      </w:r>
      <w:r w:rsidRPr="009A24FD">
        <w:rPr>
          <w:rFonts w:ascii="Verdana" w:hAnsi="Verdana" w:cs="Arial"/>
          <w:color w:val="000000"/>
          <w:sz w:val="18"/>
          <w:szCs w:val="18"/>
        </w:rPr>
        <w:t xml:space="preserve"> Sobre la naturaleza de los convenios de asociación, se reitera lo expuesto en el concepto del 19 de noviembre de 2019, con radicado No. 2201913000008611.</w:t>
      </w:r>
    </w:p>
    <w:p w14:paraId="4DDCD91B" w14:textId="77777777" w:rsidR="009A24FD" w:rsidRPr="009A24FD" w:rsidRDefault="009A24FD" w:rsidP="009A24FD">
      <w:pPr>
        <w:pStyle w:val="Textonotapie"/>
        <w:ind w:firstLine="709"/>
        <w:jc w:val="both"/>
        <w:rPr>
          <w:rFonts w:ascii="Verdana" w:hAnsi="Verdana" w:cs="Arial"/>
          <w:color w:val="000000"/>
          <w:sz w:val="18"/>
          <w:szCs w:val="18"/>
        </w:rPr>
      </w:pPr>
    </w:p>
  </w:footnote>
  <w:footnote w:id="6">
    <w:p w14:paraId="2C81CE0E" w14:textId="77777777" w:rsidR="009A24FD" w:rsidRPr="00C801FB" w:rsidRDefault="009A24FD" w:rsidP="009A24FD">
      <w:pPr>
        <w:pStyle w:val="Textonotapie"/>
        <w:ind w:firstLine="708"/>
        <w:jc w:val="both"/>
        <w:rPr>
          <w:rFonts w:ascii="Verdana" w:hAnsi="Verdana"/>
          <w:sz w:val="18"/>
          <w:szCs w:val="18"/>
        </w:rPr>
      </w:pPr>
      <w:r w:rsidRPr="00C801FB">
        <w:rPr>
          <w:rStyle w:val="Refdenotaalpie"/>
          <w:rFonts w:ascii="Verdana" w:hAnsi="Verdana"/>
          <w:sz w:val="18"/>
          <w:szCs w:val="18"/>
        </w:rPr>
        <w:footnoteRef/>
      </w:r>
      <w:r w:rsidRPr="00C801FB">
        <w:rPr>
          <w:rFonts w:ascii="Verdana" w:hAnsi="Verdana"/>
          <w:sz w:val="18"/>
          <w:szCs w:val="18"/>
        </w:rPr>
        <w:t xml:space="preserve">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7">
    <w:p w14:paraId="0ACAC27C" w14:textId="77777777" w:rsidR="009A24FD" w:rsidRPr="00C801FB" w:rsidRDefault="009A24FD" w:rsidP="009A24FD">
      <w:pPr>
        <w:pStyle w:val="Textonotapie"/>
        <w:ind w:firstLine="708"/>
        <w:jc w:val="both"/>
        <w:rPr>
          <w:rFonts w:ascii="Verdana" w:hAnsi="Verdana"/>
          <w:sz w:val="18"/>
          <w:szCs w:val="18"/>
        </w:rPr>
      </w:pPr>
    </w:p>
    <w:p w14:paraId="1F93C8E5" w14:textId="77777777" w:rsidR="009A24FD" w:rsidRPr="00C801FB" w:rsidRDefault="009A24FD" w:rsidP="009A24FD">
      <w:pPr>
        <w:pStyle w:val="Textonotapie"/>
        <w:ind w:firstLine="708"/>
        <w:jc w:val="both"/>
        <w:rPr>
          <w:rFonts w:ascii="Verdana" w:hAnsi="Verdana"/>
          <w:sz w:val="18"/>
          <w:szCs w:val="18"/>
          <w:lang w:val="es-CO"/>
        </w:rPr>
      </w:pPr>
      <w:r w:rsidRPr="00C801FB">
        <w:rPr>
          <w:rStyle w:val="Refdenotaalpie"/>
          <w:rFonts w:ascii="Verdana" w:hAnsi="Verdana"/>
          <w:sz w:val="18"/>
          <w:szCs w:val="18"/>
        </w:rPr>
        <w:footnoteRef/>
      </w:r>
      <w:r w:rsidRPr="00C801FB">
        <w:rPr>
          <w:rFonts w:ascii="Verdana" w:hAnsi="Verdana"/>
          <w:sz w:val="18"/>
          <w:szCs w:val="18"/>
        </w:rPr>
        <w:t xml:space="preserve"> “</w:t>
      </w:r>
      <w:r w:rsidRPr="00C801FB">
        <w:rPr>
          <w:rFonts w:ascii="Verdana" w:hAnsi="Verdana"/>
          <w:sz w:val="18"/>
          <w:szCs w:val="18"/>
          <w:lang w:val="es-CO"/>
        </w:rPr>
        <w:t>Artículo 7º.</w:t>
      </w:r>
      <w:r w:rsidRPr="00C801FB">
        <w:rPr>
          <w:rFonts w:ascii="Verdana" w:hAnsi="Verdana"/>
          <w:b/>
          <w:bCs/>
          <w:i/>
          <w:iCs/>
          <w:sz w:val="18"/>
          <w:szCs w:val="18"/>
          <w:lang w:val="es-CO"/>
        </w:rPr>
        <w:t> </w:t>
      </w:r>
      <w:r w:rsidRPr="00C801FB">
        <w:rPr>
          <w:rFonts w:ascii="Verdana" w:hAnsi="Verdana"/>
          <w:sz w:val="18"/>
          <w:szCs w:val="18"/>
          <w:lang w:val="es-CO"/>
        </w:rPr>
        <w:t>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038EB55D" w14:textId="77777777" w:rsidR="009A24FD" w:rsidRPr="00C801FB" w:rsidRDefault="009A24FD" w:rsidP="009A24FD">
      <w:pPr>
        <w:pStyle w:val="Textonotapie"/>
        <w:ind w:firstLine="708"/>
        <w:jc w:val="both"/>
        <w:rPr>
          <w:rFonts w:ascii="Verdana" w:hAnsi="Verdana"/>
          <w:sz w:val="18"/>
          <w:szCs w:val="18"/>
        </w:rPr>
      </w:pPr>
      <w:r w:rsidRPr="00C801FB">
        <w:rPr>
          <w:rFonts w:ascii="Verdana" w:hAnsi="Verdana"/>
          <w:sz w:val="18"/>
          <w:szCs w:val="18"/>
        </w:rPr>
        <w:t xml:space="preserve"> </w:t>
      </w:r>
    </w:p>
  </w:footnote>
  <w:footnote w:id="8">
    <w:p w14:paraId="14D05ECB" w14:textId="77777777" w:rsidR="009A24FD" w:rsidRPr="00C801FB" w:rsidRDefault="009A24FD" w:rsidP="009A24FD">
      <w:pPr>
        <w:pStyle w:val="Textonotapie"/>
        <w:ind w:firstLine="708"/>
        <w:jc w:val="both"/>
        <w:rPr>
          <w:rFonts w:ascii="Verdana" w:hAnsi="Verdana"/>
          <w:sz w:val="18"/>
          <w:szCs w:val="18"/>
        </w:rPr>
      </w:pPr>
      <w:r w:rsidRPr="00C801FB">
        <w:rPr>
          <w:rStyle w:val="Refdenotaalpie"/>
          <w:rFonts w:ascii="Verdana" w:hAnsi="Verdana"/>
          <w:sz w:val="18"/>
          <w:szCs w:val="18"/>
        </w:rPr>
        <w:footnoteRef/>
      </w:r>
      <w:r w:rsidRPr="00C801FB">
        <w:rPr>
          <w:rFonts w:ascii="Verdana" w:hAnsi="Verdana"/>
          <w:sz w:val="18"/>
          <w:szCs w:val="18"/>
        </w:rPr>
        <w:t xml:space="preserve"> “Artículo 8º. Aplicación de normas generales del sistema de contratación pública. La contratación a la que hace referencia el presente decreto está sujeta a las normas generales aplicables a la contratación pública excepto en lo reglamentado en el presente decreto”.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8" type="#_x0000_t75" style="width:14.85pt;height:14.8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C6478"/>
    <w:multiLevelType w:val="hybridMultilevel"/>
    <w:tmpl w:val="1EC024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A7F2EF4"/>
    <w:multiLevelType w:val="hybridMultilevel"/>
    <w:tmpl w:val="8F8216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2"/>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1492209491">
    <w:abstractNumId w:val="7"/>
  </w:num>
  <w:num w:numId="18" w16cid:durableId="679089576">
    <w:abstractNumId w:val="12"/>
  </w:num>
  <w:num w:numId="19" w16cid:durableId="158469775">
    <w:abstractNumId w:val="4"/>
  </w:num>
  <w:num w:numId="20" w16cid:durableId="192795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721B"/>
    <w:rsid w:val="00061B2A"/>
    <w:rsid w:val="00082362"/>
    <w:rsid w:val="000A683E"/>
    <w:rsid w:val="000B19B9"/>
    <w:rsid w:val="000D0334"/>
    <w:rsid w:val="000F6486"/>
    <w:rsid w:val="001171BF"/>
    <w:rsid w:val="00125105"/>
    <w:rsid w:val="00127233"/>
    <w:rsid w:val="00192F33"/>
    <w:rsid w:val="001E4177"/>
    <w:rsid w:val="001F7DC6"/>
    <w:rsid w:val="002421BB"/>
    <w:rsid w:val="0025796E"/>
    <w:rsid w:val="002707A2"/>
    <w:rsid w:val="002951A0"/>
    <w:rsid w:val="002962BC"/>
    <w:rsid w:val="002A093D"/>
    <w:rsid w:val="002A0DD0"/>
    <w:rsid w:val="002A49AC"/>
    <w:rsid w:val="002A64FD"/>
    <w:rsid w:val="002C7A84"/>
    <w:rsid w:val="002D42FC"/>
    <w:rsid w:val="002E4FD9"/>
    <w:rsid w:val="00322A85"/>
    <w:rsid w:val="00324168"/>
    <w:rsid w:val="003448F4"/>
    <w:rsid w:val="00374F5E"/>
    <w:rsid w:val="00377E3E"/>
    <w:rsid w:val="003A06E6"/>
    <w:rsid w:val="003A26D1"/>
    <w:rsid w:val="003A779E"/>
    <w:rsid w:val="003B63F4"/>
    <w:rsid w:val="003D0F4D"/>
    <w:rsid w:val="003D5B0D"/>
    <w:rsid w:val="003E0499"/>
    <w:rsid w:val="003E78FA"/>
    <w:rsid w:val="003F3941"/>
    <w:rsid w:val="00406575"/>
    <w:rsid w:val="0042722E"/>
    <w:rsid w:val="0044528D"/>
    <w:rsid w:val="00493E95"/>
    <w:rsid w:val="004A1847"/>
    <w:rsid w:val="004A305D"/>
    <w:rsid w:val="004F21C4"/>
    <w:rsid w:val="004F685F"/>
    <w:rsid w:val="005056DE"/>
    <w:rsid w:val="005566E8"/>
    <w:rsid w:val="005744C9"/>
    <w:rsid w:val="00574867"/>
    <w:rsid w:val="00591460"/>
    <w:rsid w:val="00592628"/>
    <w:rsid w:val="005C3777"/>
    <w:rsid w:val="005C5CDC"/>
    <w:rsid w:val="005D476C"/>
    <w:rsid w:val="005D781A"/>
    <w:rsid w:val="00610812"/>
    <w:rsid w:val="006219F8"/>
    <w:rsid w:val="00636C0B"/>
    <w:rsid w:val="00650FF7"/>
    <w:rsid w:val="00665D70"/>
    <w:rsid w:val="00671DAC"/>
    <w:rsid w:val="006900D9"/>
    <w:rsid w:val="006D12F8"/>
    <w:rsid w:val="00703326"/>
    <w:rsid w:val="00706C16"/>
    <w:rsid w:val="00714DD3"/>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A24FD"/>
    <w:rsid w:val="009B2D26"/>
    <w:rsid w:val="009C71FA"/>
    <w:rsid w:val="009C72E7"/>
    <w:rsid w:val="009D3058"/>
    <w:rsid w:val="009F3A13"/>
    <w:rsid w:val="00A122D3"/>
    <w:rsid w:val="00A17F13"/>
    <w:rsid w:val="00A20739"/>
    <w:rsid w:val="00A33C78"/>
    <w:rsid w:val="00AB0ADB"/>
    <w:rsid w:val="00AF5091"/>
    <w:rsid w:val="00B01B1A"/>
    <w:rsid w:val="00B72CD3"/>
    <w:rsid w:val="00B72FFF"/>
    <w:rsid w:val="00BC3D36"/>
    <w:rsid w:val="00BD7F72"/>
    <w:rsid w:val="00C04FB3"/>
    <w:rsid w:val="00C1622C"/>
    <w:rsid w:val="00C22D49"/>
    <w:rsid w:val="00C330EB"/>
    <w:rsid w:val="00C754BE"/>
    <w:rsid w:val="00C76B1C"/>
    <w:rsid w:val="00CB6357"/>
    <w:rsid w:val="00CC1B26"/>
    <w:rsid w:val="00D423A2"/>
    <w:rsid w:val="00D520D8"/>
    <w:rsid w:val="00D63AC2"/>
    <w:rsid w:val="00D7383B"/>
    <w:rsid w:val="00D920A1"/>
    <w:rsid w:val="00DA231B"/>
    <w:rsid w:val="00DA23A0"/>
    <w:rsid w:val="00DC39FC"/>
    <w:rsid w:val="00DF5254"/>
    <w:rsid w:val="00E16408"/>
    <w:rsid w:val="00E20894"/>
    <w:rsid w:val="00E245AB"/>
    <w:rsid w:val="00E2764C"/>
    <w:rsid w:val="00E27F2E"/>
    <w:rsid w:val="00E413EA"/>
    <w:rsid w:val="00E50AFE"/>
    <w:rsid w:val="00E51F10"/>
    <w:rsid w:val="00E75C92"/>
    <w:rsid w:val="00E771DC"/>
    <w:rsid w:val="00E8772A"/>
    <w:rsid w:val="00E90F6B"/>
    <w:rsid w:val="00E92C27"/>
    <w:rsid w:val="00EA0E3D"/>
    <w:rsid w:val="00EC38A7"/>
    <w:rsid w:val="00EE1AA8"/>
    <w:rsid w:val="00EE7086"/>
    <w:rsid w:val="00F31EDC"/>
    <w:rsid w:val="00F462B3"/>
    <w:rsid w:val="00F5664F"/>
    <w:rsid w:val="00F666C4"/>
    <w:rsid w:val="00F76AFC"/>
    <w:rsid w:val="00FA47C0"/>
    <w:rsid w:val="00FB5DD1"/>
    <w:rsid w:val="00FC2B5D"/>
    <w:rsid w:val="00FF1449"/>
    <w:rsid w:val="29E65C1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A24FD"/>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boletin_de_realtoria_iii.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1B779-483C-4002-8027-7214F466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http://schemas.microsoft.com/office/infopath/2007/PartnerControls"/>
    <ds:schemaRef ds:uri="http://purl.org/dc/terms/"/>
    <ds:schemaRef ds:uri="9d85dbaf-23eb-4e57-a637-93dcacc8b1a1"/>
    <ds:schemaRef ds:uri="http://www.w3.org/XML/1998/namespace"/>
    <ds:schemaRef ds:uri="http://schemas.openxmlformats.org/package/2006/metadata/core-properties"/>
    <ds:schemaRef ds:uri="http://purl.org/dc/elements/1.1/"/>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2829</Words>
  <Characters>15560</Characters>
  <Application>Microsoft Office Word</Application>
  <DocSecurity>0</DocSecurity>
  <Lines>129</Lines>
  <Paragraphs>36</Paragraphs>
  <ScaleCrop>false</ScaleCrop>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2024-10-10T14:25:00Z</dcterms:created>
  <dcterms:modified xsi:type="dcterms:W3CDTF">2024-10-10T14:25:00Z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