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95C39" w14:textId="77777777" w:rsidR="00C86D1D" w:rsidRPr="005F240A" w:rsidRDefault="00C86D1D" w:rsidP="00C86D1D">
      <w:pPr>
        <w:spacing w:after="0" w:line="240" w:lineRule="auto"/>
        <w:jc w:val="both"/>
        <w:rPr>
          <w:rFonts w:ascii="Verdana" w:eastAsia="Geomanist Light" w:hAnsi="Verdana" w:cs="Arial"/>
          <w:b/>
          <w:color w:val="000000" w:themeColor="text1"/>
          <w:lang w:val="es-ES"/>
        </w:rPr>
      </w:pPr>
      <w:bookmarkStart w:id="0" w:name="_Hlk175210454"/>
      <w:bookmarkStart w:id="1" w:name="_Hlk175209990"/>
      <w:bookmarkStart w:id="2" w:name="_Hlk143780582"/>
      <w:r w:rsidRPr="005F240A">
        <w:rPr>
          <w:rFonts w:ascii="Verdana" w:eastAsia="Geomanist Light" w:hAnsi="Verdana" w:cs="Arial"/>
          <w:b/>
          <w:color w:val="000000" w:themeColor="text1"/>
          <w:lang w:val="es-ES"/>
        </w:rPr>
        <w:t xml:space="preserve">GARANTÍAS – Contratación estatal – Constitución de garantías – Finalidad – Cumplimiento – Obligaciones contractuales </w:t>
      </w:r>
    </w:p>
    <w:p w14:paraId="3583A77C" w14:textId="77777777" w:rsidR="00C86D1D" w:rsidRPr="005F240A" w:rsidRDefault="00C86D1D" w:rsidP="00C86D1D">
      <w:pPr>
        <w:spacing w:after="0" w:line="240" w:lineRule="auto"/>
        <w:jc w:val="both"/>
        <w:rPr>
          <w:rFonts w:ascii="Verdana" w:eastAsia="Geomanist Light" w:hAnsi="Verdana" w:cs="Arial"/>
          <w:bCs/>
          <w:color w:val="000000" w:themeColor="text1"/>
          <w:lang w:val="es-ES"/>
        </w:rPr>
      </w:pPr>
    </w:p>
    <w:p w14:paraId="16BD2368" w14:textId="77777777" w:rsidR="00C86D1D" w:rsidRPr="005F240A" w:rsidRDefault="00C86D1D" w:rsidP="00C86D1D">
      <w:pPr>
        <w:spacing w:after="0" w:line="240" w:lineRule="auto"/>
        <w:jc w:val="both"/>
        <w:rPr>
          <w:rFonts w:ascii="Verdana" w:eastAsia="Geomanist Light" w:hAnsi="Verdana" w:cs="Arial"/>
          <w:color w:val="000000" w:themeColor="text1"/>
          <w:lang w:val="es-ES_tradnl"/>
        </w:rPr>
      </w:pPr>
      <w:r w:rsidRPr="005F240A">
        <w:rPr>
          <w:rFonts w:ascii="Verdana" w:eastAsia="Geomanist Light" w:hAnsi="Verdana" w:cs="Arial"/>
          <w:color w:val="000000" w:themeColor="text1"/>
          <w:lang w:val="es-ES_tradnl"/>
        </w:rPr>
        <w:t xml:space="preserve">El Estatuto General de Contratación de la Administración Pública exige, por regla general, en los procesos de contratación pública </w:t>
      </w:r>
      <w:r w:rsidRPr="005F240A">
        <w:rPr>
          <w:rFonts w:ascii="Verdana" w:eastAsia="Geomanist Light" w:hAnsi="Verdana" w:cs="Arial"/>
          <w:color w:val="000000" w:themeColor="text1"/>
          <w:lang w:val="es-ES"/>
        </w:rPr>
        <w:t>la constitución de garantías con el fin de evitar o mitigar posibles riesgos</w:t>
      </w:r>
      <w:r w:rsidRPr="005F240A">
        <w:rPr>
          <w:rFonts w:ascii="Verdana" w:eastAsia="Geomanist Light" w:hAnsi="Verdana" w:cs="Arial"/>
          <w:color w:val="000000" w:themeColor="text1"/>
          <w:lang w:val="es-ES_tradnl"/>
        </w:rPr>
        <w:t>. En esa orientación, 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w:t>
      </w:r>
    </w:p>
    <w:p w14:paraId="7103FAB6" w14:textId="77777777" w:rsidR="00C86D1D" w:rsidRPr="005F240A" w:rsidRDefault="00C86D1D" w:rsidP="00C86D1D">
      <w:pPr>
        <w:spacing w:after="0" w:line="240" w:lineRule="auto"/>
        <w:jc w:val="both"/>
        <w:rPr>
          <w:rFonts w:ascii="Verdana" w:eastAsia="Geomanist Light" w:hAnsi="Verdana" w:cs="Arial"/>
          <w:color w:val="000000" w:themeColor="text1"/>
          <w:lang w:val="es-ES_tradnl"/>
        </w:rPr>
      </w:pPr>
    </w:p>
    <w:p w14:paraId="40B5FF38" w14:textId="77777777" w:rsidR="00C86D1D" w:rsidRPr="005F240A" w:rsidRDefault="00C86D1D" w:rsidP="00C86D1D">
      <w:pPr>
        <w:spacing w:after="0" w:line="240" w:lineRule="auto"/>
        <w:jc w:val="both"/>
        <w:rPr>
          <w:rFonts w:ascii="Verdana" w:eastAsia="Geomanist Light" w:hAnsi="Verdana" w:cs="Arial"/>
          <w:b/>
          <w:color w:val="000000" w:themeColor="text1"/>
          <w:lang w:val="es-ES"/>
        </w:rPr>
      </w:pPr>
      <w:r w:rsidRPr="005F240A">
        <w:rPr>
          <w:rFonts w:ascii="Verdana" w:eastAsia="Geomanist Light" w:hAnsi="Verdana" w:cs="Arial"/>
          <w:b/>
          <w:color w:val="000000" w:themeColor="text1"/>
          <w:lang w:val="es-ES"/>
        </w:rPr>
        <w:t>GARANTÍA DE CUMPLIMIENTO – Amparos – Finalidad</w:t>
      </w:r>
    </w:p>
    <w:p w14:paraId="210CDECA" w14:textId="77777777" w:rsidR="00C86D1D" w:rsidRPr="005F240A" w:rsidRDefault="00C86D1D" w:rsidP="00C86D1D">
      <w:pPr>
        <w:spacing w:after="0" w:line="240" w:lineRule="auto"/>
        <w:jc w:val="both"/>
        <w:rPr>
          <w:rFonts w:ascii="Verdana" w:eastAsia="Geomanist Light" w:hAnsi="Verdana" w:cs="Arial"/>
          <w:b/>
          <w:color w:val="000000" w:themeColor="text1"/>
          <w:lang w:val="es-ES"/>
        </w:rPr>
      </w:pPr>
    </w:p>
    <w:p w14:paraId="05CB9DE3" w14:textId="77777777" w:rsidR="00C86D1D" w:rsidRPr="005F240A" w:rsidRDefault="00C86D1D" w:rsidP="00C86D1D">
      <w:pPr>
        <w:spacing w:after="0" w:line="240" w:lineRule="auto"/>
        <w:jc w:val="both"/>
        <w:rPr>
          <w:rFonts w:ascii="Verdana" w:eastAsia="Geomanist Light" w:hAnsi="Verdana" w:cs="Arial"/>
          <w:bCs/>
          <w:color w:val="000000" w:themeColor="text1"/>
          <w:lang w:val="es-ES_tradnl"/>
        </w:rPr>
      </w:pPr>
      <w:r w:rsidRPr="005F240A">
        <w:rPr>
          <w:rFonts w:ascii="Verdana" w:eastAsia="Geomanist Light" w:hAnsi="Verdana" w:cs="Arial"/>
          <w:bCs/>
          <w:color w:val="000000" w:themeColor="text1"/>
          <w:lang w:val="es-ES"/>
        </w:rPr>
        <w:t xml:space="preserve">[…] </w:t>
      </w:r>
      <w:r w:rsidRPr="005F240A">
        <w:rPr>
          <w:rFonts w:ascii="Verdana" w:eastAsia="Geomanist Light" w:hAnsi="Verdana" w:cs="Arial"/>
          <w:bCs/>
          <w:color w:val="000000" w:themeColor="text1"/>
          <w:lang w:val="es-ES_tradnl"/>
        </w:rPr>
        <w:t xml:space="preserve">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p w14:paraId="6F74D146" w14:textId="77777777" w:rsidR="00C86D1D" w:rsidRPr="005F240A" w:rsidRDefault="00C86D1D" w:rsidP="00C86D1D">
      <w:pPr>
        <w:spacing w:after="0" w:line="240" w:lineRule="auto"/>
        <w:jc w:val="both"/>
        <w:rPr>
          <w:rFonts w:ascii="Verdana" w:eastAsia="Geomanist Light" w:hAnsi="Verdana" w:cs="Arial"/>
          <w:bCs/>
          <w:color w:val="000000" w:themeColor="text1"/>
          <w:lang w:val="es-ES_tradnl"/>
        </w:rPr>
      </w:pPr>
    </w:p>
    <w:p w14:paraId="6F8D5307" w14:textId="77777777" w:rsidR="00C86D1D" w:rsidRPr="005F240A" w:rsidRDefault="00C86D1D" w:rsidP="00C86D1D">
      <w:pPr>
        <w:spacing w:after="0" w:line="240" w:lineRule="auto"/>
        <w:jc w:val="both"/>
        <w:rPr>
          <w:rFonts w:ascii="Verdana" w:eastAsia="Geomanist Light" w:hAnsi="Verdana" w:cs="Arial"/>
          <w:color w:val="000000" w:themeColor="text1"/>
          <w:lang w:val="es-ES_tradnl"/>
        </w:rPr>
      </w:pPr>
      <w:r w:rsidRPr="005F240A">
        <w:rPr>
          <w:rFonts w:ascii="Verdana" w:eastAsia="Geomanist Light" w:hAnsi="Verdana" w:cs="Arial"/>
          <w:bCs/>
          <w:color w:val="000000" w:themeColor="text1"/>
          <w:lang w:val="es-ES_tradnl"/>
        </w:rPr>
        <w:t>L</w:t>
      </w:r>
      <w:r w:rsidRPr="005F240A">
        <w:rPr>
          <w:rFonts w:ascii="Verdana" w:eastAsia="Geomanist Light" w:hAnsi="Verdana" w:cs="Arial"/>
          <w:color w:val="000000" w:themeColor="text1"/>
          <w:lang w:val="es-ES"/>
        </w:rPr>
        <w:t xml:space="preserve">os artículos 2.2.1.2.3.1.6 y 2.2.1.2.3.1.9 establecen las condiciones que debe cumplir la garantía de los riesgos derivados del incumplimiento de la oferta. </w:t>
      </w:r>
      <w:r w:rsidRPr="005F240A">
        <w:rPr>
          <w:rFonts w:ascii="Verdana" w:eastAsia="Geomanist Light" w:hAnsi="Verdana" w:cs="Arial"/>
          <w:color w:val="000000" w:themeColor="text1"/>
          <w:lang w:val="es-ES_tradnl"/>
        </w:rPr>
        <w:t>De otro lado, el artículo 2.2.1.3.1.7 prescribe que la garantía de cumplimiento debe cubrir: i) el buen manejo y correcta inversión del anticipo; ii) la devolución del pago anticipado; iii) el cumplimiento del contrato; iv) el pago de salarios, prestaciones sociales legales e indemnizaciones laborales; v) la estabilidad y calidad de la obra; vi) la calidad del servicio; vii) la calidad y correcto funcionamiento de los bienes; y viii) los demás incumplimientos de las obligaciones que la entidad estatal considere deben ser amparados.</w:t>
      </w:r>
    </w:p>
    <w:p w14:paraId="1BB72343" w14:textId="77777777" w:rsidR="00C86D1D" w:rsidRPr="005F240A" w:rsidRDefault="00C86D1D" w:rsidP="00C86D1D">
      <w:pPr>
        <w:spacing w:after="0" w:line="240" w:lineRule="auto"/>
        <w:jc w:val="both"/>
        <w:rPr>
          <w:rFonts w:ascii="Verdana" w:eastAsia="Geomanist Light" w:hAnsi="Verdana" w:cs="Arial"/>
          <w:color w:val="000000" w:themeColor="text1"/>
          <w:lang w:val="es-ES_tradnl"/>
        </w:rPr>
      </w:pPr>
    </w:p>
    <w:p w14:paraId="5BD09495" w14:textId="77777777" w:rsidR="00C86D1D" w:rsidRPr="005F240A" w:rsidRDefault="00C86D1D" w:rsidP="00C86D1D">
      <w:pPr>
        <w:spacing w:after="0" w:line="240" w:lineRule="auto"/>
        <w:jc w:val="both"/>
        <w:rPr>
          <w:rFonts w:ascii="Verdana" w:eastAsia="Geomanist Light" w:hAnsi="Verdana" w:cs="Arial"/>
          <w:b/>
          <w:color w:val="000000" w:themeColor="text1"/>
        </w:rPr>
      </w:pPr>
      <w:r w:rsidRPr="005F240A">
        <w:rPr>
          <w:rFonts w:ascii="Verdana" w:eastAsia="Geomanist Light" w:hAnsi="Verdana" w:cs="Arial"/>
          <w:b/>
          <w:color w:val="000000" w:themeColor="text1"/>
        </w:rPr>
        <w:t xml:space="preserve">GARANTÍA DE ESTABILIDAD Y CALIDAD DE LA OBRA – Suficiencia  </w:t>
      </w:r>
    </w:p>
    <w:p w14:paraId="6BE110C3" w14:textId="77777777" w:rsidR="00C86D1D" w:rsidRPr="005F240A" w:rsidRDefault="00C86D1D" w:rsidP="00C86D1D">
      <w:pPr>
        <w:spacing w:after="0" w:line="240" w:lineRule="auto"/>
        <w:jc w:val="both"/>
        <w:rPr>
          <w:rFonts w:ascii="Verdana" w:eastAsia="Geomanist Light" w:hAnsi="Verdana" w:cs="Arial"/>
          <w:b/>
          <w:color w:val="000000" w:themeColor="text1"/>
        </w:rPr>
      </w:pPr>
    </w:p>
    <w:p w14:paraId="344CF39D" w14:textId="77777777" w:rsidR="00C86D1D" w:rsidRPr="005F240A" w:rsidRDefault="00C86D1D" w:rsidP="00C86D1D">
      <w:pPr>
        <w:spacing w:after="0" w:line="240" w:lineRule="auto"/>
        <w:jc w:val="both"/>
        <w:rPr>
          <w:rFonts w:ascii="Verdana" w:eastAsia="Geomanist Light" w:hAnsi="Verdana" w:cs="Arial"/>
          <w:bCs/>
          <w:color w:val="000000" w:themeColor="text1"/>
        </w:rPr>
      </w:pPr>
      <w:r w:rsidRPr="005F240A">
        <w:rPr>
          <w:rFonts w:ascii="Verdana" w:eastAsia="Geomanist Light" w:hAnsi="Verdana" w:cs="Arial"/>
          <w:bCs/>
          <w:color w:val="000000" w:themeColor="text1"/>
        </w:rPr>
        <w:t xml:space="preserve">De acuerdo con el artículo 2.2.1.2.3.1.14 del Decreto 1082 de 2015 modificado por el Decreto 399 de 2021, la garantía de estabilidad y calidad de la obra debe estar vigente por un término no inferior a cinco (5) años contados a partir de la fecha en la cual la Entidad Estatal recibe a satisfacción la obra. La Entidad Estatal debe determinar el valor asegurado de esta garantía en los documentos del proceso, de acuerdo con el objeto, la cuantía, la naturaleza y las obligaciones contenidas en el contrato a celebrar. </w:t>
      </w:r>
    </w:p>
    <w:p w14:paraId="072AA1BC" w14:textId="77777777" w:rsidR="00C86D1D" w:rsidRPr="005F240A" w:rsidRDefault="00C86D1D" w:rsidP="00C86D1D">
      <w:pPr>
        <w:spacing w:after="0" w:line="240" w:lineRule="auto"/>
        <w:jc w:val="both"/>
        <w:rPr>
          <w:rFonts w:ascii="Verdana" w:eastAsia="Geomanist Light" w:hAnsi="Verdana" w:cs="Arial"/>
          <w:bCs/>
          <w:color w:val="000000" w:themeColor="text1"/>
        </w:rPr>
      </w:pPr>
    </w:p>
    <w:p w14:paraId="098B58A8" w14:textId="77777777" w:rsidR="00C86D1D" w:rsidRPr="005F240A" w:rsidRDefault="00C86D1D" w:rsidP="00C86D1D">
      <w:pPr>
        <w:spacing w:after="0" w:line="240" w:lineRule="auto"/>
        <w:jc w:val="both"/>
        <w:rPr>
          <w:rFonts w:ascii="Verdana" w:eastAsia="Geomanist Light" w:hAnsi="Verdana" w:cs="Arial"/>
          <w:bCs/>
          <w:color w:val="000000" w:themeColor="text1"/>
        </w:rPr>
      </w:pPr>
      <w:r w:rsidRPr="005F240A">
        <w:rPr>
          <w:rFonts w:ascii="Verdana" w:eastAsia="Geomanist Light" w:hAnsi="Verdana" w:cs="Arial"/>
          <w:bCs/>
          <w:color w:val="000000" w:themeColor="text1"/>
        </w:rPr>
        <w:t xml:space="preserve">Para establecer la complejidad técnica del proyecto, y por ende la vigencia de la garantía de estabilidad y calidad de la obra por un término inferior a los cinco (5) años, la justificación técnica del experto en la materia objeto del contrato tendrá en consideración variables como las siguientes: el tipo de actividades que </w:t>
      </w:r>
      <w:r w:rsidRPr="005F240A">
        <w:rPr>
          <w:rFonts w:ascii="Verdana" w:eastAsia="Geomanist Light" w:hAnsi="Verdana" w:cs="Arial"/>
          <w:bCs/>
          <w:color w:val="000000" w:themeColor="text1"/>
        </w:rPr>
        <w:lastRenderedPageBreak/>
        <w:t xml:space="preserve">serán realizadas, la experticia técnica requerida, el alcance físico de las obras, entre otros, pero sin limitarse únicamente a la cuantía del proceso. </w:t>
      </w:r>
    </w:p>
    <w:p w14:paraId="41D4D0B7" w14:textId="77777777" w:rsidR="00C86D1D" w:rsidRPr="005F240A" w:rsidRDefault="00C86D1D" w:rsidP="00C86D1D">
      <w:pPr>
        <w:spacing w:after="0" w:line="240" w:lineRule="auto"/>
        <w:jc w:val="both"/>
        <w:rPr>
          <w:rFonts w:ascii="Verdana" w:eastAsia="Geomanist Light" w:hAnsi="Verdana" w:cs="Arial"/>
          <w:bCs/>
          <w:color w:val="000000" w:themeColor="text1"/>
        </w:rPr>
      </w:pPr>
    </w:p>
    <w:p w14:paraId="1C57D25A" w14:textId="77777777" w:rsidR="00C86D1D" w:rsidRPr="005F240A" w:rsidRDefault="00C86D1D" w:rsidP="00C86D1D">
      <w:pPr>
        <w:spacing w:after="0" w:line="240" w:lineRule="auto"/>
        <w:jc w:val="both"/>
        <w:rPr>
          <w:rFonts w:ascii="Verdana" w:eastAsia="Geomanist Light" w:hAnsi="Verdana" w:cs="Arial"/>
          <w:bCs/>
          <w:color w:val="000000" w:themeColor="text1"/>
        </w:rPr>
      </w:pPr>
      <w:r w:rsidRPr="005F240A">
        <w:rPr>
          <w:rFonts w:ascii="Verdana" w:eastAsia="Geomanist Light" w:hAnsi="Verdana" w:cs="Arial"/>
          <w:bCs/>
          <w:color w:val="000000" w:themeColor="text1"/>
        </w:rPr>
        <w:t>La Entidad Estatal puede aceptar que esta garantía tenga una vigencia inferior a cinco (5) años previa justificación técnica de un experto en la materia objeto del contrato, lo cual se debe reflejar en los documentos del proceso. Como consecuencia del análisis anterior y según la complejidad técnica del contrato a celebrar, esta garantía podrá tener una vigencia inferior a cinco (5) años y en todo caso de mínimo un (1) año.</w:t>
      </w:r>
    </w:p>
    <w:p w14:paraId="702D8050" w14:textId="77777777" w:rsidR="00C86D1D" w:rsidRDefault="00C86D1D" w:rsidP="00C86D1D">
      <w:pPr>
        <w:spacing w:after="0" w:line="240" w:lineRule="auto"/>
        <w:rPr>
          <w:rFonts w:ascii="Verdana" w:eastAsia="Geomanist Light" w:hAnsi="Verdana" w:cs="Arial"/>
          <w:color w:val="000000" w:themeColor="text1"/>
          <w:lang w:val="es-MX"/>
        </w:rPr>
      </w:pPr>
    </w:p>
    <w:p w14:paraId="1CA0710E" w14:textId="77777777" w:rsidR="00C86D1D" w:rsidRDefault="00C86D1D" w:rsidP="00C86D1D">
      <w:pPr>
        <w:widowControl w:val="0"/>
        <w:autoSpaceDE w:val="0"/>
        <w:autoSpaceDN w:val="0"/>
        <w:ind w:right="107"/>
        <w:jc w:val="both"/>
        <w:rPr>
          <w:rFonts w:ascii="Verdana" w:eastAsia="Arial" w:hAnsi="Verdana" w:cs="Arial"/>
          <w:b/>
          <w:lang w:eastAsia="es-ES" w:bidi="es-ES"/>
        </w:rPr>
      </w:pPr>
      <w:r w:rsidRPr="00B960BA">
        <w:rPr>
          <w:rFonts w:ascii="Verdana" w:eastAsia="Arial" w:hAnsi="Verdana" w:cs="Arial"/>
          <w:b/>
          <w:lang w:eastAsia="es-ES" w:bidi="es-ES"/>
        </w:rPr>
        <w:t>PRINCIPIO</w:t>
      </w:r>
      <w:r w:rsidRPr="00B960BA">
        <w:rPr>
          <w:rFonts w:ascii="Verdana" w:eastAsia="Arial" w:hAnsi="Verdana" w:cs="Arial"/>
          <w:b/>
          <w:lang w:val="es-ES" w:eastAsia="es-ES" w:bidi="es-ES"/>
        </w:rPr>
        <w:t xml:space="preserve"> DE </w:t>
      </w:r>
      <w:r w:rsidRPr="00B960BA">
        <w:rPr>
          <w:rFonts w:ascii="Verdana" w:eastAsia="Century Gothic" w:hAnsi="Verdana" w:cs="Century Gothic"/>
          <w:b/>
          <w:lang w:val="es-MX"/>
        </w:rPr>
        <w:t xml:space="preserve">AUTONOMIA - </w:t>
      </w:r>
      <w:r w:rsidRPr="00B960BA">
        <w:rPr>
          <w:rFonts w:ascii="Verdana" w:eastAsia="Arial" w:hAnsi="Verdana" w:cs="Arial"/>
          <w:b/>
          <w:lang w:eastAsia="es-ES" w:bidi="es-ES"/>
        </w:rPr>
        <w:t xml:space="preserve">Ley 80 de 1993 </w:t>
      </w:r>
    </w:p>
    <w:p w14:paraId="521DE074" w14:textId="77777777" w:rsidR="00C86D1D" w:rsidRPr="00B960BA" w:rsidRDefault="00C86D1D" w:rsidP="00C86D1D">
      <w:pPr>
        <w:widowControl w:val="0"/>
        <w:autoSpaceDE w:val="0"/>
        <w:autoSpaceDN w:val="0"/>
        <w:ind w:right="107"/>
        <w:jc w:val="both"/>
        <w:rPr>
          <w:rFonts w:ascii="Verdana" w:eastAsia="Calibri" w:hAnsi="Verdana" w:cs="Arial"/>
          <w:color w:val="000000"/>
          <w:lang w:eastAsia="es-ES"/>
        </w:rPr>
      </w:pPr>
      <w:r>
        <w:rPr>
          <w:rFonts w:ascii="Verdana" w:eastAsia="Calibri" w:hAnsi="Verdana" w:cs="Arial"/>
          <w:color w:val="000000"/>
          <w:lang w:eastAsia="es-ES"/>
        </w:rPr>
        <w:t>En virtud del p</w:t>
      </w:r>
      <w:r w:rsidRPr="00B960BA">
        <w:rPr>
          <w:rFonts w:ascii="Verdana" w:eastAsia="Calibri" w:hAnsi="Verdana" w:cs="Arial"/>
          <w:color w:val="000000"/>
          <w:lang w:eastAsia="es-ES"/>
        </w:rPr>
        <w:t xml:space="preserve">rincipio de autonomía </w:t>
      </w:r>
      <w:r w:rsidRPr="00B960BA">
        <w:rPr>
          <w:rFonts w:ascii="Verdana" w:hAnsi="Verdana"/>
        </w:rPr>
        <w:t>las</w:t>
      </w:r>
      <w:r w:rsidRPr="00B960BA">
        <w:rPr>
          <w:rFonts w:ascii="Verdana" w:eastAsia="Calibri" w:hAnsi="Verdana" w:cs="Arial"/>
          <w:color w:val="000000"/>
          <w:lang w:eastAsia="es-ES"/>
        </w:rPr>
        <w:t xml:space="preserve"> entidades públicas en Colombia tienen la capacidad de tomar decisiones y actuar en el marco de sus competencias, sin necesidad de una intervención directa o control de otras entidades o poderes del Estado, siempre y cuando estas acciones estén alineadas con los principios constitucionales, las leyes y las normativas que rigen su funcionamiento.</w:t>
      </w:r>
    </w:p>
    <w:p w14:paraId="5F38AF16" w14:textId="77777777" w:rsidR="00C86D1D" w:rsidRPr="000071C0" w:rsidRDefault="00C86D1D" w:rsidP="00C86D1D">
      <w:pPr>
        <w:spacing w:before="120"/>
        <w:jc w:val="both"/>
        <w:rPr>
          <w:rFonts w:ascii="Verdana" w:hAnsi="Verdana" w:cs="Arial"/>
        </w:rPr>
      </w:pPr>
      <w:r w:rsidRPr="000071C0">
        <w:rPr>
          <w:rFonts w:ascii="Verdana" w:hAnsi="Verdana" w:cs="Arial"/>
        </w:rPr>
        <w:t xml:space="preserve">En </w:t>
      </w:r>
      <w:r>
        <w:rPr>
          <w:rFonts w:ascii="Verdana" w:hAnsi="Verdana" w:cs="Arial"/>
        </w:rPr>
        <w:t>efecto</w:t>
      </w:r>
      <w:r w:rsidRPr="000071C0">
        <w:rPr>
          <w:rFonts w:ascii="Verdana" w:hAnsi="Verdana" w:cs="Arial"/>
        </w:rPr>
        <w:t>, se les concedió a las entidades públicas la capacidad jurídica para llevar a cabo su contratación, lo cual se traduce en que gozan de plena autonomía e independencia para gestionar la satisfacción de sus necesidades en ejecución de la actividad contractual.</w:t>
      </w:r>
    </w:p>
    <w:p w14:paraId="1CA1BCE1" w14:textId="77777777" w:rsidR="00C86D1D" w:rsidRPr="000071C0" w:rsidRDefault="00C86D1D" w:rsidP="00C86D1D">
      <w:pPr>
        <w:spacing w:before="120"/>
        <w:jc w:val="both"/>
        <w:rPr>
          <w:rFonts w:ascii="Verdana" w:hAnsi="Verdana" w:cs="Arial"/>
        </w:rPr>
      </w:pPr>
      <w:r w:rsidRPr="00446552">
        <w:rPr>
          <w:rFonts w:ascii="Verdana" w:eastAsia="Calibri" w:hAnsi="Verdana" w:cs="Arial"/>
          <w:color w:val="000000"/>
          <w:lang w:val="es-ES" w:eastAsia="es-ES"/>
        </w:rPr>
        <w:t xml:space="preserve">Esta autonomía </w:t>
      </w:r>
      <w:r w:rsidRPr="00446552">
        <w:rPr>
          <w:rFonts w:ascii="Verdana" w:eastAsia="Calibri" w:hAnsi="Verdana" w:cs="Arial"/>
          <w:color w:val="000000"/>
          <w:lang w:eastAsia="es-ES"/>
        </w:rPr>
        <w:t>incluye la posibilidad de expedir reglamentos, resoluciones, y otras disposiciones que desarrollen su objeto misional y regulen sus procedimientos internos.</w:t>
      </w:r>
      <w:r w:rsidRPr="00446552">
        <w:rPr>
          <w:rFonts w:ascii="Verdana" w:hAnsi="Verdana" w:cs="Arial"/>
        </w:rPr>
        <w:t xml:space="preserve"> </w:t>
      </w:r>
      <w:r w:rsidRPr="000071C0">
        <w:rPr>
          <w:rFonts w:ascii="Verdana" w:hAnsi="Verdana" w:cs="Arial"/>
        </w:rPr>
        <w:t>En virtud de esas disposiciones, se les concedió a las entidades públicas la capacidad jurídica para llevar a cabo su contratación, lo cual se traduce en que gozan de plena autonomía e independencia para gestionar la satisfacción de sus necesidades en ejecución de la actividad contractual.</w:t>
      </w:r>
    </w:p>
    <w:p w14:paraId="03D7CE12" w14:textId="77777777" w:rsidR="00C86D1D" w:rsidRPr="00277799" w:rsidRDefault="00C86D1D" w:rsidP="00C86D1D">
      <w:pPr>
        <w:jc w:val="both"/>
        <w:rPr>
          <w:rFonts w:ascii="Verdana" w:hAnsi="Verdana" w:cs="Arial"/>
          <w:bCs/>
          <w:lang w:val="es-ES"/>
        </w:rPr>
      </w:pPr>
    </w:p>
    <w:p w14:paraId="09094336" w14:textId="77777777" w:rsidR="00C86D1D" w:rsidRPr="00277799" w:rsidRDefault="00C86D1D" w:rsidP="00C86D1D">
      <w:pPr>
        <w:spacing w:after="0"/>
        <w:jc w:val="both"/>
        <w:rPr>
          <w:rFonts w:ascii="Verdana" w:hAnsi="Verdana"/>
        </w:rPr>
      </w:pPr>
    </w:p>
    <w:p w14:paraId="43642AB6" w14:textId="77777777" w:rsidR="00C86D1D" w:rsidRPr="00277799" w:rsidRDefault="00C86D1D" w:rsidP="00C86D1D">
      <w:pPr>
        <w:spacing w:after="0"/>
        <w:jc w:val="both"/>
        <w:rPr>
          <w:rFonts w:ascii="Verdana" w:hAnsi="Verdana"/>
        </w:rPr>
      </w:pPr>
    </w:p>
    <w:p w14:paraId="74C75584" w14:textId="77777777" w:rsidR="00C86D1D" w:rsidRPr="00277799" w:rsidRDefault="00C86D1D" w:rsidP="00C86D1D">
      <w:pPr>
        <w:spacing w:after="0"/>
        <w:jc w:val="both"/>
        <w:rPr>
          <w:rFonts w:ascii="Verdana" w:hAnsi="Verdana"/>
        </w:rPr>
      </w:pPr>
    </w:p>
    <w:p w14:paraId="1E289B25" w14:textId="77777777" w:rsidR="00C86D1D" w:rsidRPr="00277799" w:rsidRDefault="00C86D1D" w:rsidP="00C86D1D">
      <w:pPr>
        <w:spacing w:after="0"/>
        <w:jc w:val="both"/>
        <w:rPr>
          <w:rFonts w:ascii="Verdana" w:hAnsi="Verdana"/>
        </w:rPr>
      </w:pPr>
    </w:p>
    <w:p w14:paraId="16D4AD64" w14:textId="77777777" w:rsidR="00C86D1D" w:rsidRDefault="00C86D1D" w:rsidP="00C86D1D">
      <w:pPr>
        <w:spacing w:after="0" w:line="240" w:lineRule="auto"/>
        <w:rPr>
          <w:rFonts w:ascii="Verdana" w:eastAsia="Geomanist Light" w:hAnsi="Verdana" w:cs="Arial"/>
          <w:color w:val="000000" w:themeColor="text1"/>
          <w:lang w:val="es-MX"/>
        </w:rPr>
      </w:pPr>
    </w:p>
    <w:p w14:paraId="780C8BB9" w14:textId="77777777" w:rsidR="00C86D1D" w:rsidRDefault="00C86D1D" w:rsidP="00C86D1D">
      <w:pPr>
        <w:spacing w:after="0" w:line="240" w:lineRule="auto"/>
        <w:rPr>
          <w:rFonts w:ascii="Verdana" w:eastAsia="Geomanist Light" w:hAnsi="Verdana" w:cs="Arial"/>
          <w:color w:val="000000" w:themeColor="text1"/>
          <w:lang w:val="es-MX"/>
        </w:rPr>
      </w:pPr>
    </w:p>
    <w:p w14:paraId="14593378" w14:textId="77777777" w:rsidR="00C86D1D" w:rsidRDefault="00C86D1D" w:rsidP="00C86D1D">
      <w:pPr>
        <w:spacing w:after="0" w:line="240" w:lineRule="auto"/>
        <w:rPr>
          <w:rFonts w:ascii="Verdana" w:eastAsia="Geomanist Light" w:hAnsi="Verdana" w:cs="Arial"/>
          <w:color w:val="000000" w:themeColor="text1"/>
          <w:lang w:val="es-MX"/>
        </w:rPr>
      </w:pPr>
    </w:p>
    <w:p w14:paraId="3D182E6D" w14:textId="77777777" w:rsidR="00C86D1D" w:rsidRDefault="00C86D1D" w:rsidP="00C86D1D">
      <w:pPr>
        <w:spacing w:after="0" w:line="240" w:lineRule="auto"/>
        <w:rPr>
          <w:rFonts w:ascii="Verdana" w:eastAsia="Geomanist Light" w:hAnsi="Verdana" w:cs="Arial"/>
          <w:color w:val="000000" w:themeColor="text1"/>
          <w:lang w:val="es-MX"/>
        </w:rPr>
      </w:pPr>
    </w:p>
    <w:p w14:paraId="63B9EF66" w14:textId="77777777" w:rsidR="00C86D1D" w:rsidRDefault="00C86D1D" w:rsidP="00C86D1D">
      <w:pPr>
        <w:spacing w:after="0" w:line="240" w:lineRule="auto"/>
        <w:rPr>
          <w:rFonts w:ascii="Verdana" w:eastAsia="Geomanist Light" w:hAnsi="Verdana" w:cs="Arial"/>
          <w:color w:val="000000" w:themeColor="text1"/>
          <w:lang w:val="es-MX"/>
        </w:rPr>
      </w:pPr>
    </w:p>
    <w:p w14:paraId="6F221A28" w14:textId="77777777" w:rsidR="00C86D1D" w:rsidRDefault="00C86D1D" w:rsidP="00C86D1D">
      <w:pPr>
        <w:spacing w:after="0" w:line="240" w:lineRule="auto"/>
        <w:rPr>
          <w:rFonts w:ascii="Verdana" w:eastAsia="Geomanist Light" w:hAnsi="Verdana" w:cs="Arial"/>
          <w:color w:val="000000" w:themeColor="text1"/>
          <w:lang w:val="es-MX"/>
        </w:rPr>
      </w:pPr>
    </w:p>
    <w:p w14:paraId="0A526546" w14:textId="77777777" w:rsidR="00C86D1D" w:rsidRDefault="00C86D1D" w:rsidP="00C86D1D">
      <w:pPr>
        <w:spacing w:after="0" w:line="240" w:lineRule="auto"/>
        <w:rPr>
          <w:rFonts w:ascii="Verdana" w:eastAsia="Geomanist Light" w:hAnsi="Verdana" w:cs="Arial"/>
          <w:color w:val="000000" w:themeColor="text1"/>
          <w:lang w:val="es-MX"/>
        </w:rPr>
      </w:pPr>
    </w:p>
    <w:p w14:paraId="1603E1E9" w14:textId="77777777" w:rsidR="00C86D1D" w:rsidRDefault="00C86D1D" w:rsidP="00C86D1D">
      <w:pPr>
        <w:spacing w:after="0" w:line="240" w:lineRule="auto"/>
        <w:rPr>
          <w:rFonts w:ascii="Verdana" w:eastAsia="Geomanist Light" w:hAnsi="Verdana" w:cs="Arial"/>
          <w:color w:val="000000" w:themeColor="text1"/>
          <w:lang w:val="es-MX"/>
        </w:rPr>
      </w:pPr>
    </w:p>
    <w:bookmarkEnd w:id="0"/>
    <w:bookmarkEnd w:id="1"/>
    <w:p w14:paraId="2DFE52F4" w14:textId="0536506B" w:rsidR="00C86D1D" w:rsidRPr="0044528D" w:rsidRDefault="00C86D1D" w:rsidP="00C86D1D">
      <w:pPr>
        <w:spacing w:after="0"/>
        <w:rPr>
          <w:rFonts w:ascii="Verdana" w:hAnsi="Verdana"/>
        </w:rPr>
      </w:pPr>
      <w:r w:rsidRPr="0044528D">
        <w:rPr>
          <w:rFonts w:ascii="Verdana" w:hAnsi="Verdana"/>
        </w:rPr>
        <w:t xml:space="preserve">Bogotá D.C., </w:t>
      </w:r>
      <w:r w:rsidR="00DB7FFE">
        <w:rPr>
          <w:rFonts w:ascii="Verdana" w:hAnsi="Verdana"/>
        </w:rPr>
        <w:t>04 de septiembre de 2024.</w:t>
      </w:r>
    </w:p>
    <w:p w14:paraId="10C13409" w14:textId="77777777" w:rsidR="00C86D1D" w:rsidRDefault="00C86D1D" w:rsidP="00C86D1D">
      <w:pPr>
        <w:spacing w:after="0"/>
        <w:rPr>
          <w:rFonts w:ascii="Verdana" w:hAnsi="Verdana"/>
        </w:rPr>
      </w:pPr>
    </w:p>
    <w:p w14:paraId="5647936A" w14:textId="64CF7DFB" w:rsidR="00DB7FFE" w:rsidRDefault="00DB7FFE" w:rsidP="00C86D1D">
      <w:pPr>
        <w:spacing w:after="0"/>
        <w:rPr>
          <w:rFonts w:ascii="Verdana" w:hAnsi="Verdana"/>
        </w:rPr>
      </w:pPr>
      <w:r>
        <w:rPr>
          <w:rFonts w:ascii="Verdana" w:hAnsi="Verdana"/>
          <w:noProof/>
        </w:rPr>
        <w:drawing>
          <wp:inline distT="0" distB="0" distL="0" distR="0" wp14:anchorId="4B0A0E96" wp14:editId="6E058516">
            <wp:extent cx="2714625" cy="857250"/>
            <wp:effectExtent l="0" t="0" r="9525" b="0"/>
            <wp:docPr id="9575302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4625" cy="857250"/>
                    </a:xfrm>
                    <a:prstGeom prst="rect">
                      <a:avLst/>
                    </a:prstGeom>
                    <a:noFill/>
                    <a:ln>
                      <a:noFill/>
                    </a:ln>
                  </pic:spPr>
                </pic:pic>
              </a:graphicData>
            </a:graphic>
          </wp:inline>
        </w:drawing>
      </w:r>
    </w:p>
    <w:p w14:paraId="12EA2EA8" w14:textId="77777777" w:rsidR="00DB7FFE" w:rsidRPr="0044528D" w:rsidRDefault="00DB7FFE" w:rsidP="00C86D1D">
      <w:pPr>
        <w:spacing w:after="0"/>
        <w:rPr>
          <w:rFonts w:ascii="Verdana" w:hAnsi="Verdana"/>
        </w:rPr>
      </w:pPr>
    </w:p>
    <w:p w14:paraId="5EF5E521" w14:textId="77777777" w:rsidR="00C86D1D" w:rsidRPr="0044528D" w:rsidRDefault="00C86D1D" w:rsidP="00C86D1D">
      <w:pPr>
        <w:spacing w:after="0"/>
        <w:rPr>
          <w:rFonts w:ascii="Verdana" w:hAnsi="Verdana"/>
        </w:rPr>
      </w:pPr>
      <w:bookmarkStart w:id="3" w:name="_Hlk175210015"/>
    </w:p>
    <w:bookmarkEnd w:id="2"/>
    <w:p w14:paraId="1A64151B" w14:textId="77777777" w:rsidR="00C86D1D" w:rsidRPr="00560511" w:rsidRDefault="00C86D1D" w:rsidP="00C86D1D">
      <w:pPr>
        <w:spacing w:after="0" w:line="240" w:lineRule="auto"/>
        <w:jc w:val="both"/>
        <w:rPr>
          <w:rFonts w:ascii="Verdana" w:eastAsia="Calibri" w:hAnsi="Verdana" w:cs="Arial"/>
          <w:lang w:eastAsia="es-ES"/>
        </w:rPr>
      </w:pPr>
      <w:r w:rsidRPr="00560511">
        <w:rPr>
          <w:rFonts w:ascii="Verdana" w:eastAsia="Calibri" w:hAnsi="Verdana" w:cs="Arial"/>
          <w:lang w:eastAsia="es-ES"/>
        </w:rPr>
        <w:t>Señor</w:t>
      </w:r>
    </w:p>
    <w:p w14:paraId="0C8A78CA" w14:textId="77777777" w:rsidR="00C86D1D" w:rsidRPr="00560511" w:rsidRDefault="00C86D1D" w:rsidP="00C86D1D">
      <w:pPr>
        <w:spacing w:after="0" w:line="240" w:lineRule="auto"/>
        <w:rPr>
          <w:rFonts w:ascii="Verdana" w:eastAsia="Calibri" w:hAnsi="Verdana" w:cs="Arial"/>
          <w:b/>
          <w:lang w:eastAsia="es-ES_tradnl"/>
        </w:rPr>
      </w:pPr>
      <w:r>
        <w:rPr>
          <w:rFonts w:ascii="Verdana" w:eastAsia="Calibri" w:hAnsi="Verdana" w:cs="Arial"/>
          <w:b/>
          <w:bCs/>
          <w:lang w:eastAsia="es-ES_tradnl"/>
        </w:rPr>
        <w:t>CARMELO BARBOZA PÈREZ</w:t>
      </w:r>
    </w:p>
    <w:p w14:paraId="374897E7" w14:textId="77777777" w:rsidR="00C86D1D" w:rsidRPr="00560511" w:rsidRDefault="00C86D1D" w:rsidP="00C86D1D">
      <w:pPr>
        <w:spacing w:after="0" w:line="240" w:lineRule="auto"/>
        <w:rPr>
          <w:rFonts w:ascii="Verdana" w:eastAsia="Calibri" w:hAnsi="Verdana" w:cs="Arial"/>
          <w:u w:val="single"/>
          <w:lang w:eastAsia="es-ES"/>
        </w:rPr>
      </w:pPr>
      <w:r w:rsidRPr="00560511">
        <w:rPr>
          <w:rFonts w:ascii="Verdana" w:eastAsia="Calibri" w:hAnsi="Verdana" w:cs="Arial"/>
          <w:u w:val="single"/>
          <w:lang w:eastAsia="es-ES"/>
        </w:rPr>
        <w:t>carmelo.barboza@prosperidadsocial.gov.co</w:t>
      </w:r>
    </w:p>
    <w:p w14:paraId="76F84D6F" w14:textId="77777777" w:rsidR="00C86D1D" w:rsidRPr="00B96799" w:rsidRDefault="00C86D1D" w:rsidP="00C86D1D">
      <w:pPr>
        <w:spacing w:after="0" w:line="240" w:lineRule="auto"/>
        <w:rPr>
          <w:rFonts w:ascii="Verdana" w:eastAsia="Calibri" w:hAnsi="Verdana" w:cs="Arial"/>
          <w:b/>
          <w:bCs/>
          <w:lang w:val="es-ES" w:eastAsia="es-ES"/>
        </w:rPr>
      </w:pPr>
      <w:r>
        <w:rPr>
          <w:rFonts w:ascii="Verdana" w:eastAsia="Calibri" w:hAnsi="Verdana" w:cs="Arial"/>
          <w:lang w:val="es-ES" w:eastAsia="es-ES"/>
        </w:rPr>
        <w:t>Bogotá D.C.</w:t>
      </w:r>
    </w:p>
    <w:p w14:paraId="2EBF9755" w14:textId="77777777" w:rsidR="00C86D1D" w:rsidRPr="00593A5F" w:rsidRDefault="00C86D1D" w:rsidP="00C86D1D">
      <w:pPr>
        <w:spacing w:after="0" w:line="240" w:lineRule="auto"/>
        <w:rPr>
          <w:rFonts w:ascii="Verdana" w:eastAsia="Calibri" w:hAnsi="Verdana" w:cs="Arial"/>
          <w:b/>
          <w:bCs/>
          <w:color w:val="000000"/>
          <w:lang w:val="es-ES_tradnl" w:eastAsia="es-ES_tradn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804"/>
      </w:tblGrid>
      <w:tr w:rsidR="00C86D1D" w:rsidRPr="00593A5F" w14:paraId="2B469BC6" w14:textId="77777777" w:rsidTr="00BA1280">
        <w:trPr>
          <w:trHeight w:val="884"/>
        </w:trPr>
        <w:tc>
          <w:tcPr>
            <w:tcW w:w="2410" w:type="dxa"/>
          </w:tcPr>
          <w:p w14:paraId="071D6309" w14:textId="77777777" w:rsidR="00C86D1D" w:rsidRPr="00E5644F" w:rsidRDefault="00C86D1D" w:rsidP="00BA1280">
            <w:pPr>
              <w:jc w:val="both"/>
              <w:rPr>
                <w:rFonts w:ascii="Verdana" w:eastAsia="Calibri" w:hAnsi="Verdana" w:cs="Arial"/>
                <w:b/>
                <w:bCs/>
                <w:color w:val="7030A0"/>
                <w:lang w:val="es-ES_tradnl" w:eastAsia="es-ES_tradnl"/>
              </w:rPr>
            </w:pPr>
          </w:p>
        </w:tc>
        <w:tc>
          <w:tcPr>
            <w:tcW w:w="6804" w:type="dxa"/>
          </w:tcPr>
          <w:p w14:paraId="0D6D0ADE" w14:textId="77777777" w:rsidR="00C86D1D" w:rsidRPr="00E5644F" w:rsidRDefault="00C86D1D" w:rsidP="00BA1280">
            <w:pPr>
              <w:jc w:val="both"/>
              <w:rPr>
                <w:rFonts w:ascii="Verdana" w:eastAsia="Calibri" w:hAnsi="Verdana" w:cs="Arial"/>
                <w:b/>
                <w:bCs/>
                <w:color w:val="7030A0"/>
                <w:lang w:val="es-ES" w:eastAsia="es-ES"/>
              </w:rPr>
            </w:pPr>
            <w:r w:rsidRPr="00E5644F">
              <w:rPr>
                <w:rFonts w:ascii="Verdana" w:eastAsia="Calibri" w:hAnsi="Verdana" w:cs="Arial"/>
                <w:b/>
                <w:bCs/>
                <w:lang w:val="es-ES" w:eastAsia="es-ES"/>
              </w:rPr>
              <w:t>Concepto C- 390 de 2024</w:t>
            </w:r>
          </w:p>
        </w:tc>
      </w:tr>
      <w:tr w:rsidR="00C86D1D" w:rsidRPr="00593A5F" w14:paraId="42CD84F1" w14:textId="77777777" w:rsidTr="00BA1280">
        <w:trPr>
          <w:trHeight w:val="884"/>
        </w:trPr>
        <w:tc>
          <w:tcPr>
            <w:tcW w:w="2410" w:type="dxa"/>
          </w:tcPr>
          <w:p w14:paraId="4ED2CC73" w14:textId="77777777" w:rsidR="00C86D1D" w:rsidRPr="00593A5F" w:rsidRDefault="00C86D1D" w:rsidP="00BA1280">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804" w:type="dxa"/>
          </w:tcPr>
          <w:p w14:paraId="07FA4999" w14:textId="77777777" w:rsidR="00C86D1D" w:rsidRDefault="00C86D1D" w:rsidP="00BA1280">
            <w:pPr>
              <w:spacing w:line="276" w:lineRule="auto"/>
              <w:jc w:val="both"/>
              <w:rPr>
                <w:rFonts w:ascii="Verdana" w:eastAsia="Century Gothic" w:hAnsi="Verdana" w:cs="Century Gothic"/>
                <w:lang w:val="es-MX"/>
              </w:rPr>
            </w:pPr>
            <w:r w:rsidRPr="00E6165F">
              <w:rPr>
                <w:rFonts w:ascii="Verdana" w:eastAsia="Calibri" w:hAnsi="Verdana" w:cs="Arial"/>
                <w:lang w:val="es-ES" w:eastAsia="es-ES"/>
              </w:rPr>
              <w:t xml:space="preserve">GARANTÍAS – Contratación estatal – Constitución de garantías – Finalidad – Cumplimiento – Obligaciones contractuales / GARANTÍA DE CUMPLIMIENTO – Amparos – Finalidad / GARANTÍA DE ESTABILIDAD Y CALIDAD DE LA OBRA – Suficiencia, </w:t>
            </w:r>
            <w:r w:rsidRPr="00E6165F">
              <w:rPr>
                <w:rFonts w:ascii="Verdana" w:eastAsia="Century Gothic" w:hAnsi="Verdana" w:cs="Century Gothic"/>
                <w:lang w:val="es-MX"/>
              </w:rPr>
              <w:t>PRINCIPIO DE AUTONOMIA DE LAS ENTIDADES PUBLICAS – Ley 80 de 1993</w:t>
            </w:r>
            <w:r>
              <w:rPr>
                <w:rFonts w:ascii="Verdana" w:eastAsia="Century Gothic" w:hAnsi="Verdana" w:cs="Century Gothic"/>
                <w:lang w:val="es-MX"/>
              </w:rPr>
              <w:t>.</w:t>
            </w:r>
          </w:p>
          <w:p w14:paraId="27E622B0" w14:textId="77777777" w:rsidR="00C86D1D" w:rsidRPr="00E6165F" w:rsidRDefault="00C86D1D" w:rsidP="00BA1280">
            <w:pPr>
              <w:spacing w:line="276" w:lineRule="auto"/>
              <w:jc w:val="both"/>
              <w:rPr>
                <w:rFonts w:ascii="Verdana" w:eastAsia="Calibri" w:hAnsi="Verdana" w:cs="Arial"/>
                <w:lang w:val="es-ES" w:eastAsia="es-ES"/>
              </w:rPr>
            </w:pPr>
          </w:p>
        </w:tc>
      </w:tr>
      <w:tr w:rsidR="00C86D1D" w:rsidRPr="00593A5F" w14:paraId="53A38E57" w14:textId="77777777" w:rsidTr="00BA1280">
        <w:tc>
          <w:tcPr>
            <w:tcW w:w="2410" w:type="dxa"/>
          </w:tcPr>
          <w:p w14:paraId="6171E492" w14:textId="77777777" w:rsidR="00C86D1D" w:rsidRPr="006730E9" w:rsidRDefault="00C86D1D" w:rsidP="00BA1280">
            <w:pPr>
              <w:jc w:val="both"/>
              <w:rPr>
                <w:rFonts w:ascii="Verdana" w:eastAsia="Calibri" w:hAnsi="Verdana" w:cs="Arial"/>
                <w:b/>
                <w:lang w:val="es-ES_tradnl" w:eastAsia="es-ES_tradnl"/>
              </w:rPr>
            </w:pPr>
            <w:r w:rsidRPr="006730E9">
              <w:rPr>
                <w:rFonts w:ascii="Verdana" w:eastAsia="Calibri" w:hAnsi="Verdana" w:cs="Arial"/>
                <w:b/>
                <w:lang w:val="es-ES_tradnl" w:eastAsia="es-ES_tradnl"/>
              </w:rPr>
              <w:t>Radicación:</w:t>
            </w:r>
            <w:r w:rsidRPr="006730E9">
              <w:rPr>
                <w:rFonts w:ascii="Verdana" w:eastAsia="Calibri" w:hAnsi="Verdana" w:cs="Arial"/>
                <w:lang w:val="es-ES_tradnl" w:eastAsia="es-ES_tradnl"/>
              </w:rPr>
              <w:t xml:space="preserve">               </w:t>
            </w:r>
          </w:p>
        </w:tc>
        <w:tc>
          <w:tcPr>
            <w:tcW w:w="6804" w:type="dxa"/>
          </w:tcPr>
          <w:p w14:paraId="695A98C4" w14:textId="77777777" w:rsidR="00C86D1D" w:rsidRPr="006730E9" w:rsidRDefault="00C86D1D" w:rsidP="00BA1280">
            <w:pPr>
              <w:jc w:val="both"/>
              <w:rPr>
                <w:rFonts w:ascii="Verdana" w:eastAsia="Calibri" w:hAnsi="Verdana" w:cs="Arial"/>
                <w:lang w:val="es-ES_tradnl" w:eastAsia="es-ES_tradnl"/>
              </w:rPr>
            </w:pPr>
            <w:r w:rsidRPr="007121A5">
              <w:rPr>
                <w:rFonts w:ascii="Verdana" w:eastAsia="Calibri" w:hAnsi="Verdana" w:cs="Arial"/>
                <w:lang w:val="es-ES_tradnl" w:eastAsia="es-ES_tradnl"/>
              </w:rPr>
              <w:t xml:space="preserve">Respuesta a consulta con radicado No. </w:t>
            </w:r>
            <w:r w:rsidRPr="001F5CA2">
              <w:rPr>
                <w:rFonts w:ascii="Verdana" w:eastAsia="Calibri" w:hAnsi="Verdana" w:cs="Arial"/>
                <w:lang w:val="es-ES_tradnl" w:eastAsia="es-ES_tradnl"/>
              </w:rPr>
              <w:t>P20240725007654</w:t>
            </w:r>
          </w:p>
        </w:tc>
      </w:tr>
    </w:tbl>
    <w:p w14:paraId="4498721A" w14:textId="77777777" w:rsidR="00C86D1D" w:rsidRPr="00593A5F" w:rsidRDefault="00C86D1D" w:rsidP="00C86D1D">
      <w:pPr>
        <w:spacing w:after="0" w:line="240" w:lineRule="auto"/>
        <w:jc w:val="both"/>
        <w:rPr>
          <w:rFonts w:ascii="Verdana" w:eastAsia="Calibri" w:hAnsi="Verdana" w:cs="Arial"/>
          <w:color w:val="000000"/>
          <w:lang w:val="es-ES_tradnl" w:eastAsia="es-ES_tradnl"/>
        </w:rPr>
      </w:pPr>
    </w:p>
    <w:p w14:paraId="275E28C3" w14:textId="77777777" w:rsidR="00C86D1D" w:rsidRPr="00593A5F" w:rsidRDefault="00C86D1D" w:rsidP="00C86D1D">
      <w:pPr>
        <w:spacing w:after="0" w:line="240" w:lineRule="auto"/>
        <w:jc w:val="both"/>
        <w:rPr>
          <w:rFonts w:ascii="Verdana" w:eastAsia="Calibri" w:hAnsi="Verdana" w:cs="Arial"/>
          <w:color w:val="000000"/>
          <w:lang w:val="es-ES_tradnl" w:eastAsia="es-ES_tradnl"/>
        </w:rPr>
      </w:pPr>
    </w:p>
    <w:p w14:paraId="624E8818" w14:textId="77777777" w:rsidR="00C86D1D" w:rsidRPr="006730E9" w:rsidRDefault="00C86D1D" w:rsidP="00C86D1D">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Estimad</w:t>
      </w:r>
      <w:r>
        <w:rPr>
          <w:rFonts w:ascii="Verdana" w:eastAsia="Calibri" w:hAnsi="Verdana" w:cs="Arial"/>
          <w:lang w:val="es-ES" w:eastAsia="es-ES"/>
        </w:rPr>
        <w:t xml:space="preserve">o </w:t>
      </w:r>
      <w:r w:rsidRPr="006730E9">
        <w:rPr>
          <w:rFonts w:ascii="Verdana" w:eastAsia="Calibri" w:hAnsi="Verdana" w:cs="Arial"/>
          <w:lang w:val="es-ES" w:eastAsia="es-ES"/>
        </w:rPr>
        <w:t xml:space="preserve">señor </w:t>
      </w:r>
      <w:r>
        <w:rPr>
          <w:rFonts w:ascii="Verdana" w:eastAsia="Calibri" w:hAnsi="Verdana" w:cs="Arial"/>
          <w:lang w:val="es-ES" w:eastAsia="es-ES"/>
        </w:rPr>
        <w:t>Barboza;</w:t>
      </w:r>
      <w:r w:rsidRPr="006730E9">
        <w:rPr>
          <w:rFonts w:ascii="Verdana" w:eastAsia="Calibri" w:hAnsi="Verdana" w:cs="Arial"/>
          <w:lang w:val="es-ES" w:eastAsia="es-ES"/>
        </w:rPr>
        <w:t xml:space="preserve"> </w:t>
      </w:r>
    </w:p>
    <w:p w14:paraId="79C7F6F4" w14:textId="77777777" w:rsidR="00C86D1D" w:rsidRDefault="00C86D1D" w:rsidP="00C86D1D">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0759E09C" w14:textId="77777777" w:rsidR="00C86D1D" w:rsidRPr="006730E9" w:rsidRDefault="00C86D1D" w:rsidP="00C86D1D">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En ejercicio de la competencia otorgada por los artículos 3, numeral 5º, y 11, numeral 8º, del Decreto Ley 4170 de 2011,</w:t>
      </w:r>
      <w:r w:rsidRPr="006730E9">
        <w:rPr>
          <w:rFonts w:ascii="Verdana" w:eastAsia="Arial MT" w:hAnsi="Verdana"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eastAsia="Calibri" w:hAnsi="Verdana" w:cs="Arial"/>
          <w:lang w:val="es-ES" w:eastAsia="es-ES"/>
        </w:rPr>
        <w:t xml:space="preserve">la Agencia Nacional de Contratación Pública – Colombia Compra Eficiente– responde su solicitud </w:t>
      </w:r>
      <w:r>
        <w:rPr>
          <w:rFonts w:ascii="Verdana" w:eastAsia="Calibri" w:hAnsi="Verdana" w:cs="Arial"/>
          <w:lang w:val="es-ES" w:eastAsia="es-ES"/>
        </w:rPr>
        <w:t xml:space="preserve">radicada en esta entidad </w:t>
      </w:r>
      <w:r w:rsidRPr="00E5644F">
        <w:rPr>
          <w:rFonts w:ascii="Verdana" w:eastAsia="Calibri" w:hAnsi="Verdana" w:cs="Arial"/>
          <w:lang w:val="es-ES" w:eastAsia="es-ES"/>
        </w:rPr>
        <w:t>el 25 de julio de 2024, en</w:t>
      </w:r>
      <w:r w:rsidRPr="006730E9">
        <w:rPr>
          <w:rFonts w:ascii="Verdana" w:eastAsia="Calibri" w:hAnsi="Verdana" w:cs="Arial"/>
          <w:lang w:val="es-ES" w:eastAsia="es-ES"/>
        </w:rPr>
        <w:t xml:space="preserve"> la cual manifiesta lo siguiente: </w:t>
      </w:r>
    </w:p>
    <w:p w14:paraId="1E0A7ECA" w14:textId="77777777" w:rsidR="00C86D1D" w:rsidRPr="00326382" w:rsidRDefault="00C86D1D" w:rsidP="00C86D1D">
      <w:pPr>
        <w:spacing w:after="0" w:line="240" w:lineRule="auto"/>
        <w:ind w:left="709" w:right="709"/>
        <w:jc w:val="both"/>
        <w:rPr>
          <w:rFonts w:ascii="Verdana" w:hAnsi="Verdana" w:cs="Arial"/>
          <w:sz w:val="20"/>
          <w:szCs w:val="20"/>
          <w:shd w:val="clear" w:color="auto" w:fill="FFFFFF"/>
        </w:rPr>
      </w:pPr>
      <w:bookmarkStart w:id="4" w:name="_Hlk95313578"/>
    </w:p>
    <w:bookmarkEnd w:id="4"/>
    <w:p w14:paraId="13AED51E" w14:textId="77777777" w:rsidR="00C86D1D" w:rsidRDefault="00C86D1D" w:rsidP="00C86D1D">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r>
        <w:rPr>
          <w:rFonts w:ascii="Verdana" w:eastAsia="Century Gothic" w:hAnsi="Verdana" w:cs="Century Gothic"/>
          <w:i/>
          <w:iCs/>
          <w:lang w:val="es-CO"/>
        </w:rPr>
        <w:t>(…)</w:t>
      </w:r>
    </w:p>
    <w:p w14:paraId="3532892F" w14:textId="77777777" w:rsidR="00C86D1D" w:rsidRPr="00BA66D5" w:rsidRDefault="00C86D1D" w:rsidP="00C86D1D">
      <w:pPr>
        <w:spacing w:after="0" w:line="276" w:lineRule="auto"/>
        <w:ind w:firstLine="709"/>
        <w:jc w:val="both"/>
        <w:rPr>
          <w:rFonts w:ascii="Verdana" w:eastAsia="Century Gothic" w:hAnsi="Verdana" w:cs="Century Gothic"/>
          <w:i/>
          <w:iCs/>
        </w:rPr>
      </w:pPr>
    </w:p>
    <w:p w14:paraId="6EC5AD22" w14:textId="77777777" w:rsidR="00C86D1D" w:rsidRDefault="00C86D1D" w:rsidP="00C86D1D">
      <w:pPr>
        <w:spacing w:after="0" w:line="276" w:lineRule="auto"/>
        <w:ind w:left="709" w:right="758"/>
        <w:jc w:val="both"/>
        <w:rPr>
          <w:rFonts w:ascii="Verdana" w:eastAsia="Century Gothic" w:hAnsi="Verdana" w:cs="Century Gothic"/>
          <w:i/>
          <w:iCs/>
        </w:rPr>
      </w:pPr>
      <w:r w:rsidRPr="00BA66D5">
        <w:rPr>
          <w:rFonts w:ascii="Verdana" w:eastAsia="Century Gothic" w:hAnsi="Verdana" w:cs="Century Gothic"/>
          <w:i/>
          <w:iCs/>
        </w:rPr>
        <w:t xml:space="preserve"> De acuerdo con el artículo 2.2.1.2.3.1.14 del Decreto 1082 de 2015 modificado por el Decreto 399 de 2021, la garantía de estabilidad y calidad de la obra debe estar vigente por un término </w:t>
      </w:r>
      <w:r w:rsidRPr="00BA66D5">
        <w:rPr>
          <w:rFonts w:ascii="Verdana" w:eastAsia="Century Gothic" w:hAnsi="Verdana" w:cs="Century Gothic"/>
          <w:i/>
          <w:iCs/>
        </w:rPr>
        <w:lastRenderedPageBreak/>
        <w:t>no inferior a cinco (5) años contados a partir de la fecha en la cual la Entidad Estatal recibe a satisfacción la obra. La Entidad Estatal debe determinar el valor asegurado de esta garantía en los documentos del proceso, de acuerdo con el objeto, la cuantía, la naturaleza y las obligaciones contenidas en el contrato a celebrar.</w:t>
      </w:r>
      <w:r>
        <w:rPr>
          <w:rFonts w:ascii="Verdana" w:eastAsia="Century Gothic" w:hAnsi="Verdana" w:cs="Century Gothic"/>
          <w:i/>
          <w:iCs/>
        </w:rPr>
        <w:t xml:space="preserve"> </w:t>
      </w:r>
      <w:r w:rsidRPr="00BA66D5">
        <w:rPr>
          <w:rFonts w:ascii="Verdana" w:eastAsia="Century Gothic" w:hAnsi="Verdana" w:cs="Century Gothic"/>
          <w:i/>
          <w:iCs/>
        </w:rPr>
        <w:t>Pregunta. En un contrato de obra cuya fecha de terminación es el 27 de mayo de 2022, por ejemplo y el ACTA DE RECIBO FINAL se suscribe en el mes de 14 julio de 2022. Pregunta: ¿Cuál es la fecha de vigencia de la póliza de estabilidad? 27 de mayo de 2022 fecha en la cual se termina el contrato o 14 de julio de 2022 fecha en la cual se suscribe el ACTA DE RECIBO FINAL. En términos generales ¿Cuál es la fecha que debe reposar en la póliza de estabilidad, la fecha de terminación del contrato o la fecha en la que se suscribe el Acta final de obra?</w:t>
      </w:r>
    </w:p>
    <w:p w14:paraId="308FE21F" w14:textId="77777777" w:rsidR="00C86D1D" w:rsidRDefault="00C86D1D" w:rsidP="00C86D1D">
      <w:pPr>
        <w:spacing w:after="0" w:line="276" w:lineRule="auto"/>
        <w:ind w:firstLine="709"/>
        <w:jc w:val="both"/>
        <w:rPr>
          <w:rFonts w:ascii="Verdana" w:eastAsia="Calibri" w:hAnsi="Verdana" w:cs="Arial"/>
          <w:color w:val="000000"/>
          <w:lang w:val="es-ES" w:eastAsia="es-ES"/>
        </w:rPr>
      </w:pPr>
    </w:p>
    <w:p w14:paraId="1AE280FA" w14:textId="77777777" w:rsidR="00C86D1D" w:rsidRPr="00593A5F" w:rsidRDefault="00C86D1D" w:rsidP="00C86D1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7E7AB5C2" w14:textId="77777777" w:rsidR="00C86D1D" w:rsidRPr="00593A5F" w:rsidRDefault="00C86D1D" w:rsidP="00C86D1D">
      <w:pPr>
        <w:tabs>
          <w:tab w:val="left" w:pos="426"/>
        </w:tabs>
        <w:spacing w:after="0" w:line="276" w:lineRule="auto"/>
        <w:jc w:val="both"/>
        <w:rPr>
          <w:rFonts w:ascii="Verdana" w:eastAsia="Century Gothic" w:hAnsi="Verdana" w:cs="Century Gothic"/>
          <w:lang w:val="es-ES"/>
        </w:rPr>
      </w:pPr>
    </w:p>
    <w:p w14:paraId="449BC37F" w14:textId="77777777" w:rsidR="00C86D1D" w:rsidRDefault="00C86D1D" w:rsidP="00C86D1D">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w:t>
      </w:r>
      <w:r>
        <w:rPr>
          <w:rFonts w:ascii="Verdana" w:eastAsia="Century Gothic" w:hAnsi="Verdana" w:cs="Century Gothic"/>
        </w:rPr>
        <w:t xml:space="preserve"> </w:t>
      </w:r>
      <w:r w:rsidRPr="00593A5F">
        <w:rPr>
          <w:rFonts w:ascii="Verdana" w:eastAsia="Century Gothic" w:hAnsi="Verdana" w:cs="Century Gothic"/>
        </w:rPr>
        <w:t xml:space="preserve">problema jurídico: </w:t>
      </w:r>
    </w:p>
    <w:p w14:paraId="26A7A7E5" w14:textId="77777777" w:rsidR="00C86D1D" w:rsidRDefault="00C86D1D" w:rsidP="00C86D1D">
      <w:pPr>
        <w:spacing w:after="0" w:line="276" w:lineRule="auto"/>
        <w:jc w:val="both"/>
        <w:rPr>
          <w:rFonts w:ascii="Verdana" w:eastAsia="Century Gothic" w:hAnsi="Verdana" w:cs="Century Gothic"/>
        </w:rPr>
      </w:pPr>
    </w:p>
    <w:p w14:paraId="08E0BDFB" w14:textId="77777777" w:rsidR="00C86D1D" w:rsidRDefault="00C86D1D" w:rsidP="00C86D1D">
      <w:pPr>
        <w:pStyle w:val="Prrafodelista"/>
        <w:spacing w:after="0" w:line="276" w:lineRule="auto"/>
        <w:ind w:left="426" w:right="1041"/>
        <w:jc w:val="both"/>
        <w:rPr>
          <w:rFonts w:ascii="Verdana" w:eastAsia="Century Gothic" w:hAnsi="Verdana" w:cs="Century Gothic"/>
          <w:i/>
          <w:iCs/>
          <w:lang w:val="es-CO"/>
        </w:rPr>
      </w:pPr>
      <w:r>
        <w:rPr>
          <w:rFonts w:ascii="Verdana" w:eastAsia="Century Gothic" w:hAnsi="Verdana" w:cs="Century Gothic"/>
          <w:i/>
          <w:iCs/>
          <w:lang w:val="es-CO"/>
        </w:rPr>
        <w:t>¿En los términos d</w:t>
      </w:r>
      <w:r w:rsidRPr="00BA66D5">
        <w:rPr>
          <w:rFonts w:ascii="Verdana" w:eastAsia="Century Gothic" w:hAnsi="Verdana" w:cs="Century Gothic"/>
          <w:i/>
          <w:iCs/>
          <w:lang w:val="es-CO"/>
        </w:rPr>
        <w:t>el artículo 2.2.1.2.3.1.14 del Decreto 1082 de 2015</w:t>
      </w:r>
      <w:r>
        <w:rPr>
          <w:rFonts w:ascii="Verdana" w:eastAsia="Century Gothic" w:hAnsi="Verdana" w:cs="Century Gothic"/>
          <w:i/>
          <w:iCs/>
          <w:lang w:val="es-CO"/>
        </w:rPr>
        <w:t>,</w:t>
      </w:r>
      <w:r w:rsidRPr="00BA66D5">
        <w:rPr>
          <w:rFonts w:ascii="Verdana" w:eastAsia="Century Gothic" w:hAnsi="Verdana" w:cs="Century Gothic"/>
          <w:i/>
          <w:iCs/>
          <w:lang w:val="es-CO"/>
        </w:rPr>
        <w:t xml:space="preserve"> </w:t>
      </w:r>
      <w:r>
        <w:rPr>
          <w:rFonts w:ascii="Verdana" w:eastAsia="Century Gothic" w:hAnsi="Verdana" w:cs="Century Gothic"/>
          <w:i/>
          <w:iCs/>
          <w:lang w:val="es-CO"/>
        </w:rPr>
        <w:t xml:space="preserve">cuál es la fecha de vigencia de </w:t>
      </w:r>
      <w:r w:rsidRPr="00BA66D5">
        <w:rPr>
          <w:rFonts w:ascii="Verdana" w:eastAsia="Century Gothic" w:hAnsi="Verdana" w:cs="Century Gothic"/>
          <w:i/>
          <w:iCs/>
          <w:lang w:val="es-CO"/>
        </w:rPr>
        <w:t xml:space="preserve">la garantía de estabilidad y calidad de la obra </w:t>
      </w:r>
      <w:r w:rsidRPr="00BA66D5">
        <w:rPr>
          <w:rFonts w:ascii="Verdana" w:eastAsia="Century Gothic" w:hAnsi="Verdana" w:cs="Century Gothic"/>
          <w:i/>
          <w:iCs/>
        </w:rPr>
        <w:t>?</w:t>
      </w:r>
    </w:p>
    <w:p w14:paraId="30E50C18" w14:textId="77777777" w:rsidR="00C86D1D" w:rsidRPr="001B53B7" w:rsidRDefault="00C86D1D" w:rsidP="00C86D1D">
      <w:pPr>
        <w:pStyle w:val="Prrafodelista"/>
        <w:spacing w:after="0" w:line="276" w:lineRule="auto"/>
        <w:ind w:left="426" w:right="1041"/>
        <w:jc w:val="both"/>
        <w:rPr>
          <w:rFonts w:ascii="Verdana" w:eastAsia="Calibri" w:hAnsi="Verdana" w:cs="Arial"/>
          <w:color w:val="7030A0"/>
        </w:rPr>
      </w:pPr>
    </w:p>
    <w:p w14:paraId="5E0DBA40" w14:textId="77777777" w:rsidR="00C86D1D" w:rsidRPr="00593A5F" w:rsidRDefault="00C86D1D" w:rsidP="00C86D1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4FAF18AB" w14:textId="77777777" w:rsidR="00C86D1D" w:rsidRPr="00593A5F" w:rsidRDefault="00C86D1D" w:rsidP="00C86D1D">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86D1D" w:rsidRPr="00593A5F" w14:paraId="01F928F8" w14:textId="77777777" w:rsidTr="00BA1280">
        <w:tc>
          <w:tcPr>
            <w:tcW w:w="8828" w:type="dxa"/>
            <w:shd w:val="clear" w:color="auto" w:fill="auto"/>
          </w:tcPr>
          <w:p w14:paraId="0B5235C9" w14:textId="77777777" w:rsidR="00C86D1D" w:rsidRDefault="00C86D1D" w:rsidP="00BA1280">
            <w:pPr>
              <w:spacing w:line="276" w:lineRule="auto"/>
              <w:jc w:val="both"/>
              <w:rPr>
                <w:rFonts w:ascii="Verdana" w:eastAsia="Calibri" w:hAnsi="Verdana" w:cs="Arial"/>
                <w:lang w:val="es-ES"/>
              </w:rPr>
            </w:pPr>
          </w:p>
          <w:p w14:paraId="23C65FBF" w14:textId="068224FA" w:rsidR="00C86D1D" w:rsidRPr="001D28A4" w:rsidRDefault="00C86D1D" w:rsidP="00BA1280">
            <w:pPr>
              <w:spacing w:line="276" w:lineRule="auto"/>
              <w:jc w:val="both"/>
              <w:rPr>
                <w:rFonts w:ascii="Verdana" w:eastAsia="Calibri" w:hAnsi="Verdana" w:cs="Arial"/>
                <w:lang w:val="es-ES" w:eastAsia="es-ES"/>
              </w:rPr>
            </w:pPr>
            <w:r w:rsidRPr="001D28A4">
              <w:rPr>
                <w:rFonts w:ascii="Verdana" w:eastAsia="Calibri" w:hAnsi="Verdana" w:cs="Arial"/>
                <w:lang w:val="es-ES"/>
              </w:rPr>
              <w:t xml:space="preserve">Respecto del problema jurídico antes planteado, </w:t>
            </w:r>
            <w:bookmarkStart w:id="5" w:name="2.2.1.2.3.1.7"/>
            <w:bookmarkEnd w:id="5"/>
            <w:r w:rsidR="00DA2647" w:rsidRPr="00560511">
              <w:rPr>
                <w:rFonts w:ascii="Verdana" w:eastAsia="Calibri" w:hAnsi="Verdana" w:cs="Arial"/>
              </w:rPr>
              <w:t>el artículo 2.2.1.2.3.1.7 establece la Garantia de cumplimiento y dentro de los riesgos que esta debe cubrir, se encuentra la estabilidad de la obra</w:t>
            </w:r>
            <w:r w:rsidR="00DA2647">
              <w:rPr>
                <w:rFonts w:ascii="Verdana" w:eastAsia="Calibri" w:hAnsi="Verdana" w:cs="Arial"/>
                <w:lang w:val="es-ES"/>
              </w:rPr>
              <w:t>.</w:t>
            </w:r>
            <w:bookmarkStart w:id="6" w:name="_Hlk119615267"/>
            <w:r w:rsidRPr="001D28A4">
              <w:rPr>
                <w:rFonts w:ascii="Verdana" w:eastAsia="Calibri" w:hAnsi="Verdana" w:cs="Arial"/>
                <w:lang w:val="es-ES" w:eastAsia="es-ES"/>
              </w:rPr>
              <w:t xml:space="preserve">De acuerdo con el artículo 2.2.1.2.3.1.14 del Decreto 1082 de 2015 modificado por el Decreto 399 de 2021, la </w:t>
            </w:r>
            <w:r w:rsidR="009D4C04">
              <w:rPr>
                <w:rFonts w:ascii="Verdana" w:eastAsia="Calibri" w:hAnsi="Verdana" w:cs="Arial"/>
                <w:lang w:val="es-ES" w:eastAsia="es-ES"/>
              </w:rPr>
              <w:t xml:space="preserve">suficiencia de la </w:t>
            </w:r>
            <w:r w:rsidRPr="001D28A4">
              <w:rPr>
                <w:rFonts w:ascii="Verdana" w:eastAsia="Calibri" w:hAnsi="Verdana" w:cs="Arial"/>
                <w:lang w:val="es-ES" w:eastAsia="es-ES"/>
              </w:rPr>
              <w:t xml:space="preserve">garantía de estabilidad y calidad de la obra debe estar vigente por un término no inferior a cinco (5) años contados </w:t>
            </w:r>
            <w:r w:rsidRPr="00560511">
              <w:rPr>
                <w:rFonts w:ascii="Verdana" w:eastAsia="Calibri" w:hAnsi="Verdana" w:cs="Arial"/>
                <w:b/>
                <w:bCs/>
                <w:lang w:val="es-ES" w:eastAsia="es-ES"/>
              </w:rPr>
              <w:t>a partir de la fecha en la cual la Entidad Estatal recibe a satisfacción la obra.</w:t>
            </w:r>
            <w:r w:rsidRPr="001D28A4">
              <w:rPr>
                <w:rFonts w:ascii="Verdana" w:eastAsia="Calibri" w:hAnsi="Verdana" w:cs="Arial"/>
                <w:lang w:val="es-ES" w:eastAsia="es-ES"/>
              </w:rPr>
              <w:t xml:space="preserve"> La Entidad Estatal debe determinar el valor asegurado de esta garantía en los documentos del proceso, de acuerdo con el objeto, la cuantía, la naturaleza y las obligaciones contenidas en el contrato a celebrar.</w:t>
            </w:r>
            <w:bookmarkEnd w:id="6"/>
          </w:p>
          <w:p w14:paraId="0C53FA6E" w14:textId="77777777" w:rsidR="00C86D1D" w:rsidRPr="001D28A4" w:rsidRDefault="00C86D1D" w:rsidP="00BA1280">
            <w:pPr>
              <w:spacing w:line="276" w:lineRule="auto"/>
              <w:jc w:val="both"/>
              <w:rPr>
                <w:rFonts w:ascii="Verdana" w:eastAsia="Calibri" w:hAnsi="Verdana" w:cs="Arial"/>
                <w:lang w:val="es-ES"/>
              </w:rPr>
            </w:pPr>
          </w:p>
          <w:p w14:paraId="0CBB11D9" w14:textId="09A9D164" w:rsidR="00C86D1D" w:rsidRPr="001D28A4" w:rsidRDefault="00C86D1D" w:rsidP="00BA1280">
            <w:pPr>
              <w:spacing w:line="276" w:lineRule="auto"/>
              <w:jc w:val="both"/>
              <w:rPr>
                <w:rFonts w:ascii="Verdana" w:eastAsia="Calibri" w:hAnsi="Verdana" w:cs="Arial"/>
                <w:lang w:val="es-ES" w:eastAsia="es-ES"/>
              </w:rPr>
            </w:pPr>
            <w:r w:rsidRPr="001D28A4">
              <w:rPr>
                <w:rFonts w:ascii="Verdana" w:eastAsia="Calibri" w:hAnsi="Verdana" w:cs="Arial"/>
                <w:lang w:val="es-ES"/>
              </w:rPr>
              <w:lastRenderedPageBreak/>
              <w:t>En este orden de ideas</w:t>
            </w:r>
            <w:r w:rsidR="009D4C04">
              <w:rPr>
                <w:rFonts w:ascii="Verdana" w:eastAsia="Calibri" w:hAnsi="Verdana" w:cs="Arial"/>
                <w:lang w:val="es-ES"/>
              </w:rPr>
              <w:t>, la norma es clara y señaló de forma expresa que la vigencia de la garantía comenzará a correr a partir del acta de recibido a satisfacción de la obra por parte de la entidad contratante</w:t>
            </w:r>
            <w:r w:rsidR="00DA2647">
              <w:rPr>
                <w:rFonts w:ascii="Verdana" w:eastAsia="Calibri" w:hAnsi="Verdana" w:cs="Arial"/>
                <w:lang w:val="es-ES"/>
              </w:rPr>
              <w:t>. En ese sentido, le corresponderá al contratista una vez haga  entrega de la obra, actualizar la garantía de estabilidad de la obra, a fin de que esta se encuentre vigente a partir de la entrega de la obra.</w:t>
            </w:r>
          </w:p>
          <w:p w14:paraId="7FA87B09" w14:textId="77777777" w:rsidR="00C86D1D" w:rsidRPr="001D28A4" w:rsidRDefault="00C86D1D" w:rsidP="00BA1280">
            <w:pPr>
              <w:spacing w:line="276" w:lineRule="auto"/>
              <w:jc w:val="both"/>
              <w:rPr>
                <w:rFonts w:ascii="Verdana" w:eastAsia="Calibri" w:hAnsi="Verdana" w:cs="Arial"/>
                <w:lang w:val="es-ES"/>
              </w:rPr>
            </w:pPr>
          </w:p>
          <w:p w14:paraId="7D84F3DD" w14:textId="155E0FB1" w:rsidR="00C86D1D" w:rsidRPr="001D28A4" w:rsidRDefault="00DA2647" w:rsidP="00BA1280">
            <w:pPr>
              <w:spacing w:line="276" w:lineRule="auto"/>
              <w:jc w:val="both"/>
              <w:rPr>
                <w:rFonts w:ascii="Verdana" w:eastAsia="Calibri" w:hAnsi="Verdana" w:cs="Arial"/>
                <w:lang w:val="es-ES"/>
              </w:rPr>
            </w:pPr>
            <w:r>
              <w:rPr>
                <w:rFonts w:ascii="Verdana" w:eastAsia="Calibri" w:hAnsi="Verdana" w:cs="Arial"/>
                <w:lang w:val="es-ES"/>
              </w:rPr>
              <w:t xml:space="preserve">Ahora bien, es menester señalar que frente a la pregunta expresa elevada por usted, esta </w:t>
            </w:r>
            <w:r w:rsidR="00C86D1D" w:rsidRPr="001D28A4">
              <w:rPr>
                <w:rFonts w:ascii="Verdana" w:eastAsia="Calibri" w:hAnsi="Verdana" w:cs="Arial"/>
                <w:lang w:val="es-ES"/>
              </w:rPr>
              <w:t>desborda nuestra competencia consultiva, la cual está limitada a resolver consultas sobre problemas de aplicación de normas de carácter general, en materia de contratación pública; situación que no se configura en el presente asunto</w:t>
            </w:r>
            <w:r>
              <w:rPr>
                <w:rFonts w:ascii="Verdana" w:eastAsia="Calibri" w:hAnsi="Verdana" w:cs="Arial"/>
                <w:lang w:val="es-ES"/>
              </w:rPr>
              <w:t>, debido a que es una situación expresa.</w:t>
            </w:r>
          </w:p>
          <w:p w14:paraId="708C5F31" w14:textId="77777777" w:rsidR="00C86D1D" w:rsidRPr="001D28A4" w:rsidRDefault="00C86D1D" w:rsidP="00BA1280">
            <w:pPr>
              <w:spacing w:line="276" w:lineRule="auto"/>
              <w:jc w:val="both"/>
              <w:rPr>
                <w:rFonts w:ascii="Verdana" w:eastAsia="Calibri" w:hAnsi="Verdana" w:cs="Arial"/>
                <w:lang w:val="es-ES"/>
              </w:rPr>
            </w:pPr>
          </w:p>
          <w:p w14:paraId="542CC905" w14:textId="77777777" w:rsidR="00C86D1D" w:rsidRPr="001D28A4" w:rsidRDefault="00C86D1D" w:rsidP="00BA1280">
            <w:pPr>
              <w:spacing w:line="276" w:lineRule="auto"/>
              <w:jc w:val="both"/>
              <w:rPr>
                <w:rFonts w:ascii="Verdana" w:eastAsia="Calibri" w:hAnsi="Verdana" w:cs="Arial"/>
                <w:lang w:val="es-ES"/>
              </w:rPr>
            </w:pPr>
            <w:r w:rsidRPr="001D28A4">
              <w:rPr>
                <w:rFonts w:ascii="Verdana" w:eastAsia="Calibri" w:hAnsi="Verdana" w:cs="Arial"/>
                <w:lang w:val="es-ES"/>
              </w:rPr>
              <w:t>Lo anterior, teniendo en cuenta que la competencia de Colombia Compra Eficiente, tal como se desprende de la lectura del Decreto Ley 4170 de 2011, se fija con límites claros, con el objeto de evitar que actúe como una instancia de validación de las actuaciones y/o decisiones de las autoridades o de los demás participantes del sistema de contratación pública, en desarrollo de la actividad contractual. La competencia consultiva se circunscribe a la interpretación de normas de “forma general” y, por definición, no puede extenderse a la resolución de controversias, ni a brindar asesorías sobre casos puntuales.</w:t>
            </w:r>
          </w:p>
          <w:p w14:paraId="5528A626" w14:textId="77777777" w:rsidR="00C86D1D" w:rsidRPr="001D28A4" w:rsidRDefault="00C86D1D" w:rsidP="00BA1280">
            <w:pPr>
              <w:spacing w:line="276" w:lineRule="auto"/>
              <w:jc w:val="both"/>
              <w:rPr>
                <w:rFonts w:ascii="Verdana" w:eastAsia="Calibri" w:hAnsi="Verdana" w:cs="Arial"/>
                <w:lang w:val="es-ES"/>
              </w:rPr>
            </w:pPr>
          </w:p>
          <w:p w14:paraId="137AD7C6" w14:textId="01D5914E" w:rsidR="00C86D1D" w:rsidRPr="001D28A4" w:rsidRDefault="00C86D1D" w:rsidP="00BA1280">
            <w:pPr>
              <w:spacing w:line="276" w:lineRule="auto"/>
              <w:jc w:val="both"/>
              <w:rPr>
                <w:rFonts w:ascii="Verdana" w:eastAsia="Calibri" w:hAnsi="Verdana" w:cs="Arial"/>
                <w:lang w:val="es-ES"/>
              </w:rPr>
            </w:pPr>
            <w:r w:rsidRPr="001D28A4">
              <w:rPr>
                <w:rFonts w:ascii="Verdana" w:eastAsia="Calibri" w:hAnsi="Verdana" w:cs="Arial"/>
                <w:lang w:val="es-ES"/>
              </w:rPr>
              <w:t xml:space="preserve">De esta manera corresponde a las </w:t>
            </w:r>
            <w:r w:rsidR="002B544F">
              <w:rPr>
                <w:rFonts w:ascii="Verdana" w:eastAsia="Calibri" w:hAnsi="Verdana" w:cs="Arial"/>
                <w:lang w:val="es-ES"/>
              </w:rPr>
              <w:t>entidades estatales</w:t>
            </w:r>
            <w:r w:rsidRPr="001D28A4">
              <w:rPr>
                <w:rFonts w:ascii="Verdana" w:eastAsia="Calibri" w:hAnsi="Verdana" w:cs="Arial"/>
                <w:lang w:val="es-ES"/>
              </w:rPr>
              <w:t xml:space="preserve"> de manera autónoma e independiente, como responsables de sus procedimientos contractuales y conforme a las disposiciones que rigen la contratación estatal, adoptar las decisiones y/o adelantar las actuaciones que estimen pertinentes en el desarrollo de sus procesos de contratación. </w:t>
            </w:r>
          </w:p>
          <w:p w14:paraId="6AB483D8" w14:textId="77777777" w:rsidR="00C86D1D" w:rsidRPr="001D28A4" w:rsidRDefault="00C86D1D" w:rsidP="00BA1280">
            <w:pPr>
              <w:spacing w:line="276" w:lineRule="auto"/>
              <w:jc w:val="both"/>
              <w:rPr>
                <w:rFonts w:ascii="Verdana" w:eastAsia="Calibri" w:hAnsi="Verdana" w:cs="Arial"/>
                <w:lang w:val="es-ES"/>
              </w:rPr>
            </w:pPr>
          </w:p>
          <w:p w14:paraId="2A32E929" w14:textId="7E34FC70" w:rsidR="00C86D1D" w:rsidRPr="001D28A4" w:rsidRDefault="00C86D1D" w:rsidP="00BA1280">
            <w:pPr>
              <w:spacing w:line="276" w:lineRule="auto"/>
              <w:jc w:val="both"/>
              <w:rPr>
                <w:rFonts w:ascii="Verdana" w:eastAsia="Calibri" w:hAnsi="Verdana" w:cs="Arial"/>
                <w:lang w:val="es-ES"/>
              </w:rPr>
            </w:pPr>
            <w:r w:rsidRPr="001D28A4">
              <w:rPr>
                <w:rFonts w:ascii="Verdana" w:eastAsia="Calibri" w:hAnsi="Verdana" w:cs="Arial"/>
                <w:lang w:val="es-ES"/>
              </w:rPr>
              <w:t xml:space="preserve">Con todo se reitera, la imposibilidad de este ente en involucrarse, directa o indirectamente, en la actividad contractual de las entidades estatales, teniendo en cuenta las disposiciones constitucionales y legales que rigen nuestro ordenamiento jurídico, particularmente lo estipulado en el numeral 1º del artículo 2º de la Ley 80 de 1993. </w:t>
            </w:r>
          </w:p>
          <w:p w14:paraId="7E278EC0" w14:textId="51C5483A" w:rsidR="00C86D1D" w:rsidRPr="001D28A4" w:rsidRDefault="00C86D1D" w:rsidP="00BA1280">
            <w:pPr>
              <w:spacing w:line="276" w:lineRule="auto"/>
              <w:jc w:val="both"/>
              <w:rPr>
                <w:rFonts w:ascii="Verdana" w:eastAsia="Calibri" w:hAnsi="Verdana" w:cs="Arial"/>
                <w:lang w:val="es-ES"/>
              </w:rPr>
            </w:pPr>
          </w:p>
          <w:p w14:paraId="4E9C592E" w14:textId="3716601C" w:rsidR="00C86D1D" w:rsidRPr="001D28A4" w:rsidRDefault="00C86D1D" w:rsidP="00BA1280">
            <w:pPr>
              <w:spacing w:line="276" w:lineRule="auto"/>
              <w:jc w:val="both"/>
              <w:rPr>
                <w:rFonts w:ascii="Verdana" w:eastAsia="Calibri" w:hAnsi="Verdana" w:cs="Arial"/>
                <w:lang w:val="es-ES"/>
              </w:rPr>
            </w:pPr>
            <w:r w:rsidRPr="001D28A4">
              <w:rPr>
                <w:rFonts w:ascii="Verdana" w:eastAsia="Calibri" w:hAnsi="Verdana" w:cs="Arial"/>
                <w:lang w:val="es-ES"/>
              </w:rPr>
              <w:t xml:space="preserve">En virtud de esas disposiciones, se les concedió a las entidades públicas la capacidad jurídica para llevar a cabo su contratación, lo cual se traduce en que </w:t>
            </w:r>
            <w:r w:rsidRPr="001D28A4">
              <w:rPr>
                <w:rFonts w:ascii="Verdana" w:eastAsia="Calibri" w:hAnsi="Verdana" w:cs="Arial"/>
                <w:lang w:val="es-ES"/>
              </w:rPr>
              <w:lastRenderedPageBreak/>
              <w:t>gozan de plena autonomía e independencia para gestionar la satisfacción de sus necesidades en ejecución de la actividad contractual.</w:t>
            </w:r>
          </w:p>
          <w:p w14:paraId="5F16163F" w14:textId="77777777" w:rsidR="00C86D1D" w:rsidRPr="001D28A4" w:rsidRDefault="00C86D1D" w:rsidP="00BA1280">
            <w:pPr>
              <w:spacing w:line="276" w:lineRule="auto"/>
              <w:jc w:val="both"/>
              <w:rPr>
                <w:rFonts w:ascii="Verdana" w:eastAsia="Calibri" w:hAnsi="Verdana" w:cs="Arial"/>
                <w:lang w:val="es-ES"/>
              </w:rPr>
            </w:pPr>
          </w:p>
          <w:p w14:paraId="6D60553C" w14:textId="548CA9EE" w:rsidR="00C86D1D" w:rsidRPr="001D28A4" w:rsidRDefault="00C86D1D" w:rsidP="00BA1280">
            <w:pPr>
              <w:spacing w:line="276" w:lineRule="auto"/>
              <w:jc w:val="both"/>
              <w:rPr>
                <w:rFonts w:ascii="Verdana" w:eastAsia="Calibri" w:hAnsi="Verdana" w:cs="Arial"/>
                <w:lang w:val="es-ES"/>
              </w:rPr>
            </w:pPr>
            <w:r w:rsidRPr="001D28A4">
              <w:rPr>
                <w:rFonts w:ascii="Verdana" w:eastAsia="Calibri" w:hAnsi="Verdana" w:cs="Arial"/>
                <w:lang w:val="es-ES"/>
              </w:rPr>
              <w:t xml:space="preserve">Por tal motivo </w:t>
            </w:r>
            <w:r w:rsidR="00DA2647">
              <w:rPr>
                <w:rFonts w:ascii="Verdana" w:eastAsia="Calibri" w:hAnsi="Verdana" w:cs="Arial"/>
                <w:lang w:val="es-ES"/>
              </w:rPr>
              <w:t xml:space="preserve">esta respuesta se da frente al alcance de la norma y no fijada para </w:t>
            </w:r>
            <w:r w:rsidRPr="001D28A4">
              <w:rPr>
                <w:rFonts w:ascii="Verdana" w:eastAsia="Calibri" w:hAnsi="Verdana" w:cs="Arial"/>
                <w:lang w:val="es-ES"/>
              </w:rPr>
              <w:t>la resolución de una situación particular y concreta.</w:t>
            </w:r>
          </w:p>
          <w:p w14:paraId="20D40CBB" w14:textId="77777777" w:rsidR="00C86D1D" w:rsidRPr="00593A5F" w:rsidRDefault="00C86D1D" w:rsidP="00BA1280">
            <w:pPr>
              <w:spacing w:line="276" w:lineRule="auto"/>
              <w:jc w:val="both"/>
              <w:rPr>
                <w:rFonts w:ascii="Verdana" w:eastAsia="Calibri" w:hAnsi="Verdana" w:cs="Arial"/>
                <w:color w:val="7030A0"/>
                <w:lang w:val="es-ES"/>
              </w:rPr>
            </w:pPr>
          </w:p>
        </w:tc>
      </w:tr>
      <w:tr w:rsidR="00C86D1D" w:rsidRPr="00593A5F" w14:paraId="3B55D6C8" w14:textId="77777777" w:rsidTr="00BA1280">
        <w:tc>
          <w:tcPr>
            <w:tcW w:w="8828" w:type="dxa"/>
            <w:shd w:val="clear" w:color="auto" w:fill="auto"/>
          </w:tcPr>
          <w:p w14:paraId="4EA56D10" w14:textId="77777777" w:rsidR="00C86D1D" w:rsidRPr="002973E9" w:rsidRDefault="00C86D1D" w:rsidP="00BA1280">
            <w:pPr>
              <w:spacing w:line="276" w:lineRule="auto"/>
              <w:jc w:val="both"/>
              <w:rPr>
                <w:rFonts w:ascii="Verdana" w:eastAsia="Calibri" w:hAnsi="Verdana" w:cs="Arial"/>
                <w:lang w:val="es-ES"/>
              </w:rPr>
            </w:pPr>
          </w:p>
        </w:tc>
      </w:tr>
    </w:tbl>
    <w:p w14:paraId="671D8A93" w14:textId="77777777" w:rsidR="00C86D1D" w:rsidRDefault="00C86D1D" w:rsidP="00C86D1D">
      <w:pPr>
        <w:tabs>
          <w:tab w:val="left" w:pos="142"/>
          <w:tab w:val="left" w:pos="284"/>
        </w:tabs>
        <w:spacing w:after="0" w:line="276" w:lineRule="auto"/>
        <w:jc w:val="both"/>
        <w:rPr>
          <w:rFonts w:ascii="Verdana" w:eastAsia="Century Gothic" w:hAnsi="Verdana" w:cs="Century Gothic"/>
          <w:b/>
          <w:bCs/>
          <w:lang w:val="es-ES"/>
        </w:rPr>
      </w:pPr>
    </w:p>
    <w:p w14:paraId="735A1406" w14:textId="77777777" w:rsidR="00C86D1D" w:rsidRPr="00593A5F" w:rsidRDefault="00C86D1D" w:rsidP="00C86D1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61BF1639" w14:textId="77777777" w:rsidR="00C86D1D" w:rsidRPr="00593A5F" w:rsidRDefault="00C86D1D" w:rsidP="00C86D1D">
      <w:pPr>
        <w:spacing w:after="0" w:line="276" w:lineRule="auto"/>
        <w:jc w:val="both"/>
        <w:rPr>
          <w:rFonts w:ascii="Verdana" w:eastAsia="Calibri" w:hAnsi="Verdana" w:cs="Arial"/>
          <w:color w:val="7030A0"/>
          <w:lang w:val="es-ES"/>
        </w:rPr>
      </w:pPr>
    </w:p>
    <w:p w14:paraId="7AC48635" w14:textId="77777777" w:rsidR="00C86D1D" w:rsidRDefault="00C86D1D" w:rsidP="00C86D1D">
      <w:pPr>
        <w:spacing w:after="0" w:line="276" w:lineRule="auto"/>
        <w:jc w:val="both"/>
        <w:rPr>
          <w:rFonts w:ascii="Verdana" w:eastAsia="Calibri" w:hAnsi="Verdana" w:cs="Arial"/>
          <w:lang w:val="es-ES"/>
        </w:rPr>
      </w:pPr>
      <w:r w:rsidRPr="000A2ED8">
        <w:rPr>
          <w:rFonts w:ascii="Verdana" w:eastAsia="Calibri" w:hAnsi="Verdana" w:cs="Arial"/>
          <w:lang w:val="es-ES"/>
        </w:rPr>
        <w:t xml:space="preserve">Lo anterior se sustenta en las siguientes consideraciones: </w:t>
      </w:r>
    </w:p>
    <w:p w14:paraId="605DA8F8" w14:textId="77777777" w:rsidR="00C86D1D" w:rsidRPr="000A2ED8" w:rsidRDefault="00C86D1D" w:rsidP="00C86D1D">
      <w:pPr>
        <w:spacing w:after="0" w:line="276" w:lineRule="auto"/>
        <w:jc w:val="both"/>
        <w:rPr>
          <w:rFonts w:ascii="Verdana" w:eastAsia="Calibri" w:hAnsi="Verdana" w:cs="Arial"/>
          <w:lang w:val="es-ES"/>
        </w:rPr>
      </w:pPr>
    </w:p>
    <w:p w14:paraId="1E815488" w14:textId="77777777" w:rsidR="00DA2647" w:rsidRDefault="00C86D1D" w:rsidP="00C86D1D">
      <w:pPr>
        <w:pStyle w:val="Prrafodelista"/>
        <w:numPr>
          <w:ilvl w:val="0"/>
          <w:numId w:val="18"/>
        </w:numPr>
        <w:spacing w:after="0" w:line="276" w:lineRule="auto"/>
        <w:jc w:val="both"/>
        <w:rPr>
          <w:rFonts w:ascii="Verdana" w:eastAsia="Calibri" w:hAnsi="Verdana" w:cs="Arial"/>
          <w:color w:val="000000" w:themeColor="text1"/>
        </w:rPr>
      </w:pPr>
      <w:r w:rsidRPr="00BF7F0C">
        <w:rPr>
          <w:rFonts w:ascii="Verdana" w:hAnsi="Verdana" w:cs="Arial"/>
          <w:color w:val="000000"/>
          <w:shd w:val="clear" w:color="auto" w:fill="FFFFFF"/>
        </w:rPr>
        <w:t xml:space="preserve">Por regla, para seleccionar contratistas y para ejecutar contratos se requiere la constitución de garantías. </w:t>
      </w:r>
      <w:bookmarkStart w:id="7" w:name="_Hlk47893233"/>
      <w:r w:rsidRPr="00BF7F0C">
        <w:rPr>
          <w:rFonts w:ascii="Verdana" w:hAnsi="Verdana" w:cs="Arial"/>
          <w:color w:val="000000"/>
          <w:shd w:val="clear" w:color="auto" w:fill="FFFFFF"/>
        </w:rPr>
        <w:t>Por un lado, l</w:t>
      </w:r>
      <w:r w:rsidRPr="00BF7F0C">
        <w:rPr>
          <w:rFonts w:ascii="Verdana" w:eastAsia="Calibri" w:hAnsi="Verdana" w:cs="Arial"/>
          <w:color w:val="000000" w:themeColor="text1"/>
        </w:rPr>
        <w:t xml:space="preserve">a </w:t>
      </w:r>
      <w:r w:rsidRPr="00BF7F0C">
        <w:rPr>
          <w:rFonts w:ascii="Verdana" w:eastAsia="Calibri" w:hAnsi="Verdana" w:cs="Arial"/>
          <w:i/>
          <w:iCs/>
          <w:color w:val="000000" w:themeColor="text1"/>
        </w:rPr>
        <w:t>garantía de seriedad</w:t>
      </w:r>
      <w:r w:rsidRPr="00BF7F0C">
        <w:rPr>
          <w:rFonts w:ascii="Verdana" w:eastAsia="Calibri" w:hAnsi="Verdana" w:cs="Arial"/>
          <w:color w:val="000000" w:themeColor="text1"/>
        </w:rPr>
        <w:t xml:space="preserve"> respalda al principio de irrevocabilidad de la oferta, caso en el cual los proponentes que pierdan interés en la adjudicación resarcirán los perjuicios causados por su retiro del proceso de selección. Naturalmente, esta garantía solo la constituyen quienes presenten las propuestas, motivo por el cual sus efectos no se extienden a personas ajenas a la actividad precontractual; sin perjuicio de que la póliza sea un mecanismo conminatorio, en la medida en que obliga a celebrar el contrato, so pena de hacerla efectiva. </w:t>
      </w:r>
    </w:p>
    <w:p w14:paraId="04282CE8" w14:textId="791E67CE" w:rsidR="00C86D1D" w:rsidRPr="00BF7F0C" w:rsidRDefault="00C86D1D" w:rsidP="00C86D1D">
      <w:pPr>
        <w:pStyle w:val="Prrafodelista"/>
        <w:numPr>
          <w:ilvl w:val="0"/>
          <w:numId w:val="18"/>
        </w:numPr>
        <w:spacing w:after="0" w:line="276" w:lineRule="auto"/>
        <w:jc w:val="both"/>
        <w:rPr>
          <w:rFonts w:ascii="Verdana" w:eastAsia="Calibri" w:hAnsi="Verdana" w:cs="Arial"/>
          <w:color w:val="000000" w:themeColor="text1"/>
        </w:rPr>
      </w:pPr>
      <w:r w:rsidRPr="00BF7F0C">
        <w:rPr>
          <w:rFonts w:ascii="Verdana" w:eastAsia="Calibri" w:hAnsi="Verdana" w:cs="Arial"/>
          <w:color w:val="000000" w:themeColor="text1"/>
        </w:rPr>
        <w:t>De esta manera, la exigencia permite que solo se presenten personas con la capacidad técnica y financiera suficiente para ejecutarlo en caso de adjudicación, desestimulando la presentación de ofertas que no son serias, cuya evaluación entorpece la buena marcha de la Administración, y en especial la celeridad y eficiencia de los procedimientos contractuales</w:t>
      </w:r>
      <w:bookmarkEnd w:id="7"/>
      <w:r w:rsidRPr="00CA6FDA">
        <w:rPr>
          <w:rStyle w:val="Refdenotaalpie"/>
          <w:rFonts w:ascii="Verdana" w:eastAsia="Calibri" w:hAnsi="Verdana" w:cs="Arial"/>
          <w:color w:val="000000" w:themeColor="text1"/>
        </w:rPr>
        <w:footnoteReference w:id="1"/>
      </w:r>
      <w:r w:rsidRPr="00BF7F0C">
        <w:rPr>
          <w:rFonts w:ascii="Verdana" w:eastAsia="Calibri" w:hAnsi="Verdana" w:cs="Arial"/>
          <w:color w:val="000000" w:themeColor="text1"/>
        </w:rPr>
        <w:t>. Sobre este aspecto, la doctrina explica que:</w:t>
      </w:r>
    </w:p>
    <w:p w14:paraId="144F6898" w14:textId="77777777" w:rsidR="00C86D1D" w:rsidRPr="00BF7F0C" w:rsidRDefault="00C86D1D" w:rsidP="00C86D1D">
      <w:pPr>
        <w:pStyle w:val="Prrafodelista"/>
        <w:spacing w:after="0" w:line="276" w:lineRule="auto"/>
        <w:jc w:val="both"/>
        <w:rPr>
          <w:rFonts w:ascii="Verdana" w:eastAsia="Calibri" w:hAnsi="Verdana" w:cs="Arial"/>
          <w:color w:val="000000" w:themeColor="text1"/>
        </w:rPr>
      </w:pPr>
    </w:p>
    <w:p w14:paraId="456C5E6B" w14:textId="77777777" w:rsidR="00C86D1D" w:rsidRPr="00BF7F0C" w:rsidRDefault="00C86D1D" w:rsidP="00C86D1D">
      <w:pPr>
        <w:pStyle w:val="Prrafodelista"/>
        <w:spacing w:after="0" w:line="240" w:lineRule="auto"/>
        <w:ind w:left="1134" w:right="709"/>
        <w:jc w:val="both"/>
        <w:rPr>
          <w:rFonts w:ascii="Verdana" w:eastAsia="Calibri" w:hAnsi="Verdana" w:cs="Arial"/>
          <w:color w:val="000000" w:themeColor="text1"/>
          <w:sz w:val="21"/>
          <w:szCs w:val="21"/>
        </w:rPr>
      </w:pPr>
      <w:r w:rsidRPr="00BF7F0C">
        <w:rPr>
          <w:rFonts w:ascii="Verdana" w:eastAsia="Calibri" w:hAnsi="Verdana" w:cs="Arial"/>
          <w:color w:val="000000" w:themeColor="text1"/>
          <w:sz w:val="21"/>
          <w:szCs w:val="21"/>
        </w:rPr>
        <w:t xml:space="preserve">“Las </w:t>
      </w:r>
      <w:r w:rsidRPr="00BF7F0C">
        <w:rPr>
          <w:rFonts w:ascii="Verdana" w:eastAsia="Calibri" w:hAnsi="Verdana" w:cs="Arial"/>
          <w:i/>
          <w:iCs/>
          <w:color w:val="000000" w:themeColor="text1"/>
          <w:sz w:val="21"/>
          <w:szCs w:val="21"/>
        </w:rPr>
        <w:t>garantías provisionales</w:t>
      </w:r>
      <w:r w:rsidRPr="00BF7F0C">
        <w:rPr>
          <w:rFonts w:ascii="Verdana" w:eastAsia="Calibri" w:hAnsi="Verdana" w:cs="Arial"/>
          <w:color w:val="000000" w:themeColor="text1"/>
          <w:sz w:val="21"/>
          <w:szCs w:val="21"/>
        </w:rPr>
        <w:t xml:space="preserve"> “avalan la solemnidad de la oferta por parte del contratista”; constituyen una seña pre-contractual destinada a </w:t>
      </w:r>
      <w:r w:rsidRPr="00BF7F0C">
        <w:rPr>
          <w:rFonts w:ascii="Verdana" w:eastAsia="Calibri" w:hAnsi="Verdana" w:cs="Arial"/>
          <w:i/>
          <w:iCs/>
          <w:color w:val="000000" w:themeColor="text1"/>
          <w:sz w:val="21"/>
          <w:szCs w:val="21"/>
        </w:rPr>
        <w:t>asegurar la celebración del contrato</w:t>
      </w:r>
      <w:r w:rsidRPr="00BF7F0C">
        <w:rPr>
          <w:rFonts w:ascii="Verdana" w:eastAsia="Calibri" w:hAnsi="Verdana" w:cs="Arial"/>
          <w:color w:val="000000" w:themeColor="text1"/>
          <w:sz w:val="21"/>
          <w:szCs w:val="21"/>
        </w:rPr>
        <w:t xml:space="preserve">, no su cumplimiento. La administración procede a devolver a los oferentes no adjudicatarios, y a transformar en definitiva respecto al adjudicatario, las garantías provisionales, deduciéndose entonces que las </w:t>
      </w:r>
      <w:r w:rsidRPr="00BF7F0C">
        <w:rPr>
          <w:rFonts w:ascii="Verdana" w:eastAsia="Calibri" w:hAnsi="Verdana" w:cs="Arial"/>
          <w:i/>
          <w:iCs/>
          <w:color w:val="000000" w:themeColor="text1"/>
          <w:sz w:val="21"/>
          <w:szCs w:val="21"/>
        </w:rPr>
        <w:t>arras</w:t>
      </w:r>
      <w:r w:rsidRPr="00BF7F0C">
        <w:rPr>
          <w:rFonts w:ascii="Verdana" w:eastAsia="Calibri" w:hAnsi="Verdana" w:cs="Arial"/>
          <w:color w:val="000000" w:themeColor="text1"/>
          <w:sz w:val="21"/>
          <w:szCs w:val="21"/>
        </w:rPr>
        <w:t xml:space="preserve"> no forman parte del precio, ni son por tanto arras confirmatorias […], sino puramente penitenciales […] como garantías y compensación del </w:t>
      </w:r>
      <w:r w:rsidRPr="00BF7F0C">
        <w:rPr>
          <w:rFonts w:ascii="Verdana" w:eastAsia="Calibri" w:hAnsi="Verdana" w:cs="Arial"/>
          <w:i/>
          <w:iCs/>
          <w:color w:val="000000" w:themeColor="text1"/>
          <w:sz w:val="21"/>
          <w:szCs w:val="21"/>
        </w:rPr>
        <w:t>ius poenitendi</w:t>
      </w:r>
      <w:r w:rsidRPr="00BF7F0C">
        <w:rPr>
          <w:rFonts w:ascii="Verdana" w:eastAsia="Calibri" w:hAnsi="Verdana" w:cs="Arial"/>
          <w:color w:val="000000" w:themeColor="text1"/>
          <w:sz w:val="21"/>
          <w:szCs w:val="21"/>
        </w:rPr>
        <w:t xml:space="preserve"> del licitante. Son, en </w:t>
      </w:r>
      <w:r w:rsidRPr="00BF7F0C">
        <w:rPr>
          <w:rFonts w:ascii="Verdana" w:eastAsia="Calibri" w:hAnsi="Verdana" w:cs="Arial"/>
          <w:color w:val="000000" w:themeColor="text1"/>
          <w:sz w:val="21"/>
          <w:szCs w:val="21"/>
        </w:rPr>
        <w:lastRenderedPageBreak/>
        <w:t>consecuencia, “la medida de la responsabilidad pre-contractual del oferente”; o, más bien, la garantía de oferta representa en definitiva la medida de la responsabilidad”</w:t>
      </w:r>
      <w:r w:rsidRPr="00CA6FDA">
        <w:rPr>
          <w:rStyle w:val="Refdenotaalpie"/>
          <w:rFonts w:ascii="Verdana" w:eastAsia="Calibri" w:hAnsi="Verdana" w:cs="Arial"/>
          <w:color w:val="000000" w:themeColor="text1"/>
          <w:sz w:val="21"/>
          <w:szCs w:val="21"/>
        </w:rPr>
        <w:footnoteReference w:id="2"/>
      </w:r>
      <w:r w:rsidRPr="00BF7F0C">
        <w:rPr>
          <w:rFonts w:ascii="Verdana" w:eastAsia="Calibri" w:hAnsi="Verdana" w:cs="Arial"/>
          <w:color w:val="000000" w:themeColor="text1"/>
          <w:sz w:val="21"/>
          <w:szCs w:val="21"/>
        </w:rPr>
        <w:t xml:space="preserve">. (Cursivas dentro del texto)   </w:t>
      </w:r>
    </w:p>
    <w:p w14:paraId="696F087C" w14:textId="77777777" w:rsidR="00C86D1D" w:rsidRPr="00BF7F0C" w:rsidRDefault="00C86D1D" w:rsidP="00C86D1D">
      <w:pPr>
        <w:pStyle w:val="Prrafodelista"/>
        <w:spacing w:after="0" w:line="276" w:lineRule="auto"/>
        <w:jc w:val="both"/>
        <w:rPr>
          <w:rFonts w:ascii="Verdana" w:eastAsia="Calibri" w:hAnsi="Verdana" w:cs="Arial"/>
          <w:color w:val="000000" w:themeColor="text1"/>
        </w:rPr>
      </w:pPr>
    </w:p>
    <w:p w14:paraId="63A5602D" w14:textId="77777777" w:rsidR="00C86D1D" w:rsidRPr="00BF7F0C" w:rsidRDefault="00C86D1D" w:rsidP="00C86D1D">
      <w:pPr>
        <w:pStyle w:val="Prrafodelista"/>
        <w:numPr>
          <w:ilvl w:val="0"/>
          <w:numId w:val="18"/>
        </w:numPr>
        <w:spacing w:after="120" w:line="276" w:lineRule="auto"/>
        <w:jc w:val="both"/>
        <w:rPr>
          <w:rFonts w:ascii="Verdana" w:eastAsia="Calibri" w:hAnsi="Verdana" w:cs="Arial"/>
          <w:color w:val="000000" w:themeColor="text1"/>
        </w:rPr>
      </w:pPr>
      <w:r w:rsidRPr="00BF7F0C">
        <w:rPr>
          <w:rFonts w:ascii="Verdana" w:eastAsia="Calibri" w:hAnsi="Verdana" w:cs="Arial"/>
          <w:color w:val="000000" w:themeColor="text1"/>
        </w:rPr>
        <w:t xml:space="preserve">En contraste, mediante la </w:t>
      </w:r>
      <w:r w:rsidRPr="00BF7F0C">
        <w:rPr>
          <w:rFonts w:ascii="Verdana" w:eastAsia="Calibri" w:hAnsi="Verdana" w:cs="Arial"/>
          <w:i/>
          <w:iCs/>
          <w:color w:val="000000" w:themeColor="text1"/>
        </w:rPr>
        <w:t>garantía de única de cumplimiento</w:t>
      </w:r>
      <w:r w:rsidRPr="00BF7F0C">
        <w:rPr>
          <w:rFonts w:ascii="Verdana" w:eastAsia="Calibri" w:hAnsi="Verdana" w:cs="Arial"/>
          <w:color w:val="000000" w:themeColor="text1"/>
        </w:rPr>
        <w:t>, el contratista ampara los perjuicios que le pueda generar a la entidad el incumplimiento de las obligaciones derivadas del contrato</w:t>
      </w:r>
      <w:r w:rsidRPr="00CA6FDA">
        <w:rPr>
          <w:rStyle w:val="Refdenotaalpie"/>
          <w:rFonts w:ascii="Verdana" w:eastAsia="Calibri" w:hAnsi="Verdana" w:cs="Arial"/>
          <w:color w:val="000000" w:themeColor="text1"/>
        </w:rPr>
        <w:footnoteReference w:id="3"/>
      </w:r>
      <w:r w:rsidRPr="00BF7F0C">
        <w:rPr>
          <w:rFonts w:ascii="Verdana" w:eastAsia="Calibri" w:hAnsi="Verdana" w:cs="Arial"/>
          <w:color w:val="000000" w:themeColor="text1"/>
        </w:rPr>
        <w:t xml:space="preserve">. En esta medida, tienen como objetivo reparar los perjuicios causados por conductas atribuibles al contratista, por lo que estos últimos son un presupuesto necesario para el pago que cubre la garantía. </w:t>
      </w:r>
      <w:r w:rsidRPr="00BF7F0C">
        <w:rPr>
          <w:rFonts w:ascii="Verdana" w:hAnsi="Verdana" w:cs="Arial"/>
          <w:color w:val="000000" w:themeColor="text1"/>
          <w:lang w:val="es-ES_tradnl"/>
        </w:rPr>
        <w:t>Para estos efectos es única, ya que “[…] La prioridad […] es que no haya garantías separadas para los diferentes riesgos, aunque existan varias garantías para diferentes proporciones del interés asegurado […]”</w:t>
      </w:r>
      <w:r w:rsidRPr="00CA6FDA">
        <w:rPr>
          <w:rStyle w:val="Refdenotaalpie"/>
          <w:rFonts w:ascii="Verdana" w:hAnsi="Verdana" w:cs="Arial"/>
          <w:color w:val="000000" w:themeColor="text1"/>
          <w:lang w:val="es-ES_tradnl"/>
        </w:rPr>
        <w:footnoteReference w:id="4"/>
      </w:r>
      <w:r w:rsidRPr="00BF7F0C">
        <w:rPr>
          <w:rFonts w:ascii="Verdana" w:hAnsi="Verdana" w:cs="Arial"/>
          <w:color w:val="000000" w:themeColor="text1"/>
          <w:lang w:val="es-ES_tradnl"/>
        </w:rPr>
        <w:t xml:space="preserve">.  </w:t>
      </w:r>
    </w:p>
    <w:p w14:paraId="5A678419" w14:textId="77777777" w:rsidR="00C86D1D" w:rsidRPr="00BF7F0C" w:rsidRDefault="00C86D1D" w:rsidP="00C86D1D">
      <w:pPr>
        <w:pStyle w:val="Prrafodelista"/>
        <w:spacing w:after="120" w:line="276" w:lineRule="auto"/>
        <w:jc w:val="both"/>
        <w:rPr>
          <w:rFonts w:ascii="Verdana" w:eastAsia="Calibri" w:hAnsi="Verdana" w:cs="Arial"/>
          <w:color w:val="000000" w:themeColor="text1"/>
        </w:rPr>
      </w:pPr>
      <w:r w:rsidRPr="00BF7F0C">
        <w:rPr>
          <w:rFonts w:ascii="Verdana" w:hAnsi="Verdana" w:cs="Arial"/>
          <w:color w:val="000000" w:themeColor="text1"/>
          <w:lang w:val="es-ES_tradnl"/>
        </w:rPr>
        <w:t xml:space="preserve">  </w:t>
      </w:r>
    </w:p>
    <w:p w14:paraId="5B4B3E17" w14:textId="77777777" w:rsidR="00DA2647" w:rsidRDefault="00C86D1D" w:rsidP="00C86D1D">
      <w:pPr>
        <w:pStyle w:val="Prrafodelista"/>
        <w:numPr>
          <w:ilvl w:val="0"/>
          <w:numId w:val="18"/>
        </w:numPr>
        <w:spacing w:after="120" w:line="276" w:lineRule="auto"/>
        <w:jc w:val="both"/>
        <w:rPr>
          <w:rFonts w:ascii="Verdana" w:hAnsi="Verdana" w:cs="Arial"/>
          <w:color w:val="000000" w:themeColor="text1"/>
        </w:rPr>
      </w:pPr>
      <w:r w:rsidRPr="00BF7F0C">
        <w:rPr>
          <w:rFonts w:ascii="Verdana" w:hAnsi="Verdana" w:cs="Arial"/>
          <w:color w:val="000000" w:themeColor="text1"/>
        </w:rPr>
        <w:t>Desde esta perspectiva, ambas garantías constituyen una obligación de seguridad, es decir, aquella donde el interés del acreedor no consiste en una utilidad específica y tangible, sino en la tranquilidad frente a ciertos riesgos por la cobertura de sus consecuencias nocivas. Conforme al inciso segundo del artículo 7 de la Ley 1150 de 2007, pueden otorgarse a través de: i) contratos de seguro, ii) garantías bancarias o iii) los demás mecanismos de cobertura del riesgo que disponga el reglamento.</w:t>
      </w:r>
    </w:p>
    <w:p w14:paraId="7099CF92" w14:textId="77777777" w:rsidR="00DA2647" w:rsidRPr="00560511" w:rsidRDefault="00DA2647" w:rsidP="00560511">
      <w:pPr>
        <w:pStyle w:val="Prrafodelista"/>
        <w:rPr>
          <w:rFonts w:ascii="Verdana" w:hAnsi="Verdana" w:cs="Arial"/>
          <w:color w:val="000000" w:themeColor="text1"/>
        </w:rPr>
      </w:pPr>
    </w:p>
    <w:p w14:paraId="5043A68C" w14:textId="335FE4E1" w:rsidR="00C86D1D" w:rsidRPr="00BF7F0C" w:rsidRDefault="00C86D1D" w:rsidP="00C86D1D">
      <w:pPr>
        <w:pStyle w:val="Prrafodelista"/>
        <w:numPr>
          <w:ilvl w:val="0"/>
          <w:numId w:val="18"/>
        </w:numPr>
        <w:spacing w:after="120" w:line="276" w:lineRule="auto"/>
        <w:jc w:val="both"/>
        <w:rPr>
          <w:rFonts w:ascii="Verdana" w:hAnsi="Verdana" w:cs="Arial"/>
          <w:color w:val="000000" w:themeColor="text1"/>
        </w:rPr>
      </w:pPr>
      <w:r w:rsidRPr="00BF7F0C">
        <w:rPr>
          <w:rFonts w:ascii="Verdana" w:hAnsi="Verdana" w:cs="Arial"/>
          <w:color w:val="000000" w:themeColor="text1"/>
        </w:rPr>
        <w:t>Igualmente establece que “[…] tratándose de pólizas, las mismas no expirarán por falta de pago de la prima o por revocatoria unilateral […]”. Esta norma es una excepción a la terminación automática del contrato de seguro prevista en los artículos 1068 y 1071 del Código de Comercio</w:t>
      </w:r>
      <w:r w:rsidRPr="5B9F60E6">
        <w:rPr>
          <w:rStyle w:val="Refdenotaalpie"/>
          <w:rFonts w:ascii="Verdana" w:hAnsi="Verdana" w:cs="Arial"/>
          <w:color w:val="000000" w:themeColor="text1"/>
        </w:rPr>
        <w:footnoteReference w:id="5"/>
      </w:r>
      <w:r w:rsidRPr="00BF7F0C">
        <w:rPr>
          <w:rFonts w:ascii="Verdana" w:hAnsi="Verdana" w:cs="Arial"/>
          <w:color w:val="000000" w:themeColor="text1"/>
        </w:rPr>
        <w:t xml:space="preserve">. De </w:t>
      </w:r>
      <w:r w:rsidRPr="00BF7F0C">
        <w:rPr>
          <w:rFonts w:ascii="Verdana" w:hAnsi="Verdana" w:cs="Arial"/>
          <w:color w:val="000000" w:themeColor="text1"/>
        </w:rPr>
        <w:lastRenderedPageBreak/>
        <w:t>esta manera, las garantías previstas en la ley tienen como objetivo asegurar la solvencia del garante</w:t>
      </w:r>
      <w:r w:rsidRPr="5B9F60E6">
        <w:rPr>
          <w:rStyle w:val="Refdenotaalpie"/>
          <w:rFonts w:ascii="Verdana" w:hAnsi="Verdana" w:cs="Arial"/>
          <w:color w:val="000000" w:themeColor="text1"/>
        </w:rPr>
        <w:footnoteReference w:id="6"/>
      </w:r>
      <w:r w:rsidRPr="00BF7F0C">
        <w:rPr>
          <w:rFonts w:ascii="Verdana" w:hAnsi="Verdana" w:cs="Arial"/>
          <w:color w:val="000000" w:themeColor="text1"/>
        </w:rPr>
        <w:t>.</w:t>
      </w:r>
    </w:p>
    <w:p w14:paraId="4E591F2D" w14:textId="77777777" w:rsidR="00C86D1D" w:rsidRDefault="00C86D1D" w:rsidP="00C86D1D">
      <w:pPr>
        <w:pStyle w:val="Prrafodelista"/>
        <w:numPr>
          <w:ilvl w:val="0"/>
          <w:numId w:val="18"/>
        </w:numPr>
        <w:spacing w:after="120" w:line="276" w:lineRule="auto"/>
        <w:jc w:val="both"/>
        <w:rPr>
          <w:rFonts w:ascii="Verdana" w:hAnsi="Verdana" w:cs="Arial"/>
          <w:color w:val="000000" w:themeColor="text1"/>
        </w:rPr>
      </w:pPr>
      <w:r w:rsidRPr="00BF7F0C">
        <w:rPr>
          <w:rFonts w:ascii="Verdana" w:hAnsi="Verdana" w:cs="Arial"/>
          <w:color w:val="000000" w:themeColor="text1"/>
        </w:rPr>
        <w:t xml:space="preserve">El Decreto 1082 de 2015 reglamenta las condiciones en que debe cumplirse esta obligación. Los artículos 2.2.1.2.3.1.1 a 2.2.1.2.3.1.19 del Decreto Único Reglamentario del sector Administrativo de Planeación Nacional regulan asuntos como las clases de garantías permitidas, la indivisibilidad de las mismas, los diferentes riesgos que deben ser objeto de garantía, la vigencia y valores mínimos que deben cubrir los amparos, entre otros aspectos. </w:t>
      </w:r>
    </w:p>
    <w:p w14:paraId="4C0DE4C7" w14:textId="77777777" w:rsidR="00C86D1D" w:rsidRPr="00BF7F0C" w:rsidRDefault="00C86D1D" w:rsidP="00C86D1D">
      <w:pPr>
        <w:pStyle w:val="Prrafodelista"/>
        <w:spacing w:after="120" w:line="276" w:lineRule="auto"/>
        <w:jc w:val="both"/>
        <w:rPr>
          <w:rFonts w:ascii="Verdana" w:hAnsi="Verdana" w:cs="Arial"/>
          <w:color w:val="000000" w:themeColor="text1"/>
        </w:rPr>
      </w:pPr>
    </w:p>
    <w:p w14:paraId="34096DB7" w14:textId="77777777" w:rsidR="00DA2647" w:rsidRPr="00560511" w:rsidRDefault="00C86D1D" w:rsidP="00C86D1D">
      <w:pPr>
        <w:pStyle w:val="Prrafodelista"/>
        <w:numPr>
          <w:ilvl w:val="0"/>
          <w:numId w:val="18"/>
        </w:numPr>
        <w:spacing w:before="120" w:after="120" w:line="276" w:lineRule="auto"/>
        <w:jc w:val="both"/>
        <w:rPr>
          <w:rFonts w:ascii="Verdana" w:eastAsia="Times New Roman" w:hAnsi="Verdana" w:cs="Arial"/>
          <w:color w:val="000000" w:themeColor="text1"/>
          <w:lang w:eastAsia="es-CO"/>
        </w:rPr>
      </w:pPr>
      <w:r w:rsidRPr="00BF7F0C">
        <w:rPr>
          <w:rFonts w:ascii="Verdana" w:hAnsi="Verdana" w:cs="Arial"/>
          <w:color w:val="000000" w:themeColor="text1"/>
        </w:rPr>
        <w:t>El artículo 2.2.1.2.3.1.3, por ejemplo, establece que la “garantía de cobertura del Riesgo es indivisible”, además de la obligación de los contratantes de establecer en los pliegos de condiciones las garantías exigidas para cada periodo contractual</w:t>
      </w:r>
      <w:r w:rsidRPr="00CA6FDA">
        <w:rPr>
          <w:rStyle w:val="Refdenotaalpie"/>
          <w:rFonts w:ascii="Verdana" w:hAnsi="Verdana" w:cs="Arial"/>
          <w:color w:val="000000" w:themeColor="text1"/>
        </w:rPr>
        <w:footnoteReference w:id="7"/>
      </w:r>
      <w:r w:rsidRPr="00BF7F0C">
        <w:rPr>
          <w:rFonts w:ascii="Verdana" w:hAnsi="Verdana" w:cs="Arial"/>
          <w:color w:val="000000" w:themeColor="text1"/>
        </w:rPr>
        <w:t xml:space="preserve">. </w:t>
      </w:r>
    </w:p>
    <w:p w14:paraId="68C2D3EE" w14:textId="77777777" w:rsidR="00DA2647" w:rsidRPr="00560511" w:rsidRDefault="00DA2647" w:rsidP="00560511">
      <w:pPr>
        <w:pStyle w:val="Prrafodelista"/>
        <w:rPr>
          <w:rFonts w:ascii="Verdana" w:hAnsi="Verdana" w:cs="Arial"/>
          <w:color w:val="000000" w:themeColor="text1"/>
        </w:rPr>
      </w:pPr>
    </w:p>
    <w:p w14:paraId="4C0E818E" w14:textId="25366D3C" w:rsidR="00C86D1D" w:rsidRDefault="00C86D1D" w:rsidP="00C86D1D">
      <w:pPr>
        <w:pStyle w:val="Prrafodelista"/>
        <w:numPr>
          <w:ilvl w:val="0"/>
          <w:numId w:val="18"/>
        </w:numPr>
        <w:spacing w:before="120" w:after="120" w:line="276" w:lineRule="auto"/>
        <w:jc w:val="both"/>
        <w:rPr>
          <w:rFonts w:ascii="Verdana" w:eastAsia="Times New Roman" w:hAnsi="Verdana" w:cs="Arial"/>
          <w:color w:val="000000" w:themeColor="text1"/>
          <w:lang w:eastAsia="es-CO"/>
        </w:rPr>
      </w:pPr>
      <w:r w:rsidRPr="00BF7F0C">
        <w:rPr>
          <w:rFonts w:ascii="Verdana" w:hAnsi="Verdana" w:cs="Arial"/>
          <w:color w:val="000000" w:themeColor="text1"/>
        </w:rPr>
        <w:t xml:space="preserve">Por su parte, el artículo 2.2.1.3.1.7 prescribe que la garantía de cumplimiento debe cubrir: i) el buen manejo y correcta inversión del anticipo; ii) la devolución del pago anticipado; iii) el cumplimiento del </w:t>
      </w:r>
      <w:r w:rsidRPr="00BF7F0C">
        <w:rPr>
          <w:rFonts w:ascii="Verdana" w:hAnsi="Verdana" w:cs="Arial"/>
          <w:color w:val="000000" w:themeColor="text1"/>
        </w:rPr>
        <w:lastRenderedPageBreak/>
        <w:t xml:space="preserve">contrato; iv) el pago de salarios, prestaciones sociales legales e indemnizaciones laborales; v)  la estabilidad y calidad de la obra; vi) la </w:t>
      </w:r>
      <w:r w:rsidRPr="00BF7F0C">
        <w:rPr>
          <w:rFonts w:ascii="Verdana" w:eastAsia="Times New Roman" w:hAnsi="Verdana" w:cs="Arial"/>
          <w:color w:val="000000" w:themeColor="text1"/>
          <w:lang w:eastAsia="es-CO"/>
        </w:rPr>
        <w:t>calidad del servicio; vii) la calidad y correcto funcionamiento de los bienes; y viii) los demás incumplimientos de las obligaciones que la entidad estatal considere deben ser amparados</w:t>
      </w:r>
      <w:r w:rsidRPr="00CA6FDA">
        <w:rPr>
          <w:rStyle w:val="Refdenotaalpie"/>
          <w:rFonts w:ascii="Verdana" w:eastAsia="Times New Roman" w:hAnsi="Verdana" w:cs="Arial"/>
          <w:color w:val="000000" w:themeColor="text1"/>
          <w:lang w:eastAsia="es-CO"/>
        </w:rPr>
        <w:footnoteReference w:id="8"/>
      </w:r>
      <w:r w:rsidRPr="00BF7F0C">
        <w:rPr>
          <w:rFonts w:ascii="Verdana" w:eastAsia="Times New Roman" w:hAnsi="Verdana" w:cs="Arial"/>
          <w:color w:val="000000" w:themeColor="text1"/>
          <w:lang w:eastAsia="es-CO"/>
        </w:rPr>
        <w:t xml:space="preserve">. Esto además de la póliza de responsabilidad civil extracontractual en los contratos de obra, así en aquellos en que por su objeto o naturaleza se considere necesario con ocasión de los riesgos previstos en el negocio, de acuerdo con el artículo 2.2.1.2.3.1.8 </w:t>
      </w:r>
      <w:r w:rsidRPr="00BF7F0C">
        <w:rPr>
          <w:rFonts w:ascii="Verdana" w:eastAsia="Times New Roman" w:hAnsi="Verdana" w:cs="Arial"/>
          <w:i/>
          <w:iCs/>
          <w:color w:val="000000" w:themeColor="text1"/>
          <w:lang w:eastAsia="es-CO"/>
        </w:rPr>
        <w:t>ibidem</w:t>
      </w:r>
      <w:r w:rsidRPr="00BF7F0C">
        <w:rPr>
          <w:rFonts w:ascii="Verdana" w:eastAsia="Times New Roman" w:hAnsi="Verdana" w:cs="Arial"/>
          <w:color w:val="000000" w:themeColor="text1"/>
          <w:lang w:eastAsia="es-CO"/>
        </w:rPr>
        <w:t>.</w:t>
      </w:r>
    </w:p>
    <w:p w14:paraId="638D0790" w14:textId="77777777" w:rsidR="00C86D1D" w:rsidRPr="00C46972" w:rsidRDefault="00C86D1D" w:rsidP="00C86D1D">
      <w:pPr>
        <w:spacing w:before="120" w:after="120" w:line="276" w:lineRule="auto"/>
        <w:jc w:val="both"/>
        <w:rPr>
          <w:rFonts w:ascii="Verdana" w:eastAsia="Times New Roman" w:hAnsi="Verdana" w:cs="Arial"/>
          <w:color w:val="000000" w:themeColor="text1"/>
          <w:lang w:eastAsia="es-CO"/>
        </w:rPr>
      </w:pPr>
    </w:p>
    <w:p w14:paraId="5C289BCB" w14:textId="77777777" w:rsidR="00DA2647" w:rsidRDefault="00C86D1D" w:rsidP="00C86D1D">
      <w:pPr>
        <w:pStyle w:val="Prrafodelista"/>
        <w:numPr>
          <w:ilvl w:val="0"/>
          <w:numId w:val="18"/>
        </w:numPr>
        <w:spacing w:before="120" w:after="0" w:line="276" w:lineRule="auto"/>
        <w:jc w:val="both"/>
        <w:rPr>
          <w:rFonts w:ascii="Verdana" w:eastAsia="Times New Roman" w:hAnsi="Verdana" w:cs="Arial"/>
          <w:color w:val="000000" w:themeColor="text1"/>
          <w:lang w:eastAsia="es-CO"/>
        </w:rPr>
      </w:pPr>
      <w:r w:rsidRPr="00BF7F0C">
        <w:rPr>
          <w:rFonts w:ascii="Verdana" w:eastAsia="Times New Roman" w:hAnsi="Verdana" w:cs="Arial"/>
          <w:color w:val="000000" w:themeColor="text1"/>
          <w:lang w:eastAsia="es-CO"/>
        </w:rPr>
        <w:t xml:space="preserve">Respecto a la garantía de estabilidad y calidad de la obra, el artículo 2.2.1.2.3.1.14 del Decreto 1082 de 2015 –después de la modificación del artículo 3 del Decreto 399 de 2021– regula la suficiencia del amparo. Respecto a la vigencia y el monto, el inciso primero dispone que “Esta garantía debe estar vigente por un término no inferior a cinco (5) años contados a partir de la fecha en la cual la Entidad Estatal recibe a satisfacción la obra. La Entidad Estatal debe determinar el valor asegurado de esta garantía en los documentos del proceso, de acuerdo con el objeto, </w:t>
      </w:r>
      <w:r w:rsidRPr="00BF7F0C">
        <w:rPr>
          <w:rFonts w:ascii="Verdana" w:eastAsia="Times New Roman" w:hAnsi="Verdana" w:cs="Arial"/>
          <w:color w:val="000000" w:themeColor="text1"/>
          <w:lang w:eastAsia="es-CO"/>
        </w:rPr>
        <w:lastRenderedPageBreak/>
        <w:t xml:space="preserve">la cuantía, la naturaleza y las obligaciones contenidas en el contrato a celebrar”. </w:t>
      </w:r>
    </w:p>
    <w:p w14:paraId="1CED9B08" w14:textId="77777777" w:rsidR="00DA2647" w:rsidRPr="00560511" w:rsidRDefault="00DA2647" w:rsidP="00560511">
      <w:pPr>
        <w:pStyle w:val="Prrafodelista"/>
        <w:rPr>
          <w:rFonts w:ascii="Verdana" w:eastAsia="Times New Roman" w:hAnsi="Verdana" w:cs="Arial"/>
          <w:color w:val="000000" w:themeColor="text1"/>
          <w:lang w:eastAsia="es-CO"/>
        </w:rPr>
      </w:pPr>
    </w:p>
    <w:p w14:paraId="34681D7E" w14:textId="7F3CD79D" w:rsidR="00C86D1D" w:rsidRPr="00BF7F0C" w:rsidRDefault="00C86D1D" w:rsidP="00C86D1D">
      <w:pPr>
        <w:pStyle w:val="Prrafodelista"/>
        <w:numPr>
          <w:ilvl w:val="0"/>
          <w:numId w:val="18"/>
        </w:numPr>
        <w:spacing w:before="120" w:after="0" w:line="276" w:lineRule="auto"/>
        <w:jc w:val="both"/>
        <w:rPr>
          <w:rFonts w:ascii="Verdana" w:eastAsia="Times New Roman" w:hAnsi="Verdana" w:cs="Arial"/>
          <w:color w:val="000000" w:themeColor="text1"/>
          <w:lang w:eastAsia="es-CO"/>
        </w:rPr>
      </w:pPr>
      <w:r w:rsidRPr="00BF7F0C">
        <w:rPr>
          <w:rFonts w:ascii="Verdana" w:eastAsia="Times New Roman" w:hAnsi="Verdana" w:cs="Arial"/>
          <w:color w:val="000000" w:themeColor="text1"/>
          <w:lang w:eastAsia="es-CO"/>
        </w:rPr>
        <w:t>No obstante, en lo que atañe al plazo, la norma consagra una excepción, puesto que la norma faculta a la entidad para establecer una garantía por un plazo inferior a cinco (5) años, sin que la misma tenga una duración inferior a uno (1). Para estos efectos, los incisos segundo y tercero disponen lo siguiente:</w:t>
      </w:r>
    </w:p>
    <w:p w14:paraId="1940401F" w14:textId="77777777" w:rsidR="00C86D1D" w:rsidRPr="00BF7F0C" w:rsidRDefault="00C86D1D" w:rsidP="00C86D1D">
      <w:pPr>
        <w:pStyle w:val="Prrafodelista"/>
        <w:spacing w:after="0" w:line="276" w:lineRule="auto"/>
        <w:jc w:val="both"/>
        <w:rPr>
          <w:rFonts w:ascii="Verdana" w:eastAsia="Times New Roman" w:hAnsi="Verdana" w:cs="Arial"/>
          <w:color w:val="000000" w:themeColor="text1"/>
          <w:lang w:eastAsia="es-CO"/>
        </w:rPr>
      </w:pPr>
    </w:p>
    <w:p w14:paraId="50E89477" w14:textId="77777777" w:rsidR="00C86D1D" w:rsidRDefault="00C86D1D" w:rsidP="00C86D1D">
      <w:pPr>
        <w:pStyle w:val="Prrafodelista"/>
        <w:spacing w:after="120" w:line="240" w:lineRule="auto"/>
        <w:ind w:left="1134" w:right="1183"/>
        <w:jc w:val="both"/>
        <w:rPr>
          <w:rFonts w:ascii="Verdana" w:eastAsia="Times New Roman" w:hAnsi="Verdana" w:cs="Arial"/>
          <w:color w:val="000000" w:themeColor="text1"/>
          <w:sz w:val="21"/>
          <w:szCs w:val="21"/>
          <w:lang w:eastAsia="es-CO"/>
        </w:rPr>
      </w:pPr>
      <w:r w:rsidRPr="00BF7F0C">
        <w:rPr>
          <w:rFonts w:ascii="Verdana" w:eastAsia="Times New Roman" w:hAnsi="Verdana" w:cs="Arial"/>
          <w:color w:val="000000" w:themeColor="text1"/>
          <w:sz w:val="21"/>
          <w:szCs w:val="21"/>
          <w:lang w:eastAsia="es-CO"/>
        </w:rPr>
        <w:t xml:space="preserve">“La Entidad Estatal puede aceptar que esta garantía tenga una vigencia inferior a cinco (5) años previa justificación técnica de un experto en la materia objeto del contrato, lo cual </w:t>
      </w:r>
      <w:bookmarkStart w:id="11" w:name="_Hlk171000426"/>
      <w:r w:rsidRPr="00BF7F0C">
        <w:rPr>
          <w:rFonts w:ascii="Verdana" w:eastAsia="Times New Roman" w:hAnsi="Verdana" w:cs="Arial"/>
          <w:color w:val="000000" w:themeColor="text1"/>
          <w:sz w:val="21"/>
          <w:szCs w:val="21"/>
          <w:lang w:eastAsia="es-CO"/>
        </w:rPr>
        <w:t>se debe reflejar en los documentos del proceso</w:t>
      </w:r>
      <w:bookmarkEnd w:id="11"/>
      <w:r w:rsidRPr="00BF7F0C">
        <w:rPr>
          <w:rFonts w:ascii="Verdana" w:eastAsia="Times New Roman" w:hAnsi="Verdana" w:cs="Arial"/>
          <w:color w:val="000000" w:themeColor="text1"/>
          <w:sz w:val="21"/>
          <w:szCs w:val="21"/>
          <w:lang w:eastAsia="es-CO"/>
        </w:rPr>
        <w:t>. Como consecuencia del análisis anterior y según la complejidad técnica del contrato a celebrar, esta garantía podrá tener una vigencia inferior a cinco (5) años y en todo caso de mínimo un (1) año.</w:t>
      </w:r>
    </w:p>
    <w:p w14:paraId="059483B5" w14:textId="77777777" w:rsidR="00C86D1D" w:rsidRPr="00BF7F0C" w:rsidRDefault="00C86D1D" w:rsidP="00C86D1D">
      <w:pPr>
        <w:pStyle w:val="Prrafodelista"/>
        <w:spacing w:after="120" w:line="240" w:lineRule="auto"/>
        <w:ind w:left="1134" w:right="1183"/>
        <w:jc w:val="both"/>
        <w:rPr>
          <w:rFonts w:ascii="Verdana" w:eastAsia="Times New Roman" w:hAnsi="Verdana" w:cs="Arial"/>
          <w:color w:val="000000" w:themeColor="text1"/>
          <w:sz w:val="21"/>
          <w:szCs w:val="21"/>
          <w:lang w:eastAsia="es-CO"/>
        </w:rPr>
      </w:pPr>
    </w:p>
    <w:p w14:paraId="2D8D6E81" w14:textId="77777777" w:rsidR="00C86D1D" w:rsidRPr="00BF7F0C" w:rsidRDefault="00C86D1D" w:rsidP="00C86D1D">
      <w:pPr>
        <w:pStyle w:val="Prrafodelista"/>
        <w:spacing w:before="120" w:after="0" w:line="240" w:lineRule="auto"/>
        <w:ind w:left="1134" w:right="1183"/>
        <w:jc w:val="both"/>
        <w:rPr>
          <w:rFonts w:ascii="Verdana" w:eastAsia="Times New Roman" w:hAnsi="Verdana" w:cs="Arial"/>
          <w:color w:val="000000" w:themeColor="text1"/>
          <w:sz w:val="21"/>
          <w:szCs w:val="21"/>
          <w:lang w:eastAsia="es-CO"/>
        </w:rPr>
      </w:pPr>
      <w:r w:rsidRPr="00BF7F0C">
        <w:rPr>
          <w:rFonts w:ascii="Verdana" w:eastAsia="Times New Roman" w:hAnsi="Verdana" w:cs="Arial"/>
          <w:color w:val="000000" w:themeColor="text1"/>
          <w:sz w:val="21"/>
          <w:szCs w:val="21"/>
          <w:lang w:eastAsia="es-CO"/>
        </w:rPr>
        <w:t xml:space="preserve">Para establecer la complejidad técnica del proyecto, y por ende la vigencia de la garantía de estabilidad y calidad de la obra por un término inferior a los cinco (5) años, la justificación técnica del experto en la materia objeto del contrato tendrá en consideración variables como las siguientes: el tipo de actividades que serán realizadas, la experticia técnica requerida, el alcance físico de las obras, entre otros, pero sin limitarse únicamente a la cuantía del proceso”. </w:t>
      </w:r>
    </w:p>
    <w:p w14:paraId="25D503BC" w14:textId="77777777" w:rsidR="00C86D1D" w:rsidRPr="00BF7F0C" w:rsidRDefault="00C86D1D" w:rsidP="00C86D1D">
      <w:pPr>
        <w:pStyle w:val="Prrafodelista"/>
        <w:spacing w:after="0" w:line="276" w:lineRule="auto"/>
        <w:jc w:val="both"/>
        <w:rPr>
          <w:rFonts w:ascii="Verdana" w:eastAsia="Times New Roman" w:hAnsi="Verdana" w:cs="Arial"/>
          <w:color w:val="000000" w:themeColor="text1"/>
          <w:lang w:eastAsia="es-CO"/>
        </w:rPr>
      </w:pPr>
    </w:p>
    <w:p w14:paraId="77FD17F6" w14:textId="77777777" w:rsidR="00C86D1D" w:rsidRPr="00BF7F0C" w:rsidRDefault="00C86D1D" w:rsidP="00C86D1D">
      <w:pPr>
        <w:pStyle w:val="Prrafodelista"/>
        <w:numPr>
          <w:ilvl w:val="0"/>
          <w:numId w:val="18"/>
        </w:numPr>
        <w:spacing w:after="120" w:line="276" w:lineRule="auto"/>
        <w:jc w:val="both"/>
        <w:rPr>
          <w:rFonts w:ascii="Verdana" w:eastAsia="Times New Roman" w:hAnsi="Verdana" w:cs="Arial"/>
          <w:color w:val="000000" w:themeColor="text1"/>
          <w:lang w:eastAsia="es-CO"/>
        </w:rPr>
      </w:pPr>
      <w:r w:rsidRPr="00BF7F0C">
        <w:rPr>
          <w:rFonts w:ascii="Verdana" w:eastAsia="Times New Roman" w:hAnsi="Verdana" w:cs="Arial"/>
          <w:color w:val="000000" w:themeColor="text1"/>
          <w:lang w:eastAsia="es-CO"/>
        </w:rPr>
        <w:t xml:space="preserve">Para precisar el alcance de este apartado, es necesario tener cuenta que 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 De esta manera, dentro de las definiciones del Diccionario de la Real Academia Española, puede entenderse la palabra “experto” como una persona “Especializada o con grandes conocimientos en una materia”, quien deberá entender los aspectos involucrados en el objeto del contrato. </w:t>
      </w:r>
    </w:p>
    <w:p w14:paraId="438D424F" w14:textId="77777777" w:rsidR="00C86D1D" w:rsidRDefault="00C86D1D" w:rsidP="00C86D1D">
      <w:pPr>
        <w:pStyle w:val="Prrafodelista"/>
        <w:spacing w:after="120" w:line="276" w:lineRule="auto"/>
        <w:jc w:val="both"/>
        <w:rPr>
          <w:rFonts w:ascii="Verdana" w:eastAsia="Times New Roman" w:hAnsi="Verdana" w:cs="Arial"/>
          <w:color w:val="000000" w:themeColor="text1"/>
          <w:lang w:eastAsia="es-CO"/>
        </w:rPr>
      </w:pPr>
    </w:p>
    <w:p w14:paraId="1D35B9FA" w14:textId="77777777" w:rsidR="00C86D1D" w:rsidRDefault="00C86D1D" w:rsidP="00C86D1D">
      <w:pPr>
        <w:pStyle w:val="Prrafodelista"/>
        <w:spacing w:after="120" w:line="276" w:lineRule="auto"/>
        <w:jc w:val="both"/>
        <w:rPr>
          <w:rFonts w:ascii="Verdana" w:eastAsia="Times New Roman" w:hAnsi="Verdana" w:cs="Arial"/>
          <w:color w:val="000000" w:themeColor="text1"/>
          <w:lang w:eastAsia="es-CO"/>
        </w:rPr>
      </w:pPr>
      <w:r w:rsidRPr="00BF7F0C">
        <w:rPr>
          <w:rFonts w:ascii="Verdana" w:eastAsia="Times New Roman" w:hAnsi="Verdana" w:cs="Arial"/>
          <w:color w:val="000000" w:themeColor="text1"/>
          <w:lang w:eastAsia="es-CO"/>
        </w:rPr>
        <w:t xml:space="preserve">Esta persona deberá emitir la “justificación”, entendida como la “Prueba convincente de algo”, de acuerdo con su área profesional. Sin limitarse a la cuantía del proceso, la justificación técnica se relaciona con “[…] el tipo </w:t>
      </w:r>
      <w:r w:rsidRPr="00BF7F0C">
        <w:rPr>
          <w:rFonts w:ascii="Verdana" w:eastAsia="Times New Roman" w:hAnsi="Verdana" w:cs="Arial"/>
          <w:color w:val="000000" w:themeColor="text1"/>
          <w:lang w:eastAsia="es-CO"/>
        </w:rPr>
        <w:lastRenderedPageBreak/>
        <w:t>de actividades que serán realizadas, la experticia técnica requerida, el alcance físico de las obras, entre otros […]”. Con fundamento en la opinión del experto, la entidad encargada del proceso de selección definirá si existe una justificación razonable para constituir la garantía de estabilidad y calidad de la obra por un término inferior a cinco (5) años.</w:t>
      </w:r>
    </w:p>
    <w:p w14:paraId="312C672A" w14:textId="77777777" w:rsidR="00C86D1D" w:rsidRPr="00BF7F0C" w:rsidRDefault="00C86D1D" w:rsidP="00C86D1D">
      <w:pPr>
        <w:pStyle w:val="Prrafodelista"/>
        <w:spacing w:after="120" w:line="276" w:lineRule="auto"/>
        <w:jc w:val="both"/>
        <w:rPr>
          <w:rFonts w:ascii="Verdana" w:eastAsia="Times New Roman" w:hAnsi="Verdana" w:cs="Arial"/>
          <w:color w:val="000000" w:themeColor="text1"/>
          <w:lang w:eastAsia="es-CO"/>
        </w:rPr>
      </w:pPr>
    </w:p>
    <w:p w14:paraId="0F7E8AB5" w14:textId="77777777" w:rsidR="00C86D1D" w:rsidRDefault="00C86D1D" w:rsidP="00C86D1D">
      <w:pPr>
        <w:pStyle w:val="Prrafodelista"/>
        <w:numPr>
          <w:ilvl w:val="0"/>
          <w:numId w:val="18"/>
        </w:numPr>
        <w:spacing w:after="120" w:line="276" w:lineRule="auto"/>
        <w:jc w:val="both"/>
        <w:rPr>
          <w:rFonts w:ascii="Verdana" w:eastAsia="Times New Roman" w:hAnsi="Verdana" w:cs="Arial"/>
          <w:color w:val="000000" w:themeColor="text1"/>
          <w:lang w:eastAsia="es-CO"/>
        </w:rPr>
      </w:pPr>
      <w:r w:rsidRPr="00BF7F0C">
        <w:rPr>
          <w:rFonts w:ascii="Verdana" w:eastAsia="Times New Roman" w:hAnsi="Verdana" w:cs="Arial"/>
          <w:color w:val="000000" w:themeColor="text1"/>
          <w:lang w:eastAsia="es-CO"/>
        </w:rPr>
        <w:t xml:space="preserve">Como dispone la norma en comento, este análisis “[…] se debe reflejar en los documentos del proceso […]”. Dicho concepto se encuentra definido en el artículo 2.2.1.1.1.3.1 del Decreto 1082 de 2015, modificado por el artículo 1° del Decreto 142 de 2023. Esta norma dispone que son documentos del proceso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049BEA12" w14:textId="77777777" w:rsidR="00C86D1D" w:rsidRPr="00BF7F0C" w:rsidRDefault="00C86D1D" w:rsidP="00C86D1D">
      <w:pPr>
        <w:pStyle w:val="Prrafodelista"/>
        <w:spacing w:after="120" w:line="276" w:lineRule="auto"/>
        <w:jc w:val="both"/>
        <w:rPr>
          <w:rFonts w:ascii="Verdana" w:eastAsia="Times New Roman" w:hAnsi="Verdana" w:cs="Arial"/>
          <w:color w:val="000000" w:themeColor="text1"/>
          <w:lang w:eastAsia="es-CO"/>
        </w:rPr>
      </w:pPr>
    </w:p>
    <w:p w14:paraId="6C6F5D5F" w14:textId="69317624" w:rsidR="00C86D1D" w:rsidRPr="00126601" w:rsidRDefault="00C86D1D" w:rsidP="00F845D7">
      <w:pPr>
        <w:pStyle w:val="Prrafodelista"/>
        <w:numPr>
          <w:ilvl w:val="0"/>
          <w:numId w:val="18"/>
        </w:numPr>
        <w:spacing w:before="120"/>
        <w:jc w:val="both"/>
        <w:rPr>
          <w:rFonts w:ascii="Verdana" w:eastAsia="Arial" w:hAnsi="Verdana" w:cs="Arial"/>
          <w:lang w:eastAsia="es-ES" w:bidi="es-ES"/>
        </w:rPr>
      </w:pPr>
      <w:r>
        <w:rPr>
          <w:rFonts w:ascii="Verdana" w:eastAsia="Times New Roman" w:hAnsi="Verdana" w:cs="Arial"/>
          <w:color w:val="000000" w:themeColor="text1"/>
          <w:lang w:eastAsia="es-CO"/>
        </w:rPr>
        <w:t xml:space="preserve">Ahora bien, el problema jurídico surge de </w:t>
      </w:r>
      <w:r>
        <w:rPr>
          <w:rFonts w:ascii="Verdana" w:eastAsia="Century Gothic" w:hAnsi="Verdana" w:cs="Century Gothic"/>
          <w:i/>
          <w:iCs/>
          <w:lang w:val="es-CO"/>
        </w:rPr>
        <w:t xml:space="preserve">la </w:t>
      </w:r>
      <w:r w:rsidRPr="00C46972">
        <w:rPr>
          <w:rFonts w:ascii="Verdana" w:eastAsia="Century Gothic" w:hAnsi="Verdana" w:cs="Century Gothic"/>
          <w:i/>
          <w:iCs/>
          <w:lang w:val="es-CO"/>
        </w:rPr>
        <w:t>“</w:t>
      </w:r>
      <w:r>
        <w:rPr>
          <w:rFonts w:ascii="Verdana" w:eastAsia="Century Gothic" w:hAnsi="Verdana" w:cs="Century Gothic"/>
          <w:i/>
          <w:iCs/>
          <w:lang w:val="es-CO"/>
        </w:rPr>
        <w:t xml:space="preserve">fecha de vigencia de </w:t>
      </w:r>
      <w:r w:rsidRPr="00BA66D5">
        <w:rPr>
          <w:rFonts w:ascii="Verdana" w:eastAsia="Century Gothic" w:hAnsi="Verdana" w:cs="Century Gothic"/>
          <w:i/>
          <w:iCs/>
          <w:lang w:val="es-CO"/>
        </w:rPr>
        <w:t>la garantía de estabilidad y calidad de la obra</w:t>
      </w:r>
      <w:r>
        <w:rPr>
          <w:rFonts w:ascii="Verdana" w:eastAsia="Century Gothic" w:hAnsi="Verdana" w:cs="Century Gothic"/>
          <w:i/>
          <w:iCs/>
          <w:lang w:val="es-CO"/>
        </w:rPr>
        <w:t xml:space="preserve"> de un contrato en particular” </w:t>
      </w:r>
      <w:r>
        <w:rPr>
          <w:rFonts w:ascii="Verdana" w:eastAsia="Times New Roman" w:hAnsi="Verdana" w:cs="Arial"/>
          <w:color w:val="000000" w:themeColor="text1"/>
          <w:lang w:eastAsia="es-CO"/>
        </w:rPr>
        <w:t xml:space="preserve">se reitera que, </w:t>
      </w:r>
      <w:r w:rsidR="00F845D7">
        <w:rPr>
          <w:rFonts w:ascii="Verdana" w:eastAsia="Times New Roman" w:hAnsi="Verdana" w:cs="Arial"/>
          <w:color w:val="000000" w:themeColor="text1"/>
          <w:lang w:eastAsia="es-CO"/>
        </w:rPr>
        <w:t xml:space="preserve"> la fijación de la fecha de recibido a satisfacción de la obra, le corresponde a la Entidad Estatal contratante, </w:t>
      </w:r>
      <w:r w:rsidRPr="001D28A4">
        <w:rPr>
          <w:rFonts w:ascii="Verdana" w:eastAsia="Calibri" w:hAnsi="Verdana" w:cs="Arial"/>
        </w:rPr>
        <w:t xml:space="preserve">en ejercicio de su competencia y previa valoración de los elementos fácticos y jurídicos determinar </w:t>
      </w:r>
      <w:r w:rsidRPr="001D28A4">
        <w:rPr>
          <w:rFonts w:ascii="Verdana" w:eastAsia="Century Gothic" w:hAnsi="Verdana" w:cs="Century Gothic"/>
        </w:rPr>
        <w:t>la fecha de vigencia de la póliza de estabilidad</w:t>
      </w:r>
      <w:r w:rsidR="00F845D7">
        <w:rPr>
          <w:rFonts w:ascii="Verdana" w:eastAsia="Century Gothic" w:hAnsi="Verdana" w:cs="Century Gothic"/>
        </w:rPr>
        <w:t xml:space="preserve"> de la obra.</w:t>
      </w:r>
    </w:p>
    <w:p w14:paraId="075E057E" w14:textId="77777777" w:rsidR="00C86D1D" w:rsidRPr="00126601" w:rsidRDefault="00C86D1D" w:rsidP="00C86D1D">
      <w:pPr>
        <w:pStyle w:val="Prrafodelista"/>
        <w:rPr>
          <w:rFonts w:ascii="Verdana" w:eastAsia="Arial" w:hAnsi="Verdana" w:cs="Arial"/>
          <w:lang w:eastAsia="es-ES" w:bidi="es-ES"/>
        </w:rPr>
      </w:pPr>
    </w:p>
    <w:p w14:paraId="3D056F8A" w14:textId="4DF94DEC" w:rsidR="00C86D1D" w:rsidRPr="00313A6F" w:rsidRDefault="00F845D7" w:rsidP="00C86D1D">
      <w:pPr>
        <w:pStyle w:val="Prrafodelista"/>
        <w:numPr>
          <w:ilvl w:val="0"/>
          <w:numId w:val="18"/>
        </w:numPr>
        <w:spacing w:before="120"/>
        <w:jc w:val="both"/>
        <w:rPr>
          <w:rFonts w:ascii="Verdana" w:eastAsia="Arial" w:hAnsi="Verdana" w:cs="Arial"/>
          <w:lang w:eastAsia="es-ES" w:bidi="es-ES"/>
        </w:rPr>
      </w:pPr>
      <w:r>
        <w:rPr>
          <w:rFonts w:ascii="Verdana" w:hAnsi="Verdana" w:cs="Arial"/>
        </w:rPr>
        <w:t>Por último</w:t>
      </w:r>
      <w:r w:rsidR="00C86D1D">
        <w:rPr>
          <w:rFonts w:ascii="Verdana" w:hAnsi="Verdana" w:cs="Arial"/>
        </w:rPr>
        <w:t>,</w:t>
      </w:r>
      <w:r>
        <w:rPr>
          <w:rFonts w:ascii="Verdana" w:hAnsi="Verdana" w:cs="Arial"/>
        </w:rPr>
        <w:t xml:space="preserve"> reiteramos que</w:t>
      </w:r>
      <w:r w:rsidR="00C86D1D" w:rsidRPr="00313A6F">
        <w:rPr>
          <w:rFonts w:ascii="Verdana" w:hAnsi="Verdana" w:cs="Arial"/>
        </w:rPr>
        <w:t xml:space="preserve"> </w:t>
      </w:r>
      <w:r w:rsidR="00C86D1D">
        <w:rPr>
          <w:rFonts w:ascii="Verdana" w:hAnsi="Verdana" w:cs="Arial"/>
        </w:rPr>
        <w:t>a</w:t>
      </w:r>
      <w:r w:rsidR="00C86D1D" w:rsidRPr="00313A6F">
        <w:rPr>
          <w:rFonts w:ascii="Verdana" w:hAnsi="Verdana" w:cs="Arial"/>
        </w:rPr>
        <w:t xml:space="preserve">l tratarse de un análisis que debe realizarse </w:t>
      </w:r>
      <w:r>
        <w:rPr>
          <w:rFonts w:ascii="Verdana" w:hAnsi="Verdana" w:cs="Arial"/>
        </w:rPr>
        <w:t xml:space="preserve">sobre </w:t>
      </w:r>
      <w:r w:rsidR="00C86D1D" w:rsidRPr="00313A6F">
        <w:rPr>
          <w:rFonts w:ascii="Verdana" w:hAnsi="Verdana" w:cs="Arial"/>
        </w:rPr>
        <w:t xml:space="preserve">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w:t>
      </w:r>
    </w:p>
    <w:p w14:paraId="1494E6E3" w14:textId="77777777" w:rsidR="00C86D1D" w:rsidRPr="00313A6F" w:rsidRDefault="00C86D1D" w:rsidP="00C86D1D">
      <w:pPr>
        <w:pStyle w:val="Prrafodelista"/>
        <w:rPr>
          <w:rFonts w:ascii="Verdana" w:eastAsia="Arial" w:hAnsi="Verdana" w:cs="Arial"/>
          <w:lang w:eastAsia="es-ES" w:bidi="es-ES"/>
        </w:rPr>
      </w:pPr>
    </w:p>
    <w:p w14:paraId="2F6A5F91" w14:textId="77777777" w:rsidR="00C86D1D" w:rsidRPr="00593A5F" w:rsidRDefault="00C86D1D" w:rsidP="00C86D1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1EE113FF" w14:textId="77777777" w:rsidR="00C86D1D" w:rsidRPr="00593A5F" w:rsidRDefault="00C86D1D" w:rsidP="00C86D1D">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86D1D" w:rsidRPr="00593A5F" w14:paraId="61AE4CE0" w14:textId="77777777" w:rsidTr="00BA1280">
        <w:trPr>
          <w:trHeight w:val="870"/>
        </w:trPr>
        <w:tc>
          <w:tcPr>
            <w:tcW w:w="8647" w:type="dxa"/>
          </w:tcPr>
          <w:p w14:paraId="3BC8DAB4" w14:textId="77777777" w:rsidR="00C86D1D" w:rsidRPr="00EA612E" w:rsidRDefault="00C86D1D" w:rsidP="00C86D1D">
            <w:pPr>
              <w:pStyle w:val="Prrafodelista"/>
              <w:widowControl w:val="0"/>
              <w:numPr>
                <w:ilvl w:val="0"/>
                <w:numId w:val="17"/>
              </w:numPr>
              <w:autoSpaceDE w:val="0"/>
              <w:autoSpaceDN w:val="0"/>
              <w:spacing w:after="120" w:line="276" w:lineRule="auto"/>
              <w:jc w:val="both"/>
              <w:rPr>
                <w:rFonts w:ascii="Verdana" w:hAnsi="Verdana" w:cs="Arial"/>
              </w:rPr>
            </w:pPr>
            <w:r w:rsidRPr="00EA612E">
              <w:rPr>
                <w:rFonts w:ascii="Verdana" w:hAnsi="Verdana" w:cs="Arial"/>
              </w:rPr>
              <w:t xml:space="preserve">Ley 1150 de 2007, artículo 7. </w:t>
            </w:r>
          </w:p>
          <w:p w14:paraId="237B06A8" w14:textId="77777777" w:rsidR="00C86D1D" w:rsidRPr="00EA612E" w:rsidRDefault="00C86D1D" w:rsidP="00BA1280">
            <w:pPr>
              <w:pStyle w:val="Prrafodelista"/>
              <w:widowControl w:val="0"/>
              <w:autoSpaceDE w:val="0"/>
              <w:autoSpaceDN w:val="0"/>
              <w:spacing w:after="120" w:line="276" w:lineRule="auto"/>
              <w:jc w:val="both"/>
              <w:rPr>
                <w:rFonts w:ascii="Verdana" w:hAnsi="Verdana" w:cs="Arial"/>
                <w:sz w:val="12"/>
                <w:szCs w:val="12"/>
              </w:rPr>
            </w:pPr>
          </w:p>
          <w:p w14:paraId="41BB17A6" w14:textId="77777777" w:rsidR="00C86D1D" w:rsidRPr="00EA612E" w:rsidRDefault="00C86D1D" w:rsidP="00C86D1D">
            <w:pPr>
              <w:pStyle w:val="Prrafodelista"/>
              <w:widowControl w:val="0"/>
              <w:numPr>
                <w:ilvl w:val="0"/>
                <w:numId w:val="17"/>
              </w:numPr>
              <w:autoSpaceDE w:val="0"/>
              <w:autoSpaceDN w:val="0"/>
              <w:spacing w:after="120" w:line="276" w:lineRule="auto"/>
              <w:contextualSpacing w:val="0"/>
              <w:jc w:val="both"/>
              <w:rPr>
                <w:rFonts w:ascii="Verdana" w:hAnsi="Verdana" w:cs="Arial"/>
              </w:rPr>
            </w:pPr>
            <w:r>
              <w:rPr>
                <w:rFonts w:ascii="Verdana" w:hAnsi="Verdana" w:cs="Arial"/>
              </w:rPr>
              <w:t>Código Civil, artículo 28.</w:t>
            </w:r>
          </w:p>
          <w:p w14:paraId="4187131F" w14:textId="77777777" w:rsidR="00C86D1D" w:rsidRPr="00EA612E" w:rsidRDefault="00C86D1D" w:rsidP="00C86D1D">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EA612E">
              <w:rPr>
                <w:rFonts w:ascii="Verdana" w:hAnsi="Verdana" w:cs="Arial"/>
              </w:rPr>
              <w:t>Código de Comercio, artículos 1068 y 1071.</w:t>
            </w:r>
          </w:p>
          <w:p w14:paraId="75F5619A" w14:textId="77777777" w:rsidR="00C86D1D" w:rsidRPr="000D446F" w:rsidRDefault="00C86D1D" w:rsidP="00C86D1D">
            <w:pPr>
              <w:pStyle w:val="Prrafodelista"/>
              <w:widowControl w:val="0"/>
              <w:numPr>
                <w:ilvl w:val="0"/>
                <w:numId w:val="17"/>
              </w:numPr>
              <w:autoSpaceDE w:val="0"/>
              <w:autoSpaceDN w:val="0"/>
              <w:spacing w:after="120" w:line="276" w:lineRule="auto"/>
              <w:jc w:val="both"/>
              <w:rPr>
                <w:rFonts w:ascii="Verdana" w:hAnsi="Verdana" w:cs="Arial"/>
              </w:rPr>
            </w:pPr>
            <w:r>
              <w:rPr>
                <w:rFonts w:ascii="Verdana" w:hAnsi="Verdana" w:cs="Arial"/>
              </w:rPr>
              <w:t>Decreto 1082 de 2015</w:t>
            </w:r>
            <w:r w:rsidRPr="00EA612E">
              <w:rPr>
                <w:rFonts w:ascii="Verdana" w:hAnsi="Verdana" w:cs="Arial"/>
              </w:rPr>
              <w:t xml:space="preserve">, artículos 2.2.1.2.3.1.1 a 2.2.1.2.3.1.19.  </w:t>
            </w:r>
          </w:p>
        </w:tc>
      </w:tr>
    </w:tbl>
    <w:p w14:paraId="76C817FF" w14:textId="77777777" w:rsidR="00C86D1D" w:rsidRPr="00593A5F" w:rsidRDefault="00C86D1D" w:rsidP="00C86D1D">
      <w:pPr>
        <w:widowControl w:val="0"/>
        <w:autoSpaceDE w:val="0"/>
        <w:autoSpaceDN w:val="0"/>
        <w:spacing w:after="0" w:line="276" w:lineRule="auto"/>
        <w:jc w:val="both"/>
        <w:rPr>
          <w:rFonts w:ascii="Verdana" w:hAnsi="Verdana" w:cs="Arial"/>
        </w:rPr>
      </w:pPr>
    </w:p>
    <w:p w14:paraId="754D7DAE" w14:textId="77777777" w:rsidR="00C86D1D" w:rsidRPr="00593A5F" w:rsidRDefault="00C86D1D" w:rsidP="00C86D1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lastRenderedPageBreak/>
        <w:t>Doctrina de la Agencia Nacional de Contratación Pública</w:t>
      </w:r>
      <w:r w:rsidRPr="00593A5F">
        <w:rPr>
          <w:rFonts w:ascii="Verdana" w:eastAsia="Century Gothic" w:hAnsi="Verdana" w:cs="Century Gothic"/>
          <w:b/>
          <w:bCs/>
        </w:rPr>
        <w:t>:</w:t>
      </w:r>
    </w:p>
    <w:p w14:paraId="38DB79B7" w14:textId="77777777" w:rsidR="00C86D1D" w:rsidRDefault="00C86D1D" w:rsidP="00C86D1D">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56D944E9" w14:textId="77777777" w:rsidR="00C86D1D" w:rsidRDefault="00C86D1D" w:rsidP="00C86D1D">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DD781E">
        <w:rPr>
          <w:rStyle w:val="normaltextrun"/>
          <w:rFonts w:ascii="Verdana" w:hAnsi="Verdana" w:cs="Arial"/>
          <w:shd w:val="clear" w:color="auto" w:fill="FFFFFF"/>
          <w:lang w:val="es-ES"/>
        </w:rPr>
        <w:t>Esta Subdirección se ha pronunciado sobre el régimen de garantías en los Conceptos</w:t>
      </w:r>
      <w:r w:rsidRPr="00DD781E">
        <w:rPr>
          <w:rStyle w:val="normaltextrun"/>
          <w:rFonts w:ascii="Verdana" w:hAnsi="Verdana" w:cs="Calibri"/>
          <w:shd w:val="clear" w:color="auto" w:fill="FFFFFF"/>
        </w:rPr>
        <w:t xml:space="preserve"> </w:t>
      </w:r>
      <w:r w:rsidRPr="00EE1B01">
        <w:rPr>
          <w:rStyle w:val="normaltextrun"/>
          <w:rFonts w:ascii="Verdana" w:hAnsi="Verdana" w:cs="Arial"/>
          <w:shd w:val="clear" w:color="auto" w:fill="FFFFFF"/>
          <w:lang w:val="es-ES"/>
        </w:rPr>
        <w:t>2201913000009075 del 9 de diciembre de 2019, C-080 del 8 de abril de 2021, C-525 del 27 de septiembre de 2021, C- 567 del 08 de octubre del 2021, C-036 del 28 de febrero del 2022, C-126 de 25 de marzo de 2022, C-583 del 19 de octubre de 2022, C-584 del 26 de septiembre de 2022, C-712 del 13 de octubre de 2022 y C-845 del 7 de diciembre de 2022, C-036 del 31 de marzo de 2023</w:t>
      </w:r>
      <w:r w:rsidRPr="00DD781E">
        <w:rPr>
          <w:rStyle w:val="normaltextrun"/>
          <w:rFonts w:ascii="Verdana" w:hAnsi="Verdana" w:cs="Arial"/>
          <w:shd w:val="clear" w:color="auto" w:fill="FFFFFF"/>
          <w:lang w:val="es-ES"/>
        </w:rPr>
        <w:t xml:space="preserve"> y C-</w:t>
      </w:r>
      <w:r>
        <w:rPr>
          <w:rStyle w:val="normaltextrun"/>
          <w:rFonts w:ascii="Verdana" w:hAnsi="Verdana" w:cs="Arial"/>
          <w:shd w:val="clear" w:color="auto" w:fill="FFFFFF"/>
          <w:lang w:val="es-ES"/>
        </w:rPr>
        <w:t>386</w:t>
      </w:r>
      <w:r w:rsidRPr="00DD781E">
        <w:rPr>
          <w:rStyle w:val="normaltextrun"/>
          <w:rFonts w:ascii="Verdana" w:hAnsi="Verdana" w:cs="Arial"/>
          <w:shd w:val="clear" w:color="auto" w:fill="FFFFFF"/>
          <w:lang w:val="es-ES"/>
        </w:rPr>
        <w:t xml:space="preserve"> del </w:t>
      </w:r>
      <w:r>
        <w:rPr>
          <w:rStyle w:val="normaltextrun"/>
          <w:rFonts w:ascii="Verdana" w:hAnsi="Verdana" w:cs="Arial"/>
          <w:shd w:val="clear" w:color="auto" w:fill="FFFFFF"/>
          <w:lang w:val="es-ES"/>
        </w:rPr>
        <w:t>31</w:t>
      </w:r>
      <w:r w:rsidRPr="00DD781E">
        <w:rPr>
          <w:rStyle w:val="normaltextrun"/>
          <w:rFonts w:ascii="Verdana" w:hAnsi="Verdana" w:cs="Arial"/>
          <w:shd w:val="clear" w:color="auto" w:fill="FFFFFF"/>
          <w:lang w:val="es-ES"/>
        </w:rPr>
        <w:t xml:space="preserve"> de </w:t>
      </w:r>
      <w:r>
        <w:rPr>
          <w:rStyle w:val="normaltextrun"/>
          <w:rFonts w:ascii="Verdana" w:hAnsi="Verdana" w:cs="Arial"/>
          <w:shd w:val="clear" w:color="auto" w:fill="FFFFFF"/>
          <w:lang w:val="es-ES"/>
        </w:rPr>
        <w:t>enero</w:t>
      </w:r>
      <w:r w:rsidRPr="00DD781E">
        <w:rPr>
          <w:rStyle w:val="normaltextrun"/>
          <w:rFonts w:ascii="Verdana" w:hAnsi="Verdana" w:cs="Arial"/>
          <w:shd w:val="clear" w:color="auto" w:fill="FFFFFF"/>
          <w:lang w:val="es-ES"/>
        </w:rPr>
        <w:t xml:space="preserve"> de 202</w:t>
      </w:r>
      <w:r>
        <w:rPr>
          <w:rStyle w:val="normaltextrun"/>
          <w:rFonts w:ascii="Verdana" w:hAnsi="Verdana" w:cs="Arial"/>
          <w:shd w:val="clear" w:color="auto" w:fill="FFFFFF"/>
          <w:lang w:val="es-ES"/>
        </w:rPr>
        <w:t>4</w:t>
      </w:r>
      <w:r w:rsidRPr="00EA761C">
        <w:rPr>
          <w:rStyle w:val="normaltextrun"/>
          <w:rFonts w:ascii="Verdana" w:hAnsi="Verdana" w:cs="Arial"/>
          <w:shd w:val="clear" w:color="auto" w:fill="FFFFFF"/>
          <w:lang w:val="es-ES"/>
        </w:rPr>
        <w:t>. Es</w:t>
      </w:r>
      <w:r w:rsidRPr="00EA761C">
        <w:rPr>
          <w:rFonts w:ascii="Verdana" w:hAnsi="Verdana"/>
        </w:rPr>
        <w:t>tos</w:t>
      </w:r>
      <w:r>
        <w:rPr>
          <w:rFonts w:ascii="Verdana" w:hAnsi="Verdana"/>
        </w:rPr>
        <w:t xml:space="preserve"> y otros</w:t>
      </w:r>
      <w:r w:rsidRPr="00A1554D">
        <w:rPr>
          <w:rFonts w:ascii="Verdana" w:hAnsi="Verdana"/>
        </w:rPr>
        <w:t xml:space="preserve"> se encuentran disponibles para consulta en el Sistema de </w:t>
      </w:r>
      <w:r>
        <w:rPr>
          <w:rFonts w:ascii="Verdana" w:hAnsi="Verdana"/>
        </w:rPr>
        <w:t>r</w:t>
      </w:r>
      <w:r w:rsidRPr="00A1554D">
        <w:rPr>
          <w:rFonts w:ascii="Verdana" w:hAnsi="Verdana"/>
        </w:rPr>
        <w:t>elatoría de la Agencia, al cual puede acceder</w:t>
      </w:r>
      <w:r>
        <w:rPr>
          <w:rFonts w:ascii="Verdana" w:hAnsi="Verdana"/>
        </w:rPr>
        <w:t>se</w:t>
      </w:r>
      <w:r w:rsidRPr="00A1554D">
        <w:rPr>
          <w:rFonts w:ascii="Verdana" w:hAnsi="Verdana"/>
        </w:rPr>
        <w:t xml:space="preserve"> a través del siguiente enlace:</w:t>
      </w:r>
      <w:r w:rsidRPr="00A1554D">
        <w:rPr>
          <w:rStyle w:val="normaltextrun"/>
          <w:rFonts w:ascii="Verdana" w:hAnsi="Verdana" w:cs="Arial"/>
          <w:shd w:val="clear" w:color="auto" w:fill="FFFFFF"/>
          <w:lang w:val="es-ES"/>
        </w:rPr>
        <w:t xml:space="preserve"> </w:t>
      </w:r>
      <w:hyperlink r:id="rId11" w:history="1">
        <w:r w:rsidRPr="00A1554D">
          <w:rPr>
            <w:rStyle w:val="Hipervnculo"/>
            <w:rFonts w:ascii="Verdana" w:hAnsi="Verdana" w:cs="Arial"/>
            <w:shd w:val="clear" w:color="auto" w:fill="FFFFFF"/>
            <w:lang w:val="es-ES"/>
          </w:rPr>
          <w:t>https://relatoria.colombiacompra.gov.co/busqueda/conceptos</w:t>
        </w:r>
      </w:hyperlink>
      <w:r w:rsidRPr="00CD3D06">
        <w:rPr>
          <w:rStyle w:val="normaltextrun"/>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p>
    <w:p w14:paraId="683579E8" w14:textId="77777777" w:rsidR="00C86D1D" w:rsidRDefault="00C86D1D" w:rsidP="00C86D1D">
      <w:pPr>
        <w:widowControl w:val="0"/>
        <w:autoSpaceDE w:val="0"/>
        <w:autoSpaceDN w:val="0"/>
        <w:spacing w:after="0" w:line="276" w:lineRule="auto"/>
        <w:jc w:val="both"/>
        <w:rPr>
          <w:rFonts w:ascii="Verdana" w:hAnsi="Verdana" w:cs="Arial"/>
          <w:color w:val="000000" w:themeColor="text1"/>
          <w:shd w:val="clear" w:color="auto" w:fill="FFFFFF"/>
          <w:lang w:val="es-ES_tradnl"/>
        </w:rPr>
      </w:pPr>
    </w:p>
    <w:p w14:paraId="66929C42" w14:textId="77777777" w:rsidR="00C86D1D" w:rsidRDefault="00C86D1D" w:rsidP="00C86D1D">
      <w:pPr>
        <w:widowControl w:val="0"/>
        <w:autoSpaceDE w:val="0"/>
        <w:autoSpaceDN w:val="0"/>
        <w:spacing w:after="0" w:line="276" w:lineRule="auto"/>
        <w:jc w:val="both"/>
        <w:rPr>
          <w:rFonts w:ascii="Verdana" w:hAnsi="Verdana" w:cs="Arial"/>
          <w:color w:val="000000" w:themeColor="text1"/>
          <w:shd w:val="clear" w:color="auto" w:fill="FFFFFF"/>
          <w:lang w:val="es-ES_tradnl"/>
        </w:rPr>
      </w:pPr>
      <w:r w:rsidRPr="00A8619D">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2" w:tgtFrame="_blank" w:tooltip="Dirección URL original: https://relatoria.colombiacompra.gov.co/. Haga clic o pulse si confía en este vínculo." w:history="1">
        <w:r w:rsidRPr="00A8619D">
          <w:rPr>
            <w:rStyle w:val="Hipervnculo"/>
            <w:rFonts w:ascii="Verdana" w:hAnsi="Verdana" w:cs="Arial"/>
            <w:shd w:val="clear" w:color="auto" w:fill="FFFFFF"/>
          </w:rPr>
          <w:t>https://relatoria.colombiacompra.gov.co/</w:t>
        </w:r>
      </w:hyperlink>
      <w:r w:rsidRPr="00A8619D">
        <w:rPr>
          <w:rFonts w:ascii="Verdana" w:hAnsi="Verdana" w:cs="Arial"/>
          <w:color w:val="000000" w:themeColor="text1"/>
          <w:shd w:val="clear" w:color="auto" w:fill="FFFFFF"/>
        </w:rPr>
        <w:t> . Te invitamos también a revisar la tercera edición del  Boletín de Relatoría de 2024 en el cual podrás consultar en detalle el marco normativo de documentos tipo: </w:t>
      </w:r>
      <w:hyperlink r:id="rId13" w:tgtFrame="_blank" w:tooltip="Dirección URL original: https://www.colombiacompra.gov.co/sites/cce_public/files/files_2020/boletin_de_realtoria_iii.pdf. Haga clic o pulse si confía en este vínculo." w:history="1">
        <w:r w:rsidRPr="00A8619D">
          <w:rPr>
            <w:rStyle w:val="Hipervnculo"/>
            <w:rFonts w:ascii="Verdana" w:hAnsi="Verdana" w:cs="Arial"/>
            <w:shd w:val="clear" w:color="auto" w:fill="FFFFFF"/>
          </w:rPr>
          <w:t>https://www.colombiacompra.gov.co/sites/cce_public/files/files_2020/boletin_de_realtoria_iii.pdf</w:t>
        </w:r>
      </w:hyperlink>
      <w:r w:rsidRPr="00A8619D">
        <w:rPr>
          <w:rFonts w:ascii="Verdana" w:hAnsi="Verdana" w:cs="Arial"/>
          <w:color w:val="000000" w:themeColor="text1"/>
          <w:shd w:val="clear" w:color="auto" w:fill="FFFFFF"/>
        </w:rPr>
        <w:t> ".</w:t>
      </w:r>
    </w:p>
    <w:p w14:paraId="21818E28" w14:textId="77777777" w:rsidR="00C86D1D" w:rsidRDefault="00C86D1D" w:rsidP="00C86D1D">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023769E1" w14:textId="77777777" w:rsidR="00C86D1D" w:rsidRDefault="00C86D1D" w:rsidP="00C86D1D">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4" w:history="1">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22E58BF2" w14:textId="77777777" w:rsidR="00C86D1D" w:rsidRDefault="00C86D1D" w:rsidP="00C86D1D">
      <w:pPr>
        <w:spacing w:after="0" w:line="240" w:lineRule="auto"/>
        <w:jc w:val="both"/>
        <w:rPr>
          <w:rFonts w:ascii="Verdana" w:hAnsi="Verdana"/>
        </w:rPr>
      </w:pPr>
    </w:p>
    <w:p w14:paraId="5B368706" w14:textId="77777777" w:rsidR="00C86D1D" w:rsidRPr="003E2460" w:rsidRDefault="00C86D1D" w:rsidP="00C86D1D">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55E6E64B" w14:textId="77777777" w:rsidR="00C86D1D" w:rsidRPr="003E2460" w:rsidRDefault="00C86D1D" w:rsidP="00C86D1D">
      <w:pPr>
        <w:spacing w:after="0" w:line="240" w:lineRule="auto"/>
        <w:jc w:val="both"/>
        <w:rPr>
          <w:rFonts w:ascii="Verdana" w:hAnsi="Verdana"/>
        </w:rPr>
      </w:pPr>
    </w:p>
    <w:p w14:paraId="161DA16B" w14:textId="77777777" w:rsidR="00C86D1D" w:rsidRPr="003E2460" w:rsidRDefault="00C86D1D" w:rsidP="00C86D1D">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9C63501" w14:textId="77777777" w:rsidR="00C86D1D" w:rsidRPr="003E2460" w:rsidRDefault="00C86D1D" w:rsidP="00C86D1D">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13EC2482" w14:textId="77777777" w:rsidR="00C86D1D" w:rsidRPr="003E2460" w:rsidRDefault="00C86D1D" w:rsidP="00C86D1D">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65414B18" w14:textId="77777777" w:rsidR="00C86D1D" w:rsidRPr="00593A5F" w:rsidRDefault="00C86D1D" w:rsidP="00C86D1D">
      <w:pPr>
        <w:widowControl w:val="0"/>
        <w:autoSpaceDE w:val="0"/>
        <w:autoSpaceDN w:val="0"/>
        <w:spacing w:after="0" w:line="276" w:lineRule="auto"/>
        <w:jc w:val="both"/>
        <w:rPr>
          <w:rFonts w:ascii="Verdana" w:hAnsi="Verdana" w:cs="Arial"/>
        </w:rPr>
      </w:pPr>
    </w:p>
    <w:p w14:paraId="14EAB695" w14:textId="77777777" w:rsidR="00C86D1D" w:rsidRPr="00593A5F" w:rsidRDefault="00C86D1D" w:rsidP="00C86D1D">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 xml:space="preserve">y las expresiones aquí utilizadas con mayúscula inicial deben ser entendidas con el </w:t>
      </w:r>
      <w:r w:rsidRPr="00593A5F">
        <w:rPr>
          <w:rFonts w:ascii="Verdana" w:hAnsi="Verdana" w:cs="Arial"/>
          <w:lang w:val="es-ES_tradnl"/>
        </w:rPr>
        <w:lastRenderedPageBreak/>
        <w:t>significado que les otorga el artículo 2.2.1.1.1.3.1. del Decreto 1082 de 2015.</w:t>
      </w:r>
    </w:p>
    <w:p w14:paraId="0B6B23F6" w14:textId="77777777" w:rsidR="00C86D1D" w:rsidRPr="00593A5F" w:rsidRDefault="00C86D1D" w:rsidP="00C86D1D">
      <w:pPr>
        <w:widowControl w:val="0"/>
        <w:autoSpaceDE w:val="0"/>
        <w:autoSpaceDN w:val="0"/>
        <w:spacing w:after="0" w:line="276" w:lineRule="auto"/>
        <w:jc w:val="both"/>
        <w:rPr>
          <w:rFonts w:ascii="Verdana" w:hAnsi="Verdana" w:cs="Arial"/>
        </w:rPr>
      </w:pPr>
    </w:p>
    <w:p w14:paraId="284F3FD4" w14:textId="77777777" w:rsidR="00C86D1D" w:rsidRPr="00593A5F" w:rsidRDefault="00C86D1D" w:rsidP="00C86D1D">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035068FC" w14:textId="1D618B42" w:rsidR="00C86D1D" w:rsidRDefault="00C86D1D" w:rsidP="00C86D1D">
      <w:pPr>
        <w:spacing w:line="276" w:lineRule="auto"/>
        <w:jc w:val="center"/>
        <w:rPr>
          <w:rFonts w:ascii="Verdana" w:hAnsi="Verdana"/>
          <w:noProof/>
        </w:rPr>
      </w:pPr>
    </w:p>
    <w:p w14:paraId="190BB9A2" w14:textId="77777777" w:rsidR="00D34CDE" w:rsidRDefault="00D34CDE" w:rsidP="00C86D1D">
      <w:pPr>
        <w:spacing w:line="276" w:lineRule="auto"/>
        <w:jc w:val="center"/>
        <w:rPr>
          <w:rFonts w:ascii="Verdana" w:hAnsi="Verdana" w:cs="Arial"/>
          <w:noProof/>
          <w:color w:val="000000"/>
          <w:lang w:val="es-ES_tradnl" w:eastAsia="es-CO"/>
        </w:rPr>
      </w:pPr>
    </w:p>
    <w:p w14:paraId="3235413E" w14:textId="0B7BF28B" w:rsidR="00D34CDE" w:rsidRPr="00D34CDE" w:rsidRDefault="00D34CDE" w:rsidP="00D34CDE">
      <w:pPr>
        <w:spacing w:line="276" w:lineRule="auto"/>
        <w:jc w:val="center"/>
        <w:rPr>
          <w:rFonts w:ascii="Verdana" w:hAnsi="Verdana" w:cs="Arial"/>
          <w:noProof/>
          <w:color w:val="000000"/>
          <w:lang w:eastAsia="es-CO"/>
        </w:rPr>
      </w:pPr>
      <w:r w:rsidRPr="00D34CDE">
        <w:rPr>
          <w:rFonts w:ascii="Verdana" w:hAnsi="Verdana" w:cs="Arial"/>
          <w:noProof/>
          <w:color w:val="000000"/>
          <w:lang w:eastAsia="es-CO"/>
        </w:rPr>
        <w:drawing>
          <wp:inline distT="0" distB="0" distL="0" distR="0" wp14:anchorId="6ADCC317" wp14:editId="0AF05381">
            <wp:extent cx="3371850" cy="1447477"/>
            <wp:effectExtent l="0" t="0" r="0" b="635"/>
            <wp:docPr id="14961827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0564" cy="1451218"/>
                    </a:xfrm>
                    <a:prstGeom prst="rect">
                      <a:avLst/>
                    </a:prstGeom>
                    <a:noFill/>
                    <a:ln>
                      <a:noFill/>
                    </a:ln>
                  </pic:spPr>
                </pic:pic>
              </a:graphicData>
            </a:graphic>
          </wp:inline>
        </w:drawing>
      </w:r>
    </w:p>
    <w:p w14:paraId="24AE405A" w14:textId="77777777" w:rsidR="00D34CDE" w:rsidRDefault="00D34CDE" w:rsidP="00C86D1D">
      <w:pPr>
        <w:spacing w:line="276" w:lineRule="auto"/>
        <w:jc w:val="center"/>
        <w:rPr>
          <w:rFonts w:ascii="Verdana" w:hAnsi="Verdana" w:cs="Arial"/>
          <w:noProof/>
          <w:color w:val="000000"/>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86D1D" w:rsidRPr="00593A5F" w14:paraId="55089948" w14:textId="77777777" w:rsidTr="00BA1280">
        <w:trPr>
          <w:trHeight w:val="315"/>
        </w:trPr>
        <w:tc>
          <w:tcPr>
            <w:tcW w:w="893" w:type="dxa"/>
            <w:vAlign w:val="center"/>
            <w:hideMark/>
          </w:tcPr>
          <w:p w14:paraId="3ED82B2B" w14:textId="77777777" w:rsidR="00C86D1D" w:rsidRPr="003751C7" w:rsidRDefault="00C86D1D" w:rsidP="00BA1280">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5FCDD21" w14:textId="77777777" w:rsidR="00C86D1D" w:rsidRPr="00BE4B85" w:rsidRDefault="00C86D1D" w:rsidP="00BA1280">
            <w:pPr>
              <w:contextualSpacing/>
              <w:rPr>
                <w:rFonts w:ascii="Verdana" w:eastAsia="Arial" w:hAnsi="Verdana" w:cs="Arial"/>
                <w:color w:val="7030A0"/>
                <w:sz w:val="16"/>
                <w:szCs w:val="16"/>
              </w:rPr>
            </w:pPr>
            <w:r w:rsidRPr="00BE4B85">
              <w:rPr>
                <w:rStyle w:val="normaltextrun"/>
                <w:rFonts w:ascii="Verdana" w:hAnsi="Verdana"/>
                <w:sz w:val="16"/>
                <w:szCs w:val="16"/>
              </w:rPr>
              <w:t>Christian Camilo Orjuela Galeano</w:t>
            </w:r>
          </w:p>
          <w:p w14:paraId="50BBF090" w14:textId="77777777" w:rsidR="00C86D1D" w:rsidRPr="00BE4B85" w:rsidRDefault="00C86D1D" w:rsidP="00BA1280">
            <w:pPr>
              <w:contextualSpacing/>
              <w:rPr>
                <w:rFonts w:ascii="Verdana" w:eastAsia="Arial" w:hAnsi="Verdana" w:cs="Arial"/>
                <w:sz w:val="16"/>
                <w:szCs w:val="16"/>
              </w:rPr>
            </w:pPr>
            <w:r w:rsidRPr="00BE4B85">
              <w:rPr>
                <w:rStyle w:val="normaltextrun"/>
                <w:rFonts w:ascii="Verdana" w:eastAsia="Arial" w:hAnsi="Verdana" w:cs="Arial"/>
                <w:sz w:val="16"/>
                <w:szCs w:val="16"/>
              </w:rPr>
              <w:t>Contratista de la Subdirección de Gestión Contractual</w:t>
            </w:r>
          </w:p>
        </w:tc>
      </w:tr>
      <w:tr w:rsidR="00C86D1D" w:rsidRPr="00593A5F" w14:paraId="55886E8D" w14:textId="77777777" w:rsidTr="00BA1280">
        <w:trPr>
          <w:trHeight w:val="330"/>
        </w:trPr>
        <w:tc>
          <w:tcPr>
            <w:tcW w:w="893" w:type="dxa"/>
            <w:vAlign w:val="center"/>
            <w:hideMark/>
          </w:tcPr>
          <w:p w14:paraId="45ED383F" w14:textId="77777777" w:rsidR="00C86D1D" w:rsidRPr="003751C7" w:rsidRDefault="00C86D1D" w:rsidP="00BA1280">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893A19A" w14:textId="77777777" w:rsidR="00C86D1D" w:rsidRPr="0031103E" w:rsidRDefault="00C86D1D" w:rsidP="00BA1280">
            <w:pPr>
              <w:pStyle w:val="paragraph"/>
              <w:spacing w:before="0" w:beforeAutospacing="0" w:after="0" w:afterAutospacing="0"/>
              <w:contextualSpacing/>
              <w:textAlignment w:val="baseline"/>
              <w:rPr>
                <w:rStyle w:val="normaltextrun"/>
                <w:rFonts w:ascii="Verdana" w:hAnsi="Verdana" w:cstheme="minorHAnsi"/>
                <w:sz w:val="16"/>
                <w:szCs w:val="16"/>
              </w:rPr>
            </w:pPr>
            <w:r>
              <w:rPr>
                <w:rStyle w:val="normaltextrun"/>
                <w:rFonts w:ascii="Verdana" w:hAnsi="Verdana" w:cstheme="minorHAnsi"/>
                <w:sz w:val="16"/>
                <w:szCs w:val="16"/>
              </w:rPr>
              <w:t>Cielo Victoria González</w:t>
            </w:r>
          </w:p>
          <w:p w14:paraId="12AB6D2F" w14:textId="77777777" w:rsidR="00C86D1D" w:rsidRPr="00BE4B85" w:rsidRDefault="00C86D1D" w:rsidP="00BA1280">
            <w:pPr>
              <w:pStyle w:val="paragraph"/>
              <w:spacing w:before="0" w:beforeAutospacing="0" w:after="0" w:afterAutospacing="0"/>
              <w:contextualSpacing/>
              <w:textAlignment w:val="baseline"/>
              <w:rPr>
                <w:rFonts w:ascii="Verdana" w:hAnsi="Verdana" w:cs="Segoe UI"/>
                <w:sz w:val="16"/>
                <w:szCs w:val="16"/>
              </w:rPr>
            </w:pPr>
            <w:r w:rsidRPr="00BE4B85">
              <w:rPr>
                <w:rStyle w:val="normaltextrun"/>
                <w:rFonts w:ascii="Verdana" w:eastAsia="Arial" w:hAnsi="Verdana" w:cs="Arial"/>
                <w:sz w:val="16"/>
                <w:szCs w:val="16"/>
              </w:rPr>
              <w:t>Contratista de la Subdirección de Gestión Contractual</w:t>
            </w:r>
          </w:p>
        </w:tc>
      </w:tr>
      <w:tr w:rsidR="00C86D1D" w:rsidRPr="00593A5F" w14:paraId="32DFCA2B" w14:textId="77777777" w:rsidTr="00BA1280">
        <w:trPr>
          <w:trHeight w:val="300"/>
        </w:trPr>
        <w:tc>
          <w:tcPr>
            <w:tcW w:w="893" w:type="dxa"/>
            <w:vAlign w:val="center"/>
          </w:tcPr>
          <w:p w14:paraId="6E060630" w14:textId="77777777" w:rsidR="00C86D1D" w:rsidRPr="003751C7" w:rsidRDefault="00C86D1D" w:rsidP="00BA1280">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8286003" w14:textId="77777777" w:rsidR="00C86D1D" w:rsidRPr="00BE4B85" w:rsidRDefault="00C86D1D" w:rsidP="00BA1280">
            <w:pPr>
              <w:contextualSpacing/>
              <w:rPr>
                <w:rFonts w:ascii="Verdana" w:eastAsia="Calibri" w:hAnsi="Verdana" w:cs="Arial"/>
                <w:sz w:val="16"/>
                <w:szCs w:val="16"/>
                <w:lang w:val="pt-BR" w:eastAsia="es-ES"/>
              </w:rPr>
            </w:pPr>
            <w:r w:rsidRPr="00BE4B85">
              <w:rPr>
                <w:rFonts w:ascii="Verdana" w:eastAsia="Calibri" w:hAnsi="Verdana" w:cs="Arial"/>
                <w:sz w:val="16"/>
                <w:szCs w:val="16"/>
                <w:lang w:val="pt-BR" w:eastAsia="es-ES"/>
              </w:rPr>
              <w:t>Carolina Quintero Gacharná</w:t>
            </w:r>
          </w:p>
          <w:p w14:paraId="3FF8479B" w14:textId="77777777" w:rsidR="00C86D1D" w:rsidRPr="00BE4B85" w:rsidRDefault="00C86D1D" w:rsidP="00BA1280">
            <w:pPr>
              <w:contextualSpacing/>
              <w:rPr>
                <w:rFonts w:ascii="Verdana" w:eastAsia="Calibri" w:hAnsi="Verdana" w:cs="Arial"/>
                <w:sz w:val="16"/>
                <w:szCs w:val="16"/>
                <w:lang w:val="pt-BR" w:eastAsia="es-ES"/>
              </w:rPr>
            </w:pPr>
            <w:r w:rsidRPr="00BE4B85">
              <w:rPr>
                <w:rFonts w:ascii="Verdana" w:eastAsia="Calibri" w:hAnsi="Verdana" w:cs="Arial"/>
                <w:sz w:val="16"/>
                <w:szCs w:val="16"/>
                <w:lang w:eastAsia="es-ES"/>
              </w:rPr>
              <w:t>Subdirectora</w:t>
            </w:r>
            <w:r w:rsidRPr="00BE4B85">
              <w:rPr>
                <w:rFonts w:ascii="Verdana" w:eastAsia="Calibri" w:hAnsi="Verdana" w:cs="Arial"/>
                <w:sz w:val="16"/>
                <w:szCs w:val="16"/>
                <w:lang w:val="pt-BR" w:eastAsia="es-ES"/>
              </w:rPr>
              <w:t xml:space="preserve"> de Gestión Contractual ANCP – CCE</w:t>
            </w:r>
          </w:p>
        </w:tc>
      </w:tr>
    </w:tbl>
    <w:p w14:paraId="4E5BAAB0" w14:textId="77777777" w:rsidR="00C86D1D" w:rsidRPr="00593A5F" w:rsidRDefault="00C86D1D" w:rsidP="00C86D1D">
      <w:pPr>
        <w:spacing w:after="0" w:line="240" w:lineRule="auto"/>
        <w:rPr>
          <w:rFonts w:ascii="Verdana" w:eastAsia="Times New Roman" w:hAnsi="Verdana" w:cs="Arial"/>
          <w:sz w:val="24"/>
          <w:szCs w:val="24"/>
          <w:lang w:eastAsia="es-ES"/>
        </w:rPr>
      </w:pPr>
    </w:p>
    <w:p w14:paraId="2DAFFE53" w14:textId="77777777" w:rsidR="00C86D1D" w:rsidRPr="00871B59" w:rsidRDefault="00C86D1D" w:rsidP="00C86D1D"/>
    <w:bookmarkEnd w:id="3"/>
    <w:p w14:paraId="53BC8E91" w14:textId="77777777" w:rsidR="00C86D1D" w:rsidRPr="00A65B93" w:rsidRDefault="00C86D1D" w:rsidP="00C86D1D">
      <w:pPr>
        <w:spacing w:after="0"/>
        <w:rPr>
          <w:rFonts w:ascii="Verdana" w:hAnsi="Verdana"/>
          <w:lang w:val="es-ES"/>
        </w:rPr>
      </w:pPr>
    </w:p>
    <w:p w14:paraId="0F293BF4" w14:textId="7BBFAB11" w:rsidR="00127233" w:rsidRPr="00C86D1D" w:rsidRDefault="00127233" w:rsidP="00C86D1D"/>
    <w:sectPr w:rsidR="00127233" w:rsidRPr="00C86D1D"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C057C" w14:textId="77777777" w:rsidR="001F681C" w:rsidRDefault="001F681C" w:rsidP="004A1847">
      <w:pPr>
        <w:spacing w:after="0" w:line="240" w:lineRule="auto"/>
      </w:pPr>
      <w:r>
        <w:separator/>
      </w:r>
    </w:p>
  </w:endnote>
  <w:endnote w:type="continuationSeparator" w:id="0">
    <w:p w14:paraId="73F0AC8D" w14:textId="77777777" w:rsidR="001F681C" w:rsidRDefault="001F681C"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19A87" w14:textId="77777777" w:rsidR="001F681C" w:rsidRDefault="001F681C" w:rsidP="004A1847">
      <w:pPr>
        <w:spacing w:after="0" w:line="240" w:lineRule="auto"/>
      </w:pPr>
      <w:r>
        <w:separator/>
      </w:r>
    </w:p>
  </w:footnote>
  <w:footnote w:type="continuationSeparator" w:id="0">
    <w:p w14:paraId="19D30D6D" w14:textId="77777777" w:rsidR="001F681C" w:rsidRDefault="001F681C" w:rsidP="004A1847">
      <w:pPr>
        <w:spacing w:after="0" w:line="240" w:lineRule="auto"/>
      </w:pPr>
      <w:r>
        <w:continuationSeparator/>
      </w:r>
    </w:p>
  </w:footnote>
  <w:footnote w:id="1">
    <w:p w14:paraId="210A87B6" w14:textId="77777777" w:rsidR="00C86D1D" w:rsidRPr="00CA6FDA" w:rsidRDefault="00C86D1D" w:rsidP="00C86D1D">
      <w:pPr>
        <w:pStyle w:val="Textonotapie"/>
        <w:jc w:val="both"/>
        <w:rPr>
          <w:rFonts w:ascii="Verdana" w:hAnsi="Verdana" w:cs="Arial"/>
          <w:color w:val="000000" w:themeColor="text1"/>
          <w:sz w:val="16"/>
          <w:szCs w:val="16"/>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CORTE CONSTITUCIONAL. Sentencia C-452 de 1999. M.P. Eduardo Cifuentes Muñoz. </w:t>
      </w:r>
    </w:p>
  </w:footnote>
  <w:footnote w:id="2">
    <w:p w14:paraId="2C05130F" w14:textId="77777777" w:rsidR="00C86D1D" w:rsidRPr="00CA6FDA" w:rsidRDefault="00C86D1D" w:rsidP="00C86D1D">
      <w:pPr>
        <w:pStyle w:val="Textonotapie"/>
        <w:jc w:val="both"/>
        <w:rPr>
          <w:rFonts w:ascii="Verdana" w:hAnsi="Verdana" w:cs="Arial"/>
          <w:color w:val="000000" w:themeColor="text1"/>
          <w:sz w:val="16"/>
          <w:szCs w:val="16"/>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DROMI, José Roberto. La licitación pública. Buenos Aires: Ciudad Argentina, 1980. pp. 288-289.</w:t>
      </w:r>
    </w:p>
  </w:footnote>
  <w:footnote w:id="3">
    <w:p w14:paraId="59B8DF6E" w14:textId="77777777" w:rsidR="00C86D1D" w:rsidRPr="00CA6FDA" w:rsidRDefault="00C86D1D" w:rsidP="00C86D1D">
      <w:pPr>
        <w:pStyle w:val="Textonotapie"/>
        <w:jc w:val="both"/>
        <w:rPr>
          <w:rFonts w:ascii="Verdana" w:hAnsi="Verdana" w:cs="Arial"/>
          <w:sz w:val="16"/>
          <w:szCs w:val="16"/>
        </w:rPr>
      </w:pPr>
      <w:r w:rsidRPr="00CA6FDA">
        <w:rPr>
          <w:rStyle w:val="Refdenotaalpie"/>
          <w:rFonts w:ascii="Verdana" w:hAnsi="Verdana" w:cs="Arial"/>
          <w:sz w:val="16"/>
          <w:szCs w:val="16"/>
        </w:rPr>
        <w:footnoteRef/>
      </w:r>
      <w:r w:rsidRPr="00CA6FDA">
        <w:rPr>
          <w:rFonts w:ascii="Verdana" w:hAnsi="Verdana" w:cs="Arial"/>
          <w:sz w:val="16"/>
          <w:szCs w:val="16"/>
        </w:rPr>
        <w:t xml:space="preserve"> Para la jurisprudencia, “[…] los seguros de cumplimiento, específicamente, el de contratos estatales, son aquellos que garantizan al acreedor (entidad estatal) que serán resarcidos los daños que pueda provocar el incumplimiento de las obligaciones del deudor (contratista) dentro del marco de una relación contractual. Así, pues, el riesgo asegurado en esta categoría de seguros, visto de manera general, lo constituye el incumplimiento de las obligaciones contractuales a cargo del deudor (contratista), quien a su vez es el tomador de la póliza, de modo que el objeto de las obligaciones garantizadas es lo que determina o particulariza el riesgo asegurado” (CONSEJO DE ESTADO. Sección Tercera. Subsección A. Sentencia del 12 de febrero de 2015. Exp.  28278. C.P. Carlos Alberto Zambrano Barrera).</w:t>
      </w:r>
    </w:p>
  </w:footnote>
  <w:footnote w:id="4">
    <w:p w14:paraId="24607144" w14:textId="77777777" w:rsidR="00C86D1D" w:rsidRPr="00CA6FDA" w:rsidRDefault="00C86D1D" w:rsidP="00C86D1D">
      <w:pPr>
        <w:pStyle w:val="Textonotapie"/>
        <w:jc w:val="both"/>
        <w:rPr>
          <w:rFonts w:ascii="Verdana" w:hAnsi="Verdana" w:cs="Arial"/>
          <w:color w:val="000000" w:themeColor="text1"/>
          <w:sz w:val="16"/>
          <w:szCs w:val="16"/>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ORDÓÑEZ ORDÓÑEZ, Andrés E. Seguro de cumplimiento de los contratos estatales en Colombia. Bogotá: Universidad Externado de Colombia, 2011. p. 44.</w:t>
      </w:r>
    </w:p>
  </w:footnote>
  <w:footnote w:id="5">
    <w:p w14:paraId="22E607E2" w14:textId="77777777" w:rsidR="00C86D1D" w:rsidRPr="00CA6FDA" w:rsidRDefault="00C86D1D" w:rsidP="00C86D1D">
      <w:pPr>
        <w:pStyle w:val="Textonotapie"/>
        <w:jc w:val="both"/>
        <w:rPr>
          <w:rFonts w:ascii="Verdana" w:hAnsi="Verdana" w:cs="Arial"/>
          <w:color w:val="000000" w:themeColor="text1"/>
          <w:sz w:val="16"/>
          <w:szCs w:val="16"/>
          <w:lang w:val="es-ES"/>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Al respecto, el inciso primero del artículo 1068 del Código de Comercio dispone lo siguiente: “La mora en el pago de la prima de la póliza o de los certificados o anexos que se expidan con fundamento en ella, producirá la terminación automática del contrato y dará derecho al asegurador para exigir el pago de la prima devengada y de los gastos causados con ocasión de la expedición del contrato. </w:t>
      </w:r>
      <w:r w:rsidRPr="00CA6FDA">
        <w:rPr>
          <w:rFonts w:ascii="Verdana" w:hAnsi="Verdana" w:cs="Arial"/>
          <w:color w:val="000000" w:themeColor="text1"/>
          <w:sz w:val="16"/>
          <w:szCs w:val="16"/>
          <w:lang w:val="es-ES"/>
        </w:rPr>
        <w:t xml:space="preserve">Igualmente, el inciso primero del artículo 1071 </w:t>
      </w:r>
      <w:r w:rsidRPr="00CA6FDA">
        <w:rPr>
          <w:rFonts w:ascii="Verdana" w:hAnsi="Verdana" w:cs="Arial"/>
          <w:i/>
          <w:iCs/>
          <w:color w:val="000000" w:themeColor="text1"/>
          <w:sz w:val="16"/>
          <w:szCs w:val="16"/>
          <w:lang w:val="es-ES"/>
        </w:rPr>
        <w:t>ibidem</w:t>
      </w:r>
      <w:r w:rsidRPr="00CA6FDA">
        <w:rPr>
          <w:rFonts w:ascii="Verdana" w:hAnsi="Verdana" w:cs="Arial"/>
          <w:color w:val="000000" w:themeColor="text1"/>
          <w:sz w:val="16"/>
          <w:szCs w:val="16"/>
          <w:lang w:val="es-ES"/>
        </w:rPr>
        <w:t xml:space="preserve"> prescribe: “El contrato de seguro podrá ser revocado unilateralmente por los contratantes. Por el asegurador, mediante noticia escrita al asegurado, enviada a su última dirección conocida, con no menos de diez días de antelación, contados a partir de la fecha del envío; por el asegurado, en cualquier momento, mediante aviso escrito al asegurador”.  </w:t>
      </w:r>
    </w:p>
  </w:footnote>
  <w:footnote w:id="6">
    <w:p w14:paraId="6DC93C32" w14:textId="77777777" w:rsidR="00C86D1D" w:rsidRPr="00CA6FDA" w:rsidRDefault="00C86D1D" w:rsidP="00C86D1D">
      <w:pPr>
        <w:pStyle w:val="Textonotapie"/>
        <w:jc w:val="both"/>
        <w:rPr>
          <w:rFonts w:ascii="Verdana" w:hAnsi="Verdana" w:cs="Arial"/>
          <w:color w:val="000000" w:themeColor="text1"/>
          <w:sz w:val="16"/>
          <w:szCs w:val="16"/>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ESCOBAR GIL, Rodrigo. Teoría general de los contratos de la Administración pública. Bogotá: Legis, 2000. p. 247. Respecto a las pólizas, la doctrina explica que “En rigor, el seguro no elimina el daño sino que tolera que sus consecuencias resulten transferidas (trasladadas) por el sujeto amenazado por un evento económicamente desfavorable, a otro (asegurador) que, a esos fines, ha constituido una mutualidad especialmente</w:t>
      </w:r>
      <w:r>
        <w:rPr>
          <w:rFonts w:ascii="Verdana" w:hAnsi="Verdana" w:cs="Arial"/>
          <w:color w:val="000000" w:themeColor="text1"/>
          <w:sz w:val="16"/>
          <w:szCs w:val="16"/>
        </w:rPr>
        <w:t xml:space="preserve"> ‘</w:t>
      </w:r>
      <w:r w:rsidRPr="00CA6FDA">
        <w:rPr>
          <w:rFonts w:ascii="Verdana" w:hAnsi="Verdana" w:cs="Arial"/>
          <w:color w:val="000000" w:themeColor="text1"/>
          <w:sz w:val="16"/>
          <w:szCs w:val="16"/>
        </w:rPr>
        <w:t>preparada para absorber el riesgo de indemnización</w:t>
      </w:r>
      <w:r>
        <w:rPr>
          <w:rFonts w:ascii="Verdana" w:hAnsi="Verdana" w:cs="Arial"/>
          <w:color w:val="000000" w:themeColor="text1"/>
          <w:sz w:val="16"/>
          <w:szCs w:val="16"/>
        </w:rPr>
        <w:t>’</w:t>
      </w:r>
      <w:r w:rsidRPr="00CA6FDA">
        <w:rPr>
          <w:rFonts w:ascii="Verdana" w:hAnsi="Verdana" w:cs="Arial"/>
          <w:color w:val="000000" w:themeColor="text1"/>
          <w:sz w:val="16"/>
          <w:szCs w:val="16"/>
        </w:rPr>
        <w:t>“</w:t>
      </w:r>
      <w:r>
        <w:rPr>
          <w:rFonts w:ascii="Verdana" w:hAnsi="Verdana" w:cs="Arial"/>
          <w:color w:val="000000" w:themeColor="text1"/>
          <w:sz w:val="16"/>
          <w:szCs w:val="16"/>
        </w:rPr>
        <w:t xml:space="preserve"> </w:t>
      </w:r>
      <w:r w:rsidRPr="00CA6FDA">
        <w:rPr>
          <w:rFonts w:ascii="Verdana" w:hAnsi="Verdana" w:cs="Arial"/>
          <w:color w:val="000000" w:themeColor="text1"/>
          <w:sz w:val="16"/>
          <w:szCs w:val="16"/>
        </w:rPr>
        <w:t>(Cfr. STIGLITZ, Rubén S. Derecho de seguros. Tomo I. Tercera Edición. Buenos Aires: Abeledo – Perrot, 2001. p. 21).</w:t>
      </w:r>
    </w:p>
  </w:footnote>
  <w:footnote w:id="7">
    <w:p w14:paraId="5C1734DC" w14:textId="77777777" w:rsidR="00C86D1D" w:rsidRPr="00CA6FDA" w:rsidRDefault="00C86D1D" w:rsidP="00C86D1D">
      <w:pPr>
        <w:pStyle w:val="Textonotapie"/>
        <w:jc w:val="both"/>
        <w:rPr>
          <w:rFonts w:ascii="Verdana" w:hAnsi="Verdana" w:cs="Arial"/>
          <w:color w:val="000000" w:themeColor="text1"/>
          <w:sz w:val="16"/>
          <w:szCs w:val="16"/>
          <w:lang w:val="es-CO"/>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w:t>
      </w:r>
      <w:r w:rsidRPr="00CA6FDA">
        <w:rPr>
          <w:rFonts w:ascii="Verdana" w:hAnsi="Verdana" w:cs="Arial"/>
          <w:color w:val="000000" w:themeColor="text1"/>
          <w:sz w:val="16"/>
          <w:szCs w:val="16"/>
          <w:lang w:val="es-CO"/>
        </w:rPr>
        <w:t xml:space="preserve">“Artículo 2.2.1.2.3.1.3. Indivisibilidad de la garantía. La garantía de cobertura del Riesgo es indivisible. Sin embargo, en los contratos con un plazo mayor a cinco (5) años las garantías pueden cubrir los Riesgos de la Etapa del Contrato o del Periodo Contractual, de acuerdo con lo previsto en el contrato. </w:t>
      </w:r>
    </w:p>
    <w:p w14:paraId="0153CEF1" w14:textId="77777777" w:rsidR="00C86D1D" w:rsidRPr="00CA6FDA" w:rsidRDefault="00C86D1D" w:rsidP="00C86D1D">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En consecuencia, la Entidad Estatal en los pliegos de condiciones para la Contratación debe indicar las garantías que exige en cada Etapa del Contrato o cada Periodo Contractual así: </w:t>
      </w:r>
    </w:p>
    <w:p w14:paraId="0736A010" w14:textId="77777777" w:rsidR="00C86D1D" w:rsidRPr="00CA6FDA" w:rsidRDefault="00C86D1D" w:rsidP="00C86D1D">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1. La Entidad Estatal debe exigir una garantía independiente para cada Etapa del Contrato o cada Periodo Contractual o cada unidad funcional en el caso de las Asociaciones Público</w:t>
      </w:r>
      <w:r>
        <w:rPr>
          <w:rFonts w:ascii="Verdana" w:hAnsi="Verdana" w:cs="Arial"/>
          <w:color w:val="000000" w:themeColor="text1"/>
          <w:sz w:val="16"/>
          <w:szCs w:val="16"/>
          <w:lang w:val="es-CO"/>
        </w:rPr>
        <w:t xml:space="preserve"> </w:t>
      </w:r>
      <w:r w:rsidRPr="00CA6FDA">
        <w:rPr>
          <w:rFonts w:ascii="Verdana" w:hAnsi="Verdana" w:cs="Arial"/>
          <w:color w:val="000000" w:themeColor="text1"/>
          <w:sz w:val="16"/>
          <w:szCs w:val="16"/>
          <w:lang w:val="es-CO"/>
        </w:rPr>
        <w:t xml:space="preserve">Privadas, cuya vigencia debe ser por lo menos la misma establecida para la Etapa del Contrato o Periodo Contractual respectivo. </w:t>
      </w:r>
    </w:p>
    <w:p w14:paraId="55A7353E" w14:textId="77777777" w:rsidR="00C86D1D" w:rsidRPr="00CA6FDA" w:rsidRDefault="00C86D1D" w:rsidP="00C86D1D">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2. La Entidad Estatal debe calcular el valor asegurado para cada Etapa del Contrato, Periodo Contractual o unidad funcional, tomando el valor de las obligaciones del contratista para cada Etapa del Contrato, Periodo Contractual o unidad funcional y de acuerdo con las reglas de suficiencia de las garantías establecidas en el presente título. </w:t>
      </w:r>
    </w:p>
    <w:p w14:paraId="0AB2700B" w14:textId="77777777" w:rsidR="00C86D1D" w:rsidRPr="00CA6FDA" w:rsidRDefault="00C86D1D" w:rsidP="00C86D1D">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3. Antes del vencimiento de cada Etapa del Contrato o cada Periodo Contractual, el contratista está obligado a obtener una nueva garantía que ampare el cumplimiento de sus obligaciones para la Etapa del Contrato o Periodo Contractual subsiguiente, si no lo hiciere se aplicarán las reglas previstas para el restablecimiento de la garantía. </w:t>
      </w:r>
    </w:p>
    <w:p w14:paraId="7A810FFD" w14:textId="77777777" w:rsidR="00C86D1D" w:rsidRPr="00CA6FDA" w:rsidRDefault="00C86D1D" w:rsidP="00C86D1D">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Si el garante de una Etapa del Contrato o un Periodo Contractual decide no continuar garantizando la Etapa del Contrato o Periodo Contractual subsiguiente, debe informar su decisión por escrito a la Entidad Estatal garantizada seis (6) meses antes del vencimiento del plazo de la garantía. Este aviso no afecta la garantía de la Etapa Contractual o Periodo Contractual en ejecución. Si el garante no da el aviso con la anticipación mencionada y el contratista no obtiene una nueva garantía, queda obligado a garantizar la Etapa del Contrato o el Periodo Contractual subsiguiente”.</w:t>
      </w:r>
    </w:p>
  </w:footnote>
  <w:footnote w:id="8">
    <w:p w14:paraId="444F4D61" w14:textId="77777777" w:rsidR="00C86D1D" w:rsidRPr="00CA6FDA" w:rsidRDefault="00C86D1D" w:rsidP="00C86D1D">
      <w:pPr>
        <w:pStyle w:val="Textonotapie"/>
        <w:jc w:val="both"/>
        <w:rPr>
          <w:rFonts w:ascii="Verdana" w:hAnsi="Verdana" w:cs="Arial"/>
          <w:color w:val="000000" w:themeColor="text1"/>
          <w:sz w:val="16"/>
          <w:szCs w:val="16"/>
          <w:lang w:val="es-CO"/>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w:t>
      </w:r>
      <w:r w:rsidRPr="00CA6FDA">
        <w:rPr>
          <w:rFonts w:ascii="Verdana" w:hAnsi="Verdana" w:cs="Arial"/>
          <w:color w:val="000000" w:themeColor="text1"/>
          <w:sz w:val="16"/>
          <w:szCs w:val="16"/>
          <w:lang w:val="es-CO"/>
        </w:rPr>
        <w:t xml:space="preserve">“Artículo </w:t>
      </w:r>
      <w:bookmarkStart w:id="8" w:name="_Hlk67919994"/>
      <w:r w:rsidRPr="00CA6FDA">
        <w:rPr>
          <w:rFonts w:ascii="Verdana" w:hAnsi="Verdana" w:cs="Arial"/>
          <w:color w:val="000000" w:themeColor="text1"/>
          <w:sz w:val="16"/>
          <w:szCs w:val="16"/>
          <w:lang w:val="es-CO"/>
        </w:rPr>
        <w:t>2.2.1.2.3.1.7</w:t>
      </w:r>
      <w:bookmarkEnd w:id="8"/>
      <w:r w:rsidRPr="00CA6FDA">
        <w:rPr>
          <w:rFonts w:ascii="Verdana" w:hAnsi="Verdana" w:cs="Arial"/>
          <w:color w:val="000000" w:themeColor="text1"/>
          <w:sz w:val="16"/>
          <w:szCs w:val="16"/>
          <w:lang w:val="es-CO"/>
        </w:rPr>
        <w:t xml:space="preserve">. Garantía de cumplimiento. La garantía de cumplimiento del contrato debe cubrir: </w:t>
      </w:r>
    </w:p>
    <w:p w14:paraId="31584E71" w14:textId="77777777" w:rsidR="00C86D1D" w:rsidRPr="00CA6FDA" w:rsidRDefault="00C86D1D" w:rsidP="00C86D1D">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  1. Buen manejo y correcta inversión del anticipo. Este amparo cubre los perjuicios sufridos por la Entidad Estatal con ocasión de: (i) la no inversión del anticipo; (ii) el uso indebido del anticipo; y (iii) la apropiación indebida de los recursos recibidos en calidad de anticipo</w:t>
      </w:r>
    </w:p>
    <w:p w14:paraId="23C6147A" w14:textId="77777777" w:rsidR="00C86D1D" w:rsidRPr="00CA6FDA" w:rsidRDefault="00C86D1D" w:rsidP="00C86D1D">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2. Devolución del pago anticipado. Este amparo cubre los perjuicios sufridos por la Entidad Estatal por la no devolución total o parcial del dinero entregado al contratista a título de pago anticipado, cuando a ello hubiere lugar. </w:t>
      </w:r>
    </w:p>
    <w:p w14:paraId="010C547B" w14:textId="77777777" w:rsidR="00C86D1D" w:rsidRPr="00CA6FDA" w:rsidRDefault="00C86D1D" w:rsidP="00C86D1D">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3. Cumplimiento del contrato. Este amparo cubre a la Entidad Estatal de los perjuicios derivados de: </w:t>
      </w:r>
    </w:p>
    <w:p w14:paraId="5111A316" w14:textId="77777777" w:rsidR="00C86D1D" w:rsidRPr="00CA6FDA" w:rsidRDefault="00C86D1D" w:rsidP="00C86D1D">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3.1. </w:t>
      </w:r>
      <w:bookmarkStart w:id="9" w:name="_Hlk67920056"/>
      <w:r w:rsidRPr="00CA6FDA">
        <w:rPr>
          <w:rFonts w:ascii="Verdana" w:hAnsi="Verdana" w:cs="Arial"/>
          <w:color w:val="000000" w:themeColor="text1"/>
          <w:sz w:val="16"/>
          <w:szCs w:val="16"/>
          <w:lang w:val="es-CO"/>
        </w:rPr>
        <w:t xml:space="preserve">El incumplimiento total o parcial del contrato, cuando el incumplimiento es imputable al contratista; </w:t>
      </w:r>
    </w:p>
    <w:p w14:paraId="2CAA69DF" w14:textId="77777777" w:rsidR="00C86D1D" w:rsidRPr="00CA6FDA" w:rsidRDefault="00C86D1D" w:rsidP="00C86D1D">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3.2. El cumplimiento tardío o defectuoso del contrato, cuando el incumplimiento es imputable al contratista; </w:t>
      </w:r>
    </w:p>
    <w:p w14:paraId="20AC5E04" w14:textId="77777777" w:rsidR="00C86D1D" w:rsidRPr="00CA6FDA" w:rsidRDefault="00C86D1D" w:rsidP="00C86D1D">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3.3. Los daños imputables al contratista por entregas parciales de la obra, cuando el contrato no prevé entregas parciales; y </w:t>
      </w:r>
    </w:p>
    <w:bookmarkEnd w:id="9"/>
    <w:p w14:paraId="0F9F764E" w14:textId="77777777" w:rsidR="00C86D1D" w:rsidRPr="00CA6FDA" w:rsidRDefault="00C86D1D" w:rsidP="00C86D1D">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3.4. El pago del valor de las multas y de la cláusula penal pecuniaria. </w:t>
      </w:r>
    </w:p>
    <w:p w14:paraId="738A404F" w14:textId="77777777" w:rsidR="00C86D1D" w:rsidRPr="00CA6FDA" w:rsidRDefault="00C86D1D" w:rsidP="00C86D1D">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 </w:t>
      </w:r>
    </w:p>
    <w:p w14:paraId="19D21CD3" w14:textId="77777777" w:rsidR="00C86D1D" w:rsidRPr="00CA6FDA" w:rsidRDefault="00C86D1D" w:rsidP="00C86D1D">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La Entidad Estatal no debe exigir una garantía para cubrir este Riesgo en los contratos que se ejecuten fuera del territorio nacional con personal contratado bajo un régimen jurídico distinto al colombiano. </w:t>
      </w:r>
    </w:p>
    <w:p w14:paraId="2CA88386" w14:textId="77777777" w:rsidR="00C86D1D" w:rsidRPr="00CA6FDA" w:rsidRDefault="00C86D1D" w:rsidP="00C86D1D">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5. Estabilidad y calidad de la obra. Este amparo cubre a la Entidad Estatal de los perjuicios ocasionados por cualquier tipo de daño o deterioro, imputable al contratista, sufrido por la obra entregada a satisfacción. </w:t>
      </w:r>
    </w:p>
    <w:p w14:paraId="57CA8059" w14:textId="77777777" w:rsidR="00C86D1D" w:rsidRPr="00CA6FDA" w:rsidRDefault="00C86D1D" w:rsidP="00C86D1D">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6. Calidad del servicio. Este amparo cubre a la Entidad Estatal por los perjuicios derivados de la deficiente calidad del servicio prestado. </w:t>
      </w:r>
    </w:p>
    <w:p w14:paraId="0EAAB9EA" w14:textId="77777777" w:rsidR="00C86D1D" w:rsidRPr="00CA6FDA" w:rsidRDefault="00C86D1D" w:rsidP="00C86D1D">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7. Calidad y correcto funcionamiento de los bienes. Este amparo debe cubrir la calidad y el correcto funcionamiento de los bienes que recibe la Entidad Estatal en cumplimiento de un contrato. </w:t>
      </w:r>
    </w:p>
    <w:p w14:paraId="46AB08D8" w14:textId="77777777" w:rsidR="00C86D1D" w:rsidRPr="00CA6FDA" w:rsidRDefault="00C86D1D" w:rsidP="00C86D1D">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8. </w:t>
      </w:r>
      <w:bookmarkStart w:id="10" w:name="_Hlk143267015"/>
      <w:r w:rsidRPr="00CA6FDA">
        <w:rPr>
          <w:rFonts w:ascii="Verdana" w:hAnsi="Verdana" w:cs="Arial"/>
          <w:color w:val="000000" w:themeColor="text1"/>
          <w:sz w:val="16"/>
          <w:szCs w:val="16"/>
          <w:lang w:val="es-CO"/>
        </w:rPr>
        <w:t>Los demás incumplimientos de obligaciones que la Entidad Estatal considere deben ser amparados de manera proporcional y acorde a la naturaleza del contrato</w:t>
      </w:r>
      <w:bookmarkEnd w:id="10"/>
      <w:r w:rsidRPr="00CA6FDA">
        <w:rPr>
          <w:rFonts w:ascii="Verdana" w:hAnsi="Verdana" w:cs="Arial"/>
          <w:color w:val="000000" w:themeColor="text1"/>
          <w:sz w:val="16"/>
          <w:szCs w:val="16"/>
          <w:lang w:val="es-CO"/>
        </w:rPr>
        <w:t>”.</w:t>
      </w:r>
    </w:p>
    <w:p w14:paraId="2A7F2135" w14:textId="77777777" w:rsidR="00C86D1D" w:rsidRPr="00CA6FDA" w:rsidRDefault="00C86D1D" w:rsidP="00C86D1D">
      <w:pPr>
        <w:pStyle w:val="Textonotapie"/>
        <w:ind w:firstLine="708"/>
        <w:jc w:val="both"/>
        <w:rPr>
          <w:rFonts w:ascii="Verdana" w:hAnsi="Verdana" w:cs="Arial"/>
          <w:color w:val="000000" w:themeColor="text1"/>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BA60431"/>
    <w:multiLevelType w:val="hybridMultilevel"/>
    <w:tmpl w:val="DCC89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07E21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9095449">
    <w:abstractNumId w:val="7"/>
  </w:num>
  <w:num w:numId="2" w16cid:durableId="160892568">
    <w:abstractNumId w:val="2"/>
  </w:num>
  <w:num w:numId="3" w16cid:durableId="887574985">
    <w:abstractNumId w:val="5"/>
  </w:num>
  <w:num w:numId="4" w16cid:durableId="417571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7440078">
    <w:abstractNumId w:val="2"/>
  </w:num>
  <w:num w:numId="6" w16cid:durableId="1558783862">
    <w:abstractNumId w:val="14"/>
  </w:num>
  <w:num w:numId="7" w16cid:durableId="795947102">
    <w:abstractNumId w:val="6"/>
  </w:num>
  <w:num w:numId="8" w16cid:durableId="1929460416">
    <w:abstractNumId w:val="13"/>
  </w:num>
  <w:num w:numId="9" w16cid:durableId="1441875002">
    <w:abstractNumId w:val="8"/>
  </w:num>
  <w:num w:numId="10" w16cid:durableId="1533688633">
    <w:abstractNumId w:val="12"/>
  </w:num>
  <w:num w:numId="11" w16cid:durableId="613249997">
    <w:abstractNumId w:val="9"/>
  </w:num>
  <w:num w:numId="12" w16cid:durableId="780031377">
    <w:abstractNumId w:val="1"/>
  </w:num>
  <w:num w:numId="13" w16cid:durableId="2129154732">
    <w:abstractNumId w:val="4"/>
  </w:num>
  <w:num w:numId="14" w16cid:durableId="776294825">
    <w:abstractNumId w:val="15"/>
  </w:num>
  <w:num w:numId="15" w16cid:durableId="2057662670">
    <w:abstractNumId w:val="11"/>
  </w:num>
  <w:num w:numId="16" w16cid:durableId="1380713882">
    <w:abstractNumId w:val="0"/>
  </w:num>
  <w:num w:numId="17" w16cid:durableId="1572733996">
    <w:abstractNumId w:val="10"/>
  </w:num>
  <w:num w:numId="18" w16cid:durableId="371617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48F6"/>
    <w:rsid w:val="00046FE1"/>
    <w:rsid w:val="00061B2A"/>
    <w:rsid w:val="00082362"/>
    <w:rsid w:val="000A683E"/>
    <w:rsid w:val="000B19B9"/>
    <w:rsid w:val="000B5692"/>
    <w:rsid w:val="000D0334"/>
    <w:rsid w:val="000F6486"/>
    <w:rsid w:val="00125105"/>
    <w:rsid w:val="00127233"/>
    <w:rsid w:val="00182A07"/>
    <w:rsid w:val="001E4177"/>
    <w:rsid w:val="001F681C"/>
    <w:rsid w:val="001F7DC6"/>
    <w:rsid w:val="002421BB"/>
    <w:rsid w:val="0025796E"/>
    <w:rsid w:val="002707A2"/>
    <w:rsid w:val="002951A0"/>
    <w:rsid w:val="002962BC"/>
    <w:rsid w:val="002A093D"/>
    <w:rsid w:val="002A0DD0"/>
    <w:rsid w:val="002A49AC"/>
    <w:rsid w:val="002A64FD"/>
    <w:rsid w:val="002B544F"/>
    <w:rsid w:val="002C7A84"/>
    <w:rsid w:val="002E4FD9"/>
    <w:rsid w:val="00322A85"/>
    <w:rsid w:val="00324168"/>
    <w:rsid w:val="003448F4"/>
    <w:rsid w:val="00374F5E"/>
    <w:rsid w:val="00377E3E"/>
    <w:rsid w:val="003A26D1"/>
    <w:rsid w:val="003A779E"/>
    <w:rsid w:val="003D0F4D"/>
    <w:rsid w:val="003D5B0D"/>
    <w:rsid w:val="003E0499"/>
    <w:rsid w:val="003F3941"/>
    <w:rsid w:val="00406575"/>
    <w:rsid w:val="00410F11"/>
    <w:rsid w:val="0042722E"/>
    <w:rsid w:val="0044528D"/>
    <w:rsid w:val="004A1847"/>
    <w:rsid w:val="004A305D"/>
    <w:rsid w:val="004B660C"/>
    <w:rsid w:val="004F21C4"/>
    <w:rsid w:val="004F685F"/>
    <w:rsid w:val="005566E8"/>
    <w:rsid w:val="00560511"/>
    <w:rsid w:val="00574867"/>
    <w:rsid w:val="00591460"/>
    <w:rsid w:val="00592628"/>
    <w:rsid w:val="005C3777"/>
    <w:rsid w:val="005C5CDC"/>
    <w:rsid w:val="005D1AC1"/>
    <w:rsid w:val="005D476C"/>
    <w:rsid w:val="00610812"/>
    <w:rsid w:val="006219F8"/>
    <w:rsid w:val="0063124C"/>
    <w:rsid w:val="00650FF7"/>
    <w:rsid w:val="00665D70"/>
    <w:rsid w:val="00671DAC"/>
    <w:rsid w:val="006900D9"/>
    <w:rsid w:val="006C6BBC"/>
    <w:rsid w:val="006D12F8"/>
    <w:rsid w:val="00703A79"/>
    <w:rsid w:val="00706C16"/>
    <w:rsid w:val="00742A5C"/>
    <w:rsid w:val="007530FF"/>
    <w:rsid w:val="00756841"/>
    <w:rsid w:val="007649AB"/>
    <w:rsid w:val="00764F32"/>
    <w:rsid w:val="00771D0C"/>
    <w:rsid w:val="007833AC"/>
    <w:rsid w:val="007B268C"/>
    <w:rsid w:val="007B7171"/>
    <w:rsid w:val="007C0C0F"/>
    <w:rsid w:val="007C3DC2"/>
    <w:rsid w:val="007E5497"/>
    <w:rsid w:val="00806F5F"/>
    <w:rsid w:val="00820278"/>
    <w:rsid w:val="008843B6"/>
    <w:rsid w:val="00891928"/>
    <w:rsid w:val="008A446D"/>
    <w:rsid w:val="008D180B"/>
    <w:rsid w:val="008F0EA7"/>
    <w:rsid w:val="00923EEF"/>
    <w:rsid w:val="009419F9"/>
    <w:rsid w:val="0095685E"/>
    <w:rsid w:val="00961B09"/>
    <w:rsid w:val="00965334"/>
    <w:rsid w:val="0097093E"/>
    <w:rsid w:val="0098045C"/>
    <w:rsid w:val="009A0DFA"/>
    <w:rsid w:val="009B2D26"/>
    <w:rsid w:val="009C71FA"/>
    <w:rsid w:val="009C72E7"/>
    <w:rsid w:val="009D3058"/>
    <w:rsid w:val="009D4C04"/>
    <w:rsid w:val="009F3A13"/>
    <w:rsid w:val="00A01D43"/>
    <w:rsid w:val="00A122D3"/>
    <w:rsid w:val="00A17F13"/>
    <w:rsid w:val="00A20739"/>
    <w:rsid w:val="00A33C78"/>
    <w:rsid w:val="00AB0ADB"/>
    <w:rsid w:val="00B01B1A"/>
    <w:rsid w:val="00B72CD3"/>
    <w:rsid w:val="00B72FFF"/>
    <w:rsid w:val="00B839D9"/>
    <w:rsid w:val="00BC3D36"/>
    <w:rsid w:val="00BD7F72"/>
    <w:rsid w:val="00BF44F1"/>
    <w:rsid w:val="00C04FB3"/>
    <w:rsid w:val="00C330EB"/>
    <w:rsid w:val="00C754BE"/>
    <w:rsid w:val="00C76B1C"/>
    <w:rsid w:val="00C86D1D"/>
    <w:rsid w:val="00CB6357"/>
    <w:rsid w:val="00CC1B26"/>
    <w:rsid w:val="00D34CDE"/>
    <w:rsid w:val="00D423A2"/>
    <w:rsid w:val="00D520D8"/>
    <w:rsid w:val="00D63AC2"/>
    <w:rsid w:val="00D7383B"/>
    <w:rsid w:val="00DA231B"/>
    <w:rsid w:val="00DA23A0"/>
    <w:rsid w:val="00DA2647"/>
    <w:rsid w:val="00DB7FFE"/>
    <w:rsid w:val="00DC018C"/>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008"/>
    <w:rsid w:val="00EA0E3D"/>
    <w:rsid w:val="00EC38A7"/>
    <w:rsid w:val="00EE1AA8"/>
    <w:rsid w:val="00F31EDC"/>
    <w:rsid w:val="00F462B3"/>
    <w:rsid w:val="00F5664F"/>
    <w:rsid w:val="00F620C2"/>
    <w:rsid w:val="00F666C4"/>
    <w:rsid w:val="00F76AFC"/>
    <w:rsid w:val="00F845D7"/>
    <w:rsid w:val="00FA47C0"/>
    <w:rsid w:val="00FB5DD1"/>
    <w:rsid w:val="00FC2B5D"/>
    <w:rsid w:val="00FC44B2"/>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C86D1D"/>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86D1D"/>
    <w:rPr>
      <w:rFonts w:ascii="Geomanist Light" w:hAnsi="Geomanist Light"/>
      <w:lang w:val="es-ES"/>
    </w:rPr>
  </w:style>
  <w:style w:type="paragraph" w:styleId="Textodeglobo">
    <w:name w:val="Balloon Text"/>
    <w:basedOn w:val="Normal"/>
    <w:link w:val="TextodegloboCar"/>
    <w:uiPriority w:val="99"/>
    <w:semiHidden/>
    <w:unhideWhenUsed/>
    <w:rsid w:val="002B544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B544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73023978">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846285369">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busqueda/conceptos"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ala-de-prensa/boletin-dig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84987ECA-6B95-4EF8-AE1B-1A8505F8F72F}"/>
</file>

<file path=docProps/app.xml><?xml version="1.0" encoding="utf-8"?>
<Properties xmlns="http://schemas.openxmlformats.org/officeDocument/2006/extended-properties" xmlns:vt="http://schemas.openxmlformats.org/officeDocument/2006/docPropsVTypes">
  <Template>Normal</Template>
  <TotalTime>6</TotalTime>
  <Pages>13</Pages>
  <Words>3656</Words>
  <Characters>20109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Christian Camilo Orjuela Galeano</cp:lastModifiedBy>
  <cp:revision>5</cp:revision>
  <cp:lastPrinted>2023-01-10T21:18:00Z</cp:lastPrinted>
  <dcterms:created xsi:type="dcterms:W3CDTF">2024-09-04T13:26:00Z</dcterms:created>
  <dcterms:modified xsi:type="dcterms:W3CDTF">2024-10-11T16:40:00Z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