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49B7" w14:textId="77777777" w:rsidR="00ED5043" w:rsidRPr="00873C6A" w:rsidRDefault="00ED5043" w:rsidP="00ED5043">
      <w:pPr>
        <w:spacing w:after="0" w:line="240" w:lineRule="auto"/>
        <w:jc w:val="both"/>
        <w:rPr>
          <w:rFonts w:ascii="Verdana" w:eastAsia="Geomanist Light" w:hAnsi="Verdana" w:cs="Arial"/>
          <w:b/>
          <w:bCs/>
          <w:lang w:val="es-ES_tradnl"/>
        </w:rPr>
      </w:pPr>
      <w:r w:rsidRPr="00873C6A">
        <w:rPr>
          <w:rFonts w:ascii="Verdana" w:eastAsia="Geomanist Light" w:hAnsi="Verdana" w:cs="Arial"/>
          <w:b/>
          <w:bCs/>
          <w:lang w:val="es-ES_tradnl"/>
        </w:rPr>
        <w:t xml:space="preserve">LEY DE EMPRENDIMIENTO – Ley 2069 de 2020 – Vigencia </w:t>
      </w:r>
    </w:p>
    <w:p w14:paraId="4D90E219" w14:textId="77777777" w:rsidR="00ED5043" w:rsidRPr="00873C6A" w:rsidRDefault="00ED5043" w:rsidP="00ED5043">
      <w:pPr>
        <w:spacing w:after="0" w:line="240" w:lineRule="auto"/>
        <w:jc w:val="both"/>
        <w:rPr>
          <w:rFonts w:ascii="Verdana" w:eastAsia="Geomanist Light" w:hAnsi="Verdana" w:cs="Arial"/>
          <w:b/>
          <w:bCs/>
          <w:lang w:val="es-ES_tradnl"/>
        </w:rPr>
      </w:pPr>
    </w:p>
    <w:p w14:paraId="4A3EB325" w14:textId="77777777" w:rsidR="00ED5043" w:rsidRPr="00873C6A" w:rsidRDefault="00ED5043" w:rsidP="00ED5043">
      <w:pPr>
        <w:spacing w:after="0" w:line="240" w:lineRule="auto"/>
        <w:jc w:val="both"/>
        <w:rPr>
          <w:rFonts w:ascii="Verdana" w:eastAsia="Geomanist Light" w:hAnsi="Verdana" w:cs="Arial"/>
          <w:sz w:val="20"/>
          <w:szCs w:val="20"/>
          <w:lang w:val="es-ES_tradnl"/>
        </w:rPr>
      </w:pPr>
      <w:r w:rsidRPr="00873C6A">
        <w:rPr>
          <w:rFonts w:ascii="Verdana" w:eastAsia="Geomanist Light" w:hAnsi="Verdana" w:cs="Arial"/>
          <w:sz w:val="20"/>
          <w:szCs w:val="20"/>
          <w:lang w:val="es-ES_tradnl"/>
        </w:rPr>
        <w:t>El 31 de diciembre de 2020 se expidió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ejerza la potestad reglamentaria del artículo 189.11 de la Constitución Política para la cumplida ejecución de esta ley.</w:t>
      </w:r>
    </w:p>
    <w:p w14:paraId="626B7904" w14:textId="77777777" w:rsidR="00ED5043" w:rsidRPr="00873C6A" w:rsidRDefault="00ED5043" w:rsidP="00ED5043">
      <w:pPr>
        <w:spacing w:after="0" w:line="240" w:lineRule="auto"/>
        <w:jc w:val="both"/>
        <w:rPr>
          <w:rFonts w:ascii="Verdana" w:eastAsia="Geomanist Light" w:hAnsi="Verdana" w:cs="Arial"/>
          <w:sz w:val="20"/>
          <w:szCs w:val="20"/>
          <w:lang w:val="es-ES_tradnl"/>
        </w:rPr>
      </w:pPr>
    </w:p>
    <w:p w14:paraId="500E81D8" w14:textId="77777777" w:rsidR="00ED5043" w:rsidRPr="00873C6A" w:rsidRDefault="00ED5043" w:rsidP="00ED5043">
      <w:pPr>
        <w:spacing w:after="0" w:line="240" w:lineRule="auto"/>
        <w:jc w:val="both"/>
        <w:rPr>
          <w:rFonts w:ascii="Verdana" w:eastAsia="Geomanist Light" w:hAnsi="Verdana" w:cs="Arial"/>
          <w:sz w:val="20"/>
          <w:szCs w:val="20"/>
          <w:lang w:val="es-ES"/>
        </w:rPr>
      </w:pPr>
      <w:r w:rsidRPr="00873C6A">
        <w:rPr>
          <w:rFonts w:ascii="Verdana" w:eastAsia="Geomanist Light" w:hAnsi="Verdana" w:cs="Arial"/>
          <w:sz w:val="20"/>
          <w:szCs w:val="20"/>
          <w:lang w:val="es-ES"/>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7980AD1" w14:textId="77777777" w:rsidR="00ED5043" w:rsidRPr="00873C6A" w:rsidRDefault="00ED5043" w:rsidP="00ED5043">
      <w:pPr>
        <w:spacing w:after="0" w:line="240" w:lineRule="auto"/>
        <w:jc w:val="both"/>
        <w:rPr>
          <w:rFonts w:ascii="Verdana" w:eastAsia="Geomanist Light" w:hAnsi="Verdana" w:cs="Arial"/>
          <w:lang w:val="es-ES_tradnl"/>
        </w:rPr>
      </w:pPr>
    </w:p>
    <w:p w14:paraId="7EE3DB79" w14:textId="77777777" w:rsidR="00ED5043" w:rsidRPr="00873C6A" w:rsidRDefault="00ED5043" w:rsidP="00ED5043">
      <w:pPr>
        <w:spacing w:after="0" w:line="240" w:lineRule="auto"/>
        <w:jc w:val="both"/>
        <w:rPr>
          <w:rFonts w:ascii="Verdana" w:eastAsia="Calibri" w:hAnsi="Verdana" w:cs="Arial"/>
          <w:b/>
          <w:bCs/>
          <w:highlight w:val="yellow"/>
          <w:lang w:val="es-ES_tradnl" w:eastAsia="es-ES_tradnl"/>
        </w:rPr>
      </w:pPr>
      <w:r w:rsidRPr="00873C6A">
        <w:rPr>
          <w:rFonts w:ascii="Verdana" w:eastAsia="Calibri" w:hAnsi="Verdana" w:cs="Arial"/>
          <w:b/>
          <w:bCs/>
          <w:iCs/>
        </w:rPr>
        <w:t xml:space="preserve">CONVOCATORIAS LIMITADAS A MIPYMES </w:t>
      </w:r>
      <w:r w:rsidRPr="00873C6A">
        <w:rPr>
          <w:rFonts w:ascii="Verdana" w:eastAsia="Calibri" w:hAnsi="Verdana" w:cs="Arial"/>
          <w:b/>
          <w:lang w:eastAsia="es-ES_tradnl"/>
        </w:rPr>
        <w:t xml:space="preserve">– </w:t>
      </w:r>
      <w:r w:rsidRPr="00873C6A">
        <w:rPr>
          <w:rFonts w:ascii="Verdana" w:eastAsia="Calibri" w:hAnsi="Verdana" w:cs="Arial"/>
          <w:b/>
          <w:bCs/>
          <w:iCs/>
        </w:rPr>
        <w:t>Aplicación</w:t>
      </w:r>
    </w:p>
    <w:p w14:paraId="0667B236" w14:textId="77777777" w:rsidR="00ED5043" w:rsidRPr="00873C6A" w:rsidRDefault="00ED5043" w:rsidP="00ED5043">
      <w:pPr>
        <w:spacing w:after="0" w:line="240" w:lineRule="auto"/>
        <w:jc w:val="both"/>
        <w:rPr>
          <w:rFonts w:ascii="Verdana" w:eastAsia="Calibri" w:hAnsi="Verdana" w:cs="Arial"/>
          <w:bCs/>
          <w:color w:val="000000"/>
          <w:highlight w:val="yellow"/>
          <w:lang w:val="es-ES_tradnl" w:eastAsia="es-ES_tradnl"/>
        </w:rPr>
      </w:pPr>
    </w:p>
    <w:p w14:paraId="532C81D4" w14:textId="77777777" w:rsidR="00ED5043" w:rsidRPr="00873C6A" w:rsidRDefault="00ED5043" w:rsidP="00ED5043">
      <w:pPr>
        <w:spacing w:after="0" w:line="240" w:lineRule="auto"/>
        <w:jc w:val="both"/>
        <w:rPr>
          <w:rFonts w:ascii="Verdana" w:eastAsia="Calibri" w:hAnsi="Verdana" w:cs="Arial"/>
          <w:sz w:val="20"/>
          <w:szCs w:val="20"/>
        </w:rPr>
      </w:pPr>
      <w:bookmarkStart w:id="0" w:name="_Hlk140044493"/>
      <w:r w:rsidRPr="00873C6A">
        <w:rPr>
          <w:rFonts w:ascii="Verdana" w:eastAsia="Calibri" w:hAnsi="Verdana" w:cs="Arial"/>
          <w:sz w:val="20"/>
          <w:szCs w:val="20"/>
          <w:lang w:val="es-ES_tradnl" w:eastAsia="es-CO"/>
        </w:rPr>
        <w:t>Según lo ha reiterado esta Agencia en múltiples conceptos sobre la materia, el artículo 34 de la Ley 2069 de 2020, que dispone nuevas reglas sobre la promoción del desarrollo en la contratación pública, sustituyó íntegramente el contenido del artículo 12 de la Ley 1150 de 2007, por lo que frente a esta última norma se produjo el fenómeno de la subrogación. No en vano, en línea con lo anterior, el artículo 2.2.1.2.4.2.2. original del Decreto 1082 de 2015 -antes del Decreto 1860 de 2021-, que hasta la expedición de la Ley 2069 de 2020 regulaba las convocatorias limitadas a Mipymes, carecía de vigencia, porque su contenido era contrario al artículo 34 de la Ley 2069 de 2020. En tal sentido, ha perdido fuerza ejecutoria, de conformidad con el artículo 91.2. de la Ley 1437 de 2011, el cual establece que los actos administrativos -categoría que, como es sabido, incluye los decretos reglamentarios- dejan de ser obligatorios o decaen “[c]</w:t>
      </w:r>
      <w:proofErr w:type="spellStart"/>
      <w:r w:rsidRPr="00873C6A">
        <w:rPr>
          <w:rFonts w:ascii="Verdana" w:eastAsia="Calibri" w:hAnsi="Verdana" w:cs="Arial"/>
          <w:sz w:val="20"/>
          <w:szCs w:val="20"/>
          <w:lang w:val="es-ES_tradnl" w:eastAsia="es-CO"/>
        </w:rPr>
        <w:t>uando</w:t>
      </w:r>
      <w:proofErr w:type="spellEnd"/>
      <w:r w:rsidRPr="00873C6A">
        <w:rPr>
          <w:rFonts w:ascii="Verdana" w:eastAsia="Calibri" w:hAnsi="Verdana" w:cs="Arial"/>
          <w:sz w:val="20"/>
          <w:szCs w:val="20"/>
          <w:lang w:val="es-ES_tradnl" w:eastAsia="es-CO"/>
        </w:rPr>
        <w:t xml:space="preserve"> desaparezcan sus fundamentos de hecho o de derecho”.</w:t>
      </w:r>
    </w:p>
    <w:bookmarkEnd w:id="0"/>
    <w:p w14:paraId="6D7D9567" w14:textId="77777777" w:rsidR="00ED5043" w:rsidRPr="00F47EB3" w:rsidRDefault="00ED5043" w:rsidP="00ED5043">
      <w:pPr>
        <w:spacing w:after="0" w:line="240" w:lineRule="auto"/>
        <w:jc w:val="both"/>
        <w:rPr>
          <w:rFonts w:ascii="Verdana" w:eastAsia="Geomanist Light" w:hAnsi="Verdana" w:cs="Arial"/>
          <w:lang w:val="es-ES_tradnl"/>
        </w:rPr>
      </w:pPr>
    </w:p>
    <w:p w14:paraId="05D98622" w14:textId="77777777" w:rsidR="00ED5043" w:rsidRPr="00F47EB3" w:rsidRDefault="00ED5043" w:rsidP="00ED5043">
      <w:pPr>
        <w:spacing w:after="0" w:line="240" w:lineRule="auto"/>
        <w:jc w:val="both"/>
        <w:rPr>
          <w:rFonts w:ascii="Verdana" w:eastAsia="Geomanist Light" w:hAnsi="Verdana" w:cs="Arial"/>
          <w:b/>
          <w:bCs/>
          <w:lang w:val="es-ES"/>
        </w:rPr>
      </w:pPr>
      <w:r w:rsidRPr="00F47EB3">
        <w:rPr>
          <w:rFonts w:ascii="Verdana" w:eastAsia="Geomanist Light" w:hAnsi="Verdana" w:cs="Arial"/>
          <w:b/>
          <w:bCs/>
          <w:lang w:val="es-ES"/>
        </w:rPr>
        <w:t xml:space="preserve">ENTIDADES DE ECONOMÍA SOLIDARIA – Asimilación a Mipymes – Ley 2069 – Participación en convocatorias limitadas </w:t>
      </w:r>
    </w:p>
    <w:p w14:paraId="04FB879E" w14:textId="77777777" w:rsidR="00ED5043" w:rsidRPr="00F47EB3" w:rsidRDefault="00ED5043" w:rsidP="00ED5043">
      <w:pPr>
        <w:spacing w:after="0" w:line="240" w:lineRule="auto"/>
        <w:jc w:val="both"/>
        <w:rPr>
          <w:rFonts w:ascii="Verdana" w:eastAsia="Geomanist Light" w:hAnsi="Verdana" w:cs="Arial"/>
          <w:lang w:val="es-ES_tradnl"/>
        </w:rPr>
      </w:pPr>
    </w:p>
    <w:p w14:paraId="408E73E4" w14:textId="77777777" w:rsidR="00ED5043" w:rsidRPr="00F47EB3" w:rsidRDefault="00ED5043" w:rsidP="00ED5043">
      <w:pPr>
        <w:spacing w:after="0" w:line="240" w:lineRule="auto"/>
        <w:jc w:val="both"/>
        <w:rPr>
          <w:rFonts w:ascii="Verdana" w:eastAsia="Geomanist Light" w:hAnsi="Verdana" w:cs="Arial"/>
          <w:sz w:val="20"/>
          <w:szCs w:val="20"/>
          <w:lang w:val="es-ES"/>
        </w:rPr>
      </w:pPr>
      <w:r w:rsidRPr="00F47EB3">
        <w:rPr>
          <w:rFonts w:ascii="Verdana" w:eastAsia="Geomanist Light" w:hAnsi="Verdana" w:cs="Arial"/>
          <w:sz w:val="20"/>
          <w:szCs w:val="20"/>
          <w:lang w:val="es-ES"/>
        </w:rPr>
        <w:t xml:space="preserve">[…]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Mipymes, puedan participar en procesos de selección limitados a Mipymes, conforme a lo regulado por el artículo 11 de la Ley 1150 de 2007, modificado por el artículo 34 de la Ley 2069 de 2020. Esto quiere decir que, en la aplicación de lo dispuesto en el artículo 12 de la Ley 1150 de </w:t>
      </w:r>
      <w:r w:rsidRPr="00F47EB3">
        <w:rPr>
          <w:rFonts w:ascii="Verdana" w:eastAsia="Geomanist Light" w:hAnsi="Verdana" w:cs="Arial"/>
          <w:sz w:val="20"/>
          <w:szCs w:val="20"/>
          <w:lang w:val="es-ES"/>
        </w:rPr>
        <w:lastRenderedPageBreak/>
        <w:t xml:space="preserve">2007, modificado por el artículo 34 de la Ley 2069 de 2020, entidades como asociaciones mutualistas, cooperativas y demás entidades de economía solidaria, que, en virtud de su tamaño empresarial sean consideradas como Mipymes, podrán participar en las convocatorias limitadas a estas, pudiendo incluso manifestar su interés de participar en el proceso de selección de manera previa a la expedición de la resolución de apertura, a efectos de que se limite la participación. </w:t>
      </w:r>
    </w:p>
    <w:p w14:paraId="3400D436" w14:textId="73D45EFB" w:rsidR="00ED5043" w:rsidRPr="00F47EB3" w:rsidRDefault="00ED5043" w:rsidP="00ED5043">
      <w:pPr>
        <w:spacing w:after="0" w:line="240" w:lineRule="auto"/>
        <w:jc w:val="both"/>
        <w:rPr>
          <w:rFonts w:ascii="Verdana" w:eastAsia="Geomanist Light" w:hAnsi="Verdana" w:cs="Arial"/>
          <w:sz w:val="20"/>
          <w:szCs w:val="20"/>
          <w:lang w:val="es-ES"/>
        </w:rPr>
      </w:pPr>
      <w:r w:rsidRPr="00F47EB3">
        <w:rPr>
          <w:rFonts w:ascii="Verdana" w:eastAsia="Geomanist Light" w:hAnsi="Verdana" w:cs="Arial"/>
          <w:sz w:val="20"/>
          <w:szCs w:val="20"/>
          <w:lang w:val="es-ES"/>
        </w:rPr>
        <w:t xml:space="preserve">Lo anterior resulta armónico con lo establecido actualmente en el artículo 2.2.1.2.4.2.2. del Decreto 1082 de 2015, modificado por el Decreto 1860 de 2021, que regula las convocatorias limitadas a Mipyme, de donde cabe destacar, específicamente, su parágrafo, el cual, retomando los términos empleados por el artículo 23 de la Ley 2069 de 2020, establece que: «Las cooperativas y demás entidades de economía solidaria, siempre que tengan la calidad de </w:t>
      </w:r>
      <w:r w:rsidR="0043411E" w:rsidRPr="00F47EB3">
        <w:rPr>
          <w:rFonts w:ascii="Verdana" w:eastAsia="Geomanist Light" w:hAnsi="Verdana" w:cs="Arial"/>
          <w:sz w:val="20"/>
          <w:szCs w:val="20"/>
          <w:lang w:val="es-ES"/>
        </w:rPr>
        <w:t>MiPyme</w:t>
      </w:r>
      <w:r w:rsidRPr="00F47EB3">
        <w:rPr>
          <w:rFonts w:ascii="Verdana" w:eastAsia="Geomanist Light" w:hAnsi="Verdana" w:cs="Arial"/>
          <w:sz w:val="20"/>
          <w:szCs w:val="20"/>
          <w:lang w:val="es-ES"/>
        </w:rPr>
        <w:t xml:space="preserve">, podrán solicitar y participar en las convocatorias limitadas en las mismas condiciones dispuestas en el presente artículo». </w:t>
      </w:r>
    </w:p>
    <w:p w14:paraId="1ED9E20D" w14:textId="77777777" w:rsidR="00ED5043" w:rsidRPr="00F47EB3" w:rsidRDefault="00ED5043" w:rsidP="00ED5043">
      <w:pPr>
        <w:spacing w:after="0" w:line="240" w:lineRule="auto"/>
        <w:jc w:val="both"/>
        <w:rPr>
          <w:rFonts w:ascii="Verdana" w:eastAsia="Geomanist Light" w:hAnsi="Verdana" w:cs="Arial"/>
          <w:sz w:val="20"/>
          <w:szCs w:val="20"/>
          <w:lang w:val="es-ES"/>
        </w:rPr>
      </w:pPr>
      <w:r w:rsidRPr="00F47EB3">
        <w:rPr>
          <w:rFonts w:ascii="Verdana" w:eastAsia="Geomanist Light" w:hAnsi="Verdana" w:cs="Arial"/>
          <w:sz w:val="20"/>
          <w:szCs w:val="20"/>
          <w:lang w:val="es-ES"/>
        </w:rPr>
        <w:t>En este sentido, se advierte que el artículo 2.2.1.2.4.2.2. del Decreto 1082 de 2015, modificado por el Decreto 1860 de 2021 y el artículo 23 de la Ley 2069 de 2020 no asimilaron a todas las entidades sin ánimo de lucro –ESAL– a Mipymes (siempre que cumplan con los requisitos del tamaño empresarial), para efectos de la participación en convocatorias limitadas a Mipyme, sino únicamente a las cooperativas y demás entidades de economía solidaria, en los términos del artículo 6 de la Ley 454 de 1998 –norma a la que remite el artículo 23 de la Ley de Emprendimiento–. En tal sentido, debe analizarse si la ESAL cumple con las características establecidas en dicho artículo, para considerarla una organización de economía solidaria. Además, debe tenerse en cuenta que la Ley 2143 de 2021, expresamente, reconoce a las asociaciones mutualistas como empresas de economía solidaria.</w:t>
      </w:r>
    </w:p>
    <w:p w14:paraId="3AD022EA" w14:textId="77777777" w:rsidR="00ED5043" w:rsidRDefault="00ED5043" w:rsidP="00C32D1C">
      <w:pPr>
        <w:spacing w:after="0" w:line="240" w:lineRule="auto"/>
        <w:rPr>
          <w:rFonts w:ascii="Verdana" w:eastAsia="Geomanist Light" w:hAnsi="Verdana" w:cs="Arial"/>
          <w:color w:val="000000" w:themeColor="text1"/>
          <w:lang w:val="es-MX"/>
        </w:rPr>
      </w:pPr>
    </w:p>
    <w:p w14:paraId="197A0C15" w14:textId="77777777" w:rsidR="00ED5043" w:rsidRDefault="00ED5043" w:rsidP="00C32D1C">
      <w:pPr>
        <w:spacing w:after="0" w:line="240" w:lineRule="auto"/>
        <w:rPr>
          <w:rFonts w:ascii="Verdana" w:eastAsia="Geomanist Light" w:hAnsi="Verdana" w:cs="Arial"/>
          <w:color w:val="000000" w:themeColor="text1"/>
          <w:lang w:val="es-MX"/>
        </w:rPr>
      </w:pPr>
    </w:p>
    <w:p w14:paraId="5CCBBB0B" w14:textId="77777777" w:rsidR="00ED5043" w:rsidRDefault="00ED5043" w:rsidP="00C32D1C">
      <w:pPr>
        <w:spacing w:after="0" w:line="240" w:lineRule="auto"/>
        <w:rPr>
          <w:rFonts w:ascii="Verdana" w:eastAsia="Geomanist Light" w:hAnsi="Verdana" w:cs="Arial"/>
          <w:color w:val="000000" w:themeColor="text1"/>
          <w:lang w:val="es-MX"/>
        </w:rPr>
      </w:pPr>
    </w:p>
    <w:p w14:paraId="638034AF" w14:textId="77777777" w:rsidR="00ED5043" w:rsidRDefault="00ED5043" w:rsidP="00C32D1C">
      <w:pPr>
        <w:spacing w:after="0" w:line="240" w:lineRule="auto"/>
        <w:rPr>
          <w:rFonts w:ascii="Verdana" w:eastAsia="Geomanist Light" w:hAnsi="Verdana" w:cs="Arial"/>
          <w:color w:val="000000" w:themeColor="text1"/>
          <w:lang w:val="es-MX"/>
        </w:rPr>
      </w:pPr>
    </w:p>
    <w:p w14:paraId="59F08F5D" w14:textId="77777777" w:rsidR="00ED5043" w:rsidRDefault="00ED5043" w:rsidP="00C32D1C">
      <w:pPr>
        <w:spacing w:after="0" w:line="240" w:lineRule="auto"/>
        <w:rPr>
          <w:rFonts w:ascii="Verdana" w:eastAsia="Geomanist Light" w:hAnsi="Verdana" w:cs="Arial"/>
          <w:color w:val="000000" w:themeColor="text1"/>
          <w:lang w:val="es-MX"/>
        </w:rPr>
      </w:pPr>
    </w:p>
    <w:p w14:paraId="5964F28D" w14:textId="77777777" w:rsidR="00ED5043" w:rsidRDefault="00ED5043" w:rsidP="00C32D1C">
      <w:pPr>
        <w:spacing w:after="0" w:line="240" w:lineRule="auto"/>
        <w:rPr>
          <w:rFonts w:ascii="Verdana" w:eastAsia="Geomanist Light" w:hAnsi="Verdana" w:cs="Arial"/>
          <w:color w:val="000000" w:themeColor="text1"/>
          <w:lang w:val="es-MX"/>
        </w:rPr>
      </w:pPr>
    </w:p>
    <w:p w14:paraId="46E5E4DD" w14:textId="77777777" w:rsidR="00ED5043" w:rsidRDefault="00ED5043" w:rsidP="00C32D1C">
      <w:pPr>
        <w:spacing w:after="0" w:line="240" w:lineRule="auto"/>
        <w:rPr>
          <w:rFonts w:ascii="Verdana" w:eastAsia="Geomanist Light" w:hAnsi="Verdana" w:cs="Arial"/>
          <w:color w:val="000000" w:themeColor="text1"/>
          <w:lang w:val="es-MX"/>
        </w:rPr>
      </w:pPr>
    </w:p>
    <w:p w14:paraId="4D4BFA97" w14:textId="77777777" w:rsidR="00ED5043" w:rsidRDefault="00ED5043" w:rsidP="00C32D1C">
      <w:pPr>
        <w:spacing w:after="0" w:line="240" w:lineRule="auto"/>
        <w:rPr>
          <w:rFonts w:ascii="Verdana" w:eastAsia="Geomanist Light" w:hAnsi="Verdana" w:cs="Arial"/>
          <w:color w:val="000000" w:themeColor="text1"/>
          <w:lang w:val="es-MX"/>
        </w:rPr>
      </w:pPr>
    </w:p>
    <w:p w14:paraId="09BC1633" w14:textId="77777777" w:rsidR="00ED5043" w:rsidRDefault="00ED5043" w:rsidP="00C32D1C">
      <w:pPr>
        <w:spacing w:after="0" w:line="240" w:lineRule="auto"/>
        <w:rPr>
          <w:rFonts w:ascii="Verdana" w:eastAsia="Geomanist Light" w:hAnsi="Verdana" w:cs="Arial"/>
          <w:color w:val="000000" w:themeColor="text1"/>
          <w:lang w:val="es-MX"/>
        </w:rPr>
      </w:pPr>
    </w:p>
    <w:p w14:paraId="649C914E" w14:textId="77777777" w:rsidR="00ED5043" w:rsidRDefault="00ED5043" w:rsidP="00C32D1C">
      <w:pPr>
        <w:spacing w:after="0" w:line="240" w:lineRule="auto"/>
        <w:rPr>
          <w:rFonts w:ascii="Verdana" w:eastAsia="Geomanist Light" w:hAnsi="Verdana" w:cs="Arial"/>
          <w:color w:val="000000" w:themeColor="text1"/>
          <w:lang w:val="es-MX"/>
        </w:rPr>
      </w:pPr>
    </w:p>
    <w:p w14:paraId="5F37AB34" w14:textId="77777777" w:rsidR="00ED5043" w:rsidRDefault="00ED5043" w:rsidP="00C32D1C">
      <w:pPr>
        <w:spacing w:after="0" w:line="240" w:lineRule="auto"/>
        <w:rPr>
          <w:rFonts w:ascii="Verdana" w:eastAsia="Geomanist Light" w:hAnsi="Verdana" w:cs="Arial"/>
          <w:color w:val="000000" w:themeColor="text1"/>
          <w:lang w:val="es-MX"/>
        </w:rPr>
      </w:pPr>
    </w:p>
    <w:p w14:paraId="7630895B" w14:textId="77777777" w:rsidR="00ED5043" w:rsidRDefault="00ED5043" w:rsidP="00C32D1C">
      <w:pPr>
        <w:spacing w:after="0" w:line="240" w:lineRule="auto"/>
        <w:rPr>
          <w:rFonts w:ascii="Verdana" w:eastAsia="Geomanist Light" w:hAnsi="Verdana" w:cs="Arial"/>
          <w:color w:val="000000" w:themeColor="text1"/>
          <w:lang w:val="es-MX"/>
        </w:rPr>
      </w:pPr>
    </w:p>
    <w:p w14:paraId="40872077" w14:textId="77777777" w:rsidR="00ED5043" w:rsidRDefault="00ED5043" w:rsidP="00C32D1C">
      <w:pPr>
        <w:spacing w:after="0" w:line="240" w:lineRule="auto"/>
        <w:rPr>
          <w:rFonts w:ascii="Verdana" w:eastAsia="Geomanist Light" w:hAnsi="Verdana" w:cs="Arial"/>
          <w:color w:val="000000" w:themeColor="text1"/>
          <w:lang w:val="es-MX"/>
        </w:rPr>
      </w:pPr>
    </w:p>
    <w:p w14:paraId="50D5CC7A" w14:textId="77777777" w:rsidR="00ED5043" w:rsidRDefault="00ED5043" w:rsidP="00C32D1C">
      <w:pPr>
        <w:spacing w:after="0" w:line="240" w:lineRule="auto"/>
        <w:rPr>
          <w:rFonts w:ascii="Verdana" w:eastAsia="Geomanist Light" w:hAnsi="Verdana" w:cs="Arial"/>
          <w:color w:val="000000" w:themeColor="text1"/>
          <w:lang w:val="es-MX"/>
        </w:rPr>
      </w:pPr>
    </w:p>
    <w:p w14:paraId="1851D7C9" w14:textId="77777777" w:rsidR="00ED5043" w:rsidRDefault="00ED5043" w:rsidP="00C32D1C">
      <w:pPr>
        <w:spacing w:after="0" w:line="240" w:lineRule="auto"/>
        <w:rPr>
          <w:rFonts w:ascii="Verdana" w:eastAsia="Geomanist Light" w:hAnsi="Verdana" w:cs="Arial"/>
          <w:color w:val="000000" w:themeColor="text1"/>
          <w:lang w:val="es-MX"/>
        </w:rPr>
      </w:pPr>
    </w:p>
    <w:p w14:paraId="41EB11E7" w14:textId="77777777" w:rsidR="00ED5043" w:rsidRDefault="00ED5043" w:rsidP="00C32D1C">
      <w:pPr>
        <w:spacing w:after="0" w:line="240" w:lineRule="auto"/>
        <w:rPr>
          <w:rFonts w:ascii="Verdana" w:eastAsia="Geomanist Light" w:hAnsi="Verdana" w:cs="Arial"/>
          <w:color w:val="000000" w:themeColor="text1"/>
          <w:lang w:val="es-MX"/>
        </w:rPr>
      </w:pPr>
    </w:p>
    <w:p w14:paraId="048B4881" w14:textId="77777777" w:rsidR="00ED5043" w:rsidRDefault="00ED5043" w:rsidP="00C32D1C">
      <w:pPr>
        <w:spacing w:after="0" w:line="240" w:lineRule="auto"/>
        <w:rPr>
          <w:rFonts w:ascii="Verdana" w:eastAsia="Geomanist Light" w:hAnsi="Verdana" w:cs="Arial"/>
          <w:color w:val="000000" w:themeColor="text1"/>
          <w:lang w:val="es-MX"/>
        </w:rPr>
      </w:pPr>
    </w:p>
    <w:p w14:paraId="5464CBCB" w14:textId="77777777" w:rsidR="00ED5043" w:rsidRDefault="00ED5043" w:rsidP="00C32D1C">
      <w:pPr>
        <w:spacing w:after="0" w:line="240" w:lineRule="auto"/>
        <w:rPr>
          <w:rFonts w:ascii="Verdana" w:eastAsia="Geomanist Light" w:hAnsi="Verdana" w:cs="Arial"/>
          <w:color w:val="000000" w:themeColor="text1"/>
          <w:lang w:val="es-MX"/>
        </w:rPr>
      </w:pPr>
    </w:p>
    <w:p w14:paraId="0A88A43C" w14:textId="77777777" w:rsidR="00ED5043" w:rsidRDefault="00ED5043" w:rsidP="00C32D1C">
      <w:pPr>
        <w:spacing w:after="0" w:line="240" w:lineRule="auto"/>
        <w:rPr>
          <w:rFonts w:ascii="Verdana" w:eastAsia="Geomanist Light" w:hAnsi="Verdana" w:cs="Arial"/>
          <w:color w:val="000000" w:themeColor="text1"/>
          <w:lang w:val="es-MX"/>
        </w:rPr>
      </w:pPr>
    </w:p>
    <w:p w14:paraId="2B5F2E54" w14:textId="77777777" w:rsidR="00ED5043" w:rsidRDefault="00ED5043" w:rsidP="00C32D1C">
      <w:pPr>
        <w:spacing w:after="0" w:line="240" w:lineRule="auto"/>
        <w:rPr>
          <w:rFonts w:ascii="Verdana" w:eastAsia="Geomanist Light" w:hAnsi="Verdana" w:cs="Arial"/>
          <w:color w:val="000000" w:themeColor="text1"/>
          <w:lang w:val="es-MX"/>
        </w:rPr>
      </w:pPr>
    </w:p>
    <w:p w14:paraId="5D89CFA9" w14:textId="77777777" w:rsidR="00ED5043" w:rsidRDefault="00ED5043" w:rsidP="00C32D1C">
      <w:pPr>
        <w:spacing w:after="0" w:line="240" w:lineRule="auto"/>
        <w:rPr>
          <w:rFonts w:ascii="Verdana" w:eastAsia="Geomanist Light" w:hAnsi="Verdana" w:cs="Arial"/>
          <w:color w:val="000000" w:themeColor="text1"/>
          <w:lang w:val="es-MX"/>
        </w:rPr>
      </w:pPr>
    </w:p>
    <w:p w14:paraId="46E17ED8" w14:textId="77777777" w:rsidR="00ED5043" w:rsidRDefault="00ED5043" w:rsidP="00C32D1C">
      <w:pPr>
        <w:spacing w:after="0" w:line="240" w:lineRule="auto"/>
        <w:rPr>
          <w:rFonts w:ascii="Verdana" w:eastAsia="Geomanist Light" w:hAnsi="Verdana" w:cs="Arial"/>
          <w:color w:val="000000" w:themeColor="text1"/>
          <w:lang w:val="es-MX"/>
        </w:rPr>
      </w:pPr>
    </w:p>
    <w:p w14:paraId="20AD3AB1" w14:textId="0AF07C69" w:rsidR="00C32D1C" w:rsidRPr="00F47EB3" w:rsidRDefault="00C32D1C" w:rsidP="00C32D1C">
      <w:pPr>
        <w:spacing w:after="0" w:line="240" w:lineRule="auto"/>
        <w:rPr>
          <w:rFonts w:ascii="Verdana" w:eastAsia="Geomanist Light" w:hAnsi="Verdana" w:cs="Arial"/>
          <w:color w:val="201F1E"/>
          <w:lang w:val="es-MX"/>
        </w:rPr>
      </w:pPr>
      <w:r w:rsidRPr="00F47EB3">
        <w:rPr>
          <w:rFonts w:ascii="Verdana" w:eastAsia="Geomanist Light" w:hAnsi="Verdana" w:cs="Arial"/>
          <w:color w:val="000000" w:themeColor="text1"/>
          <w:lang w:val="es-MX"/>
        </w:rPr>
        <w:lastRenderedPageBreak/>
        <w:t>Bogotá D.C., </w:t>
      </w:r>
      <w:r w:rsidR="0059196A" w:rsidRPr="0059196A">
        <w:rPr>
          <w:rFonts w:ascii="Verdana" w:eastAsia="Geomanist Light" w:hAnsi="Verdana" w:cs="Arial"/>
          <w:color w:val="201F1E"/>
        </w:rPr>
        <w:t>10 de Septiembre de 2024</w:t>
      </w:r>
    </w:p>
    <w:p w14:paraId="30B15E49" w14:textId="77777777" w:rsidR="00C32D1C" w:rsidRPr="00F47EB3" w:rsidRDefault="00C32D1C" w:rsidP="00C32D1C">
      <w:pPr>
        <w:spacing w:after="0" w:line="240" w:lineRule="auto"/>
        <w:jc w:val="both"/>
        <w:rPr>
          <w:rFonts w:ascii="Verdana" w:eastAsia="Calibri" w:hAnsi="Verdana" w:cs="Arial"/>
          <w:color w:val="000000"/>
          <w:lang w:val="es-ES"/>
        </w:rPr>
      </w:pPr>
    </w:p>
    <w:p w14:paraId="1F7AE306" w14:textId="1C97DFE6" w:rsidR="00C32D1C" w:rsidRPr="00F47EB3" w:rsidRDefault="00F43DCE" w:rsidP="00C32D1C">
      <w:pPr>
        <w:spacing w:after="0" w:line="240" w:lineRule="auto"/>
        <w:jc w:val="both"/>
        <w:rPr>
          <w:rFonts w:ascii="Verdana" w:eastAsia="Calibri" w:hAnsi="Verdana" w:cs="Arial"/>
          <w:lang w:val="es-ES" w:eastAsia="es-ES"/>
        </w:rPr>
      </w:pPr>
      <w:r w:rsidRPr="00F43DCE">
        <w:rPr>
          <w:rFonts w:ascii="Verdana" w:eastAsia="Calibri" w:hAnsi="Verdana" w:cs="Arial"/>
          <w:b/>
          <w:noProof/>
          <w:lang w:val="es-ES_tradnl" w:eastAsia="es-ES_tradnl"/>
        </w:rPr>
        <w:drawing>
          <wp:anchor distT="0" distB="0" distL="114300" distR="114300" simplePos="0" relativeHeight="251658240" behindDoc="0" locked="0" layoutInCell="1" allowOverlap="1" wp14:anchorId="6DECED83" wp14:editId="09753155">
            <wp:simplePos x="0" y="0"/>
            <wp:positionH relativeFrom="margin">
              <wp:align>right</wp:align>
            </wp:positionH>
            <wp:positionV relativeFrom="paragraph">
              <wp:posOffset>5080</wp:posOffset>
            </wp:positionV>
            <wp:extent cx="3314700" cy="981075"/>
            <wp:effectExtent l="0" t="0" r="0" b="9525"/>
            <wp:wrapNone/>
            <wp:docPr id="10367598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59830" name=""/>
                    <pic:cNvPicPr/>
                  </pic:nvPicPr>
                  <pic:blipFill>
                    <a:blip r:embed="rId10">
                      <a:extLst>
                        <a:ext uri="{28A0092B-C50C-407E-A947-70E740481C1C}">
                          <a14:useLocalDpi xmlns:a14="http://schemas.microsoft.com/office/drawing/2010/main" val="0"/>
                        </a:ext>
                      </a:extLst>
                    </a:blip>
                    <a:stretch>
                      <a:fillRect/>
                    </a:stretch>
                  </pic:blipFill>
                  <pic:spPr>
                    <a:xfrm>
                      <a:off x="0" y="0"/>
                      <a:ext cx="3314700" cy="981075"/>
                    </a:xfrm>
                    <a:prstGeom prst="rect">
                      <a:avLst/>
                    </a:prstGeom>
                  </pic:spPr>
                </pic:pic>
              </a:graphicData>
            </a:graphic>
          </wp:anchor>
        </w:drawing>
      </w:r>
      <w:r w:rsidR="00C32D1C" w:rsidRPr="00F47EB3">
        <w:rPr>
          <w:rFonts w:ascii="Verdana" w:eastAsia="Calibri" w:hAnsi="Verdana" w:cs="Arial"/>
          <w:lang w:val="es-ES" w:eastAsia="es-ES"/>
        </w:rPr>
        <w:t>Señor</w:t>
      </w:r>
    </w:p>
    <w:p w14:paraId="4864221D" w14:textId="5EA5E039" w:rsidR="00C32D1C" w:rsidRPr="00F47EB3" w:rsidRDefault="00C32D1C" w:rsidP="00C32D1C">
      <w:pPr>
        <w:spacing w:after="0" w:line="240" w:lineRule="auto"/>
        <w:rPr>
          <w:rFonts w:ascii="Verdana" w:eastAsia="Calibri" w:hAnsi="Verdana" w:cs="Arial"/>
          <w:b/>
          <w:lang w:val="es-ES_tradnl" w:eastAsia="es-ES_tradnl"/>
        </w:rPr>
      </w:pPr>
      <w:r w:rsidRPr="00F47EB3">
        <w:rPr>
          <w:rFonts w:ascii="Verdana" w:eastAsia="Calibri" w:hAnsi="Verdana" w:cs="Arial"/>
          <w:b/>
          <w:lang w:val="es-ES_tradnl" w:eastAsia="es-ES_tradnl"/>
        </w:rPr>
        <w:t>Julio Cesar Peláez</w:t>
      </w:r>
      <w:r w:rsidR="00F43DCE" w:rsidRPr="00F43DCE">
        <w:rPr>
          <w:noProof/>
        </w:rPr>
        <w:t xml:space="preserve"> </w:t>
      </w:r>
    </w:p>
    <w:p w14:paraId="447D9092" w14:textId="77777777" w:rsidR="00C32D1C" w:rsidRPr="00F47EB3" w:rsidRDefault="00C32D1C" w:rsidP="00C32D1C">
      <w:pPr>
        <w:spacing w:after="0" w:line="240" w:lineRule="auto"/>
        <w:rPr>
          <w:rFonts w:ascii="Verdana" w:eastAsia="Calibri" w:hAnsi="Verdana" w:cs="Arial"/>
          <w:bCs/>
          <w:u w:val="single"/>
          <w:lang w:val="es-ES" w:eastAsia="es-ES"/>
        </w:rPr>
      </w:pPr>
      <w:r w:rsidRPr="00F47EB3">
        <w:rPr>
          <w:rFonts w:ascii="Verdana" w:eastAsia="Calibri" w:hAnsi="Verdana" w:cs="Arial"/>
          <w:bCs/>
          <w:lang w:val="es-ES_tradnl" w:eastAsia="es-ES_tradnl"/>
        </w:rPr>
        <w:t>Corporación Las Tablas</w:t>
      </w:r>
    </w:p>
    <w:p w14:paraId="2020094F" w14:textId="77777777" w:rsidR="00C32D1C" w:rsidRPr="00F47EB3" w:rsidRDefault="00F86066" w:rsidP="00C32D1C">
      <w:pPr>
        <w:spacing w:after="0" w:line="240" w:lineRule="auto"/>
        <w:rPr>
          <w:rFonts w:ascii="Verdana" w:eastAsia="Calibri" w:hAnsi="Verdana" w:cs="Arial"/>
          <w:u w:val="single"/>
          <w:lang w:val="es-ES" w:eastAsia="es-ES"/>
        </w:rPr>
      </w:pPr>
      <w:hyperlink r:id="rId11" w:history="1">
        <w:r w:rsidR="00C32D1C" w:rsidRPr="00F47EB3">
          <w:rPr>
            <w:rStyle w:val="Hipervnculo"/>
            <w:rFonts w:ascii="Verdana" w:eastAsia="Calibri" w:hAnsi="Verdana" w:cs="Arial"/>
            <w:lang w:val="es-ES" w:eastAsia="es-ES"/>
          </w:rPr>
          <w:t>corpotablas@gmail.com</w:t>
        </w:r>
      </w:hyperlink>
    </w:p>
    <w:p w14:paraId="0811CE21" w14:textId="77777777" w:rsidR="00C32D1C" w:rsidRPr="00F47EB3" w:rsidRDefault="00C32D1C" w:rsidP="00C32D1C">
      <w:pPr>
        <w:spacing w:after="0" w:line="240" w:lineRule="auto"/>
        <w:rPr>
          <w:rFonts w:ascii="Verdana" w:eastAsia="Calibri" w:hAnsi="Verdana" w:cs="Arial"/>
          <w:b/>
          <w:bCs/>
          <w:lang w:val="es-ES" w:eastAsia="es-ES"/>
        </w:rPr>
      </w:pPr>
      <w:r w:rsidRPr="00F47EB3">
        <w:rPr>
          <w:rFonts w:ascii="Verdana" w:eastAsia="Calibri" w:hAnsi="Verdana" w:cs="Arial"/>
          <w:lang w:val="es-ES" w:eastAsia="es-ES"/>
        </w:rPr>
        <w:t>Medellín, Antioquia</w:t>
      </w:r>
    </w:p>
    <w:p w14:paraId="2E1D84D5" w14:textId="77777777" w:rsidR="00C32D1C" w:rsidRPr="003033BC" w:rsidRDefault="00C32D1C" w:rsidP="00C32D1C">
      <w:pPr>
        <w:spacing w:after="0" w:line="240" w:lineRule="auto"/>
        <w:rPr>
          <w:rFonts w:ascii="Verdana" w:eastAsia="Calibri" w:hAnsi="Verdana" w:cs="Arial"/>
          <w:b/>
          <w:bCs/>
          <w:lang w:val="es-ES_tradnl" w:eastAsia="es-ES_tradnl"/>
        </w:rPr>
      </w:pPr>
    </w:p>
    <w:p w14:paraId="3D7DA5BD" w14:textId="77777777" w:rsidR="00C32D1C" w:rsidRPr="003033BC" w:rsidRDefault="00C32D1C" w:rsidP="00C32D1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033BC" w:rsidRPr="003033BC" w14:paraId="31FC24FA" w14:textId="77777777" w:rsidTr="009D4250">
        <w:trPr>
          <w:trHeight w:val="884"/>
        </w:trPr>
        <w:tc>
          <w:tcPr>
            <w:tcW w:w="2689" w:type="dxa"/>
          </w:tcPr>
          <w:p w14:paraId="184C0CA5" w14:textId="77777777" w:rsidR="00C32D1C" w:rsidRPr="003033BC" w:rsidRDefault="00C32D1C" w:rsidP="009D4250">
            <w:pPr>
              <w:jc w:val="both"/>
              <w:rPr>
                <w:rFonts w:ascii="Verdana" w:eastAsia="Calibri" w:hAnsi="Verdana" w:cs="Arial"/>
                <w:b/>
                <w:bCs/>
                <w:lang w:val="es-ES_tradnl" w:eastAsia="es-ES_tradnl"/>
              </w:rPr>
            </w:pPr>
          </w:p>
        </w:tc>
        <w:tc>
          <w:tcPr>
            <w:tcW w:w="6100" w:type="dxa"/>
          </w:tcPr>
          <w:p w14:paraId="388DC645" w14:textId="77777777" w:rsidR="00C32D1C" w:rsidRPr="003033BC" w:rsidRDefault="00C32D1C" w:rsidP="009D4250">
            <w:pPr>
              <w:jc w:val="both"/>
              <w:rPr>
                <w:rFonts w:ascii="Verdana" w:eastAsia="Calibri" w:hAnsi="Verdana" w:cs="Arial"/>
                <w:b/>
                <w:bCs/>
                <w:lang w:val="es-ES" w:eastAsia="es-ES"/>
              </w:rPr>
            </w:pPr>
            <w:r w:rsidRPr="003033BC">
              <w:rPr>
                <w:rFonts w:ascii="Verdana" w:eastAsia="Calibri" w:hAnsi="Verdana" w:cs="Arial"/>
                <w:b/>
                <w:bCs/>
                <w:lang w:val="es-ES" w:eastAsia="es-ES"/>
              </w:rPr>
              <w:t>Concepto C-397 de 2024</w:t>
            </w:r>
          </w:p>
        </w:tc>
      </w:tr>
      <w:tr w:rsidR="003033BC" w:rsidRPr="003033BC" w14:paraId="097D06FF" w14:textId="77777777" w:rsidTr="009D4250">
        <w:trPr>
          <w:trHeight w:val="884"/>
        </w:trPr>
        <w:tc>
          <w:tcPr>
            <w:tcW w:w="2689" w:type="dxa"/>
          </w:tcPr>
          <w:p w14:paraId="3123517B" w14:textId="77777777" w:rsidR="00C32D1C" w:rsidRPr="003033BC" w:rsidRDefault="00C32D1C" w:rsidP="009D4250">
            <w:pPr>
              <w:jc w:val="both"/>
              <w:rPr>
                <w:rFonts w:ascii="Verdana" w:eastAsia="Calibri" w:hAnsi="Verdana" w:cs="Arial"/>
                <w:lang w:val="es-ES_tradnl" w:eastAsia="es-ES_tradnl"/>
              </w:rPr>
            </w:pPr>
            <w:r w:rsidRPr="003033BC">
              <w:rPr>
                <w:rFonts w:ascii="Verdana" w:eastAsia="Calibri" w:hAnsi="Verdana" w:cs="Arial"/>
                <w:b/>
                <w:lang w:val="es-ES_tradnl" w:eastAsia="es-ES_tradnl"/>
              </w:rPr>
              <w:t>Temas:</w:t>
            </w:r>
            <w:r w:rsidRPr="003033BC">
              <w:rPr>
                <w:rFonts w:ascii="Verdana" w:eastAsia="Calibri" w:hAnsi="Verdana" w:cs="Arial"/>
                <w:lang w:val="es-ES_tradnl" w:eastAsia="es-ES_tradnl"/>
              </w:rPr>
              <w:t xml:space="preserve">                   </w:t>
            </w:r>
          </w:p>
        </w:tc>
        <w:tc>
          <w:tcPr>
            <w:tcW w:w="6100" w:type="dxa"/>
          </w:tcPr>
          <w:p w14:paraId="32F99A2D" w14:textId="77777777" w:rsidR="00C32D1C" w:rsidRPr="003033BC" w:rsidRDefault="00C32D1C" w:rsidP="009D4250">
            <w:pPr>
              <w:spacing w:line="276" w:lineRule="auto"/>
              <w:jc w:val="both"/>
              <w:rPr>
                <w:rFonts w:ascii="Verdana" w:hAnsi="Verdana" w:cs="Arial"/>
                <w:bCs/>
                <w:lang w:eastAsia="es-ES"/>
              </w:rPr>
            </w:pPr>
            <w:r w:rsidRPr="003033BC">
              <w:rPr>
                <w:rFonts w:ascii="Verdana" w:hAnsi="Verdana" w:cs="Arial"/>
                <w:bCs/>
                <w:lang w:val="es-ES_tradnl" w:eastAsia="es-ES"/>
              </w:rPr>
              <w:t xml:space="preserve">LEY 2069 DE 2020 – Artículo 34 / ENTIDADES DE ECONOMÍA SOLIDARIA – Asimilación a Mipymes – Ley 2069 de 2020 – Artículo 23 – Participación en convocatorias limitadas / CONVOCATORIAS LIMITADAS A MIPYMES – </w:t>
            </w:r>
            <w:r w:rsidRPr="003033BC">
              <w:rPr>
                <w:rFonts w:ascii="Verdana" w:eastAsia="Arial" w:hAnsi="Verdana" w:cs="Arial"/>
                <w:lang w:eastAsia="es-CO"/>
              </w:rPr>
              <w:t xml:space="preserve">Decreto 1082 de 2015 – artículo 2.2.1.2.4.2.2 </w:t>
            </w:r>
          </w:p>
          <w:p w14:paraId="2C9C768F" w14:textId="77777777" w:rsidR="00C32D1C" w:rsidRPr="003033BC" w:rsidRDefault="00C32D1C" w:rsidP="009D4250">
            <w:pPr>
              <w:spacing w:line="276" w:lineRule="auto"/>
              <w:jc w:val="both"/>
              <w:rPr>
                <w:rFonts w:ascii="Verdana" w:eastAsia="Calibri" w:hAnsi="Verdana" w:cs="Arial"/>
                <w:lang w:val="es-ES" w:eastAsia="es-ES"/>
              </w:rPr>
            </w:pPr>
          </w:p>
        </w:tc>
      </w:tr>
      <w:tr w:rsidR="003033BC" w:rsidRPr="003033BC" w14:paraId="1D1E0536" w14:textId="77777777" w:rsidTr="009D4250">
        <w:tc>
          <w:tcPr>
            <w:tcW w:w="2689" w:type="dxa"/>
          </w:tcPr>
          <w:p w14:paraId="1C821D36" w14:textId="77777777" w:rsidR="00C32D1C" w:rsidRPr="003033BC" w:rsidRDefault="00C32D1C" w:rsidP="009D4250">
            <w:pPr>
              <w:jc w:val="both"/>
              <w:rPr>
                <w:rFonts w:ascii="Verdana" w:eastAsia="Calibri" w:hAnsi="Verdana" w:cs="Arial"/>
                <w:b/>
                <w:lang w:val="es-ES_tradnl" w:eastAsia="es-ES_tradnl"/>
              </w:rPr>
            </w:pPr>
            <w:r w:rsidRPr="003033BC">
              <w:rPr>
                <w:rFonts w:ascii="Verdana" w:eastAsia="Calibri" w:hAnsi="Verdana" w:cs="Arial"/>
                <w:b/>
                <w:lang w:val="es-ES_tradnl" w:eastAsia="es-ES_tradnl"/>
              </w:rPr>
              <w:t>Radicación:</w:t>
            </w:r>
            <w:r w:rsidRPr="003033BC">
              <w:rPr>
                <w:rFonts w:ascii="Verdana" w:eastAsia="Calibri" w:hAnsi="Verdana" w:cs="Arial"/>
                <w:lang w:val="es-ES_tradnl" w:eastAsia="es-ES_tradnl"/>
              </w:rPr>
              <w:t xml:space="preserve">               </w:t>
            </w:r>
          </w:p>
        </w:tc>
        <w:tc>
          <w:tcPr>
            <w:tcW w:w="6100" w:type="dxa"/>
          </w:tcPr>
          <w:p w14:paraId="46A7596A" w14:textId="77777777" w:rsidR="00C32D1C" w:rsidRPr="003033BC" w:rsidRDefault="00C32D1C" w:rsidP="009D4250">
            <w:pPr>
              <w:jc w:val="both"/>
              <w:rPr>
                <w:rFonts w:ascii="Verdana" w:eastAsia="Calibri" w:hAnsi="Verdana" w:cs="Arial"/>
                <w:lang w:val="es-ES_tradnl" w:eastAsia="es-ES_tradnl"/>
              </w:rPr>
            </w:pPr>
            <w:r w:rsidRPr="003033BC">
              <w:rPr>
                <w:rFonts w:ascii="Verdana" w:eastAsia="Calibri" w:hAnsi="Verdana" w:cs="Arial"/>
                <w:lang w:val="es-ES_tradnl" w:eastAsia="es-ES_tradnl"/>
              </w:rPr>
              <w:t>Respuesta a consulta con radicado No. P20240726007704</w:t>
            </w:r>
          </w:p>
        </w:tc>
      </w:tr>
    </w:tbl>
    <w:p w14:paraId="23BAA9F5" w14:textId="77777777" w:rsidR="00C32D1C" w:rsidRPr="003033BC" w:rsidRDefault="00C32D1C" w:rsidP="00C32D1C">
      <w:pPr>
        <w:spacing w:after="0" w:line="240" w:lineRule="auto"/>
        <w:jc w:val="both"/>
        <w:rPr>
          <w:rFonts w:ascii="Verdana" w:eastAsia="Calibri" w:hAnsi="Verdana" w:cs="Arial"/>
          <w:lang w:val="es-ES_tradnl" w:eastAsia="es-ES_tradnl"/>
        </w:rPr>
      </w:pPr>
    </w:p>
    <w:p w14:paraId="4B16DE77" w14:textId="77777777" w:rsidR="00C32D1C" w:rsidRPr="003033BC" w:rsidRDefault="00C32D1C" w:rsidP="00C32D1C">
      <w:pPr>
        <w:spacing w:after="0" w:line="240" w:lineRule="auto"/>
        <w:jc w:val="both"/>
        <w:rPr>
          <w:rFonts w:ascii="Verdana" w:eastAsia="Calibri" w:hAnsi="Verdana" w:cs="Arial"/>
          <w:lang w:val="es-ES_tradnl" w:eastAsia="es-ES_tradnl"/>
        </w:rPr>
      </w:pPr>
    </w:p>
    <w:p w14:paraId="4761597D" w14:textId="77777777" w:rsidR="00C32D1C" w:rsidRPr="003033BC" w:rsidRDefault="00C32D1C" w:rsidP="00C32D1C">
      <w:pPr>
        <w:spacing w:after="0" w:line="276" w:lineRule="auto"/>
        <w:jc w:val="both"/>
        <w:rPr>
          <w:rFonts w:ascii="Verdana" w:eastAsia="Calibri" w:hAnsi="Verdana" w:cs="Arial"/>
          <w:lang w:val="es-ES" w:eastAsia="es-ES"/>
        </w:rPr>
      </w:pPr>
      <w:r w:rsidRPr="003033BC">
        <w:rPr>
          <w:rFonts w:ascii="Verdana" w:eastAsia="Calibri" w:hAnsi="Verdana" w:cs="Arial"/>
          <w:lang w:val="es-ES" w:eastAsia="es-ES"/>
        </w:rPr>
        <w:t xml:space="preserve">Estimado señor Peláez: </w:t>
      </w:r>
    </w:p>
    <w:p w14:paraId="7CB2FD94" w14:textId="77777777" w:rsidR="00C32D1C" w:rsidRPr="003033BC" w:rsidRDefault="00C32D1C" w:rsidP="00C32D1C">
      <w:pPr>
        <w:tabs>
          <w:tab w:val="left" w:pos="3768"/>
        </w:tabs>
        <w:spacing w:after="0" w:line="276" w:lineRule="auto"/>
        <w:jc w:val="both"/>
        <w:rPr>
          <w:rFonts w:ascii="Verdana" w:eastAsia="Calibri" w:hAnsi="Verdana" w:cs="Arial"/>
          <w:lang w:val="es-ES" w:eastAsia="es-ES"/>
        </w:rPr>
      </w:pPr>
      <w:r w:rsidRPr="003033BC">
        <w:rPr>
          <w:rFonts w:ascii="Verdana" w:eastAsia="Calibri" w:hAnsi="Verdana" w:cs="Arial"/>
          <w:lang w:val="es-ES" w:eastAsia="es-ES"/>
        </w:rPr>
        <w:tab/>
      </w:r>
    </w:p>
    <w:p w14:paraId="79B7098D" w14:textId="77777777" w:rsidR="00C32D1C" w:rsidRPr="003033BC" w:rsidRDefault="00C32D1C" w:rsidP="00C32D1C">
      <w:pPr>
        <w:spacing w:after="0" w:line="276" w:lineRule="auto"/>
        <w:jc w:val="both"/>
        <w:rPr>
          <w:rFonts w:ascii="Verdana" w:eastAsia="Calibri" w:hAnsi="Verdana" w:cs="Arial"/>
          <w:lang w:val="es-ES" w:eastAsia="es-ES"/>
        </w:rPr>
      </w:pPr>
      <w:r w:rsidRPr="003033BC">
        <w:rPr>
          <w:rFonts w:ascii="Verdana" w:eastAsia="Calibri" w:hAnsi="Verdana" w:cs="Arial"/>
          <w:lang w:val="es-ES" w:eastAsia="es-ES"/>
        </w:rPr>
        <w:t>En ejercicio de la competencia otorgada por los artículos 3, numeral 5º, y 11, numeral 8º, del Decreto Ley 4170 de 2011,</w:t>
      </w:r>
      <w:r w:rsidRPr="003033BC">
        <w:rPr>
          <w:rFonts w:ascii="Verdana" w:eastAsia="Arial MT" w:hAnsi="Verdana" w:cs="Arial MT"/>
          <w:lang w:val="es-ES" w:eastAsia="es-ES"/>
        </w:rPr>
        <w:t xml:space="preserve"> </w:t>
      </w:r>
      <w:r w:rsidRPr="003033BC">
        <w:rPr>
          <w:rFonts w:ascii="Verdana" w:hAnsi="Verdana" w:cs="Arial"/>
        </w:rPr>
        <w:t xml:space="preserve">así como lo establecido en el artículo 4 de la Resolución 1707 de 2018 expedida por esta Entidad, </w:t>
      </w:r>
      <w:r w:rsidRPr="003033BC">
        <w:rPr>
          <w:rFonts w:ascii="Verdana" w:eastAsia="Calibri" w:hAnsi="Verdana" w:cs="Arial"/>
          <w:lang w:val="es-ES" w:eastAsia="es-ES"/>
        </w:rPr>
        <w:t xml:space="preserve">la Agencia Nacional de Contratación Pública – Colombia Compra Eficiente– responde su solicitud de consulta de fecha 26 de julio de 2024, en la cual manifiesta lo siguiente: </w:t>
      </w:r>
    </w:p>
    <w:p w14:paraId="7DF670E9" w14:textId="77777777" w:rsidR="00C32D1C" w:rsidRPr="003033BC" w:rsidRDefault="00C32D1C" w:rsidP="00C32D1C">
      <w:pPr>
        <w:pStyle w:val="Prrafodelista"/>
        <w:tabs>
          <w:tab w:val="left" w:pos="142"/>
          <w:tab w:val="left" w:pos="284"/>
        </w:tabs>
        <w:spacing w:line="276" w:lineRule="auto"/>
        <w:ind w:left="0"/>
        <w:jc w:val="both"/>
        <w:rPr>
          <w:rFonts w:ascii="Verdana" w:eastAsia="Century Gothic" w:hAnsi="Verdana" w:cs="Century Gothic"/>
          <w:b/>
          <w:bCs/>
        </w:rPr>
      </w:pPr>
    </w:p>
    <w:p w14:paraId="7256A33C" w14:textId="77777777" w:rsidR="00C32D1C" w:rsidRPr="003033BC" w:rsidRDefault="00C32D1C" w:rsidP="00C32D1C">
      <w:pPr>
        <w:spacing w:after="0" w:line="240" w:lineRule="auto"/>
        <w:ind w:left="709" w:right="709"/>
        <w:jc w:val="both"/>
        <w:rPr>
          <w:rFonts w:ascii="Verdana" w:eastAsia="Century Gothic" w:hAnsi="Verdana" w:cs="Century Gothic"/>
          <w:sz w:val="20"/>
          <w:szCs w:val="20"/>
          <w:lang w:val="es-ES"/>
        </w:rPr>
      </w:pPr>
      <w:bookmarkStart w:id="1" w:name="_Hlk95313578"/>
      <w:r w:rsidRPr="003033BC">
        <w:rPr>
          <w:rFonts w:ascii="Verdana" w:eastAsia="Century Gothic" w:hAnsi="Verdana" w:cs="Century Gothic"/>
          <w:sz w:val="20"/>
          <w:szCs w:val="20"/>
          <w:lang w:val="es-ES"/>
        </w:rPr>
        <w:t>“</w:t>
      </w:r>
      <w:r w:rsidRPr="003033BC">
        <w:rPr>
          <w:rFonts w:ascii="Verdana" w:hAnsi="Verdana" w:cs="Arial"/>
          <w:sz w:val="20"/>
          <w:szCs w:val="20"/>
          <w:shd w:val="clear" w:color="auto" w:fill="FFFFFF"/>
        </w:rPr>
        <w:t xml:space="preserve">Si tenemos en cuenta que toda la contratación estatal está prediseñada para que las MiPymes puedan solicitar cerrar las convocatorias a esta modalidad, ya que impulsan la economía interna de cada micro y pequeña empresa y así se estimula la economía del país; ¿cómo hacer para no dejar por fuera a las Esales o entidades sin ánimo de lucro que también pertenecen al segmento de micro y pequeña empresa y que requieren poder trabajar así no generen utilidades? Esto debido a que sus objetos sociales les deben permitir sobrevivir, pagar sus empleados y tener una vida económicamente que en el ochenta por ciento depende de la contratación estatal. una condición que en principio era solamente para tener en cuenta la condición de micro y pequeña empresa y se termina </w:t>
      </w:r>
      <w:r w:rsidRPr="003033BC">
        <w:rPr>
          <w:rFonts w:ascii="Verdana" w:hAnsi="Verdana" w:cs="Arial"/>
          <w:sz w:val="20"/>
          <w:szCs w:val="20"/>
          <w:shd w:val="clear" w:color="auto" w:fill="FFFFFF"/>
        </w:rPr>
        <w:lastRenderedPageBreak/>
        <w:t>convirtiendo en un criterio que no permite pluralidad de oferentes. Qué pasará con las ESALES si las siguientes convocatorias del seco sean cerradas a las MiPymes: ¿qué pasará entonces con las entidades sin ánimo de lucro del país?</w:t>
      </w:r>
      <w:r w:rsidRPr="003033BC">
        <w:rPr>
          <w:rFonts w:ascii="Verdana" w:eastAsia="Century Gothic" w:hAnsi="Verdana" w:cs="Century Gothic"/>
          <w:sz w:val="20"/>
          <w:szCs w:val="20"/>
          <w:lang w:val="es-ES"/>
        </w:rPr>
        <w:t>”</w:t>
      </w:r>
      <w:bookmarkEnd w:id="1"/>
      <w:r w:rsidRPr="003033BC">
        <w:rPr>
          <w:rFonts w:ascii="Verdana" w:eastAsia="Century Gothic" w:hAnsi="Verdana" w:cs="Century Gothic"/>
          <w:sz w:val="20"/>
          <w:szCs w:val="20"/>
          <w:lang w:val="es-ES"/>
        </w:rPr>
        <w:t>.</w:t>
      </w:r>
    </w:p>
    <w:p w14:paraId="00C13A19" w14:textId="77777777" w:rsidR="00C32D1C" w:rsidRPr="003033BC" w:rsidRDefault="00C32D1C" w:rsidP="00C32D1C">
      <w:pPr>
        <w:pStyle w:val="Prrafodelista"/>
        <w:tabs>
          <w:tab w:val="left" w:pos="142"/>
          <w:tab w:val="left" w:pos="284"/>
        </w:tabs>
        <w:spacing w:line="276" w:lineRule="auto"/>
        <w:ind w:left="0"/>
        <w:jc w:val="both"/>
        <w:rPr>
          <w:rFonts w:ascii="Verdana" w:eastAsia="Century Gothic" w:hAnsi="Verdana" w:cs="Century Gothic"/>
          <w:b/>
          <w:bCs/>
        </w:rPr>
      </w:pPr>
    </w:p>
    <w:p w14:paraId="0FDE89F5" w14:textId="77777777" w:rsidR="00C32D1C" w:rsidRPr="003033BC" w:rsidRDefault="00C32D1C" w:rsidP="00C32D1C">
      <w:pPr>
        <w:spacing w:after="120" w:line="276" w:lineRule="auto"/>
        <w:ind w:firstLine="709"/>
        <w:jc w:val="both"/>
        <w:rPr>
          <w:rFonts w:ascii="Verdana" w:eastAsia="Calibri" w:hAnsi="Verdana" w:cs="Arial"/>
          <w:szCs w:val="24"/>
          <w:lang w:val="es-ES_tradnl" w:eastAsia="es-ES_tradnl"/>
        </w:rPr>
      </w:pPr>
      <w:r w:rsidRPr="003033BC">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033BC">
        <w:rPr>
          <w:rFonts w:ascii="Verdana" w:eastAsia="Calibri" w:hAnsi="Verdana" w:cs="Arial"/>
          <w:szCs w:val="24"/>
          <w:lang w:val="es-ES_tradnl" w:eastAsia="es-ES_tradnl"/>
        </w:rPr>
        <w:tab/>
      </w:r>
    </w:p>
    <w:p w14:paraId="675F2A4F" w14:textId="77777777" w:rsidR="00C32D1C" w:rsidRPr="003033BC" w:rsidRDefault="00C32D1C" w:rsidP="00C32D1C">
      <w:pPr>
        <w:spacing w:after="0" w:line="276" w:lineRule="auto"/>
        <w:ind w:firstLine="709"/>
        <w:jc w:val="both"/>
        <w:rPr>
          <w:rFonts w:ascii="Verdana" w:eastAsia="Calibri" w:hAnsi="Verdana" w:cs="Arial"/>
          <w:lang w:val="es-ES" w:eastAsia="es-ES"/>
        </w:rPr>
      </w:pPr>
      <w:r w:rsidRPr="003033BC">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8E707C8" w14:textId="77777777" w:rsidR="00C32D1C" w:rsidRPr="003033BC" w:rsidRDefault="00C32D1C" w:rsidP="00C32D1C">
      <w:pPr>
        <w:spacing w:after="0" w:line="276" w:lineRule="auto"/>
        <w:ind w:firstLine="709"/>
        <w:jc w:val="both"/>
        <w:rPr>
          <w:rFonts w:ascii="Verdana" w:eastAsia="Calibri" w:hAnsi="Verdana" w:cs="Arial"/>
          <w:lang w:val="es-ES" w:eastAsia="es-ES"/>
        </w:rPr>
      </w:pPr>
    </w:p>
    <w:p w14:paraId="6222552D" w14:textId="77777777" w:rsidR="00C32D1C" w:rsidRPr="003033BC" w:rsidRDefault="00C32D1C" w:rsidP="00C32D1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3033BC">
        <w:rPr>
          <w:rFonts w:ascii="Verdana" w:eastAsia="Century Gothic" w:hAnsi="Verdana" w:cs="Century Gothic"/>
          <w:b/>
          <w:bCs/>
        </w:rPr>
        <w:t>Problema planteado:</w:t>
      </w:r>
    </w:p>
    <w:p w14:paraId="5A2A912A" w14:textId="77777777" w:rsidR="00C32D1C" w:rsidRPr="003033BC" w:rsidRDefault="00C32D1C" w:rsidP="00C32D1C">
      <w:pPr>
        <w:tabs>
          <w:tab w:val="left" w:pos="426"/>
        </w:tabs>
        <w:spacing w:after="0" w:line="276" w:lineRule="auto"/>
        <w:jc w:val="both"/>
        <w:rPr>
          <w:rFonts w:ascii="Verdana" w:eastAsia="Century Gothic" w:hAnsi="Verdana" w:cs="Century Gothic"/>
          <w:lang w:val="es-ES"/>
        </w:rPr>
      </w:pPr>
    </w:p>
    <w:p w14:paraId="590D6285" w14:textId="5E24C707" w:rsidR="00E0143F" w:rsidRPr="00FF349D" w:rsidRDefault="00C32D1C" w:rsidP="00E0143F">
      <w:pPr>
        <w:spacing w:after="0" w:line="276" w:lineRule="auto"/>
        <w:jc w:val="both"/>
        <w:rPr>
          <w:rFonts w:ascii="Verdana" w:eastAsia="Century Gothic" w:hAnsi="Verdana" w:cs="Century Gothic"/>
          <w:lang w:val="es-ES"/>
        </w:rPr>
      </w:pPr>
      <w:r w:rsidRPr="003033BC">
        <w:rPr>
          <w:rFonts w:ascii="Verdana" w:eastAsia="Century Gothic" w:hAnsi="Verdana" w:cs="Century Gothic"/>
        </w:rPr>
        <w:t xml:space="preserve">De acuerdo con el contenido de su solicitud, esta Agencia resolverá el siguiente problema jurídico: </w:t>
      </w:r>
      <w:proofErr w:type="gramStart"/>
      <w:r w:rsidRPr="003033BC">
        <w:rPr>
          <w:rFonts w:ascii="Verdana" w:eastAsia="Century Gothic" w:hAnsi="Verdana" w:cs="Century Gothic"/>
        </w:rPr>
        <w:t>¿</w:t>
      </w:r>
      <w:r w:rsidR="00870FB2">
        <w:rPr>
          <w:rFonts w:ascii="Verdana" w:eastAsia="Century Gothic" w:hAnsi="Verdana" w:cs="Century Gothic"/>
        </w:rPr>
        <w:t xml:space="preserve"> </w:t>
      </w:r>
      <w:r w:rsidR="00870FB2">
        <w:rPr>
          <w:rFonts w:ascii="Verdana" w:eastAsia="Century Gothic" w:hAnsi="Verdana" w:cs="Century Gothic"/>
          <w:lang w:val="es-ES"/>
        </w:rPr>
        <w:t>¡</w:t>
      </w:r>
      <w:proofErr w:type="gramEnd"/>
      <w:r w:rsidR="00E0143F" w:rsidRPr="532598F3">
        <w:rPr>
          <w:rFonts w:ascii="Verdana" w:eastAsia="Century Gothic" w:hAnsi="Verdana" w:cs="Century Gothic"/>
          <w:lang w:val="es-ES"/>
        </w:rPr>
        <w:t xml:space="preserve">Pueden las entidades sin ánimo de lucro (ESAL) participar en procesos de contratación limitados para Mipymes  y </w:t>
      </w:r>
      <w:r w:rsidR="00E0143F" w:rsidRPr="532598F3">
        <w:rPr>
          <w:rFonts w:ascii="Verdana" w:hAnsi="Verdana"/>
          <w:lang w:val="es-ES"/>
        </w:rPr>
        <w:t>obtener los beneficios de estas respecto a factores diferenciales y puntajes</w:t>
      </w:r>
      <w:r w:rsidR="00E0143F" w:rsidRPr="532598F3">
        <w:rPr>
          <w:rFonts w:ascii="Verdana" w:eastAsia="Century Gothic" w:hAnsi="Verdana" w:cs="Century Gothic"/>
          <w:lang w:val="es-ES"/>
        </w:rPr>
        <w:t xml:space="preserve">? </w:t>
      </w:r>
    </w:p>
    <w:p w14:paraId="2F7A8093" w14:textId="77777777" w:rsidR="00C32D1C" w:rsidRPr="003033BC" w:rsidRDefault="00C32D1C" w:rsidP="00C32D1C">
      <w:pPr>
        <w:spacing w:after="0" w:line="276" w:lineRule="auto"/>
        <w:jc w:val="both"/>
        <w:rPr>
          <w:rFonts w:ascii="Verdana" w:eastAsia="Calibri" w:hAnsi="Verdana" w:cs="Arial"/>
          <w:lang w:val="es-ES"/>
        </w:rPr>
      </w:pPr>
    </w:p>
    <w:p w14:paraId="09A35A6D" w14:textId="77777777" w:rsidR="00C32D1C" w:rsidRPr="003033BC" w:rsidRDefault="00C32D1C" w:rsidP="00C32D1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033BC">
        <w:rPr>
          <w:rFonts w:ascii="Verdana" w:eastAsia="Century Gothic" w:hAnsi="Verdana" w:cs="Century Gothic"/>
          <w:b/>
          <w:bCs/>
        </w:rPr>
        <w:t>Respuesta:</w:t>
      </w:r>
    </w:p>
    <w:p w14:paraId="5AD0C4F6" w14:textId="77777777" w:rsidR="00C32D1C" w:rsidRPr="003033BC" w:rsidRDefault="00C32D1C" w:rsidP="00C32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033BC" w:rsidRPr="003033BC" w14:paraId="0C500F5D" w14:textId="77777777" w:rsidTr="009D4250">
        <w:tc>
          <w:tcPr>
            <w:tcW w:w="8828" w:type="dxa"/>
            <w:shd w:val="clear" w:color="auto" w:fill="auto"/>
          </w:tcPr>
          <w:p w14:paraId="65DD0073" w14:textId="77777777" w:rsidR="000A5090" w:rsidRPr="00FF349D" w:rsidRDefault="000A5090" w:rsidP="000A5090">
            <w:pPr>
              <w:spacing w:before="120" w:line="276" w:lineRule="auto"/>
              <w:ind w:right="49"/>
              <w:jc w:val="both"/>
              <w:rPr>
                <w:rFonts w:ascii="Verdana" w:eastAsia="Calibri" w:hAnsi="Verdana" w:cs="Arial"/>
                <w:lang w:val="es-ES_tradnl"/>
              </w:rPr>
            </w:pPr>
            <w:r w:rsidRPr="00FF349D">
              <w:rPr>
                <w:rFonts w:ascii="Verdana" w:hAnsi="Verdana" w:cs="Arial"/>
                <w:lang w:val="es-ES_tradnl"/>
              </w:rPr>
              <w:t>Las entidades sin ánimo de lucro desde ahora ESAL</w:t>
            </w:r>
            <w:r w:rsidRPr="00FF349D">
              <w:rPr>
                <w:rFonts w:ascii="Verdana" w:eastAsia="Calibri" w:hAnsi="Verdana" w:cs="Arial"/>
                <w:lang w:val="es-ES_tradnl"/>
              </w:rPr>
              <w:t xml:space="preserve"> no pueden participar en procesos en los que se hubiese realizado la limitación para </w:t>
            </w:r>
            <w:proofErr w:type="spellStart"/>
            <w:r w:rsidRPr="00FF349D">
              <w:rPr>
                <w:rFonts w:ascii="Verdana" w:eastAsia="Calibri" w:hAnsi="Verdana" w:cs="Arial"/>
                <w:lang w:val="es-ES_tradnl"/>
              </w:rPr>
              <w:t>Mypimes</w:t>
            </w:r>
            <w:proofErr w:type="spellEnd"/>
            <w:r w:rsidRPr="00FF349D">
              <w:rPr>
                <w:rFonts w:ascii="Verdana" w:eastAsia="Calibri" w:hAnsi="Verdana" w:cs="Arial"/>
                <w:lang w:val="es-ES_tradnl"/>
              </w:rPr>
              <w:t xml:space="preserve">, considerando que en atención del artículo 43 de la Ley 1450 de 2011, que modificó el artículo 2 de la Ley 590 de 2000, puede decirse que solo podrán ser Mipymes las empresas, entendidas estas como las unidades de explotación </w:t>
            </w:r>
            <w:r w:rsidRPr="00FF349D">
              <w:rPr>
                <w:rFonts w:ascii="Verdana" w:eastAsia="Calibri" w:hAnsi="Verdana" w:cs="Arial"/>
                <w:lang w:val="es-ES_tradnl"/>
              </w:rPr>
              <w:lastRenderedPageBreak/>
              <w:t xml:space="preserve">económica que buscan el reparto de utilidades entre los miembros de la empresa. </w:t>
            </w:r>
          </w:p>
          <w:p w14:paraId="16210882" w14:textId="631DCB4F" w:rsidR="00C32D1C" w:rsidRPr="003033BC" w:rsidRDefault="000A5090" w:rsidP="009D4250">
            <w:pPr>
              <w:spacing w:line="276" w:lineRule="auto"/>
              <w:jc w:val="both"/>
              <w:rPr>
                <w:rFonts w:ascii="Verdana" w:eastAsia="Calibri" w:hAnsi="Verdana" w:cs="Arial"/>
                <w:lang w:val="es-ES"/>
              </w:rPr>
            </w:pPr>
            <w:r w:rsidRPr="00FF349D">
              <w:rPr>
                <w:rFonts w:ascii="Verdana" w:eastAsia="Calibri" w:hAnsi="Verdana" w:cs="Arial"/>
                <w:lang w:val="es-ES_tradnl"/>
              </w:rPr>
              <w:t>De esta forma, en razón a que las ESAL no persiguen el reparto de utilidades entre sus miembros, en el entendido en que no tienen ánimo de lucro, y que su objeto está destinado a realizar actividades de interés general sin esperar a cambio un reparto de ganancia en proporción a sus utilidades, lo cierto es que estas no podrán participar en los procesos de contratación limitados a Mipymes. Lo anterior teniendo en cuenta que no responden al concepto de empresa que involucra dicha categoría, por lo que no resulta jurídicamente válido aplicar a las ESAL las normas dirigidas a las Mipymes</w:t>
            </w:r>
          </w:p>
        </w:tc>
      </w:tr>
    </w:tbl>
    <w:p w14:paraId="766A15BC" w14:textId="77777777" w:rsidR="00C32D1C" w:rsidRPr="003033BC" w:rsidRDefault="00C32D1C" w:rsidP="00C32D1C">
      <w:pPr>
        <w:tabs>
          <w:tab w:val="left" w:pos="142"/>
          <w:tab w:val="left" w:pos="284"/>
        </w:tabs>
        <w:spacing w:after="0" w:line="276" w:lineRule="auto"/>
        <w:jc w:val="both"/>
        <w:rPr>
          <w:rFonts w:ascii="Verdana" w:eastAsia="Century Gothic" w:hAnsi="Verdana" w:cs="Century Gothic"/>
          <w:b/>
          <w:bCs/>
          <w:lang w:val="es-ES"/>
        </w:rPr>
      </w:pPr>
    </w:p>
    <w:p w14:paraId="5ED0BAEA" w14:textId="77777777" w:rsidR="00C32D1C" w:rsidRPr="003033BC" w:rsidRDefault="00C32D1C" w:rsidP="00C32D1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033BC">
        <w:rPr>
          <w:rFonts w:ascii="Verdana" w:eastAsia="Century Gothic" w:hAnsi="Verdana" w:cs="Century Gothic"/>
          <w:b/>
          <w:bCs/>
        </w:rPr>
        <w:t>Razones de la respuesta:</w:t>
      </w:r>
    </w:p>
    <w:p w14:paraId="089F9953" w14:textId="77777777" w:rsidR="00C32D1C" w:rsidRPr="003033BC" w:rsidRDefault="00C32D1C" w:rsidP="00C32D1C">
      <w:pPr>
        <w:spacing w:after="0" w:line="276" w:lineRule="auto"/>
        <w:jc w:val="both"/>
        <w:rPr>
          <w:rFonts w:ascii="Verdana" w:eastAsia="Calibri" w:hAnsi="Verdana" w:cs="Arial"/>
          <w:lang w:val="es-ES"/>
        </w:rPr>
      </w:pPr>
    </w:p>
    <w:p w14:paraId="6DC9B15C" w14:textId="77777777" w:rsidR="00C32D1C" w:rsidRPr="003033BC" w:rsidRDefault="00C32D1C" w:rsidP="00C32D1C">
      <w:pPr>
        <w:spacing w:after="0" w:line="276" w:lineRule="auto"/>
        <w:jc w:val="both"/>
        <w:rPr>
          <w:rFonts w:ascii="Verdana" w:eastAsia="Calibri" w:hAnsi="Verdana" w:cs="Arial"/>
          <w:lang w:val="es-ES"/>
        </w:rPr>
      </w:pPr>
      <w:r w:rsidRPr="003033BC">
        <w:rPr>
          <w:rFonts w:ascii="Verdana" w:eastAsia="Calibri" w:hAnsi="Verdana" w:cs="Arial"/>
          <w:lang w:val="es-ES"/>
        </w:rPr>
        <w:t xml:space="preserve">Lo anterior se sustenta en las siguientes consideraciones: </w:t>
      </w:r>
    </w:p>
    <w:p w14:paraId="6DA5F6B4" w14:textId="77777777" w:rsidR="00C32D1C" w:rsidRPr="003033BC" w:rsidRDefault="00C32D1C" w:rsidP="00C32D1C">
      <w:pPr>
        <w:spacing w:after="0" w:line="276" w:lineRule="auto"/>
        <w:jc w:val="both"/>
        <w:rPr>
          <w:rFonts w:ascii="Verdana" w:eastAsia="Calibri" w:hAnsi="Verdana" w:cs="Arial"/>
          <w:lang w:val="es-ES"/>
        </w:rPr>
      </w:pPr>
    </w:p>
    <w:p w14:paraId="74B23577" w14:textId="77777777" w:rsidR="00FB0006" w:rsidRPr="00FF349D" w:rsidRDefault="00FB0006" w:rsidP="00FB0006">
      <w:pPr>
        <w:spacing w:after="0" w:line="276" w:lineRule="auto"/>
        <w:jc w:val="both"/>
        <w:rPr>
          <w:rFonts w:ascii="Verdana" w:eastAsia="Calibri" w:hAnsi="Verdana" w:cs="Arial"/>
          <w:lang w:val="es-ES_tradnl"/>
        </w:rPr>
      </w:pPr>
      <w:r w:rsidRPr="00FF349D">
        <w:rPr>
          <w:rFonts w:ascii="Verdana" w:eastAsia="Calibri" w:hAnsi="Verdana" w:cs="Arial"/>
          <w:lang w:val="es-ES_tradnl"/>
        </w:rPr>
        <w:t xml:space="preserve">Lo anterior se sustenta en las siguientes consideraciones: </w:t>
      </w:r>
    </w:p>
    <w:p w14:paraId="73B9FB15" w14:textId="77777777" w:rsidR="00FB0006" w:rsidRPr="00FF349D" w:rsidRDefault="00FB0006" w:rsidP="00FB0006">
      <w:pPr>
        <w:spacing w:after="0" w:line="276" w:lineRule="auto"/>
        <w:jc w:val="both"/>
        <w:rPr>
          <w:rFonts w:ascii="Verdana" w:eastAsia="Calibri" w:hAnsi="Verdana" w:cs="Arial"/>
          <w:lang w:val="es-ES_tradnl"/>
        </w:rPr>
      </w:pPr>
    </w:p>
    <w:p w14:paraId="40E2415A" w14:textId="77777777" w:rsidR="00FB0006" w:rsidRPr="00FF349D" w:rsidRDefault="00FB0006" w:rsidP="00FB0006">
      <w:pPr>
        <w:numPr>
          <w:ilvl w:val="0"/>
          <w:numId w:val="18"/>
        </w:numPr>
        <w:spacing w:after="0" w:line="276" w:lineRule="auto"/>
        <w:contextualSpacing/>
        <w:jc w:val="both"/>
        <w:rPr>
          <w:rFonts w:ascii="Verdana" w:eastAsia="Calibri" w:hAnsi="Verdana" w:cs="Arial"/>
          <w:color w:val="7030A0"/>
          <w:lang w:val="es-ES"/>
        </w:rPr>
      </w:pPr>
      <w:r w:rsidRPr="29DDF2A8">
        <w:rPr>
          <w:rFonts w:ascii="Verdana" w:hAnsi="Verdana"/>
          <w:lang w:val="es-ES"/>
        </w:rPr>
        <w:t xml:space="preserve">Ley 2069 de 2020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un enfoque regionalizado </w:t>
      </w:r>
      <w:proofErr w:type="gramStart"/>
      <w:r w:rsidRPr="29DDF2A8">
        <w:rPr>
          <w:rFonts w:ascii="Verdana" w:hAnsi="Verdana"/>
          <w:lang w:val="es-ES"/>
        </w:rPr>
        <w:t>de acuerdo a</w:t>
      </w:r>
      <w:proofErr w:type="gramEnd"/>
      <w:r w:rsidRPr="29DDF2A8">
        <w:rPr>
          <w:rFonts w:ascii="Verdana" w:hAnsi="Verdana"/>
          <w:lang w:val="es-ES"/>
        </w:rPr>
        <w:t xml:space="preserve"> las realidades socioeconómicas de cada región”.</w:t>
      </w:r>
    </w:p>
    <w:p w14:paraId="42F1E2C0" w14:textId="77777777" w:rsidR="00FB0006" w:rsidRPr="00FF349D" w:rsidRDefault="00FB0006" w:rsidP="00FB0006">
      <w:pPr>
        <w:ind w:left="720"/>
        <w:contextualSpacing/>
        <w:jc w:val="both"/>
        <w:rPr>
          <w:rFonts w:ascii="Verdana" w:eastAsia="Calibri" w:hAnsi="Verdana" w:cs="Arial"/>
          <w:bCs/>
          <w:lang w:val="es-ES_tradnl"/>
        </w:rPr>
      </w:pPr>
    </w:p>
    <w:p w14:paraId="5494BD69" w14:textId="77777777" w:rsidR="00FB0006" w:rsidRPr="00FF349D" w:rsidRDefault="00FB0006" w:rsidP="00FB0006">
      <w:pPr>
        <w:numPr>
          <w:ilvl w:val="0"/>
          <w:numId w:val="18"/>
        </w:numPr>
        <w:spacing w:after="120" w:line="276" w:lineRule="auto"/>
        <w:contextualSpacing/>
        <w:jc w:val="both"/>
        <w:rPr>
          <w:rFonts w:ascii="Verdana" w:eastAsia="Calibri" w:hAnsi="Verdana" w:cs="Times New Roman"/>
          <w:lang w:val="es-ES"/>
        </w:rPr>
      </w:pPr>
      <w:r w:rsidRPr="29DDF2A8">
        <w:rPr>
          <w:rFonts w:ascii="Verdana" w:eastAsia="Calibri" w:hAnsi="Verdana" w:cs="Times New Roman"/>
          <w:lang w:val="es-ES"/>
        </w:rPr>
        <w:t>Solo podrán ser Mipymes las empresas, entendidas estas como las unidades de explotación económica que buscan el reparto de utilidades entre los miembros de la empresa, en razón a que las ESAL no persiguen el reparto de utilidades entre sus miembros, y por regla general, no podrían participar en los procesos de contratación limitados a Mipymes; lo anterior no quiere significar que las ESAL no sean personas jurídicas o que no tengan capacidad contractual. De hecho, el Decreto 092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Mipymes.</w:t>
      </w:r>
    </w:p>
    <w:p w14:paraId="693340EE" w14:textId="77777777" w:rsidR="00FB0006" w:rsidRPr="00FF349D" w:rsidRDefault="00FB0006" w:rsidP="00FB0006">
      <w:pPr>
        <w:ind w:left="720"/>
        <w:contextualSpacing/>
        <w:rPr>
          <w:rFonts w:ascii="Verdana" w:eastAsia="Calibri" w:hAnsi="Verdana" w:cs="Times New Roman"/>
          <w:lang w:val="es-ES_tradnl"/>
        </w:rPr>
      </w:pPr>
    </w:p>
    <w:p w14:paraId="6E4ED7DB" w14:textId="77777777" w:rsidR="00FB0006" w:rsidRDefault="00FB0006" w:rsidP="00FB0006">
      <w:pPr>
        <w:numPr>
          <w:ilvl w:val="0"/>
          <w:numId w:val="18"/>
        </w:numPr>
        <w:spacing w:after="120" w:line="276" w:lineRule="auto"/>
        <w:contextualSpacing/>
        <w:jc w:val="both"/>
        <w:rPr>
          <w:rFonts w:ascii="Verdana" w:eastAsia="Calibri" w:hAnsi="Verdana" w:cs="Times New Roman"/>
          <w:lang w:val="es-ES"/>
        </w:rPr>
      </w:pPr>
      <w:r w:rsidRPr="29DDF2A8">
        <w:rPr>
          <w:rFonts w:ascii="Verdana" w:eastAsia="Calibri" w:hAnsi="Verdana" w:cs="Times New Roman"/>
          <w:lang w:val="es-ES"/>
        </w:rPr>
        <w:lastRenderedPageBreak/>
        <w:t>Se precisa que las ESAL no pueden solicitar la limitación de los procesos contractuales Mipyme, ni participar en procesos en los que se hubiese realizado la limitación, considerando que en atención del artículo 43 de la Ley 1450 de 2011, que modificó el artículo 2 de la Ley 590 de 2000.</w:t>
      </w:r>
    </w:p>
    <w:p w14:paraId="2C8EA917" w14:textId="77777777" w:rsidR="00DA0BDD" w:rsidRDefault="00DA0BDD" w:rsidP="00296E54">
      <w:pPr>
        <w:pStyle w:val="Prrafodelista"/>
        <w:rPr>
          <w:rFonts w:ascii="Verdana" w:eastAsia="Calibri" w:hAnsi="Verdana" w:cs="Times New Roman"/>
        </w:rPr>
      </w:pPr>
    </w:p>
    <w:p w14:paraId="198E077D" w14:textId="77777777" w:rsidR="00DA0BDD" w:rsidRPr="00296E54" w:rsidRDefault="00DA0BDD" w:rsidP="00DA0BDD">
      <w:pPr>
        <w:spacing w:after="120" w:line="276" w:lineRule="auto"/>
        <w:jc w:val="both"/>
        <w:rPr>
          <w:rFonts w:ascii="Verdana" w:eastAsia="Calibri" w:hAnsi="Verdana" w:cs="Times New Roman"/>
          <w:lang w:val="es-ES"/>
        </w:rPr>
      </w:pPr>
      <w:r w:rsidRPr="00296E54">
        <w:rPr>
          <w:rFonts w:ascii="Verdana" w:eastAsia="Calibri" w:hAnsi="Verdana" w:cs="Times New Roman"/>
          <w:lang w:val="es-ES"/>
        </w:rPr>
        <w:t>El artículo 43 de la Ley 1450 de 2011 que modificó el artículo 2 de la Ley 590 de 2000, define la empresa como toda unidad de explotación económica que realiza una persona natural o jurídica en actividades agropecuarias, industriales, comerciales o de servicios</w:t>
      </w:r>
      <w:r w:rsidRPr="00296E54">
        <w:rPr>
          <w:rFonts w:ascii="Verdana" w:eastAsia="Calibri" w:hAnsi="Verdana" w:cs="Times New Roman"/>
          <w:lang w:val="es-ES"/>
        </w:rPr>
        <w:footnoteReference w:id="2"/>
      </w:r>
      <w:r w:rsidRPr="00296E54">
        <w:rPr>
          <w:rFonts w:ascii="Verdana" w:eastAsia="Calibri" w:hAnsi="Verdana" w:cs="Times New Roman"/>
          <w:lang w:val="es-ES"/>
        </w:rPr>
        <w:t xml:space="preserve">. Además, establece que estas se clasifican en micro, pequeña, mediana y gran empresa, de acuerdo con los criterios del número de trabajadores totales, el valor de ventas brutales anuales y el valor de activos totales. Ahora bien, el artículo 2.2.1.13.2.2. del Decreto 1074 de 2015, adicionado por el Decreto 957 de 2019, establece que: </w:t>
      </w:r>
    </w:p>
    <w:p w14:paraId="78C21010" w14:textId="77777777" w:rsidR="00DA0BDD" w:rsidRPr="00296E54" w:rsidRDefault="00DA0BDD" w:rsidP="00DA0BDD">
      <w:pPr>
        <w:pStyle w:val="Prrafodelista"/>
        <w:numPr>
          <w:ilvl w:val="0"/>
          <w:numId w:val="23"/>
        </w:numPr>
        <w:tabs>
          <w:tab w:val="left" w:pos="993"/>
        </w:tabs>
        <w:spacing w:after="120" w:line="276" w:lineRule="auto"/>
        <w:ind w:left="0" w:firstLine="851"/>
        <w:jc w:val="both"/>
        <w:rPr>
          <w:rFonts w:ascii="Verdana" w:eastAsia="Calibri" w:hAnsi="Verdana" w:cs="Times New Roman"/>
        </w:rPr>
      </w:pPr>
      <w:r w:rsidRPr="00296E54">
        <w:rPr>
          <w:rFonts w:ascii="Verdana" w:eastAsia="Calibri" w:hAnsi="Verdana" w:cs="Times New Roman"/>
        </w:rPr>
        <w:t>La microempresa en el sector manufacturero, es “aquella cuyos ingresos por actividades ordinarias anuales sean inferiores o iguales a veintitrés mil quinientos sesenta y tres Unidades de Valor Tributario (23.563 UVT)”, en el sector servicios, la que sus “ingresos por actividades ordinarias anuales sean inferiores o iguales a treinta y dos mil novecientos ochenta y ocho Unidades de Valor Tributario (32.988 UVT)”, y en el sector comercio, la que sus “ingresos por actividades ordinarias anuales sean inferiores o iguales a cuarenta y cuatro mil setecientos sesenta y nueve Unidades de Valor Tributario (44.769 UVT)</w:t>
      </w:r>
    </w:p>
    <w:p w14:paraId="47EF24DB" w14:textId="77777777" w:rsidR="00DA0BDD" w:rsidRPr="00296E54" w:rsidRDefault="00DA0BDD" w:rsidP="00DA0BDD">
      <w:pPr>
        <w:pStyle w:val="Prrafodelista"/>
        <w:tabs>
          <w:tab w:val="left" w:pos="993"/>
        </w:tabs>
        <w:spacing w:after="120" w:line="276" w:lineRule="auto"/>
        <w:ind w:left="851"/>
        <w:jc w:val="both"/>
        <w:rPr>
          <w:rFonts w:ascii="Verdana" w:eastAsia="Calibri" w:hAnsi="Verdana" w:cs="Times New Roman"/>
        </w:rPr>
      </w:pPr>
    </w:p>
    <w:p w14:paraId="3C65C6E4" w14:textId="77777777" w:rsidR="00DA0BDD" w:rsidRPr="00296E54" w:rsidRDefault="00DA0BDD" w:rsidP="00DA0BDD">
      <w:pPr>
        <w:pStyle w:val="Prrafodelista"/>
        <w:numPr>
          <w:ilvl w:val="0"/>
          <w:numId w:val="23"/>
        </w:numPr>
        <w:tabs>
          <w:tab w:val="left" w:pos="993"/>
        </w:tabs>
        <w:spacing w:after="120" w:line="276" w:lineRule="auto"/>
        <w:ind w:left="0" w:firstLine="851"/>
        <w:jc w:val="both"/>
        <w:rPr>
          <w:rFonts w:ascii="Verdana" w:eastAsia="Calibri" w:hAnsi="Verdana" w:cs="Times New Roman"/>
        </w:rPr>
      </w:pPr>
      <w:r w:rsidRPr="00296E54">
        <w:rPr>
          <w:rFonts w:ascii="Verdana" w:eastAsia="Calibri" w:hAnsi="Verdana" w:cs="Times New Roman"/>
        </w:rPr>
        <w:t xml:space="preserve">La pequeña empresa en el sector manufacturero, es aquella “cuyos ingresos por actividades ordinarias anuales sean superiores a veintitrés mil quinientos sesenta y tres Unidades de Valor Tributario (23.563 UVT) e inferiores o iguales a doscientos cuatro mil novecientos  noventa y cinco Unidades de Valor </w:t>
      </w:r>
      <w:r w:rsidRPr="00296E54">
        <w:rPr>
          <w:rFonts w:ascii="Verdana" w:eastAsia="Calibri" w:hAnsi="Verdana" w:cs="Times New Roman"/>
        </w:rPr>
        <w:lastRenderedPageBreak/>
        <w:t>Tributario (204.995 UVT)”; en el sector servicios, la que sus “ingresos por actividades ordinarias anuales sean superiores a treinta y dos mil novecientos ochenta y ocho Unidades de Valor Tributario (32.988 UVT) e inferiores o iguales a ciento treinta y un mil novecientos cincuenta y uno Unidades de Valor Tributario (131. 951 UVT)”; y en el sector comercio, la que sus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278BF0CC" w14:textId="77777777" w:rsidR="00DA0BDD" w:rsidRPr="00296E54" w:rsidRDefault="00DA0BDD" w:rsidP="00DA0BDD">
      <w:pPr>
        <w:pStyle w:val="Prrafodelista"/>
        <w:tabs>
          <w:tab w:val="left" w:pos="993"/>
        </w:tabs>
        <w:spacing w:after="120" w:line="276" w:lineRule="auto"/>
        <w:ind w:left="851"/>
        <w:jc w:val="both"/>
        <w:rPr>
          <w:rFonts w:ascii="Verdana" w:eastAsia="Calibri" w:hAnsi="Verdana" w:cs="Times New Roman"/>
        </w:rPr>
      </w:pPr>
    </w:p>
    <w:p w14:paraId="3EA17F07" w14:textId="77777777" w:rsidR="00DA0BDD" w:rsidRPr="00296E54" w:rsidRDefault="00DA0BDD" w:rsidP="00DA0BDD">
      <w:pPr>
        <w:pStyle w:val="Prrafodelista"/>
        <w:numPr>
          <w:ilvl w:val="0"/>
          <w:numId w:val="23"/>
        </w:numPr>
        <w:tabs>
          <w:tab w:val="left" w:pos="993"/>
        </w:tabs>
        <w:spacing w:before="120" w:after="120" w:line="276" w:lineRule="auto"/>
        <w:ind w:left="0" w:firstLine="709"/>
        <w:jc w:val="both"/>
        <w:rPr>
          <w:rFonts w:ascii="Verdana" w:eastAsia="Calibri" w:hAnsi="Verdana" w:cs="Times New Roman"/>
        </w:rPr>
      </w:pPr>
      <w:r w:rsidRPr="00296E54">
        <w:rPr>
          <w:rFonts w:ascii="Verdana" w:eastAsia="Calibri" w:hAnsi="Verdana" w:cs="Times New Roman"/>
        </w:rPr>
        <w:t>La mediana empresa, en el sector manufacturero, es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 en el sector servicios, la que sus “ingresos por actividades ordinarias anuales sean superiores a ciento treinta y un mil novecientos cincuenta y un Unidades de Valor Tributario (131.951 UVT) e inferiores o iguales a cuatrocientos ochenta y tres mil treinta y cuatro Unidades de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r w:rsidRPr="00296E54">
        <w:rPr>
          <w:rFonts w:ascii="Verdana" w:eastAsia="Calibri" w:hAnsi="Verdana" w:cs="Times New Roman"/>
        </w:rPr>
        <w:footnoteReference w:id="3"/>
      </w:r>
      <w:r w:rsidRPr="00296E54">
        <w:rPr>
          <w:rFonts w:ascii="Verdana" w:eastAsia="Calibri" w:hAnsi="Verdana" w:cs="Times New Roman"/>
        </w:rPr>
        <w:t>”.</w:t>
      </w:r>
    </w:p>
    <w:p w14:paraId="5492FCDE" w14:textId="77777777" w:rsidR="00DA0BDD" w:rsidRPr="00296E54" w:rsidRDefault="00DA0BDD" w:rsidP="00DA0BDD">
      <w:pPr>
        <w:spacing w:before="120" w:after="120" w:line="276" w:lineRule="auto"/>
        <w:ind w:firstLine="709"/>
        <w:jc w:val="both"/>
        <w:rPr>
          <w:rFonts w:ascii="Verdana" w:eastAsia="Calibri" w:hAnsi="Verdana" w:cs="Times New Roman"/>
          <w:lang w:val="es-ES"/>
        </w:rPr>
      </w:pPr>
      <w:r w:rsidRPr="00296E54">
        <w:rPr>
          <w:rFonts w:ascii="Verdana" w:eastAsia="Calibri" w:hAnsi="Verdana" w:cs="Times New Roman"/>
          <w:lang w:val="es-ES"/>
        </w:rPr>
        <w:t>Teniendo en cuenta lo anterior, es importante precisar que esta Agencia ha sostenido de forma reiterada la tesis</w:t>
      </w:r>
      <w:r w:rsidRPr="00296E54">
        <w:rPr>
          <w:rFonts w:ascii="Verdana" w:eastAsia="Calibri" w:hAnsi="Verdana" w:cs="Times New Roman"/>
        </w:rPr>
        <w:footnoteReference w:id="4"/>
      </w:r>
      <w:r w:rsidRPr="00296E54">
        <w:rPr>
          <w:rFonts w:ascii="Verdana" w:eastAsia="Calibri" w:hAnsi="Verdana" w:cs="Times New Roman"/>
          <w:lang w:val="es-ES"/>
        </w:rPr>
        <w:t xml:space="preserve"> consistente en que las ESAL no pueden solicitar la limitación de los procesos contractuales Mipyme, ni participar en procesos en los que se hubiese realizado la limitación, considerando que en atención del artículo 43 de la Ley 1450 de 2011, que modificó el artículo 2 de la Ley 590 de 2000, puede decirse que solo podrán ser Mipymes las empresas, entendidas estas como las unidades de explotación económica que buscan el reparto de utilidades entre los miembros de la empresa. De esta forma, en razón a que las ESAL no persiguen el reparto de utilidades entre sus miembros, en el </w:t>
      </w:r>
      <w:r w:rsidRPr="00296E54">
        <w:rPr>
          <w:rFonts w:ascii="Verdana" w:eastAsia="Calibri" w:hAnsi="Verdana" w:cs="Times New Roman"/>
          <w:lang w:val="es-ES"/>
        </w:rPr>
        <w:lastRenderedPageBreak/>
        <w:t xml:space="preserve">entendido en que no tienen ánimo de lucro, y que su objeto está destinado a realizar actividades de interés general sin esperar a cambio un reparto de ganancia en proporción a sus utilidades, lo cierto es que estas no podrán participar en los procesos de contratación limitado a Mipymes. Lo anterior teniendo en cuenta que no responden al concepto de empresa que involucra dicha categoría, por lo que no resulta jurídicamente válido aplicar a las ESAL las normas dirigidas a las Mipymes. </w:t>
      </w:r>
    </w:p>
    <w:p w14:paraId="25FBBBDF" w14:textId="77777777" w:rsidR="00DA0BDD" w:rsidRPr="00296E54" w:rsidRDefault="00DA0BDD" w:rsidP="00DA0BDD">
      <w:pPr>
        <w:spacing w:after="120" w:line="276" w:lineRule="auto"/>
        <w:ind w:firstLine="708"/>
        <w:jc w:val="both"/>
        <w:rPr>
          <w:rFonts w:ascii="Verdana" w:eastAsia="Calibri" w:hAnsi="Verdana" w:cs="Times New Roman"/>
          <w:lang w:val="es-ES"/>
        </w:rPr>
      </w:pPr>
      <w:r w:rsidRPr="00296E54">
        <w:rPr>
          <w:rFonts w:ascii="Verdana" w:eastAsia="Calibri" w:hAnsi="Verdana" w:cs="Times New Roman"/>
          <w:lang w:val="es-ES"/>
        </w:rPr>
        <w:t>Retomando la postura indicada, debe aclararse que en virtud del artículo 43 de la Ley 1450 de 2011, que modificó el artículo 2 de la Ley 590 de 2000, y a la luz de las consideraciones contenidas en los párrafos precedentes, puede decirse que solo podrán ser Mipymes las empresas, entendidas estas como las unidades de explotación económica que buscan el reparto de utilidades entre los miembros de la empresa, en razón a que las ESAL no persiguen el reparto de utilidades entre sus miembros, y por regla general, no podrían participar en los procesos de contratación limitados a Mipymes; lo anterior no quiere significar que las ESAL no sean personas jurídicas o que no tengan capacidad contractual. De hecho, el Decreto 092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Mipymes.</w:t>
      </w:r>
    </w:p>
    <w:p w14:paraId="5356307A" w14:textId="77777777" w:rsidR="00DA0BDD" w:rsidRPr="00FF349D" w:rsidRDefault="00DA0BDD" w:rsidP="00FB0006">
      <w:pPr>
        <w:numPr>
          <w:ilvl w:val="0"/>
          <w:numId w:val="18"/>
        </w:numPr>
        <w:spacing w:after="120" w:line="276" w:lineRule="auto"/>
        <w:contextualSpacing/>
        <w:jc w:val="both"/>
        <w:rPr>
          <w:rFonts w:ascii="Verdana" w:eastAsia="Calibri" w:hAnsi="Verdana" w:cs="Times New Roman"/>
          <w:lang w:val="es-ES"/>
        </w:rPr>
      </w:pPr>
    </w:p>
    <w:p w14:paraId="0F2F4CE5" w14:textId="77777777" w:rsidR="00C32D1C" w:rsidRPr="003033BC" w:rsidRDefault="00C32D1C" w:rsidP="00C32D1C">
      <w:pPr>
        <w:pStyle w:val="Prrafodelista"/>
        <w:spacing w:after="0" w:line="276" w:lineRule="auto"/>
        <w:jc w:val="both"/>
        <w:rPr>
          <w:rFonts w:ascii="Verdana" w:eastAsia="Calibri" w:hAnsi="Verdana" w:cs="Arial"/>
        </w:rPr>
      </w:pPr>
      <w:r w:rsidRPr="003033BC">
        <w:rPr>
          <w:rFonts w:ascii="Verdana" w:hAnsi="Verdana" w:cs="Arial"/>
        </w:rPr>
        <w:t xml:space="preserve"> </w:t>
      </w:r>
    </w:p>
    <w:p w14:paraId="24A5AD55" w14:textId="77777777" w:rsidR="00C32D1C" w:rsidRPr="003033BC" w:rsidRDefault="00C32D1C" w:rsidP="00C32D1C">
      <w:pPr>
        <w:widowControl w:val="0"/>
        <w:autoSpaceDE w:val="0"/>
        <w:autoSpaceDN w:val="0"/>
        <w:spacing w:after="0" w:line="276" w:lineRule="auto"/>
        <w:jc w:val="both"/>
        <w:rPr>
          <w:rFonts w:ascii="Verdana" w:hAnsi="Verdana" w:cs="Arial"/>
        </w:rPr>
      </w:pPr>
    </w:p>
    <w:p w14:paraId="02F75BF1" w14:textId="77777777" w:rsidR="00C32D1C" w:rsidRPr="003033BC" w:rsidRDefault="00C32D1C" w:rsidP="00C32D1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033BC">
        <w:rPr>
          <w:rFonts w:ascii="Verdana" w:eastAsia="Century Gothic" w:hAnsi="Verdana" w:cs="Century Gothic"/>
          <w:b/>
          <w:bCs/>
        </w:rPr>
        <w:t>Referencias normativas, jurisprudenciales y otras fuentes:</w:t>
      </w:r>
    </w:p>
    <w:p w14:paraId="668ED9A8" w14:textId="77777777" w:rsidR="00C32D1C" w:rsidRPr="003033BC" w:rsidRDefault="00C32D1C" w:rsidP="00C32D1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033BC" w:rsidRPr="003033BC" w14:paraId="32788DB1" w14:textId="77777777" w:rsidTr="009D4250">
        <w:trPr>
          <w:trHeight w:val="870"/>
        </w:trPr>
        <w:tc>
          <w:tcPr>
            <w:tcW w:w="8647" w:type="dxa"/>
          </w:tcPr>
          <w:p w14:paraId="1140E937" w14:textId="77777777" w:rsidR="00C32D1C" w:rsidRPr="003033BC" w:rsidRDefault="00C32D1C" w:rsidP="00C32D1C">
            <w:pPr>
              <w:widowControl w:val="0"/>
              <w:numPr>
                <w:ilvl w:val="0"/>
                <w:numId w:val="19"/>
              </w:numPr>
              <w:autoSpaceDE w:val="0"/>
              <w:autoSpaceDN w:val="0"/>
              <w:spacing w:after="120" w:line="276" w:lineRule="auto"/>
              <w:ind w:left="714" w:hanging="357"/>
              <w:jc w:val="both"/>
              <w:rPr>
                <w:rFonts w:ascii="Verdana" w:hAnsi="Verdana" w:cs="Arial"/>
              </w:rPr>
            </w:pPr>
            <w:r w:rsidRPr="003033BC">
              <w:rPr>
                <w:rFonts w:ascii="Verdana" w:hAnsi="Verdana" w:cs="Arial"/>
              </w:rPr>
              <w:t xml:space="preserve">Ley 2069 de 2020: artículos 23 y 30 </w:t>
            </w:r>
          </w:p>
          <w:p w14:paraId="023F8BAC" w14:textId="77777777" w:rsidR="00C32D1C" w:rsidRPr="003033BC" w:rsidRDefault="00C32D1C" w:rsidP="00C32D1C">
            <w:pPr>
              <w:widowControl w:val="0"/>
              <w:numPr>
                <w:ilvl w:val="0"/>
                <w:numId w:val="19"/>
              </w:numPr>
              <w:autoSpaceDE w:val="0"/>
              <w:autoSpaceDN w:val="0"/>
              <w:spacing w:after="120" w:line="276" w:lineRule="auto"/>
              <w:ind w:left="714" w:hanging="357"/>
              <w:jc w:val="both"/>
              <w:rPr>
                <w:rFonts w:ascii="Verdana" w:hAnsi="Verdana" w:cs="Arial"/>
              </w:rPr>
            </w:pPr>
            <w:r w:rsidRPr="003033BC">
              <w:rPr>
                <w:rFonts w:ascii="Verdana" w:hAnsi="Verdana" w:cs="Arial"/>
              </w:rPr>
              <w:t>Ley 1150 de 2007: artículos 2 numeral 5°, artículo 12.</w:t>
            </w:r>
          </w:p>
          <w:p w14:paraId="5ADDEACC" w14:textId="77777777" w:rsidR="00C32D1C" w:rsidRPr="003033BC" w:rsidRDefault="00C32D1C" w:rsidP="00C32D1C">
            <w:pPr>
              <w:widowControl w:val="0"/>
              <w:numPr>
                <w:ilvl w:val="0"/>
                <w:numId w:val="19"/>
              </w:numPr>
              <w:autoSpaceDE w:val="0"/>
              <w:autoSpaceDN w:val="0"/>
              <w:spacing w:after="120" w:line="276" w:lineRule="auto"/>
              <w:ind w:left="714" w:hanging="357"/>
              <w:jc w:val="both"/>
              <w:rPr>
                <w:rFonts w:ascii="Verdana" w:hAnsi="Verdana" w:cs="Arial"/>
              </w:rPr>
            </w:pPr>
            <w:r w:rsidRPr="003033BC">
              <w:rPr>
                <w:rFonts w:ascii="Verdana" w:eastAsia="Calibri" w:hAnsi="Verdana" w:cs="Arial"/>
                <w:lang w:val="es-ES"/>
              </w:rPr>
              <w:t xml:space="preserve">Decreto 1082 de 2015: artículo 2.2.1.2.4.2.2. </w:t>
            </w:r>
          </w:p>
          <w:p w14:paraId="0E857F7D" w14:textId="77777777" w:rsidR="00C32D1C" w:rsidRPr="003033BC" w:rsidRDefault="00C32D1C" w:rsidP="00C32D1C">
            <w:pPr>
              <w:widowControl w:val="0"/>
              <w:numPr>
                <w:ilvl w:val="0"/>
                <w:numId w:val="19"/>
              </w:numPr>
              <w:autoSpaceDE w:val="0"/>
              <w:autoSpaceDN w:val="0"/>
              <w:spacing w:after="120" w:line="276" w:lineRule="auto"/>
              <w:ind w:left="714" w:hanging="357"/>
              <w:jc w:val="both"/>
              <w:rPr>
                <w:rFonts w:ascii="Verdana" w:hAnsi="Verdana" w:cs="Arial"/>
              </w:rPr>
            </w:pPr>
            <w:r w:rsidRPr="003033BC">
              <w:rPr>
                <w:rFonts w:ascii="Verdana" w:eastAsia="Times New Roman" w:hAnsi="Verdana" w:cs="Arial"/>
                <w:bCs/>
                <w:lang w:val="es-ES_tradnl" w:eastAsia="es-ES"/>
              </w:rPr>
              <w:t>Decreto 1860 de 2021: artículo 5.</w:t>
            </w:r>
          </w:p>
        </w:tc>
      </w:tr>
    </w:tbl>
    <w:p w14:paraId="55E08A61" w14:textId="77777777" w:rsidR="00C32D1C" w:rsidRPr="003033BC" w:rsidRDefault="00C32D1C" w:rsidP="00C32D1C">
      <w:pPr>
        <w:widowControl w:val="0"/>
        <w:autoSpaceDE w:val="0"/>
        <w:autoSpaceDN w:val="0"/>
        <w:spacing w:after="0" w:line="276" w:lineRule="auto"/>
        <w:jc w:val="both"/>
        <w:rPr>
          <w:rFonts w:ascii="Verdana" w:hAnsi="Verdana" w:cs="Arial"/>
        </w:rPr>
      </w:pPr>
    </w:p>
    <w:p w14:paraId="2229853B" w14:textId="77777777" w:rsidR="00C32D1C" w:rsidRPr="003033BC" w:rsidRDefault="00C32D1C" w:rsidP="00C32D1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033BC">
        <w:rPr>
          <w:rFonts w:ascii="Verdana" w:eastAsia="Century Gothic" w:hAnsi="Verdana" w:cs="Century Gothic"/>
          <w:b/>
          <w:bCs/>
        </w:rPr>
        <w:t>Doctrina de la Agencia Nacional de Contratación Pública:</w:t>
      </w:r>
    </w:p>
    <w:p w14:paraId="2DE8E1AE" w14:textId="77777777" w:rsidR="00C32D1C" w:rsidRPr="003033BC" w:rsidRDefault="00C32D1C" w:rsidP="00C32D1C">
      <w:pPr>
        <w:widowControl w:val="0"/>
        <w:autoSpaceDE w:val="0"/>
        <w:autoSpaceDN w:val="0"/>
        <w:spacing w:after="0" w:line="276" w:lineRule="auto"/>
        <w:jc w:val="both"/>
        <w:rPr>
          <w:rFonts w:ascii="Verdana" w:hAnsi="Verdana" w:cs="Arial"/>
        </w:rPr>
      </w:pPr>
    </w:p>
    <w:p w14:paraId="5A26A15B" w14:textId="3067BA00" w:rsidR="00C32D1C" w:rsidRPr="00F47EB3" w:rsidRDefault="00C32D1C" w:rsidP="00C32D1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F47EB3">
        <w:rPr>
          <w:rFonts w:ascii="Verdana" w:eastAsia="Calibri" w:hAnsi="Verdana" w:cs="Arial"/>
          <w:shd w:val="clear" w:color="auto" w:fill="FFFFFF"/>
          <w:lang w:val="es-ES"/>
        </w:rPr>
        <w:t xml:space="preserve">La Agencia Nacional de Contratación Pública – Colombia Compra Eficiente </w:t>
      </w:r>
      <w:r w:rsidRPr="00F47EB3">
        <w:rPr>
          <w:rFonts w:ascii="Verdana" w:eastAsia="Calibri" w:hAnsi="Verdana" w:cs="Arial"/>
          <w:shd w:val="clear" w:color="auto" w:fill="FFFFFF"/>
        </w:rPr>
        <w:t xml:space="preserve">se ha pronunciado en diferentes conceptos </w:t>
      </w:r>
      <w:r w:rsidR="00870FB2" w:rsidRPr="00296E54">
        <w:rPr>
          <w:rFonts w:ascii="Verdana" w:eastAsia="Calibri" w:hAnsi="Verdana" w:cs="Times New Roman"/>
          <w:lang w:val="es-ES"/>
        </w:rPr>
        <w:t xml:space="preserve">se ha referido previamente a la regulación </w:t>
      </w:r>
      <w:r w:rsidR="00870FB2" w:rsidRPr="00296E54">
        <w:rPr>
          <w:rFonts w:ascii="Verdana" w:eastAsia="Calibri" w:hAnsi="Verdana" w:cs="Times New Roman"/>
          <w:lang w:val="es-ES"/>
        </w:rPr>
        <w:lastRenderedPageBreak/>
        <w:t>de la promoción del desarrollo en la contratación estatal contenida en</w:t>
      </w:r>
      <w:r w:rsidRPr="00296E54">
        <w:rPr>
          <w:rFonts w:ascii="Verdana" w:eastAsia="Calibri" w:hAnsi="Verdana" w:cs="Times New Roman"/>
          <w:lang w:val="es-ES"/>
        </w:rPr>
        <w:t xml:space="preserve">. </w:t>
      </w:r>
      <w:r w:rsidR="00870FB2" w:rsidRPr="00296E54">
        <w:rPr>
          <w:rFonts w:ascii="Verdana" w:eastAsia="Calibri" w:hAnsi="Verdana" w:cs="Times New Roman"/>
          <w:lang w:val="es-ES"/>
        </w:rPr>
        <w:t>En el a</w:t>
      </w:r>
      <w:r w:rsidR="00BE2E76" w:rsidRPr="00296E54">
        <w:rPr>
          <w:rFonts w:ascii="Verdana" w:eastAsia="Calibri" w:hAnsi="Verdana" w:cs="Times New Roman"/>
          <w:lang w:val="es-ES"/>
        </w:rPr>
        <w:t>rtículo 34 de la Ley 2069 de 2020 en los conceptos C-043 del 9 de febrero de 2021, C-005 del 16 de febrero de 2021, C-081 del 23 de febrero de 2021, C-087 del 23 de febrero de 2021, C-025 del 25 de febrero de 2021, C-037 del 26 de febrero de 2021, C-035 del 2 de marzo de 2021, C-040 del 2 de marzo de 2021, C-044 del 3 de marzo de 2021, C-102 del 25 de marzo de 2021, C−189 del 26 de abril de 2021, C-206 del 3 de mayo de 2021, C-208 del 10 de mayo de 2021, C-211 del 11 de mayo de 2021, C-234 del 24 de mayo de 2021, C-271 del 9 de junio de 2021, C-306 del 28 de junio de 2021, C-426 del 18 de agosto de 2021, C-455 del 31 de agosto de 2021, entre otros.</w:t>
      </w:r>
      <w:r w:rsidR="00BE2E76" w:rsidRPr="00296E54">
        <w:rPr>
          <w:rFonts w:ascii="Verdana" w:eastAsia="Calibri" w:hAnsi="Verdana" w:cs="Times New Roman"/>
          <w:lang w:val="es-ES"/>
        </w:rPr>
        <w:footnoteReference w:id="5"/>
      </w:r>
      <w:r w:rsidR="00BE2E76" w:rsidRPr="00296E54">
        <w:rPr>
          <w:rFonts w:ascii="Verdana" w:eastAsia="Calibri" w:hAnsi="Verdana" w:cs="Times New Roman"/>
          <w:lang w:val="es-ES"/>
        </w:rPr>
        <w:t>; a su turno, la Agencia Nacional de Contratación Pública – Colombia Compra Eficiente se ha pronunciado, en términos generales, sobre el contenido de la Ley de Emprendimiento en diferentes conceptos</w:t>
      </w:r>
      <w:r w:rsidR="00BE2E76" w:rsidRPr="00296E54">
        <w:rPr>
          <w:rFonts w:ascii="Verdana" w:eastAsia="Calibri" w:hAnsi="Verdana" w:cs="Times New Roman"/>
          <w:lang w:val="es-ES"/>
        </w:rPr>
        <w:footnoteReference w:id="6"/>
      </w:r>
      <w:r w:rsidR="00BE2E76" w:rsidRPr="00296E54">
        <w:rPr>
          <w:rFonts w:ascii="Verdana" w:eastAsia="Calibri" w:hAnsi="Verdana" w:cs="Times New Roman"/>
          <w:lang w:val="es-ES"/>
        </w:rPr>
        <w:t xml:space="preserve">, refiriéndose a los criterios diferenciales para emprendimientos y empresas de mujeres y Mipymes y su reglamentación, en los conceptos C-029 de 21 de febrero de 2021, C-037 del 26 de febrero de 2021, C-141 del 8 de abril de 2021, C-114 del 13 de abril de 2021 y C-031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w:t>
      </w:r>
      <w:r w:rsidR="00BE2E76" w:rsidRPr="00296E54">
        <w:rPr>
          <w:rFonts w:ascii="Verdana" w:eastAsia="Calibri" w:hAnsi="Verdana" w:cs="Times New Roman"/>
          <w:lang w:val="es-ES"/>
        </w:rPr>
        <w:lastRenderedPageBreak/>
        <w:t xml:space="preserve">2022, C-504 del 8 de agosto de 2022, C-522 del 16 de agosto de 2022, C-642 del 11 de octubre de 2022 y C-696 de 26 de octubre de 2022, entre otros; de otra parte, esta Agencia también se ha pronunciado en diferentes conceptos sobre la participación de las entidades sin ánimo de lucro – desde ahora ESAL – en procesos contractuales limitados a MiPymes. </w:t>
      </w:r>
      <w:r w:rsidRPr="00296E54">
        <w:rPr>
          <w:rFonts w:ascii="Verdana" w:eastAsia="Calibri" w:hAnsi="Verdana" w:cs="Times New Roman"/>
          <w:lang w:val="es-ES"/>
        </w:rPr>
        <w:t>Al respecto expidió el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C-160 del 20 de abril de 2021, C-474 del 26 de julio de 2022, C-020 del 14 de febrero de 2023</w:t>
      </w:r>
      <w:r w:rsidR="00BE2E76" w:rsidRPr="00296E54">
        <w:rPr>
          <w:rFonts w:ascii="Verdana" w:eastAsia="Calibri" w:hAnsi="Verdana" w:cs="Times New Roman"/>
          <w:lang w:val="es-ES"/>
        </w:rPr>
        <w:t xml:space="preserve"> </w:t>
      </w:r>
      <w:r w:rsidRPr="00F47EB3">
        <w:rPr>
          <w:rStyle w:val="normaltextrun"/>
          <w:rFonts w:ascii="Verdana" w:hAnsi="Verdana" w:cs="Arial"/>
          <w:color w:val="7030A0"/>
          <w:shd w:val="clear" w:color="auto" w:fill="FFFFFF"/>
          <w:lang w:val="es-ES"/>
        </w:rPr>
        <w:t xml:space="preserve"> </w:t>
      </w:r>
      <w:r w:rsidRPr="00F47EB3">
        <w:rPr>
          <w:rStyle w:val="normaltextrun"/>
          <w:rFonts w:ascii="Verdana" w:hAnsi="Verdana" w:cs="Arial"/>
          <w:shd w:val="clear" w:color="auto" w:fill="FFFFFF"/>
          <w:lang w:val="es-ES"/>
        </w:rPr>
        <w:t>Es</w:t>
      </w:r>
      <w:r w:rsidRPr="00F47EB3">
        <w:rPr>
          <w:rFonts w:ascii="Verdana" w:hAnsi="Verdana"/>
        </w:rPr>
        <w:t>tos y otros conceptos se encuentran disponibles para consulta en el Sistema de relatoría de la Agencia, al cual se puede acceder a través del siguiente enlace:</w:t>
      </w:r>
      <w:r w:rsidRPr="00F47EB3">
        <w:rPr>
          <w:rStyle w:val="normaltextrun"/>
          <w:rFonts w:ascii="Verdana" w:hAnsi="Verdana" w:cs="Arial"/>
          <w:shd w:val="clear" w:color="auto" w:fill="FFFFFF"/>
          <w:lang w:val="es-ES"/>
        </w:rPr>
        <w:t xml:space="preserve"> </w:t>
      </w:r>
      <w:hyperlink r:id="rId12" w:history="1">
        <w:r w:rsidRPr="00EE42AF">
          <w:rPr>
            <w:rStyle w:val="Hipervnculo"/>
            <w:rFonts w:ascii="Verdana" w:hAnsi="Verdana" w:cs="Arial"/>
            <w:color w:val="4472C4" w:themeColor="accent1"/>
            <w:shd w:val="clear" w:color="auto" w:fill="FFFFFF"/>
            <w:lang w:val="es-ES"/>
          </w:rPr>
          <w:t>https://relatoria.colombiacompra.gov.co/busqueda/conceptos</w:t>
        </w:r>
      </w:hyperlink>
      <w:r w:rsidRPr="00EE42AF">
        <w:rPr>
          <w:rStyle w:val="normaltextrun"/>
          <w:rFonts w:ascii="Verdana" w:hAnsi="Verdana" w:cs="Arial"/>
          <w:color w:val="4472C4" w:themeColor="accent1"/>
          <w:shd w:val="clear" w:color="auto" w:fill="FFFFFF"/>
          <w:lang w:val="es-ES"/>
        </w:rPr>
        <w:t xml:space="preserve">. </w:t>
      </w:r>
    </w:p>
    <w:p w14:paraId="17091566" w14:textId="77777777" w:rsidR="00C32D1C" w:rsidRPr="00F47EB3" w:rsidRDefault="00C32D1C" w:rsidP="00C32D1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286AEC3" w14:textId="77777777" w:rsidR="00C32D1C" w:rsidRPr="00F47EB3" w:rsidRDefault="00C32D1C" w:rsidP="00C32D1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F47EB3">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F47EB3">
        <w:rPr>
          <w:rStyle w:val="normaltextrun"/>
          <w:rFonts w:ascii="Verdana" w:hAnsi="Verdana" w:cs="Arial"/>
          <w:color w:val="FF0000"/>
          <w:shd w:val="clear" w:color="auto" w:fill="FFFFFF"/>
          <w:lang w:val="es-ES"/>
        </w:rPr>
        <w:t xml:space="preserve"> </w:t>
      </w:r>
      <w:hyperlink r:id="rId13" w:history="1">
        <w:r w:rsidRPr="00EE42AF">
          <w:rPr>
            <w:rStyle w:val="Hipervnculo"/>
            <w:rFonts w:ascii="Verdana" w:hAnsi="Verdana" w:cs="Arial"/>
            <w:color w:val="4472C4" w:themeColor="accent1"/>
            <w:shd w:val="clear" w:color="auto" w:fill="FFFFFF"/>
            <w:lang w:val="es-ES"/>
          </w:rPr>
          <w:t>https://www.colombiacompra.gov.co/sala-de-prensa/boletin-digital</w:t>
        </w:r>
      </w:hyperlink>
      <w:r w:rsidRPr="00EE42AF">
        <w:rPr>
          <w:rStyle w:val="normaltextrun"/>
          <w:rFonts w:ascii="Verdana" w:hAnsi="Verdana" w:cs="Arial"/>
          <w:color w:val="4472C4" w:themeColor="accent1"/>
          <w:shd w:val="clear" w:color="auto" w:fill="FFFFFF"/>
          <w:lang w:val="es-ES"/>
        </w:rPr>
        <w:t xml:space="preserve">      </w:t>
      </w:r>
    </w:p>
    <w:p w14:paraId="13EB5E56" w14:textId="77777777" w:rsidR="00C32D1C" w:rsidRPr="00F47EB3" w:rsidRDefault="00C32D1C" w:rsidP="00C32D1C">
      <w:pPr>
        <w:spacing w:after="0" w:line="240" w:lineRule="auto"/>
        <w:jc w:val="both"/>
        <w:rPr>
          <w:rFonts w:ascii="Verdana" w:hAnsi="Verdana"/>
        </w:rPr>
      </w:pPr>
      <w:r w:rsidRPr="00F47EB3">
        <w:rPr>
          <w:rFonts w:ascii="Verdana" w:hAnsi="Verdana"/>
        </w:rPr>
        <w:t xml:space="preserve">Por último, lo invitamos a seguirnos en las redes sociales en las cuales se difunde información institucional: </w:t>
      </w:r>
    </w:p>
    <w:p w14:paraId="478EC782" w14:textId="77777777" w:rsidR="00C32D1C" w:rsidRPr="00F47EB3" w:rsidRDefault="00C32D1C" w:rsidP="00C32D1C">
      <w:pPr>
        <w:spacing w:after="0" w:line="240" w:lineRule="auto"/>
        <w:jc w:val="both"/>
        <w:rPr>
          <w:rFonts w:ascii="Verdana" w:hAnsi="Verdana"/>
        </w:rPr>
      </w:pPr>
    </w:p>
    <w:p w14:paraId="4B889DE4" w14:textId="77777777" w:rsidR="00C32D1C" w:rsidRPr="00F47EB3" w:rsidRDefault="00C32D1C" w:rsidP="00C32D1C">
      <w:pPr>
        <w:spacing w:after="0" w:line="240" w:lineRule="auto"/>
        <w:jc w:val="both"/>
        <w:rPr>
          <w:rFonts w:ascii="Verdana" w:hAnsi="Verdana"/>
        </w:rPr>
      </w:pPr>
      <w:r w:rsidRPr="00F47EB3">
        <w:rPr>
          <w:rFonts w:ascii="Verdana" w:hAnsi="Verdana"/>
        </w:rPr>
        <w:t xml:space="preserve">Twitter: </w:t>
      </w:r>
      <w:r w:rsidRPr="00F47EB3">
        <w:rPr>
          <w:rStyle w:val="Hipervnculo"/>
          <w:rFonts w:ascii="Verdana" w:hAnsi="Verdana"/>
          <w:color w:val="4472C4" w:themeColor="accent1"/>
        </w:rPr>
        <w:t>@colombiacompra</w:t>
      </w:r>
      <w:r w:rsidRPr="00F47EB3">
        <w:rPr>
          <w:rFonts w:ascii="Verdana" w:hAnsi="Verdana"/>
          <w:color w:val="4472C4" w:themeColor="accent1"/>
        </w:rPr>
        <w:t xml:space="preserve"> </w:t>
      </w:r>
    </w:p>
    <w:p w14:paraId="531E2199" w14:textId="77777777" w:rsidR="00C32D1C" w:rsidRPr="00F47EB3" w:rsidRDefault="00C32D1C" w:rsidP="00C32D1C">
      <w:pPr>
        <w:spacing w:after="0" w:line="240" w:lineRule="auto"/>
        <w:jc w:val="both"/>
        <w:rPr>
          <w:rFonts w:ascii="Verdana" w:hAnsi="Verdana"/>
        </w:rPr>
      </w:pPr>
      <w:r w:rsidRPr="00F47EB3">
        <w:rPr>
          <w:rFonts w:ascii="Verdana" w:hAnsi="Verdana"/>
        </w:rPr>
        <w:t xml:space="preserve">Facebook: </w:t>
      </w:r>
      <w:r w:rsidRPr="00F47EB3">
        <w:rPr>
          <w:rStyle w:val="Hipervnculo"/>
          <w:rFonts w:ascii="Verdana" w:hAnsi="Verdana"/>
          <w:color w:val="4472C4" w:themeColor="accent1"/>
        </w:rPr>
        <w:t>ColombiaCompraEficiente</w:t>
      </w:r>
    </w:p>
    <w:p w14:paraId="45FBC864" w14:textId="77777777" w:rsidR="00C32D1C" w:rsidRPr="00F47EB3" w:rsidRDefault="00C32D1C" w:rsidP="00C32D1C">
      <w:pPr>
        <w:spacing w:after="0" w:line="240" w:lineRule="auto"/>
        <w:jc w:val="both"/>
        <w:rPr>
          <w:rFonts w:ascii="Verdana" w:hAnsi="Verdana"/>
        </w:rPr>
      </w:pPr>
      <w:r w:rsidRPr="00F47EB3">
        <w:rPr>
          <w:rFonts w:ascii="Verdana" w:hAnsi="Verdana"/>
        </w:rPr>
        <w:t xml:space="preserve">LinkedIn: </w:t>
      </w:r>
      <w:r w:rsidRPr="00F47EB3">
        <w:rPr>
          <w:rStyle w:val="Hipervnculo"/>
          <w:rFonts w:ascii="Verdana" w:hAnsi="Verdana"/>
          <w:color w:val="4472C4" w:themeColor="accent1"/>
        </w:rPr>
        <w:t>Agencia Nacional de Contratación Pública - Colombia Compra Eficiente</w:t>
      </w:r>
      <w:r w:rsidRPr="00F47EB3">
        <w:rPr>
          <w:rFonts w:ascii="Verdana" w:hAnsi="Verdana"/>
          <w:color w:val="4472C4" w:themeColor="accent1"/>
        </w:rPr>
        <w:t xml:space="preserve"> </w:t>
      </w:r>
      <w:r w:rsidRPr="00F47EB3">
        <w:rPr>
          <w:rFonts w:ascii="Verdana" w:hAnsi="Verdana"/>
        </w:rPr>
        <w:t xml:space="preserve">Instagram: </w:t>
      </w:r>
      <w:r w:rsidRPr="00F47EB3">
        <w:rPr>
          <w:rStyle w:val="Hipervnculo"/>
          <w:rFonts w:ascii="Verdana" w:hAnsi="Verdana"/>
          <w:color w:val="4472C4" w:themeColor="accent1"/>
        </w:rPr>
        <w:t>@colombiacompraeficiente_cce</w:t>
      </w:r>
    </w:p>
    <w:p w14:paraId="67438E0D" w14:textId="77777777" w:rsidR="00C32D1C" w:rsidRPr="00F47EB3" w:rsidRDefault="00C32D1C" w:rsidP="00C32D1C">
      <w:pPr>
        <w:widowControl w:val="0"/>
        <w:autoSpaceDE w:val="0"/>
        <w:autoSpaceDN w:val="0"/>
        <w:spacing w:after="0" w:line="276" w:lineRule="auto"/>
        <w:jc w:val="both"/>
        <w:rPr>
          <w:rFonts w:ascii="Verdana" w:hAnsi="Verdana" w:cs="Arial"/>
        </w:rPr>
      </w:pPr>
    </w:p>
    <w:p w14:paraId="25AD6DE1" w14:textId="77777777" w:rsidR="00C32D1C" w:rsidRPr="00F47EB3" w:rsidRDefault="00C32D1C" w:rsidP="00C32D1C">
      <w:pPr>
        <w:widowControl w:val="0"/>
        <w:autoSpaceDE w:val="0"/>
        <w:autoSpaceDN w:val="0"/>
        <w:spacing w:after="0" w:line="276" w:lineRule="auto"/>
        <w:jc w:val="both"/>
        <w:rPr>
          <w:rFonts w:ascii="Verdana" w:hAnsi="Verdana" w:cs="Arial"/>
          <w:lang w:val="es-ES_tradnl"/>
        </w:rPr>
      </w:pPr>
      <w:r w:rsidRPr="00F47EB3">
        <w:rPr>
          <w:rFonts w:ascii="Verdana" w:hAnsi="Verdana" w:cs="Arial"/>
        </w:rPr>
        <w:t xml:space="preserve">Este concepto tiene el alcance previsto en el artículo 28 del Código de Procedimiento Administrativo y de lo Contencioso Administrativo </w:t>
      </w:r>
      <w:r w:rsidRPr="00F47EB3">
        <w:rPr>
          <w:rFonts w:ascii="Verdana" w:hAnsi="Verdana" w:cs="Arial"/>
          <w:lang w:val="es-ES_tradnl"/>
        </w:rPr>
        <w:t>y las expresiones aquí utilizadas con mayúscula inicial deben ser entendidas con el significado que les otorga el artículo 2.2.1.1.1.3.1. del Decreto 1082 de 2015.</w:t>
      </w:r>
    </w:p>
    <w:p w14:paraId="095D0C76" w14:textId="77777777" w:rsidR="00C32D1C" w:rsidRPr="00F47EB3" w:rsidRDefault="00C32D1C" w:rsidP="00C32D1C">
      <w:pPr>
        <w:widowControl w:val="0"/>
        <w:autoSpaceDE w:val="0"/>
        <w:autoSpaceDN w:val="0"/>
        <w:spacing w:after="0" w:line="276" w:lineRule="auto"/>
        <w:jc w:val="both"/>
        <w:rPr>
          <w:rFonts w:ascii="Verdana" w:hAnsi="Verdana" w:cs="Arial"/>
        </w:rPr>
      </w:pPr>
    </w:p>
    <w:p w14:paraId="51B3B56D" w14:textId="77777777" w:rsidR="00C32D1C" w:rsidRPr="00F47EB3" w:rsidRDefault="00C32D1C" w:rsidP="00C32D1C">
      <w:pPr>
        <w:spacing w:after="0" w:line="240" w:lineRule="auto"/>
        <w:rPr>
          <w:rFonts w:ascii="Verdana" w:hAnsi="Verdana" w:cs="Arial"/>
          <w:lang w:eastAsia="es-CO"/>
        </w:rPr>
      </w:pPr>
      <w:r w:rsidRPr="00F47EB3">
        <w:rPr>
          <w:rFonts w:ascii="Verdana" w:eastAsia="Times New Roman" w:hAnsi="Verdana" w:cs="Arial"/>
          <w:lang w:eastAsia="es-CO"/>
        </w:rPr>
        <w:t>Atentamente,</w:t>
      </w:r>
      <w:r w:rsidRPr="00F47EB3">
        <w:rPr>
          <w:rFonts w:ascii="Verdana" w:hAnsi="Verdana" w:cs="Arial"/>
          <w:lang w:eastAsia="es-CO"/>
        </w:rPr>
        <w:t xml:space="preserve"> </w:t>
      </w:r>
    </w:p>
    <w:p w14:paraId="7643F707" w14:textId="666D4BAE" w:rsidR="00C32D1C" w:rsidRPr="003033BC" w:rsidRDefault="00EE42AF" w:rsidP="00C32D1C">
      <w:pPr>
        <w:spacing w:line="276" w:lineRule="auto"/>
        <w:jc w:val="center"/>
        <w:rPr>
          <w:rFonts w:ascii="Verdana" w:hAnsi="Verdana" w:cs="Arial"/>
          <w:lang w:val="es-ES_tradnl" w:eastAsia="es-CO"/>
        </w:rPr>
      </w:pPr>
      <w:r>
        <w:rPr>
          <w:noProof/>
        </w:rPr>
        <w:lastRenderedPageBreak/>
        <w:drawing>
          <wp:inline distT="0" distB="0" distL="0" distR="0" wp14:anchorId="09D9B1A8" wp14:editId="1239EB41">
            <wp:extent cx="3771429" cy="1400000"/>
            <wp:effectExtent l="0" t="0" r="635" b="0"/>
            <wp:docPr id="61859015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90154" name="Imagen 1" descr="Texto&#10;&#10;Descripción generada automáticamente"/>
                    <pic:cNvPicPr/>
                  </pic:nvPicPr>
                  <pic:blipFill>
                    <a:blip r:embed="rId14"/>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033BC" w:rsidRPr="003033BC" w14:paraId="6D5F8663" w14:textId="77777777" w:rsidTr="009D4250">
        <w:trPr>
          <w:trHeight w:val="315"/>
        </w:trPr>
        <w:tc>
          <w:tcPr>
            <w:tcW w:w="893" w:type="dxa"/>
            <w:vAlign w:val="center"/>
            <w:hideMark/>
          </w:tcPr>
          <w:p w14:paraId="2868BEFB" w14:textId="77777777" w:rsidR="00C32D1C" w:rsidRPr="003033BC" w:rsidRDefault="00C32D1C" w:rsidP="009D4250">
            <w:pPr>
              <w:contextualSpacing/>
              <w:rPr>
                <w:rFonts w:ascii="Verdana" w:hAnsi="Verdana" w:cs="Arial"/>
                <w:sz w:val="16"/>
                <w:szCs w:val="16"/>
                <w:lang w:val="es-ES" w:eastAsia="es-ES"/>
              </w:rPr>
            </w:pPr>
            <w:r w:rsidRPr="003033BC">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5736B57" w14:textId="77777777" w:rsidR="00C32D1C" w:rsidRPr="003033BC" w:rsidRDefault="00C32D1C" w:rsidP="009D4250">
            <w:pPr>
              <w:contextualSpacing/>
              <w:rPr>
                <w:rStyle w:val="normaltextrun"/>
                <w:rFonts w:ascii="Verdana" w:hAnsi="Verdana"/>
                <w:sz w:val="16"/>
                <w:szCs w:val="16"/>
              </w:rPr>
            </w:pPr>
            <w:r w:rsidRPr="003033BC">
              <w:rPr>
                <w:rStyle w:val="normaltextrun"/>
                <w:rFonts w:ascii="Verdana" w:hAnsi="Verdana"/>
                <w:sz w:val="16"/>
                <w:szCs w:val="16"/>
              </w:rPr>
              <w:t>Santiago Alberto Herrera Morillo</w:t>
            </w:r>
          </w:p>
          <w:p w14:paraId="47E9BF5F" w14:textId="77777777" w:rsidR="00C32D1C" w:rsidRPr="003033BC" w:rsidRDefault="00C32D1C" w:rsidP="009D4250">
            <w:pPr>
              <w:contextualSpacing/>
              <w:rPr>
                <w:rFonts w:ascii="Verdana" w:eastAsia="Arial" w:hAnsi="Verdana" w:cs="Arial"/>
                <w:sz w:val="16"/>
                <w:szCs w:val="16"/>
              </w:rPr>
            </w:pPr>
            <w:r w:rsidRPr="003033BC">
              <w:rPr>
                <w:rStyle w:val="normaltextrun"/>
                <w:rFonts w:ascii="Verdana" w:hAnsi="Verdana"/>
                <w:sz w:val="16"/>
                <w:szCs w:val="16"/>
              </w:rPr>
              <w:t xml:space="preserve">Analista T2-02 </w:t>
            </w:r>
            <w:r w:rsidRPr="003033BC">
              <w:rPr>
                <w:rStyle w:val="normaltextrun"/>
                <w:rFonts w:ascii="Verdana" w:eastAsia="Arial" w:hAnsi="Verdana" w:cs="Arial"/>
                <w:sz w:val="16"/>
                <w:szCs w:val="16"/>
              </w:rPr>
              <w:t>de la Subdirección de Gestión Contractual</w:t>
            </w:r>
          </w:p>
        </w:tc>
      </w:tr>
      <w:tr w:rsidR="003033BC" w:rsidRPr="003033BC" w14:paraId="1EABF988" w14:textId="77777777" w:rsidTr="009D4250">
        <w:trPr>
          <w:trHeight w:val="330"/>
        </w:trPr>
        <w:tc>
          <w:tcPr>
            <w:tcW w:w="893" w:type="dxa"/>
            <w:vAlign w:val="center"/>
            <w:hideMark/>
          </w:tcPr>
          <w:p w14:paraId="04B36CDE" w14:textId="77777777" w:rsidR="00C32D1C" w:rsidRPr="003033BC" w:rsidRDefault="00C32D1C" w:rsidP="009D4250">
            <w:pPr>
              <w:contextualSpacing/>
              <w:rPr>
                <w:rFonts w:ascii="Verdana" w:hAnsi="Verdana" w:cs="Arial"/>
                <w:sz w:val="16"/>
                <w:szCs w:val="16"/>
                <w:lang w:val="es-ES" w:eastAsia="es-ES"/>
              </w:rPr>
            </w:pPr>
            <w:r w:rsidRPr="003033BC">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2643F83" w14:textId="77777777" w:rsidR="00C32D1C" w:rsidRPr="003033BC" w:rsidRDefault="00C32D1C" w:rsidP="009D4250">
            <w:pPr>
              <w:pStyle w:val="paragraph"/>
              <w:spacing w:before="0" w:beforeAutospacing="0" w:after="0" w:afterAutospacing="0"/>
              <w:contextualSpacing/>
              <w:textAlignment w:val="baseline"/>
              <w:rPr>
                <w:rStyle w:val="normaltextrun"/>
                <w:rFonts w:ascii="Verdana" w:hAnsi="Verdana" w:cs="Arial"/>
                <w:sz w:val="16"/>
                <w:szCs w:val="16"/>
                <w:lang w:val="es-ES"/>
              </w:rPr>
            </w:pPr>
            <w:r w:rsidRPr="003033BC">
              <w:rPr>
                <w:rStyle w:val="normaltextrun"/>
                <w:rFonts w:ascii="Verdana" w:hAnsi="Verdana" w:cs="Arial"/>
                <w:sz w:val="16"/>
                <w:szCs w:val="16"/>
                <w:lang w:val="es-ES"/>
              </w:rPr>
              <w:t>Adriana Katerine López Rodríguez</w:t>
            </w:r>
          </w:p>
          <w:p w14:paraId="0AE56DA5" w14:textId="77777777" w:rsidR="00C32D1C" w:rsidRPr="003033BC" w:rsidRDefault="00C32D1C" w:rsidP="009D4250">
            <w:pPr>
              <w:pStyle w:val="paragraph"/>
              <w:spacing w:before="0" w:beforeAutospacing="0" w:after="0" w:afterAutospacing="0"/>
              <w:contextualSpacing/>
              <w:textAlignment w:val="baseline"/>
              <w:rPr>
                <w:rFonts w:ascii="Verdana" w:hAnsi="Verdana" w:cs="Segoe UI"/>
                <w:sz w:val="16"/>
                <w:szCs w:val="16"/>
              </w:rPr>
            </w:pPr>
            <w:r w:rsidRPr="003033BC">
              <w:rPr>
                <w:rStyle w:val="normaltextrun"/>
                <w:rFonts w:ascii="Verdana" w:hAnsi="Verdana" w:cs="Arial"/>
                <w:sz w:val="16"/>
                <w:szCs w:val="16"/>
                <w:lang w:val="es-ES"/>
              </w:rPr>
              <w:t>Contratista de la Subdirección de Gestión Contractual</w:t>
            </w:r>
            <w:r w:rsidRPr="003033BC">
              <w:rPr>
                <w:rStyle w:val="eop"/>
                <w:rFonts w:ascii="Verdana" w:hAnsi="Verdana" w:cs="Arial"/>
                <w:sz w:val="16"/>
                <w:szCs w:val="16"/>
              </w:rPr>
              <w:t> </w:t>
            </w:r>
          </w:p>
        </w:tc>
      </w:tr>
      <w:tr w:rsidR="003033BC" w:rsidRPr="003033BC" w14:paraId="7829E595" w14:textId="77777777" w:rsidTr="009D4250">
        <w:trPr>
          <w:trHeight w:val="300"/>
        </w:trPr>
        <w:tc>
          <w:tcPr>
            <w:tcW w:w="893" w:type="dxa"/>
            <w:vAlign w:val="center"/>
          </w:tcPr>
          <w:p w14:paraId="46909EC9" w14:textId="77777777" w:rsidR="00C32D1C" w:rsidRPr="003033BC" w:rsidRDefault="00C32D1C" w:rsidP="009D4250">
            <w:pPr>
              <w:contextualSpacing/>
              <w:rPr>
                <w:rFonts w:ascii="Verdana" w:hAnsi="Verdana" w:cs="Arial"/>
                <w:sz w:val="16"/>
                <w:szCs w:val="16"/>
                <w:lang w:val="es-ES" w:eastAsia="es-ES"/>
              </w:rPr>
            </w:pPr>
            <w:r w:rsidRPr="003033BC">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52870B1" w14:textId="77777777" w:rsidR="00C32D1C" w:rsidRPr="003033BC" w:rsidRDefault="00C32D1C" w:rsidP="009D4250">
            <w:pPr>
              <w:contextualSpacing/>
              <w:rPr>
                <w:rFonts w:ascii="Verdana" w:eastAsia="Calibri" w:hAnsi="Verdana" w:cs="Arial"/>
                <w:sz w:val="16"/>
                <w:szCs w:val="16"/>
                <w:lang w:val="pt-BR" w:eastAsia="es-ES"/>
              </w:rPr>
            </w:pPr>
            <w:r w:rsidRPr="003033BC">
              <w:rPr>
                <w:rFonts w:ascii="Verdana" w:eastAsia="Calibri" w:hAnsi="Verdana" w:cs="Arial"/>
                <w:sz w:val="16"/>
                <w:szCs w:val="16"/>
                <w:lang w:val="pt-BR" w:eastAsia="es-ES"/>
              </w:rPr>
              <w:t>Carolina Quintero Gacharná</w:t>
            </w:r>
          </w:p>
          <w:p w14:paraId="6B7810D0" w14:textId="77777777" w:rsidR="00C32D1C" w:rsidRPr="003033BC" w:rsidRDefault="00C32D1C" w:rsidP="009D4250">
            <w:pPr>
              <w:contextualSpacing/>
              <w:rPr>
                <w:rFonts w:ascii="Verdana" w:eastAsia="Calibri" w:hAnsi="Verdana" w:cs="Arial"/>
                <w:sz w:val="16"/>
                <w:szCs w:val="16"/>
                <w:lang w:val="pt-BR" w:eastAsia="es-ES"/>
              </w:rPr>
            </w:pPr>
            <w:r w:rsidRPr="003033BC">
              <w:rPr>
                <w:rFonts w:ascii="Verdana" w:eastAsia="Calibri" w:hAnsi="Verdana" w:cs="Arial"/>
                <w:sz w:val="16"/>
                <w:szCs w:val="16"/>
                <w:lang w:eastAsia="es-ES"/>
              </w:rPr>
              <w:t>Subdirectora</w:t>
            </w:r>
            <w:r w:rsidRPr="003033BC">
              <w:rPr>
                <w:rFonts w:ascii="Verdana" w:eastAsia="Calibri" w:hAnsi="Verdana" w:cs="Arial"/>
                <w:sz w:val="16"/>
                <w:szCs w:val="16"/>
                <w:lang w:val="pt-BR" w:eastAsia="es-ES"/>
              </w:rPr>
              <w:t xml:space="preserve"> de Gestión Contractual ANCP – CCE</w:t>
            </w:r>
          </w:p>
        </w:tc>
      </w:tr>
    </w:tbl>
    <w:p w14:paraId="7A59863A" w14:textId="77777777" w:rsidR="00C32D1C" w:rsidRPr="003033BC" w:rsidRDefault="00C32D1C" w:rsidP="00C32D1C">
      <w:pPr>
        <w:spacing w:after="0" w:line="240" w:lineRule="auto"/>
        <w:rPr>
          <w:rFonts w:ascii="Verdana" w:eastAsia="Times New Roman" w:hAnsi="Verdana" w:cs="Arial"/>
          <w:sz w:val="24"/>
          <w:szCs w:val="24"/>
          <w:lang w:eastAsia="es-ES"/>
        </w:rPr>
      </w:pPr>
    </w:p>
    <w:p w14:paraId="577F5E13" w14:textId="77777777" w:rsidR="00C32D1C" w:rsidRPr="00F47EB3" w:rsidRDefault="00C32D1C" w:rsidP="00C32D1C">
      <w:pPr>
        <w:rPr>
          <w:rFonts w:ascii="Verdana" w:hAnsi="Verdana"/>
        </w:rPr>
      </w:pPr>
    </w:p>
    <w:p w14:paraId="0F293BF4" w14:textId="7BBFAB11" w:rsidR="00127233" w:rsidRPr="00C32D1C" w:rsidRDefault="00127233" w:rsidP="00C32D1C"/>
    <w:sectPr w:rsidR="00127233" w:rsidRPr="00C32D1C"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FA0B" w14:textId="77777777" w:rsidR="0003639D" w:rsidRDefault="0003639D" w:rsidP="004A1847">
      <w:pPr>
        <w:spacing w:after="0" w:line="240" w:lineRule="auto"/>
      </w:pPr>
      <w:r>
        <w:separator/>
      </w:r>
    </w:p>
  </w:endnote>
  <w:endnote w:type="continuationSeparator" w:id="0">
    <w:p w14:paraId="4B35DF87" w14:textId="77777777" w:rsidR="0003639D" w:rsidRDefault="0003639D" w:rsidP="004A1847">
      <w:pPr>
        <w:spacing w:after="0" w:line="240" w:lineRule="auto"/>
      </w:pPr>
      <w:r>
        <w:continuationSeparator/>
      </w:r>
    </w:p>
  </w:endnote>
  <w:endnote w:type="continuationNotice" w:id="1">
    <w:p w14:paraId="154D716E" w14:textId="77777777" w:rsidR="0003639D" w:rsidRDefault="00036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F695" w14:textId="77777777" w:rsidR="0003639D" w:rsidRDefault="0003639D" w:rsidP="004A1847">
      <w:pPr>
        <w:spacing w:after="0" w:line="240" w:lineRule="auto"/>
      </w:pPr>
      <w:r>
        <w:separator/>
      </w:r>
    </w:p>
  </w:footnote>
  <w:footnote w:type="continuationSeparator" w:id="0">
    <w:p w14:paraId="19AEC9A0" w14:textId="77777777" w:rsidR="0003639D" w:rsidRDefault="0003639D" w:rsidP="004A1847">
      <w:pPr>
        <w:spacing w:after="0" w:line="240" w:lineRule="auto"/>
      </w:pPr>
      <w:r>
        <w:continuationSeparator/>
      </w:r>
    </w:p>
  </w:footnote>
  <w:footnote w:type="continuationNotice" w:id="1">
    <w:p w14:paraId="15BCC47F" w14:textId="77777777" w:rsidR="0003639D" w:rsidRDefault="0003639D">
      <w:pPr>
        <w:spacing w:after="0" w:line="240" w:lineRule="auto"/>
      </w:pPr>
    </w:p>
  </w:footnote>
  <w:footnote w:id="2">
    <w:p w14:paraId="45633114" w14:textId="77777777" w:rsidR="00DA0BDD" w:rsidRPr="00363751" w:rsidRDefault="00DA0BDD" w:rsidP="00DA0BDD">
      <w:pPr>
        <w:pStyle w:val="Textonotapie"/>
        <w:ind w:firstLine="708"/>
        <w:jc w:val="both"/>
        <w:rPr>
          <w:rFonts w:ascii="Century Gothic" w:hAnsi="Century Gothic"/>
          <w:sz w:val="14"/>
          <w:szCs w:val="14"/>
        </w:rPr>
      </w:pPr>
      <w:r w:rsidRPr="00BB19B4">
        <w:rPr>
          <w:rStyle w:val="Refdenotaalpie"/>
          <w:rFonts w:ascii="Arial" w:hAnsi="Arial" w:cs="Arial"/>
          <w:sz w:val="16"/>
          <w:szCs w:val="16"/>
        </w:rPr>
        <w:footnoteRef/>
      </w:r>
      <w:r w:rsidRPr="00BB19B4">
        <w:rPr>
          <w:rFonts w:ascii="Arial" w:hAnsi="Arial" w:cs="Arial"/>
          <w:sz w:val="16"/>
          <w:szCs w:val="16"/>
        </w:rPr>
        <w:t xml:space="preserve"> </w:t>
      </w:r>
      <w:r w:rsidRPr="00363751">
        <w:rPr>
          <w:rFonts w:ascii="Century Gothic" w:hAnsi="Century Gothic"/>
          <w:sz w:val="14"/>
          <w:szCs w:val="14"/>
        </w:rPr>
        <w:t xml:space="preserve">Ley 1450 de 2011. «Artículo 43. Definiciones de tamaño empresarial. El artículo 2° de la Ley 590 de 2000, quedará así: </w:t>
      </w:r>
    </w:p>
    <w:p w14:paraId="095EA8A8" w14:textId="77777777" w:rsidR="00DA0BDD" w:rsidRPr="00BB19B4" w:rsidRDefault="00DA0BDD" w:rsidP="00DA0BDD">
      <w:pPr>
        <w:pStyle w:val="Textonotapie"/>
        <w:ind w:firstLine="708"/>
        <w:jc w:val="both"/>
        <w:rPr>
          <w:rFonts w:ascii="Arial" w:hAnsi="Arial" w:cs="Arial"/>
          <w:sz w:val="16"/>
          <w:szCs w:val="16"/>
        </w:rPr>
      </w:pPr>
    </w:p>
    <w:p w14:paraId="0F78E716" w14:textId="77777777" w:rsidR="00DA0BDD" w:rsidRPr="00363751" w:rsidRDefault="00DA0BDD" w:rsidP="00DA0BDD">
      <w:pPr>
        <w:pStyle w:val="Textonotapie"/>
        <w:jc w:val="both"/>
        <w:rPr>
          <w:rFonts w:ascii="Century Gothic" w:hAnsi="Century Gothic"/>
          <w:sz w:val="14"/>
          <w:szCs w:val="14"/>
        </w:rPr>
      </w:pPr>
      <w:r w:rsidRPr="00BB19B4">
        <w:rPr>
          <w:rFonts w:ascii="Arial" w:hAnsi="Arial" w:cs="Arial"/>
          <w:sz w:val="16"/>
          <w:szCs w:val="16"/>
        </w:rPr>
        <w:t>"</w:t>
      </w:r>
      <w:r w:rsidRPr="00363751">
        <w:rPr>
          <w:rFonts w:ascii="Century Gothic" w:hAnsi="Century Gothic"/>
          <w:sz w:val="14"/>
          <w:szCs w:val="14"/>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r>
        <w:rPr>
          <w:rFonts w:ascii="Century Gothic" w:hAnsi="Century Gothic"/>
          <w:sz w:val="14"/>
          <w:szCs w:val="14"/>
        </w:rPr>
        <w:t>“</w:t>
      </w:r>
      <w:r w:rsidRPr="00363751">
        <w:rPr>
          <w:rFonts w:ascii="Century Gothic" w:hAnsi="Century Gothic"/>
          <w:sz w:val="14"/>
          <w:szCs w:val="14"/>
        </w:rPr>
        <w:t xml:space="preserve">1. Número de trabajadores totales. </w:t>
      </w:r>
    </w:p>
    <w:p w14:paraId="2C45F75B" w14:textId="77777777" w:rsidR="00DA0BDD" w:rsidRPr="00363751" w:rsidRDefault="00DA0BDD" w:rsidP="00DA0BDD">
      <w:pPr>
        <w:pStyle w:val="Textonotapie"/>
        <w:jc w:val="both"/>
        <w:rPr>
          <w:rFonts w:ascii="Century Gothic" w:hAnsi="Century Gothic"/>
          <w:sz w:val="14"/>
          <w:szCs w:val="14"/>
        </w:rPr>
      </w:pPr>
      <w:r w:rsidRPr="00363751">
        <w:rPr>
          <w:rFonts w:ascii="Century Gothic" w:hAnsi="Century Gothic"/>
          <w:sz w:val="14"/>
          <w:szCs w:val="14"/>
        </w:rPr>
        <w:t xml:space="preserve"> 2. Valor de ventas brutas anuales. </w:t>
      </w:r>
    </w:p>
    <w:p w14:paraId="132F3906" w14:textId="77777777" w:rsidR="00DA0BDD" w:rsidRPr="00363751" w:rsidRDefault="00DA0BDD" w:rsidP="00DA0BDD">
      <w:pPr>
        <w:pStyle w:val="Textonotapie"/>
        <w:jc w:val="both"/>
        <w:rPr>
          <w:rFonts w:ascii="Century Gothic" w:hAnsi="Century Gothic"/>
          <w:sz w:val="14"/>
          <w:szCs w:val="14"/>
        </w:rPr>
      </w:pPr>
      <w:r w:rsidRPr="00363751">
        <w:rPr>
          <w:rFonts w:ascii="Century Gothic" w:hAnsi="Century Gothic"/>
          <w:sz w:val="14"/>
          <w:szCs w:val="14"/>
        </w:rPr>
        <w:t xml:space="preserve"> 3. Valor activos totales. </w:t>
      </w:r>
    </w:p>
    <w:p w14:paraId="15AB624A" w14:textId="77777777" w:rsidR="00DA0BDD" w:rsidRPr="00363751" w:rsidRDefault="00DA0BDD" w:rsidP="00DA0BDD">
      <w:pPr>
        <w:pStyle w:val="Textonotapie"/>
        <w:jc w:val="both"/>
        <w:rPr>
          <w:rFonts w:ascii="Century Gothic" w:hAnsi="Century Gothic"/>
          <w:sz w:val="14"/>
          <w:szCs w:val="14"/>
        </w:rPr>
      </w:pPr>
      <w:r w:rsidRPr="00363751">
        <w:rPr>
          <w:rFonts w:ascii="Century Gothic" w:hAnsi="Century Gothic"/>
          <w:sz w:val="14"/>
          <w:szCs w:val="14"/>
        </w:rPr>
        <w:t xml:space="preserve">Para efectos de los beneficios otorgados por el Gobierno nacional a las micro, pequeñas y medianas empresas el criterio determinante será </w:t>
      </w:r>
    </w:p>
    <w:p w14:paraId="6AE672D1" w14:textId="77777777" w:rsidR="00DA0BDD" w:rsidRPr="00363751" w:rsidRDefault="00DA0BDD" w:rsidP="00DA0BDD">
      <w:pPr>
        <w:pStyle w:val="Textonotapie"/>
        <w:jc w:val="both"/>
        <w:rPr>
          <w:rFonts w:ascii="Century Gothic" w:hAnsi="Century Gothic"/>
          <w:sz w:val="14"/>
          <w:szCs w:val="14"/>
        </w:rPr>
      </w:pPr>
      <w:r w:rsidRPr="00363751">
        <w:rPr>
          <w:rFonts w:ascii="Century Gothic" w:hAnsi="Century Gothic"/>
          <w:sz w:val="14"/>
          <w:szCs w:val="14"/>
        </w:rPr>
        <w:t xml:space="preserve">el valor de ventas brutas anuales. </w:t>
      </w:r>
    </w:p>
    <w:p w14:paraId="25CFB623" w14:textId="77777777" w:rsidR="00DA0BDD" w:rsidRPr="00363751" w:rsidRDefault="00DA0BDD" w:rsidP="00DA0BDD">
      <w:pPr>
        <w:pStyle w:val="Textonotapie"/>
        <w:jc w:val="both"/>
        <w:rPr>
          <w:rFonts w:ascii="Century Gothic" w:hAnsi="Century Gothic"/>
          <w:sz w:val="14"/>
          <w:szCs w:val="14"/>
        </w:rPr>
      </w:pPr>
      <w:r w:rsidRPr="00363751">
        <w:rPr>
          <w:rFonts w:ascii="Century Gothic" w:hAnsi="Century Gothic"/>
          <w:sz w:val="14"/>
          <w:szCs w:val="14"/>
        </w:rPr>
        <w:t xml:space="preserve">Parágrafo 1°. El Gobierno Nacional reglamentará los rangos que aplicarán para los tres criterios e incluirá especificidades sectoriales en los </w:t>
      </w:r>
    </w:p>
    <w:p w14:paraId="2C8B1A15" w14:textId="77777777" w:rsidR="00DA0BDD" w:rsidRPr="00363751" w:rsidRDefault="00DA0BDD" w:rsidP="00DA0BDD">
      <w:pPr>
        <w:pStyle w:val="Textonotapie"/>
        <w:jc w:val="both"/>
        <w:rPr>
          <w:rFonts w:ascii="Century Gothic" w:hAnsi="Century Gothic"/>
          <w:sz w:val="14"/>
          <w:szCs w:val="14"/>
        </w:rPr>
      </w:pPr>
      <w:r w:rsidRPr="00363751">
        <w:rPr>
          <w:rFonts w:ascii="Century Gothic" w:hAnsi="Century Gothic"/>
          <w:sz w:val="14"/>
          <w:szCs w:val="14"/>
        </w:rPr>
        <w:t xml:space="preserve">casos que considere necesario. </w:t>
      </w:r>
    </w:p>
    <w:p w14:paraId="6F746866" w14:textId="77777777" w:rsidR="00DA0BDD" w:rsidRPr="00363751" w:rsidRDefault="00DA0BDD" w:rsidP="00DA0BDD">
      <w:pPr>
        <w:pStyle w:val="Textonotapie"/>
        <w:jc w:val="both"/>
        <w:rPr>
          <w:rFonts w:ascii="Century Gothic" w:hAnsi="Century Gothic"/>
          <w:sz w:val="14"/>
          <w:szCs w:val="14"/>
        </w:rPr>
      </w:pPr>
      <w:r w:rsidRPr="00363751">
        <w:rPr>
          <w:rFonts w:ascii="Century Gothic" w:hAnsi="Century Gothic"/>
          <w:sz w:val="14"/>
          <w:szCs w:val="14"/>
        </w:rPr>
        <w:t xml:space="preserve">Parágrafo 2°. Las definiciones contenidas en el artículo 2° de la Ley 590 de 2000 continuarán vigentes hasta tanto entren a regir las normas </w:t>
      </w:r>
    </w:p>
    <w:p w14:paraId="5FD609EA" w14:textId="77777777" w:rsidR="00DA0BDD" w:rsidRPr="00BB19B4" w:rsidRDefault="00DA0BDD" w:rsidP="00DA0BDD">
      <w:pPr>
        <w:pStyle w:val="Textonotapie"/>
        <w:jc w:val="both"/>
        <w:rPr>
          <w:rFonts w:ascii="Arial" w:hAnsi="Arial" w:cs="Arial"/>
          <w:sz w:val="16"/>
          <w:szCs w:val="16"/>
          <w:lang w:val="es-ES"/>
        </w:rPr>
      </w:pPr>
      <w:r w:rsidRPr="00363751">
        <w:rPr>
          <w:rFonts w:ascii="Century Gothic" w:hAnsi="Century Gothic"/>
          <w:sz w:val="14"/>
          <w:szCs w:val="14"/>
        </w:rPr>
        <w:t>reglamentarias que profiera el Gobierno Nacional en desarrollo de lo previsto en el presente artículo</w:t>
      </w:r>
      <w:r w:rsidRPr="00BB19B4">
        <w:rPr>
          <w:rFonts w:ascii="Arial" w:hAnsi="Arial" w:cs="Arial"/>
          <w:sz w:val="16"/>
          <w:szCs w:val="16"/>
        </w:rPr>
        <w:t>”.</w:t>
      </w:r>
    </w:p>
  </w:footnote>
  <w:footnote w:id="3">
    <w:p w14:paraId="31472F66" w14:textId="77777777" w:rsidR="00DA0BDD" w:rsidRDefault="00DA0BDD" w:rsidP="00DA0BDD">
      <w:pPr>
        <w:pStyle w:val="Textonotapie"/>
        <w:ind w:firstLine="708"/>
        <w:rPr>
          <w:rFonts w:ascii="Century Gothic" w:hAnsi="Century Gothic"/>
          <w:sz w:val="14"/>
          <w:szCs w:val="14"/>
        </w:rPr>
      </w:pPr>
      <w:r w:rsidRPr="001B1B90">
        <w:rPr>
          <w:rStyle w:val="Refdenotaalpie"/>
          <w:rFonts w:ascii="Arial" w:hAnsi="Arial" w:cs="Arial"/>
          <w:sz w:val="16"/>
          <w:szCs w:val="16"/>
        </w:rPr>
        <w:footnoteRef/>
      </w:r>
      <w:r w:rsidRPr="001B1B90">
        <w:rPr>
          <w:rFonts w:ascii="Arial" w:hAnsi="Arial" w:cs="Arial"/>
          <w:sz w:val="16"/>
          <w:szCs w:val="16"/>
        </w:rPr>
        <w:t xml:space="preserve"> </w:t>
      </w:r>
      <w:r w:rsidRPr="00363751">
        <w:rPr>
          <w:rFonts w:ascii="Century Gothic" w:hAnsi="Century Gothic"/>
          <w:sz w:val="14"/>
          <w:szCs w:val="14"/>
        </w:rPr>
        <w:t>Artículo 2.2.1.13.2.2. del Decreto 1074 de 2015, adicionado por el Decreto 957 de 2019</w:t>
      </w:r>
      <w:r>
        <w:rPr>
          <w:rFonts w:ascii="Century Gothic" w:hAnsi="Century Gothic"/>
          <w:sz w:val="14"/>
          <w:szCs w:val="14"/>
        </w:rPr>
        <w:t>.</w:t>
      </w:r>
    </w:p>
    <w:p w14:paraId="12F22A48" w14:textId="77777777" w:rsidR="00DA0BDD" w:rsidRPr="001B1B90" w:rsidRDefault="00DA0BDD" w:rsidP="00DA0BDD">
      <w:pPr>
        <w:pStyle w:val="Textonotapie"/>
        <w:ind w:firstLine="708"/>
        <w:rPr>
          <w:rFonts w:ascii="Arial" w:hAnsi="Arial" w:cs="Arial"/>
          <w:lang w:val="es-ES"/>
        </w:rPr>
      </w:pPr>
    </w:p>
  </w:footnote>
  <w:footnote w:id="4">
    <w:p w14:paraId="6F4CD7E8" w14:textId="77777777" w:rsidR="00DA0BDD" w:rsidRDefault="00DA0BDD" w:rsidP="00DA0BDD">
      <w:pPr>
        <w:pStyle w:val="Textonotapie"/>
        <w:ind w:firstLine="708"/>
        <w:jc w:val="both"/>
        <w:rPr>
          <w:rFonts w:ascii="Arial" w:hAnsi="Arial" w:cs="Arial"/>
          <w:lang w:val="es-ES_tradnl"/>
        </w:rPr>
      </w:pPr>
      <w:r>
        <w:rPr>
          <w:rStyle w:val="Refdenotaalpie"/>
        </w:rPr>
        <w:footnoteRef/>
      </w:r>
      <w:r>
        <w:t xml:space="preserve"> </w:t>
      </w:r>
      <w:r w:rsidRPr="00890BDE">
        <w:rPr>
          <w:rFonts w:ascii="Century Gothic" w:hAnsi="Century Gothic"/>
          <w:sz w:val="14"/>
          <w:szCs w:val="14"/>
        </w:rPr>
        <w:t>Ver Concepto del 21 de julio de 2016 −radicado No. E20161300000072−, reiterado en los Conceptos del 20, 21 y 22 de agosto y el 17 de septiembre de 2019 −radicados Nos. 2201913000006007, 2201913000006081, 2201913000006151 y 2201913000006895−, C-258 del 17 de abril, C-413 de 30 de junio de 2020, C-705 del 7 de diciembre de 2020, C-728 del 14 de diciembre de 2020, C-160 del 20 de abril de 2021</w:t>
      </w:r>
      <w:r>
        <w:rPr>
          <w:rFonts w:ascii="Century Gothic" w:hAnsi="Century Gothic"/>
          <w:sz w:val="14"/>
          <w:szCs w:val="14"/>
        </w:rPr>
        <w:t>,</w:t>
      </w:r>
      <w:r w:rsidRPr="00890BDE">
        <w:rPr>
          <w:rFonts w:ascii="Century Gothic" w:hAnsi="Century Gothic"/>
          <w:sz w:val="14"/>
          <w:szCs w:val="14"/>
        </w:rPr>
        <w:t xml:space="preserve"> C-474 del 26 de julio de 2022</w:t>
      </w:r>
      <w:r>
        <w:rPr>
          <w:rFonts w:ascii="Century Gothic" w:hAnsi="Century Gothic"/>
          <w:sz w:val="14"/>
          <w:szCs w:val="14"/>
        </w:rPr>
        <w:t xml:space="preserve"> y C-338 del 17 de agosto de 2023.</w:t>
      </w:r>
    </w:p>
    <w:p w14:paraId="7203D19E" w14:textId="77777777" w:rsidR="00DA0BDD" w:rsidRDefault="00DA0BDD" w:rsidP="00DA0BDD">
      <w:pPr>
        <w:pStyle w:val="Textonotapie"/>
        <w:ind w:firstLine="708"/>
      </w:pPr>
    </w:p>
  </w:footnote>
  <w:footnote w:id="5">
    <w:p w14:paraId="1D80B7FA" w14:textId="77777777" w:rsidR="00BE2E76" w:rsidRPr="00936529" w:rsidRDefault="00BE2E76" w:rsidP="00BE2E76">
      <w:pPr>
        <w:pStyle w:val="Textonotapie"/>
        <w:ind w:firstLine="708"/>
        <w:jc w:val="both"/>
        <w:rPr>
          <w:rFonts w:ascii="Century Gothic" w:hAnsi="Century Gothic" w:cs="Arial"/>
          <w:sz w:val="18"/>
          <w:szCs w:val="18"/>
          <w:shd w:val="clear" w:color="auto" w:fill="E6E6E6"/>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w:t>
      </w:r>
      <w:r w:rsidRPr="00363751">
        <w:rPr>
          <w:rFonts w:ascii="Century Gothic" w:hAnsi="Century Gothic"/>
          <w:sz w:val="14"/>
          <w:szCs w:val="14"/>
        </w:rPr>
        <w:t>Los conceptos referenciados, así como otros expedidos por la Subdirección se encuentran disponibles para consulta pública en el portal de relatoría de la Agencia, al cual se puede acceder a través del siguiente enlace</w:t>
      </w:r>
      <w:r w:rsidRPr="00936529">
        <w:rPr>
          <w:rFonts w:ascii="Century Gothic" w:hAnsi="Century Gothic" w:cs="Arial"/>
          <w:sz w:val="18"/>
          <w:szCs w:val="18"/>
        </w:rPr>
        <w:t xml:space="preserve">: </w:t>
      </w:r>
      <w:hyperlink r:id="rId1" w:history="1">
        <w:r w:rsidRPr="00B765C5">
          <w:rPr>
            <w:rStyle w:val="Hipervnculo"/>
            <w:rFonts w:ascii="Century Gothic" w:hAnsi="Century Gothic" w:cs="Arial"/>
            <w:sz w:val="12"/>
            <w:szCs w:val="16"/>
          </w:rPr>
          <w:t>https://relatoria.colombiacompra.gov.co/busqueda/conceptos</w:t>
        </w:r>
      </w:hyperlink>
      <w:r w:rsidRPr="00B765C5">
        <w:rPr>
          <w:rStyle w:val="Hipervnculo"/>
          <w:rFonts w:ascii="Century Gothic" w:hAnsi="Century Gothic" w:cs="Arial"/>
          <w:sz w:val="12"/>
          <w:szCs w:val="16"/>
        </w:rPr>
        <w:t>.</w:t>
      </w:r>
      <w:r w:rsidRPr="00B765C5">
        <w:rPr>
          <w:rStyle w:val="Hipervnculo"/>
          <w:rFonts w:ascii="Century Gothic" w:hAnsi="Century Gothic" w:cs="Arial"/>
          <w:sz w:val="14"/>
          <w:szCs w:val="18"/>
        </w:rPr>
        <w:t xml:space="preserve"> </w:t>
      </w:r>
      <w:r w:rsidRPr="00B765C5">
        <w:rPr>
          <w:rFonts w:ascii="Century Gothic" w:hAnsi="Century Gothic" w:cs="Arial"/>
          <w:sz w:val="14"/>
          <w:szCs w:val="18"/>
          <w:shd w:val="clear" w:color="auto" w:fill="E6E6E6"/>
        </w:rPr>
        <w:t xml:space="preserve"> </w:t>
      </w:r>
    </w:p>
    <w:p w14:paraId="6E1EA8E4" w14:textId="77777777" w:rsidR="00BE2E76" w:rsidRPr="00936529" w:rsidRDefault="00BE2E76" w:rsidP="00BE2E76">
      <w:pPr>
        <w:pStyle w:val="Textonotapie"/>
        <w:ind w:firstLine="708"/>
        <w:jc w:val="both"/>
        <w:rPr>
          <w:rFonts w:ascii="Century Gothic" w:hAnsi="Century Gothic" w:cs="Arial"/>
          <w:sz w:val="18"/>
          <w:szCs w:val="18"/>
        </w:rPr>
      </w:pPr>
    </w:p>
  </w:footnote>
  <w:footnote w:id="6">
    <w:p w14:paraId="29422013" w14:textId="77777777" w:rsidR="00BE2E76" w:rsidRPr="00D72CB7" w:rsidRDefault="00BE2E76" w:rsidP="00BE2E76">
      <w:pPr>
        <w:pStyle w:val="Textonotapie"/>
        <w:ind w:firstLine="708"/>
        <w:contextualSpacing/>
        <w:jc w:val="both"/>
        <w:rPr>
          <w:rFonts w:ascii="Century Gothic" w:hAnsi="Century Gothic" w:cs="Arial"/>
          <w:color w:val="000000" w:themeColor="text1"/>
          <w:sz w:val="16"/>
          <w:szCs w:val="16"/>
          <w:lang w:val="es-CO"/>
        </w:rPr>
      </w:pPr>
      <w:r w:rsidRPr="00B457B0">
        <w:rPr>
          <w:rStyle w:val="Refdenotaalpie"/>
          <w:rFonts w:ascii="Arial" w:hAnsi="Arial" w:cs="Arial" w:hint="cs"/>
          <w:color w:val="000000" w:themeColor="text1"/>
          <w:sz w:val="16"/>
          <w:szCs w:val="16"/>
        </w:rPr>
        <w:footnoteRef/>
      </w:r>
      <w:r w:rsidRPr="00B457B0">
        <w:rPr>
          <w:rFonts w:ascii="Arial" w:hAnsi="Arial" w:cs="Arial" w:hint="cs"/>
          <w:color w:val="000000" w:themeColor="text1"/>
          <w:sz w:val="16"/>
          <w:szCs w:val="16"/>
        </w:rPr>
        <w:t xml:space="preserve"> </w:t>
      </w:r>
      <w:r w:rsidRPr="00D72CB7">
        <w:rPr>
          <w:rFonts w:ascii="Century Gothic" w:hAnsi="Century Gothic" w:cs="Arial"/>
          <w:color w:val="000000" w:themeColor="text1"/>
          <w:sz w:val="16"/>
          <w:szCs w:val="16"/>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68D54C72" w14:textId="77777777" w:rsidR="00BE2E76" w:rsidRPr="00B457B0" w:rsidRDefault="00BE2E76" w:rsidP="00BE2E76">
      <w:pPr>
        <w:pStyle w:val="Textonotapie"/>
        <w:ind w:firstLine="708"/>
        <w:contextualSpacing/>
        <w:jc w:val="both"/>
        <w:rPr>
          <w:rFonts w:ascii="Arial" w:hAnsi="Arial" w:cs="Arial"/>
          <w:color w:val="000000" w:themeColor="text1"/>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763FAC"/>
    <w:multiLevelType w:val="hybridMultilevel"/>
    <w:tmpl w:val="BBB24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0C3E8B"/>
    <w:multiLevelType w:val="hybridMultilevel"/>
    <w:tmpl w:val="5BECDFCE"/>
    <w:lvl w:ilvl="0" w:tplc="240A0013">
      <w:start w:val="1"/>
      <w:numFmt w:val="upp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92B65"/>
    <w:multiLevelType w:val="hybridMultilevel"/>
    <w:tmpl w:val="19485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510657"/>
    <w:multiLevelType w:val="hybridMultilevel"/>
    <w:tmpl w:val="D9F889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4C6535F"/>
    <w:multiLevelType w:val="hybridMultilevel"/>
    <w:tmpl w:val="37E491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0"/>
  </w:num>
  <w:num w:numId="2" w16cid:durableId="19822139">
    <w:abstractNumId w:val="2"/>
  </w:num>
  <w:num w:numId="3" w16cid:durableId="876742304">
    <w:abstractNumId w:val="7"/>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9"/>
  </w:num>
  <w:num w:numId="8" w16cid:durableId="152644682">
    <w:abstractNumId w:val="17"/>
  </w:num>
  <w:num w:numId="9" w16cid:durableId="1317221377">
    <w:abstractNumId w:val="11"/>
  </w:num>
  <w:num w:numId="10" w16cid:durableId="1471245386">
    <w:abstractNumId w:val="16"/>
  </w:num>
  <w:num w:numId="11" w16cid:durableId="289172385">
    <w:abstractNumId w:val="12"/>
  </w:num>
  <w:num w:numId="12" w16cid:durableId="1470781324">
    <w:abstractNumId w:val="1"/>
  </w:num>
  <w:num w:numId="13" w16cid:durableId="1512908409">
    <w:abstractNumId w:val="5"/>
  </w:num>
  <w:num w:numId="14" w16cid:durableId="895897244">
    <w:abstractNumId w:val="20"/>
  </w:num>
  <w:num w:numId="15" w16cid:durableId="390349800">
    <w:abstractNumId w:val="14"/>
  </w:num>
  <w:num w:numId="16" w16cid:durableId="341274352">
    <w:abstractNumId w:val="0"/>
  </w:num>
  <w:num w:numId="17" w16cid:durableId="1492209491">
    <w:abstractNumId w:val="8"/>
  </w:num>
  <w:num w:numId="18" w16cid:durableId="124782775">
    <w:abstractNumId w:val="3"/>
  </w:num>
  <w:num w:numId="19" w16cid:durableId="1283728349">
    <w:abstractNumId w:val="18"/>
  </w:num>
  <w:num w:numId="20" w16cid:durableId="296375267">
    <w:abstractNumId w:val="15"/>
  </w:num>
  <w:num w:numId="21" w16cid:durableId="1906984233">
    <w:abstractNumId w:val="13"/>
  </w:num>
  <w:num w:numId="22" w16cid:durableId="718089256">
    <w:abstractNumId w:val="6"/>
  </w:num>
  <w:num w:numId="23" w16cid:durableId="909072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E6D"/>
    <w:rsid w:val="0002574C"/>
    <w:rsid w:val="0003639D"/>
    <w:rsid w:val="00052B41"/>
    <w:rsid w:val="00061B2A"/>
    <w:rsid w:val="00082362"/>
    <w:rsid w:val="00093A07"/>
    <w:rsid w:val="000A5090"/>
    <w:rsid w:val="000A683E"/>
    <w:rsid w:val="000B19B9"/>
    <w:rsid w:val="000C2488"/>
    <w:rsid w:val="000D0334"/>
    <w:rsid w:val="000F6486"/>
    <w:rsid w:val="00125105"/>
    <w:rsid w:val="00127233"/>
    <w:rsid w:val="00170D96"/>
    <w:rsid w:val="001B2A32"/>
    <w:rsid w:val="001E4177"/>
    <w:rsid w:val="001F7DC6"/>
    <w:rsid w:val="002421BB"/>
    <w:rsid w:val="0025796E"/>
    <w:rsid w:val="002707A2"/>
    <w:rsid w:val="00272F9B"/>
    <w:rsid w:val="002951A0"/>
    <w:rsid w:val="002962BC"/>
    <w:rsid w:val="00296E54"/>
    <w:rsid w:val="002A093D"/>
    <w:rsid w:val="002A0DD0"/>
    <w:rsid w:val="002A49AC"/>
    <w:rsid w:val="002A64FD"/>
    <w:rsid w:val="002C7A84"/>
    <w:rsid w:val="002E4FD9"/>
    <w:rsid w:val="003033BC"/>
    <w:rsid w:val="00322A85"/>
    <w:rsid w:val="00324168"/>
    <w:rsid w:val="003448F4"/>
    <w:rsid w:val="00374F5E"/>
    <w:rsid w:val="00377E3E"/>
    <w:rsid w:val="003A26D1"/>
    <w:rsid w:val="003A779E"/>
    <w:rsid w:val="003D0F4D"/>
    <w:rsid w:val="003D5976"/>
    <w:rsid w:val="003D5B0D"/>
    <w:rsid w:val="003E0499"/>
    <w:rsid w:val="003F3941"/>
    <w:rsid w:val="00406575"/>
    <w:rsid w:val="0042722E"/>
    <w:rsid w:val="0043411E"/>
    <w:rsid w:val="0044528D"/>
    <w:rsid w:val="00493667"/>
    <w:rsid w:val="004A1847"/>
    <w:rsid w:val="004A305D"/>
    <w:rsid w:val="004F21C4"/>
    <w:rsid w:val="004F4F05"/>
    <w:rsid w:val="004F685F"/>
    <w:rsid w:val="005566E8"/>
    <w:rsid w:val="00574867"/>
    <w:rsid w:val="00591460"/>
    <w:rsid w:val="0059196A"/>
    <w:rsid w:val="00592628"/>
    <w:rsid w:val="005C3777"/>
    <w:rsid w:val="005C5CDC"/>
    <w:rsid w:val="005D476C"/>
    <w:rsid w:val="005E674A"/>
    <w:rsid w:val="00610812"/>
    <w:rsid w:val="00613910"/>
    <w:rsid w:val="00620BE9"/>
    <w:rsid w:val="006219F8"/>
    <w:rsid w:val="00650FF7"/>
    <w:rsid w:val="00665D70"/>
    <w:rsid w:val="00671DAC"/>
    <w:rsid w:val="006900D9"/>
    <w:rsid w:val="006D12F8"/>
    <w:rsid w:val="006F6DE2"/>
    <w:rsid w:val="00706C16"/>
    <w:rsid w:val="00713F93"/>
    <w:rsid w:val="00756841"/>
    <w:rsid w:val="007649AB"/>
    <w:rsid w:val="00771D0C"/>
    <w:rsid w:val="0077485E"/>
    <w:rsid w:val="007833AC"/>
    <w:rsid w:val="007B268C"/>
    <w:rsid w:val="007B7171"/>
    <w:rsid w:val="007C06DC"/>
    <w:rsid w:val="007C0C0F"/>
    <w:rsid w:val="007C3DC2"/>
    <w:rsid w:val="007E5497"/>
    <w:rsid w:val="007E716E"/>
    <w:rsid w:val="00806F5F"/>
    <w:rsid w:val="00820278"/>
    <w:rsid w:val="00822210"/>
    <w:rsid w:val="0083394D"/>
    <w:rsid w:val="00870FB2"/>
    <w:rsid w:val="008843B6"/>
    <w:rsid w:val="00891928"/>
    <w:rsid w:val="008A446D"/>
    <w:rsid w:val="008D180B"/>
    <w:rsid w:val="008F0EA7"/>
    <w:rsid w:val="00923EEF"/>
    <w:rsid w:val="009419F9"/>
    <w:rsid w:val="009520B1"/>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85C5C"/>
    <w:rsid w:val="00AA71C1"/>
    <w:rsid w:val="00AB0ADB"/>
    <w:rsid w:val="00AF2CE7"/>
    <w:rsid w:val="00B01B1A"/>
    <w:rsid w:val="00B30EDA"/>
    <w:rsid w:val="00B72CD3"/>
    <w:rsid w:val="00B72FFF"/>
    <w:rsid w:val="00BC3D36"/>
    <w:rsid w:val="00BD7F72"/>
    <w:rsid w:val="00BE2E76"/>
    <w:rsid w:val="00C04FB3"/>
    <w:rsid w:val="00C311C7"/>
    <w:rsid w:val="00C32D1C"/>
    <w:rsid w:val="00C330EB"/>
    <w:rsid w:val="00C700A3"/>
    <w:rsid w:val="00C754BE"/>
    <w:rsid w:val="00C76B1C"/>
    <w:rsid w:val="00CB6357"/>
    <w:rsid w:val="00CC1B26"/>
    <w:rsid w:val="00CE20C0"/>
    <w:rsid w:val="00D00A3B"/>
    <w:rsid w:val="00D423A2"/>
    <w:rsid w:val="00D520D8"/>
    <w:rsid w:val="00D63AC2"/>
    <w:rsid w:val="00D7383B"/>
    <w:rsid w:val="00DA0BDD"/>
    <w:rsid w:val="00DA231B"/>
    <w:rsid w:val="00DA23A0"/>
    <w:rsid w:val="00DB5E05"/>
    <w:rsid w:val="00DC39FC"/>
    <w:rsid w:val="00DF5254"/>
    <w:rsid w:val="00E0143F"/>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D5043"/>
    <w:rsid w:val="00EE1AA8"/>
    <w:rsid w:val="00EE42AF"/>
    <w:rsid w:val="00F05586"/>
    <w:rsid w:val="00F14086"/>
    <w:rsid w:val="00F31EDC"/>
    <w:rsid w:val="00F43DCE"/>
    <w:rsid w:val="00F462B3"/>
    <w:rsid w:val="00F5664F"/>
    <w:rsid w:val="00F666C4"/>
    <w:rsid w:val="00F76AFC"/>
    <w:rsid w:val="00FA47C0"/>
    <w:rsid w:val="00FB0006"/>
    <w:rsid w:val="00FB5DD1"/>
    <w:rsid w:val="00FC2B5D"/>
    <w:rsid w:val="00FC7940"/>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32D1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32D1C"/>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potablas@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B0B3448-C645-4C64-B3C0-F52FCE936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3309</Words>
  <Characters>18200</Characters>
  <Application>Microsoft Office Word</Application>
  <DocSecurity>0</DocSecurity>
  <Lines>151</Lines>
  <Paragraphs>42</Paragraphs>
  <ScaleCrop>false</ScaleCrop>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9</cp:revision>
  <cp:lastPrinted>2023-01-10T21:18:00Z</cp:lastPrinted>
  <dcterms:created xsi:type="dcterms:W3CDTF">2024-09-10T22:41:00Z</dcterms:created>
  <dcterms:modified xsi:type="dcterms:W3CDTF">2024-09-11T20:25:00Z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