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4B7D6" w14:textId="77777777" w:rsidR="00044BD0" w:rsidRPr="00044BD0" w:rsidRDefault="00044BD0" w:rsidP="00044BD0">
      <w:pPr>
        <w:spacing w:after="0"/>
        <w:jc w:val="both"/>
        <w:rPr>
          <w:rFonts w:ascii="Verdana" w:hAnsi="Verdana" w:cs="Arial"/>
          <w:b/>
        </w:rPr>
      </w:pPr>
      <w:bookmarkStart w:id="0" w:name="_Hlk143780582"/>
      <w:r w:rsidRPr="00044BD0">
        <w:rPr>
          <w:rFonts w:ascii="Verdana" w:hAnsi="Verdana" w:cs="Arial"/>
          <w:b/>
        </w:rPr>
        <w:t>EXPERIENCIA – Noción – Concepto</w:t>
      </w:r>
    </w:p>
    <w:p w14:paraId="7ECD7EA1" w14:textId="77777777" w:rsidR="00044BD0" w:rsidRPr="00044BD0" w:rsidRDefault="00044BD0" w:rsidP="00044BD0">
      <w:pPr>
        <w:spacing w:after="0"/>
        <w:jc w:val="both"/>
        <w:rPr>
          <w:rFonts w:ascii="Verdana" w:hAnsi="Verdana" w:cs="Arial"/>
          <w:sz w:val="20"/>
          <w:szCs w:val="20"/>
        </w:rPr>
      </w:pPr>
    </w:p>
    <w:p w14:paraId="2C7FEA4A" w14:textId="77777777" w:rsidR="00044BD0" w:rsidRPr="00044BD0" w:rsidRDefault="00044BD0" w:rsidP="00044BD0">
      <w:pPr>
        <w:spacing w:after="0" w:line="240" w:lineRule="auto"/>
        <w:jc w:val="both"/>
        <w:rPr>
          <w:rFonts w:ascii="Verdana" w:hAnsi="Verdana" w:cs="Arial"/>
          <w:sz w:val="20"/>
          <w:szCs w:val="20"/>
        </w:rPr>
      </w:pPr>
      <w:r w:rsidRPr="00044BD0">
        <w:rPr>
          <w:rFonts w:ascii="Verdana" w:hAnsi="Verdana" w:cs="Arial"/>
          <w:sz w:val="20"/>
          <w:szCs w:val="20"/>
        </w:rPr>
        <w:t xml:space="preserve">La Ley 1150 de 2007, en el artículo 5, dispone que la capacidad jurídica y las condiciones de experiencia, así como la capacidad financiera y de organización de los proponentes, serán objeto de verificación por parte de las entidades como requisitos habilitantes para participar en los procesos de selección y no otorgarán puntaje. </w:t>
      </w:r>
    </w:p>
    <w:p w14:paraId="424BDFD7" w14:textId="77777777" w:rsidR="00044BD0" w:rsidRPr="00044BD0" w:rsidRDefault="00044BD0" w:rsidP="00044BD0">
      <w:pPr>
        <w:spacing w:after="0" w:line="240" w:lineRule="auto"/>
        <w:jc w:val="both"/>
        <w:rPr>
          <w:rFonts w:ascii="Verdana" w:hAnsi="Verdana" w:cs="Arial"/>
          <w:sz w:val="20"/>
          <w:szCs w:val="20"/>
        </w:rPr>
      </w:pPr>
    </w:p>
    <w:p w14:paraId="73D71577" w14:textId="77777777" w:rsidR="00044BD0" w:rsidRPr="00044BD0" w:rsidRDefault="00044BD0" w:rsidP="00044BD0">
      <w:pPr>
        <w:spacing w:after="0" w:line="240" w:lineRule="auto"/>
        <w:jc w:val="both"/>
        <w:rPr>
          <w:rFonts w:ascii="Verdana" w:hAnsi="Verdana" w:cs="Arial"/>
          <w:sz w:val="20"/>
          <w:szCs w:val="20"/>
        </w:rPr>
      </w:pPr>
      <w:r w:rsidRPr="00044BD0">
        <w:rPr>
          <w:rFonts w:ascii="Verdana" w:hAnsi="Verdana" w:cs="Arial"/>
          <w:sz w:val="20"/>
          <w:szCs w:val="20"/>
        </w:rPr>
        <w:t>Para ello, el artículo 6 de la Ley 1150 de 2007 señala que todas las personas naturales o jurídicas, nacionales o extranjeras, domiciliadas o con sucursal en Colombia, que aspiren celebrar contratos con las entidades estatales deberán estar inscritas en el Registro Único de Proponentes. En dicho registro constará la información relacionada con la experiencia, la capacidad jurídica, financiera y de organización del proponente y su clasificación. En este registro constan los requisitos habilitantes que se evalúan exclusivamente con este documento, que es plena prueba, sin que la entidad o el proponente puedan, en principio, solicitar o aportar otra documentación.</w:t>
      </w:r>
    </w:p>
    <w:p w14:paraId="1D5F78AF" w14:textId="77777777" w:rsidR="00044BD0" w:rsidRPr="00044BD0" w:rsidRDefault="00044BD0" w:rsidP="00044BD0">
      <w:pPr>
        <w:spacing w:after="0" w:line="240" w:lineRule="auto"/>
        <w:jc w:val="both"/>
        <w:rPr>
          <w:rFonts w:ascii="Verdana" w:hAnsi="Verdana" w:cs="Arial"/>
          <w:sz w:val="20"/>
          <w:szCs w:val="20"/>
        </w:rPr>
      </w:pPr>
    </w:p>
    <w:p w14:paraId="72A58E30" w14:textId="77777777" w:rsidR="00044BD0" w:rsidRPr="00044BD0" w:rsidRDefault="00044BD0" w:rsidP="00044BD0">
      <w:pPr>
        <w:spacing w:after="0" w:line="240" w:lineRule="auto"/>
        <w:jc w:val="both"/>
        <w:rPr>
          <w:rFonts w:ascii="Verdana" w:hAnsi="Verdana" w:cs="Arial"/>
          <w:sz w:val="20"/>
          <w:szCs w:val="20"/>
        </w:rPr>
      </w:pPr>
      <w:r w:rsidRPr="00044BD0">
        <w:rPr>
          <w:rFonts w:ascii="Verdana" w:hAnsi="Verdana" w:cs="Arial"/>
          <w:sz w:val="20"/>
          <w:szCs w:val="20"/>
        </w:rPr>
        <w:t>En relación con el requisito habilitante de experiencia, la Agencia Nacional de Contratación Pública – Colombia Compra Eficiente puso a disposición de los interesados del Sistema de Compra Pública el “Manual para determinar y verificar requisitos habilitantes en los Procesos de Contratación”. Allí se indica que la experiencia tiene un carácter personal, lo cual significa que esta se obtiene por la participación, con anterioridad, en actividades que le permitieron a alguien conocer cómo ejecutar determinado objeto contractual que la entidad ahora pretende desarrollar.</w:t>
      </w:r>
    </w:p>
    <w:p w14:paraId="544CC59E" w14:textId="77777777" w:rsidR="00044BD0" w:rsidRPr="00044BD0" w:rsidRDefault="00044BD0" w:rsidP="00044BD0">
      <w:pPr>
        <w:spacing w:after="0" w:line="240" w:lineRule="auto"/>
        <w:jc w:val="both"/>
        <w:rPr>
          <w:rFonts w:ascii="Verdana" w:hAnsi="Verdana" w:cs="Arial"/>
          <w:sz w:val="20"/>
          <w:szCs w:val="20"/>
        </w:rPr>
      </w:pPr>
    </w:p>
    <w:p w14:paraId="204613BE" w14:textId="77777777" w:rsidR="00044BD0" w:rsidRPr="00044BD0" w:rsidRDefault="00044BD0" w:rsidP="00044BD0">
      <w:pPr>
        <w:spacing w:after="0" w:line="240" w:lineRule="auto"/>
        <w:jc w:val="both"/>
        <w:rPr>
          <w:rFonts w:ascii="Verdana" w:hAnsi="Verdana" w:cs="Arial"/>
          <w:sz w:val="20"/>
          <w:szCs w:val="20"/>
        </w:rPr>
      </w:pPr>
      <w:r w:rsidRPr="00044BD0">
        <w:rPr>
          <w:rFonts w:ascii="Verdana" w:hAnsi="Verdana" w:cs="Arial"/>
          <w:sz w:val="20"/>
          <w:szCs w:val="20"/>
        </w:rPr>
        <w:t>[…] no es posible adquirir la experiencia si en la práctica no se han ejecutado actividades previas. Precisamente, de la experiencia se deriva el conocimiento del proponente, lo cual es importante para la contratación pública, pues ello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Por otra parte, la Agencia recomienda que la experiencia que se solicite sea proporcional y no igual al objeto que se va a contratar, ya que esto puede limitar la participación de los proveedores por no haber ejecutado un objeto igual pero sí similar, de manera que se ayude a que exista pluralidad de oferentes.</w:t>
      </w:r>
    </w:p>
    <w:p w14:paraId="3B703598" w14:textId="77777777" w:rsidR="00044BD0" w:rsidRPr="00044BD0" w:rsidRDefault="00044BD0" w:rsidP="00044BD0">
      <w:pPr>
        <w:spacing w:after="0" w:line="240" w:lineRule="auto"/>
        <w:jc w:val="both"/>
        <w:rPr>
          <w:rFonts w:ascii="Verdana" w:hAnsi="Verdana" w:cs="Arial"/>
        </w:rPr>
      </w:pPr>
    </w:p>
    <w:p w14:paraId="5AC4CC54" w14:textId="77777777" w:rsidR="00044BD0" w:rsidRPr="00044BD0" w:rsidRDefault="00044BD0" w:rsidP="00044BD0">
      <w:pPr>
        <w:jc w:val="both"/>
        <w:rPr>
          <w:rFonts w:ascii="Verdana" w:eastAsia="Geomanist Light" w:hAnsi="Verdana" w:cs="Arial"/>
          <w:b/>
          <w:color w:val="000000" w:themeColor="text1"/>
        </w:rPr>
      </w:pPr>
      <w:r w:rsidRPr="00044BD0">
        <w:rPr>
          <w:rFonts w:ascii="Verdana" w:eastAsia="Calibri" w:hAnsi="Verdana" w:cs="Arial"/>
          <w:b/>
        </w:rPr>
        <w:t>REFORMAS SOCIETARIAS – Disolución – Liquidación – Nociones e implicaciones</w:t>
      </w:r>
    </w:p>
    <w:p w14:paraId="4ADF90A0" w14:textId="77777777" w:rsidR="00044BD0" w:rsidRPr="00044BD0" w:rsidRDefault="00044BD0" w:rsidP="00044BD0">
      <w:pPr>
        <w:jc w:val="both"/>
        <w:rPr>
          <w:rFonts w:ascii="Verdana" w:eastAsia="Geomanist Light" w:hAnsi="Verdana" w:cs="Arial"/>
          <w:color w:val="000000" w:themeColor="text1"/>
          <w:sz w:val="20"/>
          <w:szCs w:val="20"/>
        </w:rPr>
      </w:pPr>
      <w:r w:rsidRPr="00044BD0">
        <w:rPr>
          <w:rFonts w:ascii="Verdana" w:eastAsia="Geomanist Light" w:hAnsi="Verdana" w:cs="Arial"/>
          <w:color w:val="000000" w:themeColor="text1"/>
          <w:sz w:val="20"/>
          <w:szCs w:val="20"/>
        </w:rPr>
        <w:t xml:space="preserve">De conformidad con los artículos 98 y </w:t>
      </w:r>
      <w:proofErr w:type="spellStart"/>
      <w:r w:rsidRPr="00044BD0">
        <w:rPr>
          <w:rFonts w:ascii="Verdana" w:eastAsia="Geomanist Light" w:hAnsi="Verdana" w:cs="Arial"/>
          <w:color w:val="000000" w:themeColor="text1"/>
          <w:sz w:val="20"/>
          <w:szCs w:val="20"/>
        </w:rPr>
        <w:t>ss</w:t>
      </w:r>
      <w:proofErr w:type="spellEnd"/>
      <w:r w:rsidRPr="00044BD0">
        <w:rPr>
          <w:rFonts w:ascii="Verdana" w:eastAsia="Geomanist Light" w:hAnsi="Verdana" w:cs="Arial"/>
          <w:color w:val="000000" w:themeColor="text1"/>
          <w:sz w:val="20"/>
          <w:szCs w:val="20"/>
        </w:rPr>
        <w:t xml:space="preserve"> del Código de Comercio, quizá el principal efecto de un contrato de sociedad es el surgimiento de una persona jurídica distinta de la de los socios, una vez se cumplen las formalidades requeridas para su constitución. La naturaleza de estas personas jurídicas, así como los atributos que la definen, se encuentra condicionada por las estipulaciones sociales, las cuales deben definir el objeto social, el tipo societario, la conformación del capital social, entre otros aspectos que pueden ser materia de reformas sociales que, dependiendo de su tipología, pueden tener incidencia en la existencia de la sociedad y los compromisos adquiridos por esta. </w:t>
      </w:r>
    </w:p>
    <w:p w14:paraId="7DBC295B" w14:textId="77777777" w:rsidR="00044BD0" w:rsidRPr="00044BD0" w:rsidRDefault="00044BD0" w:rsidP="00044BD0">
      <w:pPr>
        <w:jc w:val="both"/>
        <w:rPr>
          <w:rFonts w:ascii="Verdana" w:eastAsia="Geomanist Light" w:hAnsi="Verdana" w:cs="Arial"/>
          <w:color w:val="000000" w:themeColor="text1"/>
          <w:sz w:val="20"/>
          <w:szCs w:val="20"/>
        </w:rPr>
      </w:pPr>
      <w:r w:rsidRPr="00044BD0">
        <w:rPr>
          <w:rFonts w:ascii="Verdana" w:eastAsia="Geomanist Light" w:hAnsi="Verdana" w:cs="Arial"/>
          <w:color w:val="000000" w:themeColor="text1"/>
          <w:sz w:val="20"/>
          <w:szCs w:val="20"/>
        </w:rPr>
        <w:lastRenderedPageBreak/>
        <w:t xml:space="preserve">Para comprender con claridad el alcance de las distintas reformas estatutarias de las que pueden ser objeto las sociedades comerciales, así como para comprender sus efectos en la adjudicación y ejecución de contratos estatales, es necesario comenzar por distinguir los conceptos “disolución” y “liquidación”. Tales expresiones designan efectos que derivan de la aplicación de las figuras y reformas estatutarias, que tienen incidencia en la titularidad de las obligaciones de la sociedad y en la acreditación de experiencia.  </w:t>
      </w:r>
    </w:p>
    <w:p w14:paraId="368B8317" w14:textId="77777777" w:rsidR="00044BD0" w:rsidRPr="00044BD0" w:rsidRDefault="00044BD0" w:rsidP="00044BD0">
      <w:pPr>
        <w:jc w:val="both"/>
        <w:rPr>
          <w:rFonts w:ascii="Verdana" w:eastAsia="Geomanist Light" w:hAnsi="Verdana" w:cs="Arial"/>
          <w:color w:val="000000" w:themeColor="text1"/>
          <w:sz w:val="20"/>
          <w:szCs w:val="20"/>
        </w:rPr>
      </w:pPr>
      <w:r w:rsidRPr="00044BD0">
        <w:rPr>
          <w:rFonts w:ascii="Verdana" w:eastAsia="Geomanist Light" w:hAnsi="Verdana" w:cs="Arial"/>
          <w:color w:val="000000" w:themeColor="text1"/>
          <w:sz w:val="20"/>
          <w:szCs w:val="20"/>
        </w:rPr>
        <w:t>En primer lugar, el Código de Comercio señala, como efecto de la “disolución”, que la persona jurídica no desaparece, sino que conserva su capacidad jurídica, únicamente para “liquidarse” y para las operaciones o actos autorizados por la ley, como las figuras y reformas estatutarias que se verán a continuación. Por el contrario, respecto de la “liquidación” de las sociedades comerciales, el Código de Comercio señala el procedimiento para realizar el inventario y distribución del patrimonio social, de lo cual se infiere que termina la persona jurídica.</w:t>
      </w:r>
    </w:p>
    <w:p w14:paraId="2130ED16" w14:textId="77777777" w:rsidR="00044BD0" w:rsidRPr="00044BD0" w:rsidRDefault="00044BD0" w:rsidP="00044BD0">
      <w:pPr>
        <w:jc w:val="both"/>
        <w:rPr>
          <w:rFonts w:ascii="Verdana" w:eastAsia="Calibri" w:hAnsi="Verdana" w:cs="Arial"/>
          <w:b/>
        </w:rPr>
      </w:pPr>
      <w:r w:rsidRPr="00044BD0">
        <w:rPr>
          <w:rFonts w:ascii="Verdana" w:eastAsia="Calibri" w:hAnsi="Verdana" w:cs="Arial"/>
          <w:b/>
        </w:rPr>
        <w:t>PERSONA JURÍDICA – Cambio de razón social – Consecuencias – Experiencia</w:t>
      </w:r>
    </w:p>
    <w:p w14:paraId="6D0435C3" w14:textId="77777777" w:rsidR="00044BD0" w:rsidRPr="00044BD0" w:rsidRDefault="00044BD0" w:rsidP="00044BD0">
      <w:pPr>
        <w:jc w:val="both"/>
        <w:rPr>
          <w:rFonts w:ascii="Verdana" w:eastAsia="Geomanist Light" w:hAnsi="Verdana" w:cs="Arial"/>
          <w:color w:val="000000" w:themeColor="text1"/>
          <w:sz w:val="20"/>
          <w:szCs w:val="20"/>
        </w:rPr>
      </w:pPr>
      <w:r w:rsidRPr="00044BD0">
        <w:rPr>
          <w:rFonts w:ascii="Verdana" w:eastAsia="Geomanist Light" w:hAnsi="Verdana" w:cs="Arial"/>
          <w:color w:val="000000" w:themeColor="text1"/>
          <w:sz w:val="20"/>
          <w:szCs w:val="20"/>
        </w:rPr>
        <w:t>En ese sentido, a pesar de que el cambio de razón social se considera una reforma estatutaria, las normas no mencionan nada respecto de sus efectos, como la disolución o liquidación de la persona jurídica, que, de acuerdo con lo expuesto en las consideraciones, si tiene efectos sobre la experiencia registrada en el RUP. Por tanto, el cambio de razón social no tiene efectos sobre la experiencia de la persona jurídica, la cual puede continuar registrada en el RUP sin perjuicio de los cambios que se deban hacer ante dicho registro, lo cual es competencia de las Cámaras de Comercio del país.</w:t>
      </w:r>
    </w:p>
    <w:p w14:paraId="558F72B3" w14:textId="77777777" w:rsidR="00044BD0" w:rsidRPr="00044BD0" w:rsidRDefault="00044BD0" w:rsidP="00044BD0">
      <w:pPr>
        <w:spacing w:after="0" w:line="240" w:lineRule="auto"/>
        <w:jc w:val="both"/>
        <w:rPr>
          <w:rFonts w:ascii="Verdana" w:hAnsi="Verdana" w:cs="Arial"/>
          <w:sz w:val="20"/>
          <w:szCs w:val="20"/>
          <w:lang w:val="es-ES"/>
        </w:rPr>
      </w:pPr>
    </w:p>
    <w:p w14:paraId="7B30166A" w14:textId="77777777" w:rsidR="00044BD0" w:rsidRDefault="00044BD0" w:rsidP="00044BD0">
      <w:pPr>
        <w:spacing w:after="0" w:line="240" w:lineRule="auto"/>
        <w:jc w:val="both"/>
        <w:rPr>
          <w:rFonts w:ascii="Verdana" w:hAnsi="Verdana" w:cs="Arial"/>
          <w:sz w:val="20"/>
          <w:szCs w:val="20"/>
          <w:lang w:eastAsia="es-ES"/>
        </w:rPr>
      </w:pPr>
    </w:p>
    <w:p w14:paraId="02922C66" w14:textId="77777777" w:rsidR="00F50B5B" w:rsidRPr="00044BD0" w:rsidRDefault="00F50B5B" w:rsidP="00044BD0">
      <w:pPr>
        <w:spacing w:after="0" w:line="240" w:lineRule="auto"/>
        <w:jc w:val="both"/>
        <w:rPr>
          <w:rFonts w:ascii="Verdana" w:hAnsi="Verdana" w:cs="Arial"/>
          <w:sz w:val="20"/>
          <w:szCs w:val="20"/>
          <w:lang w:eastAsia="es-ES"/>
        </w:rPr>
      </w:pPr>
    </w:p>
    <w:p w14:paraId="7ED8D518" w14:textId="77777777" w:rsidR="00044BD0" w:rsidRPr="00044BD0" w:rsidRDefault="00044BD0" w:rsidP="00044BD0">
      <w:pPr>
        <w:spacing w:after="0" w:line="240" w:lineRule="auto"/>
        <w:jc w:val="both"/>
        <w:rPr>
          <w:rFonts w:ascii="Verdana" w:hAnsi="Verdana" w:cs="Arial"/>
          <w:sz w:val="20"/>
          <w:szCs w:val="20"/>
          <w:lang w:val="es-ES_tradnl" w:eastAsia="es-ES"/>
        </w:rPr>
      </w:pPr>
    </w:p>
    <w:p w14:paraId="5F73EBD5" w14:textId="77777777" w:rsidR="00044BD0" w:rsidRPr="00044BD0" w:rsidRDefault="00044BD0" w:rsidP="00044BD0">
      <w:pPr>
        <w:spacing w:after="0" w:line="240" w:lineRule="auto"/>
        <w:jc w:val="both"/>
        <w:rPr>
          <w:rFonts w:ascii="Verdana" w:hAnsi="Verdana" w:cs="Arial"/>
          <w:sz w:val="20"/>
          <w:szCs w:val="20"/>
          <w:lang w:val="es-ES_tradnl" w:eastAsia="es-ES"/>
        </w:rPr>
      </w:pPr>
    </w:p>
    <w:p w14:paraId="7D2B3CCA" w14:textId="77777777" w:rsidR="00044BD0" w:rsidRPr="00044BD0" w:rsidRDefault="00044BD0" w:rsidP="00044BD0">
      <w:pPr>
        <w:spacing w:after="0" w:line="240" w:lineRule="auto"/>
        <w:jc w:val="both"/>
        <w:rPr>
          <w:rFonts w:ascii="Verdana" w:hAnsi="Verdana" w:cs="Arial"/>
          <w:sz w:val="20"/>
          <w:szCs w:val="20"/>
          <w:lang w:val="es-ES_tradnl" w:eastAsia="es-ES"/>
        </w:rPr>
      </w:pPr>
    </w:p>
    <w:p w14:paraId="7EC81F98" w14:textId="77777777" w:rsidR="00044BD0" w:rsidRPr="00044BD0" w:rsidRDefault="00044BD0" w:rsidP="00044BD0">
      <w:pPr>
        <w:spacing w:after="0" w:line="240" w:lineRule="auto"/>
        <w:jc w:val="both"/>
        <w:rPr>
          <w:rFonts w:ascii="Verdana" w:hAnsi="Verdana" w:cs="Arial"/>
          <w:sz w:val="20"/>
          <w:szCs w:val="20"/>
          <w:lang w:val="es-ES_tradnl" w:eastAsia="es-ES"/>
        </w:rPr>
      </w:pPr>
    </w:p>
    <w:p w14:paraId="5E710121" w14:textId="77777777" w:rsidR="00044BD0" w:rsidRPr="00044BD0" w:rsidRDefault="00044BD0" w:rsidP="00044BD0">
      <w:pPr>
        <w:spacing w:after="0" w:line="240" w:lineRule="auto"/>
        <w:jc w:val="both"/>
        <w:rPr>
          <w:rFonts w:ascii="Verdana" w:hAnsi="Verdana" w:cs="Arial"/>
          <w:sz w:val="20"/>
          <w:szCs w:val="20"/>
          <w:lang w:val="es-ES_tradnl" w:eastAsia="es-ES"/>
        </w:rPr>
      </w:pPr>
    </w:p>
    <w:p w14:paraId="30453305" w14:textId="77777777" w:rsidR="00044BD0" w:rsidRPr="00044BD0" w:rsidRDefault="00044BD0" w:rsidP="00044BD0">
      <w:pPr>
        <w:spacing w:after="0" w:line="240" w:lineRule="auto"/>
        <w:jc w:val="both"/>
        <w:rPr>
          <w:rFonts w:ascii="Verdana" w:hAnsi="Verdana" w:cs="Arial"/>
          <w:sz w:val="20"/>
          <w:szCs w:val="20"/>
          <w:lang w:val="es-ES_tradnl" w:eastAsia="es-ES"/>
        </w:rPr>
      </w:pPr>
    </w:p>
    <w:p w14:paraId="69C30D19" w14:textId="77777777" w:rsidR="00044BD0" w:rsidRPr="00044BD0" w:rsidRDefault="00044BD0" w:rsidP="00044BD0">
      <w:pPr>
        <w:spacing w:after="0" w:line="240" w:lineRule="auto"/>
        <w:jc w:val="both"/>
        <w:rPr>
          <w:rFonts w:ascii="Verdana" w:hAnsi="Verdana" w:cs="Arial"/>
          <w:sz w:val="20"/>
          <w:szCs w:val="20"/>
          <w:lang w:val="es-ES_tradnl" w:eastAsia="es-ES"/>
        </w:rPr>
      </w:pPr>
    </w:p>
    <w:p w14:paraId="7ADA6074" w14:textId="77777777" w:rsidR="00044BD0" w:rsidRPr="00044BD0" w:rsidRDefault="00044BD0" w:rsidP="00044BD0">
      <w:pPr>
        <w:spacing w:after="0" w:line="240" w:lineRule="auto"/>
        <w:jc w:val="both"/>
        <w:rPr>
          <w:rFonts w:ascii="Verdana" w:hAnsi="Verdana" w:cs="Arial"/>
          <w:sz w:val="20"/>
          <w:szCs w:val="20"/>
          <w:lang w:val="es-ES_tradnl" w:eastAsia="es-ES"/>
        </w:rPr>
      </w:pPr>
    </w:p>
    <w:p w14:paraId="26B34352" w14:textId="77777777" w:rsidR="00044BD0" w:rsidRPr="00044BD0" w:rsidRDefault="00044BD0" w:rsidP="00044BD0">
      <w:pPr>
        <w:spacing w:after="0" w:line="240" w:lineRule="auto"/>
        <w:jc w:val="both"/>
        <w:rPr>
          <w:rFonts w:ascii="Verdana" w:hAnsi="Verdana" w:cs="Arial"/>
          <w:sz w:val="20"/>
          <w:szCs w:val="20"/>
          <w:lang w:val="es-ES_tradnl" w:eastAsia="es-ES"/>
        </w:rPr>
      </w:pPr>
    </w:p>
    <w:p w14:paraId="462A59F6" w14:textId="77777777" w:rsidR="00044BD0" w:rsidRPr="00044BD0" w:rsidRDefault="00044BD0" w:rsidP="00044BD0">
      <w:pPr>
        <w:spacing w:after="0" w:line="240" w:lineRule="auto"/>
        <w:jc w:val="both"/>
        <w:rPr>
          <w:rFonts w:ascii="Verdana" w:hAnsi="Verdana" w:cs="Arial"/>
          <w:sz w:val="20"/>
          <w:szCs w:val="20"/>
          <w:lang w:val="es-ES_tradnl" w:eastAsia="es-ES"/>
        </w:rPr>
      </w:pPr>
    </w:p>
    <w:p w14:paraId="61C9FC8B" w14:textId="77777777" w:rsidR="00044BD0" w:rsidRPr="00044BD0" w:rsidRDefault="00044BD0" w:rsidP="00044BD0">
      <w:pPr>
        <w:spacing w:after="0" w:line="240" w:lineRule="auto"/>
        <w:jc w:val="both"/>
        <w:rPr>
          <w:rFonts w:ascii="Verdana" w:hAnsi="Verdana" w:cs="Arial"/>
          <w:sz w:val="20"/>
          <w:szCs w:val="20"/>
          <w:lang w:val="es-ES_tradnl" w:eastAsia="es-ES"/>
        </w:rPr>
      </w:pPr>
    </w:p>
    <w:p w14:paraId="1CEA59F5" w14:textId="77777777" w:rsidR="00044BD0" w:rsidRPr="00044BD0" w:rsidRDefault="00044BD0" w:rsidP="00044BD0">
      <w:pPr>
        <w:spacing w:after="0" w:line="240" w:lineRule="auto"/>
        <w:jc w:val="both"/>
        <w:rPr>
          <w:rFonts w:ascii="Verdana" w:hAnsi="Verdana" w:cs="Arial"/>
          <w:sz w:val="20"/>
          <w:szCs w:val="20"/>
          <w:lang w:val="es-ES_tradnl" w:eastAsia="es-ES"/>
        </w:rPr>
      </w:pPr>
    </w:p>
    <w:p w14:paraId="6589D056" w14:textId="77777777" w:rsidR="00044BD0" w:rsidRPr="00044BD0" w:rsidRDefault="00044BD0" w:rsidP="00044BD0">
      <w:pPr>
        <w:spacing w:after="0" w:line="240" w:lineRule="auto"/>
        <w:jc w:val="both"/>
        <w:rPr>
          <w:rFonts w:ascii="Verdana" w:hAnsi="Verdana" w:cs="Arial"/>
          <w:sz w:val="20"/>
          <w:szCs w:val="20"/>
          <w:lang w:val="es-ES_tradnl" w:eastAsia="es-ES"/>
        </w:rPr>
      </w:pPr>
    </w:p>
    <w:p w14:paraId="730A6641" w14:textId="77777777" w:rsidR="00044BD0" w:rsidRPr="00044BD0" w:rsidRDefault="00044BD0" w:rsidP="00044BD0">
      <w:pPr>
        <w:spacing w:after="0" w:line="240" w:lineRule="auto"/>
        <w:jc w:val="both"/>
        <w:rPr>
          <w:rFonts w:ascii="Verdana" w:hAnsi="Verdana" w:cs="Arial"/>
          <w:sz w:val="20"/>
          <w:szCs w:val="20"/>
          <w:lang w:val="es-ES_tradnl" w:eastAsia="es-ES"/>
        </w:rPr>
      </w:pPr>
    </w:p>
    <w:p w14:paraId="7101C4D8" w14:textId="77777777" w:rsidR="00044BD0" w:rsidRPr="00044BD0" w:rsidRDefault="00044BD0" w:rsidP="00044BD0">
      <w:pPr>
        <w:spacing w:after="0" w:line="240" w:lineRule="auto"/>
        <w:jc w:val="both"/>
        <w:rPr>
          <w:rFonts w:ascii="Verdana" w:hAnsi="Verdana" w:cs="Arial"/>
          <w:sz w:val="20"/>
          <w:szCs w:val="20"/>
          <w:lang w:val="es-ES_tradnl" w:eastAsia="es-ES"/>
        </w:rPr>
      </w:pPr>
    </w:p>
    <w:p w14:paraId="6BE98EC6" w14:textId="77777777" w:rsidR="00044BD0" w:rsidRPr="00044BD0" w:rsidRDefault="00044BD0" w:rsidP="00044BD0">
      <w:pPr>
        <w:spacing w:after="0" w:line="240" w:lineRule="auto"/>
        <w:jc w:val="both"/>
        <w:rPr>
          <w:rFonts w:ascii="Verdana" w:hAnsi="Verdana" w:cs="Arial"/>
          <w:sz w:val="20"/>
          <w:szCs w:val="20"/>
          <w:lang w:val="es-ES_tradnl" w:eastAsia="es-ES"/>
        </w:rPr>
      </w:pPr>
    </w:p>
    <w:p w14:paraId="7A1728F4" w14:textId="77777777" w:rsidR="00044BD0" w:rsidRPr="00044BD0" w:rsidRDefault="00044BD0" w:rsidP="00044BD0">
      <w:pPr>
        <w:spacing w:after="0" w:line="240" w:lineRule="auto"/>
        <w:jc w:val="both"/>
        <w:rPr>
          <w:rFonts w:ascii="Verdana" w:hAnsi="Verdana" w:cs="Arial"/>
          <w:sz w:val="20"/>
          <w:szCs w:val="20"/>
          <w:lang w:val="es-ES_tradnl" w:eastAsia="es-ES"/>
        </w:rPr>
      </w:pPr>
    </w:p>
    <w:p w14:paraId="658B0F8D" w14:textId="77777777" w:rsidR="00044BD0" w:rsidRPr="00044BD0" w:rsidRDefault="00044BD0" w:rsidP="00044BD0">
      <w:pPr>
        <w:spacing w:after="0" w:line="240" w:lineRule="auto"/>
        <w:jc w:val="both"/>
        <w:rPr>
          <w:rFonts w:ascii="Verdana" w:hAnsi="Verdana" w:cs="Arial"/>
          <w:sz w:val="20"/>
          <w:szCs w:val="20"/>
          <w:lang w:val="es-ES_tradnl" w:eastAsia="es-ES"/>
        </w:rPr>
      </w:pPr>
    </w:p>
    <w:p w14:paraId="22E07841" w14:textId="2CD8C067" w:rsidR="00044BD0" w:rsidRDefault="00044BD0" w:rsidP="00044BD0">
      <w:pPr>
        <w:spacing w:after="0" w:line="240" w:lineRule="auto"/>
        <w:jc w:val="both"/>
        <w:rPr>
          <w:rFonts w:ascii="Verdana" w:eastAsia="Times New Roman" w:hAnsi="Verdana" w:cs="Arial"/>
          <w:noProof/>
          <w:lang w:val="es-ES_tradnl" w:eastAsia="es-ES_tradnl"/>
        </w:rPr>
      </w:pPr>
      <w:r w:rsidRPr="00044BD0">
        <w:rPr>
          <w:rFonts w:ascii="Verdana" w:eastAsia="Times New Roman" w:hAnsi="Verdana" w:cs="Arial"/>
          <w:noProof/>
          <w:lang w:val="es-ES_tradnl" w:eastAsia="es-ES_tradnl"/>
        </w:rPr>
        <w:lastRenderedPageBreak/>
        <w:t xml:space="preserve">Bogotá D.C., </w:t>
      </w:r>
      <w:r w:rsidR="000F1666">
        <w:rPr>
          <w:rFonts w:ascii="Verdana" w:eastAsia="Times New Roman" w:hAnsi="Verdana" w:cs="Arial"/>
          <w:noProof/>
          <w:lang w:val="es-ES_tradnl" w:eastAsia="es-ES_tradnl"/>
        </w:rPr>
        <w:t>2 de septiembre de 2024</w:t>
      </w:r>
    </w:p>
    <w:p w14:paraId="22E87D3D" w14:textId="2ACC5B35" w:rsidR="000F1666" w:rsidRDefault="00751648" w:rsidP="00044BD0">
      <w:pPr>
        <w:spacing w:after="0" w:line="240" w:lineRule="auto"/>
        <w:jc w:val="both"/>
        <w:rPr>
          <w:rFonts w:ascii="Verdana" w:eastAsia="Times New Roman" w:hAnsi="Verdana" w:cs="Arial"/>
          <w:noProof/>
          <w:lang w:val="es-ES_tradnl" w:eastAsia="es-ES_tradnl"/>
        </w:rPr>
      </w:pPr>
      <w:r w:rsidRPr="000F1666">
        <w:rPr>
          <w:rFonts w:ascii="Verdana" w:eastAsia="Times New Roman" w:hAnsi="Verdana" w:cs="Arial"/>
          <w:noProof/>
          <w:lang w:val="es-ES_tradnl" w:eastAsia="es-ES_tradnl"/>
        </w:rPr>
        <w:drawing>
          <wp:anchor distT="0" distB="0" distL="114300" distR="114300" simplePos="0" relativeHeight="251658240" behindDoc="0" locked="0" layoutInCell="1" allowOverlap="1" wp14:anchorId="3892B4D4" wp14:editId="7CD3C7BB">
            <wp:simplePos x="0" y="0"/>
            <wp:positionH relativeFrom="margin">
              <wp:align>right</wp:align>
            </wp:positionH>
            <wp:positionV relativeFrom="paragraph">
              <wp:posOffset>165735</wp:posOffset>
            </wp:positionV>
            <wp:extent cx="3381374" cy="999485"/>
            <wp:effectExtent l="0" t="0" r="0" b="0"/>
            <wp:wrapNone/>
            <wp:docPr id="21127351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735193" name=""/>
                    <pic:cNvPicPr/>
                  </pic:nvPicPr>
                  <pic:blipFill>
                    <a:blip r:embed="rId10">
                      <a:extLst>
                        <a:ext uri="{28A0092B-C50C-407E-A947-70E740481C1C}">
                          <a14:useLocalDpi xmlns:a14="http://schemas.microsoft.com/office/drawing/2010/main" val="0"/>
                        </a:ext>
                      </a:extLst>
                    </a:blip>
                    <a:stretch>
                      <a:fillRect/>
                    </a:stretch>
                  </pic:blipFill>
                  <pic:spPr>
                    <a:xfrm>
                      <a:off x="0" y="0"/>
                      <a:ext cx="3381374" cy="999485"/>
                    </a:xfrm>
                    <a:prstGeom prst="rect">
                      <a:avLst/>
                    </a:prstGeom>
                  </pic:spPr>
                </pic:pic>
              </a:graphicData>
            </a:graphic>
            <wp14:sizeRelH relativeFrom="margin">
              <wp14:pctWidth>0</wp14:pctWidth>
            </wp14:sizeRelH>
            <wp14:sizeRelV relativeFrom="margin">
              <wp14:pctHeight>0</wp14:pctHeight>
            </wp14:sizeRelV>
          </wp:anchor>
        </w:drawing>
      </w:r>
    </w:p>
    <w:p w14:paraId="009AB5D7" w14:textId="644AF600" w:rsidR="000F1666" w:rsidRPr="00044BD0" w:rsidRDefault="000F1666" w:rsidP="000F1666">
      <w:pPr>
        <w:spacing w:after="0" w:line="240" w:lineRule="auto"/>
        <w:jc w:val="right"/>
        <w:rPr>
          <w:rFonts w:ascii="Verdana" w:eastAsia="Times New Roman" w:hAnsi="Verdana" w:cs="Arial"/>
          <w:noProof/>
          <w:lang w:val="es-ES_tradnl" w:eastAsia="es-ES_tradnl"/>
        </w:rPr>
      </w:pPr>
    </w:p>
    <w:p w14:paraId="18721BE6" w14:textId="77777777" w:rsidR="00044BD0" w:rsidRPr="00044BD0" w:rsidRDefault="00044BD0" w:rsidP="00044BD0">
      <w:pPr>
        <w:spacing w:after="0" w:line="240" w:lineRule="auto"/>
        <w:jc w:val="both"/>
        <w:rPr>
          <w:rFonts w:ascii="Verdana" w:eastAsia="Times New Roman" w:hAnsi="Verdana" w:cs="Arial"/>
          <w:noProof/>
          <w:lang w:val="es-ES_tradnl" w:eastAsia="es-ES_tradnl"/>
        </w:rPr>
      </w:pPr>
    </w:p>
    <w:p w14:paraId="6CA50890" w14:textId="77777777" w:rsidR="00044BD0" w:rsidRPr="00044BD0" w:rsidRDefault="00044BD0" w:rsidP="00044BD0">
      <w:pPr>
        <w:spacing w:after="0" w:line="240" w:lineRule="auto"/>
        <w:jc w:val="right"/>
        <w:rPr>
          <w:rFonts w:ascii="Verdana" w:eastAsia="Times New Roman" w:hAnsi="Verdana" w:cs="Arial"/>
          <w:noProof/>
          <w:lang w:val="es-ES_tradnl" w:eastAsia="es-ES_tradnl"/>
        </w:rPr>
      </w:pPr>
    </w:p>
    <w:p w14:paraId="12467D7E" w14:textId="77777777" w:rsidR="00044BD0" w:rsidRPr="00044BD0" w:rsidRDefault="00044BD0" w:rsidP="00044BD0">
      <w:pPr>
        <w:spacing w:after="0" w:line="240" w:lineRule="auto"/>
        <w:jc w:val="both"/>
        <w:rPr>
          <w:rFonts w:ascii="Verdana" w:eastAsia="Calibri" w:hAnsi="Verdana" w:cs="Arial"/>
          <w:lang w:val="es-ES" w:eastAsia="es-ES_tradnl"/>
        </w:rPr>
      </w:pPr>
      <w:r w:rsidRPr="00044BD0">
        <w:rPr>
          <w:rFonts w:ascii="Verdana" w:eastAsia="Calibri" w:hAnsi="Verdana" w:cs="Arial"/>
          <w:lang w:val="es-ES" w:eastAsia="es-ES_tradnl"/>
        </w:rPr>
        <w:t>Señor</w:t>
      </w:r>
    </w:p>
    <w:p w14:paraId="354903F2" w14:textId="77777777" w:rsidR="00044BD0" w:rsidRPr="00044BD0" w:rsidRDefault="00044BD0" w:rsidP="00044BD0">
      <w:pPr>
        <w:spacing w:after="0" w:line="240" w:lineRule="auto"/>
        <w:rPr>
          <w:rFonts w:ascii="Verdana" w:eastAsia="Calibri" w:hAnsi="Verdana" w:cs="Arial"/>
          <w:b/>
          <w:bCs/>
          <w:lang w:val="es-ES" w:eastAsia="es-ES_tradnl"/>
        </w:rPr>
      </w:pPr>
      <w:r w:rsidRPr="00044BD0">
        <w:rPr>
          <w:rFonts w:ascii="Verdana" w:eastAsia="Calibri" w:hAnsi="Verdana" w:cs="Arial"/>
          <w:b/>
          <w:bCs/>
          <w:lang w:val="es-ES" w:eastAsia="es-ES_tradnl"/>
        </w:rPr>
        <w:t>Cesar David Acuña Arias</w:t>
      </w:r>
    </w:p>
    <w:p w14:paraId="4D292518" w14:textId="77777777" w:rsidR="00044BD0" w:rsidRPr="00044BD0" w:rsidRDefault="00044BD0" w:rsidP="00044BD0">
      <w:pPr>
        <w:spacing w:after="0" w:line="240" w:lineRule="auto"/>
        <w:rPr>
          <w:rFonts w:ascii="Verdana" w:eastAsia="Calibri" w:hAnsi="Verdana" w:cs="Arial"/>
          <w:lang w:val="es-ES_tradnl" w:eastAsia="es-ES_tradnl"/>
        </w:rPr>
      </w:pPr>
      <w:r w:rsidRPr="00044BD0">
        <w:rPr>
          <w:rFonts w:ascii="Verdana" w:eastAsia="Calibri" w:hAnsi="Verdana" w:cs="Arial"/>
          <w:bCs/>
          <w:lang w:val="es-ES_tradnl" w:eastAsia="es-ES_tradnl"/>
        </w:rPr>
        <w:t>Ciudad</w:t>
      </w:r>
    </w:p>
    <w:p w14:paraId="3E80DCD1" w14:textId="77777777" w:rsidR="00044BD0" w:rsidRPr="00044BD0" w:rsidRDefault="00044BD0" w:rsidP="00044BD0">
      <w:pPr>
        <w:spacing w:after="0" w:line="240" w:lineRule="auto"/>
        <w:rPr>
          <w:rFonts w:ascii="Verdana" w:eastAsia="Calibri" w:hAnsi="Verdana" w:cs="Arial"/>
          <w:lang w:val="es-ES_tradnl" w:eastAsia="es-ES_tradnl"/>
        </w:rPr>
      </w:pPr>
    </w:p>
    <w:p w14:paraId="70A40242" w14:textId="77777777" w:rsidR="00044BD0" w:rsidRPr="00044BD0" w:rsidRDefault="00044BD0" w:rsidP="00044BD0">
      <w:pPr>
        <w:spacing w:after="0" w:line="240" w:lineRule="auto"/>
        <w:rPr>
          <w:rFonts w:ascii="Verdana" w:eastAsia="Calibri" w:hAnsi="Verdana" w:cs="Arial"/>
          <w:lang w:val="es-ES_tradnl" w:eastAsia="es-ES_tradnl"/>
        </w:rPr>
      </w:pPr>
    </w:p>
    <w:p w14:paraId="5EF790FD" w14:textId="77777777" w:rsidR="00044BD0" w:rsidRPr="00044BD0" w:rsidRDefault="00044BD0" w:rsidP="00044BD0">
      <w:pPr>
        <w:spacing w:after="0" w:line="240" w:lineRule="auto"/>
        <w:ind w:left="2694"/>
        <w:rPr>
          <w:rFonts w:ascii="Verdana" w:eastAsia="Calibri" w:hAnsi="Verdana" w:cs="Arial"/>
          <w:b/>
          <w:bCs/>
          <w:lang w:val="es-ES" w:eastAsia="es-ES_tradnl"/>
        </w:rPr>
      </w:pPr>
      <w:r w:rsidRPr="00044BD0">
        <w:rPr>
          <w:rFonts w:ascii="Verdana" w:eastAsia="Calibri" w:hAnsi="Verdana" w:cs="Arial"/>
          <w:b/>
          <w:bCs/>
          <w:lang w:val="es-ES" w:eastAsia="es-ES_tradnl"/>
        </w:rPr>
        <w:t>Concepto C-402 de 2024</w:t>
      </w:r>
    </w:p>
    <w:p w14:paraId="5A823338" w14:textId="77777777" w:rsidR="00044BD0" w:rsidRPr="00044BD0" w:rsidRDefault="00044BD0" w:rsidP="00044BD0">
      <w:pPr>
        <w:spacing w:after="0" w:line="240" w:lineRule="auto"/>
        <w:jc w:val="both"/>
        <w:rPr>
          <w:rFonts w:ascii="Verdana" w:eastAsia="Calibri" w:hAnsi="Verdana" w:cs="Arial"/>
          <w:lang w:val="es-ES_tradnl"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044BD0" w:rsidRPr="00044BD0" w14:paraId="6A993382" w14:textId="77777777" w:rsidTr="005A1842">
        <w:trPr>
          <w:jc w:val="right"/>
        </w:trPr>
        <w:tc>
          <w:tcPr>
            <w:tcW w:w="1838" w:type="dxa"/>
          </w:tcPr>
          <w:p w14:paraId="4FF3C81B" w14:textId="77777777" w:rsidR="00044BD0" w:rsidRPr="00044BD0" w:rsidRDefault="00044BD0" w:rsidP="00044BD0">
            <w:pPr>
              <w:jc w:val="center"/>
              <w:rPr>
                <w:rFonts w:ascii="Verdana" w:eastAsia="Calibri" w:hAnsi="Verdana" w:cs="Arial"/>
                <w:lang w:val="es-ES_tradnl" w:eastAsia="es-ES_tradnl"/>
              </w:rPr>
            </w:pPr>
            <w:r w:rsidRPr="00044BD0">
              <w:rPr>
                <w:rFonts w:ascii="Verdana" w:eastAsia="Calibri" w:hAnsi="Verdana" w:cs="Arial"/>
                <w:b/>
                <w:lang w:val="es-ES_tradnl" w:eastAsia="es-ES_tradnl"/>
              </w:rPr>
              <w:t>Temas:</w:t>
            </w:r>
          </w:p>
        </w:tc>
        <w:tc>
          <w:tcPr>
            <w:tcW w:w="6237" w:type="dxa"/>
          </w:tcPr>
          <w:p w14:paraId="565088B4" w14:textId="77777777" w:rsidR="00044BD0" w:rsidRPr="00044BD0" w:rsidRDefault="00044BD0" w:rsidP="00044BD0">
            <w:pPr>
              <w:jc w:val="both"/>
              <w:textAlignment w:val="baseline"/>
              <w:rPr>
                <w:rFonts w:ascii="Verdana" w:eastAsia="Times New Roman" w:hAnsi="Verdana" w:cs="Arial"/>
                <w:lang w:eastAsia="es-ES_tradnl"/>
              </w:rPr>
            </w:pPr>
            <w:r w:rsidRPr="00044BD0">
              <w:rPr>
                <w:rFonts w:ascii="Verdana" w:eastAsia="Times New Roman" w:hAnsi="Verdana" w:cs="Arial"/>
                <w:lang w:eastAsia="es-ES_tradnl"/>
              </w:rPr>
              <w:t>EXPERIENCIA – Noción – Concepto / REFORMAS SOCIETARIAS – Disolución – Liquidación – Nociones e implicaciones / PERSONA JURÍDICA – Cambio de razón social – Consecuencias – Experiencia</w:t>
            </w:r>
          </w:p>
        </w:tc>
      </w:tr>
      <w:tr w:rsidR="00044BD0" w:rsidRPr="00044BD0" w14:paraId="635E36DE" w14:textId="77777777" w:rsidTr="005A1842">
        <w:trPr>
          <w:jc w:val="right"/>
        </w:trPr>
        <w:tc>
          <w:tcPr>
            <w:tcW w:w="1838" w:type="dxa"/>
          </w:tcPr>
          <w:p w14:paraId="125A056E" w14:textId="77777777" w:rsidR="00044BD0" w:rsidRPr="00044BD0" w:rsidRDefault="00044BD0" w:rsidP="00044BD0">
            <w:pPr>
              <w:jc w:val="center"/>
              <w:rPr>
                <w:rFonts w:ascii="Verdana" w:eastAsia="Calibri" w:hAnsi="Verdana" w:cs="Arial"/>
                <w:b/>
                <w:lang w:val="es-ES" w:eastAsia="es-ES_tradnl"/>
              </w:rPr>
            </w:pPr>
            <w:r w:rsidRPr="00044BD0">
              <w:rPr>
                <w:rFonts w:ascii="Verdana" w:eastAsia="Calibri" w:hAnsi="Verdana" w:cs="Arial"/>
                <w:b/>
                <w:lang w:val="es-ES" w:eastAsia="es-ES_tradnl"/>
              </w:rPr>
              <w:t>Radicación:</w:t>
            </w:r>
          </w:p>
        </w:tc>
        <w:tc>
          <w:tcPr>
            <w:tcW w:w="6237" w:type="dxa"/>
          </w:tcPr>
          <w:p w14:paraId="228F0276" w14:textId="77777777" w:rsidR="00044BD0" w:rsidRPr="00044BD0" w:rsidRDefault="00044BD0" w:rsidP="00044BD0">
            <w:pPr>
              <w:jc w:val="both"/>
              <w:rPr>
                <w:rFonts w:ascii="Verdana" w:eastAsia="Calibri" w:hAnsi="Verdana" w:cs="Arial"/>
                <w:lang w:val="es-ES" w:eastAsia="es-ES_tradnl"/>
              </w:rPr>
            </w:pPr>
            <w:r w:rsidRPr="00044BD0">
              <w:rPr>
                <w:rFonts w:ascii="Verdana" w:eastAsia="Calibri" w:hAnsi="Verdana" w:cs="Arial"/>
                <w:lang w:val="es-ES" w:eastAsia="es-ES_tradnl"/>
              </w:rPr>
              <w:t xml:space="preserve">Respuesta a consulta radicado No. </w:t>
            </w:r>
            <w:r w:rsidRPr="00044BD0">
              <w:rPr>
                <w:rFonts w:ascii="Verdana" w:eastAsia="Times New Roman" w:hAnsi="Verdana" w:cs="Arial"/>
                <w:lang w:eastAsia="es-ES_tradnl"/>
              </w:rPr>
              <w:t>P20240728007729</w:t>
            </w:r>
          </w:p>
        </w:tc>
      </w:tr>
    </w:tbl>
    <w:p w14:paraId="306BBFDC" w14:textId="77777777" w:rsidR="00044BD0" w:rsidRPr="00044BD0" w:rsidRDefault="00044BD0" w:rsidP="00044BD0">
      <w:pPr>
        <w:spacing w:after="0" w:line="240" w:lineRule="auto"/>
        <w:jc w:val="both"/>
        <w:rPr>
          <w:rFonts w:ascii="Verdana" w:eastAsia="Calibri" w:hAnsi="Verdana" w:cs="Arial"/>
          <w:lang w:val="es-ES_tradnl" w:eastAsia="es-ES_tradnl"/>
        </w:rPr>
      </w:pPr>
    </w:p>
    <w:p w14:paraId="30AC3343" w14:textId="77777777" w:rsidR="00044BD0" w:rsidRPr="00044BD0" w:rsidRDefault="00044BD0" w:rsidP="00044BD0">
      <w:pPr>
        <w:spacing w:after="0" w:line="240" w:lineRule="auto"/>
        <w:jc w:val="both"/>
        <w:rPr>
          <w:rFonts w:ascii="Verdana" w:eastAsia="Calibri" w:hAnsi="Verdana" w:cs="Arial"/>
          <w:lang w:val="es-ES_tradnl" w:eastAsia="es-ES_tradnl"/>
        </w:rPr>
      </w:pPr>
    </w:p>
    <w:p w14:paraId="59377119" w14:textId="77777777" w:rsidR="00044BD0" w:rsidRPr="00044BD0" w:rsidRDefault="00044BD0" w:rsidP="00044BD0">
      <w:pPr>
        <w:spacing w:after="0" w:line="276" w:lineRule="auto"/>
        <w:contextualSpacing/>
        <w:jc w:val="both"/>
        <w:rPr>
          <w:rFonts w:ascii="Verdana" w:eastAsia="Calibri" w:hAnsi="Verdana" w:cs="Arial"/>
          <w:bCs/>
          <w:lang w:val="es-ES_tradnl" w:eastAsia="es-ES_tradnl"/>
        </w:rPr>
      </w:pPr>
      <w:r w:rsidRPr="00044BD0">
        <w:rPr>
          <w:rFonts w:ascii="Verdana" w:eastAsia="Calibri" w:hAnsi="Verdana" w:cs="Arial"/>
          <w:lang w:val="es-ES_tradnl" w:eastAsia="es-ES_tradnl"/>
        </w:rPr>
        <w:t>Estimado señor Acuña</w:t>
      </w:r>
      <w:r w:rsidRPr="00044BD0">
        <w:rPr>
          <w:rFonts w:ascii="Verdana" w:eastAsia="Calibri" w:hAnsi="Verdana" w:cs="Arial"/>
          <w:bCs/>
          <w:lang w:val="es-ES_tradnl" w:eastAsia="es-ES_tradnl"/>
        </w:rPr>
        <w:t>:</w:t>
      </w:r>
    </w:p>
    <w:p w14:paraId="3EFAAB2B" w14:textId="77777777" w:rsidR="00044BD0" w:rsidRPr="00044BD0" w:rsidRDefault="00044BD0" w:rsidP="00044BD0">
      <w:pPr>
        <w:spacing w:after="0" w:line="276" w:lineRule="auto"/>
        <w:contextualSpacing/>
        <w:jc w:val="both"/>
        <w:rPr>
          <w:rFonts w:ascii="Verdana" w:eastAsia="Calibri" w:hAnsi="Verdana" w:cs="Arial"/>
          <w:lang w:val="es-ES_tradnl" w:eastAsia="es-ES_tradnl"/>
        </w:rPr>
      </w:pPr>
    </w:p>
    <w:p w14:paraId="3185575B" w14:textId="77777777" w:rsidR="00044BD0" w:rsidRPr="00044BD0" w:rsidRDefault="00044BD0" w:rsidP="00044BD0">
      <w:pPr>
        <w:spacing w:after="0" w:line="276" w:lineRule="auto"/>
        <w:contextualSpacing/>
        <w:jc w:val="both"/>
        <w:rPr>
          <w:rFonts w:ascii="Verdana" w:eastAsia="Calibri" w:hAnsi="Verdana" w:cs="Arial"/>
          <w:lang w:val="es-ES" w:eastAsia="es-ES_tradnl"/>
        </w:rPr>
      </w:pPr>
      <w:r w:rsidRPr="00044BD0">
        <w:rPr>
          <w:rFonts w:ascii="Verdana" w:eastAsia="Calibri" w:hAnsi="Verdana" w:cs="Arial"/>
          <w:lang w:val="es-ES" w:eastAsia="es-ES_tradnl"/>
        </w:rPr>
        <w:t>En ejercicio de la competencia otorgada por los artículos 3, numeral 5º, y 11, numeral 8º, del Decreto Ley 4170 de 2011, así como lo establecido en el artículo 4 de la Resolución 1707 de 2018 expedida por esta Entidad, la Agencia Nacional de Contratación Pública – Colombia Compra Eficiente– responde su solicitud de consulta de fecha 28 de julio de 2024, en la cual manifiesta lo siguiente:</w:t>
      </w:r>
    </w:p>
    <w:p w14:paraId="63750384" w14:textId="77777777" w:rsidR="00044BD0" w:rsidRPr="00044BD0" w:rsidRDefault="00044BD0" w:rsidP="00044BD0">
      <w:pPr>
        <w:spacing w:after="0" w:line="276" w:lineRule="auto"/>
        <w:contextualSpacing/>
        <w:jc w:val="both"/>
        <w:rPr>
          <w:rFonts w:ascii="Verdana" w:eastAsia="Calibri" w:hAnsi="Verdana" w:cs="Arial"/>
          <w:b/>
          <w:szCs w:val="24"/>
          <w:lang w:val="es-ES_tradnl" w:eastAsia="es-ES_tradnl"/>
        </w:rPr>
      </w:pPr>
    </w:p>
    <w:p w14:paraId="1B14C768" w14:textId="77777777" w:rsidR="00044BD0" w:rsidRPr="00044BD0" w:rsidRDefault="00044BD0" w:rsidP="00044BD0">
      <w:pPr>
        <w:spacing w:after="0" w:line="240" w:lineRule="auto"/>
        <w:ind w:left="709" w:right="709"/>
        <w:contextualSpacing/>
        <w:jc w:val="both"/>
        <w:rPr>
          <w:rFonts w:ascii="Verdana" w:eastAsia="Times New Roman" w:hAnsi="Verdana" w:cs="Arial"/>
          <w:sz w:val="21"/>
          <w:szCs w:val="21"/>
          <w:lang w:eastAsia="es-ES_tradnl"/>
        </w:rPr>
      </w:pPr>
      <w:r w:rsidRPr="00044BD0">
        <w:rPr>
          <w:rFonts w:ascii="Verdana" w:eastAsia="Times New Roman" w:hAnsi="Verdana" w:cs="Arial"/>
          <w:sz w:val="21"/>
          <w:szCs w:val="21"/>
          <w:lang w:eastAsia="es-ES_tradnl"/>
        </w:rPr>
        <w:t xml:space="preserve">“1. </w:t>
      </w:r>
      <w:proofErr w:type="gramStart"/>
      <w:r w:rsidRPr="00044BD0">
        <w:rPr>
          <w:rFonts w:ascii="Verdana" w:eastAsia="Times New Roman" w:hAnsi="Verdana" w:cs="Arial"/>
          <w:sz w:val="21"/>
          <w:szCs w:val="21"/>
          <w:lang w:eastAsia="es-ES_tradnl"/>
        </w:rPr>
        <w:t>Si una empresa (proponente) cambia de razón social, el mismo afecta su experiencia registrada en el registro único de proponentes?</w:t>
      </w:r>
      <w:proofErr w:type="gramEnd"/>
    </w:p>
    <w:p w14:paraId="07329C34" w14:textId="77777777" w:rsidR="00044BD0" w:rsidRPr="00044BD0" w:rsidRDefault="00044BD0" w:rsidP="00044BD0">
      <w:pPr>
        <w:spacing w:after="0" w:line="240" w:lineRule="auto"/>
        <w:ind w:left="709" w:right="709"/>
        <w:contextualSpacing/>
        <w:jc w:val="both"/>
        <w:rPr>
          <w:rFonts w:ascii="Verdana" w:eastAsia="Times New Roman" w:hAnsi="Verdana" w:cs="Arial"/>
          <w:sz w:val="21"/>
          <w:szCs w:val="21"/>
          <w:lang w:eastAsia="es-ES_tradnl"/>
        </w:rPr>
      </w:pPr>
      <w:r w:rsidRPr="00044BD0">
        <w:rPr>
          <w:rFonts w:ascii="Verdana" w:eastAsia="Times New Roman" w:hAnsi="Verdana" w:cs="Arial"/>
          <w:sz w:val="21"/>
          <w:szCs w:val="21"/>
          <w:lang w:eastAsia="es-ES_tradnl"/>
        </w:rPr>
        <w:t xml:space="preserve">2. </w:t>
      </w:r>
      <w:proofErr w:type="gramStart"/>
      <w:r w:rsidRPr="00044BD0">
        <w:rPr>
          <w:rFonts w:ascii="Verdana" w:eastAsia="Times New Roman" w:hAnsi="Verdana" w:cs="Arial"/>
          <w:sz w:val="21"/>
          <w:szCs w:val="21"/>
          <w:lang w:eastAsia="es-ES_tradnl"/>
        </w:rPr>
        <w:t>Si los estados financieros se firman con un representante legal que meses después es cambiado, es necesario firmar nuevamente los estados financieros con el nuevo representante legal?</w:t>
      </w:r>
      <w:proofErr w:type="gramEnd"/>
      <w:r w:rsidRPr="00044BD0">
        <w:rPr>
          <w:rFonts w:ascii="Verdana" w:eastAsia="Times New Roman" w:hAnsi="Verdana" w:cs="Arial"/>
          <w:sz w:val="21"/>
          <w:szCs w:val="21"/>
          <w:lang w:eastAsia="es-ES_tradnl"/>
        </w:rPr>
        <w:t>:”.</w:t>
      </w:r>
    </w:p>
    <w:p w14:paraId="3B9F2BF1" w14:textId="77777777" w:rsidR="00044BD0" w:rsidRPr="00044BD0" w:rsidRDefault="00044BD0" w:rsidP="00044BD0">
      <w:pPr>
        <w:spacing w:after="0" w:line="240" w:lineRule="auto"/>
        <w:ind w:left="709" w:right="709"/>
        <w:contextualSpacing/>
        <w:jc w:val="both"/>
        <w:rPr>
          <w:rFonts w:ascii="Verdana" w:eastAsia="Times New Roman" w:hAnsi="Verdana" w:cs="Arial"/>
          <w:sz w:val="21"/>
          <w:szCs w:val="21"/>
          <w:lang w:eastAsia="es-ES_tradnl"/>
        </w:rPr>
      </w:pPr>
    </w:p>
    <w:p w14:paraId="6465871A" w14:textId="77777777" w:rsidR="00044BD0" w:rsidRPr="00044BD0" w:rsidRDefault="00044BD0" w:rsidP="00044BD0">
      <w:pPr>
        <w:spacing w:after="120" w:line="276" w:lineRule="auto"/>
        <w:ind w:firstLine="709"/>
        <w:jc w:val="both"/>
        <w:rPr>
          <w:rFonts w:ascii="Verdana" w:eastAsia="Calibri" w:hAnsi="Verdana" w:cs="Arial"/>
          <w:color w:val="000000"/>
          <w:szCs w:val="24"/>
          <w:lang w:val="es-ES_tradnl" w:eastAsia="es-ES_tradnl"/>
        </w:rPr>
      </w:pPr>
      <w:r w:rsidRPr="00044BD0">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w:t>
      </w:r>
      <w:r w:rsidRPr="00044BD0">
        <w:rPr>
          <w:rFonts w:ascii="Verdana" w:eastAsia="Calibri" w:hAnsi="Verdana" w:cs="Arial"/>
          <w:color w:val="000000"/>
          <w:lang w:val="es-ES" w:eastAsia="es-ES"/>
        </w:rPr>
        <w:lastRenderedPageBreak/>
        <w:t xml:space="preserve">los demás participantes de la contratación pública. Esta competencia de interpretación de normas generales, por definición, no puede extenderse a la resolución de controversias, ni a brindar asesorías sobre casos puntuales. </w:t>
      </w:r>
      <w:r w:rsidRPr="00044BD0">
        <w:rPr>
          <w:rFonts w:ascii="Verdana" w:eastAsia="Calibri" w:hAnsi="Verdana" w:cs="Arial"/>
          <w:color w:val="000000"/>
          <w:szCs w:val="24"/>
          <w:lang w:val="es-ES_tradnl" w:eastAsia="es-ES_tradnl"/>
        </w:rPr>
        <w:tab/>
      </w:r>
    </w:p>
    <w:p w14:paraId="25FCE662" w14:textId="77777777" w:rsidR="00044BD0" w:rsidRPr="00044BD0" w:rsidRDefault="00044BD0" w:rsidP="00044BD0">
      <w:pPr>
        <w:spacing w:after="0" w:line="276" w:lineRule="auto"/>
        <w:ind w:firstLine="709"/>
        <w:jc w:val="both"/>
        <w:rPr>
          <w:rFonts w:ascii="Verdana" w:eastAsia="Calibri" w:hAnsi="Verdana" w:cs="Arial"/>
          <w:lang w:val="es-ES" w:eastAsia="es-ES"/>
        </w:rPr>
      </w:pPr>
      <w:r w:rsidRPr="00044BD0">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721F13B1" w14:textId="77777777" w:rsidR="00044BD0" w:rsidRPr="00044BD0" w:rsidRDefault="00044BD0" w:rsidP="00044BD0">
      <w:pPr>
        <w:spacing w:after="0" w:line="276" w:lineRule="auto"/>
        <w:contextualSpacing/>
        <w:jc w:val="both"/>
        <w:rPr>
          <w:rFonts w:ascii="Verdana" w:eastAsia="Times New Roman" w:hAnsi="Verdana" w:cs="Arial"/>
          <w:szCs w:val="24"/>
          <w:lang w:val="es-ES_tradnl" w:eastAsia="es-ES_tradnl"/>
        </w:rPr>
      </w:pPr>
    </w:p>
    <w:p w14:paraId="2D436231" w14:textId="77777777" w:rsidR="00044BD0" w:rsidRPr="00044BD0" w:rsidRDefault="00044BD0" w:rsidP="00044BD0">
      <w:pPr>
        <w:tabs>
          <w:tab w:val="left" w:pos="0"/>
          <w:tab w:val="left" w:pos="284"/>
        </w:tabs>
        <w:spacing w:after="0" w:line="276" w:lineRule="auto"/>
        <w:contextualSpacing/>
        <w:jc w:val="both"/>
        <w:rPr>
          <w:rFonts w:ascii="Verdana" w:eastAsia="Calibri" w:hAnsi="Verdana" w:cs="Arial"/>
          <w:b/>
          <w:lang w:val="es-ES_tradnl"/>
        </w:rPr>
      </w:pPr>
      <w:r w:rsidRPr="00044BD0">
        <w:rPr>
          <w:rFonts w:ascii="Verdana" w:eastAsia="Calibri" w:hAnsi="Verdana" w:cs="Arial"/>
          <w:b/>
          <w:lang w:val="es-ES_tradnl"/>
        </w:rPr>
        <w:t>1. Problema planteado:</w:t>
      </w:r>
    </w:p>
    <w:p w14:paraId="0D1AB311" w14:textId="77777777" w:rsidR="00044BD0" w:rsidRPr="00044BD0" w:rsidRDefault="00044BD0" w:rsidP="00044BD0">
      <w:pPr>
        <w:tabs>
          <w:tab w:val="left" w:pos="0"/>
          <w:tab w:val="left" w:pos="284"/>
        </w:tabs>
        <w:spacing w:after="0" w:line="276" w:lineRule="auto"/>
        <w:contextualSpacing/>
        <w:jc w:val="both"/>
        <w:rPr>
          <w:rFonts w:ascii="Verdana" w:eastAsia="Calibri" w:hAnsi="Verdana" w:cs="Arial"/>
          <w:b/>
          <w:lang w:val="es-ES_tradnl"/>
        </w:rPr>
      </w:pPr>
    </w:p>
    <w:p w14:paraId="54544EAB" w14:textId="77777777" w:rsidR="00044BD0" w:rsidRPr="00044BD0" w:rsidRDefault="00044BD0" w:rsidP="00044BD0">
      <w:pPr>
        <w:spacing w:after="0" w:line="276" w:lineRule="auto"/>
        <w:jc w:val="both"/>
        <w:rPr>
          <w:rFonts w:ascii="Verdana" w:eastAsia="Century Gothic" w:hAnsi="Verdana" w:cs="Century Gothic"/>
        </w:rPr>
      </w:pPr>
      <w:r w:rsidRPr="00044BD0">
        <w:rPr>
          <w:rFonts w:ascii="Verdana" w:eastAsia="Century Gothic" w:hAnsi="Verdana" w:cs="Century Gothic"/>
        </w:rPr>
        <w:t xml:space="preserve">De acuerdo con el contenido de su solicitud, esta Agencia resolverá el siguiente problema jurídico: ¿El cambio de la razón social de una empresa afecta la experiencia registrada en el RUP? </w:t>
      </w:r>
    </w:p>
    <w:p w14:paraId="415AD881" w14:textId="77777777" w:rsidR="00044BD0" w:rsidRPr="00044BD0" w:rsidRDefault="00044BD0" w:rsidP="00044BD0">
      <w:pPr>
        <w:spacing w:after="0" w:line="276" w:lineRule="auto"/>
        <w:jc w:val="both"/>
        <w:rPr>
          <w:rFonts w:ascii="Verdana" w:eastAsia="Century Gothic" w:hAnsi="Verdana" w:cs="Century Gothic"/>
        </w:rPr>
      </w:pPr>
    </w:p>
    <w:p w14:paraId="5530934B" w14:textId="77777777" w:rsidR="00044BD0" w:rsidRPr="00044BD0" w:rsidRDefault="00044BD0" w:rsidP="00044BD0">
      <w:pPr>
        <w:spacing w:after="0" w:line="276" w:lineRule="auto"/>
        <w:jc w:val="both"/>
        <w:rPr>
          <w:rFonts w:ascii="Verdana" w:eastAsia="Century Gothic" w:hAnsi="Verdana" w:cs="Century Gothic"/>
        </w:rPr>
      </w:pPr>
      <w:r w:rsidRPr="00044BD0">
        <w:rPr>
          <w:rFonts w:ascii="Verdana" w:eastAsia="Century Gothic" w:hAnsi="Verdana" w:cs="Century Gothic"/>
        </w:rPr>
        <w:t>Sobre su segunda pregunta se aclara que la misma fue respondida el día 1 de agosto de 2024, mediante radicados de salida No. RS20240801010908 y RS20240801010889, los cuales se adjuntan a la presente comunicación.</w:t>
      </w:r>
    </w:p>
    <w:p w14:paraId="438F9A8F" w14:textId="77777777" w:rsidR="00044BD0" w:rsidRPr="00044BD0" w:rsidRDefault="00044BD0" w:rsidP="00044BD0">
      <w:pPr>
        <w:spacing w:after="0" w:line="276" w:lineRule="auto"/>
        <w:ind w:firstLine="709"/>
        <w:jc w:val="both"/>
        <w:rPr>
          <w:rFonts w:ascii="Verdana" w:eastAsia="Calibri" w:hAnsi="Verdana" w:cs="Arial"/>
          <w:lang w:val="es-ES" w:eastAsia="es-ES_tradnl"/>
        </w:rPr>
      </w:pPr>
    </w:p>
    <w:p w14:paraId="77293284" w14:textId="77777777" w:rsidR="00044BD0" w:rsidRPr="00044BD0" w:rsidRDefault="00044BD0" w:rsidP="00044BD0">
      <w:pPr>
        <w:tabs>
          <w:tab w:val="left" w:pos="142"/>
          <w:tab w:val="left" w:pos="284"/>
        </w:tabs>
        <w:spacing w:after="0" w:line="276" w:lineRule="auto"/>
        <w:jc w:val="both"/>
        <w:rPr>
          <w:rFonts w:ascii="Verdana" w:eastAsia="Century Gothic" w:hAnsi="Verdana" w:cs="Century Gothic"/>
          <w:b/>
          <w:bCs/>
        </w:rPr>
      </w:pPr>
      <w:r w:rsidRPr="00044BD0">
        <w:rPr>
          <w:rFonts w:ascii="Verdana" w:eastAsia="Century Gothic" w:hAnsi="Verdana" w:cs="Century Gothic"/>
          <w:b/>
          <w:bCs/>
        </w:rPr>
        <w:t>2. Respuesta:</w:t>
      </w:r>
    </w:p>
    <w:p w14:paraId="0283F89A" w14:textId="77777777" w:rsidR="00044BD0" w:rsidRPr="00044BD0" w:rsidRDefault="00044BD0" w:rsidP="00044BD0">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44BD0" w:rsidRPr="00044BD0" w14:paraId="78D1A8B6" w14:textId="77777777" w:rsidTr="005A1842">
        <w:tc>
          <w:tcPr>
            <w:tcW w:w="8828" w:type="dxa"/>
            <w:shd w:val="clear" w:color="auto" w:fill="auto"/>
          </w:tcPr>
          <w:p w14:paraId="1BE4EF29" w14:textId="62174BF4" w:rsidR="00044BD0" w:rsidRPr="00044BD0" w:rsidRDefault="00832E24" w:rsidP="00044BD0">
            <w:pPr>
              <w:spacing w:after="120" w:line="276" w:lineRule="auto"/>
              <w:jc w:val="both"/>
              <w:rPr>
                <w:rFonts w:ascii="Verdana" w:hAnsi="Verdana" w:cs="Arial"/>
              </w:rPr>
            </w:pPr>
            <w:r w:rsidRPr="00044BD0">
              <w:rPr>
                <w:rFonts w:ascii="Verdana" w:eastAsia="Century Gothic" w:hAnsi="Verdana" w:cs="Century Gothic"/>
              </w:rPr>
              <w:t xml:space="preserve">El cambio de la razón social de una empresa </w:t>
            </w:r>
            <w:r>
              <w:rPr>
                <w:rFonts w:ascii="Verdana" w:eastAsia="Century Gothic" w:hAnsi="Verdana" w:cs="Century Gothic"/>
              </w:rPr>
              <w:t xml:space="preserve">NO </w:t>
            </w:r>
            <w:r w:rsidRPr="00044BD0">
              <w:rPr>
                <w:rFonts w:ascii="Verdana" w:eastAsia="Century Gothic" w:hAnsi="Verdana" w:cs="Century Gothic"/>
              </w:rPr>
              <w:t>afecta la experiencia registrada en el RUP</w:t>
            </w:r>
            <w:r>
              <w:rPr>
                <w:rFonts w:ascii="Verdana" w:eastAsia="Century Gothic" w:hAnsi="Verdana" w:cs="Century Gothic"/>
              </w:rPr>
              <w:t xml:space="preserve">. </w:t>
            </w:r>
            <w:r w:rsidR="00044BD0" w:rsidRPr="00044BD0">
              <w:rPr>
                <w:rFonts w:ascii="Verdana" w:hAnsi="Verdana" w:cs="Arial"/>
              </w:rPr>
              <w:t xml:space="preserve">Diferente a lo que sucede en algunas reformas estatutarias, el cambio de razón social no afecta la experiencia, por cuanto no implica la disolución o liquidación de la sociedad. Lo anterior sin perjuicio de los cambios </w:t>
            </w:r>
            <w:r w:rsidR="00820E38">
              <w:rPr>
                <w:rFonts w:ascii="Verdana" w:hAnsi="Verdana" w:cs="Arial"/>
              </w:rPr>
              <w:t>y/o actualizaciones</w:t>
            </w:r>
            <w:r w:rsidR="00820E38" w:rsidRPr="00044BD0">
              <w:rPr>
                <w:rFonts w:ascii="Verdana" w:hAnsi="Verdana" w:cs="Arial"/>
              </w:rPr>
              <w:t xml:space="preserve"> </w:t>
            </w:r>
            <w:r w:rsidR="00044BD0" w:rsidRPr="00044BD0">
              <w:rPr>
                <w:rFonts w:ascii="Verdana" w:hAnsi="Verdana" w:cs="Arial"/>
              </w:rPr>
              <w:t>que se deban realizar ante el RUP, lo cual es competencia de las Cámaras de Comercio del país.</w:t>
            </w:r>
          </w:p>
          <w:p w14:paraId="38B7A8C0" w14:textId="77777777" w:rsidR="00044BD0" w:rsidRPr="00044BD0" w:rsidRDefault="00044BD0" w:rsidP="00044BD0">
            <w:pPr>
              <w:spacing w:after="120" w:line="276" w:lineRule="auto"/>
              <w:ind w:firstLine="708"/>
              <w:jc w:val="both"/>
              <w:rPr>
                <w:rFonts w:ascii="Verdana" w:eastAsia="Calibri" w:hAnsi="Verdana" w:cs="Arial"/>
                <w:color w:val="7030A0"/>
              </w:rPr>
            </w:pPr>
            <w:r w:rsidRPr="00044BD0">
              <w:rPr>
                <w:rFonts w:ascii="Verdana" w:eastAsia="Times New Roman" w:hAnsi="Verdana" w:cs="Arial"/>
                <w:color w:val="000000" w:themeColor="text1"/>
                <w:lang w:eastAsia="es-CO"/>
              </w:rPr>
              <w:t xml:space="preserve">No obstante, al tratarse de un análisis que debe realizarse en cada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De esta manera, cada uno de ellos definirá la forma de adelantar su gestión contractual, sin que sea atribución de Colombia Compra Eficiente validar sus actuaciones. </w:t>
            </w:r>
          </w:p>
        </w:tc>
      </w:tr>
    </w:tbl>
    <w:p w14:paraId="1E423B97" w14:textId="77777777" w:rsidR="00044BD0" w:rsidRPr="00044BD0" w:rsidRDefault="00044BD0" w:rsidP="00044BD0">
      <w:pPr>
        <w:spacing w:after="0" w:line="276" w:lineRule="auto"/>
        <w:contextualSpacing/>
        <w:jc w:val="both"/>
        <w:rPr>
          <w:rFonts w:ascii="Verdana" w:eastAsia="Times New Roman" w:hAnsi="Verdana" w:cs="Arial"/>
          <w:lang w:eastAsia="es-ES_tradnl"/>
        </w:rPr>
      </w:pPr>
    </w:p>
    <w:p w14:paraId="6DF4D1DD" w14:textId="77777777" w:rsidR="00044BD0" w:rsidRPr="00044BD0" w:rsidRDefault="00044BD0" w:rsidP="00044BD0">
      <w:pPr>
        <w:tabs>
          <w:tab w:val="left" w:pos="142"/>
          <w:tab w:val="left" w:pos="284"/>
        </w:tabs>
        <w:spacing w:after="0" w:line="276" w:lineRule="auto"/>
        <w:jc w:val="both"/>
        <w:rPr>
          <w:rFonts w:ascii="Verdana" w:eastAsia="Century Gothic" w:hAnsi="Verdana" w:cs="Century Gothic"/>
          <w:b/>
          <w:bCs/>
          <w:lang w:val="es-ES"/>
        </w:rPr>
      </w:pPr>
      <w:r w:rsidRPr="00044BD0">
        <w:rPr>
          <w:rFonts w:ascii="Verdana" w:eastAsia="Century Gothic" w:hAnsi="Verdana" w:cs="Century Gothic"/>
          <w:b/>
          <w:bCs/>
          <w:lang w:val="es-ES"/>
        </w:rPr>
        <w:lastRenderedPageBreak/>
        <w:t>3. Razones de la respuesta:</w:t>
      </w:r>
    </w:p>
    <w:p w14:paraId="64240C76" w14:textId="77777777" w:rsidR="00044BD0" w:rsidRPr="00044BD0" w:rsidRDefault="00044BD0" w:rsidP="00044BD0">
      <w:pPr>
        <w:spacing w:after="0" w:line="276" w:lineRule="auto"/>
        <w:jc w:val="both"/>
        <w:rPr>
          <w:rFonts w:ascii="Verdana" w:eastAsia="Calibri" w:hAnsi="Verdana" w:cs="Arial"/>
          <w:color w:val="7030A0"/>
          <w:lang w:val="es-ES"/>
        </w:rPr>
      </w:pPr>
    </w:p>
    <w:p w14:paraId="55FEEA66" w14:textId="77777777" w:rsidR="00044BD0" w:rsidRPr="00044BD0" w:rsidRDefault="00044BD0" w:rsidP="00044BD0">
      <w:pPr>
        <w:spacing w:after="0" w:line="276" w:lineRule="auto"/>
        <w:jc w:val="both"/>
        <w:rPr>
          <w:rFonts w:ascii="Verdana" w:eastAsia="Calibri" w:hAnsi="Verdana" w:cs="Arial"/>
          <w:lang w:val="es-ES"/>
        </w:rPr>
      </w:pPr>
      <w:r w:rsidRPr="00044BD0">
        <w:rPr>
          <w:rFonts w:ascii="Verdana" w:eastAsia="Calibri" w:hAnsi="Verdana" w:cs="Arial"/>
          <w:lang w:val="es-ES"/>
        </w:rPr>
        <w:t xml:space="preserve">Lo anterior se sustenta en las siguientes consideraciones: </w:t>
      </w:r>
      <w:bookmarkStart w:id="1" w:name="_Hlk113212496"/>
    </w:p>
    <w:p w14:paraId="2F733B99" w14:textId="77777777" w:rsidR="00044BD0" w:rsidRPr="00044BD0" w:rsidRDefault="00044BD0" w:rsidP="00044BD0">
      <w:pPr>
        <w:spacing w:after="0" w:line="276" w:lineRule="auto"/>
        <w:jc w:val="both"/>
        <w:rPr>
          <w:rFonts w:ascii="Verdana" w:eastAsia="Calibri" w:hAnsi="Verdana" w:cs="Arial"/>
          <w:lang w:val="es-ES"/>
        </w:rPr>
      </w:pPr>
    </w:p>
    <w:p w14:paraId="72C22FAD" w14:textId="77777777" w:rsidR="00044BD0" w:rsidRPr="00044BD0" w:rsidRDefault="00044BD0" w:rsidP="00044BD0">
      <w:pPr>
        <w:numPr>
          <w:ilvl w:val="0"/>
          <w:numId w:val="17"/>
        </w:numPr>
        <w:spacing w:before="120" w:after="0"/>
        <w:contextualSpacing/>
        <w:jc w:val="both"/>
        <w:rPr>
          <w:rFonts w:ascii="Verdana" w:eastAsia="Calibri" w:hAnsi="Verdana" w:cs="Arial"/>
          <w:lang w:val="es-ES"/>
        </w:rPr>
      </w:pPr>
      <w:r w:rsidRPr="00044BD0">
        <w:rPr>
          <w:rFonts w:ascii="Verdana" w:eastAsia="Calibri" w:hAnsi="Verdana" w:cs="Arial"/>
          <w:lang w:val="es-ES"/>
        </w:rPr>
        <w:t>La experiencia que se deriva de los contratos que el proponente ha celebrado y ejecutado con diferentes contratantes, sin importar la naturaleza de estos, se verifica con el Registro Único de Proponentes – RUP</w:t>
      </w:r>
      <w:r w:rsidRPr="00044BD0">
        <w:rPr>
          <w:rFonts w:ascii="Geomanist Light" w:hAnsi="Geomanist Light"/>
          <w:vertAlign w:val="superscript"/>
          <w:lang w:val="es-ES"/>
        </w:rPr>
        <w:footnoteReference w:id="2"/>
      </w:r>
      <w:r w:rsidRPr="00044BD0">
        <w:rPr>
          <w:rFonts w:ascii="Verdana" w:eastAsia="Calibri" w:hAnsi="Verdana" w:cs="Arial"/>
          <w:lang w:val="es-ES"/>
        </w:rPr>
        <w:t>, cuando este certificado sea exigible de acuerdo con la ley. En el RUP constan los requisitos habilitantes que se evalúan exclusivamente con este documento, que es su plena prueba, sin que la entidad o el proponente puedan solicitar o aportar otra documentación</w:t>
      </w:r>
      <w:r w:rsidRPr="00044BD0">
        <w:rPr>
          <w:rFonts w:ascii="Geomanist Light" w:hAnsi="Geomanist Light"/>
          <w:vertAlign w:val="superscript"/>
          <w:lang w:val="es-ES"/>
        </w:rPr>
        <w:footnoteReference w:id="3"/>
      </w:r>
      <w:r w:rsidRPr="00044BD0">
        <w:rPr>
          <w:rFonts w:ascii="Verdana" w:eastAsia="Calibri" w:hAnsi="Verdana" w:cs="Arial"/>
          <w:lang w:val="es-ES"/>
        </w:rPr>
        <w:t>.</w:t>
      </w:r>
    </w:p>
    <w:p w14:paraId="1EABEA8C" w14:textId="77777777" w:rsidR="00044BD0" w:rsidRPr="00044BD0" w:rsidRDefault="00044BD0" w:rsidP="00044BD0">
      <w:pPr>
        <w:spacing w:after="0"/>
        <w:ind w:left="720"/>
        <w:contextualSpacing/>
        <w:jc w:val="both"/>
        <w:rPr>
          <w:rFonts w:ascii="Verdana" w:eastAsia="Calibri" w:hAnsi="Verdana" w:cs="Arial"/>
          <w:lang w:val="es-ES"/>
        </w:rPr>
      </w:pPr>
    </w:p>
    <w:p w14:paraId="5D8D0E97" w14:textId="77777777" w:rsidR="00780F97" w:rsidRDefault="00044BD0" w:rsidP="00044BD0">
      <w:pPr>
        <w:numPr>
          <w:ilvl w:val="0"/>
          <w:numId w:val="17"/>
        </w:numPr>
        <w:spacing w:after="0"/>
        <w:contextualSpacing/>
        <w:jc w:val="both"/>
        <w:rPr>
          <w:rFonts w:ascii="Verdana" w:eastAsia="Calibri" w:hAnsi="Verdana" w:cs="Arial"/>
          <w:lang w:val="es-ES"/>
        </w:rPr>
      </w:pPr>
      <w:r w:rsidRPr="00044BD0">
        <w:rPr>
          <w:rFonts w:ascii="Verdana" w:eastAsia="Calibri" w:hAnsi="Verdana" w:cs="Arial"/>
          <w:lang w:val="es-ES"/>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Tales documentos deben codificarse con el clasificador de bienes y servicios en el tercer nivel</w:t>
      </w:r>
      <w:r w:rsidRPr="00044BD0">
        <w:rPr>
          <w:rFonts w:ascii="Geomanist Light" w:hAnsi="Geomanist Light"/>
          <w:vertAlign w:val="superscript"/>
          <w:lang w:val="es-ES"/>
        </w:rPr>
        <w:footnoteReference w:id="4"/>
      </w:r>
      <w:r w:rsidRPr="00044BD0">
        <w:rPr>
          <w:rFonts w:ascii="Verdana" w:eastAsia="Calibri" w:hAnsi="Verdana" w:cs="Arial"/>
          <w:lang w:val="es-ES"/>
        </w:rPr>
        <w:t xml:space="preserve">.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07759E8F" w14:textId="77777777" w:rsidR="00780F97" w:rsidRDefault="00780F97" w:rsidP="00C8593C">
      <w:pPr>
        <w:pStyle w:val="Prrafodelista"/>
        <w:rPr>
          <w:rFonts w:ascii="Verdana" w:eastAsia="Calibri" w:hAnsi="Verdana" w:cs="Arial"/>
        </w:rPr>
      </w:pPr>
    </w:p>
    <w:p w14:paraId="4451C983" w14:textId="5126EE34" w:rsidR="00044BD0" w:rsidRPr="00044BD0" w:rsidRDefault="00044BD0" w:rsidP="00044BD0">
      <w:pPr>
        <w:numPr>
          <w:ilvl w:val="0"/>
          <w:numId w:val="17"/>
        </w:numPr>
        <w:spacing w:after="0"/>
        <w:contextualSpacing/>
        <w:jc w:val="both"/>
        <w:rPr>
          <w:rFonts w:ascii="Verdana" w:eastAsia="Calibri" w:hAnsi="Verdana" w:cs="Arial"/>
          <w:lang w:val="es-ES"/>
        </w:rPr>
      </w:pPr>
      <w:r w:rsidRPr="00044BD0">
        <w:rPr>
          <w:rFonts w:ascii="Verdana" w:eastAsia="Calibri" w:hAnsi="Verdana" w:cs="Arial"/>
          <w:lang w:val="es-ES"/>
        </w:rPr>
        <w:t xml:space="preserve">Por lo anterior, es pertinente aclarar que los códigos del clasificador de bienes y servicios ayudan a que exista un lenguaje común en la denominación de los bienes, obras o servicios que los proveedores ofrecen </w:t>
      </w:r>
      <w:r w:rsidRPr="00044BD0">
        <w:rPr>
          <w:rFonts w:ascii="Verdana" w:eastAsia="Calibri" w:hAnsi="Verdana" w:cs="Arial"/>
          <w:lang w:val="es-ES"/>
        </w:rPr>
        <w:lastRenderedPageBreak/>
        <w:t>y que las entidades solicitan, sin que la entidad los evalúe, ya que lo que es objeto de evaluación es la experiencia clasificada de esta forma.</w:t>
      </w:r>
    </w:p>
    <w:p w14:paraId="10AC7977" w14:textId="77777777" w:rsidR="00044BD0" w:rsidRPr="00044BD0" w:rsidRDefault="00044BD0" w:rsidP="00044BD0">
      <w:pPr>
        <w:spacing w:before="120" w:after="0"/>
        <w:ind w:left="720"/>
        <w:contextualSpacing/>
        <w:jc w:val="both"/>
        <w:rPr>
          <w:rFonts w:ascii="Verdana" w:eastAsia="Calibri" w:hAnsi="Verdana" w:cs="Arial"/>
          <w:lang w:val="es-ES"/>
        </w:rPr>
      </w:pPr>
    </w:p>
    <w:p w14:paraId="43BC79A9" w14:textId="77777777" w:rsidR="00044BD0" w:rsidRPr="00044BD0" w:rsidRDefault="00044BD0" w:rsidP="00044BD0">
      <w:pPr>
        <w:numPr>
          <w:ilvl w:val="0"/>
          <w:numId w:val="17"/>
        </w:numPr>
        <w:spacing w:before="120" w:after="0"/>
        <w:contextualSpacing/>
        <w:jc w:val="both"/>
        <w:rPr>
          <w:rFonts w:ascii="Verdana" w:eastAsia="Calibri" w:hAnsi="Verdana" w:cs="Arial"/>
          <w:lang w:val="es-ES"/>
        </w:rPr>
      </w:pPr>
      <w:r w:rsidRPr="00044BD0">
        <w:rPr>
          <w:rFonts w:ascii="Verdana" w:eastAsia="Calibri" w:hAnsi="Verdana" w:cs="Arial"/>
          <w:lang w:val="es-ES"/>
        </w:rPr>
        <w:t xml:space="preserve">La Agencia Nacional de Contratación Pública - Colombia Compra Eficiente puso a disposición de los interesados del Sistema de Compra Pública el </w:t>
      </w:r>
      <w:r w:rsidRPr="00044BD0">
        <w:rPr>
          <w:rFonts w:ascii="Verdana" w:eastAsia="Calibri" w:hAnsi="Verdana" w:cs="Arial"/>
          <w:i/>
          <w:iCs/>
          <w:lang w:val="es-ES"/>
        </w:rPr>
        <w:t>Manual para determinar y verificar requisitos habilitantes en los procesos de contratación</w:t>
      </w:r>
      <w:r w:rsidRPr="00044BD0">
        <w:rPr>
          <w:rFonts w:ascii="Verdana" w:eastAsia="Calibri" w:hAnsi="Verdana" w:cs="Arial"/>
          <w:i/>
          <w:iCs/>
          <w:vertAlign w:val="superscript"/>
          <w:lang w:val="es-ES"/>
        </w:rPr>
        <w:footnoteReference w:id="5"/>
      </w:r>
      <w:r w:rsidRPr="00044BD0">
        <w:rPr>
          <w:rFonts w:ascii="Verdana" w:eastAsia="Calibri" w:hAnsi="Verdana" w:cs="Arial"/>
          <w:lang w:val="es-ES"/>
        </w:rPr>
        <w:t xml:space="preserve">. En dicho Manual se establecen las definiciones de cada requisito habilitante y se dan lineamientos orientadores sobre lo que las entidades pueden hacer para configurarlos. Sobre el particular, para la experiencia como requisito habilitante el Manual se centra en una de sus cualidades y es que es personal, lo cual significa que quien tiene la experiencia lo hace </w:t>
      </w:r>
      <w:proofErr w:type="gramStart"/>
      <w:r w:rsidRPr="00044BD0">
        <w:rPr>
          <w:rFonts w:ascii="Verdana" w:eastAsia="Calibri" w:hAnsi="Verdana" w:cs="Arial"/>
          <w:lang w:val="es-ES"/>
        </w:rPr>
        <w:t>en razón de</w:t>
      </w:r>
      <w:proofErr w:type="gramEnd"/>
      <w:r w:rsidRPr="00044BD0">
        <w:rPr>
          <w:rFonts w:ascii="Verdana" w:eastAsia="Calibri" w:hAnsi="Verdana" w:cs="Arial"/>
          <w:lang w:val="es-ES"/>
        </w:rPr>
        <w:t xml:space="preserve"> su participación, con anterioridad, en actividades que le permitieron conocer cómo ejecutar el objeto contractual que la entidad pretende satisfacer ahora</w:t>
      </w:r>
      <w:r w:rsidRPr="00044BD0">
        <w:rPr>
          <w:rFonts w:ascii="Geomanist Light" w:hAnsi="Geomanist Light"/>
          <w:vertAlign w:val="superscript"/>
          <w:lang w:val="es-ES"/>
        </w:rPr>
        <w:footnoteReference w:id="6"/>
      </w:r>
      <w:r w:rsidRPr="00044BD0">
        <w:rPr>
          <w:rFonts w:ascii="Verdana" w:eastAsia="Calibri" w:hAnsi="Verdana" w:cs="Arial"/>
          <w:lang w:val="es-ES"/>
        </w:rPr>
        <w:t>.</w:t>
      </w:r>
    </w:p>
    <w:p w14:paraId="30942169" w14:textId="77777777" w:rsidR="00044BD0" w:rsidRPr="00044BD0" w:rsidRDefault="00044BD0" w:rsidP="00044BD0">
      <w:pPr>
        <w:spacing w:before="120" w:after="0"/>
        <w:ind w:left="720"/>
        <w:contextualSpacing/>
        <w:jc w:val="both"/>
        <w:rPr>
          <w:rFonts w:ascii="Verdana" w:eastAsia="Calibri" w:hAnsi="Verdana" w:cs="Arial"/>
          <w:lang w:val="es-ES"/>
        </w:rPr>
      </w:pPr>
    </w:p>
    <w:p w14:paraId="3DD28AE4" w14:textId="77777777" w:rsidR="00044BD0" w:rsidRPr="00044BD0" w:rsidRDefault="00044BD0" w:rsidP="00044BD0">
      <w:pPr>
        <w:numPr>
          <w:ilvl w:val="0"/>
          <w:numId w:val="17"/>
        </w:numPr>
        <w:spacing w:before="120" w:after="0"/>
        <w:contextualSpacing/>
        <w:jc w:val="both"/>
        <w:rPr>
          <w:rFonts w:ascii="Verdana" w:eastAsia="Calibri" w:hAnsi="Verdana" w:cs="Arial"/>
          <w:lang w:val="es-ES"/>
        </w:rPr>
      </w:pPr>
      <w:r w:rsidRPr="00044BD0">
        <w:rPr>
          <w:rFonts w:ascii="Verdana" w:eastAsia="Calibri" w:hAnsi="Verdana" w:cs="Arial"/>
          <w:lang w:val="es-ES"/>
        </w:rPr>
        <w:t xml:space="preserve">Lo anterior es determinante porque no es posible tener experiencia si en la práctica no se han ejecutado actividades similares previas. Precisamente, de la experiencia se deriva el conocimiento del proponente, y para la contratación pública es importante, ya que garantiza que no habrá improvisación ni mayores costos por errores o dificultades originadas en realizar una actividad por primera vez. </w:t>
      </w:r>
      <w:bookmarkStart w:id="4" w:name="_Hlk113212591"/>
      <w:r w:rsidRPr="00044BD0">
        <w:rPr>
          <w:rFonts w:ascii="Verdana" w:eastAsia="Calibri" w:hAnsi="Verdana" w:cs="Arial"/>
          <w:lang w:val="es-ES"/>
        </w:rPr>
        <w:t xml:space="preserve">Al respecto, la jurisprudencia ha señalado que la experiencia acreditable </w:t>
      </w:r>
      <w:r w:rsidRPr="00044BD0">
        <w:rPr>
          <w:rFonts w:ascii="Verdana" w:hAnsi="Verdana" w:cs="Arial"/>
          <w:lang w:val="es-ES"/>
        </w:rPr>
        <w:t>“</w:t>
      </w:r>
      <w:r w:rsidRPr="00044BD0">
        <w:rPr>
          <w:rFonts w:ascii="Verdana" w:eastAsia="Calibri" w:hAnsi="Verdana" w:cs="Arial"/>
          <w:lang w:val="es-ES"/>
        </w:rPr>
        <w:t>no es más que un valor agregado para el contratista en consideración al registro documentado del hecho de haberlo ejecutado, es decir de haber cumplido las consideraciones pactadas, asunto que alude a un estado adquirido por el contratante en función de la real ejecución que han hecho del contrato. La experiencia predicada de un sujeto comprende unas competencias o habilidades que este obtuvo, como consecuencia de la ejecución del contrato […]</w:t>
      </w:r>
      <w:r w:rsidRPr="00044BD0">
        <w:rPr>
          <w:rFonts w:ascii="Verdana" w:hAnsi="Verdana" w:cs="Arial"/>
          <w:lang w:val="es-ES"/>
        </w:rPr>
        <w:t>”</w:t>
      </w:r>
      <w:r w:rsidRPr="00044BD0">
        <w:rPr>
          <w:rFonts w:ascii="Verdana" w:hAnsi="Verdana" w:cs="Arial"/>
          <w:vertAlign w:val="superscript"/>
          <w:lang w:val="es-ES"/>
        </w:rPr>
        <w:footnoteReference w:id="7"/>
      </w:r>
      <w:r w:rsidRPr="00044BD0">
        <w:rPr>
          <w:rFonts w:ascii="Verdana" w:hAnsi="Verdana" w:cs="Arial"/>
          <w:lang w:val="es-ES"/>
        </w:rPr>
        <w:t xml:space="preserve">. En tal sentido, la ejecución del contrato “se revela como un aspecto inherente a la persona que lo ejecutó”, por lo que es en virtud de dicha ejecución que se obtiene las habilidades y competencias que califican al proponente. </w:t>
      </w:r>
    </w:p>
    <w:bookmarkEnd w:id="4"/>
    <w:p w14:paraId="51272D2F" w14:textId="77777777" w:rsidR="00044BD0" w:rsidRPr="00044BD0" w:rsidRDefault="00044BD0" w:rsidP="00044BD0">
      <w:pPr>
        <w:spacing w:before="120" w:after="0"/>
        <w:ind w:left="720"/>
        <w:contextualSpacing/>
        <w:jc w:val="both"/>
        <w:rPr>
          <w:rFonts w:ascii="Verdana" w:eastAsia="Calibri" w:hAnsi="Verdana" w:cs="Arial"/>
          <w:lang w:val="es-ES"/>
        </w:rPr>
      </w:pPr>
    </w:p>
    <w:p w14:paraId="66FD548A" w14:textId="77777777" w:rsidR="00044BD0" w:rsidRPr="00044BD0" w:rsidRDefault="00044BD0" w:rsidP="00044BD0">
      <w:pPr>
        <w:numPr>
          <w:ilvl w:val="0"/>
          <w:numId w:val="17"/>
        </w:numPr>
        <w:spacing w:before="120" w:after="0"/>
        <w:contextualSpacing/>
        <w:jc w:val="both"/>
        <w:rPr>
          <w:rFonts w:ascii="Verdana" w:eastAsia="Calibri" w:hAnsi="Verdana" w:cs="Arial"/>
          <w:lang w:val="es-ES"/>
        </w:rPr>
      </w:pPr>
      <w:bookmarkStart w:id="5" w:name="_Hlk113212612"/>
      <w:r w:rsidRPr="00044BD0">
        <w:rPr>
          <w:rFonts w:ascii="Verdana" w:eastAsia="Calibri" w:hAnsi="Verdana" w:cs="Arial"/>
          <w:lang w:val="es-ES"/>
        </w:rPr>
        <w:t>De lo anteriormente expuesto</w:t>
      </w:r>
      <w:bookmarkEnd w:id="5"/>
      <w:r w:rsidRPr="00044BD0">
        <w:rPr>
          <w:rFonts w:ascii="Verdana" w:eastAsia="Calibri" w:hAnsi="Verdana" w:cs="Arial"/>
          <w:lang w:val="es-ES"/>
        </w:rPr>
        <w:t xml:space="preserve">, se pueden extraer cuatro conclusiones relevantes respecto de la experiencia, para evaluar a continuación las figuras y reformas estatutarias de las sociedades comerciales: </w:t>
      </w:r>
    </w:p>
    <w:p w14:paraId="1FA124A0" w14:textId="77777777" w:rsidR="00044BD0" w:rsidRPr="00044BD0" w:rsidRDefault="00044BD0" w:rsidP="00044BD0">
      <w:pPr>
        <w:spacing w:before="120" w:after="0"/>
        <w:ind w:left="720"/>
        <w:contextualSpacing/>
        <w:jc w:val="both"/>
        <w:rPr>
          <w:rFonts w:ascii="Verdana" w:eastAsia="Calibri" w:hAnsi="Verdana" w:cs="Arial"/>
          <w:lang w:val="es-ES"/>
        </w:rPr>
      </w:pPr>
    </w:p>
    <w:p w14:paraId="0406D696" w14:textId="77777777" w:rsidR="00044BD0" w:rsidRPr="00044BD0" w:rsidRDefault="00044BD0" w:rsidP="00044BD0">
      <w:pPr>
        <w:numPr>
          <w:ilvl w:val="0"/>
          <w:numId w:val="18"/>
        </w:numPr>
        <w:spacing w:before="120" w:after="0"/>
        <w:contextualSpacing/>
        <w:jc w:val="both"/>
        <w:rPr>
          <w:rFonts w:ascii="Verdana" w:eastAsia="Calibri" w:hAnsi="Verdana" w:cs="Arial"/>
          <w:lang w:val="es-ES"/>
        </w:rPr>
      </w:pPr>
      <w:r w:rsidRPr="00044BD0">
        <w:rPr>
          <w:rFonts w:ascii="Verdana" w:eastAsia="Calibri" w:hAnsi="Verdana" w:cs="Arial"/>
          <w:lang w:val="es-ES"/>
        </w:rPr>
        <w:t>La experiencia es personal, esto es, se adquiere participando, directa o indirectamente, sin que sea posible no hacerlo y tener experiencia.</w:t>
      </w:r>
    </w:p>
    <w:p w14:paraId="1562DE69" w14:textId="77777777" w:rsidR="00044BD0" w:rsidRPr="00044BD0" w:rsidRDefault="00044BD0" w:rsidP="00044BD0">
      <w:pPr>
        <w:numPr>
          <w:ilvl w:val="0"/>
          <w:numId w:val="18"/>
        </w:numPr>
        <w:spacing w:before="120" w:after="0"/>
        <w:contextualSpacing/>
        <w:jc w:val="both"/>
        <w:rPr>
          <w:rFonts w:ascii="Verdana" w:eastAsia="Calibri" w:hAnsi="Verdana" w:cs="Arial"/>
          <w:lang w:val="es-ES"/>
        </w:rPr>
      </w:pPr>
      <w:r w:rsidRPr="00044BD0">
        <w:rPr>
          <w:rFonts w:ascii="Verdana" w:eastAsia="Calibri" w:hAnsi="Verdana" w:cs="Arial"/>
          <w:lang w:val="es-ES"/>
        </w:rPr>
        <w:t>La experiencia se puede compartir, sin que implique que la compartida a una persona se entienda suya, ya que dentro del procedimiento contractual se reflejará que esa persona tiene la experiencia de otra, como es el caso de las figuras asociativas –consorcios y uniones temporales– que se verificará en el documento privado de constitución.</w:t>
      </w:r>
    </w:p>
    <w:p w14:paraId="0CFB122D" w14:textId="77777777" w:rsidR="00044BD0" w:rsidRPr="00044BD0" w:rsidRDefault="00044BD0" w:rsidP="00044BD0">
      <w:pPr>
        <w:numPr>
          <w:ilvl w:val="0"/>
          <w:numId w:val="18"/>
        </w:numPr>
        <w:spacing w:before="120" w:after="0"/>
        <w:contextualSpacing/>
        <w:jc w:val="both"/>
        <w:rPr>
          <w:rFonts w:ascii="Verdana" w:eastAsia="Calibri" w:hAnsi="Verdana" w:cs="Arial"/>
          <w:lang w:val="es-ES"/>
        </w:rPr>
      </w:pPr>
      <w:r w:rsidRPr="00044BD0">
        <w:rPr>
          <w:rFonts w:ascii="Verdana" w:eastAsia="Calibri" w:hAnsi="Verdana" w:cs="Arial"/>
          <w:lang w:val="es-ES"/>
        </w:rPr>
        <w:t>La experiencia se puede transferir, y esto es diferente a compartir, lo que implica que la experiencia de una persona se traslada a otra, y esta última acredita la experiencia como propia, como sucede con algunas figuras y reformas estatutarias, que se explicarán con más detalle en este concepto.</w:t>
      </w:r>
    </w:p>
    <w:p w14:paraId="16F50C63" w14:textId="77777777" w:rsidR="00044BD0" w:rsidRPr="00044BD0" w:rsidRDefault="00044BD0" w:rsidP="00044BD0">
      <w:pPr>
        <w:numPr>
          <w:ilvl w:val="0"/>
          <w:numId w:val="18"/>
        </w:numPr>
        <w:spacing w:before="120" w:after="0"/>
        <w:contextualSpacing/>
        <w:jc w:val="both"/>
        <w:rPr>
          <w:rFonts w:ascii="Verdana" w:eastAsia="Calibri" w:hAnsi="Verdana" w:cs="Arial"/>
          <w:lang w:val="es-ES"/>
        </w:rPr>
      </w:pPr>
      <w:r w:rsidRPr="00044BD0">
        <w:rPr>
          <w:rFonts w:ascii="Verdana" w:eastAsia="Calibri" w:hAnsi="Verdana" w:cs="Arial"/>
          <w:lang w:val="es-ES"/>
        </w:rPr>
        <w:t xml:space="preserve">Cuando </w:t>
      </w:r>
      <w:bookmarkStart w:id="6" w:name="_Hlk113212638"/>
      <w:r w:rsidRPr="00044BD0">
        <w:rPr>
          <w:rFonts w:ascii="Verdana" w:eastAsia="Calibri" w:hAnsi="Verdana" w:cs="Arial"/>
          <w:lang w:val="es-ES"/>
        </w:rPr>
        <w:t>la persona que adquirió la experiencia desaparece o se liquida no es posible que comparta o transfiera su experiencia, puesto que, al ser esta personal, sigue la suerte de quien la adquirió</w:t>
      </w:r>
      <w:bookmarkEnd w:id="6"/>
      <w:r w:rsidRPr="00044BD0">
        <w:rPr>
          <w:rFonts w:ascii="Verdana" w:eastAsia="Calibri" w:hAnsi="Verdana" w:cs="Arial"/>
          <w:lang w:val="es-ES"/>
        </w:rPr>
        <w:t>.</w:t>
      </w:r>
    </w:p>
    <w:p w14:paraId="51E8E2BE" w14:textId="77777777" w:rsidR="00044BD0" w:rsidRPr="00044BD0" w:rsidRDefault="00044BD0" w:rsidP="00044BD0">
      <w:pPr>
        <w:spacing w:before="120" w:after="0"/>
        <w:ind w:left="720"/>
        <w:contextualSpacing/>
        <w:jc w:val="both"/>
        <w:rPr>
          <w:rFonts w:ascii="Verdana" w:eastAsia="Calibri" w:hAnsi="Verdana" w:cs="Arial"/>
          <w:lang w:val="es-ES"/>
        </w:rPr>
      </w:pPr>
    </w:p>
    <w:p w14:paraId="6E4F7660" w14:textId="77777777" w:rsidR="00044BD0" w:rsidRPr="00044BD0" w:rsidRDefault="00044BD0" w:rsidP="00044BD0">
      <w:pPr>
        <w:numPr>
          <w:ilvl w:val="0"/>
          <w:numId w:val="17"/>
        </w:numPr>
        <w:spacing w:before="120" w:after="0"/>
        <w:contextualSpacing/>
        <w:jc w:val="both"/>
        <w:rPr>
          <w:rFonts w:ascii="Verdana" w:eastAsia="Calibri" w:hAnsi="Verdana" w:cs="Arial"/>
          <w:lang w:val="es-ES"/>
        </w:rPr>
      </w:pPr>
      <w:r w:rsidRPr="00044BD0">
        <w:rPr>
          <w:rFonts w:ascii="Verdana" w:eastAsia="Calibri" w:hAnsi="Verdana" w:cs="Arial"/>
          <w:lang w:val="es-ES"/>
        </w:rPr>
        <w:t>De lo anterior se desprende que, por regla general, en la actividad contractual regulada por el Estatuto General de Contratación de la Administración Pública la experiencia es personal e intransferible, salvo algunas excepciones. Una primera excepción a la regla anteriormente descrita se encuentra consagrada en el numeral 2.5. del artículo 2.2.1.1.1.5.2. del Decreto 1082 de 2015, con arreglo al cual si bien para la inscripción, renovación o actualización del Registro Único de Proponentes (RUP) la persona jurídica interesada debe presentar ante la cámara de comercio respectiva los certificados de los bienes, obras o servicios cuya experiencia requiere acreditar, “Si la constitución del interesado es menor a tres (3) años, puede acreditar la experiencia de sus accionistas, socios o constituyentes”.</w:t>
      </w:r>
    </w:p>
    <w:p w14:paraId="797D3B88" w14:textId="77777777" w:rsidR="00044BD0" w:rsidRPr="00044BD0" w:rsidRDefault="00044BD0" w:rsidP="00044BD0">
      <w:pPr>
        <w:spacing w:before="120" w:after="0"/>
        <w:ind w:left="720"/>
        <w:contextualSpacing/>
        <w:jc w:val="both"/>
        <w:rPr>
          <w:rFonts w:ascii="Verdana" w:eastAsia="Calibri" w:hAnsi="Verdana" w:cs="Arial"/>
          <w:lang w:val="es-ES"/>
        </w:rPr>
      </w:pPr>
    </w:p>
    <w:p w14:paraId="256CAF38" w14:textId="77777777" w:rsidR="005D4D48" w:rsidRDefault="00044BD0" w:rsidP="00044BD0">
      <w:pPr>
        <w:numPr>
          <w:ilvl w:val="0"/>
          <w:numId w:val="17"/>
        </w:numPr>
        <w:spacing w:before="120" w:after="0"/>
        <w:contextualSpacing/>
        <w:jc w:val="both"/>
        <w:rPr>
          <w:rFonts w:ascii="Verdana" w:eastAsia="Calibri" w:hAnsi="Verdana" w:cs="Arial"/>
          <w:lang w:val="es-ES"/>
        </w:rPr>
      </w:pPr>
      <w:r w:rsidRPr="00044BD0">
        <w:rPr>
          <w:rFonts w:ascii="Verdana" w:eastAsia="Calibri" w:hAnsi="Verdana" w:cs="Arial"/>
          <w:lang w:val="es-ES"/>
        </w:rPr>
        <w:t xml:space="preserve">Como segunda excepción al carácter intransferible de la experiencia puede mencionarse el caso de algunas reformas estatutarias de las personas jurídicas o de reorganización empresarial, en las que la persona jurídica no se liquida y por lo tanto puede transferir su experiencia a la persona jurídica resultante. En efecto, la Subdirección de Gestión Contractual, en el concepto C-002 del 20 de febrero de 2020, reiterado en diferentes conceptos, modificó la tesis que hasta ese momento había </w:t>
      </w:r>
      <w:r w:rsidRPr="00044BD0">
        <w:rPr>
          <w:rFonts w:ascii="Verdana" w:eastAsia="Calibri" w:hAnsi="Verdana" w:cs="Arial"/>
          <w:lang w:val="es-ES"/>
        </w:rPr>
        <w:lastRenderedPageBreak/>
        <w:t xml:space="preserve">sostenido la Subdirección, en virtud de la cual se afirmaba que en las reformas estatutarias que implicaban una escisión o una fusión de las personas jurídicas no era posible la transferencia de la experiencia, ya que esta era personal e intransferible, según una interpretación del artículo 2.2.1.1.1.5.3. del Decreto 1082 de 2015, que establece que </w:t>
      </w:r>
      <w:bookmarkStart w:id="7" w:name="_Hlk113212671"/>
      <w:r w:rsidRPr="00044BD0">
        <w:rPr>
          <w:rFonts w:ascii="Verdana" w:eastAsia="Calibri" w:hAnsi="Verdana" w:cs="Arial"/>
          <w:lang w:val="es-ES"/>
        </w:rPr>
        <w:t xml:space="preserve">se debe verificar la experiencia de </w:t>
      </w:r>
      <w:bookmarkEnd w:id="7"/>
      <w:r w:rsidRPr="00044BD0">
        <w:rPr>
          <w:rFonts w:ascii="Verdana" w:eastAsia="Calibri" w:hAnsi="Verdana" w:cs="Arial"/>
          <w:lang w:val="es-ES"/>
        </w:rPr>
        <w:t xml:space="preserve">“los contratos celebrados por el interesado para cada uno de los bienes, obras y servicios que ofrecerá a las Entidades Estatales, identificados con el Clasificador de Bienes y Servicios en el tercer nivel y su valor expresado en SMMLV […]”. </w:t>
      </w:r>
    </w:p>
    <w:p w14:paraId="438E1EF1" w14:textId="77777777" w:rsidR="005D4D48" w:rsidRDefault="005D4D48" w:rsidP="00C8593C">
      <w:pPr>
        <w:spacing w:before="120" w:after="0"/>
        <w:ind w:left="720"/>
        <w:contextualSpacing/>
        <w:jc w:val="both"/>
        <w:rPr>
          <w:rFonts w:ascii="Verdana" w:eastAsia="Calibri" w:hAnsi="Verdana" w:cs="Arial"/>
          <w:lang w:val="es-ES"/>
        </w:rPr>
      </w:pPr>
    </w:p>
    <w:p w14:paraId="5461B795" w14:textId="4E162B76" w:rsidR="00044BD0" w:rsidRPr="00044BD0" w:rsidRDefault="00044BD0" w:rsidP="00044BD0">
      <w:pPr>
        <w:numPr>
          <w:ilvl w:val="0"/>
          <w:numId w:val="17"/>
        </w:numPr>
        <w:spacing w:before="120" w:after="0"/>
        <w:contextualSpacing/>
        <w:jc w:val="both"/>
        <w:rPr>
          <w:rFonts w:ascii="Verdana" w:eastAsia="Calibri" w:hAnsi="Verdana" w:cs="Arial"/>
          <w:lang w:val="es-ES"/>
        </w:rPr>
      </w:pPr>
      <w:r w:rsidRPr="00044BD0">
        <w:rPr>
          <w:rFonts w:ascii="Verdana" w:eastAsia="Calibri" w:hAnsi="Verdana" w:cs="Arial"/>
          <w:lang w:val="es-ES"/>
        </w:rPr>
        <w:t>En el concepto C-002 de 2020, como se dijo, la Subdirección de Gestión Contractual modificó razonablemente dicho argumento, por considerar que de conformidad con la regulación aplicable y teniendo en cuenta los conceptos de “disolución” y “liquidación” del Código de Comercio, es viable la transferencia de experiencia en la transformación y en la fusión, pero no en la escisión,</w:t>
      </w:r>
      <w:bookmarkStart w:id="8" w:name="_Hlk113212692"/>
      <w:r w:rsidRPr="00044BD0">
        <w:rPr>
          <w:rFonts w:ascii="Verdana" w:eastAsia="Calibri" w:hAnsi="Verdana" w:cs="Arial"/>
          <w:lang w:val="es-ES"/>
        </w:rPr>
        <w:t xml:space="preserve"> tesis que se reitera en este concepto como a continuación se expone.</w:t>
      </w:r>
      <w:bookmarkEnd w:id="8"/>
    </w:p>
    <w:p w14:paraId="43CCAD9D" w14:textId="77777777" w:rsidR="00044BD0" w:rsidRPr="00044BD0" w:rsidRDefault="00044BD0" w:rsidP="00044BD0">
      <w:pPr>
        <w:spacing w:after="0"/>
        <w:jc w:val="both"/>
        <w:rPr>
          <w:rFonts w:ascii="Verdana" w:eastAsia="Calibri" w:hAnsi="Verdana" w:cs="Arial"/>
          <w:bCs/>
        </w:rPr>
      </w:pPr>
      <w:bookmarkStart w:id="9" w:name="_Hlk160719958"/>
      <w:bookmarkEnd w:id="1"/>
    </w:p>
    <w:p w14:paraId="1E2D3BC0" w14:textId="77777777" w:rsidR="00044BD0" w:rsidRPr="00044BD0" w:rsidRDefault="00044BD0" w:rsidP="00044BD0">
      <w:pPr>
        <w:numPr>
          <w:ilvl w:val="0"/>
          <w:numId w:val="17"/>
        </w:numPr>
        <w:spacing w:after="0"/>
        <w:contextualSpacing/>
        <w:jc w:val="both"/>
        <w:rPr>
          <w:rFonts w:ascii="Verdana" w:eastAsia="Calibri" w:hAnsi="Verdana" w:cs="Arial"/>
          <w:bCs/>
          <w:lang w:val="es-ES"/>
        </w:rPr>
      </w:pPr>
      <w:r w:rsidRPr="00044BD0">
        <w:rPr>
          <w:rFonts w:ascii="Verdana" w:eastAsia="Calibri" w:hAnsi="Verdana" w:cs="Arial"/>
          <w:bCs/>
          <w:lang w:val="es-ES"/>
        </w:rPr>
        <w:t xml:space="preserve">De conformidad con los artículos 98 y </w:t>
      </w:r>
      <w:proofErr w:type="spellStart"/>
      <w:r w:rsidRPr="00044BD0">
        <w:rPr>
          <w:rFonts w:ascii="Verdana" w:eastAsia="Calibri" w:hAnsi="Verdana" w:cs="Arial"/>
          <w:bCs/>
          <w:lang w:val="es-ES"/>
        </w:rPr>
        <w:t>ss</w:t>
      </w:r>
      <w:proofErr w:type="spellEnd"/>
      <w:r w:rsidRPr="00044BD0">
        <w:rPr>
          <w:rFonts w:ascii="Verdana" w:eastAsia="Calibri" w:hAnsi="Verdana" w:cs="Arial"/>
          <w:bCs/>
          <w:lang w:val="es-ES"/>
        </w:rPr>
        <w:t xml:space="preserve"> del Código de Comercio, quizá el principal efecto de un contrato de sociedad es el surgimiento de una persona jurídica distinta de la de los socios, una vez se cumplen las formalidades requeridas para su constitución. La naturaleza de estas personas jurídicas, así como los atributos que la definen, se encuentra condicionada por las estipulaciones sociales, las cuales deben definir el objeto social, el tipo societario, la conformación del capital social, entre otros aspectos que pueden ser materia de reformas sociales que, dependiendo de su tipología, pueden tener incidencia en la existencia de la sociedad y los compromisos adquiridos por esta. </w:t>
      </w:r>
    </w:p>
    <w:p w14:paraId="4859F4D0" w14:textId="77777777" w:rsidR="00044BD0" w:rsidRPr="00044BD0" w:rsidRDefault="00044BD0" w:rsidP="00044BD0">
      <w:pPr>
        <w:spacing w:after="0"/>
        <w:ind w:left="720"/>
        <w:contextualSpacing/>
        <w:jc w:val="both"/>
        <w:rPr>
          <w:rFonts w:ascii="Verdana" w:eastAsia="Calibri" w:hAnsi="Verdana" w:cs="Arial"/>
          <w:bCs/>
          <w:lang w:val="es-ES"/>
        </w:rPr>
      </w:pPr>
    </w:p>
    <w:p w14:paraId="3E11B504" w14:textId="77777777" w:rsidR="00044BD0" w:rsidRPr="00044BD0" w:rsidRDefault="00044BD0" w:rsidP="00044BD0">
      <w:pPr>
        <w:numPr>
          <w:ilvl w:val="0"/>
          <w:numId w:val="17"/>
        </w:numPr>
        <w:spacing w:after="0"/>
        <w:contextualSpacing/>
        <w:jc w:val="both"/>
        <w:rPr>
          <w:rFonts w:ascii="Verdana" w:eastAsia="Calibri" w:hAnsi="Verdana" w:cs="Arial"/>
          <w:bCs/>
          <w:lang w:val="es-ES"/>
        </w:rPr>
      </w:pPr>
      <w:r w:rsidRPr="00044BD0">
        <w:rPr>
          <w:rFonts w:ascii="Verdana" w:eastAsia="Calibri" w:hAnsi="Verdana" w:cs="Arial"/>
          <w:bCs/>
          <w:lang w:val="es-ES"/>
        </w:rPr>
        <w:t xml:space="preserve">Para comprender con claridad el alcance de las distintas reformas estatutarias de las que pueden ser objeto las sociedades comerciales, así como para comprender sus efectos en la adjudicación y ejecución de contratos estatales, es necesario comenzar por distinguir los conceptos </w:t>
      </w:r>
      <w:r w:rsidRPr="00044BD0">
        <w:rPr>
          <w:rFonts w:ascii="Verdana" w:eastAsia="Calibri" w:hAnsi="Verdana" w:cs="Arial"/>
          <w:bCs/>
          <w:i/>
          <w:iCs/>
          <w:lang w:val="es-ES"/>
        </w:rPr>
        <w:t>“disolución”</w:t>
      </w:r>
      <w:r w:rsidRPr="00044BD0">
        <w:rPr>
          <w:rFonts w:ascii="Verdana" w:eastAsia="Calibri" w:hAnsi="Verdana" w:cs="Arial"/>
          <w:bCs/>
          <w:lang w:val="es-ES"/>
        </w:rPr>
        <w:t xml:space="preserve"> y </w:t>
      </w:r>
      <w:r w:rsidRPr="00044BD0">
        <w:rPr>
          <w:rFonts w:ascii="Verdana" w:eastAsia="Calibri" w:hAnsi="Verdana" w:cs="Arial"/>
          <w:bCs/>
          <w:i/>
          <w:iCs/>
          <w:lang w:val="es-ES"/>
        </w:rPr>
        <w:t>“liquidación”</w:t>
      </w:r>
      <w:r w:rsidRPr="00044BD0">
        <w:rPr>
          <w:rFonts w:ascii="Verdana" w:eastAsia="Calibri" w:hAnsi="Verdana" w:cs="Arial"/>
          <w:bCs/>
          <w:lang w:val="es-ES"/>
        </w:rPr>
        <w:t xml:space="preserve">. Tales expresiones designan efectos que derivan de la aplicación de las figuras y reformas estatutarias, que tienen incidencia en la titularidad de las obligaciones de la sociedad y en la acreditación de experiencia.  </w:t>
      </w:r>
    </w:p>
    <w:p w14:paraId="485A320B" w14:textId="77777777" w:rsidR="00044BD0" w:rsidRPr="00044BD0" w:rsidRDefault="00044BD0" w:rsidP="00044BD0">
      <w:pPr>
        <w:spacing w:after="0"/>
        <w:ind w:left="720"/>
        <w:contextualSpacing/>
        <w:jc w:val="both"/>
        <w:rPr>
          <w:rFonts w:ascii="Verdana" w:eastAsia="Calibri" w:hAnsi="Verdana" w:cs="Arial"/>
          <w:bCs/>
          <w:lang w:val="es-ES"/>
        </w:rPr>
      </w:pPr>
    </w:p>
    <w:p w14:paraId="473EB6CC" w14:textId="77777777" w:rsidR="00044BD0" w:rsidRPr="00044BD0" w:rsidRDefault="00044BD0" w:rsidP="00044BD0">
      <w:pPr>
        <w:numPr>
          <w:ilvl w:val="0"/>
          <w:numId w:val="17"/>
        </w:numPr>
        <w:spacing w:after="0"/>
        <w:contextualSpacing/>
        <w:jc w:val="both"/>
        <w:rPr>
          <w:rFonts w:ascii="Verdana" w:eastAsia="Calibri" w:hAnsi="Verdana" w:cs="Arial"/>
          <w:bCs/>
          <w:lang w:val="es-ES"/>
        </w:rPr>
      </w:pPr>
      <w:r w:rsidRPr="00044BD0">
        <w:rPr>
          <w:rFonts w:ascii="Verdana" w:eastAsia="Calibri" w:hAnsi="Verdana" w:cs="Arial"/>
          <w:bCs/>
          <w:lang w:val="es-ES"/>
        </w:rPr>
        <w:t xml:space="preserve">En primer lugar, el Código de Comercio señala, como efecto de la </w:t>
      </w:r>
      <w:r w:rsidRPr="00044BD0">
        <w:rPr>
          <w:rFonts w:ascii="Verdana" w:eastAsia="Calibri" w:hAnsi="Verdana" w:cs="Arial"/>
          <w:bCs/>
          <w:i/>
          <w:iCs/>
          <w:lang w:val="es-ES"/>
        </w:rPr>
        <w:t>“disolución”,</w:t>
      </w:r>
      <w:r w:rsidRPr="00044BD0">
        <w:rPr>
          <w:rFonts w:ascii="Verdana" w:eastAsia="Calibri" w:hAnsi="Verdana" w:cs="Arial"/>
          <w:bCs/>
          <w:lang w:val="es-ES"/>
        </w:rPr>
        <w:t xml:space="preserve"> que la persona jurídica no desaparece, sino que conserva su capacidad jurídica, únicamente para “liquidarse” y para las operaciones o </w:t>
      </w:r>
      <w:r w:rsidRPr="00044BD0">
        <w:rPr>
          <w:rFonts w:ascii="Verdana" w:eastAsia="Calibri" w:hAnsi="Verdana" w:cs="Arial"/>
          <w:bCs/>
          <w:lang w:val="es-ES"/>
        </w:rPr>
        <w:lastRenderedPageBreak/>
        <w:t>actos autorizados por la ley</w:t>
      </w:r>
      <w:r w:rsidRPr="00044BD0">
        <w:rPr>
          <w:rFonts w:ascii="Geomanist Light" w:hAnsi="Geomanist Light"/>
          <w:vertAlign w:val="superscript"/>
          <w:lang w:val="es-ES"/>
        </w:rPr>
        <w:footnoteReference w:id="8"/>
      </w:r>
      <w:r w:rsidRPr="00044BD0">
        <w:rPr>
          <w:rFonts w:ascii="Verdana" w:eastAsia="Calibri" w:hAnsi="Verdana" w:cs="Arial"/>
          <w:bCs/>
          <w:lang w:val="es-ES"/>
        </w:rPr>
        <w:t xml:space="preserve">, como las figuras y reformas estatutarias que se verán a continuación. Por el contrario, respecto de la </w:t>
      </w:r>
      <w:r w:rsidRPr="00044BD0">
        <w:rPr>
          <w:rFonts w:ascii="Verdana" w:eastAsia="Calibri" w:hAnsi="Verdana" w:cs="Arial"/>
          <w:bCs/>
          <w:i/>
          <w:iCs/>
          <w:lang w:val="es-ES"/>
        </w:rPr>
        <w:t>“liquidación”</w:t>
      </w:r>
      <w:r w:rsidRPr="00044BD0">
        <w:rPr>
          <w:rFonts w:ascii="Verdana" w:eastAsia="Calibri" w:hAnsi="Verdana" w:cs="Arial"/>
          <w:bCs/>
          <w:lang w:val="es-ES"/>
        </w:rPr>
        <w:t xml:space="preserve"> de las sociedades comerciales, el Código de Comercio señala el procedimiento para realizar el inventario y distribución del patrimonio social, de lo cual se infiere que termina la persona jurídica</w:t>
      </w:r>
      <w:r w:rsidRPr="00044BD0">
        <w:rPr>
          <w:rFonts w:ascii="Geomanist Light" w:hAnsi="Geomanist Light"/>
          <w:vertAlign w:val="superscript"/>
          <w:lang w:val="es-ES"/>
        </w:rPr>
        <w:footnoteReference w:id="9"/>
      </w:r>
      <w:r w:rsidRPr="00044BD0">
        <w:rPr>
          <w:rFonts w:ascii="Verdana" w:eastAsia="Calibri" w:hAnsi="Verdana" w:cs="Arial"/>
          <w:bCs/>
          <w:lang w:val="es-ES"/>
        </w:rPr>
        <w:t>.</w:t>
      </w:r>
      <w:bookmarkEnd w:id="9"/>
    </w:p>
    <w:p w14:paraId="4BF7920A" w14:textId="77777777" w:rsidR="00044BD0" w:rsidRPr="00044BD0" w:rsidRDefault="00044BD0" w:rsidP="00044BD0">
      <w:pPr>
        <w:spacing w:after="0"/>
        <w:ind w:left="720"/>
        <w:contextualSpacing/>
        <w:jc w:val="both"/>
        <w:rPr>
          <w:rFonts w:ascii="Verdana" w:eastAsia="Calibri" w:hAnsi="Verdana" w:cs="Arial"/>
          <w:b/>
          <w:lang w:val="es-ES"/>
        </w:rPr>
      </w:pPr>
    </w:p>
    <w:p w14:paraId="73AA72FB" w14:textId="77777777" w:rsidR="00044BD0" w:rsidRPr="00044BD0" w:rsidRDefault="00044BD0" w:rsidP="00044BD0">
      <w:pPr>
        <w:numPr>
          <w:ilvl w:val="0"/>
          <w:numId w:val="17"/>
        </w:numPr>
        <w:spacing w:after="0"/>
        <w:contextualSpacing/>
        <w:jc w:val="both"/>
        <w:rPr>
          <w:rFonts w:ascii="Verdana" w:eastAsia="Calibri" w:hAnsi="Verdana" w:cs="Arial"/>
          <w:b/>
          <w:lang w:val="es-ES"/>
        </w:rPr>
      </w:pPr>
      <w:r w:rsidRPr="00044BD0">
        <w:rPr>
          <w:rFonts w:ascii="Verdana" w:eastAsia="Calibri" w:hAnsi="Verdana" w:cs="Arial"/>
          <w:bCs/>
          <w:lang w:val="es-ES"/>
        </w:rPr>
        <w:t>La distinción entre los mencionados conceptos resulta relevante para el particular en la medida en que, los acuerdos de fusión y/o escisión, dependiendo de la modalidad en la que se apliquen, pueden conllevar la disolución y/o liquidación de las sociedades comerciales, fenómenos que afectan de distintos modos la acreditación de la experiencia de tales sociedades en procesos de contratación, así como los derechos y obligaciones asociados al patrimonio de la sociedad reformada.  Para precisar lo anterior, de cara a la absolución del interrogante planteado, a continuación, se analizarán las características de las reformas estatutarias, así como sus implicaciones en la acreditación de experiencia en procesos de contratación, y luego se realizarán unas consideraciones particulares sobre los efectos de los acuerdos de fusión y escisión respecto de los contratos estatales suscritos por la sociedad reformada.</w:t>
      </w:r>
    </w:p>
    <w:p w14:paraId="6D09EFDB" w14:textId="77777777" w:rsidR="00044BD0" w:rsidRPr="00044BD0" w:rsidRDefault="00044BD0" w:rsidP="00044BD0">
      <w:pPr>
        <w:spacing w:after="0"/>
        <w:ind w:left="720"/>
        <w:contextualSpacing/>
        <w:jc w:val="both"/>
        <w:rPr>
          <w:rFonts w:ascii="Verdana" w:eastAsia="Calibri" w:hAnsi="Verdana" w:cs="Arial"/>
          <w:bCs/>
          <w:lang w:val="es-ES"/>
        </w:rPr>
      </w:pPr>
    </w:p>
    <w:p w14:paraId="31439B52" w14:textId="77777777" w:rsidR="00044BD0" w:rsidRPr="00044BD0" w:rsidRDefault="00044BD0" w:rsidP="00044BD0">
      <w:pPr>
        <w:numPr>
          <w:ilvl w:val="1"/>
          <w:numId w:val="17"/>
        </w:numPr>
        <w:spacing w:after="0"/>
        <w:contextualSpacing/>
        <w:jc w:val="both"/>
        <w:rPr>
          <w:rFonts w:ascii="Verdana" w:eastAsia="Calibri" w:hAnsi="Verdana" w:cs="Arial"/>
          <w:lang w:val="es-ES"/>
        </w:rPr>
      </w:pPr>
      <w:r w:rsidRPr="00044BD0">
        <w:rPr>
          <w:rFonts w:ascii="Verdana" w:eastAsia="Calibri" w:hAnsi="Verdana" w:cs="Arial"/>
          <w:i/>
          <w:iCs/>
          <w:lang w:val="es-ES"/>
        </w:rPr>
        <w:t>Transformación:</w:t>
      </w:r>
      <w:r w:rsidRPr="00044BD0">
        <w:rPr>
          <w:rFonts w:ascii="Verdana" w:eastAsia="Calibri" w:hAnsi="Verdana" w:cs="Arial"/>
          <w:b/>
          <w:bCs/>
          <w:lang w:val="es-ES"/>
        </w:rPr>
        <w:t xml:space="preserve"> </w:t>
      </w:r>
      <w:r w:rsidRPr="00044BD0">
        <w:rPr>
          <w:rFonts w:ascii="Verdana" w:eastAsia="Calibri" w:hAnsi="Verdana" w:cs="Arial"/>
          <w:lang w:val="es-ES"/>
        </w:rPr>
        <w:t xml:space="preserve">Es una reforma a los estatutos de una sociedad comercial, en la cual se detalla la naturaleza jurídica, composición, estructura, capital, entre otros, con el propósito de transformar o cambiar la forma o tipo societario que adoptó, como sociedad anónima, limitada, en comandita, etc. Es decir, si una sociedad se crea como sociedad de responsabilidad limitada y, sin </w:t>
      </w:r>
      <w:r w:rsidRPr="00044BD0">
        <w:rPr>
          <w:rFonts w:ascii="Verdana" w:eastAsia="Calibri" w:hAnsi="Verdana" w:cs="Arial"/>
          <w:i/>
          <w:iCs/>
          <w:lang w:val="es-ES"/>
        </w:rPr>
        <w:t>“disolverse”,</w:t>
      </w:r>
      <w:r w:rsidRPr="00044BD0">
        <w:rPr>
          <w:rFonts w:ascii="Verdana" w:eastAsia="Calibri" w:hAnsi="Verdana" w:cs="Arial"/>
          <w:lang w:val="es-ES"/>
        </w:rPr>
        <w:t xml:space="preserve"> decide adoptar la figura de sociedad anónima, lo podrá hacer mediante una reforma estatutaria, sin que se interrumpa la continuidad de la sociedad comercial o persona jurídica</w:t>
      </w:r>
      <w:r w:rsidRPr="00044BD0">
        <w:rPr>
          <w:rFonts w:ascii="Geomanist Light" w:hAnsi="Geomanist Light"/>
          <w:vertAlign w:val="superscript"/>
          <w:lang w:val="es-ES"/>
        </w:rPr>
        <w:footnoteReference w:id="10"/>
      </w:r>
      <w:r w:rsidRPr="00044BD0">
        <w:rPr>
          <w:rFonts w:ascii="Verdana" w:eastAsia="Calibri" w:hAnsi="Verdana" w:cs="Arial"/>
          <w:lang w:val="es-ES"/>
        </w:rPr>
        <w:t>. Es importante destacar que en esta reforma estatutaria solo participa la sociedad involucrada, y no existen otras sociedades que se relacionen o intervengan, lo cual diferencia la transformación de otras reformas o figuras.</w:t>
      </w:r>
    </w:p>
    <w:p w14:paraId="09AA6EE3" w14:textId="77777777" w:rsidR="00044BD0" w:rsidRPr="00044BD0" w:rsidRDefault="00044BD0" w:rsidP="00044BD0">
      <w:pPr>
        <w:spacing w:after="0"/>
        <w:ind w:left="1440"/>
        <w:contextualSpacing/>
        <w:jc w:val="both"/>
        <w:rPr>
          <w:rFonts w:ascii="Verdana" w:eastAsia="Calibri" w:hAnsi="Verdana" w:cs="Arial"/>
          <w:lang w:val="es-ES"/>
        </w:rPr>
      </w:pPr>
    </w:p>
    <w:p w14:paraId="6A6CA2A0" w14:textId="77777777" w:rsidR="00044BD0" w:rsidRPr="00044BD0" w:rsidRDefault="00044BD0" w:rsidP="00044BD0">
      <w:pPr>
        <w:numPr>
          <w:ilvl w:val="0"/>
          <w:numId w:val="17"/>
        </w:numPr>
        <w:spacing w:after="0"/>
        <w:contextualSpacing/>
        <w:jc w:val="both"/>
        <w:rPr>
          <w:rFonts w:ascii="Verdana" w:eastAsia="Calibri" w:hAnsi="Verdana" w:cs="Arial"/>
          <w:lang w:val="es-ES"/>
        </w:rPr>
      </w:pPr>
      <w:r w:rsidRPr="00044BD0">
        <w:rPr>
          <w:rFonts w:ascii="Verdana" w:eastAsia="Calibri" w:hAnsi="Verdana" w:cs="Arial"/>
          <w:lang w:val="es-ES"/>
        </w:rPr>
        <w:lastRenderedPageBreak/>
        <w:t xml:space="preserve">Respecto de la experiencia, teniendo en cuenta que la sociedad solo cambia su forma, lo cual, de acuerdo con el Código de Comercio, no afecta sus actividades, la sociedad continuará con la experiencia adquirida, ya que la misma es personal y mientras la persona jurídica exista la experiencia sigue vigente y puede incrementarse, siempre que la empresa continúe ejecutando contratos que le permitan aumentar el conocimiento en su objeto social. Esto se reafirma teniendo en cuenta que en la transformación la norma señala expresamente que la sociedad no se “disuelve” y, por ende, tampoco se “liquida”, porque, de acuerdo con el artículo 222 del Código de Comercio, para “liquidarse” necesita estar “disuelta”. De esta manera, solo cambia el tipo societario que había adoptado en su constitución, es decir, no sufre modificaciones o alteraciones y por eso puede continuar adquiriendo experiencia y compartirla, pero no puede trasladarla, porque para ello tendría que “disolverse” –o conformar un consorcio–, como se verá en la fusión y en una de las modalidades de escisión.  </w:t>
      </w:r>
    </w:p>
    <w:p w14:paraId="64A7BBC0" w14:textId="77777777" w:rsidR="00044BD0" w:rsidRPr="00044BD0" w:rsidRDefault="00044BD0" w:rsidP="00044BD0">
      <w:pPr>
        <w:spacing w:after="0"/>
        <w:ind w:left="720"/>
        <w:contextualSpacing/>
        <w:jc w:val="both"/>
        <w:rPr>
          <w:rFonts w:ascii="Verdana" w:eastAsia="Calibri" w:hAnsi="Verdana" w:cs="Arial"/>
          <w:lang w:val="es-ES"/>
        </w:rPr>
      </w:pPr>
    </w:p>
    <w:p w14:paraId="11DA969C" w14:textId="77777777" w:rsidR="00044BD0" w:rsidRPr="00044BD0" w:rsidRDefault="00044BD0" w:rsidP="00044BD0">
      <w:pPr>
        <w:numPr>
          <w:ilvl w:val="1"/>
          <w:numId w:val="17"/>
        </w:numPr>
        <w:spacing w:after="0"/>
        <w:contextualSpacing/>
        <w:jc w:val="both"/>
        <w:rPr>
          <w:rFonts w:ascii="Verdana" w:eastAsia="Calibri" w:hAnsi="Verdana" w:cs="Arial"/>
          <w:lang w:val="es-ES"/>
        </w:rPr>
      </w:pPr>
      <w:r w:rsidRPr="00044BD0">
        <w:rPr>
          <w:rFonts w:ascii="Verdana" w:eastAsia="Calibri" w:hAnsi="Verdana" w:cs="Arial"/>
          <w:i/>
          <w:iCs/>
          <w:lang w:val="es-ES"/>
        </w:rPr>
        <w:t>Escisión:</w:t>
      </w:r>
      <w:r w:rsidRPr="00044BD0">
        <w:rPr>
          <w:rFonts w:ascii="Verdana" w:eastAsia="Calibri" w:hAnsi="Verdana" w:cs="Arial"/>
          <w:b/>
          <w:bCs/>
          <w:lang w:val="es-ES"/>
        </w:rPr>
        <w:t xml:space="preserve"> </w:t>
      </w:r>
      <w:r w:rsidRPr="00044BD0">
        <w:rPr>
          <w:rFonts w:ascii="Verdana" w:eastAsia="Calibri" w:hAnsi="Verdana" w:cs="Arial"/>
          <w:lang w:val="es-ES"/>
        </w:rPr>
        <w:t xml:space="preserve">Es una figura con dos modalidades reguladas entre los artículos 3 y 11 de la Ley 222 de 1995. La primera modalidad conocida como </w:t>
      </w:r>
      <w:r w:rsidRPr="00044BD0">
        <w:rPr>
          <w:rFonts w:ascii="Verdana" w:eastAsia="Calibri" w:hAnsi="Verdana" w:cs="Arial"/>
          <w:i/>
          <w:iCs/>
          <w:lang w:val="es-ES"/>
        </w:rPr>
        <w:t>escisión parcial</w:t>
      </w:r>
      <w:r w:rsidRPr="00044BD0">
        <w:rPr>
          <w:rFonts w:ascii="Verdana" w:eastAsia="Calibri" w:hAnsi="Verdana" w:cs="Arial"/>
          <w:lang w:val="es-ES"/>
        </w:rPr>
        <w:t xml:space="preserve">, regulada por el numeral 1 del artículo 3 de la referida ley, se refiere acuerdos en el marco de los cuales la sociedad escindente no se </w:t>
      </w:r>
      <w:r w:rsidRPr="00044BD0">
        <w:rPr>
          <w:rFonts w:ascii="Verdana" w:eastAsia="Calibri" w:hAnsi="Verdana" w:cs="Arial"/>
          <w:i/>
          <w:iCs/>
          <w:lang w:val="es-ES"/>
        </w:rPr>
        <w:t>“disuelve”</w:t>
      </w:r>
      <w:r w:rsidRPr="00044BD0">
        <w:rPr>
          <w:rFonts w:ascii="Verdana" w:eastAsia="Calibri" w:hAnsi="Verdana" w:cs="Arial"/>
          <w:lang w:val="es-ES"/>
        </w:rPr>
        <w:t xml:space="preserve"> ni se </w:t>
      </w:r>
      <w:r w:rsidRPr="00044BD0">
        <w:rPr>
          <w:rFonts w:ascii="Verdana" w:eastAsia="Calibri" w:hAnsi="Verdana" w:cs="Arial"/>
          <w:i/>
          <w:iCs/>
          <w:lang w:val="es-ES"/>
        </w:rPr>
        <w:t>“liquida”</w:t>
      </w:r>
      <w:r w:rsidRPr="00044BD0">
        <w:rPr>
          <w:rFonts w:ascii="Verdana" w:eastAsia="Calibri" w:hAnsi="Verdana" w:cs="Arial"/>
          <w:lang w:val="es-ES"/>
        </w:rPr>
        <w:t xml:space="preserve">, es decir, permanece sin modificaciones ni reformas, pero fracciona su patrimonio para transferir una o varias partes, a una o varias sociedades existentes o por crearse. En este caso, la escisión se refiere al patrimonio de la sociedad sin incluir ningún otro aspecto, lo cual significa que la sociedad continúa con un patrimonio reducido debido al fraccionamiento, pero no existe ninguna otra implicación para la persona jurídica, como su desaparición por </w:t>
      </w:r>
      <w:r w:rsidRPr="00044BD0">
        <w:rPr>
          <w:rFonts w:ascii="Verdana" w:eastAsia="Calibri" w:hAnsi="Verdana" w:cs="Arial"/>
          <w:i/>
          <w:iCs/>
          <w:lang w:val="es-ES"/>
        </w:rPr>
        <w:t>“disolverse”</w:t>
      </w:r>
      <w:r w:rsidRPr="00044BD0">
        <w:rPr>
          <w:rFonts w:ascii="Verdana" w:eastAsia="Calibri" w:hAnsi="Verdana" w:cs="Arial"/>
          <w:lang w:val="es-ES"/>
        </w:rPr>
        <w:t xml:space="preserve"> o </w:t>
      </w:r>
      <w:r w:rsidRPr="00044BD0">
        <w:rPr>
          <w:rFonts w:ascii="Verdana" w:eastAsia="Calibri" w:hAnsi="Verdana" w:cs="Arial"/>
          <w:i/>
          <w:iCs/>
          <w:lang w:val="es-ES"/>
        </w:rPr>
        <w:t>“liquidarse”</w:t>
      </w:r>
      <w:r w:rsidRPr="00044BD0">
        <w:rPr>
          <w:rFonts w:ascii="Verdana" w:eastAsia="Calibri" w:hAnsi="Verdana" w:cs="Arial"/>
          <w:lang w:val="es-ES"/>
        </w:rPr>
        <w:t xml:space="preserve">, de acuerdo con lo mencionado sobre estos conceptos. En ese sentido, las sociedades que reciben una parte del patrimonio de una sociedad que continúa existiendo, no reciben su experiencia, ya que no es posible que varias sociedades tengan la misma experiencia, duplicándola tantas veces se haya fraccionado el patrimonio, porque la experiencia pertenece a quien la adquirió ejecutando los contratos a su cargo. </w:t>
      </w:r>
    </w:p>
    <w:p w14:paraId="09D09AB1" w14:textId="77777777" w:rsidR="00044BD0" w:rsidRPr="00044BD0" w:rsidRDefault="00044BD0" w:rsidP="00044BD0">
      <w:pPr>
        <w:spacing w:after="0"/>
        <w:ind w:left="1440"/>
        <w:contextualSpacing/>
        <w:jc w:val="both"/>
        <w:rPr>
          <w:rFonts w:ascii="Verdana" w:eastAsia="Calibri" w:hAnsi="Verdana" w:cs="Arial"/>
          <w:lang w:val="es-ES"/>
        </w:rPr>
      </w:pPr>
    </w:p>
    <w:p w14:paraId="22CB3EBC" w14:textId="77777777" w:rsidR="00044BD0" w:rsidRPr="00044BD0" w:rsidRDefault="00044BD0" w:rsidP="00044BD0">
      <w:pPr>
        <w:numPr>
          <w:ilvl w:val="0"/>
          <w:numId w:val="17"/>
        </w:numPr>
        <w:spacing w:after="0"/>
        <w:contextualSpacing/>
        <w:jc w:val="both"/>
        <w:rPr>
          <w:rFonts w:ascii="Verdana" w:eastAsia="Calibri" w:hAnsi="Verdana" w:cs="Arial"/>
          <w:lang w:val="es-ES"/>
        </w:rPr>
      </w:pPr>
      <w:r w:rsidRPr="00044BD0">
        <w:rPr>
          <w:rFonts w:ascii="Verdana" w:eastAsia="Calibri" w:hAnsi="Verdana" w:cs="Arial"/>
          <w:lang w:val="es-ES"/>
        </w:rPr>
        <w:t xml:space="preserve">La segunda modalidad, estipulada en el numeral 2 del artículo 3 de la Ley 222 de 1995, conocida como </w:t>
      </w:r>
      <w:r w:rsidRPr="00044BD0">
        <w:rPr>
          <w:rFonts w:ascii="Verdana" w:eastAsia="Calibri" w:hAnsi="Verdana" w:cs="Arial"/>
          <w:i/>
          <w:iCs/>
          <w:lang w:val="es-ES"/>
        </w:rPr>
        <w:t>escisión total</w:t>
      </w:r>
      <w:r w:rsidRPr="00044BD0">
        <w:rPr>
          <w:rFonts w:ascii="Verdana" w:eastAsia="Calibri" w:hAnsi="Verdana" w:cs="Arial"/>
          <w:lang w:val="es-ES"/>
        </w:rPr>
        <w:t xml:space="preserve"> se refiere a un acuerdo en el marco del cual una sociedad se </w:t>
      </w:r>
      <w:r w:rsidRPr="00044BD0">
        <w:rPr>
          <w:rFonts w:ascii="Verdana" w:eastAsia="Calibri" w:hAnsi="Verdana" w:cs="Arial"/>
          <w:i/>
          <w:iCs/>
          <w:lang w:val="es-ES"/>
        </w:rPr>
        <w:t>“disuelve”</w:t>
      </w:r>
      <w:r w:rsidRPr="00044BD0">
        <w:rPr>
          <w:rFonts w:ascii="Verdana" w:eastAsia="Calibri" w:hAnsi="Verdana" w:cs="Arial"/>
          <w:lang w:val="es-ES"/>
        </w:rPr>
        <w:t xml:space="preserve"> sin </w:t>
      </w:r>
      <w:r w:rsidRPr="00044BD0">
        <w:rPr>
          <w:rFonts w:ascii="Verdana" w:eastAsia="Calibri" w:hAnsi="Verdana" w:cs="Arial"/>
          <w:i/>
          <w:iCs/>
          <w:lang w:val="es-ES"/>
        </w:rPr>
        <w:t>“liquidarse”</w:t>
      </w:r>
      <w:r w:rsidRPr="00044BD0">
        <w:rPr>
          <w:rFonts w:ascii="Verdana" w:eastAsia="Calibri" w:hAnsi="Verdana" w:cs="Arial"/>
          <w:lang w:val="es-ES"/>
        </w:rPr>
        <w:t xml:space="preserve">, lo que supone una reforma social –lo cual no ocurre con la primera modalidad–, que </w:t>
      </w:r>
      <w:r w:rsidRPr="00044BD0">
        <w:rPr>
          <w:rFonts w:ascii="Verdana" w:eastAsia="Calibri" w:hAnsi="Verdana" w:cs="Arial"/>
          <w:lang w:val="es-ES"/>
        </w:rPr>
        <w:lastRenderedPageBreak/>
        <w:t>implica un fraccionamiento del patrimonio con el mismo fin</w:t>
      </w:r>
      <w:r w:rsidRPr="00044BD0">
        <w:rPr>
          <w:rFonts w:ascii="Geomanist Light" w:hAnsi="Geomanist Light"/>
          <w:vertAlign w:val="superscript"/>
          <w:lang w:val="es-ES"/>
        </w:rPr>
        <w:footnoteReference w:id="11"/>
      </w:r>
      <w:r w:rsidRPr="00044BD0">
        <w:rPr>
          <w:rFonts w:ascii="Verdana" w:eastAsia="Calibri" w:hAnsi="Verdana" w:cs="Arial"/>
          <w:lang w:val="es-ES"/>
        </w:rPr>
        <w:t xml:space="preserve">. Como se observa, participa una sociedad y otra, u otras, que reciben el patrimonio de la sociedad disuelta. </w:t>
      </w:r>
    </w:p>
    <w:p w14:paraId="6A32823E" w14:textId="77777777" w:rsidR="00044BD0" w:rsidRPr="00044BD0" w:rsidRDefault="00044BD0" w:rsidP="00044BD0">
      <w:pPr>
        <w:spacing w:before="120" w:after="0"/>
        <w:ind w:left="720"/>
        <w:contextualSpacing/>
        <w:jc w:val="both"/>
        <w:rPr>
          <w:rFonts w:ascii="Verdana" w:eastAsia="Calibri" w:hAnsi="Verdana" w:cs="Arial"/>
          <w:lang w:val="es-ES"/>
        </w:rPr>
      </w:pPr>
    </w:p>
    <w:p w14:paraId="2EBB7D76" w14:textId="77777777" w:rsidR="00044BD0" w:rsidRPr="00044BD0" w:rsidRDefault="00044BD0" w:rsidP="00044BD0">
      <w:pPr>
        <w:numPr>
          <w:ilvl w:val="0"/>
          <w:numId w:val="17"/>
        </w:numPr>
        <w:spacing w:before="120" w:after="0"/>
        <w:contextualSpacing/>
        <w:jc w:val="both"/>
        <w:rPr>
          <w:rFonts w:ascii="Verdana" w:eastAsia="Calibri" w:hAnsi="Verdana" w:cs="Arial"/>
          <w:lang w:val="es-ES"/>
        </w:rPr>
      </w:pPr>
      <w:r w:rsidRPr="00044BD0">
        <w:rPr>
          <w:rFonts w:ascii="Verdana" w:eastAsia="Calibri" w:hAnsi="Verdana" w:cs="Arial"/>
          <w:lang w:val="es-ES"/>
        </w:rPr>
        <w:t xml:space="preserve">Para la primera modalidad de escisión, teniendo en cuenta que la sociedad continúa sin alteraciones, se estima que ésta bien podría compartir la experiencia a través de esquemas asociativos–consorcios y/o uniones temporales–, pero no transferirla a las sociedades beneficiarias de la transferencia patrimonial producto de la escisión. Esto obedece a que en la modalidad de escisión parcial la sociedad escindente no se disuelve, sino que, únicamente, fracciona una parte de su patrimonio en favor otras sociedades, lo que significa que la persona jurídica continúa por sí misma ejerciendo su objeto social, por lo que puede seguir adquiriendo experiencia, pero no transferirla porque le pertenece, al ser quien la adquirió, dado el carácter personal de la experiencia.  </w:t>
      </w:r>
    </w:p>
    <w:p w14:paraId="69C8D1C9" w14:textId="77777777" w:rsidR="00044BD0" w:rsidRPr="00044BD0" w:rsidRDefault="00044BD0" w:rsidP="00044BD0">
      <w:pPr>
        <w:spacing w:before="120" w:after="0"/>
        <w:ind w:left="720"/>
        <w:contextualSpacing/>
        <w:jc w:val="both"/>
        <w:rPr>
          <w:rFonts w:ascii="Verdana" w:eastAsia="Calibri" w:hAnsi="Verdana" w:cs="Arial"/>
          <w:lang w:val="es-ES"/>
        </w:rPr>
      </w:pPr>
    </w:p>
    <w:p w14:paraId="5824F584" w14:textId="77777777" w:rsidR="00044BD0" w:rsidRPr="00044BD0" w:rsidRDefault="00044BD0" w:rsidP="00044BD0">
      <w:pPr>
        <w:numPr>
          <w:ilvl w:val="0"/>
          <w:numId w:val="17"/>
        </w:numPr>
        <w:spacing w:before="120" w:after="0"/>
        <w:contextualSpacing/>
        <w:jc w:val="both"/>
        <w:rPr>
          <w:rFonts w:ascii="Verdana" w:eastAsia="Calibri" w:hAnsi="Verdana" w:cs="Arial"/>
          <w:lang w:val="es-ES"/>
        </w:rPr>
      </w:pPr>
      <w:r w:rsidRPr="00044BD0">
        <w:rPr>
          <w:rFonts w:ascii="Verdana" w:eastAsia="Calibri" w:hAnsi="Verdana" w:cs="Arial"/>
          <w:lang w:val="es-ES"/>
        </w:rPr>
        <w:t xml:space="preserve">Por otro lado, a pesar de que en la segunda modalidad existe “disolución”, no hay transferencia de la experiencia porque la persona jurídica fraccionada deja de ser quien es y desaparece, quedando dividida en varias sociedades nuevas o existentes que reciben su patrimonio, sin que sea posible determinar cuál de todas las sociedades que recibieron parte del patrimonio de la sociedad escindida tiene la experiencia. Tampoco es posible que todas las sociedades que recibieron el patrimonio acrediten la misma experiencia multiplicándola tantas veces sea necesario, porque la experiencia es de quien la adquirió y como esa persona jurídica no puede continuar en otra persona, porque desapareció, quedando fraccionada en dos o más partes, esto no corresponde con la definición de experiencia personal ni de transferencia de experiencia, donde la persona jurídica sigue siendo quien es a través de otra, sin cambios como fraccionamientos que implican que la persona ya no sea quien era y desaparezca. </w:t>
      </w:r>
    </w:p>
    <w:p w14:paraId="1CEBBF91" w14:textId="77777777" w:rsidR="00044BD0" w:rsidRPr="00044BD0" w:rsidRDefault="00044BD0" w:rsidP="00044BD0">
      <w:pPr>
        <w:spacing w:before="120" w:after="0"/>
        <w:ind w:left="720"/>
        <w:contextualSpacing/>
        <w:jc w:val="both"/>
        <w:rPr>
          <w:rFonts w:ascii="Verdana" w:eastAsia="Calibri" w:hAnsi="Verdana" w:cs="Arial"/>
          <w:lang w:val="es-ES"/>
        </w:rPr>
      </w:pPr>
    </w:p>
    <w:p w14:paraId="1B20E5C2" w14:textId="77777777" w:rsidR="00044BD0" w:rsidRPr="00044BD0" w:rsidRDefault="00044BD0" w:rsidP="00044BD0">
      <w:pPr>
        <w:numPr>
          <w:ilvl w:val="0"/>
          <w:numId w:val="17"/>
        </w:numPr>
        <w:spacing w:before="120" w:after="0"/>
        <w:contextualSpacing/>
        <w:jc w:val="both"/>
        <w:rPr>
          <w:rFonts w:ascii="Verdana" w:eastAsia="Calibri" w:hAnsi="Verdana" w:cs="Arial"/>
          <w:lang w:val="es-ES"/>
        </w:rPr>
      </w:pPr>
      <w:r w:rsidRPr="00044BD0">
        <w:rPr>
          <w:rFonts w:ascii="Verdana" w:eastAsia="Calibri" w:hAnsi="Verdana" w:cs="Arial"/>
          <w:lang w:val="es-ES"/>
        </w:rPr>
        <w:t xml:space="preserve">Pero en la fusión, como se verá, a pesar de que la sociedad está </w:t>
      </w:r>
      <w:r w:rsidRPr="00044BD0">
        <w:rPr>
          <w:rFonts w:ascii="Verdana" w:eastAsia="Calibri" w:hAnsi="Verdana" w:cs="Arial"/>
          <w:i/>
          <w:iCs/>
          <w:lang w:val="es-ES"/>
        </w:rPr>
        <w:t>“disuelta”</w:t>
      </w:r>
      <w:r w:rsidRPr="00044BD0">
        <w:rPr>
          <w:rFonts w:ascii="Verdana" w:eastAsia="Calibri" w:hAnsi="Verdana" w:cs="Arial"/>
          <w:lang w:val="es-ES"/>
        </w:rPr>
        <w:t xml:space="preserve"> y debería </w:t>
      </w:r>
      <w:r w:rsidRPr="00044BD0">
        <w:rPr>
          <w:rFonts w:ascii="Verdana" w:eastAsia="Calibri" w:hAnsi="Verdana" w:cs="Arial"/>
          <w:i/>
          <w:iCs/>
          <w:lang w:val="es-ES"/>
        </w:rPr>
        <w:t xml:space="preserve">“liquidarse” </w:t>
      </w:r>
      <w:r w:rsidRPr="00044BD0">
        <w:rPr>
          <w:rFonts w:ascii="Verdana" w:eastAsia="Calibri" w:hAnsi="Verdana" w:cs="Arial"/>
          <w:lang w:val="es-ES"/>
        </w:rPr>
        <w:t xml:space="preserve">para desaparecer, la ley permite que no desaparezca y tenga continuidad convertida en otra sociedad, por lo que, por expresa disposición legal, la sociedad puede no “liquidarse”, sino continuar a través de otra sociedad, porque así lo dispuso el legislador. </w:t>
      </w:r>
      <w:r w:rsidRPr="00044BD0">
        <w:rPr>
          <w:rFonts w:ascii="Verdana" w:eastAsia="Calibri" w:hAnsi="Verdana" w:cs="Arial"/>
          <w:lang w:val="es-ES"/>
        </w:rPr>
        <w:lastRenderedPageBreak/>
        <w:t>Esto implica que se traslada la experiencia y no se comparte, porque compartir implica que siga existiendo como una persona individualmente considerada, pero como continúa a través de otra, lo que sucede es la transferencia de la experiencia.</w:t>
      </w:r>
    </w:p>
    <w:p w14:paraId="581B1346" w14:textId="77777777" w:rsidR="00044BD0" w:rsidRPr="00044BD0" w:rsidRDefault="00044BD0" w:rsidP="00044BD0">
      <w:pPr>
        <w:ind w:left="720"/>
        <w:contextualSpacing/>
        <w:rPr>
          <w:rFonts w:ascii="Verdana" w:eastAsia="Calibri" w:hAnsi="Verdana" w:cs="Arial"/>
          <w:lang w:val="es-ES"/>
        </w:rPr>
      </w:pPr>
    </w:p>
    <w:p w14:paraId="21BF4F6E" w14:textId="77777777" w:rsidR="00044BD0" w:rsidRPr="00044BD0" w:rsidRDefault="00044BD0" w:rsidP="00044BD0">
      <w:pPr>
        <w:numPr>
          <w:ilvl w:val="1"/>
          <w:numId w:val="17"/>
        </w:numPr>
        <w:spacing w:after="0"/>
        <w:contextualSpacing/>
        <w:jc w:val="both"/>
        <w:rPr>
          <w:rFonts w:ascii="Verdana" w:eastAsia="Calibri" w:hAnsi="Verdana" w:cs="Arial"/>
          <w:lang w:val="es-ES"/>
        </w:rPr>
      </w:pPr>
      <w:r w:rsidRPr="00044BD0">
        <w:rPr>
          <w:rFonts w:ascii="Verdana" w:eastAsia="Calibri" w:hAnsi="Verdana" w:cs="Arial"/>
          <w:i/>
          <w:iCs/>
          <w:lang w:val="es-ES"/>
        </w:rPr>
        <w:t>Fusión:</w:t>
      </w:r>
      <w:r w:rsidRPr="00044BD0">
        <w:rPr>
          <w:rFonts w:ascii="Verdana" w:eastAsia="Calibri" w:hAnsi="Verdana" w:cs="Arial"/>
          <w:b/>
          <w:bCs/>
          <w:lang w:val="es-ES"/>
        </w:rPr>
        <w:t xml:space="preserve"> </w:t>
      </w:r>
      <w:r w:rsidRPr="00044BD0">
        <w:rPr>
          <w:rFonts w:ascii="Verdana" w:eastAsia="Calibri" w:hAnsi="Verdana" w:cs="Arial"/>
          <w:lang w:val="es-ES"/>
        </w:rPr>
        <w:t>Es una figura tiene cuatro tipologías a saber: i) por absorción: una o más sociedades se “disuelven” sin “liquidarse” para ser absorbidas por otra existente; ii) por creación: una o más sociedades se “disuelven” sin “liquidarse” para ser absorbidas por otra nueva</w:t>
      </w:r>
      <w:r w:rsidRPr="00044BD0">
        <w:rPr>
          <w:rFonts w:ascii="Geomanist Light" w:hAnsi="Geomanist Light"/>
          <w:vertAlign w:val="superscript"/>
          <w:lang w:val="es-ES"/>
        </w:rPr>
        <w:footnoteReference w:id="12"/>
      </w:r>
      <w:r w:rsidRPr="00044BD0">
        <w:rPr>
          <w:rFonts w:ascii="Verdana" w:eastAsia="Calibri" w:hAnsi="Verdana" w:cs="Arial"/>
          <w:lang w:val="es-ES"/>
        </w:rPr>
        <w:t>; iii) impropia: una sociedad se “disuelve” sin el propósito de realizar una fusión sino de “liquidarse” y antes de la liquidación se toma la decisión de crear una sociedad</w:t>
      </w:r>
      <w:r w:rsidRPr="00044BD0">
        <w:rPr>
          <w:rFonts w:ascii="Geomanist Light" w:hAnsi="Geomanist Light"/>
          <w:vertAlign w:val="superscript"/>
          <w:lang w:val="es-ES"/>
        </w:rPr>
        <w:footnoteReference w:id="13"/>
      </w:r>
      <w:r w:rsidRPr="00044BD0">
        <w:rPr>
          <w:rFonts w:ascii="Verdana" w:eastAsia="Calibri" w:hAnsi="Verdana" w:cs="Arial"/>
          <w:lang w:val="es-ES"/>
        </w:rPr>
        <w:t>; iv) abreviada: solo aplica cuando una Sociedad por Acciones Simplificada (S.A.S.) pertenece a otra sociedad en más del 90% de sus acciones, y es posible que esa sociedad controlante absorba a la S.A.S, es decir, que ocurra una fusión por absorción</w:t>
      </w:r>
      <w:r w:rsidRPr="00044BD0">
        <w:rPr>
          <w:rFonts w:ascii="Geomanist Light" w:hAnsi="Geomanist Light"/>
          <w:vertAlign w:val="superscript"/>
          <w:lang w:val="es-ES"/>
        </w:rPr>
        <w:footnoteReference w:id="14"/>
      </w:r>
      <w:r w:rsidRPr="00044BD0">
        <w:rPr>
          <w:rFonts w:ascii="Verdana" w:eastAsia="Calibri" w:hAnsi="Verdana" w:cs="Arial"/>
          <w:lang w:val="es-ES"/>
        </w:rPr>
        <w:t>. La norma no se refiere a la “disolución de la S.A.S”, lo cual no implica que no exista fusión, sino que es abreviada porque no se requiere configurar el estado de “disolución” de la sociedad.</w:t>
      </w:r>
    </w:p>
    <w:p w14:paraId="4356F11F" w14:textId="77777777" w:rsidR="00044BD0" w:rsidRPr="00044BD0" w:rsidRDefault="00044BD0" w:rsidP="00044BD0">
      <w:pPr>
        <w:spacing w:before="120" w:after="0"/>
        <w:ind w:left="720"/>
        <w:contextualSpacing/>
        <w:jc w:val="both"/>
        <w:rPr>
          <w:rFonts w:ascii="Verdana" w:eastAsia="Calibri" w:hAnsi="Verdana" w:cs="Arial"/>
          <w:bCs/>
          <w:lang w:val="es-ES"/>
        </w:rPr>
      </w:pPr>
      <w:bookmarkStart w:id="10" w:name="_Hlk77271644"/>
    </w:p>
    <w:p w14:paraId="796D1B02" w14:textId="77777777" w:rsidR="00044BD0" w:rsidRPr="00044BD0" w:rsidRDefault="00044BD0" w:rsidP="00044BD0">
      <w:pPr>
        <w:numPr>
          <w:ilvl w:val="0"/>
          <w:numId w:val="17"/>
        </w:numPr>
        <w:spacing w:before="120" w:after="0"/>
        <w:contextualSpacing/>
        <w:jc w:val="both"/>
        <w:rPr>
          <w:rFonts w:ascii="Verdana" w:eastAsia="Calibri" w:hAnsi="Verdana" w:cs="Arial"/>
          <w:bCs/>
          <w:lang w:val="es-ES"/>
        </w:rPr>
      </w:pPr>
      <w:r w:rsidRPr="00044BD0">
        <w:rPr>
          <w:rFonts w:ascii="Verdana" w:eastAsia="Calibri" w:hAnsi="Verdana" w:cs="Arial"/>
          <w:bCs/>
          <w:lang w:val="es-ES"/>
        </w:rPr>
        <w:t xml:space="preserve">Para analizar la fusión y sus efectos respecto de la experiencia de la sociedad que se </w:t>
      </w:r>
      <w:r w:rsidRPr="00044BD0">
        <w:rPr>
          <w:rFonts w:ascii="Verdana" w:eastAsia="Calibri" w:hAnsi="Verdana" w:cs="Arial"/>
          <w:lang w:val="es-ES"/>
        </w:rPr>
        <w:t>“</w:t>
      </w:r>
      <w:r w:rsidRPr="00044BD0">
        <w:rPr>
          <w:rFonts w:ascii="Verdana" w:eastAsia="Calibri" w:hAnsi="Verdana" w:cs="Arial"/>
          <w:bCs/>
          <w:lang w:val="es-ES"/>
        </w:rPr>
        <w:t xml:space="preserve">disuelve” pero no se </w:t>
      </w:r>
      <w:r w:rsidRPr="00044BD0">
        <w:rPr>
          <w:rFonts w:ascii="Verdana" w:eastAsia="Calibri" w:hAnsi="Verdana" w:cs="Arial"/>
          <w:lang w:val="es-ES"/>
        </w:rPr>
        <w:t>“l</w:t>
      </w:r>
      <w:r w:rsidRPr="00044BD0">
        <w:rPr>
          <w:rFonts w:ascii="Verdana" w:eastAsia="Calibri" w:hAnsi="Verdana" w:cs="Arial"/>
          <w:bCs/>
          <w:lang w:val="es-ES"/>
        </w:rPr>
        <w:t xml:space="preserve">iquida”, es necesario reiterar la explicación dada respecto de la segunda modalidad de escisión, y es que siempre que la sociedad no se liquide, es decir, que no desaparezca, la experiencia puede ser trasladada y no compartida. Lo anterior, toda vez que la trasferencia ocurre porque la persona jurídica continúa a través de otra, esto es, deja de ser quien es, pero no desaparece porque otra sociedad se convierte en ella, ya sea una sociedad nueva, cuando es fusión por creación; o una sociedad existente, en la fusión por absorción. La experiencia no se comparte, porque para esto la sociedad debería continuar individualmente considerada, pero en este evento continúa a través de otra, a quien le </w:t>
      </w:r>
      <w:r w:rsidRPr="00044BD0">
        <w:rPr>
          <w:rFonts w:ascii="Verdana" w:eastAsia="Calibri" w:hAnsi="Verdana" w:cs="Arial"/>
          <w:bCs/>
          <w:i/>
          <w:iCs/>
          <w:lang w:val="es-ES"/>
        </w:rPr>
        <w:t>transfiere</w:t>
      </w:r>
      <w:r w:rsidRPr="00044BD0">
        <w:rPr>
          <w:rFonts w:ascii="Verdana" w:eastAsia="Calibri" w:hAnsi="Verdana" w:cs="Arial"/>
          <w:bCs/>
          <w:lang w:val="es-ES"/>
        </w:rPr>
        <w:t xml:space="preserve"> su experiencia y todos sus derechos </w:t>
      </w:r>
      <w:r w:rsidRPr="00044BD0">
        <w:rPr>
          <w:rFonts w:ascii="Verdana" w:eastAsia="Calibri" w:hAnsi="Verdana" w:cs="Arial"/>
          <w:bCs/>
          <w:lang w:val="es-ES"/>
        </w:rPr>
        <w:lastRenderedPageBreak/>
        <w:t>y obligaciones, de conformidad con el artículo 172 y siguientes del Código de Comercio.</w:t>
      </w:r>
    </w:p>
    <w:bookmarkEnd w:id="10"/>
    <w:p w14:paraId="69B21961" w14:textId="77777777" w:rsidR="00044BD0" w:rsidRPr="00044BD0" w:rsidRDefault="00044BD0" w:rsidP="00044BD0">
      <w:pPr>
        <w:spacing w:before="120" w:after="0"/>
        <w:ind w:left="720"/>
        <w:contextualSpacing/>
        <w:jc w:val="both"/>
        <w:rPr>
          <w:rFonts w:ascii="Verdana" w:eastAsia="Calibri" w:hAnsi="Verdana" w:cs="Arial"/>
          <w:bCs/>
          <w:lang w:val="es-ES"/>
        </w:rPr>
      </w:pPr>
    </w:p>
    <w:p w14:paraId="70848F9A" w14:textId="77777777" w:rsidR="00044BD0" w:rsidRPr="00044BD0" w:rsidRDefault="00044BD0" w:rsidP="00044BD0">
      <w:pPr>
        <w:numPr>
          <w:ilvl w:val="0"/>
          <w:numId w:val="17"/>
        </w:numPr>
        <w:spacing w:before="120" w:after="0"/>
        <w:contextualSpacing/>
        <w:jc w:val="both"/>
        <w:rPr>
          <w:rFonts w:ascii="Verdana" w:eastAsia="Calibri" w:hAnsi="Verdana" w:cs="Arial"/>
          <w:bCs/>
          <w:lang w:val="es-ES"/>
        </w:rPr>
      </w:pPr>
      <w:r w:rsidRPr="00044BD0">
        <w:rPr>
          <w:rFonts w:ascii="Verdana" w:eastAsia="Calibri" w:hAnsi="Verdana" w:cs="Arial"/>
          <w:bCs/>
          <w:lang w:val="es-ES"/>
        </w:rPr>
        <w:t>La anterior conclusión es coherente con lo establecido en la “</w:t>
      </w:r>
      <w:r w:rsidRPr="00044BD0">
        <w:rPr>
          <w:rFonts w:ascii="Verdana" w:eastAsia="Calibri" w:hAnsi="Verdana" w:cs="Arial"/>
          <w:bCs/>
          <w:i/>
          <w:iCs/>
          <w:lang w:val="es-ES"/>
        </w:rPr>
        <w:t>Guía de Asuntos Corporativos en los Procesos de Contratación”,</w:t>
      </w:r>
      <w:r w:rsidRPr="00044BD0">
        <w:rPr>
          <w:rFonts w:ascii="Verdana" w:eastAsia="Calibri" w:hAnsi="Verdana" w:cs="Arial"/>
          <w:bCs/>
          <w:lang w:val="es-ES"/>
        </w:rPr>
        <w:t xml:space="preserve"> expedida por la Agencia Nacional de Contratación Pública – Colombia Compra Eficiente, pues en ella se dice que </w:t>
      </w:r>
      <w:r w:rsidRPr="00044BD0">
        <w:rPr>
          <w:rFonts w:ascii="Verdana" w:eastAsia="Calibri" w:hAnsi="Verdana" w:cs="Arial"/>
          <w:bCs/>
          <w:i/>
          <w:iCs/>
          <w:lang w:val="es-ES"/>
        </w:rPr>
        <w:t>“La experiencia de las personas jurídicas es de carácter personal y en principio es intransferible. Por lo tanto, no es posible trasladar la experiencia de un proponente a otro en eventos de escisión o liquidación de una persona jurídica, ni que la experiencia sea enajenada por una persona jurídica en favor de otra persona jurídica o natural”</w:t>
      </w:r>
      <w:r w:rsidRPr="00044BD0">
        <w:rPr>
          <w:rFonts w:ascii="Verdana" w:eastAsia="Calibri" w:hAnsi="Verdana" w:cs="Arial"/>
          <w:bCs/>
          <w:lang w:val="es-ES"/>
        </w:rPr>
        <w:t xml:space="preserve">. Obsérvese que la Guía no establece que la experiencia es </w:t>
      </w:r>
      <w:r w:rsidRPr="00044BD0">
        <w:rPr>
          <w:rFonts w:ascii="Verdana" w:eastAsia="Calibri" w:hAnsi="Verdana" w:cs="Arial"/>
          <w:bCs/>
          <w:i/>
          <w:iCs/>
          <w:lang w:val="es-ES"/>
        </w:rPr>
        <w:t>“siempre”</w:t>
      </w:r>
      <w:r w:rsidRPr="00044BD0">
        <w:rPr>
          <w:rFonts w:ascii="Verdana" w:eastAsia="Calibri" w:hAnsi="Verdana" w:cs="Arial"/>
          <w:bCs/>
          <w:lang w:val="es-ES"/>
        </w:rPr>
        <w:t xml:space="preserve"> intransferible, sino que sostiene que ello es así “en principio”. Además, precisa que no es posible transferir la experiencia en la escisión y en la liquidación, justamente porque en esos casos la persona jurídica desaparece, lo que no sucede en la fusión. Es decir que en este supuesto sí es posible la transferencia de la experiencia de la sociedad fusionada a la resultante. </w:t>
      </w:r>
    </w:p>
    <w:p w14:paraId="28860055" w14:textId="77777777" w:rsidR="00044BD0" w:rsidRPr="00044BD0" w:rsidRDefault="00044BD0" w:rsidP="00044BD0">
      <w:pPr>
        <w:spacing w:before="120" w:after="0"/>
        <w:ind w:left="720"/>
        <w:contextualSpacing/>
        <w:jc w:val="both"/>
        <w:rPr>
          <w:rFonts w:ascii="Verdana" w:eastAsia="Calibri" w:hAnsi="Verdana" w:cs="Arial"/>
          <w:bCs/>
          <w:lang w:val="es-ES"/>
        </w:rPr>
      </w:pPr>
    </w:p>
    <w:p w14:paraId="37C77A3F" w14:textId="77777777" w:rsidR="00044BD0" w:rsidRPr="00044BD0" w:rsidRDefault="00044BD0" w:rsidP="00044BD0">
      <w:pPr>
        <w:numPr>
          <w:ilvl w:val="0"/>
          <w:numId w:val="17"/>
        </w:numPr>
        <w:spacing w:before="120" w:after="0"/>
        <w:contextualSpacing/>
        <w:jc w:val="both"/>
        <w:rPr>
          <w:rFonts w:ascii="Verdana" w:eastAsia="Calibri" w:hAnsi="Verdana" w:cs="Arial"/>
          <w:bCs/>
          <w:lang w:val="es-ES"/>
        </w:rPr>
      </w:pPr>
      <w:r w:rsidRPr="00044BD0">
        <w:rPr>
          <w:rFonts w:ascii="Verdana" w:eastAsia="Calibri" w:hAnsi="Verdana" w:cs="Arial"/>
          <w:bCs/>
          <w:lang w:val="es-ES"/>
        </w:rPr>
        <w:t>Esta postura en torno a la validez de la transferencia de experiencia de la sociedad absorbida a la absorbente es compartida por la Superintendencia de Sociedades. Dicha entidad, en ejercicio de la función consultiva, ha manifestado que en esta figura es adecuada que la sociedad absorbida transfiera a la segunda sus atributos en lo relacionado con la experiencia</w:t>
      </w:r>
      <w:r w:rsidRPr="00044BD0">
        <w:rPr>
          <w:rFonts w:ascii="Geomanist Light" w:hAnsi="Geomanist Light"/>
          <w:vertAlign w:val="superscript"/>
          <w:lang w:val="es-ES"/>
        </w:rPr>
        <w:footnoteReference w:id="15"/>
      </w:r>
      <w:r w:rsidRPr="00044BD0">
        <w:rPr>
          <w:rFonts w:ascii="Verdana" w:eastAsia="Calibri" w:hAnsi="Verdana" w:cs="Arial"/>
          <w:bCs/>
          <w:lang w:val="es-ES"/>
        </w:rPr>
        <w:t xml:space="preserve">. Al respecto se ha manifestado: </w:t>
      </w:r>
    </w:p>
    <w:p w14:paraId="7AA993A8" w14:textId="77777777" w:rsidR="00044BD0" w:rsidRPr="00044BD0" w:rsidRDefault="00044BD0" w:rsidP="00044BD0">
      <w:pPr>
        <w:spacing w:after="0" w:line="240" w:lineRule="auto"/>
        <w:ind w:left="720" w:right="709"/>
        <w:contextualSpacing/>
        <w:jc w:val="both"/>
        <w:rPr>
          <w:rFonts w:ascii="Verdana" w:hAnsi="Verdana" w:cs="Arial"/>
          <w:sz w:val="20"/>
          <w:szCs w:val="20"/>
          <w:lang w:val="es-ES"/>
        </w:rPr>
      </w:pPr>
      <w:r w:rsidRPr="00044BD0">
        <w:rPr>
          <w:rFonts w:ascii="Verdana" w:hAnsi="Verdana" w:cs="Arial"/>
          <w:sz w:val="20"/>
          <w:szCs w:val="20"/>
          <w:lang w:val="es-ES"/>
        </w:rPr>
        <w:t xml:space="preserve">“La fusión surge como el mecanismo pertinente para que los atributos de las compañías absorbidas sean aprovechados por la compañía que las absorbe, entre éstos, la experiencia derivada de las obras cumplidas, bienes suministrados o servicios prestados durante la vigencia de la absorbida.  Por supuesto, frente a la normatividad alusiva a la contratación estatal, considera este despacho que resulta discrecional para la entidad estatal contratante coincidir, o no, con esta oficina en el sentido anotado y habilitar como proponente, para considerar su propuesta, a aquellos quienes, en virtud de su calidad de absorbentes, aprovechan todos los recursos que le fueron transmitidos por las absorbidas, incluidos intangibles como su experiencia, </w:t>
      </w:r>
      <w:proofErr w:type="spellStart"/>
      <w:r w:rsidRPr="00044BD0">
        <w:rPr>
          <w:rFonts w:ascii="Verdana" w:hAnsi="Verdana" w:cs="Arial"/>
          <w:sz w:val="20"/>
          <w:szCs w:val="20"/>
          <w:lang w:val="es-ES"/>
        </w:rPr>
        <w:t>Know</w:t>
      </w:r>
      <w:proofErr w:type="spellEnd"/>
      <w:r w:rsidRPr="00044BD0">
        <w:rPr>
          <w:rFonts w:ascii="Verdana" w:hAnsi="Verdana" w:cs="Arial"/>
          <w:sz w:val="20"/>
          <w:szCs w:val="20"/>
          <w:lang w:val="es-ES"/>
        </w:rPr>
        <w:t xml:space="preserve"> </w:t>
      </w:r>
      <w:proofErr w:type="spellStart"/>
      <w:r w:rsidRPr="00044BD0">
        <w:rPr>
          <w:rFonts w:ascii="Verdana" w:hAnsi="Verdana" w:cs="Arial"/>
          <w:sz w:val="20"/>
          <w:szCs w:val="20"/>
          <w:lang w:val="es-ES"/>
        </w:rPr>
        <w:t>How</w:t>
      </w:r>
      <w:proofErr w:type="spellEnd"/>
      <w:r w:rsidRPr="00044BD0">
        <w:rPr>
          <w:rFonts w:ascii="Verdana" w:hAnsi="Verdana" w:cs="Arial"/>
          <w:sz w:val="20"/>
          <w:szCs w:val="20"/>
          <w:lang w:val="es-ES"/>
        </w:rPr>
        <w:t>, entre otros.</w:t>
      </w:r>
    </w:p>
    <w:p w14:paraId="56928CE4" w14:textId="77777777" w:rsidR="00044BD0" w:rsidRPr="00044BD0" w:rsidRDefault="00044BD0" w:rsidP="00044BD0">
      <w:pPr>
        <w:spacing w:after="0" w:line="240" w:lineRule="auto"/>
        <w:ind w:left="720" w:right="709"/>
        <w:contextualSpacing/>
        <w:jc w:val="both"/>
        <w:rPr>
          <w:rFonts w:ascii="Verdana" w:hAnsi="Verdana" w:cs="Arial"/>
          <w:sz w:val="20"/>
          <w:szCs w:val="20"/>
          <w:lang w:val="es-ES"/>
        </w:rPr>
      </w:pPr>
      <w:r w:rsidRPr="00044BD0">
        <w:rPr>
          <w:rFonts w:ascii="Verdana" w:hAnsi="Verdana" w:cs="Arial"/>
          <w:sz w:val="20"/>
          <w:szCs w:val="20"/>
          <w:lang w:val="es-ES"/>
        </w:rPr>
        <w:t>[…]</w:t>
      </w:r>
    </w:p>
    <w:p w14:paraId="4F33E038" w14:textId="77777777" w:rsidR="00044BD0" w:rsidRPr="00044BD0" w:rsidRDefault="00044BD0" w:rsidP="00044BD0">
      <w:pPr>
        <w:spacing w:after="0" w:line="240" w:lineRule="auto"/>
        <w:ind w:left="720" w:right="709"/>
        <w:contextualSpacing/>
        <w:jc w:val="both"/>
        <w:rPr>
          <w:rFonts w:ascii="Verdana" w:hAnsi="Verdana" w:cs="Arial"/>
          <w:sz w:val="21"/>
          <w:szCs w:val="21"/>
          <w:lang w:val="es-ES"/>
        </w:rPr>
      </w:pPr>
      <w:r w:rsidRPr="00044BD0">
        <w:rPr>
          <w:rFonts w:ascii="Verdana" w:hAnsi="Verdana" w:cs="Arial"/>
          <w:sz w:val="20"/>
          <w:szCs w:val="20"/>
          <w:lang w:val="es-ES"/>
        </w:rPr>
        <w:t xml:space="preserve">En cuanto refiere a </w:t>
      </w:r>
      <w:r w:rsidRPr="00044BD0">
        <w:rPr>
          <w:rFonts w:ascii="Verdana" w:hAnsi="Verdana" w:cs="Arial"/>
          <w:i/>
          <w:iCs/>
          <w:sz w:val="20"/>
          <w:szCs w:val="20"/>
          <w:u w:val="single"/>
          <w:lang w:val="es-ES"/>
        </w:rPr>
        <w:t xml:space="preserve">la certificación que sobre la experiencia de un proponente, expiden las cámaras de comercio a través del Registro Único de Proponentes que administran, esta oficina considera que la normativa a que se ha venido aludiendo no reguló, pero tampoco prohibió, otras </w:t>
      </w:r>
      <w:r w:rsidRPr="00044BD0">
        <w:rPr>
          <w:rFonts w:ascii="Verdana" w:hAnsi="Verdana" w:cs="Arial"/>
          <w:i/>
          <w:iCs/>
          <w:sz w:val="20"/>
          <w:szCs w:val="20"/>
          <w:u w:val="single"/>
          <w:lang w:val="es-ES"/>
        </w:rPr>
        <w:lastRenderedPageBreak/>
        <w:t xml:space="preserve">situaciones de transferencia de experiencia como la que se presenta con la fusión, </w:t>
      </w:r>
      <w:r w:rsidRPr="00044BD0">
        <w:rPr>
          <w:rFonts w:ascii="Verdana" w:hAnsi="Verdana" w:cs="Arial"/>
          <w:sz w:val="20"/>
          <w:szCs w:val="20"/>
          <w:lang w:val="es-ES"/>
        </w:rPr>
        <w:t>por lo que la considera válida para efecto de ser invocada por la absorbente, a través del certificado que le expida la cámara de comercio con base en la información depositada en el Registro Único de Proponentes, RUP”</w:t>
      </w:r>
      <w:r w:rsidRPr="00044BD0">
        <w:rPr>
          <w:rFonts w:ascii="Geomanist Light" w:hAnsi="Geomanist Light"/>
          <w:vertAlign w:val="superscript"/>
          <w:lang w:val="es-ES"/>
        </w:rPr>
        <w:footnoteReference w:id="16"/>
      </w:r>
      <w:r w:rsidRPr="00044BD0">
        <w:rPr>
          <w:rFonts w:ascii="Verdana" w:hAnsi="Verdana" w:cs="Arial"/>
          <w:sz w:val="20"/>
          <w:szCs w:val="20"/>
          <w:lang w:val="es-ES"/>
        </w:rPr>
        <w:t>. (Énfasis fuera de texto).</w:t>
      </w:r>
    </w:p>
    <w:p w14:paraId="142D9292" w14:textId="77777777" w:rsidR="00044BD0" w:rsidRPr="00044BD0" w:rsidRDefault="00044BD0" w:rsidP="00044BD0">
      <w:pPr>
        <w:spacing w:after="0"/>
        <w:ind w:left="720"/>
        <w:contextualSpacing/>
        <w:jc w:val="both"/>
        <w:rPr>
          <w:rFonts w:ascii="Verdana" w:hAnsi="Verdana" w:cs="Arial"/>
          <w:color w:val="000000"/>
          <w:lang w:val="es-ES"/>
        </w:rPr>
      </w:pPr>
    </w:p>
    <w:p w14:paraId="335CB6CB" w14:textId="77777777" w:rsidR="00044BD0" w:rsidRPr="00044BD0" w:rsidRDefault="00044BD0" w:rsidP="00044BD0">
      <w:pPr>
        <w:numPr>
          <w:ilvl w:val="0"/>
          <w:numId w:val="17"/>
        </w:numPr>
        <w:spacing w:after="0"/>
        <w:contextualSpacing/>
        <w:jc w:val="both"/>
        <w:rPr>
          <w:rFonts w:ascii="Verdana" w:hAnsi="Verdana" w:cs="Arial"/>
          <w:color w:val="000000"/>
          <w:lang w:val="es-ES"/>
        </w:rPr>
      </w:pPr>
      <w:r w:rsidRPr="00044BD0">
        <w:rPr>
          <w:rFonts w:ascii="Verdana" w:eastAsia="Calibri" w:hAnsi="Verdana" w:cs="Arial"/>
          <w:bCs/>
          <w:lang w:val="es-ES"/>
        </w:rPr>
        <w:t>En efecto, el artículo 2.2.1.1.1.5.3 del Decreto 1082 de 2015 hace referencia a que las cámaras de comercio deberán registrar la experiencia certificada con base en los “</w:t>
      </w:r>
      <w:r w:rsidRPr="00044BD0">
        <w:rPr>
          <w:rFonts w:ascii="Verdana" w:hAnsi="Verdana" w:cs="Arial"/>
          <w:color w:val="000000"/>
          <w:lang w:val="es-ES"/>
        </w:rPr>
        <w:t xml:space="preserve">Los contratos celebrados por el interesado” y “Los contratos celebrados por consorcios, uniones temporales y sociedades en las cuales el interesado tenga o haya tenido participación”, sin hacer alusión a las diferentes reformas estatutarias que podrían amparar la transferencia de experiencia conforme a lo explicado </w:t>
      </w:r>
      <w:r w:rsidRPr="00044BD0">
        <w:rPr>
          <w:rFonts w:ascii="Verdana" w:hAnsi="Verdana" w:cs="Arial"/>
          <w:i/>
          <w:iCs/>
          <w:color w:val="000000"/>
          <w:lang w:val="es-ES"/>
        </w:rPr>
        <w:t>supra</w:t>
      </w:r>
      <w:r w:rsidRPr="00044BD0">
        <w:rPr>
          <w:rFonts w:ascii="Verdana" w:hAnsi="Verdana" w:cs="Arial"/>
          <w:color w:val="000000"/>
          <w:lang w:val="es-ES"/>
        </w:rPr>
        <w:t xml:space="preserve">. Caso contario ocurre con la posibilidad de que una sociedad, durante los primeros tres (3) años de su constitución–e incluso después– pueda acreditar como suya la experiencia de socios, supuesto regulado por el numeral 2.5 del artículo 2.2.1.1.1.5.2 del Decreto 1082 de 2015. </w:t>
      </w:r>
    </w:p>
    <w:p w14:paraId="06DD55BA" w14:textId="77777777" w:rsidR="00044BD0" w:rsidRPr="00044BD0" w:rsidRDefault="00044BD0" w:rsidP="00044BD0">
      <w:pPr>
        <w:spacing w:before="120" w:after="0"/>
        <w:ind w:left="720"/>
        <w:contextualSpacing/>
        <w:jc w:val="both"/>
        <w:rPr>
          <w:rFonts w:ascii="Verdana" w:hAnsi="Verdana" w:cs="Arial"/>
          <w:color w:val="000000"/>
          <w:lang w:val="es-ES"/>
        </w:rPr>
      </w:pPr>
    </w:p>
    <w:p w14:paraId="742E7B16" w14:textId="77777777" w:rsidR="00044BD0" w:rsidRPr="00044BD0" w:rsidRDefault="00044BD0" w:rsidP="00044BD0">
      <w:pPr>
        <w:numPr>
          <w:ilvl w:val="0"/>
          <w:numId w:val="17"/>
        </w:numPr>
        <w:spacing w:before="120" w:after="0"/>
        <w:contextualSpacing/>
        <w:jc w:val="both"/>
        <w:rPr>
          <w:rFonts w:ascii="Verdana" w:hAnsi="Verdana" w:cs="Arial"/>
          <w:color w:val="000000"/>
          <w:lang w:val="es-ES"/>
        </w:rPr>
      </w:pPr>
      <w:r w:rsidRPr="00044BD0">
        <w:rPr>
          <w:rFonts w:ascii="Verdana" w:hAnsi="Verdana" w:cs="Arial"/>
          <w:color w:val="000000"/>
          <w:lang w:val="es-ES"/>
        </w:rPr>
        <w:t xml:space="preserve">En ese sentido, considerando que el RUP es el documento que constituye plena prueba de la experiencia adquirida por el proponente, es necesario que la experiencia de la sociedad absorbida quede incorporada en el RUP de la absorbente para que esta pueda acreditarla. Esto implica que la sociedad absorbente haya adelantado el respectivo trámite de actualización o renovación del RUP, en el marco del cual se haya consolidado la transferencia de experiencia. </w:t>
      </w:r>
      <w:r w:rsidRPr="00044BD0">
        <w:rPr>
          <w:rFonts w:ascii="Verdana" w:hAnsi="Verdana" w:cs="Arial"/>
          <w:bCs/>
          <w:color w:val="000000"/>
          <w:lang w:val="es-ES"/>
        </w:rPr>
        <w:t xml:space="preserve">Para estos efectos, el proponente debe realizar el trámite pertinente ante la cámara de comercio </w:t>
      </w:r>
      <w:r w:rsidRPr="00044BD0">
        <w:rPr>
          <w:rFonts w:ascii="Verdana" w:hAnsi="Verdana" w:cs="Arial"/>
          <w:color w:val="000000"/>
          <w:lang w:val="es-ES"/>
        </w:rPr>
        <w:t xml:space="preserve">con copia de los contratos o con certificados de los contratos celebrados con diferentes contratantes y los demás documentos requeridos por dicha entidad. Tales contratos deben codificarse con el clasificador de bienes y servicios en el tercer nivel, como se explicó anteriormente. </w:t>
      </w:r>
    </w:p>
    <w:p w14:paraId="3634F5E0" w14:textId="77777777" w:rsidR="00044BD0" w:rsidRPr="00044BD0" w:rsidRDefault="00044BD0" w:rsidP="00044BD0">
      <w:pPr>
        <w:spacing w:after="0"/>
        <w:ind w:left="720"/>
        <w:contextualSpacing/>
        <w:jc w:val="both"/>
        <w:rPr>
          <w:rFonts w:ascii="Verdana" w:hAnsi="Verdana" w:cs="Arial"/>
          <w:lang w:val="es-ES"/>
        </w:rPr>
      </w:pPr>
    </w:p>
    <w:p w14:paraId="28C96805" w14:textId="77777777" w:rsidR="00044BD0" w:rsidRPr="00044BD0" w:rsidRDefault="00044BD0" w:rsidP="00044BD0">
      <w:pPr>
        <w:numPr>
          <w:ilvl w:val="0"/>
          <w:numId w:val="17"/>
        </w:numPr>
        <w:spacing w:after="0"/>
        <w:contextualSpacing/>
        <w:jc w:val="both"/>
        <w:rPr>
          <w:rFonts w:ascii="Verdana" w:eastAsia="Arial MT" w:hAnsi="Verdana" w:cs="Arial"/>
          <w:lang w:val="es-ES" w:eastAsia="es-ES" w:bidi="es-ES"/>
        </w:rPr>
      </w:pPr>
      <w:r w:rsidRPr="00044BD0">
        <w:rPr>
          <w:rFonts w:ascii="Verdana" w:hAnsi="Verdana" w:cs="Arial"/>
          <w:lang w:val="es-ES"/>
        </w:rPr>
        <w:t>Por otro lado, para responder a su pregunta sobre los efectos del cambio de la razón social de una persona jurídica, respecto de su experiencia inscrita en el RUP, se debe tener en cuenta lo que señala la Cámara de Comercio de Bogotá sobre las reformas estatutarias:</w:t>
      </w:r>
    </w:p>
    <w:p w14:paraId="51A852E5" w14:textId="77777777" w:rsidR="00044BD0" w:rsidRPr="00044BD0" w:rsidRDefault="00044BD0" w:rsidP="00044BD0">
      <w:pPr>
        <w:ind w:left="720"/>
        <w:contextualSpacing/>
        <w:rPr>
          <w:rFonts w:ascii="Verdana" w:eastAsia="Arial MT" w:hAnsi="Verdana" w:cs="Arial"/>
          <w:lang w:val="es-ES" w:eastAsia="es-ES" w:bidi="es-ES"/>
        </w:rPr>
      </w:pPr>
    </w:p>
    <w:p w14:paraId="4180F52E" w14:textId="77777777" w:rsidR="00044BD0" w:rsidRPr="00044BD0" w:rsidRDefault="00044BD0" w:rsidP="00560D6F">
      <w:pPr>
        <w:spacing w:after="0" w:line="240" w:lineRule="auto"/>
        <w:ind w:left="709" w:right="-93"/>
        <w:contextualSpacing/>
        <w:jc w:val="both"/>
        <w:rPr>
          <w:rFonts w:ascii="Verdana" w:hAnsi="Verdana" w:cs="Arial"/>
          <w:sz w:val="21"/>
          <w:szCs w:val="21"/>
          <w:lang w:val="es-ES"/>
        </w:rPr>
      </w:pPr>
      <w:r w:rsidRPr="00044BD0">
        <w:rPr>
          <w:rFonts w:ascii="Verdana" w:hAnsi="Verdana" w:cs="Arial"/>
          <w:sz w:val="21"/>
          <w:szCs w:val="21"/>
          <w:lang w:val="es-ES"/>
        </w:rPr>
        <w:t xml:space="preserve">En términos generales, el Código de Comercio no prevé un listado específico ni una definición de las reformas estatutarias. A manera enunciativa el artículo 162 del Código de Comercio menciona algunas decisiones que corresponden a reformas estatutarias como lo son la transformación y la fusión; mientras que </w:t>
      </w:r>
      <w:r w:rsidRPr="00044BD0">
        <w:rPr>
          <w:rFonts w:ascii="Verdana" w:hAnsi="Verdana" w:cs="Arial"/>
          <w:sz w:val="21"/>
          <w:szCs w:val="21"/>
          <w:lang w:val="es-ES"/>
        </w:rPr>
        <w:lastRenderedPageBreak/>
        <w:t>el artículo 163 nos señala que los nombramientos de administradores y revisores fiscales no se encuentran en esta categoría.</w:t>
      </w:r>
    </w:p>
    <w:p w14:paraId="0B4AC553" w14:textId="77777777" w:rsidR="00044BD0" w:rsidRPr="00044BD0" w:rsidRDefault="00044BD0" w:rsidP="00044BD0">
      <w:pPr>
        <w:spacing w:after="0" w:line="240" w:lineRule="auto"/>
        <w:ind w:left="709" w:right="709"/>
        <w:contextualSpacing/>
        <w:jc w:val="both"/>
        <w:rPr>
          <w:rFonts w:ascii="Verdana" w:hAnsi="Verdana" w:cs="Arial"/>
          <w:sz w:val="21"/>
          <w:szCs w:val="21"/>
          <w:lang w:val="es-ES"/>
        </w:rPr>
      </w:pPr>
    </w:p>
    <w:p w14:paraId="4E80ABF0" w14:textId="77777777" w:rsidR="00044BD0" w:rsidRPr="00044BD0" w:rsidRDefault="00044BD0" w:rsidP="00560D6F">
      <w:pPr>
        <w:spacing w:after="0" w:line="240" w:lineRule="auto"/>
        <w:ind w:left="709" w:right="49"/>
        <w:contextualSpacing/>
        <w:jc w:val="both"/>
        <w:rPr>
          <w:rFonts w:ascii="Verdana" w:hAnsi="Verdana" w:cs="Arial"/>
          <w:sz w:val="21"/>
          <w:szCs w:val="21"/>
          <w:lang w:val="es-ES"/>
        </w:rPr>
      </w:pPr>
      <w:r w:rsidRPr="00044BD0">
        <w:rPr>
          <w:rFonts w:ascii="Verdana" w:hAnsi="Verdana" w:cs="Arial"/>
          <w:sz w:val="21"/>
          <w:szCs w:val="21"/>
          <w:lang w:val="es-ES"/>
        </w:rPr>
        <w:t>Para una mayor claridad, respecto de los actos que son considerados como reformas estatutarias teniendo en cuenta las normas especiales y lo previsto en el numeral 2.1.9 del título VIII de la Circular Única de la SIC a continuación se presenta la siguiente lista que contiene la totalidad de actos sujetos a la formalidad de registro que tienen esa categoría de reforma estatutaria:</w:t>
      </w:r>
    </w:p>
    <w:p w14:paraId="3950E52A" w14:textId="77777777" w:rsidR="00044BD0" w:rsidRPr="00044BD0" w:rsidRDefault="00044BD0" w:rsidP="00044BD0">
      <w:pPr>
        <w:spacing w:after="0" w:line="240" w:lineRule="auto"/>
        <w:ind w:left="709" w:right="709"/>
        <w:contextualSpacing/>
        <w:jc w:val="both"/>
        <w:rPr>
          <w:rFonts w:ascii="Verdana" w:hAnsi="Verdana" w:cs="Arial"/>
          <w:sz w:val="21"/>
          <w:szCs w:val="21"/>
          <w:lang w:val="es-ES"/>
        </w:rPr>
      </w:pPr>
    </w:p>
    <w:p w14:paraId="6F7440F7" w14:textId="77777777" w:rsidR="00044BD0" w:rsidRPr="00044BD0" w:rsidRDefault="00044BD0" w:rsidP="00044BD0">
      <w:pPr>
        <w:spacing w:after="0" w:line="240" w:lineRule="auto"/>
        <w:ind w:left="709" w:right="709"/>
        <w:contextualSpacing/>
        <w:jc w:val="both"/>
        <w:rPr>
          <w:rFonts w:ascii="Verdana" w:hAnsi="Verdana" w:cs="Arial"/>
          <w:sz w:val="21"/>
          <w:szCs w:val="21"/>
          <w:lang w:val="es-ES"/>
        </w:rPr>
      </w:pPr>
      <w:r w:rsidRPr="00044BD0">
        <w:rPr>
          <w:rFonts w:ascii="Verdana" w:hAnsi="Verdana" w:cs="Arial"/>
          <w:sz w:val="21"/>
          <w:szCs w:val="21"/>
          <w:lang w:val="es-ES"/>
        </w:rPr>
        <w:t>(…)</w:t>
      </w:r>
    </w:p>
    <w:p w14:paraId="59ED3339" w14:textId="77777777" w:rsidR="00044BD0" w:rsidRPr="00044BD0" w:rsidRDefault="00044BD0" w:rsidP="00044BD0">
      <w:pPr>
        <w:spacing w:after="0" w:line="240" w:lineRule="auto"/>
        <w:ind w:left="709" w:right="709"/>
        <w:contextualSpacing/>
        <w:jc w:val="both"/>
        <w:rPr>
          <w:rFonts w:ascii="Verdana" w:hAnsi="Verdana" w:cs="Arial"/>
          <w:sz w:val="21"/>
          <w:szCs w:val="21"/>
          <w:lang w:val="es-ES"/>
        </w:rPr>
      </w:pPr>
      <w:r w:rsidRPr="00044BD0">
        <w:rPr>
          <w:rFonts w:ascii="Verdana" w:hAnsi="Verdana" w:cs="Arial"/>
          <w:sz w:val="21"/>
          <w:szCs w:val="21"/>
          <w:lang w:val="es-ES"/>
        </w:rPr>
        <w:t>Cambio de razón social</w:t>
      </w:r>
    </w:p>
    <w:p w14:paraId="7BD2F655" w14:textId="77777777" w:rsidR="00044BD0" w:rsidRPr="00044BD0" w:rsidRDefault="00044BD0" w:rsidP="00044BD0">
      <w:pPr>
        <w:spacing w:after="0" w:line="240" w:lineRule="auto"/>
        <w:ind w:left="709" w:right="709"/>
        <w:contextualSpacing/>
        <w:jc w:val="both"/>
        <w:rPr>
          <w:rFonts w:ascii="Verdana" w:hAnsi="Verdana" w:cs="Arial"/>
          <w:sz w:val="20"/>
          <w:szCs w:val="20"/>
          <w:lang w:val="es-ES"/>
        </w:rPr>
      </w:pPr>
      <w:r w:rsidRPr="00044BD0">
        <w:rPr>
          <w:rFonts w:ascii="Verdana" w:hAnsi="Verdana" w:cs="Arial"/>
          <w:sz w:val="21"/>
          <w:szCs w:val="21"/>
          <w:lang w:val="es-ES"/>
        </w:rPr>
        <w:t>(…)</w:t>
      </w:r>
      <w:r w:rsidRPr="00044BD0">
        <w:rPr>
          <w:rFonts w:ascii="Geomanist Light" w:hAnsi="Geomanist Light"/>
          <w:vertAlign w:val="superscript"/>
          <w:lang w:val="es-ES"/>
        </w:rPr>
        <w:footnoteReference w:id="17"/>
      </w:r>
    </w:p>
    <w:p w14:paraId="674118E8" w14:textId="77777777" w:rsidR="00044BD0" w:rsidRPr="00044BD0" w:rsidRDefault="00044BD0" w:rsidP="00044BD0">
      <w:pPr>
        <w:spacing w:after="0" w:line="240" w:lineRule="auto"/>
        <w:ind w:right="709"/>
        <w:jc w:val="both"/>
        <w:rPr>
          <w:rFonts w:ascii="Verdana" w:hAnsi="Verdana" w:cs="Arial"/>
          <w:sz w:val="20"/>
          <w:szCs w:val="20"/>
        </w:rPr>
      </w:pPr>
    </w:p>
    <w:p w14:paraId="47656A33" w14:textId="77777777" w:rsidR="00044BD0" w:rsidRPr="00044BD0" w:rsidRDefault="00044BD0" w:rsidP="00044BD0">
      <w:pPr>
        <w:numPr>
          <w:ilvl w:val="0"/>
          <w:numId w:val="17"/>
        </w:numPr>
        <w:spacing w:before="120" w:after="0"/>
        <w:contextualSpacing/>
        <w:jc w:val="both"/>
        <w:rPr>
          <w:rFonts w:ascii="Verdana" w:hAnsi="Verdana" w:cs="Arial"/>
          <w:color w:val="000000"/>
          <w:lang w:val="es-ES"/>
        </w:rPr>
      </w:pPr>
      <w:r w:rsidRPr="00044BD0">
        <w:rPr>
          <w:rFonts w:ascii="Verdana" w:hAnsi="Verdana" w:cs="Arial"/>
          <w:color w:val="000000"/>
          <w:lang w:val="es-ES"/>
        </w:rPr>
        <w:t>En ese sentido, a pesar de que el cambio de razón social se considera una reforma estatutaria, las normas no mencionan nada respecto de sus efectos, como la disolución o liquidación de la persona jurídica, que, de acuerdo con lo expuesto en las consideraciones, si tiene efectos sobre la experiencia registrada en el RUP. Por tanto, el cambio de razón social no tiene efectos sobre la experiencia de la persona jurídica, la cual puede continuar registrada en el RUP sin perjuicio de los cambios que se deban hacer ante dicho registro, lo cual es competencia de las Cámaras de Comercio del país.</w:t>
      </w:r>
    </w:p>
    <w:p w14:paraId="18A81247" w14:textId="77777777" w:rsidR="00044BD0" w:rsidRPr="00044BD0" w:rsidRDefault="00044BD0" w:rsidP="00044BD0">
      <w:pPr>
        <w:ind w:left="720"/>
        <w:contextualSpacing/>
        <w:rPr>
          <w:rFonts w:ascii="Verdana" w:hAnsi="Verdana" w:cs="Arial"/>
          <w:color w:val="333333"/>
          <w:shd w:val="clear" w:color="auto" w:fill="FFFFFF"/>
          <w:lang w:val="es-ES"/>
        </w:rPr>
      </w:pPr>
    </w:p>
    <w:p w14:paraId="02D1E8EA" w14:textId="77777777" w:rsidR="00044BD0" w:rsidRPr="00044BD0" w:rsidRDefault="00044BD0" w:rsidP="00044BD0">
      <w:pPr>
        <w:tabs>
          <w:tab w:val="left" w:pos="142"/>
          <w:tab w:val="left" w:pos="284"/>
        </w:tabs>
        <w:spacing w:after="0" w:line="276" w:lineRule="auto"/>
        <w:jc w:val="both"/>
        <w:rPr>
          <w:rFonts w:ascii="Verdana" w:eastAsia="Century Gothic" w:hAnsi="Verdana" w:cs="Century Gothic"/>
          <w:b/>
          <w:bCs/>
        </w:rPr>
      </w:pPr>
      <w:r w:rsidRPr="00044BD0">
        <w:rPr>
          <w:rFonts w:ascii="Verdana" w:eastAsia="Century Gothic" w:hAnsi="Verdana" w:cs="Century Gothic"/>
          <w:b/>
          <w:bCs/>
        </w:rPr>
        <w:t>4. Referencias normativas, jurisprudenciales y otras fuentes:</w:t>
      </w:r>
    </w:p>
    <w:p w14:paraId="49E1188C" w14:textId="77777777" w:rsidR="00044BD0" w:rsidRPr="00044BD0" w:rsidRDefault="00044BD0" w:rsidP="00044BD0">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044BD0" w:rsidRPr="00044BD0" w14:paraId="54EE86AC" w14:textId="77777777" w:rsidTr="005A1842">
        <w:trPr>
          <w:trHeight w:val="870"/>
        </w:trPr>
        <w:tc>
          <w:tcPr>
            <w:tcW w:w="8647" w:type="dxa"/>
          </w:tcPr>
          <w:p w14:paraId="5B778DE6" w14:textId="77777777" w:rsidR="00044BD0" w:rsidRPr="00044BD0" w:rsidRDefault="00044BD0" w:rsidP="00044BD0">
            <w:pPr>
              <w:widowControl w:val="0"/>
              <w:numPr>
                <w:ilvl w:val="0"/>
                <w:numId w:val="16"/>
              </w:numPr>
              <w:autoSpaceDE w:val="0"/>
              <w:autoSpaceDN w:val="0"/>
              <w:spacing w:line="276" w:lineRule="auto"/>
              <w:contextualSpacing/>
              <w:jc w:val="both"/>
              <w:rPr>
                <w:rFonts w:ascii="Verdana" w:hAnsi="Verdana" w:cs="Arial"/>
                <w:lang w:val="es-ES"/>
              </w:rPr>
            </w:pPr>
            <w:r w:rsidRPr="00044BD0">
              <w:rPr>
                <w:rFonts w:ascii="Verdana" w:hAnsi="Verdana" w:cs="Arial"/>
                <w:lang w:val="es-ES"/>
              </w:rPr>
              <w:t>Ley 1150 de 2007, artículo 6.</w:t>
            </w:r>
          </w:p>
          <w:p w14:paraId="148B95A3" w14:textId="77777777" w:rsidR="00044BD0" w:rsidRPr="00044BD0" w:rsidRDefault="00044BD0" w:rsidP="00044BD0">
            <w:pPr>
              <w:widowControl w:val="0"/>
              <w:numPr>
                <w:ilvl w:val="0"/>
                <w:numId w:val="16"/>
              </w:numPr>
              <w:autoSpaceDE w:val="0"/>
              <w:autoSpaceDN w:val="0"/>
              <w:spacing w:line="276" w:lineRule="auto"/>
              <w:contextualSpacing/>
              <w:jc w:val="both"/>
              <w:rPr>
                <w:rFonts w:ascii="Verdana" w:hAnsi="Verdana" w:cs="Arial"/>
                <w:lang w:val="es-ES"/>
              </w:rPr>
            </w:pPr>
            <w:r w:rsidRPr="00044BD0">
              <w:rPr>
                <w:rFonts w:ascii="Verdana" w:hAnsi="Verdana" w:cs="Arial"/>
                <w:lang w:val="es-ES"/>
              </w:rPr>
              <w:t>Ley 222 de 1995, artículos 3 y 11.</w:t>
            </w:r>
          </w:p>
          <w:p w14:paraId="49F842F7" w14:textId="77777777" w:rsidR="00044BD0" w:rsidRPr="00044BD0" w:rsidRDefault="00044BD0" w:rsidP="00044BD0">
            <w:pPr>
              <w:widowControl w:val="0"/>
              <w:numPr>
                <w:ilvl w:val="0"/>
                <w:numId w:val="16"/>
              </w:numPr>
              <w:autoSpaceDE w:val="0"/>
              <w:autoSpaceDN w:val="0"/>
              <w:spacing w:line="276" w:lineRule="auto"/>
              <w:contextualSpacing/>
              <w:jc w:val="both"/>
              <w:rPr>
                <w:rFonts w:ascii="Verdana" w:hAnsi="Verdana" w:cs="Arial"/>
                <w:lang w:val="es-ES"/>
              </w:rPr>
            </w:pPr>
            <w:r w:rsidRPr="00044BD0">
              <w:rPr>
                <w:rFonts w:ascii="Verdana" w:hAnsi="Verdana" w:cs="Arial"/>
                <w:lang w:val="es-ES"/>
              </w:rPr>
              <w:t>Ley 1258 de 2008, artículo 33.</w:t>
            </w:r>
          </w:p>
          <w:p w14:paraId="542DD2C6" w14:textId="77777777" w:rsidR="00044BD0" w:rsidRPr="00044BD0" w:rsidRDefault="00044BD0" w:rsidP="00044BD0">
            <w:pPr>
              <w:numPr>
                <w:ilvl w:val="0"/>
                <w:numId w:val="16"/>
              </w:numPr>
              <w:spacing w:line="276" w:lineRule="auto"/>
              <w:contextualSpacing/>
              <w:rPr>
                <w:rFonts w:ascii="Verdana" w:hAnsi="Verdana" w:cs="Arial"/>
                <w:lang w:val="es-ES"/>
              </w:rPr>
            </w:pPr>
            <w:r w:rsidRPr="00044BD0">
              <w:rPr>
                <w:rFonts w:ascii="Verdana" w:hAnsi="Verdana" w:cs="Arial"/>
                <w:lang w:val="es-ES"/>
              </w:rPr>
              <w:t xml:space="preserve">Decreto 1082 de 2015, artículos 2.2.1.1.1.5.2. y 2.2.1.1.1.5.3. </w:t>
            </w:r>
          </w:p>
          <w:p w14:paraId="7CFBD5FC" w14:textId="77777777" w:rsidR="00044BD0" w:rsidRPr="00044BD0" w:rsidRDefault="00044BD0" w:rsidP="00044BD0">
            <w:pPr>
              <w:numPr>
                <w:ilvl w:val="0"/>
                <w:numId w:val="16"/>
              </w:numPr>
              <w:spacing w:line="276" w:lineRule="auto"/>
              <w:contextualSpacing/>
              <w:rPr>
                <w:rFonts w:ascii="Verdana" w:hAnsi="Verdana" w:cs="Arial"/>
                <w:lang w:val="es-ES"/>
              </w:rPr>
            </w:pPr>
            <w:r w:rsidRPr="00044BD0">
              <w:rPr>
                <w:rFonts w:ascii="Verdana" w:hAnsi="Verdana" w:cs="Arial"/>
                <w:lang w:val="es-ES"/>
              </w:rPr>
              <w:t>Código de Comercio, artículos 167, 172, 180, 222, 225 y ss.</w:t>
            </w:r>
          </w:p>
          <w:p w14:paraId="644D1F81" w14:textId="77777777" w:rsidR="00044BD0" w:rsidRPr="00044BD0" w:rsidRDefault="00044BD0" w:rsidP="00044BD0">
            <w:pPr>
              <w:numPr>
                <w:ilvl w:val="0"/>
                <w:numId w:val="16"/>
              </w:numPr>
              <w:spacing w:line="276" w:lineRule="auto"/>
              <w:contextualSpacing/>
              <w:rPr>
                <w:rFonts w:ascii="Verdana" w:hAnsi="Verdana" w:cs="Arial"/>
                <w:lang w:val="es-ES"/>
              </w:rPr>
            </w:pPr>
            <w:r w:rsidRPr="00044BD0">
              <w:rPr>
                <w:rFonts w:ascii="Verdana" w:hAnsi="Verdana" w:cs="Arial"/>
                <w:lang w:val="es-ES"/>
              </w:rPr>
              <w:t>Consejo de Estado. Sección Tercera. Sentencia del 20 de abril del 2022. Radicación Nro. 54482. C.P.: Jaime Enrique Rodríguez Navas.</w:t>
            </w:r>
          </w:p>
          <w:p w14:paraId="7DBE748C" w14:textId="77777777" w:rsidR="00044BD0" w:rsidRPr="00044BD0" w:rsidRDefault="00044BD0" w:rsidP="00044BD0">
            <w:pPr>
              <w:widowControl w:val="0"/>
              <w:numPr>
                <w:ilvl w:val="0"/>
                <w:numId w:val="16"/>
              </w:numPr>
              <w:autoSpaceDE w:val="0"/>
              <w:autoSpaceDN w:val="0"/>
              <w:spacing w:line="276" w:lineRule="auto"/>
              <w:contextualSpacing/>
              <w:jc w:val="both"/>
              <w:rPr>
                <w:rFonts w:ascii="Verdana" w:hAnsi="Verdana" w:cs="Arial"/>
                <w:lang w:val="es-ES"/>
              </w:rPr>
            </w:pPr>
            <w:r w:rsidRPr="00044BD0">
              <w:rPr>
                <w:rFonts w:ascii="Verdana" w:hAnsi="Verdana" w:cs="Arial"/>
                <w:lang w:val="es-ES"/>
              </w:rPr>
              <w:t>Colombia Compra Eficiente, Manual para determinar y verificar requisitos habilitantes en los procesos de contratación. Disponible en: chrome-extension://efaidnbmnnnibpcajpcglclefindmkaj/https://colombiacompra.gov.co/sites/cce_public/files/cce_documents/cce-eicp-ma-04._manual_requisitos_habilitantes_v3_29-09-2023.pdf</w:t>
            </w:r>
          </w:p>
          <w:p w14:paraId="0E8A1327" w14:textId="77777777" w:rsidR="00044BD0" w:rsidRPr="00044BD0" w:rsidRDefault="00044BD0" w:rsidP="00044BD0">
            <w:pPr>
              <w:widowControl w:val="0"/>
              <w:numPr>
                <w:ilvl w:val="0"/>
                <w:numId w:val="16"/>
              </w:numPr>
              <w:autoSpaceDE w:val="0"/>
              <w:autoSpaceDN w:val="0"/>
              <w:spacing w:line="276" w:lineRule="auto"/>
              <w:contextualSpacing/>
              <w:jc w:val="both"/>
              <w:rPr>
                <w:rFonts w:ascii="Verdana" w:hAnsi="Verdana" w:cs="Arial"/>
                <w:lang w:val="es-ES"/>
              </w:rPr>
            </w:pPr>
            <w:r w:rsidRPr="00044BD0">
              <w:rPr>
                <w:rFonts w:ascii="Verdana" w:hAnsi="Verdana" w:cs="Arial"/>
                <w:lang w:val="es-ES"/>
              </w:rPr>
              <w:t xml:space="preserve">Colombia Compra Eficiente, Guía de Asuntos Corporativos en los </w:t>
            </w:r>
            <w:r w:rsidRPr="00044BD0">
              <w:rPr>
                <w:rFonts w:ascii="Verdana" w:hAnsi="Verdana" w:cs="Arial"/>
                <w:lang w:val="es-ES"/>
              </w:rPr>
              <w:lastRenderedPageBreak/>
              <w:t>Procesos de Contratación. Disponible en: chrome-extension://efaidnbmnnnibpcajpcglclefindmkaj/https://www.colombiacompra.gov.co/sites/cce_public/files/cce_documents/cce_guia_asuntos_corporativos.pdf</w:t>
            </w:r>
          </w:p>
          <w:p w14:paraId="620D6F0C" w14:textId="77777777" w:rsidR="00044BD0" w:rsidRPr="00044BD0" w:rsidRDefault="00044BD0" w:rsidP="00044BD0">
            <w:pPr>
              <w:widowControl w:val="0"/>
              <w:numPr>
                <w:ilvl w:val="0"/>
                <w:numId w:val="16"/>
              </w:numPr>
              <w:autoSpaceDE w:val="0"/>
              <w:autoSpaceDN w:val="0"/>
              <w:spacing w:line="276" w:lineRule="auto"/>
              <w:contextualSpacing/>
              <w:jc w:val="both"/>
              <w:rPr>
                <w:rFonts w:ascii="Verdana" w:hAnsi="Verdana" w:cs="Arial"/>
                <w:lang w:val="es-ES"/>
              </w:rPr>
            </w:pPr>
            <w:proofErr w:type="spellStart"/>
            <w:r w:rsidRPr="00560D6F">
              <w:rPr>
                <w:rFonts w:ascii="Verdana" w:hAnsi="Verdana" w:cs="Arial"/>
                <w:lang w:val="pt-BR"/>
              </w:rPr>
              <w:t>Cámara</w:t>
            </w:r>
            <w:proofErr w:type="spellEnd"/>
            <w:r w:rsidRPr="00560D6F">
              <w:rPr>
                <w:rFonts w:ascii="Verdana" w:hAnsi="Verdana" w:cs="Arial"/>
                <w:lang w:val="pt-BR"/>
              </w:rPr>
              <w:t xml:space="preserve"> de Comercio de Bogotá, Vademécum de registro mercantil. </w:t>
            </w:r>
            <w:r w:rsidRPr="00044BD0">
              <w:rPr>
                <w:rFonts w:ascii="Verdana" w:hAnsi="Verdana" w:cs="Arial"/>
                <w:lang w:val="es-ES"/>
              </w:rPr>
              <w:t xml:space="preserve">Disponible en: </w:t>
            </w:r>
            <w:hyperlink r:id="rId11" w:anchor="book/141" w:history="1">
              <w:r w:rsidRPr="00044BD0">
                <w:rPr>
                  <w:rFonts w:ascii="Verdana" w:hAnsi="Verdana" w:cs="Arial"/>
                  <w:color w:val="0563C1" w:themeColor="hyperlink"/>
                  <w:u w:val="single"/>
                  <w:lang w:val="es-ES"/>
                </w:rPr>
                <w:t>https://recursos.ccb.org.co/ccb/recursos-aplicaciones/vademecum-tomo-I/#book/141</w:t>
              </w:r>
            </w:hyperlink>
          </w:p>
          <w:p w14:paraId="3869FBD2" w14:textId="77777777" w:rsidR="00044BD0" w:rsidRPr="00044BD0" w:rsidRDefault="00044BD0" w:rsidP="00044BD0">
            <w:pPr>
              <w:widowControl w:val="0"/>
              <w:numPr>
                <w:ilvl w:val="0"/>
                <w:numId w:val="16"/>
              </w:numPr>
              <w:autoSpaceDE w:val="0"/>
              <w:autoSpaceDN w:val="0"/>
              <w:spacing w:line="276" w:lineRule="auto"/>
              <w:contextualSpacing/>
              <w:jc w:val="both"/>
              <w:rPr>
                <w:rFonts w:ascii="Verdana" w:hAnsi="Verdana" w:cs="Arial"/>
                <w:lang w:val="es-ES"/>
              </w:rPr>
            </w:pPr>
            <w:r w:rsidRPr="00044BD0">
              <w:rPr>
                <w:rFonts w:ascii="Verdana" w:hAnsi="Verdana" w:cs="Arial"/>
                <w:lang w:val="es-ES"/>
              </w:rPr>
              <w:t>Superintendencia de Sociedades. Oficios 220-072759 del 14 de mayo de 2014, 220-100613 del 14 de julio de 2015, 220-079814 del 31 de agosto de 2015,220-142284 del 15 de julio de 2016, 095721 del 16 de junio de 2020, 220- 063311 del 6 de abril de 2020.</w:t>
            </w:r>
          </w:p>
        </w:tc>
      </w:tr>
    </w:tbl>
    <w:p w14:paraId="5DB15717" w14:textId="77777777" w:rsidR="00044BD0" w:rsidRPr="00044BD0" w:rsidRDefault="00044BD0" w:rsidP="00044BD0">
      <w:pPr>
        <w:tabs>
          <w:tab w:val="left" w:pos="142"/>
          <w:tab w:val="left" w:pos="284"/>
        </w:tabs>
        <w:spacing w:after="0" w:line="276" w:lineRule="auto"/>
        <w:jc w:val="both"/>
        <w:rPr>
          <w:rFonts w:ascii="Verdana" w:eastAsia="Century Gothic" w:hAnsi="Verdana" w:cs="Century Gothic"/>
          <w:b/>
          <w:bCs/>
        </w:rPr>
      </w:pPr>
    </w:p>
    <w:p w14:paraId="7766E8B1" w14:textId="77777777" w:rsidR="00044BD0" w:rsidRPr="00044BD0" w:rsidRDefault="00044BD0" w:rsidP="00044BD0">
      <w:pPr>
        <w:tabs>
          <w:tab w:val="left" w:pos="142"/>
          <w:tab w:val="left" w:pos="284"/>
        </w:tabs>
        <w:spacing w:after="0" w:line="276" w:lineRule="auto"/>
        <w:jc w:val="both"/>
        <w:rPr>
          <w:rFonts w:ascii="Verdana" w:eastAsia="Century Gothic" w:hAnsi="Verdana" w:cs="Century Gothic"/>
          <w:b/>
          <w:bCs/>
          <w:lang w:val="es-ES"/>
        </w:rPr>
      </w:pPr>
      <w:r w:rsidRPr="00044BD0">
        <w:rPr>
          <w:rFonts w:ascii="Verdana" w:eastAsia="Century Gothic" w:hAnsi="Verdana" w:cs="Century Gothic"/>
          <w:b/>
          <w:bCs/>
        </w:rPr>
        <w:t xml:space="preserve">5. </w:t>
      </w:r>
      <w:r w:rsidRPr="00044BD0">
        <w:rPr>
          <w:rFonts w:ascii="Verdana" w:eastAsia="Century Gothic" w:hAnsi="Verdana" w:cs="Century Gothic"/>
          <w:b/>
          <w:bCs/>
          <w:lang w:val="es-ES"/>
        </w:rPr>
        <w:t>Doctrina de la Agencia Nacional de Contratación Pública:</w:t>
      </w:r>
    </w:p>
    <w:p w14:paraId="41F9B840" w14:textId="77777777" w:rsidR="00044BD0" w:rsidRPr="00044BD0" w:rsidRDefault="00044BD0" w:rsidP="00044BD0">
      <w:pPr>
        <w:spacing w:after="0" w:line="276" w:lineRule="auto"/>
        <w:ind w:firstLine="709"/>
        <w:jc w:val="both"/>
        <w:rPr>
          <w:rFonts w:ascii="Verdana" w:eastAsia="Times New Roman" w:hAnsi="Verdana" w:cs="Arial"/>
          <w:szCs w:val="24"/>
          <w:lang w:val="es-ES" w:eastAsia="es-ES_tradnl"/>
        </w:rPr>
      </w:pPr>
    </w:p>
    <w:p w14:paraId="241E4319" w14:textId="77777777" w:rsidR="00044BD0" w:rsidRPr="00044BD0" w:rsidRDefault="00044BD0" w:rsidP="00044BD0">
      <w:pPr>
        <w:widowControl w:val="0"/>
        <w:autoSpaceDE w:val="0"/>
        <w:autoSpaceDN w:val="0"/>
        <w:spacing w:after="0" w:line="276" w:lineRule="auto"/>
        <w:jc w:val="both"/>
        <w:rPr>
          <w:rFonts w:ascii="Verdana" w:hAnsi="Verdana" w:cs="Arial"/>
          <w:color w:val="FF0000"/>
          <w:shd w:val="clear" w:color="auto" w:fill="FFFFFF"/>
          <w:lang w:val="es-ES"/>
        </w:rPr>
      </w:pPr>
      <w:r w:rsidRPr="00044BD0">
        <w:rPr>
          <w:rFonts w:ascii="Verdana" w:eastAsia="Calibri" w:hAnsi="Verdana" w:cs="Arial"/>
          <w:lang w:val="es-ES_tradnl" w:eastAsia="es-ES_tradnl"/>
        </w:rPr>
        <w:t xml:space="preserve">Sobre la experiencia y las reformas estatutarias de las personas jurídicas se pronunció esta Subdirección en los conceptos </w:t>
      </w:r>
      <w:r w:rsidRPr="00044BD0">
        <w:rPr>
          <w:rFonts w:ascii="Verdana" w:eastAsia="Calibri" w:hAnsi="Verdana" w:cs="Arial"/>
          <w:lang w:val="es-MX"/>
        </w:rPr>
        <w:t>No. C-343 del 12 de febrero de 2021, C-440 del 02 de septiembre de 2021, C-820 del 29 de noviembre de 2022, C-121 del 12 de mayo de 2023, C-005 del 29 de febrero de 2024 y C-086 del 14 de mayo de 2024</w:t>
      </w:r>
      <w:r w:rsidRPr="00044BD0">
        <w:rPr>
          <w:rFonts w:ascii="Verdana" w:eastAsia="Calibri" w:hAnsi="Verdana" w:cs="Arial"/>
          <w:lang w:val="es-ES" w:eastAsia="es-ES_tradnl"/>
        </w:rPr>
        <w:t xml:space="preserve">. </w:t>
      </w:r>
      <w:r w:rsidRPr="00044BD0">
        <w:rPr>
          <w:rFonts w:ascii="Verdana" w:eastAsia="Calibri" w:hAnsi="Verdana" w:cs="Arial"/>
          <w:lang w:eastAsia="es-ES_tradnl"/>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2" w:tgtFrame="_blank" w:tooltip="Dirección URL original: https://relatoria.colombiacompra.gov.co/. Haga clic o pulse si confía en este vínculo." w:history="1">
        <w:r w:rsidRPr="00044BD0">
          <w:rPr>
            <w:rFonts w:ascii="Verdana" w:eastAsia="Calibri" w:hAnsi="Verdana" w:cs="Arial"/>
            <w:color w:val="0563C1" w:themeColor="hyperlink"/>
            <w:u w:val="single"/>
            <w:lang w:eastAsia="es-ES_tradnl"/>
          </w:rPr>
          <w:t>https://relatoria.colombiacompra.gov.co/</w:t>
        </w:r>
      </w:hyperlink>
      <w:r w:rsidRPr="00044BD0">
        <w:rPr>
          <w:rFonts w:ascii="Verdana" w:eastAsia="Calibri" w:hAnsi="Verdana" w:cs="Arial"/>
          <w:lang w:eastAsia="es-ES_tradnl"/>
        </w:rPr>
        <w:t> . Te invitamos también a revisar la tercera edición del  Boletín de Relatoría de 2024 en el cual podrás consultar en detalle el marco normativo de documentos tipo: </w:t>
      </w:r>
      <w:hyperlink r:id="rId13" w:tgtFrame="_blank" w:tooltip="Dirección URL original: https://www.colombiacompra.gov.co/sites/cce_public/files/files_2020/boletin_de_realtoria_iii.pdf. Haga clic o pulse si confía en este vínculo." w:history="1">
        <w:r w:rsidRPr="00044BD0">
          <w:rPr>
            <w:rFonts w:ascii="Verdana" w:eastAsia="Calibri" w:hAnsi="Verdana" w:cs="Arial"/>
            <w:color w:val="0563C1" w:themeColor="hyperlink"/>
            <w:u w:val="single"/>
            <w:lang w:eastAsia="es-ES_tradnl"/>
          </w:rPr>
          <w:t>https://www.colombiacompra.gov.co/sites/cce_public/files/files_2020/boletin_de_realtoria_iii.pdf</w:t>
        </w:r>
      </w:hyperlink>
    </w:p>
    <w:p w14:paraId="3800D360" w14:textId="77777777" w:rsidR="00044BD0" w:rsidRPr="00044BD0" w:rsidRDefault="00044BD0" w:rsidP="00044BD0">
      <w:pPr>
        <w:spacing w:after="0" w:line="240" w:lineRule="auto"/>
        <w:jc w:val="both"/>
        <w:rPr>
          <w:rFonts w:ascii="Verdana" w:hAnsi="Verdana"/>
        </w:rPr>
      </w:pPr>
    </w:p>
    <w:p w14:paraId="12B9D3AF" w14:textId="77777777" w:rsidR="00044BD0" w:rsidRPr="00044BD0" w:rsidRDefault="00044BD0" w:rsidP="00044BD0">
      <w:pPr>
        <w:spacing w:after="0" w:line="240" w:lineRule="auto"/>
        <w:jc w:val="both"/>
        <w:rPr>
          <w:rFonts w:ascii="Verdana" w:hAnsi="Verdana"/>
        </w:rPr>
      </w:pPr>
      <w:r w:rsidRPr="00044BD0">
        <w:rPr>
          <w:rFonts w:ascii="Verdana" w:hAnsi="Verdana"/>
        </w:rPr>
        <w:t xml:space="preserve">Por último, lo invitamos a seguirnos en las redes sociales en las cuales se difunde información institucional: </w:t>
      </w:r>
    </w:p>
    <w:p w14:paraId="7DFA90D3" w14:textId="77777777" w:rsidR="00044BD0" w:rsidRPr="00044BD0" w:rsidRDefault="00044BD0" w:rsidP="00044BD0">
      <w:pPr>
        <w:spacing w:after="0" w:line="240" w:lineRule="auto"/>
        <w:jc w:val="both"/>
        <w:rPr>
          <w:rFonts w:ascii="Verdana" w:hAnsi="Verdana"/>
        </w:rPr>
      </w:pPr>
    </w:p>
    <w:p w14:paraId="1092EDF5" w14:textId="77777777" w:rsidR="00044BD0" w:rsidRPr="00044BD0" w:rsidRDefault="00044BD0" w:rsidP="00044BD0">
      <w:pPr>
        <w:spacing w:after="0" w:line="240" w:lineRule="auto"/>
        <w:jc w:val="both"/>
        <w:rPr>
          <w:rFonts w:ascii="Verdana" w:hAnsi="Verdana"/>
        </w:rPr>
      </w:pPr>
      <w:r w:rsidRPr="00044BD0">
        <w:rPr>
          <w:rFonts w:ascii="Verdana" w:hAnsi="Verdana"/>
        </w:rPr>
        <w:t xml:space="preserve">Twitter: </w:t>
      </w:r>
      <w:r w:rsidRPr="00044BD0">
        <w:rPr>
          <w:rFonts w:ascii="Verdana" w:hAnsi="Verdana"/>
          <w:color w:val="4472C4" w:themeColor="accent1"/>
          <w:u w:val="single"/>
        </w:rPr>
        <w:t>@colombiacompra</w:t>
      </w:r>
      <w:r w:rsidRPr="00044BD0">
        <w:rPr>
          <w:rFonts w:ascii="Verdana" w:hAnsi="Verdana"/>
          <w:color w:val="4472C4" w:themeColor="accent1"/>
        </w:rPr>
        <w:t xml:space="preserve"> </w:t>
      </w:r>
    </w:p>
    <w:p w14:paraId="6FBF9ADB" w14:textId="77777777" w:rsidR="00044BD0" w:rsidRPr="00044BD0" w:rsidRDefault="00044BD0" w:rsidP="00044BD0">
      <w:pPr>
        <w:spacing w:after="0" w:line="240" w:lineRule="auto"/>
        <w:jc w:val="both"/>
        <w:rPr>
          <w:rFonts w:ascii="Verdana" w:hAnsi="Verdana"/>
        </w:rPr>
      </w:pPr>
      <w:r w:rsidRPr="00044BD0">
        <w:rPr>
          <w:rFonts w:ascii="Verdana" w:hAnsi="Verdana"/>
        </w:rPr>
        <w:t xml:space="preserve">Facebook: </w:t>
      </w:r>
      <w:r w:rsidRPr="00044BD0">
        <w:rPr>
          <w:rFonts w:ascii="Verdana" w:hAnsi="Verdana"/>
          <w:color w:val="4472C4" w:themeColor="accent1"/>
          <w:u w:val="single"/>
        </w:rPr>
        <w:t>ColombiaCompraEficiente</w:t>
      </w:r>
    </w:p>
    <w:p w14:paraId="24A4AF02" w14:textId="77777777" w:rsidR="00044BD0" w:rsidRPr="00044BD0" w:rsidRDefault="00044BD0" w:rsidP="00044BD0">
      <w:pPr>
        <w:spacing w:after="0" w:line="240" w:lineRule="auto"/>
        <w:jc w:val="both"/>
        <w:rPr>
          <w:rFonts w:ascii="Verdana" w:hAnsi="Verdana"/>
        </w:rPr>
      </w:pPr>
      <w:r w:rsidRPr="00044BD0">
        <w:rPr>
          <w:rFonts w:ascii="Verdana" w:hAnsi="Verdana"/>
        </w:rPr>
        <w:t xml:space="preserve">LinkedIn: </w:t>
      </w:r>
      <w:r w:rsidRPr="00044BD0">
        <w:rPr>
          <w:rFonts w:ascii="Verdana" w:hAnsi="Verdana"/>
          <w:color w:val="4472C4" w:themeColor="accent1"/>
          <w:u w:val="single"/>
        </w:rPr>
        <w:t>Agencia Nacional de Contratación Pública - Colombia Compra Eficiente</w:t>
      </w:r>
      <w:r w:rsidRPr="00044BD0">
        <w:rPr>
          <w:rFonts w:ascii="Verdana" w:hAnsi="Verdana"/>
          <w:color w:val="4472C4" w:themeColor="accent1"/>
        </w:rPr>
        <w:t xml:space="preserve"> </w:t>
      </w:r>
      <w:r w:rsidRPr="00044BD0">
        <w:rPr>
          <w:rFonts w:ascii="Verdana" w:hAnsi="Verdana"/>
        </w:rPr>
        <w:t xml:space="preserve">Instagram: </w:t>
      </w:r>
      <w:r w:rsidRPr="00044BD0">
        <w:rPr>
          <w:rFonts w:ascii="Verdana" w:hAnsi="Verdana"/>
          <w:color w:val="4472C4" w:themeColor="accent1"/>
          <w:u w:val="single"/>
        </w:rPr>
        <w:t>@colombiacompraeficiente_cce</w:t>
      </w:r>
    </w:p>
    <w:p w14:paraId="5CDAA57C" w14:textId="77777777" w:rsidR="00044BD0" w:rsidRPr="00044BD0" w:rsidRDefault="00044BD0" w:rsidP="00044BD0">
      <w:pPr>
        <w:widowControl w:val="0"/>
        <w:autoSpaceDE w:val="0"/>
        <w:autoSpaceDN w:val="0"/>
        <w:spacing w:after="0" w:line="276" w:lineRule="auto"/>
        <w:jc w:val="both"/>
        <w:rPr>
          <w:rFonts w:ascii="Verdana" w:hAnsi="Verdana" w:cs="Arial"/>
        </w:rPr>
      </w:pPr>
    </w:p>
    <w:p w14:paraId="4B0B6402" w14:textId="77777777" w:rsidR="00044BD0" w:rsidRPr="00044BD0" w:rsidRDefault="00044BD0" w:rsidP="00044BD0">
      <w:pPr>
        <w:widowControl w:val="0"/>
        <w:autoSpaceDE w:val="0"/>
        <w:autoSpaceDN w:val="0"/>
        <w:spacing w:after="0" w:line="276" w:lineRule="auto"/>
        <w:jc w:val="both"/>
        <w:rPr>
          <w:rFonts w:ascii="Verdana" w:hAnsi="Verdana" w:cs="Arial"/>
          <w:lang w:val="es-ES_tradnl"/>
        </w:rPr>
      </w:pPr>
      <w:r w:rsidRPr="00044BD0">
        <w:rPr>
          <w:rFonts w:ascii="Verdana" w:hAnsi="Verdana" w:cs="Arial"/>
        </w:rPr>
        <w:t xml:space="preserve">Este concepto tiene el alcance previsto en el artículo 28 del Código de Procedimiento Administrativo y de lo Contencioso Administrativo </w:t>
      </w:r>
      <w:r w:rsidRPr="00044BD0">
        <w:rPr>
          <w:rFonts w:ascii="Verdana" w:hAnsi="Verdana" w:cs="Arial"/>
          <w:lang w:val="es-ES_tradnl"/>
        </w:rPr>
        <w:t xml:space="preserve">y las </w:t>
      </w:r>
      <w:r w:rsidRPr="00044BD0">
        <w:rPr>
          <w:rFonts w:ascii="Verdana" w:hAnsi="Verdana" w:cs="Arial"/>
          <w:lang w:val="es-ES_tradnl"/>
        </w:rPr>
        <w:lastRenderedPageBreak/>
        <w:t>expresiones aquí utilizadas con mayúscula inicial deben ser entendidas con el significado que les otorga el artículo 2.2.1.1.1.3.1. del Decreto 1082 de 2015.</w:t>
      </w:r>
    </w:p>
    <w:p w14:paraId="0F087207" w14:textId="77777777" w:rsidR="00044BD0" w:rsidRPr="00044BD0" w:rsidRDefault="00044BD0" w:rsidP="00044BD0">
      <w:pPr>
        <w:spacing w:after="0" w:line="276" w:lineRule="auto"/>
        <w:ind w:firstLine="709"/>
        <w:jc w:val="both"/>
        <w:rPr>
          <w:rFonts w:ascii="Verdana" w:eastAsia="Times New Roman" w:hAnsi="Verdana" w:cs="Arial"/>
          <w:szCs w:val="24"/>
          <w:lang w:val="es-ES_tradnl" w:eastAsia="es-ES_tradnl"/>
        </w:rPr>
      </w:pPr>
    </w:p>
    <w:p w14:paraId="520B2D17" w14:textId="77777777" w:rsidR="00044BD0" w:rsidRPr="00044BD0" w:rsidRDefault="00044BD0" w:rsidP="00044BD0">
      <w:pPr>
        <w:spacing w:after="0" w:line="276" w:lineRule="auto"/>
        <w:jc w:val="both"/>
        <w:rPr>
          <w:rFonts w:ascii="Verdana" w:eastAsia="Times New Roman" w:hAnsi="Verdana" w:cs="Arial"/>
          <w:lang w:val="es-ES_tradnl" w:eastAsia="es-CO"/>
        </w:rPr>
      </w:pPr>
      <w:bookmarkStart w:id="11" w:name="_Hlk117695077"/>
      <w:r w:rsidRPr="00044BD0">
        <w:rPr>
          <w:rFonts w:ascii="Verdana" w:eastAsia="Times New Roman" w:hAnsi="Verdana" w:cs="Arial"/>
          <w:lang w:val="es-ES_tradnl" w:eastAsia="es-CO"/>
        </w:rPr>
        <w:t>Atentamente,</w:t>
      </w:r>
    </w:p>
    <w:bookmarkEnd w:id="11"/>
    <w:p w14:paraId="11CDAE30" w14:textId="10006AA4" w:rsidR="00044BD0" w:rsidRPr="00044BD0" w:rsidRDefault="000F1666" w:rsidP="00044BD0">
      <w:pPr>
        <w:spacing w:after="18" w:line="240" w:lineRule="auto"/>
        <w:jc w:val="center"/>
        <w:rPr>
          <w:rFonts w:ascii="Verdana" w:eastAsia="Times New Roman" w:hAnsi="Verdana" w:cs="Arial"/>
          <w:sz w:val="24"/>
          <w:szCs w:val="24"/>
          <w:lang w:eastAsia="es-CO"/>
        </w:rPr>
      </w:pPr>
      <w:r>
        <w:rPr>
          <w:noProof/>
        </w:rPr>
        <w:drawing>
          <wp:inline distT="0" distB="0" distL="0" distR="0" wp14:anchorId="7B07DC62" wp14:editId="779E99E4">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p w14:paraId="1AA03152" w14:textId="77777777" w:rsidR="00044BD0" w:rsidRPr="00044BD0" w:rsidRDefault="00044BD0" w:rsidP="00044BD0">
      <w:pPr>
        <w:spacing w:after="18" w:line="240" w:lineRule="auto"/>
        <w:jc w:val="center"/>
        <w:rPr>
          <w:rFonts w:ascii="Verdana" w:eastAsia="Times New Roman" w:hAnsi="Verdana" w:cs="Arial"/>
          <w:sz w:val="24"/>
          <w:szCs w:val="24"/>
          <w:lang w:eastAsia="es-CO"/>
        </w:rPr>
      </w:pPr>
    </w:p>
    <w:tbl>
      <w:tblPr>
        <w:tblStyle w:val="Tablaconcuadrcula1"/>
        <w:tblpPr w:leftFromText="141" w:rightFromText="141" w:vertAnchor="text" w:horzAnchor="margin" w:tblp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4217"/>
      </w:tblGrid>
      <w:tr w:rsidR="00044BD0" w:rsidRPr="00044BD0" w14:paraId="47F9F911" w14:textId="77777777" w:rsidTr="005A1842">
        <w:trPr>
          <w:trHeight w:val="286"/>
        </w:trPr>
        <w:tc>
          <w:tcPr>
            <w:tcW w:w="886" w:type="dxa"/>
            <w:vAlign w:val="center"/>
            <w:hideMark/>
          </w:tcPr>
          <w:p w14:paraId="0E90CE04" w14:textId="77777777" w:rsidR="00044BD0" w:rsidRPr="00044BD0" w:rsidRDefault="00044BD0" w:rsidP="00044BD0">
            <w:pPr>
              <w:rPr>
                <w:rFonts w:ascii="Verdana" w:hAnsi="Verdana" w:cs="Arial"/>
                <w:sz w:val="14"/>
                <w:szCs w:val="14"/>
                <w:lang w:eastAsia="es-ES"/>
              </w:rPr>
            </w:pPr>
            <w:r w:rsidRPr="00044BD0">
              <w:rPr>
                <w:rFonts w:ascii="Verdana" w:hAnsi="Verdana" w:cs="Arial"/>
                <w:sz w:val="16"/>
                <w:szCs w:val="16"/>
                <w:lang w:eastAsia="es-ES"/>
              </w:rPr>
              <w:t>Elaboró:</w:t>
            </w:r>
          </w:p>
        </w:tc>
        <w:tc>
          <w:tcPr>
            <w:tcW w:w="4217" w:type="dxa"/>
            <w:tcBorders>
              <w:top w:val="nil"/>
              <w:left w:val="nil"/>
              <w:bottom w:val="dotted" w:sz="4" w:space="0" w:color="7F7F7F"/>
              <w:right w:val="nil"/>
            </w:tcBorders>
            <w:vAlign w:val="center"/>
            <w:hideMark/>
          </w:tcPr>
          <w:p w14:paraId="643C1DE8" w14:textId="77777777" w:rsidR="00044BD0" w:rsidRPr="00044BD0" w:rsidRDefault="00044BD0" w:rsidP="00044BD0">
            <w:pPr>
              <w:rPr>
                <w:rFonts w:ascii="Verdana" w:hAnsi="Verdana" w:cs="Arial"/>
                <w:sz w:val="16"/>
                <w:szCs w:val="16"/>
                <w:lang w:val="es-ES_tradnl" w:eastAsia="es-ES"/>
              </w:rPr>
            </w:pPr>
            <w:r w:rsidRPr="00044BD0">
              <w:rPr>
                <w:rFonts w:ascii="Verdana" w:hAnsi="Verdana" w:cs="Arial"/>
                <w:sz w:val="16"/>
                <w:szCs w:val="16"/>
                <w:lang w:val="es-ES_tradnl" w:eastAsia="es-ES"/>
              </w:rPr>
              <w:t>Ximena Ríos López</w:t>
            </w:r>
          </w:p>
          <w:p w14:paraId="71543ECC" w14:textId="77777777" w:rsidR="00044BD0" w:rsidRPr="00044BD0" w:rsidRDefault="00044BD0" w:rsidP="00044BD0">
            <w:pPr>
              <w:rPr>
                <w:rFonts w:ascii="Verdana" w:hAnsi="Verdana" w:cs="Arial"/>
                <w:sz w:val="14"/>
                <w:szCs w:val="14"/>
                <w:lang w:eastAsia="es-ES"/>
              </w:rPr>
            </w:pPr>
            <w:r w:rsidRPr="00044BD0">
              <w:rPr>
                <w:rFonts w:ascii="Verdana" w:hAnsi="Verdana" w:cs="Arial"/>
                <w:sz w:val="16"/>
                <w:szCs w:val="16"/>
                <w:lang w:eastAsia="es-ES"/>
              </w:rPr>
              <w:t>Gestor T1-11 de la Subdirección de Gestión Contractual</w:t>
            </w:r>
          </w:p>
        </w:tc>
      </w:tr>
      <w:tr w:rsidR="00044BD0" w:rsidRPr="00044BD0" w14:paraId="6FE4278B" w14:textId="77777777" w:rsidTr="005A1842">
        <w:trPr>
          <w:trHeight w:val="299"/>
        </w:trPr>
        <w:tc>
          <w:tcPr>
            <w:tcW w:w="886" w:type="dxa"/>
            <w:vAlign w:val="center"/>
            <w:hideMark/>
          </w:tcPr>
          <w:p w14:paraId="5BD4DCD0" w14:textId="77777777" w:rsidR="00044BD0" w:rsidRPr="00044BD0" w:rsidRDefault="00044BD0" w:rsidP="00044BD0">
            <w:pPr>
              <w:rPr>
                <w:rFonts w:ascii="Verdana" w:hAnsi="Verdana" w:cs="Arial"/>
                <w:sz w:val="14"/>
                <w:szCs w:val="14"/>
                <w:lang w:eastAsia="es-ES"/>
              </w:rPr>
            </w:pPr>
            <w:r w:rsidRPr="00044BD0">
              <w:rPr>
                <w:rFonts w:ascii="Verdana" w:hAnsi="Verdana" w:cs="Arial"/>
                <w:sz w:val="16"/>
                <w:szCs w:val="16"/>
                <w:lang w:eastAsia="es-ES"/>
              </w:rPr>
              <w:t>Revisó:</w:t>
            </w:r>
          </w:p>
        </w:tc>
        <w:tc>
          <w:tcPr>
            <w:tcW w:w="4217" w:type="dxa"/>
            <w:tcBorders>
              <w:top w:val="dotted" w:sz="4" w:space="0" w:color="7F7F7F"/>
              <w:left w:val="nil"/>
              <w:bottom w:val="dotted" w:sz="4" w:space="0" w:color="7F7F7F"/>
              <w:right w:val="nil"/>
            </w:tcBorders>
            <w:vAlign w:val="center"/>
            <w:hideMark/>
          </w:tcPr>
          <w:p w14:paraId="1027F706" w14:textId="77777777" w:rsidR="00044BD0" w:rsidRPr="00044BD0" w:rsidRDefault="00044BD0" w:rsidP="00044BD0">
            <w:pPr>
              <w:rPr>
                <w:rFonts w:ascii="Verdana" w:hAnsi="Verdana" w:cs="Arial"/>
                <w:sz w:val="16"/>
                <w:szCs w:val="16"/>
                <w:lang w:val="es-ES_tradnl" w:eastAsia="es-ES"/>
              </w:rPr>
            </w:pPr>
            <w:r w:rsidRPr="00044BD0">
              <w:rPr>
                <w:rFonts w:ascii="Verdana" w:hAnsi="Verdana" w:cs="Arial"/>
                <w:sz w:val="16"/>
                <w:szCs w:val="16"/>
                <w:lang w:val="es-ES_tradnl" w:eastAsia="es-ES"/>
              </w:rPr>
              <w:t>Cielo González</w:t>
            </w:r>
          </w:p>
          <w:p w14:paraId="683C6463" w14:textId="77777777" w:rsidR="00044BD0" w:rsidRPr="00044BD0" w:rsidRDefault="00044BD0" w:rsidP="00044BD0">
            <w:pPr>
              <w:rPr>
                <w:rFonts w:ascii="Verdana" w:hAnsi="Verdana" w:cs="Arial"/>
                <w:sz w:val="14"/>
                <w:szCs w:val="14"/>
                <w:lang w:eastAsia="es-ES"/>
              </w:rPr>
            </w:pPr>
            <w:r w:rsidRPr="00044BD0">
              <w:rPr>
                <w:rFonts w:ascii="Verdana" w:hAnsi="Verdana" w:cs="Arial"/>
                <w:sz w:val="16"/>
                <w:szCs w:val="16"/>
                <w:lang w:eastAsia="es-ES"/>
              </w:rPr>
              <w:t>Contratista de la Subdirección de Gestión Contractual</w:t>
            </w:r>
          </w:p>
        </w:tc>
      </w:tr>
      <w:tr w:rsidR="00044BD0" w:rsidRPr="00044BD0" w14:paraId="2FBB00C8" w14:textId="77777777" w:rsidTr="005A1842">
        <w:trPr>
          <w:trHeight w:val="272"/>
        </w:trPr>
        <w:tc>
          <w:tcPr>
            <w:tcW w:w="886" w:type="dxa"/>
            <w:vAlign w:val="center"/>
            <w:hideMark/>
          </w:tcPr>
          <w:p w14:paraId="1ECDE9D2" w14:textId="77777777" w:rsidR="00044BD0" w:rsidRPr="00044BD0" w:rsidRDefault="00044BD0" w:rsidP="00044BD0">
            <w:pPr>
              <w:rPr>
                <w:rFonts w:ascii="Verdana" w:hAnsi="Verdana" w:cs="Arial"/>
                <w:sz w:val="14"/>
                <w:szCs w:val="14"/>
                <w:lang w:eastAsia="es-ES"/>
              </w:rPr>
            </w:pPr>
            <w:r w:rsidRPr="00044BD0">
              <w:rPr>
                <w:rFonts w:ascii="Verdana" w:hAnsi="Verdana" w:cs="Arial"/>
                <w:sz w:val="16"/>
                <w:szCs w:val="16"/>
                <w:lang w:eastAsia="es-ES"/>
              </w:rPr>
              <w:t>Aprobó:</w:t>
            </w:r>
          </w:p>
        </w:tc>
        <w:tc>
          <w:tcPr>
            <w:tcW w:w="4217" w:type="dxa"/>
            <w:tcBorders>
              <w:top w:val="dotted" w:sz="4" w:space="0" w:color="7F7F7F"/>
              <w:left w:val="nil"/>
              <w:bottom w:val="dotted" w:sz="4" w:space="0" w:color="7F7F7F"/>
              <w:right w:val="nil"/>
            </w:tcBorders>
            <w:vAlign w:val="center"/>
            <w:hideMark/>
          </w:tcPr>
          <w:p w14:paraId="5C8FED89" w14:textId="77777777" w:rsidR="00044BD0" w:rsidRPr="00044BD0" w:rsidRDefault="00044BD0" w:rsidP="00044BD0">
            <w:pPr>
              <w:rPr>
                <w:rFonts w:ascii="Verdana" w:hAnsi="Verdana" w:cs="Arial"/>
                <w:sz w:val="16"/>
                <w:szCs w:val="16"/>
                <w:lang w:eastAsia="es-ES"/>
              </w:rPr>
            </w:pPr>
            <w:r w:rsidRPr="00044BD0">
              <w:rPr>
                <w:rFonts w:ascii="Verdana" w:hAnsi="Verdana" w:cs="Arial"/>
                <w:sz w:val="16"/>
                <w:szCs w:val="16"/>
                <w:lang w:eastAsia="es-ES"/>
              </w:rPr>
              <w:t>Carolina Quintero Gacharná</w:t>
            </w:r>
          </w:p>
          <w:p w14:paraId="18988F37" w14:textId="77777777" w:rsidR="00044BD0" w:rsidRPr="00044BD0" w:rsidRDefault="00044BD0" w:rsidP="00044BD0">
            <w:pPr>
              <w:rPr>
                <w:rFonts w:ascii="Verdana" w:hAnsi="Verdana" w:cs="Arial"/>
                <w:sz w:val="16"/>
                <w:szCs w:val="16"/>
                <w:lang w:eastAsia="es-ES"/>
              </w:rPr>
            </w:pPr>
            <w:r w:rsidRPr="00044BD0">
              <w:rPr>
                <w:rFonts w:ascii="Verdana" w:hAnsi="Verdana" w:cs="Arial"/>
                <w:sz w:val="16"/>
                <w:szCs w:val="16"/>
                <w:lang w:eastAsia="es-ES"/>
              </w:rPr>
              <w:t>Subdirectora de Gestión Contractual ANCP – CCE</w:t>
            </w:r>
          </w:p>
        </w:tc>
      </w:tr>
      <w:tr w:rsidR="00044BD0" w:rsidRPr="00044BD0" w14:paraId="6E6C8687" w14:textId="77777777" w:rsidTr="005A1842">
        <w:trPr>
          <w:trHeight w:val="272"/>
        </w:trPr>
        <w:tc>
          <w:tcPr>
            <w:tcW w:w="886" w:type="dxa"/>
            <w:vAlign w:val="center"/>
          </w:tcPr>
          <w:p w14:paraId="3419BD4B" w14:textId="77777777" w:rsidR="00044BD0" w:rsidRPr="00044BD0" w:rsidRDefault="00044BD0" w:rsidP="00044BD0">
            <w:pPr>
              <w:rPr>
                <w:rFonts w:ascii="Verdana" w:hAnsi="Verdana" w:cs="Arial"/>
                <w:sz w:val="16"/>
                <w:szCs w:val="16"/>
                <w:lang w:eastAsia="es-ES"/>
              </w:rPr>
            </w:pPr>
            <w:r w:rsidRPr="00044BD0">
              <w:rPr>
                <w:rFonts w:ascii="Verdana" w:hAnsi="Verdana" w:cs="Arial"/>
                <w:sz w:val="16"/>
                <w:szCs w:val="16"/>
                <w:lang w:eastAsia="es-ES"/>
              </w:rPr>
              <w:t>Anexos:</w:t>
            </w:r>
          </w:p>
        </w:tc>
        <w:tc>
          <w:tcPr>
            <w:tcW w:w="4217" w:type="dxa"/>
            <w:tcBorders>
              <w:top w:val="dotted" w:sz="4" w:space="0" w:color="7F7F7F"/>
              <w:left w:val="nil"/>
              <w:bottom w:val="dotted" w:sz="4" w:space="0" w:color="7F7F7F"/>
              <w:right w:val="nil"/>
            </w:tcBorders>
            <w:vAlign w:val="center"/>
          </w:tcPr>
          <w:p w14:paraId="5A7FA868" w14:textId="77777777" w:rsidR="00044BD0" w:rsidRPr="00044BD0" w:rsidRDefault="00044BD0" w:rsidP="00044BD0">
            <w:pPr>
              <w:rPr>
                <w:rFonts w:ascii="Verdana" w:hAnsi="Verdana" w:cs="Arial"/>
                <w:sz w:val="16"/>
                <w:szCs w:val="16"/>
                <w:lang w:eastAsia="es-ES"/>
              </w:rPr>
            </w:pPr>
            <w:r w:rsidRPr="00044BD0">
              <w:rPr>
                <w:rFonts w:ascii="Verdana" w:hAnsi="Verdana" w:cs="Arial"/>
                <w:sz w:val="16"/>
                <w:szCs w:val="16"/>
                <w:lang w:eastAsia="es-ES"/>
              </w:rPr>
              <w:t>Radicados de salida No. RS20240801010908 y RS20240801010889 del 1 de agosto de 2024</w:t>
            </w:r>
          </w:p>
        </w:tc>
      </w:tr>
    </w:tbl>
    <w:p w14:paraId="5471E6B2" w14:textId="77777777" w:rsidR="00044BD0" w:rsidRPr="00044BD0" w:rsidRDefault="00044BD0" w:rsidP="00044BD0">
      <w:pPr>
        <w:spacing w:after="0" w:line="276" w:lineRule="auto"/>
        <w:jc w:val="both"/>
        <w:rPr>
          <w:rFonts w:ascii="Verdana" w:eastAsia="Times New Roman" w:hAnsi="Verdana" w:cs="Arial"/>
          <w:lang w:val="es-ES_tradnl"/>
        </w:rPr>
      </w:pPr>
    </w:p>
    <w:p w14:paraId="30AC2C08" w14:textId="77777777" w:rsidR="00044BD0" w:rsidRPr="00044BD0" w:rsidRDefault="00044BD0" w:rsidP="00044BD0">
      <w:pPr>
        <w:spacing w:after="0" w:line="240" w:lineRule="auto"/>
        <w:rPr>
          <w:rFonts w:ascii="Verdana" w:eastAsia="Times New Roman" w:hAnsi="Verdana" w:cs="Arial"/>
          <w:sz w:val="24"/>
          <w:szCs w:val="24"/>
          <w:lang w:eastAsia="es-ES_tradnl"/>
        </w:rPr>
      </w:pPr>
    </w:p>
    <w:p w14:paraId="582201ED" w14:textId="77777777" w:rsidR="00044BD0" w:rsidRPr="00044BD0" w:rsidRDefault="00044BD0" w:rsidP="00044BD0">
      <w:pPr>
        <w:rPr>
          <w:rFonts w:ascii="Verdana" w:hAnsi="Verdana"/>
        </w:rPr>
      </w:pPr>
    </w:p>
    <w:p w14:paraId="7524C5AD" w14:textId="77777777" w:rsidR="002A0DD0" w:rsidRDefault="002A0DD0" w:rsidP="002A0DD0">
      <w:pPr>
        <w:spacing w:after="0"/>
        <w:jc w:val="both"/>
        <w:rPr>
          <w:rFonts w:ascii="Verdana" w:hAnsi="Verdana"/>
        </w:rPr>
      </w:pPr>
    </w:p>
    <w:p w14:paraId="0BFDCF1E" w14:textId="77777777" w:rsidR="00044BD0" w:rsidRDefault="00044BD0" w:rsidP="002A0DD0">
      <w:pPr>
        <w:spacing w:after="0"/>
        <w:jc w:val="both"/>
        <w:rPr>
          <w:rFonts w:ascii="Verdana" w:hAnsi="Verdana"/>
        </w:rPr>
      </w:pPr>
    </w:p>
    <w:p w14:paraId="39A793A5" w14:textId="77777777" w:rsidR="00044BD0" w:rsidRDefault="00044BD0" w:rsidP="002A0DD0">
      <w:pPr>
        <w:spacing w:after="0"/>
        <w:jc w:val="both"/>
        <w:rPr>
          <w:rFonts w:ascii="Verdana" w:hAnsi="Verdana"/>
        </w:rPr>
      </w:pPr>
    </w:p>
    <w:p w14:paraId="32FF1060" w14:textId="77777777" w:rsidR="00044BD0" w:rsidRDefault="00044BD0" w:rsidP="002A0DD0">
      <w:pPr>
        <w:spacing w:after="0"/>
        <w:jc w:val="both"/>
        <w:rPr>
          <w:rFonts w:ascii="Verdana" w:hAnsi="Verdana"/>
        </w:rPr>
      </w:pPr>
    </w:p>
    <w:p w14:paraId="45F7B1F3" w14:textId="77777777" w:rsidR="00044BD0" w:rsidRPr="00044BD0" w:rsidRDefault="00044BD0" w:rsidP="002A0DD0">
      <w:pPr>
        <w:spacing w:after="0"/>
        <w:jc w:val="both"/>
        <w:rPr>
          <w:rFonts w:ascii="Verdana" w:hAnsi="Verdana"/>
        </w:rPr>
      </w:pPr>
    </w:p>
    <w:p w14:paraId="1EC076C9" w14:textId="77777777" w:rsidR="002A0DD0" w:rsidRPr="00DA23A0" w:rsidRDefault="002A0DD0" w:rsidP="002A0DD0">
      <w:pPr>
        <w:spacing w:after="0"/>
        <w:jc w:val="both"/>
        <w:rPr>
          <w:rStyle w:val="Hipervnculo"/>
          <w:rFonts w:ascii="Verdana" w:hAnsi="Verdana"/>
          <w:b/>
          <w:bCs/>
          <w:sz w:val="20"/>
          <w:szCs w:val="20"/>
        </w:rPr>
      </w:pPr>
      <w:r w:rsidRPr="00DA23A0">
        <w:rPr>
          <w:rStyle w:val="ui-provider"/>
          <w:rFonts w:ascii="Verdana" w:hAnsi="Verdana"/>
          <w:b/>
          <w:bCs/>
          <w:sz w:val="20"/>
          <w:szCs w:val="20"/>
        </w:rPr>
        <w:t xml:space="preserve">Para visualizar los anexos se recomienda utilizar un aplicativo de visualización de PDF como Adobe Reader que permite la descarga de los archivos anexos. Si presenta inconvenientes para ver los anexos, en el siguiente enlace podrá ver el </w:t>
      </w:r>
      <w:hyperlink r:id="rId15" w:tgtFrame="_blank" w:tooltip="https://nam02.safelinks.protection.outlook.com/?url=https%3a%2f%2fwww.colombiacompra.gov.co%2fsala-de-prensa%2finfografias%2finstructivo-para-visualizar-anexos-en-un-archivo-pdf&amp;data=05%7c01%7csergio.caballero%40colombiacompra.gov.co%7ca4dfcf066f0248f713f008da" w:history="1">
        <w:r w:rsidRPr="00DA23A0">
          <w:rPr>
            <w:rStyle w:val="Hipervnculo"/>
            <w:rFonts w:ascii="Verdana" w:hAnsi="Verdana"/>
            <w:b/>
            <w:bCs/>
            <w:sz w:val="20"/>
            <w:szCs w:val="20"/>
          </w:rPr>
          <w:t>instructivo</w:t>
        </w:r>
      </w:hyperlink>
    </w:p>
    <w:p w14:paraId="71450DB7" w14:textId="77777777" w:rsidR="00322A85" w:rsidRPr="0044528D" w:rsidRDefault="00322A85" w:rsidP="00E245AB">
      <w:pPr>
        <w:spacing w:after="0"/>
        <w:jc w:val="both"/>
        <w:rPr>
          <w:rStyle w:val="Hipervnculo"/>
          <w:rFonts w:ascii="Verdana" w:hAnsi="Verdana"/>
        </w:rPr>
      </w:pPr>
    </w:p>
    <w:p w14:paraId="48A1EFE8" w14:textId="77777777" w:rsidR="002707A2" w:rsidRPr="0044528D" w:rsidRDefault="002707A2" w:rsidP="00E245AB">
      <w:pPr>
        <w:spacing w:after="0"/>
        <w:jc w:val="both"/>
        <w:rPr>
          <w:rStyle w:val="Hipervnculo"/>
          <w:rFonts w:ascii="Verdana" w:hAnsi="Verdana"/>
        </w:rPr>
      </w:pPr>
    </w:p>
    <w:p w14:paraId="58AE2BA8" w14:textId="77777777" w:rsidR="002707A2" w:rsidRPr="0044528D" w:rsidRDefault="002707A2" w:rsidP="00E245AB">
      <w:pPr>
        <w:spacing w:after="0"/>
        <w:jc w:val="both"/>
        <w:rPr>
          <w:rStyle w:val="Hipervnculo"/>
          <w:rFonts w:ascii="Verdana" w:hAnsi="Verdana"/>
        </w:rPr>
      </w:pPr>
    </w:p>
    <w:p w14:paraId="62357DF3" w14:textId="77777777" w:rsidR="002707A2" w:rsidRPr="0044528D" w:rsidRDefault="002707A2" w:rsidP="00E245AB">
      <w:pPr>
        <w:spacing w:after="0"/>
        <w:jc w:val="both"/>
        <w:rPr>
          <w:rStyle w:val="Hipervnculo"/>
          <w:rFonts w:ascii="Verdana" w:hAnsi="Verdana"/>
        </w:rPr>
      </w:pPr>
    </w:p>
    <w:p w14:paraId="114031B5" w14:textId="77777777" w:rsidR="002707A2" w:rsidRPr="0044528D" w:rsidRDefault="002707A2" w:rsidP="00E245AB">
      <w:pPr>
        <w:spacing w:after="0"/>
        <w:jc w:val="both"/>
        <w:rPr>
          <w:rStyle w:val="Hipervnculo"/>
          <w:rFonts w:ascii="Verdana" w:hAnsi="Verdana"/>
        </w:rPr>
      </w:pPr>
    </w:p>
    <w:p w14:paraId="70F795F3" w14:textId="77777777" w:rsidR="002707A2" w:rsidRPr="0044528D" w:rsidRDefault="002707A2" w:rsidP="00E245AB">
      <w:pPr>
        <w:spacing w:after="0"/>
        <w:jc w:val="both"/>
        <w:rPr>
          <w:rStyle w:val="Hipervnculo"/>
          <w:rFonts w:ascii="Verdana" w:hAnsi="Verdana"/>
        </w:rPr>
      </w:pPr>
    </w:p>
    <w:p w14:paraId="6FAF0BCA" w14:textId="77777777" w:rsidR="002707A2" w:rsidRPr="0044528D" w:rsidRDefault="002707A2" w:rsidP="00E245AB">
      <w:pPr>
        <w:spacing w:after="0"/>
        <w:jc w:val="both"/>
        <w:rPr>
          <w:rStyle w:val="Hipervnculo"/>
          <w:rFonts w:ascii="Verdana" w:hAnsi="Verdana"/>
        </w:rPr>
      </w:pPr>
    </w:p>
    <w:bookmarkEnd w:id="0"/>
    <w:p w14:paraId="48997F8F" w14:textId="77777777" w:rsidR="00322A85" w:rsidRPr="0044528D" w:rsidRDefault="00322A85" w:rsidP="00322A85">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43BF5FD9" w14:textId="77777777" w:rsidR="00322A85" w:rsidRPr="0044528D" w:rsidRDefault="00322A85" w:rsidP="00322A85">
      <w:pPr>
        <w:spacing w:after="0" w:line="240" w:lineRule="auto"/>
        <w:textAlignment w:val="baseline"/>
        <w:rPr>
          <w:rFonts w:ascii="Verdana" w:eastAsia="Times New Roman" w:hAnsi="Verdana" w:cs="Segoe UI"/>
          <w:sz w:val="18"/>
          <w:szCs w:val="18"/>
          <w:lang w:eastAsia="es-CO"/>
        </w:rPr>
      </w:pPr>
      <w:r w:rsidRPr="0044528D">
        <w:rPr>
          <w:rFonts w:ascii="Verdana" w:eastAsia="Times New Roman" w:hAnsi="Verdana" w:cs="Segoe UI"/>
          <w:color w:val="404040"/>
          <w:lang w:eastAsia="es-CO"/>
        </w:rPr>
        <w:t> </w:t>
      </w:r>
    </w:p>
    <w:p w14:paraId="1FCCEBF0" w14:textId="77777777" w:rsidR="00322A85" w:rsidRPr="0044528D" w:rsidRDefault="00322A85" w:rsidP="00322A85">
      <w:pPr>
        <w:spacing w:after="0" w:line="240" w:lineRule="auto"/>
        <w:textAlignment w:val="baseline"/>
        <w:rPr>
          <w:rFonts w:ascii="Verdana" w:eastAsia="Times New Roman" w:hAnsi="Verdana" w:cs="Segoe UI"/>
          <w:sz w:val="18"/>
          <w:szCs w:val="18"/>
          <w:lang w:eastAsia="es-CO"/>
        </w:rPr>
      </w:pPr>
      <w:r w:rsidRPr="0044528D">
        <w:rPr>
          <w:rFonts w:ascii="Verdana" w:eastAsia="Times New Roman" w:hAnsi="Verdana" w:cs="Segoe UI"/>
          <w:color w:val="404040"/>
          <w:lang w:eastAsia="es-CO"/>
        </w:rPr>
        <w:t> </w:t>
      </w:r>
    </w:p>
    <w:p w14:paraId="13842371" w14:textId="12E379C4" w:rsidR="00322A85" w:rsidRPr="0044528D" w:rsidRDefault="00322A85" w:rsidP="00322A85">
      <w:pPr>
        <w:spacing w:after="0" w:line="240" w:lineRule="auto"/>
        <w:textAlignment w:val="baseline"/>
        <w:rPr>
          <w:rFonts w:ascii="Verdana" w:eastAsia="Times New Roman" w:hAnsi="Verdana" w:cs="Segoe UI"/>
          <w:sz w:val="18"/>
          <w:szCs w:val="18"/>
          <w:lang w:eastAsia="es-CO"/>
        </w:rPr>
      </w:pPr>
    </w:p>
    <w:tbl>
      <w:tblPr>
        <w:tblW w:w="88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0"/>
        <w:gridCol w:w="2069"/>
        <w:gridCol w:w="1556"/>
        <w:gridCol w:w="1271"/>
        <w:gridCol w:w="1738"/>
        <w:gridCol w:w="1413"/>
      </w:tblGrid>
      <w:tr w:rsidR="00322A85" w:rsidRPr="0044528D" w14:paraId="5A16EFBD" w14:textId="77777777" w:rsidTr="009B2D26">
        <w:trPr>
          <w:trHeight w:val="300"/>
        </w:trPr>
        <w:tc>
          <w:tcPr>
            <w:tcW w:w="8837" w:type="dxa"/>
            <w:gridSpan w:val="6"/>
            <w:tcBorders>
              <w:top w:val="dotted" w:sz="6" w:space="0" w:color="A6A6A6"/>
              <w:left w:val="dotted" w:sz="6" w:space="0" w:color="A6A6A6"/>
              <w:bottom w:val="dotted" w:sz="6" w:space="0" w:color="A6A6A6"/>
              <w:right w:val="dotted" w:sz="6" w:space="0" w:color="A6A6A6"/>
            </w:tcBorders>
            <w:shd w:val="clear" w:color="auto" w:fill="AEAAAA" w:themeFill="background2" w:themeFillShade="BF"/>
            <w:vAlign w:val="center"/>
            <w:hideMark/>
          </w:tcPr>
          <w:p w14:paraId="4F5063F1" w14:textId="77777777" w:rsidR="00322A85" w:rsidRPr="00DA23A0" w:rsidRDefault="00322A85" w:rsidP="00322A85">
            <w:pPr>
              <w:spacing w:after="0" w:line="240" w:lineRule="auto"/>
              <w:jc w:val="center"/>
              <w:textAlignment w:val="baseline"/>
              <w:divId w:val="1359618204"/>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CONTROL DE CAMBIOS DEL DOCUEMTO </w:t>
            </w:r>
            <w:r w:rsidRPr="00DA23A0">
              <w:rPr>
                <w:rFonts w:ascii="Verdana" w:eastAsia="Times New Roman" w:hAnsi="Verdana" w:cs="Times New Roman"/>
                <w:sz w:val="14"/>
                <w:szCs w:val="14"/>
                <w:lang w:eastAsia="es-CO"/>
              </w:rPr>
              <w:t> </w:t>
            </w:r>
          </w:p>
        </w:tc>
      </w:tr>
      <w:tr w:rsidR="00322A85" w:rsidRPr="0044528D" w14:paraId="4B2B12CB" w14:textId="77777777" w:rsidTr="009B2D26">
        <w:trPr>
          <w:trHeight w:val="300"/>
        </w:trPr>
        <w:tc>
          <w:tcPr>
            <w:tcW w:w="767" w:type="dxa"/>
            <w:tcBorders>
              <w:top w:val="dotted" w:sz="6" w:space="0" w:color="A6A6A6"/>
              <w:left w:val="dotted" w:sz="6" w:space="0" w:color="A6A6A6"/>
              <w:bottom w:val="dotted" w:sz="6" w:space="0" w:color="A6A6A6"/>
              <w:right w:val="dotted" w:sz="6" w:space="0" w:color="A6A6A6"/>
            </w:tcBorders>
            <w:shd w:val="clear" w:color="auto" w:fill="AEAAAA" w:themeFill="background2" w:themeFillShade="BF"/>
            <w:vAlign w:val="center"/>
            <w:hideMark/>
          </w:tcPr>
          <w:p w14:paraId="3CF801AC" w14:textId="77777777" w:rsidR="00322A85" w:rsidRPr="00DA23A0" w:rsidRDefault="00322A85" w:rsidP="00322A8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VERSION</w:t>
            </w:r>
            <w:r w:rsidRPr="00DA23A0">
              <w:rPr>
                <w:rFonts w:ascii="Verdana" w:eastAsia="Times New Roman" w:hAnsi="Verdana" w:cs="Times New Roman"/>
                <w:sz w:val="14"/>
                <w:szCs w:val="14"/>
                <w:lang w:eastAsia="es-CO"/>
              </w:rPr>
              <w:t> </w:t>
            </w:r>
          </w:p>
        </w:tc>
        <w:tc>
          <w:tcPr>
            <w:tcW w:w="2075" w:type="dxa"/>
            <w:tcBorders>
              <w:top w:val="dotted" w:sz="6" w:space="0" w:color="A6A6A6"/>
              <w:left w:val="dotted" w:sz="6" w:space="0" w:color="A6A6A6"/>
              <w:bottom w:val="dotted" w:sz="6" w:space="0" w:color="A6A6A6"/>
              <w:right w:val="dotted" w:sz="6" w:space="0" w:color="A6A6A6"/>
            </w:tcBorders>
            <w:shd w:val="clear" w:color="auto" w:fill="AEAAAA" w:themeFill="background2" w:themeFillShade="BF"/>
            <w:vAlign w:val="center"/>
            <w:hideMark/>
          </w:tcPr>
          <w:p w14:paraId="1164FF6D" w14:textId="77777777" w:rsidR="00322A85" w:rsidRPr="00DA23A0" w:rsidRDefault="00322A85" w:rsidP="00322A8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AJUSTES</w:t>
            </w:r>
            <w:r w:rsidRPr="00DA23A0">
              <w:rPr>
                <w:rFonts w:ascii="Verdana" w:eastAsia="Times New Roman" w:hAnsi="Verdana" w:cs="Times New Roman"/>
                <w:sz w:val="14"/>
                <w:szCs w:val="14"/>
                <w:lang w:eastAsia="es-CO"/>
              </w:rPr>
              <w:t> </w:t>
            </w:r>
          </w:p>
        </w:tc>
        <w:tc>
          <w:tcPr>
            <w:tcW w:w="1560" w:type="dxa"/>
            <w:tcBorders>
              <w:top w:val="dotted" w:sz="6" w:space="0" w:color="A6A6A6"/>
              <w:left w:val="dotted" w:sz="6" w:space="0" w:color="A6A6A6"/>
              <w:bottom w:val="dotted" w:sz="6" w:space="0" w:color="A6A6A6"/>
              <w:right w:val="dotted" w:sz="6" w:space="0" w:color="A6A6A6"/>
            </w:tcBorders>
            <w:shd w:val="clear" w:color="auto" w:fill="AEAAAA" w:themeFill="background2" w:themeFillShade="BF"/>
            <w:vAlign w:val="center"/>
            <w:hideMark/>
          </w:tcPr>
          <w:p w14:paraId="6AA7A733" w14:textId="77777777" w:rsidR="00322A85" w:rsidRPr="00DA23A0" w:rsidRDefault="00322A85" w:rsidP="00322A8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FECHA</w:t>
            </w:r>
            <w:r w:rsidRPr="00DA23A0">
              <w:rPr>
                <w:rFonts w:ascii="Verdana" w:eastAsia="Times New Roman" w:hAnsi="Verdana" w:cs="Times New Roman"/>
                <w:sz w:val="14"/>
                <w:szCs w:val="14"/>
                <w:lang w:eastAsia="es-CO"/>
              </w:rPr>
              <w:t> </w:t>
            </w:r>
          </w:p>
        </w:tc>
        <w:tc>
          <w:tcPr>
            <w:tcW w:w="3018" w:type="dxa"/>
            <w:gridSpan w:val="2"/>
            <w:tcBorders>
              <w:top w:val="dotted" w:sz="6" w:space="0" w:color="A6A6A6"/>
              <w:left w:val="dotted" w:sz="6" w:space="0" w:color="A6A6A6"/>
              <w:bottom w:val="dotted" w:sz="6" w:space="0" w:color="A6A6A6"/>
              <w:right w:val="dotted" w:sz="6" w:space="0" w:color="A6A6A6"/>
            </w:tcBorders>
            <w:shd w:val="clear" w:color="auto" w:fill="AEAAAA" w:themeFill="background2" w:themeFillShade="BF"/>
            <w:vAlign w:val="center"/>
            <w:hideMark/>
          </w:tcPr>
          <w:p w14:paraId="3CC64EFB" w14:textId="77777777" w:rsidR="00322A85" w:rsidRPr="00DA23A0" w:rsidRDefault="00322A85" w:rsidP="00322A8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VERSIÓN</w:t>
            </w:r>
            <w:r w:rsidRPr="00DA23A0">
              <w:rPr>
                <w:rFonts w:ascii="Verdana" w:eastAsia="Times New Roman" w:hAnsi="Verdana" w:cs="Times New Roman"/>
                <w:sz w:val="14"/>
                <w:szCs w:val="14"/>
                <w:lang w:eastAsia="es-CO"/>
              </w:rPr>
              <w:t> </w:t>
            </w:r>
          </w:p>
        </w:tc>
        <w:tc>
          <w:tcPr>
            <w:tcW w:w="1417" w:type="dxa"/>
            <w:tcBorders>
              <w:top w:val="dotted" w:sz="6" w:space="0" w:color="A6A6A6"/>
              <w:left w:val="dotted" w:sz="6" w:space="0" w:color="A6A6A6"/>
              <w:bottom w:val="dotted" w:sz="6" w:space="0" w:color="A6A6A6"/>
              <w:right w:val="dotted" w:sz="6" w:space="0" w:color="A6A6A6"/>
            </w:tcBorders>
            <w:shd w:val="clear" w:color="auto" w:fill="FFFFFF"/>
            <w:vAlign w:val="center"/>
            <w:hideMark/>
          </w:tcPr>
          <w:p w14:paraId="1ED0CBE7" w14:textId="61693BF8" w:rsidR="00322A85" w:rsidRPr="00DA23A0" w:rsidRDefault="00322A85" w:rsidP="00322A8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02</w:t>
            </w:r>
          </w:p>
        </w:tc>
      </w:tr>
      <w:tr w:rsidR="00322A85" w:rsidRPr="0044528D" w14:paraId="03AF057A" w14:textId="77777777" w:rsidTr="009B2D26">
        <w:trPr>
          <w:trHeight w:val="300"/>
        </w:trPr>
        <w:tc>
          <w:tcPr>
            <w:tcW w:w="767" w:type="dxa"/>
            <w:vMerge w:val="restart"/>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4E7CC039" w14:textId="054A962A" w:rsidR="00322A85" w:rsidRPr="00DA23A0" w:rsidRDefault="00322A85" w:rsidP="00322A8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01 </w:t>
            </w:r>
          </w:p>
        </w:tc>
        <w:tc>
          <w:tcPr>
            <w:tcW w:w="2075" w:type="dxa"/>
            <w:vMerge w:val="restart"/>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22E739AE" w14:textId="62848753" w:rsidR="00322A85" w:rsidRPr="00DA23A0" w:rsidRDefault="00322A85" w:rsidP="00322A8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Creación de formato </w:t>
            </w:r>
          </w:p>
        </w:tc>
        <w:tc>
          <w:tcPr>
            <w:tcW w:w="1560" w:type="dxa"/>
            <w:vMerge w:val="restart"/>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1B9C7C10" w14:textId="21166D3F" w:rsidR="00322A85" w:rsidRPr="00DA23A0" w:rsidRDefault="00322A85" w:rsidP="00322A8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15/06/2023 </w:t>
            </w:r>
          </w:p>
        </w:tc>
        <w:tc>
          <w:tcPr>
            <w:tcW w:w="1275" w:type="dxa"/>
            <w:tcBorders>
              <w:top w:val="dotted" w:sz="6" w:space="0" w:color="A6A6A6"/>
              <w:left w:val="dotted" w:sz="6" w:space="0" w:color="A6A6A6"/>
              <w:bottom w:val="dotted" w:sz="6" w:space="0" w:color="A6A6A6"/>
              <w:right w:val="dotted" w:sz="6" w:space="0" w:color="A6A6A6"/>
            </w:tcBorders>
            <w:shd w:val="clear" w:color="auto" w:fill="AEAAAA" w:themeFill="background2" w:themeFillShade="BF"/>
            <w:vAlign w:val="center"/>
            <w:hideMark/>
          </w:tcPr>
          <w:p w14:paraId="5D503FF6" w14:textId="1A472B4B" w:rsidR="00322A85" w:rsidRPr="00DA23A0" w:rsidRDefault="00322A85" w:rsidP="00322A8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Elaboró</w:t>
            </w:r>
            <w:r w:rsidRPr="00DA23A0">
              <w:rPr>
                <w:rFonts w:ascii="Verdana" w:eastAsia="Times New Roman" w:hAnsi="Verdana" w:cs="Times New Roman"/>
                <w:sz w:val="14"/>
                <w:szCs w:val="14"/>
                <w:lang w:eastAsia="es-CO"/>
              </w:rPr>
              <w:t> </w:t>
            </w:r>
          </w:p>
        </w:tc>
        <w:tc>
          <w:tcPr>
            <w:tcW w:w="1743" w:type="dxa"/>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42AFF727" w14:textId="77777777" w:rsidR="00322A85" w:rsidRPr="00DA23A0" w:rsidRDefault="00322A85" w:rsidP="00322A8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Diana Carolina Montenegro  </w:t>
            </w:r>
          </w:p>
          <w:p w14:paraId="636AB70D" w14:textId="73A97C70" w:rsidR="00322A85" w:rsidRPr="00DA23A0" w:rsidRDefault="00322A85" w:rsidP="00322A8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 </w:t>
            </w:r>
          </w:p>
        </w:tc>
        <w:tc>
          <w:tcPr>
            <w:tcW w:w="1417" w:type="dxa"/>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0FFD4E3C" w14:textId="7381956A" w:rsidR="00322A85" w:rsidRPr="00DA23A0" w:rsidRDefault="00322A85" w:rsidP="00322A8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Contratista Secretaría General </w:t>
            </w:r>
          </w:p>
        </w:tc>
      </w:tr>
      <w:tr w:rsidR="00322A85" w:rsidRPr="0044528D" w14:paraId="5FE2069A" w14:textId="77777777" w:rsidTr="009B2D26">
        <w:trPr>
          <w:trHeight w:val="300"/>
        </w:trPr>
        <w:tc>
          <w:tcPr>
            <w:tcW w:w="0" w:type="auto"/>
            <w:vMerge/>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6C71DD34" w14:textId="77777777" w:rsidR="00322A85" w:rsidRPr="00DA23A0" w:rsidRDefault="00322A85" w:rsidP="00322A85">
            <w:pPr>
              <w:spacing w:after="0" w:line="240" w:lineRule="auto"/>
              <w:rPr>
                <w:rFonts w:ascii="Verdana" w:eastAsia="Times New Roman" w:hAnsi="Verdana" w:cs="Times New Roman"/>
                <w:sz w:val="14"/>
                <w:szCs w:val="14"/>
                <w:lang w:eastAsia="es-CO"/>
              </w:rPr>
            </w:pPr>
          </w:p>
        </w:tc>
        <w:tc>
          <w:tcPr>
            <w:tcW w:w="2075" w:type="dxa"/>
            <w:vMerge/>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67400375" w14:textId="77777777" w:rsidR="00322A85" w:rsidRPr="00DA23A0" w:rsidRDefault="00322A85" w:rsidP="00322A85">
            <w:pPr>
              <w:spacing w:after="0" w:line="240" w:lineRule="auto"/>
              <w:rPr>
                <w:rFonts w:ascii="Verdana" w:eastAsia="Times New Roman" w:hAnsi="Verdana" w:cs="Times New Roman"/>
                <w:sz w:val="14"/>
                <w:szCs w:val="14"/>
                <w:lang w:eastAsia="es-CO"/>
              </w:rPr>
            </w:pPr>
          </w:p>
        </w:tc>
        <w:tc>
          <w:tcPr>
            <w:tcW w:w="1560" w:type="dxa"/>
            <w:vMerge/>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1DD18B2E" w14:textId="77777777" w:rsidR="00322A85" w:rsidRPr="00DA23A0" w:rsidRDefault="00322A85" w:rsidP="00322A85">
            <w:pPr>
              <w:spacing w:after="0" w:line="240" w:lineRule="auto"/>
              <w:rPr>
                <w:rFonts w:ascii="Verdana" w:eastAsia="Times New Roman" w:hAnsi="Verdana" w:cs="Times New Roman"/>
                <w:sz w:val="14"/>
                <w:szCs w:val="14"/>
                <w:lang w:eastAsia="es-CO"/>
              </w:rPr>
            </w:pPr>
          </w:p>
        </w:tc>
        <w:tc>
          <w:tcPr>
            <w:tcW w:w="1275" w:type="dxa"/>
            <w:tcBorders>
              <w:top w:val="dotted" w:sz="6" w:space="0" w:color="A6A6A6"/>
              <w:left w:val="dotted" w:sz="6" w:space="0" w:color="A6A6A6"/>
              <w:bottom w:val="dotted" w:sz="6" w:space="0" w:color="A6A6A6"/>
              <w:right w:val="dotted" w:sz="6" w:space="0" w:color="A6A6A6"/>
            </w:tcBorders>
            <w:shd w:val="clear" w:color="auto" w:fill="AEAAAA" w:themeFill="background2" w:themeFillShade="BF"/>
            <w:vAlign w:val="center"/>
            <w:hideMark/>
          </w:tcPr>
          <w:p w14:paraId="0AD517DD" w14:textId="5F2F6958" w:rsidR="00322A85" w:rsidRPr="00DA23A0" w:rsidRDefault="00322A85" w:rsidP="00322A8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Revisó</w:t>
            </w:r>
            <w:r w:rsidRPr="00DA23A0">
              <w:rPr>
                <w:rFonts w:ascii="Verdana" w:eastAsia="Times New Roman" w:hAnsi="Verdana" w:cs="Times New Roman"/>
                <w:sz w:val="14"/>
                <w:szCs w:val="14"/>
                <w:lang w:eastAsia="es-CO"/>
              </w:rPr>
              <w:t> </w:t>
            </w:r>
          </w:p>
        </w:tc>
        <w:tc>
          <w:tcPr>
            <w:tcW w:w="1743" w:type="dxa"/>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64ACED42" w14:textId="77777777" w:rsidR="00322A85" w:rsidRPr="00DA23A0" w:rsidRDefault="00322A85" w:rsidP="00322A8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val="it-IT" w:eastAsia="es-CO"/>
              </w:rPr>
              <w:t>Lisseth Tatiana Melo Parra </w:t>
            </w:r>
            <w:r w:rsidRPr="00DA23A0">
              <w:rPr>
                <w:rFonts w:ascii="Verdana" w:eastAsia="Times New Roman" w:hAnsi="Verdana" w:cs="Times New Roman"/>
                <w:color w:val="404040"/>
                <w:sz w:val="14"/>
                <w:szCs w:val="14"/>
                <w:lang w:eastAsia="es-CO"/>
              </w:rPr>
              <w:t> </w:t>
            </w:r>
          </w:p>
          <w:p w14:paraId="468BEA94" w14:textId="5916E2BA" w:rsidR="00322A85" w:rsidRPr="00DA23A0" w:rsidRDefault="00322A85" w:rsidP="00322A8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 </w:t>
            </w:r>
          </w:p>
        </w:tc>
        <w:tc>
          <w:tcPr>
            <w:tcW w:w="1417" w:type="dxa"/>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7E064895" w14:textId="77777777" w:rsidR="00322A85" w:rsidRPr="00DA23A0" w:rsidRDefault="00322A85" w:rsidP="00322A8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val="it-IT" w:eastAsia="es-CO"/>
              </w:rPr>
              <w:t>Analista T2 - 6</w:t>
            </w:r>
            <w:r w:rsidRPr="00DA23A0">
              <w:rPr>
                <w:rFonts w:ascii="Verdana" w:eastAsia="Times New Roman" w:hAnsi="Verdana" w:cs="Times New Roman"/>
                <w:color w:val="404040"/>
                <w:sz w:val="14"/>
                <w:szCs w:val="14"/>
                <w:lang w:eastAsia="es-CO"/>
              </w:rPr>
              <w:t> </w:t>
            </w:r>
          </w:p>
          <w:p w14:paraId="6E848FFD" w14:textId="77777777" w:rsidR="00322A85" w:rsidRPr="00DA23A0" w:rsidRDefault="00322A85" w:rsidP="00322A85">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Secretaría</w:t>
            </w:r>
          </w:p>
          <w:p w14:paraId="6E481F34" w14:textId="0C1075D1" w:rsidR="00322A85" w:rsidRPr="00DA23A0" w:rsidRDefault="00322A85" w:rsidP="00322A8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General </w:t>
            </w:r>
          </w:p>
        </w:tc>
      </w:tr>
      <w:tr w:rsidR="00322A85" w:rsidRPr="0044528D" w14:paraId="3A46A830" w14:textId="77777777" w:rsidTr="009B2D26">
        <w:trPr>
          <w:trHeight w:val="225"/>
        </w:trPr>
        <w:tc>
          <w:tcPr>
            <w:tcW w:w="0" w:type="auto"/>
            <w:vMerge/>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7D2418EF" w14:textId="77777777" w:rsidR="00322A85" w:rsidRPr="00DA23A0" w:rsidRDefault="00322A85" w:rsidP="00322A85">
            <w:pPr>
              <w:spacing w:after="0" w:line="240" w:lineRule="auto"/>
              <w:rPr>
                <w:rFonts w:ascii="Verdana" w:eastAsia="Times New Roman" w:hAnsi="Verdana" w:cs="Times New Roman"/>
                <w:sz w:val="14"/>
                <w:szCs w:val="14"/>
                <w:lang w:eastAsia="es-CO"/>
              </w:rPr>
            </w:pPr>
          </w:p>
        </w:tc>
        <w:tc>
          <w:tcPr>
            <w:tcW w:w="2075" w:type="dxa"/>
            <w:vMerge/>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6CDD849A" w14:textId="77777777" w:rsidR="00322A85" w:rsidRPr="00DA23A0" w:rsidRDefault="00322A85" w:rsidP="00322A85">
            <w:pPr>
              <w:spacing w:after="0" w:line="240" w:lineRule="auto"/>
              <w:rPr>
                <w:rFonts w:ascii="Verdana" w:eastAsia="Times New Roman" w:hAnsi="Verdana" w:cs="Times New Roman"/>
                <w:sz w:val="14"/>
                <w:szCs w:val="14"/>
                <w:lang w:eastAsia="es-CO"/>
              </w:rPr>
            </w:pPr>
          </w:p>
        </w:tc>
        <w:tc>
          <w:tcPr>
            <w:tcW w:w="1560" w:type="dxa"/>
            <w:vMerge/>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09350AD9" w14:textId="77777777" w:rsidR="00322A85" w:rsidRPr="00DA23A0" w:rsidRDefault="00322A85" w:rsidP="00322A85">
            <w:pPr>
              <w:spacing w:after="0" w:line="240" w:lineRule="auto"/>
              <w:rPr>
                <w:rFonts w:ascii="Verdana" w:eastAsia="Times New Roman" w:hAnsi="Verdana" w:cs="Times New Roman"/>
                <w:sz w:val="14"/>
                <w:szCs w:val="14"/>
                <w:lang w:eastAsia="es-CO"/>
              </w:rPr>
            </w:pPr>
          </w:p>
        </w:tc>
        <w:tc>
          <w:tcPr>
            <w:tcW w:w="1275" w:type="dxa"/>
            <w:tcBorders>
              <w:top w:val="dotted" w:sz="6" w:space="0" w:color="A6A6A6"/>
              <w:left w:val="dotted" w:sz="6" w:space="0" w:color="A6A6A6"/>
              <w:bottom w:val="dotted" w:sz="6" w:space="0" w:color="A6A6A6"/>
              <w:right w:val="dotted" w:sz="6" w:space="0" w:color="A6A6A6"/>
            </w:tcBorders>
            <w:shd w:val="clear" w:color="auto" w:fill="AEAAAA" w:themeFill="background2" w:themeFillShade="BF"/>
            <w:vAlign w:val="center"/>
            <w:hideMark/>
          </w:tcPr>
          <w:p w14:paraId="52EDE6E5" w14:textId="27D6BE7D" w:rsidR="00322A85" w:rsidRPr="00DA23A0" w:rsidRDefault="00322A85" w:rsidP="00322A8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b/>
                <w:bCs/>
                <w:sz w:val="14"/>
                <w:szCs w:val="14"/>
                <w:lang w:eastAsia="es-CO"/>
              </w:rPr>
              <w:t>Aprobó</w:t>
            </w:r>
            <w:r w:rsidRPr="00DA23A0">
              <w:rPr>
                <w:rFonts w:ascii="Verdana" w:eastAsia="Times New Roman" w:hAnsi="Verdana" w:cs="Times New Roman"/>
                <w:sz w:val="14"/>
                <w:szCs w:val="14"/>
                <w:lang w:eastAsia="es-CO"/>
              </w:rPr>
              <w:t> </w:t>
            </w:r>
          </w:p>
        </w:tc>
        <w:tc>
          <w:tcPr>
            <w:tcW w:w="1743" w:type="dxa"/>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38A30287" w14:textId="3F10FB9F" w:rsidR="00322A85" w:rsidRPr="00DA23A0" w:rsidRDefault="00322A85" w:rsidP="00322A8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William Renan Rodríguez  </w:t>
            </w:r>
          </w:p>
          <w:p w14:paraId="56E7C588" w14:textId="60A4C716" w:rsidR="00322A85" w:rsidRPr="00DA23A0" w:rsidRDefault="00322A85" w:rsidP="00322A8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 </w:t>
            </w:r>
          </w:p>
        </w:tc>
        <w:tc>
          <w:tcPr>
            <w:tcW w:w="1417" w:type="dxa"/>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1491D936" w14:textId="45C5F733" w:rsidR="006900D9" w:rsidRPr="00DA23A0" w:rsidRDefault="00322A85" w:rsidP="006900D9">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Secretario General </w:t>
            </w:r>
          </w:p>
        </w:tc>
      </w:tr>
      <w:tr w:rsidR="00322A85" w:rsidRPr="0044528D" w14:paraId="011E44AD" w14:textId="77777777" w:rsidTr="009B2D26">
        <w:trPr>
          <w:trHeight w:val="225"/>
        </w:trPr>
        <w:tc>
          <w:tcPr>
            <w:tcW w:w="0" w:type="auto"/>
            <w:vMerge w:val="restart"/>
            <w:tcBorders>
              <w:top w:val="dotted" w:sz="6" w:space="0" w:color="A6A6A6"/>
              <w:left w:val="dotted" w:sz="6" w:space="0" w:color="A6A6A6"/>
              <w:right w:val="dotted" w:sz="6" w:space="0" w:color="A6A6A6"/>
            </w:tcBorders>
            <w:shd w:val="clear" w:color="auto" w:fill="auto"/>
            <w:vAlign w:val="center"/>
          </w:tcPr>
          <w:p w14:paraId="5112A274" w14:textId="63FFAACE" w:rsidR="00322A85" w:rsidRPr="00DA23A0" w:rsidRDefault="00322A85" w:rsidP="00322A85">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02</w:t>
            </w:r>
          </w:p>
        </w:tc>
        <w:tc>
          <w:tcPr>
            <w:tcW w:w="2075" w:type="dxa"/>
            <w:vMerge w:val="restart"/>
            <w:tcBorders>
              <w:top w:val="dotted" w:sz="6" w:space="0" w:color="A6A6A6"/>
              <w:left w:val="dotted" w:sz="6" w:space="0" w:color="A6A6A6"/>
              <w:right w:val="dotted" w:sz="6" w:space="0" w:color="A6A6A6"/>
            </w:tcBorders>
            <w:shd w:val="clear" w:color="auto" w:fill="auto"/>
            <w:vAlign w:val="center"/>
          </w:tcPr>
          <w:p w14:paraId="5B0F7C87" w14:textId="05B7D2EF" w:rsidR="00322A85" w:rsidRPr="00DA23A0" w:rsidRDefault="00322A85" w:rsidP="0042722E">
            <w:pPr>
              <w:spacing w:after="0" w:line="240" w:lineRule="auto"/>
              <w:jc w:val="both"/>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Se incluyo un párrafo de cierr</w:t>
            </w:r>
            <w:r w:rsidR="00374F5E" w:rsidRPr="00DA23A0">
              <w:rPr>
                <w:rFonts w:ascii="Verdana" w:eastAsia="Times New Roman" w:hAnsi="Verdana" w:cs="Times New Roman"/>
                <w:color w:val="404040"/>
                <w:sz w:val="14"/>
                <w:szCs w:val="14"/>
                <w:lang w:eastAsia="es-CO"/>
              </w:rPr>
              <w:t>e,</w:t>
            </w:r>
            <w:r w:rsidRPr="00DA23A0">
              <w:rPr>
                <w:rFonts w:ascii="Verdana" w:eastAsia="Times New Roman" w:hAnsi="Verdana" w:cs="Times New Roman"/>
                <w:color w:val="404040"/>
                <w:sz w:val="14"/>
                <w:szCs w:val="14"/>
                <w:lang w:eastAsia="es-CO"/>
              </w:rPr>
              <w:t xml:space="preserve"> agradecimiento</w:t>
            </w:r>
            <w:r w:rsidR="00374F5E" w:rsidRPr="00DA23A0">
              <w:rPr>
                <w:rFonts w:ascii="Verdana" w:eastAsia="Times New Roman" w:hAnsi="Verdana" w:cs="Times New Roman"/>
                <w:color w:val="404040"/>
                <w:sz w:val="14"/>
                <w:szCs w:val="14"/>
                <w:lang w:eastAsia="es-CO"/>
              </w:rPr>
              <w:t xml:space="preserve"> y las redes sociales de la entidad.</w:t>
            </w:r>
            <w:r w:rsidRPr="00DA23A0">
              <w:rPr>
                <w:rFonts w:ascii="Verdana" w:eastAsia="Times New Roman" w:hAnsi="Verdana" w:cs="Times New Roman"/>
                <w:color w:val="404040"/>
                <w:sz w:val="14"/>
                <w:szCs w:val="14"/>
                <w:lang w:eastAsia="es-CO"/>
              </w:rPr>
              <w:t xml:space="preserve"> </w:t>
            </w:r>
          </w:p>
          <w:p w14:paraId="52EF275D" w14:textId="46AD27D2" w:rsidR="00BC3D36" w:rsidRPr="00DA23A0" w:rsidRDefault="00BC3D36" w:rsidP="0042722E">
            <w:pPr>
              <w:spacing w:after="0" w:line="240" w:lineRule="auto"/>
              <w:jc w:val="both"/>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Se ajusta código del formato</w:t>
            </w:r>
            <w:r w:rsidR="0042722E" w:rsidRPr="00DA23A0">
              <w:rPr>
                <w:rFonts w:ascii="Verdana" w:eastAsia="Times New Roman" w:hAnsi="Verdana" w:cs="Times New Roman"/>
                <w:color w:val="404040"/>
                <w:sz w:val="14"/>
                <w:szCs w:val="14"/>
                <w:lang w:eastAsia="es-CO"/>
              </w:rPr>
              <w:t xml:space="preserve"> por parte de planeación.</w:t>
            </w:r>
          </w:p>
        </w:tc>
        <w:tc>
          <w:tcPr>
            <w:tcW w:w="1560" w:type="dxa"/>
            <w:vMerge w:val="restart"/>
            <w:tcBorders>
              <w:top w:val="dotted" w:sz="6" w:space="0" w:color="A6A6A6"/>
              <w:left w:val="dotted" w:sz="6" w:space="0" w:color="A6A6A6"/>
              <w:right w:val="dotted" w:sz="6" w:space="0" w:color="A6A6A6"/>
            </w:tcBorders>
            <w:shd w:val="clear" w:color="auto" w:fill="auto"/>
            <w:vAlign w:val="center"/>
          </w:tcPr>
          <w:p w14:paraId="3BC5F1DA" w14:textId="799A000A" w:rsidR="00322A85" w:rsidRPr="00DA23A0" w:rsidRDefault="002E4FD9" w:rsidP="0042722E">
            <w:pPr>
              <w:spacing w:after="0" w:line="240" w:lineRule="auto"/>
              <w:jc w:val="center"/>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eastAsia="es-CO"/>
              </w:rPr>
              <w:t>31</w:t>
            </w:r>
            <w:r w:rsidR="00322A85" w:rsidRPr="00DA23A0">
              <w:rPr>
                <w:rFonts w:ascii="Verdana" w:eastAsia="Times New Roman" w:hAnsi="Verdana" w:cs="Times New Roman"/>
                <w:color w:val="404040"/>
                <w:sz w:val="14"/>
                <w:szCs w:val="14"/>
                <w:lang w:eastAsia="es-CO"/>
              </w:rPr>
              <w:t>/08/2023</w:t>
            </w:r>
          </w:p>
        </w:tc>
        <w:tc>
          <w:tcPr>
            <w:tcW w:w="1275" w:type="dxa"/>
            <w:tcBorders>
              <w:top w:val="dotted" w:sz="6" w:space="0" w:color="A6A6A6"/>
              <w:left w:val="dotted" w:sz="6" w:space="0" w:color="A6A6A6"/>
              <w:bottom w:val="dotted" w:sz="6" w:space="0" w:color="A6A6A6"/>
              <w:right w:val="dotted" w:sz="6" w:space="0" w:color="A6A6A6"/>
            </w:tcBorders>
            <w:shd w:val="clear" w:color="auto" w:fill="AEAAAA" w:themeFill="background2" w:themeFillShade="BF"/>
            <w:vAlign w:val="center"/>
          </w:tcPr>
          <w:p w14:paraId="33DC1495" w14:textId="7AA2F711" w:rsidR="00322A85" w:rsidRPr="00DA23A0" w:rsidRDefault="00322A85" w:rsidP="00322A85">
            <w:pPr>
              <w:spacing w:after="0" w:line="240" w:lineRule="auto"/>
              <w:jc w:val="center"/>
              <w:textAlignment w:val="baseline"/>
              <w:rPr>
                <w:rFonts w:ascii="Verdana" w:eastAsia="Times New Roman" w:hAnsi="Verdana" w:cs="Times New Roman"/>
                <w:b/>
                <w:bCs/>
                <w:sz w:val="14"/>
                <w:szCs w:val="14"/>
                <w:lang w:eastAsia="es-CO"/>
              </w:rPr>
            </w:pPr>
            <w:r w:rsidRPr="00DA23A0">
              <w:rPr>
                <w:rFonts w:ascii="Verdana" w:eastAsia="Times New Roman" w:hAnsi="Verdana" w:cs="Times New Roman"/>
                <w:b/>
                <w:bCs/>
                <w:sz w:val="14"/>
                <w:szCs w:val="14"/>
                <w:lang w:eastAsia="es-CO"/>
              </w:rPr>
              <w:t>Elaboró</w:t>
            </w:r>
          </w:p>
        </w:tc>
        <w:tc>
          <w:tcPr>
            <w:tcW w:w="1743" w:type="dxa"/>
            <w:tcBorders>
              <w:top w:val="dotted" w:sz="6" w:space="0" w:color="A6A6A6"/>
              <w:left w:val="dotted" w:sz="6" w:space="0" w:color="A6A6A6"/>
              <w:bottom w:val="dotted" w:sz="6" w:space="0" w:color="A6A6A6"/>
              <w:right w:val="dotted" w:sz="6" w:space="0" w:color="A6A6A6"/>
            </w:tcBorders>
            <w:shd w:val="clear" w:color="auto" w:fill="auto"/>
            <w:vAlign w:val="center"/>
          </w:tcPr>
          <w:p w14:paraId="1D0E708C" w14:textId="16424D2B" w:rsidR="00322A85" w:rsidRPr="00DA23A0" w:rsidRDefault="00322A85" w:rsidP="00322A85">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 xml:space="preserve">Nelson Felipe </w:t>
            </w:r>
            <w:proofErr w:type="spellStart"/>
            <w:r w:rsidRPr="00DA23A0">
              <w:rPr>
                <w:rFonts w:ascii="Verdana" w:eastAsia="Times New Roman" w:hAnsi="Verdana" w:cs="Times New Roman"/>
                <w:color w:val="404040"/>
                <w:sz w:val="14"/>
                <w:szCs w:val="14"/>
                <w:lang w:eastAsia="es-CO"/>
              </w:rPr>
              <w:t>Gaitan</w:t>
            </w:r>
            <w:proofErr w:type="spellEnd"/>
            <w:r w:rsidRPr="00DA23A0">
              <w:rPr>
                <w:rFonts w:ascii="Verdana" w:eastAsia="Times New Roman" w:hAnsi="Verdana" w:cs="Times New Roman"/>
                <w:color w:val="404040"/>
                <w:sz w:val="14"/>
                <w:szCs w:val="14"/>
                <w:lang w:eastAsia="es-CO"/>
              </w:rPr>
              <w:t xml:space="preserve"> </w:t>
            </w:r>
            <w:proofErr w:type="spellStart"/>
            <w:r w:rsidRPr="00DA23A0">
              <w:rPr>
                <w:rFonts w:ascii="Verdana" w:eastAsia="Times New Roman" w:hAnsi="Verdana" w:cs="Times New Roman"/>
                <w:color w:val="404040"/>
                <w:sz w:val="14"/>
                <w:szCs w:val="14"/>
                <w:lang w:eastAsia="es-CO"/>
              </w:rPr>
              <w:t>Chacon</w:t>
            </w:r>
            <w:proofErr w:type="spellEnd"/>
            <w:r w:rsidRPr="00DA23A0">
              <w:rPr>
                <w:rFonts w:ascii="Verdana" w:eastAsia="Times New Roman" w:hAnsi="Verdana" w:cs="Times New Roman"/>
                <w:color w:val="404040"/>
                <w:sz w:val="14"/>
                <w:szCs w:val="14"/>
                <w:lang w:eastAsia="es-CO"/>
              </w:rPr>
              <w:t xml:space="preserve"> </w:t>
            </w:r>
          </w:p>
        </w:tc>
        <w:tc>
          <w:tcPr>
            <w:tcW w:w="1417" w:type="dxa"/>
            <w:tcBorders>
              <w:top w:val="dotted" w:sz="6" w:space="0" w:color="A6A6A6"/>
              <w:left w:val="dotted" w:sz="6" w:space="0" w:color="A6A6A6"/>
              <w:bottom w:val="dotted" w:sz="6" w:space="0" w:color="A6A6A6"/>
              <w:right w:val="dotted" w:sz="6" w:space="0" w:color="A6A6A6"/>
            </w:tcBorders>
            <w:shd w:val="clear" w:color="auto" w:fill="auto"/>
            <w:vAlign w:val="center"/>
          </w:tcPr>
          <w:p w14:paraId="683400AA" w14:textId="0EB96CB4" w:rsidR="00322A85" w:rsidRPr="00DA23A0" w:rsidRDefault="00322A85" w:rsidP="00322A85">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Contratista secretaría</w:t>
            </w:r>
          </w:p>
          <w:p w14:paraId="4E006B39" w14:textId="5F234C53" w:rsidR="00322A85" w:rsidRPr="00DA23A0" w:rsidRDefault="00322A85" w:rsidP="00322A85">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General </w:t>
            </w:r>
          </w:p>
        </w:tc>
      </w:tr>
      <w:tr w:rsidR="00322A85" w:rsidRPr="0044528D" w14:paraId="0A88816A" w14:textId="77777777" w:rsidTr="009B2D26">
        <w:trPr>
          <w:trHeight w:val="225"/>
        </w:trPr>
        <w:tc>
          <w:tcPr>
            <w:tcW w:w="0" w:type="auto"/>
            <w:vMerge/>
            <w:tcBorders>
              <w:left w:val="dotted" w:sz="6" w:space="0" w:color="A6A6A6"/>
              <w:right w:val="dotted" w:sz="6" w:space="0" w:color="A6A6A6"/>
            </w:tcBorders>
            <w:shd w:val="clear" w:color="auto" w:fill="auto"/>
            <w:vAlign w:val="center"/>
          </w:tcPr>
          <w:p w14:paraId="013D4198" w14:textId="77777777" w:rsidR="00322A85" w:rsidRPr="00DA23A0" w:rsidRDefault="00322A85" w:rsidP="00322A85">
            <w:pPr>
              <w:spacing w:after="0" w:line="240" w:lineRule="auto"/>
              <w:rPr>
                <w:rFonts w:ascii="Verdana" w:eastAsia="Times New Roman" w:hAnsi="Verdana" w:cs="Times New Roman"/>
                <w:sz w:val="14"/>
                <w:szCs w:val="14"/>
                <w:lang w:eastAsia="es-CO"/>
              </w:rPr>
            </w:pPr>
          </w:p>
        </w:tc>
        <w:tc>
          <w:tcPr>
            <w:tcW w:w="2075" w:type="dxa"/>
            <w:vMerge/>
            <w:tcBorders>
              <w:left w:val="dotted" w:sz="6" w:space="0" w:color="A6A6A6"/>
              <w:right w:val="dotted" w:sz="6" w:space="0" w:color="A6A6A6"/>
            </w:tcBorders>
            <w:shd w:val="clear" w:color="auto" w:fill="auto"/>
            <w:vAlign w:val="center"/>
          </w:tcPr>
          <w:p w14:paraId="260A2629" w14:textId="77777777" w:rsidR="00322A85" w:rsidRPr="00DA23A0" w:rsidRDefault="00322A85" w:rsidP="00322A85">
            <w:pPr>
              <w:spacing w:after="0" w:line="240" w:lineRule="auto"/>
              <w:rPr>
                <w:rFonts w:ascii="Verdana" w:eastAsia="Times New Roman" w:hAnsi="Verdana" w:cs="Times New Roman"/>
                <w:sz w:val="14"/>
                <w:szCs w:val="14"/>
                <w:lang w:eastAsia="es-CO"/>
              </w:rPr>
            </w:pPr>
          </w:p>
        </w:tc>
        <w:tc>
          <w:tcPr>
            <w:tcW w:w="1560" w:type="dxa"/>
            <w:vMerge/>
            <w:tcBorders>
              <w:left w:val="dotted" w:sz="6" w:space="0" w:color="A6A6A6"/>
              <w:right w:val="dotted" w:sz="6" w:space="0" w:color="A6A6A6"/>
            </w:tcBorders>
            <w:shd w:val="clear" w:color="auto" w:fill="auto"/>
            <w:vAlign w:val="center"/>
          </w:tcPr>
          <w:p w14:paraId="6E66ABDF" w14:textId="77777777" w:rsidR="00322A85" w:rsidRPr="00DA23A0" w:rsidRDefault="00322A85" w:rsidP="00322A85">
            <w:pPr>
              <w:spacing w:after="0" w:line="240" w:lineRule="auto"/>
              <w:rPr>
                <w:rFonts w:ascii="Verdana" w:eastAsia="Times New Roman" w:hAnsi="Verdana" w:cs="Times New Roman"/>
                <w:sz w:val="14"/>
                <w:szCs w:val="14"/>
                <w:lang w:eastAsia="es-CO"/>
              </w:rPr>
            </w:pPr>
          </w:p>
        </w:tc>
        <w:tc>
          <w:tcPr>
            <w:tcW w:w="1275" w:type="dxa"/>
            <w:tcBorders>
              <w:top w:val="dotted" w:sz="6" w:space="0" w:color="A6A6A6"/>
              <w:left w:val="dotted" w:sz="6" w:space="0" w:color="A6A6A6"/>
              <w:bottom w:val="dotted" w:sz="6" w:space="0" w:color="A6A6A6"/>
              <w:right w:val="dotted" w:sz="6" w:space="0" w:color="A6A6A6"/>
            </w:tcBorders>
            <w:shd w:val="clear" w:color="auto" w:fill="AEAAAA" w:themeFill="background2" w:themeFillShade="BF"/>
            <w:vAlign w:val="center"/>
          </w:tcPr>
          <w:p w14:paraId="73DC8BAC" w14:textId="2B5D3274" w:rsidR="00322A85" w:rsidRPr="00DA23A0" w:rsidRDefault="00322A85" w:rsidP="00322A85">
            <w:pPr>
              <w:spacing w:after="0" w:line="240" w:lineRule="auto"/>
              <w:jc w:val="center"/>
              <w:textAlignment w:val="baseline"/>
              <w:rPr>
                <w:rFonts w:ascii="Verdana" w:eastAsia="Times New Roman" w:hAnsi="Verdana" w:cs="Times New Roman"/>
                <w:b/>
                <w:bCs/>
                <w:sz w:val="14"/>
                <w:szCs w:val="14"/>
                <w:lang w:eastAsia="es-CO"/>
              </w:rPr>
            </w:pPr>
            <w:r w:rsidRPr="00DA23A0">
              <w:rPr>
                <w:rFonts w:ascii="Verdana" w:eastAsia="Times New Roman" w:hAnsi="Verdana" w:cs="Times New Roman"/>
                <w:b/>
                <w:bCs/>
                <w:sz w:val="14"/>
                <w:szCs w:val="14"/>
                <w:lang w:eastAsia="es-CO"/>
              </w:rPr>
              <w:t>Revisó</w:t>
            </w:r>
          </w:p>
        </w:tc>
        <w:tc>
          <w:tcPr>
            <w:tcW w:w="1743" w:type="dxa"/>
            <w:tcBorders>
              <w:top w:val="dotted" w:sz="6" w:space="0" w:color="A6A6A6"/>
              <w:left w:val="dotted" w:sz="6" w:space="0" w:color="A6A6A6"/>
              <w:bottom w:val="dotted" w:sz="6" w:space="0" w:color="A6A6A6"/>
              <w:right w:val="dotted" w:sz="6" w:space="0" w:color="A6A6A6"/>
            </w:tcBorders>
            <w:shd w:val="clear" w:color="auto" w:fill="auto"/>
            <w:vAlign w:val="center"/>
          </w:tcPr>
          <w:p w14:paraId="6EE73F3E" w14:textId="3B9A3E31" w:rsidR="00322A85" w:rsidRPr="00DA23A0" w:rsidRDefault="00322A85" w:rsidP="00322A85">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Lisseth Tatiana Melo Parra</w:t>
            </w:r>
          </w:p>
        </w:tc>
        <w:tc>
          <w:tcPr>
            <w:tcW w:w="1417" w:type="dxa"/>
            <w:tcBorders>
              <w:top w:val="dotted" w:sz="6" w:space="0" w:color="A6A6A6"/>
              <w:left w:val="dotted" w:sz="6" w:space="0" w:color="A6A6A6"/>
              <w:bottom w:val="dotted" w:sz="6" w:space="0" w:color="A6A6A6"/>
              <w:right w:val="dotted" w:sz="6" w:space="0" w:color="A6A6A6"/>
            </w:tcBorders>
            <w:shd w:val="clear" w:color="auto" w:fill="auto"/>
            <w:vAlign w:val="center"/>
          </w:tcPr>
          <w:p w14:paraId="6A190AC0" w14:textId="77777777" w:rsidR="00322A85" w:rsidRPr="00DA23A0" w:rsidRDefault="00322A85" w:rsidP="00322A85">
            <w:pPr>
              <w:spacing w:after="0" w:line="240" w:lineRule="auto"/>
              <w:jc w:val="center"/>
              <w:textAlignment w:val="baseline"/>
              <w:rPr>
                <w:rFonts w:ascii="Verdana" w:eastAsia="Times New Roman" w:hAnsi="Verdana" w:cs="Times New Roman"/>
                <w:sz w:val="14"/>
                <w:szCs w:val="14"/>
                <w:lang w:eastAsia="es-CO"/>
              </w:rPr>
            </w:pPr>
            <w:r w:rsidRPr="00DA23A0">
              <w:rPr>
                <w:rFonts w:ascii="Verdana" w:eastAsia="Times New Roman" w:hAnsi="Verdana" w:cs="Times New Roman"/>
                <w:color w:val="404040"/>
                <w:sz w:val="14"/>
                <w:szCs w:val="14"/>
                <w:lang w:val="it-IT" w:eastAsia="es-CO"/>
              </w:rPr>
              <w:t>Analista T2 - 6</w:t>
            </w:r>
            <w:r w:rsidRPr="00DA23A0">
              <w:rPr>
                <w:rFonts w:ascii="Verdana" w:eastAsia="Times New Roman" w:hAnsi="Verdana" w:cs="Times New Roman"/>
                <w:color w:val="404040"/>
                <w:sz w:val="14"/>
                <w:szCs w:val="14"/>
                <w:lang w:eastAsia="es-CO"/>
              </w:rPr>
              <w:t> </w:t>
            </w:r>
          </w:p>
          <w:p w14:paraId="38720DCF" w14:textId="05AD29E6" w:rsidR="00322A85" w:rsidRPr="00DA23A0" w:rsidRDefault="00322A85" w:rsidP="00322A85">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Secretaría General </w:t>
            </w:r>
          </w:p>
        </w:tc>
      </w:tr>
      <w:tr w:rsidR="00322A85" w:rsidRPr="0044528D" w14:paraId="772A5DDA" w14:textId="77777777" w:rsidTr="009B2D26">
        <w:trPr>
          <w:trHeight w:val="225"/>
        </w:trPr>
        <w:tc>
          <w:tcPr>
            <w:tcW w:w="0" w:type="auto"/>
            <w:vMerge/>
            <w:tcBorders>
              <w:left w:val="dotted" w:sz="6" w:space="0" w:color="A6A6A6"/>
              <w:bottom w:val="dotted" w:sz="6" w:space="0" w:color="A6A6A6"/>
              <w:right w:val="dotted" w:sz="6" w:space="0" w:color="A6A6A6"/>
            </w:tcBorders>
            <w:shd w:val="clear" w:color="auto" w:fill="auto"/>
            <w:vAlign w:val="center"/>
          </w:tcPr>
          <w:p w14:paraId="31D9705D" w14:textId="77777777" w:rsidR="00322A85" w:rsidRPr="00DA23A0" w:rsidRDefault="00322A85" w:rsidP="00322A85">
            <w:pPr>
              <w:spacing w:after="0" w:line="240" w:lineRule="auto"/>
              <w:rPr>
                <w:rFonts w:ascii="Verdana" w:eastAsia="Times New Roman" w:hAnsi="Verdana" w:cs="Times New Roman"/>
                <w:sz w:val="14"/>
                <w:szCs w:val="14"/>
                <w:lang w:eastAsia="es-CO"/>
              </w:rPr>
            </w:pPr>
          </w:p>
        </w:tc>
        <w:tc>
          <w:tcPr>
            <w:tcW w:w="2075" w:type="dxa"/>
            <w:vMerge/>
            <w:tcBorders>
              <w:left w:val="dotted" w:sz="6" w:space="0" w:color="A6A6A6"/>
              <w:bottom w:val="dotted" w:sz="6" w:space="0" w:color="A6A6A6"/>
              <w:right w:val="dotted" w:sz="6" w:space="0" w:color="A6A6A6"/>
            </w:tcBorders>
            <w:shd w:val="clear" w:color="auto" w:fill="auto"/>
            <w:vAlign w:val="center"/>
          </w:tcPr>
          <w:p w14:paraId="7DB863BE" w14:textId="77777777" w:rsidR="00322A85" w:rsidRPr="00DA23A0" w:rsidRDefault="00322A85" w:rsidP="00322A85">
            <w:pPr>
              <w:spacing w:after="0" w:line="240" w:lineRule="auto"/>
              <w:rPr>
                <w:rFonts w:ascii="Verdana" w:eastAsia="Times New Roman" w:hAnsi="Verdana" w:cs="Times New Roman"/>
                <w:sz w:val="14"/>
                <w:szCs w:val="14"/>
                <w:lang w:eastAsia="es-CO"/>
              </w:rPr>
            </w:pPr>
          </w:p>
        </w:tc>
        <w:tc>
          <w:tcPr>
            <w:tcW w:w="1560" w:type="dxa"/>
            <w:vMerge/>
            <w:tcBorders>
              <w:left w:val="dotted" w:sz="6" w:space="0" w:color="A6A6A6"/>
              <w:bottom w:val="dotted" w:sz="6" w:space="0" w:color="A6A6A6"/>
              <w:right w:val="dotted" w:sz="6" w:space="0" w:color="A6A6A6"/>
            </w:tcBorders>
            <w:shd w:val="clear" w:color="auto" w:fill="auto"/>
            <w:vAlign w:val="center"/>
          </w:tcPr>
          <w:p w14:paraId="25D76690" w14:textId="77777777" w:rsidR="00322A85" w:rsidRPr="00DA23A0" w:rsidRDefault="00322A85" w:rsidP="00322A85">
            <w:pPr>
              <w:spacing w:after="0" w:line="240" w:lineRule="auto"/>
              <w:rPr>
                <w:rFonts w:ascii="Verdana" w:eastAsia="Times New Roman" w:hAnsi="Verdana" w:cs="Times New Roman"/>
                <w:sz w:val="14"/>
                <w:szCs w:val="14"/>
                <w:lang w:eastAsia="es-CO"/>
              </w:rPr>
            </w:pPr>
          </w:p>
        </w:tc>
        <w:tc>
          <w:tcPr>
            <w:tcW w:w="1275" w:type="dxa"/>
            <w:tcBorders>
              <w:top w:val="dotted" w:sz="6" w:space="0" w:color="A6A6A6"/>
              <w:left w:val="dotted" w:sz="6" w:space="0" w:color="A6A6A6"/>
              <w:bottom w:val="dotted" w:sz="6" w:space="0" w:color="A6A6A6"/>
              <w:right w:val="dotted" w:sz="6" w:space="0" w:color="A6A6A6"/>
            </w:tcBorders>
            <w:shd w:val="clear" w:color="auto" w:fill="AEAAAA" w:themeFill="background2" w:themeFillShade="BF"/>
            <w:vAlign w:val="center"/>
          </w:tcPr>
          <w:p w14:paraId="53866393" w14:textId="4D1F43D0" w:rsidR="00322A85" w:rsidRPr="00DA23A0" w:rsidRDefault="00322A85" w:rsidP="00322A85">
            <w:pPr>
              <w:spacing w:after="0" w:line="240" w:lineRule="auto"/>
              <w:jc w:val="center"/>
              <w:textAlignment w:val="baseline"/>
              <w:rPr>
                <w:rFonts w:ascii="Verdana" w:eastAsia="Times New Roman" w:hAnsi="Verdana" w:cs="Times New Roman"/>
                <w:b/>
                <w:bCs/>
                <w:sz w:val="14"/>
                <w:szCs w:val="14"/>
                <w:lang w:eastAsia="es-CO"/>
              </w:rPr>
            </w:pPr>
            <w:r w:rsidRPr="00DA23A0">
              <w:rPr>
                <w:rFonts w:ascii="Verdana" w:eastAsia="Times New Roman" w:hAnsi="Verdana" w:cs="Times New Roman"/>
                <w:b/>
                <w:bCs/>
                <w:sz w:val="14"/>
                <w:szCs w:val="14"/>
                <w:lang w:eastAsia="es-CO"/>
              </w:rPr>
              <w:t>Aprobó</w:t>
            </w:r>
          </w:p>
        </w:tc>
        <w:tc>
          <w:tcPr>
            <w:tcW w:w="1743" w:type="dxa"/>
            <w:tcBorders>
              <w:top w:val="dotted" w:sz="6" w:space="0" w:color="A6A6A6"/>
              <w:left w:val="dotted" w:sz="6" w:space="0" w:color="A6A6A6"/>
              <w:bottom w:val="dotted" w:sz="6" w:space="0" w:color="A6A6A6"/>
              <w:right w:val="dotted" w:sz="6" w:space="0" w:color="A6A6A6"/>
            </w:tcBorders>
            <w:shd w:val="clear" w:color="auto" w:fill="auto"/>
            <w:vAlign w:val="center"/>
          </w:tcPr>
          <w:p w14:paraId="65A6E042" w14:textId="0EB3D71B" w:rsidR="00322A85" w:rsidRPr="00DA23A0" w:rsidRDefault="00322A85" w:rsidP="00322A85">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Jenny Fabiola Páez Vargas</w:t>
            </w:r>
          </w:p>
        </w:tc>
        <w:tc>
          <w:tcPr>
            <w:tcW w:w="1417" w:type="dxa"/>
            <w:tcBorders>
              <w:top w:val="dotted" w:sz="6" w:space="0" w:color="A6A6A6"/>
              <w:left w:val="dotted" w:sz="6" w:space="0" w:color="A6A6A6"/>
              <w:bottom w:val="dotted" w:sz="6" w:space="0" w:color="A6A6A6"/>
              <w:right w:val="dotted" w:sz="6" w:space="0" w:color="A6A6A6"/>
            </w:tcBorders>
            <w:shd w:val="clear" w:color="auto" w:fill="auto"/>
            <w:vAlign w:val="center"/>
          </w:tcPr>
          <w:p w14:paraId="4DF6265B" w14:textId="69F86912" w:rsidR="00322A85" w:rsidRPr="00DA23A0" w:rsidRDefault="00322A85" w:rsidP="00322A85">
            <w:pPr>
              <w:spacing w:after="0" w:line="240" w:lineRule="auto"/>
              <w:jc w:val="center"/>
              <w:textAlignment w:val="baseline"/>
              <w:rPr>
                <w:rFonts w:ascii="Verdana" w:eastAsia="Times New Roman" w:hAnsi="Verdana" w:cs="Times New Roman"/>
                <w:color w:val="404040"/>
                <w:sz w:val="14"/>
                <w:szCs w:val="14"/>
                <w:lang w:eastAsia="es-CO"/>
              </w:rPr>
            </w:pPr>
            <w:r w:rsidRPr="00DA23A0">
              <w:rPr>
                <w:rFonts w:ascii="Verdana" w:eastAsia="Times New Roman" w:hAnsi="Verdana" w:cs="Times New Roman"/>
                <w:color w:val="404040"/>
                <w:sz w:val="14"/>
                <w:szCs w:val="14"/>
                <w:lang w:eastAsia="es-CO"/>
              </w:rPr>
              <w:t>Secretaria General </w:t>
            </w:r>
          </w:p>
        </w:tc>
      </w:tr>
    </w:tbl>
    <w:p w14:paraId="43AEFC6C" w14:textId="77777777" w:rsidR="00322A85" w:rsidRPr="0044528D" w:rsidRDefault="00322A85" w:rsidP="00322A85">
      <w:pPr>
        <w:spacing w:after="0" w:line="240" w:lineRule="auto"/>
        <w:textAlignment w:val="baseline"/>
        <w:rPr>
          <w:rFonts w:ascii="Verdana" w:eastAsia="Times New Roman" w:hAnsi="Verdana" w:cs="Segoe UI"/>
          <w:sz w:val="18"/>
          <w:szCs w:val="18"/>
          <w:lang w:eastAsia="es-CO"/>
        </w:rPr>
      </w:pPr>
      <w:r w:rsidRPr="0044528D">
        <w:rPr>
          <w:rFonts w:ascii="Verdana" w:eastAsia="Times New Roman" w:hAnsi="Verdana" w:cs="Segoe UI"/>
          <w:color w:val="404040"/>
          <w:lang w:eastAsia="es-CO"/>
        </w:rPr>
        <w:t> </w:t>
      </w:r>
    </w:p>
    <w:p w14:paraId="2B16A3E9" w14:textId="77777777" w:rsidR="00322A85" w:rsidRPr="0044528D" w:rsidRDefault="00322A85" w:rsidP="00322A85">
      <w:pPr>
        <w:spacing w:after="0" w:line="240" w:lineRule="auto"/>
        <w:ind w:firstLine="2850"/>
        <w:jc w:val="both"/>
        <w:textAlignment w:val="baseline"/>
        <w:rPr>
          <w:rFonts w:ascii="Verdana" w:eastAsia="Times New Roman" w:hAnsi="Verdana" w:cs="Segoe UI"/>
          <w:color w:val="000000"/>
          <w:sz w:val="18"/>
          <w:szCs w:val="18"/>
          <w:lang w:eastAsia="es-CO"/>
        </w:rPr>
      </w:pPr>
      <w:r w:rsidRPr="0044528D">
        <w:rPr>
          <w:rFonts w:ascii="Verdana" w:eastAsia="Times New Roman" w:hAnsi="Verdana" w:cs="Segoe UI"/>
          <w:color w:val="000000"/>
          <w:lang w:eastAsia="es-CO"/>
        </w:rPr>
        <w:t> </w:t>
      </w:r>
    </w:p>
    <w:p w14:paraId="1E9AF1F8" w14:textId="77777777" w:rsidR="00322A85" w:rsidRPr="0044528D" w:rsidRDefault="00322A85" w:rsidP="00322A85">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39418625" w14:textId="77777777" w:rsidR="00322A85" w:rsidRPr="0044528D" w:rsidRDefault="00322A85" w:rsidP="00322A85">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21C4051F" w14:textId="77777777" w:rsidR="00322A85" w:rsidRPr="0044528D" w:rsidRDefault="00322A85" w:rsidP="00322A85">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78053B45" w14:textId="77777777" w:rsidR="00322A85" w:rsidRPr="0044528D" w:rsidRDefault="00322A85" w:rsidP="00322A85">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0F293BF4" w14:textId="7BBFAB11" w:rsidR="00127233" w:rsidRPr="0044528D" w:rsidRDefault="00127233" w:rsidP="00665D70">
      <w:pPr>
        <w:spacing w:after="0"/>
        <w:jc w:val="both"/>
        <w:rPr>
          <w:rFonts w:ascii="Verdana" w:hAnsi="Verdana"/>
        </w:rPr>
      </w:pPr>
    </w:p>
    <w:sectPr w:rsidR="00127233" w:rsidRPr="0044528D"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C30B3" w14:textId="77777777" w:rsidR="00FC4721" w:rsidRDefault="00FC4721" w:rsidP="004A1847">
      <w:pPr>
        <w:spacing w:after="0" w:line="240" w:lineRule="auto"/>
      </w:pPr>
      <w:r>
        <w:separator/>
      </w:r>
    </w:p>
  </w:endnote>
  <w:endnote w:type="continuationSeparator" w:id="0">
    <w:p w14:paraId="4A57D576" w14:textId="77777777" w:rsidR="00FC4721" w:rsidRDefault="00FC4721" w:rsidP="004A1847">
      <w:pPr>
        <w:spacing w:after="0" w:line="240" w:lineRule="auto"/>
      </w:pPr>
      <w:r>
        <w:continuationSeparator/>
      </w:r>
    </w:p>
  </w:endnote>
  <w:endnote w:type="continuationNotice" w:id="1">
    <w:p w14:paraId="1EFFDDEE" w14:textId="77777777" w:rsidR="00FC4721" w:rsidRDefault="00FC47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C9D8" w14:textId="77777777" w:rsidR="00FC4721" w:rsidRDefault="00FC4721" w:rsidP="004A1847">
      <w:pPr>
        <w:spacing w:after="0" w:line="240" w:lineRule="auto"/>
      </w:pPr>
      <w:r>
        <w:separator/>
      </w:r>
    </w:p>
  </w:footnote>
  <w:footnote w:type="continuationSeparator" w:id="0">
    <w:p w14:paraId="66C371E7" w14:textId="77777777" w:rsidR="00FC4721" w:rsidRDefault="00FC4721" w:rsidP="004A1847">
      <w:pPr>
        <w:spacing w:after="0" w:line="240" w:lineRule="auto"/>
      </w:pPr>
      <w:r>
        <w:continuationSeparator/>
      </w:r>
    </w:p>
  </w:footnote>
  <w:footnote w:type="continuationNotice" w:id="1">
    <w:p w14:paraId="5359D0F6" w14:textId="77777777" w:rsidR="00FC4721" w:rsidRDefault="00FC4721">
      <w:pPr>
        <w:spacing w:after="0" w:line="240" w:lineRule="auto"/>
      </w:pPr>
    </w:p>
  </w:footnote>
  <w:footnote w:id="2">
    <w:p w14:paraId="22F91CE2" w14:textId="77777777" w:rsidR="00044BD0" w:rsidRPr="00264646" w:rsidRDefault="00044BD0" w:rsidP="00044BD0">
      <w:pPr>
        <w:pStyle w:val="Textonotapie"/>
        <w:ind w:firstLine="708"/>
        <w:jc w:val="both"/>
        <w:rPr>
          <w:rFonts w:ascii="Verdana" w:hAnsi="Verdana" w:cs="Arial"/>
          <w:sz w:val="10"/>
          <w:szCs w:val="10"/>
        </w:rPr>
      </w:pPr>
      <w:r w:rsidRPr="00264646">
        <w:rPr>
          <w:rStyle w:val="Refdenotaalpie"/>
          <w:rFonts w:ascii="Verdana" w:hAnsi="Verdana" w:cs="Arial"/>
          <w:sz w:val="10"/>
          <w:szCs w:val="10"/>
        </w:rPr>
        <w:footnoteRef/>
      </w:r>
      <w:r w:rsidRPr="00264646">
        <w:rPr>
          <w:rFonts w:ascii="Verdana" w:hAnsi="Verdana" w:cs="Arial"/>
          <w:sz w:val="10"/>
          <w:szCs w:val="10"/>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49D5BD0D" w14:textId="77777777" w:rsidR="00044BD0" w:rsidRPr="00264646" w:rsidRDefault="00044BD0" w:rsidP="00044BD0">
      <w:pPr>
        <w:pStyle w:val="Textonotapie"/>
        <w:ind w:firstLine="708"/>
        <w:jc w:val="both"/>
        <w:rPr>
          <w:rFonts w:ascii="Verdana" w:hAnsi="Verdana" w:cs="Arial"/>
          <w:sz w:val="10"/>
          <w:szCs w:val="10"/>
        </w:rPr>
      </w:pPr>
      <w:r w:rsidRPr="00264646">
        <w:rPr>
          <w:rFonts w:ascii="Verdana" w:hAnsi="Verdana" w:cs="Arial"/>
          <w:sz w:val="10"/>
          <w:szCs w:val="10"/>
        </w:rPr>
        <w:t>1. Experiencia – Los contratos celebrados por el interesado para cada uno de los bienes, obras y servicios que ofrecerá a las Entidades Estatales, identificados con el Clasificador de Bienes y Servicios en el tercer nivel y su valor expresado en SMMLV.</w:t>
      </w:r>
    </w:p>
    <w:p w14:paraId="27C28958" w14:textId="77777777" w:rsidR="00044BD0" w:rsidRPr="00264646" w:rsidRDefault="00044BD0" w:rsidP="00044BD0">
      <w:pPr>
        <w:pStyle w:val="Textonotapie"/>
        <w:ind w:firstLine="708"/>
        <w:jc w:val="both"/>
        <w:rPr>
          <w:rFonts w:ascii="Verdana" w:hAnsi="Verdana" w:cs="Arial"/>
          <w:sz w:val="10"/>
          <w:szCs w:val="10"/>
        </w:rPr>
      </w:pPr>
      <w:r w:rsidRPr="00264646">
        <w:rPr>
          <w:rFonts w:ascii="Verdana" w:hAnsi="Verdana" w:cs="Arial"/>
          <w:sz w:val="10"/>
          <w:szCs w:val="10"/>
        </w:rPr>
        <w:t>[...]”.</w:t>
      </w:r>
    </w:p>
    <w:p w14:paraId="6D1BC4D7" w14:textId="77777777" w:rsidR="00044BD0" w:rsidRPr="00264646" w:rsidRDefault="00044BD0" w:rsidP="00044BD0">
      <w:pPr>
        <w:pStyle w:val="Textonotapie"/>
        <w:ind w:firstLine="708"/>
        <w:jc w:val="both"/>
        <w:rPr>
          <w:rFonts w:ascii="Verdana" w:hAnsi="Verdana" w:cs="Arial"/>
          <w:sz w:val="10"/>
          <w:szCs w:val="10"/>
          <w:lang w:val="es-ES"/>
        </w:rPr>
      </w:pPr>
    </w:p>
  </w:footnote>
  <w:footnote w:id="3">
    <w:p w14:paraId="5D5B5E12" w14:textId="77777777" w:rsidR="00044BD0" w:rsidRPr="00264646" w:rsidRDefault="00044BD0" w:rsidP="00044BD0">
      <w:pPr>
        <w:pStyle w:val="Textonotapie"/>
        <w:ind w:firstLine="708"/>
        <w:jc w:val="both"/>
        <w:rPr>
          <w:rFonts w:ascii="Verdana" w:hAnsi="Verdana" w:cs="Arial"/>
          <w:sz w:val="10"/>
          <w:szCs w:val="10"/>
        </w:rPr>
      </w:pPr>
      <w:r w:rsidRPr="00264646">
        <w:rPr>
          <w:rStyle w:val="Refdenotaalpie"/>
          <w:rFonts w:ascii="Verdana" w:hAnsi="Verdana" w:cs="Arial"/>
          <w:sz w:val="10"/>
          <w:szCs w:val="10"/>
        </w:rPr>
        <w:footnoteRef/>
      </w:r>
      <w:r w:rsidRPr="00264646">
        <w:rPr>
          <w:rFonts w:ascii="Verdana" w:hAnsi="Verdana" w:cs="Arial"/>
          <w:sz w:val="10"/>
          <w:szCs w:val="10"/>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534BD05" w14:textId="77777777" w:rsidR="00044BD0" w:rsidRPr="00264646" w:rsidRDefault="00044BD0" w:rsidP="00044BD0">
      <w:pPr>
        <w:pStyle w:val="Textonotapie"/>
        <w:ind w:firstLine="708"/>
        <w:jc w:val="both"/>
        <w:rPr>
          <w:rFonts w:ascii="Verdana" w:hAnsi="Verdana" w:cs="Arial"/>
          <w:sz w:val="10"/>
          <w:szCs w:val="10"/>
        </w:rPr>
      </w:pPr>
      <w:r w:rsidRPr="00264646">
        <w:rPr>
          <w:rFonts w:ascii="Verdana" w:hAnsi="Verdana" w:cs="Arial"/>
          <w:sz w:val="10"/>
          <w:szCs w:val="10"/>
        </w:rPr>
        <w:t>[...]</w:t>
      </w:r>
    </w:p>
    <w:p w14:paraId="2344328C" w14:textId="77777777" w:rsidR="00044BD0" w:rsidRPr="00264646" w:rsidRDefault="00044BD0" w:rsidP="00044BD0">
      <w:pPr>
        <w:pStyle w:val="Textonotapie"/>
        <w:ind w:firstLine="708"/>
        <w:jc w:val="both"/>
        <w:rPr>
          <w:rFonts w:ascii="Verdana" w:hAnsi="Verdana" w:cs="Arial"/>
          <w:sz w:val="10"/>
          <w:szCs w:val="10"/>
        </w:rPr>
      </w:pPr>
      <w:r w:rsidRPr="00264646">
        <w:rPr>
          <w:rFonts w:ascii="Verdana" w:hAnsi="Verdana" w:cs="Arial"/>
          <w:sz w:val="10"/>
          <w:szCs w:val="10"/>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0A53F483" w14:textId="77777777" w:rsidR="00044BD0" w:rsidRPr="00264646" w:rsidRDefault="00044BD0" w:rsidP="00044BD0">
      <w:pPr>
        <w:pStyle w:val="Textonotapie"/>
        <w:ind w:firstLine="708"/>
        <w:jc w:val="both"/>
        <w:rPr>
          <w:rFonts w:ascii="Verdana" w:hAnsi="Verdana" w:cs="Arial"/>
          <w:sz w:val="10"/>
          <w:szCs w:val="10"/>
        </w:rPr>
      </w:pPr>
      <w:r w:rsidRPr="00264646">
        <w:rPr>
          <w:rFonts w:ascii="Verdana" w:hAnsi="Verdana" w:cs="Arial"/>
          <w:sz w:val="10"/>
          <w:szCs w:val="10"/>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51D7FC49" w14:textId="77777777" w:rsidR="00044BD0" w:rsidRPr="00264646" w:rsidRDefault="00044BD0" w:rsidP="00044BD0">
      <w:pPr>
        <w:pStyle w:val="Textonotapie"/>
        <w:jc w:val="both"/>
        <w:rPr>
          <w:rFonts w:ascii="Verdana" w:hAnsi="Verdana" w:cs="Arial"/>
          <w:sz w:val="10"/>
          <w:szCs w:val="10"/>
          <w:lang w:val="es-ES"/>
        </w:rPr>
      </w:pPr>
    </w:p>
  </w:footnote>
  <w:footnote w:id="4">
    <w:p w14:paraId="65F66D49" w14:textId="77777777" w:rsidR="00044BD0" w:rsidRPr="00264646" w:rsidRDefault="00044BD0" w:rsidP="00044BD0">
      <w:pPr>
        <w:pStyle w:val="Textonotapie"/>
        <w:ind w:firstLine="708"/>
        <w:jc w:val="both"/>
        <w:rPr>
          <w:rFonts w:ascii="Verdana" w:hAnsi="Verdana" w:cs="Arial"/>
          <w:sz w:val="10"/>
          <w:szCs w:val="10"/>
        </w:rPr>
      </w:pPr>
      <w:r w:rsidRPr="00264646">
        <w:rPr>
          <w:rStyle w:val="Refdenotaalpie"/>
          <w:rFonts w:ascii="Verdana" w:hAnsi="Verdana" w:cs="Arial"/>
          <w:sz w:val="10"/>
          <w:szCs w:val="10"/>
        </w:rPr>
        <w:footnoteRef/>
      </w:r>
      <w:r w:rsidRPr="00264646">
        <w:rPr>
          <w:rFonts w:ascii="Verdana" w:hAnsi="Verdana" w:cs="Arial"/>
          <w:sz w:val="10"/>
          <w:szCs w:val="10"/>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39CB7185" w14:textId="77777777" w:rsidR="00044BD0" w:rsidRPr="00264646" w:rsidRDefault="00044BD0" w:rsidP="00044BD0">
      <w:pPr>
        <w:pStyle w:val="Textonotapie"/>
        <w:ind w:firstLine="708"/>
        <w:jc w:val="both"/>
        <w:rPr>
          <w:rFonts w:ascii="Verdana" w:hAnsi="Verdana" w:cs="Arial"/>
          <w:sz w:val="10"/>
          <w:szCs w:val="10"/>
        </w:rPr>
      </w:pPr>
      <w:r w:rsidRPr="00264646">
        <w:rPr>
          <w:rFonts w:ascii="Verdana" w:hAnsi="Verdana" w:cs="Arial"/>
          <w:sz w:val="10"/>
          <w:szCs w:val="10"/>
        </w:rPr>
        <w:t>1.    Si es una persona natural:</w:t>
      </w:r>
    </w:p>
    <w:p w14:paraId="4CCED9A7" w14:textId="77777777" w:rsidR="00044BD0" w:rsidRPr="00264646" w:rsidRDefault="00044BD0" w:rsidP="00044BD0">
      <w:pPr>
        <w:pStyle w:val="Textonotapie"/>
        <w:ind w:firstLine="708"/>
        <w:jc w:val="both"/>
        <w:rPr>
          <w:rFonts w:ascii="Verdana" w:hAnsi="Verdana" w:cs="Arial"/>
          <w:sz w:val="10"/>
          <w:szCs w:val="10"/>
        </w:rPr>
      </w:pPr>
      <w:r w:rsidRPr="00264646">
        <w:rPr>
          <w:rFonts w:ascii="Verdana" w:hAnsi="Verdana" w:cs="Arial"/>
          <w:sz w:val="10"/>
          <w:szCs w:val="10"/>
        </w:rPr>
        <w:t>1.1. Bienes, obras y servicios que ofrecerá a las Entidades Estatales, identificados con el Clasificador de Bienes y Servicios en el tercer nivel.</w:t>
      </w:r>
    </w:p>
    <w:p w14:paraId="3680A972" w14:textId="77777777" w:rsidR="00044BD0" w:rsidRPr="00264646" w:rsidRDefault="00044BD0" w:rsidP="00044BD0">
      <w:pPr>
        <w:pStyle w:val="Textonotapie"/>
        <w:ind w:firstLine="708"/>
        <w:jc w:val="both"/>
        <w:rPr>
          <w:rFonts w:ascii="Verdana" w:hAnsi="Verdana" w:cs="Arial"/>
          <w:sz w:val="10"/>
          <w:szCs w:val="10"/>
        </w:rPr>
      </w:pPr>
      <w:r w:rsidRPr="00264646">
        <w:rPr>
          <w:rFonts w:ascii="Verdana" w:hAnsi="Verdana" w:cs="Arial"/>
          <w:sz w:val="10"/>
          <w:szCs w:val="10"/>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00F142B9" w14:textId="77777777" w:rsidR="00044BD0" w:rsidRPr="00264646" w:rsidRDefault="00044BD0" w:rsidP="00044BD0">
      <w:pPr>
        <w:pStyle w:val="Textonotapie"/>
        <w:ind w:firstLine="708"/>
        <w:jc w:val="both"/>
        <w:rPr>
          <w:rFonts w:ascii="Verdana" w:hAnsi="Verdana" w:cs="Arial"/>
          <w:sz w:val="10"/>
          <w:szCs w:val="10"/>
          <w:lang w:val="es-ES"/>
        </w:rPr>
      </w:pPr>
    </w:p>
  </w:footnote>
  <w:footnote w:id="5">
    <w:p w14:paraId="4299718C" w14:textId="77777777" w:rsidR="00044BD0" w:rsidRPr="00264646" w:rsidRDefault="00044BD0" w:rsidP="00044BD0">
      <w:pPr>
        <w:pStyle w:val="Textonotapie"/>
        <w:ind w:firstLine="709"/>
        <w:jc w:val="both"/>
        <w:rPr>
          <w:rFonts w:ascii="Verdana" w:hAnsi="Verdana" w:cs="Arial"/>
          <w:sz w:val="10"/>
          <w:szCs w:val="10"/>
        </w:rPr>
      </w:pPr>
      <w:r w:rsidRPr="00264646">
        <w:rPr>
          <w:rStyle w:val="Refdenotaalpie"/>
          <w:rFonts w:ascii="Verdana" w:hAnsi="Verdana"/>
          <w:sz w:val="10"/>
          <w:szCs w:val="10"/>
        </w:rPr>
        <w:footnoteRef/>
      </w:r>
      <w:r w:rsidRPr="00264646">
        <w:rPr>
          <w:rFonts w:ascii="Verdana" w:hAnsi="Verdana"/>
          <w:sz w:val="10"/>
          <w:szCs w:val="10"/>
        </w:rPr>
        <w:t xml:space="preserve"> </w:t>
      </w:r>
      <w:bookmarkStart w:id="2" w:name="_Hlk110954603"/>
      <w:r w:rsidRPr="00264646">
        <w:rPr>
          <w:rFonts w:ascii="Verdana" w:hAnsi="Verdana" w:cs="Arial"/>
          <w:sz w:val="10"/>
          <w:szCs w:val="10"/>
        </w:rPr>
        <w:t xml:space="preserve">La versión actualizada puede ser consultada en: </w:t>
      </w:r>
      <w:r w:rsidRPr="006064F5">
        <w:rPr>
          <w:rFonts w:ascii="Verdana" w:hAnsi="Verdana"/>
          <w:sz w:val="10"/>
          <w:szCs w:val="10"/>
        </w:rPr>
        <w:t>chrome-extension://efaidnbmnnnibpcajpcglclefindmkaj/https://colombiacompra.gov.co/sites/cce_public/files/cce_documents/cce-eicp-ma-04._manual_requisitos_habilitantes_v3_29-09-2023.pdf</w:t>
      </w:r>
    </w:p>
    <w:bookmarkEnd w:id="2"/>
    <w:p w14:paraId="13A5E67F" w14:textId="77777777" w:rsidR="00044BD0" w:rsidRPr="00264646" w:rsidRDefault="00044BD0" w:rsidP="00044BD0">
      <w:pPr>
        <w:pStyle w:val="Textonotapie"/>
        <w:jc w:val="both"/>
        <w:rPr>
          <w:rFonts w:ascii="Verdana" w:hAnsi="Verdana"/>
          <w:sz w:val="10"/>
          <w:szCs w:val="10"/>
          <w:lang w:val="es-CO"/>
        </w:rPr>
      </w:pPr>
    </w:p>
  </w:footnote>
  <w:footnote w:id="6">
    <w:p w14:paraId="5E8864E3" w14:textId="77777777" w:rsidR="00044BD0" w:rsidRPr="00264646" w:rsidRDefault="00044BD0" w:rsidP="00044BD0">
      <w:pPr>
        <w:pStyle w:val="Textonotapie"/>
        <w:ind w:firstLine="708"/>
        <w:jc w:val="both"/>
        <w:rPr>
          <w:rFonts w:ascii="Verdana" w:hAnsi="Verdana" w:cs="Arial"/>
          <w:sz w:val="10"/>
          <w:szCs w:val="10"/>
        </w:rPr>
      </w:pPr>
      <w:r w:rsidRPr="00264646">
        <w:rPr>
          <w:rStyle w:val="Refdenotaalpie"/>
          <w:rFonts w:ascii="Verdana" w:hAnsi="Verdana" w:cs="Arial"/>
          <w:sz w:val="10"/>
          <w:szCs w:val="10"/>
        </w:rPr>
        <w:footnoteRef/>
      </w:r>
      <w:r w:rsidRPr="00264646">
        <w:rPr>
          <w:rFonts w:ascii="Verdana" w:hAnsi="Verdana" w:cs="Arial"/>
          <w:sz w:val="10"/>
          <w:szCs w:val="10"/>
        </w:rPr>
        <w:t xml:space="preserve"> Colombia Compra Eficiente, Manual para determinar y verificar requisitos habilitantes en los procesos de contratación V2: </w:t>
      </w:r>
      <w:bookmarkStart w:id="3" w:name="_Hlk110954624"/>
      <w:r w:rsidRPr="00264646">
        <w:rPr>
          <w:rFonts w:ascii="Verdana" w:hAnsi="Verdana" w:cs="Arial"/>
          <w:sz w:val="10"/>
          <w:szCs w:val="10"/>
        </w:rPr>
        <w:t>“</w:t>
      </w:r>
      <w:r w:rsidRPr="00264646">
        <w:rPr>
          <w:rFonts w:ascii="Verdana" w:hAnsi="Verdana" w:cs="Arial"/>
          <w:sz w:val="10"/>
          <w:szCs w:val="10"/>
          <w:lang w:val="es-CO"/>
        </w:rPr>
        <w:t>Dentro de los requisitos habilitantes establecidos por el artículo 5 de la Ley 1150 de 2007 se destaca la experiencia, la cual debe ser entendida como el conocimiento del proponente derivado de su participación previa en actividades iguales o similares a las previstas en el objeto del contrato con contratantes públicos, privados, nacionales o extranjeros, ya sea directamente o en asocio con otra persona, como es el caso de los proponentes plurales, en cuyo evento la experiencia no deja de ser personal, sino que es proporcional a la participación como miembro de un consorcio o unión temporal, evento en el cual, por tratarse de esquemas asociativos, la experiencia es compartida</w:t>
      </w:r>
      <w:r w:rsidRPr="00264646">
        <w:rPr>
          <w:rFonts w:ascii="Verdana" w:hAnsi="Verdana" w:cs="Arial"/>
          <w:sz w:val="10"/>
          <w:szCs w:val="10"/>
        </w:rPr>
        <w:t>.</w:t>
      </w:r>
    </w:p>
    <w:p w14:paraId="31932EA2" w14:textId="77777777" w:rsidR="00044BD0" w:rsidRPr="00264646" w:rsidRDefault="00044BD0" w:rsidP="00044BD0">
      <w:pPr>
        <w:pStyle w:val="Textonotapie"/>
        <w:ind w:firstLine="708"/>
        <w:jc w:val="both"/>
        <w:rPr>
          <w:rFonts w:ascii="Verdana" w:hAnsi="Verdana" w:cs="Arial"/>
          <w:sz w:val="10"/>
          <w:szCs w:val="10"/>
        </w:rPr>
      </w:pPr>
      <w:r w:rsidRPr="00264646">
        <w:rPr>
          <w:rFonts w:ascii="Verdana" w:hAnsi="Verdana" w:cs="Arial"/>
          <w:sz w:val="10"/>
          <w:szCs w:val="10"/>
        </w:rPr>
        <w:t>[...]</w:t>
      </w:r>
    </w:p>
    <w:p w14:paraId="7670D257" w14:textId="77777777" w:rsidR="00044BD0" w:rsidRPr="00264646" w:rsidRDefault="00044BD0" w:rsidP="00044BD0">
      <w:pPr>
        <w:pStyle w:val="Textonotapie"/>
        <w:ind w:firstLine="708"/>
        <w:jc w:val="both"/>
        <w:rPr>
          <w:rFonts w:ascii="Verdana" w:hAnsi="Verdana" w:cs="Arial"/>
          <w:sz w:val="10"/>
          <w:szCs w:val="10"/>
          <w:lang w:val="es-CO"/>
        </w:rPr>
      </w:pPr>
      <w:r w:rsidRPr="00264646">
        <w:rPr>
          <w:rFonts w:ascii="Verdana" w:hAnsi="Verdana" w:cs="Arial"/>
          <w:sz w:val="10"/>
          <w:szCs w:val="10"/>
          <w:lang w:val="es-CO"/>
        </w:rPr>
        <w:t xml:space="preserve">Así mismo, la experiencia requerida en un Proceso de Contratación debe ser adecuada y proporcional a la naturaleza del contrato, su valor, complejidad y Riesgo. Es adecuada cuando es afín al tipo de actividades previstas en el objeto del negocio a celebrar. Por ejemplo, si es para prestar un servicio de aseo general, el proponente debe tener experiencia en tal servicio, sin que sea relevante el lugar en el cual lo haya ejecutado o quién fue el contratante. </w:t>
      </w:r>
    </w:p>
    <w:p w14:paraId="61425D79" w14:textId="77777777" w:rsidR="00044BD0" w:rsidRPr="00264646" w:rsidRDefault="00044BD0" w:rsidP="00044BD0">
      <w:pPr>
        <w:pStyle w:val="Textonotapie"/>
        <w:ind w:firstLine="708"/>
        <w:jc w:val="both"/>
        <w:rPr>
          <w:rFonts w:ascii="Verdana" w:hAnsi="Verdana" w:cs="Arial"/>
          <w:sz w:val="10"/>
          <w:szCs w:val="10"/>
        </w:rPr>
      </w:pPr>
      <w:r w:rsidRPr="00264646">
        <w:rPr>
          <w:rFonts w:ascii="Verdana" w:hAnsi="Verdana" w:cs="Arial"/>
          <w:sz w:val="10"/>
          <w:szCs w:val="10"/>
        </w:rPr>
        <w:t>Es proporcional cuando tiene relación con el alcance, la cuantía, Riesgo y la complejidad del negocio a celebrar. Por ejemplo, en una obra pública con un presupuesto oficial de 100 SMMLV, la experiencia exigida es proporcional si se exige que los proponentes hayan participado en Procesos de Contratación entre 90 y 100 SMMLV del mismo tipo de obra [...]”.</w:t>
      </w:r>
    </w:p>
    <w:p w14:paraId="4A08CD30" w14:textId="77777777" w:rsidR="00044BD0" w:rsidRPr="00264646" w:rsidRDefault="00044BD0" w:rsidP="00044BD0">
      <w:pPr>
        <w:pStyle w:val="Textonotapie"/>
        <w:jc w:val="both"/>
        <w:rPr>
          <w:rFonts w:ascii="Verdana" w:hAnsi="Verdana" w:cs="Arial"/>
          <w:sz w:val="10"/>
          <w:szCs w:val="10"/>
        </w:rPr>
      </w:pPr>
    </w:p>
    <w:bookmarkEnd w:id="3"/>
  </w:footnote>
  <w:footnote w:id="7">
    <w:p w14:paraId="4EB4894C" w14:textId="77777777" w:rsidR="00044BD0" w:rsidRPr="00264646" w:rsidRDefault="00044BD0" w:rsidP="00044BD0">
      <w:pPr>
        <w:pStyle w:val="Textonotapie"/>
        <w:ind w:firstLine="709"/>
        <w:jc w:val="both"/>
        <w:rPr>
          <w:rFonts w:ascii="Verdana" w:hAnsi="Verdana"/>
          <w:sz w:val="10"/>
          <w:szCs w:val="10"/>
          <w:lang w:val="es-CO"/>
        </w:rPr>
      </w:pPr>
      <w:r w:rsidRPr="00264646">
        <w:rPr>
          <w:rStyle w:val="Refdenotaalpie"/>
          <w:rFonts w:ascii="Verdana" w:hAnsi="Verdana"/>
          <w:sz w:val="10"/>
          <w:szCs w:val="10"/>
        </w:rPr>
        <w:footnoteRef/>
      </w:r>
      <w:r w:rsidRPr="00264646">
        <w:rPr>
          <w:rFonts w:ascii="Verdana" w:hAnsi="Verdana"/>
          <w:sz w:val="10"/>
          <w:szCs w:val="10"/>
        </w:rPr>
        <w:t xml:space="preserve"> </w:t>
      </w:r>
      <w:r w:rsidRPr="00264646">
        <w:rPr>
          <w:rFonts w:ascii="Verdana" w:hAnsi="Verdana" w:cs="Arial"/>
          <w:sz w:val="10"/>
          <w:szCs w:val="10"/>
          <w:lang w:val="es-CO"/>
        </w:rPr>
        <w:t>Consejo de Estado. Sección Tercera. Sentencia del 20 de abril del 2022. Radicación Nro. 54482. C.P.: Jaime Enrique Rodríguez Navas.</w:t>
      </w:r>
    </w:p>
  </w:footnote>
  <w:footnote w:id="8">
    <w:p w14:paraId="7F0400CC" w14:textId="77777777" w:rsidR="00044BD0" w:rsidRPr="00264646" w:rsidRDefault="00044BD0" w:rsidP="00044BD0">
      <w:pPr>
        <w:pStyle w:val="Textonotapie"/>
        <w:ind w:firstLine="708"/>
        <w:jc w:val="both"/>
        <w:rPr>
          <w:rFonts w:ascii="Verdana" w:hAnsi="Verdana" w:cs="Arial"/>
          <w:sz w:val="10"/>
          <w:szCs w:val="10"/>
        </w:rPr>
      </w:pPr>
      <w:r w:rsidRPr="00264646">
        <w:rPr>
          <w:rStyle w:val="Refdenotaalpie"/>
          <w:rFonts w:ascii="Verdana" w:hAnsi="Verdana" w:cs="Arial"/>
          <w:sz w:val="10"/>
          <w:szCs w:val="10"/>
        </w:rPr>
        <w:footnoteRef/>
      </w:r>
      <w:r w:rsidRPr="00264646">
        <w:rPr>
          <w:rFonts w:ascii="Verdana" w:hAnsi="Verdana" w:cs="Arial"/>
          <w:sz w:val="10"/>
          <w:szCs w:val="10"/>
        </w:rPr>
        <w:t xml:space="preserve"> Código de Comercio: “Artículo 222. Efectos posteriores a la liquidación de la sociedad. Disuelta la sociedad se procederá de inmediato a su liquidación. En consecuencia, no podrá iniciar nuevas operaciones en desarrollo de su objeto y conservará su capacidad jurídica únicamente para los actos necesarios a la inmediata liquidación. Cualquier operación o acto ajeno a este fin, salvo los autorizados expresamente por la Ley, hará responsables frente a la sociedad, a los asociados y a terceros, en forma ilimitada y solidaria, al liquidador, y al revisor fiscal que no se hubiere opuesto.</w:t>
      </w:r>
    </w:p>
    <w:p w14:paraId="579F8A4B" w14:textId="77777777" w:rsidR="00044BD0" w:rsidRPr="00264646" w:rsidRDefault="00044BD0" w:rsidP="00044BD0">
      <w:pPr>
        <w:pStyle w:val="Textonotapie"/>
        <w:ind w:firstLine="708"/>
        <w:jc w:val="both"/>
        <w:rPr>
          <w:rFonts w:ascii="Verdana" w:hAnsi="Verdana" w:cs="Arial"/>
          <w:sz w:val="10"/>
          <w:szCs w:val="10"/>
        </w:rPr>
      </w:pPr>
      <w:r>
        <w:rPr>
          <w:rFonts w:ascii="Verdana" w:hAnsi="Verdana" w:cs="Arial"/>
          <w:sz w:val="10"/>
          <w:szCs w:val="10"/>
        </w:rPr>
        <w:t>“</w:t>
      </w:r>
      <w:r w:rsidRPr="00264646">
        <w:rPr>
          <w:rFonts w:ascii="Verdana" w:hAnsi="Verdana" w:cs="Arial"/>
          <w:sz w:val="10"/>
          <w:szCs w:val="10"/>
        </w:rPr>
        <w:t>El nombre de la sociedad disuelta deberá adicionarse siempre con la expresión ‘en liquidación’. Los encargados de realizarla responderán de los daños y perjuicios que se deriven por dicha omisión</w:t>
      </w:r>
      <w:r>
        <w:rPr>
          <w:rFonts w:ascii="Verdana" w:hAnsi="Verdana" w:cs="Arial"/>
          <w:sz w:val="10"/>
          <w:szCs w:val="10"/>
        </w:rPr>
        <w:t>”</w:t>
      </w:r>
      <w:r w:rsidRPr="00264646">
        <w:rPr>
          <w:rFonts w:ascii="Verdana" w:hAnsi="Verdana" w:cs="Arial"/>
          <w:sz w:val="10"/>
          <w:szCs w:val="10"/>
        </w:rPr>
        <w:t>.</w:t>
      </w:r>
    </w:p>
    <w:p w14:paraId="1E894693" w14:textId="77777777" w:rsidR="00044BD0" w:rsidRPr="00264646" w:rsidRDefault="00044BD0" w:rsidP="00044BD0">
      <w:pPr>
        <w:pStyle w:val="Textonotapie"/>
        <w:jc w:val="both"/>
        <w:rPr>
          <w:rFonts w:ascii="Verdana" w:hAnsi="Verdana" w:cs="Arial"/>
          <w:sz w:val="10"/>
          <w:szCs w:val="10"/>
          <w:lang w:val="es-CO"/>
        </w:rPr>
      </w:pPr>
    </w:p>
  </w:footnote>
  <w:footnote w:id="9">
    <w:p w14:paraId="13653B63" w14:textId="77777777" w:rsidR="00044BD0" w:rsidRPr="00264646" w:rsidRDefault="00044BD0" w:rsidP="00044BD0">
      <w:pPr>
        <w:pStyle w:val="Textonotapie"/>
        <w:ind w:firstLine="708"/>
        <w:jc w:val="both"/>
        <w:rPr>
          <w:rFonts w:ascii="Verdana" w:hAnsi="Verdana" w:cs="Arial"/>
          <w:sz w:val="10"/>
          <w:szCs w:val="10"/>
        </w:rPr>
      </w:pPr>
      <w:r w:rsidRPr="00264646">
        <w:rPr>
          <w:rStyle w:val="Refdenotaalpie"/>
          <w:rFonts w:ascii="Verdana" w:hAnsi="Verdana" w:cs="Arial"/>
          <w:sz w:val="10"/>
          <w:szCs w:val="10"/>
        </w:rPr>
        <w:footnoteRef/>
      </w:r>
      <w:r w:rsidRPr="00264646">
        <w:rPr>
          <w:rFonts w:ascii="Verdana" w:hAnsi="Verdana" w:cs="Arial"/>
          <w:sz w:val="10"/>
          <w:szCs w:val="10"/>
        </w:rPr>
        <w:t xml:space="preserve"> Ver artículos 225 y ss. del Código de Comercio.</w:t>
      </w:r>
    </w:p>
    <w:p w14:paraId="2DA41178" w14:textId="77777777" w:rsidR="00044BD0" w:rsidRPr="00264646" w:rsidRDefault="00044BD0" w:rsidP="00044BD0">
      <w:pPr>
        <w:pStyle w:val="Textonotapie"/>
        <w:ind w:firstLine="708"/>
        <w:jc w:val="both"/>
        <w:rPr>
          <w:rFonts w:ascii="Verdana" w:hAnsi="Verdana" w:cs="Arial"/>
          <w:sz w:val="10"/>
          <w:szCs w:val="10"/>
          <w:lang w:val="es-CO"/>
        </w:rPr>
      </w:pPr>
      <w:r w:rsidRPr="00264646">
        <w:rPr>
          <w:rFonts w:ascii="Verdana" w:hAnsi="Verdana" w:cs="Arial"/>
          <w:sz w:val="10"/>
          <w:szCs w:val="10"/>
        </w:rPr>
        <w:t xml:space="preserve"> </w:t>
      </w:r>
    </w:p>
  </w:footnote>
  <w:footnote w:id="10">
    <w:p w14:paraId="0A3EED88" w14:textId="77777777" w:rsidR="00044BD0" w:rsidRPr="00264646" w:rsidRDefault="00044BD0" w:rsidP="00044BD0">
      <w:pPr>
        <w:pStyle w:val="Textonotapie"/>
        <w:ind w:firstLine="708"/>
        <w:jc w:val="both"/>
        <w:rPr>
          <w:rFonts w:ascii="Verdana" w:hAnsi="Verdana" w:cs="Arial"/>
          <w:sz w:val="10"/>
          <w:szCs w:val="10"/>
        </w:rPr>
      </w:pPr>
      <w:r w:rsidRPr="00264646">
        <w:rPr>
          <w:rStyle w:val="Refdenotaalpie"/>
          <w:rFonts w:ascii="Verdana" w:hAnsi="Verdana" w:cs="Arial"/>
          <w:sz w:val="10"/>
          <w:szCs w:val="10"/>
        </w:rPr>
        <w:footnoteRef/>
      </w:r>
      <w:r w:rsidRPr="00264646">
        <w:rPr>
          <w:rFonts w:ascii="Verdana" w:hAnsi="Verdana" w:cs="Arial"/>
          <w:sz w:val="10"/>
          <w:szCs w:val="10"/>
        </w:rPr>
        <w:t xml:space="preserve"> Código de Comercio: “Artículo 167. Reforma de contrato social por transformación de sociedad. Una sociedad podrá, antes de su disolución, adoptar cualquiera otra de las formas de la sociedad comercial reguladas en este Código, mediante una reforma del contrato social.</w:t>
      </w:r>
    </w:p>
    <w:p w14:paraId="2B2B3214" w14:textId="77777777" w:rsidR="00044BD0" w:rsidRPr="00264646" w:rsidRDefault="00044BD0" w:rsidP="00044BD0">
      <w:pPr>
        <w:pStyle w:val="Textonotapie"/>
        <w:ind w:firstLine="708"/>
        <w:jc w:val="both"/>
        <w:rPr>
          <w:rFonts w:ascii="Verdana" w:hAnsi="Verdana" w:cs="Arial"/>
          <w:sz w:val="10"/>
          <w:szCs w:val="10"/>
        </w:rPr>
      </w:pPr>
      <w:r w:rsidRPr="00264646">
        <w:rPr>
          <w:rFonts w:ascii="Verdana" w:hAnsi="Verdana" w:cs="Arial"/>
          <w:sz w:val="10"/>
          <w:szCs w:val="10"/>
        </w:rPr>
        <w:t>La transformación no producirá solución de continuidad en la existencia de la sociedad como persona jurídica, ni en sus actividades ni en su patrimonio”.</w:t>
      </w:r>
    </w:p>
    <w:p w14:paraId="332D0188" w14:textId="77777777" w:rsidR="00044BD0" w:rsidRPr="00264646" w:rsidRDefault="00044BD0" w:rsidP="00044BD0">
      <w:pPr>
        <w:pStyle w:val="Textonotapie"/>
        <w:ind w:firstLine="708"/>
        <w:jc w:val="both"/>
        <w:rPr>
          <w:rFonts w:ascii="Verdana" w:hAnsi="Verdana" w:cs="Arial"/>
          <w:sz w:val="10"/>
          <w:szCs w:val="10"/>
        </w:rPr>
      </w:pPr>
    </w:p>
  </w:footnote>
  <w:footnote w:id="11">
    <w:p w14:paraId="60A09732" w14:textId="77777777" w:rsidR="00044BD0" w:rsidRPr="00264646" w:rsidRDefault="00044BD0" w:rsidP="00044BD0">
      <w:pPr>
        <w:pStyle w:val="Textonotapie"/>
        <w:ind w:firstLine="708"/>
        <w:jc w:val="both"/>
        <w:rPr>
          <w:rFonts w:ascii="Verdana" w:hAnsi="Verdana" w:cs="Arial"/>
          <w:sz w:val="10"/>
          <w:szCs w:val="10"/>
        </w:rPr>
      </w:pPr>
      <w:r w:rsidRPr="00264646">
        <w:rPr>
          <w:rStyle w:val="Refdenotaalpie"/>
          <w:rFonts w:ascii="Verdana" w:hAnsi="Verdana" w:cs="Arial"/>
          <w:sz w:val="10"/>
          <w:szCs w:val="10"/>
        </w:rPr>
        <w:footnoteRef/>
      </w:r>
      <w:r w:rsidRPr="00264646">
        <w:rPr>
          <w:rFonts w:ascii="Verdana" w:hAnsi="Verdana" w:cs="Arial"/>
          <w:sz w:val="10"/>
          <w:szCs w:val="10"/>
        </w:rPr>
        <w:t xml:space="preserve"> Ley 222 de 1995: “Artículo 3. Modalidades. Habrá escisión cuando:</w:t>
      </w:r>
    </w:p>
    <w:p w14:paraId="0BD53C5F" w14:textId="77777777" w:rsidR="00044BD0" w:rsidRPr="00264646" w:rsidRDefault="00044BD0" w:rsidP="00044BD0">
      <w:pPr>
        <w:pStyle w:val="Textonotapie"/>
        <w:ind w:firstLine="708"/>
        <w:jc w:val="both"/>
        <w:rPr>
          <w:rFonts w:ascii="Verdana" w:hAnsi="Verdana" w:cs="Arial"/>
          <w:sz w:val="10"/>
          <w:szCs w:val="10"/>
        </w:rPr>
      </w:pPr>
      <w:r w:rsidRPr="00264646">
        <w:rPr>
          <w:rFonts w:ascii="Verdana" w:hAnsi="Verdana" w:cs="Arial"/>
          <w:sz w:val="10"/>
          <w:szCs w:val="10"/>
        </w:rPr>
        <w:t>1. Una sociedad sin disolverse, transfiere en bloque una o varias partes de su patrimonio a una o más sociedades existentes o las destina a la creación de una o varias sociedades.</w:t>
      </w:r>
    </w:p>
    <w:p w14:paraId="0E79CEDF" w14:textId="77777777" w:rsidR="00044BD0" w:rsidRPr="00264646" w:rsidRDefault="00044BD0" w:rsidP="00044BD0">
      <w:pPr>
        <w:pStyle w:val="Textonotapie"/>
        <w:ind w:firstLine="708"/>
        <w:jc w:val="both"/>
        <w:rPr>
          <w:rFonts w:ascii="Verdana" w:hAnsi="Verdana" w:cs="Arial"/>
          <w:sz w:val="10"/>
          <w:szCs w:val="10"/>
        </w:rPr>
      </w:pPr>
      <w:r w:rsidRPr="00264646">
        <w:rPr>
          <w:rFonts w:ascii="Verdana" w:hAnsi="Verdana" w:cs="Arial"/>
          <w:sz w:val="10"/>
          <w:szCs w:val="10"/>
        </w:rPr>
        <w:t>2. Una sociedad se disuelve sin liquidarse, dividiendo su patrimonio en dos o más partes, que se transfieren a varias sociedades existentes o se destinan a la creación de nuevas sociedades.</w:t>
      </w:r>
    </w:p>
    <w:p w14:paraId="720209FD" w14:textId="77777777" w:rsidR="00044BD0" w:rsidRPr="00264646" w:rsidRDefault="00044BD0" w:rsidP="00044BD0">
      <w:pPr>
        <w:pStyle w:val="Textonotapie"/>
        <w:ind w:firstLine="708"/>
        <w:jc w:val="both"/>
        <w:rPr>
          <w:rFonts w:ascii="Verdana" w:hAnsi="Verdana" w:cs="Arial"/>
          <w:sz w:val="10"/>
          <w:szCs w:val="10"/>
        </w:rPr>
      </w:pPr>
      <w:r w:rsidRPr="00264646">
        <w:rPr>
          <w:rFonts w:ascii="Verdana" w:hAnsi="Verdana" w:cs="Arial"/>
          <w:sz w:val="10"/>
          <w:szCs w:val="10"/>
        </w:rPr>
        <w:t>La sociedad o sociedades destinatarias de las transferencias resultantes de la escisión, se denominarán sociedades beneficiarias.</w:t>
      </w:r>
    </w:p>
    <w:p w14:paraId="53462BF7" w14:textId="77777777" w:rsidR="00044BD0" w:rsidRPr="00264646" w:rsidRDefault="00044BD0" w:rsidP="00044BD0">
      <w:pPr>
        <w:pStyle w:val="Textonotapie"/>
        <w:ind w:firstLine="708"/>
        <w:jc w:val="both"/>
        <w:rPr>
          <w:rFonts w:ascii="Verdana" w:hAnsi="Verdana" w:cs="Arial"/>
          <w:sz w:val="10"/>
          <w:szCs w:val="10"/>
          <w:lang w:val="es-CO"/>
        </w:rPr>
      </w:pPr>
      <w:r w:rsidRPr="00264646">
        <w:rPr>
          <w:rFonts w:ascii="Verdana" w:hAnsi="Verdana" w:cs="Arial"/>
          <w:sz w:val="10"/>
          <w:szCs w:val="10"/>
        </w:rPr>
        <w:t>Los socios de la sociedad escindida participarán en el capital de las Sociedades beneficiarias en la misma proporción que tengan en aquélla, salvo que por unanimidad de las acciones, cuotas sociales o partes de interés representadas en la asamblea o junta de socios de la escindente, se apruebe una participación diferente”.</w:t>
      </w:r>
    </w:p>
  </w:footnote>
  <w:footnote w:id="12">
    <w:p w14:paraId="461182B7" w14:textId="77777777" w:rsidR="00044BD0" w:rsidRPr="00264646" w:rsidRDefault="00044BD0" w:rsidP="00044BD0">
      <w:pPr>
        <w:pStyle w:val="Textonotapie"/>
        <w:ind w:firstLine="708"/>
        <w:jc w:val="both"/>
        <w:rPr>
          <w:rFonts w:ascii="Verdana" w:hAnsi="Verdana" w:cs="Arial"/>
          <w:sz w:val="10"/>
          <w:szCs w:val="10"/>
        </w:rPr>
      </w:pPr>
      <w:r w:rsidRPr="00264646">
        <w:rPr>
          <w:rStyle w:val="Refdenotaalpie"/>
          <w:rFonts w:ascii="Verdana" w:hAnsi="Verdana" w:cs="Arial"/>
          <w:sz w:val="10"/>
          <w:szCs w:val="10"/>
        </w:rPr>
        <w:footnoteRef/>
      </w:r>
      <w:r w:rsidRPr="00264646">
        <w:rPr>
          <w:rFonts w:ascii="Verdana" w:hAnsi="Verdana" w:cs="Arial"/>
          <w:sz w:val="10"/>
          <w:szCs w:val="10"/>
        </w:rPr>
        <w:t xml:space="preserve"> Código de Comercio: “Artículo 172. Fusión de la sociedad-concepto. Habrá fusión cuando una o más sociedades se disuelvan, sin liquidarse, para ser absorbidas por otra o para crear una nueva.</w:t>
      </w:r>
    </w:p>
    <w:p w14:paraId="28D0741C" w14:textId="77777777" w:rsidR="00044BD0" w:rsidRPr="00264646" w:rsidRDefault="00044BD0" w:rsidP="00044BD0">
      <w:pPr>
        <w:pStyle w:val="Textonotapie"/>
        <w:ind w:firstLine="708"/>
        <w:jc w:val="both"/>
        <w:rPr>
          <w:rFonts w:ascii="Verdana" w:hAnsi="Verdana" w:cs="Arial"/>
          <w:sz w:val="10"/>
          <w:szCs w:val="10"/>
        </w:rPr>
      </w:pPr>
      <w:r>
        <w:rPr>
          <w:rFonts w:ascii="Verdana" w:hAnsi="Verdana" w:cs="Arial"/>
          <w:sz w:val="10"/>
          <w:szCs w:val="10"/>
        </w:rPr>
        <w:t>“</w:t>
      </w:r>
      <w:r w:rsidRPr="00264646">
        <w:rPr>
          <w:rFonts w:ascii="Verdana" w:hAnsi="Verdana" w:cs="Arial"/>
          <w:sz w:val="10"/>
          <w:szCs w:val="10"/>
        </w:rPr>
        <w:t>La absorbente o la nueva compañía adquirirá los derechos y obligaciones de la sociedad o sociedades disueltas al formalizarse el acuerdo de fusión</w:t>
      </w:r>
      <w:r>
        <w:rPr>
          <w:rFonts w:ascii="Verdana" w:hAnsi="Verdana" w:cs="Arial"/>
          <w:sz w:val="10"/>
          <w:szCs w:val="10"/>
        </w:rPr>
        <w:t>”</w:t>
      </w:r>
      <w:r w:rsidRPr="00264646">
        <w:rPr>
          <w:rFonts w:ascii="Verdana" w:hAnsi="Verdana" w:cs="Arial"/>
          <w:sz w:val="10"/>
          <w:szCs w:val="10"/>
        </w:rPr>
        <w:t>.</w:t>
      </w:r>
    </w:p>
    <w:p w14:paraId="6003108A" w14:textId="77777777" w:rsidR="00044BD0" w:rsidRPr="00264646" w:rsidRDefault="00044BD0" w:rsidP="00044BD0">
      <w:pPr>
        <w:pStyle w:val="Textonotapie"/>
        <w:jc w:val="both"/>
        <w:rPr>
          <w:rFonts w:ascii="Verdana" w:hAnsi="Verdana" w:cs="Arial"/>
          <w:sz w:val="10"/>
          <w:szCs w:val="10"/>
          <w:lang w:val="es-CO"/>
        </w:rPr>
      </w:pPr>
    </w:p>
  </w:footnote>
  <w:footnote w:id="13">
    <w:p w14:paraId="709E6B13" w14:textId="77777777" w:rsidR="00044BD0" w:rsidRPr="00264646" w:rsidRDefault="00044BD0" w:rsidP="00044BD0">
      <w:pPr>
        <w:pStyle w:val="Textonotapie"/>
        <w:ind w:firstLine="708"/>
        <w:jc w:val="both"/>
        <w:rPr>
          <w:rFonts w:ascii="Verdana" w:hAnsi="Verdana" w:cs="Arial"/>
          <w:sz w:val="10"/>
          <w:szCs w:val="10"/>
        </w:rPr>
      </w:pPr>
      <w:r w:rsidRPr="00264646">
        <w:rPr>
          <w:rStyle w:val="Refdenotaalpie"/>
          <w:rFonts w:ascii="Verdana" w:hAnsi="Verdana" w:cs="Arial"/>
          <w:sz w:val="10"/>
          <w:szCs w:val="10"/>
        </w:rPr>
        <w:footnoteRef/>
      </w:r>
      <w:r w:rsidRPr="00264646">
        <w:rPr>
          <w:rFonts w:ascii="Verdana" w:hAnsi="Verdana" w:cs="Arial"/>
          <w:sz w:val="10"/>
          <w:szCs w:val="10"/>
        </w:rPr>
        <w:t xml:space="preserve"> Código de Comercio: “Artículo 180. Formación de nueva sociedad que continua negocios de la disuelta. Lo dispuesto en esta Sección podrá aplicarse también al caso de la formación de una nueva sociedad para continuar los negocios de una sociedad disuelta, siempre que no haya variaciones en el giro de sus actividades o negocios y que la operación se celebre dentro de los seis meses siguientes a la fecha de disolución</w:t>
      </w:r>
      <w:r>
        <w:rPr>
          <w:rFonts w:ascii="Verdana" w:hAnsi="Verdana" w:cs="Arial"/>
          <w:sz w:val="10"/>
          <w:szCs w:val="10"/>
        </w:rPr>
        <w:t>”</w:t>
      </w:r>
      <w:r w:rsidRPr="00264646">
        <w:rPr>
          <w:rFonts w:ascii="Verdana" w:hAnsi="Verdana" w:cs="Arial"/>
          <w:sz w:val="10"/>
          <w:szCs w:val="10"/>
        </w:rPr>
        <w:t>.</w:t>
      </w:r>
    </w:p>
    <w:p w14:paraId="087EBC28" w14:textId="77777777" w:rsidR="00044BD0" w:rsidRPr="00264646" w:rsidRDefault="00044BD0" w:rsidP="00044BD0">
      <w:pPr>
        <w:pStyle w:val="Textonotapie"/>
        <w:ind w:firstLine="708"/>
        <w:jc w:val="both"/>
        <w:rPr>
          <w:rFonts w:ascii="Verdana" w:hAnsi="Verdana" w:cs="Arial"/>
          <w:sz w:val="10"/>
          <w:szCs w:val="10"/>
          <w:lang w:val="es-CO"/>
        </w:rPr>
      </w:pPr>
    </w:p>
  </w:footnote>
  <w:footnote w:id="14">
    <w:p w14:paraId="0104EE93" w14:textId="77777777" w:rsidR="00044BD0" w:rsidRPr="00264646" w:rsidRDefault="00044BD0" w:rsidP="00044BD0">
      <w:pPr>
        <w:pStyle w:val="Textonotapie"/>
        <w:ind w:firstLine="708"/>
        <w:jc w:val="both"/>
        <w:rPr>
          <w:rFonts w:ascii="Verdana" w:hAnsi="Verdana" w:cs="Arial"/>
          <w:sz w:val="10"/>
          <w:szCs w:val="10"/>
        </w:rPr>
      </w:pPr>
      <w:r w:rsidRPr="00264646">
        <w:rPr>
          <w:rStyle w:val="Refdenotaalpie"/>
          <w:rFonts w:ascii="Verdana" w:hAnsi="Verdana" w:cs="Arial"/>
          <w:sz w:val="10"/>
          <w:szCs w:val="10"/>
        </w:rPr>
        <w:footnoteRef/>
      </w:r>
      <w:r w:rsidRPr="00264646">
        <w:rPr>
          <w:rFonts w:ascii="Verdana" w:hAnsi="Verdana" w:cs="Arial"/>
          <w:sz w:val="10"/>
          <w:szCs w:val="10"/>
        </w:rPr>
        <w:t xml:space="preserve"> Ley 1258 de 2008: “Artículo 33. Fusión abreviada. En aquellos casos en que una sociedad detente más del noventa (90%) de las acciones de una sociedad por acciones simplificada, aquella podrá absorber a esta, mediante determinación adoptada por los representantes legales o por las juntas directivas de las sociedades participantes en el proceso de fusión.</w:t>
      </w:r>
    </w:p>
    <w:p w14:paraId="35413F0A" w14:textId="77777777" w:rsidR="00044BD0" w:rsidRPr="00264646" w:rsidRDefault="00044BD0" w:rsidP="00044BD0">
      <w:pPr>
        <w:pStyle w:val="Textonotapie"/>
        <w:ind w:firstLine="708"/>
        <w:jc w:val="both"/>
        <w:rPr>
          <w:rFonts w:ascii="Verdana" w:hAnsi="Verdana" w:cs="Arial"/>
          <w:sz w:val="10"/>
          <w:szCs w:val="10"/>
        </w:rPr>
      </w:pPr>
      <w:r>
        <w:rPr>
          <w:rFonts w:ascii="Verdana" w:hAnsi="Verdana" w:cs="Arial"/>
          <w:sz w:val="10"/>
          <w:szCs w:val="10"/>
        </w:rPr>
        <w:t>“</w:t>
      </w:r>
      <w:r w:rsidRPr="00264646">
        <w:rPr>
          <w:rFonts w:ascii="Verdana" w:hAnsi="Verdana" w:cs="Arial"/>
          <w:sz w:val="10"/>
          <w:szCs w:val="10"/>
        </w:rPr>
        <w:t>El acuerdo de fusión podrá realizarse por documento privado inscrito en el Registro Mercantil, salvo que dentro de los activos transferidos se encuentren bienes cuya enajenación requiera escritura pública. La fusión podrá dar lugar al derecho de retiro a favor de los accionistas ausentes y disidentes en los términos de la Ley 222 de 1995, así como a la acción de oposición judicial prevista en el artículo 175 del Código de Comercio.</w:t>
      </w:r>
    </w:p>
    <w:p w14:paraId="231C40F9" w14:textId="77777777" w:rsidR="00044BD0" w:rsidRPr="00264646" w:rsidRDefault="00044BD0" w:rsidP="00044BD0">
      <w:pPr>
        <w:pStyle w:val="Textonotapie"/>
        <w:ind w:firstLine="708"/>
        <w:jc w:val="both"/>
        <w:rPr>
          <w:rFonts w:ascii="Verdana" w:hAnsi="Verdana" w:cs="Arial"/>
          <w:sz w:val="10"/>
          <w:szCs w:val="10"/>
        </w:rPr>
      </w:pPr>
      <w:r>
        <w:rPr>
          <w:rFonts w:ascii="Verdana" w:hAnsi="Verdana" w:cs="Arial"/>
          <w:sz w:val="10"/>
          <w:szCs w:val="10"/>
        </w:rPr>
        <w:t>“</w:t>
      </w:r>
      <w:r w:rsidRPr="00264646">
        <w:rPr>
          <w:rFonts w:ascii="Verdana" w:hAnsi="Verdana" w:cs="Arial"/>
          <w:sz w:val="10"/>
          <w:szCs w:val="10"/>
        </w:rPr>
        <w:t>El texto del acuerdo de fusión abreviada tendrá que ser publicado en un diario de amplia circulación según lo establece la Ley 222 de 1995, dentro de ese mismo término habrá lugar a la oposición por parte de terceros interesados quienes podrán exigir garantías necesarias y/o suficientes</w:t>
      </w:r>
      <w:r>
        <w:rPr>
          <w:rFonts w:ascii="Verdana" w:hAnsi="Verdana" w:cs="Arial"/>
          <w:sz w:val="10"/>
          <w:szCs w:val="10"/>
        </w:rPr>
        <w:t>”</w:t>
      </w:r>
      <w:r w:rsidRPr="00264646">
        <w:rPr>
          <w:rFonts w:ascii="Verdana" w:hAnsi="Verdana" w:cs="Arial"/>
          <w:sz w:val="10"/>
          <w:szCs w:val="10"/>
        </w:rPr>
        <w:t>.</w:t>
      </w:r>
    </w:p>
    <w:p w14:paraId="0DF54360" w14:textId="77777777" w:rsidR="00044BD0" w:rsidRPr="00264646" w:rsidRDefault="00044BD0" w:rsidP="00044BD0">
      <w:pPr>
        <w:pStyle w:val="Textonotapie"/>
        <w:ind w:firstLine="708"/>
        <w:jc w:val="both"/>
        <w:rPr>
          <w:rFonts w:ascii="Verdana" w:hAnsi="Verdana" w:cs="Arial"/>
          <w:sz w:val="10"/>
          <w:szCs w:val="10"/>
          <w:lang w:val="es-CO"/>
        </w:rPr>
      </w:pPr>
    </w:p>
  </w:footnote>
  <w:footnote w:id="15">
    <w:p w14:paraId="15266A78" w14:textId="77777777" w:rsidR="00044BD0" w:rsidRPr="00264646" w:rsidRDefault="00044BD0" w:rsidP="00044BD0">
      <w:pPr>
        <w:pStyle w:val="Textonotapie"/>
        <w:ind w:firstLine="708"/>
        <w:jc w:val="both"/>
        <w:rPr>
          <w:rFonts w:ascii="Verdana" w:hAnsi="Verdana" w:cs="Arial"/>
          <w:sz w:val="10"/>
          <w:szCs w:val="10"/>
        </w:rPr>
      </w:pPr>
      <w:r w:rsidRPr="00264646">
        <w:rPr>
          <w:rStyle w:val="Refdenotaalpie"/>
          <w:rFonts w:ascii="Verdana" w:hAnsi="Verdana" w:cs="Arial"/>
          <w:sz w:val="10"/>
          <w:szCs w:val="10"/>
        </w:rPr>
        <w:footnoteRef/>
      </w:r>
      <w:r w:rsidRPr="00264646">
        <w:rPr>
          <w:rFonts w:ascii="Verdana" w:hAnsi="Verdana" w:cs="Arial"/>
          <w:sz w:val="10"/>
          <w:szCs w:val="10"/>
        </w:rPr>
        <w:t xml:space="preserve"> Superintendencia de Sociedades. Oficios 220-072759 del 14 de mayo de 2014, 220-100613 del 14 de julio de 2015, 220-079814 del 31 de agosto de 2015,220-142284 del 15 de julio de 2016, 095721 del 16 de junio de 2020.</w:t>
      </w:r>
    </w:p>
    <w:p w14:paraId="7DCF3C58" w14:textId="77777777" w:rsidR="00044BD0" w:rsidRPr="00264646" w:rsidRDefault="00044BD0" w:rsidP="00044BD0">
      <w:pPr>
        <w:pStyle w:val="Textonotapie"/>
        <w:ind w:firstLine="708"/>
        <w:jc w:val="both"/>
        <w:rPr>
          <w:rFonts w:ascii="Verdana" w:hAnsi="Verdana" w:cs="Arial"/>
          <w:sz w:val="10"/>
          <w:szCs w:val="10"/>
          <w:lang w:val="es-CO"/>
        </w:rPr>
      </w:pPr>
    </w:p>
  </w:footnote>
  <w:footnote w:id="16">
    <w:p w14:paraId="124AEDC0" w14:textId="77777777" w:rsidR="00044BD0" w:rsidRDefault="00044BD0" w:rsidP="00044BD0">
      <w:pPr>
        <w:pStyle w:val="Textonotapie"/>
        <w:ind w:firstLine="708"/>
        <w:jc w:val="both"/>
        <w:rPr>
          <w:rFonts w:ascii="Verdana" w:hAnsi="Verdana" w:cs="Arial"/>
          <w:sz w:val="10"/>
          <w:szCs w:val="10"/>
        </w:rPr>
      </w:pPr>
      <w:r w:rsidRPr="00264646">
        <w:rPr>
          <w:rStyle w:val="Refdenotaalpie"/>
          <w:rFonts w:ascii="Verdana" w:hAnsi="Verdana" w:cs="Arial"/>
          <w:sz w:val="10"/>
          <w:szCs w:val="10"/>
        </w:rPr>
        <w:footnoteRef/>
      </w:r>
      <w:r w:rsidRPr="00264646">
        <w:rPr>
          <w:rFonts w:ascii="Verdana" w:hAnsi="Verdana" w:cs="Arial"/>
          <w:sz w:val="10"/>
          <w:szCs w:val="10"/>
        </w:rPr>
        <w:t xml:space="preserve"> Superintendencia de Sociedades. Oficio 220- 063311 del 6 de abril de 2020.</w:t>
      </w:r>
    </w:p>
    <w:p w14:paraId="5F8F9EAA" w14:textId="77777777" w:rsidR="00044BD0" w:rsidRPr="00264646" w:rsidRDefault="00044BD0" w:rsidP="00044BD0">
      <w:pPr>
        <w:pStyle w:val="Textonotapie"/>
        <w:ind w:firstLine="708"/>
        <w:jc w:val="both"/>
        <w:rPr>
          <w:rFonts w:ascii="Verdana" w:hAnsi="Verdana"/>
          <w:sz w:val="10"/>
          <w:szCs w:val="10"/>
          <w:lang w:val="es-CO"/>
        </w:rPr>
      </w:pPr>
    </w:p>
  </w:footnote>
  <w:footnote w:id="17">
    <w:p w14:paraId="23C6B747" w14:textId="77777777" w:rsidR="00044BD0" w:rsidRPr="005D3741" w:rsidRDefault="00044BD0" w:rsidP="00044BD0">
      <w:pPr>
        <w:pStyle w:val="Textonotapie"/>
        <w:ind w:firstLine="708"/>
        <w:jc w:val="both"/>
        <w:rPr>
          <w:rFonts w:ascii="Verdana" w:hAnsi="Verdana"/>
          <w:sz w:val="10"/>
          <w:szCs w:val="10"/>
          <w:lang w:val="es-CO"/>
        </w:rPr>
      </w:pPr>
      <w:r w:rsidRPr="005D3741">
        <w:rPr>
          <w:rStyle w:val="Refdenotaalpie"/>
          <w:rFonts w:ascii="Verdana" w:hAnsi="Verdana"/>
          <w:sz w:val="10"/>
          <w:szCs w:val="10"/>
        </w:rPr>
        <w:footnoteRef/>
      </w:r>
      <w:r w:rsidRPr="005D3741">
        <w:rPr>
          <w:rFonts w:ascii="Verdana" w:hAnsi="Verdana"/>
          <w:sz w:val="10"/>
          <w:szCs w:val="10"/>
        </w:rPr>
        <w:t xml:space="preserve"> Cámara de Comercio de Bogotá, Vademécum de registro mercantil. Disponible en: https://recursos.ccb.org.co/ccb/recursos-aplicaciones/vademecum-tomo-I/#book/141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1B13"/>
      </v:shape>
    </w:pict>
  </w:numPicBullet>
  <w:abstractNum w:abstractNumId="0"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5BB17E4"/>
    <w:multiLevelType w:val="hybridMultilevel"/>
    <w:tmpl w:val="92425922"/>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A77E24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2E5023D"/>
    <w:multiLevelType w:val="hybridMultilevel"/>
    <w:tmpl w:val="6FA20F3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5"/>
  </w:num>
  <w:num w:numId="2" w16cid:durableId="19822139">
    <w:abstractNumId w:val="1"/>
  </w:num>
  <w:num w:numId="3" w16cid:durableId="876742304">
    <w:abstractNumId w:val="3"/>
  </w:num>
  <w:num w:numId="4" w16cid:durableId="245186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316692925">
    <w:abstractNumId w:val="14"/>
  </w:num>
  <w:num w:numId="7" w16cid:durableId="1946422806">
    <w:abstractNumId w:val="4"/>
  </w:num>
  <w:num w:numId="8" w16cid:durableId="152644682">
    <w:abstractNumId w:val="13"/>
  </w:num>
  <w:num w:numId="9" w16cid:durableId="1317221377">
    <w:abstractNumId w:val="7"/>
  </w:num>
  <w:num w:numId="10" w16cid:durableId="1471245386">
    <w:abstractNumId w:val="12"/>
  </w:num>
  <w:num w:numId="11" w16cid:durableId="289172385">
    <w:abstractNumId w:val="8"/>
  </w:num>
  <w:num w:numId="12" w16cid:durableId="1470781324">
    <w:abstractNumId w:val="0"/>
  </w:num>
  <w:num w:numId="13" w16cid:durableId="1512908409">
    <w:abstractNumId w:val="2"/>
  </w:num>
  <w:num w:numId="14" w16cid:durableId="895897244">
    <w:abstractNumId w:val="15"/>
  </w:num>
  <w:num w:numId="15" w16cid:durableId="390349800">
    <w:abstractNumId w:val="11"/>
  </w:num>
  <w:num w:numId="16" w16cid:durableId="679089576">
    <w:abstractNumId w:val="9"/>
  </w:num>
  <w:num w:numId="17" w16cid:durableId="946278205">
    <w:abstractNumId w:val="10"/>
  </w:num>
  <w:num w:numId="18" w16cid:durableId="21064608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2404"/>
    <w:rsid w:val="000315E7"/>
    <w:rsid w:val="00044BD0"/>
    <w:rsid w:val="00061B2A"/>
    <w:rsid w:val="00082362"/>
    <w:rsid w:val="000A683E"/>
    <w:rsid w:val="000B19B9"/>
    <w:rsid w:val="000D0334"/>
    <w:rsid w:val="000F1666"/>
    <w:rsid w:val="000F6486"/>
    <w:rsid w:val="00125105"/>
    <w:rsid w:val="00127233"/>
    <w:rsid w:val="00155115"/>
    <w:rsid w:val="001E4177"/>
    <w:rsid w:val="001F7DC6"/>
    <w:rsid w:val="002233CC"/>
    <w:rsid w:val="002421BB"/>
    <w:rsid w:val="0025796E"/>
    <w:rsid w:val="002707A2"/>
    <w:rsid w:val="002951A0"/>
    <w:rsid w:val="002962BC"/>
    <w:rsid w:val="002A093D"/>
    <w:rsid w:val="002A0DD0"/>
    <w:rsid w:val="002A49AC"/>
    <w:rsid w:val="002A64FD"/>
    <w:rsid w:val="002C0D81"/>
    <w:rsid w:val="002C7A84"/>
    <w:rsid w:val="002E4FD9"/>
    <w:rsid w:val="002F3B3F"/>
    <w:rsid w:val="00322A85"/>
    <w:rsid w:val="00324168"/>
    <w:rsid w:val="003448F4"/>
    <w:rsid w:val="00374F5E"/>
    <w:rsid w:val="00377E3E"/>
    <w:rsid w:val="003A26D1"/>
    <w:rsid w:val="003A5F79"/>
    <w:rsid w:val="003A779E"/>
    <w:rsid w:val="003C797A"/>
    <w:rsid w:val="003D0F4D"/>
    <w:rsid w:val="003D5B0D"/>
    <w:rsid w:val="003E0499"/>
    <w:rsid w:val="003F3941"/>
    <w:rsid w:val="00406575"/>
    <w:rsid w:val="0042722E"/>
    <w:rsid w:val="0044528D"/>
    <w:rsid w:val="00446C85"/>
    <w:rsid w:val="004A1847"/>
    <w:rsid w:val="004A305D"/>
    <w:rsid w:val="004B0685"/>
    <w:rsid w:val="004E51B0"/>
    <w:rsid w:val="004F21C4"/>
    <w:rsid w:val="004F685F"/>
    <w:rsid w:val="004F7CB3"/>
    <w:rsid w:val="00534DEF"/>
    <w:rsid w:val="005566E8"/>
    <w:rsid w:val="00560D6F"/>
    <w:rsid w:val="00574867"/>
    <w:rsid w:val="00591460"/>
    <w:rsid w:val="00592628"/>
    <w:rsid w:val="005C3777"/>
    <w:rsid w:val="005C5CDC"/>
    <w:rsid w:val="005D476C"/>
    <w:rsid w:val="005D4D48"/>
    <w:rsid w:val="00610812"/>
    <w:rsid w:val="006219F8"/>
    <w:rsid w:val="00650FF7"/>
    <w:rsid w:val="00660DAC"/>
    <w:rsid w:val="00665D70"/>
    <w:rsid w:val="00671DAC"/>
    <w:rsid w:val="006900D9"/>
    <w:rsid w:val="006D12F8"/>
    <w:rsid w:val="006D664F"/>
    <w:rsid w:val="00706C16"/>
    <w:rsid w:val="00743C29"/>
    <w:rsid w:val="00751648"/>
    <w:rsid w:val="007521CA"/>
    <w:rsid w:val="00756841"/>
    <w:rsid w:val="007649AB"/>
    <w:rsid w:val="00771D0C"/>
    <w:rsid w:val="00780F97"/>
    <w:rsid w:val="007833AC"/>
    <w:rsid w:val="007B268C"/>
    <w:rsid w:val="007B7171"/>
    <w:rsid w:val="007C0C0F"/>
    <w:rsid w:val="007C2C7A"/>
    <w:rsid w:val="007C3DC2"/>
    <w:rsid w:val="007E5497"/>
    <w:rsid w:val="00806F5F"/>
    <w:rsid w:val="00820278"/>
    <w:rsid w:val="00820E38"/>
    <w:rsid w:val="00832E24"/>
    <w:rsid w:val="00842CBD"/>
    <w:rsid w:val="008843B6"/>
    <w:rsid w:val="00891928"/>
    <w:rsid w:val="008A446D"/>
    <w:rsid w:val="008D180B"/>
    <w:rsid w:val="008E4585"/>
    <w:rsid w:val="008F0EA7"/>
    <w:rsid w:val="00923EEF"/>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B0ADB"/>
    <w:rsid w:val="00B01B1A"/>
    <w:rsid w:val="00B72CD3"/>
    <w:rsid w:val="00B72FFF"/>
    <w:rsid w:val="00BC3D36"/>
    <w:rsid w:val="00BD7F72"/>
    <w:rsid w:val="00C04FB3"/>
    <w:rsid w:val="00C330EB"/>
    <w:rsid w:val="00C3568E"/>
    <w:rsid w:val="00C754BE"/>
    <w:rsid w:val="00C76B1C"/>
    <w:rsid w:val="00C8593C"/>
    <w:rsid w:val="00CA4340"/>
    <w:rsid w:val="00CB6357"/>
    <w:rsid w:val="00CC1B26"/>
    <w:rsid w:val="00D423A2"/>
    <w:rsid w:val="00D52010"/>
    <w:rsid w:val="00D520D8"/>
    <w:rsid w:val="00D63AC2"/>
    <w:rsid w:val="00D7383B"/>
    <w:rsid w:val="00DA231B"/>
    <w:rsid w:val="00DA23A0"/>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B59CE"/>
    <w:rsid w:val="00EC38A7"/>
    <w:rsid w:val="00EE1AA8"/>
    <w:rsid w:val="00F31EDC"/>
    <w:rsid w:val="00F462B3"/>
    <w:rsid w:val="00F50B5B"/>
    <w:rsid w:val="00F5664F"/>
    <w:rsid w:val="00F666C4"/>
    <w:rsid w:val="00F76AFC"/>
    <w:rsid w:val="00FA47C0"/>
    <w:rsid w:val="00FB5DD1"/>
    <w:rsid w:val="00FC1EF9"/>
    <w:rsid w:val="00FC2B5D"/>
    <w:rsid w:val="00FC4721"/>
    <w:rsid w:val="00FF1449"/>
    <w:rsid w:val="00FF7E18"/>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table" w:customStyle="1" w:styleId="Tablaconcuadrcula1">
    <w:name w:val="Tabla con cuadrícula1"/>
    <w:basedOn w:val="Tablanormal"/>
    <w:next w:val="Tablaconcuadrcula"/>
    <w:uiPriority w:val="59"/>
    <w:rsid w:val="00044BD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rsid w:val="00044BD0"/>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ites%2Fcce_public%2Ffiles%2Ffiles_2020%2Fboletin_de_realtoria_iii.pdf&amp;data=05%7C02%7Cximena.rios%40colombiacompra.gov.co%7C5aad36a736844ec87b2108dcc1fa4639%7C7b09041e245149d08cb179d5e3d8c1be%7C0%7C0%7C638598527920859300%7CUnknown%7CTWFpbGZsb3d8eyJWIjoiMC4wLjAwMDAiLCJQIjoiV2luMzIiLCJBTiI6Ik1haWwiLCJXVCI6Mn0%3D%7C0%7C%7C%7C&amp;sdata=Oi37u0RkFX1Tk96a6YJC52o3NQ4eUPop3eLCtIkNXoY%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relatoria.colombiacompra.gov.co%2F&amp;data=05%7C02%7Cximena.rios%40colombiacompra.gov.co%7C5aad36a736844ec87b2108dcc1fa4639%7C7b09041e245149d08cb179d5e3d8c1be%7C0%7C0%7C638598527920846788%7CUnknown%7CTWFpbGZsb3d8eyJWIjoiMC4wLjAwMDAiLCJQIjoiV2luMzIiLCJBTiI6Ik1haWwiLCJXVCI6Mn0%3D%7C0%7C%7C%7C&amp;sdata=x9HfgIQDqThN8nZ%2BJKFf349PkXKRLtZBuiv0LPhfyyo%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cursos.ccb.org.co/ccb/recursos-aplicaciones/vademecum-tomo-I/"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ala-de-prensa%2Finfografias%2Finstructivo-para-visualizar-anexos-en-un-archivo-pdf&amp;data=05%7C01%7Csergio.caballero%40colombiacompra.gov.co%7Ca4dfcf066f0248f713f008da65a65aa4%7C7b09041e245149d08cb179d5e3d8c1be%7C0%7C0%7C637934062550982134%7CUnknown%7CTWFpbGZsb3d8eyJWIjoiMC4wLjAwMDAiLCJQIjoiV2luMzIiLCJBTiI6Ik1haWwiLCJXVCI6Mn0%3D%7C3000%7C%7C%7C&amp;sdata=GsOqIIle3WKl%2BGqjdk2uXda18rkS3LlXwkCZ8%2BWAMLY%3D&amp;reserved=0"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59089D09-2BC0-49F6-943C-9FDF8D198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6023</Words>
  <Characters>33128</Characters>
  <Application>Microsoft Office Word</Application>
  <DocSecurity>0</DocSecurity>
  <Lines>276</Lines>
  <Paragraphs>78</Paragraphs>
  <ScaleCrop>false</ScaleCrop>
  <Company/>
  <LinksUpToDate>false</LinksUpToDate>
  <CharactersWithSpaces>39073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4</cp:revision>
  <cp:lastPrinted>2023-01-10T21:18:00Z</cp:lastPrinted>
  <dcterms:created xsi:type="dcterms:W3CDTF">2024-09-02T22:37:00Z</dcterms:created>
  <dcterms:modified xsi:type="dcterms:W3CDTF">2024-10-03T22:50:00Z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